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63" w:rsidRPr="00B30EFC" w:rsidRDefault="00167363" w:rsidP="0016736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67363" w:rsidRPr="00B30EFC" w:rsidRDefault="00167363" w:rsidP="00167363">
      <w:pPr>
        <w:jc w:val="both"/>
        <w:rPr>
          <w:rFonts w:ascii="Arial" w:hAnsi="Arial" w:cs="Arial"/>
          <w:sz w:val="20"/>
          <w:lang w:val="es-419"/>
        </w:rPr>
      </w:pPr>
    </w:p>
    <w:p w:rsidR="00167363" w:rsidRPr="00167363" w:rsidRDefault="00167363" w:rsidP="00167363">
      <w:pPr>
        <w:jc w:val="both"/>
        <w:rPr>
          <w:rFonts w:ascii="Arial" w:hAnsi="Arial" w:cs="Arial"/>
          <w:sz w:val="20"/>
          <w:lang w:val="es-419"/>
        </w:rPr>
      </w:pPr>
      <w:r w:rsidRPr="00167363">
        <w:rPr>
          <w:rFonts w:ascii="Arial" w:hAnsi="Arial" w:cs="Arial"/>
          <w:sz w:val="20"/>
          <w:lang w:val="es-419"/>
        </w:rPr>
        <w:t>Providencia:</w:t>
      </w:r>
      <w:r w:rsidRPr="00167363">
        <w:rPr>
          <w:rFonts w:ascii="Arial" w:hAnsi="Arial" w:cs="Arial"/>
          <w:sz w:val="20"/>
          <w:lang w:val="es-419"/>
        </w:rPr>
        <w:tab/>
      </w:r>
      <w:r w:rsidRPr="00167363">
        <w:rPr>
          <w:rFonts w:ascii="Arial" w:hAnsi="Arial" w:cs="Arial"/>
          <w:sz w:val="20"/>
          <w:lang w:val="es-419"/>
        </w:rPr>
        <w:tab/>
        <w:t>Sentencia de Segunda Instancia</w:t>
      </w:r>
    </w:p>
    <w:p w:rsidR="00167363" w:rsidRPr="00167363" w:rsidRDefault="00167363" w:rsidP="00167363">
      <w:pPr>
        <w:jc w:val="both"/>
        <w:rPr>
          <w:rFonts w:ascii="Arial" w:hAnsi="Arial" w:cs="Arial"/>
          <w:sz w:val="20"/>
          <w:lang w:val="es-419"/>
        </w:rPr>
      </w:pPr>
      <w:r w:rsidRPr="00167363">
        <w:rPr>
          <w:rFonts w:ascii="Arial" w:hAnsi="Arial" w:cs="Arial"/>
          <w:sz w:val="20"/>
          <w:lang w:val="es-419"/>
        </w:rPr>
        <w:t>Radicación No:</w:t>
      </w:r>
      <w:r w:rsidRPr="00167363">
        <w:rPr>
          <w:rFonts w:ascii="Arial" w:hAnsi="Arial" w:cs="Arial"/>
          <w:sz w:val="20"/>
          <w:lang w:val="es-419"/>
        </w:rPr>
        <w:tab/>
      </w:r>
      <w:r w:rsidRPr="00167363">
        <w:rPr>
          <w:rFonts w:ascii="Arial" w:hAnsi="Arial" w:cs="Arial"/>
          <w:sz w:val="20"/>
          <w:lang w:val="es-419"/>
        </w:rPr>
        <w:tab/>
        <w:t>66001-31-05-003-2017-00364-01</w:t>
      </w:r>
    </w:p>
    <w:p w:rsidR="00167363" w:rsidRPr="00167363" w:rsidRDefault="00167363" w:rsidP="00167363">
      <w:pPr>
        <w:jc w:val="both"/>
        <w:rPr>
          <w:rFonts w:ascii="Arial" w:hAnsi="Arial" w:cs="Arial"/>
          <w:sz w:val="20"/>
          <w:lang w:val="es-419"/>
        </w:rPr>
      </w:pPr>
      <w:r w:rsidRPr="00167363">
        <w:rPr>
          <w:rFonts w:ascii="Arial" w:hAnsi="Arial" w:cs="Arial"/>
          <w:sz w:val="20"/>
          <w:lang w:val="es-419"/>
        </w:rPr>
        <w:t>Proceso:</w:t>
      </w:r>
      <w:r w:rsidRPr="00167363">
        <w:rPr>
          <w:rFonts w:ascii="Arial" w:hAnsi="Arial" w:cs="Arial"/>
          <w:sz w:val="20"/>
          <w:lang w:val="es-419"/>
        </w:rPr>
        <w:tab/>
      </w:r>
      <w:r w:rsidRPr="00167363">
        <w:rPr>
          <w:rFonts w:ascii="Arial" w:hAnsi="Arial" w:cs="Arial"/>
          <w:sz w:val="20"/>
          <w:lang w:val="es-419"/>
        </w:rPr>
        <w:tab/>
        <w:t>Ordinario Laboral</w:t>
      </w:r>
    </w:p>
    <w:p w:rsidR="00167363" w:rsidRPr="00167363" w:rsidRDefault="00167363" w:rsidP="00167363">
      <w:pPr>
        <w:jc w:val="both"/>
        <w:rPr>
          <w:rFonts w:ascii="Arial" w:hAnsi="Arial" w:cs="Arial"/>
          <w:sz w:val="20"/>
          <w:lang w:val="es-419"/>
        </w:rPr>
      </w:pPr>
      <w:r w:rsidRPr="00167363">
        <w:rPr>
          <w:rFonts w:ascii="Arial" w:hAnsi="Arial" w:cs="Arial"/>
          <w:sz w:val="20"/>
          <w:lang w:val="es-419"/>
        </w:rPr>
        <w:t xml:space="preserve">Demandante:     </w:t>
      </w:r>
      <w:r w:rsidRPr="00167363">
        <w:rPr>
          <w:rFonts w:ascii="Arial" w:hAnsi="Arial" w:cs="Arial"/>
          <w:sz w:val="20"/>
          <w:lang w:val="es-419"/>
        </w:rPr>
        <w:tab/>
        <w:t xml:space="preserve">María Fabiola Velandia Vanegas   </w:t>
      </w:r>
    </w:p>
    <w:p w:rsidR="00167363" w:rsidRPr="00167363" w:rsidRDefault="00167363" w:rsidP="00167363">
      <w:pPr>
        <w:jc w:val="both"/>
        <w:rPr>
          <w:rFonts w:ascii="Arial" w:hAnsi="Arial" w:cs="Arial"/>
          <w:sz w:val="20"/>
          <w:lang w:val="es-419"/>
        </w:rPr>
      </w:pPr>
      <w:r w:rsidRPr="00167363">
        <w:rPr>
          <w:rFonts w:ascii="Arial" w:hAnsi="Arial" w:cs="Arial"/>
          <w:sz w:val="20"/>
          <w:lang w:val="es-419"/>
        </w:rPr>
        <w:t>Demandado:</w:t>
      </w:r>
      <w:r w:rsidRPr="00167363">
        <w:rPr>
          <w:rFonts w:ascii="Arial" w:hAnsi="Arial" w:cs="Arial"/>
          <w:sz w:val="20"/>
          <w:lang w:val="es-419"/>
        </w:rPr>
        <w:tab/>
      </w:r>
      <w:r w:rsidRPr="00167363">
        <w:rPr>
          <w:rFonts w:ascii="Arial" w:hAnsi="Arial" w:cs="Arial"/>
          <w:sz w:val="20"/>
          <w:lang w:val="es-419"/>
        </w:rPr>
        <w:tab/>
        <w:t>Colpensiones</w:t>
      </w:r>
      <w:r>
        <w:rPr>
          <w:rFonts w:ascii="Arial" w:hAnsi="Arial" w:cs="Arial"/>
          <w:sz w:val="20"/>
          <w:lang w:val="es-CO"/>
        </w:rPr>
        <w:t xml:space="preserve"> y </w:t>
      </w:r>
      <w:r w:rsidRPr="00167363">
        <w:rPr>
          <w:rFonts w:ascii="Arial" w:hAnsi="Arial" w:cs="Arial"/>
          <w:sz w:val="20"/>
          <w:lang w:val="es-419"/>
        </w:rPr>
        <w:t>Porvenir S.A.</w:t>
      </w:r>
    </w:p>
    <w:p w:rsidR="00167363" w:rsidRPr="00167363" w:rsidRDefault="00167363" w:rsidP="00167363">
      <w:pPr>
        <w:jc w:val="both"/>
        <w:rPr>
          <w:rFonts w:ascii="Arial" w:hAnsi="Arial" w:cs="Arial"/>
          <w:sz w:val="20"/>
          <w:lang w:val="es-419"/>
        </w:rPr>
      </w:pPr>
      <w:r w:rsidRPr="00167363">
        <w:rPr>
          <w:rFonts w:ascii="Arial" w:hAnsi="Arial" w:cs="Arial"/>
          <w:sz w:val="20"/>
          <w:lang w:val="es-419"/>
        </w:rPr>
        <w:t xml:space="preserve">Juzgado de origen:    </w:t>
      </w:r>
      <w:r w:rsidRPr="00167363">
        <w:rPr>
          <w:rFonts w:ascii="Arial" w:hAnsi="Arial" w:cs="Arial"/>
          <w:sz w:val="20"/>
          <w:lang w:val="es-419"/>
        </w:rPr>
        <w:tab/>
        <w:t>Tercero Laboral del Circuito de Pereira.</w:t>
      </w:r>
    </w:p>
    <w:p w:rsidR="00167363" w:rsidRPr="00167363" w:rsidRDefault="00167363" w:rsidP="00167363">
      <w:pPr>
        <w:jc w:val="both"/>
        <w:rPr>
          <w:rFonts w:ascii="Arial" w:hAnsi="Arial" w:cs="Arial"/>
          <w:sz w:val="20"/>
          <w:lang w:val="es-419"/>
        </w:rPr>
      </w:pPr>
    </w:p>
    <w:p w:rsidR="0025748E" w:rsidRPr="00202520" w:rsidRDefault="00167363" w:rsidP="0025748E">
      <w:pPr>
        <w:pStyle w:val="Sinespaciado"/>
        <w:jc w:val="both"/>
        <w:rPr>
          <w:rFonts w:ascii="Arial" w:hAnsi="Arial" w:cs="Arial"/>
          <w:b/>
          <w:bCs/>
          <w:iCs/>
          <w:sz w:val="20"/>
          <w:szCs w:val="20"/>
          <w:lang w:val="es-CO"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0025748E" w:rsidRPr="00202520">
        <w:rPr>
          <w:rFonts w:ascii="Arial" w:hAnsi="Arial" w:cs="Arial"/>
          <w:b/>
          <w:bCs/>
          <w:sz w:val="20"/>
          <w:szCs w:val="20"/>
        </w:rPr>
        <w:t xml:space="preserve">INEFICACIA DEL TRASLADO DE RÉGIMEN PENSIONAL / </w:t>
      </w:r>
      <w:r w:rsidR="0025748E">
        <w:rPr>
          <w:rFonts w:ascii="Arial" w:hAnsi="Arial" w:cs="Arial"/>
          <w:b/>
          <w:bCs/>
          <w:sz w:val="20"/>
          <w:szCs w:val="20"/>
        </w:rPr>
        <w:t xml:space="preserve">APLICA PARA </w:t>
      </w:r>
      <w:r w:rsidR="0025748E" w:rsidRPr="00202520">
        <w:rPr>
          <w:rFonts w:ascii="Arial" w:hAnsi="Arial" w:cs="Arial"/>
          <w:b/>
          <w:bCs/>
          <w:sz w:val="20"/>
          <w:szCs w:val="20"/>
        </w:rPr>
        <w:t xml:space="preserve">BENEFICIARIOS DEL RÉGIMEN DE TRANSICIÓN </w:t>
      </w:r>
      <w:r w:rsidR="0025748E">
        <w:rPr>
          <w:rFonts w:ascii="Arial" w:hAnsi="Arial" w:cs="Arial"/>
          <w:b/>
          <w:bCs/>
          <w:sz w:val="20"/>
          <w:szCs w:val="20"/>
        </w:rPr>
        <w:t xml:space="preserve">Y LA </w:t>
      </w:r>
      <w:r w:rsidR="0025748E" w:rsidRPr="00202520">
        <w:rPr>
          <w:rFonts w:ascii="Arial" w:hAnsi="Arial" w:cs="Arial"/>
          <w:b/>
          <w:bCs/>
          <w:sz w:val="20"/>
          <w:szCs w:val="20"/>
        </w:rPr>
        <w:t>CARGA PROBATORIA RADICA EN LA AFP</w:t>
      </w:r>
      <w:r w:rsidR="0025748E">
        <w:rPr>
          <w:rFonts w:ascii="Arial" w:hAnsi="Arial" w:cs="Arial"/>
          <w:b/>
          <w:bCs/>
          <w:iCs/>
          <w:sz w:val="20"/>
          <w:szCs w:val="20"/>
          <w:lang w:val="es-CO" w:eastAsia="fr-FR"/>
        </w:rPr>
        <w:t xml:space="preserve"> / PARA NO BENEFICIARIOS LA FIGURA A ESTUDIAR ES LA NULIDAD DEL ACTO JURÍDICO, LA CARGA PROBATORIA INCUMBE AL DEMANDANTE Y DEBE PEDIRSE DENTRO DE LOS CUATRO AÑOS SIGUIENTES.</w:t>
      </w:r>
    </w:p>
    <w:p w:rsidR="0025748E" w:rsidRDefault="0025748E" w:rsidP="0025748E">
      <w:pPr>
        <w:jc w:val="both"/>
        <w:rPr>
          <w:rFonts w:ascii="Arial" w:hAnsi="Arial" w:cs="Arial"/>
          <w:sz w:val="20"/>
          <w:lang w:val="es-419"/>
        </w:rPr>
      </w:pPr>
    </w:p>
    <w:p w:rsidR="0025748E" w:rsidRPr="0028661D" w:rsidRDefault="0025748E" w:rsidP="0025748E">
      <w:pPr>
        <w:jc w:val="both"/>
        <w:rPr>
          <w:rFonts w:ascii="Arial" w:hAnsi="Arial" w:cs="Arial"/>
          <w:sz w:val="20"/>
          <w:lang w:val="es-419"/>
        </w:rPr>
      </w:pPr>
      <w:r w:rsidRPr="0028661D">
        <w:rPr>
          <w:rFonts w:ascii="Arial" w:hAnsi="Arial" w:cs="Arial"/>
          <w:sz w:val="20"/>
          <w:lang w:val="es-419"/>
        </w:rPr>
        <w:t xml:space="preserve">… 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25748E" w:rsidRPr="0028661D" w:rsidRDefault="0025748E" w:rsidP="0025748E">
      <w:pPr>
        <w:jc w:val="both"/>
        <w:rPr>
          <w:rFonts w:ascii="Arial" w:hAnsi="Arial" w:cs="Arial"/>
          <w:sz w:val="20"/>
          <w:lang w:val="es-419"/>
        </w:rPr>
      </w:pPr>
    </w:p>
    <w:p w:rsidR="0025748E" w:rsidRPr="0028661D" w:rsidRDefault="0025748E" w:rsidP="0025748E">
      <w:pPr>
        <w:jc w:val="both"/>
        <w:rPr>
          <w:rFonts w:ascii="Arial" w:hAnsi="Arial" w:cs="Arial"/>
          <w:sz w:val="20"/>
          <w:lang w:val="es-419"/>
        </w:rPr>
      </w:pPr>
      <w:r w:rsidRPr="0028661D">
        <w:rPr>
          <w:rFonts w:ascii="Arial" w:hAnsi="Arial" w:cs="Arial"/>
          <w:sz w:val="20"/>
          <w:lang w:val="es-419"/>
        </w:rPr>
        <w:t>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Onus Probandi, de conformidad con el artículo 167 del C.G.P., so pena de la improsperidad de sus pretensiones. (…)</w:t>
      </w:r>
    </w:p>
    <w:p w:rsidR="0025748E" w:rsidRDefault="0025748E" w:rsidP="0025748E">
      <w:pPr>
        <w:pStyle w:val="Sinespaciado"/>
        <w:jc w:val="both"/>
        <w:rPr>
          <w:rFonts w:ascii="Arial" w:hAnsi="Arial" w:cs="Arial"/>
          <w:sz w:val="20"/>
          <w:lang w:val="es-419"/>
        </w:rPr>
      </w:pPr>
    </w:p>
    <w:p w:rsidR="0025748E" w:rsidRDefault="0025748E" w:rsidP="0025748E">
      <w:pPr>
        <w:jc w:val="both"/>
        <w:rPr>
          <w:rFonts w:ascii="Arial" w:hAnsi="Arial" w:cs="Arial"/>
          <w:sz w:val="20"/>
          <w:lang w:val="es-CO"/>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25748E" w:rsidRPr="00AB2583" w:rsidRDefault="0025748E" w:rsidP="0025748E">
      <w:pPr>
        <w:jc w:val="both"/>
        <w:rPr>
          <w:rFonts w:ascii="Arial" w:hAnsi="Arial" w:cs="Arial"/>
          <w:sz w:val="20"/>
          <w:lang w:val="es-419"/>
        </w:rPr>
      </w:pPr>
    </w:p>
    <w:p w:rsidR="0025748E" w:rsidRPr="00AB2583" w:rsidRDefault="0025748E" w:rsidP="0025748E">
      <w:pPr>
        <w:jc w:val="both"/>
        <w:rPr>
          <w:rFonts w:ascii="Arial" w:hAnsi="Arial" w:cs="Arial"/>
          <w:sz w:val="20"/>
          <w:lang w:val="es-419"/>
        </w:rPr>
      </w:pPr>
      <w:r w:rsidRPr="00AB2583">
        <w:rPr>
          <w:rFonts w:ascii="Arial" w:hAnsi="Arial" w:cs="Arial"/>
          <w:sz w:val="20"/>
          <w:lang w:val="es-419"/>
        </w:rPr>
        <w:t>En cuanto a los vicios el consentimiento, según lo establece el artículo 1508 ibídem, lo son el error, la fuerza y el dolo.</w:t>
      </w:r>
    </w:p>
    <w:p w:rsidR="0025748E" w:rsidRPr="00AB2583" w:rsidRDefault="0025748E" w:rsidP="0025748E">
      <w:pPr>
        <w:jc w:val="both"/>
        <w:rPr>
          <w:rFonts w:ascii="Arial" w:hAnsi="Arial" w:cs="Arial"/>
          <w:sz w:val="20"/>
          <w:lang w:val="es-419"/>
        </w:rPr>
      </w:pPr>
    </w:p>
    <w:p w:rsidR="0025748E" w:rsidRPr="00AB2583" w:rsidRDefault="0025748E" w:rsidP="0025748E">
      <w:pPr>
        <w:jc w:val="both"/>
        <w:rPr>
          <w:rFonts w:ascii="Arial" w:hAnsi="Arial" w:cs="Arial"/>
          <w:sz w:val="20"/>
          <w:lang w:val="es-419"/>
        </w:rPr>
      </w:pPr>
      <w:r w:rsidRPr="00AB2583">
        <w:rPr>
          <w:rFonts w:ascii="Arial" w:hAnsi="Arial" w:cs="Arial"/>
          <w:sz w:val="20"/>
          <w:lang w:val="es-419"/>
        </w:rPr>
        <w:t>El primero –error–, puede serlo de derecho y de hecho, pero aquel no vicia el consentimiento, conforme lo plantea el artículo 1509. (…)</w:t>
      </w:r>
    </w:p>
    <w:p w:rsidR="0025748E" w:rsidRPr="0028661D" w:rsidRDefault="0025748E" w:rsidP="0025748E">
      <w:pPr>
        <w:jc w:val="both"/>
        <w:rPr>
          <w:rFonts w:ascii="Arial" w:hAnsi="Arial" w:cs="Arial"/>
          <w:sz w:val="20"/>
          <w:lang w:val="es-419"/>
        </w:rPr>
      </w:pPr>
    </w:p>
    <w:p w:rsidR="0025748E" w:rsidRPr="0028661D" w:rsidRDefault="0025748E" w:rsidP="0025748E">
      <w:pPr>
        <w:jc w:val="both"/>
        <w:rPr>
          <w:rFonts w:ascii="Arial" w:hAnsi="Arial" w:cs="Arial"/>
          <w:sz w:val="20"/>
          <w:lang w:val="es-419"/>
        </w:rPr>
      </w:pPr>
      <w:r w:rsidRPr="0028661D">
        <w:rPr>
          <w:rFonts w:ascii="Arial" w:hAnsi="Arial" w:cs="Arial"/>
          <w:sz w:val="20"/>
          <w:lang w:val="es-419"/>
        </w:rPr>
        <w:t>A su vez, el artículo 1750 del Código Civil prevé que para alegar la rescisión en los eventos en que se alegue la ocurrencia de error o dolo, se cuenta con un plazo de cuatro años contados desde el día de la celebración del acto o contrato.</w:t>
      </w:r>
    </w:p>
    <w:p w:rsidR="0025748E" w:rsidRPr="0028661D" w:rsidRDefault="0025748E" w:rsidP="0025748E">
      <w:pPr>
        <w:jc w:val="both"/>
        <w:rPr>
          <w:rFonts w:ascii="Arial" w:hAnsi="Arial" w:cs="Arial"/>
          <w:sz w:val="20"/>
          <w:lang w:val="es-419"/>
        </w:rPr>
      </w:pPr>
    </w:p>
    <w:p w:rsidR="0025748E" w:rsidRPr="0028661D" w:rsidRDefault="0025748E" w:rsidP="0025748E">
      <w:pPr>
        <w:jc w:val="both"/>
        <w:rPr>
          <w:rFonts w:ascii="Arial" w:hAnsi="Arial" w:cs="Arial"/>
          <w:sz w:val="20"/>
          <w:lang w:val="es-419"/>
        </w:rPr>
      </w:pPr>
      <w:r w:rsidRPr="0028661D">
        <w:rPr>
          <w:rFonts w:ascii="Arial" w:hAnsi="Arial" w:cs="Arial"/>
          <w:sz w:val="20"/>
          <w:lang w:val="es-419"/>
        </w:rPr>
        <w:t>De otro lado el artículo 1743 ibídem dispone que la nulidad relativa se sanea por el paso del tiempo o por ratificación de las partes.</w:t>
      </w:r>
    </w:p>
    <w:p w:rsidR="00167363" w:rsidRDefault="00167363" w:rsidP="0025748E">
      <w:pPr>
        <w:jc w:val="both"/>
        <w:rPr>
          <w:rFonts w:ascii="Arial" w:hAnsi="Arial" w:cs="Arial"/>
          <w:sz w:val="20"/>
          <w:lang w:val="es-419"/>
        </w:rPr>
      </w:pPr>
    </w:p>
    <w:p w:rsidR="00167363" w:rsidRDefault="00167363" w:rsidP="00167363">
      <w:pPr>
        <w:jc w:val="both"/>
        <w:rPr>
          <w:rFonts w:ascii="Arial" w:hAnsi="Arial" w:cs="Arial"/>
          <w:sz w:val="20"/>
          <w:lang w:val="es-419"/>
        </w:rPr>
      </w:pPr>
    </w:p>
    <w:p w:rsidR="00167363" w:rsidRDefault="00167363" w:rsidP="00167363">
      <w:pPr>
        <w:jc w:val="both"/>
        <w:rPr>
          <w:rFonts w:ascii="Arial" w:hAnsi="Arial" w:cs="Arial"/>
          <w:sz w:val="20"/>
          <w:lang w:val="es-419"/>
        </w:rPr>
      </w:pPr>
    </w:p>
    <w:p w:rsidR="00D636F8" w:rsidRDefault="00D636F8" w:rsidP="005920A9">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SALA LABORAL</w:t>
      </w:r>
    </w:p>
    <w:p w:rsidR="00D636F8" w:rsidRDefault="00D636F8" w:rsidP="005920A9">
      <w:pPr>
        <w:spacing w:line="276" w:lineRule="auto"/>
        <w:ind w:left="2127" w:hanging="1276"/>
        <w:contextualSpacing/>
        <w:jc w:val="center"/>
        <w:rPr>
          <w:rFonts w:ascii="Arial" w:hAnsi="Arial" w:cs="Arial"/>
          <w:b/>
          <w:szCs w:val="24"/>
        </w:rPr>
      </w:pPr>
    </w:p>
    <w:p w:rsidR="00D636F8" w:rsidRPr="003440CA"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Default="00D636F8" w:rsidP="005920A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F6330B" w:rsidRPr="00AC486E" w:rsidRDefault="00F6330B" w:rsidP="005920A9">
      <w:pPr>
        <w:spacing w:line="276" w:lineRule="auto"/>
        <w:ind w:left="2127" w:hanging="1276"/>
        <w:contextualSpacing/>
        <w:jc w:val="center"/>
        <w:rPr>
          <w:rFonts w:ascii="Arial" w:hAnsi="Arial" w:cs="Arial"/>
          <w:b/>
          <w:szCs w:val="24"/>
        </w:rPr>
      </w:pP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F24246">
        <w:rPr>
          <w:rFonts w:ascii="Arial" w:eastAsia="Calibri" w:hAnsi="Arial" w:cs="Arial"/>
          <w:szCs w:val="24"/>
          <w:lang w:val="es-CO" w:eastAsia="en-US"/>
        </w:rPr>
        <w:t xml:space="preserve">diecinueve </w:t>
      </w:r>
      <w:r w:rsidR="00AD05E0">
        <w:rPr>
          <w:rFonts w:ascii="Arial" w:eastAsia="Calibri" w:hAnsi="Arial" w:cs="Arial"/>
          <w:szCs w:val="24"/>
          <w:lang w:val="es-CO" w:eastAsia="en-US"/>
        </w:rPr>
        <w:t>(</w:t>
      </w:r>
      <w:r w:rsidR="00F24246">
        <w:rPr>
          <w:rFonts w:ascii="Arial" w:eastAsia="Calibri" w:hAnsi="Arial" w:cs="Arial"/>
          <w:szCs w:val="24"/>
          <w:lang w:val="es-CO" w:eastAsia="en-US"/>
        </w:rPr>
        <w:t>19</w:t>
      </w:r>
      <w:r w:rsidRPr="00AC486E">
        <w:rPr>
          <w:rFonts w:ascii="Arial" w:eastAsia="Calibri" w:hAnsi="Arial" w:cs="Arial"/>
          <w:szCs w:val="24"/>
          <w:lang w:val="es-CO" w:eastAsia="en-US"/>
        </w:rPr>
        <w:t xml:space="preserve">) días del mes de </w:t>
      </w:r>
      <w:r w:rsidR="00470ACA">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mil dieci</w:t>
      </w:r>
      <w:r w:rsidR="001976D0">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1976D0">
        <w:rPr>
          <w:rFonts w:ascii="Arial" w:eastAsia="Calibri" w:hAnsi="Arial" w:cs="Arial"/>
          <w:szCs w:val="24"/>
          <w:lang w:val="es-CO" w:eastAsia="en-US"/>
        </w:rPr>
        <w:t>9</w:t>
      </w:r>
      <w:r>
        <w:rPr>
          <w:rFonts w:ascii="Arial" w:eastAsia="Calibri" w:hAnsi="Arial" w:cs="Arial"/>
          <w:szCs w:val="24"/>
          <w:lang w:val="es-CO" w:eastAsia="en-US"/>
        </w:rPr>
        <w:t xml:space="preserve">), siendo las </w:t>
      </w:r>
      <w:r w:rsidR="00F24246">
        <w:rPr>
          <w:rFonts w:ascii="Arial" w:eastAsia="Calibri" w:hAnsi="Arial" w:cs="Arial"/>
          <w:szCs w:val="24"/>
          <w:lang w:val="es-CO" w:eastAsia="en-US"/>
        </w:rPr>
        <w:t xml:space="preserve">nueve </w:t>
      </w:r>
      <w:r w:rsidR="00B24407">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470ACA">
        <w:rPr>
          <w:rFonts w:ascii="Arial" w:eastAsia="Calibri" w:hAnsi="Arial" w:cs="Arial"/>
          <w:szCs w:val="24"/>
          <w:lang w:val="es-CO" w:eastAsia="en-US"/>
        </w:rPr>
        <w:t>0</w:t>
      </w:r>
      <w:r w:rsidR="00F24246">
        <w:rPr>
          <w:rFonts w:ascii="Arial" w:eastAsia="Calibri" w:hAnsi="Arial" w:cs="Arial"/>
          <w:szCs w:val="24"/>
          <w:lang w:val="es-CO" w:eastAsia="en-US"/>
        </w:rPr>
        <w:t>9</w:t>
      </w:r>
      <w:r w:rsidR="00470ACA">
        <w:rPr>
          <w:rFonts w:ascii="Arial" w:eastAsia="Calibri" w:hAnsi="Arial" w:cs="Arial"/>
          <w:szCs w:val="24"/>
          <w:lang w:val="es-CO" w:eastAsia="en-US"/>
        </w:rPr>
        <w:t>:0</w:t>
      </w:r>
      <w:r w:rsidR="008908CC">
        <w:rPr>
          <w:rFonts w:ascii="Arial" w:eastAsia="Calibri" w:hAnsi="Arial" w:cs="Arial"/>
          <w:szCs w:val="24"/>
          <w:lang w:val="es-CO" w:eastAsia="en-US"/>
        </w:rPr>
        <w:t>0</w:t>
      </w:r>
      <w:r w:rsidR="00B24407">
        <w:rPr>
          <w:rFonts w:ascii="Arial" w:eastAsia="Calibri" w:hAnsi="Arial" w:cs="Arial"/>
          <w:szCs w:val="24"/>
          <w:lang w:val="es-CO" w:eastAsia="en-US"/>
        </w:rPr>
        <w:t xml:space="preserve">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3A4CF9">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w:t>
      </w:r>
      <w:r w:rsidR="00F24246">
        <w:rPr>
          <w:rFonts w:ascii="Arial" w:hAnsi="Arial" w:cs="Arial"/>
          <w:bCs/>
          <w:color w:val="000000"/>
          <w:szCs w:val="24"/>
          <w:lang w:eastAsia="es-CO"/>
        </w:rPr>
        <w:t>surtir el grado jurisdiccional de consulta</w:t>
      </w:r>
      <w:r w:rsidR="0083638D">
        <w:rPr>
          <w:rFonts w:ascii="Arial" w:hAnsi="Arial" w:cs="Arial"/>
          <w:bCs/>
          <w:color w:val="000000"/>
          <w:szCs w:val="24"/>
          <w:lang w:eastAsia="es-CO"/>
        </w:rPr>
        <w:t xml:space="preserve">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 xml:space="preserve">la sentencia </w:t>
      </w:r>
      <w:r w:rsidRPr="00AC486E">
        <w:rPr>
          <w:rFonts w:ascii="Arial" w:hAnsi="Arial" w:cs="Arial"/>
          <w:bCs/>
          <w:color w:val="000000"/>
          <w:szCs w:val="24"/>
          <w:lang w:eastAsia="es-CO"/>
        </w:rPr>
        <w:lastRenderedPageBreak/>
        <w:t>p</w:t>
      </w:r>
      <w:r w:rsidRPr="00AC486E">
        <w:rPr>
          <w:rFonts w:ascii="Arial" w:hAnsi="Arial" w:cs="Arial"/>
          <w:szCs w:val="24"/>
        </w:rPr>
        <w:t xml:space="preserve">roferida el </w:t>
      </w:r>
      <w:r w:rsidR="00F24246">
        <w:rPr>
          <w:rFonts w:ascii="Arial" w:hAnsi="Arial" w:cs="Arial"/>
          <w:szCs w:val="24"/>
        </w:rPr>
        <w:t>07</w:t>
      </w:r>
      <w:r w:rsidR="00470ACA">
        <w:rPr>
          <w:rFonts w:ascii="Arial" w:hAnsi="Arial" w:cs="Arial"/>
          <w:szCs w:val="24"/>
        </w:rPr>
        <w:t xml:space="preserve"> </w:t>
      </w:r>
      <w:r w:rsidRPr="00AC486E">
        <w:rPr>
          <w:rFonts w:ascii="Arial" w:hAnsi="Arial" w:cs="Arial"/>
          <w:szCs w:val="24"/>
        </w:rPr>
        <w:t xml:space="preserve">de </w:t>
      </w:r>
      <w:r w:rsidR="00F24246">
        <w:rPr>
          <w:rFonts w:ascii="Arial" w:hAnsi="Arial" w:cs="Arial"/>
          <w:szCs w:val="24"/>
        </w:rPr>
        <w:t xml:space="preserve">mayo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F24246">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A4CF9">
        <w:rPr>
          <w:rFonts w:ascii="Arial" w:hAnsi="Arial" w:cs="Arial"/>
          <w:szCs w:val="24"/>
        </w:rPr>
        <w:t xml:space="preserve">la </w:t>
      </w:r>
      <w:r>
        <w:rPr>
          <w:rFonts w:ascii="Arial" w:hAnsi="Arial" w:cs="Arial"/>
          <w:szCs w:val="24"/>
        </w:rPr>
        <w:t>señor</w:t>
      </w:r>
      <w:r w:rsidR="003A4CF9">
        <w:rPr>
          <w:rFonts w:ascii="Arial" w:hAnsi="Arial" w:cs="Arial"/>
          <w:szCs w:val="24"/>
        </w:rPr>
        <w:t>a</w:t>
      </w:r>
      <w:r>
        <w:rPr>
          <w:rFonts w:ascii="Arial" w:hAnsi="Arial" w:cs="Arial"/>
          <w:szCs w:val="24"/>
        </w:rPr>
        <w:t xml:space="preserve"> </w:t>
      </w:r>
      <w:r w:rsidR="00F24246">
        <w:rPr>
          <w:rFonts w:ascii="Arial" w:hAnsi="Arial" w:cs="Arial"/>
          <w:b/>
          <w:szCs w:val="24"/>
        </w:rPr>
        <w:t xml:space="preserve">María Fabiola </w:t>
      </w:r>
      <w:proofErr w:type="spellStart"/>
      <w:r w:rsidR="00F24246">
        <w:rPr>
          <w:rFonts w:ascii="Arial" w:hAnsi="Arial" w:cs="Arial"/>
          <w:b/>
          <w:szCs w:val="24"/>
        </w:rPr>
        <w:t>Velandia</w:t>
      </w:r>
      <w:proofErr w:type="spellEnd"/>
      <w:r w:rsidR="00F24246">
        <w:rPr>
          <w:rFonts w:ascii="Arial" w:hAnsi="Arial" w:cs="Arial"/>
          <w:b/>
          <w:szCs w:val="24"/>
        </w:rPr>
        <w:t xml:space="preserve"> Vanegas</w:t>
      </w:r>
      <w:r w:rsidR="003A4CF9">
        <w:rPr>
          <w:rFonts w:ascii="Arial" w:hAnsi="Arial" w:cs="Arial"/>
          <w:b/>
          <w:szCs w:val="24"/>
        </w:rPr>
        <w:t xml:space="preserve"> </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8908CC">
        <w:rPr>
          <w:rFonts w:ascii="Arial" w:hAnsi="Arial" w:cs="Arial"/>
          <w:b/>
          <w:bCs/>
          <w:szCs w:val="24"/>
        </w:rPr>
        <w:t xml:space="preserve"> </w:t>
      </w:r>
      <w:r w:rsidR="008908CC" w:rsidRPr="008908CC">
        <w:rPr>
          <w:rFonts w:ascii="Arial" w:hAnsi="Arial" w:cs="Arial"/>
          <w:bCs/>
          <w:szCs w:val="24"/>
        </w:rPr>
        <w:t>y</w:t>
      </w:r>
      <w:r w:rsidR="008908CC">
        <w:rPr>
          <w:rFonts w:ascii="Arial" w:hAnsi="Arial" w:cs="Arial"/>
          <w:b/>
          <w:bCs/>
          <w:szCs w:val="24"/>
        </w:rPr>
        <w:t xml:space="preserve"> </w:t>
      </w:r>
      <w:r w:rsidR="0083638D">
        <w:rPr>
          <w:rFonts w:ascii="Arial" w:hAnsi="Arial" w:cs="Arial"/>
          <w:b/>
          <w:bCs/>
          <w:szCs w:val="24"/>
        </w:rPr>
        <w:t xml:space="preserve">Porvenir </w:t>
      </w:r>
      <w:r w:rsidR="00013A49">
        <w:rPr>
          <w:rFonts w:ascii="Arial" w:hAnsi="Arial" w:cs="Arial"/>
          <w:b/>
          <w:bCs/>
          <w:szCs w:val="24"/>
        </w:rPr>
        <w:t>S.A.</w:t>
      </w:r>
      <w:r w:rsidR="008908CC">
        <w:rPr>
          <w:rFonts w:ascii="Arial" w:hAnsi="Arial" w:cs="Arial"/>
          <w:b/>
          <w:bCs/>
          <w:szCs w:val="24"/>
        </w:rPr>
        <w:t xml:space="preserve">, </w:t>
      </w:r>
      <w:r>
        <w:rPr>
          <w:rFonts w:ascii="Arial" w:hAnsi="Arial" w:cs="Arial"/>
          <w:bCs/>
          <w:szCs w:val="24"/>
        </w:rPr>
        <w:t>radicado</w:t>
      </w:r>
      <w:r w:rsidR="008908CC">
        <w:rPr>
          <w:rFonts w:ascii="Arial" w:hAnsi="Arial" w:cs="Arial"/>
          <w:bCs/>
          <w:szCs w:val="24"/>
        </w:rPr>
        <w:t xml:space="preserve"> al N° 66001-31-05-00</w:t>
      </w:r>
      <w:r w:rsidR="00F24246">
        <w:rPr>
          <w:rFonts w:ascii="Arial" w:hAnsi="Arial" w:cs="Arial"/>
          <w:bCs/>
          <w:szCs w:val="24"/>
        </w:rPr>
        <w:t>3</w:t>
      </w:r>
      <w:r w:rsidR="0083638D">
        <w:rPr>
          <w:rFonts w:ascii="Arial" w:hAnsi="Arial" w:cs="Arial"/>
          <w:bCs/>
          <w:szCs w:val="24"/>
        </w:rPr>
        <w:t>-2017</w:t>
      </w:r>
      <w:r>
        <w:rPr>
          <w:rFonts w:ascii="Arial" w:hAnsi="Arial" w:cs="Arial"/>
          <w:bCs/>
          <w:szCs w:val="24"/>
        </w:rPr>
        <w:t>-00</w:t>
      </w:r>
      <w:r w:rsidR="00F24246">
        <w:rPr>
          <w:rFonts w:ascii="Arial" w:hAnsi="Arial" w:cs="Arial"/>
          <w:bCs/>
          <w:szCs w:val="24"/>
        </w:rPr>
        <w:t>364</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F6330B"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D636F8" w:rsidRDefault="00D636F8" w:rsidP="005920A9">
      <w:pPr>
        <w:spacing w:line="276" w:lineRule="auto"/>
        <w:contextualSpacing/>
        <w:rPr>
          <w:rFonts w:ascii="Arial" w:hAnsi="Arial" w:cs="Arial"/>
          <w:szCs w:val="24"/>
        </w:rPr>
      </w:pPr>
      <w:r>
        <w:rPr>
          <w:rFonts w:ascii="Arial" w:hAnsi="Arial" w:cs="Arial"/>
          <w:szCs w:val="24"/>
        </w:rPr>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637118" w:rsidRDefault="00D636F8" w:rsidP="005920A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76A3B" w:rsidRDefault="00380184" w:rsidP="005920A9">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r w:rsidR="00F24246">
        <w:rPr>
          <w:rFonts w:ascii="Arial" w:hAnsi="Arial" w:cs="Arial"/>
          <w:szCs w:val="24"/>
        </w:rPr>
        <w:t xml:space="preserve">María Fabiola </w:t>
      </w:r>
      <w:proofErr w:type="spellStart"/>
      <w:r w:rsidR="00F24246">
        <w:rPr>
          <w:rFonts w:ascii="Arial" w:hAnsi="Arial" w:cs="Arial"/>
          <w:szCs w:val="24"/>
        </w:rPr>
        <w:t>Velandia</w:t>
      </w:r>
      <w:proofErr w:type="spellEnd"/>
      <w:r w:rsidR="00F24246">
        <w:rPr>
          <w:rFonts w:ascii="Arial" w:hAnsi="Arial" w:cs="Arial"/>
          <w:szCs w:val="24"/>
        </w:rPr>
        <w:t xml:space="preserve"> Vanegas</w:t>
      </w:r>
      <w:r w:rsidR="003A4CF9">
        <w:rPr>
          <w:rFonts w:ascii="Arial" w:hAnsi="Arial" w:cs="Arial"/>
          <w:szCs w:val="24"/>
        </w:rPr>
        <w:t xml:space="preserve"> </w:t>
      </w:r>
      <w:r w:rsidR="00110327">
        <w:rPr>
          <w:rFonts w:ascii="Arial" w:hAnsi="Arial" w:cs="Arial"/>
          <w:szCs w:val="24"/>
        </w:rPr>
        <w:t xml:space="preserve">solicita </w:t>
      </w:r>
      <w:r w:rsidR="00AD05E0">
        <w:rPr>
          <w:rFonts w:ascii="Arial" w:hAnsi="Arial" w:cs="Arial"/>
          <w:szCs w:val="24"/>
        </w:rPr>
        <w:t>que se declare</w:t>
      </w:r>
      <w:r w:rsidR="00D20F9A">
        <w:rPr>
          <w:rFonts w:ascii="Arial" w:hAnsi="Arial" w:cs="Arial"/>
          <w:szCs w:val="24"/>
        </w:rPr>
        <w:t>: (i)</w:t>
      </w:r>
      <w:r w:rsidR="00110327">
        <w:rPr>
          <w:rFonts w:ascii="Arial" w:hAnsi="Arial" w:cs="Arial"/>
          <w:szCs w:val="24"/>
          <w:lang w:val="es-CO"/>
        </w:rPr>
        <w:t xml:space="preserve"> </w:t>
      </w:r>
      <w:r w:rsidR="00F45EA3">
        <w:rPr>
          <w:rFonts w:ascii="Arial" w:hAnsi="Arial" w:cs="Arial"/>
          <w:szCs w:val="24"/>
          <w:lang w:val="es-CO"/>
        </w:rPr>
        <w:t>la</w:t>
      </w:r>
      <w:r w:rsidR="00F24246">
        <w:rPr>
          <w:rFonts w:ascii="Arial" w:hAnsi="Arial" w:cs="Arial"/>
          <w:szCs w:val="24"/>
          <w:lang w:val="es-CO"/>
        </w:rPr>
        <w:t xml:space="preserve"> nulidad </w:t>
      </w:r>
      <w:r w:rsidR="00110327">
        <w:rPr>
          <w:rFonts w:ascii="Arial" w:hAnsi="Arial" w:cs="Arial"/>
          <w:szCs w:val="24"/>
        </w:rPr>
        <w:t>d</w:t>
      </w:r>
      <w:r w:rsidR="00D222DD">
        <w:rPr>
          <w:rFonts w:ascii="Arial" w:hAnsi="Arial" w:cs="Arial"/>
          <w:szCs w:val="24"/>
        </w:rPr>
        <w:t xml:space="preserve">el </w:t>
      </w:r>
      <w:r w:rsidR="00AD05E0">
        <w:rPr>
          <w:rFonts w:ascii="Arial" w:hAnsi="Arial" w:cs="Arial"/>
          <w:szCs w:val="24"/>
        </w:rPr>
        <w:t xml:space="preserve">traslado </w:t>
      </w:r>
      <w:r w:rsidR="00D222DD">
        <w:rPr>
          <w:rFonts w:ascii="Arial" w:hAnsi="Arial" w:cs="Arial"/>
          <w:szCs w:val="24"/>
        </w:rPr>
        <w:t xml:space="preserve">que efectuó </w:t>
      </w:r>
      <w:r w:rsidR="00CB08DC">
        <w:rPr>
          <w:rFonts w:ascii="Arial" w:hAnsi="Arial" w:cs="Arial"/>
          <w:szCs w:val="24"/>
        </w:rPr>
        <w:t xml:space="preserve">del </w:t>
      </w:r>
      <w:r w:rsidR="0010187C">
        <w:rPr>
          <w:rFonts w:ascii="Arial" w:hAnsi="Arial" w:cs="Arial"/>
          <w:szCs w:val="24"/>
        </w:rPr>
        <w:t xml:space="preserve">RPM </w:t>
      </w:r>
      <w:r w:rsidR="00CB08DC">
        <w:rPr>
          <w:rFonts w:ascii="Arial" w:hAnsi="Arial" w:cs="Arial"/>
          <w:szCs w:val="24"/>
        </w:rPr>
        <w:t xml:space="preserve">al </w:t>
      </w:r>
      <w:r w:rsidR="00D222DD">
        <w:rPr>
          <w:rFonts w:ascii="Arial" w:hAnsi="Arial" w:cs="Arial"/>
          <w:szCs w:val="24"/>
        </w:rPr>
        <w:t xml:space="preserve">RAIS, </w:t>
      </w:r>
      <w:r w:rsidR="00D30546">
        <w:rPr>
          <w:rFonts w:ascii="Arial" w:hAnsi="Arial" w:cs="Arial"/>
          <w:szCs w:val="24"/>
        </w:rPr>
        <w:t xml:space="preserve">por intermedio de </w:t>
      </w:r>
      <w:r w:rsidR="00470ACA">
        <w:rPr>
          <w:rFonts w:ascii="Arial" w:hAnsi="Arial" w:cs="Arial"/>
          <w:szCs w:val="24"/>
        </w:rPr>
        <w:t xml:space="preserve">Porvenir </w:t>
      </w:r>
      <w:r w:rsidR="0083638D">
        <w:rPr>
          <w:rFonts w:ascii="Arial" w:hAnsi="Arial" w:cs="Arial"/>
          <w:szCs w:val="24"/>
        </w:rPr>
        <w:t>S.A.</w:t>
      </w:r>
      <w:r w:rsidR="00D636F8">
        <w:rPr>
          <w:rFonts w:ascii="Arial" w:hAnsi="Arial" w:cs="Arial"/>
          <w:szCs w:val="24"/>
        </w:rPr>
        <w:t xml:space="preserve">; </w:t>
      </w:r>
      <w:r w:rsidR="00D20F9A">
        <w:rPr>
          <w:rFonts w:ascii="Arial" w:hAnsi="Arial" w:cs="Arial"/>
          <w:szCs w:val="24"/>
        </w:rPr>
        <w:t>(ii)</w:t>
      </w:r>
      <w:r w:rsidR="00993C3C">
        <w:rPr>
          <w:rFonts w:ascii="Arial" w:hAnsi="Arial" w:cs="Arial"/>
          <w:szCs w:val="24"/>
        </w:rPr>
        <w:t xml:space="preserve"> conse</w:t>
      </w:r>
      <w:r w:rsidR="0010187C">
        <w:rPr>
          <w:rFonts w:ascii="Arial" w:hAnsi="Arial" w:cs="Arial"/>
          <w:szCs w:val="24"/>
        </w:rPr>
        <w:t>cuente con lo anterior, que tiene derecho a que su pensión se tramite en el RPM al cumplimiento de los 57 años de edad.</w:t>
      </w:r>
    </w:p>
    <w:p w:rsidR="0010187C" w:rsidRDefault="0010187C" w:rsidP="005920A9">
      <w:pPr>
        <w:spacing w:line="276" w:lineRule="auto"/>
        <w:contextualSpacing/>
        <w:jc w:val="both"/>
        <w:rPr>
          <w:rFonts w:ascii="Arial" w:hAnsi="Arial" w:cs="Arial"/>
          <w:szCs w:val="24"/>
        </w:rPr>
      </w:pPr>
    </w:p>
    <w:p w:rsidR="0010187C" w:rsidRDefault="0010187C" w:rsidP="005920A9">
      <w:pPr>
        <w:spacing w:line="276" w:lineRule="auto"/>
        <w:contextualSpacing/>
        <w:jc w:val="both"/>
        <w:rPr>
          <w:rFonts w:ascii="Arial" w:hAnsi="Arial" w:cs="Arial"/>
          <w:szCs w:val="24"/>
        </w:rPr>
      </w:pPr>
      <w:r>
        <w:rPr>
          <w:rFonts w:ascii="Arial" w:hAnsi="Arial" w:cs="Arial"/>
          <w:szCs w:val="24"/>
        </w:rPr>
        <w:t>Consecuente con lo anterior, se ordene a Colpensiones recibirla como cotizante y a Porvenir S.A. a efectuar el traslado de sus cotizaciones al RPM.</w:t>
      </w:r>
    </w:p>
    <w:p w:rsidR="00167363" w:rsidRDefault="00167363" w:rsidP="005920A9">
      <w:pPr>
        <w:spacing w:line="276" w:lineRule="auto"/>
        <w:contextualSpacing/>
        <w:jc w:val="both"/>
        <w:rPr>
          <w:rFonts w:ascii="Arial" w:hAnsi="Arial" w:cs="Arial"/>
          <w:szCs w:val="24"/>
        </w:rPr>
      </w:pPr>
    </w:p>
    <w:p w:rsidR="00B12D9F"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776A3B">
        <w:rPr>
          <w:rFonts w:ascii="Arial" w:hAnsi="Arial" w:cs="Arial"/>
          <w:szCs w:val="24"/>
        </w:rPr>
        <w:t xml:space="preserve">nació </w:t>
      </w:r>
      <w:r w:rsidR="00C92658">
        <w:rPr>
          <w:rFonts w:ascii="Arial" w:hAnsi="Arial" w:cs="Arial"/>
          <w:szCs w:val="24"/>
        </w:rPr>
        <w:t xml:space="preserve">el </w:t>
      </w:r>
      <w:r w:rsidR="0010187C">
        <w:rPr>
          <w:rFonts w:ascii="Arial" w:hAnsi="Arial" w:cs="Arial"/>
          <w:szCs w:val="24"/>
        </w:rPr>
        <w:t>24/12/1960</w:t>
      </w:r>
      <w:r w:rsidR="00F45EA3">
        <w:rPr>
          <w:rFonts w:ascii="Arial" w:hAnsi="Arial" w:cs="Arial"/>
          <w:szCs w:val="24"/>
        </w:rPr>
        <w:t xml:space="preserve">; (ii) </w:t>
      </w:r>
      <w:r w:rsidR="0010187C">
        <w:rPr>
          <w:rFonts w:ascii="Arial" w:hAnsi="Arial" w:cs="Arial"/>
          <w:szCs w:val="24"/>
        </w:rPr>
        <w:t>empezó su  vida laboral del 04/09/1986 en la Contraloría de Cundinamarca</w:t>
      </w:r>
      <w:r w:rsidR="00B12D9F">
        <w:rPr>
          <w:rFonts w:ascii="Arial" w:hAnsi="Arial" w:cs="Arial"/>
          <w:szCs w:val="24"/>
        </w:rPr>
        <w:t>, fecha en la que se vinculó al ISS –sic- donde cotizó hasta el 30/09/1995 –sic-, dado que a partir del siguiente se trasladó al Porvenir S.A.</w:t>
      </w:r>
    </w:p>
    <w:p w:rsidR="00B12D9F" w:rsidRDefault="00B12D9F" w:rsidP="005920A9">
      <w:pPr>
        <w:spacing w:line="276" w:lineRule="auto"/>
        <w:contextualSpacing/>
        <w:jc w:val="both"/>
        <w:rPr>
          <w:rFonts w:ascii="Arial" w:hAnsi="Arial" w:cs="Arial"/>
          <w:szCs w:val="24"/>
        </w:rPr>
      </w:pPr>
    </w:p>
    <w:p w:rsidR="008A037D" w:rsidRDefault="00F45EA3" w:rsidP="005920A9">
      <w:pPr>
        <w:spacing w:line="276" w:lineRule="auto"/>
        <w:contextualSpacing/>
        <w:jc w:val="both"/>
        <w:rPr>
          <w:rFonts w:ascii="Arial" w:hAnsi="Arial" w:cs="Arial"/>
          <w:szCs w:val="24"/>
        </w:rPr>
      </w:pPr>
      <w:r>
        <w:rPr>
          <w:rFonts w:ascii="Arial" w:hAnsi="Arial" w:cs="Arial"/>
          <w:szCs w:val="24"/>
        </w:rPr>
        <w:t>(iii)</w:t>
      </w:r>
      <w:r w:rsidR="00B12D9F">
        <w:rPr>
          <w:rFonts w:ascii="Arial" w:hAnsi="Arial" w:cs="Arial"/>
          <w:szCs w:val="24"/>
        </w:rPr>
        <w:t xml:space="preserve"> El asesor de la AFP le prometió la posibilidad de pensionarse anticipadamente, sin mencionarle que debía</w:t>
      </w:r>
      <w:r w:rsidR="005133F7">
        <w:rPr>
          <w:rFonts w:ascii="Arial" w:hAnsi="Arial" w:cs="Arial"/>
          <w:szCs w:val="24"/>
        </w:rPr>
        <w:t xml:space="preserve"> contar con determinado capital;</w:t>
      </w:r>
      <w:r w:rsidR="00B12D9F">
        <w:rPr>
          <w:rFonts w:ascii="Arial" w:hAnsi="Arial" w:cs="Arial"/>
          <w:szCs w:val="24"/>
        </w:rPr>
        <w:t xml:space="preserve"> asimismo le indicó que el ISS iba a desaparecer, que la pensión podía ser heredada a familiares, que podía solicitar la devolución del capital sino quería pensionarse</w:t>
      </w:r>
      <w:r w:rsidR="00BF767D">
        <w:rPr>
          <w:rFonts w:ascii="Arial" w:hAnsi="Arial" w:cs="Arial"/>
          <w:szCs w:val="24"/>
        </w:rPr>
        <w:t>, que la mesada pensional sería superior en el RAIS frente a la del ISS, lo que se hizo sin contar con una proyección</w:t>
      </w:r>
      <w:r w:rsidR="005133F7">
        <w:rPr>
          <w:rFonts w:ascii="Arial" w:hAnsi="Arial" w:cs="Arial"/>
          <w:szCs w:val="24"/>
        </w:rPr>
        <w:t xml:space="preserve"> y</w:t>
      </w:r>
      <w:r w:rsidR="00605817">
        <w:rPr>
          <w:rFonts w:ascii="Arial" w:hAnsi="Arial" w:cs="Arial"/>
          <w:szCs w:val="24"/>
        </w:rPr>
        <w:t xml:space="preserve"> no le informó que el plazo máximo para retornar al ISS era antes de cumplir los 47 años de edad.</w:t>
      </w:r>
    </w:p>
    <w:p w:rsidR="00BF767D" w:rsidRDefault="00BF767D" w:rsidP="005920A9">
      <w:pPr>
        <w:spacing w:line="276" w:lineRule="auto"/>
        <w:contextualSpacing/>
        <w:jc w:val="both"/>
        <w:rPr>
          <w:rFonts w:ascii="Arial" w:hAnsi="Arial" w:cs="Arial"/>
          <w:szCs w:val="24"/>
        </w:rPr>
      </w:pPr>
    </w:p>
    <w:p w:rsidR="00BF767D" w:rsidRDefault="00BF767D" w:rsidP="005920A9">
      <w:pPr>
        <w:spacing w:line="276" w:lineRule="auto"/>
        <w:contextualSpacing/>
        <w:jc w:val="both"/>
        <w:rPr>
          <w:rFonts w:ascii="Arial" w:hAnsi="Arial" w:cs="Arial"/>
          <w:szCs w:val="24"/>
        </w:rPr>
      </w:pPr>
      <w:r>
        <w:rPr>
          <w:rFonts w:ascii="Arial" w:hAnsi="Arial" w:cs="Arial"/>
          <w:szCs w:val="24"/>
        </w:rPr>
        <w:t>(iv) Dicha información fue</w:t>
      </w:r>
      <w:r w:rsidR="005133F7">
        <w:rPr>
          <w:rFonts w:ascii="Arial" w:hAnsi="Arial" w:cs="Arial"/>
          <w:szCs w:val="24"/>
        </w:rPr>
        <w:t xml:space="preserve"> nefasta, engañosa e incompleta</w:t>
      </w:r>
      <w:r>
        <w:rPr>
          <w:rFonts w:ascii="Arial" w:hAnsi="Arial" w:cs="Arial"/>
          <w:szCs w:val="24"/>
        </w:rPr>
        <w:t xml:space="preserve"> por lo que se le indujo a error y por lo tanto, </w:t>
      </w:r>
      <w:r w:rsidR="00E700C3">
        <w:rPr>
          <w:rFonts w:ascii="Arial" w:hAnsi="Arial" w:cs="Arial"/>
          <w:szCs w:val="24"/>
        </w:rPr>
        <w:t xml:space="preserve">su </w:t>
      </w:r>
      <w:r>
        <w:rPr>
          <w:rFonts w:ascii="Arial" w:hAnsi="Arial" w:cs="Arial"/>
          <w:szCs w:val="24"/>
        </w:rPr>
        <w:t>consentimiento en el acto de traslado</w:t>
      </w:r>
      <w:r w:rsidR="00E700C3">
        <w:rPr>
          <w:rFonts w:ascii="Arial" w:hAnsi="Arial" w:cs="Arial"/>
          <w:szCs w:val="24"/>
        </w:rPr>
        <w:t xml:space="preserve"> </w:t>
      </w:r>
      <w:r w:rsidR="005133F7">
        <w:rPr>
          <w:rFonts w:ascii="Arial" w:hAnsi="Arial" w:cs="Arial"/>
          <w:szCs w:val="24"/>
        </w:rPr>
        <w:t>está</w:t>
      </w:r>
      <w:r w:rsidR="00E700C3">
        <w:rPr>
          <w:rFonts w:ascii="Arial" w:hAnsi="Arial" w:cs="Arial"/>
          <w:szCs w:val="24"/>
        </w:rPr>
        <w:t xml:space="preserve"> viciado.</w:t>
      </w:r>
    </w:p>
    <w:p w:rsidR="00B12D9F" w:rsidRDefault="00B12D9F" w:rsidP="005920A9">
      <w:pPr>
        <w:spacing w:line="276" w:lineRule="auto"/>
        <w:contextualSpacing/>
        <w:jc w:val="both"/>
        <w:rPr>
          <w:rFonts w:ascii="Arial" w:hAnsi="Arial" w:cs="Arial"/>
          <w:szCs w:val="24"/>
        </w:rPr>
      </w:pPr>
    </w:p>
    <w:p w:rsidR="008A037D" w:rsidRDefault="008A037D" w:rsidP="005920A9">
      <w:pPr>
        <w:spacing w:line="276" w:lineRule="auto"/>
        <w:contextualSpacing/>
        <w:jc w:val="both"/>
        <w:rPr>
          <w:rFonts w:ascii="Arial" w:hAnsi="Arial" w:cs="Arial"/>
          <w:szCs w:val="24"/>
        </w:rPr>
      </w:pPr>
      <w:r>
        <w:rPr>
          <w:rFonts w:ascii="Arial" w:hAnsi="Arial" w:cs="Arial"/>
          <w:szCs w:val="24"/>
        </w:rPr>
        <w:t>(v) No se le suministró información suficiente y adecuada sobre las ventajas y desventajas del traslado, ni de la edad o saldo de la cuenta individual para obtener la pensión anticipada de vejez y mucho menos se le realizó un paralelo aproximado de la mesada pensional entre uno y otro régimen; lo que demuestra que la AFP incumplió con su deber de información</w:t>
      </w:r>
      <w:r w:rsidR="00BF767D">
        <w:rPr>
          <w:rFonts w:ascii="Arial" w:hAnsi="Arial" w:cs="Arial"/>
          <w:szCs w:val="24"/>
        </w:rPr>
        <w:t>.</w:t>
      </w:r>
    </w:p>
    <w:p w:rsidR="008A037D" w:rsidRDefault="008A037D" w:rsidP="005920A9">
      <w:pPr>
        <w:spacing w:line="276" w:lineRule="auto"/>
        <w:contextualSpacing/>
        <w:jc w:val="both"/>
        <w:rPr>
          <w:rFonts w:ascii="Arial" w:hAnsi="Arial" w:cs="Arial"/>
          <w:szCs w:val="24"/>
        </w:rPr>
      </w:pPr>
    </w:p>
    <w:p w:rsidR="008A037D" w:rsidRDefault="008A037D" w:rsidP="005920A9">
      <w:pPr>
        <w:spacing w:line="276" w:lineRule="auto"/>
        <w:contextualSpacing/>
        <w:jc w:val="both"/>
        <w:rPr>
          <w:rFonts w:ascii="Arial" w:hAnsi="Arial" w:cs="Arial"/>
          <w:szCs w:val="24"/>
        </w:rPr>
      </w:pPr>
      <w:r>
        <w:rPr>
          <w:rFonts w:ascii="Arial" w:hAnsi="Arial" w:cs="Arial"/>
          <w:szCs w:val="24"/>
        </w:rPr>
        <w:lastRenderedPageBreak/>
        <w:t xml:space="preserve">(vi) </w:t>
      </w:r>
      <w:r w:rsidR="00BF767D">
        <w:rPr>
          <w:rFonts w:ascii="Arial" w:hAnsi="Arial" w:cs="Arial"/>
          <w:szCs w:val="24"/>
        </w:rPr>
        <w:t>Aunque no es beneficiaria del régimen de transición, dado el monto de su capital acumulado en el RAIS solo tendría derecho a una devolución de saldos, mientras que en Colpensiones tendría una pensión de $1´823.305,66</w:t>
      </w:r>
    </w:p>
    <w:p w:rsidR="008A037D" w:rsidRDefault="008A037D" w:rsidP="005920A9">
      <w:pPr>
        <w:spacing w:line="276" w:lineRule="auto"/>
        <w:contextualSpacing/>
        <w:jc w:val="both"/>
        <w:rPr>
          <w:rFonts w:ascii="Arial" w:hAnsi="Arial" w:cs="Arial"/>
          <w:szCs w:val="24"/>
        </w:rPr>
      </w:pPr>
    </w:p>
    <w:p w:rsidR="00BF767D" w:rsidRDefault="008A037D" w:rsidP="005920A9">
      <w:pPr>
        <w:spacing w:line="276" w:lineRule="auto"/>
        <w:contextualSpacing/>
        <w:jc w:val="both"/>
        <w:rPr>
          <w:rFonts w:ascii="Arial" w:hAnsi="Arial" w:cs="Arial"/>
          <w:szCs w:val="24"/>
        </w:rPr>
      </w:pPr>
      <w:r>
        <w:rPr>
          <w:rFonts w:ascii="Arial" w:hAnsi="Arial" w:cs="Arial"/>
          <w:szCs w:val="24"/>
        </w:rPr>
        <w:t xml:space="preserve">(viii) El </w:t>
      </w:r>
      <w:r w:rsidR="00BF767D">
        <w:rPr>
          <w:rFonts w:ascii="Arial" w:hAnsi="Arial" w:cs="Arial"/>
          <w:szCs w:val="24"/>
        </w:rPr>
        <w:t xml:space="preserve">26/07/2017 </w:t>
      </w:r>
      <w:r>
        <w:rPr>
          <w:rFonts w:ascii="Arial" w:hAnsi="Arial" w:cs="Arial"/>
          <w:szCs w:val="24"/>
        </w:rPr>
        <w:t>solicitó a</w:t>
      </w:r>
      <w:r w:rsidR="00BF767D">
        <w:rPr>
          <w:rFonts w:ascii="Arial" w:hAnsi="Arial" w:cs="Arial"/>
          <w:szCs w:val="24"/>
        </w:rPr>
        <w:t xml:space="preserve"> Colpensiones el traslado, pero se le negó por faltarle menos de 10 años para cumplir la edad para pensionarse; (</w:t>
      </w:r>
      <w:r w:rsidR="00940441">
        <w:rPr>
          <w:rFonts w:ascii="Arial" w:hAnsi="Arial" w:cs="Arial"/>
          <w:szCs w:val="24"/>
        </w:rPr>
        <w:t xml:space="preserve">ix) </w:t>
      </w:r>
      <w:r w:rsidR="00BF767D">
        <w:rPr>
          <w:rFonts w:ascii="Arial" w:hAnsi="Arial" w:cs="Arial"/>
          <w:szCs w:val="24"/>
        </w:rPr>
        <w:t>el 28/06/2017 solicitó a Porvenir S.A. la proyección pensional efectuada al momento de la vinculación a ese fondo y constancia de la información documentada que se le suministró, sin que le fuera entregado algún documento.</w:t>
      </w:r>
    </w:p>
    <w:p w:rsidR="00BF767D" w:rsidRDefault="00BF767D" w:rsidP="005920A9">
      <w:pPr>
        <w:spacing w:line="276" w:lineRule="auto"/>
        <w:contextualSpacing/>
        <w:jc w:val="both"/>
        <w:rPr>
          <w:rFonts w:ascii="Arial" w:hAnsi="Arial" w:cs="Arial"/>
          <w:szCs w:val="24"/>
        </w:rPr>
      </w:pPr>
    </w:p>
    <w:p w:rsidR="008A037D" w:rsidRDefault="00605817" w:rsidP="005920A9">
      <w:pPr>
        <w:spacing w:line="276" w:lineRule="auto"/>
        <w:contextualSpacing/>
        <w:jc w:val="both"/>
        <w:rPr>
          <w:rFonts w:ascii="Arial" w:hAnsi="Arial" w:cs="Arial"/>
          <w:szCs w:val="24"/>
        </w:rPr>
      </w:pPr>
      <w:r>
        <w:rPr>
          <w:rFonts w:ascii="Arial" w:hAnsi="Arial" w:cs="Arial"/>
          <w:szCs w:val="24"/>
        </w:rPr>
        <w:t>(x) Al 16/06/2017 acumula en su cuenta de ahorro individu</w:t>
      </w:r>
      <w:r w:rsidR="005133F7">
        <w:rPr>
          <w:rFonts w:ascii="Arial" w:hAnsi="Arial" w:cs="Arial"/>
          <w:szCs w:val="24"/>
        </w:rPr>
        <w:t>al la suma de $147´460.437.</w:t>
      </w:r>
    </w:p>
    <w:p w:rsidR="00940441" w:rsidRDefault="00940441" w:rsidP="005920A9">
      <w:pPr>
        <w:spacing w:line="276" w:lineRule="auto"/>
        <w:contextualSpacing/>
        <w:jc w:val="both"/>
        <w:rPr>
          <w:rFonts w:ascii="Arial" w:hAnsi="Arial" w:cs="Arial"/>
          <w:szCs w:val="24"/>
        </w:rPr>
      </w:pPr>
    </w:p>
    <w:p w:rsidR="00D636F8" w:rsidRDefault="00616117" w:rsidP="005920A9">
      <w:pPr>
        <w:spacing w:line="276" w:lineRule="auto"/>
        <w:contextualSpacing/>
        <w:jc w:val="both"/>
        <w:rPr>
          <w:rFonts w:ascii="Arial" w:hAnsi="Arial" w:cs="Arial"/>
          <w:szCs w:val="24"/>
        </w:rPr>
      </w:pPr>
      <w:r>
        <w:rPr>
          <w:rFonts w:ascii="Arial" w:hAnsi="Arial" w:cs="Arial"/>
          <w:szCs w:val="24"/>
        </w:rPr>
        <w:t>L</w:t>
      </w:r>
      <w:r w:rsidR="00D636F8" w:rsidRPr="008E0CBF">
        <w:rPr>
          <w:rFonts w:ascii="Arial" w:hAnsi="Arial" w:cs="Arial"/>
          <w:szCs w:val="24"/>
        </w:rPr>
        <w:t xml:space="preserve">a </w:t>
      </w:r>
      <w:r w:rsidR="00D636F8" w:rsidRPr="008E0CBF">
        <w:rPr>
          <w:rFonts w:ascii="Arial" w:hAnsi="Arial" w:cs="Arial"/>
          <w:b/>
          <w:szCs w:val="24"/>
        </w:rPr>
        <w:t>Administradora Colombiana de Pensiones –COLPENSIONES-,</w:t>
      </w:r>
      <w:r w:rsidR="00F25980">
        <w:rPr>
          <w:rFonts w:ascii="Arial" w:hAnsi="Arial" w:cs="Arial"/>
          <w:b/>
          <w:szCs w:val="24"/>
        </w:rPr>
        <w:t xml:space="preserve"> </w:t>
      </w:r>
      <w:r w:rsidR="00403EFC">
        <w:rPr>
          <w:rFonts w:ascii="Arial" w:hAnsi="Arial" w:cs="Arial"/>
          <w:szCs w:val="24"/>
        </w:rPr>
        <w:t>se opus</w:t>
      </w:r>
      <w:r w:rsidR="009E77ED">
        <w:rPr>
          <w:rFonts w:ascii="Arial" w:hAnsi="Arial" w:cs="Arial"/>
          <w:szCs w:val="24"/>
        </w:rPr>
        <w:t>o a l</w:t>
      </w:r>
      <w:r w:rsidR="0074378E">
        <w:rPr>
          <w:rFonts w:ascii="Arial" w:hAnsi="Arial" w:cs="Arial"/>
          <w:szCs w:val="24"/>
        </w:rPr>
        <w:t>as pretensiones de la demanda e indicó que revisada la historia laboral de la actora se observa que presenta un traslado aprobado del ISS –hoy Colpensiones- al RAIS administrado por Porvenir S.A. en el mes de octubre de 1995, el cual goza de plena validez</w:t>
      </w:r>
      <w:r w:rsidR="009E77ED">
        <w:rPr>
          <w:rFonts w:ascii="Arial" w:hAnsi="Arial" w:cs="Arial"/>
          <w:szCs w:val="24"/>
        </w:rPr>
        <w:t xml:space="preserve">. Interpuso </w:t>
      </w:r>
      <w:r w:rsidR="00F25980">
        <w:rPr>
          <w:rFonts w:ascii="Arial" w:hAnsi="Arial" w:cs="Arial"/>
          <w:szCs w:val="24"/>
        </w:rPr>
        <w:t xml:space="preserve">como excepciones </w:t>
      </w:r>
      <w:r w:rsidR="00D636F8" w:rsidRPr="00641218">
        <w:rPr>
          <w:rFonts w:ascii="Arial" w:hAnsi="Arial" w:cs="Arial"/>
          <w:szCs w:val="24"/>
        </w:rPr>
        <w:t xml:space="preserve">de mérito </w:t>
      </w:r>
      <w:r w:rsidR="00F25980">
        <w:rPr>
          <w:rFonts w:ascii="Arial" w:hAnsi="Arial" w:cs="Arial"/>
          <w:szCs w:val="24"/>
        </w:rPr>
        <w:t xml:space="preserve">las </w:t>
      </w:r>
      <w:r w:rsidR="00D636F8" w:rsidRPr="00641218">
        <w:rPr>
          <w:rFonts w:ascii="Arial" w:hAnsi="Arial" w:cs="Arial"/>
          <w:szCs w:val="24"/>
        </w:rPr>
        <w:t xml:space="preserve">que denominó </w:t>
      </w:r>
      <w:r w:rsidR="0005728F">
        <w:rPr>
          <w:rFonts w:ascii="Arial" w:hAnsi="Arial" w:cs="Arial"/>
          <w:szCs w:val="24"/>
        </w:rPr>
        <w:t>“Inexistencia de la obligación</w:t>
      </w:r>
      <w:r w:rsidR="0074378E">
        <w:rPr>
          <w:rFonts w:ascii="Arial" w:hAnsi="Arial" w:cs="Arial"/>
          <w:szCs w:val="24"/>
        </w:rPr>
        <w:t xml:space="preserve"> demanda</w:t>
      </w:r>
      <w:r w:rsidR="005133F7">
        <w:rPr>
          <w:rFonts w:ascii="Arial" w:hAnsi="Arial" w:cs="Arial"/>
          <w:szCs w:val="24"/>
        </w:rPr>
        <w:t>da</w:t>
      </w:r>
      <w:r w:rsidR="00445BE4">
        <w:rPr>
          <w:rFonts w:ascii="Arial" w:hAnsi="Arial" w:cs="Arial"/>
          <w:szCs w:val="24"/>
        </w:rPr>
        <w:t>”</w:t>
      </w:r>
      <w:r w:rsidR="009E77ED">
        <w:rPr>
          <w:rFonts w:ascii="Arial" w:hAnsi="Arial" w:cs="Arial"/>
          <w:szCs w:val="24"/>
        </w:rPr>
        <w:t xml:space="preserve"> y </w:t>
      </w:r>
      <w:r w:rsidR="00211DFE">
        <w:rPr>
          <w:rFonts w:ascii="Arial" w:hAnsi="Arial" w:cs="Arial"/>
          <w:szCs w:val="24"/>
        </w:rPr>
        <w:t>“</w:t>
      </w:r>
      <w:r w:rsidR="00590F19">
        <w:rPr>
          <w:rFonts w:ascii="Arial" w:hAnsi="Arial" w:cs="Arial"/>
          <w:szCs w:val="24"/>
        </w:rPr>
        <w:t>Prescripción</w:t>
      </w:r>
      <w:r w:rsidR="00211DFE">
        <w:rPr>
          <w:rFonts w:ascii="Arial" w:hAnsi="Arial" w:cs="Arial"/>
          <w:szCs w:val="24"/>
        </w:rPr>
        <w:t>”.</w:t>
      </w:r>
    </w:p>
    <w:p w:rsidR="00F6330B" w:rsidRDefault="00F6330B" w:rsidP="005920A9">
      <w:pPr>
        <w:spacing w:line="276" w:lineRule="auto"/>
        <w:contextualSpacing/>
        <w:jc w:val="both"/>
        <w:rPr>
          <w:rFonts w:ascii="Arial" w:hAnsi="Arial" w:cs="Arial"/>
          <w:szCs w:val="24"/>
        </w:rPr>
      </w:pPr>
    </w:p>
    <w:p w:rsidR="00D636F8" w:rsidRDefault="00D636F8" w:rsidP="005920A9">
      <w:pPr>
        <w:spacing w:line="276" w:lineRule="auto"/>
        <w:contextualSpacing/>
        <w:jc w:val="both"/>
        <w:rPr>
          <w:rFonts w:ascii="Arial" w:hAnsi="Arial" w:cs="Arial"/>
          <w:szCs w:val="24"/>
        </w:rPr>
      </w:pPr>
    </w:p>
    <w:p w:rsidR="00263801" w:rsidRDefault="00D636F8" w:rsidP="00414CA5">
      <w:pPr>
        <w:spacing w:line="276" w:lineRule="auto"/>
        <w:contextualSpacing/>
        <w:jc w:val="both"/>
        <w:rPr>
          <w:rFonts w:ascii="Arial" w:hAnsi="Arial" w:cs="Arial"/>
          <w:szCs w:val="24"/>
        </w:rPr>
      </w:pPr>
      <w:r>
        <w:rPr>
          <w:rFonts w:ascii="Arial" w:hAnsi="Arial" w:cs="Arial"/>
          <w:szCs w:val="24"/>
        </w:rPr>
        <w:t>Por su parte</w:t>
      </w:r>
      <w:r w:rsidR="00081A2D">
        <w:rPr>
          <w:rFonts w:ascii="Arial" w:hAnsi="Arial" w:cs="Arial"/>
          <w:szCs w:val="24"/>
        </w:rPr>
        <w:t>,</w:t>
      </w:r>
      <w:r>
        <w:rPr>
          <w:rFonts w:ascii="Arial" w:hAnsi="Arial" w:cs="Arial"/>
          <w:szCs w:val="24"/>
        </w:rPr>
        <w:t xml:space="preserve"> </w:t>
      </w:r>
      <w:r w:rsidR="00AE137A">
        <w:rPr>
          <w:rFonts w:ascii="Arial" w:hAnsi="Arial" w:cs="Arial"/>
          <w:szCs w:val="24"/>
        </w:rPr>
        <w:t xml:space="preserve">la </w:t>
      </w:r>
      <w:r w:rsidR="00AE137A" w:rsidRPr="00AE137A">
        <w:rPr>
          <w:rFonts w:ascii="Arial" w:hAnsi="Arial" w:cs="Arial"/>
          <w:b/>
          <w:szCs w:val="24"/>
        </w:rPr>
        <w:t>Sociedad Administradora de Fondos de Pensiones y Cesantías</w:t>
      </w:r>
      <w:r w:rsidR="00AE137A">
        <w:rPr>
          <w:rFonts w:ascii="Arial" w:hAnsi="Arial" w:cs="Arial"/>
          <w:szCs w:val="24"/>
        </w:rPr>
        <w:t xml:space="preserve"> </w:t>
      </w:r>
      <w:r w:rsidR="00AE137A">
        <w:rPr>
          <w:rFonts w:ascii="Arial" w:hAnsi="Arial" w:cs="Arial"/>
          <w:b/>
          <w:szCs w:val="24"/>
        </w:rPr>
        <w:t xml:space="preserve">Porvenir </w:t>
      </w:r>
      <w:proofErr w:type="spellStart"/>
      <w:r w:rsidRPr="00532914">
        <w:rPr>
          <w:rFonts w:ascii="Arial" w:hAnsi="Arial" w:cs="Arial"/>
          <w:b/>
          <w:szCs w:val="24"/>
        </w:rPr>
        <w:t>S.A</w:t>
      </w:r>
      <w:proofErr w:type="spellEnd"/>
      <w:r>
        <w:rPr>
          <w:rFonts w:ascii="Arial" w:hAnsi="Arial" w:cs="Arial"/>
          <w:szCs w:val="24"/>
        </w:rPr>
        <w:t>, se opuso</w:t>
      </w:r>
      <w:r w:rsidR="00081A2D">
        <w:rPr>
          <w:rFonts w:ascii="Arial" w:hAnsi="Arial" w:cs="Arial"/>
          <w:szCs w:val="24"/>
        </w:rPr>
        <w:t xml:space="preserve"> a los pedimentos de la demanda </w:t>
      </w:r>
      <w:r w:rsidR="00FF1239">
        <w:rPr>
          <w:rFonts w:ascii="Arial" w:hAnsi="Arial" w:cs="Arial"/>
          <w:szCs w:val="24"/>
        </w:rPr>
        <w:t>al considerar que</w:t>
      </w:r>
      <w:r w:rsidR="00F708E2">
        <w:rPr>
          <w:rFonts w:ascii="Arial" w:hAnsi="Arial" w:cs="Arial"/>
          <w:szCs w:val="24"/>
        </w:rPr>
        <w:t xml:space="preserve"> </w:t>
      </w:r>
      <w:r w:rsidR="00746921">
        <w:rPr>
          <w:rFonts w:ascii="Arial" w:hAnsi="Arial" w:cs="Arial"/>
          <w:szCs w:val="24"/>
        </w:rPr>
        <w:t xml:space="preserve">el acto de </w:t>
      </w:r>
      <w:r w:rsidR="00F708E2">
        <w:rPr>
          <w:rFonts w:ascii="Arial" w:hAnsi="Arial" w:cs="Arial"/>
          <w:szCs w:val="24"/>
        </w:rPr>
        <w:t>afiliación de</w:t>
      </w:r>
      <w:r w:rsidR="00746921">
        <w:rPr>
          <w:rFonts w:ascii="Arial" w:hAnsi="Arial" w:cs="Arial"/>
          <w:szCs w:val="24"/>
        </w:rPr>
        <w:t xml:space="preserve"> </w:t>
      </w:r>
      <w:r w:rsidR="00F708E2">
        <w:rPr>
          <w:rFonts w:ascii="Arial" w:hAnsi="Arial" w:cs="Arial"/>
          <w:szCs w:val="24"/>
        </w:rPr>
        <w:t>l</w:t>
      </w:r>
      <w:r w:rsidR="00746921">
        <w:rPr>
          <w:rFonts w:ascii="Arial" w:hAnsi="Arial" w:cs="Arial"/>
          <w:szCs w:val="24"/>
        </w:rPr>
        <w:t>a</w:t>
      </w:r>
      <w:r w:rsidR="00F708E2">
        <w:rPr>
          <w:rFonts w:ascii="Arial" w:hAnsi="Arial" w:cs="Arial"/>
          <w:szCs w:val="24"/>
        </w:rPr>
        <w:t xml:space="preserve"> actor</w:t>
      </w:r>
      <w:r w:rsidR="00C43420">
        <w:rPr>
          <w:rFonts w:ascii="Arial" w:hAnsi="Arial" w:cs="Arial"/>
          <w:szCs w:val="24"/>
        </w:rPr>
        <w:t>a</w:t>
      </w:r>
      <w:r w:rsidR="00F708E2">
        <w:rPr>
          <w:rFonts w:ascii="Arial" w:hAnsi="Arial" w:cs="Arial"/>
          <w:szCs w:val="24"/>
        </w:rPr>
        <w:t xml:space="preserve"> </w:t>
      </w:r>
      <w:r w:rsidR="0005728F">
        <w:rPr>
          <w:rFonts w:ascii="Arial" w:hAnsi="Arial" w:cs="Arial"/>
          <w:szCs w:val="24"/>
        </w:rPr>
        <w:t>al RAIS</w:t>
      </w:r>
      <w:r w:rsidR="007500FC">
        <w:rPr>
          <w:rFonts w:ascii="Arial" w:hAnsi="Arial" w:cs="Arial"/>
          <w:szCs w:val="24"/>
        </w:rPr>
        <w:t xml:space="preserve"> fue libre y voluntario y en el formulario de vinculación se hizo constar bajo la gravedad de juramento que entendía las condiciones establecidas en el anverso y reverso del mismo, el que por demás cuenta con los requisitos mínimos establecidos en el artículo 11 del Decreto 692/94 y además no ejerció su derecho de retracto. Resaltó la permanencia en el régimen por </w:t>
      </w:r>
      <w:r w:rsidR="00F6330B">
        <w:rPr>
          <w:rFonts w:ascii="Arial" w:hAnsi="Arial" w:cs="Arial"/>
          <w:szCs w:val="24"/>
        </w:rPr>
        <w:t>más</w:t>
      </w:r>
      <w:r w:rsidR="007500FC">
        <w:rPr>
          <w:rFonts w:ascii="Arial" w:hAnsi="Arial" w:cs="Arial"/>
          <w:szCs w:val="24"/>
        </w:rPr>
        <w:t xml:space="preserve"> de 21 años y el traslado entre administradoras del mismo</w:t>
      </w:r>
      <w:r w:rsidR="008D711D">
        <w:rPr>
          <w:rFonts w:ascii="Arial" w:hAnsi="Arial" w:cs="Arial"/>
          <w:szCs w:val="24"/>
        </w:rPr>
        <w:t xml:space="preserve">. </w:t>
      </w:r>
      <w:r w:rsidR="00247617">
        <w:rPr>
          <w:rFonts w:ascii="Arial" w:hAnsi="Arial" w:cs="Arial"/>
          <w:szCs w:val="24"/>
        </w:rPr>
        <w:t>Finalmente, precisó que la parte actora no acredita la ocurrencia de algún vicio del consentimiento.</w:t>
      </w:r>
    </w:p>
    <w:p w:rsidR="00247617" w:rsidRDefault="00247617" w:rsidP="00414CA5">
      <w:pPr>
        <w:spacing w:line="276" w:lineRule="auto"/>
        <w:contextualSpacing/>
        <w:jc w:val="both"/>
        <w:rPr>
          <w:rFonts w:ascii="Arial" w:hAnsi="Arial" w:cs="Arial"/>
          <w:szCs w:val="24"/>
        </w:rPr>
      </w:pPr>
    </w:p>
    <w:p w:rsidR="003E3709" w:rsidRDefault="00282D5F" w:rsidP="003E3709">
      <w:pPr>
        <w:spacing w:line="276" w:lineRule="auto"/>
        <w:contextualSpacing/>
        <w:jc w:val="both"/>
        <w:rPr>
          <w:rFonts w:ascii="Arial" w:hAnsi="Arial" w:cs="Arial"/>
          <w:szCs w:val="24"/>
        </w:rPr>
      </w:pPr>
      <w:r>
        <w:rPr>
          <w:rFonts w:ascii="Arial" w:hAnsi="Arial" w:cs="Arial"/>
          <w:szCs w:val="24"/>
        </w:rPr>
        <w:t>Interpuso como excepciones de mérito las que denominó</w:t>
      </w:r>
      <w:r w:rsidR="00263801">
        <w:rPr>
          <w:rFonts w:ascii="Arial" w:hAnsi="Arial" w:cs="Arial"/>
          <w:szCs w:val="24"/>
        </w:rPr>
        <w:t xml:space="preserve">: “Validez de la afiliación a Porvenir e inexistencia de vicios en el consentimiento”, “Saneamiento de la supuesta nulidad relativa”, “Prescripción”, “Buena fe” y la “Innominada o </w:t>
      </w:r>
      <w:r w:rsidR="003E3709">
        <w:rPr>
          <w:rFonts w:ascii="Arial" w:hAnsi="Arial" w:cs="Arial"/>
          <w:szCs w:val="24"/>
        </w:rPr>
        <w:t>Genérica”</w:t>
      </w:r>
      <w:r w:rsidR="00263801">
        <w:rPr>
          <w:rFonts w:ascii="Arial" w:hAnsi="Arial" w:cs="Arial"/>
          <w:szCs w:val="24"/>
        </w:rPr>
        <w:t>.</w:t>
      </w:r>
      <w:r w:rsidR="003E3709">
        <w:rPr>
          <w:rFonts w:ascii="Arial" w:hAnsi="Arial" w:cs="Arial"/>
          <w:szCs w:val="24"/>
        </w:rPr>
        <w:t xml:space="preserve"> </w:t>
      </w:r>
    </w:p>
    <w:p w:rsidR="00F6330B" w:rsidRDefault="00F6330B" w:rsidP="003E3709">
      <w:pPr>
        <w:spacing w:line="276" w:lineRule="auto"/>
        <w:contextualSpacing/>
        <w:jc w:val="both"/>
        <w:rPr>
          <w:rFonts w:ascii="Arial" w:hAnsi="Arial" w:cs="Arial"/>
          <w:szCs w:val="24"/>
        </w:rPr>
      </w:pPr>
    </w:p>
    <w:p w:rsidR="003E3709" w:rsidRDefault="003E3709" w:rsidP="003E3709">
      <w:pPr>
        <w:spacing w:line="276" w:lineRule="auto"/>
        <w:contextualSpacing/>
        <w:jc w:val="both"/>
        <w:rPr>
          <w:rFonts w:ascii="Arial" w:hAnsi="Arial" w:cs="Arial"/>
          <w:szCs w:val="24"/>
        </w:rPr>
      </w:pPr>
    </w:p>
    <w:p w:rsidR="00D636F8" w:rsidRDefault="00B15207" w:rsidP="003E3709">
      <w:pPr>
        <w:spacing w:line="276" w:lineRule="auto"/>
        <w:contextualSpacing/>
        <w:jc w:val="both"/>
        <w:rPr>
          <w:rFonts w:ascii="Arial" w:hAnsi="Arial" w:cs="Arial"/>
          <w:b/>
          <w:szCs w:val="24"/>
        </w:rPr>
      </w:pPr>
      <w:r>
        <w:rPr>
          <w:rFonts w:ascii="Arial" w:hAnsi="Arial" w:cs="Arial"/>
          <w:b/>
          <w:szCs w:val="24"/>
        </w:rPr>
        <w:t xml:space="preserve">2. </w:t>
      </w:r>
      <w:r w:rsidR="00646A53">
        <w:rPr>
          <w:rFonts w:ascii="Arial" w:hAnsi="Arial" w:cs="Arial"/>
          <w:b/>
          <w:szCs w:val="24"/>
        </w:rPr>
        <w:t>Síntesis de la sentencia</w:t>
      </w:r>
      <w:r w:rsidR="00D95701">
        <w:rPr>
          <w:rFonts w:ascii="Arial" w:hAnsi="Arial" w:cs="Arial"/>
          <w:b/>
          <w:szCs w:val="24"/>
        </w:rPr>
        <w:t xml:space="preserve"> apelada</w:t>
      </w:r>
    </w:p>
    <w:p w:rsidR="00B15207" w:rsidRPr="00CB08DC" w:rsidRDefault="00B15207" w:rsidP="003E370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49271A">
        <w:rPr>
          <w:rFonts w:ascii="Arial" w:hAnsi="Arial" w:cs="Arial"/>
          <w:color w:val="000000"/>
          <w:szCs w:val="24"/>
          <w:lang w:eastAsia="es-CO"/>
        </w:rPr>
        <w:t xml:space="preserve">Tercero </w:t>
      </w:r>
      <w:r w:rsidRPr="008E0CBF">
        <w:rPr>
          <w:rFonts w:ascii="Arial" w:hAnsi="Arial" w:cs="Arial"/>
          <w:color w:val="000000"/>
          <w:szCs w:val="24"/>
          <w:lang w:eastAsia="es-CO"/>
        </w:rPr>
        <w:t xml:space="preserve">Laboral del Circuito de Pereira, </w:t>
      </w:r>
      <w:r w:rsidR="00B15207">
        <w:rPr>
          <w:rFonts w:ascii="Arial" w:hAnsi="Arial" w:cs="Arial"/>
          <w:color w:val="000000"/>
          <w:szCs w:val="24"/>
          <w:lang w:eastAsia="es-CO"/>
        </w:rPr>
        <w:t>negó las pretensiones de la demanda y cond</w:t>
      </w:r>
      <w:r w:rsidR="00E07CF0">
        <w:rPr>
          <w:rFonts w:ascii="Arial" w:hAnsi="Arial" w:cs="Arial"/>
          <w:color w:val="000000"/>
          <w:szCs w:val="24"/>
          <w:lang w:eastAsia="es-CO"/>
        </w:rPr>
        <w:t>enó en costas a la parte actora.</w:t>
      </w:r>
    </w:p>
    <w:p w:rsidR="00D636F8" w:rsidRDefault="00D636F8" w:rsidP="005920A9">
      <w:pPr>
        <w:spacing w:line="276" w:lineRule="auto"/>
        <w:contextualSpacing/>
        <w:jc w:val="both"/>
        <w:rPr>
          <w:rFonts w:ascii="Arial" w:hAnsi="Arial" w:cs="Arial"/>
          <w:color w:val="000000"/>
          <w:szCs w:val="24"/>
          <w:lang w:eastAsia="es-CO"/>
        </w:rPr>
      </w:pPr>
    </w:p>
    <w:p w:rsidR="00437E5A" w:rsidRDefault="0094350D" w:rsidP="00DA2457">
      <w:pPr>
        <w:spacing w:line="276" w:lineRule="auto"/>
        <w:jc w:val="both"/>
        <w:rPr>
          <w:rFonts w:ascii="Arial" w:hAnsi="Arial" w:cs="Arial"/>
          <w:szCs w:val="24"/>
          <w:lang w:eastAsia="es-CO"/>
        </w:rPr>
      </w:pPr>
      <w:r w:rsidRPr="00725C2C">
        <w:rPr>
          <w:rFonts w:ascii="Arial" w:hAnsi="Arial" w:cs="Arial"/>
          <w:szCs w:val="24"/>
          <w:lang w:eastAsia="es-CO"/>
        </w:rPr>
        <w:t xml:space="preserve">Para arribar a la anterior </w:t>
      </w:r>
      <w:r w:rsidR="00B15207" w:rsidRPr="00725C2C">
        <w:rPr>
          <w:rFonts w:ascii="Arial" w:hAnsi="Arial" w:cs="Arial"/>
          <w:szCs w:val="24"/>
          <w:lang w:eastAsia="es-CO"/>
        </w:rPr>
        <w:t>conclusi</w:t>
      </w:r>
      <w:r w:rsidR="00B15207">
        <w:rPr>
          <w:rFonts w:ascii="Arial" w:hAnsi="Arial" w:cs="Arial"/>
          <w:szCs w:val="24"/>
          <w:lang w:eastAsia="es-CO"/>
        </w:rPr>
        <w:t xml:space="preserve">ón, </w:t>
      </w:r>
      <w:r w:rsidR="006C049E">
        <w:rPr>
          <w:rFonts w:ascii="Arial" w:hAnsi="Arial" w:cs="Arial"/>
          <w:szCs w:val="24"/>
          <w:lang w:eastAsia="es-CO"/>
        </w:rPr>
        <w:t xml:space="preserve">indicó </w:t>
      </w:r>
      <w:r w:rsidR="00D07FC5">
        <w:rPr>
          <w:rFonts w:ascii="Arial" w:hAnsi="Arial" w:cs="Arial"/>
          <w:szCs w:val="24"/>
          <w:lang w:eastAsia="es-CO"/>
        </w:rPr>
        <w:t>que la actora no es beneficiaria del régimen de transición, por lo tanto, le correspondía acreditar que su consentimiento de traslado al RAIS estuvo viciado o que no estuvo precedido de la i</w:t>
      </w:r>
      <w:r w:rsidR="00C13114">
        <w:rPr>
          <w:rFonts w:ascii="Arial" w:hAnsi="Arial" w:cs="Arial"/>
          <w:szCs w:val="24"/>
          <w:lang w:eastAsia="es-CO"/>
        </w:rPr>
        <w:t>nformación suficiente para ello, cargo que incumplió.</w:t>
      </w:r>
    </w:p>
    <w:p w:rsidR="00C13114" w:rsidRDefault="00C13114" w:rsidP="00DA2457">
      <w:pPr>
        <w:spacing w:line="276" w:lineRule="auto"/>
        <w:jc w:val="both"/>
        <w:rPr>
          <w:rFonts w:ascii="Arial" w:hAnsi="Arial" w:cs="Arial"/>
          <w:szCs w:val="24"/>
          <w:lang w:eastAsia="es-CO"/>
        </w:rPr>
      </w:pPr>
    </w:p>
    <w:p w:rsidR="00C13114" w:rsidRDefault="00C13114" w:rsidP="00DA2457">
      <w:pPr>
        <w:spacing w:line="276" w:lineRule="auto"/>
        <w:jc w:val="both"/>
        <w:rPr>
          <w:rFonts w:ascii="Arial" w:hAnsi="Arial" w:cs="Arial"/>
          <w:szCs w:val="24"/>
          <w:lang w:val="es-CO" w:eastAsia="es-CO"/>
        </w:rPr>
      </w:pPr>
      <w:r>
        <w:rPr>
          <w:rFonts w:ascii="Arial" w:hAnsi="Arial" w:cs="Arial"/>
          <w:szCs w:val="24"/>
          <w:lang w:eastAsia="es-CO"/>
        </w:rPr>
        <w:t xml:space="preserve">Incluso, lo que se advierte es la voluntad de permanecer en el RAIS, al trasladarse en 3 ocasiones entre administradoras que lo integran, sin considerar en alguna </w:t>
      </w:r>
      <w:r>
        <w:rPr>
          <w:rFonts w:ascii="Arial" w:hAnsi="Arial" w:cs="Arial"/>
          <w:szCs w:val="24"/>
          <w:lang w:val="es-CO" w:eastAsia="es-CO"/>
        </w:rPr>
        <w:t xml:space="preserve">ocasión hacerlo al RPM, pese a que para la fecha del último traslado aún le hacían falta más de 10 años para cumplir la edad para pensionarse. </w:t>
      </w:r>
    </w:p>
    <w:p w:rsidR="00C13114" w:rsidRDefault="00C13114" w:rsidP="00DA2457">
      <w:pPr>
        <w:spacing w:line="276" w:lineRule="auto"/>
        <w:jc w:val="both"/>
        <w:rPr>
          <w:rFonts w:ascii="Arial" w:hAnsi="Arial" w:cs="Arial"/>
          <w:szCs w:val="24"/>
          <w:lang w:val="es-CO" w:eastAsia="es-CO"/>
        </w:rPr>
      </w:pPr>
    </w:p>
    <w:p w:rsidR="00C13114" w:rsidRPr="00C13114" w:rsidRDefault="00C13114" w:rsidP="00DA2457">
      <w:pPr>
        <w:spacing w:line="276" w:lineRule="auto"/>
        <w:jc w:val="both"/>
        <w:rPr>
          <w:rFonts w:ascii="Arial" w:hAnsi="Arial" w:cs="Arial"/>
          <w:szCs w:val="24"/>
          <w:lang w:val="es-CO" w:eastAsia="es-CO"/>
        </w:rPr>
      </w:pPr>
      <w:r>
        <w:rPr>
          <w:rFonts w:ascii="Arial" w:hAnsi="Arial" w:cs="Arial"/>
          <w:szCs w:val="24"/>
          <w:lang w:val="es-CO" w:eastAsia="es-CO"/>
        </w:rPr>
        <w:t xml:space="preserve">En cada uno de los formularios que suscribió se hizo constar que fue el producto de una decisión libre, voluntaria </w:t>
      </w:r>
      <w:r w:rsidRPr="00C13114">
        <w:rPr>
          <w:rFonts w:ascii="Arial" w:hAnsi="Arial" w:cs="Arial"/>
        </w:rPr>
        <w:t>sin ninguna clase de constreñimiento o de información inadecuada</w:t>
      </w:r>
      <w:r>
        <w:rPr>
          <w:rFonts w:ascii="Arial" w:hAnsi="Arial" w:cs="Arial"/>
        </w:rPr>
        <w:t>.</w:t>
      </w:r>
    </w:p>
    <w:p w:rsidR="00DA2457" w:rsidRDefault="00DA2457" w:rsidP="00DA2457">
      <w:pPr>
        <w:spacing w:line="276" w:lineRule="auto"/>
        <w:jc w:val="both"/>
        <w:rPr>
          <w:rFonts w:ascii="Arial" w:hAnsi="Arial" w:cs="Arial"/>
          <w:szCs w:val="24"/>
          <w:lang w:eastAsia="es-CO"/>
        </w:rPr>
      </w:pPr>
    </w:p>
    <w:p w:rsidR="00C13114" w:rsidRPr="00C13114" w:rsidRDefault="00C13114" w:rsidP="00C13114">
      <w:pPr>
        <w:spacing w:line="276" w:lineRule="auto"/>
        <w:contextualSpacing/>
        <w:jc w:val="both"/>
        <w:rPr>
          <w:rFonts w:ascii="Arial" w:hAnsi="Arial" w:cs="Arial"/>
        </w:rPr>
      </w:pPr>
      <w:r>
        <w:rPr>
          <w:rFonts w:ascii="Arial" w:hAnsi="Arial" w:cs="Arial"/>
        </w:rPr>
        <w:t xml:space="preserve">De otro lado, precisó que </w:t>
      </w:r>
      <w:r w:rsidRPr="00C13114">
        <w:rPr>
          <w:rFonts w:ascii="Arial" w:hAnsi="Arial" w:cs="Arial"/>
        </w:rPr>
        <w:t xml:space="preserve">cuando empezó </w:t>
      </w:r>
      <w:r>
        <w:rPr>
          <w:rFonts w:ascii="Arial" w:hAnsi="Arial" w:cs="Arial"/>
        </w:rPr>
        <w:t>a regir la L</w:t>
      </w:r>
      <w:r w:rsidRPr="00C13114">
        <w:rPr>
          <w:rFonts w:ascii="Arial" w:hAnsi="Arial" w:cs="Arial"/>
        </w:rPr>
        <w:t>ey 100</w:t>
      </w:r>
      <w:r>
        <w:rPr>
          <w:rFonts w:ascii="Arial" w:hAnsi="Arial" w:cs="Arial"/>
        </w:rPr>
        <w:t>/93</w:t>
      </w:r>
      <w:r w:rsidRPr="00C13114">
        <w:rPr>
          <w:rFonts w:ascii="Arial" w:hAnsi="Arial" w:cs="Arial"/>
        </w:rPr>
        <w:t xml:space="preserve"> muy seguramente </w:t>
      </w:r>
      <w:r>
        <w:rPr>
          <w:rFonts w:ascii="Arial" w:hAnsi="Arial" w:cs="Arial"/>
        </w:rPr>
        <w:t xml:space="preserve">se encontraba </w:t>
      </w:r>
      <w:r w:rsidRPr="00C13114">
        <w:rPr>
          <w:rFonts w:ascii="Arial" w:hAnsi="Arial" w:cs="Arial"/>
        </w:rPr>
        <w:t xml:space="preserve">haciendo aporte a </w:t>
      </w:r>
      <w:r>
        <w:rPr>
          <w:rFonts w:ascii="Arial" w:hAnsi="Arial" w:cs="Arial"/>
        </w:rPr>
        <w:t xml:space="preserve">la </w:t>
      </w:r>
      <w:r w:rsidRPr="00C13114">
        <w:rPr>
          <w:rFonts w:ascii="Arial" w:hAnsi="Arial" w:cs="Arial"/>
        </w:rPr>
        <w:t xml:space="preserve">caja </w:t>
      </w:r>
      <w:r>
        <w:rPr>
          <w:rFonts w:ascii="Arial" w:hAnsi="Arial" w:cs="Arial"/>
        </w:rPr>
        <w:t xml:space="preserve">de </w:t>
      </w:r>
      <w:r w:rsidRPr="00C13114">
        <w:rPr>
          <w:rFonts w:ascii="Arial" w:hAnsi="Arial" w:cs="Arial"/>
        </w:rPr>
        <w:t>previsión m</w:t>
      </w:r>
      <w:r>
        <w:rPr>
          <w:rFonts w:ascii="Arial" w:hAnsi="Arial" w:cs="Arial"/>
        </w:rPr>
        <w:t>unici</w:t>
      </w:r>
      <w:r w:rsidRPr="00C13114">
        <w:rPr>
          <w:rFonts w:ascii="Arial" w:hAnsi="Arial" w:cs="Arial"/>
        </w:rPr>
        <w:t xml:space="preserve">pal o </w:t>
      </w:r>
      <w:r>
        <w:rPr>
          <w:rFonts w:ascii="Arial" w:hAnsi="Arial" w:cs="Arial"/>
        </w:rPr>
        <w:t xml:space="preserve">a </w:t>
      </w:r>
      <w:proofErr w:type="spellStart"/>
      <w:r w:rsidRPr="00C13114">
        <w:rPr>
          <w:rFonts w:ascii="Arial" w:hAnsi="Arial" w:cs="Arial"/>
        </w:rPr>
        <w:t>CAJANAL</w:t>
      </w:r>
      <w:proofErr w:type="spellEnd"/>
      <w:r w:rsidRPr="00C13114">
        <w:rPr>
          <w:rFonts w:ascii="Arial" w:hAnsi="Arial" w:cs="Arial"/>
        </w:rPr>
        <w:t xml:space="preserve">, </w:t>
      </w:r>
      <w:r>
        <w:rPr>
          <w:rFonts w:ascii="Arial" w:hAnsi="Arial" w:cs="Arial"/>
        </w:rPr>
        <w:t xml:space="preserve">pues no advirtió </w:t>
      </w:r>
      <w:r w:rsidRPr="00C13114">
        <w:rPr>
          <w:rFonts w:ascii="Arial" w:hAnsi="Arial" w:cs="Arial"/>
        </w:rPr>
        <w:t>cotizaciones al ISS</w:t>
      </w:r>
      <w:r>
        <w:rPr>
          <w:rFonts w:ascii="Arial" w:hAnsi="Arial" w:cs="Arial"/>
        </w:rPr>
        <w:t xml:space="preserve">, </w:t>
      </w:r>
      <w:r w:rsidRPr="00C13114">
        <w:rPr>
          <w:rFonts w:ascii="Arial" w:hAnsi="Arial" w:cs="Arial"/>
        </w:rPr>
        <w:t xml:space="preserve">por lo </w:t>
      </w:r>
      <w:r>
        <w:rPr>
          <w:rFonts w:ascii="Arial" w:hAnsi="Arial" w:cs="Arial"/>
        </w:rPr>
        <w:t xml:space="preserve">que no se podía considerar </w:t>
      </w:r>
      <w:r w:rsidRPr="00C13114">
        <w:rPr>
          <w:rFonts w:ascii="Arial" w:hAnsi="Arial" w:cs="Arial"/>
        </w:rPr>
        <w:t>afiliada</w:t>
      </w:r>
      <w:r>
        <w:rPr>
          <w:rFonts w:ascii="Arial" w:hAnsi="Arial" w:cs="Arial"/>
        </w:rPr>
        <w:t xml:space="preserve"> a esta</w:t>
      </w:r>
      <w:r w:rsidRPr="00C13114">
        <w:rPr>
          <w:rFonts w:ascii="Arial" w:hAnsi="Arial" w:cs="Arial"/>
        </w:rPr>
        <w:t>.</w:t>
      </w:r>
    </w:p>
    <w:p w:rsidR="00C13114" w:rsidRDefault="00C13114" w:rsidP="00C13114">
      <w:pPr>
        <w:spacing w:line="276" w:lineRule="auto"/>
        <w:contextualSpacing/>
        <w:jc w:val="both"/>
        <w:rPr>
          <w:rFonts w:ascii="Arial" w:hAnsi="Arial" w:cs="Arial"/>
        </w:rPr>
      </w:pPr>
    </w:p>
    <w:p w:rsidR="00C13114" w:rsidRDefault="00C13114" w:rsidP="00C13114">
      <w:pPr>
        <w:spacing w:line="276" w:lineRule="auto"/>
        <w:contextualSpacing/>
        <w:jc w:val="both"/>
        <w:rPr>
          <w:rFonts w:ascii="Arial" w:hAnsi="Arial" w:cs="Arial"/>
        </w:rPr>
      </w:pPr>
      <w:r>
        <w:rPr>
          <w:rFonts w:ascii="Arial" w:hAnsi="Arial" w:cs="Arial"/>
        </w:rPr>
        <w:t xml:space="preserve">Ahora, </w:t>
      </w:r>
      <w:r w:rsidRPr="00C13114">
        <w:rPr>
          <w:rFonts w:ascii="Arial" w:hAnsi="Arial" w:cs="Arial"/>
        </w:rPr>
        <w:t xml:space="preserve">en </w:t>
      </w:r>
      <w:r>
        <w:rPr>
          <w:rFonts w:ascii="Arial" w:hAnsi="Arial" w:cs="Arial"/>
        </w:rPr>
        <w:t xml:space="preserve">ejercicio de </w:t>
      </w:r>
      <w:r w:rsidRPr="00C13114">
        <w:rPr>
          <w:rFonts w:ascii="Arial" w:hAnsi="Arial" w:cs="Arial"/>
        </w:rPr>
        <w:t>su derecho a la libre escogencia, el 25</w:t>
      </w:r>
      <w:r>
        <w:rPr>
          <w:rFonts w:ascii="Arial" w:hAnsi="Arial" w:cs="Arial"/>
        </w:rPr>
        <w:t>/09/1995</w:t>
      </w:r>
      <w:r w:rsidRPr="00C13114">
        <w:rPr>
          <w:rFonts w:ascii="Arial" w:hAnsi="Arial" w:cs="Arial"/>
        </w:rPr>
        <w:t xml:space="preserve"> </w:t>
      </w:r>
      <w:r>
        <w:rPr>
          <w:rFonts w:ascii="Arial" w:hAnsi="Arial" w:cs="Arial"/>
        </w:rPr>
        <w:t xml:space="preserve">optó por afiliarse </w:t>
      </w:r>
      <w:r w:rsidRPr="00C13114">
        <w:rPr>
          <w:rFonts w:ascii="Arial" w:hAnsi="Arial" w:cs="Arial"/>
        </w:rPr>
        <w:t>a Porvenir</w:t>
      </w:r>
      <w:r>
        <w:rPr>
          <w:rFonts w:ascii="Arial" w:hAnsi="Arial" w:cs="Arial"/>
        </w:rPr>
        <w:t xml:space="preserve"> S.A.</w:t>
      </w:r>
      <w:r w:rsidRPr="00C13114">
        <w:rPr>
          <w:rFonts w:ascii="Arial" w:hAnsi="Arial" w:cs="Arial"/>
        </w:rPr>
        <w:t>, por lo que automáticamente se sometió al RAIS.</w:t>
      </w:r>
    </w:p>
    <w:p w:rsidR="00C13114" w:rsidRDefault="00C13114" w:rsidP="00C13114">
      <w:pPr>
        <w:spacing w:line="276" w:lineRule="auto"/>
        <w:contextualSpacing/>
        <w:jc w:val="both"/>
        <w:rPr>
          <w:rFonts w:ascii="Arial" w:hAnsi="Arial" w:cs="Arial"/>
        </w:rPr>
      </w:pPr>
    </w:p>
    <w:p w:rsidR="0049271A" w:rsidRPr="00C13114" w:rsidRDefault="00B62E0D" w:rsidP="00B62E0D">
      <w:pPr>
        <w:spacing w:line="276" w:lineRule="auto"/>
        <w:contextualSpacing/>
        <w:jc w:val="both"/>
        <w:rPr>
          <w:rFonts w:ascii="Arial" w:hAnsi="Arial" w:cs="Arial"/>
        </w:rPr>
      </w:pPr>
      <w:r>
        <w:rPr>
          <w:rFonts w:ascii="Arial" w:hAnsi="Arial" w:cs="Arial"/>
        </w:rPr>
        <w:t xml:space="preserve">Por último, el hecho de obtenerse </w:t>
      </w:r>
      <w:r w:rsidR="00C13114" w:rsidRPr="00C13114">
        <w:rPr>
          <w:rFonts w:ascii="Arial" w:hAnsi="Arial" w:cs="Arial"/>
        </w:rPr>
        <w:t xml:space="preserve">una </w:t>
      </w:r>
      <w:r w:rsidRPr="00C13114">
        <w:rPr>
          <w:rFonts w:ascii="Arial" w:hAnsi="Arial" w:cs="Arial"/>
        </w:rPr>
        <w:t>pensión</w:t>
      </w:r>
      <w:r w:rsidR="00C13114" w:rsidRPr="00C13114">
        <w:rPr>
          <w:rFonts w:ascii="Arial" w:hAnsi="Arial" w:cs="Arial"/>
        </w:rPr>
        <w:t xml:space="preserve"> menor </w:t>
      </w:r>
      <w:r>
        <w:rPr>
          <w:rFonts w:ascii="Arial" w:hAnsi="Arial" w:cs="Arial"/>
        </w:rPr>
        <w:t>en el RAIS</w:t>
      </w:r>
      <w:r w:rsidR="002F1600">
        <w:rPr>
          <w:rFonts w:ascii="Arial" w:hAnsi="Arial" w:cs="Arial"/>
        </w:rPr>
        <w:t xml:space="preserve"> a diferencia de lo informado al momento del traslado,</w:t>
      </w:r>
      <w:r w:rsidR="00C13114" w:rsidRPr="00C13114">
        <w:rPr>
          <w:rFonts w:ascii="Arial" w:hAnsi="Arial" w:cs="Arial"/>
        </w:rPr>
        <w:t xml:space="preserve"> no es un argumento suficiente para declarar </w:t>
      </w:r>
      <w:r>
        <w:rPr>
          <w:rFonts w:ascii="Arial" w:hAnsi="Arial" w:cs="Arial"/>
        </w:rPr>
        <w:t xml:space="preserve">la </w:t>
      </w:r>
      <w:r w:rsidR="00C13114" w:rsidRPr="00C13114">
        <w:rPr>
          <w:rFonts w:ascii="Arial" w:hAnsi="Arial" w:cs="Arial"/>
        </w:rPr>
        <w:t xml:space="preserve">ineficacia, pues </w:t>
      </w:r>
      <w:r>
        <w:rPr>
          <w:rFonts w:ascii="Arial" w:hAnsi="Arial" w:cs="Arial"/>
        </w:rPr>
        <w:t xml:space="preserve">ello </w:t>
      </w:r>
      <w:r w:rsidR="00C13114" w:rsidRPr="00C13114">
        <w:rPr>
          <w:rFonts w:ascii="Arial" w:hAnsi="Arial" w:cs="Arial"/>
        </w:rPr>
        <w:t xml:space="preserve">es solo una expectativa que se </w:t>
      </w:r>
      <w:r w:rsidRPr="00C13114">
        <w:rPr>
          <w:rFonts w:ascii="Arial" w:hAnsi="Arial" w:cs="Arial"/>
        </w:rPr>
        <w:t>tenía</w:t>
      </w:r>
      <w:r w:rsidR="00C13114" w:rsidRPr="00C13114">
        <w:rPr>
          <w:rFonts w:ascii="Arial" w:hAnsi="Arial" w:cs="Arial"/>
        </w:rPr>
        <w:t xml:space="preserve"> en </w:t>
      </w:r>
      <w:r w:rsidRPr="00C13114">
        <w:rPr>
          <w:rFonts w:ascii="Arial" w:hAnsi="Arial" w:cs="Arial"/>
        </w:rPr>
        <w:t>algún</w:t>
      </w:r>
      <w:r w:rsidR="00C13114" w:rsidRPr="00C13114">
        <w:rPr>
          <w:rFonts w:ascii="Arial" w:hAnsi="Arial" w:cs="Arial"/>
        </w:rPr>
        <w:t xml:space="preserve"> momento </w:t>
      </w:r>
      <w:r w:rsidRPr="00C13114">
        <w:rPr>
          <w:rFonts w:ascii="Arial" w:hAnsi="Arial" w:cs="Arial"/>
        </w:rPr>
        <w:t>determinado</w:t>
      </w:r>
      <w:r w:rsidR="00C13114" w:rsidRPr="00C13114">
        <w:rPr>
          <w:rFonts w:ascii="Arial" w:hAnsi="Arial" w:cs="Arial"/>
        </w:rPr>
        <w:t xml:space="preserve"> de cum</w:t>
      </w:r>
      <w:r>
        <w:rPr>
          <w:rFonts w:ascii="Arial" w:hAnsi="Arial" w:cs="Arial"/>
        </w:rPr>
        <w:t>plir con un capital determinado.</w:t>
      </w:r>
      <w:r w:rsidR="00C13114" w:rsidRPr="00C13114">
        <w:rPr>
          <w:rFonts w:ascii="Arial" w:hAnsi="Arial" w:cs="Arial"/>
        </w:rPr>
        <w:t xml:space="preserve"> </w:t>
      </w:r>
    </w:p>
    <w:p w:rsidR="0049271A" w:rsidRDefault="0049271A" w:rsidP="0049271A">
      <w:pPr>
        <w:contextualSpacing/>
      </w:pPr>
    </w:p>
    <w:p w:rsidR="00F6330B" w:rsidRDefault="00F6330B" w:rsidP="0049271A">
      <w:pPr>
        <w:contextualSpacing/>
      </w:pPr>
    </w:p>
    <w:p w:rsidR="006F454B" w:rsidRPr="00DA2457" w:rsidRDefault="00DA2457" w:rsidP="00DA2457">
      <w:pPr>
        <w:spacing w:line="276" w:lineRule="auto"/>
        <w:ind w:left="360"/>
        <w:jc w:val="both"/>
        <w:rPr>
          <w:rFonts w:ascii="Arial" w:hAnsi="Arial" w:cs="Arial"/>
          <w:b/>
          <w:szCs w:val="24"/>
        </w:rPr>
      </w:pPr>
      <w:r>
        <w:rPr>
          <w:rFonts w:ascii="Arial" w:hAnsi="Arial" w:cs="Arial"/>
          <w:b/>
          <w:szCs w:val="24"/>
        </w:rPr>
        <w:t xml:space="preserve">3. </w:t>
      </w:r>
      <w:r w:rsidR="0049271A">
        <w:rPr>
          <w:rFonts w:ascii="Arial" w:hAnsi="Arial" w:cs="Arial"/>
          <w:b/>
          <w:szCs w:val="24"/>
        </w:rPr>
        <w:t xml:space="preserve">Del grado jurisdiccional de consulta </w:t>
      </w:r>
    </w:p>
    <w:p w:rsidR="00614309" w:rsidRDefault="00614309" w:rsidP="005920A9">
      <w:pPr>
        <w:pStyle w:val="Prrafodelista"/>
        <w:spacing w:line="276" w:lineRule="auto"/>
        <w:ind w:left="0"/>
        <w:jc w:val="both"/>
        <w:rPr>
          <w:rFonts w:ascii="Arial" w:eastAsia="Times New Roman" w:hAnsi="Arial" w:cs="Arial"/>
          <w:color w:val="000000"/>
          <w:sz w:val="24"/>
          <w:szCs w:val="24"/>
          <w:lang w:eastAsia="es-CO"/>
        </w:rPr>
      </w:pPr>
    </w:p>
    <w:p w:rsidR="00DA2457" w:rsidRDefault="0049271A" w:rsidP="00A143CA">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resultar la anterior decisión totalmente adversa a las pretensiones de la parte actora, quien no la recurrió, se dispuso surtir el grado jurisdiccional de consulta de la misma, de conformidad con lo establecido en el artículo 69 del </w:t>
      </w:r>
      <w:proofErr w:type="spellStart"/>
      <w:r>
        <w:rPr>
          <w:rFonts w:ascii="Arial" w:eastAsia="Times New Roman" w:hAnsi="Arial" w:cs="Arial"/>
          <w:color w:val="000000"/>
          <w:sz w:val="24"/>
          <w:szCs w:val="24"/>
          <w:lang w:eastAsia="es-CO"/>
        </w:rPr>
        <w:t>C.P.L</w:t>
      </w:r>
      <w:proofErr w:type="spellEnd"/>
      <w:r>
        <w:rPr>
          <w:rFonts w:ascii="Arial" w:eastAsia="Times New Roman" w:hAnsi="Arial" w:cs="Arial"/>
          <w:color w:val="000000"/>
          <w:sz w:val="24"/>
          <w:szCs w:val="24"/>
          <w:lang w:eastAsia="es-CO"/>
        </w:rPr>
        <w:t>.</w:t>
      </w:r>
    </w:p>
    <w:p w:rsidR="0049271A" w:rsidRDefault="0049271A" w:rsidP="00A143CA">
      <w:pPr>
        <w:pStyle w:val="Prrafodelista"/>
        <w:spacing w:line="276" w:lineRule="auto"/>
        <w:ind w:left="0"/>
        <w:jc w:val="both"/>
        <w:rPr>
          <w:rFonts w:ascii="Arial" w:eastAsia="Times New Roman" w:hAnsi="Arial" w:cs="Arial"/>
          <w:color w:val="000000"/>
          <w:sz w:val="24"/>
          <w:szCs w:val="24"/>
          <w:lang w:eastAsia="es-CO"/>
        </w:rPr>
      </w:pPr>
    </w:p>
    <w:p w:rsidR="00C64A1B"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rsidR="008C2705" w:rsidRDefault="00F654C2" w:rsidP="00FC1272">
      <w:pPr>
        <w:shd w:val="clear" w:color="auto" w:fill="FFFFFF"/>
        <w:tabs>
          <w:tab w:val="left" w:pos="5197"/>
        </w:tabs>
        <w:spacing w:line="276" w:lineRule="auto"/>
        <w:contextualSpacing/>
        <w:jc w:val="both"/>
        <w:rPr>
          <w:rFonts w:ascii="Arial" w:hAnsi="Arial" w:cs="Arial"/>
          <w:b/>
          <w:color w:val="000000" w:themeColor="text1"/>
          <w:szCs w:val="24"/>
        </w:rPr>
      </w:pPr>
      <w:r>
        <w:rPr>
          <w:rFonts w:ascii="Arial" w:hAnsi="Arial" w:cs="Arial"/>
          <w:b/>
          <w:color w:val="000000" w:themeColor="text1"/>
          <w:szCs w:val="24"/>
        </w:rPr>
        <w:t>Del valor normativo de las decisiones emitidas por la Corte Suprema de Justicia</w:t>
      </w:r>
    </w:p>
    <w:p w:rsidR="00E700C3" w:rsidRDefault="00E700C3" w:rsidP="00FE421E">
      <w:pPr>
        <w:shd w:val="clear" w:color="auto" w:fill="FFFFFF"/>
        <w:tabs>
          <w:tab w:val="left" w:pos="5197"/>
        </w:tabs>
        <w:spacing w:line="276" w:lineRule="auto"/>
        <w:contextualSpacing/>
        <w:rPr>
          <w:rFonts w:ascii="Arial" w:hAnsi="Arial" w:cs="Arial"/>
          <w:b/>
          <w:color w:val="000000" w:themeColor="text1"/>
          <w:szCs w:val="24"/>
        </w:rPr>
      </w:pPr>
    </w:p>
    <w:p w:rsidR="008C2705" w:rsidRDefault="00F654C2" w:rsidP="00604FAE">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color w:val="000000" w:themeColor="text1"/>
          <w:szCs w:val="24"/>
        </w:rPr>
        <w:t xml:space="preserve">Las </w:t>
      </w:r>
      <w:r w:rsidR="008C2705">
        <w:rPr>
          <w:rFonts w:ascii="Arial" w:hAnsi="Arial" w:cs="Arial"/>
          <w:color w:val="000000" w:themeColor="text1"/>
          <w:szCs w:val="24"/>
        </w:rPr>
        <w:t>decisiones adoptadas por el superior jerárquico, en nuestro caso por la Corte Suprema de Justicia</w:t>
      </w:r>
      <w:r w:rsidR="00FC1272">
        <w:rPr>
          <w:rFonts w:ascii="Arial" w:hAnsi="Arial" w:cs="Arial"/>
          <w:color w:val="000000" w:themeColor="text1"/>
          <w:szCs w:val="24"/>
        </w:rPr>
        <w:t xml:space="preserve"> en su Sala de Casación Laboral</w:t>
      </w:r>
      <w:r w:rsidR="008C2705">
        <w:rPr>
          <w:rFonts w:ascii="Arial" w:hAnsi="Arial" w:cs="Arial"/>
          <w:color w:val="000000" w:themeColor="text1"/>
          <w:szCs w:val="24"/>
        </w:rPr>
        <w:t>, encargada de unificar la jurisprudencia, resulta ser como regla general de obligatorio acatamiento, lo que se traduce en una limitación de la autonomía judicial.</w:t>
      </w:r>
    </w:p>
    <w:p w:rsidR="008C2705" w:rsidRDefault="008C2705" w:rsidP="00604FAE">
      <w:pPr>
        <w:shd w:val="clear" w:color="auto" w:fill="FFFFFF"/>
        <w:tabs>
          <w:tab w:val="left" w:pos="5197"/>
        </w:tabs>
        <w:spacing w:line="276" w:lineRule="auto"/>
        <w:contextualSpacing/>
        <w:jc w:val="both"/>
        <w:rPr>
          <w:rFonts w:ascii="Arial" w:hAnsi="Arial" w:cs="Arial"/>
          <w:color w:val="000000" w:themeColor="text1"/>
          <w:szCs w:val="24"/>
        </w:rPr>
      </w:pPr>
    </w:p>
    <w:p w:rsidR="008C2705" w:rsidRDefault="008C2705" w:rsidP="00604FAE">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color w:val="000000" w:themeColor="text1"/>
          <w:szCs w:val="24"/>
        </w:rPr>
        <w:t>Sin embargo y a modo de excepción, el funcionario judicial puede apartarse de</w:t>
      </w:r>
      <w:r w:rsidR="00927A3B">
        <w:rPr>
          <w:rFonts w:ascii="Arial" w:hAnsi="Arial" w:cs="Arial"/>
          <w:color w:val="000000" w:themeColor="text1"/>
          <w:szCs w:val="24"/>
        </w:rPr>
        <w:t xml:space="preserve"> </w:t>
      </w:r>
      <w:r w:rsidR="007A771C">
        <w:rPr>
          <w:rFonts w:ascii="Arial" w:hAnsi="Arial" w:cs="Arial"/>
          <w:color w:val="000000" w:themeColor="text1"/>
          <w:szCs w:val="24"/>
        </w:rPr>
        <w:t>ellas, esgrimiendo</w:t>
      </w:r>
      <w:r>
        <w:rPr>
          <w:rFonts w:ascii="Arial" w:hAnsi="Arial" w:cs="Arial"/>
          <w:color w:val="000000" w:themeColor="text1"/>
          <w:szCs w:val="24"/>
        </w:rPr>
        <w:t xml:space="preserve"> </w:t>
      </w:r>
      <w:r w:rsidR="00A52365">
        <w:rPr>
          <w:rFonts w:ascii="Arial" w:hAnsi="Arial" w:cs="Arial"/>
          <w:color w:val="000000" w:themeColor="text1"/>
          <w:szCs w:val="24"/>
        </w:rPr>
        <w:t xml:space="preserve">las </w:t>
      </w:r>
      <w:r>
        <w:rPr>
          <w:rFonts w:ascii="Arial" w:hAnsi="Arial" w:cs="Arial"/>
          <w:color w:val="000000" w:themeColor="text1"/>
          <w:szCs w:val="24"/>
        </w:rPr>
        <w:t>razones suficiente</w:t>
      </w:r>
      <w:r w:rsidR="00A52365">
        <w:rPr>
          <w:rFonts w:ascii="Arial" w:hAnsi="Arial" w:cs="Arial"/>
          <w:color w:val="000000" w:themeColor="text1"/>
          <w:szCs w:val="24"/>
        </w:rPr>
        <w:t xml:space="preserve">mente fundadas que lo llevan a tomar esa determinación. </w:t>
      </w:r>
    </w:p>
    <w:p w:rsidR="00A52365" w:rsidRDefault="00A52365" w:rsidP="00604FAE">
      <w:pPr>
        <w:shd w:val="clear" w:color="auto" w:fill="FFFFFF"/>
        <w:tabs>
          <w:tab w:val="left" w:pos="5197"/>
        </w:tabs>
        <w:spacing w:line="276" w:lineRule="auto"/>
        <w:jc w:val="both"/>
        <w:rPr>
          <w:rFonts w:ascii="Arial" w:hAnsi="Arial" w:cs="Arial"/>
          <w:color w:val="000000" w:themeColor="text1"/>
          <w:szCs w:val="24"/>
        </w:rPr>
      </w:pPr>
    </w:p>
    <w:p w:rsidR="009522C6" w:rsidRDefault="007A771C"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F</w:t>
      </w:r>
      <w:r w:rsidRPr="00DE3138">
        <w:rPr>
          <w:rFonts w:ascii="Arial" w:hAnsi="Arial" w:cs="Arial"/>
          <w:color w:val="000000" w:themeColor="text1"/>
          <w:szCs w:val="24"/>
        </w:rPr>
        <w:t>rente al tema de la ineficacia del traslado sustentado en los a</w:t>
      </w:r>
      <w:r w:rsidRPr="00DE3138">
        <w:rPr>
          <w:rFonts w:ascii="Arial" w:hAnsi="Arial" w:cs="Arial"/>
          <w:iCs/>
          <w:szCs w:val="24"/>
        </w:rPr>
        <w:t>rtículos 13</w:t>
      </w:r>
      <w:r>
        <w:rPr>
          <w:rFonts w:ascii="Arial" w:hAnsi="Arial" w:cs="Arial"/>
          <w:iCs/>
          <w:szCs w:val="24"/>
        </w:rPr>
        <w:t xml:space="preserve"> literal b) y </w:t>
      </w:r>
      <w:r w:rsidRPr="00DE3138">
        <w:rPr>
          <w:rFonts w:ascii="Arial" w:hAnsi="Arial" w:cs="Arial"/>
          <w:iCs/>
          <w:szCs w:val="24"/>
        </w:rPr>
        <w:t xml:space="preserve"> 271 </w:t>
      </w:r>
      <w:r>
        <w:rPr>
          <w:rFonts w:ascii="Arial" w:hAnsi="Arial" w:cs="Arial"/>
          <w:iCs/>
          <w:szCs w:val="24"/>
        </w:rPr>
        <w:t>inciso 1º</w:t>
      </w:r>
      <w:r w:rsidRPr="00DE3138">
        <w:rPr>
          <w:rFonts w:ascii="Arial" w:hAnsi="Arial" w:cs="Arial"/>
          <w:iCs/>
          <w:szCs w:val="24"/>
        </w:rPr>
        <w:t xml:space="preserve"> de la Ley 100 d</w:t>
      </w:r>
      <w:r>
        <w:rPr>
          <w:rFonts w:ascii="Arial" w:hAnsi="Arial" w:cs="Arial"/>
          <w:iCs/>
          <w:szCs w:val="24"/>
        </w:rPr>
        <w:t xml:space="preserve">e 1993, recientemente </w:t>
      </w:r>
      <w:r w:rsidR="00A52365" w:rsidRPr="00DE3138">
        <w:rPr>
          <w:rFonts w:ascii="Arial" w:hAnsi="Arial" w:cs="Arial"/>
          <w:color w:val="000000" w:themeColor="text1"/>
          <w:szCs w:val="24"/>
        </w:rPr>
        <w:t xml:space="preserve">la </w:t>
      </w:r>
      <w:proofErr w:type="spellStart"/>
      <w:r w:rsidR="00A52365" w:rsidRPr="00DE3138">
        <w:rPr>
          <w:rFonts w:ascii="Arial" w:hAnsi="Arial" w:cs="Arial"/>
          <w:color w:val="000000" w:themeColor="text1"/>
          <w:szCs w:val="24"/>
        </w:rPr>
        <w:t>S</w:t>
      </w:r>
      <w:r w:rsidR="004C7B48" w:rsidRPr="00DE3138">
        <w:rPr>
          <w:rFonts w:ascii="Arial" w:hAnsi="Arial" w:cs="Arial"/>
          <w:color w:val="000000" w:themeColor="text1"/>
          <w:szCs w:val="24"/>
        </w:rPr>
        <w:t>CL</w:t>
      </w:r>
      <w:proofErr w:type="spellEnd"/>
      <w:r w:rsidR="004C7B48" w:rsidRPr="00DE3138">
        <w:rPr>
          <w:rFonts w:ascii="Arial" w:hAnsi="Arial" w:cs="Arial"/>
          <w:color w:val="000000" w:themeColor="text1"/>
          <w:szCs w:val="24"/>
        </w:rPr>
        <w:t xml:space="preserve"> </w:t>
      </w:r>
      <w:r w:rsidR="00A52365" w:rsidRPr="00DE3138">
        <w:rPr>
          <w:rFonts w:ascii="Arial" w:hAnsi="Arial" w:cs="Arial"/>
          <w:color w:val="000000" w:themeColor="text1"/>
          <w:szCs w:val="24"/>
        </w:rPr>
        <w:t>de la C</w:t>
      </w:r>
      <w:r w:rsidR="004C7B48" w:rsidRPr="00DE3138">
        <w:rPr>
          <w:rFonts w:ascii="Arial" w:hAnsi="Arial" w:cs="Arial"/>
          <w:color w:val="000000" w:themeColor="text1"/>
          <w:szCs w:val="24"/>
        </w:rPr>
        <w:t>SJ</w:t>
      </w:r>
      <w:r w:rsidR="006C6C83" w:rsidRPr="00DE3138">
        <w:rPr>
          <w:rStyle w:val="Refdenotaalpie"/>
          <w:rFonts w:ascii="Arial" w:hAnsi="Arial" w:cs="Arial"/>
          <w:color w:val="000000" w:themeColor="text1"/>
          <w:szCs w:val="24"/>
        </w:rPr>
        <w:footnoteReference w:id="1"/>
      </w:r>
      <w:r w:rsidR="00A52365" w:rsidRPr="00DE3138">
        <w:rPr>
          <w:rFonts w:ascii="Arial" w:hAnsi="Arial" w:cs="Arial"/>
          <w:color w:val="000000" w:themeColor="text1"/>
          <w:szCs w:val="24"/>
        </w:rPr>
        <w:t xml:space="preserve">, </w:t>
      </w:r>
      <w:r>
        <w:rPr>
          <w:rFonts w:ascii="Arial" w:hAnsi="Arial" w:cs="Arial"/>
          <w:color w:val="000000" w:themeColor="text1"/>
          <w:szCs w:val="24"/>
        </w:rPr>
        <w:t xml:space="preserve">indicó </w:t>
      </w:r>
      <w:r w:rsidR="00A52365" w:rsidRPr="00DE3138">
        <w:rPr>
          <w:rFonts w:ascii="Arial" w:hAnsi="Arial" w:cs="Arial"/>
          <w:color w:val="000000" w:themeColor="text1"/>
          <w:szCs w:val="24"/>
        </w:rPr>
        <w:t xml:space="preserve">que la misma procede para todos los afiliados al sistema pensional sin distingo a su pertenencia o no al régimen de </w:t>
      </w:r>
      <w:r w:rsidR="00604FAE" w:rsidRPr="00DE3138">
        <w:rPr>
          <w:rFonts w:ascii="Arial" w:hAnsi="Arial" w:cs="Arial"/>
          <w:color w:val="000000" w:themeColor="text1"/>
          <w:szCs w:val="24"/>
        </w:rPr>
        <w:t>transición previsto en el ar</w:t>
      </w:r>
      <w:r w:rsidR="004C7B48" w:rsidRPr="00DE3138">
        <w:rPr>
          <w:rFonts w:ascii="Arial" w:hAnsi="Arial" w:cs="Arial"/>
          <w:color w:val="000000" w:themeColor="text1"/>
          <w:szCs w:val="24"/>
        </w:rPr>
        <w:t>tículo 36 de la Ley 100 de 1993</w:t>
      </w:r>
      <w:r w:rsidR="006C6C83" w:rsidRPr="00DE3138">
        <w:rPr>
          <w:rFonts w:ascii="Arial" w:hAnsi="Arial" w:cs="Arial"/>
          <w:color w:val="000000" w:themeColor="text1"/>
          <w:szCs w:val="24"/>
        </w:rPr>
        <w:t>, cuya carga probatoria recae en la AFP, quien deberá acreditar que informó las consecuencias del traslado</w:t>
      </w:r>
      <w:r w:rsidR="000C1E6F" w:rsidRPr="00DE3138">
        <w:rPr>
          <w:rFonts w:ascii="Arial" w:hAnsi="Arial" w:cs="Arial"/>
          <w:color w:val="000000" w:themeColor="text1"/>
          <w:szCs w:val="24"/>
        </w:rPr>
        <w:t>; tesis que no se com</w:t>
      </w:r>
      <w:r w:rsidR="004C7B48" w:rsidRPr="00DE3138">
        <w:rPr>
          <w:rFonts w:ascii="Arial" w:hAnsi="Arial" w:cs="Arial"/>
          <w:color w:val="000000" w:themeColor="text1"/>
          <w:szCs w:val="24"/>
        </w:rPr>
        <w:t xml:space="preserve">parte por </w:t>
      </w:r>
      <w:r w:rsidR="006C6C83" w:rsidRPr="00DE3138">
        <w:rPr>
          <w:rFonts w:ascii="Arial" w:hAnsi="Arial" w:cs="Arial"/>
          <w:color w:val="000000" w:themeColor="text1"/>
          <w:szCs w:val="24"/>
        </w:rPr>
        <w:t>la Sala Mayoritaria</w:t>
      </w:r>
      <w:r w:rsidR="009522C6">
        <w:rPr>
          <w:rFonts w:ascii="Arial" w:hAnsi="Arial" w:cs="Arial"/>
          <w:color w:val="000000" w:themeColor="text1"/>
          <w:szCs w:val="24"/>
        </w:rPr>
        <w:t>.</w:t>
      </w: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Por lo tanto, la intelección que </w:t>
      </w:r>
      <w:r w:rsidR="009C0FA8">
        <w:rPr>
          <w:rFonts w:ascii="Arial" w:hAnsi="Arial" w:cs="Arial"/>
          <w:color w:val="000000" w:themeColor="text1"/>
          <w:szCs w:val="24"/>
        </w:rPr>
        <w:t xml:space="preserve">ha venido </w:t>
      </w:r>
      <w:r>
        <w:rPr>
          <w:rFonts w:ascii="Arial" w:hAnsi="Arial" w:cs="Arial"/>
          <w:color w:val="000000" w:themeColor="text1"/>
          <w:szCs w:val="24"/>
        </w:rPr>
        <w:t xml:space="preserve">efectuando esta Sala Mayoritaria es que si el afiliado es beneficiario del régimen de transición previsto en la Ley 100 de 1993 hay lugar analizar la ineficacia del traslado conforme a la tesis expuesta inicialmente por </w:t>
      </w:r>
      <w:r>
        <w:rPr>
          <w:rFonts w:ascii="Arial" w:hAnsi="Arial" w:cs="Arial"/>
          <w:color w:val="000000" w:themeColor="text1"/>
          <w:szCs w:val="24"/>
        </w:rPr>
        <w:lastRenderedPageBreak/>
        <w:t>la CSJ</w:t>
      </w:r>
      <w:r>
        <w:rPr>
          <w:rStyle w:val="Refdenotaalpie"/>
          <w:rFonts w:ascii="Arial" w:hAnsi="Arial" w:cs="Arial"/>
          <w:color w:val="000000" w:themeColor="text1"/>
          <w:szCs w:val="24"/>
        </w:rPr>
        <w:footnoteReference w:id="2"/>
      </w:r>
      <w:r>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Pero, en caso contrario, de no ser beneficiario</w:t>
      </w:r>
      <w:r w:rsidR="006E2D14">
        <w:rPr>
          <w:rFonts w:ascii="Arial" w:hAnsi="Arial" w:cs="Arial"/>
          <w:color w:val="000000" w:themeColor="text1"/>
          <w:szCs w:val="24"/>
        </w:rPr>
        <w:t xml:space="preserve"> actual</w:t>
      </w:r>
      <w:r>
        <w:rPr>
          <w:rFonts w:ascii="Arial" w:hAnsi="Arial" w:cs="Arial"/>
          <w:color w:val="000000" w:themeColor="text1"/>
          <w:szCs w:val="24"/>
        </w:rPr>
        <w:t xml:space="preserve"> de dicho régimen, debe estudiarse</w:t>
      </w:r>
      <w:r w:rsidR="009C0FA8">
        <w:rPr>
          <w:rFonts w:ascii="Arial" w:hAnsi="Arial" w:cs="Arial"/>
          <w:color w:val="000000" w:themeColor="text1"/>
          <w:szCs w:val="24"/>
        </w:rPr>
        <w:t xml:space="preserve"> lo pedido</w:t>
      </w:r>
      <w:r>
        <w:rPr>
          <w:rFonts w:ascii="Arial" w:hAnsi="Arial" w:cs="Arial"/>
          <w:color w:val="000000" w:themeColor="text1"/>
          <w:szCs w:val="24"/>
        </w:rPr>
        <w:t xml:space="preserve"> bajo la óptica de la nulidad</w:t>
      </w:r>
      <w:r w:rsidR="006E2D14">
        <w:rPr>
          <w:rFonts w:ascii="Arial" w:hAnsi="Arial" w:cs="Arial"/>
          <w:color w:val="000000" w:themeColor="text1"/>
          <w:szCs w:val="24"/>
        </w:rPr>
        <w:t xml:space="preserve"> del acto jurídico del traslado</w:t>
      </w:r>
      <w:r>
        <w:rPr>
          <w:rFonts w:ascii="Arial" w:hAnsi="Arial" w:cs="Arial"/>
          <w:color w:val="000000" w:themeColor="text1"/>
          <w:szCs w:val="24"/>
        </w:rPr>
        <w:t xml:space="preserve"> por vicios en el consentimiento, evento en el cual, le corresponde al afiliado acreditar los respectivos hechos</w:t>
      </w:r>
      <w:r w:rsidR="006E2D14">
        <w:rPr>
          <w:rFonts w:ascii="Arial" w:hAnsi="Arial" w:cs="Arial"/>
          <w:color w:val="000000" w:themeColor="text1"/>
          <w:szCs w:val="24"/>
        </w:rPr>
        <w:t xml:space="preserve"> de acuerdo con los </w:t>
      </w:r>
      <w:r w:rsidR="00FC1272">
        <w:rPr>
          <w:rFonts w:ascii="Arial" w:hAnsi="Arial" w:cs="Arial"/>
          <w:color w:val="000000" w:themeColor="text1"/>
          <w:szCs w:val="24"/>
        </w:rPr>
        <w:t>p</w:t>
      </w:r>
      <w:r w:rsidR="006E2D14">
        <w:rPr>
          <w:rFonts w:ascii="Arial" w:hAnsi="Arial" w:cs="Arial"/>
          <w:color w:val="000000" w:themeColor="text1"/>
          <w:szCs w:val="24"/>
        </w:rPr>
        <w:t xml:space="preserve">rincipios </w:t>
      </w:r>
      <w:r w:rsidR="00FC1272">
        <w:rPr>
          <w:rFonts w:ascii="Arial" w:hAnsi="Arial" w:cs="Arial"/>
          <w:color w:val="000000" w:themeColor="text1"/>
          <w:szCs w:val="24"/>
        </w:rPr>
        <w:t>probatorios</w:t>
      </w:r>
      <w:r w:rsidR="006E2D14">
        <w:rPr>
          <w:rFonts w:ascii="Arial" w:hAnsi="Arial" w:cs="Arial"/>
          <w:color w:val="000000" w:themeColor="text1"/>
          <w:szCs w:val="24"/>
        </w:rPr>
        <w:t xml:space="preserve">, de conformidad con el artículo 167 del C.G.P., so pena de la </w:t>
      </w:r>
      <w:proofErr w:type="spellStart"/>
      <w:r w:rsidR="006E2D14">
        <w:rPr>
          <w:rFonts w:ascii="Arial" w:hAnsi="Arial" w:cs="Arial"/>
          <w:color w:val="000000" w:themeColor="text1"/>
          <w:szCs w:val="24"/>
        </w:rPr>
        <w:t>improsperidad</w:t>
      </w:r>
      <w:proofErr w:type="spellEnd"/>
      <w:r w:rsidR="006E2D14">
        <w:rPr>
          <w:rFonts w:ascii="Arial" w:hAnsi="Arial" w:cs="Arial"/>
          <w:color w:val="000000" w:themeColor="text1"/>
          <w:szCs w:val="24"/>
        </w:rPr>
        <w:t xml:space="preserve"> de sus pretensiones.</w:t>
      </w:r>
    </w:p>
    <w:p w:rsidR="00BD1660" w:rsidRDefault="00BD1660" w:rsidP="009522C6">
      <w:pPr>
        <w:shd w:val="clear" w:color="auto" w:fill="FFFFFF"/>
        <w:tabs>
          <w:tab w:val="left" w:pos="5197"/>
        </w:tabs>
        <w:spacing w:line="276" w:lineRule="auto"/>
        <w:jc w:val="both"/>
        <w:rPr>
          <w:rFonts w:ascii="Arial" w:hAnsi="Arial" w:cs="Arial"/>
          <w:color w:val="000000" w:themeColor="text1"/>
          <w:szCs w:val="24"/>
        </w:rPr>
      </w:pPr>
    </w:p>
    <w:p w:rsidR="00BD1660" w:rsidRPr="008C2705" w:rsidRDefault="00BD1660"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Sin que la anterior comprensión constituya un acto discriminatorio, pues se trata de una interpretación válida </w:t>
      </w:r>
      <w:r w:rsidR="00685B0B">
        <w:rPr>
          <w:rFonts w:ascii="Arial" w:hAnsi="Arial" w:cs="Arial"/>
          <w:color w:val="000000" w:themeColor="text1"/>
          <w:szCs w:val="24"/>
        </w:rPr>
        <w:t xml:space="preserve">y fusionada </w:t>
      </w:r>
      <w:r>
        <w:rPr>
          <w:rFonts w:ascii="Arial" w:hAnsi="Arial" w:cs="Arial"/>
          <w:color w:val="000000" w:themeColor="text1"/>
          <w:szCs w:val="24"/>
        </w:rPr>
        <w:t xml:space="preserve">de la jurisprudencia y de las normas </w:t>
      </w:r>
      <w:r w:rsidR="00685B0B">
        <w:rPr>
          <w:rFonts w:ascii="Arial" w:hAnsi="Arial" w:cs="Arial"/>
          <w:color w:val="000000" w:themeColor="text1"/>
          <w:szCs w:val="24"/>
        </w:rPr>
        <w:t>sustantivas que regulan la materia.</w:t>
      </w:r>
    </w:p>
    <w:p w:rsidR="009522C6" w:rsidRDefault="009522C6" w:rsidP="009522C6">
      <w:pPr>
        <w:shd w:val="clear" w:color="auto" w:fill="FFFFFF"/>
        <w:tabs>
          <w:tab w:val="left" w:pos="5197"/>
        </w:tabs>
        <w:spacing w:line="276" w:lineRule="auto"/>
        <w:rPr>
          <w:rFonts w:ascii="Arial" w:hAnsi="Arial" w:cs="Arial"/>
          <w:b/>
          <w:color w:val="000000" w:themeColor="text1"/>
          <w:szCs w:val="24"/>
        </w:rPr>
      </w:pP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De este modo, se re</w:t>
      </w:r>
      <w:r w:rsidR="000679C6">
        <w:rPr>
          <w:rFonts w:ascii="Arial" w:hAnsi="Arial" w:cs="Arial"/>
          <w:color w:val="000000" w:themeColor="text1"/>
          <w:szCs w:val="24"/>
        </w:rPr>
        <w:t xml:space="preserve">coge cualquier </w:t>
      </w:r>
      <w:r w:rsidR="009C0FA8">
        <w:rPr>
          <w:rFonts w:ascii="Arial" w:hAnsi="Arial" w:cs="Arial"/>
          <w:color w:val="000000" w:themeColor="text1"/>
          <w:szCs w:val="24"/>
        </w:rPr>
        <w:t xml:space="preserve">argumentación </w:t>
      </w:r>
      <w:r w:rsidR="000679C6">
        <w:rPr>
          <w:rFonts w:ascii="Arial" w:hAnsi="Arial" w:cs="Arial"/>
          <w:color w:val="000000" w:themeColor="text1"/>
          <w:szCs w:val="24"/>
        </w:rPr>
        <w:t xml:space="preserve">que haya sido </w:t>
      </w:r>
      <w:r w:rsidR="009C0FA8">
        <w:rPr>
          <w:rFonts w:ascii="Arial" w:hAnsi="Arial" w:cs="Arial"/>
          <w:color w:val="000000" w:themeColor="text1"/>
          <w:szCs w:val="24"/>
        </w:rPr>
        <w:t xml:space="preserve">esgrimida </w:t>
      </w:r>
      <w:r w:rsidR="00F4050C">
        <w:rPr>
          <w:rFonts w:ascii="Arial" w:hAnsi="Arial" w:cs="Arial"/>
          <w:color w:val="000000" w:themeColor="text1"/>
          <w:szCs w:val="24"/>
        </w:rPr>
        <w:t>con anterioridad y que difiera</w:t>
      </w:r>
      <w:r w:rsidR="000679C6">
        <w:rPr>
          <w:rFonts w:ascii="Arial" w:hAnsi="Arial" w:cs="Arial"/>
          <w:color w:val="000000" w:themeColor="text1"/>
          <w:szCs w:val="24"/>
        </w:rPr>
        <w:t xml:space="preserve"> del inmediatamente expuesto.</w:t>
      </w:r>
    </w:p>
    <w:p w:rsidR="000679C6" w:rsidRDefault="000679C6" w:rsidP="00604FAE">
      <w:pPr>
        <w:shd w:val="clear" w:color="auto" w:fill="FFFFFF"/>
        <w:tabs>
          <w:tab w:val="left" w:pos="5197"/>
        </w:tabs>
        <w:spacing w:line="276" w:lineRule="auto"/>
        <w:jc w:val="both"/>
        <w:rPr>
          <w:rFonts w:ascii="Arial" w:hAnsi="Arial" w:cs="Arial"/>
          <w:color w:val="000000" w:themeColor="text1"/>
          <w:szCs w:val="24"/>
        </w:rPr>
      </w:pPr>
    </w:p>
    <w:p w:rsidR="00074F93" w:rsidRDefault="00F4050C" w:rsidP="00074F93">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Ahora, </w:t>
      </w:r>
      <w:r w:rsidR="000679C6">
        <w:rPr>
          <w:rFonts w:ascii="Arial" w:hAnsi="Arial" w:cs="Arial"/>
          <w:color w:val="000000" w:themeColor="text1"/>
          <w:szCs w:val="24"/>
        </w:rPr>
        <w:t xml:space="preserve">las </w:t>
      </w:r>
      <w:r w:rsidR="004C7B48">
        <w:rPr>
          <w:rFonts w:ascii="Arial" w:hAnsi="Arial" w:cs="Arial"/>
          <w:color w:val="000000" w:themeColor="text1"/>
          <w:szCs w:val="24"/>
        </w:rPr>
        <w:t xml:space="preserve">razones que justifican </w:t>
      </w:r>
      <w:r w:rsidR="00BA280D">
        <w:rPr>
          <w:rFonts w:ascii="Arial" w:hAnsi="Arial" w:cs="Arial"/>
          <w:color w:val="000000" w:themeColor="text1"/>
          <w:szCs w:val="24"/>
        </w:rPr>
        <w:t xml:space="preserve">la dimisión de la Sala Mayoritaria </w:t>
      </w:r>
      <w:r>
        <w:rPr>
          <w:rFonts w:ascii="Arial" w:hAnsi="Arial" w:cs="Arial"/>
          <w:color w:val="000000" w:themeColor="text1"/>
          <w:szCs w:val="24"/>
        </w:rPr>
        <w:t xml:space="preserve">de la tesis actual de la </w:t>
      </w:r>
      <w:proofErr w:type="spellStart"/>
      <w:r>
        <w:rPr>
          <w:rFonts w:ascii="Arial" w:hAnsi="Arial" w:cs="Arial"/>
          <w:color w:val="000000" w:themeColor="text1"/>
          <w:szCs w:val="24"/>
        </w:rPr>
        <w:t>SCL</w:t>
      </w:r>
      <w:proofErr w:type="spellEnd"/>
      <w:r>
        <w:rPr>
          <w:rFonts w:ascii="Arial" w:hAnsi="Arial" w:cs="Arial"/>
          <w:color w:val="000000" w:themeColor="text1"/>
          <w:szCs w:val="24"/>
        </w:rPr>
        <w:t xml:space="preserve"> de la CSJ</w:t>
      </w:r>
      <w:r w:rsidR="004C7B48">
        <w:rPr>
          <w:rFonts w:ascii="Arial" w:hAnsi="Arial" w:cs="Arial"/>
          <w:color w:val="000000" w:themeColor="text1"/>
          <w:szCs w:val="24"/>
        </w:rPr>
        <w:t>,</w:t>
      </w:r>
      <w:r w:rsidR="000679C6">
        <w:rPr>
          <w:rFonts w:ascii="Arial" w:hAnsi="Arial" w:cs="Arial"/>
          <w:color w:val="000000" w:themeColor="text1"/>
          <w:szCs w:val="24"/>
        </w:rPr>
        <w:t xml:space="preserve"> son</w:t>
      </w:r>
      <w:r w:rsidR="004C7B48">
        <w:rPr>
          <w:rFonts w:ascii="Arial" w:hAnsi="Arial" w:cs="Arial"/>
          <w:color w:val="000000" w:themeColor="text1"/>
          <w:szCs w:val="24"/>
        </w:rPr>
        <w:t xml:space="preserve"> las mismas que fueron expuestas por el </w:t>
      </w:r>
      <w:proofErr w:type="spellStart"/>
      <w:r w:rsidR="004C7B48">
        <w:rPr>
          <w:rFonts w:ascii="Arial" w:hAnsi="Arial" w:cs="Arial"/>
          <w:color w:val="000000" w:themeColor="text1"/>
          <w:szCs w:val="24"/>
        </w:rPr>
        <w:t>Mag</w:t>
      </w:r>
      <w:proofErr w:type="spellEnd"/>
      <w:r w:rsidR="004C7B48">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sidR="004C7B48">
        <w:rPr>
          <w:rFonts w:ascii="Arial" w:hAnsi="Arial" w:cs="Arial"/>
          <w:color w:val="000000" w:themeColor="text1"/>
          <w:szCs w:val="24"/>
        </w:rPr>
        <w:t>Sarrazola</w:t>
      </w:r>
      <w:proofErr w:type="spellEnd"/>
      <w:r w:rsidR="004C7B48">
        <w:rPr>
          <w:rFonts w:ascii="Arial" w:hAnsi="Arial" w:cs="Arial"/>
          <w:color w:val="000000" w:themeColor="text1"/>
          <w:szCs w:val="24"/>
        </w:rPr>
        <w:t xml:space="preserve">, y que </w:t>
      </w:r>
      <w:r w:rsidR="00FC1272">
        <w:rPr>
          <w:rFonts w:ascii="Arial" w:hAnsi="Arial" w:cs="Arial"/>
          <w:color w:val="000000" w:themeColor="text1"/>
          <w:szCs w:val="24"/>
        </w:rPr>
        <w:t>son las siguientes y por lo necesario se hace de manera extensa:</w:t>
      </w:r>
    </w:p>
    <w:p w:rsidR="00074F93" w:rsidRDefault="00074F93" w:rsidP="00074F93">
      <w:pPr>
        <w:shd w:val="clear" w:color="auto" w:fill="FFFFFF"/>
        <w:tabs>
          <w:tab w:val="left" w:pos="5197"/>
        </w:tabs>
        <w:spacing w:line="276" w:lineRule="auto"/>
        <w:jc w:val="both"/>
        <w:rPr>
          <w:rFonts w:ascii="Arial" w:hAnsi="Arial" w:cs="Arial"/>
          <w:color w:val="000000" w:themeColor="text1"/>
          <w:szCs w:val="24"/>
        </w:rPr>
      </w:pPr>
    </w:p>
    <w:p w:rsidR="00074F93" w:rsidRPr="00C31E27" w:rsidRDefault="00074F93" w:rsidP="00074F93">
      <w:pPr>
        <w:ind w:right="51"/>
        <w:jc w:val="both"/>
        <w:rPr>
          <w:rFonts w:ascii="Arial" w:hAnsi="Arial"/>
          <w:b/>
          <w:i/>
          <w:iCs/>
          <w:sz w:val="22"/>
          <w:szCs w:val="22"/>
        </w:rPr>
      </w:pPr>
      <w:r w:rsidRPr="00C31E27">
        <w:rPr>
          <w:rFonts w:ascii="Arial" w:hAnsi="Arial" w:cs="Arial"/>
          <w:b/>
          <w:i/>
          <w:color w:val="000000" w:themeColor="text1"/>
          <w:sz w:val="22"/>
          <w:szCs w:val="22"/>
        </w:rPr>
        <w:t>“</w:t>
      </w:r>
      <w:r w:rsidRPr="00C31E27">
        <w:rPr>
          <w:rFonts w:ascii="Arial" w:hAnsi="Arial" w:cs="Arial"/>
          <w:b/>
          <w:bCs/>
          <w:i/>
          <w:iCs/>
          <w:sz w:val="22"/>
          <w:szCs w:val="22"/>
          <w:lang w:val="es-ES"/>
        </w:rPr>
        <w:t>PRIMERA</w:t>
      </w:r>
      <w:r w:rsidRPr="00C31E27">
        <w:rPr>
          <w:b/>
          <w:bCs/>
          <w:i/>
          <w:iCs/>
          <w:sz w:val="22"/>
          <w:szCs w:val="22"/>
          <w:lang w:val="es-ES"/>
        </w:rPr>
        <w:t xml:space="preserve">: </w:t>
      </w:r>
      <w:bookmarkStart w:id="1" w:name="13"/>
      <w:bookmarkEnd w:id="1"/>
      <w:proofErr w:type="spellStart"/>
      <w:r w:rsidRPr="00C31E27">
        <w:rPr>
          <w:rFonts w:ascii="Arial" w:hAnsi="Arial"/>
          <w:b/>
          <w:i/>
          <w:iCs/>
          <w:sz w:val="22"/>
          <w:szCs w:val="22"/>
        </w:rPr>
        <w:t>RÉGIMENES</w:t>
      </w:r>
      <w:proofErr w:type="spellEnd"/>
      <w:r w:rsidRPr="00C31E27">
        <w:rPr>
          <w:rFonts w:ascii="Arial" w:hAnsi="Arial"/>
          <w:b/>
          <w:i/>
          <w:iCs/>
          <w:sz w:val="22"/>
          <w:szCs w:val="22"/>
        </w:rPr>
        <w:t xml:space="preserve"> PENSIONALES COEXISTENTES</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C31E27">
        <w:rPr>
          <w:rFonts w:ascii="Arial" w:hAnsi="Arial"/>
          <w:b/>
          <w:i/>
          <w:iCs/>
          <w:sz w:val="22"/>
          <w:szCs w:val="22"/>
        </w:rPr>
        <w:t>con prestación definida”.</w:t>
      </w:r>
      <w:r w:rsidRPr="00C31E27">
        <w:rPr>
          <w:rFonts w:ascii="Arial" w:hAnsi="Arial"/>
          <w:i/>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31E27">
        <w:rPr>
          <w:rFonts w:ascii="Arial" w:hAnsi="Arial"/>
          <w:b/>
          <w:i/>
          <w:iCs/>
          <w:sz w:val="22"/>
          <w:szCs w:val="22"/>
        </w:rPr>
        <w:t xml:space="preserve">ahorro individual, </w:t>
      </w:r>
      <w:r w:rsidRPr="00C31E27">
        <w:rPr>
          <w:rFonts w:ascii="Arial" w:hAnsi="Arial"/>
          <w:i/>
          <w:iCs/>
          <w:sz w:val="22"/>
          <w:szCs w:val="22"/>
        </w:rPr>
        <w:t xml:space="preserve">dando cuenta desde su denominación de la afectación de la prestación al esfuerzo personal que haga el afiliado. </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w:t>
      </w:r>
      <w:r w:rsidRPr="00C31E27">
        <w:rPr>
          <w:rFonts w:ascii="Arial" w:hAnsi="Arial"/>
          <w:i/>
          <w:iCs/>
          <w:sz w:val="22"/>
          <w:szCs w:val="22"/>
        </w:rPr>
        <w:lastRenderedPageBreak/>
        <w:t xml:space="preserve">del afiliado sin que existan beneficiarios de pensión de sobrevivientes, las sumas acumuladas en cuenta de ahorro individual hagan parte de la masa </w:t>
      </w:r>
      <w:proofErr w:type="spellStart"/>
      <w:r w:rsidRPr="00C31E27">
        <w:rPr>
          <w:rFonts w:ascii="Arial" w:hAnsi="Arial"/>
          <w:i/>
          <w:iCs/>
          <w:sz w:val="22"/>
          <w:szCs w:val="22"/>
        </w:rPr>
        <w:t>sucesoral</w:t>
      </w:r>
      <w:proofErr w:type="spellEnd"/>
      <w:r w:rsidRPr="00C31E27">
        <w:rPr>
          <w:rFonts w:ascii="Arial" w:hAnsi="Arial"/>
          <w:i/>
          <w:iCs/>
          <w:sz w:val="22"/>
          <w:szCs w:val="22"/>
        </w:rPr>
        <w:t>.</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C31E27">
        <w:rPr>
          <w:rFonts w:ascii="Arial" w:hAnsi="Arial"/>
          <w:b/>
          <w:i/>
          <w:iCs/>
          <w:sz w:val="22"/>
          <w:szCs w:val="22"/>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C31E27">
        <w:rPr>
          <w:rFonts w:ascii="Arial" w:hAnsi="Arial"/>
          <w:i/>
          <w:iCs/>
          <w:sz w:val="22"/>
          <w:szCs w:val="22"/>
        </w:rPr>
        <w:t xml:space="preserve">, entre otras cosas porque la nueva legislación parte de la base de que existe una abierta y libre competencia entre Administradoras públicas y privadas por el mercado de la administración de los riesgos de </w:t>
      </w:r>
      <w:proofErr w:type="spellStart"/>
      <w:r w:rsidRPr="00C31E27">
        <w:rPr>
          <w:rFonts w:ascii="Arial" w:hAnsi="Arial"/>
          <w:i/>
          <w:iCs/>
          <w:sz w:val="22"/>
          <w:szCs w:val="22"/>
        </w:rPr>
        <w:t>IVM</w:t>
      </w:r>
      <w:proofErr w:type="spellEnd"/>
      <w:r w:rsidRPr="00C31E27">
        <w:rPr>
          <w:rFonts w:ascii="Arial" w:hAnsi="Arial"/>
          <w:i/>
          <w:iCs/>
          <w:sz w:val="22"/>
          <w:szCs w:val="22"/>
        </w:rPr>
        <w:t>.</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t xml:space="preserve">SEGUNDO: </w:t>
      </w:r>
      <w:r w:rsidR="00167363" w:rsidRPr="00C31E27">
        <w:rPr>
          <w:rFonts w:ascii="Arial" w:hAnsi="Arial"/>
          <w:b/>
          <w:i/>
          <w:iCs/>
          <w:sz w:val="22"/>
          <w:szCs w:val="22"/>
        </w:rPr>
        <w:t>RAZÓN</w:t>
      </w:r>
      <w:r w:rsidRPr="00C31E27">
        <w:rPr>
          <w:rFonts w:ascii="Arial" w:hAnsi="Arial"/>
          <w:b/>
          <w:i/>
          <w:iCs/>
          <w:sz w:val="22"/>
          <w:szCs w:val="22"/>
        </w:rPr>
        <w:t xml:space="preserve"> DE SER DE LA LIMITACIÓN DE TRASLADO CUANDO FALTEN MENOS DE 10 AÑOS. SENTENCIA C-1024 DE 2004</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La Corte Constitucional fue clara en explicar que </w:t>
      </w:r>
      <w:r w:rsidRPr="00C31E27">
        <w:rPr>
          <w:rFonts w:ascii="Arial" w:hAnsi="Arial"/>
          <w:b/>
          <w:i/>
          <w:iCs/>
          <w:sz w:val="22"/>
          <w:szCs w:val="22"/>
        </w:rPr>
        <w:t>para garantizar la sostenibilidad financiera del sistema de prima media</w:t>
      </w:r>
      <w:r w:rsidRPr="00C31E27">
        <w:rPr>
          <w:rFonts w:ascii="Arial" w:hAnsi="Arial"/>
          <w:i/>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left="708" w:right="476"/>
        <w:jc w:val="both"/>
        <w:rPr>
          <w:rFonts w:ascii="Arial" w:hAnsi="Arial"/>
          <w:i/>
          <w:iCs/>
          <w:sz w:val="22"/>
          <w:szCs w:val="22"/>
          <w:lang w:val="es-ES"/>
        </w:rPr>
      </w:pPr>
      <w:r w:rsidRPr="00C31E27">
        <w:rPr>
          <w:rFonts w:ascii="Arial" w:hAnsi="Arial"/>
          <w:i/>
          <w:iCs/>
          <w:sz w:val="22"/>
          <w:szCs w:val="22"/>
        </w:rPr>
        <w:t xml:space="preserve">“Desde esta perspectiva, el objetivo perseguido con el señalamiento del  período de carencia en la norma acusada, </w:t>
      </w:r>
      <w:r w:rsidRPr="00C31E27">
        <w:rPr>
          <w:rFonts w:ascii="Arial" w:hAnsi="Arial"/>
          <w:b/>
          <w:i/>
          <w:iCs/>
          <w:sz w:val="22"/>
          <w:szCs w:val="22"/>
        </w:rPr>
        <w:t>consiste en evitar la descapitalización del fondo común del Régimen Solidario de Prima Media con Prestación Definida</w:t>
      </w:r>
      <w:r w:rsidRPr="00C31E27">
        <w:rPr>
          <w:rFonts w:ascii="Arial" w:hAnsi="Arial"/>
          <w:i/>
          <w:iCs/>
          <w:sz w:val="22"/>
          <w:szCs w:val="22"/>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31E27">
        <w:rPr>
          <w:rFonts w:ascii="Arial" w:hAnsi="Arial"/>
          <w:b/>
          <w:i/>
          <w:iCs/>
          <w:sz w:val="22"/>
          <w:szCs w:val="22"/>
        </w:rPr>
        <w:t>a poner en riesgo la garantía del derecho irrenunciable a la pensión del resto de cotizantes</w:t>
      </w:r>
      <w:r w:rsidRPr="00C31E27">
        <w:rPr>
          <w:rFonts w:ascii="Arial" w:hAnsi="Arial"/>
          <w:i/>
          <w:iCs/>
          <w:sz w:val="22"/>
          <w:szCs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31E27">
        <w:rPr>
          <w:rFonts w:ascii="Arial" w:hAnsi="Arial"/>
          <w:b/>
          <w:i/>
          <w:iCs/>
          <w:sz w:val="22"/>
          <w:szCs w:val="22"/>
        </w:rPr>
        <w:t>podría llegar a poner en riesgo la garantía del derecho pensional para los actuales y futuros pensionados</w:t>
      </w:r>
      <w:r w:rsidRPr="00C31E27">
        <w:rPr>
          <w:rFonts w:ascii="Arial" w:hAnsi="Arial"/>
          <w:i/>
          <w:iCs/>
          <w:sz w:val="22"/>
          <w:szCs w:val="22"/>
        </w:rPr>
        <w:t>.</w:t>
      </w:r>
    </w:p>
    <w:p w:rsidR="00074F93" w:rsidRPr="00C31E27" w:rsidRDefault="00074F93" w:rsidP="00074F93">
      <w:pPr>
        <w:ind w:left="708" w:right="476"/>
        <w:jc w:val="both"/>
        <w:rPr>
          <w:rFonts w:ascii="Arial" w:hAnsi="Arial"/>
          <w:i/>
          <w:iCs/>
          <w:sz w:val="22"/>
          <w:szCs w:val="22"/>
          <w:lang w:val="es-ES"/>
        </w:rPr>
      </w:pPr>
      <w:r w:rsidRPr="00C31E27">
        <w:rPr>
          <w:rFonts w:ascii="Arial" w:hAnsi="Arial"/>
          <w:i/>
          <w:iCs/>
          <w:sz w:val="22"/>
          <w:szCs w:val="22"/>
        </w:rPr>
        <w:t> </w:t>
      </w:r>
    </w:p>
    <w:p w:rsidR="00074F93" w:rsidRDefault="00074F93" w:rsidP="00074F93">
      <w:pPr>
        <w:ind w:left="708" w:right="476"/>
        <w:jc w:val="both"/>
        <w:rPr>
          <w:rFonts w:ascii="Arial" w:hAnsi="Arial"/>
          <w:i/>
          <w:iCs/>
          <w:sz w:val="22"/>
          <w:szCs w:val="22"/>
        </w:rPr>
      </w:pPr>
      <w:r w:rsidRPr="00C31E27">
        <w:rPr>
          <w:rFonts w:ascii="Arial" w:hAnsi="Arial"/>
          <w:i/>
          <w:iCs/>
          <w:sz w:val="22"/>
          <w:szCs w:val="22"/>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804FBC" w:rsidRPr="00C31E27" w:rsidRDefault="00804FBC" w:rsidP="00074F93">
      <w:pPr>
        <w:ind w:left="708" w:right="476"/>
        <w:jc w:val="both"/>
        <w:rPr>
          <w:rFonts w:ascii="Arial" w:hAnsi="Arial"/>
          <w:i/>
          <w:iCs/>
          <w:sz w:val="22"/>
          <w:szCs w:val="22"/>
          <w:lang w:val="es-ES"/>
        </w:rPr>
      </w:pPr>
    </w:p>
    <w:p w:rsidR="00074F93" w:rsidRPr="00C31E27" w:rsidRDefault="00074F93" w:rsidP="00074F93">
      <w:pPr>
        <w:ind w:left="708" w:right="476"/>
        <w:jc w:val="both"/>
        <w:rPr>
          <w:rFonts w:ascii="Arial" w:hAnsi="Arial"/>
          <w:b/>
          <w:i/>
          <w:iCs/>
          <w:sz w:val="22"/>
          <w:szCs w:val="22"/>
          <w:lang w:val="es-ES"/>
        </w:rPr>
      </w:pPr>
      <w:r w:rsidRPr="00C31E27">
        <w:rPr>
          <w:rFonts w:ascii="Arial" w:hAnsi="Arial"/>
          <w:i/>
          <w:iCs/>
          <w:sz w:val="22"/>
          <w:szCs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1E27">
        <w:rPr>
          <w:rFonts w:ascii="Arial" w:hAnsi="Arial"/>
          <w:b/>
          <w:i/>
          <w:iCs/>
          <w:sz w:val="22"/>
          <w:szCs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1E27">
        <w:rPr>
          <w:rFonts w:ascii="Arial" w:hAnsi="Arial"/>
          <w:i/>
          <w:iCs/>
          <w:sz w:val="22"/>
          <w:szCs w:val="22"/>
        </w:rPr>
        <w:t xml:space="preserve">, cuyo propósito consiste en: “obtener la mejor utilización económica de los recursos administrativos y financieros disponibles para asegurar el reconocimiento y pago en forma adecuada, oportuna y suficiente </w:t>
      </w:r>
      <w:r w:rsidRPr="00C31E27">
        <w:rPr>
          <w:rFonts w:ascii="Arial" w:hAnsi="Arial"/>
          <w:i/>
          <w:iCs/>
          <w:sz w:val="22"/>
          <w:szCs w:val="22"/>
        </w:rPr>
        <w:lastRenderedPageBreak/>
        <w:t>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1E27">
        <w:rPr>
          <w:rFonts w:ascii="Arial" w:hAnsi="Arial"/>
          <w:b/>
          <w:i/>
          <w:iCs/>
          <w:sz w:val="22"/>
          <w:szCs w:val="22"/>
        </w:rPr>
        <w:t> </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i/>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C31E27">
        <w:rPr>
          <w:rFonts w:ascii="Arial" w:hAnsi="Arial"/>
          <w:b/>
          <w:i/>
          <w:iCs/>
          <w:sz w:val="22"/>
          <w:szCs w:val="22"/>
        </w:rPr>
        <w:t>puede llegar a poner en riesgo la garantía del derecho pensional para los actua</w:t>
      </w:r>
      <w:r w:rsidR="00536A03">
        <w:rPr>
          <w:rFonts w:ascii="Arial" w:hAnsi="Arial"/>
          <w:b/>
          <w:i/>
          <w:iCs/>
          <w:sz w:val="22"/>
          <w:szCs w:val="22"/>
        </w:rPr>
        <w:t>les y futuros pensionados que sí</w:t>
      </w:r>
      <w:r w:rsidRPr="00C31E27">
        <w:rPr>
          <w:rFonts w:ascii="Arial" w:hAnsi="Arial"/>
          <w:b/>
          <w:i/>
          <w:iCs/>
          <w:sz w:val="22"/>
          <w:szCs w:val="22"/>
        </w:rPr>
        <w:t xml:space="preserve"> lo hicieron.</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t xml:space="preserve">TERCERO: REALIDAD NORMATIVA SOBRE LA SUPUESTA FALTA DE INFORMACIÓN QUE GENERA LA INEFICACIA DE LOS TRASLADOS (ARTÍCULO 11 DEL DECRETO 692 DE 1994 HOY 2.2.2.1.8 DEL </w:t>
      </w:r>
      <w:proofErr w:type="spellStart"/>
      <w:r w:rsidRPr="00C31E27">
        <w:rPr>
          <w:rFonts w:ascii="Arial" w:hAnsi="Arial"/>
          <w:b/>
          <w:i/>
          <w:iCs/>
          <w:sz w:val="22"/>
          <w:szCs w:val="22"/>
        </w:rPr>
        <w:t>D.U.R</w:t>
      </w:r>
      <w:proofErr w:type="spellEnd"/>
      <w:r w:rsidRPr="00C31E27">
        <w:rPr>
          <w:rFonts w:ascii="Arial" w:hAnsi="Arial"/>
          <w:b/>
          <w:i/>
          <w:iCs/>
          <w:sz w:val="22"/>
          <w:szCs w:val="22"/>
        </w:rPr>
        <w:t xml:space="preserve"> 1833/2016)</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Se viene insistiendo reiteradamente en que la ineficacia del traslado se genera porque los Fondos Privados no dieron la suficiente y clara información a las personas que les permitiera tomar una libre decisión informada.</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Tal afirmación, no responde a la realidad. La reglamentación que dio desarrollo a la ley 100 de 1993 fue específica sobre el contenido de los formularios de afiliación y los traslados, de manera tal que </w:t>
      </w:r>
      <w:r w:rsidRPr="00C31E27">
        <w:rPr>
          <w:rFonts w:ascii="Arial" w:hAnsi="Arial"/>
          <w:b/>
          <w:i/>
          <w:iCs/>
          <w:sz w:val="22"/>
          <w:szCs w:val="22"/>
        </w:rPr>
        <w:t>las AFP –que también son sujetos con derechos y a quienes también debe respetárseles el principio de confianza legítima</w:t>
      </w:r>
      <w:r w:rsidRPr="00C31E27">
        <w:rPr>
          <w:rFonts w:ascii="Arial" w:hAnsi="Arial"/>
          <w:i/>
          <w:iCs/>
          <w:sz w:val="22"/>
          <w:szCs w:val="22"/>
        </w:rPr>
        <w:t xml:space="preserve">-, simplemente siguieron las indicaciones que sobre estos temas fueron señaladas en el decreto 692 de 1994, así:   </w:t>
      </w:r>
    </w:p>
    <w:p w:rsidR="00074F93" w:rsidRPr="00C31E27" w:rsidRDefault="00074F93" w:rsidP="00074F93">
      <w:pPr>
        <w:ind w:right="51"/>
        <w:jc w:val="both"/>
        <w:rPr>
          <w:rFonts w:ascii="Arial" w:hAnsi="Arial"/>
          <w:i/>
          <w:iCs/>
          <w:sz w:val="22"/>
          <w:szCs w:val="22"/>
        </w:rPr>
      </w:pPr>
    </w:p>
    <w:p w:rsidR="00074F93" w:rsidRPr="00C31E27" w:rsidRDefault="00074F93" w:rsidP="00074F93">
      <w:pPr>
        <w:ind w:left="426" w:right="335"/>
        <w:jc w:val="both"/>
        <w:rPr>
          <w:rFonts w:ascii="Arial" w:hAnsi="Arial"/>
          <w:i/>
          <w:iCs/>
          <w:sz w:val="20"/>
        </w:rPr>
      </w:pPr>
      <w:r w:rsidRPr="00C31E27">
        <w:rPr>
          <w:rFonts w:ascii="Helvetica" w:hAnsi="Helvetica" w:cs="Helvetica"/>
          <w:bCs/>
          <w:i/>
          <w:sz w:val="20"/>
          <w:lang w:val="es-ES"/>
        </w:rPr>
        <w:t xml:space="preserve">ARTICULO 11. DILIGENCIAMIENTO DE LA </w:t>
      </w:r>
      <w:proofErr w:type="spellStart"/>
      <w:r w:rsidRPr="00C31E27">
        <w:rPr>
          <w:rFonts w:ascii="Helvetica" w:hAnsi="Helvetica" w:cs="Helvetica"/>
          <w:bCs/>
          <w:i/>
          <w:sz w:val="20"/>
          <w:lang w:val="es-ES"/>
        </w:rPr>
        <w:t>SELECCION</w:t>
      </w:r>
      <w:proofErr w:type="spellEnd"/>
      <w:r w:rsidRPr="00C31E27">
        <w:rPr>
          <w:rFonts w:ascii="Helvetica" w:hAnsi="Helvetica" w:cs="Helvetica"/>
          <w:bCs/>
          <w:i/>
          <w:sz w:val="20"/>
          <w:lang w:val="es-ES"/>
        </w:rPr>
        <w:t xml:space="preserve"> Y </w:t>
      </w:r>
      <w:proofErr w:type="spellStart"/>
      <w:r w:rsidRPr="00C31E27">
        <w:rPr>
          <w:rFonts w:ascii="Helvetica" w:hAnsi="Helvetica" w:cs="Helvetica"/>
          <w:bCs/>
          <w:i/>
          <w:sz w:val="20"/>
          <w:lang w:val="es-ES"/>
        </w:rPr>
        <w:t>VINCULACION</w:t>
      </w:r>
      <w:proofErr w:type="spellEnd"/>
      <w:r w:rsidRPr="00C31E27">
        <w:rPr>
          <w:rFonts w:ascii="Helvetica" w:hAnsi="Helvetica" w:cs="Helvetica"/>
          <w:bCs/>
          <w:i/>
          <w:sz w:val="20"/>
          <w:lang w:val="es-ES"/>
        </w:rPr>
        <w:t>.</w:t>
      </w:r>
      <w:bookmarkStart w:id="2" w:name="11"/>
      <w:bookmarkEnd w:id="2"/>
      <w:r w:rsidRPr="00C31E27">
        <w:rPr>
          <w:rFonts w:ascii="Helvetica" w:hAnsi="Helvetica" w:cs="Helvetica"/>
          <w:i/>
          <w:sz w:val="20"/>
          <w:lang w:val="es-ES"/>
        </w:rPr>
        <w:t> </w:t>
      </w:r>
      <w:r w:rsidRPr="00C31E27">
        <w:rPr>
          <w:rFonts w:ascii="Helvetica" w:hAnsi="Helvetica" w:cs="Helvetica"/>
          <w:bCs/>
          <w:i/>
          <w:sz w:val="20"/>
          <w:lang w:val="es-ES"/>
        </w:rPr>
        <w:t>&lt;Artículo compilado en el artículo </w:t>
      </w:r>
      <w:hyperlink r:id="rId8" w:anchor="2.2.2.1.8" w:history="1">
        <w:r w:rsidRPr="00C31E27">
          <w:rPr>
            <w:rStyle w:val="Hipervnculo"/>
            <w:rFonts w:ascii="Helvetica" w:hAnsi="Helvetica" w:cs="Helvetica"/>
            <w:bCs/>
            <w:i/>
            <w:sz w:val="20"/>
            <w:lang w:val="es-ES"/>
          </w:rPr>
          <w:t>2.2.2.1.8</w:t>
        </w:r>
      </w:hyperlink>
      <w:r w:rsidRPr="00C31E27">
        <w:rPr>
          <w:rFonts w:ascii="Helvetica" w:hAnsi="Helvetica" w:cs="Helvetica"/>
          <w:bCs/>
          <w:i/>
          <w:sz w:val="20"/>
          <w:lang w:val="es-ES"/>
        </w:rPr>
        <w:t> del Decreto Único Reglamentario 1833 de 2016.</w:t>
      </w:r>
      <w:r w:rsidRPr="00C31E27">
        <w:rPr>
          <w:rFonts w:ascii="Helvetica" w:hAnsi="Helvetica" w:cs="Helvetica"/>
          <w:b/>
          <w:bCs/>
          <w:i/>
          <w:color w:val="004C91"/>
          <w:sz w:val="20"/>
          <w:lang w:val="es-ES"/>
        </w:rPr>
        <w:t> </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La selección del régimen implica la aceptación de las condiciones propias de éste, para acceder a las pensiones de vejez, invalidez y sobrevivientes, y demás prestaciones económicas a que haya lugar.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Quienes decidan afiliarse voluntariamente al sistema, manifestarán su decisión al momento de vincularse a una determinada administradora.</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a) Lugar y fecha;</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 xml:space="preserve">b) Nombre o razón social y </w:t>
      </w:r>
      <w:proofErr w:type="spellStart"/>
      <w:r w:rsidRPr="00C31E27">
        <w:rPr>
          <w:rFonts w:ascii="Helvetica" w:hAnsi="Helvetica" w:cs="Helvetica"/>
          <w:i/>
          <w:color w:val="000000"/>
          <w:sz w:val="20"/>
          <w:lang w:val="es-ES"/>
        </w:rPr>
        <w:t>NIT</w:t>
      </w:r>
      <w:proofErr w:type="spellEnd"/>
      <w:r w:rsidRPr="00C31E27">
        <w:rPr>
          <w:rFonts w:ascii="Helvetica" w:hAnsi="Helvetica" w:cs="Helvetica"/>
          <w:i/>
          <w:color w:val="000000"/>
          <w:sz w:val="20"/>
          <w:lang w:val="es-ES"/>
        </w:rPr>
        <w:t xml:space="preserve"> del empleador;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c) Nombre y apellidos del afiliado;</w:t>
      </w: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 xml:space="preserve">d) Número de cédula o </w:t>
      </w:r>
      <w:proofErr w:type="spellStart"/>
      <w:r w:rsidRPr="00C31E27">
        <w:rPr>
          <w:rFonts w:ascii="Helvetica" w:hAnsi="Helvetica" w:cs="Helvetica"/>
          <w:i/>
          <w:color w:val="000000"/>
          <w:sz w:val="20"/>
          <w:lang w:val="es-ES"/>
        </w:rPr>
        <w:t>NIT</w:t>
      </w:r>
      <w:proofErr w:type="spellEnd"/>
      <w:r w:rsidRPr="00C31E27">
        <w:rPr>
          <w:rFonts w:ascii="Helvetica" w:hAnsi="Helvetica" w:cs="Helvetica"/>
          <w:i/>
          <w:color w:val="000000"/>
          <w:sz w:val="20"/>
          <w:lang w:val="es-ES"/>
        </w:rPr>
        <w:t xml:space="preserve">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 xml:space="preserve">e) Entidad administradora del régimen de pensiones a la cual desea afiliarse, la cual podrá estar </w:t>
      </w:r>
      <w:proofErr w:type="spellStart"/>
      <w:r w:rsidRPr="00C31E27">
        <w:rPr>
          <w:rFonts w:ascii="Helvetica" w:hAnsi="Helvetica" w:cs="Helvetica"/>
          <w:i/>
          <w:color w:val="000000"/>
          <w:sz w:val="20"/>
          <w:lang w:val="es-ES"/>
        </w:rPr>
        <w:t>preimpresa</w:t>
      </w:r>
      <w:proofErr w:type="spellEnd"/>
      <w:r w:rsidRPr="00C31E27">
        <w:rPr>
          <w:rFonts w:ascii="Helvetica" w:hAnsi="Helvetica" w:cs="Helvetica"/>
          <w:i/>
          <w:color w:val="000000"/>
          <w:sz w:val="20"/>
          <w:lang w:val="es-ES"/>
        </w:rPr>
        <w:t>;</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f) Datos del cónyuge, compañero o compañera permanente, hijos o beneficiarios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El formulario deberá diligenciarse en original y dos copias, cuya distribución será la siguiente: el original para la administradora, una copia para el empleador y otra para 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lastRenderedPageBreak/>
        <w:t>No se considerará válida la vinculación a la administradora cuando el formulario respectivo no contenga los anteriores datos, en cuyo caso la administradora deberá notificar al afiliado y a su respectivo empleador la información que deba subsanarse.</w:t>
      </w:r>
    </w:p>
    <w:p w:rsidR="00074F93" w:rsidRPr="00C31E27" w:rsidRDefault="00074F93" w:rsidP="00074F93">
      <w:pPr>
        <w:ind w:left="426" w:right="335"/>
        <w:jc w:val="both"/>
        <w:rPr>
          <w:rFonts w:ascii="Arial" w:hAnsi="Arial"/>
          <w:i/>
          <w:iCs/>
          <w:sz w:val="20"/>
        </w:rPr>
      </w:pPr>
    </w:p>
    <w:p w:rsidR="00074F93" w:rsidRDefault="00074F93" w:rsidP="00074F93">
      <w:pPr>
        <w:ind w:left="426" w:right="335"/>
        <w:jc w:val="both"/>
        <w:rPr>
          <w:rFonts w:ascii="Helvetica" w:hAnsi="Helvetica" w:cs="Helvetica"/>
          <w:b/>
          <w:i/>
          <w:color w:val="000000"/>
          <w:sz w:val="20"/>
          <w:lang w:val="es-ES"/>
        </w:rPr>
      </w:pPr>
      <w:r w:rsidRPr="00C31E27">
        <w:rPr>
          <w:rFonts w:ascii="Helvetica" w:hAnsi="Helvetica" w:cs="Helvetica"/>
          <w:b/>
          <w:i/>
          <w:color w:val="000000"/>
          <w:sz w:val="20"/>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C31E27">
        <w:rPr>
          <w:rFonts w:ascii="Helvetica" w:hAnsi="Helvetica" w:cs="Helvetica"/>
          <w:b/>
          <w:i/>
          <w:color w:val="000000"/>
          <w:sz w:val="20"/>
          <w:lang w:val="es-ES"/>
        </w:rPr>
        <w:t>preimpresa</w:t>
      </w:r>
      <w:proofErr w:type="spellEnd"/>
      <w:r w:rsidRPr="00C31E27">
        <w:rPr>
          <w:rFonts w:ascii="Helvetica" w:hAnsi="Helvetica" w:cs="Helvetica"/>
          <w:b/>
          <w:i/>
          <w:color w:val="000000"/>
          <w:sz w:val="20"/>
          <w:lang w:val="es-ES"/>
        </w:rPr>
        <w:t xml:space="preserve"> en este sentido.</w:t>
      </w:r>
    </w:p>
    <w:p w:rsidR="00074F93" w:rsidRDefault="00074F93" w:rsidP="00074F93">
      <w:pPr>
        <w:ind w:left="426" w:right="335"/>
        <w:jc w:val="both"/>
        <w:rPr>
          <w:rFonts w:ascii="Helvetica" w:hAnsi="Helvetica" w:cs="Helvetica"/>
          <w:b/>
          <w:i/>
          <w:color w:val="000000"/>
          <w:sz w:val="20"/>
          <w:lang w:val="es-ES"/>
        </w:rPr>
      </w:pPr>
    </w:p>
    <w:p w:rsidR="00074F93" w:rsidRPr="00C31E27" w:rsidRDefault="00074F93" w:rsidP="00074F93">
      <w:pPr>
        <w:ind w:left="426" w:right="335"/>
        <w:jc w:val="both"/>
        <w:rPr>
          <w:rFonts w:ascii="Arial" w:hAnsi="Arial"/>
          <w:i/>
          <w:iCs/>
          <w:sz w:val="20"/>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Nótese como, no solo la norma dispuso la información que debía contener el formulario sino que, tratándose de traslados, advirtió que debería haber una leyenda expresa –</w:t>
      </w:r>
      <w:r w:rsidRPr="00C31E27">
        <w:rPr>
          <w:rFonts w:ascii="Arial" w:hAnsi="Arial"/>
          <w:b/>
          <w:i/>
          <w:iCs/>
          <w:sz w:val="22"/>
          <w:szCs w:val="22"/>
        </w:rPr>
        <w:t xml:space="preserve">que podía estar </w:t>
      </w:r>
      <w:proofErr w:type="spellStart"/>
      <w:r w:rsidRPr="00C31E27">
        <w:rPr>
          <w:rFonts w:ascii="Arial" w:hAnsi="Arial"/>
          <w:b/>
          <w:i/>
          <w:iCs/>
          <w:sz w:val="22"/>
          <w:szCs w:val="22"/>
        </w:rPr>
        <w:t>preimpresa</w:t>
      </w:r>
      <w:proofErr w:type="spellEnd"/>
      <w:r w:rsidRPr="00C31E27">
        <w:rPr>
          <w:rFonts w:ascii="Arial" w:hAnsi="Arial"/>
          <w:i/>
          <w:iCs/>
          <w:sz w:val="22"/>
          <w:szCs w:val="22"/>
        </w:rPr>
        <w:t>- en la cual constara que la decisión de traslado se tomó de manera libre, espontánea y sin presiones.</w:t>
      </w:r>
    </w:p>
    <w:p w:rsidR="00074F93" w:rsidRPr="00C31E27" w:rsidRDefault="00074F93" w:rsidP="00074F93">
      <w:pPr>
        <w:ind w:right="51"/>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cs="Arial"/>
          <w:i/>
          <w:sz w:val="22"/>
          <w:szCs w:val="22"/>
        </w:rPr>
      </w:pPr>
      <w:r w:rsidRPr="00C31E27">
        <w:rPr>
          <w:rFonts w:ascii="Arial" w:hAnsi="Arial"/>
          <w:i/>
          <w:iCs/>
          <w:sz w:val="22"/>
          <w:szCs w:val="22"/>
        </w:rPr>
        <w:t xml:space="preserve">En efecto, </w:t>
      </w:r>
      <w:r w:rsidRPr="00C31E27">
        <w:rPr>
          <w:rFonts w:ascii="Arial" w:hAnsi="Arial" w:cs="Arial"/>
          <w:i/>
          <w:sz w:val="22"/>
          <w:szCs w:val="22"/>
        </w:rPr>
        <w:t>resulta claro que la obligación de hacer proyecciones, apenas vino a imponerse a las administradoras con la ley 1748 de 2014, en cuyo parágrafo 1º del artículo 2º se destaca:</w:t>
      </w:r>
    </w:p>
    <w:p w:rsidR="00074F93" w:rsidRPr="00C31E27" w:rsidRDefault="00074F93" w:rsidP="00074F93">
      <w:pPr>
        <w:jc w:val="both"/>
        <w:rPr>
          <w:rFonts w:ascii="Arial" w:hAnsi="Arial" w:cs="Arial"/>
          <w:i/>
          <w:sz w:val="22"/>
          <w:szCs w:val="22"/>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b/>
          <w:bCs/>
          <w:i/>
          <w:sz w:val="20"/>
          <w:lang w:val="es-ES"/>
        </w:rPr>
        <w:t>“PARÁGRAFO 1o.</w:t>
      </w:r>
      <w:r w:rsidRPr="00C31E27">
        <w:rPr>
          <w:rFonts w:ascii="Arial" w:hAnsi="Arial" w:cs="Arial"/>
          <w:i/>
          <w:sz w:val="20"/>
          <w:lang w:val="es-ES"/>
        </w:rPr>
        <w:t> Adicionar un inciso 2o al artículo </w:t>
      </w:r>
      <w:hyperlink r:id="rId9" w:anchor="9" w:history="1">
        <w:r w:rsidRPr="00C31E27">
          <w:rPr>
            <w:rStyle w:val="Hipervnculo"/>
            <w:rFonts w:ascii="Arial" w:hAnsi="Arial" w:cs="Arial"/>
            <w:i/>
            <w:sz w:val="20"/>
            <w:lang w:val="es-ES"/>
          </w:rPr>
          <w:t>9</w:t>
        </w:r>
      </w:hyperlink>
      <w:r w:rsidRPr="00C31E27">
        <w:rPr>
          <w:rFonts w:ascii="Arial" w:hAnsi="Arial" w:cs="Arial"/>
          <w:i/>
          <w:sz w:val="20"/>
          <w:lang w:val="es-ES"/>
        </w:rPr>
        <w:t>o de la Ley 1328 de 2009, que regula el contenido mínimo de la información al consumidor financiero, cuyo texto es el siguiente:</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C31E27">
        <w:rPr>
          <w:rFonts w:ascii="Arial" w:hAnsi="Arial" w:cs="Arial"/>
          <w:b/>
          <w:i/>
          <w:sz w:val="20"/>
          <w:lang w:val="es-ES"/>
        </w:rPr>
        <w:t>Lo anterior de conformidad con las instrucciones que para el efecto imparta la Superintendencia Financiera de Colombia</w:t>
      </w:r>
      <w:r w:rsidRPr="00C31E27">
        <w:rPr>
          <w:rFonts w:ascii="Arial" w:hAnsi="Arial" w:cs="Arial"/>
          <w:i/>
          <w:sz w:val="20"/>
          <w:lang w:val="es-ES"/>
        </w:rPr>
        <w:t>.”</w:t>
      </w:r>
    </w:p>
    <w:p w:rsidR="00074F93" w:rsidRPr="00C31E27" w:rsidRDefault="00074F93" w:rsidP="00074F93">
      <w:pPr>
        <w:jc w:val="both"/>
        <w:rPr>
          <w:rFonts w:ascii="Arial" w:hAnsi="Arial" w:cs="Arial"/>
          <w:i/>
          <w:sz w:val="22"/>
          <w:szCs w:val="22"/>
        </w:rPr>
      </w:pPr>
    </w:p>
    <w:p w:rsidR="00074F93" w:rsidRPr="00C31E27" w:rsidRDefault="00074F93" w:rsidP="00074F93">
      <w:pPr>
        <w:jc w:val="both"/>
        <w:rPr>
          <w:rFonts w:ascii="Arial" w:hAnsi="Arial" w:cs="Arial"/>
          <w:i/>
          <w:sz w:val="22"/>
          <w:szCs w:val="22"/>
        </w:rPr>
      </w:pPr>
      <w:r w:rsidRPr="00C31E27">
        <w:rPr>
          <w:rFonts w:ascii="Arial" w:hAnsi="Arial" w:cs="Arial"/>
          <w:i/>
          <w:sz w:val="22"/>
          <w:szCs w:val="22"/>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074F93" w:rsidRPr="00C31E27" w:rsidRDefault="00074F93" w:rsidP="00074F93">
      <w:pPr>
        <w:jc w:val="both"/>
        <w:rPr>
          <w:rFonts w:ascii="Arial" w:hAnsi="Arial" w:cs="Arial"/>
          <w:i/>
          <w:sz w:val="22"/>
          <w:szCs w:val="22"/>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lastRenderedPageBreak/>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rsidR="00074F93" w:rsidRPr="00C31E27" w:rsidRDefault="00074F93" w:rsidP="00074F93">
      <w:pPr>
        <w:ind w:left="708"/>
        <w:jc w:val="both"/>
        <w:rPr>
          <w:rFonts w:ascii="Arial" w:hAnsi="Arial" w:cs="Arial"/>
          <w:i/>
          <w:sz w:val="22"/>
          <w:szCs w:val="22"/>
          <w:lang w:val="es-ES"/>
        </w:rPr>
      </w:pPr>
    </w:p>
    <w:p w:rsidR="00074F93" w:rsidRPr="00C31E27" w:rsidRDefault="00074F93" w:rsidP="00074F93">
      <w:pPr>
        <w:jc w:val="both"/>
        <w:rPr>
          <w:rFonts w:ascii="Arial" w:hAnsi="Arial" w:cs="Arial"/>
          <w:i/>
          <w:sz w:val="22"/>
          <w:szCs w:val="22"/>
          <w:lang w:val="es-ES"/>
        </w:rPr>
      </w:pPr>
      <w:r w:rsidRPr="00C31E27">
        <w:rPr>
          <w:rFonts w:ascii="Arial" w:hAnsi="Arial" w:cs="Arial"/>
          <w:i/>
          <w:sz w:val="22"/>
          <w:szCs w:val="22"/>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C31E27">
        <w:rPr>
          <w:rFonts w:ascii="Arial" w:hAnsi="Arial" w:cs="Arial"/>
          <w:i/>
          <w:sz w:val="22"/>
          <w:szCs w:val="22"/>
          <w:lang w:val="es-ES"/>
        </w:rPr>
        <w:t>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pues es, este artículo 2.6.10.4.3., el que establece los parámetros técnicos para poder cumplir tal cometido, al disponer:</w:t>
      </w:r>
    </w:p>
    <w:p w:rsidR="00074F93" w:rsidRPr="00C31E27" w:rsidRDefault="00074F93" w:rsidP="00074F93">
      <w:pPr>
        <w:jc w:val="both"/>
        <w:rPr>
          <w:rFonts w:ascii="Arial" w:hAnsi="Arial" w:cs="Arial"/>
          <w:i/>
          <w:sz w:val="22"/>
          <w:szCs w:val="22"/>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w:t>
      </w:r>
      <w:r w:rsidRPr="00C31E27">
        <w:rPr>
          <w:rFonts w:ascii="Arial" w:hAnsi="Arial" w:cs="Arial"/>
          <w:b/>
          <w:bCs/>
          <w:i/>
          <w:sz w:val="20"/>
          <w:lang w:val="es-ES"/>
        </w:rPr>
        <w:t>Artículo 2.6.10.4.3. </w:t>
      </w:r>
      <w:r w:rsidRPr="00C31E27">
        <w:rPr>
          <w:rFonts w:ascii="Arial" w:hAnsi="Arial" w:cs="Arial"/>
          <w:b/>
          <w:bCs/>
          <w:i/>
          <w:iCs/>
          <w:sz w:val="20"/>
          <w:lang w:val="es-ES"/>
        </w:rPr>
        <w:t>Proyección del beneficio pensional en el Régimen de Ahorro Individual con Solidaridad. </w:t>
      </w:r>
      <w:r w:rsidRPr="00C31E27">
        <w:rPr>
          <w:rFonts w:ascii="Arial" w:hAnsi="Arial" w:cs="Arial"/>
          <w:i/>
          <w:sz w:val="20"/>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Las administradoras deberán indicar de manera expresa al afiliado que la simulación corresponde a la modalidad de pensión de retiro programado, calculada con base en las cotizaciones obligatorias y no incluye aportes voluntarios.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Para el cálculo de la proyección antes mencionada se deberán tener en cuenta los siguientes parámetros técnicos: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a) La tasa de interés técnico que se encuentra establecida por la Superintendencia Financiera de Colombia o la que la modifique o sustituya;</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b) Las tablas de mortalidad de rentistas y de inválidos expedidas por la Superintendencia Financiera de Colombia;</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c) Las tasas de inflación y crecimiento de los beneficios pensionales;</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d) Demás parámetros y supuestos que imparta sobre el particular la Superintendencia Financiera de Colombia.</w:t>
      </w:r>
    </w:p>
    <w:p w:rsidR="00074F93" w:rsidRPr="00C31E27" w:rsidRDefault="00074F93" w:rsidP="00074F93">
      <w:pPr>
        <w:ind w:left="708"/>
        <w:jc w:val="both"/>
        <w:rPr>
          <w:rFonts w:ascii="Arial" w:hAnsi="Arial" w:cs="Arial"/>
          <w:i/>
          <w:sz w:val="20"/>
          <w:lang w:val="es-ES"/>
        </w:rPr>
      </w:pPr>
    </w:p>
    <w:p w:rsidR="00074F93" w:rsidRPr="00C31E27" w:rsidRDefault="00074F93" w:rsidP="00074F93">
      <w:pPr>
        <w:jc w:val="both"/>
        <w:rPr>
          <w:rFonts w:ascii="Arial" w:hAnsi="Arial" w:cs="Arial"/>
          <w:i/>
          <w:sz w:val="20"/>
        </w:rPr>
      </w:pPr>
      <w:r w:rsidRPr="00C31E27">
        <w:rPr>
          <w:rFonts w:ascii="Arial" w:hAnsi="Arial" w:cs="Arial"/>
          <w:i/>
          <w:sz w:val="20"/>
        </w:rPr>
        <w:t>Para finalmente concluirse en el parágrafo 2º que:</w:t>
      </w:r>
    </w:p>
    <w:p w:rsidR="00074F93" w:rsidRPr="00C31E27" w:rsidRDefault="00074F93" w:rsidP="00074F93">
      <w:pPr>
        <w:jc w:val="both"/>
        <w:rPr>
          <w:rFonts w:ascii="Arial" w:hAnsi="Arial" w:cs="Arial"/>
          <w:i/>
          <w:sz w:val="20"/>
        </w:rPr>
      </w:pPr>
    </w:p>
    <w:p w:rsidR="00074F93" w:rsidRPr="00C31E27" w:rsidRDefault="00074F93" w:rsidP="00074F93">
      <w:pPr>
        <w:ind w:left="708" w:right="476"/>
        <w:jc w:val="both"/>
        <w:rPr>
          <w:rFonts w:ascii="Arial" w:hAnsi="Arial" w:cs="Arial"/>
          <w:i/>
          <w:sz w:val="20"/>
        </w:rPr>
      </w:pPr>
      <w:r w:rsidRPr="00C31E27">
        <w:rPr>
          <w:rFonts w:ascii="Arial" w:hAnsi="Arial" w:cs="Arial"/>
          <w:b/>
          <w:bCs/>
          <w:i/>
          <w:sz w:val="20"/>
        </w:rPr>
        <w:t>“Parágrafo 2°. </w:t>
      </w:r>
      <w:r w:rsidRPr="00C31E27">
        <w:rPr>
          <w:rFonts w:ascii="Arial" w:hAnsi="Arial" w:cs="Arial"/>
          <w:i/>
          <w:sz w:val="20"/>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rsidR="00074F93" w:rsidRPr="00C31E27" w:rsidRDefault="00074F93" w:rsidP="00074F93">
      <w:pPr>
        <w:jc w:val="both"/>
        <w:rPr>
          <w:rFonts w:ascii="Arial" w:hAnsi="Arial" w:cs="Arial"/>
          <w:i/>
          <w:sz w:val="22"/>
          <w:szCs w:val="22"/>
        </w:rPr>
      </w:pPr>
    </w:p>
    <w:p w:rsidR="00074F93" w:rsidRPr="00C31E27" w:rsidRDefault="00074F93" w:rsidP="00074F93">
      <w:pPr>
        <w:ind w:right="51"/>
        <w:jc w:val="both"/>
        <w:rPr>
          <w:rFonts w:ascii="Arial" w:hAnsi="Arial" w:cs="Arial"/>
          <w:i/>
          <w:sz w:val="22"/>
          <w:szCs w:val="22"/>
        </w:rPr>
      </w:pPr>
      <w:r w:rsidRPr="00C31E27">
        <w:rPr>
          <w:rFonts w:ascii="Arial" w:hAnsi="Arial" w:cs="Arial"/>
          <w:i/>
          <w:sz w:val="22"/>
          <w:szCs w:val="22"/>
        </w:rPr>
        <w:t>Salta a la vista entonces, que con anterioridad a estas normas, no estaban establecidos los parámetros que permitieran dar una información técnica a título de proyección y por ello tal obligación no puede exigirse en estos asuntos.</w:t>
      </w:r>
    </w:p>
    <w:p w:rsidR="00074F93" w:rsidRPr="00C31E27" w:rsidRDefault="00074F93" w:rsidP="00074F93">
      <w:pPr>
        <w:ind w:right="51"/>
        <w:jc w:val="both"/>
        <w:rPr>
          <w:rFonts w:ascii="Arial" w:hAnsi="Arial" w:cs="Arial"/>
          <w:i/>
          <w:sz w:val="22"/>
          <w:szCs w:val="22"/>
        </w:rPr>
      </w:pPr>
    </w:p>
    <w:p w:rsidR="00074F93" w:rsidRDefault="00074F93" w:rsidP="00074F93">
      <w:pPr>
        <w:ind w:right="51"/>
        <w:jc w:val="both"/>
        <w:rPr>
          <w:rFonts w:ascii="Arial" w:hAnsi="Arial" w:cs="Arial"/>
          <w:i/>
          <w:sz w:val="22"/>
          <w:szCs w:val="22"/>
        </w:rPr>
      </w:pPr>
      <w:r w:rsidRPr="00C31E27">
        <w:rPr>
          <w:rFonts w:ascii="Arial" w:hAnsi="Arial" w:cs="Arial"/>
          <w:i/>
          <w:sz w:val="22"/>
          <w:szCs w:val="22"/>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F654C2" w:rsidRDefault="00F654C2" w:rsidP="00074F93">
      <w:pPr>
        <w:ind w:right="51"/>
        <w:jc w:val="both"/>
        <w:rPr>
          <w:rFonts w:ascii="Arial" w:hAnsi="Arial" w:cs="Arial"/>
          <w:i/>
          <w:sz w:val="22"/>
          <w:szCs w:val="22"/>
        </w:rPr>
      </w:pPr>
    </w:p>
    <w:p w:rsidR="00F654C2" w:rsidRDefault="00F654C2" w:rsidP="00074F93">
      <w:pPr>
        <w:ind w:right="51"/>
        <w:jc w:val="both"/>
        <w:rPr>
          <w:rFonts w:ascii="Arial" w:hAnsi="Arial" w:cs="Arial"/>
          <w:szCs w:val="24"/>
        </w:rPr>
      </w:pPr>
      <w:r w:rsidRPr="00F654C2">
        <w:rPr>
          <w:rFonts w:ascii="Arial" w:hAnsi="Arial" w:cs="Arial"/>
          <w:szCs w:val="24"/>
        </w:rPr>
        <w:t xml:space="preserve">Y, más adelante se refirió </w:t>
      </w:r>
      <w:r w:rsidR="00481F97">
        <w:rPr>
          <w:rFonts w:ascii="Arial" w:hAnsi="Arial" w:cs="Arial"/>
          <w:szCs w:val="24"/>
        </w:rPr>
        <w:t xml:space="preserve">en este salvamento </w:t>
      </w:r>
      <w:r w:rsidRPr="00F654C2">
        <w:rPr>
          <w:rFonts w:ascii="Arial" w:hAnsi="Arial" w:cs="Arial"/>
          <w:szCs w:val="24"/>
        </w:rPr>
        <w:t xml:space="preserve">a la diferencia que existe entre los eventos de ineficacia y nulidad de los traslados de régimen, así: </w:t>
      </w:r>
    </w:p>
    <w:p w:rsidR="00F654C2" w:rsidRDefault="00F654C2" w:rsidP="00074F93">
      <w:pPr>
        <w:ind w:right="51"/>
        <w:jc w:val="both"/>
        <w:rPr>
          <w:rFonts w:ascii="Arial" w:hAnsi="Arial" w:cs="Arial"/>
          <w:szCs w:val="24"/>
        </w:rPr>
      </w:pPr>
    </w:p>
    <w:p w:rsidR="00F654C2" w:rsidRPr="00F654C2" w:rsidRDefault="00927A3B" w:rsidP="00F654C2">
      <w:pPr>
        <w:ind w:right="284"/>
        <w:jc w:val="both"/>
        <w:rPr>
          <w:rFonts w:ascii="Arial" w:hAnsi="Arial" w:cs="Arial"/>
          <w:i/>
          <w:sz w:val="22"/>
          <w:szCs w:val="22"/>
        </w:rPr>
      </w:pPr>
      <w:r>
        <w:rPr>
          <w:rFonts w:ascii="Arial" w:hAnsi="Arial" w:cs="Arial"/>
          <w:b/>
          <w:i/>
          <w:sz w:val="22"/>
          <w:szCs w:val="22"/>
        </w:rPr>
        <w:lastRenderedPageBreak/>
        <w:t>“</w:t>
      </w:r>
      <w:r w:rsidR="00F654C2" w:rsidRPr="00F654C2">
        <w:rPr>
          <w:rFonts w:ascii="Arial" w:hAnsi="Arial" w:cs="Arial"/>
          <w:b/>
          <w:i/>
          <w:sz w:val="22"/>
          <w:szCs w:val="22"/>
        </w:rPr>
        <w:t>IMPORTANCIA DE LA DIFERENCIACIÓN ENTRE LOS CASOS DE INEFICACIA Y LOS CASOS DE NULIDAD</w:t>
      </w:r>
    </w:p>
    <w:p w:rsidR="00F654C2" w:rsidRPr="00F654C2" w:rsidRDefault="00F654C2" w:rsidP="00F654C2">
      <w:pPr>
        <w:ind w:right="284"/>
        <w:jc w:val="both"/>
        <w:rPr>
          <w:rFonts w:ascii="Arial" w:hAnsi="Arial" w:cs="Arial"/>
          <w:i/>
          <w:sz w:val="22"/>
          <w:szCs w:val="22"/>
        </w:rPr>
      </w:pPr>
    </w:p>
    <w:p w:rsidR="00F654C2" w:rsidRDefault="00F654C2" w:rsidP="00F654C2">
      <w:pPr>
        <w:ind w:right="284"/>
        <w:jc w:val="both"/>
        <w:rPr>
          <w:rFonts w:ascii="Arial" w:hAnsi="Arial" w:cs="Arial"/>
          <w:i/>
          <w:sz w:val="22"/>
          <w:szCs w:val="22"/>
        </w:rPr>
      </w:pPr>
      <w:r w:rsidRPr="00F654C2">
        <w:rPr>
          <w:rFonts w:ascii="Arial" w:hAnsi="Arial" w:cs="Arial"/>
          <w:i/>
          <w:sz w:val="22"/>
          <w:szCs w:val="22"/>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r w:rsidR="00927A3B">
        <w:rPr>
          <w:rFonts w:ascii="Arial" w:hAnsi="Arial" w:cs="Arial"/>
          <w:i/>
          <w:sz w:val="22"/>
          <w:szCs w:val="22"/>
        </w:rPr>
        <w:t>”</w:t>
      </w:r>
      <w:r w:rsidRPr="00F654C2">
        <w:rPr>
          <w:rFonts w:ascii="Arial" w:hAnsi="Arial" w:cs="Arial"/>
          <w:i/>
          <w:sz w:val="22"/>
          <w:szCs w:val="22"/>
        </w:rPr>
        <w:t>.</w:t>
      </w:r>
    </w:p>
    <w:p w:rsidR="00F654C2" w:rsidRPr="00F654C2" w:rsidRDefault="00F654C2" w:rsidP="00074F93">
      <w:pPr>
        <w:ind w:right="51"/>
        <w:jc w:val="both"/>
        <w:rPr>
          <w:rFonts w:ascii="Arial" w:hAnsi="Arial" w:cs="Arial"/>
          <w:szCs w:val="24"/>
        </w:rPr>
      </w:pPr>
    </w:p>
    <w:p w:rsidR="00C64A1B" w:rsidRPr="007F2FCF"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w:t>
      </w:r>
      <w:r w:rsidR="0030678C">
        <w:rPr>
          <w:rFonts w:ascii="Arial" w:hAnsi="Arial" w:cs="Arial"/>
          <w:b/>
          <w:color w:val="000000" w:themeColor="text1"/>
          <w:szCs w:val="24"/>
        </w:rPr>
        <w:t xml:space="preserve"> </w:t>
      </w:r>
      <w:r>
        <w:rPr>
          <w:rFonts w:ascii="Arial" w:hAnsi="Arial" w:cs="Arial"/>
          <w:b/>
          <w:color w:val="000000" w:themeColor="text1"/>
          <w:szCs w:val="24"/>
        </w:rPr>
        <w:t>l</w:t>
      </w:r>
      <w:r w:rsidR="0030678C">
        <w:rPr>
          <w:rFonts w:ascii="Arial" w:hAnsi="Arial" w:cs="Arial"/>
          <w:b/>
          <w:color w:val="000000" w:themeColor="text1"/>
          <w:szCs w:val="24"/>
        </w:rPr>
        <w:t>os</w:t>
      </w:r>
      <w:r>
        <w:rPr>
          <w:rFonts w:ascii="Arial" w:hAnsi="Arial" w:cs="Arial"/>
          <w:b/>
          <w:color w:val="000000" w:themeColor="text1"/>
          <w:szCs w:val="24"/>
        </w:rPr>
        <w:t xml:space="preserve"> problema</w:t>
      </w:r>
      <w:r w:rsidR="0030678C">
        <w:rPr>
          <w:rFonts w:ascii="Arial" w:hAnsi="Arial" w:cs="Arial"/>
          <w:b/>
          <w:color w:val="000000" w:themeColor="text1"/>
          <w:szCs w:val="24"/>
        </w:rPr>
        <w:t>s</w:t>
      </w:r>
      <w:r>
        <w:rPr>
          <w:rFonts w:ascii="Arial" w:hAnsi="Arial" w:cs="Arial"/>
          <w:b/>
          <w:color w:val="000000" w:themeColor="text1"/>
          <w:szCs w:val="24"/>
        </w:rPr>
        <w:t xml:space="preserve"> jurídico</w:t>
      </w:r>
      <w:r w:rsidR="0030678C">
        <w:rPr>
          <w:rFonts w:ascii="Arial" w:hAnsi="Arial" w:cs="Arial"/>
          <w:b/>
          <w:color w:val="000000" w:themeColor="text1"/>
          <w:szCs w:val="24"/>
        </w:rPr>
        <w:t>s</w:t>
      </w:r>
    </w:p>
    <w:p w:rsidR="00C64A1B" w:rsidRPr="007F2FCF" w:rsidRDefault="00C64A1B" w:rsidP="00C64A1B">
      <w:pPr>
        <w:pStyle w:val="Sinespaciado"/>
        <w:spacing w:line="276" w:lineRule="auto"/>
        <w:rPr>
          <w:rFonts w:ascii="Arial" w:hAnsi="Arial" w:cs="Arial"/>
          <w:color w:val="000000" w:themeColor="text1"/>
          <w:sz w:val="24"/>
          <w:szCs w:val="24"/>
        </w:rPr>
      </w:pP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sidR="0030678C">
        <w:rPr>
          <w:rFonts w:ascii="Arial" w:hAnsi="Arial" w:cs="Arial"/>
          <w:color w:val="000000" w:themeColor="text1"/>
          <w:szCs w:val="24"/>
          <w:lang w:eastAsia="es-CO"/>
        </w:rPr>
        <w:t xml:space="preserve"> la Sala formula </w:t>
      </w:r>
      <w:r>
        <w:rPr>
          <w:rFonts w:ascii="Arial" w:hAnsi="Arial" w:cs="Arial"/>
          <w:color w:val="000000" w:themeColor="text1"/>
          <w:szCs w:val="24"/>
          <w:lang w:eastAsia="es-CO"/>
        </w:rPr>
        <w:t>l</w:t>
      </w:r>
      <w:r w:rsidR="0030678C">
        <w:rPr>
          <w:rFonts w:ascii="Arial" w:hAnsi="Arial" w:cs="Arial"/>
          <w:color w:val="000000" w:themeColor="text1"/>
          <w:szCs w:val="24"/>
          <w:lang w:eastAsia="es-CO"/>
        </w:rPr>
        <w:t>os</w:t>
      </w:r>
      <w:r>
        <w:rPr>
          <w:rFonts w:ascii="Arial" w:hAnsi="Arial" w:cs="Arial"/>
          <w:color w:val="000000" w:themeColor="text1"/>
          <w:szCs w:val="24"/>
          <w:lang w:eastAsia="es-CO"/>
        </w:rPr>
        <w:t xml:space="preserve"> siguiente</w:t>
      </w:r>
      <w:r w:rsidR="0030678C">
        <w:rPr>
          <w:rFonts w:ascii="Arial" w:hAnsi="Arial" w:cs="Arial"/>
          <w:color w:val="000000" w:themeColor="text1"/>
          <w:szCs w:val="24"/>
          <w:lang w:eastAsia="es-CO"/>
        </w:rPr>
        <w:t>s</w:t>
      </w:r>
      <w:r w:rsidRPr="007F2FCF">
        <w:rPr>
          <w:rFonts w:ascii="Arial" w:hAnsi="Arial" w:cs="Arial"/>
          <w:color w:val="000000" w:themeColor="text1"/>
          <w:szCs w:val="24"/>
          <w:lang w:eastAsia="es-CO"/>
        </w:rPr>
        <w:t>:</w:t>
      </w: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p>
    <w:p w:rsidR="005E411D" w:rsidRDefault="005E411D" w:rsidP="005E411D">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t>¿</w:t>
      </w:r>
      <w:r w:rsidR="00EA7C52">
        <w:rPr>
          <w:iCs/>
          <w:color w:val="000000" w:themeColor="text1"/>
          <w:szCs w:val="24"/>
        </w:rPr>
        <w:t xml:space="preserve">La señora </w:t>
      </w:r>
      <w:r w:rsidR="00F24246">
        <w:rPr>
          <w:iCs/>
          <w:color w:val="000000" w:themeColor="text1"/>
          <w:szCs w:val="24"/>
        </w:rPr>
        <w:t xml:space="preserve">María Fabiola </w:t>
      </w:r>
      <w:proofErr w:type="spellStart"/>
      <w:r w:rsidR="00F24246">
        <w:rPr>
          <w:iCs/>
          <w:color w:val="000000" w:themeColor="text1"/>
          <w:szCs w:val="24"/>
        </w:rPr>
        <w:t>Velandia</w:t>
      </w:r>
      <w:proofErr w:type="spellEnd"/>
      <w:r w:rsidR="00F24246">
        <w:rPr>
          <w:iCs/>
          <w:color w:val="000000" w:themeColor="text1"/>
          <w:szCs w:val="24"/>
        </w:rPr>
        <w:t xml:space="preserve"> Vanegas</w:t>
      </w:r>
      <w:r w:rsidR="003A4CF9">
        <w:rPr>
          <w:iCs/>
          <w:color w:val="000000" w:themeColor="text1"/>
          <w:szCs w:val="24"/>
        </w:rPr>
        <w:t xml:space="preserve"> </w:t>
      </w:r>
      <w:r w:rsidR="009D4FB7">
        <w:rPr>
          <w:iCs/>
          <w:color w:val="000000" w:themeColor="text1"/>
          <w:szCs w:val="24"/>
        </w:rPr>
        <w:t xml:space="preserve">fue </w:t>
      </w:r>
      <w:r w:rsidR="00EA7C52">
        <w:rPr>
          <w:iCs/>
          <w:color w:val="000000" w:themeColor="text1"/>
          <w:szCs w:val="24"/>
        </w:rPr>
        <w:t xml:space="preserve">beneficiaria del régimen de transición previsto en la Ley 100  de 1993 y por tanto, se encuentra </w:t>
      </w:r>
      <w:r w:rsidR="00EA7C52">
        <w:rPr>
          <w:iCs/>
          <w:color w:val="000000" w:themeColor="text1"/>
          <w:szCs w:val="24"/>
          <w:lang w:val="es-CO"/>
        </w:rPr>
        <w:t xml:space="preserve">legitimada para solicitar </w:t>
      </w:r>
      <w:r w:rsidR="00EA7C52">
        <w:rPr>
          <w:iCs/>
          <w:color w:val="000000" w:themeColor="text1"/>
          <w:szCs w:val="24"/>
        </w:rPr>
        <w:t xml:space="preserve">la ineficacia de su afiliación </w:t>
      </w:r>
      <w:r w:rsidRPr="007F2FCF">
        <w:rPr>
          <w:iCs/>
          <w:color w:val="000000" w:themeColor="text1"/>
          <w:szCs w:val="24"/>
        </w:rPr>
        <w:t>al Régimen de Ahorro Individual con Solidaridad?</w:t>
      </w:r>
    </w:p>
    <w:p w:rsidR="00FF1239" w:rsidRDefault="00FF1239" w:rsidP="00FF1239">
      <w:pPr>
        <w:pStyle w:val="Textoindependiente"/>
        <w:spacing w:line="276" w:lineRule="auto"/>
        <w:ind w:left="720" w:right="-93"/>
        <w:contextualSpacing/>
        <w:rPr>
          <w:iCs/>
          <w:color w:val="000000" w:themeColor="text1"/>
          <w:szCs w:val="24"/>
        </w:rPr>
      </w:pPr>
    </w:p>
    <w:p w:rsidR="00FF1239" w:rsidRDefault="00EA7C52" w:rsidP="005E411D">
      <w:pPr>
        <w:pStyle w:val="Textoindependiente"/>
        <w:numPr>
          <w:ilvl w:val="1"/>
          <w:numId w:val="2"/>
        </w:numPr>
        <w:spacing w:line="276" w:lineRule="auto"/>
        <w:ind w:right="-93"/>
        <w:contextualSpacing/>
        <w:rPr>
          <w:iCs/>
          <w:color w:val="000000" w:themeColor="text1"/>
          <w:szCs w:val="24"/>
        </w:rPr>
      </w:pPr>
      <w:r>
        <w:rPr>
          <w:iCs/>
          <w:color w:val="000000" w:themeColor="text1"/>
          <w:szCs w:val="24"/>
        </w:rPr>
        <w:t xml:space="preserve">Si la respuesta al anterior interrogante fuere negativa </w:t>
      </w:r>
      <w:r w:rsidR="00FF1239">
        <w:rPr>
          <w:iCs/>
          <w:color w:val="000000" w:themeColor="text1"/>
          <w:szCs w:val="24"/>
        </w:rPr>
        <w:t>¿E</w:t>
      </w:r>
      <w:r>
        <w:rPr>
          <w:iCs/>
          <w:color w:val="000000" w:themeColor="text1"/>
          <w:szCs w:val="24"/>
        </w:rPr>
        <w:t xml:space="preserve">s </w:t>
      </w:r>
      <w:r w:rsidR="00FF1239">
        <w:rPr>
          <w:iCs/>
          <w:color w:val="000000" w:themeColor="text1"/>
          <w:szCs w:val="24"/>
        </w:rPr>
        <w:t>viable declar</w:t>
      </w:r>
      <w:r w:rsidR="00AF7835">
        <w:rPr>
          <w:iCs/>
          <w:color w:val="000000" w:themeColor="text1"/>
          <w:szCs w:val="24"/>
        </w:rPr>
        <w:t xml:space="preserve">ar la nulidad de la afiliación por </w:t>
      </w:r>
      <w:r w:rsidR="00FF1239">
        <w:rPr>
          <w:iCs/>
          <w:color w:val="000000" w:themeColor="text1"/>
          <w:szCs w:val="24"/>
        </w:rPr>
        <w:t xml:space="preserve">vicios </w:t>
      </w:r>
      <w:r w:rsidR="00AF7835">
        <w:rPr>
          <w:iCs/>
          <w:color w:val="000000" w:themeColor="text1"/>
          <w:szCs w:val="24"/>
        </w:rPr>
        <w:t xml:space="preserve">en el </w:t>
      </w:r>
      <w:r w:rsidR="00FF1239">
        <w:rPr>
          <w:iCs/>
          <w:color w:val="000000" w:themeColor="text1"/>
          <w:szCs w:val="24"/>
        </w:rPr>
        <w:t>consentimiento?</w:t>
      </w:r>
    </w:p>
    <w:p w:rsidR="00C64A1B" w:rsidRPr="007F2FCF" w:rsidRDefault="00C64A1B" w:rsidP="00C64A1B">
      <w:pPr>
        <w:pStyle w:val="Textoindependiente"/>
        <w:ind w:right="51"/>
        <w:rPr>
          <w:b/>
          <w:iCs/>
          <w:color w:val="000000" w:themeColor="text1"/>
          <w:szCs w:val="24"/>
        </w:rPr>
      </w:pPr>
    </w:p>
    <w:p w:rsidR="00C64A1B" w:rsidRDefault="00C64A1B" w:rsidP="007F72CB">
      <w:pPr>
        <w:pStyle w:val="Textoindependiente"/>
        <w:numPr>
          <w:ilvl w:val="0"/>
          <w:numId w:val="2"/>
        </w:numPr>
        <w:spacing w:line="276" w:lineRule="auto"/>
        <w:contextualSpacing/>
        <w:rPr>
          <w:b/>
          <w:iCs/>
          <w:color w:val="000000" w:themeColor="text1"/>
          <w:szCs w:val="24"/>
        </w:rPr>
      </w:pPr>
      <w:r>
        <w:rPr>
          <w:b/>
          <w:iCs/>
          <w:color w:val="000000" w:themeColor="text1"/>
          <w:szCs w:val="24"/>
        </w:rPr>
        <w:t>Solución a</w:t>
      </w:r>
      <w:r w:rsidR="00C43420">
        <w:rPr>
          <w:b/>
          <w:iCs/>
          <w:color w:val="000000" w:themeColor="text1"/>
          <w:szCs w:val="24"/>
        </w:rPr>
        <w:t xml:space="preserve"> </w:t>
      </w:r>
      <w:r>
        <w:rPr>
          <w:b/>
          <w:iCs/>
          <w:color w:val="000000" w:themeColor="text1"/>
          <w:szCs w:val="24"/>
        </w:rPr>
        <w:t>l</w:t>
      </w:r>
      <w:r w:rsidR="00C43420">
        <w:rPr>
          <w:b/>
          <w:iCs/>
          <w:color w:val="000000" w:themeColor="text1"/>
          <w:szCs w:val="24"/>
        </w:rPr>
        <w:t>os</w:t>
      </w:r>
      <w:r>
        <w:rPr>
          <w:b/>
          <w:iCs/>
          <w:color w:val="000000" w:themeColor="text1"/>
          <w:szCs w:val="24"/>
        </w:rPr>
        <w:t xml:space="preserve"> problema</w:t>
      </w:r>
      <w:r w:rsidR="00C43420">
        <w:rPr>
          <w:b/>
          <w:iCs/>
          <w:color w:val="000000" w:themeColor="text1"/>
          <w:szCs w:val="24"/>
        </w:rPr>
        <w:t>s</w:t>
      </w:r>
      <w:r>
        <w:rPr>
          <w:b/>
          <w:iCs/>
          <w:color w:val="000000" w:themeColor="text1"/>
          <w:szCs w:val="24"/>
        </w:rPr>
        <w:t xml:space="preserve"> jurídico</w:t>
      </w:r>
      <w:r w:rsidR="00C43420">
        <w:rPr>
          <w:b/>
          <w:iCs/>
          <w:color w:val="000000" w:themeColor="text1"/>
          <w:szCs w:val="24"/>
        </w:rPr>
        <w:t>s</w:t>
      </w:r>
      <w:r w:rsidRPr="007F2FCF">
        <w:rPr>
          <w:b/>
          <w:iCs/>
          <w:color w:val="000000" w:themeColor="text1"/>
          <w:szCs w:val="24"/>
        </w:rPr>
        <w:t xml:space="preserve"> </w:t>
      </w:r>
    </w:p>
    <w:p w:rsidR="00F17796" w:rsidRDefault="00F17796" w:rsidP="00F17796">
      <w:pPr>
        <w:pStyle w:val="Textoindependiente"/>
        <w:spacing w:line="276" w:lineRule="auto"/>
        <w:ind w:left="510"/>
        <w:contextualSpacing/>
        <w:rPr>
          <w:b/>
          <w:iCs/>
          <w:color w:val="000000" w:themeColor="text1"/>
          <w:szCs w:val="24"/>
        </w:rPr>
      </w:pPr>
    </w:p>
    <w:p w:rsidR="007F72CB" w:rsidRPr="009C0FA8" w:rsidRDefault="00B11EBB" w:rsidP="008167A7">
      <w:pPr>
        <w:pStyle w:val="Textoindependiente"/>
        <w:numPr>
          <w:ilvl w:val="1"/>
          <w:numId w:val="2"/>
        </w:numPr>
        <w:spacing w:line="276" w:lineRule="auto"/>
        <w:contextualSpacing/>
        <w:rPr>
          <w:b/>
          <w:iCs/>
          <w:color w:val="000000" w:themeColor="text1"/>
          <w:szCs w:val="24"/>
        </w:rPr>
      </w:pPr>
      <w:r w:rsidRPr="009C0FA8">
        <w:rPr>
          <w:b/>
          <w:iCs/>
          <w:color w:val="000000" w:themeColor="text1"/>
          <w:szCs w:val="24"/>
        </w:rPr>
        <w:t xml:space="preserve">Del régimen de transición </w:t>
      </w:r>
    </w:p>
    <w:p w:rsidR="008167A7" w:rsidRDefault="008167A7" w:rsidP="00C64A1B">
      <w:pPr>
        <w:pStyle w:val="Textoindependiente"/>
        <w:ind w:right="51"/>
        <w:rPr>
          <w:b/>
          <w:iCs/>
          <w:color w:val="000000" w:themeColor="text1"/>
          <w:szCs w:val="24"/>
        </w:rPr>
      </w:pPr>
    </w:p>
    <w:p w:rsidR="00C64A1B" w:rsidRPr="007F2FCF" w:rsidRDefault="003B6C32" w:rsidP="00C64A1B">
      <w:pPr>
        <w:pStyle w:val="Textoindependiente"/>
        <w:ind w:right="51"/>
        <w:rPr>
          <w:b/>
          <w:iCs/>
          <w:color w:val="000000" w:themeColor="text1"/>
          <w:szCs w:val="24"/>
        </w:rPr>
      </w:pPr>
      <w:r>
        <w:rPr>
          <w:b/>
          <w:iCs/>
          <w:color w:val="000000" w:themeColor="text1"/>
          <w:szCs w:val="24"/>
        </w:rPr>
        <w:t>2.</w:t>
      </w:r>
      <w:r w:rsidR="008167A7">
        <w:rPr>
          <w:b/>
          <w:iCs/>
          <w:color w:val="000000" w:themeColor="text1"/>
          <w:szCs w:val="24"/>
        </w:rPr>
        <w:t>1</w:t>
      </w:r>
      <w:r w:rsidR="00C64A1B" w:rsidRPr="007F2FCF">
        <w:rPr>
          <w:b/>
          <w:iCs/>
          <w:color w:val="000000" w:themeColor="text1"/>
          <w:szCs w:val="24"/>
        </w:rPr>
        <w:t>.1. Fundamento jurídico</w:t>
      </w:r>
    </w:p>
    <w:p w:rsidR="00C64A1B" w:rsidRDefault="00C64A1B" w:rsidP="00C64A1B">
      <w:pPr>
        <w:pStyle w:val="Textoindependiente"/>
        <w:ind w:right="51"/>
        <w:rPr>
          <w:b/>
          <w:iCs/>
          <w:color w:val="000000" w:themeColor="text1"/>
          <w:szCs w:val="24"/>
        </w:rPr>
      </w:pPr>
    </w:p>
    <w:p w:rsidR="00804FBC" w:rsidRPr="00044AE5" w:rsidRDefault="00804FBC" w:rsidP="00804FBC">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w:t>
      </w:r>
      <w:r w:rsidRPr="00044AE5">
        <w:rPr>
          <w:rFonts w:ascii="Arial" w:hAnsi="Arial" w:cs="Arial"/>
          <w:color w:val="000000"/>
          <w:szCs w:val="24"/>
          <w:lang w:eastAsia="es-CO"/>
        </w:rPr>
        <w:t>l tenor del parágrafo del artículo 151  de la Ley 100</w:t>
      </w:r>
      <w:r>
        <w:rPr>
          <w:rFonts w:ascii="Arial" w:hAnsi="Arial" w:cs="Arial"/>
          <w:color w:val="000000"/>
          <w:szCs w:val="24"/>
          <w:lang w:eastAsia="es-CO"/>
        </w:rPr>
        <w:t>/93</w:t>
      </w:r>
      <w:r w:rsidRPr="00044AE5">
        <w:rPr>
          <w:rFonts w:ascii="Arial" w:hAnsi="Arial" w:cs="Arial"/>
          <w:color w:val="000000"/>
          <w:szCs w:val="24"/>
          <w:lang w:eastAsia="es-CO"/>
        </w:rPr>
        <w:t xml:space="preserve">, declarado exequible por la Corte Constitucional en </w:t>
      </w:r>
      <w:r w:rsidRPr="00044AE5">
        <w:rPr>
          <w:rFonts w:ascii="Arial" w:hAnsi="Arial" w:cs="Arial"/>
        </w:rPr>
        <w:t>C- 415 de 2014, en concordancia con el decreto 813 de 1994</w:t>
      </w:r>
      <w:r>
        <w:rPr>
          <w:rFonts w:ascii="Arial" w:hAnsi="Arial" w:cs="Arial"/>
        </w:rPr>
        <w:t>;  l</w:t>
      </w:r>
      <w:r w:rsidRPr="00044AE5">
        <w:rPr>
          <w:rFonts w:ascii="Arial" w:hAnsi="Arial" w:cs="Arial"/>
          <w:color w:val="000000"/>
          <w:szCs w:val="24"/>
          <w:lang w:eastAsia="es-CO"/>
        </w:rPr>
        <w:t>os servidores públicos del orden territorial</w:t>
      </w:r>
      <w:r w:rsidRPr="00044AE5">
        <w:rPr>
          <w:rFonts w:ascii="Arial" w:hAnsi="Arial" w:cs="Arial"/>
        </w:rPr>
        <w:t xml:space="preserve"> son beneficiarios del régimen de transición </w:t>
      </w:r>
      <w:r w:rsidRPr="00044AE5">
        <w:rPr>
          <w:rFonts w:ascii="Arial" w:hAnsi="Arial" w:cs="Arial"/>
          <w:color w:val="000000"/>
          <w:szCs w:val="24"/>
          <w:lang w:eastAsia="es-CO"/>
        </w:rPr>
        <w:t>previsto en el artículo 36 de la Ley 100</w:t>
      </w:r>
      <w:r>
        <w:rPr>
          <w:rFonts w:ascii="Arial" w:hAnsi="Arial" w:cs="Arial"/>
          <w:color w:val="000000"/>
          <w:szCs w:val="24"/>
          <w:lang w:eastAsia="es-CO"/>
        </w:rPr>
        <w:t>/93,</w:t>
      </w:r>
      <w:r w:rsidRPr="00044AE5">
        <w:rPr>
          <w:rFonts w:ascii="Arial" w:hAnsi="Arial" w:cs="Arial"/>
          <w:color w:val="000000"/>
          <w:szCs w:val="24"/>
          <w:lang w:eastAsia="es-CO"/>
        </w:rPr>
        <w:t xml:space="preserve"> si al </w:t>
      </w:r>
      <w:r w:rsidRPr="00044AE5">
        <w:rPr>
          <w:rFonts w:ascii="Arial" w:hAnsi="Arial" w:cs="Arial"/>
        </w:rPr>
        <w:t>30/06/1995</w:t>
      </w:r>
      <w:r>
        <w:rPr>
          <w:rFonts w:ascii="Arial" w:hAnsi="Arial" w:cs="Arial"/>
          <w:color w:val="000000"/>
          <w:szCs w:val="24"/>
          <w:lang w:eastAsia="es-CO"/>
        </w:rPr>
        <w:t xml:space="preserve"> tuvieran</w:t>
      </w:r>
      <w:r w:rsidR="00E700C3">
        <w:rPr>
          <w:rFonts w:ascii="Arial" w:hAnsi="Arial" w:cs="Arial"/>
          <w:color w:val="000000"/>
          <w:szCs w:val="24"/>
          <w:lang w:eastAsia="es-CO"/>
        </w:rPr>
        <w:t xml:space="preserve"> 35</w:t>
      </w:r>
      <w:r w:rsidRPr="00044AE5">
        <w:rPr>
          <w:rFonts w:ascii="Arial" w:hAnsi="Arial" w:cs="Arial"/>
          <w:color w:val="000000"/>
          <w:szCs w:val="24"/>
          <w:lang w:eastAsia="es-CO"/>
        </w:rPr>
        <w:t xml:space="preserve"> años de edad</w:t>
      </w:r>
      <w:r>
        <w:rPr>
          <w:rFonts w:ascii="Arial" w:hAnsi="Arial" w:cs="Arial"/>
          <w:color w:val="000000"/>
          <w:szCs w:val="24"/>
          <w:lang w:eastAsia="es-CO"/>
        </w:rPr>
        <w:t xml:space="preserve"> o más</w:t>
      </w:r>
      <w:r w:rsidRPr="00044AE5">
        <w:rPr>
          <w:rFonts w:ascii="Arial" w:hAnsi="Arial" w:cs="Arial"/>
          <w:color w:val="000000"/>
          <w:szCs w:val="24"/>
          <w:lang w:eastAsia="es-CO"/>
        </w:rPr>
        <w:t xml:space="preserve">, de tratarse de </w:t>
      </w:r>
      <w:r w:rsidR="00E700C3">
        <w:rPr>
          <w:rFonts w:ascii="Arial" w:hAnsi="Arial" w:cs="Arial"/>
          <w:color w:val="000000"/>
          <w:szCs w:val="24"/>
          <w:lang w:eastAsia="es-CO"/>
        </w:rPr>
        <w:t xml:space="preserve">mujeres </w:t>
      </w:r>
      <w:r w:rsidRPr="00044AE5">
        <w:rPr>
          <w:rFonts w:ascii="Arial" w:hAnsi="Arial" w:cs="Arial"/>
          <w:color w:val="000000"/>
          <w:szCs w:val="24"/>
          <w:lang w:eastAsia="es-CO"/>
        </w:rPr>
        <w:t>o 15 o más años de servicios cotizados, a no ser que antes el ente territorial hubiere fijado la fecha de vigencia de la referida ley. Punto sobre el cual se ha pronunciado nuestra superioridad</w:t>
      </w:r>
      <w:r w:rsidRPr="00044AE5">
        <w:rPr>
          <w:rStyle w:val="Refdenotaalpie"/>
          <w:rFonts w:ascii="Arial" w:hAnsi="Arial" w:cs="Arial"/>
          <w:color w:val="000000"/>
          <w:szCs w:val="24"/>
          <w:lang w:eastAsia="es-CO"/>
        </w:rPr>
        <w:footnoteReference w:id="3"/>
      </w:r>
      <w:r>
        <w:rPr>
          <w:rFonts w:ascii="Arial" w:hAnsi="Arial" w:cs="Arial"/>
          <w:color w:val="000000"/>
          <w:szCs w:val="24"/>
          <w:lang w:eastAsia="es-CO"/>
        </w:rPr>
        <w:t>.</w:t>
      </w:r>
    </w:p>
    <w:p w:rsidR="00804FBC" w:rsidRPr="00044AE5" w:rsidRDefault="00804FBC" w:rsidP="00804FBC">
      <w:pPr>
        <w:shd w:val="clear" w:color="auto" w:fill="FFFFFF"/>
        <w:tabs>
          <w:tab w:val="left" w:pos="5197"/>
        </w:tabs>
        <w:spacing w:line="276" w:lineRule="auto"/>
        <w:contextualSpacing/>
        <w:jc w:val="both"/>
        <w:rPr>
          <w:rFonts w:ascii="Arial" w:hAnsi="Arial" w:cs="Arial"/>
          <w:color w:val="000000"/>
          <w:szCs w:val="24"/>
          <w:lang w:eastAsia="es-CO"/>
        </w:rPr>
      </w:pPr>
    </w:p>
    <w:p w:rsidR="00804FBC" w:rsidRDefault="00804FBC" w:rsidP="00804FBC">
      <w:pPr>
        <w:shd w:val="clear" w:color="auto" w:fill="FFFFFF"/>
        <w:tabs>
          <w:tab w:val="left" w:pos="5197"/>
        </w:tabs>
        <w:spacing w:line="276" w:lineRule="auto"/>
        <w:contextualSpacing/>
        <w:jc w:val="both"/>
        <w:rPr>
          <w:rFonts w:ascii="Arial" w:hAnsi="Arial" w:cs="Arial"/>
          <w:color w:val="000000"/>
          <w:szCs w:val="24"/>
          <w:lang w:eastAsia="es-CO"/>
        </w:rPr>
      </w:pPr>
      <w:r w:rsidRPr="00044AE5">
        <w:rPr>
          <w:rFonts w:ascii="Arial" w:hAnsi="Arial" w:cs="Arial"/>
          <w:color w:val="000000"/>
          <w:szCs w:val="24"/>
          <w:lang w:eastAsia="es-CO"/>
        </w:rPr>
        <w:t>Ahora, en cuanto al cumplimiento de la exigencia del A</w:t>
      </w:r>
      <w:r>
        <w:rPr>
          <w:rFonts w:ascii="Arial" w:hAnsi="Arial" w:cs="Arial"/>
          <w:color w:val="000000"/>
          <w:szCs w:val="24"/>
          <w:lang w:eastAsia="es-CO"/>
        </w:rPr>
        <w:t>cto Legislativo</w:t>
      </w:r>
      <w:r w:rsidRPr="00044AE5">
        <w:rPr>
          <w:rFonts w:ascii="Arial" w:hAnsi="Arial" w:cs="Arial"/>
          <w:color w:val="000000"/>
          <w:szCs w:val="24"/>
          <w:lang w:eastAsia="es-CO"/>
        </w:rPr>
        <w:t>, no tendrá lugar si se satisfacen las condiciones para pensionarse con anterioridad al 31</w:t>
      </w:r>
      <w:r>
        <w:rPr>
          <w:rFonts w:ascii="Arial" w:hAnsi="Arial" w:cs="Arial"/>
          <w:color w:val="000000"/>
          <w:szCs w:val="24"/>
          <w:lang w:eastAsia="es-CO"/>
        </w:rPr>
        <w:t>/07/2010</w:t>
      </w:r>
      <w:r w:rsidRPr="00044AE5">
        <w:rPr>
          <w:rFonts w:ascii="Arial" w:hAnsi="Arial" w:cs="Arial"/>
          <w:color w:val="000000"/>
          <w:szCs w:val="24"/>
          <w:lang w:eastAsia="es-CO"/>
        </w:rPr>
        <w:t>, de lo contrario</w:t>
      </w:r>
      <w:r>
        <w:rPr>
          <w:rFonts w:ascii="Arial" w:hAnsi="Arial" w:cs="Arial"/>
          <w:color w:val="000000"/>
          <w:szCs w:val="24"/>
          <w:lang w:eastAsia="es-CO"/>
        </w:rPr>
        <w:t>,</w:t>
      </w:r>
      <w:r w:rsidRPr="00044AE5">
        <w:rPr>
          <w:rFonts w:ascii="Arial" w:hAnsi="Arial" w:cs="Arial"/>
          <w:color w:val="000000"/>
          <w:szCs w:val="24"/>
          <w:lang w:eastAsia="es-CO"/>
        </w:rPr>
        <w:t xml:space="preserve"> deberá acreditar 7</w:t>
      </w:r>
      <w:r>
        <w:rPr>
          <w:rFonts w:ascii="Arial" w:hAnsi="Arial" w:cs="Arial"/>
          <w:color w:val="000000"/>
          <w:szCs w:val="24"/>
          <w:lang w:eastAsia="es-CO"/>
        </w:rPr>
        <w:t>50 semanas cotizadas para el 29/07/</w:t>
      </w:r>
      <w:r w:rsidRPr="00044AE5">
        <w:rPr>
          <w:rFonts w:ascii="Arial" w:hAnsi="Arial" w:cs="Arial"/>
          <w:color w:val="000000"/>
          <w:szCs w:val="24"/>
          <w:lang w:eastAsia="es-CO"/>
        </w:rPr>
        <w:t>2005.</w:t>
      </w:r>
      <w:r>
        <w:rPr>
          <w:rFonts w:ascii="Arial" w:hAnsi="Arial" w:cs="Arial"/>
          <w:color w:val="000000"/>
          <w:szCs w:val="24"/>
          <w:lang w:eastAsia="es-CO"/>
        </w:rPr>
        <w:t xml:space="preserve"> </w:t>
      </w:r>
    </w:p>
    <w:p w:rsidR="00804FBC" w:rsidRDefault="00804FBC" w:rsidP="00804FBC">
      <w:pPr>
        <w:shd w:val="clear" w:color="auto" w:fill="FFFFFF"/>
        <w:tabs>
          <w:tab w:val="left" w:pos="5197"/>
        </w:tabs>
        <w:spacing w:line="276" w:lineRule="auto"/>
        <w:contextualSpacing/>
        <w:jc w:val="both"/>
        <w:rPr>
          <w:rFonts w:ascii="Arial" w:hAnsi="Arial" w:cs="Arial"/>
          <w:color w:val="000000"/>
          <w:szCs w:val="24"/>
          <w:lang w:eastAsia="es-CO"/>
        </w:rPr>
      </w:pPr>
    </w:p>
    <w:p w:rsidR="00804FBC" w:rsidRDefault="00804FBC" w:rsidP="00804FBC">
      <w:pPr>
        <w:spacing w:line="276" w:lineRule="auto"/>
        <w:jc w:val="both"/>
        <w:rPr>
          <w:rFonts w:ascii="Arial" w:hAnsi="Arial" w:cs="Arial"/>
          <w:b/>
          <w:szCs w:val="24"/>
        </w:rPr>
      </w:pPr>
      <w:r w:rsidRPr="00E76252">
        <w:rPr>
          <w:rFonts w:ascii="Arial" w:hAnsi="Arial" w:cs="Arial"/>
          <w:b/>
          <w:szCs w:val="24"/>
        </w:rPr>
        <w:t>2.</w:t>
      </w:r>
      <w:r>
        <w:rPr>
          <w:rFonts w:ascii="Arial" w:hAnsi="Arial" w:cs="Arial"/>
          <w:b/>
          <w:szCs w:val="24"/>
        </w:rPr>
        <w:t>3</w:t>
      </w:r>
      <w:r w:rsidRPr="00E76252">
        <w:rPr>
          <w:rFonts w:ascii="Arial" w:hAnsi="Arial" w:cs="Arial"/>
          <w:b/>
          <w:szCs w:val="24"/>
        </w:rPr>
        <w:t>.2. Fundamento fáctico</w:t>
      </w:r>
    </w:p>
    <w:p w:rsidR="00804FBC" w:rsidRDefault="00804FBC" w:rsidP="00804FBC">
      <w:pPr>
        <w:spacing w:line="276" w:lineRule="auto"/>
        <w:jc w:val="both"/>
        <w:rPr>
          <w:rFonts w:ascii="Arial" w:hAnsi="Arial" w:cs="Arial"/>
          <w:b/>
          <w:szCs w:val="24"/>
        </w:rPr>
      </w:pPr>
    </w:p>
    <w:p w:rsidR="00804FBC" w:rsidRDefault="00056BAF" w:rsidP="00804FBC">
      <w:pPr>
        <w:pStyle w:val="Textoindependiente"/>
        <w:spacing w:line="276" w:lineRule="auto"/>
        <w:contextualSpacing/>
        <w:rPr>
          <w:iCs/>
          <w:szCs w:val="24"/>
        </w:rPr>
      </w:pPr>
      <w:r>
        <w:rPr>
          <w:iCs/>
          <w:szCs w:val="24"/>
        </w:rPr>
        <w:t>Según la historia laboral consolidada de Porvenir S.A. –</w:t>
      </w:r>
      <w:proofErr w:type="spellStart"/>
      <w:r>
        <w:rPr>
          <w:iCs/>
          <w:szCs w:val="24"/>
        </w:rPr>
        <w:t>fls</w:t>
      </w:r>
      <w:proofErr w:type="spellEnd"/>
      <w:r>
        <w:rPr>
          <w:iCs/>
          <w:szCs w:val="24"/>
        </w:rPr>
        <w:t xml:space="preserve">. 26 y s.s. y 128 y s.s. del cd. 1-, así como del </w:t>
      </w:r>
      <w:r w:rsidR="00E700C3">
        <w:rPr>
          <w:iCs/>
          <w:szCs w:val="24"/>
        </w:rPr>
        <w:t>r</w:t>
      </w:r>
      <w:r w:rsidR="00AE3F6F">
        <w:rPr>
          <w:iCs/>
          <w:szCs w:val="24"/>
        </w:rPr>
        <w:t>esumen de historia laboral para emisión de bono pensional –</w:t>
      </w:r>
      <w:proofErr w:type="spellStart"/>
      <w:r w:rsidR="00AE3F6F">
        <w:rPr>
          <w:iCs/>
          <w:szCs w:val="24"/>
        </w:rPr>
        <w:t>fls</w:t>
      </w:r>
      <w:proofErr w:type="spellEnd"/>
      <w:r w:rsidR="00AE3F6F">
        <w:rPr>
          <w:iCs/>
          <w:szCs w:val="24"/>
        </w:rPr>
        <w:t>. 170 y s.s. del mismo cuaderno, se advierte que la actora inicio su vida laboral el 04/09/1986 al servicio de la Contraloría de Cundinamarca, por lo tanto, ostentaba la calidad de servidora pública del orden departamental, de ahí que</w:t>
      </w:r>
      <w:r w:rsidR="00804FBC">
        <w:rPr>
          <w:iCs/>
          <w:szCs w:val="24"/>
        </w:rPr>
        <w:t xml:space="preserve"> su ingreso al sistema general de pensiones estaba </w:t>
      </w:r>
      <w:r w:rsidR="00D52F25">
        <w:rPr>
          <w:iCs/>
          <w:szCs w:val="24"/>
        </w:rPr>
        <w:t xml:space="preserve">dado por tardar </w:t>
      </w:r>
      <w:r w:rsidR="00804FBC">
        <w:rPr>
          <w:iCs/>
          <w:szCs w:val="24"/>
        </w:rPr>
        <w:t>para el 30/06/1995</w:t>
      </w:r>
      <w:r w:rsidR="00D52F25">
        <w:rPr>
          <w:iCs/>
          <w:szCs w:val="24"/>
        </w:rPr>
        <w:t>;</w:t>
      </w:r>
      <w:r w:rsidR="00804FBC">
        <w:rPr>
          <w:iCs/>
          <w:szCs w:val="24"/>
        </w:rPr>
        <w:t xml:space="preserve"> por lo que la </w:t>
      </w:r>
      <w:r w:rsidR="00D52F25">
        <w:rPr>
          <w:iCs/>
          <w:szCs w:val="24"/>
        </w:rPr>
        <w:t xml:space="preserve">actora </w:t>
      </w:r>
      <w:r w:rsidR="00804FBC">
        <w:rPr>
          <w:iCs/>
          <w:szCs w:val="24"/>
        </w:rPr>
        <w:t xml:space="preserve">debía acreditar para ese momento los 35 años de edad o los 15 años de servicios para poder ser considerada beneficiaria del régimen de transición. </w:t>
      </w:r>
    </w:p>
    <w:p w:rsidR="00804FBC" w:rsidRDefault="00804FBC" w:rsidP="00804FBC">
      <w:pPr>
        <w:pStyle w:val="Textoindependiente"/>
        <w:spacing w:line="276" w:lineRule="auto"/>
        <w:contextualSpacing/>
        <w:rPr>
          <w:iCs/>
          <w:szCs w:val="24"/>
        </w:rPr>
      </w:pPr>
    </w:p>
    <w:p w:rsidR="00351FC5" w:rsidRDefault="00D52F25" w:rsidP="00FE1D09">
      <w:pPr>
        <w:pStyle w:val="Textoindependiente"/>
        <w:spacing w:line="276" w:lineRule="auto"/>
        <w:contextualSpacing/>
      </w:pPr>
      <w:r>
        <w:rPr>
          <w:iCs/>
          <w:szCs w:val="24"/>
        </w:rPr>
        <w:t>En lo que a la edad concierne</w:t>
      </w:r>
      <w:r w:rsidR="00FE1D09">
        <w:rPr>
          <w:iCs/>
          <w:szCs w:val="24"/>
        </w:rPr>
        <w:t xml:space="preserve">, para esa calenda contaba con 34 años 6 meses y 6 días y, en relación con el tiempo de servicios, tenía </w:t>
      </w:r>
      <w:r>
        <w:rPr>
          <w:iCs/>
          <w:szCs w:val="24"/>
        </w:rPr>
        <w:t>8 años y 9 meses</w:t>
      </w:r>
      <w:r w:rsidR="00804FBC">
        <w:rPr>
          <w:iCs/>
          <w:szCs w:val="24"/>
        </w:rPr>
        <w:t xml:space="preserve">, según lo informa </w:t>
      </w:r>
      <w:r>
        <w:rPr>
          <w:iCs/>
          <w:szCs w:val="24"/>
        </w:rPr>
        <w:t>la documental referida</w:t>
      </w:r>
      <w:r w:rsidR="00804FBC">
        <w:rPr>
          <w:iCs/>
          <w:szCs w:val="24"/>
        </w:rPr>
        <w:t xml:space="preserve"> </w:t>
      </w:r>
      <w:proofErr w:type="spellStart"/>
      <w:r w:rsidR="00804FBC">
        <w:rPr>
          <w:iCs/>
          <w:szCs w:val="24"/>
        </w:rPr>
        <w:t>ant</w:t>
      </w:r>
      <w:r w:rsidR="00FE1D09">
        <w:rPr>
          <w:iCs/>
          <w:szCs w:val="24"/>
        </w:rPr>
        <w:t>eladamente</w:t>
      </w:r>
      <w:proofErr w:type="spellEnd"/>
      <w:r w:rsidR="00FE1D09">
        <w:rPr>
          <w:iCs/>
          <w:szCs w:val="24"/>
        </w:rPr>
        <w:t xml:space="preserve">, por lo que resulta evidente que no </w:t>
      </w:r>
      <w:r w:rsidR="00F454EC">
        <w:rPr>
          <w:iCs/>
          <w:szCs w:val="24"/>
        </w:rPr>
        <w:t xml:space="preserve">fue </w:t>
      </w:r>
      <w:r w:rsidR="00FE1D09">
        <w:rPr>
          <w:iCs/>
          <w:szCs w:val="24"/>
        </w:rPr>
        <w:t xml:space="preserve">beneficiaria del régimen de transición, situación que por demás no fue cuestionada por la parte actora, quien desde el hecho décimo segundo de la demanda así lo afirmó; </w:t>
      </w:r>
      <w:r w:rsidR="007A3975" w:rsidRPr="007C17F3">
        <w:rPr>
          <w:color w:val="000000"/>
          <w:lang w:eastAsia="es-CO"/>
        </w:rPr>
        <w:t>por lo tanto, no</w:t>
      </w:r>
      <w:r w:rsidR="000363A7" w:rsidRPr="007C17F3">
        <w:t xml:space="preserve"> es posible orientar sus pedimentos bajo el análisis de ineficacia del traslado </w:t>
      </w:r>
      <w:r w:rsidR="007C17F3" w:rsidRPr="007C17F3">
        <w:t xml:space="preserve">como se había indicado en otros asuntos por esta Sala Mayoritaria y </w:t>
      </w:r>
      <w:r w:rsidR="009C0FA8">
        <w:t xml:space="preserve">fue la forma en que </w:t>
      </w:r>
      <w:r w:rsidR="009C0FA8" w:rsidRPr="007C17F3">
        <w:t>la a-quo</w:t>
      </w:r>
      <w:r w:rsidR="009C0FA8">
        <w:t xml:space="preserve"> desató el presente asunto</w:t>
      </w:r>
      <w:r w:rsidR="007C17F3" w:rsidRPr="007C17F3">
        <w:t xml:space="preserve"> </w:t>
      </w:r>
      <w:r w:rsidR="000363A7" w:rsidRPr="007C17F3">
        <w:t xml:space="preserve">y por ende, se </w:t>
      </w:r>
      <w:r w:rsidR="007C17F3">
        <w:rPr>
          <w:lang w:val="es-CO"/>
        </w:rPr>
        <w:t xml:space="preserve">efectuará </w:t>
      </w:r>
      <w:r w:rsidR="00FE1D09">
        <w:rPr>
          <w:lang w:val="es-CO"/>
        </w:rPr>
        <w:t xml:space="preserve">su estudio </w:t>
      </w:r>
      <w:r w:rsidR="007C17F3">
        <w:t xml:space="preserve">bajo la figura de </w:t>
      </w:r>
      <w:r w:rsidR="000363A7" w:rsidRPr="007C17F3">
        <w:t>la nulidad del</w:t>
      </w:r>
      <w:r w:rsidR="007C17F3">
        <w:t xml:space="preserve"> acto jurídico de traslado, conform</w:t>
      </w:r>
      <w:r w:rsidR="00242618">
        <w:t>e fue peticionado en la demanda.</w:t>
      </w:r>
    </w:p>
    <w:p w:rsidR="00FE1D09" w:rsidRPr="007C17F3" w:rsidRDefault="00FE1D09" w:rsidP="00FE1D09">
      <w:pPr>
        <w:pStyle w:val="Textoindependiente"/>
        <w:spacing w:line="276" w:lineRule="auto"/>
        <w:contextualSpacing/>
      </w:pPr>
    </w:p>
    <w:p w:rsidR="00771EEF" w:rsidRDefault="00771EEF" w:rsidP="00771EEF">
      <w:pPr>
        <w:pStyle w:val="Textoindependiente"/>
        <w:numPr>
          <w:ilvl w:val="0"/>
          <w:numId w:val="2"/>
        </w:numPr>
        <w:ind w:right="51"/>
        <w:rPr>
          <w:b/>
          <w:iCs/>
          <w:szCs w:val="24"/>
        </w:rPr>
      </w:pPr>
      <w:r>
        <w:rPr>
          <w:b/>
          <w:iCs/>
          <w:szCs w:val="24"/>
        </w:rPr>
        <w:t>Nulidad de los actos jurídicos y oportunidad para alegarla.</w:t>
      </w:r>
    </w:p>
    <w:p w:rsidR="00771EEF" w:rsidRDefault="00771EEF" w:rsidP="00771EEF">
      <w:pPr>
        <w:pStyle w:val="Textoindependiente"/>
        <w:ind w:right="51"/>
        <w:rPr>
          <w:b/>
          <w:iCs/>
          <w:szCs w:val="24"/>
        </w:rPr>
      </w:pPr>
    </w:p>
    <w:p w:rsidR="00771EEF" w:rsidRDefault="00771EEF" w:rsidP="00771EEF">
      <w:pPr>
        <w:pStyle w:val="Textoindependiente"/>
        <w:numPr>
          <w:ilvl w:val="1"/>
          <w:numId w:val="2"/>
        </w:numPr>
        <w:ind w:right="51"/>
        <w:rPr>
          <w:b/>
          <w:iCs/>
          <w:szCs w:val="24"/>
        </w:rPr>
      </w:pPr>
      <w:r>
        <w:rPr>
          <w:b/>
          <w:iCs/>
          <w:szCs w:val="24"/>
        </w:rPr>
        <w:t xml:space="preserve">Fundamento jurídico </w:t>
      </w:r>
    </w:p>
    <w:p w:rsidR="00771EEF" w:rsidRDefault="00771EEF" w:rsidP="00771EEF">
      <w:pPr>
        <w:pStyle w:val="Textoindependiente"/>
        <w:spacing w:line="276" w:lineRule="auto"/>
        <w:ind w:right="51"/>
        <w:rPr>
          <w:b/>
          <w:iCs/>
          <w:szCs w:val="24"/>
        </w:rPr>
      </w:pPr>
    </w:p>
    <w:p w:rsidR="00771EEF" w:rsidRDefault="00771EEF" w:rsidP="00771EEF">
      <w:pPr>
        <w:pStyle w:val="Textoindependiente"/>
        <w:spacing w:line="276" w:lineRule="auto"/>
        <w:rPr>
          <w:bCs/>
          <w:iCs/>
          <w:szCs w:val="24"/>
        </w:rPr>
      </w:pPr>
      <w:r>
        <w:rPr>
          <w:bCs/>
          <w:iCs/>
          <w:szCs w:val="24"/>
        </w:rPr>
        <w:t xml:space="preserve">De conformidad con el artículo 1741 del Código Civil, la nulidad de los actos jurídicos o de los contratos es absoluta cuando se produce por un objeto o causa ilícita </w:t>
      </w:r>
      <w:r w:rsidR="00F454EC">
        <w:rPr>
          <w:bCs/>
          <w:iCs/>
          <w:szCs w:val="24"/>
        </w:rPr>
        <w:t>o por falta de las formalidades. M</w:t>
      </w:r>
      <w:r>
        <w:rPr>
          <w:bCs/>
          <w:iCs/>
          <w:szCs w:val="24"/>
        </w:rPr>
        <w:t>ientras que cuando tiene un origen diverso como por ejemplo un vicio del consentimiento, sólo se genera nulidad relativa, que da lugar a la rescisión del acto o contrato.</w:t>
      </w:r>
    </w:p>
    <w:p w:rsidR="00273B2F" w:rsidRDefault="00273B2F" w:rsidP="00771EEF">
      <w:pPr>
        <w:pStyle w:val="Textoindependiente"/>
        <w:spacing w:line="276" w:lineRule="auto"/>
        <w:rPr>
          <w:bCs/>
          <w:iCs/>
          <w:szCs w:val="24"/>
        </w:rPr>
      </w:pPr>
    </w:p>
    <w:p w:rsidR="00244A77" w:rsidRDefault="00273B2F" w:rsidP="00771EEF">
      <w:pPr>
        <w:pStyle w:val="Textoindependiente"/>
        <w:spacing w:line="276" w:lineRule="auto"/>
        <w:rPr>
          <w:bCs/>
          <w:iCs/>
          <w:szCs w:val="24"/>
        </w:rPr>
      </w:pPr>
      <w:r>
        <w:rPr>
          <w:bCs/>
          <w:iCs/>
          <w:szCs w:val="24"/>
        </w:rPr>
        <w:t xml:space="preserve">En cuanto a los vicios el consentimiento, según lo establece el artículo 1508 </w:t>
      </w:r>
      <w:r w:rsidRPr="00273B2F">
        <w:rPr>
          <w:bCs/>
          <w:i/>
          <w:iCs/>
          <w:szCs w:val="24"/>
        </w:rPr>
        <w:t>ibídem</w:t>
      </w:r>
      <w:r>
        <w:rPr>
          <w:bCs/>
          <w:i/>
          <w:iCs/>
          <w:szCs w:val="24"/>
        </w:rPr>
        <w:t xml:space="preserve">, </w:t>
      </w:r>
      <w:r>
        <w:rPr>
          <w:bCs/>
          <w:iCs/>
          <w:szCs w:val="24"/>
        </w:rPr>
        <w:t>lo son el error, la fuerza y el dolo</w:t>
      </w:r>
      <w:r w:rsidR="00244A77">
        <w:rPr>
          <w:bCs/>
          <w:iCs/>
          <w:szCs w:val="24"/>
        </w:rPr>
        <w:t>.</w:t>
      </w:r>
    </w:p>
    <w:p w:rsidR="00244A77" w:rsidRDefault="00244A77" w:rsidP="00771EEF">
      <w:pPr>
        <w:pStyle w:val="Textoindependiente"/>
        <w:spacing w:line="276" w:lineRule="auto"/>
        <w:rPr>
          <w:bCs/>
          <w:iCs/>
          <w:szCs w:val="24"/>
        </w:rPr>
      </w:pPr>
    </w:p>
    <w:p w:rsidR="00E97A27" w:rsidRDefault="00244A77" w:rsidP="00771EEF">
      <w:pPr>
        <w:pStyle w:val="Textoindependiente"/>
        <w:spacing w:line="276" w:lineRule="auto"/>
        <w:rPr>
          <w:bCs/>
          <w:iCs/>
          <w:szCs w:val="24"/>
        </w:rPr>
      </w:pPr>
      <w:r>
        <w:rPr>
          <w:bCs/>
          <w:iCs/>
          <w:szCs w:val="24"/>
        </w:rPr>
        <w:t xml:space="preserve">El primero –error-, puede serlo </w:t>
      </w:r>
      <w:r w:rsidR="00E97A27">
        <w:rPr>
          <w:bCs/>
          <w:iCs/>
          <w:szCs w:val="24"/>
        </w:rPr>
        <w:t>de derecho y de hecho, pero aquel no vicia el consentimiento, conforme lo plantea el artículo 1509.</w:t>
      </w:r>
    </w:p>
    <w:p w:rsidR="00E97A27" w:rsidRDefault="00E97A27" w:rsidP="00771EEF">
      <w:pPr>
        <w:pStyle w:val="Textoindependiente"/>
        <w:spacing w:line="276" w:lineRule="auto"/>
        <w:rPr>
          <w:bCs/>
          <w:iCs/>
          <w:szCs w:val="24"/>
        </w:rPr>
      </w:pPr>
    </w:p>
    <w:p w:rsidR="00895685" w:rsidRDefault="00E97A27" w:rsidP="00771EEF">
      <w:pPr>
        <w:pStyle w:val="Textoindependiente"/>
        <w:spacing w:line="276" w:lineRule="auto"/>
        <w:rPr>
          <w:bCs/>
          <w:iCs/>
          <w:szCs w:val="24"/>
        </w:rPr>
      </w:pPr>
      <w:r>
        <w:rPr>
          <w:bCs/>
          <w:iCs/>
          <w:szCs w:val="24"/>
        </w:rPr>
        <w:t xml:space="preserve">Por su parte, el error de hecho, </w:t>
      </w:r>
      <w:r w:rsidR="00A30777">
        <w:rPr>
          <w:bCs/>
          <w:iCs/>
          <w:szCs w:val="24"/>
        </w:rPr>
        <w:t xml:space="preserve">puede presentarse en </w:t>
      </w:r>
      <w:r>
        <w:rPr>
          <w:bCs/>
          <w:iCs/>
          <w:szCs w:val="24"/>
        </w:rPr>
        <w:t xml:space="preserve">5 </w:t>
      </w:r>
      <w:r w:rsidR="00A30777">
        <w:rPr>
          <w:bCs/>
          <w:iCs/>
          <w:szCs w:val="24"/>
        </w:rPr>
        <w:t>formas</w:t>
      </w:r>
      <w:r w:rsidR="00CC07C4">
        <w:rPr>
          <w:bCs/>
          <w:iCs/>
          <w:szCs w:val="24"/>
        </w:rPr>
        <w:t>, (i) acerca de la naturaleza del acto o negocio, (ii)</w:t>
      </w:r>
      <w:r w:rsidR="00895685" w:rsidRPr="00895685">
        <w:rPr>
          <w:bCs/>
          <w:iCs/>
          <w:szCs w:val="24"/>
        </w:rPr>
        <w:t xml:space="preserve"> </w:t>
      </w:r>
      <w:r w:rsidR="00895685">
        <w:rPr>
          <w:bCs/>
          <w:iCs/>
          <w:szCs w:val="24"/>
        </w:rPr>
        <w:t xml:space="preserve">acerca de la persona; (iii) </w:t>
      </w:r>
      <w:r w:rsidR="00CC07C4">
        <w:rPr>
          <w:bCs/>
          <w:iCs/>
          <w:szCs w:val="24"/>
        </w:rPr>
        <w:t xml:space="preserve">de la identidad de la cosa </w:t>
      </w:r>
      <w:r w:rsidR="00895685">
        <w:rPr>
          <w:bCs/>
          <w:iCs/>
          <w:szCs w:val="24"/>
        </w:rPr>
        <w:t>específica</w:t>
      </w:r>
      <w:r w:rsidR="00CC07C4">
        <w:rPr>
          <w:bCs/>
          <w:iCs/>
          <w:szCs w:val="24"/>
        </w:rPr>
        <w:t xml:space="preserve">; </w:t>
      </w:r>
      <w:r w:rsidR="00895685">
        <w:rPr>
          <w:bCs/>
          <w:iCs/>
          <w:szCs w:val="24"/>
        </w:rPr>
        <w:t>(iv) de la sustancia o calida</w:t>
      </w:r>
      <w:r w:rsidR="00FD3835">
        <w:rPr>
          <w:bCs/>
          <w:iCs/>
          <w:szCs w:val="24"/>
        </w:rPr>
        <w:t>d esencial del objeto o cosa; (</w:t>
      </w:r>
      <w:r w:rsidR="00895685">
        <w:rPr>
          <w:bCs/>
          <w:iCs/>
          <w:szCs w:val="24"/>
        </w:rPr>
        <w:t>v) de las calidades accidentales de la cosa u objeto.</w:t>
      </w:r>
    </w:p>
    <w:p w:rsidR="00895685" w:rsidRDefault="00895685" w:rsidP="00771EEF">
      <w:pPr>
        <w:pStyle w:val="Textoindependiente"/>
        <w:spacing w:line="276" w:lineRule="auto"/>
        <w:rPr>
          <w:bCs/>
          <w:iCs/>
          <w:szCs w:val="24"/>
        </w:rPr>
      </w:pPr>
    </w:p>
    <w:p w:rsidR="006B56E0" w:rsidRDefault="00902F52" w:rsidP="00771EEF">
      <w:pPr>
        <w:pStyle w:val="Textoindependiente"/>
        <w:spacing w:line="276" w:lineRule="auto"/>
        <w:rPr>
          <w:bCs/>
          <w:iCs/>
          <w:szCs w:val="24"/>
        </w:rPr>
      </w:pPr>
      <w:r>
        <w:rPr>
          <w:bCs/>
          <w:iCs/>
          <w:szCs w:val="24"/>
        </w:rPr>
        <w:t>Así</w:t>
      </w:r>
      <w:r w:rsidR="00F454EC">
        <w:rPr>
          <w:bCs/>
          <w:iCs/>
          <w:szCs w:val="24"/>
        </w:rPr>
        <w:t xml:space="preserve">, el error se traduce entre otros, en la </w:t>
      </w:r>
      <w:r w:rsidR="006B56E0">
        <w:rPr>
          <w:bCs/>
          <w:iCs/>
          <w:szCs w:val="24"/>
        </w:rPr>
        <w:t>convicción de que a través del formulario se está realizando un acto jurídico diferente al traslado de régimen pensional, o que se está haciendo un traslado entre AFP mas no de régimen</w:t>
      </w:r>
      <w:r w:rsidR="00E700C3">
        <w:rPr>
          <w:bCs/>
          <w:iCs/>
          <w:szCs w:val="24"/>
        </w:rPr>
        <w:t>, frente a los beneficios ofrecidos en cada uno de los regímenes pensionales</w:t>
      </w:r>
      <w:r w:rsidR="006B56E0">
        <w:rPr>
          <w:bCs/>
          <w:iCs/>
          <w:szCs w:val="24"/>
        </w:rPr>
        <w:t xml:space="preserve"> </w:t>
      </w:r>
      <w:r w:rsidR="00F454EC">
        <w:rPr>
          <w:bCs/>
          <w:iCs/>
          <w:szCs w:val="24"/>
        </w:rPr>
        <w:t xml:space="preserve">que no son ciertos </w:t>
      </w:r>
      <w:r w:rsidR="006B56E0">
        <w:rPr>
          <w:bCs/>
          <w:iCs/>
          <w:szCs w:val="24"/>
        </w:rPr>
        <w:t>o que se está trasladando a determinado fondo cuando quiere hacerlo a otro, respectivamente.</w:t>
      </w:r>
    </w:p>
    <w:p w:rsidR="00E67BB9" w:rsidRDefault="00E67BB9" w:rsidP="00771EEF">
      <w:pPr>
        <w:pStyle w:val="Textoindependiente"/>
        <w:spacing w:line="276" w:lineRule="auto"/>
        <w:rPr>
          <w:bCs/>
          <w:iCs/>
          <w:szCs w:val="24"/>
        </w:rPr>
      </w:pPr>
    </w:p>
    <w:p w:rsidR="00E67BB9" w:rsidRDefault="00E67BB9" w:rsidP="00771EEF">
      <w:pPr>
        <w:pStyle w:val="Textoindependiente"/>
        <w:spacing w:line="276" w:lineRule="auto"/>
        <w:rPr>
          <w:bCs/>
          <w:iCs/>
          <w:szCs w:val="24"/>
        </w:rPr>
      </w:pPr>
      <w:r>
        <w:rPr>
          <w:bCs/>
          <w:iCs/>
          <w:szCs w:val="24"/>
        </w:rPr>
        <w:lastRenderedPageBreak/>
        <w:t xml:space="preserve">La fuerza y el dolo, por su parte se refieren a la presión física o moral o artificios que se ejercen sobre la persona para que se obligue. </w:t>
      </w:r>
    </w:p>
    <w:p w:rsidR="006B56E0" w:rsidRDefault="006B56E0" w:rsidP="00771EEF">
      <w:pPr>
        <w:pStyle w:val="Textoindependiente"/>
        <w:spacing w:line="276" w:lineRule="auto"/>
        <w:rPr>
          <w:bCs/>
          <w:iCs/>
          <w:szCs w:val="24"/>
        </w:rPr>
      </w:pPr>
    </w:p>
    <w:p w:rsidR="00771EEF" w:rsidRDefault="007E16D6" w:rsidP="00771EEF">
      <w:pPr>
        <w:pStyle w:val="Textoindependiente"/>
        <w:spacing w:line="276" w:lineRule="auto"/>
        <w:rPr>
          <w:bCs/>
          <w:iCs/>
          <w:szCs w:val="24"/>
        </w:rPr>
      </w:pPr>
      <w:r>
        <w:rPr>
          <w:bCs/>
          <w:iCs/>
          <w:szCs w:val="24"/>
        </w:rPr>
        <w:t>Por su parte</w:t>
      </w:r>
      <w:r w:rsidR="00771EEF">
        <w:rPr>
          <w:bCs/>
          <w:iCs/>
          <w:szCs w:val="24"/>
        </w:rPr>
        <w:t>, el artículo 1750 del Código Civil prevé que para alegar la rescisión en los eventos en que se alegue la ocurrencia de error o dolo, se cuenta con un plazo de cuatro años contados desde el día de la celebración del acto o contrato.</w:t>
      </w:r>
    </w:p>
    <w:p w:rsidR="00771EEF" w:rsidRDefault="00771EEF" w:rsidP="00771EEF">
      <w:pPr>
        <w:pStyle w:val="Textoindependiente"/>
        <w:spacing w:line="276" w:lineRule="auto"/>
        <w:rPr>
          <w:bCs/>
          <w:iCs/>
          <w:szCs w:val="24"/>
        </w:rPr>
      </w:pPr>
    </w:p>
    <w:p w:rsidR="00771EEF" w:rsidRDefault="00771EEF" w:rsidP="00771EEF">
      <w:pPr>
        <w:pStyle w:val="Textoindependiente"/>
        <w:spacing w:line="276" w:lineRule="auto"/>
        <w:rPr>
          <w:bCs/>
          <w:szCs w:val="24"/>
        </w:rPr>
      </w:pPr>
      <w:r>
        <w:rPr>
          <w:bCs/>
          <w:szCs w:val="24"/>
        </w:rPr>
        <w:t xml:space="preserve">De otro lado el artículo 1743 </w:t>
      </w:r>
      <w:r>
        <w:rPr>
          <w:bCs/>
          <w:i/>
          <w:iCs/>
          <w:szCs w:val="24"/>
        </w:rPr>
        <w:t xml:space="preserve">ibídem </w:t>
      </w:r>
      <w:r>
        <w:rPr>
          <w:bCs/>
          <w:szCs w:val="24"/>
        </w:rPr>
        <w:t>dispone que la nulidad relativa se sanea por el paso del tiempo o por ratificación de las partes.</w:t>
      </w:r>
    </w:p>
    <w:p w:rsidR="00433A40" w:rsidRDefault="00433A40" w:rsidP="00771EEF">
      <w:pPr>
        <w:pStyle w:val="Textoindependiente"/>
        <w:spacing w:line="276" w:lineRule="auto"/>
        <w:rPr>
          <w:bCs/>
          <w:szCs w:val="24"/>
        </w:rPr>
      </w:pPr>
    </w:p>
    <w:p w:rsidR="00771EEF" w:rsidRPr="009F7670" w:rsidRDefault="009F7670" w:rsidP="00BC6A97">
      <w:pPr>
        <w:pStyle w:val="Prrafodelista"/>
        <w:numPr>
          <w:ilvl w:val="1"/>
          <w:numId w:val="2"/>
        </w:numPr>
        <w:spacing w:line="276" w:lineRule="auto"/>
        <w:ind w:right="284"/>
        <w:jc w:val="both"/>
        <w:rPr>
          <w:rFonts w:ascii="Arial" w:eastAsia="Times New Roman" w:hAnsi="Arial"/>
          <w:b/>
          <w:sz w:val="24"/>
          <w:szCs w:val="24"/>
          <w:lang w:eastAsia="es-ES"/>
        </w:rPr>
      </w:pPr>
      <w:r w:rsidRPr="009F7670">
        <w:rPr>
          <w:rFonts w:ascii="Arial" w:hAnsi="Arial" w:cs="Arial"/>
          <w:b/>
          <w:sz w:val="24"/>
          <w:szCs w:val="24"/>
        </w:rPr>
        <w:t xml:space="preserve">Fundamento fáctico </w:t>
      </w:r>
    </w:p>
    <w:p w:rsidR="00771EEF" w:rsidRDefault="005757FB" w:rsidP="0056020D">
      <w:pPr>
        <w:spacing w:line="276" w:lineRule="auto"/>
        <w:jc w:val="both"/>
        <w:rPr>
          <w:rFonts w:ascii="Arial" w:hAnsi="Arial" w:cs="Arial"/>
          <w:szCs w:val="24"/>
        </w:rPr>
      </w:pPr>
      <w:r>
        <w:rPr>
          <w:rFonts w:ascii="Arial" w:hAnsi="Arial" w:cs="Arial"/>
          <w:szCs w:val="24"/>
        </w:rPr>
        <w:t xml:space="preserve">La señora </w:t>
      </w:r>
      <w:r w:rsidR="00F24246">
        <w:rPr>
          <w:rFonts w:ascii="Arial" w:hAnsi="Arial" w:cs="Arial"/>
          <w:szCs w:val="24"/>
        </w:rPr>
        <w:t xml:space="preserve">María Fabiola </w:t>
      </w:r>
      <w:proofErr w:type="spellStart"/>
      <w:r w:rsidR="00F24246">
        <w:rPr>
          <w:rFonts w:ascii="Arial" w:hAnsi="Arial" w:cs="Arial"/>
          <w:szCs w:val="24"/>
        </w:rPr>
        <w:t>Velandia</w:t>
      </w:r>
      <w:proofErr w:type="spellEnd"/>
      <w:r w:rsidR="00F24246">
        <w:rPr>
          <w:rFonts w:ascii="Arial" w:hAnsi="Arial" w:cs="Arial"/>
          <w:szCs w:val="24"/>
        </w:rPr>
        <w:t xml:space="preserve"> Vanegas</w:t>
      </w:r>
      <w:r w:rsidR="00771EEF">
        <w:rPr>
          <w:rFonts w:ascii="Arial" w:hAnsi="Arial" w:cs="Arial"/>
          <w:szCs w:val="24"/>
        </w:rPr>
        <w:t>,</w:t>
      </w:r>
      <w:r w:rsidR="0056020D">
        <w:rPr>
          <w:rFonts w:ascii="Arial" w:hAnsi="Arial" w:cs="Arial"/>
          <w:szCs w:val="24"/>
        </w:rPr>
        <w:t xml:space="preserve"> en su demanda plantea la posibilidad de que se declare la nulidad del acto de traslado al RAIS a través de la AFP </w:t>
      </w:r>
      <w:r w:rsidR="00E754ED">
        <w:rPr>
          <w:rFonts w:ascii="Arial" w:hAnsi="Arial" w:cs="Arial"/>
          <w:szCs w:val="24"/>
        </w:rPr>
        <w:t>Porvenir S.A.</w:t>
      </w:r>
      <w:r w:rsidR="00771EEF" w:rsidRPr="00D32024">
        <w:rPr>
          <w:rFonts w:ascii="Arial" w:hAnsi="Arial" w:cs="Arial"/>
          <w:szCs w:val="24"/>
        </w:rPr>
        <w:t>,</w:t>
      </w:r>
      <w:r w:rsidR="0056020D">
        <w:rPr>
          <w:rFonts w:ascii="Arial" w:hAnsi="Arial" w:cs="Arial"/>
          <w:szCs w:val="24"/>
        </w:rPr>
        <w:t xml:space="preserve"> que se hizo constar en </w:t>
      </w:r>
      <w:r w:rsidR="00C01760">
        <w:rPr>
          <w:rFonts w:ascii="Arial" w:hAnsi="Arial" w:cs="Arial"/>
          <w:szCs w:val="24"/>
        </w:rPr>
        <w:t xml:space="preserve">la “Solicitud de vinculación” N° </w:t>
      </w:r>
      <w:r w:rsidR="0057652A">
        <w:rPr>
          <w:rFonts w:ascii="Arial" w:hAnsi="Arial" w:cs="Arial"/>
          <w:szCs w:val="24"/>
        </w:rPr>
        <w:t>615638</w:t>
      </w:r>
      <w:r w:rsidR="00C01760">
        <w:rPr>
          <w:rFonts w:ascii="Arial" w:hAnsi="Arial" w:cs="Arial"/>
          <w:szCs w:val="24"/>
        </w:rPr>
        <w:t xml:space="preserve"> </w:t>
      </w:r>
      <w:r w:rsidR="00F454EC">
        <w:rPr>
          <w:rFonts w:ascii="Arial" w:hAnsi="Arial" w:cs="Arial"/>
          <w:szCs w:val="24"/>
        </w:rPr>
        <w:t>suscrita</w:t>
      </w:r>
      <w:r w:rsidR="0056020D">
        <w:rPr>
          <w:rFonts w:ascii="Arial" w:hAnsi="Arial" w:cs="Arial"/>
          <w:szCs w:val="24"/>
        </w:rPr>
        <w:t xml:space="preserve"> el </w:t>
      </w:r>
      <w:r w:rsidR="00C01760">
        <w:rPr>
          <w:rFonts w:ascii="Arial" w:hAnsi="Arial" w:cs="Arial"/>
          <w:szCs w:val="24"/>
        </w:rPr>
        <w:t>25/0</w:t>
      </w:r>
      <w:r w:rsidR="0057652A">
        <w:rPr>
          <w:rFonts w:ascii="Arial" w:hAnsi="Arial" w:cs="Arial"/>
          <w:szCs w:val="24"/>
        </w:rPr>
        <w:t>9</w:t>
      </w:r>
      <w:r w:rsidR="00C01760">
        <w:rPr>
          <w:rFonts w:ascii="Arial" w:hAnsi="Arial" w:cs="Arial"/>
          <w:szCs w:val="24"/>
        </w:rPr>
        <w:t>/199</w:t>
      </w:r>
      <w:r w:rsidR="0057652A">
        <w:rPr>
          <w:rFonts w:ascii="Arial" w:hAnsi="Arial" w:cs="Arial"/>
          <w:szCs w:val="24"/>
        </w:rPr>
        <w:t>5</w:t>
      </w:r>
      <w:r w:rsidR="0056020D">
        <w:rPr>
          <w:rFonts w:ascii="Arial" w:hAnsi="Arial" w:cs="Arial"/>
          <w:szCs w:val="24"/>
        </w:rPr>
        <w:t xml:space="preserve">  </w:t>
      </w:r>
      <w:r w:rsidR="00771EEF">
        <w:rPr>
          <w:rFonts w:ascii="Arial" w:hAnsi="Arial" w:cs="Arial"/>
          <w:szCs w:val="24"/>
        </w:rPr>
        <w:t>–</w:t>
      </w:r>
      <w:proofErr w:type="spellStart"/>
      <w:r w:rsidR="00771EEF">
        <w:rPr>
          <w:rFonts w:ascii="Arial" w:hAnsi="Arial" w:cs="Arial"/>
          <w:szCs w:val="24"/>
        </w:rPr>
        <w:t>fl</w:t>
      </w:r>
      <w:proofErr w:type="spellEnd"/>
      <w:r w:rsidR="00771EEF">
        <w:rPr>
          <w:rFonts w:ascii="Arial" w:hAnsi="Arial" w:cs="Arial"/>
          <w:szCs w:val="24"/>
        </w:rPr>
        <w:t>.</w:t>
      </w:r>
      <w:r w:rsidR="0056020D">
        <w:rPr>
          <w:rFonts w:ascii="Arial" w:hAnsi="Arial" w:cs="Arial"/>
          <w:szCs w:val="24"/>
        </w:rPr>
        <w:t xml:space="preserve"> </w:t>
      </w:r>
      <w:r w:rsidR="0057652A">
        <w:rPr>
          <w:rFonts w:ascii="Arial" w:hAnsi="Arial" w:cs="Arial"/>
          <w:szCs w:val="24"/>
        </w:rPr>
        <w:t>111</w:t>
      </w:r>
      <w:r w:rsidR="00771EEF">
        <w:rPr>
          <w:rFonts w:ascii="Arial" w:hAnsi="Arial" w:cs="Arial"/>
          <w:szCs w:val="24"/>
        </w:rPr>
        <w:t>-.</w:t>
      </w:r>
    </w:p>
    <w:p w:rsidR="00771EEF" w:rsidRPr="00D32024" w:rsidRDefault="00771EEF" w:rsidP="00771EEF">
      <w:pPr>
        <w:spacing w:line="276" w:lineRule="auto"/>
        <w:jc w:val="both"/>
        <w:rPr>
          <w:rFonts w:ascii="Arial" w:hAnsi="Arial" w:cs="Arial"/>
          <w:szCs w:val="24"/>
        </w:rPr>
      </w:pPr>
    </w:p>
    <w:p w:rsidR="00433A40" w:rsidRDefault="00433A40" w:rsidP="00771EEF">
      <w:pPr>
        <w:spacing w:line="276" w:lineRule="auto"/>
        <w:jc w:val="both"/>
        <w:rPr>
          <w:rFonts w:ascii="Arial" w:hAnsi="Arial"/>
          <w:szCs w:val="24"/>
        </w:rPr>
      </w:pPr>
      <w:r>
        <w:rPr>
          <w:rFonts w:ascii="Arial" w:hAnsi="Arial"/>
          <w:szCs w:val="24"/>
        </w:rPr>
        <w:t>Revisado el expediente, se advierte la inexistencia de petición formulada a las acc</w:t>
      </w:r>
      <w:r w:rsidR="00C01760">
        <w:rPr>
          <w:rFonts w:ascii="Arial" w:hAnsi="Arial"/>
          <w:szCs w:val="24"/>
        </w:rPr>
        <w:t xml:space="preserve">ionadas pretendiendo la aludida </w:t>
      </w:r>
      <w:r w:rsidR="00771EEF" w:rsidRPr="00D32024">
        <w:rPr>
          <w:rFonts w:ascii="Arial" w:hAnsi="Arial"/>
          <w:szCs w:val="24"/>
        </w:rPr>
        <w:t>nulidad</w:t>
      </w:r>
      <w:r>
        <w:rPr>
          <w:rFonts w:ascii="Arial" w:hAnsi="Arial"/>
          <w:szCs w:val="24"/>
        </w:rPr>
        <w:t>, por lo que la única inconformidad que plantea la demandante en ese sentido lo constituye la demanda que dio origen a este proceso que conforme con el acta individ</w:t>
      </w:r>
      <w:r w:rsidR="00C01760">
        <w:rPr>
          <w:rFonts w:ascii="Arial" w:hAnsi="Arial"/>
          <w:szCs w:val="24"/>
        </w:rPr>
        <w:t xml:space="preserve">ual de reparto visible a folio </w:t>
      </w:r>
      <w:r w:rsidR="0057652A">
        <w:rPr>
          <w:rFonts w:ascii="Arial" w:hAnsi="Arial"/>
          <w:szCs w:val="24"/>
        </w:rPr>
        <w:t>56</w:t>
      </w:r>
      <w:r w:rsidR="00C01760">
        <w:rPr>
          <w:rFonts w:ascii="Arial" w:hAnsi="Arial"/>
          <w:szCs w:val="24"/>
        </w:rPr>
        <w:t xml:space="preserve"> del cd. 1 fue el </w:t>
      </w:r>
      <w:r w:rsidR="0057652A">
        <w:rPr>
          <w:rFonts w:ascii="Arial" w:hAnsi="Arial"/>
          <w:szCs w:val="24"/>
        </w:rPr>
        <w:t>11/08/2017</w:t>
      </w:r>
      <w:r>
        <w:rPr>
          <w:rFonts w:ascii="Arial" w:hAnsi="Arial"/>
          <w:szCs w:val="24"/>
        </w:rPr>
        <w:t>.</w:t>
      </w:r>
    </w:p>
    <w:p w:rsidR="0025748E" w:rsidRDefault="0025748E" w:rsidP="00771EEF">
      <w:pPr>
        <w:spacing w:line="276" w:lineRule="auto"/>
        <w:jc w:val="both"/>
        <w:rPr>
          <w:rFonts w:ascii="Arial" w:hAnsi="Arial"/>
          <w:szCs w:val="24"/>
        </w:rPr>
      </w:pPr>
    </w:p>
    <w:p w:rsidR="0057652A" w:rsidRDefault="0057652A" w:rsidP="00771EEF">
      <w:pPr>
        <w:spacing w:line="276" w:lineRule="auto"/>
        <w:jc w:val="both"/>
        <w:rPr>
          <w:rFonts w:ascii="Arial" w:hAnsi="Arial"/>
          <w:szCs w:val="24"/>
        </w:rPr>
      </w:pPr>
      <w:r>
        <w:rPr>
          <w:rFonts w:ascii="Arial" w:hAnsi="Arial"/>
          <w:szCs w:val="24"/>
        </w:rPr>
        <w:t xml:space="preserve">Sin que puedan tenerse como tal, el derecho de petición </w:t>
      </w:r>
      <w:r w:rsidR="00E667FB">
        <w:rPr>
          <w:rFonts w:ascii="Arial" w:hAnsi="Arial"/>
          <w:szCs w:val="24"/>
        </w:rPr>
        <w:t xml:space="preserve">dirigido a la AFP Porvenir S.A. </w:t>
      </w:r>
      <w:r>
        <w:rPr>
          <w:rFonts w:ascii="Arial" w:hAnsi="Arial"/>
          <w:szCs w:val="24"/>
        </w:rPr>
        <w:t xml:space="preserve">visible a folio 37 del cd. 1, pues con él lo que pretendió fue la entrega de documentación relacionada con la información que le fuera suministrada al momento del traslado al RAIS, proyección de su mesada pensional, </w:t>
      </w:r>
      <w:r w:rsidR="00E667FB">
        <w:rPr>
          <w:rFonts w:ascii="Arial" w:hAnsi="Arial"/>
          <w:szCs w:val="24"/>
        </w:rPr>
        <w:t>constancias del consentimiento informa</w:t>
      </w:r>
      <w:r w:rsidR="00E700C3">
        <w:rPr>
          <w:rFonts w:ascii="Arial" w:hAnsi="Arial"/>
          <w:szCs w:val="24"/>
        </w:rPr>
        <w:t>do</w:t>
      </w:r>
      <w:r w:rsidR="00E667FB">
        <w:rPr>
          <w:rFonts w:ascii="Arial" w:hAnsi="Arial"/>
          <w:szCs w:val="24"/>
        </w:rPr>
        <w:t xml:space="preserve"> </w:t>
      </w:r>
      <w:r>
        <w:rPr>
          <w:rFonts w:ascii="Arial" w:hAnsi="Arial"/>
          <w:szCs w:val="24"/>
        </w:rPr>
        <w:t xml:space="preserve">y </w:t>
      </w:r>
      <w:r w:rsidR="00E667FB">
        <w:rPr>
          <w:rFonts w:ascii="Arial" w:hAnsi="Arial"/>
          <w:szCs w:val="24"/>
        </w:rPr>
        <w:t xml:space="preserve">copia </w:t>
      </w:r>
      <w:r w:rsidR="00E700C3">
        <w:rPr>
          <w:rFonts w:ascii="Arial" w:hAnsi="Arial"/>
          <w:szCs w:val="24"/>
        </w:rPr>
        <w:t xml:space="preserve">de su </w:t>
      </w:r>
      <w:r w:rsidR="00E667FB">
        <w:rPr>
          <w:rFonts w:ascii="Arial" w:hAnsi="Arial"/>
          <w:szCs w:val="24"/>
        </w:rPr>
        <w:t>historia laboral, entre otros.</w:t>
      </w:r>
    </w:p>
    <w:p w:rsidR="00E667FB" w:rsidRDefault="00E667FB" w:rsidP="00771EEF">
      <w:pPr>
        <w:spacing w:line="276" w:lineRule="auto"/>
        <w:jc w:val="both"/>
        <w:rPr>
          <w:rFonts w:ascii="Arial" w:hAnsi="Arial"/>
          <w:szCs w:val="24"/>
        </w:rPr>
      </w:pPr>
    </w:p>
    <w:p w:rsidR="00E667FB" w:rsidRDefault="00EA6BD1" w:rsidP="00771EEF">
      <w:pPr>
        <w:spacing w:line="276" w:lineRule="auto"/>
        <w:jc w:val="both"/>
        <w:rPr>
          <w:rFonts w:ascii="Arial" w:hAnsi="Arial"/>
          <w:szCs w:val="24"/>
        </w:rPr>
      </w:pPr>
      <w:r>
        <w:rPr>
          <w:rFonts w:ascii="Arial" w:hAnsi="Arial"/>
          <w:szCs w:val="24"/>
        </w:rPr>
        <w:t>T</w:t>
      </w:r>
      <w:r w:rsidR="00E667FB">
        <w:rPr>
          <w:rFonts w:ascii="Arial" w:hAnsi="Arial"/>
          <w:szCs w:val="24"/>
        </w:rPr>
        <w:t xml:space="preserve">ampoco, la petición </w:t>
      </w:r>
      <w:r w:rsidR="002E76B6">
        <w:rPr>
          <w:rFonts w:ascii="Arial" w:hAnsi="Arial"/>
          <w:szCs w:val="24"/>
        </w:rPr>
        <w:t xml:space="preserve">radicada en </w:t>
      </w:r>
      <w:r w:rsidR="00E667FB">
        <w:rPr>
          <w:rFonts w:ascii="Arial" w:hAnsi="Arial"/>
          <w:szCs w:val="24"/>
        </w:rPr>
        <w:t xml:space="preserve">Colpensiones el </w:t>
      </w:r>
      <w:r w:rsidR="002E76B6">
        <w:rPr>
          <w:rFonts w:ascii="Arial" w:hAnsi="Arial"/>
          <w:szCs w:val="24"/>
        </w:rPr>
        <w:t>08/08/2018 y que obra en el medio magnético allegado –</w:t>
      </w:r>
      <w:proofErr w:type="spellStart"/>
      <w:r w:rsidR="002E76B6">
        <w:rPr>
          <w:rFonts w:ascii="Arial" w:hAnsi="Arial"/>
          <w:szCs w:val="24"/>
        </w:rPr>
        <w:t>fl</w:t>
      </w:r>
      <w:proofErr w:type="spellEnd"/>
      <w:r w:rsidR="002E76B6">
        <w:rPr>
          <w:rFonts w:ascii="Arial" w:hAnsi="Arial"/>
          <w:szCs w:val="24"/>
        </w:rPr>
        <w:t>. 88 cd. 1-, toda vez que con ella lo que se pretendía era el traslado de régimen.</w:t>
      </w:r>
    </w:p>
    <w:p w:rsidR="0057652A" w:rsidRDefault="0057652A" w:rsidP="00771EEF">
      <w:pPr>
        <w:spacing w:line="276" w:lineRule="auto"/>
        <w:jc w:val="both"/>
        <w:rPr>
          <w:rFonts w:ascii="Arial" w:hAnsi="Arial"/>
          <w:szCs w:val="24"/>
        </w:rPr>
      </w:pPr>
    </w:p>
    <w:p w:rsidR="00771EEF" w:rsidRDefault="00433A40" w:rsidP="00771EEF">
      <w:pPr>
        <w:spacing w:line="276" w:lineRule="auto"/>
        <w:jc w:val="both"/>
        <w:rPr>
          <w:rFonts w:ascii="Arial" w:hAnsi="Arial"/>
          <w:szCs w:val="24"/>
        </w:rPr>
      </w:pPr>
      <w:r>
        <w:rPr>
          <w:rFonts w:ascii="Arial" w:hAnsi="Arial"/>
          <w:szCs w:val="24"/>
        </w:rPr>
        <w:t xml:space="preserve">En ese entendido, resulta fácil colegir que para </w:t>
      </w:r>
      <w:r w:rsidR="00EE3851">
        <w:rPr>
          <w:rFonts w:ascii="Arial" w:hAnsi="Arial"/>
          <w:szCs w:val="24"/>
        </w:rPr>
        <w:t xml:space="preserve">la fecha de radicación de la demanda </w:t>
      </w:r>
      <w:r>
        <w:rPr>
          <w:rFonts w:ascii="Arial" w:hAnsi="Arial"/>
          <w:szCs w:val="24"/>
        </w:rPr>
        <w:t>transcurrieron</w:t>
      </w:r>
      <w:r w:rsidR="00EE3851">
        <w:rPr>
          <w:rFonts w:ascii="Arial" w:hAnsi="Arial"/>
          <w:szCs w:val="24"/>
        </w:rPr>
        <w:t xml:space="preserve"> en total </w:t>
      </w:r>
      <w:r w:rsidR="002E76B6">
        <w:rPr>
          <w:rFonts w:ascii="Arial" w:hAnsi="Arial"/>
          <w:szCs w:val="24"/>
        </w:rPr>
        <w:t>21</w:t>
      </w:r>
      <w:r>
        <w:rPr>
          <w:rFonts w:ascii="Arial" w:hAnsi="Arial"/>
          <w:szCs w:val="24"/>
        </w:rPr>
        <w:t xml:space="preserve"> años, </w:t>
      </w:r>
      <w:r w:rsidR="002E76B6">
        <w:rPr>
          <w:rFonts w:ascii="Arial" w:hAnsi="Arial"/>
          <w:szCs w:val="24"/>
        </w:rPr>
        <w:t xml:space="preserve">10 </w:t>
      </w:r>
      <w:r w:rsidR="009B0644">
        <w:rPr>
          <w:rFonts w:ascii="Arial" w:hAnsi="Arial"/>
          <w:szCs w:val="24"/>
        </w:rPr>
        <w:t>m</w:t>
      </w:r>
      <w:r w:rsidR="00EE3851">
        <w:rPr>
          <w:rFonts w:ascii="Arial" w:hAnsi="Arial"/>
          <w:szCs w:val="24"/>
        </w:rPr>
        <w:t xml:space="preserve">eses y </w:t>
      </w:r>
      <w:r w:rsidR="002E76B6">
        <w:rPr>
          <w:rFonts w:ascii="Arial" w:hAnsi="Arial"/>
          <w:szCs w:val="24"/>
        </w:rPr>
        <w:t>15</w:t>
      </w:r>
      <w:r>
        <w:rPr>
          <w:rFonts w:ascii="Arial" w:hAnsi="Arial"/>
          <w:szCs w:val="24"/>
        </w:rPr>
        <w:t xml:space="preserve"> días contabilizados a partir de la </w:t>
      </w:r>
      <w:r w:rsidR="00EE3851">
        <w:rPr>
          <w:rFonts w:ascii="Arial" w:hAnsi="Arial"/>
          <w:szCs w:val="24"/>
        </w:rPr>
        <w:t xml:space="preserve">calenda </w:t>
      </w:r>
      <w:r>
        <w:rPr>
          <w:rFonts w:ascii="Arial" w:hAnsi="Arial"/>
          <w:szCs w:val="24"/>
        </w:rPr>
        <w:t>en que se suscribió el formulario de afiliación al RAIS -</w:t>
      </w:r>
      <w:r w:rsidR="00EE3851">
        <w:rPr>
          <w:rFonts w:ascii="Arial" w:hAnsi="Arial"/>
          <w:szCs w:val="24"/>
        </w:rPr>
        <w:t>25/0</w:t>
      </w:r>
      <w:r w:rsidR="002E76B6">
        <w:rPr>
          <w:rFonts w:ascii="Arial" w:hAnsi="Arial"/>
          <w:szCs w:val="24"/>
        </w:rPr>
        <w:t>9/1995</w:t>
      </w:r>
      <w:r>
        <w:rPr>
          <w:rFonts w:ascii="Arial" w:hAnsi="Arial"/>
          <w:szCs w:val="24"/>
        </w:rPr>
        <w:t>-, lo que implica que el acto jurídico del que se pretende la nulidad</w:t>
      </w:r>
      <w:r w:rsidR="009C0FA8">
        <w:rPr>
          <w:rFonts w:ascii="Arial" w:hAnsi="Arial"/>
          <w:szCs w:val="24"/>
        </w:rPr>
        <w:t xml:space="preserve"> </w:t>
      </w:r>
      <w:r>
        <w:rPr>
          <w:rFonts w:ascii="Arial" w:hAnsi="Arial"/>
          <w:szCs w:val="24"/>
        </w:rPr>
        <w:t>adquiri</w:t>
      </w:r>
      <w:r w:rsidR="009C0FA8">
        <w:rPr>
          <w:rFonts w:ascii="Arial" w:hAnsi="Arial"/>
          <w:szCs w:val="24"/>
        </w:rPr>
        <w:t xml:space="preserve">ó </w:t>
      </w:r>
      <w:r>
        <w:rPr>
          <w:rFonts w:ascii="Arial" w:hAnsi="Arial"/>
          <w:szCs w:val="24"/>
        </w:rPr>
        <w:t xml:space="preserve">firmeza y legalidad, al sobrepasar los 4 </w:t>
      </w:r>
      <w:r w:rsidR="00771EEF" w:rsidRPr="00D32024">
        <w:rPr>
          <w:rFonts w:ascii="Arial" w:hAnsi="Arial"/>
          <w:szCs w:val="24"/>
        </w:rPr>
        <w:t xml:space="preserve">años </w:t>
      </w:r>
      <w:r>
        <w:rPr>
          <w:rFonts w:ascii="Arial" w:hAnsi="Arial"/>
          <w:szCs w:val="24"/>
        </w:rPr>
        <w:t xml:space="preserve">a </w:t>
      </w:r>
      <w:r w:rsidR="00771EEF" w:rsidRPr="00D32024">
        <w:rPr>
          <w:rFonts w:ascii="Arial" w:hAnsi="Arial"/>
          <w:szCs w:val="24"/>
        </w:rPr>
        <w:t>su realización</w:t>
      </w:r>
      <w:r>
        <w:rPr>
          <w:rFonts w:ascii="Arial" w:hAnsi="Arial"/>
          <w:szCs w:val="24"/>
        </w:rPr>
        <w:t xml:space="preserve"> y por lo tanto, la </w:t>
      </w:r>
      <w:r w:rsidR="00771EEF" w:rsidRPr="00D32024">
        <w:rPr>
          <w:rFonts w:ascii="Arial" w:hAnsi="Arial"/>
          <w:szCs w:val="24"/>
        </w:rPr>
        <w:t>nulidad relativa</w:t>
      </w:r>
      <w:r>
        <w:rPr>
          <w:rFonts w:ascii="Arial" w:hAnsi="Arial"/>
          <w:szCs w:val="24"/>
        </w:rPr>
        <w:t xml:space="preserve"> que se </w:t>
      </w:r>
      <w:r w:rsidR="009C0FA8">
        <w:rPr>
          <w:rFonts w:ascii="Arial" w:hAnsi="Arial"/>
          <w:szCs w:val="24"/>
        </w:rPr>
        <w:t xml:space="preserve">pide por </w:t>
      </w:r>
      <w:r>
        <w:rPr>
          <w:rFonts w:ascii="Arial" w:hAnsi="Arial"/>
          <w:szCs w:val="24"/>
        </w:rPr>
        <w:t>v</w:t>
      </w:r>
      <w:r w:rsidR="009454D8">
        <w:rPr>
          <w:rFonts w:ascii="Arial" w:hAnsi="Arial"/>
          <w:szCs w:val="24"/>
        </w:rPr>
        <w:t>icio del consentimiento</w:t>
      </w:r>
      <w:r w:rsidR="009C0FA8">
        <w:rPr>
          <w:rFonts w:ascii="Arial" w:hAnsi="Arial"/>
          <w:szCs w:val="24"/>
        </w:rPr>
        <w:t>,</w:t>
      </w:r>
      <w:r w:rsidR="009454D8">
        <w:rPr>
          <w:rFonts w:ascii="Arial" w:hAnsi="Arial"/>
          <w:szCs w:val="24"/>
        </w:rPr>
        <w:t xml:space="preserve"> </w:t>
      </w:r>
      <w:r w:rsidR="00F4050C">
        <w:rPr>
          <w:rFonts w:ascii="Arial" w:hAnsi="Arial"/>
          <w:szCs w:val="24"/>
        </w:rPr>
        <w:t>de haber existido</w:t>
      </w:r>
      <w:r w:rsidR="00771EEF" w:rsidRPr="00D32024">
        <w:rPr>
          <w:rFonts w:ascii="Arial" w:hAnsi="Arial"/>
          <w:szCs w:val="24"/>
        </w:rPr>
        <w:t xml:space="preserve"> ha quedado sanea</w:t>
      </w:r>
      <w:r>
        <w:rPr>
          <w:rFonts w:ascii="Arial" w:hAnsi="Arial"/>
          <w:szCs w:val="24"/>
        </w:rPr>
        <w:t xml:space="preserve">da por el transcurso del tiempo, lo que de suyo genera la </w:t>
      </w:r>
      <w:proofErr w:type="spellStart"/>
      <w:r>
        <w:rPr>
          <w:rFonts w:ascii="Arial" w:hAnsi="Arial"/>
          <w:szCs w:val="24"/>
        </w:rPr>
        <w:t>improsperidad</w:t>
      </w:r>
      <w:proofErr w:type="spellEnd"/>
      <w:r>
        <w:rPr>
          <w:rFonts w:ascii="Arial" w:hAnsi="Arial"/>
          <w:szCs w:val="24"/>
        </w:rPr>
        <w:t xml:space="preserve"> de la pretensión de nulidad.</w:t>
      </w:r>
    </w:p>
    <w:p w:rsidR="009454D8" w:rsidRDefault="009454D8" w:rsidP="00771EEF">
      <w:pPr>
        <w:spacing w:line="276" w:lineRule="auto"/>
        <w:jc w:val="both"/>
        <w:rPr>
          <w:rFonts w:ascii="Arial" w:hAnsi="Arial"/>
          <w:szCs w:val="24"/>
        </w:rPr>
      </w:pPr>
    </w:p>
    <w:p w:rsidR="001E772D" w:rsidRDefault="009454D8" w:rsidP="002E76B6">
      <w:pPr>
        <w:spacing w:line="276" w:lineRule="auto"/>
        <w:ind w:right="49"/>
        <w:contextualSpacing/>
        <w:jc w:val="both"/>
        <w:rPr>
          <w:rFonts w:ascii="Arial" w:hAnsi="Arial"/>
          <w:szCs w:val="24"/>
        </w:rPr>
      </w:pPr>
      <w:r>
        <w:rPr>
          <w:rFonts w:ascii="Arial" w:hAnsi="Arial"/>
          <w:szCs w:val="24"/>
        </w:rPr>
        <w:t xml:space="preserve">Al </w:t>
      </w:r>
      <w:r w:rsidR="005A0D0C">
        <w:rPr>
          <w:rFonts w:ascii="Arial" w:hAnsi="Arial"/>
          <w:szCs w:val="24"/>
        </w:rPr>
        <w:t xml:space="preserve">margen de lo anterior, se considera necesario precisar que de todas maneras las pretensiones estarían llamadas al fracaso </w:t>
      </w:r>
      <w:r w:rsidR="00B60162">
        <w:rPr>
          <w:rFonts w:ascii="Arial" w:hAnsi="Arial"/>
          <w:szCs w:val="24"/>
        </w:rPr>
        <w:t>dado que</w:t>
      </w:r>
      <w:r w:rsidR="00BC6A97">
        <w:rPr>
          <w:rFonts w:ascii="Arial" w:hAnsi="Arial"/>
          <w:szCs w:val="24"/>
        </w:rPr>
        <w:t xml:space="preserve"> le correspondía a la parte actora la carga de acreditar el vicio del consentimiento, en los términos aducidos en la demanda, obligación que </w:t>
      </w:r>
      <w:r w:rsidR="00EE3851">
        <w:rPr>
          <w:rFonts w:ascii="Arial" w:hAnsi="Arial"/>
          <w:szCs w:val="24"/>
        </w:rPr>
        <w:t>in</w:t>
      </w:r>
      <w:r w:rsidR="009C0FA8">
        <w:rPr>
          <w:rFonts w:ascii="Arial" w:hAnsi="Arial"/>
          <w:szCs w:val="24"/>
        </w:rPr>
        <w:t>cumplió</w:t>
      </w:r>
      <w:r w:rsidR="001E772D">
        <w:rPr>
          <w:rFonts w:ascii="Arial" w:hAnsi="Arial"/>
          <w:szCs w:val="24"/>
        </w:rPr>
        <w:t xml:space="preserve"> como se explica a continuación.</w:t>
      </w:r>
    </w:p>
    <w:p w:rsidR="001E772D" w:rsidRDefault="001E772D" w:rsidP="002E76B6">
      <w:pPr>
        <w:spacing w:line="276" w:lineRule="auto"/>
        <w:ind w:right="49"/>
        <w:contextualSpacing/>
        <w:jc w:val="both"/>
        <w:rPr>
          <w:rFonts w:ascii="Arial" w:hAnsi="Arial"/>
          <w:szCs w:val="24"/>
        </w:rPr>
      </w:pPr>
    </w:p>
    <w:p w:rsidR="001E772D" w:rsidRDefault="001E772D" w:rsidP="002E76B6">
      <w:pPr>
        <w:spacing w:line="276" w:lineRule="auto"/>
        <w:ind w:right="49"/>
        <w:contextualSpacing/>
        <w:jc w:val="both"/>
        <w:rPr>
          <w:rFonts w:ascii="Arial" w:hAnsi="Arial"/>
          <w:szCs w:val="24"/>
        </w:rPr>
      </w:pPr>
      <w:r>
        <w:rPr>
          <w:rFonts w:ascii="Arial" w:hAnsi="Arial"/>
          <w:szCs w:val="24"/>
        </w:rPr>
        <w:t xml:space="preserve">En cuento a la fuerza y el dolo, de entrada se descartan como quiera que en cada uno de los formularios de afiliación se cuenta con una casilla destinada a dejar constancia que la selección del RAIS se efectúa de manera libre, espontánea y sin </w:t>
      </w:r>
      <w:r>
        <w:rPr>
          <w:rFonts w:ascii="Arial" w:hAnsi="Arial"/>
          <w:szCs w:val="24"/>
        </w:rPr>
        <w:lastRenderedPageBreak/>
        <w:t xml:space="preserve">precisiones, campo en el cual se encuentra plasmada la firma de la actora, documentos que por demás no fueron desconocidos o tachados en la oportunidad correspondiente, de </w:t>
      </w:r>
      <w:r w:rsidR="00026A0E">
        <w:rPr>
          <w:rFonts w:ascii="Arial" w:hAnsi="Arial"/>
          <w:szCs w:val="24"/>
        </w:rPr>
        <w:t>ahí</w:t>
      </w:r>
      <w:r>
        <w:rPr>
          <w:rFonts w:ascii="Arial" w:hAnsi="Arial"/>
          <w:szCs w:val="24"/>
        </w:rPr>
        <w:t xml:space="preserve"> que se presuman </w:t>
      </w:r>
      <w:r w:rsidR="00026A0E">
        <w:rPr>
          <w:rFonts w:ascii="Arial" w:hAnsi="Arial"/>
          <w:szCs w:val="24"/>
        </w:rPr>
        <w:t>auténticos</w:t>
      </w:r>
      <w:r>
        <w:rPr>
          <w:rFonts w:ascii="Arial" w:hAnsi="Arial"/>
          <w:szCs w:val="24"/>
        </w:rPr>
        <w:t>.</w:t>
      </w:r>
    </w:p>
    <w:p w:rsidR="001E772D" w:rsidRDefault="001E772D" w:rsidP="002E76B6">
      <w:pPr>
        <w:spacing w:line="276" w:lineRule="auto"/>
        <w:ind w:right="49"/>
        <w:contextualSpacing/>
        <w:jc w:val="both"/>
        <w:rPr>
          <w:rFonts w:ascii="Arial" w:hAnsi="Arial"/>
          <w:szCs w:val="24"/>
        </w:rPr>
      </w:pPr>
    </w:p>
    <w:p w:rsidR="00026A0E" w:rsidRDefault="00026A0E" w:rsidP="002E76B6">
      <w:pPr>
        <w:spacing w:line="276" w:lineRule="auto"/>
        <w:ind w:right="49"/>
        <w:contextualSpacing/>
        <w:jc w:val="both"/>
        <w:rPr>
          <w:rFonts w:ascii="Arial" w:hAnsi="Arial"/>
          <w:szCs w:val="24"/>
        </w:rPr>
      </w:pPr>
      <w:r w:rsidRPr="00167EB1">
        <w:rPr>
          <w:rFonts w:ascii="Arial" w:hAnsi="Arial"/>
          <w:szCs w:val="24"/>
        </w:rPr>
        <w:t xml:space="preserve">Respecto al error, </w:t>
      </w:r>
      <w:r w:rsidR="00886E4B">
        <w:rPr>
          <w:rFonts w:ascii="Arial" w:hAnsi="Arial"/>
          <w:szCs w:val="24"/>
        </w:rPr>
        <w:t xml:space="preserve">ya </w:t>
      </w:r>
      <w:r w:rsidRPr="00167EB1">
        <w:rPr>
          <w:rFonts w:ascii="Arial" w:hAnsi="Arial"/>
          <w:szCs w:val="24"/>
        </w:rPr>
        <w:t xml:space="preserve">de la </w:t>
      </w:r>
      <w:r w:rsidR="00E700C3" w:rsidRPr="00167EB1">
        <w:rPr>
          <w:rFonts w:ascii="Arial" w:hAnsi="Arial"/>
          <w:szCs w:val="24"/>
        </w:rPr>
        <w:t>sustancia o calidad esencial del objeto de la cosa</w:t>
      </w:r>
      <w:r w:rsidR="00886E4B">
        <w:rPr>
          <w:rFonts w:ascii="Arial" w:hAnsi="Arial"/>
          <w:szCs w:val="24"/>
        </w:rPr>
        <w:t xml:space="preserve"> o de sus calidades accidentales</w:t>
      </w:r>
      <w:r w:rsidR="00B8513A">
        <w:rPr>
          <w:rFonts w:ascii="Arial" w:hAnsi="Arial"/>
          <w:szCs w:val="24"/>
        </w:rPr>
        <w:t>,</w:t>
      </w:r>
      <w:r w:rsidR="00886E4B">
        <w:rPr>
          <w:rFonts w:ascii="Arial" w:hAnsi="Arial"/>
          <w:szCs w:val="24"/>
        </w:rPr>
        <w:t xml:space="preserve"> como consecuencia de</w:t>
      </w:r>
      <w:r w:rsidR="00B8513A">
        <w:rPr>
          <w:rFonts w:ascii="Arial" w:hAnsi="Arial"/>
          <w:szCs w:val="24"/>
        </w:rPr>
        <w:t xml:space="preserve"> </w:t>
      </w:r>
      <w:r w:rsidR="00B8513A" w:rsidRPr="00167EB1">
        <w:rPr>
          <w:rFonts w:ascii="Arial" w:hAnsi="Arial"/>
          <w:szCs w:val="24"/>
        </w:rPr>
        <w:t xml:space="preserve">la información incompleta o falaz que se aduce en la demanda, </w:t>
      </w:r>
      <w:r w:rsidR="00B8513A">
        <w:rPr>
          <w:rFonts w:ascii="Arial" w:hAnsi="Arial"/>
          <w:szCs w:val="24"/>
        </w:rPr>
        <w:t>nada probó la parte actora,</w:t>
      </w:r>
      <w:r w:rsidR="00886E4B">
        <w:rPr>
          <w:rFonts w:ascii="Arial" w:hAnsi="Arial"/>
          <w:szCs w:val="24"/>
        </w:rPr>
        <w:t xml:space="preserve"> en tanto</w:t>
      </w:r>
      <w:r w:rsidR="00B8513A">
        <w:rPr>
          <w:rFonts w:ascii="Arial" w:hAnsi="Arial"/>
          <w:szCs w:val="24"/>
        </w:rPr>
        <w:t xml:space="preserve"> el caudal probatorio no refiere </w:t>
      </w:r>
      <w:r w:rsidRPr="00167EB1">
        <w:rPr>
          <w:rFonts w:ascii="Arial" w:hAnsi="Arial"/>
          <w:szCs w:val="24"/>
        </w:rPr>
        <w:t>que en efecto la información</w:t>
      </w:r>
      <w:r w:rsidR="00C742C0" w:rsidRPr="00167EB1">
        <w:rPr>
          <w:rFonts w:ascii="Arial" w:hAnsi="Arial"/>
          <w:szCs w:val="24"/>
        </w:rPr>
        <w:t xml:space="preserve"> hubiese sido</w:t>
      </w:r>
      <w:r w:rsidRPr="00167EB1">
        <w:rPr>
          <w:rFonts w:ascii="Arial" w:hAnsi="Arial"/>
          <w:szCs w:val="24"/>
        </w:rPr>
        <w:t xml:space="preserve"> fragmentada</w:t>
      </w:r>
      <w:r w:rsidR="00886E4B">
        <w:rPr>
          <w:rFonts w:ascii="Arial" w:hAnsi="Arial"/>
          <w:szCs w:val="24"/>
        </w:rPr>
        <w:t>,</w:t>
      </w:r>
      <w:r w:rsidRPr="00167EB1">
        <w:rPr>
          <w:rFonts w:ascii="Arial" w:hAnsi="Arial"/>
          <w:szCs w:val="24"/>
        </w:rPr>
        <w:t xml:space="preserve"> o inverosímil</w:t>
      </w:r>
      <w:r w:rsidR="00C742C0" w:rsidRPr="00167EB1">
        <w:rPr>
          <w:rFonts w:ascii="Arial" w:hAnsi="Arial"/>
          <w:szCs w:val="24"/>
        </w:rPr>
        <w:t xml:space="preserve"> </w:t>
      </w:r>
      <w:r w:rsidR="00886E4B">
        <w:rPr>
          <w:rFonts w:ascii="Arial" w:hAnsi="Arial"/>
          <w:szCs w:val="24"/>
        </w:rPr>
        <w:t xml:space="preserve"> o las </w:t>
      </w:r>
      <w:r w:rsidR="005E14BF" w:rsidRPr="00167EB1">
        <w:rPr>
          <w:rFonts w:ascii="Arial" w:hAnsi="Arial"/>
          <w:szCs w:val="24"/>
        </w:rPr>
        <w:t>explicaciones da</w:t>
      </w:r>
      <w:r w:rsidR="00886E4B">
        <w:rPr>
          <w:rFonts w:ascii="Arial" w:hAnsi="Arial"/>
          <w:szCs w:val="24"/>
        </w:rPr>
        <w:t>das por el asesor no corresponda</w:t>
      </w:r>
      <w:r w:rsidR="005E14BF" w:rsidRPr="00167EB1">
        <w:rPr>
          <w:rFonts w:ascii="Arial" w:hAnsi="Arial"/>
          <w:szCs w:val="24"/>
        </w:rPr>
        <w:t>n a la realidad o se basó en falsas promesas que finalmente no se cumplieron</w:t>
      </w:r>
      <w:r w:rsidR="00167EB1">
        <w:rPr>
          <w:rFonts w:ascii="Arial" w:hAnsi="Arial"/>
          <w:szCs w:val="24"/>
        </w:rPr>
        <w:t>, como lo sería el monto de la mesada pensiona</w:t>
      </w:r>
      <w:r w:rsidR="00B8513A">
        <w:rPr>
          <w:rFonts w:ascii="Arial" w:hAnsi="Arial"/>
          <w:szCs w:val="24"/>
        </w:rPr>
        <w:t>l</w:t>
      </w:r>
      <w:r w:rsidR="00167EB1">
        <w:rPr>
          <w:rFonts w:ascii="Arial" w:hAnsi="Arial"/>
          <w:szCs w:val="24"/>
        </w:rPr>
        <w:t xml:space="preserve"> que </w:t>
      </w:r>
      <w:r w:rsidR="00B8513A">
        <w:rPr>
          <w:rFonts w:ascii="Arial" w:hAnsi="Arial"/>
          <w:szCs w:val="24"/>
        </w:rPr>
        <w:t>indica</w:t>
      </w:r>
      <w:r w:rsidR="00886E4B">
        <w:rPr>
          <w:rFonts w:ascii="Arial" w:hAnsi="Arial"/>
          <w:szCs w:val="24"/>
        </w:rPr>
        <w:t xml:space="preserve"> en el libelo.</w:t>
      </w:r>
    </w:p>
    <w:p w:rsidR="00420690" w:rsidRDefault="00420690" w:rsidP="002E76B6">
      <w:pPr>
        <w:spacing w:line="276" w:lineRule="auto"/>
        <w:ind w:right="49"/>
        <w:contextualSpacing/>
        <w:jc w:val="both"/>
        <w:rPr>
          <w:rFonts w:ascii="Arial" w:hAnsi="Arial"/>
          <w:szCs w:val="24"/>
        </w:rPr>
      </w:pPr>
    </w:p>
    <w:p w:rsidR="00FC7BAA" w:rsidRDefault="00FC7BAA" w:rsidP="002E76B6">
      <w:pPr>
        <w:spacing w:line="276" w:lineRule="auto"/>
        <w:ind w:right="49"/>
        <w:contextualSpacing/>
        <w:jc w:val="both"/>
        <w:rPr>
          <w:rFonts w:ascii="Arial" w:hAnsi="Arial"/>
          <w:szCs w:val="24"/>
        </w:rPr>
      </w:pPr>
      <w:r>
        <w:rPr>
          <w:rFonts w:ascii="Arial" w:hAnsi="Arial"/>
          <w:szCs w:val="24"/>
        </w:rPr>
        <w:t xml:space="preserve">Adicionalmente, recuérdese que la señora María Fabiola </w:t>
      </w:r>
      <w:proofErr w:type="spellStart"/>
      <w:r>
        <w:rPr>
          <w:rFonts w:ascii="Arial" w:hAnsi="Arial"/>
          <w:szCs w:val="24"/>
        </w:rPr>
        <w:t>Velandia</w:t>
      </w:r>
      <w:proofErr w:type="spellEnd"/>
      <w:r>
        <w:rPr>
          <w:rFonts w:ascii="Arial" w:hAnsi="Arial"/>
          <w:szCs w:val="24"/>
        </w:rPr>
        <w:t xml:space="preserve"> Vanegas no solo suscribió el formulario de vinculación al RAIS, </w:t>
      </w:r>
      <w:r w:rsidR="00420690">
        <w:rPr>
          <w:rFonts w:ascii="Arial" w:hAnsi="Arial"/>
          <w:szCs w:val="24"/>
        </w:rPr>
        <w:t xml:space="preserve">efectuado conforme a los lineamientos fijados en la ley, </w:t>
      </w:r>
      <w:r>
        <w:rPr>
          <w:rFonts w:ascii="Arial" w:hAnsi="Arial"/>
          <w:szCs w:val="24"/>
        </w:rPr>
        <w:t>sino que reiteró su voluntad de permanencia en dicho régimen, al trasladarse en dos ocasiones entre administradoras que lo conforman</w:t>
      </w:r>
      <w:r w:rsidR="00AB42CD">
        <w:rPr>
          <w:rFonts w:ascii="Arial" w:hAnsi="Arial"/>
          <w:szCs w:val="24"/>
        </w:rPr>
        <w:t xml:space="preserve"> (Colpatria y </w:t>
      </w:r>
      <w:proofErr w:type="spellStart"/>
      <w:r w:rsidR="00AB42CD">
        <w:rPr>
          <w:rFonts w:ascii="Arial" w:hAnsi="Arial"/>
          <w:szCs w:val="24"/>
        </w:rPr>
        <w:t>Horizante</w:t>
      </w:r>
      <w:proofErr w:type="spellEnd"/>
      <w:r w:rsidR="00AB42CD">
        <w:rPr>
          <w:rFonts w:ascii="Arial" w:hAnsi="Arial"/>
          <w:szCs w:val="24"/>
        </w:rPr>
        <w:t>)</w:t>
      </w:r>
      <w:r>
        <w:rPr>
          <w:rFonts w:ascii="Arial" w:hAnsi="Arial"/>
          <w:szCs w:val="24"/>
        </w:rPr>
        <w:t xml:space="preserve">, incluso, como lo advirtió la a-quo, el último de ellos se presentó el </w:t>
      </w:r>
      <w:r w:rsidR="00F97B3D">
        <w:rPr>
          <w:rFonts w:ascii="Arial" w:hAnsi="Arial"/>
          <w:szCs w:val="24"/>
        </w:rPr>
        <w:t>28/02/2006 –</w:t>
      </w:r>
      <w:proofErr w:type="spellStart"/>
      <w:r w:rsidR="00F97B3D">
        <w:rPr>
          <w:rFonts w:ascii="Arial" w:hAnsi="Arial"/>
          <w:szCs w:val="24"/>
        </w:rPr>
        <w:t>fl</w:t>
      </w:r>
      <w:proofErr w:type="spellEnd"/>
      <w:r w:rsidR="00F97B3D">
        <w:rPr>
          <w:rFonts w:ascii="Arial" w:hAnsi="Arial"/>
          <w:szCs w:val="24"/>
        </w:rPr>
        <w:t xml:space="preserve">. 113- calenda para la cual contaba con 45 años de edad, es decir, que todavía </w:t>
      </w:r>
      <w:r w:rsidR="00AB42CD">
        <w:rPr>
          <w:rFonts w:ascii="Arial" w:hAnsi="Arial"/>
          <w:szCs w:val="24"/>
        </w:rPr>
        <w:t xml:space="preserve">podía </w:t>
      </w:r>
      <w:r w:rsidR="00F97B3D">
        <w:rPr>
          <w:rFonts w:ascii="Arial" w:hAnsi="Arial"/>
          <w:szCs w:val="24"/>
        </w:rPr>
        <w:t xml:space="preserve">optar por cambiarse </w:t>
      </w:r>
      <w:r w:rsidR="00AB42CD">
        <w:rPr>
          <w:rFonts w:ascii="Arial" w:hAnsi="Arial"/>
          <w:szCs w:val="24"/>
        </w:rPr>
        <w:t xml:space="preserve">para el RPM </w:t>
      </w:r>
      <w:r w:rsidR="00F97B3D">
        <w:rPr>
          <w:rFonts w:ascii="Arial" w:hAnsi="Arial"/>
          <w:szCs w:val="24"/>
        </w:rPr>
        <w:t xml:space="preserve">por no estar </w:t>
      </w:r>
      <w:r w:rsidR="00AB42CD">
        <w:rPr>
          <w:rFonts w:ascii="Arial" w:hAnsi="Arial"/>
          <w:szCs w:val="24"/>
        </w:rPr>
        <w:t xml:space="preserve">afectada </w:t>
      </w:r>
      <w:r w:rsidR="00F97B3D">
        <w:rPr>
          <w:rFonts w:ascii="Arial" w:hAnsi="Arial"/>
          <w:szCs w:val="24"/>
        </w:rPr>
        <w:t xml:space="preserve">por la restricción contenida en el artículo 2 de la Ley 797/2003, </w:t>
      </w:r>
      <w:r w:rsidR="00AB42CD">
        <w:rPr>
          <w:rFonts w:ascii="Arial" w:hAnsi="Arial"/>
          <w:szCs w:val="24"/>
        </w:rPr>
        <w:t>pero</w:t>
      </w:r>
      <w:r w:rsidR="00420690">
        <w:rPr>
          <w:rFonts w:ascii="Arial" w:hAnsi="Arial"/>
          <w:szCs w:val="24"/>
        </w:rPr>
        <w:t xml:space="preserve"> fue</w:t>
      </w:r>
      <w:r w:rsidR="00AB42CD">
        <w:rPr>
          <w:rFonts w:ascii="Arial" w:hAnsi="Arial"/>
          <w:szCs w:val="24"/>
        </w:rPr>
        <w:t xml:space="preserve"> su voluntad la de continuar en el RAIS, lo que supone que estaba conforme con los beneficios que venía disfrutando desde el año 1995 cuando ingresó a él.</w:t>
      </w:r>
    </w:p>
    <w:p w:rsidR="00DB5547" w:rsidRDefault="00DB5547" w:rsidP="002E76B6">
      <w:pPr>
        <w:spacing w:line="276" w:lineRule="auto"/>
        <w:ind w:right="49"/>
        <w:contextualSpacing/>
        <w:jc w:val="both"/>
        <w:rPr>
          <w:rFonts w:ascii="Arial" w:hAnsi="Arial" w:cs="Arial"/>
          <w:szCs w:val="24"/>
        </w:rPr>
      </w:pPr>
    </w:p>
    <w:p w:rsidR="00437340" w:rsidRDefault="00D04714" w:rsidP="00437340">
      <w:pPr>
        <w:spacing w:line="276" w:lineRule="auto"/>
        <w:jc w:val="both"/>
        <w:rPr>
          <w:rFonts w:ascii="Arial" w:hAnsi="Arial" w:cs="Arial"/>
          <w:szCs w:val="24"/>
          <w:lang w:eastAsia="es-CO"/>
        </w:rPr>
      </w:pPr>
      <w:r>
        <w:rPr>
          <w:rFonts w:ascii="Arial" w:hAnsi="Arial" w:cs="Arial"/>
          <w:color w:val="000000" w:themeColor="text1"/>
          <w:szCs w:val="24"/>
          <w:lang w:val="es-ES"/>
        </w:rPr>
        <w:t xml:space="preserve">Por último, debe precisarse que </w:t>
      </w:r>
      <w:r w:rsidR="00074F93">
        <w:rPr>
          <w:rFonts w:ascii="Arial" w:hAnsi="Arial" w:cs="Arial"/>
          <w:color w:val="000000" w:themeColor="text1"/>
          <w:szCs w:val="24"/>
          <w:lang w:val="es-ES"/>
        </w:rPr>
        <w:t xml:space="preserve">la </w:t>
      </w:r>
      <w:r w:rsidR="00D8738B">
        <w:rPr>
          <w:rFonts w:ascii="Arial" w:hAnsi="Arial" w:cs="Arial"/>
          <w:color w:val="000000" w:themeColor="text1"/>
          <w:szCs w:val="24"/>
          <w:lang w:val="es-ES"/>
        </w:rPr>
        <w:t xml:space="preserve">inexistencia </w:t>
      </w:r>
      <w:r w:rsidR="00074F93">
        <w:rPr>
          <w:rFonts w:ascii="Arial" w:hAnsi="Arial" w:cs="Arial"/>
          <w:color w:val="000000" w:themeColor="text1"/>
          <w:szCs w:val="24"/>
          <w:lang w:val="es-ES"/>
        </w:rPr>
        <w:t xml:space="preserve">de las proyecciones de </w:t>
      </w:r>
      <w:r>
        <w:rPr>
          <w:rFonts w:ascii="Arial" w:hAnsi="Arial" w:cs="Arial"/>
          <w:color w:val="000000" w:themeColor="text1"/>
          <w:szCs w:val="24"/>
          <w:lang w:val="es-ES"/>
        </w:rPr>
        <w:t>su expectativa pensional resulta</w:t>
      </w:r>
      <w:r w:rsidR="00074F93">
        <w:rPr>
          <w:rFonts w:ascii="Arial" w:hAnsi="Arial" w:cs="Arial"/>
          <w:color w:val="000000" w:themeColor="text1"/>
          <w:szCs w:val="24"/>
          <w:lang w:val="es-ES"/>
        </w:rPr>
        <w:t xml:space="preserve"> </w:t>
      </w:r>
      <w:r w:rsidR="00D8738B">
        <w:rPr>
          <w:rFonts w:ascii="Arial" w:hAnsi="Arial" w:cs="Arial"/>
          <w:color w:val="000000" w:themeColor="text1"/>
          <w:szCs w:val="24"/>
          <w:lang w:val="es-ES"/>
        </w:rPr>
        <w:t>in</w:t>
      </w:r>
      <w:r w:rsidR="00074F93">
        <w:rPr>
          <w:rFonts w:ascii="Arial" w:hAnsi="Arial" w:cs="Arial"/>
          <w:color w:val="000000" w:themeColor="text1"/>
          <w:szCs w:val="24"/>
          <w:lang w:val="es-ES"/>
        </w:rPr>
        <w:t>s</w:t>
      </w:r>
      <w:r>
        <w:rPr>
          <w:rFonts w:ascii="Arial" w:hAnsi="Arial" w:cs="Arial"/>
          <w:color w:val="000000" w:themeColor="text1"/>
          <w:szCs w:val="24"/>
          <w:lang w:val="es-ES"/>
        </w:rPr>
        <w:t>uficiente</w:t>
      </w:r>
      <w:r w:rsidR="00437340">
        <w:rPr>
          <w:rFonts w:ascii="Arial" w:hAnsi="Arial" w:cs="Arial"/>
          <w:color w:val="000000" w:themeColor="text1"/>
          <w:szCs w:val="24"/>
          <w:lang w:val="es-ES"/>
        </w:rPr>
        <w:t xml:space="preserve"> para</w:t>
      </w:r>
      <w:r w:rsidR="00074F93">
        <w:rPr>
          <w:rFonts w:ascii="Arial" w:hAnsi="Arial" w:cs="Arial"/>
          <w:color w:val="000000" w:themeColor="text1"/>
          <w:szCs w:val="24"/>
          <w:lang w:val="es-ES"/>
        </w:rPr>
        <w:t xml:space="preserve"> el éxito de las </w:t>
      </w:r>
      <w:r w:rsidR="00437340">
        <w:rPr>
          <w:rFonts w:ascii="Arial" w:hAnsi="Arial" w:cs="Arial"/>
          <w:color w:val="000000" w:themeColor="text1"/>
          <w:szCs w:val="24"/>
          <w:lang w:val="es-ES"/>
        </w:rPr>
        <w:t>pretensiones</w:t>
      </w:r>
      <w:r w:rsidR="00074F93">
        <w:rPr>
          <w:rFonts w:ascii="Arial" w:hAnsi="Arial" w:cs="Arial"/>
          <w:color w:val="000000" w:themeColor="text1"/>
          <w:szCs w:val="24"/>
          <w:lang w:val="es-ES"/>
        </w:rPr>
        <w:t xml:space="preserve"> de la demanda</w:t>
      </w:r>
      <w:r w:rsidR="00437340">
        <w:rPr>
          <w:rFonts w:ascii="Arial" w:hAnsi="Arial" w:cs="Arial"/>
          <w:color w:val="000000" w:themeColor="text1"/>
          <w:szCs w:val="24"/>
          <w:lang w:val="es-ES"/>
        </w:rPr>
        <w:t xml:space="preserve">, </w:t>
      </w:r>
      <w:r w:rsidR="00074F93">
        <w:rPr>
          <w:rFonts w:ascii="Arial" w:hAnsi="Arial" w:cs="Arial"/>
          <w:color w:val="000000" w:themeColor="text1"/>
          <w:szCs w:val="24"/>
          <w:lang w:val="es-ES"/>
        </w:rPr>
        <w:t xml:space="preserve">porque </w:t>
      </w:r>
      <w:r w:rsidR="00437340">
        <w:rPr>
          <w:rFonts w:ascii="Arial" w:hAnsi="Arial" w:cs="Arial"/>
          <w:szCs w:val="24"/>
        </w:rPr>
        <w:t xml:space="preserve">para la época en que se dio </w:t>
      </w:r>
      <w:r w:rsidR="009B63ED">
        <w:rPr>
          <w:rFonts w:ascii="Arial" w:hAnsi="Arial" w:cs="Arial"/>
          <w:szCs w:val="24"/>
        </w:rPr>
        <w:t>la vinculación al RAIS</w:t>
      </w:r>
      <w:r w:rsidR="00437340">
        <w:rPr>
          <w:rFonts w:ascii="Arial" w:hAnsi="Arial" w:cs="Arial"/>
          <w:szCs w:val="24"/>
        </w:rPr>
        <w:t>, a las administradoras no les asi</w:t>
      </w:r>
      <w:r w:rsidR="00420690">
        <w:rPr>
          <w:rFonts w:ascii="Arial" w:hAnsi="Arial" w:cs="Arial"/>
          <w:szCs w:val="24"/>
        </w:rPr>
        <w:t>stía la obligación de realizar el</w:t>
      </w:r>
      <w:r w:rsidR="00437340">
        <w:rPr>
          <w:rFonts w:ascii="Arial" w:hAnsi="Arial" w:cs="Arial"/>
          <w:szCs w:val="24"/>
        </w:rPr>
        <w:t xml:space="preserve"> cálculo o proyección para determinar el valor de la mesada pensional que pudiese recibir en ese régimen, pues esta solo surgió con la expedición de la Ley </w:t>
      </w:r>
      <w:r w:rsidR="00437340">
        <w:rPr>
          <w:rFonts w:ascii="Arial" w:hAnsi="Arial" w:cs="Arial"/>
          <w:szCs w:val="24"/>
          <w:lang w:eastAsia="es-CO"/>
        </w:rPr>
        <w:t>1748 de 2014</w:t>
      </w:r>
      <w:r w:rsidR="00437340">
        <w:rPr>
          <w:rStyle w:val="Refdenotaalpie"/>
          <w:rFonts w:ascii="Arial" w:hAnsi="Arial" w:cs="Arial"/>
          <w:szCs w:val="24"/>
          <w:lang w:eastAsia="es-CO"/>
        </w:rPr>
        <w:footnoteReference w:id="4"/>
      </w:r>
      <w:r w:rsidR="00437340">
        <w:rPr>
          <w:rFonts w:ascii="Arial" w:hAnsi="Arial" w:cs="Arial"/>
          <w:szCs w:val="24"/>
          <w:lang w:eastAsia="es-CO"/>
        </w:rPr>
        <w:t xml:space="preserve"> y el Decreto 2071 de 2015</w:t>
      </w:r>
      <w:r w:rsidR="00437340">
        <w:rPr>
          <w:rStyle w:val="Refdenotaalpie"/>
          <w:rFonts w:ascii="Arial" w:hAnsi="Arial" w:cs="Arial"/>
          <w:szCs w:val="24"/>
          <w:lang w:eastAsia="es-CO"/>
        </w:rPr>
        <w:footnoteReference w:id="5"/>
      </w:r>
      <w:r w:rsidR="008A32A7">
        <w:rPr>
          <w:rFonts w:ascii="Arial" w:hAnsi="Arial" w:cs="Arial"/>
          <w:szCs w:val="24"/>
          <w:lang w:eastAsia="es-CO"/>
        </w:rPr>
        <w:t>, en las condiciones y con los parámetros que se explicaron previamente en las consideraci</w:t>
      </w:r>
      <w:r w:rsidR="00F879DF">
        <w:rPr>
          <w:rFonts w:ascii="Arial" w:hAnsi="Arial" w:cs="Arial"/>
          <w:szCs w:val="24"/>
          <w:lang w:eastAsia="es-CO"/>
        </w:rPr>
        <w:t>ones jurídicas de esta decisión que como dice la norma en cita es una mera proyección, no derecho consolidado al realizarse con supuestos futuros probables</w:t>
      </w:r>
      <w:r w:rsidR="00AE49A5">
        <w:rPr>
          <w:rFonts w:ascii="Arial" w:hAnsi="Arial" w:cs="Arial"/>
          <w:szCs w:val="24"/>
          <w:lang w:eastAsia="es-CO"/>
        </w:rPr>
        <w:t>,</w:t>
      </w:r>
      <w:r w:rsidR="00F879DF">
        <w:rPr>
          <w:rFonts w:ascii="Arial" w:hAnsi="Arial" w:cs="Arial"/>
          <w:szCs w:val="24"/>
          <w:lang w:eastAsia="es-CO"/>
        </w:rPr>
        <w:t xml:space="preserve"> sin certeza de su ocurrencia.</w:t>
      </w:r>
    </w:p>
    <w:p w:rsidR="00437340" w:rsidRDefault="00437340" w:rsidP="00437340">
      <w:pPr>
        <w:spacing w:line="276" w:lineRule="auto"/>
        <w:jc w:val="both"/>
        <w:rPr>
          <w:rFonts w:ascii="Arial" w:hAnsi="Arial" w:cs="Arial"/>
          <w:szCs w:val="24"/>
          <w:lang w:eastAsia="es-CO"/>
        </w:rPr>
      </w:pP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3074D7" w:rsidRDefault="00C64A1B"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F2D49">
        <w:rPr>
          <w:rFonts w:ascii="Arial" w:hAnsi="Arial" w:cs="Arial"/>
          <w:color w:val="000000" w:themeColor="text1"/>
          <w:szCs w:val="24"/>
          <w:lang w:eastAsia="es-CO"/>
        </w:rPr>
        <w:t xml:space="preserve">Conforme lo expuesto, la decisión revisada será </w:t>
      </w:r>
      <w:r w:rsidR="000363A7">
        <w:rPr>
          <w:rFonts w:ascii="Arial" w:hAnsi="Arial" w:cs="Arial"/>
          <w:color w:val="000000" w:themeColor="text1"/>
          <w:szCs w:val="24"/>
          <w:lang w:eastAsia="es-CO"/>
        </w:rPr>
        <w:t>confirmada</w:t>
      </w:r>
      <w:r w:rsidR="00D04714">
        <w:rPr>
          <w:rFonts w:ascii="Arial" w:hAnsi="Arial" w:cs="Arial"/>
          <w:color w:val="000000" w:themeColor="text1"/>
          <w:szCs w:val="24"/>
          <w:lang w:eastAsia="es-CO"/>
        </w:rPr>
        <w:t xml:space="preserve"> en su integridad.</w:t>
      </w:r>
    </w:p>
    <w:p w:rsidR="0056020D" w:rsidRDefault="0056020D" w:rsidP="00C64A1B">
      <w:pPr>
        <w:shd w:val="clear" w:color="auto" w:fill="FFFFFF"/>
        <w:tabs>
          <w:tab w:val="left" w:pos="5197"/>
        </w:tabs>
        <w:spacing w:line="276" w:lineRule="auto"/>
        <w:contextualSpacing/>
        <w:jc w:val="both"/>
        <w:rPr>
          <w:rFonts w:ascii="Arial" w:hAnsi="Arial" w:cs="Arial"/>
          <w:color w:val="000000" w:themeColor="text1"/>
          <w:szCs w:val="24"/>
        </w:rPr>
      </w:pPr>
    </w:p>
    <w:p w:rsidR="00D04714" w:rsidRDefault="00F24246" w:rsidP="00C64A1B">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color w:val="000000" w:themeColor="text1"/>
          <w:szCs w:val="24"/>
        </w:rPr>
        <w:t xml:space="preserve">Sin costas </w:t>
      </w:r>
      <w:r w:rsidR="00D04714">
        <w:rPr>
          <w:rFonts w:ascii="Arial" w:hAnsi="Arial" w:cs="Arial"/>
          <w:color w:val="000000" w:themeColor="text1"/>
          <w:szCs w:val="24"/>
        </w:rPr>
        <w:t xml:space="preserve">en esta instancia </w:t>
      </w:r>
      <w:r>
        <w:rPr>
          <w:rFonts w:ascii="Arial" w:hAnsi="Arial" w:cs="Arial"/>
          <w:color w:val="000000" w:themeColor="text1"/>
          <w:szCs w:val="24"/>
        </w:rPr>
        <w:t>por tratarse del grado jurisdiccional de consulta</w:t>
      </w:r>
      <w:r w:rsidR="00D04714">
        <w:rPr>
          <w:rFonts w:ascii="Arial" w:hAnsi="Arial" w:cs="Arial"/>
          <w:color w:val="000000" w:themeColor="text1"/>
          <w:szCs w:val="24"/>
        </w:rPr>
        <w:t>.</w:t>
      </w:r>
    </w:p>
    <w:p w:rsidR="00E01E2A" w:rsidRPr="00BF2D49" w:rsidRDefault="00E01E2A" w:rsidP="00C64A1B">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0363A7">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D3835" w:rsidRDefault="00FD3835" w:rsidP="005920A9">
      <w:pPr>
        <w:pStyle w:val="Prrafodelista2"/>
        <w:spacing w:after="0"/>
        <w:ind w:left="0"/>
        <w:jc w:val="both"/>
        <w:rPr>
          <w:rFonts w:ascii="Arial" w:hAnsi="Arial" w:cs="Arial"/>
          <w:color w:val="000000" w:themeColor="text1"/>
          <w:sz w:val="24"/>
          <w:szCs w:val="24"/>
        </w:rPr>
      </w:pPr>
    </w:p>
    <w:p w:rsidR="00FE35C9" w:rsidRPr="00BF2D49" w:rsidRDefault="00FE35C9" w:rsidP="005920A9">
      <w:pPr>
        <w:pStyle w:val="Prrafodelista2"/>
        <w:spacing w:after="0"/>
        <w:ind w:left="0"/>
        <w:jc w:val="both"/>
        <w:rPr>
          <w:rFonts w:ascii="Arial" w:hAnsi="Arial" w:cs="Arial"/>
          <w:color w:val="000000" w:themeColor="text1"/>
          <w:sz w:val="24"/>
          <w:szCs w:val="24"/>
        </w:rPr>
      </w:pPr>
    </w:p>
    <w:p w:rsidR="0063603E"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RESUELVE</w:t>
      </w:r>
    </w:p>
    <w:p w:rsidR="00FD3835" w:rsidRDefault="00FD3835" w:rsidP="005920A9">
      <w:pPr>
        <w:spacing w:line="276" w:lineRule="auto"/>
        <w:contextualSpacing/>
        <w:jc w:val="center"/>
        <w:rPr>
          <w:rFonts w:ascii="Arial" w:hAnsi="Arial" w:cs="Arial"/>
          <w:b/>
          <w:color w:val="000000" w:themeColor="text1"/>
          <w:szCs w:val="24"/>
        </w:rPr>
      </w:pPr>
    </w:p>
    <w:p w:rsidR="00D04714" w:rsidRPr="00BF2D49" w:rsidRDefault="00D04714" w:rsidP="005920A9">
      <w:pPr>
        <w:spacing w:line="276" w:lineRule="auto"/>
        <w:contextualSpacing/>
        <w:jc w:val="center"/>
        <w:rPr>
          <w:rFonts w:ascii="Arial" w:hAnsi="Arial" w:cs="Arial"/>
          <w:b/>
          <w:color w:val="000000" w:themeColor="text1"/>
          <w:szCs w:val="24"/>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0363A7">
        <w:rPr>
          <w:rFonts w:ascii="Arial" w:hAnsi="Arial" w:cs="Arial"/>
          <w:b/>
          <w:color w:val="000000" w:themeColor="text1"/>
          <w:sz w:val="24"/>
          <w:szCs w:val="24"/>
        </w:rPr>
        <w:t>CONFI</w:t>
      </w:r>
      <w:r w:rsidR="007213C7">
        <w:rPr>
          <w:rFonts w:ascii="Arial" w:hAnsi="Arial" w:cs="Arial"/>
          <w:b/>
          <w:color w:val="000000" w:themeColor="text1"/>
          <w:sz w:val="24"/>
          <w:szCs w:val="24"/>
        </w:rPr>
        <w:t>R</w:t>
      </w:r>
      <w:r w:rsidR="000363A7">
        <w:rPr>
          <w:rFonts w:ascii="Arial" w:hAnsi="Arial" w:cs="Arial"/>
          <w:b/>
          <w:color w:val="000000" w:themeColor="text1"/>
          <w:sz w:val="24"/>
          <w:szCs w:val="24"/>
        </w:rPr>
        <w:t xml:space="preserve">MAR </w:t>
      </w:r>
      <w:r w:rsidR="00646BE7">
        <w:rPr>
          <w:rFonts w:ascii="Arial" w:hAnsi="Arial" w:cs="Arial"/>
          <w:color w:val="000000" w:themeColor="text1"/>
          <w:sz w:val="24"/>
          <w:szCs w:val="24"/>
        </w:rPr>
        <w:t xml:space="preserve">la sentencia proferida el </w:t>
      </w:r>
      <w:r w:rsidR="00F24246">
        <w:rPr>
          <w:rFonts w:ascii="Arial" w:hAnsi="Arial" w:cs="Arial"/>
          <w:color w:val="000000" w:themeColor="text1"/>
          <w:sz w:val="24"/>
          <w:szCs w:val="24"/>
        </w:rPr>
        <w:t>07</w:t>
      </w:r>
      <w:r w:rsidR="00AB5AE6">
        <w:rPr>
          <w:rFonts w:ascii="Arial" w:hAnsi="Arial" w:cs="Arial"/>
          <w:color w:val="000000" w:themeColor="text1"/>
          <w:sz w:val="24"/>
          <w:szCs w:val="24"/>
        </w:rPr>
        <w:t xml:space="preserve"> </w:t>
      </w:r>
      <w:r w:rsidRPr="00BF2D49">
        <w:rPr>
          <w:rFonts w:ascii="Arial" w:hAnsi="Arial" w:cs="Arial"/>
          <w:color w:val="000000" w:themeColor="text1"/>
          <w:sz w:val="24"/>
          <w:szCs w:val="24"/>
        </w:rPr>
        <w:t xml:space="preserve">de </w:t>
      </w:r>
      <w:r w:rsidR="00F24246">
        <w:rPr>
          <w:rFonts w:ascii="Arial" w:hAnsi="Arial" w:cs="Arial"/>
          <w:color w:val="000000" w:themeColor="text1"/>
          <w:sz w:val="24"/>
          <w:szCs w:val="24"/>
        </w:rPr>
        <w:t xml:space="preserve">mayo </w:t>
      </w:r>
      <w:r>
        <w:rPr>
          <w:rFonts w:ascii="Arial" w:hAnsi="Arial" w:cs="Arial"/>
          <w:color w:val="000000" w:themeColor="text1"/>
          <w:sz w:val="24"/>
          <w:szCs w:val="24"/>
        </w:rPr>
        <w:t>de 201</w:t>
      </w:r>
      <w:r w:rsidR="00D20F9A">
        <w:rPr>
          <w:rFonts w:ascii="Arial" w:hAnsi="Arial" w:cs="Arial"/>
          <w:color w:val="000000" w:themeColor="text1"/>
          <w:sz w:val="24"/>
          <w:szCs w:val="24"/>
        </w:rPr>
        <w:t>8</w:t>
      </w:r>
      <w:r w:rsidRPr="00BF2D49">
        <w:rPr>
          <w:rFonts w:ascii="Arial" w:hAnsi="Arial" w:cs="Arial"/>
          <w:color w:val="000000" w:themeColor="text1"/>
          <w:sz w:val="24"/>
          <w:szCs w:val="24"/>
        </w:rPr>
        <w:t xml:space="preserve"> por el Juzgado </w:t>
      </w:r>
      <w:r w:rsidR="00F24246">
        <w:rPr>
          <w:rFonts w:ascii="Arial" w:hAnsi="Arial" w:cs="Arial"/>
          <w:color w:val="000000" w:themeColor="text1"/>
          <w:sz w:val="24"/>
          <w:szCs w:val="24"/>
        </w:rPr>
        <w:t xml:space="preserve">Tercero </w:t>
      </w:r>
      <w:r w:rsidRPr="00BF2D49">
        <w:rPr>
          <w:rFonts w:ascii="Arial" w:hAnsi="Arial" w:cs="Arial"/>
          <w:color w:val="000000" w:themeColor="text1"/>
          <w:sz w:val="24"/>
          <w:szCs w:val="24"/>
        </w:rPr>
        <w:t xml:space="preserve">Laboral del Circuito de Pereira, dentro del proceso ordinario laboral propuesto por </w:t>
      </w:r>
      <w:r w:rsidR="00AB5AE6">
        <w:rPr>
          <w:rFonts w:ascii="Arial" w:hAnsi="Arial" w:cs="Arial"/>
          <w:color w:val="000000" w:themeColor="text1"/>
          <w:sz w:val="24"/>
          <w:szCs w:val="24"/>
        </w:rPr>
        <w:t>la</w:t>
      </w:r>
      <w:r>
        <w:rPr>
          <w:rFonts w:ascii="Arial" w:hAnsi="Arial" w:cs="Arial"/>
          <w:color w:val="000000" w:themeColor="text1"/>
          <w:sz w:val="24"/>
          <w:szCs w:val="24"/>
        </w:rPr>
        <w:t xml:space="preserve"> señor</w:t>
      </w:r>
      <w:r w:rsidR="00AB5AE6">
        <w:rPr>
          <w:rFonts w:ascii="Arial" w:hAnsi="Arial" w:cs="Arial"/>
          <w:color w:val="000000" w:themeColor="text1"/>
          <w:sz w:val="24"/>
          <w:szCs w:val="24"/>
        </w:rPr>
        <w:t>a</w:t>
      </w:r>
      <w:r>
        <w:rPr>
          <w:rFonts w:ascii="Arial" w:hAnsi="Arial" w:cs="Arial"/>
          <w:color w:val="000000" w:themeColor="text1"/>
          <w:sz w:val="24"/>
          <w:szCs w:val="24"/>
        </w:rPr>
        <w:t xml:space="preserve"> </w:t>
      </w:r>
      <w:r w:rsidR="00F24246">
        <w:rPr>
          <w:rFonts w:ascii="Arial" w:hAnsi="Arial" w:cs="Arial"/>
          <w:b/>
          <w:color w:val="000000" w:themeColor="text1"/>
          <w:sz w:val="24"/>
          <w:szCs w:val="24"/>
        </w:rPr>
        <w:t xml:space="preserve">María Fabiola </w:t>
      </w:r>
      <w:proofErr w:type="spellStart"/>
      <w:r w:rsidR="00F24246">
        <w:rPr>
          <w:rFonts w:ascii="Arial" w:hAnsi="Arial" w:cs="Arial"/>
          <w:b/>
          <w:color w:val="000000" w:themeColor="text1"/>
          <w:sz w:val="24"/>
          <w:szCs w:val="24"/>
        </w:rPr>
        <w:t>Velandia</w:t>
      </w:r>
      <w:proofErr w:type="spellEnd"/>
      <w:r w:rsidR="00F24246">
        <w:rPr>
          <w:rFonts w:ascii="Arial" w:hAnsi="Arial" w:cs="Arial"/>
          <w:b/>
          <w:color w:val="000000" w:themeColor="text1"/>
          <w:sz w:val="24"/>
          <w:szCs w:val="24"/>
        </w:rPr>
        <w:t xml:space="preserve"> Vanegas</w:t>
      </w:r>
      <w:r w:rsidR="003A4CF9">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sidR="008908CC">
        <w:rPr>
          <w:rFonts w:ascii="Arial" w:hAnsi="Arial" w:cs="Arial"/>
          <w:b/>
          <w:color w:val="000000" w:themeColor="text1"/>
          <w:sz w:val="24"/>
          <w:szCs w:val="24"/>
        </w:rPr>
        <w:t xml:space="preserve"> </w:t>
      </w:r>
      <w:r w:rsidR="008908CC" w:rsidRPr="00646BE7">
        <w:rPr>
          <w:rFonts w:ascii="Arial" w:hAnsi="Arial" w:cs="Arial"/>
          <w:color w:val="000000" w:themeColor="text1"/>
          <w:sz w:val="24"/>
          <w:szCs w:val="24"/>
        </w:rPr>
        <w:t>y</w:t>
      </w:r>
      <w:r w:rsidR="008908CC">
        <w:rPr>
          <w:rFonts w:ascii="Arial" w:hAnsi="Arial" w:cs="Arial"/>
          <w:b/>
          <w:color w:val="000000" w:themeColor="text1"/>
          <w:sz w:val="24"/>
          <w:szCs w:val="24"/>
        </w:rPr>
        <w:t xml:space="preserve"> Porvenir S.A.</w:t>
      </w:r>
      <w:r w:rsidR="0058174E">
        <w:rPr>
          <w:rFonts w:ascii="Arial" w:hAnsi="Arial" w:cs="Arial"/>
          <w:color w:val="000000" w:themeColor="text1"/>
          <w:sz w:val="24"/>
          <w:szCs w:val="24"/>
        </w:rPr>
        <w:t>, según lo dicho en precedencia.</w:t>
      </w:r>
    </w:p>
    <w:p w:rsidR="004400E5"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w:t>
      </w:r>
      <w:r w:rsidR="00F24246">
        <w:rPr>
          <w:rFonts w:ascii="Arial" w:hAnsi="Arial" w:cs="Arial"/>
          <w:color w:val="000000" w:themeColor="text1"/>
          <w:szCs w:val="24"/>
        </w:rPr>
        <w:t>Sin costas en esta instancia</w:t>
      </w:r>
      <w:r w:rsidR="00E01E2A">
        <w:rPr>
          <w:rFonts w:ascii="Arial" w:hAnsi="Arial" w:cs="Arial"/>
          <w:color w:val="000000" w:themeColor="text1"/>
          <w:szCs w:val="24"/>
        </w:rPr>
        <w:t xml:space="preserve"> </w:t>
      </w:r>
      <w:r w:rsidR="00D04714">
        <w:rPr>
          <w:rFonts w:ascii="Arial" w:hAnsi="Arial" w:cs="Arial"/>
          <w:color w:val="000000" w:themeColor="text1"/>
          <w:szCs w:val="24"/>
        </w:rPr>
        <w:t>por lo mencionado en la parte motiva.</w:t>
      </w:r>
    </w:p>
    <w:p w:rsidR="00FD3835" w:rsidRDefault="00FD3835" w:rsidP="005920A9">
      <w:pPr>
        <w:shd w:val="clear" w:color="auto" w:fill="FFFFFF"/>
        <w:tabs>
          <w:tab w:val="left" w:pos="5197"/>
        </w:tabs>
        <w:spacing w:line="276" w:lineRule="auto"/>
        <w:contextualSpacing/>
        <w:jc w:val="both"/>
        <w:rPr>
          <w:rFonts w:ascii="Arial" w:hAnsi="Arial" w:cs="Arial"/>
          <w:color w:val="000000" w:themeColor="text1"/>
          <w:szCs w:val="24"/>
        </w:rPr>
      </w:pP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FD3835" w:rsidRDefault="00FD3835" w:rsidP="005920A9">
      <w:pPr>
        <w:pStyle w:val="Textoindependiente"/>
        <w:spacing w:line="276" w:lineRule="auto"/>
        <w:contextualSpacing/>
        <w:rPr>
          <w:color w:val="000000" w:themeColor="text1"/>
          <w:szCs w:val="24"/>
        </w:rPr>
      </w:pPr>
    </w:p>
    <w:p w:rsidR="0063603E" w:rsidRPr="00BF2D49"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996002" w:rsidRDefault="00996002" w:rsidP="005920A9">
      <w:pPr>
        <w:contextualSpacing/>
      </w:pPr>
    </w:p>
    <w:p w:rsidR="001B2227" w:rsidRDefault="001B2227" w:rsidP="005920A9">
      <w:pPr>
        <w:contextualSpacing/>
      </w:pPr>
    </w:p>
    <w:p w:rsidR="00696E2E" w:rsidRDefault="00696E2E" w:rsidP="005920A9">
      <w:pPr>
        <w:pStyle w:val="Sinespaciado"/>
        <w:spacing w:line="276" w:lineRule="auto"/>
        <w:contextualSpacing/>
        <w:jc w:val="center"/>
        <w:rPr>
          <w:rFonts w:ascii="Arial" w:hAnsi="Arial" w:cs="Arial"/>
          <w:b/>
          <w:color w:val="000000" w:themeColor="text1"/>
          <w:sz w:val="24"/>
          <w:szCs w:val="24"/>
          <w:lang w:val="es-ES"/>
        </w:rPr>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5D0298" w:rsidRDefault="001B2227" w:rsidP="005D0298">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r>
      <w:r w:rsidR="005D0298" w:rsidRPr="005D0298">
        <w:rPr>
          <w:rFonts w:ascii="Arial" w:hAnsi="Arial" w:cs="Arial"/>
          <w:b/>
          <w:color w:val="000000" w:themeColor="text1"/>
          <w:sz w:val="23"/>
          <w:szCs w:val="23"/>
          <w:lang w:val="es-ES"/>
        </w:rPr>
        <w:t>FRANCISCO JAVIER TAMAYO TABARES</w:t>
      </w:r>
    </w:p>
    <w:p w:rsidR="00A92D55" w:rsidRDefault="005D0298" w:rsidP="005D0298">
      <w:pPr>
        <w:spacing w:line="276" w:lineRule="auto"/>
        <w:contextualSpacing/>
        <w:jc w:val="both"/>
        <w:rPr>
          <w:rFonts w:ascii="Arial" w:hAnsi="Arial" w:cs="Arial"/>
          <w:b/>
          <w:color w:val="000000" w:themeColor="text1"/>
          <w:sz w:val="23"/>
          <w:szCs w:val="23"/>
          <w:lang w:val="es-ES"/>
        </w:rPr>
      </w:pPr>
      <w:r>
        <w:rPr>
          <w:rFonts w:ascii="Arial" w:hAnsi="Arial" w:cs="Arial"/>
          <w:b/>
          <w:color w:val="000000" w:themeColor="text1"/>
          <w:sz w:val="23"/>
          <w:szCs w:val="23"/>
          <w:lang w:val="es-ES"/>
        </w:rPr>
        <w:tab/>
      </w:r>
      <w:r>
        <w:rPr>
          <w:rFonts w:ascii="Arial" w:hAnsi="Arial" w:cs="Arial"/>
          <w:b/>
          <w:color w:val="000000" w:themeColor="text1"/>
          <w:sz w:val="23"/>
          <w:szCs w:val="23"/>
          <w:lang w:val="es-ES"/>
        </w:rPr>
        <w:tab/>
        <w:t>Magistrado</w:t>
      </w:r>
      <w:r>
        <w:rPr>
          <w:rFonts w:ascii="Arial" w:hAnsi="Arial" w:cs="Arial"/>
          <w:b/>
          <w:color w:val="000000" w:themeColor="text1"/>
          <w:sz w:val="23"/>
          <w:szCs w:val="23"/>
          <w:lang w:val="es-ES"/>
        </w:rPr>
        <w:tab/>
      </w:r>
      <w:r>
        <w:rPr>
          <w:rFonts w:ascii="Arial" w:hAnsi="Arial" w:cs="Arial"/>
          <w:b/>
          <w:color w:val="000000" w:themeColor="text1"/>
          <w:sz w:val="23"/>
          <w:szCs w:val="23"/>
          <w:lang w:val="es-ES"/>
        </w:rPr>
        <w:tab/>
      </w:r>
      <w:r>
        <w:rPr>
          <w:rFonts w:ascii="Arial" w:hAnsi="Arial" w:cs="Arial"/>
          <w:b/>
          <w:color w:val="000000" w:themeColor="text1"/>
          <w:sz w:val="23"/>
          <w:szCs w:val="23"/>
          <w:lang w:val="es-ES"/>
        </w:rPr>
        <w:tab/>
      </w:r>
      <w:r>
        <w:rPr>
          <w:rFonts w:ascii="Arial" w:hAnsi="Arial" w:cs="Arial"/>
          <w:b/>
          <w:color w:val="000000" w:themeColor="text1"/>
          <w:sz w:val="23"/>
          <w:szCs w:val="23"/>
          <w:lang w:val="es-ES"/>
        </w:rPr>
        <w:tab/>
      </w:r>
      <w:r>
        <w:rPr>
          <w:rFonts w:ascii="Arial" w:hAnsi="Arial" w:cs="Arial"/>
          <w:b/>
          <w:color w:val="000000" w:themeColor="text1"/>
          <w:sz w:val="23"/>
          <w:szCs w:val="23"/>
          <w:lang w:val="es-ES"/>
        </w:rPr>
        <w:tab/>
      </w:r>
      <w:proofErr w:type="spellStart"/>
      <w:r>
        <w:rPr>
          <w:rFonts w:ascii="Arial" w:hAnsi="Arial" w:cs="Arial"/>
          <w:b/>
          <w:color w:val="000000" w:themeColor="text1"/>
          <w:sz w:val="23"/>
          <w:szCs w:val="23"/>
          <w:lang w:val="es-ES"/>
        </w:rPr>
        <w:t>Magistrado</w:t>
      </w:r>
      <w:proofErr w:type="spellEnd"/>
      <w:r>
        <w:rPr>
          <w:rFonts w:ascii="Arial" w:hAnsi="Arial" w:cs="Arial"/>
          <w:b/>
          <w:color w:val="000000" w:themeColor="text1"/>
          <w:sz w:val="23"/>
          <w:szCs w:val="23"/>
          <w:lang w:val="es-ES"/>
        </w:rPr>
        <w:tab/>
      </w:r>
    </w:p>
    <w:p w:rsidR="00B92DFF" w:rsidRPr="00DB5547" w:rsidRDefault="00F6330B" w:rsidP="005D0298">
      <w:pPr>
        <w:spacing w:line="276" w:lineRule="auto"/>
        <w:contextualSpacing/>
        <w:jc w:val="both"/>
        <w:rPr>
          <w:rFonts w:ascii="Arial" w:hAnsi="Arial" w:cs="Arial"/>
          <w:color w:val="000000" w:themeColor="text1"/>
          <w:sz w:val="23"/>
          <w:szCs w:val="23"/>
          <w:lang w:val="es-ES"/>
        </w:rPr>
      </w:pPr>
      <w:r w:rsidRPr="00DB5547">
        <w:rPr>
          <w:rFonts w:ascii="Arial" w:hAnsi="Arial" w:cs="Arial"/>
          <w:color w:val="000000" w:themeColor="text1"/>
          <w:sz w:val="23"/>
          <w:szCs w:val="23"/>
          <w:lang w:val="es-ES"/>
        </w:rPr>
        <w:tab/>
      </w:r>
      <w:r w:rsidRPr="00DB5547">
        <w:rPr>
          <w:rFonts w:ascii="Arial" w:hAnsi="Arial" w:cs="Arial"/>
          <w:color w:val="000000" w:themeColor="text1"/>
          <w:sz w:val="23"/>
          <w:szCs w:val="23"/>
          <w:lang w:val="es-ES"/>
        </w:rPr>
        <w:tab/>
      </w:r>
      <w:r w:rsidRPr="00DB5547">
        <w:rPr>
          <w:rFonts w:ascii="Arial" w:hAnsi="Arial" w:cs="Arial"/>
          <w:color w:val="000000" w:themeColor="text1"/>
          <w:sz w:val="23"/>
          <w:szCs w:val="23"/>
          <w:lang w:val="es-ES"/>
        </w:rPr>
        <w:tab/>
      </w:r>
      <w:r w:rsidRPr="00DB5547">
        <w:rPr>
          <w:rFonts w:ascii="Arial" w:hAnsi="Arial" w:cs="Arial"/>
          <w:color w:val="000000" w:themeColor="text1"/>
          <w:sz w:val="23"/>
          <w:szCs w:val="23"/>
          <w:lang w:val="es-ES"/>
        </w:rPr>
        <w:tab/>
      </w:r>
      <w:r w:rsidRPr="00DB5547">
        <w:rPr>
          <w:rFonts w:ascii="Arial" w:hAnsi="Arial" w:cs="Arial"/>
          <w:color w:val="000000" w:themeColor="text1"/>
          <w:sz w:val="23"/>
          <w:szCs w:val="23"/>
          <w:lang w:val="es-ES"/>
        </w:rPr>
        <w:tab/>
      </w:r>
      <w:r w:rsidRPr="00DB5547">
        <w:rPr>
          <w:rFonts w:ascii="Arial" w:hAnsi="Arial" w:cs="Arial"/>
          <w:color w:val="000000" w:themeColor="text1"/>
          <w:sz w:val="23"/>
          <w:szCs w:val="23"/>
          <w:lang w:val="es-ES"/>
        </w:rPr>
        <w:tab/>
      </w:r>
      <w:r w:rsidRPr="00DB5547">
        <w:rPr>
          <w:rFonts w:ascii="Arial" w:hAnsi="Arial" w:cs="Arial"/>
          <w:color w:val="000000" w:themeColor="text1"/>
          <w:sz w:val="23"/>
          <w:szCs w:val="23"/>
          <w:lang w:val="es-ES"/>
        </w:rPr>
        <w:tab/>
      </w:r>
      <w:r w:rsidRPr="00DB5547">
        <w:rPr>
          <w:rFonts w:ascii="Arial" w:hAnsi="Arial" w:cs="Arial"/>
          <w:color w:val="000000" w:themeColor="text1"/>
          <w:sz w:val="23"/>
          <w:szCs w:val="23"/>
          <w:lang w:val="es-ES"/>
        </w:rPr>
        <w:tab/>
        <w:t>(</w:t>
      </w:r>
      <w:r w:rsidR="00DB5547" w:rsidRPr="00DB5547">
        <w:rPr>
          <w:rFonts w:ascii="Arial" w:hAnsi="Arial" w:cs="Arial"/>
          <w:color w:val="000000" w:themeColor="text1"/>
          <w:sz w:val="23"/>
          <w:szCs w:val="23"/>
          <w:lang w:val="es-ES"/>
        </w:rPr>
        <w:t>S</w:t>
      </w:r>
      <w:r w:rsidRPr="00DB5547">
        <w:rPr>
          <w:rFonts w:ascii="Arial" w:hAnsi="Arial" w:cs="Arial"/>
          <w:color w:val="000000" w:themeColor="text1"/>
          <w:sz w:val="23"/>
          <w:szCs w:val="23"/>
          <w:lang w:val="es-ES"/>
        </w:rPr>
        <w:t>alva voto)</w:t>
      </w:r>
    </w:p>
    <w:sectPr w:rsidR="00B92DFF" w:rsidRPr="00DB5547" w:rsidSect="00167363">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54" w:rsidRDefault="00A11B54" w:rsidP="00AD05E0">
      <w:r>
        <w:separator/>
      </w:r>
    </w:p>
  </w:endnote>
  <w:endnote w:type="continuationSeparator" w:id="0">
    <w:p w:rsidR="00A11B54" w:rsidRDefault="00A11B54"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rsidR="002E76B6" w:rsidRPr="00167363" w:rsidRDefault="002E76B6">
        <w:pPr>
          <w:pStyle w:val="Piedepgina"/>
          <w:jc w:val="right"/>
          <w:rPr>
            <w:rFonts w:ascii="Arial" w:hAnsi="Arial" w:cs="Arial"/>
            <w:sz w:val="20"/>
          </w:rPr>
        </w:pPr>
        <w:r w:rsidRPr="00167363">
          <w:rPr>
            <w:rFonts w:ascii="Arial" w:hAnsi="Arial" w:cs="Arial"/>
            <w:sz w:val="20"/>
          </w:rPr>
          <w:fldChar w:fldCharType="begin"/>
        </w:r>
        <w:r w:rsidRPr="00167363">
          <w:rPr>
            <w:rFonts w:ascii="Arial" w:hAnsi="Arial" w:cs="Arial"/>
            <w:sz w:val="20"/>
          </w:rPr>
          <w:instrText>PAGE   \* MERGEFORMAT</w:instrText>
        </w:r>
        <w:r w:rsidRPr="00167363">
          <w:rPr>
            <w:rFonts w:ascii="Arial" w:hAnsi="Arial" w:cs="Arial"/>
            <w:sz w:val="20"/>
          </w:rPr>
          <w:fldChar w:fldCharType="separate"/>
        </w:r>
        <w:r w:rsidR="0025748E" w:rsidRPr="0025748E">
          <w:rPr>
            <w:rFonts w:ascii="Arial" w:hAnsi="Arial" w:cs="Arial"/>
            <w:noProof/>
            <w:sz w:val="20"/>
            <w:lang w:val="es-ES"/>
          </w:rPr>
          <w:t>14</w:t>
        </w:r>
        <w:r w:rsidRPr="00167363">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54" w:rsidRDefault="00A11B54" w:rsidP="00AD05E0">
      <w:r>
        <w:separator/>
      </w:r>
    </w:p>
  </w:footnote>
  <w:footnote w:type="continuationSeparator" w:id="0">
    <w:p w:rsidR="00A11B54" w:rsidRDefault="00A11B54" w:rsidP="00AD05E0">
      <w:r>
        <w:continuationSeparator/>
      </w:r>
    </w:p>
  </w:footnote>
  <w:footnote w:id="1">
    <w:p w:rsidR="002E76B6" w:rsidRPr="006C6C83" w:rsidRDefault="002E76B6">
      <w:pPr>
        <w:pStyle w:val="Textonotapie"/>
        <w:rPr>
          <w:rFonts w:ascii="Arial" w:hAnsi="Arial" w:cs="Arial"/>
          <w:sz w:val="18"/>
          <w:szCs w:val="18"/>
          <w:lang w:val="es-CO"/>
        </w:rPr>
      </w:pPr>
      <w:r w:rsidRPr="006C6C83">
        <w:rPr>
          <w:rStyle w:val="Refdenotaalpie"/>
          <w:rFonts w:ascii="Arial" w:hAnsi="Arial" w:cs="Arial"/>
          <w:sz w:val="18"/>
          <w:szCs w:val="18"/>
        </w:rPr>
        <w:footnoteRef/>
      </w:r>
      <w:r w:rsidRPr="006C6C83">
        <w:rPr>
          <w:rFonts w:ascii="Arial" w:hAnsi="Arial" w:cs="Arial"/>
          <w:sz w:val="18"/>
          <w:szCs w:val="18"/>
        </w:rPr>
        <w:t xml:space="preserve"> M.P. Gerardo Botero Zuluaga </w:t>
      </w:r>
      <w:r w:rsidRPr="006C6C83">
        <w:rPr>
          <w:rFonts w:ascii="Arial" w:hAnsi="Arial" w:cs="Arial"/>
          <w:sz w:val="18"/>
          <w:szCs w:val="18"/>
          <w:lang w:val="es-CO"/>
        </w:rPr>
        <w:t>SL4964 del 14/11/2018. Radicado 54814.</w:t>
      </w:r>
    </w:p>
  </w:footnote>
  <w:footnote w:id="2">
    <w:p w:rsidR="002E76B6" w:rsidRPr="009522C6" w:rsidRDefault="002E76B6">
      <w:pPr>
        <w:pStyle w:val="Textonotapie"/>
        <w:rPr>
          <w:rFonts w:ascii="Arial" w:hAnsi="Arial" w:cs="Arial"/>
          <w:sz w:val="18"/>
          <w:szCs w:val="18"/>
          <w:lang w:val="es-CO"/>
        </w:rPr>
      </w:pPr>
      <w:r w:rsidRPr="009522C6">
        <w:rPr>
          <w:rStyle w:val="Refdenotaalpie"/>
          <w:rFonts w:ascii="Arial" w:hAnsi="Arial" w:cs="Arial"/>
          <w:sz w:val="18"/>
          <w:szCs w:val="18"/>
        </w:rPr>
        <w:footnoteRef/>
      </w:r>
      <w:r w:rsidRPr="009522C6">
        <w:rPr>
          <w:rFonts w:ascii="Arial" w:hAnsi="Arial" w:cs="Arial"/>
          <w:sz w:val="18"/>
          <w:szCs w:val="18"/>
        </w:rPr>
        <w:t xml:space="preserve"> </w:t>
      </w:r>
      <w:r w:rsidRPr="009522C6">
        <w:rPr>
          <w:rFonts w:ascii="Arial" w:hAnsi="Arial" w:cs="Arial"/>
          <w:sz w:val="18"/>
          <w:szCs w:val="18"/>
          <w:lang w:val="es-CO"/>
        </w:rPr>
        <w:t xml:space="preserve">M.P. Clara Cecilia Dueñas, </w:t>
      </w:r>
      <w:proofErr w:type="spellStart"/>
      <w:r w:rsidRPr="009522C6">
        <w:rPr>
          <w:rFonts w:ascii="Arial" w:hAnsi="Arial" w:cs="Arial"/>
          <w:sz w:val="18"/>
          <w:szCs w:val="18"/>
          <w:lang w:val="es-CO"/>
        </w:rPr>
        <w:t>SL</w:t>
      </w:r>
      <w:proofErr w:type="spellEnd"/>
      <w:r w:rsidRPr="009522C6">
        <w:rPr>
          <w:rFonts w:ascii="Arial" w:hAnsi="Arial" w:cs="Arial"/>
          <w:sz w:val="18"/>
          <w:szCs w:val="18"/>
          <w:lang w:val="es-CO"/>
        </w:rPr>
        <w:t xml:space="preserve"> 12136 de 2014.</w:t>
      </w:r>
    </w:p>
  </w:footnote>
  <w:footnote w:id="3">
    <w:p w:rsidR="002E76B6" w:rsidRPr="00D15367" w:rsidRDefault="002E76B6" w:rsidP="00804FBC">
      <w:pPr>
        <w:pStyle w:val="Textonotapie"/>
        <w:rPr>
          <w:rFonts w:ascii="Arial" w:hAnsi="Arial" w:cs="Arial"/>
          <w:sz w:val="18"/>
          <w:szCs w:val="18"/>
          <w:lang w:val="es-CO"/>
        </w:rPr>
      </w:pPr>
      <w:r w:rsidRPr="00D15367">
        <w:rPr>
          <w:rStyle w:val="Refdenotaalpie"/>
          <w:rFonts w:ascii="Arial" w:hAnsi="Arial" w:cs="Arial"/>
          <w:sz w:val="18"/>
          <w:szCs w:val="18"/>
        </w:rPr>
        <w:footnoteRef/>
      </w:r>
      <w:r w:rsidRPr="00D15367">
        <w:rPr>
          <w:rFonts w:ascii="Arial" w:hAnsi="Arial" w:cs="Arial"/>
          <w:sz w:val="18"/>
          <w:szCs w:val="18"/>
        </w:rPr>
        <w:t xml:space="preserve"> C</w:t>
      </w:r>
      <w:r>
        <w:rPr>
          <w:rFonts w:ascii="Arial" w:hAnsi="Arial" w:cs="Arial"/>
          <w:sz w:val="18"/>
          <w:szCs w:val="18"/>
        </w:rPr>
        <w:t>SJ</w:t>
      </w:r>
      <w:r w:rsidRPr="00D15367">
        <w:rPr>
          <w:rFonts w:ascii="Arial" w:hAnsi="Arial" w:cs="Arial"/>
          <w:sz w:val="18"/>
          <w:szCs w:val="18"/>
        </w:rPr>
        <w:t xml:space="preserve">, Sala de Casación Laboral, </w:t>
      </w:r>
      <w:r w:rsidRPr="00D15367">
        <w:rPr>
          <w:rFonts w:ascii="Arial" w:hAnsi="Arial" w:cs="Arial"/>
          <w:sz w:val="18"/>
          <w:szCs w:val="18"/>
          <w:lang w:val="es-ES"/>
        </w:rPr>
        <w:t>sentencias con radicados 31203 de 2007 y 43171 de 2016.</w:t>
      </w:r>
    </w:p>
  </w:footnote>
  <w:footnote w:id="4">
    <w:p w:rsidR="002E76B6" w:rsidRPr="00B85846" w:rsidRDefault="002E76B6" w:rsidP="00437340">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5">
    <w:p w:rsidR="002E76B6" w:rsidRPr="00B85846" w:rsidRDefault="002E76B6" w:rsidP="00437340">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B6" w:rsidRPr="00BB3FED" w:rsidRDefault="002E76B6"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2E76B6" w:rsidRPr="00BB3FED" w:rsidRDefault="002E76B6"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66001-31-05-003-2017-00364-01</w:t>
    </w:r>
  </w:p>
  <w:p w:rsidR="002E76B6" w:rsidRPr="00BB3FED" w:rsidRDefault="002E76B6" w:rsidP="00AD05E0">
    <w:pPr>
      <w:pStyle w:val="Encabezado"/>
      <w:jc w:val="center"/>
      <w:rPr>
        <w:rFonts w:ascii="Arial" w:hAnsi="Arial" w:cs="Arial"/>
        <w:sz w:val="18"/>
        <w:szCs w:val="18"/>
      </w:rPr>
    </w:pPr>
    <w:r>
      <w:rPr>
        <w:rFonts w:ascii="Arial" w:hAnsi="Arial" w:cs="Arial"/>
        <w:sz w:val="18"/>
        <w:szCs w:val="18"/>
      </w:rPr>
      <w:t xml:space="preserve">María Fabiola </w:t>
    </w:r>
    <w:proofErr w:type="spellStart"/>
    <w:r>
      <w:rPr>
        <w:rFonts w:ascii="Arial" w:hAnsi="Arial" w:cs="Arial"/>
        <w:sz w:val="18"/>
        <w:szCs w:val="18"/>
      </w:rPr>
      <w:t>Velandia</w:t>
    </w:r>
    <w:proofErr w:type="spellEnd"/>
    <w:r>
      <w:rPr>
        <w:rFonts w:ascii="Arial" w:hAnsi="Arial" w:cs="Arial"/>
        <w:sz w:val="18"/>
        <w:szCs w:val="18"/>
      </w:rPr>
      <w:t xml:space="preserve"> Vanegas </w:t>
    </w:r>
    <w:r w:rsidRPr="00BB3FED">
      <w:rPr>
        <w:rFonts w:ascii="Arial" w:hAnsi="Arial" w:cs="Arial"/>
        <w:sz w:val="18"/>
        <w:szCs w:val="18"/>
      </w:rPr>
      <w:t xml:space="preserve">vs </w:t>
    </w:r>
    <w:r>
      <w:rPr>
        <w:rFonts w:ascii="Arial" w:hAnsi="Arial" w:cs="Arial"/>
        <w:sz w:val="18"/>
        <w:szCs w:val="18"/>
      </w:rPr>
      <w:t>Colpensiones – Porvenir S.A.</w:t>
    </w:r>
  </w:p>
  <w:p w:rsidR="002E76B6" w:rsidRPr="00AD05E0" w:rsidRDefault="002E76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4175C5"/>
    <w:multiLevelType w:val="hybridMultilevel"/>
    <w:tmpl w:val="6FB6F71A"/>
    <w:lvl w:ilvl="0" w:tplc="E736A40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068DD"/>
    <w:rsid w:val="00013A49"/>
    <w:rsid w:val="00013E64"/>
    <w:rsid w:val="0002018D"/>
    <w:rsid w:val="00024061"/>
    <w:rsid w:val="000240B3"/>
    <w:rsid w:val="00026A0E"/>
    <w:rsid w:val="0003095A"/>
    <w:rsid w:val="00031373"/>
    <w:rsid w:val="000331A4"/>
    <w:rsid w:val="000363A7"/>
    <w:rsid w:val="0004459B"/>
    <w:rsid w:val="00050104"/>
    <w:rsid w:val="000503EF"/>
    <w:rsid w:val="00056BAF"/>
    <w:rsid w:val="0005728F"/>
    <w:rsid w:val="000572A3"/>
    <w:rsid w:val="00061B8E"/>
    <w:rsid w:val="000679C6"/>
    <w:rsid w:val="00067DDB"/>
    <w:rsid w:val="000748BD"/>
    <w:rsid w:val="00074F93"/>
    <w:rsid w:val="000766DA"/>
    <w:rsid w:val="00081A2D"/>
    <w:rsid w:val="00084E89"/>
    <w:rsid w:val="00085E2B"/>
    <w:rsid w:val="00087B8A"/>
    <w:rsid w:val="00093D99"/>
    <w:rsid w:val="000947FC"/>
    <w:rsid w:val="000A541E"/>
    <w:rsid w:val="000B315B"/>
    <w:rsid w:val="000C1E6F"/>
    <w:rsid w:val="000C58B9"/>
    <w:rsid w:val="000C706D"/>
    <w:rsid w:val="000C7588"/>
    <w:rsid w:val="000D5ABE"/>
    <w:rsid w:val="000D5E97"/>
    <w:rsid w:val="000E10C4"/>
    <w:rsid w:val="000E2F8A"/>
    <w:rsid w:val="000E7BDD"/>
    <w:rsid w:val="000F469A"/>
    <w:rsid w:val="000F683C"/>
    <w:rsid w:val="000F6C16"/>
    <w:rsid w:val="0010187C"/>
    <w:rsid w:val="001045F7"/>
    <w:rsid w:val="00105098"/>
    <w:rsid w:val="00110327"/>
    <w:rsid w:val="00114128"/>
    <w:rsid w:val="001147F4"/>
    <w:rsid w:val="001178F8"/>
    <w:rsid w:val="00117D61"/>
    <w:rsid w:val="00132B25"/>
    <w:rsid w:val="00134816"/>
    <w:rsid w:val="00135E06"/>
    <w:rsid w:val="00137303"/>
    <w:rsid w:val="00137A88"/>
    <w:rsid w:val="0014035A"/>
    <w:rsid w:val="001414A4"/>
    <w:rsid w:val="00142B40"/>
    <w:rsid w:val="00144DE7"/>
    <w:rsid w:val="0014698C"/>
    <w:rsid w:val="00152759"/>
    <w:rsid w:val="00152966"/>
    <w:rsid w:val="001601F4"/>
    <w:rsid w:val="00162184"/>
    <w:rsid w:val="00163DC6"/>
    <w:rsid w:val="00164161"/>
    <w:rsid w:val="00164FFA"/>
    <w:rsid w:val="00167363"/>
    <w:rsid w:val="00167EB1"/>
    <w:rsid w:val="00174D44"/>
    <w:rsid w:val="001776D0"/>
    <w:rsid w:val="0018004F"/>
    <w:rsid w:val="00182E71"/>
    <w:rsid w:val="001838B2"/>
    <w:rsid w:val="00183D89"/>
    <w:rsid w:val="001976D0"/>
    <w:rsid w:val="00197B6B"/>
    <w:rsid w:val="001A74F6"/>
    <w:rsid w:val="001B1B97"/>
    <w:rsid w:val="001B2227"/>
    <w:rsid w:val="001B5268"/>
    <w:rsid w:val="001C0881"/>
    <w:rsid w:val="001D3166"/>
    <w:rsid w:val="001D3F07"/>
    <w:rsid w:val="001D7FBD"/>
    <w:rsid w:val="001E326A"/>
    <w:rsid w:val="001E5CD8"/>
    <w:rsid w:val="001E617C"/>
    <w:rsid w:val="001E772D"/>
    <w:rsid w:val="001E7996"/>
    <w:rsid w:val="001F7003"/>
    <w:rsid w:val="00200ECE"/>
    <w:rsid w:val="00203A41"/>
    <w:rsid w:val="00205F81"/>
    <w:rsid w:val="00211DFE"/>
    <w:rsid w:val="00217998"/>
    <w:rsid w:val="00231F1D"/>
    <w:rsid w:val="002357E5"/>
    <w:rsid w:val="00237DF3"/>
    <w:rsid w:val="00240E2D"/>
    <w:rsid w:val="00241391"/>
    <w:rsid w:val="00242618"/>
    <w:rsid w:val="00244A77"/>
    <w:rsid w:val="00246047"/>
    <w:rsid w:val="00246964"/>
    <w:rsid w:val="00247617"/>
    <w:rsid w:val="0024761A"/>
    <w:rsid w:val="00252894"/>
    <w:rsid w:val="0025748E"/>
    <w:rsid w:val="00263801"/>
    <w:rsid w:val="002662CA"/>
    <w:rsid w:val="00273B2F"/>
    <w:rsid w:val="00274230"/>
    <w:rsid w:val="00282D5F"/>
    <w:rsid w:val="002903E7"/>
    <w:rsid w:val="002A1F83"/>
    <w:rsid w:val="002A25CB"/>
    <w:rsid w:val="002A350B"/>
    <w:rsid w:val="002A696B"/>
    <w:rsid w:val="002B4646"/>
    <w:rsid w:val="002B51B8"/>
    <w:rsid w:val="002C1B27"/>
    <w:rsid w:val="002C495E"/>
    <w:rsid w:val="002C5740"/>
    <w:rsid w:val="002C73A3"/>
    <w:rsid w:val="002C74F9"/>
    <w:rsid w:val="002D18C5"/>
    <w:rsid w:val="002D3995"/>
    <w:rsid w:val="002D3A5F"/>
    <w:rsid w:val="002E6062"/>
    <w:rsid w:val="002E76B6"/>
    <w:rsid w:val="002F1600"/>
    <w:rsid w:val="002F4F0F"/>
    <w:rsid w:val="002F6BF4"/>
    <w:rsid w:val="00300367"/>
    <w:rsid w:val="003013F3"/>
    <w:rsid w:val="0030678C"/>
    <w:rsid w:val="003074D7"/>
    <w:rsid w:val="003107AC"/>
    <w:rsid w:val="003110B5"/>
    <w:rsid w:val="003269AF"/>
    <w:rsid w:val="00333F2A"/>
    <w:rsid w:val="00334628"/>
    <w:rsid w:val="00344DB9"/>
    <w:rsid w:val="00346681"/>
    <w:rsid w:val="003504F3"/>
    <w:rsid w:val="00351FC5"/>
    <w:rsid w:val="00352CAD"/>
    <w:rsid w:val="00355585"/>
    <w:rsid w:val="00360EB6"/>
    <w:rsid w:val="00373BF7"/>
    <w:rsid w:val="0037407A"/>
    <w:rsid w:val="00374CD6"/>
    <w:rsid w:val="00380184"/>
    <w:rsid w:val="003863AA"/>
    <w:rsid w:val="00390C4E"/>
    <w:rsid w:val="003922E2"/>
    <w:rsid w:val="0039451A"/>
    <w:rsid w:val="0039489B"/>
    <w:rsid w:val="003A3CF3"/>
    <w:rsid w:val="003A4CF9"/>
    <w:rsid w:val="003B1DFF"/>
    <w:rsid w:val="003B38FB"/>
    <w:rsid w:val="003B3E2B"/>
    <w:rsid w:val="003B6C32"/>
    <w:rsid w:val="003C3E94"/>
    <w:rsid w:val="003C3F94"/>
    <w:rsid w:val="003D08A9"/>
    <w:rsid w:val="003D53B8"/>
    <w:rsid w:val="003E2C45"/>
    <w:rsid w:val="003E3709"/>
    <w:rsid w:val="003F10A6"/>
    <w:rsid w:val="003F1BDF"/>
    <w:rsid w:val="003F5CB5"/>
    <w:rsid w:val="00403EFC"/>
    <w:rsid w:val="004075F5"/>
    <w:rsid w:val="00411A56"/>
    <w:rsid w:val="00414678"/>
    <w:rsid w:val="00414BB5"/>
    <w:rsid w:val="00414CA5"/>
    <w:rsid w:val="00420690"/>
    <w:rsid w:val="00433A40"/>
    <w:rsid w:val="00435959"/>
    <w:rsid w:val="00435C7C"/>
    <w:rsid w:val="0043724B"/>
    <w:rsid w:val="00437340"/>
    <w:rsid w:val="00437E5A"/>
    <w:rsid w:val="004400E5"/>
    <w:rsid w:val="0044083A"/>
    <w:rsid w:val="00445BE4"/>
    <w:rsid w:val="004617FD"/>
    <w:rsid w:val="0046517A"/>
    <w:rsid w:val="00470ACA"/>
    <w:rsid w:val="00471BD1"/>
    <w:rsid w:val="00477D71"/>
    <w:rsid w:val="00481F97"/>
    <w:rsid w:val="00482F8C"/>
    <w:rsid w:val="00484BBB"/>
    <w:rsid w:val="0049271A"/>
    <w:rsid w:val="00493622"/>
    <w:rsid w:val="00493BD9"/>
    <w:rsid w:val="0049699E"/>
    <w:rsid w:val="004A3462"/>
    <w:rsid w:val="004A3E65"/>
    <w:rsid w:val="004B0270"/>
    <w:rsid w:val="004B41BC"/>
    <w:rsid w:val="004B4408"/>
    <w:rsid w:val="004B7182"/>
    <w:rsid w:val="004C050D"/>
    <w:rsid w:val="004C49D1"/>
    <w:rsid w:val="004C7B48"/>
    <w:rsid w:val="004D128B"/>
    <w:rsid w:val="004D5321"/>
    <w:rsid w:val="004D6206"/>
    <w:rsid w:val="004E28C9"/>
    <w:rsid w:val="004E70D6"/>
    <w:rsid w:val="004F65AF"/>
    <w:rsid w:val="004F741B"/>
    <w:rsid w:val="00500565"/>
    <w:rsid w:val="00512E62"/>
    <w:rsid w:val="005133F7"/>
    <w:rsid w:val="0052140A"/>
    <w:rsid w:val="005330F5"/>
    <w:rsid w:val="00533B7B"/>
    <w:rsid w:val="00536744"/>
    <w:rsid w:val="00536A03"/>
    <w:rsid w:val="005426B2"/>
    <w:rsid w:val="0054738A"/>
    <w:rsid w:val="00552EBC"/>
    <w:rsid w:val="0055305B"/>
    <w:rsid w:val="00557133"/>
    <w:rsid w:val="0056020D"/>
    <w:rsid w:val="00572CB6"/>
    <w:rsid w:val="00572F46"/>
    <w:rsid w:val="005757FB"/>
    <w:rsid w:val="0057652A"/>
    <w:rsid w:val="0058174E"/>
    <w:rsid w:val="00584040"/>
    <w:rsid w:val="00590F19"/>
    <w:rsid w:val="005920A9"/>
    <w:rsid w:val="005A0D0C"/>
    <w:rsid w:val="005A1F09"/>
    <w:rsid w:val="005A5643"/>
    <w:rsid w:val="005B5D81"/>
    <w:rsid w:val="005C2028"/>
    <w:rsid w:val="005C30F7"/>
    <w:rsid w:val="005D0298"/>
    <w:rsid w:val="005D02D4"/>
    <w:rsid w:val="005D624B"/>
    <w:rsid w:val="005E14BF"/>
    <w:rsid w:val="005E2672"/>
    <w:rsid w:val="005E35FE"/>
    <w:rsid w:val="005E411D"/>
    <w:rsid w:val="005F2671"/>
    <w:rsid w:val="005F33D2"/>
    <w:rsid w:val="005F66C7"/>
    <w:rsid w:val="00604FAE"/>
    <w:rsid w:val="00605817"/>
    <w:rsid w:val="00610CC9"/>
    <w:rsid w:val="00611B04"/>
    <w:rsid w:val="006121E1"/>
    <w:rsid w:val="00614309"/>
    <w:rsid w:val="00616117"/>
    <w:rsid w:val="00620025"/>
    <w:rsid w:val="00621049"/>
    <w:rsid w:val="00621925"/>
    <w:rsid w:val="00624312"/>
    <w:rsid w:val="00632AB1"/>
    <w:rsid w:val="00632D88"/>
    <w:rsid w:val="0063603E"/>
    <w:rsid w:val="006375B7"/>
    <w:rsid w:val="00643988"/>
    <w:rsid w:val="00643D57"/>
    <w:rsid w:val="00646A53"/>
    <w:rsid w:val="00646BE7"/>
    <w:rsid w:val="00652E3E"/>
    <w:rsid w:val="00654A86"/>
    <w:rsid w:val="006561F1"/>
    <w:rsid w:val="006627BA"/>
    <w:rsid w:val="00663480"/>
    <w:rsid w:val="0066459D"/>
    <w:rsid w:val="00685B0B"/>
    <w:rsid w:val="00696E2E"/>
    <w:rsid w:val="00697207"/>
    <w:rsid w:val="006A687B"/>
    <w:rsid w:val="006A7958"/>
    <w:rsid w:val="006B12EB"/>
    <w:rsid w:val="006B2236"/>
    <w:rsid w:val="006B30AC"/>
    <w:rsid w:val="006B56E0"/>
    <w:rsid w:val="006B5D48"/>
    <w:rsid w:val="006C049E"/>
    <w:rsid w:val="006C3FC9"/>
    <w:rsid w:val="006C6C83"/>
    <w:rsid w:val="006D0102"/>
    <w:rsid w:val="006D18BC"/>
    <w:rsid w:val="006D656F"/>
    <w:rsid w:val="006E074F"/>
    <w:rsid w:val="006E1A18"/>
    <w:rsid w:val="006E2D14"/>
    <w:rsid w:val="006F155B"/>
    <w:rsid w:val="006F1DCF"/>
    <w:rsid w:val="006F454B"/>
    <w:rsid w:val="00701464"/>
    <w:rsid w:val="00703356"/>
    <w:rsid w:val="00705E44"/>
    <w:rsid w:val="00706D1D"/>
    <w:rsid w:val="007113B2"/>
    <w:rsid w:val="0071177A"/>
    <w:rsid w:val="0071730D"/>
    <w:rsid w:val="007213C7"/>
    <w:rsid w:val="00724372"/>
    <w:rsid w:val="007311ED"/>
    <w:rsid w:val="007318F3"/>
    <w:rsid w:val="0073571A"/>
    <w:rsid w:val="0074378E"/>
    <w:rsid w:val="00746921"/>
    <w:rsid w:val="007500FC"/>
    <w:rsid w:val="00756C7F"/>
    <w:rsid w:val="00762804"/>
    <w:rsid w:val="00766CBC"/>
    <w:rsid w:val="007718FF"/>
    <w:rsid w:val="00771EEF"/>
    <w:rsid w:val="00776A3B"/>
    <w:rsid w:val="00776E9C"/>
    <w:rsid w:val="00782A12"/>
    <w:rsid w:val="007846BF"/>
    <w:rsid w:val="0078502F"/>
    <w:rsid w:val="007917AA"/>
    <w:rsid w:val="007938ED"/>
    <w:rsid w:val="007A3975"/>
    <w:rsid w:val="007A771C"/>
    <w:rsid w:val="007B4962"/>
    <w:rsid w:val="007B5EAD"/>
    <w:rsid w:val="007C17F3"/>
    <w:rsid w:val="007C3872"/>
    <w:rsid w:val="007C3CBB"/>
    <w:rsid w:val="007C51D9"/>
    <w:rsid w:val="007C7D1E"/>
    <w:rsid w:val="007D1C98"/>
    <w:rsid w:val="007D2ADD"/>
    <w:rsid w:val="007E0462"/>
    <w:rsid w:val="007E1394"/>
    <w:rsid w:val="007E16D6"/>
    <w:rsid w:val="007E30F5"/>
    <w:rsid w:val="007F2FCF"/>
    <w:rsid w:val="007F343B"/>
    <w:rsid w:val="007F6AA7"/>
    <w:rsid w:val="007F72CB"/>
    <w:rsid w:val="0080251F"/>
    <w:rsid w:val="00804FBC"/>
    <w:rsid w:val="0080527D"/>
    <w:rsid w:val="008167A7"/>
    <w:rsid w:val="00816B3A"/>
    <w:rsid w:val="00817F7F"/>
    <w:rsid w:val="00824764"/>
    <w:rsid w:val="00834170"/>
    <w:rsid w:val="0083638D"/>
    <w:rsid w:val="008375A1"/>
    <w:rsid w:val="00844F7F"/>
    <w:rsid w:val="00846624"/>
    <w:rsid w:val="008505D9"/>
    <w:rsid w:val="008523EB"/>
    <w:rsid w:val="00853044"/>
    <w:rsid w:val="00856878"/>
    <w:rsid w:val="00863E5E"/>
    <w:rsid w:val="00865DB7"/>
    <w:rsid w:val="008709F0"/>
    <w:rsid w:val="0087332F"/>
    <w:rsid w:val="00875EE5"/>
    <w:rsid w:val="00881DD4"/>
    <w:rsid w:val="00886685"/>
    <w:rsid w:val="00886E4B"/>
    <w:rsid w:val="008908CC"/>
    <w:rsid w:val="008951E7"/>
    <w:rsid w:val="00895685"/>
    <w:rsid w:val="008A037D"/>
    <w:rsid w:val="008A32A7"/>
    <w:rsid w:val="008A4170"/>
    <w:rsid w:val="008A4E98"/>
    <w:rsid w:val="008A6E96"/>
    <w:rsid w:val="008A72B2"/>
    <w:rsid w:val="008A7722"/>
    <w:rsid w:val="008A7C40"/>
    <w:rsid w:val="008B26C2"/>
    <w:rsid w:val="008B2BDF"/>
    <w:rsid w:val="008B3066"/>
    <w:rsid w:val="008B33A1"/>
    <w:rsid w:val="008C2705"/>
    <w:rsid w:val="008C625B"/>
    <w:rsid w:val="008D0E1D"/>
    <w:rsid w:val="008D3527"/>
    <w:rsid w:val="008D3E59"/>
    <w:rsid w:val="008D6F2D"/>
    <w:rsid w:val="008D711D"/>
    <w:rsid w:val="008E03C0"/>
    <w:rsid w:val="008E2B2E"/>
    <w:rsid w:val="008E539E"/>
    <w:rsid w:val="008F3478"/>
    <w:rsid w:val="008F59A7"/>
    <w:rsid w:val="008F74C8"/>
    <w:rsid w:val="009019D5"/>
    <w:rsid w:val="00902359"/>
    <w:rsid w:val="009029F5"/>
    <w:rsid w:val="00902F52"/>
    <w:rsid w:val="009047E5"/>
    <w:rsid w:val="0092039A"/>
    <w:rsid w:val="009241B4"/>
    <w:rsid w:val="00927649"/>
    <w:rsid w:val="00927A3B"/>
    <w:rsid w:val="00927D8F"/>
    <w:rsid w:val="00935BF8"/>
    <w:rsid w:val="00935EE0"/>
    <w:rsid w:val="00936B16"/>
    <w:rsid w:val="00936CAD"/>
    <w:rsid w:val="00940441"/>
    <w:rsid w:val="00942299"/>
    <w:rsid w:val="0094350D"/>
    <w:rsid w:val="009454D8"/>
    <w:rsid w:val="009502D6"/>
    <w:rsid w:val="0095209D"/>
    <w:rsid w:val="009522C6"/>
    <w:rsid w:val="0095249F"/>
    <w:rsid w:val="009543C5"/>
    <w:rsid w:val="00956BB7"/>
    <w:rsid w:val="00956EAB"/>
    <w:rsid w:val="00961DEF"/>
    <w:rsid w:val="00964721"/>
    <w:rsid w:val="0096499E"/>
    <w:rsid w:val="00974729"/>
    <w:rsid w:val="00980CF9"/>
    <w:rsid w:val="00981C17"/>
    <w:rsid w:val="00983A11"/>
    <w:rsid w:val="00992815"/>
    <w:rsid w:val="00992ED4"/>
    <w:rsid w:val="00993C3C"/>
    <w:rsid w:val="00996002"/>
    <w:rsid w:val="0099624F"/>
    <w:rsid w:val="009A0F9A"/>
    <w:rsid w:val="009A4C68"/>
    <w:rsid w:val="009A642E"/>
    <w:rsid w:val="009B0644"/>
    <w:rsid w:val="009B241C"/>
    <w:rsid w:val="009B63ED"/>
    <w:rsid w:val="009B7261"/>
    <w:rsid w:val="009C0FA8"/>
    <w:rsid w:val="009D2D3E"/>
    <w:rsid w:val="009D4FB7"/>
    <w:rsid w:val="009E08EB"/>
    <w:rsid w:val="009E77ED"/>
    <w:rsid w:val="009F7670"/>
    <w:rsid w:val="00A00A78"/>
    <w:rsid w:val="00A01123"/>
    <w:rsid w:val="00A11B54"/>
    <w:rsid w:val="00A125DA"/>
    <w:rsid w:val="00A143CA"/>
    <w:rsid w:val="00A15605"/>
    <w:rsid w:val="00A162AA"/>
    <w:rsid w:val="00A263B8"/>
    <w:rsid w:val="00A305FA"/>
    <w:rsid w:val="00A30777"/>
    <w:rsid w:val="00A31DFC"/>
    <w:rsid w:val="00A32683"/>
    <w:rsid w:val="00A34053"/>
    <w:rsid w:val="00A44931"/>
    <w:rsid w:val="00A52365"/>
    <w:rsid w:val="00A52C67"/>
    <w:rsid w:val="00A62C36"/>
    <w:rsid w:val="00A634BD"/>
    <w:rsid w:val="00A73B48"/>
    <w:rsid w:val="00A74790"/>
    <w:rsid w:val="00A80425"/>
    <w:rsid w:val="00A81222"/>
    <w:rsid w:val="00A85F23"/>
    <w:rsid w:val="00A908D9"/>
    <w:rsid w:val="00A92D55"/>
    <w:rsid w:val="00AA089E"/>
    <w:rsid w:val="00AA2ACA"/>
    <w:rsid w:val="00AA4F75"/>
    <w:rsid w:val="00AA7F13"/>
    <w:rsid w:val="00AB1944"/>
    <w:rsid w:val="00AB2C5F"/>
    <w:rsid w:val="00AB2F1A"/>
    <w:rsid w:val="00AB34B0"/>
    <w:rsid w:val="00AB357E"/>
    <w:rsid w:val="00AB42CD"/>
    <w:rsid w:val="00AB551C"/>
    <w:rsid w:val="00AB5AE6"/>
    <w:rsid w:val="00AC2D1B"/>
    <w:rsid w:val="00AC6A9D"/>
    <w:rsid w:val="00AC7509"/>
    <w:rsid w:val="00AD05E0"/>
    <w:rsid w:val="00AD1103"/>
    <w:rsid w:val="00AD2C6D"/>
    <w:rsid w:val="00AD3B0F"/>
    <w:rsid w:val="00AD3FEB"/>
    <w:rsid w:val="00AD6F88"/>
    <w:rsid w:val="00AD7400"/>
    <w:rsid w:val="00AE137A"/>
    <w:rsid w:val="00AE3F6F"/>
    <w:rsid w:val="00AE49A5"/>
    <w:rsid w:val="00AE7588"/>
    <w:rsid w:val="00AF03D0"/>
    <w:rsid w:val="00AF1E39"/>
    <w:rsid w:val="00AF7835"/>
    <w:rsid w:val="00B04F95"/>
    <w:rsid w:val="00B05045"/>
    <w:rsid w:val="00B07787"/>
    <w:rsid w:val="00B11EBB"/>
    <w:rsid w:val="00B12D9F"/>
    <w:rsid w:val="00B1345D"/>
    <w:rsid w:val="00B1454A"/>
    <w:rsid w:val="00B15207"/>
    <w:rsid w:val="00B200F0"/>
    <w:rsid w:val="00B21B4F"/>
    <w:rsid w:val="00B2394B"/>
    <w:rsid w:val="00B24407"/>
    <w:rsid w:val="00B24FBB"/>
    <w:rsid w:val="00B311A0"/>
    <w:rsid w:val="00B316D3"/>
    <w:rsid w:val="00B33A78"/>
    <w:rsid w:val="00B377CF"/>
    <w:rsid w:val="00B426FB"/>
    <w:rsid w:val="00B506AF"/>
    <w:rsid w:val="00B52A9C"/>
    <w:rsid w:val="00B53580"/>
    <w:rsid w:val="00B5485C"/>
    <w:rsid w:val="00B562AD"/>
    <w:rsid w:val="00B60162"/>
    <w:rsid w:val="00B62E0D"/>
    <w:rsid w:val="00B6339B"/>
    <w:rsid w:val="00B639B3"/>
    <w:rsid w:val="00B66500"/>
    <w:rsid w:val="00B829EB"/>
    <w:rsid w:val="00B83F34"/>
    <w:rsid w:val="00B8513A"/>
    <w:rsid w:val="00B90506"/>
    <w:rsid w:val="00B92DFF"/>
    <w:rsid w:val="00B93D8B"/>
    <w:rsid w:val="00BA280D"/>
    <w:rsid w:val="00BA4C95"/>
    <w:rsid w:val="00BA5DA8"/>
    <w:rsid w:val="00BC6182"/>
    <w:rsid w:val="00BC6A97"/>
    <w:rsid w:val="00BD1660"/>
    <w:rsid w:val="00BD1D48"/>
    <w:rsid w:val="00BD390A"/>
    <w:rsid w:val="00BD76AD"/>
    <w:rsid w:val="00BE07C9"/>
    <w:rsid w:val="00BE0BFC"/>
    <w:rsid w:val="00BE0D32"/>
    <w:rsid w:val="00BE2032"/>
    <w:rsid w:val="00BE31F3"/>
    <w:rsid w:val="00BE612F"/>
    <w:rsid w:val="00BF1E6A"/>
    <w:rsid w:val="00BF5A7C"/>
    <w:rsid w:val="00BF767D"/>
    <w:rsid w:val="00C01760"/>
    <w:rsid w:val="00C07A6E"/>
    <w:rsid w:val="00C07C09"/>
    <w:rsid w:val="00C11F31"/>
    <w:rsid w:val="00C13114"/>
    <w:rsid w:val="00C16D5E"/>
    <w:rsid w:val="00C1758F"/>
    <w:rsid w:val="00C261A5"/>
    <w:rsid w:val="00C27581"/>
    <w:rsid w:val="00C33656"/>
    <w:rsid w:val="00C35BAC"/>
    <w:rsid w:val="00C43420"/>
    <w:rsid w:val="00C47BBF"/>
    <w:rsid w:val="00C535FA"/>
    <w:rsid w:val="00C53A04"/>
    <w:rsid w:val="00C57679"/>
    <w:rsid w:val="00C64A1B"/>
    <w:rsid w:val="00C67422"/>
    <w:rsid w:val="00C742C0"/>
    <w:rsid w:val="00C7450F"/>
    <w:rsid w:val="00C746B5"/>
    <w:rsid w:val="00C7628B"/>
    <w:rsid w:val="00C807C4"/>
    <w:rsid w:val="00C85C2F"/>
    <w:rsid w:val="00C867D1"/>
    <w:rsid w:val="00C86EC4"/>
    <w:rsid w:val="00C92658"/>
    <w:rsid w:val="00CA1AB8"/>
    <w:rsid w:val="00CA6AD9"/>
    <w:rsid w:val="00CA6B91"/>
    <w:rsid w:val="00CB08DC"/>
    <w:rsid w:val="00CB146A"/>
    <w:rsid w:val="00CB30DF"/>
    <w:rsid w:val="00CB4D1D"/>
    <w:rsid w:val="00CB5EDD"/>
    <w:rsid w:val="00CC07C4"/>
    <w:rsid w:val="00CC1844"/>
    <w:rsid w:val="00CC3198"/>
    <w:rsid w:val="00CC4CCA"/>
    <w:rsid w:val="00CC4E75"/>
    <w:rsid w:val="00CC74FA"/>
    <w:rsid w:val="00CC7BCB"/>
    <w:rsid w:val="00CD4839"/>
    <w:rsid w:val="00CD7077"/>
    <w:rsid w:val="00CE7F46"/>
    <w:rsid w:val="00CF1946"/>
    <w:rsid w:val="00CF2FE1"/>
    <w:rsid w:val="00CF4100"/>
    <w:rsid w:val="00CF555F"/>
    <w:rsid w:val="00CF7322"/>
    <w:rsid w:val="00D00083"/>
    <w:rsid w:val="00D01DC2"/>
    <w:rsid w:val="00D04714"/>
    <w:rsid w:val="00D0698E"/>
    <w:rsid w:val="00D07C19"/>
    <w:rsid w:val="00D07FC5"/>
    <w:rsid w:val="00D167A3"/>
    <w:rsid w:val="00D20F9A"/>
    <w:rsid w:val="00D222DD"/>
    <w:rsid w:val="00D25441"/>
    <w:rsid w:val="00D26219"/>
    <w:rsid w:val="00D30546"/>
    <w:rsid w:val="00D43DA5"/>
    <w:rsid w:val="00D43DC9"/>
    <w:rsid w:val="00D47105"/>
    <w:rsid w:val="00D51E28"/>
    <w:rsid w:val="00D52F25"/>
    <w:rsid w:val="00D53ADE"/>
    <w:rsid w:val="00D54708"/>
    <w:rsid w:val="00D61E0F"/>
    <w:rsid w:val="00D636F8"/>
    <w:rsid w:val="00D65A2C"/>
    <w:rsid w:val="00D678E4"/>
    <w:rsid w:val="00D727AE"/>
    <w:rsid w:val="00D82F44"/>
    <w:rsid w:val="00D83CE1"/>
    <w:rsid w:val="00D85C6E"/>
    <w:rsid w:val="00D8738B"/>
    <w:rsid w:val="00D90A43"/>
    <w:rsid w:val="00D94E72"/>
    <w:rsid w:val="00D95701"/>
    <w:rsid w:val="00D9577D"/>
    <w:rsid w:val="00D95B3C"/>
    <w:rsid w:val="00DA2457"/>
    <w:rsid w:val="00DA2467"/>
    <w:rsid w:val="00DB1EB2"/>
    <w:rsid w:val="00DB1F33"/>
    <w:rsid w:val="00DB32DE"/>
    <w:rsid w:val="00DB5547"/>
    <w:rsid w:val="00DC0FA2"/>
    <w:rsid w:val="00DC1894"/>
    <w:rsid w:val="00DC774C"/>
    <w:rsid w:val="00DD4FE6"/>
    <w:rsid w:val="00DE3138"/>
    <w:rsid w:val="00DE4ABA"/>
    <w:rsid w:val="00DE746C"/>
    <w:rsid w:val="00DF0D8F"/>
    <w:rsid w:val="00DF2F91"/>
    <w:rsid w:val="00DF34A2"/>
    <w:rsid w:val="00DF3E0F"/>
    <w:rsid w:val="00DF6C62"/>
    <w:rsid w:val="00DF7042"/>
    <w:rsid w:val="00E01E2A"/>
    <w:rsid w:val="00E07657"/>
    <w:rsid w:val="00E07CF0"/>
    <w:rsid w:val="00E15503"/>
    <w:rsid w:val="00E21315"/>
    <w:rsid w:val="00E23AE9"/>
    <w:rsid w:val="00E267AB"/>
    <w:rsid w:val="00E36490"/>
    <w:rsid w:val="00E40269"/>
    <w:rsid w:val="00E47733"/>
    <w:rsid w:val="00E52A94"/>
    <w:rsid w:val="00E60AA5"/>
    <w:rsid w:val="00E64E03"/>
    <w:rsid w:val="00E667FB"/>
    <w:rsid w:val="00E6685B"/>
    <w:rsid w:val="00E67BB9"/>
    <w:rsid w:val="00E700C3"/>
    <w:rsid w:val="00E71B68"/>
    <w:rsid w:val="00E72F2D"/>
    <w:rsid w:val="00E754ED"/>
    <w:rsid w:val="00E8671C"/>
    <w:rsid w:val="00E92E5D"/>
    <w:rsid w:val="00E954FC"/>
    <w:rsid w:val="00E97A27"/>
    <w:rsid w:val="00EA0D21"/>
    <w:rsid w:val="00EA6BD1"/>
    <w:rsid w:val="00EA7AA9"/>
    <w:rsid w:val="00EA7C52"/>
    <w:rsid w:val="00EB1085"/>
    <w:rsid w:val="00EB4394"/>
    <w:rsid w:val="00EC6C43"/>
    <w:rsid w:val="00EC7B1D"/>
    <w:rsid w:val="00ED2BE3"/>
    <w:rsid w:val="00ED3B28"/>
    <w:rsid w:val="00ED503B"/>
    <w:rsid w:val="00EE10A7"/>
    <w:rsid w:val="00EE241E"/>
    <w:rsid w:val="00EE2EF8"/>
    <w:rsid w:val="00EE3851"/>
    <w:rsid w:val="00EF4708"/>
    <w:rsid w:val="00EF7932"/>
    <w:rsid w:val="00F00AA0"/>
    <w:rsid w:val="00F01624"/>
    <w:rsid w:val="00F17796"/>
    <w:rsid w:val="00F17C22"/>
    <w:rsid w:val="00F21F68"/>
    <w:rsid w:val="00F24246"/>
    <w:rsid w:val="00F25980"/>
    <w:rsid w:val="00F26A69"/>
    <w:rsid w:val="00F31DD9"/>
    <w:rsid w:val="00F369D3"/>
    <w:rsid w:val="00F4050C"/>
    <w:rsid w:val="00F43256"/>
    <w:rsid w:val="00F43B0C"/>
    <w:rsid w:val="00F454EC"/>
    <w:rsid w:val="00F45EA3"/>
    <w:rsid w:val="00F51E1F"/>
    <w:rsid w:val="00F536E3"/>
    <w:rsid w:val="00F55401"/>
    <w:rsid w:val="00F55EC7"/>
    <w:rsid w:val="00F55FCC"/>
    <w:rsid w:val="00F6330B"/>
    <w:rsid w:val="00F63F00"/>
    <w:rsid w:val="00F640A3"/>
    <w:rsid w:val="00F654C2"/>
    <w:rsid w:val="00F708E2"/>
    <w:rsid w:val="00F742C1"/>
    <w:rsid w:val="00F754B4"/>
    <w:rsid w:val="00F7635B"/>
    <w:rsid w:val="00F77FF0"/>
    <w:rsid w:val="00F80E53"/>
    <w:rsid w:val="00F82528"/>
    <w:rsid w:val="00F83A89"/>
    <w:rsid w:val="00F848A6"/>
    <w:rsid w:val="00F86EDD"/>
    <w:rsid w:val="00F879DF"/>
    <w:rsid w:val="00F87DB8"/>
    <w:rsid w:val="00F97B3D"/>
    <w:rsid w:val="00FA096B"/>
    <w:rsid w:val="00FA0D8D"/>
    <w:rsid w:val="00FA730C"/>
    <w:rsid w:val="00FB0565"/>
    <w:rsid w:val="00FB5D12"/>
    <w:rsid w:val="00FC1272"/>
    <w:rsid w:val="00FC1A7F"/>
    <w:rsid w:val="00FC2B0D"/>
    <w:rsid w:val="00FC4A09"/>
    <w:rsid w:val="00FC74B4"/>
    <w:rsid w:val="00FC7BAA"/>
    <w:rsid w:val="00FD3835"/>
    <w:rsid w:val="00FE1D09"/>
    <w:rsid w:val="00FE35C9"/>
    <w:rsid w:val="00FE421E"/>
    <w:rsid w:val="00FE55B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 w:type="character" w:customStyle="1" w:styleId="SinespaciadoCar">
    <w:name w:val="Sin espaciado Car"/>
    <w:link w:val="Sinespaciado"/>
    <w:uiPriority w:val="1"/>
    <w:locked/>
    <w:rsid w:val="0016736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E26D-5CD5-4BD6-9280-453A34C8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14</Pages>
  <Words>6555</Words>
  <Characters>36053</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47</cp:revision>
  <cp:lastPrinted>2019-01-21T21:18:00Z</cp:lastPrinted>
  <dcterms:created xsi:type="dcterms:W3CDTF">2019-02-05T12:18:00Z</dcterms:created>
  <dcterms:modified xsi:type="dcterms:W3CDTF">2019-03-05T15:11:00Z</dcterms:modified>
</cp:coreProperties>
</file>