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9F" w:rsidRPr="00B30EFC" w:rsidRDefault="0042049F" w:rsidP="0042049F">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r w:rsidRPr="00B30EFC">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2049F" w:rsidRDefault="0042049F" w:rsidP="0042049F">
      <w:pPr>
        <w:jc w:val="both"/>
        <w:rPr>
          <w:rFonts w:cs="Arial"/>
          <w:sz w:val="20"/>
          <w:szCs w:val="20"/>
          <w:lang w:val="es-419"/>
        </w:rPr>
      </w:pPr>
    </w:p>
    <w:p w:rsidR="0042049F" w:rsidRPr="0042049F" w:rsidRDefault="0042049F" w:rsidP="0042049F">
      <w:pPr>
        <w:jc w:val="both"/>
        <w:rPr>
          <w:rFonts w:cs="Arial"/>
          <w:sz w:val="20"/>
          <w:szCs w:val="20"/>
          <w:lang w:val="es-419"/>
        </w:rPr>
      </w:pPr>
      <w:r w:rsidRPr="0042049F">
        <w:rPr>
          <w:rFonts w:cs="Arial"/>
          <w:sz w:val="20"/>
          <w:szCs w:val="20"/>
          <w:lang w:val="es-419"/>
        </w:rPr>
        <w:t>Asunto</w:t>
      </w:r>
      <w:r w:rsidR="00877FA8">
        <w:rPr>
          <w:rFonts w:cs="Arial"/>
          <w:sz w:val="20"/>
          <w:szCs w:val="20"/>
          <w:lang w:val="es-419"/>
        </w:rPr>
        <w:t>:</w:t>
      </w:r>
      <w:r w:rsidR="00877FA8">
        <w:rPr>
          <w:rFonts w:cs="Arial"/>
          <w:sz w:val="20"/>
          <w:szCs w:val="20"/>
          <w:lang w:val="es-419"/>
        </w:rPr>
        <w:tab/>
      </w:r>
      <w:r w:rsidR="00877FA8">
        <w:rPr>
          <w:rFonts w:cs="Arial"/>
          <w:sz w:val="20"/>
          <w:szCs w:val="20"/>
          <w:lang w:val="es-419"/>
        </w:rPr>
        <w:tab/>
      </w:r>
      <w:r w:rsidR="00877FA8">
        <w:rPr>
          <w:rFonts w:cs="Arial"/>
          <w:sz w:val="20"/>
          <w:szCs w:val="20"/>
          <w:lang w:val="es-419"/>
        </w:rPr>
        <w:tab/>
      </w:r>
      <w:r w:rsidRPr="0042049F">
        <w:rPr>
          <w:rFonts w:cs="Arial"/>
          <w:sz w:val="20"/>
          <w:szCs w:val="20"/>
          <w:lang w:val="es-419"/>
        </w:rPr>
        <w:t xml:space="preserve">Apelación de auto </w:t>
      </w:r>
    </w:p>
    <w:p w:rsidR="0042049F" w:rsidRPr="0042049F" w:rsidRDefault="0042049F" w:rsidP="0042049F">
      <w:pPr>
        <w:jc w:val="both"/>
        <w:rPr>
          <w:rFonts w:cs="Arial"/>
          <w:sz w:val="20"/>
          <w:szCs w:val="20"/>
          <w:lang w:val="es-419"/>
        </w:rPr>
      </w:pPr>
      <w:r w:rsidRPr="0042049F">
        <w:rPr>
          <w:rFonts w:cs="Arial"/>
          <w:sz w:val="20"/>
          <w:szCs w:val="20"/>
          <w:lang w:val="es-419"/>
        </w:rPr>
        <w:t>Proceso:</w:t>
      </w:r>
      <w:r w:rsidRPr="0042049F">
        <w:rPr>
          <w:rFonts w:cs="Arial"/>
          <w:sz w:val="20"/>
          <w:szCs w:val="20"/>
          <w:lang w:val="es-419"/>
        </w:rPr>
        <w:tab/>
      </w:r>
      <w:r w:rsidRPr="0042049F">
        <w:rPr>
          <w:rFonts w:cs="Arial"/>
          <w:sz w:val="20"/>
          <w:szCs w:val="20"/>
          <w:lang w:val="es-419"/>
        </w:rPr>
        <w:tab/>
        <w:t>Ejecutivo Laboral</w:t>
      </w:r>
    </w:p>
    <w:p w:rsidR="0042049F" w:rsidRPr="0042049F" w:rsidRDefault="0042049F" w:rsidP="0042049F">
      <w:pPr>
        <w:jc w:val="both"/>
        <w:rPr>
          <w:rFonts w:cs="Arial"/>
          <w:sz w:val="20"/>
          <w:szCs w:val="20"/>
          <w:lang w:val="es-419"/>
        </w:rPr>
      </w:pPr>
      <w:r w:rsidRPr="0042049F">
        <w:rPr>
          <w:rFonts w:cs="Arial"/>
          <w:sz w:val="20"/>
          <w:szCs w:val="20"/>
          <w:lang w:val="es-419"/>
        </w:rPr>
        <w:t>Radicación:</w:t>
      </w:r>
      <w:r w:rsidRPr="0042049F">
        <w:rPr>
          <w:rFonts w:cs="Arial"/>
          <w:sz w:val="20"/>
          <w:szCs w:val="20"/>
          <w:lang w:val="es-419"/>
        </w:rPr>
        <w:tab/>
      </w:r>
      <w:r w:rsidRPr="0042049F">
        <w:rPr>
          <w:rFonts w:cs="Arial"/>
          <w:sz w:val="20"/>
          <w:szCs w:val="20"/>
          <w:lang w:val="es-419"/>
        </w:rPr>
        <w:tab/>
        <w:t>66001-31-05-003-2010-00776-02</w:t>
      </w:r>
    </w:p>
    <w:p w:rsidR="0042049F" w:rsidRPr="0042049F" w:rsidRDefault="0042049F" w:rsidP="0042049F">
      <w:pPr>
        <w:jc w:val="both"/>
        <w:rPr>
          <w:rFonts w:cs="Arial"/>
          <w:sz w:val="20"/>
          <w:szCs w:val="20"/>
          <w:lang w:val="es-419"/>
        </w:rPr>
      </w:pPr>
      <w:r w:rsidRPr="0042049F">
        <w:rPr>
          <w:rFonts w:cs="Arial"/>
          <w:sz w:val="20"/>
          <w:szCs w:val="20"/>
          <w:lang w:val="es-419"/>
        </w:rPr>
        <w:t xml:space="preserve">Ejecutante: </w:t>
      </w:r>
      <w:r w:rsidRPr="0042049F">
        <w:rPr>
          <w:rFonts w:cs="Arial"/>
          <w:sz w:val="20"/>
          <w:szCs w:val="20"/>
          <w:lang w:val="es-419"/>
        </w:rPr>
        <w:tab/>
      </w:r>
      <w:r w:rsidRPr="0042049F">
        <w:rPr>
          <w:rFonts w:cs="Arial"/>
          <w:sz w:val="20"/>
          <w:szCs w:val="20"/>
          <w:lang w:val="es-419"/>
        </w:rPr>
        <w:tab/>
        <w:t>Blanca Ruth Uribe Holguín</w:t>
      </w:r>
    </w:p>
    <w:p w:rsidR="0042049F" w:rsidRPr="0042049F" w:rsidRDefault="0042049F" w:rsidP="0042049F">
      <w:pPr>
        <w:jc w:val="both"/>
        <w:rPr>
          <w:rFonts w:cs="Arial"/>
          <w:sz w:val="20"/>
          <w:szCs w:val="20"/>
          <w:lang w:val="es-419"/>
        </w:rPr>
      </w:pPr>
      <w:r w:rsidRPr="0042049F">
        <w:rPr>
          <w:rFonts w:cs="Arial"/>
          <w:sz w:val="20"/>
          <w:szCs w:val="20"/>
          <w:lang w:val="es-419"/>
        </w:rPr>
        <w:t>Vinculado:</w:t>
      </w:r>
      <w:r w:rsidRPr="0042049F">
        <w:rPr>
          <w:rFonts w:cs="Arial"/>
          <w:sz w:val="20"/>
          <w:szCs w:val="20"/>
          <w:lang w:val="es-419"/>
        </w:rPr>
        <w:tab/>
      </w:r>
      <w:r w:rsidRPr="0042049F">
        <w:rPr>
          <w:rFonts w:cs="Arial"/>
          <w:sz w:val="20"/>
          <w:szCs w:val="20"/>
          <w:lang w:val="es-419"/>
        </w:rPr>
        <w:tab/>
        <w:t>Ministerio de Salud y Protección Social</w:t>
      </w:r>
    </w:p>
    <w:p w:rsidR="0042049F" w:rsidRPr="0042049F" w:rsidRDefault="0042049F" w:rsidP="0042049F">
      <w:pPr>
        <w:jc w:val="both"/>
        <w:rPr>
          <w:rFonts w:cs="Arial"/>
          <w:sz w:val="20"/>
          <w:szCs w:val="20"/>
          <w:lang w:val="es-419"/>
        </w:rPr>
      </w:pPr>
      <w:r w:rsidRPr="0042049F">
        <w:rPr>
          <w:rFonts w:cs="Arial"/>
          <w:sz w:val="20"/>
          <w:szCs w:val="20"/>
          <w:lang w:val="es-419"/>
        </w:rPr>
        <w:t>Ejecutado:</w:t>
      </w:r>
      <w:r w:rsidRPr="0042049F">
        <w:rPr>
          <w:rFonts w:cs="Arial"/>
          <w:sz w:val="20"/>
          <w:szCs w:val="20"/>
          <w:lang w:val="es-419"/>
        </w:rPr>
        <w:tab/>
      </w:r>
      <w:r w:rsidRPr="0042049F">
        <w:rPr>
          <w:rFonts w:cs="Arial"/>
          <w:sz w:val="20"/>
          <w:szCs w:val="20"/>
          <w:lang w:val="es-419"/>
        </w:rPr>
        <w:tab/>
        <w:t>Patrimonio Autónomo de Remanentes PAR</w:t>
      </w:r>
      <w:r w:rsidR="00775AF7">
        <w:rPr>
          <w:rFonts w:cs="Arial"/>
          <w:sz w:val="20"/>
          <w:szCs w:val="20"/>
          <w:lang w:val="es-CO"/>
        </w:rPr>
        <w:t xml:space="preserve"> </w:t>
      </w:r>
      <w:r w:rsidRPr="0042049F">
        <w:rPr>
          <w:rFonts w:cs="Arial"/>
          <w:sz w:val="20"/>
          <w:szCs w:val="20"/>
          <w:lang w:val="es-419"/>
        </w:rPr>
        <w:t>ISS.</w:t>
      </w:r>
    </w:p>
    <w:p w:rsidR="0042049F" w:rsidRPr="00B30EFC" w:rsidRDefault="0042049F" w:rsidP="0042049F">
      <w:pPr>
        <w:jc w:val="both"/>
        <w:rPr>
          <w:rFonts w:cs="Arial"/>
          <w:sz w:val="20"/>
          <w:szCs w:val="20"/>
          <w:lang w:val="es-419"/>
        </w:rPr>
      </w:pPr>
    </w:p>
    <w:p w:rsidR="0042049F" w:rsidRPr="00B30EFC" w:rsidRDefault="0042049F" w:rsidP="0042049F">
      <w:pPr>
        <w:pStyle w:val="Sinespaciado"/>
        <w:jc w:val="both"/>
        <w:rPr>
          <w:rFonts w:cs="Arial"/>
          <w:b/>
          <w:bCs/>
          <w:iCs/>
          <w:sz w:val="20"/>
          <w:szCs w:val="20"/>
          <w:lang w:val="es-419" w:eastAsia="fr-FR"/>
        </w:rPr>
      </w:pPr>
      <w:r w:rsidRPr="00B30EFC">
        <w:rPr>
          <w:rFonts w:cs="Arial"/>
          <w:b/>
          <w:bCs/>
          <w:iCs/>
          <w:sz w:val="20"/>
          <w:szCs w:val="20"/>
          <w:lang w:val="es-419" w:eastAsia="fr-FR"/>
        </w:rPr>
        <w:t>TEMAS:</w:t>
      </w:r>
      <w:r w:rsidRPr="00B30EFC">
        <w:rPr>
          <w:rFonts w:cs="Arial"/>
          <w:b/>
          <w:bCs/>
          <w:iCs/>
          <w:sz w:val="20"/>
          <w:szCs w:val="20"/>
          <w:lang w:val="es-419" w:eastAsia="fr-FR"/>
        </w:rPr>
        <w:tab/>
      </w:r>
      <w:r w:rsidR="00877FA8" w:rsidRPr="00877FA8">
        <w:rPr>
          <w:rFonts w:cs="Arial"/>
          <w:b/>
          <w:bCs/>
          <w:iCs/>
          <w:sz w:val="20"/>
          <w:szCs w:val="20"/>
          <w:lang w:val="es-419" w:eastAsia="fr-FR"/>
        </w:rPr>
        <w:t>FALTA DE COMPETENCIA DE LOS JUECES LABOR</w:t>
      </w:r>
      <w:r w:rsidR="00877FA8">
        <w:rPr>
          <w:rFonts w:cs="Arial"/>
          <w:b/>
          <w:bCs/>
          <w:iCs/>
          <w:sz w:val="20"/>
          <w:szCs w:val="20"/>
          <w:lang w:val="es-419" w:eastAsia="fr-FR"/>
        </w:rPr>
        <w:t>ALES</w:t>
      </w:r>
      <w:r w:rsidR="00877FA8" w:rsidRPr="00877FA8">
        <w:rPr>
          <w:rFonts w:cs="Arial"/>
          <w:b/>
          <w:bCs/>
          <w:iCs/>
          <w:sz w:val="20"/>
          <w:szCs w:val="20"/>
          <w:lang w:val="es-419" w:eastAsia="fr-FR"/>
        </w:rPr>
        <w:t xml:space="preserve"> PARA ADELANTAR EJECUCIONES IMPUESTAS AL ISS UNA VEZ LIQUIDADO DEFINITIVAMENTE</w:t>
      </w:r>
      <w:r w:rsidR="00C31267">
        <w:rPr>
          <w:rFonts w:cs="Arial"/>
          <w:b/>
          <w:bCs/>
          <w:iCs/>
          <w:sz w:val="20"/>
          <w:szCs w:val="20"/>
          <w:lang w:val="es-419" w:eastAsia="fr-FR"/>
        </w:rPr>
        <w:t>.</w:t>
      </w:r>
    </w:p>
    <w:p w:rsidR="0042049F" w:rsidRDefault="0042049F" w:rsidP="00877FA8">
      <w:pPr>
        <w:pStyle w:val="Sinespaciado"/>
        <w:jc w:val="both"/>
        <w:rPr>
          <w:rFonts w:cs="Arial"/>
          <w:b/>
          <w:bCs/>
          <w:iCs/>
          <w:sz w:val="20"/>
          <w:szCs w:val="20"/>
          <w:lang w:val="es-419" w:eastAsia="fr-FR"/>
        </w:rPr>
      </w:pPr>
    </w:p>
    <w:p w:rsidR="004525D0" w:rsidRDefault="004525D0" w:rsidP="00877FA8">
      <w:pPr>
        <w:pStyle w:val="Sinespaciado"/>
        <w:jc w:val="both"/>
        <w:rPr>
          <w:rFonts w:cs="Arial"/>
          <w:bCs/>
          <w:iCs/>
          <w:sz w:val="20"/>
          <w:szCs w:val="20"/>
          <w:lang w:val="es-CO" w:eastAsia="fr-FR"/>
        </w:rPr>
      </w:pPr>
      <w:r w:rsidRPr="004525D0">
        <w:rPr>
          <w:rFonts w:cs="Arial"/>
          <w:bCs/>
          <w:iCs/>
          <w:sz w:val="20"/>
          <w:szCs w:val="20"/>
          <w:lang w:val="es-419" w:eastAsia="fr-FR"/>
        </w:rPr>
        <w:t>Sería del caso llevar a cabo la audiencia para decidir el recurso de apelación formulado por la parte ejecutante frente al auto proferido el 17-05-2018 por el Juzgado Tercero Laboral del Circuito de Pereira</w:t>
      </w:r>
      <w:r>
        <w:rPr>
          <w:rFonts w:cs="Arial"/>
          <w:bCs/>
          <w:iCs/>
          <w:sz w:val="20"/>
          <w:szCs w:val="20"/>
          <w:lang w:val="es-CO" w:eastAsia="fr-FR"/>
        </w:rPr>
        <w:t xml:space="preserve">… </w:t>
      </w:r>
      <w:r w:rsidRPr="004525D0">
        <w:rPr>
          <w:rFonts w:cs="Arial"/>
          <w:bCs/>
          <w:iCs/>
          <w:sz w:val="20"/>
          <w:szCs w:val="20"/>
          <w:lang w:val="es-419" w:eastAsia="fr-FR"/>
        </w:rPr>
        <w:t>sino fuera porque se advierte que se está en presencia de una incompetencia por la jurisdicción laboral para conocer de este asunto; que se declarará por fuera de audiencia, al no estarse en alguno de los dos eventos que se exige oralidad en los procesos ejecutivos</w:t>
      </w:r>
      <w:r>
        <w:rPr>
          <w:rFonts w:cs="Arial"/>
          <w:bCs/>
          <w:iCs/>
          <w:sz w:val="20"/>
          <w:szCs w:val="20"/>
          <w:lang w:val="es-CO" w:eastAsia="fr-FR"/>
        </w:rPr>
        <w:t>…</w:t>
      </w:r>
    </w:p>
    <w:p w:rsidR="004525D0" w:rsidRPr="004525D0" w:rsidRDefault="004525D0" w:rsidP="00877FA8">
      <w:pPr>
        <w:pStyle w:val="Sinespaciado"/>
        <w:jc w:val="both"/>
        <w:rPr>
          <w:rFonts w:cs="Arial"/>
          <w:bCs/>
          <w:iCs/>
          <w:sz w:val="20"/>
          <w:szCs w:val="20"/>
          <w:lang w:val="es-419" w:eastAsia="fr-FR"/>
        </w:rPr>
      </w:pPr>
    </w:p>
    <w:p w:rsidR="0042049F" w:rsidRDefault="004525D0" w:rsidP="0042049F">
      <w:pPr>
        <w:jc w:val="both"/>
        <w:rPr>
          <w:rFonts w:cs="Arial"/>
          <w:sz w:val="20"/>
          <w:szCs w:val="20"/>
          <w:lang w:val="es-419"/>
        </w:rPr>
      </w:pPr>
      <w:r w:rsidRPr="004525D0">
        <w:rPr>
          <w:rFonts w:cs="Arial"/>
          <w:sz w:val="20"/>
          <w:szCs w:val="20"/>
          <w:lang w:val="es-419"/>
        </w:rPr>
        <w:t>Lo anterior se afirma, en tanto</w:t>
      </w:r>
      <w:r w:rsidR="00A60406">
        <w:rPr>
          <w:rFonts w:cs="Arial"/>
          <w:sz w:val="20"/>
          <w:szCs w:val="20"/>
          <w:lang w:val="es-CO"/>
        </w:rPr>
        <w:t>…</w:t>
      </w:r>
      <w:r w:rsidRPr="004525D0">
        <w:rPr>
          <w:rFonts w:cs="Arial"/>
          <w:sz w:val="20"/>
          <w:szCs w:val="20"/>
          <w:lang w:val="es-419"/>
        </w:rPr>
        <w:t xml:space="preserve"> se trata de la ejecución de una sentencia que quedó ejecutoriada luego de iniciado el proceso liquidatorio -28-09-2012 y antes de liquidarse de manera definitiva el ISS – 31-03-2015-; por lo que esta obligación es de aquellas que debía hacer parte del proceso liquidatorio, desconociéndose la razón para que no lo hubiera sido, pues el proceso ordinario en original con su sentencia hace parte de este asunto.</w:t>
      </w:r>
    </w:p>
    <w:p w:rsidR="00A60406" w:rsidRDefault="00A60406" w:rsidP="0042049F">
      <w:pPr>
        <w:jc w:val="both"/>
        <w:rPr>
          <w:rFonts w:cs="Arial"/>
          <w:sz w:val="20"/>
          <w:szCs w:val="20"/>
          <w:lang w:val="es-419"/>
        </w:rPr>
      </w:pPr>
    </w:p>
    <w:p w:rsidR="00A60406" w:rsidRDefault="00A60406" w:rsidP="0042049F">
      <w:pPr>
        <w:jc w:val="both"/>
        <w:rPr>
          <w:rFonts w:cs="Arial"/>
          <w:sz w:val="20"/>
          <w:szCs w:val="20"/>
          <w:lang w:val="es-419"/>
        </w:rPr>
      </w:pPr>
      <w:r w:rsidRPr="00A60406">
        <w:rPr>
          <w:rFonts w:cs="Arial"/>
          <w:sz w:val="20"/>
          <w:szCs w:val="20"/>
          <w:lang w:val="es-419"/>
        </w:rPr>
        <w:t>En este orden de ideas, se colige, como ya lo ha dicho esta Sala Mayoritaria, al acoger los argumentos expuesto en auto del 12-12-2018, donde actuó como magistrado ponente Julio Cesar Salazar Muñoz</w:t>
      </w:r>
      <w:r>
        <w:rPr>
          <w:rFonts w:cs="Arial"/>
          <w:sz w:val="20"/>
          <w:szCs w:val="20"/>
          <w:lang w:val="es-CO"/>
        </w:rPr>
        <w:t>:</w:t>
      </w:r>
      <w:r w:rsidRPr="00A60406">
        <w:rPr>
          <w:rFonts w:cs="Arial"/>
          <w:sz w:val="20"/>
          <w:szCs w:val="20"/>
          <w:lang w:val="es-419"/>
        </w:rPr>
        <w:t xml:space="preserve">  “No es posible adelantar procesos ejecutivos al margen del proceso liquidatorio, ni mucho menos afectar con embargos los bienes que fueron destinados por el liquidador al cumplimiento de las acreencias oportunamente graduadas en aquel. Permitirlo sería tanto como desvertebrar la totalidad del trabajo realizado al interior de la liquidación, generando caos y desconocimiento de los legítimos derechos de los acreedores que participaron oportunamente en ella.”.</w:t>
      </w:r>
    </w:p>
    <w:p w:rsidR="003F04EE" w:rsidRDefault="003F04EE" w:rsidP="0042049F">
      <w:pPr>
        <w:jc w:val="both"/>
        <w:rPr>
          <w:rFonts w:cs="Arial"/>
          <w:sz w:val="20"/>
          <w:szCs w:val="20"/>
          <w:lang w:val="es-419"/>
        </w:rPr>
      </w:pPr>
    </w:p>
    <w:p w:rsidR="003F04EE" w:rsidRPr="003F04EE" w:rsidRDefault="003F04EE" w:rsidP="003F04EE">
      <w:pPr>
        <w:jc w:val="both"/>
        <w:rPr>
          <w:rFonts w:cs="Arial"/>
          <w:b/>
          <w:color w:val="FF0000"/>
          <w:sz w:val="20"/>
          <w:szCs w:val="20"/>
          <w:lang w:val="es-CO"/>
        </w:rPr>
      </w:pPr>
      <w:r w:rsidRPr="003F04EE">
        <w:rPr>
          <w:rFonts w:cs="Arial"/>
          <w:b/>
          <w:color w:val="FF0000"/>
          <w:sz w:val="20"/>
          <w:szCs w:val="20"/>
          <w:lang w:val="es-CO"/>
        </w:rPr>
        <w:t>SALVAMENTO DE VOTO: DOCTORA ANA LUCÍA CAICEDO CALDERÓN</w:t>
      </w:r>
    </w:p>
    <w:p w:rsidR="003F04EE" w:rsidRPr="003F04EE" w:rsidRDefault="003F04EE" w:rsidP="003F04EE">
      <w:pPr>
        <w:jc w:val="both"/>
        <w:rPr>
          <w:rFonts w:cs="Arial"/>
          <w:sz w:val="20"/>
          <w:szCs w:val="20"/>
          <w:lang w:val="es-419"/>
        </w:rPr>
      </w:pPr>
    </w:p>
    <w:p w:rsidR="003F04EE" w:rsidRPr="003F04EE" w:rsidRDefault="003F04EE" w:rsidP="003F04EE">
      <w:pPr>
        <w:jc w:val="both"/>
        <w:rPr>
          <w:rFonts w:cs="Arial"/>
          <w:sz w:val="20"/>
          <w:szCs w:val="18"/>
        </w:rPr>
      </w:pPr>
      <w:r>
        <w:rPr>
          <w:rFonts w:cs="Arial"/>
          <w:sz w:val="20"/>
          <w:szCs w:val="18"/>
        </w:rPr>
        <w:t xml:space="preserve">… </w:t>
      </w:r>
      <w:r w:rsidRPr="003F04EE">
        <w:rPr>
          <w:rFonts w:cs="Arial"/>
          <w:sz w:val="20"/>
          <w:szCs w:val="18"/>
        </w:rPr>
        <w:t xml:space="preserve">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3F04EE">
        <w:rPr>
          <w:rFonts w:cs="Arial"/>
          <w:sz w:val="20"/>
          <w:szCs w:val="18"/>
        </w:rPr>
        <w:t>insolventarse</w:t>
      </w:r>
      <w:proofErr w:type="spellEnd"/>
      <w:r w:rsidRPr="003F04EE">
        <w:rPr>
          <w:rFonts w:cs="Arial"/>
          <w:sz w:val="20"/>
          <w:szCs w:val="18"/>
        </w:rPr>
        <w:t xml:space="preserve">.  </w:t>
      </w:r>
    </w:p>
    <w:p w:rsidR="003F04EE" w:rsidRPr="003F04EE" w:rsidRDefault="003F04EE" w:rsidP="003F04EE">
      <w:pPr>
        <w:jc w:val="both"/>
        <w:rPr>
          <w:rFonts w:cs="Arial"/>
          <w:sz w:val="20"/>
          <w:szCs w:val="18"/>
        </w:rPr>
      </w:pPr>
    </w:p>
    <w:p w:rsidR="003F04EE" w:rsidRDefault="003F04EE" w:rsidP="003F04EE">
      <w:pPr>
        <w:jc w:val="both"/>
        <w:rPr>
          <w:rFonts w:cs="Arial"/>
          <w:sz w:val="20"/>
          <w:szCs w:val="20"/>
          <w:lang w:val="es-419"/>
        </w:rPr>
      </w:pPr>
      <w:r w:rsidRPr="003F04EE">
        <w:rPr>
          <w:rFonts w:cs="Arial"/>
          <w:sz w:val="20"/>
          <w:szCs w:val="18"/>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la liquidación tenga fuero de atracción sobre todos los procesos ejecutivos de cualquier naturaleza, no puede interpretarse en el sentido de que una vez que finaliza aquel proceso </w:t>
      </w:r>
      <w:proofErr w:type="spellStart"/>
      <w:r w:rsidRPr="003F04EE">
        <w:rPr>
          <w:rFonts w:cs="Arial"/>
          <w:sz w:val="20"/>
          <w:szCs w:val="18"/>
        </w:rPr>
        <w:t>liquidatorio</w:t>
      </w:r>
      <w:proofErr w:type="spellEnd"/>
      <w:r w:rsidRPr="003F04EE">
        <w:rPr>
          <w:rFonts w:cs="Arial"/>
          <w:sz w:val="20"/>
          <w:szCs w:val="18"/>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w:t>
      </w:r>
    </w:p>
    <w:p w:rsidR="00A60406" w:rsidRDefault="00A60406" w:rsidP="0042049F">
      <w:pPr>
        <w:jc w:val="both"/>
        <w:rPr>
          <w:rFonts w:cs="Arial"/>
          <w:sz w:val="20"/>
          <w:szCs w:val="20"/>
          <w:lang w:val="es-419"/>
        </w:rPr>
      </w:pPr>
    </w:p>
    <w:p w:rsidR="0042049F" w:rsidRDefault="0042049F" w:rsidP="0042049F">
      <w:pPr>
        <w:jc w:val="both"/>
        <w:rPr>
          <w:rFonts w:cs="Arial"/>
          <w:sz w:val="20"/>
          <w:szCs w:val="20"/>
          <w:lang w:val="es-419"/>
        </w:rPr>
      </w:pPr>
    </w:p>
    <w:p w:rsidR="0042049F" w:rsidRDefault="0042049F" w:rsidP="0042049F">
      <w:pPr>
        <w:jc w:val="both"/>
        <w:rPr>
          <w:rFonts w:cs="Arial"/>
          <w:sz w:val="20"/>
          <w:szCs w:val="20"/>
          <w:lang w:val="es-419"/>
        </w:rPr>
      </w:pPr>
    </w:p>
    <w:p w:rsidR="00126D5B" w:rsidRPr="00034DA8" w:rsidRDefault="00126D5B" w:rsidP="00126D5B">
      <w:pPr>
        <w:spacing w:line="276" w:lineRule="auto"/>
        <w:contextualSpacing/>
        <w:rPr>
          <w:rFonts w:cs="Arial"/>
          <w:b/>
          <w:sz w:val="22"/>
          <w:szCs w:val="22"/>
        </w:rPr>
      </w:pPr>
      <w:r w:rsidRPr="00034DA8">
        <w:rPr>
          <w:rFonts w:cs="Arial"/>
          <w:noProof/>
          <w:sz w:val="22"/>
          <w:szCs w:val="22"/>
        </w:rPr>
        <w:drawing>
          <wp:anchor distT="0" distB="0" distL="114300" distR="114300" simplePos="0" relativeHeight="251659264" behindDoc="0" locked="0" layoutInCell="1" allowOverlap="1" wp14:anchorId="311791CA" wp14:editId="7040BD62">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126D5B" w:rsidRDefault="00126D5B" w:rsidP="00126D5B">
      <w:pPr>
        <w:spacing w:line="276" w:lineRule="auto"/>
        <w:contextualSpacing/>
        <w:rPr>
          <w:rFonts w:cs="Arial"/>
          <w:b/>
          <w:sz w:val="22"/>
          <w:szCs w:val="22"/>
        </w:rPr>
      </w:pPr>
    </w:p>
    <w:p w:rsidR="00126D5B" w:rsidRDefault="00126D5B" w:rsidP="00126D5B">
      <w:pPr>
        <w:spacing w:line="276" w:lineRule="auto"/>
        <w:contextualSpacing/>
        <w:rPr>
          <w:rFonts w:cs="Arial"/>
          <w:b/>
          <w:sz w:val="22"/>
          <w:szCs w:val="22"/>
        </w:rPr>
      </w:pPr>
    </w:p>
    <w:p w:rsidR="00126D5B" w:rsidRPr="00034DA8" w:rsidRDefault="00126D5B" w:rsidP="00126D5B">
      <w:pPr>
        <w:spacing w:line="276" w:lineRule="auto"/>
        <w:contextualSpacing/>
        <w:rPr>
          <w:rFonts w:cs="Arial"/>
          <w:b/>
          <w:sz w:val="22"/>
          <w:szCs w:val="22"/>
        </w:rPr>
      </w:pPr>
    </w:p>
    <w:p w:rsidR="00126D5B" w:rsidRPr="00034DA8" w:rsidRDefault="00126D5B" w:rsidP="00126D5B">
      <w:pPr>
        <w:spacing w:line="276" w:lineRule="auto"/>
        <w:contextualSpacing/>
        <w:rPr>
          <w:rFonts w:cs="Arial"/>
          <w:b/>
          <w:sz w:val="22"/>
          <w:szCs w:val="22"/>
        </w:rPr>
      </w:pPr>
    </w:p>
    <w:p w:rsidR="00126D5B" w:rsidRPr="00877FA8" w:rsidRDefault="00126D5B" w:rsidP="00126D5B">
      <w:pPr>
        <w:pStyle w:val="Sinespaciado"/>
        <w:spacing w:line="276" w:lineRule="auto"/>
        <w:jc w:val="center"/>
        <w:rPr>
          <w:rFonts w:cs="Arial"/>
          <w:b/>
          <w:bCs/>
          <w:color w:val="000000"/>
          <w:sz w:val="24"/>
          <w:szCs w:val="28"/>
          <w:lang w:val="es-CO"/>
        </w:rPr>
      </w:pPr>
      <w:r w:rsidRPr="00877FA8">
        <w:rPr>
          <w:rFonts w:cs="Arial"/>
          <w:b/>
          <w:bCs/>
          <w:color w:val="000000"/>
          <w:sz w:val="24"/>
          <w:szCs w:val="28"/>
          <w:lang w:val="es-CO"/>
        </w:rPr>
        <w:t>RAMA JUDICIAL DEL PODER PÚBLICO</w:t>
      </w:r>
    </w:p>
    <w:p w:rsidR="00126D5B" w:rsidRPr="00877FA8" w:rsidRDefault="00126D5B" w:rsidP="00126D5B">
      <w:pPr>
        <w:pStyle w:val="Sinespaciado"/>
        <w:spacing w:line="276" w:lineRule="auto"/>
        <w:jc w:val="center"/>
        <w:rPr>
          <w:rFonts w:cs="Arial"/>
          <w:b/>
          <w:bCs/>
          <w:color w:val="000000"/>
          <w:sz w:val="24"/>
          <w:szCs w:val="28"/>
          <w:lang w:val="es-CO"/>
        </w:rPr>
      </w:pPr>
      <w:r w:rsidRPr="00877FA8">
        <w:rPr>
          <w:rFonts w:cs="Arial"/>
          <w:b/>
          <w:bCs/>
          <w:color w:val="000000"/>
          <w:sz w:val="24"/>
          <w:szCs w:val="28"/>
          <w:lang w:val="es-CO"/>
        </w:rPr>
        <w:t>TRIBUNAL SUPERIOR DEL DISTRITO JUDICIAL DE PEREIRA</w:t>
      </w:r>
    </w:p>
    <w:p w:rsidR="00126D5B" w:rsidRPr="00877FA8" w:rsidRDefault="00126D5B" w:rsidP="00126D5B">
      <w:pPr>
        <w:pStyle w:val="Sinespaciado"/>
        <w:spacing w:line="276" w:lineRule="auto"/>
        <w:jc w:val="center"/>
        <w:rPr>
          <w:rFonts w:cs="Arial"/>
          <w:b/>
          <w:bCs/>
          <w:color w:val="000000"/>
          <w:sz w:val="24"/>
          <w:szCs w:val="28"/>
          <w:lang w:val="es-CO"/>
        </w:rPr>
      </w:pPr>
      <w:r w:rsidRPr="00877FA8">
        <w:rPr>
          <w:rFonts w:cs="Arial"/>
          <w:b/>
          <w:bCs/>
          <w:color w:val="000000"/>
          <w:sz w:val="24"/>
          <w:szCs w:val="28"/>
          <w:lang w:val="es-CO"/>
        </w:rPr>
        <w:t>SALA DE DECISIÓN LABORAL</w:t>
      </w:r>
    </w:p>
    <w:p w:rsidR="00126D5B" w:rsidRDefault="00126D5B" w:rsidP="00126D5B">
      <w:pPr>
        <w:pStyle w:val="Sinespaciado"/>
        <w:spacing w:line="276" w:lineRule="auto"/>
        <w:jc w:val="center"/>
        <w:rPr>
          <w:rFonts w:cs="Arial"/>
          <w:color w:val="000000"/>
          <w:szCs w:val="28"/>
        </w:rPr>
      </w:pPr>
    </w:p>
    <w:p w:rsidR="00126D5B" w:rsidRPr="00877FA8" w:rsidRDefault="00126D5B" w:rsidP="00126D5B">
      <w:pPr>
        <w:pStyle w:val="Sinespaciado"/>
        <w:spacing w:line="276" w:lineRule="auto"/>
        <w:jc w:val="center"/>
        <w:rPr>
          <w:rFonts w:cs="Arial"/>
          <w:color w:val="000000"/>
          <w:sz w:val="24"/>
          <w:szCs w:val="28"/>
        </w:rPr>
      </w:pPr>
      <w:r w:rsidRPr="00877FA8">
        <w:rPr>
          <w:rFonts w:cs="Arial"/>
          <w:color w:val="000000"/>
          <w:sz w:val="24"/>
          <w:szCs w:val="28"/>
        </w:rPr>
        <w:lastRenderedPageBreak/>
        <w:t>Magistrada Sustanciadora</w:t>
      </w:r>
    </w:p>
    <w:p w:rsidR="00126D5B" w:rsidRPr="00877FA8" w:rsidRDefault="00126D5B" w:rsidP="00126D5B">
      <w:pPr>
        <w:pStyle w:val="Sinespaciado"/>
        <w:spacing w:line="276" w:lineRule="auto"/>
        <w:jc w:val="center"/>
        <w:rPr>
          <w:rFonts w:cs="Arial"/>
          <w:b/>
          <w:bCs/>
          <w:color w:val="000000"/>
          <w:sz w:val="24"/>
          <w:szCs w:val="28"/>
          <w:lang w:val="es-CO"/>
        </w:rPr>
      </w:pPr>
      <w:r w:rsidRPr="00877FA8">
        <w:rPr>
          <w:rFonts w:cs="Arial"/>
          <w:b/>
          <w:bCs/>
          <w:color w:val="000000"/>
          <w:sz w:val="24"/>
          <w:szCs w:val="28"/>
          <w:lang w:val="es-CO"/>
        </w:rPr>
        <w:t>OLGA LUCÍA HOYOS SEPÚLVEDA</w:t>
      </w:r>
    </w:p>
    <w:p w:rsidR="00126D5B" w:rsidRPr="00034DA8" w:rsidRDefault="00126D5B" w:rsidP="00126D5B">
      <w:pPr>
        <w:pStyle w:val="Sinespaciado"/>
        <w:spacing w:line="276" w:lineRule="auto"/>
        <w:jc w:val="both"/>
        <w:rPr>
          <w:rFonts w:cs="Arial"/>
          <w:color w:val="000000"/>
          <w:sz w:val="22"/>
          <w:szCs w:val="22"/>
          <w:lang w:val="es-CO"/>
        </w:rPr>
      </w:pPr>
    </w:p>
    <w:p w:rsidR="00126D5B" w:rsidRPr="00877FA8" w:rsidRDefault="00126D5B" w:rsidP="00126D5B">
      <w:pPr>
        <w:widowControl w:val="0"/>
        <w:autoSpaceDE w:val="0"/>
        <w:autoSpaceDN w:val="0"/>
        <w:adjustRightInd w:val="0"/>
        <w:spacing w:line="276" w:lineRule="auto"/>
        <w:jc w:val="center"/>
        <w:rPr>
          <w:rFonts w:eastAsia="Calibri" w:cs="Arial"/>
          <w:sz w:val="24"/>
          <w:lang w:val="es-CO" w:eastAsia="en-US"/>
        </w:rPr>
      </w:pPr>
      <w:r w:rsidRPr="00877FA8">
        <w:rPr>
          <w:rFonts w:eastAsia="Calibri" w:cs="Arial"/>
          <w:sz w:val="24"/>
          <w:lang w:val="es-CO" w:eastAsia="en-US"/>
        </w:rPr>
        <w:t>Pereira, Risaralda, uno (01) de marzo de dos mil diecinueve (2019)</w:t>
      </w:r>
    </w:p>
    <w:p w:rsidR="00126D5B" w:rsidRDefault="00126D5B" w:rsidP="00126D5B">
      <w:pPr>
        <w:widowControl w:val="0"/>
        <w:autoSpaceDE w:val="0"/>
        <w:autoSpaceDN w:val="0"/>
        <w:adjustRightInd w:val="0"/>
        <w:spacing w:line="276" w:lineRule="auto"/>
        <w:jc w:val="both"/>
        <w:rPr>
          <w:rFonts w:eastAsia="Calibri" w:cs="Arial"/>
          <w:sz w:val="22"/>
          <w:szCs w:val="22"/>
          <w:lang w:val="es-CO" w:eastAsia="en-US"/>
        </w:rPr>
      </w:pPr>
    </w:p>
    <w:p w:rsidR="00126D5B" w:rsidRPr="00F268E8" w:rsidRDefault="00126D5B" w:rsidP="00126D5B">
      <w:pPr>
        <w:widowControl w:val="0"/>
        <w:autoSpaceDE w:val="0"/>
        <w:autoSpaceDN w:val="0"/>
        <w:adjustRightInd w:val="0"/>
        <w:spacing w:line="276" w:lineRule="auto"/>
        <w:jc w:val="both"/>
        <w:rPr>
          <w:rStyle w:val="Textoennegrita"/>
          <w:rFonts w:cs="Arial"/>
          <w:b w:val="0"/>
          <w:sz w:val="23"/>
          <w:szCs w:val="23"/>
        </w:rPr>
      </w:pPr>
      <w:r w:rsidRPr="00F268E8">
        <w:rPr>
          <w:rFonts w:eastAsia="Calibri" w:cs="Arial"/>
          <w:sz w:val="23"/>
          <w:szCs w:val="23"/>
          <w:lang w:val="es-CO" w:eastAsia="en-US"/>
        </w:rPr>
        <w:t xml:space="preserve">1. Sería del caso llevar a cabo la audiencia para decidir el recurso de apelación formulado por la parte ejecutante frente al auto proferido </w:t>
      </w:r>
      <w:r w:rsidRPr="00F268E8">
        <w:rPr>
          <w:rFonts w:cs="Arial"/>
          <w:sz w:val="23"/>
          <w:szCs w:val="23"/>
        </w:rPr>
        <w:t>el</w:t>
      </w:r>
      <w:r w:rsidR="00542E9F">
        <w:rPr>
          <w:rFonts w:cs="Arial"/>
          <w:sz w:val="23"/>
          <w:szCs w:val="23"/>
        </w:rPr>
        <w:t xml:space="preserve"> 17-</w:t>
      </w:r>
      <w:r w:rsidR="00542E9F" w:rsidRPr="006F2926">
        <w:rPr>
          <w:rFonts w:cs="Arial"/>
          <w:sz w:val="23"/>
          <w:szCs w:val="23"/>
        </w:rPr>
        <w:t>0</w:t>
      </w:r>
      <w:r w:rsidR="00542E9F">
        <w:rPr>
          <w:rFonts w:cs="Arial"/>
          <w:sz w:val="23"/>
          <w:szCs w:val="23"/>
        </w:rPr>
        <w:t>5-2018</w:t>
      </w:r>
      <w:r w:rsidRPr="00F268E8">
        <w:rPr>
          <w:rFonts w:cs="Arial"/>
          <w:sz w:val="23"/>
          <w:szCs w:val="23"/>
        </w:rPr>
        <w:t xml:space="preserve"> </w:t>
      </w:r>
      <w:r w:rsidR="00542E9F">
        <w:rPr>
          <w:rFonts w:cs="Arial"/>
          <w:sz w:val="23"/>
          <w:szCs w:val="23"/>
        </w:rPr>
        <w:t xml:space="preserve">por el </w:t>
      </w:r>
      <w:r w:rsidRPr="00F268E8">
        <w:rPr>
          <w:rFonts w:cs="Arial"/>
          <w:sz w:val="23"/>
          <w:szCs w:val="23"/>
        </w:rPr>
        <w:t xml:space="preserve">Juzgado </w:t>
      </w:r>
      <w:r w:rsidR="00542E9F">
        <w:rPr>
          <w:rFonts w:cs="Arial"/>
          <w:sz w:val="23"/>
          <w:szCs w:val="23"/>
        </w:rPr>
        <w:t>Tercero</w:t>
      </w:r>
      <w:r w:rsidRPr="00F268E8">
        <w:rPr>
          <w:rFonts w:cs="Arial"/>
          <w:sz w:val="23"/>
          <w:szCs w:val="23"/>
        </w:rPr>
        <w:t xml:space="preserve"> </w:t>
      </w:r>
      <w:r w:rsidR="00743930">
        <w:rPr>
          <w:rFonts w:cs="Arial"/>
          <w:sz w:val="23"/>
          <w:szCs w:val="23"/>
        </w:rPr>
        <w:t>Laboral del Circuito de Pereira</w:t>
      </w:r>
      <w:r w:rsidRPr="00F268E8">
        <w:rPr>
          <w:rFonts w:cs="Arial"/>
          <w:sz w:val="23"/>
          <w:szCs w:val="23"/>
        </w:rPr>
        <w:t xml:space="preserve"> mediante el cual </w:t>
      </w:r>
      <w:r w:rsidRPr="00542E9F">
        <w:rPr>
          <w:rFonts w:cs="Arial"/>
          <w:sz w:val="23"/>
          <w:szCs w:val="23"/>
        </w:rPr>
        <w:t>declaró probada</w:t>
      </w:r>
      <w:r w:rsidR="005737C8">
        <w:rPr>
          <w:rFonts w:cs="Arial"/>
          <w:sz w:val="23"/>
          <w:szCs w:val="23"/>
        </w:rPr>
        <w:t>s</w:t>
      </w:r>
      <w:r w:rsidR="00542E9F">
        <w:rPr>
          <w:rFonts w:cs="Arial"/>
          <w:sz w:val="23"/>
          <w:szCs w:val="23"/>
        </w:rPr>
        <w:t xml:space="preserve"> </w:t>
      </w:r>
      <w:r w:rsidRPr="00F268E8">
        <w:rPr>
          <w:rFonts w:cs="Arial"/>
          <w:sz w:val="23"/>
          <w:szCs w:val="23"/>
        </w:rPr>
        <w:t>la</w:t>
      </w:r>
      <w:r w:rsidR="005737C8">
        <w:rPr>
          <w:rFonts w:cs="Arial"/>
          <w:sz w:val="23"/>
          <w:szCs w:val="23"/>
        </w:rPr>
        <w:t>s</w:t>
      </w:r>
      <w:r w:rsidRPr="00F268E8">
        <w:rPr>
          <w:rFonts w:cs="Arial"/>
          <w:sz w:val="23"/>
          <w:szCs w:val="23"/>
        </w:rPr>
        <w:t xml:space="preserve"> excepci</w:t>
      </w:r>
      <w:r w:rsidR="005737C8">
        <w:rPr>
          <w:rFonts w:cs="Arial"/>
          <w:sz w:val="23"/>
          <w:szCs w:val="23"/>
        </w:rPr>
        <w:t>o</w:t>
      </w:r>
      <w:r w:rsidRPr="00F268E8">
        <w:rPr>
          <w:rFonts w:cs="Arial"/>
          <w:sz w:val="23"/>
          <w:szCs w:val="23"/>
        </w:rPr>
        <w:t>n</w:t>
      </w:r>
      <w:r w:rsidR="005737C8">
        <w:rPr>
          <w:rFonts w:cs="Arial"/>
          <w:sz w:val="23"/>
          <w:szCs w:val="23"/>
        </w:rPr>
        <w:t>es</w:t>
      </w:r>
      <w:r w:rsidRPr="00F268E8">
        <w:rPr>
          <w:rFonts w:cs="Arial"/>
          <w:sz w:val="23"/>
          <w:szCs w:val="23"/>
        </w:rPr>
        <w:t xml:space="preserve"> de pago</w:t>
      </w:r>
      <w:r w:rsidR="005737C8">
        <w:rPr>
          <w:rFonts w:cs="Arial"/>
          <w:sz w:val="23"/>
          <w:szCs w:val="23"/>
        </w:rPr>
        <w:t xml:space="preserve"> y prescripción</w:t>
      </w:r>
      <w:r w:rsidRPr="00F268E8">
        <w:rPr>
          <w:rFonts w:cs="Arial"/>
          <w:sz w:val="23"/>
          <w:szCs w:val="23"/>
        </w:rPr>
        <w:t>, dentro del proceso iniciado por</w:t>
      </w:r>
      <w:r w:rsidRPr="00F268E8">
        <w:rPr>
          <w:rFonts w:cs="Arial"/>
          <w:sz w:val="23"/>
          <w:szCs w:val="23"/>
          <w:lang w:val="es-CO"/>
        </w:rPr>
        <w:t xml:space="preserve"> </w:t>
      </w:r>
      <w:r w:rsidR="00542E9F">
        <w:rPr>
          <w:rFonts w:cs="Arial"/>
          <w:sz w:val="23"/>
          <w:szCs w:val="23"/>
          <w:lang w:val="es-CO"/>
        </w:rPr>
        <w:t xml:space="preserve">Blanca Ruth Uribe Holguín </w:t>
      </w:r>
      <w:r w:rsidRPr="00F268E8">
        <w:rPr>
          <w:rFonts w:cs="Arial"/>
          <w:sz w:val="23"/>
          <w:szCs w:val="23"/>
          <w:lang w:val="es-CO"/>
        </w:rPr>
        <w:t xml:space="preserve">en contra del Patrimonio Autónomo de Remanentes PAR ISS, </w:t>
      </w:r>
      <w:r w:rsidRPr="00F268E8">
        <w:rPr>
          <w:rFonts w:cs="Arial"/>
          <w:sz w:val="23"/>
          <w:szCs w:val="23"/>
        </w:rPr>
        <w:t xml:space="preserve">donde actúa como administrador y vocero la </w:t>
      </w:r>
      <w:proofErr w:type="spellStart"/>
      <w:r w:rsidRPr="00F268E8">
        <w:rPr>
          <w:rFonts w:cs="Arial"/>
          <w:sz w:val="23"/>
          <w:szCs w:val="23"/>
        </w:rPr>
        <w:t>Fiduagraria</w:t>
      </w:r>
      <w:proofErr w:type="spellEnd"/>
      <w:r w:rsidRPr="00F268E8">
        <w:rPr>
          <w:rFonts w:cs="Arial"/>
          <w:sz w:val="23"/>
          <w:szCs w:val="23"/>
        </w:rPr>
        <w:t xml:space="preserve"> </w:t>
      </w:r>
      <w:proofErr w:type="spellStart"/>
      <w:r w:rsidRPr="00F268E8">
        <w:rPr>
          <w:rFonts w:cs="Arial"/>
          <w:sz w:val="23"/>
          <w:szCs w:val="23"/>
        </w:rPr>
        <w:t>S.A</w:t>
      </w:r>
      <w:proofErr w:type="spellEnd"/>
      <w:r w:rsidR="001A52A0">
        <w:rPr>
          <w:rFonts w:cs="Arial"/>
          <w:sz w:val="23"/>
          <w:szCs w:val="23"/>
        </w:rPr>
        <w:t xml:space="preserve"> y vinculado el Ministerio de Salud y Protección Social,</w:t>
      </w:r>
      <w:r w:rsidRPr="00F268E8">
        <w:rPr>
          <w:rFonts w:cs="Arial"/>
          <w:sz w:val="23"/>
          <w:szCs w:val="23"/>
          <w:lang w:val="es-CO"/>
        </w:rPr>
        <w:t xml:space="preserve"> sino fuera porque se advierte que se está en presencia de una incompetencia por la jurisdicción laboral para conocer de este asunto; que se declarará </w:t>
      </w:r>
      <w:r w:rsidRPr="00F268E8">
        <w:rPr>
          <w:rStyle w:val="Textoennegrita"/>
          <w:rFonts w:cs="Arial"/>
          <w:sz w:val="23"/>
          <w:szCs w:val="23"/>
        </w:rPr>
        <w:t>por fuera de audiencia, al no estarse en alguno de los dos eventos que se exige oralidad en los procesos</w:t>
      </w:r>
      <w:r w:rsidR="00CF0E38">
        <w:rPr>
          <w:rStyle w:val="Textoennegrita"/>
          <w:rFonts w:cs="Arial"/>
          <w:sz w:val="23"/>
          <w:szCs w:val="23"/>
        </w:rPr>
        <w:t xml:space="preserve"> ejecutivos (prá</w:t>
      </w:r>
      <w:r w:rsidRPr="00F268E8">
        <w:rPr>
          <w:rStyle w:val="Textoennegrita"/>
          <w:rFonts w:cs="Arial"/>
          <w:sz w:val="23"/>
          <w:szCs w:val="23"/>
        </w:rPr>
        <w:t>ctica de pruebas o decisión de excepciones).</w:t>
      </w:r>
    </w:p>
    <w:p w:rsidR="00126D5B" w:rsidRPr="00F268E8" w:rsidRDefault="00126D5B" w:rsidP="00126D5B">
      <w:pPr>
        <w:pStyle w:val="Sinespaciado"/>
        <w:spacing w:line="276" w:lineRule="auto"/>
        <w:jc w:val="both"/>
        <w:rPr>
          <w:rStyle w:val="Textoennegrita"/>
          <w:rFonts w:cs="Arial"/>
          <w:sz w:val="23"/>
          <w:szCs w:val="23"/>
        </w:rPr>
      </w:pPr>
    </w:p>
    <w:p w:rsidR="004B720F" w:rsidRDefault="00126D5B" w:rsidP="004B720F">
      <w:pPr>
        <w:spacing w:line="276" w:lineRule="auto"/>
        <w:jc w:val="both"/>
        <w:rPr>
          <w:rFonts w:cs="Arial"/>
          <w:sz w:val="23"/>
          <w:szCs w:val="23"/>
        </w:rPr>
      </w:pPr>
      <w:r w:rsidRPr="00F268E8">
        <w:rPr>
          <w:rFonts w:cs="Arial"/>
          <w:sz w:val="23"/>
          <w:szCs w:val="23"/>
        </w:rPr>
        <w:t xml:space="preserve">2. Lo anterior se afirma, en tanto el proceso que concita la atención de esta Sala es un ejecutivo en contra del PAR ISS, con el propósito de obtener el pago de las sumas reconocidas como acreencias laborales en la sentencia de primera instancia proferida el </w:t>
      </w:r>
      <w:r w:rsidR="00B27CBD">
        <w:rPr>
          <w:rFonts w:cs="Arial"/>
          <w:sz w:val="23"/>
          <w:szCs w:val="23"/>
        </w:rPr>
        <w:t>16-09-2011 (fl</w:t>
      </w:r>
      <w:r w:rsidR="0012448A">
        <w:rPr>
          <w:rFonts w:cs="Arial"/>
          <w:sz w:val="23"/>
          <w:szCs w:val="23"/>
        </w:rPr>
        <w:t>s</w:t>
      </w:r>
      <w:r w:rsidR="00B27CBD">
        <w:rPr>
          <w:rFonts w:cs="Arial"/>
          <w:sz w:val="23"/>
          <w:szCs w:val="23"/>
        </w:rPr>
        <w:t>. 330 a 342 c. 1 tomo 2)</w:t>
      </w:r>
      <w:r w:rsidR="004B720F">
        <w:rPr>
          <w:rFonts w:cs="Arial"/>
          <w:sz w:val="23"/>
          <w:szCs w:val="23"/>
        </w:rPr>
        <w:t>;</w:t>
      </w:r>
      <w:r w:rsidRPr="00F268E8">
        <w:rPr>
          <w:rFonts w:cs="Arial"/>
          <w:sz w:val="23"/>
          <w:szCs w:val="23"/>
        </w:rPr>
        <w:t xml:space="preserve"> </w:t>
      </w:r>
      <w:r w:rsidRPr="00D26818">
        <w:rPr>
          <w:rFonts w:cs="Arial"/>
          <w:sz w:val="23"/>
          <w:szCs w:val="23"/>
        </w:rPr>
        <w:t>confirmada</w:t>
      </w:r>
      <w:r w:rsidR="00D26818">
        <w:rPr>
          <w:rFonts w:cs="Arial"/>
          <w:sz w:val="23"/>
          <w:szCs w:val="23"/>
        </w:rPr>
        <w:t xml:space="preserve"> </w:t>
      </w:r>
      <w:r w:rsidRPr="00F268E8">
        <w:rPr>
          <w:rFonts w:cs="Arial"/>
          <w:sz w:val="23"/>
          <w:szCs w:val="23"/>
        </w:rPr>
        <w:t xml:space="preserve">en segundo grado, </w:t>
      </w:r>
      <w:r w:rsidR="00D26818">
        <w:rPr>
          <w:rFonts w:cs="Arial"/>
          <w:sz w:val="23"/>
          <w:szCs w:val="23"/>
        </w:rPr>
        <w:t>el 30-04-2012 por el Tribunal Superior con Sede en el Distrito Judicial de Bogotá D.C Sala de Descongestión Laboral (fls.386 a 392)</w:t>
      </w:r>
      <w:r w:rsidR="00773B08">
        <w:rPr>
          <w:rFonts w:cs="Arial"/>
          <w:sz w:val="23"/>
          <w:szCs w:val="23"/>
        </w:rPr>
        <w:t xml:space="preserve"> y </w:t>
      </w:r>
      <w:r w:rsidR="004B720F">
        <w:rPr>
          <w:rFonts w:cs="Arial"/>
          <w:sz w:val="23"/>
          <w:szCs w:val="23"/>
        </w:rPr>
        <w:t>complement</w:t>
      </w:r>
      <w:r w:rsidR="00773B08">
        <w:rPr>
          <w:rFonts w:cs="Arial"/>
          <w:sz w:val="23"/>
          <w:szCs w:val="23"/>
        </w:rPr>
        <w:t>ada</w:t>
      </w:r>
      <w:r w:rsidR="004B720F">
        <w:rPr>
          <w:rFonts w:cs="Arial"/>
          <w:sz w:val="23"/>
          <w:szCs w:val="23"/>
        </w:rPr>
        <w:t xml:space="preserve"> el 16-11-2012 por este Tribunal Superior, en la que reconoció la indemnización moratoria (fls.416 a 422), </w:t>
      </w:r>
      <w:r w:rsidR="00773B08">
        <w:rPr>
          <w:rFonts w:cs="Arial"/>
          <w:sz w:val="23"/>
          <w:szCs w:val="23"/>
        </w:rPr>
        <w:t xml:space="preserve">por lo que se trata de la ejecución de una sentencia que quedó ejecutoriada </w:t>
      </w:r>
      <w:r w:rsidR="004B720F">
        <w:rPr>
          <w:rFonts w:cs="Arial"/>
          <w:sz w:val="23"/>
          <w:szCs w:val="23"/>
        </w:rPr>
        <w:t>luego de iniciado el proceso l</w:t>
      </w:r>
      <w:r w:rsidR="00CF0E38">
        <w:rPr>
          <w:rFonts w:cs="Arial"/>
          <w:sz w:val="23"/>
          <w:szCs w:val="23"/>
        </w:rPr>
        <w:t>iquidatorio</w:t>
      </w:r>
      <w:r w:rsidR="00773B08">
        <w:rPr>
          <w:rFonts w:cs="Arial"/>
          <w:sz w:val="23"/>
          <w:szCs w:val="23"/>
        </w:rPr>
        <w:t xml:space="preserve"> -28-09-2012 y antes de liquidarse de manera definitiva el ISS – 31-03-2015-</w:t>
      </w:r>
      <w:r w:rsidR="00DB706E">
        <w:rPr>
          <w:rFonts w:cs="Arial"/>
          <w:sz w:val="23"/>
          <w:szCs w:val="23"/>
        </w:rPr>
        <w:t>; por lo que esta obligación es de aquellas que debía hacer parte del proceso liquidatorio, desconociéndose la razón para que no lo hubiera sido, pues el proceso ordinario</w:t>
      </w:r>
      <w:r w:rsidR="00C65952">
        <w:rPr>
          <w:rFonts w:cs="Arial"/>
          <w:sz w:val="23"/>
          <w:szCs w:val="23"/>
        </w:rPr>
        <w:t xml:space="preserve"> en original</w:t>
      </w:r>
      <w:r w:rsidR="00DB706E">
        <w:rPr>
          <w:rFonts w:cs="Arial"/>
          <w:sz w:val="23"/>
          <w:szCs w:val="23"/>
        </w:rPr>
        <w:t xml:space="preserve"> con su sentencia hace parte de este asunto.</w:t>
      </w:r>
    </w:p>
    <w:p w:rsidR="00126D5B" w:rsidRPr="00F268E8" w:rsidRDefault="00EF1538" w:rsidP="00126D5B">
      <w:pPr>
        <w:spacing w:line="276" w:lineRule="auto"/>
        <w:contextualSpacing/>
        <w:jc w:val="both"/>
        <w:rPr>
          <w:rFonts w:cs="Arial"/>
          <w:sz w:val="23"/>
          <w:szCs w:val="23"/>
        </w:rPr>
      </w:pPr>
      <w:r>
        <w:rPr>
          <w:rFonts w:cs="Arial"/>
          <w:sz w:val="23"/>
          <w:szCs w:val="23"/>
        </w:rPr>
        <w:t xml:space="preserve"> </w:t>
      </w:r>
    </w:p>
    <w:p w:rsidR="00126D5B" w:rsidRPr="00F268E8" w:rsidRDefault="00126D5B" w:rsidP="00126D5B">
      <w:pPr>
        <w:pStyle w:val="Sinespaciado"/>
        <w:spacing w:line="276" w:lineRule="auto"/>
        <w:jc w:val="both"/>
        <w:rPr>
          <w:rFonts w:cs="Arial"/>
          <w:sz w:val="23"/>
          <w:szCs w:val="23"/>
        </w:rPr>
      </w:pPr>
      <w:r w:rsidRPr="00F268E8">
        <w:rPr>
          <w:rFonts w:cs="Arial"/>
          <w:sz w:val="23"/>
          <w:szCs w:val="23"/>
        </w:rPr>
        <w:t xml:space="preserve">3. Entonces, al haberse ordenado la supresión y liquidación del ISS mediante el Decreto 2013 de 2012, se procedió a ello a través del procedimiento fijado en esta norma como en el Decreto 254 de 2000 modificada por la Ley 1105 de 2006 que remite al Decreto 633 de 1993, modificado por la Ley 590 de 1999 y Decreto 2555 de 2010. </w:t>
      </w:r>
    </w:p>
    <w:p w:rsidR="00126D5B" w:rsidRPr="00F268E8" w:rsidRDefault="00126D5B" w:rsidP="00126D5B">
      <w:pPr>
        <w:pStyle w:val="Sinespaciado"/>
        <w:spacing w:line="276" w:lineRule="auto"/>
        <w:jc w:val="both"/>
        <w:rPr>
          <w:rFonts w:cs="Arial"/>
          <w:sz w:val="23"/>
          <w:szCs w:val="23"/>
        </w:rPr>
      </w:pPr>
    </w:p>
    <w:p w:rsidR="00126D5B" w:rsidRPr="00F268E8" w:rsidRDefault="00126D5B" w:rsidP="00126D5B">
      <w:pPr>
        <w:pStyle w:val="Sinespaciado"/>
        <w:spacing w:line="276" w:lineRule="auto"/>
        <w:jc w:val="both"/>
        <w:rPr>
          <w:rFonts w:cs="Arial"/>
          <w:sz w:val="23"/>
          <w:szCs w:val="23"/>
        </w:rPr>
      </w:pPr>
      <w:r w:rsidRPr="00F268E8">
        <w:rPr>
          <w:rFonts w:cs="Arial"/>
          <w:sz w:val="23"/>
          <w:szCs w:val="23"/>
        </w:rPr>
        <w:t>Así, se tiene que el liquidador en primer lugar es el encargado de inventariar las obligaciones a término y las que representen una contingencia, como las condicionales, litigiosas y las garantías y pagar las obligaciones de la entidad debidamente comprobadas y relacionadas en el inventario de pasivos con respeto de la prelación de créditos establecida en las normas legales; incluyendo las condicionales o litigiosas, que se hará</w:t>
      </w:r>
      <w:r w:rsidR="00743930">
        <w:rPr>
          <w:rFonts w:cs="Arial"/>
          <w:sz w:val="23"/>
          <w:szCs w:val="23"/>
        </w:rPr>
        <w:t>n</w:t>
      </w:r>
      <w:r w:rsidRPr="00F268E8">
        <w:rPr>
          <w:rFonts w:cs="Arial"/>
          <w:sz w:val="23"/>
          <w:szCs w:val="23"/>
        </w:rPr>
        <w:t xml:space="preserve"> solamente cuando se hicieren exigibles en la medida que no estén prescritas (Art. 32 D.L. 254 de 2000).</w:t>
      </w:r>
    </w:p>
    <w:p w:rsidR="00126D5B" w:rsidRPr="00F268E8" w:rsidRDefault="00126D5B" w:rsidP="00126D5B">
      <w:pPr>
        <w:pStyle w:val="Sinespaciado"/>
        <w:spacing w:line="276" w:lineRule="auto"/>
        <w:jc w:val="both"/>
        <w:rPr>
          <w:rFonts w:cs="Arial"/>
          <w:sz w:val="23"/>
          <w:szCs w:val="23"/>
        </w:rPr>
      </w:pPr>
    </w:p>
    <w:p w:rsidR="00126D5B" w:rsidRPr="00F268E8" w:rsidRDefault="007B03A7" w:rsidP="00126D5B">
      <w:pPr>
        <w:pStyle w:val="Sinespaciado"/>
        <w:spacing w:line="276" w:lineRule="auto"/>
        <w:jc w:val="both"/>
        <w:rPr>
          <w:rFonts w:cs="Arial"/>
          <w:sz w:val="23"/>
          <w:szCs w:val="23"/>
        </w:rPr>
      </w:pPr>
      <w:r>
        <w:rPr>
          <w:rFonts w:cs="Arial"/>
          <w:sz w:val="23"/>
          <w:szCs w:val="23"/>
        </w:rPr>
        <w:t>4</w:t>
      </w:r>
      <w:r w:rsidR="00126D5B" w:rsidRPr="00F268E8">
        <w:rPr>
          <w:rFonts w:cs="Arial"/>
          <w:sz w:val="23"/>
          <w:szCs w:val="23"/>
        </w:rPr>
        <w:t xml:space="preserve">. Deber que luego de finalizado el proceso de liquidación del ISS – 31-03-2015- y en cumplimiento de lo mandado por el artículo 35 del Decreto 254 de 2000, quedó en cabeza del PAR ISS, cuyo vocero es </w:t>
      </w:r>
      <w:proofErr w:type="spellStart"/>
      <w:r w:rsidR="00126D5B" w:rsidRPr="00F268E8">
        <w:rPr>
          <w:rFonts w:cs="Arial"/>
          <w:sz w:val="23"/>
          <w:szCs w:val="23"/>
        </w:rPr>
        <w:t>Fiduagraria</w:t>
      </w:r>
      <w:proofErr w:type="spellEnd"/>
      <w:r w:rsidR="00126D5B" w:rsidRPr="00F268E8">
        <w:rPr>
          <w:rFonts w:cs="Arial"/>
          <w:sz w:val="23"/>
          <w:szCs w:val="23"/>
        </w:rPr>
        <w:t xml:space="preserve"> S</w:t>
      </w:r>
      <w:r w:rsidR="00DB0949">
        <w:rPr>
          <w:rFonts w:cs="Arial"/>
          <w:sz w:val="23"/>
          <w:szCs w:val="23"/>
        </w:rPr>
        <w:t>.</w:t>
      </w:r>
      <w:r w:rsidR="00126D5B" w:rsidRPr="00F268E8">
        <w:rPr>
          <w:rFonts w:cs="Arial"/>
          <w:sz w:val="23"/>
          <w:szCs w:val="23"/>
        </w:rPr>
        <w:t>A</w:t>
      </w:r>
      <w:r w:rsidR="00DB0949">
        <w:rPr>
          <w:rFonts w:cs="Arial"/>
          <w:sz w:val="23"/>
          <w:szCs w:val="23"/>
        </w:rPr>
        <w:t>.</w:t>
      </w:r>
      <w:r w:rsidR="00126D5B" w:rsidRPr="00F268E8">
        <w:rPr>
          <w:rFonts w:cs="Arial"/>
          <w:sz w:val="23"/>
          <w:szCs w:val="23"/>
        </w:rPr>
        <w:t xml:space="preserve"> en razón al contrato de fiducia mercantil que se celebró por el liquidador Nº 15 del 2015 (fl</w:t>
      </w:r>
      <w:r w:rsidR="0079116D">
        <w:rPr>
          <w:rFonts w:cs="Arial"/>
          <w:sz w:val="23"/>
          <w:szCs w:val="23"/>
        </w:rPr>
        <w:t>s</w:t>
      </w:r>
      <w:r w:rsidR="00126D5B" w:rsidRPr="00F268E8">
        <w:rPr>
          <w:rFonts w:cs="Arial"/>
          <w:sz w:val="23"/>
          <w:szCs w:val="23"/>
        </w:rPr>
        <w:t xml:space="preserve">. </w:t>
      </w:r>
      <w:r w:rsidR="0012448A">
        <w:rPr>
          <w:rFonts w:cs="Arial"/>
          <w:sz w:val="23"/>
          <w:szCs w:val="23"/>
        </w:rPr>
        <w:t xml:space="preserve">485 </w:t>
      </w:r>
      <w:r w:rsidR="00126D5B" w:rsidRPr="00F268E8">
        <w:rPr>
          <w:rFonts w:cs="Arial"/>
          <w:sz w:val="23"/>
          <w:szCs w:val="23"/>
        </w:rPr>
        <w:t xml:space="preserve">y </w:t>
      </w:r>
      <w:proofErr w:type="spellStart"/>
      <w:r w:rsidR="00126D5B" w:rsidRPr="00F268E8">
        <w:rPr>
          <w:rFonts w:cs="Arial"/>
          <w:sz w:val="23"/>
          <w:szCs w:val="23"/>
        </w:rPr>
        <w:t>ss</w:t>
      </w:r>
      <w:proofErr w:type="spellEnd"/>
      <w:r w:rsidR="00126D5B" w:rsidRPr="00F268E8">
        <w:rPr>
          <w:rFonts w:cs="Arial"/>
          <w:sz w:val="23"/>
          <w:szCs w:val="23"/>
        </w:rPr>
        <w:t xml:space="preserve"> c.1 tomo </w:t>
      </w:r>
      <w:r w:rsidR="0012448A">
        <w:rPr>
          <w:rFonts w:cs="Arial"/>
          <w:sz w:val="23"/>
          <w:szCs w:val="23"/>
        </w:rPr>
        <w:t>2</w:t>
      </w:r>
      <w:r w:rsidR="00126D5B" w:rsidRPr="00F268E8">
        <w:rPr>
          <w:rFonts w:cs="Arial"/>
          <w:sz w:val="23"/>
          <w:szCs w:val="23"/>
        </w:rPr>
        <w:t>); con el fin de administrar y enajenar los activos que se transfieran y pagar las obligaciones remanentes y contingentes a cargo del ISS cuando se hagan exigibles; en este último caso, que deriven de procesos pendientes contra la entidad al terminar la liquidación, aún los no identificados por el liquidador, como reza el inciso final del canon en mención en concordancia con la cláusula 7</w:t>
      </w:r>
      <w:r w:rsidR="00743930">
        <w:rPr>
          <w:rFonts w:cs="Arial"/>
          <w:sz w:val="23"/>
          <w:szCs w:val="23"/>
        </w:rPr>
        <w:t xml:space="preserve">º, </w:t>
      </w:r>
      <w:r w:rsidR="00126D5B" w:rsidRPr="00F268E8">
        <w:rPr>
          <w:rFonts w:cs="Arial"/>
          <w:sz w:val="23"/>
          <w:szCs w:val="23"/>
        </w:rPr>
        <w:t xml:space="preserve"> numeral 3</w:t>
      </w:r>
      <w:r w:rsidR="00743930">
        <w:rPr>
          <w:rFonts w:cs="Arial"/>
          <w:sz w:val="23"/>
          <w:szCs w:val="23"/>
        </w:rPr>
        <w:t>º,</w:t>
      </w:r>
      <w:r w:rsidR="00126D5B" w:rsidRPr="00F268E8">
        <w:rPr>
          <w:rFonts w:cs="Arial"/>
          <w:sz w:val="23"/>
          <w:szCs w:val="23"/>
        </w:rPr>
        <w:t xml:space="preserve"> literal c) del contrato de fiducia mercantil. </w:t>
      </w:r>
    </w:p>
    <w:p w:rsidR="00126D5B" w:rsidRPr="00F268E8" w:rsidRDefault="00126D5B" w:rsidP="00126D5B">
      <w:pPr>
        <w:pStyle w:val="Sinespaciado"/>
        <w:spacing w:line="276" w:lineRule="auto"/>
        <w:jc w:val="both"/>
        <w:rPr>
          <w:rFonts w:cs="Arial"/>
          <w:sz w:val="23"/>
          <w:szCs w:val="23"/>
        </w:rPr>
      </w:pPr>
      <w:r w:rsidRPr="00F268E8">
        <w:rPr>
          <w:rFonts w:cs="Arial"/>
          <w:sz w:val="23"/>
          <w:szCs w:val="23"/>
        </w:rPr>
        <w:lastRenderedPageBreak/>
        <w:t xml:space="preserve"> </w:t>
      </w:r>
    </w:p>
    <w:p w:rsidR="00126D5B" w:rsidRPr="00F268E8" w:rsidRDefault="007B03A7" w:rsidP="00126D5B">
      <w:pPr>
        <w:pStyle w:val="Sinespaciado"/>
        <w:spacing w:line="276" w:lineRule="auto"/>
        <w:jc w:val="both"/>
        <w:rPr>
          <w:rFonts w:cs="Arial"/>
          <w:sz w:val="23"/>
          <w:szCs w:val="23"/>
        </w:rPr>
      </w:pPr>
      <w:r>
        <w:rPr>
          <w:rFonts w:cs="Arial"/>
          <w:sz w:val="23"/>
          <w:szCs w:val="23"/>
        </w:rPr>
        <w:t>5</w:t>
      </w:r>
      <w:r w:rsidR="00126D5B" w:rsidRPr="00F268E8">
        <w:rPr>
          <w:rFonts w:cs="Arial"/>
          <w:sz w:val="23"/>
          <w:szCs w:val="23"/>
        </w:rPr>
        <w:t xml:space="preserve">. Acreencias laborales e indemnizaciones que se dijo en el artículo 19 del Decreto 2013 de 2012, modificado por el decreto 652 de 2014, se pagarán con cargo a los recursos del ISS en liquidación y de no ser suficientes, la Nación los asumirá con cargo al presupuesto general de la nación.   </w:t>
      </w:r>
    </w:p>
    <w:p w:rsidR="00126D5B" w:rsidRPr="00F268E8" w:rsidRDefault="00126D5B" w:rsidP="00126D5B">
      <w:pPr>
        <w:pStyle w:val="Sinespaciado"/>
        <w:spacing w:line="276" w:lineRule="auto"/>
        <w:jc w:val="both"/>
        <w:rPr>
          <w:rFonts w:cs="Arial"/>
          <w:sz w:val="23"/>
          <w:szCs w:val="23"/>
        </w:rPr>
      </w:pPr>
    </w:p>
    <w:p w:rsidR="00126D5B" w:rsidRPr="00F268E8" w:rsidRDefault="007B03A7" w:rsidP="00126D5B">
      <w:pPr>
        <w:pStyle w:val="Sinespaciado"/>
        <w:spacing w:line="276" w:lineRule="auto"/>
        <w:jc w:val="both"/>
        <w:rPr>
          <w:rFonts w:cs="Arial"/>
          <w:sz w:val="23"/>
          <w:szCs w:val="23"/>
        </w:rPr>
      </w:pPr>
      <w:r>
        <w:rPr>
          <w:rFonts w:cs="Arial"/>
          <w:sz w:val="23"/>
          <w:szCs w:val="23"/>
        </w:rPr>
        <w:t>6</w:t>
      </w:r>
      <w:r w:rsidR="00126D5B" w:rsidRPr="00F268E8">
        <w:rPr>
          <w:rFonts w:cs="Arial"/>
          <w:sz w:val="23"/>
          <w:szCs w:val="23"/>
        </w:rPr>
        <w:t xml:space="preserve">. En relación con la obligación de la Nación, </w:t>
      </w:r>
      <w:r w:rsidR="002C63AE">
        <w:rPr>
          <w:rFonts w:cs="Arial"/>
          <w:sz w:val="23"/>
          <w:szCs w:val="23"/>
        </w:rPr>
        <w:t>le orden</w:t>
      </w:r>
      <w:r w:rsidR="00126D5B" w:rsidRPr="00F268E8">
        <w:rPr>
          <w:rFonts w:cs="Arial"/>
          <w:sz w:val="23"/>
          <w:szCs w:val="23"/>
        </w:rPr>
        <w:t>ó la Sección 5</w:t>
      </w:r>
      <w:r w:rsidR="00743930">
        <w:rPr>
          <w:rFonts w:cs="Arial"/>
          <w:sz w:val="23"/>
          <w:szCs w:val="23"/>
        </w:rPr>
        <w:t xml:space="preserve">ª </w:t>
      </w:r>
      <w:r w:rsidR="00126D5B" w:rsidRPr="00F268E8">
        <w:rPr>
          <w:rFonts w:cs="Arial"/>
          <w:sz w:val="23"/>
          <w:szCs w:val="23"/>
        </w:rPr>
        <w:t>del Consejo de Estado</w:t>
      </w:r>
      <w:r w:rsidR="002C63AE">
        <w:rPr>
          <w:rFonts w:cs="Arial"/>
          <w:sz w:val="23"/>
          <w:szCs w:val="23"/>
        </w:rPr>
        <w:t xml:space="preserve"> </w:t>
      </w:r>
      <w:r w:rsidR="00126D5B" w:rsidRPr="00F268E8">
        <w:rPr>
          <w:rFonts w:cs="Arial"/>
          <w:sz w:val="23"/>
          <w:szCs w:val="23"/>
        </w:rPr>
        <w:t>dentro de la acción de cumplimiento,</w:t>
      </w:r>
      <w:r w:rsidR="002C63AE">
        <w:rPr>
          <w:rFonts w:cs="Arial"/>
          <w:sz w:val="23"/>
          <w:szCs w:val="23"/>
        </w:rPr>
        <w:t xml:space="preserve"> </w:t>
      </w:r>
      <w:r w:rsidR="002C63AE" w:rsidRPr="00F268E8">
        <w:rPr>
          <w:rFonts w:cs="Arial"/>
          <w:sz w:val="23"/>
          <w:szCs w:val="23"/>
        </w:rPr>
        <w:t xml:space="preserve">en sentencia proferida el 15-12-2015, </w:t>
      </w:r>
      <w:r w:rsidR="00126D5B" w:rsidRPr="00F268E8">
        <w:rPr>
          <w:rFonts w:cs="Arial"/>
          <w:sz w:val="23"/>
          <w:szCs w:val="23"/>
        </w:rPr>
        <w:t xml:space="preserve"> dispusiera sobre la subrogación de las obligaciones del ISS liquidado en materia de sentencias condenatorias, en acciones contractuales o extracontractuales.</w:t>
      </w:r>
    </w:p>
    <w:p w:rsidR="00126D5B" w:rsidRPr="00F268E8" w:rsidRDefault="00126D5B" w:rsidP="00126D5B">
      <w:pPr>
        <w:pStyle w:val="Sinespaciado"/>
        <w:spacing w:line="276" w:lineRule="auto"/>
        <w:jc w:val="both"/>
        <w:rPr>
          <w:rFonts w:cs="Arial"/>
          <w:sz w:val="23"/>
          <w:szCs w:val="23"/>
        </w:rPr>
      </w:pPr>
    </w:p>
    <w:p w:rsidR="00126D5B" w:rsidRPr="00F268E8" w:rsidRDefault="00126D5B" w:rsidP="00126D5B">
      <w:pPr>
        <w:pStyle w:val="Sinespaciado"/>
        <w:spacing w:line="276" w:lineRule="auto"/>
        <w:jc w:val="both"/>
        <w:rPr>
          <w:rFonts w:cs="Arial"/>
          <w:sz w:val="23"/>
          <w:szCs w:val="23"/>
        </w:rPr>
      </w:pPr>
      <w:r w:rsidRPr="00F268E8">
        <w:rPr>
          <w:rFonts w:cs="Arial"/>
          <w:sz w:val="23"/>
          <w:szCs w:val="23"/>
        </w:rPr>
        <w:t xml:space="preserve">Fue así que se emitió el Decreto 541 de 2016, modificado por el Decreto 2051 del mismo año, donde se estableció la competencia para el pago de las sentencias derivadas de obligaciones contractuales y extracontractuales a cargo del ISS Liquidado, la que recayó en el Ministerio de Salud y Protección Social; lo que se hará con cargo a los activos transferidos por el liquidador al momento de constituir la fiducia mercantil por medio de la cual se constituyó el PAR ISS, en el que la posición de fideicomitente fue cedida al Ministerio de Salud y Protección Social, cuya vocera es la </w:t>
      </w:r>
      <w:proofErr w:type="spellStart"/>
      <w:r w:rsidRPr="00F268E8">
        <w:rPr>
          <w:rFonts w:cs="Arial"/>
          <w:sz w:val="23"/>
          <w:szCs w:val="23"/>
        </w:rPr>
        <w:t>Fiduagraria</w:t>
      </w:r>
      <w:proofErr w:type="spellEnd"/>
      <w:r w:rsidRPr="00F268E8">
        <w:rPr>
          <w:rFonts w:cs="Arial"/>
          <w:sz w:val="23"/>
          <w:szCs w:val="23"/>
        </w:rPr>
        <w:t xml:space="preserve"> </w:t>
      </w:r>
      <w:proofErr w:type="spellStart"/>
      <w:r w:rsidRPr="00F268E8">
        <w:rPr>
          <w:rFonts w:cs="Arial"/>
          <w:sz w:val="23"/>
          <w:szCs w:val="23"/>
        </w:rPr>
        <w:t>SA</w:t>
      </w:r>
      <w:proofErr w:type="spellEnd"/>
      <w:r w:rsidRPr="00F268E8">
        <w:rPr>
          <w:rFonts w:cs="Arial"/>
          <w:sz w:val="23"/>
          <w:szCs w:val="23"/>
        </w:rPr>
        <w:t>, o en su defecto por la Nación – Ministerio atrás citado.</w:t>
      </w:r>
    </w:p>
    <w:p w:rsidR="00126D5B" w:rsidRPr="00F268E8" w:rsidRDefault="00126D5B" w:rsidP="00126D5B">
      <w:pPr>
        <w:spacing w:line="276" w:lineRule="auto"/>
        <w:ind w:left="708" w:right="51"/>
        <w:jc w:val="both"/>
        <w:rPr>
          <w:rFonts w:cs="Arial"/>
          <w:sz w:val="23"/>
          <w:szCs w:val="23"/>
        </w:rPr>
      </w:pPr>
    </w:p>
    <w:p w:rsidR="00126D5B" w:rsidRPr="00F268E8" w:rsidRDefault="007B03A7" w:rsidP="00126D5B">
      <w:pPr>
        <w:spacing w:line="276" w:lineRule="auto"/>
        <w:ind w:right="51"/>
        <w:jc w:val="both"/>
        <w:rPr>
          <w:rFonts w:cs="Arial"/>
          <w:i/>
          <w:sz w:val="23"/>
          <w:szCs w:val="23"/>
        </w:rPr>
      </w:pPr>
      <w:r>
        <w:rPr>
          <w:rFonts w:cs="Arial"/>
          <w:i/>
          <w:sz w:val="23"/>
          <w:szCs w:val="23"/>
        </w:rPr>
        <w:t>7</w:t>
      </w:r>
      <w:r w:rsidR="00126D5B" w:rsidRPr="00F268E8">
        <w:rPr>
          <w:rFonts w:cs="Arial"/>
          <w:i/>
          <w:sz w:val="23"/>
          <w:szCs w:val="23"/>
        </w:rPr>
        <w:t>.</w:t>
      </w:r>
      <w:r w:rsidR="00126D5B" w:rsidRPr="00F268E8">
        <w:rPr>
          <w:rFonts w:cs="Arial"/>
          <w:sz w:val="23"/>
          <w:szCs w:val="23"/>
        </w:rPr>
        <w:t xml:space="preserve"> En este orden de ideas, se colige, como ya lo ha dicho esta Sala Mayoritaria, al acoger los argumentos expuesto en auto del 12-12-2018, donde actuó como magistrado ponente Julio Cesar Salazar Muñoz</w:t>
      </w:r>
      <w:r w:rsidR="00126D5B" w:rsidRPr="00F268E8">
        <w:rPr>
          <w:rStyle w:val="Refdenotaalpie"/>
          <w:rFonts w:cs="Arial"/>
          <w:sz w:val="23"/>
          <w:szCs w:val="23"/>
        </w:rPr>
        <w:footnoteReference w:id="1"/>
      </w:r>
      <w:r w:rsidR="00A60406">
        <w:rPr>
          <w:rFonts w:cs="Arial"/>
          <w:sz w:val="23"/>
          <w:szCs w:val="23"/>
        </w:rPr>
        <w:t>:</w:t>
      </w:r>
      <w:r w:rsidR="00126D5B" w:rsidRPr="00F268E8">
        <w:rPr>
          <w:rFonts w:cs="Arial"/>
          <w:sz w:val="23"/>
          <w:szCs w:val="23"/>
        </w:rPr>
        <w:t xml:space="preserve"> “</w:t>
      </w:r>
      <w:r w:rsidR="00126D5B" w:rsidRPr="00877FA8">
        <w:rPr>
          <w:rFonts w:cs="Arial"/>
          <w:i/>
          <w:sz w:val="22"/>
          <w:szCs w:val="23"/>
        </w:rPr>
        <w:t>No es posible adelantar procesos ejecutivos al margen del proceso liquidatorio, ni mucho menos afectar con embargos los bienes que fueron destinados por el liquidador al cumplimiento de las acreencias oportunamente graduadas en aquel. Permitirlo sería tanto como desvertebrar la totalidad del trabajo realizado al interior de la liquidación, generando caos y desconocimiento de los legítimos derechos de los acreedores que participaron oportunamente en ella</w:t>
      </w:r>
      <w:r w:rsidR="00126D5B" w:rsidRPr="00F268E8">
        <w:rPr>
          <w:rFonts w:cs="Arial"/>
          <w:i/>
          <w:sz w:val="23"/>
          <w:szCs w:val="23"/>
        </w:rPr>
        <w:t>.”.</w:t>
      </w:r>
    </w:p>
    <w:p w:rsidR="00126D5B" w:rsidRPr="00F268E8" w:rsidRDefault="00126D5B" w:rsidP="00126D5B">
      <w:pPr>
        <w:spacing w:line="276" w:lineRule="auto"/>
        <w:ind w:right="51"/>
        <w:jc w:val="both"/>
        <w:rPr>
          <w:rFonts w:cs="Arial"/>
          <w:sz w:val="23"/>
          <w:szCs w:val="23"/>
        </w:rPr>
      </w:pPr>
    </w:p>
    <w:p w:rsidR="00126D5B" w:rsidRDefault="00126D5B" w:rsidP="00126D5B">
      <w:pPr>
        <w:widowControl w:val="0"/>
        <w:autoSpaceDE w:val="0"/>
        <w:autoSpaceDN w:val="0"/>
        <w:adjustRightInd w:val="0"/>
        <w:spacing w:line="276" w:lineRule="auto"/>
        <w:jc w:val="both"/>
        <w:rPr>
          <w:rFonts w:cs="Arial"/>
          <w:i/>
          <w:sz w:val="23"/>
          <w:szCs w:val="23"/>
        </w:rPr>
      </w:pPr>
      <w:r w:rsidRPr="00F268E8">
        <w:rPr>
          <w:rFonts w:cs="Arial"/>
          <w:sz w:val="23"/>
          <w:szCs w:val="23"/>
        </w:rPr>
        <w:t>Por lo tanto, debe remitirse este asunto al Ministerio de Salud y Protección Social, al tenor del artículo 1 del Decreto 541 modificado por el Decreto 1051 de 2016 y no como se había hecho en otras oportunidades, al Patrimonio Autónomo de Remanentes del Instituto de Seguros Sociales, cuya vocera es la FIDUAGRARIA S.A.; al compartirse en este sentido lo expuesto en sede de tutela por la SL de la CSJ en sentencia STL2094-2019, radicado 54418, del 15-02-2019, que se ocupó de un caso con supuestos idénticos a este, donde mantuvo la tesis que ya había sentado en ejecuciones adelantadas en</w:t>
      </w:r>
      <w:r w:rsidRPr="00F268E8">
        <w:rPr>
          <w:rFonts w:cs="Arial"/>
          <w:b/>
          <w:i/>
          <w:sz w:val="23"/>
          <w:szCs w:val="23"/>
        </w:rPr>
        <w:t xml:space="preserve"> </w:t>
      </w:r>
      <w:r w:rsidRPr="00F268E8">
        <w:rPr>
          <w:rFonts w:cs="Arial"/>
          <w:sz w:val="23"/>
          <w:szCs w:val="23"/>
        </w:rPr>
        <w:t xml:space="preserve">Contra El Par </w:t>
      </w:r>
      <w:proofErr w:type="spellStart"/>
      <w:r w:rsidRPr="00F268E8">
        <w:rPr>
          <w:rFonts w:cs="Arial"/>
          <w:sz w:val="23"/>
          <w:szCs w:val="23"/>
        </w:rPr>
        <w:t>Caprecom</w:t>
      </w:r>
      <w:proofErr w:type="spellEnd"/>
      <w:r w:rsidRPr="00F268E8">
        <w:rPr>
          <w:rFonts w:cs="Arial"/>
          <w:sz w:val="23"/>
          <w:szCs w:val="23"/>
        </w:rPr>
        <w:t xml:space="preserve"> en las sentencias </w:t>
      </w:r>
      <w:r w:rsidRPr="00F268E8">
        <w:rPr>
          <w:rFonts w:cs="Arial"/>
          <w:i/>
          <w:sz w:val="23"/>
          <w:szCs w:val="23"/>
        </w:rPr>
        <w:t xml:space="preserve">de tutela STL 8189-2018 y STL 14357-2018.  </w:t>
      </w:r>
    </w:p>
    <w:p w:rsidR="007957FD" w:rsidRDefault="007957FD" w:rsidP="00126D5B">
      <w:pPr>
        <w:widowControl w:val="0"/>
        <w:autoSpaceDE w:val="0"/>
        <w:autoSpaceDN w:val="0"/>
        <w:adjustRightInd w:val="0"/>
        <w:spacing w:line="276" w:lineRule="auto"/>
        <w:jc w:val="both"/>
        <w:rPr>
          <w:rFonts w:cs="Arial"/>
          <w:i/>
          <w:sz w:val="23"/>
          <w:szCs w:val="23"/>
        </w:rPr>
      </w:pPr>
    </w:p>
    <w:p w:rsidR="007957FD" w:rsidRPr="007957FD" w:rsidRDefault="00E87B26" w:rsidP="00126D5B">
      <w:pPr>
        <w:widowControl w:val="0"/>
        <w:autoSpaceDE w:val="0"/>
        <w:autoSpaceDN w:val="0"/>
        <w:adjustRightInd w:val="0"/>
        <w:spacing w:line="276" w:lineRule="auto"/>
        <w:jc w:val="both"/>
        <w:rPr>
          <w:rFonts w:cs="Arial"/>
          <w:sz w:val="23"/>
          <w:szCs w:val="23"/>
        </w:rPr>
      </w:pPr>
      <w:r>
        <w:rPr>
          <w:rFonts w:cs="Arial"/>
          <w:sz w:val="23"/>
          <w:szCs w:val="23"/>
        </w:rPr>
        <w:t xml:space="preserve">8. </w:t>
      </w:r>
      <w:r w:rsidR="007957FD">
        <w:rPr>
          <w:rFonts w:cs="Arial"/>
          <w:sz w:val="23"/>
          <w:szCs w:val="23"/>
        </w:rPr>
        <w:t xml:space="preserve">Se reconoce personería para actuar al abogado Juan Martín Arango Medina, portador de la tarjeta profesional número 232.594 del Consejo Superior de la Judicatura, para los efectos y con las facultades conferidas por la ejecutada Nación – Ministerio de Salud y Protección Social.  </w:t>
      </w:r>
    </w:p>
    <w:p w:rsidR="00126D5B" w:rsidRPr="00F268E8" w:rsidRDefault="00126D5B" w:rsidP="00126D5B">
      <w:pPr>
        <w:pStyle w:val="Textoindependiente"/>
        <w:spacing w:line="276" w:lineRule="auto"/>
        <w:rPr>
          <w:rFonts w:ascii="Arial" w:hAnsi="Arial" w:cs="Arial"/>
          <w:b/>
          <w:sz w:val="23"/>
          <w:szCs w:val="23"/>
        </w:rPr>
      </w:pPr>
    </w:p>
    <w:p w:rsidR="00126D5B" w:rsidRPr="00F268E8" w:rsidRDefault="00126D5B" w:rsidP="00126D5B">
      <w:pPr>
        <w:pStyle w:val="Textoindependiente"/>
        <w:spacing w:line="276" w:lineRule="auto"/>
        <w:jc w:val="center"/>
        <w:rPr>
          <w:rFonts w:ascii="Arial" w:hAnsi="Arial" w:cs="Arial"/>
          <w:b/>
          <w:sz w:val="23"/>
          <w:szCs w:val="23"/>
        </w:rPr>
      </w:pPr>
      <w:r w:rsidRPr="00F268E8">
        <w:rPr>
          <w:rFonts w:ascii="Arial" w:hAnsi="Arial" w:cs="Arial"/>
          <w:b/>
          <w:sz w:val="23"/>
          <w:szCs w:val="23"/>
        </w:rPr>
        <w:t>CONCLUSIÓN</w:t>
      </w:r>
    </w:p>
    <w:p w:rsidR="00126D5B" w:rsidRPr="00F268E8" w:rsidRDefault="00126D5B" w:rsidP="00126D5B">
      <w:pPr>
        <w:pStyle w:val="Textoindependiente"/>
        <w:spacing w:line="276" w:lineRule="auto"/>
        <w:jc w:val="center"/>
        <w:rPr>
          <w:rFonts w:ascii="Arial" w:hAnsi="Arial" w:cs="Arial"/>
          <w:b/>
          <w:sz w:val="23"/>
          <w:szCs w:val="23"/>
        </w:rPr>
      </w:pPr>
    </w:p>
    <w:p w:rsidR="00126D5B" w:rsidRPr="00F268E8" w:rsidRDefault="00126D5B" w:rsidP="00126D5B">
      <w:pPr>
        <w:widowControl w:val="0"/>
        <w:autoSpaceDE w:val="0"/>
        <w:autoSpaceDN w:val="0"/>
        <w:adjustRightInd w:val="0"/>
        <w:spacing w:line="276" w:lineRule="auto"/>
        <w:jc w:val="both"/>
        <w:rPr>
          <w:rFonts w:cs="Arial"/>
          <w:sz w:val="23"/>
          <w:szCs w:val="23"/>
        </w:rPr>
      </w:pPr>
      <w:r w:rsidRPr="00F268E8">
        <w:rPr>
          <w:rFonts w:cs="Arial"/>
          <w:sz w:val="23"/>
          <w:szCs w:val="23"/>
        </w:rPr>
        <w:t>A tono con lo expuesto, esta Sala declarará la incompetencia para conocer de este asunto por los jueces laborales, y dejar</w:t>
      </w:r>
      <w:r w:rsidR="00743930">
        <w:rPr>
          <w:rFonts w:cs="Arial"/>
          <w:sz w:val="23"/>
          <w:szCs w:val="23"/>
        </w:rPr>
        <w:t xml:space="preserve">á </w:t>
      </w:r>
      <w:r w:rsidRPr="00F268E8">
        <w:rPr>
          <w:rFonts w:cs="Arial"/>
          <w:sz w:val="23"/>
          <w:szCs w:val="23"/>
        </w:rPr>
        <w:t xml:space="preserve">sin valor las actuaciones surtidas en ambas instancias, con el consecuente levantamiento de las medidas cautelares y orden de remisión del proceso en original, contentivo de esta ejecución, al Ministerio de la Salud y Protección </w:t>
      </w:r>
      <w:r w:rsidRPr="00F268E8">
        <w:rPr>
          <w:rFonts w:cs="Arial"/>
          <w:sz w:val="23"/>
          <w:szCs w:val="23"/>
        </w:rPr>
        <w:lastRenderedPageBreak/>
        <w:t xml:space="preserve">Social, para que obre de conformidad con los Decretos 541 de 2016, modificado por el 1051 del mismo año. </w:t>
      </w:r>
    </w:p>
    <w:p w:rsidR="00126D5B" w:rsidRDefault="00126D5B" w:rsidP="00126D5B">
      <w:pPr>
        <w:widowControl w:val="0"/>
        <w:autoSpaceDE w:val="0"/>
        <w:autoSpaceDN w:val="0"/>
        <w:adjustRightInd w:val="0"/>
        <w:spacing w:line="276" w:lineRule="auto"/>
        <w:jc w:val="both"/>
        <w:rPr>
          <w:rFonts w:cs="Arial"/>
          <w:sz w:val="23"/>
          <w:szCs w:val="23"/>
        </w:rPr>
      </w:pPr>
    </w:p>
    <w:p w:rsidR="00126D5B" w:rsidRDefault="00126D5B" w:rsidP="00126D5B">
      <w:pPr>
        <w:widowControl w:val="0"/>
        <w:autoSpaceDE w:val="0"/>
        <w:autoSpaceDN w:val="0"/>
        <w:adjustRightInd w:val="0"/>
        <w:spacing w:line="276" w:lineRule="auto"/>
        <w:jc w:val="both"/>
        <w:rPr>
          <w:rFonts w:cs="Arial"/>
          <w:sz w:val="23"/>
          <w:szCs w:val="23"/>
        </w:rPr>
      </w:pPr>
      <w:r>
        <w:rPr>
          <w:rFonts w:cs="Arial"/>
          <w:sz w:val="23"/>
          <w:szCs w:val="23"/>
        </w:rPr>
        <w:t>Sin costas en esta instancia por no haberse causado.</w:t>
      </w:r>
    </w:p>
    <w:p w:rsidR="00126D5B" w:rsidRPr="00F268E8" w:rsidRDefault="00126D5B" w:rsidP="00126D5B">
      <w:pPr>
        <w:widowControl w:val="0"/>
        <w:autoSpaceDE w:val="0"/>
        <w:autoSpaceDN w:val="0"/>
        <w:adjustRightInd w:val="0"/>
        <w:spacing w:line="276" w:lineRule="auto"/>
        <w:jc w:val="both"/>
        <w:rPr>
          <w:rFonts w:cs="Arial"/>
          <w:sz w:val="23"/>
          <w:szCs w:val="23"/>
        </w:rPr>
      </w:pPr>
    </w:p>
    <w:p w:rsidR="00126D5B" w:rsidRPr="00F268E8" w:rsidRDefault="00126D5B" w:rsidP="00126D5B">
      <w:pPr>
        <w:pStyle w:val="Standard"/>
        <w:spacing w:line="276" w:lineRule="auto"/>
        <w:jc w:val="center"/>
        <w:rPr>
          <w:rFonts w:ascii="Arial" w:hAnsi="Arial" w:cs="Arial"/>
          <w:b/>
          <w:sz w:val="23"/>
          <w:szCs w:val="23"/>
        </w:rPr>
      </w:pPr>
      <w:r w:rsidRPr="00F268E8">
        <w:rPr>
          <w:rFonts w:ascii="Arial" w:hAnsi="Arial" w:cs="Arial"/>
          <w:b/>
          <w:sz w:val="23"/>
          <w:szCs w:val="23"/>
        </w:rPr>
        <w:t>DECISIÓN</w:t>
      </w:r>
    </w:p>
    <w:p w:rsidR="00126D5B" w:rsidRPr="00F268E8" w:rsidRDefault="00126D5B" w:rsidP="00126D5B">
      <w:pPr>
        <w:pStyle w:val="Standard"/>
        <w:spacing w:line="276" w:lineRule="auto"/>
        <w:jc w:val="center"/>
        <w:rPr>
          <w:rFonts w:ascii="Arial" w:hAnsi="Arial" w:cs="Arial"/>
          <w:b/>
          <w:sz w:val="23"/>
          <w:szCs w:val="23"/>
        </w:rPr>
      </w:pPr>
    </w:p>
    <w:p w:rsidR="00126D5B" w:rsidRPr="00F268E8" w:rsidRDefault="00126D5B" w:rsidP="00126D5B">
      <w:pPr>
        <w:widowControl w:val="0"/>
        <w:autoSpaceDE w:val="0"/>
        <w:autoSpaceDN w:val="0"/>
        <w:adjustRightInd w:val="0"/>
        <w:spacing w:line="276" w:lineRule="auto"/>
        <w:jc w:val="both"/>
        <w:rPr>
          <w:rFonts w:cs="Arial"/>
          <w:b/>
          <w:sz w:val="23"/>
          <w:szCs w:val="23"/>
        </w:rPr>
      </w:pPr>
      <w:r w:rsidRPr="00F268E8">
        <w:rPr>
          <w:rFonts w:cs="Arial"/>
          <w:b/>
          <w:sz w:val="23"/>
          <w:szCs w:val="23"/>
        </w:rPr>
        <w:t xml:space="preserve">En mérito de lo expuesto, la Sala Primera de Decisión Laboral del Tribunal Superior de Distrito Judicial de Pereira - Risaralda, </w:t>
      </w:r>
    </w:p>
    <w:p w:rsidR="00126D5B" w:rsidRPr="00F268E8" w:rsidRDefault="00126D5B" w:rsidP="00126D5B">
      <w:pPr>
        <w:pStyle w:val="Standard"/>
        <w:spacing w:line="276" w:lineRule="auto"/>
        <w:ind w:firstLine="708"/>
        <w:jc w:val="both"/>
        <w:rPr>
          <w:rFonts w:ascii="Arial" w:hAnsi="Arial" w:cs="Arial"/>
          <w:sz w:val="23"/>
          <w:szCs w:val="23"/>
        </w:rPr>
      </w:pPr>
    </w:p>
    <w:p w:rsidR="00126D5B" w:rsidRPr="00F268E8" w:rsidRDefault="00126D5B" w:rsidP="00126D5B">
      <w:pPr>
        <w:pStyle w:val="Standard"/>
        <w:spacing w:line="276" w:lineRule="auto"/>
        <w:ind w:left="3540"/>
        <w:rPr>
          <w:rFonts w:ascii="Arial" w:hAnsi="Arial" w:cs="Arial"/>
          <w:b/>
          <w:sz w:val="23"/>
          <w:szCs w:val="23"/>
        </w:rPr>
      </w:pPr>
      <w:r w:rsidRPr="00F268E8">
        <w:rPr>
          <w:rFonts w:ascii="Arial" w:hAnsi="Arial" w:cs="Arial"/>
          <w:b/>
          <w:sz w:val="23"/>
          <w:szCs w:val="23"/>
        </w:rPr>
        <w:t xml:space="preserve">    RESUELVE</w:t>
      </w:r>
    </w:p>
    <w:p w:rsidR="00126D5B" w:rsidRPr="00F268E8" w:rsidRDefault="00126D5B" w:rsidP="00126D5B">
      <w:pPr>
        <w:pStyle w:val="Standard"/>
        <w:spacing w:line="276" w:lineRule="auto"/>
        <w:ind w:left="3540"/>
        <w:rPr>
          <w:rFonts w:ascii="Arial" w:hAnsi="Arial" w:cs="Arial"/>
          <w:b/>
          <w:sz w:val="23"/>
          <w:szCs w:val="23"/>
        </w:rPr>
      </w:pPr>
    </w:p>
    <w:p w:rsidR="00126D5B" w:rsidRPr="00F268E8" w:rsidRDefault="00E87B26" w:rsidP="00126D5B">
      <w:pPr>
        <w:widowControl w:val="0"/>
        <w:autoSpaceDE w:val="0"/>
        <w:autoSpaceDN w:val="0"/>
        <w:adjustRightInd w:val="0"/>
        <w:spacing w:line="276" w:lineRule="auto"/>
        <w:jc w:val="both"/>
        <w:rPr>
          <w:rFonts w:cs="Arial"/>
          <w:sz w:val="23"/>
          <w:szCs w:val="23"/>
        </w:rPr>
      </w:pPr>
      <w:r>
        <w:rPr>
          <w:rFonts w:cs="Arial"/>
          <w:b/>
          <w:sz w:val="23"/>
          <w:szCs w:val="23"/>
        </w:rPr>
        <w:t>PRIMER.</w:t>
      </w:r>
      <w:r w:rsidR="00126D5B" w:rsidRPr="00F268E8">
        <w:rPr>
          <w:rFonts w:cs="Arial"/>
          <w:b/>
          <w:sz w:val="23"/>
          <w:szCs w:val="23"/>
        </w:rPr>
        <w:t xml:space="preserve"> DECLARAR</w:t>
      </w:r>
      <w:r w:rsidR="00126D5B" w:rsidRPr="00F268E8">
        <w:rPr>
          <w:rFonts w:cs="Arial"/>
          <w:sz w:val="23"/>
          <w:szCs w:val="23"/>
        </w:rPr>
        <w:t xml:space="preserve"> la incompetencia del Juzgado </w:t>
      </w:r>
      <w:r w:rsidR="00081F68">
        <w:rPr>
          <w:rFonts w:cs="Arial"/>
          <w:sz w:val="23"/>
          <w:szCs w:val="23"/>
        </w:rPr>
        <w:t>Tercero</w:t>
      </w:r>
      <w:r w:rsidR="00126D5B" w:rsidRPr="00F268E8">
        <w:rPr>
          <w:rFonts w:cs="Arial"/>
          <w:sz w:val="23"/>
          <w:szCs w:val="23"/>
        </w:rPr>
        <w:t xml:space="preserve"> Laboral del Circuito de Pereira para adelantar la ejecución laboral pretendida por </w:t>
      </w:r>
      <w:r w:rsidR="00081F68">
        <w:rPr>
          <w:rFonts w:cs="Arial"/>
          <w:sz w:val="23"/>
          <w:szCs w:val="23"/>
        </w:rPr>
        <w:t xml:space="preserve">Blanca Ruth Uribe Holguín </w:t>
      </w:r>
      <w:r w:rsidR="00126D5B" w:rsidRPr="00F268E8">
        <w:rPr>
          <w:rFonts w:cs="Arial"/>
          <w:sz w:val="23"/>
          <w:szCs w:val="23"/>
        </w:rPr>
        <w:t>en contra el Patrimonio Autónomo de Remanentes del Instituto de Seguros Sociales, cuya vocera es la FIDUAGRARIA S.A.</w:t>
      </w:r>
      <w:r w:rsidR="00091EFC">
        <w:rPr>
          <w:rFonts w:cs="Arial"/>
          <w:sz w:val="23"/>
          <w:szCs w:val="23"/>
        </w:rPr>
        <w:t>, trámite al que fue vinculada la Nación – Ministerio de la Protección Social.</w:t>
      </w:r>
    </w:p>
    <w:p w:rsidR="00126D5B" w:rsidRPr="00F268E8" w:rsidRDefault="00126D5B" w:rsidP="00126D5B">
      <w:pPr>
        <w:widowControl w:val="0"/>
        <w:autoSpaceDE w:val="0"/>
        <w:autoSpaceDN w:val="0"/>
        <w:adjustRightInd w:val="0"/>
        <w:spacing w:line="276" w:lineRule="auto"/>
        <w:jc w:val="both"/>
        <w:rPr>
          <w:rFonts w:cs="Arial"/>
          <w:b/>
          <w:sz w:val="23"/>
          <w:szCs w:val="23"/>
        </w:rPr>
      </w:pPr>
    </w:p>
    <w:p w:rsidR="00126D5B" w:rsidRPr="00F268E8" w:rsidRDefault="00126D5B" w:rsidP="00126D5B">
      <w:pPr>
        <w:widowControl w:val="0"/>
        <w:autoSpaceDE w:val="0"/>
        <w:autoSpaceDN w:val="0"/>
        <w:adjustRightInd w:val="0"/>
        <w:spacing w:line="276" w:lineRule="auto"/>
        <w:jc w:val="both"/>
        <w:rPr>
          <w:rFonts w:cs="Arial"/>
          <w:sz w:val="23"/>
          <w:szCs w:val="23"/>
        </w:rPr>
      </w:pPr>
      <w:r w:rsidRPr="00F268E8">
        <w:rPr>
          <w:rFonts w:cs="Arial"/>
          <w:b/>
          <w:sz w:val="23"/>
          <w:szCs w:val="23"/>
        </w:rPr>
        <w:t xml:space="preserve">SEGUNDO. DEJAR </w:t>
      </w:r>
      <w:r w:rsidRPr="00F268E8">
        <w:rPr>
          <w:rFonts w:cs="Arial"/>
          <w:sz w:val="23"/>
          <w:szCs w:val="23"/>
        </w:rPr>
        <w:t xml:space="preserve">sin efecto las actuaciones surtidas en ambas instancias y en consecuencia, </w:t>
      </w:r>
      <w:r w:rsidRPr="00F268E8">
        <w:rPr>
          <w:rFonts w:cs="Arial"/>
          <w:b/>
          <w:sz w:val="23"/>
          <w:szCs w:val="23"/>
        </w:rPr>
        <w:t>LEVANTAR</w:t>
      </w:r>
      <w:r w:rsidRPr="00F268E8">
        <w:rPr>
          <w:rFonts w:cs="Arial"/>
          <w:sz w:val="23"/>
          <w:szCs w:val="23"/>
        </w:rPr>
        <w:t xml:space="preserve"> la medidas cautelares decretadas en este asunto</w:t>
      </w:r>
      <w:r>
        <w:rPr>
          <w:rFonts w:cs="Arial"/>
          <w:sz w:val="23"/>
          <w:szCs w:val="23"/>
        </w:rPr>
        <w:t xml:space="preserve"> sobre los bienes que conforman el PAR ISS y que se encuentre</w:t>
      </w:r>
      <w:r w:rsidR="00743930">
        <w:rPr>
          <w:rFonts w:cs="Arial"/>
          <w:sz w:val="23"/>
          <w:szCs w:val="23"/>
        </w:rPr>
        <w:t>n</w:t>
      </w:r>
      <w:r>
        <w:rPr>
          <w:rFonts w:cs="Arial"/>
          <w:sz w:val="23"/>
          <w:szCs w:val="23"/>
        </w:rPr>
        <w:t xml:space="preserve"> vigente</w:t>
      </w:r>
      <w:r w:rsidR="00743930">
        <w:rPr>
          <w:rFonts w:cs="Arial"/>
          <w:sz w:val="23"/>
          <w:szCs w:val="23"/>
        </w:rPr>
        <w:t>s</w:t>
      </w:r>
      <w:r w:rsidRPr="00F268E8">
        <w:rPr>
          <w:rFonts w:cs="Arial"/>
          <w:sz w:val="23"/>
          <w:szCs w:val="23"/>
        </w:rPr>
        <w:t xml:space="preserve">. </w:t>
      </w:r>
    </w:p>
    <w:p w:rsidR="00126D5B" w:rsidRPr="00F268E8" w:rsidRDefault="00126D5B" w:rsidP="00126D5B">
      <w:pPr>
        <w:widowControl w:val="0"/>
        <w:autoSpaceDE w:val="0"/>
        <w:autoSpaceDN w:val="0"/>
        <w:adjustRightInd w:val="0"/>
        <w:spacing w:line="276" w:lineRule="auto"/>
        <w:jc w:val="both"/>
        <w:rPr>
          <w:rFonts w:cs="Arial"/>
          <w:b/>
          <w:sz w:val="23"/>
          <w:szCs w:val="23"/>
        </w:rPr>
      </w:pPr>
    </w:p>
    <w:p w:rsidR="00126D5B" w:rsidRPr="00F268E8" w:rsidRDefault="00126D5B" w:rsidP="00126D5B">
      <w:pPr>
        <w:widowControl w:val="0"/>
        <w:autoSpaceDE w:val="0"/>
        <w:autoSpaceDN w:val="0"/>
        <w:adjustRightInd w:val="0"/>
        <w:spacing w:line="276" w:lineRule="auto"/>
        <w:jc w:val="both"/>
        <w:rPr>
          <w:rFonts w:cs="Arial"/>
          <w:sz w:val="23"/>
          <w:szCs w:val="23"/>
        </w:rPr>
      </w:pPr>
      <w:r w:rsidRPr="00F268E8">
        <w:rPr>
          <w:rFonts w:cs="Arial"/>
          <w:b/>
          <w:sz w:val="23"/>
          <w:szCs w:val="23"/>
        </w:rPr>
        <w:t xml:space="preserve">TERCERO. </w:t>
      </w:r>
      <w:r>
        <w:rPr>
          <w:rFonts w:cs="Arial"/>
          <w:b/>
          <w:sz w:val="23"/>
          <w:szCs w:val="23"/>
        </w:rPr>
        <w:t xml:space="preserve">ORDENAR </w:t>
      </w:r>
      <w:r>
        <w:rPr>
          <w:rFonts w:cs="Arial"/>
          <w:sz w:val="23"/>
          <w:szCs w:val="23"/>
        </w:rPr>
        <w:t xml:space="preserve">al Juzgado </w:t>
      </w:r>
      <w:r w:rsidRPr="00F268E8">
        <w:rPr>
          <w:rFonts w:cs="Arial"/>
          <w:sz w:val="23"/>
          <w:szCs w:val="23"/>
        </w:rPr>
        <w:t xml:space="preserve">que </w:t>
      </w:r>
      <w:r>
        <w:rPr>
          <w:rFonts w:cs="Arial"/>
          <w:sz w:val="23"/>
          <w:szCs w:val="23"/>
        </w:rPr>
        <w:t xml:space="preserve">remita el expediente </w:t>
      </w:r>
      <w:r w:rsidRPr="00F268E8">
        <w:rPr>
          <w:rFonts w:cs="Arial"/>
          <w:sz w:val="23"/>
          <w:szCs w:val="23"/>
        </w:rPr>
        <w:t>en original al Ministerio de Salud y Protección Social, para l</w:t>
      </w:r>
      <w:r w:rsidR="00743930">
        <w:rPr>
          <w:rFonts w:cs="Arial"/>
          <w:sz w:val="23"/>
          <w:szCs w:val="23"/>
        </w:rPr>
        <w:t>o de su competencia conforme al</w:t>
      </w:r>
      <w:r w:rsidRPr="00F268E8">
        <w:rPr>
          <w:rFonts w:cs="Arial"/>
          <w:sz w:val="23"/>
          <w:szCs w:val="23"/>
        </w:rPr>
        <w:t xml:space="preserve"> </w:t>
      </w:r>
      <w:r w:rsidR="00743930">
        <w:rPr>
          <w:rFonts w:cs="Arial"/>
          <w:sz w:val="23"/>
          <w:szCs w:val="23"/>
        </w:rPr>
        <w:t>Decreto</w:t>
      </w:r>
      <w:r w:rsidRPr="00F268E8">
        <w:rPr>
          <w:rFonts w:cs="Arial"/>
          <w:sz w:val="23"/>
          <w:szCs w:val="23"/>
        </w:rPr>
        <w:t xml:space="preserve"> </w:t>
      </w:r>
      <w:r w:rsidR="00743930">
        <w:rPr>
          <w:rFonts w:cs="Arial"/>
          <w:sz w:val="23"/>
          <w:szCs w:val="23"/>
        </w:rPr>
        <w:t>541 de 2016, modificado por el D</w:t>
      </w:r>
      <w:r w:rsidRPr="00F268E8">
        <w:rPr>
          <w:rFonts w:cs="Arial"/>
          <w:sz w:val="23"/>
          <w:szCs w:val="23"/>
        </w:rPr>
        <w:t xml:space="preserve">ecreto 1051 del mismo año.   </w:t>
      </w:r>
    </w:p>
    <w:p w:rsidR="00126D5B" w:rsidRPr="002D0D27" w:rsidRDefault="00126D5B" w:rsidP="00126D5B">
      <w:pPr>
        <w:widowControl w:val="0"/>
        <w:autoSpaceDE w:val="0"/>
        <w:autoSpaceDN w:val="0"/>
        <w:adjustRightInd w:val="0"/>
        <w:spacing w:line="276" w:lineRule="auto"/>
        <w:jc w:val="both"/>
        <w:rPr>
          <w:rFonts w:cs="Arial"/>
          <w:b/>
          <w:sz w:val="23"/>
          <w:szCs w:val="23"/>
        </w:rPr>
      </w:pPr>
    </w:p>
    <w:p w:rsidR="00126D5B" w:rsidRDefault="00126D5B" w:rsidP="00126D5B">
      <w:pPr>
        <w:widowControl w:val="0"/>
        <w:autoSpaceDE w:val="0"/>
        <w:autoSpaceDN w:val="0"/>
        <w:adjustRightInd w:val="0"/>
        <w:spacing w:line="276" w:lineRule="auto"/>
        <w:jc w:val="both"/>
        <w:rPr>
          <w:rFonts w:cs="Arial"/>
          <w:b/>
          <w:sz w:val="23"/>
          <w:szCs w:val="23"/>
        </w:rPr>
      </w:pPr>
      <w:r w:rsidRPr="002D0D27">
        <w:rPr>
          <w:rFonts w:cs="Arial"/>
          <w:b/>
          <w:sz w:val="23"/>
          <w:szCs w:val="23"/>
        </w:rPr>
        <w:t>CUARTO</w:t>
      </w:r>
      <w:r>
        <w:rPr>
          <w:rFonts w:cs="Arial"/>
          <w:b/>
          <w:sz w:val="23"/>
          <w:szCs w:val="23"/>
        </w:rPr>
        <w:t>. Sin costas</w:t>
      </w:r>
      <w:r w:rsidR="004F2985">
        <w:rPr>
          <w:rFonts w:cs="Arial"/>
          <w:b/>
          <w:sz w:val="23"/>
          <w:szCs w:val="23"/>
        </w:rPr>
        <w:t xml:space="preserve">  </w:t>
      </w:r>
      <w:r w:rsidR="004F2985">
        <w:rPr>
          <w:rFonts w:cs="Arial"/>
          <w:sz w:val="23"/>
          <w:szCs w:val="23"/>
        </w:rPr>
        <w:t>por lo mencionado</w:t>
      </w:r>
      <w:r>
        <w:rPr>
          <w:rFonts w:cs="Arial"/>
          <w:b/>
          <w:sz w:val="23"/>
          <w:szCs w:val="23"/>
        </w:rPr>
        <w:t>.</w:t>
      </w:r>
    </w:p>
    <w:p w:rsidR="00126D5B" w:rsidRDefault="00126D5B" w:rsidP="00126D5B">
      <w:pPr>
        <w:widowControl w:val="0"/>
        <w:autoSpaceDE w:val="0"/>
        <w:autoSpaceDN w:val="0"/>
        <w:adjustRightInd w:val="0"/>
        <w:spacing w:line="276" w:lineRule="auto"/>
        <w:jc w:val="both"/>
        <w:rPr>
          <w:rFonts w:cs="Arial"/>
          <w:b/>
          <w:sz w:val="23"/>
          <w:szCs w:val="23"/>
        </w:rPr>
      </w:pPr>
    </w:p>
    <w:p w:rsidR="00126D5B" w:rsidRDefault="00126D5B" w:rsidP="00126D5B">
      <w:pPr>
        <w:widowControl w:val="0"/>
        <w:autoSpaceDE w:val="0"/>
        <w:autoSpaceDN w:val="0"/>
        <w:adjustRightInd w:val="0"/>
        <w:spacing w:line="276" w:lineRule="auto"/>
        <w:jc w:val="both"/>
        <w:rPr>
          <w:rFonts w:cs="Arial"/>
          <w:sz w:val="23"/>
          <w:szCs w:val="23"/>
        </w:rPr>
      </w:pPr>
      <w:r>
        <w:rPr>
          <w:rFonts w:cs="Arial"/>
          <w:b/>
          <w:sz w:val="23"/>
          <w:szCs w:val="23"/>
        </w:rPr>
        <w:t xml:space="preserve">QUINTO. REMITIR </w:t>
      </w:r>
      <w:r>
        <w:rPr>
          <w:rFonts w:cs="Arial"/>
          <w:sz w:val="23"/>
          <w:szCs w:val="23"/>
        </w:rPr>
        <w:t xml:space="preserve">este expediente al juzgado de origen para que dé cumplimiento a lo </w:t>
      </w:r>
      <w:r w:rsidR="004F2985">
        <w:rPr>
          <w:rFonts w:cs="Arial"/>
          <w:sz w:val="23"/>
          <w:szCs w:val="23"/>
        </w:rPr>
        <w:t>o</w:t>
      </w:r>
      <w:r>
        <w:rPr>
          <w:rFonts w:cs="Arial"/>
          <w:sz w:val="23"/>
          <w:szCs w:val="23"/>
        </w:rPr>
        <w:t>rdenado</w:t>
      </w:r>
      <w:r w:rsidR="004F2985">
        <w:rPr>
          <w:rFonts w:cs="Arial"/>
          <w:sz w:val="23"/>
          <w:szCs w:val="23"/>
        </w:rPr>
        <w:t xml:space="preserve"> en precedencia</w:t>
      </w:r>
      <w:r>
        <w:rPr>
          <w:rFonts w:cs="Arial"/>
          <w:sz w:val="23"/>
          <w:szCs w:val="23"/>
        </w:rPr>
        <w:t>.</w:t>
      </w:r>
    </w:p>
    <w:p w:rsidR="00BC325C" w:rsidRDefault="00BC325C" w:rsidP="00126D5B">
      <w:pPr>
        <w:widowControl w:val="0"/>
        <w:autoSpaceDE w:val="0"/>
        <w:autoSpaceDN w:val="0"/>
        <w:adjustRightInd w:val="0"/>
        <w:spacing w:line="276" w:lineRule="auto"/>
        <w:jc w:val="both"/>
        <w:rPr>
          <w:rFonts w:cs="Arial"/>
          <w:sz w:val="23"/>
          <w:szCs w:val="23"/>
        </w:rPr>
      </w:pPr>
    </w:p>
    <w:p w:rsidR="00BC325C" w:rsidRDefault="00E87B26" w:rsidP="00126D5B">
      <w:pPr>
        <w:widowControl w:val="0"/>
        <w:autoSpaceDE w:val="0"/>
        <w:autoSpaceDN w:val="0"/>
        <w:adjustRightInd w:val="0"/>
        <w:spacing w:line="276" w:lineRule="auto"/>
        <w:jc w:val="both"/>
        <w:rPr>
          <w:rFonts w:cs="Arial"/>
          <w:sz w:val="23"/>
          <w:szCs w:val="23"/>
        </w:rPr>
      </w:pPr>
      <w:r>
        <w:rPr>
          <w:rFonts w:cs="Arial"/>
          <w:b/>
          <w:sz w:val="23"/>
          <w:szCs w:val="23"/>
        </w:rPr>
        <w:t>SEXTO.</w:t>
      </w:r>
      <w:r w:rsidR="00BC325C" w:rsidRPr="00BC325C">
        <w:rPr>
          <w:rFonts w:cs="Arial"/>
          <w:b/>
          <w:sz w:val="23"/>
          <w:szCs w:val="23"/>
        </w:rPr>
        <w:t xml:space="preserve"> RECONOCER</w:t>
      </w:r>
      <w:r w:rsidR="00BC325C">
        <w:rPr>
          <w:rFonts w:cs="Arial"/>
          <w:sz w:val="23"/>
          <w:szCs w:val="23"/>
        </w:rPr>
        <w:t xml:space="preserve"> personería para actuar a</w:t>
      </w:r>
      <w:r>
        <w:rPr>
          <w:rFonts w:cs="Arial"/>
          <w:sz w:val="23"/>
          <w:szCs w:val="23"/>
        </w:rPr>
        <w:t>l abogado</w:t>
      </w:r>
      <w:r w:rsidR="00BC325C">
        <w:rPr>
          <w:rFonts w:cs="Arial"/>
          <w:sz w:val="23"/>
          <w:szCs w:val="23"/>
        </w:rPr>
        <w:t xml:space="preserve"> Juan Martín Arango Medina para los efectos y con las facultades conferidas por la ejecutada Nación – Ministerio de Salud y Protección Social. </w:t>
      </w:r>
    </w:p>
    <w:p w:rsidR="00126D5B" w:rsidRPr="002D0D27" w:rsidRDefault="00126D5B" w:rsidP="00126D5B">
      <w:pPr>
        <w:widowControl w:val="0"/>
        <w:autoSpaceDE w:val="0"/>
        <w:autoSpaceDN w:val="0"/>
        <w:adjustRightInd w:val="0"/>
        <w:spacing w:line="276" w:lineRule="auto"/>
        <w:jc w:val="both"/>
        <w:rPr>
          <w:rFonts w:cs="Arial"/>
          <w:b/>
          <w:sz w:val="23"/>
          <w:szCs w:val="23"/>
        </w:rPr>
      </w:pPr>
    </w:p>
    <w:p w:rsidR="00126D5B" w:rsidRPr="0042049F" w:rsidRDefault="0042049F" w:rsidP="00126D5B">
      <w:pPr>
        <w:widowControl w:val="0"/>
        <w:autoSpaceDE w:val="0"/>
        <w:autoSpaceDN w:val="0"/>
        <w:adjustRightInd w:val="0"/>
        <w:spacing w:line="276" w:lineRule="auto"/>
        <w:jc w:val="both"/>
        <w:rPr>
          <w:rFonts w:cs="Arial"/>
          <w:sz w:val="23"/>
          <w:szCs w:val="23"/>
        </w:rPr>
      </w:pPr>
      <w:r>
        <w:rPr>
          <w:rFonts w:cs="Arial"/>
          <w:sz w:val="23"/>
          <w:szCs w:val="23"/>
        </w:rPr>
        <w:t>Notifíquese y cúmplase</w:t>
      </w:r>
    </w:p>
    <w:p w:rsidR="00126D5B" w:rsidRPr="00F268E8" w:rsidRDefault="00126D5B" w:rsidP="00126D5B">
      <w:pPr>
        <w:spacing w:line="276" w:lineRule="auto"/>
        <w:jc w:val="both"/>
        <w:rPr>
          <w:rFonts w:cs="Arial"/>
          <w:sz w:val="23"/>
          <w:szCs w:val="23"/>
        </w:rPr>
      </w:pPr>
    </w:p>
    <w:p w:rsidR="00126D5B" w:rsidRPr="00F268E8" w:rsidRDefault="00126D5B" w:rsidP="00126D5B">
      <w:pPr>
        <w:spacing w:line="276" w:lineRule="auto"/>
        <w:jc w:val="both"/>
        <w:rPr>
          <w:rFonts w:cs="Arial"/>
          <w:b/>
          <w:sz w:val="23"/>
          <w:szCs w:val="23"/>
        </w:rPr>
      </w:pPr>
      <w:r w:rsidRPr="00F268E8">
        <w:rPr>
          <w:rFonts w:cs="Arial"/>
          <w:sz w:val="23"/>
          <w:szCs w:val="23"/>
        </w:rPr>
        <w:t xml:space="preserve">Los magistrados,  </w:t>
      </w:r>
    </w:p>
    <w:p w:rsidR="00126D5B" w:rsidRDefault="00126D5B" w:rsidP="0042049F">
      <w:pPr>
        <w:pStyle w:val="Sinespaciado"/>
        <w:spacing w:line="276" w:lineRule="auto"/>
        <w:rPr>
          <w:rFonts w:cs="Arial"/>
          <w:b/>
          <w:sz w:val="23"/>
          <w:szCs w:val="23"/>
        </w:rPr>
      </w:pPr>
    </w:p>
    <w:p w:rsidR="0042049F" w:rsidRDefault="0042049F" w:rsidP="0042049F">
      <w:pPr>
        <w:pStyle w:val="Sinespaciado"/>
        <w:spacing w:line="276" w:lineRule="auto"/>
        <w:rPr>
          <w:rFonts w:cs="Arial"/>
          <w:b/>
          <w:sz w:val="23"/>
          <w:szCs w:val="23"/>
        </w:rPr>
      </w:pPr>
    </w:p>
    <w:p w:rsidR="00A60406" w:rsidRPr="00F268E8" w:rsidRDefault="00A60406" w:rsidP="0042049F">
      <w:pPr>
        <w:pStyle w:val="Sinespaciado"/>
        <w:spacing w:line="276" w:lineRule="auto"/>
        <w:rPr>
          <w:rFonts w:cs="Arial"/>
          <w:b/>
          <w:sz w:val="23"/>
          <w:szCs w:val="23"/>
        </w:rPr>
      </w:pPr>
    </w:p>
    <w:p w:rsidR="00126D5B" w:rsidRPr="00F268E8" w:rsidRDefault="00126D5B" w:rsidP="00126D5B">
      <w:pPr>
        <w:pStyle w:val="Sinespaciado"/>
        <w:spacing w:line="276" w:lineRule="auto"/>
        <w:jc w:val="center"/>
        <w:rPr>
          <w:rFonts w:cs="Arial"/>
          <w:b/>
          <w:sz w:val="23"/>
          <w:szCs w:val="23"/>
        </w:rPr>
      </w:pPr>
      <w:r w:rsidRPr="00F268E8">
        <w:rPr>
          <w:rFonts w:cs="Arial"/>
          <w:b/>
          <w:sz w:val="23"/>
          <w:szCs w:val="23"/>
        </w:rPr>
        <w:t>OLGA LUCÍA HOYOS SEPÚLVEDA</w:t>
      </w:r>
    </w:p>
    <w:p w:rsidR="00126D5B" w:rsidRPr="00F268E8" w:rsidRDefault="00126D5B" w:rsidP="00126D5B">
      <w:pPr>
        <w:spacing w:line="276" w:lineRule="auto"/>
        <w:jc w:val="both"/>
        <w:rPr>
          <w:rFonts w:cs="Arial"/>
          <w:b/>
          <w:bCs/>
          <w:iCs/>
          <w:sz w:val="23"/>
          <w:szCs w:val="23"/>
        </w:rPr>
      </w:pPr>
      <w:r w:rsidRPr="00F268E8">
        <w:rPr>
          <w:rFonts w:cs="Arial"/>
          <w:b/>
          <w:bCs/>
          <w:iCs/>
          <w:sz w:val="23"/>
          <w:szCs w:val="23"/>
        </w:rPr>
        <w:t xml:space="preserve"> </w:t>
      </w:r>
    </w:p>
    <w:p w:rsidR="00126D5B" w:rsidRPr="00F268E8" w:rsidRDefault="00126D5B" w:rsidP="00126D5B">
      <w:pPr>
        <w:spacing w:line="276" w:lineRule="auto"/>
        <w:jc w:val="both"/>
        <w:rPr>
          <w:rFonts w:cs="Arial"/>
          <w:b/>
          <w:bCs/>
          <w:iCs/>
          <w:sz w:val="23"/>
          <w:szCs w:val="23"/>
        </w:rPr>
      </w:pPr>
    </w:p>
    <w:p w:rsidR="00126D5B" w:rsidRDefault="00126D5B" w:rsidP="00126D5B">
      <w:pPr>
        <w:spacing w:line="276" w:lineRule="auto"/>
        <w:jc w:val="both"/>
        <w:rPr>
          <w:rFonts w:cs="Arial"/>
          <w:b/>
          <w:bCs/>
          <w:iCs/>
          <w:sz w:val="23"/>
          <w:szCs w:val="23"/>
        </w:rPr>
      </w:pPr>
    </w:p>
    <w:p w:rsidR="00A60406" w:rsidRPr="00F268E8" w:rsidRDefault="00A60406" w:rsidP="00126D5B">
      <w:pPr>
        <w:spacing w:line="276" w:lineRule="auto"/>
        <w:jc w:val="both"/>
        <w:rPr>
          <w:rFonts w:cs="Arial"/>
          <w:b/>
          <w:bCs/>
          <w:iCs/>
          <w:sz w:val="23"/>
          <w:szCs w:val="23"/>
        </w:rPr>
      </w:pPr>
    </w:p>
    <w:p w:rsidR="00126D5B" w:rsidRPr="00F268E8" w:rsidRDefault="00126D5B" w:rsidP="00126D5B">
      <w:pPr>
        <w:spacing w:line="276" w:lineRule="auto"/>
        <w:jc w:val="both"/>
        <w:rPr>
          <w:rFonts w:cs="Arial"/>
          <w:bCs/>
          <w:iCs/>
          <w:sz w:val="23"/>
          <w:szCs w:val="23"/>
        </w:rPr>
      </w:pPr>
      <w:r w:rsidRPr="00F268E8">
        <w:rPr>
          <w:rFonts w:cs="Arial"/>
          <w:b/>
          <w:bCs/>
          <w:iCs/>
          <w:sz w:val="23"/>
          <w:szCs w:val="23"/>
        </w:rPr>
        <w:t>JULIO CÉSAR SALAZAR MUÑOZ</w:t>
      </w:r>
      <w:r w:rsidRPr="00F268E8">
        <w:rPr>
          <w:rFonts w:cs="Arial"/>
          <w:sz w:val="23"/>
          <w:szCs w:val="23"/>
        </w:rPr>
        <w:t xml:space="preserve">       </w:t>
      </w:r>
      <w:r>
        <w:rPr>
          <w:rFonts w:cs="Arial"/>
          <w:sz w:val="23"/>
          <w:szCs w:val="23"/>
        </w:rPr>
        <w:tab/>
      </w:r>
      <w:r w:rsidRPr="00F268E8">
        <w:rPr>
          <w:rFonts w:cs="Arial"/>
          <w:sz w:val="23"/>
          <w:szCs w:val="23"/>
        </w:rPr>
        <w:t xml:space="preserve">  </w:t>
      </w:r>
      <w:r w:rsidRPr="00F268E8">
        <w:rPr>
          <w:rFonts w:cs="Arial"/>
          <w:sz w:val="23"/>
          <w:szCs w:val="23"/>
        </w:rPr>
        <w:tab/>
      </w:r>
      <w:r w:rsidR="004E64A4">
        <w:rPr>
          <w:rFonts w:cs="Arial"/>
          <w:b/>
          <w:sz w:val="23"/>
          <w:szCs w:val="23"/>
        </w:rPr>
        <w:t>ANA LUCÍA CAICEDO CALDERÓN</w:t>
      </w:r>
    </w:p>
    <w:p w:rsidR="00322B0D" w:rsidRDefault="00126D5B" w:rsidP="0042049F">
      <w:pPr>
        <w:spacing w:line="276" w:lineRule="auto"/>
        <w:ind w:right="51"/>
        <w:jc w:val="both"/>
        <w:rPr>
          <w:rFonts w:eastAsiaTheme="majorEastAsia" w:cs="Arial"/>
          <w:sz w:val="23"/>
          <w:szCs w:val="23"/>
          <w:lang w:val="es-CO"/>
        </w:rPr>
      </w:pP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
          <w:sz w:val="23"/>
          <w:szCs w:val="23"/>
        </w:rPr>
        <w:t xml:space="preserve"> </w:t>
      </w:r>
      <w:r w:rsidRPr="00F268E8">
        <w:rPr>
          <w:rFonts w:eastAsiaTheme="majorEastAsia" w:cs="Arial"/>
          <w:sz w:val="23"/>
          <w:szCs w:val="23"/>
          <w:lang w:val="es-CO"/>
        </w:rPr>
        <w:t xml:space="preserve"> </w:t>
      </w:r>
      <w:r w:rsidR="0042049F">
        <w:rPr>
          <w:rFonts w:eastAsiaTheme="majorEastAsia" w:cs="Arial"/>
          <w:sz w:val="23"/>
          <w:szCs w:val="23"/>
          <w:lang w:val="es-CO"/>
        </w:rPr>
        <w:tab/>
      </w:r>
      <w:r w:rsidR="0042049F">
        <w:rPr>
          <w:rFonts w:eastAsiaTheme="majorEastAsia" w:cs="Arial"/>
          <w:sz w:val="23"/>
          <w:szCs w:val="23"/>
          <w:lang w:val="es-CO"/>
        </w:rPr>
        <w:tab/>
      </w:r>
      <w:r w:rsidR="0042049F">
        <w:rPr>
          <w:rFonts w:eastAsiaTheme="majorEastAsia" w:cs="Arial"/>
          <w:sz w:val="23"/>
          <w:szCs w:val="23"/>
          <w:lang w:val="es-CO"/>
        </w:rPr>
        <w:tab/>
        <w:t xml:space="preserve">          </w:t>
      </w:r>
      <w:r>
        <w:rPr>
          <w:rFonts w:eastAsiaTheme="majorEastAsia" w:cs="Arial"/>
          <w:sz w:val="23"/>
          <w:szCs w:val="23"/>
          <w:lang w:val="es-CO"/>
        </w:rPr>
        <w:t>Salva voto</w:t>
      </w:r>
    </w:p>
    <w:p w:rsidR="003F04EE" w:rsidRDefault="003F04EE">
      <w:pPr>
        <w:spacing w:after="160" w:line="259" w:lineRule="auto"/>
        <w:rPr>
          <w:rFonts w:eastAsiaTheme="majorEastAsia" w:cs="Arial"/>
          <w:sz w:val="23"/>
          <w:szCs w:val="23"/>
          <w:lang w:val="es-CO"/>
        </w:rPr>
      </w:pPr>
      <w:r>
        <w:rPr>
          <w:rFonts w:eastAsiaTheme="majorEastAsia" w:cs="Arial"/>
          <w:sz w:val="23"/>
          <w:szCs w:val="23"/>
          <w:lang w:val="es-CO"/>
        </w:rPr>
        <w:br w:type="page"/>
      </w:r>
    </w:p>
    <w:p w:rsidR="003F04EE" w:rsidRPr="00095469" w:rsidRDefault="003F04EE" w:rsidP="003F04EE">
      <w:pPr>
        <w:pStyle w:val="Puesto"/>
        <w:spacing w:line="240" w:lineRule="auto"/>
        <w:jc w:val="both"/>
        <w:rPr>
          <w:rFonts w:ascii="Tahoma" w:hAnsi="Tahoma" w:cs="Tahoma"/>
          <w:b w:val="0"/>
          <w:sz w:val="18"/>
          <w:szCs w:val="18"/>
        </w:rPr>
      </w:pPr>
      <w:r w:rsidRPr="00095469">
        <w:rPr>
          <w:rFonts w:ascii="Tahoma" w:hAnsi="Tahoma" w:cs="Tahoma"/>
          <w:sz w:val="18"/>
          <w:szCs w:val="18"/>
        </w:rPr>
        <w:lastRenderedPageBreak/>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Auto </w:t>
      </w:r>
      <w:r w:rsidRPr="00095469">
        <w:rPr>
          <w:rFonts w:ascii="Tahoma" w:hAnsi="Tahoma" w:cs="Tahoma"/>
          <w:b w:val="0"/>
          <w:sz w:val="18"/>
          <w:szCs w:val="18"/>
        </w:rPr>
        <w:t xml:space="preserve">del </w:t>
      </w:r>
      <w:r>
        <w:rPr>
          <w:rFonts w:ascii="Tahoma" w:hAnsi="Tahoma" w:cs="Tahoma"/>
          <w:b w:val="0"/>
          <w:sz w:val="18"/>
          <w:szCs w:val="18"/>
        </w:rPr>
        <w:t>1º de marzo de 2019</w:t>
      </w:r>
    </w:p>
    <w:p w:rsidR="003F04EE" w:rsidRPr="00095469" w:rsidRDefault="003F04EE" w:rsidP="003F04EE">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Pr>
          <w:rFonts w:ascii="Tahoma" w:hAnsi="Tahoma" w:cs="Tahoma"/>
          <w:b w:val="0"/>
          <w:sz w:val="18"/>
          <w:szCs w:val="18"/>
        </w:rPr>
        <w:t>3</w:t>
      </w:r>
      <w:r w:rsidRPr="00095469">
        <w:rPr>
          <w:rFonts w:ascii="Tahoma" w:hAnsi="Tahoma" w:cs="Tahoma"/>
          <w:b w:val="0"/>
          <w:sz w:val="18"/>
          <w:szCs w:val="18"/>
        </w:rPr>
        <w:t>-201</w:t>
      </w:r>
      <w:r>
        <w:rPr>
          <w:rFonts w:ascii="Tahoma" w:hAnsi="Tahoma" w:cs="Tahoma"/>
          <w:b w:val="0"/>
          <w:sz w:val="18"/>
          <w:szCs w:val="18"/>
        </w:rPr>
        <w:t>0</w:t>
      </w:r>
      <w:r w:rsidRPr="00095469">
        <w:rPr>
          <w:rFonts w:ascii="Tahoma" w:hAnsi="Tahoma" w:cs="Tahoma"/>
          <w:b w:val="0"/>
          <w:sz w:val="18"/>
          <w:szCs w:val="18"/>
        </w:rPr>
        <w:t>-00</w:t>
      </w:r>
      <w:r>
        <w:rPr>
          <w:rFonts w:ascii="Tahoma" w:hAnsi="Tahoma" w:cs="Tahoma"/>
          <w:b w:val="0"/>
          <w:sz w:val="18"/>
          <w:szCs w:val="18"/>
        </w:rPr>
        <w:t>776</w:t>
      </w:r>
      <w:r w:rsidRPr="00095469">
        <w:rPr>
          <w:rFonts w:ascii="Tahoma" w:hAnsi="Tahoma" w:cs="Tahoma"/>
          <w:b w:val="0"/>
          <w:sz w:val="18"/>
          <w:szCs w:val="18"/>
        </w:rPr>
        <w:t>-0</w:t>
      </w:r>
      <w:r>
        <w:rPr>
          <w:rFonts w:ascii="Tahoma" w:hAnsi="Tahoma" w:cs="Tahoma"/>
          <w:b w:val="0"/>
          <w:sz w:val="18"/>
          <w:szCs w:val="18"/>
        </w:rPr>
        <w:t>2</w:t>
      </w:r>
    </w:p>
    <w:p w:rsidR="003F04EE" w:rsidRPr="00095469" w:rsidRDefault="003F04EE" w:rsidP="003F04EE">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Ejecutivo</w:t>
      </w:r>
      <w:r w:rsidRPr="00095469">
        <w:rPr>
          <w:rFonts w:ascii="Tahoma" w:hAnsi="Tahoma" w:cs="Tahoma"/>
          <w:b w:val="0"/>
          <w:sz w:val="18"/>
          <w:szCs w:val="18"/>
        </w:rPr>
        <w:t xml:space="preserve"> laboral </w:t>
      </w:r>
    </w:p>
    <w:p w:rsidR="003F04EE" w:rsidRPr="00095469" w:rsidRDefault="003F04EE" w:rsidP="003F04EE">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Blanca Ruth Uribe Holguín </w:t>
      </w:r>
    </w:p>
    <w:p w:rsidR="003F04EE" w:rsidRPr="00095469" w:rsidRDefault="003F04EE" w:rsidP="003F04EE">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P</w:t>
      </w:r>
      <w:bookmarkStart w:id="0" w:name="_GoBack"/>
      <w:bookmarkEnd w:id="0"/>
      <w:r>
        <w:rPr>
          <w:rFonts w:ascii="Tahoma" w:hAnsi="Tahoma" w:cs="Tahoma"/>
          <w:b w:val="0"/>
          <w:sz w:val="18"/>
          <w:szCs w:val="18"/>
        </w:rPr>
        <w:t>atrimonio Autónomo de Remanentes PAR-ISS y otro</w:t>
      </w:r>
    </w:p>
    <w:p w:rsidR="003F04EE" w:rsidRPr="00095469" w:rsidRDefault="003F04EE" w:rsidP="003F04EE">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Pr>
          <w:rFonts w:ascii="Tahoma" w:hAnsi="Tahoma" w:cs="Tahoma"/>
          <w:sz w:val="18"/>
          <w:szCs w:val="18"/>
        </w:rPr>
        <w:t>a</w:t>
      </w:r>
      <w:r w:rsidRPr="00095469">
        <w:rPr>
          <w:rFonts w:ascii="Tahoma" w:hAnsi="Tahoma" w:cs="Tahoma"/>
          <w:sz w:val="18"/>
          <w:szCs w:val="18"/>
        </w:rPr>
        <w:t xml:space="preserve"> </w:t>
      </w:r>
      <w:r>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Pr>
          <w:rFonts w:ascii="Tahoma" w:hAnsi="Tahoma" w:cs="Tahoma"/>
          <w:b w:val="0"/>
          <w:sz w:val="18"/>
          <w:szCs w:val="18"/>
        </w:rPr>
        <w:t xml:space="preserve">a. Olga Lucía Hoyos Sepúlveda </w:t>
      </w:r>
    </w:p>
    <w:p w:rsidR="003F04EE" w:rsidRPr="00095469" w:rsidRDefault="003F04EE" w:rsidP="003F04EE">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3F04EE" w:rsidRDefault="003F04EE" w:rsidP="003F04EE">
      <w:pPr>
        <w:rPr>
          <w:rFonts w:ascii="Tahoma" w:hAnsi="Tahoma" w:cs="Tahoma"/>
          <w:sz w:val="22"/>
          <w:szCs w:val="22"/>
          <w:lang w:val="es-CO" w:eastAsia="es-MX"/>
        </w:rPr>
      </w:pPr>
    </w:p>
    <w:p w:rsidR="003F04EE" w:rsidRPr="007F452D" w:rsidRDefault="003F04EE" w:rsidP="003F04EE">
      <w:pPr>
        <w:rPr>
          <w:rFonts w:ascii="Tahoma" w:hAnsi="Tahoma" w:cs="Tahoma"/>
          <w:sz w:val="22"/>
          <w:szCs w:val="22"/>
          <w:lang w:val="es-CO" w:eastAsia="es-MX"/>
        </w:rPr>
      </w:pPr>
    </w:p>
    <w:p w:rsidR="003F04EE" w:rsidRPr="007F452D" w:rsidRDefault="003F04EE" w:rsidP="003F04EE">
      <w:pPr>
        <w:pStyle w:val="Ttulo1"/>
        <w:widowControl/>
        <w:autoSpaceDE/>
        <w:autoSpaceDN/>
        <w:adjustRightInd/>
        <w:rPr>
          <w:rFonts w:ascii="Tahoma" w:hAnsi="Tahoma" w:cs="Tahoma"/>
          <w:bCs/>
          <w:sz w:val="24"/>
          <w:u w:val="single"/>
        </w:rPr>
      </w:pPr>
      <w:r w:rsidRPr="007F452D">
        <w:rPr>
          <w:rFonts w:ascii="Tahoma" w:hAnsi="Tahoma" w:cs="Tahoma"/>
          <w:bCs/>
          <w:sz w:val="24"/>
          <w:u w:val="single"/>
        </w:rPr>
        <w:t>SALVAMENTO DE VOTO</w:t>
      </w:r>
    </w:p>
    <w:p w:rsidR="003F04EE" w:rsidRPr="007F452D" w:rsidRDefault="003F04EE" w:rsidP="003F04EE">
      <w:pPr>
        <w:jc w:val="both"/>
        <w:rPr>
          <w:rFonts w:ascii="Tahoma" w:hAnsi="Tahoma" w:cs="Tahoma"/>
          <w:b/>
          <w:bCs/>
          <w:sz w:val="22"/>
          <w:szCs w:val="22"/>
        </w:rPr>
      </w:pPr>
    </w:p>
    <w:p w:rsidR="003F04EE" w:rsidRPr="008F3066" w:rsidRDefault="003F04EE" w:rsidP="003F04EE">
      <w:pPr>
        <w:spacing w:line="276" w:lineRule="auto"/>
        <w:ind w:firstLine="851"/>
        <w:jc w:val="both"/>
        <w:rPr>
          <w:rFonts w:ascii="Tahoma" w:hAnsi="Tahoma" w:cs="Tahoma"/>
          <w:sz w:val="22"/>
          <w:szCs w:val="22"/>
        </w:rPr>
      </w:pPr>
      <w:r w:rsidRPr="008F3066">
        <w:rPr>
          <w:rFonts w:ascii="Tahoma" w:hAnsi="Tahoma" w:cs="Tahoma"/>
          <w:sz w:val="22"/>
          <w:szCs w:val="22"/>
        </w:rPr>
        <w:t>Con mi acostumbrado respeto, me permito dejar constancia escrita de las razones jurídicas de mi disenso con la decisión mayoritaria adoptada en este proceso, así:</w:t>
      </w:r>
    </w:p>
    <w:p w:rsidR="003F04EE" w:rsidRPr="008F3066" w:rsidRDefault="003F04EE" w:rsidP="003F04EE">
      <w:pPr>
        <w:spacing w:line="276" w:lineRule="auto"/>
        <w:ind w:firstLine="851"/>
        <w:jc w:val="both"/>
        <w:rPr>
          <w:rFonts w:ascii="Tahoma" w:hAnsi="Tahoma" w:cs="Tahoma"/>
          <w:sz w:val="22"/>
          <w:szCs w:val="22"/>
        </w:rPr>
      </w:pPr>
    </w:p>
    <w:p w:rsidR="003F04EE" w:rsidRPr="008F3066" w:rsidRDefault="003F04EE" w:rsidP="003F04EE">
      <w:pPr>
        <w:spacing w:line="276" w:lineRule="auto"/>
        <w:ind w:firstLine="851"/>
        <w:jc w:val="both"/>
        <w:rPr>
          <w:rFonts w:ascii="Tahoma" w:hAnsi="Tahoma" w:cs="Tahoma"/>
          <w:sz w:val="22"/>
          <w:szCs w:val="22"/>
        </w:rPr>
      </w:pPr>
      <w:r w:rsidRPr="008F3066">
        <w:rPr>
          <w:rFonts w:ascii="Tahoma" w:hAnsi="Tahoma" w:cs="Tahoma"/>
          <w:sz w:val="22"/>
          <w:szCs w:val="22"/>
        </w:rPr>
        <w:t xml:space="preserve">Sostienen mis compañeros de Sala que la jurisdicción ordinaria, en su especialidad laboral, carece de competencia jurisdiccional para conocer procesos ejecutivos iniciados con posterioridad a la finalización del proceso de liquidación de entidades públicas. En el caso puntual, se indica en la </w:t>
      </w:r>
      <w:r>
        <w:rPr>
          <w:rFonts w:ascii="Tahoma" w:hAnsi="Tahoma" w:cs="Tahoma"/>
          <w:sz w:val="22"/>
          <w:szCs w:val="22"/>
        </w:rPr>
        <w:t>providencia de la que me aparto, citando auto adiado el 12 de diciembre de 2018,</w:t>
      </w:r>
      <w:r w:rsidRPr="008F3066">
        <w:rPr>
          <w:rFonts w:ascii="Tahoma" w:hAnsi="Tahoma" w:cs="Tahoma"/>
          <w:sz w:val="22"/>
          <w:szCs w:val="22"/>
        </w:rPr>
        <w:t xml:space="preserve"> que </w:t>
      </w:r>
      <w:r w:rsidRPr="008F3066">
        <w:rPr>
          <w:rFonts w:ascii="Arial Narrow" w:hAnsi="Arial Narrow" w:cs="Tahoma"/>
          <w:i/>
          <w:sz w:val="22"/>
          <w:szCs w:val="22"/>
        </w:rPr>
        <w:t xml:space="preserve">“no es posible adelantar procesos ejecutivos al margen del proceso </w:t>
      </w:r>
      <w:proofErr w:type="spellStart"/>
      <w:r w:rsidRPr="008F3066">
        <w:rPr>
          <w:rFonts w:ascii="Arial Narrow" w:hAnsi="Arial Narrow" w:cs="Tahoma"/>
          <w:i/>
          <w:sz w:val="22"/>
          <w:szCs w:val="22"/>
        </w:rPr>
        <w:t>liquidatorio</w:t>
      </w:r>
      <w:proofErr w:type="spellEnd"/>
      <w:r w:rsidRPr="008F3066">
        <w:rPr>
          <w:rFonts w:ascii="Arial Narrow" w:hAnsi="Arial Narrow" w:cs="Tahoma"/>
          <w:i/>
          <w:sz w:val="22"/>
          <w:szCs w:val="22"/>
        </w:rPr>
        <w:t xml:space="preserve">, ni mucho menos afectar con embargos los bienes que fueron destinados por el liquidador al cumplimiento de acreencias oportunamente graduadas en aquel. Permitirlo sería tanto como desvertebrar la totalidad del trabajo realizado al interior de la liquidación, generando caos y desconocimiento de los legítimos derechos de las acreedores que participaron oportunamente en ella”    </w:t>
      </w:r>
    </w:p>
    <w:p w:rsidR="003F04EE" w:rsidRPr="008F3066" w:rsidRDefault="003F04EE" w:rsidP="003F04EE">
      <w:pPr>
        <w:spacing w:line="276" w:lineRule="auto"/>
        <w:jc w:val="both"/>
        <w:rPr>
          <w:rFonts w:ascii="Tahoma" w:hAnsi="Tahoma" w:cs="Tahoma"/>
          <w:sz w:val="22"/>
          <w:szCs w:val="22"/>
        </w:rPr>
      </w:pPr>
    </w:p>
    <w:p w:rsidR="003F04EE" w:rsidRPr="008F3066" w:rsidRDefault="003F04EE" w:rsidP="003F04EE">
      <w:pPr>
        <w:spacing w:line="276" w:lineRule="auto"/>
        <w:ind w:firstLine="708"/>
        <w:jc w:val="both"/>
        <w:rPr>
          <w:rFonts w:ascii="Tahoma" w:hAnsi="Tahoma" w:cs="Tahoma"/>
          <w:sz w:val="22"/>
          <w:szCs w:val="22"/>
        </w:rPr>
      </w:pPr>
      <w:r w:rsidRPr="008F3066">
        <w:rPr>
          <w:rFonts w:ascii="Tahoma" w:hAnsi="Tahoma" w:cs="Tahoma"/>
          <w:sz w:val="22"/>
          <w:szCs w:val="22"/>
          <w:lang w:val="es-CO"/>
        </w:rPr>
        <w:t xml:space="preserve">He señalado, ante tal argumento, la necesidad de atender en estos casos al artículo 32 del Decreto 254 de 2000, con arreglo al cual, en el evento en que </w:t>
      </w:r>
      <w:r w:rsidRPr="008F3066">
        <w:rPr>
          <w:rFonts w:ascii="Tahoma" w:hAnsi="Tahoma" w:cs="Tahoma"/>
          <w:sz w:val="22"/>
          <w:szCs w:val="22"/>
        </w:rPr>
        <w:t xml:space="preserve">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w:t>
      </w:r>
      <w:r>
        <w:rPr>
          <w:rFonts w:ascii="Tahoma" w:hAnsi="Tahoma" w:cs="Tahoma"/>
          <w:sz w:val="22"/>
          <w:szCs w:val="22"/>
        </w:rPr>
        <w:t xml:space="preserve">infructuosamente </w:t>
      </w:r>
      <w:r w:rsidRPr="008F3066">
        <w:rPr>
          <w:rFonts w:ascii="Tahoma" w:hAnsi="Tahoma" w:cs="Tahoma"/>
          <w:sz w:val="22"/>
          <w:szCs w:val="22"/>
        </w:rPr>
        <w:t>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3F04EE" w:rsidRPr="008F3066" w:rsidRDefault="003F04EE" w:rsidP="003F04EE">
      <w:pPr>
        <w:spacing w:line="276" w:lineRule="auto"/>
        <w:ind w:firstLine="708"/>
        <w:jc w:val="both"/>
        <w:rPr>
          <w:rFonts w:ascii="Tahoma" w:hAnsi="Tahoma" w:cs="Tahoma"/>
          <w:sz w:val="22"/>
          <w:szCs w:val="22"/>
          <w:lang w:val="es-CO"/>
        </w:rPr>
      </w:pPr>
    </w:p>
    <w:p w:rsidR="003F04EE" w:rsidRPr="008F3066" w:rsidRDefault="003F04EE" w:rsidP="003F04EE">
      <w:pPr>
        <w:spacing w:line="276" w:lineRule="auto"/>
        <w:ind w:firstLine="708"/>
        <w:jc w:val="both"/>
        <w:rPr>
          <w:rFonts w:ascii="Arial Narrow" w:hAnsi="Arial Narrow" w:cs="Tahoma"/>
          <w:i/>
          <w:sz w:val="22"/>
          <w:szCs w:val="22"/>
        </w:rPr>
      </w:pPr>
      <w:r w:rsidRPr="008F3066">
        <w:rPr>
          <w:rFonts w:ascii="Tahoma" w:hAnsi="Tahoma" w:cs="Tahoma"/>
          <w:sz w:val="22"/>
          <w:szCs w:val="22"/>
        </w:rPr>
        <w:t>He expresado igualmente que dicho mandato legal concuerda con lo dispuesto por el artículo 35 de la misma obra legal, que indica que tales obligaciones siguen con cargo al Patrimonio Autónomo creado y a cargo de la Nación</w:t>
      </w:r>
      <w:r>
        <w:rPr>
          <w:rFonts w:ascii="Tahoma" w:hAnsi="Tahoma" w:cs="Tahoma"/>
          <w:sz w:val="22"/>
          <w:szCs w:val="22"/>
        </w:rPr>
        <w:t xml:space="preserve">, en los siguientes términos: </w:t>
      </w:r>
      <w:r w:rsidRPr="008F3066">
        <w:rPr>
          <w:rFonts w:ascii="Arial Narrow" w:hAnsi="Arial Narrow" w:cs="Tahoma"/>
          <w:i/>
          <w:sz w:val="22"/>
          <w:szCs w:val="22"/>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r w:rsidRPr="008F3066">
        <w:rPr>
          <w:rFonts w:ascii="Tahoma" w:hAnsi="Tahoma" w:cs="Tahoma"/>
          <w:sz w:val="22"/>
          <w:szCs w:val="22"/>
          <w:lang w:val="es-CO"/>
        </w:rPr>
        <w:t xml:space="preserve"> </w:t>
      </w:r>
      <w:r w:rsidRPr="008F3066">
        <w:rPr>
          <w:rFonts w:ascii="Arial Narrow" w:hAnsi="Arial Narrow" w:cs="Tahoma"/>
          <w:i/>
          <w:sz w:val="22"/>
          <w:szCs w:val="22"/>
        </w:rPr>
        <w:t xml:space="preserve">(…) la entidad fiduciaria destinará el producto de los activos que les transfiera el liquidador a pagar </w:t>
      </w:r>
      <w:r w:rsidRPr="00D924B1">
        <w:rPr>
          <w:rFonts w:ascii="Arial Narrow" w:hAnsi="Arial Narrow" w:cs="Tahoma"/>
          <w:b/>
          <w:i/>
          <w:sz w:val="22"/>
          <w:szCs w:val="22"/>
          <w:u w:val="single"/>
        </w:rPr>
        <w:t>los pasivos y contingencias de la entidad en liquidación, en la forma que hubiere determinado el liquidador en el contrato respectivo, de conformidad con las reglas de prelación de créditos previstas en la ley</w:t>
      </w:r>
      <w:r w:rsidRPr="00D924B1">
        <w:rPr>
          <w:rFonts w:ascii="Arial Narrow" w:hAnsi="Arial Narrow" w:cs="Tahoma"/>
          <w:b/>
          <w:i/>
          <w:sz w:val="22"/>
          <w:szCs w:val="22"/>
        </w:rPr>
        <w:t>.</w:t>
      </w:r>
      <w:r w:rsidRPr="008F3066">
        <w:rPr>
          <w:rFonts w:ascii="Arial Narrow" w:hAnsi="Arial Narrow" w:cs="Tahoma"/>
          <w:i/>
          <w:sz w:val="22"/>
          <w:szCs w:val="22"/>
        </w:rPr>
        <w:t xml:space="preserve"> (...)</w:t>
      </w:r>
      <w:r w:rsidRPr="008F3066">
        <w:rPr>
          <w:rFonts w:ascii="Tahoma" w:hAnsi="Tahoma" w:cs="Tahoma"/>
          <w:sz w:val="22"/>
          <w:szCs w:val="22"/>
          <w:lang w:val="es-CO"/>
        </w:rPr>
        <w:t xml:space="preserve">. </w:t>
      </w:r>
      <w:r w:rsidRPr="00D924B1">
        <w:rPr>
          <w:rFonts w:ascii="Arial Narrow" w:hAnsi="Arial Narrow" w:cs="Tahoma"/>
          <w:b/>
          <w:i/>
          <w:sz w:val="22"/>
          <w:szCs w:val="22"/>
          <w:u w:val="single"/>
        </w:rPr>
        <w:t>Si al terminar la liquidación</w:t>
      </w:r>
      <w:r w:rsidRPr="008F3066">
        <w:rPr>
          <w:rFonts w:ascii="Arial Narrow" w:hAnsi="Arial Narrow" w:cs="Tahoma"/>
          <w:i/>
          <w:sz w:val="22"/>
          <w:szCs w:val="22"/>
        </w:rPr>
        <w:t xml:space="preserve"> existieren procesos pendientes contra la entidad, </w:t>
      </w:r>
      <w:r w:rsidRPr="00D924B1">
        <w:rPr>
          <w:rFonts w:ascii="Arial Narrow" w:hAnsi="Arial Narrow" w:cs="Tahoma"/>
          <w:b/>
          <w:i/>
          <w:sz w:val="22"/>
          <w:szCs w:val="22"/>
          <w:u w:val="single"/>
        </w:rPr>
        <w:t>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w:t>
      </w:r>
      <w:r w:rsidRPr="008F3066">
        <w:rPr>
          <w:rFonts w:ascii="Arial Narrow" w:hAnsi="Arial Narrow" w:cs="Tahoma"/>
          <w:i/>
          <w:sz w:val="22"/>
          <w:szCs w:val="22"/>
        </w:rPr>
        <w:t xml:space="preserve">” –negrillas y subrayas fuera del original-”.  </w:t>
      </w:r>
    </w:p>
    <w:p w:rsidR="003F04EE" w:rsidRPr="008F3066" w:rsidRDefault="003F04EE" w:rsidP="003F04EE">
      <w:pPr>
        <w:autoSpaceDE w:val="0"/>
        <w:autoSpaceDN w:val="0"/>
        <w:adjustRightInd w:val="0"/>
        <w:spacing w:line="276" w:lineRule="auto"/>
        <w:jc w:val="both"/>
        <w:rPr>
          <w:rFonts w:ascii="Arial Narrow" w:hAnsi="Arial Narrow" w:cs="Comic Sans MS"/>
          <w:sz w:val="22"/>
          <w:szCs w:val="22"/>
        </w:rPr>
      </w:pPr>
    </w:p>
    <w:p w:rsidR="003F04EE" w:rsidRPr="008F3066" w:rsidRDefault="003F04EE" w:rsidP="003F04EE">
      <w:pPr>
        <w:autoSpaceDE w:val="0"/>
        <w:autoSpaceDN w:val="0"/>
        <w:adjustRightInd w:val="0"/>
        <w:spacing w:line="276" w:lineRule="auto"/>
        <w:ind w:firstLine="708"/>
        <w:jc w:val="both"/>
        <w:rPr>
          <w:rFonts w:ascii="Tahoma" w:hAnsi="Tahoma" w:cs="Tahoma"/>
          <w:sz w:val="22"/>
          <w:szCs w:val="22"/>
          <w:u w:val="single"/>
        </w:rPr>
      </w:pPr>
      <w:r w:rsidRPr="008F3066">
        <w:rPr>
          <w:rFonts w:ascii="Tahoma" w:hAnsi="Tahoma" w:cs="Tahoma"/>
          <w:sz w:val="22"/>
          <w:szCs w:val="22"/>
        </w:rPr>
        <w:t xml:space="preserve">También he advertido que esta norma se replica inalterada en el Decreto 2013 de 2012, por medio del cual se ordenó la supresión y liquidación del ISS, que a la altura del artículo 19, establece con meridiana precisión que la atención de las </w:t>
      </w:r>
      <w:r w:rsidRPr="008F3066">
        <w:rPr>
          <w:rFonts w:ascii="Tahoma" w:hAnsi="Tahoma" w:cs="Tahoma"/>
          <w:sz w:val="22"/>
          <w:szCs w:val="22"/>
          <w:u w:val="single"/>
        </w:rPr>
        <w:t>obligaciones laborales pendientes</w:t>
      </w:r>
      <w:r w:rsidRPr="008F3066">
        <w:rPr>
          <w:rFonts w:ascii="Tahoma" w:hAnsi="Tahoma" w:cs="Tahoma"/>
          <w:sz w:val="22"/>
          <w:szCs w:val="22"/>
        </w:rPr>
        <w:t xml:space="preserve"> </w:t>
      </w:r>
      <w:r w:rsidRPr="008F3066">
        <w:rPr>
          <w:rFonts w:ascii="Tahoma" w:hAnsi="Tahoma" w:cs="Tahoma"/>
          <w:sz w:val="22"/>
          <w:szCs w:val="22"/>
        </w:rPr>
        <w:lastRenderedPageBreak/>
        <w:t xml:space="preserve">estará a cargo del ISS en liquidación y que, si dichos recursos no son suficientes, le corresponderá a la Nación su cubrimiento, </w:t>
      </w:r>
      <w:r w:rsidRPr="008F3066">
        <w:rPr>
          <w:rFonts w:ascii="Tahoma" w:hAnsi="Tahoma" w:cs="Tahoma"/>
          <w:sz w:val="22"/>
          <w:szCs w:val="22"/>
          <w:u w:val="single"/>
        </w:rPr>
        <w:t>con cargo a los recursos del Presupuesto General.</w:t>
      </w:r>
    </w:p>
    <w:p w:rsidR="003F04EE" w:rsidRPr="008F3066" w:rsidRDefault="003F04EE" w:rsidP="003F04EE">
      <w:pPr>
        <w:autoSpaceDE w:val="0"/>
        <w:autoSpaceDN w:val="0"/>
        <w:adjustRightInd w:val="0"/>
        <w:spacing w:line="276" w:lineRule="auto"/>
        <w:jc w:val="both"/>
        <w:rPr>
          <w:rFonts w:ascii="Tahoma" w:hAnsi="Tahoma" w:cs="Tahoma"/>
          <w:sz w:val="22"/>
          <w:szCs w:val="22"/>
        </w:rPr>
      </w:pPr>
    </w:p>
    <w:p w:rsidR="003F04EE" w:rsidRPr="008F3066" w:rsidRDefault="003F04EE" w:rsidP="003F04EE">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Un tercer pilar normativo en apoyo de la tesis antes esbozada lo constituye el mismo Decreto de clausura del proceso de liquidación del ISS (Decreto 553 de 2015)</w:t>
      </w:r>
      <w:r>
        <w:rPr>
          <w:rFonts w:ascii="Tahoma" w:hAnsi="Tahoma" w:cs="Tahoma"/>
          <w:sz w:val="22"/>
          <w:szCs w:val="22"/>
        </w:rPr>
        <w:t>,</w:t>
      </w:r>
      <w:r w:rsidRPr="008F3066">
        <w:rPr>
          <w:rFonts w:ascii="Tahoma" w:hAnsi="Tahoma" w:cs="Tahoma"/>
          <w:sz w:val="22"/>
          <w:szCs w:val="22"/>
        </w:rPr>
        <w:t xml:space="preserve"> en el cual se establece que el Estado está en el deber de hacer las operaciones presupuestarias necesarias para el cumplimiento de las obligaciones que queden pendientes al cierre de la liquidación (Art. 6).</w:t>
      </w:r>
    </w:p>
    <w:p w:rsidR="003F04EE" w:rsidRDefault="003F04EE" w:rsidP="003F04EE">
      <w:pPr>
        <w:autoSpaceDE w:val="0"/>
        <w:autoSpaceDN w:val="0"/>
        <w:adjustRightInd w:val="0"/>
        <w:spacing w:line="276" w:lineRule="auto"/>
        <w:ind w:firstLine="708"/>
        <w:jc w:val="both"/>
        <w:rPr>
          <w:rFonts w:ascii="Tahoma" w:hAnsi="Tahoma" w:cs="Tahoma"/>
          <w:sz w:val="22"/>
          <w:szCs w:val="22"/>
        </w:rPr>
      </w:pPr>
    </w:p>
    <w:p w:rsidR="003F04EE" w:rsidRPr="008F3066" w:rsidRDefault="003F04EE" w:rsidP="003F04EE">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Cabe agregar que, dando alcance al parágrafo 1º del artículo 52 de la Ley 489 de 1998</w:t>
      </w:r>
      <w:r w:rsidRPr="008F3066">
        <w:rPr>
          <w:rStyle w:val="Refdenotaalpie"/>
          <w:rFonts w:ascii="Tahoma" w:hAnsi="Tahoma" w:cs="Tahoma"/>
          <w:sz w:val="22"/>
          <w:szCs w:val="22"/>
        </w:rPr>
        <w:footnoteReference w:id="2"/>
      </w:r>
      <w:r w:rsidRPr="008F3066">
        <w:rPr>
          <w:rFonts w:ascii="Tahoma" w:hAnsi="Tahoma" w:cs="Tahoma"/>
          <w:sz w:val="22"/>
          <w:szCs w:val="22"/>
        </w:rPr>
        <w:t xml:space="preserve"> el Consejo de Estado - Sala de lo Contencioso Administrativo - Sección Quinta-, mediante sentencia del 15 de diciembre de 2015, dentro de la acción de cumplimiento No. 76001-23-33-000-20</w:t>
      </w:r>
      <w:r>
        <w:rPr>
          <w:rFonts w:ascii="Tahoma" w:hAnsi="Tahoma" w:cs="Tahoma"/>
          <w:sz w:val="22"/>
          <w:szCs w:val="22"/>
        </w:rPr>
        <w:t>1</w:t>
      </w:r>
      <w:r w:rsidRPr="008F3066">
        <w:rPr>
          <w:rFonts w:ascii="Tahoma" w:hAnsi="Tahoma" w:cs="Tahoma"/>
          <w:sz w:val="22"/>
          <w:szCs w:val="22"/>
        </w:rPr>
        <w:t xml:space="preserve">5-01089-01 , dispuso: </w:t>
      </w:r>
      <w:r w:rsidRPr="008F3066">
        <w:rPr>
          <w:rFonts w:ascii="Arial Narrow" w:hAnsi="Arial Narrow" w:cs="Tahoma"/>
          <w:i/>
          <w:sz w:val="22"/>
          <w:szCs w:val="22"/>
        </w:rPr>
        <w:t>"</w:t>
      </w:r>
      <w:r w:rsidRPr="008F3066">
        <w:rPr>
          <w:rFonts w:ascii="Arial Narrow" w:hAnsi="Arial Narrow" w:cs="Tahoma"/>
          <w:b/>
          <w:i/>
          <w:sz w:val="22"/>
          <w:szCs w:val="22"/>
        </w:rPr>
        <w:t>ORDENAR</w:t>
      </w:r>
      <w:r w:rsidRPr="008F3066">
        <w:rPr>
          <w:rFonts w:ascii="Arial Narrow" w:hAnsi="Arial Narrow" w:cs="Tahoma"/>
          <w:i/>
          <w:sz w:val="22"/>
          <w:szCs w:val="22"/>
        </w:rPr>
        <w:t xml:space="preserve"> al Gobierno Nacional (...) que se disponga sobre la subrogación de las obligaciones del ISS liquidado, en materia de condena de sentencias contractuales y extracontractuales, dentro de los dos (2) meses siguientes a la ejecutoria de la sentencia, teniendo en cuenta la complejidad del tema , </w:t>
      </w:r>
      <w:r w:rsidRPr="008F3066">
        <w:rPr>
          <w:rFonts w:ascii="Tahoma" w:hAnsi="Tahoma" w:cs="Tahoma"/>
          <w:sz w:val="22"/>
          <w:szCs w:val="22"/>
        </w:rPr>
        <w:t xml:space="preserve">y que, en acatamiento de dicha decisión judicial, el Presidente de la República expidió el Decreto 541 del 6 de abril de 2016, en virtud del cual se estableció que </w:t>
      </w:r>
      <w:r w:rsidRPr="008F3066">
        <w:rPr>
          <w:rFonts w:ascii="Arial Narrow" w:hAnsi="Arial Narrow" w:cs="Tahoma"/>
          <w:i/>
          <w:sz w:val="22"/>
          <w:szCs w:val="22"/>
        </w:rPr>
        <w:t xml:space="preserve">“será </w:t>
      </w:r>
      <w:r w:rsidRPr="008F3066">
        <w:rPr>
          <w:rFonts w:ascii="Arial Narrow" w:hAnsi="Arial Narrow"/>
          <w:i/>
          <w:sz w:val="22"/>
          <w:szCs w:val="22"/>
        </w:rPr>
        <w:t>competencia del Ministerio de la Salud y Protección Social asumir el pago de las sentencias judiciales derivadas de las obligaciones contractuales y extra contractuales a cargo del Instituto de Seguros Sociales Liquidado”.</w:t>
      </w:r>
    </w:p>
    <w:p w:rsidR="003F04EE" w:rsidRPr="008F3066" w:rsidRDefault="003F04EE" w:rsidP="003F04EE">
      <w:pPr>
        <w:autoSpaceDE w:val="0"/>
        <w:autoSpaceDN w:val="0"/>
        <w:adjustRightInd w:val="0"/>
        <w:spacing w:line="276" w:lineRule="auto"/>
        <w:jc w:val="both"/>
        <w:rPr>
          <w:rFonts w:ascii="Tahoma" w:hAnsi="Tahoma" w:cs="Tahoma"/>
          <w:sz w:val="22"/>
          <w:szCs w:val="22"/>
        </w:rPr>
      </w:pPr>
    </w:p>
    <w:p w:rsidR="003F04EE" w:rsidRPr="008F3066" w:rsidRDefault="003F04EE" w:rsidP="003F04EE">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Pues bien, examinado en su integridad el Estatuto de Supresión y Liquidación de entidades públicas y sus decretos reglamentario</w:t>
      </w:r>
      <w:r>
        <w:rPr>
          <w:rFonts w:ascii="Tahoma" w:hAnsi="Tahoma" w:cs="Tahoma"/>
          <w:sz w:val="22"/>
          <w:szCs w:val="22"/>
        </w:rPr>
        <w:t>s</w:t>
      </w:r>
      <w:r w:rsidRPr="008F3066">
        <w:rPr>
          <w:rFonts w:ascii="Tahoma" w:hAnsi="Tahoma" w:cs="Tahoma"/>
          <w:sz w:val="22"/>
          <w:szCs w:val="22"/>
        </w:rPr>
        <w:t xml:space="preserve">,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8F3066">
        <w:rPr>
          <w:rFonts w:ascii="Tahoma" w:hAnsi="Tahoma" w:cs="Tahoma"/>
          <w:sz w:val="22"/>
          <w:szCs w:val="22"/>
        </w:rPr>
        <w:t>insolventarse</w:t>
      </w:r>
      <w:proofErr w:type="spellEnd"/>
      <w:r w:rsidRPr="008F3066">
        <w:rPr>
          <w:rFonts w:ascii="Tahoma" w:hAnsi="Tahoma" w:cs="Tahoma"/>
          <w:sz w:val="22"/>
          <w:szCs w:val="22"/>
        </w:rPr>
        <w:t xml:space="preserve">.  </w:t>
      </w:r>
    </w:p>
    <w:p w:rsidR="003F04EE" w:rsidRPr="008F3066" w:rsidRDefault="003F04EE" w:rsidP="003F04EE">
      <w:pPr>
        <w:autoSpaceDE w:val="0"/>
        <w:autoSpaceDN w:val="0"/>
        <w:adjustRightInd w:val="0"/>
        <w:spacing w:line="276" w:lineRule="auto"/>
        <w:jc w:val="both"/>
        <w:rPr>
          <w:rFonts w:ascii="Tahoma" w:hAnsi="Tahoma" w:cs="Tahoma"/>
          <w:sz w:val="22"/>
          <w:szCs w:val="22"/>
        </w:rPr>
      </w:pPr>
    </w:p>
    <w:p w:rsidR="003F04EE" w:rsidRPr="008F3066" w:rsidRDefault="003F04EE" w:rsidP="003F04EE">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w:t>
      </w:r>
      <w:r w:rsidRPr="008F3066">
        <w:rPr>
          <w:rFonts w:ascii="Tahoma" w:hAnsi="Tahoma" w:cs="Tahoma"/>
          <w:iCs/>
          <w:sz w:val="22"/>
          <w:szCs w:val="22"/>
          <w:bdr w:val="none" w:sz="0" w:space="0" w:color="auto" w:frame="1"/>
          <w:shd w:val="clear" w:color="auto" w:fill="FFFFFF"/>
        </w:rPr>
        <w:t xml:space="preserve">la liquidación tenga fuero de atracción sobre todos los procesos ejecutivos de cualquier naturaleza, no puede interpretarse en el sentido de que </w:t>
      </w:r>
      <w:r w:rsidRPr="008F3066">
        <w:rPr>
          <w:rFonts w:ascii="Tahoma" w:hAnsi="Tahoma" w:cs="Tahoma"/>
          <w:sz w:val="22"/>
          <w:szCs w:val="22"/>
        </w:rPr>
        <w:t xml:space="preserve">una vez que finaliza aquel proceso </w:t>
      </w:r>
      <w:proofErr w:type="spellStart"/>
      <w:r w:rsidRPr="008F3066">
        <w:rPr>
          <w:rFonts w:ascii="Tahoma" w:hAnsi="Tahoma" w:cs="Tahoma"/>
          <w:sz w:val="22"/>
          <w:szCs w:val="22"/>
        </w:rPr>
        <w:t>liquidatorio</w:t>
      </w:r>
      <w:proofErr w:type="spellEnd"/>
      <w:r w:rsidRPr="008F3066">
        <w:rPr>
          <w:rFonts w:ascii="Tahoma" w:hAnsi="Tahoma" w:cs="Tahoma"/>
          <w:sz w:val="22"/>
          <w:szCs w:val="22"/>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     </w:t>
      </w:r>
    </w:p>
    <w:p w:rsidR="003F04EE" w:rsidRPr="008F3066" w:rsidRDefault="003F04EE" w:rsidP="003F04EE">
      <w:pPr>
        <w:autoSpaceDE w:val="0"/>
        <w:autoSpaceDN w:val="0"/>
        <w:adjustRightInd w:val="0"/>
        <w:spacing w:line="276" w:lineRule="auto"/>
        <w:ind w:firstLine="708"/>
        <w:jc w:val="both"/>
        <w:rPr>
          <w:rFonts w:ascii="Tahoma" w:hAnsi="Tahoma" w:cs="Tahoma"/>
          <w:sz w:val="22"/>
          <w:szCs w:val="22"/>
        </w:rPr>
      </w:pPr>
    </w:p>
    <w:p w:rsidR="003F04EE" w:rsidRPr="008F3066" w:rsidRDefault="003F04EE" w:rsidP="003F04EE">
      <w:pPr>
        <w:autoSpaceDE w:val="0"/>
        <w:autoSpaceDN w:val="0"/>
        <w:adjustRightInd w:val="0"/>
        <w:spacing w:line="276" w:lineRule="auto"/>
        <w:ind w:firstLine="709"/>
        <w:jc w:val="both"/>
        <w:rPr>
          <w:rFonts w:ascii="Tahoma" w:hAnsi="Tahoma" w:cs="Tahoma"/>
          <w:sz w:val="22"/>
          <w:szCs w:val="22"/>
        </w:rPr>
      </w:pPr>
      <w:r w:rsidRPr="008F3066">
        <w:rPr>
          <w:rFonts w:ascii="Tahoma" w:hAnsi="Tahoma" w:cs="Tahoma"/>
          <w:sz w:val="22"/>
          <w:szCs w:val="22"/>
        </w:rPr>
        <w:t>De estos múltiples textos normativos, aplicables al presente caso, es fácil colegir que las obligaciones laborales que estuvieren a cargo del Instituto de Seguros Sociales no fenecieron</w:t>
      </w:r>
      <w:r>
        <w:rPr>
          <w:rFonts w:ascii="Tahoma" w:hAnsi="Tahoma" w:cs="Tahoma"/>
          <w:sz w:val="22"/>
          <w:szCs w:val="22"/>
        </w:rPr>
        <w:t>,</w:t>
      </w:r>
      <w:r w:rsidRPr="008F3066">
        <w:rPr>
          <w:rFonts w:ascii="Tahoma" w:hAnsi="Tahoma" w:cs="Tahoma"/>
          <w:sz w:val="22"/>
          <w:szCs w:val="22"/>
        </w:rPr>
        <w:t xml:space="preserve"> se itera, con </w:t>
      </w:r>
      <w:r>
        <w:rPr>
          <w:rFonts w:ascii="Tahoma" w:hAnsi="Tahoma" w:cs="Tahoma"/>
          <w:sz w:val="22"/>
          <w:szCs w:val="22"/>
        </w:rPr>
        <w:t>su</w:t>
      </w:r>
      <w:r w:rsidRPr="008F3066">
        <w:rPr>
          <w:rFonts w:ascii="Tahoma" w:hAnsi="Tahoma" w:cs="Tahoma"/>
          <w:sz w:val="22"/>
          <w:szCs w:val="22"/>
        </w:rPr>
        <w:t xml:space="preserve">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8F3066">
        <w:rPr>
          <w:rFonts w:ascii="Tahoma" w:hAnsi="Tahoma" w:cs="Tahoma"/>
          <w:sz w:val="22"/>
          <w:szCs w:val="22"/>
        </w:rPr>
        <w:t>Fiduagraria</w:t>
      </w:r>
      <w:proofErr w:type="spellEnd"/>
      <w:r w:rsidRPr="008F3066">
        <w:rPr>
          <w:rFonts w:ascii="Tahoma" w:hAnsi="Tahoma" w:cs="Tahoma"/>
          <w:sz w:val="22"/>
          <w:szCs w:val="22"/>
        </w:rPr>
        <w:t xml:space="preserve"> S.A. y con cargo a la Nación, representado para este caso en el Ministerio de Salud y Protección Social, al cual se encontraba adscrito el mismo, conforme las voces del  </w:t>
      </w:r>
      <w:r w:rsidRPr="008F3066">
        <w:rPr>
          <w:rFonts w:ascii="Tahoma" w:hAnsi="Tahoma" w:cs="Tahoma"/>
          <w:sz w:val="22"/>
          <w:szCs w:val="22"/>
        </w:rPr>
        <w:lastRenderedPageBreak/>
        <w:t xml:space="preserve">Decreto Ley 4107 de 2011, sin que sea necesario acudir a otra vía judicial a impugnar los actos del liquidador. </w:t>
      </w:r>
    </w:p>
    <w:p w:rsidR="003F04EE" w:rsidRPr="008F3066" w:rsidRDefault="003F04EE" w:rsidP="003F04EE">
      <w:pPr>
        <w:autoSpaceDE w:val="0"/>
        <w:autoSpaceDN w:val="0"/>
        <w:adjustRightInd w:val="0"/>
        <w:spacing w:line="276" w:lineRule="auto"/>
        <w:ind w:firstLine="709"/>
        <w:jc w:val="both"/>
        <w:rPr>
          <w:rFonts w:ascii="Tahoma" w:hAnsi="Tahoma" w:cs="Tahoma"/>
          <w:sz w:val="22"/>
          <w:szCs w:val="22"/>
        </w:rPr>
      </w:pPr>
    </w:p>
    <w:p w:rsidR="003F04EE" w:rsidRPr="008F3066" w:rsidRDefault="003F04EE" w:rsidP="003F04EE">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Y vale la pena indicar que no hay otra vía más que la de un proceso ejecutivo laboral dirigido contra el patrimonio autónomo de remanentes y contra la Nación, para pedir la ejecución de esas obligaciones, la cual, en este caso, se sustenta en un título de recaudo constituido por un fallo judicial debidamente ejecutoriado, situación que encuadra perfectamente en el canon 100 del Compendio Instrumental Laboral y de la Seguridad Social.</w:t>
      </w:r>
    </w:p>
    <w:p w:rsidR="003F04EE" w:rsidRPr="008F3066" w:rsidRDefault="003F04EE" w:rsidP="003F04EE">
      <w:pPr>
        <w:spacing w:line="276" w:lineRule="auto"/>
        <w:jc w:val="both"/>
        <w:rPr>
          <w:rFonts w:ascii="Tahoma" w:hAnsi="Tahoma" w:cs="Tahoma"/>
          <w:sz w:val="22"/>
          <w:szCs w:val="22"/>
        </w:rPr>
      </w:pPr>
    </w:p>
    <w:p w:rsidR="003F04EE" w:rsidRPr="008F3066" w:rsidRDefault="003F04EE" w:rsidP="003F04EE">
      <w:pPr>
        <w:spacing w:line="276" w:lineRule="auto"/>
        <w:jc w:val="both"/>
        <w:rPr>
          <w:rFonts w:ascii="Tahoma" w:hAnsi="Tahoma" w:cs="Tahoma"/>
          <w:sz w:val="22"/>
          <w:szCs w:val="22"/>
        </w:rPr>
      </w:pPr>
      <w:r w:rsidRPr="008F3066">
        <w:rPr>
          <w:rFonts w:ascii="Tahoma" w:hAnsi="Tahoma" w:cs="Tahoma"/>
          <w:sz w:val="22"/>
          <w:szCs w:val="22"/>
        </w:rPr>
        <w:tab/>
        <w:t>Es por lo anterior que me aparto de la decisión mayoritaria adoptada en este caso, pues considero que la jurisdicción laboral es competente para adelantar procesos ejecutivos iniciados con posterioridad a la finalización del proceso concursal de liquidación de una entidad pública, como en este caso el ISS, pues el inicio y finalización de dicho proceso no es un patente de corso para desconocer derechos laborales ciertos e irrenunciables, y negar la competencia en estos casos configura una inaceptable denegación de justicia que no se compadece con los principios constitucionales emanados de la naturaleza social del Estado colombiano.</w:t>
      </w:r>
    </w:p>
    <w:p w:rsidR="003F04EE" w:rsidRPr="008F3066" w:rsidRDefault="003F04EE" w:rsidP="003F04EE">
      <w:pPr>
        <w:spacing w:line="276" w:lineRule="auto"/>
        <w:jc w:val="both"/>
        <w:rPr>
          <w:rFonts w:ascii="Tahoma" w:hAnsi="Tahoma" w:cs="Tahoma"/>
          <w:sz w:val="22"/>
          <w:szCs w:val="22"/>
        </w:rPr>
      </w:pPr>
    </w:p>
    <w:p w:rsidR="003F04EE" w:rsidRPr="008F3066" w:rsidRDefault="003F04EE" w:rsidP="003F04EE">
      <w:pPr>
        <w:spacing w:line="276" w:lineRule="auto"/>
        <w:jc w:val="both"/>
        <w:rPr>
          <w:rFonts w:ascii="Tahoma" w:hAnsi="Tahoma" w:cs="Tahoma"/>
          <w:sz w:val="22"/>
          <w:szCs w:val="22"/>
        </w:rPr>
      </w:pPr>
    </w:p>
    <w:p w:rsidR="003F04EE" w:rsidRDefault="003F04EE" w:rsidP="003F04EE">
      <w:pPr>
        <w:rPr>
          <w:rFonts w:ascii="Tahoma" w:hAnsi="Tahoma" w:cs="Tahoma"/>
          <w:b/>
          <w:bCs/>
          <w:iCs/>
          <w:sz w:val="22"/>
          <w:szCs w:val="22"/>
        </w:rPr>
      </w:pPr>
    </w:p>
    <w:p w:rsidR="003F04EE" w:rsidRDefault="003F04EE" w:rsidP="003F04EE">
      <w:pPr>
        <w:rPr>
          <w:rFonts w:ascii="Tahoma" w:hAnsi="Tahoma" w:cs="Tahoma"/>
          <w:b/>
          <w:bCs/>
          <w:iCs/>
          <w:sz w:val="22"/>
          <w:szCs w:val="22"/>
        </w:rPr>
      </w:pPr>
    </w:p>
    <w:p w:rsidR="003F04EE" w:rsidRDefault="003F04EE" w:rsidP="003F04EE">
      <w:pPr>
        <w:rPr>
          <w:rFonts w:ascii="Tahoma" w:hAnsi="Tahoma" w:cs="Tahoma"/>
          <w:b/>
          <w:bCs/>
          <w:iCs/>
          <w:sz w:val="22"/>
          <w:szCs w:val="22"/>
        </w:rPr>
      </w:pPr>
    </w:p>
    <w:p w:rsidR="003F04EE" w:rsidRPr="008F3066" w:rsidRDefault="003F04EE" w:rsidP="003F04EE">
      <w:pPr>
        <w:rPr>
          <w:rFonts w:ascii="Tahoma" w:hAnsi="Tahoma" w:cs="Tahoma"/>
          <w:b/>
          <w:bCs/>
          <w:iCs/>
          <w:sz w:val="22"/>
          <w:szCs w:val="22"/>
        </w:rPr>
      </w:pPr>
    </w:p>
    <w:p w:rsidR="003F04EE" w:rsidRPr="008F3066" w:rsidRDefault="003F04EE" w:rsidP="003F04EE">
      <w:pPr>
        <w:jc w:val="center"/>
        <w:rPr>
          <w:rFonts w:ascii="Tahoma" w:hAnsi="Tahoma" w:cs="Tahoma"/>
          <w:b/>
          <w:bCs/>
          <w:iCs/>
          <w:sz w:val="22"/>
          <w:szCs w:val="22"/>
        </w:rPr>
      </w:pPr>
      <w:r w:rsidRPr="008F3066">
        <w:rPr>
          <w:rFonts w:ascii="Tahoma" w:hAnsi="Tahoma" w:cs="Tahoma"/>
          <w:b/>
          <w:bCs/>
          <w:iCs/>
          <w:sz w:val="22"/>
          <w:szCs w:val="22"/>
        </w:rPr>
        <w:t>ANA LUCÍA CAICEDO CALDERÓN</w:t>
      </w:r>
    </w:p>
    <w:p w:rsidR="003F04EE" w:rsidRPr="003F04EE" w:rsidRDefault="003F04EE" w:rsidP="003F04EE">
      <w:pPr>
        <w:jc w:val="center"/>
        <w:rPr>
          <w:rFonts w:ascii="Tahoma" w:hAnsi="Tahoma" w:cs="Tahoma"/>
          <w:sz w:val="22"/>
          <w:szCs w:val="22"/>
        </w:rPr>
      </w:pPr>
      <w:r>
        <w:rPr>
          <w:rFonts w:ascii="Tahoma" w:hAnsi="Tahoma" w:cs="Tahoma"/>
          <w:sz w:val="22"/>
          <w:szCs w:val="22"/>
        </w:rPr>
        <w:t>Magistrada</w:t>
      </w:r>
    </w:p>
    <w:sectPr w:rsidR="003F04EE" w:rsidRPr="003F04EE" w:rsidSect="0042049F">
      <w:headerReference w:type="default" r:id="rId7"/>
      <w:footerReference w:type="default" r:id="rId8"/>
      <w:pgSz w:w="12242" w:h="18722" w:code="14"/>
      <w:pgMar w:top="1871" w:right="1304" w:bottom="1304" w:left="187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80" w:rsidRDefault="00E93080" w:rsidP="00126D5B">
      <w:r>
        <w:separator/>
      </w:r>
    </w:p>
  </w:endnote>
  <w:endnote w:type="continuationSeparator" w:id="0">
    <w:p w:rsidR="00E93080" w:rsidRDefault="00E93080" w:rsidP="0012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5F0CE9" w:rsidRPr="00D3744C" w:rsidRDefault="006123F9" w:rsidP="00F25C29">
        <w:pPr>
          <w:pStyle w:val="Piedepgina"/>
          <w:tabs>
            <w:tab w:val="left" w:pos="816"/>
            <w:tab w:val="center" w:pos="4675"/>
          </w:tabs>
          <w:rPr>
            <w:sz w:val="24"/>
          </w:rPr>
        </w:pPr>
        <w:r w:rsidRPr="00D3744C">
          <w:rPr>
            <w:sz w:val="24"/>
          </w:rPr>
          <w:tab/>
        </w:r>
        <w:r w:rsidRPr="00D3744C">
          <w:rPr>
            <w:sz w:val="24"/>
          </w:rPr>
          <w:tab/>
        </w:r>
        <w:r w:rsidRPr="00D3744C">
          <w:rPr>
            <w:sz w:val="24"/>
          </w:rPr>
          <w:tab/>
        </w:r>
        <w:r w:rsidRPr="0042049F">
          <w:rPr>
            <w:sz w:val="20"/>
          </w:rPr>
          <w:fldChar w:fldCharType="begin"/>
        </w:r>
        <w:r w:rsidRPr="0042049F">
          <w:rPr>
            <w:sz w:val="20"/>
          </w:rPr>
          <w:instrText>PAGE   \* MERGEFORMAT</w:instrText>
        </w:r>
        <w:r w:rsidRPr="0042049F">
          <w:rPr>
            <w:sz w:val="20"/>
          </w:rPr>
          <w:fldChar w:fldCharType="separate"/>
        </w:r>
        <w:r w:rsidR="00A251CB">
          <w:rPr>
            <w:noProof/>
            <w:sz w:val="20"/>
          </w:rPr>
          <w:t>5</w:t>
        </w:r>
        <w:r w:rsidRPr="0042049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80" w:rsidRDefault="00E93080" w:rsidP="00126D5B">
      <w:r>
        <w:separator/>
      </w:r>
    </w:p>
  </w:footnote>
  <w:footnote w:type="continuationSeparator" w:id="0">
    <w:p w:rsidR="00E93080" w:rsidRDefault="00E93080" w:rsidP="00126D5B">
      <w:r>
        <w:continuationSeparator/>
      </w:r>
    </w:p>
  </w:footnote>
  <w:footnote w:id="1">
    <w:p w:rsidR="00126D5B" w:rsidRPr="003F04EE" w:rsidRDefault="00126D5B" w:rsidP="00126D5B">
      <w:pPr>
        <w:pStyle w:val="Textonotapie"/>
        <w:rPr>
          <w:sz w:val="18"/>
          <w:szCs w:val="18"/>
          <w:lang w:val="es-CO"/>
        </w:rPr>
      </w:pPr>
      <w:r w:rsidRPr="003F04EE">
        <w:rPr>
          <w:rStyle w:val="Refdenotaalpie"/>
          <w:sz w:val="18"/>
          <w:szCs w:val="18"/>
        </w:rPr>
        <w:footnoteRef/>
      </w:r>
      <w:r w:rsidRPr="003F04EE">
        <w:rPr>
          <w:sz w:val="18"/>
          <w:szCs w:val="18"/>
        </w:rPr>
        <w:t xml:space="preserve"> Expediente 2014-00559-01, demandante Luz Elena Muñoz Villegas vs PAR ISS</w:t>
      </w:r>
    </w:p>
  </w:footnote>
  <w:footnote w:id="2">
    <w:p w:rsidR="003F04EE" w:rsidRPr="003F04EE" w:rsidRDefault="003F04EE" w:rsidP="003F04EE">
      <w:pPr>
        <w:pStyle w:val="Textonotapie"/>
        <w:jc w:val="both"/>
        <w:rPr>
          <w:rFonts w:ascii="Times New Roman" w:hAnsi="Times New Roman"/>
          <w:sz w:val="16"/>
          <w:szCs w:val="16"/>
          <w:lang w:val="es-CO"/>
        </w:rPr>
      </w:pPr>
      <w:r w:rsidRPr="003F04EE">
        <w:rPr>
          <w:rStyle w:val="Refdenotaalpie"/>
          <w:sz w:val="18"/>
          <w:szCs w:val="18"/>
        </w:rPr>
        <w:footnoteRef/>
      </w:r>
      <w:r w:rsidRPr="003F04EE">
        <w:rPr>
          <w:sz w:val="18"/>
          <w:szCs w:val="18"/>
        </w:rPr>
        <w:t xml:space="preserve"> Que dispone que “el acto que ordene la supresión, disolución y liquidación de entidades u organismos administrativos nacionales, debe contener, entre otros, la subrogación de obligaciones y derechos de los organismos o entidades suprimidas o disueltas”)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6123F9" w:rsidP="00A1009B">
    <w:pPr>
      <w:pStyle w:val="Encabezado"/>
      <w:rPr>
        <w:sz w:val="18"/>
        <w:szCs w:val="18"/>
      </w:rPr>
    </w:pPr>
    <w:r>
      <w:rPr>
        <w:sz w:val="18"/>
        <w:szCs w:val="18"/>
      </w:rPr>
      <w:tab/>
      <w:t xml:space="preserve">Recurso de apelación </w:t>
    </w:r>
  </w:p>
  <w:p w:rsidR="00E67FA4" w:rsidRDefault="006123F9" w:rsidP="00A56EF5">
    <w:pPr>
      <w:pStyle w:val="Encabezado"/>
      <w:jc w:val="center"/>
      <w:rPr>
        <w:rFonts w:eastAsia="Calibri"/>
        <w:sz w:val="18"/>
        <w:szCs w:val="18"/>
        <w:lang w:eastAsia="en-US"/>
      </w:rPr>
    </w:pPr>
    <w:r w:rsidRPr="00945634">
      <w:rPr>
        <w:rFonts w:eastAsia="Calibri"/>
        <w:sz w:val="18"/>
        <w:szCs w:val="18"/>
        <w:lang w:eastAsia="en-US"/>
      </w:rPr>
      <w:t>66001</w:t>
    </w:r>
    <w:r>
      <w:rPr>
        <w:rFonts w:eastAsia="Calibri"/>
        <w:sz w:val="18"/>
        <w:szCs w:val="18"/>
        <w:lang w:eastAsia="en-US"/>
      </w:rPr>
      <w:t>-31-05-00</w:t>
    </w:r>
    <w:r w:rsidR="00210DA9">
      <w:rPr>
        <w:rFonts w:eastAsia="Calibri"/>
        <w:sz w:val="18"/>
        <w:szCs w:val="18"/>
        <w:lang w:eastAsia="en-US"/>
      </w:rPr>
      <w:t>3</w:t>
    </w:r>
    <w:r>
      <w:rPr>
        <w:rFonts w:eastAsia="Calibri"/>
        <w:sz w:val="18"/>
        <w:szCs w:val="18"/>
        <w:lang w:eastAsia="en-US"/>
      </w:rPr>
      <w:t>-201</w:t>
    </w:r>
    <w:r w:rsidR="00210DA9">
      <w:rPr>
        <w:rFonts w:eastAsia="Calibri"/>
        <w:sz w:val="18"/>
        <w:szCs w:val="18"/>
        <w:lang w:eastAsia="en-US"/>
      </w:rPr>
      <w:t>0</w:t>
    </w:r>
    <w:r>
      <w:rPr>
        <w:rFonts w:eastAsia="Calibri"/>
        <w:sz w:val="18"/>
        <w:szCs w:val="18"/>
        <w:lang w:eastAsia="en-US"/>
      </w:rPr>
      <w:t>-00</w:t>
    </w:r>
    <w:r w:rsidR="00210DA9">
      <w:rPr>
        <w:rFonts w:eastAsia="Calibri"/>
        <w:sz w:val="18"/>
        <w:szCs w:val="18"/>
        <w:lang w:eastAsia="en-US"/>
      </w:rPr>
      <w:t>776</w:t>
    </w:r>
    <w:r>
      <w:rPr>
        <w:rFonts w:eastAsia="Calibri"/>
        <w:sz w:val="18"/>
        <w:szCs w:val="18"/>
        <w:lang w:eastAsia="en-US"/>
      </w:rPr>
      <w:t>-02</w:t>
    </w:r>
  </w:p>
  <w:p w:rsidR="0003251B" w:rsidRDefault="00210DA9" w:rsidP="00A56EF5">
    <w:pPr>
      <w:pStyle w:val="Encabezado"/>
      <w:jc w:val="center"/>
      <w:rPr>
        <w:rFonts w:eastAsia="Calibri"/>
        <w:sz w:val="18"/>
        <w:szCs w:val="18"/>
        <w:lang w:eastAsia="en-US"/>
      </w:rPr>
    </w:pPr>
    <w:r>
      <w:rPr>
        <w:rFonts w:eastAsia="Calibri"/>
        <w:sz w:val="18"/>
        <w:szCs w:val="18"/>
        <w:lang w:eastAsia="en-US"/>
      </w:rPr>
      <w:t>Blanca Ruth Uribe Holguín</w:t>
    </w:r>
    <w:r w:rsidR="006123F9">
      <w:rPr>
        <w:rFonts w:eastAsia="Calibri"/>
        <w:sz w:val="18"/>
        <w:szCs w:val="18"/>
        <w:lang w:eastAsia="en-US"/>
      </w:rPr>
      <w:t xml:space="preserve"> vs Patrimonio Autónomo de remanentes PARISS</w:t>
    </w:r>
    <w:r>
      <w:rPr>
        <w:rFonts w:eastAsia="Calibri"/>
        <w:sz w:val="18"/>
        <w:szCs w:val="18"/>
        <w:lang w:eastAsia="en-US"/>
      </w:rPr>
      <w:t xml:space="preserve"> y vinculado Ministerio de Salud y Protección Social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EC"/>
    <w:rsid w:val="00081F68"/>
    <w:rsid w:val="00091EFC"/>
    <w:rsid w:val="000C4B96"/>
    <w:rsid w:val="0012448A"/>
    <w:rsid w:val="00126D5B"/>
    <w:rsid w:val="001A52A0"/>
    <w:rsid w:val="00210DA9"/>
    <w:rsid w:val="002874FD"/>
    <w:rsid w:val="002B34A3"/>
    <w:rsid w:val="002C63AE"/>
    <w:rsid w:val="00322B0D"/>
    <w:rsid w:val="003E6C0D"/>
    <w:rsid w:val="003F04EE"/>
    <w:rsid w:val="0042049F"/>
    <w:rsid w:val="004525D0"/>
    <w:rsid w:val="004B720F"/>
    <w:rsid w:val="004E64A4"/>
    <w:rsid w:val="004F2985"/>
    <w:rsid w:val="00542E9F"/>
    <w:rsid w:val="005737C8"/>
    <w:rsid w:val="005A5021"/>
    <w:rsid w:val="006123F9"/>
    <w:rsid w:val="00722EFD"/>
    <w:rsid w:val="00743930"/>
    <w:rsid w:val="00773B08"/>
    <w:rsid w:val="00775AF7"/>
    <w:rsid w:val="0079116D"/>
    <w:rsid w:val="007957FD"/>
    <w:rsid w:val="007B03A7"/>
    <w:rsid w:val="00877FA8"/>
    <w:rsid w:val="009322A9"/>
    <w:rsid w:val="00977307"/>
    <w:rsid w:val="00A251CB"/>
    <w:rsid w:val="00A60406"/>
    <w:rsid w:val="00A943D1"/>
    <w:rsid w:val="00B27CBD"/>
    <w:rsid w:val="00BC325C"/>
    <w:rsid w:val="00C23807"/>
    <w:rsid w:val="00C31267"/>
    <w:rsid w:val="00C65952"/>
    <w:rsid w:val="00CF0E38"/>
    <w:rsid w:val="00D26818"/>
    <w:rsid w:val="00D62C91"/>
    <w:rsid w:val="00D76A64"/>
    <w:rsid w:val="00DB0949"/>
    <w:rsid w:val="00DB706E"/>
    <w:rsid w:val="00E576EC"/>
    <w:rsid w:val="00E87B26"/>
    <w:rsid w:val="00E93080"/>
    <w:rsid w:val="00EF15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1127-AD69-4408-AB95-830580F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5B"/>
    <w:pPr>
      <w:spacing w:after="0" w:line="240" w:lineRule="auto"/>
    </w:pPr>
    <w:rPr>
      <w:rFonts w:ascii="Arial" w:eastAsia="Times New Roman" w:hAnsi="Arial" w:cs="Times New Roman"/>
      <w:sz w:val="28"/>
      <w:szCs w:val="24"/>
      <w:lang w:eastAsia="es-ES"/>
    </w:rPr>
  </w:style>
  <w:style w:type="paragraph" w:styleId="Ttulo1">
    <w:name w:val="heading 1"/>
    <w:basedOn w:val="Normal"/>
    <w:next w:val="Normal"/>
    <w:link w:val="Ttulo1Car"/>
    <w:qFormat/>
    <w:rsid w:val="003F04EE"/>
    <w:pPr>
      <w:keepNext/>
      <w:widowControl w:val="0"/>
      <w:autoSpaceDE w:val="0"/>
      <w:autoSpaceDN w:val="0"/>
      <w:adjustRightInd w:val="0"/>
      <w:jc w:val="center"/>
      <w:outlineLvl w:val="0"/>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126D5B"/>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126D5B"/>
    <w:rPr>
      <w:rFonts w:cs="Arial"/>
      <w:sz w:val="22"/>
      <w:szCs w:val="22"/>
    </w:rPr>
  </w:style>
  <w:style w:type="character" w:customStyle="1" w:styleId="TextonotapieCar1">
    <w:name w:val="Texto nota pie Car1"/>
    <w:basedOn w:val="Fuentedeprrafopredeter"/>
    <w:uiPriority w:val="99"/>
    <w:semiHidden/>
    <w:rsid w:val="00126D5B"/>
    <w:rPr>
      <w:rFonts w:ascii="Arial" w:eastAsia="Times New Roman" w:hAnsi="Arial" w:cs="Times New Roman"/>
      <w:sz w:val="20"/>
      <w:szCs w:val="20"/>
      <w:lang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126D5B"/>
    <w:rPr>
      <w:vertAlign w:val="superscript"/>
    </w:rPr>
  </w:style>
  <w:style w:type="paragraph" w:styleId="Piedepgina">
    <w:name w:val="footer"/>
    <w:basedOn w:val="Normal"/>
    <w:link w:val="PiedepginaCar"/>
    <w:uiPriority w:val="99"/>
    <w:unhideWhenUsed/>
    <w:rsid w:val="00126D5B"/>
    <w:pPr>
      <w:tabs>
        <w:tab w:val="center" w:pos="4419"/>
        <w:tab w:val="right" w:pos="8838"/>
      </w:tabs>
    </w:pPr>
  </w:style>
  <w:style w:type="character" w:customStyle="1" w:styleId="PiedepginaCar">
    <w:name w:val="Pie de página Car"/>
    <w:basedOn w:val="Fuentedeprrafopredeter"/>
    <w:link w:val="Piedepgina"/>
    <w:uiPriority w:val="99"/>
    <w:rsid w:val="00126D5B"/>
    <w:rPr>
      <w:rFonts w:ascii="Arial" w:eastAsia="Times New Roman" w:hAnsi="Arial" w:cs="Times New Roman"/>
      <w:sz w:val="28"/>
      <w:szCs w:val="24"/>
      <w:lang w:eastAsia="es-ES"/>
    </w:rPr>
  </w:style>
  <w:style w:type="paragraph" w:styleId="Encabezado">
    <w:name w:val="header"/>
    <w:basedOn w:val="Normal"/>
    <w:link w:val="EncabezadoCar"/>
    <w:uiPriority w:val="99"/>
    <w:unhideWhenUsed/>
    <w:rsid w:val="00126D5B"/>
    <w:pPr>
      <w:tabs>
        <w:tab w:val="center" w:pos="4252"/>
        <w:tab w:val="right" w:pos="8504"/>
      </w:tabs>
    </w:pPr>
  </w:style>
  <w:style w:type="character" w:customStyle="1" w:styleId="EncabezadoCar">
    <w:name w:val="Encabezado Car"/>
    <w:basedOn w:val="Fuentedeprrafopredeter"/>
    <w:link w:val="Encabezado"/>
    <w:uiPriority w:val="99"/>
    <w:rsid w:val="00126D5B"/>
    <w:rPr>
      <w:rFonts w:ascii="Arial" w:eastAsia="Times New Roman" w:hAnsi="Arial" w:cs="Times New Roman"/>
      <w:sz w:val="28"/>
      <w:szCs w:val="24"/>
      <w:lang w:eastAsia="es-ES"/>
    </w:rPr>
  </w:style>
  <w:style w:type="paragraph" w:styleId="Textoindependiente">
    <w:name w:val="Body Text"/>
    <w:basedOn w:val="Normal"/>
    <w:link w:val="TextoindependienteCar"/>
    <w:uiPriority w:val="99"/>
    <w:rsid w:val="00126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126D5B"/>
    <w:rPr>
      <w:rFonts w:ascii="Verdana" w:eastAsia="Times New Roman" w:hAnsi="Verdana" w:cs="Verdana"/>
      <w:spacing w:val="-3"/>
      <w:sz w:val="24"/>
      <w:szCs w:val="24"/>
      <w:lang w:val="es-ES_tradnl" w:eastAsia="es-ES"/>
    </w:rPr>
  </w:style>
  <w:style w:type="paragraph" w:styleId="Sinespaciado">
    <w:name w:val="No Spacing"/>
    <w:link w:val="SinespaciadoCar"/>
    <w:uiPriority w:val="1"/>
    <w:qFormat/>
    <w:rsid w:val="00126D5B"/>
    <w:pPr>
      <w:spacing w:after="0" w:line="240" w:lineRule="auto"/>
    </w:pPr>
    <w:rPr>
      <w:rFonts w:ascii="Arial" w:eastAsia="Times New Roman" w:hAnsi="Arial" w:cs="Times New Roman"/>
      <w:sz w:val="28"/>
      <w:szCs w:val="24"/>
      <w:lang w:eastAsia="es-ES"/>
    </w:rPr>
  </w:style>
  <w:style w:type="character" w:customStyle="1" w:styleId="SinespaciadoCar">
    <w:name w:val="Sin espaciado Car"/>
    <w:link w:val="Sinespaciado"/>
    <w:uiPriority w:val="1"/>
    <w:locked/>
    <w:rsid w:val="00126D5B"/>
    <w:rPr>
      <w:rFonts w:ascii="Arial" w:eastAsia="Times New Roman" w:hAnsi="Arial" w:cs="Times New Roman"/>
      <w:sz w:val="28"/>
      <w:szCs w:val="24"/>
      <w:lang w:eastAsia="es-ES"/>
    </w:rPr>
  </w:style>
  <w:style w:type="paragraph" w:customStyle="1" w:styleId="Standard">
    <w:name w:val="Standard"/>
    <w:rsid w:val="00126D5B"/>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character" w:styleId="Textoennegrita">
    <w:name w:val="Strong"/>
    <w:basedOn w:val="Fuentedeprrafopredeter"/>
    <w:qFormat/>
    <w:rsid w:val="00126D5B"/>
    <w:rPr>
      <w:b/>
      <w:bCs/>
    </w:rPr>
  </w:style>
  <w:style w:type="paragraph" w:styleId="Textodeglobo">
    <w:name w:val="Balloon Text"/>
    <w:basedOn w:val="Normal"/>
    <w:link w:val="TextodegloboCar"/>
    <w:uiPriority w:val="99"/>
    <w:semiHidden/>
    <w:unhideWhenUsed/>
    <w:rsid w:val="00091E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EFC"/>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3F04EE"/>
    <w:rPr>
      <w:rFonts w:ascii="Arial" w:eastAsia="Times New Roman" w:hAnsi="Arial" w:cs="Arial"/>
      <w:b/>
      <w:sz w:val="28"/>
      <w:szCs w:val="24"/>
      <w:lang w:eastAsia="es-ES"/>
    </w:rPr>
  </w:style>
  <w:style w:type="paragraph" w:styleId="Puesto">
    <w:name w:val="Title"/>
    <w:basedOn w:val="Normal"/>
    <w:link w:val="PuestoCar"/>
    <w:qFormat/>
    <w:rsid w:val="003F04EE"/>
    <w:pPr>
      <w:spacing w:line="360" w:lineRule="auto"/>
      <w:jc w:val="center"/>
    </w:pPr>
    <w:rPr>
      <w:rFonts w:ascii="Arial Narrow" w:eastAsia="Calibri" w:hAnsi="Arial Narrow" w:cs="Arial"/>
      <w:b/>
      <w:sz w:val="24"/>
    </w:rPr>
  </w:style>
  <w:style w:type="character" w:customStyle="1" w:styleId="PuestoCar">
    <w:name w:val="Puesto Car"/>
    <w:basedOn w:val="Fuentedeprrafopredeter"/>
    <w:link w:val="Puesto"/>
    <w:rsid w:val="003F04EE"/>
    <w:rPr>
      <w:rFonts w:ascii="Arial Narrow" w:eastAsia="Calibri" w:hAnsi="Arial Narrow"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3280</Words>
  <Characters>18040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11</cp:revision>
  <cp:lastPrinted>2019-02-27T16:08:00Z</cp:lastPrinted>
  <dcterms:created xsi:type="dcterms:W3CDTF">2019-02-27T15:52:00Z</dcterms:created>
  <dcterms:modified xsi:type="dcterms:W3CDTF">2019-04-03T13:20:00Z</dcterms:modified>
</cp:coreProperties>
</file>