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02" w:rsidRPr="00A56502" w:rsidRDefault="00A56502" w:rsidP="00A565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A5650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6502" w:rsidRPr="00A56502" w:rsidRDefault="00A56502" w:rsidP="00A56502">
      <w:pPr>
        <w:jc w:val="both"/>
        <w:rPr>
          <w:rFonts w:ascii="Arial" w:hAnsi="Arial" w:cs="Arial"/>
          <w:sz w:val="20"/>
          <w:lang w:val="es-419"/>
        </w:rPr>
      </w:pPr>
    </w:p>
    <w:p w:rsidR="00B52D16" w:rsidRPr="00B52D16" w:rsidRDefault="00B52D16" w:rsidP="00B52D16">
      <w:pPr>
        <w:jc w:val="both"/>
        <w:rPr>
          <w:rFonts w:ascii="Arial" w:hAnsi="Arial" w:cs="Arial"/>
          <w:sz w:val="20"/>
          <w:lang w:val="es-419"/>
        </w:rPr>
      </w:pPr>
      <w:r w:rsidRPr="00B52D16">
        <w:rPr>
          <w:rFonts w:ascii="Arial" w:hAnsi="Arial" w:cs="Arial"/>
          <w:sz w:val="20"/>
          <w:lang w:val="es-419"/>
        </w:rPr>
        <w:t>Providencia:</w:t>
      </w:r>
      <w:r w:rsidRPr="00B52D16">
        <w:rPr>
          <w:rFonts w:ascii="Arial" w:hAnsi="Arial" w:cs="Arial"/>
          <w:sz w:val="20"/>
          <w:lang w:val="es-419"/>
        </w:rPr>
        <w:tab/>
      </w:r>
      <w:r w:rsidRPr="00B52D16">
        <w:rPr>
          <w:rFonts w:ascii="Arial" w:hAnsi="Arial" w:cs="Arial"/>
          <w:sz w:val="20"/>
          <w:lang w:val="es-419"/>
        </w:rPr>
        <w:tab/>
        <w:t>Sentencia de Segunda Instancia</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Radicación No:</w:t>
      </w:r>
      <w:r w:rsidRPr="00B52D16">
        <w:rPr>
          <w:rFonts w:ascii="Arial" w:hAnsi="Arial" w:cs="Arial"/>
          <w:sz w:val="20"/>
          <w:lang w:val="es-419"/>
        </w:rPr>
        <w:tab/>
      </w:r>
      <w:r w:rsidRPr="00B52D16">
        <w:rPr>
          <w:rFonts w:ascii="Arial" w:hAnsi="Arial" w:cs="Arial"/>
          <w:sz w:val="20"/>
          <w:lang w:val="es-419"/>
        </w:rPr>
        <w:tab/>
        <w:t>66001-31-05-005-2015-00166-01</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Proceso:</w:t>
      </w:r>
      <w:r w:rsidRPr="00B52D16">
        <w:rPr>
          <w:rFonts w:ascii="Arial" w:hAnsi="Arial" w:cs="Arial"/>
          <w:sz w:val="20"/>
          <w:lang w:val="es-419"/>
        </w:rPr>
        <w:tab/>
      </w:r>
      <w:r w:rsidRPr="00B52D16">
        <w:rPr>
          <w:rFonts w:ascii="Arial" w:hAnsi="Arial" w:cs="Arial"/>
          <w:sz w:val="20"/>
          <w:lang w:val="es-419"/>
        </w:rPr>
        <w:tab/>
        <w:t>Ordinario Laboral.</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Demandante:</w:t>
      </w:r>
      <w:r>
        <w:rPr>
          <w:rFonts w:ascii="Arial" w:hAnsi="Arial" w:cs="Arial"/>
          <w:sz w:val="20"/>
          <w:lang w:val="es-419"/>
        </w:rPr>
        <w:tab/>
      </w:r>
      <w:r w:rsidRPr="00B52D16">
        <w:rPr>
          <w:rFonts w:ascii="Arial" w:hAnsi="Arial" w:cs="Arial"/>
          <w:sz w:val="20"/>
          <w:lang w:val="es-419"/>
        </w:rPr>
        <w:tab/>
        <w:t>María Judith Muñoz de Serna (q.e.p.d.)</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Demandado:</w:t>
      </w:r>
      <w:r w:rsidRPr="00B52D16">
        <w:rPr>
          <w:rFonts w:ascii="Arial" w:hAnsi="Arial" w:cs="Arial"/>
          <w:sz w:val="20"/>
          <w:lang w:val="es-419"/>
        </w:rPr>
        <w:tab/>
      </w:r>
      <w:r w:rsidRPr="00B52D16">
        <w:rPr>
          <w:rFonts w:ascii="Arial" w:hAnsi="Arial" w:cs="Arial"/>
          <w:sz w:val="20"/>
          <w:lang w:val="es-419"/>
        </w:rPr>
        <w:tab/>
        <w:t xml:space="preserve">Colpensiones </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Vinculados:</w:t>
      </w:r>
      <w:r w:rsidRPr="00B52D16">
        <w:rPr>
          <w:rFonts w:ascii="Arial" w:hAnsi="Arial" w:cs="Arial"/>
          <w:sz w:val="20"/>
          <w:lang w:val="es-419"/>
        </w:rPr>
        <w:tab/>
      </w:r>
      <w:r w:rsidRPr="00B52D16">
        <w:rPr>
          <w:rFonts w:ascii="Arial" w:hAnsi="Arial" w:cs="Arial"/>
          <w:sz w:val="20"/>
          <w:lang w:val="es-419"/>
        </w:rPr>
        <w:tab/>
        <w:t>María del Socorro Suaza Villa</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ab/>
      </w:r>
      <w:r w:rsidRPr="00B52D16">
        <w:rPr>
          <w:rFonts w:ascii="Arial" w:hAnsi="Arial" w:cs="Arial"/>
          <w:sz w:val="20"/>
          <w:lang w:val="es-419"/>
        </w:rPr>
        <w:tab/>
      </w:r>
      <w:r w:rsidRPr="00B52D16">
        <w:rPr>
          <w:rFonts w:ascii="Arial" w:hAnsi="Arial" w:cs="Arial"/>
          <w:sz w:val="20"/>
          <w:lang w:val="es-419"/>
        </w:rPr>
        <w:tab/>
        <w:t>Héctor Fabio Serna Suaza</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ab/>
      </w:r>
      <w:r w:rsidRPr="00B52D16">
        <w:rPr>
          <w:rFonts w:ascii="Arial" w:hAnsi="Arial" w:cs="Arial"/>
          <w:sz w:val="20"/>
          <w:lang w:val="es-419"/>
        </w:rPr>
        <w:tab/>
      </w:r>
      <w:r w:rsidRPr="00B52D16">
        <w:rPr>
          <w:rFonts w:ascii="Arial" w:hAnsi="Arial" w:cs="Arial"/>
          <w:sz w:val="20"/>
          <w:lang w:val="es-419"/>
        </w:rPr>
        <w:tab/>
        <w:t>Nini Johana Serna Suaza</w:t>
      </w:r>
    </w:p>
    <w:p w:rsidR="00B52D16" w:rsidRPr="00B52D16" w:rsidRDefault="00B52D16" w:rsidP="00B52D16">
      <w:pPr>
        <w:jc w:val="both"/>
        <w:rPr>
          <w:rFonts w:ascii="Arial" w:hAnsi="Arial" w:cs="Arial"/>
          <w:sz w:val="20"/>
          <w:lang w:val="es-419"/>
        </w:rPr>
      </w:pPr>
      <w:r w:rsidRPr="00B52D16">
        <w:rPr>
          <w:rFonts w:ascii="Arial" w:hAnsi="Arial" w:cs="Arial"/>
          <w:sz w:val="20"/>
          <w:lang w:val="es-419"/>
        </w:rPr>
        <w:t xml:space="preserve">Juzgado de origen:     </w:t>
      </w:r>
      <w:r w:rsidRPr="00B52D16">
        <w:rPr>
          <w:rFonts w:ascii="Arial" w:hAnsi="Arial" w:cs="Arial"/>
          <w:sz w:val="20"/>
          <w:lang w:val="es-419"/>
        </w:rPr>
        <w:tab/>
        <w:t>Quinto Laboral del Circuito de Pereira.</w:t>
      </w:r>
    </w:p>
    <w:p w:rsidR="00A56502" w:rsidRPr="00A56502" w:rsidRDefault="00A56502" w:rsidP="00B52D16">
      <w:pPr>
        <w:jc w:val="both"/>
        <w:rPr>
          <w:rFonts w:ascii="Arial" w:hAnsi="Arial" w:cs="Arial"/>
          <w:sz w:val="20"/>
          <w:lang w:val="es-419"/>
        </w:rPr>
      </w:pPr>
    </w:p>
    <w:p w:rsidR="00A56502" w:rsidRPr="008B7EAA" w:rsidRDefault="00A56502" w:rsidP="00A56502">
      <w:pPr>
        <w:jc w:val="both"/>
        <w:rPr>
          <w:rFonts w:ascii="Arial" w:eastAsia="Calibri" w:hAnsi="Arial" w:cs="Arial"/>
          <w:b/>
          <w:bCs/>
          <w:iCs/>
          <w:sz w:val="20"/>
          <w:lang w:val="es-CO" w:eastAsia="fr-FR"/>
        </w:rPr>
      </w:pPr>
      <w:r w:rsidRPr="00A56502">
        <w:rPr>
          <w:rFonts w:ascii="Arial" w:eastAsia="Calibri" w:hAnsi="Arial" w:cs="Arial"/>
          <w:b/>
          <w:bCs/>
          <w:iCs/>
          <w:sz w:val="20"/>
          <w:lang w:val="es-419" w:eastAsia="fr-FR"/>
        </w:rPr>
        <w:t>TEMAS:</w:t>
      </w:r>
      <w:r w:rsidRPr="00A56502">
        <w:rPr>
          <w:rFonts w:ascii="Arial" w:eastAsia="Calibri" w:hAnsi="Arial" w:cs="Arial"/>
          <w:b/>
          <w:bCs/>
          <w:iCs/>
          <w:sz w:val="20"/>
          <w:lang w:val="es-419" w:eastAsia="fr-FR"/>
        </w:rPr>
        <w:tab/>
      </w:r>
      <w:r w:rsidR="00B52D16" w:rsidRPr="00B52D16">
        <w:rPr>
          <w:rFonts w:ascii="Arial" w:eastAsia="Calibri" w:hAnsi="Arial" w:cs="Arial"/>
          <w:b/>
          <w:sz w:val="20"/>
          <w:lang w:val="es-419" w:eastAsia="en-US"/>
        </w:rPr>
        <w:t xml:space="preserve">PENSIÓN DE SOBREVIVIENTES </w:t>
      </w:r>
      <w:r w:rsidR="008B7EAA">
        <w:rPr>
          <w:rFonts w:ascii="Arial" w:eastAsia="Calibri" w:hAnsi="Arial" w:cs="Arial"/>
          <w:b/>
          <w:sz w:val="20"/>
          <w:lang w:val="es-CO" w:eastAsia="en-US"/>
        </w:rPr>
        <w:t>/</w:t>
      </w:r>
      <w:r w:rsidR="00B52D16" w:rsidRPr="00B52D16">
        <w:rPr>
          <w:rFonts w:ascii="Arial" w:eastAsia="Calibri" w:hAnsi="Arial" w:cs="Arial"/>
          <w:b/>
          <w:sz w:val="20"/>
          <w:lang w:val="es-419" w:eastAsia="en-US"/>
        </w:rPr>
        <w:t xml:space="preserve"> DEPENDENCIA ECONÓMICA DE LOS PADRES </w:t>
      </w:r>
      <w:r w:rsidR="008B7EAA">
        <w:rPr>
          <w:rFonts w:ascii="Arial" w:eastAsia="Calibri" w:hAnsi="Arial" w:cs="Arial"/>
          <w:b/>
          <w:sz w:val="20"/>
          <w:lang w:val="es-CO" w:eastAsia="en-US"/>
        </w:rPr>
        <w:t xml:space="preserve">/ </w:t>
      </w:r>
      <w:r w:rsidR="00B52D16" w:rsidRPr="00B52D16">
        <w:rPr>
          <w:rFonts w:ascii="Arial" w:eastAsia="Calibri" w:hAnsi="Arial" w:cs="Arial"/>
          <w:b/>
          <w:sz w:val="20"/>
          <w:lang w:val="es-419" w:eastAsia="en-US"/>
        </w:rPr>
        <w:t xml:space="preserve">DEBE SER CIERTA, REGULAR Y SIGNIFICATIVA </w:t>
      </w:r>
      <w:r w:rsidR="008B7EAA">
        <w:rPr>
          <w:rFonts w:ascii="Arial" w:eastAsia="Calibri" w:hAnsi="Arial" w:cs="Arial"/>
          <w:b/>
          <w:sz w:val="20"/>
          <w:lang w:val="es-CO" w:eastAsia="en-US"/>
        </w:rPr>
        <w:t>/ VALORACIÓN PROBATORIA: DECLARACIONES EXTRA JUICIO Y PRUEBA TRASLADADA / REQUISITOS PARA SU VALIDEZ.</w:t>
      </w:r>
    </w:p>
    <w:p w:rsidR="00A56502" w:rsidRPr="00A56502" w:rsidRDefault="00A56502" w:rsidP="00A56502">
      <w:pPr>
        <w:jc w:val="both"/>
        <w:rPr>
          <w:rFonts w:ascii="Arial" w:hAnsi="Arial" w:cs="Arial"/>
          <w:sz w:val="20"/>
          <w:lang w:val="es-419"/>
        </w:rPr>
      </w:pPr>
    </w:p>
    <w:p w:rsidR="00A56502" w:rsidRDefault="00C6446B" w:rsidP="00A56502">
      <w:pPr>
        <w:jc w:val="both"/>
        <w:rPr>
          <w:rFonts w:ascii="Arial" w:hAnsi="Arial" w:cs="Arial"/>
          <w:sz w:val="20"/>
          <w:lang w:val="es-CO"/>
        </w:rPr>
      </w:pPr>
      <w:r w:rsidRPr="00C6446B">
        <w:rPr>
          <w:rFonts w:ascii="Arial" w:hAnsi="Arial" w:cs="Arial"/>
          <w:sz w:val="20"/>
          <w:lang w:val="es-419"/>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w:t>
      </w:r>
      <w:r>
        <w:rPr>
          <w:rFonts w:ascii="Arial" w:hAnsi="Arial" w:cs="Arial"/>
          <w:sz w:val="20"/>
          <w:lang w:val="es-CO"/>
        </w:rPr>
        <w:t>…</w:t>
      </w:r>
    </w:p>
    <w:p w:rsidR="00C6446B" w:rsidRDefault="00C6446B" w:rsidP="00A56502">
      <w:pPr>
        <w:jc w:val="both"/>
        <w:rPr>
          <w:rFonts w:ascii="Arial" w:hAnsi="Arial" w:cs="Arial"/>
          <w:sz w:val="20"/>
          <w:lang w:val="es-CO"/>
        </w:rPr>
      </w:pPr>
    </w:p>
    <w:p w:rsidR="00C6446B" w:rsidRPr="00C6446B" w:rsidRDefault="00C6446B" w:rsidP="00A56502">
      <w:pPr>
        <w:jc w:val="both"/>
        <w:rPr>
          <w:rFonts w:ascii="Arial" w:hAnsi="Arial" w:cs="Arial"/>
          <w:sz w:val="20"/>
          <w:lang w:val="es-CO"/>
        </w:rPr>
      </w:pPr>
      <w:r w:rsidRPr="00C6446B">
        <w:rPr>
          <w:rFonts w:ascii="Arial" w:hAnsi="Arial" w:cs="Arial"/>
          <w:sz w:val="20"/>
          <w:lang w:val="es-CO"/>
        </w:rPr>
        <w:t xml:space="preserve">Esa misma corporación preciso como características que debe tener la ayuda dada por los hijos a los padres para que estos adquieran la condición de dependientes económicamente, ser </w:t>
      </w:r>
      <w:r w:rsidRPr="008B7EAA">
        <w:rPr>
          <w:rFonts w:ascii="Arial" w:hAnsi="Arial" w:cs="Arial"/>
          <w:b/>
          <w:sz w:val="20"/>
          <w:lang w:val="es-CO"/>
        </w:rPr>
        <w:t>cierta</w:t>
      </w:r>
      <w:r w:rsidRPr="00C6446B">
        <w:rPr>
          <w:rFonts w:ascii="Arial" w:hAnsi="Arial" w:cs="Arial"/>
          <w:sz w:val="20"/>
          <w:lang w:val="es-CO"/>
        </w:rPr>
        <w:t xml:space="preserve">, en cuanto deben recibirse efectivamente recursos provenientes del causante; </w:t>
      </w:r>
      <w:r w:rsidRPr="008B7EAA">
        <w:rPr>
          <w:rFonts w:ascii="Arial" w:hAnsi="Arial" w:cs="Arial"/>
          <w:b/>
          <w:sz w:val="20"/>
          <w:lang w:val="es-CO"/>
        </w:rPr>
        <w:t>regular</w:t>
      </w:r>
      <w:r w:rsidRPr="00C6446B">
        <w:rPr>
          <w:rFonts w:ascii="Arial" w:hAnsi="Arial" w:cs="Arial"/>
          <w:sz w:val="20"/>
          <w:lang w:val="es-CO"/>
        </w:rPr>
        <w:t xml:space="preserve">, esto es, que no sea ocasional y; </w:t>
      </w:r>
      <w:r w:rsidRPr="008B7EAA">
        <w:rPr>
          <w:rFonts w:ascii="Arial" w:hAnsi="Arial" w:cs="Arial"/>
          <w:b/>
          <w:sz w:val="20"/>
          <w:lang w:val="es-CO"/>
        </w:rPr>
        <w:t>significativa</w:t>
      </w:r>
      <w:r w:rsidRPr="00C6446B">
        <w:rPr>
          <w:rFonts w:ascii="Arial" w:hAnsi="Arial" w:cs="Arial"/>
          <w:sz w:val="20"/>
          <w:lang w:val="es-CO"/>
        </w:rPr>
        <w:t>, en relación con otros ingresos del actor, que constituya un verdadero sustento económico</w:t>
      </w:r>
      <w:r>
        <w:rPr>
          <w:rFonts w:ascii="Arial" w:hAnsi="Arial" w:cs="Arial"/>
          <w:sz w:val="20"/>
          <w:lang w:val="es-CO"/>
        </w:rPr>
        <w:t>…</w:t>
      </w:r>
    </w:p>
    <w:p w:rsidR="00A56502" w:rsidRPr="00A56502" w:rsidRDefault="00A56502" w:rsidP="00A56502">
      <w:pPr>
        <w:jc w:val="both"/>
        <w:rPr>
          <w:rFonts w:ascii="Arial" w:hAnsi="Arial" w:cs="Arial"/>
          <w:sz w:val="20"/>
          <w:lang w:val="es-419"/>
        </w:rPr>
      </w:pPr>
    </w:p>
    <w:p w:rsidR="00A56502" w:rsidRDefault="00DD0332" w:rsidP="00A56502">
      <w:pPr>
        <w:jc w:val="both"/>
        <w:rPr>
          <w:rFonts w:ascii="Arial" w:hAnsi="Arial" w:cs="Arial"/>
          <w:sz w:val="20"/>
          <w:lang w:val="es-CO"/>
        </w:rPr>
      </w:pPr>
      <w:r>
        <w:rPr>
          <w:rFonts w:ascii="Arial" w:hAnsi="Arial" w:cs="Arial"/>
          <w:sz w:val="20"/>
          <w:lang w:val="es-CO"/>
        </w:rPr>
        <w:t>… pese</w:t>
      </w:r>
      <w:r w:rsidRPr="00DD0332">
        <w:rPr>
          <w:rFonts w:ascii="Arial" w:hAnsi="Arial" w:cs="Arial"/>
          <w:sz w:val="20"/>
          <w:lang w:val="es-419"/>
        </w:rPr>
        <w:t xml:space="preserve"> a la legitimación que ostenta la demandante para pretender el reconocimiento pensional, omitió acreditar que dependiera económicamente de su descendiente, pues ningún esfuerzo probatorio hizo en ese sentido, en tanto que apenas allegó como prueba de esa circunstancia unas declaraciones extrajuicio</w:t>
      </w:r>
      <w:r>
        <w:rPr>
          <w:rFonts w:ascii="Arial" w:hAnsi="Arial" w:cs="Arial"/>
          <w:sz w:val="20"/>
          <w:lang w:val="es-CO"/>
        </w:rPr>
        <w:t>…</w:t>
      </w:r>
      <w:r w:rsidRPr="00DD0332">
        <w:rPr>
          <w:rFonts w:ascii="Arial" w:hAnsi="Arial" w:cs="Arial"/>
          <w:sz w:val="20"/>
          <w:lang w:val="es-419"/>
        </w:rPr>
        <w:t>, documentos que carece de mérito demostrativo en tanto que para el momento en que se presentó la demanda el 27/03/2015</w:t>
      </w:r>
      <w:r>
        <w:rPr>
          <w:rFonts w:ascii="Arial" w:hAnsi="Arial" w:cs="Arial"/>
          <w:sz w:val="20"/>
          <w:lang w:val="es-CO"/>
        </w:rPr>
        <w:t>…</w:t>
      </w:r>
      <w:r w:rsidRPr="00DD0332">
        <w:rPr>
          <w:rFonts w:ascii="Arial" w:hAnsi="Arial" w:cs="Arial"/>
          <w:sz w:val="20"/>
          <w:lang w:val="es-419"/>
        </w:rPr>
        <w:t xml:space="preserve"> gobernaba en materia probatoria el código de procedimiento civil, que limitaba los testimonios extra proceso con fines judiciales para el evento de estar en peligro de muerte el declarante; o como prueba sumaria en los casos permitidos en la ley</w:t>
      </w:r>
      <w:r>
        <w:rPr>
          <w:rFonts w:ascii="Arial" w:hAnsi="Arial" w:cs="Arial"/>
          <w:sz w:val="20"/>
          <w:lang w:val="es-CO"/>
        </w:rPr>
        <w:t>…</w:t>
      </w:r>
    </w:p>
    <w:p w:rsidR="00DD0332" w:rsidRDefault="00DD0332" w:rsidP="00A56502">
      <w:pPr>
        <w:jc w:val="both"/>
        <w:rPr>
          <w:rFonts w:ascii="Arial" w:hAnsi="Arial" w:cs="Arial"/>
          <w:sz w:val="20"/>
          <w:lang w:val="es-CO"/>
        </w:rPr>
      </w:pPr>
    </w:p>
    <w:p w:rsidR="00DD0332" w:rsidRDefault="003C7D34" w:rsidP="00A56502">
      <w:pPr>
        <w:jc w:val="both"/>
        <w:rPr>
          <w:rFonts w:ascii="Arial" w:hAnsi="Arial" w:cs="Arial"/>
          <w:sz w:val="20"/>
          <w:lang w:val="es-CO"/>
        </w:rPr>
      </w:pPr>
      <w:r w:rsidRPr="003C7D34">
        <w:rPr>
          <w:rFonts w:ascii="Arial" w:hAnsi="Arial" w:cs="Arial"/>
          <w:sz w:val="20"/>
          <w:lang w:val="es-CO"/>
        </w:rPr>
        <w:t>Ahora, resulta pertinente llamar la atención a la juzgadora de primera instancia, dado que estructuró su decisión en la “prueba testimonial” practicada en el proceso ordinario que con la misma finalidad al de este incoó la señora María del Socorro Suaza Villa, radicado  2012-00221 del Juzgado Cuarto Laboral de esta ciudad, como quiera que para poderlo hacer debió haberlas decretado como prueba trasladada, siguiendo los lineamientos procesales vigentes.</w:t>
      </w:r>
    </w:p>
    <w:p w:rsidR="00825B7B" w:rsidRDefault="00825B7B" w:rsidP="00A56502">
      <w:pPr>
        <w:jc w:val="both"/>
        <w:rPr>
          <w:rFonts w:ascii="Arial" w:hAnsi="Arial" w:cs="Arial"/>
          <w:sz w:val="20"/>
          <w:lang w:val="es-CO"/>
        </w:rPr>
      </w:pPr>
    </w:p>
    <w:p w:rsidR="00995AE4" w:rsidRPr="00DE76E7" w:rsidRDefault="00995AE4" w:rsidP="00995AE4">
      <w:pPr>
        <w:jc w:val="both"/>
        <w:rPr>
          <w:rFonts w:ascii="Arial" w:hAnsi="Arial" w:cs="Arial"/>
          <w:b/>
          <w:color w:val="FF0000"/>
          <w:sz w:val="20"/>
          <w:lang w:val="es-CO"/>
        </w:rPr>
      </w:pPr>
      <w:r w:rsidRPr="00DE76E7">
        <w:rPr>
          <w:rFonts w:ascii="Arial" w:hAnsi="Arial" w:cs="Arial"/>
          <w:b/>
          <w:color w:val="FF0000"/>
          <w:sz w:val="20"/>
          <w:lang w:val="es-CO"/>
        </w:rPr>
        <w:t>A</w:t>
      </w:r>
      <w:r>
        <w:rPr>
          <w:rFonts w:ascii="Arial" w:hAnsi="Arial" w:cs="Arial"/>
          <w:b/>
          <w:color w:val="FF0000"/>
          <w:sz w:val="20"/>
          <w:lang w:val="es-CO"/>
        </w:rPr>
        <w:t xml:space="preserve">CLARACIÓN </w:t>
      </w:r>
      <w:r w:rsidRPr="00DE76E7">
        <w:rPr>
          <w:rFonts w:ascii="Arial" w:hAnsi="Arial" w:cs="Arial"/>
          <w:b/>
          <w:color w:val="FF0000"/>
          <w:sz w:val="20"/>
          <w:lang w:val="es-CO"/>
        </w:rPr>
        <w:t>DE VOTO: DOCTOR JULIO CÉSAR SALAZAR MUÑOZ</w:t>
      </w:r>
    </w:p>
    <w:p w:rsidR="00825B7B" w:rsidRDefault="00825B7B" w:rsidP="00A56502">
      <w:pPr>
        <w:jc w:val="both"/>
        <w:rPr>
          <w:rFonts w:ascii="Arial" w:hAnsi="Arial" w:cs="Arial"/>
          <w:sz w:val="20"/>
          <w:lang w:val="es-CO"/>
        </w:rPr>
      </w:pPr>
    </w:p>
    <w:p w:rsidR="00825B7B" w:rsidRPr="00825B7B" w:rsidRDefault="00825B7B" w:rsidP="00825B7B">
      <w:pPr>
        <w:jc w:val="both"/>
        <w:rPr>
          <w:rFonts w:ascii="Arial" w:hAnsi="Arial" w:cs="Arial"/>
          <w:sz w:val="20"/>
          <w:lang w:val="es-CO"/>
        </w:rPr>
      </w:pPr>
      <w:r w:rsidRPr="00825B7B">
        <w:rPr>
          <w:rFonts w:ascii="Arial" w:hAnsi="Arial" w:cs="Arial"/>
          <w:sz w:val="20"/>
          <w:lang w:val="es-CO"/>
        </w:rPr>
        <w:t>Si bien estoy de acuerdo con la decisión asumida, debo aclarar mi voto por cuanto, como lo he venido sosteniendo considero que la aplicación de la condición más beneficiosa entre la ley 100 de 1993  en su versión original y el acuerdo 049 de 1990, hoy por hoy, no se debe guiar bajo los análisis que anteriormente hacía la Sala de Casación Laboral de la Corte Suprema de Justicia, que es lo que se determinó en esta providencia, para decir que, gracias a esa figura si aparece causada la pensión de sobrevivientes al existir el número de semanas de cotización necesarias para el efecto.</w:t>
      </w:r>
    </w:p>
    <w:p w:rsidR="00825B7B" w:rsidRPr="00825B7B" w:rsidRDefault="00825B7B" w:rsidP="00825B7B">
      <w:pPr>
        <w:jc w:val="both"/>
        <w:rPr>
          <w:rFonts w:ascii="Arial" w:hAnsi="Arial" w:cs="Arial"/>
          <w:sz w:val="20"/>
          <w:lang w:val="es-CO"/>
        </w:rPr>
      </w:pPr>
    </w:p>
    <w:p w:rsidR="00825B7B" w:rsidRDefault="00825B7B" w:rsidP="00825B7B">
      <w:pPr>
        <w:jc w:val="both"/>
        <w:rPr>
          <w:rFonts w:ascii="Arial" w:hAnsi="Arial" w:cs="Arial"/>
          <w:sz w:val="20"/>
          <w:lang w:val="es-CO"/>
        </w:rPr>
      </w:pPr>
      <w:r w:rsidRPr="00825B7B">
        <w:rPr>
          <w:rFonts w:ascii="Arial" w:hAnsi="Arial" w:cs="Arial"/>
          <w:sz w:val="20"/>
          <w:lang w:val="es-CO"/>
        </w:rPr>
        <w:t>Mi apartamiento de tal tesis radica en que a pesar de que el causante falleció el 04 de noviembre de 2000, esto es, más de un año después de haber entrado en vigencia el sistema general de pensiones previsto en la ley 100 de 1993, se opta por darle aplicación al acuerdo 049 de 1990 en desarrollo de la figura de la condición más beneficiosa, cuando de acuerdo a los últimos desarrollos jurisprudenciales ello ya no era posible, pues se había superado el año necesario para que se pudieran dejar cotizadas las 26 semanas que el nuevo sistema exige para el otorgamiento de la prestación reclamada.</w:t>
      </w:r>
    </w:p>
    <w:p w:rsidR="00DD0332" w:rsidRPr="00DD0332" w:rsidRDefault="00DD0332" w:rsidP="00A56502">
      <w:pPr>
        <w:jc w:val="both"/>
        <w:rPr>
          <w:rFonts w:ascii="Arial" w:hAnsi="Arial" w:cs="Arial"/>
          <w:sz w:val="20"/>
          <w:lang w:val="es-CO"/>
        </w:rPr>
      </w:pPr>
    </w:p>
    <w:p w:rsidR="00A56502" w:rsidRDefault="00A56502" w:rsidP="00A56502">
      <w:pPr>
        <w:jc w:val="both"/>
        <w:rPr>
          <w:rFonts w:ascii="Arial" w:hAnsi="Arial" w:cs="Arial"/>
          <w:sz w:val="20"/>
        </w:rPr>
      </w:pPr>
    </w:p>
    <w:p w:rsidR="003C7D34" w:rsidRPr="00A56502" w:rsidRDefault="003C7D34" w:rsidP="00A56502">
      <w:pPr>
        <w:jc w:val="both"/>
        <w:rPr>
          <w:rFonts w:ascii="Arial" w:hAnsi="Arial" w:cs="Arial"/>
          <w:sz w:val="20"/>
        </w:rPr>
      </w:pPr>
    </w:p>
    <w:p w:rsidR="00B52D16" w:rsidRPr="00C73115" w:rsidRDefault="00B52D16" w:rsidP="00B52D16">
      <w:pPr>
        <w:spacing w:line="276" w:lineRule="auto"/>
        <w:contextualSpacing/>
        <w:rPr>
          <w:rFonts w:ascii="Arial" w:hAnsi="Arial" w:cs="Arial"/>
          <w:b/>
          <w:szCs w:val="24"/>
        </w:rPr>
      </w:pPr>
      <w:r w:rsidRPr="00C73115">
        <w:rPr>
          <w:rFonts w:ascii="Arial" w:hAnsi="Arial" w:cs="Arial"/>
          <w:noProof/>
          <w:szCs w:val="24"/>
          <w:lang w:val="es-ES"/>
        </w:rPr>
        <w:drawing>
          <wp:anchor distT="0" distB="0" distL="114300" distR="114300" simplePos="0" relativeHeight="251659264" behindDoc="0" locked="0" layoutInCell="1" allowOverlap="1" wp14:anchorId="739A997C" wp14:editId="0CFF14AC">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B52D16" w:rsidRPr="00C73115" w:rsidRDefault="00B52D16" w:rsidP="00B52D16">
      <w:pPr>
        <w:spacing w:line="276" w:lineRule="auto"/>
        <w:contextualSpacing/>
        <w:rPr>
          <w:rFonts w:ascii="Arial" w:hAnsi="Arial" w:cs="Arial"/>
          <w:b/>
          <w:szCs w:val="24"/>
        </w:rPr>
      </w:pPr>
    </w:p>
    <w:p w:rsidR="00B52D16" w:rsidRPr="00C73115" w:rsidRDefault="00B52D16" w:rsidP="00B52D16">
      <w:pPr>
        <w:spacing w:line="276" w:lineRule="auto"/>
        <w:contextualSpacing/>
        <w:rPr>
          <w:rFonts w:ascii="Arial" w:hAnsi="Arial" w:cs="Arial"/>
          <w:b/>
          <w:szCs w:val="24"/>
        </w:rPr>
      </w:pPr>
    </w:p>
    <w:p w:rsidR="00B52D16" w:rsidRPr="00C73115" w:rsidRDefault="00B52D16" w:rsidP="00B52D16">
      <w:pPr>
        <w:spacing w:line="276" w:lineRule="auto"/>
        <w:contextualSpacing/>
        <w:rPr>
          <w:rFonts w:ascii="Arial" w:hAnsi="Arial" w:cs="Arial"/>
          <w:b/>
          <w:szCs w:val="24"/>
        </w:rPr>
      </w:pPr>
    </w:p>
    <w:p w:rsidR="00B52D16" w:rsidRPr="000F6FF7" w:rsidRDefault="00B52D16" w:rsidP="00B52D16">
      <w:pPr>
        <w:pStyle w:val="Sinespaciado"/>
        <w:spacing w:line="276" w:lineRule="auto"/>
        <w:jc w:val="center"/>
        <w:rPr>
          <w:rFonts w:ascii="Arial" w:hAnsi="Arial" w:cs="Arial"/>
          <w:b/>
          <w:sz w:val="24"/>
          <w:szCs w:val="24"/>
        </w:rPr>
      </w:pPr>
      <w:r w:rsidRPr="000F6FF7">
        <w:rPr>
          <w:rFonts w:ascii="Arial" w:hAnsi="Arial" w:cs="Arial"/>
          <w:b/>
          <w:sz w:val="24"/>
          <w:szCs w:val="24"/>
        </w:rPr>
        <w:t>RAMA JUDICIAL DEL PODER PÚBLICO</w:t>
      </w:r>
    </w:p>
    <w:p w:rsidR="00B52D16" w:rsidRPr="000F6FF7" w:rsidRDefault="00B52D16" w:rsidP="00B52D16">
      <w:pPr>
        <w:pStyle w:val="Sinespaciado"/>
        <w:spacing w:line="276" w:lineRule="auto"/>
        <w:jc w:val="center"/>
        <w:rPr>
          <w:rFonts w:ascii="Arial" w:hAnsi="Arial" w:cs="Arial"/>
          <w:b/>
          <w:sz w:val="24"/>
          <w:szCs w:val="24"/>
        </w:rPr>
      </w:pPr>
      <w:r w:rsidRPr="000F6FF7">
        <w:rPr>
          <w:rFonts w:ascii="Arial" w:hAnsi="Arial" w:cs="Arial"/>
          <w:b/>
          <w:sz w:val="24"/>
          <w:szCs w:val="24"/>
        </w:rPr>
        <w:lastRenderedPageBreak/>
        <w:t>TRIBUNAL SUPERIOR DEL DISTRITO JUDICIAL DE PEREIRA</w:t>
      </w:r>
    </w:p>
    <w:p w:rsidR="00B52D16" w:rsidRPr="000F6FF7" w:rsidRDefault="00B52D16" w:rsidP="00B52D16">
      <w:pPr>
        <w:pStyle w:val="Sinespaciado"/>
        <w:spacing w:line="276" w:lineRule="auto"/>
        <w:jc w:val="center"/>
        <w:rPr>
          <w:rFonts w:ascii="Arial" w:hAnsi="Arial" w:cs="Arial"/>
          <w:b/>
          <w:sz w:val="24"/>
          <w:szCs w:val="24"/>
        </w:rPr>
      </w:pPr>
      <w:r w:rsidRPr="000F6FF7">
        <w:rPr>
          <w:rFonts w:ascii="Arial" w:hAnsi="Arial" w:cs="Arial"/>
          <w:b/>
          <w:sz w:val="24"/>
          <w:szCs w:val="24"/>
        </w:rPr>
        <w:t>SALA SEGUNDA DE DECISIÓN LABORAL</w:t>
      </w:r>
    </w:p>
    <w:p w:rsidR="00B52D16" w:rsidRPr="00A0431B" w:rsidRDefault="00B52D16" w:rsidP="00A0431B">
      <w:pPr>
        <w:shd w:val="clear" w:color="auto" w:fill="FFFFFF"/>
        <w:spacing w:line="276" w:lineRule="auto"/>
        <w:jc w:val="both"/>
        <w:rPr>
          <w:rFonts w:ascii="Arial" w:hAnsi="Arial" w:cs="Arial"/>
          <w:sz w:val="22"/>
          <w:szCs w:val="24"/>
        </w:rPr>
      </w:pPr>
    </w:p>
    <w:p w:rsidR="00B52D16" w:rsidRPr="00C73115" w:rsidRDefault="00B52D16" w:rsidP="00B52D16">
      <w:pPr>
        <w:pStyle w:val="Sinespaciado"/>
        <w:spacing w:line="276" w:lineRule="auto"/>
        <w:jc w:val="center"/>
        <w:rPr>
          <w:rFonts w:ascii="Arial" w:hAnsi="Arial" w:cs="Arial"/>
          <w:color w:val="000000"/>
          <w:sz w:val="24"/>
          <w:szCs w:val="24"/>
        </w:rPr>
      </w:pPr>
      <w:r w:rsidRPr="00C73115">
        <w:rPr>
          <w:rFonts w:ascii="Arial" w:hAnsi="Arial" w:cs="Arial"/>
          <w:color w:val="000000"/>
          <w:sz w:val="24"/>
          <w:szCs w:val="24"/>
        </w:rPr>
        <w:t>Magistrada Sustanciadora</w:t>
      </w:r>
    </w:p>
    <w:p w:rsidR="00B52D16" w:rsidRPr="00C73115" w:rsidRDefault="00B52D16" w:rsidP="00B52D16">
      <w:pPr>
        <w:pStyle w:val="Sinespaciado"/>
        <w:spacing w:line="276" w:lineRule="auto"/>
        <w:jc w:val="center"/>
        <w:rPr>
          <w:rFonts w:ascii="Arial" w:hAnsi="Arial" w:cs="Arial"/>
          <w:b/>
          <w:bCs/>
          <w:color w:val="000000"/>
          <w:sz w:val="24"/>
          <w:szCs w:val="24"/>
          <w:lang w:val="es-CO"/>
        </w:rPr>
      </w:pPr>
      <w:r w:rsidRPr="00C73115">
        <w:rPr>
          <w:rFonts w:ascii="Arial" w:hAnsi="Arial" w:cs="Arial"/>
          <w:b/>
          <w:bCs/>
          <w:color w:val="000000"/>
          <w:sz w:val="24"/>
          <w:szCs w:val="24"/>
          <w:lang w:val="es-CO"/>
        </w:rPr>
        <w:t>OLGA LUCÍA HOYOS SEPÚLVEDA</w:t>
      </w:r>
    </w:p>
    <w:p w:rsidR="00226D5F" w:rsidRPr="00A0431B" w:rsidRDefault="00226D5F" w:rsidP="00A0431B">
      <w:pPr>
        <w:shd w:val="clear" w:color="auto" w:fill="FFFFFF"/>
        <w:spacing w:line="276" w:lineRule="auto"/>
        <w:jc w:val="both"/>
        <w:rPr>
          <w:rFonts w:ascii="Arial" w:hAnsi="Arial" w:cs="Arial"/>
          <w:sz w:val="22"/>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072AF6">
        <w:rPr>
          <w:rFonts w:ascii="Arial" w:eastAsia="Calibri" w:hAnsi="Arial" w:cs="Arial"/>
          <w:szCs w:val="24"/>
          <w:lang w:val="es-CO" w:eastAsia="en-US"/>
        </w:rPr>
        <w:t xml:space="preserve">nueve </w:t>
      </w:r>
      <w:r w:rsidRPr="00AC486E">
        <w:rPr>
          <w:rFonts w:ascii="Arial" w:eastAsia="Calibri" w:hAnsi="Arial" w:cs="Arial"/>
          <w:szCs w:val="24"/>
          <w:lang w:val="es-CO" w:eastAsia="en-US"/>
        </w:rPr>
        <w:t>(</w:t>
      </w:r>
      <w:r w:rsidR="00072AF6">
        <w:rPr>
          <w:rFonts w:ascii="Arial" w:eastAsia="Calibri" w:hAnsi="Arial" w:cs="Arial"/>
          <w:szCs w:val="24"/>
          <w:lang w:val="es-CO" w:eastAsia="en-US"/>
        </w:rPr>
        <w:t>09</w:t>
      </w:r>
      <w:r w:rsidRPr="00AC486E">
        <w:rPr>
          <w:rFonts w:ascii="Arial" w:eastAsia="Calibri" w:hAnsi="Arial" w:cs="Arial"/>
          <w:szCs w:val="24"/>
          <w:lang w:val="es-CO" w:eastAsia="en-US"/>
        </w:rPr>
        <w:t xml:space="preserve">) días del mes de </w:t>
      </w:r>
      <w:r w:rsidR="00072AF6">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9E4457">
        <w:rPr>
          <w:rFonts w:ascii="Arial" w:eastAsia="Calibri" w:hAnsi="Arial" w:cs="Arial"/>
          <w:szCs w:val="24"/>
          <w:lang w:val="es-CO" w:eastAsia="en-US"/>
        </w:rPr>
        <w:t>dieci</w:t>
      </w:r>
      <w:r w:rsidR="00072AF6">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072AF6">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9E4457">
        <w:rPr>
          <w:rFonts w:ascii="Arial" w:eastAsia="Calibri" w:hAnsi="Arial" w:cs="Arial"/>
          <w:szCs w:val="24"/>
          <w:lang w:val="es-CO" w:eastAsia="en-US"/>
        </w:rPr>
        <w:t>ocho y treinta</w:t>
      </w:r>
      <w:r w:rsidR="00D867B1">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9E4457">
        <w:rPr>
          <w:rFonts w:ascii="Arial" w:eastAsia="Calibri" w:hAnsi="Arial" w:cs="Arial"/>
          <w:szCs w:val="24"/>
          <w:lang w:val="es-CO" w:eastAsia="en-US"/>
        </w:rPr>
        <w:t>08</w:t>
      </w:r>
      <w:r w:rsidR="00E20664">
        <w:rPr>
          <w:rFonts w:ascii="Arial" w:eastAsia="Calibri" w:hAnsi="Arial" w:cs="Arial"/>
          <w:szCs w:val="24"/>
          <w:lang w:val="es-CO" w:eastAsia="en-US"/>
        </w:rPr>
        <w:t>:</w:t>
      </w:r>
      <w:r w:rsidR="009E4457">
        <w:rPr>
          <w:rFonts w:ascii="Arial" w:eastAsia="Calibri" w:hAnsi="Arial" w:cs="Arial"/>
          <w:szCs w:val="24"/>
          <w:lang w:val="es-CO" w:eastAsia="en-US"/>
        </w:rPr>
        <w:t>3</w:t>
      </w:r>
      <w:r w:rsidR="00E20664">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5E2BAD">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33ACE">
        <w:rPr>
          <w:rFonts w:ascii="Arial" w:hAnsi="Arial" w:cs="Arial"/>
          <w:bCs/>
          <w:color w:val="000000"/>
          <w:szCs w:val="24"/>
          <w:lang w:eastAsia="es-CO"/>
        </w:rPr>
        <w:t>recurso de ape</w:t>
      </w:r>
      <w:r w:rsidR="007252F9">
        <w:rPr>
          <w:rFonts w:ascii="Arial" w:hAnsi="Arial" w:cs="Arial"/>
          <w:bCs/>
          <w:color w:val="000000"/>
          <w:szCs w:val="24"/>
          <w:lang w:eastAsia="es-CO"/>
        </w:rPr>
        <w:t xml:space="preserve">lación interpuesto por la </w:t>
      </w:r>
      <w:r w:rsidR="00072AF6">
        <w:rPr>
          <w:rFonts w:ascii="Arial" w:hAnsi="Arial" w:cs="Arial"/>
          <w:bCs/>
          <w:color w:val="000000"/>
          <w:szCs w:val="24"/>
          <w:lang w:eastAsia="es-CO"/>
        </w:rPr>
        <w:t xml:space="preserve">parte actora </w:t>
      </w:r>
      <w:r w:rsidR="00BF79CF">
        <w:rPr>
          <w:rFonts w:ascii="Arial" w:hAnsi="Arial" w:cs="Arial"/>
          <w:bCs/>
          <w:color w:val="000000"/>
          <w:szCs w:val="24"/>
          <w:lang w:eastAsia="es-CO"/>
        </w:rPr>
        <w:t>frente a</w:t>
      </w:r>
      <w:r w:rsidR="007252F9">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072AF6">
        <w:rPr>
          <w:rFonts w:ascii="Arial" w:hAnsi="Arial" w:cs="Arial"/>
          <w:szCs w:val="24"/>
        </w:rPr>
        <w:t>04</w:t>
      </w:r>
      <w:r w:rsidR="00C04BAE">
        <w:rPr>
          <w:rFonts w:ascii="Arial" w:hAnsi="Arial" w:cs="Arial"/>
          <w:szCs w:val="24"/>
        </w:rPr>
        <w:t xml:space="preserve"> </w:t>
      </w:r>
      <w:r w:rsidRPr="00AC486E">
        <w:rPr>
          <w:rFonts w:ascii="Arial" w:hAnsi="Arial" w:cs="Arial"/>
          <w:szCs w:val="24"/>
        </w:rPr>
        <w:t xml:space="preserve">de </w:t>
      </w:r>
      <w:r w:rsidR="00072AF6">
        <w:rPr>
          <w:rFonts w:ascii="Arial" w:hAnsi="Arial" w:cs="Arial"/>
          <w:szCs w:val="24"/>
        </w:rPr>
        <w:t xml:space="preserve">octubre </w:t>
      </w:r>
      <w:r w:rsidRPr="00AC486E">
        <w:rPr>
          <w:rFonts w:ascii="Arial" w:hAnsi="Arial" w:cs="Arial"/>
          <w:szCs w:val="24"/>
        </w:rPr>
        <w:t>de 201</w:t>
      </w:r>
      <w:r w:rsidR="00072AF6">
        <w:rPr>
          <w:rFonts w:ascii="Arial" w:hAnsi="Arial" w:cs="Arial"/>
          <w:szCs w:val="24"/>
        </w:rPr>
        <w:t>8</w:t>
      </w:r>
      <w:r w:rsidRPr="00AC486E">
        <w:rPr>
          <w:rFonts w:ascii="Arial" w:hAnsi="Arial" w:cs="Arial"/>
          <w:szCs w:val="24"/>
        </w:rPr>
        <w:t xml:space="preserve"> por el Juzgado </w:t>
      </w:r>
      <w:r w:rsidR="00072AF6">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72AF6">
        <w:rPr>
          <w:rFonts w:ascii="Arial" w:hAnsi="Arial" w:cs="Arial"/>
          <w:szCs w:val="24"/>
        </w:rPr>
        <w:t xml:space="preserve">la </w:t>
      </w:r>
      <w:r w:rsidR="003440CA">
        <w:rPr>
          <w:rFonts w:ascii="Arial" w:hAnsi="Arial" w:cs="Arial"/>
          <w:szCs w:val="24"/>
        </w:rPr>
        <w:t>señor</w:t>
      </w:r>
      <w:r w:rsidR="00072AF6">
        <w:rPr>
          <w:rFonts w:ascii="Arial" w:hAnsi="Arial" w:cs="Arial"/>
          <w:szCs w:val="24"/>
        </w:rPr>
        <w:t>a</w:t>
      </w:r>
      <w:r w:rsidR="003440CA">
        <w:rPr>
          <w:rFonts w:ascii="Arial" w:hAnsi="Arial" w:cs="Arial"/>
          <w:szCs w:val="24"/>
        </w:rPr>
        <w:t xml:space="preserve"> </w:t>
      </w:r>
      <w:r w:rsidR="00072AF6">
        <w:rPr>
          <w:rFonts w:ascii="Arial" w:hAnsi="Arial" w:cs="Arial"/>
          <w:b/>
          <w:szCs w:val="24"/>
        </w:rPr>
        <w:t>María Judith Muñoz de Serna</w:t>
      </w:r>
      <w:r w:rsidR="000B518F">
        <w:rPr>
          <w:rFonts w:ascii="Arial" w:hAnsi="Arial" w:cs="Arial"/>
          <w:b/>
          <w:szCs w:val="24"/>
        </w:rPr>
        <w:t xml:space="preserve"> </w:t>
      </w:r>
      <w:r w:rsidR="000B518F" w:rsidRPr="000B518F">
        <w:rPr>
          <w:rFonts w:ascii="Arial" w:hAnsi="Arial" w:cs="Arial"/>
          <w:iCs/>
          <w:szCs w:val="24"/>
        </w:rPr>
        <w:t>(q.e.p.d.)</w:t>
      </w:r>
      <w:r w:rsidR="00072AF6">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C04BAE">
        <w:rPr>
          <w:rFonts w:ascii="Arial" w:hAnsi="Arial" w:cs="Arial"/>
          <w:szCs w:val="24"/>
        </w:rPr>
        <w:t xml:space="preserve">la </w:t>
      </w:r>
      <w:r w:rsidR="00B60AA9">
        <w:rPr>
          <w:rFonts w:ascii="Arial" w:hAnsi="Arial" w:cs="Arial"/>
          <w:b/>
          <w:szCs w:val="24"/>
        </w:rPr>
        <w:t xml:space="preserve">Administradora </w:t>
      </w:r>
      <w:r w:rsidR="006F783D">
        <w:rPr>
          <w:rFonts w:ascii="Arial" w:hAnsi="Arial" w:cs="Arial"/>
          <w:b/>
          <w:szCs w:val="24"/>
        </w:rPr>
        <w:t xml:space="preserve">Colombiana de </w:t>
      </w:r>
      <w:r w:rsidR="00B60AA9">
        <w:rPr>
          <w:rFonts w:ascii="Arial" w:hAnsi="Arial" w:cs="Arial"/>
          <w:b/>
          <w:szCs w:val="24"/>
        </w:rPr>
        <w:t xml:space="preserve">Pensiones </w:t>
      </w:r>
      <w:r w:rsidR="006F783D">
        <w:rPr>
          <w:rFonts w:ascii="Arial" w:hAnsi="Arial" w:cs="Arial"/>
          <w:b/>
          <w:szCs w:val="24"/>
        </w:rPr>
        <w:t xml:space="preserve">–Colpensiones- </w:t>
      </w:r>
      <w:r w:rsidR="006F783D" w:rsidRPr="006F783D">
        <w:rPr>
          <w:rFonts w:ascii="Arial" w:hAnsi="Arial" w:cs="Arial"/>
          <w:szCs w:val="24"/>
        </w:rPr>
        <w:t>y al que fueron vinculados</w:t>
      </w:r>
      <w:r w:rsidR="006F783D">
        <w:rPr>
          <w:rFonts w:ascii="Arial" w:hAnsi="Arial" w:cs="Arial"/>
          <w:b/>
          <w:szCs w:val="24"/>
        </w:rPr>
        <w:t xml:space="preserve"> </w:t>
      </w:r>
      <w:r w:rsidR="006F1E60" w:rsidRPr="006F1E60">
        <w:rPr>
          <w:rFonts w:ascii="Arial" w:hAnsi="Arial" w:cs="Arial"/>
          <w:b/>
          <w:bCs/>
          <w:szCs w:val="24"/>
        </w:rPr>
        <w:t xml:space="preserve">María del Socorro Suaza Villa, Héctor Fabio y </w:t>
      </w:r>
      <w:proofErr w:type="spellStart"/>
      <w:r w:rsidR="006F1E60" w:rsidRPr="006F1E60">
        <w:rPr>
          <w:rFonts w:ascii="Arial" w:hAnsi="Arial" w:cs="Arial"/>
          <w:b/>
          <w:bCs/>
          <w:szCs w:val="24"/>
        </w:rPr>
        <w:t>Nini</w:t>
      </w:r>
      <w:proofErr w:type="spellEnd"/>
      <w:r w:rsidR="006F1E60" w:rsidRPr="006F1E60">
        <w:rPr>
          <w:rFonts w:ascii="Arial" w:hAnsi="Arial" w:cs="Arial"/>
          <w:b/>
          <w:bCs/>
          <w:szCs w:val="24"/>
        </w:rPr>
        <w:t xml:space="preserve"> Johana Serna Suaza</w:t>
      </w:r>
      <w:r w:rsidR="006F1E60">
        <w:rPr>
          <w:rFonts w:ascii="Arial" w:hAnsi="Arial" w:cs="Arial"/>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6F1E60">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E20664">
        <w:rPr>
          <w:rFonts w:ascii="Arial" w:hAnsi="Arial" w:cs="Arial"/>
          <w:bCs/>
          <w:szCs w:val="24"/>
        </w:rPr>
        <w:t>5</w:t>
      </w:r>
      <w:r w:rsidR="00777072">
        <w:rPr>
          <w:rFonts w:ascii="Arial" w:hAnsi="Arial" w:cs="Arial"/>
          <w:bCs/>
          <w:szCs w:val="24"/>
        </w:rPr>
        <w:t>-00</w:t>
      </w:r>
      <w:r w:rsidR="006F1E60">
        <w:rPr>
          <w:rFonts w:ascii="Arial" w:hAnsi="Arial" w:cs="Arial"/>
          <w:bCs/>
          <w:szCs w:val="24"/>
        </w:rPr>
        <w:t>166</w:t>
      </w:r>
      <w:r w:rsidR="009E4457">
        <w:rPr>
          <w:rFonts w:ascii="Arial" w:hAnsi="Arial" w:cs="Arial"/>
          <w:bCs/>
          <w:szCs w:val="24"/>
        </w:rPr>
        <w:t>-0</w:t>
      </w:r>
      <w:r w:rsidR="005E2BAD">
        <w:rPr>
          <w:rFonts w:ascii="Arial" w:hAnsi="Arial" w:cs="Arial"/>
          <w:bCs/>
          <w:szCs w:val="24"/>
        </w:rPr>
        <w:t>1</w:t>
      </w:r>
      <w:r w:rsidR="00777072">
        <w:rPr>
          <w:rFonts w:ascii="Arial" w:hAnsi="Arial" w:cs="Arial"/>
          <w:bCs/>
          <w:szCs w:val="24"/>
        </w:rPr>
        <w:t>.</w:t>
      </w:r>
    </w:p>
    <w:p w:rsidR="00226D5F" w:rsidRPr="00A0431B" w:rsidRDefault="00226D5F" w:rsidP="00A0431B">
      <w:pPr>
        <w:shd w:val="clear" w:color="auto" w:fill="FFFFFF"/>
        <w:spacing w:line="276" w:lineRule="auto"/>
        <w:jc w:val="both"/>
        <w:rPr>
          <w:rFonts w:ascii="Arial" w:hAnsi="Arial" w:cs="Arial"/>
          <w:sz w:val="22"/>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Pr="00A0431B" w:rsidRDefault="00502691" w:rsidP="00A0431B">
      <w:pPr>
        <w:shd w:val="clear" w:color="auto" w:fill="FFFFFF"/>
        <w:spacing w:line="276" w:lineRule="auto"/>
        <w:jc w:val="both"/>
        <w:rPr>
          <w:rFonts w:ascii="Arial" w:hAnsi="Arial" w:cs="Arial"/>
          <w:sz w:val="22"/>
          <w:szCs w:val="24"/>
        </w:rPr>
      </w:pPr>
    </w:p>
    <w:p w:rsidR="006F1E60"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p>
    <w:p w:rsidR="008B2194" w:rsidRDefault="006F1E60" w:rsidP="00312238">
      <w:pPr>
        <w:spacing w:line="276" w:lineRule="auto"/>
        <w:rPr>
          <w:rFonts w:ascii="Arial" w:hAnsi="Arial" w:cs="Arial"/>
          <w:szCs w:val="24"/>
        </w:rPr>
      </w:pPr>
      <w:r>
        <w:rPr>
          <w:rFonts w:ascii="Arial" w:hAnsi="Arial" w:cs="Arial"/>
          <w:szCs w:val="24"/>
        </w:rPr>
        <w:t>Colpensiones, vinculados y</w:t>
      </w:r>
      <w:r w:rsidR="00C04BAE">
        <w:rPr>
          <w:rFonts w:ascii="Arial" w:hAnsi="Arial" w:cs="Arial"/>
          <w:szCs w:val="24"/>
        </w:rPr>
        <w:t xml:space="preserve"> su</w:t>
      </w:r>
      <w:r>
        <w:rPr>
          <w:rFonts w:ascii="Arial" w:hAnsi="Arial" w:cs="Arial"/>
          <w:szCs w:val="24"/>
        </w:rPr>
        <w:t>s</w:t>
      </w:r>
      <w:r w:rsidR="00C04BAE">
        <w:rPr>
          <w:rFonts w:ascii="Arial" w:hAnsi="Arial" w:cs="Arial"/>
          <w:szCs w:val="24"/>
        </w:rPr>
        <w:t xml:space="preserve"> apoderado</w:t>
      </w:r>
      <w:r>
        <w:rPr>
          <w:rFonts w:ascii="Arial" w:hAnsi="Arial" w:cs="Arial"/>
          <w:szCs w:val="24"/>
        </w:rPr>
        <w:t>s o curador ad-litem</w:t>
      </w:r>
      <w:r w:rsidR="008B2194">
        <w:rPr>
          <w:rFonts w:ascii="Arial" w:hAnsi="Arial" w:cs="Arial"/>
          <w:szCs w:val="24"/>
        </w:rPr>
        <w:t>:</w:t>
      </w:r>
    </w:p>
    <w:p w:rsidR="008B2194" w:rsidRPr="00A0431B" w:rsidRDefault="008B2194" w:rsidP="00A0431B">
      <w:pPr>
        <w:shd w:val="clear" w:color="auto" w:fill="FFFFFF"/>
        <w:spacing w:line="276" w:lineRule="auto"/>
        <w:jc w:val="both"/>
        <w:rPr>
          <w:rFonts w:ascii="Arial" w:hAnsi="Arial" w:cs="Arial"/>
          <w:sz w:val="22"/>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17C7E" w:rsidRPr="00A0431B" w:rsidRDefault="00417C7E" w:rsidP="00A0431B">
      <w:pPr>
        <w:shd w:val="clear" w:color="auto" w:fill="FFFFFF"/>
        <w:spacing w:line="276" w:lineRule="auto"/>
        <w:jc w:val="both"/>
        <w:rPr>
          <w:rFonts w:ascii="Arial" w:hAnsi="Arial" w:cs="Arial"/>
          <w:sz w:val="22"/>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E20664" w:rsidRPr="00A0431B" w:rsidRDefault="00E20664" w:rsidP="00A0431B">
      <w:pPr>
        <w:shd w:val="clear" w:color="auto" w:fill="FFFFFF"/>
        <w:spacing w:line="276" w:lineRule="auto"/>
        <w:jc w:val="both"/>
        <w:rPr>
          <w:rFonts w:ascii="Arial" w:hAnsi="Arial" w:cs="Arial"/>
          <w:sz w:val="22"/>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Pr="00A0431B" w:rsidRDefault="00312238" w:rsidP="00A0431B">
      <w:pPr>
        <w:shd w:val="clear" w:color="auto" w:fill="FFFFFF"/>
        <w:spacing w:line="276" w:lineRule="auto"/>
        <w:jc w:val="both"/>
        <w:rPr>
          <w:rFonts w:ascii="Arial" w:hAnsi="Arial" w:cs="Arial"/>
          <w:sz w:val="22"/>
          <w:szCs w:val="24"/>
        </w:rPr>
      </w:pPr>
    </w:p>
    <w:p w:rsidR="00312238" w:rsidRDefault="00676AE8" w:rsidP="00676AE8">
      <w:pPr>
        <w:spacing w:line="276" w:lineRule="auto"/>
        <w:rPr>
          <w:rFonts w:ascii="Arial" w:hAnsi="Arial" w:cs="Arial"/>
          <w:b/>
          <w:szCs w:val="24"/>
        </w:rPr>
      </w:pPr>
      <w:r>
        <w:rPr>
          <w:rFonts w:ascii="Arial" w:hAnsi="Arial" w:cs="Arial"/>
          <w:b/>
          <w:szCs w:val="24"/>
        </w:rPr>
        <w:t xml:space="preserve">1. </w:t>
      </w:r>
      <w:r w:rsidR="00312238" w:rsidRPr="00676AE8">
        <w:rPr>
          <w:rFonts w:ascii="Arial" w:hAnsi="Arial" w:cs="Arial"/>
          <w:b/>
          <w:szCs w:val="24"/>
        </w:rPr>
        <w:t>Síntesis de la demanda y su contestación</w:t>
      </w:r>
    </w:p>
    <w:p w:rsidR="003230A5" w:rsidRPr="00A0431B" w:rsidRDefault="003230A5" w:rsidP="00A0431B">
      <w:pPr>
        <w:shd w:val="clear" w:color="auto" w:fill="FFFFFF"/>
        <w:spacing w:line="276" w:lineRule="auto"/>
        <w:jc w:val="both"/>
        <w:rPr>
          <w:rFonts w:ascii="Arial" w:hAnsi="Arial" w:cs="Arial"/>
          <w:sz w:val="22"/>
          <w:szCs w:val="24"/>
        </w:rPr>
      </w:pPr>
    </w:p>
    <w:p w:rsidR="00226D5F" w:rsidRDefault="003230A5" w:rsidP="00733404">
      <w:pPr>
        <w:spacing w:line="276" w:lineRule="auto"/>
        <w:jc w:val="both"/>
        <w:rPr>
          <w:rFonts w:ascii="Arial" w:hAnsi="Arial" w:cs="Arial"/>
          <w:szCs w:val="24"/>
        </w:rPr>
      </w:pPr>
      <w:r>
        <w:rPr>
          <w:rFonts w:ascii="Arial" w:hAnsi="Arial" w:cs="Arial"/>
          <w:szCs w:val="24"/>
        </w:rPr>
        <w:t>L</w:t>
      </w:r>
      <w:r w:rsidR="009E4457">
        <w:rPr>
          <w:rFonts w:ascii="Arial" w:hAnsi="Arial" w:cs="Arial"/>
          <w:szCs w:val="24"/>
        </w:rPr>
        <w:t xml:space="preserve">a </w:t>
      </w:r>
      <w:r w:rsidR="00433ACE">
        <w:rPr>
          <w:rFonts w:ascii="Arial" w:hAnsi="Arial" w:cs="Arial"/>
          <w:szCs w:val="24"/>
        </w:rPr>
        <w:t>señor</w:t>
      </w:r>
      <w:r w:rsidR="00C04BAE">
        <w:rPr>
          <w:rFonts w:ascii="Arial" w:hAnsi="Arial" w:cs="Arial"/>
          <w:szCs w:val="24"/>
        </w:rPr>
        <w:t>a</w:t>
      </w:r>
      <w:r w:rsidR="00433ACE">
        <w:rPr>
          <w:rFonts w:ascii="Arial" w:hAnsi="Arial" w:cs="Arial"/>
          <w:szCs w:val="24"/>
        </w:rPr>
        <w:t xml:space="preserve"> </w:t>
      </w:r>
      <w:r>
        <w:rPr>
          <w:rFonts w:ascii="Arial" w:hAnsi="Arial" w:cs="Arial"/>
          <w:szCs w:val="24"/>
        </w:rPr>
        <w:t>María Judith Muñoz de Serna</w:t>
      </w:r>
      <w:r w:rsidR="00733404">
        <w:rPr>
          <w:rFonts w:ascii="Arial" w:hAnsi="Arial" w:cs="Arial"/>
          <w:szCs w:val="24"/>
        </w:rPr>
        <w:t xml:space="preserve"> pretende </w:t>
      </w:r>
      <w:r>
        <w:rPr>
          <w:rFonts w:ascii="Arial" w:hAnsi="Arial" w:cs="Arial"/>
          <w:szCs w:val="24"/>
        </w:rPr>
        <w:t xml:space="preserve">el </w:t>
      </w:r>
      <w:r w:rsidR="00B60AA9">
        <w:rPr>
          <w:rFonts w:ascii="Arial" w:hAnsi="Arial" w:cs="Arial"/>
          <w:szCs w:val="24"/>
        </w:rPr>
        <w:t>recono</w:t>
      </w:r>
      <w:r>
        <w:rPr>
          <w:rFonts w:ascii="Arial" w:hAnsi="Arial" w:cs="Arial"/>
          <w:szCs w:val="24"/>
        </w:rPr>
        <w:t>cimiento de</w:t>
      </w:r>
      <w:r w:rsidR="00733404">
        <w:rPr>
          <w:rFonts w:ascii="Arial" w:hAnsi="Arial" w:cs="Arial"/>
          <w:szCs w:val="24"/>
        </w:rPr>
        <w:t xml:space="preserve"> </w:t>
      </w:r>
      <w:r w:rsidR="00B60AA9">
        <w:rPr>
          <w:rFonts w:ascii="Arial" w:hAnsi="Arial" w:cs="Arial"/>
          <w:szCs w:val="24"/>
        </w:rPr>
        <w:t>la pensión de sobrevivientes por la muerte de su hijo</w:t>
      </w:r>
      <w:r>
        <w:rPr>
          <w:rFonts w:ascii="Arial" w:hAnsi="Arial" w:cs="Arial"/>
          <w:szCs w:val="24"/>
        </w:rPr>
        <w:t xml:space="preserve"> Javier Serna Muñoz</w:t>
      </w:r>
      <w:r w:rsidR="00B60AA9">
        <w:rPr>
          <w:rFonts w:ascii="Arial" w:hAnsi="Arial" w:cs="Arial"/>
          <w:szCs w:val="24"/>
        </w:rPr>
        <w:t xml:space="preserve"> a partir del </w:t>
      </w:r>
      <w:r>
        <w:rPr>
          <w:rFonts w:ascii="Arial" w:hAnsi="Arial" w:cs="Arial"/>
          <w:szCs w:val="24"/>
        </w:rPr>
        <w:t>04/11/2010</w:t>
      </w:r>
      <w:r w:rsidR="00B60AA9">
        <w:rPr>
          <w:rFonts w:ascii="Arial" w:hAnsi="Arial" w:cs="Arial"/>
          <w:szCs w:val="24"/>
        </w:rPr>
        <w:t xml:space="preserve">, </w:t>
      </w:r>
      <w:r w:rsidR="00733404">
        <w:rPr>
          <w:rFonts w:ascii="Arial" w:hAnsi="Arial" w:cs="Arial"/>
          <w:szCs w:val="24"/>
        </w:rPr>
        <w:t xml:space="preserve">junto </w:t>
      </w:r>
      <w:r w:rsidR="00B60AA9">
        <w:rPr>
          <w:rFonts w:ascii="Arial" w:hAnsi="Arial" w:cs="Arial"/>
          <w:szCs w:val="24"/>
        </w:rPr>
        <w:t xml:space="preserve">con </w:t>
      </w:r>
      <w:r w:rsidR="00B54096">
        <w:rPr>
          <w:rFonts w:ascii="Arial" w:hAnsi="Arial" w:cs="Arial"/>
          <w:szCs w:val="24"/>
        </w:rPr>
        <w:t>el retroactivo</w:t>
      </w:r>
      <w:r w:rsidR="00733404">
        <w:rPr>
          <w:rFonts w:ascii="Arial" w:hAnsi="Arial" w:cs="Arial"/>
          <w:szCs w:val="24"/>
        </w:rPr>
        <w:t xml:space="preserve"> e</w:t>
      </w:r>
      <w:r w:rsidR="00B54096">
        <w:rPr>
          <w:rFonts w:ascii="Arial" w:hAnsi="Arial" w:cs="Arial"/>
          <w:szCs w:val="24"/>
        </w:rPr>
        <w:t xml:space="preserve"> intereses de mora</w:t>
      </w:r>
      <w:r w:rsidR="002D7664">
        <w:rPr>
          <w:rFonts w:ascii="Arial" w:hAnsi="Arial" w:cs="Arial"/>
          <w:szCs w:val="24"/>
        </w:rPr>
        <w:t>.</w:t>
      </w:r>
    </w:p>
    <w:p w:rsidR="00A957FB" w:rsidRPr="00A0431B" w:rsidRDefault="00A957FB" w:rsidP="00A0431B">
      <w:pPr>
        <w:shd w:val="clear" w:color="auto" w:fill="FFFFFF"/>
        <w:spacing w:line="276" w:lineRule="auto"/>
        <w:jc w:val="both"/>
        <w:rPr>
          <w:rFonts w:ascii="Arial" w:hAnsi="Arial" w:cs="Arial"/>
          <w:sz w:val="22"/>
          <w:szCs w:val="24"/>
        </w:rPr>
      </w:pPr>
    </w:p>
    <w:p w:rsidR="003230A5" w:rsidRDefault="00A957FB" w:rsidP="003230A5">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24690A">
        <w:rPr>
          <w:rFonts w:ascii="Arial" w:hAnsi="Arial" w:cs="Arial"/>
          <w:szCs w:val="24"/>
        </w:rPr>
        <w:t xml:space="preserve">: (i) </w:t>
      </w:r>
      <w:r w:rsidR="00A05527">
        <w:rPr>
          <w:rFonts w:ascii="Arial" w:hAnsi="Arial" w:cs="Arial"/>
          <w:szCs w:val="24"/>
        </w:rPr>
        <w:t xml:space="preserve">a la fecha de presentación de la demanda tenía </w:t>
      </w:r>
      <w:r w:rsidR="00E05DA0">
        <w:rPr>
          <w:rFonts w:ascii="Arial" w:hAnsi="Arial" w:cs="Arial"/>
          <w:szCs w:val="24"/>
        </w:rPr>
        <w:t>más de 92 años de edad; (ii) convivió y dependió económicamente de su hijo y cuidó de su enfermedad hasta que falleció el 04/11/2000.</w:t>
      </w:r>
    </w:p>
    <w:p w:rsidR="00E05DA0" w:rsidRPr="00A0431B" w:rsidRDefault="00E05DA0" w:rsidP="00A0431B">
      <w:pPr>
        <w:shd w:val="clear" w:color="auto" w:fill="FFFFFF"/>
        <w:spacing w:line="276" w:lineRule="auto"/>
        <w:jc w:val="both"/>
        <w:rPr>
          <w:rFonts w:ascii="Arial" w:hAnsi="Arial" w:cs="Arial"/>
          <w:sz w:val="22"/>
          <w:szCs w:val="24"/>
        </w:rPr>
      </w:pPr>
    </w:p>
    <w:p w:rsidR="00E05DA0" w:rsidRDefault="00E05DA0" w:rsidP="003230A5">
      <w:pPr>
        <w:spacing w:line="276" w:lineRule="auto"/>
        <w:jc w:val="both"/>
        <w:rPr>
          <w:rFonts w:ascii="Arial" w:hAnsi="Arial" w:cs="Arial"/>
          <w:szCs w:val="24"/>
        </w:rPr>
      </w:pPr>
      <w:r>
        <w:rPr>
          <w:rFonts w:ascii="Arial" w:hAnsi="Arial" w:cs="Arial"/>
          <w:szCs w:val="24"/>
        </w:rPr>
        <w:t>(iii) El 15/02/2012 solicitó a</w:t>
      </w:r>
      <w:r>
        <w:rPr>
          <w:rFonts w:ascii="Arial" w:hAnsi="Arial" w:cs="Arial"/>
          <w:szCs w:val="24"/>
          <w:lang w:val="es-CO"/>
        </w:rPr>
        <w:t xml:space="preserve">l ISS </w:t>
      </w:r>
      <w:r>
        <w:rPr>
          <w:rFonts w:ascii="Arial" w:hAnsi="Arial" w:cs="Arial"/>
          <w:szCs w:val="24"/>
        </w:rPr>
        <w:t>el reconocimiento de la prestación</w:t>
      </w:r>
      <w:r w:rsidR="007209F0">
        <w:rPr>
          <w:rFonts w:ascii="Arial" w:hAnsi="Arial" w:cs="Arial"/>
          <w:szCs w:val="24"/>
        </w:rPr>
        <w:t xml:space="preserve">, pero le fue negada mediante Resolución N° </w:t>
      </w:r>
      <w:proofErr w:type="spellStart"/>
      <w:r w:rsidR="007209F0">
        <w:rPr>
          <w:rFonts w:ascii="Arial" w:hAnsi="Arial" w:cs="Arial"/>
          <w:szCs w:val="24"/>
        </w:rPr>
        <w:t>GNR</w:t>
      </w:r>
      <w:proofErr w:type="spellEnd"/>
      <w:r w:rsidR="007209F0">
        <w:rPr>
          <w:rFonts w:ascii="Arial" w:hAnsi="Arial" w:cs="Arial"/>
          <w:szCs w:val="24"/>
        </w:rPr>
        <w:t xml:space="preserve"> 131229 de 2013 por no demostrar convivencia y dependencia económica, aunado a que se advertía la existencia de hijos que tenían mejor derecho.</w:t>
      </w:r>
    </w:p>
    <w:p w:rsidR="007209F0" w:rsidRPr="00A0431B" w:rsidRDefault="007209F0" w:rsidP="00A0431B">
      <w:pPr>
        <w:shd w:val="clear" w:color="auto" w:fill="FFFFFF"/>
        <w:spacing w:line="276" w:lineRule="auto"/>
        <w:jc w:val="both"/>
        <w:rPr>
          <w:rFonts w:ascii="Arial" w:hAnsi="Arial" w:cs="Arial"/>
          <w:sz w:val="22"/>
          <w:szCs w:val="24"/>
        </w:rPr>
      </w:pPr>
    </w:p>
    <w:p w:rsidR="007209F0" w:rsidRDefault="007209F0" w:rsidP="003230A5">
      <w:pPr>
        <w:spacing w:line="276" w:lineRule="auto"/>
        <w:jc w:val="both"/>
        <w:rPr>
          <w:rFonts w:ascii="Arial" w:hAnsi="Arial" w:cs="Arial"/>
          <w:bCs/>
          <w:szCs w:val="24"/>
        </w:rPr>
      </w:pPr>
      <w:r>
        <w:rPr>
          <w:rFonts w:ascii="Arial" w:hAnsi="Arial" w:cs="Arial"/>
          <w:szCs w:val="24"/>
        </w:rPr>
        <w:t xml:space="preserve">(iv) Para la fecha del fallecimiento de Javier Serna Muñoz, sus hijos </w:t>
      </w:r>
      <w:r w:rsidRPr="007209F0">
        <w:rPr>
          <w:rFonts w:ascii="Arial" w:hAnsi="Arial" w:cs="Arial"/>
          <w:bCs/>
          <w:szCs w:val="24"/>
        </w:rPr>
        <w:t xml:space="preserve">Héctor Fabio y </w:t>
      </w:r>
      <w:proofErr w:type="spellStart"/>
      <w:r w:rsidRPr="007209F0">
        <w:rPr>
          <w:rFonts w:ascii="Arial" w:hAnsi="Arial" w:cs="Arial"/>
          <w:bCs/>
          <w:szCs w:val="24"/>
        </w:rPr>
        <w:t>Nini</w:t>
      </w:r>
      <w:proofErr w:type="spellEnd"/>
      <w:r w:rsidRPr="007209F0">
        <w:rPr>
          <w:rFonts w:ascii="Arial" w:hAnsi="Arial" w:cs="Arial"/>
          <w:bCs/>
          <w:szCs w:val="24"/>
        </w:rPr>
        <w:t xml:space="preserve"> Johana Serna Suaza</w:t>
      </w:r>
      <w:r>
        <w:rPr>
          <w:rFonts w:ascii="Arial" w:hAnsi="Arial" w:cs="Arial"/>
          <w:bCs/>
          <w:szCs w:val="24"/>
        </w:rPr>
        <w:t>, eran mayores de edad y no estaban estudiando, por lo que nunca elevaron solicitud de reconocimiento pensional; (v) a la madre de estos</w:t>
      </w:r>
      <w:r w:rsidR="00A05527">
        <w:rPr>
          <w:rFonts w:ascii="Arial" w:hAnsi="Arial" w:cs="Arial"/>
          <w:bCs/>
          <w:szCs w:val="24"/>
        </w:rPr>
        <w:t xml:space="preserve"> María del Socorro Suaza Villa</w:t>
      </w:r>
      <w:r>
        <w:rPr>
          <w:rFonts w:ascii="Arial" w:hAnsi="Arial" w:cs="Arial"/>
          <w:bCs/>
          <w:szCs w:val="24"/>
        </w:rPr>
        <w:t xml:space="preserve"> también se le negó la prestación al no demostrar convivencia y dependencia económica.</w:t>
      </w:r>
    </w:p>
    <w:p w:rsidR="007209F0" w:rsidRPr="00A0431B" w:rsidRDefault="007209F0" w:rsidP="00A0431B">
      <w:pPr>
        <w:shd w:val="clear" w:color="auto" w:fill="FFFFFF"/>
        <w:spacing w:line="276" w:lineRule="auto"/>
        <w:jc w:val="both"/>
        <w:rPr>
          <w:rFonts w:ascii="Arial" w:hAnsi="Arial" w:cs="Arial"/>
          <w:sz w:val="22"/>
          <w:szCs w:val="24"/>
        </w:rPr>
      </w:pPr>
    </w:p>
    <w:p w:rsidR="007209F0" w:rsidRPr="007209F0" w:rsidRDefault="007209F0" w:rsidP="003230A5">
      <w:pPr>
        <w:spacing w:line="276" w:lineRule="auto"/>
        <w:jc w:val="both"/>
        <w:rPr>
          <w:rFonts w:ascii="Arial" w:hAnsi="Arial" w:cs="Arial"/>
          <w:bCs/>
          <w:szCs w:val="24"/>
        </w:rPr>
      </w:pPr>
      <w:r>
        <w:rPr>
          <w:rFonts w:ascii="Arial" w:hAnsi="Arial" w:cs="Arial"/>
          <w:bCs/>
          <w:szCs w:val="24"/>
        </w:rPr>
        <w:lastRenderedPageBreak/>
        <w:t>(</w:t>
      </w:r>
      <w:proofErr w:type="gramStart"/>
      <w:r>
        <w:rPr>
          <w:rFonts w:ascii="Arial" w:hAnsi="Arial" w:cs="Arial"/>
          <w:bCs/>
          <w:szCs w:val="24"/>
        </w:rPr>
        <w:t>vi</w:t>
      </w:r>
      <w:proofErr w:type="gramEnd"/>
      <w:r>
        <w:rPr>
          <w:rFonts w:ascii="Arial" w:hAnsi="Arial" w:cs="Arial"/>
          <w:bCs/>
          <w:szCs w:val="24"/>
        </w:rPr>
        <w:t>) El señor Javier Serna muñoz cotizó en toda su vida laboral 854 semanas</w:t>
      </w:r>
      <w:r w:rsidR="002763FF">
        <w:rPr>
          <w:rFonts w:ascii="Arial" w:hAnsi="Arial" w:cs="Arial"/>
          <w:bCs/>
          <w:szCs w:val="24"/>
        </w:rPr>
        <w:t>,</w:t>
      </w:r>
      <w:r>
        <w:rPr>
          <w:rFonts w:ascii="Arial" w:hAnsi="Arial" w:cs="Arial"/>
          <w:bCs/>
          <w:szCs w:val="24"/>
        </w:rPr>
        <w:t xml:space="preserve"> de las cuales más de 300 lo fueron antes de la vigencia de la Ley 100/93.</w:t>
      </w:r>
    </w:p>
    <w:p w:rsidR="00155C8A" w:rsidRPr="00A0431B" w:rsidRDefault="004624A8" w:rsidP="00A0431B">
      <w:pPr>
        <w:shd w:val="clear" w:color="auto" w:fill="FFFFFF"/>
        <w:spacing w:line="276" w:lineRule="auto"/>
        <w:jc w:val="both"/>
        <w:rPr>
          <w:rFonts w:ascii="Arial" w:hAnsi="Arial" w:cs="Arial"/>
          <w:sz w:val="22"/>
          <w:szCs w:val="24"/>
        </w:rPr>
      </w:pPr>
      <w:r w:rsidRPr="00A0431B">
        <w:rPr>
          <w:rFonts w:ascii="Arial" w:hAnsi="Arial" w:cs="Arial"/>
          <w:sz w:val="22"/>
          <w:szCs w:val="24"/>
        </w:rPr>
        <w:t xml:space="preserve"> </w:t>
      </w:r>
    </w:p>
    <w:p w:rsidR="00676AE8" w:rsidRPr="004702FB" w:rsidRDefault="00B626F6" w:rsidP="005F3F1E">
      <w:pPr>
        <w:spacing w:line="276" w:lineRule="auto"/>
        <w:jc w:val="both"/>
        <w:rPr>
          <w:rFonts w:ascii="Arial" w:hAnsi="Arial" w:cs="Arial"/>
          <w:i/>
          <w:szCs w:val="24"/>
        </w:rPr>
      </w:pPr>
      <w:r>
        <w:rPr>
          <w:rFonts w:ascii="Arial" w:hAnsi="Arial" w:cs="Arial"/>
          <w:b/>
          <w:szCs w:val="24"/>
        </w:rPr>
        <w:t xml:space="preserve">La Administradora </w:t>
      </w:r>
      <w:r w:rsidR="003230A5">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e opuso a la</w:t>
      </w:r>
      <w:r w:rsidR="00795C22">
        <w:rPr>
          <w:rFonts w:ascii="Arial" w:hAnsi="Arial" w:cs="Arial"/>
          <w:szCs w:val="24"/>
        </w:rPr>
        <w:t xml:space="preserve">s </w:t>
      </w:r>
      <w:r w:rsidR="0086783D">
        <w:rPr>
          <w:rFonts w:ascii="Arial" w:hAnsi="Arial" w:cs="Arial"/>
          <w:szCs w:val="24"/>
        </w:rPr>
        <w:t>pretensiones y como razones de defensa señaló</w:t>
      </w:r>
      <w:r w:rsidR="00022A67">
        <w:rPr>
          <w:rFonts w:ascii="Arial" w:hAnsi="Arial" w:cs="Arial"/>
          <w:szCs w:val="24"/>
        </w:rPr>
        <w:t xml:space="preserve"> que </w:t>
      </w:r>
      <w:r w:rsidR="007209F0">
        <w:rPr>
          <w:rFonts w:ascii="Arial" w:hAnsi="Arial" w:cs="Arial"/>
          <w:szCs w:val="24"/>
        </w:rPr>
        <w:t xml:space="preserve">aunque </w:t>
      </w:r>
      <w:r w:rsidR="00022A67">
        <w:rPr>
          <w:rFonts w:ascii="Arial" w:hAnsi="Arial" w:cs="Arial"/>
          <w:szCs w:val="24"/>
        </w:rPr>
        <w:t>l</w:t>
      </w:r>
      <w:r w:rsidR="007209F0">
        <w:rPr>
          <w:rFonts w:ascii="Arial" w:hAnsi="Arial" w:cs="Arial"/>
          <w:szCs w:val="24"/>
        </w:rPr>
        <w:t>a</w:t>
      </w:r>
      <w:r w:rsidR="00CE300E">
        <w:rPr>
          <w:rFonts w:ascii="Arial" w:hAnsi="Arial" w:cs="Arial"/>
          <w:szCs w:val="24"/>
        </w:rPr>
        <w:t xml:space="preserve"> demandante</w:t>
      </w:r>
      <w:r w:rsidR="007209F0">
        <w:rPr>
          <w:rFonts w:ascii="Arial" w:hAnsi="Arial" w:cs="Arial"/>
          <w:szCs w:val="24"/>
        </w:rPr>
        <w:t xml:space="preserve"> cumple el requisito objetivo, no logró acreditar </w:t>
      </w:r>
      <w:r w:rsidR="00654419">
        <w:rPr>
          <w:rFonts w:ascii="Arial" w:hAnsi="Arial" w:cs="Arial"/>
          <w:szCs w:val="24"/>
        </w:rPr>
        <w:t>depend</w:t>
      </w:r>
      <w:r w:rsidR="00795C22">
        <w:rPr>
          <w:rFonts w:ascii="Arial" w:hAnsi="Arial" w:cs="Arial"/>
          <w:szCs w:val="24"/>
        </w:rPr>
        <w:t xml:space="preserve">encia </w:t>
      </w:r>
      <w:r w:rsidR="00654419">
        <w:rPr>
          <w:rFonts w:ascii="Arial" w:hAnsi="Arial" w:cs="Arial"/>
          <w:szCs w:val="24"/>
        </w:rPr>
        <w:t>económica</w:t>
      </w:r>
      <w:r w:rsidR="00465715">
        <w:rPr>
          <w:rFonts w:ascii="Arial" w:hAnsi="Arial" w:cs="Arial"/>
          <w:szCs w:val="24"/>
        </w:rPr>
        <w:t>mente</w:t>
      </w:r>
      <w:r w:rsidR="00795C22">
        <w:rPr>
          <w:rFonts w:ascii="Arial" w:hAnsi="Arial" w:cs="Arial"/>
          <w:szCs w:val="24"/>
        </w:rPr>
        <w:t xml:space="preserve"> de su hijo. Pr</w:t>
      </w:r>
      <w:r w:rsidR="005F3F1E" w:rsidRPr="0001459F">
        <w:rPr>
          <w:rFonts w:ascii="Arial" w:hAnsi="Arial" w:cs="Arial"/>
          <w:szCs w:val="24"/>
        </w:rPr>
        <w:t>opuso</w:t>
      </w:r>
      <w:r w:rsidR="00676AE8">
        <w:rPr>
          <w:rFonts w:ascii="Arial" w:hAnsi="Arial" w:cs="Arial"/>
          <w:szCs w:val="24"/>
        </w:rPr>
        <w:t xml:space="preserve"> </w:t>
      </w:r>
      <w:r w:rsidR="007209F0">
        <w:rPr>
          <w:rFonts w:ascii="Arial" w:hAnsi="Arial" w:cs="Arial"/>
          <w:szCs w:val="24"/>
        </w:rPr>
        <w:t xml:space="preserve">las </w:t>
      </w:r>
      <w:r w:rsidR="005F3F1E" w:rsidRPr="0001459F">
        <w:rPr>
          <w:rFonts w:ascii="Arial" w:hAnsi="Arial" w:cs="Arial"/>
          <w:szCs w:val="24"/>
        </w:rPr>
        <w:t>excepciones de mérito</w:t>
      </w:r>
      <w:r w:rsidR="007209F0">
        <w:rPr>
          <w:rFonts w:ascii="Arial" w:hAnsi="Arial" w:cs="Arial"/>
          <w:szCs w:val="24"/>
        </w:rPr>
        <w:t xml:space="preserve"> que denominó </w:t>
      </w:r>
      <w:r w:rsidR="007209F0" w:rsidRPr="004702FB">
        <w:rPr>
          <w:rFonts w:ascii="Arial" w:hAnsi="Arial" w:cs="Arial"/>
          <w:i/>
          <w:szCs w:val="24"/>
        </w:rPr>
        <w:t>“Inexistencia de la obligación”</w:t>
      </w:r>
      <w:r w:rsidR="004702FB" w:rsidRPr="004702FB">
        <w:rPr>
          <w:rFonts w:ascii="Arial" w:hAnsi="Arial" w:cs="Arial"/>
          <w:i/>
          <w:szCs w:val="24"/>
        </w:rPr>
        <w:t xml:space="preserve"> y “Prescripción”</w:t>
      </w:r>
      <w:r w:rsidR="00676AE8" w:rsidRPr="004702FB">
        <w:rPr>
          <w:rFonts w:ascii="Arial" w:hAnsi="Arial" w:cs="Arial"/>
          <w:i/>
          <w:szCs w:val="24"/>
        </w:rPr>
        <w:t>.</w:t>
      </w:r>
    </w:p>
    <w:p w:rsidR="003230A5" w:rsidRPr="00A0431B" w:rsidRDefault="003230A5" w:rsidP="00A0431B">
      <w:pPr>
        <w:shd w:val="clear" w:color="auto" w:fill="FFFFFF"/>
        <w:spacing w:line="276" w:lineRule="auto"/>
        <w:jc w:val="both"/>
        <w:rPr>
          <w:rFonts w:ascii="Arial" w:hAnsi="Arial" w:cs="Arial"/>
          <w:sz w:val="22"/>
          <w:szCs w:val="24"/>
        </w:rPr>
      </w:pPr>
    </w:p>
    <w:p w:rsidR="003230A5" w:rsidRDefault="003230A5" w:rsidP="005F3F1E">
      <w:pPr>
        <w:spacing w:line="276" w:lineRule="auto"/>
        <w:jc w:val="both"/>
        <w:rPr>
          <w:rFonts w:ascii="Arial" w:hAnsi="Arial" w:cs="Arial"/>
          <w:bCs/>
          <w:szCs w:val="24"/>
        </w:rPr>
      </w:pPr>
      <w:r>
        <w:rPr>
          <w:rFonts w:ascii="Arial" w:hAnsi="Arial" w:cs="Arial"/>
          <w:szCs w:val="24"/>
        </w:rPr>
        <w:t xml:space="preserve">Los señores </w:t>
      </w:r>
      <w:r w:rsidRPr="006F1E60">
        <w:rPr>
          <w:rFonts w:ascii="Arial" w:hAnsi="Arial" w:cs="Arial"/>
          <w:b/>
          <w:bCs/>
          <w:szCs w:val="24"/>
        </w:rPr>
        <w:t xml:space="preserve">Héctor Fabio y </w:t>
      </w:r>
      <w:proofErr w:type="spellStart"/>
      <w:r w:rsidRPr="006F1E60">
        <w:rPr>
          <w:rFonts w:ascii="Arial" w:hAnsi="Arial" w:cs="Arial"/>
          <w:b/>
          <w:bCs/>
          <w:szCs w:val="24"/>
        </w:rPr>
        <w:t>Nini</w:t>
      </w:r>
      <w:proofErr w:type="spellEnd"/>
      <w:r w:rsidRPr="006F1E60">
        <w:rPr>
          <w:rFonts w:ascii="Arial" w:hAnsi="Arial" w:cs="Arial"/>
          <w:b/>
          <w:bCs/>
          <w:szCs w:val="24"/>
        </w:rPr>
        <w:t xml:space="preserve"> Johana Serna Suaza</w:t>
      </w:r>
      <w:r>
        <w:rPr>
          <w:rFonts w:ascii="Arial" w:hAnsi="Arial" w:cs="Arial"/>
          <w:b/>
          <w:bCs/>
          <w:szCs w:val="24"/>
        </w:rPr>
        <w:t xml:space="preserve">, </w:t>
      </w:r>
      <w:r>
        <w:rPr>
          <w:rFonts w:ascii="Arial" w:hAnsi="Arial" w:cs="Arial"/>
          <w:bCs/>
          <w:szCs w:val="24"/>
        </w:rPr>
        <w:t>n</w:t>
      </w:r>
      <w:r w:rsidR="008C5EB8">
        <w:rPr>
          <w:rFonts w:ascii="Arial" w:hAnsi="Arial" w:cs="Arial"/>
          <w:bCs/>
          <w:szCs w:val="24"/>
        </w:rPr>
        <w:t>o contestaron la demanda.</w:t>
      </w:r>
    </w:p>
    <w:p w:rsidR="003230A5" w:rsidRPr="00A0431B" w:rsidRDefault="003230A5" w:rsidP="00A0431B">
      <w:pPr>
        <w:shd w:val="clear" w:color="auto" w:fill="FFFFFF"/>
        <w:spacing w:line="276" w:lineRule="auto"/>
        <w:jc w:val="both"/>
        <w:rPr>
          <w:rFonts w:ascii="Arial" w:hAnsi="Arial" w:cs="Arial"/>
          <w:sz w:val="22"/>
          <w:szCs w:val="24"/>
        </w:rPr>
      </w:pPr>
    </w:p>
    <w:p w:rsidR="003230A5" w:rsidRPr="003230A5" w:rsidRDefault="003230A5" w:rsidP="005F3F1E">
      <w:pPr>
        <w:spacing w:line="276" w:lineRule="auto"/>
        <w:jc w:val="both"/>
        <w:rPr>
          <w:rFonts w:ascii="Arial" w:hAnsi="Arial" w:cs="Arial"/>
          <w:szCs w:val="24"/>
        </w:rPr>
      </w:pPr>
      <w:r>
        <w:rPr>
          <w:rFonts w:ascii="Arial" w:hAnsi="Arial" w:cs="Arial"/>
          <w:bCs/>
          <w:szCs w:val="24"/>
        </w:rPr>
        <w:t xml:space="preserve">La señora </w:t>
      </w:r>
      <w:r w:rsidRPr="006F1E60">
        <w:rPr>
          <w:rFonts w:ascii="Arial" w:hAnsi="Arial" w:cs="Arial"/>
          <w:b/>
          <w:bCs/>
          <w:szCs w:val="24"/>
        </w:rPr>
        <w:t>María del Socorro Suaza Villa</w:t>
      </w:r>
      <w:r>
        <w:rPr>
          <w:rFonts w:ascii="Arial" w:hAnsi="Arial" w:cs="Arial"/>
          <w:b/>
          <w:bCs/>
          <w:szCs w:val="24"/>
        </w:rPr>
        <w:t xml:space="preserve">, </w:t>
      </w:r>
      <w:r>
        <w:rPr>
          <w:rFonts w:ascii="Arial" w:hAnsi="Arial" w:cs="Arial"/>
          <w:bCs/>
          <w:szCs w:val="24"/>
        </w:rPr>
        <w:t xml:space="preserve">a través de curadora </w:t>
      </w:r>
      <w:r w:rsidRPr="004702FB">
        <w:rPr>
          <w:rFonts w:ascii="Arial" w:hAnsi="Arial" w:cs="Arial"/>
          <w:bCs/>
          <w:i/>
          <w:szCs w:val="24"/>
        </w:rPr>
        <w:t>ad-litem</w:t>
      </w:r>
      <w:r>
        <w:rPr>
          <w:rFonts w:ascii="Arial" w:hAnsi="Arial" w:cs="Arial"/>
          <w:bCs/>
          <w:szCs w:val="24"/>
        </w:rPr>
        <w:t xml:space="preserve">, se </w:t>
      </w:r>
      <w:r w:rsidR="00AF5082">
        <w:rPr>
          <w:rFonts w:ascii="Arial" w:hAnsi="Arial" w:cs="Arial"/>
          <w:bCs/>
          <w:szCs w:val="24"/>
        </w:rPr>
        <w:t>acogió a las pretensiones de la demanda siempre y cuando se demuestren los hechos de la misma.</w:t>
      </w:r>
    </w:p>
    <w:p w:rsidR="001843BE" w:rsidRPr="00A0431B" w:rsidRDefault="00676AE8" w:rsidP="00A0431B">
      <w:pPr>
        <w:shd w:val="clear" w:color="auto" w:fill="FFFFFF"/>
        <w:spacing w:line="276" w:lineRule="auto"/>
        <w:jc w:val="both"/>
        <w:rPr>
          <w:rFonts w:ascii="Arial" w:hAnsi="Arial" w:cs="Arial"/>
          <w:sz w:val="22"/>
          <w:szCs w:val="24"/>
        </w:rPr>
      </w:pPr>
      <w:r w:rsidRPr="00A0431B">
        <w:rPr>
          <w:rFonts w:ascii="Arial" w:hAnsi="Arial" w:cs="Arial"/>
          <w:sz w:val="22"/>
          <w:szCs w:val="24"/>
        </w:rPr>
        <w:t xml:space="preserve"> </w:t>
      </w:r>
    </w:p>
    <w:p w:rsidR="00226D5F" w:rsidRPr="00676AE8" w:rsidRDefault="00676AE8" w:rsidP="00676AE8">
      <w:pPr>
        <w:spacing w:line="276" w:lineRule="auto"/>
        <w:rPr>
          <w:rFonts w:ascii="Arial" w:hAnsi="Arial" w:cs="Arial"/>
          <w:b/>
          <w:szCs w:val="24"/>
        </w:rPr>
      </w:pPr>
      <w:r>
        <w:rPr>
          <w:rFonts w:ascii="Arial" w:hAnsi="Arial" w:cs="Arial"/>
          <w:b/>
          <w:szCs w:val="24"/>
        </w:rPr>
        <w:t xml:space="preserve">2. </w:t>
      </w:r>
      <w:r w:rsidR="00312238" w:rsidRPr="00676AE8">
        <w:rPr>
          <w:rFonts w:ascii="Arial" w:hAnsi="Arial" w:cs="Arial"/>
          <w:b/>
          <w:szCs w:val="24"/>
        </w:rPr>
        <w:t>Sín</w:t>
      </w:r>
      <w:r w:rsidR="007955EA" w:rsidRPr="00676AE8">
        <w:rPr>
          <w:rFonts w:ascii="Arial" w:hAnsi="Arial" w:cs="Arial"/>
          <w:b/>
          <w:szCs w:val="24"/>
        </w:rPr>
        <w:t>tesis de la sentencia apelada</w:t>
      </w:r>
    </w:p>
    <w:p w:rsidR="00676AE8" w:rsidRPr="00A0431B" w:rsidRDefault="00676AE8" w:rsidP="00A0431B">
      <w:pPr>
        <w:shd w:val="clear" w:color="auto" w:fill="FFFFFF"/>
        <w:spacing w:line="276" w:lineRule="auto"/>
        <w:jc w:val="both"/>
        <w:rPr>
          <w:rFonts w:ascii="Arial" w:hAnsi="Arial" w:cs="Arial"/>
          <w:sz w:val="22"/>
          <w:szCs w:val="24"/>
        </w:rPr>
      </w:pPr>
    </w:p>
    <w:p w:rsidR="00B85622"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F5082">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676AE8">
        <w:rPr>
          <w:rFonts w:ascii="Arial" w:hAnsi="Arial" w:cs="Arial"/>
          <w:color w:val="000000"/>
          <w:szCs w:val="24"/>
          <w:lang w:eastAsia="es-CO"/>
        </w:rPr>
        <w:t xml:space="preserve"> </w:t>
      </w:r>
      <w:r w:rsidR="00AF5082">
        <w:rPr>
          <w:rFonts w:ascii="Arial" w:hAnsi="Arial" w:cs="Arial"/>
          <w:color w:val="000000"/>
          <w:szCs w:val="24"/>
          <w:lang w:eastAsia="es-CO"/>
        </w:rPr>
        <w:t>absolvió a Colpensiones de todas las pretensiones de la demanda.</w:t>
      </w:r>
    </w:p>
    <w:p w:rsidR="00AF5082" w:rsidRPr="00B85622" w:rsidRDefault="00AF5082" w:rsidP="005522AF">
      <w:pPr>
        <w:spacing w:line="276" w:lineRule="auto"/>
        <w:jc w:val="both"/>
        <w:rPr>
          <w:rFonts w:ascii="Arial" w:hAnsi="Arial" w:cs="Arial"/>
          <w:color w:val="FF0000"/>
          <w:szCs w:val="24"/>
          <w:lang w:eastAsia="es-CO"/>
        </w:rPr>
      </w:pPr>
    </w:p>
    <w:p w:rsidR="00071159" w:rsidRDefault="008073E6"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manifestó que</w:t>
      </w:r>
      <w:r w:rsidR="005F6AEC">
        <w:rPr>
          <w:rFonts w:ascii="Arial" w:hAnsi="Arial" w:cs="Arial"/>
          <w:color w:val="000000"/>
          <w:szCs w:val="24"/>
          <w:lang w:eastAsia="es-CO"/>
        </w:rPr>
        <w:t xml:space="preserve"> </w:t>
      </w:r>
      <w:r w:rsidR="00382321">
        <w:rPr>
          <w:rFonts w:ascii="Arial" w:hAnsi="Arial" w:cs="Arial"/>
          <w:color w:val="000000"/>
          <w:szCs w:val="24"/>
          <w:lang w:eastAsia="es-CO"/>
        </w:rPr>
        <w:t>el causante con base en el principio de la condición más beneficiosa que permite acudir</w:t>
      </w:r>
      <w:r w:rsidR="002763FF">
        <w:rPr>
          <w:rFonts w:ascii="Arial" w:hAnsi="Arial" w:cs="Arial"/>
          <w:color w:val="000000"/>
          <w:szCs w:val="24"/>
          <w:lang w:eastAsia="es-CO"/>
        </w:rPr>
        <w:t xml:space="preserve"> al Acuerdo 049/90, dejó causado</w:t>
      </w:r>
      <w:r w:rsidR="00382321">
        <w:rPr>
          <w:rFonts w:ascii="Arial" w:hAnsi="Arial" w:cs="Arial"/>
          <w:color w:val="000000"/>
          <w:szCs w:val="24"/>
          <w:lang w:eastAsia="es-CO"/>
        </w:rPr>
        <w:t xml:space="preserve"> el derecho para que sus posibles beneficiarios accedieran a la pensión de sobrevivientes, al cotizar 864,14 semanas con anterioridad al 01/04/1994.</w:t>
      </w:r>
    </w:p>
    <w:p w:rsidR="00382321" w:rsidRPr="00A0431B" w:rsidRDefault="00382321" w:rsidP="00A0431B">
      <w:pPr>
        <w:shd w:val="clear" w:color="auto" w:fill="FFFFFF"/>
        <w:spacing w:line="276" w:lineRule="auto"/>
        <w:jc w:val="both"/>
        <w:rPr>
          <w:rFonts w:ascii="Arial" w:hAnsi="Arial" w:cs="Arial"/>
          <w:sz w:val="22"/>
          <w:szCs w:val="24"/>
        </w:rPr>
      </w:pPr>
    </w:p>
    <w:p w:rsidR="00382321" w:rsidRDefault="0038232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Sin embargo, la actora no logró acreditar el cumplimiento del requisito objetivo</w:t>
      </w:r>
      <w:r w:rsidR="002763FF">
        <w:rPr>
          <w:rFonts w:ascii="Arial" w:hAnsi="Arial" w:cs="Arial"/>
          <w:color w:val="000000"/>
          <w:szCs w:val="24"/>
          <w:lang w:eastAsia="es-CO"/>
        </w:rPr>
        <w:t>,</w:t>
      </w:r>
      <w:r>
        <w:rPr>
          <w:rFonts w:ascii="Arial" w:hAnsi="Arial" w:cs="Arial"/>
          <w:color w:val="000000"/>
          <w:szCs w:val="24"/>
          <w:lang w:eastAsia="es-CO"/>
        </w:rPr>
        <w:t xml:space="preserve"> como quiera que </w:t>
      </w:r>
      <w:r w:rsidR="0026700B">
        <w:rPr>
          <w:rFonts w:ascii="Arial" w:hAnsi="Arial" w:cs="Arial"/>
          <w:color w:val="000000"/>
          <w:szCs w:val="24"/>
          <w:lang w:eastAsia="es-CO"/>
        </w:rPr>
        <w:t xml:space="preserve">las declaraciones </w:t>
      </w:r>
      <w:proofErr w:type="spellStart"/>
      <w:r w:rsidR="0026700B">
        <w:rPr>
          <w:rFonts w:ascii="Arial" w:hAnsi="Arial" w:cs="Arial"/>
          <w:color w:val="000000"/>
          <w:szCs w:val="24"/>
          <w:lang w:eastAsia="es-CO"/>
        </w:rPr>
        <w:t>extrajuicio</w:t>
      </w:r>
      <w:proofErr w:type="spellEnd"/>
      <w:r w:rsidR="0026700B">
        <w:rPr>
          <w:rFonts w:ascii="Arial" w:hAnsi="Arial" w:cs="Arial"/>
          <w:color w:val="000000"/>
          <w:szCs w:val="24"/>
          <w:lang w:eastAsia="es-CO"/>
        </w:rPr>
        <w:t xml:space="preserve"> allegadas si bien refieren lo dicho en el libelo introductor a su juicio fueron insuficiencias para formarse el convencimiento sobre ellos.</w:t>
      </w:r>
    </w:p>
    <w:p w:rsidR="0026700B" w:rsidRPr="00A0431B" w:rsidRDefault="0026700B" w:rsidP="00A0431B">
      <w:pPr>
        <w:shd w:val="clear" w:color="auto" w:fill="FFFFFF"/>
        <w:spacing w:line="276" w:lineRule="auto"/>
        <w:jc w:val="both"/>
        <w:rPr>
          <w:rFonts w:ascii="Arial" w:hAnsi="Arial" w:cs="Arial"/>
          <w:sz w:val="22"/>
          <w:szCs w:val="24"/>
        </w:rPr>
      </w:pPr>
    </w:p>
    <w:p w:rsidR="0026700B" w:rsidRDefault="0026700B" w:rsidP="0026700B">
      <w:pPr>
        <w:suppressAutoHyphens/>
        <w:spacing w:line="276" w:lineRule="auto"/>
        <w:jc w:val="both"/>
        <w:rPr>
          <w:rFonts w:ascii="Arial" w:eastAsia="Dotum" w:hAnsi="Arial" w:cs="Arial"/>
          <w:szCs w:val="24"/>
        </w:rPr>
      </w:pPr>
      <w:r w:rsidRPr="0026700B">
        <w:rPr>
          <w:rFonts w:ascii="Arial" w:hAnsi="Arial" w:cs="Arial"/>
          <w:color w:val="000000"/>
          <w:szCs w:val="24"/>
          <w:lang w:eastAsia="es-CO"/>
        </w:rPr>
        <w:t xml:space="preserve">Adicional a lo anterior, consideró que </w:t>
      </w:r>
      <w:r w:rsidRPr="0026700B">
        <w:rPr>
          <w:rFonts w:ascii="Arial" w:eastAsia="Dotum" w:hAnsi="Arial" w:cs="Arial"/>
          <w:szCs w:val="24"/>
        </w:rPr>
        <w:t xml:space="preserve">de los audios de los testimonios practicados en el Juzgado Cuarto Laboral del Circuito de Pereira, </w:t>
      </w:r>
      <w:r>
        <w:rPr>
          <w:rFonts w:ascii="Arial" w:eastAsia="Dotum" w:hAnsi="Arial" w:cs="Arial"/>
          <w:szCs w:val="24"/>
        </w:rPr>
        <w:t xml:space="preserve">dentro del </w:t>
      </w:r>
      <w:r w:rsidRPr="0026700B">
        <w:rPr>
          <w:rFonts w:ascii="Arial" w:eastAsia="Dotum" w:hAnsi="Arial" w:cs="Arial"/>
          <w:szCs w:val="24"/>
        </w:rPr>
        <w:t xml:space="preserve">expediente radicado </w:t>
      </w:r>
      <w:r>
        <w:rPr>
          <w:rFonts w:ascii="Arial" w:eastAsia="Dotum" w:hAnsi="Arial" w:cs="Arial"/>
          <w:szCs w:val="24"/>
        </w:rPr>
        <w:t>con el número 2012-00221</w:t>
      </w:r>
      <w:r w:rsidR="002763FF">
        <w:rPr>
          <w:rFonts w:ascii="Arial" w:eastAsia="Dotum" w:hAnsi="Arial" w:cs="Arial"/>
          <w:szCs w:val="24"/>
        </w:rPr>
        <w:t>,</w:t>
      </w:r>
      <w:r w:rsidRPr="0026700B">
        <w:rPr>
          <w:rFonts w:ascii="Arial" w:eastAsia="Dotum" w:hAnsi="Arial" w:cs="Arial"/>
          <w:szCs w:val="24"/>
        </w:rPr>
        <w:t xml:space="preserve"> donde actuó como demandante la</w:t>
      </w:r>
      <w:r>
        <w:rPr>
          <w:rFonts w:ascii="Arial" w:eastAsia="Dotum" w:hAnsi="Arial" w:cs="Arial"/>
          <w:szCs w:val="24"/>
        </w:rPr>
        <w:t xml:space="preserve"> señora</w:t>
      </w:r>
      <w:r w:rsidRPr="0026700B">
        <w:rPr>
          <w:rFonts w:ascii="Arial" w:eastAsia="Dotum" w:hAnsi="Arial" w:cs="Arial"/>
          <w:szCs w:val="24"/>
        </w:rPr>
        <w:t xml:space="preserve"> María Socorro Suaza Villa</w:t>
      </w:r>
      <w:r>
        <w:rPr>
          <w:rFonts w:ascii="Arial" w:eastAsia="Dotum" w:hAnsi="Arial" w:cs="Arial"/>
          <w:szCs w:val="24"/>
        </w:rPr>
        <w:t>,</w:t>
      </w:r>
      <w:r w:rsidRPr="0026700B">
        <w:rPr>
          <w:rFonts w:ascii="Arial" w:eastAsia="Dotum" w:hAnsi="Arial" w:cs="Arial"/>
          <w:szCs w:val="24"/>
        </w:rPr>
        <w:t xml:space="preserve"> el causante estuvo en el hogar materno</w:t>
      </w:r>
      <w:r w:rsidR="002763FF">
        <w:rPr>
          <w:rFonts w:ascii="Arial" w:eastAsia="Dotum" w:hAnsi="Arial" w:cs="Arial"/>
          <w:szCs w:val="24"/>
        </w:rPr>
        <w:t xml:space="preserve"> en los últimos meses de vida</w:t>
      </w:r>
      <w:r>
        <w:rPr>
          <w:rFonts w:ascii="Arial" w:eastAsia="Dotum" w:hAnsi="Arial" w:cs="Arial"/>
          <w:szCs w:val="24"/>
        </w:rPr>
        <w:t xml:space="preserve"> </w:t>
      </w:r>
      <w:r w:rsidRPr="0026700B">
        <w:rPr>
          <w:rFonts w:ascii="Arial" w:eastAsia="Dotum" w:hAnsi="Arial" w:cs="Arial"/>
          <w:szCs w:val="24"/>
        </w:rPr>
        <w:t xml:space="preserve">porque no contaba con mecanismos de auto-manutención y por encontrarse en un estado de debilidad por su estado de salud, </w:t>
      </w:r>
      <w:r>
        <w:rPr>
          <w:rFonts w:ascii="Arial" w:eastAsia="Dotum" w:hAnsi="Arial" w:cs="Arial"/>
          <w:szCs w:val="24"/>
        </w:rPr>
        <w:t xml:space="preserve">de lo que se </w:t>
      </w:r>
      <w:r w:rsidRPr="0026700B">
        <w:rPr>
          <w:rFonts w:ascii="Arial" w:eastAsia="Dotum" w:hAnsi="Arial" w:cs="Arial"/>
          <w:szCs w:val="24"/>
        </w:rPr>
        <w:t>desprende que la demandante no estaba suped</w:t>
      </w:r>
      <w:r>
        <w:rPr>
          <w:rFonts w:ascii="Arial" w:eastAsia="Dotum" w:hAnsi="Arial" w:cs="Arial"/>
          <w:szCs w:val="24"/>
        </w:rPr>
        <w:t>itada económicamente de su hijo</w:t>
      </w:r>
      <w:r w:rsidR="002763FF">
        <w:rPr>
          <w:rFonts w:ascii="Arial" w:eastAsia="Dotum" w:hAnsi="Arial" w:cs="Arial"/>
          <w:szCs w:val="24"/>
        </w:rPr>
        <w:t>,</w:t>
      </w:r>
      <w:r w:rsidRPr="0026700B">
        <w:rPr>
          <w:rFonts w:ascii="Arial" w:eastAsia="Dotum" w:hAnsi="Arial" w:cs="Arial"/>
          <w:szCs w:val="24"/>
        </w:rPr>
        <w:t xml:space="preserve"> sino que</w:t>
      </w:r>
      <w:r w:rsidR="00AB3370">
        <w:rPr>
          <w:rFonts w:ascii="Arial" w:eastAsia="Dotum" w:hAnsi="Arial" w:cs="Arial"/>
          <w:szCs w:val="24"/>
        </w:rPr>
        <w:t xml:space="preserve"> </w:t>
      </w:r>
      <w:r w:rsidRPr="0026700B">
        <w:rPr>
          <w:rFonts w:ascii="Arial" w:eastAsia="Dotum" w:hAnsi="Arial" w:cs="Arial"/>
          <w:szCs w:val="24"/>
        </w:rPr>
        <w:t>era todo lo contrario.</w:t>
      </w:r>
    </w:p>
    <w:p w:rsidR="0026700B" w:rsidRPr="00A0431B" w:rsidRDefault="0026700B" w:rsidP="00A0431B">
      <w:pPr>
        <w:shd w:val="clear" w:color="auto" w:fill="FFFFFF"/>
        <w:spacing w:line="276" w:lineRule="auto"/>
        <w:jc w:val="both"/>
        <w:rPr>
          <w:rFonts w:ascii="Arial" w:hAnsi="Arial" w:cs="Arial"/>
          <w:sz w:val="22"/>
          <w:szCs w:val="24"/>
        </w:rPr>
      </w:pPr>
    </w:p>
    <w:p w:rsidR="002C313D" w:rsidRPr="00CE1735" w:rsidRDefault="00CE1735" w:rsidP="00CE1735">
      <w:pPr>
        <w:spacing w:line="276" w:lineRule="auto"/>
        <w:jc w:val="both"/>
        <w:rPr>
          <w:rFonts w:ascii="Arial" w:hAnsi="Arial" w:cs="Arial"/>
          <w:b/>
          <w:szCs w:val="24"/>
        </w:rPr>
      </w:pPr>
      <w:r>
        <w:rPr>
          <w:rFonts w:ascii="Arial" w:hAnsi="Arial" w:cs="Arial"/>
          <w:b/>
          <w:szCs w:val="24"/>
        </w:rPr>
        <w:t xml:space="preserve">3. </w:t>
      </w:r>
      <w:r w:rsidR="00934023" w:rsidRPr="00CE1735">
        <w:rPr>
          <w:rFonts w:ascii="Arial" w:hAnsi="Arial" w:cs="Arial"/>
          <w:b/>
          <w:szCs w:val="24"/>
        </w:rPr>
        <w:t>Síntesis del recurso de apelación</w:t>
      </w:r>
    </w:p>
    <w:p w:rsidR="00B36B90" w:rsidRPr="00A0431B" w:rsidRDefault="00AB2427" w:rsidP="00A227F4">
      <w:pPr>
        <w:shd w:val="clear" w:color="auto" w:fill="FFFFFF"/>
        <w:spacing w:line="276" w:lineRule="auto"/>
        <w:jc w:val="both"/>
        <w:rPr>
          <w:rFonts w:ascii="Arial" w:hAnsi="Arial" w:cs="Arial"/>
          <w:sz w:val="22"/>
          <w:szCs w:val="24"/>
        </w:rPr>
      </w:pPr>
      <w:r w:rsidRPr="00A0431B">
        <w:rPr>
          <w:rFonts w:ascii="Arial" w:hAnsi="Arial" w:cs="Arial"/>
          <w:sz w:val="22"/>
          <w:szCs w:val="24"/>
        </w:rPr>
        <w:tab/>
      </w:r>
    </w:p>
    <w:p w:rsidR="00222A08" w:rsidRDefault="00934023" w:rsidP="002C5E6C">
      <w:pPr>
        <w:shd w:val="clear" w:color="auto" w:fill="FFFFFF"/>
        <w:spacing w:line="276" w:lineRule="auto"/>
        <w:jc w:val="both"/>
        <w:rPr>
          <w:rFonts w:ascii="Arial" w:hAnsi="Arial" w:cs="Arial"/>
          <w:szCs w:val="24"/>
        </w:rPr>
      </w:pPr>
      <w:r>
        <w:rPr>
          <w:rFonts w:ascii="Arial" w:hAnsi="Arial" w:cs="Arial"/>
          <w:szCs w:val="24"/>
        </w:rPr>
        <w:t xml:space="preserve">Inconforme con la decisión, </w:t>
      </w:r>
      <w:r w:rsidR="000B20E2">
        <w:rPr>
          <w:rFonts w:ascii="Arial" w:hAnsi="Arial" w:cs="Arial"/>
          <w:szCs w:val="24"/>
        </w:rPr>
        <w:t xml:space="preserve">la </w:t>
      </w:r>
      <w:r w:rsidR="00A257BD">
        <w:rPr>
          <w:rFonts w:ascii="Arial" w:hAnsi="Arial" w:cs="Arial"/>
          <w:szCs w:val="24"/>
        </w:rPr>
        <w:t>apoderad</w:t>
      </w:r>
      <w:r w:rsidR="005D62D1">
        <w:rPr>
          <w:rFonts w:ascii="Arial" w:hAnsi="Arial" w:cs="Arial"/>
          <w:szCs w:val="24"/>
        </w:rPr>
        <w:t>a</w:t>
      </w:r>
      <w:r w:rsidR="00A257BD">
        <w:rPr>
          <w:rFonts w:ascii="Arial" w:hAnsi="Arial" w:cs="Arial"/>
          <w:szCs w:val="24"/>
        </w:rPr>
        <w:t xml:space="preserve"> judicial de </w:t>
      </w:r>
      <w:r w:rsidR="00222A08">
        <w:rPr>
          <w:rFonts w:ascii="Arial" w:hAnsi="Arial" w:cs="Arial"/>
          <w:szCs w:val="24"/>
        </w:rPr>
        <w:t xml:space="preserve">la parte actora la recurrió e indicó que </w:t>
      </w:r>
      <w:r w:rsidR="002C5E6C">
        <w:rPr>
          <w:rFonts w:ascii="Arial" w:hAnsi="Arial" w:cs="Arial"/>
          <w:szCs w:val="24"/>
        </w:rPr>
        <w:t>s</w:t>
      </w:r>
      <w:r w:rsidR="002763FF">
        <w:rPr>
          <w:rFonts w:ascii="Arial" w:hAnsi="Arial" w:cs="Arial"/>
          <w:szCs w:val="24"/>
        </w:rPr>
        <w:t>í</w:t>
      </w:r>
      <w:r w:rsidR="002C5E6C">
        <w:rPr>
          <w:rFonts w:ascii="Arial" w:hAnsi="Arial" w:cs="Arial"/>
          <w:szCs w:val="24"/>
        </w:rPr>
        <w:t xml:space="preserve"> es beneficiaria de la pensión de sobrevivientes porque desde que </w:t>
      </w:r>
      <w:r w:rsidR="002763FF">
        <w:rPr>
          <w:rFonts w:ascii="Arial" w:hAnsi="Arial" w:cs="Arial"/>
          <w:szCs w:val="24"/>
        </w:rPr>
        <w:t xml:space="preserve">el hijo de la actora </w:t>
      </w:r>
      <w:r w:rsidR="002C5E6C">
        <w:rPr>
          <w:rFonts w:ascii="Arial" w:hAnsi="Arial" w:cs="Arial"/>
          <w:szCs w:val="24"/>
        </w:rPr>
        <w:t xml:space="preserve">nació </w:t>
      </w:r>
      <w:r w:rsidR="00222A08">
        <w:rPr>
          <w:rFonts w:ascii="Arial" w:hAnsi="Arial" w:cs="Arial"/>
          <w:szCs w:val="24"/>
        </w:rPr>
        <w:t>siempre convivi</w:t>
      </w:r>
      <w:r w:rsidR="00773D36">
        <w:rPr>
          <w:rFonts w:ascii="Arial" w:hAnsi="Arial" w:cs="Arial"/>
          <w:szCs w:val="24"/>
        </w:rPr>
        <w:t>ó</w:t>
      </w:r>
      <w:r w:rsidR="00222A08">
        <w:rPr>
          <w:rFonts w:ascii="Arial" w:hAnsi="Arial" w:cs="Arial"/>
          <w:szCs w:val="24"/>
        </w:rPr>
        <w:t xml:space="preserve"> y </w:t>
      </w:r>
      <w:r w:rsidR="002C5E6C">
        <w:rPr>
          <w:rFonts w:ascii="Arial" w:hAnsi="Arial" w:cs="Arial"/>
          <w:szCs w:val="24"/>
        </w:rPr>
        <w:t>compartió</w:t>
      </w:r>
      <w:r w:rsidR="00222A08">
        <w:rPr>
          <w:rFonts w:ascii="Arial" w:hAnsi="Arial" w:cs="Arial"/>
          <w:szCs w:val="24"/>
        </w:rPr>
        <w:t xml:space="preserve"> techo y mesa con </w:t>
      </w:r>
      <w:r w:rsidR="002C5E6C">
        <w:rPr>
          <w:rFonts w:ascii="Arial" w:hAnsi="Arial" w:cs="Arial"/>
          <w:szCs w:val="24"/>
        </w:rPr>
        <w:t xml:space="preserve">ella y además </w:t>
      </w:r>
      <w:r w:rsidR="00222A08">
        <w:rPr>
          <w:rFonts w:ascii="Arial" w:hAnsi="Arial" w:cs="Arial"/>
          <w:szCs w:val="24"/>
        </w:rPr>
        <w:t xml:space="preserve">lo asistió hasta el último momento </w:t>
      </w:r>
      <w:r w:rsidR="002C5E6C">
        <w:rPr>
          <w:rFonts w:ascii="Arial" w:hAnsi="Arial" w:cs="Arial"/>
          <w:szCs w:val="24"/>
        </w:rPr>
        <w:t>del fallecimiento el 04/11/2000.</w:t>
      </w:r>
    </w:p>
    <w:p w:rsidR="002C5E6C" w:rsidRDefault="002C5E6C" w:rsidP="000B20E2">
      <w:pPr>
        <w:shd w:val="clear" w:color="auto" w:fill="FFFFFF"/>
        <w:spacing w:line="276" w:lineRule="auto"/>
        <w:jc w:val="both"/>
        <w:rPr>
          <w:rFonts w:ascii="Arial" w:hAnsi="Arial" w:cs="Arial"/>
          <w:szCs w:val="24"/>
        </w:rPr>
      </w:pPr>
    </w:p>
    <w:p w:rsidR="00222A08" w:rsidRDefault="00667F1F" w:rsidP="000B20E2">
      <w:pPr>
        <w:shd w:val="clear" w:color="auto" w:fill="FFFFFF"/>
        <w:spacing w:line="276" w:lineRule="auto"/>
        <w:jc w:val="both"/>
        <w:rPr>
          <w:rFonts w:ascii="Arial" w:hAnsi="Arial" w:cs="Arial"/>
          <w:szCs w:val="24"/>
        </w:rPr>
      </w:pPr>
      <w:r>
        <w:rPr>
          <w:rFonts w:ascii="Arial" w:hAnsi="Arial" w:cs="Arial"/>
          <w:szCs w:val="24"/>
        </w:rPr>
        <w:t>S</w:t>
      </w:r>
      <w:r w:rsidR="00222A08">
        <w:rPr>
          <w:rFonts w:ascii="Arial" w:hAnsi="Arial" w:cs="Arial"/>
          <w:szCs w:val="24"/>
        </w:rPr>
        <w:t>e op</w:t>
      </w:r>
      <w:r>
        <w:rPr>
          <w:rFonts w:ascii="Arial" w:hAnsi="Arial" w:cs="Arial"/>
          <w:szCs w:val="24"/>
        </w:rPr>
        <w:t xml:space="preserve">uso </w:t>
      </w:r>
      <w:r w:rsidR="00222A08">
        <w:rPr>
          <w:rFonts w:ascii="Arial" w:hAnsi="Arial" w:cs="Arial"/>
          <w:szCs w:val="24"/>
        </w:rPr>
        <w:t xml:space="preserve">a </w:t>
      </w:r>
      <w:r>
        <w:rPr>
          <w:rFonts w:ascii="Arial" w:hAnsi="Arial" w:cs="Arial"/>
          <w:szCs w:val="24"/>
        </w:rPr>
        <w:t xml:space="preserve">la valoración de </w:t>
      </w:r>
      <w:r w:rsidR="00222A08">
        <w:rPr>
          <w:rFonts w:ascii="Arial" w:hAnsi="Arial" w:cs="Arial"/>
          <w:szCs w:val="24"/>
        </w:rPr>
        <w:t xml:space="preserve">las declaraciones del proceso anterior que interpuso la señora </w:t>
      </w:r>
      <w:r w:rsidR="006372F3">
        <w:rPr>
          <w:rFonts w:ascii="Arial" w:hAnsi="Arial" w:cs="Arial"/>
          <w:szCs w:val="24"/>
        </w:rPr>
        <w:t>María</w:t>
      </w:r>
      <w:r w:rsidR="002C5E6C">
        <w:rPr>
          <w:rFonts w:ascii="Arial" w:hAnsi="Arial" w:cs="Arial"/>
          <w:szCs w:val="24"/>
        </w:rPr>
        <w:t xml:space="preserve"> del Socor</w:t>
      </w:r>
      <w:r w:rsidR="00222A08">
        <w:rPr>
          <w:rFonts w:ascii="Arial" w:hAnsi="Arial" w:cs="Arial"/>
          <w:szCs w:val="24"/>
        </w:rPr>
        <w:t>ro Suaza</w:t>
      </w:r>
      <w:r w:rsidR="00EF3A25">
        <w:rPr>
          <w:rFonts w:ascii="Arial" w:hAnsi="Arial" w:cs="Arial"/>
          <w:szCs w:val="24"/>
        </w:rPr>
        <w:t>,</w:t>
      </w:r>
      <w:r w:rsidR="00222A08">
        <w:rPr>
          <w:rFonts w:ascii="Arial" w:hAnsi="Arial" w:cs="Arial"/>
          <w:szCs w:val="24"/>
        </w:rPr>
        <w:t xml:space="preserve"> ya que ni siquiera se pudo comprobar la </w:t>
      </w:r>
      <w:r w:rsidR="006372F3">
        <w:rPr>
          <w:rFonts w:ascii="Arial" w:hAnsi="Arial" w:cs="Arial"/>
          <w:szCs w:val="24"/>
        </w:rPr>
        <w:t>convivencia</w:t>
      </w:r>
      <w:r w:rsidR="00222A08">
        <w:rPr>
          <w:rFonts w:ascii="Arial" w:hAnsi="Arial" w:cs="Arial"/>
          <w:szCs w:val="24"/>
        </w:rPr>
        <w:t xml:space="preserve"> con ella </w:t>
      </w:r>
      <w:r>
        <w:rPr>
          <w:rFonts w:ascii="Arial" w:hAnsi="Arial" w:cs="Arial"/>
          <w:szCs w:val="24"/>
        </w:rPr>
        <w:t>que desacreditar</w:t>
      </w:r>
      <w:r w:rsidR="00EF3A25">
        <w:rPr>
          <w:rFonts w:ascii="Arial" w:hAnsi="Arial" w:cs="Arial"/>
          <w:szCs w:val="24"/>
        </w:rPr>
        <w:t>a</w:t>
      </w:r>
      <w:r>
        <w:rPr>
          <w:rFonts w:ascii="Arial" w:hAnsi="Arial" w:cs="Arial"/>
          <w:szCs w:val="24"/>
        </w:rPr>
        <w:t xml:space="preserve"> la surtida con su progenitora</w:t>
      </w:r>
      <w:r w:rsidR="006372F3">
        <w:rPr>
          <w:rFonts w:ascii="Arial" w:hAnsi="Arial" w:cs="Arial"/>
          <w:szCs w:val="24"/>
        </w:rPr>
        <w:t>.</w:t>
      </w:r>
    </w:p>
    <w:p w:rsidR="006372F3" w:rsidRPr="00A0431B" w:rsidRDefault="006372F3" w:rsidP="000B20E2">
      <w:pPr>
        <w:shd w:val="clear" w:color="auto" w:fill="FFFFFF"/>
        <w:spacing w:line="276" w:lineRule="auto"/>
        <w:jc w:val="both"/>
        <w:rPr>
          <w:rFonts w:ascii="Arial" w:hAnsi="Arial" w:cs="Arial"/>
          <w:sz w:val="22"/>
          <w:szCs w:val="24"/>
        </w:rPr>
      </w:pPr>
    </w:p>
    <w:p w:rsidR="006372F3" w:rsidRDefault="00667F1F" w:rsidP="000B20E2">
      <w:pPr>
        <w:shd w:val="clear" w:color="auto" w:fill="FFFFFF"/>
        <w:spacing w:line="276" w:lineRule="auto"/>
        <w:jc w:val="both"/>
        <w:rPr>
          <w:rFonts w:ascii="Arial" w:hAnsi="Arial" w:cs="Arial"/>
          <w:szCs w:val="24"/>
        </w:rPr>
      </w:pPr>
      <w:r>
        <w:rPr>
          <w:rFonts w:ascii="Arial" w:hAnsi="Arial" w:cs="Arial"/>
          <w:szCs w:val="24"/>
        </w:rPr>
        <w:t xml:space="preserve">Explicó que como para </w:t>
      </w:r>
      <w:r w:rsidR="006372F3">
        <w:rPr>
          <w:rFonts w:ascii="Arial" w:hAnsi="Arial" w:cs="Arial"/>
          <w:szCs w:val="24"/>
        </w:rPr>
        <w:t xml:space="preserve">el momento en que falleció </w:t>
      </w:r>
      <w:r>
        <w:rPr>
          <w:rFonts w:ascii="Arial" w:hAnsi="Arial" w:cs="Arial"/>
          <w:szCs w:val="24"/>
        </w:rPr>
        <w:t xml:space="preserve">el señor </w:t>
      </w:r>
      <w:r w:rsidR="006372F3">
        <w:rPr>
          <w:rFonts w:ascii="Arial" w:hAnsi="Arial" w:cs="Arial"/>
          <w:szCs w:val="24"/>
        </w:rPr>
        <w:t>J</w:t>
      </w:r>
      <w:r>
        <w:rPr>
          <w:rFonts w:ascii="Arial" w:hAnsi="Arial" w:cs="Arial"/>
          <w:szCs w:val="24"/>
        </w:rPr>
        <w:t xml:space="preserve">avier Serna Muñoz </w:t>
      </w:r>
      <w:r w:rsidR="006372F3">
        <w:rPr>
          <w:rFonts w:ascii="Arial" w:hAnsi="Arial" w:cs="Arial"/>
          <w:szCs w:val="24"/>
        </w:rPr>
        <w:t>no labora</w:t>
      </w:r>
      <w:r w:rsidR="00EF3A25">
        <w:rPr>
          <w:rFonts w:ascii="Arial" w:hAnsi="Arial" w:cs="Arial"/>
          <w:szCs w:val="24"/>
        </w:rPr>
        <w:t>ba</w:t>
      </w:r>
      <w:r>
        <w:rPr>
          <w:rFonts w:ascii="Arial" w:hAnsi="Arial" w:cs="Arial"/>
          <w:szCs w:val="24"/>
        </w:rPr>
        <w:t xml:space="preserve"> debido a su estado de salud</w:t>
      </w:r>
      <w:r w:rsidR="006372F3">
        <w:rPr>
          <w:rFonts w:ascii="Arial" w:hAnsi="Arial" w:cs="Arial"/>
          <w:szCs w:val="24"/>
        </w:rPr>
        <w:t xml:space="preserve">, </w:t>
      </w:r>
      <w:r>
        <w:rPr>
          <w:rFonts w:ascii="Arial" w:hAnsi="Arial" w:cs="Arial"/>
          <w:szCs w:val="24"/>
        </w:rPr>
        <w:t xml:space="preserve">por obvias razones </w:t>
      </w:r>
      <w:r w:rsidR="006372F3">
        <w:rPr>
          <w:rFonts w:ascii="Arial" w:hAnsi="Arial" w:cs="Arial"/>
          <w:szCs w:val="24"/>
        </w:rPr>
        <w:t xml:space="preserve">no  la podía </w:t>
      </w:r>
      <w:r>
        <w:rPr>
          <w:rFonts w:ascii="Arial" w:hAnsi="Arial" w:cs="Arial"/>
          <w:szCs w:val="24"/>
        </w:rPr>
        <w:t xml:space="preserve">tener vinculada al sistema de salud </w:t>
      </w:r>
      <w:r>
        <w:rPr>
          <w:rFonts w:ascii="Arial" w:hAnsi="Arial" w:cs="Arial"/>
          <w:szCs w:val="24"/>
          <w:lang w:val="es-CO"/>
        </w:rPr>
        <w:t xml:space="preserve">y que el </w:t>
      </w:r>
      <w:r w:rsidR="006372F3">
        <w:rPr>
          <w:rFonts w:ascii="Arial" w:hAnsi="Arial" w:cs="Arial"/>
          <w:szCs w:val="24"/>
        </w:rPr>
        <w:t xml:space="preserve">hecho de que recibiría ayuda de sus </w:t>
      </w:r>
      <w:r w:rsidR="00EF3A25">
        <w:rPr>
          <w:rFonts w:ascii="Arial" w:hAnsi="Arial" w:cs="Arial"/>
          <w:szCs w:val="24"/>
        </w:rPr>
        <w:t>otros</w:t>
      </w:r>
      <w:r w:rsidR="006372F3">
        <w:rPr>
          <w:rFonts w:ascii="Arial" w:hAnsi="Arial" w:cs="Arial"/>
          <w:szCs w:val="24"/>
        </w:rPr>
        <w:t xml:space="preserve"> hijos tampoco la excluye.</w:t>
      </w:r>
    </w:p>
    <w:p w:rsidR="000B518F" w:rsidRPr="00A0431B" w:rsidRDefault="000B518F" w:rsidP="000B20E2">
      <w:pPr>
        <w:shd w:val="clear" w:color="auto" w:fill="FFFFFF"/>
        <w:spacing w:line="276" w:lineRule="auto"/>
        <w:jc w:val="both"/>
        <w:rPr>
          <w:rFonts w:ascii="Arial" w:hAnsi="Arial" w:cs="Arial"/>
          <w:sz w:val="22"/>
          <w:szCs w:val="24"/>
        </w:rPr>
      </w:pPr>
    </w:p>
    <w:p w:rsidR="0061484D" w:rsidRPr="00763351" w:rsidRDefault="0061484D" w:rsidP="006E0345">
      <w:pPr>
        <w:shd w:val="clear" w:color="auto" w:fill="FFFFFF"/>
        <w:tabs>
          <w:tab w:val="left" w:pos="5197"/>
        </w:tabs>
        <w:spacing w:line="276" w:lineRule="auto"/>
        <w:jc w:val="center"/>
        <w:rPr>
          <w:rFonts w:ascii="Arial" w:hAnsi="Arial" w:cs="Arial"/>
          <w:b/>
          <w:szCs w:val="24"/>
        </w:rPr>
      </w:pPr>
      <w:r w:rsidRPr="00763351">
        <w:rPr>
          <w:rFonts w:ascii="Arial" w:hAnsi="Arial" w:cs="Arial"/>
          <w:b/>
          <w:szCs w:val="24"/>
        </w:rPr>
        <w:t>CONSIDERACIONES</w:t>
      </w:r>
    </w:p>
    <w:p w:rsidR="00FF24FA" w:rsidRPr="00A0431B" w:rsidRDefault="00FF24FA" w:rsidP="00C6446B">
      <w:pPr>
        <w:shd w:val="clear" w:color="auto" w:fill="FFFFFF"/>
        <w:spacing w:line="276" w:lineRule="auto"/>
        <w:jc w:val="both"/>
        <w:rPr>
          <w:rFonts w:ascii="Arial" w:hAnsi="Arial" w:cs="Arial"/>
          <w:sz w:val="22"/>
          <w:szCs w:val="24"/>
        </w:rPr>
      </w:pPr>
    </w:p>
    <w:p w:rsidR="00DE57AA" w:rsidRPr="00DE57AA" w:rsidRDefault="00EF3A25" w:rsidP="00DE57AA">
      <w:pPr>
        <w:spacing w:line="276" w:lineRule="auto"/>
        <w:jc w:val="both"/>
        <w:rPr>
          <w:rFonts w:ascii="Arial" w:hAnsi="Arial"/>
          <w:b/>
          <w:szCs w:val="24"/>
        </w:rPr>
      </w:pPr>
      <w:r>
        <w:rPr>
          <w:rFonts w:ascii="Arial" w:hAnsi="Arial"/>
          <w:b/>
          <w:szCs w:val="24"/>
        </w:rPr>
        <w:t>1. Cuestión previa</w:t>
      </w:r>
    </w:p>
    <w:p w:rsidR="00DE57AA" w:rsidRPr="00A0431B" w:rsidRDefault="00DE57AA" w:rsidP="00A0431B">
      <w:pPr>
        <w:shd w:val="clear" w:color="auto" w:fill="FFFFFF"/>
        <w:spacing w:line="276" w:lineRule="auto"/>
        <w:jc w:val="both"/>
        <w:rPr>
          <w:rFonts w:ascii="Arial" w:hAnsi="Arial" w:cs="Arial"/>
          <w:sz w:val="22"/>
          <w:szCs w:val="24"/>
        </w:rPr>
      </w:pPr>
    </w:p>
    <w:p w:rsidR="00913CA3" w:rsidRPr="000C4EE9" w:rsidRDefault="00773D36" w:rsidP="00913CA3">
      <w:pPr>
        <w:spacing w:line="276" w:lineRule="auto"/>
        <w:jc w:val="both"/>
        <w:rPr>
          <w:rFonts w:ascii="Arial" w:hAnsi="Arial"/>
          <w:szCs w:val="24"/>
        </w:rPr>
      </w:pPr>
      <w:r>
        <w:rPr>
          <w:rFonts w:ascii="Arial" w:hAnsi="Arial"/>
          <w:szCs w:val="24"/>
        </w:rPr>
        <w:t>Sea lo primero advertir</w:t>
      </w:r>
      <w:r w:rsidRPr="000C4EE9">
        <w:rPr>
          <w:rFonts w:ascii="Arial" w:hAnsi="Arial"/>
          <w:szCs w:val="24"/>
        </w:rPr>
        <w:t xml:space="preserve"> que </w:t>
      </w:r>
      <w:r>
        <w:rPr>
          <w:rFonts w:ascii="Arial" w:hAnsi="Arial"/>
          <w:szCs w:val="24"/>
        </w:rPr>
        <w:t>Javier Serna Muñoz dejó causada la pensión de sobrevivientes</w:t>
      </w:r>
      <w:r w:rsidR="00EF3A25">
        <w:rPr>
          <w:rFonts w:ascii="Arial" w:hAnsi="Arial"/>
          <w:szCs w:val="24"/>
        </w:rPr>
        <w:t xml:space="preserve">, pues aunque </w:t>
      </w:r>
      <w:r w:rsidR="00D448EC">
        <w:rPr>
          <w:rFonts w:ascii="Arial" w:hAnsi="Arial"/>
          <w:szCs w:val="24"/>
        </w:rPr>
        <w:t xml:space="preserve">carece de </w:t>
      </w:r>
      <w:r w:rsidR="00EF3A25">
        <w:rPr>
          <w:rFonts w:ascii="Arial" w:hAnsi="Arial"/>
          <w:szCs w:val="24"/>
        </w:rPr>
        <w:t>cotizaciones en los términos del artículo 39 de la Ley 100 de 1993 –original- que es la normativa a aplicar por fallecer el 04/11/2000</w:t>
      </w:r>
      <w:r w:rsidR="00D448EC">
        <w:rPr>
          <w:rFonts w:ascii="Arial" w:hAnsi="Arial"/>
          <w:szCs w:val="24"/>
        </w:rPr>
        <w:t>; tras aplicar el principio de la condición más beneficiosa y acudir a la norma inmediatamente anterior que es el Acuerdo 049/90</w:t>
      </w:r>
      <w:r w:rsidR="002763FF">
        <w:rPr>
          <w:rFonts w:ascii="Arial" w:hAnsi="Arial"/>
          <w:szCs w:val="24"/>
        </w:rPr>
        <w:t>,</w:t>
      </w:r>
      <w:r w:rsidR="00D448EC">
        <w:rPr>
          <w:rFonts w:ascii="Arial" w:hAnsi="Arial"/>
          <w:szCs w:val="24"/>
        </w:rPr>
        <w:t xml:space="preserve"> sin que opere para ese efecto limitación temporal alguna como lo ha definido la </w:t>
      </w:r>
      <w:proofErr w:type="spellStart"/>
      <w:r w:rsidR="00D448EC">
        <w:rPr>
          <w:rFonts w:ascii="Arial" w:hAnsi="Arial"/>
          <w:szCs w:val="24"/>
        </w:rPr>
        <w:t>SCL</w:t>
      </w:r>
      <w:proofErr w:type="spellEnd"/>
      <w:r w:rsidR="00D448EC">
        <w:rPr>
          <w:rFonts w:ascii="Arial" w:hAnsi="Arial"/>
          <w:szCs w:val="24"/>
        </w:rPr>
        <w:t xml:space="preserve"> de la CSJ </w:t>
      </w:r>
      <w:r w:rsidR="00D448EC" w:rsidRPr="00D448EC">
        <w:rPr>
          <w:rFonts w:ascii="Arial" w:hAnsi="Arial" w:cs="Arial"/>
          <w:szCs w:val="24"/>
        </w:rPr>
        <w:t xml:space="preserve">a través de la sentencia </w:t>
      </w:r>
      <w:proofErr w:type="spellStart"/>
      <w:r w:rsidR="00D448EC" w:rsidRPr="00D448EC">
        <w:rPr>
          <w:rFonts w:ascii="Arial" w:hAnsi="Arial" w:cs="Arial"/>
          <w:szCs w:val="24"/>
        </w:rPr>
        <w:t>SL</w:t>
      </w:r>
      <w:proofErr w:type="spellEnd"/>
      <w:r w:rsidR="00D448EC" w:rsidRPr="00D448EC">
        <w:rPr>
          <w:rFonts w:ascii="Arial" w:hAnsi="Arial" w:cs="Arial"/>
          <w:szCs w:val="24"/>
        </w:rPr>
        <w:t xml:space="preserve"> 4634 del 17/10/2018 radicada al N° 79008, </w:t>
      </w:r>
      <w:r w:rsidR="00D448EC">
        <w:rPr>
          <w:rFonts w:ascii="Arial" w:hAnsi="Arial" w:cs="Arial"/>
          <w:szCs w:val="24"/>
        </w:rPr>
        <w:t>se advierte que</w:t>
      </w:r>
      <w:r w:rsidR="00913CA3">
        <w:rPr>
          <w:rFonts w:ascii="Arial" w:hAnsi="Arial" w:cs="Arial"/>
          <w:szCs w:val="24"/>
        </w:rPr>
        <w:t xml:space="preserve"> cuenta en toda su vida laboral, 28/06/1972 al 27/08/1991 con 864,1429 –</w:t>
      </w:r>
      <w:proofErr w:type="spellStart"/>
      <w:r w:rsidR="00913CA3">
        <w:rPr>
          <w:rFonts w:ascii="Arial" w:hAnsi="Arial" w:cs="Arial"/>
          <w:szCs w:val="24"/>
        </w:rPr>
        <w:t>fl</w:t>
      </w:r>
      <w:proofErr w:type="spellEnd"/>
      <w:r w:rsidR="00913CA3">
        <w:rPr>
          <w:rFonts w:ascii="Arial" w:hAnsi="Arial" w:cs="Arial"/>
          <w:szCs w:val="24"/>
        </w:rPr>
        <w:t xml:space="preserve">. 126 a 128 cd. 1-, supera con creces las 300 exigidas por los artículos 6 y 25 </w:t>
      </w:r>
      <w:proofErr w:type="gramStart"/>
      <w:r w:rsidR="00913CA3">
        <w:rPr>
          <w:rFonts w:ascii="Arial" w:hAnsi="Arial" w:cs="Arial"/>
          <w:szCs w:val="24"/>
        </w:rPr>
        <w:t>del</w:t>
      </w:r>
      <w:proofErr w:type="gramEnd"/>
      <w:r w:rsidR="00913CA3">
        <w:rPr>
          <w:rFonts w:ascii="Arial" w:hAnsi="Arial" w:cs="Arial"/>
          <w:szCs w:val="24"/>
        </w:rPr>
        <w:t xml:space="preserve"> esa última normativa, </w:t>
      </w:r>
      <w:r w:rsidR="00913CA3">
        <w:rPr>
          <w:rFonts w:ascii="Arial" w:hAnsi="Arial"/>
          <w:szCs w:val="24"/>
        </w:rPr>
        <w:t>conclusión que no tuvo reproche alguno por los interesados.</w:t>
      </w:r>
    </w:p>
    <w:p w:rsidR="00D448EC" w:rsidRPr="00A0431B" w:rsidRDefault="00D448EC" w:rsidP="00A0431B">
      <w:pPr>
        <w:shd w:val="clear" w:color="auto" w:fill="FFFFFF"/>
        <w:spacing w:line="276" w:lineRule="auto"/>
        <w:jc w:val="both"/>
        <w:rPr>
          <w:rFonts w:ascii="Arial" w:hAnsi="Arial" w:cs="Arial"/>
          <w:sz w:val="22"/>
          <w:szCs w:val="24"/>
        </w:rPr>
      </w:pPr>
    </w:p>
    <w:p w:rsidR="00226D5F" w:rsidRPr="0005068E" w:rsidRDefault="007B055A" w:rsidP="0005068E">
      <w:pPr>
        <w:shd w:val="clear" w:color="auto" w:fill="FFFFFF"/>
        <w:tabs>
          <w:tab w:val="left" w:pos="5197"/>
        </w:tabs>
        <w:spacing w:line="276" w:lineRule="auto"/>
        <w:jc w:val="both"/>
        <w:rPr>
          <w:rFonts w:ascii="Arial" w:hAnsi="Arial" w:cs="Arial"/>
          <w:szCs w:val="24"/>
        </w:rPr>
      </w:pPr>
      <w:r>
        <w:rPr>
          <w:rFonts w:ascii="Arial" w:hAnsi="Arial" w:cs="Arial"/>
          <w:b/>
          <w:szCs w:val="24"/>
        </w:rPr>
        <w:t>2</w:t>
      </w:r>
      <w:r w:rsidR="0005068E">
        <w:rPr>
          <w:rFonts w:ascii="Arial" w:hAnsi="Arial" w:cs="Arial"/>
          <w:b/>
          <w:szCs w:val="24"/>
        </w:rPr>
        <w:t xml:space="preserve">. </w:t>
      </w:r>
      <w:r w:rsidR="00226D5F" w:rsidRPr="0005068E">
        <w:rPr>
          <w:rFonts w:ascii="Arial" w:hAnsi="Arial" w:cs="Arial"/>
          <w:b/>
          <w:szCs w:val="24"/>
        </w:rPr>
        <w:t>Del problema jurídico</w:t>
      </w:r>
    </w:p>
    <w:p w:rsidR="00913CA3" w:rsidRPr="00A0431B" w:rsidRDefault="00913CA3" w:rsidP="00A0431B">
      <w:pPr>
        <w:shd w:val="clear" w:color="auto" w:fill="FFFFFF"/>
        <w:spacing w:line="276" w:lineRule="auto"/>
        <w:jc w:val="both"/>
        <w:rPr>
          <w:rFonts w:ascii="Arial" w:hAnsi="Arial" w:cs="Arial"/>
          <w:sz w:val="22"/>
          <w:szCs w:val="24"/>
        </w:rPr>
      </w:pPr>
    </w:p>
    <w:p w:rsidR="007B055A" w:rsidRDefault="007B055A" w:rsidP="007B055A">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Pr>
          <w:rFonts w:ascii="Arial" w:hAnsi="Arial"/>
          <w:szCs w:val="24"/>
        </w:rPr>
        <w:t>,</w:t>
      </w:r>
      <w:r w:rsidRPr="000C4EE9">
        <w:rPr>
          <w:rFonts w:ascii="Arial" w:hAnsi="Arial"/>
          <w:szCs w:val="24"/>
        </w:rPr>
        <w:t xml:space="preserve"> </w:t>
      </w:r>
      <w:r>
        <w:rPr>
          <w:rFonts w:ascii="Arial" w:hAnsi="Arial"/>
          <w:szCs w:val="24"/>
        </w:rPr>
        <w:t xml:space="preserve"> </w:t>
      </w:r>
    </w:p>
    <w:p w:rsidR="00547DC6" w:rsidRPr="00A0431B" w:rsidRDefault="00547DC6" w:rsidP="00A0431B">
      <w:pPr>
        <w:shd w:val="clear" w:color="auto" w:fill="FFFFFF"/>
        <w:spacing w:line="276" w:lineRule="auto"/>
        <w:jc w:val="both"/>
        <w:rPr>
          <w:rFonts w:ascii="Arial" w:hAnsi="Arial" w:cs="Arial"/>
          <w:sz w:val="22"/>
          <w:szCs w:val="24"/>
        </w:rPr>
      </w:pPr>
    </w:p>
    <w:p w:rsidR="00972117" w:rsidRDefault="00DE6CD7" w:rsidP="00B02F1F">
      <w:pPr>
        <w:pStyle w:val="Textoindependiente"/>
        <w:spacing w:line="276" w:lineRule="auto"/>
        <w:contextualSpacing/>
        <w:rPr>
          <w:iCs/>
          <w:szCs w:val="24"/>
        </w:rPr>
      </w:pPr>
      <w:r>
        <w:rPr>
          <w:iCs/>
          <w:szCs w:val="24"/>
        </w:rPr>
        <w:t>¿</w:t>
      </w:r>
      <w:r w:rsidR="00280037">
        <w:rPr>
          <w:iCs/>
          <w:szCs w:val="24"/>
        </w:rPr>
        <w:t>Logr</w:t>
      </w:r>
      <w:r w:rsidR="007B055A">
        <w:rPr>
          <w:iCs/>
          <w:szCs w:val="24"/>
        </w:rPr>
        <w:t xml:space="preserve">ó </w:t>
      </w:r>
      <w:r w:rsidR="006E0345">
        <w:rPr>
          <w:iCs/>
          <w:szCs w:val="24"/>
        </w:rPr>
        <w:t>l</w:t>
      </w:r>
      <w:r w:rsidR="007B055A">
        <w:rPr>
          <w:iCs/>
          <w:szCs w:val="24"/>
        </w:rPr>
        <w:t xml:space="preserve">a señora María Judith Muñoz de Serna </w:t>
      </w:r>
      <w:r w:rsidR="000A653A">
        <w:rPr>
          <w:iCs/>
          <w:szCs w:val="24"/>
        </w:rPr>
        <w:t xml:space="preserve">probar </w:t>
      </w:r>
      <w:r w:rsidR="004D6867">
        <w:rPr>
          <w:iCs/>
          <w:szCs w:val="24"/>
        </w:rPr>
        <w:t xml:space="preserve">ser beneficiaria de la pensión de sobrevivientes que dejó causada </w:t>
      </w:r>
      <w:r w:rsidR="002763FF">
        <w:rPr>
          <w:iCs/>
          <w:szCs w:val="24"/>
        </w:rPr>
        <w:t xml:space="preserve">su hijo </w:t>
      </w:r>
      <w:r w:rsidR="004D6867">
        <w:rPr>
          <w:szCs w:val="24"/>
        </w:rPr>
        <w:t>Javier Serna Muñoz?</w:t>
      </w:r>
    </w:p>
    <w:p w:rsidR="008073E6" w:rsidRPr="00A0431B" w:rsidRDefault="008073E6" w:rsidP="00A0431B">
      <w:pPr>
        <w:shd w:val="clear" w:color="auto" w:fill="FFFFFF"/>
        <w:spacing w:line="276" w:lineRule="auto"/>
        <w:jc w:val="both"/>
        <w:rPr>
          <w:rFonts w:ascii="Arial" w:hAnsi="Arial" w:cs="Arial"/>
          <w:sz w:val="22"/>
          <w:szCs w:val="24"/>
        </w:rPr>
      </w:pPr>
    </w:p>
    <w:p w:rsidR="00312238" w:rsidRDefault="00C5771D" w:rsidP="007955EA">
      <w:pPr>
        <w:pStyle w:val="Textoindependiente"/>
        <w:spacing w:line="276" w:lineRule="auto"/>
        <w:contextualSpacing/>
        <w:rPr>
          <w:b/>
          <w:iCs/>
          <w:szCs w:val="24"/>
        </w:rPr>
      </w:pPr>
      <w:r>
        <w:rPr>
          <w:b/>
          <w:iCs/>
          <w:szCs w:val="24"/>
        </w:rPr>
        <w:t>3.</w:t>
      </w:r>
      <w:r w:rsidR="007955EA">
        <w:rPr>
          <w:b/>
          <w:iCs/>
          <w:szCs w:val="24"/>
        </w:rPr>
        <w:t xml:space="preserve"> </w:t>
      </w:r>
      <w:r w:rsidR="00454184">
        <w:rPr>
          <w:b/>
          <w:iCs/>
          <w:szCs w:val="24"/>
        </w:rPr>
        <w:t>Solución al</w:t>
      </w:r>
      <w:r w:rsidR="00312238" w:rsidRPr="00312238">
        <w:rPr>
          <w:b/>
          <w:iCs/>
          <w:szCs w:val="24"/>
        </w:rPr>
        <w:t xml:space="preserve"> problema jurídico </w:t>
      </w:r>
    </w:p>
    <w:p w:rsidR="00454184" w:rsidRPr="00A0431B" w:rsidRDefault="00454184" w:rsidP="00A0431B">
      <w:pPr>
        <w:shd w:val="clear" w:color="auto" w:fill="FFFFFF"/>
        <w:spacing w:line="276" w:lineRule="auto"/>
        <w:jc w:val="both"/>
        <w:rPr>
          <w:rFonts w:ascii="Arial" w:hAnsi="Arial" w:cs="Arial"/>
          <w:sz w:val="22"/>
          <w:szCs w:val="24"/>
        </w:rPr>
      </w:pPr>
    </w:p>
    <w:p w:rsidR="003D2D7B" w:rsidRDefault="00C5771D" w:rsidP="00E31D48">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3.</w:t>
      </w:r>
      <w:r w:rsidR="00BE40B2">
        <w:rPr>
          <w:b/>
          <w:color w:val="000000"/>
          <w:szCs w:val="24"/>
          <w:shd w:val="clear" w:color="auto" w:fill="FFFFFF"/>
          <w:lang w:val="es-ES"/>
        </w:rPr>
        <w:t>1</w:t>
      </w:r>
      <w:r w:rsidR="007C00E9">
        <w:rPr>
          <w:b/>
          <w:color w:val="000000"/>
          <w:szCs w:val="24"/>
          <w:shd w:val="clear" w:color="auto" w:fill="FFFFFF"/>
          <w:lang w:val="es-ES"/>
        </w:rPr>
        <w:t xml:space="preserve">. </w:t>
      </w:r>
      <w:r w:rsidR="00BE40B2">
        <w:rPr>
          <w:b/>
          <w:color w:val="000000"/>
          <w:szCs w:val="24"/>
          <w:shd w:val="clear" w:color="auto" w:fill="FFFFFF"/>
          <w:lang w:val="es-ES"/>
        </w:rPr>
        <w:t xml:space="preserve">De la </w:t>
      </w:r>
      <w:r>
        <w:rPr>
          <w:b/>
          <w:color w:val="000000"/>
          <w:szCs w:val="24"/>
          <w:shd w:val="clear" w:color="auto" w:fill="FFFFFF"/>
          <w:lang w:val="es-ES"/>
        </w:rPr>
        <w:t xml:space="preserve">dependencia económica de los padres para ser considerados beneficiarios de la pensión de sobrevivientes </w:t>
      </w:r>
    </w:p>
    <w:p w:rsidR="003D2D7B" w:rsidRPr="00A0431B" w:rsidRDefault="003D2D7B" w:rsidP="00A0431B">
      <w:pPr>
        <w:shd w:val="clear" w:color="auto" w:fill="FFFFFF"/>
        <w:spacing w:line="276" w:lineRule="auto"/>
        <w:jc w:val="both"/>
        <w:rPr>
          <w:rFonts w:ascii="Arial" w:hAnsi="Arial" w:cs="Arial"/>
          <w:sz w:val="22"/>
          <w:szCs w:val="24"/>
        </w:rPr>
      </w:pPr>
    </w:p>
    <w:p w:rsidR="003D2D7B" w:rsidRPr="001E3706" w:rsidRDefault="00C5771D" w:rsidP="003D2D7B">
      <w:pPr>
        <w:pStyle w:val="Textoindependiente"/>
        <w:contextualSpacing/>
        <w:rPr>
          <w:b/>
          <w:color w:val="000000"/>
          <w:szCs w:val="24"/>
          <w:shd w:val="clear" w:color="auto" w:fill="FFFFFF"/>
          <w:lang w:val="es-ES"/>
        </w:rPr>
      </w:pPr>
      <w:r>
        <w:rPr>
          <w:b/>
          <w:color w:val="000000"/>
          <w:szCs w:val="24"/>
          <w:shd w:val="clear" w:color="auto" w:fill="FFFFFF"/>
          <w:lang w:val="es-ES"/>
        </w:rPr>
        <w:t>3.</w:t>
      </w:r>
      <w:r w:rsidR="00BE40B2">
        <w:rPr>
          <w:b/>
          <w:color w:val="000000"/>
          <w:szCs w:val="24"/>
          <w:shd w:val="clear" w:color="auto" w:fill="FFFFFF"/>
          <w:lang w:val="es-ES"/>
        </w:rPr>
        <w:t>1</w:t>
      </w:r>
      <w:r w:rsidR="00BD2DC8">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Pr="00A0431B" w:rsidRDefault="003D2D7B" w:rsidP="00A0431B">
      <w:pPr>
        <w:shd w:val="clear" w:color="auto" w:fill="FFFFFF"/>
        <w:spacing w:line="276" w:lineRule="auto"/>
        <w:jc w:val="both"/>
        <w:rPr>
          <w:rFonts w:ascii="Arial" w:hAnsi="Arial" w:cs="Arial"/>
          <w:sz w:val="22"/>
          <w:szCs w:val="24"/>
        </w:rPr>
      </w:pPr>
    </w:p>
    <w:p w:rsidR="00E31D48" w:rsidRDefault="00C5771D" w:rsidP="00E31D48">
      <w:pPr>
        <w:widowControl w:val="0"/>
        <w:autoSpaceDE w:val="0"/>
        <w:autoSpaceDN w:val="0"/>
        <w:adjustRightInd w:val="0"/>
        <w:spacing w:line="276" w:lineRule="auto"/>
        <w:contextualSpacing/>
        <w:jc w:val="both"/>
        <w:rPr>
          <w:rFonts w:ascii="Arial" w:hAnsi="Arial" w:cs="Arial"/>
          <w:szCs w:val="24"/>
        </w:rPr>
      </w:pPr>
      <w:r w:rsidRPr="00A0431B">
        <w:rPr>
          <w:rFonts w:ascii="Arial" w:hAnsi="Arial" w:cs="Arial"/>
          <w:szCs w:val="24"/>
        </w:rPr>
        <w:t>C</w:t>
      </w:r>
      <w:r w:rsidR="00CA4193" w:rsidRPr="00A0431B">
        <w:rPr>
          <w:rFonts w:ascii="Arial" w:hAnsi="Arial" w:cs="Arial"/>
          <w:szCs w:val="24"/>
        </w:rPr>
        <w:t>uando quien se p</w:t>
      </w:r>
      <w:r w:rsidR="004540D9" w:rsidRPr="00A0431B">
        <w:rPr>
          <w:rFonts w:ascii="Arial" w:hAnsi="Arial" w:cs="Arial"/>
          <w:szCs w:val="24"/>
        </w:rPr>
        <w:t>roclama</w:t>
      </w:r>
      <w:r w:rsidR="00CA4193" w:rsidRPr="00A0431B">
        <w:rPr>
          <w:rFonts w:ascii="Arial" w:hAnsi="Arial" w:cs="Arial"/>
          <w:szCs w:val="24"/>
        </w:rPr>
        <w:t xml:space="preserve"> como beneficiario</w:t>
      </w:r>
      <w:r w:rsidR="004540D9" w:rsidRPr="00A0431B">
        <w:rPr>
          <w:rFonts w:ascii="Arial" w:hAnsi="Arial" w:cs="Arial"/>
          <w:szCs w:val="24"/>
        </w:rPr>
        <w:t xml:space="preserve"> de la pensión, aduce ser la</w:t>
      </w:r>
      <w:r w:rsidR="00CA4193" w:rsidRPr="00A0431B">
        <w:rPr>
          <w:rFonts w:ascii="Arial" w:hAnsi="Arial" w:cs="Arial"/>
          <w:szCs w:val="24"/>
        </w:rPr>
        <w:t xml:space="preserve"> </w:t>
      </w:r>
      <w:r w:rsidR="004540D9" w:rsidRPr="00A0431B">
        <w:rPr>
          <w:rFonts w:ascii="Arial" w:hAnsi="Arial" w:cs="Arial"/>
          <w:szCs w:val="24"/>
        </w:rPr>
        <w:t>m</w:t>
      </w:r>
      <w:r w:rsidR="00CA4193" w:rsidRPr="00A0431B">
        <w:rPr>
          <w:rFonts w:ascii="Arial" w:hAnsi="Arial" w:cs="Arial"/>
          <w:szCs w:val="24"/>
        </w:rPr>
        <w:t>adre</w:t>
      </w:r>
      <w:r w:rsidR="004540D9" w:rsidRPr="00A0431B">
        <w:rPr>
          <w:rFonts w:ascii="Arial" w:hAnsi="Arial" w:cs="Arial"/>
          <w:szCs w:val="24"/>
        </w:rPr>
        <w:t xml:space="preserve"> del</w:t>
      </w:r>
      <w:r w:rsidR="004540D9">
        <w:rPr>
          <w:rFonts w:ascii="Arial" w:hAnsi="Arial" w:cs="Arial"/>
          <w:szCs w:val="24"/>
        </w:rPr>
        <w:t xml:space="preserve"> afiliado, debe acreditar</w:t>
      </w:r>
      <w:r w:rsidR="00577E83">
        <w:rPr>
          <w:rFonts w:ascii="Arial" w:hAnsi="Arial" w:cs="Arial"/>
          <w:szCs w:val="24"/>
        </w:rPr>
        <w:t>se</w:t>
      </w:r>
      <w:r w:rsidR="004540D9">
        <w:rPr>
          <w:rFonts w:ascii="Arial" w:hAnsi="Arial" w:cs="Arial"/>
          <w:szCs w:val="24"/>
        </w:rPr>
        <w:t xml:space="preserve"> que dependía</w:t>
      </w:r>
      <w:r w:rsidR="00577E83">
        <w:rPr>
          <w:rFonts w:ascii="Arial" w:hAnsi="Arial" w:cs="Arial"/>
          <w:szCs w:val="24"/>
        </w:rPr>
        <w:t>n</w:t>
      </w:r>
      <w:r w:rsidR="004540D9">
        <w:rPr>
          <w:rFonts w:ascii="Arial" w:hAnsi="Arial" w:cs="Arial"/>
          <w:szCs w:val="24"/>
        </w:rPr>
        <w:t xml:space="preserve"> económicamente de é</w:t>
      </w:r>
      <w:r w:rsidR="00CA4193">
        <w:rPr>
          <w:rFonts w:ascii="Arial" w:hAnsi="Arial" w:cs="Arial"/>
          <w:szCs w:val="24"/>
        </w:rPr>
        <w:t>ste</w:t>
      </w:r>
      <w:r w:rsidR="00E31D48">
        <w:rPr>
          <w:rFonts w:ascii="Arial" w:hAnsi="Arial" w:cs="Arial"/>
          <w:szCs w:val="24"/>
        </w:rPr>
        <w:t>.</w:t>
      </w:r>
    </w:p>
    <w:p w:rsidR="00E31D48" w:rsidRPr="00A0431B" w:rsidRDefault="00E31D48" w:rsidP="00A0431B">
      <w:pPr>
        <w:widowControl w:val="0"/>
        <w:autoSpaceDE w:val="0"/>
        <w:autoSpaceDN w:val="0"/>
        <w:adjustRightInd w:val="0"/>
        <w:spacing w:line="276" w:lineRule="auto"/>
        <w:contextualSpacing/>
        <w:jc w:val="both"/>
        <w:rPr>
          <w:rFonts w:ascii="Arial" w:hAnsi="Arial" w:cs="Arial"/>
          <w:szCs w:val="24"/>
        </w:rPr>
      </w:pPr>
    </w:p>
    <w:p w:rsidR="00E31D48" w:rsidRPr="00C60785" w:rsidRDefault="00E31D48" w:rsidP="00E31D48">
      <w:pPr>
        <w:widowControl w:val="0"/>
        <w:autoSpaceDE w:val="0"/>
        <w:autoSpaceDN w:val="0"/>
        <w:adjustRightInd w:val="0"/>
        <w:spacing w:line="276" w:lineRule="auto"/>
        <w:contextualSpacing/>
        <w:jc w:val="both"/>
        <w:rPr>
          <w:rFonts w:ascii="Arial" w:hAnsi="Arial" w:cs="Arial"/>
          <w:szCs w:val="24"/>
        </w:rPr>
      </w:pPr>
      <w:r w:rsidRPr="00C60785">
        <w:rPr>
          <w:rFonts w:ascii="Arial" w:hAnsi="Arial" w:cs="Arial"/>
          <w:szCs w:val="24"/>
        </w:rPr>
        <w:t>Frente al concepto de dependencia económica y, en virtud del tenor original de la anterior norma, la H. Corte Constitucional en sede de constitucional</w:t>
      </w:r>
      <w:r w:rsidR="002763FF">
        <w:rPr>
          <w:rFonts w:ascii="Arial" w:hAnsi="Arial" w:cs="Arial"/>
          <w:szCs w:val="24"/>
        </w:rPr>
        <w:t>idad en sentencia  C-111/2006</w:t>
      </w:r>
      <w:r w:rsidRPr="00C60785">
        <w:rPr>
          <w:rFonts w:ascii="Arial" w:hAnsi="Arial" w:cs="Arial"/>
          <w:szCs w:val="24"/>
        </w:rPr>
        <w:t xml:space="preserve"> determinó que la misma no debía ser total y absoluta, sino que </w:t>
      </w:r>
      <w:r>
        <w:rPr>
          <w:rFonts w:ascii="Arial" w:hAnsi="Arial" w:cs="Arial"/>
          <w:szCs w:val="24"/>
        </w:rPr>
        <w:t xml:space="preserve">era </w:t>
      </w:r>
      <w:r w:rsidRPr="00C60785">
        <w:rPr>
          <w:rFonts w:ascii="Arial" w:hAnsi="Arial" w:cs="Arial"/>
          <w:szCs w:val="24"/>
        </w:rPr>
        <w:t xml:space="preserve">posible que </w:t>
      </w:r>
      <w:r>
        <w:rPr>
          <w:rFonts w:ascii="Arial" w:hAnsi="Arial" w:cs="Arial"/>
          <w:szCs w:val="24"/>
        </w:rPr>
        <w:t xml:space="preserve">el </w:t>
      </w:r>
      <w:r w:rsidRPr="00C60785">
        <w:rPr>
          <w:rFonts w:ascii="Arial" w:hAnsi="Arial" w:cs="Arial"/>
          <w:szCs w:val="24"/>
        </w:rPr>
        <w:t>reclamante recib</w:t>
      </w:r>
      <w:r>
        <w:rPr>
          <w:rFonts w:ascii="Arial" w:hAnsi="Arial" w:cs="Arial"/>
          <w:szCs w:val="24"/>
        </w:rPr>
        <w:t>ier</w:t>
      </w:r>
      <w:r w:rsidRPr="00C60785">
        <w:rPr>
          <w:rFonts w:ascii="Arial" w:hAnsi="Arial" w:cs="Arial"/>
          <w:szCs w:val="24"/>
        </w:rPr>
        <w:t>a otra clase de ingresos, siempre que estos no l</w:t>
      </w:r>
      <w:r>
        <w:rPr>
          <w:rFonts w:ascii="Arial" w:hAnsi="Arial" w:cs="Arial"/>
          <w:szCs w:val="24"/>
        </w:rPr>
        <w:t>o</w:t>
      </w:r>
      <w:r w:rsidRPr="00C60785">
        <w:rPr>
          <w:rFonts w:ascii="Arial" w:hAnsi="Arial" w:cs="Arial"/>
          <w:szCs w:val="24"/>
        </w:rPr>
        <w:t xml:space="preserve"> convirti</w:t>
      </w:r>
      <w:r>
        <w:rPr>
          <w:rFonts w:ascii="Arial" w:hAnsi="Arial" w:cs="Arial"/>
          <w:szCs w:val="24"/>
        </w:rPr>
        <w:t xml:space="preserve">eran </w:t>
      </w:r>
      <w:r w:rsidRPr="00C60785">
        <w:rPr>
          <w:rFonts w:ascii="Arial" w:hAnsi="Arial" w:cs="Arial"/>
          <w:szCs w:val="24"/>
        </w:rPr>
        <w:t>en autosuficiente, pues de ser así</w:t>
      </w:r>
      <w:r>
        <w:rPr>
          <w:rFonts w:ascii="Arial" w:hAnsi="Arial" w:cs="Arial"/>
          <w:szCs w:val="24"/>
        </w:rPr>
        <w:t xml:space="preserve">, </w:t>
      </w:r>
      <w:r w:rsidRPr="00C60785">
        <w:rPr>
          <w:rFonts w:ascii="Arial" w:hAnsi="Arial" w:cs="Arial"/>
          <w:szCs w:val="24"/>
        </w:rPr>
        <w:t>se desvirtuaría la dependenc</w:t>
      </w:r>
      <w:r>
        <w:rPr>
          <w:rFonts w:ascii="Arial" w:hAnsi="Arial" w:cs="Arial"/>
          <w:szCs w:val="24"/>
        </w:rPr>
        <w:t>ia económica que exige la norma, o en palabras de la Corte Suprema de Justicia “</w:t>
      </w:r>
      <w:r w:rsidRPr="00AA4EAD">
        <w:rPr>
          <w:rFonts w:ascii="Arial" w:hAnsi="Arial" w:cs="Arial"/>
          <w:i/>
          <w:szCs w:val="24"/>
        </w:rPr>
        <w:t>esas rentas no alcancen a cubrir los costos de su propia vida”</w:t>
      </w:r>
      <w:r>
        <w:rPr>
          <w:rStyle w:val="Refdenotaalpie"/>
          <w:rFonts w:ascii="Arial" w:hAnsi="Arial" w:cs="Arial"/>
          <w:i/>
          <w:szCs w:val="24"/>
        </w:rPr>
        <w:footnoteReference w:id="1"/>
      </w:r>
      <w:r>
        <w:rPr>
          <w:rFonts w:ascii="Arial" w:hAnsi="Arial" w:cs="Arial"/>
          <w:i/>
          <w:szCs w:val="24"/>
        </w:rPr>
        <w:t>.</w:t>
      </w:r>
    </w:p>
    <w:p w:rsidR="00E31D48" w:rsidRDefault="00E31D48" w:rsidP="00E31D48">
      <w:pPr>
        <w:widowControl w:val="0"/>
        <w:autoSpaceDE w:val="0"/>
        <w:autoSpaceDN w:val="0"/>
        <w:adjustRightInd w:val="0"/>
        <w:spacing w:line="276" w:lineRule="auto"/>
        <w:contextualSpacing/>
        <w:jc w:val="both"/>
        <w:rPr>
          <w:rFonts w:ascii="Arial" w:hAnsi="Arial" w:cs="Arial"/>
          <w:i/>
          <w:szCs w:val="24"/>
        </w:rPr>
      </w:pPr>
    </w:p>
    <w:p w:rsidR="00E31D48" w:rsidRDefault="00E31D48" w:rsidP="00E31D4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Esa misma corporación</w:t>
      </w:r>
      <w:r>
        <w:rPr>
          <w:rStyle w:val="Refdenotaalpie"/>
          <w:rFonts w:ascii="Arial" w:hAnsi="Arial" w:cs="Arial"/>
          <w:szCs w:val="24"/>
        </w:rPr>
        <w:footnoteReference w:id="2"/>
      </w:r>
      <w:r>
        <w:rPr>
          <w:rFonts w:ascii="Arial" w:hAnsi="Arial" w:cs="Arial"/>
          <w:szCs w:val="24"/>
        </w:rPr>
        <w:t xml:space="preserve"> preciso como características que debe tener la ayuda dada </w:t>
      </w:r>
      <w:r>
        <w:rPr>
          <w:rFonts w:ascii="Arial" w:hAnsi="Arial" w:cs="Arial"/>
          <w:szCs w:val="24"/>
        </w:rPr>
        <w:lastRenderedPageBreak/>
        <w:t xml:space="preserve">por los hijos a los padres para que estos adquieran la condición de dependientes económicamente, ser </w:t>
      </w:r>
      <w:r w:rsidRPr="008414A6">
        <w:rPr>
          <w:rFonts w:ascii="Arial" w:hAnsi="Arial" w:cs="Arial"/>
          <w:b/>
          <w:szCs w:val="24"/>
        </w:rPr>
        <w:t>cierta</w:t>
      </w:r>
      <w:r>
        <w:rPr>
          <w:rFonts w:ascii="Arial" w:hAnsi="Arial" w:cs="Arial"/>
          <w:b/>
          <w:szCs w:val="24"/>
        </w:rPr>
        <w:t>,</w:t>
      </w:r>
      <w:r w:rsidRPr="008414A6">
        <w:rPr>
          <w:rFonts w:ascii="Arial" w:hAnsi="Arial" w:cs="Arial"/>
          <w:b/>
          <w:szCs w:val="24"/>
        </w:rPr>
        <w:t xml:space="preserve"> </w:t>
      </w:r>
      <w:r>
        <w:rPr>
          <w:rFonts w:ascii="Arial" w:hAnsi="Arial" w:cs="Arial"/>
          <w:szCs w:val="24"/>
        </w:rPr>
        <w:t xml:space="preserve">en cuanto deben recibirse efectivamente recursos provenientes del causante; </w:t>
      </w:r>
      <w:r w:rsidRPr="008414A6">
        <w:rPr>
          <w:rFonts w:ascii="Arial" w:hAnsi="Arial" w:cs="Arial"/>
          <w:b/>
          <w:szCs w:val="24"/>
        </w:rPr>
        <w:t>regular</w:t>
      </w:r>
      <w:r>
        <w:rPr>
          <w:rFonts w:ascii="Arial" w:hAnsi="Arial" w:cs="Arial"/>
          <w:szCs w:val="24"/>
        </w:rPr>
        <w:t xml:space="preserve">, esto es, que no sea ocasional y; </w:t>
      </w:r>
      <w:r w:rsidRPr="008414A6">
        <w:rPr>
          <w:rFonts w:ascii="Arial" w:hAnsi="Arial" w:cs="Arial"/>
          <w:b/>
          <w:szCs w:val="24"/>
        </w:rPr>
        <w:t>significativa</w:t>
      </w:r>
      <w:r>
        <w:rPr>
          <w:rFonts w:ascii="Arial" w:hAnsi="Arial" w:cs="Arial"/>
          <w:b/>
          <w:szCs w:val="24"/>
        </w:rPr>
        <w:t>,</w:t>
      </w:r>
      <w:r>
        <w:rPr>
          <w:rFonts w:ascii="Arial" w:hAnsi="Arial" w:cs="Arial"/>
          <w:szCs w:val="24"/>
        </w:rPr>
        <w:t xml:space="preserve"> en relación con otros ingresos del actor, que constituya un verdadero sustento económico, que confluyan a demostrar la falta de autosuficiencia del reclamante y la dependencia económica respecto del causante.</w:t>
      </w:r>
    </w:p>
    <w:p w:rsidR="00E31D48" w:rsidRDefault="00E31D48" w:rsidP="00CA4193">
      <w:pPr>
        <w:widowControl w:val="0"/>
        <w:autoSpaceDE w:val="0"/>
        <w:autoSpaceDN w:val="0"/>
        <w:adjustRightInd w:val="0"/>
        <w:spacing w:line="276" w:lineRule="auto"/>
        <w:contextualSpacing/>
        <w:jc w:val="both"/>
        <w:rPr>
          <w:rFonts w:ascii="Arial" w:hAnsi="Arial" w:cs="Arial"/>
          <w:szCs w:val="24"/>
        </w:rPr>
      </w:pPr>
    </w:p>
    <w:p w:rsidR="00CA4193" w:rsidRDefault="00851CCB" w:rsidP="00CA4193">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3</w:t>
      </w:r>
      <w:r w:rsidR="00CA4193">
        <w:rPr>
          <w:b/>
          <w:color w:val="000000"/>
          <w:szCs w:val="24"/>
          <w:shd w:val="clear" w:color="auto" w:fill="FFFFFF"/>
          <w:lang w:val="es-ES"/>
        </w:rPr>
        <w:t>.1.2. Fundamento fáctico</w:t>
      </w:r>
      <w:r w:rsidR="00CA4193" w:rsidRPr="009D7B62">
        <w:rPr>
          <w:b/>
          <w:color w:val="000000"/>
          <w:szCs w:val="24"/>
          <w:shd w:val="clear" w:color="auto" w:fill="FFFFFF"/>
          <w:lang w:val="es-ES"/>
        </w:rPr>
        <w:t>:</w:t>
      </w:r>
    </w:p>
    <w:p w:rsidR="00851CCB" w:rsidRPr="009D7B62" w:rsidRDefault="00851CCB" w:rsidP="00CA4193">
      <w:pPr>
        <w:pStyle w:val="Textoindependiente"/>
        <w:tabs>
          <w:tab w:val="left" w:pos="2930"/>
        </w:tabs>
        <w:spacing w:line="276" w:lineRule="auto"/>
        <w:contextualSpacing/>
        <w:rPr>
          <w:b/>
          <w:color w:val="000000"/>
          <w:szCs w:val="24"/>
          <w:shd w:val="clear" w:color="auto" w:fill="FFFFFF"/>
          <w:lang w:val="es-ES"/>
        </w:rPr>
      </w:pPr>
    </w:p>
    <w:p w:rsidR="00913CA3" w:rsidRDefault="00D1716A" w:rsidP="00913CA3">
      <w:pPr>
        <w:spacing w:line="276" w:lineRule="auto"/>
        <w:jc w:val="both"/>
        <w:rPr>
          <w:rFonts w:ascii="Arial" w:hAnsi="Arial" w:cs="Arial"/>
          <w:szCs w:val="24"/>
        </w:rPr>
      </w:pPr>
      <w:r>
        <w:rPr>
          <w:rFonts w:ascii="Arial" w:hAnsi="Arial" w:cs="Arial"/>
          <w:szCs w:val="24"/>
        </w:rPr>
        <w:t xml:space="preserve">La demandante acreditó que era la progenitora de </w:t>
      </w:r>
      <w:r w:rsidR="00201120">
        <w:rPr>
          <w:rFonts w:ascii="Arial" w:hAnsi="Arial" w:cs="Arial"/>
          <w:szCs w:val="24"/>
        </w:rPr>
        <w:t>Javier Serna Muñoz</w:t>
      </w:r>
      <w:r>
        <w:rPr>
          <w:rFonts w:ascii="Arial" w:hAnsi="Arial" w:cs="Arial"/>
          <w:szCs w:val="24"/>
        </w:rPr>
        <w:t>, como se desprende de</w:t>
      </w:r>
      <w:r w:rsidR="00201120">
        <w:rPr>
          <w:rFonts w:ascii="Arial" w:hAnsi="Arial" w:cs="Arial"/>
          <w:szCs w:val="24"/>
        </w:rPr>
        <w:t>l registro civil de nacimiento -</w:t>
      </w:r>
      <w:proofErr w:type="spellStart"/>
      <w:r>
        <w:rPr>
          <w:rFonts w:ascii="Arial" w:hAnsi="Arial" w:cs="Arial"/>
          <w:szCs w:val="24"/>
        </w:rPr>
        <w:t>fl</w:t>
      </w:r>
      <w:proofErr w:type="spellEnd"/>
      <w:r>
        <w:rPr>
          <w:rFonts w:ascii="Arial" w:hAnsi="Arial" w:cs="Arial"/>
          <w:szCs w:val="24"/>
        </w:rPr>
        <w:t xml:space="preserve">. </w:t>
      </w:r>
      <w:r w:rsidR="00201120">
        <w:rPr>
          <w:rFonts w:ascii="Arial" w:hAnsi="Arial" w:cs="Arial"/>
          <w:szCs w:val="24"/>
        </w:rPr>
        <w:t>8 del cd. 1</w:t>
      </w:r>
      <w:r w:rsidR="009F5F82">
        <w:rPr>
          <w:rFonts w:ascii="Arial" w:hAnsi="Arial" w:cs="Arial"/>
          <w:szCs w:val="24"/>
        </w:rPr>
        <w:t>-</w:t>
      </w:r>
      <w:r>
        <w:rPr>
          <w:rFonts w:ascii="Arial" w:hAnsi="Arial" w:cs="Arial"/>
          <w:szCs w:val="24"/>
        </w:rPr>
        <w:t>, condición que la faculta para ser beneficiaria de la pensión de sobrevivientes, al no existir persona</w:t>
      </w:r>
      <w:r w:rsidR="00913CA3">
        <w:rPr>
          <w:rFonts w:ascii="Arial" w:hAnsi="Arial" w:cs="Arial"/>
          <w:szCs w:val="24"/>
        </w:rPr>
        <w:t>s</w:t>
      </w:r>
      <w:r>
        <w:rPr>
          <w:rFonts w:ascii="Arial" w:hAnsi="Arial" w:cs="Arial"/>
          <w:szCs w:val="24"/>
        </w:rPr>
        <w:t xml:space="preserve"> con mejor derecho</w:t>
      </w:r>
      <w:r w:rsidR="00913CA3">
        <w:rPr>
          <w:rFonts w:ascii="Arial" w:hAnsi="Arial" w:cs="Arial"/>
          <w:szCs w:val="24"/>
        </w:rPr>
        <w:t xml:space="preserve"> como pasa a indicarse.</w:t>
      </w:r>
    </w:p>
    <w:p w:rsidR="00913CA3" w:rsidRDefault="00913CA3" w:rsidP="00913CA3">
      <w:pPr>
        <w:spacing w:line="276" w:lineRule="auto"/>
        <w:jc w:val="both"/>
        <w:rPr>
          <w:rFonts w:ascii="Arial" w:hAnsi="Arial" w:cs="Arial"/>
          <w:szCs w:val="24"/>
        </w:rPr>
      </w:pPr>
    </w:p>
    <w:p w:rsidR="00913CA3" w:rsidRDefault="00913CA3" w:rsidP="00913CA3">
      <w:pPr>
        <w:spacing w:line="276" w:lineRule="auto"/>
        <w:jc w:val="both"/>
        <w:rPr>
          <w:rFonts w:ascii="Arial" w:hAnsi="Arial" w:cs="Arial"/>
          <w:bCs/>
          <w:szCs w:val="24"/>
        </w:rPr>
      </w:pPr>
      <w:r w:rsidRPr="002F576E">
        <w:rPr>
          <w:rFonts w:ascii="Arial" w:hAnsi="Arial" w:cs="Arial"/>
          <w:bCs/>
          <w:szCs w:val="24"/>
        </w:rPr>
        <w:t xml:space="preserve">Héctor Fabio y </w:t>
      </w:r>
      <w:proofErr w:type="spellStart"/>
      <w:r w:rsidRPr="002F576E">
        <w:rPr>
          <w:rFonts w:ascii="Arial" w:hAnsi="Arial" w:cs="Arial"/>
          <w:bCs/>
          <w:szCs w:val="24"/>
        </w:rPr>
        <w:t>Nini</w:t>
      </w:r>
      <w:proofErr w:type="spellEnd"/>
      <w:r w:rsidRPr="002F576E">
        <w:rPr>
          <w:rFonts w:ascii="Arial" w:hAnsi="Arial" w:cs="Arial"/>
          <w:bCs/>
          <w:szCs w:val="24"/>
        </w:rPr>
        <w:t xml:space="preserve"> Johana Serna Suaza</w:t>
      </w:r>
      <w:r>
        <w:rPr>
          <w:rFonts w:ascii="Arial" w:hAnsi="Arial" w:cs="Arial"/>
          <w:bCs/>
          <w:szCs w:val="24"/>
        </w:rPr>
        <w:t>, hijos del causante, ostentaban la mayoría de edad para la fecha de su deceso, como se extrae de los registros civiles de defunción y nacimiento que obran a folios 9, 20 a 21, respectivamente y, como no elevaron pretensiones en este asunto, se descarta si les asiste algún derecho, bien por presentar alguna condición de invalidez o la calidad de estudiantes.</w:t>
      </w:r>
    </w:p>
    <w:p w:rsidR="00913CA3" w:rsidRDefault="00913CA3" w:rsidP="00913CA3">
      <w:pPr>
        <w:spacing w:line="276" w:lineRule="auto"/>
        <w:jc w:val="both"/>
        <w:rPr>
          <w:rFonts w:ascii="Arial" w:hAnsi="Arial" w:cs="Arial"/>
          <w:bCs/>
          <w:szCs w:val="24"/>
        </w:rPr>
      </w:pPr>
    </w:p>
    <w:p w:rsidR="00913CA3" w:rsidRDefault="00913CA3" w:rsidP="00913CA3">
      <w:pPr>
        <w:spacing w:line="276" w:lineRule="auto"/>
        <w:jc w:val="both"/>
        <w:rPr>
          <w:rFonts w:ascii="Arial" w:hAnsi="Arial" w:cs="Arial"/>
          <w:szCs w:val="24"/>
        </w:rPr>
      </w:pPr>
      <w:r>
        <w:rPr>
          <w:rFonts w:ascii="Arial" w:hAnsi="Arial"/>
          <w:szCs w:val="24"/>
        </w:rPr>
        <w:t xml:space="preserve">Y, en relación con la señora </w:t>
      </w:r>
      <w:r>
        <w:rPr>
          <w:rFonts w:ascii="Arial" w:hAnsi="Arial" w:cs="Arial"/>
          <w:szCs w:val="24"/>
        </w:rPr>
        <w:t xml:space="preserve">María del Socorro Suaza, no milita prueba de la que pueda inferirse </w:t>
      </w:r>
      <w:r w:rsidR="008255E4">
        <w:rPr>
          <w:rFonts w:ascii="Arial" w:hAnsi="Arial" w:cs="Arial"/>
          <w:szCs w:val="24"/>
        </w:rPr>
        <w:t>su calidad de cónyuge o compañera permanente, amén de que tampoco presentó pretensiones en este trámite.</w:t>
      </w:r>
    </w:p>
    <w:p w:rsidR="00913CA3" w:rsidRDefault="00913CA3" w:rsidP="00D1716A">
      <w:pPr>
        <w:spacing w:line="276" w:lineRule="auto"/>
        <w:jc w:val="both"/>
        <w:rPr>
          <w:rFonts w:ascii="Arial" w:hAnsi="Arial" w:cs="Arial"/>
          <w:szCs w:val="24"/>
        </w:rPr>
      </w:pPr>
    </w:p>
    <w:p w:rsidR="00D1716A" w:rsidRDefault="008255E4" w:rsidP="00D1716A">
      <w:pPr>
        <w:spacing w:line="276" w:lineRule="auto"/>
        <w:jc w:val="both"/>
        <w:rPr>
          <w:iCs/>
          <w:color w:val="000000" w:themeColor="text1"/>
          <w:szCs w:val="24"/>
        </w:rPr>
      </w:pPr>
      <w:r>
        <w:rPr>
          <w:rFonts w:ascii="Arial" w:hAnsi="Arial" w:cs="Arial"/>
          <w:szCs w:val="24"/>
        </w:rPr>
        <w:t>Ahora bien, pese a la legitimación que ostenta la demandante para pretender el reconocimiento pensiona</w:t>
      </w:r>
      <w:r w:rsidR="002763FF">
        <w:rPr>
          <w:rFonts w:ascii="Arial" w:hAnsi="Arial" w:cs="Arial"/>
          <w:szCs w:val="24"/>
        </w:rPr>
        <w:t>l</w:t>
      </w:r>
      <w:r w:rsidR="009F5F82">
        <w:rPr>
          <w:rFonts w:ascii="Arial" w:hAnsi="Arial" w:cs="Arial"/>
          <w:szCs w:val="24"/>
        </w:rPr>
        <w:t xml:space="preserve">, </w:t>
      </w:r>
      <w:r w:rsidR="00D1716A">
        <w:rPr>
          <w:rFonts w:ascii="Arial" w:hAnsi="Arial" w:cs="Arial"/>
          <w:szCs w:val="24"/>
        </w:rPr>
        <w:t>omitió acreditar que dependiera económicamente de su descendiente, pues ningún esfuerzo probatorio hizo en ese sentido, en tanto que apenas allegó</w:t>
      </w:r>
      <w:r w:rsidR="009F5F82">
        <w:rPr>
          <w:rFonts w:ascii="Arial" w:hAnsi="Arial" w:cs="Arial"/>
          <w:szCs w:val="24"/>
        </w:rPr>
        <w:t xml:space="preserve"> como prueba de esa circunstancia </w:t>
      </w:r>
      <w:r w:rsidR="00D1716A">
        <w:rPr>
          <w:rFonts w:ascii="Arial" w:hAnsi="Arial" w:cs="Arial"/>
          <w:szCs w:val="24"/>
        </w:rPr>
        <w:t xml:space="preserve">unas declaraciones </w:t>
      </w:r>
      <w:proofErr w:type="spellStart"/>
      <w:r w:rsidR="00D1716A">
        <w:rPr>
          <w:rFonts w:ascii="Arial" w:hAnsi="Arial" w:cs="Arial"/>
          <w:szCs w:val="24"/>
        </w:rPr>
        <w:t>extrajuicio</w:t>
      </w:r>
      <w:proofErr w:type="spellEnd"/>
      <w:r w:rsidR="00D1716A">
        <w:rPr>
          <w:rFonts w:ascii="Arial" w:hAnsi="Arial" w:cs="Arial"/>
          <w:szCs w:val="24"/>
        </w:rPr>
        <w:t xml:space="preserve"> rendidas en conjunto por </w:t>
      </w:r>
      <w:r w:rsidR="00C40BC3">
        <w:rPr>
          <w:rFonts w:ascii="Arial" w:hAnsi="Arial" w:cs="Arial"/>
          <w:szCs w:val="24"/>
        </w:rPr>
        <w:t>Esperanza Ruiz Estrada y Martha Beatriz Piedrahita Barco –</w:t>
      </w:r>
      <w:proofErr w:type="spellStart"/>
      <w:r w:rsidR="00C40BC3">
        <w:rPr>
          <w:rFonts w:ascii="Arial" w:hAnsi="Arial" w:cs="Arial"/>
          <w:szCs w:val="24"/>
        </w:rPr>
        <w:t>fl</w:t>
      </w:r>
      <w:proofErr w:type="spellEnd"/>
      <w:r w:rsidR="00C40BC3">
        <w:rPr>
          <w:rFonts w:ascii="Arial" w:hAnsi="Arial" w:cs="Arial"/>
          <w:szCs w:val="24"/>
        </w:rPr>
        <w:t xml:space="preserve">. 11 del cd. 1- y Lucero Giraldo Cortes y Dora María </w:t>
      </w:r>
      <w:proofErr w:type="spellStart"/>
      <w:r w:rsidR="00C40BC3">
        <w:rPr>
          <w:rFonts w:ascii="Arial" w:hAnsi="Arial" w:cs="Arial"/>
          <w:szCs w:val="24"/>
        </w:rPr>
        <w:t>Hinestroza</w:t>
      </w:r>
      <w:proofErr w:type="spellEnd"/>
      <w:r w:rsidR="00C40BC3">
        <w:rPr>
          <w:rFonts w:ascii="Arial" w:hAnsi="Arial" w:cs="Arial"/>
          <w:szCs w:val="24"/>
        </w:rPr>
        <w:t xml:space="preserve"> Calvo -</w:t>
      </w:r>
      <w:proofErr w:type="spellStart"/>
      <w:r w:rsidR="00D1716A">
        <w:rPr>
          <w:rFonts w:ascii="Arial" w:hAnsi="Arial" w:cs="Arial"/>
          <w:szCs w:val="24"/>
        </w:rPr>
        <w:t>fl</w:t>
      </w:r>
      <w:proofErr w:type="spellEnd"/>
      <w:r w:rsidR="00D1716A">
        <w:rPr>
          <w:rFonts w:ascii="Arial" w:hAnsi="Arial" w:cs="Arial"/>
          <w:szCs w:val="24"/>
        </w:rPr>
        <w:t xml:space="preserve">. </w:t>
      </w:r>
      <w:r w:rsidR="00C40BC3">
        <w:rPr>
          <w:rFonts w:ascii="Arial" w:hAnsi="Arial" w:cs="Arial"/>
          <w:szCs w:val="24"/>
        </w:rPr>
        <w:t>12</w:t>
      </w:r>
      <w:r w:rsidR="00D1716A">
        <w:rPr>
          <w:rFonts w:ascii="Arial" w:hAnsi="Arial" w:cs="Arial"/>
          <w:szCs w:val="24"/>
        </w:rPr>
        <w:t xml:space="preserve"> c</w:t>
      </w:r>
      <w:r w:rsidR="00C40BC3">
        <w:rPr>
          <w:rFonts w:ascii="Arial" w:hAnsi="Arial" w:cs="Arial"/>
          <w:szCs w:val="24"/>
        </w:rPr>
        <w:t>d</w:t>
      </w:r>
      <w:r w:rsidR="00D1716A">
        <w:rPr>
          <w:rFonts w:ascii="Arial" w:hAnsi="Arial" w:cs="Arial"/>
          <w:szCs w:val="24"/>
        </w:rPr>
        <w:t>. 1</w:t>
      </w:r>
      <w:r w:rsidR="00C40BC3">
        <w:rPr>
          <w:rFonts w:ascii="Arial" w:hAnsi="Arial" w:cs="Arial"/>
          <w:szCs w:val="24"/>
        </w:rPr>
        <w:t>-</w:t>
      </w:r>
      <w:r w:rsidR="00D1716A">
        <w:rPr>
          <w:rFonts w:ascii="Arial" w:hAnsi="Arial" w:cs="Arial"/>
          <w:szCs w:val="24"/>
        </w:rPr>
        <w:t>, documento</w:t>
      </w:r>
      <w:r w:rsidR="00C40BC3">
        <w:rPr>
          <w:rFonts w:ascii="Arial" w:hAnsi="Arial" w:cs="Arial"/>
          <w:szCs w:val="24"/>
        </w:rPr>
        <w:t>s</w:t>
      </w:r>
      <w:r w:rsidR="00D1716A">
        <w:rPr>
          <w:rFonts w:ascii="Arial" w:hAnsi="Arial" w:cs="Arial"/>
          <w:szCs w:val="24"/>
        </w:rPr>
        <w:t xml:space="preserve"> que carece de mérito demostrativo</w:t>
      </w:r>
      <w:r w:rsidR="00D1716A" w:rsidRPr="00377C6E">
        <w:rPr>
          <w:rFonts w:ascii="Arial" w:hAnsi="Arial" w:cs="Arial"/>
          <w:szCs w:val="24"/>
        </w:rPr>
        <w:t xml:space="preserve"> en tanto </w:t>
      </w:r>
      <w:r w:rsidR="00D1716A">
        <w:rPr>
          <w:rFonts w:ascii="Arial" w:hAnsi="Arial" w:cs="Arial"/>
          <w:szCs w:val="24"/>
        </w:rPr>
        <w:t xml:space="preserve">que </w:t>
      </w:r>
      <w:r w:rsidR="00D1716A" w:rsidRPr="00377C6E">
        <w:rPr>
          <w:rFonts w:ascii="Arial" w:hAnsi="Arial" w:cs="Arial"/>
          <w:szCs w:val="24"/>
        </w:rPr>
        <w:t xml:space="preserve">para el momento en que se presentó la demanda el </w:t>
      </w:r>
      <w:r w:rsidR="00D1716A">
        <w:rPr>
          <w:rFonts w:ascii="Arial" w:hAnsi="Arial" w:cs="Arial"/>
          <w:szCs w:val="24"/>
        </w:rPr>
        <w:t>2</w:t>
      </w:r>
      <w:r w:rsidR="00C40BC3">
        <w:rPr>
          <w:rFonts w:ascii="Arial" w:hAnsi="Arial" w:cs="Arial"/>
          <w:szCs w:val="24"/>
        </w:rPr>
        <w:t>7</w:t>
      </w:r>
      <w:r w:rsidR="00D1716A">
        <w:rPr>
          <w:rFonts w:ascii="Arial" w:hAnsi="Arial" w:cs="Arial"/>
          <w:szCs w:val="24"/>
        </w:rPr>
        <w:t>/0</w:t>
      </w:r>
      <w:r w:rsidR="00C40BC3">
        <w:rPr>
          <w:rFonts w:ascii="Arial" w:hAnsi="Arial" w:cs="Arial"/>
          <w:szCs w:val="24"/>
        </w:rPr>
        <w:t>3</w:t>
      </w:r>
      <w:r w:rsidR="00D1716A">
        <w:rPr>
          <w:rFonts w:ascii="Arial" w:hAnsi="Arial" w:cs="Arial"/>
          <w:szCs w:val="24"/>
        </w:rPr>
        <w:t>/2015</w:t>
      </w:r>
      <w:r w:rsidR="00D1716A" w:rsidRPr="00377C6E">
        <w:rPr>
          <w:rFonts w:ascii="Arial" w:hAnsi="Arial" w:cs="Arial"/>
          <w:szCs w:val="24"/>
        </w:rPr>
        <w:t xml:space="preserve"> – </w:t>
      </w:r>
      <w:proofErr w:type="spellStart"/>
      <w:r w:rsidR="00D1716A" w:rsidRPr="00377C6E">
        <w:rPr>
          <w:rFonts w:ascii="Arial" w:hAnsi="Arial" w:cs="Arial"/>
          <w:szCs w:val="24"/>
        </w:rPr>
        <w:t>fl</w:t>
      </w:r>
      <w:proofErr w:type="spellEnd"/>
      <w:r w:rsidR="00D1716A" w:rsidRPr="00377C6E">
        <w:rPr>
          <w:rFonts w:ascii="Arial" w:hAnsi="Arial" w:cs="Arial"/>
          <w:szCs w:val="24"/>
        </w:rPr>
        <w:t xml:space="preserve">. </w:t>
      </w:r>
      <w:r w:rsidR="00D1716A">
        <w:rPr>
          <w:rFonts w:ascii="Arial" w:hAnsi="Arial" w:cs="Arial"/>
          <w:szCs w:val="24"/>
        </w:rPr>
        <w:t>2</w:t>
      </w:r>
      <w:r w:rsidR="00C40BC3">
        <w:rPr>
          <w:rFonts w:ascii="Arial" w:hAnsi="Arial" w:cs="Arial"/>
          <w:szCs w:val="24"/>
        </w:rPr>
        <w:t>3</w:t>
      </w:r>
      <w:r w:rsidR="00D1716A" w:rsidRPr="00377C6E">
        <w:rPr>
          <w:rFonts w:ascii="Arial" w:hAnsi="Arial" w:cs="Arial"/>
          <w:szCs w:val="24"/>
        </w:rPr>
        <w:t xml:space="preserve"> c</w:t>
      </w:r>
      <w:r w:rsidR="00C40BC3">
        <w:rPr>
          <w:rFonts w:ascii="Arial" w:hAnsi="Arial" w:cs="Arial"/>
          <w:szCs w:val="24"/>
        </w:rPr>
        <w:t>d</w:t>
      </w:r>
      <w:r w:rsidR="00D1716A" w:rsidRPr="00377C6E">
        <w:rPr>
          <w:rFonts w:ascii="Arial" w:hAnsi="Arial" w:cs="Arial"/>
          <w:szCs w:val="24"/>
        </w:rPr>
        <w:t>. 1 – gobernaba en materia probatoria el código de procedimiento civil, que limitaba los testimonios extra proceso con fines judiciales para el evento de estar en peligro de muerte el declarante</w:t>
      </w:r>
      <w:r w:rsidR="00D1716A">
        <w:rPr>
          <w:rStyle w:val="Refdenotaalpie"/>
          <w:rFonts w:ascii="Arial" w:hAnsi="Arial" w:cs="Arial"/>
          <w:szCs w:val="24"/>
        </w:rPr>
        <w:footnoteReference w:id="3"/>
      </w:r>
      <w:r w:rsidR="00D1716A" w:rsidRPr="00377C6E">
        <w:rPr>
          <w:rFonts w:ascii="Arial" w:hAnsi="Arial" w:cs="Arial"/>
          <w:szCs w:val="24"/>
        </w:rPr>
        <w:t>; o como prueba sumaria en los casos permitidos en la ley, que no era este. Diferente tratamiento al que se le da hoy en el Código General del proceso donde no tiene restricción los testimonios extra proceso pudiéndose valorar sin necesidad de ratificación si la parte contraria no lo solicita.</w:t>
      </w:r>
    </w:p>
    <w:p w:rsidR="00D1716A" w:rsidRDefault="00D1716A" w:rsidP="00D1716A">
      <w:pPr>
        <w:pStyle w:val="Textoindependiente"/>
        <w:contextualSpacing/>
        <w:rPr>
          <w:iCs/>
          <w:color w:val="000000" w:themeColor="text1"/>
          <w:szCs w:val="24"/>
        </w:rPr>
      </w:pPr>
    </w:p>
    <w:p w:rsidR="002763FF" w:rsidRDefault="00C40BC3" w:rsidP="00D1716A">
      <w:pPr>
        <w:pStyle w:val="Textoindependiente"/>
        <w:spacing w:line="276" w:lineRule="auto"/>
        <w:contextualSpacing/>
        <w:rPr>
          <w:iCs/>
          <w:color w:val="000000" w:themeColor="text1"/>
          <w:szCs w:val="24"/>
        </w:rPr>
      </w:pPr>
      <w:r>
        <w:rPr>
          <w:iCs/>
          <w:color w:val="000000" w:themeColor="text1"/>
          <w:szCs w:val="24"/>
        </w:rPr>
        <w:t>Frente a es</w:t>
      </w:r>
      <w:r w:rsidR="002763FF">
        <w:rPr>
          <w:iCs/>
          <w:color w:val="000000" w:themeColor="text1"/>
          <w:szCs w:val="24"/>
        </w:rPr>
        <w:t>ta prueba</w:t>
      </w:r>
      <w:r w:rsidR="00D1716A">
        <w:rPr>
          <w:iCs/>
          <w:color w:val="000000" w:themeColor="text1"/>
          <w:szCs w:val="24"/>
        </w:rPr>
        <w:t xml:space="preserve">, es preciso resaltar que las mismas corresponden al medio de prueba testimonial, en tanto que siguen el principio cardinal consistente en que la </w:t>
      </w:r>
      <w:proofErr w:type="spellStart"/>
      <w:r w:rsidR="00D1716A" w:rsidRPr="00C3175A">
        <w:rPr>
          <w:i/>
          <w:iCs/>
          <w:color w:val="000000" w:themeColor="text1"/>
          <w:szCs w:val="24"/>
        </w:rPr>
        <w:t>probus</w:t>
      </w:r>
      <w:proofErr w:type="spellEnd"/>
      <w:r w:rsidR="00D1716A">
        <w:rPr>
          <w:iCs/>
          <w:color w:val="000000" w:themeColor="text1"/>
          <w:szCs w:val="24"/>
        </w:rPr>
        <w:t xml:space="preserve"> mantendrá su identidad independiente</w:t>
      </w:r>
      <w:r w:rsidR="002763FF">
        <w:rPr>
          <w:iCs/>
          <w:color w:val="000000" w:themeColor="text1"/>
          <w:szCs w:val="24"/>
        </w:rPr>
        <w:t xml:space="preserve">mente del medio que la contenga. </w:t>
      </w:r>
    </w:p>
    <w:p w:rsidR="002763FF" w:rsidRDefault="002763FF" w:rsidP="00D1716A">
      <w:pPr>
        <w:pStyle w:val="Textoindependiente"/>
        <w:spacing w:line="276" w:lineRule="auto"/>
        <w:contextualSpacing/>
        <w:rPr>
          <w:iCs/>
          <w:color w:val="000000" w:themeColor="text1"/>
          <w:szCs w:val="24"/>
        </w:rPr>
      </w:pPr>
    </w:p>
    <w:p w:rsidR="00D1716A" w:rsidRDefault="002763FF" w:rsidP="00D1716A">
      <w:pPr>
        <w:pStyle w:val="Textoindependiente"/>
        <w:spacing w:line="276" w:lineRule="auto"/>
        <w:contextualSpacing/>
        <w:rPr>
          <w:iCs/>
          <w:color w:val="000000" w:themeColor="text1"/>
          <w:szCs w:val="24"/>
        </w:rPr>
      </w:pPr>
      <w:r>
        <w:rPr>
          <w:iCs/>
          <w:color w:val="000000" w:themeColor="text1"/>
          <w:szCs w:val="24"/>
        </w:rPr>
        <w:t>P</w:t>
      </w:r>
      <w:r w:rsidR="00D1716A">
        <w:rPr>
          <w:iCs/>
          <w:color w:val="000000" w:themeColor="text1"/>
          <w:szCs w:val="24"/>
        </w:rPr>
        <w:t xml:space="preserve">ara el caso de ahora, la declaración </w:t>
      </w:r>
      <w:proofErr w:type="spellStart"/>
      <w:r w:rsidR="00D1716A">
        <w:rPr>
          <w:iCs/>
          <w:color w:val="000000" w:themeColor="text1"/>
          <w:szCs w:val="24"/>
        </w:rPr>
        <w:t>extrajuicio</w:t>
      </w:r>
      <w:proofErr w:type="spellEnd"/>
      <w:r w:rsidR="00D1716A">
        <w:rPr>
          <w:iCs/>
          <w:color w:val="000000" w:themeColor="text1"/>
          <w:szCs w:val="24"/>
        </w:rPr>
        <w:t xml:space="preserve"> corresponde a aquellas denominadas testimoniales, sin parar mientes que se encuentre contenida en un documento; con lo anterior, se reitera que esta Sala se ha apartado, en otros asuntos</w:t>
      </w:r>
      <w:r w:rsidR="00D1716A">
        <w:rPr>
          <w:rStyle w:val="Refdenotaalpie"/>
          <w:iCs/>
          <w:color w:val="000000" w:themeColor="text1"/>
          <w:szCs w:val="24"/>
        </w:rPr>
        <w:footnoteReference w:id="4"/>
      </w:r>
      <w:r w:rsidR="00D1716A">
        <w:rPr>
          <w:iCs/>
          <w:color w:val="000000" w:themeColor="text1"/>
          <w:szCs w:val="24"/>
        </w:rPr>
        <w:t xml:space="preserve"> como en el de </w:t>
      </w:r>
      <w:r w:rsidR="00D1716A">
        <w:rPr>
          <w:iCs/>
          <w:color w:val="000000" w:themeColor="text1"/>
          <w:szCs w:val="24"/>
        </w:rPr>
        <w:lastRenderedPageBreak/>
        <w:t xml:space="preserve">ahora, del criterio de la Sala Laboral de la Corte Suprema de Justicia en sentencia de 11/02/2015, SL1188-2015, que contra lo evidente incluyó a la declaración </w:t>
      </w:r>
      <w:proofErr w:type="spellStart"/>
      <w:r w:rsidR="00D1716A">
        <w:rPr>
          <w:iCs/>
          <w:color w:val="000000" w:themeColor="text1"/>
          <w:szCs w:val="24"/>
        </w:rPr>
        <w:t>extrajuicio</w:t>
      </w:r>
      <w:proofErr w:type="spellEnd"/>
      <w:r w:rsidR="00D1716A">
        <w:rPr>
          <w:iCs/>
          <w:color w:val="000000" w:themeColor="text1"/>
          <w:szCs w:val="24"/>
        </w:rPr>
        <w:t xml:space="preserve"> como un documento declarativo emanado de tercero, en sentencias proferidas antes de entrar en vigencia el Código General del Proceso. </w:t>
      </w:r>
    </w:p>
    <w:p w:rsidR="00251FF3" w:rsidRDefault="00251FF3" w:rsidP="00D1716A">
      <w:pPr>
        <w:pStyle w:val="Textoindependiente"/>
        <w:spacing w:line="276" w:lineRule="auto"/>
        <w:contextualSpacing/>
        <w:rPr>
          <w:iCs/>
          <w:color w:val="000000" w:themeColor="text1"/>
          <w:szCs w:val="24"/>
        </w:rPr>
      </w:pPr>
    </w:p>
    <w:p w:rsidR="00251FF3" w:rsidRDefault="00251FF3" w:rsidP="00D1716A">
      <w:pPr>
        <w:pStyle w:val="Textoindependiente"/>
        <w:spacing w:line="276" w:lineRule="auto"/>
        <w:contextualSpacing/>
        <w:rPr>
          <w:iCs/>
          <w:color w:val="000000" w:themeColor="text1"/>
          <w:szCs w:val="24"/>
        </w:rPr>
      </w:pPr>
      <w:r>
        <w:rPr>
          <w:iCs/>
          <w:color w:val="000000" w:themeColor="text1"/>
          <w:szCs w:val="24"/>
        </w:rPr>
        <w:t xml:space="preserve">Un análisis diferente resultaría bajo la vigencia del C.G.P., pues allí claramente se dio lugar a la valoración de las declaraciones </w:t>
      </w:r>
      <w:proofErr w:type="spellStart"/>
      <w:r>
        <w:rPr>
          <w:iCs/>
          <w:color w:val="000000" w:themeColor="text1"/>
          <w:szCs w:val="24"/>
        </w:rPr>
        <w:t>extrajuicio</w:t>
      </w:r>
      <w:proofErr w:type="spellEnd"/>
      <w:r>
        <w:rPr>
          <w:iCs/>
          <w:color w:val="000000" w:themeColor="text1"/>
          <w:szCs w:val="24"/>
        </w:rPr>
        <w:t>.</w:t>
      </w:r>
    </w:p>
    <w:p w:rsidR="00D1716A" w:rsidRDefault="00D1716A" w:rsidP="00D1716A">
      <w:pPr>
        <w:pStyle w:val="Textoindependiente"/>
        <w:contextualSpacing/>
        <w:rPr>
          <w:iCs/>
          <w:color w:val="000000" w:themeColor="text1"/>
          <w:szCs w:val="24"/>
        </w:rPr>
      </w:pPr>
    </w:p>
    <w:p w:rsidR="00D1716A" w:rsidRPr="00252AC8" w:rsidRDefault="00D1716A" w:rsidP="00D1716A">
      <w:pPr>
        <w:pStyle w:val="Textoindependiente"/>
        <w:spacing w:line="276" w:lineRule="auto"/>
        <w:contextualSpacing/>
        <w:rPr>
          <w:iCs/>
          <w:color w:val="000000" w:themeColor="text1"/>
          <w:szCs w:val="24"/>
        </w:rPr>
      </w:pPr>
      <w:r>
        <w:rPr>
          <w:iCs/>
          <w:color w:val="000000" w:themeColor="text1"/>
          <w:szCs w:val="24"/>
        </w:rPr>
        <w:t xml:space="preserve">Puestas de ese modo las cosas, se cierra el paso a cualquier intención de valoración de las mismas, pero si en gracia de discusión tuviera algún ápice de validez, </w:t>
      </w:r>
      <w:r w:rsidR="002763FF">
        <w:rPr>
          <w:iCs/>
          <w:color w:val="000000" w:themeColor="text1"/>
          <w:szCs w:val="24"/>
        </w:rPr>
        <w:t xml:space="preserve">estas </w:t>
      </w:r>
      <w:r>
        <w:rPr>
          <w:iCs/>
          <w:color w:val="000000" w:themeColor="text1"/>
          <w:szCs w:val="24"/>
        </w:rPr>
        <w:t>en nada contribuirían a probar el hecho principal escrutado</w:t>
      </w:r>
      <w:r w:rsidR="00C40BC3">
        <w:rPr>
          <w:iCs/>
          <w:color w:val="000000" w:themeColor="text1"/>
          <w:szCs w:val="24"/>
        </w:rPr>
        <w:t xml:space="preserve"> –dependencia económica</w:t>
      </w:r>
      <w:r w:rsidR="00251FF3">
        <w:rPr>
          <w:iCs/>
          <w:color w:val="000000" w:themeColor="text1"/>
          <w:szCs w:val="24"/>
        </w:rPr>
        <w:t xml:space="preserve"> de la madre</w:t>
      </w:r>
      <w:r w:rsidR="00C40BC3">
        <w:rPr>
          <w:iCs/>
          <w:color w:val="000000" w:themeColor="text1"/>
          <w:szCs w:val="24"/>
        </w:rPr>
        <w:t>-</w:t>
      </w:r>
      <w:r>
        <w:rPr>
          <w:iCs/>
          <w:color w:val="000000" w:themeColor="text1"/>
          <w:szCs w:val="24"/>
        </w:rPr>
        <w:t xml:space="preserve">, pues tales declaraciones son generales en la medida que ningún hecho particular dan cuenta para acreditar </w:t>
      </w:r>
      <w:r w:rsidR="00251FF3">
        <w:rPr>
          <w:iCs/>
          <w:color w:val="000000" w:themeColor="text1"/>
          <w:szCs w:val="24"/>
        </w:rPr>
        <w:t xml:space="preserve">esta </w:t>
      </w:r>
      <w:r>
        <w:rPr>
          <w:iCs/>
          <w:color w:val="000000" w:themeColor="text1"/>
          <w:szCs w:val="24"/>
        </w:rPr>
        <w:t>dependencia, máxime que obedecen a un formato notarial</w:t>
      </w:r>
      <w:r w:rsidR="00D60811">
        <w:rPr>
          <w:iCs/>
          <w:color w:val="000000" w:themeColor="text1"/>
          <w:szCs w:val="24"/>
        </w:rPr>
        <w:t>,</w:t>
      </w:r>
      <w:r>
        <w:rPr>
          <w:iCs/>
          <w:color w:val="000000" w:themeColor="text1"/>
          <w:szCs w:val="24"/>
        </w:rPr>
        <w:t xml:space="preserve"> en el que tampoco se insertaron las razones o ciencia de los dichos allí </w:t>
      </w:r>
      <w:r w:rsidR="00C40BC3">
        <w:rPr>
          <w:iCs/>
          <w:color w:val="000000" w:themeColor="text1"/>
          <w:szCs w:val="24"/>
        </w:rPr>
        <w:t>plasmados</w:t>
      </w:r>
      <w:r>
        <w:rPr>
          <w:iCs/>
          <w:color w:val="000000" w:themeColor="text1"/>
          <w:szCs w:val="24"/>
        </w:rPr>
        <w:t xml:space="preserve">. </w:t>
      </w:r>
    </w:p>
    <w:p w:rsidR="00D1716A" w:rsidRDefault="00D1716A" w:rsidP="00D1716A">
      <w:pPr>
        <w:pStyle w:val="Textoindependiente"/>
        <w:spacing w:line="276" w:lineRule="auto"/>
        <w:contextualSpacing/>
        <w:rPr>
          <w:iCs/>
          <w:color w:val="000000" w:themeColor="text1"/>
          <w:szCs w:val="24"/>
        </w:rPr>
      </w:pPr>
    </w:p>
    <w:p w:rsidR="00D1716A" w:rsidRDefault="00D1716A" w:rsidP="00D1716A">
      <w:pPr>
        <w:pStyle w:val="Textoindependiente"/>
        <w:spacing w:line="276" w:lineRule="auto"/>
        <w:contextualSpacing/>
        <w:rPr>
          <w:iCs/>
          <w:color w:val="000000" w:themeColor="text1"/>
          <w:szCs w:val="24"/>
        </w:rPr>
      </w:pPr>
      <w:r>
        <w:rPr>
          <w:iCs/>
          <w:color w:val="000000" w:themeColor="text1"/>
          <w:szCs w:val="24"/>
        </w:rPr>
        <w:t xml:space="preserve">Ninguna otra prueba se allegó con ese propósito pues apenas restan los </w:t>
      </w:r>
      <w:r w:rsidR="00C44B5C">
        <w:rPr>
          <w:iCs/>
          <w:color w:val="000000" w:themeColor="text1"/>
          <w:szCs w:val="24"/>
        </w:rPr>
        <w:t xml:space="preserve">registros civiles de nacimiento y defunción del causante </w:t>
      </w:r>
      <w:r>
        <w:rPr>
          <w:iCs/>
          <w:color w:val="000000" w:themeColor="text1"/>
          <w:szCs w:val="24"/>
        </w:rPr>
        <w:t>(</w:t>
      </w:r>
      <w:proofErr w:type="spellStart"/>
      <w:r>
        <w:rPr>
          <w:iCs/>
          <w:color w:val="000000" w:themeColor="text1"/>
          <w:szCs w:val="24"/>
        </w:rPr>
        <w:t>fls</w:t>
      </w:r>
      <w:proofErr w:type="spellEnd"/>
      <w:r>
        <w:rPr>
          <w:iCs/>
          <w:color w:val="000000" w:themeColor="text1"/>
          <w:szCs w:val="24"/>
        </w:rPr>
        <w:t xml:space="preserve">. </w:t>
      </w:r>
      <w:r w:rsidR="00C44B5C">
        <w:rPr>
          <w:iCs/>
          <w:color w:val="000000" w:themeColor="text1"/>
          <w:szCs w:val="24"/>
        </w:rPr>
        <w:t>11 y 12</w:t>
      </w:r>
      <w:r>
        <w:rPr>
          <w:iCs/>
          <w:color w:val="000000" w:themeColor="text1"/>
          <w:szCs w:val="24"/>
        </w:rPr>
        <w:t xml:space="preserve">), </w:t>
      </w:r>
      <w:r w:rsidR="00C44B5C">
        <w:rPr>
          <w:iCs/>
          <w:color w:val="000000" w:themeColor="text1"/>
          <w:szCs w:val="24"/>
        </w:rPr>
        <w:t xml:space="preserve">trámites administrativos ante Colpensiones tendientes al reconocimiento de la pensión </w:t>
      </w:r>
      <w:r>
        <w:rPr>
          <w:iCs/>
          <w:color w:val="000000" w:themeColor="text1"/>
          <w:szCs w:val="24"/>
        </w:rPr>
        <w:t>(</w:t>
      </w:r>
      <w:proofErr w:type="spellStart"/>
      <w:r>
        <w:rPr>
          <w:iCs/>
          <w:color w:val="000000" w:themeColor="text1"/>
          <w:szCs w:val="24"/>
        </w:rPr>
        <w:t>fls</w:t>
      </w:r>
      <w:proofErr w:type="spellEnd"/>
      <w:r>
        <w:rPr>
          <w:iCs/>
          <w:color w:val="000000" w:themeColor="text1"/>
          <w:szCs w:val="24"/>
        </w:rPr>
        <w:t xml:space="preserve">. </w:t>
      </w:r>
      <w:r w:rsidR="00C44B5C">
        <w:rPr>
          <w:iCs/>
          <w:color w:val="000000" w:themeColor="text1"/>
          <w:szCs w:val="24"/>
        </w:rPr>
        <w:t xml:space="preserve">13 a 19), y otros documentos </w:t>
      </w:r>
      <w:r>
        <w:rPr>
          <w:iCs/>
          <w:color w:val="000000" w:themeColor="text1"/>
          <w:szCs w:val="24"/>
        </w:rPr>
        <w:t xml:space="preserve">que en nada contribuyen a cambiar el rumbo de la decisión.  </w:t>
      </w:r>
    </w:p>
    <w:p w:rsidR="00D1716A" w:rsidRDefault="00D1716A" w:rsidP="00D1716A">
      <w:pPr>
        <w:pStyle w:val="Textoindependiente"/>
        <w:spacing w:line="276" w:lineRule="auto"/>
        <w:contextualSpacing/>
        <w:rPr>
          <w:iCs/>
          <w:color w:val="000000" w:themeColor="text1"/>
          <w:szCs w:val="24"/>
        </w:rPr>
      </w:pPr>
    </w:p>
    <w:p w:rsidR="00C44B5C" w:rsidRDefault="001201C2" w:rsidP="00D1716A">
      <w:pPr>
        <w:spacing w:line="276" w:lineRule="auto"/>
        <w:jc w:val="both"/>
        <w:rPr>
          <w:rFonts w:ascii="Arial" w:hAnsi="Arial" w:cs="Arial"/>
          <w:szCs w:val="24"/>
        </w:rPr>
      </w:pPr>
      <w:r>
        <w:rPr>
          <w:rFonts w:ascii="Arial" w:hAnsi="Arial" w:cs="Arial"/>
          <w:szCs w:val="24"/>
        </w:rPr>
        <w:t xml:space="preserve">Ahora, resulta pertinente llamar la atención a la juzgadora de primera instancia, </w:t>
      </w:r>
      <w:r w:rsidR="009F1C18">
        <w:rPr>
          <w:rFonts w:ascii="Arial" w:hAnsi="Arial" w:cs="Arial"/>
          <w:szCs w:val="24"/>
        </w:rPr>
        <w:t xml:space="preserve">dado que estructuró </w:t>
      </w:r>
      <w:r>
        <w:rPr>
          <w:rFonts w:ascii="Arial" w:hAnsi="Arial" w:cs="Arial"/>
          <w:szCs w:val="24"/>
        </w:rPr>
        <w:t xml:space="preserve">su decisión en </w:t>
      </w:r>
      <w:r w:rsidR="009F1C18">
        <w:rPr>
          <w:rFonts w:ascii="Arial" w:hAnsi="Arial" w:cs="Arial"/>
          <w:szCs w:val="24"/>
        </w:rPr>
        <w:t xml:space="preserve">la </w:t>
      </w:r>
      <w:r w:rsidR="00DE66A9">
        <w:rPr>
          <w:rFonts w:ascii="Arial" w:hAnsi="Arial" w:cs="Arial"/>
          <w:szCs w:val="24"/>
        </w:rPr>
        <w:t>“</w:t>
      </w:r>
      <w:r w:rsidR="009F1C18">
        <w:rPr>
          <w:rFonts w:ascii="Arial" w:hAnsi="Arial" w:cs="Arial"/>
          <w:szCs w:val="24"/>
        </w:rPr>
        <w:t>prueba testimonial</w:t>
      </w:r>
      <w:r w:rsidR="00DE66A9">
        <w:rPr>
          <w:rFonts w:ascii="Arial" w:hAnsi="Arial" w:cs="Arial"/>
          <w:szCs w:val="24"/>
        </w:rPr>
        <w:t xml:space="preserve">” </w:t>
      </w:r>
      <w:r w:rsidR="009F1C18">
        <w:rPr>
          <w:rFonts w:ascii="Arial" w:hAnsi="Arial" w:cs="Arial"/>
          <w:szCs w:val="24"/>
        </w:rPr>
        <w:t xml:space="preserve">practicada en el proceso ordinario que con la misma finalidad al de este incoó la señora María del Socorro Suaza Villa, radicado </w:t>
      </w:r>
      <w:r>
        <w:rPr>
          <w:rFonts w:ascii="Arial" w:hAnsi="Arial" w:cs="Arial"/>
          <w:szCs w:val="24"/>
        </w:rPr>
        <w:t xml:space="preserve"> </w:t>
      </w:r>
      <w:r w:rsidR="009F1C18">
        <w:rPr>
          <w:rFonts w:ascii="Arial" w:hAnsi="Arial" w:cs="Arial"/>
          <w:szCs w:val="24"/>
        </w:rPr>
        <w:t>201</w:t>
      </w:r>
      <w:r w:rsidR="002763FF">
        <w:rPr>
          <w:rFonts w:ascii="Arial" w:hAnsi="Arial" w:cs="Arial"/>
          <w:szCs w:val="24"/>
        </w:rPr>
        <w:t>2</w:t>
      </w:r>
      <w:r w:rsidR="009F1C18">
        <w:rPr>
          <w:rFonts w:ascii="Arial" w:hAnsi="Arial" w:cs="Arial"/>
          <w:szCs w:val="24"/>
        </w:rPr>
        <w:t>-00221 del Juzgado Cuarto Laboral de esta ciudad, como quiera que para poderlo hacer debió haberlas decretado como prueba trasladada, siguiendo los lineamientos procesales vigentes.</w:t>
      </w:r>
    </w:p>
    <w:p w:rsidR="008C53F0" w:rsidRDefault="008C53F0" w:rsidP="00D1716A">
      <w:pPr>
        <w:spacing w:line="276" w:lineRule="auto"/>
        <w:jc w:val="both"/>
        <w:rPr>
          <w:rFonts w:ascii="Arial" w:hAnsi="Arial" w:cs="Arial"/>
          <w:szCs w:val="24"/>
        </w:rPr>
      </w:pPr>
    </w:p>
    <w:p w:rsidR="00C44B5C" w:rsidRDefault="009F1C18" w:rsidP="00D1716A">
      <w:pPr>
        <w:spacing w:line="276" w:lineRule="auto"/>
        <w:jc w:val="both"/>
        <w:rPr>
          <w:rFonts w:ascii="Arial" w:hAnsi="Arial" w:cs="Arial"/>
          <w:szCs w:val="24"/>
        </w:rPr>
      </w:pPr>
      <w:r>
        <w:rPr>
          <w:rFonts w:ascii="Arial" w:hAnsi="Arial" w:cs="Arial"/>
          <w:szCs w:val="24"/>
        </w:rPr>
        <w:t xml:space="preserve">Es que, nótese que mediante auto del </w:t>
      </w:r>
      <w:r w:rsidR="005C5D7A">
        <w:rPr>
          <w:rFonts w:ascii="Arial" w:hAnsi="Arial" w:cs="Arial"/>
          <w:szCs w:val="24"/>
        </w:rPr>
        <w:t>0</w:t>
      </w:r>
      <w:r>
        <w:rPr>
          <w:rFonts w:ascii="Arial" w:hAnsi="Arial" w:cs="Arial"/>
          <w:szCs w:val="24"/>
        </w:rPr>
        <w:t>2/08/2017 –</w:t>
      </w:r>
      <w:proofErr w:type="spellStart"/>
      <w:r>
        <w:rPr>
          <w:rFonts w:ascii="Arial" w:hAnsi="Arial" w:cs="Arial"/>
          <w:szCs w:val="24"/>
        </w:rPr>
        <w:t>fl</w:t>
      </w:r>
      <w:proofErr w:type="spellEnd"/>
      <w:r>
        <w:rPr>
          <w:rFonts w:ascii="Arial" w:hAnsi="Arial" w:cs="Arial"/>
          <w:szCs w:val="24"/>
        </w:rPr>
        <w:t xml:space="preserve">. 116 del cd. 1- si bien se anunció </w:t>
      </w:r>
      <w:r w:rsidR="00EE3141">
        <w:rPr>
          <w:rFonts w:ascii="Arial" w:hAnsi="Arial" w:cs="Arial"/>
          <w:szCs w:val="24"/>
        </w:rPr>
        <w:t xml:space="preserve">que </w:t>
      </w:r>
      <w:r>
        <w:rPr>
          <w:rFonts w:ascii="Arial" w:hAnsi="Arial" w:cs="Arial"/>
          <w:szCs w:val="24"/>
        </w:rPr>
        <w:t xml:space="preserve">haría uso de las facultades oficiosas previstas en el artículo 54 del </w:t>
      </w:r>
      <w:proofErr w:type="spellStart"/>
      <w:r>
        <w:rPr>
          <w:rFonts w:ascii="Arial" w:hAnsi="Arial" w:cs="Arial"/>
          <w:szCs w:val="24"/>
        </w:rPr>
        <w:t>C</w:t>
      </w:r>
      <w:r w:rsidR="009B3E61">
        <w:rPr>
          <w:rFonts w:ascii="Arial" w:hAnsi="Arial" w:cs="Arial"/>
          <w:szCs w:val="24"/>
        </w:rPr>
        <w:t>P</w:t>
      </w:r>
      <w:r>
        <w:rPr>
          <w:rFonts w:ascii="Arial" w:hAnsi="Arial" w:cs="Arial"/>
          <w:szCs w:val="24"/>
        </w:rPr>
        <w:t>T</w:t>
      </w:r>
      <w:proofErr w:type="spellEnd"/>
      <w:r>
        <w:rPr>
          <w:rFonts w:ascii="Arial" w:hAnsi="Arial" w:cs="Arial"/>
          <w:szCs w:val="24"/>
        </w:rPr>
        <w:t xml:space="preserve"> y 170 del CGP</w:t>
      </w:r>
      <w:r w:rsidR="00EE3141">
        <w:rPr>
          <w:rFonts w:ascii="Arial" w:hAnsi="Arial" w:cs="Arial"/>
          <w:szCs w:val="24"/>
        </w:rPr>
        <w:t xml:space="preserve">, a continuación ordenó que se </w:t>
      </w:r>
      <w:r w:rsidR="00EE3141" w:rsidRPr="00DD6CF9">
        <w:rPr>
          <w:rFonts w:ascii="Arial" w:hAnsi="Arial" w:cs="Arial"/>
          <w:b/>
          <w:szCs w:val="24"/>
        </w:rPr>
        <w:t>oficiara</w:t>
      </w:r>
      <w:r w:rsidR="00EE3141">
        <w:rPr>
          <w:rFonts w:ascii="Arial" w:hAnsi="Arial" w:cs="Arial"/>
          <w:szCs w:val="24"/>
        </w:rPr>
        <w:t xml:space="preserve"> al aludido despacho judicial para </w:t>
      </w:r>
      <w:r w:rsidR="00EE3141" w:rsidRPr="00DD6CF9">
        <w:rPr>
          <w:rFonts w:ascii="Arial" w:hAnsi="Arial" w:cs="Arial"/>
          <w:b/>
          <w:szCs w:val="24"/>
        </w:rPr>
        <w:t>que remitiera en calidad de préstamo</w:t>
      </w:r>
      <w:r w:rsidR="00EE3141">
        <w:rPr>
          <w:rFonts w:ascii="Arial" w:hAnsi="Arial" w:cs="Arial"/>
          <w:szCs w:val="24"/>
        </w:rPr>
        <w:t xml:space="preserve"> ese expediente y, posteriormente, en la audiencia de trámite y juzgamiento se limitó a poner</w:t>
      </w:r>
      <w:r w:rsidR="00B27227">
        <w:rPr>
          <w:rFonts w:ascii="Arial" w:hAnsi="Arial" w:cs="Arial"/>
          <w:szCs w:val="24"/>
        </w:rPr>
        <w:t>lo</w:t>
      </w:r>
      <w:r w:rsidR="00EE3141">
        <w:rPr>
          <w:rFonts w:ascii="Arial" w:hAnsi="Arial" w:cs="Arial"/>
          <w:szCs w:val="24"/>
        </w:rPr>
        <w:t xml:space="preserve"> en conocimiento </w:t>
      </w:r>
      <w:r w:rsidR="00B27227">
        <w:rPr>
          <w:rFonts w:ascii="Arial" w:hAnsi="Arial" w:cs="Arial"/>
          <w:szCs w:val="24"/>
        </w:rPr>
        <w:t>junto a otros documentos que fueron allegados (historia laboral).</w:t>
      </w:r>
    </w:p>
    <w:p w:rsidR="00C44B5C" w:rsidRDefault="00C44B5C" w:rsidP="00D1716A">
      <w:pPr>
        <w:spacing w:line="276" w:lineRule="auto"/>
        <w:jc w:val="both"/>
        <w:rPr>
          <w:rFonts w:ascii="Arial" w:hAnsi="Arial" w:cs="Arial"/>
          <w:szCs w:val="24"/>
        </w:rPr>
      </w:pPr>
    </w:p>
    <w:p w:rsidR="00DD6CF9" w:rsidRPr="003C1F8A" w:rsidRDefault="00DD6CF9" w:rsidP="00D1716A">
      <w:pPr>
        <w:spacing w:line="276" w:lineRule="auto"/>
        <w:jc w:val="both"/>
        <w:rPr>
          <w:rFonts w:ascii="Arial" w:hAnsi="Arial" w:cs="Arial"/>
          <w:szCs w:val="24"/>
          <w:lang w:val="es-CO"/>
        </w:rPr>
      </w:pPr>
      <w:r>
        <w:rPr>
          <w:rFonts w:ascii="Arial" w:hAnsi="Arial" w:cs="Arial"/>
          <w:szCs w:val="24"/>
        </w:rPr>
        <w:t xml:space="preserve">Como puede verse, en realidad no hubo un decreto de prueba en relación con </w:t>
      </w:r>
      <w:r w:rsidR="003C1F8A">
        <w:rPr>
          <w:rFonts w:ascii="Arial" w:hAnsi="Arial" w:cs="Arial"/>
          <w:szCs w:val="24"/>
        </w:rPr>
        <w:t xml:space="preserve">las piezas que componen el proceso tramitado ante el Juzgado Cuarto Laboral y, consecuente con ello, </w:t>
      </w:r>
      <w:r w:rsidR="00DE66A9">
        <w:rPr>
          <w:rFonts w:ascii="Arial" w:hAnsi="Arial" w:cs="Arial"/>
          <w:szCs w:val="24"/>
        </w:rPr>
        <w:t xml:space="preserve">aunque hacen parte del presente asunto, fueron </w:t>
      </w:r>
      <w:r w:rsidR="00C60CA2">
        <w:rPr>
          <w:rFonts w:ascii="Arial" w:hAnsi="Arial" w:cs="Arial"/>
          <w:szCs w:val="24"/>
        </w:rPr>
        <w:t xml:space="preserve">incorporadas </w:t>
      </w:r>
      <w:r w:rsidR="00DE66A9">
        <w:rPr>
          <w:rFonts w:ascii="Arial" w:hAnsi="Arial" w:cs="Arial"/>
          <w:szCs w:val="24"/>
        </w:rPr>
        <w:t>de manera irregular y por lo tanto, no pueden valorarse, conforme a lo indicado por el artículo 164 del CGP y el inciso final del artículo 29 de la Constitución Política</w:t>
      </w:r>
      <w:r w:rsidR="00C60CA2">
        <w:rPr>
          <w:rFonts w:ascii="Arial" w:hAnsi="Arial" w:cs="Arial"/>
          <w:szCs w:val="24"/>
        </w:rPr>
        <w:t>; por lo que deben excluirse de cualquier valoración.</w:t>
      </w:r>
    </w:p>
    <w:p w:rsidR="00C44B5C" w:rsidRDefault="00C44B5C" w:rsidP="00D1716A">
      <w:pPr>
        <w:spacing w:line="276" w:lineRule="auto"/>
        <w:jc w:val="both"/>
        <w:rPr>
          <w:rFonts w:ascii="Arial" w:hAnsi="Arial" w:cs="Arial"/>
          <w:szCs w:val="24"/>
        </w:rPr>
      </w:pPr>
    </w:p>
    <w:p w:rsidR="00D1716A" w:rsidRDefault="00D1716A" w:rsidP="00DE66A9">
      <w:pPr>
        <w:spacing w:line="276" w:lineRule="auto"/>
        <w:jc w:val="both"/>
        <w:rPr>
          <w:iCs/>
          <w:color w:val="000000" w:themeColor="text1"/>
          <w:szCs w:val="24"/>
        </w:rPr>
      </w:pPr>
      <w:proofErr w:type="spellStart"/>
      <w:r>
        <w:rPr>
          <w:rFonts w:ascii="Arial" w:hAnsi="Arial" w:cs="Arial"/>
          <w:szCs w:val="24"/>
        </w:rPr>
        <w:t>Colorario</w:t>
      </w:r>
      <w:proofErr w:type="spellEnd"/>
      <w:r>
        <w:rPr>
          <w:rFonts w:ascii="Arial" w:hAnsi="Arial" w:cs="Arial"/>
          <w:szCs w:val="24"/>
        </w:rPr>
        <w:t xml:space="preserve"> de lo anterior, se desprende que </w:t>
      </w:r>
      <w:r w:rsidR="00DE66A9">
        <w:rPr>
          <w:rFonts w:ascii="Arial" w:hAnsi="Arial" w:cs="Arial"/>
          <w:szCs w:val="24"/>
        </w:rPr>
        <w:t xml:space="preserve">María Judith Muñoz de Serna </w:t>
      </w:r>
      <w:r>
        <w:rPr>
          <w:rFonts w:ascii="Arial" w:hAnsi="Arial" w:cs="Arial"/>
          <w:szCs w:val="24"/>
        </w:rPr>
        <w:t>no probó que su descendiente contribuyera económicamente a su sostenimiento</w:t>
      </w:r>
      <w:r w:rsidR="000B518F">
        <w:rPr>
          <w:rFonts w:ascii="Arial" w:hAnsi="Arial" w:cs="Arial"/>
          <w:szCs w:val="24"/>
        </w:rPr>
        <w:t xml:space="preserve"> </w:t>
      </w:r>
      <w:r w:rsidR="000B518F" w:rsidRPr="000B518F">
        <w:rPr>
          <w:rFonts w:ascii="Arial" w:hAnsi="Arial" w:cs="Arial"/>
          <w:iCs/>
          <w:szCs w:val="24"/>
        </w:rPr>
        <w:t>de manera cierta, regular y significativa</w:t>
      </w:r>
      <w:r w:rsidRPr="000B518F">
        <w:rPr>
          <w:rFonts w:ascii="Arial" w:hAnsi="Arial" w:cs="Arial"/>
          <w:szCs w:val="24"/>
        </w:rPr>
        <w:t xml:space="preserve">, requisito </w:t>
      </w:r>
      <w:r>
        <w:rPr>
          <w:rFonts w:ascii="Arial" w:hAnsi="Arial" w:cs="Arial"/>
          <w:szCs w:val="24"/>
        </w:rPr>
        <w:t xml:space="preserve">que al faltar imposibilita </w:t>
      </w:r>
      <w:r w:rsidRPr="003A66FB">
        <w:rPr>
          <w:rFonts w:ascii="Arial" w:hAnsi="Arial" w:cs="Arial"/>
          <w:szCs w:val="24"/>
        </w:rPr>
        <w:t xml:space="preserve">el reconocimiento </w:t>
      </w:r>
      <w:r>
        <w:rPr>
          <w:rFonts w:ascii="Arial" w:hAnsi="Arial" w:cs="Arial"/>
          <w:szCs w:val="24"/>
        </w:rPr>
        <w:t xml:space="preserve">de pensión de sobrevivientes e ineludiblemente implica la confirmación de la sentencia </w:t>
      </w:r>
      <w:r w:rsidR="00D60811">
        <w:rPr>
          <w:rFonts w:ascii="Arial" w:hAnsi="Arial" w:cs="Arial"/>
          <w:szCs w:val="24"/>
        </w:rPr>
        <w:t>apelada, pues no configura la dependencia el que compartieran la misma casa de habitación de haberse acreditado este aspecto.</w:t>
      </w:r>
    </w:p>
    <w:p w:rsidR="00AD3604" w:rsidRDefault="00AD3604" w:rsidP="00CA4193">
      <w:pPr>
        <w:spacing w:line="276" w:lineRule="auto"/>
        <w:jc w:val="both"/>
        <w:rPr>
          <w:rFonts w:ascii="Arial" w:hAnsi="Arial" w:cs="Arial"/>
          <w:szCs w:val="24"/>
        </w:rPr>
      </w:pPr>
    </w:p>
    <w:p w:rsidR="00BC45C6" w:rsidRDefault="00BC45C6" w:rsidP="00BC45C6">
      <w:pPr>
        <w:spacing w:line="276" w:lineRule="auto"/>
        <w:jc w:val="center"/>
        <w:rPr>
          <w:rFonts w:ascii="Arial" w:hAnsi="Arial" w:cs="Arial"/>
          <w:b/>
          <w:color w:val="000000"/>
          <w:szCs w:val="24"/>
          <w:lang w:eastAsia="es-CO"/>
        </w:rPr>
      </w:pPr>
      <w:r w:rsidRPr="002A4E8D">
        <w:rPr>
          <w:rFonts w:ascii="Arial" w:hAnsi="Arial" w:cs="Arial"/>
          <w:b/>
          <w:color w:val="000000"/>
          <w:szCs w:val="24"/>
          <w:lang w:eastAsia="es-CO"/>
        </w:rPr>
        <w:lastRenderedPageBreak/>
        <w:t>CONCLUSIÓN</w:t>
      </w:r>
    </w:p>
    <w:p w:rsidR="00BC45C6" w:rsidRPr="002A4E8D" w:rsidRDefault="00BC45C6" w:rsidP="00BC45C6">
      <w:pPr>
        <w:shd w:val="clear" w:color="auto" w:fill="FFFFFF"/>
        <w:tabs>
          <w:tab w:val="left" w:pos="5197"/>
        </w:tabs>
        <w:spacing w:line="276" w:lineRule="auto"/>
        <w:jc w:val="center"/>
        <w:rPr>
          <w:rFonts w:ascii="Arial" w:hAnsi="Arial" w:cs="Arial"/>
          <w:b/>
          <w:color w:val="000000"/>
          <w:szCs w:val="24"/>
          <w:lang w:eastAsia="es-CO"/>
        </w:rPr>
      </w:pPr>
    </w:p>
    <w:p w:rsidR="00EA3CA8" w:rsidRDefault="00BC45C6" w:rsidP="00591EBA">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Conforme lo expuesto, la decisión de primera instancia será </w:t>
      </w:r>
      <w:r w:rsidR="00591EBA">
        <w:rPr>
          <w:rFonts w:ascii="Arial" w:hAnsi="Arial" w:cs="Arial"/>
          <w:color w:val="000000"/>
          <w:szCs w:val="24"/>
          <w:lang w:eastAsia="es-CO"/>
        </w:rPr>
        <w:t xml:space="preserve">confirmada en su integridad. Costas </w:t>
      </w:r>
      <w:r w:rsidR="00565E83" w:rsidRPr="00D578CB">
        <w:rPr>
          <w:rFonts w:ascii="Arial" w:hAnsi="Arial" w:cs="Arial"/>
          <w:szCs w:val="24"/>
        </w:rPr>
        <w:t xml:space="preserve">en </w:t>
      </w:r>
      <w:r w:rsidR="00591EBA">
        <w:rPr>
          <w:rFonts w:ascii="Arial" w:hAnsi="Arial" w:cs="Arial"/>
          <w:szCs w:val="24"/>
        </w:rPr>
        <w:t xml:space="preserve">esta </w:t>
      </w:r>
      <w:r w:rsidR="007B28AD">
        <w:rPr>
          <w:rFonts w:ascii="Arial" w:hAnsi="Arial" w:cs="Arial"/>
          <w:szCs w:val="24"/>
        </w:rPr>
        <w:t>instancia a cargo de</w:t>
      </w:r>
      <w:r w:rsidR="00E930C1">
        <w:rPr>
          <w:rFonts w:ascii="Arial" w:hAnsi="Arial" w:cs="Arial"/>
          <w:szCs w:val="24"/>
        </w:rPr>
        <w:t xml:space="preserve"> la parte demandante</w:t>
      </w:r>
      <w:r w:rsidR="007B28AD">
        <w:rPr>
          <w:rFonts w:ascii="Arial" w:hAnsi="Arial" w:cs="Arial"/>
          <w:szCs w:val="24"/>
        </w:rPr>
        <w:t xml:space="preserve"> y a favor de </w:t>
      </w:r>
      <w:r w:rsidR="00591EBA">
        <w:rPr>
          <w:rFonts w:ascii="Arial" w:hAnsi="Arial" w:cs="Arial"/>
          <w:szCs w:val="24"/>
        </w:rPr>
        <w:t xml:space="preserve">Colpensiones </w:t>
      </w:r>
      <w:r w:rsidR="00707C42">
        <w:rPr>
          <w:rFonts w:ascii="Arial" w:hAnsi="Arial" w:cs="Arial"/>
          <w:szCs w:val="24"/>
        </w:rPr>
        <w:t>(art.</w:t>
      </w:r>
      <w:r w:rsidR="00591EBA">
        <w:rPr>
          <w:rFonts w:ascii="Arial" w:hAnsi="Arial" w:cs="Arial"/>
          <w:szCs w:val="24"/>
        </w:rPr>
        <w:t xml:space="preserve"> </w:t>
      </w:r>
      <w:r w:rsidR="005335E5">
        <w:rPr>
          <w:rFonts w:ascii="Arial" w:hAnsi="Arial" w:cs="Arial"/>
          <w:szCs w:val="24"/>
        </w:rPr>
        <w:t>365</w:t>
      </w:r>
      <w:r w:rsidR="00591EBA">
        <w:rPr>
          <w:rFonts w:ascii="Arial" w:hAnsi="Arial" w:cs="Arial"/>
          <w:szCs w:val="24"/>
        </w:rPr>
        <w:t xml:space="preserve"> numerales 1 y 3</w:t>
      </w:r>
      <w:r w:rsidR="008F3055">
        <w:rPr>
          <w:rFonts w:ascii="Arial" w:hAnsi="Arial" w:cs="Arial"/>
          <w:szCs w:val="24"/>
        </w:rPr>
        <w:t xml:space="preserve"> CGP)</w:t>
      </w:r>
      <w:r w:rsidR="00B60AA9">
        <w:rPr>
          <w:rFonts w:ascii="Arial" w:hAnsi="Arial" w:cs="Arial"/>
          <w:szCs w:val="24"/>
        </w:rPr>
        <w:t>.</w:t>
      </w:r>
    </w:p>
    <w:p w:rsidR="0042685B" w:rsidRDefault="0042685B" w:rsidP="00D471CA">
      <w:pPr>
        <w:spacing w:line="276" w:lineRule="auto"/>
        <w:jc w:val="both"/>
        <w:rPr>
          <w:rFonts w:ascii="Arial" w:hAnsi="Arial" w:cs="Arial"/>
          <w:szCs w:val="24"/>
        </w:rPr>
      </w:pPr>
    </w:p>
    <w:p w:rsidR="00313DC2" w:rsidRPr="00313DC2" w:rsidRDefault="00313DC2" w:rsidP="002A4E8D">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w:t>
      </w:r>
      <w:r w:rsidR="00B670A1">
        <w:rPr>
          <w:rFonts w:ascii="Arial" w:hAnsi="Arial" w:cs="Arial"/>
          <w:b/>
          <w:sz w:val="24"/>
          <w:szCs w:val="24"/>
        </w:rPr>
        <w:t>Segunda</w:t>
      </w:r>
      <w:r w:rsidR="007D0C8E">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844CF" w:rsidRDefault="001844CF"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A6769B" w:rsidRDefault="001320DB" w:rsidP="00B670A1">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6F1E60">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6F1E60">
        <w:rPr>
          <w:rFonts w:ascii="Arial" w:hAnsi="Arial" w:cs="Arial"/>
          <w:szCs w:val="24"/>
        </w:rPr>
        <w:t xml:space="preserve">04 </w:t>
      </w:r>
      <w:r w:rsidR="00EA3CA8" w:rsidRPr="00D578CB">
        <w:rPr>
          <w:rFonts w:ascii="Arial" w:hAnsi="Arial" w:cs="Arial"/>
          <w:szCs w:val="24"/>
        </w:rPr>
        <w:t xml:space="preserve">de </w:t>
      </w:r>
      <w:r w:rsidR="006F1E60">
        <w:rPr>
          <w:rFonts w:ascii="Arial" w:hAnsi="Arial" w:cs="Arial"/>
          <w:szCs w:val="24"/>
        </w:rPr>
        <w:t xml:space="preserve">octubre </w:t>
      </w:r>
      <w:r w:rsidR="00355E99">
        <w:rPr>
          <w:rFonts w:ascii="Arial" w:hAnsi="Arial" w:cs="Arial"/>
          <w:szCs w:val="24"/>
        </w:rPr>
        <w:t>de 201</w:t>
      </w:r>
      <w:r w:rsidR="006F1E60">
        <w:rPr>
          <w:rFonts w:ascii="Arial" w:hAnsi="Arial" w:cs="Arial"/>
          <w:szCs w:val="24"/>
        </w:rPr>
        <w:t>8</w:t>
      </w:r>
      <w:r w:rsidR="00EA3CA8" w:rsidRPr="00D578CB">
        <w:rPr>
          <w:rFonts w:ascii="Arial" w:hAnsi="Arial" w:cs="Arial"/>
          <w:szCs w:val="24"/>
        </w:rPr>
        <w:t xml:space="preserve"> por el Juzgado </w:t>
      </w:r>
      <w:r w:rsidR="006F1E60">
        <w:rPr>
          <w:rFonts w:ascii="Arial" w:hAnsi="Arial" w:cs="Arial"/>
          <w:szCs w:val="24"/>
        </w:rPr>
        <w:t xml:space="preserve">Quinto </w:t>
      </w:r>
      <w:r w:rsidR="00EA3CA8" w:rsidRPr="00D578CB">
        <w:rPr>
          <w:rFonts w:ascii="Arial" w:hAnsi="Arial" w:cs="Arial"/>
          <w:szCs w:val="24"/>
        </w:rPr>
        <w:t>Laboral del Circuito de Pereira, dentro del proceso ordinario laboral propuesto por</w:t>
      </w:r>
      <w:r w:rsidR="003230A5">
        <w:rPr>
          <w:rFonts w:ascii="Arial" w:hAnsi="Arial" w:cs="Arial"/>
          <w:szCs w:val="24"/>
        </w:rPr>
        <w:t xml:space="preserve"> la señora</w:t>
      </w:r>
      <w:r w:rsidR="00EA3CA8" w:rsidRPr="00D578CB">
        <w:rPr>
          <w:rFonts w:ascii="Arial" w:hAnsi="Arial" w:cs="Arial"/>
          <w:szCs w:val="24"/>
        </w:rPr>
        <w:t xml:space="preserve"> </w:t>
      </w:r>
      <w:r w:rsidR="003230A5">
        <w:rPr>
          <w:rFonts w:ascii="Arial" w:hAnsi="Arial" w:cs="Arial"/>
          <w:b/>
          <w:szCs w:val="24"/>
        </w:rPr>
        <w:t xml:space="preserve">María Judith Muñoz de Serna </w:t>
      </w:r>
      <w:r w:rsidR="003230A5">
        <w:rPr>
          <w:rFonts w:ascii="Arial" w:hAnsi="Arial" w:cs="Arial"/>
          <w:szCs w:val="24"/>
        </w:rPr>
        <w:t xml:space="preserve">en </w:t>
      </w:r>
      <w:r w:rsidR="003230A5" w:rsidRPr="003440CA">
        <w:rPr>
          <w:rFonts w:ascii="Arial" w:hAnsi="Arial" w:cs="Arial"/>
          <w:szCs w:val="24"/>
        </w:rPr>
        <w:t>contra</w:t>
      </w:r>
      <w:r w:rsidR="003230A5">
        <w:rPr>
          <w:rFonts w:ascii="Arial" w:hAnsi="Arial" w:cs="Arial"/>
          <w:szCs w:val="24"/>
        </w:rPr>
        <w:t xml:space="preserve"> de la </w:t>
      </w:r>
      <w:r w:rsidR="003230A5">
        <w:rPr>
          <w:rFonts w:ascii="Arial" w:hAnsi="Arial" w:cs="Arial"/>
          <w:b/>
          <w:szCs w:val="24"/>
        </w:rPr>
        <w:t xml:space="preserve">Administradora Colombiana de Pensiones –Colpensiones- </w:t>
      </w:r>
      <w:r w:rsidR="003230A5" w:rsidRPr="006F783D">
        <w:rPr>
          <w:rFonts w:ascii="Arial" w:hAnsi="Arial" w:cs="Arial"/>
          <w:szCs w:val="24"/>
        </w:rPr>
        <w:t>y al que fueron vinculados</w:t>
      </w:r>
      <w:r w:rsidR="003230A5">
        <w:rPr>
          <w:rFonts w:ascii="Arial" w:hAnsi="Arial" w:cs="Arial"/>
          <w:b/>
          <w:szCs w:val="24"/>
        </w:rPr>
        <w:t xml:space="preserve"> </w:t>
      </w:r>
      <w:r w:rsidR="003230A5" w:rsidRPr="006F1E60">
        <w:rPr>
          <w:rFonts w:ascii="Arial" w:hAnsi="Arial" w:cs="Arial"/>
          <w:b/>
          <w:bCs/>
          <w:szCs w:val="24"/>
        </w:rPr>
        <w:t xml:space="preserve">María del Socorro Suaza Villa, Héctor Fabio y </w:t>
      </w:r>
      <w:proofErr w:type="spellStart"/>
      <w:r w:rsidR="003230A5" w:rsidRPr="006F1E60">
        <w:rPr>
          <w:rFonts w:ascii="Arial" w:hAnsi="Arial" w:cs="Arial"/>
          <w:b/>
          <w:bCs/>
          <w:szCs w:val="24"/>
        </w:rPr>
        <w:t>Nini</w:t>
      </w:r>
      <w:proofErr w:type="spellEnd"/>
      <w:r w:rsidR="003230A5" w:rsidRPr="006F1E60">
        <w:rPr>
          <w:rFonts w:ascii="Arial" w:hAnsi="Arial" w:cs="Arial"/>
          <w:b/>
          <w:bCs/>
          <w:szCs w:val="24"/>
        </w:rPr>
        <w:t xml:space="preserve"> Johana Serna Suaza</w:t>
      </w:r>
      <w:r w:rsidR="007B28AD">
        <w:rPr>
          <w:rFonts w:ascii="Arial" w:hAnsi="Arial" w:cs="Arial"/>
          <w:bCs/>
          <w:iCs/>
          <w:szCs w:val="24"/>
        </w:rPr>
        <w:t>.</w:t>
      </w:r>
    </w:p>
    <w:p w:rsidR="007B28AD" w:rsidRDefault="007B28AD" w:rsidP="00313DC2">
      <w:pPr>
        <w:widowControl w:val="0"/>
        <w:autoSpaceDE w:val="0"/>
        <w:autoSpaceDN w:val="0"/>
        <w:adjustRightInd w:val="0"/>
        <w:spacing w:line="276" w:lineRule="auto"/>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BE66DE">
        <w:rPr>
          <w:rFonts w:ascii="Arial" w:hAnsi="Arial" w:cs="Arial"/>
          <w:b/>
          <w:bCs/>
          <w:iCs/>
          <w:szCs w:val="24"/>
        </w:rPr>
        <w:t xml:space="preserve">CONDENAR </w:t>
      </w:r>
      <w:r w:rsidR="009B3E61" w:rsidRPr="009B3E61">
        <w:rPr>
          <w:rFonts w:ascii="Arial" w:hAnsi="Arial" w:cs="Arial"/>
          <w:bCs/>
          <w:iCs/>
          <w:szCs w:val="24"/>
        </w:rPr>
        <w:t>en esta instancia</w:t>
      </w:r>
      <w:r w:rsidR="009B3E61">
        <w:rPr>
          <w:rFonts w:ascii="Arial" w:hAnsi="Arial" w:cs="Arial"/>
          <w:b/>
          <w:bCs/>
          <w:iCs/>
          <w:szCs w:val="24"/>
        </w:rPr>
        <w:t xml:space="preserve"> </w:t>
      </w:r>
      <w:r w:rsidR="00BE66DE">
        <w:rPr>
          <w:rFonts w:ascii="Arial" w:hAnsi="Arial" w:cs="Arial"/>
          <w:bCs/>
          <w:iCs/>
          <w:szCs w:val="24"/>
        </w:rPr>
        <w:t>en c</w:t>
      </w:r>
      <w:r w:rsidR="00D471CA" w:rsidRPr="00D578CB">
        <w:rPr>
          <w:rFonts w:ascii="Arial" w:hAnsi="Arial" w:cs="Arial"/>
          <w:szCs w:val="24"/>
        </w:rPr>
        <w:t xml:space="preserve">ostas </w:t>
      </w:r>
      <w:r w:rsidR="008922A1">
        <w:rPr>
          <w:rFonts w:ascii="Arial" w:hAnsi="Arial" w:cs="Arial"/>
          <w:szCs w:val="24"/>
        </w:rPr>
        <w:t xml:space="preserve">a </w:t>
      </w:r>
      <w:r w:rsidR="00E930C1">
        <w:rPr>
          <w:rFonts w:ascii="Arial" w:hAnsi="Arial" w:cs="Arial"/>
          <w:szCs w:val="24"/>
        </w:rPr>
        <w:t xml:space="preserve">la parte demandante </w:t>
      </w:r>
      <w:r w:rsidR="00355E99">
        <w:rPr>
          <w:rFonts w:ascii="Arial" w:hAnsi="Arial" w:cs="Arial"/>
          <w:szCs w:val="24"/>
        </w:rPr>
        <w:t xml:space="preserve">y </w:t>
      </w:r>
      <w:r w:rsidR="003230A5">
        <w:rPr>
          <w:rFonts w:ascii="Arial" w:hAnsi="Arial" w:cs="Arial"/>
          <w:szCs w:val="24"/>
        </w:rPr>
        <w:t>a favor de Colpensiones</w:t>
      </w:r>
      <w:r w:rsidR="003230A5">
        <w:rPr>
          <w:rFonts w:ascii="Arial" w:hAnsi="Arial" w:cs="Arial"/>
          <w:szCs w:val="24"/>
          <w:lang w:val="es-CO"/>
        </w:rPr>
        <w:t xml:space="preserve"> </w:t>
      </w:r>
      <w:r w:rsidR="007B28AD">
        <w:rPr>
          <w:rFonts w:ascii="Arial" w:hAnsi="Arial" w:cs="Arial"/>
          <w:szCs w:val="24"/>
        </w:rPr>
        <w:t xml:space="preserve">por lo </w:t>
      </w:r>
      <w:r w:rsidR="003230A5">
        <w:rPr>
          <w:rFonts w:ascii="Arial" w:hAnsi="Arial" w:cs="Arial"/>
          <w:szCs w:val="24"/>
        </w:rPr>
        <w:t>mencionado</w:t>
      </w:r>
      <w:r w:rsidR="00E930C1">
        <w:rPr>
          <w:rFonts w:ascii="Arial" w:hAnsi="Arial" w:cs="Arial"/>
          <w:szCs w:val="24"/>
        </w:rPr>
        <w:t>.</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3230A5" w:rsidRDefault="003230A5" w:rsidP="00D471CA">
      <w:pPr>
        <w:pStyle w:val="Sinespaciado"/>
        <w:spacing w:line="276" w:lineRule="auto"/>
        <w:contextualSpacing/>
        <w:rPr>
          <w:rFonts w:ascii="Arial" w:hAnsi="Arial" w:cs="Arial"/>
          <w:sz w:val="24"/>
          <w:szCs w:val="24"/>
          <w:lang w:val="es-ES"/>
        </w:rPr>
      </w:pPr>
    </w:p>
    <w:p w:rsidR="00D471CA" w:rsidRDefault="00D471CA" w:rsidP="00B20CF2">
      <w:pPr>
        <w:pStyle w:val="Sinespaciado"/>
        <w:spacing w:line="276" w:lineRule="auto"/>
        <w:contextualSpacing/>
        <w:rPr>
          <w:rFonts w:ascii="Arial" w:hAnsi="Arial" w:cs="Arial"/>
          <w:sz w:val="24"/>
          <w:szCs w:val="24"/>
          <w:lang w:val="es-ES"/>
        </w:rPr>
      </w:pPr>
    </w:p>
    <w:p w:rsidR="003C1581" w:rsidRDefault="003C1581" w:rsidP="00B20CF2">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Default="00D471CA" w:rsidP="00B20CF2">
      <w:pPr>
        <w:spacing w:line="276" w:lineRule="auto"/>
        <w:contextualSpacing/>
        <w:rPr>
          <w:rFonts w:ascii="Arial" w:hAnsi="Arial" w:cs="Arial"/>
          <w:b/>
          <w:szCs w:val="24"/>
          <w:lang w:val="es-ES"/>
        </w:rPr>
      </w:pPr>
    </w:p>
    <w:p w:rsidR="003C1581" w:rsidRPr="00D578CB" w:rsidRDefault="003C1581" w:rsidP="00B20CF2">
      <w:pPr>
        <w:spacing w:line="276" w:lineRule="auto"/>
        <w:contextualSpacing/>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B20CF2" w:rsidRDefault="00B20CF2"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008F3055">
        <w:rPr>
          <w:rFonts w:ascii="Arial" w:hAnsi="Arial" w:cs="Arial"/>
          <w:b/>
          <w:bCs/>
          <w:iCs/>
          <w:sz w:val="23"/>
          <w:szCs w:val="23"/>
          <w:lang w:val="es-ES"/>
        </w:rPr>
        <w:tab/>
        <w:t xml:space="preserve">FRANCISCO JAVIER TAMAYO TABARES </w:t>
      </w:r>
      <w:r w:rsidR="00D471CA" w:rsidRPr="0045273B">
        <w:rPr>
          <w:rFonts w:ascii="Arial" w:hAnsi="Arial" w:cs="Arial"/>
          <w:b/>
          <w:bCs/>
          <w:iCs/>
          <w:sz w:val="23"/>
          <w:szCs w:val="23"/>
          <w:lang w:val="es-ES"/>
        </w:rPr>
        <w:t xml:space="preserve">                         </w:t>
      </w:r>
    </w:p>
    <w:p w:rsidR="00D471CA"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proofErr w:type="spellStart"/>
      <w:r w:rsidR="008F3055">
        <w:rPr>
          <w:rFonts w:ascii="Arial" w:hAnsi="Arial" w:cs="Arial"/>
          <w:sz w:val="23"/>
          <w:szCs w:val="23"/>
          <w:lang w:val="es-ES"/>
        </w:rPr>
        <w:t>Magistrado</w:t>
      </w:r>
      <w:proofErr w:type="spellEnd"/>
      <w:r w:rsidRPr="0045273B">
        <w:rPr>
          <w:rFonts w:ascii="Arial" w:hAnsi="Arial" w:cs="Arial"/>
          <w:sz w:val="23"/>
          <w:szCs w:val="23"/>
          <w:lang w:val="es-ES"/>
        </w:rPr>
        <w:t xml:space="preserve"> </w:t>
      </w:r>
    </w:p>
    <w:p w:rsidR="00C60CA2" w:rsidRDefault="00E84118" w:rsidP="003C1F8A">
      <w:pPr>
        <w:spacing w:line="276" w:lineRule="auto"/>
        <w:contextualSpacing/>
        <w:jc w:val="both"/>
        <w:rPr>
          <w:rFonts w:ascii="Arial" w:hAnsi="Arial" w:cs="Arial"/>
          <w:sz w:val="23"/>
          <w:szCs w:val="23"/>
          <w:lang w:val="es-ES"/>
        </w:rPr>
      </w:pPr>
      <w:r>
        <w:rPr>
          <w:rFonts w:ascii="Arial" w:hAnsi="Arial" w:cs="Arial"/>
          <w:sz w:val="23"/>
          <w:szCs w:val="23"/>
          <w:lang w:val="es-ES"/>
        </w:rPr>
        <w:tab/>
      </w:r>
      <w:r w:rsidR="009B3E61">
        <w:rPr>
          <w:rFonts w:ascii="Arial" w:hAnsi="Arial" w:cs="Arial"/>
          <w:sz w:val="23"/>
          <w:szCs w:val="23"/>
          <w:lang w:val="es-ES"/>
        </w:rPr>
        <w:t xml:space="preserve">   </w:t>
      </w:r>
      <w:r w:rsidR="008C53F0">
        <w:rPr>
          <w:rFonts w:ascii="Arial" w:hAnsi="Arial" w:cs="Arial"/>
          <w:sz w:val="23"/>
          <w:szCs w:val="23"/>
          <w:lang w:val="es-ES"/>
        </w:rPr>
        <w:t xml:space="preserve"> </w:t>
      </w:r>
      <w:r w:rsidR="009B3E61">
        <w:rPr>
          <w:rFonts w:ascii="Arial" w:hAnsi="Arial" w:cs="Arial"/>
          <w:sz w:val="23"/>
          <w:szCs w:val="23"/>
          <w:lang w:val="es-ES"/>
        </w:rPr>
        <w:t xml:space="preserve">   </w:t>
      </w:r>
      <w:r>
        <w:rPr>
          <w:rFonts w:ascii="Arial" w:hAnsi="Arial" w:cs="Arial"/>
          <w:sz w:val="23"/>
          <w:szCs w:val="23"/>
          <w:lang w:val="es-ES"/>
        </w:rPr>
        <w:t>(Aclara voto)</w:t>
      </w:r>
      <w:r w:rsidR="009B3E61">
        <w:rPr>
          <w:rFonts w:ascii="Arial" w:hAnsi="Arial" w:cs="Arial"/>
          <w:sz w:val="23"/>
          <w:szCs w:val="23"/>
          <w:lang w:val="es-ES"/>
        </w:rPr>
        <w:tab/>
      </w:r>
      <w:r w:rsidR="009B3E61">
        <w:rPr>
          <w:rFonts w:ascii="Arial" w:hAnsi="Arial" w:cs="Arial"/>
          <w:sz w:val="23"/>
          <w:szCs w:val="23"/>
          <w:lang w:val="es-ES"/>
        </w:rPr>
        <w:tab/>
      </w:r>
      <w:r w:rsidR="009B3E61">
        <w:rPr>
          <w:rFonts w:ascii="Arial" w:hAnsi="Arial" w:cs="Arial"/>
          <w:sz w:val="23"/>
          <w:szCs w:val="23"/>
          <w:lang w:val="es-ES"/>
        </w:rPr>
        <w:tab/>
      </w:r>
      <w:r w:rsidR="009B3E61">
        <w:rPr>
          <w:rFonts w:ascii="Arial" w:hAnsi="Arial" w:cs="Arial"/>
          <w:sz w:val="23"/>
          <w:szCs w:val="23"/>
          <w:lang w:val="es-ES"/>
        </w:rPr>
        <w:tab/>
        <w:t xml:space="preserve">     </w:t>
      </w:r>
      <w:r w:rsidR="006F1E60">
        <w:rPr>
          <w:rFonts w:ascii="Arial" w:hAnsi="Arial" w:cs="Arial"/>
          <w:sz w:val="23"/>
          <w:szCs w:val="23"/>
          <w:lang w:val="es-ES"/>
        </w:rPr>
        <w:t>(Ausencia justificada)</w:t>
      </w:r>
    </w:p>
    <w:p w:rsidR="003C1581" w:rsidRDefault="003C1581">
      <w:pPr>
        <w:spacing w:after="160" w:line="259" w:lineRule="auto"/>
        <w:rPr>
          <w:rFonts w:ascii="Arial" w:hAnsi="Arial" w:cs="Arial"/>
          <w:sz w:val="23"/>
          <w:szCs w:val="23"/>
          <w:lang w:val="es-ES"/>
        </w:rPr>
      </w:pPr>
    </w:p>
    <w:p w:rsidR="00825B7B" w:rsidRDefault="00825B7B">
      <w:pPr>
        <w:spacing w:after="160" w:line="259" w:lineRule="auto"/>
        <w:rPr>
          <w:rFonts w:ascii="Arial" w:hAnsi="Arial" w:cs="Arial"/>
          <w:sz w:val="23"/>
          <w:szCs w:val="23"/>
          <w:lang w:val="es-ES"/>
        </w:rPr>
      </w:pPr>
      <w:r>
        <w:rPr>
          <w:rFonts w:ascii="Arial" w:hAnsi="Arial" w:cs="Arial"/>
          <w:sz w:val="23"/>
          <w:szCs w:val="23"/>
          <w:lang w:val="es-ES"/>
        </w:rPr>
        <w:br w:type="page"/>
      </w:r>
    </w:p>
    <w:p w:rsidR="00825B7B" w:rsidRPr="00825B7B" w:rsidRDefault="00825B7B" w:rsidP="00825B7B">
      <w:pPr>
        <w:spacing w:line="288" w:lineRule="auto"/>
        <w:jc w:val="center"/>
        <w:rPr>
          <w:rFonts w:ascii="Arial" w:hAnsi="Arial" w:cs="Arial"/>
          <w:b/>
          <w:szCs w:val="24"/>
          <w:lang w:val="es-ES"/>
        </w:rPr>
      </w:pPr>
      <w:r w:rsidRPr="00825B7B">
        <w:rPr>
          <w:rFonts w:ascii="Arial" w:hAnsi="Arial" w:cs="Arial"/>
          <w:szCs w:val="24"/>
          <w:lang w:val="es-ES"/>
        </w:rPr>
        <w:lastRenderedPageBreak/>
        <w:t xml:space="preserve">MAGISTRADO: </w:t>
      </w:r>
      <w:r w:rsidRPr="00825B7B">
        <w:rPr>
          <w:rFonts w:ascii="Arial" w:hAnsi="Arial" w:cs="Arial"/>
          <w:b/>
          <w:szCs w:val="24"/>
          <w:lang w:val="es-ES"/>
        </w:rPr>
        <w:t>JULIO CÉSAR SALAZAR MUÑOZ</w:t>
      </w:r>
    </w:p>
    <w:p w:rsidR="00825B7B" w:rsidRPr="00825B7B" w:rsidRDefault="00825B7B" w:rsidP="00825B7B">
      <w:pPr>
        <w:spacing w:line="288" w:lineRule="auto"/>
        <w:jc w:val="center"/>
        <w:rPr>
          <w:rFonts w:ascii="Arial" w:hAnsi="Arial" w:cs="Arial"/>
          <w:b/>
          <w:szCs w:val="24"/>
          <w:lang w:val="es-ES"/>
        </w:rPr>
      </w:pPr>
    </w:p>
    <w:p w:rsidR="00825B7B" w:rsidRPr="00825B7B" w:rsidRDefault="00825B7B" w:rsidP="00825B7B">
      <w:pPr>
        <w:spacing w:line="288" w:lineRule="auto"/>
        <w:jc w:val="center"/>
        <w:rPr>
          <w:rFonts w:ascii="Arial" w:hAnsi="Arial" w:cs="Arial"/>
          <w:b/>
          <w:szCs w:val="24"/>
          <w:lang w:val="es-ES"/>
        </w:rPr>
      </w:pPr>
    </w:p>
    <w:p w:rsidR="00825B7B" w:rsidRPr="00825B7B" w:rsidRDefault="00825B7B" w:rsidP="00825B7B">
      <w:pPr>
        <w:spacing w:line="288" w:lineRule="auto"/>
        <w:jc w:val="center"/>
        <w:rPr>
          <w:rFonts w:ascii="Arial" w:hAnsi="Arial" w:cs="Arial"/>
          <w:szCs w:val="24"/>
          <w:lang w:val="es-ES"/>
        </w:rPr>
      </w:pPr>
      <w:r w:rsidRPr="00825B7B">
        <w:rPr>
          <w:rFonts w:ascii="Arial" w:hAnsi="Arial" w:cs="Arial"/>
          <w:szCs w:val="24"/>
          <w:lang w:val="es-ES"/>
        </w:rPr>
        <w:t>Pereira, nueve [9] de abril de dos mil diecinueve [2019].</w:t>
      </w:r>
    </w:p>
    <w:p w:rsidR="00825B7B" w:rsidRPr="00825B7B" w:rsidRDefault="00825B7B" w:rsidP="00825B7B">
      <w:pPr>
        <w:spacing w:line="288" w:lineRule="auto"/>
        <w:jc w:val="center"/>
        <w:rPr>
          <w:rFonts w:ascii="Arial" w:hAnsi="Arial" w:cs="Arial"/>
          <w:szCs w:val="24"/>
          <w:lang w:val="es-ES"/>
        </w:rPr>
      </w:pPr>
    </w:p>
    <w:p w:rsidR="00825B7B" w:rsidRPr="00825B7B" w:rsidRDefault="00825B7B" w:rsidP="00825B7B">
      <w:pPr>
        <w:spacing w:line="288" w:lineRule="auto"/>
        <w:jc w:val="center"/>
        <w:rPr>
          <w:rFonts w:ascii="Arial" w:hAnsi="Arial" w:cs="Arial"/>
          <w:szCs w:val="24"/>
          <w:lang w:val="es-ES"/>
        </w:rPr>
      </w:pPr>
    </w:p>
    <w:p w:rsidR="00825B7B" w:rsidRPr="00825B7B" w:rsidRDefault="00825B7B" w:rsidP="00825B7B">
      <w:pPr>
        <w:spacing w:line="288" w:lineRule="auto"/>
        <w:jc w:val="center"/>
        <w:rPr>
          <w:rFonts w:ascii="Arial" w:hAnsi="Arial" w:cs="Arial"/>
          <w:b/>
          <w:szCs w:val="24"/>
          <w:u w:val="single"/>
          <w:lang w:val="es-ES"/>
        </w:rPr>
      </w:pPr>
      <w:r w:rsidRPr="00825B7B">
        <w:rPr>
          <w:rFonts w:ascii="Arial" w:hAnsi="Arial" w:cs="Arial"/>
          <w:b/>
          <w:szCs w:val="24"/>
          <w:u w:val="single"/>
          <w:lang w:val="es-ES"/>
        </w:rPr>
        <w:t>ACLARACIÓN</w:t>
      </w:r>
      <w:r w:rsidRPr="00825B7B">
        <w:rPr>
          <w:rFonts w:ascii="Arial" w:hAnsi="Arial" w:cs="Arial"/>
          <w:b/>
          <w:szCs w:val="24"/>
          <w:u w:val="single"/>
          <w:lang w:val="es-ES"/>
        </w:rPr>
        <w:t xml:space="preserve"> DE VOTO</w:t>
      </w:r>
    </w:p>
    <w:p w:rsidR="00825B7B" w:rsidRPr="00825B7B" w:rsidRDefault="00825B7B" w:rsidP="00825B7B">
      <w:pPr>
        <w:spacing w:line="288" w:lineRule="auto"/>
        <w:jc w:val="center"/>
        <w:rPr>
          <w:rFonts w:ascii="Arial" w:hAnsi="Arial" w:cs="Arial"/>
          <w:b/>
          <w:szCs w:val="24"/>
          <w:lang w:val="es-ES"/>
        </w:rPr>
      </w:pPr>
    </w:p>
    <w:p w:rsidR="00825B7B" w:rsidRPr="00825B7B" w:rsidRDefault="00825B7B" w:rsidP="00825B7B">
      <w:pPr>
        <w:spacing w:line="288" w:lineRule="auto"/>
        <w:jc w:val="center"/>
        <w:rPr>
          <w:rFonts w:ascii="Arial" w:hAnsi="Arial" w:cs="Arial"/>
          <w:b/>
          <w:szCs w:val="24"/>
          <w:lang w:val="es-ES"/>
        </w:rPr>
      </w:pPr>
    </w:p>
    <w:p w:rsidR="00825B7B" w:rsidRPr="00825B7B" w:rsidRDefault="00825B7B" w:rsidP="00825B7B">
      <w:pPr>
        <w:spacing w:line="288" w:lineRule="auto"/>
        <w:jc w:val="both"/>
        <w:rPr>
          <w:rFonts w:ascii="Arial" w:hAnsi="Arial" w:cs="Arial"/>
          <w:iCs/>
          <w:szCs w:val="24"/>
          <w:lang w:val="es-ES"/>
        </w:rPr>
      </w:pPr>
      <w:r w:rsidRPr="00825B7B">
        <w:rPr>
          <w:rFonts w:ascii="Arial" w:hAnsi="Arial" w:cs="Arial"/>
          <w:iCs/>
          <w:szCs w:val="24"/>
          <w:lang w:val="es-ES"/>
        </w:rPr>
        <w:t>Si bien estoy de acuerdo con la decisión asumida, debo aclarar mi voto por cuanto, como lo he venido sosteniendo considero que la aplicación de la condición más beneficiosa entre la ley 100 de 1993  en su versión original y el acuerdo 049 de 1990, hoy por hoy, no se debe guiar bajo los análisis que anteriormente hacía la Sala de Casación Laboral de la Corte Suprema de Justicia, que es lo que se determinó en esta providencia, para decir que, gracias a esa figura si aparece causada la pensión de sobrevivientes al existir el número de semanas de cotización necesarias para el efecto.</w:t>
      </w:r>
    </w:p>
    <w:p w:rsidR="00825B7B" w:rsidRPr="00825B7B" w:rsidRDefault="00825B7B" w:rsidP="00825B7B">
      <w:pPr>
        <w:spacing w:line="288" w:lineRule="auto"/>
        <w:jc w:val="both"/>
        <w:rPr>
          <w:rFonts w:ascii="Arial" w:hAnsi="Arial" w:cs="Arial"/>
          <w:iCs/>
          <w:szCs w:val="24"/>
          <w:lang w:val="es-ES"/>
        </w:rPr>
      </w:pPr>
    </w:p>
    <w:p w:rsidR="00825B7B" w:rsidRPr="00825B7B" w:rsidRDefault="00825B7B" w:rsidP="00825B7B">
      <w:pPr>
        <w:spacing w:line="288" w:lineRule="auto"/>
        <w:jc w:val="both"/>
        <w:rPr>
          <w:rFonts w:ascii="Arial" w:hAnsi="Arial" w:cs="Arial"/>
          <w:iCs/>
          <w:szCs w:val="24"/>
          <w:lang w:val="es-ES"/>
        </w:rPr>
      </w:pPr>
      <w:r w:rsidRPr="00825B7B">
        <w:rPr>
          <w:rFonts w:ascii="Arial" w:hAnsi="Arial" w:cs="Arial"/>
          <w:iCs/>
          <w:szCs w:val="24"/>
          <w:lang w:val="es-ES"/>
        </w:rPr>
        <w:t xml:space="preserve">Mi apartamiento de tal tesis radica en que a pesar de que el causante falleció el 04 de noviembre de 2000, esto es, más de un año después de haber entrado en vigencia el sistema general de pensiones previsto en la ley 100 de 1993, se opta por darle aplicación al acuerdo 049 de 1990 en desarrollo de la figura de la condición más beneficiosa, cuando de acuerdo a los últimos desarrollos jurisprudenciales ello ya no era posible, pues se había superado el año necesario para que se pudieran dejar cotizadas las 26 semanas que el nuevo sistema exige para el otorgamiento de la prestación reclamada. </w:t>
      </w:r>
    </w:p>
    <w:p w:rsidR="00825B7B" w:rsidRPr="00825B7B" w:rsidRDefault="00825B7B" w:rsidP="00825B7B">
      <w:pPr>
        <w:spacing w:line="288" w:lineRule="auto"/>
        <w:jc w:val="both"/>
        <w:rPr>
          <w:rFonts w:ascii="Arial" w:hAnsi="Arial" w:cs="Arial"/>
          <w:iCs/>
          <w:szCs w:val="24"/>
          <w:lang w:val="es-ES"/>
        </w:rPr>
      </w:pPr>
    </w:p>
    <w:p w:rsidR="00825B7B" w:rsidRPr="00825B7B" w:rsidRDefault="00825B7B" w:rsidP="00825B7B">
      <w:pPr>
        <w:spacing w:line="288" w:lineRule="auto"/>
        <w:jc w:val="both"/>
        <w:rPr>
          <w:rFonts w:ascii="Arial" w:hAnsi="Arial" w:cs="Arial"/>
          <w:iCs/>
          <w:szCs w:val="24"/>
          <w:lang w:val="es-ES"/>
        </w:rPr>
      </w:pPr>
      <w:r w:rsidRPr="00825B7B">
        <w:rPr>
          <w:rFonts w:ascii="Arial" w:hAnsi="Arial" w:cs="Arial"/>
          <w:iCs/>
          <w:szCs w:val="24"/>
          <w:lang w:val="es-ES"/>
        </w:rPr>
        <w:t>Al respecto he venido sosteniendo lo siguiente:</w:t>
      </w:r>
    </w:p>
    <w:p w:rsidR="00825B7B" w:rsidRPr="00825B7B" w:rsidRDefault="00825B7B" w:rsidP="00825B7B">
      <w:pPr>
        <w:spacing w:line="288" w:lineRule="auto"/>
        <w:jc w:val="both"/>
        <w:rPr>
          <w:rFonts w:ascii="Arial" w:hAnsi="Arial" w:cs="Arial"/>
          <w:iCs/>
          <w:szCs w:val="24"/>
          <w:lang w:val="es-ES"/>
        </w:rPr>
      </w:pPr>
    </w:p>
    <w:p w:rsidR="00825B7B" w:rsidRPr="00825B7B" w:rsidRDefault="00825B7B" w:rsidP="00825B7B">
      <w:pPr>
        <w:spacing w:line="288" w:lineRule="auto"/>
        <w:jc w:val="both"/>
        <w:rPr>
          <w:rFonts w:ascii="Arial" w:hAnsi="Arial" w:cs="Arial"/>
          <w:b/>
          <w:iCs/>
          <w:szCs w:val="24"/>
          <w:lang w:val="es-ES"/>
        </w:rPr>
      </w:pPr>
      <w:r w:rsidRPr="00825B7B">
        <w:rPr>
          <w:rFonts w:ascii="Arial" w:hAnsi="Arial" w:cs="Arial"/>
          <w:b/>
          <w:iCs/>
          <w:szCs w:val="24"/>
          <w:lang w:val="es-ES"/>
        </w:rPr>
        <w:t xml:space="preserve">NORMATIVIDAD APLICABLE PARA LA </w:t>
      </w:r>
      <w:proofErr w:type="spellStart"/>
      <w:r w:rsidRPr="00825B7B">
        <w:rPr>
          <w:rFonts w:ascii="Arial" w:hAnsi="Arial" w:cs="Arial"/>
          <w:b/>
          <w:iCs/>
          <w:szCs w:val="24"/>
          <w:lang w:val="es-ES"/>
        </w:rPr>
        <w:t>PENSION</w:t>
      </w:r>
      <w:proofErr w:type="spellEnd"/>
      <w:r w:rsidRPr="00825B7B">
        <w:rPr>
          <w:rFonts w:ascii="Arial" w:hAnsi="Arial" w:cs="Arial"/>
          <w:b/>
          <w:iCs/>
          <w:szCs w:val="24"/>
          <w:lang w:val="es-ES"/>
        </w:rPr>
        <w:t xml:space="preserve"> DE SOBREVIVIENTES.</w:t>
      </w:r>
    </w:p>
    <w:p w:rsidR="00825B7B" w:rsidRPr="00825B7B" w:rsidRDefault="00825B7B" w:rsidP="00825B7B">
      <w:pPr>
        <w:spacing w:line="288" w:lineRule="auto"/>
        <w:jc w:val="both"/>
        <w:rPr>
          <w:rFonts w:ascii="Arial" w:hAnsi="Arial" w:cs="Arial"/>
          <w:b/>
          <w:iCs/>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cs="Arial"/>
          <w:iCs/>
          <w:szCs w:val="24"/>
          <w:lang w:val="es-ES"/>
        </w:rPr>
        <w:t xml:space="preserve">Es posición pacifica </w:t>
      </w:r>
      <w:r w:rsidRPr="00825B7B">
        <w:rPr>
          <w:rFonts w:ascii="Arial" w:hAnsi="Arial" w:cs="Arial"/>
          <w:szCs w:val="24"/>
          <w:lang w:val="es-ES"/>
        </w:rPr>
        <w:t>de la jurisprudencia considerar que la norma que rige las pensiones de invalidez y sobrevivientes es la vigente al momento en el que se produce el deceso del afiliado.</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cs="Arial"/>
          <w:szCs w:val="24"/>
          <w:lang w:val="es-ES"/>
        </w:rPr>
        <w:t>Excepcionalmente se ha permitido la aplicación de la legislación anterior en desarrollo de la denominada “condición más beneficiosa, respecto a la cual, para su aplicación, caben las siguientes precisiones.</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numPr>
          <w:ilvl w:val="0"/>
          <w:numId w:val="14"/>
        </w:numPr>
        <w:spacing w:line="288" w:lineRule="auto"/>
        <w:jc w:val="both"/>
        <w:rPr>
          <w:rFonts w:ascii="Arial" w:hAnsi="Arial"/>
          <w:b/>
          <w:iCs/>
          <w:szCs w:val="24"/>
          <w:lang w:val="es-ES"/>
        </w:rPr>
      </w:pPr>
      <w:r w:rsidRPr="00825B7B">
        <w:rPr>
          <w:rFonts w:ascii="Arial" w:hAnsi="Arial"/>
          <w:b/>
          <w:iCs/>
          <w:szCs w:val="24"/>
          <w:lang w:val="es-ES"/>
        </w:rPr>
        <w:t>VIGENCIA DE LA CONDICIÓN MÁS BENEFICIOSA</w:t>
      </w:r>
    </w:p>
    <w:p w:rsidR="00825B7B" w:rsidRPr="00825B7B" w:rsidRDefault="00825B7B" w:rsidP="00825B7B">
      <w:pPr>
        <w:spacing w:line="288" w:lineRule="auto"/>
        <w:ind w:left="360"/>
        <w:jc w:val="both"/>
        <w:rPr>
          <w:rFonts w:ascii="Arial" w:hAnsi="Arial"/>
          <w:b/>
          <w:iCs/>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iCs/>
          <w:szCs w:val="24"/>
          <w:lang w:val="es-ES"/>
        </w:rPr>
        <w:t xml:space="preserve">Como quiera que el punto de partida para aceptar, en los asuntos de invalidez y sobrevivencia, la aplicación de la mal llamada “condición más beneficiosa”, es la falta de consagración de un régimen de transición –figura que por definición siempre tiene un límite temporal-, claro resulta que dicho beneficio no puede tener una vigencia ilimitada, conclusión a la que recientemente llegó la Sala de Casación Laboral de la Corte Suprema de Justicia en </w:t>
      </w:r>
      <w:r w:rsidRPr="00825B7B">
        <w:rPr>
          <w:rFonts w:ascii="Arial" w:hAnsi="Arial" w:cs="Arial"/>
          <w:szCs w:val="24"/>
          <w:lang w:val="es-ES"/>
        </w:rPr>
        <w:t xml:space="preserve">la sentencia SL4650 de 25 de enero de 2017 radicación </w:t>
      </w:r>
      <w:r w:rsidRPr="00825B7B">
        <w:rPr>
          <w:rFonts w:ascii="Arial" w:hAnsi="Arial" w:cs="Arial"/>
          <w:szCs w:val="24"/>
          <w:lang w:val="es-ES"/>
        </w:rPr>
        <w:lastRenderedPageBreak/>
        <w:t xml:space="preserve">Nº 45262 con ponencia de los Magistrados Fernando Castillo Cadena y Gerardo Botero Zuluaga. </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cs="Arial"/>
          <w:szCs w:val="24"/>
          <w:lang w:val="es-ES"/>
        </w:rPr>
        <w:t>En esa providencia, la Alta Magistratura, luego de señalar que la condición más beneficiosa es: a) Una excepción al principio de la retrospectividad, b) Que opera en la sucesión o tránsito legislativo, c) Procede cuando se predica la aplicación de la normatividad inmediatamente anterior a la vigente al momento del siniestro, d) Entra en vigor a falta de un régimen de transición, e) Es aplicable a aquellos afiliados que tienen una expectativa legítima, al cumplir en su integridad la densidad de semanas exigidas en la Ley derogada, y f) Respeta la confianza legítima de los destinatarios de la norma;  determinó que para dejar causada la pensión de sobrevivientes en desarrollo del mencionado principio de la condición más beneficiosa en tránsito legislativo entre la Ley 100 de 1993 y la Ley 797 de 2003, se debe acreditar como requisito sine qua non que el deceso se produzca entre el 29 de enero de 2003 y el 29 de enero de 2006, y a partir de ese evento, en cada caso concreto se debe estudiar si el causante se encontraba en alguna de las cuatro circunstancias allí descritas para dejar causado el derecho.</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jc w:val="both"/>
        <w:rPr>
          <w:rFonts w:ascii="Arial" w:hAnsi="Arial" w:cs="Arial"/>
          <w:b/>
          <w:szCs w:val="24"/>
          <w:lang w:val="es-ES"/>
        </w:rPr>
      </w:pPr>
      <w:r w:rsidRPr="00825B7B">
        <w:rPr>
          <w:rFonts w:ascii="Arial" w:hAnsi="Arial" w:cs="Arial"/>
          <w:b/>
          <w:szCs w:val="24"/>
          <w:lang w:val="es-ES"/>
        </w:rPr>
        <w:t>2. TEMPORALIDAD PARA LA APLICACIÓN DE LA CONDICIÓN MÁS BENEFICIOSA.</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cs="Arial"/>
          <w:szCs w:val="24"/>
          <w:lang w:val="es-ES"/>
        </w:rPr>
        <w:t>Así pues, la finalidad pronunciamiento jurisprudencial, a que se hizo alusión con anterioridad, es limitar la aplicación del principio de la condición más beneficiosa, de manera tal que se permita el uso de la antigua legislación mientras corre el periodo prevista en la nueva ley para poder cumplir con el requisito que esta señala. Esto es, en el tránsito de ley 100 de 1993 a ley 797 de 2003, tres (3) años y en el tránsito de acuerdo 049 de 1990 a ley 100 de 1993 un (1) año. La razón es simple: mientras esos periodos están corriendo, si ocurre la contingencia, no es posible decir que se tuvo oportunidad de cumplir la exigencia de la nueva ley y por ello debe permitirse acudir a la anterior, pero corridos los mismo no existe justificación para no tener cumplido a cabalidad el número de semanas que la nueva legislación exige.</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cs="Arial"/>
          <w:szCs w:val="24"/>
          <w:lang w:val="es-ES"/>
        </w:rPr>
        <w:t>En otras palabras, a título de ejemplo en el paso de ley 100 de 1993 a ley 797 de 2003, se pone este límite (3 años), por la potísima razón de que es ese precisamente el lapso previsto en la nueva ley para poder acreditar el requisito de las 50 semanas, entendiéndose entonces que transcurridos esos tres años, no existe razón para que no se hayan realizado los aportes exigidos en la nueva normatividad y por ende, si el interesado no los efectuó, no hay lugar a mantener la vigencia de la ley anterior.</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cs="Arial"/>
          <w:szCs w:val="24"/>
          <w:lang w:val="es-ES"/>
        </w:rPr>
        <w:t>Ahora, si bien hasta el momento no existe interpretación que en similar sentido cobije el cambio normativo que se presentó entre el Acuerdo 049/90 y la Ley 100/93, considero que en ese evento, al tratarse de normas más antiguas, resulta igualmente procedente establecer la misma restricción y con los mismos parámetros señalados en la sentencia de la Corte Suprema de Justicia, antes referida.</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jc w:val="both"/>
        <w:rPr>
          <w:rFonts w:ascii="Arial" w:hAnsi="Arial" w:cs="Arial"/>
          <w:szCs w:val="24"/>
          <w:lang w:val="es-ES"/>
        </w:rPr>
      </w:pPr>
      <w:r w:rsidRPr="00825B7B">
        <w:rPr>
          <w:rFonts w:ascii="Arial" w:hAnsi="Arial" w:cs="Arial"/>
          <w:szCs w:val="24"/>
          <w:lang w:val="es-ES"/>
        </w:rPr>
        <w:t xml:space="preserve">De tal manera que, siguiendo la misma lógica, al subsumir la anterior intelección, para aplicar el principio de la condición más beneficiosa, cuando se pretenda acudir al </w:t>
      </w:r>
      <w:r w:rsidRPr="00825B7B">
        <w:rPr>
          <w:rFonts w:ascii="Arial" w:hAnsi="Arial" w:cs="Arial"/>
          <w:szCs w:val="24"/>
          <w:lang w:val="es-ES"/>
        </w:rPr>
        <w:lastRenderedPageBreak/>
        <w:t>Acuerdo 049/90 y el afiliado no se encontrare cotizando, su fallecimiento debe presentarse dentro del año siguiente al cambio normativo o entrada en vigencia de la Ley 100/93, que corresponde al periodo en que esta establece la posibilidad de cumplir la densidad de cotizaciones -26 semanas- para entender causado el derecho.</w:t>
      </w:r>
    </w:p>
    <w:p w:rsidR="00825B7B" w:rsidRPr="00825B7B" w:rsidRDefault="00825B7B" w:rsidP="00825B7B">
      <w:pPr>
        <w:spacing w:line="288" w:lineRule="auto"/>
        <w:jc w:val="both"/>
        <w:rPr>
          <w:rFonts w:ascii="Arial" w:hAnsi="Arial" w:cs="Arial"/>
          <w:szCs w:val="24"/>
          <w:lang w:val="es-ES"/>
        </w:rPr>
      </w:pPr>
    </w:p>
    <w:p w:rsidR="00825B7B" w:rsidRPr="00825B7B" w:rsidRDefault="00825B7B" w:rsidP="00825B7B">
      <w:pPr>
        <w:spacing w:line="288" w:lineRule="auto"/>
        <w:ind w:right="51"/>
        <w:jc w:val="both"/>
        <w:rPr>
          <w:rFonts w:ascii="Arial" w:eastAsia="Calibri" w:hAnsi="Arial" w:cs="Arial"/>
          <w:szCs w:val="24"/>
          <w:lang w:val="es-CO" w:eastAsia="en-US"/>
        </w:rPr>
      </w:pPr>
      <w:r w:rsidRPr="00825B7B">
        <w:rPr>
          <w:rFonts w:ascii="Arial" w:hAnsi="Arial" w:cs="Arial"/>
          <w:szCs w:val="24"/>
          <w:lang w:val="es-ES"/>
        </w:rPr>
        <w:t xml:space="preserve">No obstante, la anterior intelección no se aplicó en este caso sino que se continuó aceptando el viejo criterio de </w:t>
      </w:r>
      <w:proofErr w:type="spellStart"/>
      <w:r w:rsidRPr="00825B7B">
        <w:rPr>
          <w:rFonts w:ascii="Arial" w:hAnsi="Arial" w:cs="Arial"/>
          <w:szCs w:val="24"/>
          <w:lang w:val="es-ES"/>
        </w:rPr>
        <w:t>ultractividad</w:t>
      </w:r>
      <w:proofErr w:type="spellEnd"/>
      <w:r w:rsidRPr="00825B7B">
        <w:rPr>
          <w:rFonts w:ascii="Arial" w:hAnsi="Arial" w:cs="Arial"/>
          <w:szCs w:val="24"/>
          <w:lang w:val="es-ES"/>
        </w:rPr>
        <w:t xml:space="preserve"> del acuerdo 049 de 1990 basado en el hecho de que el causante había cotizado más de 300 semanas con anterioridad a la entrada en vigencia de la ley 100 de 1993.</w:t>
      </w:r>
    </w:p>
    <w:p w:rsidR="00825B7B" w:rsidRPr="00825B7B" w:rsidRDefault="00825B7B" w:rsidP="00825B7B">
      <w:pPr>
        <w:spacing w:line="288" w:lineRule="auto"/>
        <w:ind w:right="51"/>
        <w:jc w:val="both"/>
        <w:rPr>
          <w:rFonts w:ascii="Arial" w:eastAsia="Calibri" w:hAnsi="Arial" w:cs="Arial"/>
          <w:szCs w:val="24"/>
          <w:lang w:val="es-CO" w:eastAsia="en-US"/>
        </w:rPr>
      </w:pPr>
    </w:p>
    <w:p w:rsidR="00825B7B" w:rsidRPr="00825B7B" w:rsidRDefault="00825B7B" w:rsidP="00825B7B">
      <w:pPr>
        <w:spacing w:line="288" w:lineRule="auto"/>
        <w:ind w:right="51"/>
        <w:jc w:val="both"/>
        <w:rPr>
          <w:rFonts w:ascii="Arial" w:eastAsia="Calibri" w:hAnsi="Arial" w:cs="Arial"/>
          <w:szCs w:val="24"/>
          <w:lang w:val="es-CO" w:eastAsia="en-US"/>
        </w:rPr>
      </w:pPr>
      <w:r w:rsidRPr="00825B7B">
        <w:rPr>
          <w:rFonts w:ascii="Arial" w:eastAsia="Calibri" w:hAnsi="Arial" w:cs="Arial"/>
          <w:szCs w:val="24"/>
          <w:lang w:val="es-CO" w:eastAsia="en-US"/>
        </w:rPr>
        <w:t>Así las cosas, a mi juicio, la pensión no se encontraba causada y por ello no podía ser reconocida, como en efecto no lo fue, aunque por otras razones, lo que precisamente me lleva a simplemente aclarar el voto, como aquí queda hecho.</w:t>
      </w:r>
    </w:p>
    <w:p w:rsidR="00825B7B" w:rsidRPr="00825B7B" w:rsidRDefault="00825B7B" w:rsidP="00825B7B">
      <w:pPr>
        <w:spacing w:line="288" w:lineRule="auto"/>
        <w:jc w:val="both"/>
        <w:rPr>
          <w:rFonts w:ascii="Arial" w:hAnsi="Arial" w:cs="Arial"/>
          <w:iCs/>
          <w:szCs w:val="24"/>
          <w:lang w:val="es-ES"/>
        </w:rPr>
      </w:pPr>
    </w:p>
    <w:p w:rsidR="00825B7B" w:rsidRPr="00825B7B" w:rsidRDefault="00825B7B" w:rsidP="00825B7B">
      <w:pPr>
        <w:spacing w:line="288" w:lineRule="auto"/>
        <w:rPr>
          <w:szCs w:val="24"/>
          <w:lang w:val="es-ES"/>
        </w:rPr>
      </w:pPr>
    </w:p>
    <w:p w:rsidR="00825B7B" w:rsidRPr="00825B7B" w:rsidRDefault="00825B7B" w:rsidP="00825B7B">
      <w:pPr>
        <w:keepNext/>
        <w:spacing w:line="288" w:lineRule="auto"/>
        <w:jc w:val="center"/>
        <w:outlineLvl w:val="3"/>
        <w:rPr>
          <w:rFonts w:ascii="Arial" w:hAnsi="Arial" w:cs="Arial"/>
          <w:b/>
          <w:i/>
          <w:szCs w:val="24"/>
          <w:lang w:val="es-ES"/>
        </w:rPr>
      </w:pPr>
    </w:p>
    <w:p w:rsidR="00825B7B" w:rsidRPr="00825B7B" w:rsidRDefault="00825B7B" w:rsidP="00825B7B">
      <w:pPr>
        <w:keepNext/>
        <w:spacing w:line="288" w:lineRule="auto"/>
        <w:jc w:val="center"/>
        <w:outlineLvl w:val="3"/>
        <w:rPr>
          <w:rFonts w:ascii="Arial" w:hAnsi="Arial" w:cs="Arial"/>
          <w:b/>
          <w:i/>
          <w:szCs w:val="24"/>
          <w:lang w:val="es-ES"/>
        </w:rPr>
      </w:pPr>
    </w:p>
    <w:p w:rsidR="00825B7B" w:rsidRPr="00825B7B" w:rsidRDefault="00825B7B" w:rsidP="00825B7B">
      <w:pPr>
        <w:keepNext/>
        <w:spacing w:line="288" w:lineRule="auto"/>
        <w:jc w:val="center"/>
        <w:outlineLvl w:val="3"/>
        <w:rPr>
          <w:rFonts w:ascii="Arial" w:hAnsi="Arial" w:cs="Arial"/>
          <w:b/>
          <w:i/>
          <w:szCs w:val="24"/>
          <w:lang w:val="es-ES"/>
        </w:rPr>
      </w:pPr>
    </w:p>
    <w:p w:rsidR="00825B7B" w:rsidRPr="00825B7B" w:rsidRDefault="00825B7B" w:rsidP="00825B7B">
      <w:pPr>
        <w:keepNext/>
        <w:spacing w:line="288" w:lineRule="auto"/>
        <w:jc w:val="center"/>
        <w:outlineLvl w:val="3"/>
        <w:rPr>
          <w:rFonts w:ascii="Arial" w:hAnsi="Arial" w:cs="Arial"/>
          <w:b/>
          <w:i/>
          <w:szCs w:val="24"/>
          <w:lang w:val="es-ES"/>
        </w:rPr>
      </w:pPr>
      <w:r w:rsidRPr="00825B7B">
        <w:rPr>
          <w:rFonts w:ascii="Arial" w:hAnsi="Arial" w:cs="Arial"/>
          <w:b/>
          <w:i/>
          <w:szCs w:val="24"/>
          <w:lang w:val="es-ES"/>
        </w:rPr>
        <w:t>JULIO CÉSAR SALAZAR MUÑOZ</w:t>
      </w:r>
    </w:p>
    <w:p w:rsidR="00825B7B" w:rsidRPr="00825B7B" w:rsidRDefault="00825B7B" w:rsidP="00825B7B">
      <w:pPr>
        <w:spacing w:line="288" w:lineRule="auto"/>
        <w:jc w:val="center"/>
        <w:rPr>
          <w:rFonts w:ascii="Arial" w:hAnsi="Arial" w:cs="Arial"/>
          <w:szCs w:val="24"/>
          <w:lang w:val="es-ES"/>
        </w:rPr>
      </w:pPr>
      <w:r w:rsidRPr="00825B7B">
        <w:rPr>
          <w:rFonts w:ascii="Arial" w:hAnsi="Arial" w:cs="Arial"/>
          <w:szCs w:val="24"/>
          <w:lang w:val="es-ES"/>
        </w:rPr>
        <w:t>Magistrado</w:t>
      </w:r>
    </w:p>
    <w:sectPr w:rsidR="00825B7B" w:rsidRPr="00825B7B" w:rsidSect="00A56502">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EA" w:rsidRDefault="005857EA" w:rsidP="00226D5F">
      <w:r>
        <w:separator/>
      </w:r>
    </w:p>
  </w:endnote>
  <w:endnote w:type="continuationSeparator" w:id="0">
    <w:p w:rsidR="005857EA" w:rsidRDefault="005857E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5857E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8C53F0" w:rsidRDefault="0083155E" w:rsidP="00A15930">
    <w:pPr>
      <w:pStyle w:val="Piedepgina"/>
      <w:framePr w:wrap="around" w:vAnchor="text" w:hAnchor="margin" w:xAlign="right" w:y="1"/>
      <w:rPr>
        <w:rStyle w:val="Nmerodepgina"/>
        <w:rFonts w:ascii="Arial" w:hAnsi="Arial" w:cs="Arial"/>
        <w:sz w:val="20"/>
      </w:rPr>
    </w:pPr>
    <w:r w:rsidRPr="008C53F0">
      <w:rPr>
        <w:rStyle w:val="Nmerodepgina"/>
        <w:rFonts w:ascii="Arial" w:hAnsi="Arial" w:cs="Arial"/>
        <w:sz w:val="20"/>
      </w:rPr>
      <w:fldChar w:fldCharType="begin"/>
    </w:r>
    <w:r w:rsidRPr="008C53F0">
      <w:rPr>
        <w:rStyle w:val="Nmerodepgina"/>
        <w:rFonts w:ascii="Arial" w:hAnsi="Arial" w:cs="Arial"/>
        <w:sz w:val="20"/>
      </w:rPr>
      <w:instrText xml:space="preserve">PAGE  </w:instrText>
    </w:r>
    <w:r w:rsidRPr="008C53F0">
      <w:rPr>
        <w:rStyle w:val="Nmerodepgina"/>
        <w:rFonts w:ascii="Arial" w:hAnsi="Arial" w:cs="Arial"/>
        <w:sz w:val="20"/>
      </w:rPr>
      <w:fldChar w:fldCharType="separate"/>
    </w:r>
    <w:r w:rsidR="003C1581">
      <w:rPr>
        <w:rStyle w:val="Nmerodepgina"/>
        <w:rFonts w:ascii="Arial" w:hAnsi="Arial" w:cs="Arial"/>
        <w:noProof/>
        <w:sz w:val="20"/>
      </w:rPr>
      <w:t>2</w:t>
    </w:r>
    <w:r w:rsidRPr="008C53F0">
      <w:rPr>
        <w:rStyle w:val="Nmerodepgina"/>
        <w:rFonts w:ascii="Arial" w:hAnsi="Arial" w:cs="Arial"/>
        <w:sz w:val="20"/>
      </w:rPr>
      <w:fldChar w:fldCharType="end"/>
    </w:r>
  </w:p>
  <w:p w:rsidR="009B4A56" w:rsidRDefault="005857E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EA" w:rsidRDefault="005857EA" w:rsidP="00226D5F">
      <w:r>
        <w:separator/>
      </w:r>
    </w:p>
  </w:footnote>
  <w:footnote w:type="continuationSeparator" w:id="0">
    <w:p w:rsidR="005857EA" w:rsidRDefault="005857EA" w:rsidP="00226D5F">
      <w:r>
        <w:continuationSeparator/>
      </w:r>
    </w:p>
  </w:footnote>
  <w:footnote w:id="1">
    <w:p w:rsidR="00E31D48" w:rsidRPr="008C53F0" w:rsidRDefault="00E31D48" w:rsidP="008C53F0">
      <w:pPr>
        <w:pStyle w:val="Textonotapie"/>
        <w:rPr>
          <w:rFonts w:ascii="Arial" w:hAnsi="Arial" w:cs="Arial"/>
          <w:sz w:val="18"/>
          <w:szCs w:val="18"/>
          <w:lang w:val="es-CO"/>
        </w:rPr>
      </w:pPr>
      <w:r w:rsidRPr="008C53F0">
        <w:rPr>
          <w:rStyle w:val="Refdenotaalpie"/>
          <w:rFonts w:ascii="Arial" w:hAnsi="Arial" w:cs="Arial"/>
          <w:sz w:val="18"/>
          <w:szCs w:val="18"/>
        </w:rPr>
        <w:footnoteRef/>
      </w:r>
      <w:r w:rsidRPr="008C53F0">
        <w:rPr>
          <w:rFonts w:ascii="Arial" w:hAnsi="Arial" w:cs="Arial"/>
          <w:sz w:val="18"/>
          <w:szCs w:val="18"/>
        </w:rPr>
        <w:t xml:space="preserve"> </w:t>
      </w:r>
      <w:r w:rsidRPr="008C53F0">
        <w:rPr>
          <w:rFonts w:ascii="Arial" w:hAnsi="Arial" w:cs="Arial"/>
          <w:sz w:val="18"/>
          <w:szCs w:val="18"/>
          <w:lang w:val="es-AR"/>
        </w:rPr>
        <w:t>CSJ SL400-2013, CSJ SL816-2013, CSJ SL2800-2014, CSJ SL3630-2014, CSJ SL6690-2014, CSJ SL14923-2014.</w:t>
      </w:r>
    </w:p>
  </w:footnote>
  <w:footnote w:id="2">
    <w:p w:rsidR="00E31D48" w:rsidRPr="008C53F0" w:rsidRDefault="00E31D48" w:rsidP="008C53F0">
      <w:pPr>
        <w:pStyle w:val="Textonotapie"/>
        <w:rPr>
          <w:rFonts w:ascii="Arial" w:hAnsi="Arial" w:cs="Arial"/>
          <w:sz w:val="18"/>
          <w:szCs w:val="18"/>
          <w:lang w:val="es-AR"/>
        </w:rPr>
      </w:pPr>
      <w:r w:rsidRPr="008C53F0">
        <w:rPr>
          <w:rStyle w:val="Refdenotaalpie"/>
          <w:rFonts w:ascii="Arial" w:hAnsi="Arial" w:cs="Arial"/>
          <w:sz w:val="18"/>
          <w:szCs w:val="18"/>
        </w:rPr>
        <w:footnoteRef/>
      </w:r>
      <w:r w:rsidRPr="008C53F0">
        <w:rPr>
          <w:rFonts w:ascii="Arial" w:hAnsi="Arial" w:cs="Arial"/>
          <w:sz w:val="18"/>
          <w:szCs w:val="18"/>
        </w:rPr>
        <w:t xml:space="preserve"> </w:t>
      </w:r>
      <w:r w:rsidRPr="008C53F0">
        <w:rPr>
          <w:rFonts w:ascii="Arial" w:hAnsi="Arial" w:cs="Arial"/>
          <w:sz w:val="18"/>
          <w:szCs w:val="18"/>
          <w:lang w:val="es-AR"/>
        </w:rPr>
        <w:t>SL14923 de 29 de octubre de 2014. Rad. 47.676 M.P. Rigoberto Echeverry Bueno.</w:t>
      </w:r>
    </w:p>
  </w:footnote>
  <w:footnote w:id="3">
    <w:p w:rsidR="00D1716A" w:rsidRPr="008C53F0" w:rsidRDefault="00D1716A" w:rsidP="008C53F0">
      <w:pPr>
        <w:pStyle w:val="Textonotapie"/>
        <w:rPr>
          <w:rFonts w:ascii="Arial" w:hAnsi="Arial" w:cs="Arial"/>
          <w:sz w:val="18"/>
          <w:szCs w:val="18"/>
          <w:lang w:val="es-CO"/>
        </w:rPr>
      </w:pPr>
      <w:r w:rsidRPr="008C53F0">
        <w:rPr>
          <w:rStyle w:val="Refdenotaalpie"/>
          <w:rFonts w:ascii="Arial" w:hAnsi="Arial" w:cs="Arial"/>
          <w:sz w:val="18"/>
          <w:szCs w:val="18"/>
        </w:rPr>
        <w:footnoteRef/>
      </w:r>
      <w:r w:rsidRPr="008C53F0">
        <w:rPr>
          <w:rFonts w:ascii="Arial" w:hAnsi="Arial" w:cs="Arial"/>
          <w:sz w:val="18"/>
          <w:szCs w:val="18"/>
        </w:rPr>
        <w:t xml:space="preserve"> </w:t>
      </w:r>
      <w:r w:rsidRPr="008C53F0">
        <w:rPr>
          <w:rFonts w:ascii="Arial" w:hAnsi="Arial" w:cs="Arial"/>
          <w:sz w:val="18"/>
          <w:szCs w:val="18"/>
          <w:lang w:val="es-CO"/>
        </w:rPr>
        <w:t xml:space="preserve">Art. 298 del </w:t>
      </w:r>
      <w:proofErr w:type="spellStart"/>
      <w:r w:rsidRPr="008C53F0">
        <w:rPr>
          <w:rFonts w:ascii="Arial" w:hAnsi="Arial" w:cs="Arial"/>
          <w:sz w:val="18"/>
          <w:szCs w:val="18"/>
          <w:lang w:val="es-CO"/>
        </w:rPr>
        <w:t>C.P.C</w:t>
      </w:r>
      <w:proofErr w:type="spellEnd"/>
      <w:r w:rsidRPr="008C53F0">
        <w:rPr>
          <w:rFonts w:ascii="Arial" w:hAnsi="Arial" w:cs="Arial"/>
          <w:sz w:val="18"/>
          <w:szCs w:val="18"/>
          <w:lang w:val="es-CO"/>
        </w:rPr>
        <w:t xml:space="preserve">., modificado por el </w:t>
      </w:r>
      <w:proofErr w:type="spellStart"/>
      <w:r w:rsidRPr="008C53F0">
        <w:rPr>
          <w:rFonts w:ascii="Arial" w:hAnsi="Arial" w:cs="Arial"/>
          <w:sz w:val="18"/>
          <w:szCs w:val="18"/>
          <w:lang w:val="es-CO"/>
        </w:rPr>
        <w:t>num</w:t>
      </w:r>
      <w:proofErr w:type="spellEnd"/>
      <w:r w:rsidRPr="008C53F0">
        <w:rPr>
          <w:rFonts w:ascii="Arial" w:hAnsi="Arial" w:cs="Arial"/>
          <w:sz w:val="18"/>
          <w:szCs w:val="18"/>
          <w:lang w:val="es-CO"/>
        </w:rPr>
        <w:t>. 129 del art. 1º del D. 2282/89.</w:t>
      </w:r>
    </w:p>
  </w:footnote>
  <w:footnote w:id="4">
    <w:p w:rsidR="00D1716A" w:rsidRPr="008C53F0" w:rsidRDefault="00D1716A" w:rsidP="008C53F0">
      <w:pPr>
        <w:pStyle w:val="Textonotapie"/>
        <w:rPr>
          <w:rFonts w:ascii="Arial" w:hAnsi="Arial" w:cs="Arial"/>
          <w:sz w:val="18"/>
          <w:szCs w:val="18"/>
          <w:lang w:val="es-CO"/>
        </w:rPr>
      </w:pPr>
      <w:r w:rsidRPr="008C53F0">
        <w:rPr>
          <w:rStyle w:val="Refdenotaalpie"/>
          <w:rFonts w:ascii="Arial" w:hAnsi="Arial" w:cs="Arial"/>
          <w:sz w:val="18"/>
          <w:szCs w:val="18"/>
        </w:rPr>
        <w:footnoteRef/>
      </w:r>
      <w:r w:rsidRPr="008C53F0">
        <w:rPr>
          <w:rFonts w:ascii="Arial" w:hAnsi="Arial" w:cs="Arial"/>
          <w:sz w:val="18"/>
          <w:szCs w:val="18"/>
        </w:rPr>
        <w:t xml:space="preserve"> </w:t>
      </w:r>
      <w:proofErr w:type="spellStart"/>
      <w:r w:rsidRPr="008C53F0">
        <w:rPr>
          <w:rFonts w:ascii="Arial" w:hAnsi="Arial" w:cs="Arial"/>
          <w:sz w:val="18"/>
          <w:szCs w:val="18"/>
        </w:rPr>
        <w:t>Sent</w:t>
      </w:r>
      <w:proofErr w:type="spellEnd"/>
      <w:r w:rsidRPr="008C53F0">
        <w:rPr>
          <w:rFonts w:ascii="Arial" w:hAnsi="Arial" w:cs="Arial"/>
          <w:sz w:val="18"/>
          <w:szCs w:val="18"/>
        </w:rPr>
        <w:t xml:space="preserve">. de 25/09/2018, </w:t>
      </w:r>
      <w:proofErr w:type="spellStart"/>
      <w:r w:rsidRPr="008C53F0">
        <w:rPr>
          <w:rFonts w:ascii="Arial" w:hAnsi="Arial" w:cs="Arial"/>
          <w:sz w:val="18"/>
          <w:szCs w:val="18"/>
        </w:rPr>
        <w:t>Exp</w:t>
      </w:r>
      <w:proofErr w:type="spellEnd"/>
      <w:r w:rsidRPr="008C53F0">
        <w:rPr>
          <w:rFonts w:ascii="Arial" w:hAnsi="Arial" w:cs="Arial"/>
          <w:sz w:val="18"/>
          <w:szCs w:val="18"/>
        </w:rPr>
        <w:t>. 2015-00508-01.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6F1E60">
      <w:rPr>
        <w:rFonts w:ascii="Arial" w:hAnsi="Arial" w:cs="Arial"/>
        <w:sz w:val="18"/>
        <w:szCs w:val="18"/>
      </w:rPr>
      <w:t>5</w:t>
    </w:r>
    <w:r w:rsidR="00876B39">
      <w:rPr>
        <w:rFonts w:ascii="Arial" w:hAnsi="Arial" w:cs="Arial"/>
        <w:sz w:val="18"/>
        <w:szCs w:val="18"/>
      </w:rPr>
      <w:t>-201</w:t>
    </w:r>
    <w:r w:rsidR="006F1E60">
      <w:rPr>
        <w:rFonts w:ascii="Arial" w:hAnsi="Arial" w:cs="Arial"/>
        <w:sz w:val="18"/>
        <w:szCs w:val="18"/>
      </w:rPr>
      <w:t>5</w:t>
    </w:r>
    <w:r w:rsidRPr="00F5729C">
      <w:rPr>
        <w:rFonts w:ascii="Arial" w:hAnsi="Arial" w:cs="Arial"/>
        <w:sz w:val="18"/>
        <w:szCs w:val="18"/>
      </w:rPr>
      <w:t>-00</w:t>
    </w:r>
    <w:r w:rsidR="006F1E60">
      <w:rPr>
        <w:rFonts w:ascii="Arial" w:hAnsi="Arial" w:cs="Arial"/>
        <w:sz w:val="18"/>
        <w:szCs w:val="18"/>
      </w:rPr>
      <w:t>166</w:t>
    </w:r>
    <w:r w:rsidR="00022A67">
      <w:rPr>
        <w:rFonts w:ascii="Arial" w:hAnsi="Arial" w:cs="Arial"/>
        <w:sz w:val="18"/>
        <w:szCs w:val="18"/>
      </w:rPr>
      <w:t>-00</w:t>
    </w:r>
  </w:p>
  <w:p w:rsidR="00F5729C" w:rsidRPr="00F5729C" w:rsidRDefault="006F1E60" w:rsidP="00F5729C">
    <w:pPr>
      <w:pStyle w:val="Encabezado"/>
      <w:jc w:val="center"/>
      <w:rPr>
        <w:rFonts w:ascii="Arial" w:hAnsi="Arial" w:cs="Arial"/>
        <w:sz w:val="18"/>
        <w:szCs w:val="18"/>
      </w:rPr>
    </w:pPr>
    <w:r>
      <w:rPr>
        <w:rFonts w:ascii="Arial" w:hAnsi="Arial" w:cs="Arial"/>
        <w:sz w:val="18"/>
        <w:szCs w:val="18"/>
      </w:rPr>
      <w:t>María Judith Muñoz de Serna</w:t>
    </w:r>
    <w:r w:rsidR="00022A67">
      <w:rPr>
        <w:rFonts w:ascii="Arial" w:hAnsi="Arial" w:cs="Arial"/>
        <w:sz w:val="18"/>
        <w:szCs w:val="18"/>
      </w:rPr>
      <w:t xml:space="preserve"> </w:t>
    </w:r>
    <w:r w:rsidR="00F5729C" w:rsidRPr="00F5729C">
      <w:rPr>
        <w:rFonts w:ascii="Arial" w:hAnsi="Arial" w:cs="Arial"/>
        <w:sz w:val="18"/>
        <w:szCs w:val="18"/>
      </w:rPr>
      <w:t xml:space="preserve">vs </w:t>
    </w:r>
    <w:r>
      <w:rPr>
        <w:rFonts w:ascii="Arial" w:hAnsi="Arial" w:cs="Arial"/>
        <w:sz w:val="18"/>
        <w:szCs w:val="18"/>
      </w:rPr>
      <w:t>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B133BF"/>
    <w:multiLevelType w:val="hybridMultilevel"/>
    <w:tmpl w:val="D11A4838"/>
    <w:lvl w:ilvl="0" w:tplc="13421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A67642D"/>
    <w:multiLevelType w:val="hybridMultilevel"/>
    <w:tmpl w:val="7EA8624C"/>
    <w:lvl w:ilvl="0" w:tplc="AD9CBC76">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7"/>
  </w:num>
  <w:num w:numId="4">
    <w:abstractNumId w:val="12"/>
  </w:num>
  <w:num w:numId="5">
    <w:abstractNumId w:val="0"/>
  </w:num>
  <w:num w:numId="6">
    <w:abstractNumId w:val="11"/>
  </w:num>
  <w:num w:numId="7">
    <w:abstractNumId w:val="13"/>
  </w:num>
  <w:num w:numId="8">
    <w:abstractNumId w:val="6"/>
  </w:num>
  <w:num w:numId="9">
    <w:abstractNumId w:val="5"/>
  </w:num>
  <w:num w:numId="10">
    <w:abstractNumId w:val="4"/>
  </w:num>
  <w:num w:numId="11">
    <w:abstractNumId w:val="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8FD"/>
    <w:rsid w:val="000023B8"/>
    <w:rsid w:val="00002883"/>
    <w:rsid w:val="000033A8"/>
    <w:rsid w:val="0000581C"/>
    <w:rsid w:val="00005D7F"/>
    <w:rsid w:val="00007B72"/>
    <w:rsid w:val="0001459F"/>
    <w:rsid w:val="000168DA"/>
    <w:rsid w:val="000169E0"/>
    <w:rsid w:val="000202AD"/>
    <w:rsid w:val="00020E02"/>
    <w:rsid w:val="00022684"/>
    <w:rsid w:val="00022A67"/>
    <w:rsid w:val="00022DC3"/>
    <w:rsid w:val="000237B7"/>
    <w:rsid w:val="00026C2A"/>
    <w:rsid w:val="00033147"/>
    <w:rsid w:val="00040E9A"/>
    <w:rsid w:val="000410E2"/>
    <w:rsid w:val="000429E7"/>
    <w:rsid w:val="000452F4"/>
    <w:rsid w:val="00047301"/>
    <w:rsid w:val="00047914"/>
    <w:rsid w:val="0005068E"/>
    <w:rsid w:val="00052904"/>
    <w:rsid w:val="000531D2"/>
    <w:rsid w:val="0005422D"/>
    <w:rsid w:val="000570E4"/>
    <w:rsid w:val="000573C4"/>
    <w:rsid w:val="00057FAE"/>
    <w:rsid w:val="000600A2"/>
    <w:rsid w:val="00061FDB"/>
    <w:rsid w:val="00062F54"/>
    <w:rsid w:val="00064AAF"/>
    <w:rsid w:val="00071159"/>
    <w:rsid w:val="00072ACF"/>
    <w:rsid w:val="00072AF6"/>
    <w:rsid w:val="00080C0E"/>
    <w:rsid w:val="00084002"/>
    <w:rsid w:val="00087559"/>
    <w:rsid w:val="000938DC"/>
    <w:rsid w:val="00094680"/>
    <w:rsid w:val="000955C4"/>
    <w:rsid w:val="000A0B84"/>
    <w:rsid w:val="000A397D"/>
    <w:rsid w:val="000A653A"/>
    <w:rsid w:val="000B0E79"/>
    <w:rsid w:val="000B20E2"/>
    <w:rsid w:val="000B4CF2"/>
    <w:rsid w:val="000B4D72"/>
    <w:rsid w:val="000B518F"/>
    <w:rsid w:val="000C08B1"/>
    <w:rsid w:val="000C0A51"/>
    <w:rsid w:val="000D011E"/>
    <w:rsid w:val="000D0444"/>
    <w:rsid w:val="000D3A64"/>
    <w:rsid w:val="000D6873"/>
    <w:rsid w:val="000D6AE3"/>
    <w:rsid w:val="000E01C7"/>
    <w:rsid w:val="000E191B"/>
    <w:rsid w:val="000E70EB"/>
    <w:rsid w:val="000E7BED"/>
    <w:rsid w:val="000E7E87"/>
    <w:rsid w:val="000E7F42"/>
    <w:rsid w:val="000F08C1"/>
    <w:rsid w:val="000F26CD"/>
    <w:rsid w:val="000F38F8"/>
    <w:rsid w:val="000F5775"/>
    <w:rsid w:val="000F6FF9"/>
    <w:rsid w:val="000F74D8"/>
    <w:rsid w:val="001013ED"/>
    <w:rsid w:val="00101DEB"/>
    <w:rsid w:val="00102D9F"/>
    <w:rsid w:val="00106A7E"/>
    <w:rsid w:val="00106B6A"/>
    <w:rsid w:val="0010702B"/>
    <w:rsid w:val="00110131"/>
    <w:rsid w:val="001138AA"/>
    <w:rsid w:val="00117283"/>
    <w:rsid w:val="001201C2"/>
    <w:rsid w:val="00121C7F"/>
    <w:rsid w:val="00121F87"/>
    <w:rsid w:val="00122A57"/>
    <w:rsid w:val="0012657D"/>
    <w:rsid w:val="00127390"/>
    <w:rsid w:val="001320DB"/>
    <w:rsid w:val="00132136"/>
    <w:rsid w:val="00132E3C"/>
    <w:rsid w:val="00133AD9"/>
    <w:rsid w:val="00133E70"/>
    <w:rsid w:val="00134C86"/>
    <w:rsid w:val="001365C6"/>
    <w:rsid w:val="00137871"/>
    <w:rsid w:val="001454C1"/>
    <w:rsid w:val="00145C5E"/>
    <w:rsid w:val="00146104"/>
    <w:rsid w:val="00146784"/>
    <w:rsid w:val="00150742"/>
    <w:rsid w:val="00150D59"/>
    <w:rsid w:val="00155C8A"/>
    <w:rsid w:val="00164E8B"/>
    <w:rsid w:val="001667FB"/>
    <w:rsid w:val="001710E6"/>
    <w:rsid w:val="00171C56"/>
    <w:rsid w:val="00172834"/>
    <w:rsid w:val="001757BF"/>
    <w:rsid w:val="001761F4"/>
    <w:rsid w:val="00180B42"/>
    <w:rsid w:val="00181174"/>
    <w:rsid w:val="00183477"/>
    <w:rsid w:val="00183F07"/>
    <w:rsid w:val="001843BE"/>
    <w:rsid w:val="001844CF"/>
    <w:rsid w:val="00187075"/>
    <w:rsid w:val="001926F2"/>
    <w:rsid w:val="00194BEB"/>
    <w:rsid w:val="001A2492"/>
    <w:rsid w:val="001A2E17"/>
    <w:rsid w:val="001A4BB9"/>
    <w:rsid w:val="001A4D21"/>
    <w:rsid w:val="001B03FA"/>
    <w:rsid w:val="001B092A"/>
    <w:rsid w:val="001C46FA"/>
    <w:rsid w:val="001C4D7F"/>
    <w:rsid w:val="001C51C5"/>
    <w:rsid w:val="001D62C0"/>
    <w:rsid w:val="001E0313"/>
    <w:rsid w:val="001E3462"/>
    <w:rsid w:val="001E64EA"/>
    <w:rsid w:val="001F20CE"/>
    <w:rsid w:val="001F3E99"/>
    <w:rsid w:val="001F60D8"/>
    <w:rsid w:val="00201120"/>
    <w:rsid w:val="00201F76"/>
    <w:rsid w:val="0020487B"/>
    <w:rsid w:val="00217354"/>
    <w:rsid w:val="00217431"/>
    <w:rsid w:val="00222A08"/>
    <w:rsid w:val="002233EC"/>
    <w:rsid w:val="00223C0E"/>
    <w:rsid w:val="00226D5F"/>
    <w:rsid w:val="0023095E"/>
    <w:rsid w:val="00230AFD"/>
    <w:rsid w:val="00231C21"/>
    <w:rsid w:val="002320EB"/>
    <w:rsid w:val="00233151"/>
    <w:rsid w:val="002355AF"/>
    <w:rsid w:val="00235F48"/>
    <w:rsid w:val="00242152"/>
    <w:rsid w:val="00244804"/>
    <w:rsid w:val="0024524B"/>
    <w:rsid w:val="0024629E"/>
    <w:rsid w:val="0024690A"/>
    <w:rsid w:val="00247BBE"/>
    <w:rsid w:val="00251CC1"/>
    <w:rsid w:val="00251FF3"/>
    <w:rsid w:val="0025347E"/>
    <w:rsid w:val="00255BC3"/>
    <w:rsid w:val="00265520"/>
    <w:rsid w:val="0026700B"/>
    <w:rsid w:val="00270AFF"/>
    <w:rsid w:val="00272C8B"/>
    <w:rsid w:val="00273805"/>
    <w:rsid w:val="002763FF"/>
    <w:rsid w:val="00280037"/>
    <w:rsid w:val="00281221"/>
    <w:rsid w:val="00286873"/>
    <w:rsid w:val="00287CC2"/>
    <w:rsid w:val="00290C0B"/>
    <w:rsid w:val="002A02BA"/>
    <w:rsid w:val="002A1785"/>
    <w:rsid w:val="002A4E8D"/>
    <w:rsid w:val="002A6219"/>
    <w:rsid w:val="002B556B"/>
    <w:rsid w:val="002C15F7"/>
    <w:rsid w:val="002C313D"/>
    <w:rsid w:val="002C5345"/>
    <w:rsid w:val="002C5E6C"/>
    <w:rsid w:val="002D4698"/>
    <w:rsid w:val="002D6807"/>
    <w:rsid w:val="002D7664"/>
    <w:rsid w:val="002E09C2"/>
    <w:rsid w:val="002E36F9"/>
    <w:rsid w:val="002E4F47"/>
    <w:rsid w:val="002F07BA"/>
    <w:rsid w:val="002F13B9"/>
    <w:rsid w:val="002F2A42"/>
    <w:rsid w:val="002F576E"/>
    <w:rsid w:val="002F625A"/>
    <w:rsid w:val="003048D2"/>
    <w:rsid w:val="0030740B"/>
    <w:rsid w:val="00312238"/>
    <w:rsid w:val="0031266A"/>
    <w:rsid w:val="00313DC2"/>
    <w:rsid w:val="00314DC7"/>
    <w:rsid w:val="00316580"/>
    <w:rsid w:val="003230A5"/>
    <w:rsid w:val="00324AD2"/>
    <w:rsid w:val="00324C22"/>
    <w:rsid w:val="00325F73"/>
    <w:rsid w:val="00336491"/>
    <w:rsid w:val="00340868"/>
    <w:rsid w:val="003416D5"/>
    <w:rsid w:val="00343B40"/>
    <w:rsid w:val="003440CA"/>
    <w:rsid w:val="00344548"/>
    <w:rsid w:val="00344EED"/>
    <w:rsid w:val="003463CD"/>
    <w:rsid w:val="003465C4"/>
    <w:rsid w:val="00347C69"/>
    <w:rsid w:val="00351804"/>
    <w:rsid w:val="003519AA"/>
    <w:rsid w:val="003534B2"/>
    <w:rsid w:val="0035430F"/>
    <w:rsid w:val="00355E99"/>
    <w:rsid w:val="003576B8"/>
    <w:rsid w:val="003578D3"/>
    <w:rsid w:val="00357D26"/>
    <w:rsid w:val="003643A6"/>
    <w:rsid w:val="00364783"/>
    <w:rsid w:val="00371537"/>
    <w:rsid w:val="00372347"/>
    <w:rsid w:val="00382321"/>
    <w:rsid w:val="00382914"/>
    <w:rsid w:val="00382BA0"/>
    <w:rsid w:val="00382C70"/>
    <w:rsid w:val="00390620"/>
    <w:rsid w:val="00390B71"/>
    <w:rsid w:val="00391439"/>
    <w:rsid w:val="003922FA"/>
    <w:rsid w:val="003932F1"/>
    <w:rsid w:val="003968C4"/>
    <w:rsid w:val="003A66FB"/>
    <w:rsid w:val="003B04B0"/>
    <w:rsid w:val="003B48CC"/>
    <w:rsid w:val="003B4EA7"/>
    <w:rsid w:val="003B792F"/>
    <w:rsid w:val="003C1581"/>
    <w:rsid w:val="003C1F8A"/>
    <w:rsid w:val="003C7D34"/>
    <w:rsid w:val="003D0DFC"/>
    <w:rsid w:val="003D2D7B"/>
    <w:rsid w:val="003D571E"/>
    <w:rsid w:val="003E3A78"/>
    <w:rsid w:val="003E7752"/>
    <w:rsid w:val="003E7EE7"/>
    <w:rsid w:val="003F39CE"/>
    <w:rsid w:val="00400554"/>
    <w:rsid w:val="00400E62"/>
    <w:rsid w:val="00401502"/>
    <w:rsid w:val="00404C23"/>
    <w:rsid w:val="00405796"/>
    <w:rsid w:val="004059CE"/>
    <w:rsid w:val="00405F7D"/>
    <w:rsid w:val="004167F6"/>
    <w:rsid w:val="00416A8D"/>
    <w:rsid w:val="00417A76"/>
    <w:rsid w:val="00417C7E"/>
    <w:rsid w:val="0042685B"/>
    <w:rsid w:val="00427FD1"/>
    <w:rsid w:val="00427FE1"/>
    <w:rsid w:val="00433ACE"/>
    <w:rsid w:val="004348AB"/>
    <w:rsid w:val="00436233"/>
    <w:rsid w:val="00436325"/>
    <w:rsid w:val="004375AE"/>
    <w:rsid w:val="004453BD"/>
    <w:rsid w:val="00450598"/>
    <w:rsid w:val="00450903"/>
    <w:rsid w:val="004519EB"/>
    <w:rsid w:val="0045273B"/>
    <w:rsid w:val="00453DC3"/>
    <w:rsid w:val="004540D9"/>
    <w:rsid w:val="00454184"/>
    <w:rsid w:val="004624A8"/>
    <w:rsid w:val="00464209"/>
    <w:rsid w:val="00464A2B"/>
    <w:rsid w:val="00465715"/>
    <w:rsid w:val="004702FB"/>
    <w:rsid w:val="00470873"/>
    <w:rsid w:val="00476A3A"/>
    <w:rsid w:val="00480C56"/>
    <w:rsid w:val="00480DE3"/>
    <w:rsid w:val="00482542"/>
    <w:rsid w:val="00484A44"/>
    <w:rsid w:val="004864DD"/>
    <w:rsid w:val="00497483"/>
    <w:rsid w:val="004A15C0"/>
    <w:rsid w:val="004A2468"/>
    <w:rsid w:val="004A31CE"/>
    <w:rsid w:val="004A7AB4"/>
    <w:rsid w:val="004B060E"/>
    <w:rsid w:val="004B3241"/>
    <w:rsid w:val="004B523E"/>
    <w:rsid w:val="004B588A"/>
    <w:rsid w:val="004B6775"/>
    <w:rsid w:val="004B6ABD"/>
    <w:rsid w:val="004C28EB"/>
    <w:rsid w:val="004C5B27"/>
    <w:rsid w:val="004C746A"/>
    <w:rsid w:val="004C7CE2"/>
    <w:rsid w:val="004D018B"/>
    <w:rsid w:val="004D01C5"/>
    <w:rsid w:val="004D4073"/>
    <w:rsid w:val="004D6867"/>
    <w:rsid w:val="004E0CD7"/>
    <w:rsid w:val="004E2F7F"/>
    <w:rsid w:val="004E4CC6"/>
    <w:rsid w:val="004F1959"/>
    <w:rsid w:val="004F2040"/>
    <w:rsid w:val="004F294A"/>
    <w:rsid w:val="004F2B0B"/>
    <w:rsid w:val="004F2F15"/>
    <w:rsid w:val="004F352A"/>
    <w:rsid w:val="004F5C24"/>
    <w:rsid w:val="004F724D"/>
    <w:rsid w:val="00500428"/>
    <w:rsid w:val="00501034"/>
    <w:rsid w:val="0050221B"/>
    <w:rsid w:val="00502691"/>
    <w:rsid w:val="005044C1"/>
    <w:rsid w:val="0050702B"/>
    <w:rsid w:val="0051055C"/>
    <w:rsid w:val="00511F18"/>
    <w:rsid w:val="00515BDC"/>
    <w:rsid w:val="00521FD5"/>
    <w:rsid w:val="0052715A"/>
    <w:rsid w:val="005335E5"/>
    <w:rsid w:val="00533F10"/>
    <w:rsid w:val="0053562A"/>
    <w:rsid w:val="00541D1D"/>
    <w:rsid w:val="00542CAF"/>
    <w:rsid w:val="00545D05"/>
    <w:rsid w:val="00547904"/>
    <w:rsid w:val="00547DC6"/>
    <w:rsid w:val="005522AF"/>
    <w:rsid w:val="00552CE3"/>
    <w:rsid w:val="0055465D"/>
    <w:rsid w:val="0056183E"/>
    <w:rsid w:val="00563496"/>
    <w:rsid w:val="005651A6"/>
    <w:rsid w:val="00565E83"/>
    <w:rsid w:val="00567B33"/>
    <w:rsid w:val="00567C97"/>
    <w:rsid w:val="00572BE9"/>
    <w:rsid w:val="00577E83"/>
    <w:rsid w:val="00580A90"/>
    <w:rsid w:val="0058139C"/>
    <w:rsid w:val="005857EA"/>
    <w:rsid w:val="00586CB3"/>
    <w:rsid w:val="00586FFD"/>
    <w:rsid w:val="005878E1"/>
    <w:rsid w:val="00591EBA"/>
    <w:rsid w:val="00591F75"/>
    <w:rsid w:val="00594723"/>
    <w:rsid w:val="00596038"/>
    <w:rsid w:val="005A026A"/>
    <w:rsid w:val="005A56AD"/>
    <w:rsid w:val="005B34D8"/>
    <w:rsid w:val="005B39EE"/>
    <w:rsid w:val="005B57A3"/>
    <w:rsid w:val="005B7D0B"/>
    <w:rsid w:val="005C078E"/>
    <w:rsid w:val="005C3850"/>
    <w:rsid w:val="005C3E71"/>
    <w:rsid w:val="005C5D7A"/>
    <w:rsid w:val="005D1C5A"/>
    <w:rsid w:val="005D4E0F"/>
    <w:rsid w:val="005D5800"/>
    <w:rsid w:val="005D62D1"/>
    <w:rsid w:val="005D7875"/>
    <w:rsid w:val="005D7A47"/>
    <w:rsid w:val="005D7C57"/>
    <w:rsid w:val="005E0ED1"/>
    <w:rsid w:val="005E2BAD"/>
    <w:rsid w:val="005E44F6"/>
    <w:rsid w:val="005E664B"/>
    <w:rsid w:val="005E7DA5"/>
    <w:rsid w:val="005F1504"/>
    <w:rsid w:val="005F1981"/>
    <w:rsid w:val="005F36B2"/>
    <w:rsid w:val="005F3F1E"/>
    <w:rsid w:val="005F5E82"/>
    <w:rsid w:val="005F6AEC"/>
    <w:rsid w:val="006135E9"/>
    <w:rsid w:val="0061484D"/>
    <w:rsid w:val="00614A00"/>
    <w:rsid w:val="00615E23"/>
    <w:rsid w:val="0062213D"/>
    <w:rsid w:val="00622B0F"/>
    <w:rsid w:val="00624740"/>
    <w:rsid w:val="00637118"/>
    <w:rsid w:val="006372F3"/>
    <w:rsid w:val="00640EDF"/>
    <w:rsid w:val="0064158C"/>
    <w:rsid w:val="006424B0"/>
    <w:rsid w:val="00643D10"/>
    <w:rsid w:val="0064473C"/>
    <w:rsid w:val="006516CA"/>
    <w:rsid w:val="006528E0"/>
    <w:rsid w:val="00654419"/>
    <w:rsid w:val="006601AD"/>
    <w:rsid w:val="00660848"/>
    <w:rsid w:val="00662013"/>
    <w:rsid w:val="00662287"/>
    <w:rsid w:val="00662946"/>
    <w:rsid w:val="00665E7D"/>
    <w:rsid w:val="00667F1F"/>
    <w:rsid w:val="00672CC8"/>
    <w:rsid w:val="00673A7D"/>
    <w:rsid w:val="006746D0"/>
    <w:rsid w:val="00674E48"/>
    <w:rsid w:val="00675E25"/>
    <w:rsid w:val="0067695F"/>
    <w:rsid w:val="00676980"/>
    <w:rsid w:val="00676AE8"/>
    <w:rsid w:val="006804A2"/>
    <w:rsid w:val="00682363"/>
    <w:rsid w:val="00682BA8"/>
    <w:rsid w:val="00683F7E"/>
    <w:rsid w:val="006875F1"/>
    <w:rsid w:val="006905D2"/>
    <w:rsid w:val="00690E1D"/>
    <w:rsid w:val="00691827"/>
    <w:rsid w:val="00691998"/>
    <w:rsid w:val="006A0779"/>
    <w:rsid w:val="006A0D48"/>
    <w:rsid w:val="006A24F1"/>
    <w:rsid w:val="006A3D88"/>
    <w:rsid w:val="006A4FD9"/>
    <w:rsid w:val="006B066A"/>
    <w:rsid w:val="006C1C3B"/>
    <w:rsid w:val="006C48AA"/>
    <w:rsid w:val="006C4EE8"/>
    <w:rsid w:val="006D0816"/>
    <w:rsid w:val="006D46EB"/>
    <w:rsid w:val="006D7BEC"/>
    <w:rsid w:val="006E0345"/>
    <w:rsid w:val="006E11A2"/>
    <w:rsid w:val="006E1F37"/>
    <w:rsid w:val="006E2F01"/>
    <w:rsid w:val="006E3949"/>
    <w:rsid w:val="006F1E60"/>
    <w:rsid w:val="006F2FF3"/>
    <w:rsid w:val="006F333A"/>
    <w:rsid w:val="006F3D12"/>
    <w:rsid w:val="006F68BC"/>
    <w:rsid w:val="006F783D"/>
    <w:rsid w:val="00700F4D"/>
    <w:rsid w:val="00704795"/>
    <w:rsid w:val="00707C42"/>
    <w:rsid w:val="00707EF9"/>
    <w:rsid w:val="0071098F"/>
    <w:rsid w:val="00712CFC"/>
    <w:rsid w:val="0071318C"/>
    <w:rsid w:val="00713558"/>
    <w:rsid w:val="00716474"/>
    <w:rsid w:val="007209F0"/>
    <w:rsid w:val="007210A7"/>
    <w:rsid w:val="007220D1"/>
    <w:rsid w:val="00724874"/>
    <w:rsid w:val="007252F9"/>
    <w:rsid w:val="007257B2"/>
    <w:rsid w:val="007258A6"/>
    <w:rsid w:val="00726CC1"/>
    <w:rsid w:val="007308D1"/>
    <w:rsid w:val="00731C0C"/>
    <w:rsid w:val="00732CCC"/>
    <w:rsid w:val="00733404"/>
    <w:rsid w:val="00733887"/>
    <w:rsid w:val="00734CF2"/>
    <w:rsid w:val="007364DD"/>
    <w:rsid w:val="00745389"/>
    <w:rsid w:val="00745EC1"/>
    <w:rsid w:val="007465BA"/>
    <w:rsid w:val="0074785C"/>
    <w:rsid w:val="00750744"/>
    <w:rsid w:val="007632AA"/>
    <w:rsid w:val="00763351"/>
    <w:rsid w:val="00764C9B"/>
    <w:rsid w:val="00773D36"/>
    <w:rsid w:val="00776EC7"/>
    <w:rsid w:val="00777072"/>
    <w:rsid w:val="00777D9C"/>
    <w:rsid w:val="00781341"/>
    <w:rsid w:val="0078237D"/>
    <w:rsid w:val="007848AC"/>
    <w:rsid w:val="00784A96"/>
    <w:rsid w:val="00784E91"/>
    <w:rsid w:val="007939B0"/>
    <w:rsid w:val="00795237"/>
    <w:rsid w:val="007955EA"/>
    <w:rsid w:val="00795C22"/>
    <w:rsid w:val="007A2D40"/>
    <w:rsid w:val="007A73A3"/>
    <w:rsid w:val="007B055A"/>
    <w:rsid w:val="007B1977"/>
    <w:rsid w:val="007B1CBD"/>
    <w:rsid w:val="007B28AD"/>
    <w:rsid w:val="007B5499"/>
    <w:rsid w:val="007B6F39"/>
    <w:rsid w:val="007C00E9"/>
    <w:rsid w:val="007C1262"/>
    <w:rsid w:val="007C14EB"/>
    <w:rsid w:val="007C31E2"/>
    <w:rsid w:val="007C57EC"/>
    <w:rsid w:val="007C5A02"/>
    <w:rsid w:val="007D0C8E"/>
    <w:rsid w:val="007D3AE7"/>
    <w:rsid w:val="007D40B8"/>
    <w:rsid w:val="007D74E3"/>
    <w:rsid w:val="007D7AD5"/>
    <w:rsid w:val="007E0BAF"/>
    <w:rsid w:val="007E3F4A"/>
    <w:rsid w:val="007E5F18"/>
    <w:rsid w:val="007F111B"/>
    <w:rsid w:val="007F176A"/>
    <w:rsid w:val="007F1F65"/>
    <w:rsid w:val="007F7476"/>
    <w:rsid w:val="007F7CE7"/>
    <w:rsid w:val="008031E8"/>
    <w:rsid w:val="0080443C"/>
    <w:rsid w:val="0080681F"/>
    <w:rsid w:val="008073E6"/>
    <w:rsid w:val="008074A1"/>
    <w:rsid w:val="00810397"/>
    <w:rsid w:val="008144D8"/>
    <w:rsid w:val="008255E4"/>
    <w:rsid w:val="0082591D"/>
    <w:rsid w:val="00825B7B"/>
    <w:rsid w:val="008261E9"/>
    <w:rsid w:val="00827122"/>
    <w:rsid w:val="00827731"/>
    <w:rsid w:val="0083061B"/>
    <w:rsid w:val="00831503"/>
    <w:rsid w:val="0083155E"/>
    <w:rsid w:val="00832DBC"/>
    <w:rsid w:val="0083458C"/>
    <w:rsid w:val="00840045"/>
    <w:rsid w:val="00840F4A"/>
    <w:rsid w:val="008414A6"/>
    <w:rsid w:val="00844CC6"/>
    <w:rsid w:val="008460CC"/>
    <w:rsid w:val="008472E5"/>
    <w:rsid w:val="00851CCB"/>
    <w:rsid w:val="00854AB5"/>
    <w:rsid w:val="00862453"/>
    <w:rsid w:val="00862EBC"/>
    <w:rsid w:val="0086783D"/>
    <w:rsid w:val="008751D8"/>
    <w:rsid w:val="008765F7"/>
    <w:rsid w:val="00876B39"/>
    <w:rsid w:val="008778BA"/>
    <w:rsid w:val="00881830"/>
    <w:rsid w:val="00883512"/>
    <w:rsid w:val="008843E7"/>
    <w:rsid w:val="00884EE4"/>
    <w:rsid w:val="00885D32"/>
    <w:rsid w:val="0089104F"/>
    <w:rsid w:val="00891545"/>
    <w:rsid w:val="008922A1"/>
    <w:rsid w:val="00895036"/>
    <w:rsid w:val="008A04F6"/>
    <w:rsid w:val="008A316B"/>
    <w:rsid w:val="008A39C9"/>
    <w:rsid w:val="008A66E1"/>
    <w:rsid w:val="008B2194"/>
    <w:rsid w:val="008B3D4C"/>
    <w:rsid w:val="008B3ED7"/>
    <w:rsid w:val="008B48B8"/>
    <w:rsid w:val="008B702B"/>
    <w:rsid w:val="008B7EAA"/>
    <w:rsid w:val="008C0F72"/>
    <w:rsid w:val="008C19F9"/>
    <w:rsid w:val="008C53F0"/>
    <w:rsid w:val="008C5EB8"/>
    <w:rsid w:val="008C6162"/>
    <w:rsid w:val="008C7B99"/>
    <w:rsid w:val="008D0040"/>
    <w:rsid w:val="008D27EF"/>
    <w:rsid w:val="008D46E0"/>
    <w:rsid w:val="008D7B4F"/>
    <w:rsid w:val="008E0EF1"/>
    <w:rsid w:val="008E177B"/>
    <w:rsid w:val="008E2244"/>
    <w:rsid w:val="008E4150"/>
    <w:rsid w:val="008E6E56"/>
    <w:rsid w:val="008F003B"/>
    <w:rsid w:val="008F1F92"/>
    <w:rsid w:val="008F2258"/>
    <w:rsid w:val="008F3055"/>
    <w:rsid w:val="008F31EB"/>
    <w:rsid w:val="008F4FB4"/>
    <w:rsid w:val="008F6514"/>
    <w:rsid w:val="009000D4"/>
    <w:rsid w:val="009018F8"/>
    <w:rsid w:val="009071F5"/>
    <w:rsid w:val="00907A5F"/>
    <w:rsid w:val="00911B29"/>
    <w:rsid w:val="009133B8"/>
    <w:rsid w:val="009137A5"/>
    <w:rsid w:val="00913CA3"/>
    <w:rsid w:val="00915EE3"/>
    <w:rsid w:val="0091611D"/>
    <w:rsid w:val="00916A24"/>
    <w:rsid w:val="00917EFA"/>
    <w:rsid w:val="009323D3"/>
    <w:rsid w:val="00934023"/>
    <w:rsid w:val="00936F6E"/>
    <w:rsid w:val="00940732"/>
    <w:rsid w:val="0094299E"/>
    <w:rsid w:val="00943476"/>
    <w:rsid w:val="00943F86"/>
    <w:rsid w:val="00955602"/>
    <w:rsid w:val="0096112F"/>
    <w:rsid w:val="00964825"/>
    <w:rsid w:val="009660D4"/>
    <w:rsid w:val="00966F23"/>
    <w:rsid w:val="0097190D"/>
    <w:rsid w:val="00972117"/>
    <w:rsid w:val="009724AC"/>
    <w:rsid w:val="009740CF"/>
    <w:rsid w:val="00975DEE"/>
    <w:rsid w:val="0097617E"/>
    <w:rsid w:val="00981DA7"/>
    <w:rsid w:val="00982149"/>
    <w:rsid w:val="009827E2"/>
    <w:rsid w:val="009832F1"/>
    <w:rsid w:val="009849BE"/>
    <w:rsid w:val="009878AB"/>
    <w:rsid w:val="00990133"/>
    <w:rsid w:val="0099054F"/>
    <w:rsid w:val="00991805"/>
    <w:rsid w:val="00991D5B"/>
    <w:rsid w:val="0099247D"/>
    <w:rsid w:val="009927C8"/>
    <w:rsid w:val="00994419"/>
    <w:rsid w:val="00995393"/>
    <w:rsid w:val="00995AE4"/>
    <w:rsid w:val="009A0660"/>
    <w:rsid w:val="009A2505"/>
    <w:rsid w:val="009A38A1"/>
    <w:rsid w:val="009A60BF"/>
    <w:rsid w:val="009B3E61"/>
    <w:rsid w:val="009B5BF8"/>
    <w:rsid w:val="009B6E23"/>
    <w:rsid w:val="009C1D9F"/>
    <w:rsid w:val="009C4957"/>
    <w:rsid w:val="009C77EB"/>
    <w:rsid w:val="009D1438"/>
    <w:rsid w:val="009D3893"/>
    <w:rsid w:val="009D6F42"/>
    <w:rsid w:val="009D7443"/>
    <w:rsid w:val="009E4457"/>
    <w:rsid w:val="009E5A8E"/>
    <w:rsid w:val="009F0B85"/>
    <w:rsid w:val="009F0E24"/>
    <w:rsid w:val="009F1835"/>
    <w:rsid w:val="009F1C18"/>
    <w:rsid w:val="009F2EDB"/>
    <w:rsid w:val="009F51CF"/>
    <w:rsid w:val="009F5F82"/>
    <w:rsid w:val="00A03D62"/>
    <w:rsid w:val="00A0431B"/>
    <w:rsid w:val="00A04372"/>
    <w:rsid w:val="00A05527"/>
    <w:rsid w:val="00A227F4"/>
    <w:rsid w:val="00A23CFA"/>
    <w:rsid w:val="00A257BD"/>
    <w:rsid w:val="00A26C03"/>
    <w:rsid w:val="00A27137"/>
    <w:rsid w:val="00A30D33"/>
    <w:rsid w:val="00A32B05"/>
    <w:rsid w:val="00A36479"/>
    <w:rsid w:val="00A36956"/>
    <w:rsid w:val="00A41823"/>
    <w:rsid w:val="00A42244"/>
    <w:rsid w:val="00A454F9"/>
    <w:rsid w:val="00A5024C"/>
    <w:rsid w:val="00A5463B"/>
    <w:rsid w:val="00A56502"/>
    <w:rsid w:val="00A6769B"/>
    <w:rsid w:val="00A75D75"/>
    <w:rsid w:val="00A8247F"/>
    <w:rsid w:val="00A90765"/>
    <w:rsid w:val="00A928D2"/>
    <w:rsid w:val="00A93DCA"/>
    <w:rsid w:val="00A957FB"/>
    <w:rsid w:val="00A95C6B"/>
    <w:rsid w:val="00A96C25"/>
    <w:rsid w:val="00AA2F30"/>
    <w:rsid w:val="00AA567C"/>
    <w:rsid w:val="00AA6E18"/>
    <w:rsid w:val="00AA7601"/>
    <w:rsid w:val="00AB2427"/>
    <w:rsid w:val="00AB3370"/>
    <w:rsid w:val="00AB51B9"/>
    <w:rsid w:val="00AB71E5"/>
    <w:rsid w:val="00AC094D"/>
    <w:rsid w:val="00AC1EAE"/>
    <w:rsid w:val="00AC486E"/>
    <w:rsid w:val="00AD3604"/>
    <w:rsid w:val="00AD7EF8"/>
    <w:rsid w:val="00AE118E"/>
    <w:rsid w:val="00AE31AC"/>
    <w:rsid w:val="00AE3317"/>
    <w:rsid w:val="00AE5084"/>
    <w:rsid w:val="00AE62E4"/>
    <w:rsid w:val="00AF0935"/>
    <w:rsid w:val="00AF3692"/>
    <w:rsid w:val="00AF5082"/>
    <w:rsid w:val="00AF5C75"/>
    <w:rsid w:val="00AF6E3F"/>
    <w:rsid w:val="00AF7ACC"/>
    <w:rsid w:val="00B02F1F"/>
    <w:rsid w:val="00B04151"/>
    <w:rsid w:val="00B0466B"/>
    <w:rsid w:val="00B04949"/>
    <w:rsid w:val="00B07A9C"/>
    <w:rsid w:val="00B10399"/>
    <w:rsid w:val="00B20CF2"/>
    <w:rsid w:val="00B220D2"/>
    <w:rsid w:val="00B22E56"/>
    <w:rsid w:val="00B27227"/>
    <w:rsid w:val="00B31322"/>
    <w:rsid w:val="00B35761"/>
    <w:rsid w:val="00B35D0A"/>
    <w:rsid w:val="00B364A1"/>
    <w:rsid w:val="00B36B90"/>
    <w:rsid w:val="00B42BE7"/>
    <w:rsid w:val="00B46D32"/>
    <w:rsid w:val="00B52D16"/>
    <w:rsid w:val="00B53B43"/>
    <w:rsid w:val="00B54096"/>
    <w:rsid w:val="00B5427D"/>
    <w:rsid w:val="00B56E76"/>
    <w:rsid w:val="00B60AA9"/>
    <w:rsid w:val="00B61127"/>
    <w:rsid w:val="00B626F6"/>
    <w:rsid w:val="00B63804"/>
    <w:rsid w:val="00B65F9A"/>
    <w:rsid w:val="00B670A1"/>
    <w:rsid w:val="00B67118"/>
    <w:rsid w:val="00B71C3E"/>
    <w:rsid w:val="00B748AF"/>
    <w:rsid w:val="00B85622"/>
    <w:rsid w:val="00B86AC5"/>
    <w:rsid w:val="00B92076"/>
    <w:rsid w:val="00B92DF7"/>
    <w:rsid w:val="00B9600C"/>
    <w:rsid w:val="00B9793C"/>
    <w:rsid w:val="00BA0C20"/>
    <w:rsid w:val="00BB101A"/>
    <w:rsid w:val="00BB1F45"/>
    <w:rsid w:val="00BB2C59"/>
    <w:rsid w:val="00BB74C3"/>
    <w:rsid w:val="00BC221B"/>
    <w:rsid w:val="00BC31C8"/>
    <w:rsid w:val="00BC45C6"/>
    <w:rsid w:val="00BC685E"/>
    <w:rsid w:val="00BC70D9"/>
    <w:rsid w:val="00BD2DC8"/>
    <w:rsid w:val="00BD6776"/>
    <w:rsid w:val="00BE0373"/>
    <w:rsid w:val="00BE40B2"/>
    <w:rsid w:val="00BE4770"/>
    <w:rsid w:val="00BE5058"/>
    <w:rsid w:val="00BE66DE"/>
    <w:rsid w:val="00BF2489"/>
    <w:rsid w:val="00BF79CF"/>
    <w:rsid w:val="00C03079"/>
    <w:rsid w:val="00C04BAE"/>
    <w:rsid w:val="00C1062A"/>
    <w:rsid w:val="00C128F7"/>
    <w:rsid w:val="00C1591F"/>
    <w:rsid w:val="00C17E4B"/>
    <w:rsid w:val="00C22EE6"/>
    <w:rsid w:val="00C25260"/>
    <w:rsid w:val="00C31A56"/>
    <w:rsid w:val="00C4044E"/>
    <w:rsid w:val="00C40BC3"/>
    <w:rsid w:val="00C41D91"/>
    <w:rsid w:val="00C433FF"/>
    <w:rsid w:val="00C43BEE"/>
    <w:rsid w:val="00C44B5C"/>
    <w:rsid w:val="00C44EF3"/>
    <w:rsid w:val="00C45EC5"/>
    <w:rsid w:val="00C51CFD"/>
    <w:rsid w:val="00C55D5E"/>
    <w:rsid w:val="00C56E3E"/>
    <w:rsid w:val="00C5771D"/>
    <w:rsid w:val="00C60785"/>
    <w:rsid w:val="00C60CA2"/>
    <w:rsid w:val="00C634AF"/>
    <w:rsid w:val="00C6446B"/>
    <w:rsid w:val="00C65FCA"/>
    <w:rsid w:val="00C66147"/>
    <w:rsid w:val="00C71D5E"/>
    <w:rsid w:val="00C73F27"/>
    <w:rsid w:val="00C80996"/>
    <w:rsid w:val="00C81FE6"/>
    <w:rsid w:val="00C83734"/>
    <w:rsid w:val="00C83AB8"/>
    <w:rsid w:val="00C91182"/>
    <w:rsid w:val="00C93A31"/>
    <w:rsid w:val="00C93C83"/>
    <w:rsid w:val="00CA107F"/>
    <w:rsid w:val="00CA4193"/>
    <w:rsid w:val="00CA5AFD"/>
    <w:rsid w:val="00CA60CF"/>
    <w:rsid w:val="00CB17D9"/>
    <w:rsid w:val="00CB1837"/>
    <w:rsid w:val="00CB19A6"/>
    <w:rsid w:val="00CB550B"/>
    <w:rsid w:val="00CB6CAE"/>
    <w:rsid w:val="00CC01FF"/>
    <w:rsid w:val="00CC0590"/>
    <w:rsid w:val="00CC473D"/>
    <w:rsid w:val="00CC4EF1"/>
    <w:rsid w:val="00CC5B8D"/>
    <w:rsid w:val="00CC7F38"/>
    <w:rsid w:val="00CD0F44"/>
    <w:rsid w:val="00CD28CD"/>
    <w:rsid w:val="00CD79DF"/>
    <w:rsid w:val="00CE1735"/>
    <w:rsid w:val="00CE300E"/>
    <w:rsid w:val="00CE714F"/>
    <w:rsid w:val="00CE7377"/>
    <w:rsid w:val="00CE7FF1"/>
    <w:rsid w:val="00CF43C7"/>
    <w:rsid w:val="00CF43D8"/>
    <w:rsid w:val="00CF576A"/>
    <w:rsid w:val="00CF62DC"/>
    <w:rsid w:val="00D05129"/>
    <w:rsid w:val="00D0768B"/>
    <w:rsid w:val="00D13723"/>
    <w:rsid w:val="00D14C4A"/>
    <w:rsid w:val="00D150B7"/>
    <w:rsid w:val="00D1716A"/>
    <w:rsid w:val="00D24656"/>
    <w:rsid w:val="00D260C3"/>
    <w:rsid w:val="00D3059B"/>
    <w:rsid w:val="00D320B2"/>
    <w:rsid w:val="00D33344"/>
    <w:rsid w:val="00D448EC"/>
    <w:rsid w:val="00D459A8"/>
    <w:rsid w:val="00D471CA"/>
    <w:rsid w:val="00D50A1D"/>
    <w:rsid w:val="00D51CB6"/>
    <w:rsid w:val="00D578CB"/>
    <w:rsid w:val="00D60811"/>
    <w:rsid w:val="00D736BD"/>
    <w:rsid w:val="00D745A8"/>
    <w:rsid w:val="00D747E2"/>
    <w:rsid w:val="00D80A45"/>
    <w:rsid w:val="00D818C3"/>
    <w:rsid w:val="00D84229"/>
    <w:rsid w:val="00D867B1"/>
    <w:rsid w:val="00D87F93"/>
    <w:rsid w:val="00D91996"/>
    <w:rsid w:val="00D94818"/>
    <w:rsid w:val="00D959B2"/>
    <w:rsid w:val="00D96C02"/>
    <w:rsid w:val="00D96DB6"/>
    <w:rsid w:val="00DA3E57"/>
    <w:rsid w:val="00DA3F38"/>
    <w:rsid w:val="00DA407E"/>
    <w:rsid w:val="00DA4B0A"/>
    <w:rsid w:val="00DA4D0C"/>
    <w:rsid w:val="00DB1AC4"/>
    <w:rsid w:val="00DB577D"/>
    <w:rsid w:val="00DC3A03"/>
    <w:rsid w:val="00DC3D92"/>
    <w:rsid w:val="00DC5162"/>
    <w:rsid w:val="00DD0332"/>
    <w:rsid w:val="00DD4182"/>
    <w:rsid w:val="00DD507E"/>
    <w:rsid w:val="00DD6BF4"/>
    <w:rsid w:val="00DD6CF9"/>
    <w:rsid w:val="00DE3AA9"/>
    <w:rsid w:val="00DE54C3"/>
    <w:rsid w:val="00DE57AA"/>
    <w:rsid w:val="00DE5ADD"/>
    <w:rsid w:val="00DE6393"/>
    <w:rsid w:val="00DE66A9"/>
    <w:rsid w:val="00DE6CD7"/>
    <w:rsid w:val="00DF30A5"/>
    <w:rsid w:val="00DF4A39"/>
    <w:rsid w:val="00DF6408"/>
    <w:rsid w:val="00E02397"/>
    <w:rsid w:val="00E04B5A"/>
    <w:rsid w:val="00E05DA0"/>
    <w:rsid w:val="00E062F9"/>
    <w:rsid w:val="00E0665C"/>
    <w:rsid w:val="00E11D31"/>
    <w:rsid w:val="00E205E5"/>
    <w:rsid w:val="00E20664"/>
    <w:rsid w:val="00E236A5"/>
    <w:rsid w:val="00E25344"/>
    <w:rsid w:val="00E27B52"/>
    <w:rsid w:val="00E31D48"/>
    <w:rsid w:val="00E36746"/>
    <w:rsid w:val="00E368B2"/>
    <w:rsid w:val="00E4480D"/>
    <w:rsid w:val="00E520FF"/>
    <w:rsid w:val="00E523D6"/>
    <w:rsid w:val="00E525A8"/>
    <w:rsid w:val="00E665CA"/>
    <w:rsid w:val="00E70A48"/>
    <w:rsid w:val="00E72202"/>
    <w:rsid w:val="00E73818"/>
    <w:rsid w:val="00E7454A"/>
    <w:rsid w:val="00E75FF7"/>
    <w:rsid w:val="00E77022"/>
    <w:rsid w:val="00E831A3"/>
    <w:rsid w:val="00E838B7"/>
    <w:rsid w:val="00E84118"/>
    <w:rsid w:val="00E85936"/>
    <w:rsid w:val="00E930C1"/>
    <w:rsid w:val="00EA0A58"/>
    <w:rsid w:val="00EA3CA8"/>
    <w:rsid w:val="00EA4765"/>
    <w:rsid w:val="00EA4FD8"/>
    <w:rsid w:val="00EA7E61"/>
    <w:rsid w:val="00EB621C"/>
    <w:rsid w:val="00EC1A09"/>
    <w:rsid w:val="00EC3979"/>
    <w:rsid w:val="00EC3C6F"/>
    <w:rsid w:val="00EC4F99"/>
    <w:rsid w:val="00EC5BD0"/>
    <w:rsid w:val="00EC7C10"/>
    <w:rsid w:val="00ED03A2"/>
    <w:rsid w:val="00ED2860"/>
    <w:rsid w:val="00ED29F1"/>
    <w:rsid w:val="00ED3CA6"/>
    <w:rsid w:val="00ED6759"/>
    <w:rsid w:val="00ED7CCD"/>
    <w:rsid w:val="00EE26C9"/>
    <w:rsid w:val="00EE3141"/>
    <w:rsid w:val="00EE7900"/>
    <w:rsid w:val="00EF1695"/>
    <w:rsid w:val="00EF2074"/>
    <w:rsid w:val="00EF3A25"/>
    <w:rsid w:val="00EF43F5"/>
    <w:rsid w:val="00EF46E6"/>
    <w:rsid w:val="00F00374"/>
    <w:rsid w:val="00F008C0"/>
    <w:rsid w:val="00F0158C"/>
    <w:rsid w:val="00F017BF"/>
    <w:rsid w:val="00F04F4D"/>
    <w:rsid w:val="00F052D5"/>
    <w:rsid w:val="00F0544F"/>
    <w:rsid w:val="00F06181"/>
    <w:rsid w:val="00F11410"/>
    <w:rsid w:val="00F14373"/>
    <w:rsid w:val="00F16AAC"/>
    <w:rsid w:val="00F16D8B"/>
    <w:rsid w:val="00F21D3D"/>
    <w:rsid w:val="00F30376"/>
    <w:rsid w:val="00F33810"/>
    <w:rsid w:val="00F419B7"/>
    <w:rsid w:val="00F4367C"/>
    <w:rsid w:val="00F4399F"/>
    <w:rsid w:val="00F43AA4"/>
    <w:rsid w:val="00F500A7"/>
    <w:rsid w:val="00F51386"/>
    <w:rsid w:val="00F5456E"/>
    <w:rsid w:val="00F5729C"/>
    <w:rsid w:val="00F57ABD"/>
    <w:rsid w:val="00F616AB"/>
    <w:rsid w:val="00F65645"/>
    <w:rsid w:val="00F678C1"/>
    <w:rsid w:val="00F7229A"/>
    <w:rsid w:val="00F770B1"/>
    <w:rsid w:val="00F832B0"/>
    <w:rsid w:val="00F83F0D"/>
    <w:rsid w:val="00F919EA"/>
    <w:rsid w:val="00F91EC6"/>
    <w:rsid w:val="00F92E34"/>
    <w:rsid w:val="00F9550A"/>
    <w:rsid w:val="00FA6675"/>
    <w:rsid w:val="00FA7E2F"/>
    <w:rsid w:val="00FB6FC3"/>
    <w:rsid w:val="00FC1EDC"/>
    <w:rsid w:val="00FC27A3"/>
    <w:rsid w:val="00FC443C"/>
    <w:rsid w:val="00FC549C"/>
    <w:rsid w:val="00FD2305"/>
    <w:rsid w:val="00FD4666"/>
    <w:rsid w:val="00FD5531"/>
    <w:rsid w:val="00FD5D6C"/>
    <w:rsid w:val="00FD6247"/>
    <w:rsid w:val="00FE059A"/>
    <w:rsid w:val="00FE078F"/>
    <w:rsid w:val="00FE2198"/>
    <w:rsid w:val="00FE2BDE"/>
    <w:rsid w:val="00FE52E6"/>
    <w:rsid w:val="00FE5E51"/>
    <w:rsid w:val="00FE7515"/>
    <w:rsid w:val="00FF200A"/>
    <w:rsid w:val="00FF24FA"/>
    <w:rsid w:val="00FF3353"/>
    <w:rsid w:val="00FF4F76"/>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character" w:customStyle="1" w:styleId="SinespaciadoCar">
    <w:name w:val="Sin espaciado Car"/>
    <w:link w:val="Sinespaciado"/>
    <w:uiPriority w:val="1"/>
    <w:locked/>
    <w:rsid w:val="00B52D1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681791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5878414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90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2224-DFCA-4858-B0F4-61144817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10</Pages>
  <Words>3876</Words>
  <Characters>21319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50</cp:revision>
  <cp:lastPrinted>2018-06-18T14:05:00Z</cp:lastPrinted>
  <dcterms:created xsi:type="dcterms:W3CDTF">2018-06-08T14:20:00Z</dcterms:created>
  <dcterms:modified xsi:type="dcterms:W3CDTF">2019-05-27T19:22:00Z</dcterms:modified>
</cp:coreProperties>
</file>