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589D" w14:textId="77777777" w:rsidR="00005D4B" w:rsidRPr="00005D4B" w:rsidRDefault="00005D4B" w:rsidP="00005D4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05D4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2E43E5" w14:textId="77777777" w:rsidR="00005D4B" w:rsidRPr="00005D4B" w:rsidRDefault="00005D4B" w:rsidP="00005D4B">
      <w:pPr>
        <w:jc w:val="both"/>
        <w:rPr>
          <w:rFonts w:ascii="Arial" w:hAnsi="Arial" w:cs="Arial"/>
          <w:sz w:val="20"/>
          <w:lang w:val="es-419"/>
        </w:rPr>
      </w:pPr>
    </w:p>
    <w:p w14:paraId="2081F7C6" w14:textId="6BFB3816" w:rsidR="00005D4B" w:rsidRPr="00005D4B" w:rsidRDefault="00005D4B" w:rsidP="00005D4B">
      <w:pPr>
        <w:jc w:val="both"/>
        <w:rPr>
          <w:rFonts w:ascii="Arial" w:hAnsi="Arial" w:cs="Arial"/>
          <w:sz w:val="20"/>
          <w:lang w:val="es-419"/>
        </w:rPr>
      </w:pPr>
      <w:r w:rsidRPr="00005D4B">
        <w:rPr>
          <w:rFonts w:ascii="Arial" w:hAnsi="Arial" w:cs="Arial"/>
          <w:sz w:val="20"/>
          <w:lang w:val="es-419"/>
        </w:rPr>
        <w:t>Providencia:</w:t>
      </w:r>
      <w:r w:rsidRPr="00005D4B">
        <w:rPr>
          <w:rFonts w:ascii="Arial" w:hAnsi="Arial" w:cs="Arial"/>
          <w:sz w:val="20"/>
          <w:lang w:val="es-419"/>
        </w:rPr>
        <w:tab/>
      </w:r>
      <w:r w:rsidRPr="00005D4B">
        <w:rPr>
          <w:rFonts w:ascii="Arial" w:hAnsi="Arial" w:cs="Arial"/>
          <w:sz w:val="20"/>
          <w:lang w:val="es-419"/>
        </w:rPr>
        <w:tab/>
        <w:t>Ap</w:t>
      </w:r>
      <w:r w:rsidR="002E5C8F">
        <w:rPr>
          <w:rFonts w:ascii="Arial" w:hAnsi="Arial" w:cs="Arial"/>
          <w:sz w:val="20"/>
          <w:lang w:val="es-419"/>
        </w:rPr>
        <w:t>elación y consulta de sentencia</w:t>
      </w:r>
    </w:p>
    <w:p w14:paraId="350B3A8D" w14:textId="630D0D6D" w:rsidR="00005D4B" w:rsidRPr="00005D4B" w:rsidRDefault="002E5C8F" w:rsidP="00005D4B">
      <w:pPr>
        <w:jc w:val="both"/>
        <w:rPr>
          <w:rFonts w:ascii="Arial" w:hAnsi="Arial" w:cs="Arial"/>
          <w:sz w:val="20"/>
          <w:lang w:val="es-419"/>
        </w:rPr>
      </w:pPr>
      <w:r>
        <w:rPr>
          <w:rFonts w:ascii="Arial" w:hAnsi="Arial" w:cs="Arial"/>
          <w:sz w:val="20"/>
          <w:lang w:val="es-419"/>
        </w:rPr>
        <w:t>Proceso:</w:t>
      </w:r>
      <w:r>
        <w:rPr>
          <w:rFonts w:ascii="Arial" w:hAnsi="Arial" w:cs="Arial"/>
          <w:sz w:val="20"/>
          <w:lang w:val="es-419"/>
        </w:rPr>
        <w:tab/>
      </w:r>
      <w:r>
        <w:rPr>
          <w:rFonts w:ascii="Arial" w:hAnsi="Arial" w:cs="Arial"/>
          <w:sz w:val="20"/>
          <w:lang w:val="es-419"/>
        </w:rPr>
        <w:tab/>
        <w:t>Ordinario Laboral</w:t>
      </w:r>
    </w:p>
    <w:p w14:paraId="0AD201FA" w14:textId="77777777" w:rsidR="00005D4B" w:rsidRPr="00005D4B" w:rsidRDefault="00005D4B" w:rsidP="00005D4B">
      <w:pPr>
        <w:jc w:val="both"/>
        <w:rPr>
          <w:rFonts w:ascii="Arial" w:hAnsi="Arial" w:cs="Arial"/>
          <w:sz w:val="20"/>
          <w:lang w:val="es-419"/>
        </w:rPr>
      </w:pPr>
      <w:r w:rsidRPr="00005D4B">
        <w:rPr>
          <w:rFonts w:ascii="Arial" w:hAnsi="Arial" w:cs="Arial"/>
          <w:sz w:val="20"/>
          <w:lang w:val="es-419"/>
        </w:rPr>
        <w:t>Radicación No:</w:t>
      </w:r>
      <w:r w:rsidRPr="00005D4B">
        <w:rPr>
          <w:rFonts w:ascii="Arial" w:hAnsi="Arial" w:cs="Arial"/>
          <w:sz w:val="20"/>
          <w:lang w:val="es-419"/>
        </w:rPr>
        <w:tab/>
      </w:r>
      <w:r w:rsidRPr="00005D4B">
        <w:rPr>
          <w:rFonts w:ascii="Arial" w:hAnsi="Arial" w:cs="Arial"/>
          <w:sz w:val="20"/>
          <w:lang w:val="es-419"/>
        </w:rPr>
        <w:tab/>
        <w:t>66001-31-05-002-2017-00297-01</w:t>
      </w:r>
    </w:p>
    <w:p w14:paraId="35A283A0" w14:textId="392B1EAA" w:rsidR="00005D4B" w:rsidRPr="00005D4B" w:rsidRDefault="00005D4B" w:rsidP="00005D4B">
      <w:pPr>
        <w:jc w:val="both"/>
        <w:rPr>
          <w:rFonts w:ascii="Arial" w:hAnsi="Arial" w:cs="Arial"/>
          <w:sz w:val="20"/>
          <w:lang w:val="es-419"/>
        </w:rPr>
      </w:pPr>
      <w:r w:rsidRPr="00005D4B">
        <w:rPr>
          <w:rFonts w:ascii="Arial" w:hAnsi="Arial" w:cs="Arial"/>
          <w:sz w:val="20"/>
          <w:lang w:val="es-419"/>
        </w:rPr>
        <w:t>Demandante:</w:t>
      </w:r>
      <w:r>
        <w:rPr>
          <w:rFonts w:ascii="Arial" w:hAnsi="Arial" w:cs="Arial"/>
          <w:sz w:val="20"/>
          <w:lang w:val="es-419"/>
        </w:rPr>
        <w:tab/>
      </w:r>
      <w:r w:rsidRPr="00005D4B">
        <w:rPr>
          <w:rFonts w:ascii="Arial" w:hAnsi="Arial" w:cs="Arial"/>
          <w:sz w:val="20"/>
          <w:lang w:val="es-419"/>
        </w:rPr>
        <w:tab/>
        <w:t>Álvaro Alzate López</w:t>
      </w:r>
    </w:p>
    <w:p w14:paraId="36A0669E" w14:textId="5F0DFF20" w:rsidR="00005D4B" w:rsidRPr="00005D4B" w:rsidRDefault="00005D4B" w:rsidP="00005D4B">
      <w:pPr>
        <w:jc w:val="both"/>
        <w:rPr>
          <w:rFonts w:ascii="Arial" w:hAnsi="Arial" w:cs="Arial"/>
          <w:sz w:val="20"/>
          <w:lang w:val="es-419"/>
        </w:rPr>
      </w:pPr>
      <w:r w:rsidRPr="00005D4B">
        <w:rPr>
          <w:rFonts w:ascii="Arial" w:hAnsi="Arial" w:cs="Arial"/>
          <w:sz w:val="20"/>
          <w:lang w:val="es-419"/>
        </w:rPr>
        <w:t>Demandado:</w:t>
      </w:r>
      <w:r w:rsidRPr="00005D4B">
        <w:rPr>
          <w:rFonts w:ascii="Arial" w:hAnsi="Arial" w:cs="Arial"/>
          <w:sz w:val="20"/>
          <w:lang w:val="es-419"/>
        </w:rPr>
        <w:tab/>
      </w:r>
      <w:r>
        <w:rPr>
          <w:rFonts w:ascii="Arial" w:hAnsi="Arial" w:cs="Arial"/>
          <w:sz w:val="20"/>
          <w:lang w:val="es-419"/>
        </w:rPr>
        <w:tab/>
        <w:t>Colpensiones y Protección S.A.</w:t>
      </w:r>
    </w:p>
    <w:p w14:paraId="57EF7F42" w14:textId="6F6CFFEF" w:rsidR="00005D4B" w:rsidRPr="00005D4B" w:rsidRDefault="00005D4B" w:rsidP="00005D4B">
      <w:pPr>
        <w:jc w:val="both"/>
        <w:rPr>
          <w:rFonts w:ascii="Arial" w:hAnsi="Arial" w:cs="Arial"/>
          <w:sz w:val="20"/>
          <w:lang w:val="es-419"/>
        </w:rPr>
      </w:pPr>
      <w:r w:rsidRPr="00005D4B">
        <w:rPr>
          <w:rFonts w:ascii="Arial" w:hAnsi="Arial" w:cs="Arial"/>
          <w:sz w:val="20"/>
          <w:lang w:val="es-419"/>
        </w:rPr>
        <w:t>Juzgado de origen:</w:t>
      </w:r>
      <w:r w:rsidRPr="00005D4B">
        <w:rPr>
          <w:rFonts w:ascii="Arial" w:hAnsi="Arial" w:cs="Arial"/>
          <w:sz w:val="20"/>
          <w:lang w:val="es-419"/>
        </w:rPr>
        <w:tab/>
        <w:t xml:space="preserve">Segundo </w:t>
      </w:r>
      <w:r w:rsidR="002E5C8F">
        <w:rPr>
          <w:rFonts w:ascii="Arial" w:hAnsi="Arial" w:cs="Arial"/>
          <w:sz w:val="20"/>
          <w:lang w:val="es-419"/>
        </w:rPr>
        <w:t>Laboral del Circuito de Pereira</w:t>
      </w:r>
    </w:p>
    <w:p w14:paraId="19F1E35E" w14:textId="77777777" w:rsidR="00005D4B" w:rsidRPr="00005D4B" w:rsidRDefault="00005D4B" w:rsidP="00005D4B">
      <w:pPr>
        <w:jc w:val="both"/>
        <w:rPr>
          <w:rFonts w:ascii="Arial" w:hAnsi="Arial" w:cs="Arial"/>
          <w:sz w:val="20"/>
          <w:lang w:val="es-419"/>
        </w:rPr>
      </w:pPr>
    </w:p>
    <w:p w14:paraId="6FAC3F33" w14:textId="63A4ABE0" w:rsidR="00005D4B" w:rsidRPr="00005D4B" w:rsidRDefault="00005D4B" w:rsidP="00005D4B">
      <w:pPr>
        <w:jc w:val="both"/>
        <w:rPr>
          <w:rFonts w:ascii="Arial" w:hAnsi="Arial" w:cs="Arial"/>
          <w:b/>
          <w:bCs/>
          <w:iCs/>
          <w:sz w:val="20"/>
          <w:lang w:val="es-419" w:eastAsia="fr-FR"/>
        </w:rPr>
      </w:pPr>
      <w:r w:rsidRPr="00005D4B">
        <w:rPr>
          <w:rFonts w:ascii="Arial" w:hAnsi="Arial" w:cs="Arial"/>
          <w:b/>
          <w:bCs/>
          <w:iCs/>
          <w:sz w:val="20"/>
          <w:lang w:val="es-419" w:eastAsia="fr-FR"/>
        </w:rPr>
        <w:t>TEMAS:</w:t>
      </w:r>
      <w:r w:rsidRPr="00005D4B">
        <w:rPr>
          <w:rFonts w:ascii="Arial" w:hAnsi="Arial" w:cs="Arial"/>
          <w:b/>
          <w:bCs/>
          <w:iCs/>
          <w:sz w:val="20"/>
          <w:lang w:val="es-419" w:eastAsia="fr-FR"/>
        </w:rPr>
        <w:tab/>
      </w:r>
      <w:r w:rsidR="00014DB7" w:rsidRPr="00014DB7">
        <w:rPr>
          <w:rFonts w:ascii="Arial" w:hAnsi="Arial" w:cs="Arial"/>
          <w:b/>
          <w:sz w:val="20"/>
          <w:lang w:val="es-419"/>
        </w:rPr>
        <w:t>INEFICACIA DEL TRASLADO DE RÉGIMEN PENSIONAL / DERECHO A LA LIBRE ESCOGENCIA / CARGA PROBATORIA DEL DEMANDANTE / DEMOSTRAR QUE LA AFP INCUMPLIÓ DEBER DE BRINDARLE INFORMAC</w:t>
      </w:r>
      <w:r w:rsidR="00E0469B">
        <w:rPr>
          <w:rFonts w:ascii="Arial" w:hAnsi="Arial" w:cs="Arial"/>
          <w:b/>
          <w:sz w:val="20"/>
          <w:lang w:val="es-419"/>
        </w:rPr>
        <w:t>IÓN ADECUADA, COMPLETA Y VERAZ.</w:t>
      </w:r>
    </w:p>
    <w:p w14:paraId="3E016E41" w14:textId="77777777" w:rsidR="00005D4B" w:rsidRPr="00005D4B" w:rsidRDefault="00005D4B" w:rsidP="00005D4B">
      <w:pPr>
        <w:jc w:val="both"/>
        <w:rPr>
          <w:rFonts w:ascii="Arial" w:hAnsi="Arial" w:cs="Arial"/>
          <w:sz w:val="20"/>
          <w:lang w:val="es-419"/>
        </w:rPr>
      </w:pPr>
    </w:p>
    <w:p w14:paraId="252912CE" w14:textId="792199D1" w:rsidR="008E3CEA" w:rsidRPr="008E3CEA" w:rsidRDefault="008E3CEA" w:rsidP="008E3CEA">
      <w:pPr>
        <w:jc w:val="both"/>
        <w:rPr>
          <w:rFonts w:ascii="Arial" w:hAnsi="Arial" w:cs="Arial"/>
          <w:sz w:val="20"/>
          <w:lang w:val="es-419"/>
        </w:rPr>
      </w:pPr>
      <w:r>
        <w:rPr>
          <w:rFonts w:ascii="Arial" w:hAnsi="Arial" w:cs="Arial"/>
          <w:sz w:val="20"/>
          <w:lang w:val="es-CO"/>
        </w:rPr>
        <w:t xml:space="preserve">… </w:t>
      </w:r>
      <w:r w:rsidRPr="008E3CEA">
        <w:rPr>
          <w:rFonts w:ascii="Arial" w:hAnsi="Arial" w:cs="Arial"/>
          <w:sz w:val="20"/>
          <w:lang w:val="es-419"/>
        </w:rPr>
        <w:t xml:space="preserve">la intelección que se tiene radica en que el literal b) del artículo 13 de la Ley 100/93 establece que la escogencia de cualquiera de los regímenes pensionales contemplados en dicha ley es libre y voluntaria por parte del afiliado; consentimiento que se manifiesta por escrito al momento del diligenciamiento de la vinculación o traslado, situación que de desconocerse acarrea las sanciones previstas en el inciso 1º del artículo 271 ibídem, consistentes de un lado en multas pecuniarias y de otro de vital importancia, dejar sin efecto la afiliación; en cuyo caso el trabajador podrá nuevamente elegir su régimen pensional en forma libre y espontánea, sin que por esto recobre vigencia la afiliación anterior, pues ello no es el efecto jurídico de la ineficacia que trae el canon citado. </w:t>
      </w:r>
    </w:p>
    <w:p w14:paraId="33C32DFF" w14:textId="77777777" w:rsidR="008E3CEA" w:rsidRPr="008E3CEA" w:rsidRDefault="008E3CEA" w:rsidP="008E3CEA">
      <w:pPr>
        <w:jc w:val="both"/>
        <w:rPr>
          <w:rFonts w:ascii="Arial" w:hAnsi="Arial" w:cs="Arial"/>
          <w:sz w:val="20"/>
          <w:lang w:val="es-419"/>
        </w:rPr>
      </w:pPr>
    </w:p>
    <w:p w14:paraId="61C85C36" w14:textId="77777777" w:rsidR="008E3CEA" w:rsidRPr="008E3CEA" w:rsidRDefault="008E3CEA" w:rsidP="008E3CEA">
      <w:pPr>
        <w:jc w:val="both"/>
        <w:rPr>
          <w:rFonts w:ascii="Arial" w:hAnsi="Arial" w:cs="Arial"/>
          <w:sz w:val="20"/>
          <w:lang w:val="es-419"/>
        </w:rPr>
      </w:pPr>
      <w:r w:rsidRPr="008E3CEA">
        <w:rPr>
          <w:rFonts w:ascii="Arial" w:hAnsi="Arial" w:cs="Arial"/>
          <w:sz w:val="20"/>
          <w:lang w:val="es-419"/>
        </w:rPr>
        <w:t xml:space="preserve">Ahora bien, el desconocimiento del derecho de libre y voluntaria elección de régimen se manifiesta cuando existe una disconformidad entre la voluntad interna del trabajador y la declaración o manifestación que de ésta haga a su interlocutor en el momento de elegir el régimen pensional. </w:t>
      </w:r>
    </w:p>
    <w:p w14:paraId="5E8675E2" w14:textId="77777777" w:rsidR="008E3CEA" w:rsidRPr="008E3CEA" w:rsidRDefault="008E3CEA" w:rsidP="008E3CEA">
      <w:pPr>
        <w:jc w:val="both"/>
        <w:rPr>
          <w:rFonts w:ascii="Arial" w:hAnsi="Arial" w:cs="Arial"/>
          <w:sz w:val="20"/>
          <w:lang w:val="es-419"/>
        </w:rPr>
      </w:pPr>
    </w:p>
    <w:p w14:paraId="57EF8EA6" w14:textId="5E2B3BAD" w:rsidR="00005D4B" w:rsidRDefault="008E3CEA" w:rsidP="008E3CEA">
      <w:pPr>
        <w:jc w:val="both"/>
        <w:rPr>
          <w:rFonts w:ascii="Arial" w:hAnsi="Arial" w:cs="Arial"/>
          <w:sz w:val="20"/>
          <w:lang w:val="es-CO"/>
        </w:rPr>
      </w:pPr>
      <w:r w:rsidRPr="008E3CEA">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r>
        <w:rPr>
          <w:rFonts w:ascii="Arial" w:hAnsi="Arial" w:cs="Arial"/>
          <w:sz w:val="20"/>
          <w:lang w:val="es-CO"/>
        </w:rPr>
        <w:t xml:space="preserve"> (…)</w:t>
      </w:r>
    </w:p>
    <w:p w14:paraId="24878FB0" w14:textId="77777777" w:rsidR="00E76971" w:rsidRDefault="00E76971" w:rsidP="008E3CEA">
      <w:pPr>
        <w:jc w:val="both"/>
        <w:rPr>
          <w:rFonts w:ascii="Arial" w:hAnsi="Arial" w:cs="Arial"/>
          <w:sz w:val="20"/>
          <w:lang w:val="es-CO"/>
        </w:rPr>
      </w:pPr>
    </w:p>
    <w:p w14:paraId="7FA00E6D" w14:textId="58E7338B" w:rsidR="00E76971" w:rsidRDefault="00E76971" w:rsidP="008E3CEA">
      <w:pPr>
        <w:jc w:val="both"/>
        <w:rPr>
          <w:rFonts w:ascii="Arial" w:hAnsi="Arial" w:cs="Arial"/>
          <w:sz w:val="20"/>
          <w:lang w:val="es-CO"/>
        </w:rPr>
      </w:pPr>
      <w:r w:rsidRPr="00E76971">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brindarle la información adecuada, comple</w:t>
      </w:r>
      <w:bookmarkStart w:id="0" w:name="_GoBack"/>
      <w:r w:rsidRPr="00E76971">
        <w:rPr>
          <w:rFonts w:ascii="Arial" w:hAnsi="Arial" w:cs="Arial"/>
          <w:sz w:val="20"/>
          <w:lang w:val="es-CO"/>
        </w:rPr>
        <w:t>ta y ver</w:t>
      </w:r>
      <w:bookmarkEnd w:id="0"/>
      <w:r w:rsidRPr="00E76971">
        <w:rPr>
          <w:rFonts w:ascii="Arial" w:hAnsi="Arial" w:cs="Arial"/>
          <w:sz w:val="20"/>
          <w:lang w:val="es-CO"/>
        </w:rPr>
        <w:t>az para tomar una decisión bajo el principio de la libertad informada</w:t>
      </w:r>
      <w:r>
        <w:rPr>
          <w:rFonts w:ascii="Arial" w:hAnsi="Arial" w:cs="Arial"/>
          <w:sz w:val="20"/>
          <w:lang w:val="es-CO"/>
        </w:rPr>
        <w:t>…</w:t>
      </w:r>
    </w:p>
    <w:p w14:paraId="38B133FD" w14:textId="77777777" w:rsidR="00E76971" w:rsidRDefault="00E76971" w:rsidP="008E3CEA">
      <w:pPr>
        <w:jc w:val="both"/>
        <w:rPr>
          <w:rFonts w:ascii="Arial" w:hAnsi="Arial" w:cs="Arial"/>
          <w:sz w:val="20"/>
          <w:lang w:val="es-CO"/>
        </w:rPr>
      </w:pPr>
    </w:p>
    <w:p w14:paraId="0124383F" w14:textId="33723D23" w:rsidR="00E76971" w:rsidRDefault="00E76971" w:rsidP="008E3CEA">
      <w:pPr>
        <w:jc w:val="both"/>
        <w:rPr>
          <w:rFonts w:ascii="Arial" w:hAnsi="Arial" w:cs="Arial"/>
          <w:sz w:val="20"/>
          <w:lang w:val="es-CO"/>
        </w:rPr>
      </w:pPr>
      <w:r w:rsidRPr="00E76971">
        <w:rPr>
          <w:rFonts w:ascii="Arial" w:hAnsi="Arial" w:cs="Arial"/>
          <w:sz w:val="20"/>
          <w:lang w:val="es-CO"/>
        </w:rPr>
        <w:t>Lo dicho adquiere más significado, si en cuenta se tiene que, al sancionarse con la ineficacia el negocio jurídico de afiliación celebrado entre el actor y una AFP, quien realmente sufre los efectos es Colpensiones, tercero que no participó tan siquiera en la etapa precontractual indispensable para la válida formación del consentimiento que ahora se pretende sea sancionado, y quien además, deberá asumir la carga impositiva que deviene de un nuevo afiliado</w:t>
      </w:r>
      <w:r>
        <w:rPr>
          <w:rFonts w:ascii="Arial" w:hAnsi="Arial" w:cs="Arial"/>
          <w:sz w:val="20"/>
          <w:lang w:val="es-CO"/>
        </w:rPr>
        <w:t>…</w:t>
      </w:r>
    </w:p>
    <w:p w14:paraId="40A0393D" w14:textId="77777777" w:rsidR="00E76971" w:rsidRDefault="00E76971" w:rsidP="008E3CEA">
      <w:pPr>
        <w:jc w:val="both"/>
        <w:rPr>
          <w:rFonts w:ascii="Arial" w:hAnsi="Arial" w:cs="Arial"/>
          <w:sz w:val="20"/>
          <w:lang w:val="es-CO"/>
        </w:rPr>
      </w:pPr>
    </w:p>
    <w:p w14:paraId="5DC0BB9D" w14:textId="0947103F" w:rsidR="00E76971" w:rsidRDefault="00014DB7" w:rsidP="008E3CEA">
      <w:pPr>
        <w:jc w:val="both"/>
        <w:rPr>
          <w:rFonts w:ascii="Arial" w:hAnsi="Arial" w:cs="Arial"/>
          <w:sz w:val="20"/>
          <w:lang w:val="es-CO"/>
        </w:rPr>
      </w:pPr>
      <w:r w:rsidRPr="00014DB7">
        <w:rPr>
          <w:rFonts w:ascii="Arial" w:hAnsi="Arial" w:cs="Arial"/>
          <w:sz w:val="20"/>
          <w:lang w:val="es-CO"/>
        </w:rPr>
        <w:t>Puestas de ese modo las cosas, y apreciadas en conjunto las anteriores probanzas, se desprende que la información suministrada al demandante fue clara y veraz, en tanto sabía las características del RAIS, máxime que aun conociendo que no era conveniente continuar en dicho régimen, decidió permanecer allí, actitud de la que se infiere su conformidad con la decisión realizada en 1997 y por ende, se desprende que la información fue adecuada en el propósito de tomar una decisión informada, libre y voluntaria.</w:t>
      </w:r>
    </w:p>
    <w:p w14:paraId="3564F8BB" w14:textId="77777777" w:rsidR="00014DB7" w:rsidRDefault="00014DB7" w:rsidP="008E3CEA">
      <w:pPr>
        <w:jc w:val="both"/>
        <w:rPr>
          <w:rFonts w:ascii="Arial" w:hAnsi="Arial" w:cs="Arial"/>
          <w:sz w:val="20"/>
          <w:lang w:val="es-CO"/>
        </w:rPr>
      </w:pPr>
    </w:p>
    <w:p w14:paraId="0A063266" w14:textId="65FDEC7F" w:rsidR="00014DB7" w:rsidRDefault="001F3DE2" w:rsidP="00014DB7">
      <w:pPr>
        <w:jc w:val="both"/>
        <w:rPr>
          <w:rFonts w:ascii="Arial" w:hAnsi="Arial" w:cs="Arial"/>
          <w:b/>
          <w:color w:val="FF0000"/>
          <w:sz w:val="20"/>
          <w:lang w:val="es-CO"/>
        </w:rPr>
      </w:pPr>
      <w:r>
        <w:rPr>
          <w:rFonts w:ascii="Arial" w:hAnsi="Arial" w:cs="Arial"/>
          <w:b/>
          <w:color w:val="FF0000"/>
          <w:sz w:val="20"/>
          <w:lang w:val="es-CO"/>
        </w:rPr>
        <w:t xml:space="preserve">ACLARACIÓN </w:t>
      </w:r>
      <w:r w:rsidR="00014DB7" w:rsidRPr="00306CAC">
        <w:rPr>
          <w:rFonts w:ascii="Arial" w:hAnsi="Arial" w:cs="Arial"/>
          <w:b/>
          <w:color w:val="FF0000"/>
          <w:sz w:val="20"/>
          <w:lang w:val="es-CO"/>
        </w:rPr>
        <w:t>DE VOTO: DOCTOR</w:t>
      </w:r>
      <w:r>
        <w:rPr>
          <w:rFonts w:ascii="Arial" w:hAnsi="Arial" w:cs="Arial"/>
          <w:b/>
          <w:color w:val="FF0000"/>
          <w:sz w:val="20"/>
          <w:lang w:val="es-CO"/>
        </w:rPr>
        <w:t xml:space="preserve"> JULIO CÉSAR SALAZAR MUÑOZ</w:t>
      </w:r>
    </w:p>
    <w:p w14:paraId="7DA6FB5E" w14:textId="77777777" w:rsidR="00014DB7" w:rsidRPr="00005D4B" w:rsidRDefault="00014DB7" w:rsidP="008E3CEA">
      <w:pPr>
        <w:jc w:val="both"/>
        <w:rPr>
          <w:rFonts w:ascii="Arial" w:hAnsi="Arial" w:cs="Arial"/>
          <w:sz w:val="20"/>
          <w:lang w:val="es-CO"/>
        </w:rPr>
      </w:pPr>
    </w:p>
    <w:p w14:paraId="3C85D469" w14:textId="77777777" w:rsidR="002F69F0" w:rsidRPr="002F69F0" w:rsidRDefault="002F69F0" w:rsidP="002F69F0">
      <w:pPr>
        <w:jc w:val="both"/>
        <w:rPr>
          <w:rFonts w:ascii="Arial" w:hAnsi="Arial" w:cs="Arial"/>
          <w:sz w:val="20"/>
          <w:lang w:val="es-419"/>
        </w:rPr>
      </w:pPr>
      <w:r w:rsidRPr="002F69F0">
        <w:rPr>
          <w:rFonts w:ascii="Arial" w:hAnsi="Arial" w:cs="Arial"/>
          <w:sz w:val="20"/>
          <w:lang w:val="es-419"/>
        </w:rPr>
        <w:t>Estoy de acuerdo con la decisión de revocar la sentencia de primera instancia que concedió la declaración de ineficacia del traslado y aunque coincido con la mayor parte de la argumentación que para llegar a tal solución fue expuesta en la providencia, me parece necesario aclarar las razones que en este tipo de asuntos me han llevado a considerar que se deben negar las nulidades o ineficacias solicitadas.</w:t>
      </w:r>
    </w:p>
    <w:p w14:paraId="75329915" w14:textId="77777777" w:rsidR="002F69F0" w:rsidRPr="002F69F0" w:rsidRDefault="002F69F0" w:rsidP="002F69F0">
      <w:pPr>
        <w:jc w:val="both"/>
        <w:rPr>
          <w:rFonts w:ascii="Arial" w:hAnsi="Arial" w:cs="Arial"/>
          <w:sz w:val="20"/>
          <w:lang w:val="es-419"/>
        </w:rPr>
      </w:pPr>
    </w:p>
    <w:p w14:paraId="3127ABC6" w14:textId="77777777" w:rsidR="002F69F0" w:rsidRPr="002F69F0" w:rsidRDefault="002F69F0" w:rsidP="002F69F0">
      <w:pPr>
        <w:jc w:val="both"/>
        <w:rPr>
          <w:rFonts w:ascii="Arial" w:hAnsi="Arial" w:cs="Arial"/>
          <w:sz w:val="20"/>
          <w:lang w:val="es-419"/>
        </w:rPr>
      </w:pPr>
      <w:r w:rsidRPr="002F69F0">
        <w:rPr>
          <w:rFonts w:ascii="Arial" w:hAnsi="Arial" w:cs="Arial"/>
          <w:sz w:val="20"/>
          <w:lang w:val="es-419"/>
        </w:rPr>
        <w:t>Para tal efecto entonces téngase en cuenta el siguiente derrotero argumentativo:</w:t>
      </w:r>
    </w:p>
    <w:p w14:paraId="59F58932" w14:textId="77777777" w:rsidR="002F69F0" w:rsidRPr="002F69F0" w:rsidRDefault="002F69F0" w:rsidP="002F69F0">
      <w:pPr>
        <w:jc w:val="both"/>
        <w:rPr>
          <w:rFonts w:ascii="Arial" w:hAnsi="Arial" w:cs="Arial"/>
          <w:sz w:val="20"/>
          <w:lang w:val="es-419"/>
        </w:rPr>
      </w:pPr>
    </w:p>
    <w:p w14:paraId="04EF97A4" w14:textId="76992DE4" w:rsidR="000E0D52" w:rsidRDefault="000E0D52" w:rsidP="002F69F0">
      <w:pPr>
        <w:jc w:val="both"/>
        <w:rPr>
          <w:rFonts w:ascii="Arial" w:hAnsi="Arial" w:cs="Arial"/>
          <w:sz w:val="20"/>
          <w:lang w:val="es-419"/>
        </w:rPr>
      </w:pPr>
      <w:r>
        <w:rPr>
          <w:rFonts w:ascii="Arial" w:hAnsi="Arial" w:cs="Arial"/>
          <w:sz w:val="20"/>
          <w:lang w:val="es-CO"/>
        </w:rPr>
        <w:t xml:space="preserve">- </w:t>
      </w:r>
      <w:r w:rsidR="002F69F0" w:rsidRPr="002F69F0">
        <w:rPr>
          <w:rFonts w:ascii="Arial" w:hAnsi="Arial" w:cs="Arial"/>
          <w:sz w:val="20"/>
          <w:lang w:val="es-419"/>
        </w:rPr>
        <w:t>IMPOSIBILIDAD JURÍDICA DE IMPONER RESPONSABILIDAD A COLPENSIONES.</w:t>
      </w:r>
    </w:p>
    <w:p w14:paraId="44C72C51" w14:textId="6D827052" w:rsidR="00F1499F" w:rsidRPr="00F1499F" w:rsidRDefault="000E0D52" w:rsidP="00F1499F">
      <w:pPr>
        <w:jc w:val="both"/>
        <w:rPr>
          <w:rFonts w:ascii="Arial" w:hAnsi="Arial" w:cs="Arial"/>
          <w:sz w:val="20"/>
          <w:lang w:val="es-419"/>
        </w:rPr>
      </w:pPr>
      <w:r>
        <w:rPr>
          <w:rFonts w:ascii="Arial" w:hAnsi="Arial" w:cs="Arial"/>
          <w:sz w:val="20"/>
          <w:lang w:val="es-CO"/>
        </w:rPr>
        <w:t xml:space="preserve">- </w:t>
      </w:r>
      <w:r w:rsidR="00F1499F" w:rsidRPr="00F1499F">
        <w:rPr>
          <w:rFonts w:ascii="Arial" w:hAnsi="Arial" w:cs="Arial"/>
          <w:sz w:val="20"/>
          <w:lang w:val="es-419"/>
        </w:rPr>
        <w:t>JURISPRUDENCIA VIGENTE SOBRE LA INEFICACIA DE LA AFILIACIÓN AL RÉGIMEN DE AHORRO INDIVIDUAL CON SOLIDARIDAD.</w:t>
      </w:r>
    </w:p>
    <w:p w14:paraId="151B24CA" w14:textId="401BFA97" w:rsidR="002F69F0" w:rsidRDefault="000E0D52" w:rsidP="00F1499F">
      <w:pPr>
        <w:jc w:val="both"/>
        <w:rPr>
          <w:rFonts w:ascii="Arial" w:hAnsi="Arial" w:cs="Arial"/>
          <w:sz w:val="20"/>
          <w:lang w:val="es-419"/>
        </w:rPr>
      </w:pPr>
      <w:r>
        <w:rPr>
          <w:rFonts w:ascii="Arial" w:hAnsi="Arial" w:cs="Arial"/>
          <w:sz w:val="20"/>
          <w:lang w:val="es-CO"/>
        </w:rPr>
        <w:lastRenderedPageBreak/>
        <w:t xml:space="preserve">- </w:t>
      </w:r>
      <w:r w:rsidR="00F1499F" w:rsidRPr="00F1499F">
        <w:rPr>
          <w:rFonts w:ascii="Arial" w:hAnsi="Arial" w:cs="Arial"/>
          <w:sz w:val="20"/>
          <w:lang w:val="es-419"/>
        </w:rPr>
        <w:t>VALOR NORMATIVO DE LAS SENTENCIAS PROFERIDAS POR LA CORTE SUPREMA DE JUSTICIA.</w:t>
      </w:r>
    </w:p>
    <w:p w14:paraId="6DD01D7B" w14:textId="77777777" w:rsidR="00F1499F" w:rsidRDefault="00F1499F" w:rsidP="00F1499F">
      <w:pPr>
        <w:jc w:val="both"/>
        <w:rPr>
          <w:rFonts w:ascii="Arial" w:hAnsi="Arial" w:cs="Arial"/>
          <w:sz w:val="20"/>
          <w:lang w:val="es-419"/>
        </w:rPr>
      </w:pPr>
    </w:p>
    <w:p w14:paraId="2D73B9FD" w14:textId="65A9FB30" w:rsidR="00F1499F" w:rsidRPr="00F1499F" w:rsidRDefault="00F1499F" w:rsidP="00F1499F">
      <w:pPr>
        <w:jc w:val="both"/>
        <w:rPr>
          <w:rFonts w:ascii="Arial" w:hAnsi="Arial" w:cs="Arial"/>
          <w:sz w:val="20"/>
          <w:lang w:val="es-419"/>
        </w:rPr>
      </w:pPr>
      <w:r>
        <w:rPr>
          <w:rFonts w:ascii="Arial" w:hAnsi="Arial" w:cs="Arial"/>
          <w:sz w:val="20"/>
          <w:lang w:val="es-CO"/>
        </w:rPr>
        <w:t>R</w:t>
      </w:r>
      <w:r w:rsidRPr="00F1499F">
        <w:rPr>
          <w:rFonts w:ascii="Arial" w:hAnsi="Arial" w:cs="Arial"/>
          <w:sz w:val="20"/>
          <w:lang w:val="es-419"/>
        </w:rPr>
        <w:t>azones que me llevan a apartarme de la puerta que abrió la corte suprema de justicia en lo relativo a la ampliación de la posibilidad de declarar la ineficacia del traslado a afiliados que no pertenecen al régimen de transición.</w:t>
      </w:r>
    </w:p>
    <w:p w14:paraId="4BB2ED82" w14:textId="77777777" w:rsidR="00F1499F" w:rsidRPr="00F1499F" w:rsidRDefault="00F1499F" w:rsidP="00F1499F">
      <w:pPr>
        <w:jc w:val="both"/>
        <w:rPr>
          <w:rFonts w:ascii="Arial" w:hAnsi="Arial" w:cs="Arial"/>
          <w:sz w:val="20"/>
          <w:lang w:val="es-419"/>
        </w:rPr>
      </w:pPr>
    </w:p>
    <w:p w14:paraId="6407DB43" w14:textId="7B3703DF" w:rsidR="00F1499F" w:rsidRDefault="000E0D52" w:rsidP="00F1499F">
      <w:pPr>
        <w:jc w:val="both"/>
        <w:rPr>
          <w:rFonts w:ascii="Arial" w:hAnsi="Arial" w:cs="Arial"/>
          <w:sz w:val="20"/>
          <w:lang w:val="es-419"/>
        </w:rPr>
      </w:pPr>
      <w:r>
        <w:rPr>
          <w:rFonts w:ascii="Arial" w:hAnsi="Arial" w:cs="Arial"/>
          <w:sz w:val="20"/>
          <w:lang w:val="es-CO"/>
        </w:rPr>
        <w:t xml:space="preserve">- </w:t>
      </w:r>
      <w:r w:rsidRPr="00F1499F">
        <w:rPr>
          <w:rFonts w:ascii="Arial" w:hAnsi="Arial" w:cs="Arial"/>
          <w:sz w:val="20"/>
          <w:lang w:val="es-419"/>
        </w:rPr>
        <w:t>Primera</w:t>
      </w:r>
      <w:r w:rsidR="00F1499F" w:rsidRPr="00F1499F">
        <w:rPr>
          <w:rFonts w:ascii="Arial" w:hAnsi="Arial" w:cs="Arial"/>
          <w:sz w:val="20"/>
          <w:lang w:val="es-419"/>
        </w:rPr>
        <w:t>: REGÍMENES PENSIONALES COEXISTENTES</w:t>
      </w:r>
    </w:p>
    <w:p w14:paraId="45164A9C" w14:textId="134B3AA8" w:rsidR="00F1499F" w:rsidRDefault="000E0D52" w:rsidP="00F1499F">
      <w:pPr>
        <w:jc w:val="both"/>
        <w:rPr>
          <w:rFonts w:ascii="Arial" w:hAnsi="Arial" w:cs="Arial"/>
          <w:sz w:val="20"/>
          <w:lang w:val="es-419"/>
        </w:rPr>
      </w:pPr>
      <w:r>
        <w:rPr>
          <w:rFonts w:ascii="Arial" w:hAnsi="Arial" w:cs="Arial"/>
          <w:sz w:val="20"/>
          <w:lang w:val="es-CO"/>
        </w:rPr>
        <w:t xml:space="preserve">- </w:t>
      </w:r>
      <w:r w:rsidRPr="00F1499F">
        <w:rPr>
          <w:rFonts w:ascii="Arial" w:hAnsi="Arial" w:cs="Arial"/>
          <w:sz w:val="20"/>
          <w:lang w:val="es-419"/>
        </w:rPr>
        <w:t>Segunda</w:t>
      </w:r>
      <w:r w:rsidR="00F1499F" w:rsidRPr="00F1499F">
        <w:rPr>
          <w:rFonts w:ascii="Arial" w:hAnsi="Arial" w:cs="Arial"/>
          <w:sz w:val="20"/>
          <w:lang w:val="es-419"/>
        </w:rPr>
        <w:t>: RAZÓN DE SER DE LA LIMITACIÓN DE TRASLADO CUANDO FALTEN MENOS DE 10 AÑOS. SENTENCIA C-1024 DE 2004</w:t>
      </w:r>
    </w:p>
    <w:p w14:paraId="68CAA47C" w14:textId="61A1D83F" w:rsidR="00A40C63" w:rsidRDefault="000E0D52" w:rsidP="00F1499F">
      <w:pPr>
        <w:jc w:val="both"/>
        <w:rPr>
          <w:rFonts w:ascii="Arial" w:hAnsi="Arial" w:cs="Arial"/>
          <w:sz w:val="20"/>
          <w:lang w:val="es-419"/>
        </w:rPr>
      </w:pPr>
      <w:r>
        <w:rPr>
          <w:rFonts w:ascii="Arial" w:hAnsi="Arial" w:cs="Arial"/>
          <w:sz w:val="20"/>
          <w:lang w:val="es-CO"/>
        </w:rPr>
        <w:t xml:space="preserve">- </w:t>
      </w:r>
      <w:r w:rsidRPr="00A40C63">
        <w:rPr>
          <w:rFonts w:ascii="Arial" w:hAnsi="Arial" w:cs="Arial"/>
          <w:sz w:val="20"/>
          <w:lang w:val="es-419"/>
        </w:rPr>
        <w:t>Tercera</w:t>
      </w:r>
      <w:r w:rsidR="00A40C63" w:rsidRPr="00A40C63">
        <w:rPr>
          <w:rFonts w:ascii="Arial" w:hAnsi="Arial" w:cs="Arial"/>
          <w:sz w:val="20"/>
          <w:lang w:val="es-419"/>
        </w:rPr>
        <w:t xml:space="preserve">: REALIDAD NORMATIVA SOBRE LA SUPUESTA FALTA DE INFORMACIÓN QUE </w:t>
      </w:r>
      <w:r w:rsidRPr="00A40C63">
        <w:rPr>
          <w:rFonts w:ascii="Arial" w:hAnsi="Arial" w:cs="Arial"/>
          <w:sz w:val="20"/>
          <w:lang w:val="es-419"/>
        </w:rPr>
        <w:t xml:space="preserve">GENERA </w:t>
      </w:r>
      <w:r w:rsidR="00A40C63" w:rsidRPr="00A40C63">
        <w:rPr>
          <w:rFonts w:ascii="Arial" w:hAnsi="Arial" w:cs="Arial"/>
          <w:sz w:val="20"/>
          <w:lang w:val="es-419"/>
        </w:rPr>
        <w:t>LA INEFICACIA DE LOS TRASLADOS (ARTÍCULO 11 DEL DECRETO 692 DE 1994 HOY 2.2.2.1.8 DEL D.U.R 1833/2016)</w:t>
      </w:r>
    </w:p>
    <w:p w14:paraId="791D4E89" w14:textId="51080EC3" w:rsidR="00A40C63" w:rsidRDefault="000E0D52" w:rsidP="00F1499F">
      <w:pPr>
        <w:jc w:val="both"/>
        <w:rPr>
          <w:rFonts w:ascii="Arial" w:hAnsi="Arial" w:cs="Arial"/>
          <w:sz w:val="20"/>
          <w:lang w:val="es-CO"/>
        </w:rPr>
      </w:pPr>
      <w:r>
        <w:rPr>
          <w:rFonts w:ascii="Arial" w:hAnsi="Arial" w:cs="Arial"/>
          <w:sz w:val="20"/>
          <w:lang w:val="es-CO"/>
        </w:rPr>
        <w:t xml:space="preserve">- </w:t>
      </w:r>
      <w:r w:rsidRPr="00A40C63">
        <w:rPr>
          <w:rFonts w:ascii="Arial" w:hAnsi="Arial" w:cs="Arial"/>
          <w:sz w:val="20"/>
          <w:lang w:val="es-419"/>
        </w:rPr>
        <w:t>Cuarta</w:t>
      </w:r>
      <w:r w:rsidR="00A40C63" w:rsidRPr="00A40C63">
        <w:rPr>
          <w:rFonts w:ascii="Arial" w:hAnsi="Arial" w:cs="Arial"/>
          <w:sz w:val="20"/>
          <w:lang w:val="es-419"/>
        </w:rPr>
        <w:t>: LA SUPUESTA FALTA DE INFORMACIÓN POR NO HABERSE REALIZADO PROYECCIONES SOBRE EL POSIBLE MONTO DE LA PENSIÓN</w:t>
      </w:r>
    </w:p>
    <w:p w14:paraId="702620AC" w14:textId="1006E05E" w:rsidR="00A40C63" w:rsidRDefault="000E0D52" w:rsidP="00F1499F">
      <w:pPr>
        <w:jc w:val="both"/>
        <w:rPr>
          <w:rFonts w:ascii="Arial" w:hAnsi="Arial" w:cs="Arial"/>
          <w:sz w:val="20"/>
          <w:lang w:val="es-CO"/>
        </w:rPr>
      </w:pPr>
      <w:r>
        <w:rPr>
          <w:rFonts w:ascii="Arial" w:hAnsi="Arial" w:cs="Arial"/>
          <w:sz w:val="20"/>
          <w:lang w:val="es-CO"/>
        </w:rPr>
        <w:t xml:space="preserve">- </w:t>
      </w:r>
      <w:r w:rsidRPr="00A40C63">
        <w:rPr>
          <w:rFonts w:ascii="Arial" w:hAnsi="Arial" w:cs="Arial"/>
          <w:sz w:val="20"/>
          <w:lang w:val="es-CO"/>
        </w:rPr>
        <w:t>Quinta</w:t>
      </w:r>
      <w:r w:rsidR="00A40C63" w:rsidRPr="00A40C63">
        <w:rPr>
          <w:rFonts w:ascii="Arial" w:hAnsi="Arial" w:cs="Arial"/>
          <w:sz w:val="20"/>
          <w:lang w:val="es-CO"/>
        </w:rPr>
        <w:t>: NULIDAD DE LOS ACTOS JURÍDI</w:t>
      </w:r>
      <w:r w:rsidR="00A40C63">
        <w:rPr>
          <w:rFonts w:ascii="Arial" w:hAnsi="Arial" w:cs="Arial"/>
          <w:sz w:val="20"/>
          <w:lang w:val="es-CO"/>
        </w:rPr>
        <w:t>COS Y OPORTUNIDAD PARA ALEGARLA</w:t>
      </w:r>
    </w:p>
    <w:p w14:paraId="022BBD33" w14:textId="358BC1BC" w:rsidR="00A40C63" w:rsidRDefault="000E0D52" w:rsidP="00F1499F">
      <w:pPr>
        <w:jc w:val="both"/>
        <w:rPr>
          <w:rFonts w:ascii="Arial" w:hAnsi="Arial" w:cs="Arial"/>
          <w:sz w:val="20"/>
          <w:lang w:val="es-CO"/>
        </w:rPr>
      </w:pPr>
      <w:r>
        <w:rPr>
          <w:rFonts w:ascii="Arial" w:hAnsi="Arial" w:cs="Arial"/>
          <w:sz w:val="20"/>
          <w:lang w:val="es-CO"/>
        </w:rPr>
        <w:t xml:space="preserve">- </w:t>
      </w:r>
      <w:r w:rsidRPr="00A40C63">
        <w:rPr>
          <w:rFonts w:ascii="Arial" w:hAnsi="Arial" w:cs="Arial"/>
          <w:sz w:val="20"/>
          <w:lang w:val="es-CO"/>
        </w:rPr>
        <w:t>Sexta</w:t>
      </w:r>
      <w:r w:rsidR="00A40C63" w:rsidRPr="00A40C63">
        <w:rPr>
          <w:rFonts w:ascii="Arial" w:hAnsi="Arial" w:cs="Arial"/>
          <w:sz w:val="20"/>
          <w:lang w:val="es-CO"/>
        </w:rPr>
        <w:t>: IMPORTANCIA DE LA DIFERENCIACIÓN ENTRE LOS CASOS DE INEFICACIA Y LOS CASOS DE NULIDAD</w:t>
      </w:r>
    </w:p>
    <w:p w14:paraId="420D349A" w14:textId="068A110A" w:rsidR="00A40C63" w:rsidRPr="00A40C63" w:rsidRDefault="000E0D52" w:rsidP="00F1499F">
      <w:pPr>
        <w:jc w:val="both"/>
        <w:rPr>
          <w:rFonts w:ascii="Arial" w:hAnsi="Arial" w:cs="Arial"/>
          <w:sz w:val="20"/>
          <w:lang w:val="es-CO"/>
        </w:rPr>
      </w:pPr>
      <w:r>
        <w:rPr>
          <w:rFonts w:ascii="Arial" w:hAnsi="Arial" w:cs="Arial"/>
          <w:sz w:val="20"/>
          <w:lang w:val="es-CO"/>
        </w:rPr>
        <w:t xml:space="preserve">- </w:t>
      </w:r>
      <w:r w:rsidRPr="00A40C63">
        <w:rPr>
          <w:rFonts w:ascii="Arial" w:hAnsi="Arial" w:cs="Arial"/>
          <w:sz w:val="20"/>
          <w:lang w:val="es-CO"/>
        </w:rPr>
        <w:t>Séptima</w:t>
      </w:r>
      <w:r w:rsidR="00A40C63">
        <w:rPr>
          <w:rFonts w:ascii="Arial" w:hAnsi="Arial" w:cs="Arial"/>
          <w:sz w:val="20"/>
          <w:lang w:val="es-CO"/>
        </w:rPr>
        <w:t>:</w:t>
      </w:r>
      <w:r w:rsidR="00A40C63" w:rsidRPr="00A40C63">
        <w:rPr>
          <w:rFonts w:ascii="Arial" w:hAnsi="Arial" w:cs="Arial"/>
          <w:sz w:val="20"/>
          <w:lang w:val="es-CO"/>
        </w:rPr>
        <w:t xml:space="preserve"> CARGA DE LA PRUEBA EN EVENTOS DE NULIDAD O INEFICACIA</w:t>
      </w:r>
    </w:p>
    <w:p w14:paraId="03392B47" w14:textId="77777777" w:rsidR="00F1499F" w:rsidRPr="00005D4B" w:rsidRDefault="00F1499F" w:rsidP="00F1499F">
      <w:pPr>
        <w:jc w:val="both"/>
        <w:rPr>
          <w:rFonts w:ascii="Arial" w:hAnsi="Arial" w:cs="Arial"/>
          <w:sz w:val="20"/>
          <w:lang w:val="es-419"/>
        </w:rPr>
      </w:pPr>
    </w:p>
    <w:p w14:paraId="6E4BDF33" w14:textId="77777777" w:rsidR="00005D4B" w:rsidRPr="00005D4B" w:rsidRDefault="00005D4B" w:rsidP="00005D4B">
      <w:pPr>
        <w:jc w:val="both"/>
        <w:rPr>
          <w:rFonts w:ascii="Arial" w:hAnsi="Arial" w:cs="Arial"/>
          <w:sz w:val="20"/>
          <w:lang w:val="es-419"/>
        </w:rPr>
      </w:pPr>
    </w:p>
    <w:p w14:paraId="6FBEA21C" w14:textId="77777777" w:rsidR="00005D4B" w:rsidRPr="00005D4B" w:rsidRDefault="00005D4B" w:rsidP="00005D4B">
      <w:pPr>
        <w:jc w:val="both"/>
        <w:rPr>
          <w:rFonts w:ascii="Arial" w:hAnsi="Arial" w:cs="Arial"/>
          <w:sz w:val="20"/>
          <w:lang w:val="es-ES"/>
        </w:rPr>
      </w:pPr>
    </w:p>
    <w:p w14:paraId="2C420542" w14:textId="77777777" w:rsidR="00A206E1" w:rsidRPr="00BC3C0F" w:rsidRDefault="00A206E1" w:rsidP="00A206E1">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253010C2" wp14:editId="3FFFB07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BD0733D" w14:textId="77777777" w:rsidR="00A206E1" w:rsidRPr="00005D4B" w:rsidRDefault="00A206E1" w:rsidP="00A206E1">
      <w:pPr>
        <w:widowControl w:val="0"/>
        <w:spacing w:line="360" w:lineRule="auto"/>
        <w:jc w:val="center"/>
        <w:rPr>
          <w:rFonts w:ascii="Arial" w:hAnsi="Arial" w:cs="Arial"/>
          <w:b/>
          <w:kern w:val="28"/>
          <w:szCs w:val="24"/>
        </w:rPr>
      </w:pPr>
      <w:r w:rsidRPr="00005D4B">
        <w:rPr>
          <w:rFonts w:ascii="Arial" w:hAnsi="Arial" w:cs="Arial"/>
          <w:b/>
          <w:kern w:val="28"/>
          <w:szCs w:val="24"/>
        </w:rPr>
        <w:t>RAMA JUDICIAL DEL PODER PÚBLICO</w:t>
      </w:r>
    </w:p>
    <w:p w14:paraId="06E1E932" w14:textId="77777777" w:rsidR="00A206E1" w:rsidRPr="00005D4B" w:rsidRDefault="00A206E1" w:rsidP="00A206E1">
      <w:pPr>
        <w:widowControl w:val="0"/>
        <w:spacing w:line="360" w:lineRule="auto"/>
        <w:jc w:val="center"/>
        <w:rPr>
          <w:rFonts w:ascii="Arial" w:hAnsi="Arial" w:cs="Arial"/>
          <w:b/>
          <w:kern w:val="28"/>
          <w:szCs w:val="24"/>
        </w:rPr>
      </w:pPr>
      <w:r w:rsidRPr="00005D4B">
        <w:rPr>
          <w:rFonts w:ascii="Arial" w:hAnsi="Arial" w:cs="Arial"/>
          <w:b/>
          <w:kern w:val="28"/>
          <w:szCs w:val="24"/>
        </w:rPr>
        <w:t>TRIBUNAL SUPERIOR DEL DISTRITO JUDICIAL DE PEREIRA</w:t>
      </w:r>
    </w:p>
    <w:p w14:paraId="23BBC45C" w14:textId="74D3FD5C" w:rsidR="00A206E1" w:rsidRPr="00005D4B" w:rsidRDefault="00A206E1" w:rsidP="00A206E1">
      <w:pPr>
        <w:keepNext/>
        <w:spacing w:line="360" w:lineRule="auto"/>
        <w:jc w:val="center"/>
        <w:rPr>
          <w:rFonts w:ascii="Arial" w:hAnsi="Arial" w:cs="Arial"/>
          <w:b/>
          <w:bCs/>
          <w:szCs w:val="24"/>
        </w:rPr>
      </w:pPr>
      <w:r w:rsidRPr="00005D4B">
        <w:rPr>
          <w:rFonts w:ascii="Arial" w:hAnsi="Arial" w:cs="Arial"/>
          <w:b/>
          <w:bCs/>
          <w:szCs w:val="24"/>
        </w:rPr>
        <w:t>SALA</w:t>
      </w:r>
      <w:r w:rsidR="00CA6CBD" w:rsidRPr="00005D4B">
        <w:rPr>
          <w:rFonts w:ascii="Arial" w:hAnsi="Arial" w:cs="Arial"/>
          <w:b/>
          <w:bCs/>
          <w:szCs w:val="24"/>
        </w:rPr>
        <w:t xml:space="preserve"> SEGUNDA</w:t>
      </w:r>
      <w:r w:rsidRPr="00005D4B">
        <w:rPr>
          <w:rFonts w:ascii="Arial" w:hAnsi="Arial" w:cs="Arial"/>
          <w:b/>
          <w:bCs/>
          <w:szCs w:val="24"/>
        </w:rPr>
        <w:t xml:space="preserve"> LABORAL</w:t>
      </w:r>
    </w:p>
    <w:p w14:paraId="150AAD1E" w14:textId="77777777" w:rsidR="007D31EA" w:rsidRDefault="007D31EA" w:rsidP="00A206E1">
      <w:pPr>
        <w:jc w:val="center"/>
        <w:rPr>
          <w:rFonts w:ascii="Arial" w:hAnsi="Arial" w:cs="Arial"/>
          <w:color w:val="000000"/>
          <w:szCs w:val="24"/>
        </w:rPr>
      </w:pPr>
    </w:p>
    <w:p w14:paraId="4F063A51" w14:textId="77777777" w:rsidR="00A206E1" w:rsidRPr="00BC3C0F" w:rsidRDefault="00A206E1" w:rsidP="00555254">
      <w:pPr>
        <w:spacing w:line="312" w:lineRule="auto"/>
        <w:jc w:val="center"/>
        <w:rPr>
          <w:rFonts w:ascii="Arial" w:hAnsi="Arial" w:cs="Arial"/>
          <w:color w:val="000000"/>
          <w:szCs w:val="24"/>
        </w:rPr>
      </w:pPr>
      <w:r w:rsidRPr="00BC3C0F">
        <w:rPr>
          <w:rFonts w:ascii="Arial" w:hAnsi="Arial" w:cs="Arial"/>
          <w:color w:val="000000"/>
          <w:szCs w:val="24"/>
        </w:rPr>
        <w:t>Magistrada Sustanciadora</w:t>
      </w:r>
    </w:p>
    <w:p w14:paraId="3CF81B67" w14:textId="77777777" w:rsidR="00A206E1" w:rsidRPr="00BC3C0F" w:rsidRDefault="00A206E1" w:rsidP="00555254">
      <w:pPr>
        <w:widowControl w:val="0"/>
        <w:spacing w:line="312" w:lineRule="auto"/>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5828BF8D" w14:textId="77777777" w:rsidR="00A206E1" w:rsidRPr="00BC3C0F" w:rsidRDefault="00A206E1" w:rsidP="00A206E1">
      <w:pPr>
        <w:spacing w:line="276" w:lineRule="auto"/>
        <w:ind w:left="2127" w:hanging="1276"/>
        <w:jc w:val="center"/>
        <w:rPr>
          <w:rFonts w:ascii="Arial" w:hAnsi="Arial" w:cs="Arial"/>
          <w:b/>
          <w:szCs w:val="24"/>
          <w:u w:val="single"/>
        </w:rPr>
      </w:pPr>
    </w:p>
    <w:p w14:paraId="5540DDC8" w14:textId="77777777" w:rsidR="00A206E1" w:rsidRPr="00BC3C0F" w:rsidRDefault="00A206E1" w:rsidP="00A206E1">
      <w:pPr>
        <w:spacing w:line="276" w:lineRule="auto"/>
        <w:ind w:left="2127" w:hanging="1276"/>
        <w:contextualSpacing/>
        <w:jc w:val="center"/>
        <w:rPr>
          <w:rFonts w:ascii="Arial" w:hAnsi="Arial" w:cs="Arial"/>
          <w:b/>
          <w:szCs w:val="24"/>
        </w:rPr>
      </w:pPr>
      <w:r w:rsidRPr="00BC3C0F">
        <w:rPr>
          <w:rFonts w:ascii="Arial" w:hAnsi="Arial" w:cs="Arial"/>
          <w:b/>
          <w:szCs w:val="24"/>
        </w:rPr>
        <w:t>AUDIENCIA PÚBLICA</w:t>
      </w:r>
    </w:p>
    <w:p w14:paraId="3489362C" w14:textId="77777777" w:rsidR="00D636F8" w:rsidRPr="00BC3C0F" w:rsidRDefault="00D636F8" w:rsidP="007D31EA">
      <w:pPr>
        <w:pStyle w:val="Sinespaciado"/>
        <w:contextualSpacing/>
        <w:rPr>
          <w:rFonts w:ascii="Arial" w:hAnsi="Arial" w:cs="Arial"/>
          <w:sz w:val="24"/>
          <w:szCs w:val="24"/>
        </w:rPr>
      </w:pPr>
    </w:p>
    <w:p w14:paraId="0EEFFAC6" w14:textId="0F9F8175" w:rsidR="00D636F8" w:rsidRPr="00BC3C0F" w:rsidRDefault="00D636F8" w:rsidP="005920A9">
      <w:pPr>
        <w:spacing w:line="276"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 xml:space="preserve">los </w:t>
      </w:r>
      <w:r w:rsidR="00FE39F5">
        <w:rPr>
          <w:rFonts w:ascii="Arial" w:eastAsia="Calibri" w:hAnsi="Arial" w:cs="Arial"/>
          <w:szCs w:val="24"/>
          <w:lang w:eastAsia="en-US"/>
        </w:rPr>
        <w:t>veintiuno</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FE39F5">
        <w:rPr>
          <w:rFonts w:ascii="Arial" w:eastAsia="Calibri" w:hAnsi="Arial" w:cs="Arial"/>
          <w:szCs w:val="24"/>
          <w:lang w:eastAsia="en-US"/>
        </w:rPr>
        <w:t>21</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EB4630">
        <w:rPr>
          <w:rFonts w:ascii="Arial" w:eastAsia="Calibri" w:hAnsi="Arial" w:cs="Arial"/>
          <w:szCs w:val="24"/>
          <w:lang w:eastAsia="en-US"/>
        </w:rPr>
        <w:t>mayo</w:t>
      </w:r>
      <w:r w:rsidR="00223A61" w:rsidRPr="00BC3C0F">
        <w:rPr>
          <w:rFonts w:ascii="Arial" w:eastAsia="Calibri" w:hAnsi="Arial" w:cs="Arial"/>
          <w:szCs w:val="24"/>
          <w:lang w:eastAsia="en-US"/>
        </w:rPr>
        <w:t xml:space="preserve">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D541D7">
        <w:rPr>
          <w:rFonts w:ascii="Arial" w:eastAsia="Calibri" w:hAnsi="Arial" w:cs="Arial"/>
          <w:szCs w:val="24"/>
          <w:lang w:eastAsia="en-US"/>
        </w:rPr>
        <w:t>ocho</w:t>
      </w:r>
      <w:r w:rsidR="00D611D0">
        <w:rPr>
          <w:rFonts w:ascii="Arial" w:eastAsia="Calibri" w:hAnsi="Arial" w:cs="Arial"/>
          <w:szCs w:val="24"/>
          <w:lang w:eastAsia="en-US"/>
        </w:rPr>
        <w:t xml:space="preserve"> </w:t>
      </w:r>
      <w:r w:rsidR="00501B88" w:rsidRPr="00BC3C0F">
        <w:rPr>
          <w:rFonts w:ascii="Arial" w:eastAsia="Calibri" w:hAnsi="Arial" w:cs="Arial"/>
          <w:szCs w:val="24"/>
          <w:lang w:eastAsia="en-US"/>
        </w:rPr>
        <w:t>de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D541D7">
        <w:rPr>
          <w:rFonts w:ascii="Arial" w:eastAsia="Calibri" w:hAnsi="Arial" w:cs="Arial"/>
          <w:szCs w:val="24"/>
          <w:lang w:eastAsia="en-US"/>
        </w:rPr>
        <w:t>08</w:t>
      </w:r>
      <w:r w:rsidR="00C51352" w:rsidRPr="00BC3C0F">
        <w:rPr>
          <w:rFonts w:ascii="Arial" w:eastAsia="Calibri" w:hAnsi="Arial" w:cs="Arial"/>
          <w:szCs w:val="24"/>
          <w:lang w:eastAsia="en-US"/>
        </w:rPr>
        <w:t>:</w:t>
      </w:r>
      <w:r w:rsidR="00CA6CBD" w:rsidRPr="00BC3C0F">
        <w:rPr>
          <w:rFonts w:ascii="Arial" w:eastAsia="Calibri" w:hAnsi="Arial" w:cs="Arial"/>
          <w:szCs w:val="24"/>
          <w:lang w:eastAsia="en-US"/>
        </w:rPr>
        <w:t>0</w:t>
      </w:r>
      <w:r w:rsidR="00501B88" w:rsidRPr="00BC3C0F">
        <w:rPr>
          <w:rFonts w:ascii="Arial" w:eastAsia="Calibri" w:hAnsi="Arial" w:cs="Arial"/>
          <w:szCs w:val="24"/>
          <w:lang w:eastAsia="en-US"/>
        </w:rPr>
        <w:t>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de</w:t>
      </w:r>
      <w:r w:rsidR="00FE39F5">
        <w:rPr>
          <w:rFonts w:ascii="Arial" w:hAnsi="Arial" w:cs="Arial"/>
          <w:bCs/>
          <w:color w:val="000000"/>
          <w:szCs w:val="24"/>
          <w:lang w:eastAsia="es-CO"/>
        </w:rPr>
        <w:t xml:space="preserve"> resolver los recursos de apelación interpuestos y</w:t>
      </w:r>
      <w:r w:rsidR="00CA6CBD" w:rsidRPr="00BC3C0F">
        <w:rPr>
          <w:rFonts w:ascii="Arial" w:hAnsi="Arial" w:cs="Arial"/>
          <w:bCs/>
          <w:color w:val="000000"/>
          <w:szCs w:val="24"/>
          <w:lang w:eastAsia="es-CO"/>
        </w:rPr>
        <w:t xml:space="preserve"> </w:t>
      </w:r>
      <w:r w:rsidR="00D541D7">
        <w:rPr>
          <w:rFonts w:ascii="Arial" w:hAnsi="Arial" w:cs="Arial"/>
          <w:bCs/>
          <w:color w:val="000000"/>
          <w:szCs w:val="24"/>
          <w:lang w:eastAsia="es-CO"/>
        </w:rPr>
        <w:t xml:space="preserve">surtir el </w:t>
      </w:r>
      <w:r w:rsidR="00D541D7" w:rsidRPr="00CC311A">
        <w:rPr>
          <w:rFonts w:ascii="Arial" w:hAnsi="Arial" w:cs="Arial"/>
          <w:bCs/>
          <w:color w:val="000000"/>
          <w:szCs w:val="24"/>
          <w:lang w:eastAsia="es-CO"/>
        </w:rPr>
        <w:t>grado jurisdiccional de consulta</w:t>
      </w:r>
      <w:r w:rsidR="00D541D7">
        <w:rPr>
          <w:rFonts w:ascii="Arial" w:hAnsi="Arial" w:cs="Arial"/>
          <w:bCs/>
          <w:color w:val="000000"/>
          <w:szCs w:val="24"/>
          <w:lang w:eastAsia="es-CO"/>
        </w:rPr>
        <w:t xml:space="preserve"> </w:t>
      </w:r>
      <w:r w:rsidR="00EB4630">
        <w:rPr>
          <w:rFonts w:ascii="Arial" w:hAnsi="Arial" w:cs="Arial"/>
          <w:bCs/>
          <w:color w:val="000000"/>
          <w:szCs w:val="24"/>
          <w:lang w:eastAsia="es-CO"/>
        </w:rPr>
        <w:t xml:space="preserve">de </w:t>
      </w:r>
      <w:r w:rsidRPr="00BC3C0F">
        <w:rPr>
          <w:rFonts w:ascii="Arial" w:hAnsi="Arial" w:cs="Arial"/>
          <w:bCs/>
          <w:color w:val="000000"/>
          <w:szCs w:val="24"/>
          <w:lang w:eastAsia="es-CO"/>
        </w:rPr>
        <w:t>la sentencia p</w:t>
      </w:r>
      <w:r w:rsidRPr="00BC3C0F">
        <w:rPr>
          <w:rFonts w:ascii="Arial" w:hAnsi="Arial" w:cs="Arial"/>
          <w:szCs w:val="24"/>
        </w:rPr>
        <w:t xml:space="preserve">roferida </w:t>
      </w:r>
      <w:r w:rsidR="00327201">
        <w:rPr>
          <w:rFonts w:ascii="Arial" w:hAnsi="Arial" w:cs="Arial"/>
          <w:szCs w:val="24"/>
        </w:rPr>
        <w:t xml:space="preserve">6 </w:t>
      </w:r>
      <w:r w:rsidR="00EB4630">
        <w:rPr>
          <w:rFonts w:ascii="Arial" w:hAnsi="Arial" w:cs="Arial"/>
          <w:szCs w:val="24"/>
        </w:rPr>
        <w:t>de agosto de 2018</w:t>
      </w:r>
      <w:r w:rsidRPr="00BC3C0F">
        <w:rPr>
          <w:rFonts w:ascii="Arial" w:hAnsi="Arial" w:cs="Arial"/>
          <w:szCs w:val="24"/>
        </w:rPr>
        <w:t xml:space="preserve"> por el Juzgado </w:t>
      </w:r>
      <w:r w:rsidR="00327201">
        <w:rPr>
          <w:rFonts w:ascii="Arial" w:hAnsi="Arial" w:cs="Arial"/>
          <w:szCs w:val="24"/>
        </w:rPr>
        <w:t>Segundo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327201">
        <w:rPr>
          <w:rFonts w:ascii="Arial" w:hAnsi="Arial" w:cs="Arial"/>
          <w:b/>
          <w:szCs w:val="24"/>
        </w:rPr>
        <w:t>Álvaro Alzate López</w:t>
      </w:r>
      <w:r w:rsidRPr="00BC3C0F">
        <w:rPr>
          <w:rFonts w:ascii="Arial" w:hAnsi="Arial" w:cs="Arial"/>
          <w:szCs w:val="24"/>
        </w:rPr>
        <w:t xml:space="preserve">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327201">
        <w:rPr>
          <w:rFonts w:ascii="Arial" w:hAnsi="Arial" w:cs="Arial"/>
          <w:b/>
          <w:bCs/>
          <w:szCs w:val="24"/>
        </w:rPr>
        <w:t xml:space="preserve"> y</w:t>
      </w:r>
      <w:r w:rsidR="00EB4630">
        <w:rPr>
          <w:rFonts w:ascii="Arial" w:hAnsi="Arial" w:cs="Arial"/>
          <w:b/>
          <w:bCs/>
          <w:szCs w:val="24"/>
        </w:rPr>
        <w:t xml:space="preserve"> Protección 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327201">
        <w:rPr>
          <w:rFonts w:ascii="Arial" w:hAnsi="Arial" w:cs="Arial"/>
          <w:bCs/>
          <w:szCs w:val="24"/>
        </w:rPr>
        <w:t>2</w:t>
      </w:r>
      <w:r w:rsidR="003E5A0B" w:rsidRPr="00BC3C0F">
        <w:rPr>
          <w:rFonts w:ascii="Arial" w:hAnsi="Arial" w:cs="Arial"/>
          <w:bCs/>
          <w:szCs w:val="24"/>
        </w:rPr>
        <w:t>-201</w:t>
      </w:r>
      <w:r w:rsidR="00327201">
        <w:rPr>
          <w:rFonts w:ascii="Arial" w:hAnsi="Arial" w:cs="Arial"/>
          <w:bCs/>
          <w:szCs w:val="24"/>
        </w:rPr>
        <w:t>7</w:t>
      </w:r>
      <w:r w:rsidR="00D541D7">
        <w:rPr>
          <w:rFonts w:ascii="Arial" w:hAnsi="Arial" w:cs="Arial"/>
          <w:bCs/>
          <w:szCs w:val="24"/>
        </w:rPr>
        <w:t>-</w:t>
      </w:r>
      <w:r w:rsidRPr="00BC3C0F">
        <w:rPr>
          <w:rFonts w:ascii="Arial" w:hAnsi="Arial" w:cs="Arial"/>
          <w:bCs/>
          <w:szCs w:val="24"/>
        </w:rPr>
        <w:t>00</w:t>
      </w:r>
      <w:r w:rsidR="00327201">
        <w:rPr>
          <w:rFonts w:ascii="Arial" w:hAnsi="Arial" w:cs="Arial"/>
          <w:bCs/>
          <w:szCs w:val="24"/>
        </w:rPr>
        <w:t>297</w:t>
      </w:r>
      <w:r w:rsidRPr="00BC3C0F">
        <w:rPr>
          <w:rFonts w:ascii="Arial" w:hAnsi="Arial" w:cs="Arial"/>
          <w:bCs/>
          <w:szCs w:val="24"/>
        </w:rPr>
        <w:t>-01</w:t>
      </w:r>
      <w:r w:rsidRPr="00BC3C0F">
        <w:rPr>
          <w:rFonts w:ascii="Arial" w:hAnsi="Arial" w:cs="Arial"/>
          <w:b/>
          <w:bCs/>
          <w:szCs w:val="24"/>
        </w:rPr>
        <w:t>.</w:t>
      </w:r>
    </w:p>
    <w:p w14:paraId="277427AB" w14:textId="77777777" w:rsidR="00D636F8" w:rsidRPr="00BC3C0F" w:rsidRDefault="00D636F8" w:rsidP="005920A9">
      <w:pPr>
        <w:spacing w:line="276" w:lineRule="auto"/>
        <w:ind w:firstLine="851"/>
        <w:contextualSpacing/>
        <w:jc w:val="both"/>
        <w:rPr>
          <w:rFonts w:ascii="Arial" w:hAnsi="Arial" w:cs="Arial"/>
          <w:bCs/>
          <w:iCs/>
          <w:szCs w:val="24"/>
        </w:rPr>
      </w:pPr>
    </w:p>
    <w:p w14:paraId="2E228544" w14:textId="77777777" w:rsidR="00D636F8" w:rsidRPr="00BC3C0F" w:rsidRDefault="00D636F8" w:rsidP="005920A9">
      <w:pPr>
        <w:spacing w:line="276" w:lineRule="auto"/>
        <w:contextualSpacing/>
        <w:rPr>
          <w:rFonts w:ascii="Arial" w:hAnsi="Arial" w:cs="Arial"/>
          <w:b/>
          <w:szCs w:val="24"/>
        </w:rPr>
      </w:pPr>
      <w:r w:rsidRPr="00BC3C0F">
        <w:rPr>
          <w:rFonts w:ascii="Arial" w:hAnsi="Arial" w:cs="Arial"/>
          <w:b/>
          <w:szCs w:val="24"/>
        </w:rPr>
        <w:t>Registro de asistencia:</w:t>
      </w:r>
    </w:p>
    <w:p w14:paraId="4E02B845" w14:textId="77777777" w:rsidR="00D636F8" w:rsidRPr="00BC3C0F" w:rsidRDefault="00D636F8" w:rsidP="005920A9">
      <w:pPr>
        <w:spacing w:line="276"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BC3C0F" w:rsidRDefault="00D636F8" w:rsidP="005920A9">
      <w:pPr>
        <w:spacing w:line="276" w:lineRule="auto"/>
        <w:ind w:firstLine="851"/>
        <w:contextualSpacing/>
        <w:rPr>
          <w:rFonts w:ascii="Arial" w:hAnsi="Arial" w:cs="Arial"/>
          <w:szCs w:val="24"/>
        </w:rPr>
      </w:pPr>
    </w:p>
    <w:p w14:paraId="70FDD830" w14:textId="77777777" w:rsidR="00D636F8" w:rsidRPr="00BC3C0F" w:rsidRDefault="00D636F8" w:rsidP="005920A9">
      <w:pPr>
        <w:spacing w:line="276" w:lineRule="auto"/>
        <w:contextualSpacing/>
        <w:jc w:val="both"/>
        <w:rPr>
          <w:rFonts w:ascii="Arial" w:hAnsi="Arial" w:cs="Arial"/>
          <w:b/>
          <w:szCs w:val="24"/>
        </w:rPr>
      </w:pPr>
      <w:r w:rsidRPr="00BC3C0F">
        <w:rPr>
          <w:rFonts w:ascii="Arial" w:hAnsi="Arial" w:cs="Arial"/>
          <w:b/>
          <w:szCs w:val="24"/>
        </w:rPr>
        <w:t xml:space="preserve">Traslado a las partes </w:t>
      </w:r>
    </w:p>
    <w:p w14:paraId="365A236A" w14:textId="77777777" w:rsidR="00D636F8" w:rsidRPr="00BC3C0F" w:rsidRDefault="00D636F8" w:rsidP="005920A9">
      <w:pPr>
        <w:spacing w:line="276"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Default="00D636F8" w:rsidP="005920A9">
      <w:pPr>
        <w:spacing w:line="276" w:lineRule="auto"/>
        <w:contextualSpacing/>
        <w:jc w:val="both"/>
        <w:rPr>
          <w:rFonts w:ascii="Arial" w:hAnsi="Arial" w:cs="Arial"/>
          <w:szCs w:val="24"/>
        </w:rPr>
      </w:pPr>
    </w:p>
    <w:p w14:paraId="0E1D4E5C" w14:textId="77777777" w:rsidR="00D636F8" w:rsidRPr="00BC3C0F" w:rsidRDefault="00D636F8" w:rsidP="00005D4B">
      <w:pPr>
        <w:spacing w:line="276" w:lineRule="auto"/>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BC3C0F" w:rsidRDefault="00D636F8" w:rsidP="005920A9">
      <w:pPr>
        <w:pStyle w:val="Sinespaciado"/>
        <w:spacing w:line="276" w:lineRule="auto"/>
        <w:contextualSpacing/>
        <w:rPr>
          <w:rFonts w:ascii="Arial" w:hAnsi="Arial" w:cs="Arial"/>
          <w:sz w:val="24"/>
          <w:szCs w:val="24"/>
        </w:rPr>
      </w:pPr>
    </w:p>
    <w:p w14:paraId="4E66955A" w14:textId="77777777" w:rsidR="00D636F8" w:rsidRPr="00BC3C0F" w:rsidRDefault="00D636F8" w:rsidP="005920A9">
      <w:pPr>
        <w:pStyle w:val="Prrafodelista"/>
        <w:numPr>
          <w:ilvl w:val="0"/>
          <w:numId w:val="1"/>
        </w:numPr>
        <w:spacing w:line="276" w:lineRule="auto"/>
        <w:jc w:val="both"/>
        <w:rPr>
          <w:rFonts w:ascii="Arial" w:hAnsi="Arial" w:cs="Arial"/>
          <w:b/>
          <w:sz w:val="24"/>
          <w:szCs w:val="24"/>
        </w:rPr>
      </w:pPr>
      <w:r w:rsidRPr="00BC3C0F">
        <w:rPr>
          <w:rFonts w:ascii="Arial" w:hAnsi="Arial" w:cs="Arial"/>
          <w:b/>
          <w:sz w:val="24"/>
          <w:szCs w:val="24"/>
        </w:rPr>
        <w:lastRenderedPageBreak/>
        <w:t>Síntesis de la demanda y su contestación</w:t>
      </w:r>
    </w:p>
    <w:p w14:paraId="507C7E34" w14:textId="3E23811E" w:rsidR="00DA11B4" w:rsidRDefault="00327201" w:rsidP="00445E06">
      <w:pPr>
        <w:spacing w:line="276" w:lineRule="auto"/>
        <w:contextualSpacing/>
        <w:jc w:val="both"/>
        <w:rPr>
          <w:rFonts w:ascii="Arial" w:hAnsi="Arial" w:cs="Arial"/>
          <w:szCs w:val="24"/>
        </w:rPr>
      </w:pPr>
      <w:r>
        <w:rPr>
          <w:rFonts w:ascii="Arial" w:hAnsi="Arial" w:cs="Arial"/>
          <w:szCs w:val="24"/>
        </w:rPr>
        <w:t>Álvaro Alzate López</w:t>
      </w:r>
      <w:r w:rsidR="00445E06" w:rsidRPr="00BC3C0F">
        <w:rPr>
          <w:rFonts w:ascii="Arial" w:hAnsi="Arial" w:cs="Arial"/>
          <w:szCs w:val="24"/>
        </w:rPr>
        <w:t xml:space="preserve"> </w:t>
      </w:r>
      <w:r w:rsidR="00832A1F" w:rsidRPr="00BC3C0F">
        <w:rPr>
          <w:rFonts w:ascii="Arial" w:hAnsi="Arial" w:cs="Arial"/>
          <w:szCs w:val="24"/>
        </w:rPr>
        <w:t xml:space="preserve">pretende </w:t>
      </w:r>
      <w:r w:rsidR="00CA6CBD" w:rsidRPr="00BC3C0F">
        <w:rPr>
          <w:rFonts w:ascii="Arial" w:hAnsi="Arial" w:cs="Arial"/>
          <w:szCs w:val="24"/>
        </w:rPr>
        <w:t xml:space="preserve">que </w:t>
      </w:r>
      <w:r w:rsidR="00AD05E0" w:rsidRPr="00BC3C0F">
        <w:rPr>
          <w:rFonts w:ascii="Arial" w:hAnsi="Arial" w:cs="Arial"/>
          <w:szCs w:val="24"/>
        </w:rPr>
        <w:t>se declare</w:t>
      </w:r>
      <w:r w:rsidR="00D541D7">
        <w:rPr>
          <w:rFonts w:ascii="Arial" w:hAnsi="Arial" w:cs="Arial"/>
          <w:szCs w:val="24"/>
        </w:rPr>
        <w:t xml:space="preserve"> ineficaz</w:t>
      </w:r>
      <w:r w:rsidR="00445E06" w:rsidRPr="00BC3C0F">
        <w:rPr>
          <w:rFonts w:ascii="Arial" w:hAnsi="Arial" w:cs="Arial"/>
          <w:szCs w:val="24"/>
        </w:rPr>
        <w:t xml:space="preserve"> </w:t>
      </w:r>
      <w:r w:rsidR="00D541D7">
        <w:rPr>
          <w:rFonts w:ascii="Arial" w:hAnsi="Arial" w:cs="Arial"/>
          <w:szCs w:val="24"/>
        </w:rPr>
        <w:t>el</w:t>
      </w:r>
      <w:r w:rsidR="00CA6CBD" w:rsidRPr="00BC3C0F">
        <w:rPr>
          <w:rFonts w:ascii="Arial" w:hAnsi="Arial" w:cs="Arial"/>
          <w:szCs w:val="24"/>
        </w:rPr>
        <w:t xml:space="preserve"> traslado</w:t>
      </w:r>
      <w:r w:rsidR="00445E06" w:rsidRPr="00BC3C0F">
        <w:rPr>
          <w:rFonts w:ascii="Arial" w:hAnsi="Arial" w:cs="Arial"/>
          <w:szCs w:val="24"/>
        </w:rPr>
        <w:t xml:space="preserve"> del Régimen de Prima Media con Prestación Definida al Régimen de Ahorro Individual con Solidaridad</w:t>
      </w:r>
      <w:r w:rsidR="00D541D7">
        <w:rPr>
          <w:rFonts w:ascii="Arial" w:hAnsi="Arial" w:cs="Arial"/>
          <w:szCs w:val="24"/>
        </w:rPr>
        <w:t xml:space="preserve"> realizado el </w:t>
      </w:r>
      <w:r>
        <w:rPr>
          <w:rFonts w:ascii="Arial" w:hAnsi="Arial" w:cs="Arial"/>
          <w:szCs w:val="24"/>
        </w:rPr>
        <w:t>02/10/1997</w:t>
      </w:r>
      <w:r w:rsidR="00445E06" w:rsidRPr="00BC3C0F">
        <w:rPr>
          <w:rFonts w:ascii="Arial" w:hAnsi="Arial" w:cs="Arial"/>
          <w:szCs w:val="24"/>
        </w:rPr>
        <w:t xml:space="preserve">; </w:t>
      </w:r>
      <w:r w:rsidR="00EB4630">
        <w:rPr>
          <w:rFonts w:ascii="Arial" w:hAnsi="Arial" w:cs="Arial"/>
          <w:szCs w:val="24"/>
        </w:rPr>
        <w:t>que el</w:t>
      </w:r>
      <w:r w:rsidR="00CA6CBD" w:rsidRPr="00BC3C0F">
        <w:rPr>
          <w:rFonts w:ascii="Arial" w:hAnsi="Arial" w:cs="Arial"/>
          <w:szCs w:val="24"/>
        </w:rPr>
        <w:t xml:space="preserve"> demandante s</w:t>
      </w:r>
      <w:r w:rsidR="00EB4630">
        <w:rPr>
          <w:rFonts w:ascii="Arial" w:hAnsi="Arial" w:cs="Arial"/>
          <w:szCs w:val="24"/>
        </w:rPr>
        <w:t>e encuentra válidamente afiliado</w:t>
      </w:r>
      <w:r w:rsidR="00CA6CBD" w:rsidRPr="00BC3C0F">
        <w:rPr>
          <w:rFonts w:ascii="Arial" w:hAnsi="Arial" w:cs="Arial"/>
          <w:szCs w:val="24"/>
        </w:rPr>
        <w:t xml:space="preserve"> a </w:t>
      </w:r>
      <w:r w:rsidR="00445E06" w:rsidRPr="00BC3C0F">
        <w:rPr>
          <w:rFonts w:ascii="Arial" w:hAnsi="Arial" w:cs="Arial"/>
          <w:szCs w:val="24"/>
        </w:rPr>
        <w:t xml:space="preserve">Colpensiones, y se ordené a </w:t>
      </w:r>
      <w:r w:rsidR="00EB4630">
        <w:rPr>
          <w:rFonts w:ascii="Arial" w:hAnsi="Arial" w:cs="Arial"/>
          <w:szCs w:val="24"/>
        </w:rPr>
        <w:t>Protección S.A.</w:t>
      </w:r>
      <w:r w:rsidR="00445E06" w:rsidRPr="00BC3C0F">
        <w:rPr>
          <w:rFonts w:ascii="Arial" w:hAnsi="Arial" w:cs="Arial"/>
          <w:szCs w:val="24"/>
        </w:rPr>
        <w:t xml:space="preserve"> </w:t>
      </w:r>
      <w:r w:rsidR="00CA6CBD" w:rsidRPr="00BC3C0F">
        <w:rPr>
          <w:rFonts w:ascii="Arial" w:hAnsi="Arial" w:cs="Arial"/>
          <w:szCs w:val="24"/>
        </w:rPr>
        <w:t>que tr</w:t>
      </w:r>
      <w:r w:rsidR="00BF3913">
        <w:rPr>
          <w:rFonts w:ascii="Arial" w:hAnsi="Arial" w:cs="Arial"/>
          <w:szCs w:val="24"/>
        </w:rPr>
        <w:t>aslade la totalidad de sus</w:t>
      </w:r>
      <w:r w:rsidR="00CA6CBD" w:rsidRPr="00BC3C0F">
        <w:rPr>
          <w:rFonts w:ascii="Arial" w:hAnsi="Arial" w:cs="Arial"/>
          <w:szCs w:val="24"/>
        </w:rPr>
        <w:t xml:space="preserve"> aportes </w:t>
      </w:r>
      <w:r w:rsidR="00445E06" w:rsidRPr="00BC3C0F">
        <w:rPr>
          <w:rFonts w:ascii="Arial" w:hAnsi="Arial" w:cs="Arial"/>
          <w:szCs w:val="24"/>
        </w:rPr>
        <w:t xml:space="preserve">a </w:t>
      </w:r>
      <w:r w:rsidR="00D9074C">
        <w:rPr>
          <w:rFonts w:ascii="Arial" w:hAnsi="Arial" w:cs="Arial"/>
          <w:szCs w:val="24"/>
        </w:rPr>
        <w:t>aquella.</w:t>
      </w:r>
      <w:r w:rsidR="00445E06" w:rsidRPr="00BC3C0F">
        <w:rPr>
          <w:rFonts w:ascii="Arial" w:hAnsi="Arial" w:cs="Arial"/>
          <w:szCs w:val="24"/>
        </w:rPr>
        <w:t xml:space="preserve"> </w:t>
      </w:r>
    </w:p>
    <w:p w14:paraId="55A0242D" w14:textId="77777777" w:rsidR="007D31EA" w:rsidRPr="00BC3C0F" w:rsidRDefault="007D31EA" w:rsidP="00445E06">
      <w:pPr>
        <w:spacing w:line="276" w:lineRule="auto"/>
        <w:contextualSpacing/>
        <w:jc w:val="both"/>
        <w:rPr>
          <w:rFonts w:ascii="Arial" w:hAnsi="Arial" w:cs="Arial"/>
          <w:szCs w:val="24"/>
        </w:rPr>
      </w:pPr>
    </w:p>
    <w:p w14:paraId="2A36B1F3" w14:textId="2B3F4D0F" w:rsidR="005B1F25" w:rsidRDefault="00D636F8" w:rsidP="005B1F25">
      <w:pPr>
        <w:spacing w:line="276" w:lineRule="auto"/>
        <w:contextualSpacing/>
        <w:jc w:val="both"/>
        <w:rPr>
          <w:rFonts w:ascii="Arial" w:hAnsi="Arial" w:cs="Arial"/>
          <w:szCs w:val="24"/>
        </w:rPr>
      </w:pPr>
      <w:r w:rsidRPr="00BC3C0F">
        <w:rPr>
          <w:rFonts w:ascii="Arial" w:hAnsi="Arial" w:cs="Arial"/>
          <w:szCs w:val="24"/>
        </w:rPr>
        <w:t xml:space="preserve">Fundamenta sus aspiraciones en </w:t>
      </w:r>
      <w:r w:rsidR="00445E06" w:rsidRPr="00BC3C0F">
        <w:rPr>
          <w:rFonts w:ascii="Arial" w:hAnsi="Arial" w:cs="Arial"/>
          <w:szCs w:val="24"/>
        </w:rPr>
        <w:t xml:space="preserve">que </w:t>
      </w:r>
      <w:r w:rsidR="00445E06" w:rsidRPr="00BC3C0F">
        <w:rPr>
          <w:rFonts w:ascii="Arial" w:hAnsi="Arial" w:cs="Arial"/>
          <w:i/>
          <w:szCs w:val="24"/>
        </w:rPr>
        <w:t>i)</w:t>
      </w:r>
      <w:r w:rsidR="00EB4630">
        <w:rPr>
          <w:rFonts w:ascii="Arial" w:hAnsi="Arial" w:cs="Arial"/>
          <w:szCs w:val="24"/>
        </w:rPr>
        <w:t xml:space="preserve"> el </w:t>
      </w:r>
      <w:r w:rsidR="005B1F25">
        <w:rPr>
          <w:rFonts w:ascii="Arial" w:hAnsi="Arial" w:cs="Arial"/>
          <w:szCs w:val="24"/>
        </w:rPr>
        <w:t>02/10/1997</w:t>
      </w:r>
      <w:r w:rsidR="00EB4630">
        <w:rPr>
          <w:rFonts w:ascii="Arial" w:hAnsi="Arial" w:cs="Arial"/>
          <w:szCs w:val="24"/>
        </w:rPr>
        <w:t xml:space="preserve"> se trasladó a Protección S.A.; </w:t>
      </w:r>
      <w:r w:rsidR="00EB4630" w:rsidRPr="00EB4630">
        <w:rPr>
          <w:rFonts w:ascii="Arial" w:hAnsi="Arial" w:cs="Arial"/>
          <w:i/>
          <w:szCs w:val="24"/>
        </w:rPr>
        <w:t>ii)</w:t>
      </w:r>
      <w:r w:rsidR="00EB4630">
        <w:rPr>
          <w:rFonts w:ascii="Arial" w:hAnsi="Arial" w:cs="Arial"/>
          <w:szCs w:val="24"/>
        </w:rPr>
        <w:t xml:space="preserve"> </w:t>
      </w:r>
      <w:r w:rsidR="005B1F25">
        <w:rPr>
          <w:rFonts w:ascii="Arial" w:hAnsi="Arial" w:cs="Arial"/>
          <w:szCs w:val="24"/>
        </w:rPr>
        <w:t xml:space="preserve">para obtener el traslado </w:t>
      </w:r>
      <w:r w:rsidR="007417CF">
        <w:rPr>
          <w:rFonts w:ascii="Arial" w:hAnsi="Arial" w:cs="Arial"/>
          <w:szCs w:val="24"/>
        </w:rPr>
        <w:t>le</w:t>
      </w:r>
      <w:r w:rsidR="005B1F25">
        <w:rPr>
          <w:rFonts w:ascii="Arial" w:hAnsi="Arial" w:cs="Arial"/>
          <w:szCs w:val="24"/>
        </w:rPr>
        <w:t xml:space="preserve"> manifestó que su mesada pensional iba a ser mayor en el RAIS y que el ISS se extinguiría; </w:t>
      </w:r>
      <w:r w:rsidR="005B1F25" w:rsidRPr="005B1F25">
        <w:rPr>
          <w:rFonts w:ascii="Arial" w:hAnsi="Arial" w:cs="Arial"/>
          <w:i/>
          <w:szCs w:val="24"/>
        </w:rPr>
        <w:t>iii)</w:t>
      </w:r>
      <w:r w:rsidR="005B1F25">
        <w:rPr>
          <w:rFonts w:ascii="Arial" w:hAnsi="Arial" w:cs="Arial"/>
          <w:i/>
          <w:szCs w:val="24"/>
        </w:rPr>
        <w:t xml:space="preserve"> </w:t>
      </w:r>
      <w:r w:rsidR="005B1F25">
        <w:rPr>
          <w:rFonts w:ascii="Arial" w:hAnsi="Arial" w:cs="Arial"/>
          <w:szCs w:val="24"/>
        </w:rPr>
        <w:t>la AFP omitió informar</w:t>
      </w:r>
      <w:r w:rsidR="007417CF">
        <w:rPr>
          <w:rFonts w:ascii="Arial" w:hAnsi="Arial" w:cs="Arial"/>
          <w:szCs w:val="24"/>
        </w:rPr>
        <w:t>le</w:t>
      </w:r>
      <w:r w:rsidR="005B1F25">
        <w:rPr>
          <w:rFonts w:ascii="Arial" w:hAnsi="Arial" w:cs="Arial"/>
          <w:szCs w:val="24"/>
        </w:rPr>
        <w:t xml:space="preserve"> sobre las consecuencias de la desvinculación al RPM, así como las ventajas</w:t>
      </w:r>
      <w:r w:rsidR="007417CF">
        <w:rPr>
          <w:rFonts w:ascii="Arial" w:hAnsi="Arial" w:cs="Arial"/>
          <w:szCs w:val="24"/>
        </w:rPr>
        <w:t xml:space="preserve">, desventajas del traslado y </w:t>
      </w:r>
      <w:r w:rsidR="005B1F25">
        <w:rPr>
          <w:rFonts w:ascii="Arial" w:hAnsi="Arial" w:cs="Arial"/>
          <w:szCs w:val="24"/>
        </w:rPr>
        <w:t>el monto de la pensión</w:t>
      </w:r>
      <w:r w:rsidR="00EB4630">
        <w:rPr>
          <w:rFonts w:ascii="Arial" w:hAnsi="Arial" w:cs="Arial"/>
          <w:szCs w:val="24"/>
        </w:rPr>
        <w:t>;</w:t>
      </w:r>
      <w:r w:rsidR="005B1F25">
        <w:rPr>
          <w:rFonts w:ascii="Arial" w:hAnsi="Arial" w:cs="Arial"/>
          <w:szCs w:val="24"/>
        </w:rPr>
        <w:t xml:space="preserve"> </w:t>
      </w:r>
      <w:r w:rsidR="005B1F25" w:rsidRPr="005B1F25">
        <w:rPr>
          <w:rFonts w:ascii="Arial" w:hAnsi="Arial" w:cs="Arial"/>
          <w:i/>
          <w:szCs w:val="24"/>
        </w:rPr>
        <w:t>iii)</w:t>
      </w:r>
      <w:r w:rsidR="005B1F25">
        <w:rPr>
          <w:rFonts w:ascii="Arial" w:hAnsi="Arial" w:cs="Arial"/>
          <w:i/>
          <w:szCs w:val="24"/>
        </w:rPr>
        <w:t xml:space="preserve"> </w:t>
      </w:r>
      <w:r w:rsidR="005B1F25">
        <w:rPr>
          <w:rFonts w:ascii="Arial" w:hAnsi="Arial" w:cs="Arial"/>
          <w:szCs w:val="24"/>
        </w:rPr>
        <w:t>en la actualidad se enteró de la proyección de su mesada</w:t>
      </w:r>
      <w:r w:rsidR="00DB2DC7">
        <w:rPr>
          <w:rFonts w:ascii="Arial" w:hAnsi="Arial" w:cs="Arial"/>
          <w:szCs w:val="24"/>
        </w:rPr>
        <w:t>,</w:t>
      </w:r>
      <w:r w:rsidR="005B1F25">
        <w:rPr>
          <w:rFonts w:ascii="Arial" w:hAnsi="Arial" w:cs="Arial"/>
          <w:szCs w:val="24"/>
        </w:rPr>
        <w:t xml:space="preserve"> que en el RAIS sería de $2’737.059, mientras que en el RPM </w:t>
      </w:r>
      <w:r w:rsidR="00DB2DC7">
        <w:rPr>
          <w:rFonts w:ascii="Arial" w:hAnsi="Arial" w:cs="Arial"/>
          <w:szCs w:val="24"/>
        </w:rPr>
        <w:t>de</w:t>
      </w:r>
      <w:r w:rsidR="005B1F25">
        <w:rPr>
          <w:rFonts w:ascii="Arial" w:hAnsi="Arial" w:cs="Arial"/>
          <w:szCs w:val="24"/>
        </w:rPr>
        <w:t xml:space="preserve"> $4’807.832.</w:t>
      </w:r>
    </w:p>
    <w:p w14:paraId="5C4E0567" w14:textId="0F556EF4" w:rsidR="008F07C2" w:rsidRDefault="005B1F25" w:rsidP="005B1F25">
      <w:pPr>
        <w:spacing w:line="276" w:lineRule="auto"/>
        <w:contextualSpacing/>
        <w:jc w:val="both"/>
        <w:rPr>
          <w:rFonts w:ascii="Arial" w:hAnsi="Arial" w:cs="Arial"/>
          <w:szCs w:val="24"/>
        </w:rPr>
      </w:pPr>
      <w:r>
        <w:rPr>
          <w:rFonts w:ascii="Arial" w:hAnsi="Arial" w:cs="Arial"/>
          <w:szCs w:val="24"/>
        </w:rPr>
        <w:t xml:space="preserve"> </w:t>
      </w:r>
    </w:p>
    <w:p w14:paraId="38322F76" w14:textId="367C0939" w:rsidR="008F07C2" w:rsidRDefault="008F07C2" w:rsidP="00D2298A">
      <w:pPr>
        <w:spacing w:line="276" w:lineRule="auto"/>
        <w:contextualSpacing/>
        <w:jc w:val="both"/>
        <w:rPr>
          <w:rFonts w:ascii="Arial" w:hAnsi="Arial" w:cs="Arial"/>
          <w:szCs w:val="24"/>
        </w:rPr>
      </w:pPr>
      <w:r>
        <w:rPr>
          <w:rFonts w:ascii="Arial" w:hAnsi="Arial" w:cs="Arial"/>
          <w:szCs w:val="24"/>
        </w:rPr>
        <w:t>Luego</w:t>
      </w:r>
      <w:r w:rsidR="002A1798">
        <w:rPr>
          <w:rFonts w:ascii="Arial" w:hAnsi="Arial" w:cs="Arial"/>
          <w:szCs w:val="24"/>
        </w:rPr>
        <w:t>,</w:t>
      </w:r>
      <w:r>
        <w:rPr>
          <w:rFonts w:ascii="Arial" w:hAnsi="Arial" w:cs="Arial"/>
          <w:szCs w:val="24"/>
        </w:rPr>
        <w:t xml:space="preserve"> en la argumentación jurídica aseveró que se trasladó al RAIS</w:t>
      </w:r>
      <w:r w:rsidR="00A964DC">
        <w:rPr>
          <w:rFonts w:ascii="Arial" w:hAnsi="Arial" w:cs="Arial"/>
          <w:szCs w:val="24"/>
        </w:rPr>
        <w:t>,</w:t>
      </w:r>
      <w:r>
        <w:rPr>
          <w:rFonts w:ascii="Arial" w:hAnsi="Arial" w:cs="Arial"/>
          <w:szCs w:val="24"/>
        </w:rPr>
        <w:t xml:space="preserve"> porque según la asesoría brindada por dicha entidad</w:t>
      </w:r>
      <w:r w:rsidR="00DB2DC7">
        <w:rPr>
          <w:rFonts w:ascii="Arial" w:hAnsi="Arial" w:cs="Arial"/>
          <w:szCs w:val="24"/>
        </w:rPr>
        <w:t>,</w:t>
      </w:r>
      <w:r>
        <w:rPr>
          <w:rFonts w:ascii="Arial" w:hAnsi="Arial" w:cs="Arial"/>
          <w:szCs w:val="24"/>
        </w:rPr>
        <w:t xml:space="preserve"> sus intereses pensionales serían allí más favorables, sin que se hiciera un análisis particular de los alcances de tal aceptación, pues la asesoría fue superficial, y por ello, concluyó que la AFP no le dio una asesoría transparente.</w:t>
      </w:r>
    </w:p>
    <w:p w14:paraId="4E243EFA" w14:textId="77777777" w:rsidR="00EB4630" w:rsidRDefault="00EB4630" w:rsidP="00D2298A">
      <w:pPr>
        <w:spacing w:line="276" w:lineRule="auto"/>
        <w:contextualSpacing/>
        <w:jc w:val="both"/>
        <w:rPr>
          <w:rFonts w:ascii="Arial" w:hAnsi="Arial" w:cs="Arial"/>
          <w:szCs w:val="24"/>
        </w:rPr>
      </w:pPr>
    </w:p>
    <w:p w14:paraId="0C4BC11C" w14:textId="78FF8ABB" w:rsidR="00B30309" w:rsidRDefault="00D2298A" w:rsidP="00BD1513">
      <w:pPr>
        <w:spacing w:line="276" w:lineRule="auto"/>
        <w:contextualSpacing/>
        <w:jc w:val="both"/>
        <w:rPr>
          <w:rFonts w:ascii="Arial" w:hAnsi="Arial" w:cs="Arial"/>
          <w:szCs w:val="24"/>
        </w:rPr>
      </w:pPr>
      <w:r w:rsidRPr="00BC3C0F">
        <w:rPr>
          <w:rFonts w:ascii="Arial" w:hAnsi="Arial" w:cs="Arial"/>
          <w:b/>
          <w:szCs w:val="24"/>
        </w:rPr>
        <w:t xml:space="preserve">Colpensiones </w:t>
      </w:r>
      <w:r w:rsidR="004E15B8" w:rsidRPr="00BC3C0F">
        <w:rPr>
          <w:rFonts w:ascii="Arial" w:hAnsi="Arial" w:cs="Arial"/>
          <w:szCs w:val="24"/>
        </w:rPr>
        <w:t xml:space="preserve">al contestar la demanda </w:t>
      </w:r>
      <w:r w:rsidR="00EE6B87" w:rsidRPr="00BC3C0F">
        <w:rPr>
          <w:rFonts w:ascii="Arial" w:hAnsi="Arial" w:cs="Arial"/>
          <w:szCs w:val="24"/>
        </w:rPr>
        <w:t>se opuso a las pretensiones</w:t>
      </w:r>
      <w:r w:rsidR="00EB4630">
        <w:rPr>
          <w:rFonts w:ascii="Arial" w:hAnsi="Arial" w:cs="Arial"/>
          <w:szCs w:val="24"/>
        </w:rPr>
        <w:t xml:space="preserve"> elevadas en su contra, para lo cual argumentó que </w:t>
      </w:r>
      <w:r w:rsidR="00B30309">
        <w:rPr>
          <w:rFonts w:ascii="Arial" w:hAnsi="Arial" w:cs="Arial"/>
          <w:szCs w:val="24"/>
        </w:rPr>
        <w:t>la selección del régimen pensional es libre y voluntaria, sin que el fondo de pensiones pueda direccio</w:t>
      </w:r>
      <w:r w:rsidR="00DB2DC7">
        <w:rPr>
          <w:rFonts w:ascii="Arial" w:hAnsi="Arial" w:cs="Arial"/>
          <w:szCs w:val="24"/>
        </w:rPr>
        <w:t>nar la voluntad del trabajador. P</w:t>
      </w:r>
      <w:r w:rsidR="00B30309">
        <w:rPr>
          <w:rFonts w:ascii="Arial" w:hAnsi="Arial" w:cs="Arial"/>
          <w:szCs w:val="24"/>
        </w:rPr>
        <w:t>resentó los medios de defensa que denominó “</w:t>
      </w:r>
      <w:r w:rsidR="00B30309" w:rsidRPr="00B30309">
        <w:rPr>
          <w:rFonts w:ascii="Arial" w:hAnsi="Arial" w:cs="Arial"/>
          <w:i/>
          <w:szCs w:val="24"/>
        </w:rPr>
        <w:t xml:space="preserve">inexistencia de la obligación”, </w:t>
      </w:r>
      <w:r w:rsidR="00B30309">
        <w:rPr>
          <w:rFonts w:ascii="Arial" w:hAnsi="Arial" w:cs="Arial"/>
          <w:szCs w:val="24"/>
        </w:rPr>
        <w:t>“</w:t>
      </w:r>
      <w:r w:rsidR="00B30309" w:rsidRPr="00B30309">
        <w:rPr>
          <w:rFonts w:ascii="Arial" w:hAnsi="Arial" w:cs="Arial"/>
          <w:i/>
          <w:szCs w:val="24"/>
        </w:rPr>
        <w:t>buena fe”,</w:t>
      </w:r>
      <w:r w:rsidR="00B30309">
        <w:rPr>
          <w:rFonts w:ascii="Arial" w:hAnsi="Arial" w:cs="Arial"/>
          <w:szCs w:val="24"/>
        </w:rPr>
        <w:t xml:space="preserve"> “</w:t>
      </w:r>
      <w:r w:rsidR="00B30309" w:rsidRPr="00B30309">
        <w:rPr>
          <w:rFonts w:ascii="Arial" w:hAnsi="Arial" w:cs="Arial"/>
          <w:i/>
          <w:szCs w:val="24"/>
        </w:rPr>
        <w:t>prescripción”,</w:t>
      </w:r>
      <w:r w:rsidR="00B30309">
        <w:rPr>
          <w:rFonts w:ascii="Arial" w:hAnsi="Arial" w:cs="Arial"/>
          <w:szCs w:val="24"/>
        </w:rPr>
        <w:t xml:space="preserve"> entre otras. </w:t>
      </w:r>
    </w:p>
    <w:p w14:paraId="7C0A7D82" w14:textId="24CC10EE" w:rsidR="004E15B8" w:rsidRPr="00BC3C0F" w:rsidRDefault="004E15B8" w:rsidP="00BD1513">
      <w:pPr>
        <w:spacing w:line="276" w:lineRule="auto"/>
        <w:contextualSpacing/>
        <w:jc w:val="both"/>
        <w:rPr>
          <w:rFonts w:ascii="Arial" w:hAnsi="Arial" w:cs="Arial"/>
          <w:i/>
          <w:szCs w:val="24"/>
        </w:rPr>
      </w:pPr>
    </w:p>
    <w:p w14:paraId="46B80966" w14:textId="7EFC232D" w:rsidR="00BD1513" w:rsidRDefault="004E15B8" w:rsidP="009F7B43">
      <w:pPr>
        <w:spacing w:line="276" w:lineRule="auto"/>
        <w:contextualSpacing/>
        <w:jc w:val="both"/>
        <w:rPr>
          <w:rFonts w:ascii="Arial" w:hAnsi="Arial" w:cs="Arial"/>
          <w:szCs w:val="24"/>
        </w:rPr>
      </w:pPr>
      <w:r w:rsidRPr="00BC3C0F">
        <w:rPr>
          <w:rFonts w:ascii="Arial" w:hAnsi="Arial" w:cs="Arial"/>
          <w:szCs w:val="24"/>
        </w:rPr>
        <w:t xml:space="preserve">A  su turno, </w:t>
      </w:r>
      <w:r w:rsidR="00BD1513">
        <w:rPr>
          <w:rFonts w:ascii="Arial" w:hAnsi="Arial" w:cs="Arial"/>
          <w:b/>
          <w:szCs w:val="24"/>
        </w:rPr>
        <w:t xml:space="preserve">Protección S.A. </w:t>
      </w:r>
      <w:r w:rsidR="00BD1513">
        <w:rPr>
          <w:rFonts w:ascii="Arial" w:hAnsi="Arial" w:cs="Arial"/>
          <w:szCs w:val="24"/>
        </w:rPr>
        <w:t>también se opuso a las pretensiones, por lo que recriminó que</w:t>
      </w:r>
      <w:r w:rsidR="009F7B43">
        <w:rPr>
          <w:rFonts w:ascii="Arial" w:hAnsi="Arial" w:cs="Arial"/>
          <w:szCs w:val="24"/>
        </w:rPr>
        <w:t xml:space="preserve"> el traslado carecía de vicio en el consentimiento, porque no existió maniobra alguna. En ese sentido, adujo que el demandante no pudo ser “</w:t>
      </w:r>
      <w:r w:rsidR="009F7B43" w:rsidRPr="009F7B43">
        <w:rPr>
          <w:rFonts w:ascii="Arial" w:hAnsi="Arial" w:cs="Arial"/>
          <w:i/>
          <w:szCs w:val="24"/>
        </w:rPr>
        <w:t>víctima de la omisión en la información”</w:t>
      </w:r>
      <w:r w:rsidR="009F7B43">
        <w:rPr>
          <w:rFonts w:ascii="Arial" w:hAnsi="Arial" w:cs="Arial"/>
          <w:i/>
          <w:szCs w:val="24"/>
        </w:rPr>
        <w:t xml:space="preserve">, </w:t>
      </w:r>
      <w:r w:rsidR="009F7B43">
        <w:rPr>
          <w:rFonts w:ascii="Arial" w:hAnsi="Arial" w:cs="Arial"/>
          <w:szCs w:val="24"/>
        </w:rPr>
        <w:t xml:space="preserve">porque ningún obstáculo existía para su traslado, máxime que el demandante carecía de beneficios transicionales. Por último, resaltó que el demandante permaneció afiliado al RAIS durante 20 años, por lo que resulta extraño que solo hasta este momento intente retornar al RPM, pese a que el ISS en ningún momento desapareció. </w:t>
      </w:r>
      <w:r w:rsidR="00DB2DC7">
        <w:rPr>
          <w:rFonts w:ascii="Arial" w:hAnsi="Arial" w:cs="Arial"/>
          <w:szCs w:val="24"/>
        </w:rPr>
        <w:t>Formuló las excepciones</w:t>
      </w:r>
      <w:r w:rsidR="009F7B43">
        <w:rPr>
          <w:rFonts w:ascii="Arial" w:hAnsi="Arial" w:cs="Arial"/>
          <w:szCs w:val="24"/>
        </w:rPr>
        <w:t xml:space="preserve"> que </w:t>
      </w:r>
      <w:proofErr w:type="gramStart"/>
      <w:r w:rsidR="009F7B43">
        <w:rPr>
          <w:rFonts w:ascii="Arial" w:hAnsi="Arial" w:cs="Arial"/>
          <w:szCs w:val="24"/>
        </w:rPr>
        <w:t>denominó</w:t>
      </w:r>
      <w:proofErr w:type="gramEnd"/>
      <w:r w:rsidR="009F7B43">
        <w:rPr>
          <w:rFonts w:ascii="Arial" w:hAnsi="Arial" w:cs="Arial"/>
          <w:szCs w:val="24"/>
        </w:rPr>
        <w:t xml:space="preserve"> “</w:t>
      </w:r>
      <w:r w:rsidR="009F7B43" w:rsidRPr="009F7B43">
        <w:rPr>
          <w:rFonts w:ascii="Arial" w:hAnsi="Arial" w:cs="Arial"/>
          <w:i/>
          <w:szCs w:val="24"/>
        </w:rPr>
        <w:t>prescripción</w:t>
      </w:r>
      <w:r w:rsidR="009F7B43">
        <w:rPr>
          <w:rFonts w:ascii="Arial" w:hAnsi="Arial" w:cs="Arial"/>
          <w:szCs w:val="24"/>
        </w:rPr>
        <w:t>”, “</w:t>
      </w:r>
      <w:r w:rsidR="009F7B43" w:rsidRPr="009F7B43">
        <w:rPr>
          <w:rFonts w:ascii="Arial" w:hAnsi="Arial" w:cs="Arial"/>
          <w:i/>
          <w:szCs w:val="24"/>
        </w:rPr>
        <w:t>buena fe”,</w:t>
      </w:r>
      <w:r w:rsidR="009F7B43">
        <w:rPr>
          <w:rFonts w:ascii="Arial" w:hAnsi="Arial" w:cs="Arial"/>
          <w:szCs w:val="24"/>
        </w:rPr>
        <w:t xml:space="preserve"> “</w:t>
      </w:r>
      <w:r w:rsidR="009F7B43" w:rsidRPr="009F7B43">
        <w:rPr>
          <w:rFonts w:ascii="Arial" w:hAnsi="Arial" w:cs="Arial"/>
          <w:i/>
          <w:szCs w:val="24"/>
        </w:rPr>
        <w:t>compensación”,</w:t>
      </w:r>
      <w:r w:rsidR="009F7B43">
        <w:rPr>
          <w:rFonts w:ascii="Arial" w:hAnsi="Arial" w:cs="Arial"/>
          <w:szCs w:val="24"/>
        </w:rPr>
        <w:t xml:space="preserve"> “</w:t>
      </w:r>
      <w:r w:rsidR="009F7B43" w:rsidRPr="009F7B43">
        <w:rPr>
          <w:rFonts w:ascii="Arial" w:hAnsi="Arial" w:cs="Arial"/>
          <w:i/>
          <w:szCs w:val="24"/>
        </w:rPr>
        <w:t>exoneración de condena en costas”,</w:t>
      </w:r>
      <w:r w:rsidR="009F7B43">
        <w:rPr>
          <w:rFonts w:ascii="Arial" w:hAnsi="Arial" w:cs="Arial"/>
          <w:szCs w:val="24"/>
        </w:rPr>
        <w:t xml:space="preserve"> entre otras. </w:t>
      </w:r>
      <w:r w:rsidR="009F7B43">
        <w:rPr>
          <w:rFonts w:ascii="Arial" w:hAnsi="Arial" w:cs="Arial"/>
          <w:i/>
          <w:szCs w:val="24"/>
        </w:rPr>
        <w:t xml:space="preserve"> </w:t>
      </w:r>
    </w:p>
    <w:p w14:paraId="45B4F991" w14:textId="77777777" w:rsidR="008B4923" w:rsidRDefault="008B4923" w:rsidP="001F6B4F">
      <w:pPr>
        <w:contextualSpacing/>
        <w:jc w:val="both"/>
        <w:rPr>
          <w:rFonts w:ascii="Arial" w:hAnsi="Arial" w:cs="Arial"/>
          <w:szCs w:val="24"/>
        </w:rPr>
      </w:pPr>
    </w:p>
    <w:p w14:paraId="14F1EEFC" w14:textId="77777777" w:rsidR="00D636F8" w:rsidRPr="00BA4C18" w:rsidRDefault="00646A53" w:rsidP="005920A9">
      <w:pPr>
        <w:pStyle w:val="Prrafodelista"/>
        <w:numPr>
          <w:ilvl w:val="0"/>
          <w:numId w:val="1"/>
        </w:numPr>
        <w:spacing w:line="276" w:lineRule="auto"/>
        <w:jc w:val="both"/>
        <w:rPr>
          <w:rFonts w:ascii="Arial" w:hAnsi="Arial" w:cs="Arial"/>
          <w:b/>
          <w:sz w:val="24"/>
          <w:szCs w:val="24"/>
        </w:rPr>
      </w:pPr>
      <w:r w:rsidRPr="00BA4C18">
        <w:rPr>
          <w:rFonts w:ascii="Arial" w:hAnsi="Arial" w:cs="Arial"/>
          <w:b/>
          <w:sz w:val="24"/>
          <w:szCs w:val="24"/>
        </w:rPr>
        <w:t>Síntesis de la sentencia</w:t>
      </w:r>
    </w:p>
    <w:p w14:paraId="464DA6B1" w14:textId="03AB21C6" w:rsidR="00782F4D" w:rsidRDefault="00D636F8" w:rsidP="009F7B43">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sidR="009F7B43">
        <w:rPr>
          <w:rFonts w:ascii="Arial" w:hAnsi="Arial" w:cs="Arial"/>
          <w:color w:val="000000"/>
          <w:szCs w:val="24"/>
          <w:lang w:eastAsia="es-CO"/>
        </w:rPr>
        <w:t>Segundo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9F7B43">
        <w:rPr>
          <w:rFonts w:ascii="Arial" w:hAnsi="Arial" w:cs="Arial"/>
          <w:color w:val="000000"/>
          <w:szCs w:val="24"/>
          <w:lang w:eastAsia="es-CO"/>
        </w:rPr>
        <w:t>declaró ineficaz el traslado realizado por Álvaro Alzate López al RAIS</w:t>
      </w:r>
      <w:r w:rsidR="00107928">
        <w:rPr>
          <w:rFonts w:ascii="Arial" w:hAnsi="Arial" w:cs="Arial"/>
          <w:color w:val="000000"/>
          <w:szCs w:val="24"/>
          <w:lang w:eastAsia="es-CO"/>
        </w:rPr>
        <w:t>;</w:t>
      </w:r>
      <w:r w:rsidR="009F7B43">
        <w:rPr>
          <w:rFonts w:ascii="Arial" w:hAnsi="Arial" w:cs="Arial"/>
          <w:color w:val="000000"/>
          <w:szCs w:val="24"/>
          <w:lang w:eastAsia="es-CO"/>
        </w:rPr>
        <w:t xml:space="preserve"> en consecuencia</w:t>
      </w:r>
      <w:r w:rsidR="00107928">
        <w:rPr>
          <w:rFonts w:ascii="Arial" w:hAnsi="Arial" w:cs="Arial"/>
          <w:color w:val="000000"/>
          <w:szCs w:val="24"/>
          <w:lang w:eastAsia="es-CO"/>
        </w:rPr>
        <w:t>,</w:t>
      </w:r>
      <w:r w:rsidR="009F7B43">
        <w:rPr>
          <w:rFonts w:ascii="Arial" w:hAnsi="Arial" w:cs="Arial"/>
          <w:color w:val="000000"/>
          <w:szCs w:val="24"/>
          <w:lang w:eastAsia="es-CO"/>
        </w:rPr>
        <w:t xml:space="preserve"> condenó a Protecci</w:t>
      </w:r>
      <w:r w:rsidR="00F64834">
        <w:rPr>
          <w:rFonts w:ascii="Arial" w:hAnsi="Arial" w:cs="Arial"/>
          <w:color w:val="000000"/>
          <w:szCs w:val="24"/>
          <w:lang w:eastAsia="es-CO"/>
        </w:rPr>
        <w:t>ón S.A.</w:t>
      </w:r>
      <w:r w:rsidR="009F7B43">
        <w:rPr>
          <w:rFonts w:ascii="Arial" w:hAnsi="Arial" w:cs="Arial"/>
          <w:color w:val="000000"/>
          <w:szCs w:val="24"/>
          <w:lang w:eastAsia="es-CO"/>
        </w:rPr>
        <w:t xml:space="preserve"> a trasladar los saldos</w:t>
      </w:r>
      <w:r w:rsidR="00107928">
        <w:rPr>
          <w:rFonts w:ascii="Arial" w:hAnsi="Arial" w:cs="Arial"/>
          <w:color w:val="000000"/>
          <w:szCs w:val="24"/>
          <w:lang w:eastAsia="es-CO"/>
        </w:rPr>
        <w:t>,</w:t>
      </w:r>
      <w:r w:rsidR="009F7B43">
        <w:rPr>
          <w:rFonts w:ascii="Arial" w:hAnsi="Arial" w:cs="Arial"/>
          <w:color w:val="000000"/>
          <w:szCs w:val="24"/>
          <w:lang w:eastAsia="es-CO"/>
        </w:rPr>
        <w:t xml:space="preserve"> más frutos e intereses de la cuenta individual del demandante a Colpensiones, y a esta última a aceptar el traslado. </w:t>
      </w:r>
    </w:p>
    <w:p w14:paraId="1FCEBFE1" w14:textId="77777777" w:rsidR="00F64834" w:rsidRDefault="00F64834" w:rsidP="009F7B43">
      <w:pPr>
        <w:spacing w:line="276" w:lineRule="auto"/>
        <w:contextualSpacing/>
        <w:jc w:val="both"/>
        <w:rPr>
          <w:rFonts w:ascii="Arial" w:hAnsi="Arial" w:cs="Arial"/>
          <w:color w:val="000000"/>
          <w:szCs w:val="24"/>
          <w:lang w:eastAsia="es-CO"/>
        </w:rPr>
      </w:pPr>
    </w:p>
    <w:p w14:paraId="59A3EEBB" w14:textId="2EAD7E35" w:rsidR="00F64834" w:rsidRDefault="00F64834" w:rsidP="009F7B4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Como fundamento de la anterior determinación</w:t>
      </w:r>
      <w:r w:rsidR="00A964DC">
        <w:rPr>
          <w:rFonts w:ascii="Arial" w:hAnsi="Arial" w:cs="Arial"/>
          <w:color w:val="000000"/>
          <w:szCs w:val="24"/>
          <w:lang w:eastAsia="es-CO"/>
        </w:rPr>
        <w:t>,</w:t>
      </w:r>
      <w:r>
        <w:rPr>
          <w:rFonts w:ascii="Arial" w:hAnsi="Arial" w:cs="Arial"/>
          <w:color w:val="000000"/>
          <w:szCs w:val="24"/>
          <w:lang w:eastAsia="es-CO"/>
        </w:rPr>
        <w:t xml:space="preserve"> la juzgadora aseveró que</w:t>
      </w:r>
      <w:r w:rsidR="007109BA">
        <w:rPr>
          <w:rFonts w:ascii="Arial" w:hAnsi="Arial" w:cs="Arial"/>
          <w:color w:val="000000"/>
          <w:szCs w:val="24"/>
          <w:lang w:eastAsia="es-CO"/>
        </w:rPr>
        <w:t xml:space="preserve"> tanto</w:t>
      </w:r>
      <w:r>
        <w:rPr>
          <w:rFonts w:ascii="Arial" w:hAnsi="Arial" w:cs="Arial"/>
          <w:color w:val="000000"/>
          <w:szCs w:val="24"/>
          <w:lang w:eastAsia="es-CO"/>
        </w:rPr>
        <w:t xml:space="preserve"> en el libelo genitor</w:t>
      </w:r>
      <w:r w:rsidR="00107928">
        <w:rPr>
          <w:rFonts w:ascii="Arial" w:hAnsi="Arial" w:cs="Arial"/>
          <w:color w:val="000000"/>
          <w:szCs w:val="24"/>
          <w:lang w:eastAsia="es-CO"/>
        </w:rPr>
        <w:t xml:space="preserve"> e</w:t>
      </w:r>
      <w:r w:rsidR="007109BA">
        <w:rPr>
          <w:rFonts w:ascii="Arial" w:hAnsi="Arial" w:cs="Arial"/>
          <w:color w:val="000000"/>
          <w:szCs w:val="24"/>
          <w:lang w:eastAsia="es-CO"/>
        </w:rPr>
        <w:t xml:space="preserve"> interrogatorio</w:t>
      </w:r>
      <w:r w:rsidR="00107928">
        <w:rPr>
          <w:rFonts w:ascii="Arial" w:hAnsi="Arial" w:cs="Arial"/>
          <w:color w:val="000000"/>
          <w:szCs w:val="24"/>
          <w:lang w:eastAsia="es-CO"/>
        </w:rPr>
        <w:t xml:space="preserve"> había</w:t>
      </w:r>
      <w:r>
        <w:rPr>
          <w:rFonts w:ascii="Arial" w:hAnsi="Arial" w:cs="Arial"/>
          <w:color w:val="000000"/>
          <w:szCs w:val="24"/>
          <w:lang w:eastAsia="es-CO"/>
        </w:rPr>
        <w:t xml:space="preserve"> una negación indefinida</w:t>
      </w:r>
      <w:r w:rsidR="00107928">
        <w:rPr>
          <w:rFonts w:ascii="Arial" w:hAnsi="Arial" w:cs="Arial"/>
          <w:color w:val="000000"/>
          <w:szCs w:val="24"/>
          <w:lang w:eastAsia="es-CO"/>
        </w:rPr>
        <w:t xml:space="preserve"> al demandante asegura</w:t>
      </w:r>
      <w:r>
        <w:rPr>
          <w:rFonts w:ascii="Arial" w:hAnsi="Arial" w:cs="Arial"/>
          <w:color w:val="000000"/>
          <w:szCs w:val="24"/>
          <w:lang w:eastAsia="es-CO"/>
        </w:rPr>
        <w:t xml:space="preserve"> que la AFP había omitido la información sobre las ventajas y desventajas del traslado, entre otras omisiones; por ello, la </w:t>
      </w:r>
      <w:r w:rsidRPr="00F64834">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 xml:space="preserve">invirtió la </w:t>
      </w:r>
      <w:r w:rsidR="00017A33">
        <w:rPr>
          <w:rFonts w:ascii="Arial" w:hAnsi="Arial" w:cs="Arial"/>
          <w:color w:val="000000"/>
          <w:szCs w:val="24"/>
          <w:lang w:eastAsia="es-CO"/>
        </w:rPr>
        <w:t>carga de la prueba, para que la AFP acreditará que sí dio información, sin que lo</w:t>
      </w:r>
      <w:r w:rsidR="007109BA">
        <w:rPr>
          <w:rFonts w:ascii="Arial" w:hAnsi="Arial" w:cs="Arial"/>
          <w:color w:val="000000"/>
          <w:szCs w:val="24"/>
          <w:lang w:eastAsia="es-CO"/>
        </w:rPr>
        <w:t xml:space="preserve">grara probarlo. </w:t>
      </w:r>
    </w:p>
    <w:p w14:paraId="18DC8076" w14:textId="77777777" w:rsidR="009F7B43" w:rsidRPr="00F64834" w:rsidRDefault="009F7B43" w:rsidP="009F7B43">
      <w:pPr>
        <w:spacing w:line="276" w:lineRule="auto"/>
        <w:contextualSpacing/>
        <w:jc w:val="both"/>
        <w:rPr>
          <w:rFonts w:ascii="Arial" w:hAnsi="Arial" w:cs="Arial"/>
          <w:color w:val="000000"/>
          <w:sz w:val="28"/>
          <w:szCs w:val="24"/>
          <w:lang w:eastAsia="es-CO"/>
        </w:rPr>
      </w:pPr>
    </w:p>
    <w:p w14:paraId="5E38FDC4" w14:textId="59F49059" w:rsidR="009F7B43" w:rsidRPr="00F64834" w:rsidRDefault="00F64834" w:rsidP="00F64834">
      <w:pPr>
        <w:pStyle w:val="Prrafodelista"/>
        <w:numPr>
          <w:ilvl w:val="0"/>
          <w:numId w:val="1"/>
        </w:numPr>
        <w:spacing w:line="276" w:lineRule="auto"/>
        <w:jc w:val="both"/>
        <w:rPr>
          <w:rFonts w:ascii="Arial" w:hAnsi="Arial" w:cs="Arial"/>
          <w:b/>
          <w:sz w:val="24"/>
          <w:szCs w:val="24"/>
        </w:rPr>
      </w:pPr>
      <w:r w:rsidRPr="00F64834">
        <w:rPr>
          <w:rFonts w:ascii="Arial" w:hAnsi="Arial" w:cs="Arial"/>
          <w:b/>
          <w:sz w:val="24"/>
          <w:szCs w:val="24"/>
        </w:rPr>
        <w:t>Recurso de apelación</w:t>
      </w:r>
    </w:p>
    <w:p w14:paraId="5B91444E" w14:textId="15B327D4" w:rsidR="00F64834" w:rsidRDefault="00F64834" w:rsidP="00B3602F">
      <w:pPr>
        <w:spacing w:line="276" w:lineRule="auto"/>
        <w:jc w:val="both"/>
        <w:rPr>
          <w:rFonts w:ascii="Arial" w:hAnsi="Arial" w:cs="Arial"/>
          <w:color w:val="000000"/>
          <w:szCs w:val="24"/>
          <w:lang w:eastAsia="es-CO"/>
        </w:rPr>
      </w:pPr>
      <w:r>
        <w:rPr>
          <w:rFonts w:ascii="Arial" w:hAnsi="Arial" w:cs="Arial"/>
          <w:color w:val="000000"/>
          <w:szCs w:val="24"/>
          <w:lang w:eastAsia="es-CO"/>
        </w:rPr>
        <w:t>Las demandadas inconformes con la decisión de primer grado, presentaron los recursos de apelación</w:t>
      </w:r>
      <w:r w:rsidR="00107928">
        <w:rPr>
          <w:rFonts w:ascii="Arial" w:hAnsi="Arial" w:cs="Arial"/>
          <w:color w:val="000000"/>
          <w:szCs w:val="24"/>
          <w:lang w:eastAsia="es-CO"/>
        </w:rPr>
        <w:t>.</w:t>
      </w:r>
      <w:r>
        <w:rPr>
          <w:rFonts w:ascii="Arial" w:hAnsi="Arial" w:cs="Arial"/>
          <w:color w:val="000000"/>
          <w:szCs w:val="24"/>
          <w:lang w:eastAsia="es-CO"/>
        </w:rPr>
        <w:t xml:space="preserve"> Protección S.A. argumentó que el demandante era consciente de su traslado al RAIS, régimen en el que ha permanecido por más de 20 años, sin que </w:t>
      </w:r>
      <w:r w:rsidR="008C42F1">
        <w:rPr>
          <w:rFonts w:ascii="Arial" w:hAnsi="Arial" w:cs="Arial"/>
          <w:color w:val="000000"/>
          <w:szCs w:val="24"/>
          <w:lang w:eastAsia="es-CO"/>
        </w:rPr>
        <w:t>aquel</w:t>
      </w:r>
      <w:r>
        <w:rPr>
          <w:rFonts w:ascii="Arial" w:hAnsi="Arial" w:cs="Arial"/>
          <w:color w:val="000000"/>
          <w:szCs w:val="24"/>
          <w:lang w:eastAsia="es-CO"/>
        </w:rPr>
        <w:t xml:space="preserve"> fuera beneficiario del régimen de transición y por ello la AFP no lo indujo en error alguno</w:t>
      </w:r>
      <w:r w:rsidR="008C42F1">
        <w:rPr>
          <w:rFonts w:ascii="Arial" w:hAnsi="Arial" w:cs="Arial"/>
          <w:color w:val="000000"/>
          <w:szCs w:val="24"/>
          <w:lang w:eastAsia="es-CO"/>
        </w:rPr>
        <w:t>;</w:t>
      </w:r>
      <w:r>
        <w:rPr>
          <w:rFonts w:ascii="Arial" w:hAnsi="Arial" w:cs="Arial"/>
          <w:color w:val="000000"/>
          <w:szCs w:val="24"/>
          <w:lang w:eastAsia="es-CO"/>
        </w:rPr>
        <w:t xml:space="preserve"> además</w:t>
      </w:r>
      <w:r w:rsidR="008C42F1">
        <w:rPr>
          <w:rFonts w:ascii="Arial" w:hAnsi="Arial" w:cs="Arial"/>
          <w:color w:val="000000"/>
          <w:szCs w:val="24"/>
          <w:lang w:eastAsia="es-CO"/>
        </w:rPr>
        <w:t>,</w:t>
      </w:r>
      <w:r>
        <w:rPr>
          <w:rFonts w:ascii="Arial" w:hAnsi="Arial" w:cs="Arial"/>
          <w:color w:val="000000"/>
          <w:szCs w:val="24"/>
          <w:lang w:eastAsia="es-CO"/>
        </w:rPr>
        <w:t xml:space="preserve"> el demandante no hizo uso del periodo de gracia que permitía retornar al RPM, y por ello se reconoció como afiliado válido al RAIS. Concretamente recriminó que el </w:t>
      </w:r>
      <w:r w:rsidR="008C42F1">
        <w:rPr>
          <w:rFonts w:ascii="Arial" w:hAnsi="Arial" w:cs="Arial"/>
          <w:color w:val="000000"/>
          <w:szCs w:val="24"/>
          <w:lang w:eastAsia="es-CO"/>
        </w:rPr>
        <w:t>actor</w:t>
      </w:r>
      <w:r>
        <w:rPr>
          <w:rFonts w:ascii="Arial" w:hAnsi="Arial" w:cs="Arial"/>
          <w:color w:val="000000"/>
          <w:szCs w:val="24"/>
          <w:lang w:eastAsia="es-CO"/>
        </w:rPr>
        <w:t xml:space="preserve"> al absolver </w:t>
      </w:r>
      <w:r w:rsidR="0068091F">
        <w:rPr>
          <w:rFonts w:ascii="Arial" w:hAnsi="Arial" w:cs="Arial"/>
          <w:color w:val="000000"/>
          <w:szCs w:val="24"/>
          <w:lang w:eastAsia="es-CO"/>
        </w:rPr>
        <w:t>el interrogatorio</w:t>
      </w:r>
      <w:r>
        <w:rPr>
          <w:rFonts w:ascii="Arial" w:hAnsi="Arial" w:cs="Arial"/>
          <w:color w:val="000000"/>
          <w:szCs w:val="24"/>
          <w:lang w:eastAsia="es-CO"/>
        </w:rPr>
        <w:t xml:space="preserve"> aceptó que la información otorgada por el asesor fue suficiente, máxime que para la época (1997) resultaba inadmisible realizar la proyección del monto de la mesada pensional</w:t>
      </w:r>
      <w:r w:rsidR="0068091F">
        <w:rPr>
          <w:rFonts w:ascii="Arial" w:hAnsi="Arial" w:cs="Arial"/>
          <w:color w:val="000000"/>
          <w:szCs w:val="24"/>
          <w:lang w:eastAsia="es-CO"/>
        </w:rPr>
        <w:t>,</w:t>
      </w:r>
      <w:r>
        <w:rPr>
          <w:rFonts w:ascii="Arial" w:hAnsi="Arial" w:cs="Arial"/>
          <w:color w:val="000000"/>
          <w:szCs w:val="24"/>
          <w:lang w:eastAsia="es-CO"/>
        </w:rPr>
        <w:t xml:space="preserve"> pues era imposible prever los salarios y la conformación de</w:t>
      </w:r>
      <w:r w:rsidR="0068091F">
        <w:rPr>
          <w:rFonts w:ascii="Arial" w:hAnsi="Arial" w:cs="Arial"/>
          <w:color w:val="000000"/>
          <w:szCs w:val="24"/>
          <w:lang w:eastAsia="es-CO"/>
        </w:rPr>
        <w:t xml:space="preserve"> su núcleo familiar.</w:t>
      </w:r>
    </w:p>
    <w:p w14:paraId="7B87AA4E" w14:textId="77777777" w:rsidR="00F64834" w:rsidRDefault="00F64834" w:rsidP="00B3602F">
      <w:pPr>
        <w:spacing w:line="276" w:lineRule="auto"/>
        <w:jc w:val="both"/>
        <w:rPr>
          <w:rFonts w:ascii="Arial" w:hAnsi="Arial" w:cs="Arial"/>
          <w:color w:val="000000"/>
          <w:szCs w:val="24"/>
          <w:lang w:eastAsia="es-CO"/>
        </w:rPr>
      </w:pPr>
    </w:p>
    <w:p w14:paraId="044E8181" w14:textId="7EA04F16" w:rsidR="00B3602F" w:rsidRDefault="00F64834" w:rsidP="00B3602F">
      <w:pPr>
        <w:spacing w:line="276" w:lineRule="auto"/>
        <w:jc w:val="both"/>
        <w:rPr>
          <w:rFonts w:ascii="Arial" w:hAnsi="Arial" w:cs="Arial"/>
          <w:color w:val="000000"/>
          <w:szCs w:val="24"/>
          <w:lang w:eastAsia="es-CO"/>
        </w:rPr>
      </w:pPr>
      <w:r>
        <w:rPr>
          <w:rFonts w:ascii="Arial" w:hAnsi="Arial" w:cs="Arial"/>
          <w:color w:val="000000"/>
          <w:szCs w:val="24"/>
          <w:lang w:eastAsia="es-CO"/>
        </w:rPr>
        <w:t>Por último resaltó</w:t>
      </w:r>
      <w:r w:rsidR="00990FB6">
        <w:rPr>
          <w:rFonts w:ascii="Arial" w:hAnsi="Arial" w:cs="Arial"/>
          <w:color w:val="000000"/>
          <w:szCs w:val="24"/>
          <w:lang w:eastAsia="es-CO"/>
        </w:rPr>
        <w:t>,</w:t>
      </w:r>
      <w:r>
        <w:rPr>
          <w:rFonts w:ascii="Arial" w:hAnsi="Arial" w:cs="Arial"/>
          <w:color w:val="000000"/>
          <w:szCs w:val="24"/>
          <w:lang w:eastAsia="es-CO"/>
        </w:rPr>
        <w:t xml:space="preserve"> que estaría prescrito el plazo de 3 años contemplado en las normas laborales, o 4 años para el caso de nulidades relativas, y en caso de retornar no sería beneficiario de régimen de transición alguno. Por otro lado, solicitó la exoneración de costas procesales. </w:t>
      </w:r>
    </w:p>
    <w:p w14:paraId="1E9D6641" w14:textId="77777777" w:rsidR="00F64834" w:rsidRDefault="00F64834" w:rsidP="00B3602F">
      <w:pPr>
        <w:spacing w:line="276" w:lineRule="auto"/>
        <w:jc w:val="both"/>
        <w:rPr>
          <w:rFonts w:ascii="Arial" w:hAnsi="Arial" w:cs="Arial"/>
          <w:color w:val="000000"/>
          <w:szCs w:val="24"/>
          <w:lang w:eastAsia="es-CO"/>
        </w:rPr>
      </w:pPr>
    </w:p>
    <w:p w14:paraId="17687F18" w14:textId="26673938" w:rsidR="00F64834" w:rsidRPr="00F64834" w:rsidRDefault="00F64834" w:rsidP="00B3602F">
      <w:pPr>
        <w:spacing w:line="276" w:lineRule="auto"/>
        <w:jc w:val="both"/>
        <w:rPr>
          <w:rFonts w:ascii="Arial" w:hAnsi="Arial" w:cs="Arial"/>
          <w:color w:val="000000"/>
          <w:szCs w:val="24"/>
          <w:lang w:eastAsia="es-CO"/>
        </w:rPr>
      </w:pPr>
      <w:r>
        <w:rPr>
          <w:rFonts w:ascii="Arial" w:hAnsi="Arial" w:cs="Arial"/>
          <w:color w:val="000000"/>
          <w:szCs w:val="24"/>
          <w:lang w:eastAsia="es-CO"/>
        </w:rPr>
        <w:t>A su turno, Colpensiones reprochó que el demandante de manera libre y voluntaria suscribió el formulario de afiliación y se trasladó al régimen al cual quería pertenecer</w:t>
      </w:r>
      <w:r w:rsidR="00107F7E">
        <w:rPr>
          <w:rFonts w:ascii="Arial" w:hAnsi="Arial" w:cs="Arial"/>
          <w:color w:val="000000"/>
          <w:szCs w:val="24"/>
          <w:lang w:eastAsia="es-CO"/>
        </w:rPr>
        <w:t>,</w:t>
      </w:r>
      <w:r>
        <w:rPr>
          <w:rFonts w:ascii="Arial" w:hAnsi="Arial" w:cs="Arial"/>
          <w:color w:val="000000"/>
          <w:szCs w:val="24"/>
          <w:lang w:eastAsia="es-CO"/>
        </w:rPr>
        <w:t xml:space="preserve"> en el que permaneció por 20 años. Por otro lado, </w:t>
      </w:r>
      <w:r w:rsidR="00107F7E">
        <w:rPr>
          <w:rFonts w:ascii="Arial" w:hAnsi="Arial" w:cs="Arial"/>
          <w:color w:val="000000"/>
          <w:szCs w:val="24"/>
          <w:lang w:eastAsia="es-CO"/>
        </w:rPr>
        <w:t xml:space="preserve">dijo </w:t>
      </w:r>
      <w:r>
        <w:rPr>
          <w:rFonts w:ascii="Arial" w:hAnsi="Arial" w:cs="Arial"/>
          <w:color w:val="000000"/>
          <w:szCs w:val="24"/>
          <w:lang w:eastAsia="es-CO"/>
        </w:rPr>
        <w:t xml:space="preserve">que la normativa prohíbe el traslado entre regímenes pensionales cuando restan menos de 10 años para alcanzar la edad pensional. Por último, señaló que el demandante tenía la carga de acreditar la ausencia de información, porque no era beneficiario del régimen de transición. </w:t>
      </w:r>
    </w:p>
    <w:p w14:paraId="4AD70ADD" w14:textId="77777777" w:rsidR="008B4923" w:rsidRDefault="008B4923" w:rsidP="00B3602F">
      <w:pPr>
        <w:spacing w:line="276" w:lineRule="auto"/>
        <w:jc w:val="both"/>
        <w:rPr>
          <w:rFonts w:ascii="Arial" w:hAnsi="Arial" w:cs="Arial"/>
          <w:b/>
          <w:color w:val="000000"/>
          <w:szCs w:val="24"/>
          <w:lang w:eastAsia="es-CO"/>
        </w:rPr>
      </w:pPr>
    </w:p>
    <w:p w14:paraId="4D56A005" w14:textId="7C1CC655" w:rsidR="002A1798" w:rsidRPr="002A1798" w:rsidRDefault="002A1798" w:rsidP="002A1798">
      <w:pPr>
        <w:spacing w:line="276" w:lineRule="auto"/>
        <w:jc w:val="both"/>
        <w:rPr>
          <w:rFonts w:ascii="Arial" w:eastAsiaTheme="minorHAnsi" w:hAnsi="Arial" w:cs="Arial"/>
          <w:b/>
          <w:color w:val="000000" w:themeColor="text1"/>
          <w:szCs w:val="24"/>
          <w:lang w:eastAsia="en-US"/>
        </w:rPr>
      </w:pPr>
      <w:r>
        <w:rPr>
          <w:rFonts w:ascii="Arial" w:eastAsiaTheme="minorHAnsi" w:hAnsi="Arial" w:cs="Arial"/>
          <w:b/>
          <w:color w:val="000000" w:themeColor="text1"/>
          <w:szCs w:val="24"/>
          <w:lang w:eastAsia="en-US"/>
        </w:rPr>
        <w:t xml:space="preserve">    </w:t>
      </w:r>
      <w:r w:rsidR="00F64834">
        <w:rPr>
          <w:rFonts w:ascii="Arial" w:eastAsiaTheme="minorHAnsi" w:hAnsi="Arial" w:cs="Arial"/>
          <w:b/>
          <w:color w:val="000000" w:themeColor="text1"/>
          <w:szCs w:val="24"/>
          <w:lang w:eastAsia="en-US"/>
        </w:rPr>
        <w:t>4</w:t>
      </w:r>
      <w:r w:rsidRPr="002A1798">
        <w:rPr>
          <w:rFonts w:ascii="Arial" w:eastAsiaTheme="minorHAnsi" w:hAnsi="Arial" w:cs="Arial"/>
          <w:b/>
          <w:color w:val="000000" w:themeColor="text1"/>
          <w:szCs w:val="24"/>
          <w:lang w:eastAsia="en-US"/>
        </w:rPr>
        <w:t xml:space="preserve">. Grado jurisdiccional de consulta </w:t>
      </w:r>
    </w:p>
    <w:p w14:paraId="0F45BD68" w14:textId="77777777" w:rsidR="002A1798" w:rsidRPr="002A1798" w:rsidRDefault="002A1798" w:rsidP="002A1798">
      <w:pPr>
        <w:spacing w:line="276" w:lineRule="auto"/>
        <w:jc w:val="both"/>
        <w:rPr>
          <w:rFonts w:ascii="Arial" w:eastAsiaTheme="minorHAnsi" w:hAnsi="Arial" w:cs="Arial"/>
          <w:b/>
          <w:color w:val="000000" w:themeColor="text1"/>
          <w:szCs w:val="24"/>
          <w:lang w:eastAsia="en-US"/>
        </w:rPr>
      </w:pPr>
    </w:p>
    <w:p w14:paraId="36FEC5F6" w14:textId="48A488BE" w:rsidR="00B3602F" w:rsidRPr="00BC3C0F" w:rsidRDefault="009F7B43" w:rsidP="00B3602F">
      <w:pPr>
        <w:spacing w:line="276" w:lineRule="auto"/>
        <w:jc w:val="both"/>
        <w:rPr>
          <w:rFonts w:ascii="Arial" w:hAnsi="Arial" w:cs="Arial"/>
          <w:color w:val="000000"/>
          <w:szCs w:val="24"/>
          <w:lang w:eastAsia="es-CO"/>
        </w:rPr>
      </w:pPr>
      <w:r>
        <w:rPr>
          <w:rFonts w:ascii="Arial" w:eastAsiaTheme="minorHAnsi" w:hAnsi="Arial" w:cs="Arial"/>
          <w:color w:val="000000" w:themeColor="text1"/>
          <w:szCs w:val="24"/>
          <w:lang w:eastAsia="en-US"/>
        </w:rPr>
        <w:t xml:space="preserve">Mediante auto de </w:t>
      </w:r>
      <w:r w:rsidR="00F64834">
        <w:rPr>
          <w:rFonts w:ascii="Arial" w:eastAsiaTheme="minorHAnsi" w:hAnsi="Arial" w:cs="Arial"/>
          <w:color w:val="000000" w:themeColor="text1"/>
          <w:szCs w:val="24"/>
          <w:lang w:eastAsia="en-US"/>
        </w:rPr>
        <w:t>08/05/2019 esta Colegiatura</w:t>
      </w:r>
      <w:r>
        <w:rPr>
          <w:rFonts w:ascii="Arial" w:eastAsiaTheme="minorHAnsi" w:hAnsi="Arial" w:cs="Arial"/>
          <w:color w:val="000000" w:themeColor="text1"/>
          <w:szCs w:val="24"/>
          <w:lang w:eastAsia="en-US"/>
        </w:rPr>
        <w:t xml:space="preserve"> ordenó tramitar la consulta frente a la sentencia dictada por el Juzgado Segundo Laboral del Circuito de Pereira, por resultar adversa a Colpensiones, entidad frente la que la Nación es garante, todo ello de conformidad con el artículo 69 del C.P.L. y de la S.S.</w:t>
      </w:r>
    </w:p>
    <w:p w14:paraId="36C89C4C" w14:textId="77777777" w:rsidR="008B4923" w:rsidRPr="001A3CF1" w:rsidRDefault="008B4923" w:rsidP="001A3CF1">
      <w:pPr>
        <w:shd w:val="clear" w:color="auto" w:fill="FFFFFF"/>
        <w:tabs>
          <w:tab w:val="left" w:pos="5197"/>
        </w:tabs>
        <w:spacing w:line="276" w:lineRule="auto"/>
        <w:contextualSpacing/>
        <w:jc w:val="both"/>
        <w:rPr>
          <w:rFonts w:ascii="Arial" w:hAnsi="Arial" w:cs="Arial"/>
          <w:color w:val="000000" w:themeColor="text1"/>
          <w:szCs w:val="24"/>
        </w:rPr>
      </w:pPr>
    </w:p>
    <w:p w14:paraId="4A50350F" w14:textId="77777777" w:rsidR="00D709CE" w:rsidRDefault="00D709CE" w:rsidP="00D709CE">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BC3C0F">
        <w:rPr>
          <w:rFonts w:ascii="Arial" w:hAnsi="Arial" w:cs="Arial"/>
          <w:b/>
          <w:color w:val="000000" w:themeColor="text1"/>
          <w:sz w:val="24"/>
          <w:szCs w:val="24"/>
        </w:rPr>
        <w:t>CONSIDERACIONES</w:t>
      </w:r>
    </w:p>
    <w:p w14:paraId="05C9352D" w14:textId="77777777" w:rsidR="00A04DDF" w:rsidRPr="001A3CF1" w:rsidRDefault="00A04DDF" w:rsidP="001A3CF1">
      <w:pPr>
        <w:shd w:val="clear" w:color="auto" w:fill="FFFFFF"/>
        <w:tabs>
          <w:tab w:val="left" w:pos="5197"/>
        </w:tabs>
        <w:spacing w:line="276" w:lineRule="auto"/>
        <w:contextualSpacing/>
        <w:jc w:val="both"/>
        <w:rPr>
          <w:rFonts w:ascii="Arial" w:hAnsi="Arial" w:cs="Arial"/>
          <w:color w:val="000000" w:themeColor="text1"/>
          <w:szCs w:val="24"/>
        </w:rPr>
      </w:pPr>
    </w:p>
    <w:p w14:paraId="3BCA71B3" w14:textId="77777777" w:rsidR="00D709CE" w:rsidRPr="008C4910" w:rsidRDefault="00D709CE" w:rsidP="00D709CE">
      <w:pPr>
        <w:pStyle w:val="Prrafodelista"/>
        <w:numPr>
          <w:ilvl w:val="0"/>
          <w:numId w:val="9"/>
        </w:numPr>
        <w:shd w:val="clear" w:color="auto" w:fill="FFFFFF"/>
        <w:tabs>
          <w:tab w:val="left" w:pos="5197"/>
        </w:tabs>
        <w:spacing w:line="240" w:lineRule="auto"/>
        <w:jc w:val="both"/>
        <w:rPr>
          <w:rFonts w:ascii="Arial" w:hAnsi="Arial" w:cs="Arial"/>
          <w:sz w:val="24"/>
          <w:szCs w:val="24"/>
        </w:rPr>
      </w:pPr>
      <w:r>
        <w:rPr>
          <w:rFonts w:ascii="Arial" w:hAnsi="Arial" w:cs="Arial"/>
          <w:b/>
          <w:sz w:val="24"/>
          <w:szCs w:val="24"/>
        </w:rPr>
        <w:t>Del problema jurídico</w:t>
      </w:r>
    </w:p>
    <w:p w14:paraId="136820D9" w14:textId="77777777" w:rsidR="00D709CE" w:rsidRDefault="00D709CE" w:rsidP="00D709CE">
      <w:pPr>
        <w:shd w:val="clear" w:color="auto" w:fill="FFFFFF"/>
        <w:tabs>
          <w:tab w:val="left" w:pos="5197"/>
        </w:tabs>
        <w:jc w:val="both"/>
        <w:rPr>
          <w:rFonts w:ascii="Arial" w:hAnsi="Arial" w:cs="Arial"/>
          <w:szCs w:val="24"/>
        </w:rPr>
      </w:pPr>
      <w:r>
        <w:rPr>
          <w:rFonts w:ascii="Arial" w:hAnsi="Arial" w:cs="Arial"/>
          <w:szCs w:val="24"/>
        </w:rPr>
        <w:t>Atendiendo el recuento anterior la Sala se pregunta:</w:t>
      </w:r>
    </w:p>
    <w:p w14:paraId="670812E9" w14:textId="77777777"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p>
    <w:p w14:paraId="7F8EC67C" w14:textId="43353777" w:rsidR="00692F47" w:rsidRDefault="00692F47" w:rsidP="00692F47">
      <w:pPr>
        <w:pStyle w:val="Textoindependiente"/>
        <w:spacing w:line="276" w:lineRule="auto"/>
        <w:ind w:right="-93"/>
        <w:contextualSpacing/>
        <w:rPr>
          <w:iCs/>
          <w:color w:val="000000" w:themeColor="text1"/>
          <w:szCs w:val="24"/>
        </w:rPr>
      </w:pPr>
      <w:r w:rsidRPr="00BC3C0F">
        <w:rPr>
          <w:iCs/>
          <w:color w:val="000000" w:themeColor="text1"/>
          <w:szCs w:val="24"/>
        </w:rPr>
        <w:t>¿</w:t>
      </w:r>
      <w:r w:rsidR="00107F7E">
        <w:rPr>
          <w:iCs/>
          <w:color w:val="000000" w:themeColor="text1"/>
          <w:szCs w:val="24"/>
        </w:rPr>
        <w:t>La AFP Protección S.A. le</w:t>
      </w:r>
      <w:r w:rsidR="00A964DC">
        <w:rPr>
          <w:iCs/>
          <w:color w:val="000000" w:themeColor="text1"/>
          <w:szCs w:val="24"/>
        </w:rPr>
        <w:t xml:space="preserve"> desconoció el derecho del</w:t>
      </w:r>
      <w:r>
        <w:rPr>
          <w:iCs/>
          <w:color w:val="000000" w:themeColor="text1"/>
          <w:szCs w:val="24"/>
        </w:rPr>
        <w:t xml:space="preserve"> demandante a elegir libre y voluntariamente el régimen pensional deseado?</w:t>
      </w:r>
    </w:p>
    <w:p w14:paraId="021057BF" w14:textId="77777777" w:rsidR="00D709CE" w:rsidRPr="001A3CF1"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p>
    <w:p w14:paraId="303FA1F5" w14:textId="77777777" w:rsidR="00D709CE" w:rsidRPr="0000603E" w:rsidRDefault="00D709CE" w:rsidP="00D709CE">
      <w:pPr>
        <w:pStyle w:val="Textoindependiente"/>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14350CCC" w14:textId="740A0019" w:rsidR="00D709CE" w:rsidRPr="001A3CF1" w:rsidRDefault="00D709CE" w:rsidP="001A3CF1">
      <w:pPr>
        <w:shd w:val="clear" w:color="auto" w:fill="FFFFFF"/>
        <w:tabs>
          <w:tab w:val="left" w:pos="5197"/>
        </w:tabs>
        <w:spacing w:line="276" w:lineRule="auto"/>
        <w:contextualSpacing/>
        <w:jc w:val="both"/>
        <w:rPr>
          <w:rFonts w:ascii="Arial" w:hAnsi="Arial" w:cs="Arial"/>
          <w:color w:val="000000" w:themeColor="text1"/>
          <w:szCs w:val="24"/>
        </w:rPr>
      </w:pPr>
    </w:p>
    <w:p w14:paraId="5238AAF3" w14:textId="66FD50BF" w:rsidR="00D709CE" w:rsidRPr="00D709CE" w:rsidRDefault="00D709CE" w:rsidP="00D709CE">
      <w:pPr>
        <w:autoSpaceDE w:val="0"/>
        <w:autoSpaceDN w:val="0"/>
        <w:adjustRightInd w:val="0"/>
        <w:jc w:val="both"/>
        <w:rPr>
          <w:rFonts w:ascii="Arial" w:hAnsi="Arial" w:cs="Arial"/>
          <w:b/>
          <w:szCs w:val="24"/>
        </w:rPr>
      </w:pPr>
      <w:r>
        <w:rPr>
          <w:rFonts w:ascii="Arial" w:hAnsi="Arial" w:cs="Arial"/>
          <w:b/>
          <w:szCs w:val="24"/>
        </w:rPr>
        <w:t>2.1.</w:t>
      </w:r>
      <w:r w:rsidR="00B3602F">
        <w:rPr>
          <w:rFonts w:ascii="Arial" w:hAnsi="Arial" w:cs="Arial"/>
          <w:b/>
          <w:szCs w:val="24"/>
        </w:rPr>
        <w:t xml:space="preserve"> </w:t>
      </w:r>
      <w:r w:rsidRPr="00D709CE">
        <w:rPr>
          <w:rFonts w:ascii="Arial" w:hAnsi="Arial" w:cs="Arial"/>
          <w:b/>
          <w:szCs w:val="24"/>
        </w:rPr>
        <w:t>Fundamento jurídico</w:t>
      </w:r>
    </w:p>
    <w:p w14:paraId="7D8F6C5C" w14:textId="77777777" w:rsidR="00D709CE" w:rsidRPr="001A3CF1"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p>
    <w:p w14:paraId="4802F5F4"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56502B03" w14:textId="77777777" w:rsidR="00DE009E" w:rsidRPr="001A3CF1" w:rsidRDefault="00DE009E" w:rsidP="00D709CE">
      <w:pPr>
        <w:shd w:val="clear" w:color="auto" w:fill="FFFFFF"/>
        <w:tabs>
          <w:tab w:val="left" w:pos="5197"/>
        </w:tabs>
        <w:spacing w:line="276" w:lineRule="auto"/>
        <w:contextualSpacing/>
        <w:jc w:val="both"/>
        <w:rPr>
          <w:rFonts w:ascii="Arial" w:hAnsi="Arial" w:cs="Arial"/>
          <w:color w:val="000000" w:themeColor="text1"/>
          <w:szCs w:val="24"/>
        </w:rPr>
      </w:pPr>
    </w:p>
    <w:p w14:paraId="58553B96" w14:textId="18701EC9"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lastRenderedPageBreak/>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4F1DF417" w14:textId="77777777" w:rsidR="0014034B" w:rsidRPr="00BC3C0F" w:rsidRDefault="0014034B" w:rsidP="00D709CE">
      <w:pPr>
        <w:shd w:val="clear" w:color="auto" w:fill="FFFFFF"/>
        <w:tabs>
          <w:tab w:val="left" w:pos="5197"/>
        </w:tabs>
        <w:spacing w:line="276" w:lineRule="auto"/>
        <w:contextualSpacing/>
        <w:jc w:val="both"/>
        <w:rPr>
          <w:rFonts w:ascii="Arial" w:hAnsi="Arial" w:cs="Arial"/>
          <w:color w:val="000000" w:themeColor="text1"/>
          <w:szCs w:val="24"/>
        </w:rPr>
      </w:pPr>
    </w:p>
    <w:p w14:paraId="04D8436A" w14:textId="00241190" w:rsidR="00D709CE" w:rsidRPr="00BC3C0F" w:rsidRDefault="00D709CE" w:rsidP="00D709CE">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sidRPr="00BC3C0F">
        <w:rPr>
          <w:rFonts w:ascii="Arial" w:hAnsi="Arial" w:cs="Arial"/>
          <w:color w:val="000000" w:themeColor="text1"/>
          <w:szCs w:val="24"/>
        </w:rPr>
        <w:t>, indicó que la misma procede para todos los afiliados al sistema pensional sin distingo a su pertenencia o no al régimen de transición previsto en el artículo 36 de la Ley 100 de 1993, cuya carga probatoria recae en la AFP, quien deberá acreditar que informó</w:t>
      </w:r>
      <w:r w:rsidR="00BF3913">
        <w:rPr>
          <w:rFonts w:ascii="Arial" w:hAnsi="Arial" w:cs="Arial"/>
          <w:color w:val="000000" w:themeColor="text1"/>
          <w:szCs w:val="24"/>
        </w:rPr>
        <w:t xml:space="preserve"> las consecuencias del traslado. T</w:t>
      </w:r>
      <w:r w:rsidRPr="00BC3C0F">
        <w:rPr>
          <w:rFonts w:ascii="Arial" w:hAnsi="Arial" w:cs="Arial"/>
          <w:color w:val="000000" w:themeColor="text1"/>
          <w:szCs w:val="24"/>
        </w:rPr>
        <w:t xml:space="preserve">esis que no se comparte </w:t>
      </w:r>
      <w:r w:rsidR="006045AA">
        <w:rPr>
          <w:rFonts w:ascii="Arial" w:hAnsi="Arial" w:cs="Arial"/>
          <w:color w:val="000000" w:themeColor="text1"/>
          <w:szCs w:val="24"/>
        </w:rPr>
        <w:t xml:space="preserve">por quienes integramos la Sala Mayoritaria. </w:t>
      </w:r>
    </w:p>
    <w:p w14:paraId="779EDEBE" w14:textId="77777777" w:rsidR="00D709CE" w:rsidRPr="00BC3C0F" w:rsidRDefault="00D709CE" w:rsidP="00D709CE">
      <w:pPr>
        <w:shd w:val="clear" w:color="auto" w:fill="FFFFFF"/>
        <w:tabs>
          <w:tab w:val="left" w:pos="5197"/>
        </w:tabs>
        <w:spacing w:line="276" w:lineRule="auto"/>
        <w:jc w:val="both"/>
        <w:rPr>
          <w:rFonts w:ascii="Arial" w:hAnsi="Arial" w:cs="Arial"/>
          <w:color w:val="000000" w:themeColor="text1"/>
          <w:szCs w:val="24"/>
        </w:rPr>
      </w:pPr>
    </w:p>
    <w:p w14:paraId="24D429CB" w14:textId="089C0318" w:rsidR="00D709CE" w:rsidRDefault="00D709CE" w:rsidP="00D709CE">
      <w:pPr>
        <w:spacing w:line="276" w:lineRule="auto"/>
        <w:ind w:right="-93"/>
        <w:jc w:val="both"/>
        <w:rPr>
          <w:rFonts w:ascii="Arial" w:hAnsi="Arial" w:cs="Arial"/>
          <w:color w:val="000000"/>
          <w:szCs w:val="24"/>
          <w:u w:val="single"/>
          <w:lang w:eastAsia="es-CO"/>
        </w:rPr>
      </w:pPr>
      <w:r w:rsidRPr="00BC3C0F">
        <w:rPr>
          <w:rFonts w:ascii="Arial" w:hAnsi="Arial" w:cs="Arial"/>
          <w:color w:val="000000" w:themeColor="text1"/>
          <w:szCs w:val="24"/>
        </w:rPr>
        <w:t xml:space="preserve">Así, la intelección que </w:t>
      </w:r>
      <w:r w:rsidR="00DE009E">
        <w:rPr>
          <w:rFonts w:ascii="Arial" w:hAnsi="Arial" w:cs="Arial"/>
          <w:color w:val="000000" w:themeColor="text1"/>
          <w:szCs w:val="24"/>
        </w:rPr>
        <w:t>se tien</w:t>
      </w:r>
      <w:r w:rsidR="006045AA">
        <w:rPr>
          <w:rFonts w:ascii="Arial" w:hAnsi="Arial" w:cs="Arial"/>
          <w:color w:val="000000" w:themeColor="text1"/>
          <w:szCs w:val="24"/>
        </w:rPr>
        <w:t>e</w:t>
      </w:r>
      <w:r w:rsidR="00DE009E">
        <w:rPr>
          <w:rFonts w:ascii="Arial" w:hAnsi="Arial" w:cs="Arial"/>
          <w:color w:val="000000" w:themeColor="text1"/>
          <w:szCs w:val="24"/>
        </w:rPr>
        <w:t xml:space="preserve"> radica</w:t>
      </w:r>
      <w:r>
        <w:rPr>
          <w:rFonts w:ascii="Arial" w:hAnsi="Arial" w:cs="Arial"/>
          <w:color w:val="000000" w:themeColor="text1"/>
          <w:szCs w:val="24"/>
        </w:rPr>
        <w:t xml:space="preserve">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que se manifiesta 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xml:space="preserve">, consistentes </w:t>
      </w:r>
      <w:r w:rsidR="00A338F3">
        <w:rPr>
          <w:rFonts w:ascii="Arial" w:hAnsi="Arial" w:cs="Arial"/>
          <w:color w:val="000000"/>
          <w:szCs w:val="24"/>
          <w:lang w:eastAsia="es-CO"/>
        </w:rPr>
        <w:t xml:space="preserve">de un lado </w:t>
      </w:r>
      <w:r w:rsidRPr="003E29A2">
        <w:rPr>
          <w:rFonts w:ascii="Arial" w:hAnsi="Arial" w:cs="Arial"/>
          <w:color w:val="000000"/>
          <w:szCs w:val="24"/>
          <w:lang w:eastAsia="es-CO"/>
        </w:rPr>
        <w:t>en multas pecuniarias</w:t>
      </w:r>
      <w:r w:rsidR="00A338F3">
        <w:rPr>
          <w:rFonts w:ascii="Arial" w:hAnsi="Arial" w:cs="Arial"/>
          <w:color w:val="000000"/>
          <w:szCs w:val="24"/>
          <w:lang w:eastAsia="es-CO"/>
        </w:rPr>
        <w:t xml:space="preserve"> y de otro</w:t>
      </w:r>
      <w:r>
        <w:rPr>
          <w:rFonts w:ascii="Arial" w:hAnsi="Arial" w:cs="Arial"/>
          <w:color w:val="000000"/>
          <w:szCs w:val="24"/>
          <w:lang w:eastAsia="es-CO"/>
        </w:rPr>
        <w:t xml:space="preserve"> de vital importancia, d</w:t>
      </w:r>
      <w:r w:rsidRPr="003E29A2">
        <w:rPr>
          <w:rFonts w:ascii="Arial" w:hAnsi="Arial" w:cs="Arial"/>
          <w:color w:val="000000"/>
          <w:szCs w:val="24"/>
          <w:lang w:eastAsia="es-CO"/>
        </w:rPr>
        <w:t>ejar sin efecto la afiliación</w:t>
      </w:r>
      <w:r w:rsidR="00A338F3">
        <w:rPr>
          <w:rFonts w:ascii="Arial" w:hAnsi="Arial" w:cs="Arial"/>
          <w:color w:val="000000"/>
          <w:szCs w:val="24"/>
          <w:lang w:eastAsia="es-CO"/>
        </w:rPr>
        <w:t>;</w:t>
      </w:r>
      <w:r w:rsidRPr="003E29A2">
        <w:rPr>
          <w:rFonts w:ascii="Arial" w:hAnsi="Arial" w:cs="Arial"/>
          <w:color w:val="000000"/>
          <w:szCs w:val="24"/>
          <w:lang w:eastAsia="es-CO"/>
        </w:rPr>
        <w:t xml:space="preserve"> </w:t>
      </w:r>
      <w:r w:rsidR="00A04DDF">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w:t>
      </w:r>
      <w:r w:rsidR="00A04DDF">
        <w:rPr>
          <w:rFonts w:ascii="Arial" w:hAnsi="Arial" w:cs="Arial"/>
          <w:color w:val="000000"/>
          <w:szCs w:val="24"/>
          <w:lang w:eastAsia="es-CO"/>
        </w:rPr>
        <w:t xml:space="preserve">en forma libre y espontánea, </w:t>
      </w:r>
      <w:r w:rsidR="00A04DDF" w:rsidRPr="00C10D52">
        <w:rPr>
          <w:rFonts w:ascii="Arial" w:hAnsi="Arial" w:cs="Arial"/>
          <w:color w:val="000000"/>
          <w:szCs w:val="24"/>
          <w:lang w:eastAsia="es-CO"/>
        </w:rPr>
        <w:t>sin que por esto recobre vigencia l</w:t>
      </w:r>
      <w:r w:rsidR="00DE009E">
        <w:rPr>
          <w:rFonts w:ascii="Arial" w:hAnsi="Arial" w:cs="Arial"/>
          <w:color w:val="000000"/>
          <w:szCs w:val="24"/>
          <w:lang w:eastAsia="es-CO"/>
        </w:rPr>
        <w:t>a afiliación anterior, pues ello</w:t>
      </w:r>
      <w:r w:rsidR="00A04DDF" w:rsidRPr="00C10D52">
        <w:rPr>
          <w:rFonts w:ascii="Arial" w:hAnsi="Arial" w:cs="Arial"/>
          <w:color w:val="000000"/>
          <w:szCs w:val="24"/>
          <w:lang w:eastAsia="es-CO"/>
        </w:rPr>
        <w:t xml:space="preserve"> no es el efecto jurídico de la </w:t>
      </w:r>
      <w:r w:rsidR="00DE009E">
        <w:rPr>
          <w:rFonts w:ascii="Arial" w:hAnsi="Arial" w:cs="Arial"/>
          <w:color w:val="000000"/>
          <w:szCs w:val="24"/>
          <w:lang w:eastAsia="es-CO"/>
        </w:rPr>
        <w:t>ineficacia</w:t>
      </w:r>
      <w:r w:rsidR="00A04DDF" w:rsidRPr="00C10D52">
        <w:rPr>
          <w:rFonts w:ascii="Arial" w:hAnsi="Arial" w:cs="Arial"/>
          <w:color w:val="000000"/>
          <w:szCs w:val="24"/>
          <w:lang w:eastAsia="es-CO"/>
        </w:rPr>
        <w:t xml:space="preserve"> que trae el canon citado.</w:t>
      </w:r>
      <w:r w:rsidR="00A04DDF" w:rsidRPr="0050218E">
        <w:rPr>
          <w:rFonts w:ascii="Arial" w:hAnsi="Arial" w:cs="Arial"/>
          <w:color w:val="000000"/>
          <w:szCs w:val="24"/>
          <w:u w:val="single"/>
          <w:lang w:eastAsia="es-CO"/>
        </w:rPr>
        <w:t xml:space="preserve"> </w:t>
      </w:r>
    </w:p>
    <w:p w14:paraId="2C04DE57" w14:textId="77777777" w:rsidR="007109BA" w:rsidRPr="003E29A2" w:rsidRDefault="007109BA" w:rsidP="00D709CE">
      <w:pPr>
        <w:spacing w:line="276" w:lineRule="auto"/>
        <w:ind w:right="-93"/>
        <w:jc w:val="both"/>
        <w:rPr>
          <w:rFonts w:ascii="Arial" w:hAnsi="Arial" w:cs="Arial"/>
          <w:color w:val="000000"/>
          <w:szCs w:val="24"/>
          <w:lang w:eastAsia="es-CO"/>
        </w:rPr>
      </w:pPr>
    </w:p>
    <w:p w14:paraId="067D3600" w14:textId="77777777" w:rsidR="00D709CE" w:rsidRDefault="00D709CE" w:rsidP="00D709CE">
      <w:pPr>
        <w:spacing w:line="276" w:lineRule="auto"/>
        <w:ind w:right="-93"/>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trabajador y la declaración o manifestación que de ésta haga a su interlocutor en el momento de elegir el régimen pensional. </w:t>
      </w:r>
    </w:p>
    <w:p w14:paraId="0C8D547A" w14:textId="77777777" w:rsidR="00D709CE" w:rsidRDefault="00D709CE" w:rsidP="00D709CE">
      <w:pPr>
        <w:spacing w:line="276" w:lineRule="auto"/>
        <w:ind w:right="-93"/>
        <w:jc w:val="both"/>
        <w:rPr>
          <w:rFonts w:ascii="Arial" w:hAnsi="Arial" w:cs="Arial"/>
          <w:color w:val="000000"/>
          <w:szCs w:val="24"/>
          <w:lang w:eastAsia="es-CO"/>
        </w:rPr>
      </w:pPr>
    </w:p>
    <w:p w14:paraId="24EE81D2" w14:textId="2F52176D"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Dicha disconformidad se cimienta en el numeral 2º del artículo 1502 del C.C.</w:t>
      </w:r>
      <w:r w:rsidR="00A964DC">
        <w:rPr>
          <w:rFonts w:ascii="Arial" w:hAnsi="Arial" w:cs="Arial"/>
          <w:color w:val="000000"/>
          <w:szCs w:val="24"/>
          <w:lang w:eastAsia="es-CO"/>
        </w:rPr>
        <w:t>,</w:t>
      </w:r>
      <w:r>
        <w:rPr>
          <w:rFonts w:ascii="Arial" w:hAnsi="Arial" w:cs="Arial"/>
          <w:color w:val="000000"/>
          <w:szCs w:val="24"/>
          <w:lang w:eastAsia="es-CO"/>
        </w:rPr>
        <w:t xml:space="preserve"> al prescribir que para que </w:t>
      </w:r>
      <w:r w:rsidR="00BF3913">
        <w:rPr>
          <w:rFonts w:ascii="Arial" w:hAnsi="Arial" w:cs="Arial"/>
          <w:color w:val="000000"/>
          <w:szCs w:val="24"/>
          <w:lang w:eastAsia="es-CO"/>
        </w:rPr>
        <w:t>una persona se obligue con otra</w:t>
      </w:r>
      <w:r>
        <w:rPr>
          <w:rFonts w:ascii="Arial" w:hAnsi="Arial" w:cs="Arial"/>
          <w:color w:val="000000"/>
          <w:szCs w:val="24"/>
          <w:lang w:eastAsia="es-CO"/>
        </w:rPr>
        <w:t xml:space="preserve"> a través de la declaración de su voluntad deberá consen</w:t>
      </w:r>
      <w:r w:rsidR="00BF3913">
        <w:rPr>
          <w:rFonts w:ascii="Arial" w:hAnsi="Arial" w:cs="Arial"/>
          <w:color w:val="000000"/>
          <w:szCs w:val="24"/>
          <w:lang w:eastAsia="es-CO"/>
        </w:rPr>
        <w:t>tir en la declaración expresada</w:t>
      </w:r>
      <w:r w:rsidR="00A338F3">
        <w:rPr>
          <w:rFonts w:ascii="Arial" w:hAnsi="Arial" w:cs="Arial"/>
          <w:color w:val="000000"/>
          <w:szCs w:val="24"/>
          <w:lang w:eastAsia="es-CO"/>
        </w:rPr>
        <w:t>;</w:t>
      </w:r>
      <w:r>
        <w:rPr>
          <w:rFonts w:ascii="Arial" w:hAnsi="Arial" w:cs="Arial"/>
          <w:color w:val="000000"/>
          <w:szCs w:val="24"/>
          <w:lang w:eastAsia="es-CO"/>
        </w:rPr>
        <w:t xml:space="preserve"> consentimiento que será válido siempre que no adolezca de vicio. En esa medida </w:t>
      </w:r>
      <w:r w:rsidR="00DE009E">
        <w:rPr>
          <w:rFonts w:ascii="Arial" w:hAnsi="Arial" w:cs="Arial"/>
          <w:color w:val="000000"/>
          <w:szCs w:val="24"/>
          <w:lang w:eastAsia="es-CO"/>
        </w:rPr>
        <w:t>este</w:t>
      </w:r>
      <w:r>
        <w:rPr>
          <w:rFonts w:ascii="Arial" w:hAnsi="Arial" w:cs="Arial"/>
          <w:color w:val="000000"/>
          <w:szCs w:val="24"/>
          <w:lang w:eastAsia="es-CO"/>
        </w:rPr>
        <w:t xml:space="preserve"> deberá estar libre de defecto alguno, como son el error, la fuerza y el dolo (art. 1508 del C.C), que podrán aparecer para casos como el de ahora cu</w:t>
      </w:r>
      <w:r w:rsidR="00BF3913">
        <w:rPr>
          <w:rFonts w:ascii="Arial" w:hAnsi="Arial" w:cs="Arial"/>
          <w:color w:val="000000"/>
          <w:szCs w:val="24"/>
          <w:lang w:eastAsia="es-CO"/>
        </w:rPr>
        <w:t>ando se retiene, omite o deforme</w:t>
      </w:r>
      <w:r>
        <w:rPr>
          <w:rFonts w:ascii="Arial" w:hAnsi="Arial" w:cs="Arial"/>
          <w:color w:val="000000"/>
          <w:szCs w:val="24"/>
          <w:lang w:eastAsia="es-CO"/>
        </w:rPr>
        <w:t xml:space="preserve"> la información indispensable para que el trabajador pueda expresar su consentimiento</w:t>
      </w:r>
      <w:r w:rsidR="00A964DC">
        <w:rPr>
          <w:rFonts w:ascii="Arial" w:hAnsi="Arial" w:cs="Arial"/>
          <w:color w:val="000000"/>
          <w:szCs w:val="24"/>
          <w:lang w:eastAsia="es-CO"/>
        </w:rPr>
        <w:t>,</w:t>
      </w:r>
      <w:r>
        <w:rPr>
          <w:rFonts w:ascii="Arial" w:hAnsi="Arial" w:cs="Arial"/>
          <w:color w:val="000000"/>
          <w:szCs w:val="24"/>
          <w:lang w:eastAsia="es-CO"/>
        </w:rPr>
        <w:t xml:space="preserve"> o dicho de otro modo, para que se consolide la expresión de su voluntad.</w:t>
      </w:r>
    </w:p>
    <w:p w14:paraId="6CF72349" w14:textId="77777777" w:rsidR="00D709CE" w:rsidRDefault="00D709CE" w:rsidP="00D709CE">
      <w:pPr>
        <w:spacing w:line="276" w:lineRule="auto"/>
        <w:ind w:right="-93"/>
        <w:jc w:val="both"/>
        <w:rPr>
          <w:rFonts w:ascii="Arial" w:hAnsi="Arial" w:cs="Arial"/>
          <w:color w:val="000000"/>
          <w:szCs w:val="24"/>
          <w:lang w:eastAsia="es-CO"/>
        </w:rPr>
      </w:pPr>
    </w:p>
    <w:p w14:paraId="6011AB18" w14:textId="6654C3AB" w:rsidR="00D709CE" w:rsidRDefault="00A964DC"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w:t>
      </w:r>
      <w:r w:rsidR="00D709CE">
        <w:rPr>
          <w:rFonts w:ascii="Arial" w:hAnsi="Arial" w:cs="Arial"/>
          <w:color w:val="000000"/>
          <w:szCs w:val="24"/>
          <w:lang w:eastAsia="es-CO"/>
        </w:rPr>
        <w:t xml:space="preserve">l anterior derrotero cobra relevancia al desentrañar en quién recae la </w:t>
      </w:r>
      <w:r w:rsidR="00DE009E">
        <w:rPr>
          <w:rFonts w:ascii="Arial" w:hAnsi="Arial" w:cs="Arial"/>
          <w:color w:val="000000"/>
          <w:szCs w:val="24"/>
          <w:lang w:eastAsia="es-CO"/>
        </w:rPr>
        <w:t xml:space="preserve">carga de probar </w:t>
      </w:r>
      <w:r w:rsidR="00A338F3">
        <w:rPr>
          <w:rFonts w:ascii="Arial" w:hAnsi="Arial" w:cs="Arial"/>
          <w:color w:val="000000"/>
          <w:szCs w:val="24"/>
          <w:lang w:eastAsia="es-CO"/>
        </w:rPr>
        <w:t>el contenido y forma en que se dio el consentimiento por el afiliado,</w:t>
      </w:r>
      <w:r w:rsidR="00D709CE">
        <w:rPr>
          <w:rFonts w:ascii="Arial" w:hAnsi="Arial" w:cs="Arial"/>
          <w:color w:val="000000"/>
          <w:szCs w:val="24"/>
          <w:lang w:eastAsia="es-CO"/>
        </w:rPr>
        <w:t xml:space="preserve"> pues tal evidencia demostrará la disconformidad entre lo querido y lo expresado, y por ende, el desconocimiento del derecho a la libre escogencia del régimen pensional.</w:t>
      </w:r>
    </w:p>
    <w:p w14:paraId="20DD9010" w14:textId="77777777" w:rsidR="00D709CE" w:rsidRDefault="00D709CE" w:rsidP="00D709CE">
      <w:pPr>
        <w:spacing w:line="276" w:lineRule="auto"/>
        <w:ind w:right="-93"/>
        <w:jc w:val="both"/>
        <w:rPr>
          <w:rFonts w:ascii="Arial" w:hAnsi="Arial" w:cs="Arial"/>
          <w:color w:val="000000"/>
          <w:szCs w:val="24"/>
          <w:lang w:eastAsia="es-CO"/>
        </w:rPr>
      </w:pPr>
    </w:p>
    <w:p w14:paraId="6EEC6F34" w14:textId="2912C441"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Puestas de ese modo las cosas, resulta imprescindible mencionar lo dispuesto en el art. 1604 del C.C. que exige que “</w:t>
      </w:r>
      <w:r w:rsidRPr="000337DE">
        <w:rPr>
          <w:rFonts w:ascii="Arial" w:hAnsi="Arial" w:cs="Arial"/>
          <w:i/>
          <w:color w:val="000000"/>
          <w:szCs w:val="24"/>
          <w:lang w:eastAsia="es-CO"/>
        </w:rPr>
        <w:t xml:space="preserve">la prueba de la diligencia o cuidado incumbe al que </w:t>
      </w:r>
      <w:r w:rsidRPr="000337DE">
        <w:rPr>
          <w:rFonts w:ascii="Arial" w:hAnsi="Arial" w:cs="Arial"/>
          <w:i/>
          <w:color w:val="000000"/>
          <w:szCs w:val="24"/>
          <w:lang w:eastAsia="es-CO"/>
        </w:rPr>
        <w:lastRenderedPageBreak/>
        <w:t>ha debido emplearlo; la prueba de</w:t>
      </w:r>
      <w:r w:rsidR="00BF3913">
        <w:rPr>
          <w:rFonts w:ascii="Arial" w:hAnsi="Arial" w:cs="Arial"/>
          <w:i/>
          <w:color w:val="000000"/>
          <w:szCs w:val="24"/>
          <w:lang w:eastAsia="es-CO"/>
        </w:rPr>
        <w:t>l caso fortuito al que lo alega”;</w:t>
      </w:r>
      <w:r>
        <w:rPr>
          <w:rFonts w:ascii="Arial" w:hAnsi="Arial" w:cs="Arial"/>
          <w:i/>
          <w:color w:val="000000"/>
          <w:szCs w:val="24"/>
          <w:lang w:eastAsia="es-CO"/>
        </w:rPr>
        <w:t xml:space="preserve"> </w:t>
      </w:r>
      <w:r>
        <w:rPr>
          <w:rFonts w:ascii="Arial" w:hAnsi="Arial" w:cs="Arial"/>
          <w:color w:val="000000"/>
          <w:szCs w:val="24"/>
          <w:lang w:eastAsia="es-CO"/>
        </w:rPr>
        <w:t xml:space="preserve">no obstante lo anterior, dicha </w:t>
      </w:r>
      <w:r w:rsidR="00DE009E">
        <w:rPr>
          <w:rFonts w:ascii="Arial" w:hAnsi="Arial" w:cs="Arial"/>
          <w:color w:val="000000"/>
          <w:szCs w:val="24"/>
          <w:lang w:eastAsia="es-CO"/>
        </w:rPr>
        <w:t>obligación</w:t>
      </w:r>
      <w:r>
        <w:rPr>
          <w:rFonts w:ascii="Arial" w:hAnsi="Arial" w:cs="Arial"/>
          <w:color w:val="000000"/>
          <w:szCs w:val="24"/>
          <w:lang w:eastAsia="es-CO"/>
        </w:rPr>
        <w:t xml:space="preserve"> probatoria aparece como respuesta inmediata a alguien que previamente ha alegado el incumplimiento de una obligación por parte de su deudor, </w:t>
      </w:r>
      <w:r w:rsidR="004B3019">
        <w:rPr>
          <w:rFonts w:ascii="Arial" w:hAnsi="Arial" w:cs="Arial"/>
          <w:color w:val="000000"/>
          <w:szCs w:val="24"/>
          <w:lang w:eastAsia="es-CO"/>
        </w:rPr>
        <w:t xml:space="preserve">y </w:t>
      </w:r>
      <w:r>
        <w:rPr>
          <w:rFonts w:ascii="Arial" w:hAnsi="Arial" w:cs="Arial"/>
          <w:color w:val="000000"/>
          <w:szCs w:val="24"/>
          <w:lang w:eastAsia="es-CO"/>
        </w:rPr>
        <w:t>en esa medida, quien alega un incumplimiento obligacional deberá probar el supuesto de hecho de la norma que consagra el efecto jurídico perseguido (art. 167 C.G.P.), o en otras palabras, deberá p</w:t>
      </w:r>
      <w:r w:rsidR="00574D01">
        <w:rPr>
          <w:rFonts w:ascii="Arial" w:hAnsi="Arial" w:cs="Arial"/>
          <w:color w:val="000000"/>
          <w:szCs w:val="24"/>
          <w:lang w:eastAsia="es-CO"/>
        </w:rPr>
        <w:t xml:space="preserve">robar la obligación incumplida </w:t>
      </w:r>
      <w:r>
        <w:rPr>
          <w:rFonts w:ascii="Arial" w:hAnsi="Arial" w:cs="Arial"/>
          <w:color w:val="000000"/>
          <w:szCs w:val="24"/>
          <w:lang w:eastAsia="es-CO"/>
        </w:rPr>
        <w:t xml:space="preserve">para que </w:t>
      </w:r>
      <w:r w:rsidR="00574D01">
        <w:rPr>
          <w:rFonts w:ascii="Arial" w:hAnsi="Arial" w:cs="Arial"/>
          <w:color w:val="000000"/>
          <w:szCs w:val="24"/>
          <w:lang w:eastAsia="es-CO"/>
        </w:rPr>
        <w:t>se presuma que ello se dio por culpa de la contraparte, quien en respuesta de t</w:t>
      </w:r>
      <w:r>
        <w:rPr>
          <w:rFonts w:ascii="Arial" w:hAnsi="Arial" w:cs="Arial"/>
          <w:color w:val="000000"/>
          <w:szCs w:val="24"/>
          <w:lang w:eastAsia="es-CO"/>
        </w:rPr>
        <w:t>al cuestionamiento</w:t>
      </w:r>
      <w:r w:rsidR="00DE009E">
        <w:rPr>
          <w:rFonts w:ascii="Arial" w:hAnsi="Arial" w:cs="Arial"/>
          <w:color w:val="000000"/>
          <w:szCs w:val="24"/>
          <w:lang w:eastAsia="es-CO"/>
        </w:rPr>
        <w:t xml:space="preserve"> tendrá</w:t>
      </w:r>
      <w:r w:rsidR="00574D01">
        <w:rPr>
          <w:rFonts w:ascii="Arial" w:hAnsi="Arial" w:cs="Arial"/>
          <w:color w:val="000000"/>
          <w:szCs w:val="24"/>
          <w:lang w:eastAsia="es-CO"/>
        </w:rPr>
        <w:t xml:space="preserve"> la carga de </w:t>
      </w:r>
      <w:r w:rsidR="00DE009E">
        <w:rPr>
          <w:rFonts w:ascii="Arial" w:hAnsi="Arial" w:cs="Arial"/>
          <w:color w:val="000000"/>
          <w:szCs w:val="24"/>
          <w:lang w:eastAsia="es-CO"/>
        </w:rPr>
        <w:t>demostrar</w:t>
      </w:r>
      <w:r>
        <w:rPr>
          <w:rFonts w:ascii="Arial" w:hAnsi="Arial" w:cs="Arial"/>
          <w:color w:val="000000"/>
          <w:szCs w:val="24"/>
          <w:lang w:eastAsia="es-CO"/>
        </w:rPr>
        <w:t xml:space="preserve"> la diligencia o cuidado en la obligación pactada. </w:t>
      </w:r>
    </w:p>
    <w:p w14:paraId="5C495892" w14:textId="77777777" w:rsidR="00A708A4" w:rsidRDefault="00A708A4" w:rsidP="00D709CE">
      <w:pPr>
        <w:spacing w:line="276" w:lineRule="auto"/>
        <w:ind w:right="-93"/>
        <w:jc w:val="both"/>
        <w:rPr>
          <w:rFonts w:ascii="Arial" w:hAnsi="Arial" w:cs="Arial"/>
          <w:color w:val="000000"/>
          <w:szCs w:val="24"/>
          <w:lang w:eastAsia="es-CO"/>
        </w:rPr>
      </w:pPr>
    </w:p>
    <w:p w14:paraId="5BB89D97" w14:textId="5CE3712E" w:rsidR="00A708A4" w:rsidRPr="00DE63E4" w:rsidRDefault="00A708A4" w:rsidP="00A708A4">
      <w:pPr>
        <w:spacing w:line="276" w:lineRule="auto"/>
        <w:ind w:right="49"/>
        <w:contextualSpacing/>
        <w:jc w:val="both"/>
        <w:rPr>
          <w:rFonts w:ascii="Arial" w:hAnsi="Arial" w:cs="Arial"/>
          <w:color w:val="000000"/>
          <w:szCs w:val="24"/>
          <w:highlight w:val="red"/>
          <w:lang w:eastAsia="es-CO"/>
        </w:rPr>
      </w:pPr>
      <w:r>
        <w:rPr>
          <w:rFonts w:ascii="Arial" w:hAnsi="Arial" w:cs="Arial"/>
          <w:color w:val="000000"/>
          <w:szCs w:val="24"/>
          <w:lang w:eastAsia="es-CO"/>
        </w:rPr>
        <w:t xml:space="preserve">Ahora bien, situación diferente ocurre cuando las pretensiones del proceso de ineficacia de la afiliación se fundan en una negación indefinida, que se concreta en la ausencia total de información como prerrequisito para acreditar </w:t>
      </w:r>
      <w:r w:rsidR="00E722C9">
        <w:rPr>
          <w:rFonts w:ascii="Arial" w:hAnsi="Arial" w:cs="Arial"/>
          <w:color w:val="000000"/>
          <w:szCs w:val="24"/>
          <w:lang w:eastAsia="es-CO"/>
        </w:rPr>
        <w:t>que su consentimiento estuvo viciado</w:t>
      </w:r>
      <w:r w:rsidR="00A964DC">
        <w:rPr>
          <w:rFonts w:ascii="Arial" w:hAnsi="Arial" w:cs="Arial"/>
          <w:color w:val="000000"/>
          <w:szCs w:val="24"/>
          <w:lang w:eastAsia="es-CO"/>
        </w:rPr>
        <w:t>,</w:t>
      </w:r>
      <w:r w:rsidR="00E722C9">
        <w:rPr>
          <w:rFonts w:ascii="Arial" w:hAnsi="Arial" w:cs="Arial"/>
          <w:color w:val="000000"/>
          <w:szCs w:val="24"/>
          <w:lang w:eastAsia="es-CO"/>
        </w:rPr>
        <w:t xml:space="preserve"> sin que lo configure el que las partes expresen que</w:t>
      </w:r>
      <w:r>
        <w:rPr>
          <w:rFonts w:ascii="Arial" w:hAnsi="Arial" w:cs="Arial"/>
          <w:color w:val="000000"/>
          <w:szCs w:val="24"/>
          <w:lang w:eastAsia="es-CO"/>
        </w:rPr>
        <w:t xml:space="preserve"> “</w:t>
      </w:r>
      <w:r w:rsidRPr="00A708A4">
        <w:rPr>
          <w:rFonts w:ascii="Arial" w:hAnsi="Arial" w:cs="Arial"/>
          <w:i/>
          <w:color w:val="000000"/>
          <w:szCs w:val="24"/>
          <w:lang w:eastAsia="es-CO"/>
        </w:rPr>
        <w:t>la AFP no suministró información veraz y suficiente</w:t>
      </w:r>
      <w:r w:rsidR="00790F47" w:rsidRPr="00AD294E">
        <w:rPr>
          <w:rFonts w:ascii="Arial" w:hAnsi="Arial" w:cs="Arial"/>
          <w:color w:val="000000"/>
          <w:szCs w:val="24"/>
          <w:lang w:eastAsia="es-CO"/>
        </w:rPr>
        <w:t>”, dado que e</w:t>
      </w:r>
      <w:r w:rsidR="00DE63E4" w:rsidRPr="00AD294E">
        <w:rPr>
          <w:rFonts w:ascii="Arial" w:hAnsi="Arial" w:cs="Arial"/>
          <w:color w:val="000000"/>
          <w:szCs w:val="24"/>
          <w:lang w:eastAsia="es-CO"/>
        </w:rPr>
        <w:t>stá</w:t>
      </w:r>
      <w:r w:rsidR="00E722C9">
        <w:rPr>
          <w:rFonts w:ascii="Arial" w:hAnsi="Arial" w:cs="Arial"/>
          <w:color w:val="000000"/>
          <w:szCs w:val="24"/>
          <w:lang w:eastAsia="es-CO"/>
        </w:rPr>
        <w:t xml:space="preserve"> en é</w:t>
      </w:r>
      <w:r w:rsidR="00790F47" w:rsidRPr="00AD294E">
        <w:rPr>
          <w:rFonts w:ascii="Arial" w:hAnsi="Arial" w:cs="Arial"/>
          <w:color w:val="000000"/>
          <w:szCs w:val="24"/>
          <w:lang w:eastAsia="es-CO"/>
        </w:rPr>
        <w:t>l exponer que fue lo que se les dijo o cuál fue la información falsa,</w:t>
      </w:r>
      <w:r w:rsidR="00790F47">
        <w:rPr>
          <w:rFonts w:ascii="Arial" w:hAnsi="Arial" w:cs="Arial"/>
          <w:color w:val="000000"/>
          <w:szCs w:val="24"/>
          <w:lang w:eastAsia="es-CO"/>
        </w:rPr>
        <w:t xml:space="preserve"> </w:t>
      </w:r>
      <w:r w:rsidR="00E722C9">
        <w:rPr>
          <w:rFonts w:ascii="Arial" w:hAnsi="Arial" w:cs="Arial"/>
          <w:color w:val="000000"/>
          <w:szCs w:val="24"/>
          <w:lang w:eastAsia="es-CO"/>
        </w:rPr>
        <w:t xml:space="preserve">para que quede en evidencia qué faltó o dónde radicó el engaño, </w:t>
      </w:r>
      <w:r w:rsidR="00790F47">
        <w:rPr>
          <w:rFonts w:ascii="Arial" w:hAnsi="Arial" w:cs="Arial"/>
          <w:color w:val="000000"/>
          <w:szCs w:val="24"/>
          <w:lang w:eastAsia="es-CO"/>
        </w:rPr>
        <w:t xml:space="preserve">solo así se podrá trasladar la carga </w:t>
      </w:r>
      <w:r w:rsidR="00E722C9">
        <w:rPr>
          <w:rFonts w:ascii="Arial" w:hAnsi="Arial" w:cs="Arial"/>
          <w:color w:val="000000"/>
          <w:szCs w:val="24"/>
          <w:lang w:eastAsia="es-CO"/>
        </w:rPr>
        <w:t xml:space="preserve">de probar </w:t>
      </w:r>
      <w:r w:rsidR="00790F47">
        <w:rPr>
          <w:rFonts w:ascii="Arial" w:hAnsi="Arial" w:cs="Arial"/>
          <w:color w:val="000000"/>
          <w:szCs w:val="24"/>
          <w:lang w:eastAsia="es-CO"/>
        </w:rPr>
        <w:t>a la AFP.</w:t>
      </w:r>
      <w:r>
        <w:rPr>
          <w:rFonts w:ascii="Arial" w:hAnsi="Arial" w:cs="Arial"/>
          <w:color w:val="000000"/>
          <w:szCs w:val="24"/>
          <w:lang w:eastAsia="es-CO"/>
        </w:rPr>
        <w:t xml:space="preserve"> Entonces, para los procesos fundados en negaciones indefinidas </w:t>
      </w:r>
      <w:r>
        <w:rPr>
          <w:rFonts w:ascii="Arial" w:hAnsi="Arial"/>
          <w:szCs w:val="24"/>
        </w:rPr>
        <w:t>corresponde de manera imperiosa a la AFP desvirtuar la misma, esto es, acreditar que el traslado estuvo prece</w:t>
      </w:r>
      <w:r w:rsidR="00E722C9">
        <w:rPr>
          <w:rFonts w:ascii="Arial" w:hAnsi="Arial"/>
          <w:szCs w:val="24"/>
        </w:rPr>
        <w:t xml:space="preserve">dido de suficiente información y por ende, existió un consentimiento válido. </w:t>
      </w:r>
    </w:p>
    <w:p w14:paraId="65ADA89A" w14:textId="27D84E53" w:rsidR="00A708A4" w:rsidRDefault="00A708A4" w:rsidP="00A708A4">
      <w:pPr>
        <w:spacing w:line="276" w:lineRule="auto"/>
        <w:ind w:right="-93"/>
        <w:jc w:val="both"/>
        <w:rPr>
          <w:rFonts w:ascii="Arial" w:hAnsi="Arial" w:cs="Arial"/>
          <w:color w:val="000000"/>
          <w:szCs w:val="24"/>
          <w:lang w:eastAsia="es-CO"/>
        </w:rPr>
      </w:pPr>
    </w:p>
    <w:p w14:paraId="7F1F8769" w14:textId="1C79C76E"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conclusión, en los procesos tendientes a dejar sin efecto una afiliación hecha a cualquier</w:t>
      </w:r>
      <w:r w:rsidR="004B3019">
        <w:rPr>
          <w:rFonts w:ascii="Arial" w:hAnsi="Arial" w:cs="Arial"/>
          <w:color w:val="000000"/>
          <w:szCs w:val="24"/>
          <w:lang w:eastAsia="es-CO"/>
        </w:rPr>
        <w:t>a</w:t>
      </w:r>
      <w:r>
        <w:rPr>
          <w:rFonts w:ascii="Arial" w:hAnsi="Arial" w:cs="Arial"/>
          <w:color w:val="000000"/>
          <w:szCs w:val="24"/>
          <w:lang w:eastAsia="es-CO"/>
        </w:rPr>
        <w:t xml:space="preserve"> de los dos regímenes, con el propósito de volver a elegir </w:t>
      </w:r>
      <w:r w:rsidR="00DE009E">
        <w:rPr>
          <w:rFonts w:ascii="Arial" w:hAnsi="Arial" w:cs="Arial"/>
          <w:color w:val="000000"/>
          <w:szCs w:val="24"/>
          <w:lang w:eastAsia="es-CO"/>
        </w:rPr>
        <w:t>el</w:t>
      </w:r>
      <w:r>
        <w:rPr>
          <w:rFonts w:ascii="Arial" w:hAnsi="Arial" w:cs="Arial"/>
          <w:color w:val="000000"/>
          <w:szCs w:val="24"/>
          <w:lang w:eastAsia="es-CO"/>
        </w:rPr>
        <w:t xml:space="preserve"> que desee, esta vez, en forma libre y espontánea, deberá </w:t>
      </w:r>
      <w:r w:rsidR="00A708A4">
        <w:rPr>
          <w:rFonts w:ascii="Arial" w:hAnsi="Arial" w:cs="Arial"/>
          <w:color w:val="000000"/>
          <w:szCs w:val="24"/>
          <w:lang w:eastAsia="es-CO"/>
        </w:rPr>
        <w:t>el afiliado</w:t>
      </w:r>
      <w:r w:rsidR="00E722C9">
        <w:rPr>
          <w:rFonts w:ascii="Arial" w:hAnsi="Arial" w:cs="Arial"/>
          <w:color w:val="000000"/>
          <w:szCs w:val="24"/>
          <w:lang w:eastAsia="es-CO"/>
        </w:rPr>
        <w:t xml:space="preserve"> demostrar </w:t>
      </w:r>
      <w:r>
        <w:rPr>
          <w:rFonts w:ascii="Arial" w:hAnsi="Arial" w:cs="Arial"/>
          <w:color w:val="000000"/>
          <w:szCs w:val="24"/>
          <w:lang w:eastAsia="es-CO"/>
        </w:rPr>
        <w:t xml:space="preserve">imperiosamente que la AFP a la </w:t>
      </w:r>
      <w:r w:rsidR="00574D01">
        <w:rPr>
          <w:rFonts w:ascii="Arial" w:hAnsi="Arial" w:cs="Arial"/>
          <w:color w:val="000000"/>
          <w:szCs w:val="24"/>
          <w:lang w:eastAsia="es-CO"/>
        </w:rPr>
        <w:t>que se afilió</w:t>
      </w:r>
      <w:r>
        <w:rPr>
          <w:rFonts w:ascii="Arial" w:hAnsi="Arial" w:cs="Arial"/>
          <w:color w:val="000000"/>
          <w:szCs w:val="24"/>
          <w:lang w:eastAsia="es-CO"/>
        </w:rPr>
        <w:t xml:space="preserve"> incumplió </w:t>
      </w:r>
      <w:r w:rsidR="00574D01">
        <w:rPr>
          <w:rFonts w:ascii="Arial" w:hAnsi="Arial" w:cs="Arial"/>
          <w:color w:val="000000"/>
          <w:szCs w:val="24"/>
          <w:lang w:eastAsia="es-CO"/>
        </w:rPr>
        <w:t xml:space="preserve">en la etapa precontractual </w:t>
      </w:r>
      <w:r>
        <w:rPr>
          <w:rFonts w:ascii="Arial" w:hAnsi="Arial" w:cs="Arial"/>
          <w:color w:val="000000"/>
          <w:szCs w:val="24"/>
          <w:lang w:eastAsia="es-CO"/>
        </w:rPr>
        <w:t>con su obligación principal, br</w:t>
      </w:r>
      <w:r w:rsidR="00DE009E">
        <w:rPr>
          <w:rFonts w:ascii="Arial" w:hAnsi="Arial" w:cs="Arial"/>
          <w:color w:val="000000"/>
          <w:szCs w:val="24"/>
          <w:lang w:eastAsia="es-CO"/>
        </w:rPr>
        <w:t xml:space="preserve">indarle la información adecuada, completa y veraz </w:t>
      </w:r>
      <w:r>
        <w:rPr>
          <w:rFonts w:ascii="Arial" w:hAnsi="Arial" w:cs="Arial"/>
          <w:color w:val="000000"/>
          <w:szCs w:val="24"/>
          <w:lang w:eastAsia="es-CO"/>
        </w:rPr>
        <w:t xml:space="preserve">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779ABA02" w14:textId="77777777" w:rsidR="00D709CE" w:rsidRDefault="00D709CE" w:rsidP="00D709CE">
      <w:pPr>
        <w:spacing w:line="276" w:lineRule="auto"/>
        <w:ind w:right="-93"/>
        <w:jc w:val="both"/>
        <w:rPr>
          <w:rFonts w:ascii="Arial" w:hAnsi="Arial" w:cs="Arial"/>
          <w:color w:val="000000"/>
          <w:szCs w:val="24"/>
          <w:lang w:eastAsia="es-CO"/>
        </w:rPr>
      </w:pPr>
    </w:p>
    <w:p w14:paraId="05DECA1A" w14:textId="70A59DE4" w:rsidR="00D709CE" w:rsidRDefault="00DE009E" w:rsidP="00D709CE">
      <w:pPr>
        <w:spacing w:line="276" w:lineRule="auto"/>
        <w:ind w:right="-93"/>
        <w:jc w:val="both"/>
        <w:rPr>
          <w:rFonts w:ascii="Arial" w:hAnsi="Arial" w:cs="Arial"/>
          <w:i/>
          <w:color w:val="000000"/>
          <w:szCs w:val="24"/>
          <w:lang w:eastAsia="es-CO"/>
        </w:rPr>
      </w:pPr>
      <w:r>
        <w:rPr>
          <w:rFonts w:ascii="Arial" w:hAnsi="Arial" w:cs="Arial"/>
          <w:color w:val="000000"/>
          <w:szCs w:val="24"/>
          <w:lang w:eastAsia="es-CO"/>
        </w:rPr>
        <w:t xml:space="preserve">Deducción </w:t>
      </w:r>
      <w:r w:rsidR="00D709CE">
        <w:rPr>
          <w:rFonts w:ascii="Arial" w:hAnsi="Arial" w:cs="Arial"/>
          <w:color w:val="000000"/>
          <w:szCs w:val="24"/>
          <w:lang w:eastAsia="es-CO"/>
        </w:rPr>
        <w:t>que en nada diciente con la doctrina al enseñar que “</w:t>
      </w:r>
      <w:r w:rsidR="00D709CE" w:rsidRPr="001A3CF1">
        <w:rPr>
          <w:rFonts w:ascii="Arial" w:hAnsi="Arial" w:cs="Arial"/>
          <w:i/>
          <w:color w:val="000000"/>
          <w:sz w:val="22"/>
          <w:szCs w:val="24"/>
          <w:lang w:eastAsia="es-CO"/>
        </w:rPr>
        <w:t xml:space="preserve">para que esta sanción sea aplicable al deudor </w:t>
      </w:r>
      <w:r w:rsidR="00574D01" w:rsidRPr="001A3CF1">
        <w:rPr>
          <w:rFonts w:ascii="Arial" w:hAnsi="Arial" w:cs="Arial"/>
          <w:color w:val="000000"/>
          <w:sz w:val="22"/>
          <w:szCs w:val="24"/>
          <w:lang w:eastAsia="es-CO"/>
        </w:rPr>
        <w:t>[pago de perjuicios]</w:t>
      </w:r>
      <w:r w:rsidR="00574D01" w:rsidRPr="001A3CF1">
        <w:rPr>
          <w:rFonts w:ascii="Arial" w:hAnsi="Arial" w:cs="Arial"/>
          <w:i/>
          <w:color w:val="000000"/>
          <w:sz w:val="22"/>
          <w:szCs w:val="24"/>
          <w:lang w:eastAsia="es-CO"/>
        </w:rPr>
        <w:t xml:space="preserve"> </w:t>
      </w:r>
      <w:r w:rsidR="00D709CE" w:rsidRPr="001A3CF1">
        <w:rPr>
          <w:rFonts w:ascii="Arial" w:hAnsi="Arial" w:cs="Arial"/>
          <w:i/>
          <w:color w:val="000000"/>
          <w:sz w:val="22"/>
          <w:szCs w:val="24"/>
          <w:lang w:eastAsia="es-CO"/>
        </w:rPr>
        <w:t xml:space="preserve">es necesario que este quebrante los dictados de la buena fe y de la diligencia que rigen su conducta (art. 1603 y 1604); se presume que el incumplimiento de la obligación es culposo (art. 1604), presunción que es </w:t>
      </w:r>
      <w:proofErr w:type="spellStart"/>
      <w:r w:rsidR="00D709CE" w:rsidRPr="001A3CF1">
        <w:rPr>
          <w:rFonts w:ascii="Arial" w:hAnsi="Arial" w:cs="Arial"/>
          <w:i/>
          <w:color w:val="000000"/>
          <w:sz w:val="22"/>
          <w:szCs w:val="24"/>
          <w:lang w:eastAsia="es-CO"/>
        </w:rPr>
        <w:t>desvirtuable</w:t>
      </w:r>
      <w:proofErr w:type="spellEnd"/>
      <w:r w:rsidR="00D709CE" w:rsidRPr="001A3CF1">
        <w:rPr>
          <w:rFonts w:ascii="Arial" w:hAnsi="Arial" w:cs="Arial"/>
          <w:i/>
          <w:color w:val="000000"/>
          <w:sz w:val="22"/>
          <w:szCs w:val="24"/>
          <w:lang w:eastAsia="es-CO"/>
        </w:rPr>
        <w:t xml:space="preserve"> por el deudor, mediante la prueba de la diligencia debida o del caso fortuito </w:t>
      </w:r>
      <w:proofErr w:type="spellStart"/>
      <w:r w:rsidR="00D709CE" w:rsidRPr="001A3CF1">
        <w:rPr>
          <w:rFonts w:ascii="Arial" w:hAnsi="Arial" w:cs="Arial"/>
          <w:i/>
          <w:color w:val="000000"/>
          <w:sz w:val="22"/>
          <w:szCs w:val="24"/>
          <w:lang w:eastAsia="es-CO"/>
        </w:rPr>
        <w:t>exonerante</w:t>
      </w:r>
      <w:proofErr w:type="spellEnd"/>
      <w:r w:rsidR="00D709CE" w:rsidRPr="001A3CF1">
        <w:rPr>
          <w:rFonts w:ascii="Arial" w:hAnsi="Arial" w:cs="Arial"/>
          <w:i/>
          <w:color w:val="000000"/>
          <w:sz w:val="22"/>
          <w:szCs w:val="24"/>
          <w:lang w:eastAsia="es-CO"/>
        </w:rPr>
        <w:t xml:space="preserve"> de responsabilidad (ibídem)</w:t>
      </w:r>
      <w:r w:rsidR="00D709CE" w:rsidRPr="00B23B93">
        <w:rPr>
          <w:rFonts w:ascii="Arial" w:hAnsi="Arial" w:cs="Arial"/>
          <w:i/>
          <w:color w:val="000000"/>
          <w:szCs w:val="24"/>
          <w:lang w:eastAsia="es-CO"/>
        </w:rPr>
        <w:t>”</w:t>
      </w:r>
      <w:r w:rsidR="00D709CE">
        <w:rPr>
          <w:rStyle w:val="Refdenotaalpie"/>
          <w:rFonts w:ascii="Arial" w:hAnsi="Arial" w:cs="Arial"/>
          <w:i/>
          <w:color w:val="000000"/>
          <w:szCs w:val="24"/>
          <w:lang w:eastAsia="es-CO"/>
        </w:rPr>
        <w:footnoteReference w:id="2"/>
      </w:r>
      <w:r w:rsidR="00D709CE">
        <w:rPr>
          <w:rFonts w:ascii="Arial" w:hAnsi="Arial" w:cs="Arial"/>
          <w:i/>
          <w:color w:val="000000"/>
          <w:szCs w:val="24"/>
          <w:lang w:eastAsia="es-CO"/>
        </w:rPr>
        <w:t>.</w:t>
      </w:r>
    </w:p>
    <w:p w14:paraId="4EFC0629" w14:textId="77777777" w:rsidR="00D709CE" w:rsidRDefault="00D709CE" w:rsidP="00D709CE">
      <w:pPr>
        <w:spacing w:line="276" w:lineRule="auto"/>
        <w:ind w:right="-93"/>
        <w:jc w:val="both"/>
        <w:rPr>
          <w:rFonts w:ascii="Arial" w:hAnsi="Arial" w:cs="Arial"/>
          <w:i/>
          <w:color w:val="000000"/>
          <w:szCs w:val="24"/>
          <w:lang w:eastAsia="es-CO"/>
        </w:rPr>
      </w:pPr>
    </w:p>
    <w:p w14:paraId="35852E02" w14:textId="77777777" w:rsidR="00D709CE" w:rsidRDefault="00D709CE" w:rsidP="00D709CE">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proofErr w:type="spellStart"/>
      <w:r w:rsidRPr="00320011">
        <w:rPr>
          <w:rFonts w:ascii="Arial" w:hAnsi="Arial" w:cs="Arial"/>
          <w:i/>
          <w:color w:val="000000"/>
          <w:szCs w:val="24"/>
          <w:lang w:eastAsia="es-CO"/>
        </w:rPr>
        <w:t>onus</w:t>
      </w:r>
      <w:proofErr w:type="spellEnd"/>
      <w:r w:rsidRPr="00320011">
        <w:rPr>
          <w:rFonts w:ascii="Arial" w:hAnsi="Arial" w:cs="Arial"/>
          <w:i/>
          <w:color w:val="000000"/>
          <w:szCs w:val="24"/>
          <w:lang w:eastAsia="es-CO"/>
        </w:rPr>
        <w:t xml:space="preserve"> </w:t>
      </w:r>
      <w:proofErr w:type="spellStart"/>
      <w:r w:rsidRPr="00320011">
        <w:rPr>
          <w:rFonts w:ascii="Arial" w:hAnsi="Arial" w:cs="Arial"/>
          <w:i/>
          <w:color w:val="000000"/>
          <w:szCs w:val="24"/>
          <w:lang w:eastAsia="es-CO"/>
        </w:rPr>
        <w:t>probandi</w:t>
      </w:r>
      <w:proofErr w:type="spellEnd"/>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p>
    <w:p w14:paraId="103B81AA" w14:textId="77777777" w:rsidR="00A708A4" w:rsidRDefault="00A708A4" w:rsidP="00D709CE">
      <w:pPr>
        <w:spacing w:line="276" w:lineRule="auto"/>
        <w:ind w:right="-93"/>
        <w:jc w:val="both"/>
        <w:rPr>
          <w:rFonts w:ascii="Arial" w:hAnsi="Arial" w:cs="Arial"/>
          <w:color w:val="000000"/>
          <w:szCs w:val="24"/>
          <w:lang w:eastAsia="es-CO"/>
        </w:rPr>
      </w:pPr>
    </w:p>
    <w:p w14:paraId="04C3A74C" w14:textId="06860C7A" w:rsidR="00A708A4" w:rsidRPr="00DE63E4" w:rsidRDefault="00A708A4" w:rsidP="00D709CE">
      <w:pPr>
        <w:spacing w:line="276" w:lineRule="auto"/>
        <w:ind w:right="-93"/>
        <w:jc w:val="both"/>
        <w:rPr>
          <w:rFonts w:ascii="Arial" w:hAnsi="Arial" w:cs="Arial"/>
          <w:color w:val="000000"/>
          <w:szCs w:val="24"/>
          <w:lang w:eastAsia="es-CO"/>
        </w:rPr>
      </w:pPr>
      <w:r w:rsidRPr="00DE63E4">
        <w:rPr>
          <w:rFonts w:ascii="Arial" w:hAnsi="Arial" w:cs="Arial"/>
          <w:color w:val="000000"/>
          <w:szCs w:val="24"/>
          <w:lang w:eastAsia="es-CO"/>
        </w:rPr>
        <w:t xml:space="preserve">Concretamente, en reciente jurisprudencia la Corte Suprema de Justicia compendió en tres etapas </w:t>
      </w:r>
      <w:r w:rsidR="006D2A1F" w:rsidRPr="00DE63E4">
        <w:rPr>
          <w:rFonts w:ascii="Arial" w:hAnsi="Arial" w:cs="Arial"/>
          <w:color w:val="000000"/>
          <w:szCs w:val="24"/>
          <w:lang w:eastAsia="es-CO"/>
        </w:rPr>
        <w:t>evolutivas el deber de información a cargo de las administradoras de fondos de pensiones</w:t>
      </w:r>
      <w:r w:rsidR="00C17DB1" w:rsidRPr="00DE63E4">
        <w:rPr>
          <w:rStyle w:val="Refdenotaalpie"/>
          <w:rFonts w:ascii="Arial" w:hAnsi="Arial" w:cs="Arial"/>
          <w:color w:val="000000"/>
          <w:szCs w:val="24"/>
          <w:lang w:eastAsia="es-CO"/>
        </w:rPr>
        <w:footnoteReference w:id="4"/>
      </w:r>
      <w:r w:rsidR="006D2A1F" w:rsidRPr="00DE63E4">
        <w:rPr>
          <w:rFonts w:ascii="Arial" w:hAnsi="Arial" w:cs="Arial"/>
          <w:color w:val="000000"/>
          <w:szCs w:val="24"/>
          <w:lang w:eastAsia="es-CO"/>
        </w:rPr>
        <w:t>.</w:t>
      </w:r>
    </w:p>
    <w:p w14:paraId="770664F1" w14:textId="77777777" w:rsidR="006D2A1F" w:rsidRPr="00DE63E4" w:rsidRDefault="006D2A1F" w:rsidP="00D709CE">
      <w:pPr>
        <w:spacing w:line="276" w:lineRule="auto"/>
        <w:ind w:right="-93"/>
        <w:jc w:val="both"/>
        <w:rPr>
          <w:rFonts w:ascii="Arial" w:hAnsi="Arial" w:cs="Arial"/>
          <w:color w:val="000000"/>
          <w:szCs w:val="24"/>
          <w:lang w:eastAsia="es-CO"/>
        </w:rPr>
      </w:pPr>
    </w:p>
    <w:p w14:paraId="0AB83270" w14:textId="377F3601" w:rsidR="006D2A1F" w:rsidRPr="00DE63E4" w:rsidRDefault="006D2A1F" w:rsidP="00D709CE">
      <w:pPr>
        <w:spacing w:line="276" w:lineRule="auto"/>
        <w:ind w:right="-93"/>
        <w:jc w:val="both"/>
        <w:rPr>
          <w:rFonts w:ascii="Arial" w:hAnsi="Arial" w:cs="Arial"/>
          <w:i/>
          <w:color w:val="000000"/>
          <w:szCs w:val="24"/>
          <w:lang w:eastAsia="es-CO"/>
        </w:rPr>
      </w:pPr>
      <w:r w:rsidRPr="00DE63E4">
        <w:rPr>
          <w:rFonts w:ascii="Arial" w:hAnsi="Arial" w:cs="Arial"/>
          <w:color w:val="000000"/>
          <w:szCs w:val="24"/>
          <w:lang w:eastAsia="es-CO"/>
        </w:rPr>
        <w:t>Así, una primera etapa que refiere únicamente “deber de información” que inicia con la creación de la Ley 100/1993 en la que la obligación de información se circunscribe a la “</w:t>
      </w:r>
      <w:r w:rsidRPr="001A3CF1">
        <w:rPr>
          <w:rFonts w:ascii="Arial" w:hAnsi="Arial" w:cs="Arial"/>
          <w:i/>
          <w:color w:val="000000"/>
          <w:sz w:val="22"/>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r w:rsidRPr="00DE63E4">
        <w:rPr>
          <w:rFonts w:ascii="Arial" w:hAnsi="Arial" w:cs="Arial"/>
          <w:i/>
          <w:color w:val="000000"/>
          <w:szCs w:val="24"/>
          <w:lang w:eastAsia="es-CO"/>
        </w:rPr>
        <w:t>”.</w:t>
      </w:r>
    </w:p>
    <w:p w14:paraId="5446B449" w14:textId="77777777" w:rsidR="006D2A1F" w:rsidRPr="00DE63E4" w:rsidRDefault="006D2A1F" w:rsidP="00D709CE">
      <w:pPr>
        <w:spacing w:line="276" w:lineRule="auto"/>
        <w:ind w:right="-93"/>
        <w:jc w:val="both"/>
        <w:rPr>
          <w:rFonts w:ascii="Arial" w:hAnsi="Arial" w:cs="Arial"/>
          <w:i/>
          <w:color w:val="000000"/>
          <w:szCs w:val="24"/>
          <w:lang w:eastAsia="es-CO"/>
        </w:rPr>
      </w:pPr>
    </w:p>
    <w:p w14:paraId="264783E8" w14:textId="37662234" w:rsidR="006D2A1F" w:rsidRPr="00DE63E4" w:rsidRDefault="006D2A1F" w:rsidP="00D709CE">
      <w:pPr>
        <w:spacing w:line="276" w:lineRule="auto"/>
        <w:ind w:right="-93"/>
        <w:jc w:val="both"/>
        <w:rPr>
          <w:rFonts w:ascii="Arial" w:hAnsi="Arial" w:cs="Arial"/>
          <w:i/>
          <w:color w:val="000000"/>
          <w:szCs w:val="24"/>
          <w:lang w:eastAsia="es-CO"/>
        </w:rPr>
      </w:pPr>
      <w:r w:rsidRPr="00DE63E4">
        <w:rPr>
          <w:rFonts w:ascii="Arial" w:hAnsi="Arial" w:cs="Arial"/>
          <w:color w:val="000000"/>
          <w:szCs w:val="24"/>
          <w:lang w:eastAsia="es-CO"/>
        </w:rPr>
        <w:t xml:space="preserve">Una segunda etapa que inicia con la Ley 1328 de 2009 y Decreto 2241 de 2010, a partir de los cuales el deber de información se acompaña con la asesoría y buen consejo. </w:t>
      </w:r>
      <w:r w:rsidR="00A964DC">
        <w:rPr>
          <w:rFonts w:ascii="Arial" w:hAnsi="Arial" w:cs="Arial"/>
          <w:color w:val="000000"/>
          <w:szCs w:val="24"/>
          <w:lang w:eastAsia="es-CO"/>
        </w:rPr>
        <w:t>E</w:t>
      </w:r>
      <w:r w:rsidRPr="00DE63E4">
        <w:rPr>
          <w:rFonts w:ascii="Arial" w:hAnsi="Arial" w:cs="Arial"/>
          <w:color w:val="000000"/>
          <w:szCs w:val="24"/>
          <w:lang w:eastAsia="es-CO"/>
        </w:rPr>
        <w:t>l contenido mínimo y alcance de dicho deber se concreta con un “</w:t>
      </w:r>
      <w:r w:rsidRPr="001A3CF1">
        <w:rPr>
          <w:rFonts w:ascii="Arial" w:hAnsi="Arial" w:cs="Arial"/>
          <w:i/>
          <w:color w:val="000000"/>
          <w:sz w:val="22"/>
          <w:szCs w:val="24"/>
          <w:lang w:eastAsia="es-CO"/>
        </w:rPr>
        <w:t>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DE63E4">
        <w:rPr>
          <w:rFonts w:ascii="Arial" w:hAnsi="Arial" w:cs="Arial"/>
          <w:i/>
          <w:color w:val="000000"/>
          <w:szCs w:val="24"/>
          <w:lang w:eastAsia="es-CO"/>
        </w:rPr>
        <w:t>”.</w:t>
      </w:r>
    </w:p>
    <w:p w14:paraId="1C573DDB" w14:textId="77777777" w:rsidR="00DF094D" w:rsidRPr="00DE63E4" w:rsidRDefault="00DF094D" w:rsidP="00D709CE">
      <w:pPr>
        <w:spacing w:line="276" w:lineRule="auto"/>
        <w:ind w:right="-93"/>
        <w:jc w:val="both"/>
        <w:rPr>
          <w:rFonts w:ascii="Arial" w:hAnsi="Arial" w:cs="Arial"/>
          <w:i/>
          <w:color w:val="000000"/>
          <w:szCs w:val="24"/>
          <w:lang w:eastAsia="es-CO"/>
        </w:rPr>
      </w:pPr>
    </w:p>
    <w:p w14:paraId="59ECB620" w14:textId="7CE5129D" w:rsidR="00DF094D" w:rsidRPr="00DF094D" w:rsidRDefault="00DF094D" w:rsidP="00D709CE">
      <w:pPr>
        <w:spacing w:line="276" w:lineRule="auto"/>
        <w:ind w:right="-93"/>
        <w:jc w:val="both"/>
        <w:rPr>
          <w:rFonts w:ascii="Arial" w:hAnsi="Arial" w:cs="Arial"/>
          <w:color w:val="000000"/>
          <w:szCs w:val="24"/>
          <w:lang w:eastAsia="es-CO"/>
        </w:rPr>
      </w:pPr>
      <w:r w:rsidRPr="00DE63E4">
        <w:rPr>
          <w:rFonts w:ascii="Arial" w:hAnsi="Arial" w:cs="Arial"/>
          <w:color w:val="000000"/>
          <w:szCs w:val="24"/>
          <w:lang w:eastAsia="es-CO"/>
        </w:rPr>
        <w:t>Res</w:t>
      </w:r>
      <w:r w:rsidR="00F60335" w:rsidRPr="00DE63E4">
        <w:rPr>
          <w:rFonts w:ascii="Arial" w:hAnsi="Arial" w:cs="Arial"/>
          <w:color w:val="000000"/>
          <w:szCs w:val="24"/>
          <w:lang w:eastAsia="es-CO"/>
        </w:rPr>
        <w:t xml:space="preserve">tando una tercera etapa con ocasión </w:t>
      </w:r>
      <w:r w:rsidR="00C17DB1" w:rsidRPr="00DE63E4">
        <w:rPr>
          <w:rFonts w:ascii="Arial" w:hAnsi="Arial" w:cs="Arial"/>
          <w:color w:val="000000"/>
          <w:szCs w:val="24"/>
          <w:lang w:eastAsia="es-CO"/>
        </w:rPr>
        <w:t>a la Ley 1748 de 2014, Decreto 2071 de 2015 y Circular Externa No. 016 de 2016, en las que se exigió junto a todo lo anterior “</w:t>
      </w:r>
      <w:r w:rsidR="00C17DB1" w:rsidRPr="001A3CF1">
        <w:rPr>
          <w:rFonts w:ascii="Arial" w:hAnsi="Arial" w:cs="Arial"/>
          <w:i/>
          <w:color w:val="000000"/>
          <w:sz w:val="22"/>
          <w:szCs w:val="24"/>
          <w:lang w:eastAsia="es-CO"/>
        </w:rPr>
        <w:t>el derecho a obtener asesoría de los representantes de ambos regímenes pensionales</w:t>
      </w:r>
      <w:r w:rsidR="00C17DB1" w:rsidRPr="00DE63E4">
        <w:rPr>
          <w:rFonts w:ascii="Arial" w:hAnsi="Arial" w:cs="Arial"/>
          <w:i/>
          <w:color w:val="000000"/>
          <w:szCs w:val="24"/>
          <w:lang w:eastAsia="es-CO"/>
        </w:rPr>
        <w:t>”.</w:t>
      </w:r>
    </w:p>
    <w:p w14:paraId="5142D7C5" w14:textId="77777777" w:rsidR="00D709CE" w:rsidRDefault="00D709CE" w:rsidP="00D709CE">
      <w:pPr>
        <w:spacing w:line="276" w:lineRule="auto"/>
        <w:ind w:right="-93"/>
        <w:jc w:val="both"/>
        <w:rPr>
          <w:rFonts w:ascii="Arial" w:hAnsi="Arial" w:cs="Arial"/>
          <w:color w:val="000000"/>
          <w:szCs w:val="24"/>
          <w:lang w:eastAsia="es-CO"/>
        </w:rPr>
      </w:pPr>
    </w:p>
    <w:p w14:paraId="4CCA02B7" w14:textId="5BB71761" w:rsidR="00DE009E" w:rsidRDefault="00DE009E" w:rsidP="00DE009E">
      <w:pPr>
        <w:shd w:val="clear" w:color="auto" w:fill="FFFFFF"/>
        <w:tabs>
          <w:tab w:val="left" w:pos="5197"/>
        </w:tabs>
        <w:spacing w:line="276" w:lineRule="auto"/>
        <w:jc w:val="both"/>
        <w:rPr>
          <w:rFonts w:ascii="Arial" w:hAnsi="Arial"/>
          <w:iCs/>
          <w:szCs w:val="22"/>
        </w:rPr>
      </w:pPr>
      <w:r w:rsidRPr="00C10D52">
        <w:rPr>
          <w:rFonts w:ascii="Arial" w:hAnsi="Arial"/>
          <w:iCs/>
          <w:szCs w:val="22"/>
        </w:rPr>
        <w:t xml:space="preserve">Lo </w:t>
      </w:r>
      <w:r>
        <w:rPr>
          <w:rFonts w:ascii="Arial" w:hAnsi="Arial"/>
          <w:iCs/>
          <w:szCs w:val="22"/>
        </w:rPr>
        <w:t xml:space="preserve">anterior no despoja al trabajador del deber </w:t>
      </w:r>
      <w:r w:rsidRPr="00C10D52">
        <w:rPr>
          <w:rFonts w:ascii="Arial" w:hAnsi="Arial"/>
          <w:iCs/>
          <w:szCs w:val="22"/>
        </w:rPr>
        <w:t>de un mediano empeño en participar en la elección del régimen</w:t>
      </w:r>
      <w:r>
        <w:rPr>
          <w:rFonts w:ascii="Arial" w:hAnsi="Arial"/>
          <w:iCs/>
          <w:szCs w:val="22"/>
        </w:rPr>
        <w:t xml:space="preserve">, </w:t>
      </w:r>
      <w:r w:rsidR="006045AA">
        <w:rPr>
          <w:rFonts w:ascii="Arial" w:hAnsi="Arial"/>
          <w:iCs/>
          <w:szCs w:val="22"/>
        </w:rPr>
        <w:t>máxime cuando escoge el RAIS;</w:t>
      </w:r>
      <w:r>
        <w:rPr>
          <w:rFonts w:ascii="Arial" w:hAnsi="Arial"/>
          <w:iCs/>
          <w:szCs w:val="22"/>
        </w:rPr>
        <w:t xml:space="preserve"> comportamiento que debe también ser valorado,</w:t>
      </w:r>
      <w:r w:rsidRPr="00C10D52">
        <w:rPr>
          <w:rFonts w:ascii="Arial" w:hAnsi="Arial"/>
          <w:iCs/>
          <w:szCs w:val="22"/>
        </w:rPr>
        <w:t xml:space="preserve"> dada la necesidad de garantizar la sostenibilidad financiera del sistema de prima media,</w:t>
      </w:r>
      <w:r>
        <w:rPr>
          <w:rFonts w:ascii="Arial" w:hAnsi="Arial"/>
          <w:iCs/>
          <w:szCs w:val="22"/>
        </w:rPr>
        <w:t xml:space="preserve"> para evitar la descapitalización</w:t>
      </w:r>
      <w:r w:rsidR="004B3019">
        <w:rPr>
          <w:rFonts w:ascii="Arial" w:hAnsi="Arial"/>
          <w:iCs/>
          <w:szCs w:val="22"/>
        </w:rPr>
        <w:t xml:space="preserve"> del fondo común que lo compone,</w:t>
      </w:r>
      <w:r>
        <w:rPr>
          <w:rFonts w:ascii="Arial" w:hAnsi="Arial"/>
          <w:iCs/>
          <w:szCs w:val="22"/>
        </w:rPr>
        <w:t xml:space="preserve"> pues </w:t>
      </w:r>
      <w:r w:rsidR="001A48DA">
        <w:rPr>
          <w:rFonts w:ascii="Arial" w:hAnsi="Arial"/>
          <w:iCs/>
          <w:szCs w:val="22"/>
        </w:rPr>
        <w:t>permitirle a una persona</w:t>
      </w:r>
      <w:r>
        <w:rPr>
          <w:rFonts w:ascii="Arial" w:hAnsi="Arial"/>
          <w:iCs/>
          <w:szCs w:val="22"/>
        </w:rPr>
        <w:t xml:space="preserve"> adoptar el RPM, en razón a la supuesta ineficacia</w:t>
      </w:r>
      <w:r w:rsidR="001A48DA">
        <w:rPr>
          <w:rFonts w:ascii="Arial" w:hAnsi="Arial"/>
          <w:iCs/>
          <w:szCs w:val="22"/>
        </w:rPr>
        <w:t>, sin hacerse</w:t>
      </w:r>
      <w:r w:rsidR="00C17DB1">
        <w:rPr>
          <w:rFonts w:ascii="Arial" w:hAnsi="Arial"/>
          <w:iCs/>
          <w:szCs w:val="22"/>
        </w:rPr>
        <w:t xml:space="preserve"> responsable de sus decisiones</w:t>
      </w:r>
      <w:r w:rsidR="001E5D45">
        <w:rPr>
          <w:rFonts w:ascii="Arial" w:hAnsi="Arial"/>
          <w:iCs/>
          <w:szCs w:val="22"/>
        </w:rPr>
        <w:t>,</w:t>
      </w:r>
      <w:r w:rsidR="00C17DB1">
        <w:rPr>
          <w:rFonts w:ascii="Arial" w:hAnsi="Arial"/>
          <w:iCs/>
          <w:szCs w:val="22"/>
        </w:rPr>
        <w:t xml:space="preserve"> </w:t>
      </w:r>
      <w:r>
        <w:rPr>
          <w:rFonts w:ascii="Arial" w:hAnsi="Arial"/>
          <w:iCs/>
          <w:szCs w:val="22"/>
        </w:rPr>
        <w:t xml:space="preserve">contando con menos de 10 años para alcanzar la edad para pensionarse, </w:t>
      </w:r>
      <w:r w:rsidR="001A48DA">
        <w:rPr>
          <w:rFonts w:ascii="Arial" w:hAnsi="Arial"/>
          <w:iCs/>
          <w:szCs w:val="22"/>
        </w:rPr>
        <w:t>por lo mismo</w:t>
      </w:r>
      <w:r>
        <w:rPr>
          <w:rFonts w:ascii="Arial" w:hAnsi="Arial"/>
          <w:iCs/>
          <w:szCs w:val="22"/>
        </w:rPr>
        <w:t xml:space="preserve"> que no contribuyó </w:t>
      </w:r>
      <w:r w:rsidR="001A48DA">
        <w:rPr>
          <w:rFonts w:ascii="Arial" w:hAnsi="Arial"/>
          <w:iCs/>
          <w:szCs w:val="22"/>
        </w:rPr>
        <w:t>con</w:t>
      </w:r>
      <w:r>
        <w:rPr>
          <w:rFonts w:ascii="Arial" w:hAnsi="Arial"/>
          <w:iCs/>
          <w:szCs w:val="22"/>
        </w:rPr>
        <w:t xml:space="preserve"> dicho fondo y por ende, no fue tenida en cuenta para efectos de establecer las sumas de dinero que representarían el pago de su pensión en el futuro, </w:t>
      </w:r>
      <w:r w:rsidR="001A48DA">
        <w:rPr>
          <w:rFonts w:ascii="Arial" w:hAnsi="Arial"/>
          <w:iCs/>
          <w:szCs w:val="22"/>
        </w:rPr>
        <w:t>pone</w:t>
      </w:r>
      <w:r>
        <w:rPr>
          <w:rFonts w:ascii="Arial" w:hAnsi="Arial"/>
          <w:iCs/>
          <w:szCs w:val="22"/>
        </w:rPr>
        <w:t xml:space="preserve"> en riesgo la garantía del derecho irrenunciable de los demás cotizantes; además de trasgredir la cláusula constitucional contenida en el art. 95  y el principio de eficiencia pensional. E</w:t>
      </w:r>
      <w:r w:rsidRPr="00C10D52">
        <w:rPr>
          <w:rFonts w:ascii="Arial" w:hAnsi="Arial"/>
          <w:iCs/>
          <w:szCs w:val="22"/>
        </w:rPr>
        <w:t xml:space="preserve">n este sentido </w:t>
      </w:r>
      <w:r>
        <w:rPr>
          <w:rFonts w:ascii="Arial" w:hAnsi="Arial"/>
          <w:iCs/>
          <w:szCs w:val="22"/>
        </w:rPr>
        <w:t xml:space="preserve">se pronunció </w:t>
      </w:r>
      <w:r w:rsidR="00BF3913">
        <w:rPr>
          <w:rFonts w:ascii="Arial" w:hAnsi="Arial"/>
          <w:iCs/>
          <w:szCs w:val="22"/>
        </w:rPr>
        <w:t xml:space="preserve">la Corte Constitucional en </w:t>
      </w:r>
      <w:r>
        <w:rPr>
          <w:rFonts w:ascii="Arial" w:hAnsi="Arial"/>
          <w:iCs/>
          <w:szCs w:val="22"/>
        </w:rPr>
        <w:t>la sentencia C-1024/2004, a propósito de la constitucionalidad del artículo 2º de la Ley 797/2003 que limita el traslado entre regímenes.</w:t>
      </w:r>
    </w:p>
    <w:p w14:paraId="6B50A79F" w14:textId="77777777" w:rsidR="00A708A4" w:rsidRDefault="00A708A4" w:rsidP="00DE009E">
      <w:pPr>
        <w:shd w:val="clear" w:color="auto" w:fill="FFFFFF"/>
        <w:tabs>
          <w:tab w:val="left" w:pos="5197"/>
        </w:tabs>
        <w:spacing w:line="276" w:lineRule="auto"/>
        <w:jc w:val="both"/>
        <w:rPr>
          <w:rFonts w:ascii="Arial" w:hAnsi="Arial"/>
          <w:iCs/>
          <w:szCs w:val="22"/>
        </w:rPr>
      </w:pPr>
    </w:p>
    <w:p w14:paraId="7ADB0847" w14:textId="643AF284" w:rsidR="00DE009E" w:rsidRDefault="00DE009E" w:rsidP="00DE009E">
      <w:pPr>
        <w:shd w:val="clear" w:color="auto" w:fill="FFFFFF"/>
        <w:tabs>
          <w:tab w:val="left" w:pos="5197"/>
        </w:tabs>
        <w:spacing w:line="276" w:lineRule="auto"/>
        <w:jc w:val="both"/>
        <w:rPr>
          <w:rFonts w:ascii="Arial" w:hAnsi="Arial"/>
          <w:iCs/>
          <w:szCs w:val="22"/>
        </w:rPr>
      </w:pPr>
      <w:r>
        <w:rPr>
          <w:rFonts w:ascii="Arial" w:hAnsi="Arial"/>
          <w:iCs/>
          <w:szCs w:val="22"/>
        </w:rPr>
        <w:t>Lo</w:t>
      </w:r>
      <w:r w:rsidR="00790F47">
        <w:rPr>
          <w:rFonts w:ascii="Arial" w:hAnsi="Arial"/>
          <w:iCs/>
          <w:szCs w:val="22"/>
        </w:rPr>
        <w:t xml:space="preserve"> dicho adquiere más significado, si en cuenta se tiene que, </w:t>
      </w:r>
      <w:r w:rsidR="001A48DA">
        <w:rPr>
          <w:rFonts w:ascii="Arial" w:hAnsi="Arial"/>
          <w:iCs/>
          <w:szCs w:val="22"/>
        </w:rPr>
        <w:t>al</w:t>
      </w:r>
      <w:r>
        <w:rPr>
          <w:rFonts w:ascii="Arial" w:hAnsi="Arial"/>
          <w:iCs/>
          <w:szCs w:val="22"/>
        </w:rPr>
        <w:t xml:space="preserve"> sancionar</w:t>
      </w:r>
      <w:r w:rsidR="00790F47">
        <w:rPr>
          <w:rFonts w:ascii="Arial" w:hAnsi="Arial"/>
          <w:iCs/>
          <w:szCs w:val="22"/>
        </w:rPr>
        <w:t>se</w:t>
      </w:r>
      <w:r>
        <w:rPr>
          <w:rFonts w:ascii="Arial" w:hAnsi="Arial"/>
          <w:iCs/>
          <w:szCs w:val="22"/>
        </w:rPr>
        <w:t xml:space="preserve"> </w:t>
      </w:r>
      <w:r w:rsidR="001A48DA">
        <w:rPr>
          <w:rFonts w:ascii="Arial" w:hAnsi="Arial"/>
          <w:iCs/>
          <w:szCs w:val="22"/>
        </w:rPr>
        <w:t xml:space="preserve">con la ineficacia </w:t>
      </w:r>
      <w:r>
        <w:rPr>
          <w:rFonts w:ascii="Arial" w:hAnsi="Arial"/>
          <w:iCs/>
          <w:szCs w:val="22"/>
        </w:rPr>
        <w:t xml:space="preserve">el negocio jurídico </w:t>
      </w:r>
      <w:r w:rsidR="001A48DA">
        <w:rPr>
          <w:rFonts w:ascii="Arial" w:hAnsi="Arial"/>
          <w:iCs/>
          <w:szCs w:val="22"/>
        </w:rPr>
        <w:t xml:space="preserve">de afiliación </w:t>
      </w:r>
      <w:r>
        <w:rPr>
          <w:rFonts w:ascii="Arial" w:hAnsi="Arial"/>
          <w:iCs/>
          <w:szCs w:val="22"/>
        </w:rPr>
        <w:t>celebrado entre el actor y una AFP, quien realmente sufr</w:t>
      </w:r>
      <w:r w:rsidR="001A48DA">
        <w:rPr>
          <w:rFonts w:ascii="Arial" w:hAnsi="Arial"/>
          <w:iCs/>
          <w:szCs w:val="22"/>
        </w:rPr>
        <w:t>e</w:t>
      </w:r>
      <w:r>
        <w:rPr>
          <w:rFonts w:ascii="Arial" w:hAnsi="Arial"/>
          <w:iCs/>
          <w:szCs w:val="22"/>
        </w:rPr>
        <w:t xml:space="preserve"> los efectos </w:t>
      </w:r>
      <w:r w:rsidR="001A48DA">
        <w:rPr>
          <w:rFonts w:ascii="Arial" w:hAnsi="Arial"/>
          <w:iCs/>
          <w:szCs w:val="22"/>
        </w:rPr>
        <w:t>es</w:t>
      </w:r>
      <w:r w:rsidRPr="00C10D52">
        <w:rPr>
          <w:rFonts w:ascii="Arial" w:hAnsi="Arial"/>
          <w:iCs/>
          <w:szCs w:val="22"/>
        </w:rPr>
        <w:t xml:space="preserve"> Colpensiones</w:t>
      </w:r>
      <w:r>
        <w:rPr>
          <w:rFonts w:ascii="Arial" w:hAnsi="Arial"/>
          <w:iCs/>
          <w:szCs w:val="22"/>
        </w:rPr>
        <w:t>, tercero</w:t>
      </w:r>
      <w:r w:rsidRPr="00C10D52">
        <w:rPr>
          <w:rFonts w:ascii="Arial" w:hAnsi="Arial"/>
          <w:iCs/>
          <w:szCs w:val="22"/>
        </w:rPr>
        <w:t xml:space="preserve"> que no participó tan siquiera en la etapa precontractual indispensable para la válida formación del consentimiento que ahora </w:t>
      </w:r>
      <w:r>
        <w:rPr>
          <w:rFonts w:ascii="Arial" w:hAnsi="Arial"/>
          <w:iCs/>
          <w:szCs w:val="22"/>
        </w:rPr>
        <w:t>se pretende sea</w:t>
      </w:r>
      <w:r w:rsidRPr="00C10D52">
        <w:rPr>
          <w:rFonts w:ascii="Arial" w:hAnsi="Arial"/>
          <w:iCs/>
          <w:szCs w:val="22"/>
        </w:rPr>
        <w:t xml:space="preserve"> sanciona</w:t>
      </w:r>
      <w:r>
        <w:rPr>
          <w:rFonts w:ascii="Arial" w:hAnsi="Arial"/>
          <w:iCs/>
          <w:szCs w:val="22"/>
        </w:rPr>
        <w:t xml:space="preserve">do,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afiliados</w:t>
      </w:r>
      <w:r w:rsidR="00A964DC">
        <w:rPr>
          <w:rFonts w:ascii="Arial" w:hAnsi="Arial"/>
          <w:iCs/>
          <w:szCs w:val="22"/>
        </w:rPr>
        <w:t>,</w:t>
      </w:r>
      <w:r>
        <w:rPr>
          <w:rFonts w:ascii="Arial" w:hAnsi="Arial"/>
          <w:iCs/>
          <w:szCs w:val="22"/>
        </w:rPr>
        <w:t xml:space="preserve"> </w:t>
      </w:r>
      <w:r w:rsidRPr="00C10D52">
        <w:rPr>
          <w:rFonts w:ascii="Arial" w:hAnsi="Arial"/>
          <w:iCs/>
          <w:szCs w:val="22"/>
        </w:rPr>
        <w:t xml:space="preserve">que sí </w:t>
      </w:r>
      <w:r>
        <w:rPr>
          <w:rFonts w:ascii="Arial" w:hAnsi="Arial"/>
          <w:iCs/>
          <w:szCs w:val="22"/>
        </w:rPr>
        <w:t>han contribuido a formar el fondo común</w:t>
      </w:r>
      <w:r w:rsidR="00F324C7">
        <w:rPr>
          <w:rFonts w:ascii="Arial" w:hAnsi="Arial"/>
          <w:iCs/>
          <w:szCs w:val="22"/>
        </w:rPr>
        <w:t>,</w:t>
      </w:r>
      <w:r>
        <w:rPr>
          <w:rFonts w:ascii="Arial" w:hAnsi="Arial"/>
          <w:iCs/>
          <w:szCs w:val="22"/>
        </w:rPr>
        <w:t xml:space="preserve"> al permitir que sus aportes </w:t>
      </w:r>
      <w:r>
        <w:rPr>
          <w:rFonts w:ascii="Arial" w:hAnsi="Arial"/>
          <w:iCs/>
          <w:szCs w:val="22"/>
        </w:rPr>
        <w:lastRenderedPageBreak/>
        <w:t>por más de 10 años hayan conformado las pensiones de otros afiliados. Todo lo anterior en tanto a nadie le está permitido abusar de sus derechos.</w:t>
      </w:r>
    </w:p>
    <w:p w14:paraId="0EF92ED5" w14:textId="77777777" w:rsidR="008B4923" w:rsidRDefault="008B4923" w:rsidP="00DE009E">
      <w:pPr>
        <w:shd w:val="clear" w:color="auto" w:fill="FFFFFF"/>
        <w:tabs>
          <w:tab w:val="left" w:pos="5197"/>
        </w:tabs>
        <w:spacing w:line="276" w:lineRule="auto"/>
        <w:jc w:val="both"/>
        <w:rPr>
          <w:rFonts w:ascii="Arial" w:hAnsi="Arial"/>
          <w:iCs/>
          <w:szCs w:val="22"/>
        </w:rPr>
      </w:pPr>
    </w:p>
    <w:p w14:paraId="4D2C2D11" w14:textId="63BC5145" w:rsidR="00BF595B" w:rsidRPr="00D709CE" w:rsidRDefault="00D709CE" w:rsidP="00D709CE">
      <w:pPr>
        <w:spacing w:line="276" w:lineRule="auto"/>
        <w:ind w:right="284"/>
        <w:jc w:val="both"/>
        <w:rPr>
          <w:rFonts w:ascii="Arial" w:hAnsi="Arial"/>
          <w:b/>
          <w:szCs w:val="24"/>
        </w:rPr>
      </w:pPr>
      <w:r>
        <w:rPr>
          <w:rFonts w:ascii="Arial" w:hAnsi="Arial" w:cs="Arial"/>
          <w:b/>
          <w:szCs w:val="24"/>
        </w:rPr>
        <w:t xml:space="preserve">2.2. </w:t>
      </w:r>
      <w:r w:rsidR="00BF595B" w:rsidRPr="00D709CE">
        <w:rPr>
          <w:rFonts w:ascii="Arial" w:hAnsi="Arial" w:cs="Arial"/>
          <w:b/>
          <w:szCs w:val="24"/>
        </w:rPr>
        <w:t xml:space="preserve">Fundamento fáctico </w:t>
      </w:r>
    </w:p>
    <w:p w14:paraId="0399F146" w14:textId="77777777" w:rsidR="001A3CF1" w:rsidRDefault="001A3CF1" w:rsidP="00FF0A8F">
      <w:pPr>
        <w:spacing w:line="276" w:lineRule="auto"/>
        <w:jc w:val="both"/>
        <w:rPr>
          <w:rFonts w:ascii="Arial" w:hAnsi="Arial" w:cs="Arial"/>
          <w:szCs w:val="24"/>
        </w:rPr>
      </w:pPr>
    </w:p>
    <w:p w14:paraId="05890D06" w14:textId="5632DCAA" w:rsidR="005C1992" w:rsidRPr="00BC3C0F" w:rsidRDefault="00FF0A8F" w:rsidP="00FF0A8F">
      <w:pPr>
        <w:spacing w:line="276" w:lineRule="auto"/>
        <w:jc w:val="both"/>
        <w:rPr>
          <w:rFonts w:ascii="Arial" w:hAnsi="Arial" w:cs="Arial"/>
          <w:szCs w:val="24"/>
        </w:rPr>
      </w:pPr>
      <w:r w:rsidRPr="00BC3C0F">
        <w:rPr>
          <w:rFonts w:ascii="Arial" w:hAnsi="Arial" w:cs="Arial"/>
          <w:szCs w:val="24"/>
        </w:rPr>
        <w:t xml:space="preserve">Rememórese que </w:t>
      </w:r>
      <w:r w:rsidR="007109BA">
        <w:rPr>
          <w:rFonts w:ascii="Arial" w:hAnsi="Arial" w:cs="Arial"/>
          <w:szCs w:val="24"/>
        </w:rPr>
        <w:t xml:space="preserve">Álvaro </w:t>
      </w:r>
      <w:proofErr w:type="spellStart"/>
      <w:r w:rsidR="007109BA">
        <w:rPr>
          <w:rFonts w:ascii="Arial" w:hAnsi="Arial" w:cs="Arial"/>
          <w:szCs w:val="24"/>
        </w:rPr>
        <w:t>Alzate</w:t>
      </w:r>
      <w:proofErr w:type="spellEnd"/>
      <w:r w:rsidR="007109BA">
        <w:rPr>
          <w:rFonts w:ascii="Arial" w:hAnsi="Arial" w:cs="Arial"/>
          <w:szCs w:val="24"/>
        </w:rPr>
        <w:t xml:space="preserve"> López</w:t>
      </w:r>
      <w:r w:rsidR="001A5AF8" w:rsidRPr="00BC3C0F">
        <w:rPr>
          <w:rFonts w:ascii="Arial" w:hAnsi="Arial" w:cs="Arial"/>
          <w:szCs w:val="24"/>
        </w:rPr>
        <w:t xml:space="preserve"> pretende </w:t>
      </w:r>
      <w:r w:rsidR="000F34E7">
        <w:rPr>
          <w:rFonts w:ascii="Arial" w:hAnsi="Arial" w:cs="Arial"/>
          <w:szCs w:val="24"/>
        </w:rPr>
        <w:t xml:space="preserve">la ineficacia del traslado ocurrido entre el </w:t>
      </w:r>
      <w:r w:rsidRPr="00BC3C0F">
        <w:rPr>
          <w:rFonts w:ascii="Arial" w:hAnsi="Arial" w:cs="Arial"/>
          <w:szCs w:val="24"/>
        </w:rPr>
        <w:t>RPM al RAIS (fl</w:t>
      </w:r>
      <w:r w:rsidR="007109BA">
        <w:rPr>
          <w:rFonts w:ascii="Arial" w:hAnsi="Arial" w:cs="Arial"/>
          <w:szCs w:val="24"/>
        </w:rPr>
        <w:t>s</w:t>
      </w:r>
      <w:r w:rsidRPr="00BC3C0F">
        <w:rPr>
          <w:rFonts w:ascii="Arial" w:hAnsi="Arial" w:cs="Arial"/>
          <w:szCs w:val="24"/>
        </w:rPr>
        <w:t xml:space="preserve">. </w:t>
      </w:r>
      <w:r w:rsidR="007109BA">
        <w:rPr>
          <w:rFonts w:ascii="Arial" w:hAnsi="Arial" w:cs="Arial"/>
          <w:szCs w:val="24"/>
        </w:rPr>
        <w:t xml:space="preserve">2 y 4 </w:t>
      </w:r>
      <w:r w:rsidR="001A5AF8" w:rsidRPr="00BC3C0F">
        <w:rPr>
          <w:rFonts w:ascii="Arial" w:hAnsi="Arial" w:cs="Arial"/>
          <w:szCs w:val="24"/>
        </w:rPr>
        <w:t xml:space="preserve">c. 1), </w:t>
      </w:r>
      <w:r w:rsidR="00DE009E">
        <w:rPr>
          <w:rFonts w:ascii="Arial" w:hAnsi="Arial" w:cs="Arial"/>
          <w:szCs w:val="24"/>
        </w:rPr>
        <w:t xml:space="preserve">del </w:t>
      </w:r>
      <w:r w:rsidR="006A1F86" w:rsidRPr="00BC3C0F">
        <w:rPr>
          <w:rFonts w:ascii="Arial" w:hAnsi="Arial" w:cs="Arial"/>
          <w:szCs w:val="24"/>
        </w:rPr>
        <w:t xml:space="preserve">que da cuenta </w:t>
      </w:r>
      <w:r w:rsidR="001A5AF8" w:rsidRPr="00BC3C0F">
        <w:rPr>
          <w:rFonts w:ascii="Arial" w:hAnsi="Arial" w:cs="Arial"/>
          <w:szCs w:val="24"/>
        </w:rPr>
        <w:t xml:space="preserve">el formulario suscrito ante </w:t>
      </w:r>
      <w:r w:rsidR="000F34E7">
        <w:rPr>
          <w:rFonts w:ascii="Arial" w:hAnsi="Arial" w:cs="Arial"/>
          <w:szCs w:val="24"/>
        </w:rPr>
        <w:t>Protección</w:t>
      </w:r>
      <w:r w:rsidRPr="00BC3C0F">
        <w:rPr>
          <w:rFonts w:ascii="Arial" w:hAnsi="Arial" w:cs="Arial"/>
          <w:szCs w:val="24"/>
        </w:rPr>
        <w:t xml:space="preserve"> S.A</w:t>
      </w:r>
      <w:r w:rsidR="006A1F86" w:rsidRPr="00BC3C0F">
        <w:rPr>
          <w:rFonts w:ascii="Arial" w:hAnsi="Arial" w:cs="Arial"/>
          <w:szCs w:val="24"/>
        </w:rPr>
        <w:t xml:space="preserve"> </w:t>
      </w:r>
      <w:r w:rsidR="000F34E7">
        <w:rPr>
          <w:rFonts w:ascii="Arial" w:hAnsi="Arial" w:cs="Arial"/>
          <w:szCs w:val="24"/>
        </w:rPr>
        <w:t xml:space="preserve">el </w:t>
      </w:r>
      <w:r w:rsidR="007109BA">
        <w:rPr>
          <w:rFonts w:ascii="Arial" w:hAnsi="Arial" w:cs="Arial"/>
          <w:szCs w:val="24"/>
        </w:rPr>
        <w:t>03/10/1997</w:t>
      </w:r>
      <w:r w:rsidR="000F34E7">
        <w:rPr>
          <w:rFonts w:ascii="Arial" w:hAnsi="Arial" w:cs="Arial"/>
          <w:szCs w:val="24"/>
        </w:rPr>
        <w:t xml:space="preserve"> </w:t>
      </w:r>
      <w:r w:rsidRPr="00BC3C0F">
        <w:rPr>
          <w:rFonts w:ascii="Arial" w:hAnsi="Arial" w:cs="Arial"/>
          <w:szCs w:val="24"/>
        </w:rPr>
        <w:t>(fl</w:t>
      </w:r>
      <w:r w:rsidR="007109BA">
        <w:rPr>
          <w:rFonts w:ascii="Arial" w:hAnsi="Arial" w:cs="Arial"/>
          <w:szCs w:val="24"/>
        </w:rPr>
        <w:t>s</w:t>
      </w:r>
      <w:r w:rsidRPr="00BC3C0F">
        <w:rPr>
          <w:rFonts w:ascii="Arial" w:hAnsi="Arial" w:cs="Arial"/>
          <w:szCs w:val="24"/>
        </w:rPr>
        <w:t xml:space="preserve">. </w:t>
      </w:r>
      <w:r w:rsidR="007109BA">
        <w:rPr>
          <w:rFonts w:ascii="Arial" w:hAnsi="Arial" w:cs="Arial"/>
          <w:szCs w:val="24"/>
        </w:rPr>
        <w:t xml:space="preserve">17 y 80 </w:t>
      </w:r>
      <w:r w:rsidR="001A5AF8" w:rsidRPr="00BC3C0F">
        <w:rPr>
          <w:rFonts w:ascii="Arial" w:hAnsi="Arial" w:cs="Arial"/>
          <w:szCs w:val="24"/>
        </w:rPr>
        <w:t xml:space="preserve"> c. 1</w:t>
      </w:r>
      <w:r w:rsidRPr="00BC3C0F">
        <w:rPr>
          <w:rFonts w:ascii="Arial" w:hAnsi="Arial" w:cs="Arial"/>
          <w:szCs w:val="24"/>
        </w:rPr>
        <w:t xml:space="preserve">), </w:t>
      </w:r>
      <w:r w:rsidR="006A1F86" w:rsidRPr="00BC3C0F">
        <w:rPr>
          <w:rFonts w:ascii="Arial" w:hAnsi="Arial" w:cs="Arial"/>
          <w:szCs w:val="24"/>
        </w:rPr>
        <w:t>po</w:t>
      </w:r>
      <w:r w:rsidR="00BF595B" w:rsidRPr="00BC3C0F">
        <w:rPr>
          <w:rFonts w:ascii="Arial" w:hAnsi="Arial" w:cs="Arial"/>
          <w:szCs w:val="24"/>
        </w:rPr>
        <w:t>r lo que</w:t>
      </w:r>
      <w:r w:rsidR="006A1F86" w:rsidRPr="00BC3C0F">
        <w:rPr>
          <w:rFonts w:ascii="Arial" w:hAnsi="Arial" w:cs="Arial"/>
          <w:szCs w:val="24"/>
        </w:rPr>
        <w:t xml:space="preserve"> </w:t>
      </w:r>
      <w:r w:rsidR="005C1992" w:rsidRPr="00BC3C0F">
        <w:rPr>
          <w:rFonts w:ascii="Arial" w:hAnsi="Arial" w:cs="Arial"/>
          <w:szCs w:val="24"/>
        </w:rPr>
        <w:t xml:space="preserve">se procede a verificar la presencia de algún vicio en el consentimiento que lleve </w:t>
      </w:r>
      <w:r w:rsidR="00D709CE">
        <w:rPr>
          <w:rFonts w:ascii="Arial" w:hAnsi="Arial" w:cs="Arial"/>
          <w:szCs w:val="24"/>
        </w:rPr>
        <w:t xml:space="preserve">consigo a la ineficacia del traslado, ante la disconformidad </w:t>
      </w:r>
      <w:r w:rsidR="00A04DDF">
        <w:rPr>
          <w:rFonts w:ascii="Arial" w:hAnsi="Arial" w:cs="Arial"/>
          <w:szCs w:val="24"/>
        </w:rPr>
        <w:t>entre lo querid</w:t>
      </w:r>
      <w:r w:rsidR="00A04DDF" w:rsidRPr="00C10D52">
        <w:rPr>
          <w:rFonts w:ascii="Arial" w:hAnsi="Arial" w:cs="Arial"/>
          <w:szCs w:val="24"/>
        </w:rPr>
        <w:t>o y lo expresado, que “</w:t>
      </w:r>
      <w:r w:rsidR="00A04DDF" w:rsidRPr="00113360">
        <w:rPr>
          <w:rFonts w:ascii="Arial" w:hAnsi="Arial" w:cs="Arial"/>
          <w:i/>
          <w:szCs w:val="24"/>
        </w:rPr>
        <w:t>desconozca”</w:t>
      </w:r>
      <w:r w:rsidR="00A04DDF" w:rsidRPr="00C10D52">
        <w:rPr>
          <w:rFonts w:ascii="Arial" w:hAnsi="Arial" w:cs="Arial"/>
          <w:szCs w:val="24"/>
        </w:rPr>
        <w:t xml:space="preserve"> el derecho a</w:t>
      </w:r>
      <w:r w:rsidR="00B82071">
        <w:rPr>
          <w:rFonts w:ascii="Arial" w:hAnsi="Arial" w:cs="Arial"/>
          <w:szCs w:val="24"/>
        </w:rPr>
        <w:t xml:space="preserve"> la libre escogencia de régimen.</w:t>
      </w:r>
    </w:p>
    <w:p w14:paraId="75C553DA" w14:textId="77777777" w:rsidR="005C1992" w:rsidRPr="00BC3C0F" w:rsidRDefault="005C1992" w:rsidP="005C1992">
      <w:pPr>
        <w:spacing w:line="276" w:lineRule="auto"/>
        <w:jc w:val="both"/>
        <w:rPr>
          <w:rFonts w:ascii="Arial" w:hAnsi="Arial" w:cs="Arial"/>
          <w:szCs w:val="24"/>
        </w:rPr>
      </w:pPr>
    </w:p>
    <w:p w14:paraId="2E2EC6A3" w14:textId="13E63086" w:rsidR="00BF595B" w:rsidRPr="00BC3C0F" w:rsidRDefault="006F37D8" w:rsidP="00BF595B">
      <w:pPr>
        <w:spacing w:line="276" w:lineRule="auto"/>
        <w:ind w:right="49"/>
        <w:contextualSpacing/>
        <w:jc w:val="both"/>
        <w:rPr>
          <w:rFonts w:ascii="Arial" w:hAnsi="Arial"/>
          <w:szCs w:val="24"/>
        </w:rPr>
      </w:pPr>
      <w:r>
        <w:rPr>
          <w:rFonts w:ascii="Arial" w:hAnsi="Arial"/>
          <w:szCs w:val="24"/>
        </w:rPr>
        <w:t>En cua</w:t>
      </w:r>
      <w:r w:rsidR="00BF595B" w:rsidRPr="00BC3C0F">
        <w:rPr>
          <w:rFonts w:ascii="Arial" w:hAnsi="Arial"/>
          <w:szCs w:val="24"/>
        </w:rPr>
        <w:t xml:space="preserve">nto a la </w:t>
      </w:r>
      <w:r w:rsidR="00BF595B" w:rsidRPr="00BC3C0F">
        <w:rPr>
          <w:rFonts w:ascii="Arial" w:hAnsi="Arial"/>
          <w:b/>
          <w:szCs w:val="24"/>
        </w:rPr>
        <w:t xml:space="preserve">fuerza </w:t>
      </w:r>
      <w:r w:rsidR="00113360">
        <w:rPr>
          <w:rFonts w:ascii="Arial" w:hAnsi="Arial"/>
          <w:szCs w:val="24"/>
        </w:rPr>
        <w:t>de entrada se descarta</w:t>
      </w:r>
      <w:r w:rsidR="00BF595B" w:rsidRPr="00BC3C0F">
        <w:rPr>
          <w:rFonts w:ascii="Arial" w:hAnsi="Arial"/>
          <w:szCs w:val="24"/>
        </w:rPr>
        <w:t xml:space="preserve"> como quiera que en </w:t>
      </w:r>
      <w:r w:rsidR="00FF0A8F" w:rsidRPr="00BC3C0F">
        <w:rPr>
          <w:rFonts w:ascii="Arial" w:hAnsi="Arial"/>
          <w:szCs w:val="24"/>
        </w:rPr>
        <w:t>el formulario</w:t>
      </w:r>
      <w:r w:rsidR="00BF595B" w:rsidRPr="00BC3C0F">
        <w:rPr>
          <w:rFonts w:ascii="Arial" w:hAnsi="Arial"/>
          <w:szCs w:val="24"/>
        </w:rPr>
        <w:t xml:space="preserve"> se cuenta con una casilla destinada a dejar constancia que la selección del RAIS se efectúa de manera libr</w:t>
      </w:r>
      <w:r w:rsidR="00A964DC">
        <w:rPr>
          <w:rFonts w:ascii="Arial" w:hAnsi="Arial"/>
          <w:szCs w:val="24"/>
        </w:rPr>
        <w:t>e, espontánea y sin precisiones;</w:t>
      </w:r>
      <w:r w:rsidR="00BF595B" w:rsidRPr="00BC3C0F">
        <w:rPr>
          <w:rFonts w:ascii="Arial" w:hAnsi="Arial"/>
          <w:szCs w:val="24"/>
        </w:rPr>
        <w:t xml:space="preserve"> campo en el cual se encuentr</w:t>
      </w:r>
      <w:r w:rsidR="000F34E7">
        <w:rPr>
          <w:rFonts w:ascii="Arial" w:hAnsi="Arial"/>
          <w:szCs w:val="24"/>
        </w:rPr>
        <w:t>a plasmada la firma del demandante</w:t>
      </w:r>
      <w:r w:rsidR="007017D3" w:rsidRPr="00BC3C0F">
        <w:rPr>
          <w:rFonts w:ascii="Arial" w:hAnsi="Arial"/>
          <w:szCs w:val="24"/>
        </w:rPr>
        <w:t xml:space="preserve"> (</w:t>
      </w:r>
      <w:r w:rsidR="002A1798">
        <w:rPr>
          <w:rFonts w:ascii="Arial" w:hAnsi="Arial"/>
          <w:szCs w:val="24"/>
        </w:rPr>
        <w:t>fl</w:t>
      </w:r>
      <w:r w:rsidR="007109BA">
        <w:rPr>
          <w:rFonts w:ascii="Arial" w:hAnsi="Arial"/>
          <w:szCs w:val="24"/>
        </w:rPr>
        <w:t>s</w:t>
      </w:r>
      <w:r w:rsidR="002A1798">
        <w:rPr>
          <w:rFonts w:ascii="Arial" w:hAnsi="Arial"/>
          <w:szCs w:val="24"/>
        </w:rPr>
        <w:t>. 17</w:t>
      </w:r>
      <w:r w:rsidR="007017D3" w:rsidRPr="00BC3C0F">
        <w:rPr>
          <w:rFonts w:ascii="Arial" w:hAnsi="Arial"/>
          <w:szCs w:val="24"/>
        </w:rPr>
        <w:t xml:space="preserve"> </w:t>
      </w:r>
      <w:r w:rsidR="007109BA">
        <w:rPr>
          <w:rFonts w:ascii="Arial" w:hAnsi="Arial"/>
          <w:szCs w:val="24"/>
        </w:rPr>
        <w:t xml:space="preserve">y 80 </w:t>
      </w:r>
      <w:r w:rsidR="007017D3" w:rsidRPr="00BC3C0F">
        <w:rPr>
          <w:rFonts w:ascii="Arial" w:hAnsi="Arial"/>
          <w:szCs w:val="24"/>
        </w:rPr>
        <w:t>c. 1)</w:t>
      </w:r>
      <w:r w:rsidR="0071087F" w:rsidRPr="00BC3C0F">
        <w:rPr>
          <w:rFonts w:ascii="Arial" w:hAnsi="Arial"/>
          <w:szCs w:val="24"/>
        </w:rPr>
        <w:t>.</w:t>
      </w:r>
    </w:p>
    <w:p w14:paraId="5387192E" w14:textId="77777777" w:rsidR="00AF5B5B" w:rsidRPr="00BC3C0F" w:rsidRDefault="00AF5B5B" w:rsidP="00BF595B">
      <w:pPr>
        <w:spacing w:line="276" w:lineRule="auto"/>
        <w:ind w:right="49"/>
        <w:contextualSpacing/>
        <w:jc w:val="both"/>
        <w:rPr>
          <w:rFonts w:ascii="Arial" w:hAnsi="Arial"/>
          <w:szCs w:val="24"/>
        </w:rPr>
      </w:pPr>
    </w:p>
    <w:p w14:paraId="418D444F" w14:textId="00E03C35" w:rsidR="005C11ED" w:rsidRDefault="00FF0A8F" w:rsidP="00BF595B">
      <w:pPr>
        <w:spacing w:line="276" w:lineRule="auto"/>
        <w:ind w:right="49"/>
        <w:contextualSpacing/>
        <w:jc w:val="both"/>
        <w:rPr>
          <w:rFonts w:ascii="Arial" w:hAnsi="Arial" w:cs="Arial"/>
          <w:szCs w:val="24"/>
        </w:rPr>
      </w:pPr>
      <w:r w:rsidRPr="00BC3C0F">
        <w:rPr>
          <w:rFonts w:ascii="Arial" w:hAnsi="Arial"/>
          <w:szCs w:val="24"/>
        </w:rPr>
        <w:t>Documento</w:t>
      </w:r>
      <w:r w:rsidR="00BF595B" w:rsidRPr="00BC3C0F">
        <w:rPr>
          <w:rFonts w:ascii="Arial" w:hAnsi="Arial"/>
          <w:szCs w:val="24"/>
        </w:rPr>
        <w:t xml:space="preserve"> que por demás no</w:t>
      </w:r>
      <w:r w:rsidRPr="00BC3C0F">
        <w:rPr>
          <w:rFonts w:ascii="Arial" w:hAnsi="Arial"/>
          <w:szCs w:val="24"/>
        </w:rPr>
        <w:t xml:space="preserve"> fue desconocido o tachado, máxime que fue allegado</w:t>
      </w:r>
      <w:r w:rsidR="007017D3" w:rsidRPr="00BC3C0F">
        <w:rPr>
          <w:rFonts w:ascii="Arial" w:hAnsi="Arial"/>
          <w:szCs w:val="24"/>
        </w:rPr>
        <w:t xml:space="preserve"> junto con la demanda</w:t>
      </w:r>
      <w:r w:rsidRPr="00BC3C0F">
        <w:rPr>
          <w:rFonts w:ascii="Arial" w:hAnsi="Arial"/>
          <w:szCs w:val="24"/>
        </w:rPr>
        <w:t>, de ahí que se presuma auténtico</w:t>
      </w:r>
      <w:r w:rsidR="0025332E" w:rsidRPr="00BC3C0F">
        <w:rPr>
          <w:rFonts w:ascii="Arial" w:hAnsi="Arial"/>
          <w:szCs w:val="24"/>
        </w:rPr>
        <w:t xml:space="preserve"> </w:t>
      </w:r>
      <w:r w:rsidR="0025332E" w:rsidRPr="00BC3C0F">
        <w:rPr>
          <w:rFonts w:ascii="Arial" w:hAnsi="Arial" w:cs="Arial"/>
          <w:szCs w:val="24"/>
        </w:rPr>
        <w:t xml:space="preserve">según lo dispuesto por el artículo 244 del C.G.P. en concordancia con el 269 </w:t>
      </w:r>
      <w:r w:rsidR="0025332E" w:rsidRPr="00BC3C0F">
        <w:rPr>
          <w:rFonts w:ascii="Arial" w:hAnsi="Arial" w:cs="Arial"/>
          <w:i/>
          <w:szCs w:val="24"/>
        </w:rPr>
        <w:t>ibídem</w:t>
      </w:r>
      <w:r w:rsidR="0025332E" w:rsidRPr="00BC3C0F">
        <w:rPr>
          <w:rFonts w:ascii="Arial" w:hAnsi="Arial" w:cs="Arial"/>
          <w:szCs w:val="24"/>
        </w:rPr>
        <w:t xml:space="preserve"> que se aplican por remisi</w:t>
      </w:r>
      <w:r w:rsidRPr="00BC3C0F">
        <w:rPr>
          <w:rFonts w:ascii="Arial" w:hAnsi="Arial" w:cs="Arial"/>
          <w:szCs w:val="24"/>
        </w:rPr>
        <w:t>ón del artículo 145 del C.P.L.</w:t>
      </w:r>
      <w:r w:rsidR="005C11ED">
        <w:rPr>
          <w:rFonts w:ascii="Arial" w:hAnsi="Arial" w:cs="Arial"/>
          <w:szCs w:val="24"/>
        </w:rPr>
        <w:t xml:space="preserve"> Además, al absolver el interrogatorio de parte Álvaro Alzate López admitió sí había firmado el formulario de vinculación.</w:t>
      </w:r>
    </w:p>
    <w:p w14:paraId="5A0E8BAB" w14:textId="77777777" w:rsidR="008F07C2" w:rsidRDefault="008F07C2" w:rsidP="00BF595B">
      <w:pPr>
        <w:spacing w:line="276" w:lineRule="auto"/>
        <w:ind w:right="49"/>
        <w:contextualSpacing/>
        <w:jc w:val="both"/>
        <w:rPr>
          <w:rFonts w:ascii="Arial" w:hAnsi="Arial" w:cs="Arial"/>
          <w:szCs w:val="24"/>
        </w:rPr>
      </w:pPr>
    </w:p>
    <w:p w14:paraId="78B1E4A2" w14:textId="53C9E759" w:rsidR="005C11ED" w:rsidRDefault="00BF595B" w:rsidP="00790F47">
      <w:pPr>
        <w:spacing w:line="276" w:lineRule="auto"/>
        <w:ind w:right="49"/>
        <w:contextualSpacing/>
        <w:jc w:val="both"/>
        <w:rPr>
          <w:rFonts w:ascii="Arial" w:hAnsi="Arial"/>
          <w:szCs w:val="24"/>
        </w:rPr>
      </w:pPr>
      <w:r w:rsidRPr="00BC3C0F">
        <w:rPr>
          <w:rFonts w:ascii="Arial" w:hAnsi="Arial"/>
          <w:szCs w:val="24"/>
        </w:rPr>
        <w:t xml:space="preserve">Respecto al </w:t>
      </w:r>
      <w:r w:rsidR="00DE009E" w:rsidRPr="00DE009E">
        <w:rPr>
          <w:rFonts w:ascii="Arial" w:hAnsi="Arial"/>
          <w:b/>
          <w:szCs w:val="24"/>
        </w:rPr>
        <w:t>dolo</w:t>
      </w:r>
      <w:r w:rsidR="00DE009E">
        <w:rPr>
          <w:rFonts w:ascii="Arial" w:hAnsi="Arial"/>
          <w:szCs w:val="24"/>
        </w:rPr>
        <w:t xml:space="preserve"> y el </w:t>
      </w:r>
      <w:r w:rsidRPr="00AD294E">
        <w:rPr>
          <w:rFonts w:ascii="Arial" w:hAnsi="Arial"/>
          <w:b/>
          <w:szCs w:val="24"/>
        </w:rPr>
        <w:t>error,</w:t>
      </w:r>
      <w:r w:rsidRPr="00AD294E">
        <w:rPr>
          <w:rFonts w:ascii="Arial" w:hAnsi="Arial"/>
          <w:szCs w:val="24"/>
        </w:rPr>
        <w:t xml:space="preserve"> </w:t>
      </w:r>
      <w:r w:rsidR="00DE009E" w:rsidRPr="00AD294E">
        <w:rPr>
          <w:rFonts w:ascii="Arial" w:hAnsi="Arial"/>
          <w:szCs w:val="24"/>
        </w:rPr>
        <w:t xml:space="preserve">éste último </w:t>
      </w:r>
      <w:r w:rsidR="006F37D8" w:rsidRPr="00AD294E">
        <w:rPr>
          <w:rFonts w:ascii="Arial" w:hAnsi="Arial"/>
          <w:szCs w:val="24"/>
        </w:rPr>
        <w:t>en la naturaleza del acto, identidad del objeto o calidad del mismo</w:t>
      </w:r>
      <w:r w:rsidRPr="00AD294E">
        <w:rPr>
          <w:rFonts w:ascii="Arial" w:hAnsi="Arial"/>
          <w:szCs w:val="24"/>
        </w:rPr>
        <w:t xml:space="preserve"> como consecuencia de la información </w:t>
      </w:r>
      <w:r w:rsidR="008F07C2" w:rsidRPr="00AD294E">
        <w:rPr>
          <w:rFonts w:ascii="Arial" w:hAnsi="Arial"/>
          <w:szCs w:val="24"/>
        </w:rPr>
        <w:t>superficial</w:t>
      </w:r>
      <w:r w:rsidR="006F37D8" w:rsidRPr="00AD294E">
        <w:rPr>
          <w:rFonts w:ascii="Arial" w:hAnsi="Arial"/>
          <w:szCs w:val="24"/>
        </w:rPr>
        <w:t xml:space="preserve"> suministrada, </w:t>
      </w:r>
      <w:r w:rsidR="00790F47" w:rsidRPr="00AD294E">
        <w:rPr>
          <w:rFonts w:ascii="Arial" w:hAnsi="Arial"/>
          <w:szCs w:val="24"/>
        </w:rPr>
        <w:t xml:space="preserve">se probó en este proceso que la </w:t>
      </w:r>
      <w:r w:rsidR="00A44F6E">
        <w:rPr>
          <w:rFonts w:ascii="Arial" w:hAnsi="Arial"/>
          <w:szCs w:val="24"/>
        </w:rPr>
        <w:t>misma</w:t>
      </w:r>
      <w:r w:rsidR="00790F47" w:rsidRPr="00AD294E">
        <w:rPr>
          <w:rFonts w:ascii="Arial" w:hAnsi="Arial"/>
          <w:szCs w:val="24"/>
        </w:rPr>
        <w:t xml:space="preserve"> se dio de manera completa y veraz. </w:t>
      </w:r>
    </w:p>
    <w:p w14:paraId="2F39DFEE" w14:textId="77777777" w:rsidR="00790F47" w:rsidRDefault="00790F47" w:rsidP="00790F47">
      <w:pPr>
        <w:spacing w:line="276" w:lineRule="auto"/>
        <w:ind w:right="49"/>
        <w:contextualSpacing/>
        <w:jc w:val="both"/>
        <w:rPr>
          <w:rFonts w:ascii="Arial" w:hAnsi="Arial"/>
          <w:szCs w:val="24"/>
        </w:rPr>
      </w:pPr>
    </w:p>
    <w:p w14:paraId="55A32EC6" w14:textId="07A16AFC" w:rsidR="005C11ED" w:rsidRDefault="005C11ED" w:rsidP="005C11ED">
      <w:pPr>
        <w:spacing w:line="276" w:lineRule="auto"/>
        <w:ind w:right="49"/>
        <w:contextualSpacing/>
        <w:jc w:val="both"/>
        <w:rPr>
          <w:rFonts w:ascii="Arial" w:hAnsi="Arial"/>
          <w:szCs w:val="24"/>
        </w:rPr>
      </w:pPr>
      <w:r>
        <w:rPr>
          <w:rFonts w:ascii="Arial" w:hAnsi="Arial"/>
          <w:szCs w:val="24"/>
        </w:rPr>
        <w:t xml:space="preserve">Al punto es preciso resaltar que la </w:t>
      </w:r>
      <w:r w:rsidRPr="007109BA">
        <w:rPr>
          <w:rFonts w:ascii="Arial" w:hAnsi="Arial"/>
          <w:i/>
          <w:szCs w:val="24"/>
        </w:rPr>
        <w:t>a quo</w:t>
      </w:r>
      <w:r>
        <w:rPr>
          <w:rFonts w:ascii="Arial" w:hAnsi="Arial"/>
          <w:szCs w:val="24"/>
        </w:rPr>
        <w:t xml:space="preserve"> estableció como médula de la contr</w:t>
      </w:r>
      <w:r w:rsidR="006F37D8">
        <w:rPr>
          <w:rFonts w:ascii="Arial" w:hAnsi="Arial"/>
          <w:szCs w:val="24"/>
        </w:rPr>
        <w:t>oversia una negación indefinida</w:t>
      </w:r>
      <w:r>
        <w:rPr>
          <w:rFonts w:ascii="Arial" w:hAnsi="Arial"/>
          <w:szCs w:val="24"/>
        </w:rPr>
        <w:t xml:space="preserve"> para trasladar la carga de la prueba a la AFP; sin embargo, auscultado en detalle el libelo genitor se advierte que aun cuando en los hechos 8º a 10º y 19º se indicó que se había omitido una información, lo cierto es que el demandante explicó</w:t>
      </w:r>
      <w:r w:rsidR="00AA6804">
        <w:rPr>
          <w:rFonts w:ascii="Arial" w:hAnsi="Arial"/>
          <w:szCs w:val="24"/>
        </w:rPr>
        <w:t>,</w:t>
      </w:r>
      <w:r>
        <w:rPr>
          <w:rFonts w:ascii="Arial" w:hAnsi="Arial"/>
          <w:szCs w:val="24"/>
        </w:rPr>
        <w:t xml:space="preserve"> en los fundamentos de derecho</w:t>
      </w:r>
      <w:r w:rsidR="00AA6804">
        <w:rPr>
          <w:rFonts w:ascii="Arial" w:hAnsi="Arial"/>
          <w:szCs w:val="24"/>
        </w:rPr>
        <w:t>,</w:t>
      </w:r>
      <w:r>
        <w:rPr>
          <w:rFonts w:ascii="Arial" w:hAnsi="Arial"/>
          <w:szCs w:val="24"/>
        </w:rPr>
        <w:t xml:space="preserve"> que en realidad la información recibida había sido superficial, por lo que de ninguna manera operaba la aludida negación indefinida.</w:t>
      </w:r>
    </w:p>
    <w:p w14:paraId="52ABF803" w14:textId="77777777" w:rsidR="005C11ED" w:rsidRDefault="005C11ED" w:rsidP="005C11ED">
      <w:pPr>
        <w:spacing w:line="276" w:lineRule="auto"/>
        <w:ind w:right="49"/>
        <w:contextualSpacing/>
        <w:jc w:val="both"/>
        <w:rPr>
          <w:rFonts w:ascii="Arial" w:hAnsi="Arial"/>
          <w:szCs w:val="24"/>
        </w:rPr>
      </w:pPr>
    </w:p>
    <w:p w14:paraId="32C25540" w14:textId="2E3D5A6B" w:rsidR="005C11ED" w:rsidRDefault="005C11ED" w:rsidP="005C11ED">
      <w:pPr>
        <w:spacing w:line="276" w:lineRule="auto"/>
        <w:ind w:right="49"/>
        <w:contextualSpacing/>
        <w:jc w:val="both"/>
        <w:rPr>
          <w:rFonts w:ascii="Arial" w:hAnsi="Arial"/>
          <w:szCs w:val="24"/>
        </w:rPr>
      </w:pPr>
      <w:r>
        <w:rPr>
          <w:rFonts w:ascii="Arial" w:hAnsi="Arial"/>
          <w:szCs w:val="24"/>
        </w:rPr>
        <w:t>No obstante lo anterior, y si en gracia de discusión se continuara con los efectos jurídicos de tal negación, en el expediente se acreditó que el demandante sí recibió la información necesaria y suficiente para tomar una decisión libre y voluntaria.</w:t>
      </w:r>
    </w:p>
    <w:p w14:paraId="3F807D9E" w14:textId="77777777" w:rsidR="002E4B4A" w:rsidRDefault="002E4B4A" w:rsidP="005C11ED">
      <w:pPr>
        <w:spacing w:line="276" w:lineRule="auto"/>
        <w:ind w:right="49"/>
        <w:contextualSpacing/>
        <w:jc w:val="both"/>
        <w:rPr>
          <w:rFonts w:ascii="Arial" w:hAnsi="Arial"/>
          <w:szCs w:val="24"/>
        </w:rPr>
      </w:pPr>
    </w:p>
    <w:p w14:paraId="75EB793B" w14:textId="617E8ACB" w:rsidR="00FE22FA" w:rsidRDefault="005C11ED" w:rsidP="005C11ED">
      <w:pPr>
        <w:spacing w:line="276" w:lineRule="auto"/>
        <w:ind w:right="49"/>
        <w:contextualSpacing/>
        <w:jc w:val="both"/>
        <w:rPr>
          <w:rFonts w:ascii="Arial" w:eastAsiaTheme="minorHAnsi" w:hAnsi="Arial" w:cs="Arial"/>
          <w:i/>
          <w:iCs/>
          <w:szCs w:val="24"/>
        </w:rPr>
      </w:pPr>
      <w:r>
        <w:rPr>
          <w:rFonts w:ascii="Arial" w:hAnsi="Arial"/>
          <w:szCs w:val="24"/>
        </w:rPr>
        <w:t xml:space="preserve">En efecto, </w:t>
      </w:r>
      <w:r w:rsidR="00BF595B" w:rsidRPr="00BC3C0F">
        <w:rPr>
          <w:rFonts w:ascii="Arial" w:eastAsiaTheme="minorHAnsi" w:hAnsi="Arial" w:cs="Arial"/>
          <w:iCs/>
          <w:szCs w:val="24"/>
        </w:rPr>
        <w:t xml:space="preserve">lo que se demostró es que el traslado </w:t>
      </w:r>
      <w:r w:rsidR="00FE22FA">
        <w:rPr>
          <w:rFonts w:ascii="Arial" w:eastAsiaTheme="minorHAnsi" w:hAnsi="Arial" w:cs="Arial"/>
          <w:iCs/>
          <w:szCs w:val="24"/>
        </w:rPr>
        <w:t xml:space="preserve">y selección del RAIS </w:t>
      </w:r>
      <w:r w:rsidR="00BF595B" w:rsidRPr="00BC3C0F">
        <w:rPr>
          <w:rFonts w:ascii="Arial" w:eastAsiaTheme="minorHAnsi" w:hAnsi="Arial" w:cs="Arial"/>
          <w:iCs/>
          <w:szCs w:val="24"/>
        </w:rPr>
        <w:t xml:space="preserve">estuvo precedido de la </w:t>
      </w:r>
      <w:r w:rsidR="00BF595B" w:rsidRPr="00AD294E">
        <w:rPr>
          <w:rFonts w:ascii="Arial" w:eastAsiaTheme="minorHAnsi" w:hAnsi="Arial" w:cs="Arial"/>
          <w:iCs/>
          <w:szCs w:val="24"/>
        </w:rPr>
        <w:t xml:space="preserve">debida </w:t>
      </w:r>
      <w:r w:rsidR="00AA6804">
        <w:rPr>
          <w:rFonts w:ascii="Arial" w:eastAsiaTheme="minorHAnsi" w:hAnsi="Arial" w:cs="Arial"/>
          <w:iCs/>
          <w:szCs w:val="24"/>
        </w:rPr>
        <w:t>información</w:t>
      </w:r>
      <w:r w:rsidR="00BF595B" w:rsidRPr="00AD294E">
        <w:rPr>
          <w:rFonts w:ascii="Arial" w:eastAsiaTheme="minorHAnsi" w:hAnsi="Arial" w:cs="Arial"/>
          <w:iCs/>
          <w:szCs w:val="24"/>
        </w:rPr>
        <w:t xml:space="preserve">, </w:t>
      </w:r>
      <w:r w:rsidR="00997F8F" w:rsidRPr="00AD294E">
        <w:rPr>
          <w:rFonts w:ascii="Arial" w:eastAsiaTheme="minorHAnsi" w:hAnsi="Arial" w:cs="Arial"/>
          <w:iCs/>
          <w:szCs w:val="24"/>
        </w:rPr>
        <w:t xml:space="preserve">donde se </w:t>
      </w:r>
      <w:r w:rsidR="00AA6804">
        <w:rPr>
          <w:rFonts w:ascii="Arial" w:eastAsiaTheme="minorHAnsi" w:hAnsi="Arial" w:cs="Arial"/>
          <w:iCs/>
          <w:szCs w:val="24"/>
        </w:rPr>
        <w:t>le dio a conocer</w:t>
      </w:r>
      <w:r w:rsidR="00997F8F" w:rsidRPr="00AD294E">
        <w:rPr>
          <w:rFonts w:ascii="Arial" w:eastAsiaTheme="minorHAnsi" w:hAnsi="Arial" w:cs="Arial"/>
          <w:iCs/>
          <w:szCs w:val="24"/>
        </w:rPr>
        <w:t xml:space="preserve"> sobre las características </w:t>
      </w:r>
      <w:r w:rsidR="00A964DC">
        <w:rPr>
          <w:rFonts w:ascii="Arial" w:eastAsiaTheme="minorHAnsi" w:hAnsi="Arial" w:cs="Arial"/>
          <w:iCs/>
          <w:szCs w:val="24"/>
        </w:rPr>
        <w:t>de este régimen</w:t>
      </w:r>
      <w:r w:rsidR="00997F8F" w:rsidRPr="00AD294E">
        <w:rPr>
          <w:rFonts w:ascii="Arial" w:eastAsiaTheme="minorHAnsi" w:hAnsi="Arial" w:cs="Arial"/>
          <w:iCs/>
          <w:szCs w:val="24"/>
        </w:rPr>
        <w:t xml:space="preserve">, condiciones y ventajas, </w:t>
      </w:r>
      <w:r w:rsidR="00296A66" w:rsidRPr="00AD294E">
        <w:rPr>
          <w:rFonts w:ascii="Arial" w:eastAsiaTheme="minorHAnsi" w:hAnsi="Arial" w:cs="Arial"/>
          <w:iCs/>
          <w:szCs w:val="24"/>
        </w:rPr>
        <w:t>pues ello se desprende en primer lugar, de la firma que estampó en el formula</w:t>
      </w:r>
      <w:r w:rsidR="00DE009E" w:rsidRPr="00AD294E">
        <w:rPr>
          <w:rFonts w:ascii="Arial" w:eastAsiaTheme="minorHAnsi" w:hAnsi="Arial" w:cs="Arial"/>
          <w:iCs/>
          <w:szCs w:val="24"/>
        </w:rPr>
        <w:t>rio de traslado entre regímenes. A</w:t>
      </w:r>
      <w:r w:rsidR="00296A66" w:rsidRPr="00AD294E">
        <w:rPr>
          <w:rFonts w:ascii="Arial" w:eastAsiaTheme="minorHAnsi" w:hAnsi="Arial" w:cs="Arial"/>
          <w:iCs/>
          <w:szCs w:val="24"/>
        </w:rPr>
        <w:t>sí</w:t>
      </w:r>
      <w:r w:rsidR="00DE009E" w:rsidRPr="00AD294E">
        <w:rPr>
          <w:rFonts w:ascii="Arial" w:eastAsiaTheme="minorHAnsi" w:hAnsi="Arial" w:cs="Arial"/>
          <w:iCs/>
          <w:szCs w:val="24"/>
        </w:rPr>
        <w:t>,</w:t>
      </w:r>
      <w:r w:rsidR="00296A66" w:rsidRPr="00AD294E">
        <w:rPr>
          <w:rFonts w:ascii="Arial" w:eastAsiaTheme="minorHAnsi" w:hAnsi="Arial" w:cs="Arial"/>
          <w:iCs/>
          <w:szCs w:val="24"/>
        </w:rPr>
        <w:t xml:space="preserve"> para el </w:t>
      </w:r>
      <w:r w:rsidR="00CC41EA" w:rsidRPr="00AD294E">
        <w:rPr>
          <w:rFonts w:ascii="Arial" w:eastAsiaTheme="minorHAnsi" w:hAnsi="Arial" w:cs="Arial"/>
          <w:iCs/>
          <w:szCs w:val="24"/>
        </w:rPr>
        <w:t>03/10/1997</w:t>
      </w:r>
      <w:r w:rsidR="00296A66" w:rsidRPr="00AD294E">
        <w:rPr>
          <w:rFonts w:ascii="Arial" w:eastAsiaTheme="minorHAnsi" w:hAnsi="Arial" w:cs="Arial"/>
          <w:iCs/>
          <w:szCs w:val="24"/>
        </w:rPr>
        <w:t xml:space="preserve"> se realizó la</w:t>
      </w:r>
      <w:r w:rsidR="00296A66" w:rsidRPr="00BC3C0F">
        <w:rPr>
          <w:rFonts w:ascii="Arial" w:eastAsiaTheme="minorHAnsi" w:hAnsi="Arial" w:cs="Arial"/>
          <w:iCs/>
          <w:szCs w:val="24"/>
        </w:rPr>
        <w:t xml:space="preserve"> “</w:t>
      </w:r>
      <w:r w:rsidR="00296A66" w:rsidRPr="00BC3C0F">
        <w:rPr>
          <w:rFonts w:ascii="Arial" w:eastAsiaTheme="minorHAnsi" w:hAnsi="Arial" w:cs="Arial"/>
          <w:i/>
          <w:iCs/>
          <w:szCs w:val="24"/>
        </w:rPr>
        <w:t>solicitud de vinculación”</w:t>
      </w:r>
      <w:r w:rsidR="00FF0A8F" w:rsidRPr="00BC3C0F">
        <w:rPr>
          <w:rFonts w:ascii="Arial" w:eastAsiaTheme="minorHAnsi" w:hAnsi="Arial" w:cs="Arial"/>
          <w:i/>
          <w:iCs/>
          <w:szCs w:val="24"/>
        </w:rPr>
        <w:t xml:space="preserve"> </w:t>
      </w:r>
      <w:r w:rsidR="00FF0A8F" w:rsidRPr="00BC3C0F">
        <w:rPr>
          <w:rFonts w:ascii="Arial" w:eastAsiaTheme="minorHAnsi" w:hAnsi="Arial" w:cs="Arial"/>
          <w:iCs/>
          <w:szCs w:val="24"/>
        </w:rPr>
        <w:t xml:space="preserve">a </w:t>
      </w:r>
      <w:r w:rsidR="008F07C2">
        <w:rPr>
          <w:rFonts w:ascii="Arial" w:eastAsiaTheme="minorHAnsi" w:hAnsi="Arial" w:cs="Arial"/>
          <w:iCs/>
          <w:szCs w:val="24"/>
        </w:rPr>
        <w:t>Protección</w:t>
      </w:r>
      <w:r w:rsidR="00FF0A8F" w:rsidRPr="00BC3C0F">
        <w:rPr>
          <w:rFonts w:ascii="Arial" w:eastAsiaTheme="minorHAnsi" w:hAnsi="Arial" w:cs="Arial"/>
          <w:iCs/>
          <w:szCs w:val="24"/>
        </w:rPr>
        <w:t xml:space="preserve"> </w:t>
      </w:r>
      <w:r w:rsidR="008F07C2">
        <w:rPr>
          <w:rFonts w:ascii="Arial" w:eastAsiaTheme="minorHAnsi" w:hAnsi="Arial" w:cs="Arial"/>
          <w:iCs/>
          <w:szCs w:val="24"/>
        </w:rPr>
        <w:t>S.A. (fl</w:t>
      </w:r>
      <w:r w:rsidR="00CC41EA">
        <w:rPr>
          <w:rFonts w:ascii="Arial" w:eastAsiaTheme="minorHAnsi" w:hAnsi="Arial" w:cs="Arial"/>
          <w:iCs/>
          <w:szCs w:val="24"/>
        </w:rPr>
        <w:t>s</w:t>
      </w:r>
      <w:r w:rsidR="008F07C2">
        <w:rPr>
          <w:rFonts w:ascii="Arial" w:eastAsiaTheme="minorHAnsi" w:hAnsi="Arial" w:cs="Arial"/>
          <w:iCs/>
          <w:szCs w:val="24"/>
        </w:rPr>
        <w:t>. 17</w:t>
      </w:r>
      <w:r w:rsidR="00CC41EA">
        <w:rPr>
          <w:rFonts w:ascii="Arial" w:eastAsiaTheme="minorHAnsi" w:hAnsi="Arial" w:cs="Arial"/>
          <w:iCs/>
          <w:szCs w:val="24"/>
        </w:rPr>
        <w:t xml:space="preserve"> y 80</w:t>
      </w:r>
      <w:r w:rsidR="00296A66" w:rsidRPr="00BC3C0F">
        <w:rPr>
          <w:rFonts w:ascii="Arial" w:eastAsiaTheme="minorHAnsi" w:hAnsi="Arial" w:cs="Arial"/>
          <w:iCs/>
          <w:szCs w:val="24"/>
        </w:rPr>
        <w:t xml:space="preserve"> c. 1), </w:t>
      </w:r>
      <w:r w:rsidR="00BF595B" w:rsidRPr="00BC3C0F">
        <w:rPr>
          <w:rFonts w:ascii="Arial" w:eastAsiaTheme="minorHAnsi" w:hAnsi="Arial" w:cs="Arial"/>
          <w:iCs/>
          <w:szCs w:val="24"/>
        </w:rPr>
        <w:t>el que una vez revisado, cuenta con la información que para esa época era la exigida por la Ley</w:t>
      </w:r>
      <w:r w:rsidR="001F2CB7">
        <w:rPr>
          <w:rFonts w:ascii="Arial" w:eastAsiaTheme="minorHAnsi" w:hAnsi="Arial" w:cs="Arial"/>
          <w:iCs/>
          <w:szCs w:val="24"/>
        </w:rPr>
        <w:t xml:space="preserve"> dejar en el formulario</w:t>
      </w:r>
      <w:r w:rsidR="00BF595B" w:rsidRPr="00BC3C0F">
        <w:rPr>
          <w:rFonts w:ascii="Arial" w:eastAsiaTheme="minorHAnsi" w:hAnsi="Arial" w:cs="Arial"/>
          <w:iCs/>
          <w:szCs w:val="24"/>
        </w:rPr>
        <w:t xml:space="preserve"> conforme a las directrices previstas en el Decreto 692 de 1994 a través del cual se reglamentó</w:t>
      </w:r>
      <w:r w:rsidR="00A04DDF">
        <w:rPr>
          <w:rFonts w:ascii="Arial" w:eastAsiaTheme="minorHAnsi" w:hAnsi="Arial" w:cs="Arial"/>
          <w:iCs/>
          <w:szCs w:val="24"/>
        </w:rPr>
        <w:t xml:space="preserve"> en lo pertinente la Ley 100/</w:t>
      </w:r>
      <w:r w:rsidR="00A04DDF" w:rsidRPr="00AD294E">
        <w:rPr>
          <w:rFonts w:ascii="Arial" w:eastAsiaTheme="minorHAnsi" w:hAnsi="Arial" w:cs="Arial"/>
          <w:iCs/>
          <w:szCs w:val="24"/>
        </w:rPr>
        <w:t>93</w:t>
      </w:r>
      <w:r w:rsidR="00BF595B" w:rsidRPr="00AD294E">
        <w:rPr>
          <w:rFonts w:ascii="Arial" w:eastAsiaTheme="minorHAnsi" w:hAnsi="Arial" w:cs="Arial"/>
          <w:iCs/>
          <w:szCs w:val="24"/>
        </w:rPr>
        <w:t xml:space="preserve"> </w:t>
      </w:r>
      <w:r w:rsidR="00A04DDF" w:rsidRPr="00AD294E">
        <w:rPr>
          <w:rFonts w:ascii="Arial" w:eastAsiaTheme="minorHAnsi" w:hAnsi="Arial" w:cs="Arial"/>
          <w:iCs/>
          <w:szCs w:val="24"/>
        </w:rPr>
        <w:t>(</w:t>
      </w:r>
      <w:r w:rsidR="00997F8F" w:rsidRPr="00AD294E">
        <w:rPr>
          <w:rFonts w:ascii="Arial" w:eastAsiaTheme="minorHAnsi" w:hAnsi="Arial" w:cs="Arial"/>
          <w:iCs/>
          <w:szCs w:val="24"/>
        </w:rPr>
        <w:t>ignorarlo atentaría con el p</w:t>
      </w:r>
      <w:r w:rsidR="00BF595B" w:rsidRPr="00AD294E">
        <w:rPr>
          <w:rFonts w:ascii="Arial" w:eastAsiaTheme="minorHAnsi" w:hAnsi="Arial" w:cs="Arial"/>
          <w:iCs/>
          <w:szCs w:val="24"/>
        </w:rPr>
        <w:t>r</w:t>
      </w:r>
      <w:r w:rsidR="00FE22FA" w:rsidRPr="00AD294E">
        <w:rPr>
          <w:rFonts w:ascii="Arial" w:eastAsiaTheme="minorHAnsi" w:hAnsi="Arial" w:cs="Arial"/>
          <w:iCs/>
          <w:szCs w:val="24"/>
        </w:rPr>
        <w:t xml:space="preserve">incipio </w:t>
      </w:r>
      <w:r w:rsidR="00A04DDF" w:rsidRPr="00AD294E">
        <w:rPr>
          <w:rFonts w:ascii="Arial" w:eastAsiaTheme="minorHAnsi" w:hAnsi="Arial" w:cs="Arial"/>
          <w:iCs/>
          <w:szCs w:val="24"/>
        </w:rPr>
        <w:t>de confianza legítima</w:t>
      </w:r>
      <w:r w:rsidR="00997F8F" w:rsidRPr="00AD294E">
        <w:rPr>
          <w:rFonts w:ascii="Arial" w:eastAsiaTheme="minorHAnsi" w:hAnsi="Arial" w:cs="Arial"/>
          <w:iCs/>
          <w:szCs w:val="24"/>
        </w:rPr>
        <w:t xml:space="preserve"> del fondo de pensiones</w:t>
      </w:r>
      <w:r w:rsidR="00A04DDF" w:rsidRPr="00AD294E">
        <w:rPr>
          <w:rFonts w:ascii="Arial" w:eastAsiaTheme="minorHAnsi" w:hAnsi="Arial" w:cs="Arial"/>
          <w:iCs/>
          <w:szCs w:val="24"/>
        </w:rPr>
        <w:t>)</w:t>
      </w:r>
      <w:r w:rsidR="00FE22FA" w:rsidRPr="00AD294E">
        <w:rPr>
          <w:rFonts w:ascii="Arial" w:eastAsiaTheme="minorHAnsi" w:hAnsi="Arial" w:cs="Arial"/>
          <w:iCs/>
          <w:szCs w:val="24"/>
        </w:rPr>
        <w:t>.</w:t>
      </w:r>
    </w:p>
    <w:p w14:paraId="62809A34" w14:textId="77777777" w:rsidR="00FE22FA" w:rsidRDefault="00FE22FA" w:rsidP="00CC311A">
      <w:pPr>
        <w:jc w:val="both"/>
        <w:rPr>
          <w:rFonts w:ascii="Arial" w:eastAsiaTheme="minorHAnsi" w:hAnsi="Arial" w:cs="Arial"/>
          <w:i/>
          <w:iCs/>
          <w:szCs w:val="24"/>
        </w:rPr>
      </w:pPr>
    </w:p>
    <w:p w14:paraId="183B8130" w14:textId="46A5837B" w:rsidR="00BF595B" w:rsidRPr="00BC3C0F" w:rsidRDefault="00FE22FA" w:rsidP="00296A66">
      <w:pPr>
        <w:spacing w:line="276" w:lineRule="auto"/>
        <w:jc w:val="both"/>
        <w:rPr>
          <w:rFonts w:ascii="Arial" w:eastAsiaTheme="minorHAnsi" w:hAnsi="Arial" w:cs="Arial"/>
          <w:iCs/>
          <w:szCs w:val="24"/>
        </w:rPr>
      </w:pPr>
      <w:r>
        <w:rPr>
          <w:rFonts w:ascii="Arial" w:eastAsiaTheme="minorHAnsi" w:hAnsi="Arial" w:cs="Arial"/>
          <w:iCs/>
          <w:szCs w:val="24"/>
        </w:rPr>
        <w:lastRenderedPageBreak/>
        <w:t>Selección del RAIS que</w:t>
      </w:r>
      <w:r w:rsidR="00BF595B" w:rsidRPr="00BC3C0F">
        <w:rPr>
          <w:rFonts w:ascii="Arial" w:eastAsiaTheme="minorHAnsi" w:hAnsi="Arial" w:cs="Arial"/>
          <w:iCs/>
          <w:szCs w:val="24"/>
        </w:rPr>
        <w:t xml:space="preserve"> lleva</w:t>
      </w:r>
      <w:r w:rsidR="005C1992" w:rsidRPr="00BC3C0F">
        <w:rPr>
          <w:rFonts w:ascii="Arial" w:eastAsiaTheme="minorHAnsi" w:hAnsi="Arial" w:cs="Arial"/>
          <w:iCs/>
          <w:szCs w:val="24"/>
        </w:rPr>
        <w:t xml:space="preserve"> consigo a</w:t>
      </w:r>
      <w:r w:rsidR="00BF595B" w:rsidRPr="00BC3C0F">
        <w:rPr>
          <w:rFonts w:ascii="Arial" w:eastAsiaTheme="minorHAnsi" w:hAnsi="Arial" w:cs="Arial"/>
          <w:iCs/>
          <w:szCs w:val="24"/>
        </w:rPr>
        <w:t xml:space="preserve"> la aceptación de las c</w:t>
      </w:r>
      <w:r w:rsidR="001F2CB7">
        <w:rPr>
          <w:rFonts w:ascii="Arial" w:eastAsiaTheme="minorHAnsi" w:hAnsi="Arial" w:cs="Arial"/>
          <w:iCs/>
          <w:szCs w:val="24"/>
        </w:rPr>
        <w:t xml:space="preserve">ondiciones propias del régimen </w:t>
      </w:r>
      <w:r>
        <w:rPr>
          <w:rFonts w:ascii="Arial" w:eastAsiaTheme="minorHAnsi" w:hAnsi="Arial" w:cs="Arial"/>
          <w:iCs/>
          <w:szCs w:val="24"/>
        </w:rPr>
        <w:t>conforme a lo señalado</w:t>
      </w:r>
      <w:r w:rsidR="00BF595B" w:rsidRPr="00BC3C0F">
        <w:rPr>
          <w:rFonts w:ascii="Arial" w:eastAsiaTheme="minorHAnsi" w:hAnsi="Arial" w:cs="Arial"/>
          <w:iCs/>
          <w:szCs w:val="24"/>
        </w:rPr>
        <w:t xml:space="preserve"> en el artículo 11 Decreto 692/94</w:t>
      </w:r>
      <w:r w:rsidR="005F26C0" w:rsidRPr="00BC3C0F">
        <w:rPr>
          <w:rFonts w:ascii="Arial" w:eastAsiaTheme="minorHAnsi" w:hAnsi="Arial" w:cs="Arial"/>
          <w:iCs/>
          <w:szCs w:val="24"/>
        </w:rPr>
        <w:t xml:space="preserve"> al decir “</w:t>
      </w:r>
      <w:r w:rsidR="005F26C0" w:rsidRPr="00BC3C0F">
        <w:rPr>
          <w:rFonts w:ascii="Arial" w:eastAsiaTheme="minorHAnsi" w:hAnsi="Arial" w:cs="Arial"/>
          <w:i/>
          <w:iCs/>
          <w:szCs w:val="24"/>
        </w:rPr>
        <w:t>la selección del régimen implica la aceptación de las condiciones propias de éste (…)”</w:t>
      </w:r>
      <w:r w:rsidR="00BF595B" w:rsidRPr="00BC3C0F">
        <w:rPr>
          <w:rFonts w:ascii="Arial" w:eastAsiaTheme="minorHAnsi" w:hAnsi="Arial" w:cs="Arial"/>
          <w:i/>
          <w:iCs/>
          <w:szCs w:val="24"/>
        </w:rPr>
        <w:t>,</w:t>
      </w:r>
      <w:r w:rsidR="00BF595B" w:rsidRPr="00BC3C0F">
        <w:rPr>
          <w:rFonts w:ascii="Arial" w:eastAsiaTheme="minorHAnsi" w:hAnsi="Arial" w:cs="Arial"/>
          <w:iCs/>
          <w:szCs w:val="24"/>
        </w:rPr>
        <w:t xml:space="preserve"> lo que necesariamente supone que se le brindó la información necesaria para llegar a adoptar </w:t>
      </w:r>
      <w:r w:rsidR="001F2CB7">
        <w:rPr>
          <w:rFonts w:ascii="Arial" w:eastAsiaTheme="minorHAnsi" w:hAnsi="Arial" w:cs="Arial"/>
          <w:iCs/>
          <w:szCs w:val="24"/>
        </w:rPr>
        <w:t>tal decisión;</w:t>
      </w:r>
      <w:r>
        <w:rPr>
          <w:rFonts w:ascii="Arial" w:eastAsiaTheme="minorHAnsi" w:hAnsi="Arial" w:cs="Arial"/>
          <w:iCs/>
          <w:szCs w:val="24"/>
        </w:rPr>
        <w:t xml:space="preserve"> pues la regla de la experiencia enseña</w:t>
      </w:r>
      <w:r w:rsidR="001F2CB7">
        <w:rPr>
          <w:rFonts w:ascii="Arial" w:eastAsiaTheme="minorHAnsi" w:hAnsi="Arial" w:cs="Arial"/>
          <w:iCs/>
          <w:szCs w:val="24"/>
        </w:rPr>
        <w:t xml:space="preserve"> que se acepta lo que se conoce;</w:t>
      </w:r>
      <w:r>
        <w:rPr>
          <w:rFonts w:ascii="Arial" w:eastAsiaTheme="minorHAnsi" w:hAnsi="Arial" w:cs="Arial"/>
          <w:iCs/>
          <w:szCs w:val="24"/>
        </w:rPr>
        <w:t xml:space="preserve"> de tal manera que esa firma constituye un indicio de que la AFP,  a través de sus asesores</w:t>
      </w:r>
      <w:r w:rsidR="00DE009E">
        <w:rPr>
          <w:rFonts w:ascii="Arial" w:eastAsiaTheme="minorHAnsi" w:hAnsi="Arial" w:cs="Arial"/>
          <w:iCs/>
          <w:szCs w:val="24"/>
        </w:rPr>
        <w:t>,</w:t>
      </w:r>
      <w:r>
        <w:rPr>
          <w:rFonts w:ascii="Arial" w:eastAsiaTheme="minorHAnsi" w:hAnsi="Arial" w:cs="Arial"/>
          <w:iCs/>
          <w:szCs w:val="24"/>
        </w:rPr>
        <w:t xml:space="preserve"> di</w:t>
      </w:r>
      <w:r w:rsidR="00DE009E">
        <w:rPr>
          <w:rFonts w:ascii="Arial" w:eastAsiaTheme="minorHAnsi" w:hAnsi="Arial" w:cs="Arial"/>
          <w:iCs/>
          <w:szCs w:val="24"/>
        </w:rPr>
        <w:t>o</w:t>
      </w:r>
      <w:r>
        <w:rPr>
          <w:rFonts w:ascii="Arial" w:eastAsiaTheme="minorHAnsi" w:hAnsi="Arial" w:cs="Arial"/>
          <w:iCs/>
          <w:szCs w:val="24"/>
        </w:rPr>
        <w:t xml:space="preserve"> cumplimient</w:t>
      </w:r>
      <w:r w:rsidR="00997F8F">
        <w:rPr>
          <w:rFonts w:ascii="Arial" w:eastAsiaTheme="minorHAnsi" w:hAnsi="Arial" w:cs="Arial"/>
          <w:iCs/>
          <w:szCs w:val="24"/>
        </w:rPr>
        <w:t>o al</w:t>
      </w:r>
      <w:r w:rsidR="001F2CB7">
        <w:rPr>
          <w:rFonts w:ascii="Arial" w:eastAsiaTheme="minorHAnsi" w:hAnsi="Arial" w:cs="Arial"/>
          <w:iCs/>
          <w:szCs w:val="24"/>
        </w:rPr>
        <w:t xml:space="preserve"> demandante de </w:t>
      </w:r>
      <w:r w:rsidR="006061C3">
        <w:rPr>
          <w:rFonts w:ascii="Arial" w:eastAsiaTheme="minorHAnsi" w:hAnsi="Arial" w:cs="Arial"/>
          <w:iCs/>
          <w:szCs w:val="24"/>
        </w:rPr>
        <w:t>informarlo</w:t>
      </w:r>
      <w:r w:rsidR="00DE009E">
        <w:rPr>
          <w:rFonts w:ascii="Arial" w:eastAsiaTheme="minorHAnsi" w:hAnsi="Arial" w:cs="Arial"/>
          <w:iCs/>
          <w:szCs w:val="24"/>
        </w:rPr>
        <w:t>.</w:t>
      </w:r>
    </w:p>
    <w:p w14:paraId="3DD7BCF8" w14:textId="77777777" w:rsidR="00B52687" w:rsidRPr="00BC3C0F" w:rsidRDefault="00B52687" w:rsidP="00BC2917">
      <w:pPr>
        <w:jc w:val="both"/>
        <w:rPr>
          <w:rFonts w:ascii="Arial" w:eastAsiaTheme="minorHAnsi" w:hAnsi="Arial" w:cs="Arial"/>
          <w:iCs/>
          <w:szCs w:val="24"/>
        </w:rPr>
      </w:pPr>
    </w:p>
    <w:p w14:paraId="0D1427CB" w14:textId="64358FFB" w:rsidR="00BF595B" w:rsidRDefault="00FF0A8F" w:rsidP="00BF595B">
      <w:pPr>
        <w:spacing w:line="276" w:lineRule="auto"/>
        <w:jc w:val="both"/>
        <w:rPr>
          <w:rFonts w:ascii="Arial" w:eastAsiaTheme="minorHAnsi" w:hAnsi="Arial" w:cs="Arial"/>
          <w:iCs/>
          <w:szCs w:val="24"/>
        </w:rPr>
      </w:pPr>
      <w:r w:rsidRPr="00BC3C0F">
        <w:rPr>
          <w:rFonts w:ascii="Arial" w:eastAsiaTheme="minorHAnsi" w:hAnsi="Arial" w:cs="Arial"/>
          <w:iCs/>
          <w:szCs w:val="24"/>
        </w:rPr>
        <w:t xml:space="preserve">Por lo mismo, </w:t>
      </w:r>
      <w:r w:rsidR="00BF595B" w:rsidRPr="00BC3C0F">
        <w:rPr>
          <w:rFonts w:ascii="Arial" w:eastAsiaTheme="minorHAnsi" w:hAnsi="Arial" w:cs="Arial"/>
          <w:iCs/>
          <w:szCs w:val="24"/>
        </w:rPr>
        <w:t xml:space="preserve">no </w:t>
      </w:r>
      <w:r w:rsidR="00997F8F">
        <w:rPr>
          <w:rFonts w:ascii="Arial" w:eastAsiaTheme="minorHAnsi" w:hAnsi="Arial" w:cs="Arial"/>
          <w:iCs/>
          <w:szCs w:val="24"/>
        </w:rPr>
        <w:t xml:space="preserve">se comparte lo afirmado por </w:t>
      </w:r>
      <w:r w:rsidR="00BF595B" w:rsidRPr="00BC3C0F">
        <w:rPr>
          <w:rFonts w:ascii="Arial" w:eastAsiaTheme="minorHAnsi" w:hAnsi="Arial" w:cs="Arial"/>
          <w:iCs/>
          <w:szCs w:val="24"/>
        </w:rPr>
        <w:t xml:space="preserve">la SCL de la CSJ </w:t>
      </w:r>
      <w:r w:rsidR="00997F8F">
        <w:rPr>
          <w:rFonts w:ascii="Arial" w:eastAsiaTheme="minorHAnsi" w:hAnsi="Arial" w:cs="Arial"/>
          <w:iCs/>
          <w:szCs w:val="24"/>
        </w:rPr>
        <w:t xml:space="preserve">de </w:t>
      </w:r>
      <w:r w:rsidR="00BF595B" w:rsidRPr="00BC3C0F">
        <w:rPr>
          <w:rFonts w:ascii="Arial" w:eastAsiaTheme="minorHAnsi" w:hAnsi="Arial" w:cs="Arial"/>
          <w:iCs/>
          <w:szCs w:val="24"/>
        </w:rPr>
        <w:t xml:space="preserve">que </w:t>
      </w:r>
      <w:r w:rsidR="00997F8F">
        <w:rPr>
          <w:rFonts w:ascii="Arial" w:eastAsiaTheme="minorHAnsi" w:hAnsi="Arial" w:cs="Arial"/>
          <w:iCs/>
          <w:szCs w:val="24"/>
        </w:rPr>
        <w:t xml:space="preserve">éste </w:t>
      </w:r>
      <w:r w:rsidR="00BF595B" w:rsidRPr="00BC3C0F">
        <w:rPr>
          <w:rFonts w:ascii="Arial" w:eastAsiaTheme="minorHAnsi" w:hAnsi="Arial" w:cs="Arial"/>
          <w:iCs/>
          <w:szCs w:val="24"/>
        </w:rPr>
        <w:t xml:space="preserve">solo da cuenta de que fue libre y voluntaria, pues con ello se desconoce el artículo antes referido y las reglas que se fijaron </w:t>
      </w:r>
      <w:r w:rsidR="00DE009E">
        <w:rPr>
          <w:rFonts w:ascii="Arial" w:eastAsiaTheme="minorHAnsi" w:hAnsi="Arial" w:cs="Arial"/>
          <w:iCs/>
          <w:szCs w:val="24"/>
        </w:rPr>
        <w:t>para cumplir tal acto jurídico.</w:t>
      </w:r>
    </w:p>
    <w:p w14:paraId="3279FD75" w14:textId="77777777" w:rsidR="00EC34A9" w:rsidRPr="00BC3C0F" w:rsidRDefault="00EC34A9" w:rsidP="00BC2917">
      <w:pPr>
        <w:jc w:val="both"/>
        <w:rPr>
          <w:rFonts w:ascii="Arial" w:eastAsiaTheme="minorHAnsi" w:hAnsi="Arial" w:cs="Arial"/>
          <w:iCs/>
          <w:szCs w:val="24"/>
        </w:rPr>
      </w:pPr>
    </w:p>
    <w:p w14:paraId="2BD4B5BD" w14:textId="75593E24" w:rsidR="005C11ED" w:rsidRDefault="00DE009E" w:rsidP="00BF595B">
      <w:pPr>
        <w:spacing w:line="276" w:lineRule="auto"/>
        <w:jc w:val="both"/>
        <w:rPr>
          <w:rFonts w:ascii="Arial" w:eastAsiaTheme="minorHAnsi" w:hAnsi="Arial" w:cs="Arial"/>
          <w:iCs/>
          <w:szCs w:val="24"/>
        </w:rPr>
      </w:pPr>
      <w:r>
        <w:rPr>
          <w:rFonts w:ascii="Arial" w:eastAsiaTheme="minorHAnsi" w:hAnsi="Arial" w:cs="Arial"/>
          <w:iCs/>
          <w:szCs w:val="24"/>
        </w:rPr>
        <w:t xml:space="preserve">Pero además de </w:t>
      </w:r>
      <w:r w:rsidR="00AA6804">
        <w:rPr>
          <w:rFonts w:ascii="Arial" w:eastAsiaTheme="minorHAnsi" w:hAnsi="Arial" w:cs="Arial"/>
          <w:iCs/>
          <w:szCs w:val="24"/>
        </w:rPr>
        <w:t>lo dicho</w:t>
      </w:r>
      <w:r w:rsidR="00EC34A9" w:rsidRPr="00BC3C0F">
        <w:rPr>
          <w:rFonts w:ascii="Arial" w:eastAsiaTheme="minorHAnsi" w:hAnsi="Arial" w:cs="Arial"/>
          <w:iCs/>
          <w:szCs w:val="24"/>
        </w:rPr>
        <w:t xml:space="preserve">, </w:t>
      </w:r>
      <w:r w:rsidR="00FD4F09">
        <w:rPr>
          <w:rFonts w:ascii="Arial" w:eastAsiaTheme="minorHAnsi" w:hAnsi="Arial" w:cs="Arial"/>
          <w:iCs/>
          <w:szCs w:val="24"/>
        </w:rPr>
        <w:t xml:space="preserve">obra el interrogatorio </w:t>
      </w:r>
      <w:r w:rsidR="008F07C2">
        <w:rPr>
          <w:rFonts w:ascii="Arial" w:eastAsiaTheme="minorHAnsi" w:hAnsi="Arial" w:cs="Arial"/>
          <w:iCs/>
          <w:szCs w:val="24"/>
        </w:rPr>
        <w:t>del</w:t>
      </w:r>
      <w:r w:rsidR="005E3D6A">
        <w:rPr>
          <w:rFonts w:ascii="Arial" w:eastAsiaTheme="minorHAnsi" w:hAnsi="Arial" w:cs="Arial"/>
          <w:iCs/>
          <w:szCs w:val="24"/>
        </w:rPr>
        <w:t xml:space="preserve"> demandante en el que</w:t>
      </w:r>
      <w:r w:rsidR="005C11ED">
        <w:rPr>
          <w:rFonts w:ascii="Arial" w:eastAsiaTheme="minorHAnsi" w:hAnsi="Arial" w:cs="Arial"/>
          <w:iCs/>
          <w:szCs w:val="24"/>
        </w:rPr>
        <w:t xml:space="preserve"> </w:t>
      </w:r>
      <w:r w:rsidR="005E3D6A">
        <w:rPr>
          <w:rFonts w:ascii="Arial" w:eastAsiaTheme="minorHAnsi" w:hAnsi="Arial" w:cs="Arial"/>
          <w:iCs/>
          <w:szCs w:val="24"/>
        </w:rPr>
        <w:t xml:space="preserve">afirmó </w:t>
      </w:r>
      <w:r w:rsidR="008F07C2">
        <w:rPr>
          <w:rFonts w:ascii="Arial" w:eastAsiaTheme="minorHAnsi" w:hAnsi="Arial" w:cs="Arial"/>
          <w:iCs/>
          <w:szCs w:val="24"/>
        </w:rPr>
        <w:t>que</w:t>
      </w:r>
      <w:r w:rsidR="005C11ED">
        <w:rPr>
          <w:rFonts w:ascii="Arial" w:eastAsiaTheme="minorHAnsi" w:hAnsi="Arial" w:cs="Arial"/>
          <w:iCs/>
          <w:szCs w:val="24"/>
        </w:rPr>
        <w:t xml:space="preserve"> sí recibió información, pues la asesora lo visitó en su lugar de trabajo, reunión durante la cual el demandante aseveró que para el momento de la asesoría la información </w:t>
      </w:r>
      <w:r w:rsidR="002D70D6">
        <w:rPr>
          <w:rFonts w:ascii="Arial" w:eastAsiaTheme="minorHAnsi" w:hAnsi="Arial" w:cs="Arial"/>
          <w:iCs/>
          <w:szCs w:val="24"/>
        </w:rPr>
        <w:t xml:space="preserve">recibida </w:t>
      </w:r>
      <w:r w:rsidR="005C11ED">
        <w:rPr>
          <w:rFonts w:ascii="Arial" w:eastAsiaTheme="minorHAnsi" w:hAnsi="Arial" w:cs="Arial"/>
          <w:iCs/>
          <w:szCs w:val="24"/>
        </w:rPr>
        <w:t xml:space="preserve">había sido suficiente para tomar la decisión de trasladarse. Concretamente explicó que en dicho fondo tendría buenos dividendos y que su pensión sería buena, además, aseguró que tal decisión estuvo mediada también porque el ISS se acabaría. Por último, </w:t>
      </w:r>
      <w:r w:rsidR="00997F8F">
        <w:rPr>
          <w:rFonts w:ascii="Arial" w:eastAsiaTheme="minorHAnsi" w:hAnsi="Arial" w:cs="Arial"/>
          <w:iCs/>
          <w:szCs w:val="24"/>
        </w:rPr>
        <w:t>dijo</w:t>
      </w:r>
      <w:r w:rsidR="005C11ED">
        <w:rPr>
          <w:rFonts w:ascii="Arial" w:eastAsiaTheme="minorHAnsi" w:hAnsi="Arial" w:cs="Arial"/>
          <w:iCs/>
          <w:szCs w:val="24"/>
        </w:rPr>
        <w:t xml:space="preserve"> que en la asesoría solamente se le habían informado las ventajas, pero no las desventajas</w:t>
      </w:r>
      <w:r w:rsidR="00790F47">
        <w:rPr>
          <w:rFonts w:ascii="Arial" w:eastAsiaTheme="minorHAnsi" w:hAnsi="Arial" w:cs="Arial"/>
          <w:iCs/>
          <w:szCs w:val="24"/>
        </w:rPr>
        <w:t xml:space="preserve">; </w:t>
      </w:r>
      <w:r w:rsidR="00AA6804">
        <w:rPr>
          <w:rFonts w:ascii="Arial" w:eastAsiaTheme="minorHAnsi" w:hAnsi="Arial" w:cs="Arial"/>
          <w:iCs/>
          <w:szCs w:val="24"/>
        </w:rPr>
        <w:t>lo que configura una</w:t>
      </w:r>
      <w:r w:rsidR="00790F47">
        <w:rPr>
          <w:rFonts w:ascii="Arial" w:eastAsiaTheme="minorHAnsi" w:hAnsi="Arial" w:cs="Arial"/>
          <w:iCs/>
          <w:szCs w:val="24"/>
        </w:rPr>
        <w:t xml:space="preserve"> confesión de que fue informado de las características y condiciones del sistema</w:t>
      </w:r>
      <w:r w:rsidR="00AA6804">
        <w:rPr>
          <w:rFonts w:ascii="Arial" w:eastAsiaTheme="minorHAnsi" w:hAnsi="Arial" w:cs="Arial"/>
          <w:iCs/>
          <w:szCs w:val="24"/>
        </w:rPr>
        <w:t xml:space="preserve"> y lo único faltante fueron las desventajas</w:t>
      </w:r>
      <w:r w:rsidR="002D70D6">
        <w:rPr>
          <w:rFonts w:ascii="Arial" w:eastAsiaTheme="minorHAnsi" w:hAnsi="Arial" w:cs="Arial"/>
          <w:iCs/>
          <w:szCs w:val="24"/>
        </w:rPr>
        <w:t xml:space="preserve">. </w:t>
      </w:r>
    </w:p>
    <w:p w14:paraId="0F5DB16F" w14:textId="77777777" w:rsidR="005C11ED" w:rsidRDefault="005C11ED" w:rsidP="00BF595B">
      <w:pPr>
        <w:spacing w:line="276" w:lineRule="auto"/>
        <w:jc w:val="both"/>
        <w:rPr>
          <w:rFonts w:ascii="Arial" w:eastAsiaTheme="minorHAnsi" w:hAnsi="Arial" w:cs="Arial"/>
          <w:iCs/>
          <w:szCs w:val="24"/>
        </w:rPr>
      </w:pPr>
    </w:p>
    <w:p w14:paraId="2D1FAAB7" w14:textId="011ABAB4" w:rsidR="00D13078" w:rsidRPr="002D70D6" w:rsidRDefault="00D13078" w:rsidP="00FE6E7A">
      <w:pPr>
        <w:spacing w:line="276" w:lineRule="auto"/>
        <w:jc w:val="both"/>
        <w:rPr>
          <w:rFonts w:ascii="Arial" w:hAnsi="Arial" w:cs="Arial"/>
          <w:szCs w:val="24"/>
        </w:rPr>
      </w:pPr>
      <w:r>
        <w:rPr>
          <w:rFonts w:ascii="Arial" w:eastAsiaTheme="minorHAnsi" w:hAnsi="Arial" w:cs="Arial"/>
          <w:iCs/>
          <w:szCs w:val="24"/>
        </w:rPr>
        <w:t>Interrogatorio del que se</w:t>
      </w:r>
      <w:r w:rsidRPr="00BC3C0F">
        <w:rPr>
          <w:rFonts w:ascii="Arial" w:eastAsiaTheme="minorHAnsi" w:hAnsi="Arial" w:cs="Arial"/>
          <w:iCs/>
          <w:szCs w:val="24"/>
        </w:rPr>
        <w:t xml:space="preserve"> desprende que</w:t>
      </w:r>
      <w:r w:rsidR="002D70D6">
        <w:rPr>
          <w:rFonts w:ascii="Arial" w:eastAsiaTheme="minorHAnsi" w:hAnsi="Arial" w:cs="Arial"/>
          <w:iCs/>
          <w:szCs w:val="24"/>
        </w:rPr>
        <w:t xml:space="preserve"> en efecto Álvaro Alzate López sí recibió información para la época del traslado, y que la misma había sido a su juicio suficiente para trasladarse en 1997</w:t>
      </w:r>
      <w:r>
        <w:rPr>
          <w:rFonts w:ascii="Arial" w:eastAsiaTheme="minorHAnsi" w:hAnsi="Arial" w:cs="Arial"/>
          <w:iCs/>
          <w:szCs w:val="24"/>
        </w:rPr>
        <w:t xml:space="preserve">, haciendo hincapié en </w:t>
      </w:r>
      <w:r w:rsidR="00FE6435">
        <w:rPr>
          <w:rFonts w:ascii="Arial" w:eastAsiaTheme="minorHAnsi" w:hAnsi="Arial" w:cs="Arial"/>
          <w:iCs/>
          <w:szCs w:val="24"/>
        </w:rPr>
        <w:t>los dividendos del fondo</w:t>
      </w:r>
      <w:r w:rsidR="002D70D6">
        <w:rPr>
          <w:rFonts w:ascii="Arial" w:eastAsiaTheme="minorHAnsi" w:hAnsi="Arial" w:cs="Arial"/>
          <w:iCs/>
          <w:szCs w:val="24"/>
        </w:rPr>
        <w:t xml:space="preserve">, y si bien </w:t>
      </w:r>
      <w:r>
        <w:rPr>
          <w:rFonts w:ascii="Arial" w:eastAsiaTheme="minorHAnsi" w:hAnsi="Arial" w:cs="Arial"/>
          <w:iCs/>
          <w:szCs w:val="24"/>
        </w:rPr>
        <w:t>el dema</w:t>
      </w:r>
      <w:r w:rsidR="002A1798">
        <w:rPr>
          <w:rFonts w:ascii="Arial" w:eastAsiaTheme="minorHAnsi" w:hAnsi="Arial" w:cs="Arial"/>
          <w:iCs/>
          <w:szCs w:val="24"/>
        </w:rPr>
        <w:t xml:space="preserve">ndante reprochó que </w:t>
      </w:r>
      <w:r w:rsidR="002D70D6">
        <w:rPr>
          <w:rFonts w:ascii="Arial" w:eastAsiaTheme="minorHAnsi" w:hAnsi="Arial" w:cs="Arial"/>
          <w:iCs/>
          <w:szCs w:val="24"/>
        </w:rPr>
        <w:t>el asesor le anunció</w:t>
      </w:r>
      <w:r>
        <w:rPr>
          <w:rFonts w:ascii="Arial" w:eastAsiaTheme="minorHAnsi" w:hAnsi="Arial" w:cs="Arial"/>
          <w:iCs/>
          <w:szCs w:val="24"/>
        </w:rPr>
        <w:t xml:space="preserve"> que el ISS desaparecería, </w:t>
      </w:r>
      <w:r w:rsidR="002D70D6">
        <w:rPr>
          <w:rFonts w:ascii="Arial" w:eastAsiaTheme="minorHAnsi" w:hAnsi="Arial" w:cs="Arial"/>
          <w:iCs/>
          <w:szCs w:val="24"/>
        </w:rPr>
        <w:t xml:space="preserve">dicha </w:t>
      </w:r>
      <w:r>
        <w:rPr>
          <w:rFonts w:ascii="Arial" w:eastAsiaTheme="minorHAnsi" w:hAnsi="Arial" w:cs="Arial"/>
          <w:iCs/>
          <w:szCs w:val="24"/>
        </w:rPr>
        <w:t xml:space="preserve">información no puede considerarse engañosa, pues para nadie es un secreto que por la entrada en operación de los fondos privados y la </w:t>
      </w:r>
      <w:r w:rsidR="002C611F" w:rsidRPr="00BC2917">
        <w:rPr>
          <w:rFonts w:ascii="Arial" w:hAnsi="Arial" w:cs="Arial"/>
          <w:color w:val="000000" w:themeColor="text1"/>
          <w:spacing w:val="-6"/>
          <w:szCs w:val="24"/>
          <w:lang w:val="es-ES"/>
        </w:rPr>
        <w:t xml:space="preserve"> </w:t>
      </w:r>
      <w:r w:rsidR="002C611F" w:rsidRPr="00D13078">
        <w:rPr>
          <w:rFonts w:ascii="Arial" w:hAnsi="Arial" w:cs="Arial"/>
          <w:color w:val="000000" w:themeColor="text1"/>
          <w:szCs w:val="24"/>
          <w:lang w:val="es-ES"/>
        </w:rPr>
        <w:t>competitividad que se emprendió entre esas entidades, financieramente el ISS se vio afectado</w:t>
      </w:r>
      <w:r w:rsidRPr="00D13078">
        <w:rPr>
          <w:rFonts w:ascii="Arial" w:hAnsi="Arial" w:cs="Arial"/>
          <w:color w:val="000000" w:themeColor="text1"/>
          <w:szCs w:val="24"/>
          <w:lang w:val="es-ES"/>
        </w:rPr>
        <w:t>.</w:t>
      </w:r>
    </w:p>
    <w:p w14:paraId="14A2E450" w14:textId="77777777" w:rsidR="00D13078" w:rsidRPr="00D13078" w:rsidRDefault="00D13078" w:rsidP="00FE6E7A">
      <w:pPr>
        <w:spacing w:line="276" w:lineRule="auto"/>
        <w:jc w:val="both"/>
        <w:rPr>
          <w:rFonts w:ascii="Arial" w:hAnsi="Arial" w:cs="Arial"/>
          <w:color w:val="000000" w:themeColor="text1"/>
          <w:szCs w:val="24"/>
          <w:lang w:val="es-ES"/>
        </w:rPr>
      </w:pPr>
    </w:p>
    <w:p w14:paraId="2AB20538" w14:textId="5704C5E4" w:rsidR="002D70D6" w:rsidRDefault="00D13078" w:rsidP="00FE6E7A">
      <w:pPr>
        <w:spacing w:line="276" w:lineRule="auto"/>
        <w:jc w:val="both"/>
        <w:rPr>
          <w:rFonts w:ascii="Arial" w:hAnsi="Arial" w:cs="Arial"/>
          <w:color w:val="000000" w:themeColor="text1"/>
          <w:szCs w:val="24"/>
          <w:lang w:val="es-ES"/>
        </w:rPr>
      </w:pPr>
      <w:r w:rsidRPr="00D13078">
        <w:rPr>
          <w:rFonts w:ascii="Arial" w:hAnsi="Arial" w:cs="Arial"/>
          <w:color w:val="000000" w:themeColor="text1"/>
          <w:szCs w:val="24"/>
          <w:lang w:val="es-ES"/>
        </w:rPr>
        <w:t>Por otr</w:t>
      </w:r>
      <w:r w:rsidR="002D70D6">
        <w:rPr>
          <w:rFonts w:ascii="Arial" w:hAnsi="Arial" w:cs="Arial"/>
          <w:color w:val="000000" w:themeColor="text1"/>
          <w:szCs w:val="24"/>
          <w:lang w:val="es-ES"/>
        </w:rPr>
        <w:t xml:space="preserve">o lado, es menester resaltar que si </w:t>
      </w:r>
      <w:r w:rsidR="002D70D6" w:rsidRPr="00AD294E">
        <w:rPr>
          <w:rFonts w:ascii="Arial" w:hAnsi="Arial" w:cs="Arial"/>
          <w:color w:val="000000" w:themeColor="text1"/>
          <w:szCs w:val="24"/>
          <w:lang w:val="es-ES"/>
        </w:rPr>
        <w:t xml:space="preserve">bien el demandante </w:t>
      </w:r>
      <w:r w:rsidR="00A964DC" w:rsidRPr="00AD294E">
        <w:rPr>
          <w:rFonts w:ascii="Arial" w:hAnsi="Arial" w:cs="Arial"/>
          <w:color w:val="000000" w:themeColor="text1"/>
          <w:szCs w:val="24"/>
          <w:lang w:val="es-ES"/>
        </w:rPr>
        <w:t>aseveró</w:t>
      </w:r>
      <w:r w:rsidR="002D70D6" w:rsidRPr="00AD294E">
        <w:rPr>
          <w:rFonts w:ascii="Arial" w:hAnsi="Arial" w:cs="Arial"/>
          <w:color w:val="000000" w:themeColor="text1"/>
          <w:szCs w:val="24"/>
          <w:lang w:val="es-ES"/>
        </w:rPr>
        <w:t xml:space="preserve"> que el asesor había omitido informarle sobre las desventaj</w:t>
      </w:r>
      <w:r w:rsidR="00997F8F" w:rsidRPr="00AD294E">
        <w:rPr>
          <w:rFonts w:ascii="Arial" w:hAnsi="Arial" w:cs="Arial"/>
          <w:color w:val="000000" w:themeColor="text1"/>
          <w:szCs w:val="24"/>
          <w:lang w:val="es-ES"/>
        </w:rPr>
        <w:t>as del régimen, ello se desvanece en tanto que</w:t>
      </w:r>
      <w:r w:rsidR="002D70D6" w:rsidRPr="00AD294E">
        <w:rPr>
          <w:rFonts w:ascii="Arial" w:hAnsi="Arial" w:cs="Arial"/>
          <w:color w:val="000000" w:themeColor="text1"/>
          <w:szCs w:val="24"/>
          <w:lang w:val="es-ES"/>
        </w:rPr>
        <w:t xml:space="preserve"> Álvaro Alzate López permaneció en este a pesar de que Protección S.A. realizó una re asesoría pensional al borde del</w:t>
      </w:r>
      <w:r w:rsidR="002D70D6">
        <w:rPr>
          <w:rFonts w:ascii="Arial" w:hAnsi="Arial" w:cs="Arial"/>
          <w:color w:val="000000" w:themeColor="text1"/>
          <w:szCs w:val="24"/>
          <w:lang w:val="es-ES"/>
        </w:rPr>
        <w:t xml:space="preserve"> límite temporal de los 10 años para trasladarse entre regímenes pensionales. </w:t>
      </w:r>
    </w:p>
    <w:p w14:paraId="03C38616" w14:textId="77777777" w:rsidR="002D70D6" w:rsidRDefault="002D70D6" w:rsidP="00FE6E7A">
      <w:pPr>
        <w:spacing w:line="276" w:lineRule="auto"/>
        <w:jc w:val="both"/>
        <w:rPr>
          <w:rFonts w:ascii="Arial" w:hAnsi="Arial" w:cs="Arial"/>
          <w:color w:val="000000" w:themeColor="text1"/>
          <w:szCs w:val="24"/>
          <w:lang w:val="es-ES"/>
        </w:rPr>
      </w:pPr>
    </w:p>
    <w:p w14:paraId="1543C869" w14:textId="2323C366" w:rsidR="002D70D6" w:rsidRPr="00AD294E" w:rsidRDefault="00A964DC" w:rsidP="00FE6E7A">
      <w:pPr>
        <w:spacing w:line="276" w:lineRule="auto"/>
        <w:jc w:val="both"/>
        <w:rPr>
          <w:rFonts w:ascii="Arial" w:hAnsi="Arial" w:cs="Arial"/>
          <w:color w:val="000000" w:themeColor="text1"/>
          <w:szCs w:val="24"/>
          <w:lang w:val="es-ES"/>
        </w:rPr>
      </w:pPr>
      <w:r>
        <w:rPr>
          <w:rFonts w:ascii="Arial" w:hAnsi="Arial" w:cs="Arial"/>
          <w:color w:val="000000" w:themeColor="text1"/>
          <w:szCs w:val="24"/>
          <w:lang w:val="es-ES"/>
        </w:rPr>
        <w:t>Así,</w:t>
      </w:r>
      <w:r w:rsidR="002D70D6">
        <w:rPr>
          <w:rFonts w:ascii="Arial" w:hAnsi="Arial" w:cs="Arial"/>
          <w:color w:val="000000" w:themeColor="text1"/>
          <w:szCs w:val="24"/>
          <w:lang w:val="es-ES"/>
        </w:rPr>
        <w:t xml:space="preserve"> obra la “</w:t>
      </w:r>
      <w:proofErr w:type="spellStart"/>
      <w:r w:rsidR="002D70D6" w:rsidRPr="002D70D6">
        <w:rPr>
          <w:rFonts w:ascii="Arial" w:hAnsi="Arial" w:cs="Arial"/>
          <w:i/>
          <w:color w:val="000000" w:themeColor="text1"/>
          <w:szCs w:val="24"/>
          <w:lang w:val="es-ES"/>
        </w:rPr>
        <w:t>reasesoria</w:t>
      </w:r>
      <w:proofErr w:type="spellEnd"/>
      <w:r w:rsidR="002D70D6" w:rsidRPr="002D70D6">
        <w:rPr>
          <w:rFonts w:ascii="Arial" w:hAnsi="Arial" w:cs="Arial"/>
          <w:i/>
          <w:color w:val="000000" w:themeColor="text1"/>
          <w:szCs w:val="24"/>
          <w:lang w:val="es-ES"/>
        </w:rPr>
        <w:t xml:space="preserve"> pensional – fondo de</w:t>
      </w:r>
      <w:r w:rsidR="00DE5640">
        <w:rPr>
          <w:rFonts w:ascii="Arial" w:hAnsi="Arial" w:cs="Arial"/>
          <w:i/>
          <w:color w:val="000000" w:themeColor="text1"/>
          <w:szCs w:val="24"/>
          <w:lang w:val="es-ES"/>
        </w:rPr>
        <w:t xml:space="preserve"> </w:t>
      </w:r>
      <w:r w:rsidR="002D70D6" w:rsidRPr="002D70D6">
        <w:rPr>
          <w:rFonts w:ascii="Arial" w:hAnsi="Arial" w:cs="Arial"/>
          <w:i/>
          <w:color w:val="000000" w:themeColor="text1"/>
          <w:szCs w:val="24"/>
          <w:lang w:val="es-ES"/>
        </w:rPr>
        <w:t>pensiones obligatorias”</w:t>
      </w:r>
      <w:r w:rsidR="002D70D6">
        <w:rPr>
          <w:rFonts w:ascii="Arial" w:hAnsi="Arial" w:cs="Arial"/>
          <w:color w:val="000000" w:themeColor="text1"/>
          <w:szCs w:val="24"/>
          <w:lang w:val="es-ES"/>
        </w:rPr>
        <w:t xml:space="preserve"> (</w:t>
      </w:r>
      <w:proofErr w:type="spellStart"/>
      <w:r w:rsidR="002D70D6">
        <w:rPr>
          <w:rFonts w:ascii="Arial" w:hAnsi="Arial" w:cs="Arial"/>
          <w:color w:val="000000" w:themeColor="text1"/>
          <w:szCs w:val="24"/>
          <w:lang w:val="es-ES"/>
        </w:rPr>
        <w:t>fl</w:t>
      </w:r>
      <w:proofErr w:type="spellEnd"/>
      <w:r w:rsidR="002D70D6">
        <w:rPr>
          <w:rFonts w:ascii="Arial" w:hAnsi="Arial" w:cs="Arial"/>
          <w:color w:val="000000" w:themeColor="text1"/>
          <w:szCs w:val="24"/>
          <w:lang w:val="es-ES"/>
        </w:rPr>
        <w:t>. 108 c. 1), realizada por Protección S.A. el 17/01/2008, cuando el demandante tenía 51 años de edad</w:t>
      </w:r>
      <w:r>
        <w:rPr>
          <w:rFonts w:ascii="Arial" w:hAnsi="Arial" w:cs="Arial"/>
          <w:color w:val="000000" w:themeColor="text1"/>
          <w:szCs w:val="24"/>
          <w:lang w:val="es-ES"/>
        </w:rPr>
        <w:t>,</w:t>
      </w:r>
      <w:r w:rsidR="002D70D6">
        <w:rPr>
          <w:rFonts w:ascii="Arial" w:hAnsi="Arial" w:cs="Arial"/>
          <w:color w:val="000000" w:themeColor="text1"/>
          <w:szCs w:val="24"/>
          <w:lang w:val="es-ES"/>
        </w:rPr>
        <w:t xml:space="preserve"> en la que como resultado del cálculo realizado</w:t>
      </w:r>
      <w:r>
        <w:rPr>
          <w:rFonts w:ascii="Arial" w:hAnsi="Arial" w:cs="Arial"/>
          <w:color w:val="000000" w:themeColor="text1"/>
          <w:szCs w:val="24"/>
          <w:lang w:val="es-ES"/>
        </w:rPr>
        <w:t>,</w:t>
      </w:r>
      <w:r w:rsidR="002D70D6">
        <w:rPr>
          <w:rFonts w:ascii="Arial" w:hAnsi="Arial" w:cs="Arial"/>
          <w:color w:val="000000" w:themeColor="text1"/>
          <w:szCs w:val="24"/>
          <w:lang w:val="es-ES"/>
        </w:rPr>
        <w:t xml:space="preserve"> la AFP le indicó que no le convenía </w:t>
      </w:r>
      <w:r w:rsidR="002D70D6" w:rsidRPr="008348F6">
        <w:rPr>
          <w:rFonts w:ascii="Arial" w:hAnsi="Arial" w:cs="Arial"/>
          <w:color w:val="000000" w:themeColor="text1"/>
          <w:szCs w:val="24"/>
          <w:lang w:val="es-ES"/>
        </w:rPr>
        <w:t>quedarse en Protección S.A.; sin embargo</w:t>
      </w:r>
      <w:r w:rsidR="00007A08" w:rsidRPr="008348F6">
        <w:rPr>
          <w:rFonts w:ascii="Arial" w:hAnsi="Arial" w:cs="Arial"/>
          <w:color w:val="000000" w:themeColor="text1"/>
          <w:szCs w:val="24"/>
          <w:lang w:val="es-ES"/>
        </w:rPr>
        <w:t>, la decisión del afili</w:t>
      </w:r>
      <w:r w:rsidR="00997F8F" w:rsidRPr="008348F6">
        <w:rPr>
          <w:rFonts w:ascii="Arial" w:hAnsi="Arial" w:cs="Arial"/>
          <w:color w:val="000000" w:themeColor="text1"/>
          <w:szCs w:val="24"/>
          <w:lang w:val="es-ES"/>
        </w:rPr>
        <w:t>ado fue quedarse en protección,</w:t>
      </w:r>
      <w:r w:rsidR="00FE6435" w:rsidRPr="008348F6">
        <w:rPr>
          <w:rFonts w:ascii="Arial" w:hAnsi="Arial" w:cs="Arial"/>
          <w:color w:val="000000" w:themeColor="text1"/>
          <w:szCs w:val="24"/>
          <w:lang w:val="es-ES"/>
        </w:rPr>
        <w:t xml:space="preserve"> como se desprende</w:t>
      </w:r>
      <w:r w:rsidR="008348F6">
        <w:rPr>
          <w:rFonts w:ascii="Arial" w:hAnsi="Arial" w:cs="Arial"/>
          <w:color w:val="000000" w:themeColor="text1"/>
          <w:szCs w:val="24"/>
          <w:lang w:val="es-ES"/>
        </w:rPr>
        <w:t xml:space="preserve"> de</w:t>
      </w:r>
      <w:r w:rsidR="00FE6435" w:rsidRPr="008348F6">
        <w:rPr>
          <w:rFonts w:ascii="Arial" w:hAnsi="Arial" w:cs="Arial"/>
          <w:color w:val="000000" w:themeColor="text1"/>
          <w:szCs w:val="24"/>
          <w:lang w:val="es-ES"/>
        </w:rPr>
        <w:t xml:space="preserve"> la firma del documento, lo que </w:t>
      </w:r>
      <w:r w:rsidR="00997F8F" w:rsidRPr="008348F6">
        <w:rPr>
          <w:rFonts w:ascii="Arial" w:hAnsi="Arial" w:cs="Arial"/>
          <w:color w:val="000000" w:themeColor="text1"/>
          <w:szCs w:val="24"/>
          <w:lang w:val="es-ES"/>
        </w:rPr>
        <w:t xml:space="preserve">permite inferir que para su suscripción </w:t>
      </w:r>
      <w:r w:rsidR="007577C1" w:rsidRPr="008348F6">
        <w:rPr>
          <w:rFonts w:ascii="Arial" w:hAnsi="Arial" w:cs="Arial"/>
          <w:color w:val="000000" w:themeColor="text1"/>
          <w:szCs w:val="24"/>
          <w:lang w:val="es-ES"/>
        </w:rPr>
        <w:t xml:space="preserve">el demandante </w:t>
      </w:r>
      <w:r w:rsidR="00997F8F" w:rsidRPr="008348F6">
        <w:rPr>
          <w:rFonts w:ascii="Arial" w:hAnsi="Arial" w:cs="Arial"/>
          <w:color w:val="000000" w:themeColor="text1"/>
          <w:szCs w:val="24"/>
          <w:lang w:val="es-ES"/>
        </w:rPr>
        <w:t>previamente</w:t>
      </w:r>
      <w:r w:rsidR="007577C1" w:rsidRPr="008348F6">
        <w:rPr>
          <w:rFonts w:ascii="Arial" w:hAnsi="Arial" w:cs="Arial"/>
          <w:color w:val="000000" w:themeColor="text1"/>
          <w:szCs w:val="24"/>
          <w:lang w:val="es-ES"/>
        </w:rPr>
        <w:t xml:space="preserve"> se reunió con </w:t>
      </w:r>
      <w:r w:rsidR="00FE6435" w:rsidRPr="008348F6">
        <w:rPr>
          <w:rFonts w:ascii="Arial" w:hAnsi="Arial" w:cs="Arial"/>
          <w:color w:val="000000" w:themeColor="text1"/>
          <w:szCs w:val="24"/>
          <w:lang w:val="es-ES"/>
        </w:rPr>
        <w:t>el</w:t>
      </w:r>
      <w:r w:rsidR="007577C1" w:rsidRPr="008348F6">
        <w:rPr>
          <w:rFonts w:ascii="Arial" w:hAnsi="Arial" w:cs="Arial"/>
          <w:color w:val="000000" w:themeColor="text1"/>
          <w:szCs w:val="24"/>
          <w:lang w:val="es-ES"/>
        </w:rPr>
        <w:t xml:space="preserve"> asesor de la AFP y</w:t>
      </w:r>
      <w:r w:rsidR="00997F8F" w:rsidRPr="008348F6">
        <w:rPr>
          <w:rFonts w:ascii="Arial" w:hAnsi="Arial" w:cs="Arial"/>
          <w:color w:val="000000" w:themeColor="text1"/>
          <w:szCs w:val="24"/>
          <w:lang w:val="es-ES"/>
        </w:rPr>
        <w:t xml:space="preserve"> recibió </w:t>
      </w:r>
      <w:r w:rsidR="007577C1" w:rsidRPr="008348F6">
        <w:rPr>
          <w:rFonts w:ascii="Arial" w:hAnsi="Arial" w:cs="Arial"/>
          <w:color w:val="000000" w:themeColor="text1"/>
          <w:szCs w:val="24"/>
          <w:lang w:val="es-ES"/>
        </w:rPr>
        <w:t xml:space="preserve">la </w:t>
      </w:r>
      <w:r w:rsidR="00997F8F" w:rsidRPr="008348F6">
        <w:rPr>
          <w:rFonts w:ascii="Arial" w:hAnsi="Arial" w:cs="Arial"/>
          <w:color w:val="000000" w:themeColor="text1"/>
          <w:szCs w:val="24"/>
          <w:lang w:val="es-ES"/>
        </w:rPr>
        <w:t xml:space="preserve">información </w:t>
      </w:r>
      <w:r w:rsidR="00FE6435" w:rsidRPr="008348F6">
        <w:rPr>
          <w:rFonts w:ascii="Arial" w:hAnsi="Arial" w:cs="Arial"/>
          <w:color w:val="000000" w:themeColor="text1"/>
          <w:szCs w:val="24"/>
          <w:lang w:val="es-ES"/>
        </w:rPr>
        <w:t>necesaria, pues de haber sido recibida por primera vez, específicamente las desventajas, la regla de la experiencia enseña que al sentirse engañado</w:t>
      </w:r>
      <w:r>
        <w:rPr>
          <w:rFonts w:ascii="Arial" w:hAnsi="Arial" w:cs="Arial"/>
          <w:color w:val="000000" w:themeColor="text1"/>
          <w:szCs w:val="24"/>
          <w:lang w:val="es-ES"/>
        </w:rPr>
        <w:t>, lo natural era abandonar tal</w:t>
      </w:r>
      <w:r w:rsidR="00FE6435" w:rsidRPr="008348F6">
        <w:rPr>
          <w:rFonts w:ascii="Arial" w:hAnsi="Arial" w:cs="Arial"/>
          <w:color w:val="000000" w:themeColor="text1"/>
          <w:szCs w:val="24"/>
          <w:lang w:val="es-ES"/>
        </w:rPr>
        <w:t xml:space="preserve"> entidad, máxime al ser informada de la inconveniencia de quedarse allí.</w:t>
      </w:r>
      <w:r w:rsidR="00FE6435">
        <w:rPr>
          <w:rFonts w:ascii="Arial" w:hAnsi="Arial" w:cs="Arial"/>
          <w:color w:val="000000" w:themeColor="text1"/>
          <w:szCs w:val="24"/>
          <w:lang w:val="es-ES"/>
        </w:rPr>
        <w:t xml:space="preserve"> </w:t>
      </w:r>
    </w:p>
    <w:p w14:paraId="432F2105" w14:textId="77777777" w:rsidR="002D70D6" w:rsidRPr="00AD294E" w:rsidRDefault="002D70D6" w:rsidP="00FE6E7A">
      <w:pPr>
        <w:spacing w:line="276" w:lineRule="auto"/>
        <w:jc w:val="both"/>
        <w:rPr>
          <w:rFonts w:ascii="Arial" w:hAnsi="Arial" w:cs="Arial"/>
          <w:color w:val="000000" w:themeColor="text1"/>
          <w:szCs w:val="24"/>
          <w:lang w:val="es-ES"/>
        </w:rPr>
      </w:pPr>
    </w:p>
    <w:p w14:paraId="715C8B46" w14:textId="176A1864" w:rsidR="002C611F" w:rsidRDefault="00790F47" w:rsidP="00007A08">
      <w:pPr>
        <w:spacing w:line="276" w:lineRule="auto"/>
        <w:jc w:val="both"/>
        <w:rPr>
          <w:rFonts w:ascii="Arial" w:hAnsi="Arial" w:cs="Arial"/>
          <w:szCs w:val="24"/>
        </w:rPr>
      </w:pPr>
      <w:r w:rsidRPr="00AD294E">
        <w:rPr>
          <w:rFonts w:ascii="Arial" w:hAnsi="Arial" w:cs="Arial"/>
          <w:szCs w:val="24"/>
        </w:rPr>
        <w:t>Además</w:t>
      </w:r>
      <w:r w:rsidR="00007A08" w:rsidRPr="00AD294E">
        <w:rPr>
          <w:rFonts w:ascii="Arial" w:hAnsi="Arial" w:cs="Arial"/>
          <w:szCs w:val="24"/>
        </w:rPr>
        <w:t>, milita en el</w:t>
      </w:r>
      <w:r w:rsidR="00007A08">
        <w:rPr>
          <w:rFonts w:ascii="Arial" w:hAnsi="Arial" w:cs="Arial"/>
          <w:szCs w:val="24"/>
        </w:rPr>
        <w:t xml:space="preserve"> expediente los trámites realizad</w:t>
      </w:r>
      <w:r w:rsidR="00E87344">
        <w:rPr>
          <w:rFonts w:ascii="Arial" w:hAnsi="Arial" w:cs="Arial"/>
          <w:szCs w:val="24"/>
        </w:rPr>
        <w:t>os por el afiliado en conjunto</w:t>
      </w:r>
      <w:r w:rsidR="00007A08">
        <w:rPr>
          <w:rFonts w:ascii="Arial" w:hAnsi="Arial" w:cs="Arial"/>
          <w:szCs w:val="24"/>
        </w:rPr>
        <w:t xml:space="preserve"> con la AFP para la obtención del bono pensional en los años 1999 y 2000 (fls. 86, 87, 89 </w:t>
      </w:r>
      <w:r w:rsidR="00007A08">
        <w:rPr>
          <w:rFonts w:ascii="Arial" w:hAnsi="Arial" w:cs="Arial"/>
          <w:szCs w:val="24"/>
        </w:rPr>
        <w:lastRenderedPageBreak/>
        <w:t xml:space="preserve">c. 1), de los que </w:t>
      </w:r>
      <w:r w:rsidR="005F50CF">
        <w:rPr>
          <w:rFonts w:ascii="Arial" w:hAnsi="Arial" w:cs="Arial"/>
          <w:szCs w:val="24"/>
        </w:rPr>
        <w:t xml:space="preserve">también </w:t>
      </w:r>
      <w:r w:rsidR="00007A08">
        <w:rPr>
          <w:rFonts w:ascii="Arial" w:hAnsi="Arial" w:cs="Arial"/>
          <w:szCs w:val="24"/>
        </w:rPr>
        <w:t xml:space="preserve">se desprende que el demandante incluso continuó </w:t>
      </w:r>
      <w:r w:rsidR="005F50CF">
        <w:rPr>
          <w:rFonts w:ascii="Arial" w:hAnsi="Arial" w:cs="Arial"/>
          <w:szCs w:val="24"/>
        </w:rPr>
        <w:t>en comunicación con</w:t>
      </w:r>
      <w:r w:rsidR="00007A08">
        <w:rPr>
          <w:rFonts w:ascii="Arial" w:hAnsi="Arial" w:cs="Arial"/>
          <w:szCs w:val="24"/>
        </w:rPr>
        <w:t xml:space="preserve"> su AFP, que evidencian su conformid</w:t>
      </w:r>
      <w:r w:rsidR="00997F8F">
        <w:rPr>
          <w:rFonts w:ascii="Arial" w:hAnsi="Arial" w:cs="Arial"/>
          <w:szCs w:val="24"/>
        </w:rPr>
        <w:t xml:space="preserve">ad con la afiliación realizada y de la información que se le dio. </w:t>
      </w:r>
    </w:p>
    <w:p w14:paraId="1BEB62E3" w14:textId="77777777" w:rsidR="00007A08" w:rsidRDefault="00007A08" w:rsidP="00BC2917">
      <w:pPr>
        <w:jc w:val="both"/>
        <w:rPr>
          <w:rFonts w:ascii="Arial" w:hAnsi="Arial" w:cs="Arial"/>
          <w:szCs w:val="24"/>
        </w:rPr>
      </w:pPr>
    </w:p>
    <w:p w14:paraId="22524A05" w14:textId="65B4ECEA" w:rsidR="00007A08" w:rsidRDefault="00831CF4" w:rsidP="00337864">
      <w:pPr>
        <w:spacing w:line="276" w:lineRule="auto"/>
        <w:ind w:right="49"/>
        <w:contextualSpacing/>
        <w:jc w:val="both"/>
        <w:rPr>
          <w:rFonts w:ascii="Arial" w:hAnsi="Arial" w:cs="Arial"/>
          <w:szCs w:val="24"/>
        </w:rPr>
      </w:pPr>
      <w:r>
        <w:rPr>
          <w:rFonts w:ascii="Arial" w:hAnsi="Arial" w:cs="Arial"/>
          <w:szCs w:val="24"/>
        </w:rPr>
        <w:t>Puestas de ese modo las cosas, y apreciad</w:t>
      </w:r>
      <w:r w:rsidR="007869F3">
        <w:rPr>
          <w:rFonts w:ascii="Arial" w:hAnsi="Arial" w:cs="Arial"/>
          <w:szCs w:val="24"/>
        </w:rPr>
        <w:t>as</w:t>
      </w:r>
      <w:r>
        <w:rPr>
          <w:rFonts w:ascii="Arial" w:hAnsi="Arial" w:cs="Arial"/>
          <w:szCs w:val="24"/>
        </w:rPr>
        <w:t xml:space="preserve"> en conjunto las anteriores probanzas, </w:t>
      </w:r>
      <w:r w:rsidR="00296A66" w:rsidRPr="00BC3C0F">
        <w:rPr>
          <w:rFonts w:ascii="Arial" w:hAnsi="Arial" w:cs="Arial"/>
          <w:szCs w:val="24"/>
        </w:rPr>
        <w:t xml:space="preserve">se desprende que </w:t>
      </w:r>
      <w:r w:rsidR="00337864">
        <w:rPr>
          <w:rFonts w:ascii="Arial" w:hAnsi="Arial" w:cs="Arial"/>
          <w:szCs w:val="24"/>
        </w:rPr>
        <w:t>la información suministrada al</w:t>
      </w:r>
      <w:r w:rsidR="00296A66" w:rsidRPr="00BC3C0F">
        <w:rPr>
          <w:rFonts w:ascii="Arial" w:hAnsi="Arial" w:cs="Arial"/>
          <w:szCs w:val="24"/>
        </w:rPr>
        <w:t xml:space="preserve"> demandante fue clara</w:t>
      </w:r>
      <w:r w:rsidR="00FC3B60">
        <w:rPr>
          <w:rFonts w:ascii="Arial" w:hAnsi="Arial" w:cs="Arial"/>
          <w:szCs w:val="24"/>
        </w:rPr>
        <w:t xml:space="preserve"> y veraz</w:t>
      </w:r>
      <w:r w:rsidR="00337864">
        <w:rPr>
          <w:rFonts w:ascii="Arial" w:hAnsi="Arial" w:cs="Arial"/>
          <w:szCs w:val="24"/>
        </w:rPr>
        <w:t xml:space="preserve">, en tanto </w:t>
      </w:r>
      <w:r w:rsidR="00E87344">
        <w:rPr>
          <w:rFonts w:ascii="Arial" w:hAnsi="Arial" w:cs="Arial"/>
          <w:szCs w:val="24"/>
        </w:rPr>
        <w:t>sabía</w:t>
      </w:r>
      <w:r w:rsidR="00337864">
        <w:rPr>
          <w:rFonts w:ascii="Arial" w:hAnsi="Arial" w:cs="Arial"/>
          <w:szCs w:val="24"/>
        </w:rPr>
        <w:t xml:space="preserve"> las características del RAIS, </w:t>
      </w:r>
      <w:r w:rsidR="00007A08">
        <w:rPr>
          <w:rFonts w:ascii="Arial" w:hAnsi="Arial" w:cs="Arial"/>
          <w:szCs w:val="24"/>
        </w:rPr>
        <w:t xml:space="preserve">máxime que aun conociendo que no era conveniente continuar en dicho régimen, decidió permanecer allí, actitud de la que se infiere su conformidad con la decisión realizada en 1997 y por ende, se desprende que la </w:t>
      </w:r>
      <w:r w:rsidR="00790F47">
        <w:rPr>
          <w:rFonts w:ascii="Arial" w:hAnsi="Arial" w:cs="Arial"/>
          <w:szCs w:val="24"/>
        </w:rPr>
        <w:t>información</w:t>
      </w:r>
      <w:r w:rsidR="00007A08">
        <w:rPr>
          <w:rFonts w:ascii="Arial" w:hAnsi="Arial" w:cs="Arial"/>
          <w:szCs w:val="24"/>
        </w:rPr>
        <w:t xml:space="preserve"> fue adecuada en el propósito de tomar una decisión informada,</w:t>
      </w:r>
      <w:r w:rsidR="00041FB3">
        <w:rPr>
          <w:rFonts w:ascii="Arial" w:hAnsi="Arial" w:cs="Arial"/>
          <w:szCs w:val="24"/>
        </w:rPr>
        <w:t xml:space="preserve"> libre y voluntaria.</w:t>
      </w:r>
    </w:p>
    <w:p w14:paraId="64B8ECE4" w14:textId="77777777" w:rsidR="002A1798" w:rsidRDefault="002A1798" w:rsidP="00337864">
      <w:pPr>
        <w:spacing w:line="276" w:lineRule="auto"/>
        <w:ind w:right="49"/>
        <w:contextualSpacing/>
        <w:jc w:val="both"/>
        <w:rPr>
          <w:rFonts w:ascii="Arial" w:hAnsi="Arial" w:cs="Arial"/>
          <w:szCs w:val="24"/>
        </w:rPr>
      </w:pPr>
    </w:p>
    <w:p w14:paraId="21226428" w14:textId="68F1AB57" w:rsidR="0000104A" w:rsidRDefault="00BF595B" w:rsidP="00BF595B">
      <w:pPr>
        <w:spacing w:line="276" w:lineRule="auto"/>
        <w:ind w:right="49"/>
        <w:contextualSpacing/>
        <w:jc w:val="both"/>
        <w:rPr>
          <w:rFonts w:ascii="Arial" w:hAnsi="Arial" w:cs="Arial"/>
          <w:szCs w:val="24"/>
        </w:rPr>
      </w:pPr>
      <w:r w:rsidRPr="00AD294E">
        <w:rPr>
          <w:rFonts w:ascii="Arial" w:hAnsi="Arial" w:cs="Arial"/>
          <w:szCs w:val="24"/>
        </w:rPr>
        <w:t xml:space="preserve">Merece en este punto insistir, </w:t>
      </w:r>
      <w:r w:rsidR="007577C1" w:rsidRPr="00AD294E">
        <w:rPr>
          <w:rFonts w:ascii="Arial" w:hAnsi="Arial" w:cs="Arial"/>
          <w:szCs w:val="24"/>
        </w:rPr>
        <w:t>en cuanto a las ventajas y desventajas</w:t>
      </w:r>
      <w:r w:rsidR="00E87344">
        <w:rPr>
          <w:rFonts w:ascii="Arial" w:hAnsi="Arial" w:cs="Arial"/>
          <w:szCs w:val="24"/>
        </w:rPr>
        <w:t>,</w:t>
      </w:r>
      <w:r w:rsidR="007577C1" w:rsidRPr="00AD294E">
        <w:rPr>
          <w:rFonts w:ascii="Arial" w:hAnsi="Arial" w:cs="Arial"/>
          <w:szCs w:val="24"/>
        </w:rPr>
        <w:t xml:space="preserve"> </w:t>
      </w:r>
      <w:r w:rsidRPr="00AD294E">
        <w:rPr>
          <w:rFonts w:ascii="Arial" w:hAnsi="Arial" w:cs="Arial"/>
          <w:szCs w:val="24"/>
        </w:rPr>
        <w:t xml:space="preserve">que </w:t>
      </w:r>
      <w:r w:rsidR="00B740A8" w:rsidRPr="00AD294E">
        <w:rPr>
          <w:rFonts w:ascii="Arial" w:hAnsi="Arial" w:cs="Arial"/>
          <w:szCs w:val="24"/>
        </w:rPr>
        <w:t>mal puede</w:t>
      </w:r>
      <w:r w:rsidRPr="00AD294E">
        <w:rPr>
          <w:rFonts w:ascii="Arial" w:hAnsi="Arial" w:cs="Arial"/>
          <w:szCs w:val="24"/>
        </w:rPr>
        <w:t xml:space="preserve"> exigirse a la AFP </w:t>
      </w:r>
      <w:r w:rsidR="00655FDB" w:rsidRPr="00AD294E">
        <w:rPr>
          <w:rFonts w:ascii="Arial" w:hAnsi="Arial" w:cs="Arial"/>
          <w:szCs w:val="24"/>
        </w:rPr>
        <w:t xml:space="preserve">privada </w:t>
      </w:r>
      <w:r w:rsidRPr="00AD294E">
        <w:rPr>
          <w:rFonts w:ascii="Arial" w:hAnsi="Arial" w:cs="Arial"/>
          <w:szCs w:val="24"/>
        </w:rPr>
        <w:t xml:space="preserve">desanimar </w:t>
      </w:r>
      <w:r w:rsidR="00FC3B60" w:rsidRPr="00AD294E">
        <w:rPr>
          <w:rFonts w:ascii="Arial" w:hAnsi="Arial" w:cs="Arial"/>
          <w:szCs w:val="24"/>
        </w:rPr>
        <w:t xml:space="preserve">en un primer momento </w:t>
      </w:r>
      <w:r w:rsidR="00337864" w:rsidRPr="00AD294E">
        <w:rPr>
          <w:rFonts w:ascii="Arial" w:hAnsi="Arial" w:cs="Arial"/>
          <w:szCs w:val="24"/>
        </w:rPr>
        <w:t>al</w:t>
      </w:r>
      <w:r w:rsidRPr="00AD294E">
        <w:rPr>
          <w:rFonts w:ascii="Arial" w:hAnsi="Arial" w:cs="Arial"/>
          <w:szCs w:val="24"/>
        </w:rPr>
        <w:t xml:space="preserve"> demandante de su traslado al RAIS</w:t>
      </w:r>
      <w:r w:rsidR="00831CF4" w:rsidRPr="00AD294E">
        <w:rPr>
          <w:rFonts w:ascii="Arial" w:hAnsi="Arial" w:cs="Arial"/>
          <w:szCs w:val="24"/>
        </w:rPr>
        <w:t xml:space="preserve">, </w:t>
      </w:r>
      <w:r w:rsidR="00B740A8" w:rsidRPr="00AD294E">
        <w:rPr>
          <w:rFonts w:ascii="Arial" w:hAnsi="Arial" w:cs="Arial"/>
          <w:szCs w:val="24"/>
        </w:rPr>
        <w:t>máxime que</w:t>
      </w:r>
      <w:r w:rsidRPr="00AD294E">
        <w:rPr>
          <w:rFonts w:ascii="Arial" w:hAnsi="Arial" w:cs="Arial"/>
          <w:szCs w:val="24"/>
        </w:rPr>
        <w:t xml:space="preserve"> tanto </w:t>
      </w:r>
      <w:r w:rsidR="007577C1" w:rsidRPr="00AD294E">
        <w:rPr>
          <w:rFonts w:ascii="Arial" w:hAnsi="Arial" w:cs="Arial"/>
          <w:szCs w:val="24"/>
        </w:rPr>
        <w:t>el RAIS</w:t>
      </w:r>
      <w:r w:rsidRPr="00AD294E">
        <w:rPr>
          <w:rFonts w:ascii="Arial" w:hAnsi="Arial" w:cs="Arial"/>
          <w:szCs w:val="24"/>
        </w:rPr>
        <w:t xml:space="preserve"> como el RPM están concebidos en la misma Ley 100/93, </w:t>
      </w:r>
      <w:r w:rsidR="004E37CC" w:rsidRPr="00AD294E">
        <w:rPr>
          <w:rFonts w:ascii="Arial" w:hAnsi="Arial" w:cs="Arial"/>
          <w:szCs w:val="24"/>
        </w:rPr>
        <w:t>sin que</w:t>
      </w:r>
      <w:r w:rsidRPr="00AD294E">
        <w:rPr>
          <w:rFonts w:ascii="Arial" w:hAnsi="Arial" w:cs="Arial"/>
          <w:szCs w:val="24"/>
        </w:rPr>
        <w:t xml:space="preserve"> uno </w:t>
      </w:r>
      <w:r w:rsidR="004E37CC" w:rsidRPr="00AD294E">
        <w:rPr>
          <w:rFonts w:ascii="Arial" w:hAnsi="Arial" w:cs="Arial"/>
          <w:szCs w:val="24"/>
        </w:rPr>
        <w:t xml:space="preserve">sea </w:t>
      </w:r>
      <w:r w:rsidR="00C31837" w:rsidRPr="00AD294E">
        <w:rPr>
          <w:rFonts w:ascii="Arial" w:hAnsi="Arial" w:cs="Arial"/>
          <w:szCs w:val="24"/>
        </w:rPr>
        <w:t>mejor que el otro, sino</w:t>
      </w:r>
      <w:r w:rsidRPr="00AD294E">
        <w:rPr>
          <w:rFonts w:ascii="Arial" w:hAnsi="Arial" w:cs="Arial"/>
          <w:szCs w:val="24"/>
        </w:rPr>
        <w:t xml:space="preserve"> diferentes</w:t>
      </w:r>
      <w:r w:rsidR="00790F47" w:rsidRPr="00AD294E">
        <w:rPr>
          <w:rFonts w:ascii="Arial" w:hAnsi="Arial" w:cs="Arial"/>
          <w:szCs w:val="24"/>
        </w:rPr>
        <w:t xml:space="preserve"> como pudo el mismo actor percibir al poder </w:t>
      </w:r>
      <w:r w:rsidR="00C15A3F" w:rsidRPr="00AD294E">
        <w:rPr>
          <w:rFonts w:ascii="Arial" w:hAnsi="Arial" w:cs="Arial"/>
          <w:szCs w:val="24"/>
        </w:rPr>
        <w:t>comparar</w:t>
      </w:r>
      <w:r w:rsidR="00790F47" w:rsidRPr="00AD294E">
        <w:rPr>
          <w:rFonts w:ascii="Arial" w:hAnsi="Arial" w:cs="Arial"/>
          <w:szCs w:val="24"/>
        </w:rPr>
        <w:t xml:space="preserve"> las características</w:t>
      </w:r>
      <w:r w:rsidR="00781F80" w:rsidRPr="00AD294E">
        <w:rPr>
          <w:rFonts w:ascii="Arial" w:hAnsi="Arial" w:cs="Arial"/>
          <w:szCs w:val="24"/>
        </w:rPr>
        <w:t>, condiciones y ventajas que v</w:t>
      </w:r>
      <w:r w:rsidR="00790F47" w:rsidRPr="00AD294E">
        <w:rPr>
          <w:rFonts w:ascii="Arial" w:hAnsi="Arial" w:cs="Arial"/>
          <w:szCs w:val="24"/>
        </w:rPr>
        <w:t>enía</w:t>
      </w:r>
      <w:r w:rsidR="00781F80" w:rsidRPr="00AD294E">
        <w:rPr>
          <w:rFonts w:ascii="Arial" w:hAnsi="Arial" w:cs="Arial"/>
          <w:szCs w:val="24"/>
        </w:rPr>
        <w:t xml:space="preserve"> recibiendo</w:t>
      </w:r>
      <w:r w:rsidR="00790F47" w:rsidRPr="00AD294E">
        <w:rPr>
          <w:rFonts w:ascii="Arial" w:hAnsi="Arial" w:cs="Arial"/>
          <w:szCs w:val="24"/>
        </w:rPr>
        <w:t xml:space="preserve"> en el RPM, donde permaneció</w:t>
      </w:r>
      <w:r w:rsidR="00C15A3F" w:rsidRPr="00AD294E">
        <w:rPr>
          <w:rFonts w:ascii="Arial" w:hAnsi="Arial" w:cs="Arial"/>
          <w:szCs w:val="24"/>
        </w:rPr>
        <w:t xml:space="preserve"> </w:t>
      </w:r>
      <w:r w:rsidR="001F3915" w:rsidRPr="00AD294E">
        <w:rPr>
          <w:rFonts w:ascii="Arial" w:hAnsi="Arial" w:cs="Arial"/>
          <w:szCs w:val="24"/>
        </w:rPr>
        <w:t xml:space="preserve">durante 17 </w:t>
      </w:r>
      <w:r w:rsidR="00C15A3F" w:rsidRPr="00AD294E">
        <w:rPr>
          <w:rFonts w:ascii="Arial" w:hAnsi="Arial" w:cs="Arial"/>
          <w:szCs w:val="24"/>
        </w:rPr>
        <w:t>años</w:t>
      </w:r>
      <w:r w:rsidR="001F3915" w:rsidRPr="00AD294E">
        <w:rPr>
          <w:rFonts w:ascii="Arial" w:hAnsi="Arial" w:cs="Arial"/>
          <w:szCs w:val="24"/>
        </w:rPr>
        <w:t xml:space="preserve"> (fls. 83 a 84 c. 1)</w:t>
      </w:r>
      <w:r w:rsidR="00C15A3F" w:rsidRPr="00AD294E">
        <w:rPr>
          <w:rFonts w:ascii="Arial" w:hAnsi="Arial" w:cs="Arial"/>
          <w:szCs w:val="24"/>
        </w:rPr>
        <w:t>, con la recibida en el RAIS</w:t>
      </w:r>
      <w:r w:rsidR="00574D01" w:rsidRPr="00AD294E">
        <w:rPr>
          <w:rFonts w:ascii="Arial" w:hAnsi="Arial" w:cs="Arial"/>
          <w:szCs w:val="24"/>
        </w:rPr>
        <w:t>; pues la certeza del monto pensional</w:t>
      </w:r>
      <w:r w:rsidR="00A41148" w:rsidRPr="00AD294E">
        <w:rPr>
          <w:rFonts w:ascii="Arial" w:hAnsi="Arial" w:cs="Arial"/>
          <w:szCs w:val="24"/>
        </w:rPr>
        <w:t xml:space="preserve"> en el RPM</w:t>
      </w:r>
      <w:r w:rsidR="007577C1" w:rsidRPr="00AD294E">
        <w:rPr>
          <w:rFonts w:ascii="Arial" w:hAnsi="Arial" w:cs="Arial"/>
          <w:szCs w:val="24"/>
        </w:rPr>
        <w:t xml:space="preserve"> </w:t>
      </w:r>
      <w:r w:rsidR="00574D01" w:rsidRPr="00AD294E">
        <w:rPr>
          <w:rFonts w:ascii="Arial" w:hAnsi="Arial" w:cs="Arial"/>
          <w:szCs w:val="24"/>
        </w:rPr>
        <w:t>se recompensa en el RAIS con la garantía de pensión mínima, la devolución de saldos, los excedentes de libre disponibilidad y que las sumas acumuladas en la cuenta individual hagan parte de</w:t>
      </w:r>
      <w:r w:rsidR="00574D01">
        <w:rPr>
          <w:rFonts w:ascii="Arial" w:hAnsi="Arial" w:cs="Arial"/>
          <w:szCs w:val="24"/>
        </w:rPr>
        <w:t xml:space="preserve"> la masa sucesoral. Así,</w:t>
      </w:r>
      <w:r w:rsidR="00256A01">
        <w:rPr>
          <w:rFonts w:ascii="Arial" w:hAnsi="Arial" w:cs="Arial"/>
          <w:szCs w:val="24"/>
        </w:rPr>
        <w:t xml:space="preserve"> </w:t>
      </w:r>
      <w:r w:rsidR="00C31837" w:rsidRPr="00BC3C0F">
        <w:rPr>
          <w:rFonts w:ascii="Arial" w:hAnsi="Arial" w:cs="Arial"/>
          <w:szCs w:val="24"/>
        </w:rPr>
        <w:t xml:space="preserve">dependiendo </w:t>
      </w:r>
      <w:r w:rsidRPr="00BC3C0F">
        <w:rPr>
          <w:rFonts w:ascii="Arial" w:hAnsi="Arial" w:cs="Arial"/>
          <w:szCs w:val="24"/>
        </w:rPr>
        <w:t>de las circunstancias particulares del afiliado al final de la vida laboral o de presentarse un siniestro,</w:t>
      </w:r>
      <w:r w:rsidR="00574D01">
        <w:rPr>
          <w:rFonts w:ascii="Arial" w:hAnsi="Arial" w:cs="Arial"/>
          <w:szCs w:val="24"/>
        </w:rPr>
        <w:t xml:space="preserve"> es que se podrá</w:t>
      </w:r>
      <w:r w:rsidR="00605B5E" w:rsidRPr="00BC3C0F">
        <w:rPr>
          <w:rFonts w:ascii="Arial" w:hAnsi="Arial" w:cs="Arial"/>
          <w:szCs w:val="24"/>
        </w:rPr>
        <w:t xml:space="preserve"> precisar cuál de los dos</w:t>
      </w:r>
      <w:r w:rsidR="00C31837" w:rsidRPr="00BC3C0F">
        <w:rPr>
          <w:rFonts w:ascii="Arial" w:hAnsi="Arial" w:cs="Arial"/>
          <w:szCs w:val="24"/>
        </w:rPr>
        <w:t xml:space="preserve"> es más conveniente</w:t>
      </w:r>
      <w:r w:rsidR="00CC0F06">
        <w:rPr>
          <w:rFonts w:ascii="Arial" w:hAnsi="Arial" w:cs="Arial"/>
          <w:szCs w:val="24"/>
        </w:rPr>
        <w:t>;</w:t>
      </w:r>
      <w:r w:rsidR="004E37CC" w:rsidRPr="00BC3C0F">
        <w:rPr>
          <w:rFonts w:ascii="Arial" w:hAnsi="Arial" w:cs="Arial"/>
          <w:szCs w:val="24"/>
        </w:rPr>
        <w:t xml:space="preserve"> antes</w:t>
      </w:r>
      <w:r w:rsidR="00C31837" w:rsidRPr="00BC3C0F">
        <w:rPr>
          <w:rFonts w:ascii="Arial" w:hAnsi="Arial" w:cs="Arial"/>
          <w:szCs w:val="24"/>
        </w:rPr>
        <w:t xml:space="preserve"> de ello </w:t>
      </w:r>
      <w:r w:rsidR="004E37CC" w:rsidRPr="00BC3C0F">
        <w:rPr>
          <w:rFonts w:ascii="Arial" w:hAnsi="Arial" w:cs="Arial"/>
          <w:szCs w:val="24"/>
        </w:rPr>
        <w:t>solo es partir de meras conjeturas y, vaticin</w:t>
      </w:r>
      <w:r w:rsidR="0000104A">
        <w:rPr>
          <w:rFonts w:ascii="Arial" w:hAnsi="Arial" w:cs="Arial"/>
          <w:szCs w:val="24"/>
        </w:rPr>
        <w:t>ar la vida del afiliado 20 años.</w:t>
      </w:r>
    </w:p>
    <w:p w14:paraId="1835B0DB" w14:textId="77777777" w:rsidR="00A4270B" w:rsidRDefault="00A4270B" w:rsidP="00BF595B">
      <w:pPr>
        <w:spacing w:line="276" w:lineRule="auto"/>
        <w:ind w:right="49"/>
        <w:contextualSpacing/>
        <w:jc w:val="both"/>
        <w:rPr>
          <w:rFonts w:ascii="Arial" w:hAnsi="Arial" w:cs="Arial"/>
          <w:szCs w:val="24"/>
        </w:rPr>
      </w:pPr>
    </w:p>
    <w:p w14:paraId="5622ABD6" w14:textId="74107648" w:rsidR="00B740A8" w:rsidRDefault="00A4270B" w:rsidP="00A4270B">
      <w:pPr>
        <w:spacing w:line="276" w:lineRule="auto"/>
        <w:ind w:right="49"/>
        <w:contextualSpacing/>
        <w:jc w:val="both"/>
        <w:rPr>
          <w:rFonts w:ascii="Arial" w:hAnsi="Arial" w:cs="Arial"/>
          <w:szCs w:val="24"/>
        </w:rPr>
      </w:pPr>
      <w:r w:rsidRPr="001F2CB7">
        <w:rPr>
          <w:rFonts w:ascii="Arial" w:hAnsi="Arial" w:cs="Arial"/>
          <w:szCs w:val="24"/>
        </w:rPr>
        <w:t>Dicho de otra forma, la asesoría brindada por la AFP</w:t>
      </w:r>
      <w:r w:rsidR="00716EF1">
        <w:rPr>
          <w:rFonts w:ascii="Arial" w:hAnsi="Arial" w:cs="Arial"/>
          <w:szCs w:val="24"/>
        </w:rPr>
        <w:t xml:space="preserve"> en el momento d</w:t>
      </w:r>
      <w:r w:rsidR="007577C1">
        <w:rPr>
          <w:rFonts w:ascii="Arial" w:hAnsi="Arial" w:cs="Arial"/>
          <w:szCs w:val="24"/>
        </w:rPr>
        <w:t>e la escogencia del RAIS en 1997</w:t>
      </w:r>
      <w:r w:rsidR="00716EF1">
        <w:rPr>
          <w:rFonts w:ascii="Arial" w:hAnsi="Arial" w:cs="Arial"/>
          <w:szCs w:val="24"/>
        </w:rPr>
        <w:t xml:space="preserve"> se circunscribía</w:t>
      </w:r>
      <w:r w:rsidRPr="001F2CB7">
        <w:rPr>
          <w:rFonts w:ascii="Arial" w:hAnsi="Arial" w:cs="Arial"/>
          <w:szCs w:val="24"/>
        </w:rPr>
        <w:t xml:space="preserve"> a informar al afiliado de las características del </w:t>
      </w:r>
      <w:r w:rsidRPr="00AD294E">
        <w:rPr>
          <w:rFonts w:ascii="Arial" w:hAnsi="Arial" w:cs="Arial"/>
          <w:szCs w:val="24"/>
        </w:rPr>
        <w:t>RAIS</w:t>
      </w:r>
      <w:r w:rsidR="006045AA" w:rsidRPr="00AD294E">
        <w:rPr>
          <w:rFonts w:ascii="Arial" w:hAnsi="Arial" w:cs="Arial"/>
          <w:szCs w:val="24"/>
        </w:rPr>
        <w:t>, además de su solidez</w:t>
      </w:r>
      <w:r w:rsidR="00FC3B60" w:rsidRPr="00AD294E">
        <w:rPr>
          <w:rFonts w:ascii="Arial" w:hAnsi="Arial" w:cs="Arial"/>
          <w:szCs w:val="24"/>
        </w:rPr>
        <w:t xml:space="preserve"> financiera (art. 97 del Decreto 663/1993 y sus modificaciones)</w:t>
      </w:r>
      <w:r w:rsidRPr="00AD294E">
        <w:rPr>
          <w:rFonts w:ascii="Arial" w:hAnsi="Arial" w:cs="Arial"/>
          <w:szCs w:val="24"/>
        </w:rPr>
        <w:t>, sin que dicha información pueda analizarse desde la óptica de un buen o mal consejo</w:t>
      </w:r>
      <w:r w:rsidR="00E87344">
        <w:rPr>
          <w:rFonts w:ascii="Arial" w:hAnsi="Arial" w:cs="Arial"/>
          <w:szCs w:val="24"/>
        </w:rPr>
        <w:t>;</w:t>
      </w:r>
      <w:r w:rsidRPr="00AD294E">
        <w:rPr>
          <w:rFonts w:ascii="Arial" w:hAnsi="Arial" w:cs="Arial"/>
          <w:szCs w:val="24"/>
        </w:rPr>
        <w:t xml:space="preserve"> </w:t>
      </w:r>
      <w:r w:rsidR="007577C1" w:rsidRPr="00AD294E">
        <w:rPr>
          <w:rFonts w:ascii="Arial" w:hAnsi="Arial" w:cs="Arial"/>
          <w:szCs w:val="24"/>
        </w:rPr>
        <w:t xml:space="preserve">en primer lugar, porque según la jurisprudencia ya citada, dicha obligación solo apareció con la </w:t>
      </w:r>
      <w:r w:rsidR="007577C1" w:rsidRPr="00AD294E">
        <w:rPr>
          <w:rFonts w:ascii="Arial" w:hAnsi="Arial" w:cs="Arial"/>
          <w:color w:val="000000"/>
          <w:szCs w:val="24"/>
          <w:lang w:eastAsia="es-CO"/>
        </w:rPr>
        <w:t xml:space="preserve">Ley 1328 de 2009 y el Decreto 2241 de 2010, y en segundo </w:t>
      </w:r>
      <w:r w:rsidR="00E87344">
        <w:rPr>
          <w:rFonts w:ascii="Arial" w:hAnsi="Arial" w:cs="Arial"/>
          <w:color w:val="000000"/>
          <w:szCs w:val="24"/>
          <w:lang w:eastAsia="es-CO"/>
        </w:rPr>
        <w:t>término</w:t>
      </w:r>
      <w:r w:rsidR="007577C1" w:rsidRPr="00AD294E">
        <w:rPr>
          <w:rFonts w:ascii="Arial" w:hAnsi="Arial" w:cs="Arial"/>
          <w:color w:val="000000"/>
          <w:szCs w:val="24"/>
          <w:lang w:eastAsia="es-CO"/>
        </w:rPr>
        <w:t xml:space="preserve"> </w:t>
      </w:r>
      <w:r w:rsidRPr="00AD294E">
        <w:rPr>
          <w:rFonts w:ascii="Arial" w:hAnsi="Arial" w:cs="Arial"/>
          <w:szCs w:val="24"/>
        </w:rPr>
        <w:t xml:space="preserve">ello implicaría usurpar la voluntad del afiliado, única persona que después de conocer las características del régimen podrá sopesar si la escogencia del RAIS resulta adecuada o atractiva para </w:t>
      </w:r>
      <w:r w:rsidR="00CC0F06" w:rsidRPr="00AD294E">
        <w:rPr>
          <w:rFonts w:ascii="Arial" w:hAnsi="Arial" w:cs="Arial"/>
          <w:szCs w:val="24"/>
        </w:rPr>
        <w:t>el florecimiento de su vida;</w:t>
      </w:r>
      <w:r w:rsidR="001F2CB7" w:rsidRPr="00AD294E">
        <w:rPr>
          <w:rFonts w:ascii="Arial" w:hAnsi="Arial" w:cs="Arial"/>
          <w:szCs w:val="24"/>
        </w:rPr>
        <w:t xml:space="preserve"> pues al gozar de capacidad</w:t>
      </w:r>
      <w:r w:rsidR="001F2CB7">
        <w:rPr>
          <w:rFonts w:ascii="Arial" w:hAnsi="Arial" w:cs="Arial"/>
          <w:szCs w:val="24"/>
        </w:rPr>
        <w:t xml:space="preserve"> de ejercicio, quien celebra el contrato de afiliación está en condiciones de entender las incidencias de la escogencia a partir de la información que ha recibido. </w:t>
      </w:r>
    </w:p>
    <w:p w14:paraId="7DB11FFD" w14:textId="77777777" w:rsidR="00D709CE" w:rsidRPr="00C10D52" w:rsidRDefault="00D709CE" w:rsidP="00A4270B">
      <w:pPr>
        <w:spacing w:line="276" w:lineRule="auto"/>
        <w:ind w:right="49"/>
        <w:contextualSpacing/>
        <w:jc w:val="both"/>
        <w:rPr>
          <w:rFonts w:ascii="Arial" w:hAnsi="Arial" w:cs="Arial"/>
          <w:szCs w:val="24"/>
        </w:rPr>
      </w:pPr>
    </w:p>
    <w:p w14:paraId="41F523C2" w14:textId="510586A3" w:rsidR="00275C48" w:rsidRDefault="00BF595B" w:rsidP="00605B5E">
      <w:pPr>
        <w:spacing w:line="276" w:lineRule="auto"/>
        <w:ind w:right="49"/>
        <w:contextualSpacing/>
        <w:jc w:val="both"/>
        <w:rPr>
          <w:rFonts w:ascii="Arial" w:hAnsi="Arial" w:cs="Arial"/>
          <w:szCs w:val="24"/>
        </w:rPr>
      </w:pPr>
      <w:r w:rsidRPr="00BC3C0F">
        <w:rPr>
          <w:rFonts w:ascii="Arial" w:hAnsi="Arial" w:cs="Arial"/>
          <w:szCs w:val="24"/>
        </w:rPr>
        <w:t xml:space="preserve">Adicionalmente, </w:t>
      </w:r>
      <w:r w:rsidR="00435C3A">
        <w:rPr>
          <w:rFonts w:ascii="Arial" w:hAnsi="Arial" w:cs="Arial"/>
          <w:szCs w:val="24"/>
        </w:rPr>
        <w:t xml:space="preserve">pese a que </w:t>
      </w:r>
      <w:r w:rsidR="00041FB3">
        <w:rPr>
          <w:rFonts w:ascii="Arial" w:hAnsi="Arial" w:cs="Arial"/>
          <w:szCs w:val="24"/>
        </w:rPr>
        <w:t>Álvaro Alzate López</w:t>
      </w:r>
      <w:r w:rsidR="00605B5E" w:rsidRPr="00BC3C0F">
        <w:rPr>
          <w:rFonts w:ascii="Arial" w:hAnsi="Arial" w:cs="Arial"/>
          <w:szCs w:val="24"/>
        </w:rPr>
        <w:t xml:space="preserve"> </w:t>
      </w:r>
      <w:r w:rsidR="00337864">
        <w:rPr>
          <w:rFonts w:ascii="Arial" w:hAnsi="Arial" w:cs="Arial"/>
          <w:szCs w:val="24"/>
        </w:rPr>
        <w:t>manifestó</w:t>
      </w:r>
      <w:r w:rsidR="004E37CC" w:rsidRPr="00BC3C0F">
        <w:rPr>
          <w:rFonts w:ascii="Arial" w:hAnsi="Arial" w:cs="Arial"/>
          <w:szCs w:val="24"/>
        </w:rPr>
        <w:t xml:space="preserve"> en los hechos de la demanda </w:t>
      </w:r>
      <w:r w:rsidR="00337864">
        <w:rPr>
          <w:rFonts w:ascii="Arial" w:hAnsi="Arial" w:cs="Arial"/>
          <w:szCs w:val="24"/>
        </w:rPr>
        <w:t>que no recibió información sobre el monto de la pensión que obtendría</w:t>
      </w:r>
      <w:r w:rsidR="00435C3A">
        <w:rPr>
          <w:rFonts w:ascii="Arial" w:hAnsi="Arial" w:cs="Arial"/>
          <w:szCs w:val="24"/>
        </w:rPr>
        <w:t xml:space="preserve"> </w:t>
      </w:r>
      <w:r w:rsidR="0000104A">
        <w:rPr>
          <w:rFonts w:ascii="Arial" w:hAnsi="Arial" w:cs="Arial"/>
          <w:szCs w:val="24"/>
        </w:rPr>
        <w:t xml:space="preserve">(fl. </w:t>
      </w:r>
      <w:r w:rsidR="00337864">
        <w:rPr>
          <w:rFonts w:ascii="Arial" w:hAnsi="Arial" w:cs="Arial"/>
          <w:szCs w:val="24"/>
        </w:rPr>
        <w:t xml:space="preserve">3 </w:t>
      </w:r>
      <w:r w:rsidR="0000104A">
        <w:rPr>
          <w:rFonts w:ascii="Arial" w:hAnsi="Arial" w:cs="Arial"/>
          <w:szCs w:val="24"/>
        </w:rPr>
        <w:t>c. 1),</w:t>
      </w:r>
      <w:r w:rsidR="004E37CC" w:rsidRPr="00BC3C0F">
        <w:rPr>
          <w:rFonts w:ascii="Arial" w:hAnsi="Arial" w:cs="Arial"/>
          <w:szCs w:val="24"/>
        </w:rPr>
        <w:t xml:space="preserve"> no se probó </w:t>
      </w:r>
      <w:r w:rsidR="00041FB3">
        <w:rPr>
          <w:rFonts w:ascii="Arial" w:hAnsi="Arial" w:cs="Arial"/>
          <w:szCs w:val="24"/>
        </w:rPr>
        <w:t>que para el año 1997</w:t>
      </w:r>
      <w:r w:rsidR="0000104A">
        <w:rPr>
          <w:rFonts w:ascii="Arial" w:hAnsi="Arial" w:cs="Arial"/>
          <w:szCs w:val="24"/>
        </w:rPr>
        <w:t xml:space="preserve"> la ausencia de proyección de la pensión hubiese sido producto de un engaño, máxime que tal obligación </w:t>
      </w:r>
      <w:r w:rsidR="004E37CC" w:rsidRPr="00BC3C0F">
        <w:rPr>
          <w:rFonts w:ascii="Arial" w:hAnsi="Arial" w:cs="Arial"/>
          <w:szCs w:val="24"/>
        </w:rPr>
        <w:t>no se encontraba regulada</w:t>
      </w:r>
      <w:r w:rsidR="00041FB3">
        <w:rPr>
          <w:rFonts w:ascii="Arial" w:hAnsi="Arial" w:cs="Arial"/>
          <w:szCs w:val="24"/>
        </w:rPr>
        <w:t xml:space="preserve"> para 1997</w:t>
      </w:r>
      <w:r w:rsidR="0000104A">
        <w:rPr>
          <w:rFonts w:ascii="Arial" w:hAnsi="Arial" w:cs="Arial"/>
          <w:szCs w:val="24"/>
        </w:rPr>
        <w:t xml:space="preserve"> ép</w:t>
      </w:r>
      <w:r w:rsidR="00435C3A">
        <w:rPr>
          <w:rFonts w:ascii="Arial" w:hAnsi="Arial" w:cs="Arial"/>
          <w:szCs w:val="24"/>
        </w:rPr>
        <w:t>oca inicial del traslado (fl. 6</w:t>
      </w:r>
      <w:r w:rsidR="0000104A">
        <w:rPr>
          <w:rFonts w:ascii="Arial" w:hAnsi="Arial" w:cs="Arial"/>
          <w:szCs w:val="24"/>
        </w:rPr>
        <w:t xml:space="preserve"> c. 1)</w:t>
      </w:r>
      <w:r w:rsidR="002D4514">
        <w:rPr>
          <w:rFonts w:ascii="Arial" w:hAnsi="Arial" w:cs="Arial"/>
          <w:szCs w:val="24"/>
        </w:rPr>
        <w:t>.</w:t>
      </w:r>
      <w:r w:rsidR="00275C48">
        <w:rPr>
          <w:rFonts w:ascii="Arial" w:hAnsi="Arial" w:cs="Arial"/>
          <w:szCs w:val="24"/>
        </w:rPr>
        <w:t xml:space="preserve"> </w:t>
      </w:r>
    </w:p>
    <w:p w14:paraId="13ED4920" w14:textId="77777777" w:rsidR="00275C48" w:rsidRDefault="00275C48" w:rsidP="007D31EA">
      <w:pPr>
        <w:ind w:right="49"/>
        <w:contextualSpacing/>
        <w:jc w:val="both"/>
        <w:rPr>
          <w:rFonts w:ascii="Arial" w:hAnsi="Arial" w:cs="Arial"/>
          <w:szCs w:val="24"/>
        </w:rPr>
      </w:pPr>
    </w:p>
    <w:p w14:paraId="0D66A865" w14:textId="21D7B7BE" w:rsidR="0000104A" w:rsidRDefault="00CC0F06" w:rsidP="00605B5E">
      <w:pPr>
        <w:spacing w:line="276" w:lineRule="auto"/>
        <w:ind w:right="49"/>
        <w:contextualSpacing/>
        <w:jc w:val="both"/>
        <w:rPr>
          <w:rFonts w:ascii="Arial" w:hAnsi="Arial" w:cs="Arial"/>
          <w:szCs w:val="24"/>
          <w:lang w:eastAsia="es-CO"/>
        </w:rPr>
      </w:pPr>
      <w:r>
        <w:rPr>
          <w:rFonts w:ascii="Arial" w:hAnsi="Arial" w:cs="Arial"/>
          <w:szCs w:val="24"/>
        </w:rPr>
        <w:t>P</w:t>
      </w:r>
      <w:r w:rsidR="004E37CC" w:rsidRPr="00BC3C0F">
        <w:rPr>
          <w:rFonts w:ascii="Arial" w:hAnsi="Arial" w:cs="Arial"/>
          <w:szCs w:val="24"/>
        </w:rPr>
        <w:t xml:space="preserve">royección de la pensión </w:t>
      </w:r>
      <w:r w:rsidR="00275C48">
        <w:rPr>
          <w:rFonts w:ascii="Arial" w:hAnsi="Arial" w:cs="Arial"/>
          <w:szCs w:val="24"/>
        </w:rPr>
        <w:t xml:space="preserve">que </w:t>
      </w:r>
      <w:r w:rsidR="004E37CC" w:rsidRPr="00BC3C0F">
        <w:rPr>
          <w:rFonts w:ascii="Arial" w:hAnsi="Arial" w:cs="Arial"/>
          <w:szCs w:val="24"/>
        </w:rPr>
        <w:t>solo apareció</w:t>
      </w:r>
      <w:r w:rsidR="00605B5E" w:rsidRPr="00BC3C0F">
        <w:rPr>
          <w:rFonts w:ascii="Arial" w:hAnsi="Arial" w:cs="Arial"/>
          <w:szCs w:val="24"/>
        </w:rPr>
        <w:t xml:space="preserve"> con </w:t>
      </w:r>
      <w:r w:rsidR="00BF595B" w:rsidRPr="00BC3C0F">
        <w:rPr>
          <w:rFonts w:ascii="Arial" w:hAnsi="Arial" w:cs="Arial"/>
          <w:szCs w:val="24"/>
        </w:rPr>
        <w:t xml:space="preserve">la Ley </w:t>
      </w:r>
      <w:r w:rsidR="00BF595B" w:rsidRPr="00BC3C0F">
        <w:rPr>
          <w:rFonts w:ascii="Arial" w:hAnsi="Arial" w:cs="Arial"/>
          <w:szCs w:val="24"/>
          <w:lang w:eastAsia="es-CO"/>
        </w:rPr>
        <w:t>1748 de 2014</w:t>
      </w:r>
      <w:r w:rsidR="00BF595B" w:rsidRPr="00BC3C0F">
        <w:rPr>
          <w:rStyle w:val="Refdenotaalpie"/>
          <w:rFonts w:ascii="Arial" w:hAnsi="Arial" w:cs="Arial"/>
          <w:szCs w:val="24"/>
          <w:lang w:eastAsia="es-CO"/>
        </w:rPr>
        <w:footnoteReference w:id="5"/>
      </w:r>
      <w:r w:rsidR="00BF595B" w:rsidRPr="00BC3C0F">
        <w:rPr>
          <w:rFonts w:ascii="Arial" w:hAnsi="Arial" w:cs="Arial"/>
          <w:szCs w:val="24"/>
          <w:lang w:eastAsia="es-CO"/>
        </w:rPr>
        <w:t xml:space="preserve"> y el Decreto 2071 de 2015</w:t>
      </w:r>
      <w:r w:rsidR="00BF595B" w:rsidRPr="00BC3C0F">
        <w:rPr>
          <w:rStyle w:val="Refdenotaalpie"/>
          <w:rFonts w:ascii="Arial" w:hAnsi="Arial" w:cs="Arial"/>
          <w:szCs w:val="24"/>
          <w:lang w:eastAsia="es-CO"/>
        </w:rPr>
        <w:footnoteReference w:id="6"/>
      </w:r>
      <w:r w:rsidR="00BF595B" w:rsidRPr="00BC3C0F">
        <w:rPr>
          <w:rFonts w:ascii="Arial" w:hAnsi="Arial" w:cs="Arial"/>
          <w:szCs w:val="24"/>
          <w:lang w:eastAsia="es-CO"/>
        </w:rPr>
        <w:t xml:space="preserve">, por lo que </w:t>
      </w:r>
      <w:r w:rsidR="00275C48">
        <w:rPr>
          <w:rFonts w:ascii="Arial" w:hAnsi="Arial" w:cs="Arial"/>
          <w:szCs w:val="24"/>
          <w:lang w:eastAsia="es-CO"/>
        </w:rPr>
        <w:t xml:space="preserve">su ausencia antes de estos años </w:t>
      </w:r>
      <w:r w:rsidR="00BF595B" w:rsidRPr="00BC3C0F">
        <w:rPr>
          <w:rFonts w:ascii="Arial" w:hAnsi="Arial" w:cs="Arial"/>
          <w:szCs w:val="24"/>
          <w:lang w:eastAsia="es-CO"/>
        </w:rPr>
        <w:t xml:space="preserve">no implica </w:t>
      </w:r>
      <w:r w:rsidR="004E37CC" w:rsidRPr="00BC3C0F">
        <w:rPr>
          <w:rFonts w:ascii="Arial" w:hAnsi="Arial" w:cs="Arial"/>
          <w:szCs w:val="24"/>
          <w:lang w:eastAsia="es-CO"/>
        </w:rPr>
        <w:t>necesariamente</w:t>
      </w:r>
      <w:r w:rsidR="00A4270B">
        <w:rPr>
          <w:rFonts w:ascii="Arial" w:hAnsi="Arial" w:cs="Arial"/>
          <w:szCs w:val="24"/>
          <w:lang w:eastAsia="es-CO"/>
        </w:rPr>
        <w:t xml:space="preserve"> </w:t>
      </w:r>
      <w:r w:rsidR="002D4514">
        <w:rPr>
          <w:rFonts w:ascii="Arial" w:hAnsi="Arial" w:cs="Arial"/>
          <w:szCs w:val="24"/>
          <w:lang w:eastAsia="es-CO"/>
        </w:rPr>
        <w:t xml:space="preserve">un </w:t>
      </w:r>
      <w:r w:rsidR="00716EF1">
        <w:rPr>
          <w:rFonts w:ascii="Arial" w:hAnsi="Arial" w:cs="Arial"/>
          <w:szCs w:val="24"/>
          <w:lang w:eastAsia="es-CO"/>
        </w:rPr>
        <w:t>asesoramiento incompleto;</w:t>
      </w:r>
      <w:r w:rsidR="00A4270B">
        <w:rPr>
          <w:rFonts w:ascii="Arial" w:hAnsi="Arial" w:cs="Arial"/>
          <w:szCs w:val="24"/>
          <w:lang w:eastAsia="es-CO"/>
        </w:rPr>
        <w:t xml:space="preserve"> debiéndose recordar en este punto que</w:t>
      </w:r>
      <w:r w:rsidR="00275C48">
        <w:rPr>
          <w:rFonts w:ascii="Arial" w:hAnsi="Arial" w:cs="Arial"/>
          <w:szCs w:val="24"/>
          <w:lang w:eastAsia="es-CO"/>
        </w:rPr>
        <w:t>,</w:t>
      </w:r>
      <w:r w:rsidR="00A4270B">
        <w:rPr>
          <w:rFonts w:ascii="Arial" w:hAnsi="Arial" w:cs="Arial"/>
          <w:szCs w:val="24"/>
          <w:lang w:eastAsia="es-CO"/>
        </w:rPr>
        <w:t xml:space="preserve"> de haberse </w:t>
      </w:r>
      <w:r w:rsidR="00A4270B">
        <w:rPr>
          <w:rFonts w:ascii="Arial" w:hAnsi="Arial" w:cs="Arial"/>
          <w:szCs w:val="24"/>
          <w:lang w:eastAsia="es-CO"/>
        </w:rPr>
        <w:lastRenderedPageBreak/>
        <w:t>hecho ello y no</w:t>
      </w:r>
      <w:r w:rsidR="00275C48">
        <w:rPr>
          <w:rFonts w:ascii="Arial" w:hAnsi="Arial" w:cs="Arial"/>
          <w:szCs w:val="24"/>
          <w:lang w:eastAsia="es-CO"/>
        </w:rPr>
        <w:t xml:space="preserve"> corresponder </w:t>
      </w:r>
      <w:r w:rsidR="00A4270B">
        <w:rPr>
          <w:rFonts w:ascii="Arial" w:hAnsi="Arial" w:cs="Arial"/>
          <w:szCs w:val="24"/>
          <w:lang w:eastAsia="es-CO"/>
        </w:rPr>
        <w:t>a l</w:t>
      </w:r>
      <w:r w:rsidR="002D4514">
        <w:rPr>
          <w:rFonts w:ascii="Arial" w:hAnsi="Arial" w:cs="Arial"/>
          <w:szCs w:val="24"/>
          <w:lang w:eastAsia="es-CO"/>
        </w:rPr>
        <w:t>o que en el momento actual tiene, tampoco</w:t>
      </w:r>
      <w:r w:rsidR="00A4270B">
        <w:rPr>
          <w:rFonts w:ascii="Arial" w:hAnsi="Arial" w:cs="Arial"/>
          <w:szCs w:val="24"/>
          <w:lang w:eastAsia="es-CO"/>
        </w:rPr>
        <w:t xml:space="preserve"> podría </w:t>
      </w:r>
      <w:r w:rsidR="00275C48">
        <w:rPr>
          <w:rFonts w:ascii="Arial" w:hAnsi="Arial" w:cs="Arial"/>
          <w:szCs w:val="24"/>
          <w:lang w:eastAsia="es-CO"/>
        </w:rPr>
        <w:t>configurar un</w:t>
      </w:r>
      <w:r w:rsidR="00A4270B">
        <w:rPr>
          <w:rFonts w:ascii="Arial" w:hAnsi="Arial" w:cs="Arial"/>
          <w:szCs w:val="24"/>
          <w:lang w:eastAsia="es-CO"/>
        </w:rPr>
        <w:t xml:space="preserve"> mal asesoramiento</w:t>
      </w:r>
      <w:r w:rsidR="00275C48">
        <w:rPr>
          <w:rFonts w:ascii="Arial" w:hAnsi="Arial" w:cs="Arial"/>
          <w:szCs w:val="24"/>
          <w:lang w:eastAsia="es-CO"/>
        </w:rPr>
        <w:t xml:space="preserve"> configurativo del error en el consentimiento,</w:t>
      </w:r>
      <w:r w:rsidR="00A4270B">
        <w:rPr>
          <w:rFonts w:ascii="Arial" w:hAnsi="Arial" w:cs="Arial"/>
          <w:szCs w:val="24"/>
          <w:lang w:eastAsia="es-CO"/>
        </w:rPr>
        <w:t xml:space="preserve"> pues se trataría de una proyección recreada con meras conjeturas</w:t>
      </w:r>
      <w:r w:rsidR="002D4514">
        <w:rPr>
          <w:rFonts w:ascii="Arial" w:hAnsi="Arial" w:cs="Arial"/>
          <w:szCs w:val="24"/>
          <w:lang w:eastAsia="es-CO"/>
        </w:rPr>
        <w:t>. S</w:t>
      </w:r>
      <w:r w:rsidR="00A4270B">
        <w:rPr>
          <w:rFonts w:ascii="Arial" w:hAnsi="Arial" w:cs="Arial"/>
          <w:szCs w:val="24"/>
          <w:lang w:eastAsia="es-CO"/>
        </w:rPr>
        <w:t xml:space="preserve">ituación que incluso se </w:t>
      </w:r>
      <w:r w:rsidR="002D4514">
        <w:rPr>
          <w:rFonts w:ascii="Arial" w:hAnsi="Arial" w:cs="Arial"/>
          <w:szCs w:val="24"/>
          <w:lang w:eastAsia="es-CO"/>
        </w:rPr>
        <w:t>reconoce en la normativa</w:t>
      </w:r>
      <w:r w:rsidR="001867FF">
        <w:rPr>
          <w:rFonts w:ascii="Arial" w:hAnsi="Arial" w:cs="Arial"/>
          <w:szCs w:val="24"/>
          <w:lang w:eastAsia="es-CO"/>
        </w:rPr>
        <w:t xml:space="preserve"> en cita</w:t>
      </w:r>
      <w:r w:rsidR="002D4514">
        <w:rPr>
          <w:rFonts w:ascii="Arial" w:hAnsi="Arial" w:cs="Arial"/>
          <w:szCs w:val="24"/>
          <w:lang w:eastAsia="es-CO"/>
        </w:rPr>
        <w:t xml:space="preserve">, pues </w:t>
      </w:r>
      <w:r w:rsidR="004E37CC" w:rsidRPr="00BC3C0F">
        <w:rPr>
          <w:rFonts w:ascii="Arial" w:hAnsi="Arial" w:cs="Arial"/>
          <w:szCs w:val="24"/>
          <w:lang w:eastAsia="es-CO"/>
        </w:rPr>
        <w:t xml:space="preserve">tal proyección no es un derecho consolidado, al basarse en hechos futuros </w:t>
      </w:r>
      <w:r w:rsidR="00CA5594">
        <w:rPr>
          <w:rFonts w:ascii="Arial" w:hAnsi="Arial" w:cs="Arial"/>
          <w:szCs w:val="24"/>
          <w:lang w:eastAsia="es-CO"/>
        </w:rPr>
        <w:t>probables, que pueden no darse, y en es</w:t>
      </w:r>
      <w:r w:rsidR="006045AA">
        <w:rPr>
          <w:rFonts w:ascii="Arial" w:hAnsi="Arial" w:cs="Arial"/>
          <w:szCs w:val="24"/>
          <w:lang w:eastAsia="es-CO"/>
        </w:rPr>
        <w:t>a medida fracasa en este punto.</w:t>
      </w:r>
    </w:p>
    <w:p w14:paraId="7B0B96A1" w14:textId="77777777" w:rsidR="001867FF" w:rsidRDefault="001867FF" w:rsidP="007D31EA">
      <w:pPr>
        <w:ind w:right="49"/>
        <w:contextualSpacing/>
        <w:jc w:val="both"/>
        <w:rPr>
          <w:rFonts w:ascii="Arial" w:hAnsi="Arial" w:cs="Arial"/>
          <w:szCs w:val="24"/>
          <w:lang w:eastAsia="es-CO"/>
        </w:rPr>
      </w:pPr>
    </w:p>
    <w:p w14:paraId="326E9133" w14:textId="12E24D0C" w:rsidR="00BB6B96" w:rsidRDefault="0000104A" w:rsidP="00BB6B96">
      <w:pPr>
        <w:spacing w:line="276" w:lineRule="auto"/>
        <w:ind w:right="49"/>
        <w:contextualSpacing/>
        <w:jc w:val="both"/>
        <w:rPr>
          <w:rFonts w:ascii="Arial" w:hAnsi="Arial"/>
          <w:szCs w:val="24"/>
        </w:rPr>
      </w:pPr>
      <w:r>
        <w:rPr>
          <w:rFonts w:ascii="Arial" w:hAnsi="Arial"/>
          <w:szCs w:val="24"/>
        </w:rPr>
        <w:t xml:space="preserve">Al punto </w:t>
      </w:r>
      <w:r w:rsidRPr="00AD294E">
        <w:rPr>
          <w:rFonts w:ascii="Arial" w:hAnsi="Arial"/>
          <w:szCs w:val="24"/>
        </w:rPr>
        <w:t xml:space="preserve">es preciso advertir a manera de conclusión que </w:t>
      </w:r>
      <w:r w:rsidR="00041FB3" w:rsidRPr="00AD294E">
        <w:rPr>
          <w:rFonts w:ascii="Arial" w:hAnsi="Arial"/>
          <w:szCs w:val="24"/>
        </w:rPr>
        <w:t>Álvaro Alzate López</w:t>
      </w:r>
      <w:r w:rsidRPr="00AD294E">
        <w:rPr>
          <w:rFonts w:ascii="Arial" w:hAnsi="Arial"/>
          <w:szCs w:val="24"/>
        </w:rPr>
        <w:t xml:space="preserve"> </w:t>
      </w:r>
      <w:r w:rsidR="002A1798" w:rsidRPr="00AD294E">
        <w:rPr>
          <w:rFonts w:ascii="Arial" w:hAnsi="Arial"/>
          <w:szCs w:val="24"/>
        </w:rPr>
        <w:t>contaba con la información necesaria, suficiente y veraz frente a las características</w:t>
      </w:r>
      <w:r w:rsidR="00A41148" w:rsidRPr="00AD294E">
        <w:rPr>
          <w:rFonts w:ascii="Arial" w:hAnsi="Arial"/>
          <w:szCs w:val="24"/>
        </w:rPr>
        <w:t>, condiciones y ventajas</w:t>
      </w:r>
      <w:r w:rsidR="002A1798" w:rsidRPr="00AD294E">
        <w:rPr>
          <w:rFonts w:ascii="Arial" w:hAnsi="Arial"/>
          <w:szCs w:val="24"/>
        </w:rPr>
        <w:t xml:space="preserve"> del RAIS que </w:t>
      </w:r>
      <w:r w:rsidR="00BF595B" w:rsidRPr="00AD294E">
        <w:rPr>
          <w:rFonts w:ascii="Arial" w:hAnsi="Arial"/>
          <w:szCs w:val="24"/>
        </w:rPr>
        <w:t xml:space="preserve">no solo suscribió el formulario de vinculación al RAIS a través de </w:t>
      </w:r>
      <w:r w:rsidR="00337864" w:rsidRPr="00AD294E">
        <w:rPr>
          <w:rFonts w:ascii="Arial" w:hAnsi="Arial"/>
          <w:szCs w:val="24"/>
        </w:rPr>
        <w:t>Protección</w:t>
      </w:r>
      <w:r w:rsidR="00BF595B" w:rsidRPr="00AD294E">
        <w:rPr>
          <w:rFonts w:ascii="Arial" w:hAnsi="Arial"/>
          <w:szCs w:val="24"/>
        </w:rPr>
        <w:t xml:space="preserve"> S.A.</w:t>
      </w:r>
      <w:r w:rsidR="00041FB3" w:rsidRPr="00AD294E">
        <w:rPr>
          <w:rFonts w:ascii="Arial" w:hAnsi="Arial"/>
          <w:szCs w:val="24"/>
        </w:rPr>
        <w:t xml:space="preserve"> en 1997</w:t>
      </w:r>
      <w:r w:rsidR="00BF595B" w:rsidRPr="00AD294E">
        <w:rPr>
          <w:rFonts w:ascii="Arial" w:hAnsi="Arial"/>
          <w:szCs w:val="24"/>
        </w:rPr>
        <w:t>, que cumplió los lineamientos fijados en la ley, sino que reiteró su voluntad d</w:t>
      </w:r>
      <w:r w:rsidR="00041FB3" w:rsidRPr="00AD294E">
        <w:rPr>
          <w:rFonts w:ascii="Arial" w:hAnsi="Arial"/>
          <w:szCs w:val="24"/>
        </w:rPr>
        <w:t>e permanencia en dicho régimen, a pesar de los resultados negativos de la re asesoría pensional, cuando estaba al borde de alcanzar los 52 años, límite temporal para retornar al RPM</w:t>
      </w:r>
      <w:r w:rsidR="00BB6B96" w:rsidRPr="00AD294E">
        <w:rPr>
          <w:rFonts w:ascii="Arial" w:hAnsi="Arial"/>
          <w:szCs w:val="24"/>
        </w:rPr>
        <w:t xml:space="preserve">, </w:t>
      </w:r>
      <w:r w:rsidR="007577C1" w:rsidRPr="00AD294E">
        <w:rPr>
          <w:rFonts w:ascii="Arial" w:hAnsi="Arial"/>
          <w:szCs w:val="24"/>
        </w:rPr>
        <w:t xml:space="preserve">de </w:t>
      </w:r>
      <w:r w:rsidR="00BB6B96" w:rsidRPr="00AD294E">
        <w:rPr>
          <w:rFonts w:ascii="Arial" w:hAnsi="Arial"/>
          <w:szCs w:val="24"/>
        </w:rPr>
        <w:t xml:space="preserve">lo que </w:t>
      </w:r>
      <w:r w:rsidR="007577C1" w:rsidRPr="00AD294E">
        <w:rPr>
          <w:rFonts w:ascii="Arial" w:hAnsi="Arial"/>
          <w:szCs w:val="24"/>
        </w:rPr>
        <w:t>se infiere</w:t>
      </w:r>
      <w:r w:rsidR="00BB6B96" w:rsidRPr="00AD294E">
        <w:rPr>
          <w:rFonts w:ascii="Arial" w:hAnsi="Arial"/>
          <w:szCs w:val="24"/>
        </w:rPr>
        <w:t xml:space="preserve"> que estaba conforme con los beneficios que venía disfrutando desde el año 199</w:t>
      </w:r>
      <w:r w:rsidR="00041FB3" w:rsidRPr="00AD294E">
        <w:rPr>
          <w:rFonts w:ascii="Arial" w:hAnsi="Arial"/>
          <w:szCs w:val="24"/>
        </w:rPr>
        <w:t>7</w:t>
      </w:r>
      <w:r w:rsidR="00A41148" w:rsidRPr="00AD294E">
        <w:rPr>
          <w:rFonts w:ascii="Arial" w:hAnsi="Arial"/>
          <w:szCs w:val="24"/>
        </w:rPr>
        <w:t xml:space="preserve"> cuando ingresó a él, muy a pesar de las desventajas que se presentaron para ese momento, pues de otra manera no se le hubiera sugerido retornar al RPM. </w:t>
      </w:r>
    </w:p>
    <w:p w14:paraId="47B557D8" w14:textId="77777777" w:rsidR="008348F6" w:rsidRDefault="008348F6" w:rsidP="007D31EA">
      <w:pPr>
        <w:ind w:right="49"/>
        <w:contextualSpacing/>
        <w:jc w:val="both"/>
        <w:rPr>
          <w:rFonts w:ascii="Arial" w:hAnsi="Arial"/>
          <w:szCs w:val="24"/>
        </w:rPr>
      </w:pPr>
    </w:p>
    <w:p w14:paraId="4991C270" w14:textId="77777777" w:rsidR="008348F6" w:rsidRPr="00AD294E" w:rsidRDefault="008348F6" w:rsidP="008348F6">
      <w:pPr>
        <w:spacing w:line="276" w:lineRule="auto"/>
        <w:ind w:right="49"/>
        <w:contextualSpacing/>
        <w:jc w:val="both"/>
        <w:rPr>
          <w:rFonts w:ascii="Arial" w:hAnsi="Arial" w:cs="Arial"/>
          <w:szCs w:val="24"/>
        </w:rPr>
      </w:pPr>
      <w:r>
        <w:rPr>
          <w:rFonts w:ascii="Arial" w:hAnsi="Arial" w:cs="Arial"/>
          <w:szCs w:val="24"/>
        </w:rPr>
        <w:t>E</w:t>
      </w:r>
      <w:r w:rsidRPr="00BC3C0F">
        <w:rPr>
          <w:rFonts w:ascii="Arial" w:hAnsi="Arial" w:cs="Arial"/>
          <w:szCs w:val="24"/>
        </w:rPr>
        <w:t xml:space="preserve">n estos términos no puede tildarse de engañosa o falaz la asesoría que se le </w:t>
      </w:r>
      <w:r w:rsidRPr="00C10D52">
        <w:rPr>
          <w:rFonts w:ascii="Arial" w:hAnsi="Arial" w:cs="Arial"/>
          <w:szCs w:val="24"/>
        </w:rPr>
        <w:t>brindó,</w:t>
      </w:r>
      <w:r>
        <w:rPr>
          <w:rFonts w:ascii="Arial" w:hAnsi="Arial" w:cs="Arial"/>
          <w:szCs w:val="24"/>
        </w:rPr>
        <w:t xml:space="preserve"> ni que el actuar de la AFP</w:t>
      </w:r>
      <w:r w:rsidRPr="00C10D52">
        <w:rPr>
          <w:rFonts w:ascii="Arial" w:hAnsi="Arial" w:cs="Arial"/>
          <w:szCs w:val="24"/>
        </w:rPr>
        <w:t xml:space="preserve"> estuviere desprovisto de lealtad, diligencia, probidad, sinceridad, pues precisamente </w:t>
      </w:r>
      <w:r>
        <w:rPr>
          <w:rFonts w:ascii="Arial" w:hAnsi="Arial" w:cs="Arial"/>
          <w:szCs w:val="24"/>
        </w:rPr>
        <w:t>aquellas</w:t>
      </w:r>
      <w:r w:rsidRPr="00C10D52">
        <w:rPr>
          <w:rFonts w:ascii="Arial" w:hAnsi="Arial" w:cs="Arial"/>
          <w:szCs w:val="24"/>
        </w:rPr>
        <w:t xml:space="preserve"> son propias del RAIS y que se encuentran </w:t>
      </w:r>
      <w:r w:rsidRPr="00AD294E">
        <w:rPr>
          <w:rFonts w:ascii="Arial" w:hAnsi="Arial" w:cs="Arial"/>
          <w:szCs w:val="24"/>
        </w:rPr>
        <w:t xml:space="preserve">consagradas en la Ley 100 de 1993 a partir del artículo 64 y s.s., por lo que no incurrió en algún error al escoger el RAIS en 1997 y permanecer en él, pues recibió la información que para esa época se exigía en la ley.  </w:t>
      </w:r>
    </w:p>
    <w:p w14:paraId="4488B6FC" w14:textId="77777777" w:rsidR="006061C3" w:rsidRPr="00AD294E" w:rsidRDefault="006061C3" w:rsidP="007D31EA">
      <w:pPr>
        <w:ind w:right="49"/>
        <w:contextualSpacing/>
        <w:jc w:val="both"/>
        <w:rPr>
          <w:rFonts w:ascii="Arial" w:hAnsi="Arial"/>
          <w:szCs w:val="24"/>
        </w:rPr>
      </w:pPr>
    </w:p>
    <w:p w14:paraId="514E8248" w14:textId="0CDFE290" w:rsidR="00CA5594" w:rsidRDefault="006D5B81" w:rsidP="00CC311A">
      <w:pPr>
        <w:spacing w:line="276" w:lineRule="auto"/>
        <w:jc w:val="both"/>
        <w:rPr>
          <w:rFonts w:ascii="Arial" w:hAnsi="Arial"/>
          <w:szCs w:val="24"/>
        </w:rPr>
      </w:pPr>
      <w:r w:rsidRPr="00AD294E">
        <w:rPr>
          <w:rFonts w:ascii="Arial" w:hAnsi="Arial" w:cs="Arial"/>
          <w:szCs w:val="24"/>
        </w:rPr>
        <w:t>Con lo anterior, lo que se demuestra es que la parte actora pretendió</w:t>
      </w:r>
      <w:r>
        <w:rPr>
          <w:rFonts w:ascii="Arial" w:hAnsi="Arial" w:cs="Arial"/>
          <w:szCs w:val="24"/>
        </w:rPr>
        <w:t xml:space="preserve"> acondicionar una versión que se ajustara a los presupuestos legales que regulan la ineficacia del traslado entre regímenes, para </w:t>
      </w:r>
      <w:r w:rsidRPr="00725C2C">
        <w:rPr>
          <w:rFonts w:ascii="Arial" w:hAnsi="Arial" w:cs="Arial"/>
          <w:szCs w:val="24"/>
        </w:rPr>
        <w:t xml:space="preserve">corregir su pasividad </w:t>
      </w:r>
      <w:r>
        <w:rPr>
          <w:rFonts w:ascii="Arial" w:hAnsi="Arial" w:cs="Arial"/>
          <w:szCs w:val="24"/>
        </w:rPr>
        <w:t xml:space="preserve">con el propósito de retornar al RPM, de ahí que lo que lo que se advierte, es que con esta acción lo que intenta es corregir dicha incuria, pues no demostró que haya existido algún </w:t>
      </w:r>
      <w:r w:rsidR="002D4514">
        <w:rPr>
          <w:rFonts w:ascii="Arial" w:hAnsi="Arial"/>
          <w:szCs w:val="24"/>
        </w:rPr>
        <w:t>vicio en el consentimiento</w:t>
      </w:r>
      <w:r w:rsidR="00BB6B96">
        <w:rPr>
          <w:rFonts w:ascii="Arial" w:hAnsi="Arial"/>
          <w:szCs w:val="24"/>
        </w:rPr>
        <w:t>, cuando escogió el RAIS en 199</w:t>
      </w:r>
      <w:r w:rsidR="00041FB3">
        <w:rPr>
          <w:rFonts w:ascii="Arial" w:hAnsi="Arial"/>
          <w:szCs w:val="24"/>
        </w:rPr>
        <w:t>7</w:t>
      </w:r>
      <w:r w:rsidR="006F37D8">
        <w:rPr>
          <w:rFonts w:ascii="Arial" w:hAnsi="Arial"/>
          <w:szCs w:val="24"/>
        </w:rPr>
        <w:t>, pues</w:t>
      </w:r>
      <w:r w:rsidR="00BB6B96">
        <w:rPr>
          <w:rFonts w:ascii="Arial" w:hAnsi="Arial"/>
          <w:szCs w:val="24"/>
        </w:rPr>
        <w:t xml:space="preserve"> </w:t>
      </w:r>
      <w:r w:rsidR="002D4514">
        <w:rPr>
          <w:rFonts w:ascii="Arial" w:hAnsi="Arial"/>
          <w:szCs w:val="24"/>
        </w:rPr>
        <w:t xml:space="preserve">se le brindó la información para que tomara su decisión, por lo que mal puede decirse que se le desconoció su derecho a la libre escogencia. </w:t>
      </w:r>
    </w:p>
    <w:p w14:paraId="07F75768" w14:textId="77777777" w:rsidR="00337864" w:rsidRPr="005746F8" w:rsidRDefault="00337864" w:rsidP="005746F8">
      <w:pPr>
        <w:contextualSpacing/>
        <w:rPr>
          <w:rFonts w:ascii="Arial" w:hAnsi="Arial" w:cs="Arial"/>
          <w:color w:val="000000" w:themeColor="text1"/>
          <w:szCs w:val="24"/>
        </w:rPr>
      </w:pPr>
    </w:p>
    <w:p w14:paraId="4361218C" w14:textId="77777777" w:rsidR="00BF595B" w:rsidRPr="00BC3C0F" w:rsidRDefault="00BF595B" w:rsidP="007D31EA">
      <w:pPr>
        <w:shd w:val="clear" w:color="auto" w:fill="FFFFFF"/>
        <w:tabs>
          <w:tab w:val="left" w:pos="5197"/>
        </w:tabs>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5746F8" w:rsidRDefault="00394D80" w:rsidP="005746F8">
      <w:pPr>
        <w:contextualSpacing/>
        <w:rPr>
          <w:rFonts w:ascii="Arial" w:hAnsi="Arial" w:cs="Arial"/>
          <w:color w:val="000000" w:themeColor="text1"/>
          <w:szCs w:val="24"/>
        </w:rPr>
      </w:pPr>
    </w:p>
    <w:p w14:paraId="02E6C85D" w14:textId="343718EE" w:rsidR="00D97A7E" w:rsidRDefault="00BF595B" w:rsidP="00D97A7E">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 xml:space="preserve">Conforme lo expuesto, la decisión revisada será </w:t>
      </w:r>
      <w:r w:rsidR="00041FB3">
        <w:rPr>
          <w:rFonts w:ascii="Arial" w:hAnsi="Arial" w:cs="Arial"/>
          <w:color w:val="000000" w:themeColor="text1"/>
          <w:szCs w:val="24"/>
          <w:lang w:eastAsia="es-CO"/>
        </w:rPr>
        <w:t>revocada</w:t>
      </w:r>
      <w:r w:rsidR="00337864">
        <w:rPr>
          <w:rFonts w:ascii="Arial" w:hAnsi="Arial" w:cs="Arial"/>
          <w:color w:val="000000" w:themeColor="text1"/>
          <w:szCs w:val="24"/>
          <w:lang w:eastAsia="es-CO"/>
        </w:rPr>
        <w:t>.</w:t>
      </w:r>
      <w:r w:rsidR="00CA5594">
        <w:rPr>
          <w:rFonts w:ascii="Arial" w:hAnsi="Arial" w:cs="Arial"/>
          <w:color w:val="000000" w:themeColor="text1"/>
          <w:szCs w:val="24"/>
          <w:lang w:eastAsia="es-CO"/>
        </w:rPr>
        <w:t xml:space="preserve"> </w:t>
      </w:r>
      <w:r w:rsidR="00041FB3">
        <w:rPr>
          <w:rFonts w:ascii="Arial" w:hAnsi="Arial" w:cs="Arial"/>
          <w:color w:val="000000" w:themeColor="text1"/>
          <w:szCs w:val="24"/>
          <w:lang w:eastAsia="es-CO"/>
        </w:rPr>
        <w:t xml:space="preserve">Costas en ambas instancias a cargo del demandante y a favor de las demandadas, de conformidad con el </w:t>
      </w:r>
      <w:proofErr w:type="spellStart"/>
      <w:r w:rsidR="00041FB3">
        <w:rPr>
          <w:rFonts w:ascii="Arial" w:hAnsi="Arial" w:cs="Arial"/>
          <w:color w:val="000000" w:themeColor="text1"/>
          <w:szCs w:val="24"/>
          <w:lang w:eastAsia="es-CO"/>
        </w:rPr>
        <w:t>num</w:t>
      </w:r>
      <w:proofErr w:type="spellEnd"/>
      <w:r w:rsidR="00041FB3">
        <w:rPr>
          <w:rFonts w:ascii="Arial" w:hAnsi="Arial" w:cs="Arial"/>
          <w:color w:val="000000" w:themeColor="text1"/>
          <w:szCs w:val="24"/>
          <w:lang w:eastAsia="es-CO"/>
        </w:rPr>
        <w:t>. 4º del art. 365 del C.G.P.</w:t>
      </w:r>
    </w:p>
    <w:p w14:paraId="65C80AE1" w14:textId="77777777" w:rsidR="007D31EA" w:rsidRDefault="007D31EA" w:rsidP="005746F8">
      <w:pPr>
        <w:contextualSpacing/>
        <w:rPr>
          <w:rFonts w:ascii="Arial" w:hAnsi="Arial" w:cs="Arial"/>
          <w:color w:val="000000" w:themeColor="text1"/>
          <w:szCs w:val="24"/>
        </w:rPr>
      </w:pPr>
    </w:p>
    <w:p w14:paraId="7223D57C"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63C1E803" w14:textId="77777777" w:rsidR="00BF595B" w:rsidRPr="005746F8" w:rsidRDefault="00BF595B" w:rsidP="005746F8">
      <w:pPr>
        <w:contextualSpacing/>
        <w:rPr>
          <w:rFonts w:ascii="Arial" w:hAnsi="Arial" w:cs="Arial"/>
          <w:color w:val="000000" w:themeColor="text1"/>
          <w:szCs w:val="24"/>
        </w:rPr>
      </w:pPr>
    </w:p>
    <w:p w14:paraId="20EE9F92" w14:textId="676F1D62" w:rsidR="00BF595B" w:rsidRPr="00BC3C0F" w:rsidRDefault="00BF595B" w:rsidP="00BF595B">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7D6C6DC4" w14:textId="77777777" w:rsidR="00BF595B" w:rsidRDefault="00BF595B" w:rsidP="005746F8">
      <w:pPr>
        <w:contextualSpacing/>
        <w:rPr>
          <w:rFonts w:ascii="Arial" w:hAnsi="Arial" w:cs="Arial"/>
          <w:color w:val="000000" w:themeColor="text1"/>
          <w:szCs w:val="24"/>
        </w:rPr>
      </w:pPr>
    </w:p>
    <w:p w14:paraId="43BBEE37"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1BAE911E" w14:textId="77777777" w:rsidR="00BF595B" w:rsidRPr="005746F8" w:rsidRDefault="00BF595B" w:rsidP="005746F8">
      <w:pPr>
        <w:contextualSpacing/>
        <w:rPr>
          <w:rFonts w:ascii="Arial" w:hAnsi="Arial" w:cs="Arial"/>
          <w:color w:val="000000" w:themeColor="text1"/>
          <w:szCs w:val="24"/>
        </w:rPr>
      </w:pPr>
    </w:p>
    <w:p w14:paraId="48D169AC" w14:textId="0CD47C3F" w:rsidR="00CC311A" w:rsidRPr="00041FB3" w:rsidRDefault="00BF595B" w:rsidP="00D97A7E">
      <w:pPr>
        <w:pStyle w:val="Sinespaciado"/>
        <w:tabs>
          <w:tab w:val="left" w:pos="3387"/>
        </w:tabs>
        <w:spacing w:line="276" w:lineRule="auto"/>
        <w:contextualSpacing/>
        <w:jc w:val="both"/>
        <w:rPr>
          <w:rFonts w:ascii="Arial" w:hAnsi="Arial" w:cs="Arial"/>
          <w:bCs/>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sidR="00041FB3">
        <w:rPr>
          <w:rFonts w:ascii="Arial" w:hAnsi="Arial" w:cs="Arial"/>
          <w:b/>
          <w:color w:val="000000" w:themeColor="text1"/>
          <w:sz w:val="24"/>
          <w:szCs w:val="24"/>
        </w:rPr>
        <w:t>REVOCAR</w:t>
      </w:r>
      <w:r w:rsidRPr="00BC3C0F">
        <w:rPr>
          <w:rFonts w:ascii="Arial" w:hAnsi="Arial" w:cs="Arial"/>
          <w:b/>
          <w:color w:val="000000" w:themeColor="text1"/>
          <w:sz w:val="24"/>
          <w:szCs w:val="24"/>
        </w:rPr>
        <w:t xml:space="preserve"> </w:t>
      </w:r>
      <w:r w:rsidR="00CC0F06" w:rsidRPr="00D97A7E">
        <w:rPr>
          <w:rFonts w:ascii="Arial" w:eastAsia="Times New Roman" w:hAnsi="Arial" w:cs="Arial"/>
          <w:color w:val="000000" w:themeColor="text1"/>
          <w:sz w:val="24"/>
          <w:szCs w:val="24"/>
        </w:rPr>
        <w:t>l</w:t>
      </w:r>
      <w:r w:rsidR="00CC0F06" w:rsidRPr="00CC311A">
        <w:rPr>
          <w:rFonts w:ascii="Arial" w:eastAsia="Times New Roman" w:hAnsi="Arial" w:cs="Arial"/>
          <w:color w:val="000000" w:themeColor="text1"/>
          <w:sz w:val="24"/>
          <w:szCs w:val="24"/>
        </w:rPr>
        <w:t xml:space="preserve">a sentencia proferida el </w:t>
      </w:r>
      <w:r w:rsidR="00041FB3" w:rsidRPr="00041FB3">
        <w:rPr>
          <w:rFonts w:ascii="Arial" w:eastAsia="Times New Roman" w:hAnsi="Arial" w:cs="Arial"/>
          <w:color w:val="000000" w:themeColor="text1"/>
          <w:sz w:val="24"/>
          <w:szCs w:val="24"/>
        </w:rPr>
        <w:t xml:space="preserve">6 de agosto de 2018 por el Juzgado Segundo Laboral del Circuito de Pereira, dentro del proceso promovido por </w:t>
      </w:r>
      <w:r w:rsidR="00041FB3" w:rsidRPr="00041FB3">
        <w:rPr>
          <w:rFonts w:ascii="Arial" w:eastAsia="Times New Roman" w:hAnsi="Arial" w:cs="Arial"/>
          <w:b/>
          <w:color w:val="000000" w:themeColor="text1"/>
          <w:sz w:val="24"/>
          <w:szCs w:val="24"/>
        </w:rPr>
        <w:t xml:space="preserve">Álvaro </w:t>
      </w:r>
      <w:r w:rsidR="00041FB3" w:rsidRPr="00041FB3">
        <w:rPr>
          <w:rFonts w:ascii="Arial" w:eastAsia="Times New Roman" w:hAnsi="Arial" w:cs="Arial"/>
          <w:b/>
          <w:color w:val="000000" w:themeColor="text1"/>
          <w:sz w:val="24"/>
          <w:szCs w:val="24"/>
        </w:rPr>
        <w:lastRenderedPageBreak/>
        <w:t>Alzate López</w:t>
      </w:r>
      <w:r w:rsidR="00041FB3" w:rsidRPr="00041FB3">
        <w:rPr>
          <w:rFonts w:ascii="Arial" w:eastAsia="Times New Roman" w:hAnsi="Arial" w:cs="Arial"/>
          <w:color w:val="000000" w:themeColor="text1"/>
          <w:sz w:val="24"/>
          <w:szCs w:val="24"/>
        </w:rPr>
        <w:t xml:space="preserve"> contra de la </w:t>
      </w:r>
      <w:r w:rsidR="00041FB3" w:rsidRPr="00041FB3">
        <w:rPr>
          <w:rFonts w:ascii="Arial" w:eastAsia="Times New Roman" w:hAnsi="Arial" w:cs="Arial"/>
          <w:b/>
          <w:color w:val="000000" w:themeColor="text1"/>
          <w:sz w:val="24"/>
          <w:szCs w:val="24"/>
        </w:rPr>
        <w:t>Administradora Colombiana de Pensiones COLPENSIONES y Protección S.A.,</w:t>
      </w:r>
      <w:r w:rsidR="00041FB3">
        <w:rPr>
          <w:rFonts w:ascii="Arial" w:eastAsia="Times New Roman" w:hAnsi="Arial" w:cs="Arial"/>
          <w:b/>
          <w:color w:val="000000" w:themeColor="text1"/>
          <w:sz w:val="24"/>
          <w:szCs w:val="24"/>
        </w:rPr>
        <w:t xml:space="preserve"> </w:t>
      </w:r>
      <w:r w:rsidR="00041FB3">
        <w:rPr>
          <w:rFonts w:ascii="Arial" w:eastAsia="Times New Roman" w:hAnsi="Arial" w:cs="Arial"/>
          <w:color w:val="000000" w:themeColor="text1"/>
          <w:sz w:val="24"/>
          <w:szCs w:val="24"/>
        </w:rPr>
        <w:t xml:space="preserve">para en su lugar absolver a las demandadas de las pretensiones elevadas en su contra. </w:t>
      </w:r>
    </w:p>
    <w:p w14:paraId="3220070C" w14:textId="77777777" w:rsidR="00D97A7E" w:rsidRPr="005746F8" w:rsidRDefault="00D97A7E" w:rsidP="005746F8">
      <w:pPr>
        <w:contextualSpacing/>
        <w:rPr>
          <w:rFonts w:ascii="Arial" w:hAnsi="Arial" w:cs="Arial"/>
          <w:color w:val="000000" w:themeColor="text1"/>
          <w:szCs w:val="24"/>
        </w:rPr>
      </w:pPr>
    </w:p>
    <w:p w14:paraId="0C95D9A0" w14:textId="3AFB164B" w:rsidR="00BF595B" w:rsidRPr="00BC3C0F" w:rsidRDefault="00BF595B" w:rsidP="00CC311A">
      <w:pPr>
        <w:pStyle w:val="Sinespaciado"/>
        <w:tabs>
          <w:tab w:val="left" w:pos="3387"/>
        </w:tabs>
        <w:spacing w:line="276" w:lineRule="auto"/>
        <w:contextualSpacing/>
        <w:jc w:val="both"/>
        <w:rPr>
          <w:rFonts w:ascii="Arial" w:hAnsi="Arial" w:cs="Arial"/>
          <w:color w:val="000000" w:themeColor="text1"/>
          <w:szCs w:val="24"/>
        </w:rPr>
      </w:pPr>
      <w:r w:rsidRPr="00000755">
        <w:rPr>
          <w:rFonts w:ascii="Arial" w:hAnsi="Arial" w:cs="Arial"/>
          <w:b/>
          <w:color w:val="000000" w:themeColor="text1"/>
          <w:sz w:val="24"/>
          <w:szCs w:val="24"/>
          <w:u w:val="single"/>
        </w:rPr>
        <w:t>SEGUNDO:</w:t>
      </w:r>
      <w:r w:rsidRPr="00000755">
        <w:rPr>
          <w:rFonts w:ascii="Arial" w:hAnsi="Arial" w:cs="Arial"/>
          <w:color w:val="000000" w:themeColor="text1"/>
          <w:sz w:val="24"/>
          <w:szCs w:val="24"/>
        </w:rPr>
        <w:t xml:space="preserve"> </w:t>
      </w:r>
      <w:r w:rsidR="00041FB3">
        <w:rPr>
          <w:rFonts w:ascii="Arial" w:eastAsia="Times New Roman" w:hAnsi="Arial" w:cs="Arial"/>
          <w:color w:val="000000" w:themeColor="text1"/>
          <w:sz w:val="24"/>
          <w:szCs w:val="24"/>
        </w:rPr>
        <w:t xml:space="preserve">Costas de ambas instancias a cargo del demandante y a favor de las demandadas. </w:t>
      </w:r>
      <w:r w:rsidR="00D97A7E">
        <w:rPr>
          <w:rFonts w:ascii="Arial" w:eastAsia="Times New Roman" w:hAnsi="Arial" w:cs="Arial"/>
          <w:color w:val="000000" w:themeColor="text1"/>
          <w:sz w:val="24"/>
          <w:szCs w:val="24"/>
        </w:rPr>
        <w:t xml:space="preserve"> </w:t>
      </w:r>
      <w:r w:rsidR="00CC311A">
        <w:rPr>
          <w:rFonts w:ascii="Arial" w:hAnsi="Arial" w:cs="Arial"/>
          <w:color w:val="000000" w:themeColor="text1"/>
          <w:szCs w:val="24"/>
        </w:rPr>
        <w:t xml:space="preserve"> </w:t>
      </w:r>
    </w:p>
    <w:p w14:paraId="135FE0FC" w14:textId="77777777" w:rsidR="00CC311A" w:rsidRDefault="00CC311A" w:rsidP="005746F8">
      <w:pPr>
        <w:contextualSpacing/>
        <w:rPr>
          <w:rFonts w:ascii="Arial" w:hAnsi="Arial" w:cs="Arial"/>
          <w:color w:val="000000" w:themeColor="text1"/>
          <w:szCs w:val="24"/>
        </w:rPr>
      </w:pPr>
    </w:p>
    <w:p w14:paraId="566AF84D" w14:textId="77777777" w:rsidR="00BF595B" w:rsidRPr="00BC3C0F" w:rsidRDefault="00BF595B" w:rsidP="00CC311A">
      <w:pPr>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2D96F5C9" w14:textId="77777777" w:rsidR="00CC311A" w:rsidRPr="005746F8" w:rsidRDefault="00CC311A" w:rsidP="005746F8">
      <w:pPr>
        <w:contextualSpacing/>
        <w:rPr>
          <w:rFonts w:ascii="Arial" w:hAnsi="Arial" w:cs="Arial"/>
          <w:color w:val="000000" w:themeColor="text1"/>
          <w:szCs w:val="24"/>
        </w:rPr>
      </w:pPr>
    </w:p>
    <w:p w14:paraId="6EBD15FD" w14:textId="77777777" w:rsidR="00BF595B" w:rsidRPr="00BC3C0F" w:rsidRDefault="00BF595B" w:rsidP="00BF595B">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5746F8">
      <w:pPr>
        <w:contextualSpacing/>
        <w:rPr>
          <w:rFonts w:ascii="Arial" w:hAnsi="Arial" w:cs="Arial"/>
          <w:color w:val="000000" w:themeColor="text1"/>
          <w:szCs w:val="24"/>
        </w:rPr>
      </w:pPr>
    </w:p>
    <w:p w14:paraId="3E74099D" w14:textId="77777777" w:rsidR="00BF595B" w:rsidRPr="00BC3C0F" w:rsidRDefault="00BF595B" w:rsidP="00CC311A">
      <w:pPr>
        <w:widowControl w:val="0"/>
        <w:autoSpaceDE w:val="0"/>
        <w:autoSpaceDN w:val="0"/>
        <w:adjustRightInd w:val="0"/>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4A1A6DA" w14:textId="77777777" w:rsidR="00BF595B" w:rsidRPr="00BC3C0F" w:rsidRDefault="00BF595B" w:rsidP="005746F8">
      <w:pPr>
        <w:contextualSpacing/>
        <w:rPr>
          <w:rFonts w:ascii="Arial" w:hAnsi="Arial" w:cs="Arial"/>
          <w:color w:val="000000" w:themeColor="text1"/>
          <w:szCs w:val="24"/>
        </w:rPr>
      </w:pPr>
    </w:p>
    <w:p w14:paraId="4EDC27FA" w14:textId="77777777" w:rsidR="00CC311A" w:rsidRPr="005746F8" w:rsidRDefault="00CC311A" w:rsidP="005746F8">
      <w:pPr>
        <w:contextualSpacing/>
        <w:rPr>
          <w:rFonts w:ascii="Arial" w:hAnsi="Arial" w:cs="Arial"/>
          <w:color w:val="000000" w:themeColor="text1"/>
          <w:szCs w:val="24"/>
        </w:rPr>
      </w:pPr>
    </w:p>
    <w:p w14:paraId="7B97B8EA" w14:textId="77777777" w:rsidR="008B4923" w:rsidRDefault="008B4923" w:rsidP="005746F8">
      <w:pPr>
        <w:contextualSpacing/>
        <w:rPr>
          <w:rFonts w:ascii="Arial" w:hAnsi="Arial" w:cs="Arial"/>
          <w:color w:val="000000" w:themeColor="text1"/>
          <w:szCs w:val="24"/>
        </w:rPr>
      </w:pPr>
    </w:p>
    <w:p w14:paraId="626F87CE" w14:textId="77777777" w:rsidR="005746F8" w:rsidRPr="005746F8" w:rsidRDefault="005746F8" w:rsidP="005746F8">
      <w:pPr>
        <w:contextualSpacing/>
        <w:rPr>
          <w:rFonts w:ascii="Arial" w:hAnsi="Arial" w:cs="Arial"/>
          <w:color w:val="000000" w:themeColor="text1"/>
          <w:szCs w:val="24"/>
        </w:rPr>
      </w:pPr>
    </w:p>
    <w:p w14:paraId="196C8B9D" w14:textId="77777777" w:rsidR="00BF595B" w:rsidRPr="00BC3C0F" w:rsidRDefault="00BF595B" w:rsidP="00BF595B">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63CFFD34" w14:textId="5FE2E5F9"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D3190A7" w14:textId="77777777" w:rsidR="00BF595B" w:rsidRDefault="00BF595B" w:rsidP="005746F8">
      <w:pPr>
        <w:contextualSpacing/>
        <w:rPr>
          <w:rFonts w:ascii="Arial" w:hAnsi="Arial" w:cs="Arial"/>
          <w:color w:val="000000" w:themeColor="text1"/>
          <w:szCs w:val="24"/>
        </w:rPr>
      </w:pPr>
    </w:p>
    <w:p w14:paraId="069DD9DB" w14:textId="77777777" w:rsidR="008B4923" w:rsidRDefault="008B4923" w:rsidP="005746F8">
      <w:pPr>
        <w:contextualSpacing/>
        <w:rPr>
          <w:rFonts w:ascii="Arial" w:hAnsi="Arial" w:cs="Arial"/>
          <w:color w:val="000000" w:themeColor="text1"/>
          <w:szCs w:val="24"/>
        </w:rPr>
      </w:pPr>
    </w:p>
    <w:p w14:paraId="70BB48F3" w14:textId="77777777" w:rsidR="008B4923" w:rsidRDefault="008B4923" w:rsidP="005746F8">
      <w:pPr>
        <w:contextualSpacing/>
        <w:rPr>
          <w:rFonts w:ascii="Arial" w:hAnsi="Arial" w:cs="Arial"/>
          <w:color w:val="000000" w:themeColor="text1"/>
          <w:szCs w:val="24"/>
        </w:rPr>
      </w:pPr>
    </w:p>
    <w:p w14:paraId="50AEF165" w14:textId="77777777" w:rsidR="005746F8" w:rsidRDefault="005746F8" w:rsidP="005746F8">
      <w:pPr>
        <w:contextualSpacing/>
        <w:rPr>
          <w:rFonts w:ascii="Arial" w:hAnsi="Arial" w:cs="Arial"/>
          <w:color w:val="000000" w:themeColor="text1"/>
          <w:szCs w:val="24"/>
        </w:rPr>
      </w:pPr>
    </w:p>
    <w:p w14:paraId="31872B90" w14:textId="624277A4" w:rsidR="00BF595B" w:rsidRPr="00BC3C0F" w:rsidRDefault="00BF595B" w:rsidP="00BF595B">
      <w:pPr>
        <w:spacing w:line="276"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54A05029" w14:textId="07BBF83A" w:rsidR="00BF595B" w:rsidRDefault="00BF595B" w:rsidP="00394D80">
      <w:pPr>
        <w:spacing w:line="276"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r w:rsidR="00AD33A2">
        <w:rPr>
          <w:rFonts w:ascii="Arial" w:hAnsi="Arial" w:cs="Arial"/>
          <w:color w:val="000000" w:themeColor="text1"/>
          <w:sz w:val="23"/>
          <w:szCs w:val="23"/>
        </w:rPr>
        <w:t>Magistrado</w:t>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00B342BD">
        <w:rPr>
          <w:rFonts w:ascii="Arial" w:hAnsi="Arial" w:cs="Arial"/>
          <w:color w:val="000000" w:themeColor="text1"/>
          <w:sz w:val="23"/>
          <w:szCs w:val="23"/>
        </w:rPr>
        <w:t>Aclara voto</w:t>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00B342BD">
        <w:rPr>
          <w:rFonts w:ascii="Arial" w:hAnsi="Arial" w:cs="Arial"/>
          <w:color w:val="000000" w:themeColor="text1"/>
          <w:sz w:val="23"/>
          <w:szCs w:val="23"/>
        </w:rPr>
        <w:tab/>
      </w:r>
      <w:r w:rsidR="00B342BD">
        <w:rPr>
          <w:rFonts w:ascii="Arial" w:hAnsi="Arial" w:cs="Arial"/>
          <w:color w:val="000000" w:themeColor="text1"/>
          <w:sz w:val="23"/>
          <w:szCs w:val="23"/>
        </w:rPr>
        <w:tab/>
      </w:r>
      <w:r w:rsidR="00396D17">
        <w:rPr>
          <w:rFonts w:ascii="Arial" w:hAnsi="Arial" w:cs="Arial"/>
          <w:color w:val="000000" w:themeColor="text1"/>
          <w:sz w:val="23"/>
          <w:szCs w:val="23"/>
        </w:rPr>
        <w:t>Salvamento de voto</w:t>
      </w:r>
    </w:p>
    <w:p w14:paraId="2E0BF147" w14:textId="77777777" w:rsidR="00DE5640" w:rsidRDefault="00DE5640" w:rsidP="00394D80">
      <w:pPr>
        <w:spacing w:line="276" w:lineRule="auto"/>
        <w:contextualSpacing/>
        <w:jc w:val="both"/>
        <w:rPr>
          <w:rFonts w:ascii="Arial" w:hAnsi="Arial" w:cs="Arial"/>
          <w:color w:val="000000" w:themeColor="text1"/>
          <w:sz w:val="23"/>
          <w:szCs w:val="23"/>
        </w:rPr>
      </w:pPr>
    </w:p>
    <w:p w14:paraId="1B3406BD" w14:textId="35F34140" w:rsidR="00DE5640" w:rsidRDefault="00DE5640">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5FFD152B" w14:textId="77777777" w:rsidR="005746F8" w:rsidRPr="005746F8" w:rsidRDefault="005746F8" w:rsidP="00CB2A6E">
      <w:pPr>
        <w:autoSpaceDE w:val="0"/>
        <w:autoSpaceDN w:val="0"/>
        <w:adjustRightInd w:val="0"/>
        <w:jc w:val="both"/>
        <w:rPr>
          <w:rFonts w:ascii="Arial" w:hAnsi="Arial" w:cs="Arial"/>
          <w:spacing w:val="2"/>
          <w:sz w:val="20"/>
          <w:lang w:val="es-ES"/>
        </w:rPr>
      </w:pPr>
      <w:r w:rsidRPr="005746F8">
        <w:rPr>
          <w:rFonts w:ascii="Arial" w:hAnsi="Arial" w:cs="Arial"/>
          <w:spacing w:val="2"/>
          <w:sz w:val="20"/>
          <w:lang w:val="es-ES"/>
        </w:rPr>
        <w:lastRenderedPageBreak/>
        <w:t>Radicación Nro.</w:t>
      </w:r>
      <w:r w:rsidRPr="005746F8">
        <w:rPr>
          <w:rFonts w:ascii="Arial" w:hAnsi="Arial" w:cs="Arial"/>
          <w:spacing w:val="2"/>
          <w:sz w:val="20"/>
          <w:lang w:val="es-ES"/>
        </w:rPr>
        <w:tab/>
      </w:r>
      <w:r w:rsidRPr="005746F8">
        <w:rPr>
          <w:rFonts w:ascii="Arial" w:hAnsi="Arial" w:cs="Arial"/>
          <w:spacing w:val="2"/>
          <w:sz w:val="20"/>
          <w:lang w:val="es-ES"/>
        </w:rPr>
        <w:tab/>
      </w:r>
      <w:r w:rsidRPr="005746F8">
        <w:rPr>
          <w:rFonts w:ascii="Arial" w:hAnsi="Arial" w:cs="Arial"/>
          <w:bCs/>
          <w:spacing w:val="2"/>
          <w:sz w:val="20"/>
          <w:lang w:val="es-CO"/>
        </w:rPr>
        <w:t>Rad. 66001-31-05-002-2017-00297-01</w:t>
      </w:r>
    </w:p>
    <w:p w14:paraId="0B21E9EB" w14:textId="77777777" w:rsidR="005746F8" w:rsidRPr="005746F8" w:rsidRDefault="005746F8" w:rsidP="00CB2A6E">
      <w:pPr>
        <w:autoSpaceDE w:val="0"/>
        <w:autoSpaceDN w:val="0"/>
        <w:adjustRightInd w:val="0"/>
        <w:jc w:val="both"/>
        <w:rPr>
          <w:rFonts w:ascii="Arial" w:hAnsi="Arial" w:cs="Arial"/>
          <w:spacing w:val="2"/>
          <w:sz w:val="20"/>
          <w:lang w:val="es-ES"/>
        </w:rPr>
      </w:pPr>
      <w:r w:rsidRPr="005746F8">
        <w:rPr>
          <w:rFonts w:ascii="Arial" w:hAnsi="Arial" w:cs="Arial"/>
          <w:spacing w:val="2"/>
          <w:sz w:val="20"/>
          <w:lang w:val="es-ES"/>
        </w:rPr>
        <w:t>Proceso</w:t>
      </w:r>
      <w:r w:rsidRPr="005746F8">
        <w:rPr>
          <w:rFonts w:ascii="Arial" w:hAnsi="Arial" w:cs="Arial"/>
          <w:spacing w:val="2"/>
          <w:sz w:val="20"/>
          <w:lang w:val="es-ES"/>
        </w:rPr>
        <w:tab/>
      </w:r>
      <w:r w:rsidRPr="005746F8">
        <w:rPr>
          <w:rFonts w:ascii="Arial" w:hAnsi="Arial" w:cs="Arial"/>
          <w:spacing w:val="2"/>
          <w:sz w:val="20"/>
          <w:lang w:val="es-ES"/>
        </w:rPr>
        <w:tab/>
        <w:t xml:space="preserve"> </w:t>
      </w:r>
      <w:r w:rsidRPr="005746F8">
        <w:rPr>
          <w:rFonts w:ascii="Arial" w:hAnsi="Arial" w:cs="Arial"/>
          <w:spacing w:val="2"/>
          <w:sz w:val="20"/>
          <w:lang w:val="es-ES"/>
        </w:rPr>
        <w:tab/>
        <w:t>Ordinario Laboral</w:t>
      </w:r>
    </w:p>
    <w:p w14:paraId="2F1780F0" w14:textId="65315A8B" w:rsidR="005746F8" w:rsidRPr="005746F8" w:rsidRDefault="005746F8" w:rsidP="00CB2A6E">
      <w:pPr>
        <w:autoSpaceDE w:val="0"/>
        <w:autoSpaceDN w:val="0"/>
        <w:adjustRightInd w:val="0"/>
        <w:jc w:val="both"/>
        <w:rPr>
          <w:rFonts w:ascii="Arial" w:hAnsi="Arial" w:cs="Arial"/>
          <w:spacing w:val="2"/>
          <w:sz w:val="20"/>
          <w:lang w:val="es-ES"/>
        </w:rPr>
      </w:pPr>
      <w:r w:rsidRPr="005746F8">
        <w:rPr>
          <w:rFonts w:ascii="Arial" w:hAnsi="Arial" w:cs="Arial"/>
          <w:spacing w:val="2"/>
          <w:sz w:val="20"/>
          <w:lang w:val="es-ES"/>
        </w:rPr>
        <w:t>Demandante:</w:t>
      </w:r>
      <w:r w:rsidRPr="005746F8">
        <w:rPr>
          <w:rFonts w:ascii="Arial" w:hAnsi="Arial" w:cs="Arial"/>
          <w:spacing w:val="2"/>
          <w:sz w:val="20"/>
          <w:lang w:val="es-ES"/>
        </w:rPr>
        <w:tab/>
      </w:r>
      <w:r w:rsidRPr="005746F8">
        <w:rPr>
          <w:rFonts w:ascii="Arial" w:hAnsi="Arial" w:cs="Arial"/>
          <w:spacing w:val="2"/>
          <w:sz w:val="20"/>
          <w:lang w:val="es-ES"/>
        </w:rPr>
        <w:tab/>
      </w:r>
      <w:r w:rsidRPr="005746F8">
        <w:rPr>
          <w:rFonts w:ascii="Arial" w:hAnsi="Arial" w:cs="Arial"/>
          <w:spacing w:val="2"/>
          <w:sz w:val="20"/>
          <w:lang w:val="es-ES"/>
        </w:rPr>
        <w:tab/>
      </w:r>
      <w:r w:rsidR="008C7B76" w:rsidRPr="005746F8">
        <w:rPr>
          <w:rFonts w:ascii="Arial" w:hAnsi="Arial" w:cs="Arial"/>
          <w:spacing w:val="2"/>
          <w:sz w:val="20"/>
          <w:lang w:val="es-ES"/>
        </w:rPr>
        <w:t>Álvaro</w:t>
      </w:r>
      <w:r w:rsidRPr="005746F8">
        <w:rPr>
          <w:rFonts w:ascii="Arial" w:hAnsi="Arial" w:cs="Arial"/>
          <w:spacing w:val="2"/>
          <w:sz w:val="20"/>
          <w:lang w:val="es-ES"/>
        </w:rPr>
        <w:t xml:space="preserve"> </w:t>
      </w:r>
      <w:proofErr w:type="spellStart"/>
      <w:r w:rsidRPr="005746F8">
        <w:rPr>
          <w:rFonts w:ascii="Arial" w:hAnsi="Arial" w:cs="Arial"/>
          <w:spacing w:val="2"/>
          <w:sz w:val="20"/>
          <w:lang w:val="es-ES"/>
        </w:rPr>
        <w:t>Alzate</w:t>
      </w:r>
      <w:proofErr w:type="spellEnd"/>
      <w:r w:rsidRPr="005746F8">
        <w:rPr>
          <w:rFonts w:ascii="Arial" w:hAnsi="Arial" w:cs="Arial"/>
          <w:spacing w:val="2"/>
          <w:sz w:val="20"/>
          <w:lang w:val="es-ES"/>
        </w:rPr>
        <w:t xml:space="preserve"> López</w:t>
      </w:r>
    </w:p>
    <w:p w14:paraId="33BA433E" w14:textId="77777777" w:rsidR="005746F8" w:rsidRPr="005746F8" w:rsidRDefault="005746F8" w:rsidP="00CB2A6E">
      <w:pPr>
        <w:autoSpaceDE w:val="0"/>
        <w:autoSpaceDN w:val="0"/>
        <w:adjustRightInd w:val="0"/>
        <w:jc w:val="both"/>
        <w:rPr>
          <w:rFonts w:ascii="Arial" w:hAnsi="Arial" w:cs="Arial"/>
          <w:spacing w:val="2"/>
          <w:sz w:val="20"/>
          <w:lang w:val="es-ES"/>
        </w:rPr>
      </w:pPr>
      <w:r w:rsidRPr="005746F8">
        <w:rPr>
          <w:rFonts w:ascii="Arial" w:hAnsi="Arial" w:cs="Arial"/>
          <w:spacing w:val="2"/>
          <w:sz w:val="20"/>
          <w:lang w:val="es-ES"/>
        </w:rPr>
        <w:t>Demandados:</w:t>
      </w:r>
      <w:r w:rsidRPr="005746F8">
        <w:rPr>
          <w:rFonts w:ascii="Arial" w:hAnsi="Arial" w:cs="Arial"/>
          <w:spacing w:val="2"/>
          <w:sz w:val="20"/>
          <w:lang w:val="es-ES"/>
        </w:rPr>
        <w:tab/>
      </w:r>
      <w:r w:rsidRPr="005746F8">
        <w:rPr>
          <w:rFonts w:ascii="Arial" w:hAnsi="Arial" w:cs="Arial"/>
          <w:spacing w:val="2"/>
          <w:sz w:val="20"/>
          <w:lang w:val="es-ES"/>
        </w:rPr>
        <w:tab/>
      </w:r>
      <w:r w:rsidRPr="005746F8">
        <w:rPr>
          <w:rFonts w:ascii="Arial" w:hAnsi="Arial" w:cs="Arial"/>
          <w:spacing w:val="2"/>
          <w:sz w:val="20"/>
          <w:lang w:val="es-ES"/>
        </w:rPr>
        <w:tab/>
      </w:r>
      <w:r w:rsidRPr="005746F8">
        <w:rPr>
          <w:rFonts w:ascii="Arial" w:hAnsi="Arial" w:cs="Arial"/>
          <w:bCs/>
          <w:spacing w:val="2"/>
          <w:sz w:val="20"/>
          <w:lang w:val="es-CO"/>
        </w:rPr>
        <w:t>AFP Protección S.A. y otro</w:t>
      </w:r>
    </w:p>
    <w:p w14:paraId="0BB26304" w14:textId="77777777" w:rsidR="005746F8" w:rsidRPr="005746F8" w:rsidRDefault="005746F8" w:rsidP="00CB2A6E">
      <w:pPr>
        <w:autoSpaceDE w:val="0"/>
        <w:autoSpaceDN w:val="0"/>
        <w:adjustRightInd w:val="0"/>
        <w:jc w:val="both"/>
        <w:rPr>
          <w:rFonts w:ascii="Arial" w:hAnsi="Arial" w:cs="Arial"/>
          <w:spacing w:val="2"/>
          <w:sz w:val="20"/>
          <w:lang w:val="es-ES"/>
        </w:rPr>
      </w:pPr>
    </w:p>
    <w:p w14:paraId="2609A36E" w14:textId="77777777" w:rsidR="005746F8" w:rsidRDefault="005746F8" w:rsidP="00CB2A6E">
      <w:pPr>
        <w:autoSpaceDE w:val="0"/>
        <w:autoSpaceDN w:val="0"/>
        <w:adjustRightInd w:val="0"/>
        <w:jc w:val="both"/>
        <w:rPr>
          <w:rFonts w:ascii="Arial" w:hAnsi="Arial" w:cs="Arial"/>
          <w:spacing w:val="2"/>
          <w:sz w:val="20"/>
          <w:lang w:val="es-ES"/>
        </w:rPr>
      </w:pPr>
    </w:p>
    <w:p w14:paraId="287CC3B4" w14:textId="77777777" w:rsidR="00CB2A6E" w:rsidRPr="005746F8" w:rsidRDefault="00CB2A6E" w:rsidP="00CB2A6E">
      <w:pPr>
        <w:autoSpaceDE w:val="0"/>
        <w:autoSpaceDN w:val="0"/>
        <w:adjustRightInd w:val="0"/>
        <w:jc w:val="both"/>
        <w:rPr>
          <w:rFonts w:ascii="Arial" w:hAnsi="Arial" w:cs="Arial"/>
          <w:spacing w:val="2"/>
          <w:sz w:val="20"/>
          <w:lang w:val="es-ES"/>
        </w:rPr>
      </w:pPr>
    </w:p>
    <w:p w14:paraId="5ACF7A84" w14:textId="77777777" w:rsidR="005746F8" w:rsidRPr="005746F8" w:rsidRDefault="005746F8" w:rsidP="008C7B76">
      <w:pPr>
        <w:keepNext/>
        <w:jc w:val="center"/>
        <w:outlineLvl w:val="2"/>
        <w:rPr>
          <w:rFonts w:ascii="Arial" w:hAnsi="Arial" w:cs="Arial"/>
          <w:b/>
          <w:szCs w:val="24"/>
        </w:rPr>
      </w:pPr>
      <w:r w:rsidRPr="005746F8">
        <w:rPr>
          <w:rFonts w:ascii="Arial" w:hAnsi="Arial" w:cs="Arial"/>
          <w:b/>
          <w:szCs w:val="24"/>
        </w:rPr>
        <w:t>TRIBUNAL SUPERIOR DEL DISTRITO JUDICIAL</w:t>
      </w:r>
    </w:p>
    <w:p w14:paraId="649C05B3" w14:textId="77777777" w:rsidR="005746F8" w:rsidRPr="005746F8" w:rsidRDefault="005746F8" w:rsidP="008C7B76">
      <w:pPr>
        <w:jc w:val="center"/>
        <w:rPr>
          <w:rFonts w:ascii="Arial" w:eastAsia="Calibri" w:hAnsi="Arial" w:cs="Arial"/>
          <w:b/>
          <w:szCs w:val="24"/>
          <w:lang w:val="es-CO" w:eastAsia="en-US"/>
        </w:rPr>
      </w:pPr>
    </w:p>
    <w:p w14:paraId="50938582" w14:textId="77777777" w:rsidR="005746F8" w:rsidRPr="005746F8" w:rsidRDefault="005746F8" w:rsidP="008C7B76">
      <w:pPr>
        <w:jc w:val="center"/>
        <w:rPr>
          <w:rFonts w:ascii="Arial" w:eastAsia="Calibri" w:hAnsi="Arial" w:cs="Arial"/>
          <w:b/>
          <w:szCs w:val="24"/>
          <w:lang w:val="es-CO" w:eastAsia="en-US"/>
        </w:rPr>
      </w:pPr>
      <w:r w:rsidRPr="005746F8">
        <w:rPr>
          <w:rFonts w:ascii="Arial" w:eastAsia="Calibri" w:hAnsi="Arial" w:cs="Arial"/>
          <w:b/>
          <w:szCs w:val="24"/>
          <w:lang w:val="es-CO" w:eastAsia="en-US"/>
        </w:rPr>
        <w:t>SALA LABORAL</w:t>
      </w:r>
    </w:p>
    <w:p w14:paraId="4675B221" w14:textId="77777777" w:rsidR="005746F8" w:rsidRPr="005746F8" w:rsidRDefault="005746F8" w:rsidP="008C7B76">
      <w:pPr>
        <w:jc w:val="center"/>
        <w:rPr>
          <w:rFonts w:ascii="Arial" w:hAnsi="Arial" w:cs="Arial"/>
          <w:b/>
          <w:szCs w:val="24"/>
        </w:rPr>
      </w:pPr>
    </w:p>
    <w:p w14:paraId="2C3F7707" w14:textId="77777777" w:rsidR="005746F8" w:rsidRPr="005746F8" w:rsidRDefault="005746F8" w:rsidP="008C7B76">
      <w:pPr>
        <w:jc w:val="center"/>
        <w:rPr>
          <w:rFonts w:ascii="Arial" w:hAnsi="Arial" w:cs="Arial"/>
          <w:b/>
          <w:szCs w:val="24"/>
        </w:rPr>
      </w:pPr>
      <w:r w:rsidRPr="005746F8">
        <w:rPr>
          <w:rFonts w:ascii="Arial" w:hAnsi="Arial" w:cs="Arial"/>
          <w:b/>
          <w:szCs w:val="24"/>
        </w:rPr>
        <w:t xml:space="preserve">MAGISTRADO: JULIO CÉSAR SALAZAR MUÑOZ </w:t>
      </w:r>
    </w:p>
    <w:p w14:paraId="19C6159F" w14:textId="77777777" w:rsidR="005746F8" w:rsidRPr="005746F8" w:rsidRDefault="005746F8" w:rsidP="008C7B76">
      <w:pPr>
        <w:jc w:val="center"/>
        <w:rPr>
          <w:rFonts w:ascii="Arial" w:hAnsi="Arial" w:cs="Arial"/>
          <w:b/>
          <w:szCs w:val="24"/>
        </w:rPr>
      </w:pPr>
    </w:p>
    <w:p w14:paraId="5F383293" w14:textId="77777777" w:rsidR="005746F8" w:rsidRPr="005746F8" w:rsidRDefault="005746F8" w:rsidP="008C7B76">
      <w:pPr>
        <w:jc w:val="center"/>
        <w:rPr>
          <w:rFonts w:ascii="Arial" w:hAnsi="Arial" w:cs="Arial"/>
          <w:b/>
          <w:szCs w:val="24"/>
        </w:rPr>
      </w:pPr>
      <w:r w:rsidRPr="005746F8">
        <w:rPr>
          <w:rFonts w:ascii="Arial" w:hAnsi="Arial" w:cs="Arial"/>
          <w:b/>
          <w:szCs w:val="24"/>
        </w:rPr>
        <w:t>Mayo 21 de 2019</w:t>
      </w:r>
    </w:p>
    <w:p w14:paraId="09F92BFD" w14:textId="77777777" w:rsidR="005746F8" w:rsidRPr="005746F8" w:rsidRDefault="005746F8" w:rsidP="008C7B76">
      <w:pPr>
        <w:jc w:val="center"/>
        <w:rPr>
          <w:rFonts w:ascii="Arial" w:hAnsi="Arial" w:cs="Arial"/>
          <w:b/>
          <w:szCs w:val="24"/>
        </w:rPr>
      </w:pPr>
    </w:p>
    <w:p w14:paraId="371942AE" w14:textId="77777777" w:rsidR="005746F8" w:rsidRPr="005746F8" w:rsidRDefault="005746F8" w:rsidP="008C7B76">
      <w:pPr>
        <w:jc w:val="center"/>
        <w:rPr>
          <w:rFonts w:ascii="Arial" w:hAnsi="Arial" w:cs="Arial"/>
          <w:b/>
          <w:szCs w:val="24"/>
          <w:u w:val="single"/>
        </w:rPr>
      </w:pPr>
      <w:r w:rsidRPr="005746F8">
        <w:rPr>
          <w:rFonts w:ascii="Arial" w:hAnsi="Arial" w:cs="Arial"/>
          <w:b/>
          <w:szCs w:val="24"/>
          <w:u w:val="single"/>
        </w:rPr>
        <w:t>ACLARACIÓN DE VOTO</w:t>
      </w:r>
    </w:p>
    <w:p w14:paraId="5F1FE8C6" w14:textId="77777777" w:rsidR="005746F8" w:rsidRPr="005746F8" w:rsidRDefault="005746F8" w:rsidP="00CB2A6E">
      <w:pPr>
        <w:suppressAutoHyphens/>
        <w:spacing w:line="288" w:lineRule="auto"/>
        <w:jc w:val="both"/>
        <w:rPr>
          <w:rFonts w:ascii="Arial" w:hAnsi="Arial" w:cs="Arial"/>
          <w:szCs w:val="24"/>
        </w:rPr>
      </w:pPr>
    </w:p>
    <w:p w14:paraId="6631CC6B" w14:textId="77777777" w:rsidR="005746F8" w:rsidRPr="005746F8" w:rsidRDefault="005746F8" w:rsidP="00CB2A6E">
      <w:pPr>
        <w:suppressAutoHyphens/>
        <w:spacing w:line="288" w:lineRule="auto"/>
        <w:jc w:val="both"/>
        <w:rPr>
          <w:rFonts w:ascii="Arial" w:hAnsi="Arial" w:cs="Arial"/>
          <w:spacing w:val="-2"/>
          <w:szCs w:val="24"/>
        </w:rPr>
      </w:pPr>
    </w:p>
    <w:p w14:paraId="1F7C1292"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Estoy de acuerdo con la decisión de revocar la sentencia de primera instancia que concedió la declaración de ineficacia del traslado y aunque coincido con la mayor parte de la argumentación que para llegar a tal solución fue expuesta en la providencia, me parece necesario aclarar las razones que en este tipo de asuntos me han llevado a considerar que se deben negar las nulidades o ineficacias solicitadas.</w:t>
      </w:r>
    </w:p>
    <w:p w14:paraId="75E11B84" w14:textId="77777777" w:rsidR="005746F8" w:rsidRPr="005746F8" w:rsidRDefault="005746F8" w:rsidP="00CB2A6E">
      <w:pPr>
        <w:suppressAutoHyphens/>
        <w:spacing w:line="288" w:lineRule="auto"/>
        <w:jc w:val="both"/>
        <w:rPr>
          <w:rFonts w:ascii="Arial" w:hAnsi="Arial" w:cs="Arial"/>
          <w:spacing w:val="-2"/>
          <w:szCs w:val="24"/>
        </w:rPr>
      </w:pPr>
    </w:p>
    <w:p w14:paraId="57E984CC"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Para tal efecto entonces téngase en cuenta el siguiente derrotero argumentativo:</w:t>
      </w:r>
    </w:p>
    <w:p w14:paraId="34986B0A" w14:textId="77777777" w:rsidR="005746F8" w:rsidRDefault="005746F8" w:rsidP="00CB2A6E">
      <w:pPr>
        <w:suppressAutoHyphens/>
        <w:spacing w:line="288" w:lineRule="auto"/>
        <w:jc w:val="both"/>
        <w:rPr>
          <w:rFonts w:ascii="Arial" w:hAnsi="Arial" w:cs="Arial"/>
          <w:spacing w:val="-2"/>
          <w:szCs w:val="24"/>
        </w:rPr>
      </w:pPr>
    </w:p>
    <w:p w14:paraId="3356DA43" w14:textId="77777777" w:rsidR="000E0D52" w:rsidRPr="005746F8" w:rsidRDefault="000E0D52" w:rsidP="00CB2A6E">
      <w:pPr>
        <w:suppressAutoHyphens/>
        <w:spacing w:line="288" w:lineRule="auto"/>
        <w:jc w:val="both"/>
        <w:rPr>
          <w:rFonts w:ascii="Arial" w:hAnsi="Arial" w:cs="Arial"/>
          <w:spacing w:val="-2"/>
          <w:szCs w:val="24"/>
        </w:rPr>
      </w:pPr>
    </w:p>
    <w:p w14:paraId="564F2BCF"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b/>
          <w:spacing w:val="-2"/>
          <w:szCs w:val="24"/>
        </w:rPr>
        <w:t>IMPOSIBILIDAD JURÍDICA DE IMPONER RESPONSABILIDAD A COLPENSIONES.</w:t>
      </w:r>
    </w:p>
    <w:p w14:paraId="3650817C" w14:textId="77777777" w:rsidR="005746F8" w:rsidRPr="005746F8" w:rsidRDefault="005746F8" w:rsidP="00CB2A6E">
      <w:pPr>
        <w:suppressAutoHyphens/>
        <w:spacing w:line="288" w:lineRule="auto"/>
        <w:jc w:val="both"/>
        <w:rPr>
          <w:rFonts w:ascii="Arial" w:hAnsi="Arial" w:cs="Arial"/>
          <w:spacing w:val="-2"/>
          <w:szCs w:val="24"/>
        </w:rPr>
      </w:pPr>
    </w:p>
    <w:p w14:paraId="4984515B"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7431EBB1" w14:textId="77777777" w:rsidR="005746F8" w:rsidRPr="005746F8" w:rsidRDefault="005746F8" w:rsidP="00CB2A6E">
      <w:pPr>
        <w:suppressAutoHyphens/>
        <w:spacing w:line="288" w:lineRule="auto"/>
        <w:jc w:val="both"/>
        <w:rPr>
          <w:rFonts w:ascii="Arial" w:hAnsi="Arial" w:cs="Arial"/>
          <w:spacing w:val="-2"/>
          <w:szCs w:val="24"/>
        </w:rPr>
      </w:pPr>
    </w:p>
    <w:p w14:paraId="3A2BEB20"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La ley 100 de 1993 creo una dualidad de sistemas pensionales y permitió el traslado de los afiliados entre ellos, de allí que COLPENSIONES no tenía dentro de sus posibilidades retener a los afiliados que desearan cambiarse al nuevo régimen creado.</w:t>
      </w:r>
    </w:p>
    <w:p w14:paraId="41E7EDFC"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La pregunta que deben hacerse los administradores de justicia frente a esta situación es:</w:t>
      </w:r>
    </w:p>
    <w:p w14:paraId="79A1C1B2" w14:textId="77777777" w:rsidR="005746F8" w:rsidRPr="005746F8" w:rsidRDefault="005746F8" w:rsidP="00CB2A6E">
      <w:pPr>
        <w:suppressAutoHyphens/>
        <w:spacing w:line="288" w:lineRule="auto"/>
        <w:jc w:val="both"/>
        <w:rPr>
          <w:rFonts w:ascii="Arial" w:hAnsi="Arial" w:cs="Arial"/>
          <w:spacing w:val="-2"/>
          <w:szCs w:val="24"/>
        </w:rPr>
      </w:pPr>
    </w:p>
    <w:p w14:paraId="4D90D21C" w14:textId="77777777" w:rsidR="005746F8" w:rsidRPr="005746F8" w:rsidRDefault="005746F8" w:rsidP="00CB2A6E">
      <w:pPr>
        <w:suppressAutoHyphens/>
        <w:spacing w:line="288" w:lineRule="auto"/>
        <w:jc w:val="both"/>
        <w:rPr>
          <w:rFonts w:ascii="Arial" w:hAnsi="Arial" w:cs="Arial"/>
          <w:b/>
          <w:spacing w:val="-2"/>
          <w:szCs w:val="24"/>
        </w:rPr>
      </w:pPr>
      <w:r w:rsidRPr="005746F8">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47D94D2B" w14:textId="77777777" w:rsidR="005746F8" w:rsidRPr="005746F8" w:rsidRDefault="005746F8" w:rsidP="00CB2A6E">
      <w:pPr>
        <w:suppressAutoHyphens/>
        <w:spacing w:line="288" w:lineRule="auto"/>
        <w:jc w:val="both"/>
        <w:rPr>
          <w:rFonts w:ascii="Arial" w:hAnsi="Arial" w:cs="Arial"/>
          <w:b/>
          <w:spacing w:val="-2"/>
          <w:szCs w:val="24"/>
        </w:rPr>
      </w:pPr>
    </w:p>
    <w:p w14:paraId="76725205" w14:textId="77777777" w:rsidR="005746F8" w:rsidRPr="005746F8" w:rsidRDefault="005746F8" w:rsidP="00CB2A6E">
      <w:pPr>
        <w:suppressAutoHyphens/>
        <w:spacing w:line="288" w:lineRule="auto"/>
        <w:jc w:val="both"/>
        <w:rPr>
          <w:rFonts w:ascii="Arial" w:hAnsi="Arial" w:cs="Arial"/>
          <w:b/>
          <w:spacing w:val="-2"/>
          <w:szCs w:val="24"/>
        </w:rPr>
      </w:pPr>
      <w:r w:rsidRPr="005746F8">
        <w:rPr>
          <w:rFonts w:ascii="Arial" w:hAnsi="Arial" w:cs="Arial"/>
          <w:spacing w:val="-2"/>
          <w:szCs w:val="24"/>
        </w:rPr>
        <w:t xml:space="preserve">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w:t>
      </w:r>
      <w:r w:rsidRPr="005746F8">
        <w:rPr>
          <w:rFonts w:ascii="Arial" w:hAnsi="Arial" w:cs="Arial"/>
          <w:spacing w:val="-2"/>
          <w:szCs w:val="24"/>
        </w:rPr>
        <w:lastRenderedPageBreak/>
        <w:t>individual. Obligar a este Fondo a asumir tal carga es defraudar los intereses de las personas que legítimamente lo han conformado con sus aportes.</w:t>
      </w:r>
      <w:r w:rsidRPr="005746F8">
        <w:rPr>
          <w:rFonts w:ascii="Arial" w:hAnsi="Arial" w:cs="Arial"/>
          <w:b/>
          <w:spacing w:val="-2"/>
          <w:szCs w:val="24"/>
        </w:rPr>
        <w:t xml:space="preserve"> </w:t>
      </w:r>
    </w:p>
    <w:p w14:paraId="1AC17D22" w14:textId="77777777" w:rsidR="005746F8" w:rsidRPr="005746F8" w:rsidRDefault="005746F8" w:rsidP="00CB2A6E">
      <w:pPr>
        <w:suppressAutoHyphens/>
        <w:spacing w:line="288" w:lineRule="auto"/>
        <w:jc w:val="both"/>
        <w:rPr>
          <w:rFonts w:ascii="Arial" w:hAnsi="Arial" w:cs="Arial"/>
          <w:b/>
          <w:spacing w:val="-2"/>
          <w:szCs w:val="24"/>
        </w:rPr>
      </w:pPr>
    </w:p>
    <w:p w14:paraId="0BEA49D0"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De allí que, desde el principio esa pretensión está llamada al fracaso por inexistencia de disposición que permita tal desafuero.</w:t>
      </w:r>
    </w:p>
    <w:p w14:paraId="361E567A" w14:textId="77777777" w:rsidR="005746F8" w:rsidRPr="005746F8" w:rsidRDefault="005746F8" w:rsidP="00CB2A6E">
      <w:pPr>
        <w:suppressAutoHyphens/>
        <w:spacing w:line="288" w:lineRule="auto"/>
        <w:jc w:val="both"/>
        <w:rPr>
          <w:rFonts w:ascii="Arial" w:hAnsi="Arial" w:cs="Arial"/>
          <w:spacing w:val="-2"/>
          <w:szCs w:val="24"/>
        </w:rPr>
      </w:pPr>
    </w:p>
    <w:p w14:paraId="44E85CB6"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 xml:space="preserve">Cosa diferente es que, si se prueba en el proceso el engaño o la responsabilidad de la AFP privada en el traslado del afiliado y, como consecuencia de ello, la causación de un perjuicio a este, él pueda pedir la indemnización de ese perjuicio, </w:t>
      </w:r>
      <w:r w:rsidRPr="005746F8">
        <w:rPr>
          <w:rFonts w:ascii="Arial" w:hAnsi="Arial" w:cs="Arial"/>
          <w:b/>
          <w:spacing w:val="-2"/>
          <w:szCs w:val="24"/>
        </w:rPr>
        <w:t>pero a cargo de quien se lo causó</w:t>
      </w:r>
      <w:r w:rsidRPr="005746F8">
        <w:rPr>
          <w:rFonts w:ascii="Arial" w:hAnsi="Arial" w:cs="Arial"/>
          <w:spacing w:val="-2"/>
          <w:szCs w:val="24"/>
        </w:rPr>
        <w:t>, esto es la AFP, mas no COLPENSIONES. Pero como en segunda instancia no se pueden proferir fallos extra y ultra petita, lo que corresponde es la absolución de las entidades demandadas.</w:t>
      </w:r>
    </w:p>
    <w:p w14:paraId="21399C84" w14:textId="77777777" w:rsidR="005746F8" w:rsidRPr="005746F8" w:rsidRDefault="005746F8" w:rsidP="00CB2A6E">
      <w:pPr>
        <w:suppressAutoHyphens/>
        <w:spacing w:line="288" w:lineRule="auto"/>
        <w:jc w:val="both"/>
        <w:rPr>
          <w:rFonts w:ascii="Arial" w:hAnsi="Arial" w:cs="Arial"/>
          <w:spacing w:val="-2"/>
          <w:szCs w:val="24"/>
        </w:rPr>
      </w:pPr>
    </w:p>
    <w:p w14:paraId="3A364B18" w14:textId="77777777" w:rsidR="005746F8" w:rsidRPr="005746F8" w:rsidRDefault="005746F8" w:rsidP="00CB2A6E">
      <w:pPr>
        <w:suppressAutoHyphens/>
        <w:spacing w:line="288" w:lineRule="auto"/>
        <w:jc w:val="both"/>
        <w:rPr>
          <w:rFonts w:ascii="Arial" w:hAnsi="Arial" w:cs="Arial"/>
          <w:spacing w:val="-2"/>
          <w:szCs w:val="24"/>
        </w:rPr>
      </w:pPr>
      <w:r w:rsidRPr="005746F8">
        <w:rPr>
          <w:rFonts w:ascii="Arial" w:hAnsi="Arial" w:cs="Arial"/>
          <w:spacing w:val="-2"/>
          <w:szCs w:val="24"/>
        </w:rPr>
        <w:t xml:space="preserve">Ahora bien, de plantearse correctamente el litigio y en cualquier caso, de no aceptar la diáfana conclusión anterior, de todos modos corresponde en estos eventos hacer el análisis de los siguientes aspectos, que, como se verá, se separan de las conclusiones a que viene llegando la Sala de Casación Laboral de la Corte Suprema de Justicia: </w:t>
      </w:r>
    </w:p>
    <w:p w14:paraId="4FEBBB13" w14:textId="77777777" w:rsidR="005746F8" w:rsidRDefault="005746F8" w:rsidP="00CB2A6E">
      <w:pPr>
        <w:spacing w:line="288" w:lineRule="auto"/>
        <w:jc w:val="both"/>
        <w:rPr>
          <w:rFonts w:ascii="Arial" w:eastAsia="Calibri" w:hAnsi="Arial" w:cs="Arial"/>
          <w:szCs w:val="24"/>
          <w:lang w:val="es-CO" w:eastAsia="en-US"/>
        </w:rPr>
      </w:pPr>
    </w:p>
    <w:p w14:paraId="26000BB1" w14:textId="77777777" w:rsidR="000E0D52" w:rsidRPr="005746F8" w:rsidRDefault="000E0D52" w:rsidP="00CB2A6E">
      <w:pPr>
        <w:spacing w:line="288" w:lineRule="auto"/>
        <w:jc w:val="both"/>
        <w:rPr>
          <w:rFonts w:ascii="Arial" w:eastAsia="Calibri" w:hAnsi="Arial" w:cs="Arial"/>
          <w:szCs w:val="24"/>
          <w:lang w:val="es-CO" w:eastAsia="en-US"/>
        </w:rPr>
      </w:pPr>
    </w:p>
    <w:p w14:paraId="21749C33" w14:textId="32E1C882" w:rsidR="005746F8" w:rsidRPr="005746F8" w:rsidRDefault="005746F8" w:rsidP="00CB2A6E">
      <w:pPr>
        <w:spacing w:line="288" w:lineRule="auto"/>
        <w:ind w:right="51"/>
        <w:jc w:val="both"/>
        <w:rPr>
          <w:rFonts w:ascii="Arial" w:hAnsi="Arial" w:cs="Arial"/>
          <w:b/>
          <w:iCs/>
          <w:szCs w:val="24"/>
        </w:rPr>
      </w:pPr>
      <w:r w:rsidRPr="005746F8">
        <w:rPr>
          <w:rFonts w:ascii="Arial" w:hAnsi="Arial" w:cs="Arial"/>
          <w:b/>
          <w:iCs/>
          <w:szCs w:val="24"/>
        </w:rPr>
        <w:t xml:space="preserve">JURISPRUDENCIA VIGENTE SOBRE LA INEFICACIA DE LA </w:t>
      </w:r>
      <w:r w:rsidR="00F1499F" w:rsidRPr="005746F8">
        <w:rPr>
          <w:rFonts w:ascii="Arial" w:hAnsi="Arial" w:cs="Arial"/>
          <w:b/>
          <w:iCs/>
          <w:szCs w:val="24"/>
        </w:rPr>
        <w:t>AFILIACIÓN</w:t>
      </w:r>
      <w:r w:rsidRPr="005746F8">
        <w:rPr>
          <w:rFonts w:ascii="Arial" w:hAnsi="Arial" w:cs="Arial"/>
          <w:b/>
          <w:iCs/>
          <w:szCs w:val="24"/>
        </w:rPr>
        <w:t xml:space="preserve"> AL </w:t>
      </w:r>
      <w:r w:rsidR="008C7B76" w:rsidRPr="005746F8">
        <w:rPr>
          <w:rFonts w:ascii="Arial" w:hAnsi="Arial" w:cs="Arial"/>
          <w:b/>
          <w:iCs/>
          <w:szCs w:val="24"/>
        </w:rPr>
        <w:t>RÉGIMEN</w:t>
      </w:r>
      <w:r w:rsidRPr="005746F8">
        <w:rPr>
          <w:rFonts w:ascii="Arial" w:hAnsi="Arial" w:cs="Arial"/>
          <w:b/>
          <w:iCs/>
          <w:szCs w:val="24"/>
        </w:rPr>
        <w:t xml:space="preserve"> DE AHORRO INDIVIDUAL CON SOLIDARIDAD.</w:t>
      </w:r>
    </w:p>
    <w:p w14:paraId="11991145" w14:textId="77777777" w:rsidR="005746F8" w:rsidRPr="005746F8" w:rsidRDefault="005746F8" w:rsidP="00CB2A6E">
      <w:pPr>
        <w:spacing w:line="288" w:lineRule="auto"/>
        <w:ind w:right="51"/>
        <w:jc w:val="both"/>
        <w:rPr>
          <w:rFonts w:ascii="Arial" w:hAnsi="Arial" w:cs="Arial"/>
          <w:b/>
          <w:iCs/>
          <w:szCs w:val="24"/>
        </w:rPr>
      </w:pPr>
    </w:p>
    <w:p w14:paraId="38383525"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La Sala de Casación Laboral mediante sentencia SL1452 de 3 de abril de 2019 radicación Nº 68852 con ponencia de la Magistrada Clara Cecilia Dueñas Quevedo, generó una nueva línea jurisprudencial en el análisis de las ineficacias de los traslados de régimen, dejando sentado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w:t>
      </w:r>
    </w:p>
    <w:p w14:paraId="5F5BA54E" w14:textId="77777777" w:rsidR="005746F8" w:rsidRDefault="005746F8" w:rsidP="00CB2A6E">
      <w:pPr>
        <w:spacing w:line="288" w:lineRule="auto"/>
        <w:ind w:left="426" w:right="51"/>
        <w:jc w:val="both"/>
        <w:rPr>
          <w:rFonts w:ascii="Arial" w:hAnsi="Arial" w:cs="Arial"/>
          <w:iCs/>
          <w:szCs w:val="24"/>
        </w:rPr>
      </w:pPr>
    </w:p>
    <w:p w14:paraId="6ACD467C" w14:textId="77777777" w:rsidR="000E0D52" w:rsidRPr="005746F8" w:rsidRDefault="000E0D52" w:rsidP="00CB2A6E">
      <w:pPr>
        <w:spacing w:line="288" w:lineRule="auto"/>
        <w:ind w:left="426" w:right="51"/>
        <w:jc w:val="both"/>
        <w:rPr>
          <w:rFonts w:ascii="Arial" w:hAnsi="Arial" w:cs="Arial"/>
          <w:iCs/>
          <w:szCs w:val="24"/>
        </w:rPr>
      </w:pPr>
    </w:p>
    <w:p w14:paraId="3CB1E2D4" w14:textId="77777777" w:rsidR="005746F8" w:rsidRPr="005746F8" w:rsidRDefault="005746F8" w:rsidP="00CB2A6E">
      <w:pPr>
        <w:spacing w:line="288" w:lineRule="auto"/>
        <w:ind w:right="51"/>
        <w:jc w:val="both"/>
        <w:rPr>
          <w:rFonts w:ascii="Arial" w:hAnsi="Arial" w:cs="Arial"/>
          <w:i/>
          <w:szCs w:val="24"/>
          <w:lang w:val="es-CO"/>
        </w:rPr>
      </w:pPr>
      <w:r w:rsidRPr="005746F8">
        <w:rPr>
          <w:rFonts w:ascii="Arial" w:hAnsi="Arial" w:cs="Arial"/>
          <w:b/>
          <w:szCs w:val="24"/>
          <w:lang w:val="es-CO"/>
        </w:rPr>
        <w:t>VALOR NORMATIVO DE LAS SENTENCIAS PROFERIDAS POR LA CORTE SUPREMA DE JUSTICIA.</w:t>
      </w:r>
    </w:p>
    <w:p w14:paraId="0F57A860" w14:textId="77777777" w:rsidR="005746F8" w:rsidRPr="005746F8" w:rsidRDefault="005746F8" w:rsidP="00CB2A6E">
      <w:pPr>
        <w:spacing w:line="288" w:lineRule="auto"/>
        <w:ind w:right="51"/>
        <w:jc w:val="both"/>
        <w:rPr>
          <w:rFonts w:ascii="Arial" w:hAnsi="Arial" w:cs="Arial"/>
          <w:b/>
          <w:szCs w:val="24"/>
          <w:lang w:val="es-CO"/>
        </w:rPr>
      </w:pPr>
    </w:p>
    <w:p w14:paraId="30E317AF" w14:textId="77777777" w:rsidR="005746F8" w:rsidRPr="005746F8" w:rsidRDefault="005746F8" w:rsidP="00CB2A6E">
      <w:pPr>
        <w:spacing w:line="288" w:lineRule="auto"/>
        <w:ind w:right="51"/>
        <w:jc w:val="both"/>
        <w:rPr>
          <w:rFonts w:ascii="Arial" w:hAnsi="Arial" w:cs="Arial"/>
          <w:szCs w:val="24"/>
          <w:lang w:val="es-CO"/>
        </w:rPr>
      </w:pPr>
      <w:r w:rsidRPr="005746F8">
        <w:rPr>
          <w:rFonts w:ascii="Arial" w:hAnsi="Arial" w:cs="Arial"/>
          <w:szCs w:val="24"/>
          <w:lang w:val="es-CO"/>
        </w:rPr>
        <w:t>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14:paraId="13105FE1" w14:textId="77777777" w:rsidR="005746F8" w:rsidRPr="005746F8" w:rsidRDefault="005746F8" w:rsidP="00CB2A6E">
      <w:pPr>
        <w:spacing w:line="288" w:lineRule="auto"/>
        <w:ind w:right="51"/>
        <w:jc w:val="both"/>
        <w:rPr>
          <w:rFonts w:ascii="Arial" w:hAnsi="Arial" w:cs="Arial"/>
          <w:szCs w:val="24"/>
          <w:lang w:val="es-CO"/>
        </w:rPr>
      </w:pPr>
    </w:p>
    <w:p w14:paraId="763B0344" w14:textId="77777777" w:rsidR="005746F8" w:rsidRPr="005746F8" w:rsidRDefault="005746F8" w:rsidP="00CB2A6E">
      <w:pPr>
        <w:spacing w:line="288" w:lineRule="auto"/>
        <w:ind w:right="51"/>
        <w:jc w:val="both"/>
        <w:rPr>
          <w:rFonts w:ascii="Arial" w:hAnsi="Arial" w:cs="Arial"/>
          <w:szCs w:val="24"/>
          <w:lang w:val="es-CO"/>
        </w:rPr>
      </w:pPr>
      <w:r w:rsidRPr="005746F8">
        <w:rPr>
          <w:rFonts w:ascii="Arial" w:hAnsi="Arial" w:cs="Arial"/>
          <w:szCs w:val="24"/>
          <w:lang w:val="es-CO"/>
        </w:rPr>
        <w:t>En efecto, en la parte resolutiva de la sentencia en cita se dispuso:</w:t>
      </w:r>
    </w:p>
    <w:p w14:paraId="50F94150" w14:textId="77777777" w:rsidR="005746F8" w:rsidRPr="005746F8" w:rsidRDefault="005746F8" w:rsidP="00CB2A6E">
      <w:pPr>
        <w:spacing w:line="288" w:lineRule="auto"/>
        <w:ind w:right="51"/>
        <w:jc w:val="both"/>
        <w:rPr>
          <w:rFonts w:ascii="Arial" w:hAnsi="Arial" w:cs="Arial"/>
          <w:szCs w:val="24"/>
          <w:lang w:val="es-CO"/>
        </w:rPr>
      </w:pPr>
    </w:p>
    <w:p w14:paraId="054B6C6A"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bCs/>
          <w:iCs/>
          <w:sz w:val="22"/>
          <w:szCs w:val="24"/>
        </w:rPr>
        <w:lastRenderedPageBreak/>
        <w:t>“</w:t>
      </w:r>
      <w:r w:rsidRPr="005746F8">
        <w:rPr>
          <w:rFonts w:ascii="Arial" w:hAnsi="Arial" w:cs="Arial"/>
          <w:bCs/>
          <w:i/>
          <w:iCs/>
          <w:sz w:val="22"/>
          <w:szCs w:val="24"/>
        </w:rPr>
        <w:t>PRIMERO.- </w:t>
      </w:r>
      <w:r w:rsidRPr="005746F8">
        <w:rPr>
          <w:rFonts w:ascii="Arial" w:hAnsi="Arial" w:cs="Arial"/>
          <w:i/>
          <w:iCs/>
          <w:sz w:val="22"/>
          <w:szCs w:val="24"/>
        </w:rPr>
        <w:t>Declarar </w:t>
      </w:r>
      <w:r w:rsidRPr="005746F8">
        <w:rPr>
          <w:rFonts w:ascii="Arial" w:hAnsi="Arial" w:cs="Arial"/>
          <w:bCs/>
          <w:i/>
          <w:iCs/>
          <w:sz w:val="22"/>
          <w:szCs w:val="24"/>
        </w:rPr>
        <w:t>EXEQUIBLE</w:t>
      </w:r>
      <w:r w:rsidRPr="005746F8">
        <w:rPr>
          <w:rFonts w:ascii="Arial" w:hAnsi="Arial" w:cs="Arial"/>
          <w:i/>
          <w:iCs/>
          <w:sz w:val="22"/>
          <w:szCs w:val="24"/>
        </w:rPr>
        <w:t xml:space="preserve"> el artículo 4º de la Ley 169 de 1896, siempre y cuando se entienda que la Corte Suprema de Justicia, como juez de casación, y los demás jueces que conforman la jurisdicción ordinaria, </w:t>
      </w:r>
      <w:r w:rsidRPr="005746F8">
        <w:rPr>
          <w:rFonts w:ascii="Arial" w:hAnsi="Arial" w:cs="Arial"/>
          <w:b/>
          <w:i/>
          <w:iCs/>
          <w:sz w:val="22"/>
          <w:szCs w:val="24"/>
        </w:rPr>
        <w:t>al apartarse de la doctrina probable dictada por aquella, están obligados a exponer clara y razonadamente los fundamentos jurídicos que justifican su decisión</w:t>
      </w:r>
      <w:r w:rsidRPr="005746F8">
        <w:rPr>
          <w:rFonts w:ascii="Arial" w:hAnsi="Arial" w:cs="Arial"/>
          <w:i/>
          <w:iCs/>
          <w:sz w:val="22"/>
          <w:szCs w:val="24"/>
        </w:rPr>
        <w:t>, en los términos de los numerales 14 a 24 de la presente Sentencia.</w:t>
      </w:r>
      <w:r w:rsidRPr="005746F8">
        <w:rPr>
          <w:rFonts w:ascii="Arial" w:hAnsi="Arial" w:cs="Arial"/>
          <w:iCs/>
          <w:sz w:val="22"/>
          <w:szCs w:val="24"/>
        </w:rPr>
        <w:t>”</w:t>
      </w:r>
    </w:p>
    <w:p w14:paraId="398AC386" w14:textId="77777777" w:rsidR="005746F8" w:rsidRDefault="005746F8" w:rsidP="00CB2A6E">
      <w:pPr>
        <w:spacing w:line="288" w:lineRule="auto"/>
        <w:ind w:right="51"/>
        <w:jc w:val="both"/>
        <w:rPr>
          <w:rFonts w:ascii="Arial" w:hAnsi="Arial" w:cs="Arial"/>
          <w:iCs/>
          <w:szCs w:val="24"/>
        </w:rPr>
      </w:pPr>
    </w:p>
    <w:p w14:paraId="79BC5C0F" w14:textId="77777777" w:rsidR="000E0D52" w:rsidRPr="005746F8" w:rsidRDefault="000E0D52" w:rsidP="00CB2A6E">
      <w:pPr>
        <w:spacing w:line="288" w:lineRule="auto"/>
        <w:ind w:right="51"/>
        <w:jc w:val="both"/>
        <w:rPr>
          <w:rFonts w:ascii="Arial" w:hAnsi="Arial" w:cs="Arial"/>
          <w:iCs/>
          <w:szCs w:val="24"/>
        </w:rPr>
      </w:pPr>
    </w:p>
    <w:p w14:paraId="1B7BBB2E" w14:textId="77777777" w:rsidR="005746F8" w:rsidRPr="005746F8" w:rsidRDefault="005746F8" w:rsidP="00CB2A6E">
      <w:pPr>
        <w:spacing w:line="288" w:lineRule="auto"/>
        <w:ind w:right="51"/>
        <w:jc w:val="both"/>
        <w:rPr>
          <w:rFonts w:ascii="Arial" w:hAnsi="Arial" w:cs="Arial"/>
          <w:b/>
          <w:iCs/>
          <w:szCs w:val="24"/>
        </w:rPr>
      </w:pPr>
      <w:r w:rsidRPr="005746F8">
        <w:rPr>
          <w:rFonts w:ascii="Arial" w:hAnsi="Arial" w:cs="Arial"/>
          <w:b/>
          <w:iCs/>
          <w:szCs w:val="24"/>
        </w:rPr>
        <w:t>RAZONES QUE ME LLEVAN A APARTARME DE LA PUERTA QUE ABRIÓ LA CORTE SUPREMA DE JUSTICIA EN LO RELATIVO A LA AMPLIACIÓN DE LA POSIBILIDAD DE DECLARAR LA INEFICACIA DEL TRASLADO A AFILIADOS QUE NO PERTENECEN AL RÉGIMEN DE TRANSICIÓN.</w:t>
      </w:r>
    </w:p>
    <w:p w14:paraId="74C8A2D5" w14:textId="77777777" w:rsidR="005746F8" w:rsidRDefault="005746F8" w:rsidP="00CB2A6E">
      <w:pPr>
        <w:spacing w:line="288" w:lineRule="auto"/>
        <w:ind w:right="51"/>
        <w:jc w:val="both"/>
        <w:rPr>
          <w:rFonts w:ascii="Arial" w:hAnsi="Arial" w:cs="Arial"/>
          <w:b/>
          <w:iCs/>
          <w:szCs w:val="24"/>
        </w:rPr>
      </w:pPr>
    </w:p>
    <w:p w14:paraId="6016044C" w14:textId="77777777" w:rsidR="000E0D52" w:rsidRPr="005746F8" w:rsidRDefault="000E0D52" w:rsidP="00CB2A6E">
      <w:pPr>
        <w:spacing w:line="288" w:lineRule="auto"/>
        <w:ind w:right="51"/>
        <w:jc w:val="both"/>
        <w:rPr>
          <w:rFonts w:ascii="Arial" w:hAnsi="Arial" w:cs="Arial"/>
          <w:b/>
          <w:iCs/>
          <w:szCs w:val="24"/>
        </w:rPr>
      </w:pPr>
    </w:p>
    <w:p w14:paraId="501BBE63" w14:textId="679CCAB6" w:rsidR="005746F8" w:rsidRPr="005746F8" w:rsidRDefault="005746F8" w:rsidP="00CB2A6E">
      <w:pPr>
        <w:spacing w:line="288" w:lineRule="auto"/>
        <w:ind w:right="51"/>
        <w:jc w:val="both"/>
        <w:rPr>
          <w:rFonts w:ascii="Arial" w:hAnsi="Arial" w:cs="Arial"/>
          <w:b/>
          <w:iCs/>
          <w:szCs w:val="24"/>
        </w:rPr>
      </w:pPr>
      <w:bookmarkStart w:id="1" w:name="13"/>
      <w:r w:rsidRPr="005746F8">
        <w:rPr>
          <w:rFonts w:ascii="Arial" w:eastAsia="Calibri" w:hAnsi="Arial" w:cs="Arial"/>
          <w:b/>
          <w:bCs/>
          <w:iCs/>
          <w:szCs w:val="24"/>
          <w:lang w:val="es-ES" w:eastAsia="en-US"/>
        </w:rPr>
        <w:t xml:space="preserve">PRIMERA: </w:t>
      </w:r>
      <w:bookmarkEnd w:id="1"/>
      <w:r w:rsidR="00720819" w:rsidRPr="005746F8">
        <w:rPr>
          <w:rFonts w:ascii="Arial" w:hAnsi="Arial" w:cs="Arial"/>
          <w:b/>
          <w:iCs/>
          <w:szCs w:val="24"/>
        </w:rPr>
        <w:t>REGÍMENES</w:t>
      </w:r>
      <w:r w:rsidRPr="005746F8">
        <w:rPr>
          <w:rFonts w:ascii="Arial" w:hAnsi="Arial" w:cs="Arial"/>
          <w:b/>
          <w:iCs/>
          <w:szCs w:val="24"/>
        </w:rPr>
        <w:t xml:space="preserve"> PENSIONALES COEXISTENTES</w:t>
      </w:r>
    </w:p>
    <w:p w14:paraId="5363C34A" w14:textId="77777777" w:rsidR="005746F8" w:rsidRPr="005746F8" w:rsidRDefault="005746F8" w:rsidP="00CB2A6E">
      <w:pPr>
        <w:spacing w:line="288" w:lineRule="auto"/>
        <w:ind w:right="51"/>
        <w:jc w:val="both"/>
        <w:rPr>
          <w:rFonts w:ascii="Arial" w:hAnsi="Arial" w:cs="Arial"/>
          <w:iCs/>
          <w:szCs w:val="24"/>
        </w:rPr>
      </w:pPr>
    </w:p>
    <w:p w14:paraId="3547DA3B"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208BD5F0" w14:textId="77777777" w:rsidR="005746F8" w:rsidRPr="005746F8" w:rsidRDefault="005746F8" w:rsidP="00CB2A6E">
      <w:pPr>
        <w:spacing w:line="288" w:lineRule="auto"/>
        <w:ind w:right="51"/>
        <w:jc w:val="both"/>
        <w:rPr>
          <w:rFonts w:ascii="Arial" w:hAnsi="Arial" w:cs="Arial"/>
          <w:iCs/>
          <w:szCs w:val="24"/>
        </w:rPr>
      </w:pPr>
    </w:p>
    <w:p w14:paraId="2F9B1D1F"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Es más, la promoción del nuevo sistema pensional creado por la ley 100 de 1993 se basó en la libre y sana competencia que debía existir entre las administradoras del RAIS y las del RPM. Lo cual, de ninguna manera podría ser ofrecido de aceptarse, como se está haciendo </w:t>
      </w:r>
      <w:r w:rsidRPr="005746F8">
        <w:rPr>
          <w:rFonts w:ascii="Arial" w:hAnsi="Arial" w:cs="Arial"/>
          <w:i/>
          <w:iCs/>
          <w:szCs w:val="24"/>
        </w:rPr>
        <w:t>a priori,</w:t>
      </w:r>
      <w:r w:rsidRPr="005746F8">
        <w:rPr>
          <w:rFonts w:ascii="Arial" w:hAnsi="Arial" w:cs="Arial"/>
          <w:iCs/>
          <w:szCs w:val="24"/>
        </w:rPr>
        <w:t xml:space="preserve"> hoy por hoy, que uno de los dos sistemas es mejor que el otro, porque eventualmente, gracias a los subsidios, en muchos eventos resulta otorgando pensiones más elevadas que el otro.</w:t>
      </w:r>
    </w:p>
    <w:p w14:paraId="6CB90C4B" w14:textId="77777777" w:rsidR="005746F8" w:rsidRPr="005746F8" w:rsidRDefault="005746F8" w:rsidP="00CB2A6E">
      <w:pPr>
        <w:spacing w:line="288" w:lineRule="auto"/>
        <w:ind w:right="51"/>
        <w:jc w:val="both"/>
        <w:rPr>
          <w:rFonts w:ascii="Arial" w:hAnsi="Arial" w:cs="Arial"/>
          <w:iCs/>
          <w:szCs w:val="24"/>
        </w:rPr>
      </w:pPr>
    </w:p>
    <w:p w14:paraId="121997E1"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Lo primero que cabe resaltar es que desde la misma denominación de los regímenes los afiliados tienen una primera oportunidad de determinar su contenido. En efecto, si se observa el artículo 31 de la ley 100 de 1993 se tiene que en él se desarrolla el concepto de “régimen de prima media </w:t>
      </w:r>
      <w:r w:rsidRPr="005746F8">
        <w:rPr>
          <w:rFonts w:ascii="Arial" w:hAnsi="Arial" w:cs="Arial"/>
          <w:b/>
          <w:iCs/>
          <w:szCs w:val="24"/>
        </w:rPr>
        <w:t>con prestación definida”.</w:t>
      </w:r>
      <w:r w:rsidRPr="005746F8">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5746F8">
        <w:rPr>
          <w:rFonts w:ascii="Arial" w:hAnsi="Arial" w:cs="Arial"/>
          <w:b/>
          <w:iCs/>
          <w:szCs w:val="24"/>
        </w:rPr>
        <w:t xml:space="preserve">ahorro individual, </w:t>
      </w:r>
      <w:r w:rsidRPr="005746F8">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7AE44550" w14:textId="77777777" w:rsidR="005746F8" w:rsidRPr="005746F8" w:rsidRDefault="005746F8" w:rsidP="00CB2A6E">
      <w:pPr>
        <w:spacing w:line="288" w:lineRule="auto"/>
        <w:ind w:right="51"/>
        <w:jc w:val="both"/>
        <w:rPr>
          <w:rFonts w:ascii="Arial" w:hAnsi="Arial" w:cs="Arial"/>
          <w:iCs/>
          <w:szCs w:val="24"/>
        </w:rPr>
      </w:pPr>
    </w:p>
    <w:p w14:paraId="2243FF35"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w:t>
      </w:r>
      <w:r w:rsidRPr="005746F8">
        <w:rPr>
          <w:rFonts w:ascii="Arial" w:hAnsi="Arial" w:cs="Arial"/>
          <w:b/>
          <w:iCs/>
          <w:szCs w:val="24"/>
        </w:rPr>
        <w:t xml:space="preserve">La garantía de pensión mínima 150 semanas antes que en el primero, pues mientras en este ocurre a las 1300 semanas en aquel sucede a las 1150 </w:t>
      </w:r>
      <w:r w:rsidRPr="005746F8">
        <w:rPr>
          <w:rFonts w:ascii="Arial" w:hAnsi="Arial" w:cs="Arial"/>
          <w:b/>
          <w:iCs/>
          <w:szCs w:val="24"/>
        </w:rPr>
        <w:lastRenderedPageBreak/>
        <w:t xml:space="preserve">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5746F8">
        <w:rPr>
          <w:rFonts w:ascii="Arial" w:hAnsi="Arial" w:cs="Arial"/>
          <w:b/>
          <w:iCs/>
          <w:szCs w:val="24"/>
        </w:rPr>
        <w:t>sucesoral</w:t>
      </w:r>
      <w:proofErr w:type="spellEnd"/>
      <w:r w:rsidRPr="005746F8">
        <w:rPr>
          <w:rFonts w:ascii="Arial" w:hAnsi="Arial" w:cs="Arial"/>
          <w:iCs/>
          <w:szCs w:val="24"/>
        </w:rPr>
        <w:t>.</w:t>
      </w:r>
    </w:p>
    <w:p w14:paraId="25A25285" w14:textId="77777777" w:rsidR="005746F8" w:rsidRPr="005746F8" w:rsidRDefault="005746F8" w:rsidP="00CB2A6E">
      <w:pPr>
        <w:spacing w:line="288" w:lineRule="auto"/>
        <w:ind w:right="51"/>
        <w:jc w:val="both"/>
        <w:rPr>
          <w:rFonts w:ascii="Arial" w:hAnsi="Arial" w:cs="Arial"/>
          <w:iCs/>
          <w:szCs w:val="24"/>
        </w:rPr>
      </w:pPr>
    </w:p>
    <w:p w14:paraId="5F448FFB"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Nótese que de todos estos beneficios se goza en el transcurso de la afiliación, como posibilidades aplicables solo a los afiliados al RAIS, mientras que los del RPM, bajo ninguna circunstancia pueden acceder a ellos por cuanto optaron, con su permanencia en este régimen, por privarse de estos beneficios, eso </w:t>
      </w:r>
      <w:proofErr w:type="spellStart"/>
      <w:r w:rsidRPr="005746F8">
        <w:rPr>
          <w:rFonts w:ascii="Arial" w:hAnsi="Arial" w:cs="Arial"/>
          <w:iCs/>
          <w:szCs w:val="24"/>
        </w:rPr>
        <w:t>si</w:t>
      </w:r>
      <w:proofErr w:type="spellEnd"/>
      <w:r w:rsidRPr="005746F8">
        <w:rPr>
          <w:rFonts w:ascii="Arial" w:hAnsi="Arial" w:cs="Arial"/>
          <w:iCs/>
          <w:szCs w:val="24"/>
        </w:rPr>
        <w:t>,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64547DF4" w14:textId="77777777" w:rsidR="005746F8" w:rsidRPr="005746F8" w:rsidRDefault="005746F8" w:rsidP="00CB2A6E">
      <w:pPr>
        <w:spacing w:line="288" w:lineRule="auto"/>
        <w:ind w:right="51"/>
        <w:jc w:val="both"/>
        <w:rPr>
          <w:rFonts w:ascii="Arial" w:hAnsi="Arial" w:cs="Arial"/>
          <w:iCs/>
          <w:szCs w:val="24"/>
        </w:rPr>
      </w:pPr>
    </w:p>
    <w:p w14:paraId="1870D774"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5746F8">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5746F8">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5746F8">
        <w:rPr>
          <w:rFonts w:ascii="Arial" w:hAnsi="Arial" w:cs="Arial"/>
          <w:iCs/>
          <w:szCs w:val="24"/>
        </w:rPr>
        <w:t>IVM</w:t>
      </w:r>
      <w:proofErr w:type="spellEnd"/>
      <w:r w:rsidRPr="005746F8">
        <w:rPr>
          <w:rFonts w:ascii="Arial" w:hAnsi="Arial" w:cs="Arial"/>
          <w:iCs/>
          <w:szCs w:val="24"/>
        </w:rPr>
        <w:t>.</w:t>
      </w:r>
    </w:p>
    <w:p w14:paraId="3C064080" w14:textId="77777777" w:rsidR="005746F8" w:rsidRDefault="005746F8" w:rsidP="00CB2A6E">
      <w:pPr>
        <w:spacing w:line="288" w:lineRule="auto"/>
        <w:ind w:right="51"/>
        <w:jc w:val="both"/>
        <w:rPr>
          <w:rFonts w:ascii="Arial" w:hAnsi="Arial" w:cs="Arial"/>
          <w:iCs/>
          <w:szCs w:val="24"/>
        </w:rPr>
      </w:pPr>
    </w:p>
    <w:p w14:paraId="47AFBE30" w14:textId="77777777" w:rsidR="000E0D52" w:rsidRPr="005746F8" w:rsidRDefault="000E0D52" w:rsidP="00CB2A6E">
      <w:pPr>
        <w:spacing w:line="288" w:lineRule="auto"/>
        <w:ind w:right="51"/>
        <w:jc w:val="both"/>
        <w:rPr>
          <w:rFonts w:ascii="Arial" w:hAnsi="Arial" w:cs="Arial"/>
          <w:iCs/>
          <w:szCs w:val="24"/>
        </w:rPr>
      </w:pPr>
    </w:p>
    <w:p w14:paraId="56E553A7" w14:textId="76EF32D9" w:rsidR="005746F8" w:rsidRPr="005746F8" w:rsidRDefault="005746F8" w:rsidP="00CB2A6E">
      <w:pPr>
        <w:spacing w:line="288" w:lineRule="auto"/>
        <w:ind w:right="51"/>
        <w:jc w:val="both"/>
        <w:rPr>
          <w:rFonts w:ascii="Arial" w:hAnsi="Arial" w:cs="Arial"/>
          <w:b/>
          <w:iCs/>
          <w:szCs w:val="24"/>
        </w:rPr>
      </w:pPr>
      <w:r w:rsidRPr="005746F8">
        <w:rPr>
          <w:rFonts w:ascii="Arial" w:hAnsi="Arial" w:cs="Arial"/>
          <w:b/>
          <w:iCs/>
          <w:szCs w:val="24"/>
        </w:rPr>
        <w:t xml:space="preserve">SEGUNDA: </w:t>
      </w:r>
      <w:r w:rsidR="008C7B76" w:rsidRPr="005746F8">
        <w:rPr>
          <w:rFonts w:ascii="Arial" w:hAnsi="Arial" w:cs="Arial"/>
          <w:b/>
          <w:iCs/>
          <w:szCs w:val="24"/>
        </w:rPr>
        <w:t>RAZÓN</w:t>
      </w:r>
      <w:r w:rsidRPr="005746F8">
        <w:rPr>
          <w:rFonts w:ascii="Arial" w:hAnsi="Arial" w:cs="Arial"/>
          <w:b/>
          <w:iCs/>
          <w:szCs w:val="24"/>
        </w:rPr>
        <w:t xml:space="preserve"> DE SER DE LA LIMITACIÓN DE TRASLADO CUANDO FALTEN MENOS DE 10 AÑOS. SENTENCIA C-1024 DE 2004</w:t>
      </w:r>
    </w:p>
    <w:p w14:paraId="36C70FC0" w14:textId="77777777" w:rsidR="005746F8" w:rsidRPr="005746F8" w:rsidRDefault="005746F8" w:rsidP="00CB2A6E">
      <w:pPr>
        <w:spacing w:line="288" w:lineRule="auto"/>
        <w:ind w:right="51"/>
        <w:jc w:val="both"/>
        <w:rPr>
          <w:rFonts w:ascii="Arial" w:hAnsi="Arial" w:cs="Arial"/>
          <w:b/>
          <w:iCs/>
          <w:szCs w:val="24"/>
        </w:rPr>
      </w:pPr>
    </w:p>
    <w:p w14:paraId="0DB409AD"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4EE3EBEB" w14:textId="77777777" w:rsidR="005746F8" w:rsidRPr="005746F8" w:rsidRDefault="005746F8" w:rsidP="00CB2A6E">
      <w:pPr>
        <w:spacing w:line="288" w:lineRule="auto"/>
        <w:ind w:right="51"/>
        <w:jc w:val="both"/>
        <w:rPr>
          <w:rFonts w:ascii="Arial" w:hAnsi="Arial" w:cs="Arial"/>
          <w:iCs/>
          <w:szCs w:val="24"/>
        </w:rPr>
      </w:pPr>
    </w:p>
    <w:p w14:paraId="18DE6772"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Para explicar esa limitación la Corte Constitucional fue clara en explicar que </w:t>
      </w:r>
      <w:r w:rsidRPr="005746F8">
        <w:rPr>
          <w:rFonts w:ascii="Arial" w:hAnsi="Arial" w:cs="Arial"/>
          <w:b/>
          <w:iCs/>
          <w:szCs w:val="24"/>
        </w:rPr>
        <w:t>para garantizar la sostenibilidad financiera del sistema de prima media</w:t>
      </w:r>
      <w:r w:rsidRPr="005746F8">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2733486C" w14:textId="77777777" w:rsidR="005746F8" w:rsidRPr="005746F8" w:rsidRDefault="005746F8" w:rsidP="00CB2A6E">
      <w:pPr>
        <w:spacing w:line="288" w:lineRule="auto"/>
        <w:ind w:right="51"/>
        <w:jc w:val="both"/>
        <w:rPr>
          <w:rFonts w:ascii="Arial" w:hAnsi="Arial" w:cs="Arial"/>
          <w:b/>
          <w:iCs/>
          <w:szCs w:val="24"/>
        </w:rPr>
      </w:pPr>
    </w:p>
    <w:p w14:paraId="756E2010" w14:textId="77777777" w:rsidR="005746F8" w:rsidRPr="005746F8" w:rsidRDefault="005746F8" w:rsidP="008C7B76">
      <w:pPr>
        <w:ind w:left="426" w:right="418"/>
        <w:jc w:val="both"/>
        <w:rPr>
          <w:rFonts w:ascii="Arial" w:hAnsi="Arial" w:cs="Arial"/>
          <w:iCs/>
          <w:sz w:val="22"/>
          <w:szCs w:val="24"/>
          <w:lang w:val="es-ES"/>
        </w:rPr>
      </w:pPr>
      <w:r w:rsidRPr="005746F8">
        <w:rPr>
          <w:rFonts w:ascii="Arial" w:hAnsi="Arial" w:cs="Arial"/>
          <w:iCs/>
          <w:sz w:val="22"/>
          <w:szCs w:val="24"/>
          <w:lang w:val="es-CO"/>
        </w:rPr>
        <w:t>“Desde esta perspectiva, el </w:t>
      </w:r>
      <w:r w:rsidRPr="005746F8">
        <w:rPr>
          <w:rFonts w:ascii="Arial" w:hAnsi="Arial" w:cs="Arial"/>
          <w:i/>
          <w:iCs/>
          <w:sz w:val="22"/>
          <w:szCs w:val="24"/>
          <w:lang w:val="es-CO"/>
        </w:rPr>
        <w:t>objetivo </w:t>
      </w:r>
      <w:r w:rsidRPr="005746F8">
        <w:rPr>
          <w:rFonts w:ascii="Arial" w:hAnsi="Arial" w:cs="Arial"/>
          <w:iCs/>
          <w:sz w:val="22"/>
          <w:szCs w:val="24"/>
          <w:lang w:val="es-CO"/>
        </w:rPr>
        <w:t xml:space="preserve">perseguido con el señalamiento del  período de carencia en la norma acusada, </w:t>
      </w:r>
      <w:r w:rsidRPr="005746F8">
        <w:rPr>
          <w:rFonts w:ascii="Arial" w:hAnsi="Arial" w:cs="Arial"/>
          <w:b/>
          <w:iCs/>
          <w:sz w:val="22"/>
          <w:szCs w:val="24"/>
          <w:lang w:val="es-CO"/>
        </w:rPr>
        <w:t>consiste en evitar la </w:t>
      </w:r>
      <w:r w:rsidRPr="005746F8">
        <w:rPr>
          <w:rFonts w:ascii="Arial" w:hAnsi="Arial" w:cs="Arial"/>
          <w:b/>
          <w:i/>
          <w:iCs/>
          <w:sz w:val="22"/>
          <w:szCs w:val="24"/>
          <w:lang w:val="es-CO"/>
        </w:rPr>
        <w:t>descapitalización</w:t>
      </w:r>
      <w:r w:rsidRPr="005746F8">
        <w:rPr>
          <w:rFonts w:ascii="Arial" w:hAnsi="Arial" w:cs="Arial"/>
          <w:b/>
          <w:iCs/>
          <w:sz w:val="22"/>
          <w:szCs w:val="24"/>
          <w:lang w:val="es-CO"/>
        </w:rPr>
        <w:t> del fondo común del Régimen Solidario de Prima Media con Prestación Definida</w:t>
      </w:r>
      <w:r w:rsidRPr="005746F8">
        <w:rPr>
          <w:rFonts w:ascii="Arial" w:hAnsi="Arial" w:cs="Arial"/>
          <w:iCs/>
          <w:sz w:val="22"/>
          <w:szCs w:val="24"/>
          <w:lang w:val="es-CO"/>
        </w:rPr>
        <w:t xml:space="preserve">, que se </w:t>
      </w:r>
      <w:r w:rsidRPr="005746F8">
        <w:rPr>
          <w:rFonts w:ascii="Arial" w:hAnsi="Arial" w:cs="Arial"/>
          <w:iCs/>
          <w:sz w:val="22"/>
          <w:szCs w:val="24"/>
          <w:lang w:val="es-CO"/>
        </w:rPr>
        <w:lastRenderedPageBreak/>
        <w:t>produciría si se permitiera que las personas que no han contribuido al </w:t>
      </w:r>
      <w:r w:rsidRPr="005746F8">
        <w:rPr>
          <w:rFonts w:ascii="Arial" w:hAnsi="Arial" w:cs="Arial"/>
          <w:i/>
          <w:iCs/>
          <w:sz w:val="22"/>
          <w:szCs w:val="24"/>
          <w:lang w:val="es-CO"/>
        </w:rPr>
        <w:t>fondo común</w:t>
      </w:r>
      <w:r w:rsidRPr="005746F8">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746F8">
        <w:rPr>
          <w:rFonts w:ascii="Arial" w:hAnsi="Arial" w:cs="Arial"/>
          <w:b/>
          <w:iCs/>
          <w:sz w:val="22"/>
          <w:szCs w:val="24"/>
          <w:lang w:val="es-CO"/>
        </w:rPr>
        <w:t>a poner en riesgo la garantía del derecho irrenunciable a la pensión del resto de cotizantes</w:t>
      </w:r>
      <w:r w:rsidRPr="005746F8">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746F8">
        <w:rPr>
          <w:rFonts w:ascii="Arial" w:hAnsi="Arial" w:cs="Arial"/>
          <w:b/>
          <w:iCs/>
          <w:sz w:val="22"/>
          <w:szCs w:val="24"/>
          <w:lang w:val="es-CO"/>
        </w:rPr>
        <w:t>podría llegar a poner en riesgo la garantía del derecho pensional para los actuales y futuros pensionados</w:t>
      </w:r>
      <w:r w:rsidRPr="005746F8">
        <w:rPr>
          <w:rFonts w:ascii="Arial" w:hAnsi="Arial" w:cs="Arial"/>
          <w:iCs/>
          <w:sz w:val="22"/>
          <w:szCs w:val="24"/>
          <w:lang w:val="es-CO"/>
        </w:rPr>
        <w:t>.</w:t>
      </w:r>
    </w:p>
    <w:p w14:paraId="1CD0F4EF" w14:textId="77777777" w:rsidR="005746F8" w:rsidRPr="005746F8" w:rsidRDefault="005746F8" w:rsidP="008C7B76">
      <w:pPr>
        <w:ind w:left="426" w:right="418"/>
        <w:jc w:val="both"/>
        <w:rPr>
          <w:rFonts w:ascii="Arial" w:hAnsi="Arial" w:cs="Arial"/>
          <w:iCs/>
          <w:sz w:val="22"/>
          <w:szCs w:val="24"/>
          <w:lang w:val="es-ES"/>
        </w:rPr>
      </w:pPr>
      <w:r w:rsidRPr="005746F8">
        <w:rPr>
          <w:rFonts w:ascii="Arial" w:hAnsi="Arial" w:cs="Arial"/>
          <w:iCs/>
          <w:sz w:val="22"/>
          <w:szCs w:val="24"/>
          <w:lang w:val="es-CO"/>
        </w:rPr>
        <w:t> </w:t>
      </w:r>
    </w:p>
    <w:p w14:paraId="175136B0" w14:textId="77777777" w:rsidR="005746F8" w:rsidRPr="005746F8" w:rsidRDefault="005746F8" w:rsidP="008C7B76">
      <w:pPr>
        <w:ind w:left="426" w:right="418"/>
        <w:jc w:val="both"/>
        <w:rPr>
          <w:rFonts w:ascii="Arial" w:hAnsi="Arial" w:cs="Arial"/>
          <w:iCs/>
          <w:sz w:val="22"/>
          <w:szCs w:val="24"/>
          <w:lang w:val="es-ES"/>
        </w:rPr>
      </w:pPr>
      <w:r w:rsidRPr="005746F8">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1ABCAD1" w14:textId="77777777" w:rsidR="005746F8" w:rsidRPr="005746F8" w:rsidRDefault="005746F8" w:rsidP="008C7B76">
      <w:pPr>
        <w:ind w:left="426" w:right="418"/>
        <w:jc w:val="both"/>
        <w:rPr>
          <w:rFonts w:ascii="Arial" w:hAnsi="Arial" w:cs="Arial"/>
          <w:iCs/>
          <w:sz w:val="22"/>
          <w:szCs w:val="24"/>
          <w:lang w:val="es-ES"/>
        </w:rPr>
      </w:pPr>
      <w:r w:rsidRPr="005746F8">
        <w:rPr>
          <w:rFonts w:ascii="Arial" w:hAnsi="Arial" w:cs="Arial"/>
          <w:iCs/>
          <w:sz w:val="22"/>
          <w:szCs w:val="24"/>
          <w:lang w:val="es-CO"/>
        </w:rPr>
        <w:t> </w:t>
      </w:r>
    </w:p>
    <w:p w14:paraId="56907556" w14:textId="77777777" w:rsidR="005746F8" w:rsidRPr="005746F8" w:rsidRDefault="005746F8" w:rsidP="008C7B76">
      <w:pPr>
        <w:ind w:left="426" w:right="418"/>
        <w:jc w:val="both"/>
        <w:rPr>
          <w:rFonts w:ascii="Arial" w:hAnsi="Arial" w:cs="Arial"/>
          <w:b/>
          <w:iCs/>
          <w:sz w:val="22"/>
          <w:szCs w:val="24"/>
          <w:lang w:val="es-ES"/>
        </w:rPr>
      </w:pPr>
      <w:r w:rsidRPr="005746F8">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746F8">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746F8">
        <w:rPr>
          <w:rFonts w:ascii="Arial" w:hAnsi="Arial" w:cs="Arial"/>
          <w:iCs/>
          <w:sz w:val="22"/>
          <w:szCs w:val="24"/>
          <w:lang w:val="es-CO"/>
        </w:rPr>
        <w:t>, cuyo propósito consiste en: </w:t>
      </w:r>
      <w:r w:rsidRPr="005746F8">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746F8">
        <w:rPr>
          <w:rFonts w:ascii="Arial" w:hAnsi="Arial" w:cs="Arial"/>
          <w:iCs/>
          <w:sz w:val="22"/>
          <w:szCs w:val="24"/>
          <w:lang w:val="es-CO"/>
        </w:rPr>
        <w:t>.”</w:t>
      </w:r>
      <w:r w:rsidRPr="005746F8">
        <w:rPr>
          <w:rFonts w:ascii="Arial" w:hAnsi="Arial" w:cs="Arial"/>
          <w:b/>
          <w:iCs/>
          <w:sz w:val="22"/>
          <w:szCs w:val="24"/>
          <w:lang w:val="es-CO"/>
        </w:rPr>
        <w:t> </w:t>
      </w:r>
    </w:p>
    <w:p w14:paraId="7EF25408" w14:textId="77777777" w:rsidR="005746F8" w:rsidRPr="005746F8" w:rsidRDefault="005746F8" w:rsidP="00CB2A6E">
      <w:pPr>
        <w:spacing w:line="288" w:lineRule="auto"/>
        <w:ind w:right="51"/>
        <w:jc w:val="both"/>
        <w:rPr>
          <w:rFonts w:ascii="Arial" w:hAnsi="Arial" w:cs="Arial"/>
          <w:b/>
          <w:iCs/>
          <w:szCs w:val="24"/>
        </w:rPr>
      </w:pPr>
    </w:p>
    <w:p w14:paraId="318EB769" w14:textId="77777777" w:rsidR="005746F8" w:rsidRPr="005746F8" w:rsidRDefault="005746F8" w:rsidP="00CB2A6E">
      <w:pPr>
        <w:spacing w:line="288" w:lineRule="auto"/>
        <w:ind w:right="51"/>
        <w:jc w:val="both"/>
        <w:rPr>
          <w:rFonts w:ascii="Arial" w:hAnsi="Arial" w:cs="Arial"/>
          <w:b/>
          <w:iCs/>
          <w:szCs w:val="24"/>
          <w:lang w:val="es-CO"/>
        </w:rPr>
      </w:pPr>
      <w:r w:rsidRPr="005746F8">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5746F8">
        <w:rPr>
          <w:rFonts w:ascii="Arial" w:hAnsi="Arial" w:cs="Arial"/>
          <w:b/>
          <w:iCs/>
          <w:szCs w:val="24"/>
          <w:lang w:val="es-CO"/>
        </w:rPr>
        <w:t>puede llegar a poner en riesgo la garantía del derecho pensional para los actuales y futuros pensionados que si lo hicieron.</w:t>
      </w:r>
    </w:p>
    <w:p w14:paraId="4B1EFE67" w14:textId="77777777" w:rsidR="005746F8" w:rsidRPr="005746F8" w:rsidRDefault="005746F8" w:rsidP="00CB2A6E">
      <w:pPr>
        <w:spacing w:line="288" w:lineRule="auto"/>
        <w:ind w:right="51"/>
        <w:jc w:val="both"/>
        <w:rPr>
          <w:rFonts w:ascii="Arial" w:hAnsi="Arial" w:cs="Arial"/>
          <w:b/>
          <w:iCs/>
          <w:szCs w:val="24"/>
          <w:lang w:val="es-CO"/>
        </w:rPr>
      </w:pPr>
    </w:p>
    <w:p w14:paraId="7F12854A" w14:textId="77777777" w:rsidR="005746F8" w:rsidRPr="005746F8" w:rsidRDefault="005746F8" w:rsidP="00CB2A6E">
      <w:pPr>
        <w:spacing w:line="288" w:lineRule="auto"/>
        <w:ind w:right="51"/>
        <w:jc w:val="both"/>
        <w:rPr>
          <w:rFonts w:ascii="Arial" w:hAnsi="Arial" w:cs="Arial"/>
          <w:iCs/>
          <w:szCs w:val="24"/>
          <w:lang w:val="es-CO"/>
        </w:rPr>
      </w:pPr>
      <w:r w:rsidRPr="005746F8">
        <w:rPr>
          <w:rFonts w:ascii="Arial" w:hAnsi="Arial" w:cs="Arial"/>
          <w:iCs/>
          <w:szCs w:val="24"/>
          <w:lang w:val="es-CO"/>
        </w:rPr>
        <w:t xml:space="preserve">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 Y se afirma lo anterior porque la ineficacia a diferencia de la nulidad no tiene un tiempo </w:t>
      </w:r>
      <w:r w:rsidRPr="005746F8">
        <w:rPr>
          <w:rFonts w:ascii="Arial" w:hAnsi="Arial" w:cs="Arial"/>
          <w:iCs/>
          <w:szCs w:val="24"/>
          <w:lang w:val="es-CO"/>
        </w:rPr>
        <w:lastRenderedPageBreak/>
        <w:t>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049059DA" w14:textId="77777777" w:rsidR="005746F8" w:rsidRDefault="005746F8" w:rsidP="00CB2A6E">
      <w:pPr>
        <w:spacing w:line="288" w:lineRule="auto"/>
        <w:ind w:right="51"/>
        <w:jc w:val="both"/>
        <w:rPr>
          <w:rFonts w:ascii="Arial" w:hAnsi="Arial" w:cs="Arial"/>
          <w:iCs/>
          <w:szCs w:val="24"/>
        </w:rPr>
      </w:pPr>
    </w:p>
    <w:p w14:paraId="55B3CD51" w14:textId="77777777" w:rsidR="000E0D52" w:rsidRPr="005746F8" w:rsidRDefault="000E0D52" w:rsidP="00CB2A6E">
      <w:pPr>
        <w:spacing w:line="288" w:lineRule="auto"/>
        <w:ind w:right="51"/>
        <w:jc w:val="both"/>
        <w:rPr>
          <w:rFonts w:ascii="Arial" w:hAnsi="Arial" w:cs="Arial"/>
          <w:iCs/>
          <w:szCs w:val="24"/>
        </w:rPr>
      </w:pPr>
    </w:p>
    <w:p w14:paraId="30D3BE50" w14:textId="77777777" w:rsidR="005746F8" w:rsidRPr="005746F8" w:rsidRDefault="005746F8" w:rsidP="00CB2A6E">
      <w:pPr>
        <w:spacing w:line="288" w:lineRule="auto"/>
        <w:ind w:right="51"/>
        <w:jc w:val="both"/>
        <w:rPr>
          <w:rFonts w:ascii="Arial" w:hAnsi="Arial" w:cs="Arial"/>
          <w:b/>
          <w:iCs/>
          <w:szCs w:val="24"/>
        </w:rPr>
      </w:pPr>
      <w:r w:rsidRPr="005746F8">
        <w:rPr>
          <w:rFonts w:ascii="Arial" w:hAnsi="Arial" w:cs="Arial"/>
          <w:b/>
          <w:iCs/>
          <w:szCs w:val="24"/>
        </w:rPr>
        <w:t xml:space="preserve">TERCERA: REALIDAD NORMATIVA SOBRE LA SUPUESTA FALTA DE INFORMACIÓN QUE GENERA LA INEFICACIA DE LOS TRASLADOS (ARTÍCULO 11 DEL DECRETO 692 DE 1994 HOY 2.2.2.1.8 DEL </w:t>
      </w:r>
      <w:proofErr w:type="spellStart"/>
      <w:r w:rsidRPr="005746F8">
        <w:rPr>
          <w:rFonts w:ascii="Arial" w:hAnsi="Arial" w:cs="Arial"/>
          <w:b/>
          <w:iCs/>
          <w:szCs w:val="24"/>
        </w:rPr>
        <w:t>D.U.R</w:t>
      </w:r>
      <w:proofErr w:type="spellEnd"/>
      <w:r w:rsidRPr="005746F8">
        <w:rPr>
          <w:rFonts w:ascii="Arial" w:hAnsi="Arial" w:cs="Arial"/>
          <w:b/>
          <w:iCs/>
          <w:szCs w:val="24"/>
        </w:rPr>
        <w:t xml:space="preserve"> 1833/2016)</w:t>
      </w:r>
    </w:p>
    <w:p w14:paraId="4638CCCB" w14:textId="77777777" w:rsidR="005746F8" w:rsidRPr="005746F8" w:rsidRDefault="005746F8" w:rsidP="00CB2A6E">
      <w:pPr>
        <w:spacing w:line="288" w:lineRule="auto"/>
        <w:ind w:right="51"/>
        <w:jc w:val="both"/>
        <w:rPr>
          <w:rFonts w:ascii="Arial" w:hAnsi="Arial" w:cs="Arial"/>
          <w:b/>
          <w:iCs/>
          <w:szCs w:val="24"/>
        </w:rPr>
      </w:pPr>
    </w:p>
    <w:p w14:paraId="0C155766"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29C69AC1" w14:textId="77777777" w:rsidR="005746F8" w:rsidRPr="005746F8" w:rsidRDefault="005746F8" w:rsidP="00CB2A6E">
      <w:pPr>
        <w:spacing w:line="288" w:lineRule="auto"/>
        <w:ind w:right="51"/>
        <w:jc w:val="both"/>
        <w:rPr>
          <w:rFonts w:ascii="Arial" w:hAnsi="Arial" w:cs="Arial"/>
          <w:iCs/>
          <w:szCs w:val="24"/>
        </w:rPr>
      </w:pPr>
    </w:p>
    <w:p w14:paraId="432BA884"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5746F8">
        <w:rPr>
          <w:rFonts w:ascii="Arial" w:hAnsi="Arial" w:cs="Arial"/>
          <w:b/>
          <w:iCs/>
          <w:szCs w:val="24"/>
        </w:rPr>
        <w:t>las AFP –que también son sujetos con derechos y a quienes también debe respetárseles el principio de confianza legítima</w:t>
      </w:r>
      <w:r w:rsidRPr="005746F8">
        <w:rPr>
          <w:rFonts w:ascii="Arial" w:hAnsi="Arial" w:cs="Arial"/>
          <w:iCs/>
          <w:szCs w:val="24"/>
        </w:rPr>
        <w:t xml:space="preserve">-, simplemente siguieron las indicaciones que sobre estos temas fueron señaladas en el decreto 692 de 1994, así:  </w:t>
      </w:r>
    </w:p>
    <w:p w14:paraId="7CECB7F3" w14:textId="77777777" w:rsidR="005746F8" w:rsidRPr="005746F8" w:rsidRDefault="005746F8" w:rsidP="00CB2A6E">
      <w:pPr>
        <w:spacing w:line="288" w:lineRule="auto"/>
        <w:ind w:right="51"/>
        <w:jc w:val="both"/>
        <w:rPr>
          <w:rFonts w:ascii="Arial" w:hAnsi="Arial" w:cs="Arial"/>
          <w:iCs/>
          <w:szCs w:val="24"/>
        </w:rPr>
      </w:pPr>
    </w:p>
    <w:p w14:paraId="2059E9FA"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bCs/>
          <w:i/>
          <w:sz w:val="22"/>
          <w:szCs w:val="24"/>
          <w:lang w:val="es-ES"/>
        </w:rPr>
        <w:t xml:space="preserve">ARTICULO 11. DILIGENCIAMIENTO DE LA </w:t>
      </w:r>
      <w:proofErr w:type="spellStart"/>
      <w:r w:rsidRPr="005746F8">
        <w:rPr>
          <w:rFonts w:ascii="Arial" w:hAnsi="Arial" w:cs="Arial"/>
          <w:bCs/>
          <w:i/>
          <w:sz w:val="22"/>
          <w:szCs w:val="24"/>
          <w:lang w:val="es-ES"/>
        </w:rPr>
        <w:t>SELECCION</w:t>
      </w:r>
      <w:proofErr w:type="spellEnd"/>
      <w:r w:rsidRPr="005746F8">
        <w:rPr>
          <w:rFonts w:ascii="Arial" w:hAnsi="Arial" w:cs="Arial"/>
          <w:bCs/>
          <w:i/>
          <w:sz w:val="22"/>
          <w:szCs w:val="24"/>
          <w:lang w:val="es-ES"/>
        </w:rPr>
        <w:t xml:space="preserve"> Y </w:t>
      </w:r>
      <w:proofErr w:type="spellStart"/>
      <w:r w:rsidRPr="005746F8">
        <w:rPr>
          <w:rFonts w:ascii="Arial" w:hAnsi="Arial" w:cs="Arial"/>
          <w:bCs/>
          <w:i/>
          <w:sz w:val="22"/>
          <w:szCs w:val="24"/>
          <w:lang w:val="es-ES"/>
        </w:rPr>
        <w:t>VINCULACION</w:t>
      </w:r>
      <w:proofErr w:type="spellEnd"/>
      <w:r w:rsidRPr="005746F8">
        <w:rPr>
          <w:rFonts w:ascii="Arial" w:hAnsi="Arial" w:cs="Arial"/>
          <w:bCs/>
          <w:i/>
          <w:sz w:val="22"/>
          <w:szCs w:val="24"/>
          <w:lang w:val="es-ES"/>
        </w:rPr>
        <w:t>.</w:t>
      </w:r>
      <w:bookmarkStart w:id="2" w:name="11"/>
      <w:bookmarkEnd w:id="2"/>
      <w:r w:rsidRPr="005746F8">
        <w:rPr>
          <w:rFonts w:ascii="Arial" w:hAnsi="Arial" w:cs="Arial"/>
          <w:i/>
          <w:sz w:val="22"/>
          <w:szCs w:val="24"/>
          <w:lang w:val="es-ES"/>
        </w:rPr>
        <w:t> </w:t>
      </w:r>
      <w:r w:rsidRPr="005746F8">
        <w:rPr>
          <w:rFonts w:ascii="Arial" w:hAnsi="Arial" w:cs="Arial"/>
          <w:bCs/>
          <w:i/>
          <w:sz w:val="22"/>
          <w:szCs w:val="24"/>
          <w:lang w:val="es-ES"/>
        </w:rPr>
        <w:t>&lt;Artículo compilado en el artículo </w:t>
      </w:r>
      <w:hyperlink r:id="rId9" w:anchor="2.2.2.1.8" w:history="1">
        <w:r w:rsidRPr="008C7B76">
          <w:rPr>
            <w:rFonts w:ascii="Arial" w:hAnsi="Arial" w:cs="Arial"/>
            <w:bCs/>
            <w:i/>
            <w:color w:val="0563C1"/>
            <w:sz w:val="22"/>
            <w:szCs w:val="24"/>
            <w:u w:val="single"/>
            <w:lang w:val="es-ES"/>
          </w:rPr>
          <w:t>2.2.2.1.8</w:t>
        </w:r>
      </w:hyperlink>
      <w:r w:rsidRPr="005746F8">
        <w:rPr>
          <w:rFonts w:ascii="Arial" w:hAnsi="Arial" w:cs="Arial"/>
          <w:bCs/>
          <w:i/>
          <w:sz w:val="22"/>
          <w:szCs w:val="24"/>
          <w:lang w:val="es-ES"/>
        </w:rPr>
        <w:t> del Decreto Único Reglamentario 1833 de 2016.</w:t>
      </w:r>
      <w:r w:rsidRPr="005746F8">
        <w:rPr>
          <w:rFonts w:ascii="Arial" w:hAnsi="Arial" w:cs="Arial"/>
          <w:b/>
          <w:bCs/>
          <w:i/>
          <w:color w:val="004C91"/>
          <w:sz w:val="22"/>
          <w:szCs w:val="24"/>
          <w:lang w:val="es-ES"/>
        </w:rPr>
        <w:t> </w:t>
      </w:r>
    </w:p>
    <w:p w14:paraId="3471E9AC" w14:textId="77777777" w:rsidR="005746F8" w:rsidRPr="005746F8" w:rsidRDefault="005746F8" w:rsidP="008C7B76">
      <w:pPr>
        <w:ind w:left="426" w:right="418"/>
        <w:jc w:val="both"/>
        <w:rPr>
          <w:rFonts w:ascii="Arial" w:hAnsi="Arial" w:cs="Arial"/>
          <w:iCs/>
          <w:sz w:val="22"/>
          <w:szCs w:val="24"/>
        </w:rPr>
      </w:pPr>
    </w:p>
    <w:p w14:paraId="111E3AC3"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4FC1050F" w14:textId="77777777" w:rsidR="005746F8" w:rsidRPr="005746F8" w:rsidRDefault="005746F8" w:rsidP="008C7B76">
      <w:pPr>
        <w:ind w:left="426" w:right="418"/>
        <w:jc w:val="both"/>
        <w:rPr>
          <w:rFonts w:ascii="Arial" w:hAnsi="Arial" w:cs="Arial"/>
          <w:iCs/>
          <w:sz w:val="22"/>
          <w:szCs w:val="24"/>
        </w:rPr>
      </w:pPr>
    </w:p>
    <w:p w14:paraId="3AEBEF75"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084E41A3" w14:textId="77777777" w:rsidR="005746F8" w:rsidRPr="005746F8" w:rsidRDefault="005746F8" w:rsidP="008C7B76">
      <w:pPr>
        <w:ind w:left="426" w:right="418"/>
        <w:jc w:val="both"/>
        <w:rPr>
          <w:rFonts w:ascii="Arial" w:hAnsi="Arial" w:cs="Arial"/>
          <w:iCs/>
          <w:sz w:val="22"/>
          <w:szCs w:val="24"/>
        </w:rPr>
      </w:pPr>
    </w:p>
    <w:p w14:paraId="3D38AD6F"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Quienes decidan afiliarse voluntariamente al sistema, manifestarán su decisión al momento de vincularse a una determinada administradora.</w:t>
      </w:r>
    </w:p>
    <w:p w14:paraId="42623D09" w14:textId="77777777" w:rsidR="005746F8" w:rsidRPr="005746F8" w:rsidRDefault="005746F8" w:rsidP="008C7B76">
      <w:pPr>
        <w:ind w:left="426" w:right="418"/>
        <w:jc w:val="both"/>
        <w:rPr>
          <w:rFonts w:ascii="Arial" w:hAnsi="Arial" w:cs="Arial"/>
          <w:iCs/>
          <w:sz w:val="22"/>
          <w:szCs w:val="24"/>
        </w:rPr>
      </w:pPr>
    </w:p>
    <w:p w14:paraId="4DCC6792"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35AE3C0F" w14:textId="77777777" w:rsidR="005746F8" w:rsidRPr="005746F8" w:rsidRDefault="005746F8" w:rsidP="008C7B76">
      <w:pPr>
        <w:ind w:left="426" w:right="418"/>
        <w:jc w:val="both"/>
        <w:rPr>
          <w:rFonts w:ascii="Arial" w:hAnsi="Arial" w:cs="Arial"/>
          <w:iCs/>
          <w:sz w:val="22"/>
          <w:szCs w:val="24"/>
        </w:rPr>
      </w:pPr>
    </w:p>
    <w:p w14:paraId="7842D420"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a) Lugar y fecha;</w:t>
      </w:r>
    </w:p>
    <w:p w14:paraId="36D0D72C" w14:textId="77777777" w:rsidR="005746F8" w:rsidRPr="005746F8" w:rsidRDefault="005746F8" w:rsidP="008C7B76">
      <w:pPr>
        <w:ind w:left="426" w:right="418"/>
        <w:jc w:val="both"/>
        <w:rPr>
          <w:rFonts w:ascii="Arial" w:hAnsi="Arial" w:cs="Arial"/>
          <w:iCs/>
          <w:sz w:val="22"/>
          <w:szCs w:val="24"/>
        </w:rPr>
      </w:pPr>
    </w:p>
    <w:p w14:paraId="04DB7D18"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 xml:space="preserve">b) Nombre o razón social y </w:t>
      </w:r>
      <w:proofErr w:type="spellStart"/>
      <w:r w:rsidRPr="005746F8">
        <w:rPr>
          <w:rFonts w:ascii="Arial" w:hAnsi="Arial" w:cs="Arial"/>
          <w:i/>
          <w:color w:val="000000"/>
          <w:sz w:val="22"/>
          <w:szCs w:val="24"/>
          <w:lang w:val="es-ES"/>
        </w:rPr>
        <w:t>NIT</w:t>
      </w:r>
      <w:proofErr w:type="spellEnd"/>
      <w:r w:rsidRPr="005746F8">
        <w:rPr>
          <w:rFonts w:ascii="Arial" w:hAnsi="Arial" w:cs="Arial"/>
          <w:i/>
          <w:color w:val="000000"/>
          <w:sz w:val="22"/>
          <w:szCs w:val="24"/>
          <w:lang w:val="es-ES"/>
        </w:rPr>
        <w:t xml:space="preserve"> del empleador;</w:t>
      </w:r>
    </w:p>
    <w:p w14:paraId="735AA77B" w14:textId="77777777" w:rsidR="005746F8" w:rsidRPr="005746F8" w:rsidRDefault="005746F8" w:rsidP="008C7B76">
      <w:pPr>
        <w:ind w:left="426" w:right="418"/>
        <w:jc w:val="both"/>
        <w:rPr>
          <w:rFonts w:ascii="Arial" w:hAnsi="Arial" w:cs="Arial"/>
          <w:iCs/>
          <w:sz w:val="22"/>
          <w:szCs w:val="24"/>
        </w:rPr>
      </w:pPr>
    </w:p>
    <w:p w14:paraId="77D80880"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c) Nombre y apellidos del afiliado;</w:t>
      </w:r>
    </w:p>
    <w:p w14:paraId="35CB0937" w14:textId="77777777" w:rsidR="005746F8" w:rsidRPr="005746F8" w:rsidRDefault="005746F8" w:rsidP="008C7B76">
      <w:pPr>
        <w:ind w:left="426" w:right="418"/>
        <w:jc w:val="both"/>
        <w:rPr>
          <w:rFonts w:ascii="Arial" w:hAnsi="Arial" w:cs="Arial"/>
          <w:iCs/>
          <w:sz w:val="22"/>
          <w:szCs w:val="24"/>
        </w:rPr>
      </w:pPr>
    </w:p>
    <w:p w14:paraId="492D606A"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 xml:space="preserve">d) Número de cédula o </w:t>
      </w:r>
      <w:proofErr w:type="spellStart"/>
      <w:r w:rsidRPr="005746F8">
        <w:rPr>
          <w:rFonts w:ascii="Arial" w:hAnsi="Arial" w:cs="Arial"/>
          <w:i/>
          <w:color w:val="000000"/>
          <w:sz w:val="22"/>
          <w:szCs w:val="24"/>
          <w:lang w:val="es-ES"/>
        </w:rPr>
        <w:t>NIT</w:t>
      </w:r>
      <w:proofErr w:type="spellEnd"/>
      <w:r w:rsidRPr="005746F8">
        <w:rPr>
          <w:rFonts w:ascii="Arial" w:hAnsi="Arial" w:cs="Arial"/>
          <w:i/>
          <w:color w:val="000000"/>
          <w:sz w:val="22"/>
          <w:szCs w:val="24"/>
          <w:lang w:val="es-ES"/>
        </w:rPr>
        <w:t xml:space="preserve"> del afiliado;</w:t>
      </w:r>
    </w:p>
    <w:p w14:paraId="6CD8AFC0" w14:textId="77777777" w:rsidR="005746F8" w:rsidRPr="005746F8" w:rsidRDefault="005746F8" w:rsidP="008C7B76">
      <w:pPr>
        <w:ind w:left="426" w:right="418"/>
        <w:jc w:val="both"/>
        <w:rPr>
          <w:rFonts w:ascii="Arial" w:hAnsi="Arial" w:cs="Arial"/>
          <w:iCs/>
          <w:sz w:val="22"/>
          <w:szCs w:val="24"/>
        </w:rPr>
      </w:pPr>
    </w:p>
    <w:p w14:paraId="4FDB5282"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lastRenderedPageBreak/>
        <w:t xml:space="preserve">e) Entidad administradora del régimen de pensiones a la cual desea afiliarse, la cual podrá estar </w:t>
      </w:r>
      <w:proofErr w:type="spellStart"/>
      <w:r w:rsidRPr="005746F8">
        <w:rPr>
          <w:rFonts w:ascii="Arial" w:hAnsi="Arial" w:cs="Arial"/>
          <w:i/>
          <w:color w:val="000000"/>
          <w:sz w:val="22"/>
          <w:szCs w:val="24"/>
          <w:lang w:val="es-ES"/>
        </w:rPr>
        <w:t>preimpresa</w:t>
      </w:r>
      <w:proofErr w:type="spellEnd"/>
      <w:r w:rsidRPr="005746F8">
        <w:rPr>
          <w:rFonts w:ascii="Arial" w:hAnsi="Arial" w:cs="Arial"/>
          <w:i/>
          <w:color w:val="000000"/>
          <w:sz w:val="22"/>
          <w:szCs w:val="24"/>
          <w:lang w:val="es-ES"/>
        </w:rPr>
        <w:t>;</w:t>
      </w:r>
    </w:p>
    <w:p w14:paraId="2BF92583" w14:textId="77777777" w:rsidR="005746F8" w:rsidRPr="005746F8" w:rsidRDefault="005746F8" w:rsidP="008C7B76">
      <w:pPr>
        <w:ind w:left="426" w:right="418"/>
        <w:jc w:val="both"/>
        <w:rPr>
          <w:rFonts w:ascii="Arial" w:hAnsi="Arial" w:cs="Arial"/>
          <w:iCs/>
          <w:sz w:val="22"/>
          <w:szCs w:val="24"/>
        </w:rPr>
      </w:pPr>
    </w:p>
    <w:p w14:paraId="1020D5BB"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f) Datos del cónyuge, compañero o compañera permanente, hijos o beneficiarios del afiliado.</w:t>
      </w:r>
    </w:p>
    <w:p w14:paraId="56B410D1" w14:textId="77777777" w:rsidR="005746F8" w:rsidRPr="005746F8" w:rsidRDefault="005746F8" w:rsidP="008C7B76">
      <w:pPr>
        <w:ind w:left="426" w:right="418"/>
        <w:jc w:val="both"/>
        <w:rPr>
          <w:rFonts w:ascii="Arial" w:hAnsi="Arial" w:cs="Arial"/>
          <w:iCs/>
          <w:sz w:val="22"/>
          <w:szCs w:val="24"/>
        </w:rPr>
      </w:pPr>
    </w:p>
    <w:p w14:paraId="54F6105E"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7EDEDC4F" w14:textId="77777777" w:rsidR="005746F8" w:rsidRPr="005746F8" w:rsidRDefault="005746F8" w:rsidP="008C7B76">
      <w:pPr>
        <w:ind w:left="426" w:right="418"/>
        <w:jc w:val="both"/>
        <w:rPr>
          <w:rFonts w:ascii="Arial" w:hAnsi="Arial" w:cs="Arial"/>
          <w:iCs/>
          <w:sz w:val="22"/>
          <w:szCs w:val="24"/>
        </w:rPr>
      </w:pPr>
    </w:p>
    <w:p w14:paraId="46B6ADB2" w14:textId="77777777" w:rsidR="005746F8" w:rsidRPr="005746F8" w:rsidRDefault="005746F8" w:rsidP="008C7B76">
      <w:pPr>
        <w:ind w:left="426" w:right="418"/>
        <w:jc w:val="both"/>
        <w:rPr>
          <w:rFonts w:ascii="Arial" w:hAnsi="Arial" w:cs="Arial"/>
          <w:b/>
          <w:iCs/>
          <w:sz w:val="22"/>
          <w:szCs w:val="24"/>
        </w:rPr>
      </w:pPr>
      <w:r w:rsidRPr="005746F8">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69326E30" w14:textId="77777777" w:rsidR="005746F8" w:rsidRPr="005746F8" w:rsidRDefault="005746F8" w:rsidP="008C7B76">
      <w:pPr>
        <w:ind w:left="426" w:right="418"/>
        <w:jc w:val="both"/>
        <w:rPr>
          <w:rFonts w:ascii="Arial" w:hAnsi="Arial" w:cs="Arial"/>
          <w:iCs/>
          <w:sz w:val="22"/>
          <w:szCs w:val="24"/>
        </w:rPr>
      </w:pPr>
    </w:p>
    <w:p w14:paraId="4EBA1030"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5746F8">
        <w:rPr>
          <w:rFonts w:ascii="Arial" w:hAnsi="Arial" w:cs="Arial"/>
          <w:b/>
          <w:i/>
          <w:color w:val="000000"/>
          <w:sz w:val="22"/>
          <w:szCs w:val="24"/>
          <w:lang w:val="es-ES"/>
        </w:rPr>
        <w:t>preimpresa</w:t>
      </w:r>
      <w:proofErr w:type="spellEnd"/>
      <w:r w:rsidRPr="005746F8">
        <w:rPr>
          <w:rFonts w:ascii="Arial" w:hAnsi="Arial" w:cs="Arial"/>
          <w:b/>
          <w:i/>
          <w:color w:val="000000"/>
          <w:sz w:val="22"/>
          <w:szCs w:val="24"/>
          <w:lang w:val="es-ES"/>
        </w:rPr>
        <w:t xml:space="preserve"> en este sentido”.</w:t>
      </w:r>
    </w:p>
    <w:p w14:paraId="530BD8BA"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 xml:space="preserve"> </w:t>
      </w:r>
    </w:p>
    <w:p w14:paraId="088648DE"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Nótese como, no solo la norma dispuso la información que debía contener el formulario sino que, expresamente señaló en qué casos no se consideraría válida y tratándose de traslados, advirtió que debería haber una leyenda expresa –</w:t>
      </w:r>
      <w:r w:rsidRPr="005746F8">
        <w:rPr>
          <w:rFonts w:ascii="Arial" w:hAnsi="Arial" w:cs="Arial"/>
          <w:b/>
          <w:iCs/>
          <w:szCs w:val="24"/>
        </w:rPr>
        <w:t xml:space="preserve">que podía estar </w:t>
      </w:r>
      <w:proofErr w:type="spellStart"/>
      <w:r w:rsidRPr="005746F8">
        <w:rPr>
          <w:rFonts w:ascii="Arial" w:hAnsi="Arial" w:cs="Arial"/>
          <w:b/>
          <w:iCs/>
          <w:szCs w:val="24"/>
        </w:rPr>
        <w:t>preimpresa</w:t>
      </w:r>
      <w:proofErr w:type="spellEnd"/>
      <w:r w:rsidRPr="005746F8">
        <w:rPr>
          <w:rFonts w:ascii="Arial" w:hAnsi="Arial" w:cs="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No. Contrario a lo que trata de sostenerse, los formularios son la prueba de que los asesores de las AFP cumplieron las obligaciones consagradas en los artículos 97 y 98 del Estatuto Orgánico del Sistema Financiero.</w:t>
      </w:r>
    </w:p>
    <w:p w14:paraId="22A61257" w14:textId="77777777" w:rsidR="005746F8" w:rsidRPr="005746F8" w:rsidRDefault="005746F8" w:rsidP="00CB2A6E">
      <w:pPr>
        <w:spacing w:line="288" w:lineRule="auto"/>
        <w:ind w:right="51"/>
        <w:jc w:val="both"/>
        <w:rPr>
          <w:rFonts w:ascii="Arial" w:hAnsi="Arial" w:cs="Arial"/>
          <w:iCs/>
          <w:szCs w:val="24"/>
        </w:rPr>
      </w:pPr>
    </w:p>
    <w:p w14:paraId="581A5517"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Respecto a estas últimas normas, en concreto el artículo 97, las Salas de decisión laboral No. 1 y 4 de este Tribunal por mayorías, con ponencia de la doctora Olga lucía Hoyos Sepúlveda han dicho:</w:t>
      </w:r>
    </w:p>
    <w:p w14:paraId="053F4A1F" w14:textId="77777777" w:rsidR="005746F8" w:rsidRPr="005746F8" w:rsidRDefault="005746F8" w:rsidP="00CB2A6E">
      <w:pPr>
        <w:spacing w:line="288" w:lineRule="auto"/>
        <w:ind w:right="51"/>
        <w:jc w:val="both"/>
        <w:rPr>
          <w:rFonts w:ascii="Arial" w:hAnsi="Arial" w:cs="Arial"/>
          <w:iCs/>
          <w:szCs w:val="24"/>
        </w:rPr>
      </w:pPr>
    </w:p>
    <w:p w14:paraId="680B36EA"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Cs/>
          <w:sz w:val="22"/>
          <w:szCs w:val="24"/>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11469CEE" w14:textId="77777777" w:rsidR="005746F8" w:rsidRPr="005746F8" w:rsidRDefault="005746F8" w:rsidP="008C7B76">
      <w:pPr>
        <w:ind w:left="426" w:right="418"/>
        <w:jc w:val="both"/>
        <w:rPr>
          <w:rFonts w:ascii="Arial" w:hAnsi="Arial" w:cs="Arial"/>
          <w:iCs/>
          <w:sz w:val="22"/>
          <w:szCs w:val="24"/>
        </w:rPr>
      </w:pPr>
    </w:p>
    <w:p w14:paraId="5CFF1BD8" w14:textId="77777777" w:rsidR="005746F8" w:rsidRPr="005746F8" w:rsidRDefault="005746F8" w:rsidP="008C7B76">
      <w:pPr>
        <w:ind w:left="426" w:right="418"/>
        <w:jc w:val="both"/>
        <w:rPr>
          <w:rFonts w:ascii="Arial" w:hAnsi="Arial" w:cs="Arial"/>
          <w:iCs/>
          <w:sz w:val="22"/>
          <w:szCs w:val="24"/>
        </w:rPr>
      </w:pPr>
      <w:r w:rsidRPr="005746F8">
        <w:rPr>
          <w:rFonts w:ascii="Arial" w:hAnsi="Arial" w:cs="Arial"/>
          <w:iCs/>
          <w:sz w:val="22"/>
          <w:szCs w:val="24"/>
        </w:rPr>
        <w:t xml:space="preserve">Es que, el mencionado canon, de manera evidente se refiere a las “mejores opciones del mercado” respecto a las inversiones del dinero ahorrado. </w:t>
      </w:r>
      <w:r w:rsidRPr="005746F8">
        <w:rPr>
          <w:rFonts w:ascii="Arial" w:hAnsi="Arial" w:cs="Arial"/>
          <w:b/>
          <w:iCs/>
          <w:sz w:val="22"/>
          <w:szCs w:val="24"/>
        </w:rPr>
        <w:t xml:space="preserve">No se trata entonces de una información sobre las características de los regímenes del sistema </w:t>
      </w:r>
      <w:r w:rsidRPr="005746F8">
        <w:rPr>
          <w:rFonts w:ascii="Arial" w:hAnsi="Arial" w:cs="Arial"/>
          <w:b/>
          <w:iCs/>
          <w:sz w:val="22"/>
          <w:szCs w:val="24"/>
        </w:rPr>
        <w:lastRenderedPageBreak/>
        <w:t>pensional</w:t>
      </w:r>
      <w:r w:rsidRPr="005746F8">
        <w:rPr>
          <w:rFonts w:ascii="Arial" w:hAnsi="Arial" w:cs="Arial"/>
          <w:iCs/>
          <w:sz w:val="22"/>
          <w:szCs w:val="24"/>
        </w:rPr>
        <w:t xml:space="preserve">, sino de la solidez de la AFP y de las operaciones financieras para el manejo del dinero depositado en la cuenta de ahorro individual” </w:t>
      </w:r>
    </w:p>
    <w:p w14:paraId="41DC0EF3" w14:textId="77777777" w:rsidR="005746F8" w:rsidRPr="005746F8" w:rsidRDefault="005746F8" w:rsidP="00CB2A6E">
      <w:pPr>
        <w:spacing w:line="288" w:lineRule="auto"/>
        <w:ind w:right="51"/>
        <w:jc w:val="both"/>
        <w:rPr>
          <w:rFonts w:ascii="Arial" w:hAnsi="Arial" w:cs="Arial"/>
          <w:iCs/>
          <w:szCs w:val="24"/>
        </w:rPr>
      </w:pPr>
    </w:p>
    <w:p w14:paraId="3236662E" w14:textId="77777777" w:rsidR="005746F8" w:rsidRPr="005746F8" w:rsidRDefault="005746F8" w:rsidP="00CB2A6E">
      <w:pPr>
        <w:spacing w:line="288" w:lineRule="auto"/>
        <w:ind w:right="51"/>
        <w:jc w:val="both"/>
        <w:rPr>
          <w:rFonts w:ascii="Arial" w:hAnsi="Arial" w:cs="Arial"/>
          <w:iCs/>
          <w:szCs w:val="24"/>
        </w:rPr>
      </w:pPr>
      <w:r w:rsidRPr="005746F8">
        <w:rPr>
          <w:rFonts w:ascii="Arial" w:hAnsi="Arial" w:cs="Arial"/>
          <w:iCs/>
          <w:szCs w:val="24"/>
        </w:rPr>
        <w:t>Se resalta el aparte anterior porque, aunque parezca increíble, en este tema se está olvidando que los pormenores de los regímenes no son nada distinto que los contenidos de la Ley que regula los dos sistemas, cuyo conocimiento no hay que repetirlo a las partes, toda vez que el mismo se presume de derecho conocido por las ellas según el artículo 9 del Código Civil, toda vez que a nadie le está permitido ignorar las leyes.</w:t>
      </w:r>
    </w:p>
    <w:p w14:paraId="6BFACDBF" w14:textId="77777777" w:rsidR="005746F8" w:rsidRDefault="005746F8" w:rsidP="00CB2A6E">
      <w:pPr>
        <w:spacing w:line="288" w:lineRule="auto"/>
        <w:ind w:right="51"/>
        <w:jc w:val="both"/>
        <w:rPr>
          <w:rFonts w:ascii="Arial" w:hAnsi="Arial" w:cs="Arial"/>
          <w:iCs/>
          <w:szCs w:val="24"/>
        </w:rPr>
      </w:pPr>
    </w:p>
    <w:p w14:paraId="6DD87750" w14:textId="77777777" w:rsidR="000E0D52" w:rsidRPr="005746F8" w:rsidRDefault="000E0D52" w:rsidP="00CB2A6E">
      <w:pPr>
        <w:spacing w:line="288" w:lineRule="auto"/>
        <w:ind w:right="51"/>
        <w:jc w:val="both"/>
        <w:rPr>
          <w:rFonts w:ascii="Arial" w:hAnsi="Arial" w:cs="Arial"/>
          <w:iCs/>
          <w:szCs w:val="24"/>
        </w:rPr>
      </w:pPr>
    </w:p>
    <w:p w14:paraId="0FB40CD4" w14:textId="51CF9849" w:rsidR="005746F8" w:rsidRPr="005746F8" w:rsidRDefault="005746F8" w:rsidP="00CB2A6E">
      <w:pPr>
        <w:spacing w:line="288" w:lineRule="auto"/>
        <w:jc w:val="both"/>
        <w:rPr>
          <w:rFonts w:ascii="Arial" w:hAnsi="Arial" w:cs="Arial"/>
          <w:b/>
          <w:iCs/>
          <w:szCs w:val="24"/>
        </w:rPr>
      </w:pPr>
      <w:r w:rsidRPr="005746F8">
        <w:rPr>
          <w:rFonts w:ascii="Arial" w:hAnsi="Arial" w:cs="Arial"/>
          <w:b/>
          <w:iCs/>
          <w:szCs w:val="24"/>
        </w:rPr>
        <w:t xml:space="preserve">CUARTA: LA SUPUESTA FALTA DE INFORMACIÓN POR NO HABERSE REALIZADO </w:t>
      </w:r>
      <w:r w:rsidR="008C7B76" w:rsidRPr="005746F8">
        <w:rPr>
          <w:rFonts w:ascii="Arial" w:hAnsi="Arial" w:cs="Arial"/>
          <w:b/>
          <w:iCs/>
          <w:szCs w:val="24"/>
        </w:rPr>
        <w:t>PROYECCIONES</w:t>
      </w:r>
      <w:r w:rsidRPr="005746F8">
        <w:rPr>
          <w:rFonts w:ascii="Arial" w:hAnsi="Arial" w:cs="Arial"/>
          <w:b/>
          <w:iCs/>
          <w:szCs w:val="24"/>
        </w:rPr>
        <w:t xml:space="preserve"> SOBRE EL POSIBLE MONTO DE LA PENSIÓN</w:t>
      </w:r>
    </w:p>
    <w:p w14:paraId="095CDEFC" w14:textId="77777777" w:rsidR="005746F8" w:rsidRPr="005746F8" w:rsidRDefault="005746F8" w:rsidP="00CB2A6E">
      <w:pPr>
        <w:spacing w:line="288" w:lineRule="auto"/>
        <w:jc w:val="both"/>
        <w:rPr>
          <w:rFonts w:ascii="Arial" w:hAnsi="Arial" w:cs="Arial"/>
          <w:iCs/>
          <w:szCs w:val="24"/>
        </w:rPr>
      </w:pPr>
    </w:p>
    <w:p w14:paraId="4AE32557" w14:textId="77777777" w:rsidR="005746F8" w:rsidRPr="005746F8" w:rsidRDefault="005746F8" w:rsidP="00CB2A6E">
      <w:pPr>
        <w:spacing w:line="288" w:lineRule="auto"/>
        <w:jc w:val="both"/>
        <w:rPr>
          <w:rFonts w:ascii="Arial" w:hAnsi="Arial" w:cs="Arial"/>
          <w:szCs w:val="24"/>
          <w:lang w:val="es-CO"/>
        </w:rPr>
      </w:pPr>
      <w:r w:rsidRPr="005746F8">
        <w:rPr>
          <w:rFonts w:ascii="Arial" w:hAnsi="Arial" w:cs="Arial"/>
          <w:iCs/>
          <w:szCs w:val="24"/>
        </w:rPr>
        <w:t xml:space="preserve">Igualmente resulta insostenible la tesis de falta de información por no haberse realizado proyecciones respecto al monto de la pensión, toda vez que en Colombia las normas rigen y producen efecto a futuro, sin retroactividad y las referidas proyecciones sobre los montos pensionales en cada régimen, solo fueron dispuestas por la Ley 1748 de 2014,  </w:t>
      </w:r>
      <w:r w:rsidRPr="005746F8">
        <w:rPr>
          <w:rFonts w:ascii="Arial" w:hAnsi="Arial" w:cs="Arial"/>
          <w:szCs w:val="24"/>
          <w:lang w:val="es-CO"/>
        </w:rPr>
        <w:t>en cuyo parágrafo 1º del artículo 2º se destaca:</w:t>
      </w:r>
    </w:p>
    <w:p w14:paraId="071C5280" w14:textId="77777777" w:rsidR="005746F8" w:rsidRPr="005746F8" w:rsidRDefault="005746F8" w:rsidP="00CB2A6E">
      <w:pPr>
        <w:spacing w:line="288" w:lineRule="auto"/>
        <w:jc w:val="both"/>
        <w:rPr>
          <w:rFonts w:ascii="Arial" w:hAnsi="Arial" w:cs="Arial"/>
          <w:szCs w:val="24"/>
          <w:lang w:val="es-CO"/>
        </w:rPr>
      </w:pPr>
    </w:p>
    <w:p w14:paraId="6495AE72" w14:textId="77777777" w:rsidR="005746F8" w:rsidRPr="005746F8" w:rsidRDefault="005746F8" w:rsidP="008C7B76">
      <w:pPr>
        <w:ind w:left="426" w:right="418"/>
        <w:jc w:val="both"/>
        <w:rPr>
          <w:rFonts w:ascii="Arial" w:hAnsi="Arial" w:cs="Arial"/>
          <w:i/>
          <w:sz w:val="22"/>
          <w:szCs w:val="24"/>
          <w:lang w:val="es-ES"/>
        </w:rPr>
      </w:pPr>
      <w:r w:rsidRPr="005746F8">
        <w:rPr>
          <w:rFonts w:ascii="Arial" w:hAnsi="Arial" w:cs="Arial"/>
          <w:b/>
          <w:bCs/>
          <w:sz w:val="22"/>
          <w:szCs w:val="24"/>
          <w:lang w:val="es-ES"/>
        </w:rPr>
        <w:t>“</w:t>
      </w:r>
      <w:r w:rsidRPr="005746F8">
        <w:rPr>
          <w:rFonts w:ascii="Arial" w:hAnsi="Arial" w:cs="Arial"/>
          <w:b/>
          <w:bCs/>
          <w:i/>
          <w:sz w:val="22"/>
          <w:szCs w:val="24"/>
          <w:lang w:val="es-ES"/>
        </w:rPr>
        <w:t>PARÁGRAFO 1o.</w:t>
      </w:r>
      <w:r w:rsidRPr="005746F8">
        <w:rPr>
          <w:rFonts w:ascii="Arial" w:hAnsi="Arial" w:cs="Arial"/>
          <w:i/>
          <w:sz w:val="22"/>
          <w:szCs w:val="24"/>
          <w:lang w:val="es-ES"/>
        </w:rPr>
        <w:t> Adicionar un inciso 2o al artículo </w:t>
      </w:r>
      <w:hyperlink r:id="rId10" w:anchor="9" w:history="1">
        <w:r w:rsidRPr="005746F8">
          <w:rPr>
            <w:rFonts w:ascii="Arial" w:hAnsi="Arial" w:cs="Arial"/>
            <w:i/>
            <w:color w:val="0563C1"/>
            <w:sz w:val="22"/>
            <w:szCs w:val="24"/>
            <w:u w:val="single"/>
            <w:lang w:val="es-ES"/>
          </w:rPr>
          <w:t>9</w:t>
        </w:r>
      </w:hyperlink>
      <w:r w:rsidRPr="005746F8">
        <w:rPr>
          <w:rFonts w:ascii="Arial" w:hAnsi="Arial" w:cs="Arial"/>
          <w:i/>
          <w:sz w:val="22"/>
          <w:szCs w:val="24"/>
          <w:lang w:val="es-ES"/>
        </w:rPr>
        <w:t>o de la Ley 1328 de 2009, que regula el contenido mínimo de la información al consumidor financiero, cuyo texto es el siguiente:</w:t>
      </w:r>
    </w:p>
    <w:p w14:paraId="5D524339" w14:textId="77777777" w:rsidR="005746F8" w:rsidRPr="005746F8" w:rsidRDefault="005746F8" w:rsidP="008C7B76">
      <w:pPr>
        <w:ind w:left="426" w:right="418"/>
        <w:jc w:val="both"/>
        <w:rPr>
          <w:rFonts w:ascii="Arial" w:hAnsi="Arial" w:cs="Arial"/>
          <w:i/>
          <w:sz w:val="22"/>
          <w:szCs w:val="24"/>
          <w:lang w:val="es-ES"/>
        </w:rPr>
      </w:pPr>
    </w:p>
    <w:p w14:paraId="37E9CC8E" w14:textId="77777777" w:rsidR="005746F8" w:rsidRPr="005746F8" w:rsidRDefault="005746F8" w:rsidP="008C7B76">
      <w:pPr>
        <w:ind w:left="426" w:right="418"/>
        <w:jc w:val="both"/>
        <w:rPr>
          <w:rFonts w:ascii="Arial" w:hAnsi="Arial" w:cs="Arial"/>
          <w:sz w:val="22"/>
          <w:szCs w:val="24"/>
          <w:lang w:val="es-ES"/>
        </w:rPr>
      </w:pPr>
      <w:r w:rsidRPr="005746F8">
        <w:rPr>
          <w:rFonts w:ascii="Arial" w:hAnsi="Arial" w:cs="Arial"/>
          <w:i/>
          <w:sz w:val="22"/>
          <w:szCs w:val="24"/>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5746F8">
        <w:rPr>
          <w:rFonts w:ascii="Arial" w:hAnsi="Arial" w:cs="Arial"/>
          <w:b/>
          <w:i/>
          <w:sz w:val="22"/>
          <w:szCs w:val="24"/>
          <w:lang w:val="es-ES"/>
        </w:rPr>
        <w:t>Lo anterior de conformidad con las instrucciones que para el efecto imparta la Superintendencia Financiera de Colombia</w:t>
      </w:r>
      <w:r w:rsidRPr="005746F8">
        <w:rPr>
          <w:rFonts w:ascii="Arial" w:hAnsi="Arial" w:cs="Arial"/>
          <w:i/>
          <w:sz w:val="22"/>
          <w:szCs w:val="24"/>
          <w:lang w:val="es-ES"/>
        </w:rPr>
        <w:t>.</w:t>
      </w:r>
      <w:r w:rsidRPr="005746F8">
        <w:rPr>
          <w:rFonts w:ascii="Arial" w:hAnsi="Arial" w:cs="Arial"/>
          <w:sz w:val="22"/>
          <w:szCs w:val="24"/>
          <w:lang w:val="es-ES"/>
        </w:rPr>
        <w:t>”</w:t>
      </w:r>
    </w:p>
    <w:p w14:paraId="1F593E2D" w14:textId="77777777" w:rsidR="005746F8" w:rsidRPr="005746F8" w:rsidRDefault="005746F8" w:rsidP="00CB2A6E">
      <w:pPr>
        <w:spacing w:line="288" w:lineRule="auto"/>
        <w:jc w:val="both"/>
        <w:rPr>
          <w:rFonts w:ascii="Arial" w:hAnsi="Arial" w:cs="Arial"/>
          <w:szCs w:val="24"/>
          <w:lang w:val="es-CO"/>
        </w:rPr>
      </w:pPr>
    </w:p>
    <w:p w14:paraId="3DB30EFA" w14:textId="77777777" w:rsidR="005746F8" w:rsidRPr="005746F8" w:rsidRDefault="005746F8" w:rsidP="00CB2A6E">
      <w:pPr>
        <w:spacing w:line="288" w:lineRule="auto"/>
        <w:jc w:val="both"/>
        <w:rPr>
          <w:rFonts w:ascii="Arial" w:hAnsi="Arial" w:cs="Arial"/>
          <w:szCs w:val="24"/>
          <w:lang w:val="es-CO"/>
        </w:rPr>
      </w:pPr>
      <w:r w:rsidRPr="005746F8">
        <w:rPr>
          <w:rFonts w:ascii="Arial" w:hAnsi="Arial" w:cs="Arial"/>
          <w:szCs w:val="24"/>
          <w:lang w:val="es-CO"/>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14:paraId="1952635D" w14:textId="77777777" w:rsidR="005746F8" w:rsidRPr="005746F8" w:rsidRDefault="005746F8" w:rsidP="00CB2A6E">
      <w:pPr>
        <w:spacing w:line="288" w:lineRule="auto"/>
        <w:jc w:val="both"/>
        <w:rPr>
          <w:rFonts w:ascii="Arial" w:hAnsi="Arial" w:cs="Arial"/>
          <w:szCs w:val="24"/>
          <w:lang w:val="es-CO"/>
        </w:rPr>
      </w:pPr>
    </w:p>
    <w:p w14:paraId="08BAB8C3" w14:textId="77777777" w:rsidR="005746F8" w:rsidRPr="005746F8" w:rsidRDefault="005746F8" w:rsidP="008C7B76">
      <w:pPr>
        <w:ind w:left="426" w:right="418"/>
        <w:jc w:val="both"/>
        <w:rPr>
          <w:rFonts w:ascii="Arial" w:hAnsi="Arial" w:cs="Arial"/>
          <w:i/>
          <w:sz w:val="22"/>
          <w:szCs w:val="24"/>
          <w:lang w:val="es-ES"/>
        </w:rPr>
      </w:pPr>
      <w:r w:rsidRPr="005746F8">
        <w:rPr>
          <w:rFonts w:ascii="Arial" w:hAnsi="Arial" w:cs="Arial"/>
          <w:sz w:val="22"/>
          <w:szCs w:val="24"/>
          <w:lang w:val="es-ES"/>
        </w:rPr>
        <w:t>“</w:t>
      </w:r>
      <w:r w:rsidRPr="005746F8">
        <w:rPr>
          <w:rFonts w:ascii="Arial" w:hAnsi="Arial" w:cs="Arial"/>
          <w:i/>
          <w:sz w:val="22"/>
          <w:szCs w:val="24"/>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14:paraId="7E4EB95F" w14:textId="77777777" w:rsidR="005746F8" w:rsidRPr="005746F8" w:rsidRDefault="005746F8" w:rsidP="008C7B76">
      <w:pPr>
        <w:ind w:left="426" w:right="418"/>
        <w:jc w:val="both"/>
        <w:rPr>
          <w:rFonts w:ascii="Arial" w:hAnsi="Arial" w:cs="Arial"/>
          <w:i/>
          <w:sz w:val="22"/>
          <w:szCs w:val="24"/>
          <w:lang w:val="es-ES"/>
        </w:rPr>
      </w:pPr>
    </w:p>
    <w:p w14:paraId="2D2A7BFB" w14:textId="77777777" w:rsidR="005746F8" w:rsidRPr="005746F8" w:rsidRDefault="005746F8" w:rsidP="008C7B76">
      <w:pPr>
        <w:ind w:left="426" w:right="418"/>
        <w:jc w:val="both"/>
        <w:rPr>
          <w:rFonts w:ascii="Arial" w:hAnsi="Arial" w:cs="Arial"/>
          <w:i/>
          <w:sz w:val="22"/>
          <w:szCs w:val="24"/>
          <w:lang w:val="es-ES"/>
        </w:rPr>
      </w:pPr>
      <w:r w:rsidRPr="005746F8">
        <w:rPr>
          <w:rFonts w:ascii="Arial" w:hAnsi="Arial" w:cs="Arial"/>
          <w:i/>
          <w:sz w:val="22"/>
          <w:szCs w:val="24"/>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14:paraId="51E3196F" w14:textId="77777777" w:rsidR="005746F8" w:rsidRPr="005746F8" w:rsidRDefault="005746F8" w:rsidP="008C7B76">
      <w:pPr>
        <w:ind w:left="426" w:right="418"/>
        <w:jc w:val="both"/>
        <w:rPr>
          <w:rFonts w:ascii="Arial" w:hAnsi="Arial" w:cs="Arial"/>
          <w:i/>
          <w:sz w:val="22"/>
          <w:szCs w:val="24"/>
          <w:lang w:val="es-ES"/>
        </w:rPr>
      </w:pPr>
    </w:p>
    <w:p w14:paraId="10539B95" w14:textId="77777777" w:rsidR="005746F8" w:rsidRPr="005746F8" w:rsidRDefault="005746F8" w:rsidP="008C7B76">
      <w:pPr>
        <w:ind w:left="426" w:right="418"/>
        <w:jc w:val="both"/>
        <w:rPr>
          <w:rFonts w:ascii="Arial" w:hAnsi="Arial" w:cs="Arial"/>
          <w:sz w:val="22"/>
          <w:szCs w:val="24"/>
          <w:lang w:val="es-ES"/>
        </w:rPr>
      </w:pPr>
      <w:r w:rsidRPr="005746F8">
        <w:rPr>
          <w:rFonts w:ascii="Arial" w:hAnsi="Arial" w:cs="Arial"/>
          <w:i/>
          <w:sz w:val="22"/>
          <w:szCs w:val="24"/>
          <w:lang w:val="es-ES"/>
        </w:rPr>
        <w:t xml:space="preserve">Que el parágrafo 1° del mismo artículo adicionó un inciso al artículo 9° de la Ley 1328 de 2009, el cual determina la obligación de garantizar que los afiliados al sistema </w:t>
      </w:r>
      <w:r w:rsidRPr="005746F8">
        <w:rPr>
          <w:rFonts w:ascii="Arial" w:hAnsi="Arial" w:cs="Arial"/>
          <w:i/>
          <w:sz w:val="22"/>
          <w:szCs w:val="24"/>
          <w:lang w:val="es-ES"/>
        </w:rPr>
        <w:lastRenderedPageBreak/>
        <w:t>general de pensiones reciban una asesoría de representantes de ambos regímenes, como condición previa para el traslado, con miras a que el afiliado tome una decisión informada</w:t>
      </w:r>
      <w:r w:rsidRPr="005746F8">
        <w:rPr>
          <w:rFonts w:ascii="Arial" w:hAnsi="Arial" w:cs="Arial"/>
          <w:sz w:val="22"/>
          <w:szCs w:val="24"/>
          <w:lang w:val="es-ES"/>
        </w:rPr>
        <w:t>”</w:t>
      </w:r>
    </w:p>
    <w:p w14:paraId="728457F3" w14:textId="77777777" w:rsidR="005746F8" w:rsidRPr="005746F8" w:rsidRDefault="005746F8" w:rsidP="00CB2A6E">
      <w:pPr>
        <w:spacing w:line="288" w:lineRule="auto"/>
        <w:ind w:left="708"/>
        <w:jc w:val="both"/>
        <w:rPr>
          <w:rFonts w:ascii="Arial" w:hAnsi="Arial" w:cs="Arial"/>
          <w:szCs w:val="24"/>
          <w:lang w:val="es-ES"/>
        </w:rPr>
      </w:pPr>
    </w:p>
    <w:p w14:paraId="5A2F07A7" w14:textId="77777777" w:rsidR="005746F8" w:rsidRPr="005746F8" w:rsidRDefault="005746F8" w:rsidP="00CB2A6E">
      <w:pPr>
        <w:spacing w:line="288" w:lineRule="auto"/>
        <w:jc w:val="both"/>
        <w:rPr>
          <w:rFonts w:ascii="Arial" w:hAnsi="Arial" w:cs="Arial"/>
          <w:szCs w:val="24"/>
          <w:lang w:val="es-ES"/>
        </w:rPr>
      </w:pPr>
      <w:r w:rsidRPr="005746F8">
        <w:rPr>
          <w:rFonts w:ascii="Arial" w:hAnsi="Arial" w:cs="Arial"/>
          <w:szCs w:val="24"/>
          <w:lang w:val="es-CO"/>
        </w:rPr>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w:t>
      </w:r>
      <w:r w:rsidRPr="005746F8">
        <w:rPr>
          <w:rFonts w:ascii="Arial" w:hAnsi="Arial" w:cs="Arial"/>
          <w:i/>
          <w:szCs w:val="24"/>
          <w:lang w:val="es-CO"/>
        </w:rPr>
        <w:t>que “</w:t>
      </w:r>
      <w:r w:rsidRPr="005746F8">
        <w:rPr>
          <w:rFonts w:ascii="Arial" w:hAnsi="Arial" w:cs="Arial"/>
          <w:i/>
          <w:sz w:val="22"/>
          <w:szCs w:val="24"/>
          <w:lang w:val="es-CO"/>
        </w:rPr>
        <w:t>p</w:t>
      </w:r>
      <w:r w:rsidRPr="005746F8">
        <w:rPr>
          <w:rFonts w:ascii="Arial" w:hAnsi="Arial" w:cs="Arial"/>
          <w:i/>
          <w:sz w:val="22"/>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5746F8">
        <w:rPr>
          <w:rFonts w:ascii="Arial" w:hAnsi="Arial" w:cs="Arial"/>
          <w:i/>
          <w:szCs w:val="24"/>
          <w:lang w:val="es-ES"/>
        </w:rPr>
        <w:t>”</w:t>
      </w:r>
      <w:r w:rsidRPr="005746F8">
        <w:rPr>
          <w:rFonts w:ascii="Arial" w:hAnsi="Arial" w:cs="Arial"/>
          <w:szCs w:val="24"/>
          <w:lang w:val="es-ES"/>
        </w:rPr>
        <w:t>; aspecto que pone de manifiesto que antes del decreto en comento, las Administradoras no tenían mecanismo para dar tal información pues es, este artículo 2.6.10.4.3., el que establece los parámetros técnicos para poder cumplir tal cometido, al disponer:</w:t>
      </w:r>
    </w:p>
    <w:p w14:paraId="59456D9B" w14:textId="77777777" w:rsidR="005746F8" w:rsidRPr="005746F8" w:rsidRDefault="005746F8" w:rsidP="00CB2A6E">
      <w:pPr>
        <w:spacing w:line="288" w:lineRule="auto"/>
        <w:jc w:val="both"/>
        <w:rPr>
          <w:rFonts w:ascii="Arial" w:hAnsi="Arial" w:cs="Arial"/>
          <w:szCs w:val="24"/>
          <w:lang w:val="es-ES"/>
        </w:rPr>
      </w:pPr>
    </w:p>
    <w:p w14:paraId="578AA847" w14:textId="77777777" w:rsidR="005746F8" w:rsidRPr="005746F8" w:rsidRDefault="005746F8" w:rsidP="002F69F0">
      <w:pPr>
        <w:ind w:left="426" w:right="418"/>
        <w:jc w:val="both"/>
        <w:rPr>
          <w:rFonts w:ascii="Arial" w:hAnsi="Arial" w:cs="Arial"/>
          <w:i/>
          <w:sz w:val="22"/>
          <w:szCs w:val="24"/>
          <w:lang w:val="es-ES"/>
        </w:rPr>
      </w:pPr>
      <w:r w:rsidRPr="005746F8">
        <w:rPr>
          <w:rFonts w:ascii="Arial" w:hAnsi="Arial" w:cs="Arial"/>
          <w:sz w:val="22"/>
          <w:szCs w:val="24"/>
          <w:lang w:val="es-ES"/>
        </w:rPr>
        <w:t>“</w:t>
      </w:r>
      <w:r w:rsidRPr="005746F8">
        <w:rPr>
          <w:rFonts w:ascii="Arial" w:hAnsi="Arial" w:cs="Arial"/>
          <w:b/>
          <w:bCs/>
          <w:i/>
          <w:sz w:val="22"/>
          <w:szCs w:val="24"/>
          <w:lang w:val="es-ES"/>
        </w:rPr>
        <w:t>Artículo 2.6.10.4.3. </w:t>
      </w:r>
      <w:r w:rsidRPr="005746F8">
        <w:rPr>
          <w:rFonts w:ascii="Arial" w:hAnsi="Arial" w:cs="Arial"/>
          <w:b/>
          <w:bCs/>
          <w:i/>
          <w:iCs/>
          <w:sz w:val="22"/>
          <w:szCs w:val="24"/>
          <w:lang w:val="es-ES"/>
        </w:rPr>
        <w:t>Proyección del beneficio pensional en el Régimen de Ahorro Individual con Solidaridad. </w:t>
      </w:r>
      <w:r w:rsidRPr="005746F8">
        <w:rPr>
          <w:rFonts w:ascii="Arial" w:hAnsi="Arial" w:cs="Arial"/>
          <w:i/>
          <w:sz w:val="22"/>
          <w:szCs w:val="24"/>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14:paraId="7D6684E1" w14:textId="77777777" w:rsidR="005746F8" w:rsidRPr="005746F8" w:rsidRDefault="005746F8" w:rsidP="002F69F0">
      <w:pPr>
        <w:ind w:left="426" w:right="418"/>
        <w:jc w:val="both"/>
        <w:rPr>
          <w:rFonts w:ascii="Arial" w:hAnsi="Arial" w:cs="Arial"/>
          <w:i/>
          <w:sz w:val="22"/>
          <w:szCs w:val="24"/>
          <w:lang w:val="es-ES"/>
        </w:rPr>
      </w:pPr>
    </w:p>
    <w:p w14:paraId="6104AAD1" w14:textId="77777777" w:rsidR="005746F8" w:rsidRPr="005746F8" w:rsidRDefault="005746F8" w:rsidP="002F69F0">
      <w:pPr>
        <w:ind w:left="426" w:right="418"/>
        <w:jc w:val="both"/>
        <w:rPr>
          <w:rFonts w:ascii="Arial" w:hAnsi="Arial" w:cs="Arial"/>
          <w:i/>
          <w:sz w:val="22"/>
          <w:szCs w:val="24"/>
          <w:lang w:val="es-ES"/>
        </w:rPr>
      </w:pPr>
      <w:r w:rsidRPr="005746F8">
        <w:rPr>
          <w:rFonts w:ascii="Arial" w:hAnsi="Arial" w:cs="Arial"/>
          <w:i/>
          <w:sz w:val="22"/>
          <w:szCs w:val="24"/>
          <w:lang w:val="es-ES"/>
        </w:rPr>
        <w:t>Las administradoras deberán indicar de manera expresa al afiliado que la simulación corresponde a la modalidad de pensión de retiro programado, calculada con base en las cotizaciones obligatorias y no incluye aportes voluntarios.</w:t>
      </w:r>
    </w:p>
    <w:p w14:paraId="0B19F02B" w14:textId="77777777" w:rsidR="005746F8" w:rsidRPr="005746F8" w:rsidRDefault="005746F8" w:rsidP="002F69F0">
      <w:pPr>
        <w:ind w:left="426" w:right="418"/>
        <w:jc w:val="both"/>
        <w:rPr>
          <w:rFonts w:ascii="Arial" w:hAnsi="Arial" w:cs="Arial"/>
          <w:i/>
          <w:sz w:val="22"/>
          <w:szCs w:val="24"/>
          <w:lang w:val="es-ES"/>
        </w:rPr>
      </w:pPr>
    </w:p>
    <w:p w14:paraId="7D1F45BC" w14:textId="77777777" w:rsidR="005746F8" w:rsidRPr="005746F8" w:rsidRDefault="005746F8" w:rsidP="002F69F0">
      <w:pPr>
        <w:ind w:left="426" w:right="418"/>
        <w:jc w:val="both"/>
        <w:rPr>
          <w:rFonts w:ascii="Arial" w:hAnsi="Arial" w:cs="Arial"/>
          <w:i/>
          <w:sz w:val="22"/>
          <w:szCs w:val="24"/>
          <w:lang w:val="es-ES"/>
        </w:rPr>
      </w:pPr>
      <w:r w:rsidRPr="005746F8">
        <w:rPr>
          <w:rFonts w:ascii="Arial" w:hAnsi="Arial" w:cs="Arial"/>
          <w:i/>
          <w:sz w:val="22"/>
          <w:szCs w:val="24"/>
          <w:lang w:val="es-ES"/>
        </w:rPr>
        <w:t>Para el cálculo de la proyección antes mencionada se deberán tener en cuenta los siguientes parámetros técnicos:</w:t>
      </w:r>
    </w:p>
    <w:p w14:paraId="33C32C44" w14:textId="77777777" w:rsidR="005746F8" w:rsidRPr="005746F8" w:rsidRDefault="005746F8" w:rsidP="002F69F0">
      <w:pPr>
        <w:ind w:left="426" w:right="418"/>
        <w:jc w:val="both"/>
        <w:rPr>
          <w:rFonts w:ascii="Arial" w:hAnsi="Arial" w:cs="Arial"/>
          <w:i/>
          <w:sz w:val="22"/>
          <w:szCs w:val="24"/>
          <w:lang w:val="es-ES"/>
        </w:rPr>
      </w:pPr>
    </w:p>
    <w:p w14:paraId="618606FD" w14:textId="77777777" w:rsidR="005746F8" w:rsidRPr="005746F8" w:rsidRDefault="005746F8" w:rsidP="002F69F0">
      <w:pPr>
        <w:ind w:left="426" w:right="418"/>
        <w:jc w:val="both"/>
        <w:rPr>
          <w:rFonts w:ascii="Arial" w:hAnsi="Arial" w:cs="Arial"/>
          <w:i/>
          <w:sz w:val="22"/>
          <w:szCs w:val="24"/>
          <w:lang w:val="es-ES"/>
        </w:rPr>
      </w:pPr>
      <w:r w:rsidRPr="005746F8">
        <w:rPr>
          <w:rFonts w:ascii="Arial" w:hAnsi="Arial" w:cs="Arial"/>
          <w:i/>
          <w:sz w:val="22"/>
          <w:szCs w:val="24"/>
          <w:lang w:val="es-ES"/>
        </w:rPr>
        <w:t>a) La tasa de interés técnico que se encuentra establecida por la Superintendencia Financiera de Colombia o la que la modifique o sustituya;</w:t>
      </w:r>
    </w:p>
    <w:p w14:paraId="6DC71364" w14:textId="77777777" w:rsidR="005746F8" w:rsidRPr="005746F8" w:rsidRDefault="005746F8" w:rsidP="002F69F0">
      <w:pPr>
        <w:ind w:left="426" w:right="418"/>
        <w:jc w:val="both"/>
        <w:rPr>
          <w:rFonts w:ascii="Arial" w:hAnsi="Arial" w:cs="Arial"/>
          <w:i/>
          <w:sz w:val="22"/>
          <w:szCs w:val="24"/>
          <w:lang w:val="es-ES"/>
        </w:rPr>
      </w:pPr>
      <w:r w:rsidRPr="005746F8">
        <w:rPr>
          <w:rFonts w:ascii="Arial" w:hAnsi="Arial" w:cs="Arial"/>
          <w:i/>
          <w:sz w:val="22"/>
          <w:szCs w:val="24"/>
          <w:lang w:val="es-ES"/>
        </w:rPr>
        <w:t>b) Las tablas de mortalidad de rentistas y de inválidos expedidas por la Superintendencia Financiera de Colombia;</w:t>
      </w:r>
    </w:p>
    <w:p w14:paraId="093FCA5C" w14:textId="77777777" w:rsidR="005746F8" w:rsidRPr="005746F8" w:rsidRDefault="005746F8" w:rsidP="002F69F0">
      <w:pPr>
        <w:ind w:left="426" w:right="418"/>
        <w:jc w:val="both"/>
        <w:rPr>
          <w:rFonts w:ascii="Arial" w:hAnsi="Arial" w:cs="Arial"/>
          <w:i/>
          <w:sz w:val="22"/>
          <w:szCs w:val="24"/>
          <w:lang w:val="es-ES"/>
        </w:rPr>
      </w:pPr>
      <w:r w:rsidRPr="005746F8">
        <w:rPr>
          <w:rFonts w:ascii="Arial" w:hAnsi="Arial" w:cs="Arial"/>
          <w:i/>
          <w:sz w:val="22"/>
          <w:szCs w:val="24"/>
          <w:lang w:val="es-ES"/>
        </w:rPr>
        <w:t>c) Las tasas de inflación y crecimiento de los beneficios pensionales;</w:t>
      </w:r>
    </w:p>
    <w:p w14:paraId="6F42D59B" w14:textId="77777777" w:rsidR="005746F8" w:rsidRPr="005746F8" w:rsidRDefault="005746F8" w:rsidP="002F69F0">
      <w:pPr>
        <w:ind w:left="426" w:right="418"/>
        <w:jc w:val="both"/>
        <w:rPr>
          <w:rFonts w:ascii="Arial" w:hAnsi="Arial" w:cs="Arial"/>
          <w:sz w:val="22"/>
          <w:szCs w:val="24"/>
          <w:lang w:val="es-ES"/>
        </w:rPr>
      </w:pPr>
      <w:r w:rsidRPr="005746F8">
        <w:rPr>
          <w:rFonts w:ascii="Arial" w:hAnsi="Arial" w:cs="Arial"/>
          <w:i/>
          <w:sz w:val="22"/>
          <w:szCs w:val="24"/>
          <w:lang w:val="es-ES"/>
        </w:rPr>
        <w:t>d) Demás parámetros y supuestos que imparta sobre el particular la Superintendencia Financiera de Colombia</w:t>
      </w:r>
      <w:r w:rsidRPr="005746F8">
        <w:rPr>
          <w:rFonts w:ascii="Arial" w:hAnsi="Arial" w:cs="Arial"/>
          <w:sz w:val="22"/>
          <w:szCs w:val="24"/>
          <w:lang w:val="es-ES"/>
        </w:rPr>
        <w:t>.</w:t>
      </w:r>
    </w:p>
    <w:p w14:paraId="72097F43" w14:textId="77777777" w:rsidR="005746F8" w:rsidRPr="005746F8" w:rsidRDefault="005746F8" w:rsidP="00CB2A6E">
      <w:pPr>
        <w:spacing w:line="288" w:lineRule="auto"/>
        <w:ind w:left="708"/>
        <w:jc w:val="both"/>
        <w:rPr>
          <w:rFonts w:ascii="Arial" w:hAnsi="Arial" w:cs="Arial"/>
          <w:szCs w:val="24"/>
          <w:lang w:val="es-ES"/>
        </w:rPr>
      </w:pPr>
    </w:p>
    <w:p w14:paraId="7164132A" w14:textId="77777777" w:rsidR="005746F8" w:rsidRPr="005746F8" w:rsidRDefault="005746F8" w:rsidP="00CB2A6E">
      <w:pPr>
        <w:spacing w:line="288" w:lineRule="auto"/>
        <w:jc w:val="both"/>
        <w:rPr>
          <w:rFonts w:ascii="Arial" w:hAnsi="Arial" w:cs="Arial"/>
          <w:szCs w:val="24"/>
          <w:lang w:val="es-CO"/>
        </w:rPr>
      </w:pPr>
      <w:r w:rsidRPr="005746F8">
        <w:rPr>
          <w:rFonts w:ascii="Arial" w:hAnsi="Arial" w:cs="Arial"/>
          <w:szCs w:val="24"/>
          <w:lang w:val="es-CO"/>
        </w:rPr>
        <w:t>Para finalmente concluirse en el parágrafo 2º que:</w:t>
      </w:r>
    </w:p>
    <w:p w14:paraId="27402CC4" w14:textId="77777777" w:rsidR="005746F8" w:rsidRPr="005746F8" w:rsidRDefault="005746F8" w:rsidP="00CB2A6E">
      <w:pPr>
        <w:spacing w:line="288" w:lineRule="auto"/>
        <w:jc w:val="both"/>
        <w:rPr>
          <w:rFonts w:ascii="Arial" w:hAnsi="Arial" w:cs="Arial"/>
          <w:szCs w:val="24"/>
          <w:lang w:val="es-CO"/>
        </w:rPr>
      </w:pPr>
    </w:p>
    <w:p w14:paraId="64023471"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b/>
          <w:bCs/>
          <w:sz w:val="22"/>
          <w:szCs w:val="24"/>
          <w:lang w:val="es-CO"/>
        </w:rPr>
        <w:t>“</w:t>
      </w:r>
      <w:r w:rsidRPr="005746F8">
        <w:rPr>
          <w:rFonts w:ascii="Arial" w:hAnsi="Arial" w:cs="Arial"/>
          <w:b/>
          <w:bCs/>
          <w:i/>
          <w:sz w:val="22"/>
          <w:szCs w:val="24"/>
          <w:lang w:val="es-CO"/>
        </w:rPr>
        <w:t>Parágrafo 2°. </w:t>
      </w:r>
      <w:r w:rsidRPr="005746F8">
        <w:rPr>
          <w:rFonts w:ascii="Arial" w:hAnsi="Arial" w:cs="Arial"/>
          <w:i/>
          <w:sz w:val="22"/>
          <w:szCs w:val="24"/>
          <w:lang w:val="es-CO"/>
        </w:rPr>
        <w:t>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w:t>
      </w:r>
      <w:r w:rsidRPr="005746F8">
        <w:rPr>
          <w:rFonts w:ascii="Arial" w:hAnsi="Arial" w:cs="Arial"/>
          <w:sz w:val="22"/>
          <w:szCs w:val="24"/>
          <w:lang w:val="es-CO"/>
        </w:rPr>
        <w:t xml:space="preserve">”. </w:t>
      </w:r>
    </w:p>
    <w:p w14:paraId="43A2B9B4" w14:textId="77777777" w:rsidR="005746F8" w:rsidRPr="005746F8" w:rsidRDefault="005746F8" w:rsidP="00CB2A6E">
      <w:pPr>
        <w:spacing w:line="288" w:lineRule="auto"/>
        <w:jc w:val="both"/>
        <w:rPr>
          <w:rFonts w:ascii="Arial" w:hAnsi="Arial" w:cs="Arial"/>
          <w:szCs w:val="24"/>
          <w:lang w:val="es-CO"/>
        </w:rPr>
      </w:pPr>
    </w:p>
    <w:p w14:paraId="54BB0262" w14:textId="77777777" w:rsidR="005746F8" w:rsidRPr="005746F8" w:rsidRDefault="005746F8" w:rsidP="00CB2A6E">
      <w:pPr>
        <w:spacing w:line="288" w:lineRule="auto"/>
        <w:ind w:right="51"/>
        <w:jc w:val="both"/>
        <w:rPr>
          <w:rFonts w:ascii="Arial" w:hAnsi="Arial" w:cs="Arial"/>
          <w:szCs w:val="24"/>
          <w:lang w:val="es-CO"/>
        </w:rPr>
      </w:pPr>
      <w:r w:rsidRPr="005746F8">
        <w:rPr>
          <w:rFonts w:ascii="Arial" w:hAnsi="Arial" w:cs="Arial"/>
          <w:szCs w:val="24"/>
          <w:lang w:val="es-CO"/>
        </w:rPr>
        <w:t>Salta a la vista entonces, que con anterioridad a estas normas, no estaban establecidos los parámetros que permitieran dar una información técnica a título de proyección y por ello tal obligación no puede exigirse en estos asuntos.</w:t>
      </w:r>
    </w:p>
    <w:p w14:paraId="25575B32" w14:textId="77777777" w:rsidR="005746F8" w:rsidRPr="005746F8" w:rsidRDefault="005746F8" w:rsidP="00CB2A6E">
      <w:pPr>
        <w:spacing w:line="288" w:lineRule="auto"/>
        <w:ind w:right="51"/>
        <w:jc w:val="both"/>
        <w:rPr>
          <w:rFonts w:ascii="Arial" w:hAnsi="Arial" w:cs="Arial"/>
          <w:szCs w:val="24"/>
          <w:lang w:val="es-CO"/>
        </w:rPr>
      </w:pPr>
    </w:p>
    <w:p w14:paraId="23524EBA" w14:textId="77777777" w:rsidR="005746F8" w:rsidRPr="005746F8" w:rsidRDefault="005746F8" w:rsidP="00CB2A6E">
      <w:pPr>
        <w:spacing w:line="288" w:lineRule="auto"/>
        <w:ind w:right="51"/>
        <w:jc w:val="both"/>
        <w:rPr>
          <w:rFonts w:ascii="Arial" w:hAnsi="Arial" w:cs="Arial"/>
          <w:b/>
          <w:iCs/>
          <w:szCs w:val="24"/>
        </w:rPr>
      </w:pPr>
      <w:r w:rsidRPr="005746F8">
        <w:rPr>
          <w:rFonts w:ascii="Arial" w:hAnsi="Arial" w:cs="Arial"/>
          <w:szCs w:val="24"/>
          <w:lang w:val="es-CO"/>
        </w:rPr>
        <w:lastRenderedPageBreak/>
        <w:t xml:space="preserve">Adicionalmente debe tenerse en cuenta que las personas que procedieron al traslado en la década de los años 90 y principios de la siguiente, </w:t>
      </w:r>
      <w:r w:rsidRPr="005746F8">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cálculos con significado</w:t>
      </w:r>
      <w:r w:rsidRPr="005746F8">
        <w:rPr>
          <w:rFonts w:ascii="Arial" w:hAnsi="Arial" w:cs="Arial"/>
          <w:szCs w:val="24"/>
          <w:lang w:val="es-CO"/>
        </w:rPr>
        <w:t>.</w:t>
      </w:r>
    </w:p>
    <w:p w14:paraId="24661E91" w14:textId="70050DC4" w:rsidR="000E0D52" w:rsidRDefault="000E0D52" w:rsidP="00CB2A6E">
      <w:pPr>
        <w:spacing w:line="288" w:lineRule="auto"/>
        <w:ind w:right="51"/>
        <w:jc w:val="both"/>
        <w:rPr>
          <w:rFonts w:ascii="Arial" w:hAnsi="Arial" w:cs="Arial"/>
          <w:iCs/>
          <w:szCs w:val="24"/>
        </w:rPr>
      </w:pPr>
    </w:p>
    <w:p w14:paraId="0CEDFF88" w14:textId="77777777" w:rsidR="000E0D52" w:rsidRPr="005746F8" w:rsidRDefault="000E0D52" w:rsidP="00CB2A6E">
      <w:pPr>
        <w:spacing w:line="288" w:lineRule="auto"/>
        <w:ind w:right="51"/>
        <w:jc w:val="both"/>
        <w:rPr>
          <w:rFonts w:ascii="Arial" w:hAnsi="Arial" w:cs="Arial"/>
          <w:iCs/>
          <w:szCs w:val="24"/>
        </w:rPr>
      </w:pPr>
    </w:p>
    <w:p w14:paraId="35342516" w14:textId="77777777" w:rsidR="005746F8" w:rsidRPr="005746F8" w:rsidRDefault="005746F8" w:rsidP="00CB2A6E">
      <w:pPr>
        <w:spacing w:line="288" w:lineRule="auto"/>
        <w:ind w:right="51"/>
        <w:jc w:val="both"/>
        <w:rPr>
          <w:rFonts w:ascii="Arial" w:hAnsi="Arial" w:cs="Arial"/>
          <w:b/>
          <w:iCs/>
          <w:szCs w:val="24"/>
        </w:rPr>
      </w:pPr>
      <w:r w:rsidRPr="005746F8">
        <w:rPr>
          <w:rFonts w:ascii="Arial" w:hAnsi="Arial" w:cs="Arial"/>
          <w:b/>
          <w:iCs/>
          <w:szCs w:val="24"/>
        </w:rPr>
        <w:t>QUINTA: NULIDAD DE LOS ACTOS JURÍDICOS Y OPORTUNIDAD PARA ALEGARLA.</w:t>
      </w:r>
    </w:p>
    <w:p w14:paraId="2C7F84ED" w14:textId="77777777" w:rsidR="005746F8" w:rsidRPr="005746F8" w:rsidRDefault="005746F8" w:rsidP="00CB2A6E">
      <w:pPr>
        <w:spacing w:line="288" w:lineRule="auto"/>
        <w:ind w:right="51"/>
        <w:jc w:val="both"/>
        <w:rPr>
          <w:rFonts w:ascii="Arial" w:hAnsi="Arial" w:cs="Arial"/>
          <w:b/>
          <w:iCs/>
          <w:szCs w:val="24"/>
        </w:rPr>
      </w:pPr>
    </w:p>
    <w:p w14:paraId="331B39F6" w14:textId="77777777" w:rsidR="005746F8" w:rsidRPr="005746F8" w:rsidRDefault="005746F8" w:rsidP="00CB2A6E">
      <w:pPr>
        <w:spacing w:line="288" w:lineRule="auto"/>
        <w:jc w:val="both"/>
        <w:rPr>
          <w:rFonts w:ascii="Arial" w:hAnsi="Arial" w:cs="Arial"/>
          <w:bCs/>
          <w:iCs/>
          <w:szCs w:val="24"/>
        </w:rPr>
      </w:pPr>
      <w:r w:rsidRPr="005746F8">
        <w:rPr>
          <w:rFonts w:ascii="Arial" w:hAnsi="Arial" w:cs="Arial"/>
          <w:bCs/>
          <w:iCs/>
          <w:szCs w:val="24"/>
        </w:rPr>
        <w:t xml:space="preserve">Una lectura juiciosa de la sentencia SL12136-2014, que sentó las bases de la actual posición de la Sala de Casación Laboral sobre el tema de la nulidad o la ineficacia del traslado, permite notar que la Corporación consideró que dados los </w:t>
      </w:r>
      <w:r w:rsidRPr="005746F8">
        <w:rPr>
          <w:rFonts w:ascii="Arial" w:hAnsi="Arial" w:cs="Arial"/>
          <w:b/>
          <w:bCs/>
          <w:iCs/>
          <w:szCs w:val="24"/>
        </w:rPr>
        <w:t>beneficios del régimen de transición que se perdían con el traslado de régimen</w:t>
      </w:r>
      <w:r w:rsidRPr="005746F8">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368B5F3F" w14:textId="77777777" w:rsidR="005746F8" w:rsidRPr="005746F8" w:rsidRDefault="005746F8" w:rsidP="00CB2A6E">
      <w:pPr>
        <w:spacing w:line="288" w:lineRule="auto"/>
        <w:jc w:val="both"/>
        <w:rPr>
          <w:rFonts w:ascii="Arial" w:hAnsi="Arial" w:cs="Arial"/>
          <w:bCs/>
          <w:iCs/>
          <w:szCs w:val="24"/>
        </w:rPr>
      </w:pPr>
    </w:p>
    <w:p w14:paraId="1BD1B54D" w14:textId="77777777" w:rsidR="005746F8" w:rsidRPr="005746F8" w:rsidRDefault="005746F8" w:rsidP="002F69F0">
      <w:pPr>
        <w:ind w:left="426" w:right="418"/>
        <w:jc w:val="both"/>
        <w:rPr>
          <w:rFonts w:ascii="Arial" w:eastAsia="Calibri" w:hAnsi="Arial" w:cs="Arial"/>
          <w:iCs/>
          <w:sz w:val="22"/>
          <w:szCs w:val="24"/>
          <w:lang w:val="es-CO" w:eastAsia="en-US"/>
        </w:rPr>
      </w:pPr>
      <w:r w:rsidRPr="005746F8">
        <w:rPr>
          <w:rFonts w:ascii="Arial" w:eastAsia="Calibri" w:hAnsi="Arial" w:cs="Arial"/>
          <w:iCs/>
          <w:sz w:val="22"/>
          <w:szCs w:val="24"/>
          <w:lang w:val="es-CO" w:eastAsia="en-US"/>
        </w:rPr>
        <w:t>“</w:t>
      </w:r>
      <w:r w:rsidRPr="005746F8">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5746F8">
        <w:rPr>
          <w:rFonts w:ascii="Arial" w:eastAsia="Calibri" w:hAnsi="Arial" w:cs="Arial"/>
          <w:iCs/>
          <w:sz w:val="22"/>
          <w:szCs w:val="24"/>
          <w:lang w:val="es-CO" w:eastAsia="en-US"/>
        </w:rPr>
        <w:t>”.</w:t>
      </w:r>
    </w:p>
    <w:p w14:paraId="57251467" w14:textId="77777777" w:rsidR="005746F8" w:rsidRPr="005746F8" w:rsidRDefault="005746F8" w:rsidP="00CB2A6E">
      <w:pPr>
        <w:spacing w:line="288" w:lineRule="auto"/>
        <w:jc w:val="both"/>
        <w:rPr>
          <w:rFonts w:ascii="Arial" w:eastAsia="Calibri" w:hAnsi="Arial" w:cs="Arial"/>
          <w:iCs/>
          <w:szCs w:val="24"/>
          <w:lang w:val="es-CO" w:eastAsia="en-US"/>
        </w:rPr>
      </w:pPr>
    </w:p>
    <w:p w14:paraId="448C8D8F" w14:textId="77777777" w:rsidR="005746F8" w:rsidRPr="005746F8" w:rsidRDefault="005746F8" w:rsidP="00CB2A6E">
      <w:pPr>
        <w:spacing w:line="288" w:lineRule="auto"/>
        <w:jc w:val="both"/>
        <w:rPr>
          <w:rFonts w:ascii="Arial" w:hAnsi="Arial" w:cs="Arial"/>
          <w:bCs/>
          <w:iCs/>
          <w:szCs w:val="24"/>
        </w:rPr>
      </w:pPr>
      <w:r w:rsidRPr="005746F8">
        <w:rPr>
          <w:rFonts w:ascii="Arial" w:hAnsi="Arial" w:cs="Arial"/>
          <w:bCs/>
          <w:iCs/>
          <w:szCs w:val="24"/>
        </w:rPr>
        <w:t>En otras palabras, “</w:t>
      </w:r>
      <w:r w:rsidRPr="005746F8">
        <w:rPr>
          <w:rFonts w:ascii="Arial" w:hAnsi="Arial" w:cs="Arial"/>
          <w:b/>
          <w:bCs/>
          <w:i/>
          <w:iCs/>
          <w:szCs w:val="24"/>
        </w:rPr>
        <w:t xml:space="preserve">las reglas jurídicas generales” </w:t>
      </w:r>
      <w:r w:rsidRPr="005746F8">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5746F8">
        <w:rPr>
          <w:rFonts w:ascii="Arial" w:hAnsi="Arial" w:cs="Arial"/>
          <w:b/>
          <w:bCs/>
          <w:i/>
          <w:iCs/>
          <w:szCs w:val="24"/>
        </w:rPr>
        <w:t>“afectación de la voluntad”</w:t>
      </w:r>
      <w:r w:rsidRPr="005746F8">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5F1F6E21" w14:textId="77777777" w:rsidR="005746F8" w:rsidRPr="005746F8" w:rsidRDefault="005746F8" w:rsidP="00CB2A6E">
      <w:pPr>
        <w:spacing w:line="288" w:lineRule="auto"/>
        <w:jc w:val="both"/>
        <w:rPr>
          <w:rFonts w:ascii="Arial" w:hAnsi="Arial" w:cs="Arial"/>
          <w:bCs/>
          <w:iCs/>
          <w:szCs w:val="24"/>
        </w:rPr>
      </w:pPr>
    </w:p>
    <w:p w14:paraId="53D0D742" w14:textId="77777777" w:rsidR="005746F8" w:rsidRPr="005746F8" w:rsidRDefault="005746F8" w:rsidP="00CB2A6E">
      <w:pPr>
        <w:spacing w:line="288" w:lineRule="auto"/>
        <w:jc w:val="both"/>
        <w:rPr>
          <w:rFonts w:ascii="Arial" w:hAnsi="Arial" w:cs="Arial"/>
          <w:bCs/>
          <w:iCs/>
          <w:szCs w:val="24"/>
        </w:rPr>
      </w:pPr>
      <w:r w:rsidRPr="005746F8">
        <w:rPr>
          <w:rFonts w:ascii="Arial" w:hAnsi="Arial" w:cs="Arial"/>
          <w:bCs/>
          <w:iCs/>
          <w:szCs w:val="24"/>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0DDECEB4" w14:textId="77777777" w:rsidR="005746F8" w:rsidRPr="005746F8" w:rsidRDefault="005746F8" w:rsidP="00CB2A6E">
      <w:pPr>
        <w:spacing w:line="288" w:lineRule="auto"/>
        <w:jc w:val="both"/>
        <w:rPr>
          <w:rFonts w:ascii="Arial" w:hAnsi="Arial" w:cs="Arial"/>
          <w:bCs/>
          <w:iCs/>
          <w:szCs w:val="24"/>
        </w:rPr>
      </w:pPr>
    </w:p>
    <w:p w14:paraId="37AC8D0F" w14:textId="77777777" w:rsidR="005746F8" w:rsidRPr="005746F8" w:rsidRDefault="005746F8" w:rsidP="00CB2A6E">
      <w:pPr>
        <w:spacing w:line="288" w:lineRule="auto"/>
        <w:jc w:val="both"/>
        <w:rPr>
          <w:rFonts w:ascii="Arial" w:hAnsi="Arial" w:cs="Arial"/>
          <w:bCs/>
          <w:iCs/>
          <w:szCs w:val="24"/>
        </w:rPr>
      </w:pPr>
      <w:r w:rsidRPr="005746F8">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71AC3EBB" w14:textId="77777777" w:rsidR="005746F8" w:rsidRPr="005746F8" w:rsidRDefault="005746F8" w:rsidP="00CB2A6E">
      <w:pPr>
        <w:spacing w:line="288" w:lineRule="auto"/>
        <w:jc w:val="both"/>
        <w:rPr>
          <w:rFonts w:ascii="Arial" w:hAnsi="Arial" w:cs="Arial"/>
          <w:bCs/>
          <w:iCs/>
          <w:szCs w:val="24"/>
        </w:rPr>
      </w:pPr>
    </w:p>
    <w:p w14:paraId="77EF744E" w14:textId="77777777" w:rsidR="005746F8" w:rsidRPr="005746F8" w:rsidRDefault="005746F8" w:rsidP="00CB2A6E">
      <w:pPr>
        <w:spacing w:line="288" w:lineRule="auto"/>
        <w:jc w:val="both"/>
        <w:rPr>
          <w:rFonts w:ascii="Arial" w:hAnsi="Arial" w:cs="Arial"/>
          <w:bCs/>
          <w:szCs w:val="24"/>
        </w:rPr>
      </w:pPr>
      <w:r w:rsidRPr="005746F8">
        <w:rPr>
          <w:rFonts w:ascii="Arial" w:hAnsi="Arial" w:cs="Arial"/>
          <w:bCs/>
          <w:szCs w:val="24"/>
        </w:rPr>
        <w:t xml:space="preserve">De otro lado el artículo 1743 </w:t>
      </w:r>
      <w:r w:rsidRPr="005746F8">
        <w:rPr>
          <w:rFonts w:ascii="Arial" w:hAnsi="Arial" w:cs="Arial"/>
          <w:bCs/>
          <w:i/>
          <w:iCs/>
          <w:szCs w:val="24"/>
        </w:rPr>
        <w:t xml:space="preserve">ibídem </w:t>
      </w:r>
      <w:r w:rsidRPr="005746F8">
        <w:rPr>
          <w:rFonts w:ascii="Arial" w:hAnsi="Arial" w:cs="Arial"/>
          <w:bCs/>
          <w:szCs w:val="24"/>
        </w:rPr>
        <w:t>dispone que la nulidad relativa se sanea por el paso del tiempo o por ratificación de las partes.</w:t>
      </w:r>
    </w:p>
    <w:p w14:paraId="384DD597" w14:textId="77777777" w:rsidR="005746F8" w:rsidRPr="005746F8" w:rsidRDefault="005746F8" w:rsidP="00CB2A6E">
      <w:pPr>
        <w:spacing w:line="288" w:lineRule="auto"/>
        <w:jc w:val="both"/>
        <w:rPr>
          <w:rFonts w:ascii="Arial" w:hAnsi="Arial" w:cs="Arial"/>
          <w:bCs/>
          <w:szCs w:val="24"/>
        </w:rPr>
      </w:pPr>
    </w:p>
    <w:p w14:paraId="1D07C212" w14:textId="77777777" w:rsidR="005746F8" w:rsidRPr="005746F8" w:rsidRDefault="005746F8" w:rsidP="00CB2A6E">
      <w:pPr>
        <w:spacing w:line="288" w:lineRule="auto"/>
        <w:jc w:val="both"/>
        <w:rPr>
          <w:rFonts w:ascii="Arial" w:hAnsi="Arial" w:cs="Arial"/>
          <w:bCs/>
          <w:szCs w:val="24"/>
        </w:rPr>
      </w:pPr>
      <w:r w:rsidRPr="005746F8">
        <w:rPr>
          <w:rFonts w:ascii="Arial" w:hAnsi="Arial" w:cs="Arial"/>
          <w:bCs/>
          <w:szCs w:val="24"/>
        </w:rPr>
        <w:lastRenderedPageBreak/>
        <w:t>Respecto a este último aspecto debe resaltarse que se conoce pero no se comparte la decisión de la Sala de Casación Laboral en una de sus salas de descongestión de fecha 13 de febrero de 2019, magistrado ponente Dr. Jorge Prada Sánchez,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4DACF991" w14:textId="77777777" w:rsidR="005746F8" w:rsidRPr="005746F8" w:rsidRDefault="005746F8" w:rsidP="00CB2A6E">
      <w:pPr>
        <w:spacing w:line="288" w:lineRule="auto"/>
        <w:jc w:val="both"/>
        <w:rPr>
          <w:rFonts w:ascii="Arial" w:hAnsi="Arial" w:cs="Arial"/>
          <w:bCs/>
          <w:szCs w:val="24"/>
        </w:rPr>
      </w:pPr>
    </w:p>
    <w:p w14:paraId="7FEEFF05" w14:textId="77777777" w:rsidR="005746F8" w:rsidRPr="005746F8" w:rsidRDefault="005746F8" w:rsidP="00CB2A6E">
      <w:pPr>
        <w:numPr>
          <w:ilvl w:val="0"/>
          <w:numId w:val="11"/>
        </w:numPr>
        <w:spacing w:after="200" w:line="288" w:lineRule="auto"/>
        <w:jc w:val="both"/>
        <w:rPr>
          <w:rFonts w:ascii="Arial" w:hAnsi="Arial" w:cs="Arial"/>
          <w:bCs/>
          <w:szCs w:val="24"/>
        </w:rPr>
      </w:pPr>
      <w:r w:rsidRPr="005746F8">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5746F8">
        <w:rPr>
          <w:rFonts w:ascii="Arial" w:hAnsi="Arial" w:cs="Arial"/>
          <w:b/>
          <w:bCs/>
          <w:szCs w:val="24"/>
        </w:rPr>
        <w:t xml:space="preserve">extinción de ningún derecho por el transcurso del tiempo (Prescripción). </w:t>
      </w:r>
      <w:r w:rsidRPr="005746F8">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0EBA70BC" w14:textId="77777777" w:rsidR="005746F8" w:rsidRPr="005746F8" w:rsidRDefault="005746F8" w:rsidP="00CB2A6E">
      <w:pPr>
        <w:numPr>
          <w:ilvl w:val="0"/>
          <w:numId w:val="11"/>
        </w:numPr>
        <w:spacing w:after="200" w:line="288" w:lineRule="auto"/>
        <w:jc w:val="both"/>
        <w:rPr>
          <w:rFonts w:ascii="Arial" w:hAnsi="Arial" w:cs="Arial"/>
          <w:bCs/>
          <w:szCs w:val="24"/>
        </w:rPr>
      </w:pPr>
      <w:r w:rsidRPr="005746F8">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218390F9" w14:textId="77777777" w:rsidR="005746F8" w:rsidRPr="005746F8" w:rsidRDefault="005746F8" w:rsidP="00CB2A6E">
      <w:pPr>
        <w:spacing w:line="288" w:lineRule="auto"/>
        <w:jc w:val="both"/>
        <w:rPr>
          <w:rFonts w:ascii="Arial" w:hAnsi="Arial" w:cs="Arial"/>
          <w:bCs/>
          <w:szCs w:val="24"/>
        </w:rPr>
      </w:pPr>
    </w:p>
    <w:p w14:paraId="4F5D6E88" w14:textId="77777777" w:rsidR="005746F8" w:rsidRPr="005746F8" w:rsidRDefault="005746F8" w:rsidP="00CB2A6E">
      <w:pPr>
        <w:spacing w:line="288" w:lineRule="auto"/>
        <w:jc w:val="both"/>
        <w:rPr>
          <w:rFonts w:ascii="Arial" w:hAnsi="Arial" w:cs="Arial"/>
          <w:bCs/>
          <w:szCs w:val="24"/>
        </w:rPr>
      </w:pPr>
      <w:r w:rsidRPr="005746F8">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de un territorio.</w:t>
      </w:r>
    </w:p>
    <w:p w14:paraId="4E663B96" w14:textId="77777777" w:rsidR="005746F8" w:rsidRPr="005746F8" w:rsidRDefault="005746F8" w:rsidP="00CB2A6E">
      <w:pPr>
        <w:spacing w:line="288" w:lineRule="auto"/>
        <w:jc w:val="both"/>
        <w:rPr>
          <w:rFonts w:ascii="Arial" w:hAnsi="Arial" w:cs="Arial"/>
          <w:bCs/>
          <w:szCs w:val="24"/>
        </w:rPr>
      </w:pPr>
    </w:p>
    <w:p w14:paraId="4308BDB6" w14:textId="77777777" w:rsidR="005746F8" w:rsidRPr="005746F8" w:rsidRDefault="005746F8" w:rsidP="00CB2A6E">
      <w:pPr>
        <w:spacing w:line="288" w:lineRule="auto"/>
        <w:jc w:val="both"/>
        <w:rPr>
          <w:rFonts w:ascii="Arial" w:hAnsi="Arial" w:cs="Arial"/>
          <w:b/>
          <w:bCs/>
          <w:szCs w:val="24"/>
        </w:rPr>
      </w:pPr>
      <w:r w:rsidRPr="005746F8">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4162CF40" w14:textId="77777777" w:rsidR="005746F8" w:rsidRPr="005746F8" w:rsidRDefault="005746F8" w:rsidP="00CB2A6E">
      <w:pPr>
        <w:spacing w:line="288" w:lineRule="auto"/>
        <w:jc w:val="both"/>
        <w:rPr>
          <w:rFonts w:ascii="Arial" w:hAnsi="Arial" w:cs="Arial"/>
          <w:bCs/>
          <w:szCs w:val="24"/>
        </w:rPr>
      </w:pPr>
    </w:p>
    <w:p w14:paraId="06B5A5D1" w14:textId="77777777" w:rsidR="005746F8" w:rsidRPr="005746F8" w:rsidRDefault="005746F8" w:rsidP="00CB2A6E">
      <w:pPr>
        <w:spacing w:line="288" w:lineRule="auto"/>
        <w:jc w:val="both"/>
        <w:rPr>
          <w:rFonts w:ascii="Arial" w:hAnsi="Arial" w:cs="Arial"/>
          <w:bCs/>
          <w:szCs w:val="24"/>
        </w:rPr>
      </w:pPr>
      <w:r w:rsidRPr="005746F8">
        <w:rPr>
          <w:rFonts w:ascii="Arial" w:hAnsi="Arial" w:cs="Arial"/>
          <w:bCs/>
          <w:szCs w:val="24"/>
        </w:rPr>
        <w:lastRenderedPageBreak/>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a la restricción legal prevista en el artículo 2º de la ley 797 de 2003, consistente a la imposibilidad de realizar traslados durante los 10 años anteriores al cumplimiento de la edad mínima para acceder al derecho.   </w:t>
      </w:r>
    </w:p>
    <w:p w14:paraId="01A6F50F" w14:textId="77777777" w:rsidR="005746F8" w:rsidRDefault="005746F8" w:rsidP="00CB2A6E">
      <w:pPr>
        <w:spacing w:line="288" w:lineRule="auto"/>
        <w:ind w:right="51"/>
        <w:jc w:val="both"/>
        <w:rPr>
          <w:rFonts w:ascii="Arial" w:hAnsi="Arial" w:cs="Arial"/>
          <w:b/>
          <w:iCs/>
          <w:szCs w:val="24"/>
        </w:rPr>
      </w:pPr>
    </w:p>
    <w:p w14:paraId="2170CA77" w14:textId="77777777" w:rsidR="000E0D52" w:rsidRPr="005746F8" w:rsidRDefault="000E0D52" w:rsidP="00CB2A6E">
      <w:pPr>
        <w:spacing w:line="288" w:lineRule="auto"/>
        <w:ind w:right="51"/>
        <w:jc w:val="both"/>
        <w:rPr>
          <w:rFonts w:ascii="Arial" w:hAnsi="Arial" w:cs="Arial"/>
          <w:b/>
          <w:iCs/>
          <w:szCs w:val="24"/>
        </w:rPr>
      </w:pPr>
    </w:p>
    <w:p w14:paraId="7D13E16A" w14:textId="77777777" w:rsidR="005746F8" w:rsidRPr="005746F8" w:rsidRDefault="005746F8" w:rsidP="00CB2A6E">
      <w:pPr>
        <w:spacing w:line="288" w:lineRule="auto"/>
        <w:ind w:right="284"/>
        <w:jc w:val="both"/>
        <w:rPr>
          <w:rFonts w:ascii="Arial" w:hAnsi="Arial" w:cs="Arial"/>
          <w:szCs w:val="24"/>
          <w:lang w:val="es-CO"/>
        </w:rPr>
      </w:pPr>
      <w:r w:rsidRPr="005746F8">
        <w:rPr>
          <w:rFonts w:ascii="Arial" w:hAnsi="Arial" w:cs="Arial"/>
          <w:b/>
          <w:szCs w:val="24"/>
          <w:lang w:val="es-CO"/>
        </w:rPr>
        <w:t>SEXTA: IMPORTANCIA DE LA DIFERENCIACIÓN ENTRE LOS CASOS DE INEFICACIA Y LOS CASOS DE NULIDAD</w:t>
      </w:r>
    </w:p>
    <w:p w14:paraId="7EBB9CB6" w14:textId="77777777" w:rsidR="005746F8" w:rsidRPr="005746F8" w:rsidRDefault="005746F8" w:rsidP="00CB2A6E">
      <w:pPr>
        <w:spacing w:line="288" w:lineRule="auto"/>
        <w:ind w:right="284"/>
        <w:jc w:val="both"/>
        <w:rPr>
          <w:rFonts w:ascii="Arial" w:hAnsi="Arial" w:cs="Arial"/>
          <w:szCs w:val="24"/>
          <w:lang w:val="es-CO"/>
        </w:rPr>
      </w:pPr>
    </w:p>
    <w:p w14:paraId="7E77EB93" w14:textId="77777777" w:rsidR="005746F8" w:rsidRPr="005746F8" w:rsidRDefault="005746F8" w:rsidP="00CB2A6E">
      <w:pPr>
        <w:spacing w:line="288" w:lineRule="auto"/>
        <w:ind w:right="284"/>
        <w:jc w:val="both"/>
        <w:rPr>
          <w:rFonts w:ascii="Arial" w:hAnsi="Arial" w:cs="Arial"/>
          <w:szCs w:val="24"/>
          <w:lang w:val="es-CO"/>
        </w:rPr>
      </w:pPr>
      <w:r w:rsidRPr="005746F8">
        <w:rPr>
          <w:rFonts w:ascii="Arial" w:hAnsi="Arial" w:cs="Arial"/>
          <w:szCs w:val="24"/>
          <w:lang w:val="es-CO"/>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5057FF0B" w14:textId="77777777" w:rsidR="005746F8" w:rsidRPr="005746F8" w:rsidRDefault="005746F8" w:rsidP="00CB2A6E">
      <w:pPr>
        <w:spacing w:line="288" w:lineRule="auto"/>
        <w:ind w:right="284"/>
        <w:jc w:val="both"/>
        <w:rPr>
          <w:rFonts w:ascii="Arial" w:hAnsi="Arial" w:cs="Arial"/>
          <w:b/>
          <w:szCs w:val="24"/>
          <w:lang w:val="es-CO"/>
        </w:rPr>
      </w:pPr>
    </w:p>
    <w:p w14:paraId="5AE01EB6" w14:textId="7FE22CDD" w:rsidR="005746F8" w:rsidRPr="005746F8" w:rsidRDefault="005746F8" w:rsidP="00CB2A6E">
      <w:pPr>
        <w:spacing w:line="288" w:lineRule="auto"/>
        <w:ind w:right="284"/>
        <w:jc w:val="both"/>
        <w:rPr>
          <w:rFonts w:ascii="Arial" w:hAnsi="Arial" w:cs="Arial"/>
          <w:szCs w:val="24"/>
          <w:lang w:val="es-CO"/>
        </w:rPr>
      </w:pPr>
      <w:r w:rsidRPr="005746F8">
        <w:rPr>
          <w:rFonts w:ascii="Arial" w:hAnsi="Arial" w:cs="Arial"/>
          <w:b/>
          <w:szCs w:val="24"/>
          <w:lang w:val="es-CO"/>
        </w:rPr>
        <w:t>SÉPTIMA</w:t>
      </w:r>
      <w:r w:rsidR="00A40C63">
        <w:rPr>
          <w:rFonts w:ascii="Arial" w:hAnsi="Arial" w:cs="Arial"/>
          <w:b/>
          <w:szCs w:val="24"/>
          <w:lang w:val="es-CO"/>
        </w:rPr>
        <w:t>:</w:t>
      </w:r>
      <w:r w:rsidRPr="005746F8">
        <w:rPr>
          <w:rFonts w:ascii="Arial" w:hAnsi="Arial" w:cs="Arial"/>
          <w:b/>
          <w:szCs w:val="24"/>
          <w:lang w:val="es-CO"/>
        </w:rPr>
        <w:t xml:space="preserve"> CARGA DE LA PRUEBA EN EVENTOS DE NULIDAD O INEFICACIA</w:t>
      </w:r>
    </w:p>
    <w:p w14:paraId="63072486" w14:textId="77777777" w:rsidR="005746F8" w:rsidRDefault="005746F8" w:rsidP="00CB2A6E">
      <w:pPr>
        <w:spacing w:line="288" w:lineRule="auto"/>
        <w:ind w:right="284"/>
        <w:jc w:val="both"/>
        <w:rPr>
          <w:rFonts w:ascii="Arial" w:hAnsi="Arial" w:cs="Arial"/>
          <w:szCs w:val="24"/>
          <w:lang w:val="es-CO"/>
        </w:rPr>
      </w:pPr>
    </w:p>
    <w:p w14:paraId="7F140AB2" w14:textId="77777777" w:rsidR="000E0D52" w:rsidRPr="005746F8" w:rsidRDefault="000E0D52" w:rsidP="00CB2A6E">
      <w:pPr>
        <w:spacing w:line="288" w:lineRule="auto"/>
        <w:ind w:right="284"/>
        <w:jc w:val="both"/>
        <w:rPr>
          <w:rFonts w:ascii="Arial" w:hAnsi="Arial" w:cs="Arial"/>
          <w:szCs w:val="24"/>
          <w:lang w:val="es-CO"/>
        </w:rPr>
      </w:pPr>
    </w:p>
    <w:p w14:paraId="241124EA" w14:textId="2925B70A" w:rsidR="005746F8" w:rsidRPr="005746F8" w:rsidRDefault="005746F8" w:rsidP="00CB2A6E">
      <w:pPr>
        <w:spacing w:line="288" w:lineRule="auto"/>
        <w:ind w:right="284"/>
        <w:jc w:val="both"/>
        <w:rPr>
          <w:rFonts w:ascii="Arial" w:hAnsi="Arial" w:cs="Arial"/>
          <w:szCs w:val="24"/>
          <w:lang w:val="es-CO"/>
        </w:rPr>
      </w:pPr>
      <w:r w:rsidRPr="005746F8">
        <w:rPr>
          <w:rFonts w:ascii="Arial" w:hAnsi="Arial" w:cs="Arial"/>
          <w:szCs w:val="24"/>
          <w:lang w:val="es-CO"/>
        </w:rPr>
        <w:t xml:space="preserve">Sobre este importante punto, la Sala Segunda de decisión Laboral de este Tribunal, con ponencia de la doctora Olga </w:t>
      </w:r>
      <w:r w:rsidR="002F69F0" w:rsidRPr="005746F8">
        <w:rPr>
          <w:rFonts w:ascii="Arial" w:hAnsi="Arial" w:cs="Arial"/>
          <w:szCs w:val="24"/>
          <w:lang w:val="es-CO"/>
        </w:rPr>
        <w:t>Lucía</w:t>
      </w:r>
      <w:r w:rsidRPr="005746F8">
        <w:rPr>
          <w:rFonts w:ascii="Arial" w:hAnsi="Arial" w:cs="Arial"/>
          <w:szCs w:val="24"/>
          <w:lang w:val="es-CO"/>
        </w:rPr>
        <w:t xml:space="preserve"> Hoyos Sepúlveda, ha dicho:  </w:t>
      </w:r>
    </w:p>
    <w:p w14:paraId="40C1DEA1" w14:textId="77777777" w:rsidR="005746F8" w:rsidRPr="005746F8" w:rsidRDefault="005746F8" w:rsidP="00CB2A6E">
      <w:pPr>
        <w:spacing w:line="288" w:lineRule="auto"/>
        <w:ind w:right="284"/>
        <w:jc w:val="both"/>
        <w:rPr>
          <w:rFonts w:ascii="Arial" w:hAnsi="Arial" w:cs="Arial"/>
          <w:szCs w:val="24"/>
          <w:lang w:val="es-CO"/>
        </w:rPr>
      </w:pPr>
    </w:p>
    <w:p w14:paraId="6886941D"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 xml:space="preserve">“Ahora bien, el desconocimiento del derecho de libre y voluntaria elección de régimen se manifiesta cuando existe una disconformidad entre la voluntad interna del trabajador y la declaración o manifestación que de ésta haga a su interlocutor en el momento de elegir el régimen pensional. </w:t>
      </w:r>
    </w:p>
    <w:p w14:paraId="0DECFD45" w14:textId="77777777" w:rsidR="005746F8" w:rsidRPr="005746F8" w:rsidRDefault="005746F8" w:rsidP="002F69F0">
      <w:pPr>
        <w:ind w:left="426" w:right="418"/>
        <w:jc w:val="both"/>
        <w:rPr>
          <w:rFonts w:ascii="Arial" w:hAnsi="Arial" w:cs="Arial"/>
          <w:sz w:val="22"/>
          <w:szCs w:val="24"/>
          <w:lang w:val="es-CO"/>
        </w:rPr>
      </w:pPr>
    </w:p>
    <w:p w14:paraId="57BD06A6"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 xml:space="preserve">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w:t>
      </w:r>
      <w:proofErr w:type="spellStart"/>
      <w:r w:rsidRPr="005746F8">
        <w:rPr>
          <w:rFonts w:ascii="Arial" w:hAnsi="Arial" w:cs="Arial"/>
          <w:sz w:val="22"/>
          <w:szCs w:val="24"/>
          <w:lang w:val="es-CO"/>
        </w:rPr>
        <w:t>C.C</w:t>
      </w:r>
      <w:proofErr w:type="spellEnd"/>
      <w:r w:rsidRPr="005746F8">
        <w:rPr>
          <w:rFonts w:ascii="Arial" w:hAnsi="Arial" w:cs="Arial"/>
          <w:sz w:val="22"/>
          <w:szCs w:val="24"/>
          <w:lang w:val="es-CO"/>
        </w:rPr>
        <w:t xml:space="preserve">), que podrán aparecer para casos como el de ahora cuando se retiene, omite o deforma la información indispensable para que el trabajador pueda expresar su consentimiento o dicho de otro modo, para que se consolide la expresión de su voluntad, coaccione por cualquier modo a efectuar una declaración contraria a su voluntad interna. </w:t>
      </w:r>
    </w:p>
    <w:p w14:paraId="09B4EC32" w14:textId="77777777" w:rsidR="005746F8" w:rsidRPr="005746F8" w:rsidRDefault="005746F8" w:rsidP="002F69F0">
      <w:pPr>
        <w:ind w:left="426" w:right="418"/>
        <w:jc w:val="both"/>
        <w:rPr>
          <w:rFonts w:ascii="Arial" w:hAnsi="Arial" w:cs="Arial"/>
          <w:sz w:val="22"/>
          <w:szCs w:val="24"/>
          <w:lang w:val="es-CO"/>
        </w:rPr>
      </w:pPr>
    </w:p>
    <w:p w14:paraId="7CD5DE20"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 xml:space="preserve">Ahora bien, el anterior derrotero cobra relevancia al desentrañar en quién recae la carga de probar el vicio en el consentimiento, pues tal evidencia demostrará la disconformidad entre lo querido y lo expresado, y por ende, el desconocimiento del derecho a la libre escogencia del régimen pensional. </w:t>
      </w:r>
    </w:p>
    <w:p w14:paraId="33B77906" w14:textId="77777777" w:rsidR="005746F8" w:rsidRPr="005746F8" w:rsidRDefault="005746F8" w:rsidP="002F69F0">
      <w:pPr>
        <w:ind w:left="426" w:right="418"/>
        <w:jc w:val="both"/>
        <w:rPr>
          <w:rFonts w:ascii="Arial" w:hAnsi="Arial" w:cs="Arial"/>
          <w:sz w:val="22"/>
          <w:szCs w:val="24"/>
          <w:lang w:val="es-CO"/>
        </w:rPr>
      </w:pPr>
    </w:p>
    <w:p w14:paraId="20AA9759"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 xml:space="preserve">Puestas de ese modo las cosas, resulta imprescindible mencionar lo dispuesto en el art. 1604 del C.C. que exige que “la prueba de la diligencia o cuidado incumbe al que ha debido emplearlo; la prueba del caso fortuito al que lo alega”, no obstante lo anterior, dicha obligación probatoria aparece como respuesta inmediata a alguien que previamente ha alegado el incumplimiento de una obligación por parte de su deudor; en esa medida quien alega un incumplimiento obligacional deberá probar el supuesto de hecho de la norma que consagra el efecto jurídico perseguido (art. 167 C.G.P.), o en otras palabras, deberá probar la obligación incumplida para que se presuma que ello se dio por culpa de la contraparte; quien en respuesta de tal cuestionamiento tendrá la carga de demostrar la diligencia o cuidado en la obligación pactada. </w:t>
      </w:r>
    </w:p>
    <w:p w14:paraId="4B7D05B3" w14:textId="77777777" w:rsidR="005746F8" w:rsidRPr="005746F8" w:rsidRDefault="005746F8" w:rsidP="002F69F0">
      <w:pPr>
        <w:ind w:left="426" w:right="418"/>
        <w:jc w:val="both"/>
        <w:rPr>
          <w:rFonts w:ascii="Arial" w:hAnsi="Arial" w:cs="Arial"/>
          <w:sz w:val="22"/>
          <w:szCs w:val="24"/>
          <w:lang w:val="es-CO"/>
        </w:rPr>
      </w:pPr>
    </w:p>
    <w:p w14:paraId="1650921A"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verdadera, adecuada y necesaria para tomar una decisión bajo el principio de la libertad informada, y en esa medida, poder dar rienda suelta al art. 1604 del C.C., pues la presunción allí establecida no es el incumplimiento de la obligación, sino la culpa en tal incumplimiento, iterase, una vez probado este.</w:t>
      </w:r>
    </w:p>
    <w:p w14:paraId="2C019C67" w14:textId="77777777" w:rsidR="005746F8" w:rsidRPr="005746F8" w:rsidRDefault="005746F8" w:rsidP="002F69F0">
      <w:pPr>
        <w:ind w:left="426" w:right="418"/>
        <w:jc w:val="both"/>
        <w:rPr>
          <w:rFonts w:ascii="Arial" w:hAnsi="Arial" w:cs="Arial"/>
          <w:sz w:val="22"/>
          <w:szCs w:val="24"/>
          <w:lang w:val="es-CO"/>
        </w:rPr>
      </w:pPr>
    </w:p>
    <w:p w14:paraId="54D9F4A8"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 xml:space="preserve">Deducción que en nada diciente con la doctrina al enseñar que “para que esta sanción sea aplicable al deudor [pago de perjuicios] es necesario que este quebrante los dictados de la buena fe y de la diligencia que rigen su conducta (art. 1603 y 1604); se presume que el incumplimiento de la obligación es culposo (art. 1604), presunción que es </w:t>
      </w:r>
      <w:proofErr w:type="spellStart"/>
      <w:r w:rsidRPr="005746F8">
        <w:rPr>
          <w:rFonts w:ascii="Arial" w:hAnsi="Arial" w:cs="Arial"/>
          <w:sz w:val="22"/>
          <w:szCs w:val="24"/>
          <w:lang w:val="es-CO"/>
        </w:rPr>
        <w:t>desvirtuable</w:t>
      </w:r>
      <w:proofErr w:type="spellEnd"/>
      <w:r w:rsidRPr="005746F8">
        <w:rPr>
          <w:rFonts w:ascii="Arial" w:hAnsi="Arial" w:cs="Arial"/>
          <w:sz w:val="22"/>
          <w:szCs w:val="24"/>
          <w:lang w:val="es-CO"/>
        </w:rPr>
        <w:t xml:space="preserve"> por el deudor, mediante la prueba de la diligencia debida o del caso fortuito </w:t>
      </w:r>
      <w:proofErr w:type="spellStart"/>
      <w:r w:rsidRPr="005746F8">
        <w:rPr>
          <w:rFonts w:ascii="Arial" w:hAnsi="Arial" w:cs="Arial"/>
          <w:sz w:val="22"/>
          <w:szCs w:val="24"/>
          <w:lang w:val="es-CO"/>
        </w:rPr>
        <w:t>exonerante</w:t>
      </w:r>
      <w:proofErr w:type="spellEnd"/>
      <w:r w:rsidRPr="005746F8">
        <w:rPr>
          <w:rFonts w:ascii="Arial" w:hAnsi="Arial" w:cs="Arial"/>
          <w:sz w:val="22"/>
          <w:szCs w:val="24"/>
          <w:lang w:val="es-CO"/>
        </w:rPr>
        <w:t xml:space="preserve"> de responsabilidad (ibídem)</w:t>
      </w:r>
      <w:proofErr w:type="gramStart"/>
      <w:r w:rsidRPr="005746F8">
        <w:rPr>
          <w:rFonts w:ascii="Arial" w:hAnsi="Arial" w:cs="Arial"/>
          <w:sz w:val="22"/>
          <w:szCs w:val="24"/>
          <w:lang w:val="es-CO"/>
        </w:rPr>
        <w:t>” .</w:t>
      </w:r>
      <w:proofErr w:type="gramEnd"/>
    </w:p>
    <w:p w14:paraId="488BB7AF" w14:textId="77777777" w:rsidR="005746F8" w:rsidRPr="005746F8" w:rsidRDefault="005746F8" w:rsidP="002F69F0">
      <w:pPr>
        <w:ind w:left="426" w:right="418"/>
        <w:jc w:val="both"/>
        <w:rPr>
          <w:rFonts w:ascii="Arial" w:hAnsi="Arial" w:cs="Arial"/>
          <w:sz w:val="22"/>
          <w:szCs w:val="24"/>
          <w:lang w:val="es-CO"/>
        </w:rPr>
      </w:pPr>
    </w:p>
    <w:p w14:paraId="33128892"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 xml:space="preserve">En ese sentido, probado el incumplimiento de la obligación de la AFP de brindar la información en la forma atrás mencionada,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proofErr w:type="spellStart"/>
      <w:r w:rsidRPr="005746F8">
        <w:rPr>
          <w:rFonts w:ascii="Arial" w:hAnsi="Arial" w:cs="Arial"/>
          <w:sz w:val="22"/>
          <w:szCs w:val="24"/>
          <w:lang w:val="es-CO"/>
        </w:rPr>
        <w:t>onus</w:t>
      </w:r>
      <w:proofErr w:type="spellEnd"/>
      <w:r w:rsidRPr="005746F8">
        <w:rPr>
          <w:rFonts w:ascii="Arial" w:hAnsi="Arial" w:cs="Arial"/>
          <w:sz w:val="22"/>
          <w:szCs w:val="24"/>
          <w:lang w:val="es-CO"/>
        </w:rPr>
        <w:t xml:space="preserve"> </w:t>
      </w:r>
      <w:proofErr w:type="spellStart"/>
      <w:r w:rsidRPr="005746F8">
        <w:rPr>
          <w:rFonts w:ascii="Arial" w:hAnsi="Arial" w:cs="Arial"/>
          <w:sz w:val="22"/>
          <w:szCs w:val="24"/>
          <w:lang w:val="es-CO"/>
        </w:rPr>
        <w:t>probandi</w:t>
      </w:r>
      <w:proofErr w:type="spellEnd"/>
      <w:r w:rsidRPr="005746F8">
        <w:rPr>
          <w:rFonts w:ascii="Arial" w:hAnsi="Arial" w:cs="Arial"/>
          <w:sz w:val="22"/>
          <w:szCs w:val="24"/>
          <w:lang w:val="es-CO"/>
        </w:rPr>
        <w:t xml:space="preserve"> que recae en ella exige mayor rudeza en tal diligencia, que la que se reclama de cualquier </w:t>
      </w:r>
      <w:proofErr w:type="gramStart"/>
      <w:r w:rsidRPr="005746F8">
        <w:rPr>
          <w:rFonts w:ascii="Arial" w:hAnsi="Arial" w:cs="Arial"/>
          <w:sz w:val="22"/>
          <w:szCs w:val="24"/>
          <w:lang w:val="es-CO"/>
        </w:rPr>
        <w:t>comerciante .</w:t>
      </w:r>
      <w:proofErr w:type="gramEnd"/>
      <w:r w:rsidRPr="005746F8">
        <w:rPr>
          <w:rFonts w:ascii="Arial" w:hAnsi="Arial" w:cs="Arial"/>
          <w:sz w:val="22"/>
          <w:szCs w:val="24"/>
          <w:lang w:val="es-CO"/>
        </w:rPr>
        <w:t xml:space="preserve">  </w:t>
      </w:r>
    </w:p>
    <w:p w14:paraId="690E1444" w14:textId="77777777" w:rsidR="005746F8" w:rsidRPr="005746F8" w:rsidRDefault="005746F8" w:rsidP="002F69F0">
      <w:pPr>
        <w:ind w:left="426" w:right="418"/>
        <w:jc w:val="both"/>
        <w:rPr>
          <w:rFonts w:ascii="Arial" w:hAnsi="Arial" w:cs="Arial"/>
          <w:sz w:val="22"/>
          <w:szCs w:val="24"/>
          <w:lang w:val="es-CO"/>
        </w:rPr>
      </w:pPr>
    </w:p>
    <w:p w14:paraId="5C2C5CA1"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Lo anterior no despoja al trabajador del deber de un mediano empeño en participar en la elección del régimen, máxime cuando escoge el RAIS, comportamiento que debe también ser valorado, dada la necesidad de garantizar la sostenibilidad financiera del sistema de prima media, para evitar la descapitalización del fondo común que lo compone; pues permitirse adoptar el RPM, en razón a la supuesta ineficacia contando con menos de 10 años para alcanzar la edad para pensionarse, es permitir que una persona que no contribuyó a dicho fondo y por ende, no fue tenida en cuenta para efectos de establecer las sumas de dinero que representarían el pago de su pensión en el futuro, acceda a una subvención pensional, poniendo en riesgo la garantía del derecho irrenunciable de los demás cotizantes; además de trasgredir la cláusula constitucional contenida en el art. 95  y el principio de eficiencia pensional. En este sentido se pronunció la sentencia C-1024/2004, a propósito de la constitucionalidad del artículo 2º de la Ley 797/2003 que limita el traslado entre regímenes.</w:t>
      </w:r>
    </w:p>
    <w:p w14:paraId="2CEA63DB" w14:textId="77777777" w:rsidR="005746F8" w:rsidRPr="005746F8" w:rsidRDefault="005746F8" w:rsidP="002F69F0">
      <w:pPr>
        <w:ind w:left="426" w:right="418"/>
        <w:jc w:val="both"/>
        <w:rPr>
          <w:rFonts w:ascii="Arial" w:hAnsi="Arial" w:cs="Arial"/>
          <w:sz w:val="22"/>
          <w:szCs w:val="24"/>
          <w:lang w:val="es-CO"/>
        </w:rPr>
      </w:pPr>
    </w:p>
    <w:p w14:paraId="37059A75"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 xml:space="preserve">Lo dicho adquiere más significado pues de llegarse a sancionar el negocio jurídico celebrado entre el actor y una AFP (afiliación) con la ineficacia, quien realmente </w:t>
      </w:r>
      <w:r w:rsidRPr="005746F8">
        <w:rPr>
          <w:rFonts w:ascii="Arial" w:hAnsi="Arial" w:cs="Arial"/>
          <w:sz w:val="22"/>
          <w:szCs w:val="24"/>
          <w:lang w:val="es-CO"/>
        </w:rPr>
        <w:lastRenderedPageBreak/>
        <w:t>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 para lo cual deberá echar mano de los recursos habidos en el fondo común en el que participan todos los afiliados al RPM y que puede llegar a poner en riesgo la garantía del derecho pensional de los actuales y futuros afiliados que sí han contribuido a formar el fondo común al permitir que sus aportes por más de 10 años hayan conformado las pensiones de otros afiliados. Todo lo anterior en tanto a nadie le está permitido abusar de sus derechos.</w:t>
      </w:r>
    </w:p>
    <w:p w14:paraId="6D03426F" w14:textId="77777777" w:rsidR="005746F8" w:rsidRPr="005746F8" w:rsidRDefault="005746F8" w:rsidP="002F69F0">
      <w:pPr>
        <w:ind w:left="426" w:right="418"/>
        <w:jc w:val="both"/>
        <w:rPr>
          <w:rFonts w:ascii="Arial" w:hAnsi="Arial" w:cs="Arial"/>
          <w:sz w:val="22"/>
          <w:szCs w:val="24"/>
          <w:lang w:val="es-CO"/>
        </w:rPr>
      </w:pPr>
      <w:r w:rsidRPr="005746F8">
        <w:rPr>
          <w:rFonts w:ascii="Arial" w:hAnsi="Arial" w:cs="Arial"/>
          <w:sz w:val="22"/>
          <w:szCs w:val="24"/>
          <w:lang w:val="es-CO"/>
        </w:rPr>
        <w:t>De este modo, se recoge cualquier argumentación que haya sido esgrimida con anterioridad y que difiera de la que aquí expuesta.”</w:t>
      </w:r>
    </w:p>
    <w:p w14:paraId="3118848D" w14:textId="77777777" w:rsidR="005746F8" w:rsidRPr="005746F8" w:rsidRDefault="005746F8" w:rsidP="00CB2A6E">
      <w:pPr>
        <w:spacing w:line="288" w:lineRule="auto"/>
        <w:jc w:val="both"/>
        <w:rPr>
          <w:rFonts w:ascii="Arial" w:hAnsi="Arial" w:cs="Arial"/>
          <w:iCs/>
          <w:szCs w:val="24"/>
        </w:rPr>
      </w:pPr>
    </w:p>
    <w:p w14:paraId="14A1E22D" w14:textId="77777777" w:rsidR="005746F8" w:rsidRPr="005746F8" w:rsidRDefault="005746F8" w:rsidP="00CB2A6E">
      <w:pPr>
        <w:spacing w:line="288" w:lineRule="auto"/>
        <w:jc w:val="both"/>
        <w:rPr>
          <w:rFonts w:ascii="Arial" w:hAnsi="Arial" w:cs="Arial"/>
          <w:szCs w:val="24"/>
        </w:rPr>
      </w:pPr>
      <w:r w:rsidRPr="005746F8">
        <w:rPr>
          <w:rFonts w:ascii="Arial" w:hAnsi="Arial" w:cs="Arial"/>
          <w:szCs w:val="24"/>
        </w:rPr>
        <w:t>Con base en las razones anteriores y en el análisis probatorio vertido en la sentencia que da cuenta de que realmente el actor recibió la información pertinente para la verificación de su traslado, es que acompaño la decisión.</w:t>
      </w:r>
    </w:p>
    <w:p w14:paraId="216EA0BB" w14:textId="77777777" w:rsidR="005746F8" w:rsidRDefault="005746F8" w:rsidP="00CB2A6E">
      <w:pPr>
        <w:tabs>
          <w:tab w:val="left" w:pos="7020"/>
        </w:tabs>
        <w:spacing w:line="288" w:lineRule="auto"/>
        <w:jc w:val="both"/>
        <w:rPr>
          <w:rFonts w:ascii="Arial" w:hAnsi="Arial" w:cs="Arial"/>
          <w:szCs w:val="24"/>
          <w:lang w:val="es-CO" w:eastAsia="x-none"/>
        </w:rPr>
      </w:pPr>
    </w:p>
    <w:p w14:paraId="3EEB5C34" w14:textId="77777777" w:rsidR="000E0D52" w:rsidRPr="005746F8" w:rsidRDefault="000E0D52" w:rsidP="00CB2A6E">
      <w:pPr>
        <w:tabs>
          <w:tab w:val="left" w:pos="7020"/>
        </w:tabs>
        <w:spacing w:line="288" w:lineRule="auto"/>
        <w:jc w:val="both"/>
        <w:rPr>
          <w:rFonts w:ascii="Arial" w:hAnsi="Arial" w:cs="Arial"/>
          <w:szCs w:val="24"/>
          <w:lang w:val="es-CO" w:eastAsia="x-none"/>
        </w:rPr>
      </w:pPr>
    </w:p>
    <w:p w14:paraId="2C18EB3E" w14:textId="77777777" w:rsidR="005746F8" w:rsidRPr="005746F8" w:rsidRDefault="005746F8" w:rsidP="00CB2A6E">
      <w:pPr>
        <w:widowControl w:val="0"/>
        <w:autoSpaceDE w:val="0"/>
        <w:autoSpaceDN w:val="0"/>
        <w:adjustRightInd w:val="0"/>
        <w:spacing w:after="200" w:line="288" w:lineRule="auto"/>
        <w:jc w:val="both"/>
        <w:rPr>
          <w:rFonts w:ascii="Arial" w:eastAsia="Calibri" w:hAnsi="Arial" w:cs="Arial"/>
          <w:szCs w:val="24"/>
          <w:lang w:val="es-CO" w:eastAsia="en-US"/>
        </w:rPr>
      </w:pPr>
      <w:r w:rsidRPr="005746F8">
        <w:rPr>
          <w:rFonts w:ascii="Arial" w:eastAsia="Calibri" w:hAnsi="Arial" w:cs="Arial"/>
          <w:szCs w:val="24"/>
          <w:lang w:val="es-CO" w:eastAsia="en-US"/>
        </w:rPr>
        <w:t>Dejo así aclarado mi voto,</w:t>
      </w:r>
    </w:p>
    <w:p w14:paraId="53058409" w14:textId="77777777" w:rsidR="005746F8" w:rsidRDefault="005746F8" w:rsidP="00CB2A6E">
      <w:pPr>
        <w:widowControl w:val="0"/>
        <w:autoSpaceDE w:val="0"/>
        <w:autoSpaceDN w:val="0"/>
        <w:adjustRightInd w:val="0"/>
        <w:spacing w:after="200" w:line="288" w:lineRule="auto"/>
        <w:jc w:val="both"/>
        <w:rPr>
          <w:rFonts w:ascii="Arial" w:eastAsia="Calibri" w:hAnsi="Arial" w:cs="Arial"/>
          <w:szCs w:val="24"/>
          <w:lang w:val="es-CO" w:eastAsia="en-US"/>
        </w:rPr>
      </w:pPr>
    </w:p>
    <w:p w14:paraId="663D1560" w14:textId="77777777" w:rsidR="000E0D52" w:rsidRPr="005746F8" w:rsidRDefault="000E0D52" w:rsidP="00CB2A6E">
      <w:pPr>
        <w:widowControl w:val="0"/>
        <w:autoSpaceDE w:val="0"/>
        <w:autoSpaceDN w:val="0"/>
        <w:adjustRightInd w:val="0"/>
        <w:spacing w:after="200" w:line="288" w:lineRule="auto"/>
        <w:jc w:val="both"/>
        <w:rPr>
          <w:rFonts w:ascii="Arial" w:eastAsia="Calibri" w:hAnsi="Arial" w:cs="Arial"/>
          <w:szCs w:val="24"/>
          <w:lang w:val="es-CO" w:eastAsia="en-US"/>
        </w:rPr>
      </w:pPr>
    </w:p>
    <w:p w14:paraId="15A7374C" w14:textId="77777777" w:rsidR="005746F8" w:rsidRPr="005746F8" w:rsidRDefault="005746F8" w:rsidP="00CB2A6E">
      <w:pPr>
        <w:widowControl w:val="0"/>
        <w:autoSpaceDE w:val="0"/>
        <w:autoSpaceDN w:val="0"/>
        <w:adjustRightInd w:val="0"/>
        <w:spacing w:after="200" w:line="288" w:lineRule="auto"/>
        <w:jc w:val="both"/>
        <w:rPr>
          <w:rFonts w:ascii="Arial" w:eastAsia="Calibri" w:hAnsi="Arial" w:cs="Arial"/>
          <w:szCs w:val="24"/>
          <w:lang w:val="es-CO" w:eastAsia="en-US"/>
        </w:rPr>
      </w:pPr>
    </w:p>
    <w:p w14:paraId="4B0112E9" w14:textId="77777777" w:rsidR="005746F8" w:rsidRPr="005746F8" w:rsidRDefault="005746F8" w:rsidP="00CB2A6E">
      <w:pPr>
        <w:widowControl w:val="0"/>
        <w:autoSpaceDE w:val="0"/>
        <w:autoSpaceDN w:val="0"/>
        <w:adjustRightInd w:val="0"/>
        <w:spacing w:line="288" w:lineRule="auto"/>
        <w:jc w:val="center"/>
        <w:rPr>
          <w:rFonts w:ascii="Arial" w:eastAsia="Calibri" w:hAnsi="Arial" w:cs="Arial"/>
          <w:b/>
          <w:szCs w:val="24"/>
          <w:lang w:val="es-CO" w:eastAsia="en-US"/>
        </w:rPr>
      </w:pPr>
      <w:r w:rsidRPr="005746F8">
        <w:rPr>
          <w:rFonts w:ascii="Arial" w:eastAsia="Calibri" w:hAnsi="Arial" w:cs="Arial"/>
          <w:b/>
          <w:szCs w:val="24"/>
          <w:lang w:val="es-CO" w:eastAsia="en-US"/>
        </w:rPr>
        <w:t>JULIO CÉSAR SALAZAR MUÑOZ</w:t>
      </w:r>
    </w:p>
    <w:p w14:paraId="501AFDC1" w14:textId="2D768AF2" w:rsidR="00DE5640" w:rsidRPr="00CB2A6E" w:rsidRDefault="005746F8" w:rsidP="00CB2A6E">
      <w:pPr>
        <w:widowControl w:val="0"/>
        <w:autoSpaceDE w:val="0"/>
        <w:autoSpaceDN w:val="0"/>
        <w:adjustRightInd w:val="0"/>
        <w:spacing w:line="288" w:lineRule="auto"/>
        <w:jc w:val="center"/>
        <w:rPr>
          <w:rFonts w:ascii="Arial" w:eastAsia="Calibri" w:hAnsi="Arial" w:cs="Arial"/>
          <w:szCs w:val="24"/>
          <w:lang w:val="es-CO" w:eastAsia="en-US"/>
        </w:rPr>
      </w:pPr>
      <w:r w:rsidRPr="005746F8">
        <w:rPr>
          <w:rFonts w:ascii="Arial" w:eastAsia="Calibri" w:hAnsi="Arial" w:cs="Arial"/>
          <w:szCs w:val="24"/>
          <w:lang w:val="es-CO" w:eastAsia="en-US"/>
        </w:rPr>
        <w:t>Magistrado</w:t>
      </w:r>
    </w:p>
    <w:sectPr w:rsidR="00DE5640" w:rsidRPr="00CB2A6E" w:rsidSect="00005D4B">
      <w:headerReference w:type="default" r:id="rId11"/>
      <w:footerReference w:type="default" r:id="rId12"/>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F0062" w14:textId="77777777" w:rsidR="00101F75" w:rsidRDefault="00101F75" w:rsidP="00AD05E0">
      <w:r>
        <w:separator/>
      </w:r>
    </w:p>
  </w:endnote>
  <w:endnote w:type="continuationSeparator" w:id="0">
    <w:p w14:paraId="2BFECD2B" w14:textId="77777777" w:rsidR="00101F75" w:rsidRDefault="00101F75"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3DA26212" w14:textId="77777777" w:rsidR="00337864" w:rsidRPr="00CB2A6E" w:rsidRDefault="00337864">
        <w:pPr>
          <w:pStyle w:val="Piedepgina"/>
          <w:jc w:val="right"/>
          <w:rPr>
            <w:rFonts w:ascii="Arial" w:hAnsi="Arial" w:cs="Arial"/>
            <w:sz w:val="18"/>
          </w:rPr>
        </w:pPr>
        <w:r w:rsidRPr="00CB2A6E">
          <w:rPr>
            <w:rFonts w:ascii="Arial" w:hAnsi="Arial" w:cs="Arial"/>
            <w:sz w:val="18"/>
          </w:rPr>
          <w:fldChar w:fldCharType="begin"/>
        </w:r>
        <w:r w:rsidRPr="00CB2A6E">
          <w:rPr>
            <w:rFonts w:ascii="Arial" w:hAnsi="Arial" w:cs="Arial"/>
            <w:sz w:val="18"/>
          </w:rPr>
          <w:instrText>PAGE   \* MERGEFORMAT</w:instrText>
        </w:r>
        <w:r w:rsidRPr="00CB2A6E">
          <w:rPr>
            <w:rFonts w:ascii="Arial" w:hAnsi="Arial" w:cs="Arial"/>
            <w:sz w:val="18"/>
          </w:rPr>
          <w:fldChar w:fldCharType="separate"/>
        </w:r>
        <w:r w:rsidR="006A5304" w:rsidRPr="006A5304">
          <w:rPr>
            <w:rFonts w:ascii="Arial" w:hAnsi="Arial" w:cs="Arial"/>
            <w:noProof/>
            <w:sz w:val="18"/>
            <w:lang w:val="es-ES"/>
          </w:rPr>
          <w:t>20</w:t>
        </w:r>
        <w:r w:rsidRPr="00CB2A6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49A78" w14:textId="77777777" w:rsidR="00101F75" w:rsidRDefault="00101F75" w:rsidP="00AD05E0">
      <w:r>
        <w:separator/>
      </w:r>
    </w:p>
  </w:footnote>
  <w:footnote w:type="continuationSeparator" w:id="0">
    <w:p w14:paraId="362B8D2B" w14:textId="77777777" w:rsidR="00101F75" w:rsidRDefault="00101F75" w:rsidP="00AD05E0">
      <w:r>
        <w:continuationSeparator/>
      </w:r>
    </w:p>
  </w:footnote>
  <w:footnote w:id="1">
    <w:p w14:paraId="411567D3" w14:textId="315DB58C" w:rsidR="00337864" w:rsidRPr="001A3CF1" w:rsidRDefault="00337864" w:rsidP="001A3CF1">
      <w:pPr>
        <w:pStyle w:val="Textonotapie"/>
        <w:jc w:val="both"/>
        <w:rPr>
          <w:rFonts w:ascii="Arial" w:hAnsi="Arial" w:cs="Arial"/>
          <w:sz w:val="18"/>
          <w:szCs w:val="18"/>
          <w:lang w:val="es-CO"/>
        </w:rPr>
      </w:pPr>
      <w:r w:rsidRPr="001A3CF1">
        <w:rPr>
          <w:rStyle w:val="Refdenotaalpie"/>
          <w:rFonts w:ascii="Arial" w:hAnsi="Arial" w:cs="Arial"/>
          <w:sz w:val="18"/>
          <w:szCs w:val="18"/>
        </w:rPr>
        <w:footnoteRef/>
      </w:r>
      <w:r w:rsidRPr="001A3CF1">
        <w:rPr>
          <w:rFonts w:ascii="Arial" w:hAnsi="Arial" w:cs="Arial"/>
          <w:sz w:val="18"/>
          <w:szCs w:val="18"/>
        </w:rPr>
        <w:t xml:space="preserve"> </w:t>
      </w:r>
      <w:r w:rsidRPr="001A3CF1">
        <w:rPr>
          <w:rFonts w:ascii="Arial" w:hAnsi="Arial" w:cs="Arial"/>
          <w:sz w:val="18"/>
          <w:szCs w:val="18"/>
          <w:lang w:val="es-CO"/>
        </w:rPr>
        <w:t>SL4964 del 14/11/2018, radicado 54814 y SL1452 del 03/04/2019, radicado 68852.</w:t>
      </w:r>
    </w:p>
  </w:footnote>
  <w:footnote w:id="2">
    <w:p w14:paraId="6D3CD328" w14:textId="01B7A4A4" w:rsidR="00337864" w:rsidRPr="001A3CF1" w:rsidRDefault="00337864" w:rsidP="001A3CF1">
      <w:pPr>
        <w:pStyle w:val="Textonotapie"/>
        <w:jc w:val="both"/>
        <w:rPr>
          <w:rFonts w:ascii="Arial" w:hAnsi="Arial" w:cs="Arial"/>
          <w:sz w:val="18"/>
          <w:szCs w:val="18"/>
          <w:lang w:val="es-CO"/>
        </w:rPr>
      </w:pPr>
      <w:r w:rsidRPr="001A3CF1">
        <w:rPr>
          <w:rStyle w:val="Refdenotaalpie"/>
          <w:rFonts w:ascii="Arial" w:hAnsi="Arial" w:cs="Arial"/>
          <w:sz w:val="18"/>
          <w:szCs w:val="18"/>
        </w:rPr>
        <w:footnoteRef/>
      </w:r>
      <w:r w:rsidRPr="001A3CF1">
        <w:rPr>
          <w:rFonts w:ascii="Arial" w:hAnsi="Arial" w:cs="Arial"/>
          <w:sz w:val="18"/>
          <w:szCs w:val="18"/>
        </w:rPr>
        <w:t xml:space="preserve"> </w:t>
      </w:r>
      <w:r w:rsidRPr="001A3CF1">
        <w:rPr>
          <w:rFonts w:ascii="Arial" w:hAnsi="Arial" w:cs="Arial"/>
          <w:sz w:val="18"/>
          <w:szCs w:val="18"/>
          <w:lang w:val="es-CO"/>
        </w:rPr>
        <w:t>Ospina, Fernández y Ospina Acosta. Teoría General de los Actos o Negocios Jurídicos. Edit: Temis, 1983. P.p. 585.</w:t>
      </w:r>
    </w:p>
  </w:footnote>
  <w:footnote w:id="3">
    <w:p w14:paraId="517D86A3" w14:textId="0B69E912" w:rsidR="00337864" w:rsidRPr="001A3CF1" w:rsidRDefault="00337864" w:rsidP="001A3CF1">
      <w:pPr>
        <w:pStyle w:val="Textonotapie"/>
        <w:jc w:val="both"/>
        <w:rPr>
          <w:rFonts w:ascii="Arial" w:hAnsi="Arial" w:cs="Arial"/>
          <w:sz w:val="18"/>
          <w:szCs w:val="18"/>
          <w:lang w:val="es-CO"/>
        </w:rPr>
      </w:pPr>
      <w:r w:rsidRPr="001A3CF1">
        <w:rPr>
          <w:rStyle w:val="Refdenotaalpie"/>
          <w:rFonts w:ascii="Arial" w:hAnsi="Arial" w:cs="Arial"/>
          <w:sz w:val="18"/>
          <w:szCs w:val="18"/>
        </w:rPr>
        <w:footnoteRef/>
      </w:r>
      <w:r w:rsidR="00C17DB1" w:rsidRPr="001A3CF1">
        <w:rPr>
          <w:rFonts w:ascii="Arial" w:hAnsi="Arial" w:cs="Arial"/>
          <w:sz w:val="18"/>
          <w:szCs w:val="18"/>
        </w:rPr>
        <w:t xml:space="preserve"> </w:t>
      </w:r>
      <w:proofErr w:type="spellStart"/>
      <w:r w:rsidR="00C17DB1" w:rsidRPr="001A3CF1">
        <w:rPr>
          <w:rFonts w:ascii="Arial" w:hAnsi="Arial" w:cs="Arial"/>
          <w:sz w:val="18"/>
          <w:szCs w:val="18"/>
        </w:rPr>
        <w:t>Sent</w:t>
      </w:r>
      <w:proofErr w:type="spellEnd"/>
      <w:r w:rsidR="00C17DB1" w:rsidRPr="001A3CF1">
        <w:rPr>
          <w:rFonts w:ascii="Arial" w:hAnsi="Arial" w:cs="Arial"/>
          <w:sz w:val="18"/>
          <w:szCs w:val="18"/>
        </w:rPr>
        <w:t>.</w:t>
      </w:r>
      <w:r w:rsidRPr="001A3CF1">
        <w:rPr>
          <w:rFonts w:ascii="Arial" w:hAnsi="Arial" w:cs="Arial"/>
          <w:sz w:val="18"/>
          <w:szCs w:val="18"/>
        </w:rPr>
        <w:t xml:space="preserve"> Cas. </w:t>
      </w:r>
      <w:proofErr w:type="spellStart"/>
      <w:r w:rsidRPr="001A3CF1">
        <w:rPr>
          <w:rFonts w:ascii="Arial" w:hAnsi="Arial" w:cs="Arial"/>
          <w:sz w:val="18"/>
          <w:szCs w:val="18"/>
        </w:rPr>
        <w:t>Civ</w:t>
      </w:r>
      <w:proofErr w:type="spellEnd"/>
      <w:r w:rsidRPr="001A3CF1">
        <w:rPr>
          <w:rFonts w:ascii="Arial" w:hAnsi="Arial" w:cs="Arial"/>
          <w:sz w:val="18"/>
          <w:szCs w:val="18"/>
        </w:rPr>
        <w:t>. de 15/11/2017, SC18476-2017.</w:t>
      </w:r>
    </w:p>
  </w:footnote>
  <w:footnote w:id="4">
    <w:p w14:paraId="5F995E8A" w14:textId="791F2037" w:rsidR="00C17DB1" w:rsidRPr="001A3CF1" w:rsidRDefault="00C17DB1" w:rsidP="001A3CF1">
      <w:pPr>
        <w:pStyle w:val="Textonotapie"/>
        <w:jc w:val="both"/>
        <w:rPr>
          <w:rFonts w:ascii="Arial" w:hAnsi="Arial" w:cs="Arial"/>
          <w:sz w:val="18"/>
          <w:szCs w:val="18"/>
          <w:lang w:val="es-CO"/>
        </w:rPr>
      </w:pPr>
      <w:r w:rsidRPr="001A3CF1">
        <w:rPr>
          <w:rStyle w:val="Refdenotaalpie"/>
          <w:rFonts w:ascii="Arial" w:hAnsi="Arial" w:cs="Arial"/>
          <w:sz w:val="18"/>
          <w:szCs w:val="18"/>
        </w:rPr>
        <w:footnoteRef/>
      </w:r>
      <w:r w:rsidRPr="001A3CF1">
        <w:rPr>
          <w:rFonts w:ascii="Arial" w:hAnsi="Arial" w:cs="Arial"/>
          <w:sz w:val="18"/>
          <w:szCs w:val="18"/>
        </w:rPr>
        <w:t xml:space="preserve"> </w:t>
      </w:r>
      <w:proofErr w:type="spellStart"/>
      <w:r w:rsidRPr="001A3CF1">
        <w:rPr>
          <w:rFonts w:ascii="Arial" w:hAnsi="Arial" w:cs="Arial"/>
          <w:sz w:val="18"/>
          <w:szCs w:val="18"/>
          <w:lang w:val="es-CO"/>
        </w:rPr>
        <w:t>Sent</w:t>
      </w:r>
      <w:proofErr w:type="spellEnd"/>
      <w:r w:rsidRPr="001A3CF1">
        <w:rPr>
          <w:rFonts w:ascii="Arial" w:hAnsi="Arial" w:cs="Arial"/>
          <w:sz w:val="18"/>
          <w:szCs w:val="18"/>
          <w:lang w:val="es-CO"/>
        </w:rPr>
        <w:t xml:space="preserve">. Cas. </w:t>
      </w:r>
      <w:proofErr w:type="spellStart"/>
      <w:r w:rsidRPr="001A3CF1">
        <w:rPr>
          <w:rFonts w:ascii="Arial" w:hAnsi="Arial" w:cs="Arial"/>
          <w:sz w:val="18"/>
          <w:szCs w:val="18"/>
          <w:lang w:val="es-CO"/>
        </w:rPr>
        <w:t>Lab</w:t>
      </w:r>
      <w:proofErr w:type="spellEnd"/>
      <w:r w:rsidRPr="001A3CF1">
        <w:rPr>
          <w:rFonts w:ascii="Arial" w:hAnsi="Arial" w:cs="Arial"/>
          <w:sz w:val="18"/>
          <w:szCs w:val="18"/>
          <w:lang w:val="es-CO"/>
        </w:rPr>
        <w:t xml:space="preserve">. de 03/04/2019, SL1452-2019. </w:t>
      </w:r>
    </w:p>
  </w:footnote>
  <w:footnote w:id="5">
    <w:p w14:paraId="4289FF07" w14:textId="77777777" w:rsidR="00337864" w:rsidRPr="001A3CF1" w:rsidRDefault="00337864" w:rsidP="001A3CF1">
      <w:pPr>
        <w:pStyle w:val="Textonotapie"/>
        <w:jc w:val="both"/>
        <w:rPr>
          <w:rFonts w:ascii="Arial" w:hAnsi="Arial" w:cs="Arial"/>
          <w:sz w:val="18"/>
          <w:szCs w:val="18"/>
          <w:lang w:val="es-CO"/>
        </w:rPr>
      </w:pPr>
      <w:r w:rsidRPr="001A3CF1">
        <w:rPr>
          <w:rStyle w:val="Refdenotaalpie"/>
          <w:rFonts w:ascii="Arial" w:hAnsi="Arial" w:cs="Arial"/>
          <w:sz w:val="18"/>
          <w:szCs w:val="18"/>
        </w:rPr>
        <w:footnoteRef/>
      </w:r>
      <w:r w:rsidRPr="001A3CF1">
        <w:rPr>
          <w:rFonts w:ascii="Arial" w:hAnsi="Arial" w:cs="Arial"/>
          <w:sz w:val="18"/>
          <w:szCs w:val="18"/>
        </w:rPr>
        <w:t xml:space="preserve"> </w:t>
      </w:r>
      <w:r w:rsidRPr="001A3CF1">
        <w:rPr>
          <w:rFonts w:ascii="Arial" w:hAnsi="Arial" w:cs="Arial"/>
          <w:sz w:val="18"/>
          <w:szCs w:val="18"/>
          <w:lang w:val="es-CO"/>
        </w:rPr>
        <w:t>Artículo 2, parágrafo 2º</w:t>
      </w:r>
    </w:p>
  </w:footnote>
  <w:footnote w:id="6">
    <w:p w14:paraId="4309803E" w14:textId="77777777" w:rsidR="00337864" w:rsidRPr="001A3CF1" w:rsidRDefault="00337864" w:rsidP="001A3CF1">
      <w:pPr>
        <w:pStyle w:val="Textonotapie"/>
        <w:jc w:val="both"/>
        <w:rPr>
          <w:rFonts w:ascii="Arial" w:hAnsi="Arial" w:cs="Arial"/>
          <w:sz w:val="18"/>
          <w:szCs w:val="18"/>
          <w:lang w:val="es-CO"/>
        </w:rPr>
      </w:pPr>
      <w:r w:rsidRPr="001A3CF1">
        <w:rPr>
          <w:rStyle w:val="Refdenotaalpie"/>
          <w:rFonts w:ascii="Arial" w:hAnsi="Arial" w:cs="Arial"/>
          <w:sz w:val="18"/>
          <w:szCs w:val="18"/>
        </w:rPr>
        <w:footnoteRef/>
      </w:r>
      <w:r w:rsidRPr="001A3CF1">
        <w:rPr>
          <w:rFonts w:ascii="Arial" w:hAnsi="Arial" w:cs="Arial"/>
          <w:sz w:val="18"/>
          <w:szCs w:val="18"/>
        </w:rPr>
        <w:t xml:space="preserve"> </w:t>
      </w:r>
      <w:r w:rsidRPr="001A3CF1">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D1E" w14:textId="77777777" w:rsidR="00337864" w:rsidRPr="00BB3FED" w:rsidRDefault="00337864"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151F3F7F" w:rsidR="00337864" w:rsidRPr="00BB3FED" w:rsidRDefault="00337864"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5B1F25">
      <w:rPr>
        <w:rFonts w:ascii="Arial" w:hAnsi="Arial" w:cs="Arial"/>
        <w:sz w:val="18"/>
        <w:szCs w:val="18"/>
      </w:rPr>
      <w:t>2</w:t>
    </w:r>
    <w:r>
      <w:rPr>
        <w:rFonts w:ascii="Arial" w:hAnsi="Arial" w:cs="Arial"/>
        <w:sz w:val="18"/>
        <w:szCs w:val="18"/>
      </w:rPr>
      <w:t>-201</w:t>
    </w:r>
    <w:r w:rsidR="005B1F25">
      <w:rPr>
        <w:rFonts w:ascii="Arial" w:hAnsi="Arial" w:cs="Arial"/>
        <w:sz w:val="18"/>
        <w:szCs w:val="18"/>
      </w:rPr>
      <w:t>7</w:t>
    </w:r>
    <w:r>
      <w:rPr>
        <w:rFonts w:ascii="Arial" w:hAnsi="Arial" w:cs="Arial"/>
        <w:sz w:val="18"/>
        <w:szCs w:val="18"/>
      </w:rPr>
      <w:t>-00</w:t>
    </w:r>
    <w:r w:rsidR="005B1F25">
      <w:rPr>
        <w:rFonts w:ascii="Arial" w:hAnsi="Arial" w:cs="Arial"/>
        <w:sz w:val="18"/>
        <w:szCs w:val="18"/>
      </w:rPr>
      <w:t>297</w:t>
    </w:r>
    <w:r>
      <w:rPr>
        <w:rFonts w:ascii="Arial" w:hAnsi="Arial" w:cs="Arial"/>
        <w:sz w:val="18"/>
        <w:szCs w:val="18"/>
      </w:rPr>
      <w:t>-01</w:t>
    </w:r>
  </w:p>
  <w:p w14:paraId="24384DEF" w14:textId="4DBBDDCD" w:rsidR="00337864" w:rsidRPr="00BB3FED" w:rsidRDefault="005B1F25" w:rsidP="00AD05E0">
    <w:pPr>
      <w:pStyle w:val="Encabezado"/>
      <w:jc w:val="center"/>
      <w:rPr>
        <w:rFonts w:ascii="Arial" w:hAnsi="Arial" w:cs="Arial"/>
        <w:sz w:val="18"/>
        <w:szCs w:val="18"/>
      </w:rPr>
    </w:pPr>
    <w:r>
      <w:rPr>
        <w:rFonts w:ascii="Arial" w:hAnsi="Arial" w:cs="Arial"/>
        <w:sz w:val="18"/>
        <w:szCs w:val="18"/>
      </w:rPr>
      <w:t>Álvaro Alzate López</w:t>
    </w:r>
    <w:r w:rsidR="00337864">
      <w:rPr>
        <w:rFonts w:ascii="Arial" w:hAnsi="Arial" w:cs="Arial"/>
        <w:sz w:val="18"/>
        <w:szCs w:val="18"/>
      </w:rPr>
      <w:t xml:space="preserve"> </w:t>
    </w:r>
    <w:r w:rsidR="00337864" w:rsidRPr="00BB3FED">
      <w:rPr>
        <w:rFonts w:ascii="Arial" w:hAnsi="Arial" w:cs="Arial"/>
        <w:sz w:val="18"/>
        <w:szCs w:val="18"/>
      </w:rPr>
      <w:t xml:space="preserve">vs </w:t>
    </w:r>
    <w:r>
      <w:rPr>
        <w:rFonts w:ascii="Arial" w:hAnsi="Arial" w:cs="Arial"/>
        <w:sz w:val="18"/>
        <w:szCs w:val="18"/>
      </w:rPr>
      <w:t xml:space="preserve">Colpensiones </w:t>
    </w:r>
    <w:r w:rsidR="00337864">
      <w:rPr>
        <w:rFonts w:ascii="Arial" w:hAnsi="Arial" w:cs="Arial"/>
        <w:sz w:val="18"/>
        <w:szCs w:val="18"/>
      </w:rPr>
      <w:t>y Protección S.A.</w:t>
    </w:r>
  </w:p>
  <w:p w14:paraId="1F128505" w14:textId="77777777" w:rsidR="00337864" w:rsidRPr="00AD05E0" w:rsidRDefault="003378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9"/>
  </w:num>
  <w:num w:numId="4">
    <w:abstractNumId w:val="0"/>
  </w:num>
  <w:num w:numId="5">
    <w:abstractNumId w:val="2"/>
  </w:num>
  <w:num w:numId="6">
    <w:abstractNumId w:val="8"/>
  </w:num>
  <w:num w:numId="7">
    <w:abstractNumId w:val="3"/>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0755"/>
    <w:rsid w:val="0000104A"/>
    <w:rsid w:val="000010FB"/>
    <w:rsid w:val="00003F90"/>
    <w:rsid w:val="0000478E"/>
    <w:rsid w:val="000058B8"/>
    <w:rsid w:val="00005D4B"/>
    <w:rsid w:val="00007A08"/>
    <w:rsid w:val="00013E64"/>
    <w:rsid w:val="00014DB7"/>
    <w:rsid w:val="000166F4"/>
    <w:rsid w:val="00017A33"/>
    <w:rsid w:val="0002018D"/>
    <w:rsid w:val="00021AEA"/>
    <w:rsid w:val="00023396"/>
    <w:rsid w:val="00024061"/>
    <w:rsid w:val="00024E1C"/>
    <w:rsid w:val="00025FBD"/>
    <w:rsid w:val="00031373"/>
    <w:rsid w:val="00032119"/>
    <w:rsid w:val="00040088"/>
    <w:rsid w:val="000417FE"/>
    <w:rsid w:val="00041FB3"/>
    <w:rsid w:val="0004459B"/>
    <w:rsid w:val="000503EF"/>
    <w:rsid w:val="00052289"/>
    <w:rsid w:val="00052E72"/>
    <w:rsid w:val="00061B8E"/>
    <w:rsid w:val="000644EF"/>
    <w:rsid w:val="00067DDB"/>
    <w:rsid w:val="000766DA"/>
    <w:rsid w:val="00077EEF"/>
    <w:rsid w:val="00081A2D"/>
    <w:rsid w:val="00081C69"/>
    <w:rsid w:val="00084E89"/>
    <w:rsid w:val="00085E2B"/>
    <w:rsid w:val="00087B8A"/>
    <w:rsid w:val="00090254"/>
    <w:rsid w:val="00093D99"/>
    <w:rsid w:val="000946A5"/>
    <w:rsid w:val="000947FC"/>
    <w:rsid w:val="00094B02"/>
    <w:rsid w:val="000A5527"/>
    <w:rsid w:val="000A6367"/>
    <w:rsid w:val="000A74F6"/>
    <w:rsid w:val="000B315B"/>
    <w:rsid w:val="000B498E"/>
    <w:rsid w:val="000C706D"/>
    <w:rsid w:val="000C745D"/>
    <w:rsid w:val="000C7588"/>
    <w:rsid w:val="000D11C5"/>
    <w:rsid w:val="000D5ABE"/>
    <w:rsid w:val="000E0D52"/>
    <w:rsid w:val="000E10C4"/>
    <w:rsid w:val="000E1EC9"/>
    <w:rsid w:val="000E2F8A"/>
    <w:rsid w:val="000F34E7"/>
    <w:rsid w:val="000F4826"/>
    <w:rsid w:val="000F683C"/>
    <w:rsid w:val="0010041E"/>
    <w:rsid w:val="00101F75"/>
    <w:rsid w:val="001031AD"/>
    <w:rsid w:val="00103281"/>
    <w:rsid w:val="001045F7"/>
    <w:rsid w:val="00106D9C"/>
    <w:rsid w:val="00107928"/>
    <w:rsid w:val="00107F7E"/>
    <w:rsid w:val="00110327"/>
    <w:rsid w:val="001123ED"/>
    <w:rsid w:val="00113360"/>
    <w:rsid w:val="00115A22"/>
    <w:rsid w:val="001178F8"/>
    <w:rsid w:val="00117D61"/>
    <w:rsid w:val="00120960"/>
    <w:rsid w:val="00122778"/>
    <w:rsid w:val="001250CC"/>
    <w:rsid w:val="00130ACD"/>
    <w:rsid w:val="00131B9A"/>
    <w:rsid w:val="00132B25"/>
    <w:rsid w:val="00134816"/>
    <w:rsid w:val="00135E06"/>
    <w:rsid w:val="00137A88"/>
    <w:rsid w:val="0014034B"/>
    <w:rsid w:val="0014035A"/>
    <w:rsid w:val="00140B80"/>
    <w:rsid w:val="00140D7E"/>
    <w:rsid w:val="001414A4"/>
    <w:rsid w:val="00142B40"/>
    <w:rsid w:val="00144DE7"/>
    <w:rsid w:val="00145F08"/>
    <w:rsid w:val="0014698C"/>
    <w:rsid w:val="001506EE"/>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67FF"/>
    <w:rsid w:val="0018702E"/>
    <w:rsid w:val="0019105C"/>
    <w:rsid w:val="001960F6"/>
    <w:rsid w:val="00196910"/>
    <w:rsid w:val="00197B6B"/>
    <w:rsid w:val="00197E94"/>
    <w:rsid w:val="001A0A75"/>
    <w:rsid w:val="001A3CF1"/>
    <w:rsid w:val="001A48DA"/>
    <w:rsid w:val="001A5AF8"/>
    <w:rsid w:val="001A74F6"/>
    <w:rsid w:val="001B16BB"/>
    <w:rsid w:val="001B1B97"/>
    <w:rsid w:val="001B1C8A"/>
    <w:rsid w:val="001B2227"/>
    <w:rsid w:val="001B5268"/>
    <w:rsid w:val="001D3166"/>
    <w:rsid w:val="001D3F07"/>
    <w:rsid w:val="001D56B0"/>
    <w:rsid w:val="001D7FBD"/>
    <w:rsid w:val="001E326A"/>
    <w:rsid w:val="001E5CD8"/>
    <w:rsid w:val="001E5D45"/>
    <w:rsid w:val="001E617C"/>
    <w:rsid w:val="001E7996"/>
    <w:rsid w:val="001F2CB7"/>
    <w:rsid w:val="001F3915"/>
    <w:rsid w:val="001F3DE2"/>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7E5"/>
    <w:rsid w:val="00237DF3"/>
    <w:rsid w:val="002408C6"/>
    <w:rsid w:val="002411AE"/>
    <w:rsid w:val="0024795A"/>
    <w:rsid w:val="00252894"/>
    <w:rsid w:val="00252B85"/>
    <w:rsid w:val="0025332E"/>
    <w:rsid w:val="00256A01"/>
    <w:rsid w:val="00263BB0"/>
    <w:rsid w:val="00271C46"/>
    <w:rsid w:val="00275C48"/>
    <w:rsid w:val="002903E7"/>
    <w:rsid w:val="00290424"/>
    <w:rsid w:val="00296A66"/>
    <w:rsid w:val="00297A6E"/>
    <w:rsid w:val="002A1798"/>
    <w:rsid w:val="002A25CB"/>
    <w:rsid w:val="002A350B"/>
    <w:rsid w:val="002A7716"/>
    <w:rsid w:val="002B338A"/>
    <w:rsid w:val="002B4646"/>
    <w:rsid w:val="002B51B8"/>
    <w:rsid w:val="002B52AE"/>
    <w:rsid w:val="002C01B8"/>
    <w:rsid w:val="002C1B27"/>
    <w:rsid w:val="002C5740"/>
    <w:rsid w:val="002C611F"/>
    <w:rsid w:val="002C74F9"/>
    <w:rsid w:val="002D18C5"/>
    <w:rsid w:val="002D3995"/>
    <w:rsid w:val="002D4514"/>
    <w:rsid w:val="002D70D6"/>
    <w:rsid w:val="002E0F78"/>
    <w:rsid w:val="002E4B4A"/>
    <w:rsid w:val="002E5C8F"/>
    <w:rsid w:val="002E6062"/>
    <w:rsid w:val="002F0853"/>
    <w:rsid w:val="002F4F0F"/>
    <w:rsid w:val="002F61AF"/>
    <w:rsid w:val="002F69F0"/>
    <w:rsid w:val="00300367"/>
    <w:rsid w:val="003013F3"/>
    <w:rsid w:val="003074D7"/>
    <w:rsid w:val="003107AC"/>
    <w:rsid w:val="003139A7"/>
    <w:rsid w:val="003203F5"/>
    <w:rsid w:val="0032154A"/>
    <w:rsid w:val="00321A36"/>
    <w:rsid w:val="00324CE6"/>
    <w:rsid w:val="003269AF"/>
    <w:rsid w:val="00327201"/>
    <w:rsid w:val="003363E6"/>
    <w:rsid w:val="00337864"/>
    <w:rsid w:val="0034108D"/>
    <w:rsid w:val="00341769"/>
    <w:rsid w:val="00344DB9"/>
    <w:rsid w:val="00346681"/>
    <w:rsid w:val="003504F3"/>
    <w:rsid w:val="00351FC5"/>
    <w:rsid w:val="00355585"/>
    <w:rsid w:val="00360EB6"/>
    <w:rsid w:val="0036430B"/>
    <w:rsid w:val="00365E98"/>
    <w:rsid w:val="003674F9"/>
    <w:rsid w:val="00370F13"/>
    <w:rsid w:val="00373BF7"/>
    <w:rsid w:val="0037407A"/>
    <w:rsid w:val="00380184"/>
    <w:rsid w:val="003803AD"/>
    <w:rsid w:val="00382357"/>
    <w:rsid w:val="003922E2"/>
    <w:rsid w:val="0039451A"/>
    <w:rsid w:val="0039489B"/>
    <w:rsid w:val="00394D80"/>
    <w:rsid w:val="00395BE9"/>
    <w:rsid w:val="00396D17"/>
    <w:rsid w:val="003A295E"/>
    <w:rsid w:val="003A3CF3"/>
    <w:rsid w:val="003A4CF9"/>
    <w:rsid w:val="003A712E"/>
    <w:rsid w:val="003B38FB"/>
    <w:rsid w:val="003B3DC7"/>
    <w:rsid w:val="003B3E2B"/>
    <w:rsid w:val="003B6C32"/>
    <w:rsid w:val="003C33F1"/>
    <w:rsid w:val="003C3F94"/>
    <w:rsid w:val="003C4A3E"/>
    <w:rsid w:val="003C712F"/>
    <w:rsid w:val="003D08A9"/>
    <w:rsid w:val="003D32BA"/>
    <w:rsid w:val="003D53B8"/>
    <w:rsid w:val="003D62B9"/>
    <w:rsid w:val="003E2C45"/>
    <w:rsid w:val="003E5A0B"/>
    <w:rsid w:val="003E74EF"/>
    <w:rsid w:val="003F10A6"/>
    <w:rsid w:val="003F1BDF"/>
    <w:rsid w:val="003F5CB5"/>
    <w:rsid w:val="00402817"/>
    <w:rsid w:val="00402826"/>
    <w:rsid w:val="004075F5"/>
    <w:rsid w:val="00410092"/>
    <w:rsid w:val="00410BAE"/>
    <w:rsid w:val="00411A56"/>
    <w:rsid w:val="00414678"/>
    <w:rsid w:val="00414BB5"/>
    <w:rsid w:val="00414CA5"/>
    <w:rsid w:val="00417DFD"/>
    <w:rsid w:val="00435C3A"/>
    <w:rsid w:val="00435C7C"/>
    <w:rsid w:val="00435D2F"/>
    <w:rsid w:val="0043724B"/>
    <w:rsid w:val="004400E5"/>
    <w:rsid w:val="0044083A"/>
    <w:rsid w:val="00445E06"/>
    <w:rsid w:val="00446B63"/>
    <w:rsid w:val="00450601"/>
    <w:rsid w:val="00452B5E"/>
    <w:rsid w:val="004617FD"/>
    <w:rsid w:val="00463295"/>
    <w:rsid w:val="004648C2"/>
    <w:rsid w:val="0046517A"/>
    <w:rsid w:val="0046664D"/>
    <w:rsid w:val="00467007"/>
    <w:rsid w:val="004704AC"/>
    <w:rsid w:val="00473E53"/>
    <w:rsid w:val="004750D9"/>
    <w:rsid w:val="00477D71"/>
    <w:rsid w:val="00480FD8"/>
    <w:rsid w:val="00482F8C"/>
    <w:rsid w:val="00485484"/>
    <w:rsid w:val="00486F63"/>
    <w:rsid w:val="00486FE9"/>
    <w:rsid w:val="00493622"/>
    <w:rsid w:val="00493BD9"/>
    <w:rsid w:val="004958EC"/>
    <w:rsid w:val="00496689"/>
    <w:rsid w:val="004A23FD"/>
    <w:rsid w:val="004A3462"/>
    <w:rsid w:val="004A3E65"/>
    <w:rsid w:val="004A5684"/>
    <w:rsid w:val="004A61C5"/>
    <w:rsid w:val="004B0270"/>
    <w:rsid w:val="004B0F94"/>
    <w:rsid w:val="004B3019"/>
    <w:rsid w:val="004B41BC"/>
    <w:rsid w:val="004B435A"/>
    <w:rsid w:val="004B4408"/>
    <w:rsid w:val="004B7029"/>
    <w:rsid w:val="004B7182"/>
    <w:rsid w:val="004B7696"/>
    <w:rsid w:val="004C2C5B"/>
    <w:rsid w:val="004C4286"/>
    <w:rsid w:val="004C4505"/>
    <w:rsid w:val="004C49D1"/>
    <w:rsid w:val="004C4CD4"/>
    <w:rsid w:val="004D128B"/>
    <w:rsid w:val="004D2B89"/>
    <w:rsid w:val="004D3BD3"/>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D70"/>
    <w:rsid w:val="00510691"/>
    <w:rsid w:val="00511829"/>
    <w:rsid w:val="0052140A"/>
    <w:rsid w:val="0052233E"/>
    <w:rsid w:val="005330F5"/>
    <w:rsid w:val="00533B7B"/>
    <w:rsid w:val="00536744"/>
    <w:rsid w:val="005377EC"/>
    <w:rsid w:val="00540A2F"/>
    <w:rsid w:val="005417AA"/>
    <w:rsid w:val="005426B2"/>
    <w:rsid w:val="00546A74"/>
    <w:rsid w:val="0054738A"/>
    <w:rsid w:val="00552EBC"/>
    <w:rsid w:val="0055305B"/>
    <w:rsid w:val="00554F23"/>
    <w:rsid w:val="00555254"/>
    <w:rsid w:val="00555FCC"/>
    <w:rsid w:val="00557133"/>
    <w:rsid w:val="00562261"/>
    <w:rsid w:val="005643FF"/>
    <w:rsid w:val="00565CBF"/>
    <w:rsid w:val="00566FA5"/>
    <w:rsid w:val="00572CB6"/>
    <w:rsid w:val="00572F46"/>
    <w:rsid w:val="005746F8"/>
    <w:rsid w:val="00574D01"/>
    <w:rsid w:val="005771F8"/>
    <w:rsid w:val="0058174E"/>
    <w:rsid w:val="00583244"/>
    <w:rsid w:val="00585AFC"/>
    <w:rsid w:val="005866AE"/>
    <w:rsid w:val="005920A9"/>
    <w:rsid w:val="00596520"/>
    <w:rsid w:val="005A1CEF"/>
    <w:rsid w:val="005A1F09"/>
    <w:rsid w:val="005B0472"/>
    <w:rsid w:val="005B1F25"/>
    <w:rsid w:val="005B5D81"/>
    <w:rsid w:val="005C11ED"/>
    <w:rsid w:val="005C1992"/>
    <w:rsid w:val="005C30F7"/>
    <w:rsid w:val="005C4677"/>
    <w:rsid w:val="005D0298"/>
    <w:rsid w:val="005D02D4"/>
    <w:rsid w:val="005D38CB"/>
    <w:rsid w:val="005D52D2"/>
    <w:rsid w:val="005D624B"/>
    <w:rsid w:val="005E2672"/>
    <w:rsid w:val="005E26D2"/>
    <w:rsid w:val="005E35FE"/>
    <w:rsid w:val="005E3D6A"/>
    <w:rsid w:val="005E411D"/>
    <w:rsid w:val="005E54F4"/>
    <w:rsid w:val="005E5F4F"/>
    <w:rsid w:val="005F1D6E"/>
    <w:rsid w:val="005F2671"/>
    <w:rsid w:val="005F26C0"/>
    <w:rsid w:val="005F33D2"/>
    <w:rsid w:val="005F50CF"/>
    <w:rsid w:val="005F66C7"/>
    <w:rsid w:val="006045AA"/>
    <w:rsid w:val="00605B5E"/>
    <w:rsid w:val="006061C3"/>
    <w:rsid w:val="00607EF2"/>
    <w:rsid w:val="006121E1"/>
    <w:rsid w:val="00616117"/>
    <w:rsid w:val="00616E49"/>
    <w:rsid w:val="00620025"/>
    <w:rsid w:val="00621049"/>
    <w:rsid w:val="006212B7"/>
    <w:rsid w:val="00621925"/>
    <w:rsid w:val="006249A2"/>
    <w:rsid w:val="00624AF9"/>
    <w:rsid w:val="006266DC"/>
    <w:rsid w:val="00632AB1"/>
    <w:rsid w:val="00632D88"/>
    <w:rsid w:val="0063603E"/>
    <w:rsid w:val="006375B7"/>
    <w:rsid w:val="00642623"/>
    <w:rsid w:val="00642E02"/>
    <w:rsid w:val="00643988"/>
    <w:rsid w:val="00643B15"/>
    <w:rsid w:val="00646A53"/>
    <w:rsid w:val="00646BE7"/>
    <w:rsid w:val="0064777C"/>
    <w:rsid w:val="0065026B"/>
    <w:rsid w:val="00654530"/>
    <w:rsid w:val="00654A86"/>
    <w:rsid w:val="00655FDB"/>
    <w:rsid w:val="00661873"/>
    <w:rsid w:val="00663480"/>
    <w:rsid w:val="006639EE"/>
    <w:rsid w:val="0066459D"/>
    <w:rsid w:val="0067209B"/>
    <w:rsid w:val="006755AD"/>
    <w:rsid w:val="00680634"/>
    <w:rsid w:val="0068091F"/>
    <w:rsid w:val="00681494"/>
    <w:rsid w:val="006822DF"/>
    <w:rsid w:val="0068494E"/>
    <w:rsid w:val="00692F47"/>
    <w:rsid w:val="00696984"/>
    <w:rsid w:val="00697207"/>
    <w:rsid w:val="006A1F86"/>
    <w:rsid w:val="006A268C"/>
    <w:rsid w:val="006A5304"/>
    <w:rsid w:val="006A56AD"/>
    <w:rsid w:val="006A687B"/>
    <w:rsid w:val="006A7958"/>
    <w:rsid w:val="006B2236"/>
    <w:rsid w:val="006B2F52"/>
    <w:rsid w:val="006B30AC"/>
    <w:rsid w:val="006B5D48"/>
    <w:rsid w:val="006C0BE1"/>
    <w:rsid w:val="006C3FC9"/>
    <w:rsid w:val="006C7579"/>
    <w:rsid w:val="006C7836"/>
    <w:rsid w:val="006D1700"/>
    <w:rsid w:val="006D2A1F"/>
    <w:rsid w:val="006D5B81"/>
    <w:rsid w:val="006D656F"/>
    <w:rsid w:val="006D6EF3"/>
    <w:rsid w:val="006E074F"/>
    <w:rsid w:val="006E184B"/>
    <w:rsid w:val="006E4242"/>
    <w:rsid w:val="006E76D1"/>
    <w:rsid w:val="006F155B"/>
    <w:rsid w:val="006F37D8"/>
    <w:rsid w:val="006F3D86"/>
    <w:rsid w:val="006F454B"/>
    <w:rsid w:val="00701464"/>
    <w:rsid w:val="007017D3"/>
    <w:rsid w:val="00706D1D"/>
    <w:rsid w:val="00707C30"/>
    <w:rsid w:val="0071087F"/>
    <w:rsid w:val="007109BA"/>
    <w:rsid w:val="007113B2"/>
    <w:rsid w:val="0071177A"/>
    <w:rsid w:val="00716534"/>
    <w:rsid w:val="00716EF1"/>
    <w:rsid w:val="0071725A"/>
    <w:rsid w:val="0071730D"/>
    <w:rsid w:val="00720047"/>
    <w:rsid w:val="00720819"/>
    <w:rsid w:val="0072136B"/>
    <w:rsid w:val="00726CAD"/>
    <w:rsid w:val="007311ED"/>
    <w:rsid w:val="007318F3"/>
    <w:rsid w:val="007341F9"/>
    <w:rsid w:val="0073571A"/>
    <w:rsid w:val="007370C6"/>
    <w:rsid w:val="007417CF"/>
    <w:rsid w:val="00746921"/>
    <w:rsid w:val="007558C9"/>
    <w:rsid w:val="00755C37"/>
    <w:rsid w:val="007568E0"/>
    <w:rsid w:val="007577C1"/>
    <w:rsid w:val="00762804"/>
    <w:rsid w:val="0077088D"/>
    <w:rsid w:val="00774220"/>
    <w:rsid w:val="00775A71"/>
    <w:rsid w:val="00781F80"/>
    <w:rsid w:val="0078296A"/>
    <w:rsid w:val="00782A12"/>
    <w:rsid w:val="00782F4D"/>
    <w:rsid w:val="007846BF"/>
    <w:rsid w:val="0078502F"/>
    <w:rsid w:val="00785ABB"/>
    <w:rsid w:val="007869F3"/>
    <w:rsid w:val="00790F47"/>
    <w:rsid w:val="007917AA"/>
    <w:rsid w:val="007938ED"/>
    <w:rsid w:val="0079400B"/>
    <w:rsid w:val="00796B49"/>
    <w:rsid w:val="007A1113"/>
    <w:rsid w:val="007A14C4"/>
    <w:rsid w:val="007A5AE1"/>
    <w:rsid w:val="007A649D"/>
    <w:rsid w:val="007B3431"/>
    <w:rsid w:val="007B4962"/>
    <w:rsid w:val="007B4E5A"/>
    <w:rsid w:val="007B5EAD"/>
    <w:rsid w:val="007C0B4D"/>
    <w:rsid w:val="007C0F0F"/>
    <w:rsid w:val="007C285D"/>
    <w:rsid w:val="007C3872"/>
    <w:rsid w:val="007C3CBB"/>
    <w:rsid w:val="007C51D9"/>
    <w:rsid w:val="007C729D"/>
    <w:rsid w:val="007D1C98"/>
    <w:rsid w:val="007D2ADD"/>
    <w:rsid w:val="007D31EA"/>
    <w:rsid w:val="007E05E8"/>
    <w:rsid w:val="007E30F5"/>
    <w:rsid w:val="007E53EF"/>
    <w:rsid w:val="007F167A"/>
    <w:rsid w:val="007F2FCF"/>
    <w:rsid w:val="007F343B"/>
    <w:rsid w:val="007F6AA7"/>
    <w:rsid w:val="00801E9E"/>
    <w:rsid w:val="0080251F"/>
    <w:rsid w:val="00803D80"/>
    <w:rsid w:val="0080527D"/>
    <w:rsid w:val="00806236"/>
    <w:rsid w:val="00816B3A"/>
    <w:rsid w:val="00816B64"/>
    <w:rsid w:val="00817F7F"/>
    <w:rsid w:val="00822E1C"/>
    <w:rsid w:val="0082371F"/>
    <w:rsid w:val="00826323"/>
    <w:rsid w:val="00831CF4"/>
    <w:rsid w:val="00832A1F"/>
    <w:rsid w:val="008339DA"/>
    <w:rsid w:val="008348F6"/>
    <w:rsid w:val="00844F7F"/>
    <w:rsid w:val="00846624"/>
    <w:rsid w:val="0084725D"/>
    <w:rsid w:val="00847D23"/>
    <w:rsid w:val="008505D9"/>
    <w:rsid w:val="00853044"/>
    <w:rsid w:val="00854CA1"/>
    <w:rsid w:val="00856878"/>
    <w:rsid w:val="00860862"/>
    <w:rsid w:val="00863E5E"/>
    <w:rsid w:val="00865DB7"/>
    <w:rsid w:val="0086664D"/>
    <w:rsid w:val="00866AAE"/>
    <w:rsid w:val="00867AE8"/>
    <w:rsid w:val="00867C42"/>
    <w:rsid w:val="008709F0"/>
    <w:rsid w:val="00870A59"/>
    <w:rsid w:val="00871127"/>
    <w:rsid w:val="0087332F"/>
    <w:rsid w:val="00881DD4"/>
    <w:rsid w:val="00886685"/>
    <w:rsid w:val="008908CC"/>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B4923"/>
    <w:rsid w:val="008C067E"/>
    <w:rsid w:val="008C42F1"/>
    <w:rsid w:val="008C625B"/>
    <w:rsid w:val="008C7B76"/>
    <w:rsid w:val="008C7C15"/>
    <w:rsid w:val="008D3527"/>
    <w:rsid w:val="008D3E59"/>
    <w:rsid w:val="008D6F2D"/>
    <w:rsid w:val="008D7BFB"/>
    <w:rsid w:val="008E03C0"/>
    <w:rsid w:val="008E2B2E"/>
    <w:rsid w:val="008E3CEA"/>
    <w:rsid w:val="008E4C5A"/>
    <w:rsid w:val="008F07C2"/>
    <w:rsid w:val="008F3478"/>
    <w:rsid w:val="008F393C"/>
    <w:rsid w:val="008F48B9"/>
    <w:rsid w:val="008F59A7"/>
    <w:rsid w:val="008F74C8"/>
    <w:rsid w:val="009019D5"/>
    <w:rsid w:val="009047E5"/>
    <w:rsid w:val="0090597F"/>
    <w:rsid w:val="00907D42"/>
    <w:rsid w:val="00910744"/>
    <w:rsid w:val="0091299E"/>
    <w:rsid w:val="00913F4A"/>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5209D"/>
    <w:rsid w:val="00955713"/>
    <w:rsid w:val="009567E6"/>
    <w:rsid w:val="00956BB7"/>
    <w:rsid w:val="0095739A"/>
    <w:rsid w:val="0096020D"/>
    <w:rsid w:val="00961DEF"/>
    <w:rsid w:val="0096499E"/>
    <w:rsid w:val="00974729"/>
    <w:rsid w:val="00980CF9"/>
    <w:rsid w:val="00981C17"/>
    <w:rsid w:val="00983A11"/>
    <w:rsid w:val="00990FB6"/>
    <w:rsid w:val="00992815"/>
    <w:rsid w:val="00996002"/>
    <w:rsid w:val="0099624F"/>
    <w:rsid w:val="00997F8F"/>
    <w:rsid w:val="009A0F9A"/>
    <w:rsid w:val="009A4C68"/>
    <w:rsid w:val="009A642E"/>
    <w:rsid w:val="009B072A"/>
    <w:rsid w:val="009B1BC7"/>
    <w:rsid w:val="009B241C"/>
    <w:rsid w:val="009B7261"/>
    <w:rsid w:val="009C0B4D"/>
    <w:rsid w:val="009C3660"/>
    <w:rsid w:val="009C75C4"/>
    <w:rsid w:val="009D107B"/>
    <w:rsid w:val="009D1DF1"/>
    <w:rsid w:val="009E08EB"/>
    <w:rsid w:val="009E2AB8"/>
    <w:rsid w:val="009F14CC"/>
    <w:rsid w:val="009F7B43"/>
    <w:rsid w:val="00A00A78"/>
    <w:rsid w:val="00A01123"/>
    <w:rsid w:val="00A02E1C"/>
    <w:rsid w:val="00A03950"/>
    <w:rsid w:val="00A04DDF"/>
    <w:rsid w:val="00A0778F"/>
    <w:rsid w:val="00A109AE"/>
    <w:rsid w:val="00A125DA"/>
    <w:rsid w:val="00A14F6A"/>
    <w:rsid w:val="00A15605"/>
    <w:rsid w:val="00A17A04"/>
    <w:rsid w:val="00A206E1"/>
    <w:rsid w:val="00A22506"/>
    <w:rsid w:val="00A23973"/>
    <w:rsid w:val="00A263B8"/>
    <w:rsid w:val="00A305FA"/>
    <w:rsid w:val="00A32683"/>
    <w:rsid w:val="00A33753"/>
    <w:rsid w:val="00A338F3"/>
    <w:rsid w:val="00A34053"/>
    <w:rsid w:val="00A40C63"/>
    <w:rsid w:val="00A41148"/>
    <w:rsid w:val="00A41EA1"/>
    <w:rsid w:val="00A4270B"/>
    <w:rsid w:val="00A427C1"/>
    <w:rsid w:val="00A44931"/>
    <w:rsid w:val="00A44F6E"/>
    <w:rsid w:val="00A450AB"/>
    <w:rsid w:val="00A52C67"/>
    <w:rsid w:val="00A55784"/>
    <w:rsid w:val="00A56599"/>
    <w:rsid w:val="00A57F8F"/>
    <w:rsid w:val="00A70836"/>
    <w:rsid w:val="00A708A4"/>
    <w:rsid w:val="00A74790"/>
    <w:rsid w:val="00A763C3"/>
    <w:rsid w:val="00A776A4"/>
    <w:rsid w:val="00A80425"/>
    <w:rsid w:val="00A81222"/>
    <w:rsid w:val="00A83F55"/>
    <w:rsid w:val="00A86BF0"/>
    <w:rsid w:val="00A87E49"/>
    <w:rsid w:val="00A92346"/>
    <w:rsid w:val="00A964DC"/>
    <w:rsid w:val="00AA089E"/>
    <w:rsid w:val="00AA2ACA"/>
    <w:rsid w:val="00AA5134"/>
    <w:rsid w:val="00AA6804"/>
    <w:rsid w:val="00AA7F13"/>
    <w:rsid w:val="00AB1A19"/>
    <w:rsid w:val="00AB2F1A"/>
    <w:rsid w:val="00AB357E"/>
    <w:rsid w:val="00AB5AE6"/>
    <w:rsid w:val="00AC6A9D"/>
    <w:rsid w:val="00AC7509"/>
    <w:rsid w:val="00AD05E0"/>
    <w:rsid w:val="00AD0944"/>
    <w:rsid w:val="00AD1103"/>
    <w:rsid w:val="00AD294E"/>
    <w:rsid w:val="00AD2C6D"/>
    <w:rsid w:val="00AD33A2"/>
    <w:rsid w:val="00AD3B0F"/>
    <w:rsid w:val="00AD3FEB"/>
    <w:rsid w:val="00AD4838"/>
    <w:rsid w:val="00AD7400"/>
    <w:rsid w:val="00AE0817"/>
    <w:rsid w:val="00AE1220"/>
    <w:rsid w:val="00AE2C50"/>
    <w:rsid w:val="00AE4DDE"/>
    <w:rsid w:val="00AE5157"/>
    <w:rsid w:val="00AE5E67"/>
    <w:rsid w:val="00AE7588"/>
    <w:rsid w:val="00AF1E39"/>
    <w:rsid w:val="00AF5B5B"/>
    <w:rsid w:val="00AF7520"/>
    <w:rsid w:val="00B00C5B"/>
    <w:rsid w:val="00B01570"/>
    <w:rsid w:val="00B01953"/>
    <w:rsid w:val="00B04F95"/>
    <w:rsid w:val="00B05045"/>
    <w:rsid w:val="00B05BA1"/>
    <w:rsid w:val="00B07787"/>
    <w:rsid w:val="00B10928"/>
    <w:rsid w:val="00B131C6"/>
    <w:rsid w:val="00B1345D"/>
    <w:rsid w:val="00B1454A"/>
    <w:rsid w:val="00B200F0"/>
    <w:rsid w:val="00B21B4F"/>
    <w:rsid w:val="00B21E45"/>
    <w:rsid w:val="00B2394B"/>
    <w:rsid w:val="00B24407"/>
    <w:rsid w:val="00B24FBB"/>
    <w:rsid w:val="00B30309"/>
    <w:rsid w:val="00B316D3"/>
    <w:rsid w:val="00B33A78"/>
    <w:rsid w:val="00B342BD"/>
    <w:rsid w:val="00B3602F"/>
    <w:rsid w:val="00B36412"/>
    <w:rsid w:val="00B377CF"/>
    <w:rsid w:val="00B4223D"/>
    <w:rsid w:val="00B426FB"/>
    <w:rsid w:val="00B47737"/>
    <w:rsid w:val="00B47EFE"/>
    <w:rsid w:val="00B506AF"/>
    <w:rsid w:val="00B51E5D"/>
    <w:rsid w:val="00B52687"/>
    <w:rsid w:val="00B52A9C"/>
    <w:rsid w:val="00B53580"/>
    <w:rsid w:val="00B5485C"/>
    <w:rsid w:val="00B562AD"/>
    <w:rsid w:val="00B56EE8"/>
    <w:rsid w:val="00B5772D"/>
    <w:rsid w:val="00B60824"/>
    <w:rsid w:val="00B6339B"/>
    <w:rsid w:val="00B639B3"/>
    <w:rsid w:val="00B647B2"/>
    <w:rsid w:val="00B66500"/>
    <w:rsid w:val="00B7082B"/>
    <w:rsid w:val="00B72BDE"/>
    <w:rsid w:val="00B740A8"/>
    <w:rsid w:val="00B76586"/>
    <w:rsid w:val="00B76954"/>
    <w:rsid w:val="00B76C4B"/>
    <w:rsid w:val="00B82071"/>
    <w:rsid w:val="00B83E9C"/>
    <w:rsid w:val="00B83F34"/>
    <w:rsid w:val="00B90506"/>
    <w:rsid w:val="00B91943"/>
    <w:rsid w:val="00B93D8B"/>
    <w:rsid w:val="00B93EBA"/>
    <w:rsid w:val="00BA4C18"/>
    <w:rsid w:val="00BA4C95"/>
    <w:rsid w:val="00BA5DA8"/>
    <w:rsid w:val="00BB0F33"/>
    <w:rsid w:val="00BB231E"/>
    <w:rsid w:val="00BB2765"/>
    <w:rsid w:val="00BB650C"/>
    <w:rsid w:val="00BB6B96"/>
    <w:rsid w:val="00BC0673"/>
    <w:rsid w:val="00BC27F5"/>
    <w:rsid w:val="00BC2917"/>
    <w:rsid w:val="00BC3292"/>
    <w:rsid w:val="00BC3C0F"/>
    <w:rsid w:val="00BC3FB2"/>
    <w:rsid w:val="00BC4F40"/>
    <w:rsid w:val="00BD1513"/>
    <w:rsid w:val="00BD1D48"/>
    <w:rsid w:val="00BD76AD"/>
    <w:rsid w:val="00BE07C9"/>
    <w:rsid w:val="00BE2032"/>
    <w:rsid w:val="00BE31F3"/>
    <w:rsid w:val="00BE44DA"/>
    <w:rsid w:val="00BE5AF6"/>
    <w:rsid w:val="00BE612F"/>
    <w:rsid w:val="00BE6D8D"/>
    <w:rsid w:val="00BE6E30"/>
    <w:rsid w:val="00BF1924"/>
    <w:rsid w:val="00BF1E6A"/>
    <w:rsid w:val="00BF2C6F"/>
    <w:rsid w:val="00BF3913"/>
    <w:rsid w:val="00BF595B"/>
    <w:rsid w:val="00C01723"/>
    <w:rsid w:val="00C01865"/>
    <w:rsid w:val="00C01E85"/>
    <w:rsid w:val="00C0646D"/>
    <w:rsid w:val="00C07A6E"/>
    <w:rsid w:val="00C07C09"/>
    <w:rsid w:val="00C10C59"/>
    <w:rsid w:val="00C10D52"/>
    <w:rsid w:val="00C11CC0"/>
    <w:rsid w:val="00C15A3F"/>
    <w:rsid w:val="00C16D5E"/>
    <w:rsid w:val="00C1758F"/>
    <w:rsid w:val="00C17BDA"/>
    <w:rsid w:val="00C17DB1"/>
    <w:rsid w:val="00C21849"/>
    <w:rsid w:val="00C22B41"/>
    <w:rsid w:val="00C261A5"/>
    <w:rsid w:val="00C2675D"/>
    <w:rsid w:val="00C27581"/>
    <w:rsid w:val="00C31837"/>
    <w:rsid w:val="00C33409"/>
    <w:rsid w:val="00C33656"/>
    <w:rsid w:val="00C353C9"/>
    <w:rsid w:val="00C35BAC"/>
    <w:rsid w:val="00C407AA"/>
    <w:rsid w:val="00C43420"/>
    <w:rsid w:val="00C47BBF"/>
    <w:rsid w:val="00C51352"/>
    <w:rsid w:val="00C52F26"/>
    <w:rsid w:val="00C535FA"/>
    <w:rsid w:val="00C55417"/>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92E01"/>
    <w:rsid w:val="00C970EA"/>
    <w:rsid w:val="00CA1230"/>
    <w:rsid w:val="00CA1AB8"/>
    <w:rsid w:val="00CA293B"/>
    <w:rsid w:val="00CA47A1"/>
    <w:rsid w:val="00CA4C88"/>
    <w:rsid w:val="00CA5594"/>
    <w:rsid w:val="00CA5A90"/>
    <w:rsid w:val="00CA6AD9"/>
    <w:rsid w:val="00CA6CBD"/>
    <w:rsid w:val="00CA6F4D"/>
    <w:rsid w:val="00CB08DC"/>
    <w:rsid w:val="00CB146A"/>
    <w:rsid w:val="00CB2A6E"/>
    <w:rsid w:val="00CB30DF"/>
    <w:rsid w:val="00CB4D1D"/>
    <w:rsid w:val="00CB5475"/>
    <w:rsid w:val="00CB5EDD"/>
    <w:rsid w:val="00CB65DE"/>
    <w:rsid w:val="00CC0DA5"/>
    <w:rsid w:val="00CC0F06"/>
    <w:rsid w:val="00CC1844"/>
    <w:rsid w:val="00CC311A"/>
    <w:rsid w:val="00CC3198"/>
    <w:rsid w:val="00CC41EA"/>
    <w:rsid w:val="00CC4CCA"/>
    <w:rsid w:val="00CC4E75"/>
    <w:rsid w:val="00CC7BCB"/>
    <w:rsid w:val="00CD1936"/>
    <w:rsid w:val="00CD4839"/>
    <w:rsid w:val="00CD6637"/>
    <w:rsid w:val="00CD7077"/>
    <w:rsid w:val="00CE1E69"/>
    <w:rsid w:val="00CE1F64"/>
    <w:rsid w:val="00CE39BC"/>
    <w:rsid w:val="00CE3D10"/>
    <w:rsid w:val="00CE4FB1"/>
    <w:rsid w:val="00CE6271"/>
    <w:rsid w:val="00CF1946"/>
    <w:rsid w:val="00CF2FE1"/>
    <w:rsid w:val="00CF4100"/>
    <w:rsid w:val="00CF555F"/>
    <w:rsid w:val="00CF5A98"/>
    <w:rsid w:val="00CF6CA7"/>
    <w:rsid w:val="00CF7322"/>
    <w:rsid w:val="00D00083"/>
    <w:rsid w:val="00D01DC2"/>
    <w:rsid w:val="00D0698E"/>
    <w:rsid w:val="00D07C19"/>
    <w:rsid w:val="00D10FF1"/>
    <w:rsid w:val="00D13078"/>
    <w:rsid w:val="00D135CB"/>
    <w:rsid w:val="00D144E0"/>
    <w:rsid w:val="00D20F9A"/>
    <w:rsid w:val="00D222DD"/>
    <w:rsid w:val="00D22638"/>
    <w:rsid w:val="00D2298A"/>
    <w:rsid w:val="00D24016"/>
    <w:rsid w:val="00D24856"/>
    <w:rsid w:val="00D26219"/>
    <w:rsid w:val="00D30546"/>
    <w:rsid w:val="00D32522"/>
    <w:rsid w:val="00D43DA5"/>
    <w:rsid w:val="00D43DC9"/>
    <w:rsid w:val="00D47105"/>
    <w:rsid w:val="00D51E28"/>
    <w:rsid w:val="00D527AC"/>
    <w:rsid w:val="00D53ADE"/>
    <w:rsid w:val="00D541D7"/>
    <w:rsid w:val="00D54708"/>
    <w:rsid w:val="00D5478D"/>
    <w:rsid w:val="00D611D0"/>
    <w:rsid w:val="00D636F8"/>
    <w:rsid w:val="00D65A2C"/>
    <w:rsid w:val="00D709CE"/>
    <w:rsid w:val="00D727AE"/>
    <w:rsid w:val="00D82F44"/>
    <w:rsid w:val="00D85C6E"/>
    <w:rsid w:val="00D9074C"/>
    <w:rsid w:val="00D90A43"/>
    <w:rsid w:val="00D9577D"/>
    <w:rsid w:val="00D95B3C"/>
    <w:rsid w:val="00D96822"/>
    <w:rsid w:val="00D97A7E"/>
    <w:rsid w:val="00DA11B4"/>
    <w:rsid w:val="00DA2467"/>
    <w:rsid w:val="00DB0AF7"/>
    <w:rsid w:val="00DB1DB2"/>
    <w:rsid w:val="00DB1F33"/>
    <w:rsid w:val="00DB2DC7"/>
    <w:rsid w:val="00DB32DE"/>
    <w:rsid w:val="00DC0FA2"/>
    <w:rsid w:val="00DC1060"/>
    <w:rsid w:val="00DC1894"/>
    <w:rsid w:val="00DC414C"/>
    <w:rsid w:val="00DC48CC"/>
    <w:rsid w:val="00DC774C"/>
    <w:rsid w:val="00DD4FE6"/>
    <w:rsid w:val="00DE009E"/>
    <w:rsid w:val="00DE0140"/>
    <w:rsid w:val="00DE5640"/>
    <w:rsid w:val="00DE63E4"/>
    <w:rsid w:val="00DE746C"/>
    <w:rsid w:val="00DF094D"/>
    <w:rsid w:val="00DF0CBA"/>
    <w:rsid w:val="00DF0D8F"/>
    <w:rsid w:val="00DF1678"/>
    <w:rsid w:val="00DF2030"/>
    <w:rsid w:val="00DF2F91"/>
    <w:rsid w:val="00DF34A2"/>
    <w:rsid w:val="00DF35C4"/>
    <w:rsid w:val="00DF3E0F"/>
    <w:rsid w:val="00DF6B25"/>
    <w:rsid w:val="00DF6C62"/>
    <w:rsid w:val="00DF7042"/>
    <w:rsid w:val="00E0469B"/>
    <w:rsid w:val="00E07657"/>
    <w:rsid w:val="00E07F44"/>
    <w:rsid w:val="00E11322"/>
    <w:rsid w:val="00E15503"/>
    <w:rsid w:val="00E21315"/>
    <w:rsid w:val="00E23AE9"/>
    <w:rsid w:val="00E24CB3"/>
    <w:rsid w:val="00E25C18"/>
    <w:rsid w:val="00E267AB"/>
    <w:rsid w:val="00E33485"/>
    <w:rsid w:val="00E36490"/>
    <w:rsid w:val="00E37F70"/>
    <w:rsid w:val="00E40269"/>
    <w:rsid w:val="00E45CEA"/>
    <w:rsid w:val="00E47733"/>
    <w:rsid w:val="00E52B6C"/>
    <w:rsid w:val="00E55B19"/>
    <w:rsid w:val="00E632E3"/>
    <w:rsid w:val="00E63CEB"/>
    <w:rsid w:val="00E64ADD"/>
    <w:rsid w:val="00E64E03"/>
    <w:rsid w:val="00E71AF6"/>
    <w:rsid w:val="00E71B68"/>
    <w:rsid w:val="00E722C9"/>
    <w:rsid w:val="00E72F2D"/>
    <w:rsid w:val="00E74327"/>
    <w:rsid w:val="00E76971"/>
    <w:rsid w:val="00E8671C"/>
    <w:rsid w:val="00E87344"/>
    <w:rsid w:val="00E90D2C"/>
    <w:rsid w:val="00E91249"/>
    <w:rsid w:val="00E92E5D"/>
    <w:rsid w:val="00E954FC"/>
    <w:rsid w:val="00EA0D21"/>
    <w:rsid w:val="00EA0FB3"/>
    <w:rsid w:val="00EA3CCA"/>
    <w:rsid w:val="00EA3F24"/>
    <w:rsid w:val="00EA3F60"/>
    <w:rsid w:val="00EA7370"/>
    <w:rsid w:val="00EB1085"/>
    <w:rsid w:val="00EB4630"/>
    <w:rsid w:val="00EB4F41"/>
    <w:rsid w:val="00EB584D"/>
    <w:rsid w:val="00EC192F"/>
    <w:rsid w:val="00EC34A9"/>
    <w:rsid w:val="00EC6C43"/>
    <w:rsid w:val="00EC7B1D"/>
    <w:rsid w:val="00ED0DAE"/>
    <w:rsid w:val="00ED161F"/>
    <w:rsid w:val="00ED1828"/>
    <w:rsid w:val="00ED2BE3"/>
    <w:rsid w:val="00ED3B28"/>
    <w:rsid w:val="00ED503B"/>
    <w:rsid w:val="00EE0100"/>
    <w:rsid w:val="00EE10A7"/>
    <w:rsid w:val="00EE241E"/>
    <w:rsid w:val="00EE2EF8"/>
    <w:rsid w:val="00EE6B87"/>
    <w:rsid w:val="00EF14B6"/>
    <w:rsid w:val="00EF164F"/>
    <w:rsid w:val="00EF3E01"/>
    <w:rsid w:val="00EF7932"/>
    <w:rsid w:val="00F00AA0"/>
    <w:rsid w:val="00F01624"/>
    <w:rsid w:val="00F01C57"/>
    <w:rsid w:val="00F04BAC"/>
    <w:rsid w:val="00F1499F"/>
    <w:rsid w:val="00F17C22"/>
    <w:rsid w:val="00F17EF3"/>
    <w:rsid w:val="00F2002F"/>
    <w:rsid w:val="00F21F68"/>
    <w:rsid w:val="00F23615"/>
    <w:rsid w:val="00F26A69"/>
    <w:rsid w:val="00F31DD9"/>
    <w:rsid w:val="00F324C7"/>
    <w:rsid w:val="00F33B3F"/>
    <w:rsid w:val="00F33CF3"/>
    <w:rsid w:val="00F34463"/>
    <w:rsid w:val="00F369D3"/>
    <w:rsid w:val="00F37D9D"/>
    <w:rsid w:val="00F43256"/>
    <w:rsid w:val="00F4372D"/>
    <w:rsid w:val="00F43B0C"/>
    <w:rsid w:val="00F46D38"/>
    <w:rsid w:val="00F507B4"/>
    <w:rsid w:val="00F51E1F"/>
    <w:rsid w:val="00F536E3"/>
    <w:rsid w:val="00F541B8"/>
    <w:rsid w:val="00F55401"/>
    <w:rsid w:val="00F55EC7"/>
    <w:rsid w:val="00F55FCC"/>
    <w:rsid w:val="00F56987"/>
    <w:rsid w:val="00F5754B"/>
    <w:rsid w:val="00F60335"/>
    <w:rsid w:val="00F637F3"/>
    <w:rsid w:val="00F63F00"/>
    <w:rsid w:val="00F640A3"/>
    <w:rsid w:val="00F64834"/>
    <w:rsid w:val="00F67E27"/>
    <w:rsid w:val="00F70195"/>
    <w:rsid w:val="00F708E2"/>
    <w:rsid w:val="00F72D0B"/>
    <w:rsid w:val="00F77FF0"/>
    <w:rsid w:val="00F80E53"/>
    <w:rsid w:val="00F82528"/>
    <w:rsid w:val="00F83A89"/>
    <w:rsid w:val="00F86DCE"/>
    <w:rsid w:val="00F86EDD"/>
    <w:rsid w:val="00F87DB8"/>
    <w:rsid w:val="00F905E1"/>
    <w:rsid w:val="00FA096B"/>
    <w:rsid w:val="00FA0D8D"/>
    <w:rsid w:val="00FA20A2"/>
    <w:rsid w:val="00FB0C49"/>
    <w:rsid w:val="00FB5D12"/>
    <w:rsid w:val="00FC04B6"/>
    <w:rsid w:val="00FC177E"/>
    <w:rsid w:val="00FC1A7F"/>
    <w:rsid w:val="00FC2B0D"/>
    <w:rsid w:val="00FC3B60"/>
    <w:rsid w:val="00FC4A09"/>
    <w:rsid w:val="00FC554C"/>
    <w:rsid w:val="00FC74B4"/>
    <w:rsid w:val="00FD01C1"/>
    <w:rsid w:val="00FD4F09"/>
    <w:rsid w:val="00FD607C"/>
    <w:rsid w:val="00FD7B90"/>
    <w:rsid w:val="00FD7F8A"/>
    <w:rsid w:val="00FE05FB"/>
    <w:rsid w:val="00FE1043"/>
    <w:rsid w:val="00FE22FA"/>
    <w:rsid w:val="00FE35C9"/>
    <w:rsid w:val="00FE39F5"/>
    <w:rsid w:val="00FE6025"/>
    <w:rsid w:val="00FE6435"/>
    <w:rsid w:val="00FE6E7A"/>
    <w:rsid w:val="00FF0A8F"/>
    <w:rsid w:val="00FF1239"/>
    <w:rsid w:val="00FF15F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F937CBE5-74AC-44E9-8C7D-686326CD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328_2009.html" TargetMode="Externa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72DD-F471-416F-A2C8-2089C3C8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26</Pages>
  <Words>11929</Words>
  <Characters>65610</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38</cp:revision>
  <cp:lastPrinted>2019-05-22T13:23:00Z</cp:lastPrinted>
  <dcterms:created xsi:type="dcterms:W3CDTF">2019-05-08T12:56:00Z</dcterms:created>
  <dcterms:modified xsi:type="dcterms:W3CDTF">2019-07-02T21:39:00Z</dcterms:modified>
</cp:coreProperties>
</file>