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A576" w14:textId="77777777" w:rsidR="00091C6F" w:rsidRPr="00091C6F" w:rsidRDefault="00091C6F" w:rsidP="00091C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091C6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EA9642" w14:textId="77777777" w:rsidR="00091C6F" w:rsidRPr="00091C6F" w:rsidRDefault="00091C6F" w:rsidP="00091C6F">
      <w:pPr>
        <w:jc w:val="both"/>
        <w:rPr>
          <w:rFonts w:ascii="Arial" w:hAnsi="Arial" w:cs="Arial"/>
          <w:sz w:val="20"/>
          <w:lang w:val="es-419"/>
        </w:rPr>
      </w:pPr>
    </w:p>
    <w:p w14:paraId="5AD79859" w14:textId="77777777" w:rsidR="00091C6F" w:rsidRPr="00091C6F" w:rsidRDefault="00091C6F" w:rsidP="00091C6F">
      <w:pPr>
        <w:jc w:val="both"/>
        <w:rPr>
          <w:rFonts w:ascii="Arial" w:hAnsi="Arial" w:cs="Arial"/>
          <w:sz w:val="20"/>
          <w:lang w:val="es-419"/>
        </w:rPr>
      </w:pPr>
      <w:r w:rsidRPr="00091C6F">
        <w:rPr>
          <w:rFonts w:ascii="Arial" w:hAnsi="Arial" w:cs="Arial"/>
          <w:sz w:val="20"/>
          <w:lang w:val="es-419"/>
        </w:rPr>
        <w:t>Providencia:</w:t>
      </w:r>
      <w:r w:rsidRPr="00091C6F">
        <w:rPr>
          <w:rFonts w:ascii="Arial" w:hAnsi="Arial" w:cs="Arial"/>
          <w:sz w:val="20"/>
          <w:lang w:val="es-419"/>
        </w:rPr>
        <w:tab/>
      </w:r>
      <w:r w:rsidRPr="00091C6F">
        <w:rPr>
          <w:rFonts w:ascii="Arial" w:hAnsi="Arial" w:cs="Arial"/>
          <w:sz w:val="20"/>
          <w:lang w:val="es-419"/>
        </w:rPr>
        <w:tab/>
        <w:t xml:space="preserve">Apelación sentencia </w:t>
      </w:r>
    </w:p>
    <w:p w14:paraId="1BFC68FF" w14:textId="77777777" w:rsidR="00091C6F" w:rsidRPr="00091C6F" w:rsidRDefault="00091C6F" w:rsidP="00091C6F">
      <w:pPr>
        <w:jc w:val="both"/>
        <w:rPr>
          <w:rFonts w:ascii="Arial" w:hAnsi="Arial" w:cs="Arial"/>
          <w:sz w:val="20"/>
          <w:lang w:val="es-419"/>
        </w:rPr>
      </w:pPr>
      <w:r w:rsidRPr="00091C6F">
        <w:rPr>
          <w:rFonts w:ascii="Arial" w:hAnsi="Arial" w:cs="Arial"/>
          <w:sz w:val="20"/>
          <w:lang w:val="es-419"/>
        </w:rPr>
        <w:t>Proceso:</w:t>
      </w:r>
      <w:r w:rsidRPr="00091C6F">
        <w:rPr>
          <w:rFonts w:ascii="Arial" w:hAnsi="Arial" w:cs="Arial"/>
          <w:sz w:val="20"/>
          <w:lang w:val="es-419"/>
        </w:rPr>
        <w:tab/>
      </w:r>
      <w:r w:rsidRPr="00091C6F">
        <w:rPr>
          <w:rFonts w:ascii="Arial" w:hAnsi="Arial" w:cs="Arial"/>
          <w:sz w:val="20"/>
          <w:lang w:val="es-419"/>
        </w:rPr>
        <w:tab/>
        <w:t xml:space="preserve">Ordinario Laboral </w:t>
      </w:r>
    </w:p>
    <w:p w14:paraId="3D54D03C" w14:textId="77777777" w:rsidR="00091C6F" w:rsidRPr="00091C6F" w:rsidRDefault="00091C6F" w:rsidP="00091C6F">
      <w:pPr>
        <w:jc w:val="both"/>
        <w:rPr>
          <w:rFonts w:ascii="Arial" w:hAnsi="Arial" w:cs="Arial"/>
          <w:sz w:val="20"/>
          <w:lang w:val="es-419"/>
        </w:rPr>
      </w:pPr>
      <w:r w:rsidRPr="00091C6F">
        <w:rPr>
          <w:rFonts w:ascii="Arial" w:hAnsi="Arial" w:cs="Arial"/>
          <w:sz w:val="20"/>
          <w:lang w:val="es-419"/>
        </w:rPr>
        <w:t>Radicación No:</w:t>
      </w:r>
      <w:r w:rsidRPr="00091C6F">
        <w:rPr>
          <w:rFonts w:ascii="Arial" w:hAnsi="Arial" w:cs="Arial"/>
          <w:sz w:val="20"/>
          <w:lang w:val="es-419"/>
        </w:rPr>
        <w:tab/>
      </w:r>
      <w:r w:rsidRPr="00091C6F">
        <w:rPr>
          <w:rFonts w:ascii="Arial" w:hAnsi="Arial" w:cs="Arial"/>
          <w:sz w:val="20"/>
          <w:lang w:val="es-419"/>
        </w:rPr>
        <w:tab/>
        <w:t>66001-31-05-005-2017-00433-01</w:t>
      </w:r>
    </w:p>
    <w:p w14:paraId="79C56037" w14:textId="38D87595" w:rsidR="00091C6F" w:rsidRPr="00091C6F" w:rsidRDefault="00091C6F" w:rsidP="00091C6F">
      <w:pPr>
        <w:jc w:val="both"/>
        <w:rPr>
          <w:rFonts w:ascii="Arial" w:hAnsi="Arial" w:cs="Arial"/>
          <w:sz w:val="20"/>
          <w:lang w:val="es-419"/>
        </w:rPr>
      </w:pPr>
      <w:r w:rsidRPr="00091C6F">
        <w:rPr>
          <w:rFonts w:ascii="Arial" w:hAnsi="Arial" w:cs="Arial"/>
          <w:sz w:val="20"/>
          <w:lang w:val="es-419"/>
        </w:rPr>
        <w:t xml:space="preserve">Demandante:     </w:t>
      </w:r>
      <w:r w:rsidRPr="00091C6F">
        <w:rPr>
          <w:rFonts w:ascii="Arial" w:hAnsi="Arial" w:cs="Arial"/>
          <w:sz w:val="20"/>
          <w:lang w:val="es-419"/>
        </w:rPr>
        <w:tab/>
        <w:t>Héctor Fabio Zapata Calderón</w:t>
      </w:r>
    </w:p>
    <w:p w14:paraId="240916B1" w14:textId="77777777" w:rsidR="00091C6F" w:rsidRPr="00091C6F" w:rsidRDefault="00091C6F" w:rsidP="00091C6F">
      <w:pPr>
        <w:jc w:val="both"/>
        <w:rPr>
          <w:rFonts w:ascii="Arial" w:hAnsi="Arial" w:cs="Arial"/>
          <w:sz w:val="20"/>
          <w:lang w:val="es-419"/>
        </w:rPr>
      </w:pPr>
      <w:r w:rsidRPr="00091C6F">
        <w:rPr>
          <w:rFonts w:ascii="Arial" w:hAnsi="Arial" w:cs="Arial"/>
          <w:sz w:val="20"/>
          <w:lang w:val="es-419"/>
        </w:rPr>
        <w:t>Demandado:</w:t>
      </w:r>
      <w:r w:rsidRPr="00091C6F">
        <w:rPr>
          <w:rFonts w:ascii="Arial" w:hAnsi="Arial" w:cs="Arial"/>
          <w:sz w:val="20"/>
          <w:lang w:val="es-419"/>
        </w:rPr>
        <w:tab/>
      </w:r>
      <w:r w:rsidRPr="00091C6F">
        <w:rPr>
          <w:rFonts w:ascii="Arial" w:hAnsi="Arial" w:cs="Arial"/>
          <w:sz w:val="20"/>
          <w:lang w:val="es-419"/>
        </w:rPr>
        <w:tab/>
        <w:t>Colpensiones y Protección S.A.</w:t>
      </w:r>
    </w:p>
    <w:p w14:paraId="05931528" w14:textId="0BB84FC2" w:rsidR="00091C6F" w:rsidRPr="00091C6F" w:rsidRDefault="00091C6F" w:rsidP="00091C6F">
      <w:pPr>
        <w:jc w:val="both"/>
        <w:rPr>
          <w:rFonts w:ascii="Arial" w:hAnsi="Arial" w:cs="Arial"/>
          <w:sz w:val="20"/>
          <w:lang w:val="es-419"/>
        </w:rPr>
      </w:pPr>
      <w:r w:rsidRPr="00091C6F">
        <w:rPr>
          <w:rFonts w:ascii="Arial" w:hAnsi="Arial" w:cs="Arial"/>
          <w:sz w:val="20"/>
          <w:lang w:val="es-419"/>
        </w:rPr>
        <w:t xml:space="preserve">Juzgado de origen:    </w:t>
      </w:r>
      <w:r w:rsidRPr="00091C6F">
        <w:rPr>
          <w:rFonts w:ascii="Arial" w:hAnsi="Arial" w:cs="Arial"/>
          <w:sz w:val="20"/>
          <w:lang w:val="es-419"/>
        </w:rPr>
        <w:tab/>
        <w:t>Quinto Laboral del Circuito de Pereira.</w:t>
      </w:r>
    </w:p>
    <w:p w14:paraId="769F5554" w14:textId="77777777" w:rsidR="00091C6F" w:rsidRPr="00091C6F" w:rsidRDefault="00091C6F" w:rsidP="00091C6F">
      <w:pPr>
        <w:jc w:val="both"/>
        <w:rPr>
          <w:rFonts w:ascii="Arial" w:hAnsi="Arial" w:cs="Arial"/>
          <w:sz w:val="20"/>
          <w:lang w:val="es-419"/>
        </w:rPr>
      </w:pPr>
    </w:p>
    <w:p w14:paraId="2044A3A5" w14:textId="77777777" w:rsidR="00A740E9" w:rsidRPr="00E642AD" w:rsidRDefault="00091C6F" w:rsidP="00A740E9">
      <w:pPr>
        <w:jc w:val="both"/>
        <w:rPr>
          <w:rFonts w:ascii="Arial" w:hAnsi="Arial" w:cs="Arial"/>
          <w:b/>
          <w:bCs/>
          <w:iCs/>
          <w:sz w:val="20"/>
          <w:lang w:val="es-CO" w:eastAsia="fr-FR"/>
        </w:rPr>
      </w:pPr>
      <w:r w:rsidRPr="00091C6F">
        <w:rPr>
          <w:rFonts w:ascii="Arial" w:hAnsi="Arial" w:cs="Arial"/>
          <w:b/>
          <w:bCs/>
          <w:iCs/>
          <w:sz w:val="20"/>
          <w:lang w:val="es-419" w:eastAsia="fr-FR"/>
        </w:rPr>
        <w:t>TEMAS:</w:t>
      </w:r>
      <w:r w:rsidRPr="00091C6F">
        <w:rPr>
          <w:rFonts w:ascii="Arial" w:hAnsi="Arial" w:cs="Arial"/>
          <w:b/>
          <w:bCs/>
          <w:iCs/>
          <w:sz w:val="20"/>
          <w:lang w:val="es-419" w:eastAsia="fr-FR"/>
        </w:rPr>
        <w:tab/>
      </w:r>
      <w:r w:rsidR="00A740E9" w:rsidRPr="00E642AD">
        <w:rPr>
          <w:rFonts w:ascii="Arial" w:hAnsi="Arial" w:cs="Arial"/>
          <w:b/>
          <w:sz w:val="20"/>
          <w:lang w:val="es-419"/>
        </w:rPr>
        <w:t xml:space="preserve">INEFICACIA DEL TRASLADO DE RÉGIMEN PENSIONAL / </w:t>
      </w:r>
      <w:r w:rsidR="00A740E9" w:rsidRPr="00E642AD">
        <w:rPr>
          <w:rFonts w:ascii="Arial" w:hAnsi="Arial" w:cs="Arial"/>
          <w:b/>
          <w:sz w:val="20"/>
          <w:lang w:val="es-CO"/>
        </w:rPr>
        <w:t>CARGA PROBATORIA DEL DEMANDANTE / ANÁLISIS DE LAS SENTENCIAS SL4964 DEL 14/11/2018, SL1452 DEL 03/04/2019 Y SL1688 DEL 08/05/2019</w:t>
      </w:r>
      <w:r w:rsidR="00A740E9" w:rsidRPr="00E642AD">
        <w:rPr>
          <w:rFonts w:ascii="Arial" w:hAnsi="Arial" w:cs="Arial"/>
          <w:b/>
          <w:sz w:val="20"/>
          <w:lang w:val="es-419"/>
        </w:rPr>
        <w:t xml:space="preserve"> / </w:t>
      </w:r>
      <w:r w:rsidR="00A740E9">
        <w:rPr>
          <w:rFonts w:ascii="Arial" w:hAnsi="Arial" w:cs="Arial"/>
          <w:b/>
          <w:sz w:val="20"/>
          <w:lang w:val="es-CO"/>
        </w:rPr>
        <w:t>MANTIENE LA SALA MAYORITARIA LA POSICIÓN DE QUE INCUMBE AL DEMANDANTE PROBAR QUE LA AFP INCUMPLIÓ SU DEBER DE BRINDARLE INFORMACIÓN ADECUADA, COMPLETA Y VERAZ.</w:t>
      </w:r>
    </w:p>
    <w:p w14:paraId="0446A851" w14:textId="77777777" w:rsidR="00A740E9" w:rsidRPr="00A9021B" w:rsidRDefault="00A740E9" w:rsidP="00A740E9">
      <w:pPr>
        <w:jc w:val="both"/>
        <w:rPr>
          <w:rFonts w:ascii="Arial" w:hAnsi="Arial" w:cs="Arial"/>
          <w:sz w:val="20"/>
          <w:lang w:val="es-419"/>
        </w:rPr>
      </w:pPr>
    </w:p>
    <w:p w14:paraId="25B3E7D2" w14:textId="77777777" w:rsidR="00A740E9" w:rsidRDefault="00A740E9" w:rsidP="00A740E9">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01D12634" w14:textId="77777777" w:rsidR="00A740E9" w:rsidRDefault="00A740E9" w:rsidP="00A740E9">
      <w:pPr>
        <w:jc w:val="both"/>
        <w:rPr>
          <w:rFonts w:ascii="Arial" w:hAnsi="Arial" w:cs="Arial"/>
          <w:sz w:val="20"/>
          <w:lang w:val="es-CO"/>
        </w:rPr>
      </w:pPr>
    </w:p>
    <w:p w14:paraId="4FB3543C" w14:textId="77777777" w:rsidR="00A740E9" w:rsidRPr="00AD206A" w:rsidRDefault="00A740E9" w:rsidP="00A740E9">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2DB3563F" w14:textId="77777777" w:rsidR="00A740E9" w:rsidRPr="00AD206A" w:rsidRDefault="00A740E9" w:rsidP="00A740E9">
      <w:pPr>
        <w:jc w:val="both"/>
        <w:rPr>
          <w:rFonts w:ascii="Arial" w:hAnsi="Arial" w:cs="Arial"/>
          <w:sz w:val="20"/>
          <w:lang w:val="es-CO"/>
        </w:rPr>
      </w:pPr>
    </w:p>
    <w:p w14:paraId="54006E33" w14:textId="77777777" w:rsidR="00A740E9" w:rsidRDefault="00A740E9" w:rsidP="00A740E9">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2F908706" w14:textId="77777777" w:rsidR="00A740E9" w:rsidRDefault="00A740E9" w:rsidP="00A740E9">
      <w:pPr>
        <w:jc w:val="both"/>
        <w:rPr>
          <w:rFonts w:ascii="Arial" w:hAnsi="Arial" w:cs="Arial"/>
          <w:sz w:val="20"/>
          <w:lang w:val="es-CO"/>
        </w:rPr>
      </w:pPr>
    </w:p>
    <w:p w14:paraId="5698CB9E" w14:textId="77777777" w:rsidR="00A740E9" w:rsidRDefault="00A740E9" w:rsidP="00A740E9">
      <w:pPr>
        <w:jc w:val="both"/>
        <w:rPr>
          <w:rFonts w:ascii="Arial" w:hAnsi="Arial" w:cs="Arial"/>
          <w:sz w:val="20"/>
          <w:lang w:val="es-CO"/>
        </w:rPr>
      </w:pPr>
      <w:r w:rsidRPr="00A948C4">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r>
        <w:rPr>
          <w:rFonts w:ascii="Arial" w:hAnsi="Arial" w:cs="Arial"/>
          <w:sz w:val="20"/>
          <w:lang w:val="es-CO"/>
        </w:rPr>
        <w:t>. (…)</w:t>
      </w:r>
    </w:p>
    <w:p w14:paraId="3EC84F74" w14:textId="77777777" w:rsidR="00A740E9" w:rsidRDefault="00A740E9" w:rsidP="00A740E9">
      <w:pPr>
        <w:jc w:val="both"/>
        <w:rPr>
          <w:rFonts w:ascii="Arial" w:hAnsi="Arial" w:cs="Arial"/>
          <w:sz w:val="20"/>
          <w:lang w:val="es-CO"/>
        </w:rPr>
      </w:pPr>
    </w:p>
    <w:p w14:paraId="259CF3ED" w14:textId="77777777" w:rsidR="00A740E9" w:rsidRDefault="00A740E9" w:rsidP="00A740E9">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11469C53" w14:textId="77777777" w:rsidR="00A740E9" w:rsidRDefault="00A740E9" w:rsidP="00A740E9">
      <w:pPr>
        <w:jc w:val="both"/>
        <w:rPr>
          <w:rFonts w:ascii="Arial" w:hAnsi="Arial" w:cs="Arial"/>
          <w:sz w:val="20"/>
          <w:lang w:val="es-CO"/>
        </w:rPr>
      </w:pPr>
    </w:p>
    <w:p w14:paraId="5CE7CBBB" w14:textId="77777777" w:rsidR="00A740E9" w:rsidRDefault="00A740E9" w:rsidP="00A740E9">
      <w:pPr>
        <w:jc w:val="both"/>
        <w:rPr>
          <w:rFonts w:ascii="Arial" w:hAnsi="Arial" w:cs="Arial"/>
          <w:sz w:val="20"/>
          <w:lang w:val="es-CO"/>
        </w:rPr>
      </w:pPr>
      <w:r w:rsidRPr="00D650E2">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r>
        <w:rPr>
          <w:rFonts w:ascii="Arial" w:hAnsi="Arial" w:cs="Arial"/>
          <w:sz w:val="20"/>
          <w:lang w:val="es-CO"/>
        </w:rPr>
        <w:t>…</w:t>
      </w:r>
    </w:p>
    <w:p w14:paraId="1FADF47C" w14:textId="77777777" w:rsidR="009F22F1" w:rsidRDefault="009F22F1" w:rsidP="00A740E9">
      <w:pPr>
        <w:jc w:val="both"/>
        <w:rPr>
          <w:rFonts w:ascii="Arial" w:hAnsi="Arial" w:cs="Arial"/>
          <w:sz w:val="20"/>
          <w:lang w:val="es-CO"/>
        </w:rPr>
      </w:pPr>
    </w:p>
    <w:p w14:paraId="09143DD3" w14:textId="77777777" w:rsidR="005A3510" w:rsidRPr="009F6B6D" w:rsidRDefault="005A3510" w:rsidP="005A3510">
      <w:pPr>
        <w:overflowPunct w:val="0"/>
        <w:autoSpaceDE w:val="0"/>
        <w:autoSpaceDN w:val="0"/>
        <w:adjustRightInd w:val="0"/>
        <w:jc w:val="both"/>
        <w:textAlignment w:val="baseline"/>
        <w:rPr>
          <w:rFonts w:ascii="Arial" w:hAnsi="Arial" w:cs="Arial"/>
          <w:b/>
          <w:color w:val="FF0000"/>
          <w:sz w:val="20"/>
          <w:lang w:val="es-CO"/>
        </w:rPr>
      </w:pPr>
      <w:r>
        <w:rPr>
          <w:rFonts w:ascii="Arial" w:hAnsi="Arial" w:cs="Arial"/>
          <w:b/>
          <w:color w:val="FF0000"/>
          <w:sz w:val="20"/>
          <w:lang w:val="es-CO"/>
        </w:rPr>
        <w:t xml:space="preserve">ACLARACIÓN </w:t>
      </w:r>
      <w:r w:rsidRPr="009F6B6D">
        <w:rPr>
          <w:rFonts w:ascii="Arial" w:hAnsi="Arial" w:cs="Arial"/>
          <w:b/>
          <w:color w:val="FF0000"/>
          <w:sz w:val="20"/>
          <w:lang w:val="es-CO"/>
        </w:rPr>
        <w:t>DE VOTO: DOCTOR JULIO CÉSAR SALAZAR MUÑOZ</w:t>
      </w:r>
    </w:p>
    <w:p w14:paraId="745691CC" w14:textId="77777777" w:rsidR="009F22F1" w:rsidRDefault="009F22F1" w:rsidP="00A740E9">
      <w:pPr>
        <w:jc w:val="both"/>
        <w:rPr>
          <w:rFonts w:ascii="Arial" w:hAnsi="Arial" w:cs="Arial"/>
          <w:sz w:val="20"/>
          <w:lang w:val="es-CO"/>
        </w:rPr>
      </w:pPr>
    </w:p>
    <w:p w14:paraId="6CBAC606" w14:textId="77777777" w:rsidR="009F22F1" w:rsidRPr="009F22F1" w:rsidRDefault="009F22F1" w:rsidP="009F22F1">
      <w:pPr>
        <w:jc w:val="both"/>
        <w:rPr>
          <w:rFonts w:ascii="Arial" w:hAnsi="Arial" w:cs="Arial"/>
          <w:sz w:val="20"/>
          <w:lang w:val="es-419"/>
        </w:rPr>
      </w:pPr>
      <w:r w:rsidRPr="009F22F1">
        <w:rPr>
          <w:rFonts w:ascii="Arial" w:hAnsi="Arial" w:cs="Arial"/>
          <w:sz w:val="20"/>
          <w:lang w:val="es-419"/>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544BD6EE" w14:textId="77777777" w:rsidR="009F22F1" w:rsidRPr="009F22F1" w:rsidRDefault="009F22F1" w:rsidP="009F22F1">
      <w:pPr>
        <w:jc w:val="both"/>
        <w:rPr>
          <w:rFonts w:ascii="Arial" w:hAnsi="Arial" w:cs="Arial"/>
          <w:sz w:val="20"/>
          <w:lang w:val="es-419"/>
        </w:rPr>
      </w:pPr>
    </w:p>
    <w:p w14:paraId="7C8140F3" w14:textId="77777777" w:rsidR="009F22F1" w:rsidRPr="009F22F1" w:rsidRDefault="009F22F1" w:rsidP="009F22F1">
      <w:pPr>
        <w:jc w:val="both"/>
        <w:rPr>
          <w:rFonts w:ascii="Arial" w:hAnsi="Arial" w:cs="Arial"/>
          <w:sz w:val="20"/>
          <w:lang w:val="es-419"/>
        </w:rPr>
      </w:pPr>
      <w:r w:rsidRPr="009F22F1">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5A597FA" w14:textId="77777777" w:rsidR="009F22F1" w:rsidRPr="009F22F1" w:rsidRDefault="009F22F1" w:rsidP="009F22F1">
      <w:pPr>
        <w:jc w:val="both"/>
        <w:rPr>
          <w:rFonts w:ascii="Arial" w:hAnsi="Arial" w:cs="Arial"/>
          <w:sz w:val="20"/>
          <w:lang w:val="es-419"/>
        </w:rPr>
      </w:pPr>
    </w:p>
    <w:p w14:paraId="3CC4024D" w14:textId="77777777" w:rsidR="009F22F1" w:rsidRPr="009F22F1" w:rsidRDefault="009F22F1" w:rsidP="009F22F1">
      <w:pPr>
        <w:jc w:val="both"/>
        <w:rPr>
          <w:rFonts w:ascii="Arial" w:hAnsi="Arial" w:cs="Arial"/>
          <w:sz w:val="20"/>
          <w:lang w:val="es-419"/>
        </w:rPr>
      </w:pPr>
      <w:r w:rsidRPr="009F22F1">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46990B74" w14:textId="77777777" w:rsidR="009F22F1" w:rsidRPr="009F22F1" w:rsidRDefault="009F22F1" w:rsidP="009F22F1">
      <w:pPr>
        <w:jc w:val="both"/>
        <w:rPr>
          <w:rFonts w:ascii="Arial" w:hAnsi="Arial" w:cs="Arial"/>
          <w:sz w:val="20"/>
          <w:lang w:val="es-419"/>
        </w:rPr>
      </w:pPr>
    </w:p>
    <w:p w14:paraId="785945EB" w14:textId="77777777" w:rsidR="009F22F1" w:rsidRPr="009F22F1" w:rsidRDefault="009F22F1" w:rsidP="009F22F1">
      <w:pPr>
        <w:jc w:val="both"/>
        <w:rPr>
          <w:rFonts w:ascii="Arial" w:hAnsi="Arial" w:cs="Arial"/>
          <w:sz w:val="20"/>
          <w:lang w:val="es-419"/>
        </w:rPr>
      </w:pPr>
      <w:r w:rsidRPr="009F22F1">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13DC2DFA" w14:textId="77777777" w:rsidR="009F22F1" w:rsidRPr="009F22F1" w:rsidRDefault="009F22F1" w:rsidP="009F22F1">
      <w:pPr>
        <w:jc w:val="both"/>
        <w:rPr>
          <w:rFonts w:ascii="Arial" w:hAnsi="Arial" w:cs="Arial"/>
          <w:sz w:val="20"/>
          <w:lang w:val="es-419"/>
        </w:rPr>
      </w:pPr>
    </w:p>
    <w:p w14:paraId="3824223E" w14:textId="00DC8EFD" w:rsidR="009F22F1" w:rsidRDefault="009F22F1" w:rsidP="009F22F1">
      <w:pPr>
        <w:jc w:val="both"/>
        <w:rPr>
          <w:rFonts w:ascii="Arial" w:hAnsi="Arial" w:cs="Arial"/>
          <w:sz w:val="20"/>
          <w:lang w:val="es-419"/>
        </w:rPr>
      </w:pPr>
      <w:r w:rsidRPr="009F22F1">
        <w:rPr>
          <w:rFonts w:ascii="Arial" w:hAnsi="Arial" w:cs="Arial"/>
          <w:sz w:val="20"/>
          <w:lang w:val="es-419"/>
        </w:rPr>
        <w:t>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w:t>
      </w:r>
    </w:p>
    <w:p w14:paraId="3E12F4B7" w14:textId="77777777" w:rsidR="005A3510" w:rsidRPr="005A3510" w:rsidRDefault="005A3510" w:rsidP="005A3510">
      <w:pPr>
        <w:jc w:val="both"/>
        <w:rPr>
          <w:rFonts w:ascii="Arial" w:hAnsi="Arial" w:cs="Arial"/>
          <w:sz w:val="20"/>
          <w:lang w:val="es-419"/>
        </w:rPr>
      </w:pPr>
    </w:p>
    <w:p w14:paraId="7842D4D0" w14:textId="77777777" w:rsidR="005A3510" w:rsidRPr="005A3510" w:rsidRDefault="005A3510" w:rsidP="005A3510">
      <w:pPr>
        <w:jc w:val="both"/>
        <w:rPr>
          <w:rFonts w:ascii="Arial" w:hAnsi="Arial" w:cs="Arial"/>
          <w:sz w:val="20"/>
          <w:lang w:val="es-419"/>
        </w:rPr>
      </w:pPr>
      <w:r w:rsidRPr="005A3510">
        <w:rPr>
          <w:rFonts w:ascii="Arial" w:hAnsi="Arial" w:cs="Arial"/>
          <w:sz w:val="20"/>
          <w:lang w:val="es-419"/>
        </w:rPr>
        <w:t>1.</w:t>
      </w:r>
      <w:r w:rsidRPr="005A3510">
        <w:rPr>
          <w:rFonts w:ascii="Arial" w:hAnsi="Arial" w:cs="Arial"/>
          <w:sz w:val="20"/>
          <w:lang w:val="es-419"/>
        </w:rPr>
        <w:tab/>
        <w:t>CONFIGURACIÓN LEGAL DUAL VIGENTE DEL SISTEMA PENSIONAL</w:t>
      </w:r>
    </w:p>
    <w:p w14:paraId="36EB2294" w14:textId="77777777" w:rsidR="005A3510" w:rsidRPr="005A3510" w:rsidRDefault="005A3510" w:rsidP="00DC2BC7">
      <w:pPr>
        <w:ind w:left="705" w:hanging="705"/>
        <w:jc w:val="both"/>
        <w:rPr>
          <w:rFonts w:ascii="Arial" w:hAnsi="Arial" w:cs="Arial"/>
          <w:sz w:val="20"/>
          <w:lang w:val="es-419"/>
        </w:rPr>
      </w:pPr>
      <w:r w:rsidRPr="005A3510">
        <w:rPr>
          <w:rFonts w:ascii="Arial" w:hAnsi="Arial" w:cs="Arial"/>
          <w:sz w:val="20"/>
          <w:lang w:val="es-419"/>
        </w:rPr>
        <w:t>2.</w:t>
      </w:r>
      <w:r w:rsidRPr="005A3510">
        <w:rPr>
          <w:rFonts w:ascii="Arial" w:hAnsi="Arial" w:cs="Arial"/>
          <w:sz w:val="20"/>
          <w:lang w:val="es-419"/>
        </w:rPr>
        <w:tab/>
        <w:t>RAZÓN DE SER DE LA LIMITACIÓN DE TRASLADO CUANDO FALTEN MENOS DE 10 AÑOS. SENTENCIA C-1024 DE 2004</w:t>
      </w:r>
    </w:p>
    <w:p w14:paraId="759A5AB5" w14:textId="77777777" w:rsidR="005A3510" w:rsidRPr="005A3510" w:rsidRDefault="005A3510" w:rsidP="005A3510">
      <w:pPr>
        <w:jc w:val="both"/>
        <w:rPr>
          <w:rFonts w:ascii="Arial" w:hAnsi="Arial" w:cs="Arial"/>
          <w:sz w:val="20"/>
          <w:lang w:val="es-419"/>
        </w:rPr>
      </w:pPr>
      <w:r w:rsidRPr="005A3510">
        <w:rPr>
          <w:rFonts w:ascii="Arial" w:hAnsi="Arial" w:cs="Arial"/>
          <w:sz w:val="20"/>
          <w:lang w:val="es-419"/>
        </w:rPr>
        <w:t>3.</w:t>
      </w:r>
      <w:r w:rsidRPr="005A3510">
        <w:rPr>
          <w:rFonts w:ascii="Arial" w:hAnsi="Arial" w:cs="Arial"/>
          <w:sz w:val="20"/>
          <w:lang w:val="es-419"/>
        </w:rPr>
        <w:tab/>
        <w:t>LOS ACTOS JURÍDICOS Y SU VALIDEZ</w:t>
      </w:r>
    </w:p>
    <w:p w14:paraId="7B031999" w14:textId="77777777" w:rsidR="005A3510" w:rsidRPr="00CA08AE" w:rsidRDefault="005A3510" w:rsidP="009F22F1">
      <w:pPr>
        <w:jc w:val="both"/>
        <w:rPr>
          <w:rFonts w:ascii="Arial" w:hAnsi="Arial" w:cs="Arial"/>
          <w:sz w:val="20"/>
          <w:lang w:val="es-419"/>
        </w:rPr>
      </w:pPr>
    </w:p>
    <w:p w14:paraId="5FCD5FA9" w14:textId="773B4155" w:rsidR="00091C6F" w:rsidRDefault="00091C6F" w:rsidP="00091C6F">
      <w:pPr>
        <w:jc w:val="both"/>
        <w:rPr>
          <w:rFonts w:ascii="Arial" w:hAnsi="Arial" w:cs="Arial"/>
          <w:sz w:val="20"/>
          <w:lang w:val="es-419"/>
        </w:rPr>
      </w:pPr>
    </w:p>
    <w:p w14:paraId="606E2DD6" w14:textId="76782D46" w:rsidR="00120390" w:rsidRPr="00120390" w:rsidRDefault="00120390" w:rsidP="00120390">
      <w:pPr>
        <w:shd w:val="clear" w:color="auto" w:fill="000000"/>
        <w:ind w:right="-60" w:firstLine="6"/>
        <w:jc w:val="both"/>
        <w:rPr>
          <w:rFonts w:ascii="Arial" w:hAnsi="Arial" w:cs="Arial"/>
          <w:b/>
          <w:color w:val="FFFFFF"/>
        </w:rPr>
      </w:pPr>
      <w:bookmarkStart w:id="1" w:name="_Hlk77447900"/>
      <w:r w:rsidRPr="00120390">
        <w:rPr>
          <w:rFonts w:ascii="Arial" w:hAnsi="Arial" w:cs="Arial"/>
          <w:b/>
          <w:color w:val="FFFFFF"/>
        </w:rPr>
        <w:t>LA SALA DE CASACIÓN LABORAL DE LA CORTE SUPREMA DE JUSTICIA, MEDIANTE SENTENCIA SL</w:t>
      </w:r>
      <w:r w:rsidR="001B2745">
        <w:rPr>
          <w:rFonts w:ascii="Arial" w:hAnsi="Arial" w:cs="Arial"/>
          <w:b/>
          <w:color w:val="FFFFFF"/>
        </w:rPr>
        <w:t>5442</w:t>
      </w:r>
      <w:r w:rsidRPr="00120390">
        <w:rPr>
          <w:rFonts w:ascii="Arial" w:hAnsi="Arial" w:cs="Arial"/>
          <w:b/>
          <w:color w:val="FFFFFF"/>
        </w:rPr>
        <w:t>-2021, RADICACIÓN Nº 8</w:t>
      </w:r>
      <w:r w:rsidR="00806812">
        <w:rPr>
          <w:rFonts w:ascii="Arial" w:hAnsi="Arial" w:cs="Arial"/>
          <w:b/>
          <w:color w:val="FFFFFF"/>
        </w:rPr>
        <w:t>6077</w:t>
      </w:r>
      <w:r w:rsidRPr="00120390">
        <w:rPr>
          <w:rFonts w:ascii="Arial" w:hAnsi="Arial" w:cs="Arial"/>
          <w:b/>
          <w:color w:val="FFFFFF"/>
        </w:rPr>
        <w:t xml:space="preserve">, DE FECHA </w:t>
      </w:r>
      <w:r w:rsidR="00806812">
        <w:rPr>
          <w:rFonts w:ascii="Arial" w:hAnsi="Arial" w:cs="Arial"/>
          <w:b/>
          <w:color w:val="FFFFFF"/>
        </w:rPr>
        <w:t>22 DE NOVIEMBRE DE 2</w:t>
      </w:r>
      <w:r w:rsidRPr="00120390">
        <w:rPr>
          <w:rFonts w:ascii="Arial" w:hAnsi="Arial" w:cs="Arial"/>
          <w:b/>
          <w:color w:val="FFFFFF"/>
        </w:rPr>
        <w:t xml:space="preserve">021, QUE PUEDE SER CONSULTADA EN LA PÁGINA WEB DE DICHA CORPORACIÓN O EN EL ARCHIVO QUE ESTÁ A CONTINUACIÓN DE ÉSTE, CASÓ EL PRESENTE FALLO Y “EN SEDE DE INSTANCIA” CONFIRMÓ LA SENTENCIA PROFERIDA EL </w:t>
      </w:r>
      <w:r w:rsidR="00806812">
        <w:rPr>
          <w:rFonts w:ascii="Arial" w:hAnsi="Arial" w:cs="Arial"/>
          <w:b/>
          <w:color w:val="FFFFFF"/>
        </w:rPr>
        <w:t xml:space="preserve">25 DE OCTUBRE </w:t>
      </w:r>
      <w:r w:rsidRPr="00120390">
        <w:rPr>
          <w:rFonts w:ascii="Arial" w:hAnsi="Arial" w:cs="Arial"/>
          <w:b/>
          <w:color w:val="FFFFFF"/>
        </w:rPr>
        <w:t xml:space="preserve">DE 2018 POR EL JUZGADO </w:t>
      </w:r>
      <w:r w:rsidR="00806812">
        <w:rPr>
          <w:rFonts w:ascii="Arial" w:hAnsi="Arial" w:cs="Arial"/>
          <w:b/>
          <w:color w:val="FFFFFF"/>
        </w:rPr>
        <w:t xml:space="preserve">QUINTO </w:t>
      </w:r>
      <w:r w:rsidRPr="00120390">
        <w:rPr>
          <w:rFonts w:ascii="Arial" w:hAnsi="Arial" w:cs="Arial"/>
          <w:b/>
          <w:color w:val="FFFFFF"/>
        </w:rPr>
        <w:t>LABORAL DEL CIRCUITO DE LA CIUDAD</w:t>
      </w:r>
      <w:r w:rsidR="00806812">
        <w:rPr>
          <w:rFonts w:ascii="Arial" w:hAnsi="Arial" w:cs="Arial"/>
          <w:b/>
          <w:color w:val="FFFFFF"/>
        </w:rPr>
        <w:t xml:space="preserve">, </w:t>
      </w:r>
      <w:r w:rsidRPr="00120390">
        <w:rPr>
          <w:rFonts w:ascii="Arial" w:hAnsi="Arial" w:cs="Arial"/>
          <w:b/>
          <w:color w:val="FFFFFF"/>
        </w:rPr>
        <w:t>QUE ACCEDIÓ A LAS PRETENSIONES DE LA DEMANDA.</w:t>
      </w:r>
    </w:p>
    <w:bookmarkEnd w:id="1"/>
    <w:p w14:paraId="37464D7E" w14:textId="1F17BF1B" w:rsidR="00120390" w:rsidRDefault="00120390" w:rsidP="00091C6F">
      <w:pPr>
        <w:jc w:val="both"/>
        <w:rPr>
          <w:rFonts w:ascii="Arial" w:hAnsi="Arial" w:cs="Arial"/>
          <w:sz w:val="20"/>
          <w:lang w:val="es-419"/>
        </w:rPr>
      </w:pPr>
    </w:p>
    <w:p w14:paraId="6D0B2A99" w14:textId="77777777" w:rsidR="00120390" w:rsidRDefault="00120390" w:rsidP="00091C6F">
      <w:pPr>
        <w:jc w:val="both"/>
        <w:rPr>
          <w:rFonts w:ascii="Arial" w:hAnsi="Arial" w:cs="Arial"/>
          <w:sz w:val="20"/>
          <w:lang w:val="es-419"/>
        </w:rPr>
      </w:pPr>
    </w:p>
    <w:p w14:paraId="23E84B4A" w14:textId="77777777" w:rsidR="005A3510" w:rsidRPr="00091C6F" w:rsidRDefault="005A3510" w:rsidP="00091C6F">
      <w:pPr>
        <w:jc w:val="both"/>
        <w:rPr>
          <w:rFonts w:ascii="Arial" w:hAnsi="Arial" w:cs="Arial"/>
          <w:sz w:val="20"/>
          <w:lang w:val="es-419"/>
        </w:rPr>
      </w:pPr>
    </w:p>
    <w:p w14:paraId="64DBB028" w14:textId="77777777" w:rsidR="00091C6F" w:rsidRPr="00091C6F" w:rsidRDefault="00091C6F" w:rsidP="00091C6F">
      <w:pPr>
        <w:jc w:val="both"/>
        <w:rPr>
          <w:rFonts w:ascii="Arial" w:hAnsi="Arial" w:cs="Arial"/>
          <w:sz w:val="20"/>
          <w:lang w:val="es-419"/>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26DE9D2" w14:textId="77777777" w:rsidR="00091C6F" w:rsidRPr="00091C6F" w:rsidRDefault="00091C6F" w:rsidP="005A3510">
      <w:pPr>
        <w:widowControl w:val="0"/>
        <w:spacing w:line="360" w:lineRule="auto"/>
        <w:jc w:val="center"/>
        <w:rPr>
          <w:rFonts w:ascii="Arial" w:hAnsi="Arial" w:cs="Arial"/>
          <w:b/>
          <w:bCs/>
          <w:color w:val="000000"/>
          <w:kern w:val="28"/>
          <w:szCs w:val="24"/>
        </w:rPr>
      </w:pPr>
      <w:r w:rsidRPr="00091C6F">
        <w:rPr>
          <w:rFonts w:ascii="Arial" w:hAnsi="Arial" w:cs="Arial"/>
          <w:b/>
          <w:bCs/>
          <w:color w:val="000000"/>
          <w:kern w:val="28"/>
          <w:szCs w:val="24"/>
        </w:rPr>
        <w:t>RAMA JUDICIAL DEL PODER PÚBLICO</w:t>
      </w:r>
    </w:p>
    <w:p w14:paraId="4DAFC3CD" w14:textId="77777777" w:rsidR="00091C6F" w:rsidRPr="00091C6F" w:rsidRDefault="00091C6F" w:rsidP="005A3510">
      <w:pPr>
        <w:widowControl w:val="0"/>
        <w:spacing w:line="360" w:lineRule="auto"/>
        <w:jc w:val="center"/>
        <w:rPr>
          <w:rFonts w:ascii="Arial" w:hAnsi="Arial" w:cs="Arial"/>
          <w:b/>
          <w:bCs/>
          <w:color w:val="000000"/>
          <w:kern w:val="28"/>
          <w:szCs w:val="24"/>
        </w:rPr>
      </w:pPr>
      <w:r w:rsidRPr="00091C6F">
        <w:rPr>
          <w:rFonts w:ascii="Arial" w:hAnsi="Arial" w:cs="Arial"/>
          <w:b/>
          <w:bCs/>
          <w:color w:val="000000"/>
          <w:kern w:val="28"/>
          <w:szCs w:val="24"/>
        </w:rPr>
        <w:t>TRIBUNAL SUPERIOR DEL DISTRITO JUDICIAL DE PEREIRA</w:t>
      </w:r>
    </w:p>
    <w:p w14:paraId="6AF77740" w14:textId="77777777" w:rsidR="00091C6F" w:rsidRPr="00091C6F" w:rsidRDefault="00091C6F" w:rsidP="005A3510">
      <w:pPr>
        <w:widowControl w:val="0"/>
        <w:spacing w:line="360" w:lineRule="auto"/>
        <w:jc w:val="center"/>
        <w:rPr>
          <w:rFonts w:ascii="Arial" w:hAnsi="Arial" w:cs="Arial"/>
          <w:b/>
          <w:bCs/>
          <w:color w:val="000000"/>
          <w:kern w:val="28"/>
          <w:szCs w:val="24"/>
        </w:rPr>
      </w:pPr>
      <w:r w:rsidRPr="00091C6F">
        <w:rPr>
          <w:rFonts w:ascii="Arial" w:hAnsi="Arial" w:cs="Arial"/>
          <w:b/>
          <w:bCs/>
          <w:color w:val="000000"/>
          <w:kern w:val="28"/>
          <w:szCs w:val="24"/>
        </w:rPr>
        <w:t>SALA SEGUNDA DE DECISIÓN LABORAL</w:t>
      </w:r>
    </w:p>
    <w:p w14:paraId="32A6B2AF" w14:textId="77777777" w:rsidR="00091C6F" w:rsidRPr="00091C6F" w:rsidRDefault="00091C6F" w:rsidP="005A3510">
      <w:pPr>
        <w:spacing w:line="360" w:lineRule="auto"/>
        <w:jc w:val="both"/>
        <w:rPr>
          <w:rFonts w:ascii="Arial" w:hAnsi="Arial" w:cs="Arial"/>
          <w:szCs w:val="24"/>
        </w:rPr>
      </w:pPr>
    </w:p>
    <w:p w14:paraId="4021B4B9" w14:textId="77777777" w:rsidR="00091C6F" w:rsidRPr="00091C6F" w:rsidRDefault="00091C6F" w:rsidP="005A3510">
      <w:pPr>
        <w:spacing w:line="360" w:lineRule="auto"/>
        <w:jc w:val="center"/>
        <w:rPr>
          <w:rFonts w:ascii="Arial" w:hAnsi="Arial" w:cs="Arial"/>
          <w:color w:val="000000"/>
          <w:szCs w:val="24"/>
        </w:rPr>
      </w:pPr>
      <w:r w:rsidRPr="00091C6F">
        <w:rPr>
          <w:rFonts w:ascii="Arial" w:hAnsi="Arial" w:cs="Arial"/>
          <w:color w:val="000000"/>
          <w:szCs w:val="24"/>
        </w:rPr>
        <w:t>Magistrada Sustanciadora</w:t>
      </w:r>
    </w:p>
    <w:p w14:paraId="681EEC2E" w14:textId="77777777" w:rsidR="00091C6F" w:rsidRPr="00091C6F" w:rsidRDefault="00091C6F" w:rsidP="005A3510">
      <w:pPr>
        <w:widowControl w:val="0"/>
        <w:spacing w:line="360" w:lineRule="auto"/>
        <w:jc w:val="center"/>
        <w:rPr>
          <w:rFonts w:ascii="Arial" w:hAnsi="Arial" w:cs="Arial"/>
          <w:b/>
          <w:bCs/>
          <w:color w:val="000000"/>
          <w:kern w:val="28"/>
          <w:szCs w:val="24"/>
        </w:rPr>
      </w:pPr>
      <w:r w:rsidRPr="00091C6F">
        <w:rPr>
          <w:rFonts w:ascii="Arial" w:hAnsi="Arial" w:cs="Arial"/>
          <w:b/>
          <w:bCs/>
          <w:color w:val="000000"/>
          <w:kern w:val="28"/>
          <w:szCs w:val="24"/>
        </w:rPr>
        <w:t>OLGA LUCÍA HOYOS SEPÚLVEDA</w:t>
      </w:r>
    </w:p>
    <w:p w14:paraId="05578BCA" w14:textId="77777777" w:rsidR="00091C6F" w:rsidRPr="00091C6F" w:rsidRDefault="00091C6F" w:rsidP="00091C6F">
      <w:pPr>
        <w:spacing w:line="300" w:lineRule="auto"/>
        <w:jc w:val="both"/>
        <w:rPr>
          <w:rFonts w:ascii="Arial" w:hAnsi="Arial" w:cs="Arial"/>
          <w:szCs w:val="24"/>
        </w:rPr>
      </w:pPr>
    </w:p>
    <w:p w14:paraId="0A9A6727" w14:textId="77777777" w:rsidR="00091C6F" w:rsidRPr="00091C6F" w:rsidRDefault="00091C6F" w:rsidP="00091C6F">
      <w:pPr>
        <w:spacing w:line="300" w:lineRule="auto"/>
        <w:jc w:val="both"/>
        <w:rPr>
          <w:rFonts w:ascii="Arial" w:hAnsi="Arial" w:cs="Arial"/>
          <w:szCs w:val="24"/>
        </w:rPr>
      </w:pPr>
    </w:p>
    <w:p w14:paraId="6C154B08" w14:textId="30AC56D4" w:rsidR="00435966" w:rsidRPr="00091C6F" w:rsidRDefault="00435966" w:rsidP="00091C6F">
      <w:pPr>
        <w:spacing w:line="276" w:lineRule="auto"/>
        <w:contextualSpacing/>
        <w:jc w:val="both"/>
        <w:rPr>
          <w:rFonts w:ascii="Arial" w:hAnsi="Arial" w:cs="Arial"/>
          <w:bCs/>
          <w:szCs w:val="24"/>
        </w:rPr>
      </w:pPr>
      <w:r w:rsidRPr="00091C6F">
        <w:rPr>
          <w:rFonts w:ascii="Arial" w:eastAsia="Calibri" w:hAnsi="Arial" w:cs="Arial"/>
          <w:szCs w:val="24"/>
          <w:lang w:eastAsia="en-US"/>
        </w:rPr>
        <w:t>En Pereira, a los</w:t>
      </w:r>
      <w:r w:rsidR="00805B62" w:rsidRPr="00091C6F">
        <w:rPr>
          <w:rFonts w:ascii="Arial" w:eastAsia="Calibri" w:hAnsi="Arial" w:cs="Arial"/>
          <w:szCs w:val="24"/>
          <w:lang w:eastAsia="en-US"/>
        </w:rPr>
        <w:t xml:space="preserve"> </w:t>
      </w:r>
      <w:r w:rsidR="0078009F" w:rsidRPr="00091C6F">
        <w:rPr>
          <w:rFonts w:ascii="Arial" w:eastAsia="Calibri" w:hAnsi="Arial" w:cs="Arial"/>
          <w:szCs w:val="24"/>
          <w:lang w:eastAsia="en-US"/>
        </w:rPr>
        <w:t>dos</w:t>
      </w:r>
      <w:r w:rsidRPr="00091C6F">
        <w:rPr>
          <w:rFonts w:ascii="Arial" w:eastAsia="Calibri" w:hAnsi="Arial" w:cs="Arial"/>
          <w:szCs w:val="24"/>
          <w:lang w:eastAsia="en-US"/>
        </w:rPr>
        <w:t xml:space="preserve"> (</w:t>
      </w:r>
      <w:r w:rsidR="0078009F" w:rsidRPr="00091C6F">
        <w:rPr>
          <w:rFonts w:ascii="Arial" w:eastAsia="Calibri" w:hAnsi="Arial" w:cs="Arial"/>
          <w:szCs w:val="24"/>
          <w:lang w:eastAsia="en-US"/>
        </w:rPr>
        <w:t>02</w:t>
      </w:r>
      <w:r w:rsidRPr="00091C6F">
        <w:rPr>
          <w:rFonts w:ascii="Arial" w:eastAsia="Calibri" w:hAnsi="Arial" w:cs="Arial"/>
          <w:szCs w:val="24"/>
          <w:lang w:eastAsia="en-US"/>
        </w:rPr>
        <w:t xml:space="preserve">) días del mes de </w:t>
      </w:r>
      <w:r w:rsidR="0078009F" w:rsidRPr="00091C6F">
        <w:rPr>
          <w:rFonts w:ascii="Arial" w:eastAsia="Calibri" w:hAnsi="Arial" w:cs="Arial"/>
          <w:szCs w:val="24"/>
          <w:lang w:eastAsia="en-US"/>
        </w:rPr>
        <w:t>jul</w:t>
      </w:r>
      <w:r w:rsidR="00805B62" w:rsidRPr="00091C6F">
        <w:rPr>
          <w:rFonts w:ascii="Arial" w:eastAsia="Calibri" w:hAnsi="Arial" w:cs="Arial"/>
          <w:szCs w:val="24"/>
          <w:lang w:eastAsia="en-US"/>
        </w:rPr>
        <w:t>io</w:t>
      </w:r>
      <w:r w:rsidRPr="00091C6F">
        <w:rPr>
          <w:rFonts w:ascii="Arial" w:eastAsia="Calibri" w:hAnsi="Arial" w:cs="Arial"/>
          <w:szCs w:val="24"/>
          <w:lang w:eastAsia="en-US"/>
        </w:rPr>
        <w:t xml:space="preserve"> de dos mil diecinueve (2019), siendo las </w:t>
      </w:r>
      <w:r w:rsidR="00805B62" w:rsidRPr="00091C6F">
        <w:rPr>
          <w:rFonts w:ascii="Arial" w:eastAsia="Calibri" w:hAnsi="Arial" w:cs="Arial"/>
          <w:szCs w:val="24"/>
          <w:lang w:eastAsia="en-US"/>
        </w:rPr>
        <w:t>ocho y treinta</w:t>
      </w:r>
      <w:r w:rsidRPr="00091C6F">
        <w:rPr>
          <w:rFonts w:ascii="Arial" w:eastAsia="Calibri" w:hAnsi="Arial" w:cs="Arial"/>
          <w:szCs w:val="24"/>
          <w:lang w:eastAsia="en-US"/>
        </w:rPr>
        <w:t xml:space="preserve"> de la mañana (</w:t>
      </w:r>
      <w:r w:rsidR="00805B62" w:rsidRPr="00091C6F">
        <w:rPr>
          <w:rFonts w:ascii="Arial" w:eastAsia="Calibri" w:hAnsi="Arial" w:cs="Arial"/>
          <w:szCs w:val="24"/>
          <w:lang w:eastAsia="en-US"/>
        </w:rPr>
        <w:t>08</w:t>
      </w:r>
      <w:r w:rsidRPr="00091C6F">
        <w:rPr>
          <w:rFonts w:ascii="Arial" w:eastAsia="Calibri" w:hAnsi="Arial" w:cs="Arial"/>
          <w:szCs w:val="24"/>
          <w:lang w:eastAsia="en-US"/>
        </w:rPr>
        <w:t>:</w:t>
      </w:r>
      <w:r w:rsidR="00805B62" w:rsidRPr="00091C6F">
        <w:rPr>
          <w:rFonts w:ascii="Arial" w:eastAsia="Calibri" w:hAnsi="Arial" w:cs="Arial"/>
          <w:szCs w:val="24"/>
          <w:lang w:eastAsia="en-US"/>
        </w:rPr>
        <w:t>30</w:t>
      </w:r>
      <w:r w:rsidRPr="00091C6F">
        <w:rPr>
          <w:rFonts w:ascii="Arial" w:eastAsia="Calibri" w:hAnsi="Arial" w:cs="Arial"/>
          <w:szCs w:val="24"/>
          <w:lang w:eastAsia="en-US"/>
        </w:rPr>
        <w:t xml:space="preserve"> a.m.), </w:t>
      </w:r>
      <w:r w:rsidRPr="00091C6F">
        <w:rPr>
          <w:rFonts w:ascii="Arial" w:hAnsi="Arial" w:cs="Arial"/>
          <w:bCs/>
          <w:color w:val="000000"/>
          <w:szCs w:val="24"/>
          <w:lang w:eastAsia="es-CO"/>
        </w:rPr>
        <w:t xml:space="preserve">la Sala </w:t>
      </w:r>
      <w:r w:rsidR="00805B62" w:rsidRPr="00091C6F">
        <w:rPr>
          <w:rFonts w:ascii="Arial" w:hAnsi="Arial" w:cs="Arial"/>
          <w:bCs/>
          <w:color w:val="000000"/>
          <w:szCs w:val="24"/>
          <w:lang w:eastAsia="es-CO"/>
        </w:rPr>
        <w:t>Segunda</w:t>
      </w:r>
      <w:r w:rsidRPr="00091C6F">
        <w:rPr>
          <w:rFonts w:ascii="Arial" w:hAnsi="Arial" w:cs="Arial"/>
          <w:bCs/>
          <w:color w:val="000000"/>
          <w:szCs w:val="24"/>
          <w:lang w:eastAsia="es-CO"/>
        </w:rPr>
        <w:t xml:space="preserve"> de Decisión Laboral del Tribunal Superior del Distrito Judicial de Pereira, se declara en audiencia pública con el propósito de desatar </w:t>
      </w:r>
      <w:r w:rsidR="0078009F" w:rsidRPr="00091C6F">
        <w:rPr>
          <w:rFonts w:ascii="Arial" w:hAnsi="Arial" w:cs="Arial"/>
          <w:bCs/>
          <w:color w:val="000000"/>
          <w:szCs w:val="24"/>
          <w:lang w:eastAsia="es-CO"/>
        </w:rPr>
        <w:t>los recursos</w:t>
      </w:r>
      <w:r w:rsidRPr="00091C6F">
        <w:rPr>
          <w:rFonts w:ascii="Arial" w:hAnsi="Arial" w:cs="Arial"/>
          <w:bCs/>
          <w:color w:val="000000"/>
          <w:szCs w:val="24"/>
          <w:lang w:eastAsia="es-CO"/>
        </w:rPr>
        <w:t xml:space="preserve"> de apelación </w:t>
      </w:r>
      <w:r w:rsidR="00805B62" w:rsidRPr="00091C6F">
        <w:rPr>
          <w:rFonts w:ascii="Arial" w:hAnsi="Arial" w:cs="Arial"/>
          <w:bCs/>
          <w:color w:val="000000"/>
          <w:szCs w:val="24"/>
          <w:lang w:eastAsia="es-CO"/>
        </w:rPr>
        <w:t>y el grado jurisdiccional de consulta de</w:t>
      </w:r>
      <w:r w:rsidRPr="00091C6F">
        <w:rPr>
          <w:rFonts w:ascii="Arial" w:hAnsi="Arial" w:cs="Arial"/>
          <w:bCs/>
          <w:color w:val="000000"/>
          <w:szCs w:val="24"/>
          <w:lang w:eastAsia="es-CO"/>
        </w:rPr>
        <w:t xml:space="preserve"> la sentencia p</w:t>
      </w:r>
      <w:r w:rsidRPr="00091C6F">
        <w:rPr>
          <w:rFonts w:ascii="Arial" w:hAnsi="Arial" w:cs="Arial"/>
          <w:szCs w:val="24"/>
        </w:rPr>
        <w:t xml:space="preserve">roferida </w:t>
      </w:r>
      <w:r w:rsidR="0078009F" w:rsidRPr="00091C6F">
        <w:rPr>
          <w:rFonts w:ascii="Arial" w:hAnsi="Arial" w:cs="Arial"/>
          <w:szCs w:val="24"/>
        </w:rPr>
        <w:t>25 de octubre de 2018</w:t>
      </w:r>
      <w:r w:rsidRPr="00091C6F">
        <w:rPr>
          <w:rFonts w:ascii="Arial" w:hAnsi="Arial" w:cs="Arial"/>
          <w:szCs w:val="24"/>
        </w:rPr>
        <w:t xml:space="preserve"> por el Juzgado </w:t>
      </w:r>
      <w:r w:rsidR="0078009F" w:rsidRPr="00091C6F">
        <w:rPr>
          <w:rFonts w:ascii="Arial" w:hAnsi="Arial" w:cs="Arial"/>
          <w:szCs w:val="24"/>
        </w:rPr>
        <w:t xml:space="preserve">Quinto </w:t>
      </w:r>
      <w:r w:rsidRPr="00091C6F">
        <w:rPr>
          <w:rFonts w:ascii="Arial" w:hAnsi="Arial" w:cs="Arial"/>
          <w:szCs w:val="24"/>
        </w:rPr>
        <w:t xml:space="preserve">Laboral del Circuito de Pereira, dentro del proceso promovido por </w:t>
      </w:r>
      <w:r w:rsidR="0078009F" w:rsidRPr="00091C6F">
        <w:rPr>
          <w:rFonts w:ascii="Arial" w:hAnsi="Arial" w:cs="Arial"/>
          <w:b/>
          <w:szCs w:val="24"/>
        </w:rPr>
        <w:t>Héctor Fabio Zapata Calderón</w:t>
      </w:r>
      <w:r w:rsidRPr="00091C6F">
        <w:rPr>
          <w:rFonts w:ascii="Arial" w:hAnsi="Arial" w:cs="Arial"/>
          <w:b/>
          <w:szCs w:val="24"/>
        </w:rPr>
        <w:t xml:space="preserve"> </w:t>
      </w:r>
      <w:r w:rsidRPr="00091C6F">
        <w:rPr>
          <w:rFonts w:ascii="Arial" w:hAnsi="Arial" w:cs="Arial"/>
          <w:szCs w:val="24"/>
        </w:rPr>
        <w:t xml:space="preserve">contra la </w:t>
      </w:r>
      <w:r w:rsidRPr="00091C6F">
        <w:rPr>
          <w:rFonts w:ascii="Arial" w:hAnsi="Arial" w:cs="Arial"/>
          <w:b/>
          <w:szCs w:val="24"/>
        </w:rPr>
        <w:t xml:space="preserve">Administradora Colombiana de Pensiones </w:t>
      </w:r>
      <w:r w:rsidRPr="00091C6F">
        <w:rPr>
          <w:rFonts w:ascii="Arial" w:hAnsi="Arial" w:cs="Arial"/>
          <w:b/>
          <w:bCs/>
          <w:szCs w:val="24"/>
        </w:rPr>
        <w:t xml:space="preserve">COLPENSIONES </w:t>
      </w:r>
      <w:r w:rsidRPr="00091C6F">
        <w:rPr>
          <w:rFonts w:ascii="Arial" w:hAnsi="Arial" w:cs="Arial"/>
          <w:bCs/>
          <w:szCs w:val="24"/>
        </w:rPr>
        <w:t xml:space="preserve">y </w:t>
      </w:r>
      <w:r w:rsidR="00805B62" w:rsidRPr="00091C6F">
        <w:rPr>
          <w:rFonts w:ascii="Arial" w:hAnsi="Arial" w:cs="Arial"/>
          <w:b/>
          <w:bCs/>
          <w:szCs w:val="24"/>
        </w:rPr>
        <w:t>Protección</w:t>
      </w:r>
      <w:r w:rsidRPr="00091C6F">
        <w:rPr>
          <w:rFonts w:ascii="Arial" w:hAnsi="Arial" w:cs="Arial"/>
          <w:b/>
          <w:bCs/>
          <w:szCs w:val="24"/>
        </w:rPr>
        <w:t xml:space="preserve"> S.A., </w:t>
      </w:r>
      <w:r w:rsidRPr="00091C6F">
        <w:rPr>
          <w:rFonts w:ascii="Arial" w:hAnsi="Arial" w:cs="Arial"/>
          <w:bCs/>
          <w:szCs w:val="24"/>
        </w:rPr>
        <w:t>radicado al N° 66001-31-05-00</w:t>
      </w:r>
      <w:r w:rsidR="0078009F" w:rsidRPr="00091C6F">
        <w:rPr>
          <w:rFonts w:ascii="Arial" w:hAnsi="Arial" w:cs="Arial"/>
          <w:bCs/>
          <w:szCs w:val="24"/>
        </w:rPr>
        <w:t>5</w:t>
      </w:r>
      <w:r w:rsidRPr="00091C6F">
        <w:rPr>
          <w:rFonts w:ascii="Arial" w:hAnsi="Arial" w:cs="Arial"/>
          <w:bCs/>
          <w:szCs w:val="24"/>
        </w:rPr>
        <w:t>-2017-00</w:t>
      </w:r>
      <w:r w:rsidR="0078009F" w:rsidRPr="00091C6F">
        <w:rPr>
          <w:rFonts w:ascii="Arial" w:hAnsi="Arial" w:cs="Arial"/>
          <w:bCs/>
          <w:szCs w:val="24"/>
        </w:rPr>
        <w:t>433</w:t>
      </w:r>
      <w:r w:rsidRPr="00091C6F">
        <w:rPr>
          <w:rFonts w:ascii="Arial" w:hAnsi="Arial" w:cs="Arial"/>
          <w:bCs/>
          <w:szCs w:val="24"/>
        </w:rPr>
        <w:t>-01</w:t>
      </w:r>
      <w:r w:rsidRPr="00091C6F">
        <w:rPr>
          <w:rFonts w:ascii="Arial" w:hAnsi="Arial" w:cs="Arial"/>
          <w:b/>
          <w:bCs/>
          <w:szCs w:val="24"/>
        </w:rPr>
        <w:t>.</w:t>
      </w:r>
      <w:r w:rsidR="00E0046F" w:rsidRPr="00091C6F">
        <w:rPr>
          <w:rFonts w:ascii="Arial" w:hAnsi="Arial" w:cs="Arial"/>
          <w:b/>
          <w:bCs/>
          <w:szCs w:val="24"/>
        </w:rPr>
        <w:t xml:space="preserve">  </w:t>
      </w:r>
    </w:p>
    <w:p w14:paraId="5B1D896B" w14:textId="77777777" w:rsidR="00ED0C67" w:rsidRPr="00091C6F" w:rsidRDefault="00ED0C67" w:rsidP="00091C6F">
      <w:pPr>
        <w:spacing w:line="276" w:lineRule="auto"/>
        <w:contextualSpacing/>
        <w:rPr>
          <w:rFonts w:ascii="Arial" w:hAnsi="Arial" w:cs="Arial"/>
          <w:b/>
          <w:szCs w:val="24"/>
        </w:rPr>
      </w:pPr>
    </w:p>
    <w:p w14:paraId="142A7633" w14:textId="77777777" w:rsidR="00D636F8" w:rsidRPr="00091C6F" w:rsidRDefault="00D636F8" w:rsidP="00091C6F">
      <w:pPr>
        <w:spacing w:line="276" w:lineRule="auto"/>
        <w:contextualSpacing/>
        <w:rPr>
          <w:rFonts w:ascii="Arial" w:hAnsi="Arial" w:cs="Arial"/>
          <w:b/>
          <w:szCs w:val="24"/>
        </w:rPr>
      </w:pPr>
      <w:r w:rsidRPr="00091C6F">
        <w:rPr>
          <w:rFonts w:ascii="Arial" w:hAnsi="Arial" w:cs="Arial"/>
          <w:b/>
          <w:szCs w:val="24"/>
        </w:rPr>
        <w:t>Registro de asistencia:</w:t>
      </w:r>
    </w:p>
    <w:p w14:paraId="3C0537BA" w14:textId="77777777" w:rsidR="00D636F8" w:rsidRPr="00091C6F" w:rsidRDefault="00D636F8" w:rsidP="00091C6F">
      <w:pPr>
        <w:spacing w:line="276" w:lineRule="auto"/>
        <w:ind w:firstLine="851"/>
        <w:contextualSpacing/>
        <w:rPr>
          <w:rFonts w:ascii="Arial" w:hAnsi="Arial" w:cs="Arial"/>
          <w:szCs w:val="24"/>
        </w:rPr>
      </w:pPr>
    </w:p>
    <w:p w14:paraId="2F37B310" w14:textId="77777777" w:rsidR="00D636F8" w:rsidRPr="00091C6F" w:rsidRDefault="00D636F8" w:rsidP="00091C6F">
      <w:pPr>
        <w:spacing w:line="276" w:lineRule="auto"/>
        <w:contextualSpacing/>
        <w:rPr>
          <w:rFonts w:ascii="Arial" w:hAnsi="Arial" w:cs="Arial"/>
          <w:szCs w:val="24"/>
        </w:rPr>
      </w:pPr>
      <w:r w:rsidRPr="00091C6F">
        <w:rPr>
          <w:rFonts w:ascii="Arial" w:hAnsi="Arial" w:cs="Arial"/>
          <w:szCs w:val="24"/>
        </w:rPr>
        <w:lastRenderedPageBreak/>
        <w:t xml:space="preserve">Demandante y su apoderado: </w:t>
      </w:r>
      <w:r w:rsidRPr="00091C6F">
        <w:rPr>
          <w:rFonts w:ascii="Arial" w:hAnsi="Arial" w:cs="Arial"/>
          <w:szCs w:val="24"/>
        </w:rPr>
        <w:tab/>
      </w:r>
      <w:r w:rsidRPr="00091C6F">
        <w:rPr>
          <w:rFonts w:ascii="Arial" w:hAnsi="Arial" w:cs="Arial"/>
          <w:szCs w:val="24"/>
        </w:rPr>
        <w:tab/>
      </w:r>
      <w:r w:rsidRPr="00091C6F">
        <w:rPr>
          <w:rFonts w:ascii="Arial" w:hAnsi="Arial" w:cs="Arial"/>
          <w:szCs w:val="24"/>
        </w:rPr>
        <w:tab/>
        <w:t>Demandadas y sus apoderados:</w:t>
      </w:r>
    </w:p>
    <w:p w14:paraId="32C1E236" w14:textId="77777777" w:rsidR="00ED0C67" w:rsidRPr="00091C6F" w:rsidRDefault="00ED0C67" w:rsidP="00091C6F">
      <w:pPr>
        <w:spacing w:line="276" w:lineRule="auto"/>
        <w:contextualSpacing/>
        <w:jc w:val="both"/>
        <w:rPr>
          <w:rFonts w:ascii="Arial" w:hAnsi="Arial" w:cs="Arial"/>
          <w:b/>
          <w:szCs w:val="24"/>
        </w:rPr>
      </w:pPr>
    </w:p>
    <w:p w14:paraId="6F264648" w14:textId="77777777" w:rsidR="00D636F8" w:rsidRPr="00091C6F" w:rsidRDefault="00D636F8" w:rsidP="00091C6F">
      <w:pPr>
        <w:spacing w:line="276" w:lineRule="auto"/>
        <w:contextualSpacing/>
        <w:jc w:val="both"/>
        <w:rPr>
          <w:rFonts w:ascii="Arial" w:hAnsi="Arial" w:cs="Arial"/>
          <w:b/>
          <w:szCs w:val="24"/>
        </w:rPr>
      </w:pPr>
      <w:r w:rsidRPr="00091C6F">
        <w:rPr>
          <w:rFonts w:ascii="Arial" w:hAnsi="Arial" w:cs="Arial"/>
          <w:b/>
          <w:szCs w:val="24"/>
        </w:rPr>
        <w:t xml:space="preserve">Traslado a las partes </w:t>
      </w:r>
    </w:p>
    <w:p w14:paraId="2A632601" w14:textId="77777777" w:rsidR="00D636F8" w:rsidRPr="00091C6F" w:rsidRDefault="00D636F8" w:rsidP="00091C6F">
      <w:pPr>
        <w:spacing w:line="276" w:lineRule="auto"/>
        <w:contextualSpacing/>
        <w:jc w:val="both"/>
        <w:rPr>
          <w:rFonts w:ascii="Arial" w:hAnsi="Arial" w:cs="Arial"/>
          <w:b/>
          <w:szCs w:val="24"/>
        </w:rPr>
      </w:pPr>
    </w:p>
    <w:p w14:paraId="38B5B2EE" w14:textId="77777777" w:rsidR="00D636F8" w:rsidRPr="00091C6F" w:rsidRDefault="00D636F8" w:rsidP="00091C6F">
      <w:pPr>
        <w:spacing w:line="276" w:lineRule="auto"/>
        <w:contextualSpacing/>
        <w:jc w:val="both"/>
        <w:rPr>
          <w:rFonts w:ascii="Arial" w:hAnsi="Arial" w:cs="Arial"/>
          <w:szCs w:val="24"/>
        </w:rPr>
      </w:pPr>
      <w:r w:rsidRPr="00091C6F">
        <w:rPr>
          <w:rFonts w:ascii="Arial" w:hAnsi="Arial" w:cs="Arial"/>
          <w:szCs w:val="24"/>
        </w:rPr>
        <w:t>En este estado se corre traslado a los asistentes para que presenten sus alegatos, de conformidad con lo establecido por el artículo 13 de la Ley 1149/07.</w:t>
      </w:r>
    </w:p>
    <w:p w14:paraId="2D9E21A3" w14:textId="77777777" w:rsidR="00D636F8" w:rsidRDefault="00D636F8" w:rsidP="00091C6F">
      <w:pPr>
        <w:spacing w:line="276" w:lineRule="auto"/>
        <w:contextualSpacing/>
        <w:jc w:val="both"/>
        <w:rPr>
          <w:rFonts w:ascii="Arial" w:hAnsi="Arial" w:cs="Arial"/>
          <w:szCs w:val="24"/>
        </w:rPr>
      </w:pPr>
    </w:p>
    <w:p w14:paraId="219D2A8E" w14:textId="77777777" w:rsidR="005A3510" w:rsidRPr="00091C6F" w:rsidRDefault="005A3510" w:rsidP="00091C6F">
      <w:pPr>
        <w:spacing w:line="276" w:lineRule="auto"/>
        <w:contextualSpacing/>
        <w:jc w:val="both"/>
        <w:rPr>
          <w:rFonts w:ascii="Arial" w:hAnsi="Arial" w:cs="Arial"/>
          <w:szCs w:val="24"/>
        </w:rPr>
      </w:pPr>
    </w:p>
    <w:p w14:paraId="267D4781" w14:textId="77777777" w:rsidR="00D636F8" w:rsidRPr="00091C6F" w:rsidRDefault="00D636F8" w:rsidP="005A3510">
      <w:pPr>
        <w:spacing w:line="276" w:lineRule="auto"/>
        <w:contextualSpacing/>
        <w:jc w:val="center"/>
        <w:rPr>
          <w:rFonts w:ascii="Arial" w:hAnsi="Arial" w:cs="Arial"/>
          <w:b/>
          <w:szCs w:val="24"/>
        </w:rPr>
      </w:pPr>
      <w:r w:rsidRPr="00091C6F">
        <w:rPr>
          <w:rFonts w:ascii="Arial" w:hAnsi="Arial" w:cs="Arial"/>
          <w:b/>
          <w:szCs w:val="24"/>
        </w:rPr>
        <w:t>ANTECEDENTES:</w:t>
      </w:r>
    </w:p>
    <w:p w14:paraId="2F2CD8CF" w14:textId="77777777" w:rsidR="00D636F8" w:rsidRDefault="00D636F8" w:rsidP="00091C6F">
      <w:pPr>
        <w:pStyle w:val="Sinespaciado"/>
        <w:spacing w:line="276" w:lineRule="auto"/>
        <w:contextualSpacing/>
        <w:rPr>
          <w:rFonts w:ascii="Arial" w:hAnsi="Arial" w:cs="Arial"/>
          <w:sz w:val="24"/>
          <w:szCs w:val="24"/>
        </w:rPr>
      </w:pPr>
    </w:p>
    <w:p w14:paraId="36F3E735" w14:textId="77777777" w:rsidR="005A3510" w:rsidRPr="00091C6F" w:rsidRDefault="005A3510" w:rsidP="00091C6F">
      <w:pPr>
        <w:pStyle w:val="Sinespaciado"/>
        <w:spacing w:line="276" w:lineRule="auto"/>
        <w:contextualSpacing/>
        <w:rPr>
          <w:rFonts w:ascii="Arial" w:hAnsi="Arial" w:cs="Arial"/>
          <w:sz w:val="24"/>
          <w:szCs w:val="24"/>
        </w:rPr>
      </w:pPr>
    </w:p>
    <w:p w14:paraId="668658D6" w14:textId="77777777" w:rsidR="00D636F8" w:rsidRPr="00091C6F" w:rsidRDefault="00D636F8" w:rsidP="00091C6F">
      <w:pPr>
        <w:pStyle w:val="Prrafodelista"/>
        <w:numPr>
          <w:ilvl w:val="0"/>
          <w:numId w:val="1"/>
        </w:numPr>
        <w:spacing w:line="276" w:lineRule="auto"/>
        <w:jc w:val="both"/>
        <w:rPr>
          <w:rFonts w:ascii="Arial" w:hAnsi="Arial" w:cs="Arial"/>
          <w:b/>
          <w:sz w:val="24"/>
          <w:szCs w:val="24"/>
        </w:rPr>
      </w:pPr>
      <w:r w:rsidRPr="00091C6F">
        <w:rPr>
          <w:rFonts w:ascii="Arial" w:hAnsi="Arial" w:cs="Arial"/>
          <w:b/>
          <w:sz w:val="24"/>
          <w:szCs w:val="24"/>
        </w:rPr>
        <w:t>Síntesis de la demanda y su contestación</w:t>
      </w:r>
    </w:p>
    <w:p w14:paraId="18F92A7C" w14:textId="77777777" w:rsidR="00FB562F" w:rsidRPr="00091C6F" w:rsidRDefault="00FB562F" w:rsidP="00091C6F">
      <w:pPr>
        <w:pStyle w:val="Prrafodelista"/>
        <w:spacing w:line="276" w:lineRule="auto"/>
        <w:jc w:val="both"/>
        <w:rPr>
          <w:rFonts w:ascii="Arial" w:hAnsi="Arial" w:cs="Arial"/>
          <w:b/>
          <w:sz w:val="24"/>
          <w:szCs w:val="24"/>
        </w:rPr>
      </w:pPr>
    </w:p>
    <w:p w14:paraId="4B0AE933" w14:textId="3F0C78A9" w:rsidR="006B6BAF" w:rsidRDefault="0078009F" w:rsidP="00091C6F">
      <w:pPr>
        <w:spacing w:line="276" w:lineRule="auto"/>
        <w:jc w:val="both"/>
        <w:rPr>
          <w:rFonts w:ascii="Arial" w:hAnsi="Arial" w:cs="Arial"/>
          <w:szCs w:val="24"/>
        </w:rPr>
      </w:pPr>
      <w:r w:rsidRPr="00091C6F">
        <w:rPr>
          <w:rFonts w:ascii="Arial" w:hAnsi="Arial" w:cs="Arial"/>
          <w:szCs w:val="24"/>
        </w:rPr>
        <w:t>Héctor Fabio Zapata Calderón</w:t>
      </w:r>
      <w:r w:rsidR="006B6BAF" w:rsidRPr="00091C6F">
        <w:rPr>
          <w:rFonts w:ascii="Arial" w:hAnsi="Arial" w:cs="Arial"/>
          <w:szCs w:val="24"/>
        </w:rPr>
        <w:t xml:space="preserve"> pretende que se declare la “</w:t>
      </w:r>
      <w:r w:rsidRPr="00091C6F">
        <w:rPr>
          <w:rFonts w:ascii="Arial" w:hAnsi="Arial" w:cs="Arial"/>
          <w:i/>
          <w:szCs w:val="24"/>
        </w:rPr>
        <w:t xml:space="preserve">nulo e ineficaz” </w:t>
      </w:r>
      <w:r w:rsidRPr="00091C6F">
        <w:rPr>
          <w:rFonts w:ascii="Arial" w:hAnsi="Arial" w:cs="Arial"/>
          <w:szCs w:val="24"/>
        </w:rPr>
        <w:t>el traslado</w:t>
      </w:r>
      <w:r w:rsidR="006B6BAF" w:rsidRPr="00091C6F">
        <w:rPr>
          <w:rFonts w:ascii="Arial" w:hAnsi="Arial" w:cs="Arial"/>
          <w:szCs w:val="24"/>
        </w:rPr>
        <w:t xml:space="preserve"> realizado al Régimen de Ahorro Individual el </w:t>
      </w:r>
      <w:r w:rsidRPr="00091C6F">
        <w:rPr>
          <w:rFonts w:ascii="Arial" w:hAnsi="Arial" w:cs="Arial"/>
          <w:szCs w:val="24"/>
        </w:rPr>
        <w:t>29-04-1999</w:t>
      </w:r>
      <w:r w:rsidR="006B6BAF" w:rsidRPr="00091C6F">
        <w:rPr>
          <w:rFonts w:ascii="Arial" w:hAnsi="Arial" w:cs="Arial"/>
          <w:szCs w:val="24"/>
        </w:rPr>
        <w:t>, y en consecuencia se ordene a Protección S.A. a cancelar los aportes realizados con sus rendimientos financieros a Colpensiones, que a su vez deberá aceptar su afiliación.</w:t>
      </w:r>
    </w:p>
    <w:p w14:paraId="5C7DB725" w14:textId="77777777" w:rsidR="00091C6F" w:rsidRPr="00091C6F" w:rsidRDefault="00091C6F" w:rsidP="00091C6F">
      <w:pPr>
        <w:spacing w:line="276" w:lineRule="auto"/>
        <w:jc w:val="both"/>
        <w:rPr>
          <w:rFonts w:ascii="Arial" w:hAnsi="Arial" w:cs="Arial"/>
          <w:szCs w:val="24"/>
        </w:rPr>
      </w:pPr>
    </w:p>
    <w:p w14:paraId="4F3243A9" w14:textId="731CE790" w:rsidR="006B6BAF" w:rsidRPr="00091C6F" w:rsidRDefault="006B6BAF" w:rsidP="00091C6F">
      <w:pPr>
        <w:spacing w:line="276" w:lineRule="auto"/>
        <w:jc w:val="both"/>
        <w:rPr>
          <w:rFonts w:ascii="Arial" w:hAnsi="Arial" w:cs="Arial"/>
          <w:szCs w:val="24"/>
        </w:rPr>
      </w:pPr>
      <w:r w:rsidRPr="00091C6F">
        <w:rPr>
          <w:rFonts w:ascii="Arial" w:hAnsi="Arial" w:cs="Arial"/>
          <w:szCs w:val="24"/>
        </w:rPr>
        <w:t xml:space="preserve">Fundamenta sus aspiraciones en que </w:t>
      </w:r>
      <w:r w:rsidRPr="00091C6F">
        <w:rPr>
          <w:rFonts w:ascii="Arial" w:hAnsi="Arial" w:cs="Arial"/>
          <w:i/>
          <w:szCs w:val="24"/>
        </w:rPr>
        <w:t>i)</w:t>
      </w:r>
      <w:r w:rsidRPr="00091C6F">
        <w:rPr>
          <w:rFonts w:ascii="Arial" w:hAnsi="Arial" w:cs="Arial"/>
          <w:szCs w:val="24"/>
        </w:rPr>
        <w:t xml:space="preserve"> </w:t>
      </w:r>
      <w:r w:rsidR="0078009F" w:rsidRPr="00091C6F">
        <w:rPr>
          <w:rFonts w:ascii="Arial" w:hAnsi="Arial" w:cs="Arial"/>
          <w:szCs w:val="24"/>
        </w:rPr>
        <w:t>comenzó a realizar sus cotizaciones a pensión desde el 02-02</w:t>
      </w:r>
      <w:r w:rsidR="00E75572" w:rsidRPr="00091C6F">
        <w:rPr>
          <w:rFonts w:ascii="Arial" w:hAnsi="Arial" w:cs="Arial"/>
          <w:szCs w:val="24"/>
        </w:rPr>
        <w:t>-1982 y en la actualidad continú</w:t>
      </w:r>
      <w:r w:rsidR="0078009F" w:rsidRPr="00091C6F">
        <w:rPr>
          <w:rFonts w:ascii="Arial" w:hAnsi="Arial" w:cs="Arial"/>
          <w:szCs w:val="24"/>
        </w:rPr>
        <w:t xml:space="preserve">a prestando su servicios al Ingenio Risaralda; </w:t>
      </w:r>
      <w:r w:rsidR="0078009F" w:rsidRPr="00091C6F">
        <w:rPr>
          <w:rFonts w:ascii="Arial" w:hAnsi="Arial" w:cs="Arial"/>
          <w:i/>
          <w:szCs w:val="24"/>
        </w:rPr>
        <w:t xml:space="preserve">ii) </w:t>
      </w:r>
      <w:r w:rsidR="0078009F" w:rsidRPr="00091C6F">
        <w:rPr>
          <w:rFonts w:ascii="Arial" w:hAnsi="Arial" w:cs="Arial"/>
          <w:szCs w:val="24"/>
        </w:rPr>
        <w:t>el 29-04-1999 suscribió el formulario de vinculación a Colmena, hoy Protección S.A.</w:t>
      </w:r>
      <w:r w:rsidRPr="00091C6F">
        <w:rPr>
          <w:rFonts w:ascii="Arial" w:hAnsi="Arial" w:cs="Arial"/>
          <w:szCs w:val="24"/>
        </w:rPr>
        <w:t xml:space="preserve">; </w:t>
      </w:r>
      <w:r w:rsidRPr="00091C6F">
        <w:rPr>
          <w:rFonts w:ascii="Arial" w:hAnsi="Arial" w:cs="Arial"/>
          <w:i/>
          <w:szCs w:val="24"/>
        </w:rPr>
        <w:t>i</w:t>
      </w:r>
      <w:r w:rsidR="0078009F" w:rsidRPr="00091C6F">
        <w:rPr>
          <w:rFonts w:ascii="Arial" w:hAnsi="Arial" w:cs="Arial"/>
          <w:i/>
          <w:szCs w:val="24"/>
        </w:rPr>
        <w:t>i</w:t>
      </w:r>
      <w:r w:rsidRPr="00091C6F">
        <w:rPr>
          <w:rFonts w:ascii="Arial" w:hAnsi="Arial" w:cs="Arial"/>
          <w:i/>
          <w:szCs w:val="24"/>
        </w:rPr>
        <w:t>i)</w:t>
      </w:r>
      <w:r w:rsidRPr="00091C6F">
        <w:rPr>
          <w:rFonts w:ascii="Arial" w:hAnsi="Arial" w:cs="Arial"/>
          <w:szCs w:val="24"/>
        </w:rPr>
        <w:t xml:space="preserve"> la información otorgada </w:t>
      </w:r>
      <w:r w:rsidR="0078009F" w:rsidRPr="00091C6F">
        <w:rPr>
          <w:rFonts w:ascii="Arial" w:hAnsi="Arial" w:cs="Arial"/>
          <w:szCs w:val="24"/>
        </w:rPr>
        <w:t xml:space="preserve">por el asesor </w:t>
      </w:r>
      <w:r w:rsidRPr="00091C6F">
        <w:rPr>
          <w:rFonts w:ascii="Arial" w:hAnsi="Arial" w:cs="Arial"/>
          <w:szCs w:val="24"/>
        </w:rPr>
        <w:t xml:space="preserve">fue </w:t>
      </w:r>
      <w:r w:rsidR="0078009F" w:rsidRPr="00091C6F">
        <w:rPr>
          <w:rFonts w:ascii="Arial" w:hAnsi="Arial" w:cs="Arial"/>
          <w:szCs w:val="24"/>
        </w:rPr>
        <w:t xml:space="preserve">engañosa, falsa y lesiva de sus intereses, pues solo le informó de la pensión de vejez anticipada con una mesada superior a la del RPM y con derecho a excedentes de libre disposición, sin informarle sobre el retorno al régimen anterior; </w:t>
      </w:r>
      <w:r w:rsidR="0078009F" w:rsidRPr="00091C6F">
        <w:rPr>
          <w:rFonts w:ascii="Arial" w:hAnsi="Arial" w:cs="Arial"/>
          <w:i/>
          <w:szCs w:val="24"/>
        </w:rPr>
        <w:t>iv)</w:t>
      </w:r>
      <w:r w:rsidR="007E499F" w:rsidRPr="00091C6F">
        <w:rPr>
          <w:rFonts w:ascii="Arial" w:hAnsi="Arial" w:cs="Arial"/>
          <w:i/>
          <w:szCs w:val="24"/>
        </w:rPr>
        <w:t xml:space="preserve"> </w:t>
      </w:r>
      <w:r w:rsidR="0078009F" w:rsidRPr="00091C6F">
        <w:rPr>
          <w:rFonts w:ascii="Arial" w:hAnsi="Arial" w:cs="Arial"/>
          <w:szCs w:val="24"/>
        </w:rPr>
        <w:t>el 17-</w:t>
      </w:r>
      <w:r w:rsidR="007E499F" w:rsidRPr="00091C6F">
        <w:rPr>
          <w:rFonts w:ascii="Arial" w:hAnsi="Arial" w:cs="Arial"/>
          <w:szCs w:val="24"/>
        </w:rPr>
        <w:t>08-2017 la AFP le informó que el monto de su pensión a los 62 años sería de $1’038.605, cuando en Colpensiones sería de $1’534.101.</w:t>
      </w:r>
    </w:p>
    <w:p w14:paraId="565A94B7" w14:textId="77777777" w:rsidR="00A61C9D" w:rsidRPr="00091C6F" w:rsidRDefault="00A61C9D" w:rsidP="00091C6F">
      <w:pPr>
        <w:spacing w:line="276" w:lineRule="auto"/>
        <w:contextualSpacing/>
        <w:jc w:val="both"/>
        <w:rPr>
          <w:rFonts w:ascii="Arial" w:hAnsi="Arial" w:cs="Arial"/>
          <w:szCs w:val="24"/>
        </w:rPr>
      </w:pPr>
    </w:p>
    <w:p w14:paraId="6C082704" w14:textId="5825AB43" w:rsidR="00281327" w:rsidRPr="00091C6F" w:rsidRDefault="00281327" w:rsidP="00091C6F">
      <w:pPr>
        <w:spacing w:line="276" w:lineRule="auto"/>
        <w:contextualSpacing/>
        <w:jc w:val="both"/>
        <w:rPr>
          <w:rFonts w:ascii="Arial" w:hAnsi="Arial" w:cs="Arial"/>
          <w:i/>
          <w:szCs w:val="24"/>
        </w:rPr>
      </w:pPr>
      <w:r w:rsidRPr="00091C6F">
        <w:rPr>
          <w:rFonts w:ascii="Arial" w:hAnsi="Arial" w:cs="Arial"/>
          <w:b/>
          <w:szCs w:val="24"/>
        </w:rPr>
        <w:t xml:space="preserve">Colpensiones </w:t>
      </w:r>
      <w:r w:rsidRPr="00091C6F">
        <w:rPr>
          <w:rFonts w:ascii="Arial" w:hAnsi="Arial" w:cs="Arial"/>
          <w:szCs w:val="24"/>
        </w:rPr>
        <w:t>al contestar la demanda se opuso a las pretensiones elevadas en su contra porque la demandante no se encuentra afiliada al RPM válidamente, máxime que optó voluntariamente por afiliarse al RAIS. En ese sentido propuso las excepciones de “</w:t>
      </w:r>
      <w:r w:rsidRPr="00091C6F">
        <w:rPr>
          <w:rFonts w:ascii="Arial" w:hAnsi="Arial" w:cs="Arial"/>
          <w:i/>
          <w:szCs w:val="24"/>
        </w:rPr>
        <w:t xml:space="preserve">prescripción” </w:t>
      </w:r>
      <w:r w:rsidRPr="00091C6F">
        <w:rPr>
          <w:rFonts w:ascii="Arial" w:hAnsi="Arial" w:cs="Arial"/>
          <w:szCs w:val="24"/>
        </w:rPr>
        <w:t>e “</w:t>
      </w:r>
      <w:r w:rsidRPr="00091C6F">
        <w:rPr>
          <w:rFonts w:ascii="Arial" w:hAnsi="Arial" w:cs="Arial"/>
          <w:i/>
          <w:szCs w:val="24"/>
        </w:rPr>
        <w:t>inexist</w:t>
      </w:r>
      <w:r w:rsidR="00DC21CC" w:rsidRPr="00091C6F">
        <w:rPr>
          <w:rFonts w:ascii="Arial" w:hAnsi="Arial" w:cs="Arial"/>
          <w:i/>
          <w:szCs w:val="24"/>
        </w:rPr>
        <w:t>encia de la obligación</w:t>
      </w:r>
      <w:r w:rsidRPr="00091C6F">
        <w:rPr>
          <w:rFonts w:ascii="Arial" w:hAnsi="Arial" w:cs="Arial"/>
          <w:i/>
          <w:szCs w:val="24"/>
        </w:rPr>
        <w:t>”.</w:t>
      </w:r>
    </w:p>
    <w:p w14:paraId="382811CA" w14:textId="77777777" w:rsidR="00DC21CC" w:rsidRPr="00091C6F" w:rsidRDefault="00DC21CC" w:rsidP="00091C6F">
      <w:pPr>
        <w:spacing w:line="276" w:lineRule="auto"/>
        <w:contextualSpacing/>
        <w:jc w:val="both"/>
        <w:rPr>
          <w:rFonts w:ascii="Arial" w:hAnsi="Arial" w:cs="Arial"/>
          <w:szCs w:val="24"/>
        </w:rPr>
      </w:pPr>
    </w:p>
    <w:p w14:paraId="60499D74" w14:textId="7B7C5309" w:rsidR="00281327" w:rsidRPr="00091C6F" w:rsidRDefault="00281327" w:rsidP="00091C6F">
      <w:pPr>
        <w:spacing w:line="276" w:lineRule="auto"/>
        <w:contextualSpacing/>
        <w:jc w:val="both"/>
        <w:rPr>
          <w:rFonts w:ascii="Arial" w:hAnsi="Arial" w:cs="Arial"/>
          <w:szCs w:val="24"/>
        </w:rPr>
      </w:pPr>
      <w:r w:rsidRPr="00091C6F">
        <w:rPr>
          <w:rFonts w:ascii="Arial" w:hAnsi="Arial" w:cs="Arial"/>
          <w:szCs w:val="24"/>
        </w:rPr>
        <w:t>A su turno,</w:t>
      </w:r>
      <w:r w:rsidRPr="00091C6F">
        <w:rPr>
          <w:rFonts w:ascii="Arial" w:hAnsi="Arial" w:cs="Arial"/>
          <w:b/>
          <w:szCs w:val="24"/>
        </w:rPr>
        <w:t xml:space="preserve"> Protección S.A. </w:t>
      </w:r>
      <w:r w:rsidRPr="00091C6F">
        <w:rPr>
          <w:rFonts w:ascii="Arial" w:hAnsi="Arial" w:cs="Arial"/>
          <w:szCs w:val="24"/>
        </w:rPr>
        <w:t>también se opuso a las pretensiones, por lo que recriminó que brindó la información debida al demandante, pues los asesores para la época del traslado realizaron la contextualización requerida; por lo que, presentó las excepciones que denominó “</w:t>
      </w:r>
      <w:r w:rsidRPr="00091C6F">
        <w:rPr>
          <w:rFonts w:ascii="Arial" w:hAnsi="Arial" w:cs="Arial"/>
          <w:i/>
          <w:szCs w:val="24"/>
        </w:rPr>
        <w:t xml:space="preserve">prescripción”, “buena fe”, “inexistencia de la obligación”, </w:t>
      </w:r>
      <w:r w:rsidRPr="00091C6F">
        <w:rPr>
          <w:rFonts w:ascii="Arial" w:hAnsi="Arial" w:cs="Arial"/>
          <w:szCs w:val="24"/>
        </w:rPr>
        <w:t xml:space="preserve">entre otras. </w:t>
      </w:r>
    </w:p>
    <w:p w14:paraId="032A5CBC" w14:textId="77777777" w:rsidR="00BF2CF5" w:rsidRPr="00091C6F" w:rsidRDefault="00BF2CF5" w:rsidP="00091C6F">
      <w:pPr>
        <w:spacing w:line="276" w:lineRule="auto"/>
        <w:contextualSpacing/>
        <w:jc w:val="both"/>
        <w:rPr>
          <w:rFonts w:ascii="Arial" w:hAnsi="Arial" w:cs="Arial"/>
          <w:szCs w:val="24"/>
        </w:rPr>
      </w:pPr>
    </w:p>
    <w:p w14:paraId="0B3459DD" w14:textId="77777777" w:rsidR="00D636F8" w:rsidRPr="00091C6F" w:rsidRDefault="00B15207" w:rsidP="00091C6F">
      <w:pPr>
        <w:spacing w:line="276" w:lineRule="auto"/>
        <w:contextualSpacing/>
        <w:jc w:val="both"/>
        <w:rPr>
          <w:rFonts w:ascii="Arial" w:hAnsi="Arial" w:cs="Arial"/>
          <w:b/>
          <w:szCs w:val="24"/>
        </w:rPr>
      </w:pPr>
      <w:r w:rsidRPr="00091C6F">
        <w:rPr>
          <w:rFonts w:ascii="Arial" w:hAnsi="Arial" w:cs="Arial"/>
          <w:b/>
          <w:szCs w:val="24"/>
        </w:rPr>
        <w:t xml:space="preserve">2. </w:t>
      </w:r>
      <w:r w:rsidR="00646A53" w:rsidRPr="00091C6F">
        <w:rPr>
          <w:rFonts w:ascii="Arial" w:hAnsi="Arial" w:cs="Arial"/>
          <w:b/>
          <w:szCs w:val="24"/>
        </w:rPr>
        <w:t>Síntesis de la sentencia</w:t>
      </w:r>
      <w:r w:rsidR="00D95701" w:rsidRPr="00091C6F">
        <w:rPr>
          <w:rFonts w:ascii="Arial" w:hAnsi="Arial" w:cs="Arial"/>
          <w:b/>
          <w:szCs w:val="24"/>
        </w:rPr>
        <w:t xml:space="preserve"> apelada</w:t>
      </w:r>
    </w:p>
    <w:p w14:paraId="7268244A" w14:textId="77777777" w:rsidR="00B15207" w:rsidRPr="00091C6F" w:rsidRDefault="00B15207" w:rsidP="00091C6F">
      <w:pPr>
        <w:spacing w:line="276" w:lineRule="auto"/>
        <w:contextualSpacing/>
        <w:jc w:val="both"/>
        <w:rPr>
          <w:rFonts w:ascii="Arial" w:hAnsi="Arial" w:cs="Arial"/>
          <w:b/>
          <w:szCs w:val="24"/>
        </w:rPr>
      </w:pPr>
    </w:p>
    <w:p w14:paraId="204513C6" w14:textId="7A73613A" w:rsidR="00653110" w:rsidRPr="00091C6F" w:rsidRDefault="00653110" w:rsidP="00091C6F">
      <w:pPr>
        <w:spacing w:line="276" w:lineRule="auto"/>
        <w:contextualSpacing/>
        <w:jc w:val="both"/>
        <w:rPr>
          <w:rFonts w:ascii="Arial" w:hAnsi="Arial" w:cs="Arial"/>
          <w:color w:val="000000"/>
          <w:szCs w:val="24"/>
          <w:lang w:eastAsia="es-CO"/>
        </w:rPr>
      </w:pPr>
      <w:r w:rsidRPr="00091C6F">
        <w:rPr>
          <w:rFonts w:ascii="Arial" w:hAnsi="Arial" w:cs="Arial"/>
          <w:color w:val="000000"/>
          <w:szCs w:val="24"/>
          <w:lang w:eastAsia="es-CO"/>
        </w:rPr>
        <w:t xml:space="preserve">El Juzgado </w:t>
      </w:r>
      <w:r w:rsidR="00DC21CC" w:rsidRPr="00091C6F">
        <w:rPr>
          <w:rFonts w:ascii="Arial" w:hAnsi="Arial" w:cs="Arial"/>
          <w:color w:val="000000"/>
          <w:szCs w:val="24"/>
          <w:lang w:eastAsia="es-CO"/>
        </w:rPr>
        <w:t>Quinto</w:t>
      </w:r>
      <w:r w:rsidRPr="00091C6F">
        <w:rPr>
          <w:rFonts w:ascii="Arial" w:hAnsi="Arial" w:cs="Arial"/>
          <w:color w:val="000000"/>
          <w:szCs w:val="24"/>
          <w:lang w:eastAsia="es-CO"/>
        </w:rPr>
        <w:t xml:space="preserve"> Laboral del Circuito de Pereira declaró la ineficacia del traslado al RAIS realizado el </w:t>
      </w:r>
      <w:r w:rsidR="00DC21CC" w:rsidRPr="00091C6F">
        <w:rPr>
          <w:rFonts w:ascii="Arial" w:hAnsi="Arial" w:cs="Arial"/>
          <w:color w:val="000000"/>
          <w:szCs w:val="24"/>
          <w:lang w:eastAsia="es-CO"/>
        </w:rPr>
        <w:t>29-04-1999</w:t>
      </w:r>
      <w:r w:rsidRPr="00091C6F">
        <w:rPr>
          <w:rFonts w:ascii="Arial" w:hAnsi="Arial" w:cs="Arial"/>
          <w:color w:val="000000"/>
          <w:szCs w:val="24"/>
          <w:lang w:eastAsia="es-CO"/>
        </w:rPr>
        <w:t xml:space="preserve">, y en consecuencia ordenó a Colpensiones que aceptara el traslado de </w:t>
      </w:r>
      <w:r w:rsidR="00DC21CC" w:rsidRPr="00091C6F">
        <w:rPr>
          <w:rFonts w:ascii="Arial" w:hAnsi="Arial" w:cs="Arial"/>
          <w:color w:val="000000"/>
          <w:szCs w:val="24"/>
          <w:lang w:eastAsia="es-CO"/>
        </w:rPr>
        <w:t>Héctor Fabio Zapata Calderón</w:t>
      </w:r>
      <w:r w:rsidRPr="00091C6F">
        <w:rPr>
          <w:rFonts w:ascii="Arial" w:hAnsi="Arial" w:cs="Arial"/>
          <w:color w:val="000000"/>
          <w:szCs w:val="24"/>
          <w:lang w:eastAsia="es-CO"/>
        </w:rPr>
        <w:t xml:space="preserve"> a dicha entidad; además, ordenó a Protección S.A. que traslade los aportes, rendimientos financieros y demás sumas que se encuentran en la c</w:t>
      </w:r>
      <w:r w:rsidR="00DC21CC" w:rsidRPr="00091C6F">
        <w:rPr>
          <w:rFonts w:ascii="Arial" w:hAnsi="Arial" w:cs="Arial"/>
          <w:color w:val="000000"/>
          <w:szCs w:val="24"/>
          <w:lang w:eastAsia="es-CO"/>
        </w:rPr>
        <w:t>uenta de ahorro individual del</w:t>
      </w:r>
      <w:r w:rsidRPr="00091C6F">
        <w:rPr>
          <w:rFonts w:ascii="Arial" w:hAnsi="Arial" w:cs="Arial"/>
          <w:color w:val="000000"/>
          <w:szCs w:val="24"/>
          <w:lang w:eastAsia="es-CO"/>
        </w:rPr>
        <w:t xml:space="preserve"> demandante a Colpensiones.</w:t>
      </w:r>
    </w:p>
    <w:p w14:paraId="15146906" w14:textId="77777777" w:rsidR="00653110" w:rsidRPr="00091C6F" w:rsidRDefault="00653110" w:rsidP="00091C6F">
      <w:pPr>
        <w:spacing w:line="276" w:lineRule="auto"/>
        <w:contextualSpacing/>
        <w:jc w:val="both"/>
        <w:rPr>
          <w:rFonts w:ascii="Arial" w:hAnsi="Arial" w:cs="Arial"/>
          <w:color w:val="000000"/>
          <w:szCs w:val="24"/>
          <w:lang w:eastAsia="es-CO"/>
        </w:rPr>
      </w:pPr>
    </w:p>
    <w:p w14:paraId="4B0DD9B4" w14:textId="77777777" w:rsidR="00653110" w:rsidRPr="00091C6F" w:rsidRDefault="00653110" w:rsidP="00091C6F">
      <w:pPr>
        <w:spacing w:line="276" w:lineRule="auto"/>
        <w:contextualSpacing/>
        <w:jc w:val="both"/>
        <w:rPr>
          <w:rFonts w:ascii="Arial" w:hAnsi="Arial" w:cs="Arial"/>
          <w:color w:val="000000"/>
          <w:szCs w:val="24"/>
          <w:lang w:eastAsia="es-CO"/>
        </w:rPr>
      </w:pPr>
      <w:r w:rsidRPr="00091C6F">
        <w:rPr>
          <w:rFonts w:ascii="Arial" w:hAnsi="Arial" w:cs="Arial"/>
          <w:color w:val="000000"/>
          <w:szCs w:val="24"/>
          <w:lang w:eastAsia="es-CO"/>
        </w:rPr>
        <w:lastRenderedPageBreak/>
        <w:t xml:space="preserve">Como fundamento de tal determinación, la </w:t>
      </w:r>
      <w:r w:rsidRPr="00091C6F">
        <w:rPr>
          <w:rFonts w:ascii="Arial" w:hAnsi="Arial" w:cs="Arial"/>
          <w:i/>
          <w:color w:val="000000"/>
          <w:szCs w:val="24"/>
          <w:lang w:eastAsia="es-CO"/>
        </w:rPr>
        <w:t xml:space="preserve">a quo </w:t>
      </w:r>
      <w:r w:rsidRPr="00091C6F">
        <w:rPr>
          <w:rFonts w:ascii="Arial" w:hAnsi="Arial" w:cs="Arial"/>
          <w:color w:val="000000"/>
          <w:szCs w:val="24"/>
          <w:lang w:eastAsia="es-CO"/>
        </w:rPr>
        <w:t xml:space="preserve">argumentó </w:t>
      </w:r>
      <w:r w:rsidR="00647EF8" w:rsidRPr="00091C6F">
        <w:rPr>
          <w:rFonts w:ascii="Arial" w:hAnsi="Arial" w:cs="Arial"/>
          <w:color w:val="000000"/>
          <w:szCs w:val="24"/>
          <w:lang w:eastAsia="es-CO"/>
        </w:rPr>
        <w:t xml:space="preserve">a partir de la jurisprudencia de la Sala Laboral de la Corte Suprema de Justicia </w:t>
      </w:r>
      <w:r w:rsidRPr="00091C6F">
        <w:rPr>
          <w:rFonts w:ascii="Arial" w:hAnsi="Arial" w:cs="Arial"/>
          <w:color w:val="000000"/>
          <w:szCs w:val="24"/>
          <w:lang w:eastAsia="es-CO"/>
        </w:rPr>
        <w:t xml:space="preserve">que correspondía a la AFP acreditar el deber de información para la época del traslado, sin parar mientes si el afiliado era o no beneficiario del régimen de transición; carga que incumplió pues ninguna prueba en ese sentido allegó, pues únicamente proporcionó el formulario de afiliación que de ninguna manera era suficiente; y por el contrario, tanto del interrogatorio como de los testigos se desprendía tal ausencia de información. </w:t>
      </w:r>
    </w:p>
    <w:p w14:paraId="6D65B604" w14:textId="77777777" w:rsidR="008660CF" w:rsidRPr="00091C6F" w:rsidRDefault="008660CF" w:rsidP="00091C6F">
      <w:pPr>
        <w:spacing w:line="276" w:lineRule="auto"/>
        <w:jc w:val="both"/>
        <w:rPr>
          <w:rFonts w:ascii="Arial" w:hAnsi="Arial" w:cs="Arial"/>
          <w:szCs w:val="24"/>
          <w:lang w:eastAsia="es-CO"/>
        </w:rPr>
      </w:pPr>
    </w:p>
    <w:p w14:paraId="7204994F" w14:textId="77777777" w:rsidR="00D636F8" w:rsidRPr="00091C6F" w:rsidRDefault="00AB664B" w:rsidP="00091C6F">
      <w:pPr>
        <w:spacing w:line="276" w:lineRule="auto"/>
        <w:jc w:val="both"/>
        <w:rPr>
          <w:rFonts w:ascii="Arial" w:hAnsi="Arial" w:cs="Arial"/>
          <w:b/>
          <w:szCs w:val="24"/>
        </w:rPr>
      </w:pPr>
      <w:r w:rsidRPr="00091C6F">
        <w:rPr>
          <w:rFonts w:ascii="Arial" w:hAnsi="Arial" w:cs="Arial"/>
          <w:b/>
          <w:szCs w:val="24"/>
        </w:rPr>
        <w:t>3. Síntesis del r</w:t>
      </w:r>
      <w:r w:rsidR="00163D64" w:rsidRPr="00091C6F">
        <w:rPr>
          <w:rFonts w:ascii="Arial" w:hAnsi="Arial" w:cs="Arial"/>
          <w:b/>
          <w:szCs w:val="24"/>
        </w:rPr>
        <w:t>ecurso de a</w:t>
      </w:r>
      <w:r w:rsidR="00D00083" w:rsidRPr="00091C6F">
        <w:rPr>
          <w:rFonts w:ascii="Arial" w:hAnsi="Arial" w:cs="Arial"/>
          <w:b/>
          <w:szCs w:val="24"/>
        </w:rPr>
        <w:t>pelación</w:t>
      </w:r>
    </w:p>
    <w:p w14:paraId="357A4E3B" w14:textId="77777777" w:rsidR="006F454B" w:rsidRPr="00091C6F" w:rsidRDefault="006F454B" w:rsidP="00091C6F">
      <w:pPr>
        <w:pStyle w:val="Prrafodelista"/>
        <w:spacing w:line="276" w:lineRule="auto"/>
        <w:ind w:left="0"/>
        <w:jc w:val="both"/>
        <w:rPr>
          <w:rFonts w:ascii="Arial" w:eastAsia="Times New Roman" w:hAnsi="Arial" w:cs="Arial"/>
          <w:color w:val="000000"/>
          <w:sz w:val="24"/>
          <w:szCs w:val="24"/>
          <w:lang w:eastAsia="es-CO"/>
        </w:rPr>
      </w:pPr>
    </w:p>
    <w:p w14:paraId="12F7FB95" w14:textId="4397F039" w:rsidR="0022002C" w:rsidRPr="00091C6F" w:rsidRDefault="00647EF8" w:rsidP="00091C6F">
      <w:pPr>
        <w:pStyle w:val="Prrafodelista"/>
        <w:spacing w:line="276" w:lineRule="auto"/>
        <w:ind w:left="0"/>
        <w:jc w:val="both"/>
        <w:rPr>
          <w:rFonts w:ascii="Arial" w:eastAsia="Times New Roman" w:hAnsi="Arial" w:cs="Arial"/>
          <w:color w:val="000000"/>
          <w:sz w:val="24"/>
          <w:szCs w:val="24"/>
          <w:lang w:eastAsia="es-CO"/>
        </w:rPr>
      </w:pPr>
      <w:r w:rsidRPr="00091C6F">
        <w:rPr>
          <w:rFonts w:ascii="Arial" w:eastAsia="Times New Roman" w:hAnsi="Arial" w:cs="Arial"/>
          <w:color w:val="000000"/>
          <w:sz w:val="24"/>
          <w:szCs w:val="24"/>
          <w:lang w:eastAsia="es-CO"/>
        </w:rPr>
        <w:t xml:space="preserve">Inconforme con la decisión ambas codemandadas interpusieron recurso de alzada. Así, </w:t>
      </w:r>
      <w:r w:rsidRPr="00091C6F">
        <w:rPr>
          <w:rFonts w:ascii="Arial" w:eastAsia="Times New Roman" w:hAnsi="Arial" w:cs="Arial"/>
          <w:b/>
          <w:color w:val="000000"/>
          <w:sz w:val="24"/>
          <w:szCs w:val="24"/>
          <w:lang w:eastAsia="es-CO"/>
        </w:rPr>
        <w:t>Protección S.A.</w:t>
      </w:r>
      <w:r w:rsidRPr="00091C6F">
        <w:rPr>
          <w:rFonts w:ascii="Arial" w:eastAsia="Times New Roman" w:hAnsi="Arial" w:cs="Arial"/>
          <w:color w:val="000000"/>
          <w:sz w:val="24"/>
          <w:szCs w:val="24"/>
          <w:lang w:eastAsia="es-CO"/>
        </w:rPr>
        <w:t xml:space="preserve"> </w:t>
      </w:r>
      <w:r w:rsidR="0022002C" w:rsidRPr="00091C6F">
        <w:rPr>
          <w:rFonts w:ascii="Arial" w:eastAsia="Times New Roman" w:hAnsi="Arial" w:cs="Arial"/>
          <w:color w:val="000000"/>
          <w:sz w:val="24"/>
          <w:szCs w:val="24"/>
          <w:lang w:eastAsia="es-CO"/>
        </w:rPr>
        <w:t>con fundamento en criterios expuestos por esta Colegiatura, argumentó que</w:t>
      </w:r>
      <w:r w:rsidRPr="00091C6F">
        <w:rPr>
          <w:rFonts w:ascii="Arial" w:eastAsia="Times New Roman" w:hAnsi="Arial" w:cs="Arial"/>
          <w:color w:val="000000"/>
          <w:sz w:val="24"/>
          <w:szCs w:val="24"/>
          <w:lang w:eastAsia="es-CO"/>
        </w:rPr>
        <w:t xml:space="preserve"> </w:t>
      </w:r>
      <w:r w:rsidR="0022002C" w:rsidRPr="00091C6F">
        <w:rPr>
          <w:rFonts w:ascii="Arial" w:eastAsia="Times New Roman" w:hAnsi="Arial" w:cs="Arial"/>
          <w:color w:val="000000"/>
          <w:sz w:val="24"/>
          <w:szCs w:val="24"/>
          <w:lang w:eastAsia="es-CO"/>
        </w:rPr>
        <w:t>la inversión de la carga de la prueba únicamente era procedente en los eventos que el afiliado era beneficiario del régimen de transición, situación que no aconteció en el caso de ahora, por lo que correspondía a Héctor Fabio Zapata Calderón acreditar que la AFP omitió su deber de información, aspecto que no ocurri</w:t>
      </w:r>
      <w:r w:rsidR="00B20968" w:rsidRPr="00091C6F">
        <w:rPr>
          <w:rFonts w:ascii="Arial" w:eastAsia="Times New Roman" w:hAnsi="Arial" w:cs="Arial"/>
          <w:color w:val="000000"/>
          <w:sz w:val="24"/>
          <w:szCs w:val="24"/>
          <w:lang w:eastAsia="es-CO"/>
        </w:rPr>
        <w:t>ó.</w:t>
      </w:r>
    </w:p>
    <w:p w14:paraId="69D0741F" w14:textId="77777777" w:rsidR="0022002C" w:rsidRPr="00091C6F" w:rsidRDefault="0022002C" w:rsidP="00091C6F">
      <w:pPr>
        <w:pStyle w:val="Prrafodelista"/>
        <w:spacing w:line="276" w:lineRule="auto"/>
        <w:ind w:left="0"/>
        <w:jc w:val="both"/>
        <w:rPr>
          <w:rFonts w:ascii="Arial" w:eastAsia="Times New Roman" w:hAnsi="Arial" w:cs="Arial"/>
          <w:color w:val="000000"/>
          <w:sz w:val="24"/>
          <w:szCs w:val="24"/>
          <w:lang w:eastAsia="es-CO"/>
        </w:rPr>
      </w:pPr>
    </w:p>
    <w:p w14:paraId="1D7D28B6" w14:textId="3E1EDD3B" w:rsidR="00576FC3" w:rsidRPr="00091C6F" w:rsidRDefault="00647EF8" w:rsidP="00091C6F">
      <w:pPr>
        <w:pStyle w:val="Prrafodelista"/>
        <w:spacing w:line="276" w:lineRule="auto"/>
        <w:ind w:left="0"/>
        <w:jc w:val="both"/>
        <w:rPr>
          <w:rFonts w:ascii="Arial" w:eastAsia="Times New Roman" w:hAnsi="Arial" w:cs="Arial"/>
          <w:color w:val="000000"/>
          <w:sz w:val="24"/>
          <w:szCs w:val="24"/>
          <w:lang w:eastAsia="es-CO"/>
        </w:rPr>
      </w:pPr>
      <w:r w:rsidRPr="00091C6F">
        <w:rPr>
          <w:rFonts w:ascii="Arial" w:eastAsia="Times New Roman" w:hAnsi="Arial" w:cs="Arial"/>
          <w:color w:val="000000"/>
          <w:sz w:val="24"/>
          <w:szCs w:val="24"/>
          <w:lang w:eastAsia="es-CO"/>
        </w:rPr>
        <w:t xml:space="preserve">Por su parte, </w:t>
      </w:r>
      <w:r w:rsidRPr="00091C6F">
        <w:rPr>
          <w:rFonts w:ascii="Arial" w:eastAsia="Times New Roman" w:hAnsi="Arial" w:cs="Arial"/>
          <w:b/>
          <w:color w:val="000000"/>
          <w:sz w:val="24"/>
          <w:szCs w:val="24"/>
          <w:lang w:eastAsia="es-CO"/>
        </w:rPr>
        <w:t xml:space="preserve">Colpensiones </w:t>
      </w:r>
      <w:r w:rsidRPr="00091C6F">
        <w:rPr>
          <w:rFonts w:ascii="Arial" w:eastAsia="Times New Roman" w:hAnsi="Arial" w:cs="Arial"/>
          <w:color w:val="000000"/>
          <w:sz w:val="24"/>
          <w:szCs w:val="24"/>
          <w:lang w:eastAsia="es-CO"/>
        </w:rPr>
        <w:t xml:space="preserve">al elevar el recurso de alzada argumentó que </w:t>
      </w:r>
      <w:r w:rsidR="006261D0" w:rsidRPr="00091C6F">
        <w:rPr>
          <w:rFonts w:ascii="Arial" w:eastAsia="Times New Roman" w:hAnsi="Arial" w:cs="Arial"/>
          <w:color w:val="000000"/>
          <w:sz w:val="24"/>
          <w:szCs w:val="24"/>
          <w:lang w:eastAsia="es-CO"/>
        </w:rPr>
        <w:t>la entidad únicamente actuaba conforme a la legislación, que para el caso de ahora restringía el traslado de la demandante, porque había superado el término de 10 añ</w:t>
      </w:r>
      <w:r w:rsidR="00B20968" w:rsidRPr="00091C6F">
        <w:rPr>
          <w:rFonts w:ascii="Arial" w:eastAsia="Times New Roman" w:hAnsi="Arial" w:cs="Arial"/>
          <w:color w:val="000000"/>
          <w:sz w:val="24"/>
          <w:szCs w:val="24"/>
          <w:lang w:eastAsia="es-CO"/>
        </w:rPr>
        <w:t xml:space="preserve">os para efectuar dicho retorno, máxime que </w:t>
      </w:r>
      <w:r w:rsidR="006D77BD" w:rsidRPr="00091C6F">
        <w:rPr>
          <w:rFonts w:ascii="Arial" w:eastAsia="Times New Roman" w:hAnsi="Arial" w:cs="Arial"/>
          <w:color w:val="000000"/>
          <w:sz w:val="24"/>
          <w:szCs w:val="24"/>
          <w:lang w:eastAsia="es-CO"/>
        </w:rPr>
        <w:t xml:space="preserve">a esta se le informó </w:t>
      </w:r>
      <w:r w:rsidR="00B20968" w:rsidRPr="00091C6F">
        <w:rPr>
          <w:rFonts w:ascii="Arial" w:eastAsia="Times New Roman" w:hAnsi="Arial" w:cs="Arial"/>
          <w:color w:val="000000"/>
          <w:sz w:val="24"/>
          <w:szCs w:val="24"/>
          <w:lang w:eastAsia="es-CO"/>
        </w:rPr>
        <w:t xml:space="preserve">de las características principales del régimen de ahorro individual, entre ellas la obtención de rendimientos financieros, motivo que desencadenó el traslado de Héctor Fabio Zapata Calderón. Por otro lado, reprochó la inversión de la carga de la prueba, pues a su juicio correspondía al demandante acreditar la ausencia de información, sin que la diferencia de mesadas pensionales a recibir al término de la vida pudiese ser </w:t>
      </w:r>
      <w:r w:rsidR="007334CB" w:rsidRPr="00091C6F">
        <w:rPr>
          <w:rFonts w:ascii="Arial" w:eastAsia="Times New Roman" w:hAnsi="Arial" w:cs="Arial"/>
          <w:color w:val="000000"/>
          <w:sz w:val="24"/>
          <w:szCs w:val="24"/>
          <w:lang w:eastAsia="es-CO"/>
        </w:rPr>
        <w:t>conocida</w:t>
      </w:r>
      <w:r w:rsidR="00B20968" w:rsidRPr="00091C6F">
        <w:rPr>
          <w:rFonts w:ascii="Arial" w:eastAsia="Times New Roman" w:hAnsi="Arial" w:cs="Arial"/>
          <w:color w:val="000000"/>
          <w:sz w:val="24"/>
          <w:szCs w:val="24"/>
          <w:lang w:eastAsia="es-CO"/>
        </w:rPr>
        <w:t xml:space="preserve"> previamente p</w:t>
      </w:r>
      <w:r w:rsidR="006D77BD" w:rsidRPr="00091C6F">
        <w:rPr>
          <w:rFonts w:ascii="Arial" w:eastAsia="Times New Roman" w:hAnsi="Arial" w:cs="Arial"/>
          <w:color w:val="000000"/>
          <w:sz w:val="24"/>
          <w:szCs w:val="24"/>
          <w:lang w:eastAsia="es-CO"/>
        </w:rPr>
        <w:t>or el asesor, pues ello depende</w:t>
      </w:r>
      <w:r w:rsidR="00B20968" w:rsidRPr="00091C6F">
        <w:rPr>
          <w:rFonts w:ascii="Arial" w:eastAsia="Times New Roman" w:hAnsi="Arial" w:cs="Arial"/>
          <w:color w:val="000000"/>
          <w:sz w:val="24"/>
          <w:szCs w:val="24"/>
          <w:lang w:eastAsia="es-CO"/>
        </w:rPr>
        <w:t xml:space="preserve"> de variables futuras. </w:t>
      </w:r>
    </w:p>
    <w:p w14:paraId="2DC354D2" w14:textId="77777777" w:rsidR="00ED0C67" w:rsidRPr="00091C6F" w:rsidRDefault="00ED0C67" w:rsidP="00091C6F">
      <w:pPr>
        <w:pStyle w:val="Prrafodelista"/>
        <w:spacing w:line="276" w:lineRule="auto"/>
        <w:ind w:left="0"/>
        <w:jc w:val="both"/>
        <w:rPr>
          <w:rFonts w:ascii="Arial" w:eastAsia="Times New Roman" w:hAnsi="Arial" w:cs="Arial"/>
          <w:color w:val="000000"/>
          <w:sz w:val="24"/>
          <w:szCs w:val="24"/>
          <w:lang w:eastAsia="es-CO"/>
        </w:rPr>
      </w:pPr>
    </w:p>
    <w:p w14:paraId="5CCCCC43" w14:textId="273FF18A" w:rsidR="00ED0C67" w:rsidRPr="00091C6F" w:rsidRDefault="00ED0C67" w:rsidP="00091C6F">
      <w:pPr>
        <w:spacing w:line="276" w:lineRule="auto"/>
        <w:jc w:val="both"/>
        <w:rPr>
          <w:rFonts w:ascii="Arial" w:eastAsiaTheme="minorHAnsi" w:hAnsi="Arial" w:cs="Arial"/>
          <w:b/>
          <w:color w:val="000000" w:themeColor="text1"/>
          <w:szCs w:val="24"/>
          <w:lang w:eastAsia="en-US"/>
        </w:rPr>
      </w:pPr>
      <w:r w:rsidRPr="00091C6F">
        <w:rPr>
          <w:rFonts w:ascii="Arial" w:eastAsiaTheme="minorHAnsi" w:hAnsi="Arial" w:cs="Arial"/>
          <w:b/>
          <w:color w:val="000000" w:themeColor="text1"/>
          <w:szCs w:val="24"/>
          <w:lang w:eastAsia="en-US"/>
        </w:rPr>
        <w:t xml:space="preserve">4. Grado jurisdiccional de consulta </w:t>
      </w:r>
    </w:p>
    <w:p w14:paraId="37C51EC0" w14:textId="77777777" w:rsidR="00ED0C67" w:rsidRPr="00091C6F" w:rsidRDefault="00ED0C67" w:rsidP="00091C6F">
      <w:pPr>
        <w:spacing w:line="276" w:lineRule="auto"/>
        <w:jc w:val="both"/>
        <w:rPr>
          <w:rFonts w:ascii="Arial" w:eastAsiaTheme="minorHAnsi" w:hAnsi="Arial" w:cs="Arial"/>
          <w:b/>
          <w:color w:val="000000" w:themeColor="text1"/>
          <w:szCs w:val="24"/>
          <w:lang w:eastAsia="en-US"/>
        </w:rPr>
      </w:pPr>
    </w:p>
    <w:p w14:paraId="2039819F" w14:textId="26CE2E31" w:rsidR="00ED0C67" w:rsidRPr="00091C6F" w:rsidRDefault="00ED0C67" w:rsidP="00091C6F">
      <w:pPr>
        <w:spacing w:line="276" w:lineRule="auto"/>
        <w:jc w:val="both"/>
        <w:rPr>
          <w:rFonts w:ascii="Arial" w:hAnsi="Arial" w:cs="Arial"/>
          <w:color w:val="000000"/>
          <w:szCs w:val="24"/>
          <w:lang w:eastAsia="es-CO"/>
        </w:rPr>
      </w:pPr>
      <w:r w:rsidRPr="00091C6F">
        <w:rPr>
          <w:rFonts w:ascii="Arial" w:eastAsiaTheme="minorHAnsi" w:hAnsi="Arial" w:cs="Arial"/>
          <w:color w:val="000000" w:themeColor="text1"/>
          <w:szCs w:val="24"/>
          <w:lang w:eastAsia="en-US"/>
        </w:rPr>
        <w:t>Por resultar adversa la decisión a Colpensiones, se surtirá el grado jurisdiccional de consulta, pues la Nación es garante de las condenas impuestas a dicha entidad, todo ello de conformidad con el artículo 69 del C.P.L. y de la S.S.</w:t>
      </w:r>
      <w:r w:rsidR="0062295A" w:rsidRPr="00091C6F">
        <w:rPr>
          <w:rFonts w:ascii="Arial" w:eastAsiaTheme="minorHAnsi" w:hAnsi="Arial" w:cs="Arial"/>
          <w:color w:val="000000" w:themeColor="text1"/>
          <w:szCs w:val="24"/>
          <w:lang w:eastAsia="en-US"/>
        </w:rPr>
        <w:t xml:space="preserve"> Consulta que se dispuso en esta misma audiencia.</w:t>
      </w:r>
    </w:p>
    <w:p w14:paraId="3999CFFC" w14:textId="77777777" w:rsidR="00ED0C67" w:rsidRDefault="00ED0C67" w:rsidP="005A3510">
      <w:pPr>
        <w:spacing w:line="276" w:lineRule="auto"/>
        <w:jc w:val="both"/>
        <w:rPr>
          <w:rFonts w:ascii="Arial" w:eastAsiaTheme="minorHAnsi" w:hAnsi="Arial" w:cs="Arial"/>
          <w:color w:val="000000" w:themeColor="text1"/>
          <w:szCs w:val="24"/>
          <w:lang w:eastAsia="en-US"/>
        </w:rPr>
      </w:pPr>
    </w:p>
    <w:p w14:paraId="60A20417" w14:textId="77777777" w:rsidR="005A3510" w:rsidRPr="005A3510" w:rsidRDefault="005A3510" w:rsidP="005A3510">
      <w:pPr>
        <w:spacing w:line="276" w:lineRule="auto"/>
        <w:jc w:val="both"/>
        <w:rPr>
          <w:rFonts w:ascii="Arial" w:eastAsiaTheme="minorHAnsi" w:hAnsi="Arial" w:cs="Arial"/>
          <w:color w:val="000000" w:themeColor="text1"/>
          <w:szCs w:val="24"/>
          <w:lang w:eastAsia="en-US"/>
        </w:rPr>
      </w:pPr>
    </w:p>
    <w:p w14:paraId="4D62D647" w14:textId="77777777" w:rsidR="00C64A1B" w:rsidRPr="005A3510" w:rsidRDefault="00C64A1B" w:rsidP="005A3510">
      <w:pPr>
        <w:spacing w:line="276" w:lineRule="auto"/>
        <w:jc w:val="center"/>
        <w:rPr>
          <w:rFonts w:ascii="Arial" w:eastAsiaTheme="minorHAnsi" w:hAnsi="Arial" w:cs="Arial"/>
          <w:b/>
          <w:color w:val="000000" w:themeColor="text1"/>
          <w:szCs w:val="24"/>
          <w:lang w:eastAsia="en-US"/>
        </w:rPr>
      </w:pPr>
      <w:r w:rsidRPr="005A3510">
        <w:rPr>
          <w:rFonts w:ascii="Arial" w:eastAsiaTheme="minorHAnsi" w:hAnsi="Arial" w:cs="Arial"/>
          <w:b/>
          <w:color w:val="000000" w:themeColor="text1"/>
          <w:szCs w:val="24"/>
          <w:lang w:eastAsia="en-US"/>
        </w:rPr>
        <w:t>CONSIDERACIONES</w:t>
      </w:r>
    </w:p>
    <w:p w14:paraId="53033D20" w14:textId="77777777" w:rsidR="005A3510" w:rsidRDefault="005A3510" w:rsidP="005A3510">
      <w:pPr>
        <w:spacing w:line="276" w:lineRule="auto"/>
        <w:jc w:val="both"/>
        <w:rPr>
          <w:rFonts w:ascii="Arial" w:eastAsiaTheme="minorHAnsi" w:hAnsi="Arial" w:cs="Arial"/>
          <w:color w:val="000000" w:themeColor="text1"/>
          <w:szCs w:val="24"/>
          <w:lang w:eastAsia="en-US"/>
        </w:rPr>
      </w:pPr>
    </w:p>
    <w:p w14:paraId="248A1706" w14:textId="77777777" w:rsidR="005A3510" w:rsidRPr="005A3510" w:rsidRDefault="005A3510" w:rsidP="005A3510">
      <w:pPr>
        <w:spacing w:line="276" w:lineRule="auto"/>
        <w:jc w:val="both"/>
        <w:rPr>
          <w:rFonts w:ascii="Arial" w:eastAsiaTheme="minorHAnsi" w:hAnsi="Arial" w:cs="Arial"/>
          <w:color w:val="000000" w:themeColor="text1"/>
          <w:szCs w:val="24"/>
          <w:lang w:eastAsia="en-US"/>
        </w:rPr>
      </w:pPr>
    </w:p>
    <w:p w14:paraId="559C92F6" w14:textId="77777777" w:rsidR="00817D20" w:rsidRPr="00091C6F" w:rsidRDefault="00817D20" w:rsidP="00091C6F">
      <w:pPr>
        <w:autoSpaceDE w:val="0"/>
        <w:autoSpaceDN w:val="0"/>
        <w:adjustRightInd w:val="0"/>
        <w:spacing w:line="276" w:lineRule="auto"/>
        <w:jc w:val="both"/>
        <w:rPr>
          <w:rFonts w:ascii="Arial" w:hAnsi="Arial" w:cs="Arial"/>
          <w:b/>
          <w:szCs w:val="24"/>
        </w:rPr>
      </w:pPr>
      <w:r w:rsidRPr="00091C6F">
        <w:rPr>
          <w:rFonts w:ascii="Arial" w:hAnsi="Arial" w:cs="Arial"/>
          <w:b/>
          <w:szCs w:val="24"/>
        </w:rPr>
        <w:t xml:space="preserve">1. Del </w:t>
      </w:r>
      <w:r w:rsidR="00676A2D" w:rsidRPr="00091C6F">
        <w:rPr>
          <w:rFonts w:ascii="Arial" w:hAnsi="Arial" w:cs="Arial"/>
          <w:b/>
          <w:szCs w:val="24"/>
        </w:rPr>
        <w:t>problema</w:t>
      </w:r>
      <w:r w:rsidR="002714A8" w:rsidRPr="00091C6F">
        <w:rPr>
          <w:rFonts w:ascii="Arial" w:hAnsi="Arial" w:cs="Arial"/>
          <w:b/>
          <w:szCs w:val="24"/>
        </w:rPr>
        <w:t xml:space="preserve"> </w:t>
      </w:r>
      <w:r w:rsidRPr="00091C6F">
        <w:rPr>
          <w:rFonts w:ascii="Arial" w:hAnsi="Arial" w:cs="Arial"/>
          <w:b/>
          <w:szCs w:val="24"/>
        </w:rPr>
        <w:t>jurídico</w:t>
      </w:r>
    </w:p>
    <w:p w14:paraId="72BEBDAF" w14:textId="77777777" w:rsidR="00817D20" w:rsidRPr="00091C6F" w:rsidRDefault="00817D20" w:rsidP="00091C6F">
      <w:pPr>
        <w:shd w:val="clear" w:color="auto" w:fill="FFFFFF"/>
        <w:tabs>
          <w:tab w:val="left" w:pos="5197"/>
        </w:tabs>
        <w:spacing w:line="276" w:lineRule="auto"/>
        <w:contextualSpacing/>
        <w:jc w:val="both"/>
        <w:rPr>
          <w:rFonts w:ascii="Arial" w:hAnsi="Arial" w:cs="Arial"/>
          <w:color w:val="000000"/>
          <w:szCs w:val="24"/>
          <w:lang w:eastAsia="es-CO"/>
        </w:rPr>
      </w:pPr>
    </w:p>
    <w:p w14:paraId="1A7FC602" w14:textId="77777777" w:rsidR="00817D20" w:rsidRPr="00091C6F" w:rsidRDefault="00817D20" w:rsidP="00091C6F">
      <w:pPr>
        <w:shd w:val="clear" w:color="auto" w:fill="FFFFFF"/>
        <w:tabs>
          <w:tab w:val="left" w:pos="5197"/>
        </w:tabs>
        <w:spacing w:line="276" w:lineRule="auto"/>
        <w:jc w:val="both"/>
        <w:rPr>
          <w:rFonts w:ascii="Arial" w:hAnsi="Arial" w:cs="Arial"/>
          <w:szCs w:val="24"/>
          <w:lang w:eastAsia="es-CO"/>
        </w:rPr>
      </w:pPr>
      <w:r w:rsidRPr="00091C6F">
        <w:rPr>
          <w:rFonts w:ascii="Arial" w:hAnsi="Arial" w:cs="Arial"/>
          <w:szCs w:val="24"/>
          <w:lang w:eastAsia="es-CO"/>
        </w:rPr>
        <w:t>Visto el recuen</w:t>
      </w:r>
      <w:r w:rsidR="002714A8" w:rsidRPr="00091C6F">
        <w:rPr>
          <w:rFonts w:ascii="Arial" w:hAnsi="Arial" w:cs="Arial"/>
          <w:szCs w:val="24"/>
          <w:lang w:eastAsia="es-CO"/>
        </w:rPr>
        <w:t xml:space="preserve">to anterior, la </w:t>
      </w:r>
      <w:r w:rsidR="00676A2D" w:rsidRPr="00091C6F">
        <w:rPr>
          <w:rFonts w:ascii="Arial" w:hAnsi="Arial" w:cs="Arial"/>
          <w:szCs w:val="24"/>
          <w:lang w:eastAsia="es-CO"/>
        </w:rPr>
        <w:t>Sala formula el</w:t>
      </w:r>
      <w:r w:rsidRPr="00091C6F">
        <w:rPr>
          <w:rFonts w:ascii="Arial" w:hAnsi="Arial" w:cs="Arial"/>
          <w:szCs w:val="24"/>
          <w:lang w:eastAsia="es-CO"/>
        </w:rPr>
        <w:t xml:space="preserve"> siguiente:</w:t>
      </w:r>
    </w:p>
    <w:p w14:paraId="32DBEFB4" w14:textId="77777777" w:rsidR="002714A8" w:rsidRPr="00091C6F" w:rsidRDefault="002714A8" w:rsidP="00091C6F">
      <w:pPr>
        <w:shd w:val="clear" w:color="auto" w:fill="FFFFFF"/>
        <w:tabs>
          <w:tab w:val="left" w:pos="5197"/>
        </w:tabs>
        <w:spacing w:line="276" w:lineRule="auto"/>
        <w:jc w:val="both"/>
        <w:rPr>
          <w:rFonts w:ascii="Arial" w:eastAsiaTheme="minorHAnsi" w:hAnsi="Arial" w:cs="Arial"/>
          <w:iCs/>
          <w:color w:val="000000" w:themeColor="text1"/>
          <w:szCs w:val="24"/>
        </w:rPr>
      </w:pPr>
    </w:p>
    <w:p w14:paraId="3A878FFA" w14:textId="4C691AA0" w:rsidR="00D02C1F" w:rsidRPr="00091C6F" w:rsidRDefault="00D02C1F" w:rsidP="00091C6F">
      <w:pPr>
        <w:pStyle w:val="Textoindependiente"/>
        <w:spacing w:line="276" w:lineRule="auto"/>
        <w:ind w:right="-93"/>
        <w:contextualSpacing/>
        <w:rPr>
          <w:iCs/>
          <w:color w:val="000000" w:themeColor="text1"/>
          <w:szCs w:val="24"/>
        </w:rPr>
      </w:pPr>
      <w:r w:rsidRPr="00091C6F">
        <w:rPr>
          <w:iCs/>
          <w:color w:val="000000" w:themeColor="text1"/>
          <w:szCs w:val="24"/>
        </w:rPr>
        <w:t>¿</w:t>
      </w:r>
      <w:r w:rsidR="009C7B48" w:rsidRPr="00091C6F">
        <w:rPr>
          <w:iCs/>
          <w:color w:val="000000" w:themeColor="text1"/>
          <w:szCs w:val="24"/>
        </w:rPr>
        <w:t xml:space="preserve">La AFP </w:t>
      </w:r>
      <w:r w:rsidR="00B20968" w:rsidRPr="00091C6F">
        <w:rPr>
          <w:iCs/>
          <w:color w:val="000000" w:themeColor="text1"/>
          <w:szCs w:val="24"/>
        </w:rPr>
        <w:t xml:space="preserve">Protección </w:t>
      </w:r>
      <w:r w:rsidR="009C7B48" w:rsidRPr="00091C6F">
        <w:rPr>
          <w:iCs/>
          <w:color w:val="000000" w:themeColor="text1"/>
          <w:szCs w:val="24"/>
        </w:rPr>
        <w:t>S.A</w:t>
      </w:r>
      <w:r w:rsidR="006261D0" w:rsidRPr="00091C6F">
        <w:rPr>
          <w:iCs/>
          <w:color w:val="000000" w:themeColor="text1"/>
          <w:szCs w:val="24"/>
        </w:rPr>
        <w:t>. desconoció</w:t>
      </w:r>
      <w:r w:rsidR="00B20968" w:rsidRPr="00091C6F">
        <w:rPr>
          <w:iCs/>
          <w:color w:val="000000" w:themeColor="text1"/>
          <w:szCs w:val="24"/>
        </w:rPr>
        <w:t xml:space="preserve"> el derecho del </w:t>
      </w:r>
      <w:r w:rsidRPr="00091C6F">
        <w:rPr>
          <w:iCs/>
          <w:color w:val="000000" w:themeColor="text1"/>
          <w:szCs w:val="24"/>
        </w:rPr>
        <w:t>demandante a elegir libre y voluntariamente el régimen pensional deseado?</w:t>
      </w:r>
    </w:p>
    <w:p w14:paraId="592E6A61" w14:textId="77777777" w:rsidR="00ED0C67" w:rsidRPr="00091C6F" w:rsidRDefault="00ED0C67" w:rsidP="00091C6F">
      <w:pPr>
        <w:pStyle w:val="Textoindependiente"/>
        <w:spacing w:line="276" w:lineRule="auto"/>
        <w:contextualSpacing/>
        <w:rPr>
          <w:b/>
          <w:iCs/>
          <w:szCs w:val="24"/>
        </w:rPr>
      </w:pPr>
    </w:p>
    <w:p w14:paraId="2D63C6AC" w14:textId="77777777" w:rsidR="00D02C1F" w:rsidRPr="00091C6F" w:rsidRDefault="00D02C1F" w:rsidP="00091C6F">
      <w:pPr>
        <w:pStyle w:val="Textoindependiente"/>
        <w:spacing w:line="276" w:lineRule="auto"/>
        <w:contextualSpacing/>
        <w:rPr>
          <w:b/>
          <w:iCs/>
          <w:szCs w:val="24"/>
        </w:rPr>
      </w:pPr>
      <w:r w:rsidRPr="00091C6F">
        <w:rPr>
          <w:b/>
          <w:iCs/>
          <w:szCs w:val="24"/>
        </w:rPr>
        <w:t xml:space="preserve">2. Solución al problema jurídico </w:t>
      </w:r>
    </w:p>
    <w:p w14:paraId="685334CD" w14:textId="77777777" w:rsidR="00ED0C67" w:rsidRPr="00091C6F" w:rsidRDefault="00ED0C67" w:rsidP="00091C6F">
      <w:pPr>
        <w:autoSpaceDE w:val="0"/>
        <w:autoSpaceDN w:val="0"/>
        <w:adjustRightInd w:val="0"/>
        <w:spacing w:line="276" w:lineRule="auto"/>
        <w:jc w:val="both"/>
        <w:rPr>
          <w:rFonts w:ascii="Arial" w:hAnsi="Arial" w:cs="Arial"/>
          <w:b/>
          <w:szCs w:val="24"/>
        </w:rPr>
      </w:pPr>
    </w:p>
    <w:p w14:paraId="393AE546" w14:textId="5B220FA7" w:rsidR="00D02C1F" w:rsidRPr="00091C6F" w:rsidRDefault="00D02C1F" w:rsidP="00091C6F">
      <w:pPr>
        <w:autoSpaceDE w:val="0"/>
        <w:autoSpaceDN w:val="0"/>
        <w:adjustRightInd w:val="0"/>
        <w:spacing w:line="276" w:lineRule="auto"/>
        <w:jc w:val="both"/>
        <w:rPr>
          <w:rFonts w:ascii="Arial" w:hAnsi="Arial" w:cs="Arial"/>
          <w:b/>
          <w:szCs w:val="24"/>
        </w:rPr>
      </w:pPr>
      <w:r w:rsidRPr="00091C6F">
        <w:rPr>
          <w:rFonts w:ascii="Arial" w:hAnsi="Arial" w:cs="Arial"/>
          <w:b/>
          <w:szCs w:val="24"/>
        </w:rPr>
        <w:lastRenderedPageBreak/>
        <w:t>2.1.</w:t>
      </w:r>
      <w:r w:rsidR="00091C6F">
        <w:rPr>
          <w:rFonts w:ascii="Arial" w:hAnsi="Arial" w:cs="Arial"/>
          <w:b/>
          <w:szCs w:val="24"/>
        </w:rPr>
        <w:t xml:space="preserve"> </w:t>
      </w:r>
      <w:r w:rsidRPr="00091C6F">
        <w:rPr>
          <w:rFonts w:ascii="Arial" w:hAnsi="Arial" w:cs="Arial"/>
          <w:b/>
          <w:szCs w:val="24"/>
        </w:rPr>
        <w:t>Fundamento jurídico</w:t>
      </w:r>
    </w:p>
    <w:p w14:paraId="237A8E6A" w14:textId="77777777" w:rsidR="00D02C1F" w:rsidRPr="00091C6F" w:rsidRDefault="00D02C1F" w:rsidP="00091C6F">
      <w:pPr>
        <w:shd w:val="clear" w:color="auto" w:fill="FFFFFF"/>
        <w:tabs>
          <w:tab w:val="left" w:pos="5197"/>
        </w:tabs>
        <w:spacing w:line="276" w:lineRule="auto"/>
        <w:contextualSpacing/>
        <w:jc w:val="both"/>
        <w:rPr>
          <w:rFonts w:ascii="Arial" w:hAnsi="Arial" w:cs="Arial"/>
          <w:b/>
          <w:color w:val="000000" w:themeColor="text1"/>
          <w:szCs w:val="24"/>
        </w:rPr>
      </w:pPr>
    </w:p>
    <w:p w14:paraId="53E48F14" w14:textId="77777777" w:rsidR="00FB653F" w:rsidRPr="00091C6F" w:rsidRDefault="00FB653F" w:rsidP="00091C6F">
      <w:pPr>
        <w:shd w:val="clear" w:color="auto" w:fill="FFFFFF"/>
        <w:tabs>
          <w:tab w:val="left" w:pos="5197"/>
        </w:tabs>
        <w:spacing w:line="276" w:lineRule="auto"/>
        <w:contextualSpacing/>
        <w:jc w:val="both"/>
        <w:rPr>
          <w:rFonts w:ascii="Arial" w:hAnsi="Arial" w:cs="Arial"/>
          <w:b/>
          <w:color w:val="000000" w:themeColor="text1"/>
          <w:szCs w:val="24"/>
        </w:rPr>
      </w:pPr>
      <w:r w:rsidRPr="00091C6F">
        <w:rPr>
          <w:rFonts w:ascii="Arial" w:hAnsi="Arial" w:cs="Arial"/>
          <w:b/>
          <w:color w:val="000000" w:themeColor="text1"/>
          <w:szCs w:val="24"/>
        </w:rPr>
        <w:t>Del valor normativo de las decisiones emitidas por la Corte Suprema de Justicia</w:t>
      </w:r>
    </w:p>
    <w:p w14:paraId="0251E044" w14:textId="77777777" w:rsidR="00FB653F" w:rsidRPr="00091C6F" w:rsidRDefault="00FB653F" w:rsidP="00091C6F">
      <w:pPr>
        <w:shd w:val="clear" w:color="auto" w:fill="FFFFFF"/>
        <w:tabs>
          <w:tab w:val="left" w:pos="5197"/>
        </w:tabs>
        <w:spacing w:line="276" w:lineRule="auto"/>
        <w:contextualSpacing/>
        <w:jc w:val="both"/>
        <w:rPr>
          <w:rFonts w:ascii="Arial" w:hAnsi="Arial" w:cs="Arial"/>
          <w:color w:val="000000" w:themeColor="text1"/>
          <w:szCs w:val="24"/>
        </w:rPr>
      </w:pPr>
    </w:p>
    <w:p w14:paraId="1A1536B2" w14:textId="77777777" w:rsidR="00FB653F" w:rsidRPr="00091C6F" w:rsidRDefault="00FB653F" w:rsidP="00091C6F">
      <w:pPr>
        <w:shd w:val="clear" w:color="auto" w:fill="FFFFFF"/>
        <w:tabs>
          <w:tab w:val="left" w:pos="5197"/>
        </w:tabs>
        <w:spacing w:line="276" w:lineRule="auto"/>
        <w:contextualSpacing/>
        <w:jc w:val="both"/>
        <w:rPr>
          <w:rFonts w:ascii="Arial" w:hAnsi="Arial" w:cs="Arial"/>
          <w:color w:val="000000" w:themeColor="text1"/>
          <w:szCs w:val="24"/>
        </w:rPr>
      </w:pPr>
      <w:r w:rsidRPr="00091C6F">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3AE001AA" w14:textId="77777777" w:rsidR="00FB653F" w:rsidRPr="00091C6F" w:rsidRDefault="00FB653F" w:rsidP="00091C6F">
      <w:pPr>
        <w:shd w:val="clear" w:color="auto" w:fill="FFFFFF"/>
        <w:tabs>
          <w:tab w:val="left" w:pos="5197"/>
        </w:tabs>
        <w:spacing w:line="276" w:lineRule="auto"/>
        <w:contextualSpacing/>
        <w:jc w:val="both"/>
        <w:rPr>
          <w:rFonts w:ascii="Arial" w:hAnsi="Arial" w:cs="Arial"/>
          <w:color w:val="000000" w:themeColor="text1"/>
          <w:szCs w:val="24"/>
        </w:rPr>
      </w:pPr>
    </w:p>
    <w:p w14:paraId="3EACADAD" w14:textId="77777777" w:rsidR="00FB653F" w:rsidRPr="00091C6F" w:rsidRDefault="00FB653F" w:rsidP="00091C6F">
      <w:pPr>
        <w:shd w:val="clear" w:color="auto" w:fill="FFFFFF"/>
        <w:tabs>
          <w:tab w:val="left" w:pos="5197"/>
        </w:tabs>
        <w:spacing w:line="276" w:lineRule="auto"/>
        <w:jc w:val="both"/>
        <w:rPr>
          <w:rFonts w:ascii="Arial" w:hAnsi="Arial" w:cs="Arial"/>
          <w:color w:val="000000" w:themeColor="text1"/>
          <w:szCs w:val="24"/>
        </w:rPr>
      </w:pPr>
      <w:r w:rsidRPr="00091C6F">
        <w:rPr>
          <w:rFonts w:ascii="Arial" w:hAnsi="Arial" w:cs="Arial"/>
          <w:color w:val="000000" w:themeColor="text1"/>
          <w:szCs w:val="24"/>
        </w:rPr>
        <w:t>Frente al tema de la ineficacia del traslado, sustentado en los a</w:t>
      </w:r>
      <w:r w:rsidRPr="00091C6F">
        <w:rPr>
          <w:rFonts w:ascii="Arial" w:hAnsi="Arial" w:cs="Arial"/>
          <w:iCs/>
          <w:szCs w:val="24"/>
        </w:rPr>
        <w:t xml:space="preserve">rtículos 13 literal b) y  271 inciso 1º de la Ley 100 de 1993, recientemente </w:t>
      </w:r>
      <w:r w:rsidRPr="00091C6F">
        <w:rPr>
          <w:rFonts w:ascii="Arial" w:hAnsi="Arial" w:cs="Arial"/>
          <w:color w:val="000000" w:themeColor="text1"/>
          <w:szCs w:val="24"/>
        </w:rPr>
        <w:t>la SCL de la CSJ</w:t>
      </w:r>
      <w:r w:rsidRPr="00091C6F">
        <w:rPr>
          <w:rStyle w:val="Refdenotaalpie"/>
          <w:rFonts w:ascii="Arial" w:hAnsi="Arial" w:cs="Arial"/>
          <w:color w:val="000000" w:themeColor="text1"/>
          <w:szCs w:val="24"/>
        </w:rPr>
        <w:footnoteReference w:id="1"/>
      </w:r>
      <w:r w:rsidRPr="00091C6F">
        <w:rPr>
          <w:rFonts w:ascii="Arial" w:hAnsi="Arial" w:cs="Arial"/>
          <w:color w:val="000000" w:themeColor="text1"/>
          <w:szCs w:val="24"/>
        </w:rPr>
        <w:t xml:space="preserve"> indicó que: </w:t>
      </w:r>
      <w:r w:rsidRPr="00091C6F">
        <w:rPr>
          <w:rFonts w:ascii="Arial" w:hAnsi="Arial" w:cs="Arial"/>
          <w:b/>
          <w:i/>
          <w:color w:val="000000" w:themeColor="text1"/>
          <w:szCs w:val="24"/>
        </w:rPr>
        <w:t>i)</w:t>
      </w:r>
      <w:r w:rsidRPr="00091C6F">
        <w:rPr>
          <w:rFonts w:ascii="Arial" w:hAnsi="Arial" w:cs="Arial"/>
          <w:i/>
          <w:color w:val="000000" w:themeColor="text1"/>
          <w:szCs w:val="24"/>
        </w:rPr>
        <w:t xml:space="preserve"> </w:t>
      </w:r>
      <w:r w:rsidRPr="00091C6F">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018F944D" w14:textId="77777777" w:rsidR="00FB653F" w:rsidRPr="00091C6F" w:rsidRDefault="00FB653F" w:rsidP="00091C6F">
      <w:pPr>
        <w:shd w:val="clear" w:color="auto" w:fill="FFFFFF"/>
        <w:tabs>
          <w:tab w:val="left" w:pos="5197"/>
        </w:tabs>
        <w:spacing w:line="276" w:lineRule="auto"/>
        <w:jc w:val="both"/>
        <w:rPr>
          <w:rFonts w:ascii="Arial" w:hAnsi="Arial" w:cs="Arial"/>
          <w:i/>
          <w:color w:val="000000" w:themeColor="text1"/>
          <w:szCs w:val="24"/>
        </w:rPr>
      </w:pPr>
      <w:r w:rsidRPr="00091C6F">
        <w:rPr>
          <w:rFonts w:ascii="Arial" w:hAnsi="Arial" w:cs="Arial"/>
          <w:b/>
          <w:i/>
          <w:color w:val="000000" w:themeColor="text1"/>
          <w:szCs w:val="24"/>
        </w:rPr>
        <w:t>ii)</w:t>
      </w:r>
      <w:r w:rsidRPr="00091C6F">
        <w:rPr>
          <w:rFonts w:ascii="Arial" w:hAnsi="Arial" w:cs="Arial"/>
          <w:i/>
          <w:color w:val="000000" w:themeColor="text1"/>
          <w:szCs w:val="24"/>
        </w:rPr>
        <w:t xml:space="preserve"> </w:t>
      </w:r>
      <w:r w:rsidRPr="00091C6F">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091C6F">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7C390843" w14:textId="77777777" w:rsidR="00FB653F" w:rsidRPr="00091C6F" w:rsidRDefault="00FB653F" w:rsidP="00091C6F">
      <w:pPr>
        <w:shd w:val="clear" w:color="auto" w:fill="FFFFFF"/>
        <w:tabs>
          <w:tab w:val="left" w:pos="5197"/>
        </w:tabs>
        <w:spacing w:line="276" w:lineRule="auto"/>
        <w:jc w:val="both"/>
        <w:rPr>
          <w:rFonts w:ascii="Arial" w:hAnsi="Arial" w:cs="Arial"/>
          <w:i/>
          <w:color w:val="000000" w:themeColor="text1"/>
          <w:szCs w:val="24"/>
        </w:rPr>
      </w:pPr>
    </w:p>
    <w:p w14:paraId="32FEFEAF" w14:textId="77777777" w:rsidR="00FB653F" w:rsidRPr="00091C6F" w:rsidRDefault="00FB653F" w:rsidP="00091C6F">
      <w:pPr>
        <w:shd w:val="clear" w:color="auto" w:fill="FFFFFF"/>
        <w:tabs>
          <w:tab w:val="left" w:pos="5197"/>
        </w:tabs>
        <w:spacing w:line="276" w:lineRule="auto"/>
        <w:jc w:val="both"/>
        <w:rPr>
          <w:rFonts w:ascii="Arial" w:hAnsi="Arial" w:cs="Arial"/>
          <w:color w:val="000000" w:themeColor="text1"/>
          <w:szCs w:val="24"/>
        </w:rPr>
      </w:pPr>
      <w:r w:rsidRPr="00091C6F">
        <w:rPr>
          <w:rFonts w:ascii="Arial" w:hAnsi="Arial" w:cs="Arial"/>
          <w:b/>
          <w:i/>
          <w:color w:val="000000" w:themeColor="text1"/>
          <w:szCs w:val="24"/>
        </w:rPr>
        <w:t>iii)</w:t>
      </w:r>
      <w:r w:rsidRPr="00091C6F">
        <w:rPr>
          <w:rFonts w:ascii="Arial" w:hAnsi="Arial" w:cs="Arial"/>
          <w:i/>
          <w:color w:val="000000" w:themeColor="text1"/>
          <w:szCs w:val="24"/>
        </w:rPr>
        <w:t xml:space="preserve"> </w:t>
      </w:r>
      <w:r w:rsidRPr="00091C6F">
        <w:rPr>
          <w:rFonts w:ascii="Arial" w:hAnsi="Arial" w:cs="Arial"/>
          <w:color w:val="000000" w:themeColor="text1"/>
          <w:szCs w:val="24"/>
        </w:rPr>
        <w:t>La demostración del consentimiento informado en el traslado del régimen corresponde a la AFP, por un lado, porque cuando se afirma que no se recibió “</w:t>
      </w:r>
      <w:r w:rsidRPr="00091C6F">
        <w:rPr>
          <w:rFonts w:ascii="Arial" w:hAnsi="Arial" w:cs="Arial"/>
          <w:i/>
          <w:color w:val="000000" w:themeColor="text1"/>
          <w:szCs w:val="24"/>
        </w:rPr>
        <w:t>información veraz y suficiente”</w:t>
      </w:r>
      <w:r w:rsidRPr="00091C6F">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archivos la documentación que soportara dicho traslado; por último, porque la AFP tiene como obligación principal brindar información. En ese sentido, según la interpretación de la Corte sobre el artículo 1604 del Código Civil, la AFP debe acreditar que realizó las actuaciones necesarias para que el afiliado conociera las implicaciones de su traslado. </w:t>
      </w:r>
    </w:p>
    <w:p w14:paraId="7B7D46D4" w14:textId="77777777" w:rsidR="00FB653F" w:rsidRPr="00091C6F" w:rsidRDefault="00FB653F" w:rsidP="00091C6F">
      <w:pPr>
        <w:shd w:val="clear" w:color="auto" w:fill="FFFFFF"/>
        <w:tabs>
          <w:tab w:val="left" w:pos="5197"/>
        </w:tabs>
        <w:spacing w:line="276" w:lineRule="auto"/>
        <w:jc w:val="both"/>
        <w:rPr>
          <w:rFonts w:ascii="Arial" w:hAnsi="Arial" w:cs="Arial"/>
          <w:color w:val="000000" w:themeColor="text1"/>
          <w:szCs w:val="24"/>
        </w:rPr>
      </w:pPr>
    </w:p>
    <w:p w14:paraId="10132941" w14:textId="77777777" w:rsidR="00FB653F" w:rsidRPr="00091C6F" w:rsidRDefault="00FB653F" w:rsidP="00091C6F">
      <w:pPr>
        <w:shd w:val="clear" w:color="auto" w:fill="FFFFFF"/>
        <w:tabs>
          <w:tab w:val="left" w:pos="5197"/>
        </w:tabs>
        <w:spacing w:line="276" w:lineRule="auto"/>
        <w:jc w:val="both"/>
        <w:rPr>
          <w:rFonts w:ascii="Arial" w:hAnsi="Arial" w:cs="Arial"/>
          <w:i/>
          <w:color w:val="000000" w:themeColor="text1"/>
          <w:szCs w:val="24"/>
        </w:rPr>
      </w:pPr>
      <w:r w:rsidRPr="00091C6F">
        <w:rPr>
          <w:rFonts w:ascii="Arial" w:hAnsi="Arial" w:cs="Arial"/>
          <w:b/>
          <w:i/>
          <w:color w:val="000000" w:themeColor="text1"/>
          <w:szCs w:val="24"/>
        </w:rPr>
        <w:t>iv)</w:t>
      </w:r>
      <w:r w:rsidRPr="00091C6F">
        <w:rPr>
          <w:rFonts w:ascii="Arial" w:hAnsi="Arial" w:cs="Arial"/>
          <w:i/>
          <w:color w:val="000000" w:themeColor="text1"/>
          <w:szCs w:val="24"/>
        </w:rPr>
        <w:t xml:space="preserve"> </w:t>
      </w:r>
      <w:r w:rsidRPr="00091C6F">
        <w:rPr>
          <w:rFonts w:ascii="Arial" w:hAnsi="Arial" w:cs="Arial"/>
          <w:color w:val="000000" w:themeColor="text1"/>
          <w:szCs w:val="24"/>
        </w:rPr>
        <w:t xml:space="preserve">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(error, fuerza o dolo), aunado a que la ineficacia es insubsanable por el paso del tiempo, sin parar mientes en que el afiliado tenga o no un derecho consolidado, o sea beneficiario o no de la transición pensional. </w:t>
      </w:r>
      <w:r w:rsidRPr="00091C6F">
        <w:rPr>
          <w:rFonts w:ascii="Arial" w:hAnsi="Arial" w:cs="Arial"/>
          <w:i/>
          <w:color w:val="000000" w:themeColor="text1"/>
          <w:szCs w:val="24"/>
        </w:rPr>
        <w:t xml:space="preserve"> </w:t>
      </w:r>
    </w:p>
    <w:p w14:paraId="4A226E5E" w14:textId="77777777" w:rsidR="00FB653F" w:rsidRPr="00091C6F" w:rsidRDefault="00FB653F" w:rsidP="00091C6F">
      <w:pPr>
        <w:shd w:val="clear" w:color="auto" w:fill="FFFFFF"/>
        <w:tabs>
          <w:tab w:val="left" w:pos="5197"/>
        </w:tabs>
        <w:spacing w:line="276" w:lineRule="auto"/>
        <w:jc w:val="both"/>
        <w:rPr>
          <w:rFonts w:ascii="Arial" w:hAnsi="Arial" w:cs="Arial"/>
          <w:i/>
          <w:color w:val="000000" w:themeColor="text1"/>
          <w:szCs w:val="24"/>
        </w:rPr>
      </w:pPr>
    </w:p>
    <w:p w14:paraId="25F0D821" w14:textId="411A07C3" w:rsidR="00FB653F" w:rsidRPr="00091C6F" w:rsidRDefault="00FB653F" w:rsidP="00091C6F">
      <w:pPr>
        <w:shd w:val="clear" w:color="auto" w:fill="FFFFFF"/>
        <w:tabs>
          <w:tab w:val="left" w:pos="5197"/>
        </w:tabs>
        <w:spacing w:line="276" w:lineRule="auto"/>
        <w:jc w:val="both"/>
        <w:rPr>
          <w:rFonts w:ascii="Arial" w:hAnsi="Arial" w:cs="Arial"/>
          <w:color w:val="000000" w:themeColor="text1"/>
          <w:szCs w:val="24"/>
        </w:rPr>
      </w:pPr>
      <w:r w:rsidRPr="00091C6F">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en el punto </w:t>
      </w:r>
      <w:r w:rsidRPr="00091C6F">
        <w:rPr>
          <w:rFonts w:ascii="Arial" w:hAnsi="Arial" w:cs="Arial"/>
          <w:b/>
          <w:i/>
          <w:color w:val="000000" w:themeColor="text1"/>
          <w:szCs w:val="24"/>
        </w:rPr>
        <w:t>iii)</w:t>
      </w:r>
      <w:r w:rsidRPr="00091C6F">
        <w:rPr>
          <w:rFonts w:ascii="Arial" w:hAnsi="Arial" w:cs="Arial"/>
          <w:color w:val="000000" w:themeColor="text1"/>
          <w:szCs w:val="24"/>
        </w:rPr>
        <w:t xml:space="preserve"> y </w:t>
      </w:r>
      <w:r w:rsidRPr="00091C6F">
        <w:rPr>
          <w:rFonts w:ascii="Arial" w:hAnsi="Arial" w:cs="Arial"/>
          <w:b/>
          <w:i/>
          <w:color w:val="000000" w:themeColor="text1"/>
          <w:szCs w:val="24"/>
        </w:rPr>
        <w:t xml:space="preserve">ii), </w:t>
      </w:r>
      <w:r w:rsidRPr="00091C6F">
        <w:rPr>
          <w:rFonts w:ascii="Arial" w:hAnsi="Arial" w:cs="Arial"/>
          <w:color w:val="000000" w:themeColor="text1"/>
          <w:szCs w:val="24"/>
        </w:rPr>
        <w:t xml:space="preserve">mencionados </w:t>
      </w:r>
      <w:proofErr w:type="spellStart"/>
      <w:r w:rsidRPr="00091C6F">
        <w:rPr>
          <w:rFonts w:ascii="Arial" w:hAnsi="Arial" w:cs="Arial"/>
          <w:color w:val="000000" w:themeColor="text1"/>
          <w:szCs w:val="24"/>
        </w:rPr>
        <w:t>anteladamente</w:t>
      </w:r>
      <w:proofErr w:type="spellEnd"/>
      <w:r w:rsidRPr="00091C6F">
        <w:rPr>
          <w:rFonts w:ascii="Arial" w:hAnsi="Arial" w:cs="Arial"/>
          <w:color w:val="000000" w:themeColor="text1"/>
          <w:szCs w:val="24"/>
        </w:rPr>
        <w:t>.</w:t>
      </w:r>
    </w:p>
    <w:p w14:paraId="23A02482" w14:textId="77777777" w:rsidR="00FB653F" w:rsidRPr="00091C6F" w:rsidRDefault="00FB653F" w:rsidP="00091C6F">
      <w:pPr>
        <w:shd w:val="clear" w:color="auto" w:fill="FFFFFF"/>
        <w:tabs>
          <w:tab w:val="left" w:pos="5197"/>
        </w:tabs>
        <w:spacing w:line="276" w:lineRule="auto"/>
        <w:jc w:val="both"/>
        <w:rPr>
          <w:rFonts w:ascii="Arial" w:hAnsi="Arial" w:cs="Arial"/>
          <w:color w:val="000000" w:themeColor="text1"/>
          <w:szCs w:val="24"/>
        </w:rPr>
      </w:pPr>
    </w:p>
    <w:p w14:paraId="51A563BF" w14:textId="77777777" w:rsidR="00FB653F" w:rsidRPr="00091C6F" w:rsidRDefault="00FB653F" w:rsidP="00091C6F">
      <w:pPr>
        <w:shd w:val="clear" w:color="auto" w:fill="FFFFFF"/>
        <w:tabs>
          <w:tab w:val="left" w:pos="5197"/>
        </w:tabs>
        <w:spacing w:line="276" w:lineRule="auto"/>
        <w:jc w:val="both"/>
        <w:rPr>
          <w:rFonts w:ascii="Arial" w:hAnsi="Arial" w:cs="Arial"/>
          <w:color w:val="000000"/>
          <w:szCs w:val="24"/>
          <w:u w:val="single"/>
          <w:lang w:eastAsia="es-CO"/>
        </w:rPr>
      </w:pPr>
      <w:r w:rsidRPr="00091C6F">
        <w:rPr>
          <w:rFonts w:ascii="Arial" w:hAnsi="Arial" w:cs="Arial"/>
          <w:color w:val="000000" w:themeColor="text1"/>
          <w:szCs w:val="24"/>
        </w:rPr>
        <w:lastRenderedPageBreak/>
        <w:t>En efecto, la intelección que se tiene, radica en que e</w:t>
      </w:r>
      <w:r w:rsidRPr="00091C6F">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se verifica por escrito al momento del diligenciamiento de la vinculación o traslado, situación que de desconocerse acarrea las sanciones previstas en el inciso 1º del artículo 271 </w:t>
      </w:r>
      <w:r w:rsidRPr="00091C6F">
        <w:rPr>
          <w:rFonts w:ascii="Arial" w:hAnsi="Arial" w:cs="Arial"/>
          <w:i/>
          <w:color w:val="000000"/>
          <w:szCs w:val="24"/>
          <w:lang w:eastAsia="es-CO"/>
        </w:rPr>
        <w:t>ibídem</w:t>
      </w:r>
      <w:r w:rsidRPr="00091C6F">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Pr="00091C6F">
        <w:rPr>
          <w:rFonts w:ascii="Arial" w:hAnsi="Arial" w:cs="Arial"/>
          <w:color w:val="000000"/>
          <w:szCs w:val="24"/>
          <w:u w:val="single"/>
          <w:lang w:eastAsia="es-CO"/>
        </w:rPr>
        <w:t xml:space="preserve"> </w:t>
      </w:r>
    </w:p>
    <w:p w14:paraId="50F06C07" w14:textId="77777777" w:rsidR="00FB653F" w:rsidRPr="00091C6F" w:rsidRDefault="00FB653F" w:rsidP="00091C6F">
      <w:pPr>
        <w:spacing w:line="276" w:lineRule="auto"/>
        <w:ind w:right="-93"/>
        <w:jc w:val="both"/>
        <w:rPr>
          <w:rFonts w:ascii="Arial" w:hAnsi="Arial" w:cs="Arial"/>
          <w:color w:val="000000"/>
          <w:szCs w:val="24"/>
          <w:lang w:eastAsia="es-CO"/>
        </w:rPr>
      </w:pPr>
    </w:p>
    <w:p w14:paraId="326D39FC" w14:textId="77777777" w:rsidR="00FB653F" w:rsidRPr="00091C6F" w:rsidRDefault="00FB653F" w:rsidP="00091C6F">
      <w:pPr>
        <w:spacing w:line="276" w:lineRule="auto"/>
        <w:ind w:right="-93"/>
        <w:jc w:val="both"/>
        <w:rPr>
          <w:rFonts w:ascii="Arial" w:hAnsi="Arial" w:cs="Arial"/>
          <w:color w:val="000000"/>
          <w:szCs w:val="24"/>
          <w:lang w:eastAsia="es-CO"/>
        </w:rPr>
      </w:pPr>
      <w:r w:rsidRPr="00091C6F">
        <w:rPr>
          <w:rFonts w:ascii="Arial" w:hAnsi="Arial" w:cs="Arial"/>
          <w:color w:val="000000"/>
          <w:szCs w:val="24"/>
          <w:lang w:eastAsia="es-CO"/>
        </w:rPr>
        <w:t xml:space="preserve">En ese sentido, frente al tópico </w:t>
      </w:r>
      <w:r w:rsidRPr="00091C6F">
        <w:rPr>
          <w:rFonts w:ascii="Arial" w:hAnsi="Arial" w:cs="Arial"/>
          <w:i/>
          <w:color w:val="000000"/>
          <w:szCs w:val="24"/>
          <w:lang w:eastAsia="es-CO"/>
        </w:rPr>
        <w:t xml:space="preserve">iii) </w:t>
      </w:r>
      <w:r w:rsidRPr="00091C6F">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091C6F">
        <w:rPr>
          <w:rFonts w:ascii="Arial" w:hAnsi="Arial" w:cs="Arial"/>
          <w:i/>
          <w:color w:val="000000"/>
          <w:szCs w:val="24"/>
          <w:lang w:eastAsia="es-CO"/>
        </w:rPr>
        <w:t xml:space="preserve">la prueba de la diligencia o cuidado incumbe al que ha debido emplearlo; la prueba del caso fortuito al que lo alega”; </w:t>
      </w:r>
      <w:r w:rsidRPr="00091C6F">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2356528A" w14:textId="77777777" w:rsidR="00FB653F" w:rsidRPr="00091C6F" w:rsidRDefault="00FB653F" w:rsidP="00091C6F">
      <w:pPr>
        <w:spacing w:line="276" w:lineRule="auto"/>
        <w:ind w:right="-93"/>
        <w:jc w:val="both"/>
        <w:rPr>
          <w:rFonts w:ascii="Arial" w:hAnsi="Arial" w:cs="Arial"/>
          <w:color w:val="000000"/>
          <w:szCs w:val="24"/>
          <w:lang w:eastAsia="es-CO"/>
        </w:rPr>
      </w:pPr>
    </w:p>
    <w:p w14:paraId="41A93161" w14:textId="5F133A44" w:rsidR="00FB653F" w:rsidRPr="00091C6F" w:rsidRDefault="00FB653F" w:rsidP="00091C6F">
      <w:pPr>
        <w:spacing w:line="276" w:lineRule="auto"/>
        <w:ind w:right="49"/>
        <w:contextualSpacing/>
        <w:jc w:val="both"/>
        <w:rPr>
          <w:rFonts w:ascii="Arial" w:hAnsi="Arial" w:cs="Arial"/>
          <w:color w:val="000000"/>
          <w:szCs w:val="24"/>
          <w:lang w:eastAsia="es-CO"/>
        </w:rPr>
      </w:pPr>
      <w:r w:rsidRPr="00091C6F">
        <w:rPr>
          <w:rFonts w:ascii="Arial" w:hAnsi="Arial" w:cs="Arial"/>
          <w:color w:val="000000"/>
          <w:szCs w:val="24"/>
          <w:lang w:eastAsia="es-CO"/>
        </w:rPr>
        <w:t xml:space="preserve">Ahora bien, situación diferente ocurre cuando las pretensiones del proceso de ineficacia de la afiliación se fundan en una negación indefinida, esto es, cuando </w:t>
      </w:r>
      <w:r w:rsidRPr="00091C6F">
        <w:rPr>
          <w:rFonts w:ascii="Arial" w:hAnsi="Arial" w:cs="Arial"/>
          <w:i/>
          <w:szCs w:val="24"/>
        </w:rPr>
        <w:t>“(…) no implique por el contrario la afirmación indirecta de un hecho concreto, pues de no ser así ya no revestirá el carácter de negación indefinida (…)”</w:t>
      </w:r>
      <w:r w:rsidRPr="00091C6F">
        <w:rPr>
          <w:rStyle w:val="Refdenotaalpie"/>
          <w:rFonts w:ascii="Arial" w:hAnsi="Arial" w:cs="Arial"/>
          <w:i/>
          <w:szCs w:val="24"/>
        </w:rPr>
        <w:footnoteReference w:id="2"/>
      </w:r>
      <w:r w:rsidRPr="00091C6F">
        <w:rPr>
          <w:rFonts w:ascii="Arial" w:hAnsi="Arial" w:cs="Arial"/>
          <w:i/>
          <w:szCs w:val="24"/>
        </w:rPr>
        <w:t xml:space="preserve">. </w:t>
      </w:r>
      <w:r w:rsidRPr="00091C6F">
        <w:rPr>
          <w:rFonts w:ascii="Arial" w:hAnsi="Arial" w:cs="Arial"/>
          <w:szCs w:val="24"/>
        </w:rPr>
        <w:t>Así, esta</w:t>
      </w:r>
      <w:r w:rsidRPr="00091C6F">
        <w:rPr>
          <w:rFonts w:ascii="Arial" w:hAnsi="Arial" w:cs="Arial"/>
          <w:color w:val="000000"/>
          <w:szCs w:val="24"/>
          <w:lang w:eastAsia="es-CO"/>
        </w:rPr>
        <w:t xml:space="preserve"> únicamente se concreta en la ausencia total de información, sin que la configure el que la parte actora exprese que “</w:t>
      </w:r>
      <w:r w:rsidRPr="00091C6F">
        <w:rPr>
          <w:rFonts w:ascii="Arial" w:hAnsi="Arial" w:cs="Arial"/>
          <w:i/>
          <w:color w:val="000000"/>
          <w:szCs w:val="24"/>
          <w:lang w:eastAsia="es-CO"/>
        </w:rPr>
        <w:t>la AFP no suministró información veraz y suficiente</w:t>
      </w:r>
      <w:r w:rsidRPr="00091C6F">
        <w:rPr>
          <w:rFonts w:ascii="Arial" w:hAnsi="Arial" w:cs="Arial"/>
          <w:color w:val="000000"/>
          <w:szCs w:val="24"/>
          <w:lang w:eastAsia="es-CO"/>
        </w:rPr>
        <w:t xml:space="preserve">” como se aduce en las sentencias de la Corte Suprema de Justicia; expresión que lleva implícita que sí se le dio alguna información, solo que resultó engañosa e insuficiente, </w:t>
      </w:r>
      <w:r w:rsidR="006D77BD" w:rsidRPr="00091C6F">
        <w:rPr>
          <w:rFonts w:ascii="Arial" w:hAnsi="Arial" w:cs="Arial"/>
          <w:color w:val="000000"/>
          <w:szCs w:val="24"/>
          <w:lang w:eastAsia="es-CO"/>
        </w:rPr>
        <w:t>por lo que tiene la obligación la parte actora d</w:t>
      </w:r>
      <w:r w:rsidRPr="00091C6F">
        <w:rPr>
          <w:rFonts w:ascii="Arial" w:hAnsi="Arial" w:cs="Arial"/>
          <w:color w:val="000000"/>
          <w:szCs w:val="24"/>
          <w:lang w:eastAsia="es-CO"/>
        </w:rPr>
        <w:t xml:space="preserve">e exponer qué fue lo que la AFP le informó, o cuál fue la información falsa, para que quede en evidencia qué faltó o dónde radicó el engaño; todo ello para trasladar la carga de probar a la AFP. </w:t>
      </w:r>
    </w:p>
    <w:p w14:paraId="12D82764" w14:textId="77777777" w:rsidR="00FB653F" w:rsidRPr="00091C6F" w:rsidRDefault="00FB653F" w:rsidP="00091C6F">
      <w:pPr>
        <w:spacing w:line="276" w:lineRule="auto"/>
        <w:ind w:right="49"/>
        <w:contextualSpacing/>
        <w:jc w:val="both"/>
        <w:rPr>
          <w:rFonts w:ascii="Arial" w:hAnsi="Arial" w:cs="Arial"/>
          <w:color w:val="000000"/>
          <w:szCs w:val="24"/>
          <w:lang w:eastAsia="es-CO"/>
        </w:rPr>
      </w:pPr>
    </w:p>
    <w:p w14:paraId="096BCFF1" w14:textId="42BC3027" w:rsidR="00FB653F" w:rsidRPr="00091C6F" w:rsidRDefault="00FB653F" w:rsidP="00091C6F">
      <w:pPr>
        <w:spacing w:line="276" w:lineRule="auto"/>
        <w:ind w:right="49"/>
        <w:contextualSpacing/>
        <w:jc w:val="both"/>
        <w:rPr>
          <w:rFonts w:ascii="Arial" w:hAnsi="Arial" w:cs="Arial"/>
          <w:color w:val="000000"/>
          <w:szCs w:val="24"/>
          <w:highlight w:val="red"/>
          <w:lang w:eastAsia="es-CO"/>
        </w:rPr>
      </w:pPr>
      <w:r w:rsidRPr="00091C6F">
        <w:rPr>
          <w:rFonts w:ascii="Arial" w:hAnsi="Arial" w:cs="Arial"/>
          <w:color w:val="000000"/>
          <w:szCs w:val="24"/>
          <w:lang w:eastAsia="es-CO"/>
        </w:rPr>
        <w:t xml:space="preserve">Entonces, para los procesos fundados en negaciones indefinidas reales </w:t>
      </w:r>
      <w:r w:rsidRPr="00091C6F">
        <w:rPr>
          <w:rFonts w:ascii="Arial" w:hAnsi="Arial" w:cs="Arial"/>
          <w:szCs w:val="24"/>
        </w:rPr>
        <w:t xml:space="preserve">corresponde de manera imperiosa a la AFP desvirtuar la misma, esto es, acreditar que el traslado estuvo precedido </w:t>
      </w:r>
      <w:r w:rsidR="006D77BD" w:rsidRPr="00091C6F">
        <w:rPr>
          <w:rFonts w:ascii="Arial" w:hAnsi="Arial" w:cs="Arial"/>
          <w:szCs w:val="24"/>
        </w:rPr>
        <w:t>de</w:t>
      </w:r>
      <w:r w:rsidRPr="00091C6F">
        <w:rPr>
          <w:rFonts w:ascii="Arial" w:hAnsi="Arial" w:cs="Arial"/>
          <w:szCs w:val="24"/>
        </w:rPr>
        <w:t xml:space="preserve"> información y por ende, el afiliado decidió libre y voluntariamente. </w:t>
      </w:r>
    </w:p>
    <w:p w14:paraId="08151544" w14:textId="77777777" w:rsidR="00FB653F" w:rsidRPr="00091C6F" w:rsidRDefault="00FB653F" w:rsidP="00091C6F">
      <w:pPr>
        <w:spacing w:line="276" w:lineRule="auto"/>
        <w:ind w:right="-93"/>
        <w:jc w:val="both"/>
        <w:rPr>
          <w:rFonts w:ascii="Arial" w:hAnsi="Arial" w:cs="Arial"/>
          <w:color w:val="000000"/>
          <w:szCs w:val="24"/>
          <w:lang w:eastAsia="es-CO"/>
        </w:rPr>
      </w:pPr>
    </w:p>
    <w:p w14:paraId="2BDD7479" w14:textId="7FAF1AF7" w:rsidR="00FB653F" w:rsidRPr="00091C6F" w:rsidRDefault="00FB653F" w:rsidP="00091C6F">
      <w:pPr>
        <w:spacing w:line="276" w:lineRule="auto"/>
        <w:ind w:right="-93"/>
        <w:jc w:val="both"/>
        <w:rPr>
          <w:rFonts w:ascii="Arial" w:hAnsi="Arial" w:cs="Arial"/>
          <w:color w:val="000000"/>
          <w:szCs w:val="24"/>
          <w:lang w:eastAsia="es-CO"/>
        </w:rPr>
      </w:pPr>
      <w:r w:rsidRPr="00091C6F">
        <w:rPr>
          <w:rFonts w:ascii="Arial" w:hAnsi="Arial" w:cs="Arial"/>
          <w:color w:val="000000"/>
          <w:szCs w:val="24"/>
          <w:lang w:eastAsia="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w:t>
      </w:r>
      <w:r w:rsidR="006D77BD" w:rsidRPr="00091C6F">
        <w:rPr>
          <w:rFonts w:ascii="Arial" w:hAnsi="Arial" w:cs="Arial"/>
          <w:color w:val="000000"/>
          <w:szCs w:val="24"/>
          <w:lang w:eastAsia="es-CO"/>
        </w:rPr>
        <w:t>,</w:t>
      </w:r>
      <w:r w:rsidRPr="00091C6F">
        <w:rPr>
          <w:rFonts w:ascii="Arial" w:hAnsi="Arial" w:cs="Arial"/>
          <w:color w:val="000000"/>
          <w:szCs w:val="24"/>
          <w:lang w:eastAsia="es-CO"/>
        </w:rPr>
        <w:t xml:space="preserve"> adecuada, completa y veraz para tomar una decisión bajo el principio de la libertad informada, y en esa medida, poder dar rienda suelta al art. 1604 del C.C., pues la presunción allí establecida no es el </w:t>
      </w:r>
      <w:r w:rsidRPr="00091C6F">
        <w:rPr>
          <w:rFonts w:ascii="Arial" w:hAnsi="Arial" w:cs="Arial"/>
          <w:color w:val="000000"/>
          <w:szCs w:val="24"/>
          <w:lang w:eastAsia="es-CO"/>
        </w:rPr>
        <w:lastRenderedPageBreak/>
        <w:t xml:space="preserve">incumplimiento de la obligación, sino la culpa en tal incumplimiento, iterase, una vez probado este. </w:t>
      </w:r>
    </w:p>
    <w:p w14:paraId="69CA0438" w14:textId="77777777" w:rsidR="00FB653F" w:rsidRPr="00091C6F" w:rsidRDefault="00FB653F" w:rsidP="00091C6F">
      <w:pPr>
        <w:spacing w:line="276" w:lineRule="auto"/>
        <w:ind w:right="-93"/>
        <w:jc w:val="both"/>
        <w:rPr>
          <w:rFonts w:ascii="Arial" w:hAnsi="Arial" w:cs="Arial"/>
          <w:color w:val="000000"/>
          <w:szCs w:val="24"/>
          <w:lang w:eastAsia="es-CO"/>
        </w:rPr>
      </w:pPr>
    </w:p>
    <w:p w14:paraId="0610D661" w14:textId="77777777" w:rsidR="00FB653F" w:rsidRPr="00091C6F" w:rsidRDefault="00FB653F" w:rsidP="00091C6F">
      <w:pPr>
        <w:spacing w:line="276" w:lineRule="auto"/>
        <w:ind w:right="-93"/>
        <w:jc w:val="both"/>
        <w:rPr>
          <w:rFonts w:ascii="Arial" w:hAnsi="Arial" w:cs="Arial"/>
          <w:color w:val="000000"/>
          <w:szCs w:val="24"/>
          <w:lang w:eastAsia="es-CO"/>
        </w:rPr>
      </w:pPr>
      <w:r w:rsidRPr="00091C6F">
        <w:rPr>
          <w:rFonts w:ascii="Arial" w:hAnsi="Arial" w:cs="Arial"/>
          <w:color w:val="000000"/>
          <w:szCs w:val="24"/>
          <w:lang w:eastAsia="es-CO"/>
        </w:rPr>
        <w:t xml:space="preserve">En ese sentido, probado que la AFP incumplió tal obligación corresponderá a esta, para efecto de exonerarse de la consecuencia negativa impuesta en el art. 271 de la Ley 100/93, acreditar su diligencia y cuidado en tal suministro de información. Demostración que se circunscribe a un mayor grado de diligencia y </w:t>
      </w:r>
      <w:proofErr w:type="spellStart"/>
      <w:r w:rsidRPr="00091C6F">
        <w:rPr>
          <w:rFonts w:ascii="Arial" w:hAnsi="Arial" w:cs="Arial"/>
          <w:color w:val="000000"/>
          <w:szCs w:val="24"/>
          <w:lang w:eastAsia="es-CO"/>
        </w:rPr>
        <w:t>sobretodo</w:t>
      </w:r>
      <w:proofErr w:type="spellEnd"/>
      <w:r w:rsidRPr="00091C6F">
        <w:rPr>
          <w:rFonts w:ascii="Arial" w:hAnsi="Arial" w:cs="Arial"/>
          <w:color w:val="000000"/>
          <w:szCs w:val="24"/>
          <w:lang w:eastAsia="es-CO"/>
        </w:rPr>
        <w:t xml:space="preserve"> de profesionalismo tal como lo exige la jurisprudencia en punto compartido por esta Sala Mayoritaria, pues la actividad realizada por las AFP se caracteriza por ser habitual, masiva y lucrativa, elementos que en conjunto implican que la AFP ostente un conocimiento experto y singular en la actividad ofertada, y por ello, el </w:t>
      </w:r>
      <w:proofErr w:type="spellStart"/>
      <w:r w:rsidRPr="00091C6F">
        <w:rPr>
          <w:rFonts w:ascii="Arial" w:hAnsi="Arial" w:cs="Arial"/>
          <w:i/>
          <w:color w:val="000000"/>
          <w:szCs w:val="24"/>
          <w:lang w:eastAsia="es-CO"/>
        </w:rPr>
        <w:t>onus</w:t>
      </w:r>
      <w:proofErr w:type="spellEnd"/>
      <w:r w:rsidRPr="00091C6F">
        <w:rPr>
          <w:rFonts w:ascii="Arial" w:hAnsi="Arial" w:cs="Arial"/>
          <w:i/>
          <w:color w:val="000000"/>
          <w:szCs w:val="24"/>
          <w:lang w:eastAsia="es-CO"/>
        </w:rPr>
        <w:t xml:space="preserve"> probandi</w:t>
      </w:r>
      <w:r w:rsidRPr="00091C6F">
        <w:rPr>
          <w:rFonts w:ascii="Arial" w:hAnsi="Arial" w:cs="Arial"/>
          <w:color w:val="000000"/>
          <w:szCs w:val="24"/>
          <w:lang w:eastAsia="es-CO"/>
        </w:rPr>
        <w:t xml:space="preserve"> que recae en ella exige mayor rudeza en tal diligencia, que la que se reclama de cualquier comerciante</w:t>
      </w:r>
      <w:r w:rsidRPr="00091C6F">
        <w:rPr>
          <w:rStyle w:val="Refdenotaalpie"/>
          <w:rFonts w:ascii="Arial" w:hAnsi="Arial" w:cs="Arial"/>
          <w:color w:val="000000"/>
          <w:szCs w:val="24"/>
          <w:lang w:eastAsia="es-CO"/>
        </w:rPr>
        <w:footnoteReference w:id="3"/>
      </w:r>
      <w:r w:rsidRPr="00091C6F">
        <w:rPr>
          <w:rFonts w:ascii="Arial" w:hAnsi="Arial" w:cs="Arial"/>
          <w:color w:val="000000"/>
          <w:szCs w:val="24"/>
          <w:lang w:eastAsia="es-CO"/>
        </w:rPr>
        <w:t xml:space="preserve">.  </w:t>
      </w:r>
    </w:p>
    <w:p w14:paraId="4EFCE848" w14:textId="77777777" w:rsidR="00FB653F" w:rsidRPr="00091C6F" w:rsidRDefault="00FB653F" w:rsidP="00091C6F">
      <w:pPr>
        <w:spacing w:line="276" w:lineRule="auto"/>
        <w:ind w:right="-93"/>
        <w:jc w:val="both"/>
        <w:rPr>
          <w:rFonts w:ascii="Arial" w:hAnsi="Arial" w:cs="Arial"/>
          <w:color w:val="000000"/>
          <w:szCs w:val="24"/>
          <w:lang w:eastAsia="es-CO"/>
        </w:rPr>
      </w:pPr>
    </w:p>
    <w:p w14:paraId="5767EFF7" w14:textId="77777777" w:rsidR="00FB653F" w:rsidRPr="00091C6F" w:rsidRDefault="00FB653F" w:rsidP="00091C6F">
      <w:pPr>
        <w:spacing w:line="276" w:lineRule="auto"/>
        <w:ind w:right="-93"/>
        <w:jc w:val="both"/>
        <w:rPr>
          <w:rFonts w:ascii="Arial" w:hAnsi="Arial" w:cs="Arial"/>
          <w:color w:val="000000"/>
          <w:szCs w:val="24"/>
          <w:lang w:eastAsia="es-CO"/>
        </w:rPr>
      </w:pPr>
      <w:r w:rsidRPr="00091C6F">
        <w:rPr>
          <w:rFonts w:ascii="Arial" w:hAnsi="Arial" w:cs="Arial"/>
          <w:color w:val="000000"/>
          <w:szCs w:val="24"/>
          <w:lang w:eastAsia="es-CO"/>
        </w:rPr>
        <w:t>La reciente jurisprudencia también compendió en tres etapas evolutivas el deber de información a cargo de las administradoras de fondos de pensiones</w:t>
      </w:r>
      <w:r w:rsidRPr="00091C6F">
        <w:rPr>
          <w:rStyle w:val="Refdenotaalpie"/>
          <w:rFonts w:ascii="Arial" w:hAnsi="Arial" w:cs="Arial"/>
          <w:color w:val="000000"/>
          <w:szCs w:val="24"/>
          <w:lang w:eastAsia="es-CO"/>
        </w:rPr>
        <w:footnoteReference w:id="4"/>
      </w:r>
      <w:r w:rsidRPr="00091C6F">
        <w:rPr>
          <w:rFonts w:ascii="Arial" w:hAnsi="Arial" w:cs="Arial"/>
          <w:color w:val="000000"/>
          <w:szCs w:val="24"/>
          <w:lang w:eastAsia="es-CO"/>
        </w:rPr>
        <w:t>, de la que únicamente resaltaremos la primera, por ser atinente a los hechos escrutados.</w:t>
      </w:r>
    </w:p>
    <w:p w14:paraId="496DC074" w14:textId="77777777" w:rsidR="00FB653F" w:rsidRPr="00091C6F" w:rsidRDefault="00FB653F" w:rsidP="00091C6F">
      <w:pPr>
        <w:spacing w:line="276" w:lineRule="auto"/>
        <w:ind w:right="-93"/>
        <w:jc w:val="both"/>
        <w:rPr>
          <w:rFonts w:ascii="Arial" w:hAnsi="Arial" w:cs="Arial"/>
          <w:color w:val="000000"/>
          <w:szCs w:val="24"/>
          <w:lang w:eastAsia="es-CO"/>
        </w:rPr>
      </w:pPr>
    </w:p>
    <w:p w14:paraId="127D074C" w14:textId="77777777" w:rsidR="00FB653F" w:rsidRPr="00091C6F" w:rsidRDefault="00FB653F" w:rsidP="00091C6F">
      <w:pPr>
        <w:spacing w:line="276" w:lineRule="auto"/>
        <w:ind w:right="-93"/>
        <w:jc w:val="both"/>
        <w:rPr>
          <w:rFonts w:ascii="Arial" w:hAnsi="Arial" w:cs="Arial"/>
          <w:i/>
          <w:color w:val="000000"/>
          <w:szCs w:val="24"/>
          <w:lang w:eastAsia="es-CO"/>
        </w:rPr>
      </w:pPr>
      <w:r w:rsidRPr="00091C6F">
        <w:rPr>
          <w:rFonts w:ascii="Arial" w:hAnsi="Arial" w:cs="Arial"/>
          <w:color w:val="000000"/>
          <w:szCs w:val="24"/>
          <w:lang w:eastAsia="es-CO"/>
        </w:rPr>
        <w:t>Así, una primera etapa que refiere únicamente “</w:t>
      </w:r>
      <w:r w:rsidRPr="00091C6F">
        <w:rPr>
          <w:rFonts w:ascii="Arial" w:hAnsi="Arial" w:cs="Arial"/>
          <w:i/>
          <w:color w:val="000000"/>
          <w:szCs w:val="24"/>
          <w:lang w:eastAsia="es-CO"/>
        </w:rPr>
        <w:t>deber de información”</w:t>
      </w:r>
      <w:r w:rsidRPr="00091C6F">
        <w:rPr>
          <w:rFonts w:ascii="Arial" w:hAnsi="Arial" w:cs="Arial"/>
          <w:color w:val="000000"/>
          <w:szCs w:val="24"/>
          <w:lang w:eastAsia="es-CO"/>
        </w:rPr>
        <w:t xml:space="preserve"> que inicia con la creación de la Ley 100/1993 en la que la obligación de información se circunscribe a la “</w:t>
      </w:r>
      <w:r w:rsidRPr="00091C6F">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618DAA53" w14:textId="77777777" w:rsidR="00FB653F" w:rsidRPr="00091C6F" w:rsidRDefault="00FB653F" w:rsidP="00091C6F">
      <w:pPr>
        <w:spacing w:line="276" w:lineRule="auto"/>
        <w:ind w:right="-93"/>
        <w:jc w:val="both"/>
        <w:rPr>
          <w:rFonts w:ascii="Arial" w:hAnsi="Arial" w:cs="Arial"/>
          <w:color w:val="000000"/>
          <w:szCs w:val="24"/>
          <w:lang w:eastAsia="es-CO"/>
        </w:rPr>
      </w:pPr>
    </w:p>
    <w:p w14:paraId="12CC2971" w14:textId="77777777" w:rsidR="00FB653F" w:rsidRPr="00091C6F" w:rsidRDefault="00FB653F" w:rsidP="00091C6F">
      <w:pPr>
        <w:shd w:val="clear" w:color="auto" w:fill="FFFFFF"/>
        <w:tabs>
          <w:tab w:val="left" w:pos="5197"/>
        </w:tabs>
        <w:spacing w:line="276" w:lineRule="auto"/>
        <w:jc w:val="both"/>
        <w:rPr>
          <w:rFonts w:ascii="Arial" w:hAnsi="Arial" w:cs="Arial"/>
          <w:iCs/>
          <w:szCs w:val="24"/>
        </w:rPr>
      </w:pPr>
      <w:r w:rsidRPr="00091C6F">
        <w:rPr>
          <w:rFonts w:ascii="Arial" w:hAnsi="Arial" w:cs="Arial"/>
          <w:iCs/>
          <w:szCs w:val="24"/>
        </w:rPr>
        <w:t>Sin embargo, tal obligación de información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En este sentido se pronunció la Corte Constitucional en la sentencia C-1024/2004, a propósito de la constitucionalidad del artículo 2º de la Ley 797/2003 que limita el traslado entre regímenes.</w:t>
      </w:r>
    </w:p>
    <w:p w14:paraId="3D5E8E1F" w14:textId="77777777" w:rsidR="00FB653F" w:rsidRPr="00091C6F" w:rsidRDefault="00FB653F" w:rsidP="00091C6F">
      <w:pPr>
        <w:shd w:val="clear" w:color="auto" w:fill="FFFFFF"/>
        <w:tabs>
          <w:tab w:val="left" w:pos="5197"/>
        </w:tabs>
        <w:spacing w:line="276" w:lineRule="auto"/>
        <w:jc w:val="both"/>
        <w:rPr>
          <w:rFonts w:ascii="Arial" w:hAnsi="Arial" w:cs="Arial"/>
          <w:iCs/>
          <w:szCs w:val="24"/>
        </w:rPr>
      </w:pPr>
    </w:p>
    <w:p w14:paraId="6F7F0C55" w14:textId="77777777" w:rsidR="00FB653F" w:rsidRPr="00091C6F" w:rsidRDefault="00FB653F" w:rsidP="00091C6F">
      <w:pPr>
        <w:shd w:val="clear" w:color="auto" w:fill="FFFFFF"/>
        <w:tabs>
          <w:tab w:val="left" w:pos="5197"/>
        </w:tabs>
        <w:spacing w:line="276" w:lineRule="auto"/>
        <w:jc w:val="both"/>
        <w:rPr>
          <w:rFonts w:ascii="Arial" w:hAnsi="Arial" w:cs="Arial"/>
          <w:iCs/>
          <w:szCs w:val="24"/>
        </w:rPr>
      </w:pPr>
      <w:r w:rsidRPr="00091C6F">
        <w:rPr>
          <w:rFonts w:ascii="Arial" w:hAnsi="Arial" w:cs="Arial"/>
          <w:iCs/>
          <w:szCs w:val="24"/>
        </w:rPr>
        <w:t xml:space="preserve">Lo dicho adquiere más significado, si en cuenta se tiene que al sancionarse con la ineficacia el negocio jurídico de afiliación celebrado entre el actor y una AFP, quien realmente sufre los efectos es Colpensiones, tercero que no participó tan siquiera en la etapa precontractual indispensable para que el afiliado fuera debidamente informado, y quien además, deberá asumir la carga impositiva que deviene de un nuevo afiliado, para lo cual deberá echar mano de los recursos habidos en el fondo común en el que participan todos los afiliados al RPM y que puede llegar a poner en </w:t>
      </w:r>
      <w:r w:rsidRPr="00091C6F">
        <w:rPr>
          <w:rFonts w:ascii="Arial" w:hAnsi="Arial" w:cs="Arial"/>
          <w:iCs/>
          <w:szCs w:val="24"/>
        </w:rPr>
        <w:lastRenderedPageBreak/>
        <w:t>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7809073F" w14:textId="77777777" w:rsidR="00FB653F" w:rsidRPr="00091C6F" w:rsidRDefault="00FB653F" w:rsidP="00091C6F">
      <w:pPr>
        <w:shd w:val="clear" w:color="auto" w:fill="FFFFFF"/>
        <w:tabs>
          <w:tab w:val="left" w:pos="5197"/>
        </w:tabs>
        <w:spacing w:line="276" w:lineRule="auto"/>
        <w:jc w:val="both"/>
        <w:rPr>
          <w:rFonts w:ascii="Arial" w:hAnsi="Arial" w:cs="Arial"/>
          <w:iCs/>
          <w:szCs w:val="24"/>
        </w:rPr>
      </w:pPr>
    </w:p>
    <w:p w14:paraId="0D67EB29" w14:textId="77777777" w:rsidR="00FB653F" w:rsidRPr="00091C6F" w:rsidRDefault="00FB653F" w:rsidP="00091C6F">
      <w:pPr>
        <w:spacing w:line="276" w:lineRule="auto"/>
        <w:ind w:right="-93"/>
        <w:jc w:val="both"/>
        <w:rPr>
          <w:rFonts w:ascii="Arial" w:hAnsi="Arial" w:cs="Arial"/>
          <w:color w:val="4B4949"/>
          <w:szCs w:val="24"/>
          <w:lang w:val="es-ES"/>
        </w:rPr>
      </w:pPr>
      <w:r w:rsidRPr="00091C6F">
        <w:rPr>
          <w:rFonts w:ascii="Arial" w:hAnsi="Arial" w:cs="Arial"/>
          <w:color w:val="000000"/>
          <w:szCs w:val="24"/>
          <w:lang w:eastAsia="es-CO"/>
        </w:rPr>
        <w:t xml:space="preserve">Por último, y si en gracia de discusión se aceptara tal inversión de la carga de la prueba bajo las presuntas </w:t>
      </w:r>
      <w:r w:rsidRPr="00091C6F">
        <w:rPr>
          <w:rFonts w:ascii="Arial" w:hAnsi="Arial" w:cs="Arial"/>
          <w:i/>
          <w:color w:val="000000"/>
          <w:szCs w:val="24"/>
          <w:lang w:eastAsia="es-CO"/>
        </w:rPr>
        <w:t>reglas de justicia</w:t>
      </w:r>
      <w:r w:rsidRPr="00091C6F">
        <w:rPr>
          <w:rFonts w:ascii="Arial" w:hAnsi="Arial" w:cs="Arial"/>
          <w:color w:val="000000"/>
          <w:szCs w:val="24"/>
          <w:lang w:eastAsia="es-CO"/>
        </w:rPr>
        <w:t xml:space="preserve"> que alude la Sala Laboral de la Corte Suprema “</w:t>
      </w:r>
      <w:r w:rsidRPr="00091C6F">
        <w:rPr>
          <w:rFonts w:ascii="Arial" w:hAnsi="Arial" w:cs="Arial"/>
          <w:i/>
          <w:color w:val="000000"/>
          <w:szCs w:val="24"/>
          <w:lang w:eastAsia="es-CO"/>
        </w:rPr>
        <w:t xml:space="preserve">en virtud de la cual no es dable exigir a quien está en un aposición probatoria complica </w:t>
      </w:r>
      <w:r w:rsidRPr="00091C6F">
        <w:rPr>
          <w:rFonts w:ascii="Arial" w:hAnsi="Arial" w:cs="Arial"/>
          <w:color w:val="000000"/>
          <w:szCs w:val="24"/>
          <w:lang w:eastAsia="es-CO"/>
        </w:rPr>
        <w:t xml:space="preserve">(…) </w:t>
      </w:r>
      <w:r w:rsidRPr="00091C6F">
        <w:rPr>
          <w:rFonts w:ascii="Arial" w:hAnsi="Arial" w:cs="Arial"/>
          <w:i/>
          <w:color w:val="000000"/>
          <w:szCs w:val="24"/>
          <w:lang w:eastAsia="es-CO"/>
        </w:rPr>
        <w:t>el esclarecimiento de hechos que la otra parte está en mejor posición de ilustrar”</w:t>
      </w:r>
      <w:r w:rsidRPr="00091C6F">
        <w:rPr>
          <w:rFonts w:ascii="Arial" w:hAnsi="Arial" w:cs="Arial"/>
          <w:color w:val="000000"/>
          <w:szCs w:val="24"/>
          <w:lang w:eastAsia="es-CO"/>
        </w:rPr>
        <w:t xml:space="preserve">, 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de tal manera que se comunique a la AFP la exigencia de probar determinado hecho (información suministrada); que a juicio de la Sala Mayoritaria resulta desacertado pues tales administradoras no necesariamente tienen en su poder material probatorio adicional al formulario de afiliación, pues rememórese que para la primera etapa evolutiva del deber de información, ninguna normativa exigía a dichas entidades dejar registro del proceso de asesoría </w:t>
      </w:r>
      <w:proofErr w:type="spellStart"/>
      <w:r w:rsidRPr="00091C6F">
        <w:rPr>
          <w:rFonts w:ascii="Arial" w:hAnsi="Arial" w:cs="Arial"/>
          <w:color w:val="000000"/>
          <w:szCs w:val="24"/>
          <w:lang w:eastAsia="es-CO"/>
        </w:rPr>
        <w:t>mas</w:t>
      </w:r>
      <w:proofErr w:type="spellEnd"/>
      <w:r w:rsidRPr="00091C6F">
        <w:rPr>
          <w:rFonts w:ascii="Arial" w:hAnsi="Arial" w:cs="Arial"/>
          <w:color w:val="000000"/>
          <w:szCs w:val="24"/>
          <w:lang w:eastAsia="es-CO"/>
        </w:rPr>
        <w:t xml:space="preserve"> que el formulario en mención, y por ello, mal podría la jurisdicción exigir única y estrictamente a la AFP que allegue tal documental en una clara trasgresión a la cláusula constitucional 6º, que solo reprende a los particulares por infringir la constitución o las leyes. </w:t>
      </w:r>
    </w:p>
    <w:p w14:paraId="66B52D54" w14:textId="77777777" w:rsidR="00FB653F" w:rsidRPr="00091C6F" w:rsidRDefault="00FB653F" w:rsidP="00091C6F">
      <w:pPr>
        <w:shd w:val="clear" w:color="auto" w:fill="FFFFFF"/>
        <w:tabs>
          <w:tab w:val="left" w:pos="5197"/>
        </w:tabs>
        <w:spacing w:line="276" w:lineRule="auto"/>
        <w:jc w:val="both"/>
        <w:rPr>
          <w:rFonts w:ascii="Arial" w:hAnsi="Arial" w:cs="Arial"/>
          <w:iCs/>
          <w:szCs w:val="24"/>
        </w:rPr>
      </w:pPr>
    </w:p>
    <w:p w14:paraId="4F98DA83" w14:textId="77777777" w:rsidR="00FB653F" w:rsidRPr="00091C6F" w:rsidRDefault="00FB653F" w:rsidP="00091C6F">
      <w:pPr>
        <w:shd w:val="clear" w:color="auto" w:fill="FFFFFF"/>
        <w:tabs>
          <w:tab w:val="left" w:pos="5197"/>
        </w:tabs>
        <w:spacing w:line="276" w:lineRule="auto"/>
        <w:jc w:val="both"/>
        <w:rPr>
          <w:rFonts w:ascii="Arial" w:eastAsiaTheme="minorHAnsi" w:hAnsi="Arial" w:cs="Arial"/>
          <w:iCs/>
          <w:szCs w:val="24"/>
        </w:rPr>
      </w:pPr>
      <w:r w:rsidRPr="00091C6F">
        <w:rPr>
          <w:rFonts w:ascii="Arial" w:hAnsi="Arial" w:cs="Arial"/>
          <w:iCs/>
          <w:szCs w:val="24"/>
        </w:rPr>
        <w:t xml:space="preserve">En cuanto al tópico </w:t>
      </w:r>
      <w:r w:rsidRPr="00091C6F">
        <w:rPr>
          <w:rFonts w:ascii="Arial" w:hAnsi="Arial" w:cs="Arial"/>
          <w:b/>
          <w:i/>
          <w:iCs/>
          <w:szCs w:val="24"/>
        </w:rPr>
        <w:t>ii),</w:t>
      </w:r>
      <w:r w:rsidRPr="00091C6F">
        <w:rPr>
          <w:rFonts w:ascii="Arial" w:hAnsi="Arial" w:cs="Arial"/>
          <w:iCs/>
          <w:szCs w:val="24"/>
        </w:rPr>
        <w:t xml:space="preserve"> es preciso insistir que de no desconocerse o tacharse el formulario de afiliación este se presume auténtico por lo que permite inferir en principio que la información se brindó de manera suficiente y veraz (art. 244 y 269 del C.G.P.); formularios que cuentan con los datos que para esa época (primera etapa evolutiva) eran los exigidos por la Ley </w:t>
      </w:r>
      <w:r w:rsidRPr="00091C6F">
        <w:rPr>
          <w:rFonts w:ascii="Arial" w:eastAsiaTheme="minorHAnsi" w:hAnsi="Arial" w:cs="Arial"/>
          <w:iCs/>
          <w:szCs w:val="24"/>
        </w:rPr>
        <w:t>dejar en él, conforme a las directrices previstas en el Decreto 692 de 1994 a través del cual se reglamentó en lo pertinente la Ley 100/93 (ignorarlo atentaría con el principio de confianza legítima del fondo de pensiones),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3603BC1E" w14:textId="77777777" w:rsidR="00FB653F" w:rsidRPr="00091C6F" w:rsidRDefault="00FB653F" w:rsidP="00091C6F">
      <w:pPr>
        <w:shd w:val="clear" w:color="auto" w:fill="FFFFFF"/>
        <w:tabs>
          <w:tab w:val="left" w:pos="5197"/>
        </w:tabs>
        <w:spacing w:line="276" w:lineRule="auto"/>
        <w:jc w:val="both"/>
        <w:rPr>
          <w:rFonts w:ascii="Arial" w:eastAsiaTheme="minorHAnsi" w:hAnsi="Arial" w:cs="Arial"/>
          <w:iCs/>
          <w:szCs w:val="24"/>
        </w:rPr>
      </w:pPr>
    </w:p>
    <w:p w14:paraId="48548D49" w14:textId="77777777" w:rsidR="00FB653F" w:rsidRPr="00091C6F" w:rsidRDefault="00FB653F" w:rsidP="00091C6F">
      <w:pPr>
        <w:shd w:val="clear" w:color="auto" w:fill="FFFFFF"/>
        <w:tabs>
          <w:tab w:val="left" w:pos="5197"/>
        </w:tabs>
        <w:spacing w:line="276" w:lineRule="auto"/>
        <w:jc w:val="both"/>
        <w:rPr>
          <w:rFonts w:ascii="Arial" w:eastAsiaTheme="minorHAnsi" w:hAnsi="Arial" w:cs="Arial"/>
          <w:iCs/>
          <w:szCs w:val="24"/>
        </w:rPr>
      </w:pPr>
      <w:r w:rsidRPr="00091C6F">
        <w:rPr>
          <w:rFonts w:ascii="Arial" w:eastAsiaTheme="minorHAnsi" w:hAnsi="Arial" w:cs="Arial"/>
          <w:iCs/>
          <w:szCs w:val="24"/>
        </w:rPr>
        <w:t>Lo anterior se afirma dado que la suscripción de dicho documento implica la selección del RAIS, que lleva consigo la aceptación de las condiciones propias del régimen conforme a lo señalado en el artículo 11 Decreto 692/94 al decir “</w:t>
      </w:r>
      <w:r w:rsidRPr="00091C6F">
        <w:rPr>
          <w:rFonts w:ascii="Arial" w:eastAsiaTheme="minorHAnsi" w:hAnsi="Arial" w:cs="Arial"/>
          <w:i/>
          <w:iCs/>
          <w:szCs w:val="24"/>
        </w:rPr>
        <w:t>la selección del régimen implica la aceptación de las condiciones propias de éste (…)”</w:t>
      </w:r>
      <w:r w:rsidRPr="00091C6F">
        <w:rPr>
          <w:rFonts w:ascii="Arial" w:eastAsiaTheme="minorHAnsi" w:hAnsi="Arial" w:cs="Arial"/>
          <w:iCs/>
          <w:szCs w:val="24"/>
        </w:rPr>
        <w:t xml:space="preserve">; lo que necesariamente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6EBD00CF" w14:textId="77777777" w:rsidR="00FB653F" w:rsidRPr="00091C6F" w:rsidRDefault="00FB653F" w:rsidP="00091C6F">
      <w:pPr>
        <w:shd w:val="clear" w:color="auto" w:fill="FFFFFF"/>
        <w:tabs>
          <w:tab w:val="left" w:pos="5197"/>
        </w:tabs>
        <w:spacing w:line="276" w:lineRule="auto"/>
        <w:jc w:val="both"/>
        <w:rPr>
          <w:rFonts w:ascii="Arial" w:eastAsiaTheme="minorHAnsi" w:hAnsi="Arial" w:cs="Arial"/>
          <w:iCs/>
          <w:szCs w:val="24"/>
        </w:rPr>
      </w:pPr>
    </w:p>
    <w:p w14:paraId="63D4F67D" w14:textId="5552E561" w:rsidR="00FB653F" w:rsidRPr="00091C6F" w:rsidRDefault="00FB653F" w:rsidP="00091C6F">
      <w:pPr>
        <w:shd w:val="clear" w:color="auto" w:fill="FFFFFF"/>
        <w:tabs>
          <w:tab w:val="left" w:pos="5197"/>
        </w:tabs>
        <w:spacing w:line="276" w:lineRule="auto"/>
        <w:jc w:val="both"/>
        <w:rPr>
          <w:rFonts w:ascii="Arial" w:eastAsiaTheme="minorHAnsi" w:hAnsi="Arial" w:cs="Arial"/>
          <w:iCs/>
          <w:szCs w:val="24"/>
        </w:rPr>
      </w:pPr>
      <w:r w:rsidRPr="00091C6F">
        <w:rPr>
          <w:rFonts w:ascii="Arial" w:eastAsiaTheme="minorHAnsi" w:hAnsi="Arial" w:cs="Arial"/>
          <w:iCs/>
          <w:szCs w:val="24"/>
        </w:rPr>
        <w:t xml:space="preserve">Ahora bien, la posición que la Sala Mayoritaria pregona de ninguna manera implica la búsqueda exhaustiva de una única persona a quién se le atribuya la obligación de </w:t>
      </w:r>
      <w:r w:rsidRPr="00091C6F">
        <w:rPr>
          <w:rFonts w:ascii="Arial" w:eastAsiaTheme="minorHAnsi" w:hAnsi="Arial" w:cs="Arial"/>
          <w:iCs/>
          <w:szCs w:val="24"/>
        </w:rPr>
        <w:lastRenderedPageBreak/>
        <w:t xml:space="preserve">probar, como quien busca un culpable; por el contrario, la actividad probatoria debe estar permeada del principio de la comunidad de la prueba, de manera tal que una vez las probanzas son allegadas al plenario, entonces tienen el único propósito de acreditar o no el hecho escrutado en el proceso, sin </w:t>
      </w:r>
      <w:r w:rsidR="006D77BD" w:rsidRPr="00091C6F">
        <w:rPr>
          <w:rFonts w:ascii="Arial" w:eastAsiaTheme="minorHAnsi" w:hAnsi="Arial" w:cs="Arial"/>
          <w:iCs/>
          <w:szCs w:val="24"/>
        </w:rPr>
        <w:t>detenernos</w:t>
      </w:r>
      <w:r w:rsidRPr="00091C6F">
        <w:rPr>
          <w:rFonts w:ascii="Arial" w:eastAsiaTheme="minorHAnsi" w:hAnsi="Arial" w:cs="Arial"/>
          <w:iCs/>
          <w:szCs w:val="24"/>
        </w:rPr>
        <w:t xml:space="preserve"> en el sujeto procesal que la introdujo. </w:t>
      </w:r>
    </w:p>
    <w:p w14:paraId="0F69F76C" w14:textId="77777777" w:rsidR="00D02C1F" w:rsidRPr="00091C6F" w:rsidRDefault="00D02C1F" w:rsidP="00091C6F">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091C6F" w:rsidRDefault="00D02C1F" w:rsidP="00091C6F">
      <w:pPr>
        <w:spacing w:line="276" w:lineRule="auto"/>
        <w:ind w:right="284"/>
        <w:jc w:val="both"/>
        <w:rPr>
          <w:rFonts w:ascii="Arial" w:hAnsi="Arial" w:cs="Arial"/>
          <w:b/>
          <w:szCs w:val="24"/>
        </w:rPr>
      </w:pPr>
      <w:r w:rsidRPr="00091C6F">
        <w:rPr>
          <w:rFonts w:ascii="Arial" w:hAnsi="Arial" w:cs="Arial"/>
          <w:b/>
          <w:szCs w:val="24"/>
        </w:rPr>
        <w:t xml:space="preserve">2.2. Fundamento fáctico </w:t>
      </w:r>
    </w:p>
    <w:p w14:paraId="5E3A1FC8" w14:textId="77777777" w:rsidR="00D02C1F" w:rsidRPr="00DF2F6D" w:rsidRDefault="00D02C1F" w:rsidP="00DF2F6D">
      <w:pPr>
        <w:shd w:val="clear" w:color="auto" w:fill="FFFFFF"/>
        <w:tabs>
          <w:tab w:val="left" w:pos="5197"/>
        </w:tabs>
        <w:spacing w:line="276" w:lineRule="auto"/>
        <w:jc w:val="both"/>
        <w:rPr>
          <w:rFonts w:ascii="Arial" w:hAnsi="Arial" w:cs="Arial"/>
          <w:color w:val="000000" w:themeColor="text1"/>
          <w:szCs w:val="24"/>
        </w:rPr>
      </w:pPr>
    </w:p>
    <w:p w14:paraId="5C7622C1" w14:textId="195EB841" w:rsidR="00D02C1F" w:rsidRPr="00091C6F" w:rsidRDefault="00D02C1F" w:rsidP="00091C6F">
      <w:pPr>
        <w:spacing w:line="276" w:lineRule="auto"/>
        <w:jc w:val="both"/>
        <w:rPr>
          <w:rFonts w:ascii="Arial" w:hAnsi="Arial" w:cs="Arial"/>
          <w:szCs w:val="24"/>
        </w:rPr>
      </w:pPr>
      <w:r w:rsidRPr="00091C6F">
        <w:rPr>
          <w:rFonts w:ascii="Arial" w:hAnsi="Arial" w:cs="Arial"/>
          <w:b/>
          <w:szCs w:val="24"/>
        </w:rPr>
        <w:t>2.2.1.</w:t>
      </w:r>
      <w:r w:rsidRPr="00091C6F">
        <w:rPr>
          <w:rFonts w:ascii="Arial" w:hAnsi="Arial" w:cs="Arial"/>
          <w:szCs w:val="24"/>
        </w:rPr>
        <w:t xml:space="preserve"> Rememórese que </w:t>
      </w:r>
      <w:r w:rsidR="00B20968" w:rsidRPr="00091C6F">
        <w:rPr>
          <w:rFonts w:ascii="Arial" w:hAnsi="Arial" w:cs="Arial"/>
          <w:szCs w:val="24"/>
        </w:rPr>
        <w:t>Héctor Fabio Zapata Calderón</w:t>
      </w:r>
      <w:r w:rsidRPr="00091C6F">
        <w:rPr>
          <w:rFonts w:ascii="Arial" w:hAnsi="Arial" w:cs="Arial"/>
          <w:szCs w:val="24"/>
        </w:rPr>
        <w:t xml:space="preserve"> pretende </w:t>
      </w:r>
      <w:r w:rsidR="00B20968" w:rsidRPr="00091C6F">
        <w:rPr>
          <w:rFonts w:ascii="Arial" w:hAnsi="Arial" w:cs="Arial"/>
          <w:szCs w:val="24"/>
        </w:rPr>
        <w:t>que se declare nulo e ineficaz e</w:t>
      </w:r>
      <w:r w:rsidRPr="00091C6F">
        <w:rPr>
          <w:rFonts w:ascii="Arial" w:hAnsi="Arial" w:cs="Arial"/>
          <w:szCs w:val="24"/>
        </w:rPr>
        <w:t xml:space="preserve">l traslado ocurrido el </w:t>
      </w:r>
      <w:r w:rsidR="00B20968" w:rsidRPr="00091C6F">
        <w:rPr>
          <w:rFonts w:ascii="Arial" w:hAnsi="Arial" w:cs="Arial"/>
          <w:szCs w:val="24"/>
        </w:rPr>
        <w:t>29/04/1999</w:t>
      </w:r>
      <w:r w:rsidRPr="00091C6F">
        <w:rPr>
          <w:rFonts w:ascii="Arial" w:hAnsi="Arial" w:cs="Arial"/>
          <w:szCs w:val="24"/>
        </w:rPr>
        <w:t xml:space="preserve"> del RPM al RAIS (</w:t>
      </w:r>
      <w:proofErr w:type="spellStart"/>
      <w:r w:rsidRPr="00091C6F">
        <w:rPr>
          <w:rFonts w:ascii="Arial" w:hAnsi="Arial" w:cs="Arial"/>
          <w:szCs w:val="24"/>
        </w:rPr>
        <w:t>fl</w:t>
      </w:r>
      <w:proofErr w:type="spellEnd"/>
      <w:r w:rsidRPr="00091C6F">
        <w:rPr>
          <w:rFonts w:ascii="Arial" w:hAnsi="Arial" w:cs="Arial"/>
          <w:szCs w:val="24"/>
        </w:rPr>
        <w:t xml:space="preserve">. </w:t>
      </w:r>
      <w:r w:rsidR="006261D0" w:rsidRPr="00091C6F">
        <w:rPr>
          <w:rFonts w:ascii="Arial" w:hAnsi="Arial" w:cs="Arial"/>
          <w:szCs w:val="24"/>
        </w:rPr>
        <w:t>2</w:t>
      </w:r>
      <w:r w:rsidRPr="00091C6F">
        <w:rPr>
          <w:rFonts w:ascii="Arial" w:hAnsi="Arial" w:cs="Arial"/>
          <w:szCs w:val="24"/>
        </w:rPr>
        <w:t xml:space="preserve"> c. 1), del que da cuenta el formulario suscrito ante </w:t>
      </w:r>
      <w:r w:rsidR="006261D0" w:rsidRPr="00091C6F">
        <w:rPr>
          <w:rFonts w:ascii="Arial" w:hAnsi="Arial" w:cs="Arial"/>
          <w:szCs w:val="24"/>
        </w:rPr>
        <w:t>Colmena Pensiones y Cesantías, actualmente Protección S.A.</w:t>
      </w:r>
      <w:r w:rsidR="00B20968" w:rsidRPr="00091C6F">
        <w:rPr>
          <w:rFonts w:ascii="Arial" w:hAnsi="Arial" w:cs="Arial"/>
          <w:szCs w:val="24"/>
        </w:rPr>
        <w:t xml:space="preserve"> (</w:t>
      </w:r>
      <w:proofErr w:type="spellStart"/>
      <w:r w:rsidR="00B20968" w:rsidRPr="00091C6F">
        <w:rPr>
          <w:rFonts w:ascii="Arial" w:hAnsi="Arial" w:cs="Arial"/>
          <w:szCs w:val="24"/>
        </w:rPr>
        <w:t>fl</w:t>
      </w:r>
      <w:r w:rsidR="00666C6A" w:rsidRPr="00091C6F">
        <w:rPr>
          <w:rFonts w:ascii="Arial" w:hAnsi="Arial" w:cs="Arial"/>
          <w:szCs w:val="24"/>
        </w:rPr>
        <w:t>s</w:t>
      </w:r>
      <w:proofErr w:type="spellEnd"/>
      <w:r w:rsidR="00B20968" w:rsidRPr="00091C6F">
        <w:rPr>
          <w:rFonts w:ascii="Arial" w:hAnsi="Arial" w:cs="Arial"/>
          <w:szCs w:val="24"/>
        </w:rPr>
        <w:t>. 53</w:t>
      </w:r>
      <w:r w:rsidR="00666C6A" w:rsidRPr="00091C6F">
        <w:rPr>
          <w:rFonts w:ascii="Arial" w:hAnsi="Arial" w:cs="Arial"/>
          <w:szCs w:val="24"/>
        </w:rPr>
        <w:t xml:space="preserve"> y 157</w:t>
      </w:r>
      <w:r w:rsidRPr="00091C6F">
        <w:rPr>
          <w:rFonts w:ascii="Arial" w:hAnsi="Arial" w:cs="Arial"/>
          <w:szCs w:val="24"/>
        </w:rPr>
        <w:t xml:space="preserve"> c. 1), por lo que se procede a verificar </w:t>
      </w:r>
      <w:r w:rsidR="00B20968" w:rsidRPr="00091C6F">
        <w:rPr>
          <w:rFonts w:ascii="Arial" w:hAnsi="Arial" w:cs="Arial"/>
          <w:szCs w:val="24"/>
        </w:rPr>
        <w:t>si el demandante fue informado</w:t>
      </w:r>
      <w:r w:rsidR="002937C2" w:rsidRPr="00091C6F">
        <w:rPr>
          <w:rFonts w:ascii="Arial" w:hAnsi="Arial" w:cs="Arial"/>
          <w:szCs w:val="24"/>
        </w:rPr>
        <w:t xml:space="preserve"> de las características</w:t>
      </w:r>
      <w:r w:rsidR="006D3E9F" w:rsidRPr="00091C6F">
        <w:rPr>
          <w:rFonts w:ascii="Arial" w:hAnsi="Arial" w:cs="Arial"/>
          <w:szCs w:val="24"/>
        </w:rPr>
        <w:t>, condiciones, acceso, efectos y riesgos del régimen pensional, que le permitiera tomar una decisión cons</w:t>
      </w:r>
      <w:r w:rsidR="00D00C82" w:rsidRPr="00091C6F">
        <w:rPr>
          <w:rFonts w:ascii="Arial" w:hAnsi="Arial" w:cs="Arial"/>
          <w:szCs w:val="24"/>
        </w:rPr>
        <w:t>c</w:t>
      </w:r>
      <w:r w:rsidR="006D3E9F" w:rsidRPr="00091C6F">
        <w:rPr>
          <w:rFonts w:ascii="Arial" w:hAnsi="Arial" w:cs="Arial"/>
          <w:szCs w:val="24"/>
        </w:rPr>
        <w:t xml:space="preserve">iente y libre sobre su futuro pensional. </w:t>
      </w:r>
    </w:p>
    <w:p w14:paraId="2A456594" w14:textId="77777777" w:rsidR="006D3E9F" w:rsidRPr="00091C6F" w:rsidRDefault="006D3E9F" w:rsidP="00091C6F">
      <w:pPr>
        <w:spacing w:line="276" w:lineRule="auto"/>
        <w:jc w:val="both"/>
        <w:rPr>
          <w:rFonts w:ascii="Arial" w:hAnsi="Arial" w:cs="Arial"/>
          <w:szCs w:val="24"/>
        </w:rPr>
      </w:pPr>
    </w:p>
    <w:p w14:paraId="417F33F1" w14:textId="682775EB" w:rsidR="006261D0" w:rsidRPr="00091C6F" w:rsidRDefault="00D00C82" w:rsidP="00091C6F">
      <w:pPr>
        <w:spacing w:line="276" w:lineRule="auto"/>
        <w:jc w:val="both"/>
        <w:rPr>
          <w:rFonts w:ascii="Arial" w:eastAsiaTheme="minorHAnsi" w:hAnsi="Arial" w:cs="Arial"/>
          <w:iCs/>
          <w:szCs w:val="24"/>
        </w:rPr>
      </w:pPr>
      <w:r w:rsidRPr="00091C6F">
        <w:rPr>
          <w:rFonts w:ascii="Arial" w:hAnsi="Arial" w:cs="Arial"/>
          <w:szCs w:val="24"/>
        </w:rPr>
        <w:t>En efecto, lo que se demostró es que el traslado y selección del RAIS estuvo precedido de la oportuna y debida asesoría, pues ello</w:t>
      </w:r>
      <w:r w:rsidR="007334CB" w:rsidRPr="00091C6F">
        <w:rPr>
          <w:rFonts w:ascii="Arial" w:hAnsi="Arial" w:cs="Arial"/>
          <w:szCs w:val="24"/>
        </w:rPr>
        <w:t xml:space="preserve"> se </w:t>
      </w:r>
      <w:r w:rsidR="00D02C1F" w:rsidRPr="00091C6F">
        <w:rPr>
          <w:rFonts w:ascii="Arial" w:eastAsiaTheme="minorHAnsi" w:hAnsi="Arial" w:cs="Arial"/>
          <w:iCs/>
          <w:szCs w:val="24"/>
        </w:rPr>
        <w:t xml:space="preserve">desprende de la firma que estampó en el formulario de traslado entre regímenes. Así, para el </w:t>
      </w:r>
      <w:r w:rsidR="00666C6A" w:rsidRPr="00091C6F">
        <w:rPr>
          <w:rFonts w:ascii="Arial" w:eastAsiaTheme="minorHAnsi" w:hAnsi="Arial" w:cs="Arial"/>
          <w:iCs/>
          <w:szCs w:val="24"/>
        </w:rPr>
        <w:t>29/04/1999</w:t>
      </w:r>
      <w:r w:rsidR="00D02C1F" w:rsidRPr="00091C6F">
        <w:rPr>
          <w:rFonts w:ascii="Arial" w:eastAsiaTheme="minorHAnsi" w:hAnsi="Arial" w:cs="Arial"/>
          <w:iCs/>
          <w:szCs w:val="24"/>
        </w:rPr>
        <w:t xml:space="preserve"> se realizó la “</w:t>
      </w:r>
      <w:r w:rsidR="00D02C1F" w:rsidRPr="00091C6F">
        <w:rPr>
          <w:rFonts w:ascii="Arial" w:eastAsiaTheme="minorHAnsi" w:hAnsi="Arial" w:cs="Arial"/>
          <w:i/>
          <w:iCs/>
          <w:szCs w:val="24"/>
        </w:rPr>
        <w:t>solicitud de vinculación</w:t>
      </w:r>
      <w:r w:rsidR="00666C6A" w:rsidRPr="00091C6F">
        <w:rPr>
          <w:rFonts w:ascii="Arial" w:eastAsiaTheme="minorHAnsi" w:hAnsi="Arial" w:cs="Arial"/>
          <w:i/>
          <w:iCs/>
          <w:szCs w:val="24"/>
        </w:rPr>
        <w:t xml:space="preserve"> al fondo de pensiones obligatorias</w:t>
      </w:r>
      <w:r w:rsidR="00D02C1F" w:rsidRPr="00091C6F">
        <w:rPr>
          <w:rFonts w:ascii="Arial" w:eastAsiaTheme="minorHAnsi" w:hAnsi="Arial" w:cs="Arial"/>
          <w:i/>
          <w:iCs/>
          <w:szCs w:val="24"/>
        </w:rPr>
        <w:t xml:space="preserve">” </w:t>
      </w:r>
      <w:r w:rsidR="00D02C1F" w:rsidRPr="00091C6F">
        <w:rPr>
          <w:rFonts w:ascii="Arial" w:eastAsiaTheme="minorHAnsi" w:hAnsi="Arial" w:cs="Arial"/>
          <w:iCs/>
          <w:szCs w:val="24"/>
        </w:rPr>
        <w:t xml:space="preserve">a </w:t>
      </w:r>
      <w:r w:rsidR="006261D0" w:rsidRPr="00091C6F">
        <w:rPr>
          <w:rFonts w:ascii="Arial" w:eastAsiaTheme="minorHAnsi" w:hAnsi="Arial" w:cs="Arial"/>
          <w:iCs/>
          <w:szCs w:val="24"/>
        </w:rPr>
        <w:t>Colmena Cesantías y Pensiones</w:t>
      </w:r>
      <w:r w:rsidR="00D02C1F" w:rsidRPr="00091C6F">
        <w:rPr>
          <w:rFonts w:ascii="Arial" w:eastAsiaTheme="minorHAnsi" w:hAnsi="Arial" w:cs="Arial"/>
          <w:iCs/>
          <w:szCs w:val="24"/>
        </w:rPr>
        <w:t xml:space="preserve"> (</w:t>
      </w:r>
      <w:proofErr w:type="spellStart"/>
      <w:r w:rsidR="00D02C1F" w:rsidRPr="00091C6F">
        <w:rPr>
          <w:rFonts w:ascii="Arial" w:eastAsiaTheme="minorHAnsi" w:hAnsi="Arial" w:cs="Arial"/>
          <w:iCs/>
          <w:szCs w:val="24"/>
        </w:rPr>
        <w:t>fl</w:t>
      </w:r>
      <w:r w:rsidR="00666C6A" w:rsidRPr="00091C6F">
        <w:rPr>
          <w:rFonts w:ascii="Arial" w:eastAsiaTheme="minorHAnsi" w:hAnsi="Arial" w:cs="Arial"/>
          <w:iCs/>
          <w:szCs w:val="24"/>
        </w:rPr>
        <w:t>s</w:t>
      </w:r>
      <w:proofErr w:type="spellEnd"/>
      <w:r w:rsidR="00D02C1F" w:rsidRPr="00091C6F">
        <w:rPr>
          <w:rFonts w:ascii="Arial" w:eastAsiaTheme="minorHAnsi" w:hAnsi="Arial" w:cs="Arial"/>
          <w:iCs/>
          <w:szCs w:val="24"/>
        </w:rPr>
        <w:t xml:space="preserve">. </w:t>
      </w:r>
      <w:r w:rsidR="00666C6A" w:rsidRPr="00091C6F">
        <w:rPr>
          <w:rFonts w:ascii="Arial" w:eastAsiaTheme="minorHAnsi" w:hAnsi="Arial" w:cs="Arial"/>
          <w:iCs/>
          <w:szCs w:val="24"/>
        </w:rPr>
        <w:t>53 y 157</w:t>
      </w:r>
      <w:r w:rsidR="00D02C1F" w:rsidRPr="00091C6F">
        <w:rPr>
          <w:rFonts w:ascii="Arial" w:eastAsiaTheme="minorHAnsi" w:hAnsi="Arial" w:cs="Arial"/>
          <w:iCs/>
          <w:szCs w:val="24"/>
        </w:rPr>
        <w:t xml:space="preserve"> c. 1), </w:t>
      </w:r>
      <w:r w:rsidR="006D3E9F" w:rsidRPr="00091C6F">
        <w:rPr>
          <w:rFonts w:ascii="Arial" w:eastAsiaTheme="minorHAnsi" w:hAnsi="Arial" w:cs="Arial"/>
          <w:iCs/>
          <w:szCs w:val="24"/>
        </w:rPr>
        <w:t>formulario que cuenta con la información exigida, c</w:t>
      </w:r>
      <w:r w:rsidR="00D6229B" w:rsidRPr="00091C6F">
        <w:rPr>
          <w:rFonts w:ascii="Arial" w:eastAsiaTheme="minorHAnsi" w:hAnsi="Arial" w:cs="Arial"/>
          <w:iCs/>
          <w:szCs w:val="24"/>
        </w:rPr>
        <w:t xml:space="preserve">omo se explicó </w:t>
      </w:r>
      <w:r w:rsidRPr="00091C6F">
        <w:rPr>
          <w:rFonts w:ascii="Arial" w:eastAsiaTheme="minorHAnsi" w:hAnsi="Arial" w:cs="Arial"/>
          <w:iCs/>
          <w:szCs w:val="24"/>
        </w:rPr>
        <w:t>en precedencia</w:t>
      </w:r>
      <w:r w:rsidR="00D6229B" w:rsidRPr="00091C6F">
        <w:rPr>
          <w:rFonts w:ascii="Arial" w:eastAsiaTheme="minorHAnsi" w:hAnsi="Arial" w:cs="Arial"/>
          <w:iCs/>
          <w:szCs w:val="24"/>
        </w:rPr>
        <w:t>.</w:t>
      </w:r>
    </w:p>
    <w:p w14:paraId="46F4C5E2" w14:textId="77777777" w:rsidR="004E6434" w:rsidRPr="00091C6F" w:rsidRDefault="004E6434" w:rsidP="00091C6F">
      <w:pPr>
        <w:spacing w:line="276" w:lineRule="auto"/>
        <w:ind w:right="49"/>
        <w:contextualSpacing/>
        <w:jc w:val="both"/>
        <w:rPr>
          <w:rFonts w:ascii="Arial" w:eastAsiaTheme="minorHAnsi" w:hAnsi="Arial" w:cs="Arial"/>
          <w:iCs/>
          <w:szCs w:val="24"/>
        </w:rPr>
      </w:pPr>
    </w:p>
    <w:p w14:paraId="6B30695E" w14:textId="14BE2832" w:rsidR="00144EBF" w:rsidRPr="00091C6F" w:rsidRDefault="00D6229B" w:rsidP="00091C6F">
      <w:pPr>
        <w:spacing w:line="276" w:lineRule="auto"/>
        <w:jc w:val="both"/>
        <w:rPr>
          <w:rFonts w:ascii="Arial" w:eastAsiaTheme="minorHAnsi" w:hAnsi="Arial" w:cs="Arial"/>
          <w:iCs/>
          <w:szCs w:val="24"/>
        </w:rPr>
      </w:pPr>
      <w:r w:rsidRPr="00091C6F">
        <w:rPr>
          <w:rFonts w:ascii="Arial" w:hAnsi="Arial" w:cs="Arial"/>
          <w:szCs w:val="24"/>
        </w:rPr>
        <w:t xml:space="preserve">Conocimiento </w:t>
      </w:r>
      <w:r w:rsidR="00144EBF" w:rsidRPr="00091C6F">
        <w:rPr>
          <w:rFonts w:ascii="Arial" w:hAnsi="Arial" w:cs="Arial"/>
          <w:szCs w:val="24"/>
        </w:rPr>
        <w:t xml:space="preserve">que </w:t>
      </w:r>
      <w:r w:rsidR="00D00C82" w:rsidRPr="00091C6F">
        <w:rPr>
          <w:rFonts w:ascii="Arial" w:hAnsi="Arial" w:cs="Arial"/>
          <w:szCs w:val="24"/>
        </w:rPr>
        <w:t>tenía</w:t>
      </w:r>
      <w:r w:rsidR="00144EBF" w:rsidRPr="00091C6F">
        <w:rPr>
          <w:rFonts w:ascii="Arial" w:hAnsi="Arial" w:cs="Arial"/>
          <w:szCs w:val="24"/>
        </w:rPr>
        <w:t xml:space="preserve"> el</w:t>
      </w:r>
      <w:r w:rsidR="00336C03" w:rsidRPr="00091C6F">
        <w:rPr>
          <w:rFonts w:ascii="Arial" w:hAnsi="Arial" w:cs="Arial"/>
          <w:szCs w:val="24"/>
        </w:rPr>
        <w:t xml:space="preserve"> demandante</w:t>
      </w:r>
      <w:r w:rsidR="007334CB" w:rsidRPr="00091C6F">
        <w:rPr>
          <w:rFonts w:ascii="Arial" w:hAnsi="Arial" w:cs="Arial"/>
          <w:szCs w:val="24"/>
        </w:rPr>
        <w:t xml:space="preserve">, como </w:t>
      </w:r>
      <w:r w:rsidR="00D00C82" w:rsidRPr="00091C6F">
        <w:rPr>
          <w:rFonts w:ascii="Arial" w:hAnsi="Arial" w:cs="Arial"/>
          <w:szCs w:val="24"/>
        </w:rPr>
        <w:t>se</w:t>
      </w:r>
      <w:r w:rsidRPr="00091C6F">
        <w:rPr>
          <w:rFonts w:ascii="Arial" w:hAnsi="Arial" w:cs="Arial"/>
          <w:szCs w:val="24"/>
        </w:rPr>
        <w:t xml:space="preserve"> confirma </w:t>
      </w:r>
      <w:r w:rsidR="00336C03" w:rsidRPr="00091C6F">
        <w:rPr>
          <w:rFonts w:ascii="Arial" w:hAnsi="Arial" w:cs="Arial"/>
          <w:szCs w:val="24"/>
        </w:rPr>
        <w:t xml:space="preserve">al rendir el interrogatorio de parte, pues allí </w:t>
      </w:r>
      <w:r w:rsidR="00D00C82" w:rsidRPr="00091C6F">
        <w:rPr>
          <w:rFonts w:ascii="Arial" w:eastAsiaTheme="minorHAnsi" w:hAnsi="Arial" w:cs="Arial"/>
          <w:iCs/>
          <w:szCs w:val="24"/>
        </w:rPr>
        <w:t>confesó</w:t>
      </w:r>
      <w:r w:rsidR="00144EBF" w:rsidRPr="00091C6F">
        <w:rPr>
          <w:rFonts w:ascii="Arial" w:eastAsiaTheme="minorHAnsi" w:hAnsi="Arial" w:cs="Arial"/>
          <w:iCs/>
          <w:szCs w:val="24"/>
        </w:rPr>
        <w:t xml:space="preserve"> </w:t>
      </w:r>
      <w:r w:rsidR="007334CB" w:rsidRPr="00091C6F">
        <w:rPr>
          <w:rFonts w:ascii="Arial" w:eastAsiaTheme="minorHAnsi" w:hAnsi="Arial" w:cs="Arial"/>
          <w:iCs/>
          <w:szCs w:val="24"/>
        </w:rPr>
        <w:t xml:space="preserve">que </w:t>
      </w:r>
      <w:r w:rsidR="00144EBF" w:rsidRPr="00091C6F">
        <w:rPr>
          <w:rFonts w:ascii="Arial" w:eastAsiaTheme="minorHAnsi" w:hAnsi="Arial" w:cs="Arial"/>
          <w:iCs/>
          <w:szCs w:val="24"/>
        </w:rPr>
        <w:t xml:space="preserve">recibió la asesoría en el aula de capacitación de la empresa en la que laboraba, a la que asistieron entre 30 o 35 personas, lugar en el que le explicaron que sus ahorros iban a tener rendimientos, porque eran circulados en </w:t>
      </w:r>
      <w:r w:rsidR="00144EBF" w:rsidRPr="00091C6F">
        <w:rPr>
          <w:rFonts w:ascii="Arial" w:eastAsiaTheme="minorHAnsi" w:hAnsi="Arial" w:cs="Arial"/>
          <w:i/>
          <w:iCs/>
          <w:szCs w:val="24"/>
        </w:rPr>
        <w:t xml:space="preserve">la bolsa, </w:t>
      </w:r>
      <w:r w:rsidR="00144EBF" w:rsidRPr="00091C6F">
        <w:rPr>
          <w:rFonts w:ascii="Arial" w:eastAsiaTheme="minorHAnsi" w:hAnsi="Arial" w:cs="Arial"/>
          <w:iCs/>
          <w:szCs w:val="24"/>
        </w:rPr>
        <w:t>a diferencia del ISS, en donde ello no ocurría</w:t>
      </w:r>
      <w:r w:rsidR="006D77BD" w:rsidRPr="00091C6F">
        <w:rPr>
          <w:rFonts w:ascii="Arial" w:eastAsiaTheme="minorHAnsi" w:hAnsi="Arial" w:cs="Arial"/>
          <w:iCs/>
          <w:szCs w:val="24"/>
        </w:rPr>
        <w:t>;</w:t>
      </w:r>
      <w:r w:rsidR="007D4FCA" w:rsidRPr="00091C6F">
        <w:rPr>
          <w:rFonts w:ascii="Arial" w:eastAsiaTheme="minorHAnsi" w:hAnsi="Arial" w:cs="Arial"/>
          <w:iCs/>
          <w:szCs w:val="24"/>
        </w:rPr>
        <w:t xml:space="preserve"> además que el instituto se acabaría</w:t>
      </w:r>
      <w:r w:rsidR="00144EBF" w:rsidRPr="00091C6F">
        <w:rPr>
          <w:rFonts w:ascii="Arial" w:eastAsiaTheme="minorHAnsi" w:hAnsi="Arial" w:cs="Arial"/>
          <w:iCs/>
          <w:szCs w:val="24"/>
        </w:rPr>
        <w:t xml:space="preserve">. También indicó que le informaron que en los fondos privados podría pensionarse antes de tiempo. </w:t>
      </w:r>
    </w:p>
    <w:p w14:paraId="0D9ABFC1" w14:textId="77777777" w:rsidR="00144EBF" w:rsidRPr="00091C6F" w:rsidRDefault="00144EBF" w:rsidP="00091C6F">
      <w:pPr>
        <w:spacing w:line="276" w:lineRule="auto"/>
        <w:jc w:val="both"/>
        <w:rPr>
          <w:rFonts w:ascii="Arial" w:eastAsiaTheme="minorHAnsi" w:hAnsi="Arial" w:cs="Arial"/>
          <w:iCs/>
          <w:szCs w:val="24"/>
        </w:rPr>
      </w:pPr>
    </w:p>
    <w:p w14:paraId="6A87FC47" w14:textId="33637ED3" w:rsidR="00223C67" w:rsidRPr="00091C6F" w:rsidRDefault="0017156B" w:rsidP="00091C6F">
      <w:pPr>
        <w:spacing w:line="276" w:lineRule="auto"/>
        <w:jc w:val="both"/>
        <w:rPr>
          <w:rFonts w:ascii="Arial" w:hAnsi="Arial" w:cs="Arial"/>
          <w:szCs w:val="24"/>
        </w:rPr>
      </w:pPr>
      <w:r w:rsidRPr="00091C6F">
        <w:rPr>
          <w:rFonts w:ascii="Arial" w:hAnsi="Arial" w:cs="Arial"/>
          <w:szCs w:val="24"/>
        </w:rPr>
        <w:t xml:space="preserve">Además, </w:t>
      </w:r>
      <w:r w:rsidR="004E6434" w:rsidRPr="00091C6F">
        <w:rPr>
          <w:rFonts w:ascii="Arial" w:hAnsi="Arial" w:cs="Arial"/>
          <w:szCs w:val="24"/>
        </w:rPr>
        <w:t>se cuenta con</w:t>
      </w:r>
      <w:r w:rsidRPr="00091C6F">
        <w:rPr>
          <w:rFonts w:ascii="Arial" w:hAnsi="Arial" w:cs="Arial"/>
          <w:szCs w:val="24"/>
        </w:rPr>
        <w:t xml:space="preserve"> los testimonios de </w:t>
      </w:r>
      <w:r w:rsidR="00144EBF" w:rsidRPr="00091C6F">
        <w:rPr>
          <w:rFonts w:ascii="Arial" w:hAnsi="Arial" w:cs="Arial"/>
          <w:szCs w:val="24"/>
        </w:rPr>
        <w:t>María</w:t>
      </w:r>
      <w:r w:rsidR="00223C67" w:rsidRPr="00091C6F">
        <w:rPr>
          <w:rFonts w:ascii="Arial" w:hAnsi="Arial" w:cs="Arial"/>
          <w:szCs w:val="24"/>
        </w:rPr>
        <w:t xml:space="preserve"> </w:t>
      </w:r>
      <w:proofErr w:type="spellStart"/>
      <w:r w:rsidR="00223C67" w:rsidRPr="00091C6F">
        <w:rPr>
          <w:rFonts w:ascii="Arial" w:hAnsi="Arial" w:cs="Arial"/>
          <w:szCs w:val="24"/>
        </w:rPr>
        <w:t>Luney</w:t>
      </w:r>
      <w:proofErr w:type="spellEnd"/>
      <w:r w:rsidR="00223C67" w:rsidRPr="00091C6F">
        <w:rPr>
          <w:rFonts w:ascii="Arial" w:hAnsi="Arial" w:cs="Arial"/>
          <w:szCs w:val="24"/>
        </w:rPr>
        <w:t xml:space="preserve"> Montoya Taborda y Luz Piedad Betancur Botero. </w:t>
      </w:r>
      <w:r w:rsidR="005C7B7F" w:rsidRPr="00091C6F">
        <w:rPr>
          <w:rFonts w:ascii="Arial" w:hAnsi="Arial" w:cs="Arial"/>
          <w:szCs w:val="24"/>
        </w:rPr>
        <w:t>Que coincidieron en afirmar que fueron comp</w:t>
      </w:r>
      <w:r w:rsidR="00223C67" w:rsidRPr="00091C6F">
        <w:rPr>
          <w:rFonts w:ascii="Arial" w:hAnsi="Arial" w:cs="Arial"/>
          <w:szCs w:val="24"/>
        </w:rPr>
        <w:t>añera</w:t>
      </w:r>
      <w:r w:rsidR="005C7B7F" w:rsidRPr="00091C6F">
        <w:rPr>
          <w:rFonts w:ascii="Arial" w:hAnsi="Arial" w:cs="Arial"/>
          <w:szCs w:val="24"/>
        </w:rPr>
        <w:t>s</w:t>
      </w:r>
      <w:r w:rsidR="00223C67" w:rsidRPr="00091C6F">
        <w:rPr>
          <w:rFonts w:ascii="Arial" w:hAnsi="Arial" w:cs="Arial"/>
          <w:szCs w:val="24"/>
        </w:rPr>
        <w:t xml:space="preserve"> de trabajo del </w:t>
      </w:r>
      <w:r w:rsidR="005C7B7F" w:rsidRPr="00091C6F">
        <w:rPr>
          <w:rFonts w:ascii="Arial" w:hAnsi="Arial" w:cs="Arial"/>
          <w:szCs w:val="24"/>
        </w:rPr>
        <w:t>demandante, y en esa medida narraron</w:t>
      </w:r>
      <w:r w:rsidR="00223C67" w:rsidRPr="00091C6F">
        <w:rPr>
          <w:rFonts w:ascii="Arial" w:hAnsi="Arial" w:cs="Arial"/>
          <w:szCs w:val="24"/>
        </w:rPr>
        <w:t xml:space="preserve"> que los trabajadores del campo, entre los que se encontraba Héctor Fabio Zapata Calderón, fueron citados a una reunión grupal a la que ella</w:t>
      </w:r>
      <w:r w:rsidR="005C7B7F" w:rsidRPr="00091C6F">
        <w:rPr>
          <w:rFonts w:ascii="Arial" w:hAnsi="Arial" w:cs="Arial"/>
          <w:szCs w:val="24"/>
        </w:rPr>
        <w:t>s</w:t>
      </w:r>
      <w:r w:rsidR="00223C67" w:rsidRPr="00091C6F">
        <w:rPr>
          <w:rFonts w:ascii="Arial" w:hAnsi="Arial" w:cs="Arial"/>
          <w:szCs w:val="24"/>
        </w:rPr>
        <w:t xml:space="preserve"> también </w:t>
      </w:r>
      <w:r w:rsidR="005C7B7F" w:rsidRPr="00091C6F">
        <w:rPr>
          <w:rFonts w:ascii="Arial" w:hAnsi="Arial" w:cs="Arial"/>
          <w:szCs w:val="24"/>
        </w:rPr>
        <w:t>asistieron</w:t>
      </w:r>
      <w:r w:rsidR="00223C67" w:rsidRPr="00091C6F">
        <w:rPr>
          <w:rFonts w:ascii="Arial" w:hAnsi="Arial" w:cs="Arial"/>
          <w:szCs w:val="24"/>
        </w:rPr>
        <w:t xml:space="preserve">, aunque además </w:t>
      </w:r>
      <w:r w:rsidR="005C7B7F" w:rsidRPr="00091C6F">
        <w:rPr>
          <w:rFonts w:ascii="Arial" w:hAnsi="Arial" w:cs="Arial"/>
          <w:szCs w:val="24"/>
        </w:rPr>
        <w:t>la primera</w:t>
      </w:r>
      <w:r w:rsidR="00223C67" w:rsidRPr="00091C6F">
        <w:rPr>
          <w:rFonts w:ascii="Arial" w:hAnsi="Arial" w:cs="Arial"/>
          <w:szCs w:val="24"/>
        </w:rPr>
        <w:t xml:space="preserve"> testigo fue asesorada en su puesto de trabajo. </w:t>
      </w:r>
      <w:r w:rsidR="005C7B7F" w:rsidRPr="00091C6F">
        <w:rPr>
          <w:rFonts w:ascii="Arial" w:hAnsi="Arial" w:cs="Arial"/>
          <w:szCs w:val="24"/>
        </w:rPr>
        <w:t>En ese sentido, expusieron</w:t>
      </w:r>
      <w:r w:rsidR="00223C67" w:rsidRPr="00091C6F">
        <w:rPr>
          <w:rFonts w:ascii="Arial" w:hAnsi="Arial" w:cs="Arial"/>
          <w:szCs w:val="24"/>
        </w:rPr>
        <w:t xml:space="preserve"> que el asesor informó que en el fondo privado se podían pensionar en el momento deseado, que el dinero sería mayor que el ofrecido en el ISS</w:t>
      </w:r>
      <w:r w:rsidR="007D4FCA" w:rsidRPr="00091C6F">
        <w:rPr>
          <w:rFonts w:ascii="Arial" w:hAnsi="Arial" w:cs="Arial"/>
          <w:szCs w:val="24"/>
        </w:rPr>
        <w:t xml:space="preserve"> y que el monto de la mesada pensional dependía de los ahorros que tenían</w:t>
      </w:r>
      <w:r w:rsidR="005C7B7F" w:rsidRPr="00091C6F">
        <w:rPr>
          <w:rFonts w:ascii="Arial" w:hAnsi="Arial" w:cs="Arial"/>
          <w:szCs w:val="24"/>
        </w:rPr>
        <w:t xml:space="preserve"> que serían invertidos en la bolsa y por ello generarían rentabilidad</w:t>
      </w:r>
      <w:r w:rsidR="00223C67" w:rsidRPr="00091C6F">
        <w:rPr>
          <w:rFonts w:ascii="Arial" w:hAnsi="Arial" w:cs="Arial"/>
          <w:szCs w:val="24"/>
        </w:rPr>
        <w:t>; además, les hicieron las proyecciones de las mesadas pensionales, que se encuentran aho</w:t>
      </w:r>
      <w:r w:rsidR="007D4FCA" w:rsidRPr="00091C6F">
        <w:rPr>
          <w:rFonts w:ascii="Arial" w:hAnsi="Arial" w:cs="Arial"/>
          <w:szCs w:val="24"/>
        </w:rPr>
        <w:t xml:space="preserve">ra alejadas de la realidad y que ante su muerte, los aportes serían entregados a sus hijos con independencia que tuvieran alguna limitación física, como era exigido en el ISS. </w:t>
      </w:r>
    </w:p>
    <w:p w14:paraId="1A06E460" w14:textId="77777777" w:rsidR="007D4FCA" w:rsidRPr="00091C6F" w:rsidRDefault="007D4FCA" w:rsidP="00091C6F">
      <w:pPr>
        <w:spacing w:line="276" w:lineRule="auto"/>
        <w:jc w:val="both"/>
        <w:rPr>
          <w:rFonts w:ascii="Arial" w:hAnsi="Arial" w:cs="Arial"/>
          <w:szCs w:val="24"/>
        </w:rPr>
      </w:pPr>
    </w:p>
    <w:p w14:paraId="6F621030" w14:textId="53A40A95" w:rsidR="005C7B7F" w:rsidRPr="00091C6F" w:rsidRDefault="007D4FCA" w:rsidP="00091C6F">
      <w:pPr>
        <w:spacing w:line="276" w:lineRule="auto"/>
        <w:jc w:val="both"/>
        <w:rPr>
          <w:rFonts w:ascii="Arial" w:hAnsi="Arial" w:cs="Arial"/>
          <w:szCs w:val="24"/>
        </w:rPr>
      </w:pPr>
      <w:r w:rsidRPr="00091C6F">
        <w:rPr>
          <w:rFonts w:ascii="Arial" w:hAnsi="Arial" w:cs="Arial"/>
          <w:szCs w:val="24"/>
        </w:rPr>
        <w:t xml:space="preserve">Por otro lado, </w:t>
      </w:r>
      <w:r w:rsidR="005C7B7F" w:rsidRPr="00091C6F">
        <w:rPr>
          <w:rFonts w:ascii="Arial" w:hAnsi="Arial" w:cs="Arial"/>
          <w:szCs w:val="24"/>
        </w:rPr>
        <w:t xml:space="preserve">la testigo María </w:t>
      </w:r>
      <w:proofErr w:type="spellStart"/>
      <w:r w:rsidR="005C7B7F" w:rsidRPr="00091C6F">
        <w:rPr>
          <w:rFonts w:ascii="Arial" w:hAnsi="Arial" w:cs="Arial"/>
          <w:szCs w:val="24"/>
        </w:rPr>
        <w:t>Luney</w:t>
      </w:r>
      <w:proofErr w:type="spellEnd"/>
      <w:r w:rsidR="005C7B7F" w:rsidRPr="00091C6F">
        <w:rPr>
          <w:rFonts w:ascii="Arial" w:hAnsi="Arial" w:cs="Arial"/>
          <w:szCs w:val="24"/>
        </w:rPr>
        <w:t xml:space="preserve"> Montoya Taborda concretó que</w:t>
      </w:r>
      <w:r w:rsidRPr="00091C6F">
        <w:rPr>
          <w:rFonts w:ascii="Arial" w:hAnsi="Arial" w:cs="Arial"/>
          <w:szCs w:val="24"/>
        </w:rPr>
        <w:t xml:space="preserve"> una de las motivaciones del traslado era que el ISS se extinguiría; sin embargo, </w:t>
      </w:r>
      <w:r w:rsidR="007334CB" w:rsidRPr="00091C6F">
        <w:rPr>
          <w:rFonts w:ascii="Arial" w:hAnsi="Arial" w:cs="Arial"/>
          <w:szCs w:val="24"/>
        </w:rPr>
        <w:t xml:space="preserve">sus </w:t>
      </w:r>
      <w:r w:rsidRPr="00091C6F">
        <w:rPr>
          <w:rFonts w:ascii="Arial" w:hAnsi="Arial" w:cs="Arial"/>
          <w:szCs w:val="24"/>
        </w:rPr>
        <w:t>compañeros vieron que no se ter</w:t>
      </w:r>
      <w:r w:rsidR="007334CB" w:rsidRPr="00091C6F">
        <w:rPr>
          <w:rFonts w:ascii="Arial" w:hAnsi="Arial" w:cs="Arial"/>
          <w:szCs w:val="24"/>
        </w:rPr>
        <w:t>minó, sino que cam</w:t>
      </w:r>
      <w:r w:rsidR="00997812" w:rsidRPr="00091C6F">
        <w:rPr>
          <w:rFonts w:ascii="Arial" w:hAnsi="Arial" w:cs="Arial"/>
          <w:szCs w:val="24"/>
        </w:rPr>
        <w:t>bio de nombre.</w:t>
      </w:r>
    </w:p>
    <w:p w14:paraId="5E88011E" w14:textId="2013F188" w:rsidR="006D7ECC" w:rsidRPr="00091C6F" w:rsidRDefault="005C7B7F" w:rsidP="00091C6F">
      <w:pPr>
        <w:spacing w:line="276" w:lineRule="auto"/>
        <w:jc w:val="both"/>
        <w:rPr>
          <w:rFonts w:ascii="Arial" w:eastAsiaTheme="minorHAnsi" w:hAnsi="Arial" w:cs="Arial"/>
          <w:iCs/>
          <w:szCs w:val="24"/>
        </w:rPr>
      </w:pPr>
      <w:r w:rsidRPr="00091C6F">
        <w:rPr>
          <w:rFonts w:ascii="Arial" w:eastAsiaTheme="minorHAnsi" w:hAnsi="Arial" w:cs="Arial"/>
          <w:iCs/>
          <w:szCs w:val="24"/>
        </w:rPr>
        <w:t xml:space="preserve"> </w:t>
      </w:r>
    </w:p>
    <w:p w14:paraId="17F1AB4D" w14:textId="20B06651" w:rsidR="002720DE" w:rsidRPr="00091C6F" w:rsidRDefault="006D7ECC" w:rsidP="00091C6F">
      <w:pPr>
        <w:spacing w:line="276" w:lineRule="auto"/>
        <w:jc w:val="both"/>
        <w:rPr>
          <w:rFonts w:ascii="Arial" w:hAnsi="Arial" w:cs="Arial"/>
          <w:szCs w:val="24"/>
        </w:rPr>
      </w:pPr>
      <w:r w:rsidRPr="00091C6F">
        <w:rPr>
          <w:rFonts w:ascii="Arial" w:eastAsiaTheme="minorHAnsi" w:hAnsi="Arial" w:cs="Arial"/>
          <w:iCs/>
          <w:szCs w:val="24"/>
        </w:rPr>
        <w:lastRenderedPageBreak/>
        <w:t>Derrotero probatorio que permite</w:t>
      </w:r>
      <w:r w:rsidR="00336C03" w:rsidRPr="00091C6F">
        <w:rPr>
          <w:rFonts w:ascii="Arial" w:eastAsiaTheme="minorHAnsi" w:hAnsi="Arial" w:cs="Arial"/>
          <w:iCs/>
          <w:szCs w:val="24"/>
        </w:rPr>
        <w:t xml:space="preserve"> concluir</w:t>
      </w:r>
      <w:r w:rsidR="0017156B" w:rsidRPr="00091C6F">
        <w:rPr>
          <w:rFonts w:ascii="Arial" w:eastAsiaTheme="minorHAnsi" w:hAnsi="Arial" w:cs="Arial"/>
          <w:iCs/>
          <w:szCs w:val="24"/>
        </w:rPr>
        <w:t xml:space="preserve"> en primer lugar,</w:t>
      </w:r>
      <w:r w:rsidRPr="00091C6F">
        <w:rPr>
          <w:rFonts w:ascii="Arial" w:eastAsiaTheme="minorHAnsi" w:hAnsi="Arial" w:cs="Arial"/>
          <w:iCs/>
          <w:szCs w:val="24"/>
        </w:rPr>
        <w:t xml:space="preserve"> que </w:t>
      </w:r>
      <w:r w:rsidR="005C7B7F" w:rsidRPr="00091C6F">
        <w:rPr>
          <w:rFonts w:ascii="Arial" w:eastAsiaTheme="minorHAnsi" w:hAnsi="Arial" w:cs="Arial"/>
          <w:iCs/>
          <w:szCs w:val="24"/>
        </w:rPr>
        <w:t>Héctor Fabio Zapata Calderón</w:t>
      </w:r>
      <w:r w:rsidRPr="00091C6F">
        <w:rPr>
          <w:rFonts w:ascii="Arial" w:eastAsiaTheme="minorHAnsi" w:hAnsi="Arial" w:cs="Arial"/>
          <w:iCs/>
          <w:szCs w:val="24"/>
        </w:rPr>
        <w:t xml:space="preserve"> contaba con la información de la</w:t>
      </w:r>
      <w:r w:rsidR="00896F03" w:rsidRPr="00091C6F">
        <w:rPr>
          <w:rFonts w:ascii="Arial" w:eastAsiaTheme="minorHAnsi" w:hAnsi="Arial" w:cs="Arial"/>
          <w:iCs/>
          <w:szCs w:val="24"/>
        </w:rPr>
        <w:t>s</w:t>
      </w:r>
      <w:r w:rsidRPr="00091C6F">
        <w:rPr>
          <w:rFonts w:ascii="Arial" w:eastAsiaTheme="minorHAnsi" w:hAnsi="Arial" w:cs="Arial"/>
          <w:iCs/>
          <w:szCs w:val="24"/>
        </w:rPr>
        <w:t xml:space="preserve"> característica</w:t>
      </w:r>
      <w:r w:rsidR="00896F03" w:rsidRPr="00091C6F">
        <w:rPr>
          <w:rFonts w:ascii="Arial" w:eastAsiaTheme="minorHAnsi" w:hAnsi="Arial" w:cs="Arial"/>
          <w:iCs/>
          <w:szCs w:val="24"/>
        </w:rPr>
        <w:t>s</w:t>
      </w:r>
      <w:r w:rsidRPr="00091C6F">
        <w:rPr>
          <w:rFonts w:ascii="Arial" w:eastAsiaTheme="minorHAnsi" w:hAnsi="Arial" w:cs="Arial"/>
          <w:iCs/>
          <w:szCs w:val="24"/>
        </w:rPr>
        <w:t xml:space="preserve"> del RAIS, presupuesto</w:t>
      </w:r>
      <w:r w:rsidR="00896F03" w:rsidRPr="00091C6F">
        <w:rPr>
          <w:rFonts w:ascii="Arial" w:eastAsiaTheme="minorHAnsi" w:hAnsi="Arial" w:cs="Arial"/>
          <w:iCs/>
          <w:szCs w:val="24"/>
        </w:rPr>
        <w:t>s</w:t>
      </w:r>
      <w:r w:rsidRPr="00091C6F">
        <w:rPr>
          <w:rFonts w:ascii="Arial" w:eastAsiaTheme="minorHAnsi" w:hAnsi="Arial" w:cs="Arial"/>
          <w:iCs/>
          <w:szCs w:val="24"/>
        </w:rPr>
        <w:t xml:space="preserve"> indispensable</w:t>
      </w:r>
      <w:r w:rsidR="00896F03" w:rsidRPr="00091C6F">
        <w:rPr>
          <w:rFonts w:ascii="Arial" w:eastAsiaTheme="minorHAnsi" w:hAnsi="Arial" w:cs="Arial"/>
          <w:iCs/>
          <w:szCs w:val="24"/>
        </w:rPr>
        <w:t>s</w:t>
      </w:r>
      <w:r w:rsidRPr="00091C6F">
        <w:rPr>
          <w:rFonts w:ascii="Arial" w:eastAsiaTheme="minorHAnsi" w:hAnsi="Arial" w:cs="Arial"/>
          <w:iCs/>
          <w:szCs w:val="24"/>
        </w:rPr>
        <w:t xml:space="preserve"> para tomar una decisión basada en las condiciones y beneficios que le reportaría desde su traslado a este en el año </w:t>
      </w:r>
      <w:r w:rsidR="005C7B7F" w:rsidRPr="00091C6F">
        <w:rPr>
          <w:rFonts w:ascii="Arial" w:eastAsiaTheme="minorHAnsi" w:hAnsi="Arial" w:cs="Arial"/>
          <w:iCs/>
          <w:szCs w:val="24"/>
        </w:rPr>
        <w:t>1999</w:t>
      </w:r>
      <w:r w:rsidR="002720DE" w:rsidRPr="00091C6F">
        <w:rPr>
          <w:rFonts w:ascii="Arial" w:eastAsiaTheme="minorHAnsi" w:hAnsi="Arial" w:cs="Arial"/>
          <w:iCs/>
          <w:szCs w:val="24"/>
        </w:rPr>
        <w:t xml:space="preserve">, </w:t>
      </w:r>
      <w:r w:rsidR="00E83444" w:rsidRPr="00091C6F">
        <w:rPr>
          <w:rFonts w:ascii="Arial" w:eastAsiaTheme="minorHAnsi" w:hAnsi="Arial" w:cs="Arial"/>
          <w:iCs/>
          <w:szCs w:val="24"/>
        </w:rPr>
        <w:t>pues</w:t>
      </w:r>
      <w:r w:rsidR="002720DE" w:rsidRPr="00091C6F">
        <w:rPr>
          <w:rFonts w:ascii="Arial" w:eastAsiaTheme="minorHAnsi" w:hAnsi="Arial" w:cs="Arial"/>
          <w:iCs/>
          <w:szCs w:val="24"/>
        </w:rPr>
        <w:t xml:space="preserve"> aceptó que conocía los pormenores de este,</w:t>
      </w:r>
      <w:r w:rsidR="002720DE" w:rsidRPr="00091C6F">
        <w:rPr>
          <w:rFonts w:ascii="Arial" w:hAnsi="Arial" w:cs="Arial"/>
          <w:szCs w:val="24"/>
        </w:rPr>
        <w:t xml:space="preserve"> en tanto sabía de la posibilidad de acceder a la pensión de forma anticipada y de la forma en que obtendría los rendimientos para acceder a la subvención, además que dicha información la recibió de manera contrastada con las del ISS; régimen del que tenía conocimiento pues había permanecido allí afiliado por más de 18 años</w:t>
      </w:r>
      <w:r w:rsidR="006A428F" w:rsidRPr="00091C6F">
        <w:rPr>
          <w:rFonts w:ascii="Arial" w:hAnsi="Arial" w:cs="Arial"/>
          <w:szCs w:val="24"/>
        </w:rPr>
        <w:t xml:space="preserve"> interrumpidamente</w:t>
      </w:r>
      <w:r w:rsidR="002720DE" w:rsidRPr="00091C6F">
        <w:rPr>
          <w:rFonts w:ascii="Arial" w:hAnsi="Arial" w:cs="Arial"/>
          <w:szCs w:val="24"/>
        </w:rPr>
        <w:t xml:space="preserve"> (</w:t>
      </w:r>
      <w:proofErr w:type="spellStart"/>
      <w:r w:rsidR="002720DE" w:rsidRPr="00091C6F">
        <w:rPr>
          <w:rFonts w:ascii="Arial" w:hAnsi="Arial" w:cs="Arial"/>
          <w:szCs w:val="24"/>
        </w:rPr>
        <w:t>fl</w:t>
      </w:r>
      <w:proofErr w:type="spellEnd"/>
      <w:r w:rsidR="002720DE" w:rsidRPr="00091C6F">
        <w:rPr>
          <w:rFonts w:ascii="Arial" w:hAnsi="Arial" w:cs="Arial"/>
          <w:szCs w:val="24"/>
        </w:rPr>
        <w:t xml:space="preserve">. 28 c. 1). </w:t>
      </w:r>
    </w:p>
    <w:p w14:paraId="7AD20CF0" w14:textId="77777777" w:rsidR="00E83444" w:rsidRPr="00091C6F" w:rsidRDefault="00E83444" w:rsidP="00091C6F">
      <w:pPr>
        <w:spacing w:line="276" w:lineRule="auto"/>
        <w:jc w:val="both"/>
        <w:rPr>
          <w:rFonts w:ascii="Arial" w:hAnsi="Arial" w:cs="Arial"/>
          <w:szCs w:val="24"/>
        </w:rPr>
      </w:pPr>
    </w:p>
    <w:p w14:paraId="772AB43D" w14:textId="39408742" w:rsidR="00E83444" w:rsidRPr="00091C6F" w:rsidRDefault="002720DE" w:rsidP="00091C6F">
      <w:pPr>
        <w:spacing w:line="276" w:lineRule="auto"/>
        <w:jc w:val="both"/>
        <w:rPr>
          <w:rFonts w:ascii="Arial" w:hAnsi="Arial" w:cs="Arial"/>
          <w:color w:val="000000" w:themeColor="text1"/>
          <w:szCs w:val="24"/>
          <w:lang w:val="es-ES"/>
        </w:rPr>
      </w:pPr>
      <w:r w:rsidRPr="00091C6F">
        <w:rPr>
          <w:rFonts w:ascii="Arial" w:hAnsi="Arial" w:cs="Arial"/>
          <w:szCs w:val="24"/>
        </w:rPr>
        <w:t xml:space="preserve">En segundo lugar, de las declaraciones de sus compañeras de trabajo se desprende que durante la asesoría realizada por la AFP recibieron la información sobre las características del RAIS y si bien les indicaron que el ISS </w:t>
      </w:r>
      <w:r w:rsidRPr="00091C6F">
        <w:rPr>
          <w:rFonts w:ascii="Arial" w:eastAsiaTheme="minorHAnsi" w:hAnsi="Arial" w:cs="Arial"/>
          <w:iCs/>
          <w:szCs w:val="24"/>
        </w:rPr>
        <w:t xml:space="preserve">se extinguiría, dicha </w:t>
      </w:r>
      <w:r w:rsidRPr="00091C6F">
        <w:rPr>
          <w:rFonts w:ascii="Arial" w:hAnsi="Arial" w:cs="Arial"/>
          <w:color w:val="000000" w:themeColor="text1"/>
          <w:szCs w:val="24"/>
          <w:lang w:val="es-ES"/>
        </w:rPr>
        <w:t>información no puede considerarse engañosa, pues para nadie es un secreto que por la entrada en operación de los fondos privados y la competitividad que se emprendió entre esas entidades, financieramente el ISS se vio afectado</w:t>
      </w:r>
      <w:r w:rsidR="00E83444" w:rsidRPr="00091C6F">
        <w:rPr>
          <w:rFonts w:ascii="Arial" w:hAnsi="Arial" w:cs="Arial"/>
          <w:color w:val="000000" w:themeColor="text1"/>
          <w:szCs w:val="24"/>
          <w:lang w:val="es-ES"/>
        </w:rPr>
        <w:t xml:space="preserve">, </w:t>
      </w:r>
      <w:r w:rsidR="001C1FE6" w:rsidRPr="00091C6F">
        <w:rPr>
          <w:rFonts w:ascii="Arial" w:hAnsi="Arial" w:cs="Arial"/>
          <w:color w:val="000000" w:themeColor="text1"/>
          <w:szCs w:val="24"/>
          <w:lang w:val="es-ES"/>
        </w:rPr>
        <w:t xml:space="preserve">tanto así que se dio paso a una nueva entidad – Colpensiones - </w:t>
      </w:r>
      <w:r w:rsidR="00006D6A" w:rsidRPr="00091C6F">
        <w:rPr>
          <w:rFonts w:ascii="Arial" w:hAnsi="Arial" w:cs="Arial"/>
          <w:color w:val="000000" w:themeColor="text1"/>
          <w:szCs w:val="24"/>
          <w:lang w:val="es-ES"/>
        </w:rPr>
        <w:t>y pese a ello permanecieron en el RAIS</w:t>
      </w:r>
      <w:r w:rsidR="00E83444" w:rsidRPr="00091C6F">
        <w:rPr>
          <w:rFonts w:ascii="Arial" w:hAnsi="Arial" w:cs="Arial"/>
          <w:color w:val="000000" w:themeColor="text1"/>
          <w:szCs w:val="24"/>
          <w:lang w:val="es-ES"/>
        </w:rPr>
        <w:t>.</w:t>
      </w:r>
    </w:p>
    <w:p w14:paraId="1F3F65A8" w14:textId="77777777" w:rsidR="00E83444" w:rsidRPr="00091C6F" w:rsidRDefault="00E83444" w:rsidP="00091C6F">
      <w:pPr>
        <w:spacing w:line="276" w:lineRule="auto"/>
        <w:jc w:val="both"/>
        <w:rPr>
          <w:rFonts w:ascii="Arial" w:hAnsi="Arial" w:cs="Arial"/>
          <w:color w:val="000000" w:themeColor="text1"/>
          <w:szCs w:val="24"/>
          <w:lang w:val="es-ES"/>
        </w:rPr>
      </w:pPr>
    </w:p>
    <w:p w14:paraId="0CDEA824" w14:textId="46491D0B" w:rsidR="002720DE" w:rsidRPr="00091C6F" w:rsidRDefault="00E83444" w:rsidP="00091C6F">
      <w:pPr>
        <w:spacing w:line="276" w:lineRule="auto"/>
        <w:jc w:val="both"/>
        <w:rPr>
          <w:rFonts w:ascii="Arial" w:hAnsi="Arial" w:cs="Arial"/>
          <w:szCs w:val="24"/>
        </w:rPr>
      </w:pPr>
      <w:r w:rsidRPr="00091C6F">
        <w:rPr>
          <w:rFonts w:ascii="Arial" w:hAnsi="Arial" w:cs="Arial"/>
          <w:color w:val="000000" w:themeColor="text1"/>
          <w:szCs w:val="24"/>
          <w:lang w:val="es-ES"/>
        </w:rPr>
        <w:t>De otro lado,</w:t>
      </w:r>
      <w:r w:rsidR="00006D6A" w:rsidRPr="00091C6F">
        <w:rPr>
          <w:rFonts w:ascii="Arial" w:hAnsi="Arial" w:cs="Arial"/>
          <w:color w:val="000000" w:themeColor="text1"/>
          <w:szCs w:val="24"/>
          <w:lang w:val="es-ES"/>
        </w:rPr>
        <w:t xml:space="preserve"> Luz Piedad Betancur Botero señaló que el </w:t>
      </w:r>
      <w:r w:rsidR="002720DE" w:rsidRPr="00091C6F">
        <w:rPr>
          <w:rFonts w:ascii="Arial" w:hAnsi="Arial" w:cs="Arial"/>
          <w:color w:val="000000" w:themeColor="text1"/>
          <w:szCs w:val="24"/>
          <w:lang w:val="es-ES"/>
        </w:rPr>
        <w:t xml:space="preserve">cambio de régimen </w:t>
      </w:r>
      <w:r w:rsidR="00006D6A" w:rsidRPr="00091C6F">
        <w:rPr>
          <w:rFonts w:ascii="Arial" w:hAnsi="Arial" w:cs="Arial"/>
          <w:color w:val="000000" w:themeColor="text1"/>
          <w:szCs w:val="24"/>
          <w:lang w:val="es-ES"/>
        </w:rPr>
        <w:t xml:space="preserve">también </w:t>
      </w:r>
      <w:r w:rsidR="002720DE" w:rsidRPr="00091C6F">
        <w:rPr>
          <w:rFonts w:ascii="Arial" w:hAnsi="Arial" w:cs="Arial"/>
          <w:color w:val="000000" w:themeColor="text1"/>
          <w:szCs w:val="24"/>
          <w:lang w:val="es-ES"/>
        </w:rPr>
        <w:t>estuvo precedido de una confianza general</w:t>
      </w:r>
      <w:r w:rsidR="004914FF" w:rsidRPr="00091C6F">
        <w:rPr>
          <w:rFonts w:ascii="Arial" w:hAnsi="Arial" w:cs="Arial"/>
          <w:color w:val="000000" w:themeColor="text1"/>
          <w:szCs w:val="24"/>
          <w:lang w:val="es-ES"/>
        </w:rPr>
        <w:t>,</w:t>
      </w:r>
      <w:r w:rsidR="002720DE" w:rsidRPr="00091C6F">
        <w:rPr>
          <w:rFonts w:ascii="Arial" w:hAnsi="Arial" w:cs="Arial"/>
          <w:color w:val="000000" w:themeColor="text1"/>
          <w:szCs w:val="24"/>
          <w:lang w:val="es-ES"/>
        </w:rPr>
        <w:t xml:space="preserve"> porque </w:t>
      </w:r>
      <w:r w:rsidR="00006D6A" w:rsidRPr="00091C6F">
        <w:rPr>
          <w:rFonts w:ascii="Arial" w:hAnsi="Arial" w:cs="Arial"/>
          <w:color w:val="000000" w:themeColor="text1"/>
          <w:szCs w:val="24"/>
          <w:lang w:val="es-ES"/>
        </w:rPr>
        <w:t xml:space="preserve">el gerente </w:t>
      </w:r>
      <w:r w:rsidRPr="00091C6F">
        <w:rPr>
          <w:rFonts w:ascii="Arial" w:hAnsi="Arial" w:cs="Arial"/>
          <w:color w:val="000000" w:themeColor="text1"/>
          <w:szCs w:val="24"/>
          <w:lang w:val="es-ES"/>
        </w:rPr>
        <w:t xml:space="preserve">general </w:t>
      </w:r>
      <w:r w:rsidR="00006D6A" w:rsidRPr="00091C6F">
        <w:rPr>
          <w:rFonts w:ascii="Arial" w:hAnsi="Arial" w:cs="Arial"/>
          <w:color w:val="000000" w:themeColor="text1"/>
          <w:szCs w:val="24"/>
          <w:lang w:val="es-ES"/>
        </w:rPr>
        <w:t xml:space="preserve">y financiero se </w:t>
      </w:r>
      <w:r w:rsidR="00DF2F6D" w:rsidRPr="00091C6F">
        <w:rPr>
          <w:rFonts w:ascii="Arial" w:hAnsi="Arial" w:cs="Arial"/>
          <w:color w:val="000000" w:themeColor="text1"/>
          <w:szCs w:val="24"/>
          <w:lang w:val="es-ES"/>
        </w:rPr>
        <w:t>había</w:t>
      </w:r>
      <w:r w:rsidR="00006D6A" w:rsidRPr="00091C6F">
        <w:rPr>
          <w:rFonts w:ascii="Arial" w:hAnsi="Arial" w:cs="Arial"/>
          <w:color w:val="000000" w:themeColor="text1"/>
          <w:szCs w:val="24"/>
          <w:lang w:val="es-ES"/>
        </w:rPr>
        <w:t xml:space="preserve"> trasladado</w:t>
      </w:r>
      <w:r w:rsidR="00006D6A" w:rsidRPr="00091C6F">
        <w:rPr>
          <w:rFonts w:ascii="Arial" w:hAnsi="Arial" w:cs="Arial"/>
          <w:szCs w:val="24"/>
        </w:rPr>
        <w:t>.</w:t>
      </w:r>
    </w:p>
    <w:p w14:paraId="54E52B7E" w14:textId="77777777" w:rsidR="002720DE" w:rsidRPr="00091C6F" w:rsidRDefault="002720DE" w:rsidP="00091C6F">
      <w:pPr>
        <w:spacing w:line="276" w:lineRule="auto"/>
        <w:jc w:val="both"/>
        <w:rPr>
          <w:rFonts w:ascii="Arial" w:hAnsi="Arial" w:cs="Arial"/>
          <w:szCs w:val="24"/>
        </w:rPr>
      </w:pPr>
    </w:p>
    <w:p w14:paraId="5C119659" w14:textId="4F45169E" w:rsidR="00236054" w:rsidRPr="00091C6F" w:rsidRDefault="002720DE" w:rsidP="00091C6F">
      <w:pPr>
        <w:spacing w:line="276" w:lineRule="auto"/>
        <w:jc w:val="both"/>
        <w:rPr>
          <w:rFonts w:ascii="Arial" w:hAnsi="Arial" w:cs="Arial"/>
          <w:szCs w:val="24"/>
        </w:rPr>
      </w:pPr>
      <w:r w:rsidRPr="00091C6F">
        <w:rPr>
          <w:rFonts w:ascii="Arial" w:hAnsi="Arial" w:cs="Arial"/>
          <w:szCs w:val="24"/>
        </w:rPr>
        <w:t>Aunado a lo anterior, resulta importante</w:t>
      </w:r>
      <w:r w:rsidR="004914FF" w:rsidRPr="00091C6F">
        <w:rPr>
          <w:rFonts w:ascii="Arial" w:hAnsi="Arial" w:cs="Arial"/>
          <w:szCs w:val="24"/>
        </w:rPr>
        <w:t xml:space="preserve"> resaltar que tanto ostentaba el</w:t>
      </w:r>
      <w:r w:rsidRPr="00091C6F">
        <w:rPr>
          <w:rFonts w:ascii="Arial" w:hAnsi="Arial" w:cs="Arial"/>
          <w:szCs w:val="24"/>
        </w:rPr>
        <w:t xml:space="preserve"> demandante la información necesaria, suficiente y veraz frente a las características del RAIS que per</w:t>
      </w:r>
      <w:r w:rsidR="004914FF" w:rsidRPr="00091C6F">
        <w:rPr>
          <w:rFonts w:ascii="Arial" w:hAnsi="Arial" w:cs="Arial"/>
          <w:szCs w:val="24"/>
        </w:rPr>
        <w:t>maneció voluntariamente afiliado allí desde 1999</w:t>
      </w:r>
      <w:r w:rsidRPr="00091C6F">
        <w:rPr>
          <w:rFonts w:ascii="Arial" w:hAnsi="Arial" w:cs="Arial"/>
          <w:szCs w:val="24"/>
        </w:rPr>
        <w:t xml:space="preserve"> hasta</w:t>
      </w:r>
      <w:r w:rsidR="00785910" w:rsidRPr="00091C6F">
        <w:rPr>
          <w:rFonts w:ascii="Arial" w:hAnsi="Arial" w:cs="Arial"/>
          <w:szCs w:val="24"/>
        </w:rPr>
        <w:t xml:space="preserve"> que en el año 2017 solicitó</w:t>
      </w:r>
      <w:r w:rsidR="004914FF" w:rsidRPr="00091C6F">
        <w:rPr>
          <w:rFonts w:ascii="Arial" w:hAnsi="Arial" w:cs="Arial"/>
          <w:szCs w:val="24"/>
        </w:rPr>
        <w:t xml:space="preserve"> a Protección S.A. la ineficacia del traslado (</w:t>
      </w:r>
      <w:proofErr w:type="spellStart"/>
      <w:r w:rsidR="004914FF" w:rsidRPr="00091C6F">
        <w:rPr>
          <w:rFonts w:ascii="Arial" w:hAnsi="Arial" w:cs="Arial"/>
          <w:szCs w:val="24"/>
        </w:rPr>
        <w:t>fl</w:t>
      </w:r>
      <w:proofErr w:type="spellEnd"/>
      <w:r w:rsidR="004914FF" w:rsidRPr="00091C6F">
        <w:rPr>
          <w:rFonts w:ascii="Arial" w:hAnsi="Arial" w:cs="Arial"/>
          <w:szCs w:val="24"/>
        </w:rPr>
        <w:t>. 32 c. 1), ello con ocasión a que u</w:t>
      </w:r>
      <w:r w:rsidR="00E83444" w:rsidRPr="00091C6F">
        <w:rPr>
          <w:rFonts w:ascii="Arial" w:hAnsi="Arial" w:cs="Arial"/>
          <w:szCs w:val="24"/>
        </w:rPr>
        <w:t xml:space="preserve">na de sus compañeras se pensionó </w:t>
      </w:r>
      <w:r w:rsidR="004914FF" w:rsidRPr="00091C6F">
        <w:rPr>
          <w:rFonts w:ascii="Arial" w:hAnsi="Arial" w:cs="Arial"/>
          <w:szCs w:val="24"/>
        </w:rPr>
        <w:t xml:space="preserve">con una mesada de valor inferior a la esperada, tal como lo adujo en el interrogatorio de parte, y solo ahora después de </w:t>
      </w:r>
      <w:r w:rsidR="006A428F" w:rsidRPr="00091C6F">
        <w:rPr>
          <w:rFonts w:ascii="Arial" w:hAnsi="Arial" w:cs="Arial"/>
          <w:szCs w:val="24"/>
        </w:rPr>
        <w:t>casi 20</w:t>
      </w:r>
      <w:r w:rsidR="004914FF" w:rsidRPr="00091C6F">
        <w:rPr>
          <w:rFonts w:ascii="Arial" w:hAnsi="Arial" w:cs="Arial"/>
          <w:szCs w:val="24"/>
        </w:rPr>
        <w:t xml:space="preserve"> años, en vía judicial </w:t>
      </w:r>
      <w:r w:rsidRPr="00091C6F">
        <w:rPr>
          <w:rFonts w:ascii="Arial" w:hAnsi="Arial" w:cs="Arial"/>
          <w:szCs w:val="24"/>
        </w:rPr>
        <w:t>s</w:t>
      </w:r>
      <w:r w:rsidR="004914FF" w:rsidRPr="00091C6F">
        <w:rPr>
          <w:rFonts w:ascii="Arial" w:hAnsi="Arial" w:cs="Arial"/>
          <w:szCs w:val="24"/>
        </w:rPr>
        <w:t xml:space="preserve">e duele del valor a recibir, </w:t>
      </w:r>
      <w:r w:rsidR="00E83444" w:rsidRPr="00091C6F">
        <w:rPr>
          <w:rFonts w:ascii="Arial" w:hAnsi="Arial" w:cs="Arial"/>
          <w:szCs w:val="24"/>
        </w:rPr>
        <w:t xml:space="preserve">cuando </w:t>
      </w:r>
      <w:r w:rsidR="004914FF" w:rsidRPr="00091C6F">
        <w:rPr>
          <w:rFonts w:ascii="Arial" w:hAnsi="Arial" w:cs="Arial"/>
          <w:szCs w:val="24"/>
        </w:rPr>
        <w:t xml:space="preserve">conocía que el monto de su pensión dependía de los ahorros realizados, de manera tal que no podía esperar </w:t>
      </w:r>
      <w:r w:rsidR="006A428F" w:rsidRPr="00091C6F">
        <w:rPr>
          <w:rFonts w:ascii="Arial" w:hAnsi="Arial" w:cs="Arial"/>
          <w:szCs w:val="24"/>
        </w:rPr>
        <w:t xml:space="preserve">a modo </w:t>
      </w:r>
      <w:r w:rsidR="00785910" w:rsidRPr="00091C6F">
        <w:rPr>
          <w:rFonts w:ascii="Arial" w:hAnsi="Arial" w:cs="Arial"/>
          <w:szCs w:val="24"/>
        </w:rPr>
        <w:t>de sorteo o</w:t>
      </w:r>
      <w:r w:rsidR="006A428F" w:rsidRPr="00091C6F">
        <w:rPr>
          <w:rFonts w:ascii="Arial" w:hAnsi="Arial" w:cs="Arial"/>
          <w:szCs w:val="24"/>
        </w:rPr>
        <w:t xml:space="preserve"> lotería, que su mesada pensional alcanzara niveles superiores, si durante su vida laboral no realizó los aportes precisos para obtener tal resultado. </w:t>
      </w:r>
    </w:p>
    <w:p w14:paraId="1548C9B1" w14:textId="77777777" w:rsidR="006A428F" w:rsidRPr="00091C6F" w:rsidRDefault="006A428F" w:rsidP="00091C6F">
      <w:pPr>
        <w:spacing w:line="276" w:lineRule="auto"/>
        <w:ind w:right="49"/>
        <w:contextualSpacing/>
        <w:jc w:val="both"/>
        <w:rPr>
          <w:rFonts w:ascii="Arial" w:hAnsi="Arial" w:cs="Arial"/>
          <w:szCs w:val="24"/>
        </w:rPr>
      </w:pPr>
    </w:p>
    <w:p w14:paraId="44C2C266" w14:textId="15A67C56" w:rsidR="000112EE" w:rsidRPr="00091C6F" w:rsidRDefault="006D7ECC" w:rsidP="00091C6F">
      <w:pPr>
        <w:spacing w:line="276" w:lineRule="auto"/>
        <w:ind w:right="49"/>
        <w:contextualSpacing/>
        <w:jc w:val="both"/>
        <w:rPr>
          <w:rFonts w:ascii="Arial" w:hAnsi="Arial" w:cs="Arial"/>
          <w:szCs w:val="24"/>
        </w:rPr>
      </w:pPr>
      <w:r w:rsidRPr="00091C6F">
        <w:rPr>
          <w:rFonts w:ascii="Arial" w:hAnsi="Arial" w:cs="Arial"/>
          <w:szCs w:val="24"/>
        </w:rPr>
        <w:t xml:space="preserve">Ahora estándose frente a una persona que no fue beneficiaria del régimen de transición y que estuvo afiliada al ISS por más de </w:t>
      </w:r>
      <w:r w:rsidR="006A428F" w:rsidRPr="00091C6F">
        <w:rPr>
          <w:rFonts w:ascii="Arial" w:hAnsi="Arial" w:cs="Arial"/>
          <w:szCs w:val="24"/>
        </w:rPr>
        <w:t xml:space="preserve">18 </w:t>
      </w:r>
      <w:r w:rsidR="008B00B0" w:rsidRPr="00091C6F">
        <w:rPr>
          <w:rFonts w:ascii="Arial" w:hAnsi="Arial" w:cs="Arial"/>
          <w:szCs w:val="24"/>
        </w:rPr>
        <w:t>años</w:t>
      </w:r>
      <w:r w:rsidR="006A428F" w:rsidRPr="00091C6F">
        <w:rPr>
          <w:rFonts w:ascii="Arial" w:hAnsi="Arial" w:cs="Arial"/>
          <w:szCs w:val="24"/>
        </w:rPr>
        <w:t xml:space="preserve"> interrumpidamente</w:t>
      </w:r>
      <w:r w:rsidR="008B00B0" w:rsidRPr="00091C6F">
        <w:rPr>
          <w:rFonts w:ascii="Arial" w:hAnsi="Arial" w:cs="Arial"/>
          <w:szCs w:val="24"/>
        </w:rPr>
        <w:t xml:space="preserve"> (</w:t>
      </w:r>
      <w:proofErr w:type="spellStart"/>
      <w:r w:rsidR="008B00B0" w:rsidRPr="00091C6F">
        <w:rPr>
          <w:rFonts w:ascii="Arial" w:hAnsi="Arial" w:cs="Arial"/>
          <w:szCs w:val="24"/>
        </w:rPr>
        <w:t>fl</w:t>
      </w:r>
      <w:proofErr w:type="spellEnd"/>
      <w:r w:rsidR="008B00B0" w:rsidRPr="00091C6F">
        <w:rPr>
          <w:rFonts w:ascii="Arial" w:hAnsi="Arial" w:cs="Arial"/>
          <w:szCs w:val="24"/>
        </w:rPr>
        <w:t xml:space="preserve">. </w:t>
      </w:r>
      <w:r w:rsidR="006A428F" w:rsidRPr="00091C6F">
        <w:rPr>
          <w:rFonts w:ascii="Arial" w:hAnsi="Arial" w:cs="Arial"/>
          <w:szCs w:val="24"/>
        </w:rPr>
        <w:t>28</w:t>
      </w:r>
      <w:r w:rsidRPr="00091C6F">
        <w:rPr>
          <w:rFonts w:ascii="Arial" w:hAnsi="Arial" w:cs="Arial"/>
          <w:szCs w:val="24"/>
        </w:rPr>
        <w:t xml:space="preserve"> c. 1), </w:t>
      </w:r>
      <w:r w:rsidR="008B00B0" w:rsidRPr="00091C6F">
        <w:rPr>
          <w:rFonts w:ascii="Arial" w:hAnsi="Arial" w:cs="Arial"/>
          <w:szCs w:val="24"/>
        </w:rPr>
        <w:t xml:space="preserve">permite </w:t>
      </w:r>
      <w:r w:rsidRPr="00091C6F">
        <w:rPr>
          <w:rFonts w:ascii="Arial" w:hAnsi="Arial" w:cs="Arial"/>
          <w:szCs w:val="24"/>
        </w:rPr>
        <w:t xml:space="preserve">deducir su conocimiento del RPM, por lo que mal podía </w:t>
      </w:r>
      <w:r w:rsidR="00DC0E9C" w:rsidRPr="00091C6F">
        <w:rPr>
          <w:rFonts w:ascii="Arial" w:hAnsi="Arial" w:cs="Arial"/>
          <w:szCs w:val="24"/>
        </w:rPr>
        <w:t>exigírsele</w:t>
      </w:r>
      <w:r w:rsidRPr="00091C6F">
        <w:rPr>
          <w:rFonts w:ascii="Arial" w:hAnsi="Arial" w:cs="Arial"/>
          <w:szCs w:val="24"/>
        </w:rPr>
        <w:t xml:space="preserve"> a la AFP privada desanimar en un primer momento </w:t>
      </w:r>
      <w:r w:rsidR="006A428F" w:rsidRPr="00091C6F">
        <w:rPr>
          <w:rFonts w:ascii="Arial" w:hAnsi="Arial" w:cs="Arial"/>
          <w:szCs w:val="24"/>
        </w:rPr>
        <w:t xml:space="preserve">al </w:t>
      </w:r>
      <w:r w:rsidRPr="00091C6F">
        <w:rPr>
          <w:rFonts w:ascii="Arial" w:hAnsi="Arial" w:cs="Arial"/>
          <w:szCs w:val="24"/>
        </w:rPr>
        <w:t xml:space="preserve">demandante de su traslado al RAIS, máxime que tanto este como el RPM están concebidos en la misma Ley 100/93, sin que uno sea mejor que el otro, sino diferentes como pudo </w:t>
      </w:r>
      <w:r w:rsidR="00DD2605" w:rsidRPr="00091C6F">
        <w:rPr>
          <w:rFonts w:ascii="Arial" w:hAnsi="Arial" w:cs="Arial"/>
          <w:szCs w:val="24"/>
        </w:rPr>
        <w:t>el mismo</w:t>
      </w:r>
      <w:r w:rsidRPr="00091C6F">
        <w:rPr>
          <w:rFonts w:ascii="Arial" w:hAnsi="Arial" w:cs="Arial"/>
          <w:szCs w:val="24"/>
        </w:rPr>
        <w:t xml:space="preserve"> demandante percibir al poder comparar las características, condiciones y ventajas que venía recibiendo en el RPM, con la</w:t>
      </w:r>
      <w:r w:rsidR="00DD2605" w:rsidRPr="00091C6F">
        <w:rPr>
          <w:rFonts w:ascii="Arial" w:hAnsi="Arial" w:cs="Arial"/>
          <w:szCs w:val="24"/>
        </w:rPr>
        <w:t>s que recibiría</w:t>
      </w:r>
      <w:r w:rsidRPr="00091C6F">
        <w:rPr>
          <w:rFonts w:ascii="Arial" w:hAnsi="Arial" w:cs="Arial"/>
          <w:szCs w:val="24"/>
        </w:rPr>
        <w:t xml:space="preserve"> en el RAIS;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Pr="00091C6F">
        <w:rPr>
          <w:rFonts w:ascii="Arial" w:hAnsi="Arial" w:cs="Arial"/>
          <w:szCs w:val="24"/>
        </w:rPr>
        <w:t>sucesoral</w:t>
      </w:r>
      <w:proofErr w:type="spellEnd"/>
      <w:r w:rsidRPr="00091C6F">
        <w:rPr>
          <w:rFonts w:ascii="Arial" w:hAnsi="Arial" w:cs="Arial"/>
          <w:szCs w:val="24"/>
        </w:rPr>
        <w:t xml:space="preserve">. </w:t>
      </w:r>
    </w:p>
    <w:p w14:paraId="23E002A7" w14:textId="77777777" w:rsidR="000112EE" w:rsidRPr="00091C6F" w:rsidRDefault="000112EE" w:rsidP="00091C6F">
      <w:pPr>
        <w:spacing w:line="276" w:lineRule="auto"/>
        <w:ind w:right="49"/>
        <w:contextualSpacing/>
        <w:jc w:val="both"/>
        <w:rPr>
          <w:rFonts w:ascii="Arial" w:hAnsi="Arial" w:cs="Arial"/>
          <w:szCs w:val="24"/>
        </w:rPr>
      </w:pPr>
    </w:p>
    <w:p w14:paraId="37AFEE18" w14:textId="7DEC1A84" w:rsidR="006D7ECC" w:rsidRPr="00091C6F" w:rsidRDefault="006D7ECC" w:rsidP="00091C6F">
      <w:pPr>
        <w:spacing w:line="276" w:lineRule="auto"/>
        <w:ind w:right="49"/>
        <w:contextualSpacing/>
        <w:jc w:val="both"/>
        <w:rPr>
          <w:rFonts w:ascii="Arial" w:hAnsi="Arial" w:cs="Arial"/>
          <w:szCs w:val="24"/>
        </w:rPr>
      </w:pPr>
      <w:r w:rsidRPr="00091C6F">
        <w:rPr>
          <w:rFonts w:ascii="Arial" w:hAnsi="Arial" w:cs="Arial"/>
          <w:szCs w:val="24"/>
        </w:rPr>
        <w:t>Así, dependiendo de las circunstancias particulares del afiliado al final de la vida laboral o de presentarse un siniestro, es que se podrá precisar cuál de los dos es más conveniente; antes de ello solo es partir de meras conjeturas y vaticinar la vida de la afiliada 20 años.</w:t>
      </w:r>
      <w:r w:rsidR="008B00B0" w:rsidRPr="00091C6F">
        <w:rPr>
          <w:rFonts w:ascii="Arial" w:hAnsi="Arial" w:cs="Arial"/>
          <w:szCs w:val="24"/>
        </w:rPr>
        <w:t xml:space="preserve"> </w:t>
      </w:r>
    </w:p>
    <w:p w14:paraId="734DDD9E" w14:textId="77777777" w:rsidR="006D7ECC" w:rsidRPr="00091C6F" w:rsidRDefault="006D7ECC" w:rsidP="00091C6F">
      <w:pPr>
        <w:spacing w:line="276" w:lineRule="auto"/>
        <w:ind w:right="49"/>
        <w:contextualSpacing/>
        <w:jc w:val="both"/>
        <w:rPr>
          <w:rFonts w:ascii="Arial" w:hAnsi="Arial" w:cs="Arial"/>
          <w:szCs w:val="24"/>
        </w:rPr>
      </w:pPr>
    </w:p>
    <w:p w14:paraId="0D3BDA82" w14:textId="75AE33FB" w:rsidR="006D7ECC" w:rsidRPr="00091C6F" w:rsidRDefault="006D7ECC" w:rsidP="00091C6F">
      <w:pPr>
        <w:spacing w:line="276" w:lineRule="auto"/>
        <w:ind w:right="49"/>
        <w:contextualSpacing/>
        <w:jc w:val="both"/>
        <w:rPr>
          <w:rFonts w:ascii="Arial" w:hAnsi="Arial" w:cs="Arial"/>
          <w:szCs w:val="24"/>
        </w:rPr>
      </w:pPr>
      <w:r w:rsidRPr="00091C6F">
        <w:rPr>
          <w:rFonts w:ascii="Arial" w:hAnsi="Arial" w:cs="Arial"/>
          <w:szCs w:val="24"/>
        </w:rPr>
        <w:t xml:space="preserve">Dicho de otra forma, la asesoría brindada por la AFP en el momento de la escogencia del RAIS en el año </w:t>
      </w:r>
      <w:r w:rsidR="00E0046F" w:rsidRPr="00091C6F">
        <w:rPr>
          <w:rFonts w:ascii="Arial" w:hAnsi="Arial" w:cs="Arial"/>
          <w:szCs w:val="24"/>
        </w:rPr>
        <w:t>1999</w:t>
      </w:r>
      <w:r w:rsidRPr="00091C6F">
        <w:rPr>
          <w:rFonts w:ascii="Arial" w:hAnsi="Arial" w:cs="Arial"/>
          <w:szCs w:val="24"/>
        </w:rPr>
        <w:t xml:space="preserve"> se circunscribía a informar al afiliado de las características, condiciones y ventajas del RAIS, además de su solidez financiera (art. 97 del Decreto 663/1993 y sus modificaciones), sin que dicha información pueda analizarse desde la óptica de un buen o mal consejo; en primer lugar, porque según la jurisprudencia ya citada, dicha obligación solo apareció con la </w:t>
      </w:r>
      <w:r w:rsidRPr="00091C6F">
        <w:rPr>
          <w:rFonts w:ascii="Arial" w:hAnsi="Arial" w:cs="Arial"/>
          <w:color w:val="000000"/>
          <w:szCs w:val="24"/>
          <w:lang w:eastAsia="es-CO"/>
        </w:rPr>
        <w:t xml:space="preserve">Ley 1328 de 2009 y el Decreto 2241 de 2010, y en segundo lugar, </w:t>
      </w:r>
      <w:r w:rsidRPr="00091C6F">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el florecimiento de su vida; pues al gozar de capacidad de ejercicio, quien celebra el contrato de afiliación está en condiciones de entender las incidencias de la escogencia a partir de la información que ha recibido. </w:t>
      </w:r>
    </w:p>
    <w:p w14:paraId="46C62778" w14:textId="77777777" w:rsidR="00507A26" w:rsidRPr="00091C6F" w:rsidRDefault="00507A26" w:rsidP="00091C6F">
      <w:pPr>
        <w:spacing w:line="276" w:lineRule="auto"/>
        <w:ind w:right="49"/>
        <w:contextualSpacing/>
        <w:jc w:val="both"/>
        <w:rPr>
          <w:rFonts w:ascii="Arial" w:hAnsi="Arial" w:cs="Arial"/>
          <w:szCs w:val="24"/>
        </w:rPr>
      </w:pPr>
    </w:p>
    <w:p w14:paraId="69251D20" w14:textId="329FDD30" w:rsidR="006D7ECC" w:rsidRPr="00091C6F" w:rsidRDefault="006D7ECC" w:rsidP="00091C6F">
      <w:pPr>
        <w:spacing w:line="276" w:lineRule="auto"/>
        <w:jc w:val="both"/>
        <w:rPr>
          <w:rFonts w:ascii="Arial" w:hAnsi="Arial" w:cs="Arial"/>
          <w:szCs w:val="24"/>
        </w:rPr>
      </w:pPr>
      <w:r w:rsidRPr="00091C6F">
        <w:rPr>
          <w:rFonts w:ascii="Arial" w:eastAsiaTheme="minorHAnsi" w:hAnsi="Arial" w:cs="Arial"/>
          <w:iCs/>
          <w:szCs w:val="24"/>
        </w:rPr>
        <w:t xml:space="preserve">De otro lado, </w:t>
      </w:r>
      <w:r w:rsidR="00896F03" w:rsidRPr="00091C6F">
        <w:rPr>
          <w:rFonts w:ascii="Arial" w:eastAsiaTheme="minorHAnsi" w:hAnsi="Arial" w:cs="Arial"/>
          <w:iCs/>
          <w:szCs w:val="24"/>
        </w:rPr>
        <w:t>ll</w:t>
      </w:r>
      <w:r w:rsidR="00E0046F" w:rsidRPr="00091C6F">
        <w:rPr>
          <w:rFonts w:ascii="Arial" w:eastAsiaTheme="minorHAnsi" w:hAnsi="Arial" w:cs="Arial"/>
          <w:iCs/>
          <w:szCs w:val="24"/>
        </w:rPr>
        <w:t xml:space="preserve">ama la atención a la sala que si bien el demandante adujo en el interrogatorio que el asesor le informó que su pensión sería allí mayor, y en conjunción con las testimoniales practicadas en las que se hicieron unas proyecciones, es preciso anotar que </w:t>
      </w:r>
      <w:r w:rsidR="00896F03" w:rsidRPr="00091C6F">
        <w:rPr>
          <w:rFonts w:ascii="Arial" w:eastAsiaTheme="minorHAnsi" w:hAnsi="Arial" w:cs="Arial"/>
          <w:iCs/>
          <w:szCs w:val="24"/>
        </w:rPr>
        <w:t>los c</w:t>
      </w:r>
      <w:r w:rsidRPr="00091C6F">
        <w:rPr>
          <w:rFonts w:ascii="Arial" w:hAnsi="Arial" w:cs="Arial"/>
          <w:szCs w:val="24"/>
        </w:rPr>
        <w:t xml:space="preserve">álculos del valor de la pensión solo aparecieron con la Ley </w:t>
      </w:r>
      <w:r w:rsidRPr="00091C6F">
        <w:rPr>
          <w:rFonts w:ascii="Arial" w:hAnsi="Arial" w:cs="Arial"/>
          <w:szCs w:val="24"/>
          <w:lang w:eastAsia="es-CO"/>
        </w:rPr>
        <w:t>1748 de 2014</w:t>
      </w:r>
      <w:r w:rsidRPr="00091C6F">
        <w:rPr>
          <w:rStyle w:val="Refdenotaalpie"/>
          <w:rFonts w:ascii="Arial" w:hAnsi="Arial" w:cs="Arial"/>
          <w:szCs w:val="24"/>
          <w:lang w:eastAsia="es-CO"/>
        </w:rPr>
        <w:footnoteReference w:id="5"/>
      </w:r>
      <w:r w:rsidRPr="00091C6F">
        <w:rPr>
          <w:rFonts w:ascii="Arial" w:hAnsi="Arial" w:cs="Arial"/>
          <w:szCs w:val="24"/>
          <w:lang w:eastAsia="es-CO"/>
        </w:rPr>
        <w:t xml:space="preserve"> y el Decreto 2071 de 2015</w:t>
      </w:r>
      <w:r w:rsidRPr="00091C6F">
        <w:rPr>
          <w:rStyle w:val="Refdenotaalpie"/>
          <w:rFonts w:ascii="Arial" w:hAnsi="Arial" w:cs="Arial"/>
          <w:szCs w:val="24"/>
          <w:lang w:eastAsia="es-CO"/>
        </w:rPr>
        <w:footnoteReference w:id="6"/>
      </w:r>
      <w:r w:rsidRPr="00091C6F">
        <w:rPr>
          <w:rFonts w:ascii="Arial" w:hAnsi="Arial" w:cs="Arial"/>
          <w:szCs w:val="24"/>
          <w:lang w:eastAsia="es-CO"/>
        </w:rPr>
        <w:t xml:space="preserve">, </w:t>
      </w:r>
      <w:r w:rsidR="00E0046F" w:rsidRPr="00091C6F">
        <w:rPr>
          <w:rFonts w:ascii="Arial" w:hAnsi="Arial" w:cs="Arial"/>
          <w:szCs w:val="24"/>
          <w:lang w:eastAsia="es-CO"/>
        </w:rPr>
        <w:t>y</w:t>
      </w:r>
      <w:r w:rsidRPr="00091C6F">
        <w:rPr>
          <w:rFonts w:ascii="Arial" w:hAnsi="Arial" w:cs="Arial"/>
          <w:szCs w:val="24"/>
          <w:lang w:eastAsia="es-CO"/>
        </w:rPr>
        <w:t xml:space="preserve"> de haber</w:t>
      </w:r>
      <w:r w:rsidR="00E0046F" w:rsidRPr="00091C6F">
        <w:rPr>
          <w:rFonts w:ascii="Arial" w:hAnsi="Arial" w:cs="Arial"/>
          <w:szCs w:val="24"/>
          <w:lang w:eastAsia="es-CO"/>
        </w:rPr>
        <w:t xml:space="preserve">los hecho, como ocurrió en el caso de ahora, sin que en la actualidad correspondan a la mesada pensional </w:t>
      </w:r>
      <w:r w:rsidR="00507A26" w:rsidRPr="00091C6F">
        <w:rPr>
          <w:rFonts w:ascii="Arial" w:hAnsi="Arial" w:cs="Arial"/>
          <w:szCs w:val="24"/>
          <w:lang w:eastAsia="es-CO"/>
        </w:rPr>
        <w:t>que obtendría</w:t>
      </w:r>
      <w:r w:rsidR="00E0046F" w:rsidRPr="00091C6F">
        <w:rPr>
          <w:rFonts w:ascii="Arial" w:hAnsi="Arial" w:cs="Arial"/>
          <w:szCs w:val="24"/>
          <w:lang w:eastAsia="es-CO"/>
        </w:rPr>
        <w:t>, ello no</w:t>
      </w:r>
      <w:r w:rsidRPr="00091C6F">
        <w:rPr>
          <w:rFonts w:ascii="Arial" w:hAnsi="Arial" w:cs="Arial"/>
          <w:szCs w:val="24"/>
          <w:lang w:eastAsia="es-CO"/>
        </w:rPr>
        <w:t xml:space="preserve"> podría configurar </w:t>
      </w:r>
      <w:r w:rsidR="000112EE" w:rsidRPr="00091C6F">
        <w:rPr>
          <w:rFonts w:ascii="Arial" w:hAnsi="Arial" w:cs="Arial"/>
          <w:szCs w:val="24"/>
          <w:lang w:eastAsia="es-CO"/>
        </w:rPr>
        <w:t>una ausencia de información</w:t>
      </w:r>
      <w:r w:rsidRPr="00091C6F">
        <w:rPr>
          <w:rFonts w:ascii="Arial" w:hAnsi="Arial" w:cs="Arial"/>
          <w:szCs w:val="24"/>
          <w:lang w:eastAsia="es-CO"/>
        </w:rPr>
        <w:t>, pues se trataría de una proyección recreada con meras conjeturas. Situación que incluso se reconoce en la normativa en cita, pues tal proyección no es un derecho consolidado, al basarse en hechos futuros probables, que pueden no darse.</w:t>
      </w:r>
      <w:r w:rsidR="00910988" w:rsidRPr="00091C6F">
        <w:rPr>
          <w:rFonts w:ascii="Arial" w:hAnsi="Arial" w:cs="Arial"/>
          <w:szCs w:val="24"/>
          <w:lang w:eastAsia="es-CO"/>
        </w:rPr>
        <w:t xml:space="preserve"> </w:t>
      </w:r>
      <w:r w:rsidRPr="00091C6F">
        <w:rPr>
          <w:rFonts w:ascii="Arial" w:hAnsi="Arial" w:cs="Arial"/>
          <w:szCs w:val="24"/>
        </w:rPr>
        <w:t xml:space="preserve">Puestas de ese modo las cosas, se desprende que </w:t>
      </w:r>
      <w:r w:rsidR="00E0046F" w:rsidRPr="00091C6F">
        <w:rPr>
          <w:rFonts w:ascii="Arial" w:hAnsi="Arial" w:cs="Arial"/>
          <w:szCs w:val="24"/>
        </w:rPr>
        <w:t>la información suministrada al</w:t>
      </w:r>
      <w:r w:rsidRPr="00091C6F">
        <w:rPr>
          <w:rFonts w:ascii="Arial" w:hAnsi="Arial" w:cs="Arial"/>
          <w:szCs w:val="24"/>
        </w:rPr>
        <w:t xml:space="preserve"> demandante fue </w:t>
      </w:r>
      <w:r w:rsidR="00910988" w:rsidRPr="00091C6F">
        <w:rPr>
          <w:rFonts w:ascii="Arial" w:hAnsi="Arial" w:cs="Arial"/>
          <w:szCs w:val="24"/>
        </w:rPr>
        <w:t>oportuna, transparente, clara, completa y veraz.</w:t>
      </w:r>
    </w:p>
    <w:p w14:paraId="4FDB3788" w14:textId="77777777" w:rsidR="006D7ECC" w:rsidRPr="00091C6F" w:rsidRDefault="006D7ECC" w:rsidP="00091C6F">
      <w:pPr>
        <w:spacing w:line="276" w:lineRule="auto"/>
        <w:ind w:right="49"/>
        <w:contextualSpacing/>
        <w:jc w:val="both"/>
        <w:rPr>
          <w:rFonts w:ascii="Arial" w:hAnsi="Arial" w:cs="Arial"/>
          <w:szCs w:val="24"/>
        </w:rPr>
      </w:pPr>
    </w:p>
    <w:p w14:paraId="27EE2D41" w14:textId="219195CE" w:rsidR="000C7575" w:rsidRPr="00091C6F" w:rsidRDefault="000C7575" w:rsidP="00091C6F">
      <w:pPr>
        <w:spacing w:line="276" w:lineRule="auto"/>
        <w:jc w:val="both"/>
        <w:rPr>
          <w:rFonts w:ascii="Arial" w:hAnsi="Arial" w:cs="Arial"/>
          <w:szCs w:val="24"/>
        </w:rPr>
      </w:pPr>
      <w:r w:rsidRPr="00091C6F">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corregir su pasividad e incuria con el propósito de retornar al RPM, </w:t>
      </w:r>
      <w:r w:rsidR="000112EE" w:rsidRPr="00091C6F">
        <w:rPr>
          <w:rFonts w:ascii="Arial" w:hAnsi="Arial" w:cs="Arial"/>
          <w:szCs w:val="24"/>
        </w:rPr>
        <w:t>pues se</w:t>
      </w:r>
      <w:r w:rsidRPr="00091C6F">
        <w:rPr>
          <w:rFonts w:ascii="Arial" w:hAnsi="Arial" w:cs="Arial"/>
          <w:szCs w:val="24"/>
        </w:rPr>
        <w:t xml:space="preserve"> le brindó la información completa para que tomara su decisión, por lo que mal puede decirse que se le desconoció su derecho a la libre escogencia. </w:t>
      </w:r>
    </w:p>
    <w:p w14:paraId="774AF013" w14:textId="77777777" w:rsidR="002E4241" w:rsidRPr="00091C6F" w:rsidRDefault="002E4241" w:rsidP="00091C6F">
      <w:pPr>
        <w:spacing w:line="276" w:lineRule="auto"/>
        <w:ind w:right="49"/>
        <w:contextualSpacing/>
        <w:jc w:val="both"/>
        <w:rPr>
          <w:rFonts w:ascii="Arial" w:hAnsi="Arial" w:cs="Arial"/>
          <w:szCs w:val="24"/>
        </w:rPr>
      </w:pPr>
    </w:p>
    <w:p w14:paraId="10E90476" w14:textId="77777777" w:rsidR="000C7575" w:rsidRPr="00091C6F" w:rsidRDefault="000C7575" w:rsidP="00091C6F">
      <w:pPr>
        <w:shd w:val="clear" w:color="auto" w:fill="FFFFFF"/>
        <w:tabs>
          <w:tab w:val="left" w:pos="5197"/>
        </w:tabs>
        <w:spacing w:line="276" w:lineRule="auto"/>
        <w:jc w:val="center"/>
        <w:rPr>
          <w:rFonts w:ascii="Arial" w:hAnsi="Arial" w:cs="Arial"/>
          <w:b/>
          <w:color w:val="000000" w:themeColor="text1"/>
          <w:szCs w:val="24"/>
          <w:lang w:eastAsia="es-CO"/>
        </w:rPr>
      </w:pPr>
      <w:r w:rsidRPr="00091C6F">
        <w:rPr>
          <w:rFonts w:ascii="Arial" w:hAnsi="Arial" w:cs="Arial"/>
          <w:b/>
          <w:color w:val="000000" w:themeColor="text1"/>
          <w:szCs w:val="24"/>
          <w:lang w:eastAsia="es-CO"/>
        </w:rPr>
        <w:t>CONCLUSIÓN</w:t>
      </w:r>
    </w:p>
    <w:p w14:paraId="565CEA93" w14:textId="77777777" w:rsidR="000C7575" w:rsidRPr="00091C6F" w:rsidRDefault="000C7575" w:rsidP="00091C6F">
      <w:pPr>
        <w:shd w:val="clear" w:color="auto" w:fill="FFFFFF"/>
        <w:tabs>
          <w:tab w:val="left" w:pos="5197"/>
        </w:tabs>
        <w:spacing w:line="276" w:lineRule="auto"/>
        <w:jc w:val="center"/>
        <w:rPr>
          <w:rFonts w:ascii="Arial" w:hAnsi="Arial" w:cs="Arial"/>
          <w:b/>
          <w:color w:val="000000" w:themeColor="text1"/>
          <w:szCs w:val="24"/>
          <w:lang w:eastAsia="es-CO"/>
        </w:rPr>
      </w:pPr>
    </w:p>
    <w:p w14:paraId="459FDCB9" w14:textId="23A11B78" w:rsidR="000C7575" w:rsidRDefault="000C7575" w:rsidP="00091C6F">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091C6F">
        <w:rPr>
          <w:rFonts w:ascii="Arial" w:hAnsi="Arial" w:cs="Arial"/>
          <w:color w:val="000000" w:themeColor="text1"/>
          <w:szCs w:val="24"/>
          <w:lang w:eastAsia="es-CO"/>
        </w:rPr>
        <w:t>Conforme lo expuesto, la decisión revisada será revocada. Costas e</w:t>
      </w:r>
      <w:r w:rsidR="003B3BF6" w:rsidRPr="00091C6F">
        <w:rPr>
          <w:rFonts w:ascii="Arial" w:hAnsi="Arial" w:cs="Arial"/>
          <w:color w:val="000000" w:themeColor="text1"/>
          <w:szCs w:val="24"/>
          <w:lang w:eastAsia="es-CO"/>
        </w:rPr>
        <w:t>n ambas instancias a cargo del</w:t>
      </w:r>
      <w:r w:rsidRPr="00091C6F">
        <w:rPr>
          <w:rFonts w:ascii="Arial" w:hAnsi="Arial" w:cs="Arial"/>
          <w:color w:val="000000" w:themeColor="text1"/>
          <w:szCs w:val="24"/>
          <w:lang w:eastAsia="es-CO"/>
        </w:rPr>
        <w:t xml:space="preserve"> demandante y a favor de las demandadas, ante la revocatoria total de la sentencia de primer instancia, de conformidad con el numeral 4º del artículo 365 del C.G.P.</w:t>
      </w:r>
    </w:p>
    <w:p w14:paraId="68947F66" w14:textId="77777777" w:rsidR="005A3510" w:rsidRPr="00091C6F" w:rsidRDefault="005A3510" w:rsidP="00091C6F">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5276C211" w14:textId="77777777" w:rsidR="000C7575" w:rsidRPr="00091C6F" w:rsidRDefault="000C7575" w:rsidP="00091C6F">
      <w:pPr>
        <w:spacing w:line="276" w:lineRule="auto"/>
        <w:contextualSpacing/>
        <w:jc w:val="center"/>
        <w:rPr>
          <w:rFonts w:ascii="Arial" w:hAnsi="Arial" w:cs="Arial"/>
          <w:b/>
          <w:color w:val="000000" w:themeColor="text1"/>
          <w:szCs w:val="24"/>
        </w:rPr>
      </w:pPr>
      <w:r w:rsidRPr="00091C6F">
        <w:rPr>
          <w:rFonts w:ascii="Arial" w:hAnsi="Arial" w:cs="Arial"/>
          <w:b/>
          <w:color w:val="000000" w:themeColor="text1"/>
          <w:szCs w:val="24"/>
        </w:rPr>
        <w:t>DECISIÓN</w:t>
      </w:r>
    </w:p>
    <w:p w14:paraId="30FFDA2C" w14:textId="77777777" w:rsidR="000C7575" w:rsidRPr="00091C6F" w:rsidRDefault="000C7575" w:rsidP="00091C6F">
      <w:pPr>
        <w:spacing w:line="276" w:lineRule="auto"/>
        <w:contextualSpacing/>
        <w:jc w:val="center"/>
        <w:rPr>
          <w:rFonts w:ascii="Arial" w:hAnsi="Arial" w:cs="Arial"/>
          <w:b/>
          <w:color w:val="000000" w:themeColor="text1"/>
          <w:szCs w:val="24"/>
        </w:rPr>
      </w:pPr>
    </w:p>
    <w:p w14:paraId="54A6208B" w14:textId="3629F4A2" w:rsidR="000C7575" w:rsidRPr="00091C6F" w:rsidRDefault="000C7575" w:rsidP="00091C6F">
      <w:pPr>
        <w:pStyle w:val="Prrafodelista2"/>
        <w:spacing w:after="0"/>
        <w:ind w:left="0"/>
        <w:jc w:val="both"/>
        <w:rPr>
          <w:rFonts w:ascii="Arial" w:hAnsi="Arial" w:cs="Arial"/>
          <w:color w:val="000000" w:themeColor="text1"/>
          <w:sz w:val="24"/>
          <w:szCs w:val="24"/>
          <w:lang w:val="es-ES_tradnl"/>
        </w:rPr>
      </w:pPr>
      <w:r w:rsidRPr="00091C6F">
        <w:rPr>
          <w:rFonts w:ascii="Arial" w:hAnsi="Arial" w:cs="Arial"/>
          <w:color w:val="000000" w:themeColor="text1"/>
          <w:sz w:val="24"/>
          <w:szCs w:val="24"/>
          <w:lang w:val="es-ES_tradnl"/>
        </w:rPr>
        <w:t xml:space="preserve">En mérito de lo expuesto, el </w:t>
      </w:r>
      <w:r w:rsidRPr="00091C6F">
        <w:rPr>
          <w:rFonts w:ascii="Arial" w:hAnsi="Arial" w:cs="Arial"/>
          <w:b/>
          <w:color w:val="000000" w:themeColor="text1"/>
          <w:sz w:val="24"/>
          <w:szCs w:val="24"/>
          <w:lang w:val="es-ES_tradnl"/>
        </w:rPr>
        <w:t>Tribunal Superior del Distrito Judicial de Pereira - Risaralda, Sala Segunda de Decisión Laboral,</w:t>
      </w:r>
      <w:r w:rsidRPr="00091C6F">
        <w:rPr>
          <w:rFonts w:ascii="Arial" w:hAnsi="Arial" w:cs="Arial"/>
          <w:color w:val="000000" w:themeColor="text1"/>
          <w:sz w:val="24"/>
          <w:szCs w:val="24"/>
          <w:lang w:val="es-ES_tradnl"/>
        </w:rPr>
        <w:t xml:space="preserve"> administrando justicia en nombre de la República y por autoridad de la ley,</w:t>
      </w:r>
    </w:p>
    <w:p w14:paraId="355C8834" w14:textId="77777777" w:rsidR="002816BE" w:rsidRPr="00091C6F" w:rsidRDefault="002816BE" w:rsidP="00091C6F">
      <w:pPr>
        <w:spacing w:line="276" w:lineRule="auto"/>
        <w:contextualSpacing/>
        <w:jc w:val="center"/>
        <w:rPr>
          <w:rFonts w:ascii="Arial" w:hAnsi="Arial" w:cs="Arial"/>
          <w:b/>
          <w:color w:val="000000" w:themeColor="text1"/>
          <w:szCs w:val="24"/>
        </w:rPr>
      </w:pPr>
    </w:p>
    <w:p w14:paraId="043B4BDE" w14:textId="77777777" w:rsidR="000C7575" w:rsidRPr="00091C6F" w:rsidRDefault="000C7575" w:rsidP="00091C6F">
      <w:pPr>
        <w:spacing w:line="276" w:lineRule="auto"/>
        <w:contextualSpacing/>
        <w:jc w:val="center"/>
        <w:rPr>
          <w:rFonts w:ascii="Arial" w:hAnsi="Arial" w:cs="Arial"/>
          <w:b/>
          <w:color w:val="000000" w:themeColor="text1"/>
          <w:szCs w:val="24"/>
        </w:rPr>
      </w:pPr>
      <w:r w:rsidRPr="00091C6F">
        <w:rPr>
          <w:rFonts w:ascii="Arial" w:hAnsi="Arial" w:cs="Arial"/>
          <w:b/>
          <w:color w:val="000000" w:themeColor="text1"/>
          <w:szCs w:val="24"/>
        </w:rPr>
        <w:t>RESUELVE</w:t>
      </w:r>
    </w:p>
    <w:p w14:paraId="2FDC6C0D" w14:textId="77777777" w:rsidR="00DC0E9C" w:rsidRPr="00091C6F" w:rsidRDefault="00DC0E9C" w:rsidP="00091C6F">
      <w:pPr>
        <w:spacing w:line="276" w:lineRule="auto"/>
        <w:contextualSpacing/>
        <w:jc w:val="center"/>
        <w:rPr>
          <w:rFonts w:ascii="Arial" w:hAnsi="Arial" w:cs="Arial"/>
          <w:b/>
          <w:color w:val="000000" w:themeColor="text1"/>
          <w:szCs w:val="24"/>
        </w:rPr>
      </w:pPr>
    </w:p>
    <w:p w14:paraId="65C22CE4" w14:textId="0D724761" w:rsidR="00DF2F6D" w:rsidRDefault="000C7575" w:rsidP="00091C6F">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091C6F">
        <w:rPr>
          <w:rFonts w:ascii="Arial" w:hAnsi="Arial" w:cs="Arial"/>
          <w:b/>
          <w:color w:val="000000" w:themeColor="text1"/>
          <w:sz w:val="24"/>
          <w:szCs w:val="24"/>
          <w:u w:val="single"/>
        </w:rPr>
        <w:t>PRIMERO</w:t>
      </w:r>
      <w:r w:rsidRPr="00091C6F">
        <w:rPr>
          <w:rFonts w:ascii="Arial" w:hAnsi="Arial" w:cs="Arial"/>
          <w:b/>
          <w:color w:val="000000" w:themeColor="text1"/>
          <w:sz w:val="24"/>
          <w:szCs w:val="24"/>
        </w:rPr>
        <w:t xml:space="preserve">: REVOCAR </w:t>
      </w:r>
      <w:r w:rsidRPr="00091C6F">
        <w:rPr>
          <w:rFonts w:ascii="Arial" w:hAnsi="Arial" w:cs="Arial"/>
          <w:color w:val="000000" w:themeColor="text1"/>
          <w:sz w:val="24"/>
          <w:szCs w:val="24"/>
        </w:rPr>
        <w:t>l</w:t>
      </w:r>
      <w:r w:rsidRPr="00091C6F">
        <w:rPr>
          <w:rFonts w:ascii="Arial" w:eastAsia="Times New Roman" w:hAnsi="Arial" w:cs="Arial"/>
          <w:color w:val="000000" w:themeColor="text1"/>
          <w:sz w:val="24"/>
          <w:szCs w:val="24"/>
        </w:rPr>
        <w:t>a sentencia proferida</w:t>
      </w:r>
      <w:r w:rsidR="003B3BF6" w:rsidRPr="00091C6F">
        <w:rPr>
          <w:rFonts w:ascii="Arial" w:eastAsia="Times New Roman" w:hAnsi="Arial" w:cs="Arial"/>
          <w:color w:val="000000" w:themeColor="text1"/>
          <w:sz w:val="24"/>
          <w:szCs w:val="24"/>
        </w:rPr>
        <w:t xml:space="preserve"> el</w:t>
      </w:r>
      <w:r w:rsidRPr="00091C6F">
        <w:rPr>
          <w:rFonts w:ascii="Arial" w:eastAsia="Times New Roman" w:hAnsi="Arial" w:cs="Arial"/>
          <w:color w:val="000000" w:themeColor="text1"/>
          <w:sz w:val="24"/>
          <w:szCs w:val="24"/>
        </w:rPr>
        <w:t xml:space="preserve"> </w:t>
      </w:r>
      <w:r w:rsidR="003B3BF6" w:rsidRPr="00091C6F">
        <w:rPr>
          <w:rFonts w:ascii="Arial" w:hAnsi="Arial" w:cs="Arial"/>
          <w:sz w:val="24"/>
          <w:szCs w:val="24"/>
        </w:rPr>
        <w:t xml:space="preserve">25 de octubre de 2018 por el Juzgado Quinto Laboral del Circuito de Pereira, dentro del proceso promovido por </w:t>
      </w:r>
      <w:r w:rsidR="003B3BF6" w:rsidRPr="00091C6F">
        <w:rPr>
          <w:rFonts w:ascii="Arial" w:hAnsi="Arial" w:cs="Arial"/>
          <w:b/>
          <w:sz w:val="24"/>
          <w:szCs w:val="24"/>
        </w:rPr>
        <w:t xml:space="preserve">Héctor Fabio Zapata Calderón </w:t>
      </w:r>
      <w:r w:rsidR="003B3BF6" w:rsidRPr="00091C6F">
        <w:rPr>
          <w:rFonts w:ascii="Arial" w:hAnsi="Arial" w:cs="Arial"/>
          <w:sz w:val="24"/>
          <w:szCs w:val="24"/>
        </w:rPr>
        <w:t xml:space="preserve">contra la </w:t>
      </w:r>
      <w:r w:rsidR="003B3BF6" w:rsidRPr="00091C6F">
        <w:rPr>
          <w:rFonts w:ascii="Arial" w:hAnsi="Arial" w:cs="Arial"/>
          <w:b/>
          <w:sz w:val="24"/>
          <w:szCs w:val="24"/>
        </w:rPr>
        <w:t xml:space="preserve">Administradora Colombiana de Pensiones </w:t>
      </w:r>
      <w:r w:rsidR="003B3BF6" w:rsidRPr="00091C6F">
        <w:rPr>
          <w:rFonts w:ascii="Arial" w:hAnsi="Arial" w:cs="Arial"/>
          <w:b/>
          <w:bCs/>
          <w:sz w:val="24"/>
          <w:szCs w:val="24"/>
        </w:rPr>
        <w:t xml:space="preserve">COLPENSIONES </w:t>
      </w:r>
      <w:r w:rsidR="003B3BF6" w:rsidRPr="00091C6F">
        <w:rPr>
          <w:rFonts w:ascii="Arial" w:hAnsi="Arial" w:cs="Arial"/>
          <w:bCs/>
          <w:sz w:val="24"/>
          <w:szCs w:val="24"/>
        </w:rPr>
        <w:t xml:space="preserve">y </w:t>
      </w:r>
      <w:r w:rsidR="003B3BF6" w:rsidRPr="00091C6F">
        <w:rPr>
          <w:rFonts w:ascii="Arial" w:hAnsi="Arial" w:cs="Arial"/>
          <w:b/>
          <w:bCs/>
          <w:sz w:val="24"/>
          <w:szCs w:val="24"/>
        </w:rPr>
        <w:t>Protección S.A.,</w:t>
      </w:r>
      <w:r w:rsidRPr="00091C6F">
        <w:rPr>
          <w:rFonts w:ascii="Arial" w:hAnsi="Arial" w:cs="Arial"/>
          <w:b/>
          <w:bCs/>
          <w:sz w:val="24"/>
          <w:szCs w:val="24"/>
        </w:rPr>
        <w:t xml:space="preserve"> </w:t>
      </w:r>
      <w:r w:rsidRPr="00091C6F">
        <w:rPr>
          <w:rFonts w:ascii="Arial" w:eastAsia="Times New Roman" w:hAnsi="Arial" w:cs="Arial"/>
          <w:color w:val="000000" w:themeColor="text1"/>
          <w:sz w:val="24"/>
          <w:szCs w:val="24"/>
        </w:rPr>
        <w:t>para en su lugar absolver a estas de las pretensiones elevadas en su contra.</w:t>
      </w:r>
    </w:p>
    <w:p w14:paraId="5A50E601" w14:textId="6541193E" w:rsidR="000C7575" w:rsidRPr="00091C6F" w:rsidRDefault="000C7575" w:rsidP="00091C6F">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091C6F">
        <w:rPr>
          <w:rFonts w:ascii="Arial" w:eastAsia="Times New Roman" w:hAnsi="Arial" w:cs="Arial"/>
          <w:color w:val="000000" w:themeColor="text1"/>
          <w:sz w:val="24"/>
          <w:szCs w:val="24"/>
        </w:rPr>
        <w:t xml:space="preserve"> </w:t>
      </w:r>
    </w:p>
    <w:p w14:paraId="1C4819BC" w14:textId="44BE8E09" w:rsidR="000C7575" w:rsidRPr="00091C6F" w:rsidRDefault="000C7575" w:rsidP="00091C6F">
      <w:pPr>
        <w:pStyle w:val="Sinespaciado"/>
        <w:tabs>
          <w:tab w:val="left" w:pos="3387"/>
        </w:tabs>
        <w:spacing w:line="276" w:lineRule="auto"/>
        <w:contextualSpacing/>
        <w:jc w:val="both"/>
        <w:rPr>
          <w:rFonts w:ascii="Arial" w:hAnsi="Arial" w:cs="Arial"/>
          <w:color w:val="000000" w:themeColor="text1"/>
          <w:sz w:val="24"/>
          <w:szCs w:val="24"/>
        </w:rPr>
      </w:pPr>
      <w:r w:rsidRPr="00091C6F">
        <w:rPr>
          <w:rFonts w:ascii="Arial" w:hAnsi="Arial" w:cs="Arial"/>
          <w:b/>
          <w:color w:val="000000" w:themeColor="text1"/>
          <w:sz w:val="24"/>
          <w:szCs w:val="24"/>
          <w:u w:val="single"/>
        </w:rPr>
        <w:t>SEGUNDO:</w:t>
      </w:r>
      <w:r w:rsidRPr="00091C6F">
        <w:rPr>
          <w:rFonts w:ascii="Arial" w:hAnsi="Arial" w:cs="Arial"/>
          <w:color w:val="000000" w:themeColor="text1"/>
          <w:sz w:val="24"/>
          <w:szCs w:val="24"/>
        </w:rPr>
        <w:t xml:space="preserve"> </w:t>
      </w:r>
      <w:r w:rsidRPr="00091C6F">
        <w:rPr>
          <w:rFonts w:ascii="Arial" w:eastAsia="Times New Roman" w:hAnsi="Arial" w:cs="Arial"/>
          <w:color w:val="000000" w:themeColor="text1"/>
          <w:sz w:val="24"/>
          <w:szCs w:val="24"/>
        </w:rPr>
        <w:t>Costas e</w:t>
      </w:r>
      <w:r w:rsidR="003B3BF6" w:rsidRPr="00091C6F">
        <w:rPr>
          <w:rFonts w:ascii="Arial" w:eastAsia="Times New Roman" w:hAnsi="Arial" w:cs="Arial"/>
          <w:color w:val="000000" w:themeColor="text1"/>
          <w:sz w:val="24"/>
          <w:szCs w:val="24"/>
        </w:rPr>
        <w:t>n ambas instancias a cargo de</w:t>
      </w:r>
      <w:r w:rsidRPr="00091C6F">
        <w:rPr>
          <w:rFonts w:ascii="Arial" w:eastAsia="Times New Roman" w:hAnsi="Arial" w:cs="Arial"/>
          <w:color w:val="000000" w:themeColor="text1"/>
          <w:sz w:val="24"/>
          <w:szCs w:val="24"/>
        </w:rPr>
        <w:t xml:space="preserve"> demandante y a favor de las demandadas.</w:t>
      </w:r>
      <w:r w:rsidRPr="00091C6F">
        <w:rPr>
          <w:rFonts w:ascii="Arial" w:hAnsi="Arial" w:cs="Arial"/>
          <w:color w:val="000000" w:themeColor="text1"/>
          <w:sz w:val="24"/>
          <w:szCs w:val="24"/>
        </w:rPr>
        <w:t xml:space="preserve"> </w:t>
      </w:r>
    </w:p>
    <w:p w14:paraId="151002DD" w14:textId="77777777" w:rsidR="000C7575" w:rsidRPr="00091C6F" w:rsidRDefault="000C7575" w:rsidP="00091C6F">
      <w:pPr>
        <w:spacing w:line="276" w:lineRule="auto"/>
        <w:contextualSpacing/>
        <w:jc w:val="both"/>
        <w:rPr>
          <w:rFonts w:ascii="Arial" w:hAnsi="Arial" w:cs="Arial"/>
          <w:color w:val="000000" w:themeColor="text1"/>
          <w:szCs w:val="24"/>
        </w:rPr>
      </w:pPr>
    </w:p>
    <w:p w14:paraId="224A894A" w14:textId="77777777" w:rsidR="000C7575" w:rsidRPr="00091C6F" w:rsidRDefault="000C7575" w:rsidP="00091C6F">
      <w:pPr>
        <w:spacing w:line="276" w:lineRule="auto"/>
        <w:contextualSpacing/>
        <w:jc w:val="both"/>
        <w:rPr>
          <w:rFonts w:ascii="Arial" w:hAnsi="Arial" w:cs="Arial"/>
          <w:color w:val="000000" w:themeColor="text1"/>
          <w:szCs w:val="24"/>
        </w:rPr>
      </w:pPr>
      <w:r w:rsidRPr="00091C6F">
        <w:rPr>
          <w:rFonts w:ascii="Arial" w:hAnsi="Arial" w:cs="Arial"/>
          <w:color w:val="000000" w:themeColor="text1"/>
          <w:szCs w:val="24"/>
        </w:rPr>
        <w:t>Notificación surtida en estrados.</w:t>
      </w:r>
    </w:p>
    <w:p w14:paraId="2081ADC8" w14:textId="77777777" w:rsidR="000C7575" w:rsidRPr="00091C6F" w:rsidRDefault="000C7575" w:rsidP="00091C6F">
      <w:pPr>
        <w:pStyle w:val="Textoindependiente"/>
        <w:spacing w:line="276" w:lineRule="auto"/>
        <w:contextualSpacing/>
        <w:rPr>
          <w:color w:val="000000" w:themeColor="text1"/>
          <w:szCs w:val="24"/>
        </w:rPr>
      </w:pPr>
    </w:p>
    <w:p w14:paraId="29F49997" w14:textId="77777777" w:rsidR="000C7575" w:rsidRPr="00091C6F" w:rsidRDefault="000C7575" w:rsidP="00091C6F">
      <w:pPr>
        <w:pStyle w:val="Textoindependiente"/>
        <w:spacing w:line="276" w:lineRule="auto"/>
        <w:contextualSpacing/>
        <w:rPr>
          <w:color w:val="000000" w:themeColor="text1"/>
          <w:szCs w:val="24"/>
        </w:rPr>
      </w:pPr>
      <w:r w:rsidRPr="00091C6F">
        <w:rPr>
          <w:color w:val="000000" w:themeColor="text1"/>
          <w:szCs w:val="24"/>
        </w:rPr>
        <w:t>No siendo otro el objeto de la presente audiencia, se eleva y firma esta acta por las personas que han intervenido.</w:t>
      </w:r>
    </w:p>
    <w:p w14:paraId="27B4F7B8" w14:textId="77777777" w:rsidR="000C7575" w:rsidRPr="00091C6F" w:rsidRDefault="000C7575" w:rsidP="00091C6F">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091C6F" w:rsidRDefault="000C7575" w:rsidP="00091C6F">
      <w:pPr>
        <w:widowControl w:val="0"/>
        <w:autoSpaceDE w:val="0"/>
        <w:autoSpaceDN w:val="0"/>
        <w:adjustRightInd w:val="0"/>
        <w:spacing w:line="276" w:lineRule="auto"/>
        <w:contextualSpacing/>
        <w:jc w:val="both"/>
        <w:rPr>
          <w:rFonts w:ascii="Arial" w:hAnsi="Arial" w:cs="Arial"/>
          <w:color w:val="000000" w:themeColor="text1"/>
          <w:szCs w:val="24"/>
        </w:rPr>
      </w:pPr>
      <w:r w:rsidRPr="00091C6F">
        <w:rPr>
          <w:rFonts w:ascii="Arial" w:hAnsi="Arial" w:cs="Arial"/>
          <w:color w:val="000000" w:themeColor="text1"/>
          <w:szCs w:val="24"/>
        </w:rPr>
        <w:t>Quienes integran la Sala,</w:t>
      </w:r>
    </w:p>
    <w:p w14:paraId="4CE7F1F1"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7939959F"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312DE442"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489A763E"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68B70030" w14:textId="77777777" w:rsidR="00DF2F6D" w:rsidRPr="007268ED" w:rsidRDefault="00DF2F6D" w:rsidP="00DF2F6D">
      <w:pPr>
        <w:spacing w:line="300" w:lineRule="auto"/>
        <w:jc w:val="center"/>
        <w:rPr>
          <w:rFonts w:ascii="Arial" w:eastAsia="Calibri" w:hAnsi="Arial" w:cs="Arial"/>
          <w:b/>
          <w:szCs w:val="24"/>
          <w:lang w:val="es-ES" w:eastAsia="en-US"/>
        </w:rPr>
      </w:pPr>
      <w:r w:rsidRPr="007268ED">
        <w:rPr>
          <w:rFonts w:ascii="Arial" w:eastAsia="Calibri" w:hAnsi="Arial" w:cs="Arial"/>
          <w:b/>
          <w:szCs w:val="24"/>
          <w:lang w:val="es-ES" w:eastAsia="en-US"/>
        </w:rPr>
        <w:t>OLGA LUCÍA HOYOS SEPÚLVEDA</w:t>
      </w:r>
    </w:p>
    <w:p w14:paraId="4F8F1F35" w14:textId="77777777" w:rsidR="00DF2F6D" w:rsidRPr="007268ED" w:rsidRDefault="00DF2F6D" w:rsidP="00DF2F6D">
      <w:pPr>
        <w:spacing w:line="300" w:lineRule="auto"/>
        <w:jc w:val="center"/>
        <w:rPr>
          <w:rFonts w:ascii="Arial" w:eastAsia="Calibri" w:hAnsi="Arial" w:cs="Arial"/>
          <w:szCs w:val="24"/>
          <w:lang w:val="es-ES" w:eastAsia="en-US"/>
        </w:rPr>
      </w:pPr>
      <w:r w:rsidRPr="007268ED">
        <w:rPr>
          <w:rFonts w:ascii="Arial" w:eastAsia="Calibri" w:hAnsi="Arial" w:cs="Arial"/>
          <w:szCs w:val="24"/>
          <w:lang w:val="es-ES" w:eastAsia="en-US"/>
        </w:rPr>
        <w:t>Magistrada Ponente</w:t>
      </w:r>
    </w:p>
    <w:p w14:paraId="40AD1210"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4A9AD989"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319841ED"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3925DCD1" w14:textId="77777777" w:rsidR="00DF2F6D" w:rsidRPr="007268ED" w:rsidRDefault="00DF2F6D" w:rsidP="00DF2F6D">
      <w:pPr>
        <w:widowControl w:val="0"/>
        <w:autoSpaceDE w:val="0"/>
        <w:autoSpaceDN w:val="0"/>
        <w:adjustRightInd w:val="0"/>
        <w:spacing w:line="300" w:lineRule="auto"/>
        <w:jc w:val="both"/>
        <w:rPr>
          <w:rFonts w:ascii="Arial" w:hAnsi="Arial" w:cs="Arial"/>
          <w:szCs w:val="24"/>
        </w:rPr>
      </w:pPr>
    </w:p>
    <w:p w14:paraId="7C950ED8" w14:textId="77777777" w:rsidR="00DF2F6D" w:rsidRPr="007268ED" w:rsidRDefault="00DF2F6D" w:rsidP="00DF2F6D">
      <w:pPr>
        <w:spacing w:line="300" w:lineRule="auto"/>
        <w:rPr>
          <w:rFonts w:ascii="Arial" w:hAnsi="Arial" w:cs="Arial"/>
          <w:b/>
          <w:bCs/>
          <w:iCs/>
          <w:szCs w:val="24"/>
          <w:lang w:val="es-ES"/>
        </w:rPr>
      </w:pPr>
      <w:r w:rsidRPr="007268ED">
        <w:rPr>
          <w:rFonts w:ascii="Arial" w:hAnsi="Arial" w:cs="Arial"/>
          <w:b/>
          <w:bCs/>
          <w:iCs/>
          <w:szCs w:val="24"/>
          <w:lang w:val="es-ES"/>
        </w:rPr>
        <w:t>JULIO CÉSAR SALAZAR MUÑOZ</w:t>
      </w:r>
      <w:r w:rsidRPr="007268ED">
        <w:rPr>
          <w:rFonts w:ascii="Arial" w:hAnsi="Arial" w:cs="Arial"/>
          <w:szCs w:val="24"/>
          <w:lang w:val="es-ES"/>
        </w:rPr>
        <w:tab/>
      </w:r>
      <w:r w:rsidRPr="007268ED">
        <w:rPr>
          <w:rFonts w:ascii="Arial" w:hAnsi="Arial" w:cs="Arial"/>
          <w:b/>
          <w:bCs/>
          <w:iCs/>
          <w:szCs w:val="24"/>
          <w:lang w:val="es-ES"/>
        </w:rPr>
        <w:t>FRANCISCO JAVIER TAMAYO TABARES</w:t>
      </w:r>
    </w:p>
    <w:p w14:paraId="7DBD6A3E" w14:textId="77777777" w:rsidR="00DF2F6D" w:rsidRDefault="00DF2F6D" w:rsidP="00DF2F6D">
      <w:pPr>
        <w:spacing w:line="276" w:lineRule="auto"/>
        <w:contextualSpacing/>
        <w:jc w:val="both"/>
        <w:rPr>
          <w:rFonts w:ascii="Arial" w:hAnsi="Arial" w:cs="Arial"/>
          <w:szCs w:val="24"/>
        </w:rPr>
      </w:pPr>
      <w:r w:rsidRPr="00A42F1D">
        <w:rPr>
          <w:rFonts w:ascii="Arial" w:hAnsi="Arial" w:cs="Arial"/>
          <w:szCs w:val="24"/>
        </w:rPr>
        <w:t>Magistrado</w:t>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proofErr w:type="spellStart"/>
      <w:r w:rsidRPr="00A42F1D">
        <w:rPr>
          <w:rFonts w:ascii="Arial" w:hAnsi="Arial" w:cs="Arial"/>
          <w:szCs w:val="24"/>
        </w:rPr>
        <w:t>Magistrado</w:t>
      </w:r>
      <w:proofErr w:type="spellEnd"/>
    </w:p>
    <w:p w14:paraId="51E1BFA3" w14:textId="55D32F51" w:rsidR="006D7ECC" w:rsidRDefault="000C7575" w:rsidP="00DF2F6D">
      <w:pPr>
        <w:spacing w:line="276" w:lineRule="auto"/>
        <w:contextualSpacing/>
        <w:jc w:val="both"/>
        <w:rPr>
          <w:rFonts w:ascii="Arial" w:hAnsi="Arial" w:cs="Arial"/>
          <w:color w:val="000000" w:themeColor="text1"/>
          <w:szCs w:val="24"/>
        </w:rPr>
      </w:pPr>
      <w:r w:rsidRPr="00091C6F">
        <w:rPr>
          <w:rFonts w:ascii="Arial" w:hAnsi="Arial" w:cs="Arial"/>
          <w:color w:val="000000" w:themeColor="text1"/>
          <w:szCs w:val="24"/>
        </w:rPr>
        <w:t>Aclaración de voto</w:t>
      </w:r>
      <w:r w:rsidRPr="00091C6F">
        <w:rPr>
          <w:rFonts w:ascii="Arial" w:hAnsi="Arial" w:cs="Arial"/>
          <w:color w:val="000000" w:themeColor="text1"/>
          <w:szCs w:val="24"/>
        </w:rPr>
        <w:tab/>
      </w:r>
      <w:r w:rsidRPr="00091C6F">
        <w:rPr>
          <w:rFonts w:ascii="Arial" w:hAnsi="Arial" w:cs="Arial"/>
          <w:color w:val="000000" w:themeColor="text1"/>
          <w:szCs w:val="24"/>
        </w:rPr>
        <w:tab/>
      </w:r>
      <w:r w:rsidRPr="00091C6F">
        <w:rPr>
          <w:rFonts w:ascii="Arial" w:hAnsi="Arial" w:cs="Arial"/>
          <w:color w:val="000000" w:themeColor="text1"/>
          <w:szCs w:val="24"/>
        </w:rPr>
        <w:tab/>
      </w:r>
      <w:r w:rsidRPr="00091C6F">
        <w:rPr>
          <w:rFonts w:ascii="Arial" w:hAnsi="Arial" w:cs="Arial"/>
          <w:color w:val="000000" w:themeColor="text1"/>
          <w:szCs w:val="24"/>
        </w:rPr>
        <w:tab/>
        <w:t>Salvamento de voto</w:t>
      </w:r>
      <w:r w:rsidRPr="00091C6F">
        <w:rPr>
          <w:rFonts w:ascii="Arial" w:hAnsi="Arial" w:cs="Arial"/>
          <w:color w:val="000000" w:themeColor="text1"/>
          <w:szCs w:val="24"/>
        </w:rPr>
        <w:tab/>
      </w:r>
    </w:p>
    <w:p w14:paraId="3D9D88B0" w14:textId="77777777" w:rsidR="00B346B8" w:rsidRDefault="00B346B8" w:rsidP="00DF2F6D">
      <w:pPr>
        <w:spacing w:line="276" w:lineRule="auto"/>
        <w:contextualSpacing/>
        <w:jc w:val="both"/>
        <w:rPr>
          <w:rFonts w:ascii="Arial" w:hAnsi="Arial" w:cs="Arial"/>
          <w:color w:val="000000" w:themeColor="text1"/>
          <w:szCs w:val="24"/>
        </w:rPr>
      </w:pPr>
    </w:p>
    <w:p w14:paraId="5F918F31" w14:textId="6E2F4109" w:rsidR="00B346B8" w:rsidRDefault="00B346B8">
      <w:pPr>
        <w:spacing w:after="160" w:line="259" w:lineRule="auto"/>
        <w:rPr>
          <w:rFonts w:ascii="Arial" w:hAnsi="Arial" w:cs="Arial"/>
          <w:color w:val="000000" w:themeColor="text1"/>
          <w:szCs w:val="24"/>
        </w:rPr>
      </w:pPr>
      <w:r>
        <w:rPr>
          <w:rFonts w:ascii="Arial" w:hAnsi="Arial" w:cs="Arial"/>
          <w:color w:val="000000" w:themeColor="text1"/>
          <w:szCs w:val="24"/>
        </w:rPr>
        <w:br w:type="page"/>
      </w:r>
    </w:p>
    <w:p w14:paraId="4D5F6467" w14:textId="28EE53E8" w:rsidR="005A6624" w:rsidRPr="005A6624" w:rsidRDefault="005A6624" w:rsidP="005A6624">
      <w:pPr>
        <w:autoSpaceDE w:val="0"/>
        <w:autoSpaceDN w:val="0"/>
        <w:adjustRightInd w:val="0"/>
        <w:jc w:val="both"/>
        <w:rPr>
          <w:rFonts w:ascii="Arial" w:hAnsi="Arial" w:cs="Arial"/>
          <w:bCs/>
          <w:spacing w:val="2"/>
          <w:sz w:val="20"/>
          <w:lang w:val="es-CO"/>
        </w:rPr>
      </w:pPr>
      <w:r w:rsidRPr="005A6624">
        <w:rPr>
          <w:rFonts w:ascii="Arial" w:hAnsi="Arial" w:cs="Arial"/>
          <w:spacing w:val="2"/>
          <w:sz w:val="20"/>
          <w:lang w:val="es-ES"/>
        </w:rPr>
        <w:lastRenderedPageBreak/>
        <w:t>Radicación Nro.</w:t>
      </w:r>
      <w:r>
        <w:rPr>
          <w:rFonts w:ascii="Arial" w:hAnsi="Arial" w:cs="Arial"/>
          <w:spacing w:val="2"/>
          <w:sz w:val="20"/>
          <w:lang w:val="es-ES"/>
        </w:rPr>
        <w:t>:</w:t>
      </w:r>
      <w:r w:rsidRPr="005A6624">
        <w:rPr>
          <w:rFonts w:ascii="Arial" w:hAnsi="Arial" w:cs="Arial"/>
          <w:spacing w:val="2"/>
          <w:sz w:val="20"/>
          <w:lang w:val="es-ES"/>
        </w:rPr>
        <w:tab/>
      </w:r>
      <w:r w:rsidRPr="005A6624">
        <w:rPr>
          <w:rFonts w:ascii="Arial" w:hAnsi="Arial" w:cs="Arial"/>
          <w:bCs/>
          <w:spacing w:val="2"/>
          <w:sz w:val="20"/>
          <w:lang w:val="es-CO"/>
        </w:rPr>
        <w:t>Rad. 66001-31-05-005-2017-00433-01</w:t>
      </w:r>
    </w:p>
    <w:p w14:paraId="5F9B8F18" w14:textId="0E1BA040" w:rsidR="005A6624" w:rsidRPr="005A6624" w:rsidRDefault="005A6624" w:rsidP="005A6624">
      <w:pPr>
        <w:autoSpaceDE w:val="0"/>
        <w:autoSpaceDN w:val="0"/>
        <w:adjustRightInd w:val="0"/>
        <w:jc w:val="both"/>
        <w:rPr>
          <w:rFonts w:ascii="Arial" w:hAnsi="Arial" w:cs="Arial"/>
          <w:spacing w:val="2"/>
          <w:sz w:val="20"/>
          <w:lang w:val="es-ES"/>
        </w:rPr>
      </w:pPr>
      <w:r w:rsidRPr="005A6624">
        <w:rPr>
          <w:rFonts w:ascii="Arial" w:hAnsi="Arial" w:cs="Arial"/>
          <w:spacing w:val="2"/>
          <w:sz w:val="20"/>
          <w:lang w:val="es-ES"/>
        </w:rPr>
        <w:t>Proceso</w:t>
      </w:r>
      <w:r>
        <w:rPr>
          <w:rFonts w:ascii="Arial" w:hAnsi="Arial" w:cs="Arial"/>
          <w:spacing w:val="2"/>
          <w:sz w:val="20"/>
          <w:lang w:val="es-ES"/>
        </w:rPr>
        <w:t>:</w:t>
      </w:r>
      <w:r w:rsidRPr="005A6624">
        <w:rPr>
          <w:rFonts w:ascii="Arial" w:hAnsi="Arial" w:cs="Arial"/>
          <w:spacing w:val="2"/>
          <w:sz w:val="20"/>
          <w:lang w:val="es-ES"/>
        </w:rPr>
        <w:tab/>
      </w:r>
      <w:r w:rsidRPr="005A6624">
        <w:rPr>
          <w:rFonts w:ascii="Arial" w:hAnsi="Arial" w:cs="Arial"/>
          <w:spacing w:val="2"/>
          <w:sz w:val="20"/>
          <w:lang w:val="es-ES"/>
        </w:rPr>
        <w:tab/>
        <w:t>Ordinario Laboral</w:t>
      </w:r>
    </w:p>
    <w:p w14:paraId="6DCD7717" w14:textId="61FA5B3C" w:rsidR="005A6624" w:rsidRPr="005A6624" w:rsidRDefault="005A6624" w:rsidP="005A6624">
      <w:pPr>
        <w:autoSpaceDE w:val="0"/>
        <w:autoSpaceDN w:val="0"/>
        <w:adjustRightInd w:val="0"/>
        <w:jc w:val="both"/>
        <w:rPr>
          <w:rFonts w:ascii="Arial" w:hAnsi="Arial" w:cs="Arial"/>
          <w:spacing w:val="2"/>
          <w:sz w:val="20"/>
          <w:lang w:val="es-ES"/>
        </w:rPr>
      </w:pPr>
      <w:r w:rsidRPr="005A6624">
        <w:rPr>
          <w:rFonts w:ascii="Arial" w:hAnsi="Arial" w:cs="Arial"/>
          <w:spacing w:val="2"/>
          <w:sz w:val="20"/>
          <w:lang w:val="es-ES"/>
        </w:rPr>
        <w:t>Demandante:</w:t>
      </w:r>
      <w:r w:rsidRPr="005A6624">
        <w:rPr>
          <w:rFonts w:ascii="Arial" w:hAnsi="Arial" w:cs="Arial"/>
          <w:spacing w:val="2"/>
          <w:sz w:val="20"/>
          <w:lang w:val="es-ES"/>
        </w:rPr>
        <w:tab/>
      </w:r>
      <w:r w:rsidRPr="005A6624">
        <w:rPr>
          <w:rFonts w:ascii="Arial" w:hAnsi="Arial" w:cs="Arial"/>
          <w:spacing w:val="2"/>
          <w:sz w:val="20"/>
          <w:lang w:val="es-ES"/>
        </w:rPr>
        <w:tab/>
      </w:r>
      <w:r w:rsidRPr="005A6624">
        <w:rPr>
          <w:rFonts w:ascii="Arial" w:hAnsi="Arial" w:cs="Arial"/>
          <w:bCs/>
          <w:spacing w:val="2"/>
          <w:sz w:val="20"/>
          <w:lang w:val="es-CO"/>
        </w:rPr>
        <w:t>H</w:t>
      </w:r>
      <w:r>
        <w:rPr>
          <w:rFonts w:ascii="Arial" w:hAnsi="Arial" w:cs="Arial"/>
          <w:bCs/>
          <w:spacing w:val="2"/>
          <w:sz w:val="20"/>
          <w:lang w:val="es-CO"/>
        </w:rPr>
        <w:t>é</w:t>
      </w:r>
      <w:r w:rsidRPr="005A6624">
        <w:rPr>
          <w:rFonts w:ascii="Arial" w:hAnsi="Arial" w:cs="Arial"/>
          <w:bCs/>
          <w:spacing w:val="2"/>
          <w:sz w:val="20"/>
          <w:lang w:val="es-CO"/>
        </w:rPr>
        <w:t>ctor Fabio Zapata Calderón</w:t>
      </w:r>
    </w:p>
    <w:p w14:paraId="7E5E925B" w14:textId="1B1C6717" w:rsidR="005A6624" w:rsidRPr="005A6624" w:rsidRDefault="005A6624" w:rsidP="005A6624">
      <w:pPr>
        <w:autoSpaceDE w:val="0"/>
        <w:autoSpaceDN w:val="0"/>
        <w:adjustRightInd w:val="0"/>
        <w:jc w:val="both"/>
        <w:rPr>
          <w:rFonts w:ascii="Arial" w:eastAsia="Calibri" w:hAnsi="Arial" w:cs="Arial"/>
          <w:b/>
          <w:bCs/>
          <w:sz w:val="20"/>
          <w:lang w:val="es-ES" w:eastAsia="en-US"/>
        </w:rPr>
      </w:pPr>
      <w:r w:rsidRPr="005A6624">
        <w:rPr>
          <w:rFonts w:ascii="Arial" w:hAnsi="Arial" w:cs="Arial"/>
          <w:spacing w:val="2"/>
          <w:sz w:val="20"/>
          <w:lang w:val="es-ES"/>
        </w:rPr>
        <w:t>Demandados:</w:t>
      </w:r>
      <w:r w:rsidRPr="005A6624">
        <w:rPr>
          <w:rFonts w:ascii="Arial" w:hAnsi="Arial" w:cs="Arial"/>
          <w:spacing w:val="2"/>
          <w:sz w:val="20"/>
          <w:lang w:val="es-ES"/>
        </w:rPr>
        <w:tab/>
      </w:r>
      <w:r w:rsidRPr="005A6624">
        <w:rPr>
          <w:rFonts w:ascii="Arial" w:hAnsi="Arial" w:cs="Arial"/>
          <w:spacing w:val="2"/>
          <w:sz w:val="20"/>
          <w:lang w:val="es-ES"/>
        </w:rPr>
        <w:tab/>
      </w:r>
      <w:r w:rsidRPr="005A6624">
        <w:rPr>
          <w:rFonts w:ascii="Arial" w:hAnsi="Arial" w:cs="Arial"/>
          <w:bCs/>
          <w:spacing w:val="2"/>
          <w:sz w:val="20"/>
          <w:lang w:val="es-CO"/>
        </w:rPr>
        <w:t xml:space="preserve">AFP Protección S.A. y otro. </w:t>
      </w:r>
    </w:p>
    <w:p w14:paraId="0D21A792" w14:textId="77777777" w:rsidR="005A6624" w:rsidRDefault="005A6624" w:rsidP="005A6624">
      <w:pPr>
        <w:keepNext/>
        <w:outlineLvl w:val="2"/>
        <w:rPr>
          <w:rFonts w:ascii="Arial" w:eastAsia="Calibri" w:hAnsi="Arial" w:cs="Arial"/>
          <w:b/>
          <w:bCs/>
          <w:sz w:val="20"/>
          <w:lang w:val="es-ES" w:eastAsia="en-US"/>
        </w:rPr>
      </w:pPr>
    </w:p>
    <w:p w14:paraId="052C7D64" w14:textId="77777777" w:rsidR="00427F9D" w:rsidRPr="005A6624" w:rsidRDefault="00427F9D" w:rsidP="005A6624">
      <w:pPr>
        <w:keepNext/>
        <w:outlineLvl w:val="2"/>
        <w:rPr>
          <w:rFonts w:ascii="Arial" w:eastAsia="Calibri" w:hAnsi="Arial" w:cs="Arial"/>
          <w:b/>
          <w:bCs/>
          <w:sz w:val="20"/>
          <w:lang w:val="es-ES" w:eastAsia="en-US"/>
        </w:rPr>
      </w:pPr>
    </w:p>
    <w:p w14:paraId="5F263EEA" w14:textId="77777777" w:rsidR="005A6624" w:rsidRPr="005A6624" w:rsidRDefault="005A6624" w:rsidP="005A6624">
      <w:pPr>
        <w:keepNext/>
        <w:outlineLvl w:val="2"/>
        <w:rPr>
          <w:rFonts w:ascii="Arial" w:hAnsi="Arial" w:cs="Arial"/>
          <w:sz w:val="20"/>
        </w:rPr>
      </w:pPr>
    </w:p>
    <w:p w14:paraId="51D89AC8" w14:textId="77777777" w:rsidR="005A6624" w:rsidRPr="00BF0B47" w:rsidRDefault="005A6624" w:rsidP="005A6624">
      <w:pPr>
        <w:keepNext/>
        <w:jc w:val="center"/>
        <w:outlineLvl w:val="2"/>
        <w:rPr>
          <w:rFonts w:ascii="Arial" w:hAnsi="Arial" w:cs="Arial"/>
          <w:b/>
          <w:szCs w:val="24"/>
        </w:rPr>
      </w:pPr>
      <w:r w:rsidRPr="00BF0B47">
        <w:rPr>
          <w:rFonts w:ascii="Arial" w:hAnsi="Arial" w:cs="Arial"/>
          <w:b/>
          <w:szCs w:val="24"/>
        </w:rPr>
        <w:t>TRIBUNAL SUPERIOR DEL DISTRITO JUDICIAL</w:t>
      </w:r>
    </w:p>
    <w:p w14:paraId="7DB6D61A" w14:textId="77777777" w:rsidR="005A6624" w:rsidRPr="00BF0B47" w:rsidRDefault="005A6624" w:rsidP="005A6624">
      <w:pPr>
        <w:jc w:val="center"/>
        <w:rPr>
          <w:rFonts w:ascii="Arial" w:eastAsia="Calibri" w:hAnsi="Arial" w:cs="Arial"/>
          <w:b/>
          <w:szCs w:val="24"/>
          <w:lang w:val="es-CO" w:eastAsia="en-US"/>
        </w:rPr>
      </w:pPr>
    </w:p>
    <w:p w14:paraId="6A408F6A" w14:textId="77777777" w:rsidR="005A6624" w:rsidRPr="00BF0B47" w:rsidRDefault="005A6624" w:rsidP="005A6624">
      <w:pPr>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49CACBF8" w14:textId="77777777" w:rsidR="005A6624" w:rsidRPr="00BF0B47" w:rsidRDefault="005A6624" w:rsidP="005A6624">
      <w:pPr>
        <w:jc w:val="center"/>
        <w:rPr>
          <w:rFonts w:ascii="Arial" w:hAnsi="Arial" w:cs="Arial"/>
          <w:b/>
          <w:szCs w:val="24"/>
        </w:rPr>
      </w:pPr>
    </w:p>
    <w:p w14:paraId="03FFC99B" w14:textId="77777777" w:rsidR="005A6624" w:rsidRPr="00BF0B47" w:rsidRDefault="005A6624" w:rsidP="005A6624">
      <w:pPr>
        <w:jc w:val="center"/>
        <w:rPr>
          <w:rFonts w:ascii="Arial" w:hAnsi="Arial" w:cs="Arial"/>
          <w:b/>
          <w:szCs w:val="24"/>
        </w:rPr>
      </w:pPr>
      <w:r w:rsidRPr="00BF0B47">
        <w:rPr>
          <w:rFonts w:ascii="Arial" w:hAnsi="Arial" w:cs="Arial"/>
          <w:b/>
          <w:szCs w:val="24"/>
        </w:rPr>
        <w:t xml:space="preserve">MAGISTRADO: JULIO CÉSAR SALAZAR MUÑOZ </w:t>
      </w:r>
    </w:p>
    <w:p w14:paraId="06E5F0FD" w14:textId="77777777" w:rsidR="005A6624" w:rsidRPr="00BF0B47" w:rsidRDefault="005A6624" w:rsidP="005A6624">
      <w:pPr>
        <w:jc w:val="center"/>
        <w:rPr>
          <w:rFonts w:ascii="Arial" w:hAnsi="Arial" w:cs="Arial"/>
          <w:b/>
          <w:szCs w:val="24"/>
        </w:rPr>
      </w:pPr>
    </w:p>
    <w:p w14:paraId="3E5ADDCC" w14:textId="12E187AE" w:rsidR="005A6624" w:rsidRPr="00BF0B47" w:rsidRDefault="005A6624" w:rsidP="005A6624">
      <w:pPr>
        <w:jc w:val="center"/>
        <w:rPr>
          <w:rFonts w:ascii="Arial" w:hAnsi="Arial" w:cs="Arial"/>
          <w:b/>
          <w:szCs w:val="24"/>
        </w:rPr>
      </w:pPr>
      <w:r>
        <w:rPr>
          <w:rFonts w:ascii="Arial" w:hAnsi="Arial" w:cs="Arial"/>
          <w:b/>
          <w:szCs w:val="24"/>
        </w:rPr>
        <w:t>Ju</w:t>
      </w:r>
      <w:r w:rsidR="00427F9D">
        <w:rPr>
          <w:rFonts w:ascii="Arial" w:hAnsi="Arial" w:cs="Arial"/>
          <w:b/>
          <w:szCs w:val="24"/>
        </w:rPr>
        <w:t>lio 2</w:t>
      </w:r>
      <w:r>
        <w:rPr>
          <w:rFonts w:ascii="Arial" w:hAnsi="Arial" w:cs="Arial"/>
          <w:b/>
          <w:szCs w:val="24"/>
        </w:rPr>
        <w:t xml:space="preserve"> </w:t>
      </w:r>
      <w:r w:rsidRPr="00BF0B47">
        <w:rPr>
          <w:rFonts w:ascii="Arial" w:hAnsi="Arial" w:cs="Arial"/>
          <w:b/>
          <w:szCs w:val="24"/>
        </w:rPr>
        <w:t>de 2019</w:t>
      </w:r>
    </w:p>
    <w:p w14:paraId="3EFBA451" w14:textId="77777777" w:rsidR="005A6624" w:rsidRPr="00BF0B47" w:rsidRDefault="005A6624" w:rsidP="005A6624">
      <w:pPr>
        <w:jc w:val="center"/>
        <w:rPr>
          <w:rFonts w:ascii="Arial" w:hAnsi="Arial" w:cs="Arial"/>
          <w:b/>
          <w:szCs w:val="24"/>
        </w:rPr>
      </w:pPr>
    </w:p>
    <w:p w14:paraId="56DB7CA9" w14:textId="77777777" w:rsidR="005A6624" w:rsidRPr="0037589F" w:rsidRDefault="005A6624" w:rsidP="005A6624">
      <w:pPr>
        <w:jc w:val="center"/>
        <w:rPr>
          <w:rFonts w:ascii="Arial" w:hAnsi="Arial" w:cs="Arial"/>
          <w:b/>
          <w:szCs w:val="24"/>
        </w:rPr>
      </w:pPr>
      <w:r w:rsidRPr="0037589F">
        <w:rPr>
          <w:rFonts w:ascii="Arial" w:hAnsi="Arial" w:cs="Arial"/>
          <w:b/>
          <w:szCs w:val="24"/>
        </w:rPr>
        <w:t>ACLARACIÓN DE VOTO</w:t>
      </w:r>
    </w:p>
    <w:p w14:paraId="3D4A32F1" w14:textId="77777777" w:rsidR="005A6624" w:rsidRPr="0037589F" w:rsidRDefault="005A6624" w:rsidP="005A6624">
      <w:pPr>
        <w:suppressAutoHyphens/>
        <w:spacing w:line="288" w:lineRule="auto"/>
        <w:jc w:val="both"/>
        <w:rPr>
          <w:rFonts w:ascii="Arial" w:hAnsi="Arial" w:cs="Arial"/>
          <w:szCs w:val="24"/>
        </w:rPr>
      </w:pPr>
    </w:p>
    <w:p w14:paraId="72060A2A" w14:textId="3EDBB0C4" w:rsidR="005A6624" w:rsidRDefault="00427F9D" w:rsidP="005A6624">
      <w:pPr>
        <w:suppressAutoHyphens/>
        <w:spacing w:line="288" w:lineRule="auto"/>
        <w:jc w:val="both"/>
        <w:rPr>
          <w:rFonts w:ascii="Arial" w:hAnsi="Arial" w:cs="Arial"/>
          <w:spacing w:val="-2"/>
          <w:szCs w:val="24"/>
        </w:rPr>
      </w:pPr>
      <w:r w:rsidRPr="00427F9D">
        <w:rPr>
          <w:rFonts w:ascii="Arial" w:hAnsi="Arial" w:cs="Arial"/>
          <w:spacing w:val="-2"/>
          <w:szCs w:val="24"/>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0D1935C9" w14:textId="77777777" w:rsidR="00427F9D" w:rsidRPr="00BF0B47" w:rsidRDefault="00427F9D" w:rsidP="005A6624">
      <w:pPr>
        <w:suppressAutoHyphens/>
        <w:spacing w:line="288" w:lineRule="auto"/>
        <w:jc w:val="both"/>
        <w:rPr>
          <w:rFonts w:ascii="Arial" w:hAnsi="Arial" w:cs="Arial"/>
          <w:spacing w:val="-2"/>
          <w:szCs w:val="24"/>
        </w:rPr>
      </w:pPr>
    </w:p>
    <w:p w14:paraId="3FAD81B0" w14:textId="331766CD" w:rsidR="005A6624" w:rsidRPr="00427F9D" w:rsidRDefault="00427F9D" w:rsidP="00427F9D">
      <w:pPr>
        <w:suppressAutoHyphens/>
        <w:spacing w:line="288" w:lineRule="auto"/>
        <w:jc w:val="both"/>
        <w:rPr>
          <w:rFonts w:ascii="Arial" w:hAnsi="Arial" w:cs="Arial"/>
          <w:spacing w:val="-2"/>
          <w:szCs w:val="24"/>
        </w:rPr>
      </w:pPr>
      <w:r w:rsidRPr="00427F9D">
        <w:rPr>
          <w:rFonts w:ascii="Arial" w:hAnsi="Arial" w:cs="Arial"/>
          <w:spacing w:val="-2"/>
          <w:szCs w:val="24"/>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187BAEEF" w14:textId="77777777" w:rsidR="00427F9D" w:rsidRDefault="00427F9D" w:rsidP="005A6624">
      <w:pPr>
        <w:spacing w:line="288" w:lineRule="auto"/>
        <w:ind w:right="51"/>
        <w:jc w:val="both"/>
        <w:rPr>
          <w:rFonts w:ascii="Arial" w:hAnsi="Arial" w:cs="Arial"/>
          <w:iCs/>
          <w:szCs w:val="24"/>
        </w:rPr>
      </w:pPr>
    </w:p>
    <w:p w14:paraId="7E550D7B" w14:textId="77777777" w:rsidR="005A6624" w:rsidRPr="00BF0B47" w:rsidRDefault="005A6624" w:rsidP="005A6624">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1FF33201" w14:textId="77777777" w:rsidR="005A6624" w:rsidRPr="00BF0B47" w:rsidRDefault="005A6624" w:rsidP="005A6624">
      <w:pPr>
        <w:tabs>
          <w:tab w:val="left" w:pos="8222"/>
        </w:tabs>
        <w:spacing w:line="288" w:lineRule="auto"/>
        <w:ind w:left="426" w:right="476"/>
        <w:jc w:val="both"/>
        <w:rPr>
          <w:rFonts w:ascii="Arial" w:hAnsi="Arial" w:cs="Arial"/>
          <w:iCs/>
          <w:szCs w:val="24"/>
        </w:rPr>
      </w:pPr>
    </w:p>
    <w:p w14:paraId="4FD20FD4"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48B60C16" w14:textId="77777777" w:rsidR="005A6624" w:rsidRPr="00BF0B47" w:rsidRDefault="005A6624" w:rsidP="005A6624">
      <w:pPr>
        <w:suppressAutoHyphens/>
        <w:spacing w:line="288" w:lineRule="auto"/>
        <w:jc w:val="both"/>
        <w:rPr>
          <w:rFonts w:ascii="Arial" w:hAnsi="Arial" w:cs="Arial"/>
          <w:spacing w:val="-2"/>
          <w:szCs w:val="24"/>
        </w:rPr>
      </w:pPr>
    </w:p>
    <w:p w14:paraId="0AFA7A31"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462E673E" w14:textId="77777777" w:rsidR="005A6624" w:rsidRPr="00BF0B47" w:rsidRDefault="005A6624" w:rsidP="005A6624">
      <w:pPr>
        <w:suppressAutoHyphens/>
        <w:spacing w:line="288" w:lineRule="auto"/>
        <w:jc w:val="both"/>
        <w:rPr>
          <w:rFonts w:ascii="Arial" w:hAnsi="Arial" w:cs="Arial"/>
          <w:spacing w:val="-2"/>
          <w:szCs w:val="24"/>
        </w:rPr>
      </w:pPr>
    </w:p>
    <w:p w14:paraId="7D3B8D43" w14:textId="77777777" w:rsidR="005A6624" w:rsidRPr="009F6B6D" w:rsidRDefault="005A6624" w:rsidP="005A6624">
      <w:pPr>
        <w:pStyle w:val="Prrafodelista"/>
        <w:numPr>
          <w:ilvl w:val="0"/>
          <w:numId w:val="12"/>
        </w:numPr>
        <w:spacing w:line="288" w:lineRule="auto"/>
        <w:jc w:val="both"/>
        <w:rPr>
          <w:rFonts w:ascii="Arial" w:hAnsi="Arial" w:cs="Arial"/>
          <w:b/>
          <w:szCs w:val="24"/>
        </w:rPr>
      </w:pPr>
      <w:r w:rsidRPr="009F6B6D">
        <w:rPr>
          <w:rFonts w:ascii="Arial" w:hAnsi="Arial" w:cs="Arial"/>
          <w:b/>
          <w:szCs w:val="24"/>
        </w:rPr>
        <w:t>CONFIGURACIÓN LEGAL DUAL VIGENTE DEL SISTEMA PENSIONAL</w:t>
      </w:r>
    </w:p>
    <w:p w14:paraId="70A73813" w14:textId="77777777" w:rsidR="005A6624" w:rsidRPr="00BF0B47" w:rsidRDefault="005A6624" w:rsidP="005A6624">
      <w:pPr>
        <w:suppressAutoHyphens/>
        <w:spacing w:line="288" w:lineRule="auto"/>
        <w:ind w:left="720"/>
        <w:jc w:val="both"/>
        <w:rPr>
          <w:rFonts w:ascii="Arial" w:hAnsi="Arial" w:cs="Arial"/>
          <w:b/>
          <w:spacing w:val="-2"/>
          <w:szCs w:val="24"/>
        </w:rPr>
      </w:pPr>
    </w:p>
    <w:p w14:paraId="5A1F311A" w14:textId="77777777" w:rsidR="005A6624" w:rsidRPr="00BF0B47" w:rsidRDefault="005A6624" w:rsidP="005A6624">
      <w:pPr>
        <w:suppressAutoHyphens/>
        <w:spacing w:line="288" w:lineRule="auto"/>
        <w:jc w:val="both"/>
        <w:rPr>
          <w:rFonts w:ascii="Arial" w:hAnsi="Arial" w:cs="Arial"/>
          <w:b/>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79ABAA8D" w14:textId="77777777" w:rsidR="005A6624" w:rsidRPr="00BF0B47" w:rsidRDefault="005A6624" w:rsidP="005A6624">
      <w:pPr>
        <w:suppressAutoHyphens/>
        <w:spacing w:line="288" w:lineRule="auto"/>
        <w:jc w:val="both"/>
        <w:rPr>
          <w:rFonts w:ascii="Arial" w:hAnsi="Arial" w:cs="Arial"/>
          <w:spacing w:val="-2"/>
          <w:szCs w:val="24"/>
        </w:rPr>
      </w:pPr>
    </w:p>
    <w:p w14:paraId="49BAE9F2"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22ADB32C" w14:textId="77777777" w:rsidR="005A6624" w:rsidRPr="00BF0B47" w:rsidRDefault="005A6624" w:rsidP="005A6624">
      <w:pPr>
        <w:suppressAutoHyphens/>
        <w:spacing w:line="288" w:lineRule="auto"/>
        <w:jc w:val="both"/>
        <w:rPr>
          <w:rFonts w:ascii="Arial" w:hAnsi="Arial" w:cs="Arial"/>
          <w:spacing w:val="-2"/>
          <w:szCs w:val="24"/>
        </w:rPr>
      </w:pPr>
    </w:p>
    <w:p w14:paraId="7CBF52AE"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52D3EA26" w14:textId="77777777" w:rsidR="005A6624" w:rsidRPr="00BF0B47" w:rsidRDefault="005A6624" w:rsidP="005A6624">
      <w:pPr>
        <w:spacing w:line="288" w:lineRule="auto"/>
        <w:ind w:right="51"/>
        <w:jc w:val="both"/>
        <w:rPr>
          <w:rFonts w:ascii="Arial" w:hAnsi="Arial" w:cs="Arial"/>
          <w:spacing w:val="-2"/>
          <w:szCs w:val="24"/>
        </w:rPr>
      </w:pPr>
    </w:p>
    <w:p w14:paraId="26CAA745"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REGÍMENES PENSIONALES COEXISTENTES</w:t>
      </w:r>
    </w:p>
    <w:p w14:paraId="477FD862" w14:textId="77777777" w:rsidR="005A6624" w:rsidRPr="00BF0B47" w:rsidRDefault="005A6624" w:rsidP="005A6624">
      <w:pPr>
        <w:spacing w:line="288" w:lineRule="auto"/>
        <w:ind w:right="51"/>
        <w:jc w:val="both"/>
        <w:rPr>
          <w:rFonts w:ascii="Arial" w:hAnsi="Arial" w:cs="Arial"/>
          <w:iCs/>
          <w:szCs w:val="24"/>
        </w:rPr>
      </w:pPr>
    </w:p>
    <w:p w14:paraId="0E9D0B09"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39BD0D2B" w14:textId="77777777" w:rsidR="005A6624" w:rsidRPr="00BF0B47" w:rsidRDefault="005A6624" w:rsidP="005A6624">
      <w:pPr>
        <w:spacing w:line="288" w:lineRule="auto"/>
        <w:ind w:right="51"/>
        <w:jc w:val="both"/>
        <w:rPr>
          <w:rFonts w:ascii="Arial" w:hAnsi="Arial" w:cs="Arial"/>
          <w:iCs/>
          <w:szCs w:val="24"/>
        </w:rPr>
      </w:pPr>
    </w:p>
    <w:p w14:paraId="24AF0D9A"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6AA9A4C2" w14:textId="77777777" w:rsidR="005A6624" w:rsidRPr="00BF0B47" w:rsidRDefault="005A6624" w:rsidP="005A6624">
      <w:pPr>
        <w:spacing w:line="288" w:lineRule="auto"/>
        <w:ind w:right="51"/>
        <w:jc w:val="both"/>
        <w:rPr>
          <w:rFonts w:ascii="Arial" w:hAnsi="Arial" w:cs="Arial"/>
          <w:iCs/>
          <w:szCs w:val="24"/>
        </w:rPr>
      </w:pPr>
    </w:p>
    <w:p w14:paraId="0922A230"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lastRenderedPageBreak/>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10B4BAA5" w14:textId="77777777" w:rsidR="005A6624" w:rsidRPr="00BF0B47" w:rsidRDefault="005A6624" w:rsidP="005A6624">
      <w:pPr>
        <w:spacing w:line="288" w:lineRule="auto"/>
        <w:ind w:right="51"/>
        <w:jc w:val="both"/>
        <w:rPr>
          <w:rFonts w:ascii="Arial" w:hAnsi="Arial" w:cs="Arial"/>
          <w:iCs/>
          <w:szCs w:val="24"/>
        </w:rPr>
      </w:pPr>
    </w:p>
    <w:p w14:paraId="0069100E"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5999A0D5" w14:textId="77777777" w:rsidR="005A6624" w:rsidRPr="00BF0B47" w:rsidRDefault="005A6624" w:rsidP="005A6624">
      <w:pPr>
        <w:spacing w:line="288" w:lineRule="auto"/>
        <w:ind w:right="51"/>
        <w:jc w:val="both"/>
        <w:rPr>
          <w:rFonts w:ascii="Arial" w:hAnsi="Arial" w:cs="Arial"/>
          <w:iCs/>
          <w:szCs w:val="24"/>
        </w:rPr>
      </w:pPr>
    </w:p>
    <w:p w14:paraId="75BBEA9C" w14:textId="77777777" w:rsidR="005A6624" w:rsidRPr="00BF0B47" w:rsidRDefault="005A6624" w:rsidP="005A6624">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45246C17" w14:textId="77777777" w:rsidR="005A6624" w:rsidRPr="00BF0B47" w:rsidRDefault="005A6624" w:rsidP="005A6624">
      <w:pPr>
        <w:spacing w:line="288" w:lineRule="auto"/>
        <w:ind w:right="51"/>
        <w:jc w:val="both"/>
        <w:rPr>
          <w:rFonts w:ascii="Arial" w:hAnsi="Arial" w:cs="Arial"/>
          <w:iCs/>
          <w:szCs w:val="24"/>
        </w:rPr>
      </w:pPr>
    </w:p>
    <w:p w14:paraId="21538D4B"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entre otras cosas porque la nueva legislación parte de la base de que existe una abierta y libre competencia entre Administradoras públicas y privadas por el mercado de la administración de los riesgos de IVM.</w:t>
      </w:r>
    </w:p>
    <w:p w14:paraId="1D602F0B" w14:textId="77777777" w:rsidR="005A6624" w:rsidRPr="00BF0B47" w:rsidRDefault="005A6624" w:rsidP="005A6624">
      <w:pPr>
        <w:suppressAutoHyphens/>
        <w:spacing w:line="288" w:lineRule="auto"/>
        <w:jc w:val="both"/>
        <w:rPr>
          <w:rFonts w:ascii="Arial" w:hAnsi="Arial" w:cs="Arial"/>
          <w:spacing w:val="-2"/>
          <w:szCs w:val="24"/>
        </w:rPr>
      </w:pPr>
    </w:p>
    <w:p w14:paraId="0DF986B3"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lastRenderedPageBreak/>
        <w:t>-</w:t>
      </w:r>
      <w:r>
        <w:rPr>
          <w:rFonts w:ascii="Arial" w:hAnsi="Arial" w:cs="Arial"/>
          <w:iCs/>
          <w:szCs w:val="24"/>
        </w:rPr>
        <w:t xml:space="preserve"> </w:t>
      </w:r>
      <w:r w:rsidRPr="00BF0B47">
        <w:rPr>
          <w:rFonts w:ascii="Arial" w:hAnsi="Arial" w:cs="Arial"/>
          <w:iCs/>
          <w:szCs w:val="24"/>
        </w:rPr>
        <w:t>REALIDAD NORMATIVA SOBRE LA SUPUESTA FALTA DE INFORMACIÓN QUE GENERA LA INEFICACIA DE LOS TRASLADOS (ARTÍCULO 11 DEL DECRETO 692 DE 1994 HOY 2.2.2.1.8 DEL D.U.R 1833/2016)</w:t>
      </w:r>
    </w:p>
    <w:p w14:paraId="38B1425E" w14:textId="77777777" w:rsidR="005A6624" w:rsidRPr="00BF0B47" w:rsidRDefault="005A6624" w:rsidP="005A6624">
      <w:pPr>
        <w:spacing w:line="288" w:lineRule="auto"/>
        <w:ind w:right="51"/>
        <w:jc w:val="both"/>
        <w:rPr>
          <w:rFonts w:ascii="Arial" w:hAnsi="Arial" w:cs="Arial"/>
          <w:b/>
          <w:iCs/>
          <w:szCs w:val="24"/>
        </w:rPr>
      </w:pPr>
    </w:p>
    <w:p w14:paraId="034BD29D"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0EDB88EF" w14:textId="77777777" w:rsidR="005A6624" w:rsidRPr="00BF0B47" w:rsidRDefault="005A6624" w:rsidP="005A6624">
      <w:pPr>
        <w:spacing w:line="288" w:lineRule="auto"/>
        <w:ind w:right="51"/>
        <w:jc w:val="both"/>
        <w:rPr>
          <w:rFonts w:ascii="Arial" w:hAnsi="Arial" w:cs="Arial"/>
          <w:iCs/>
          <w:szCs w:val="24"/>
        </w:rPr>
      </w:pPr>
    </w:p>
    <w:p w14:paraId="1720FFA3"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67FBCD47" w14:textId="77777777" w:rsidR="005A6624" w:rsidRPr="00BF0B47" w:rsidRDefault="005A6624" w:rsidP="005A6624">
      <w:pPr>
        <w:spacing w:line="288" w:lineRule="auto"/>
        <w:ind w:right="51"/>
        <w:jc w:val="both"/>
        <w:rPr>
          <w:rFonts w:ascii="Arial" w:hAnsi="Arial" w:cs="Arial"/>
          <w:iCs/>
          <w:szCs w:val="24"/>
        </w:rPr>
      </w:pPr>
    </w:p>
    <w:p w14:paraId="41FF1E6B"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2" w:name="11"/>
      <w:bookmarkEnd w:id="2"/>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733ED1D9" w14:textId="77777777" w:rsidR="005A6624" w:rsidRPr="00BF0B47" w:rsidRDefault="005A6624" w:rsidP="005A6624">
      <w:pPr>
        <w:ind w:left="426" w:right="476"/>
        <w:jc w:val="both"/>
        <w:rPr>
          <w:rFonts w:ascii="Arial" w:hAnsi="Arial" w:cs="Arial"/>
          <w:iCs/>
          <w:sz w:val="22"/>
          <w:szCs w:val="24"/>
        </w:rPr>
      </w:pPr>
    </w:p>
    <w:p w14:paraId="4C057003"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07A6F870" w14:textId="77777777" w:rsidR="005A6624" w:rsidRPr="00BF0B47" w:rsidRDefault="005A6624" w:rsidP="005A6624">
      <w:pPr>
        <w:ind w:left="426" w:right="476"/>
        <w:jc w:val="both"/>
        <w:rPr>
          <w:rFonts w:ascii="Arial" w:hAnsi="Arial" w:cs="Arial"/>
          <w:iCs/>
          <w:sz w:val="22"/>
          <w:szCs w:val="24"/>
        </w:rPr>
      </w:pPr>
    </w:p>
    <w:p w14:paraId="2B958FE5"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23BE084E" w14:textId="77777777" w:rsidR="005A6624" w:rsidRPr="00BF0B47" w:rsidRDefault="005A6624" w:rsidP="005A6624">
      <w:pPr>
        <w:ind w:left="426" w:right="476"/>
        <w:jc w:val="both"/>
        <w:rPr>
          <w:rFonts w:ascii="Arial" w:hAnsi="Arial" w:cs="Arial"/>
          <w:iCs/>
          <w:sz w:val="22"/>
          <w:szCs w:val="24"/>
        </w:rPr>
      </w:pPr>
    </w:p>
    <w:p w14:paraId="4C515015"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667A14DC" w14:textId="77777777" w:rsidR="005A6624" w:rsidRPr="00BF0B47" w:rsidRDefault="005A6624" w:rsidP="005A6624">
      <w:pPr>
        <w:ind w:left="426" w:right="476"/>
        <w:jc w:val="both"/>
        <w:rPr>
          <w:rFonts w:ascii="Arial" w:hAnsi="Arial" w:cs="Arial"/>
          <w:iCs/>
          <w:sz w:val="22"/>
          <w:szCs w:val="24"/>
        </w:rPr>
      </w:pPr>
    </w:p>
    <w:p w14:paraId="747F36F4"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4F6C1238" w14:textId="77777777" w:rsidR="005A6624" w:rsidRPr="00BF0B47" w:rsidRDefault="005A6624" w:rsidP="005A6624">
      <w:pPr>
        <w:ind w:left="426" w:right="476"/>
        <w:jc w:val="both"/>
        <w:rPr>
          <w:rFonts w:ascii="Arial" w:hAnsi="Arial" w:cs="Arial"/>
          <w:iCs/>
          <w:sz w:val="22"/>
          <w:szCs w:val="24"/>
        </w:rPr>
      </w:pPr>
    </w:p>
    <w:p w14:paraId="0003D79F"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2E73AA1B" w14:textId="77777777" w:rsidR="005A6624" w:rsidRPr="00BF0B47" w:rsidRDefault="005A6624" w:rsidP="005A6624">
      <w:pPr>
        <w:ind w:left="426" w:right="476"/>
        <w:jc w:val="both"/>
        <w:rPr>
          <w:rFonts w:ascii="Arial" w:hAnsi="Arial" w:cs="Arial"/>
          <w:iCs/>
          <w:sz w:val="22"/>
          <w:szCs w:val="24"/>
        </w:rPr>
      </w:pPr>
    </w:p>
    <w:p w14:paraId="2651A242"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b) Nombre o razón social y NIT del empleador;</w:t>
      </w:r>
    </w:p>
    <w:p w14:paraId="24CA741D" w14:textId="77777777" w:rsidR="005A6624" w:rsidRPr="00BF0B47" w:rsidRDefault="005A6624" w:rsidP="005A6624">
      <w:pPr>
        <w:ind w:left="426" w:right="476"/>
        <w:jc w:val="both"/>
        <w:rPr>
          <w:rFonts w:ascii="Arial" w:hAnsi="Arial" w:cs="Arial"/>
          <w:iCs/>
          <w:sz w:val="22"/>
          <w:szCs w:val="24"/>
        </w:rPr>
      </w:pPr>
    </w:p>
    <w:p w14:paraId="05D54C3A"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62D9F412" w14:textId="77777777" w:rsidR="005A6624" w:rsidRPr="00BF0B47" w:rsidRDefault="005A6624" w:rsidP="005A6624">
      <w:pPr>
        <w:ind w:left="426" w:right="476"/>
        <w:jc w:val="both"/>
        <w:rPr>
          <w:rFonts w:ascii="Arial" w:hAnsi="Arial" w:cs="Arial"/>
          <w:iCs/>
          <w:sz w:val="22"/>
          <w:szCs w:val="24"/>
        </w:rPr>
      </w:pPr>
    </w:p>
    <w:p w14:paraId="5E753210"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d) Número de cédula o NIT del afiliado;</w:t>
      </w:r>
    </w:p>
    <w:p w14:paraId="510E77F6" w14:textId="77777777" w:rsidR="005A6624" w:rsidRPr="00BF0B47" w:rsidRDefault="005A6624" w:rsidP="005A6624">
      <w:pPr>
        <w:ind w:left="426" w:right="476"/>
        <w:jc w:val="both"/>
        <w:rPr>
          <w:rFonts w:ascii="Arial" w:hAnsi="Arial" w:cs="Arial"/>
          <w:iCs/>
          <w:sz w:val="22"/>
          <w:szCs w:val="24"/>
        </w:rPr>
      </w:pPr>
    </w:p>
    <w:p w14:paraId="331D04A4"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e) Entidad administradora del régimen de pensiones a la cual desea afiliarse, la cual podrá estar preimpresa;</w:t>
      </w:r>
    </w:p>
    <w:p w14:paraId="7B47CD1C" w14:textId="77777777" w:rsidR="005A6624" w:rsidRPr="00BF0B47" w:rsidRDefault="005A6624" w:rsidP="005A6624">
      <w:pPr>
        <w:ind w:left="426" w:right="476"/>
        <w:jc w:val="both"/>
        <w:rPr>
          <w:rFonts w:ascii="Arial" w:hAnsi="Arial" w:cs="Arial"/>
          <w:iCs/>
          <w:sz w:val="22"/>
          <w:szCs w:val="24"/>
        </w:rPr>
      </w:pPr>
    </w:p>
    <w:p w14:paraId="0C949A98"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3BFB7097" w14:textId="77777777" w:rsidR="005A6624" w:rsidRPr="00BF0B47" w:rsidRDefault="005A6624" w:rsidP="005A6624">
      <w:pPr>
        <w:ind w:left="426" w:right="476"/>
        <w:jc w:val="both"/>
        <w:rPr>
          <w:rFonts w:ascii="Arial" w:hAnsi="Arial" w:cs="Arial"/>
          <w:iCs/>
          <w:sz w:val="22"/>
          <w:szCs w:val="24"/>
        </w:rPr>
      </w:pPr>
    </w:p>
    <w:p w14:paraId="381B339D"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0697D0F3" w14:textId="77777777" w:rsidR="005A6624" w:rsidRPr="00BF0B47" w:rsidRDefault="005A6624" w:rsidP="005A6624">
      <w:pPr>
        <w:ind w:left="426" w:right="476"/>
        <w:jc w:val="both"/>
        <w:rPr>
          <w:rFonts w:ascii="Arial" w:hAnsi="Arial" w:cs="Arial"/>
          <w:iCs/>
          <w:sz w:val="22"/>
          <w:szCs w:val="24"/>
        </w:rPr>
      </w:pPr>
    </w:p>
    <w:p w14:paraId="0937B5A0" w14:textId="77777777" w:rsidR="005A6624" w:rsidRPr="00BF0B47" w:rsidRDefault="005A6624" w:rsidP="005A6624">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393F6935" w14:textId="77777777" w:rsidR="005A6624" w:rsidRPr="00BF0B47" w:rsidRDefault="005A6624" w:rsidP="005A6624">
      <w:pPr>
        <w:ind w:left="426" w:right="476"/>
        <w:jc w:val="both"/>
        <w:rPr>
          <w:rFonts w:ascii="Arial" w:hAnsi="Arial" w:cs="Arial"/>
          <w:iCs/>
          <w:sz w:val="22"/>
          <w:szCs w:val="24"/>
        </w:rPr>
      </w:pPr>
    </w:p>
    <w:p w14:paraId="50B3E4EE" w14:textId="77777777" w:rsidR="005A6624" w:rsidRPr="00BF0B47" w:rsidRDefault="005A6624" w:rsidP="005A6624">
      <w:pPr>
        <w:ind w:left="426" w:right="476"/>
        <w:jc w:val="both"/>
        <w:rPr>
          <w:rFonts w:ascii="Arial" w:hAnsi="Arial" w:cs="Arial"/>
          <w:iCs/>
          <w:sz w:val="22"/>
          <w:szCs w:val="24"/>
        </w:rPr>
      </w:pPr>
      <w:r w:rsidRPr="00BF0B47">
        <w:rPr>
          <w:rFonts w:ascii="Arial" w:hAnsi="Arial" w:cs="Arial"/>
          <w:b/>
          <w:i/>
          <w:color w:val="000000"/>
          <w:sz w:val="22"/>
          <w:szCs w:val="24"/>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20624DAA"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 </w:t>
      </w:r>
    </w:p>
    <w:p w14:paraId="764A2601" w14:textId="77777777" w:rsidR="005A6624" w:rsidRPr="003F4F8E" w:rsidRDefault="005A6624" w:rsidP="005A6624">
      <w:pPr>
        <w:spacing w:line="288" w:lineRule="auto"/>
        <w:ind w:right="51"/>
        <w:jc w:val="both"/>
        <w:rPr>
          <w:rFonts w:ascii="Arial" w:hAnsi="Arial"/>
          <w:iCs/>
          <w:szCs w:val="24"/>
        </w:rPr>
      </w:pPr>
      <w:r w:rsidRPr="003F4F8E">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4F8E">
        <w:rPr>
          <w:rFonts w:ascii="Arial" w:hAnsi="Arial"/>
          <w:b/>
          <w:iCs/>
          <w:szCs w:val="24"/>
        </w:rPr>
        <w:t>que podía estar preimpresa</w:t>
      </w:r>
      <w:r w:rsidRPr="003F4F8E">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15A0FDDC" w14:textId="77777777" w:rsidR="005A6624" w:rsidRPr="003F4F8E" w:rsidRDefault="005A6624" w:rsidP="005A6624">
      <w:pPr>
        <w:spacing w:line="288" w:lineRule="auto"/>
        <w:ind w:right="51"/>
        <w:jc w:val="both"/>
        <w:rPr>
          <w:rFonts w:ascii="Arial" w:hAnsi="Arial"/>
          <w:iCs/>
          <w:szCs w:val="24"/>
        </w:rPr>
      </w:pPr>
    </w:p>
    <w:p w14:paraId="5C37A062" w14:textId="77777777" w:rsidR="005A6624" w:rsidRPr="003F4F8E" w:rsidRDefault="005A6624" w:rsidP="005A6624">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5D10CA08" w14:textId="77777777" w:rsidR="005A6624" w:rsidRPr="003F4F8E" w:rsidRDefault="005A6624" w:rsidP="005A6624">
      <w:pPr>
        <w:spacing w:line="288" w:lineRule="auto"/>
        <w:ind w:right="51"/>
        <w:jc w:val="both"/>
        <w:rPr>
          <w:rFonts w:ascii="Arial" w:hAnsi="Arial"/>
          <w:iCs/>
          <w:szCs w:val="24"/>
        </w:rPr>
      </w:pPr>
    </w:p>
    <w:p w14:paraId="68238D77" w14:textId="77777777" w:rsidR="005A6624" w:rsidRPr="003F4F8E" w:rsidRDefault="005A6624" w:rsidP="005A6624">
      <w:pPr>
        <w:spacing w:line="288" w:lineRule="auto"/>
        <w:ind w:right="51"/>
        <w:jc w:val="both"/>
        <w:rPr>
          <w:rFonts w:ascii="Arial" w:hAnsi="Arial"/>
          <w:iCs/>
          <w:szCs w:val="24"/>
        </w:rPr>
      </w:pPr>
      <w:r w:rsidRPr="003F4F8E">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36F6F209" w14:textId="77777777" w:rsidR="005A6624" w:rsidRPr="003F4F8E" w:rsidRDefault="005A6624" w:rsidP="005A6624">
      <w:pPr>
        <w:spacing w:line="288" w:lineRule="auto"/>
        <w:ind w:right="51"/>
        <w:jc w:val="both"/>
        <w:rPr>
          <w:rFonts w:ascii="Arial" w:hAnsi="Arial"/>
          <w:iCs/>
          <w:szCs w:val="24"/>
        </w:rPr>
      </w:pPr>
    </w:p>
    <w:p w14:paraId="3AB01B03" w14:textId="08BA8F81" w:rsidR="005A6624" w:rsidRPr="003F4F8E" w:rsidRDefault="005A6624" w:rsidP="005A6624">
      <w:pPr>
        <w:spacing w:line="288" w:lineRule="auto"/>
        <w:ind w:right="51"/>
        <w:jc w:val="both"/>
        <w:rPr>
          <w:rFonts w:ascii="Arial" w:hAnsi="Arial"/>
          <w:iCs/>
          <w:szCs w:val="24"/>
        </w:rPr>
      </w:pPr>
      <w:r w:rsidRPr="003F4F8E">
        <w:rPr>
          <w:rFonts w:ascii="Arial" w:hAnsi="Arial"/>
          <w:iCs/>
          <w:szCs w:val="24"/>
        </w:rPr>
        <w:t xml:space="preserve">Respecto a estas últimas normas, en concreto el artículo 97, las Salas de decisión laboral No. 1 y 4 de este Tribunal por mayorías, con ponencia de la doctora Olga </w:t>
      </w:r>
      <w:r w:rsidR="004E3EE1" w:rsidRPr="003F4F8E">
        <w:rPr>
          <w:rFonts w:ascii="Arial" w:hAnsi="Arial"/>
          <w:iCs/>
          <w:szCs w:val="24"/>
        </w:rPr>
        <w:t xml:space="preserve">Lucía </w:t>
      </w:r>
      <w:r w:rsidRPr="003F4F8E">
        <w:rPr>
          <w:rFonts w:ascii="Arial" w:hAnsi="Arial"/>
          <w:iCs/>
          <w:szCs w:val="24"/>
        </w:rPr>
        <w:t>Hoyos Sepúlveda han dicho:</w:t>
      </w:r>
    </w:p>
    <w:p w14:paraId="11091078" w14:textId="77777777" w:rsidR="005A6624" w:rsidRPr="003F4F8E" w:rsidRDefault="005A6624" w:rsidP="005A6624">
      <w:pPr>
        <w:spacing w:line="288" w:lineRule="auto"/>
        <w:ind w:right="51"/>
        <w:jc w:val="both"/>
        <w:rPr>
          <w:rFonts w:ascii="Arial" w:hAnsi="Arial"/>
          <w:iCs/>
          <w:szCs w:val="24"/>
        </w:rPr>
      </w:pPr>
    </w:p>
    <w:p w14:paraId="23C97EEC" w14:textId="77777777" w:rsidR="005A6624" w:rsidRPr="003F4F8E" w:rsidRDefault="005A6624" w:rsidP="005A6624">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w:t>
      </w:r>
      <w:r w:rsidRPr="003F4F8E">
        <w:rPr>
          <w:rFonts w:ascii="Arial" w:hAnsi="Arial"/>
          <w:iCs/>
          <w:sz w:val="22"/>
          <w:szCs w:val="24"/>
        </w:rPr>
        <w:lastRenderedPageBreak/>
        <w:t>tomar los usuarios sobre las transacciones o elecciones que puede realizar dentro de la entidad, como sería el caso, a manera de ejemplo, de elegir el portafolio con el que se va a manejar su ahorro (conservador, moderado y alto riesgo).</w:t>
      </w:r>
    </w:p>
    <w:p w14:paraId="0416E779" w14:textId="77777777" w:rsidR="005A6624" w:rsidRPr="003F4F8E" w:rsidRDefault="005A6624" w:rsidP="005A6624">
      <w:pPr>
        <w:ind w:left="426" w:right="560"/>
        <w:jc w:val="both"/>
        <w:rPr>
          <w:rFonts w:ascii="Arial" w:hAnsi="Arial"/>
          <w:iCs/>
          <w:sz w:val="22"/>
          <w:szCs w:val="24"/>
        </w:rPr>
      </w:pPr>
    </w:p>
    <w:p w14:paraId="7DBAC839" w14:textId="77777777" w:rsidR="005A6624" w:rsidRPr="003F4F8E" w:rsidRDefault="005A6624" w:rsidP="005A6624">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01A0268D" w14:textId="77777777" w:rsidR="005A6624" w:rsidRPr="00BF0B47" w:rsidRDefault="005A6624" w:rsidP="005A6624">
      <w:pPr>
        <w:spacing w:line="288" w:lineRule="auto"/>
        <w:ind w:right="51"/>
        <w:jc w:val="both"/>
        <w:rPr>
          <w:rFonts w:ascii="Arial" w:hAnsi="Arial" w:cs="Arial"/>
          <w:iCs/>
          <w:szCs w:val="24"/>
        </w:rPr>
      </w:pPr>
    </w:p>
    <w:p w14:paraId="77F39BCD"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57AD0A99" w14:textId="77777777" w:rsidR="005A6624" w:rsidRPr="00BF0B47" w:rsidRDefault="005A6624" w:rsidP="005A6624">
      <w:pPr>
        <w:spacing w:line="288" w:lineRule="auto"/>
        <w:ind w:right="51"/>
        <w:jc w:val="both"/>
        <w:rPr>
          <w:rFonts w:ascii="Arial" w:hAnsi="Arial" w:cs="Arial"/>
          <w:iCs/>
          <w:szCs w:val="24"/>
        </w:rPr>
      </w:pPr>
    </w:p>
    <w:p w14:paraId="247C7004" w14:textId="77777777" w:rsidR="005A6624" w:rsidRPr="00BF0B47" w:rsidRDefault="005A6624" w:rsidP="005A6624">
      <w:pPr>
        <w:spacing w:line="288" w:lineRule="auto"/>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LA SUPUESTA FALTA DE INFORMACIÓN POR NO HABERSE REALIZADO PROYECCIONES SOBRE EL POSIBLE MONTO DE LA PENSIÓN</w:t>
      </w:r>
    </w:p>
    <w:p w14:paraId="54E21A86" w14:textId="77777777" w:rsidR="005A6624" w:rsidRPr="00BF0B47" w:rsidRDefault="005A6624" w:rsidP="005A6624">
      <w:pPr>
        <w:spacing w:line="288" w:lineRule="auto"/>
        <w:jc w:val="both"/>
        <w:rPr>
          <w:rFonts w:ascii="Arial" w:hAnsi="Arial" w:cs="Arial"/>
          <w:iCs/>
          <w:szCs w:val="24"/>
        </w:rPr>
      </w:pPr>
    </w:p>
    <w:p w14:paraId="0120750E" w14:textId="77777777" w:rsidR="005A6624" w:rsidRPr="00BF0B47" w:rsidRDefault="005A6624" w:rsidP="005A6624">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55373C8D" w14:textId="77777777" w:rsidR="005A6624" w:rsidRPr="00BF0B47" w:rsidRDefault="005A6624" w:rsidP="005A6624">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431ADC58" w14:textId="77777777" w:rsidR="005A6624" w:rsidRPr="00BF0B47" w:rsidRDefault="005A6624" w:rsidP="005A6624">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7883E937" w14:textId="77777777" w:rsidR="005A6624" w:rsidRPr="00BF0B47" w:rsidRDefault="005A6624" w:rsidP="005A6624">
      <w:pPr>
        <w:spacing w:line="288" w:lineRule="auto"/>
        <w:ind w:right="51"/>
        <w:jc w:val="both"/>
        <w:rPr>
          <w:rFonts w:ascii="Arial" w:hAnsi="Arial" w:cs="Arial"/>
          <w:b/>
          <w:iCs/>
          <w:szCs w:val="24"/>
        </w:rPr>
      </w:pPr>
    </w:p>
    <w:p w14:paraId="7796ED98" w14:textId="77777777" w:rsidR="005A6624" w:rsidRPr="00BF0B47" w:rsidRDefault="005A6624" w:rsidP="005A6624">
      <w:pPr>
        <w:suppressAutoHyphens/>
        <w:spacing w:line="288" w:lineRule="auto"/>
        <w:jc w:val="both"/>
        <w:rPr>
          <w:rFonts w:ascii="Arial" w:hAnsi="Arial" w:cs="Arial"/>
          <w:spacing w:val="-2"/>
          <w:szCs w:val="24"/>
        </w:rPr>
      </w:pPr>
    </w:p>
    <w:p w14:paraId="7425E1EB" w14:textId="77777777" w:rsidR="005A6624" w:rsidRPr="00F346D5" w:rsidRDefault="005A6624" w:rsidP="005A6624">
      <w:pPr>
        <w:pStyle w:val="Prrafodelista"/>
        <w:numPr>
          <w:ilvl w:val="0"/>
          <w:numId w:val="12"/>
        </w:numPr>
        <w:spacing w:line="288" w:lineRule="auto"/>
        <w:jc w:val="both"/>
        <w:rPr>
          <w:rFonts w:ascii="Arial" w:hAnsi="Arial" w:cs="Arial"/>
          <w:b/>
          <w:sz w:val="24"/>
          <w:szCs w:val="24"/>
        </w:rPr>
      </w:pPr>
      <w:r w:rsidRPr="00F346D5">
        <w:rPr>
          <w:rFonts w:ascii="Arial" w:hAnsi="Arial" w:cs="Arial"/>
          <w:b/>
          <w:sz w:val="24"/>
          <w:szCs w:val="24"/>
        </w:rPr>
        <w:t>RAZÓN DE SER DE LA LIMITACIÓN DE TRASLADO CUANDO FALTEN MENOS DE 10 AÑOS. SENTENCIA C-1024 DE 2004</w:t>
      </w:r>
    </w:p>
    <w:p w14:paraId="6C58DE64" w14:textId="77777777" w:rsidR="005A6624" w:rsidRPr="00BF0B47" w:rsidRDefault="005A6624" w:rsidP="005A6624">
      <w:pPr>
        <w:spacing w:line="288" w:lineRule="auto"/>
        <w:ind w:right="51"/>
        <w:jc w:val="both"/>
        <w:rPr>
          <w:rFonts w:ascii="Arial" w:hAnsi="Arial" w:cs="Arial"/>
          <w:b/>
          <w:iCs/>
          <w:szCs w:val="24"/>
        </w:rPr>
      </w:pPr>
    </w:p>
    <w:p w14:paraId="2858A36E"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6B828B99" w14:textId="77777777" w:rsidR="005A6624" w:rsidRPr="00BF0B47" w:rsidRDefault="005A6624" w:rsidP="005A6624">
      <w:pPr>
        <w:spacing w:line="288" w:lineRule="auto"/>
        <w:ind w:right="51"/>
        <w:jc w:val="both"/>
        <w:rPr>
          <w:rFonts w:ascii="Arial" w:hAnsi="Arial" w:cs="Arial"/>
          <w:iCs/>
          <w:szCs w:val="24"/>
        </w:rPr>
      </w:pPr>
    </w:p>
    <w:p w14:paraId="0A326838"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4AD4D4BB" w14:textId="77777777" w:rsidR="005A6624" w:rsidRPr="00BF0B47" w:rsidRDefault="005A6624" w:rsidP="005A6624">
      <w:pPr>
        <w:spacing w:line="288" w:lineRule="auto"/>
        <w:ind w:right="51"/>
        <w:jc w:val="both"/>
        <w:rPr>
          <w:rFonts w:ascii="Arial" w:hAnsi="Arial" w:cs="Arial"/>
          <w:b/>
          <w:iCs/>
          <w:szCs w:val="24"/>
        </w:rPr>
      </w:pPr>
    </w:p>
    <w:p w14:paraId="61F1E019"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172F1AF1"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05294CB2"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C700489"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106AB445" w14:textId="77777777" w:rsidR="005A6624" w:rsidRPr="00BF0B47" w:rsidRDefault="005A6624" w:rsidP="005A6624">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68926CE4" w14:textId="77777777" w:rsidR="005A6624" w:rsidRPr="00BF0B47" w:rsidRDefault="005A6624" w:rsidP="005A6624">
      <w:pPr>
        <w:ind w:left="426" w:right="418"/>
        <w:jc w:val="both"/>
        <w:rPr>
          <w:rFonts w:ascii="Arial" w:hAnsi="Arial" w:cs="Arial"/>
          <w:b/>
          <w:iCs/>
          <w:sz w:val="22"/>
          <w:szCs w:val="24"/>
          <w:lang w:val="es-CO"/>
        </w:rPr>
      </w:pPr>
    </w:p>
    <w:p w14:paraId="54685F03"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w:t>
      </w:r>
      <w:r w:rsidRPr="00BF0B47">
        <w:rPr>
          <w:rFonts w:ascii="Arial" w:hAnsi="Arial" w:cs="Arial"/>
          <w:iCs/>
          <w:sz w:val="22"/>
          <w:szCs w:val="24"/>
          <w:lang w:val="es-ES"/>
        </w:rPr>
        <w:lastRenderedPageBreak/>
        <w:t>ahorrados con fundamento en el aporte obligatorio que deben realizar los afiliados al Régimen de Ahorro Individual</w:t>
      </w:r>
      <w:bookmarkStart w:id="3"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para garantizar el pago de la garantía de la pensión mínima de vejez cuando no alcanzan el monto de capitalización requerida</w:t>
      </w:r>
      <w:bookmarkStart w:id="4"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4"/>
      <w:r w:rsidRPr="00BF0B47">
        <w:rPr>
          <w:rFonts w:ascii="Arial" w:hAnsi="Arial" w:cs="Arial"/>
          <w:iCs/>
          <w:sz w:val="22"/>
          <w:szCs w:val="24"/>
          <w:lang w:val="es-ES"/>
        </w:rPr>
        <w:t>, poniendo en riesgo la cobertura universal del sistema para los ahorradores de cuentas individuales. </w:t>
      </w:r>
    </w:p>
    <w:p w14:paraId="4311DD6B"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rPr>
        <w:t> </w:t>
      </w:r>
    </w:p>
    <w:p w14:paraId="1F6817DB" w14:textId="77777777" w:rsidR="005A6624" w:rsidRPr="00BF0B47" w:rsidRDefault="005A6624" w:rsidP="005A6624">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7767F90F" w14:textId="77777777" w:rsidR="005A6624" w:rsidRPr="00BF0B47" w:rsidRDefault="005A6624" w:rsidP="005A6624">
      <w:pPr>
        <w:spacing w:line="288" w:lineRule="auto"/>
        <w:ind w:right="51"/>
        <w:jc w:val="both"/>
        <w:rPr>
          <w:rFonts w:ascii="Arial" w:hAnsi="Arial" w:cs="Arial"/>
          <w:b/>
          <w:iCs/>
          <w:szCs w:val="24"/>
        </w:rPr>
      </w:pPr>
    </w:p>
    <w:p w14:paraId="6ACA9FBF" w14:textId="77777777" w:rsidR="005A6624" w:rsidRPr="00BF0B47" w:rsidRDefault="005A6624" w:rsidP="005A6624">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7A5F406B" w14:textId="77777777" w:rsidR="005A6624" w:rsidRPr="00BF0B47" w:rsidRDefault="005A6624" w:rsidP="005A6624">
      <w:pPr>
        <w:spacing w:line="288" w:lineRule="auto"/>
        <w:ind w:right="51"/>
        <w:jc w:val="both"/>
        <w:rPr>
          <w:rFonts w:ascii="Arial" w:hAnsi="Arial" w:cs="Arial"/>
          <w:b/>
          <w:iCs/>
          <w:szCs w:val="24"/>
          <w:lang w:val="es-CO"/>
        </w:rPr>
      </w:pPr>
    </w:p>
    <w:p w14:paraId="33374793" w14:textId="77777777" w:rsidR="005A6624" w:rsidRPr="00BF0B47" w:rsidRDefault="005A6624" w:rsidP="005A6624">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6AC1B23C" w14:textId="77777777" w:rsidR="005A6624" w:rsidRPr="00BF0B47" w:rsidRDefault="005A6624" w:rsidP="005A6624">
      <w:pPr>
        <w:spacing w:line="288" w:lineRule="auto"/>
        <w:ind w:right="51"/>
        <w:jc w:val="both"/>
        <w:rPr>
          <w:rFonts w:ascii="Arial" w:hAnsi="Arial" w:cs="Arial"/>
          <w:iCs/>
          <w:szCs w:val="24"/>
        </w:rPr>
      </w:pPr>
    </w:p>
    <w:p w14:paraId="23DF8DDA"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5251A6CE" w14:textId="77777777" w:rsidR="005A6624" w:rsidRPr="00BF0B47" w:rsidRDefault="005A6624" w:rsidP="005A6624">
      <w:pPr>
        <w:spacing w:line="288" w:lineRule="auto"/>
        <w:ind w:right="51"/>
        <w:jc w:val="both"/>
        <w:rPr>
          <w:rFonts w:ascii="Arial" w:hAnsi="Arial" w:cs="Arial"/>
          <w:iCs/>
          <w:szCs w:val="24"/>
        </w:rPr>
      </w:pPr>
    </w:p>
    <w:p w14:paraId="21791909"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3DC22CD6" w14:textId="77777777" w:rsidR="005A6624" w:rsidRPr="00BF0B47" w:rsidRDefault="005A6624" w:rsidP="005A6624">
      <w:pPr>
        <w:suppressAutoHyphens/>
        <w:spacing w:line="288" w:lineRule="auto"/>
        <w:jc w:val="both"/>
        <w:rPr>
          <w:rFonts w:ascii="Arial" w:hAnsi="Arial" w:cs="Arial"/>
          <w:spacing w:val="-2"/>
          <w:szCs w:val="24"/>
        </w:rPr>
      </w:pPr>
    </w:p>
    <w:p w14:paraId="5D3EDAEB"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4F6146A8" w14:textId="77777777" w:rsidR="005A6624" w:rsidRPr="00BF0B47" w:rsidRDefault="005A6624" w:rsidP="005A6624">
      <w:pPr>
        <w:suppressAutoHyphens/>
        <w:spacing w:line="288" w:lineRule="auto"/>
        <w:jc w:val="both"/>
        <w:rPr>
          <w:rFonts w:ascii="Arial" w:hAnsi="Arial" w:cs="Arial"/>
          <w:spacing w:val="-2"/>
          <w:szCs w:val="24"/>
        </w:rPr>
      </w:pPr>
    </w:p>
    <w:p w14:paraId="61E07A57"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7BC2373D" w14:textId="77777777" w:rsidR="005A6624" w:rsidRPr="00BF0B47" w:rsidRDefault="005A6624" w:rsidP="005A6624">
      <w:pPr>
        <w:suppressAutoHyphens/>
        <w:spacing w:line="288" w:lineRule="auto"/>
        <w:jc w:val="both"/>
        <w:rPr>
          <w:rFonts w:ascii="Arial" w:hAnsi="Arial" w:cs="Arial"/>
          <w:spacing w:val="-2"/>
          <w:szCs w:val="24"/>
        </w:rPr>
      </w:pPr>
    </w:p>
    <w:p w14:paraId="64CE24FB"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536D9AE8" w14:textId="77777777" w:rsidR="005A6624" w:rsidRPr="00BF0B47" w:rsidRDefault="005A6624" w:rsidP="005A6624">
      <w:pPr>
        <w:suppressAutoHyphens/>
        <w:spacing w:line="288" w:lineRule="auto"/>
        <w:jc w:val="both"/>
        <w:rPr>
          <w:rFonts w:ascii="Arial" w:hAnsi="Arial" w:cs="Arial"/>
          <w:spacing w:val="-2"/>
          <w:szCs w:val="24"/>
        </w:rPr>
      </w:pPr>
    </w:p>
    <w:p w14:paraId="2EDC9B70" w14:textId="77777777" w:rsidR="005A6624" w:rsidRPr="00BF0B47" w:rsidRDefault="005A6624" w:rsidP="005A6624">
      <w:pPr>
        <w:suppressAutoHyphens/>
        <w:spacing w:line="288" w:lineRule="auto"/>
        <w:jc w:val="both"/>
        <w:rPr>
          <w:rFonts w:ascii="Arial" w:hAnsi="Arial" w:cs="Arial"/>
          <w:b/>
          <w:spacing w:val="-2"/>
          <w:szCs w:val="24"/>
        </w:rPr>
      </w:pPr>
      <w:r w:rsidRPr="00BF0B47">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6043D367" w14:textId="77777777" w:rsidR="005A6624" w:rsidRPr="00BF0B47" w:rsidRDefault="005A6624" w:rsidP="005A6624">
      <w:pPr>
        <w:suppressAutoHyphens/>
        <w:spacing w:line="288" w:lineRule="auto"/>
        <w:jc w:val="both"/>
        <w:rPr>
          <w:rFonts w:ascii="Arial" w:hAnsi="Arial" w:cs="Arial"/>
          <w:b/>
          <w:spacing w:val="-2"/>
          <w:szCs w:val="24"/>
        </w:rPr>
      </w:pPr>
    </w:p>
    <w:p w14:paraId="25120DB5" w14:textId="77777777" w:rsidR="005A6624" w:rsidRPr="00BF0B47" w:rsidRDefault="005A6624" w:rsidP="005A6624">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40A492D3" w14:textId="77777777" w:rsidR="005A6624" w:rsidRPr="00BF0B47" w:rsidRDefault="005A6624" w:rsidP="005A6624">
      <w:pPr>
        <w:suppressAutoHyphens/>
        <w:spacing w:line="288" w:lineRule="auto"/>
        <w:jc w:val="both"/>
        <w:rPr>
          <w:rFonts w:ascii="Arial" w:hAnsi="Arial" w:cs="Arial"/>
          <w:b/>
          <w:spacing w:val="-2"/>
          <w:szCs w:val="24"/>
        </w:rPr>
      </w:pPr>
    </w:p>
    <w:p w14:paraId="04A179BB"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41C79C94" w14:textId="77777777" w:rsidR="005A6624" w:rsidRPr="00BF0B47" w:rsidRDefault="005A6624" w:rsidP="005A6624">
      <w:pPr>
        <w:suppressAutoHyphens/>
        <w:spacing w:line="288" w:lineRule="auto"/>
        <w:jc w:val="both"/>
        <w:rPr>
          <w:rFonts w:ascii="Arial" w:hAnsi="Arial" w:cs="Arial"/>
          <w:spacing w:val="-2"/>
          <w:szCs w:val="24"/>
        </w:rPr>
      </w:pPr>
    </w:p>
    <w:p w14:paraId="21CEA299" w14:textId="77777777" w:rsidR="005A6624" w:rsidRPr="00BF0B47" w:rsidRDefault="005A6624" w:rsidP="005A6624">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esto es la AFP, mas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0F409057" w14:textId="77777777" w:rsidR="005A6624" w:rsidRPr="00BF0B47" w:rsidRDefault="005A6624" w:rsidP="005A6624">
      <w:pPr>
        <w:suppressAutoHyphens/>
        <w:spacing w:line="288" w:lineRule="auto"/>
        <w:jc w:val="both"/>
        <w:rPr>
          <w:rFonts w:ascii="Arial" w:hAnsi="Arial" w:cs="Arial"/>
          <w:spacing w:val="-2"/>
          <w:szCs w:val="24"/>
        </w:rPr>
      </w:pPr>
    </w:p>
    <w:p w14:paraId="3AEE1B65" w14:textId="77777777" w:rsidR="005A6624" w:rsidRPr="00BF0B47" w:rsidRDefault="005A6624" w:rsidP="005A6624">
      <w:pPr>
        <w:pStyle w:val="Prrafodelista"/>
        <w:numPr>
          <w:ilvl w:val="0"/>
          <w:numId w:val="12"/>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5B9DB799" w14:textId="77777777" w:rsidR="005A6624" w:rsidRPr="00BF0B47" w:rsidRDefault="005A6624" w:rsidP="005A6624">
      <w:pPr>
        <w:spacing w:line="288" w:lineRule="auto"/>
        <w:ind w:right="51"/>
        <w:jc w:val="both"/>
        <w:rPr>
          <w:rFonts w:ascii="Arial" w:hAnsi="Arial" w:cs="Arial"/>
          <w:b/>
          <w:iCs/>
          <w:szCs w:val="24"/>
        </w:rPr>
      </w:pPr>
    </w:p>
    <w:p w14:paraId="4C99547A"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314ABBBD" w14:textId="77777777" w:rsidR="005A6624" w:rsidRPr="00BF0B47" w:rsidRDefault="005A6624" w:rsidP="005A6624">
      <w:pPr>
        <w:spacing w:line="288" w:lineRule="auto"/>
        <w:ind w:right="51"/>
        <w:jc w:val="both"/>
        <w:rPr>
          <w:rFonts w:ascii="Arial" w:hAnsi="Arial" w:cs="Arial"/>
          <w:iCs/>
          <w:szCs w:val="24"/>
        </w:rPr>
      </w:pPr>
    </w:p>
    <w:p w14:paraId="1B111F53"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w:t>
      </w:r>
      <w:proofErr w:type="spellStart"/>
      <w:r w:rsidRPr="00BF0B47">
        <w:rPr>
          <w:rFonts w:ascii="Arial" w:hAnsi="Arial" w:cs="Arial"/>
          <w:iCs/>
          <w:szCs w:val="24"/>
        </w:rPr>
        <w:t>saneable</w:t>
      </w:r>
      <w:proofErr w:type="spellEnd"/>
      <w:r w:rsidRPr="00BF0B47">
        <w:rPr>
          <w:rFonts w:ascii="Arial" w:hAnsi="Arial" w:cs="Arial"/>
          <w:iCs/>
          <w:szCs w:val="24"/>
        </w:rPr>
        <w:t xml:space="preserve"> de conformidad con la ley. </w:t>
      </w:r>
    </w:p>
    <w:p w14:paraId="7AEB6893" w14:textId="77777777" w:rsidR="005A6624" w:rsidRPr="00BF0B47" w:rsidRDefault="005A6624" w:rsidP="005A6624">
      <w:pPr>
        <w:spacing w:line="288" w:lineRule="auto"/>
        <w:ind w:right="51"/>
        <w:jc w:val="both"/>
        <w:rPr>
          <w:rFonts w:ascii="Arial" w:hAnsi="Arial" w:cs="Arial"/>
          <w:iCs/>
          <w:szCs w:val="24"/>
        </w:rPr>
      </w:pPr>
    </w:p>
    <w:p w14:paraId="3417BCCC"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BF0B47">
        <w:rPr>
          <w:rFonts w:ascii="Arial" w:hAnsi="Arial" w:cs="Arial"/>
          <w:iCs/>
          <w:szCs w:val="24"/>
        </w:rPr>
        <w:lastRenderedPageBreak/>
        <w:t>y traslado entre regímenes son actos jurídicos, sujetos para su validez a las reglamentaciones del derecho civil.</w:t>
      </w:r>
    </w:p>
    <w:p w14:paraId="0DB2BF72" w14:textId="77777777" w:rsidR="005A6624" w:rsidRPr="00BF0B47" w:rsidRDefault="005A6624" w:rsidP="005A6624">
      <w:pPr>
        <w:spacing w:line="288" w:lineRule="auto"/>
        <w:ind w:right="51"/>
        <w:jc w:val="both"/>
        <w:rPr>
          <w:rFonts w:ascii="Arial" w:hAnsi="Arial" w:cs="Arial"/>
          <w:iCs/>
          <w:szCs w:val="24"/>
        </w:rPr>
      </w:pPr>
    </w:p>
    <w:p w14:paraId="1D672A05"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19C3BEBC" w14:textId="77777777" w:rsidR="005A6624" w:rsidRPr="00BF0B47" w:rsidRDefault="005A6624" w:rsidP="005A6624">
      <w:pPr>
        <w:spacing w:line="288" w:lineRule="auto"/>
        <w:ind w:right="51"/>
        <w:jc w:val="both"/>
        <w:rPr>
          <w:rFonts w:ascii="Arial" w:hAnsi="Arial" w:cs="Arial"/>
          <w:iCs/>
          <w:szCs w:val="24"/>
        </w:rPr>
      </w:pPr>
    </w:p>
    <w:p w14:paraId="0578FFA0" w14:textId="77777777" w:rsidR="005A6624" w:rsidRPr="00BF0B47" w:rsidRDefault="005A6624" w:rsidP="005A6624">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NULIDAD DE LOS ACTOS JURÍDICOS Y OPORTUNIDAD PARA ALEGARLA.</w:t>
      </w:r>
    </w:p>
    <w:p w14:paraId="0DF361FD" w14:textId="77777777" w:rsidR="005A6624" w:rsidRPr="00BF0B47" w:rsidRDefault="005A6624" w:rsidP="005A6624">
      <w:pPr>
        <w:spacing w:line="288" w:lineRule="auto"/>
        <w:ind w:right="51"/>
        <w:jc w:val="both"/>
        <w:rPr>
          <w:rFonts w:ascii="Arial" w:hAnsi="Arial" w:cs="Arial"/>
          <w:b/>
          <w:iCs/>
          <w:szCs w:val="24"/>
        </w:rPr>
      </w:pPr>
    </w:p>
    <w:p w14:paraId="4D02D79D" w14:textId="77777777" w:rsidR="005A6624" w:rsidRPr="00BF0B47" w:rsidRDefault="005A6624" w:rsidP="005A6624">
      <w:pPr>
        <w:spacing w:line="288" w:lineRule="auto"/>
        <w:jc w:val="both"/>
        <w:rPr>
          <w:rFonts w:ascii="Arial" w:hAnsi="Arial" w:cs="Arial"/>
          <w:bCs/>
          <w:iCs/>
          <w:szCs w:val="24"/>
        </w:rPr>
      </w:pPr>
      <w:r w:rsidRPr="00BF0B47">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01167E6D" w14:textId="77777777" w:rsidR="005A6624" w:rsidRPr="00BF0B47" w:rsidRDefault="005A6624" w:rsidP="005A6624">
      <w:pPr>
        <w:spacing w:line="288" w:lineRule="auto"/>
        <w:jc w:val="both"/>
        <w:rPr>
          <w:rFonts w:ascii="Arial" w:hAnsi="Arial" w:cs="Arial"/>
          <w:bCs/>
          <w:iCs/>
          <w:szCs w:val="24"/>
        </w:rPr>
      </w:pPr>
    </w:p>
    <w:p w14:paraId="56FCCDA6" w14:textId="77777777" w:rsidR="005A6624" w:rsidRPr="00BF0B47" w:rsidRDefault="005A6624" w:rsidP="005A6624">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3B6A4008" w14:textId="77777777" w:rsidR="005A6624" w:rsidRPr="00BF0B47" w:rsidRDefault="005A6624" w:rsidP="005A6624">
      <w:pPr>
        <w:spacing w:line="288" w:lineRule="auto"/>
        <w:jc w:val="both"/>
        <w:rPr>
          <w:rFonts w:ascii="Arial" w:eastAsia="Calibri" w:hAnsi="Arial" w:cs="Arial"/>
          <w:iCs/>
          <w:szCs w:val="24"/>
          <w:lang w:val="es-CO" w:eastAsia="en-US"/>
        </w:rPr>
      </w:pPr>
    </w:p>
    <w:p w14:paraId="76275955" w14:textId="77777777" w:rsidR="005A6624" w:rsidRPr="00BF0B47" w:rsidRDefault="005A6624" w:rsidP="005A6624">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5E9AF755" w14:textId="77777777" w:rsidR="005A6624" w:rsidRPr="00BF0B47" w:rsidRDefault="005A6624" w:rsidP="005A6624">
      <w:pPr>
        <w:spacing w:line="288" w:lineRule="auto"/>
        <w:jc w:val="both"/>
        <w:rPr>
          <w:rFonts w:ascii="Arial" w:hAnsi="Arial" w:cs="Arial"/>
          <w:bCs/>
          <w:iCs/>
          <w:szCs w:val="24"/>
        </w:rPr>
      </w:pPr>
    </w:p>
    <w:p w14:paraId="7A0F4F9E" w14:textId="77777777" w:rsidR="005A6624" w:rsidRPr="00BF0B47" w:rsidRDefault="005A6624" w:rsidP="005A6624">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386E5523" w14:textId="77777777" w:rsidR="005A6624" w:rsidRPr="00BF0B47" w:rsidRDefault="005A6624" w:rsidP="005A6624">
      <w:pPr>
        <w:spacing w:line="288" w:lineRule="auto"/>
        <w:jc w:val="both"/>
        <w:rPr>
          <w:rFonts w:ascii="Arial" w:hAnsi="Arial" w:cs="Arial"/>
          <w:bCs/>
          <w:iCs/>
          <w:szCs w:val="24"/>
        </w:rPr>
      </w:pPr>
    </w:p>
    <w:p w14:paraId="7BC4F98D" w14:textId="77777777" w:rsidR="005A6624" w:rsidRPr="00BF0B47" w:rsidRDefault="005A6624" w:rsidP="005A6624">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4EA68E42" w14:textId="77777777" w:rsidR="005A6624" w:rsidRPr="00BF0B47" w:rsidRDefault="005A6624" w:rsidP="005A6624">
      <w:pPr>
        <w:spacing w:line="288" w:lineRule="auto"/>
        <w:jc w:val="both"/>
        <w:rPr>
          <w:rFonts w:ascii="Arial" w:hAnsi="Arial" w:cs="Arial"/>
          <w:bCs/>
          <w:iCs/>
          <w:szCs w:val="24"/>
        </w:rPr>
      </w:pPr>
    </w:p>
    <w:p w14:paraId="66AC5384" w14:textId="77777777" w:rsidR="005A6624" w:rsidRPr="00BF0B47" w:rsidRDefault="005A6624" w:rsidP="005A6624">
      <w:pPr>
        <w:spacing w:line="288" w:lineRule="auto"/>
        <w:jc w:val="both"/>
        <w:rPr>
          <w:rFonts w:ascii="Arial" w:hAnsi="Arial" w:cs="Arial"/>
          <w:bCs/>
          <w:szCs w:val="24"/>
        </w:rPr>
      </w:pPr>
      <w:r w:rsidRPr="00BF0B47">
        <w:rPr>
          <w:rFonts w:ascii="Arial" w:hAnsi="Arial" w:cs="Arial"/>
          <w:bCs/>
          <w:szCs w:val="24"/>
        </w:rPr>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7C0CCB1D" w14:textId="77777777" w:rsidR="005A6624" w:rsidRPr="00BF0B47" w:rsidRDefault="005A6624" w:rsidP="005A6624">
      <w:pPr>
        <w:spacing w:line="288" w:lineRule="auto"/>
        <w:jc w:val="both"/>
        <w:rPr>
          <w:rFonts w:ascii="Arial" w:hAnsi="Arial" w:cs="Arial"/>
          <w:bCs/>
          <w:szCs w:val="24"/>
        </w:rPr>
      </w:pPr>
    </w:p>
    <w:p w14:paraId="11D90169" w14:textId="77777777" w:rsidR="005A6624" w:rsidRPr="00BF0B47" w:rsidRDefault="005A6624" w:rsidP="005A6624">
      <w:pPr>
        <w:spacing w:line="288" w:lineRule="auto"/>
        <w:jc w:val="both"/>
        <w:rPr>
          <w:rFonts w:ascii="Arial" w:hAnsi="Arial" w:cs="Arial"/>
          <w:bCs/>
          <w:szCs w:val="24"/>
        </w:rPr>
      </w:pPr>
      <w:r w:rsidRPr="00BF0B47">
        <w:rPr>
          <w:rFonts w:ascii="Arial" w:hAnsi="Arial" w:cs="Arial"/>
          <w:bCs/>
          <w:szCs w:val="24"/>
        </w:rPr>
        <w:t xml:space="preserve">Respecto a este último aspecto debe resaltarse que se conoce pero no se comparte la posición de la Sala de Casación Laboral en una de sus salas de descongestión de </w:t>
      </w:r>
      <w:r w:rsidRPr="00BF0B47">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4D17E5F2" w14:textId="77777777" w:rsidR="005A6624" w:rsidRPr="00BF0B47" w:rsidRDefault="005A6624" w:rsidP="005A6624">
      <w:pPr>
        <w:spacing w:line="288" w:lineRule="auto"/>
        <w:jc w:val="both"/>
        <w:rPr>
          <w:rFonts w:ascii="Arial" w:hAnsi="Arial" w:cs="Arial"/>
          <w:bCs/>
          <w:szCs w:val="24"/>
        </w:rPr>
      </w:pPr>
    </w:p>
    <w:p w14:paraId="28DD55B9" w14:textId="77777777" w:rsidR="005A6624" w:rsidRPr="00BF0B47" w:rsidRDefault="005A6624" w:rsidP="005A6624">
      <w:pPr>
        <w:numPr>
          <w:ilvl w:val="0"/>
          <w:numId w:val="11"/>
        </w:numPr>
        <w:spacing w:after="200" w:line="288" w:lineRule="auto"/>
        <w:jc w:val="both"/>
        <w:rPr>
          <w:rFonts w:ascii="Arial" w:hAnsi="Arial" w:cs="Arial"/>
          <w:bCs/>
          <w:szCs w:val="24"/>
        </w:rPr>
      </w:pPr>
      <w:r w:rsidRPr="00BF0B47">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w:t>
      </w:r>
      <w:proofErr w:type="spellStart"/>
      <w:r w:rsidRPr="00BF0B47">
        <w:rPr>
          <w:rFonts w:ascii="Arial" w:hAnsi="Arial" w:cs="Arial"/>
          <w:bCs/>
          <w:szCs w:val="24"/>
        </w:rPr>
        <w:t>valida</w:t>
      </w:r>
      <w:proofErr w:type="spellEnd"/>
      <w:r w:rsidRPr="00BF0B47">
        <w:rPr>
          <w:rFonts w:ascii="Arial" w:hAnsi="Arial" w:cs="Arial"/>
          <w:bCs/>
          <w:szCs w:val="24"/>
        </w:rPr>
        <w:t xml:space="preserve">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4E2E67C2" w14:textId="77777777" w:rsidR="005A6624" w:rsidRPr="00BF0B47" w:rsidRDefault="005A6624" w:rsidP="005A6624">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654F573D" w14:textId="77777777" w:rsidR="005A6624" w:rsidRPr="00BF0B47" w:rsidRDefault="005A6624" w:rsidP="005A6624">
      <w:pPr>
        <w:spacing w:line="288" w:lineRule="auto"/>
        <w:jc w:val="both"/>
        <w:rPr>
          <w:rFonts w:ascii="Arial" w:hAnsi="Arial" w:cs="Arial"/>
          <w:bCs/>
          <w:szCs w:val="24"/>
        </w:rPr>
      </w:pPr>
    </w:p>
    <w:p w14:paraId="2FD2B03A" w14:textId="77777777" w:rsidR="005A6624" w:rsidRPr="00BF0B47" w:rsidRDefault="005A6624" w:rsidP="005A6624">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40BF7E95" w14:textId="77777777" w:rsidR="005A6624" w:rsidRPr="00BF0B47" w:rsidRDefault="005A6624" w:rsidP="005A6624">
      <w:pPr>
        <w:spacing w:line="288" w:lineRule="auto"/>
        <w:jc w:val="both"/>
        <w:rPr>
          <w:rFonts w:ascii="Arial" w:hAnsi="Arial" w:cs="Arial"/>
          <w:bCs/>
          <w:szCs w:val="24"/>
        </w:rPr>
      </w:pPr>
    </w:p>
    <w:p w14:paraId="0D67E7FC" w14:textId="77777777" w:rsidR="005A6624" w:rsidRPr="00BF0B47" w:rsidRDefault="005A6624" w:rsidP="005A6624">
      <w:pPr>
        <w:spacing w:line="288" w:lineRule="auto"/>
        <w:jc w:val="both"/>
        <w:rPr>
          <w:rFonts w:ascii="Arial" w:hAnsi="Arial" w:cs="Arial"/>
          <w:b/>
          <w:bCs/>
          <w:szCs w:val="24"/>
        </w:rPr>
      </w:pPr>
      <w:r w:rsidRPr="00BF0B47">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663B5775" w14:textId="77777777" w:rsidR="005A6624" w:rsidRPr="00BF0B47" w:rsidRDefault="005A6624" w:rsidP="005A6624">
      <w:pPr>
        <w:spacing w:line="288" w:lineRule="auto"/>
        <w:jc w:val="both"/>
        <w:rPr>
          <w:rFonts w:ascii="Arial" w:hAnsi="Arial" w:cs="Arial"/>
          <w:bCs/>
          <w:szCs w:val="24"/>
        </w:rPr>
      </w:pPr>
    </w:p>
    <w:p w14:paraId="0D970417" w14:textId="77777777" w:rsidR="005A6624" w:rsidRPr="00BF0B47" w:rsidRDefault="005A6624" w:rsidP="005A6624">
      <w:pPr>
        <w:spacing w:line="288" w:lineRule="auto"/>
        <w:jc w:val="both"/>
        <w:rPr>
          <w:rFonts w:ascii="Arial" w:hAnsi="Arial" w:cs="Arial"/>
          <w:bCs/>
          <w:szCs w:val="24"/>
        </w:rPr>
      </w:pPr>
      <w:r w:rsidRPr="00BF0B47">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75849F00" w14:textId="77777777" w:rsidR="005A6624" w:rsidRPr="009F22F1" w:rsidRDefault="005A6624" w:rsidP="009F22F1">
      <w:pPr>
        <w:spacing w:line="288" w:lineRule="auto"/>
        <w:jc w:val="both"/>
        <w:rPr>
          <w:rFonts w:ascii="Arial" w:hAnsi="Arial" w:cs="Arial"/>
          <w:bCs/>
          <w:szCs w:val="24"/>
        </w:rPr>
      </w:pPr>
    </w:p>
    <w:p w14:paraId="7BD4A920" w14:textId="77777777" w:rsidR="005A6624" w:rsidRPr="009F22F1" w:rsidRDefault="005A6624" w:rsidP="009F22F1">
      <w:pPr>
        <w:spacing w:line="288" w:lineRule="auto"/>
        <w:jc w:val="both"/>
        <w:rPr>
          <w:rFonts w:ascii="Arial" w:hAnsi="Arial" w:cs="Arial"/>
          <w:bCs/>
          <w:szCs w:val="24"/>
        </w:rPr>
      </w:pPr>
      <w:r w:rsidRPr="009F22F1">
        <w:rPr>
          <w:rFonts w:ascii="Arial" w:hAnsi="Arial" w:cs="Arial"/>
          <w:bCs/>
          <w:szCs w:val="24"/>
        </w:rPr>
        <w:t>- IMPORTANCIA DE LA DIFERENCIACIÓN ENTRE LOS CASOS DE INEFICACIA Y LOS CASOS DE NULIDAD</w:t>
      </w:r>
    </w:p>
    <w:p w14:paraId="286920A5" w14:textId="77777777" w:rsidR="005A6624" w:rsidRPr="009F22F1" w:rsidRDefault="005A6624" w:rsidP="009F22F1">
      <w:pPr>
        <w:spacing w:line="288" w:lineRule="auto"/>
        <w:jc w:val="both"/>
        <w:rPr>
          <w:rFonts w:ascii="Arial" w:hAnsi="Arial" w:cs="Arial"/>
          <w:bCs/>
          <w:szCs w:val="24"/>
        </w:rPr>
      </w:pPr>
    </w:p>
    <w:p w14:paraId="641622B2" w14:textId="77777777" w:rsidR="005A6624" w:rsidRPr="009F22F1" w:rsidRDefault="005A6624" w:rsidP="009F22F1">
      <w:pPr>
        <w:spacing w:line="288" w:lineRule="auto"/>
        <w:jc w:val="both"/>
        <w:rPr>
          <w:rFonts w:ascii="Arial" w:hAnsi="Arial" w:cs="Arial"/>
          <w:bCs/>
          <w:szCs w:val="24"/>
        </w:rPr>
      </w:pPr>
      <w:r w:rsidRPr="009F22F1">
        <w:rPr>
          <w:rFonts w:ascii="Arial" w:hAnsi="Arial" w:cs="Arial"/>
          <w:bCs/>
          <w:szCs w:val="24"/>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403DEED1" w14:textId="77777777" w:rsidR="005A6624" w:rsidRPr="009F22F1" w:rsidRDefault="005A6624" w:rsidP="005A6624">
      <w:pPr>
        <w:spacing w:line="288" w:lineRule="auto"/>
        <w:jc w:val="both"/>
        <w:rPr>
          <w:rFonts w:ascii="Arial" w:hAnsi="Arial" w:cs="Arial"/>
          <w:bCs/>
          <w:szCs w:val="24"/>
        </w:rPr>
      </w:pPr>
    </w:p>
    <w:p w14:paraId="5C9368C1" w14:textId="77777777" w:rsidR="00800112" w:rsidRPr="009F22F1" w:rsidRDefault="00800112" w:rsidP="009F22F1">
      <w:pPr>
        <w:spacing w:line="288" w:lineRule="auto"/>
        <w:jc w:val="both"/>
        <w:rPr>
          <w:rFonts w:ascii="Arial" w:hAnsi="Arial" w:cs="Arial"/>
          <w:b/>
          <w:bCs/>
          <w:szCs w:val="24"/>
        </w:rPr>
      </w:pPr>
      <w:r w:rsidRPr="00800112">
        <w:rPr>
          <w:rFonts w:ascii="Arial" w:hAnsi="Arial" w:cs="Arial"/>
          <w:b/>
          <w:bCs/>
          <w:szCs w:val="24"/>
        </w:rPr>
        <w:t>EL CASO CONCRETO DEL ACCIONANTE</w:t>
      </w:r>
    </w:p>
    <w:p w14:paraId="602D34E0" w14:textId="77777777" w:rsidR="00800112" w:rsidRPr="00800112" w:rsidRDefault="00800112" w:rsidP="009F22F1">
      <w:pPr>
        <w:spacing w:line="288" w:lineRule="auto"/>
        <w:jc w:val="both"/>
        <w:rPr>
          <w:rFonts w:ascii="Arial" w:hAnsi="Arial" w:cs="Arial"/>
          <w:bCs/>
          <w:szCs w:val="24"/>
        </w:rPr>
      </w:pPr>
    </w:p>
    <w:p w14:paraId="1E26905A"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 xml:space="preserve">Como viene de verse existen varias razones que por </w:t>
      </w:r>
      <w:proofErr w:type="spellStart"/>
      <w:r w:rsidRPr="00800112">
        <w:rPr>
          <w:rFonts w:ascii="Arial" w:hAnsi="Arial" w:cs="Arial"/>
          <w:bCs/>
          <w:szCs w:val="24"/>
        </w:rPr>
        <w:t>si</w:t>
      </w:r>
      <w:proofErr w:type="spellEnd"/>
      <w:r w:rsidRPr="00800112">
        <w:rPr>
          <w:rFonts w:ascii="Arial" w:hAnsi="Arial" w:cs="Arial"/>
          <w:bCs/>
          <w:szCs w:val="24"/>
        </w:rPr>
        <w:t xml:space="preserve"> solas o en conjunto impiden acceder a las pretensiones del actor:</w:t>
      </w:r>
    </w:p>
    <w:p w14:paraId="487C972D" w14:textId="77777777" w:rsidR="00800112" w:rsidRPr="00800112" w:rsidRDefault="00800112" w:rsidP="009F22F1">
      <w:pPr>
        <w:spacing w:line="288" w:lineRule="auto"/>
        <w:jc w:val="both"/>
        <w:rPr>
          <w:rFonts w:ascii="Arial" w:hAnsi="Arial" w:cs="Arial"/>
          <w:bCs/>
          <w:szCs w:val="24"/>
        </w:rPr>
      </w:pPr>
    </w:p>
    <w:p w14:paraId="6EC061F3"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 xml:space="preserve">Primera: Como se desprende de las consideraciones, no configuran ineficacia del traslado los actos mediante los cuales la AFP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657AA7DA" w14:textId="77777777" w:rsidR="00800112" w:rsidRPr="00800112" w:rsidRDefault="00800112" w:rsidP="009F22F1">
      <w:pPr>
        <w:spacing w:line="288" w:lineRule="auto"/>
        <w:jc w:val="both"/>
        <w:rPr>
          <w:rFonts w:ascii="Arial" w:hAnsi="Arial" w:cs="Arial"/>
          <w:bCs/>
          <w:szCs w:val="24"/>
        </w:rPr>
      </w:pPr>
    </w:p>
    <w:p w14:paraId="2D864AB6"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w:t>
      </w:r>
      <w:r w:rsidRPr="00800112">
        <w:rPr>
          <w:rFonts w:ascii="Arial" w:hAnsi="Arial" w:cs="Arial"/>
          <w:bCs/>
          <w:szCs w:val="24"/>
        </w:rPr>
        <w:lastRenderedPageBreak/>
        <w:t xml:space="preserve">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13ECECE8" w14:textId="77777777" w:rsidR="00800112" w:rsidRPr="00800112" w:rsidRDefault="00800112" w:rsidP="009F22F1">
      <w:pPr>
        <w:spacing w:line="288" w:lineRule="auto"/>
        <w:jc w:val="both"/>
        <w:rPr>
          <w:rFonts w:ascii="Arial" w:hAnsi="Arial" w:cs="Arial"/>
          <w:bCs/>
          <w:szCs w:val="24"/>
        </w:rPr>
      </w:pPr>
    </w:p>
    <w:p w14:paraId="03492A05"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de uno u otro régimen, a pesar de que el dinero con que se cuenta para cubrir la prestación es el mismo.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14:paraId="28DDBBF6" w14:textId="77777777" w:rsidR="00800112" w:rsidRPr="00800112" w:rsidRDefault="00800112" w:rsidP="009F22F1">
      <w:pPr>
        <w:spacing w:line="288" w:lineRule="auto"/>
        <w:jc w:val="both"/>
        <w:rPr>
          <w:rFonts w:ascii="Arial" w:hAnsi="Arial" w:cs="Arial"/>
          <w:bCs/>
          <w:szCs w:val="24"/>
        </w:rPr>
      </w:pPr>
    </w:p>
    <w:p w14:paraId="5D80A469"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Es que sin duda, nadie está obligado a resarcir un perjuicio que no ha causado, de allí que si el actor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2B302B09" w14:textId="77777777" w:rsidR="00800112" w:rsidRPr="00800112" w:rsidRDefault="00800112" w:rsidP="009F22F1">
      <w:pPr>
        <w:spacing w:line="288" w:lineRule="auto"/>
        <w:jc w:val="both"/>
        <w:rPr>
          <w:rFonts w:ascii="Arial" w:hAnsi="Arial" w:cs="Arial"/>
          <w:bCs/>
          <w:szCs w:val="24"/>
        </w:rPr>
      </w:pPr>
    </w:p>
    <w:p w14:paraId="71EFB868"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 xml:space="preserve">Tercera: Como se informa en la providencia que se acompaña, existe suficiente prueba en el expediente que muestra que la AFP Protección S.A. dio la información que correspondía para que se pudiera pregonar que el traslado fue realizado con conocimiento informado por parte de la actora. </w:t>
      </w:r>
    </w:p>
    <w:p w14:paraId="14825A35" w14:textId="77777777" w:rsidR="00800112" w:rsidRPr="00800112" w:rsidRDefault="00800112" w:rsidP="009F22F1">
      <w:pPr>
        <w:spacing w:line="288" w:lineRule="auto"/>
        <w:jc w:val="both"/>
        <w:rPr>
          <w:rFonts w:ascii="Arial" w:hAnsi="Arial" w:cs="Arial"/>
          <w:bCs/>
          <w:szCs w:val="24"/>
        </w:rPr>
      </w:pPr>
    </w:p>
    <w:p w14:paraId="67CB506F"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7DD9A077" w14:textId="77777777" w:rsidR="00800112" w:rsidRPr="00800112" w:rsidRDefault="00800112" w:rsidP="009F22F1">
      <w:pPr>
        <w:spacing w:line="288" w:lineRule="auto"/>
        <w:jc w:val="both"/>
        <w:rPr>
          <w:rFonts w:ascii="Arial" w:hAnsi="Arial" w:cs="Arial"/>
          <w:bCs/>
          <w:szCs w:val="24"/>
        </w:rPr>
      </w:pPr>
    </w:p>
    <w:p w14:paraId="20EDF5E2" w14:textId="77777777" w:rsidR="00800112" w:rsidRPr="00800112" w:rsidRDefault="00800112" w:rsidP="00800112">
      <w:pPr>
        <w:ind w:left="426" w:right="418"/>
        <w:jc w:val="both"/>
        <w:rPr>
          <w:rFonts w:ascii="Arial" w:hAnsi="Arial" w:cs="Arial"/>
          <w:sz w:val="22"/>
          <w:szCs w:val="24"/>
          <w:lang w:val="es-CO"/>
        </w:rPr>
      </w:pPr>
      <w:r w:rsidRPr="00800112">
        <w:rPr>
          <w:rFonts w:ascii="Arial" w:hAnsi="Arial" w:cs="Arial"/>
          <w:sz w:val="22"/>
          <w:szCs w:val="24"/>
          <w:lang w:val="es-CO"/>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63FEB44B" w14:textId="77777777" w:rsidR="00800112" w:rsidRPr="00800112" w:rsidRDefault="00800112" w:rsidP="00800112">
      <w:pPr>
        <w:ind w:left="426" w:right="418"/>
        <w:jc w:val="both"/>
        <w:rPr>
          <w:rFonts w:ascii="Arial" w:hAnsi="Arial" w:cs="Arial"/>
          <w:sz w:val="22"/>
          <w:szCs w:val="24"/>
          <w:lang w:val="es-CO"/>
        </w:rPr>
      </w:pPr>
    </w:p>
    <w:p w14:paraId="3D578F3E" w14:textId="77777777" w:rsidR="00800112" w:rsidRPr="00800112" w:rsidRDefault="00800112" w:rsidP="00800112">
      <w:pPr>
        <w:ind w:left="426" w:right="418"/>
        <w:jc w:val="both"/>
        <w:rPr>
          <w:rFonts w:ascii="Arial" w:hAnsi="Arial" w:cs="Arial"/>
          <w:sz w:val="22"/>
          <w:szCs w:val="24"/>
          <w:lang w:val="es-CO"/>
        </w:rPr>
      </w:pPr>
      <w:r w:rsidRPr="00800112">
        <w:rPr>
          <w:rFonts w:ascii="Arial" w:hAnsi="Arial" w:cs="Arial"/>
          <w:sz w:val="22"/>
          <w:szCs w:val="24"/>
          <w:lang w:val="es-CO"/>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w:t>
      </w:r>
      <w:r w:rsidRPr="00800112">
        <w:rPr>
          <w:rFonts w:ascii="Arial" w:hAnsi="Arial" w:cs="Arial"/>
          <w:sz w:val="22"/>
          <w:szCs w:val="24"/>
          <w:lang w:val="es-CO"/>
        </w:rPr>
        <w:lastRenderedPageBreak/>
        <w:t xml:space="preserve">de la prueba de no haber recibido la información que ahora echa de menos, está en cabeza del suscriptor, pues se repite, la ley lo presume capaz y hábil para dirigir sus asuntos y negocios importantes.  </w:t>
      </w:r>
    </w:p>
    <w:p w14:paraId="631F09E0" w14:textId="77777777" w:rsidR="00800112" w:rsidRPr="00800112" w:rsidRDefault="00800112" w:rsidP="009F22F1">
      <w:pPr>
        <w:spacing w:line="288" w:lineRule="auto"/>
        <w:jc w:val="both"/>
        <w:rPr>
          <w:rFonts w:ascii="Arial" w:hAnsi="Arial" w:cs="Arial"/>
          <w:bCs/>
          <w:szCs w:val="24"/>
        </w:rPr>
      </w:pPr>
    </w:p>
    <w:p w14:paraId="38CAB3BD" w14:textId="77777777" w:rsidR="00800112" w:rsidRPr="009F22F1" w:rsidRDefault="00800112" w:rsidP="009F22F1">
      <w:pPr>
        <w:spacing w:line="288" w:lineRule="auto"/>
        <w:jc w:val="both"/>
        <w:rPr>
          <w:rFonts w:ascii="Arial" w:hAnsi="Arial" w:cs="Arial"/>
          <w:bCs/>
          <w:szCs w:val="24"/>
        </w:rPr>
      </w:pPr>
      <w:r w:rsidRPr="00800112">
        <w:rPr>
          <w:rFonts w:ascii="Arial" w:hAnsi="Arial" w:cs="Arial"/>
          <w:bCs/>
          <w:szCs w:val="24"/>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revocar en su integridad la sentencia recurrida.</w:t>
      </w:r>
    </w:p>
    <w:p w14:paraId="11C29E37" w14:textId="77777777" w:rsidR="00800112" w:rsidRPr="00800112" w:rsidRDefault="00800112" w:rsidP="009F22F1">
      <w:pPr>
        <w:spacing w:line="288" w:lineRule="auto"/>
        <w:jc w:val="both"/>
        <w:rPr>
          <w:rFonts w:ascii="Arial" w:hAnsi="Arial" w:cs="Arial"/>
          <w:bCs/>
          <w:szCs w:val="24"/>
        </w:rPr>
      </w:pPr>
    </w:p>
    <w:p w14:paraId="535E1993" w14:textId="77777777" w:rsidR="00800112" w:rsidRPr="00800112" w:rsidRDefault="00800112" w:rsidP="009F22F1">
      <w:pPr>
        <w:spacing w:line="288" w:lineRule="auto"/>
        <w:jc w:val="both"/>
        <w:rPr>
          <w:rFonts w:ascii="Arial" w:hAnsi="Arial" w:cs="Arial"/>
          <w:bCs/>
          <w:szCs w:val="24"/>
        </w:rPr>
      </w:pPr>
      <w:r w:rsidRPr="00800112">
        <w:rPr>
          <w:rFonts w:ascii="Arial" w:hAnsi="Arial" w:cs="Arial"/>
          <w:bCs/>
          <w:szCs w:val="24"/>
        </w:rPr>
        <w:t>Dejo así aclarado mi voto,</w:t>
      </w:r>
    </w:p>
    <w:p w14:paraId="52CD2E7E" w14:textId="77777777" w:rsidR="005A6624" w:rsidRPr="009F22F1" w:rsidRDefault="005A6624" w:rsidP="009F22F1">
      <w:pPr>
        <w:spacing w:line="288" w:lineRule="auto"/>
        <w:jc w:val="both"/>
        <w:rPr>
          <w:rFonts w:ascii="Arial" w:hAnsi="Arial" w:cs="Arial"/>
          <w:bCs/>
          <w:szCs w:val="24"/>
        </w:rPr>
      </w:pPr>
    </w:p>
    <w:p w14:paraId="723C5D13" w14:textId="77777777" w:rsidR="00800112" w:rsidRPr="009F22F1" w:rsidRDefault="00800112" w:rsidP="009F22F1">
      <w:pPr>
        <w:spacing w:line="288" w:lineRule="auto"/>
        <w:jc w:val="both"/>
        <w:rPr>
          <w:rFonts w:ascii="Arial" w:hAnsi="Arial" w:cs="Arial"/>
          <w:bCs/>
          <w:szCs w:val="24"/>
        </w:rPr>
      </w:pPr>
    </w:p>
    <w:p w14:paraId="10CB8B7B" w14:textId="77777777" w:rsidR="00800112" w:rsidRPr="009F22F1" w:rsidRDefault="00800112" w:rsidP="009F22F1">
      <w:pPr>
        <w:spacing w:line="288" w:lineRule="auto"/>
        <w:jc w:val="both"/>
        <w:rPr>
          <w:rFonts w:ascii="Arial" w:hAnsi="Arial" w:cs="Arial"/>
          <w:bCs/>
          <w:szCs w:val="24"/>
        </w:rPr>
      </w:pPr>
    </w:p>
    <w:p w14:paraId="247D73B6" w14:textId="77777777" w:rsidR="005A6624" w:rsidRPr="009F22F1" w:rsidRDefault="005A6624" w:rsidP="009F22F1">
      <w:pPr>
        <w:spacing w:line="288" w:lineRule="auto"/>
        <w:jc w:val="both"/>
        <w:rPr>
          <w:rFonts w:ascii="Arial" w:hAnsi="Arial" w:cs="Arial"/>
          <w:bCs/>
          <w:szCs w:val="24"/>
        </w:rPr>
      </w:pPr>
    </w:p>
    <w:p w14:paraId="7BCCE215" w14:textId="77777777" w:rsidR="005A6624" w:rsidRPr="00BF0B47" w:rsidRDefault="005A6624" w:rsidP="005A6624">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25DEE83D" w14:textId="6A22E16B" w:rsidR="00B346B8" w:rsidRPr="005A6624" w:rsidRDefault="005A6624" w:rsidP="005A6624">
      <w:pPr>
        <w:spacing w:line="288" w:lineRule="auto"/>
        <w:contextualSpacing/>
        <w:jc w:val="center"/>
        <w:rPr>
          <w:rFonts w:ascii="Arial" w:hAnsi="Arial" w:cs="Arial"/>
          <w:color w:val="000000" w:themeColor="text1"/>
          <w:sz w:val="23"/>
          <w:szCs w:val="23"/>
        </w:rPr>
      </w:pPr>
      <w:r w:rsidRPr="00BF0B47">
        <w:rPr>
          <w:rFonts w:ascii="Arial" w:eastAsia="Calibri" w:hAnsi="Arial" w:cs="Arial"/>
          <w:szCs w:val="24"/>
          <w:lang w:val="es-CO" w:eastAsia="en-US"/>
        </w:rPr>
        <w:t>Magistrado</w:t>
      </w:r>
    </w:p>
    <w:sectPr w:rsidR="00B346B8" w:rsidRPr="005A6624" w:rsidSect="00091C6F">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6C35" w14:textId="77777777" w:rsidR="00130D0D" w:rsidRDefault="00130D0D" w:rsidP="00AD05E0">
      <w:r>
        <w:separator/>
      </w:r>
    </w:p>
  </w:endnote>
  <w:endnote w:type="continuationSeparator" w:id="0">
    <w:p w14:paraId="0E5620CA" w14:textId="77777777" w:rsidR="00130D0D" w:rsidRDefault="00130D0D"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rPr>
    </w:sdtEndPr>
    <w:sdtContent>
      <w:p w14:paraId="5FEE922B" w14:textId="77777777" w:rsidR="00DC21CC" w:rsidRPr="00DF2F6D" w:rsidRDefault="00DC21CC">
        <w:pPr>
          <w:pStyle w:val="Piedepgina"/>
          <w:jc w:val="right"/>
          <w:rPr>
            <w:rFonts w:ascii="Arial" w:hAnsi="Arial" w:cs="Arial"/>
            <w:sz w:val="18"/>
          </w:rPr>
        </w:pPr>
        <w:r w:rsidRPr="00DF2F6D">
          <w:rPr>
            <w:rFonts w:ascii="Arial" w:hAnsi="Arial" w:cs="Arial"/>
            <w:sz w:val="18"/>
          </w:rPr>
          <w:fldChar w:fldCharType="begin"/>
        </w:r>
        <w:r w:rsidRPr="00DF2F6D">
          <w:rPr>
            <w:rFonts w:ascii="Arial" w:hAnsi="Arial" w:cs="Arial"/>
            <w:sz w:val="18"/>
          </w:rPr>
          <w:instrText>PAGE   \* MERGEFORMAT</w:instrText>
        </w:r>
        <w:r w:rsidRPr="00DF2F6D">
          <w:rPr>
            <w:rFonts w:ascii="Arial" w:hAnsi="Arial" w:cs="Arial"/>
            <w:sz w:val="18"/>
          </w:rPr>
          <w:fldChar w:fldCharType="separate"/>
        </w:r>
        <w:r w:rsidR="00DC2BC7" w:rsidRPr="00DC2BC7">
          <w:rPr>
            <w:rFonts w:ascii="Arial" w:hAnsi="Arial" w:cs="Arial"/>
            <w:noProof/>
            <w:sz w:val="18"/>
            <w:lang w:val="es-ES"/>
          </w:rPr>
          <w:t>21</w:t>
        </w:r>
        <w:r w:rsidRPr="00DF2F6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33C5" w14:textId="77777777" w:rsidR="00130D0D" w:rsidRDefault="00130D0D" w:rsidP="00AD05E0">
      <w:r>
        <w:separator/>
      </w:r>
    </w:p>
  </w:footnote>
  <w:footnote w:type="continuationSeparator" w:id="0">
    <w:p w14:paraId="19116980" w14:textId="77777777" w:rsidR="00130D0D" w:rsidRDefault="00130D0D" w:rsidP="00AD05E0">
      <w:r>
        <w:continuationSeparator/>
      </w:r>
    </w:p>
  </w:footnote>
  <w:footnote w:id="1">
    <w:p w14:paraId="7C010BD3" w14:textId="77777777" w:rsidR="00FB653F" w:rsidRPr="00DF2F6D" w:rsidRDefault="00FB653F"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w:t>
      </w:r>
      <w:r w:rsidRPr="00DF2F6D">
        <w:rPr>
          <w:rFonts w:ascii="Arial" w:hAnsi="Arial" w:cs="Arial"/>
          <w:sz w:val="18"/>
          <w:szCs w:val="18"/>
          <w:lang w:val="es-CO"/>
        </w:rPr>
        <w:t>SL4964 del 14/11/2018, radicado 54814, SL1452 del 03/04/2019, radicado 68852 y SL1688 del 08/05/2019.</w:t>
      </w:r>
    </w:p>
  </w:footnote>
  <w:footnote w:id="2">
    <w:p w14:paraId="4F2F8581" w14:textId="77777777" w:rsidR="00FB653F" w:rsidRPr="00DF2F6D" w:rsidRDefault="00FB653F"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Parra, Quijano, J. “</w:t>
      </w:r>
      <w:r w:rsidRPr="00DF2F6D">
        <w:rPr>
          <w:rFonts w:ascii="Arial" w:hAnsi="Arial" w:cs="Arial"/>
          <w:i/>
          <w:sz w:val="18"/>
          <w:szCs w:val="18"/>
        </w:rPr>
        <w:t xml:space="preserve">Manual de Derecho Probatorio”, </w:t>
      </w:r>
      <w:r w:rsidRPr="00DF2F6D">
        <w:rPr>
          <w:rFonts w:ascii="Arial" w:hAnsi="Arial" w:cs="Arial"/>
          <w:sz w:val="18"/>
          <w:szCs w:val="18"/>
        </w:rPr>
        <w:t>Ediciones del Profesional Ltda., Sexta Edición, 2007, pp. 148.</w:t>
      </w:r>
    </w:p>
  </w:footnote>
  <w:footnote w:id="3">
    <w:p w14:paraId="6D217669" w14:textId="77777777" w:rsidR="00FB653F" w:rsidRPr="00DF2F6D" w:rsidRDefault="00FB653F"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w:t>
      </w:r>
      <w:proofErr w:type="spellStart"/>
      <w:r w:rsidRPr="00DF2F6D">
        <w:rPr>
          <w:rFonts w:ascii="Arial" w:hAnsi="Arial" w:cs="Arial"/>
          <w:sz w:val="18"/>
          <w:szCs w:val="18"/>
        </w:rPr>
        <w:t>Sent</w:t>
      </w:r>
      <w:proofErr w:type="spellEnd"/>
      <w:r w:rsidRPr="00DF2F6D">
        <w:rPr>
          <w:rFonts w:ascii="Arial" w:hAnsi="Arial" w:cs="Arial"/>
          <w:sz w:val="18"/>
          <w:szCs w:val="18"/>
        </w:rPr>
        <w:t xml:space="preserve">. Cas. </w:t>
      </w:r>
      <w:proofErr w:type="spellStart"/>
      <w:r w:rsidRPr="00DF2F6D">
        <w:rPr>
          <w:rFonts w:ascii="Arial" w:hAnsi="Arial" w:cs="Arial"/>
          <w:sz w:val="18"/>
          <w:szCs w:val="18"/>
        </w:rPr>
        <w:t>Civ</w:t>
      </w:r>
      <w:proofErr w:type="spellEnd"/>
      <w:r w:rsidRPr="00DF2F6D">
        <w:rPr>
          <w:rFonts w:ascii="Arial" w:hAnsi="Arial" w:cs="Arial"/>
          <w:sz w:val="18"/>
          <w:szCs w:val="18"/>
        </w:rPr>
        <w:t>. de 15/11/2017, SC18476-2017.</w:t>
      </w:r>
    </w:p>
  </w:footnote>
  <w:footnote w:id="4">
    <w:p w14:paraId="37C87E1A" w14:textId="77777777" w:rsidR="00FB653F" w:rsidRPr="00DF2F6D" w:rsidRDefault="00FB653F"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w:t>
      </w:r>
      <w:proofErr w:type="spellStart"/>
      <w:r w:rsidRPr="00DF2F6D">
        <w:rPr>
          <w:rFonts w:ascii="Arial" w:hAnsi="Arial" w:cs="Arial"/>
          <w:sz w:val="18"/>
          <w:szCs w:val="18"/>
          <w:lang w:val="es-CO"/>
        </w:rPr>
        <w:t>Sent</w:t>
      </w:r>
      <w:proofErr w:type="spellEnd"/>
      <w:r w:rsidRPr="00DF2F6D">
        <w:rPr>
          <w:rFonts w:ascii="Arial" w:hAnsi="Arial" w:cs="Arial"/>
          <w:sz w:val="18"/>
          <w:szCs w:val="18"/>
          <w:lang w:val="es-CO"/>
        </w:rPr>
        <w:t xml:space="preserve">. Cas. </w:t>
      </w:r>
      <w:proofErr w:type="spellStart"/>
      <w:r w:rsidRPr="00DF2F6D">
        <w:rPr>
          <w:rFonts w:ascii="Arial" w:hAnsi="Arial" w:cs="Arial"/>
          <w:sz w:val="18"/>
          <w:szCs w:val="18"/>
          <w:lang w:val="es-CO"/>
        </w:rPr>
        <w:t>Lab</w:t>
      </w:r>
      <w:proofErr w:type="spellEnd"/>
      <w:r w:rsidRPr="00DF2F6D">
        <w:rPr>
          <w:rFonts w:ascii="Arial" w:hAnsi="Arial" w:cs="Arial"/>
          <w:sz w:val="18"/>
          <w:szCs w:val="18"/>
          <w:lang w:val="es-CO"/>
        </w:rPr>
        <w:t xml:space="preserve">. de 03/04/2019, SL1452-2019. </w:t>
      </w:r>
    </w:p>
  </w:footnote>
  <w:footnote w:id="5">
    <w:p w14:paraId="2B054594" w14:textId="77777777" w:rsidR="00DC21CC" w:rsidRPr="00DF2F6D" w:rsidRDefault="00DC21CC"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w:t>
      </w:r>
      <w:r w:rsidRPr="00DF2F6D">
        <w:rPr>
          <w:rFonts w:ascii="Arial" w:hAnsi="Arial" w:cs="Arial"/>
          <w:sz w:val="18"/>
          <w:szCs w:val="18"/>
          <w:lang w:val="es-CO"/>
        </w:rPr>
        <w:t>Artículo 2, parágrafo 2º</w:t>
      </w:r>
    </w:p>
  </w:footnote>
  <w:footnote w:id="6">
    <w:p w14:paraId="044B10BE" w14:textId="77777777" w:rsidR="00DC21CC" w:rsidRPr="00DF2F6D" w:rsidRDefault="00DC21CC" w:rsidP="00DF2F6D">
      <w:pPr>
        <w:pStyle w:val="Textonotapie"/>
        <w:jc w:val="both"/>
        <w:rPr>
          <w:rFonts w:ascii="Arial" w:hAnsi="Arial" w:cs="Arial"/>
          <w:sz w:val="18"/>
          <w:szCs w:val="18"/>
          <w:lang w:val="es-CO"/>
        </w:rPr>
      </w:pPr>
      <w:r w:rsidRPr="00DF2F6D">
        <w:rPr>
          <w:rStyle w:val="Refdenotaalpie"/>
          <w:rFonts w:ascii="Arial" w:hAnsi="Arial" w:cs="Arial"/>
          <w:sz w:val="18"/>
          <w:szCs w:val="18"/>
        </w:rPr>
        <w:footnoteRef/>
      </w:r>
      <w:r w:rsidRPr="00DF2F6D">
        <w:rPr>
          <w:rFonts w:ascii="Arial" w:hAnsi="Arial" w:cs="Arial"/>
          <w:sz w:val="18"/>
          <w:szCs w:val="18"/>
        </w:rPr>
        <w:t xml:space="preserve"> </w:t>
      </w:r>
      <w:r w:rsidRPr="00DF2F6D">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DC21CC" w:rsidRPr="00BB3FED" w:rsidRDefault="00DC21CC"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2E092B65" w:rsidR="00DC21CC" w:rsidRPr="00BB3FED" w:rsidRDefault="00DC21CC"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66001-31-05-005-2017-00433-01</w:t>
    </w:r>
  </w:p>
  <w:p w14:paraId="4EB9A5EC" w14:textId="4B84A9CE" w:rsidR="00DC21CC" w:rsidRPr="00BB3FED" w:rsidRDefault="00DC21CC" w:rsidP="00AD05E0">
    <w:pPr>
      <w:pStyle w:val="Encabezado"/>
      <w:jc w:val="center"/>
      <w:rPr>
        <w:rFonts w:ascii="Arial" w:hAnsi="Arial" w:cs="Arial"/>
        <w:sz w:val="18"/>
        <w:szCs w:val="18"/>
      </w:rPr>
    </w:pPr>
    <w:r>
      <w:rPr>
        <w:rFonts w:ascii="Arial" w:hAnsi="Arial" w:cs="Arial"/>
        <w:sz w:val="18"/>
        <w:szCs w:val="18"/>
      </w:rPr>
      <w:t xml:space="preserve">Héctor Fabio Zapata Calderón </w:t>
    </w:r>
    <w:r w:rsidRPr="00BB3FED">
      <w:rPr>
        <w:rFonts w:ascii="Arial" w:hAnsi="Arial" w:cs="Arial"/>
        <w:sz w:val="18"/>
        <w:szCs w:val="18"/>
      </w:rPr>
      <w:t xml:space="preserve">vs </w:t>
    </w:r>
    <w:r>
      <w:rPr>
        <w:rFonts w:ascii="Arial" w:hAnsi="Arial" w:cs="Arial"/>
        <w:sz w:val="18"/>
        <w:szCs w:val="18"/>
      </w:rPr>
      <w:t>Colpensiones – Protección S.A.</w:t>
    </w:r>
  </w:p>
  <w:p w14:paraId="431F3191" w14:textId="77777777" w:rsidR="00DC21CC" w:rsidRPr="00AD05E0" w:rsidRDefault="00DC2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06D6A"/>
    <w:rsid w:val="00010637"/>
    <w:rsid w:val="000112EE"/>
    <w:rsid w:val="000130F9"/>
    <w:rsid w:val="00013A49"/>
    <w:rsid w:val="00013E64"/>
    <w:rsid w:val="0002018D"/>
    <w:rsid w:val="00024061"/>
    <w:rsid w:val="00026B8E"/>
    <w:rsid w:val="00031373"/>
    <w:rsid w:val="000363A7"/>
    <w:rsid w:val="00042329"/>
    <w:rsid w:val="0004459B"/>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1C6F"/>
    <w:rsid w:val="00093D99"/>
    <w:rsid w:val="000947FC"/>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26B5"/>
    <w:rsid w:val="000F469A"/>
    <w:rsid w:val="000F683C"/>
    <w:rsid w:val="000F6C16"/>
    <w:rsid w:val="001045F7"/>
    <w:rsid w:val="0010619D"/>
    <w:rsid w:val="00110327"/>
    <w:rsid w:val="00111CAC"/>
    <w:rsid w:val="00114128"/>
    <w:rsid w:val="001147F4"/>
    <w:rsid w:val="001178F8"/>
    <w:rsid w:val="00117D61"/>
    <w:rsid w:val="00120390"/>
    <w:rsid w:val="00120F1D"/>
    <w:rsid w:val="001232E7"/>
    <w:rsid w:val="0012732C"/>
    <w:rsid w:val="00130D0D"/>
    <w:rsid w:val="00130EA3"/>
    <w:rsid w:val="00132B25"/>
    <w:rsid w:val="00134816"/>
    <w:rsid w:val="001350A1"/>
    <w:rsid w:val="00135E06"/>
    <w:rsid w:val="00137303"/>
    <w:rsid w:val="00137A88"/>
    <w:rsid w:val="0014035A"/>
    <w:rsid w:val="001414A4"/>
    <w:rsid w:val="00142B40"/>
    <w:rsid w:val="00144DE7"/>
    <w:rsid w:val="00144EBF"/>
    <w:rsid w:val="0014698C"/>
    <w:rsid w:val="00152759"/>
    <w:rsid w:val="00152966"/>
    <w:rsid w:val="001601F4"/>
    <w:rsid w:val="001606DF"/>
    <w:rsid w:val="00163D64"/>
    <w:rsid w:val="00163DC6"/>
    <w:rsid w:val="00164161"/>
    <w:rsid w:val="00164FFA"/>
    <w:rsid w:val="0017156B"/>
    <w:rsid w:val="00174D44"/>
    <w:rsid w:val="001753E0"/>
    <w:rsid w:val="001776D0"/>
    <w:rsid w:val="00182E71"/>
    <w:rsid w:val="001838B2"/>
    <w:rsid w:val="00194196"/>
    <w:rsid w:val="00194B13"/>
    <w:rsid w:val="001976D0"/>
    <w:rsid w:val="00197B6B"/>
    <w:rsid w:val="001A74F6"/>
    <w:rsid w:val="001B1B97"/>
    <w:rsid w:val="001B2227"/>
    <w:rsid w:val="001B2745"/>
    <w:rsid w:val="001B2DC7"/>
    <w:rsid w:val="001B304F"/>
    <w:rsid w:val="001B5268"/>
    <w:rsid w:val="001B560D"/>
    <w:rsid w:val="001C0881"/>
    <w:rsid w:val="001C1FE6"/>
    <w:rsid w:val="001D3166"/>
    <w:rsid w:val="001D3F07"/>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02C"/>
    <w:rsid w:val="00220966"/>
    <w:rsid w:val="00221F1D"/>
    <w:rsid w:val="00223C67"/>
    <w:rsid w:val="00224029"/>
    <w:rsid w:val="00231F1D"/>
    <w:rsid w:val="00232A47"/>
    <w:rsid w:val="002357E5"/>
    <w:rsid w:val="00236054"/>
    <w:rsid w:val="00237DF3"/>
    <w:rsid w:val="00241391"/>
    <w:rsid w:val="00244372"/>
    <w:rsid w:val="00246047"/>
    <w:rsid w:val="00251084"/>
    <w:rsid w:val="00251858"/>
    <w:rsid w:val="00252894"/>
    <w:rsid w:val="00255027"/>
    <w:rsid w:val="00260F99"/>
    <w:rsid w:val="00261B2E"/>
    <w:rsid w:val="0026720A"/>
    <w:rsid w:val="002714A8"/>
    <w:rsid w:val="002720DE"/>
    <w:rsid w:val="0027604C"/>
    <w:rsid w:val="0027718A"/>
    <w:rsid w:val="00281327"/>
    <w:rsid w:val="002816BE"/>
    <w:rsid w:val="00282D5F"/>
    <w:rsid w:val="00283061"/>
    <w:rsid w:val="002903E7"/>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69AF"/>
    <w:rsid w:val="00333F2A"/>
    <w:rsid w:val="00334628"/>
    <w:rsid w:val="00336C03"/>
    <w:rsid w:val="00344DB9"/>
    <w:rsid w:val="00346681"/>
    <w:rsid w:val="003504F3"/>
    <w:rsid w:val="00351FC5"/>
    <w:rsid w:val="00352CAD"/>
    <w:rsid w:val="00354ABF"/>
    <w:rsid w:val="00355585"/>
    <w:rsid w:val="00360EB6"/>
    <w:rsid w:val="003640DA"/>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BF6"/>
    <w:rsid w:val="003B3E2B"/>
    <w:rsid w:val="003B6C32"/>
    <w:rsid w:val="003C3F94"/>
    <w:rsid w:val="003C6A21"/>
    <w:rsid w:val="003D08A9"/>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7F9D"/>
    <w:rsid w:val="004302B8"/>
    <w:rsid w:val="00433A40"/>
    <w:rsid w:val="00435959"/>
    <w:rsid w:val="00435966"/>
    <w:rsid w:val="00435C7C"/>
    <w:rsid w:val="0043724B"/>
    <w:rsid w:val="00437340"/>
    <w:rsid w:val="004400E5"/>
    <w:rsid w:val="0044083A"/>
    <w:rsid w:val="00443DAF"/>
    <w:rsid w:val="00445BE4"/>
    <w:rsid w:val="00455494"/>
    <w:rsid w:val="004617FD"/>
    <w:rsid w:val="0046517A"/>
    <w:rsid w:val="00466E9D"/>
    <w:rsid w:val="004700F4"/>
    <w:rsid w:val="004710C5"/>
    <w:rsid w:val="004768B4"/>
    <w:rsid w:val="00477D71"/>
    <w:rsid w:val="00482F8C"/>
    <w:rsid w:val="00484BBB"/>
    <w:rsid w:val="00486686"/>
    <w:rsid w:val="0049099F"/>
    <w:rsid w:val="004914F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2408"/>
    <w:rsid w:val="004E28C9"/>
    <w:rsid w:val="004E3EE1"/>
    <w:rsid w:val="004E6434"/>
    <w:rsid w:val="004E7FEC"/>
    <w:rsid w:val="004F65AF"/>
    <w:rsid w:val="004F741B"/>
    <w:rsid w:val="00500565"/>
    <w:rsid w:val="00503987"/>
    <w:rsid w:val="00507A26"/>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86EC9"/>
    <w:rsid w:val="005900B4"/>
    <w:rsid w:val="00590F19"/>
    <w:rsid w:val="005920A9"/>
    <w:rsid w:val="005946BA"/>
    <w:rsid w:val="005A0D0C"/>
    <w:rsid w:val="005A1F09"/>
    <w:rsid w:val="005A3510"/>
    <w:rsid w:val="005A5643"/>
    <w:rsid w:val="005A6624"/>
    <w:rsid w:val="005B273D"/>
    <w:rsid w:val="005B3447"/>
    <w:rsid w:val="005B5D81"/>
    <w:rsid w:val="005C2028"/>
    <w:rsid w:val="005C30F7"/>
    <w:rsid w:val="005C65EA"/>
    <w:rsid w:val="005C7B7F"/>
    <w:rsid w:val="005D0298"/>
    <w:rsid w:val="005D02D4"/>
    <w:rsid w:val="005D624B"/>
    <w:rsid w:val="005E24E9"/>
    <w:rsid w:val="005E2672"/>
    <w:rsid w:val="005E35FE"/>
    <w:rsid w:val="005E411D"/>
    <w:rsid w:val="005E5211"/>
    <w:rsid w:val="005F2671"/>
    <w:rsid w:val="005F33D2"/>
    <w:rsid w:val="005F4688"/>
    <w:rsid w:val="005F66C7"/>
    <w:rsid w:val="005F7D16"/>
    <w:rsid w:val="00603B2D"/>
    <w:rsid w:val="00604FAE"/>
    <w:rsid w:val="00605A7E"/>
    <w:rsid w:val="00610CC9"/>
    <w:rsid w:val="006121E1"/>
    <w:rsid w:val="00616117"/>
    <w:rsid w:val="006176A0"/>
    <w:rsid w:val="00620025"/>
    <w:rsid w:val="00621049"/>
    <w:rsid w:val="00621925"/>
    <w:rsid w:val="0062295A"/>
    <w:rsid w:val="006261D0"/>
    <w:rsid w:val="00632AB1"/>
    <w:rsid w:val="00632D88"/>
    <w:rsid w:val="0063603E"/>
    <w:rsid w:val="006375B7"/>
    <w:rsid w:val="00643988"/>
    <w:rsid w:val="00643D57"/>
    <w:rsid w:val="00646612"/>
    <w:rsid w:val="00646A53"/>
    <w:rsid w:val="00646BE7"/>
    <w:rsid w:val="00647A8B"/>
    <w:rsid w:val="00647EF8"/>
    <w:rsid w:val="00652E3E"/>
    <w:rsid w:val="00653110"/>
    <w:rsid w:val="00654A86"/>
    <w:rsid w:val="00655B94"/>
    <w:rsid w:val="006561F1"/>
    <w:rsid w:val="00656D76"/>
    <w:rsid w:val="00660700"/>
    <w:rsid w:val="00663480"/>
    <w:rsid w:val="0066459D"/>
    <w:rsid w:val="00666C6A"/>
    <w:rsid w:val="00676A2D"/>
    <w:rsid w:val="00691AC6"/>
    <w:rsid w:val="006950F6"/>
    <w:rsid w:val="00697207"/>
    <w:rsid w:val="006A428F"/>
    <w:rsid w:val="006A687B"/>
    <w:rsid w:val="006A77EE"/>
    <w:rsid w:val="006A7958"/>
    <w:rsid w:val="006B2236"/>
    <w:rsid w:val="006B2870"/>
    <w:rsid w:val="006B30AC"/>
    <w:rsid w:val="006B5D48"/>
    <w:rsid w:val="006B6BAF"/>
    <w:rsid w:val="006C049E"/>
    <w:rsid w:val="006C3FC9"/>
    <w:rsid w:val="006C6C83"/>
    <w:rsid w:val="006D0102"/>
    <w:rsid w:val="006D0AA0"/>
    <w:rsid w:val="006D18BC"/>
    <w:rsid w:val="006D2429"/>
    <w:rsid w:val="006D2F3D"/>
    <w:rsid w:val="006D3E9F"/>
    <w:rsid w:val="006D656F"/>
    <w:rsid w:val="006D77BD"/>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4186"/>
    <w:rsid w:val="0071730D"/>
    <w:rsid w:val="007213C7"/>
    <w:rsid w:val="0072651F"/>
    <w:rsid w:val="007311ED"/>
    <w:rsid w:val="007318F3"/>
    <w:rsid w:val="007334CB"/>
    <w:rsid w:val="0073571A"/>
    <w:rsid w:val="0074079F"/>
    <w:rsid w:val="00746921"/>
    <w:rsid w:val="0075588E"/>
    <w:rsid w:val="00756C7F"/>
    <w:rsid w:val="00761CC7"/>
    <w:rsid w:val="00762804"/>
    <w:rsid w:val="00766CBC"/>
    <w:rsid w:val="00770841"/>
    <w:rsid w:val="007718FF"/>
    <w:rsid w:val="00771EEF"/>
    <w:rsid w:val="00776E9C"/>
    <w:rsid w:val="0078009F"/>
    <w:rsid w:val="00782A12"/>
    <w:rsid w:val="007836DD"/>
    <w:rsid w:val="007846BF"/>
    <w:rsid w:val="0078502F"/>
    <w:rsid w:val="00785910"/>
    <w:rsid w:val="00786092"/>
    <w:rsid w:val="007917AA"/>
    <w:rsid w:val="007938ED"/>
    <w:rsid w:val="007A771C"/>
    <w:rsid w:val="007B3B1B"/>
    <w:rsid w:val="007B4962"/>
    <w:rsid w:val="007B5EAD"/>
    <w:rsid w:val="007C3872"/>
    <w:rsid w:val="007C3CBB"/>
    <w:rsid w:val="007C51D9"/>
    <w:rsid w:val="007D1C98"/>
    <w:rsid w:val="007D2ADD"/>
    <w:rsid w:val="007D4FCA"/>
    <w:rsid w:val="007D66C2"/>
    <w:rsid w:val="007E1394"/>
    <w:rsid w:val="007E30F5"/>
    <w:rsid w:val="007E499F"/>
    <w:rsid w:val="007F263E"/>
    <w:rsid w:val="007F2FCF"/>
    <w:rsid w:val="007F343B"/>
    <w:rsid w:val="007F6AA7"/>
    <w:rsid w:val="007F72CB"/>
    <w:rsid w:val="00800112"/>
    <w:rsid w:val="0080251F"/>
    <w:rsid w:val="0080527D"/>
    <w:rsid w:val="00805774"/>
    <w:rsid w:val="00805B62"/>
    <w:rsid w:val="00806812"/>
    <w:rsid w:val="008125A7"/>
    <w:rsid w:val="00813154"/>
    <w:rsid w:val="00815917"/>
    <w:rsid w:val="008167A7"/>
    <w:rsid w:val="00816B3A"/>
    <w:rsid w:val="00817D20"/>
    <w:rsid w:val="00817F7F"/>
    <w:rsid w:val="00824764"/>
    <w:rsid w:val="008302F2"/>
    <w:rsid w:val="0083638D"/>
    <w:rsid w:val="00836EED"/>
    <w:rsid w:val="008375A1"/>
    <w:rsid w:val="00844F7F"/>
    <w:rsid w:val="00846624"/>
    <w:rsid w:val="008505D9"/>
    <w:rsid w:val="008523EB"/>
    <w:rsid w:val="00853044"/>
    <w:rsid w:val="00856878"/>
    <w:rsid w:val="00863E5E"/>
    <w:rsid w:val="0086569D"/>
    <w:rsid w:val="00865DB7"/>
    <w:rsid w:val="008660CF"/>
    <w:rsid w:val="00867DA9"/>
    <w:rsid w:val="008709F0"/>
    <w:rsid w:val="008717EE"/>
    <w:rsid w:val="0087332F"/>
    <w:rsid w:val="00875EE5"/>
    <w:rsid w:val="00881DD4"/>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E03C0"/>
    <w:rsid w:val="008E2B2E"/>
    <w:rsid w:val="008E539E"/>
    <w:rsid w:val="008F3478"/>
    <w:rsid w:val="008F59A7"/>
    <w:rsid w:val="008F70D4"/>
    <w:rsid w:val="008F74C8"/>
    <w:rsid w:val="009019D5"/>
    <w:rsid w:val="00902355"/>
    <w:rsid w:val="009047E5"/>
    <w:rsid w:val="00910988"/>
    <w:rsid w:val="009144FC"/>
    <w:rsid w:val="0091686D"/>
    <w:rsid w:val="009171C2"/>
    <w:rsid w:val="0092039A"/>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729"/>
    <w:rsid w:val="0097698F"/>
    <w:rsid w:val="00980CF9"/>
    <w:rsid w:val="00981C17"/>
    <w:rsid w:val="00983A11"/>
    <w:rsid w:val="00990CC2"/>
    <w:rsid w:val="00992815"/>
    <w:rsid w:val="00996002"/>
    <w:rsid w:val="0099624F"/>
    <w:rsid w:val="00996CEF"/>
    <w:rsid w:val="00997812"/>
    <w:rsid w:val="009A0F9A"/>
    <w:rsid w:val="009A4C68"/>
    <w:rsid w:val="009A642E"/>
    <w:rsid w:val="009B241C"/>
    <w:rsid w:val="009B7261"/>
    <w:rsid w:val="009B765B"/>
    <w:rsid w:val="009C58B9"/>
    <w:rsid w:val="009C7B48"/>
    <w:rsid w:val="009D2D3E"/>
    <w:rsid w:val="009D371A"/>
    <w:rsid w:val="009E08EB"/>
    <w:rsid w:val="009E4E33"/>
    <w:rsid w:val="009F22F1"/>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740E9"/>
    <w:rsid w:val="00A74790"/>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5AE6"/>
    <w:rsid w:val="00AB664B"/>
    <w:rsid w:val="00AC0BE1"/>
    <w:rsid w:val="00AC2773"/>
    <w:rsid w:val="00AC2ADF"/>
    <w:rsid w:val="00AC2D1B"/>
    <w:rsid w:val="00AC6A9D"/>
    <w:rsid w:val="00AC7509"/>
    <w:rsid w:val="00AD05E0"/>
    <w:rsid w:val="00AD1103"/>
    <w:rsid w:val="00AD2C6D"/>
    <w:rsid w:val="00AD3B0F"/>
    <w:rsid w:val="00AD3FEB"/>
    <w:rsid w:val="00AD7400"/>
    <w:rsid w:val="00AE137A"/>
    <w:rsid w:val="00AE4239"/>
    <w:rsid w:val="00AE7588"/>
    <w:rsid w:val="00AF03D0"/>
    <w:rsid w:val="00AF1E39"/>
    <w:rsid w:val="00AF5426"/>
    <w:rsid w:val="00AF7835"/>
    <w:rsid w:val="00AF7C52"/>
    <w:rsid w:val="00B04F95"/>
    <w:rsid w:val="00B05045"/>
    <w:rsid w:val="00B05DD6"/>
    <w:rsid w:val="00B07787"/>
    <w:rsid w:val="00B11707"/>
    <w:rsid w:val="00B11EBB"/>
    <w:rsid w:val="00B1345D"/>
    <w:rsid w:val="00B1454A"/>
    <w:rsid w:val="00B15207"/>
    <w:rsid w:val="00B200F0"/>
    <w:rsid w:val="00B20968"/>
    <w:rsid w:val="00B21B4F"/>
    <w:rsid w:val="00B2394B"/>
    <w:rsid w:val="00B24407"/>
    <w:rsid w:val="00B24FBB"/>
    <w:rsid w:val="00B311A0"/>
    <w:rsid w:val="00B316D3"/>
    <w:rsid w:val="00B33A78"/>
    <w:rsid w:val="00B346B8"/>
    <w:rsid w:val="00B34AF0"/>
    <w:rsid w:val="00B36946"/>
    <w:rsid w:val="00B377CF"/>
    <w:rsid w:val="00B426FB"/>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759AE"/>
    <w:rsid w:val="00B83F34"/>
    <w:rsid w:val="00B85B63"/>
    <w:rsid w:val="00B90506"/>
    <w:rsid w:val="00B93D8B"/>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7A6E"/>
    <w:rsid w:val="00C07C09"/>
    <w:rsid w:val="00C14414"/>
    <w:rsid w:val="00C16D5E"/>
    <w:rsid w:val="00C1758F"/>
    <w:rsid w:val="00C261A5"/>
    <w:rsid w:val="00C27581"/>
    <w:rsid w:val="00C311D4"/>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1B04"/>
    <w:rsid w:val="00CD4839"/>
    <w:rsid w:val="00CD7077"/>
    <w:rsid w:val="00CE23B7"/>
    <w:rsid w:val="00CF1946"/>
    <w:rsid w:val="00CF2FE1"/>
    <w:rsid w:val="00CF4100"/>
    <w:rsid w:val="00CF555F"/>
    <w:rsid w:val="00CF58CD"/>
    <w:rsid w:val="00CF7322"/>
    <w:rsid w:val="00D00083"/>
    <w:rsid w:val="00D00596"/>
    <w:rsid w:val="00D00A52"/>
    <w:rsid w:val="00D00C82"/>
    <w:rsid w:val="00D01DC2"/>
    <w:rsid w:val="00D02C1F"/>
    <w:rsid w:val="00D0698E"/>
    <w:rsid w:val="00D07C19"/>
    <w:rsid w:val="00D14872"/>
    <w:rsid w:val="00D167A3"/>
    <w:rsid w:val="00D20F9A"/>
    <w:rsid w:val="00D222DD"/>
    <w:rsid w:val="00D26219"/>
    <w:rsid w:val="00D30546"/>
    <w:rsid w:val="00D36869"/>
    <w:rsid w:val="00D43C88"/>
    <w:rsid w:val="00D43DA5"/>
    <w:rsid w:val="00D43DC9"/>
    <w:rsid w:val="00D47105"/>
    <w:rsid w:val="00D51E28"/>
    <w:rsid w:val="00D53ADE"/>
    <w:rsid w:val="00D54708"/>
    <w:rsid w:val="00D56B15"/>
    <w:rsid w:val="00D6229B"/>
    <w:rsid w:val="00D636F8"/>
    <w:rsid w:val="00D65A2C"/>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C0E9C"/>
    <w:rsid w:val="00DC0FA2"/>
    <w:rsid w:val="00DC1894"/>
    <w:rsid w:val="00DC21CC"/>
    <w:rsid w:val="00DC2BC7"/>
    <w:rsid w:val="00DC774C"/>
    <w:rsid w:val="00DD2605"/>
    <w:rsid w:val="00DD4FE6"/>
    <w:rsid w:val="00DE2778"/>
    <w:rsid w:val="00DE3138"/>
    <w:rsid w:val="00DE3B4B"/>
    <w:rsid w:val="00DE4ABA"/>
    <w:rsid w:val="00DE746C"/>
    <w:rsid w:val="00DF0D8F"/>
    <w:rsid w:val="00DF2F6D"/>
    <w:rsid w:val="00DF2F91"/>
    <w:rsid w:val="00DF34A2"/>
    <w:rsid w:val="00DF3E0F"/>
    <w:rsid w:val="00DF4F0D"/>
    <w:rsid w:val="00DF6C62"/>
    <w:rsid w:val="00DF7042"/>
    <w:rsid w:val="00E0046F"/>
    <w:rsid w:val="00E00748"/>
    <w:rsid w:val="00E012FC"/>
    <w:rsid w:val="00E07657"/>
    <w:rsid w:val="00E106BA"/>
    <w:rsid w:val="00E15503"/>
    <w:rsid w:val="00E1663B"/>
    <w:rsid w:val="00E21315"/>
    <w:rsid w:val="00E23AE9"/>
    <w:rsid w:val="00E267AB"/>
    <w:rsid w:val="00E31AE7"/>
    <w:rsid w:val="00E36490"/>
    <w:rsid w:val="00E36908"/>
    <w:rsid w:val="00E40269"/>
    <w:rsid w:val="00E47733"/>
    <w:rsid w:val="00E52A94"/>
    <w:rsid w:val="00E5556B"/>
    <w:rsid w:val="00E55D85"/>
    <w:rsid w:val="00E64E03"/>
    <w:rsid w:val="00E71B68"/>
    <w:rsid w:val="00E72E2B"/>
    <w:rsid w:val="00E72F2D"/>
    <w:rsid w:val="00E75572"/>
    <w:rsid w:val="00E83444"/>
    <w:rsid w:val="00E8671C"/>
    <w:rsid w:val="00E87C6F"/>
    <w:rsid w:val="00E900CB"/>
    <w:rsid w:val="00E92E5D"/>
    <w:rsid w:val="00E93B0D"/>
    <w:rsid w:val="00E954FC"/>
    <w:rsid w:val="00EA0D21"/>
    <w:rsid w:val="00EA7AA9"/>
    <w:rsid w:val="00EA7C52"/>
    <w:rsid w:val="00EB1085"/>
    <w:rsid w:val="00EB4394"/>
    <w:rsid w:val="00EB78B8"/>
    <w:rsid w:val="00EC3764"/>
    <w:rsid w:val="00EC6C43"/>
    <w:rsid w:val="00EC7B1D"/>
    <w:rsid w:val="00ED0C67"/>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B5154"/>
    <w:rsid w:val="00FB562F"/>
    <w:rsid w:val="00FB5D12"/>
    <w:rsid w:val="00FB653F"/>
    <w:rsid w:val="00FC1A7F"/>
    <w:rsid w:val="00FC2B0D"/>
    <w:rsid w:val="00FC2CCF"/>
    <w:rsid w:val="00FC4A09"/>
    <w:rsid w:val="00FC74B4"/>
    <w:rsid w:val="00FE0F21"/>
    <w:rsid w:val="00FE35C9"/>
    <w:rsid w:val="00FE421E"/>
    <w:rsid w:val="00FE4C21"/>
    <w:rsid w:val="00FE55BF"/>
    <w:rsid w:val="00FE6088"/>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F4786D1F-05DE-4F6F-ADE6-E3B7DDB9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F5DA-12F9-4759-910E-709C3EC8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11950</Words>
  <Characters>65730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2019-06-12T12:11:00Z</cp:lastPrinted>
  <dcterms:created xsi:type="dcterms:W3CDTF">2022-02-18T16:12:00Z</dcterms:created>
  <dcterms:modified xsi:type="dcterms:W3CDTF">2022-02-18T16:12:00Z</dcterms:modified>
</cp:coreProperties>
</file>