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12D" w:rsidRPr="0081012D" w:rsidRDefault="0081012D" w:rsidP="0081012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81012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1012D" w:rsidRPr="0081012D" w:rsidRDefault="0081012D" w:rsidP="0081012D">
      <w:pPr>
        <w:jc w:val="both"/>
        <w:rPr>
          <w:rFonts w:ascii="Arial" w:hAnsi="Arial" w:cs="Arial"/>
          <w:sz w:val="20"/>
          <w:lang w:val="es-419"/>
        </w:rPr>
      </w:pPr>
    </w:p>
    <w:p w:rsidR="0081012D" w:rsidRPr="0081012D" w:rsidRDefault="0081012D" w:rsidP="0081012D">
      <w:pPr>
        <w:jc w:val="both"/>
        <w:rPr>
          <w:rFonts w:ascii="Arial" w:hAnsi="Arial" w:cs="Arial"/>
          <w:sz w:val="20"/>
          <w:lang w:val="es-419"/>
        </w:rPr>
      </w:pPr>
      <w:r w:rsidRPr="0081012D">
        <w:rPr>
          <w:rFonts w:ascii="Arial" w:hAnsi="Arial" w:cs="Arial"/>
          <w:sz w:val="20"/>
          <w:lang w:val="es-419"/>
        </w:rPr>
        <w:t>Providencia:</w:t>
      </w:r>
      <w:r w:rsidRPr="0081012D">
        <w:rPr>
          <w:rFonts w:ascii="Arial" w:hAnsi="Arial" w:cs="Arial"/>
          <w:sz w:val="20"/>
          <w:lang w:val="es-419"/>
        </w:rPr>
        <w:tab/>
      </w:r>
      <w:r w:rsidRPr="0081012D">
        <w:rPr>
          <w:rFonts w:ascii="Arial" w:hAnsi="Arial" w:cs="Arial"/>
          <w:sz w:val="20"/>
          <w:lang w:val="es-419"/>
        </w:rPr>
        <w:tab/>
        <w:t>Apelación de Sentencia</w:t>
      </w:r>
    </w:p>
    <w:p w:rsidR="0081012D" w:rsidRPr="0081012D" w:rsidRDefault="0081012D" w:rsidP="0081012D">
      <w:pPr>
        <w:jc w:val="both"/>
        <w:rPr>
          <w:rFonts w:ascii="Arial" w:hAnsi="Arial" w:cs="Arial"/>
          <w:sz w:val="20"/>
          <w:lang w:val="es-419"/>
        </w:rPr>
      </w:pPr>
      <w:r w:rsidRPr="0081012D">
        <w:rPr>
          <w:rFonts w:ascii="Arial" w:hAnsi="Arial" w:cs="Arial"/>
          <w:sz w:val="20"/>
          <w:lang w:val="es-419"/>
        </w:rPr>
        <w:t>Radicación No:</w:t>
      </w:r>
      <w:r w:rsidRPr="0081012D">
        <w:rPr>
          <w:rFonts w:ascii="Arial" w:hAnsi="Arial" w:cs="Arial"/>
          <w:sz w:val="20"/>
          <w:lang w:val="es-419"/>
        </w:rPr>
        <w:tab/>
      </w:r>
      <w:r w:rsidRPr="0081012D">
        <w:rPr>
          <w:rFonts w:ascii="Arial" w:hAnsi="Arial" w:cs="Arial"/>
          <w:sz w:val="20"/>
          <w:lang w:val="es-419"/>
        </w:rPr>
        <w:tab/>
        <w:t>66001-31-05-001-2016-00060-01</w:t>
      </w:r>
    </w:p>
    <w:p w:rsidR="0081012D" w:rsidRPr="0081012D" w:rsidRDefault="0081012D" w:rsidP="0081012D">
      <w:pPr>
        <w:jc w:val="both"/>
        <w:rPr>
          <w:rFonts w:ascii="Arial" w:hAnsi="Arial" w:cs="Arial"/>
          <w:sz w:val="20"/>
          <w:lang w:val="es-419"/>
        </w:rPr>
      </w:pPr>
      <w:r w:rsidRPr="0081012D">
        <w:rPr>
          <w:rFonts w:ascii="Arial" w:hAnsi="Arial" w:cs="Arial"/>
          <w:sz w:val="20"/>
          <w:lang w:val="es-419"/>
        </w:rPr>
        <w:t>Proceso:</w:t>
      </w:r>
      <w:r w:rsidRPr="0081012D">
        <w:rPr>
          <w:rFonts w:ascii="Arial" w:hAnsi="Arial" w:cs="Arial"/>
          <w:sz w:val="20"/>
          <w:lang w:val="es-419"/>
        </w:rPr>
        <w:tab/>
      </w:r>
      <w:r w:rsidRPr="0081012D">
        <w:rPr>
          <w:rFonts w:ascii="Arial" w:hAnsi="Arial" w:cs="Arial"/>
          <w:sz w:val="20"/>
          <w:lang w:val="es-419"/>
        </w:rPr>
        <w:tab/>
        <w:t>Ordinario Laboral.</w:t>
      </w:r>
    </w:p>
    <w:p w:rsidR="0081012D" w:rsidRPr="0081012D" w:rsidRDefault="0081012D" w:rsidP="0081012D">
      <w:pPr>
        <w:jc w:val="both"/>
        <w:rPr>
          <w:rFonts w:ascii="Arial" w:hAnsi="Arial" w:cs="Arial"/>
          <w:sz w:val="20"/>
          <w:lang w:val="es-419"/>
        </w:rPr>
      </w:pPr>
      <w:r w:rsidRPr="0081012D">
        <w:rPr>
          <w:rFonts w:ascii="Arial" w:hAnsi="Arial" w:cs="Arial"/>
          <w:sz w:val="20"/>
          <w:lang w:val="es-419"/>
        </w:rPr>
        <w:t xml:space="preserve">Demandante:     </w:t>
      </w:r>
      <w:r w:rsidRPr="0081012D">
        <w:rPr>
          <w:rFonts w:ascii="Arial" w:hAnsi="Arial" w:cs="Arial"/>
          <w:sz w:val="20"/>
          <w:lang w:val="es-419"/>
        </w:rPr>
        <w:tab/>
        <w:t>Gloria Elena Caicedo Arango</w:t>
      </w:r>
      <w:r>
        <w:rPr>
          <w:rFonts w:ascii="Arial" w:hAnsi="Arial" w:cs="Arial"/>
          <w:sz w:val="20"/>
          <w:lang w:val="es-CO"/>
        </w:rPr>
        <w:t xml:space="preserve">, </w:t>
      </w:r>
      <w:r w:rsidRPr="0081012D">
        <w:rPr>
          <w:rFonts w:ascii="Arial" w:hAnsi="Arial" w:cs="Arial"/>
          <w:sz w:val="20"/>
          <w:lang w:val="es-419"/>
        </w:rPr>
        <w:t>Daniel Ferna</w:t>
      </w:r>
      <w:r>
        <w:rPr>
          <w:rFonts w:ascii="Arial" w:hAnsi="Arial" w:cs="Arial"/>
          <w:sz w:val="20"/>
          <w:lang w:val="es-419"/>
        </w:rPr>
        <w:t>ndo y José David Loaiza Caicedo</w:t>
      </w:r>
    </w:p>
    <w:p w:rsidR="0081012D" w:rsidRPr="0081012D" w:rsidRDefault="0081012D" w:rsidP="0081012D">
      <w:pPr>
        <w:jc w:val="both"/>
        <w:rPr>
          <w:rFonts w:ascii="Arial" w:hAnsi="Arial" w:cs="Arial"/>
          <w:sz w:val="20"/>
          <w:lang w:val="es-419"/>
        </w:rPr>
      </w:pPr>
      <w:r w:rsidRPr="0081012D">
        <w:rPr>
          <w:rFonts w:ascii="Arial" w:hAnsi="Arial" w:cs="Arial"/>
          <w:sz w:val="20"/>
          <w:lang w:val="es-419"/>
        </w:rPr>
        <w:t>Demandado:</w:t>
      </w:r>
      <w:r w:rsidRPr="0081012D">
        <w:rPr>
          <w:rFonts w:ascii="Arial" w:hAnsi="Arial" w:cs="Arial"/>
          <w:sz w:val="20"/>
          <w:lang w:val="es-419"/>
        </w:rPr>
        <w:tab/>
      </w:r>
      <w:r w:rsidRPr="0081012D">
        <w:rPr>
          <w:rFonts w:ascii="Arial" w:hAnsi="Arial" w:cs="Arial"/>
          <w:sz w:val="20"/>
          <w:lang w:val="es-419"/>
        </w:rPr>
        <w:tab/>
        <w:t>Protección S.A.</w:t>
      </w:r>
    </w:p>
    <w:p w:rsidR="0081012D" w:rsidRPr="0081012D" w:rsidRDefault="0081012D" w:rsidP="0081012D">
      <w:pPr>
        <w:jc w:val="both"/>
        <w:rPr>
          <w:rFonts w:ascii="Arial" w:hAnsi="Arial" w:cs="Arial"/>
          <w:sz w:val="20"/>
          <w:lang w:val="es-419"/>
        </w:rPr>
      </w:pPr>
      <w:r w:rsidRPr="0081012D">
        <w:rPr>
          <w:rFonts w:ascii="Arial" w:hAnsi="Arial" w:cs="Arial"/>
          <w:sz w:val="20"/>
          <w:lang w:val="es-419"/>
        </w:rPr>
        <w:t>Vinculada:</w:t>
      </w:r>
      <w:r w:rsidRPr="0081012D">
        <w:rPr>
          <w:rFonts w:ascii="Arial" w:hAnsi="Arial" w:cs="Arial"/>
          <w:sz w:val="20"/>
          <w:lang w:val="es-419"/>
        </w:rPr>
        <w:tab/>
      </w:r>
      <w:r w:rsidRPr="0081012D">
        <w:rPr>
          <w:rFonts w:ascii="Arial" w:hAnsi="Arial" w:cs="Arial"/>
          <w:sz w:val="20"/>
          <w:lang w:val="es-419"/>
        </w:rPr>
        <w:tab/>
        <w:t>Angélica Loaiza Caicedo.</w:t>
      </w:r>
    </w:p>
    <w:p w:rsidR="0081012D" w:rsidRPr="0081012D" w:rsidRDefault="0081012D" w:rsidP="0081012D">
      <w:pPr>
        <w:jc w:val="both"/>
        <w:rPr>
          <w:rFonts w:ascii="Arial" w:hAnsi="Arial" w:cs="Arial"/>
          <w:sz w:val="20"/>
          <w:lang w:val="es-419"/>
        </w:rPr>
      </w:pPr>
      <w:r w:rsidRPr="0081012D">
        <w:rPr>
          <w:rFonts w:ascii="Arial" w:hAnsi="Arial" w:cs="Arial"/>
          <w:sz w:val="20"/>
          <w:lang w:val="es-419"/>
        </w:rPr>
        <w:t xml:space="preserve">Juzgado de origen:    </w:t>
      </w:r>
      <w:r w:rsidRPr="0081012D">
        <w:rPr>
          <w:rFonts w:ascii="Arial" w:hAnsi="Arial" w:cs="Arial"/>
          <w:sz w:val="20"/>
          <w:lang w:val="es-419"/>
        </w:rPr>
        <w:tab/>
        <w:t>Juzgado Primero Laboral del Circuito de Pereira.</w:t>
      </w:r>
    </w:p>
    <w:p w:rsidR="0081012D" w:rsidRPr="0081012D" w:rsidRDefault="0081012D" w:rsidP="0081012D">
      <w:pPr>
        <w:jc w:val="both"/>
        <w:rPr>
          <w:rFonts w:ascii="Arial" w:hAnsi="Arial" w:cs="Arial"/>
          <w:sz w:val="20"/>
          <w:lang w:val="es-419"/>
        </w:rPr>
      </w:pPr>
    </w:p>
    <w:p w:rsidR="0081012D" w:rsidRPr="0081012D" w:rsidRDefault="0081012D" w:rsidP="0081012D">
      <w:pPr>
        <w:jc w:val="both"/>
        <w:rPr>
          <w:rFonts w:ascii="Arial" w:hAnsi="Arial" w:cs="Arial"/>
          <w:b/>
          <w:bCs/>
          <w:iCs/>
          <w:sz w:val="20"/>
          <w:lang w:val="es-419" w:eastAsia="fr-FR"/>
        </w:rPr>
      </w:pPr>
      <w:r w:rsidRPr="0081012D">
        <w:rPr>
          <w:rFonts w:ascii="Arial" w:hAnsi="Arial" w:cs="Arial"/>
          <w:b/>
          <w:bCs/>
          <w:iCs/>
          <w:sz w:val="20"/>
          <w:lang w:val="es-419" w:eastAsia="fr-FR"/>
        </w:rPr>
        <w:t>TEMAS:</w:t>
      </w:r>
      <w:r w:rsidRPr="0081012D">
        <w:rPr>
          <w:rFonts w:ascii="Arial" w:hAnsi="Arial" w:cs="Arial"/>
          <w:b/>
          <w:bCs/>
          <w:iCs/>
          <w:sz w:val="20"/>
          <w:lang w:val="es-419" w:eastAsia="fr-FR"/>
        </w:rPr>
        <w:tab/>
      </w:r>
      <w:r w:rsidR="00A37A69">
        <w:rPr>
          <w:rFonts w:ascii="Arial" w:hAnsi="Arial" w:cs="Arial"/>
          <w:b/>
          <w:bCs/>
          <w:iCs/>
          <w:sz w:val="20"/>
          <w:lang w:val="es-CO" w:eastAsia="fr-FR"/>
        </w:rPr>
        <w:t xml:space="preserve">PENSIÓN DE SOBREVIVIENTES / </w:t>
      </w:r>
      <w:r w:rsidRPr="0081012D">
        <w:rPr>
          <w:rFonts w:ascii="Arial" w:hAnsi="Arial" w:cs="Arial"/>
          <w:b/>
          <w:sz w:val="20"/>
          <w:lang w:val="es-419"/>
        </w:rPr>
        <w:t xml:space="preserve">SIMULTANEIDAD DE COTIZACIONES </w:t>
      </w:r>
      <w:r w:rsidR="00A37A69">
        <w:rPr>
          <w:rFonts w:ascii="Arial" w:hAnsi="Arial" w:cs="Arial"/>
          <w:b/>
          <w:sz w:val="20"/>
          <w:lang w:val="es-CO"/>
        </w:rPr>
        <w:t>/ NO SE PRESENTA CUANDO LOS APORTES DE LOS DIFERENTES EMPLEADORES</w:t>
      </w:r>
      <w:r w:rsidR="00B620A6">
        <w:rPr>
          <w:rFonts w:ascii="Arial" w:hAnsi="Arial" w:cs="Arial"/>
          <w:b/>
          <w:sz w:val="20"/>
          <w:lang w:val="es-CO"/>
        </w:rPr>
        <w:t xml:space="preserve"> EN UN MISMO MES </w:t>
      </w:r>
      <w:r w:rsidR="00A37A69">
        <w:rPr>
          <w:rFonts w:ascii="Arial" w:hAnsi="Arial" w:cs="Arial"/>
          <w:b/>
          <w:sz w:val="20"/>
          <w:lang w:val="es-CO"/>
        </w:rPr>
        <w:t>NO CORRESPONDEN A LOS MISMOS DÍAS</w:t>
      </w:r>
      <w:r w:rsidR="00B620A6">
        <w:rPr>
          <w:rFonts w:ascii="Arial" w:hAnsi="Arial" w:cs="Arial"/>
          <w:b/>
          <w:sz w:val="20"/>
          <w:lang w:val="es-CO"/>
        </w:rPr>
        <w:t>.</w:t>
      </w:r>
    </w:p>
    <w:p w:rsidR="0081012D" w:rsidRPr="0081012D" w:rsidRDefault="0081012D" w:rsidP="0081012D">
      <w:pPr>
        <w:jc w:val="both"/>
        <w:rPr>
          <w:rFonts w:ascii="Arial" w:hAnsi="Arial" w:cs="Arial"/>
          <w:sz w:val="20"/>
          <w:lang w:val="es-419"/>
        </w:rPr>
      </w:pPr>
    </w:p>
    <w:p w:rsidR="00410DAB" w:rsidRPr="00410DAB" w:rsidRDefault="00410DAB" w:rsidP="00410DAB">
      <w:pPr>
        <w:jc w:val="both"/>
        <w:rPr>
          <w:rFonts w:ascii="Arial" w:hAnsi="Arial" w:cs="Arial"/>
          <w:sz w:val="20"/>
          <w:lang w:val="es-419"/>
        </w:rPr>
      </w:pPr>
      <w:r w:rsidRPr="00410DAB">
        <w:rPr>
          <w:rFonts w:ascii="Arial" w:hAnsi="Arial" w:cs="Arial"/>
          <w:sz w:val="20"/>
          <w:lang w:val="es-419"/>
        </w:rPr>
        <w:t>Se encuentra acreditado que el señor Fernando Loaiza Soto falleció el 07-06-2015</w:t>
      </w:r>
      <w:r>
        <w:rPr>
          <w:rFonts w:ascii="Arial" w:hAnsi="Arial" w:cs="Arial"/>
          <w:sz w:val="20"/>
          <w:lang w:val="es-CO"/>
        </w:rPr>
        <w:t>…</w:t>
      </w:r>
      <w:r w:rsidRPr="00410DAB">
        <w:rPr>
          <w:rFonts w:ascii="Arial" w:hAnsi="Arial" w:cs="Arial"/>
          <w:sz w:val="20"/>
          <w:lang w:val="es-419"/>
        </w:rPr>
        <w:t xml:space="preserve">, por lo tanto, la normativa aplicable en esta actuación es el artículo 12 de la Ley 797 de 2003 que es la vigente para el momento de acontecer tal situación. </w:t>
      </w:r>
    </w:p>
    <w:p w:rsidR="00410DAB" w:rsidRPr="00410DAB" w:rsidRDefault="00410DAB" w:rsidP="00410DAB">
      <w:pPr>
        <w:jc w:val="both"/>
        <w:rPr>
          <w:rFonts w:ascii="Arial" w:hAnsi="Arial" w:cs="Arial"/>
          <w:sz w:val="20"/>
          <w:lang w:val="es-419"/>
        </w:rPr>
      </w:pPr>
    </w:p>
    <w:p w:rsidR="0081012D" w:rsidRDefault="00410DAB" w:rsidP="00410DAB">
      <w:pPr>
        <w:jc w:val="both"/>
        <w:rPr>
          <w:rFonts w:ascii="Arial" w:hAnsi="Arial" w:cs="Arial"/>
          <w:sz w:val="20"/>
          <w:lang w:val="es-CO"/>
        </w:rPr>
      </w:pPr>
      <w:r w:rsidRPr="00410DAB">
        <w:rPr>
          <w:rFonts w:ascii="Arial" w:hAnsi="Arial" w:cs="Arial"/>
          <w:sz w:val="20"/>
          <w:lang w:val="es-419"/>
        </w:rPr>
        <w:t>Disposición que exige haber cotizado 50 semanas dentro de los 3 años anteriores al deceso, y para quien reclame la prestación en calidad de cónyuge o compañera supérstite una convivencia con el causante por espacio no inferior a los 5 años anteriores al fallecimiento</w:t>
      </w:r>
      <w:r>
        <w:rPr>
          <w:rFonts w:ascii="Arial" w:hAnsi="Arial" w:cs="Arial"/>
          <w:sz w:val="20"/>
          <w:lang w:val="es-CO"/>
        </w:rPr>
        <w:t>…</w:t>
      </w:r>
    </w:p>
    <w:p w:rsidR="00410DAB" w:rsidRDefault="00410DAB" w:rsidP="00410DAB">
      <w:pPr>
        <w:jc w:val="both"/>
        <w:rPr>
          <w:rFonts w:ascii="Arial" w:hAnsi="Arial" w:cs="Arial"/>
          <w:sz w:val="20"/>
          <w:lang w:val="es-CO"/>
        </w:rPr>
      </w:pPr>
    </w:p>
    <w:p w:rsidR="00410DAB" w:rsidRDefault="00674742" w:rsidP="00410DAB">
      <w:pPr>
        <w:jc w:val="both"/>
        <w:rPr>
          <w:rFonts w:ascii="Arial" w:hAnsi="Arial" w:cs="Arial"/>
          <w:sz w:val="20"/>
          <w:lang w:val="es-CO"/>
        </w:rPr>
      </w:pPr>
      <w:r w:rsidRPr="00674742">
        <w:rPr>
          <w:rFonts w:ascii="Arial" w:hAnsi="Arial" w:cs="Arial"/>
          <w:sz w:val="20"/>
          <w:lang w:val="es-CO"/>
        </w:rPr>
        <w:t>Revisada la historia laboral del afiliado</w:t>
      </w:r>
      <w:r w:rsidR="00A37A69">
        <w:rPr>
          <w:rFonts w:ascii="Arial" w:hAnsi="Arial" w:cs="Arial"/>
          <w:sz w:val="20"/>
          <w:lang w:val="es-CO"/>
        </w:rPr>
        <w:t>…</w:t>
      </w:r>
      <w:r w:rsidRPr="00674742">
        <w:rPr>
          <w:rFonts w:ascii="Arial" w:hAnsi="Arial" w:cs="Arial"/>
          <w:sz w:val="20"/>
          <w:lang w:val="es-CO"/>
        </w:rPr>
        <w:t xml:space="preserve"> se encuentra que entre la fecha de la muerte 07-06-2015 y la misma data de 2012 (3 años) efectuó cotizaciones con diferentes empleadores, en la mayoría de los ciclos por menos de  30 días; incluso en algunos meses hicieron aportes dos patronales que sumados no exceden los 30 días.</w:t>
      </w:r>
      <w:r>
        <w:rPr>
          <w:rFonts w:ascii="Arial" w:hAnsi="Arial" w:cs="Arial"/>
          <w:sz w:val="20"/>
          <w:lang w:val="es-CO"/>
        </w:rPr>
        <w:t xml:space="preserve"> (…)</w:t>
      </w:r>
    </w:p>
    <w:p w:rsidR="00A37A69" w:rsidRDefault="00A37A69" w:rsidP="00410DAB">
      <w:pPr>
        <w:jc w:val="both"/>
        <w:rPr>
          <w:rFonts w:ascii="Arial" w:hAnsi="Arial" w:cs="Arial"/>
          <w:sz w:val="20"/>
          <w:lang w:val="es-CO"/>
        </w:rPr>
      </w:pPr>
    </w:p>
    <w:p w:rsidR="00A37A69" w:rsidRPr="00A37A69" w:rsidRDefault="00A37A69" w:rsidP="00A37A69">
      <w:pPr>
        <w:jc w:val="both"/>
        <w:rPr>
          <w:rFonts w:ascii="Arial" w:hAnsi="Arial" w:cs="Arial"/>
          <w:sz w:val="20"/>
          <w:lang w:val="es-CO"/>
        </w:rPr>
      </w:pPr>
      <w:r w:rsidRPr="00A37A69">
        <w:rPr>
          <w:rFonts w:ascii="Arial" w:hAnsi="Arial" w:cs="Arial"/>
          <w:sz w:val="20"/>
          <w:lang w:val="es-CO"/>
        </w:rPr>
        <w:t>Atendiendo lo expuesto, se evidencia que en este asunto es inexistente la simultaneidad de cotizaciones, toda vez que no se hicieron aportes por los mismos días como se infiere de la actividad del afiliado, trabajador de la construcción, quien al no tener el don de la ubicuidad y ser este un oficio de aquellos que requiere su presencia en jornada laboral ordinaria diurna, no le resulta posible trabajar para dos personas al mismo tiempo; adicionalmente, es propio de este tipo de actividad se realice por el lapso que se lo requiera la obra, que puede no exceder de 30 días.</w:t>
      </w:r>
    </w:p>
    <w:p w:rsidR="00A37A69" w:rsidRPr="00A37A69" w:rsidRDefault="00A37A69" w:rsidP="00A37A69">
      <w:pPr>
        <w:jc w:val="both"/>
        <w:rPr>
          <w:rFonts w:ascii="Arial" w:hAnsi="Arial" w:cs="Arial"/>
          <w:sz w:val="20"/>
          <w:lang w:val="es-CO"/>
        </w:rPr>
      </w:pPr>
      <w:r w:rsidRPr="00A37A69">
        <w:rPr>
          <w:rFonts w:ascii="Arial" w:hAnsi="Arial" w:cs="Arial"/>
          <w:sz w:val="20"/>
          <w:lang w:val="es-CO"/>
        </w:rPr>
        <w:t xml:space="preserve"> </w:t>
      </w:r>
    </w:p>
    <w:p w:rsidR="00A37A69" w:rsidRPr="00410DAB" w:rsidRDefault="00A37A69" w:rsidP="00A37A69">
      <w:pPr>
        <w:jc w:val="both"/>
        <w:rPr>
          <w:rFonts w:ascii="Arial" w:hAnsi="Arial" w:cs="Arial"/>
          <w:sz w:val="20"/>
          <w:lang w:val="es-CO"/>
        </w:rPr>
      </w:pPr>
      <w:r w:rsidRPr="00A37A69">
        <w:rPr>
          <w:rFonts w:ascii="Arial" w:hAnsi="Arial" w:cs="Arial"/>
          <w:sz w:val="20"/>
          <w:lang w:val="es-CO"/>
        </w:rPr>
        <w:t>Entonces, si bien es cierto se debe tener especial cuidado con los aportes simultáneos, de tal manera que no se incurra en el error de contar doblemente días por los que se cotiza, situación prevista en el parágrafo 1 del artículo 18 de la Ley 100 de 1993 modificado por el artículo 5 de la Ley 797 de 2003 y Acuerdo 44/1989 aprobado por el Decreto 3063/1989, en su artículo 81, en este caso no se está en presencia de esta limitante</w:t>
      </w:r>
      <w:r>
        <w:rPr>
          <w:rFonts w:ascii="Arial" w:hAnsi="Arial" w:cs="Arial"/>
          <w:sz w:val="20"/>
          <w:lang w:val="es-CO"/>
        </w:rPr>
        <w:t>…</w:t>
      </w:r>
    </w:p>
    <w:p w:rsidR="0081012D" w:rsidRPr="0081012D" w:rsidRDefault="0081012D" w:rsidP="0081012D">
      <w:pPr>
        <w:jc w:val="both"/>
        <w:rPr>
          <w:rFonts w:ascii="Arial" w:hAnsi="Arial" w:cs="Arial"/>
          <w:sz w:val="20"/>
          <w:lang w:val="es-419"/>
        </w:rPr>
      </w:pPr>
    </w:p>
    <w:p w:rsidR="0081012D" w:rsidRPr="0081012D" w:rsidRDefault="0081012D" w:rsidP="0081012D">
      <w:pPr>
        <w:jc w:val="both"/>
        <w:rPr>
          <w:rFonts w:ascii="Arial" w:hAnsi="Arial" w:cs="Arial"/>
          <w:sz w:val="20"/>
          <w:lang w:val="es-419"/>
        </w:rPr>
      </w:pPr>
    </w:p>
    <w:p w:rsidR="0081012D" w:rsidRPr="0081012D" w:rsidRDefault="0081012D" w:rsidP="0081012D">
      <w:pPr>
        <w:jc w:val="both"/>
        <w:rPr>
          <w:rFonts w:ascii="Arial" w:hAnsi="Arial" w:cs="Arial"/>
          <w:sz w:val="20"/>
          <w:lang w:val="es-ES"/>
        </w:rPr>
      </w:pPr>
    </w:p>
    <w:p w:rsidR="008A4A34" w:rsidRDefault="002457E6" w:rsidP="008A4A34">
      <w:pPr>
        <w:spacing w:line="240" w:lineRule="atLeast"/>
        <w:jc w:val="center"/>
        <w:rPr>
          <w:rFonts w:ascii="Arial" w:hAnsi="Arial" w:cs="Arial"/>
          <w:kern w:val="28"/>
          <w:szCs w:val="24"/>
          <w:lang w:val="es-ES"/>
        </w:rPr>
      </w:pPr>
      <w:r>
        <w:rPr>
          <w:rFonts w:ascii="Arial" w:hAnsi="Arial" w:cs="Arial"/>
          <w:kern w:val="28"/>
          <w:szCs w:val="24"/>
          <w:lang w:val="es-ES"/>
        </w:rPr>
        <w:t xml:space="preserve"> </w:t>
      </w:r>
      <w:r w:rsidR="008A4A34" w:rsidRPr="00764878">
        <w:rPr>
          <w:rFonts w:ascii="Edwardian Script ITC" w:hAnsi="Edwardian Script ITC"/>
          <w:noProof/>
          <w:sz w:val="44"/>
          <w:szCs w:val="44"/>
          <w:lang w:val="es-ES"/>
        </w:rPr>
        <w:drawing>
          <wp:inline distT="0" distB="0" distL="0" distR="0" wp14:anchorId="06C4EB84" wp14:editId="4B8BD303">
            <wp:extent cx="811900" cy="78903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615" cy="792640"/>
                    </a:xfrm>
                    <a:prstGeom prst="rect">
                      <a:avLst/>
                    </a:prstGeom>
                    <a:noFill/>
                    <a:ln>
                      <a:noFill/>
                    </a:ln>
                  </pic:spPr>
                </pic:pic>
              </a:graphicData>
            </a:graphic>
          </wp:inline>
        </w:drawing>
      </w:r>
    </w:p>
    <w:p w:rsidR="0081012D" w:rsidRPr="0081012D" w:rsidRDefault="0081012D" w:rsidP="0081012D">
      <w:pPr>
        <w:widowControl w:val="0"/>
        <w:spacing w:line="300" w:lineRule="auto"/>
        <w:jc w:val="center"/>
        <w:rPr>
          <w:rFonts w:ascii="Arial" w:hAnsi="Arial" w:cs="Arial"/>
          <w:b/>
          <w:bCs/>
          <w:color w:val="000000"/>
          <w:kern w:val="28"/>
          <w:szCs w:val="24"/>
        </w:rPr>
      </w:pPr>
      <w:r w:rsidRPr="0081012D">
        <w:rPr>
          <w:rFonts w:ascii="Arial" w:hAnsi="Arial" w:cs="Arial"/>
          <w:b/>
          <w:bCs/>
          <w:color w:val="000000"/>
          <w:kern w:val="28"/>
          <w:szCs w:val="24"/>
        </w:rPr>
        <w:t>RAMA JUDICIAL DEL PODER PÚBLICO</w:t>
      </w:r>
    </w:p>
    <w:p w:rsidR="0081012D" w:rsidRPr="0081012D" w:rsidRDefault="0081012D" w:rsidP="0081012D">
      <w:pPr>
        <w:widowControl w:val="0"/>
        <w:spacing w:line="300" w:lineRule="auto"/>
        <w:jc w:val="center"/>
        <w:rPr>
          <w:rFonts w:ascii="Arial" w:hAnsi="Arial" w:cs="Arial"/>
          <w:b/>
          <w:bCs/>
          <w:color w:val="000000"/>
          <w:kern w:val="28"/>
          <w:szCs w:val="24"/>
        </w:rPr>
      </w:pPr>
      <w:r w:rsidRPr="0081012D">
        <w:rPr>
          <w:rFonts w:ascii="Arial" w:hAnsi="Arial" w:cs="Arial"/>
          <w:b/>
          <w:bCs/>
          <w:color w:val="000000"/>
          <w:kern w:val="28"/>
          <w:szCs w:val="24"/>
        </w:rPr>
        <w:t>TRIBUNAL SUPERIOR DEL DISTRITO JUDICIAL DE PEREIRA</w:t>
      </w:r>
    </w:p>
    <w:p w:rsidR="0081012D" w:rsidRPr="0081012D" w:rsidRDefault="0081012D" w:rsidP="0081012D">
      <w:pPr>
        <w:widowControl w:val="0"/>
        <w:spacing w:line="300" w:lineRule="auto"/>
        <w:jc w:val="center"/>
        <w:rPr>
          <w:rFonts w:ascii="Arial" w:hAnsi="Arial" w:cs="Arial"/>
          <w:b/>
          <w:bCs/>
          <w:color w:val="000000"/>
          <w:kern w:val="28"/>
          <w:szCs w:val="24"/>
        </w:rPr>
      </w:pPr>
      <w:r w:rsidRPr="0081012D">
        <w:rPr>
          <w:rFonts w:ascii="Arial" w:hAnsi="Arial" w:cs="Arial"/>
          <w:b/>
          <w:bCs/>
          <w:color w:val="000000"/>
          <w:kern w:val="28"/>
          <w:szCs w:val="24"/>
        </w:rPr>
        <w:t>SALA SEGUNDA DE DECISIÓN LABORAL</w:t>
      </w:r>
    </w:p>
    <w:p w:rsidR="0081012D" w:rsidRPr="0081012D" w:rsidRDefault="0081012D" w:rsidP="0081012D">
      <w:pPr>
        <w:spacing w:line="300" w:lineRule="auto"/>
        <w:jc w:val="both"/>
        <w:rPr>
          <w:rFonts w:ascii="Arial" w:hAnsi="Arial" w:cs="Arial"/>
          <w:szCs w:val="24"/>
        </w:rPr>
      </w:pPr>
    </w:p>
    <w:p w:rsidR="0081012D" w:rsidRPr="0081012D" w:rsidRDefault="0081012D" w:rsidP="0081012D">
      <w:pPr>
        <w:spacing w:line="300" w:lineRule="auto"/>
        <w:jc w:val="center"/>
        <w:rPr>
          <w:rFonts w:ascii="Arial" w:hAnsi="Arial" w:cs="Arial"/>
          <w:color w:val="000000"/>
          <w:szCs w:val="24"/>
        </w:rPr>
      </w:pPr>
      <w:r w:rsidRPr="0081012D">
        <w:rPr>
          <w:rFonts w:ascii="Arial" w:hAnsi="Arial" w:cs="Arial"/>
          <w:color w:val="000000"/>
          <w:szCs w:val="24"/>
        </w:rPr>
        <w:t>Magistrada Sustanciadora</w:t>
      </w:r>
    </w:p>
    <w:p w:rsidR="0081012D" w:rsidRPr="0081012D" w:rsidRDefault="0081012D" w:rsidP="0081012D">
      <w:pPr>
        <w:widowControl w:val="0"/>
        <w:spacing w:line="300" w:lineRule="auto"/>
        <w:jc w:val="center"/>
        <w:rPr>
          <w:rFonts w:ascii="Arial" w:hAnsi="Arial" w:cs="Arial"/>
          <w:b/>
          <w:bCs/>
          <w:color w:val="000000"/>
          <w:kern w:val="28"/>
          <w:szCs w:val="24"/>
        </w:rPr>
      </w:pPr>
      <w:r w:rsidRPr="0081012D">
        <w:rPr>
          <w:rFonts w:ascii="Arial" w:hAnsi="Arial" w:cs="Arial"/>
          <w:b/>
          <w:bCs/>
          <w:color w:val="000000"/>
          <w:kern w:val="28"/>
          <w:szCs w:val="24"/>
        </w:rPr>
        <w:t>OLGA LUCÍA HOYOS SEPÚLVEDA</w:t>
      </w:r>
    </w:p>
    <w:p w:rsidR="0081012D" w:rsidRPr="0081012D" w:rsidRDefault="0081012D" w:rsidP="0081012D">
      <w:pPr>
        <w:spacing w:line="300" w:lineRule="auto"/>
        <w:jc w:val="both"/>
        <w:rPr>
          <w:rFonts w:ascii="Arial" w:hAnsi="Arial" w:cs="Arial"/>
          <w:szCs w:val="24"/>
        </w:rPr>
      </w:pPr>
    </w:p>
    <w:p w:rsidR="0081012D" w:rsidRPr="0081012D" w:rsidRDefault="0081012D" w:rsidP="0081012D">
      <w:pPr>
        <w:spacing w:line="300" w:lineRule="auto"/>
        <w:jc w:val="both"/>
        <w:rPr>
          <w:rFonts w:ascii="Arial" w:hAnsi="Arial" w:cs="Arial"/>
          <w:szCs w:val="24"/>
        </w:rPr>
      </w:pPr>
    </w:p>
    <w:p w:rsidR="00C364EF" w:rsidRPr="0081012D" w:rsidRDefault="00F42D85" w:rsidP="0081012D">
      <w:pPr>
        <w:spacing w:line="276" w:lineRule="auto"/>
        <w:jc w:val="both"/>
        <w:rPr>
          <w:rFonts w:ascii="Arial" w:hAnsi="Arial" w:cs="Arial"/>
          <w:bCs/>
          <w:iCs/>
          <w:szCs w:val="24"/>
        </w:rPr>
      </w:pPr>
      <w:r w:rsidRPr="0081012D">
        <w:rPr>
          <w:rFonts w:ascii="Arial" w:eastAsia="Calibri" w:hAnsi="Arial" w:cs="Arial"/>
          <w:szCs w:val="24"/>
          <w:lang w:val="es-CO" w:eastAsia="en-US"/>
        </w:rPr>
        <w:t>En Pereira, a los veintitrés</w:t>
      </w:r>
      <w:r w:rsidR="00C364EF" w:rsidRPr="0081012D">
        <w:rPr>
          <w:rFonts w:ascii="Arial" w:eastAsia="Calibri" w:hAnsi="Arial" w:cs="Arial"/>
          <w:szCs w:val="24"/>
          <w:lang w:val="es-CO" w:eastAsia="en-US"/>
        </w:rPr>
        <w:t xml:space="preserve"> (</w:t>
      </w:r>
      <w:r w:rsidRPr="0081012D">
        <w:rPr>
          <w:rFonts w:ascii="Arial" w:eastAsia="Calibri" w:hAnsi="Arial" w:cs="Arial"/>
          <w:szCs w:val="24"/>
          <w:lang w:val="es-CO" w:eastAsia="en-US"/>
        </w:rPr>
        <w:t>23</w:t>
      </w:r>
      <w:r w:rsidR="00C364EF" w:rsidRPr="0081012D">
        <w:rPr>
          <w:rFonts w:ascii="Arial" w:eastAsia="Calibri" w:hAnsi="Arial" w:cs="Arial"/>
          <w:szCs w:val="24"/>
          <w:lang w:val="es-CO" w:eastAsia="en-US"/>
        </w:rPr>
        <w:t xml:space="preserve">) días del mes de </w:t>
      </w:r>
      <w:r w:rsidRPr="0081012D">
        <w:rPr>
          <w:rFonts w:ascii="Arial" w:eastAsia="Calibri" w:hAnsi="Arial" w:cs="Arial"/>
          <w:szCs w:val="24"/>
          <w:lang w:val="es-CO" w:eastAsia="en-US"/>
        </w:rPr>
        <w:t>julio</w:t>
      </w:r>
      <w:r w:rsidR="00C364EF" w:rsidRPr="0081012D">
        <w:rPr>
          <w:rFonts w:ascii="Arial" w:eastAsia="Calibri" w:hAnsi="Arial" w:cs="Arial"/>
          <w:szCs w:val="24"/>
          <w:lang w:val="es-CO" w:eastAsia="en-US"/>
        </w:rPr>
        <w:t xml:space="preserve"> </w:t>
      </w:r>
      <w:r w:rsidRPr="0081012D">
        <w:rPr>
          <w:rFonts w:ascii="Arial" w:eastAsia="Calibri" w:hAnsi="Arial" w:cs="Arial"/>
          <w:szCs w:val="24"/>
          <w:lang w:val="es-CO" w:eastAsia="en-US"/>
        </w:rPr>
        <w:t xml:space="preserve">de </w:t>
      </w:r>
      <w:r w:rsidR="00C364EF" w:rsidRPr="0081012D">
        <w:rPr>
          <w:rFonts w:ascii="Arial" w:eastAsia="Calibri" w:hAnsi="Arial" w:cs="Arial"/>
          <w:szCs w:val="24"/>
          <w:lang w:val="es-CO" w:eastAsia="en-US"/>
        </w:rPr>
        <w:t xml:space="preserve">dos mil </w:t>
      </w:r>
      <w:r w:rsidRPr="0081012D">
        <w:rPr>
          <w:rFonts w:ascii="Arial" w:eastAsia="Calibri" w:hAnsi="Arial" w:cs="Arial"/>
          <w:szCs w:val="24"/>
          <w:lang w:val="es-CO" w:eastAsia="en-US"/>
        </w:rPr>
        <w:t>diecinueve</w:t>
      </w:r>
      <w:r w:rsidR="00C364EF" w:rsidRPr="0081012D">
        <w:rPr>
          <w:rFonts w:ascii="Arial" w:eastAsia="Calibri" w:hAnsi="Arial" w:cs="Arial"/>
          <w:szCs w:val="24"/>
          <w:lang w:val="es-CO" w:eastAsia="en-US"/>
        </w:rPr>
        <w:t xml:space="preserve"> (201</w:t>
      </w:r>
      <w:r w:rsidRPr="0081012D">
        <w:rPr>
          <w:rFonts w:ascii="Arial" w:eastAsia="Calibri" w:hAnsi="Arial" w:cs="Arial"/>
          <w:szCs w:val="24"/>
          <w:lang w:val="es-CO" w:eastAsia="en-US"/>
        </w:rPr>
        <w:t>9), siendo las nueve de la mañana</w:t>
      </w:r>
      <w:r w:rsidR="00C364EF" w:rsidRPr="0081012D">
        <w:rPr>
          <w:rFonts w:ascii="Arial" w:eastAsia="Calibri" w:hAnsi="Arial" w:cs="Arial"/>
          <w:szCs w:val="24"/>
          <w:lang w:val="es-CO" w:eastAsia="en-US"/>
        </w:rPr>
        <w:t xml:space="preserve"> (</w:t>
      </w:r>
      <w:r w:rsidRPr="0081012D">
        <w:rPr>
          <w:rFonts w:ascii="Arial" w:eastAsia="Calibri" w:hAnsi="Arial" w:cs="Arial"/>
          <w:szCs w:val="24"/>
          <w:lang w:val="es-CO" w:eastAsia="en-US"/>
        </w:rPr>
        <w:t>9:00 a.m.</w:t>
      </w:r>
      <w:r w:rsidR="00457A6D" w:rsidRPr="0081012D">
        <w:rPr>
          <w:rFonts w:ascii="Arial" w:eastAsia="Calibri" w:hAnsi="Arial" w:cs="Arial"/>
          <w:szCs w:val="24"/>
          <w:lang w:val="es-CO" w:eastAsia="en-US"/>
        </w:rPr>
        <w:t>)</w:t>
      </w:r>
      <w:r w:rsidR="00C364EF" w:rsidRPr="0081012D">
        <w:rPr>
          <w:rFonts w:ascii="Arial" w:eastAsia="Calibri" w:hAnsi="Arial" w:cs="Arial"/>
          <w:szCs w:val="24"/>
          <w:lang w:val="es-CO" w:eastAsia="en-US"/>
        </w:rPr>
        <w:t xml:space="preserve"> </w:t>
      </w:r>
      <w:r w:rsidR="00C364EF" w:rsidRPr="0081012D">
        <w:rPr>
          <w:rFonts w:ascii="Arial" w:hAnsi="Arial" w:cs="Arial"/>
          <w:bCs/>
          <w:color w:val="000000"/>
          <w:szCs w:val="24"/>
          <w:lang w:eastAsia="es-CO"/>
        </w:rPr>
        <w:t xml:space="preserve">la Sala Segunda de Decisión Laboral del Tribunal Superior del Distrito Judicial de Pereira, se declara en audiencia pública con el propósito de resolver  el recurso </w:t>
      </w:r>
      <w:r w:rsidR="0043168E" w:rsidRPr="0081012D">
        <w:rPr>
          <w:rFonts w:ascii="Arial" w:hAnsi="Arial" w:cs="Arial"/>
          <w:bCs/>
          <w:color w:val="000000"/>
          <w:szCs w:val="24"/>
          <w:lang w:eastAsia="es-CO"/>
        </w:rPr>
        <w:t xml:space="preserve"> </w:t>
      </w:r>
      <w:r w:rsidRPr="0081012D">
        <w:rPr>
          <w:rFonts w:ascii="Arial" w:hAnsi="Arial" w:cs="Arial"/>
          <w:bCs/>
          <w:color w:val="000000"/>
          <w:szCs w:val="24"/>
          <w:lang w:eastAsia="es-CO"/>
        </w:rPr>
        <w:t>de apelación</w:t>
      </w:r>
      <w:r w:rsidR="000023FC" w:rsidRPr="0081012D">
        <w:rPr>
          <w:rFonts w:ascii="Arial" w:hAnsi="Arial" w:cs="Arial"/>
          <w:bCs/>
          <w:color w:val="000000"/>
          <w:szCs w:val="24"/>
          <w:lang w:eastAsia="es-CO"/>
        </w:rPr>
        <w:t xml:space="preserve"> de </w:t>
      </w:r>
      <w:r w:rsidR="00C364EF" w:rsidRPr="0081012D">
        <w:rPr>
          <w:rFonts w:ascii="Arial" w:hAnsi="Arial" w:cs="Arial"/>
          <w:bCs/>
          <w:color w:val="000000"/>
          <w:szCs w:val="24"/>
          <w:lang w:eastAsia="es-CO"/>
        </w:rPr>
        <w:t>la sentencia p</w:t>
      </w:r>
      <w:r w:rsidRPr="0081012D">
        <w:rPr>
          <w:rFonts w:ascii="Arial" w:hAnsi="Arial" w:cs="Arial"/>
          <w:szCs w:val="24"/>
        </w:rPr>
        <w:t>roferida el 23</w:t>
      </w:r>
      <w:r w:rsidR="00C364EF" w:rsidRPr="0081012D">
        <w:rPr>
          <w:rFonts w:ascii="Arial" w:hAnsi="Arial" w:cs="Arial"/>
          <w:szCs w:val="24"/>
        </w:rPr>
        <w:t xml:space="preserve"> de </w:t>
      </w:r>
      <w:r w:rsidRPr="0081012D">
        <w:rPr>
          <w:rFonts w:ascii="Arial" w:hAnsi="Arial" w:cs="Arial"/>
          <w:szCs w:val="24"/>
        </w:rPr>
        <w:t>enero</w:t>
      </w:r>
      <w:r w:rsidR="00C364EF" w:rsidRPr="0081012D">
        <w:rPr>
          <w:rFonts w:ascii="Arial" w:hAnsi="Arial" w:cs="Arial"/>
          <w:szCs w:val="24"/>
        </w:rPr>
        <w:t xml:space="preserve"> de</w:t>
      </w:r>
      <w:r w:rsidR="0043168E" w:rsidRPr="0081012D">
        <w:rPr>
          <w:rFonts w:ascii="Arial" w:hAnsi="Arial" w:cs="Arial"/>
          <w:szCs w:val="24"/>
        </w:rPr>
        <w:t xml:space="preserve">l año </w:t>
      </w:r>
      <w:r w:rsidR="00C364EF" w:rsidRPr="0081012D">
        <w:rPr>
          <w:rFonts w:ascii="Arial" w:hAnsi="Arial" w:cs="Arial"/>
          <w:szCs w:val="24"/>
        </w:rPr>
        <w:t>201</w:t>
      </w:r>
      <w:r w:rsidR="00823341" w:rsidRPr="0081012D">
        <w:rPr>
          <w:rFonts w:ascii="Arial" w:hAnsi="Arial" w:cs="Arial"/>
          <w:szCs w:val="24"/>
        </w:rPr>
        <w:t>9</w:t>
      </w:r>
      <w:r w:rsidR="0043168E" w:rsidRPr="0081012D">
        <w:rPr>
          <w:rFonts w:ascii="Arial" w:hAnsi="Arial" w:cs="Arial"/>
          <w:szCs w:val="24"/>
        </w:rPr>
        <w:t xml:space="preserve"> </w:t>
      </w:r>
      <w:r w:rsidR="00C364EF" w:rsidRPr="0081012D">
        <w:rPr>
          <w:rFonts w:ascii="Arial" w:hAnsi="Arial" w:cs="Arial"/>
          <w:szCs w:val="24"/>
        </w:rPr>
        <w:t xml:space="preserve">por el Juzgado </w:t>
      </w:r>
      <w:r w:rsidR="00823341" w:rsidRPr="0081012D">
        <w:rPr>
          <w:rFonts w:ascii="Arial" w:hAnsi="Arial" w:cs="Arial"/>
          <w:szCs w:val="24"/>
        </w:rPr>
        <w:t>Primero</w:t>
      </w:r>
      <w:r w:rsidR="00C364EF" w:rsidRPr="0081012D">
        <w:rPr>
          <w:rFonts w:ascii="Arial" w:hAnsi="Arial" w:cs="Arial"/>
          <w:szCs w:val="24"/>
        </w:rPr>
        <w:t xml:space="preserve"> Laboral del Circuito de Pereira, dentro del </w:t>
      </w:r>
      <w:r w:rsidR="00C364EF" w:rsidRPr="0081012D">
        <w:rPr>
          <w:rFonts w:ascii="Arial" w:hAnsi="Arial" w:cs="Arial"/>
          <w:szCs w:val="24"/>
        </w:rPr>
        <w:lastRenderedPageBreak/>
        <w:t xml:space="preserve">proceso que promueve </w:t>
      </w:r>
      <w:r w:rsidR="00823341" w:rsidRPr="0081012D">
        <w:rPr>
          <w:rFonts w:ascii="Arial" w:hAnsi="Arial" w:cs="Arial"/>
          <w:szCs w:val="24"/>
        </w:rPr>
        <w:t>la señora</w:t>
      </w:r>
      <w:r w:rsidR="0043168E" w:rsidRPr="0081012D">
        <w:rPr>
          <w:rFonts w:ascii="Arial" w:hAnsi="Arial" w:cs="Arial"/>
          <w:szCs w:val="24"/>
        </w:rPr>
        <w:t xml:space="preserve"> </w:t>
      </w:r>
      <w:r w:rsidR="00823341" w:rsidRPr="0081012D">
        <w:rPr>
          <w:rFonts w:ascii="Arial" w:hAnsi="Arial" w:cs="Arial"/>
          <w:szCs w:val="24"/>
        </w:rPr>
        <w:t>Gloria Elena Caicedo Arango</w:t>
      </w:r>
      <w:r w:rsidR="001B5B64" w:rsidRPr="0081012D">
        <w:rPr>
          <w:rFonts w:ascii="Arial" w:hAnsi="Arial" w:cs="Arial"/>
          <w:b/>
          <w:szCs w:val="24"/>
        </w:rPr>
        <w:t xml:space="preserve"> </w:t>
      </w:r>
      <w:r w:rsidR="001B5B64" w:rsidRPr="0081012D">
        <w:rPr>
          <w:rFonts w:ascii="Arial" w:hAnsi="Arial" w:cs="Arial"/>
          <w:szCs w:val="24"/>
        </w:rPr>
        <w:t>en nombre propio y e</w:t>
      </w:r>
      <w:r w:rsidR="000023FC" w:rsidRPr="0081012D">
        <w:rPr>
          <w:rFonts w:ascii="Arial" w:hAnsi="Arial" w:cs="Arial"/>
          <w:szCs w:val="24"/>
        </w:rPr>
        <w:t>n representación</w:t>
      </w:r>
      <w:r w:rsidR="001B5B64" w:rsidRPr="0081012D">
        <w:rPr>
          <w:rFonts w:ascii="Arial" w:hAnsi="Arial" w:cs="Arial"/>
          <w:szCs w:val="24"/>
        </w:rPr>
        <w:t xml:space="preserve"> de sus hijos Daniel Fernando y José David Loaiza Caicedo, </w:t>
      </w:r>
      <w:r w:rsidR="00983D7F" w:rsidRPr="0081012D">
        <w:rPr>
          <w:rFonts w:ascii="Arial" w:hAnsi="Arial" w:cs="Arial"/>
          <w:szCs w:val="24"/>
        </w:rPr>
        <w:t xml:space="preserve">al que se </w:t>
      </w:r>
      <w:r w:rsidR="001B5B64" w:rsidRPr="0081012D">
        <w:rPr>
          <w:rFonts w:ascii="Arial" w:hAnsi="Arial" w:cs="Arial"/>
          <w:szCs w:val="24"/>
        </w:rPr>
        <w:t>vincul</w:t>
      </w:r>
      <w:r w:rsidR="00983D7F" w:rsidRPr="0081012D">
        <w:rPr>
          <w:rFonts w:ascii="Arial" w:hAnsi="Arial" w:cs="Arial"/>
          <w:szCs w:val="24"/>
        </w:rPr>
        <w:t xml:space="preserve">ó </w:t>
      </w:r>
      <w:proofErr w:type="spellStart"/>
      <w:r w:rsidR="00FF49DE" w:rsidRPr="0081012D">
        <w:rPr>
          <w:rFonts w:ascii="Arial" w:hAnsi="Arial" w:cs="Arial"/>
          <w:szCs w:val="24"/>
        </w:rPr>
        <w:t>Á</w:t>
      </w:r>
      <w:r w:rsidR="001B5B64" w:rsidRPr="0081012D">
        <w:rPr>
          <w:rFonts w:ascii="Arial" w:hAnsi="Arial" w:cs="Arial"/>
          <w:szCs w:val="24"/>
        </w:rPr>
        <w:t>ngélica</w:t>
      </w:r>
      <w:proofErr w:type="spellEnd"/>
      <w:r w:rsidR="001B5B64" w:rsidRPr="0081012D">
        <w:rPr>
          <w:rFonts w:ascii="Arial" w:hAnsi="Arial" w:cs="Arial"/>
          <w:szCs w:val="24"/>
        </w:rPr>
        <w:t xml:space="preserve"> Loaiza Caicedo</w:t>
      </w:r>
      <w:r w:rsidR="001B5B64" w:rsidRPr="0081012D">
        <w:rPr>
          <w:rFonts w:ascii="Arial" w:hAnsi="Arial" w:cs="Arial"/>
          <w:b/>
          <w:szCs w:val="24"/>
        </w:rPr>
        <w:t xml:space="preserve"> </w:t>
      </w:r>
      <w:r w:rsidR="00C364EF" w:rsidRPr="0081012D">
        <w:rPr>
          <w:rFonts w:ascii="Arial" w:hAnsi="Arial" w:cs="Arial"/>
          <w:szCs w:val="24"/>
        </w:rPr>
        <w:t>en contra</w:t>
      </w:r>
      <w:r w:rsidR="00823341" w:rsidRPr="0081012D">
        <w:rPr>
          <w:rFonts w:ascii="Arial" w:hAnsi="Arial" w:cs="Arial"/>
          <w:szCs w:val="24"/>
        </w:rPr>
        <w:t xml:space="preserve"> de Protección S.A. </w:t>
      </w:r>
      <w:r w:rsidR="00C364EF" w:rsidRPr="0081012D">
        <w:rPr>
          <w:rFonts w:ascii="Arial" w:hAnsi="Arial" w:cs="Arial"/>
          <w:bCs/>
          <w:szCs w:val="24"/>
        </w:rPr>
        <w:t>radicado al N° 66001-31-05-00</w:t>
      </w:r>
      <w:r w:rsidR="00823341" w:rsidRPr="0081012D">
        <w:rPr>
          <w:rFonts w:ascii="Arial" w:hAnsi="Arial" w:cs="Arial"/>
          <w:bCs/>
          <w:szCs w:val="24"/>
        </w:rPr>
        <w:t>1</w:t>
      </w:r>
      <w:r w:rsidR="00C364EF" w:rsidRPr="0081012D">
        <w:rPr>
          <w:rFonts w:ascii="Arial" w:hAnsi="Arial" w:cs="Arial"/>
          <w:bCs/>
          <w:szCs w:val="24"/>
        </w:rPr>
        <w:t>-201</w:t>
      </w:r>
      <w:r w:rsidR="00823341" w:rsidRPr="0081012D">
        <w:rPr>
          <w:rFonts w:ascii="Arial" w:hAnsi="Arial" w:cs="Arial"/>
          <w:bCs/>
          <w:szCs w:val="24"/>
        </w:rPr>
        <w:t>6</w:t>
      </w:r>
      <w:r w:rsidR="00C364EF" w:rsidRPr="0081012D">
        <w:rPr>
          <w:rFonts w:ascii="Arial" w:hAnsi="Arial" w:cs="Arial"/>
          <w:bCs/>
          <w:szCs w:val="24"/>
        </w:rPr>
        <w:t>-00</w:t>
      </w:r>
      <w:r w:rsidR="00823341" w:rsidRPr="0081012D">
        <w:rPr>
          <w:rFonts w:ascii="Arial" w:hAnsi="Arial" w:cs="Arial"/>
          <w:bCs/>
          <w:szCs w:val="24"/>
        </w:rPr>
        <w:t>060</w:t>
      </w:r>
      <w:r w:rsidR="00C364EF" w:rsidRPr="0081012D">
        <w:rPr>
          <w:rFonts w:ascii="Arial" w:hAnsi="Arial" w:cs="Arial"/>
          <w:bCs/>
          <w:szCs w:val="24"/>
        </w:rPr>
        <w:t>-01</w:t>
      </w:r>
      <w:r w:rsidR="00C364EF" w:rsidRPr="0081012D">
        <w:rPr>
          <w:rFonts w:ascii="Arial" w:hAnsi="Arial" w:cs="Arial"/>
          <w:b/>
          <w:bCs/>
          <w:szCs w:val="24"/>
        </w:rPr>
        <w:t>.</w:t>
      </w:r>
    </w:p>
    <w:p w:rsidR="00C364EF" w:rsidRPr="0081012D" w:rsidRDefault="00C364EF" w:rsidP="0081012D">
      <w:pPr>
        <w:spacing w:line="276" w:lineRule="auto"/>
        <w:ind w:firstLine="851"/>
        <w:jc w:val="both"/>
        <w:rPr>
          <w:rFonts w:ascii="Arial" w:hAnsi="Arial" w:cs="Arial"/>
          <w:bCs/>
          <w:iCs/>
          <w:szCs w:val="24"/>
        </w:rPr>
      </w:pPr>
    </w:p>
    <w:p w:rsidR="00C364EF" w:rsidRPr="0081012D" w:rsidRDefault="00C364EF" w:rsidP="0081012D">
      <w:pPr>
        <w:spacing w:line="276" w:lineRule="auto"/>
        <w:contextualSpacing/>
        <w:rPr>
          <w:rFonts w:ascii="Arial" w:hAnsi="Arial" w:cs="Arial"/>
          <w:b/>
          <w:szCs w:val="24"/>
        </w:rPr>
      </w:pPr>
      <w:r w:rsidRPr="0081012D">
        <w:rPr>
          <w:rFonts w:ascii="Arial" w:hAnsi="Arial" w:cs="Arial"/>
          <w:b/>
          <w:szCs w:val="24"/>
        </w:rPr>
        <w:t>Registro de asistencia:</w:t>
      </w:r>
    </w:p>
    <w:p w:rsidR="00C364EF" w:rsidRPr="0081012D" w:rsidRDefault="00C364EF" w:rsidP="0081012D">
      <w:pPr>
        <w:spacing w:line="276" w:lineRule="auto"/>
        <w:ind w:firstLine="851"/>
        <w:contextualSpacing/>
        <w:rPr>
          <w:rFonts w:ascii="Arial" w:hAnsi="Arial" w:cs="Arial"/>
          <w:szCs w:val="24"/>
        </w:rPr>
      </w:pPr>
    </w:p>
    <w:p w:rsidR="00C364EF" w:rsidRPr="0081012D" w:rsidRDefault="00C364EF" w:rsidP="0081012D">
      <w:pPr>
        <w:spacing w:line="276" w:lineRule="auto"/>
        <w:contextualSpacing/>
        <w:rPr>
          <w:rFonts w:ascii="Arial" w:hAnsi="Arial" w:cs="Arial"/>
          <w:szCs w:val="24"/>
        </w:rPr>
      </w:pPr>
      <w:r w:rsidRPr="0081012D">
        <w:rPr>
          <w:rFonts w:ascii="Arial" w:hAnsi="Arial" w:cs="Arial"/>
          <w:szCs w:val="24"/>
        </w:rPr>
        <w:t xml:space="preserve">Demandante y su apoderado: </w:t>
      </w:r>
      <w:r w:rsidRPr="0081012D">
        <w:rPr>
          <w:rFonts w:ascii="Arial" w:hAnsi="Arial" w:cs="Arial"/>
          <w:szCs w:val="24"/>
        </w:rPr>
        <w:tab/>
      </w:r>
      <w:r w:rsidRPr="0081012D">
        <w:rPr>
          <w:rFonts w:ascii="Arial" w:hAnsi="Arial" w:cs="Arial"/>
          <w:szCs w:val="24"/>
        </w:rPr>
        <w:tab/>
      </w:r>
      <w:r w:rsidRPr="0081012D">
        <w:rPr>
          <w:rFonts w:ascii="Arial" w:hAnsi="Arial" w:cs="Arial"/>
          <w:szCs w:val="24"/>
        </w:rPr>
        <w:tab/>
      </w:r>
    </w:p>
    <w:p w:rsidR="00C364EF" w:rsidRPr="0081012D" w:rsidRDefault="00547F8A" w:rsidP="0081012D">
      <w:pPr>
        <w:spacing w:line="276" w:lineRule="auto"/>
        <w:contextualSpacing/>
        <w:rPr>
          <w:rFonts w:ascii="Arial" w:hAnsi="Arial" w:cs="Arial"/>
          <w:szCs w:val="24"/>
        </w:rPr>
      </w:pPr>
      <w:r w:rsidRPr="0081012D">
        <w:rPr>
          <w:rFonts w:ascii="Arial" w:hAnsi="Arial" w:cs="Arial"/>
          <w:szCs w:val="24"/>
        </w:rPr>
        <w:t>Protección S.A.</w:t>
      </w:r>
      <w:r w:rsidR="00C364EF" w:rsidRPr="0081012D">
        <w:rPr>
          <w:rFonts w:ascii="Arial" w:hAnsi="Arial" w:cs="Arial"/>
          <w:szCs w:val="24"/>
        </w:rPr>
        <w:t xml:space="preserve"> y su apoderado:</w:t>
      </w:r>
    </w:p>
    <w:p w:rsidR="00C364EF" w:rsidRPr="0081012D" w:rsidRDefault="00C364EF" w:rsidP="0081012D">
      <w:pPr>
        <w:spacing w:line="276" w:lineRule="auto"/>
        <w:ind w:firstLine="851"/>
        <w:contextualSpacing/>
        <w:rPr>
          <w:rFonts w:ascii="Arial" w:hAnsi="Arial" w:cs="Arial"/>
          <w:szCs w:val="24"/>
        </w:rPr>
      </w:pPr>
    </w:p>
    <w:p w:rsidR="00C364EF" w:rsidRPr="0081012D" w:rsidRDefault="00C364EF" w:rsidP="0081012D">
      <w:pPr>
        <w:spacing w:line="276" w:lineRule="auto"/>
        <w:contextualSpacing/>
        <w:jc w:val="both"/>
        <w:rPr>
          <w:rFonts w:ascii="Arial" w:hAnsi="Arial" w:cs="Arial"/>
          <w:b/>
          <w:szCs w:val="24"/>
        </w:rPr>
      </w:pPr>
      <w:r w:rsidRPr="0081012D">
        <w:rPr>
          <w:rFonts w:ascii="Arial" w:hAnsi="Arial" w:cs="Arial"/>
          <w:b/>
          <w:szCs w:val="24"/>
        </w:rPr>
        <w:t xml:space="preserve">Traslado a las partes </w:t>
      </w:r>
    </w:p>
    <w:p w:rsidR="00C364EF" w:rsidRPr="0081012D" w:rsidRDefault="00C364EF" w:rsidP="0081012D">
      <w:pPr>
        <w:spacing w:line="276" w:lineRule="auto"/>
        <w:contextualSpacing/>
        <w:jc w:val="both"/>
        <w:rPr>
          <w:rFonts w:ascii="Arial" w:hAnsi="Arial" w:cs="Arial"/>
          <w:b/>
          <w:szCs w:val="24"/>
        </w:rPr>
      </w:pPr>
    </w:p>
    <w:p w:rsidR="00C364EF" w:rsidRPr="0081012D" w:rsidRDefault="00C364EF" w:rsidP="0081012D">
      <w:pPr>
        <w:spacing w:line="276" w:lineRule="auto"/>
        <w:contextualSpacing/>
        <w:jc w:val="both"/>
        <w:rPr>
          <w:rFonts w:ascii="Arial" w:hAnsi="Arial" w:cs="Arial"/>
          <w:szCs w:val="24"/>
        </w:rPr>
      </w:pPr>
      <w:r w:rsidRPr="0081012D">
        <w:rPr>
          <w:rFonts w:ascii="Arial" w:hAnsi="Arial" w:cs="Arial"/>
          <w:szCs w:val="24"/>
        </w:rPr>
        <w:t>En este estado se corre traslado a los asistentes para que presenten sus alegatos, de conformidad con lo establecido por el artículo 13 de la Ley 1149/07.</w:t>
      </w:r>
    </w:p>
    <w:p w:rsidR="00C364EF" w:rsidRPr="0081012D" w:rsidRDefault="00C364EF" w:rsidP="0081012D">
      <w:pPr>
        <w:spacing w:line="276" w:lineRule="auto"/>
        <w:contextualSpacing/>
        <w:jc w:val="both"/>
        <w:rPr>
          <w:rFonts w:ascii="Arial" w:hAnsi="Arial" w:cs="Arial"/>
          <w:szCs w:val="24"/>
        </w:rPr>
      </w:pPr>
    </w:p>
    <w:p w:rsidR="00C364EF" w:rsidRPr="0081012D" w:rsidRDefault="00C364EF" w:rsidP="0081012D">
      <w:pPr>
        <w:spacing w:line="276" w:lineRule="auto"/>
        <w:contextualSpacing/>
        <w:jc w:val="center"/>
        <w:rPr>
          <w:rFonts w:ascii="Arial" w:hAnsi="Arial" w:cs="Arial"/>
          <w:b/>
          <w:szCs w:val="24"/>
        </w:rPr>
      </w:pPr>
      <w:r w:rsidRPr="0081012D">
        <w:rPr>
          <w:rFonts w:ascii="Arial" w:hAnsi="Arial" w:cs="Arial"/>
          <w:b/>
          <w:szCs w:val="24"/>
        </w:rPr>
        <w:t>ANTECEDENTES:</w:t>
      </w:r>
    </w:p>
    <w:p w:rsidR="00C364EF" w:rsidRPr="0081012D" w:rsidRDefault="00C364EF" w:rsidP="00E24E7D">
      <w:pPr>
        <w:spacing w:line="276" w:lineRule="auto"/>
        <w:contextualSpacing/>
        <w:jc w:val="both"/>
        <w:rPr>
          <w:rFonts w:ascii="Arial" w:hAnsi="Arial" w:cs="Arial"/>
          <w:b/>
          <w:szCs w:val="24"/>
        </w:rPr>
      </w:pPr>
    </w:p>
    <w:p w:rsidR="00C364EF" w:rsidRPr="0081012D" w:rsidRDefault="00273C05" w:rsidP="0081012D">
      <w:pPr>
        <w:spacing w:line="276" w:lineRule="auto"/>
        <w:jc w:val="both"/>
        <w:rPr>
          <w:rFonts w:ascii="Arial" w:hAnsi="Arial" w:cs="Arial"/>
          <w:b/>
          <w:szCs w:val="24"/>
        </w:rPr>
      </w:pPr>
      <w:r w:rsidRPr="0081012D">
        <w:rPr>
          <w:rFonts w:ascii="Arial" w:hAnsi="Arial" w:cs="Arial"/>
          <w:b/>
          <w:szCs w:val="24"/>
        </w:rPr>
        <w:t>1.1</w:t>
      </w:r>
      <w:r w:rsidR="00D576BA" w:rsidRPr="0081012D">
        <w:rPr>
          <w:rFonts w:ascii="Arial" w:hAnsi="Arial" w:cs="Arial"/>
          <w:b/>
          <w:szCs w:val="24"/>
        </w:rPr>
        <w:t>. Síntesis</w:t>
      </w:r>
      <w:r w:rsidR="00C364EF" w:rsidRPr="0081012D">
        <w:rPr>
          <w:rFonts w:ascii="Arial" w:hAnsi="Arial" w:cs="Arial"/>
          <w:b/>
          <w:szCs w:val="24"/>
        </w:rPr>
        <w:t xml:space="preserve"> de la demanda y su contestación</w:t>
      </w:r>
    </w:p>
    <w:p w:rsidR="00273C05" w:rsidRPr="0081012D" w:rsidRDefault="00273C05" w:rsidP="0081012D">
      <w:pPr>
        <w:spacing w:line="276" w:lineRule="auto"/>
        <w:jc w:val="both"/>
        <w:rPr>
          <w:rFonts w:ascii="Arial" w:hAnsi="Arial" w:cs="Arial"/>
          <w:b/>
          <w:szCs w:val="24"/>
        </w:rPr>
      </w:pPr>
    </w:p>
    <w:p w:rsidR="00C364EF" w:rsidRPr="0081012D" w:rsidRDefault="00C2071B" w:rsidP="0081012D">
      <w:pPr>
        <w:spacing w:line="276" w:lineRule="auto"/>
        <w:jc w:val="both"/>
        <w:rPr>
          <w:rFonts w:ascii="Arial" w:hAnsi="Arial" w:cs="Arial"/>
          <w:szCs w:val="24"/>
        </w:rPr>
      </w:pPr>
      <w:r w:rsidRPr="0081012D">
        <w:rPr>
          <w:rFonts w:ascii="Arial" w:hAnsi="Arial" w:cs="Arial"/>
          <w:szCs w:val="24"/>
        </w:rPr>
        <w:t>La</w:t>
      </w:r>
      <w:r w:rsidR="00732943" w:rsidRPr="0081012D">
        <w:rPr>
          <w:rFonts w:ascii="Arial" w:hAnsi="Arial" w:cs="Arial"/>
          <w:szCs w:val="24"/>
        </w:rPr>
        <w:t xml:space="preserve"> señor</w:t>
      </w:r>
      <w:r w:rsidRPr="0081012D">
        <w:rPr>
          <w:rFonts w:ascii="Arial" w:hAnsi="Arial" w:cs="Arial"/>
          <w:szCs w:val="24"/>
        </w:rPr>
        <w:t>a Gloria Elena Caicedo Arango</w:t>
      </w:r>
      <w:r w:rsidR="001B5B64" w:rsidRPr="0081012D">
        <w:rPr>
          <w:rFonts w:ascii="Arial" w:hAnsi="Arial" w:cs="Arial"/>
          <w:szCs w:val="24"/>
        </w:rPr>
        <w:t xml:space="preserve"> en nombre propio y en representación de sus hijos menores</w:t>
      </w:r>
      <w:r w:rsidR="001C1BFB" w:rsidRPr="0081012D">
        <w:rPr>
          <w:rFonts w:ascii="Arial" w:hAnsi="Arial" w:cs="Arial"/>
          <w:szCs w:val="24"/>
        </w:rPr>
        <w:t xml:space="preserve"> solicita</w:t>
      </w:r>
      <w:r w:rsidR="001B5B64" w:rsidRPr="0081012D">
        <w:rPr>
          <w:rFonts w:ascii="Arial" w:hAnsi="Arial" w:cs="Arial"/>
          <w:szCs w:val="24"/>
        </w:rPr>
        <w:t xml:space="preserve"> </w:t>
      </w:r>
      <w:r w:rsidR="00C364EF" w:rsidRPr="0081012D">
        <w:rPr>
          <w:rFonts w:ascii="Arial" w:hAnsi="Arial" w:cs="Arial"/>
          <w:szCs w:val="24"/>
        </w:rPr>
        <w:t xml:space="preserve">se </w:t>
      </w:r>
      <w:r w:rsidR="001C1BFB" w:rsidRPr="0081012D">
        <w:rPr>
          <w:rFonts w:ascii="Arial" w:hAnsi="Arial" w:cs="Arial"/>
          <w:szCs w:val="24"/>
        </w:rPr>
        <w:t>declare</w:t>
      </w:r>
      <w:r w:rsidR="001B5B64" w:rsidRPr="0081012D">
        <w:rPr>
          <w:rFonts w:ascii="Arial" w:hAnsi="Arial" w:cs="Arial"/>
          <w:szCs w:val="24"/>
        </w:rPr>
        <w:t xml:space="preserve"> que el señor </w:t>
      </w:r>
      <w:r w:rsidR="00815E6B" w:rsidRPr="0081012D">
        <w:rPr>
          <w:rFonts w:ascii="Arial" w:hAnsi="Arial" w:cs="Arial"/>
          <w:szCs w:val="24"/>
        </w:rPr>
        <w:t>Fernando Loaiza Soto dejó causada la pensión de sobreviviente</w:t>
      </w:r>
      <w:r w:rsidR="00FF49DE" w:rsidRPr="0081012D">
        <w:rPr>
          <w:rFonts w:ascii="Arial" w:hAnsi="Arial" w:cs="Arial"/>
          <w:szCs w:val="24"/>
        </w:rPr>
        <w:t>s</w:t>
      </w:r>
      <w:r w:rsidR="00815E6B" w:rsidRPr="0081012D">
        <w:rPr>
          <w:rFonts w:ascii="Arial" w:hAnsi="Arial" w:cs="Arial"/>
          <w:szCs w:val="24"/>
        </w:rPr>
        <w:t xml:space="preserve"> desde el 07-06-2015 y que ellos son </w:t>
      </w:r>
      <w:r w:rsidR="00983D7F" w:rsidRPr="0081012D">
        <w:rPr>
          <w:rFonts w:ascii="Arial" w:hAnsi="Arial" w:cs="Arial"/>
          <w:szCs w:val="24"/>
        </w:rPr>
        <w:t xml:space="preserve">sus </w:t>
      </w:r>
      <w:r w:rsidR="00815E6B" w:rsidRPr="0081012D">
        <w:rPr>
          <w:rFonts w:ascii="Arial" w:hAnsi="Arial" w:cs="Arial"/>
          <w:szCs w:val="24"/>
        </w:rPr>
        <w:t>beneficiarios</w:t>
      </w:r>
      <w:r w:rsidR="00983D7F" w:rsidRPr="0081012D">
        <w:rPr>
          <w:rFonts w:ascii="Arial" w:hAnsi="Arial" w:cs="Arial"/>
          <w:szCs w:val="24"/>
        </w:rPr>
        <w:t xml:space="preserve"> </w:t>
      </w:r>
      <w:r w:rsidR="007E60BE" w:rsidRPr="0081012D">
        <w:rPr>
          <w:rFonts w:ascii="Arial" w:hAnsi="Arial" w:cs="Arial"/>
          <w:szCs w:val="24"/>
        </w:rPr>
        <w:t>en calidad de compañera</w:t>
      </w:r>
      <w:r w:rsidR="00A10B1F" w:rsidRPr="0081012D">
        <w:rPr>
          <w:rFonts w:ascii="Arial" w:hAnsi="Arial" w:cs="Arial"/>
          <w:szCs w:val="24"/>
        </w:rPr>
        <w:t xml:space="preserve"> permanente</w:t>
      </w:r>
      <w:r w:rsidR="00815E6B" w:rsidRPr="0081012D">
        <w:rPr>
          <w:rFonts w:ascii="Arial" w:hAnsi="Arial" w:cs="Arial"/>
          <w:szCs w:val="24"/>
        </w:rPr>
        <w:t xml:space="preserve"> e hijos menores.</w:t>
      </w:r>
      <w:r w:rsidR="005E6E1B" w:rsidRPr="0081012D">
        <w:rPr>
          <w:rFonts w:ascii="Arial" w:hAnsi="Arial" w:cs="Arial"/>
          <w:szCs w:val="24"/>
        </w:rPr>
        <w:t xml:space="preserve"> </w:t>
      </w:r>
    </w:p>
    <w:p w:rsidR="00815E6B" w:rsidRPr="0081012D" w:rsidRDefault="00815E6B" w:rsidP="0081012D">
      <w:pPr>
        <w:spacing w:line="276" w:lineRule="auto"/>
        <w:jc w:val="both"/>
        <w:rPr>
          <w:rFonts w:ascii="Arial" w:hAnsi="Arial" w:cs="Arial"/>
          <w:szCs w:val="24"/>
        </w:rPr>
      </w:pPr>
    </w:p>
    <w:p w:rsidR="00E72DD0" w:rsidRPr="0081012D" w:rsidRDefault="00C364EF" w:rsidP="0081012D">
      <w:pPr>
        <w:spacing w:line="276" w:lineRule="auto"/>
        <w:jc w:val="both"/>
        <w:rPr>
          <w:rFonts w:ascii="Arial" w:hAnsi="Arial" w:cs="Arial"/>
          <w:szCs w:val="24"/>
        </w:rPr>
      </w:pPr>
      <w:r w:rsidRPr="0081012D">
        <w:rPr>
          <w:rFonts w:ascii="Arial" w:hAnsi="Arial" w:cs="Arial"/>
          <w:szCs w:val="24"/>
        </w:rPr>
        <w:t xml:space="preserve">Fundamenta sus aspiraciones en que: </w:t>
      </w:r>
      <w:r w:rsidR="00457A6D" w:rsidRPr="0081012D">
        <w:rPr>
          <w:rFonts w:ascii="Arial" w:hAnsi="Arial" w:cs="Arial"/>
          <w:szCs w:val="24"/>
        </w:rPr>
        <w:t>(</w:t>
      </w:r>
      <w:r w:rsidR="00457A6D" w:rsidRPr="0081012D">
        <w:rPr>
          <w:rFonts w:ascii="Arial" w:hAnsi="Arial" w:cs="Arial"/>
          <w:i/>
          <w:szCs w:val="24"/>
        </w:rPr>
        <w:t>i)</w:t>
      </w:r>
      <w:r w:rsidR="00457A6D" w:rsidRPr="0081012D">
        <w:rPr>
          <w:rFonts w:ascii="Arial" w:hAnsi="Arial" w:cs="Arial"/>
          <w:szCs w:val="24"/>
        </w:rPr>
        <w:t xml:space="preserve"> </w:t>
      </w:r>
      <w:r w:rsidR="002C08CC" w:rsidRPr="0081012D">
        <w:rPr>
          <w:rFonts w:ascii="Arial" w:hAnsi="Arial" w:cs="Arial"/>
          <w:szCs w:val="24"/>
        </w:rPr>
        <w:t xml:space="preserve">convivió de manera </w:t>
      </w:r>
      <w:r w:rsidR="00BE665C" w:rsidRPr="0081012D">
        <w:rPr>
          <w:rFonts w:ascii="Arial" w:hAnsi="Arial" w:cs="Arial"/>
          <w:szCs w:val="24"/>
        </w:rPr>
        <w:t xml:space="preserve">ininterrumpida </w:t>
      </w:r>
      <w:r w:rsidR="002C08CC" w:rsidRPr="0081012D">
        <w:rPr>
          <w:rFonts w:ascii="Arial" w:hAnsi="Arial" w:cs="Arial"/>
          <w:szCs w:val="24"/>
        </w:rPr>
        <w:t>en unión marital de hecho con el señor Loaiza Soto</w:t>
      </w:r>
      <w:r w:rsidR="00BE665C" w:rsidRPr="0081012D">
        <w:rPr>
          <w:rFonts w:ascii="Arial" w:hAnsi="Arial" w:cs="Arial"/>
          <w:szCs w:val="24"/>
        </w:rPr>
        <w:t>,</w:t>
      </w:r>
      <w:r w:rsidR="002C08CC" w:rsidRPr="0081012D">
        <w:rPr>
          <w:rFonts w:ascii="Arial" w:hAnsi="Arial" w:cs="Arial"/>
          <w:szCs w:val="24"/>
        </w:rPr>
        <w:t xml:space="preserve"> aproximadamente </w:t>
      </w:r>
      <w:r w:rsidR="008E7B03" w:rsidRPr="0081012D">
        <w:rPr>
          <w:rFonts w:ascii="Arial" w:hAnsi="Arial" w:cs="Arial"/>
          <w:szCs w:val="24"/>
        </w:rPr>
        <w:t xml:space="preserve">durante </w:t>
      </w:r>
      <w:r w:rsidR="002C08CC" w:rsidRPr="0081012D">
        <w:rPr>
          <w:rFonts w:ascii="Arial" w:hAnsi="Arial" w:cs="Arial"/>
          <w:szCs w:val="24"/>
        </w:rPr>
        <w:t xml:space="preserve">20 años </w:t>
      </w:r>
      <w:r w:rsidR="00BE665C" w:rsidRPr="0081012D">
        <w:rPr>
          <w:rFonts w:ascii="Arial" w:hAnsi="Arial" w:cs="Arial"/>
          <w:szCs w:val="24"/>
        </w:rPr>
        <w:t xml:space="preserve"> </w:t>
      </w:r>
      <w:r w:rsidR="002C08CC" w:rsidRPr="0081012D">
        <w:rPr>
          <w:rFonts w:ascii="Arial" w:hAnsi="Arial" w:cs="Arial"/>
          <w:szCs w:val="24"/>
        </w:rPr>
        <w:t>hasta el</w:t>
      </w:r>
      <w:r w:rsidR="008E7B03" w:rsidRPr="0081012D">
        <w:rPr>
          <w:rFonts w:ascii="Arial" w:hAnsi="Arial" w:cs="Arial"/>
          <w:szCs w:val="24"/>
        </w:rPr>
        <w:t xml:space="preserve"> momento de</w:t>
      </w:r>
      <w:r w:rsidR="00BE665C" w:rsidRPr="0081012D">
        <w:rPr>
          <w:rFonts w:ascii="Arial" w:hAnsi="Arial" w:cs="Arial"/>
          <w:szCs w:val="24"/>
        </w:rPr>
        <w:t xml:space="preserve"> su</w:t>
      </w:r>
      <w:r w:rsidR="002C08CC" w:rsidRPr="0081012D">
        <w:rPr>
          <w:rFonts w:ascii="Arial" w:hAnsi="Arial" w:cs="Arial"/>
          <w:szCs w:val="24"/>
        </w:rPr>
        <w:t xml:space="preserve"> fallecimiento</w:t>
      </w:r>
      <w:r w:rsidR="008E7B03" w:rsidRPr="0081012D">
        <w:rPr>
          <w:rFonts w:ascii="Arial" w:hAnsi="Arial" w:cs="Arial"/>
          <w:szCs w:val="24"/>
        </w:rPr>
        <w:t xml:space="preserve"> </w:t>
      </w:r>
      <w:r w:rsidR="00D106D5" w:rsidRPr="0081012D">
        <w:rPr>
          <w:rFonts w:ascii="Arial" w:hAnsi="Arial" w:cs="Arial"/>
          <w:szCs w:val="24"/>
        </w:rPr>
        <w:t xml:space="preserve">el </w:t>
      </w:r>
      <w:r w:rsidR="008E7B03" w:rsidRPr="0081012D">
        <w:rPr>
          <w:rFonts w:ascii="Arial" w:hAnsi="Arial" w:cs="Arial"/>
          <w:szCs w:val="24"/>
        </w:rPr>
        <w:t xml:space="preserve">07-06-2015, de </w:t>
      </w:r>
      <w:r w:rsidR="00BE665C" w:rsidRPr="0081012D">
        <w:rPr>
          <w:rFonts w:ascii="Arial" w:hAnsi="Arial" w:cs="Arial"/>
          <w:szCs w:val="24"/>
        </w:rPr>
        <w:t>est</w:t>
      </w:r>
      <w:r w:rsidR="008E7B03" w:rsidRPr="0081012D">
        <w:rPr>
          <w:rFonts w:ascii="Arial" w:hAnsi="Arial" w:cs="Arial"/>
          <w:szCs w:val="24"/>
        </w:rPr>
        <w:t xml:space="preserve">a unión </w:t>
      </w:r>
      <w:r w:rsidR="00D106D5" w:rsidRPr="0081012D">
        <w:rPr>
          <w:rFonts w:ascii="Arial" w:hAnsi="Arial" w:cs="Arial"/>
          <w:szCs w:val="24"/>
        </w:rPr>
        <w:t xml:space="preserve">nacieron </w:t>
      </w:r>
      <w:r w:rsidR="008E7B03" w:rsidRPr="0081012D">
        <w:rPr>
          <w:rFonts w:ascii="Arial" w:hAnsi="Arial" w:cs="Arial"/>
          <w:szCs w:val="24"/>
        </w:rPr>
        <w:t>3 hijos, 2 de ellos menores de edad</w:t>
      </w:r>
      <w:r w:rsidRPr="0081012D">
        <w:rPr>
          <w:rFonts w:ascii="Arial" w:hAnsi="Arial" w:cs="Arial"/>
          <w:szCs w:val="24"/>
        </w:rPr>
        <w:t xml:space="preserve">; </w:t>
      </w:r>
    </w:p>
    <w:p w:rsidR="00E72DD0" w:rsidRPr="0081012D" w:rsidRDefault="00E72DD0" w:rsidP="0081012D">
      <w:pPr>
        <w:spacing w:line="276" w:lineRule="auto"/>
        <w:jc w:val="both"/>
        <w:rPr>
          <w:rFonts w:ascii="Arial" w:hAnsi="Arial" w:cs="Arial"/>
          <w:szCs w:val="24"/>
        </w:rPr>
      </w:pPr>
    </w:p>
    <w:p w:rsidR="00C364EF" w:rsidRPr="0081012D" w:rsidRDefault="00C364EF" w:rsidP="0081012D">
      <w:pPr>
        <w:spacing w:line="276" w:lineRule="auto"/>
        <w:jc w:val="both"/>
        <w:rPr>
          <w:rFonts w:ascii="Arial" w:hAnsi="Arial" w:cs="Arial"/>
          <w:szCs w:val="24"/>
        </w:rPr>
      </w:pPr>
      <w:r w:rsidRPr="0081012D">
        <w:rPr>
          <w:rFonts w:ascii="Arial" w:hAnsi="Arial" w:cs="Arial"/>
          <w:i/>
          <w:szCs w:val="24"/>
        </w:rPr>
        <w:t>(ii)</w:t>
      </w:r>
      <w:r w:rsidRPr="0081012D">
        <w:rPr>
          <w:rFonts w:ascii="Arial" w:hAnsi="Arial" w:cs="Arial"/>
          <w:szCs w:val="24"/>
        </w:rPr>
        <w:t xml:space="preserve"> </w:t>
      </w:r>
      <w:r w:rsidR="00BE665C" w:rsidRPr="0081012D">
        <w:rPr>
          <w:rFonts w:ascii="Arial" w:hAnsi="Arial" w:cs="Arial"/>
          <w:szCs w:val="24"/>
        </w:rPr>
        <w:t>Pidió</w:t>
      </w:r>
      <w:r w:rsidR="00B934F3" w:rsidRPr="0081012D">
        <w:rPr>
          <w:rFonts w:ascii="Arial" w:hAnsi="Arial" w:cs="Arial"/>
          <w:szCs w:val="24"/>
        </w:rPr>
        <w:t xml:space="preserve"> a</w:t>
      </w:r>
      <w:r w:rsidR="002C08CC" w:rsidRPr="0081012D">
        <w:rPr>
          <w:rFonts w:ascii="Arial" w:hAnsi="Arial" w:cs="Arial"/>
          <w:szCs w:val="24"/>
        </w:rPr>
        <w:t xml:space="preserve"> </w:t>
      </w:r>
      <w:r w:rsidR="008E7B03" w:rsidRPr="0081012D">
        <w:rPr>
          <w:rFonts w:ascii="Arial" w:hAnsi="Arial" w:cs="Arial"/>
          <w:szCs w:val="24"/>
        </w:rPr>
        <w:t>P</w:t>
      </w:r>
      <w:r w:rsidR="002C08CC" w:rsidRPr="0081012D">
        <w:rPr>
          <w:rFonts w:ascii="Arial" w:hAnsi="Arial" w:cs="Arial"/>
          <w:szCs w:val="24"/>
        </w:rPr>
        <w:t>rotección</w:t>
      </w:r>
      <w:r w:rsidR="008E7B03" w:rsidRPr="0081012D">
        <w:rPr>
          <w:rFonts w:ascii="Arial" w:hAnsi="Arial" w:cs="Arial"/>
          <w:szCs w:val="24"/>
        </w:rPr>
        <w:t xml:space="preserve"> S.A.</w:t>
      </w:r>
      <w:r w:rsidR="00B934F3" w:rsidRPr="0081012D">
        <w:rPr>
          <w:rFonts w:ascii="Arial" w:hAnsi="Arial" w:cs="Arial"/>
          <w:szCs w:val="24"/>
        </w:rPr>
        <w:t xml:space="preserve"> </w:t>
      </w:r>
      <w:r w:rsidR="002C08CC" w:rsidRPr="0081012D">
        <w:rPr>
          <w:rFonts w:ascii="Arial" w:hAnsi="Arial" w:cs="Arial"/>
          <w:szCs w:val="24"/>
        </w:rPr>
        <w:t>le</w:t>
      </w:r>
      <w:r w:rsidR="00BA4CCA" w:rsidRPr="0081012D">
        <w:rPr>
          <w:rFonts w:ascii="Arial" w:hAnsi="Arial" w:cs="Arial"/>
          <w:szCs w:val="24"/>
        </w:rPr>
        <w:t>s</w:t>
      </w:r>
      <w:r w:rsidR="002C08CC" w:rsidRPr="0081012D">
        <w:rPr>
          <w:rFonts w:ascii="Arial" w:hAnsi="Arial" w:cs="Arial"/>
          <w:szCs w:val="24"/>
        </w:rPr>
        <w:t xml:space="preserve"> fuera reconocida la pensión de sobreviviente</w:t>
      </w:r>
      <w:r w:rsidR="00B934F3" w:rsidRPr="0081012D">
        <w:rPr>
          <w:rFonts w:ascii="Arial" w:hAnsi="Arial" w:cs="Arial"/>
          <w:szCs w:val="24"/>
        </w:rPr>
        <w:t>s</w:t>
      </w:r>
      <w:r w:rsidR="00BE665C" w:rsidRPr="0081012D">
        <w:rPr>
          <w:rFonts w:ascii="Arial" w:hAnsi="Arial" w:cs="Arial"/>
          <w:szCs w:val="24"/>
        </w:rPr>
        <w:t xml:space="preserve"> pero</w:t>
      </w:r>
      <w:r w:rsidR="00BA4CCA" w:rsidRPr="0081012D">
        <w:rPr>
          <w:rFonts w:ascii="Arial" w:hAnsi="Arial" w:cs="Arial"/>
          <w:szCs w:val="24"/>
        </w:rPr>
        <w:t xml:space="preserve"> se negó </w:t>
      </w:r>
      <w:r w:rsidR="00142F26" w:rsidRPr="0081012D">
        <w:rPr>
          <w:rFonts w:ascii="Arial" w:hAnsi="Arial" w:cs="Arial"/>
          <w:szCs w:val="24"/>
        </w:rPr>
        <w:t>el 18-09-2015; d</w:t>
      </w:r>
      <w:r w:rsidR="00075096" w:rsidRPr="0081012D">
        <w:rPr>
          <w:rFonts w:ascii="Arial" w:hAnsi="Arial" w:cs="Arial"/>
          <w:szCs w:val="24"/>
        </w:rPr>
        <w:t>ecisión que se confirmó el</w:t>
      </w:r>
      <w:r w:rsidR="008E7B03" w:rsidRPr="0081012D">
        <w:rPr>
          <w:rFonts w:ascii="Arial" w:hAnsi="Arial" w:cs="Arial"/>
          <w:szCs w:val="24"/>
        </w:rPr>
        <w:t xml:space="preserve"> 03-12-2015 </w:t>
      </w:r>
      <w:r w:rsidR="00075096" w:rsidRPr="0081012D">
        <w:rPr>
          <w:rFonts w:ascii="Arial" w:hAnsi="Arial" w:cs="Arial"/>
          <w:szCs w:val="24"/>
        </w:rPr>
        <w:t>al cotizar</w:t>
      </w:r>
      <w:r w:rsidR="008E7B03" w:rsidRPr="0081012D">
        <w:rPr>
          <w:rFonts w:ascii="Arial" w:hAnsi="Arial" w:cs="Arial"/>
          <w:szCs w:val="24"/>
        </w:rPr>
        <w:t xml:space="preserve"> 48.91 semanas dentro de los tres años inmediatamente ante</w:t>
      </w:r>
      <w:r w:rsidR="00E72DD0" w:rsidRPr="0081012D">
        <w:rPr>
          <w:rFonts w:ascii="Arial" w:hAnsi="Arial" w:cs="Arial"/>
          <w:szCs w:val="24"/>
        </w:rPr>
        <w:t>r</w:t>
      </w:r>
      <w:r w:rsidR="00075096" w:rsidRPr="0081012D">
        <w:rPr>
          <w:rFonts w:ascii="Arial" w:hAnsi="Arial" w:cs="Arial"/>
          <w:szCs w:val="24"/>
        </w:rPr>
        <w:t>iores a la fecha del siniestro</w:t>
      </w:r>
      <w:r w:rsidR="000F36BE" w:rsidRPr="0081012D">
        <w:rPr>
          <w:rFonts w:ascii="Arial" w:hAnsi="Arial" w:cs="Arial"/>
          <w:szCs w:val="24"/>
        </w:rPr>
        <w:t xml:space="preserve">, por lo que </w:t>
      </w:r>
      <w:r w:rsidR="00BE665C" w:rsidRPr="0081012D">
        <w:rPr>
          <w:rFonts w:ascii="Arial" w:hAnsi="Arial" w:cs="Arial"/>
          <w:szCs w:val="24"/>
        </w:rPr>
        <w:t xml:space="preserve">se </w:t>
      </w:r>
      <w:r w:rsidR="000F36BE" w:rsidRPr="0081012D">
        <w:rPr>
          <w:rFonts w:ascii="Arial" w:hAnsi="Arial" w:cs="Arial"/>
          <w:szCs w:val="24"/>
        </w:rPr>
        <w:t>disp</w:t>
      </w:r>
      <w:r w:rsidR="00BE665C" w:rsidRPr="0081012D">
        <w:rPr>
          <w:rFonts w:ascii="Arial" w:hAnsi="Arial" w:cs="Arial"/>
          <w:szCs w:val="24"/>
        </w:rPr>
        <w:t xml:space="preserve">uso </w:t>
      </w:r>
      <w:r w:rsidR="000F36BE" w:rsidRPr="0081012D">
        <w:rPr>
          <w:rFonts w:ascii="Arial" w:hAnsi="Arial" w:cs="Arial"/>
          <w:szCs w:val="24"/>
        </w:rPr>
        <w:t xml:space="preserve">la </w:t>
      </w:r>
      <w:r w:rsidR="00E72DD0" w:rsidRPr="0081012D">
        <w:rPr>
          <w:rFonts w:ascii="Arial" w:hAnsi="Arial" w:cs="Arial"/>
          <w:szCs w:val="24"/>
        </w:rPr>
        <w:t>devolución de aportes en cuantía de $2.414.041.</w:t>
      </w:r>
    </w:p>
    <w:p w:rsidR="000F36BE" w:rsidRPr="0081012D" w:rsidRDefault="000F36BE" w:rsidP="0081012D">
      <w:pPr>
        <w:spacing w:line="276" w:lineRule="auto"/>
        <w:jc w:val="both"/>
        <w:rPr>
          <w:rFonts w:ascii="Arial" w:hAnsi="Arial" w:cs="Arial"/>
          <w:szCs w:val="24"/>
        </w:rPr>
      </w:pPr>
    </w:p>
    <w:p w:rsidR="000F36BE" w:rsidRPr="0081012D" w:rsidRDefault="000F36BE" w:rsidP="0081012D">
      <w:pPr>
        <w:spacing w:line="276" w:lineRule="auto"/>
        <w:jc w:val="both"/>
        <w:rPr>
          <w:rFonts w:ascii="Arial" w:hAnsi="Arial" w:cs="Arial"/>
          <w:szCs w:val="24"/>
        </w:rPr>
      </w:pPr>
      <w:r w:rsidRPr="0081012D">
        <w:rPr>
          <w:rFonts w:ascii="Arial" w:hAnsi="Arial" w:cs="Arial"/>
          <w:szCs w:val="24"/>
        </w:rPr>
        <w:t>Agreg</w:t>
      </w:r>
      <w:r w:rsidR="00BE665C" w:rsidRPr="0081012D">
        <w:rPr>
          <w:rFonts w:ascii="Arial" w:hAnsi="Arial" w:cs="Arial"/>
          <w:szCs w:val="24"/>
        </w:rPr>
        <w:t>ó</w:t>
      </w:r>
      <w:r w:rsidRPr="0081012D">
        <w:rPr>
          <w:rFonts w:ascii="Arial" w:hAnsi="Arial" w:cs="Arial"/>
          <w:szCs w:val="24"/>
        </w:rPr>
        <w:t xml:space="preserve"> que si bien su empleador pagó de manera extemporánea 3 días del ciclo de junio ello no le puede perjudicar. </w:t>
      </w:r>
    </w:p>
    <w:p w:rsidR="0029332D" w:rsidRPr="0081012D" w:rsidRDefault="0029332D" w:rsidP="0081012D">
      <w:pPr>
        <w:spacing w:line="276" w:lineRule="auto"/>
        <w:jc w:val="both"/>
        <w:rPr>
          <w:rFonts w:ascii="Arial" w:hAnsi="Arial" w:cs="Arial"/>
          <w:szCs w:val="24"/>
        </w:rPr>
      </w:pPr>
    </w:p>
    <w:p w:rsidR="00E04DA8" w:rsidRPr="0081012D" w:rsidRDefault="00C364EF" w:rsidP="0081012D">
      <w:pPr>
        <w:spacing w:line="276" w:lineRule="auto"/>
        <w:jc w:val="both"/>
        <w:rPr>
          <w:rFonts w:ascii="Arial" w:hAnsi="Arial" w:cs="Arial"/>
          <w:color w:val="000000" w:themeColor="text1"/>
          <w:szCs w:val="24"/>
          <w:lang w:val="es-CO"/>
        </w:rPr>
      </w:pPr>
      <w:r w:rsidRPr="0081012D">
        <w:rPr>
          <w:rFonts w:ascii="Arial" w:hAnsi="Arial" w:cs="Arial"/>
          <w:szCs w:val="24"/>
        </w:rPr>
        <w:t xml:space="preserve">La </w:t>
      </w:r>
      <w:r w:rsidRPr="0081012D">
        <w:rPr>
          <w:rFonts w:ascii="Arial" w:hAnsi="Arial" w:cs="Arial"/>
          <w:b/>
          <w:szCs w:val="24"/>
        </w:rPr>
        <w:t>Admini</w:t>
      </w:r>
      <w:r w:rsidR="00F33DD7" w:rsidRPr="0081012D">
        <w:rPr>
          <w:rFonts w:ascii="Arial" w:hAnsi="Arial" w:cs="Arial"/>
          <w:b/>
          <w:szCs w:val="24"/>
        </w:rPr>
        <w:t xml:space="preserve">stradora de Fondos y Pensiones y Cesantías </w:t>
      </w:r>
      <w:r w:rsidR="00CE0B04" w:rsidRPr="0081012D">
        <w:rPr>
          <w:rFonts w:ascii="Arial" w:hAnsi="Arial" w:cs="Arial"/>
          <w:b/>
          <w:szCs w:val="24"/>
        </w:rPr>
        <w:t>Protección se</w:t>
      </w:r>
      <w:r w:rsidR="00F33DD7" w:rsidRPr="0081012D">
        <w:rPr>
          <w:rFonts w:ascii="Arial" w:hAnsi="Arial" w:cs="Arial"/>
          <w:szCs w:val="24"/>
        </w:rPr>
        <w:t xml:space="preserve"> op</w:t>
      </w:r>
      <w:r w:rsidR="00142F26" w:rsidRPr="0081012D">
        <w:rPr>
          <w:rFonts w:ascii="Arial" w:hAnsi="Arial" w:cs="Arial"/>
          <w:szCs w:val="24"/>
        </w:rPr>
        <w:t>uso</w:t>
      </w:r>
      <w:r w:rsidR="00F33DD7" w:rsidRPr="0081012D">
        <w:rPr>
          <w:rFonts w:ascii="Arial" w:hAnsi="Arial" w:cs="Arial"/>
          <w:szCs w:val="24"/>
        </w:rPr>
        <w:t xml:space="preserve"> </w:t>
      </w:r>
      <w:r w:rsidR="00142F26" w:rsidRPr="0081012D">
        <w:rPr>
          <w:rFonts w:ascii="Arial" w:hAnsi="Arial" w:cs="Arial"/>
          <w:szCs w:val="24"/>
        </w:rPr>
        <w:t xml:space="preserve">a </w:t>
      </w:r>
      <w:r w:rsidR="00F33DD7" w:rsidRPr="0081012D">
        <w:rPr>
          <w:rFonts w:ascii="Arial" w:hAnsi="Arial" w:cs="Arial"/>
          <w:szCs w:val="24"/>
        </w:rPr>
        <w:t>todas las pretensiones de la demanda</w:t>
      </w:r>
      <w:r w:rsidR="00BE665C" w:rsidRPr="0081012D">
        <w:rPr>
          <w:rFonts w:ascii="Arial" w:hAnsi="Arial" w:cs="Arial"/>
          <w:szCs w:val="24"/>
        </w:rPr>
        <w:t xml:space="preserve"> por</w:t>
      </w:r>
      <w:r w:rsidR="00BA4CCA" w:rsidRPr="0081012D">
        <w:rPr>
          <w:rFonts w:ascii="Arial" w:hAnsi="Arial" w:cs="Arial"/>
          <w:szCs w:val="24"/>
        </w:rPr>
        <w:t xml:space="preserve"> no acreditar el</w:t>
      </w:r>
      <w:r w:rsidR="00F33DD7" w:rsidRPr="0081012D">
        <w:rPr>
          <w:rFonts w:ascii="Arial" w:hAnsi="Arial" w:cs="Arial"/>
          <w:szCs w:val="24"/>
        </w:rPr>
        <w:t xml:space="preserve"> afiliado</w:t>
      </w:r>
      <w:r w:rsidR="00BA4CCA" w:rsidRPr="0081012D">
        <w:rPr>
          <w:rFonts w:ascii="Arial" w:hAnsi="Arial" w:cs="Arial"/>
          <w:szCs w:val="24"/>
        </w:rPr>
        <w:t xml:space="preserve"> para el momento del</w:t>
      </w:r>
      <w:r w:rsidR="00F33DD7" w:rsidRPr="0081012D">
        <w:rPr>
          <w:rFonts w:ascii="Arial" w:hAnsi="Arial" w:cs="Arial"/>
          <w:szCs w:val="24"/>
        </w:rPr>
        <w:t xml:space="preserve"> fallecimiento </w:t>
      </w:r>
      <w:r w:rsidR="00142F26" w:rsidRPr="0081012D">
        <w:rPr>
          <w:rFonts w:ascii="Arial" w:hAnsi="Arial" w:cs="Arial"/>
          <w:szCs w:val="24"/>
        </w:rPr>
        <w:t xml:space="preserve">las </w:t>
      </w:r>
      <w:r w:rsidR="00F33DD7" w:rsidRPr="0081012D">
        <w:rPr>
          <w:rFonts w:ascii="Arial" w:hAnsi="Arial" w:cs="Arial"/>
          <w:szCs w:val="24"/>
        </w:rPr>
        <w:t>50 semanas de cotización</w:t>
      </w:r>
      <w:r w:rsidR="00BA4CCA" w:rsidRPr="0081012D">
        <w:rPr>
          <w:rFonts w:ascii="Arial" w:hAnsi="Arial" w:cs="Arial"/>
          <w:szCs w:val="24"/>
        </w:rPr>
        <w:t xml:space="preserve">; razón por la cual </w:t>
      </w:r>
      <w:r w:rsidR="004811FE" w:rsidRPr="0081012D">
        <w:rPr>
          <w:rFonts w:ascii="Arial" w:hAnsi="Arial" w:cs="Arial"/>
          <w:color w:val="000000" w:themeColor="text1"/>
          <w:szCs w:val="24"/>
          <w:lang w:val="es-CO"/>
        </w:rPr>
        <w:t>formuló</w:t>
      </w:r>
      <w:r w:rsidR="00997A2E" w:rsidRPr="0081012D">
        <w:rPr>
          <w:rFonts w:ascii="Arial" w:hAnsi="Arial" w:cs="Arial"/>
          <w:color w:val="000000" w:themeColor="text1"/>
          <w:szCs w:val="24"/>
          <w:lang w:val="es-CO"/>
        </w:rPr>
        <w:t xml:space="preserve"> </w:t>
      </w:r>
      <w:r w:rsidR="004811FE" w:rsidRPr="0081012D">
        <w:rPr>
          <w:rFonts w:ascii="Arial" w:hAnsi="Arial" w:cs="Arial"/>
          <w:color w:val="000000" w:themeColor="text1"/>
          <w:szCs w:val="24"/>
          <w:lang w:val="es-CO"/>
        </w:rPr>
        <w:t>excepciones</w:t>
      </w:r>
      <w:r w:rsidR="00BA4CCA" w:rsidRPr="0081012D">
        <w:rPr>
          <w:rFonts w:ascii="Arial" w:hAnsi="Arial" w:cs="Arial"/>
          <w:color w:val="000000" w:themeColor="text1"/>
          <w:szCs w:val="24"/>
          <w:lang w:val="es-CO"/>
        </w:rPr>
        <w:t xml:space="preserve"> </w:t>
      </w:r>
      <w:r w:rsidR="00142F26" w:rsidRPr="0081012D">
        <w:rPr>
          <w:rFonts w:ascii="Arial" w:hAnsi="Arial" w:cs="Arial"/>
          <w:color w:val="000000" w:themeColor="text1"/>
          <w:szCs w:val="24"/>
          <w:lang w:val="es-CO"/>
        </w:rPr>
        <w:t>de fondo</w:t>
      </w:r>
      <w:r w:rsidR="00E5025A" w:rsidRPr="0081012D">
        <w:rPr>
          <w:rFonts w:ascii="Arial" w:hAnsi="Arial" w:cs="Arial"/>
          <w:color w:val="000000" w:themeColor="text1"/>
          <w:szCs w:val="24"/>
          <w:lang w:val="es-CO"/>
        </w:rPr>
        <w:t>; al igual que la excepción previa por falta de integración del contradictorio</w:t>
      </w:r>
      <w:r w:rsidR="000A79C1" w:rsidRPr="0081012D">
        <w:rPr>
          <w:rFonts w:ascii="Arial" w:hAnsi="Arial" w:cs="Arial"/>
          <w:color w:val="000000" w:themeColor="text1"/>
          <w:szCs w:val="24"/>
          <w:lang w:val="es-CO"/>
        </w:rPr>
        <w:t xml:space="preserve">, lo que dio lugar a la vinculación de </w:t>
      </w:r>
      <w:r w:rsidR="00E04DA8" w:rsidRPr="0081012D">
        <w:rPr>
          <w:rFonts w:ascii="Arial" w:hAnsi="Arial" w:cs="Arial"/>
          <w:color w:val="000000" w:themeColor="text1"/>
          <w:szCs w:val="24"/>
          <w:lang w:val="es-CO"/>
        </w:rPr>
        <w:t xml:space="preserve">Angélica Loaiza </w:t>
      </w:r>
      <w:r w:rsidR="004811FE" w:rsidRPr="0081012D">
        <w:rPr>
          <w:rFonts w:ascii="Arial" w:hAnsi="Arial" w:cs="Arial"/>
          <w:color w:val="000000" w:themeColor="text1"/>
          <w:szCs w:val="24"/>
          <w:lang w:val="es-CO"/>
        </w:rPr>
        <w:t>Caicedo</w:t>
      </w:r>
      <w:r w:rsidR="000A79C1" w:rsidRPr="0081012D">
        <w:rPr>
          <w:rFonts w:ascii="Arial" w:hAnsi="Arial" w:cs="Arial"/>
          <w:color w:val="000000" w:themeColor="text1"/>
          <w:szCs w:val="24"/>
          <w:lang w:val="es-CO"/>
        </w:rPr>
        <w:t>, quien</w:t>
      </w:r>
      <w:r w:rsidR="004811FE" w:rsidRPr="0081012D">
        <w:rPr>
          <w:rFonts w:ascii="Arial" w:hAnsi="Arial" w:cs="Arial"/>
          <w:color w:val="000000" w:themeColor="text1"/>
          <w:szCs w:val="24"/>
          <w:lang w:val="es-CO"/>
        </w:rPr>
        <w:t xml:space="preserve"> notificada personalmente guardó silencio.</w:t>
      </w:r>
    </w:p>
    <w:p w:rsidR="00170593" w:rsidRPr="0081012D" w:rsidRDefault="00170593" w:rsidP="0081012D">
      <w:pPr>
        <w:spacing w:line="276" w:lineRule="auto"/>
        <w:jc w:val="both"/>
        <w:rPr>
          <w:rFonts w:ascii="Arial" w:hAnsi="Arial" w:cs="Arial"/>
          <w:color w:val="000000" w:themeColor="text1"/>
          <w:szCs w:val="24"/>
          <w:lang w:val="es-CO"/>
        </w:rPr>
      </w:pPr>
    </w:p>
    <w:p w:rsidR="00C364EF" w:rsidRPr="0081012D" w:rsidRDefault="00273C05" w:rsidP="0081012D">
      <w:pPr>
        <w:spacing w:line="276" w:lineRule="auto"/>
        <w:rPr>
          <w:rFonts w:ascii="Arial" w:hAnsi="Arial" w:cs="Arial"/>
          <w:b/>
          <w:szCs w:val="24"/>
        </w:rPr>
      </w:pPr>
      <w:r w:rsidRPr="0081012D">
        <w:rPr>
          <w:rFonts w:ascii="Arial" w:hAnsi="Arial" w:cs="Arial"/>
          <w:b/>
          <w:szCs w:val="24"/>
        </w:rPr>
        <w:t>1.2.</w:t>
      </w:r>
      <w:r w:rsidR="00C364EF" w:rsidRPr="0081012D">
        <w:rPr>
          <w:rFonts w:ascii="Arial" w:hAnsi="Arial" w:cs="Arial"/>
          <w:b/>
          <w:szCs w:val="24"/>
        </w:rPr>
        <w:t xml:space="preserve"> Síntesis de la </w:t>
      </w:r>
      <w:r w:rsidR="00E04DA8" w:rsidRPr="0081012D">
        <w:rPr>
          <w:rFonts w:ascii="Arial" w:hAnsi="Arial" w:cs="Arial"/>
          <w:b/>
          <w:szCs w:val="24"/>
        </w:rPr>
        <w:t>sentencia apelada</w:t>
      </w:r>
      <w:r w:rsidR="00AC7841" w:rsidRPr="0081012D">
        <w:rPr>
          <w:rFonts w:ascii="Arial" w:hAnsi="Arial" w:cs="Arial"/>
          <w:b/>
          <w:szCs w:val="24"/>
        </w:rPr>
        <w:t xml:space="preserve"> </w:t>
      </w:r>
    </w:p>
    <w:p w:rsidR="00C364EF" w:rsidRPr="0081012D" w:rsidRDefault="00C364EF" w:rsidP="0081012D">
      <w:pPr>
        <w:spacing w:line="276" w:lineRule="auto"/>
        <w:rPr>
          <w:rFonts w:ascii="Arial" w:hAnsi="Arial" w:cs="Arial"/>
          <w:b/>
          <w:szCs w:val="24"/>
        </w:rPr>
      </w:pPr>
    </w:p>
    <w:p w:rsidR="004A3BF7" w:rsidRPr="0081012D" w:rsidRDefault="00C364EF" w:rsidP="0081012D">
      <w:pPr>
        <w:spacing w:line="276" w:lineRule="auto"/>
        <w:jc w:val="both"/>
        <w:rPr>
          <w:rFonts w:ascii="Arial" w:hAnsi="Arial" w:cs="Arial"/>
          <w:color w:val="000000"/>
          <w:szCs w:val="24"/>
          <w:lang w:eastAsia="es-CO"/>
        </w:rPr>
      </w:pPr>
      <w:r w:rsidRPr="0081012D">
        <w:rPr>
          <w:rFonts w:ascii="Arial" w:hAnsi="Arial" w:cs="Arial"/>
          <w:color w:val="000000"/>
          <w:szCs w:val="24"/>
          <w:lang w:eastAsia="es-CO"/>
        </w:rPr>
        <w:t xml:space="preserve">El Juzgado </w:t>
      </w:r>
      <w:r w:rsidR="00E04DA8" w:rsidRPr="0081012D">
        <w:rPr>
          <w:rFonts w:ascii="Arial" w:hAnsi="Arial" w:cs="Arial"/>
          <w:color w:val="000000"/>
          <w:szCs w:val="24"/>
          <w:lang w:eastAsia="es-CO"/>
        </w:rPr>
        <w:t>Primero</w:t>
      </w:r>
      <w:r w:rsidRPr="0081012D">
        <w:rPr>
          <w:rFonts w:ascii="Arial" w:hAnsi="Arial" w:cs="Arial"/>
          <w:color w:val="000000"/>
          <w:szCs w:val="24"/>
          <w:lang w:eastAsia="es-CO"/>
        </w:rPr>
        <w:t xml:space="preserve"> Laboral del Circuito de Pereira </w:t>
      </w:r>
      <w:r w:rsidR="00CE01B7" w:rsidRPr="0081012D">
        <w:rPr>
          <w:rFonts w:ascii="Arial" w:hAnsi="Arial" w:cs="Arial"/>
          <w:color w:val="000000"/>
          <w:szCs w:val="24"/>
          <w:lang w:eastAsia="es-CO"/>
        </w:rPr>
        <w:t xml:space="preserve">reconoció a la </w:t>
      </w:r>
      <w:r w:rsidR="00BE665C" w:rsidRPr="0081012D">
        <w:rPr>
          <w:rFonts w:ascii="Arial" w:hAnsi="Arial" w:cs="Arial"/>
          <w:color w:val="000000"/>
          <w:szCs w:val="24"/>
          <w:lang w:eastAsia="es-CO"/>
        </w:rPr>
        <w:t xml:space="preserve">parte actora </w:t>
      </w:r>
      <w:r w:rsidR="00CE01B7" w:rsidRPr="0081012D">
        <w:rPr>
          <w:rFonts w:ascii="Arial" w:hAnsi="Arial" w:cs="Arial"/>
          <w:color w:val="000000"/>
          <w:szCs w:val="24"/>
          <w:lang w:eastAsia="es-CO"/>
        </w:rPr>
        <w:t>la pensión de sobreviviente</w:t>
      </w:r>
      <w:r w:rsidR="003256D0" w:rsidRPr="0081012D">
        <w:rPr>
          <w:rFonts w:ascii="Arial" w:hAnsi="Arial" w:cs="Arial"/>
          <w:color w:val="000000"/>
          <w:szCs w:val="24"/>
          <w:lang w:eastAsia="es-CO"/>
        </w:rPr>
        <w:t>s</w:t>
      </w:r>
      <w:r w:rsidR="00CE01B7" w:rsidRPr="0081012D">
        <w:rPr>
          <w:rFonts w:ascii="Arial" w:hAnsi="Arial" w:cs="Arial"/>
          <w:color w:val="000000"/>
          <w:szCs w:val="24"/>
          <w:lang w:eastAsia="es-CO"/>
        </w:rPr>
        <w:t xml:space="preserve"> que dejó causada el señor Fernando Loaiza Soto.</w:t>
      </w:r>
    </w:p>
    <w:p w:rsidR="00CE01B7" w:rsidRPr="0081012D" w:rsidRDefault="00CE01B7" w:rsidP="0081012D">
      <w:pPr>
        <w:spacing w:line="276" w:lineRule="auto"/>
        <w:jc w:val="both"/>
        <w:rPr>
          <w:rFonts w:ascii="Arial" w:hAnsi="Arial" w:cs="Arial"/>
          <w:color w:val="000000"/>
          <w:szCs w:val="24"/>
          <w:lang w:eastAsia="es-CO"/>
        </w:rPr>
      </w:pPr>
    </w:p>
    <w:p w:rsidR="009934FC" w:rsidRPr="0081012D" w:rsidRDefault="004A3BF7" w:rsidP="0081012D">
      <w:pPr>
        <w:tabs>
          <w:tab w:val="left" w:pos="1875"/>
          <w:tab w:val="center" w:pos="4420"/>
        </w:tabs>
        <w:spacing w:line="276" w:lineRule="auto"/>
        <w:jc w:val="both"/>
        <w:rPr>
          <w:rFonts w:ascii="Arial" w:hAnsi="Arial" w:cs="Arial"/>
          <w:color w:val="000000"/>
          <w:szCs w:val="24"/>
          <w:lang w:eastAsia="es-CO"/>
        </w:rPr>
      </w:pPr>
      <w:r w:rsidRPr="0081012D">
        <w:rPr>
          <w:rFonts w:ascii="Arial" w:hAnsi="Arial" w:cs="Arial"/>
          <w:color w:val="000000"/>
          <w:szCs w:val="24"/>
          <w:lang w:eastAsia="es-CO"/>
        </w:rPr>
        <w:lastRenderedPageBreak/>
        <w:t>Para sustentar la decisión expuso</w:t>
      </w:r>
      <w:r w:rsidR="003256D0" w:rsidRPr="0081012D">
        <w:rPr>
          <w:rFonts w:ascii="Arial" w:hAnsi="Arial" w:cs="Arial"/>
          <w:color w:val="000000"/>
          <w:szCs w:val="24"/>
          <w:lang w:eastAsia="es-CO"/>
        </w:rPr>
        <w:t xml:space="preserve"> q</w:t>
      </w:r>
      <w:r w:rsidR="00F61FF6" w:rsidRPr="0081012D">
        <w:rPr>
          <w:rFonts w:ascii="Arial" w:hAnsi="Arial" w:cs="Arial"/>
          <w:color w:val="000000"/>
          <w:szCs w:val="24"/>
          <w:lang w:eastAsia="es-CO"/>
        </w:rPr>
        <w:t>ue</w:t>
      </w:r>
      <w:r w:rsidR="009934FC" w:rsidRPr="0081012D">
        <w:rPr>
          <w:rFonts w:ascii="Arial" w:hAnsi="Arial" w:cs="Arial"/>
          <w:color w:val="000000"/>
          <w:szCs w:val="24"/>
          <w:lang w:eastAsia="es-CO"/>
        </w:rPr>
        <w:t xml:space="preserve"> e</w:t>
      </w:r>
      <w:r w:rsidR="00BE665C" w:rsidRPr="0081012D">
        <w:rPr>
          <w:rFonts w:ascii="Arial" w:hAnsi="Arial" w:cs="Arial"/>
          <w:color w:val="000000"/>
          <w:szCs w:val="24"/>
          <w:lang w:eastAsia="es-CO"/>
        </w:rPr>
        <w:t xml:space="preserve">ste </w:t>
      </w:r>
      <w:r w:rsidR="009934FC" w:rsidRPr="0081012D">
        <w:rPr>
          <w:rFonts w:ascii="Arial" w:hAnsi="Arial" w:cs="Arial"/>
          <w:color w:val="000000"/>
          <w:szCs w:val="24"/>
          <w:lang w:eastAsia="es-CO"/>
        </w:rPr>
        <w:t>cotizó 54,1 semanas en los últimos 3 años anteriores</w:t>
      </w:r>
      <w:r w:rsidR="00280DFC" w:rsidRPr="0081012D">
        <w:rPr>
          <w:rFonts w:ascii="Arial" w:hAnsi="Arial" w:cs="Arial"/>
          <w:color w:val="000000"/>
          <w:szCs w:val="24"/>
          <w:lang w:eastAsia="es-CO"/>
        </w:rPr>
        <w:t xml:space="preserve"> </w:t>
      </w:r>
      <w:r w:rsidR="003256D0" w:rsidRPr="0081012D">
        <w:rPr>
          <w:rFonts w:ascii="Arial" w:hAnsi="Arial" w:cs="Arial"/>
          <w:color w:val="000000"/>
          <w:szCs w:val="24"/>
          <w:lang w:eastAsia="es-CO"/>
        </w:rPr>
        <w:t xml:space="preserve">a su muerte, sin encontrar </w:t>
      </w:r>
      <w:r w:rsidR="00280DFC" w:rsidRPr="0081012D">
        <w:rPr>
          <w:rFonts w:ascii="Arial" w:hAnsi="Arial" w:cs="Arial"/>
          <w:color w:val="000000"/>
          <w:szCs w:val="24"/>
          <w:lang w:eastAsia="es-CO"/>
        </w:rPr>
        <w:t>cotizaciones simult</w:t>
      </w:r>
      <w:r w:rsidR="003256D0" w:rsidRPr="0081012D">
        <w:rPr>
          <w:rFonts w:ascii="Arial" w:hAnsi="Arial" w:cs="Arial"/>
          <w:color w:val="000000"/>
          <w:szCs w:val="24"/>
          <w:lang w:eastAsia="es-CO"/>
        </w:rPr>
        <w:t>á</w:t>
      </w:r>
      <w:r w:rsidR="00280DFC" w:rsidRPr="0081012D">
        <w:rPr>
          <w:rFonts w:ascii="Arial" w:hAnsi="Arial" w:cs="Arial"/>
          <w:color w:val="000000"/>
          <w:szCs w:val="24"/>
          <w:lang w:eastAsia="es-CO"/>
        </w:rPr>
        <w:t xml:space="preserve">neas, por cuanto los aportes </w:t>
      </w:r>
      <w:r w:rsidR="009E0D59" w:rsidRPr="0081012D">
        <w:rPr>
          <w:rFonts w:ascii="Arial" w:hAnsi="Arial" w:cs="Arial"/>
          <w:color w:val="000000"/>
          <w:szCs w:val="24"/>
          <w:lang w:eastAsia="es-CO"/>
        </w:rPr>
        <w:t>que</w:t>
      </w:r>
      <w:r w:rsidR="00280DFC" w:rsidRPr="0081012D">
        <w:rPr>
          <w:rFonts w:ascii="Arial" w:hAnsi="Arial" w:cs="Arial"/>
          <w:color w:val="000000"/>
          <w:szCs w:val="24"/>
          <w:lang w:eastAsia="es-CO"/>
        </w:rPr>
        <w:t xml:space="preserve"> hicieron diferentes empleadores por </w:t>
      </w:r>
      <w:r w:rsidR="009E0D59" w:rsidRPr="0081012D">
        <w:rPr>
          <w:rFonts w:ascii="Arial" w:hAnsi="Arial" w:cs="Arial"/>
          <w:color w:val="000000"/>
          <w:szCs w:val="24"/>
          <w:lang w:eastAsia="es-CO"/>
        </w:rPr>
        <w:t>los</w:t>
      </w:r>
      <w:r w:rsidR="00280DFC" w:rsidRPr="0081012D">
        <w:rPr>
          <w:rFonts w:ascii="Arial" w:hAnsi="Arial" w:cs="Arial"/>
          <w:color w:val="000000"/>
          <w:szCs w:val="24"/>
          <w:lang w:eastAsia="es-CO"/>
        </w:rPr>
        <w:t xml:space="preserve"> mismo</w:t>
      </w:r>
      <w:r w:rsidR="009E0D59" w:rsidRPr="0081012D">
        <w:rPr>
          <w:rFonts w:ascii="Arial" w:hAnsi="Arial" w:cs="Arial"/>
          <w:color w:val="000000"/>
          <w:szCs w:val="24"/>
          <w:lang w:eastAsia="es-CO"/>
        </w:rPr>
        <w:t>s</w:t>
      </w:r>
      <w:r w:rsidR="00280DFC" w:rsidRPr="0081012D">
        <w:rPr>
          <w:rFonts w:ascii="Arial" w:hAnsi="Arial" w:cs="Arial"/>
          <w:color w:val="000000"/>
          <w:szCs w:val="24"/>
          <w:lang w:eastAsia="es-CO"/>
        </w:rPr>
        <w:t xml:space="preserve"> periodos no exceden un total de 30 días, salvo para el mes de octubre del año 2013 que no se contabilizó al existir simultaneidad, así solo se agregó 30 </w:t>
      </w:r>
      <w:r w:rsidR="00B97C02" w:rsidRPr="0081012D">
        <w:rPr>
          <w:rFonts w:ascii="Arial" w:hAnsi="Arial" w:cs="Arial"/>
          <w:color w:val="000000"/>
          <w:szCs w:val="24"/>
          <w:lang w:eastAsia="es-CO"/>
        </w:rPr>
        <w:t>días</w:t>
      </w:r>
      <w:r w:rsidR="00280DFC" w:rsidRPr="0081012D">
        <w:rPr>
          <w:rFonts w:ascii="Arial" w:hAnsi="Arial" w:cs="Arial"/>
          <w:color w:val="000000"/>
          <w:szCs w:val="24"/>
          <w:lang w:eastAsia="es-CO"/>
        </w:rPr>
        <w:t>.</w:t>
      </w:r>
    </w:p>
    <w:p w:rsidR="009934FC" w:rsidRPr="0081012D" w:rsidRDefault="009934FC" w:rsidP="0081012D">
      <w:pPr>
        <w:tabs>
          <w:tab w:val="left" w:pos="1875"/>
          <w:tab w:val="center" w:pos="4420"/>
        </w:tabs>
        <w:spacing w:line="276" w:lineRule="auto"/>
        <w:jc w:val="both"/>
        <w:rPr>
          <w:rFonts w:ascii="Arial" w:hAnsi="Arial" w:cs="Arial"/>
          <w:color w:val="000000"/>
          <w:szCs w:val="24"/>
          <w:lang w:eastAsia="es-CO"/>
        </w:rPr>
      </w:pPr>
    </w:p>
    <w:p w:rsidR="00BF086A" w:rsidRPr="0081012D" w:rsidRDefault="00BF086A" w:rsidP="0081012D">
      <w:pPr>
        <w:tabs>
          <w:tab w:val="left" w:pos="1875"/>
          <w:tab w:val="center" w:pos="4420"/>
        </w:tabs>
        <w:spacing w:line="276" w:lineRule="auto"/>
        <w:jc w:val="both"/>
        <w:rPr>
          <w:rFonts w:ascii="Arial" w:hAnsi="Arial" w:cs="Arial"/>
          <w:szCs w:val="24"/>
        </w:rPr>
      </w:pPr>
      <w:r w:rsidRPr="0081012D">
        <w:rPr>
          <w:rFonts w:ascii="Arial" w:hAnsi="Arial" w:cs="Arial"/>
          <w:szCs w:val="24"/>
        </w:rPr>
        <w:t xml:space="preserve">En lo atinente a  los aportes en mora que se presentaron con el </w:t>
      </w:r>
      <w:r w:rsidR="003C33F8" w:rsidRPr="0081012D">
        <w:rPr>
          <w:rFonts w:ascii="Arial" w:hAnsi="Arial" w:cs="Arial"/>
          <w:szCs w:val="24"/>
        </w:rPr>
        <w:t>ú</w:t>
      </w:r>
      <w:r w:rsidRPr="0081012D">
        <w:rPr>
          <w:rFonts w:ascii="Arial" w:hAnsi="Arial" w:cs="Arial"/>
          <w:szCs w:val="24"/>
        </w:rPr>
        <w:t>ltimo empleador</w:t>
      </w:r>
      <w:r w:rsidR="000A4502" w:rsidRPr="0081012D">
        <w:rPr>
          <w:rFonts w:ascii="Arial" w:hAnsi="Arial" w:cs="Arial"/>
          <w:szCs w:val="24"/>
        </w:rPr>
        <w:t>,</w:t>
      </w:r>
      <w:r w:rsidRPr="0081012D">
        <w:rPr>
          <w:rFonts w:ascii="Arial" w:hAnsi="Arial" w:cs="Arial"/>
          <w:szCs w:val="24"/>
        </w:rPr>
        <w:t xml:space="preserve"> ta</w:t>
      </w:r>
      <w:r w:rsidR="00C6431E" w:rsidRPr="0081012D">
        <w:rPr>
          <w:rFonts w:ascii="Arial" w:hAnsi="Arial" w:cs="Arial"/>
          <w:szCs w:val="24"/>
        </w:rPr>
        <w:t>l</w:t>
      </w:r>
      <w:r w:rsidRPr="0081012D">
        <w:rPr>
          <w:rFonts w:ascii="Arial" w:hAnsi="Arial" w:cs="Arial"/>
          <w:szCs w:val="24"/>
        </w:rPr>
        <w:t xml:space="preserve"> como lo manifiesta la apoderada de la parte demandante y como está ampliamente decantado por la jurisprudencia, el trabajador no debe soportar las consecuencias de la mora en que haya incurrido el empleador al momento de efectuar el pago que le correspondía por los aportes al sistema de seguridad social,</w:t>
      </w:r>
      <w:r w:rsidR="000A4502" w:rsidRPr="0081012D">
        <w:rPr>
          <w:rFonts w:ascii="Arial" w:hAnsi="Arial" w:cs="Arial"/>
          <w:szCs w:val="24"/>
        </w:rPr>
        <w:t xml:space="preserve"> por lo que n</w:t>
      </w:r>
      <w:r w:rsidRPr="0081012D">
        <w:rPr>
          <w:rFonts w:ascii="Arial" w:hAnsi="Arial" w:cs="Arial"/>
          <w:szCs w:val="24"/>
        </w:rPr>
        <w:t>o pueden ser desconocidos por la entidad demandada para</w:t>
      </w:r>
      <w:r w:rsidR="000A4502" w:rsidRPr="0081012D">
        <w:rPr>
          <w:rFonts w:ascii="Arial" w:hAnsi="Arial" w:cs="Arial"/>
          <w:szCs w:val="24"/>
        </w:rPr>
        <w:t xml:space="preserve"> </w:t>
      </w:r>
      <w:r w:rsidRPr="0081012D">
        <w:rPr>
          <w:rFonts w:ascii="Arial" w:hAnsi="Arial" w:cs="Arial"/>
          <w:szCs w:val="24"/>
        </w:rPr>
        <w:t>verificar el cumplimiento de los requisitos legales para el efecto.</w:t>
      </w:r>
    </w:p>
    <w:p w:rsidR="00F61FF6" w:rsidRPr="0081012D" w:rsidRDefault="00F61FF6" w:rsidP="0081012D">
      <w:pPr>
        <w:spacing w:line="276" w:lineRule="auto"/>
        <w:jc w:val="both"/>
        <w:rPr>
          <w:rFonts w:ascii="Arial" w:hAnsi="Arial" w:cs="Arial"/>
          <w:color w:val="000000"/>
          <w:szCs w:val="24"/>
          <w:lang w:eastAsia="es-CO"/>
        </w:rPr>
      </w:pPr>
    </w:p>
    <w:p w:rsidR="00F61FF6" w:rsidRPr="0081012D" w:rsidRDefault="00563A79" w:rsidP="0081012D">
      <w:pPr>
        <w:spacing w:line="276" w:lineRule="auto"/>
        <w:jc w:val="both"/>
        <w:rPr>
          <w:rFonts w:ascii="Arial" w:hAnsi="Arial" w:cs="Arial"/>
          <w:color w:val="000000"/>
          <w:szCs w:val="24"/>
          <w:lang w:eastAsia="es-CO"/>
        </w:rPr>
      </w:pPr>
      <w:r w:rsidRPr="0081012D">
        <w:rPr>
          <w:rFonts w:ascii="Arial" w:hAnsi="Arial" w:cs="Arial"/>
          <w:color w:val="000000"/>
          <w:szCs w:val="24"/>
          <w:lang w:eastAsia="es-CO"/>
        </w:rPr>
        <w:t>De otro lado</w:t>
      </w:r>
      <w:r w:rsidR="004F141E" w:rsidRPr="0081012D">
        <w:rPr>
          <w:rFonts w:ascii="Arial" w:hAnsi="Arial" w:cs="Arial"/>
          <w:color w:val="000000"/>
          <w:szCs w:val="24"/>
          <w:lang w:eastAsia="es-CO"/>
        </w:rPr>
        <w:t xml:space="preserve"> halló probada la calidad de beneficiari</w:t>
      </w:r>
      <w:r w:rsidRPr="0081012D">
        <w:rPr>
          <w:rFonts w:ascii="Arial" w:hAnsi="Arial" w:cs="Arial"/>
          <w:color w:val="000000"/>
          <w:szCs w:val="24"/>
          <w:lang w:eastAsia="es-CO"/>
        </w:rPr>
        <w:t>os</w:t>
      </w:r>
      <w:r w:rsidR="004F141E" w:rsidRPr="0081012D">
        <w:rPr>
          <w:rFonts w:ascii="Arial" w:hAnsi="Arial" w:cs="Arial"/>
          <w:color w:val="000000"/>
          <w:szCs w:val="24"/>
          <w:lang w:eastAsia="es-CO"/>
        </w:rPr>
        <w:t xml:space="preserve"> de la parte</w:t>
      </w:r>
      <w:r w:rsidRPr="0081012D">
        <w:rPr>
          <w:rFonts w:ascii="Arial" w:hAnsi="Arial" w:cs="Arial"/>
          <w:color w:val="000000"/>
          <w:szCs w:val="24"/>
          <w:lang w:eastAsia="es-CO"/>
        </w:rPr>
        <w:t xml:space="preserve"> </w:t>
      </w:r>
      <w:r w:rsidR="00D1611B" w:rsidRPr="0081012D">
        <w:rPr>
          <w:rFonts w:ascii="Arial" w:hAnsi="Arial" w:cs="Arial"/>
          <w:color w:val="000000"/>
          <w:szCs w:val="24"/>
          <w:lang w:eastAsia="es-CO"/>
        </w:rPr>
        <w:t xml:space="preserve">actora </w:t>
      </w:r>
      <w:r w:rsidR="00316743" w:rsidRPr="0081012D">
        <w:rPr>
          <w:rFonts w:ascii="Arial" w:hAnsi="Arial" w:cs="Arial"/>
          <w:color w:val="000000"/>
          <w:szCs w:val="24"/>
          <w:lang w:eastAsia="es-CO"/>
        </w:rPr>
        <w:t xml:space="preserve">con </w:t>
      </w:r>
      <w:r w:rsidR="00BE665C" w:rsidRPr="0081012D">
        <w:rPr>
          <w:rFonts w:ascii="Arial" w:hAnsi="Arial" w:cs="Arial"/>
          <w:color w:val="000000"/>
          <w:szCs w:val="24"/>
          <w:lang w:eastAsia="es-CO"/>
        </w:rPr>
        <w:t>e</w:t>
      </w:r>
      <w:r w:rsidR="00316743" w:rsidRPr="0081012D">
        <w:rPr>
          <w:rFonts w:ascii="Arial" w:hAnsi="Arial" w:cs="Arial"/>
          <w:color w:val="000000"/>
          <w:szCs w:val="24"/>
          <w:lang w:eastAsia="es-CO"/>
        </w:rPr>
        <w:t>l</w:t>
      </w:r>
      <w:r w:rsidRPr="0081012D">
        <w:rPr>
          <w:rFonts w:ascii="Arial" w:hAnsi="Arial" w:cs="Arial"/>
          <w:color w:val="000000"/>
          <w:szCs w:val="24"/>
          <w:lang w:eastAsia="es-CO"/>
        </w:rPr>
        <w:t xml:space="preserve"> testimonio </w:t>
      </w:r>
      <w:r w:rsidR="00316743" w:rsidRPr="0081012D">
        <w:rPr>
          <w:rFonts w:ascii="Arial" w:hAnsi="Arial" w:cs="Arial"/>
          <w:color w:val="000000"/>
          <w:szCs w:val="24"/>
          <w:lang w:eastAsia="es-CO"/>
        </w:rPr>
        <w:t>de</w:t>
      </w:r>
      <w:r w:rsidR="00BE665C" w:rsidRPr="0081012D">
        <w:rPr>
          <w:rFonts w:ascii="Arial" w:hAnsi="Arial" w:cs="Arial"/>
          <w:color w:val="000000"/>
          <w:szCs w:val="24"/>
          <w:lang w:eastAsia="es-CO"/>
        </w:rPr>
        <w:t xml:space="preserve"> </w:t>
      </w:r>
      <w:r w:rsidR="00FF49DE" w:rsidRPr="0081012D">
        <w:rPr>
          <w:rFonts w:ascii="Arial" w:hAnsi="Arial" w:cs="Arial"/>
          <w:color w:val="000000"/>
          <w:szCs w:val="24"/>
          <w:lang w:eastAsia="es-CO"/>
        </w:rPr>
        <w:t>Dolores Gañá</w:t>
      </w:r>
      <w:r w:rsidR="00316743" w:rsidRPr="0081012D">
        <w:rPr>
          <w:rFonts w:ascii="Arial" w:hAnsi="Arial" w:cs="Arial"/>
          <w:color w:val="000000"/>
          <w:szCs w:val="24"/>
          <w:lang w:eastAsia="es-CO"/>
        </w:rPr>
        <w:t xml:space="preserve">n </w:t>
      </w:r>
      <w:proofErr w:type="spellStart"/>
      <w:r w:rsidR="00316743" w:rsidRPr="0081012D">
        <w:rPr>
          <w:rFonts w:ascii="Arial" w:hAnsi="Arial" w:cs="Arial"/>
          <w:color w:val="000000"/>
          <w:szCs w:val="24"/>
          <w:lang w:eastAsia="es-CO"/>
        </w:rPr>
        <w:t>Gañ</w:t>
      </w:r>
      <w:r w:rsidR="003C33F8" w:rsidRPr="0081012D">
        <w:rPr>
          <w:rFonts w:ascii="Arial" w:hAnsi="Arial" w:cs="Arial"/>
          <w:color w:val="000000"/>
          <w:szCs w:val="24"/>
          <w:lang w:eastAsia="es-CO"/>
        </w:rPr>
        <w:t>á</w:t>
      </w:r>
      <w:r w:rsidR="00316743" w:rsidRPr="0081012D">
        <w:rPr>
          <w:rFonts w:ascii="Arial" w:hAnsi="Arial" w:cs="Arial"/>
          <w:color w:val="000000"/>
          <w:szCs w:val="24"/>
          <w:lang w:eastAsia="es-CO"/>
        </w:rPr>
        <w:t>n</w:t>
      </w:r>
      <w:proofErr w:type="spellEnd"/>
      <w:r w:rsidRPr="0081012D">
        <w:rPr>
          <w:rFonts w:ascii="Arial" w:hAnsi="Arial" w:cs="Arial"/>
          <w:color w:val="000000"/>
          <w:szCs w:val="24"/>
          <w:lang w:eastAsia="es-CO"/>
        </w:rPr>
        <w:t xml:space="preserve">.  </w:t>
      </w:r>
    </w:p>
    <w:p w:rsidR="00563A79" w:rsidRPr="0081012D" w:rsidRDefault="00563A79" w:rsidP="0081012D">
      <w:pPr>
        <w:spacing w:line="276" w:lineRule="auto"/>
        <w:jc w:val="both"/>
        <w:rPr>
          <w:rFonts w:ascii="Arial" w:hAnsi="Arial" w:cs="Arial"/>
          <w:color w:val="000000"/>
          <w:szCs w:val="24"/>
          <w:lang w:eastAsia="es-CO"/>
        </w:rPr>
      </w:pPr>
    </w:p>
    <w:p w:rsidR="00273C05" w:rsidRPr="0081012D" w:rsidRDefault="00D576BA" w:rsidP="0081012D">
      <w:pPr>
        <w:shd w:val="clear" w:color="auto" w:fill="FFFFFF"/>
        <w:spacing w:line="276" w:lineRule="auto"/>
        <w:contextualSpacing/>
        <w:jc w:val="both"/>
        <w:rPr>
          <w:rFonts w:ascii="Arial" w:hAnsi="Arial" w:cs="Arial"/>
          <w:b/>
          <w:color w:val="000000"/>
          <w:szCs w:val="24"/>
          <w:lang w:eastAsia="es-CO"/>
        </w:rPr>
      </w:pPr>
      <w:r w:rsidRPr="0081012D">
        <w:rPr>
          <w:rFonts w:ascii="Arial" w:hAnsi="Arial" w:cs="Arial"/>
          <w:b/>
          <w:color w:val="000000"/>
          <w:szCs w:val="24"/>
          <w:lang w:eastAsia="es-CO"/>
        </w:rPr>
        <w:t>1.3</w:t>
      </w:r>
      <w:r w:rsidR="00273C05" w:rsidRPr="0081012D">
        <w:rPr>
          <w:rFonts w:ascii="Arial" w:hAnsi="Arial" w:cs="Arial"/>
          <w:b/>
          <w:color w:val="000000"/>
          <w:szCs w:val="24"/>
          <w:lang w:eastAsia="es-CO"/>
        </w:rPr>
        <w:t>. Del recurso de apelación</w:t>
      </w:r>
    </w:p>
    <w:p w:rsidR="00273C05" w:rsidRPr="0081012D" w:rsidRDefault="00273C05" w:rsidP="0081012D">
      <w:pPr>
        <w:shd w:val="clear" w:color="auto" w:fill="FFFFFF"/>
        <w:spacing w:line="276" w:lineRule="auto"/>
        <w:contextualSpacing/>
        <w:jc w:val="both"/>
        <w:rPr>
          <w:rFonts w:ascii="Arial" w:hAnsi="Arial" w:cs="Arial"/>
          <w:szCs w:val="24"/>
          <w:lang w:eastAsia="es-CO"/>
        </w:rPr>
      </w:pPr>
    </w:p>
    <w:p w:rsidR="00785B5F" w:rsidRPr="0081012D" w:rsidRDefault="00063E21" w:rsidP="0081012D">
      <w:pPr>
        <w:spacing w:line="276" w:lineRule="auto"/>
        <w:jc w:val="both"/>
        <w:rPr>
          <w:rFonts w:ascii="Arial" w:hAnsi="Arial" w:cs="Arial"/>
          <w:szCs w:val="24"/>
        </w:rPr>
      </w:pPr>
      <w:r w:rsidRPr="0081012D">
        <w:rPr>
          <w:rFonts w:ascii="Arial" w:hAnsi="Arial" w:cs="Arial"/>
          <w:szCs w:val="24"/>
          <w:lang w:eastAsia="es-CO"/>
        </w:rPr>
        <w:t>Contra la anterior decisión se alzó la apoderada de la parte demandada</w:t>
      </w:r>
      <w:r w:rsidR="00D71678" w:rsidRPr="0081012D">
        <w:rPr>
          <w:rFonts w:ascii="Arial" w:hAnsi="Arial" w:cs="Arial"/>
          <w:szCs w:val="24"/>
          <w:lang w:eastAsia="es-CO"/>
        </w:rPr>
        <w:t xml:space="preserve"> </w:t>
      </w:r>
      <w:r w:rsidR="00417A1E" w:rsidRPr="0081012D">
        <w:rPr>
          <w:rFonts w:ascii="Arial" w:hAnsi="Arial" w:cs="Arial"/>
          <w:szCs w:val="24"/>
          <w:lang w:eastAsia="es-CO"/>
        </w:rPr>
        <w:t xml:space="preserve">dado que </w:t>
      </w:r>
      <w:r w:rsidR="008D2D62" w:rsidRPr="0081012D">
        <w:rPr>
          <w:rFonts w:ascii="Arial" w:hAnsi="Arial" w:cs="Arial"/>
          <w:szCs w:val="24"/>
          <w:lang w:eastAsia="es-CO"/>
        </w:rPr>
        <w:t xml:space="preserve">el </w:t>
      </w:r>
      <w:r w:rsidR="00D71678" w:rsidRPr="0081012D">
        <w:rPr>
          <w:rFonts w:ascii="Arial" w:hAnsi="Arial" w:cs="Arial"/>
          <w:szCs w:val="24"/>
          <w:lang w:eastAsia="es-CO"/>
        </w:rPr>
        <w:t>afiliado</w:t>
      </w:r>
      <w:r w:rsidR="008D2D62" w:rsidRPr="0081012D">
        <w:rPr>
          <w:rFonts w:ascii="Arial" w:hAnsi="Arial" w:cs="Arial"/>
          <w:szCs w:val="24"/>
          <w:lang w:eastAsia="es-CO"/>
        </w:rPr>
        <w:t xml:space="preserve"> no</w:t>
      </w:r>
      <w:r w:rsidR="00D71678" w:rsidRPr="0081012D">
        <w:rPr>
          <w:rFonts w:ascii="Arial" w:hAnsi="Arial" w:cs="Arial"/>
          <w:szCs w:val="24"/>
          <w:lang w:eastAsia="es-CO"/>
        </w:rPr>
        <w:t xml:space="preserve"> </w:t>
      </w:r>
      <w:r w:rsidR="00417A1E" w:rsidRPr="0081012D">
        <w:rPr>
          <w:rFonts w:ascii="Arial" w:hAnsi="Arial" w:cs="Arial"/>
          <w:szCs w:val="24"/>
          <w:lang w:eastAsia="es-CO"/>
        </w:rPr>
        <w:t>cotizó</w:t>
      </w:r>
      <w:r w:rsidRPr="0081012D">
        <w:rPr>
          <w:rFonts w:ascii="Arial" w:hAnsi="Arial" w:cs="Arial"/>
          <w:szCs w:val="24"/>
        </w:rPr>
        <w:t xml:space="preserve"> 50 semanas dentro de los</w:t>
      </w:r>
      <w:r w:rsidR="00417A1E" w:rsidRPr="0081012D">
        <w:rPr>
          <w:rFonts w:ascii="Arial" w:hAnsi="Arial" w:cs="Arial"/>
          <w:szCs w:val="24"/>
        </w:rPr>
        <w:t xml:space="preserve"> </w:t>
      </w:r>
      <w:r w:rsidRPr="0081012D">
        <w:rPr>
          <w:rFonts w:ascii="Arial" w:hAnsi="Arial" w:cs="Arial"/>
          <w:szCs w:val="24"/>
        </w:rPr>
        <w:t>3 años inmediatamente anteriores</w:t>
      </w:r>
      <w:r w:rsidR="00D71678" w:rsidRPr="0081012D">
        <w:rPr>
          <w:rFonts w:ascii="Arial" w:hAnsi="Arial" w:cs="Arial"/>
          <w:szCs w:val="24"/>
        </w:rPr>
        <w:t xml:space="preserve"> a su fallecimiento</w:t>
      </w:r>
      <w:r w:rsidRPr="0081012D">
        <w:rPr>
          <w:rFonts w:ascii="Arial" w:hAnsi="Arial" w:cs="Arial"/>
          <w:szCs w:val="24"/>
        </w:rPr>
        <w:t>, pues no es dable</w:t>
      </w:r>
      <w:r w:rsidR="00D71678" w:rsidRPr="0081012D">
        <w:rPr>
          <w:rFonts w:ascii="Arial" w:hAnsi="Arial" w:cs="Arial"/>
          <w:szCs w:val="24"/>
        </w:rPr>
        <w:t>,</w:t>
      </w:r>
      <w:r w:rsidRPr="0081012D">
        <w:rPr>
          <w:rFonts w:ascii="Arial" w:hAnsi="Arial" w:cs="Arial"/>
          <w:szCs w:val="24"/>
        </w:rPr>
        <w:t xml:space="preserve"> como lo hizo el </w:t>
      </w:r>
      <w:r w:rsidR="00D71678" w:rsidRPr="0081012D">
        <w:rPr>
          <w:rFonts w:ascii="Arial" w:hAnsi="Arial" w:cs="Arial"/>
          <w:szCs w:val="24"/>
        </w:rPr>
        <w:t xml:space="preserve">a quo, </w:t>
      </w:r>
      <w:r w:rsidRPr="0081012D">
        <w:rPr>
          <w:rFonts w:ascii="Arial" w:hAnsi="Arial" w:cs="Arial"/>
          <w:szCs w:val="24"/>
        </w:rPr>
        <w:t>sumar  las cotizaciones que se efectuaron de manera simultánea</w:t>
      </w:r>
      <w:r w:rsidR="008D2D62" w:rsidRPr="0081012D">
        <w:rPr>
          <w:rFonts w:ascii="Arial" w:hAnsi="Arial" w:cs="Arial"/>
          <w:szCs w:val="24"/>
        </w:rPr>
        <w:t>,</w:t>
      </w:r>
      <w:r w:rsidR="00410DAB">
        <w:rPr>
          <w:rFonts w:ascii="Arial" w:hAnsi="Arial" w:cs="Arial"/>
          <w:szCs w:val="24"/>
        </w:rPr>
        <w:t xml:space="preserve"> a</w:t>
      </w:r>
      <w:r w:rsidRPr="0081012D">
        <w:rPr>
          <w:rFonts w:ascii="Arial" w:hAnsi="Arial" w:cs="Arial"/>
          <w:szCs w:val="24"/>
        </w:rPr>
        <w:t>un por menos de 30 días y en especial las correspondientes a julio, octubre, no</w:t>
      </w:r>
      <w:r w:rsidR="00BA2266" w:rsidRPr="0081012D">
        <w:rPr>
          <w:rFonts w:ascii="Arial" w:hAnsi="Arial" w:cs="Arial"/>
          <w:szCs w:val="24"/>
        </w:rPr>
        <w:t>viembre del año 2012, noviembre y diciembre del</w:t>
      </w:r>
      <w:r w:rsidRPr="0081012D">
        <w:rPr>
          <w:rFonts w:ascii="Arial" w:hAnsi="Arial" w:cs="Arial"/>
          <w:szCs w:val="24"/>
        </w:rPr>
        <w:t xml:space="preserve"> 201</w:t>
      </w:r>
      <w:r w:rsidR="00BA2266" w:rsidRPr="0081012D">
        <w:rPr>
          <w:rFonts w:ascii="Arial" w:hAnsi="Arial" w:cs="Arial"/>
          <w:szCs w:val="24"/>
        </w:rPr>
        <w:t>4; abril y mayo de 2015;</w:t>
      </w:r>
      <w:r w:rsidRPr="0081012D">
        <w:rPr>
          <w:rFonts w:ascii="Arial" w:hAnsi="Arial" w:cs="Arial"/>
          <w:szCs w:val="24"/>
        </w:rPr>
        <w:t xml:space="preserve"> de allí que en realidad las semanas válidamente cotizadas correspondan a 49.28 semanas y no a las 54.1, </w:t>
      </w:r>
      <w:r w:rsidR="00BA2266" w:rsidRPr="0081012D">
        <w:rPr>
          <w:rFonts w:ascii="Arial" w:hAnsi="Arial" w:cs="Arial"/>
          <w:szCs w:val="24"/>
        </w:rPr>
        <w:t xml:space="preserve">sin que haya posibilidad de </w:t>
      </w:r>
      <w:r w:rsidR="00785B5F" w:rsidRPr="0081012D">
        <w:rPr>
          <w:rFonts w:ascii="Arial" w:hAnsi="Arial" w:cs="Arial"/>
          <w:szCs w:val="24"/>
        </w:rPr>
        <w:t xml:space="preserve">aproximar el valor a 50 de acuerdo a lo sostenido por la </w:t>
      </w:r>
      <w:r w:rsidR="00417A1E" w:rsidRPr="0081012D">
        <w:rPr>
          <w:rFonts w:ascii="Arial" w:hAnsi="Arial" w:cs="Arial"/>
          <w:szCs w:val="24"/>
        </w:rPr>
        <w:t>C</w:t>
      </w:r>
      <w:r w:rsidR="00785B5F" w:rsidRPr="0081012D">
        <w:rPr>
          <w:rFonts w:ascii="Arial" w:hAnsi="Arial" w:cs="Arial"/>
          <w:szCs w:val="24"/>
        </w:rPr>
        <w:t xml:space="preserve">orte </w:t>
      </w:r>
      <w:r w:rsidR="00417A1E" w:rsidRPr="0081012D">
        <w:rPr>
          <w:rFonts w:ascii="Arial" w:hAnsi="Arial" w:cs="Arial"/>
          <w:szCs w:val="24"/>
        </w:rPr>
        <w:t>S</w:t>
      </w:r>
      <w:r w:rsidR="00785B5F" w:rsidRPr="0081012D">
        <w:rPr>
          <w:rFonts w:ascii="Arial" w:hAnsi="Arial" w:cs="Arial"/>
          <w:szCs w:val="24"/>
        </w:rPr>
        <w:t xml:space="preserve">uprema de </w:t>
      </w:r>
      <w:r w:rsidR="00417A1E" w:rsidRPr="0081012D">
        <w:rPr>
          <w:rFonts w:ascii="Arial" w:hAnsi="Arial" w:cs="Arial"/>
          <w:szCs w:val="24"/>
        </w:rPr>
        <w:t>J</w:t>
      </w:r>
      <w:r w:rsidR="00785B5F" w:rsidRPr="0081012D">
        <w:rPr>
          <w:rFonts w:ascii="Arial" w:hAnsi="Arial" w:cs="Arial"/>
          <w:szCs w:val="24"/>
        </w:rPr>
        <w:t>usticia en su jurisprudencia</w:t>
      </w:r>
      <w:r w:rsidR="00BA2266" w:rsidRPr="0081012D">
        <w:rPr>
          <w:rFonts w:ascii="Arial" w:hAnsi="Arial" w:cs="Arial"/>
          <w:szCs w:val="24"/>
        </w:rPr>
        <w:t>.</w:t>
      </w:r>
    </w:p>
    <w:p w:rsidR="00C364EF" w:rsidRPr="0081012D" w:rsidRDefault="00C364EF" w:rsidP="0081012D">
      <w:pPr>
        <w:spacing w:line="276" w:lineRule="auto"/>
        <w:jc w:val="both"/>
        <w:rPr>
          <w:rFonts w:ascii="Arial" w:hAnsi="Arial" w:cs="Arial"/>
          <w:color w:val="000000"/>
          <w:szCs w:val="24"/>
          <w:lang w:eastAsia="es-CO"/>
        </w:rPr>
      </w:pPr>
    </w:p>
    <w:p w:rsidR="00C364EF" w:rsidRPr="0081012D" w:rsidRDefault="00C364EF" w:rsidP="0081012D">
      <w:pPr>
        <w:shd w:val="clear" w:color="auto" w:fill="FFFFFF"/>
        <w:spacing w:line="276" w:lineRule="auto"/>
        <w:jc w:val="center"/>
        <w:rPr>
          <w:rFonts w:ascii="Arial" w:hAnsi="Arial" w:cs="Arial"/>
          <w:b/>
          <w:szCs w:val="24"/>
        </w:rPr>
      </w:pPr>
      <w:r w:rsidRPr="0081012D">
        <w:rPr>
          <w:rFonts w:ascii="Arial" w:hAnsi="Arial" w:cs="Arial"/>
          <w:b/>
          <w:szCs w:val="24"/>
        </w:rPr>
        <w:t>CONSIDERACIONES</w:t>
      </w:r>
    </w:p>
    <w:p w:rsidR="00C364EF" w:rsidRPr="0081012D" w:rsidRDefault="00C364EF" w:rsidP="0081012D">
      <w:pPr>
        <w:shd w:val="clear" w:color="auto" w:fill="FFFFFF"/>
        <w:spacing w:line="276" w:lineRule="auto"/>
        <w:jc w:val="center"/>
        <w:rPr>
          <w:rFonts w:ascii="Arial" w:hAnsi="Arial" w:cs="Arial"/>
          <w:b/>
          <w:szCs w:val="24"/>
        </w:rPr>
      </w:pPr>
    </w:p>
    <w:p w:rsidR="0069217A" w:rsidRPr="0081012D" w:rsidRDefault="0069217A" w:rsidP="0081012D">
      <w:pPr>
        <w:shd w:val="clear" w:color="auto" w:fill="FFFFFF"/>
        <w:tabs>
          <w:tab w:val="left" w:pos="5197"/>
        </w:tabs>
        <w:spacing w:line="276" w:lineRule="auto"/>
        <w:jc w:val="both"/>
        <w:rPr>
          <w:rFonts w:ascii="Arial" w:hAnsi="Arial" w:cs="Arial"/>
          <w:b/>
          <w:szCs w:val="24"/>
        </w:rPr>
      </w:pPr>
      <w:r w:rsidRPr="0081012D">
        <w:rPr>
          <w:rFonts w:ascii="Arial" w:hAnsi="Arial" w:cs="Arial"/>
          <w:b/>
          <w:szCs w:val="24"/>
        </w:rPr>
        <w:t>1. Del problema jurídico</w:t>
      </w:r>
    </w:p>
    <w:p w:rsidR="0069217A" w:rsidRPr="0081012D" w:rsidRDefault="0069217A" w:rsidP="0081012D">
      <w:pPr>
        <w:shd w:val="clear" w:color="auto" w:fill="FFFFFF"/>
        <w:tabs>
          <w:tab w:val="left" w:pos="5197"/>
        </w:tabs>
        <w:spacing w:line="276" w:lineRule="auto"/>
        <w:jc w:val="both"/>
        <w:rPr>
          <w:rFonts w:ascii="Arial" w:hAnsi="Arial" w:cs="Arial"/>
          <w:szCs w:val="24"/>
        </w:rPr>
      </w:pPr>
    </w:p>
    <w:p w:rsidR="00EA6434" w:rsidRPr="0081012D" w:rsidRDefault="00EA6434" w:rsidP="0081012D">
      <w:pPr>
        <w:shd w:val="clear" w:color="auto" w:fill="FFFFFF"/>
        <w:tabs>
          <w:tab w:val="left" w:pos="5197"/>
        </w:tabs>
        <w:spacing w:line="276" w:lineRule="auto"/>
        <w:jc w:val="both"/>
        <w:rPr>
          <w:rFonts w:ascii="Arial" w:hAnsi="Arial" w:cs="Arial"/>
          <w:szCs w:val="24"/>
        </w:rPr>
      </w:pPr>
      <w:r w:rsidRPr="0081012D">
        <w:rPr>
          <w:rFonts w:ascii="Arial" w:hAnsi="Arial" w:cs="Arial"/>
          <w:szCs w:val="24"/>
        </w:rPr>
        <w:t>Visto el recuento</w:t>
      </w:r>
      <w:r w:rsidR="00D1611B" w:rsidRPr="0081012D">
        <w:rPr>
          <w:rFonts w:ascii="Arial" w:hAnsi="Arial" w:cs="Arial"/>
          <w:szCs w:val="24"/>
        </w:rPr>
        <w:t xml:space="preserve"> anterior la Sala se formula el</w:t>
      </w:r>
      <w:r w:rsidRPr="0081012D">
        <w:rPr>
          <w:rFonts w:ascii="Arial" w:hAnsi="Arial" w:cs="Arial"/>
          <w:szCs w:val="24"/>
        </w:rPr>
        <w:t xml:space="preserve"> siguiente:</w:t>
      </w:r>
    </w:p>
    <w:p w:rsidR="0062680E" w:rsidRPr="0081012D" w:rsidRDefault="0062680E" w:rsidP="0081012D">
      <w:pPr>
        <w:shd w:val="clear" w:color="auto" w:fill="FFFFFF"/>
        <w:tabs>
          <w:tab w:val="left" w:pos="5197"/>
        </w:tabs>
        <w:spacing w:line="276" w:lineRule="auto"/>
        <w:jc w:val="both"/>
        <w:rPr>
          <w:rFonts w:ascii="Arial" w:hAnsi="Arial" w:cs="Arial"/>
          <w:szCs w:val="24"/>
        </w:rPr>
      </w:pPr>
    </w:p>
    <w:p w:rsidR="0062680E" w:rsidRPr="0081012D" w:rsidRDefault="003B69E8" w:rsidP="0081012D">
      <w:pPr>
        <w:shd w:val="clear" w:color="auto" w:fill="FFFFFF"/>
        <w:tabs>
          <w:tab w:val="left" w:pos="5197"/>
        </w:tabs>
        <w:spacing w:line="276" w:lineRule="auto"/>
        <w:jc w:val="both"/>
        <w:rPr>
          <w:rFonts w:ascii="Arial" w:hAnsi="Arial" w:cs="Arial"/>
          <w:szCs w:val="24"/>
        </w:rPr>
      </w:pPr>
      <w:r w:rsidRPr="0081012D">
        <w:rPr>
          <w:rFonts w:ascii="Arial" w:hAnsi="Arial" w:cs="Arial"/>
          <w:szCs w:val="24"/>
        </w:rPr>
        <w:t>1.</w:t>
      </w:r>
      <w:r w:rsidR="00EA6434" w:rsidRPr="0081012D">
        <w:rPr>
          <w:rFonts w:ascii="Arial" w:hAnsi="Arial" w:cs="Arial"/>
          <w:szCs w:val="24"/>
        </w:rPr>
        <w:t xml:space="preserve"> </w:t>
      </w:r>
      <w:r w:rsidRPr="0081012D">
        <w:rPr>
          <w:rFonts w:ascii="Arial" w:hAnsi="Arial" w:cs="Arial"/>
          <w:szCs w:val="24"/>
        </w:rPr>
        <w:t>¿Dejó</w:t>
      </w:r>
      <w:r w:rsidR="0062680E" w:rsidRPr="0081012D">
        <w:rPr>
          <w:rFonts w:ascii="Arial" w:hAnsi="Arial" w:cs="Arial"/>
          <w:szCs w:val="24"/>
        </w:rPr>
        <w:t xml:space="preserve"> causada la </w:t>
      </w:r>
      <w:r w:rsidR="00EA6434" w:rsidRPr="0081012D">
        <w:rPr>
          <w:rFonts w:ascii="Arial" w:hAnsi="Arial" w:cs="Arial"/>
          <w:szCs w:val="24"/>
        </w:rPr>
        <w:t>p</w:t>
      </w:r>
      <w:r w:rsidR="0062680E" w:rsidRPr="0081012D">
        <w:rPr>
          <w:rFonts w:ascii="Arial" w:hAnsi="Arial" w:cs="Arial"/>
          <w:szCs w:val="24"/>
        </w:rPr>
        <w:t>ensión de sobreviviente e</w:t>
      </w:r>
      <w:r w:rsidR="00EA6434" w:rsidRPr="0081012D">
        <w:rPr>
          <w:rFonts w:ascii="Arial" w:hAnsi="Arial" w:cs="Arial"/>
          <w:szCs w:val="24"/>
        </w:rPr>
        <w:t>l</w:t>
      </w:r>
      <w:r w:rsidR="0062680E" w:rsidRPr="0081012D">
        <w:rPr>
          <w:rFonts w:ascii="Arial" w:hAnsi="Arial" w:cs="Arial"/>
          <w:szCs w:val="24"/>
        </w:rPr>
        <w:t xml:space="preserve"> señor Loaiza Soto?</w:t>
      </w:r>
    </w:p>
    <w:p w:rsidR="0069217A" w:rsidRPr="0081012D" w:rsidRDefault="0069217A" w:rsidP="0081012D">
      <w:pPr>
        <w:pStyle w:val="Textoindependiente"/>
        <w:spacing w:line="276" w:lineRule="auto"/>
        <w:contextualSpacing/>
        <w:rPr>
          <w:b/>
          <w:iCs/>
          <w:color w:val="FF0000"/>
          <w:szCs w:val="24"/>
        </w:rPr>
      </w:pPr>
    </w:p>
    <w:p w:rsidR="0069217A" w:rsidRPr="0081012D" w:rsidRDefault="0069217A" w:rsidP="0081012D">
      <w:pPr>
        <w:pStyle w:val="Textoindependiente"/>
        <w:spacing w:line="276" w:lineRule="auto"/>
        <w:contextualSpacing/>
        <w:rPr>
          <w:b/>
          <w:iCs/>
          <w:color w:val="000000" w:themeColor="text1"/>
          <w:szCs w:val="24"/>
        </w:rPr>
      </w:pPr>
      <w:r w:rsidRPr="0081012D">
        <w:rPr>
          <w:b/>
          <w:iCs/>
          <w:color w:val="000000" w:themeColor="text1"/>
          <w:szCs w:val="24"/>
        </w:rPr>
        <w:t xml:space="preserve">2. Solución al problema jurídico </w:t>
      </w:r>
    </w:p>
    <w:p w:rsidR="0069217A" w:rsidRPr="0081012D" w:rsidRDefault="0069217A" w:rsidP="0081012D">
      <w:pPr>
        <w:pStyle w:val="Textoindependiente"/>
        <w:spacing w:line="276" w:lineRule="auto"/>
        <w:ind w:left="390"/>
        <w:contextualSpacing/>
        <w:rPr>
          <w:b/>
          <w:iCs/>
          <w:color w:val="000000" w:themeColor="text1"/>
          <w:szCs w:val="24"/>
        </w:rPr>
      </w:pPr>
    </w:p>
    <w:p w:rsidR="00DD3F2F" w:rsidRPr="0081012D" w:rsidRDefault="0069217A" w:rsidP="0081012D">
      <w:pPr>
        <w:pStyle w:val="Textoindependiente"/>
        <w:spacing w:line="276" w:lineRule="auto"/>
        <w:contextualSpacing/>
        <w:rPr>
          <w:color w:val="000000" w:themeColor="text1"/>
          <w:szCs w:val="24"/>
          <w:shd w:val="clear" w:color="auto" w:fill="FFFFFF"/>
          <w:lang w:val="es-ES"/>
        </w:rPr>
      </w:pPr>
      <w:r w:rsidRPr="0081012D">
        <w:rPr>
          <w:b/>
          <w:color w:val="000000" w:themeColor="text1"/>
          <w:szCs w:val="24"/>
          <w:shd w:val="clear" w:color="auto" w:fill="FFFFFF"/>
          <w:lang w:val="es-ES"/>
        </w:rPr>
        <w:t xml:space="preserve">2.1. </w:t>
      </w:r>
      <w:r w:rsidRPr="0081012D">
        <w:rPr>
          <w:color w:val="000000" w:themeColor="text1"/>
          <w:szCs w:val="24"/>
          <w:shd w:val="clear" w:color="auto" w:fill="FFFFFF"/>
          <w:lang w:val="es-ES"/>
        </w:rPr>
        <w:t xml:space="preserve">Se encuentra acreditado que </w:t>
      </w:r>
      <w:r w:rsidR="00D31537" w:rsidRPr="0081012D">
        <w:rPr>
          <w:color w:val="000000" w:themeColor="text1"/>
          <w:szCs w:val="24"/>
          <w:shd w:val="clear" w:color="auto" w:fill="FFFFFF"/>
          <w:lang w:val="es-ES"/>
        </w:rPr>
        <w:t>el señor Fernando Loaiza Soto</w:t>
      </w:r>
      <w:r w:rsidRPr="0081012D">
        <w:rPr>
          <w:color w:val="000000" w:themeColor="text1"/>
          <w:szCs w:val="24"/>
          <w:shd w:val="clear" w:color="auto" w:fill="FFFFFF"/>
          <w:lang w:val="es-ES"/>
        </w:rPr>
        <w:t xml:space="preserve"> falleció el </w:t>
      </w:r>
      <w:r w:rsidR="00D31537" w:rsidRPr="0081012D">
        <w:rPr>
          <w:color w:val="000000" w:themeColor="text1"/>
          <w:szCs w:val="24"/>
          <w:shd w:val="clear" w:color="auto" w:fill="FFFFFF"/>
          <w:lang w:val="es-ES"/>
        </w:rPr>
        <w:t>07-06-2015 (fl.16</w:t>
      </w:r>
      <w:r w:rsidRPr="0081012D">
        <w:rPr>
          <w:color w:val="000000" w:themeColor="text1"/>
          <w:szCs w:val="24"/>
          <w:shd w:val="clear" w:color="auto" w:fill="FFFFFF"/>
          <w:lang w:val="es-ES"/>
        </w:rPr>
        <w:t xml:space="preserve">), por lo tanto, la normativa aplicable en esta actuación es el artículo 12 de la Ley 797 de 2003 que es la vigente para el momento de acontecer tal situación. </w:t>
      </w:r>
    </w:p>
    <w:p w:rsidR="00DD3F2F" w:rsidRPr="0081012D" w:rsidRDefault="00DD3F2F" w:rsidP="0081012D">
      <w:pPr>
        <w:pStyle w:val="Textoindependiente"/>
        <w:spacing w:line="276" w:lineRule="auto"/>
        <w:contextualSpacing/>
        <w:rPr>
          <w:color w:val="000000" w:themeColor="text1"/>
          <w:szCs w:val="24"/>
          <w:shd w:val="clear" w:color="auto" w:fill="FFFFFF"/>
          <w:lang w:val="es-ES"/>
        </w:rPr>
      </w:pPr>
    </w:p>
    <w:p w:rsidR="0069217A" w:rsidRPr="0081012D" w:rsidRDefault="0069217A" w:rsidP="0081012D">
      <w:pPr>
        <w:pStyle w:val="Textoindependiente"/>
        <w:spacing w:line="276" w:lineRule="auto"/>
        <w:contextualSpacing/>
        <w:rPr>
          <w:color w:val="000000" w:themeColor="text1"/>
          <w:szCs w:val="24"/>
          <w:shd w:val="clear" w:color="auto" w:fill="FFFFFF"/>
          <w:lang w:val="es-ES"/>
        </w:rPr>
      </w:pPr>
      <w:r w:rsidRPr="0081012D">
        <w:rPr>
          <w:color w:val="000000" w:themeColor="text1"/>
          <w:szCs w:val="24"/>
          <w:shd w:val="clear" w:color="auto" w:fill="FFFFFF"/>
          <w:lang w:val="es-ES"/>
        </w:rPr>
        <w:t>Disposición que exige haber cotizado 50 semanas dentro de los 3 años anteriores al deceso, y para quien reclame la prestación en calidad de cónyuge o compañera supérstite una convivencia con el causante por espacio no inferior a los 5 años anteriores al fallecimiento</w:t>
      </w:r>
      <w:r w:rsidR="00EA6434" w:rsidRPr="0081012D">
        <w:rPr>
          <w:color w:val="000000" w:themeColor="text1"/>
          <w:szCs w:val="24"/>
          <w:shd w:val="clear" w:color="auto" w:fill="FFFFFF"/>
          <w:lang w:val="es-ES"/>
        </w:rPr>
        <w:t xml:space="preserve"> y para los hijos</w:t>
      </w:r>
      <w:r w:rsidR="00DD3F2F" w:rsidRPr="0081012D">
        <w:rPr>
          <w:color w:val="000000" w:themeColor="text1"/>
          <w:szCs w:val="24"/>
          <w:shd w:val="clear" w:color="auto" w:fill="FFFFFF"/>
          <w:lang w:val="es-ES"/>
        </w:rPr>
        <w:t>,</w:t>
      </w:r>
      <w:r w:rsidR="00EA6434" w:rsidRPr="0081012D">
        <w:rPr>
          <w:color w:val="000000" w:themeColor="text1"/>
          <w:szCs w:val="24"/>
          <w:shd w:val="clear" w:color="auto" w:fill="FFFFFF"/>
          <w:lang w:val="es-ES"/>
        </w:rPr>
        <w:t xml:space="preserve"> ser menores de edad, o mayores hasta los </w:t>
      </w:r>
      <w:r w:rsidR="00DD3F2F" w:rsidRPr="0081012D">
        <w:rPr>
          <w:color w:val="000000" w:themeColor="text1"/>
          <w:szCs w:val="24"/>
          <w:shd w:val="clear" w:color="auto" w:fill="FFFFFF"/>
          <w:lang w:val="es-ES"/>
        </w:rPr>
        <w:t>25</w:t>
      </w:r>
      <w:r w:rsidR="00EA6434" w:rsidRPr="0081012D">
        <w:rPr>
          <w:color w:val="000000" w:themeColor="text1"/>
          <w:szCs w:val="24"/>
          <w:shd w:val="clear" w:color="auto" w:fill="FFFFFF"/>
          <w:lang w:val="es-ES"/>
        </w:rPr>
        <w:t xml:space="preserve"> años </w:t>
      </w:r>
      <w:r w:rsidR="00DD3F2F" w:rsidRPr="0081012D">
        <w:rPr>
          <w:color w:val="000000" w:themeColor="text1"/>
          <w:szCs w:val="24"/>
          <w:shd w:val="clear" w:color="auto" w:fill="FFFFFF"/>
          <w:lang w:val="es-ES"/>
        </w:rPr>
        <w:t>y</w:t>
      </w:r>
      <w:r w:rsidR="00EA6434" w:rsidRPr="0081012D">
        <w:rPr>
          <w:color w:val="000000" w:themeColor="text1"/>
          <w:szCs w:val="24"/>
          <w:shd w:val="clear" w:color="auto" w:fill="FFFFFF"/>
          <w:lang w:val="es-ES"/>
        </w:rPr>
        <w:t xml:space="preserve"> depend</w:t>
      </w:r>
      <w:r w:rsidR="00DD3F2F" w:rsidRPr="0081012D">
        <w:rPr>
          <w:color w:val="000000" w:themeColor="text1"/>
          <w:szCs w:val="24"/>
          <w:shd w:val="clear" w:color="auto" w:fill="FFFFFF"/>
          <w:lang w:val="es-ES"/>
        </w:rPr>
        <w:t>an económicamente</w:t>
      </w:r>
      <w:r w:rsidR="00EA6434" w:rsidRPr="0081012D">
        <w:rPr>
          <w:color w:val="000000" w:themeColor="text1"/>
          <w:szCs w:val="24"/>
          <w:shd w:val="clear" w:color="auto" w:fill="FFFFFF"/>
          <w:lang w:val="es-ES"/>
        </w:rPr>
        <w:t xml:space="preserve"> del fallecido por estar estudiando, o sin importar la edad</w:t>
      </w:r>
      <w:r w:rsidR="00DD3F2F" w:rsidRPr="0081012D">
        <w:rPr>
          <w:color w:val="000000" w:themeColor="text1"/>
          <w:szCs w:val="24"/>
          <w:shd w:val="clear" w:color="auto" w:fill="FFFFFF"/>
          <w:lang w:val="es-ES"/>
        </w:rPr>
        <w:t>,</w:t>
      </w:r>
      <w:r w:rsidR="00EA6434" w:rsidRPr="0081012D">
        <w:rPr>
          <w:color w:val="000000" w:themeColor="text1"/>
          <w:szCs w:val="24"/>
          <w:shd w:val="clear" w:color="auto" w:fill="FFFFFF"/>
          <w:lang w:val="es-ES"/>
        </w:rPr>
        <w:t xml:space="preserve"> de ser hijo inválido</w:t>
      </w:r>
      <w:r w:rsidRPr="0081012D">
        <w:rPr>
          <w:color w:val="000000" w:themeColor="text1"/>
          <w:szCs w:val="24"/>
          <w:shd w:val="clear" w:color="auto" w:fill="FFFFFF"/>
          <w:lang w:val="es-ES"/>
        </w:rPr>
        <w:t xml:space="preserve">. </w:t>
      </w:r>
    </w:p>
    <w:p w:rsidR="00EA6434" w:rsidRPr="0081012D" w:rsidRDefault="00EA6434" w:rsidP="0081012D">
      <w:pPr>
        <w:pStyle w:val="Textoindependiente"/>
        <w:spacing w:line="276" w:lineRule="auto"/>
        <w:contextualSpacing/>
        <w:rPr>
          <w:color w:val="000000" w:themeColor="text1"/>
          <w:szCs w:val="24"/>
          <w:highlight w:val="yellow"/>
          <w:shd w:val="clear" w:color="auto" w:fill="FFFFFF"/>
          <w:lang w:val="es-ES"/>
        </w:rPr>
      </w:pPr>
    </w:p>
    <w:p w:rsidR="002B217A" w:rsidRPr="0081012D" w:rsidRDefault="00EA6434" w:rsidP="0081012D">
      <w:pPr>
        <w:autoSpaceDE w:val="0"/>
        <w:autoSpaceDN w:val="0"/>
        <w:adjustRightInd w:val="0"/>
        <w:spacing w:line="276" w:lineRule="auto"/>
        <w:contextualSpacing/>
        <w:jc w:val="both"/>
        <w:rPr>
          <w:rFonts w:ascii="Arial" w:hAnsi="Arial" w:cs="Arial"/>
          <w:szCs w:val="24"/>
        </w:rPr>
      </w:pPr>
      <w:r w:rsidRPr="0081012D">
        <w:rPr>
          <w:rFonts w:ascii="Arial" w:hAnsi="Arial" w:cs="Arial"/>
          <w:szCs w:val="24"/>
        </w:rPr>
        <w:t xml:space="preserve">Bien. Revisada la </w:t>
      </w:r>
      <w:r w:rsidR="00D31537" w:rsidRPr="0081012D">
        <w:rPr>
          <w:rFonts w:ascii="Arial" w:hAnsi="Arial" w:cs="Arial"/>
          <w:szCs w:val="24"/>
        </w:rPr>
        <w:t>historia laboral del</w:t>
      </w:r>
      <w:r w:rsidR="0069217A" w:rsidRPr="0081012D">
        <w:rPr>
          <w:rFonts w:ascii="Arial" w:hAnsi="Arial" w:cs="Arial"/>
          <w:szCs w:val="24"/>
        </w:rPr>
        <w:t xml:space="preserve"> afilia</w:t>
      </w:r>
      <w:r w:rsidR="00D31537" w:rsidRPr="0081012D">
        <w:rPr>
          <w:rFonts w:ascii="Arial" w:hAnsi="Arial" w:cs="Arial"/>
          <w:szCs w:val="24"/>
        </w:rPr>
        <w:t>do (</w:t>
      </w:r>
      <w:proofErr w:type="spellStart"/>
      <w:r w:rsidR="00D31537" w:rsidRPr="0081012D">
        <w:rPr>
          <w:rFonts w:ascii="Arial" w:hAnsi="Arial" w:cs="Arial"/>
          <w:szCs w:val="24"/>
        </w:rPr>
        <w:t>fls</w:t>
      </w:r>
      <w:proofErr w:type="spellEnd"/>
      <w:r w:rsidR="00D31537" w:rsidRPr="0081012D">
        <w:rPr>
          <w:rFonts w:ascii="Arial" w:hAnsi="Arial" w:cs="Arial"/>
          <w:szCs w:val="24"/>
        </w:rPr>
        <w:t>. 192</w:t>
      </w:r>
      <w:r w:rsidR="002B217A" w:rsidRPr="0081012D">
        <w:rPr>
          <w:rFonts w:ascii="Arial" w:hAnsi="Arial" w:cs="Arial"/>
          <w:szCs w:val="24"/>
        </w:rPr>
        <w:t xml:space="preserve">) </w:t>
      </w:r>
      <w:r w:rsidRPr="0081012D">
        <w:rPr>
          <w:rFonts w:ascii="Arial" w:hAnsi="Arial" w:cs="Arial"/>
          <w:szCs w:val="24"/>
        </w:rPr>
        <w:t xml:space="preserve">se encuentra </w:t>
      </w:r>
      <w:r w:rsidR="0069217A" w:rsidRPr="0081012D">
        <w:rPr>
          <w:rFonts w:ascii="Arial" w:hAnsi="Arial" w:cs="Arial"/>
          <w:szCs w:val="24"/>
        </w:rPr>
        <w:t xml:space="preserve">que entre </w:t>
      </w:r>
      <w:r w:rsidR="00D31537" w:rsidRPr="0081012D">
        <w:rPr>
          <w:rFonts w:ascii="Arial" w:hAnsi="Arial" w:cs="Arial"/>
          <w:szCs w:val="24"/>
        </w:rPr>
        <w:t>la fecha de la muerte 07-06-2015 y la misma data de 2012 (3 años) efectuó cotizaciones con diferentes empleadores</w:t>
      </w:r>
      <w:r w:rsidR="00DD3F2F" w:rsidRPr="0081012D">
        <w:rPr>
          <w:rFonts w:ascii="Arial" w:hAnsi="Arial" w:cs="Arial"/>
          <w:szCs w:val="24"/>
        </w:rPr>
        <w:t>,</w:t>
      </w:r>
      <w:r w:rsidR="00B2762A" w:rsidRPr="0081012D">
        <w:rPr>
          <w:rFonts w:ascii="Arial" w:hAnsi="Arial" w:cs="Arial"/>
          <w:szCs w:val="24"/>
        </w:rPr>
        <w:t xml:space="preserve"> </w:t>
      </w:r>
      <w:r w:rsidR="002B217A" w:rsidRPr="0081012D">
        <w:rPr>
          <w:rFonts w:ascii="Arial" w:hAnsi="Arial" w:cs="Arial"/>
          <w:szCs w:val="24"/>
        </w:rPr>
        <w:t>e</w:t>
      </w:r>
      <w:r w:rsidR="00B2762A" w:rsidRPr="0081012D">
        <w:rPr>
          <w:rFonts w:ascii="Arial" w:hAnsi="Arial" w:cs="Arial"/>
          <w:szCs w:val="24"/>
        </w:rPr>
        <w:t xml:space="preserve">n la mayoría de los ciclos por </w:t>
      </w:r>
      <w:r w:rsidR="002B217A" w:rsidRPr="0081012D">
        <w:rPr>
          <w:rFonts w:ascii="Arial" w:hAnsi="Arial" w:cs="Arial"/>
          <w:szCs w:val="24"/>
        </w:rPr>
        <w:t>menos</w:t>
      </w:r>
      <w:r w:rsidR="00B2762A" w:rsidRPr="0081012D">
        <w:rPr>
          <w:rFonts w:ascii="Arial" w:hAnsi="Arial" w:cs="Arial"/>
          <w:szCs w:val="24"/>
        </w:rPr>
        <w:t xml:space="preserve"> de</w:t>
      </w:r>
      <w:r w:rsidR="002B217A" w:rsidRPr="0081012D">
        <w:rPr>
          <w:rFonts w:ascii="Arial" w:hAnsi="Arial" w:cs="Arial"/>
          <w:szCs w:val="24"/>
        </w:rPr>
        <w:t xml:space="preserve">  30 días</w:t>
      </w:r>
      <w:r w:rsidR="00B2762A" w:rsidRPr="0081012D">
        <w:rPr>
          <w:rFonts w:ascii="Arial" w:hAnsi="Arial" w:cs="Arial"/>
          <w:szCs w:val="24"/>
        </w:rPr>
        <w:t>; incluso en algunos meses hicieron aportes dos patronales que sumados no exceden los 30 días.</w:t>
      </w:r>
    </w:p>
    <w:p w:rsidR="002B217A" w:rsidRPr="0081012D" w:rsidRDefault="002B217A" w:rsidP="0081012D">
      <w:pPr>
        <w:autoSpaceDE w:val="0"/>
        <w:autoSpaceDN w:val="0"/>
        <w:adjustRightInd w:val="0"/>
        <w:spacing w:line="276" w:lineRule="auto"/>
        <w:contextualSpacing/>
        <w:jc w:val="both"/>
        <w:rPr>
          <w:rFonts w:ascii="Arial" w:hAnsi="Arial" w:cs="Arial"/>
          <w:szCs w:val="24"/>
        </w:rPr>
      </w:pPr>
    </w:p>
    <w:p w:rsidR="000E6BD9" w:rsidRPr="0081012D" w:rsidRDefault="002B217A" w:rsidP="0081012D">
      <w:pPr>
        <w:autoSpaceDE w:val="0"/>
        <w:autoSpaceDN w:val="0"/>
        <w:adjustRightInd w:val="0"/>
        <w:spacing w:line="276" w:lineRule="auto"/>
        <w:contextualSpacing/>
        <w:jc w:val="both"/>
        <w:rPr>
          <w:rFonts w:ascii="Arial" w:hAnsi="Arial" w:cs="Arial"/>
          <w:szCs w:val="24"/>
        </w:rPr>
      </w:pPr>
      <w:r w:rsidRPr="0081012D">
        <w:rPr>
          <w:rFonts w:ascii="Arial" w:hAnsi="Arial" w:cs="Arial"/>
          <w:szCs w:val="24"/>
        </w:rPr>
        <w:t>B</w:t>
      </w:r>
      <w:r w:rsidR="00D31537" w:rsidRPr="0081012D">
        <w:rPr>
          <w:rFonts w:ascii="Arial" w:hAnsi="Arial" w:cs="Arial"/>
          <w:szCs w:val="24"/>
        </w:rPr>
        <w:t xml:space="preserve">ajo este entendido </w:t>
      </w:r>
      <w:r w:rsidR="00DD3F2F" w:rsidRPr="0081012D">
        <w:rPr>
          <w:rFonts w:ascii="Arial" w:hAnsi="Arial" w:cs="Arial"/>
          <w:szCs w:val="24"/>
        </w:rPr>
        <w:t>observado</w:t>
      </w:r>
      <w:r w:rsidR="00D31537" w:rsidRPr="0081012D">
        <w:rPr>
          <w:rFonts w:ascii="Arial" w:hAnsi="Arial" w:cs="Arial"/>
          <w:szCs w:val="24"/>
        </w:rPr>
        <w:t xml:space="preserve"> el periodo de ju</w:t>
      </w:r>
      <w:r w:rsidR="007A190F" w:rsidRPr="0081012D">
        <w:rPr>
          <w:rFonts w:ascii="Arial" w:hAnsi="Arial" w:cs="Arial"/>
          <w:szCs w:val="24"/>
        </w:rPr>
        <w:t>l</w:t>
      </w:r>
      <w:r w:rsidR="00D31537" w:rsidRPr="0081012D">
        <w:rPr>
          <w:rFonts w:ascii="Arial" w:hAnsi="Arial" w:cs="Arial"/>
          <w:szCs w:val="24"/>
        </w:rPr>
        <w:t xml:space="preserve">io, </w:t>
      </w:r>
      <w:r w:rsidRPr="0081012D">
        <w:rPr>
          <w:rFonts w:ascii="Arial" w:hAnsi="Arial" w:cs="Arial"/>
          <w:szCs w:val="24"/>
        </w:rPr>
        <w:t>octubre, noviembre de 2012; noviembre y</w:t>
      </w:r>
      <w:r w:rsidR="00C23A44" w:rsidRPr="0081012D">
        <w:rPr>
          <w:rFonts w:ascii="Arial" w:hAnsi="Arial" w:cs="Arial"/>
          <w:szCs w:val="24"/>
        </w:rPr>
        <w:t xml:space="preserve"> diciembre de 2014 y abril y </w:t>
      </w:r>
      <w:r w:rsidR="00C06056" w:rsidRPr="0081012D">
        <w:rPr>
          <w:rFonts w:ascii="Arial" w:hAnsi="Arial" w:cs="Arial"/>
          <w:szCs w:val="24"/>
        </w:rPr>
        <w:t>mayo de</w:t>
      </w:r>
      <w:r w:rsidRPr="0081012D">
        <w:rPr>
          <w:rFonts w:ascii="Arial" w:hAnsi="Arial" w:cs="Arial"/>
          <w:szCs w:val="24"/>
        </w:rPr>
        <w:t xml:space="preserve"> 2015, se </w:t>
      </w:r>
      <w:r w:rsidR="00897B5D" w:rsidRPr="0081012D">
        <w:rPr>
          <w:rFonts w:ascii="Arial" w:hAnsi="Arial" w:cs="Arial"/>
          <w:szCs w:val="24"/>
        </w:rPr>
        <w:t xml:space="preserve">tiene que </w:t>
      </w:r>
      <w:r w:rsidR="007A190F" w:rsidRPr="0081012D">
        <w:rPr>
          <w:rFonts w:ascii="Arial" w:hAnsi="Arial" w:cs="Arial"/>
          <w:szCs w:val="24"/>
        </w:rPr>
        <w:t>aport</w:t>
      </w:r>
      <w:r w:rsidR="00897B5D" w:rsidRPr="0081012D">
        <w:rPr>
          <w:rFonts w:ascii="Arial" w:hAnsi="Arial" w:cs="Arial"/>
          <w:szCs w:val="24"/>
        </w:rPr>
        <w:t>aron</w:t>
      </w:r>
      <w:r w:rsidR="007A190F" w:rsidRPr="0081012D">
        <w:rPr>
          <w:rFonts w:ascii="Arial" w:hAnsi="Arial" w:cs="Arial"/>
          <w:szCs w:val="24"/>
        </w:rPr>
        <w:t xml:space="preserve"> dos empleadores, salvo en octubre y noviembre de 2012 </w:t>
      </w:r>
      <w:r w:rsidR="000E6BD9" w:rsidRPr="0081012D">
        <w:rPr>
          <w:rFonts w:ascii="Arial" w:hAnsi="Arial" w:cs="Arial"/>
          <w:szCs w:val="24"/>
        </w:rPr>
        <w:t>donde las cotizaciones se hicieron como trabajador dependiente e independiente.</w:t>
      </w:r>
    </w:p>
    <w:p w:rsidR="000E6BD9" w:rsidRPr="0081012D" w:rsidRDefault="000E6BD9" w:rsidP="0081012D">
      <w:pPr>
        <w:autoSpaceDE w:val="0"/>
        <w:autoSpaceDN w:val="0"/>
        <w:adjustRightInd w:val="0"/>
        <w:spacing w:line="276" w:lineRule="auto"/>
        <w:contextualSpacing/>
        <w:jc w:val="both"/>
        <w:rPr>
          <w:rFonts w:ascii="Arial" w:hAnsi="Arial" w:cs="Arial"/>
          <w:szCs w:val="24"/>
        </w:rPr>
      </w:pPr>
    </w:p>
    <w:p w:rsidR="00C23A44" w:rsidRPr="0081012D" w:rsidRDefault="000E6BD9" w:rsidP="0081012D">
      <w:pPr>
        <w:autoSpaceDE w:val="0"/>
        <w:autoSpaceDN w:val="0"/>
        <w:adjustRightInd w:val="0"/>
        <w:spacing w:line="276" w:lineRule="auto"/>
        <w:contextualSpacing/>
        <w:jc w:val="both"/>
        <w:rPr>
          <w:rFonts w:ascii="Arial" w:hAnsi="Arial" w:cs="Arial"/>
          <w:szCs w:val="24"/>
        </w:rPr>
      </w:pPr>
      <w:r w:rsidRPr="0081012D">
        <w:rPr>
          <w:rFonts w:ascii="Arial" w:hAnsi="Arial" w:cs="Arial"/>
          <w:szCs w:val="24"/>
        </w:rPr>
        <w:t xml:space="preserve">Así: en julio de 2012 se cotizaron 19 días por el patronal OSORIO COLÓN  </w:t>
      </w:r>
      <w:r w:rsidR="00FF49DE" w:rsidRPr="0081012D">
        <w:rPr>
          <w:rFonts w:ascii="Arial" w:hAnsi="Arial" w:cs="Arial"/>
          <w:szCs w:val="24"/>
        </w:rPr>
        <w:t>y</w:t>
      </w:r>
      <w:r w:rsidRPr="0081012D">
        <w:rPr>
          <w:rFonts w:ascii="Arial" w:hAnsi="Arial" w:cs="Arial"/>
          <w:szCs w:val="24"/>
        </w:rPr>
        <w:t xml:space="preserve"> 11 días por OSORIO RAMIREZ; octubre de 2012</w:t>
      </w:r>
      <w:r w:rsidR="004D48AB" w:rsidRPr="0081012D">
        <w:rPr>
          <w:rFonts w:ascii="Arial" w:hAnsi="Arial" w:cs="Arial"/>
          <w:szCs w:val="24"/>
        </w:rPr>
        <w:t>, por este mismo empleador</w:t>
      </w:r>
      <w:r w:rsidRPr="0081012D">
        <w:rPr>
          <w:rFonts w:ascii="Arial" w:hAnsi="Arial" w:cs="Arial"/>
          <w:szCs w:val="24"/>
        </w:rPr>
        <w:t xml:space="preserve"> 18 días </w:t>
      </w:r>
      <w:r w:rsidR="004D48AB" w:rsidRPr="0081012D">
        <w:rPr>
          <w:rFonts w:ascii="Arial" w:hAnsi="Arial" w:cs="Arial"/>
          <w:szCs w:val="24"/>
        </w:rPr>
        <w:t>y 7 días como trabajador independiente</w:t>
      </w:r>
      <w:r w:rsidRPr="0081012D">
        <w:rPr>
          <w:rFonts w:ascii="Arial" w:hAnsi="Arial" w:cs="Arial"/>
          <w:szCs w:val="24"/>
        </w:rPr>
        <w:t>; noviembre de 2012</w:t>
      </w:r>
      <w:r w:rsidR="00897B5D" w:rsidRPr="0081012D">
        <w:rPr>
          <w:rFonts w:ascii="Arial" w:hAnsi="Arial" w:cs="Arial"/>
          <w:szCs w:val="24"/>
        </w:rPr>
        <w:t>, como independiente</w:t>
      </w:r>
      <w:r w:rsidRPr="0081012D">
        <w:rPr>
          <w:rFonts w:ascii="Arial" w:hAnsi="Arial" w:cs="Arial"/>
          <w:szCs w:val="24"/>
        </w:rPr>
        <w:t xml:space="preserve"> 2 días</w:t>
      </w:r>
      <w:r w:rsidR="00897B5D" w:rsidRPr="0081012D">
        <w:rPr>
          <w:rFonts w:ascii="Arial" w:hAnsi="Arial" w:cs="Arial"/>
          <w:szCs w:val="24"/>
        </w:rPr>
        <w:t xml:space="preserve"> y 19 días con el empleador DE LOS RIOS P</w:t>
      </w:r>
      <w:r w:rsidRPr="0081012D">
        <w:rPr>
          <w:rFonts w:ascii="Arial" w:hAnsi="Arial" w:cs="Arial"/>
          <w:szCs w:val="24"/>
        </w:rPr>
        <w:t>.</w:t>
      </w:r>
      <w:r w:rsidR="0017791A" w:rsidRPr="0081012D">
        <w:rPr>
          <w:rFonts w:ascii="Arial" w:hAnsi="Arial" w:cs="Arial"/>
          <w:szCs w:val="24"/>
        </w:rPr>
        <w:t xml:space="preserve"> </w:t>
      </w:r>
      <w:r w:rsidR="00897B5D" w:rsidRPr="0081012D">
        <w:rPr>
          <w:rFonts w:ascii="Arial" w:hAnsi="Arial" w:cs="Arial"/>
          <w:szCs w:val="24"/>
        </w:rPr>
        <w:t>En n</w:t>
      </w:r>
      <w:r w:rsidR="0017791A" w:rsidRPr="0081012D">
        <w:rPr>
          <w:rFonts w:ascii="Arial" w:hAnsi="Arial" w:cs="Arial"/>
          <w:szCs w:val="24"/>
        </w:rPr>
        <w:t xml:space="preserve">oviembre de 2014 cotizó </w:t>
      </w:r>
      <w:r w:rsidR="004D48AB" w:rsidRPr="0081012D">
        <w:rPr>
          <w:rFonts w:ascii="Arial" w:hAnsi="Arial" w:cs="Arial"/>
          <w:szCs w:val="24"/>
        </w:rPr>
        <w:t xml:space="preserve">1 día con RODRÍGUEZ H. y </w:t>
      </w:r>
      <w:r w:rsidR="0017791A" w:rsidRPr="0081012D">
        <w:rPr>
          <w:rFonts w:ascii="Arial" w:hAnsi="Arial" w:cs="Arial"/>
          <w:szCs w:val="24"/>
        </w:rPr>
        <w:t xml:space="preserve">25 días con </w:t>
      </w:r>
      <w:r w:rsidR="004D48AB" w:rsidRPr="0081012D">
        <w:rPr>
          <w:rFonts w:ascii="Arial" w:hAnsi="Arial" w:cs="Arial"/>
          <w:szCs w:val="24"/>
        </w:rPr>
        <w:t>LOZANO</w:t>
      </w:r>
      <w:r w:rsidR="0017791A" w:rsidRPr="0081012D">
        <w:rPr>
          <w:rFonts w:ascii="Arial" w:hAnsi="Arial" w:cs="Arial"/>
          <w:szCs w:val="24"/>
        </w:rPr>
        <w:t xml:space="preserve"> B.; diciembre de ese año</w:t>
      </w:r>
      <w:r w:rsidR="00897B5D" w:rsidRPr="0081012D">
        <w:rPr>
          <w:rFonts w:ascii="Arial" w:hAnsi="Arial" w:cs="Arial"/>
          <w:szCs w:val="24"/>
        </w:rPr>
        <w:t>,</w:t>
      </w:r>
      <w:r w:rsidR="0017791A" w:rsidRPr="0081012D">
        <w:rPr>
          <w:rFonts w:ascii="Arial" w:hAnsi="Arial" w:cs="Arial"/>
          <w:szCs w:val="24"/>
        </w:rPr>
        <w:t xml:space="preserve"> 15 días con </w:t>
      </w:r>
      <w:r w:rsidR="004D48AB" w:rsidRPr="0081012D">
        <w:rPr>
          <w:rFonts w:ascii="Arial" w:hAnsi="Arial" w:cs="Arial"/>
          <w:szCs w:val="24"/>
        </w:rPr>
        <w:t xml:space="preserve">este último </w:t>
      </w:r>
      <w:r w:rsidR="00897B5D" w:rsidRPr="0081012D">
        <w:rPr>
          <w:rFonts w:ascii="Arial" w:hAnsi="Arial" w:cs="Arial"/>
          <w:szCs w:val="24"/>
        </w:rPr>
        <w:t xml:space="preserve">patronal </w:t>
      </w:r>
      <w:r w:rsidR="0017791A" w:rsidRPr="0081012D">
        <w:rPr>
          <w:rFonts w:ascii="Arial" w:hAnsi="Arial" w:cs="Arial"/>
          <w:szCs w:val="24"/>
        </w:rPr>
        <w:t xml:space="preserve">y 14 </w:t>
      </w:r>
      <w:r w:rsidR="004D48AB" w:rsidRPr="0081012D">
        <w:rPr>
          <w:rFonts w:ascii="Arial" w:hAnsi="Arial" w:cs="Arial"/>
          <w:szCs w:val="24"/>
        </w:rPr>
        <w:t xml:space="preserve">días </w:t>
      </w:r>
      <w:r w:rsidR="0017791A" w:rsidRPr="0081012D">
        <w:rPr>
          <w:rFonts w:ascii="Arial" w:hAnsi="Arial" w:cs="Arial"/>
          <w:szCs w:val="24"/>
        </w:rPr>
        <w:t xml:space="preserve">con </w:t>
      </w:r>
      <w:r w:rsidR="004D48AB" w:rsidRPr="0081012D">
        <w:rPr>
          <w:rFonts w:ascii="Arial" w:hAnsi="Arial" w:cs="Arial"/>
          <w:szCs w:val="24"/>
        </w:rPr>
        <w:t>VILLALOBOS</w:t>
      </w:r>
      <w:r w:rsidR="0017791A" w:rsidRPr="0081012D">
        <w:rPr>
          <w:rFonts w:ascii="Arial" w:hAnsi="Arial" w:cs="Arial"/>
          <w:szCs w:val="24"/>
        </w:rPr>
        <w:t xml:space="preserve">; este con quien continúo cotizando 30 días hasta abril de 2015, </w:t>
      </w:r>
      <w:r w:rsidR="004D48AB" w:rsidRPr="0081012D">
        <w:rPr>
          <w:rFonts w:ascii="Arial" w:hAnsi="Arial" w:cs="Arial"/>
          <w:szCs w:val="24"/>
        </w:rPr>
        <w:t xml:space="preserve">mes en el que se aportó </w:t>
      </w:r>
      <w:r w:rsidR="0017791A" w:rsidRPr="0081012D">
        <w:rPr>
          <w:rFonts w:ascii="Arial" w:hAnsi="Arial" w:cs="Arial"/>
          <w:szCs w:val="24"/>
        </w:rPr>
        <w:t xml:space="preserve">1 día por </w:t>
      </w:r>
      <w:r w:rsidR="004D48AB" w:rsidRPr="0081012D">
        <w:rPr>
          <w:rFonts w:ascii="Arial" w:hAnsi="Arial" w:cs="Arial"/>
          <w:szCs w:val="24"/>
        </w:rPr>
        <w:t>VILLALOBOS</w:t>
      </w:r>
      <w:r w:rsidR="0017791A" w:rsidRPr="0081012D">
        <w:rPr>
          <w:rFonts w:ascii="Arial" w:hAnsi="Arial" w:cs="Arial"/>
          <w:szCs w:val="24"/>
        </w:rPr>
        <w:t xml:space="preserve"> y 3 días por</w:t>
      </w:r>
      <w:r w:rsidR="004D48AB" w:rsidRPr="0081012D">
        <w:rPr>
          <w:rFonts w:ascii="Arial" w:hAnsi="Arial" w:cs="Arial"/>
          <w:szCs w:val="24"/>
        </w:rPr>
        <w:t xml:space="preserve"> el patronal</w:t>
      </w:r>
      <w:r w:rsidR="0017791A" w:rsidRPr="0081012D">
        <w:rPr>
          <w:rFonts w:ascii="Arial" w:hAnsi="Arial" w:cs="Arial"/>
          <w:szCs w:val="24"/>
        </w:rPr>
        <w:t xml:space="preserve"> </w:t>
      </w:r>
      <w:r w:rsidR="004D48AB" w:rsidRPr="0081012D">
        <w:rPr>
          <w:rFonts w:ascii="Arial" w:hAnsi="Arial" w:cs="Arial"/>
          <w:szCs w:val="24"/>
        </w:rPr>
        <w:t>DÍAZ GARCÍA</w:t>
      </w:r>
      <w:r w:rsidR="00897B5D" w:rsidRPr="0081012D">
        <w:rPr>
          <w:rFonts w:ascii="Arial" w:hAnsi="Arial" w:cs="Arial"/>
          <w:szCs w:val="24"/>
        </w:rPr>
        <w:t>.</w:t>
      </w:r>
      <w:r w:rsidR="0017791A" w:rsidRPr="0081012D">
        <w:rPr>
          <w:rFonts w:ascii="Arial" w:hAnsi="Arial" w:cs="Arial"/>
          <w:szCs w:val="24"/>
        </w:rPr>
        <w:t xml:space="preserve">   </w:t>
      </w:r>
      <w:r w:rsidRPr="0081012D">
        <w:rPr>
          <w:rFonts w:ascii="Arial" w:hAnsi="Arial" w:cs="Arial"/>
          <w:szCs w:val="24"/>
        </w:rPr>
        <w:t xml:space="preserve">  </w:t>
      </w:r>
    </w:p>
    <w:p w:rsidR="002B217A" w:rsidRPr="0081012D" w:rsidRDefault="002B217A" w:rsidP="0081012D">
      <w:pPr>
        <w:autoSpaceDE w:val="0"/>
        <w:autoSpaceDN w:val="0"/>
        <w:adjustRightInd w:val="0"/>
        <w:spacing w:line="276" w:lineRule="auto"/>
        <w:contextualSpacing/>
        <w:jc w:val="both"/>
        <w:rPr>
          <w:rFonts w:ascii="Arial" w:hAnsi="Arial" w:cs="Arial"/>
          <w:szCs w:val="24"/>
        </w:rPr>
      </w:pPr>
      <w:bookmarkStart w:id="0" w:name="_GoBack"/>
      <w:bookmarkEnd w:id="0"/>
    </w:p>
    <w:p w:rsidR="00642207" w:rsidRPr="0081012D" w:rsidRDefault="004655B5" w:rsidP="0081012D">
      <w:pPr>
        <w:pStyle w:val="Textoindependiente"/>
        <w:spacing w:line="276" w:lineRule="auto"/>
        <w:rPr>
          <w:szCs w:val="24"/>
        </w:rPr>
      </w:pPr>
      <w:r w:rsidRPr="0081012D">
        <w:rPr>
          <w:szCs w:val="24"/>
        </w:rPr>
        <w:t xml:space="preserve">Atendiendo lo expuesto, </w:t>
      </w:r>
      <w:r w:rsidR="00A649C0" w:rsidRPr="0081012D">
        <w:rPr>
          <w:szCs w:val="24"/>
        </w:rPr>
        <w:t xml:space="preserve">se evidencia que </w:t>
      </w:r>
      <w:r w:rsidRPr="0081012D">
        <w:rPr>
          <w:szCs w:val="24"/>
        </w:rPr>
        <w:t xml:space="preserve">en este asunto </w:t>
      </w:r>
      <w:r w:rsidR="00A649C0" w:rsidRPr="0081012D">
        <w:rPr>
          <w:szCs w:val="24"/>
        </w:rPr>
        <w:t>es in</w:t>
      </w:r>
      <w:r w:rsidRPr="0081012D">
        <w:rPr>
          <w:szCs w:val="24"/>
        </w:rPr>
        <w:t>exist</w:t>
      </w:r>
      <w:r w:rsidR="00A649C0" w:rsidRPr="0081012D">
        <w:rPr>
          <w:szCs w:val="24"/>
        </w:rPr>
        <w:t>ente</w:t>
      </w:r>
      <w:r w:rsidRPr="0081012D">
        <w:rPr>
          <w:szCs w:val="24"/>
        </w:rPr>
        <w:t xml:space="preserve"> </w:t>
      </w:r>
      <w:r w:rsidR="00A649C0" w:rsidRPr="0081012D">
        <w:rPr>
          <w:szCs w:val="24"/>
        </w:rPr>
        <w:t xml:space="preserve">la </w:t>
      </w:r>
      <w:r w:rsidRPr="0081012D">
        <w:rPr>
          <w:szCs w:val="24"/>
        </w:rPr>
        <w:t xml:space="preserve">simultaneidad de cotizaciones, toda vez que no se </w:t>
      </w:r>
      <w:r w:rsidR="004E26BC" w:rsidRPr="0081012D">
        <w:rPr>
          <w:szCs w:val="24"/>
        </w:rPr>
        <w:t>hicieron aportes por los mismos días</w:t>
      </w:r>
      <w:r w:rsidR="00D1611B" w:rsidRPr="0081012D">
        <w:rPr>
          <w:szCs w:val="24"/>
        </w:rPr>
        <w:t xml:space="preserve"> </w:t>
      </w:r>
      <w:r w:rsidR="004E26BC" w:rsidRPr="0081012D">
        <w:rPr>
          <w:szCs w:val="24"/>
        </w:rPr>
        <w:t>como se infiere de la actividad del afiliado, trabajador de la construcción, quien al no tener el don de la ubicuidad y se</w:t>
      </w:r>
      <w:r w:rsidR="00642207" w:rsidRPr="0081012D">
        <w:rPr>
          <w:szCs w:val="24"/>
        </w:rPr>
        <w:t>r</w:t>
      </w:r>
      <w:r w:rsidR="004E26BC" w:rsidRPr="0081012D">
        <w:rPr>
          <w:szCs w:val="24"/>
        </w:rPr>
        <w:t xml:space="preserve"> este </w:t>
      </w:r>
      <w:r w:rsidR="00BE665C" w:rsidRPr="0081012D">
        <w:rPr>
          <w:szCs w:val="24"/>
        </w:rPr>
        <w:t xml:space="preserve">un </w:t>
      </w:r>
      <w:r w:rsidR="004E26BC" w:rsidRPr="0081012D">
        <w:rPr>
          <w:szCs w:val="24"/>
        </w:rPr>
        <w:t xml:space="preserve">oficio de aquellos que requiere su presencia en jornada laboral ordinaria diurna, no le resulta posible </w:t>
      </w:r>
      <w:r w:rsidR="00004710" w:rsidRPr="0081012D">
        <w:rPr>
          <w:szCs w:val="24"/>
        </w:rPr>
        <w:t>trabajar para dos personas al mismo tiempo</w:t>
      </w:r>
      <w:r w:rsidR="00B21356" w:rsidRPr="0081012D">
        <w:rPr>
          <w:szCs w:val="24"/>
        </w:rPr>
        <w:t>; adicionalmente</w:t>
      </w:r>
      <w:r w:rsidR="00642207" w:rsidRPr="0081012D">
        <w:rPr>
          <w:szCs w:val="24"/>
        </w:rPr>
        <w:t>, es propio de este tipo de actividad se realice por</w:t>
      </w:r>
      <w:r w:rsidR="00004710" w:rsidRPr="0081012D">
        <w:rPr>
          <w:szCs w:val="24"/>
        </w:rPr>
        <w:t xml:space="preserve"> </w:t>
      </w:r>
      <w:r w:rsidR="00642207" w:rsidRPr="0081012D">
        <w:rPr>
          <w:szCs w:val="24"/>
        </w:rPr>
        <w:t xml:space="preserve">el </w:t>
      </w:r>
      <w:r w:rsidR="00A649C0" w:rsidRPr="0081012D">
        <w:rPr>
          <w:szCs w:val="24"/>
        </w:rPr>
        <w:t xml:space="preserve">lapso </w:t>
      </w:r>
      <w:r w:rsidR="00642207" w:rsidRPr="0081012D">
        <w:rPr>
          <w:szCs w:val="24"/>
        </w:rPr>
        <w:t xml:space="preserve">que se </w:t>
      </w:r>
      <w:r w:rsidR="00A649C0" w:rsidRPr="0081012D">
        <w:rPr>
          <w:szCs w:val="24"/>
        </w:rPr>
        <w:t xml:space="preserve">lo </w:t>
      </w:r>
      <w:r w:rsidR="00642207" w:rsidRPr="0081012D">
        <w:rPr>
          <w:szCs w:val="24"/>
        </w:rPr>
        <w:t>requiera la obra, que puede no exceder de 30 días.</w:t>
      </w:r>
    </w:p>
    <w:p w:rsidR="00CC04C6" w:rsidRPr="0081012D" w:rsidRDefault="00642207" w:rsidP="0081012D">
      <w:pPr>
        <w:pStyle w:val="Textoindependiente"/>
        <w:spacing w:line="276" w:lineRule="auto"/>
        <w:rPr>
          <w:szCs w:val="24"/>
        </w:rPr>
      </w:pPr>
      <w:r w:rsidRPr="0081012D">
        <w:rPr>
          <w:szCs w:val="24"/>
        </w:rPr>
        <w:t xml:space="preserve"> </w:t>
      </w:r>
    </w:p>
    <w:p w:rsidR="00CC04C6" w:rsidRPr="0081012D" w:rsidRDefault="00642207" w:rsidP="0081012D">
      <w:pPr>
        <w:pStyle w:val="Textoindependiente"/>
        <w:spacing w:line="276" w:lineRule="auto"/>
        <w:rPr>
          <w:color w:val="000000" w:themeColor="text1"/>
          <w:szCs w:val="24"/>
        </w:rPr>
      </w:pPr>
      <w:r w:rsidRPr="0081012D">
        <w:rPr>
          <w:szCs w:val="24"/>
        </w:rPr>
        <w:t xml:space="preserve">Entonces, si bien es cierto se </w:t>
      </w:r>
      <w:r w:rsidR="00D1611B" w:rsidRPr="0081012D">
        <w:rPr>
          <w:szCs w:val="24"/>
        </w:rPr>
        <w:t>debe tener</w:t>
      </w:r>
      <w:r w:rsidR="00222333" w:rsidRPr="0081012D">
        <w:rPr>
          <w:szCs w:val="24"/>
        </w:rPr>
        <w:t xml:space="preserve"> especial cuidado con los aportes simultáneos, de tal manera que no se incurra en el error de contar doblemente días por los que se cotiza</w:t>
      </w:r>
      <w:r w:rsidR="00D1611B" w:rsidRPr="0081012D">
        <w:rPr>
          <w:szCs w:val="24"/>
        </w:rPr>
        <w:t xml:space="preserve">, situación prevista en el </w:t>
      </w:r>
      <w:r w:rsidR="00F50321" w:rsidRPr="0081012D">
        <w:rPr>
          <w:szCs w:val="24"/>
        </w:rPr>
        <w:t xml:space="preserve">parágrafo 1 del </w:t>
      </w:r>
      <w:r w:rsidR="0072367F" w:rsidRPr="0081012D">
        <w:rPr>
          <w:szCs w:val="24"/>
        </w:rPr>
        <w:t>artículo</w:t>
      </w:r>
      <w:r w:rsidR="00F50321" w:rsidRPr="0081012D">
        <w:rPr>
          <w:szCs w:val="24"/>
        </w:rPr>
        <w:t xml:space="preserve"> 18 de la Ley 100 de 1993</w:t>
      </w:r>
      <w:r w:rsidRPr="0081012D">
        <w:rPr>
          <w:rStyle w:val="Refdenotaalpie"/>
          <w:szCs w:val="24"/>
        </w:rPr>
        <w:footnoteReference w:id="1"/>
      </w:r>
      <w:r w:rsidR="00BE665C" w:rsidRPr="0081012D">
        <w:rPr>
          <w:szCs w:val="24"/>
        </w:rPr>
        <w:t xml:space="preserve"> modificado por el artículo 5 de la Ley 797 de 2003</w:t>
      </w:r>
      <w:r w:rsidR="00C828EC" w:rsidRPr="0081012D">
        <w:rPr>
          <w:szCs w:val="24"/>
        </w:rPr>
        <w:t xml:space="preserve"> y </w:t>
      </w:r>
      <w:r w:rsidR="002C145E" w:rsidRPr="0081012D">
        <w:rPr>
          <w:color w:val="000000" w:themeColor="text1"/>
          <w:szCs w:val="24"/>
        </w:rPr>
        <w:t>Acuerdo 44/1989 aprobado por el D</w:t>
      </w:r>
      <w:r w:rsidR="00674742">
        <w:rPr>
          <w:color w:val="000000" w:themeColor="text1"/>
          <w:szCs w:val="24"/>
        </w:rPr>
        <w:t xml:space="preserve">ecreto </w:t>
      </w:r>
      <w:r w:rsidR="002C145E" w:rsidRPr="0081012D">
        <w:rPr>
          <w:color w:val="000000" w:themeColor="text1"/>
          <w:szCs w:val="24"/>
        </w:rPr>
        <w:t>3063/1989, en su artículo 81</w:t>
      </w:r>
      <w:r w:rsidR="00C828EC" w:rsidRPr="0081012D">
        <w:rPr>
          <w:rStyle w:val="Refdenotaalpie"/>
          <w:color w:val="000000" w:themeColor="text1"/>
          <w:szCs w:val="24"/>
        </w:rPr>
        <w:footnoteReference w:id="2"/>
      </w:r>
      <w:r w:rsidR="00CC04C6" w:rsidRPr="0081012D">
        <w:rPr>
          <w:color w:val="000000" w:themeColor="text1"/>
          <w:szCs w:val="24"/>
        </w:rPr>
        <w:t>, en este caso no se está en presencia de esta limitante</w:t>
      </w:r>
      <w:r w:rsidR="00BE665C" w:rsidRPr="0081012D">
        <w:rPr>
          <w:rStyle w:val="Refdenotaalpie"/>
          <w:color w:val="000000" w:themeColor="text1"/>
          <w:szCs w:val="24"/>
        </w:rPr>
        <w:footnoteReference w:id="3"/>
      </w:r>
      <w:r w:rsidR="00F45224" w:rsidRPr="0081012D">
        <w:rPr>
          <w:color w:val="000000" w:themeColor="text1"/>
          <w:szCs w:val="24"/>
        </w:rPr>
        <w:t>, por lo que se despacha de forma desfavorable el recurso de apelación</w:t>
      </w:r>
      <w:r w:rsidR="00CC04C6" w:rsidRPr="0081012D">
        <w:rPr>
          <w:color w:val="000000" w:themeColor="text1"/>
          <w:szCs w:val="24"/>
        </w:rPr>
        <w:t>.</w:t>
      </w:r>
      <w:r w:rsidR="00BE665C" w:rsidRPr="0081012D">
        <w:rPr>
          <w:color w:val="000000" w:themeColor="text1"/>
          <w:szCs w:val="24"/>
        </w:rPr>
        <w:t xml:space="preserve">  </w:t>
      </w:r>
    </w:p>
    <w:p w:rsidR="00CC04C6" w:rsidRPr="0081012D" w:rsidRDefault="00CC04C6" w:rsidP="0081012D">
      <w:pPr>
        <w:pStyle w:val="Textoindependiente"/>
        <w:spacing w:line="276" w:lineRule="auto"/>
        <w:rPr>
          <w:szCs w:val="24"/>
        </w:rPr>
      </w:pPr>
    </w:p>
    <w:p w:rsidR="00D841D6" w:rsidRDefault="00F45224" w:rsidP="0081012D">
      <w:pPr>
        <w:pStyle w:val="Textoindependiente"/>
        <w:spacing w:line="276" w:lineRule="auto"/>
        <w:rPr>
          <w:szCs w:val="24"/>
        </w:rPr>
      </w:pPr>
      <w:r w:rsidRPr="0081012D">
        <w:rPr>
          <w:szCs w:val="24"/>
        </w:rPr>
        <w:t xml:space="preserve">En este orden de ideas, </w:t>
      </w:r>
      <w:r w:rsidR="00D841D6" w:rsidRPr="0081012D">
        <w:rPr>
          <w:szCs w:val="24"/>
        </w:rPr>
        <w:t>en el caso</w:t>
      </w:r>
      <w:r w:rsidRPr="0081012D">
        <w:rPr>
          <w:szCs w:val="24"/>
        </w:rPr>
        <w:t xml:space="preserve"> que nos ocupa</w:t>
      </w:r>
      <w:r w:rsidR="00D841D6" w:rsidRPr="0081012D">
        <w:rPr>
          <w:szCs w:val="24"/>
        </w:rPr>
        <w:t xml:space="preserve"> el señor Loaiza Soto </w:t>
      </w:r>
      <w:r w:rsidRPr="0081012D">
        <w:rPr>
          <w:szCs w:val="24"/>
        </w:rPr>
        <w:t xml:space="preserve">cotizó </w:t>
      </w:r>
      <w:r w:rsidR="002112CA" w:rsidRPr="0081012D">
        <w:rPr>
          <w:szCs w:val="24"/>
        </w:rPr>
        <w:t xml:space="preserve">54.1 </w:t>
      </w:r>
      <w:r w:rsidRPr="0081012D">
        <w:rPr>
          <w:szCs w:val="24"/>
        </w:rPr>
        <w:t xml:space="preserve">dentro de </w:t>
      </w:r>
      <w:r w:rsidR="00D841D6" w:rsidRPr="0081012D">
        <w:rPr>
          <w:szCs w:val="24"/>
        </w:rPr>
        <w:t>los 3 años anteriores a</w:t>
      </w:r>
      <w:r w:rsidRPr="0081012D">
        <w:rPr>
          <w:szCs w:val="24"/>
        </w:rPr>
        <w:t xml:space="preserve"> su</w:t>
      </w:r>
      <w:r w:rsidR="00D841D6" w:rsidRPr="0081012D">
        <w:rPr>
          <w:szCs w:val="24"/>
        </w:rPr>
        <w:t xml:space="preserve"> </w:t>
      </w:r>
      <w:r w:rsidR="009F68A8" w:rsidRPr="0081012D">
        <w:rPr>
          <w:szCs w:val="24"/>
        </w:rPr>
        <w:t>fallecimiento</w:t>
      </w:r>
      <w:r w:rsidR="00156834" w:rsidRPr="0081012D">
        <w:rPr>
          <w:szCs w:val="24"/>
        </w:rPr>
        <w:t>,</w:t>
      </w:r>
      <w:r w:rsidR="005D38BC" w:rsidRPr="0081012D">
        <w:rPr>
          <w:szCs w:val="24"/>
        </w:rPr>
        <w:t xml:space="preserve"> que abarca del 07-06-2015 </w:t>
      </w:r>
      <w:r w:rsidR="002112CA" w:rsidRPr="0081012D">
        <w:rPr>
          <w:szCs w:val="24"/>
        </w:rPr>
        <w:t xml:space="preserve">a la misma fecha del  </w:t>
      </w:r>
      <w:r w:rsidR="005D38BC" w:rsidRPr="0081012D">
        <w:rPr>
          <w:szCs w:val="24"/>
        </w:rPr>
        <w:t>2012</w:t>
      </w:r>
      <w:r w:rsidRPr="0081012D">
        <w:rPr>
          <w:szCs w:val="24"/>
        </w:rPr>
        <w:t xml:space="preserve">, más de las exigidas en  </w:t>
      </w:r>
      <w:r w:rsidR="00D841D6" w:rsidRPr="0081012D">
        <w:rPr>
          <w:szCs w:val="24"/>
        </w:rPr>
        <w:t xml:space="preserve">la </w:t>
      </w:r>
      <w:r w:rsidRPr="0081012D">
        <w:rPr>
          <w:szCs w:val="24"/>
        </w:rPr>
        <w:t>L</w:t>
      </w:r>
      <w:r w:rsidR="00D841D6" w:rsidRPr="0081012D">
        <w:rPr>
          <w:szCs w:val="24"/>
        </w:rPr>
        <w:t>ey 797 de 2003</w:t>
      </w:r>
      <w:r w:rsidR="0058349A" w:rsidRPr="0081012D">
        <w:rPr>
          <w:szCs w:val="24"/>
        </w:rPr>
        <w:t xml:space="preserve">, por lo que no hay duda que dejó causada la pensión de sobrevivientes, único punto de reparo, por lo </w:t>
      </w:r>
      <w:r w:rsidR="0058349A" w:rsidRPr="0081012D">
        <w:rPr>
          <w:szCs w:val="24"/>
        </w:rPr>
        <w:lastRenderedPageBreak/>
        <w:t>que se releva esta Sala de emprender el estudio de la calidad de beneficiarios de la parte actora</w:t>
      </w:r>
      <w:r w:rsidR="009F68A8" w:rsidRPr="0081012D">
        <w:rPr>
          <w:szCs w:val="24"/>
        </w:rPr>
        <w:t>.</w:t>
      </w:r>
    </w:p>
    <w:p w:rsidR="0081012D" w:rsidRPr="0081012D" w:rsidRDefault="0081012D" w:rsidP="0081012D">
      <w:pPr>
        <w:pStyle w:val="Textoindependiente"/>
        <w:spacing w:line="276" w:lineRule="auto"/>
        <w:rPr>
          <w:szCs w:val="24"/>
        </w:rPr>
      </w:pPr>
    </w:p>
    <w:p w:rsidR="0069217A" w:rsidRPr="0081012D" w:rsidRDefault="0069217A" w:rsidP="0081012D">
      <w:pPr>
        <w:autoSpaceDE w:val="0"/>
        <w:autoSpaceDN w:val="0"/>
        <w:adjustRightInd w:val="0"/>
        <w:spacing w:line="276" w:lineRule="auto"/>
        <w:contextualSpacing/>
        <w:jc w:val="center"/>
        <w:rPr>
          <w:rFonts w:ascii="Arial" w:hAnsi="Arial" w:cs="Arial"/>
          <w:b/>
          <w:color w:val="000000" w:themeColor="text1"/>
          <w:szCs w:val="24"/>
          <w:lang w:eastAsia="es-CO"/>
        </w:rPr>
      </w:pPr>
      <w:r w:rsidRPr="0081012D">
        <w:rPr>
          <w:rFonts w:ascii="Arial" w:hAnsi="Arial" w:cs="Arial"/>
          <w:b/>
          <w:color w:val="000000" w:themeColor="text1"/>
          <w:szCs w:val="24"/>
          <w:lang w:eastAsia="es-CO"/>
        </w:rPr>
        <w:t>CONCLUSIÓN</w:t>
      </w:r>
    </w:p>
    <w:p w:rsidR="0069217A" w:rsidRPr="0081012D" w:rsidRDefault="0069217A" w:rsidP="0081012D">
      <w:pPr>
        <w:shd w:val="clear" w:color="auto" w:fill="FFFFFF"/>
        <w:tabs>
          <w:tab w:val="left" w:pos="5197"/>
        </w:tabs>
        <w:spacing w:line="276" w:lineRule="auto"/>
        <w:jc w:val="center"/>
        <w:rPr>
          <w:rFonts w:ascii="Arial" w:hAnsi="Arial" w:cs="Arial"/>
          <w:b/>
          <w:color w:val="000000" w:themeColor="text1"/>
          <w:szCs w:val="24"/>
          <w:lang w:eastAsia="es-CO"/>
        </w:rPr>
      </w:pPr>
    </w:p>
    <w:p w:rsidR="0069217A" w:rsidRPr="0081012D" w:rsidRDefault="0069217A" w:rsidP="0081012D">
      <w:pPr>
        <w:spacing w:line="276" w:lineRule="auto"/>
        <w:jc w:val="both"/>
        <w:rPr>
          <w:rFonts w:ascii="Arial" w:hAnsi="Arial" w:cs="Arial"/>
          <w:color w:val="000000" w:themeColor="text1"/>
          <w:szCs w:val="24"/>
        </w:rPr>
      </w:pPr>
      <w:r w:rsidRPr="0081012D">
        <w:rPr>
          <w:rFonts w:ascii="Arial" w:hAnsi="Arial" w:cs="Arial"/>
          <w:color w:val="000000" w:themeColor="text1"/>
          <w:szCs w:val="24"/>
          <w:lang w:eastAsia="es-CO"/>
        </w:rPr>
        <w:t xml:space="preserve">Conforme lo expuesto, la decisión revisada será confirmada y se condenará en costas en esta instancia a </w:t>
      </w:r>
      <w:r w:rsidRPr="0081012D">
        <w:rPr>
          <w:rFonts w:ascii="Arial" w:hAnsi="Arial" w:cs="Arial"/>
          <w:szCs w:val="24"/>
        </w:rPr>
        <w:t xml:space="preserve">la </w:t>
      </w:r>
      <w:r w:rsidR="0058349A" w:rsidRPr="0081012D">
        <w:rPr>
          <w:rFonts w:ascii="Arial" w:hAnsi="Arial" w:cs="Arial"/>
          <w:szCs w:val="24"/>
        </w:rPr>
        <w:t xml:space="preserve">demandada </w:t>
      </w:r>
      <w:r w:rsidRPr="0081012D">
        <w:rPr>
          <w:rFonts w:ascii="Arial" w:hAnsi="Arial" w:cs="Arial"/>
          <w:szCs w:val="24"/>
        </w:rPr>
        <w:t xml:space="preserve">a favor de la </w:t>
      </w:r>
      <w:r w:rsidR="0058349A" w:rsidRPr="0081012D">
        <w:rPr>
          <w:rFonts w:ascii="Arial" w:hAnsi="Arial" w:cs="Arial"/>
          <w:szCs w:val="24"/>
        </w:rPr>
        <w:t xml:space="preserve">parte actora </w:t>
      </w:r>
      <w:r w:rsidRPr="0081012D">
        <w:rPr>
          <w:rFonts w:ascii="Arial" w:hAnsi="Arial" w:cs="Arial"/>
          <w:szCs w:val="24"/>
        </w:rPr>
        <w:t>al fracasar la alzada.</w:t>
      </w:r>
    </w:p>
    <w:p w:rsidR="0069217A" w:rsidRPr="0081012D" w:rsidRDefault="0069217A" w:rsidP="0081012D">
      <w:pPr>
        <w:spacing w:line="276" w:lineRule="auto"/>
        <w:jc w:val="center"/>
        <w:rPr>
          <w:rFonts w:ascii="Arial" w:hAnsi="Arial" w:cs="Arial"/>
          <w:b/>
          <w:color w:val="000000" w:themeColor="text1"/>
          <w:szCs w:val="24"/>
        </w:rPr>
      </w:pPr>
    </w:p>
    <w:p w:rsidR="0069217A" w:rsidRPr="0081012D" w:rsidRDefault="0069217A" w:rsidP="0081012D">
      <w:pPr>
        <w:spacing w:line="276" w:lineRule="auto"/>
        <w:jc w:val="center"/>
        <w:rPr>
          <w:rFonts w:ascii="Arial" w:hAnsi="Arial" w:cs="Arial"/>
          <w:b/>
          <w:color w:val="000000" w:themeColor="text1"/>
          <w:szCs w:val="24"/>
        </w:rPr>
      </w:pPr>
      <w:r w:rsidRPr="0081012D">
        <w:rPr>
          <w:rFonts w:ascii="Arial" w:hAnsi="Arial" w:cs="Arial"/>
          <w:b/>
          <w:color w:val="000000" w:themeColor="text1"/>
          <w:szCs w:val="24"/>
        </w:rPr>
        <w:t>DECISIÓN</w:t>
      </w:r>
    </w:p>
    <w:p w:rsidR="0069217A" w:rsidRPr="0081012D" w:rsidRDefault="0069217A" w:rsidP="0081012D">
      <w:pPr>
        <w:pStyle w:val="Sinespaciado"/>
        <w:spacing w:line="276" w:lineRule="auto"/>
        <w:rPr>
          <w:rFonts w:ascii="Arial" w:hAnsi="Arial" w:cs="Arial"/>
          <w:color w:val="000000" w:themeColor="text1"/>
          <w:sz w:val="24"/>
          <w:szCs w:val="24"/>
        </w:rPr>
      </w:pPr>
    </w:p>
    <w:p w:rsidR="0069217A" w:rsidRPr="0081012D" w:rsidRDefault="0069217A" w:rsidP="0081012D">
      <w:pPr>
        <w:pStyle w:val="Prrafodelista2"/>
        <w:spacing w:after="0"/>
        <w:ind w:left="0"/>
        <w:jc w:val="both"/>
        <w:rPr>
          <w:rFonts w:ascii="Arial" w:hAnsi="Arial" w:cs="Arial"/>
          <w:color w:val="000000" w:themeColor="text1"/>
          <w:sz w:val="24"/>
          <w:szCs w:val="24"/>
        </w:rPr>
      </w:pPr>
      <w:r w:rsidRPr="0081012D">
        <w:rPr>
          <w:rFonts w:ascii="Arial" w:hAnsi="Arial" w:cs="Arial"/>
          <w:color w:val="000000" w:themeColor="text1"/>
          <w:sz w:val="24"/>
          <w:szCs w:val="24"/>
        </w:rPr>
        <w:t xml:space="preserve">En mérito de lo expuesto, el </w:t>
      </w:r>
      <w:r w:rsidRPr="0081012D">
        <w:rPr>
          <w:rFonts w:ascii="Arial" w:hAnsi="Arial" w:cs="Arial"/>
          <w:b/>
          <w:color w:val="000000" w:themeColor="text1"/>
          <w:sz w:val="24"/>
          <w:szCs w:val="24"/>
        </w:rPr>
        <w:t>Tribunal Superior del Distrito Judicial de Pereira - Risaralda, Sala Segunda de Decisión Laboral,</w:t>
      </w:r>
      <w:r w:rsidRPr="0081012D">
        <w:rPr>
          <w:rFonts w:ascii="Arial" w:hAnsi="Arial" w:cs="Arial"/>
          <w:color w:val="000000" w:themeColor="text1"/>
          <w:sz w:val="24"/>
          <w:szCs w:val="24"/>
        </w:rPr>
        <w:t xml:space="preserve"> administrando justicia en nombre de la República y por autoridad de la ley,</w:t>
      </w:r>
    </w:p>
    <w:p w:rsidR="0069217A" w:rsidRPr="0081012D" w:rsidRDefault="0069217A" w:rsidP="0081012D">
      <w:pPr>
        <w:spacing w:line="276" w:lineRule="auto"/>
        <w:jc w:val="center"/>
        <w:rPr>
          <w:rFonts w:ascii="Arial" w:hAnsi="Arial" w:cs="Arial"/>
          <w:b/>
          <w:color w:val="000000" w:themeColor="text1"/>
          <w:szCs w:val="24"/>
        </w:rPr>
      </w:pPr>
    </w:p>
    <w:p w:rsidR="0069217A" w:rsidRPr="0081012D" w:rsidRDefault="0069217A" w:rsidP="0081012D">
      <w:pPr>
        <w:spacing w:line="276" w:lineRule="auto"/>
        <w:jc w:val="center"/>
        <w:rPr>
          <w:rFonts w:ascii="Arial" w:hAnsi="Arial" w:cs="Arial"/>
          <w:b/>
          <w:color w:val="000000" w:themeColor="text1"/>
          <w:szCs w:val="24"/>
        </w:rPr>
      </w:pPr>
      <w:r w:rsidRPr="0081012D">
        <w:rPr>
          <w:rFonts w:ascii="Arial" w:hAnsi="Arial" w:cs="Arial"/>
          <w:b/>
          <w:color w:val="000000" w:themeColor="text1"/>
          <w:szCs w:val="24"/>
        </w:rPr>
        <w:t>RESUELVE</w:t>
      </w:r>
    </w:p>
    <w:p w:rsidR="0069217A" w:rsidRPr="0081012D" w:rsidRDefault="0069217A" w:rsidP="0081012D">
      <w:pPr>
        <w:pStyle w:val="Sinespaciado"/>
        <w:tabs>
          <w:tab w:val="left" w:pos="3387"/>
        </w:tabs>
        <w:spacing w:line="276" w:lineRule="auto"/>
        <w:rPr>
          <w:rFonts w:ascii="Arial" w:hAnsi="Arial" w:cs="Arial"/>
          <w:color w:val="000000" w:themeColor="text1"/>
          <w:sz w:val="24"/>
          <w:szCs w:val="24"/>
        </w:rPr>
      </w:pPr>
    </w:p>
    <w:p w:rsidR="0069217A" w:rsidRPr="0081012D" w:rsidRDefault="0069217A" w:rsidP="0081012D">
      <w:pPr>
        <w:widowControl w:val="0"/>
        <w:autoSpaceDE w:val="0"/>
        <w:autoSpaceDN w:val="0"/>
        <w:adjustRightInd w:val="0"/>
        <w:spacing w:line="276" w:lineRule="auto"/>
        <w:jc w:val="both"/>
        <w:rPr>
          <w:rFonts w:ascii="Arial" w:hAnsi="Arial" w:cs="Arial"/>
          <w:b/>
          <w:color w:val="000000" w:themeColor="text1"/>
          <w:szCs w:val="24"/>
        </w:rPr>
      </w:pPr>
      <w:r w:rsidRPr="0081012D">
        <w:rPr>
          <w:rFonts w:ascii="Arial" w:hAnsi="Arial" w:cs="Arial"/>
          <w:b/>
          <w:color w:val="000000" w:themeColor="text1"/>
          <w:szCs w:val="24"/>
          <w:u w:val="single"/>
        </w:rPr>
        <w:t>PRIMERO</w:t>
      </w:r>
      <w:r w:rsidRPr="0081012D">
        <w:rPr>
          <w:rFonts w:ascii="Arial" w:hAnsi="Arial" w:cs="Arial"/>
          <w:b/>
          <w:color w:val="000000" w:themeColor="text1"/>
          <w:szCs w:val="24"/>
        </w:rPr>
        <w:t xml:space="preserve">: </w:t>
      </w:r>
      <w:r w:rsidR="0072367F" w:rsidRPr="0081012D">
        <w:rPr>
          <w:rFonts w:ascii="Arial" w:hAnsi="Arial" w:cs="Arial"/>
          <w:b/>
          <w:color w:val="000000" w:themeColor="text1"/>
          <w:szCs w:val="24"/>
        </w:rPr>
        <w:t>CONFIRMAR la</w:t>
      </w:r>
      <w:r w:rsidR="0072367F" w:rsidRPr="0081012D">
        <w:rPr>
          <w:rFonts w:ascii="Arial" w:hAnsi="Arial" w:cs="Arial"/>
          <w:color w:val="000000" w:themeColor="text1"/>
          <w:szCs w:val="24"/>
        </w:rPr>
        <w:t xml:space="preserve"> sentencia proferida el 23 de enero de 201</w:t>
      </w:r>
      <w:r w:rsidRPr="0081012D">
        <w:rPr>
          <w:rFonts w:ascii="Arial" w:hAnsi="Arial" w:cs="Arial"/>
          <w:color w:val="000000" w:themeColor="text1"/>
          <w:szCs w:val="24"/>
        </w:rPr>
        <w:t xml:space="preserve">9 por el Juzgado </w:t>
      </w:r>
      <w:r w:rsidR="0072367F" w:rsidRPr="0081012D">
        <w:rPr>
          <w:rFonts w:ascii="Arial" w:hAnsi="Arial" w:cs="Arial"/>
          <w:color w:val="000000" w:themeColor="text1"/>
          <w:szCs w:val="24"/>
        </w:rPr>
        <w:t>Primero</w:t>
      </w:r>
      <w:r w:rsidRPr="0081012D">
        <w:rPr>
          <w:rFonts w:ascii="Arial" w:hAnsi="Arial" w:cs="Arial"/>
          <w:color w:val="000000" w:themeColor="text1"/>
          <w:szCs w:val="24"/>
        </w:rPr>
        <w:t xml:space="preserve"> Laboral del Circuito de Pereira, dentro del proceso que promueve </w:t>
      </w:r>
      <w:r w:rsidR="0072367F" w:rsidRPr="0081012D">
        <w:rPr>
          <w:rFonts w:ascii="Arial" w:hAnsi="Arial" w:cs="Arial"/>
          <w:color w:val="000000" w:themeColor="text1"/>
          <w:szCs w:val="24"/>
        </w:rPr>
        <w:t>la señora Gloria Elena Caicedo Arango</w:t>
      </w:r>
      <w:r w:rsidR="00FF49DE" w:rsidRPr="0081012D">
        <w:rPr>
          <w:rFonts w:ascii="Arial" w:hAnsi="Arial" w:cs="Arial"/>
          <w:color w:val="000000" w:themeColor="text1"/>
          <w:szCs w:val="24"/>
        </w:rPr>
        <w:t xml:space="preserve"> en nombre propio y en representación de sus hijos menores,</w:t>
      </w:r>
      <w:r w:rsidRPr="0081012D">
        <w:rPr>
          <w:rFonts w:ascii="Arial" w:hAnsi="Arial" w:cs="Arial"/>
          <w:b/>
          <w:color w:val="000000" w:themeColor="text1"/>
          <w:szCs w:val="24"/>
        </w:rPr>
        <w:t xml:space="preserve"> </w:t>
      </w:r>
      <w:r w:rsidRPr="0081012D">
        <w:rPr>
          <w:rFonts w:ascii="Arial" w:hAnsi="Arial" w:cs="Arial"/>
          <w:color w:val="000000" w:themeColor="text1"/>
          <w:szCs w:val="24"/>
        </w:rPr>
        <w:t xml:space="preserve">en contra de la </w:t>
      </w:r>
      <w:r w:rsidRPr="0081012D">
        <w:rPr>
          <w:rFonts w:ascii="Arial" w:hAnsi="Arial" w:cs="Arial"/>
          <w:b/>
          <w:color w:val="000000" w:themeColor="text1"/>
          <w:szCs w:val="24"/>
        </w:rPr>
        <w:t>Admini</w:t>
      </w:r>
      <w:r w:rsidR="0072367F" w:rsidRPr="0081012D">
        <w:rPr>
          <w:rFonts w:ascii="Arial" w:hAnsi="Arial" w:cs="Arial"/>
          <w:b/>
          <w:color w:val="000000" w:themeColor="text1"/>
          <w:szCs w:val="24"/>
        </w:rPr>
        <w:t xml:space="preserve">stradora de Fondos de Pensiones y Cesantía Protección S.A. – </w:t>
      </w:r>
      <w:r w:rsidR="008958A1" w:rsidRPr="0081012D">
        <w:rPr>
          <w:rFonts w:ascii="Arial" w:hAnsi="Arial" w:cs="Arial"/>
          <w:b/>
          <w:color w:val="000000" w:themeColor="text1"/>
          <w:szCs w:val="24"/>
        </w:rPr>
        <w:t>Protección</w:t>
      </w:r>
      <w:r w:rsidRPr="0081012D">
        <w:rPr>
          <w:rFonts w:ascii="Arial" w:hAnsi="Arial" w:cs="Arial"/>
          <w:b/>
          <w:color w:val="000000" w:themeColor="text1"/>
          <w:szCs w:val="24"/>
        </w:rPr>
        <w:t>.</w:t>
      </w:r>
    </w:p>
    <w:p w:rsidR="0069217A" w:rsidRPr="0081012D" w:rsidRDefault="0069217A" w:rsidP="0081012D">
      <w:pPr>
        <w:widowControl w:val="0"/>
        <w:autoSpaceDE w:val="0"/>
        <w:autoSpaceDN w:val="0"/>
        <w:adjustRightInd w:val="0"/>
        <w:spacing w:line="276" w:lineRule="auto"/>
        <w:jc w:val="both"/>
        <w:rPr>
          <w:rFonts w:ascii="Arial" w:hAnsi="Arial" w:cs="Arial"/>
          <w:bCs/>
          <w:i/>
          <w:iCs/>
          <w:color w:val="000000" w:themeColor="text1"/>
          <w:szCs w:val="24"/>
        </w:rPr>
      </w:pPr>
    </w:p>
    <w:p w:rsidR="0069217A" w:rsidRPr="0081012D" w:rsidRDefault="0069217A" w:rsidP="0081012D">
      <w:pPr>
        <w:spacing w:line="276" w:lineRule="auto"/>
        <w:jc w:val="both"/>
        <w:rPr>
          <w:rFonts w:ascii="Arial" w:hAnsi="Arial" w:cs="Arial"/>
          <w:szCs w:val="24"/>
        </w:rPr>
      </w:pPr>
      <w:r w:rsidRPr="0081012D">
        <w:rPr>
          <w:rFonts w:ascii="Arial" w:hAnsi="Arial" w:cs="Arial"/>
          <w:b/>
          <w:bCs/>
          <w:iCs/>
          <w:color w:val="000000" w:themeColor="text1"/>
          <w:szCs w:val="24"/>
          <w:u w:val="single"/>
        </w:rPr>
        <w:t>SEGUNDO</w:t>
      </w:r>
      <w:r w:rsidRPr="0081012D">
        <w:rPr>
          <w:rFonts w:ascii="Arial" w:hAnsi="Arial" w:cs="Arial"/>
          <w:b/>
          <w:bCs/>
          <w:iCs/>
          <w:color w:val="000000" w:themeColor="text1"/>
          <w:szCs w:val="24"/>
        </w:rPr>
        <w:t xml:space="preserve">: CONDENAR </w:t>
      </w:r>
      <w:r w:rsidRPr="0081012D">
        <w:rPr>
          <w:rFonts w:ascii="Arial" w:hAnsi="Arial" w:cs="Arial"/>
          <w:bCs/>
          <w:iCs/>
          <w:color w:val="000000" w:themeColor="text1"/>
          <w:szCs w:val="24"/>
        </w:rPr>
        <w:t>en c</w:t>
      </w:r>
      <w:r w:rsidRPr="0081012D">
        <w:rPr>
          <w:rFonts w:ascii="Arial" w:hAnsi="Arial" w:cs="Arial"/>
          <w:szCs w:val="24"/>
          <w:lang w:val="es-ES"/>
        </w:rPr>
        <w:t xml:space="preserve">ostas </w:t>
      </w:r>
      <w:r w:rsidRPr="0081012D">
        <w:rPr>
          <w:rFonts w:ascii="Arial" w:hAnsi="Arial" w:cs="Arial"/>
          <w:szCs w:val="24"/>
        </w:rPr>
        <w:t xml:space="preserve">en esta instancia a la parte </w:t>
      </w:r>
      <w:r w:rsidR="0058349A" w:rsidRPr="0081012D">
        <w:rPr>
          <w:rFonts w:ascii="Arial" w:hAnsi="Arial" w:cs="Arial"/>
          <w:szCs w:val="24"/>
        </w:rPr>
        <w:t xml:space="preserve">demandada </w:t>
      </w:r>
      <w:r w:rsidRPr="0081012D">
        <w:rPr>
          <w:rFonts w:ascii="Arial" w:hAnsi="Arial" w:cs="Arial"/>
          <w:szCs w:val="24"/>
        </w:rPr>
        <w:t xml:space="preserve">en favor de </w:t>
      </w:r>
      <w:r w:rsidR="0058349A" w:rsidRPr="0081012D">
        <w:rPr>
          <w:rFonts w:ascii="Arial" w:hAnsi="Arial" w:cs="Arial"/>
          <w:szCs w:val="24"/>
        </w:rPr>
        <w:t xml:space="preserve">la parte actora </w:t>
      </w:r>
      <w:r w:rsidRPr="0081012D">
        <w:rPr>
          <w:rFonts w:ascii="Arial" w:hAnsi="Arial" w:cs="Arial"/>
          <w:szCs w:val="24"/>
        </w:rPr>
        <w:t>por lo mencionado.</w:t>
      </w:r>
    </w:p>
    <w:p w:rsidR="0069217A" w:rsidRPr="0081012D" w:rsidRDefault="0069217A" w:rsidP="0081012D">
      <w:pPr>
        <w:spacing w:line="276" w:lineRule="auto"/>
        <w:jc w:val="both"/>
        <w:rPr>
          <w:rFonts w:ascii="Arial" w:hAnsi="Arial" w:cs="Arial"/>
          <w:color w:val="000000" w:themeColor="text1"/>
          <w:szCs w:val="24"/>
        </w:rPr>
      </w:pPr>
    </w:p>
    <w:p w:rsidR="0069217A" w:rsidRPr="0081012D" w:rsidRDefault="0069217A" w:rsidP="0081012D">
      <w:pPr>
        <w:spacing w:line="276" w:lineRule="auto"/>
        <w:contextualSpacing/>
        <w:jc w:val="both"/>
        <w:rPr>
          <w:rFonts w:ascii="Arial" w:hAnsi="Arial" w:cs="Arial"/>
          <w:color w:val="000000" w:themeColor="text1"/>
          <w:szCs w:val="24"/>
        </w:rPr>
      </w:pPr>
      <w:r w:rsidRPr="0081012D">
        <w:rPr>
          <w:rFonts w:ascii="Arial" w:hAnsi="Arial" w:cs="Arial"/>
          <w:color w:val="000000" w:themeColor="text1"/>
          <w:szCs w:val="24"/>
        </w:rPr>
        <w:t>Notificación surtida en estrados.</w:t>
      </w:r>
    </w:p>
    <w:p w:rsidR="0069217A" w:rsidRPr="0081012D" w:rsidRDefault="0069217A" w:rsidP="0081012D">
      <w:pPr>
        <w:spacing w:line="276" w:lineRule="auto"/>
        <w:contextualSpacing/>
        <w:jc w:val="both"/>
        <w:rPr>
          <w:rFonts w:ascii="Arial" w:hAnsi="Arial" w:cs="Arial"/>
          <w:color w:val="000000" w:themeColor="text1"/>
          <w:szCs w:val="24"/>
        </w:rPr>
      </w:pPr>
    </w:p>
    <w:p w:rsidR="0069217A" w:rsidRPr="0081012D" w:rsidRDefault="0069217A" w:rsidP="0081012D">
      <w:pPr>
        <w:pStyle w:val="Textoindependiente"/>
        <w:spacing w:line="276" w:lineRule="auto"/>
        <w:contextualSpacing/>
        <w:rPr>
          <w:color w:val="000000" w:themeColor="text1"/>
          <w:szCs w:val="24"/>
        </w:rPr>
      </w:pPr>
      <w:r w:rsidRPr="0081012D">
        <w:rPr>
          <w:color w:val="000000" w:themeColor="text1"/>
          <w:szCs w:val="24"/>
        </w:rPr>
        <w:t>No siendo otro el objeto de la presente audiencia, se eleva y firma esta acta por las personas que han intervenido.</w:t>
      </w:r>
    </w:p>
    <w:p w:rsidR="0069217A" w:rsidRPr="0081012D" w:rsidRDefault="0069217A" w:rsidP="0081012D">
      <w:pPr>
        <w:widowControl w:val="0"/>
        <w:autoSpaceDE w:val="0"/>
        <w:autoSpaceDN w:val="0"/>
        <w:adjustRightInd w:val="0"/>
        <w:spacing w:line="276" w:lineRule="auto"/>
        <w:contextualSpacing/>
        <w:jc w:val="both"/>
        <w:rPr>
          <w:rFonts w:ascii="Arial" w:hAnsi="Arial" w:cs="Arial"/>
          <w:color w:val="000000" w:themeColor="text1"/>
          <w:szCs w:val="24"/>
        </w:rPr>
      </w:pPr>
    </w:p>
    <w:p w:rsidR="0069217A" w:rsidRPr="0081012D" w:rsidRDefault="0069217A" w:rsidP="0081012D">
      <w:pPr>
        <w:widowControl w:val="0"/>
        <w:autoSpaceDE w:val="0"/>
        <w:autoSpaceDN w:val="0"/>
        <w:adjustRightInd w:val="0"/>
        <w:spacing w:line="276" w:lineRule="auto"/>
        <w:contextualSpacing/>
        <w:jc w:val="both"/>
        <w:rPr>
          <w:rFonts w:ascii="Arial" w:hAnsi="Arial" w:cs="Arial"/>
          <w:color w:val="000000" w:themeColor="text1"/>
          <w:szCs w:val="24"/>
        </w:rPr>
      </w:pPr>
      <w:r w:rsidRPr="0081012D">
        <w:rPr>
          <w:rFonts w:ascii="Arial" w:hAnsi="Arial" w:cs="Arial"/>
          <w:color w:val="000000" w:themeColor="text1"/>
          <w:szCs w:val="24"/>
        </w:rPr>
        <w:t>Quienes integran la Sala,</w:t>
      </w:r>
    </w:p>
    <w:p w:rsidR="0049284F" w:rsidRPr="0049284F" w:rsidRDefault="0049284F" w:rsidP="0049284F">
      <w:pPr>
        <w:widowControl w:val="0"/>
        <w:autoSpaceDE w:val="0"/>
        <w:autoSpaceDN w:val="0"/>
        <w:adjustRightInd w:val="0"/>
        <w:spacing w:line="300" w:lineRule="auto"/>
        <w:jc w:val="both"/>
        <w:rPr>
          <w:rFonts w:ascii="Arial" w:hAnsi="Arial" w:cs="Arial"/>
          <w:szCs w:val="24"/>
        </w:rPr>
      </w:pPr>
    </w:p>
    <w:p w:rsidR="0049284F" w:rsidRPr="0049284F" w:rsidRDefault="0049284F" w:rsidP="0049284F">
      <w:pPr>
        <w:widowControl w:val="0"/>
        <w:autoSpaceDE w:val="0"/>
        <w:autoSpaceDN w:val="0"/>
        <w:adjustRightInd w:val="0"/>
        <w:spacing w:line="300" w:lineRule="auto"/>
        <w:jc w:val="both"/>
        <w:rPr>
          <w:rFonts w:ascii="Arial" w:hAnsi="Arial" w:cs="Arial"/>
          <w:szCs w:val="24"/>
        </w:rPr>
      </w:pPr>
    </w:p>
    <w:p w:rsidR="0049284F" w:rsidRPr="0049284F" w:rsidRDefault="0049284F" w:rsidP="0049284F">
      <w:pPr>
        <w:widowControl w:val="0"/>
        <w:autoSpaceDE w:val="0"/>
        <w:autoSpaceDN w:val="0"/>
        <w:adjustRightInd w:val="0"/>
        <w:spacing w:line="300" w:lineRule="auto"/>
        <w:jc w:val="both"/>
        <w:rPr>
          <w:rFonts w:ascii="Arial" w:hAnsi="Arial" w:cs="Arial"/>
          <w:szCs w:val="24"/>
        </w:rPr>
      </w:pPr>
    </w:p>
    <w:p w:rsidR="0049284F" w:rsidRPr="0049284F" w:rsidRDefault="0049284F" w:rsidP="0049284F">
      <w:pPr>
        <w:widowControl w:val="0"/>
        <w:autoSpaceDE w:val="0"/>
        <w:autoSpaceDN w:val="0"/>
        <w:adjustRightInd w:val="0"/>
        <w:spacing w:line="300" w:lineRule="auto"/>
        <w:jc w:val="both"/>
        <w:rPr>
          <w:rFonts w:ascii="Arial" w:hAnsi="Arial" w:cs="Arial"/>
          <w:szCs w:val="24"/>
        </w:rPr>
      </w:pPr>
    </w:p>
    <w:p w:rsidR="0049284F" w:rsidRPr="0049284F" w:rsidRDefault="0049284F" w:rsidP="0049284F">
      <w:pPr>
        <w:spacing w:line="300" w:lineRule="auto"/>
        <w:jc w:val="center"/>
        <w:rPr>
          <w:rFonts w:ascii="Arial" w:eastAsia="Calibri" w:hAnsi="Arial" w:cs="Arial"/>
          <w:b/>
          <w:szCs w:val="24"/>
          <w:lang w:val="es-ES" w:eastAsia="en-US"/>
        </w:rPr>
      </w:pPr>
      <w:r w:rsidRPr="0049284F">
        <w:rPr>
          <w:rFonts w:ascii="Arial" w:eastAsia="Calibri" w:hAnsi="Arial" w:cs="Arial"/>
          <w:b/>
          <w:szCs w:val="24"/>
          <w:lang w:val="es-ES" w:eastAsia="en-US"/>
        </w:rPr>
        <w:t>OLGA LUCÍA HOYOS SEPÚLVEDA</w:t>
      </w:r>
    </w:p>
    <w:p w:rsidR="0049284F" w:rsidRPr="0049284F" w:rsidRDefault="0049284F" w:rsidP="0049284F">
      <w:pPr>
        <w:spacing w:line="300" w:lineRule="auto"/>
        <w:jc w:val="center"/>
        <w:rPr>
          <w:rFonts w:ascii="Arial" w:eastAsia="Calibri" w:hAnsi="Arial" w:cs="Arial"/>
          <w:szCs w:val="24"/>
          <w:lang w:val="es-ES" w:eastAsia="en-US"/>
        </w:rPr>
      </w:pPr>
      <w:r w:rsidRPr="0049284F">
        <w:rPr>
          <w:rFonts w:ascii="Arial" w:eastAsia="Calibri" w:hAnsi="Arial" w:cs="Arial"/>
          <w:szCs w:val="24"/>
          <w:lang w:val="es-ES" w:eastAsia="en-US"/>
        </w:rPr>
        <w:t>Magistrada Ponente</w:t>
      </w:r>
    </w:p>
    <w:p w:rsidR="0049284F" w:rsidRPr="0049284F" w:rsidRDefault="0049284F" w:rsidP="0049284F">
      <w:pPr>
        <w:widowControl w:val="0"/>
        <w:autoSpaceDE w:val="0"/>
        <w:autoSpaceDN w:val="0"/>
        <w:adjustRightInd w:val="0"/>
        <w:spacing w:line="300" w:lineRule="auto"/>
        <w:jc w:val="both"/>
        <w:rPr>
          <w:rFonts w:ascii="Arial" w:hAnsi="Arial" w:cs="Arial"/>
          <w:szCs w:val="24"/>
        </w:rPr>
      </w:pPr>
    </w:p>
    <w:p w:rsidR="0049284F" w:rsidRPr="0049284F" w:rsidRDefault="0049284F" w:rsidP="0049284F">
      <w:pPr>
        <w:widowControl w:val="0"/>
        <w:autoSpaceDE w:val="0"/>
        <w:autoSpaceDN w:val="0"/>
        <w:adjustRightInd w:val="0"/>
        <w:spacing w:line="300" w:lineRule="auto"/>
        <w:jc w:val="both"/>
        <w:rPr>
          <w:rFonts w:ascii="Arial" w:hAnsi="Arial" w:cs="Arial"/>
          <w:szCs w:val="24"/>
        </w:rPr>
      </w:pPr>
    </w:p>
    <w:p w:rsidR="0049284F" w:rsidRPr="0049284F" w:rsidRDefault="0049284F" w:rsidP="0049284F">
      <w:pPr>
        <w:widowControl w:val="0"/>
        <w:autoSpaceDE w:val="0"/>
        <w:autoSpaceDN w:val="0"/>
        <w:adjustRightInd w:val="0"/>
        <w:spacing w:line="300" w:lineRule="auto"/>
        <w:jc w:val="both"/>
        <w:rPr>
          <w:rFonts w:ascii="Arial" w:hAnsi="Arial" w:cs="Arial"/>
          <w:szCs w:val="24"/>
        </w:rPr>
      </w:pPr>
    </w:p>
    <w:p w:rsidR="0049284F" w:rsidRPr="0049284F" w:rsidRDefault="0049284F" w:rsidP="0049284F">
      <w:pPr>
        <w:widowControl w:val="0"/>
        <w:autoSpaceDE w:val="0"/>
        <w:autoSpaceDN w:val="0"/>
        <w:adjustRightInd w:val="0"/>
        <w:spacing w:line="300" w:lineRule="auto"/>
        <w:jc w:val="both"/>
        <w:rPr>
          <w:rFonts w:ascii="Arial" w:hAnsi="Arial" w:cs="Arial"/>
          <w:szCs w:val="24"/>
        </w:rPr>
      </w:pPr>
    </w:p>
    <w:p w:rsidR="0049284F" w:rsidRPr="0049284F" w:rsidRDefault="0049284F" w:rsidP="0049284F">
      <w:pPr>
        <w:spacing w:line="300" w:lineRule="auto"/>
        <w:rPr>
          <w:rFonts w:ascii="Arial" w:hAnsi="Arial" w:cs="Arial"/>
          <w:b/>
          <w:bCs/>
          <w:iCs/>
          <w:szCs w:val="24"/>
          <w:lang w:val="es-ES"/>
        </w:rPr>
      </w:pPr>
      <w:r w:rsidRPr="0049284F">
        <w:rPr>
          <w:rFonts w:ascii="Arial" w:hAnsi="Arial" w:cs="Arial"/>
          <w:b/>
          <w:bCs/>
          <w:iCs/>
          <w:szCs w:val="24"/>
          <w:lang w:val="es-ES"/>
        </w:rPr>
        <w:t>JULIO CÉSAR SALAZAR MUÑOZ</w:t>
      </w:r>
      <w:r w:rsidRPr="0049284F">
        <w:rPr>
          <w:rFonts w:ascii="Arial" w:hAnsi="Arial" w:cs="Arial"/>
          <w:szCs w:val="24"/>
          <w:lang w:val="es-ES"/>
        </w:rPr>
        <w:tab/>
      </w:r>
      <w:r w:rsidRPr="0049284F">
        <w:rPr>
          <w:rFonts w:ascii="Arial" w:hAnsi="Arial" w:cs="Arial"/>
          <w:b/>
          <w:bCs/>
          <w:iCs/>
          <w:szCs w:val="24"/>
          <w:lang w:val="es-ES"/>
        </w:rPr>
        <w:t>FRANCISCO JAVIER TAMAYO TABARES</w:t>
      </w:r>
    </w:p>
    <w:p w:rsidR="0069217A" w:rsidRPr="0081012D" w:rsidRDefault="0049284F" w:rsidP="0049284F">
      <w:pPr>
        <w:widowControl w:val="0"/>
        <w:autoSpaceDE w:val="0"/>
        <w:autoSpaceDN w:val="0"/>
        <w:adjustRightInd w:val="0"/>
        <w:spacing w:line="276" w:lineRule="auto"/>
        <w:contextualSpacing/>
        <w:jc w:val="both"/>
        <w:rPr>
          <w:rFonts w:ascii="Arial" w:hAnsi="Arial" w:cs="Arial"/>
          <w:color w:val="000000" w:themeColor="text1"/>
          <w:szCs w:val="24"/>
          <w:lang w:val="es-ES"/>
        </w:rPr>
      </w:pPr>
      <w:r w:rsidRPr="0049284F">
        <w:rPr>
          <w:rFonts w:ascii="Arial" w:hAnsi="Arial" w:cs="Arial"/>
          <w:szCs w:val="24"/>
        </w:rPr>
        <w:t>Magistrado</w:t>
      </w:r>
      <w:r w:rsidRPr="0049284F">
        <w:rPr>
          <w:rFonts w:ascii="Arial" w:hAnsi="Arial" w:cs="Arial"/>
          <w:szCs w:val="24"/>
        </w:rPr>
        <w:tab/>
      </w:r>
      <w:r w:rsidRPr="0049284F">
        <w:rPr>
          <w:rFonts w:ascii="Arial" w:hAnsi="Arial" w:cs="Arial"/>
          <w:szCs w:val="24"/>
        </w:rPr>
        <w:tab/>
      </w:r>
      <w:r w:rsidRPr="0049284F">
        <w:rPr>
          <w:rFonts w:ascii="Arial" w:hAnsi="Arial" w:cs="Arial"/>
          <w:szCs w:val="24"/>
        </w:rPr>
        <w:tab/>
      </w:r>
      <w:r w:rsidRPr="0049284F">
        <w:rPr>
          <w:rFonts w:ascii="Arial" w:hAnsi="Arial" w:cs="Arial"/>
          <w:szCs w:val="24"/>
        </w:rPr>
        <w:tab/>
      </w:r>
      <w:r w:rsidRPr="0049284F">
        <w:rPr>
          <w:rFonts w:ascii="Arial" w:hAnsi="Arial" w:cs="Arial"/>
          <w:szCs w:val="24"/>
        </w:rPr>
        <w:tab/>
      </w:r>
      <w:proofErr w:type="spellStart"/>
      <w:r w:rsidRPr="0049284F">
        <w:rPr>
          <w:rFonts w:ascii="Arial" w:hAnsi="Arial" w:cs="Arial"/>
          <w:szCs w:val="24"/>
        </w:rPr>
        <w:t>Magistrado</w:t>
      </w:r>
      <w:proofErr w:type="spellEnd"/>
    </w:p>
    <w:sectPr w:rsidR="0069217A" w:rsidRPr="0081012D" w:rsidSect="0081012D">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F91" w:rsidRDefault="00EF5F91" w:rsidP="0009166E">
      <w:r>
        <w:separator/>
      </w:r>
    </w:p>
  </w:endnote>
  <w:endnote w:type="continuationSeparator" w:id="0">
    <w:p w:rsidR="00EF5F91" w:rsidRDefault="00EF5F91" w:rsidP="0009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A5" w:rsidRDefault="009E04A5" w:rsidP="009E04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04A5" w:rsidRDefault="009E04A5" w:rsidP="009E04A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14309"/>
      <w:docPartObj>
        <w:docPartGallery w:val="Page Numbers (Bottom of Page)"/>
        <w:docPartUnique/>
      </w:docPartObj>
    </w:sdtPr>
    <w:sdtEndPr>
      <w:rPr>
        <w:rFonts w:ascii="Arial" w:hAnsi="Arial" w:cs="Arial"/>
        <w:sz w:val="18"/>
      </w:rPr>
    </w:sdtEndPr>
    <w:sdtContent>
      <w:p w:rsidR="009E04A5" w:rsidRPr="0081012D" w:rsidRDefault="009E04A5">
        <w:pPr>
          <w:pStyle w:val="Piedepgina"/>
          <w:jc w:val="right"/>
          <w:rPr>
            <w:rFonts w:ascii="Arial" w:hAnsi="Arial" w:cs="Arial"/>
            <w:sz w:val="18"/>
          </w:rPr>
        </w:pPr>
        <w:r w:rsidRPr="0081012D">
          <w:rPr>
            <w:rFonts w:ascii="Arial" w:hAnsi="Arial" w:cs="Arial"/>
            <w:sz w:val="18"/>
          </w:rPr>
          <w:fldChar w:fldCharType="begin"/>
        </w:r>
        <w:r w:rsidRPr="0081012D">
          <w:rPr>
            <w:rFonts w:ascii="Arial" w:hAnsi="Arial" w:cs="Arial"/>
            <w:sz w:val="18"/>
          </w:rPr>
          <w:instrText>PAGE   \* MERGEFORMAT</w:instrText>
        </w:r>
        <w:r w:rsidRPr="0081012D">
          <w:rPr>
            <w:rFonts w:ascii="Arial" w:hAnsi="Arial" w:cs="Arial"/>
            <w:sz w:val="18"/>
          </w:rPr>
          <w:fldChar w:fldCharType="separate"/>
        </w:r>
        <w:r w:rsidR="00B620A6" w:rsidRPr="00B620A6">
          <w:rPr>
            <w:rFonts w:ascii="Arial" w:hAnsi="Arial" w:cs="Arial"/>
            <w:noProof/>
            <w:sz w:val="18"/>
            <w:lang w:val="es-ES"/>
          </w:rPr>
          <w:t>5</w:t>
        </w:r>
        <w:r w:rsidRPr="0081012D">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F91" w:rsidRDefault="00EF5F91" w:rsidP="0009166E">
      <w:r>
        <w:separator/>
      </w:r>
    </w:p>
  </w:footnote>
  <w:footnote w:type="continuationSeparator" w:id="0">
    <w:p w:rsidR="00EF5F91" w:rsidRDefault="00EF5F91" w:rsidP="0009166E">
      <w:r>
        <w:continuationSeparator/>
      </w:r>
    </w:p>
  </w:footnote>
  <w:footnote w:id="1">
    <w:p w:rsidR="00642207" w:rsidRPr="0049284F" w:rsidRDefault="00642207" w:rsidP="0049284F">
      <w:pPr>
        <w:pStyle w:val="Textoindependiente"/>
        <w:rPr>
          <w:sz w:val="18"/>
          <w:szCs w:val="18"/>
          <w:lang w:val="es-CO"/>
        </w:rPr>
      </w:pPr>
      <w:r w:rsidRPr="0049284F">
        <w:rPr>
          <w:rStyle w:val="Refdenotaalpie"/>
          <w:sz w:val="18"/>
          <w:szCs w:val="18"/>
        </w:rPr>
        <w:footnoteRef/>
      </w:r>
      <w:r w:rsidRPr="0049284F">
        <w:rPr>
          <w:sz w:val="18"/>
          <w:szCs w:val="18"/>
        </w:rPr>
        <w:t xml:space="preserve"> </w:t>
      </w:r>
      <w:r w:rsidRPr="0049284F">
        <w:rPr>
          <w:i/>
          <w:sz w:val="18"/>
          <w:szCs w:val="18"/>
        </w:rPr>
        <w:t>“</w:t>
      </w:r>
      <w:r w:rsidRPr="0049284F">
        <w:rPr>
          <w:i/>
          <w:color w:val="000000" w:themeColor="text1"/>
          <w:sz w:val="18"/>
          <w:szCs w:val="18"/>
        </w:rPr>
        <w:t>En aquellos casos en los cuales el afiliado perciba salario de dos o más empleadores, o ingresos como trabajador independiente  o por prestaciones de servicios como contratistas, en un mismo período de tiempo, las cotizaciones correspondientes serán efectuadas en forma proporcional al salario, o ingreso devengado de cada uno de ellos, y estas se acumularán para todos los efectos de esta ley sin exceder el tope legal. </w:t>
      </w:r>
      <w:r w:rsidRPr="0049284F">
        <w:rPr>
          <w:rStyle w:val="iaj"/>
          <w:i/>
          <w:iCs/>
          <w:color w:val="000000" w:themeColor="text1"/>
          <w:sz w:val="18"/>
          <w:szCs w:val="18"/>
        </w:rPr>
        <w:t>Para estos efectos, será necesario que las cotizaciones al sistema de salud se hagan sobre la misma base</w:t>
      </w:r>
      <w:r w:rsidRPr="0049284F">
        <w:rPr>
          <w:color w:val="000000" w:themeColor="text1"/>
          <w:sz w:val="18"/>
          <w:szCs w:val="18"/>
        </w:rPr>
        <w:t>”.</w:t>
      </w:r>
    </w:p>
  </w:footnote>
  <w:footnote w:id="2">
    <w:p w:rsidR="00C828EC" w:rsidRPr="0049284F" w:rsidRDefault="00C828EC" w:rsidP="0049284F">
      <w:pPr>
        <w:pStyle w:val="Textoindependiente"/>
        <w:rPr>
          <w:sz w:val="18"/>
          <w:szCs w:val="18"/>
          <w:lang w:val="es-CO"/>
        </w:rPr>
      </w:pPr>
      <w:r w:rsidRPr="0049284F">
        <w:rPr>
          <w:rStyle w:val="Refdenotaalpie"/>
          <w:sz w:val="18"/>
          <w:szCs w:val="18"/>
        </w:rPr>
        <w:footnoteRef/>
      </w:r>
      <w:r w:rsidRPr="0049284F">
        <w:rPr>
          <w:sz w:val="18"/>
          <w:szCs w:val="18"/>
        </w:rPr>
        <w:t xml:space="preserve"> </w:t>
      </w:r>
      <w:r w:rsidRPr="0049284F">
        <w:rPr>
          <w:color w:val="000000" w:themeColor="text1"/>
          <w:sz w:val="18"/>
          <w:szCs w:val="18"/>
        </w:rPr>
        <w:t>“</w:t>
      </w:r>
      <w:r w:rsidRPr="0049284F">
        <w:rPr>
          <w:i/>
          <w:color w:val="000000"/>
          <w:sz w:val="18"/>
          <w:szCs w:val="18"/>
        </w:rPr>
        <w:t>En los casos en que un trabajador hubiere prestado servicios en forma simultánea con varios patronos, los diferentes aportes serán tenidos en cuenta para establecer el promedio del salario de base correspondiente, para efectos del pago de las prestaciones económicas, sin que sobrepase el salario base máximo asegurable al momento de causarse el derecho</w:t>
      </w:r>
      <w:r w:rsidRPr="0049284F">
        <w:rPr>
          <w:color w:val="000000"/>
          <w:sz w:val="18"/>
          <w:szCs w:val="18"/>
        </w:rPr>
        <w:t>”.</w:t>
      </w:r>
    </w:p>
  </w:footnote>
  <w:footnote w:id="3">
    <w:p w:rsidR="00BE665C" w:rsidRPr="0049284F" w:rsidRDefault="00BE665C" w:rsidP="0049284F">
      <w:pPr>
        <w:pStyle w:val="Textonotapie"/>
        <w:jc w:val="both"/>
        <w:rPr>
          <w:rFonts w:ascii="Arial" w:hAnsi="Arial" w:cs="Arial"/>
          <w:sz w:val="18"/>
          <w:szCs w:val="18"/>
          <w:lang w:val="es-CO"/>
        </w:rPr>
      </w:pPr>
      <w:r w:rsidRPr="0049284F">
        <w:rPr>
          <w:rStyle w:val="Refdenotaalpie"/>
          <w:rFonts w:ascii="Arial" w:hAnsi="Arial" w:cs="Arial"/>
          <w:sz w:val="18"/>
          <w:szCs w:val="18"/>
        </w:rPr>
        <w:footnoteRef/>
      </w:r>
      <w:r w:rsidRPr="0049284F">
        <w:rPr>
          <w:rFonts w:ascii="Arial" w:hAnsi="Arial" w:cs="Arial"/>
          <w:sz w:val="18"/>
          <w:szCs w:val="18"/>
        </w:rPr>
        <w:t xml:space="preserve"> </w:t>
      </w:r>
      <w:r w:rsidRPr="0049284F">
        <w:rPr>
          <w:rFonts w:ascii="Arial" w:hAnsi="Arial" w:cs="Arial"/>
          <w:sz w:val="18"/>
          <w:szCs w:val="18"/>
          <w:lang w:val="es-CO"/>
        </w:rPr>
        <w:t>CORTE SUPREMA DE JUSTICIA, Sala de Casación Laboral, sentencia del 5-06-2012, rad. 42299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A5" w:rsidRPr="00BB3FED" w:rsidRDefault="009E04A5" w:rsidP="009E04A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E04A5" w:rsidRPr="00BB3FED" w:rsidRDefault="009E04A5" w:rsidP="009E04A5">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66001-31-05-001-2016-00060-01</w:t>
    </w:r>
  </w:p>
  <w:p w:rsidR="009E04A5" w:rsidRPr="00BB3FED" w:rsidRDefault="009E04A5" w:rsidP="009E04A5">
    <w:pPr>
      <w:pStyle w:val="Encabezado"/>
      <w:jc w:val="center"/>
      <w:rPr>
        <w:rFonts w:ascii="Arial" w:hAnsi="Arial" w:cs="Arial"/>
        <w:sz w:val="18"/>
        <w:szCs w:val="18"/>
      </w:rPr>
    </w:pPr>
    <w:r>
      <w:rPr>
        <w:rFonts w:ascii="Arial" w:hAnsi="Arial" w:cs="Arial"/>
        <w:sz w:val="18"/>
        <w:szCs w:val="18"/>
      </w:rPr>
      <w:t>Gloria Elena Caicedo Arango y Otros vs Protección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81A06"/>
    <w:multiLevelType w:val="multilevel"/>
    <w:tmpl w:val="EA6AA5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eastAsiaTheme="minorHAnsi" w:hint="default"/>
        <w:color w:val="auto"/>
      </w:rPr>
    </w:lvl>
    <w:lvl w:ilvl="2">
      <w:start w:val="1"/>
      <w:numFmt w:val="decimal"/>
      <w:isLgl/>
      <w:lvlText w:val="%1.%2.%3."/>
      <w:lvlJc w:val="left"/>
      <w:pPr>
        <w:ind w:left="1080" w:hanging="720"/>
      </w:pPr>
      <w:rPr>
        <w:rFonts w:eastAsiaTheme="minorHAnsi" w:hint="default"/>
        <w:color w:val="auto"/>
      </w:rPr>
    </w:lvl>
    <w:lvl w:ilvl="3">
      <w:start w:val="1"/>
      <w:numFmt w:val="decimal"/>
      <w:isLgl/>
      <w:lvlText w:val="%1.%2.%3.%4."/>
      <w:lvlJc w:val="left"/>
      <w:pPr>
        <w:ind w:left="1440" w:hanging="1080"/>
      </w:pPr>
      <w:rPr>
        <w:rFonts w:eastAsiaTheme="minorHAnsi" w:hint="default"/>
        <w:color w:val="auto"/>
      </w:rPr>
    </w:lvl>
    <w:lvl w:ilvl="4">
      <w:start w:val="1"/>
      <w:numFmt w:val="decimal"/>
      <w:isLgl/>
      <w:lvlText w:val="%1.%2.%3.%4.%5."/>
      <w:lvlJc w:val="left"/>
      <w:pPr>
        <w:ind w:left="1440" w:hanging="1080"/>
      </w:pPr>
      <w:rPr>
        <w:rFonts w:eastAsiaTheme="minorHAnsi" w:hint="default"/>
        <w:color w:val="auto"/>
      </w:rPr>
    </w:lvl>
    <w:lvl w:ilvl="5">
      <w:start w:val="1"/>
      <w:numFmt w:val="decimal"/>
      <w:isLgl/>
      <w:lvlText w:val="%1.%2.%3.%4.%5.%6."/>
      <w:lvlJc w:val="left"/>
      <w:pPr>
        <w:ind w:left="1800" w:hanging="1440"/>
      </w:pPr>
      <w:rPr>
        <w:rFonts w:eastAsiaTheme="minorHAnsi" w:hint="default"/>
        <w:color w:val="auto"/>
      </w:rPr>
    </w:lvl>
    <w:lvl w:ilvl="6">
      <w:start w:val="1"/>
      <w:numFmt w:val="decimal"/>
      <w:isLgl/>
      <w:lvlText w:val="%1.%2.%3.%4.%5.%6.%7."/>
      <w:lvlJc w:val="left"/>
      <w:pPr>
        <w:ind w:left="1800" w:hanging="1440"/>
      </w:pPr>
      <w:rPr>
        <w:rFonts w:eastAsiaTheme="minorHAnsi" w:hint="default"/>
        <w:color w:val="auto"/>
      </w:rPr>
    </w:lvl>
    <w:lvl w:ilvl="7">
      <w:start w:val="1"/>
      <w:numFmt w:val="decimal"/>
      <w:isLgl/>
      <w:lvlText w:val="%1.%2.%3.%4.%5.%6.%7.%8."/>
      <w:lvlJc w:val="left"/>
      <w:pPr>
        <w:ind w:left="2160" w:hanging="1800"/>
      </w:pPr>
      <w:rPr>
        <w:rFonts w:eastAsiaTheme="minorHAnsi" w:hint="default"/>
        <w:color w:val="auto"/>
      </w:rPr>
    </w:lvl>
    <w:lvl w:ilvl="8">
      <w:start w:val="1"/>
      <w:numFmt w:val="decimal"/>
      <w:isLgl/>
      <w:lvlText w:val="%1.%2.%3.%4.%5.%6.%7.%8.%9."/>
      <w:lvlJc w:val="left"/>
      <w:pPr>
        <w:ind w:left="2520" w:hanging="2160"/>
      </w:pPr>
      <w:rPr>
        <w:rFonts w:eastAsiaTheme="minorHAnsi" w:hint="default"/>
        <w:color w:val="auto"/>
      </w:rPr>
    </w:lvl>
  </w:abstractNum>
  <w:abstractNum w:abstractNumId="1">
    <w:nsid w:val="29BF4CC9"/>
    <w:multiLevelType w:val="multilevel"/>
    <w:tmpl w:val="F76EFA2C"/>
    <w:lvl w:ilvl="0">
      <w:start w:val="1"/>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
    <w:nsid w:val="3C210C95"/>
    <w:multiLevelType w:val="multilevel"/>
    <w:tmpl w:val="C27A741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444954A5"/>
    <w:multiLevelType w:val="hybridMultilevel"/>
    <w:tmpl w:val="4F20D0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05D34BF"/>
    <w:multiLevelType w:val="hybridMultilevel"/>
    <w:tmpl w:val="4F20D0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09109E"/>
    <w:multiLevelType w:val="hybridMultilevel"/>
    <w:tmpl w:val="DE4CC9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6B171347"/>
    <w:multiLevelType w:val="hybridMultilevel"/>
    <w:tmpl w:val="F4AAC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B82227A"/>
    <w:multiLevelType w:val="hybridMultilevel"/>
    <w:tmpl w:val="F15CFB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E81099A"/>
    <w:multiLevelType w:val="hybridMultilevel"/>
    <w:tmpl w:val="8D5EDC4C"/>
    <w:lvl w:ilvl="0" w:tplc="61CC468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AFB48CE"/>
    <w:multiLevelType w:val="hybridMultilevel"/>
    <w:tmpl w:val="11DA36C6"/>
    <w:lvl w:ilvl="0" w:tplc="701408CE">
      <w:start w:val="1"/>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9"/>
  </w:num>
  <w:num w:numId="5">
    <w:abstractNumId w:val="10"/>
  </w:num>
  <w:num w:numId="6">
    <w:abstractNumId w:val="3"/>
  </w:num>
  <w:num w:numId="7">
    <w:abstractNumId w:val="8"/>
  </w:num>
  <w:num w:numId="8">
    <w:abstractNumId w:val="5"/>
  </w:num>
  <w:num w:numId="9">
    <w:abstractNumId w:val="7"/>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6E"/>
    <w:rsid w:val="000023FC"/>
    <w:rsid w:val="00002C37"/>
    <w:rsid w:val="000032B9"/>
    <w:rsid w:val="00004554"/>
    <w:rsid w:val="00004710"/>
    <w:rsid w:val="00011B87"/>
    <w:rsid w:val="00022A8C"/>
    <w:rsid w:val="00023009"/>
    <w:rsid w:val="00030503"/>
    <w:rsid w:val="0003660F"/>
    <w:rsid w:val="00057E73"/>
    <w:rsid w:val="00063E21"/>
    <w:rsid w:val="00070169"/>
    <w:rsid w:val="000718E9"/>
    <w:rsid w:val="00071A56"/>
    <w:rsid w:val="00075096"/>
    <w:rsid w:val="000819B0"/>
    <w:rsid w:val="00083BB8"/>
    <w:rsid w:val="000855BF"/>
    <w:rsid w:val="0009166E"/>
    <w:rsid w:val="00092F97"/>
    <w:rsid w:val="00096F32"/>
    <w:rsid w:val="0009773D"/>
    <w:rsid w:val="000A4502"/>
    <w:rsid w:val="000A4F3A"/>
    <w:rsid w:val="000A5FC4"/>
    <w:rsid w:val="000A79C1"/>
    <w:rsid w:val="000B24D0"/>
    <w:rsid w:val="000D0785"/>
    <w:rsid w:val="000D6DD7"/>
    <w:rsid w:val="000E2421"/>
    <w:rsid w:val="000E5DF7"/>
    <w:rsid w:val="000E6BD9"/>
    <w:rsid w:val="000F36BE"/>
    <w:rsid w:val="0010446A"/>
    <w:rsid w:val="001118D9"/>
    <w:rsid w:val="00112979"/>
    <w:rsid w:val="001176A6"/>
    <w:rsid w:val="00124506"/>
    <w:rsid w:val="00125DEB"/>
    <w:rsid w:val="0012723A"/>
    <w:rsid w:val="001307BB"/>
    <w:rsid w:val="00130F49"/>
    <w:rsid w:val="0013107A"/>
    <w:rsid w:val="001330C7"/>
    <w:rsid w:val="00142F26"/>
    <w:rsid w:val="00143B9A"/>
    <w:rsid w:val="001477BD"/>
    <w:rsid w:val="00156834"/>
    <w:rsid w:val="001606AC"/>
    <w:rsid w:val="001617BC"/>
    <w:rsid w:val="00163CFB"/>
    <w:rsid w:val="001643A9"/>
    <w:rsid w:val="00170593"/>
    <w:rsid w:val="00171CF1"/>
    <w:rsid w:val="001748C6"/>
    <w:rsid w:val="0017791A"/>
    <w:rsid w:val="00182DCE"/>
    <w:rsid w:val="00190813"/>
    <w:rsid w:val="001963B4"/>
    <w:rsid w:val="001B3FFD"/>
    <w:rsid w:val="001B5B64"/>
    <w:rsid w:val="001B6B29"/>
    <w:rsid w:val="001C0220"/>
    <w:rsid w:val="001C1130"/>
    <w:rsid w:val="001C189D"/>
    <w:rsid w:val="001C1BFB"/>
    <w:rsid w:val="001C530C"/>
    <w:rsid w:val="001D1B78"/>
    <w:rsid w:val="001E274D"/>
    <w:rsid w:val="001E6359"/>
    <w:rsid w:val="001F116D"/>
    <w:rsid w:val="001F4537"/>
    <w:rsid w:val="00207906"/>
    <w:rsid w:val="002112CA"/>
    <w:rsid w:val="00222333"/>
    <w:rsid w:val="00224016"/>
    <w:rsid w:val="00232E92"/>
    <w:rsid w:val="00233D25"/>
    <w:rsid w:val="00234364"/>
    <w:rsid w:val="00237F10"/>
    <w:rsid w:val="00243DBE"/>
    <w:rsid w:val="002457E6"/>
    <w:rsid w:val="00246608"/>
    <w:rsid w:val="002474B7"/>
    <w:rsid w:val="002477D0"/>
    <w:rsid w:val="00252D8D"/>
    <w:rsid w:val="00253129"/>
    <w:rsid w:val="00256F0C"/>
    <w:rsid w:val="002575C2"/>
    <w:rsid w:val="00266974"/>
    <w:rsid w:val="00273C05"/>
    <w:rsid w:val="00280DFC"/>
    <w:rsid w:val="002905DA"/>
    <w:rsid w:val="00292574"/>
    <w:rsid w:val="0029332D"/>
    <w:rsid w:val="002A3999"/>
    <w:rsid w:val="002B217A"/>
    <w:rsid w:val="002C08CC"/>
    <w:rsid w:val="002C145E"/>
    <w:rsid w:val="002C1784"/>
    <w:rsid w:val="002C6DBC"/>
    <w:rsid w:val="002D002B"/>
    <w:rsid w:val="002D5FCC"/>
    <w:rsid w:val="002D71F5"/>
    <w:rsid w:val="002F11E3"/>
    <w:rsid w:val="002F11FA"/>
    <w:rsid w:val="002F5148"/>
    <w:rsid w:val="00300265"/>
    <w:rsid w:val="0030430B"/>
    <w:rsid w:val="00306239"/>
    <w:rsid w:val="00310BD6"/>
    <w:rsid w:val="00314EB5"/>
    <w:rsid w:val="0031532C"/>
    <w:rsid w:val="00316743"/>
    <w:rsid w:val="003256D0"/>
    <w:rsid w:val="00331D26"/>
    <w:rsid w:val="0034596D"/>
    <w:rsid w:val="00352BAD"/>
    <w:rsid w:val="00357075"/>
    <w:rsid w:val="00363FC3"/>
    <w:rsid w:val="003642FA"/>
    <w:rsid w:val="003648C3"/>
    <w:rsid w:val="00366D99"/>
    <w:rsid w:val="00374415"/>
    <w:rsid w:val="0037692C"/>
    <w:rsid w:val="00381476"/>
    <w:rsid w:val="0038191A"/>
    <w:rsid w:val="00382119"/>
    <w:rsid w:val="003841D9"/>
    <w:rsid w:val="00391915"/>
    <w:rsid w:val="00394F04"/>
    <w:rsid w:val="003954E8"/>
    <w:rsid w:val="003A0536"/>
    <w:rsid w:val="003A1A70"/>
    <w:rsid w:val="003A347B"/>
    <w:rsid w:val="003A7AC8"/>
    <w:rsid w:val="003B32A9"/>
    <w:rsid w:val="003B3818"/>
    <w:rsid w:val="003B4BFF"/>
    <w:rsid w:val="003B69E8"/>
    <w:rsid w:val="003B734F"/>
    <w:rsid w:val="003C0D80"/>
    <w:rsid w:val="003C175E"/>
    <w:rsid w:val="003C33F8"/>
    <w:rsid w:val="003D07FC"/>
    <w:rsid w:val="003D4D96"/>
    <w:rsid w:val="003D797A"/>
    <w:rsid w:val="003E1114"/>
    <w:rsid w:val="003E3F90"/>
    <w:rsid w:val="003E4D19"/>
    <w:rsid w:val="003E6D8C"/>
    <w:rsid w:val="003F4423"/>
    <w:rsid w:val="003F759F"/>
    <w:rsid w:val="003F7B9B"/>
    <w:rsid w:val="00401698"/>
    <w:rsid w:val="00407389"/>
    <w:rsid w:val="00410DAB"/>
    <w:rsid w:val="004122EE"/>
    <w:rsid w:val="00416859"/>
    <w:rsid w:val="00417A1E"/>
    <w:rsid w:val="00421F14"/>
    <w:rsid w:val="0043168E"/>
    <w:rsid w:val="00431B4B"/>
    <w:rsid w:val="00431DE4"/>
    <w:rsid w:val="00446895"/>
    <w:rsid w:val="00446A13"/>
    <w:rsid w:val="0044790D"/>
    <w:rsid w:val="00450BAE"/>
    <w:rsid w:val="004542C3"/>
    <w:rsid w:val="004554BA"/>
    <w:rsid w:val="0045656C"/>
    <w:rsid w:val="00457A6D"/>
    <w:rsid w:val="004615F0"/>
    <w:rsid w:val="0046348F"/>
    <w:rsid w:val="0046408F"/>
    <w:rsid w:val="004655B5"/>
    <w:rsid w:val="004655E9"/>
    <w:rsid w:val="00474AFB"/>
    <w:rsid w:val="00475485"/>
    <w:rsid w:val="00475DFA"/>
    <w:rsid w:val="004811FE"/>
    <w:rsid w:val="0049284F"/>
    <w:rsid w:val="00492A5E"/>
    <w:rsid w:val="004946FB"/>
    <w:rsid w:val="0049769C"/>
    <w:rsid w:val="004A3BF7"/>
    <w:rsid w:val="004A60AA"/>
    <w:rsid w:val="004B00AD"/>
    <w:rsid w:val="004B385A"/>
    <w:rsid w:val="004B3D77"/>
    <w:rsid w:val="004C4E90"/>
    <w:rsid w:val="004C75D7"/>
    <w:rsid w:val="004D3251"/>
    <w:rsid w:val="004D48AB"/>
    <w:rsid w:val="004D6AB3"/>
    <w:rsid w:val="004E26BC"/>
    <w:rsid w:val="004E38EC"/>
    <w:rsid w:val="004E4719"/>
    <w:rsid w:val="004F141E"/>
    <w:rsid w:val="004F21D4"/>
    <w:rsid w:val="00501B31"/>
    <w:rsid w:val="005111EE"/>
    <w:rsid w:val="00515EDC"/>
    <w:rsid w:val="00516426"/>
    <w:rsid w:val="005234F5"/>
    <w:rsid w:val="005268A1"/>
    <w:rsid w:val="00535C1E"/>
    <w:rsid w:val="0054276E"/>
    <w:rsid w:val="005471B4"/>
    <w:rsid w:val="00547F8A"/>
    <w:rsid w:val="00555A82"/>
    <w:rsid w:val="00563A79"/>
    <w:rsid w:val="00563AD5"/>
    <w:rsid w:val="00563E0A"/>
    <w:rsid w:val="005710B5"/>
    <w:rsid w:val="00572705"/>
    <w:rsid w:val="005750FD"/>
    <w:rsid w:val="0057590D"/>
    <w:rsid w:val="005759A4"/>
    <w:rsid w:val="00580E7A"/>
    <w:rsid w:val="0058349A"/>
    <w:rsid w:val="005845BD"/>
    <w:rsid w:val="00596D49"/>
    <w:rsid w:val="005A27B1"/>
    <w:rsid w:val="005B7802"/>
    <w:rsid w:val="005D060C"/>
    <w:rsid w:val="005D38BC"/>
    <w:rsid w:val="005D4EE0"/>
    <w:rsid w:val="005E050D"/>
    <w:rsid w:val="005E0896"/>
    <w:rsid w:val="005E50BC"/>
    <w:rsid w:val="005E6E1B"/>
    <w:rsid w:val="005F0CAE"/>
    <w:rsid w:val="005F3417"/>
    <w:rsid w:val="00600302"/>
    <w:rsid w:val="00601B98"/>
    <w:rsid w:val="0061600D"/>
    <w:rsid w:val="00616C28"/>
    <w:rsid w:val="00617013"/>
    <w:rsid w:val="006172B8"/>
    <w:rsid w:val="006245D4"/>
    <w:rsid w:val="00624695"/>
    <w:rsid w:val="006260B6"/>
    <w:rsid w:val="0062680E"/>
    <w:rsid w:val="0063521D"/>
    <w:rsid w:val="00637C17"/>
    <w:rsid w:val="00642207"/>
    <w:rsid w:val="00642FE1"/>
    <w:rsid w:val="006467CE"/>
    <w:rsid w:val="0065462B"/>
    <w:rsid w:val="006631E0"/>
    <w:rsid w:val="00663718"/>
    <w:rsid w:val="0066406A"/>
    <w:rsid w:val="006649A2"/>
    <w:rsid w:val="00665E7D"/>
    <w:rsid w:val="00670F1F"/>
    <w:rsid w:val="00672310"/>
    <w:rsid w:val="00674742"/>
    <w:rsid w:val="00674F47"/>
    <w:rsid w:val="0067510E"/>
    <w:rsid w:val="00682432"/>
    <w:rsid w:val="00682B6B"/>
    <w:rsid w:val="00682D64"/>
    <w:rsid w:val="0068359D"/>
    <w:rsid w:val="006914E4"/>
    <w:rsid w:val="0069217A"/>
    <w:rsid w:val="00694DFB"/>
    <w:rsid w:val="00695B53"/>
    <w:rsid w:val="006A7698"/>
    <w:rsid w:val="006A773F"/>
    <w:rsid w:val="006A777F"/>
    <w:rsid w:val="006B0BB7"/>
    <w:rsid w:val="006B735E"/>
    <w:rsid w:val="006C6154"/>
    <w:rsid w:val="006D36F3"/>
    <w:rsid w:val="006D6D28"/>
    <w:rsid w:val="006D73B8"/>
    <w:rsid w:val="006E04AD"/>
    <w:rsid w:val="006E0E0E"/>
    <w:rsid w:val="006E5F4B"/>
    <w:rsid w:val="0071036C"/>
    <w:rsid w:val="0071346D"/>
    <w:rsid w:val="007209A9"/>
    <w:rsid w:val="00720F35"/>
    <w:rsid w:val="0072367F"/>
    <w:rsid w:val="00724CE9"/>
    <w:rsid w:val="007262A0"/>
    <w:rsid w:val="007262F7"/>
    <w:rsid w:val="00732943"/>
    <w:rsid w:val="007342B7"/>
    <w:rsid w:val="00741896"/>
    <w:rsid w:val="007433F3"/>
    <w:rsid w:val="007434FB"/>
    <w:rsid w:val="007567B7"/>
    <w:rsid w:val="007626C3"/>
    <w:rsid w:val="00764B40"/>
    <w:rsid w:val="00764B4A"/>
    <w:rsid w:val="0077301D"/>
    <w:rsid w:val="00783791"/>
    <w:rsid w:val="00785B5F"/>
    <w:rsid w:val="00787266"/>
    <w:rsid w:val="0079057A"/>
    <w:rsid w:val="007934F6"/>
    <w:rsid w:val="007A190F"/>
    <w:rsid w:val="007A20C9"/>
    <w:rsid w:val="007A2B08"/>
    <w:rsid w:val="007A5BEF"/>
    <w:rsid w:val="007B5228"/>
    <w:rsid w:val="007B7BBF"/>
    <w:rsid w:val="007C3382"/>
    <w:rsid w:val="007C5F08"/>
    <w:rsid w:val="007C7C56"/>
    <w:rsid w:val="007E3484"/>
    <w:rsid w:val="007E5280"/>
    <w:rsid w:val="007E60BE"/>
    <w:rsid w:val="007E7889"/>
    <w:rsid w:val="007F4377"/>
    <w:rsid w:val="00801F97"/>
    <w:rsid w:val="0081012D"/>
    <w:rsid w:val="00815E6B"/>
    <w:rsid w:val="0081622B"/>
    <w:rsid w:val="00823341"/>
    <w:rsid w:val="00827A1F"/>
    <w:rsid w:val="00840BF1"/>
    <w:rsid w:val="00853FE6"/>
    <w:rsid w:val="00855837"/>
    <w:rsid w:val="0085588D"/>
    <w:rsid w:val="0086262F"/>
    <w:rsid w:val="00863DFD"/>
    <w:rsid w:val="008734CF"/>
    <w:rsid w:val="00875A08"/>
    <w:rsid w:val="00883196"/>
    <w:rsid w:val="00891014"/>
    <w:rsid w:val="008958A1"/>
    <w:rsid w:val="0089732C"/>
    <w:rsid w:val="00897B5D"/>
    <w:rsid w:val="008A003B"/>
    <w:rsid w:val="008A4A34"/>
    <w:rsid w:val="008A4A4F"/>
    <w:rsid w:val="008A4C1E"/>
    <w:rsid w:val="008B0636"/>
    <w:rsid w:val="008B34F6"/>
    <w:rsid w:val="008B7636"/>
    <w:rsid w:val="008C0AE3"/>
    <w:rsid w:val="008C0FEB"/>
    <w:rsid w:val="008C60EA"/>
    <w:rsid w:val="008D2D62"/>
    <w:rsid w:val="008D30AB"/>
    <w:rsid w:val="008E7B03"/>
    <w:rsid w:val="008F4B7D"/>
    <w:rsid w:val="00906922"/>
    <w:rsid w:val="00910A0A"/>
    <w:rsid w:val="00911387"/>
    <w:rsid w:val="009119F1"/>
    <w:rsid w:val="00916555"/>
    <w:rsid w:val="00921E95"/>
    <w:rsid w:val="00932FC8"/>
    <w:rsid w:val="009334F7"/>
    <w:rsid w:val="00941929"/>
    <w:rsid w:val="00950CC0"/>
    <w:rsid w:val="00952BD2"/>
    <w:rsid w:val="0095352D"/>
    <w:rsid w:val="0096040A"/>
    <w:rsid w:val="00960B1F"/>
    <w:rsid w:val="00974C4D"/>
    <w:rsid w:val="00977AD1"/>
    <w:rsid w:val="00980ECE"/>
    <w:rsid w:val="00981B27"/>
    <w:rsid w:val="00983D7F"/>
    <w:rsid w:val="00984932"/>
    <w:rsid w:val="00986B44"/>
    <w:rsid w:val="009934FC"/>
    <w:rsid w:val="00996C8D"/>
    <w:rsid w:val="00997A2E"/>
    <w:rsid w:val="009A2F31"/>
    <w:rsid w:val="009B0698"/>
    <w:rsid w:val="009B0A8F"/>
    <w:rsid w:val="009B34EC"/>
    <w:rsid w:val="009B7C75"/>
    <w:rsid w:val="009D4F00"/>
    <w:rsid w:val="009E04A5"/>
    <w:rsid w:val="009E0D59"/>
    <w:rsid w:val="009E1B7A"/>
    <w:rsid w:val="009E2920"/>
    <w:rsid w:val="009F0237"/>
    <w:rsid w:val="009F3A49"/>
    <w:rsid w:val="009F68A8"/>
    <w:rsid w:val="00A01BEA"/>
    <w:rsid w:val="00A103C8"/>
    <w:rsid w:val="00A10B1F"/>
    <w:rsid w:val="00A1127A"/>
    <w:rsid w:val="00A2071F"/>
    <w:rsid w:val="00A20D5F"/>
    <w:rsid w:val="00A25CF2"/>
    <w:rsid w:val="00A363F9"/>
    <w:rsid w:val="00A37A69"/>
    <w:rsid w:val="00A37A7B"/>
    <w:rsid w:val="00A418F0"/>
    <w:rsid w:val="00A45BA3"/>
    <w:rsid w:val="00A45E8C"/>
    <w:rsid w:val="00A51360"/>
    <w:rsid w:val="00A5329F"/>
    <w:rsid w:val="00A53FA7"/>
    <w:rsid w:val="00A543EB"/>
    <w:rsid w:val="00A54B05"/>
    <w:rsid w:val="00A571D1"/>
    <w:rsid w:val="00A574F0"/>
    <w:rsid w:val="00A62003"/>
    <w:rsid w:val="00A649C0"/>
    <w:rsid w:val="00A81B3D"/>
    <w:rsid w:val="00A82626"/>
    <w:rsid w:val="00A8633B"/>
    <w:rsid w:val="00A97F97"/>
    <w:rsid w:val="00AA4674"/>
    <w:rsid w:val="00AA647E"/>
    <w:rsid w:val="00AA6ED6"/>
    <w:rsid w:val="00AA6F64"/>
    <w:rsid w:val="00AC291B"/>
    <w:rsid w:val="00AC4F36"/>
    <w:rsid w:val="00AC7841"/>
    <w:rsid w:val="00AD1B60"/>
    <w:rsid w:val="00AD685D"/>
    <w:rsid w:val="00AD6EDB"/>
    <w:rsid w:val="00AE2A87"/>
    <w:rsid w:val="00AF294E"/>
    <w:rsid w:val="00AF62A8"/>
    <w:rsid w:val="00AF7671"/>
    <w:rsid w:val="00B01678"/>
    <w:rsid w:val="00B04365"/>
    <w:rsid w:val="00B04C76"/>
    <w:rsid w:val="00B17AD6"/>
    <w:rsid w:val="00B212D5"/>
    <w:rsid w:val="00B21356"/>
    <w:rsid w:val="00B2762A"/>
    <w:rsid w:val="00B364CC"/>
    <w:rsid w:val="00B376FA"/>
    <w:rsid w:val="00B456EF"/>
    <w:rsid w:val="00B4683B"/>
    <w:rsid w:val="00B540D8"/>
    <w:rsid w:val="00B56D20"/>
    <w:rsid w:val="00B620A6"/>
    <w:rsid w:val="00B6709E"/>
    <w:rsid w:val="00B67BEE"/>
    <w:rsid w:val="00B8159A"/>
    <w:rsid w:val="00B82B23"/>
    <w:rsid w:val="00B9118D"/>
    <w:rsid w:val="00B934F3"/>
    <w:rsid w:val="00B9496A"/>
    <w:rsid w:val="00B97C02"/>
    <w:rsid w:val="00BA0651"/>
    <w:rsid w:val="00BA14FF"/>
    <w:rsid w:val="00BA2266"/>
    <w:rsid w:val="00BA4CCA"/>
    <w:rsid w:val="00BC03A4"/>
    <w:rsid w:val="00BC2C6F"/>
    <w:rsid w:val="00BC49C5"/>
    <w:rsid w:val="00BD35CB"/>
    <w:rsid w:val="00BE4D3C"/>
    <w:rsid w:val="00BE665C"/>
    <w:rsid w:val="00BE7F84"/>
    <w:rsid w:val="00BF086A"/>
    <w:rsid w:val="00BF66D7"/>
    <w:rsid w:val="00C06056"/>
    <w:rsid w:val="00C06BE3"/>
    <w:rsid w:val="00C07925"/>
    <w:rsid w:val="00C07CEB"/>
    <w:rsid w:val="00C1799B"/>
    <w:rsid w:val="00C2071B"/>
    <w:rsid w:val="00C21107"/>
    <w:rsid w:val="00C21CEB"/>
    <w:rsid w:val="00C23A44"/>
    <w:rsid w:val="00C2646F"/>
    <w:rsid w:val="00C32A77"/>
    <w:rsid w:val="00C35AF7"/>
    <w:rsid w:val="00C364EF"/>
    <w:rsid w:val="00C436B3"/>
    <w:rsid w:val="00C447AA"/>
    <w:rsid w:val="00C5626A"/>
    <w:rsid w:val="00C6431E"/>
    <w:rsid w:val="00C66375"/>
    <w:rsid w:val="00C6680E"/>
    <w:rsid w:val="00C72B2B"/>
    <w:rsid w:val="00C8062C"/>
    <w:rsid w:val="00C828EC"/>
    <w:rsid w:val="00C849F7"/>
    <w:rsid w:val="00C878D4"/>
    <w:rsid w:val="00C94746"/>
    <w:rsid w:val="00CB0763"/>
    <w:rsid w:val="00CB17EA"/>
    <w:rsid w:val="00CB38EC"/>
    <w:rsid w:val="00CB5CEA"/>
    <w:rsid w:val="00CB6E47"/>
    <w:rsid w:val="00CC04C6"/>
    <w:rsid w:val="00CC26EE"/>
    <w:rsid w:val="00CD0A05"/>
    <w:rsid w:val="00CD5B0D"/>
    <w:rsid w:val="00CE01B7"/>
    <w:rsid w:val="00CE0B04"/>
    <w:rsid w:val="00CE4541"/>
    <w:rsid w:val="00CE7D5F"/>
    <w:rsid w:val="00CF32AD"/>
    <w:rsid w:val="00CF548A"/>
    <w:rsid w:val="00CF7C37"/>
    <w:rsid w:val="00D03CAB"/>
    <w:rsid w:val="00D06A21"/>
    <w:rsid w:val="00D07ECA"/>
    <w:rsid w:val="00D106D5"/>
    <w:rsid w:val="00D12269"/>
    <w:rsid w:val="00D12FE4"/>
    <w:rsid w:val="00D1554F"/>
    <w:rsid w:val="00D1611B"/>
    <w:rsid w:val="00D16583"/>
    <w:rsid w:val="00D231EB"/>
    <w:rsid w:val="00D24380"/>
    <w:rsid w:val="00D31537"/>
    <w:rsid w:val="00D34D99"/>
    <w:rsid w:val="00D3780B"/>
    <w:rsid w:val="00D47561"/>
    <w:rsid w:val="00D528A8"/>
    <w:rsid w:val="00D54D8A"/>
    <w:rsid w:val="00D576BA"/>
    <w:rsid w:val="00D617DB"/>
    <w:rsid w:val="00D7042B"/>
    <w:rsid w:val="00D70CE7"/>
    <w:rsid w:val="00D71678"/>
    <w:rsid w:val="00D73B52"/>
    <w:rsid w:val="00D75CB7"/>
    <w:rsid w:val="00D7644E"/>
    <w:rsid w:val="00D803A2"/>
    <w:rsid w:val="00D82173"/>
    <w:rsid w:val="00D82E3C"/>
    <w:rsid w:val="00D841D6"/>
    <w:rsid w:val="00D84CF2"/>
    <w:rsid w:val="00D84FB4"/>
    <w:rsid w:val="00DA18D8"/>
    <w:rsid w:val="00DA5F0C"/>
    <w:rsid w:val="00DB2CE0"/>
    <w:rsid w:val="00DB5A6F"/>
    <w:rsid w:val="00DB7655"/>
    <w:rsid w:val="00DC481A"/>
    <w:rsid w:val="00DC7461"/>
    <w:rsid w:val="00DD3832"/>
    <w:rsid w:val="00DD3F2F"/>
    <w:rsid w:val="00DD7780"/>
    <w:rsid w:val="00DF53D0"/>
    <w:rsid w:val="00E00160"/>
    <w:rsid w:val="00E00B3F"/>
    <w:rsid w:val="00E01D66"/>
    <w:rsid w:val="00E04AC7"/>
    <w:rsid w:val="00E04DA8"/>
    <w:rsid w:val="00E07A6C"/>
    <w:rsid w:val="00E13D62"/>
    <w:rsid w:val="00E16068"/>
    <w:rsid w:val="00E201EB"/>
    <w:rsid w:val="00E201F9"/>
    <w:rsid w:val="00E24E7D"/>
    <w:rsid w:val="00E3734C"/>
    <w:rsid w:val="00E468A8"/>
    <w:rsid w:val="00E47A89"/>
    <w:rsid w:val="00E5025A"/>
    <w:rsid w:val="00E514DB"/>
    <w:rsid w:val="00E63419"/>
    <w:rsid w:val="00E63F47"/>
    <w:rsid w:val="00E67E58"/>
    <w:rsid w:val="00E71CE4"/>
    <w:rsid w:val="00E72D5E"/>
    <w:rsid w:val="00E72DD0"/>
    <w:rsid w:val="00E77E58"/>
    <w:rsid w:val="00E82C14"/>
    <w:rsid w:val="00E95FA1"/>
    <w:rsid w:val="00EA1DF1"/>
    <w:rsid w:val="00EA39CC"/>
    <w:rsid w:val="00EA3C2E"/>
    <w:rsid w:val="00EA51BF"/>
    <w:rsid w:val="00EA6434"/>
    <w:rsid w:val="00EC10AE"/>
    <w:rsid w:val="00EC2065"/>
    <w:rsid w:val="00EC38F6"/>
    <w:rsid w:val="00EE176C"/>
    <w:rsid w:val="00EE1FB4"/>
    <w:rsid w:val="00EE5D6D"/>
    <w:rsid w:val="00EE5E70"/>
    <w:rsid w:val="00EE64FB"/>
    <w:rsid w:val="00EF2216"/>
    <w:rsid w:val="00EF28BC"/>
    <w:rsid w:val="00EF5F91"/>
    <w:rsid w:val="00F0046B"/>
    <w:rsid w:val="00F016A8"/>
    <w:rsid w:val="00F10605"/>
    <w:rsid w:val="00F21C7B"/>
    <w:rsid w:val="00F24013"/>
    <w:rsid w:val="00F27B9A"/>
    <w:rsid w:val="00F31023"/>
    <w:rsid w:val="00F33DD7"/>
    <w:rsid w:val="00F40DDB"/>
    <w:rsid w:val="00F42D85"/>
    <w:rsid w:val="00F45224"/>
    <w:rsid w:val="00F50321"/>
    <w:rsid w:val="00F510A4"/>
    <w:rsid w:val="00F53DD9"/>
    <w:rsid w:val="00F5475C"/>
    <w:rsid w:val="00F61FF6"/>
    <w:rsid w:val="00F63845"/>
    <w:rsid w:val="00F71E41"/>
    <w:rsid w:val="00F747A4"/>
    <w:rsid w:val="00F8147F"/>
    <w:rsid w:val="00F82758"/>
    <w:rsid w:val="00F86BF1"/>
    <w:rsid w:val="00F924D5"/>
    <w:rsid w:val="00F94042"/>
    <w:rsid w:val="00F97DBC"/>
    <w:rsid w:val="00FA05F7"/>
    <w:rsid w:val="00FA0B83"/>
    <w:rsid w:val="00FA4D9D"/>
    <w:rsid w:val="00FA5ADA"/>
    <w:rsid w:val="00FB1059"/>
    <w:rsid w:val="00FB26DA"/>
    <w:rsid w:val="00FB32F6"/>
    <w:rsid w:val="00FB389D"/>
    <w:rsid w:val="00FB5E77"/>
    <w:rsid w:val="00FC1554"/>
    <w:rsid w:val="00FC2E27"/>
    <w:rsid w:val="00FE0A15"/>
    <w:rsid w:val="00FE484B"/>
    <w:rsid w:val="00FF49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8FE03-6C38-42AF-B9FB-404CE259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66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09166E"/>
    <w:rPr>
      <w:rFonts w:ascii="Arial" w:hAnsi="Arial" w:cs="Arial"/>
      <w:sz w:val="24"/>
      <w:lang w:val="es-ES_tradnl" w:eastAsia="es-ES"/>
    </w:rPr>
  </w:style>
  <w:style w:type="paragraph" w:styleId="Textoindependiente">
    <w:name w:val="Body Text"/>
    <w:basedOn w:val="Normal"/>
    <w:link w:val="TextoindependienteCar"/>
    <w:rsid w:val="0009166E"/>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09166E"/>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09166E"/>
    <w:pPr>
      <w:tabs>
        <w:tab w:val="center" w:pos="4252"/>
        <w:tab w:val="right" w:pos="8504"/>
      </w:tabs>
    </w:pPr>
  </w:style>
  <w:style w:type="character" w:customStyle="1" w:styleId="PiedepginaCar">
    <w:name w:val="Pie de página Car"/>
    <w:basedOn w:val="Fuentedeprrafopredeter"/>
    <w:link w:val="Piedepgina"/>
    <w:uiPriority w:val="99"/>
    <w:rsid w:val="0009166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09166E"/>
  </w:style>
  <w:style w:type="paragraph" w:customStyle="1" w:styleId="Prrafodelista2">
    <w:name w:val="Párrafo de lista2"/>
    <w:basedOn w:val="Normal"/>
    <w:rsid w:val="0009166E"/>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09166E"/>
    <w:pPr>
      <w:spacing w:after="0" w:line="240" w:lineRule="auto"/>
    </w:pPr>
    <w:rPr>
      <w:lang w:val="es-ES_tradnl"/>
    </w:rPr>
  </w:style>
  <w:style w:type="paragraph" w:styleId="Encabezado">
    <w:name w:val="header"/>
    <w:basedOn w:val="Normal"/>
    <w:link w:val="EncabezadoCar"/>
    <w:uiPriority w:val="99"/>
    <w:unhideWhenUsed/>
    <w:rsid w:val="0009166E"/>
    <w:pPr>
      <w:tabs>
        <w:tab w:val="center" w:pos="4419"/>
        <w:tab w:val="right" w:pos="8838"/>
      </w:tabs>
    </w:pPr>
  </w:style>
  <w:style w:type="character" w:customStyle="1" w:styleId="EncabezadoCar">
    <w:name w:val="Encabezado Car"/>
    <w:basedOn w:val="Fuentedeprrafopredeter"/>
    <w:link w:val="Encabezado"/>
    <w:uiPriority w:val="99"/>
    <w:rsid w:val="0009166E"/>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09166E"/>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09166E"/>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09166E"/>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09166E"/>
    <w:rPr>
      <w:vertAlign w:val="superscript"/>
    </w:rPr>
  </w:style>
  <w:style w:type="paragraph" w:styleId="Subttulo">
    <w:name w:val="Subtitle"/>
    <w:basedOn w:val="Normal"/>
    <w:next w:val="Normal"/>
    <w:link w:val="SubttuloCar"/>
    <w:uiPriority w:val="11"/>
    <w:qFormat/>
    <w:rsid w:val="006467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467CE"/>
    <w:rPr>
      <w:rFonts w:eastAsiaTheme="minorEastAsia"/>
      <w:color w:val="5A5A5A" w:themeColor="text1" w:themeTint="A5"/>
      <w:spacing w:val="15"/>
      <w:lang w:val="es-ES_tradnl" w:eastAsia="es-ES"/>
    </w:rPr>
  </w:style>
  <w:style w:type="paragraph" w:styleId="Puesto">
    <w:name w:val="Title"/>
    <w:basedOn w:val="Normal"/>
    <w:next w:val="Normal"/>
    <w:link w:val="PuestoCar"/>
    <w:uiPriority w:val="10"/>
    <w:qFormat/>
    <w:rsid w:val="006467C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467CE"/>
    <w:rPr>
      <w:rFonts w:asciiTheme="majorHAnsi" w:eastAsiaTheme="majorEastAsia" w:hAnsiTheme="majorHAnsi" w:cstheme="majorBidi"/>
      <w:spacing w:val="-10"/>
      <w:kern w:val="28"/>
      <w:sz w:val="56"/>
      <w:szCs w:val="56"/>
      <w:lang w:val="es-ES_tradnl" w:eastAsia="es-ES"/>
    </w:rPr>
  </w:style>
  <w:style w:type="paragraph" w:styleId="Textodeglobo">
    <w:name w:val="Balloon Text"/>
    <w:basedOn w:val="Normal"/>
    <w:link w:val="TextodegloboCar"/>
    <w:uiPriority w:val="99"/>
    <w:semiHidden/>
    <w:unhideWhenUsed/>
    <w:rsid w:val="00670F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0F1F"/>
    <w:rPr>
      <w:rFonts w:ascii="Segoe UI" w:eastAsia="Times New Roman" w:hAnsi="Segoe UI" w:cs="Segoe UI"/>
      <w:sz w:val="18"/>
      <w:szCs w:val="18"/>
      <w:lang w:val="es-ES_tradnl" w:eastAsia="es-ES"/>
    </w:rPr>
  </w:style>
  <w:style w:type="character" w:styleId="Hipervnculo">
    <w:name w:val="Hyperlink"/>
    <w:basedOn w:val="Fuentedeprrafopredeter"/>
    <w:uiPriority w:val="99"/>
    <w:semiHidden/>
    <w:unhideWhenUsed/>
    <w:rsid w:val="00883196"/>
    <w:rPr>
      <w:color w:val="0000FF"/>
      <w:u w:val="single"/>
    </w:rPr>
  </w:style>
  <w:style w:type="character" w:customStyle="1" w:styleId="iaj">
    <w:name w:val="i_aj"/>
    <w:basedOn w:val="Fuentedeprrafopredeter"/>
    <w:rsid w:val="00F50321"/>
  </w:style>
  <w:style w:type="paragraph" w:styleId="NormalWeb">
    <w:name w:val="Normal (Web)"/>
    <w:basedOn w:val="Normal"/>
    <w:uiPriority w:val="99"/>
    <w:unhideWhenUsed/>
    <w:rsid w:val="002C145E"/>
    <w:pPr>
      <w:spacing w:before="100" w:beforeAutospacing="1" w:after="100" w:afterAutospacing="1"/>
    </w:pPr>
    <w:rPr>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13273">
      <w:bodyDiv w:val="1"/>
      <w:marLeft w:val="0"/>
      <w:marRight w:val="0"/>
      <w:marTop w:val="0"/>
      <w:marBottom w:val="0"/>
      <w:divBdr>
        <w:top w:val="none" w:sz="0" w:space="0" w:color="auto"/>
        <w:left w:val="none" w:sz="0" w:space="0" w:color="auto"/>
        <w:bottom w:val="none" w:sz="0" w:space="0" w:color="auto"/>
        <w:right w:val="none" w:sz="0" w:space="0" w:color="auto"/>
      </w:divBdr>
    </w:div>
    <w:div w:id="573663341">
      <w:bodyDiv w:val="1"/>
      <w:marLeft w:val="0"/>
      <w:marRight w:val="0"/>
      <w:marTop w:val="0"/>
      <w:marBottom w:val="0"/>
      <w:divBdr>
        <w:top w:val="none" w:sz="0" w:space="0" w:color="auto"/>
        <w:left w:val="none" w:sz="0" w:space="0" w:color="auto"/>
        <w:bottom w:val="none" w:sz="0" w:space="0" w:color="auto"/>
        <w:right w:val="none" w:sz="0" w:space="0" w:color="auto"/>
      </w:divBdr>
    </w:div>
    <w:div w:id="19440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B4608-15F3-4DE4-B162-7580FEF7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1853</Words>
  <Characters>10192</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8</cp:revision>
  <cp:lastPrinted>2019-07-09T19:14:00Z</cp:lastPrinted>
  <dcterms:created xsi:type="dcterms:W3CDTF">2019-07-16T13:31:00Z</dcterms:created>
  <dcterms:modified xsi:type="dcterms:W3CDTF">2019-08-29T14:54:00Z</dcterms:modified>
</cp:coreProperties>
</file>