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EFB0" w14:textId="77777777" w:rsidR="00BD5769" w:rsidRPr="00BD5769" w:rsidRDefault="00BD5769" w:rsidP="00BD576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D576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9B10C0" w14:textId="77777777" w:rsidR="00BD5769" w:rsidRPr="00BD5769" w:rsidRDefault="00BD5769" w:rsidP="00BD5769">
      <w:pPr>
        <w:jc w:val="both"/>
        <w:rPr>
          <w:rFonts w:ascii="Arial" w:hAnsi="Arial" w:cs="Arial"/>
          <w:sz w:val="20"/>
          <w:lang w:val="es-419"/>
        </w:rPr>
      </w:pPr>
    </w:p>
    <w:p w14:paraId="0C5CF4D8" w14:textId="2ABC0B64" w:rsidR="00BD5769" w:rsidRPr="00BD5769" w:rsidRDefault="00BD5769" w:rsidP="00BD5769">
      <w:pPr>
        <w:jc w:val="both"/>
        <w:rPr>
          <w:rFonts w:ascii="Arial" w:hAnsi="Arial" w:cs="Arial"/>
          <w:sz w:val="20"/>
          <w:lang w:val="es-419"/>
        </w:rPr>
      </w:pPr>
      <w:r w:rsidRPr="00BD5769">
        <w:rPr>
          <w:rFonts w:ascii="Arial" w:hAnsi="Arial" w:cs="Arial"/>
          <w:sz w:val="20"/>
          <w:lang w:val="es-419"/>
        </w:rPr>
        <w:t>Providencia:</w:t>
      </w:r>
      <w:r w:rsidRPr="00BD5769">
        <w:rPr>
          <w:rFonts w:ascii="Arial" w:hAnsi="Arial" w:cs="Arial"/>
          <w:sz w:val="20"/>
          <w:lang w:val="es-419"/>
        </w:rPr>
        <w:tab/>
      </w:r>
      <w:r w:rsidRPr="00BD5769">
        <w:rPr>
          <w:rFonts w:ascii="Arial" w:hAnsi="Arial" w:cs="Arial"/>
          <w:sz w:val="20"/>
          <w:lang w:val="es-419"/>
        </w:rPr>
        <w:tab/>
      </w:r>
      <w:r w:rsidR="004430DF">
        <w:rPr>
          <w:rFonts w:ascii="Arial" w:hAnsi="Arial" w:cs="Arial"/>
          <w:sz w:val="20"/>
          <w:lang w:val="es-419"/>
        </w:rPr>
        <w:t>Apelación sentencia</w:t>
      </w:r>
    </w:p>
    <w:p w14:paraId="6529C574" w14:textId="77777777" w:rsidR="00BD5769" w:rsidRPr="00BD5769" w:rsidRDefault="00BD5769" w:rsidP="00BD5769">
      <w:pPr>
        <w:jc w:val="both"/>
        <w:rPr>
          <w:rFonts w:ascii="Arial" w:hAnsi="Arial" w:cs="Arial"/>
          <w:sz w:val="20"/>
          <w:lang w:val="es-419"/>
        </w:rPr>
      </w:pPr>
      <w:r w:rsidRPr="00BD5769">
        <w:rPr>
          <w:rFonts w:ascii="Arial" w:hAnsi="Arial" w:cs="Arial"/>
          <w:sz w:val="20"/>
          <w:lang w:val="es-419"/>
        </w:rPr>
        <w:t>Proceso:</w:t>
      </w:r>
      <w:r w:rsidRPr="00BD5769">
        <w:rPr>
          <w:rFonts w:ascii="Arial" w:hAnsi="Arial" w:cs="Arial"/>
          <w:sz w:val="20"/>
          <w:lang w:val="es-419"/>
        </w:rPr>
        <w:tab/>
      </w:r>
      <w:r w:rsidRPr="00BD5769">
        <w:rPr>
          <w:rFonts w:ascii="Arial" w:hAnsi="Arial" w:cs="Arial"/>
          <w:sz w:val="20"/>
          <w:lang w:val="es-419"/>
        </w:rPr>
        <w:tab/>
        <w:t xml:space="preserve">Ordinario Laboral </w:t>
      </w:r>
    </w:p>
    <w:p w14:paraId="0E88DBD2" w14:textId="77777777" w:rsidR="00BD5769" w:rsidRPr="00BD5769" w:rsidRDefault="00BD5769" w:rsidP="00BD5769">
      <w:pPr>
        <w:jc w:val="both"/>
        <w:rPr>
          <w:rFonts w:ascii="Arial" w:hAnsi="Arial" w:cs="Arial"/>
          <w:sz w:val="20"/>
          <w:lang w:val="es-419"/>
        </w:rPr>
      </w:pPr>
      <w:r w:rsidRPr="00BD5769">
        <w:rPr>
          <w:rFonts w:ascii="Arial" w:hAnsi="Arial" w:cs="Arial"/>
          <w:sz w:val="20"/>
          <w:lang w:val="es-419"/>
        </w:rPr>
        <w:t>Radicación No:</w:t>
      </w:r>
      <w:r w:rsidRPr="00BD5769">
        <w:rPr>
          <w:rFonts w:ascii="Arial" w:hAnsi="Arial" w:cs="Arial"/>
          <w:sz w:val="20"/>
          <w:lang w:val="es-419"/>
        </w:rPr>
        <w:tab/>
      </w:r>
      <w:r w:rsidRPr="00BD5769">
        <w:rPr>
          <w:rFonts w:ascii="Arial" w:hAnsi="Arial" w:cs="Arial"/>
          <w:sz w:val="20"/>
          <w:lang w:val="es-419"/>
        </w:rPr>
        <w:tab/>
        <w:t>66001-31-05-001-2017-00155-01</w:t>
      </w:r>
    </w:p>
    <w:p w14:paraId="3365B140" w14:textId="5625ED3D" w:rsidR="00BD5769" w:rsidRPr="00BD5769" w:rsidRDefault="00BD5769" w:rsidP="00BD5769">
      <w:pPr>
        <w:jc w:val="both"/>
        <w:rPr>
          <w:rFonts w:ascii="Arial" w:hAnsi="Arial" w:cs="Arial"/>
          <w:sz w:val="20"/>
          <w:lang w:val="es-419"/>
        </w:rPr>
      </w:pPr>
      <w:r>
        <w:rPr>
          <w:rFonts w:ascii="Arial" w:hAnsi="Arial" w:cs="Arial"/>
          <w:sz w:val="20"/>
          <w:lang w:val="es-419"/>
        </w:rPr>
        <w:t>Demandante:</w:t>
      </w:r>
      <w:r>
        <w:rPr>
          <w:rFonts w:ascii="Arial" w:hAnsi="Arial" w:cs="Arial"/>
          <w:sz w:val="20"/>
          <w:lang w:val="es-419"/>
        </w:rPr>
        <w:tab/>
      </w:r>
      <w:r>
        <w:rPr>
          <w:rFonts w:ascii="Arial" w:hAnsi="Arial" w:cs="Arial"/>
          <w:sz w:val="20"/>
          <w:lang w:val="es-419"/>
        </w:rPr>
        <w:tab/>
      </w:r>
      <w:r w:rsidRPr="00BD5769">
        <w:rPr>
          <w:rFonts w:ascii="Arial" w:hAnsi="Arial" w:cs="Arial"/>
          <w:sz w:val="20"/>
          <w:lang w:val="es-419"/>
        </w:rPr>
        <w:t xml:space="preserve">José Antonio Montoya Gómez </w:t>
      </w:r>
    </w:p>
    <w:p w14:paraId="5F4DB34C" w14:textId="77777777" w:rsidR="00BD5769" w:rsidRPr="00BD5769" w:rsidRDefault="00BD5769" w:rsidP="00BD5769">
      <w:pPr>
        <w:jc w:val="both"/>
        <w:rPr>
          <w:rFonts w:ascii="Arial" w:hAnsi="Arial" w:cs="Arial"/>
          <w:sz w:val="20"/>
          <w:lang w:val="es-419"/>
        </w:rPr>
      </w:pPr>
      <w:r w:rsidRPr="00BD5769">
        <w:rPr>
          <w:rFonts w:ascii="Arial" w:hAnsi="Arial" w:cs="Arial"/>
          <w:sz w:val="20"/>
          <w:lang w:val="es-419"/>
        </w:rPr>
        <w:t>Demandado:</w:t>
      </w:r>
      <w:r w:rsidRPr="00BD5769">
        <w:rPr>
          <w:rFonts w:ascii="Arial" w:hAnsi="Arial" w:cs="Arial"/>
          <w:sz w:val="20"/>
          <w:lang w:val="es-419"/>
        </w:rPr>
        <w:tab/>
      </w:r>
      <w:r w:rsidRPr="00BD5769">
        <w:rPr>
          <w:rFonts w:ascii="Arial" w:hAnsi="Arial" w:cs="Arial"/>
          <w:sz w:val="20"/>
          <w:lang w:val="es-419"/>
        </w:rPr>
        <w:tab/>
        <w:t>Colpensiones</w:t>
      </w:r>
    </w:p>
    <w:p w14:paraId="390D6C53" w14:textId="77777777" w:rsidR="00BD5769" w:rsidRPr="00BD5769" w:rsidRDefault="00BD5769" w:rsidP="00BD5769">
      <w:pPr>
        <w:jc w:val="both"/>
        <w:rPr>
          <w:rFonts w:ascii="Arial" w:hAnsi="Arial" w:cs="Arial"/>
          <w:sz w:val="20"/>
          <w:lang w:val="es-419"/>
        </w:rPr>
      </w:pPr>
    </w:p>
    <w:p w14:paraId="53018E3C" w14:textId="43108F93" w:rsidR="00BD5769" w:rsidRPr="00BD5769" w:rsidRDefault="00BD5769" w:rsidP="00BD5769">
      <w:pPr>
        <w:jc w:val="both"/>
        <w:rPr>
          <w:rFonts w:ascii="Arial" w:hAnsi="Arial" w:cs="Arial"/>
          <w:b/>
          <w:bCs/>
          <w:iCs/>
          <w:sz w:val="20"/>
          <w:lang w:val="es-419" w:eastAsia="fr-FR"/>
        </w:rPr>
      </w:pPr>
      <w:r w:rsidRPr="00BD5769">
        <w:rPr>
          <w:rFonts w:ascii="Arial" w:hAnsi="Arial" w:cs="Arial"/>
          <w:b/>
          <w:bCs/>
          <w:iCs/>
          <w:sz w:val="20"/>
          <w:u w:val="single"/>
          <w:lang w:val="es-419" w:eastAsia="fr-FR"/>
        </w:rPr>
        <w:t>TEMAS:</w:t>
      </w:r>
      <w:r w:rsidRPr="00BD5769">
        <w:rPr>
          <w:rFonts w:ascii="Arial" w:hAnsi="Arial" w:cs="Arial"/>
          <w:b/>
          <w:bCs/>
          <w:iCs/>
          <w:sz w:val="20"/>
          <w:lang w:val="es-419" w:eastAsia="fr-FR"/>
        </w:rPr>
        <w:tab/>
      </w:r>
      <w:r w:rsidR="004430DF" w:rsidRPr="004430DF">
        <w:rPr>
          <w:rFonts w:ascii="Arial" w:hAnsi="Arial" w:cs="Arial"/>
          <w:b/>
          <w:sz w:val="20"/>
          <w:lang w:val="es-419"/>
        </w:rPr>
        <w:t xml:space="preserve">PENSIÓN DE INVALIDEZ / CONDICIÓN MÁS BENEFICIOSA / APLICA RESPECTO DE LA NORMA </w:t>
      </w:r>
      <w:r w:rsidR="004430DF">
        <w:rPr>
          <w:rFonts w:ascii="Arial" w:hAnsi="Arial" w:cs="Arial"/>
          <w:b/>
          <w:sz w:val="20"/>
          <w:lang w:val="es-CO"/>
        </w:rPr>
        <w:t xml:space="preserve">INMEDIATAMENTE </w:t>
      </w:r>
      <w:r w:rsidR="004430DF" w:rsidRPr="004430DF">
        <w:rPr>
          <w:rFonts w:ascii="Arial" w:hAnsi="Arial" w:cs="Arial"/>
          <w:b/>
          <w:sz w:val="20"/>
          <w:lang w:val="es-419"/>
        </w:rPr>
        <w:t>ANTERIOR A LA VIGENTE EN EL MOMENTO EN QUE SE ESTRUCTURÓ EL DERECHO / VALOR NORMATIVO DE LA JURISPRUDENCIA DE LA CORTE SUPREMA DE JUSTICIA.</w:t>
      </w:r>
    </w:p>
    <w:p w14:paraId="7DBA64B7" w14:textId="77777777" w:rsidR="00BD5769" w:rsidRPr="00BD5769" w:rsidRDefault="00BD5769" w:rsidP="00BD5769">
      <w:pPr>
        <w:jc w:val="both"/>
        <w:rPr>
          <w:rFonts w:ascii="Arial" w:hAnsi="Arial" w:cs="Arial"/>
          <w:sz w:val="20"/>
          <w:lang w:val="es-419"/>
        </w:rPr>
      </w:pPr>
    </w:p>
    <w:p w14:paraId="49170CE8" w14:textId="77777777" w:rsidR="00883DF2" w:rsidRPr="00883DF2" w:rsidRDefault="00883DF2" w:rsidP="00883DF2">
      <w:pPr>
        <w:jc w:val="both"/>
        <w:rPr>
          <w:rFonts w:ascii="Arial" w:hAnsi="Arial" w:cs="Arial"/>
          <w:sz w:val="20"/>
          <w:lang w:val="es-419"/>
        </w:rPr>
      </w:pPr>
      <w:r w:rsidRPr="00883DF2">
        <w:rPr>
          <w:rFonts w:ascii="Arial" w:hAnsi="Arial" w:cs="Arial"/>
          <w:sz w:val="20"/>
          <w:lang w:val="es-419"/>
        </w:rPr>
        <w:t>Bien es sabido que la norma que regula la gracia pensional en cualquiera de sus riesgos IVM es la vigente al momento de su causación.</w:t>
      </w:r>
    </w:p>
    <w:p w14:paraId="1457091C" w14:textId="77777777" w:rsidR="00883DF2" w:rsidRPr="00883DF2" w:rsidRDefault="00883DF2" w:rsidP="00883DF2">
      <w:pPr>
        <w:jc w:val="both"/>
        <w:rPr>
          <w:rFonts w:ascii="Arial" w:hAnsi="Arial" w:cs="Arial"/>
          <w:sz w:val="20"/>
          <w:lang w:val="es-419"/>
        </w:rPr>
      </w:pPr>
    </w:p>
    <w:p w14:paraId="6A052F11" w14:textId="6B5D7770" w:rsidR="00883DF2" w:rsidRPr="00883DF2" w:rsidRDefault="00883DF2" w:rsidP="00883DF2">
      <w:pPr>
        <w:jc w:val="both"/>
        <w:rPr>
          <w:rFonts w:ascii="Arial" w:hAnsi="Arial" w:cs="Arial"/>
          <w:sz w:val="20"/>
          <w:lang w:val="es-419"/>
        </w:rPr>
      </w:pPr>
      <w:r w:rsidRPr="00883DF2">
        <w:rPr>
          <w:rFonts w:ascii="Arial" w:hAnsi="Arial" w:cs="Arial"/>
          <w:sz w:val="20"/>
          <w:lang w:val="es-419"/>
        </w:rPr>
        <w:t>Así las cosas, dada la fecha de la estructuración de la invalidez del actor, 23-01-2014, la norma vigente y que gobierna la pensión de invalidez son los artículos 38 y 39 de la Ley 100 de 1993 modificados por el canon 1º de la Ley 860 de 2003; por lo que excluyendo el requisito de fidelidad al sistema, que fue declarado inexequible mediante sentencia C-428 de 2009, los requisitos que debe cumplir para causar tal gracia pensional son: a) tener una PCL del 50% o superior y b) cotizar por lo menos 50 semanas dentro de los tres años inmediatamente anteriores a la estructuración de su estado de invalidez.</w:t>
      </w:r>
    </w:p>
    <w:p w14:paraId="63EB8C58" w14:textId="77777777" w:rsidR="00883DF2" w:rsidRPr="00883DF2" w:rsidRDefault="00883DF2" w:rsidP="00883DF2">
      <w:pPr>
        <w:jc w:val="both"/>
        <w:rPr>
          <w:rFonts w:ascii="Arial" w:hAnsi="Arial" w:cs="Arial"/>
          <w:sz w:val="20"/>
          <w:lang w:val="es-419"/>
        </w:rPr>
      </w:pPr>
      <w:r w:rsidRPr="00883DF2">
        <w:rPr>
          <w:rFonts w:ascii="Arial" w:hAnsi="Arial" w:cs="Arial"/>
          <w:sz w:val="20"/>
          <w:lang w:val="es-419"/>
        </w:rPr>
        <w:t xml:space="preserve"> </w:t>
      </w:r>
    </w:p>
    <w:p w14:paraId="72B6C746" w14:textId="041ED90C" w:rsidR="00BD5769" w:rsidRPr="00883DF2" w:rsidRDefault="00883DF2" w:rsidP="00883DF2">
      <w:pPr>
        <w:jc w:val="both"/>
        <w:rPr>
          <w:rFonts w:ascii="Arial" w:hAnsi="Arial" w:cs="Arial"/>
          <w:sz w:val="20"/>
          <w:lang w:val="es-CO"/>
        </w:rPr>
      </w:pPr>
      <w:r w:rsidRPr="00883DF2">
        <w:rPr>
          <w:rFonts w:ascii="Arial" w:hAnsi="Arial" w:cs="Arial"/>
          <w:sz w:val="20"/>
          <w:lang w:val="es-419"/>
        </w:rPr>
        <w:t xml:space="preserve">Exigencias que el señor José Antonio Montoya </w:t>
      </w:r>
      <w:r>
        <w:rPr>
          <w:rFonts w:ascii="Arial" w:hAnsi="Arial" w:cs="Arial"/>
          <w:sz w:val="20"/>
          <w:lang w:val="es-419"/>
        </w:rPr>
        <w:t>Gómez  no reúne en su totalidad…</w:t>
      </w:r>
    </w:p>
    <w:p w14:paraId="6907BFF0" w14:textId="77777777" w:rsidR="00BD5769" w:rsidRPr="00BD5769" w:rsidRDefault="00BD5769" w:rsidP="00BD5769">
      <w:pPr>
        <w:jc w:val="both"/>
        <w:rPr>
          <w:rFonts w:ascii="Arial" w:hAnsi="Arial" w:cs="Arial"/>
          <w:sz w:val="20"/>
          <w:lang w:val="es-419"/>
        </w:rPr>
      </w:pPr>
    </w:p>
    <w:p w14:paraId="043E62C6" w14:textId="2F7D128B" w:rsidR="00DE638B" w:rsidRPr="00DE638B" w:rsidRDefault="00DE638B" w:rsidP="00DE638B">
      <w:pPr>
        <w:jc w:val="both"/>
        <w:rPr>
          <w:rFonts w:ascii="Arial" w:hAnsi="Arial" w:cs="Arial"/>
          <w:sz w:val="20"/>
          <w:lang w:val="es-419"/>
        </w:rPr>
      </w:pPr>
      <w:r w:rsidRPr="00DE638B">
        <w:rPr>
          <w:rFonts w:ascii="Arial" w:hAnsi="Arial" w:cs="Arial"/>
          <w:sz w:val="20"/>
          <w:lang w:val="es-419"/>
        </w:rPr>
        <w:t>Ahora, en lo que respecta a la aplicación de este principio</w:t>
      </w:r>
      <w:r>
        <w:rPr>
          <w:rFonts w:ascii="Arial" w:hAnsi="Arial" w:cs="Arial"/>
          <w:sz w:val="20"/>
          <w:lang w:val="es-CO"/>
        </w:rPr>
        <w:t xml:space="preserve"> (el de la condición más beneficiosa)</w:t>
      </w:r>
      <w:r w:rsidRPr="00DE638B">
        <w:rPr>
          <w:rFonts w:ascii="Arial" w:hAnsi="Arial" w:cs="Arial"/>
          <w:sz w:val="20"/>
          <w:lang w:val="es-419"/>
        </w:rPr>
        <w:t>, con el propósito de acudirse al A-049/1990, ha de decirse que este, según la línea constante del órgano</w:t>
      </w:r>
      <w:r>
        <w:rPr>
          <w:rFonts w:ascii="Arial" w:hAnsi="Arial" w:cs="Arial"/>
          <w:sz w:val="20"/>
          <w:lang w:val="es-419"/>
        </w:rPr>
        <w:t xml:space="preserve"> de cierre de esta especialidad</w:t>
      </w:r>
      <w:r w:rsidRPr="00DE638B">
        <w:rPr>
          <w:rFonts w:ascii="Arial" w:hAnsi="Arial" w:cs="Arial"/>
          <w:sz w:val="20"/>
          <w:lang w:val="es-419"/>
        </w:rPr>
        <w:t xml:space="preserve">,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p>
    <w:p w14:paraId="685FF821" w14:textId="77777777" w:rsidR="00DE638B" w:rsidRPr="00DE638B" w:rsidRDefault="00DE638B" w:rsidP="00DE638B">
      <w:pPr>
        <w:jc w:val="both"/>
        <w:rPr>
          <w:rFonts w:ascii="Arial" w:hAnsi="Arial" w:cs="Arial"/>
          <w:sz w:val="20"/>
          <w:lang w:val="es-419"/>
        </w:rPr>
      </w:pPr>
    </w:p>
    <w:p w14:paraId="695B4F99" w14:textId="6EA73658" w:rsidR="00BD5769" w:rsidRDefault="00DE638B" w:rsidP="00DE638B">
      <w:pPr>
        <w:jc w:val="both"/>
        <w:rPr>
          <w:rFonts w:ascii="Arial" w:hAnsi="Arial" w:cs="Arial"/>
          <w:sz w:val="20"/>
          <w:lang w:val="es-CO"/>
        </w:rPr>
      </w:pPr>
      <w:r w:rsidRPr="00DE638B">
        <w:rPr>
          <w:rFonts w:ascii="Arial" w:hAnsi="Arial" w:cs="Arial"/>
          <w:sz w:val="20"/>
          <w:lang w:val="es-419"/>
        </w:rPr>
        <w:t>Línea que debe acatarse al ser el órgano de cierre de esta especialidad, dado su  valor normativo, que inclusive ha reconocido su homóloga constitucional en sentencia C-836-01, al expresar que las decisiones adoptadas por la primera deben ser atendidas por todos los jueces que conforman esa jurisdicción, sin que puedan apartarse de ellas a su arbitrio, pues ello solo es posible bajo un sólido argumento justificativo.</w:t>
      </w:r>
      <w:r w:rsidR="00CC63AE">
        <w:rPr>
          <w:rFonts w:ascii="Arial" w:hAnsi="Arial" w:cs="Arial"/>
          <w:sz w:val="20"/>
          <w:lang w:val="es-CO"/>
        </w:rPr>
        <w:t xml:space="preserve"> (…)</w:t>
      </w:r>
    </w:p>
    <w:p w14:paraId="646AC227" w14:textId="77777777" w:rsidR="00CC63AE" w:rsidRDefault="00CC63AE" w:rsidP="00DE638B">
      <w:pPr>
        <w:jc w:val="both"/>
        <w:rPr>
          <w:rFonts w:ascii="Arial" w:hAnsi="Arial" w:cs="Arial"/>
          <w:sz w:val="20"/>
          <w:lang w:val="es-CO"/>
        </w:rPr>
      </w:pPr>
    </w:p>
    <w:p w14:paraId="5D4AC922" w14:textId="692C3873" w:rsidR="00BD5769" w:rsidRDefault="00CC63AE" w:rsidP="00BD5769">
      <w:pPr>
        <w:jc w:val="both"/>
        <w:rPr>
          <w:rFonts w:ascii="Arial" w:hAnsi="Arial" w:cs="Arial"/>
          <w:sz w:val="20"/>
          <w:lang w:val="es-CO"/>
        </w:rPr>
      </w:pPr>
      <w:r w:rsidRPr="00CC63AE">
        <w:rPr>
          <w:rFonts w:ascii="Arial" w:hAnsi="Arial" w:cs="Arial"/>
          <w:sz w:val="20"/>
          <w:lang w:val="es-CO"/>
        </w:rPr>
        <w:t>Ahora, frente a las sentencias de tutela proferidas por el Tribunal Constitucional, no existe duda que las mismas producen efectos inter partes;</w:t>
      </w:r>
      <w:r w:rsidR="004430DF">
        <w:rPr>
          <w:rFonts w:ascii="Arial" w:hAnsi="Arial" w:cs="Arial"/>
          <w:sz w:val="20"/>
          <w:lang w:val="es-CO"/>
        </w:rPr>
        <w:t xml:space="preserve"> </w:t>
      </w:r>
      <w:r w:rsidRPr="00CC63AE">
        <w:rPr>
          <w:rFonts w:ascii="Arial" w:hAnsi="Arial" w:cs="Arial"/>
          <w:sz w:val="20"/>
          <w:lang w:val="es-CO"/>
        </w:rPr>
        <w:t>incluso las de unificación, por lo que las reglas o subreglas que se fijan en ellas, sirven de criterio orientador para la resolución de otros asuntos en esa esfera constitucional, pero no en la ordinaria.</w:t>
      </w:r>
    </w:p>
    <w:p w14:paraId="122D0AF4" w14:textId="77777777" w:rsidR="008275D7" w:rsidRDefault="008275D7" w:rsidP="00BD5769">
      <w:pPr>
        <w:jc w:val="both"/>
        <w:rPr>
          <w:rFonts w:ascii="Arial" w:hAnsi="Arial" w:cs="Arial"/>
          <w:sz w:val="20"/>
          <w:lang w:val="es-CO"/>
        </w:rPr>
      </w:pPr>
    </w:p>
    <w:p w14:paraId="6509DAF3" w14:textId="2D717E7D" w:rsidR="008275D7" w:rsidRPr="008275D7" w:rsidRDefault="008275D7" w:rsidP="00BD5769">
      <w:pPr>
        <w:jc w:val="both"/>
        <w:rPr>
          <w:rFonts w:ascii="Arial" w:hAnsi="Arial" w:cs="Arial"/>
          <w:b/>
          <w:color w:val="FF0000"/>
          <w:sz w:val="20"/>
          <w:lang w:val="es-CO"/>
        </w:rPr>
      </w:pPr>
      <w:r w:rsidRPr="008275D7">
        <w:rPr>
          <w:rFonts w:ascii="Arial" w:hAnsi="Arial" w:cs="Arial"/>
          <w:b/>
          <w:color w:val="FF0000"/>
          <w:sz w:val="20"/>
          <w:lang w:val="es-CO"/>
        </w:rPr>
        <w:t>SALVAMENTO DEVOTO: DOCTORA ANA LUCÍA CAICEDO CALDERÓN</w:t>
      </w:r>
    </w:p>
    <w:p w14:paraId="760E5939" w14:textId="77777777" w:rsidR="008275D7" w:rsidRDefault="008275D7" w:rsidP="00BD5769">
      <w:pPr>
        <w:jc w:val="both"/>
        <w:rPr>
          <w:rFonts w:ascii="Arial" w:hAnsi="Arial" w:cs="Arial"/>
          <w:sz w:val="20"/>
          <w:lang w:val="es-CO"/>
        </w:rPr>
      </w:pPr>
    </w:p>
    <w:p w14:paraId="4D1C676A" w14:textId="121B061C" w:rsidR="008275D7" w:rsidRPr="008275D7" w:rsidRDefault="008275D7" w:rsidP="008275D7">
      <w:pPr>
        <w:jc w:val="both"/>
        <w:rPr>
          <w:rFonts w:ascii="Arial" w:hAnsi="Arial" w:cs="Arial"/>
          <w:sz w:val="20"/>
          <w:lang w:val="es-ES"/>
        </w:rPr>
      </w:pPr>
      <w:r>
        <w:rPr>
          <w:rFonts w:ascii="Arial" w:hAnsi="Arial" w:cs="Arial"/>
          <w:sz w:val="20"/>
          <w:lang w:val="es-ES"/>
        </w:rPr>
        <w:t xml:space="preserve">… </w:t>
      </w:r>
      <w:r w:rsidRPr="008275D7">
        <w:rPr>
          <w:rFonts w:ascii="Arial" w:hAnsi="Arial" w:cs="Arial"/>
          <w:sz w:val="20"/>
          <w:lang w:val="es-ES"/>
        </w:rPr>
        <w:t xml:space="preserve">la normativa llamada a gobernar el asunto, que en un comienzo sería la Ley 860 de 2003, habida cuenta de que el riesgo se generó al estructurarse el hecho incapacitante en 2014, no prohijaría el asunto, así como tampoco, el original artículo 39 de la Ley 100 de 1993, que la modificó, en la medida en que, por un lado el asegurado no alcanzó a colmar 50 semanas de aportes, dentro de los tres (3) años que precediera a tal estructuración; y por el otro, tampoco sufragó 26 semanas en último año, amén que su última cotización al sistema data del 31 de enero de 2012, y la estructuración de su estado invalidante no ocurrió entre el 26 de diciembre de 2003 y ese mismo día y mes del 2006. </w:t>
      </w:r>
    </w:p>
    <w:p w14:paraId="55B8362E" w14:textId="77777777" w:rsidR="008275D7" w:rsidRPr="008275D7" w:rsidRDefault="008275D7" w:rsidP="008275D7">
      <w:pPr>
        <w:jc w:val="both"/>
        <w:rPr>
          <w:rFonts w:ascii="Arial" w:hAnsi="Arial" w:cs="Arial"/>
          <w:sz w:val="20"/>
          <w:lang w:val="es-ES"/>
        </w:rPr>
      </w:pPr>
    </w:p>
    <w:p w14:paraId="1F81DB6A" w14:textId="4387D092" w:rsidR="008275D7" w:rsidRDefault="008275D7" w:rsidP="008275D7">
      <w:pPr>
        <w:jc w:val="both"/>
        <w:rPr>
          <w:rFonts w:ascii="Arial" w:hAnsi="Arial" w:cs="Arial"/>
          <w:sz w:val="20"/>
          <w:lang w:val="es-ES"/>
        </w:rPr>
      </w:pPr>
      <w:r w:rsidRPr="008275D7">
        <w:rPr>
          <w:rFonts w:ascii="Arial" w:hAnsi="Arial" w:cs="Arial"/>
          <w:sz w:val="20"/>
          <w:lang w:val="es-ES"/>
        </w:rPr>
        <w:t>No obstante lo dicho, teniendo en cuenta que el asegurado aglutinó más de 300 semanas al 1º de abril de 1994, menester resulta, previamente, convenir por mayoría, que el principio de la condición más beneficiosa que como puente le tendería al asegurado, para que se le aplique con ultractividad el Acuerdo 049 de 1990, aprobado por el Decreto 0758 de igual año, no se opone a las previsiones del artículo 1º del Acto Legislativo 01 de 2005</w:t>
      </w:r>
      <w:r>
        <w:rPr>
          <w:rFonts w:ascii="Arial" w:hAnsi="Arial" w:cs="Arial"/>
          <w:sz w:val="20"/>
          <w:lang w:val="es-ES"/>
        </w:rPr>
        <w:t>…</w:t>
      </w:r>
    </w:p>
    <w:p w14:paraId="00DF1C55" w14:textId="77777777" w:rsidR="00685A50" w:rsidRDefault="00685A50" w:rsidP="008275D7">
      <w:pPr>
        <w:jc w:val="both"/>
        <w:rPr>
          <w:rFonts w:ascii="Arial" w:hAnsi="Arial" w:cs="Arial"/>
          <w:sz w:val="20"/>
          <w:lang w:val="es-ES"/>
        </w:rPr>
      </w:pPr>
    </w:p>
    <w:p w14:paraId="14A8FB0E" w14:textId="3A02A218" w:rsidR="00685A50" w:rsidRPr="00685A50" w:rsidRDefault="00685A50" w:rsidP="00685A50">
      <w:pPr>
        <w:jc w:val="both"/>
        <w:rPr>
          <w:rFonts w:ascii="Arial" w:hAnsi="Arial" w:cs="Arial"/>
          <w:sz w:val="20"/>
          <w:lang w:val="es-ES"/>
        </w:rPr>
      </w:pPr>
      <w:r w:rsidRPr="00685A50">
        <w:rPr>
          <w:rFonts w:ascii="Arial" w:hAnsi="Arial" w:cs="Arial"/>
          <w:sz w:val="20"/>
          <w:lang w:val="es-ES"/>
        </w:rPr>
        <w:t>Ambas disposiciones superiores, se sustentan, por lo tanto, en el principio de la sostenibilidad financiera del sistema pensional, mismo que haya su límite en el parágrafo del artículo 334 de la C.P., modificado por el Acto Legislativo 03 de 2011, artículo 1º</w:t>
      </w:r>
      <w:r>
        <w:rPr>
          <w:rFonts w:ascii="Arial" w:hAnsi="Arial" w:cs="Arial"/>
          <w:sz w:val="20"/>
          <w:lang w:val="es-ES"/>
        </w:rPr>
        <w:t>…</w:t>
      </w:r>
    </w:p>
    <w:p w14:paraId="31B3FA24" w14:textId="77777777" w:rsidR="00685A50" w:rsidRPr="00685A50" w:rsidRDefault="00685A50" w:rsidP="00685A50">
      <w:pPr>
        <w:jc w:val="both"/>
        <w:rPr>
          <w:rFonts w:ascii="Arial" w:hAnsi="Arial" w:cs="Arial"/>
          <w:sz w:val="20"/>
          <w:lang w:val="es-ES"/>
        </w:rPr>
      </w:pPr>
    </w:p>
    <w:p w14:paraId="0A4E8B6D" w14:textId="22A86BD5" w:rsidR="00685A50" w:rsidRPr="00BD5769" w:rsidRDefault="00685A50" w:rsidP="00685A50">
      <w:pPr>
        <w:jc w:val="both"/>
        <w:rPr>
          <w:rFonts w:ascii="Arial" w:hAnsi="Arial" w:cs="Arial"/>
          <w:sz w:val="20"/>
          <w:lang w:val="es-ES"/>
        </w:rPr>
      </w:pPr>
      <w:r w:rsidRPr="00685A50">
        <w:rPr>
          <w:rFonts w:ascii="Arial" w:hAnsi="Arial" w:cs="Arial"/>
          <w:sz w:val="20"/>
          <w:lang w:val="es-ES"/>
        </w:rPr>
        <w:t xml:space="preserve">Naturalmente, que el demandante dada su edad y discapacidad es un sujeto de especial protección, contra quien no se podría oponer, entonces, el principio de la sostenibilidad fiscal tal cual lo prevé el </w:t>
      </w:r>
      <w:r w:rsidRPr="00685A50">
        <w:rPr>
          <w:rFonts w:ascii="Arial" w:hAnsi="Arial" w:cs="Arial"/>
          <w:sz w:val="20"/>
          <w:lang w:val="es-ES"/>
        </w:rPr>
        <w:lastRenderedPageBreak/>
        <w:t>parágrafo del artículo 334, en mientes, por cuanto, por otro lado, como lo asentó la Corte Constitucional en su sentencia SU-005 de 2018</w:t>
      </w:r>
      <w:r>
        <w:rPr>
          <w:rFonts w:ascii="Arial" w:hAnsi="Arial" w:cs="Arial"/>
          <w:sz w:val="20"/>
          <w:lang w:val="es-ES"/>
        </w:rPr>
        <w:t>…</w:t>
      </w:r>
    </w:p>
    <w:p w14:paraId="1913026F" w14:textId="77777777" w:rsidR="00BD5769" w:rsidRDefault="00BD5769" w:rsidP="00BD5769">
      <w:pPr>
        <w:jc w:val="both"/>
        <w:rPr>
          <w:rFonts w:ascii="Arial" w:hAnsi="Arial" w:cs="Arial"/>
          <w:sz w:val="20"/>
          <w:lang w:val="es-ES"/>
        </w:rPr>
      </w:pPr>
    </w:p>
    <w:p w14:paraId="607E8358" w14:textId="77777777" w:rsidR="004430DF" w:rsidRDefault="004430DF" w:rsidP="00BD5769">
      <w:pPr>
        <w:jc w:val="both"/>
        <w:rPr>
          <w:rFonts w:ascii="Arial" w:hAnsi="Arial" w:cs="Arial"/>
          <w:sz w:val="20"/>
          <w:lang w:val="es-ES"/>
        </w:rPr>
      </w:pPr>
    </w:p>
    <w:p w14:paraId="7081B290" w14:textId="77777777" w:rsidR="004430DF" w:rsidRPr="00BD5769" w:rsidRDefault="004430DF" w:rsidP="00BD5769">
      <w:pPr>
        <w:jc w:val="both"/>
        <w:rPr>
          <w:rFonts w:ascii="Arial" w:hAnsi="Arial" w:cs="Arial"/>
          <w:sz w:val="20"/>
          <w:lang w:val="es-ES"/>
        </w:rPr>
      </w:pPr>
    </w:p>
    <w:p w14:paraId="372C4F6F" w14:textId="77777777"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4E8F6C9" wp14:editId="485045C6">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39F02559" w14:textId="77777777" w:rsidR="00D90D6F" w:rsidRPr="00BD5769" w:rsidRDefault="00D90D6F" w:rsidP="00685A50">
      <w:pPr>
        <w:widowControl w:val="0"/>
        <w:spacing w:line="288" w:lineRule="auto"/>
        <w:jc w:val="center"/>
        <w:rPr>
          <w:rFonts w:ascii="Arial" w:hAnsi="Arial" w:cs="Arial"/>
          <w:b/>
          <w:bCs/>
          <w:color w:val="000000"/>
          <w:kern w:val="28"/>
          <w:szCs w:val="24"/>
          <w:lang w:val="es-ES"/>
        </w:rPr>
      </w:pPr>
      <w:r w:rsidRPr="00BD5769">
        <w:rPr>
          <w:rFonts w:ascii="Arial" w:hAnsi="Arial" w:cs="Arial"/>
          <w:b/>
          <w:bCs/>
          <w:color w:val="000000"/>
          <w:kern w:val="28"/>
          <w:szCs w:val="24"/>
          <w:lang w:val="es-ES"/>
        </w:rPr>
        <w:t>RAMA JUDICIAL DEL PODER PÚBLICO</w:t>
      </w:r>
    </w:p>
    <w:p w14:paraId="4CD5A0DF" w14:textId="77777777" w:rsidR="00D90D6F" w:rsidRPr="00BD5769" w:rsidRDefault="00D90D6F" w:rsidP="00685A50">
      <w:pPr>
        <w:widowControl w:val="0"/>
        <w:spacing w:line="288" w:lineRule="auto"/>
        <w:jc w:val="center"/>
        <w:rPr>
          <w:rFonts w:ascii="Arial" w:hAnsi="Arial" w:cs="Arial"/>
          <w:b/>
          <w:bCs/>
          <w:color w:val="000000"/>
          <w:kern w:val="28"/>
          <w:szCs w:val="24"/>
          <w:lang w:val="es-ES"/>
        </w:rPr>
      </w:pPr>
      <w:r w:rsidRPr="00BD5769">
        <w:rPr>
          <w:rFonts w:ascii="Arial" w:hAnsi="Arial" w:cs="Arial"/>
          <w:b/>
          <w:bCs/>
          <w:color w:val="000000"/>
          <w:kern w:val="28"/>
          <w:szCs w:val="24"/>
          <w:lang w:val="es-ES"/>
        </w:rPr>
        <w:t>TRIBUNAL SUPERIOR DEL DISTRITO JUDICIAL DE PEREIRA</w:t>
      </w:r>
    </w:p>
    <w:p w14:paraId="3A89672D" w14:textId="0A81F1AE" w:rsidR="00D90D6F" w:rsidRPr="00BD5769" w:rsidRDefault="00D90D6F" w:rsidP="00685A50">
      <w:pPr>
        <w:widowControl w:val="0"/>
        <w:spacing w:line="288" w:lineRule="auto"/>
        <w:jc w:val="center"/>
        <w:rPr>
          <w:rFonts w:ascii="Arial" w:hAnsi="Arial" w:cs="Arial"/>
          <w:b/>
          <w:bCs/>
          <w:color w:val="000000"/>
          <w:kern w:val="28"/>
          <w:szCs w:val="24"/>
          <w:lang w:val="es-ES"/>
        </w:rPr>
      </w:pPr>
      <w:r w:rsidRPr="00BD5769">
        <w:rPr>
          <w:rFonts w:ascii="Arial" w:hAnsi="Arial" w:cs="Arial"/>
          <w:b/>
          <w:bCs/>
          <w:color w:val="000000"/>
          <w:kern w:val="28"/>
          <w:szCs w:val="24"/>
          <w:lang w:val="es-ES"/>
        </w:rPr>
        <w:t>SALA</w:t>
      </w:r>
      <w:r w:rsidR="00594D40" w:rsidRPr="00BD5769">
        <w:rPr>
          <w:rFonts w:ascii="Arial" w:hAnsi="Arial" w:cs="Arial"/>
          <w:b/>
          <w:bCs/>
          <w:color w:val="000000"/>
          <w:kern w:val="28"/>
          <w:szCs w:val="24"/>
          <w:lang w:val="es-ES"/>
        </w:rPr>
        <w:t xml:space="preserve"> PRIMERA DE DECISIÓN</w:t>
      </w:r>
      <w:r w:rsidRPr="00BD5769">
        <w:rPr>
          <w:rFonts w:ascii="Arial" w:hAnsi="Arial" w:cs="Arial"/>
          <w:b/>
          <w:bCs/>
          <w:color w:val="000000"/>
          <w:kern w:val="28"/>
          <w:szCs w:val="24"/>
          <w:lang w:val="es-ES"/>
        </w:rPr>
        <w:t xml:space="preserve"> LABORAL</w:t>
      </w:r>
    </w:p>
    <w:p w14:paraId="45B045AB" w14:textId="77777777" w:rsidR="00BD5769" w:rsidRDefault="00BD5769" w:rsidP="00685A50">
      <w:pPr>
        <w:spacing w:line="288" w:lineRule="auto"/>
        <w:jc w:val="center"/>
        <w:rPr>
          <w:rFonts w:ascii="Arial" w:hAnsi="Arial" w:cs="Arial"/>
          <w:color w:val="000000"/>
          <w:szCs w:val="24"/>
          <w:lang w:val="es-ES"/>
        </w:rPr>
      </w:pPr>
    </w:p>
    <w:p w14:paraId="5316307D" w14:textId="77777777" w:rsidR="00685A50" w:rsidRDefault="00685A50" w:rsidP="00685A50">
      <w:pPr>
        <w:spacing w:line="288" w:lineRule="auto"/>
        <w:jc w:val="center"/>
        <w:rPr>
          <w:rFonts w:ascii="Arial" w:hAnsi="Arial" w:cs="Arial"/>
          <w:color w:val="000000"/>
          <w:szCs w:val="24"/>
          <w:lang w:val="es-ES"/>
        </w:rPr>
      </w:pPr>
    </w:p>
    <w:p w14:paraId="4447ECDC" w14:textId="77777777" w:rsidR="00D90D6F" w:rsidRPr="00764878" w:rsidRDefault="00D90D6F" w:rsidP="00685A50">
      <w:pPr>
        <w:spacing w:line="288"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165680A7" w14:textId="77777777" w:rsidR="00D90D6F" w:rsidRDefault="00D90D6F" w:rsidP="00685A50">
      <w:pPr>
        <w:widowControl w:val="0"/>
        <w:spacing w:line="288"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0F923A26" w14:textId="77777777" w:rsidR="00D90D6F" w:rsidRPr="00685A50" w:rsidRDefault="00D90D6F" w:rsidP="00685A50">
      <w:pPr>
        <w:spacing w:line="288" w:lineRule="auto"/>
        <w:jc w:val="center"/>
        <w:rPr>
          <w:rFonts w:ascii="Arial" w:hAnsi="Arial" w:cs="Arial"/>
          <w:color w:val="000000"/>
          <w:szCs w:val="24"/>
          <w:lang w:val="es-ES"/>
        </w:rPr>
      </w:pPr>
    </w:p>
    <w:p w14:paraId="77CD6F1C" w14:textId="77777777" w:rsidR="00D90D6F" w:rsidRPr="00685A50" w:rsidRDefault="00D90D6F" w:rsidP="00685A50">
      <w:pPr>
        <w:spacing w:line="288" w:lineRule="auto"/>
        <w:jc w:val="center"/>
        <w:rPr>
          <w:rFonts w:ascii="Arial" w:hAnsi="Arial" w:cs="Arial"/>
          <w:color w:val="000000"/>
          <w:szCs w:val="24"/>
          <w:lang w:val="es-ES"/>
        </w:rPr>
      </w:pPr>
    </w:p>
    <w:p w14:paraId="63943441" w14:textId="3EBE6792"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4D6DB3">
        <w:rPr>
          <w:rFonts w:ascii="Arial" w:eastAsia="Calibri" w:hAnsi="Arial" w:cs="Arial"/>
          <w:szCs w:val="24"/>
          <w:lang w:val="es-CO" w:eastAsia="en-US"/>
        </w:rPr>
        <w:t>veinte</w:t>
      </w:r>
      <w:r w:rsidR="00487FEB">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4D6DB3">
        <w:rPr>
          <w:rFonts w:ascii="Arial" w:eastAsia="Calibri" w:hAnsi="Arial" w:cs="Arial"/>
          <w:szCs w:val="24"/>
          <w:lang w:val="es-CO" w:eastAsia="en-US"/>
        </w:rPr>
        <w:t>20</w:t>
      </w:r>
      <w:r w:rsidRPr="00AC486E">
        <w:rPr>
          <w:rFonts w:ascii="Arial" w:eastAsia="Calibri" w:hAnsi="Arial" w:cs="Arial"/>
          <w:szCs w:val="24"/>
          <w:lang w:val="es-CO" w:eastAsia="en-US"/>
        </w:rPr>
        <w:t xml:space="preserve">) días del mes de </w:t>
      </w:r>
      <w:r w:rsidR="00333FD9">
        <w:rPr>
          <w:rFonts w:ascii="Arial" w:eastAsia="Calibri" w:hAnsi="Arial" w:cs="Arial"/>
          <w:szCs w:val="24"/>
          <w:lang w:val="es-CO" w:eastAsia="en-US"/>
        </w:rPr>
        <w:t>septiembre</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1E4AC7">
        <w:rPr>
          <w:rFonts w:ascii="Arial" w:eastAsia="Calibri" w:hAnsi="Arial" w:cs="Arial"/>
          <w:szCs w:val="24"/>
          <w:lang w:val="es-CO" w:eastAsia="en-US"/>
        </w:rPr>
        <w:t>diecinueve</w:t>
      </w:r>
      <w:r w:rsidR="00B50CEB">
        <w:rPr>
          <w:rFonts w:ascii="Arial" w:eastAsia="Calibri" w:hAnsi="Arial" w:cs="Arial"/>
          <w:szCs w:val="24"/>
          <w:lang w:val="es-CO" w:eastAsia="en-US"/>
        </w:rPr>
        <w:t xml:space="preserve"> </w:t>
      </w:r>
      <w:r w:rsidRPr="00AC486E">
        <w:rPr>
          <w:rFonts w:ascii="Arial" w:eastAsia="Calibri" w:hAnsi="Arial" w:cs="Arial"/>
          <w:szCs w:val="24"/>
          <w:lang w:val="es-CO" w:eastAsia="en-US"/>
        </w:rPr>
        <w:t>(201</w:t>
      </w:r>
      <w:r w:rsidR="001E4AC7">
        <w:rPr>
          <w:rFonts w:ascii="Arial" w:eastAsia="Calibri" w:hAnsi="Arial" w:cs="Arial"/>
          <w:szCs w:val="24"/>
          <w:lang w:val="es-CO" w:eastAsia="en-US"/>
        </w:rPr>
        <w:t>9</w:t>
      </w:r>
      <w:r w:rsidRPr="00AC486E">
        <w:rPr>
          <w:rFonts w:ascii="Arial" w:eastAsia="Calibri" w:hAnsi="Arial" w:cs="Arial"/>
          <w:szCs w:val="24"/>
          <w:lang w:val="es-CO" w:eastAsia="en-US"/>
        </w:rPr>
        <w:t xml:space="preserve">), siendo las </w:t>
      </w:r>
      <w:r w:rsidR="00834221">
        <w:rPr>
          <w:rFonts w:ascii="Arial" w:eastAsia="Calibri" w:hAnsi="Arial" w:cs="Arial"/>
          <w:szCs w:val="24"/>
          <w:lang w:val="es-CO" w:eastAsia="en-US"/>
        </w:rPr>
        <w:t xml:space="preserve">dos de la tarde </w:t>
      </w:r>
      <w:r w:rsidR="00C1062A" w:rsidRPr="00AC486E">
        <w:rPr>
          <w:rFonts w:ascii="Arial" w:eastAsia="Calibri" w:hAnsi="Arial" w:cs="Arial"/>
          <w:szCs w:val="24"/>
          <w:lang w:val="es-CO" w:eastAsia="en-US"/>
        </w:rPr>
        <w:t>(</w:t>
      </w:r>
      <w:r w:rsidR="00834221">
        <w:rPr>
          <w:rFonts w:ascii="Arial" w:eastAsia="Calibri" w:hAnsi="Arial" w:cs="Arial"/>
          <w:szCs w:val="24"/>
          <w:lang w:val="es-CO" w:eastAsia="en-US"/>
        </w:rPr>
        <w:t>02</w:t>
      </w:r>
      <w:r w:rsidR="00B37F7B">
        <w:rPr>
          <w:rFonts w:ascii="Arial" w:eastAsia="Calibri" w:hAnsi="Arial" w:cs="Arial"/>
          <w:szCs w:val="24"/>
          <w:lang w:val="es-CO" w:eastAsia="en-US"/>
        </w:rPr>
        <w:t>:</w:t>
      </w:r>
      <w:r w:rsidR="00834221">
        <w:rPr>
          <w:rFonts w:ascii="Arial" w:eastAsia="Calibri" w:hAnsi="Arial" w:cs="Arial"/>
          <w:szCs w:val="24"/>
          <w:lang w:val="es-CO" w:eastAsia="en-US"/>
        </w:rPr>
        <w:t>00 p</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594D40">
        <w:rPr>
          <w:rFonts w:ascii="Arial" w:hAnsi="Arial" w:cs="Arial"/>
          <w:bCs/>
          <w:color w:val="000000"/>
          <w:szCs w:val="24"/>
          <w:lang w:eastAsia="es-CO"/>
        </w:rPr>
        <w:t>Primera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w:t>
      </w:r>
      <w:r w:rsidR="001E4AC7">
        <w:rPr>
          <w:rFonts w:ascii="Arial" w:hAnsi="Arial" w:cs="Arial"/>
          <w:bCs/>
          <w:color w:val="000000"/>
          <w:szCs w:val="24"/>
          <w:lang w:eastAsia="es-CO"/>
        </w:rPr>
        <w:t>recurso</w:t>
      </w:r>
      <w:r w:rsidR="00594D40">
        <w:rPr>
          <w:rFonts w:ascii="Arial" w:hAnsi="Arial" w:cs="Arial"/>
          <w:bCs/>
          <w:color w:val="000000"/>
          <w:szCs w:val="24"/>
          <w:lang w:eastAsia="es-CO"/>
        </w:rPr>
        <w:t>s</w:t>
      </w:r>
      <w:r w:rsidR="001E4AC7">
        <w:rPr>
          <w:rFonts w:ascii="Arial" w:hAnsi="Arial" w:cs="Arial"/>
          <w:bCs/>
          <w:color w:val="000000"/>
          <w:szCs w:val="24"/>
          <w:lang w:eastAsia="es-CO"/>
        </w:rPr>
        <w:t xml:space="preserve"> de apelación</w:t>
      </w:r>
      <w:r w:rsidR="00594D40">
        <w:rPr>
          <w:rFonts w:ascii="Arial" w:hAnsi="Arial" w:cs="Arial"/>
          <w:bCs/>
          <w:color w:val="000000"/>
          <w:szCs w:val="24"/>
          <w:lang w:eastAsia="es-CO"/>
        </w:rPr>
        <w:t xml:space="preserve"> y grado jurisdiccional de consulta de </w:t>
      </w:r>
      <w:r w:rsidR="001E4AC7">
        <w:rPr>
          <w:rFonts w:ascii="Arial" w:hAnsi="Arial" w:cs="Arial"/>
          <w:bCs/>
          <w:color w:val="000000"/>
          <w:szCs w:val="24"/>
          <w:lang w:eastAsia="es-CO"/>
        </w:rPr>
        <w:t xml:space="preserv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594D40">
        <w:rPr>
          <w:rFonts w:ascii="Arial" w:hAnsi="Arial" w:cs="Arial"/>
          <w:szCs w:val="24"/>
        </w:rPr>
        <w:t>14</w:t>
      </w:r>
      <w:r w:rsidR="001E4AC7">
        <w:rPr>
          <w:rFonts w:ascii="Arial" w:hAnsi="Arial" w:cs="Arial"/>
          <w:szCs w:val="24"/>
        </w:rPr>
        <w:t xml:space="preserve"> de </w:t>
      </w:r>
      <w:r w:rsidR="00594D40">
        <w:rPr>
          <w:rFonts w:ascii="Arial" w:hAnsi="Arial" w:cs="Arial"/>
          <w:szCs w:val="24"/>
        </w:rPr>
        <w:t>septiembre</w:t>
      </w:r>
      <w:r w:rsidR="001E4AC7">
        <w:rPr>
          <w:rFonts w:ascii="Arial" w:hAnsi="Arial" w:cs="Arial"/>
          <w:szCs w:val="24"/>
        </w:rPr>
        <w:t xml:space="preserve"> de 2018</w:t>
      </w:r>
      <w:r w:rsidRPr="00AC486E">
        <w:rPr>
          <w:rFonts w:ascii="Arial" w:hAnsi="Arial" w:cs="Arial"/>
          <w:szCs w:val="24"/>
        </w:rPr>
        <w:t xml:space="preserve"> por el Juzgado </w:t>
      </w:r>
      <w:r w:rsidR="00594D40">
        <w:rPr>
          <w:rFonts w:ascii="Arial" w:hAnsi="Arial" w:cs="Arial"/>
          <w:szCs w:val="24"/>
        </w:rPr>
        <w:t>Primero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5A2969">
        <w:rPr>
          <w:rFonts w:ascii="Arial" w:hAnsi="Arial" w:cs="Arial"/>
          <w:szCs w:val="24"/>
        </w:rPr>
        <w:t>el señor</w:t>
      </w:r>
      <w:r w:rsidR="003440CA">
        <w:rPr>
          <w:rFonts w:ascii="Arial" w:hAnsi="Arial" w:cs="Arial"/>
          <w:szCs w:val="24"/>
        </w:rPr>
        <w:t xml:space="preserve"> </w:t>
      </w:r>
      <w:r w:rsidR="005A2969">
        <w:rPr>
          <w:rFonts w:ascii="Arial" w:hAnsi="Arial" w:cs="Arial"/>
          <w:b/>
          <w:szCs w:val="24"/>
        </w:rPr>
        <w:t xml:space="preserve">José </w:t>
      </w:r>
      <w:r w:rsidR="00594D40">
        <w:rPr>
          <w:rFonts w:ascii="Arial" w:hAnsi="Arial" w:cs="Arial"/>
          <w:b/>
          <w:szCs w:val="24"/>
        </w:rPr>
        <w:t xml:space="preserve">Antonio Montoya Gómez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Administradora Colombiana de Pensiones -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5C2C85">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5A2969">
        <w:rPr>
          <w:rFonts w:ascii="Arial" w:hAnsi="Arial" w:cs="Arial"/>
          <w:bCs/>
          <w:szCs w:val="24"/>
        </w:rPr>
        <w:t>7</w:t>
      </w:r>
      <w:r w:rsidR="00777072">
        <w:rPr>
          <w:rFonts w:ascii="Arial" w:hAnsi="Arial" w:cs="Arial"/>
          <w:bCs/>
          <w:szCs w:val="24"/>
        </w:rPr>
        <w:t>-00</w:t>
      </w:r>
      <w:r w:rsidR="005C2C85">
        <w:rPr>
          <w:rFonts w:ascii="Arial" w:hAnsi="Arial" w:cs="Arial"/>
          <w:bCs/>
          <w:szCs w:val="24"/>
        </w:rPr>
        <w:t>155</w:t>
      </w:r>
      <w:r w:rsidR="00777072">
        <w:rPr>
          <w:rFonts w:ascii="Arial" w:hAnsi="Arial" w:cs="Arial"/>
          <w:bCs/>
          <w:szCs w:val="24"/>
        </w:rPr>
        <w:t>-0</w:t>
      </w:r>
      <w:r w:rsidR="00C01DA7">
        <w:rPr>
          <w:rFonts w:ascii="Arial" w:hAnsi="Arial" w:cs="Arial"/>
          <w:bCs/>
          <w:szCs w:val="24"/>
        </w:rPr>
        <w:t>1</w:t>
      </w:r>
      <w:r w:rsidR="00777072">
        <w:rPr>
          <w:rFonts w:ascii="Arial" w:hAnsi="Arial" w:cs="Arial"/>
          <w:bCs/>
          <w:szCs w:val="24"/>
        </w:rPr>
        <w:t>.</w:t>
      </w:r>
    </w:p>
    <w:p w14:paraId="47A57ADA" w14:textId="77777777" w:rsidR="009378A8" w:rsidRPr="00433ACE" w:rsidRDefault="009378A8" w:rsidP="00312238">
      <w:pPr>
        <w:spacing w:line="276" w:lineRule="auto"/>
        <w:jc w:val="both"/>
        <w:rPr>
          <w:rFonts w:ascii="Arial" w:eastAsia="Calibri" w:hAnsi="Arial" w:cs="Arial"/>
          <w:szCs w:val="24"/>
          <w:lang w:val="es-CO" w:eastAsia="en-US"/>
        </w:rPr>
      </w:pPr>
    </w:p>
    <w:p w14:paraId="3266E3D9" w14:textId="77777777"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14:paraId="166D9CDF" w14:textId="77777777" w:rsidR="00BD5769" w:rsidRDefault="00BD5769" w:rsidP="00312238">
      <w:pPr>
        <w:spacing w:line="276" w:lineRule="auto"/>
        <w:rPr>
          <w:rFonts w:ascii="Arial" w:hAnsi="Arial" w:cs="Arial"/>
          <w:szCs w:val="24"/>
        </w:rPr>
      </w:pPr>
    </w:p>
    <w:p w14:paraId="1B14C33F" w14:textId="77777777"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14:paraId="06930974" w14:textId="77777777"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14:paraId="411EB289" w14:textId="77777777" w:rsidR="008B2194" w:rsidRDefault="008B2194" w:rsidP="004D300A">
      <w:pPr>
        <w:spacing w:line="276" w:lineRule="auto"/>
        <w:rPr>
          <w:rFonts w:ascii="Arial" w:hAnsi="Arial" w:cs="Arial"/>
          <w:szCs w:val="24"/>
        </w:rPr>
      </w:pPr>
    </w:p>
    <w:p w14:paraId="51B419FE" w14:textId="77777777"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14:paraId="2641A058" w14:textId="77777777" w:rsidR="00970493" w:rsidRDefault="00970493" w:rsidP="00312238">
      <w:pPr>
        <w:spacing w:line="276" w:lineRule="auto"/>
        <w:contextualSpacing/>
        <w:jc w:val="both"/>
        <w:rPr>
          <w:rFonts w:ascii="Arial" w:hAnsi="Arial" w:cs="Arial"/>
          <w:szCs w:val="24"/>
        </w:rPr>
      </w:pPr>
    </w:p>
    <w:p w14:paraId="52F7415D" w14:textId="77777777"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14:paraId="72937C93" w14:textId="77777777" w:rsidR="00956609" w:rsidRDefault="00956609" w:rsidP="00BD5769">
      <w:pPr>
        <w:spacing w:line="276" w:lineRule="auto"/>
        <w:jc w:val="both"/>
        <w:rPr>
          <w:rFonts w:ascii="Arial" w:eastAsia="Calibri" w:hAnsi="Arial" w:cs="Arial"/>
          <w:szCs w:val="24"/>
          <w:lang w:val="es-CO" w:eastAsia="en-US"/>
        </w:rPr>
      </w:pPr>
    </w:p>
    <w:p w14:paraId="08729701" w14:textId="77777777" w:rsidR="00561158" w:rsidRPr="00BD5769" w:rsidRDefault="00561158" w:rsidP="00BD5769">
      <w:pPr>
        <w:spacing w:line="276" w:lineRule="auto"/>
        <w:jc w:val="both"/>
        <w:rPr>
          <w:rFonts w:ascii="Arial" w:eastAsia="Calibri" w:hAnsi="Arial" w:cs="Arial"/>
          <w:szCs w:val="24"/>
          <w:lang w:val="es-CO" w:eastAsia="en-US"/>
        </w:rPr>
      </w:pPr>
    </w:p>
    <w:p w14:paraId="1F1F13E8" w14:textId="77777777" w:rsidR="00226D5F" w:rsidRDefault="00312238" w:rsidP="00312238">
      <w:pPr>
        <w:spacing w:line="276" w:lineRule="auto"/>
        <w:jc w:val="center"/>
        <w:rPr>
          <w:rFonts w:ascii="Arial" w:hAnsi="Arial" w:cs="Arial"/>
          <w:b/>
          <w:szCs w:val="24"/>
        </w:rPr>
      </w:pPr>
      <w:r>
        <w:rPr>
          <w:rFonts w:ascii="Arial" w:hAnsi="Arial" w:cs="Arial"/>
          <w:b/>
          <w:szCs w:val="24"/>
        </w:rPr>
        <w:t>ANTECEDENTES</w:t>
      </w:r>
    </w:p>
    <w:p w14:paraId="064B728B" w14:textId="77777777" w:rsidR="00596524" w:rsidRPr="00BD5769" w:rsidRDefault="00596524" w:rsidP="00BD5769">
      <w:pPr>
        <w:spacing w:line="276" w:lineRule="auto"/>
        <w:jc w:val="both"/>
        <w:rPr>
          <w:rFonts w:ascii="Arial" w:eastAsia="Calibri" w:hAnsi="Arial" w:cs="Arial"/>
          <w:szCs w:val="24"/>
          <w:lang w:val="es-CO" w:eastAsia="en-US"/>
        </w:rPr>
      </w:pPr>
    </w:p>
    <w:p w14:paraId="1775E802" w14:textId="5C082942" w:rsidR="00312238" w:rsidRPr="00A959CB" w:rsidRDefault="00A959CB" w:rsidP="00A959CB">
      <w:pPr>
        <w:spacing w:line="276" w:lineRule="auto"/>
        <w:rPr>
          <w:rFonts w:ascii="Arial" w:hAnsi="Arial" w:cs="Arial"/>
          <w:b/>
          <w:szCs w:val="24"/>
        </w:rPr>
      </w:pPr>
      <w:r>
        <w:rPr>
          <w:rFonts w:ascii="Arial" w:hAnsi="Arial" w:cs="Arial"/>
          <w:b/>
          <w:szCs w:val="24"/>
        </w:rPr>
        <w:t xml:space="preserve">1. </w:t>
      </w:r>
      <w:r w:rsidR="00312238" w:rsidRPr="00A959CB">
        <w:rPr>
          <w:rFonts w:ascii="Arial" w:hAnsi="Arial" w:cs="Arial"/>
          <w:b/>
          <w:szCs w:val="24"/>
        </w:rPr>
        <w:t>Síntesis de la demanda y su contestación</w:t>
      </w:r>
    </w:p>
    <w:p w14:paraId="04677960" w14:textId="77777777" w:rsidR="00A959CB" w:rsidRPr="00BD5769" w:rsidRDefault="00A959CB" w:rsidP="00312238">
      <w:pPr>
        <w:spacing w:line="276" w:lineRule="auto"/>
        <w:jc w:val="both"/>
        <w:rPr>
          <w:rFonts w:ascii="Arial" w:eastAsia="Calibri" w:hAnsi="Arial" w:cs="Arial"/>
          <w:szCs w:val="24"/>
          <w:lang w:val="es-CO" w:eastAsia="en-US"/>
        </w:rPr>
      </w:pPr>
    </w:p>
    <w:p w14:paraId="21526055" w14:textId="4B0D124B" w:rsidR="00CE5583" w:rsidRDefault="005A2969" w:rsidP="00312238">
      <w:pPr>
        <w:spacing w:line="276" w:lineRule="auto"/>
        <w:jc w:val="both"/>
        <w:rPr>
          <w:rFonts w:ascii="Arial" w:hAnsi="Arial" w:cs="Arial"/>
          <w:szCs w:val="24"/>
        </w:rPr>
      </w:pPr>
      <w:r>
        <w:rPr>
          <w:rFonts w:ascii="Arial" w:hAnsi="Arial" w:cs="Arial"/>
          <w:szCs w:val="24"/>
        </w:rPr>
        <w:t xml:space="preserve">El señor </w:t>
      </w:r>
      <w:r w:rsidRPr="005A2969">
        <w:rPr>
          <w:rFonts w:ascii="Arial" w:hAnsi="Arial" w:cs="Arial"/>
          <w:szCs w:val="24"/>
        </w:rPr>
        <w:t xml:space="preserve">José Noel </w:t>
      </w:r>
      <w:r w:rsidR="00774EF6">
        <w:rPr>
          <w:rFonts w:ascii="Arial" w:hAnsi="Arial" w:cs="Arial"/>
          <w:szCs w:val="24"/>
        </w:rPr>
        <w:t>Antonio Montoya Gómez</w:t>
      </w:r>
      <w:r w:rsidR="000C79DB">
        <w:rPr>
          <w:rFonts w:ascii="Arial" w:hAnsi="Arial" w:cs="Arial"/>
          <w:szCs w:val="24"/>
        </w:rPr>
        <w:t xml:space="preserve"> </w:t>
      </w:r>
      <w:r w:rsidR="00CE5583">
        <w:rPr>
          <w:rFonts w:ascii="Arial" w:hAnsi="Arial" w:cs="Arial"/>
          <w:szCs w:val="24"/>
        </w:rPr>
        <w:t>pretend</w:t>
      </w:r>
      <w:r w:rsidR="00A959CB">
        <w:rPr>
          <w:rFonts w:ascii="Arial" w:hAnsi="Arial" w:cs="Arial"/>
          <w:szCs w:val="24"/>
        </w:rPr>
        <w:t xml:space="preserve">e </w:t>
      </w:r>
      <w:r w:rsidR="00DB4E0E">
        <w:rPr>
          <w:rFonts w:ascii="Arial" w:hAnsi="Arial" w:cs="Arial"/>
          <w:szCs w:val="24"/>
        </w:rPr>
        <w:t xml:space="preserve">que </w:t>
      </w:r>
      <w:r w:rsidR="004306CA">
        <w:rPr>
          <w:rFonts w:ascii="Arial" w:hAnsi="Arial" w:cs="Arial"/>
          <w:szCs w:val="24"/>
        </w:rPr>
        <w:t xml:space="preserve">se </w:t>
      </w:r>
      <w:r w:rsidR="00A959CB">
        <w:rPr>
          <w:rFonts w:ascii="Arial" w:hAnsi="Arial" w:cs="Arial"/>
          <w:szCs w:val="24"/>
        </w:rPr>
        <w:t>le reconozca</w:t>
      </w:r>
      <w:r w:rsidR="00774EF6">
        <w:rPr>
          <w:rFonts w:ascii="Arial" w:hAnsi="Arial" w:cs="Arial"/>
          <w:szCs w:val="24"/>
        </w:rPr>
        <w:t xml:space="preserve"> y pague</w:t>
      </w:r>
      <w:r w:rsidR="00A959CB">
        <w:rPr>
          <w:rFonts w:ascii="Arial" w:hAnsi="Arial" w:cs="Arial"/>
          <w:szCs w:val="24"/>
        </w:rPr>
        <w:t xml:space="preserve"> la pensión de invalidez a partir del 2</w:t>
      </w:r>
      <w:r w:rsidR="00774EF6">
        <w:rPr>
          <w:rFonts w:ascii="Arial" w:hAnsi="Arial" w:cs="Arial"/>
          <w:szCs w:val="24"/>
        </w:rPr>
        <w:t>3</w:t>
      </w:r>
      <w:r w:rsidR="00A959CB">
        <w:rPr>
          <w:rFonts w:ascii="Arial" w:hAnsi="Arial" w:cs="Arial"/>
          <w:szCs w:val="24"/>
        </w:rPr>
        <w:t>/</w:t>
      </w:r>
      <w:r w:rsidR="00044D3A">
        <w:rPr>
          <w:rFonts w:ascii="Arial" w:hAnsi="Arial" w:cs="Arial"/>
          <w:szCs w:val="24"/>
        </w:rPr>
        <w:t>01</w:t>
      </w:r>
      <w:r w:rsidR="00A959CB">
        <w:rPr>
          <w:rFonts w:ascii="Arial" w:hAnsi="Arial" w:cs="Arial"/>
          <w:szCs w:val="24"/>
        </w:rPr>
        <w:t>/20</w:t>
      </w:r>
      <w:r w:rsidR="00044D3A">
        <w:rPr>
          <w:rFonts w:ascii="Arial" w:hAnsi="Arial" w:cs="Arial"/>
          <w:szCs w:val="24"/>
        </w:rPr>
        <w:t>1</w:t>
      </w:r>
      <w:r w:rsidR="00774EF6">
        <w:rPr>
          <w:rFonts w:ascii="Arial" w:hAnsi="Arial" w:cs="Arial"/>
          <w:szCs w:val="24"/>
        </w:rPr>
        <w:t>4</w:t>
      </w:r>
      <w:r w:rsidR="00A959CB">
        <w:rPr>
          <w:rFonts w:ascii="Arial" w:hAnsi="Arial" w:cs="Arial"/>
          <w:szCs w:val="24"/>
        </w:rPr>
        <w:t xml:space="preserve"> con fundamento en </w:t>
      </w:r>
      <w:r w:rsidR="00197967">
        <w:rPr>
          <w:rFonts w:ascii="Arial" w:hAnsi="Arial" w:cs="Arial"/>
          <w:szCs w:val="24"/>
        </w:rPr>
        <w:t xml:space="preserve">el Acuerdo </w:t>
      </w:r>
      <w:r w:rsidR="00774EF6">
        <w:rPr>
          <w:rFonts w:ascii="Arial" w:hAnsi="Arial" w:cs="Arial"/>
          <w:szCs w:val="24"/>
        </w:rPr>
        <w:t>049</w:t>
      </w:r>
      <w:r w:rsidR="002853D8">
        <w:rPr>
          <w:rFonts w:ascii="Arial" w:hAnsi="Arial" w:cs="Arial"/>
          <w:szCs w:val="24"/>
        </w:rPr>
        <w:t xml:space="preserve"> de 1990</w:t>
      </w:r>
      <w:r w:rsidR="00C01DA7">
        <w:rPr>
          <w:rFonts w:ascii="Arial" w:hAnsi="Arial" w:cs="Arial"/>
          <w:szCs w:val="24"/>
        </w:rPr>
        <w:t xml:space="preserve">, </w:t>
      </w:r>
      <w:r w:rsidR="00A959CB">
        <w:rPr>
          <w:rFonts w:ascii="Arial" w:hAnsi="Arial" w:cs="Arial"/>
          <w:szCs w:val="24"/>
        </w:rPr>
        <w:t xml:space="preserve">en aplicación al </w:t>
      </w:r>
      <w:r w:rsidR="001846F7">
        <w:rPr>
          <w:rFonts w:ascii="Arial" w:hAnsi="Arial" w:cs="Arial"/>
          <w:szCs w:val="24"/>
        </w:rPr>
        <w:t>principio de la condición más beneficiosa</w:t>
      </w:r>
      <w:r w:rsidR="00CE5583">
        <w:rPr>
          <w:rFonts w:ascii="Arial" w:hAnsi="Arial" w:cs="Arial"/>
          <w:szCs w:val="24"/>
        </w:rPr>
        <w:t>;</w:t>
      </w:r>
      <w:r w:rsidR="00A959CB">
        <w:rPr>
          <w:rFonts w:ascii="Arial" w:hAnsi="Arial" w:cs="Arial"/>
          <w:szCs w:val="24"/>
        </w:rPr>
        <w:t xml:space="preserve"> junto con </w:t>
      </w:r>
      <w:r w:rsidR="00CC0B8D">
        <w:rPr>
          <w:rFonts w:ascii="Arial" w:hAnsi="Arial" w:cs="Arial"/>
          <w:szCs w:val="24"/>
        </w:rPr>
        <w:t xml:space="preserve">los intereses </w:t>
      </w:r>
      <w:r w:rsidR="000C421D">
        <w:rPr>
          <w:rFonts w:ascii="Arial" w:hAnsi="Arial" w:cs="Arial"/>
          <w:szCs w:val="24"/>
        </w:rPr>
        <w:t xml:space="preserve">de </w:t>
      </w:r>
      <w:r w:rsidR="00CC0B8D">
        <w:rPr>
          <w:rFonts w:ascii="Arial" w:hAnsi="Arial" w:cs="Arial"/>
          <w:szCs w:val="24"/>
        </w:rPr>
        <w:t>mora y costas procesales</w:t>
      </w:r>
      <w:r w:rsidR="002B7CF9">
        <w:rPr>
          <w:rFonts w:ascii="Arial" w:hAnsi="Arial" w:cs="Arial"/>
          <w:szCs w:val="24"/>
        </w:rPr>
        <w:t xml:space="preserve">. </w:t>
      </w:r>
    </w:p>
    <w:p w14:paraId="70465AEB" w14:textId="77777777" w:rsidR="0060036B" w:rsidRDefault="0060036B" w:rsidP="00312238">
      <w:pPr>
        <w:spacing w:line="276" w:lineRule="auto"/>
        <w:jc w:val="both"/>
        <w:rPr>
          <w:rFonts w:ascii="Arial" w:hAnsi="Arial" w:cs="Arial"/>
          <w:szCs w:val="24"/>
        </w:rPr>
      </w:pPr>
    </w:p>
    <w:p w14:paraId="561AD27F" w14:textId="42EA22B1" w:rsidR="00EA15A6" w:rsidRPr="002B04F3" w:rsidRDefault="00BF43AA" w:rsidP="00976B72">
      <w:pPr>
        <w:spacing w:line="276" w:lineRule="auto"/>
        <w:jc w:val="both"/>
        <w:rPr>
          <w:rFonts w:ascii="Arial" w:hAnsi="Arial" w:cs="Arial"/>
          <w:szCs w:val="24"/>
        </w:rPr>
      </w:pPr>
      <w:r>
        <w:rPr>
          <w:rFonts w:ascii="Arial" w:hAnsi="Arial" w:cs="Arial"/>
          <w:szCs w:val="24"/>
        </w:rPr>
        <w:t>Fundament</w:t>
      </w:r>
      <w:r w:rsidR="00BD1C90">
        <w:rPr>
          <w:rFonts w:ascii="Arial" w:hAnsi="Arial" w:cs="Arial"/>
          <w:szCs w:val="24"/>
        </w:rPr>
        <w:t>a</w:t>
      </w:r>
      <w:r w:rsidR="00A957FB">
        <w:rPr>
          <w:rFonts w:ascii="Arial" w:hAnsi="Arial" w:cs="Arial"/>
          <w:szCs w:val="24"/>
        </w:rPr>
        <w:t xml:space="preserve"> sus aspiraciones </w:t>
      </w:r>
      <w:r w:rsidR="00226D5F" w:rsidRPr="00AC486E">
        <w:rPr>
          <w:rFonts w:ascii="Arial" w:hAnsi="Arial" w:cs="Arial"/>
          <w:szCs w:val="24"/>
        </w:rPr>
        <w:t>en que</w:t>
      </w:r>
      <w:r w:rsidR="00A95C6B">
        <w:rPr>
          <w:rFonts w:ascii="Arial" w:hAnsi="Arial" w:cs="Arial"/>
          <w:szCs w:val="24"/>
        </w:rPr>
        <w:t>:</w:t>
      </w:r>
      <w:r w:rsidR="00CA0C66">
        <w:rPr>
          <w:rFonts w:ascii="Arial" w:hAnsi="Arial" w:cs="Arial"/>
          <w:szCs w:val="24"/>
        </w:rPr>
        <w:t xml:space="preserve"> </w:t>
      </w:r>
      <w:r w:rsidR="00CA0C66" w:rsidRPr="002769FA">
        <w:rPr>
          <w:rFonts w:ascii="Arial" w:hAnsi="Arial" w:cs="Arial"/>
          <w:i/>
          <w:szCs w:val="24"/>
        </w:rPr>
        <w:t>i)</w:t>
      </w:r>
      <w:r w:rsidR="002769FA">
        <w:rPr>
          <w:rFonts w:ascii="Arial" w:hAnsi="Arial" w:cs="Arial"/>
          <w:szCs w:val="24"/>
        </w:rPr>
        <w:t xml:space="preserve"> </w:t>
      </w:r>
      <w:r w:rsidR="00C01DA7">
        <w:rPr>
          <w:rFonts w:ascii="Arial" w:hAnsi="Arial" w:cs="Arial"/>
          <w:szCs w:val="24"/>
        </w:rPr>
        <w:t>fue</w:t>
      </w:r>
      <w:r w:rsidR="00490DB0">
        <w:rPr>
          <w:rFonts w:ascii="Arial" w:hAnsi="Arial" w:cs="Arial"/>
          <w:szCs w:val="24"/>
        </w:rPr>
        <w:t xml:space="preserve"> </w:t>
      </w:r>
      <w:r w:rsidR="00B61A97">
        <w:rPr>
          <w:rFonts w:ascii="Arial" w:hAnsi="Arial" w:cs="Arial"/>
          <w:szCs w:val="24"/>
        </w:rPr>
        <w:t>calificado</w:t>
      </w:r>
      <w:r w:rsidR="00490DB0">
        <w:rPr>
          <w:rFonts w:ascii="Arial" w:hAnsi="Arial" w:cs="Arial"/>
          <w:szCs w:val="24"/>
        </w:rPr>
        <w:t xml:space="preserve"> </w:t>
      </w:r>
      <w:r w:rsidR="00BE25C9">
        <w:rPr>
          <w:rFonts w:ascii="Arial" w:hAnsi="Arial" w:cs="Arial"/>
          <w:szCs w:val="24"/>
        </w:rPr>
        <w:t xml:space="preserve">por Colpensiones </w:t>
      </w:r>
      <w:r w:rsidR="00C01DA7">
        <w:rPr>
          <w:rFonts w:ascii="Arial" w:hAnsi="Arial" w:cs="Arial"/>
          <w:szCs w:val="24"/>
        </w:rPr>
        <w:t xml:space="preserve"> con una PCL </w:t>
      </w:r>
      <w:r w:rsidR="00976B72">
        <w:rPr>
          <w:rFonts w:ascii="Arial" w:hAnsi="Arial" w:cs="Arial"/>
          <w:szCs w:val="24"/>
        </w:rPr>
        <w:t xml:space="preserve">del </w:t>
      </w:r>
      <w:r w:rsidR="0060036B">
        <w:rPr>
          <w:rFonts w:ascii="Arial" w:hAnsi="Arial" w:cs="Arial"/>
          <w:szCs w:val="24"/>
        </w:rPr>
        <w:t>5</w:t>
      </w:r>
      <w:r w:rsidR="008209C2">
        <w:rPr>
          <w:rFonts w:ascii="Arial" w:hAnsi="Arial" w:cs="Arial"/>
          <w:szCs w:val="24"/>
        </w:rPr>
        <w:t>0</w:t>
      </w:r>
      <w:r w:rsidR="0060036B">
        <w:rPr>
          <w:rFonts w:ascii="Arial" w:hAnsi="Arial" w:cs="Arial"/>
          <w:szCs w:val="24"/>
        </w:rPr>
        <w:t>,</w:t>
      </w:r>
      <w:r w:rsidR="008209C2">
        <w:rPr>
          <w:rFonts w:ascii="Arial" w:hAnsi="Arial" w:cs="Arial"/>
          <w:szCs w:val="24"/>
        </w:rPr>
        <w:t>04</w:t>
      </w:r>
      <w:r w:rsidR="00474130" w:rsidRPr="000C421D">
        <w:rPr>
          <w:rFonts w:ascii="Arial" w:hAnsi="Arial" w:cs="Arial"/>
          <w:szCs w:val="24"/>
        </w:rPr>
        <w:t>%</w:t>
      </w:r>
      <w:r w:rsidR="00C47DB3" w:rsidRPr="000C421D">
        <w:rPr>
          <w:rFonts w:ascii="Arial" w:hAnsi="Arial" w:cs="Arial"/>
          <w:szCs w:val="24"/>
        </w:rPr>
        <w:t>, estructurada el</w:t>
      </w:r>
      <w:r w:rsidR="00C85AF8" w:rsidRPr="000C421D">
        <w:rPr>
          <w:rFonts w:ascii="Arial" w:hAnsi="Arial" w:cs="Arial"/>
          <w:szCs w:val="24"/>
        </w:rPr>
        <w:t xml:space="preserve"> 23-01-2014</w:t>
      </w:r>
      <w:r w:rsidR="00856D20" w:rsidRPr="000C421D">
        <w:rPr>
          <w:rFonts w:ascii="Arial" w:hAnsi="Arial" w:cs="Arial"/>
          <w:szCs w:val="24"/>
        </w:rPr>
        <w:t>;</w:t>
      </w:r>
      <w:r w:rsidR="00856D20">
        <w:rPr>
          <w:rFonts w:ascii="Arial" w:hAnsi="Arial" w:cs="Arial"/>
          <w:szCs w:val="24"/>
        </w:rPr>
        <w:t xml:space="preserve"> </w:t>
      </w:r>
      <w:r w:rsidR="00856D20" w:rsidRPr="00856D20">
        <w:rPr>
          <w:rFonts w:ascii="Arial" w:hAnsi="Arial" w:cs="Arial"/>
          <w:i/>
          <w:szCs w:val="24"/>
        </w:rPr>
        <w:t>ii)</w:t>
      </w:r>
      <w:r w:rsidR="00C85AF8">
        <w:rPr>
          <w:rFonts w:ascii="Arial" w:hAnsi="Arial" w:cs="Arial"/>
          <w:i/>
          <w:szCs w:val="24"/>
        </w:rPr>
        <w:t xml:space="preserve"> </w:t>
      </w:r>
      <w:r w:rsidR="00C85AF8" w:rsidRPr="00C85AF8">
        <w:rPr>
          <w:rFonts w:ascii="Arial" w:hAnsi="Arial" w:cs="Arial"/>
          <w:szCs w:val="24"/>
        </w:rPr>
        <w:t>a</w:t>
      </w:r>
      <w:r w:rsidR="00C85AF8">
        <w:rPr>
          <w:rFonts w:ascii="Arial" w:hAnsi="Arial" w:cs="Arial"/>
          <w:szCs w:val="24"/>
        </w:rPr>
        <w:t xml:space="preserve">credita un total de 919 semanas cotizadas, de las cuales 738 </w:t>
      </w:r>
      <w:r w:rsidR="00B61A97">
        <w:rPr>
          <w:rFonts w:ascii="Arial" w:hAnsi="Arial" w:cs="Arial"/>
          <w:szCs w:val="24"/>
        </w:rPr>
        <w:t xml:space="preserve">son </w:t>
      </w:r>
      <w:r w:rsidR="00C85AF8">
        <w:rPr>
          <w:rFonts w:ascii="Arial" w:hAnsi="Arial" w:cs="Arial"/>
          <w:szCs w:val="24"/>
        </w:rPr>
        <w:t>anteriores al 1-04-1994</w:t>
      </w:r>
      <w:r w:rsidR="000048AC">
        <w:rPr>
          <w:rFonts w:ascii="Arial" w:hAnsi="Arial" w:cs="Arial"/>
          <w:szCs w:val="24"/>
        </w:rPr>
        <w:t xml:space="preserve">, siendo su última cotización </w:t>
      </w:r>
      <w:r w:rsidR="000048AC">
        <w:rPr>
          <w:rFonts w:ascii="Arial" w:hAnsi="Arial" w:cs="Arial"/>
          <w:szCs w:val="24"/>
        </w:rPr>
        <w:lastRenderedPageBreak/>
        <w:t>el 30-08-2008;</w:t>
      </w:r>
      <w:r w:rsidR="00C85AF8">
        <w:rPr>
          <w:rFonts w:ascii="Arial" w:hAnsi="Arial" w:cs="Arial"/>
          <w:szCs w:val="24"/>
        </w:rPr>
        <w:t xml:space="preserve"> </w:t>
      </w:r>
      <w:r w:rsidR="00C85AF8" w:rsidRPr="00C85AF8">
        <w:rPr>
          <w:rFonts w:ascii="Arial" w:hAnsi="Arial" w:cs="Arial"/>
          <w:i/>
          <w:szCs w:val="24"/>
        </w:rPr>
        <w:t>iii)</w:t>
      </w:r>
      <w:r w:rsidR="00C85AF8">
        <w:rPr>
          <w:rFonts w:ascii="Arial" w:hAnsi="Arial" w:cs="Arial"/>
          <w:szCs w:val="24"/>
        </w:rPr>
        <w:t xml:space="preserve"> </w:t>
      </w:r>
      <w:r w:rsidR="00760313">
        <w:rPr>
          <w:rFonts w:ascii="Arial" w:hAnsi="Arial" w:cs="Arial"/>
          <w:szCs w:val="24"/>
        </w:rPr>
        <w:t>Colpensiones mediante resolución GNR 374803 de 07-12-2016</w:t>
      </w:r>
      <w:r w:rsidR="008209C2">
        <w:rPr>
          <w:rFonts w:ascii="Arial" w:hAnsi="Arial" w:cs="Arial"/>
          <w:szCs w:val="24"/>
        </w:rPr>
        <w:t xml:space="preserve"> </w:t>
      </w:r>
      <w:r w:rsidR="00760313">
        <w:rPr>
          <w:rFonts w:ascii="Arial" w:hAnsi="Arial" w:cs="Arial"/>
          <w:szCs w:val="24"/>
        </w:rPr>
        <w:t>negó solicitud  de pensión de invalidez</w:t>
      </w:r>
      <w:r w:rsidR="005C0178">
        <w:rPr>
          <w:rFonts w:ascii="Arial" w:hAnsi="Arial" w:cs="Arial"/>
          <w:szCs w:val="24"/>
        </w:rPr>
        <w:t xml:space="preserve"> en repuesta a solicitud del 21-09-2016</w:t>
      </w:r>
      <w:r w:rsidR="00C47DB3">
        <w:rPr>
          <w:rFonts w:ascii="Arial" w:hAnsi="Arial" w:cs="Arial"/>
          <w:szCs w:val="24"/>
        </w:rPr>
        <w:t xml:space="preserve">, la que reiteró </w:t>
      </w:r>
      <w:r w:rsidR="005C0178">
        <w:rPr>
          <w:rFonts w:ascii="Arial" w:hAnsi="Arial" w:cs="Arial"/>
          <w:szCs w:val="24"/>
        </w:rPr>
        <w:t>el 03-02</w:t>
      </w:r>
      <w:r w:rsidR="00523E0D" w:rsidRPr="002B04F3">
        <w:rPr>
          <w:rFonts w:ascii="Arial" w:hAnsi="Arial" w:cs="Arial"/>
          <w:szCs w:val="24"/>
        </w:rPr>
        <w:t>-201</w:t>
      </w:r>
      <w:r w:rsidR="005C0178">
        <w:rPr>
          <w:rFonts w:ascii="Arial" w:hAnsi="Arial" w:cs="Arial"/>
          <w:szCs w:val="24"/>
        </w:rPr>
        <w:t>7</w:t>
      </w:r>
      <w:r w:rsidR="00E02CD5">
        <w:rPr>
          <w:rFonts w:ascii="Arial" w:hAnsi="Arial" w:cs="Arial"/>
          <w:szCs w:val="24"/>
        </w:rPr>
        <w:t xml:space="preserve">. </w:t>
      </w:r>
      <w:r w:rsidR="00C47DB3">
        <w:rPr>
          <w:rFonts w:ascii="Arial" w:hAnsi="Arial" w:cs="Arial"/>
          <w:szCs w:val="24"/>
        </w:rPr>
        <w:t xml:space="preserve"> </w:t>
      </w:r>
    </w:p>
    <w:p w14:paraId="5E0A25FB" w14:textId="77777777" w:rsidR="00CA1AFC" w:rsidRPr="002B04F3" w:rsidRDefault="00CA1AFC" w:rsidP="00CA1AFC">
      <w:pPr>
        <w:spacing w:line="276" w:lineRule="auto"/>
        <w:jc w:val="both"/>
        <w:rPr>
          <w:rFonts w:ascii="Arial" w:hAnsi="Arial" w:cs="Arial"/>
          <w:szCs w:val="24"/>
        </w:rPr>
      </w:pPr>
    </w:p>
    <w:p w14:paraId="465FF1D7" w14:textId="5AAD55E4" w:rsidR="00D07B8D" w:rsidRPr="002B04F3" w:rsidRDefault="002769FA" w:rsidP="00CA1AFC">
      <w:pPr>
        <w:spacing w:line="276" w:lineRule="auto"/>
        <w:jc w:val="both"/>
        <w:rPr>
          <w:rFonts w:ascii="Arial" w:hAnsi="Arial" w:cs="Arial"/>
          <w:szCs w:val="24"/>
        </w:rPr>
      </w:pPr>
      <w:r w:rsidRPr="002B04F3">
        <w:rPr>
          <w:rFonts w:ascii="Arial" w:hAnsi="Arial" w:cs="Arial"/>
          <w:b/>
          <w:szCs w:val="24"/>
        </w:rPr>
        <w:t>La Administradora Colombiana de Pensiones - Colpensiones</w:t>
      </w:r>
      <w:r w:rsidR="00CA1AFC" w:rsidRPr="002B04F3">
        <w:rPr>
          <w:rFonts w:ascii="Arial" w:hAnsi="Arial" w:cs="Arial"/>
          <w:b/>
          <w:szCs w:val="24"/>
        </w:rPr>
        <w:t xml:space="preserve"> </w:t>
      </w:r>
      <w:r w:rsidR="00CA1AFC" w:rsidRPr="002B04F3">
        <w:rPr>
          <w:rFonts w:ascii="Arial" w:hAnsi="Arial" w:cs="Arial"/>
          <w:szCs w:val="24"/>
        </w:rPr>
        <w:t xml:space="preserve">se opuso </w:t>
      </w:r>
      <w:r w:rsidR="00952167">
        <w:rPr>
          <w:rFonts w:ascii="Arial" w:hAnsi="Arial" w:cs="Arial"/>
          <w:szCs w:val="24"/>
        </w:rPr>
        <w:t>a</w:t>
      </w:r>
      <w:r w:rsidR="00CA1AFC" w:rsidRPr="002B04F3">
        <w:rPr>
          <w:rFonts w:ascii="Arial" w:hAnsi="Arial" w:cs="Arial"/>
          <w:szCs w:val="24"/>
        </w:rPr>
        <w:t xml:space="preserve"> las pretensiones</w:t>
      </w:r>
      <w:r w:rsidR="00267D65">
        <w:rPr>
          <w:rFonts w:ascii="Arial" w:hAnsi="Arial" w:cs="Arial"/>
          <w:szCs w:val="24"/>
        </w:rPr>
        <w:t xml:space="preserve"> </w:t>
      </w:r>
      <w:r w:rsidR="003A388C" w:rsidRPr="002B04F3">
        <w:rPr>
          <w:rFonts w:ascii="Arial" w:hAnsi="Arial" w:cs="Arial"/>
          <w:szCs w:val="24"/>
        </w:rPr>
        <w:t>y como razones de defensa expuso que</w:t>
      </w:r>
      <w:r w:rsidR="00A94CBB" w:rsidRPr="002B04F3">
        <w:rPr>
          <w:rFonts w:ascii="Arial" w:hAnsi="Arial" w:cs="Arial"/>
          <w:szCs w:val="24"/>
        </w:rPr>
        <w:t xml:space="preserve"> no </w:t>
      </w:r>
      <w:r w:rsidR="003A388C" w:rsidRPr="002B04F3">
        <w:rPr>
          <w:rFonts w:ascii="Arial" w:hAnsi="Arial" w:cs="Arial"/>
          <w:szCs w:val="24"/>
        </w:rPr>
        <w:t xml:space="preserve">se </w:t>
      </w:r>
      <w:r w:rsidR="00A94CBB" w:rsidRPr="002B04F3">
        <w:rPr>
          <w:rFonts w:ascii="Arial" w:hAnsi="Arial" w:cs="Arial"/>
          <w:szCs w:val="24"/>
        </w:rPr>
        <w:t>cumpl</w:t>
      </w:r>
      <w:r w:rsidR="003A388C" w:rsidRPr="002B04F3">
        <w:rPr>
          <w:rFonts w:ascii="Arial" w:hAnsi="Arial" w:cs="Arial"/>
          <w:szCs w:val="24"/>
        </w:rPr>
        <w:t xml:space="preserve">e </w:t>
      </w:r>
      <w:r w:rsidR="00A94CBB" w:rsidRPr="002B04F3">
        <w:rPr>
          <w:rFonts w:ascii="Arial" w:hAnsi="Arial" w:cs="Arial"/>
          <w:szCs w:val="24"/>
        </w:rPr>
        <w:t>con l</w:t>
      </w:r>
      <w:r w:rsidR="00715E43" w:rsidRPr="002B04F3">
        <w:rPr>
          <w:rFonts w:ascii="Arial" w:hAnsi="Arial" w:cs="Arial"/>
          <w:szCs w:val="24"/>
        </w:rPr>
        <w:t>a densidad semanas exigidas</w:t>
      </w:r>
      <w:r w:rsidR="00A94CBB" w:rsidRPr="002B04F3">
        <w:rPr>
          <w:rFonts w:ascii="Arial" w:hAnsi="Arial" w:cs="Arial"/>
          <w:szCs w:val="24"/>
        </w:rPr>
        <w:t xml:space="preserve"> en la </w:t>
      </w:r>
      <w:r w:rsidR="00715E43" w:rsidRPr="002B04F3">
        <w:rPr>
          <w:rFonts w:ascii="Arial" w:hAnsi="Arial" w:cs="Arial"/>
          <w:szCs w:val="24"/>
        </w:rPr>
        <w:t>L</w:t>
      </w:r>
      <w:r w:rsidR="00B5613D" w:rsidRPr="002B04F3">
        <w:rPr>
          <w:rFonts w:ascii="Arial" w:hAnsi="Arial" w:cs="Arial"/>
          <w:szCs w:val="24"/>
        </w:rPr>
        <w:t>ey</w:t>
      </w:r>
      <w:r w:rsidR="00715E43" w:rsidRPr="002B04F3">
        <w:rPr>
          <w:rFonts w:ascii="Arial" w:hAnsi="Arial" w:cs="Arial"/>
          <w:szCs w:val="24"/>
        </w:rPr>
        <w:t xml:space="preserve"> 860 de 2003</w:t>
      </w:r>
      <w:r w:rsidR="00D07B8D" w:rsidRPr="002B04F3">
        <w:rPr>
          <w:rFonts w:ascii="Arial" w:hAnsi="Arial" w:cs="Arial"/>
          <w:szCs w:val="24"/>
        </w:rPr>
        <w:t xml:space="preserve">. </w:t>
      </w:r>
      <w:r w:rsidR="00715E43" w:rsidRPr="002B04F3">
        <w:rPr>
          <w:rFonts w:ascii="Arial" w:hAnsi="Arial" w:cs="Arial"/>
          <w:szCs w:val="24"/>
        </w:rPr>
        <w:t xml:space="preserve">Formuló </w:t>
      </w:r>
      <w:r w:rsidR="00D07B8D" w:rsidRPr="002B04F3">
        <w:rPr>
          <w:rFonts w:ascii="Arial" w:hAnsi="Arial" w:cs="Arial"/>
          <w:szCs w:val="24"/>
        </w:rPr>
        <w:t>las excepciones de “</w:t>
      </w:r>
      <w:r w:rsidR="00D07B8D" w:rsidRPr="002B04F3">
        <w:rPr>
          <w:rFonts w:ascii="Arial" w:hAnsi="Arial" w:cs="Arial"/>
          <w:i/>
          <w:szCs w:val="24"/>
        </w:rPr>
        <w:t xml:space="preserve">inexistencia de la obligación </w:t>
      </w:r>
      <w:r w:rsidR="00952167">
        <w:rPr>
          <w:rFonts w:ascii="Arial" w:hAnsi="Arial" w:cs="Arial"/>
          <w:i/>
          <w:szCs w:val="24"/>
        </w:rPr>
        <w:t>demandada</w:t>
      </w:r>
      <w:r w:rsidR="00D07B8D" w:rsidRPr="002B04F3">
        <w:rPr>
          <w:rFonts w:ascii="Arial" w:hAnsi="Arial" w:cs="Arial"/>
          <w:i/>
          <w:szCs w:val="24"/>
        </w:rPr>
        <w:t>”,</w:t>
      </w:r>
      <w:r w:rsidR="00D07B8D" w:rsidRPr="002B04F3">
        <w:rPr>
          <w:rFonts w:ascii="Arial" w:hAnsi="Arial" w:cs="Arial"/>
          <w:szCs w:val="24"/>
        </w:rPr>
        <w:t xml:space="preserve"> “</w:t>
      </w:r>
      <w:r w:rsidR="00952167" w:rsidRPr="002B04F3">
        <w:rPr>
          <w:rFonts w:ascii="Arial" w:hAnsi="Arial" w:cs="Arial"/>
          <w:i/>
          <w:szCs w:val="24"/>
        </w:rPr>
        <w:t>Prescripción</w:t>
      </w:r>
      <w:r w:rsidR="00952167">
        <w:rPr>
          <w:rFonts w:ascii="Arial" w:hAnsi="Arial" w:cs="Arial"/>
          <w:i/>
          <w:szCs w:val="24"/>
        </w:rPr>
        <w:t xml:space="preserve">” y </w:t>
      </w:r>
      <w:r w:rsidR="00D07B8D" w:rsidRPr="002B04F3">
        <w:rPr>
          <w:rFonts w:ascii="Arial" w:hAnsi="Arial" w:cs="Arial"/>
          <w:szCs w:val="24"/>
        </w:rPr>
        <w:t>“</w:t>
      </w:r>
      <w:r w:rsidR="00952167">
        <w:rPr>
          <w:rFonts w:ascii="Arial" w:hAnsi="Arial" w:cs="Arial"/>
          <w:i/>
          <w:szCs w:val="24"/>
        </w:rPr>
        <w:t>Declaratoria de otras excepciones</w:t>
      </w:r>
      <w:r w:rsidR="00DB4E0E" w:rsidRPr="002B04F3">
        <w:rPr>
          <w:rFonts w:ascii="Arial" w:hAnsi="Arial" w:cs="Arial"/>
          <w:i/>
          <w:szCs w:val="24"/>
        </w:rPr>
        <w:t>”</w:t>
      </w:r>
      <w:r w:rsidR="00466D21" w:rsidRPr="002B04F3">
        <w:rPr>
          <w:rFonts w:ascii="Arial" w:hAnsi="Arial" w:cs="Arial"/>
          <w:i/>
          <w:szCs w:val="24"/>
        </w:rPr>
        <w:t>.</w:t>
      </w:r>
    </w:p>
    <w:p w14:paraId="4376BBC0" w14:textId="77777777" w:rsidR="002A4B48" w:rsidRPr="00BD5769" w:rsidRDefault="002A4B48" w:rsidP="00BD5769">
      <w:pPr>
        <w:spacing w:line="276" w:lineRule="auto"/>
        <w:jc w:val="both"/>
        <w:rPr>
          <w:rFonts w:ascii="Arial" w:eastAsia="Calibri" w:hAnsi="Arial" w:cs="Arial"/>
          <w:szCs w:val="24"/>
          <w:lang w:val="es-CO" w:eastAsia="en-US"/>
        </w:rPr>
      </w:pPr>
    </w:p>
    <w:p w14:paraId="0DF05744" w14:textId="3BDECF08" w:rsidR="00226D5F" w:rsidRPr="002B04F3" w:rsidRDefault="00715E43" w:rsidP="00715E43">
      <w:pPr>
        <w:spacing w:line="276" w:lineRule="auto"/>
        <w:rPr>
          <w:rFonts w:ascii="Arial" w:hAnsi="Arial" w:cs="Arial"/>
          <w:b/>
          <w:szCs w:val="24"/>
        </w:rPr>
      </w:pPr>
      <w:r w:rsidRPr="002B04F3">
        <w:rPr>
          <w:rFonts w:ascii="Arial" w:hAnsi="Arial" w:cs="Arial"/>
          <w:b/>
          <w:szCs w:val="24"/>
        </w:rPr>
        <w:t xml:space="preserve">2. </w:t>
      </w:r>
      <w:r w:rsidR="00312238" w:rsidRPr="002B04F3">
        <w:rPr>
          <w:rFonts w:ascii="Arial" w:hAnsi="Arial" w:cs="Arial"/>
          <w:b/>
          <w:szCs w:val="24"/>
        </w:rPr>
        <w:t xml:space="preserve">Síntesis de la sentencia </w:t>
      </w:r>
      <w:r w:rsidR="004F2336" w:rsidRPr="002B04F3">
        <w:rPr>
          <w:rFonts w:ascii="Arial" w:hAnsi="Arial" w:cs="Arial"/>
          <w:b/>
          <w:szCs w:val="24"/>
        </w:rPr>
        <w:t>apelada</w:t>
      </w:r>
    </w:p>
    <w:p w14:paraId="36230131" w14:textId="77777777" w:rsidR="00EC05B2" w:rsidRPr="00BD5769" w:rsidRDefault="00EC05B2" w:rsidP="00BD5769">
      <w:pPr>
        <w:spacing w:line="276" w:lineRule="auto"/>
        <w:jc w:val="both"/>
        <w:rPr>
          <w:rFonts w:ascii="Arial" w:eastAsia="Calibri" w:hAnsi="Arial" w:cs="Arial"/>
          <w:szCs w:val="24"/>
          <w:lang w:val="es-CO" w:eastAsia="en-US"/>
        </w:rPr>
      </w:pPr>
    </w:p>
    <w:p w14:paraId="58507E47" w14:textId="0A2EBEFE" w:rsidR="003D29CD" w:rsidRPr="002B04F3" w:rsidRDefault="00226D5F" w:rsidP="003D29CD">
      <w:pPr>
        <w:spacing w:line="276" w:lineRule="auto"/>
        <w:jc w:val="both"/>
        <w:rPr>
          <w:rFonts w:ascii="Arial" w:hAnsi="Arial" w:cs="Arial"/>
          <w:color w:val="000000"/>
          <w:szCs w:val="24"/>
          <w:lang w:eastAsia="es-CO"/>
        </w:rPr>
      </w:pPr>
      <w:r w:rsidRPr="002B04F3">
        <w:rPr>
          <w:rFonts w:ascii="Arial" w:hAnsi="Arial" w:cs="Arial"/>
          <w:color w:val="000000"/>
          <w:szCs w:val="24"/>
          <w:lang w:eastAsia="es-CO"/>
        </w:rPr>
        <w:t>El Juzgado</w:t>
      </w:r>
      <w:r w:rsidR="0053562A" w:rsidRPr="002B04F3">
        <w:rPr>
          <w:rFonts w:ascii="Arial" w:hAnsi="Arial" w:cs="Arial"/>
          <w:color w:val="000000"/>
          <w:szCs w:val="24"/>
          <w:lang w:eastAsia="es-CO"/>
        </w:rPr>
        <w:t xml:space="preserve"> </w:t>
      </w:r>
      <w:r w:rsidR="00925D95">
        <w:rPr>
          <w:rFonts w:ascii="Arial" w:hAnsi="Arial" w:cs="Arial"/>
          <w:color w:val="000000"/>
          <w:szCs w:val="24"/>
          <w:lang w:eastAsia="es-CO"/>
        </w:rPr>
        <w:t>Primero</w:t>
      </w:r>
      <w:r w:rsidR="004F2336" w:rsidRPr="002B04F3">
        <w:rPr>
          <w:rFonts w:ascii="Arial" w:hAnsi="Arial" w:cs="Arial"/>
          <w:color w:val="000000"/>
          <w:szCs w:val="24"/>
          <w:lang w:eastAsia="es-CO"/>
        </w:rPr>
        <w:t xml:space="preserve"> </w:t>
      </w:r>
      <w:r w:rsidRPr="002B04F3">
        <w:rPr>
          <w:rFonts w:ascii="Arial" w:hAnsi="Arial" w:cs="Arial"/>
          <w:color w:val="000000"/>
          <w:szCs w:val="24"/>
          <w:lang w:eastAsia="es-CO"/>
        </w:rPr>
        <w:t>Laboral del Circuito de Pereira</w:t>
      </w:r>
      <w:r w:rsidR="00925D95">
        <w:rPr>
          <w:rFonts w:ascii="Arial" w:hAnsi="Arial" w:cs="Arial"/>
          <w:color w:val="000000"/>
          <w:szCs w:val="24"/>
          <w:lang w:eastAsia="es-CO"/>
        </w:rPr>
        <w:t xml:space="preserve"> </w:t>
      </w:r>
      <w:r w:rsidR="000012EA">
        <w:rPr>
          <w:rFonts w:ascii="Arial" w:hAnsi="Arial" w:cs="Arial"/>
          <w:color w:val="000000"/>
          <w:szCs w:val="24"/>
          <w:lang w:eastAsia="es-CO"/>
        </w:rPr>
        <w:t>reconoció la pensión de invalidez</w:t>
      </w:r>
      <w:r w:rsidR="006C4D49">
        <w:rPr>
          <w:rFonts w:ascii="Arial" w:hAnsi="Arial" w:cs="Arial"/>
          <w:color w:val="000000"/>
          <w:szCs w:val="24"/>
          <w:lang w:eastAsia="es-CO"/>
        </w:rPr>
        <w:t xml:space="preserve"> equivalente a 1 smlmv, a razón de 13 mesadas anuales</w:t>
      </w:r>
      <w:r w:rsidR="000012EA">
        <w:rPr>
          <w:rFonts w:ascii="Arial" w:hAnsi="Arial" w:cs="Arial"/>
          <w:color w:val="000000"/>
          <w:szCs w:val="24"/>
          <w:lang w:eastAsia="es-CO"/>
        </w:rPr>
        <w:t xml:space="preserve">, con un retroactivo desde </w:t>
      </w:r>
      <w:r w:rsidR="00197967">
        <w:rPr>
          <w:rFonts w:ascii="Arial" w:hAnsi="Arial" w:cs="Arial"/>
          <w:color w:val="000000"/>
          <w:szCs w:val="24"/>
          <w:lang w:eastAsia="es-CO"/>
        </w:rPr>
        <w:t>el 29-03-2017,</w:t>
      </w:r>
      <w:r w:rsidR="006C4D49">
        <w:rPr>
          <w:rFonts w:ascii="Arial" w:hAnsi="Arial" w:cs="Arial"/>
          <w:color w:val="000000"/>
          <w:szCs w:val="24"/>
          <w:lang w:eastAsia="es-CO"/>
        </w:rPr>
        <w:t xml:space="preserve"> fecha de</w:t>
      </w:r>
      <w:r w:rsidR="000012EA">
        <w:rPr>
          <w:rFonts w:ascii="Arial" w:hAnsi="Arial" w:cs="Arial"/>
          <w:color w:val="000000"/>
          <w:szCs w:val="24"/>
          <w:lang w:eastAsia="es-CO"/>
        </w:rPr>
        <w:t xml:space="preserve"> presentación de la demanda e intereses a partir </w:t>
      </w:r>
      <w:r w:rsidR="00840563">
        <w:rPr>
          <w:rFonts w:ascii="Arial" w:hAnsi="Arial" w:cs="Arial"/>
          <w:color w:val="000000"/>
          <w:szCs w:val="24"/>
          <w:lang w:eastAsia="es-CO"/>
        </w:rPr>
        <w:t xml:space="preserve">del momento en que venza el término que tiene la demandada para efectuar el reconocimiento de la prestación; y </w:t>
      </w:r>
      <w:r w:rsidR="00925D95">
        <w:rPr>
          <w:rFonts w:ascii="Arial" w:hAnsi="Arial" w:cs="Arial"/>
          <w:color w:val="000000"/>
          <w:szCs w:val="24"/>
          <w:lang w:eastAsia="es-CO"/>
        </w:rPr>
        <w:t>absolvió a la demandada del pago de costas procesales</w:t>
      </w:r>
      <w:r w:rsidR="003D29CD" w:rsidRPr="002B04F3">
        <w:rPr>
          <w:rFonts w:ascii="Arial" w:hAnsi="Arial" w:cs="Arial"/>
          <w:color w:val="000000"/>
          <w:szCs w:val="24"/>
          <w:lang w:eastAsia="es-CO"/>
        </w:rPr>
        <w:t>.</w:t>
      </w:r>
    </w:p>
    <w:p w14:paraId="23095AF0" w14:textId="77777777" w:rsidR="003D29CD" w:rsidRPr="002B04F3" w:rsidRDefault="003D29CD" w:rsidP="00C33CE3">
      <w:pPr>
        <w:spacing w:line="276" w:lineRule="auto"/>
        <w:jc w:val="both"/>
        <w:rPr>
          <w:rFonts w:ascii="Arial" w:hAnsi="Arial" w:cs="Arial"/>
          <w:color w:val="000000"/>
          <w:szCs w:val="24"/>
          <w:lang w:eastAsia="es-CO"/>
        </w:rPr>
      </w:pPr>
    </w:p>
    <w:p w14:paraId="7126CE64" w14:textId="3E5883F8" w:rsidR="00100214" w:rsidRDefault="003D29CD" w:rsidP="00EA263F">
      <w:pPr>
        <w:spacing w:line="276" w:lineRule="auto"/>
        <w:jc w:val="both"/>
        <w:rPr>
          <w:rFonts w:ascii="Arial" w:hAnsi="Arial" w:cs="Arial"/>
          <w:color w:val="000000"/>
          <w:szCs w:val="24"/>
          <w:lang w:eastAsia="es-CO"/>
        </w:rPr>
      </w:pPr>
      <w:r w:rsidRPr="002B04F3">
        <w:rPr>
          <w:rFonts w:ascii="Arial" w:hAnsi="Arial" w:cs="Arial"/>
          <w:color w:val="000000"/>
          <w:szCs w:val="24"/>
          <w:lang w:eastAsia="es-CO"/>
        </w:rPr>
        <w:t>Para arribar a la anterior decisión, expuso</w:t>
      </w:r>
      <w:r w:rsidR="00100214">
        <w:rPr>
          <w:rFonts w:ascii="Arial" w:hAnsi="Arial" w:cs="Arial"/>
          <w:color w:val="000000"/>
          <w:szCs w:val="24"/>
          <w:lang w:eastAsia="es-CO"/>
        </w:rPr>
        <w:t xml:space="preserve"> </w:t>
      </w:r>
      <w:r w:rsidRPr="002B04F3">
        <w:rPr>
          <w:rFonts w:ascii="Arial" w:hAnsi="Arial" w:cs="Arial"/>
          <w:color w:val="000000"/>
          <w:szCs w:val="24"/>
          <w:lang w:eastAsia="es-CO"/>
        </w:rPr>
        <w:t xml:space="preserve"> </w:t>
      </w:r>
      <w:r w:rsidR="00385650" w:rsidRPr="002B04F3">
        <w:rPr>
          <w:rFonts w:ascii="Arial" w:hAnsi="Arial" w:cs="Arial"/>
          <w:color w:val="000000"/>
          <w:szCs w:val="24"/>
          <w:lang w:eastAsia="es-CO"/>
        </w:rPr>
        <w:t xml:space="preserve">que </w:t>
      </w:r>
      <w:r w:rsidR="00100214">
        <w:rPr>
          <w:rFonts w:ascii="Arial" w:hAnsi="Arial" w:cs="Arial"/>
          <w:color w:val="000000"/>
          <w:szCs w:val="24"/>
          <w:lang w:eastAsia="es-CO"/>
        </w:rPr>
        <w:t>si bien es cierto la parte actora no satisface los requisitos de la ley 860 de 2003, resulta procedente la aplicación del A- 049/90 en atención al principio de la condición más</w:t>
      </w:r>
      <w:r w:rsidR="001C17AC">
        <w:rPr>
          <w:rFonts w:ascii="Arial" w:hAnsi="Arial" w:cs="Arial"/>
          <w:color w:val="000000"/>
          <w:szCs w:val="24"/>
          <w:lang w:eastAsia="es-CO"/>
        </w:rPr>
        <w:t xml:space="preserve"> beneficiosa, pues cumple con </w:t>
      </w:r>
      <w:r w:rsidR="000C421D">
        <w:rPr>
          <w:rFonts w:ascii="Arial" w:hAnsi="Arial" w:cs="Arial"/>
          <w:color w:val="000000"/>
          <w:szCs w:val="24"/>
          <w:lang w:eastAsia="es-CO"/>
        </w:rPr>
        <w:t>las exigencias</w:t>
      </w:r>
      <w:r w:rsidR="001C17AC">
        <w:rPr>
          <w:rFonts w:ascii="Arial" w:hAnsi="Arial" w:cs="Arial"/>
          <w:color w:val="000000"/>
          <w:szCs w:val="24"/>
          <w:lang w:eastAsia="es-CO"/>
        </w:rPr>
        <w:t xml:space="preserve"> de dicho </w:t>
      </w:r>
      <w:r w:rsidR="00100214">
        <w:rPr>
          <w:rFonts w:ascii="Arial" w:hAnsi="Arial" w:cs="Arial"/>
          <w:color w:val="000000"/>
          <w:szCs w:val="24"/>
          <w:lang w:eastAsia="es-CO"/>
        </w:rPr>
        <w:t>acuerdo</w:t>
      </w:r>
      <w:r w:rsidR="000C421D">
        <w:rPr>
          <w:rFonts w:ascii="Arial" w:hAnsi="Arial" w:cs="Arial"/>
          <w:color w:val="000000"/>
          <w:szCs w:val="24"/>
          <w:lang w:eastAsia="es-CO"/>
        </w:rPr>
        <w:t>;</w:t>
      </w:r>
      <w:r w:rsidR="00100214">
        <w:rPr>
          <w:rFonts w:ascii="Arial" w:hAnsi="Arial" w:cs="Arial"/>
          <w:color w:val="000000"/>
          <w:szCs w:val="24"/>
          <w:lang w:eastAsia="es-CO"/>
        </w:rPr>
        <w:t xml:space="preserve"> </w:t>
      </w:r>
      <w:r w:rsidR="00100214" w:rsidRPr="00100214">
        <w:rPr>
          <w:rFonts w:ascii="Arial" w:hAnsi="Arial" w:cs="Arial"/>
          <w:i/>
          <w:color w:val="000000"/>
          <w:szCs w:val="24"/>
          <w:lang w:eastAsia="es-CO"/>
        </w:rPr>
        <w:t>i)</w:t>
      </w:r>
      <w:r w:rsidR="00100214">
        <w:rPr>
          <w:rFonts w:ascii="Arial" w:hAnsi="Arial" w:cs="Arial"/>
          <w:color w:val="000000"/>
          <w:szCs w:val="24"/>
          <w:lang w:eastAsia="es-CO"/>
        </w:rPr>
        <w:t xml:space="preserve"> PCL superior al 50%; </w:t>
      </w:r>
      <w:r w:rsidR="00100214" w:rsidRPr="00100214">
        <w:rPr>
          <w:rFonts w:ascii="Arial" w:hAnsi="Arial" w:cs="Arial"/>
          <w:i/>
          <w:color w:val="000000"/>
          <w:szCs w:val="24"/>
          <w:lang w:eastAsia="es-CO"/>
        </w:rPr>
        <w:t>ii)</w:t>
      </w:r>
      <w:r w:rsidR="00100214">
        <w:rPr>
          <w:rFonts w:ascii="Arial" w:hAnsi="Arial" w:cs="Arial"/>
          <w:color w:val="000000"/>
          <w:szCs w:val="24"/>
          <w:lang w:eastAsia="es-CO"/>
        </w:rPr>
        <w:t xml:space="preserve"> más de 700 semanas cotizadas antes de la entrada en vigencia de la ley 100 de 1993.</w:t>
      </w:r>
    </w:p>
    <w:p w14:paraId="0781C1ED" w14:textId="0734C057" w:rsidR="00742DCB" w:rsidRPr="00BD5769" w:rsidRDefault="00815E4A" w:rsidP="00742DCB">
      <w:pPr>
        <w:spacing w:line="276" w:lineRule="auto"/>
        <w:jc w:val="both"/>
        <w:rPr>
          <w:rFonts w:ascii="Arial" w:eastAsia="Calibri" w:hAnsi="Arial" w:cs="Arial"/>
          <w:szCs w:val="24"/>
          <w:lang w:val="es-CO" w:eastAsia="en-US"/>
        </w:rPr>
      </w:pPr>
      <w:r w:rsidRPr="00BD5769">
        <w:rPr>
          <w:rFonts w:ascii="Arial" w:eastAsia="Calibri" w:hAnsi="Arial" w:cs="Arial"/>
          <w:szCs w:val="24"/>
          <w:lang w:val="es-CO" w:eastAsia="en-US"/>
        </w:rPr>
        <w:t xml:space="preserve"> </w:t>
      </w:r>
    </w:p>
    <w:p w14:paraId="5132F857" w14:textId="032F44B2" w:rsidR="00EA263F" w:rsidRPr="002B04F3" w:rsidRDefault="00F53A8A" w:rsidP="00EA263F">
      <w:pPr>
        <w:spacing w:line="276" w:lineRule="auto"/>
        <w:rPr>
          <w:rFonts w:ascii="Arial" w:hAnsi="Arial" w:cs="Arial"/>
          <w:b/>
          <w:szCs w:val="24"/>
        </w:rPr>
      </w:pPr>
      <w:r w:rsidRPr="002B04F3">
        <w:rPr>
          <w:rFonts w:ascii="Arial" w:hAnsi="Arial" w:cs="Arial"/>
          <w:b/>
          <w:szCs w:val="24"/>
        </w:rPr>
        <w:t xml:space="preserve">3. </w:t>
      </w:r>
      <w:r w:rsidR="00EA263F" w:rsidRPr="002B04F3">
        <w:rPr>
          <w:rFonts w:ascii="Arial" w:hAnsi="Arial" w:cs="Arial"/>
          <w:b/>
          <w:szCs w:val="24"/>
        </w:rPr>
        <w:t>Síntesis recurso</w:t>
      </w:r>
      <w:r w:rsidR="003F32A6">
        <w:rPr>
          <w:rFonts w:ascii="Arial" w:hAnsi="Arial" w:cs="Arial"/>
          <w:b/>
          <w:szCs w:val="24"/>
        </w:rPr>
        <w:t xml:space="preserve">s </w:t>
      </w:r>
      <w:r w:rsidR="00EA263F" w:rsidRPr="002B04F3">
        <w:rPr>
          <w:rFonts w:ascii="Arial" w:hAnsi="Arial" w:cs="Arial"/>
          <w:b/>
          <w:szCs w:val="24"/>
        </w:rPr>
        <w:t xml:space="preserve"> de apelación</w:t>
      </w:r>
      <w:r w:rsidR="003F32A6">
        <w:rPr>
          <w:rFonts w:ascii="Arial" w:hAnsi="Arial" w:cs="Arial"/>
          <w:b/>
          <w:szCs w:val="24"/>
        </w:rPr>
        <w:t xml:space="preserve"> </w:t>
      </w:r>
    </w:p>
    <w:p w14:paraId="104F3860" w14:textId="77249347" w:rsidR="00F53A8A" w:rsidRPr="00BD5769" w:rsidRDefault="00F53A8A" w:rsidP="00BD5769">
      <w:pPr>
        <w:spacing w:line="276" w:lineRule="auto"/>
        <w:jc w:val="both"/>
        <w:rPr>
          <w:rFonts w:ascii="Arial" w:eastAsia="Calibri" w:hAnsi="Arial" w:cs="Arial"/>
          <w:szCs w:val="24"/>
          <w:lang w:val="es-CO" w:eastAsia="en-US"/>
        </w:rPr>
      </w:pPr>
    </w:p>
    <w:p w14:paraId="476B150A" w14:textId="0CA3058D" w:rsidR="003F32A6" w:rsidRDefault="00F53A8A" w:rsidP="00F53A8A">
      <w:pPr>
        <w:spacing w:line="276" w:lineRule="auto"/>
        <w:jc w:val="both"/>
        <w:rPr>
          <w:rFonts w:ascii="Arial" w:hAnsi="Arial" w:cs="Arial"/>
          <w:color w:val="000000"/>
          <w:szCs w:val="24"/>
          <w:lang w:eastAsia="es-CO"/>
        </w:rPr>
      </w:pPr>
      <w:r w:rsidRPr="002B04F3">
        <w:rPr>
          <w:rFonts w:ascii="Arial" w:hAnsi="Arial" w:cs="Arial"/>
          <w:color w:val="000000"/>
          <w:szCs w:val="24"/>
          <w:lang w:eastAsia="es-CO"/>
        </w:rPr>
        <w:t>Contra la anterior decisión s</w:t>
      </w:r>
      <w:r w:rsidR="001B4B4B" w:rsidRPr="002B04F3">
        <w:rPr>
          <w:rFonts w:ascii="Arial" w:hAnsi="Arial" w:cs="Arial"/>
          <w:color w:val="000000"/>
          <w:szCs w:val="24"/>
          <w:lang w:eastAsia="es-CO"/>
        </w:rPr>
        <w:t xml:space="preserve">e </w:t>
      </w:r>
      <w:r w:rsidR="00FC1499" w:rsidRPr="002B04F3">
        <w:rPr>
          <w:rFonts w:ascii="Arial" w:hAnsi="Arial" w:cs="Arial"/>
          <w:color w:val="000000"/>
          <w:szCs w:val="24"/>
          <w:lang w:eastAsia="es-CO"/>
        </w:rPr>
        <w:t>alzó la parte actora</w:t>
      </w:r>
      <w:r w:rsidR="00C07669" w:rsidRPr="002B04F3">
        <w:rPr>
          <w:rFonts w:ascii="Arial" w:hAnsi="Arial" w:cs="Arial"/>
          <w:color w:val="000000"/>
          <w:szCs w:val="24"/>
          <w:lang w:eastAsia="es-CO"/>
        </w:rPr>
        <w:t>,</w:t>
      </w:r>
      <w:r w:rsidR="00FC1499" w:rsidRPr="002B04F3">
        <w:rPr>
          <w:rFonts w:ascii="Arial" w:hAnsi="Arial" w:cs="Arial"/>
          <w:color w:val="000000"/>
          <w:szCs w:val="24"/>
          <w:lang w:eastAsia="es-CO"/>
        </w:rPr>
        <w:t xml:space="preserve"> al considerar que</w:t>
      </w:r>
      <w:r w:rsidR="001B4B4B" w:rsidRPr="002B04F3">
        <w:rPr>
          <w:rFonts w:ascii="Arial" w:hAnsi="Arial" w:cs="Arial"/>
          <w:color w:val="000000"/>
          <w:szCs w:val="24"/>
          <w:lang w:eastAsia="es-CO"/>
        </w:rPr>
        <w:t xml:space="preserve"> </w:t>
      </w:r>
      <w:r w:rsidR="003F32A6">
        <w:rPr>
          <w:rFonts w:ascii="Arial" w:hAnsi="Arial" w:cs="Arial"/>
          <w:color w:val="000000"/>
          <w:szCs w:val="24"/>
          <w:lang w:eastAsia="es-CO"/>
        </w:rPr>
        <w:t xml:space="preserve">la prestación debía reconocerse </w:t>
      </w:r>
      <w:r w:rsidR="006C4D49">
        <w:rPr>
          <w:rFonts w:ascii="Arial" w:hAnsi="Arial" w:cs="Arial"/>
          <w:color w:val="000000"/>
          <w:szCs w:val="24"/>
          <w:lang w:eastAsia="es-CO"/>
        </w:rPr>
        <w:t xml:space="preserve">desde </w:t>
      </w:r>
      <w:r w:rsidR="003F32A6">
        <w:rPr>
          <w:rFonts w:ascii="Arial" w:hAnsi="Arial" w:cs="Arial"/>
          <w:color w:val="000000"/>
          <w:szCs w:val="24"/>
          <w:lang w:eastAsia="es-CO"/>
        </w:rPr>
        <w:t xml:space="preserve">la fecha de estructuración </w:t>
      </w:r>
      <w:r w:rsidR="00B61A97">
        <w:rPr>
          <w:rFonts w:ascii="Arial" w:hAnsi="Arial" w:cs="Arial"/>
          <w:color w:val="000000"/>
          <w:szCs w:val="24"/>
          <w:lang w:eastAsia="es-CO"/>
        </w:rPr>
        <w:t>de la invalidez 23-01-2014 y</w:t>
      </w:r>
      <w:r w:rsidR="003F32A6">
        <w:rPr>
          <w:rFonts w:ascii="Arial" w:hAnsi="Arial" w:cs="Arial"/>
          <w:color w:val="000000"/>
          <w:szCs w:val="24"/>
          <w:lang w:eastAsia="es-CO"/>
        </w:rPr>
        <w:t xml:space="preserve"> los interese</w:t>
      </w:r>
      <w:r w:rsidR="00B61A97">
        <w:rPr>
          <w:rFonts w:ascii="Arial" w:hAnsi="Arial" w:cs="Arial"/>
          <w:color w:val="000000"/>
          <w:szCs w:val="24"/>
          <w:lang w:eastAsia="es-CO"/>
        </w:rPr>
        <w:t>s</w:t>
      </w:r>
      <w:r w:rsidR="003F32A6">
        <w:rPr>
          <w:rFonts w:ascii="Arial" w:hAnsi="Arial" w:cs="Arial"/>
          <w:color w:val="000000"/>
          <w:szCs w:val="24"/>
          <w:lang w:eastAsia="es-CO"/>
        </w:rPr>
        <w:t xml:space="preserve"> moratorios</w:t>
      </w:r>
      <w:r w:rsidR="00B61A97">
        <w:rPr>
          <w:rFonts w:ascii="Arial" w:hAnsi="Arial" w:cs="Arial"/>
          <w:color w:val="000000"/>
          <w:szCs w:val="24"/>
          <w:lang w:eastAsia="es-CO"/>
        </w:rPr>
        <w:t>,</w:t>
      </w:r>
      <w:r w:rsidR="003F32A6">
        <w:rPr>
          <w:rFonts w:ascii="Arial" w:hAnsi="Arial" w:cs="Arial"/>
          <w:color w:val="000000"/>
          <w:szCs w:val="24"/>
          <w:lang w:eastAsia="es-CO"/>
        </w:rPr>
        <w:t xml:space="preserve"> según lo establece el artículo 141 de la Ley 100/93 </w:t>
      </w:r>
      <w:r w:rsidR="006C4D49">
        <w:rPr>
          <w:rFonts w:ascii="Arial" w:hAnsi="Arial" w:cs="Arial"/>
          <w:color w:val="000000"/>
          <w:szCs w:val="24"/>
          <w:lang w:eastAsia="es-CO"/>
        </w:rPr>
        <w:t xml:space="preserve"> </w:t>
      </w:r>
      <w:r w:rsidR="003F32A6">
        <w:rPr>
          <w:rFonts w:ascii="Arial" w:hAnsi="Arial" w:cs="Arial"/>
          <w:color w:val="000000"/>
          <w:szCs w:val="24"/>
          <w:lang w:eastAsia="es-CO"/>
        </w:rPr>
        <w:t>a partir de la fecha en que Colpensiones negó la pensión.</w:t>
      </w:r>
    </w:p>
    <w:p w14:paraId="5CEEFED4" w14:textId="77777777" w:rsidR="003F32A6" w:rsidRDefault="003F32A6" w:rsidP="00F53A8A">
      <w:pPr>
        <w:spacing w:line="276" w:lineRule="auto"/>
        <w:jc w:val="both"/>
        <w:rPr>
          <w:rFonts w:ascii="Arial" w:hAnsi="Arial" w:cs="Arial"/>
          <w:color w:val="000000"/>
          <w:szCs w:val="24"/>
          <w:lang w:eastAsia="es-CO"/>
        </w:rPr>
      </w:pPr>
    </w:p>
    <w:p w14:paraId="1D8A9B63" w14:textId="753A41D4" w:rsidR="00627AED" w:rsidRDefault="003F32A6" w:rsidP="00F53A8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Seguidamente el apoderado de Colpensiones sustentó </w:t>
      </w:r>
      <w:r w:rsidR="0055740E">
        <w:rPr>
          <w:rFonts w:ascii="Arial" w:hAnsi="Arial" w:cs="Arial"/>
          <w:color w:val="000000"/>
          <w:szCs w:val="24"/>
          <w:lang w:eastAsia="es-CO"/>
        </w:rPr>
        <w:t>el recurso con fundamento en el no cumplimiento de los requisitos de la Ley 860 de 2003  por  la pa</w:t>
      </w:r>
      <w:r w:rsidR="00681602">
        <w:rPr>
          <w:rFonts w:ascii="Arial" w:hAnsi="Arial" w:cs="Arial"/>
          <w:color w:val="000000"/>
          <w:szCs w:val="24"/>
          <w:lang w:eastAsia="es-CO"/>
        </w:rPr>
        <w:t>rte actor</w:t>
      </w:r>
      <w:r w:rsidR="0055740E">
        <w:rPr>
          <w:rFonts w:ascii="Arial" w:hAnsi="Arial" w:cs="Arial"/>
          <w:color w:val="000000"/>
          <w:szCs w:val="24"/>
          <w:lang w:eastAsia="es-CO"/>
        </w:rPr>
        <w:t xml:space="preserve"> para reconocer la pensión de invalidez, motivo por el cual no es viable acudir al principio de la condición </w:t>
      </w:r>
      <w:r w:rsidR="00DC63BE">
        <w:rPr>
          <w:rFonts w:ascii="Arial" w:hAnsi="Arial" w:cs="Arial"/>
          <w:color w:val="000000"/>
          <w:szCs w:val="24"/>
          <w:lang w:eastAsia="es-CO"/>
        </w:rPr>
        <w:t>más</w:t>
      </w:r>
      <w:r w:rsidR="0055740E">
        <w:rPr>
          <w:rFonts w:ascii="Arial" w:hAnsi="Arial" w:cs="Arial"/>
          <w:color w:val="000000"/>
          <w:szCs w:val="24"/>
          <w:lang w:eastAsia="es-CO"/>
        </w:rPr>
        <w:t xml:space="preserve"> beneficiosa.</w:t>
      </w:r>
    </w:p>
    <w:p w14:paraId="78C1C900" w14:textId="77777777" w:rsidR="004C6F02" w:rsidRDefault="004C6F02" w:rsidP="00F53A8A">
      <w:pPr>
        <w:spacing w:line="276" w:lineRule="auto"/>
        <w:jc w:val="both"/>
        <w:rPr>
          <w:rFonts w:ascii="Arial" w:hAnsi="Arial" w:cs="Arial"/>
          <w:color w:val="000000"/>
          <w:szCs w:val="24"/>
          <w:lang w:eastAsia="es-CO"/>
        </w:rPr>
      </w:pPr>
    </w:p>
    <w:p w14:paraId="4EBC8660" w14:textId="3C54DE15" w:rsidR="00DC63BE" w:rsidRPr="00FE502F" w:rsidRDefault="00DC63BE" w:rsidP="00DC63BE">
      <w:pPr>
        <w:spacing w:line="276" w:lineRule="auto"/>
        <w:contextualSpacing/>
        <w:jc w:val="both"/>
        <w:rPr>
          <w:rFonts w:ascii="Arial" w:hAnsi="Arial" w:cs="Arial"/>
          <w:b/>
          <w:szCs w:val="24"/>
        </w:rPr>
      </w:pPr>
      <w:r w:rsidRPr="00DC63BE">
        <w:rPr>
          <w:rFonts w:ascii="Arial" w:hAnsi="Arial" w:cs="Arial"/>
          <w:b/>
          <w:color w:val="000000"/>
          <w:szCs w:val="24"/>
          <w:lang w:eastAsia="es-CO"/>
        </w:rPr>
        <w:t>4.</w:t>
      </w:r>
      <w:r w:rsidRPr="00F16A5D">
        <w:rPr>
          <w:rFonts w:ascii="Arial" w:hAnsi="Arial" w:cs="Arial"/>
          <w:b/>
          <w:color w:val="000000"/>
          <w:szCs w:val="24"/>
          <w:lang w:eastAsia="es-CO"/>
        </w:rPr>
        <w:t xml:space="preserve"> </w:t>
      </w:r>
      <w:r>
        <w:rPr>
          <w:rFonts w:ascii="Arial" w:hAnsi="Arial" w:cs="Arial"/>
          <w:b/>
          <w:szCs w:val="24"/>
        </w:rPr>
        <w:t>Del grado jurisdiccional de consulta.</w:t>
      </w:r>
    </w:p>
    <w:p w14:paraId="317BDFED" w14:textId="77777777" w:rsidR="00DC63BE" w:rsidRDefault="00DC63BE" w:rsidP="00DC63BE">
      <w:pPr>
        <w:shd w:val="clear" w:color="auto" w:fill="FFFFFF"/>
        <w:spacing w:line="276" w:lineRule="auto"/>
        <w:ind w:firstLine="708"/>
        <w:contextualSpacing/>
        <w:jc w:val="both"/>
        <w:rPr>
          <w:rFonts w:ascii="Arial" w:hAnsi="Arial" w:cs="Arial"/>
          <w:szCs w:val="24"/>
        </w:rPr>
      </w:pPr>
    </w:p>
    <w:p w14:paraId="784A52C6" w14:textId="7E153022" w:rsidR="00DC63BE" w:rsidRDefault="00DC63BE" w:rsidP="00DC63BE">
      <w:pPr>
        <w:shd w:val="clear" w:color="auto" w:fill="FFFFFF"/>
        <w:spacing w:line="276" w:lineRule="auto"/>
        <w:jc w:val="both"/>
        <w:rPr>
          <w:rFonts w:ascii="Arial" w:hAnsi="Arial" w:cs="Arial"/>
          <w:szCs w:val="24"/>
        </w:rPr>
      </w:pPr>
      <w:r>
        <w:rPr>
          <w:rFonts w:ascii="Arial" w:hAnsi="Arial" w:cs="Arial"/>
          <w:szCs w:val="24"/>
        </w:rPr>
        <w:t xml:space="preserve">De conformidad con lo dispuesto por el artículo 69 del C.P.L. se ordenó el grado jurisdiccional de consulta respecto de la anterior decisión, al haber resultado totalmente adverso a los intereses </w:t>
      </w:r>
      <w:r w:rsidR="00B61A97">
        <w:rPr>
          <w:rFonts w:ascii="Arial" w:hAnsi="Arial" w:cs="Arial"/>
          <w:szCs w:val="24"/>
        </w:rPr>
        <w:t>de Colpensiones.</w:t>
      </w:r>
    </w:p>
    <w:p w14:paraId="3D48FDB6" w14:textId="3439FA92" w:rsidR="004C6F02" w:rsidRDefault="004C6F02" w:rsidP="00F53A8A">
      <w:pPr>
        <w:spacing w:line="276" w:lineRule="auto"/>
        <w:jc w:val="both"/>
        <w:rPr>
          <w:rFonts w:ascii="Arial" w:hAnsi="Arial" w:cs="Arial"/>
          <w:color w:val="000000" w:themeColor="text1"/>
          <w:szCs w:val="24"/>
          <w:lang w:val="es-CO"/>
        </w:rPr>
      </w:pPr>
    </w:p>
    <w:p w14:paraId="2F17A8DA" w14:textId="77777777" w:rsidR="00561158" w:rsidRPr="002B04F3" w:rsidRDefault="00561158" w:rsidP="00F53A8A">
      <w:pPr>
        <w:spacing w:line="276" w:lineRule="auto"/>
        <w:jc w:val="both"/>
        <w:rPr>
          <w:rFonts w:ascii="Arial" w:hAnsi="Arial" w:cs="Arial"/>
          <w:color w:val="000000" w:themeColor="text1"/>
          <w:szCs w:val="24"/>
          <w:lang w:val="es-CO"/>
        </w:rPr>
      </w:pPr>
    </w:p>
    <w:p w14:paraId="411CF23D" w14:textId="77777777" w:rsidR="00F53A8A" w:rsidRDefault="00F53A8A" w:rsidP="00F53A8A">
      <w:pPr>
        <w:shd w:val="clear" w:color="auto" w:fill="FFFFFF"/>
        <w:spacing w:line="276" w:lineRule="auto"/>
        <w:jc w:val="center"/>
        <w:rPr>
          <w:rFonts w:ascii="Arial" w:hAnsi="Arial" w:cs="Arial"/>
          <w:b/>
          <w:szCs w:val="24"/>
        </w:rPr>
      </w:pPr>
      <w:r w:rsidRPr="002B04F3">
        <w:rPr>
          <w:rFonts w:ascii="Arial" w:hAnsi="Arial" w:cs="Arial"/>
          <w:b/>
          <w:szCs w:val="24"/>
        </w:rPr>
        <w:t>CONSIDERACIONES</w:t>
      </w:r>
    </w:p>
    <w:p w14:paraId="0E85DCD7" w14:textId="77777777" w:rsidR="00F53A8A" w:rsidRPr="00113F11" w:rsidRDefault="00F53A8A" w:rsidP="00F53A8A">
      <w:pPr>
        <w:shd w:val="clear" w:color="auto" w:fill="FFFFFF"/>
        <w:tabs>
          <w:tab w:val="left" w:pos="5197"/>
        </w:tabs>
        <w:spacing w:line="276" w:lineRule="auto"/>
        <w:jc w:val="both"/>
        <w:rPr>
          <w:rFonts w:ascii="Arial" w:hAnsi="Arial" w:cs="Arial"/>
          <w:b/>
          <w:szCs w:val="24"/>
        </w:rPr>
      </w:pPr>
    </w:p>
    <w:p w14:paraId="4075CCF1" w14:textId="33740481" w:rsidR="00F53A8A" w:rsidRPr="00EC05B2" w:rsidRDefault="00EC05B2" w:rsidP="00EC05B2">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F53A8A" w:rsidRPr="00EC05B2">
        <w:rPr>
          <w:rFonts w:ascii="Arial" w:hAnsi="Arial" w:cs="Arial"/>
          <w:b/>
          <w:szCs w:val="24"/>
        </w:rPr>
        <w:t>Del problema jurídico</w:t>
      </w:r>
    </w:p>
    <w:p w14:paraId="0244132B" w14:textId="77777777" w:rsidR="00F53A8A" w:rsidRPr="00ED15E8" w:rsidRDefault="00F53A8A" w:rsidP="00F53A8A">
      <w:pPr>
        <w:ind w:left="1134"/>
        <w:jc w:val="both"/>
        <w:rPr>
          <w:rFonts w:ascii="Arial" w:hAnsi="Arial" w:cs="Arial"/>
          <w:color w:val="000000" w:themeColor="text1"/>
          <w:szCs w:val="24"/>
        </w:rPr>
      </w:pPr>
    </w:p>
    <w:p w14:paraId="20CA304A" w14:textId="20338F90" w:rsidR="00142340" w:rsidRPr="00B616F4" w:rsidRDefault="00B616F4" w:rsidP="00DB4E0E">
      <w:pPr>
        <w:spacing w:line="276" w:lineRule="auto"/>
        <w:jc w:val="both"/>
        <w:rPr>
          <w:rFonts w:ascii="Arial" w:hAnsi="Arial" w:cs="Arial"/>
          <w:iCs/>
          <w:szCs w:val="24"/>
        </w:rPr>
      </w:pPr>
      <w:r>
        <w:rPr>
          <w:rFonts w:ascii="Arial" w:hAnsi="Arial" w:cs="Arial"/>
          <w:szCs w:val="24"/>
        </w:rPr>
        <w:t xml:space="preserve">1.1 </w:t>
      </w:r>
      <w:r w:rsidR="00F53A8A" w:rsidRPr="00B616F4">
        <w:rPr>
          <w:rFonts w:ascii="Arial" w:hAnsi="Arial" w:cs="Arial"/>
          <w:szCs w:val="24"/>
        </w:rPr>
        <w:t xml:space="preserve">¿Resulta procedente el reconocimiento de la pensión de invalidez conforme al </w:t>
      </w:r>
      <w:r w:rsidR="00681602">
        <w:rPr>
          <w:rFonts w:ascii="Arial" w:hAnsi="Arial" w:cs="Arial"/>
          <w:szCs w:val="24"/>
        </w:rPr>
        <w:t>A-049/90</w:t>
      </w:r>
      <w:r w:rsidR="00F53A8A" w:rsidRPr="00B616F4">
        <w:rPr>
          <w:rFonts w:ascii="Arial" w:hAnsi="Arial" w:cs="Arial"/>
          <w:szCs w:val="24"/>
        </w:rPr>
        <w:t>, en aplicación del principio de la condición más beneficiosa, cuando la invalidez se estructuró en vigencia de la Ley 860 de 2003</w:t>
      </w:r>
      <w:r w:rsidR="007042FA" w:rsidRPr="00B616F4">
        <w:rPr>
          <w:rFonts w:ascii="Arial" w:hAnsi="Arial" w:cs="Arial"/>
          <w:iCs/>
          <w:szCs w:val="24"/>
        </w:rPr>
        <w:t>?</w:t>
      </w:r>
    </w:p>
    <w:p w14:paraId="3A347C6B" w14:textId="77777777" w:rsidR="00142340" w:rsidRPr="00142340" w:rsidRDefault="00142340" w:rsidP="00205086">
      <w:pPr>
        <w:pStyle w:val="Textoindependiente"/>
        <w:contextualSpacing/>
        <w:rPr>
          <w:b/>
          <w:iCs/>
          <w:color w:val="FF0000"/>
          <w:szCs w:val="24"/>
        </w:rPr>
      </w:pPr>
    </w:p>
    <w:p w14:paraId="322EE2F1" w14:textId="1C8A16B3" w:rsidR="00F53A8A" w:rsidRPr="00DF2ABC" w:rsidRDefault="000E37CD" w:rsidP="00205086">
      <w:pPr>
        <w:pStyle w:val="Textoindependiente"/>
        <w:contextualSpacing/>
        <w:rPr>
          <w:b/>
          <w:iCs/>
          <w:color w:val="000000" w:themeColor="text1"/>
          <w:szCs w:val="24"/>
        </w:rPr>
      </w:pPr>
      <w:r>
        <w:rPr>
          <w:b/>
          <w:iCs/>
          <w:color w:val="000000" w:themeColor="text1"/>
          <w:szCs w:val="24"/>
        </w:rPr>
        <w:t>2. Solución al problema jurídico</w:t>
      </w:r>
      <w:r w:rsidR="00F53A8A" w:rsidRPr="00DF2ABC">
        <w:rPr>
          <w:b/>
          <w:iCs/>
          <w:color w:val="000000" w:themeColor="text1"/>
          <w:szCs w:val="24"/>
        </w:rPr>
        <w:t xml:space="preserve"> </w:t>
      </w:r>
    </w:p>
    <w:p w14:paraId="4BC4F58C" w14:textId="77777777" w:rsidR="00F53A8A" w:rsidRPr="00DF2ABC" w:rsidRDefault="00F53A8A" w:rsidP="00205086">
      <w:pPr>
        <w:pStyle w:val="Textoindependiente"/>
        <w:ind w:left="390"/>
        <w:contextualSpacing/>
        <w:rPr>
          <w:b/>
          <w:iCs/>
          <w:color w:val="000000" w:themeColor="text1"/>
          <w:szCs w:val="24"/>
        </w:rPr>
      </w:pPr>
    </w:p>
    <w:p w14:paraId="247568EE" w14:textId="2B19C07C" w:rsidR="007042FA" w:rsidRDefault="00F53A8A" w:rsidP="00DB4E0E">
      <w:pPr>
        <w:pStyle w:val="Textoindependiente"/>
        <w:spacing w:line="276" w:lineRule="auto"/>
        <w:contextualSpacing/>
        <w:rPr>
          <w:color w:val="000000" w:themeColor="text1"/>
          <w:szCs w:val="24"/>
          <w:lang w:val="es-CO"/>
        </w:rPr>
      </w:pPr>
      <w:r w:rsidRPr="00205086">
        <w:rPr>
          <w:color w:val="000000" w:themeColor="text1"/>
          <w:szCs w:val="24"/>
          <w:shd w:val="clear" w:color="auto" w:fill="FFFFFF"/>
          <w:lang w:val="es-ES"/>
        </w:rPr>
        <w:t>2.1.</w:t>
      </w:r>
      <w:r w:rsidRPr="00DF2ABC">
        <w:rPr>
          <w:b/>
          <w:color w:val="000000" w:themeColor="text1"/>
          <w:szCs w:val="24"/>
          <w:shd w:val="clear" w:color="auto" w:fill="FFFFFF"/>
          <w:lang w:val="es-ES"/>
        </w:rPr>
        <w:t xml:space="preserve"> </w:t>
      </w:r>
      <w:r w:rsidR="003931A6">
        <w:rPr>
          <w:color w:val="000000" w:themeColor="text1"/>
          <w:szCs w:val="24"/>
          <w:lang w:val="es-CO"/>
        </w:rPr>
        <w:t>Bien es sabido que la norma que regula la gracia pensiona</w:t>
      </w:r>
      <w:r w:rsidR="009C4ED6">
        <w:rPr>
          <w:color w:val="000000" w:themeColor="text1"/>
          <w:szCs w:val="24"/>
          <w:lang w:val="es-CO"/>
        </w:rPr>
        <w:t>l</w:t>
      </w:r>
      <w:r w:rsidR="003931A6">
        <w:rPr>
          <w:color w:val="000000" w:themeColor="text1"/>
          <w:szCs w:val="24"/>
          <w:lang w:val="es-CO"/>
        </w:rPr>
        <w:t xml:space="preserve"> en cualquiera de sus riesgos IVM es la vigente al momento de su causación</w:t>
      </w:r>
      <w:r w:rsidR="006B12B0">
        <w:rPr>
          <w:color w:val="000000" w:themeColor="text1"/>
          <w:szCs w:val="24"/>
          <w:lang w:val="es-CO"/>
        </w:rPr>
        <w:t>.</w:t>
      </w:r>
    </w:p>
    <w:p w14:paraId="14866050" w14:textId="77777777" w:rsidR="007042FA" w:rsidRDefault="007042FA" w:rsidP="00205086">
      <w:pPr>
        <w:pStyle w:val="Textoindependiente"/>
        <w:contextualSpacing/>
        <w:rPr>
          <w:color w:val="000000" w:themeColor="text1"/>
          <w:szCs w:val="24"/>
          <w:lang w:val="es-CO"/>
        </w:rPr>
      </w:pPr>
    </w:p>
    <w:p w14:paraId="4FE2FCA9" w14:textId="63B77572" w:rsidR="00F53A8A" w:rsidRPr="00DF2ABC" w:rsidRDefault="00FD6AE2" w:rsidP="00DB4E0E">
      <w:pPr>
        <w:pStyle w:val="Textoindependiente"/>
        <w:spacing w:line="276" w:lineRule="auto"/>
        <w:rPr>
          <w:color w:val="000000" w:themeColor="text1"/>
          <w:szCs w:val="24"/>
          <w:lang w:val="es-CO"/>
        </w:rPr>
      </w:pPr>
      <w:r>
        <w:rPr>
          <w:color w:val="000000" w:themeColor="text1"/>
          <w:szCs w:val="24"/>
          <w:lang w:val="es-CO"/>
        </w:rPr>
        <w:t xml:space="preserve">2.2. </w:t>
      </w:r>
      <w:r w:rsidR="003931A6">
        <w:rPr>
          <w:color w:val="000000" w:themeColor="text1"/>
          <w:szCs w:val="24"/>
          <w:lang w:val="es-CO"/>
        </w:rPr>
        <w:t xml:space="preserve">Así las cosas, </w:t>
      </w:r>
      <w:r w:rsidR="00DF45DA">
        <w:rPr>
          <w:color w:val="000000" w:themeColor="text1"/>
          <w:szCs w:val="24"/>
          <w:lang w:val="es-CO"/>
        </w:rPr>
        <w:t>dada la fecha de la estructuración de la invalidez del actor</w:t>
      </w:r>
      <w:r w:rsidR="00256486">
        <w:rPr>
          <w:color w:val="000000" w:themeColor="text1"/>
          <w:szCs w:val="24"/>
          <w:lang w:val="es-CO"/>
        </w:rPr>
        <w:t>,</w:t>
      </w:r>
      <w:r w:rsidR="00DF45DA">
        <w:rPr>
          <w:color w:val="000000" w:themeColor="text1"/>
          <w:szCs w:val="24"/>
          <w:lang w:val="es-CO"/>
        </w:rPr>
        <w:t xml:space="preserve"> 23-01-2014</w:t>
      </w:r>
      <w:r w:rsidR="003931A6">
        <w:rPr>
          <w:color w:val="000000" w:themeColor="text1"/>
          <w:szCs w:val="24"/>
          <w:lang w:val="es-CO"/>
        </w:rPr>
        <w:t xml:space="preserve">, la norma vigente y que gobierna la pensión de </w:t>
      </w:r>
      <w:r w:rsidR="003931A6" w:rsidRPr="009C4ED6">
        <w:rPr>
          <w:color w:val="000000" w:themeColor="text1"/>
          <w:szCs w:val="24"/>
          <w:lang w:val="es-CO"/>
        </w:rPr>
        <w:t>invalidez s</w:t>
      </w:r>
      <w:r w:rsidR="003A3C2E">
        <w:rPr>
          <w:color w:val="000000" w:themeColor="text1"/>
          <w:szCs w:val="24"/>
          <w:lang w:val="es-CO"/>
        </w:rPr>
        <w:t>on</w:t>
      </w:r>
      <w:r w:rsidR="003931A6" w:rsidRPr="009C4ED6">
        <w:rPr>
          <w:color w:val="000000" w:themeColor="text1"/>
          <w:szCs w:val="24"/>
          <w:lang w:val="es-CO"/>
        </w:rPr>
        <w:t xml:space="preserve"> </w:t>
      </w:r>
      <w:r w:rsidR="00B007C5" w:rsidRPr="009C4ED6">
        <w:rPr>
          <w:color w:val="000000" w:themeColor="text1"/>
          <w:szCs w:val="24"/>
          <w:lang w:val="es-CO"/>
        </w:rPr>
        <w:t>l</w:t>
      </w:r>
      <w:r w:rsidR="003A3C2E">
        <w:rPr>
          <w:color w:val="000000" w:themeColor="text1"/>
          <w:szCs w:val="24"/>
          <w:lang w:val="es-CO"/>
        </w:rPr>
        <w:t>os</w:t>
      </w:r>
      <w:r w:rsidR="00B007C5" w:rsidRPr="009C4ED6">
        <w:rPr>
          <w:color w:val="000000" w:themeColor="text1"/>
          <w:szCs w:val="24"/>
          <w:lang w:val="es-CO"/>
        </w:rPr>
        <w:t xml:space="preserve"> artículo</w:t>
      </w:r>
      <w:r w:rsidR="003A3C2E">
        <w:rPr>
          <w:color w:val="000000" w:themeColor="text1"/>
          <w:szCs w:val="24"/>
          <w:lang w:val="es-CO"/>
        </w:rPr>
        <w:t>s</w:t>
      </w:r>
      <w:r w:rsidR="00B007C5" w:rsidRPr="009C4ED6">
        <w:rPr>
          <w:color w:val="000000" w:themeColor="text1"/>
          <w:szCs w:val="24"/>
          <w:lang w:val="es-CO"/>
        </w:rPr>
        <w:t xml:space="preserve"> </w:t>
      </w:r>
      <w:r w:rsidR="009C4ED6" w:rsidRPr="009C4ED6">
        <w:rPr>
          <w:color w:val="000000" w:themeColor="text1"/>
          <w:szCs w:val="24"/>
          <w:lang w:val="es-CO"/>
        </w:rPr>
        <w:t>38 y 39</w:t>
      </w:r>
      <w:r w:rsidR="00B007C5" w:rsidRPr="009C4ED6">
        <w:rPr>
          <w:color w:val="000000" w:themeColor="text1"/>
          <w:szCs w:val="24"/>
          <w:lang w:val="es-CO"/>
        </w:rPr>
        <w:t xml:space="preserve"> de la </w:t>
      </w:r>
      <w:r w:rsidR="003A3C2E">
        <w:rPr>
          <w:color w:val="000000" w:themeColor="text1"/>
          <w:szCs w:val="24"/>
          <w:lang w:val="es-CO"/>
        </w:rPr>
        <w:t>L</w:t>
      </w:r>
      <w:r w:rsidR="00B007C5" w:rsidRPr="009C4ED6">
        <w:rPr>
          <w:color w:val="000000" w:themeColor="text1"/>
          <w:szCs w:val="24"/>
          <w:lang w:val="es-CO"/>
        </w:rPr>
        <w:t>ey 100 de 1993 modificado</w:t>
      </w:r>
      <w:r w:rsidR="003A3C2E">
        <w:rPr>
          <w:color w:val="000000" w:themeColor="text1"/>
          <w:szCs w:val="24"/>
          <w:lang w:val="es-CO"/>
        </w:rPr>
        <w:t>s</w:t>
      </w:r>
      <w:r w:rsidR="00B007C5" w:rsidRPr="009C4ED6">
        <w:rPr>
          <w:color w:val="000000" w:themeColor="text1"/>
          <w:szCs w:val="24"/>
          <w:lang w:val="es-CO"/>
        </w:rPr>
        <w:t xml:space="preserve"> por el </w:t>
      </w:r>
      <w:r w:rsidR="003A3C2E">
        <w:rPr>
          <w:color w:val="000000" w:themeColor="text1"/>
          <w:szCs w:val="24"/>
          <w:lang w:val="es-CO"/>
        </w:rPr>
        <w:t>canon</w:t>
      </w:r>
      <w:r w:rsidR="00B007C5" w:rsidRPr="009C4ED6">
        <w:rPr>
          <w:color w:val="000000" w:themeColor="text1"/>
          <w:szCs w:val="24"/>
          <w:lang w:val="es-CO"/>
        </w:rPr>
        <w:t xml:space="preserve"> </w:t>
      </w:r>
      <w:r w:rsidR="002D0A58" w:rsidRPr="009C4ED6">
        <w:rPr>
          <w:color w:val="000000" w:themeColor="text1"/>
          <w:szCs w:val="24"/>
          <w:lang w:val="es-CO"/>
        </w:rPr>
        <w:t>1</w:t>
      </w:r>
      <w:r w:rsidR="00DB4E0E">
        <w:rPr>
          <w:color w:val="000000" w:themeColor="text1"/>
          <w:szCs w:val="24"/>
          <w:lang w:val="es-CO"/>
        </w:rPr>
        <w:t xml:space="preserve">º </w:t>
      </w:r>
      <w:r w:rsidR="00B007C5" w:rsidRPr="009C4ED6">
        <w:rPr>
          <w:color w:val="000000" w:themeColor="text1"/>
          <w:szCs w:val="24"/>
          <w:lang w:val="es-CO"/>
        </w:rPr>
        <w:t xml:space="preserve">de </w:t>
      </w:r>
      <w:r w:rsidR="003931A6" w:rsidRPr="009C4ED6">
        <w:rPr>
          <w:color w:val="000000" w:themeColor="text1"/>
          <w:szCs w:val="24"/>
          <w:lang w:val="es-CO"/>
        </w:rPr>
        <w:t>la Ley 860 de 2003;</w:t>
      </w:r>
      <w:r w:rsidR="00F53A8A" w:rsidRPr="009C4ED6">
        <w:rPr>
          <w:color w:val="000000" w:themeColor="text1"/>
          <w:szCs w:val="24"/>
          <w:lang w:val="es-CO"/>
        </w:rPr>
        <w:t xml:space="preserve"> por lo que excluyendo el requisito de fidelidad al sistema, q</w:t>
      </w:r>
      <w:r w:rsidR="00F53A8A" w:rsidRPr="00DF2ABC">
        <w:rPr>
          <w:color w:val="000000" w:themeColor="text1"/>
          <w:szCs w:val="24"/>
          <w:lang w:val="es-CO"/>
        </w:rPr>
        <w:t xml:space="preserve">ue fue declarado inexequible mediante sentencia C-428 de 2009, los </w:t>
      </w:r>
      <w:r w:rsidR="003931A6">
        <w:rPr>
          <w:color w:val="000000" w:themeColor="text1"/>
          <w:szCs w:val="24"/>
          <w:lang w:val="es-CO"/>
        </w:rPr>
        <w:t xml:space="preserve">requisitos </w:t>
      </w:r>
      <w:r w:rsidR="00F53A8A" w:rsidRPr="00DF2ABC">
        <w:rPr>
          <w:color w:val="000000" w:themeColor="text1"/>
          <w:szCs w:val="24"/>
          <w:lang w:val="es-CO"/>
        </w:rPr>
        <w:t xml:space="preserve">que debe cumplir para causar </w:t>
      </w:r>
      <w:r w:rsidR="003931A6">
        <w:rPr>
          <w:color w:val="000000" w:themeColor="text1"/>
          <w:szCs w:val="24"/>
          <w:lang w:val="es-CO"/>
        </w:rPr>
        <w:t xml:space="preserve">tal gracia pensional </w:t>
      </w:r>
      <w:r w:rsidR="00F53A8A" w:rsidRPr="00DF2ABC">
        <w:rPr>
          <w:color w:val="000000" w:themeColor="text1"/>
          <w:szCs w:val="24"/>
          <w:lang w:val="es-CO"/>
        </w:rPr>
        <w:t>son</w:t>
      </w:r>
      <w:r w:rsidR="00B007C5">
        <w:rPr>
          <w:color w:val="000000" w:themeColor="text1"/>
          <w:szCs w:val="24"/>
          <w:lang w:val="es-CO"/>
        </w:rPr>
        <w:t xml:space="preserve">: </w:t>
      </w:r>
      <w:r w:rsidR="003931A6">
        <w:rPr>
          <w:color w:val="000000" w:themeColor="text1"/>
          <w:szCs w:val="24"/>
          <w:lang w:val="es-CO"/>
        </w:rPr>
        <w:t xml:space="preserve">a) tener una PCL del 50% o superior y b) cotizar </w:t>
      </w:r>
      <w:r w:rsidR="00F53A8A" w:rsidRPr="00DF2ABC">
        <w:rPr>
          <w:color w:val="000000" w:themeColor="text1"/>
          <w:szCs w:val="24"/>
          <w:lang w:val="es-CO"/>
        </w:rPr>
        <w:t>por lo menos 50 semanas dentro de los tres años inmediatamente anteriores a la estructuración de su estado de invalidez</w:t>
      </w:r>
      <w:r w:rsidR="003931A6">
        <w:rPr>
          <w:color w:val="000000" w:themeColor="text1"/>
          <w:szCs w:val="24"/>
          <w:lang w:val="es-CO"/>
        </w:rPr>
        <w:t xml:space="preserve">. </w:t>
      </w:r>
    </w:p>
    <w:p w14:paraId="22B62E2A" w14:textId="61C842FA" w:rsidR="00F53A8A" w:rsidRPr="00DF2ABC" w:rsidRDefault="00970379" w:rsidP="00205086">
      <w:pPr>
        <w:autoSpaceDE w:val="0"/>
        <w:autoSpaceDN w:val="0"/>
        <w:adjustRightInd w:val="0"/>
        <w:contextualSpacing/>
        <w:jc w:val="both"/>
        <w:rPr>
          <w:rFonts w:ascii="Arial" w:hAnsi="Arial" w:cs="Arial"/>
          <w:color w:val="000000" w:themeColor="text1"/>
          <w:szCs w:val="24"/>
        </w:rPr>
      </w:pPr>
      <w:r>
        <w:rPr>
          <w:rFonts w:ascii="Arial" w:hAnsi="Arial" w:cs="Arial"/>
          <w:b/>
          <w:color w:val="000000" w:themeColor="text1"/>
          <w:szCs w:val="24"/>
        </w:rPr>
        <w:t xml:space="preserve"> </w:t>
      </w:r>
    </w:p>
    <w:p w14:paraId="5C4BD550" w14:textId="6F91A4E2" w:rsidR="00F53A8A" w:rsidRPr="0098429B" w:rsidRDefault="00FD6AE2" w:rsidP="00DB4E0E">
      <w:pPr>
        <w:pStyle w:val="Textoindependiente"/>
        <w:spacing w:line="276" w:lineRule="auto"/>
        <w:rPr>
          <w:color w:val="000000" w:themeColor="text1"/>
          <w:szCs w:val="24"/>
        </w:rPr>
      </w:pPr>
      <w:r w:rsidRPr="0098429B">
        <w:rPr>
          <w:color w:val="000000" w:themeColor="text1"/>
          <w:szCs w:val="24"/>
          <w:shd w:val="clear" w:color="auto" w:fill="FFFFFF"/>
          <w:lang w:val="es-ES"/>
        </w:rPr>
        <w:t xml:space="preserve">2.3 Exigencias que </w:t>
      </w:r>
      <w:r w:rsidR="002853D8" w:rsidRPr="0098429B">
        <w:rPr>
          <w:color w:val="000000" w:themeColor="text1"/>
          <w:szCs w:val="24"/>
          <w:shd w:val="clear" w:color="auto" w:fill="FFFFFF"/>
          <w:lang w:val="es-ES"/>
        </w:rPr>
        <w:t xml:space="preserve">el señor </w:t>
      </w:r>
      <w:r w:rsidR="003D6FAA" w:rsidRPr="0098429B">
        <w:rPr>
          <w:color w:val="000000" w:themeColor="text1"/>
          <w:szCs w:val="24"/>
          <w:shd w:val="clear" w:color="auto" w:fill="FFFFFF"/>
          <w:lang w:val="es-ES"/>
        </w:rPr>
        <w:t xml:space="preserve">José </w:t>
      </w:r>
      <w:r w:rsidR="005B3241" w:rsidRPr="0098429B">
        <w:rPr>
          <w:color w:val="000000" w:themeColor="text1"/>
          <w:szCs w:val="24"/>
          <w:shd w:val="clear" w:color="auto" w:fill="FFFFFF"/>
          <w:lang w:val="es-ES"/>
        </w:rPr>
        <w:t xml:space="preserve">Antonio Montoya Gómez </w:t>
      </w:r>
      <w:r w:rsidR="006B12B0" w:rsidRPr="0098429B">
        <w:rPr>
          <w:color w:val="000000" w:themeColor="text1"/>
          <w:szCs w:val="24"/>
          <w:shd w:val="clear" w:color="auto" w:fill="FFFFFF"/>
          <w:lang w:val="es-ES"/>
        </w:rPr>
        <w:t xml:space="preserve"> </w:t>
      </w:r>
      <w:r w:rsidRPr="0098429B">
        <w:rPr>
          <w:color w:val="000000" w:themeColor="text1"/>
          <w:szCs w:val="24"/>
          <w:shd w:val="clear" w:color="auto" w:fill="FFFFFF"/>
          <w:lang w:val="es-ES"/>
        </w:rPr>
        <w:t>no reúne en su totalidad, pues si bien cuenta con una PCL del</w:t>
      </w:r>
      <w:r w:rsidR="00F53A8A" w:rsidRPr="0098429B">
        <w:rPr>
          <w:color w:val="000000" w:themeColor="text1"/>
          <w:szCs w:val="24"/>
          <w:shd w:val="clear" w:color="auto" w:fill="FFFFFF"/>
          <w:lang w:val="es-ES"/>
        </w:rPr>
        <w:t xml:space="preserve"> 5</w:t>
      </w:r>
      <w:r w:rsidR="004C088C" w:rsidRPr="0098429B">
        <w:rPr>
          <w:color w:val="000000" w:themeColor="text1"/>
          <w:szCs w:val="24"/>
          <w:shd w:val="clear" w:color="auto" w:fill="FFFFFF"/>
          <w:lang w:val="es-ES"/>
        </w:rPr>
        <w:t>0</w:t>
      </w:r>
      <w:r w:rsidR="00EC6AB5" w:rsidRPr="0098429B">
        <w:rPr>
          <w:color w:val="000000" w:themeColor="text1"/>
          <w:szCs w:val="24"/>
          <w:shd w:val="clear" w:color="auto" w:fill="FFFFFF"/>
          <w:lang w:val="es-ES"/>
        </w:rPr>
        <w:t>,</w:t>
      </w:r>
      <w:r w:rsidR="004C088C" w:rsidRPr="0098429B">
        <w:rPr>
          <w:color w:val="000000" w:themeColor="text1"/>
          <w:szCs w:val="24"/>
          <w:shd w:val="clear" w:color="auto" w:fill="FFFFFF"/>
          <w:lang w:val="es-ES"/>
        </w:rPr>
        <w:t>04</w:t>
      </w:r>
      <w:r w:rsidR="00F53A8A" w:rsidRPr="0098429B">
        <w:rPr>
          <w:color w:val="000000" w:themeColor="text1"/>
          <w:szCs w:val="24"/>
          <w:shd w:val="clear" w:color="auto" w:fill="FFFFFF"/>
          <w:lang w:val="es-ES"/>
        </w:rPr>
        <w:t xml:space="preserve">%, </w:t>
      </w:r>
      <w:r w:rsidR="006B12B0" w:rsidRPr="0098429B">
        <w:rPr>
          <w:color w:val="000000" w:themeColor="text1"/>
          <w:szCs w:val="24"/>
          <w:shd w:val="clear" w:color="auto" w:fill="FFFFFF"/>
          <w:lang w:val="es-ES"/>
        </w:rPr>
        <w:t xml:space="preserve">conforme la Junta </w:t>
      </w:r>
      <w:r w:rsidR="006B3907" w:rsidRPr="0098429B">
        <w:rPr>
          <w:color w:val="000000" w:themeColor="text1"/>
          <w:szCs w:val="24"/>
          <w:shd w:val="clear" w:color="auto" w:fill="FFFFFF"/>
          <w:lang w:val="es-ES"/>
        </w:rPr>
        <w:t>Nacional</w:t>
      </w:r>
      <w:r w:rsidR="006B12B0" w:rsidRPr="0098429B">
        <w:rPr>
          <w:color w:val="000000" w:themeColor="text1"/>
          <w:szCs w:val="24"/>
          <w:shd w:val="clear" w:color="auto" w:fill="FFFFFF"/>
          <w:lang w:val="es-ES"/>
        </w:rPr>
        <w:t xml:space="preserve"> De Calificación De Invalidez</w:t>
      </w:r>
      <w:r w:rsidR="006B3907" w:rsidRPr="0098429B">
        <w:rPr>
          <w:color w:val="000000" w:themeColor="text1"/>
          <w:szCs w:val="24"/>
          <w:shd w:val="clear" w:color="auto" w:fill="FFFFFF"/>
          <w:lang w:val="es-ES"/>
        </w:rPr>
        <w:t xml:space="preserve"> </w:t>
      </w:r>
      <w:r w:rsidR="002F2BDA" w:rsidRPr="0098429B">
        <w:rPr>
          <w:color w:val="000000" w:themeColor="text1"/>
          <w:szCs w:val="24"/>
          <w:shd w:val="clear" w:color="auto" w:fill="FFFFFF"/>
          <w:lang w:val="es-ES"/>
        </w:rPr>
        <w:t>(fl</w:t>
      </w:r>
      <w:r w:rsidR="0098429B" w:rsidRPr="0098429B">
        <w:rPr>
          <w:color w:val="000000" w:themeColor="text1"/>
          <w:szCs w:val="24"/>
          <w:shd w:val="clear" w:color="auto" w:fill="FFFFFF"/>
          <w:lang w:val="es-ES"/>
        </w:rPr>
        <w:t>s. 17 a  21</w:t>
      </w:r>
      <w:r w:rsidR="002F2BDA" w:rsidRPr="0098429B">
        <w:rPr>
          <w:color w:val="000000" w:themeColor="text1"/>
          <w:szCs w:val="24"/>
          <w:shd w:val="clear" w:color="auto" w:fill="FFFFFF"/>
          <w:lang w:val="es-ES"/>
        </w:rPr>
        <w:t>)</w:t>
      </w:r>
      <w:r w:rsidR="000E37CD" w:rsidRPr="0098429B">
        <w:rPr>
          <w:color w:val="000000" w:themeColor="text1"/>
          <w:szCs w:val="24"/>
          <w:shd w:val="clear" w:color="auto" w:fill="FFFFFF"/>
          <w:lang w:val="es-ES"/>
        </w:rPr>
        <w:t>; n</w:t>
      </w:r>
      <w:r w:rsidR="005A6996" w:rsidRPr="0098429B">
        <w:rPr>
          <w:color w:val="000000" w:themeColor="text1"/>
          <w:szCs w:val="24"/>
          <w:shd w:val="clear" w:color="auto" w:fill="FFFFFF"/>
          <w:lang w:val="es-ES"/>
        </w:rPr>
        <w:t>o pasa igual</w:t>
      </w:r>
      <w:r w:rsidR="002D0A58" w:rsidRPr="0098429B">
        <w:rPr>
          <w:color w:val="000000" w:themeColor="text1"/>
          <w:szCs w:val="24"/>
          <w:shd w:val="clear" w:color="auto" w:fill="FFFFFF"/>
          <w:lang w:val="es-ES"/>
        </w:rPr>
        <w:t xml:space="preserve"> </w:t>
      </w:r>
      <w:r w:rsidR="005A6996" w:rsidRPr="0098429B">
        <w:rPr>
          <w:color w:val="000000" w:themeColor="text1"/>
          <w:szCs w:val="24"/>
          <w:shd w:val="clear" w:color="auto" w:fill="FFFFFF"/>
          <w:lang w:val="es-ES"/>
        </w:rPr>
        <w:t>con las</w:t>
      </w:r>
      <w:r w:rsidR="00C2073C" w:rsidRPr="0098429B">
        <w:rPr>
          <w:color w:val="000000" w:themeColor="text1"/>
          <w:szCs w:val="24"/>
          <w:shd w:val="clear" w:color="auto" w:fill="FFFFFF"/>
          <w:lang w:val="es-ES"/>
        </w:rPr>
        <w:t xml:space="preserve"> 50 semanas cotizadas en los 3 años anteriores a la fecha de la estructuración de la invalidez</w:t>
      </w:r>
      <w:r w:rsidR="002D0A58" w:rsidRPr="0098429B">
        <w:rPr>
          <w:color w:val="000000" w:themeColor="text1"/>
          <w:szCs w:val="24"/>
          <w:shd w:val="clear" w:color="auto" w:fill="FFFFFF"/>
          <w:lang w:val="es-ES"/>
        </w:rPr>
        <w:t xml:space="preserve">, </w:t>
      </w:r>
      <w:r w:rsidR="00B007C5" w:rsidRPr="0098429B">
        <w:rPr>
          <w:color w:val="000000" w:themeColor="text1"/>
          <w:szCs w:val="24"/>
          <w:shd w:val="clear" w:color="auto" w:fill="FFFFFF"/>
          <w:lang w:val="es-ES"/>
        </w:rPr>
        <w:t>en tanto en el reporte de semanas cotiza</w:t>
      </w:r>
      <w:r w:rsidR="0098429B" w:rsidRPr="0098429B">
        <w:rPr>
          <w:color w:val="000000" w:themeColor="text1"/>
          <w:szCs w:val="24"/>
          <w:shd w:val="clear" w:color="auto" w:fill="FFFFFF"/>
          <w:lang w:val="es-ES"/>
        </w:rPr>
        <w:t>das en la historia laboral –fls.22 y 23</w:t>
      </w:r>
      <w:r w:rsidR="003A3C2E" w:rsidRPr="0098429B">
        <w:rPr>
          <w:color w:val="000000" w:themeColor="text1"/>
          <w:szCs w:val="24"/>
          <w:shd w:val="clear" w:color="auto" w:fill="FFFFFF"/>
          <w:lang w:val="es-ES"/>
        </w:rPr>
        <w:t>-</w:t>
      </w:r>
      <w:r w:rsidR="006B3907" w:rsidRPr="0098429B">
        <w:rPr>
          <w:color w:val="000000" w:themeColor="text1"/>
          <w:szCs w:val="24"/>
          <w:shd w:val="clear" w:color="auto" w:fill="FFFFFF"/>
          <w:lang w:val="es-ES"/>
        </w:rPr>
        <w:t xml:space="preserve"> </w:t>
      </w:r>
      <w:r w:rsidR="00B007C5" w:rsidRPr="0098429B">
        <w:rPr>
          <w:color w:val="000000" w:themeColor="text1"/>
          <w:szCs w:val="24"/>
        </w:rPr>
        <w:t>en</w:t>
      </w:r>
      <w:r w:rsidR="000E3183" w:rsidRPr="0098429B">
        <w:rPr>
          <w:color w:val="000000" w:themeColor="text1"/>
          <w:szCs w:val="24"/>
        </w:rPr>
        <w:t>tre el 2</w:t>
      </w:r>
      <w:r w:rsidR="0098429B" w:rsidRPr="0098429B">
        <w:rPr>
          <w:color w:val="000000" w:themeColor="text1"/>
          <w:szCs w:val="24"/>
        </w:rPr>
        <w:t>3-01-2014</w:t>
      </w:r>
      <w:r w:rsidR="000E3183" w:rsidRPr="0098429B">
        <w:rPr>
          <w:color w:val="000000" w:themeColor="text1"/>
          <w:szCs w:val="24"/>
        </w:rPr>
        <w:t>,</w:t>
      </w:r>
      <w:r w:rsidR="002D0A58" w:rsidRPr="0098429B">
        <w:rPr>
          <w:color w:val="000000" w:themeColor="text1"/>
          <w:szCs w:val="24"/>
        </w:rPr>
        <w:t xml:space="preserve"> fecha de estructuración de la invalidez, </w:t>
      </w:r>
      <w:r w:rsidR="00B007C5" w:rsidRPr="0098429B">
        <w:rPr>
          <w:color w:val="000000" w:themeColor="text1"/>
          <w:szCs w:val="24"/>
        </w:rPr>
        <w:t>a la misma data del 20</w:t>
      </w:r>
      <w:r w:rsidR="000E3183" w:rsidRPr="0098429B">
        <w:rPr>
          <w:color w:val="000000" w:themeColor="text1"/>
          <w:szCs w:val="24"/>
        </w:rPr>
        <w:t>1</w:t>
      </w:r>
      <w:r w:rsidR="0098429B" w:rsidRPr="0098429B">
        <w:rPr>
          <w:color w:val="000000" w:themeColor="text1"/>
          <w:szCs w:val="24"/>
        </w:rPr>
        <w:t>1</w:t>
      </w:r>
      <w:r w:rsidR="003D6FAA" w:rsidRPr="0098429B">
        <w:rPr>
          <w:color w:val="000000" w:themeColor="text1"/>
          <w:szCs w:val="24"/>
        </w:rPr>
        <w:t xml:space="preserve"> ninguna semana</w:t>
      </w:r>
      <w:r w:rsidR="006B3907" w:rsidRPr="0098429B">
        <w:rPr>
          <w:color w:val="000000" w:themeColor="text1"/>
          <w:szCs w:val="24"/>
        </w:rPr>
        <w:t xml:space="preserve"> cotizó</w:t>
      </w:r>
      <w:r w:rsidR="002D0A58" w:rsidRPr="0098429B">
        <w:rPr>
          <w:color w:val="000000" w:themeColor="text1"/>
          <w:szCs w:val="24"/>
        </w:rPr>
        <w:t>;</w:t>
      </w:r>
      <w:r w:rsidR="00F53A8A" w:rsidRPr="0098429B">
        <w:rPr>
          <w:color w:val="000000" w:themeColor="text1"/>
          <w:szCs w:val="24"/>
          <w:shd w:val="clear" w:color="auto" w:fill="FFFFFF"/>
          <w:lang w:val="es-ES"/>
        </w:rPr>
        <w:t xml:space="preserve"> por lo que resulta fácil colegir </w:t>
      </w:r>
      <w:r w:rsidR="00F53A8A" w:rsidRPr="0098429B">
        <w:rPr>
          <w:color w:val="000000" w:themeColor="text1"/>
          <w:szCs w:val="24"/>
        </w:rPr>
        <w:t>que no satisfizo las exigencias del artículo 1° de la Ley 860 de 2003</w:t>
      </w:r>
      <w:r w:rsidR="007825B7">
        <w:rPr>
          <w:color w:val="000000" w:themeColor="text1"/>
          <w:szCs w:val="24"/>
        </w:rPr>
        <w:t xml:space="preserve">, como lo adujo la parte demandada en su recurso de alzada, que no resulta suficiente para revocar la sentencia de primera instancia, en tanto que en la demanda se pide la aplicación del principio de la condición más beneficiosa.  </w:t>
      </w:r>
    </w:p>
    <w:p w14:paraId="77F65055" w14:textId="77777777" w:rsidR="00BF43AA" w:rsidRPr="00937348" w:rsidRDefault="00BF43AA" w:rsidP="00205086">
      <w:pPr>
        <w:pStyle w:val="Textoindependiente"/>
        <w:rPr>
          <w:color w:val="000000" w:themeColor="text1"/>
          <w:szCs w:val="24"/>
          <w:highlight w:val="yellow"/>
        </w:rPr>
      </w:pPr>
    </w:p>
    <w:p w14:paraId="289E8781" w14:textId="3C3F9893" w:rsidR="00555FBD" w:rsidRPr="00AC6055" w:rsidRDefault="002D0A58" w:rsidP="00DB4E0E">
      <w:pPr>
        <w:pStyle w:val="Textoindependiente"/>
        <w:spacing w:line="276" w:lineRule="auto"/>
      </w:pPr>
      <w:r w:rsidRPr="00AC6055">
        <w:rPr>
          <w:color w:val="000000" w:themeColor="text1"/>
          <w:szCs w:val="24"/>
          <w:shd w:val="clear" w:color="auto" w:fill="FFFFFF"/>
          <w:lang w:val="es-ES"/>
        </w:rPr>
        <w:t>2.4 Ahora, en</w:t>
      </w:r>
      <w:r w:rsidR="00555FBD" w:rsidRPr="00AC6055">
        <w:rPr>
          <w:color w:val="000000" w:themeColor="text1"/>
          <w:szCs w:val="24"/>
          <w:shd w:val="clear" w:color="auto" w:fill="FFFFFF"/>
          <w:lang w:val="es-ES"/>
        </w:rPr>
        <w:t xml:space="preserve"> lo que respecta</w:t>
      </w:r>
      <w:r w:rsidRPr="00AC6055">
        <w:rPr>
          <w:color w:val="000000" w:themeColor="text1"/>
          <w:szCs w:val="24"/>
          <w:shd w:val="clear" w:color="auto" w:fill="FFFFFF"/>
          <w:lang w:val="es-ES"/>
        </w:rPr>
        <w:t xml:space="preserve"> a</w:t>
      </w:r>
      <w:r w:rsidR="00555FBD" w:rsidRPr="00AC6055">
        <w:rPr>
          <w:color w:val="000000" w:themeColor="text1"/>
          <w:szCs w:val="24"/>
          <w:shd w:val="clear" w:color="auto" w:fill="FFFFFF"/>
          <w:lang w:val="es-ES"/>
        </w:rPr>
        <w:t xml:space="preserve"> </w:t>
      </w:r>
      <w:r w:rsidRPr="00AC6055">
        <w:rPr>
          <w:color w:val="000000" w:themeColor="text1"/>
          <w:szCs w:val="24"/>
          <w:shd w:val="clear" w:color="auto" w:fill="FFFFFF"/>
          <w:lang w:val="es-ES"/>
        </w:rPr>
        <w:t>l</w:t>
      </w:r>
      <w:r w:rsidR="00555FBD" w:rsidRPr="00AC6055">
        <w:rPr>
          <w:color w:val="000000" w:themeColor="text1"/>
          <w:szCs w:val="24"/>
          <w:shd w:val="clear" w:color="auto" w:fill="FFFFFF"/>
          <w:lang w:val="es-ES"/>
        </w:rPr>
        <w:t>a aplicación de</w:t>
      </w:r>
      <w:r w:rsidR="007825B7">
        <w:rPr>
          <w:color w:val="000000" w:themeColor="text1"/>
          <w:szCs w:val="24"/>
          <w:shd w:val="clear" w:color="auto" w:fill="FFFFFF"/>
          <w:lang w:val="es-ES"/>
        </w:rPr>
        <w:t xml:space="preserve"> este</w:t>
      </w:r>
      <w:r w:rsidRPr="00AC6055">
        <w:rPr>
          <w:color w:val="000000" w:themeColor="text1"/>
          <w:szCs w:val="24"/>
          <w:shd w:val="clear" w:color="auto" w:fill="FFFFFF"/>
          <w:lang w:val="es-ES"/>
        </w:rPr>
        <w:t xml:space="preserve"> principio</w:t>
      </w:r>
      <w:r w:rsidR="007825B7">
        <w:rPr>
          <w:color w:val="000000" w:themeColor="text1"/>
          <w:szCs w:val="24"/>
          <w:shd w:val="clear" w:color="auto" w:fill="FFFFFF"/>
          <w:lang w:val="es-ES"/>
        </w:rPr>
        <w:t>, con el propósito de acudirse a</w:t>
      </w:r>
      <w:r w:rsidR="00555FBD" w:rsidRPr="00AC6055">
        <w:rPr>
          <w:color w:val="000000" w:themeColor="text1"/>
          <w:szCs w:val="24"/>
          <w:shd w:val="clear" w:color="auto" w:fill="FFFFFF"/>
          <w:lang w:val="es-ES"/>
        </w:rPr>
        <w:t xml:space="preserve">l </w:t>
      </w:r>
      <w:r w:rsidR="00AC6055" w:rsidRPr="00AC6055">
        <w:rPr>
          <w:color w:val="000000" w:themeColor="text1"/>
          <w:szCs w:val="24"/>
          <w:shd w:val="clear" w:color="auto" w:fill="FFFFFF"/>
          <w:lang w:val="es-ES"/>
        </w:rPr>
        <w:t>A-049/1990</w:t>
      </w:r>
      <w:r w:rsidR="00555FBD" w:rsidRPr="00AC6055">
        <w:rPr>
          <w:color w:val="000000" w:themeColor="text1"/>
          <w:szCs w:val="24"/>
          <w:shd w:val="clear" w:color="auto" w:fill="FFFFFF"/>
          <w:lang w:val="es-ES"/>
        </w:rPr>
        <w:t xml:space="preserve">, ha de decirse que este, </w:t>
      </w:r>
      <w:r w:rsidR="00555FBD" w:rsidRPr="00AC6055">
        <w:t>según la línea constante del órgano de cierre de esta especialidad</w:t>
      </w:r>
      <w:r w:rsidR="00D645EC" w:rsidRPr="00AC6055">
        <w:rPr>
          <w:rStyle w:val="Refdenotaalpie"/>
        </w:rPr>
        <w:footnoteReference w:id="1"/>
      </w:r>
      <w:r w:rsidR="00555FBD" w:rsidRPr="00AC6055">
        <w:t xml:space="preserve">, </w:t>
      </w:r>
      <w:r w:rsidR="00555FBD" w:rsidRPr="00AC6055">
        <w:rPr>
          <w:color w:val="000000"/>
        </w:rPr>
        <w:t xml:space="preserve">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w:t>
      </w:r>
    </w:p>
    <w:p w14:paraId="64C1258B" w14:textId="77777777" w:rsidR="00555FBD" w:rsidRPr="00937348" w:rsidRDefault="00555FBD" w:rsidP="00205086">
      <w:pPr>
        <w:autoSpaceDE w:val="0"/>
        <w:autoSpaceDN w:val="0"/>
        <w:adjustRightInd w:val="0"/>
        <w:jc w:val="both"/>
        <w:rPr>
          <w:rFonts w:ascii="Arial" w:hAnsi="Arial" w:cs="Arial"/>
          <w:highlight w:val="yellow"/>
        </w:rPr>
      </w:pPr>
    </w:p>
    <w:p w14:paraId="16367704" w14:textId="39C0572C" w:rsidR="00555FBD" w:rsidRPr="00AC6055" w:rsidRDefault="00555FBD" w:rsidP="00555FBD">
      <w:pPr>
        <w:tabs>
          <w:tab w:val="left" w:pos="1230"/>
        </w:tabs>
        <w:autoSpaceDE w:val="0"/>
        <w:autoSpaceDN w:val="0"/>
        <w:adjustRightInd w:val="0"/>
        <w:spacing w:line="276" w:lineRule="auto"/>
        <w:contextualSpacing/>
        <w:jc w:val="both"/>
        <w:rPr>
          <w:rFonts w:ascii="Arial" w:hAnsi="Arial" w:cs="Arial"/>
          <w:color w:val="000000"/>
        </w:rPr>
      </w:pPr>
      <w:r w:rsidRPr="00AC6055">
        <w:rPr>
          <w:rFonts w:ascii="Arial" w:hAnsi="Arial" w:cs="Arial"/>
        </w:rPr>
        <w:t xml:space="preserve">Línea que debe acatarse </w:t>
      </w:r>
      <w:r w:rsidR="003A3C2E" w:rsidRPr="00AC6055">
        <w:rPr>
          <w:rFonts w:ascii="Arial" w:hAnsi="Arial" w:cs="Arial"/>
        </w:rPr>
        <w:t>al ser</w:t>
      </w:r>
      <w:r w:rsidRPr="00AC6055">
        <w:rPr>
          <w:rFonts w:ascii="Arial" w:hAnsi="Arial" w:cs="Arial"/>
        </w:rPr>
        <w:t xml:space="preserve"> el órgano de cierre de esta especialidad, dado su  </w:t>
      </w:r>
      <w:r w:rsidRPr="00AC6055">
        <w:rPr>
          <w:rFonts w:ascii="Arial" w:hAnsi="Arial" w:cs="Arial"/>
          <w:color w:val="000000"/>
        </w:rPr>
        <w:t xml:space="preserve">valor normativo, que inclusive </w:t>
      </w:r>
      <w:r w:rsidR="003A3C2E" w:rsidRPr="00AC6055">
        <w:rPr>
          <w:rFonts w:ascii="Arial" w:hAnsi="Arial" w:cs="Arial"/>
          <w:color w:val="000000"/>
        </w:rPr>
        <w:t>h</w:t>
      </w:r>
      <w:r w:rsidRPr="00AC6055">
        <w:rPr>
          <w:rFonts w:ascii="Arial" w:hAnsi="Arial" w:cs="Arial"/>
          <w:color w:val="000000"/>
        </w:rPr>
        <w:t>a reconocido su homóloga constitucional en sentencia C-836-01, al expresar que las decisiones adoptadas por la primera deben ser atendidas por todos los jueces que conforman esa jurisdicción, sin que puedan apartarse de ellas a su arbitrio, pues ello solo es posible bajo un sólido argumento justificativo.</w:t>
      </w:r>
    </w:p>
    <w:p w14:paraId="428085AE" w14:textId="77777777" w:rsidR="00555FBD" w:rsidRPr="00937348" w:rsidRDefault="00555FBD" w:rsidP="00555FBD">
      <w:pPr>
        <w:tabs>
          <w:tab w:val="left" w:pos="1230"/>
        </w:tabs>
        <w:autoSpaceDE w:val="0"/>
        <w:autoSpaceDN w:val="0"/>
        <w:adjustRightInd w:val="0"/>
        <w:spacing w:line="276" w:lineRule="auto"/>
        <w:contextualSpacing/>
        <w:jc w:val="both"/>
        <w:rPr>
          <w:rFonts w:ascii="Arial" w:hAnsi="Arial" w:cs="Arial"/>
          <w:color w:val="000000"/>
          <w:highlight w:val="yellow"/>
        </w:rPr>
      </w:pPr>
    </w:p>
    <w:p w14:paraId="57954B03" w14:textId="031F3D14" w:rsidR="00555FBD" w:rsidRPr="00937348" w:rsidRDefault="002A4B48" w:rsidP="00555FBD">
      <w:pPr>
        <w:tabs>
          <w:tab w:val="left" w:pos="1230"/>
        </w:tabs>
        <w:autoSpaceDE w:val="0"/>
        <w:autoSpaceDN w:val="0"/>
        <w:adjustRightInd w:val="0"/>
        <w:spacing w:line="276" w:lineRule="auto"/>
        <w:contextualSpacing/>
        <w:jc w:val="both"/>
        <w:rPr>
          <w:rFonts w:ascii="Arial" w:hAnsi="Arial" w:cs="Arial"/>
          <w:highlight w:val="yellow"/>
        </w:rPr>
      </w:pPr>
      <w:r w:rsidRPr="00AC6055">
        <w:rPr>
          <w:rFonts w:ascii="Arial" w:hAnsi="Arial" w:cs="Arial"/>
          <w:color w:val="000000"/>
        </w:rPr>
        <w:t xml:space="preserve">2.5 </w:t>
      </w:r>
      <w:r w:rsidR="00555FBD" w:rsidRPr="00AC6055">
        <w:rPr>
          <w:rFonts w:ascii="Arial" w:hAnsi="Arial" w:cs="Arial"/>
          <w:color w:val="000000"/>
        </w:rPr>
        <w:t>Ahora, frente a las sentencias de tutela proferidas por el Tribunal Constitucional, no existe duda que las mismas producen efectos inter partes</w:t>
      </w:r>
      <w:r w:rsidR="00555FBD" w:rsidRPr="00AC6055">
        <w:rPr>
          <w:rStyle w:val="Refdenotaalpie"/>
          <w:rFonts w:ascii="Arial" w:hAnsi="Arial" w:cs="Arial"/>
          <w:color w:val="000000"/>
        </w:rPr>
        <w:footnoteReference w:id="2"/>
      </w:r>
      <w:r w:rsidR="00555FBD" w:rsidRPr="00AC6055">
        <w:rPr>
          <w:rFonts w:ascii="Arial" w:hAnsi="Arial" w:cs="Arial"/>
          <w:color w:val="000000"/>
        </w:rPr>
        <w:t>;</w:t>
      </w:r>
      <w:r w:rsidR="008B5778" w:rsidRPr="00AC6055">
        <w:rPr>
          <w:rFonts w:ascii="Arial" w:hAnsi="Arial" w:cs="Arial"/>
          <w:color w:val="000000"/>
        </w:rPr>
        <w:t>incluso las de unificación, por lo que las reglas o subreglas que se fijan en ellas, sirven de criterio orientador para la resolución de otros asuntos en esa esfera constitucional, pero no en la ordinaria</w:t>
      </w:r>
      <w:r w:rsidR="00555FBD" w:rsidRPr="00AC6055">
        <w:rPr>
          <w:rFonts w:ascii="Arial" w:hAnsi="Arial" w:cs="Arial"/>
          <w:color w:val="000000"/>
        </w:rPr>
        <w:t>.</w:t>
      </w:r>
    </w:p>
    <w:p w14:paraId="772E4C68" w14:textId="77777777" w:rsidR="004571AC" w:rsidRPr="00937348" w:rsidRDefault="004571AC" w:rsidP="004571AC">
      <w:pPr>
        <w:tabs>
          <w:tab w:val="left" w:pos="1230"/>
        </w:tabs>
        <w:autoSpaceDE w:val="0"/>
        <w:autoSpaceDN w:val="0"/>
        <w:adjustRightInd w:val="0"/>
        <w:spacing w:line="276" w:lineRule="auto"/>
        <w:contextualSpacing/>
        <w:jc w:val="both"/>
        <w:rPr>
          <w:rFonts w:ascii="Arial" w:hAnsi="Arial" w:cs="Arial"/>
          <w:color w:val="000000" w:themeColor="text1"/>
          <w:szCs w:val="24"/>
          <w:highlight w:val="yellow"/>
          <w:lang w:val="es-ES"/>
        </w:rPr>
      </w:pPr>
    </w:p>
    <w:p w14:paraId="0D18457C" w14:textId="04C06BDF" w:rsidR="004571AC" w:rsidRPr="00AC6055" w:rsidRDefault="002A4B48"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r w:rsidRPr="00AC6055">
        <w:rPr>
          <w:rFonts w:ascii="Arial" w:hAnsi="Arial" w:cs="Arial"/>
          <w:color w:val="000000" w:themeColor="text1"/>
          <w:szCs w:val="24"/>
          <w:lang w:val="es-ES"/>
        </w:rPr>
        <w:lastRenderedPageBreak/>
        <w:t xml:space="preserve">2.6 </w:t>
      </w:r>
      <w:r w:rsidR="004571AC" w:rsidRPr="00AC6055">
        <w:rPr>
          <w:rFonts w:ascii="Arial" w:hAnsi="Arial" w:cs="Arial"/>
          <w:color w:val="000000" w:themeColor="text1"/>
          <w:szCs w:val="24"/>
          <w:lang w:val="es-ES"/>
        </w:rPr>
        <w:t>Dicho lo anterior, es dable colegir sin mayor disertación, que no era posible acudir</w:t>
      </w:r>
      <w:r w:rsidR="004F7D42" w:rsidRPr="00AC6055">
        <w:rPr>
          <w:rFonts w:ascii="Arial" w:hAnsi="Arial" w:cs="Arial"/>
          <w:color w:val="000000" w:themeColor="text1"/>
          <w:szCs w:val="24"/>
          <w:lang w:val="es-ES"/>
        </w:rPr>
        <w:t xml:space="preserve"> </w:t>
      </w:r>
      <w:r w:rsidR="004571AC" w:rsidRPr="00AC6055">
        <w:rPr>
          <w:rFonts w:ascii="Arial" w:hAnsi="Arial" w:cs="Arial"/>
          <w:color w:val="000000" w:themeColor="text1"/>
          <w:szCs w:val="24"/>
          <w:lang w:val="es-ES"/>
        </w:rPr>
        <w:t>al</w:t>
      </w:r>
      <w:r w:rsidR="003D6FAA" w:rsidRPr="00AC6055">
        <w:rPr>
          <w:rFonts w:ascii="Arial" w:hAnsi="Arial" w:cs="Arial"/>
          <w:color w:val="000000" w:themeColor="text1"/>
          <w:szCs w:val="24"/>
          <w:lang w:val="es-ES"/>
        </w:rPr>
        <w:t xml:space="preserve"> </w:t>
      </w:r>
      <w:r w:rsidR="00AC6055" w:rsidRPr="00AC6055">
        <w:rPr>
          <w:rFonts w:ascii="Arial" w:hAnsi="Arial" w:cs="Arial"/>
          <w:color w:val="000000" w:themeColor="text1"/>
          <w:szCs w:val="24"/>
          <w:lang w:val="es-ES"/>
        </w:rPr>
        <w:t>A-049/</w:t>
      </w:r>
      <w:r w:rsidR="003D6FAA" w:rsidRPr="00AC6055">
        <w:rPr>
          <w:rFonts w:ascii="Arial" w:hAnsi="Arial" w:cs="Arial"/>
          <w:color w:val="000000" w:themeColor="text1"/>
          <w:szCs w:val="24"/>
          <w:lang w:val="es-ES"/>
        </w:rPr>
        <w:t>1990</w:t>
      </w:r>
      <w:r w:rsidR="004F7D42" w:rsidRPr="00AC6055">
        <w:rPr>
          <w:rFonts w:ascii="Arial" w:hAnsi="Arial" w:cs="Arial"/>
          <w:color w:val="000000" w:themeColor="text1"/>
          <w:szCs w:val="24"/>
          <w:lang w:val="es-ES"/>
        </w:rPr>
        <w:t xml:space="preserve"> para estudiar la procedencia de la pensión de invalid</w:t>
      </w:r>
      <w:r w:rsidR="006B12B0" w:rsidRPr="00AC6055">
        <w:rPr>
          <w:rFonts w:ascii="Arial" w:hAnsi="Arial" w:cs="Arial"/>
          <w:color w:val="000000" w:themeColor="text1"/>
          <w:szCs w:val="24"/>
          <w:lang w:val="es-ES"/>
        </w:rPr>
        <w:t>ez de</w:t>
      </w:r>
      <w:r w:rsidR="003D6FAA" w:rsidRPr="00AC6055">
        <w:rPr>
          <w:rFonts w:ascii="Arial" w:hAnsi="Arial" w:cs="Arial"/>
          <w:color w:val="000000" w:themeColor="text1"/>
          <w:szCs w:val="24"/>
          <w:lang w:val="es-ES"/>
        </w:rPr>
        <w:t xml:space="preserve">l señor </w:t>
      </w:r>
      <w:r w:rsidR="00AC6055" w:rsidRPr="00AC6055">
        <w:rPr>
          <w:rFonts w:ascii="Arial" w:hAnsi="Arial" w:cs="Arial"/>
          <w:color w:val="000000" w:themeColor="text1"/>
          <w:szCs w:val="24"/>
          <w:lang w:val="es-ES"/>
        </w:rPr>
        <w:t>Montoya Gómez</w:t>
      </w:r>
      <w:r w:rsidR="004571AC" w:rsidRPr="00AC6055">
        <w:rPr>
          <w:rFonts w:ascii="Arial" w:hAnsi="Arial" w:cs="Arial"/>
          <w:color w:val="000000" w:themeColor="text1"/>
          <w:szCs w:val="24"/>
          <w:lang w:val="es-ES"/>
        </w:rPr>
        <w:t xml:space="preserve">, como </w:t>
      </w:r>
      <w:r w:rsidR="005E3A1B">
        <w:rPr>
          <w:rFonts w:ascii="Arial" w:hAnsi="Arial" w:cs="Arial"/>
          <w:color w:val="000000" w:themeColor="text1"/>
          <w:szCs w:val="24"/>
          <w:lang w:val="es-ES"/>
        </w:rPr>
        <w:t>lo hizo la a quo,</w:t>
      </w:r>
      <w:r w:rsidR="004571AC" w:rsidRPr="00AC6055">
        <w:rPr>
          <w:rFonts w:ascii="Arial" w:hAnsi="Arial" w:cs="Arial"/>
          <w:color w:val="000000" w:themeColor="text1"/>
          <w:szCs w:val="24"/>
          <w:lang w:val="es-ES"/>
        </w:rPr>
        <w:t xml:space="preserve"> al no ser ésta la norma inmediatamente anterior a la Ley 860 de 2003, vigente al momento de estructurarse la invalidez</w:t>
      </w:r>
      <w:r w:rsidR="00C8210F" w:rsidRPr="00AC6055">
        <w:rPr>
          <w:rFonts w:ascii="Arial" w:hAnsi="Arial" w:cs="Arial"/>
          <w:color w:val="000000" w:themeColor="text1"/>
          <w:szCs w:val="24"/>
          <w:lang w:val="es-ES"/>
        </w:rPr>
        <w:t>.</w:t>
      </w:r>
      <w:r w:rsidR="006B3907" w:rsidRPr="00AC6055">
        <w:rPr>
          <w:rFonts w:ascii="Arial" w:hAnsi="Arial" w:cs="Arial"/>
          <w:color w:val="000000" w:themeColor="text1"/>
          <w:szCs w:val="24"/>
          <w:lang w:val="es-ES"/>
        </w:rPr>
        <w:t xml:space="preserve"> </w:t>
      </w:r>
    </w:p>
    <w:p w14:paraId="56B624C8" w14:textId="77777777" w:rsidR="00C8210F" w:rsidRPr="003F671C" w:rsidRDefault="00C8210F" w:rsidP="004571AC">
      <w:pPr>
        <w:tabs>
          <w:tab w:val="left" w:pos="1230"/>
        </w:tabs>
        <w:autoSpaceDE w:val="0"/>
        <w:autoSpaceDN w:val="0"/>
        <w:adjustRightInd w:val="0"/>
        <w:spacing w:line="276" w:lineRule="auto"/>
        <w:contextualSpacing/>
        <w:jc w:val="both"/>
        <w:rPr>
          <w:rFonts w:ascii="Arial" w:hAnsi="Arial" w:cs="Arial"/>
          <w:color w:val="000000" w:themeColor="text1"/>
          <w:szCs w:val="24"/>
          <w:lang w:val="es-ES"/>
        </w:rPr>
      </w:pPr>
    </w:p>
    <w:p w14:paraId="1AD5761B" w14:textId="5AAD9C23" w:rsidR="00F53A8A" w:rsidRPr="003F671C" w:rsidRDefault="002A4B48" w:rsidP="00367A91">
      <w:pPr>
        <w:autoSpaceDE w:val="0"/>
        <w:autoSpaceDN w:val="0"/>
        <w:adjustRightInd w:val="0"/>
        <w:spacing w:line="276" w:lineRule="auto"/>
        <w:contextualSpacing/>
        <w:jc w:val="both"/>
        <w:rPr>
          <w:rFonts w:ascii="Arial" w:hAnsi="Arial" w:cs="Arial"/>
          <w:color w:val="000000" w:themeColor="text1"/>
          <w:szCs w:val="24"/>
          <w:lang w:val="es-ES"/>
        </w:rPr>
      </w:pPr>
      <w:r w:rsidRPr="003F671C">
        <w:rPr>
          <w:rFonts w:ascii="Arial" w:hAnsi="Arial" w:cs="Arial"/>
          <w:color w:val="000000" w:themeColor="text1"/>
          <w:szCs w:val="24"/>
          <w:shd w:val="clear" w:color="auto" w:fill="FFFFFF"/>
        </w:rPr>
        <w:t xml:space="preserve">2.7 </w:t>
      </w:r>
      <w:r w:rsidR="00F53A8A" w:rsidRPr="003F671C">
        <w:rPr>
          <w:rFonts w:ascii="Arial" w:hAnsi="Arial" w:cs="Arial"/>
          <w:color w:val="000000" w:themeColor="text1"/>
          <w:szCs w:val="24"/>
          <w:shd w:val="clear" w:color="auto" w:fill="FFFFFF"/>
        </w:rPr>
        <w:t xml:space="preserve">Para este asunto entonces la norma que </w:t>
      </w:r>
      <w:r w:rsidR="00367A91" w:rsidRPr="003F671C">
        <w:rPr>
          <w:rFonts w:ascii="Arial" w:hAnsi="Arial" w:cs="Arial"/>
          <w:color w:val="000000" w:themeColor="text1"/>
          <w:szCs w:val="24"/>
          <w:shd w:val="clear" w:color="auto" w:fill="FFFFFF"/>
        </w:rPr>
        <w:t xml:space="preserve">le antecede a la </w:t>
      </w:r>
      <w:r w:rsidR="003A3C2E" w:rsidRPr="003F671C">
        <w:rPr>
          <w:rFonts w:ascii="Arial" w:hAnsi="Arial" w:cs="Arial"/>
          <w:color w:val="000000" w:themeColor="text1"/>
          <w:szCs w:val="24"/>
          <w:shd w:val="clear" w:color="auto" w:fill="FFFFFF"/>
        </w:rPr>
        <w:t>L</w:t>
      </w:r>
      <w:r w:rsidR="00367A91" w:rsidRPr="003F671C">
        <w:rPr>
          <w:rFonts w:ascii="Arial" w:hAnsi="Arial" w:cs="Arial"/>
          <w:color w:val="000000" w:themeColor="text1"/>
          <w:szCs w:val="24"/>
          <w:shd w:val="clear" w:color="auto" w:fill="FFFFFF"/>
        </w:rPr>
        <w:t xml:space="preserve">ey 860 de 2003 es </w:t>
      </w:r>
      <w:r w:rsidR="00F53A8A" w:rsidRPr="003F671C">
        <w:rPr>
          <w:rFonts w:ascii="Arial" w:hAnsi="Arial" w:cs="Arial"/>
          <w:color w:val="000000" w:themeColor="text1"/>
          <w:szCs w:val="24"/>
          <w:shd w:val="clear" w:color="auto" w:fill="FFFFFF"/>
        </w:rPr>
        <w:t xml:space="preserve">la Ley 100 de 1993, </w:t>
      </w:r>
      <w:r w:rsidR="00367A91" w:rsidRPr="003F671C">
        <w:rPr>
          <w:rFonts w:ascii="Arial" w:hAnsi="Arial" w:cs="Arial"/>
          <w:color w:val="000000" w:themeColor="text1"/>
          <w:szCs w:val="24"/>
          <w:shd w:val="clear" w:color="auto" w:fill="FFFFFF"/>
        </w:rPr>
        <w:t xml:space="preserve">la que sería posible aplicar con ocasión del principio de la condición más beneficiosa; sin embargo, a ello hay lugar si </w:t>
      </w:r>
      <w:r w:rsidR="003A3C2E" w:rsidRPr="003F671C">
        <w:rPr>
          <w:rFonts w:ascii="Arial" w:hAnsi="Arial" w:cs="Arial"/>
          <w:color w:val="000000" w:themeColor="text1"/>
          <w:szCs w:val="24"/>
          <w:shd w:val="clear" w:color="auto" w:fill="FFFFFF"/>
        </w:rPr>
        <w:t xml:space="preserve">se </w:t>
      </w:r>
      <w:r w:rsidR="00367A91" w:rsidRPr="003F671C">
        <w:rPr>
          <w:rFonts w:ascii="Arial" w:hAnsi="Arial" w:cs="Arial"/>
          <w:color w:val="000000" w:themeColor="text1"/>
          <w:szCs w:val="24"/>
          <w:shd w:val="clear" w:color="auto" w:fill="FFFFFF"/>
        </w:rPr>
        <w:t>satisface el requisito de temporalidad al que ha hecho mención nuestra superioridad</w:t>
      </w:r>
      <w:r w:rsidR="00367A91" w:rsidRPr="003F671C">
        <w:rPr>
          <w:rFonts w:ascii="Arial" w:hAnsi="Arial" w:cs="Arial"/>
          <w:color w:val="000000" w:themeColor="text1"/>
          <w:szCs w:val="24"/>
          <w:lang w:val="es-ES"/>
        </w:rPr>
        <w:t xml:space="preserve"> desde el año 2017</w:t>
      </w:r>
      <w:r w:rsidR="000C421D">
        <w:rPr>
          <w:rStyle w:val="Refdenotaalpie"/>
          <w:rFonts w:ascii="Arial" w:hAnsi="Arial" w:cs="Arial"/>
          <w:color w:val="000000" w:themeColor="text1"/>
          <w:szCs w:val="24"/>
          <w:lang w:val="es-ES"/>
        </w:rPr>
        <w:footnoteReference w:id="3"/>
      </w:r>
      <w:r w:rsidR="00367A91" w:rsidRPr="003F671C">
        <w:rPr>
          <w:rFonts w:ascii="Arial" w:hAnsi="Arial" w:cs="Arial"/>
          <w:color w:val="000000" w:themeColor="text1"/>
          <w:szCs w:val="24"/>
          <w:lang w:val="es-ES"/>
        </w:rPr>
        <w:t xml:space="preserve">, al explicar que </w:t>
      </w:r>
      <w:r w:rsidR="00F53A8A" w:rsidRPr="003F671C">
        <w:rPr>
          <w:rFonts w:ascii="Arial" w:hAnsi="Arial" w:cs="Arial"/>
          <w:color w:val="000000" w:themeColor="text1"/>
          <w:szCs w:val="24"/>
          <w:lang w:val="es-ES"/>
        </w:rPr>
        <w:t>el citado principio no e</w:t>
      </w:r>
      <w:r w:rsidR="003A3C2E" w:rsidRPr="003F671C">
        <w:rPr>
          <w:rFonts w:ascii="Arial" w:hAnsi="Arial" w:cs="Arial"/>
          <w:color w:val="000000" w:themeColor="text1"/>
          <w:szCs w:val="24"/>
          <w:lang w:val="es-ES"/>
        </w:rPr>
        <w:t>s</w:t>
      </w:r>
      <w:r w:rsidR="00F53A8A" w:rsidRPr="003F671C">
        <w:rPr>
          <w:rFonts w:ascii="Arial" w:hAnsi="Arial" w:cs="Arial"/>
          <w:color w:val="000000" w:themeColor="text1"/>
          <w:szCs w:val="24"/>
          <w:lang w:val="es-ES"/>
        </w:rPr>
        <w:t xml:space="preserve"> ilimitad</w:t>
      </w:r>
      <w:r w:rsidR="0027548D" w:rsidRPr="003F671C">
        <w:rPr>
          <w:rFonts w:ascii="Arial" w:hAnsi="Arial" w:cs="Arial"/>
          <w:color w:val="000000" w:themeColor="text1"/>
          <w:szCs w:val="24"/>
          <w:lang w:val="es-ES"/>
        </w:rPr>
        <w:t>o</w:t>
      </w:r>
      <w:r w:rsidR="00F53A8A" w:rsidRPr="003F671C">
        <w:rPr>
          <w:rFonts w:ascii="Arial" w:hAnsi="Arial" w:cs="Arial"/>
          <w:color w:val="000000" w:themeColor="text1"/>
          <w:szCs w:val="24"/>
          <w:lang w:val="es-ES"/>
        </w:rPr>
        <w:t>, sino temporal, pues su finalidad es la de proteger a aquellas personas que tenían una situación jurídica concreta al momento de presentarse el cambio legisl</w:t>
      </w:r>
      <w:r w:rsidR="0027548D" w:rsidRPr="003F671C">
        <w:rPr>
          <w:rFonts w:ascii="Arial" w:hAnsi="Arial" w:cs="Arial"/>
          <w:color w:val="000000" w:themeColor="text1"/>
          <w:szCs w:val="24"/>
          <w:lang w:val="es-ES"/>
        </w:rPr>
        <w:t>ativo, entendida é</w:t>
      </w:r>
      <w:r w:rsidR="00F53A8A" w:rsidRPr="003F671C">
        <w:rPr>
          <w:rFonts w:ascii="Arial" w:hAnsi="Arial" w:cs="Arial"/>
          <w:color w:val="000000" w:themeColor="text1"/>
          <w:szCs w:val="24"/>
          <w:lang w:val="es-ES"/>
        </w:rPr>
        <w:t>sta como la acumulación de las semanas necesarias para acceder a la prestación; por lo que se les permite que en vigencia de la nueva normativa acrediten los requisitos de la anterior, pero siempre y cuando la contingencia –</w:t>
      </w:r>
      <w:r w:rsidR="00F53A8A" w:rsidRPr="003F671C">
        <w:rPr>
          <w:rFonts w:ascii="Arial" w:hAnsi="Arial" w:cs="Arial"/>
          <w:i/>
          <w:color w:val="000000" w:themeColor="text1"/>
          <w:szCs w:val="24"/>
          <w:lang w:val="es-ES"/>
        </w:rPr>
        <w:t>invalidez</w:t>
      </w:r>
      <w:r w:rsidR="00F53A8A" w:rsidRPr="003F671C">
        <w:rPr>
          <w:rFonts w:ascii="Arial" w:hAnsi="Arial" w:cs="Arial"/>
          <w:color w:val="000000" w:themeColor="text1"/>
          <w:szCs w:val="24"/>
          <w:lang w:val="es-ES"/>
        </w:rPr>
        <w:t>-, se presente dentro de los 3 años siguientes a la entrada en vigencia de la Ley 860 de 2003 -</w:t>
      </w:r>
      <w:r w:rsidR="00F53A8A" w:rsidRPr="003F671C">
        <w:rPr>
          <w:rFonts w:ascii="Arial" w:hAnsi="Arial" w:cs="Arial"/>
          <w:i/>
          <w:color w:val="000000" w:themeColor="text1"/>
          <w:szCs w:val="24"/>
          <w:lang w:val="es-ES"/>
        </w:rPr>
        <w:t>26/12/2003 y el 26/12/2006</w:t>
      </w:r>
      <w:r w:rsidR="00F53A8A" w:rsidRPr="003F671C">
        <w:rPr>
          <w:rFonts w:ascii="Arial" w:hAnsi="Arial" w:cs="Arial"/>
          <w:color w:val="000000" w:themeColor="text1"/>
          <w:szCs w:val="24"/>
          <w:lang w:val="es-ES"/>
        </w:rPr>
        <w:t>-</w:t>
      </w:r>
      <w:r w:rsidR="00F53A8A" w:rsidRPr="003F671C">
        <w:rPr>
          <w:rStyle w:val="Refdenotaalpie"/>
          <w:rFonts w:ascii="Arial" w:hAnsi="Arial" w:cs="Arial"/>
          <w:color w:val="000000" w:themeColor="text1"/>
          <w:szCs w:val="24"/>
          <w:lang w:val="es-ES"/>
        </w:rPr>
        <w:footnoteReference w:id="4"/>
      </w:r>
      <w:r w:rsidR="00020F6B" w:rsidRPr="003F671C">
        <w:rPr>
          <w:rFonts w:ascii="Arial" w:hAnsi="Arial" w:cs="Arial"/>
          <w:color w:val="000000" w:themeColor="text1"/>
          <w:szCs w:val="24"/>
          <w:lang w:val="es-ES"/>
        </w:rPr>
        <w:t>; tesis que comparte la Sala Mayoritaria</w:t>
      </w:r>
      <w:r w:rsidR="00F53A8A" w:rsidRPr="003F671C">
        <w:rPr>
          <w:rFonts w:ascii="Arial" w:hAnsi="Arial" w:cs="Arial"/>
          <w:color w:val="000000" w:themeColor="text1"/>
          <w:szCs w:val="24"/>
          <w:lang w:val="es-ES"/>
        </w:rPr>
        <w:t>.</w:t>
      </w:r>
    </w:p>
    <w:p w14:paraId="0A20A6E1" w14:textId="77777777" w:rsidR="00F53A8A" w:rsidRPr="00937348" w:rsidRDefault="00F53A8A" w:rsidP="00F53A8A">
      <w:pPr>
        <w:tabs>
          <w:tab w:val="left" w:pos="1230"/>
        </w:tabs>
        <w:autoSpaceDE w:val="0"/>
        <w:autoSpaceDN w:val="0"/>
        <w:adjustRightInd w:val="0"/>
        <w:spacing w:line="276" w:lineRule="auto"/>
        <w:contextualSpacing/>
        <w:jc w:val="both"/>
        <w:rPr>
          <w:rFonts w:ascii="Arial" w:hAnsi="Arial" w:cs="Arial"/>
          <w:color w:val="000000" w:themeColor="text1"/>
          <w:szCs w:val="24"/>
          <w:highlight w:val="yellow"/>
          <w:lang w:val="es-ES"/>
        </w:rPr>
      </w:pPr>
    </w:p>
    <w:p w14:paraId="21AEBAA4" w14:textId="4B661D55" w:rsidR="00F53A8A" w:rsidRPr="003F671C" w:rsidRDefault="002A4B48" w:rsidP="00F53A8A">
      <w:pPr>
        <w:tabs>
          <w:tab w:val="left" w:pos="1230"/>
        </w:tabs>
        <w:autoSpaceDE w:val="0"/>
        <w:autoSpaceDN w:val="0"/>
        <w:adjustRightInd w:val="0"/>
        <w:spacing w:line="276" w:lineRule="auto"/>
        <w:contextualSpacing/>
        <w:jc w:val="both"/>
        <w:rPr>
          <w:rFonts w:ascii="Arial" w:hAnsi="Arial" w:cs="Arial"/>
          <w:color w:val="000000" w:themeColor="text1"/>
          <w:szCs w:val="24"/>
        </w:rPr>
      </w:pPr>
      <w:r w:rsidRPr="003F671C">
        <w:rPr>
          <w:rFonts w:ascii="Arial" w:hAnsi="Arial" w:cs="Arial"/>
          <w:color w:val="000000" w:themeColor="text1"/>
          <w:szCs w:val="24"/>
          <w:lang w:val="es-ES"/>
        </w:rPr>
        <w:t xml:space="preserve">2.8 </w:t>
      </w:r>
      <w:r w:rsidR="00F53A8A" w:rsidRPr="003F671C">
        <w:rPr>
          <w:rFonts w:ascii="Arial" w:hAnsi="Arial" w:cs="Arial"/>
          <w:color w:val="000000" w:themeColor="text1"/>
          <w:szCs w:val="24"/>
          <w:lang w:val="es-ES"/>
        </w:rPr>
        <w:t xml:space="preserve">Por consiguiente, subsumido el presente caso </w:t>
      </w:r>
      <w:r w:rsidR="003A3C2E" w:rsidRPr="003F671C">
        <w:rPr>
          <w:rFonts w:ascii="Arial" w:hAnsi="Arial" w:cs="Arial"/>
          <w:color w:val="000000" w:themeColor="text1"/>
          <w:szCs w:val="24"/>
          <w:lang w:val="es-ES"/>
        </w:rPr>
        <w:t>en</w:t>
      </w:r>
      <w:r w:rsidR="00F53A8A" w:rsidRPr="003F671C">
        <w:rPr>
          <w:rFonts w:ascii="Arial" w:hAnsi="Arial" w:cs="Arial"/>
          <w:color w:val="000000" w:themeColor="text1"/>
          <w:szCs w:val="24"/>
          <w:lang w:val="es-ES"/>
        </w:rPr>
        <w:t xml:space="preserve"> la exigencia mencionada, se tiene que </w:t>
      </w:r>
      <w:r w:rsidR="003D6FAA" w:rsidRPr="003F671C">
        <w:rPr>
          <w:rFonts w:ascii="Arial" w:hAnsi="Arial" w:cs="Arial"/>
          <w:color w:val="000000" w:themeColor="text1"/>
          <w:szCs w:val="24"/>
        </w:rPr>
        <w:t xml:space="preserve">el señor </w:t>
      </w:r>
      <w:r w:rsidR="003F671C" w:rsidRPr="003F671C">
        <w:rPr>
          <w:rFonts w:ascii="Arial" w:hAnsi="Arial" w:cs="Arial"/>
          <w:color w:val="000000" w:themeColor="text1"/>
          <w:szCs w:val="24"/>
        </w:rPr>
        <w:t>Montoya Gómez</w:t>
      </w:r>
      <w:r w:rsidR="003D6FAA" w:rsidRPr="003F671C">
        <w:rPr>
          <w:rFonts w:ascii="Arial" w:hAnsi="Arial" w:cs="Arial"/>
          <w:color w:val="000000" w:themeColor="text1"/>
          <w:szCs w:val="24"/>
        </w:rPr>
        <w:t xml:space="preserve"> </w:t>
      </w:r>
      <w:r w:rsidR="00F53A8A" w:rsidRPr="003F671C">
        <w:rPr>
          <w:rFonts w:ascii="Arial" w:hAnsi="Arial" w:cs="Arial"/>
          <w:color w:val="000000" w:themeColor="text1"/>
          <w:szCs w:val="24"/>
        </w:rPr>
        <w:t xml:space="preserve">se invalidó el </w:t>
      </w:r>
      <w:r w:rsidR="006B12B0" w:rsidRPr="003F671C">
        <w:rPr>
          <w:rFonts w:ascii="Arial" w:hAnsi="Arial" w:cs="Arial"/>
          <w:color w:val="000000" w:themeColor="text1"/>
          <w:szCs w:val="24"/>
        </w:rPr>
        <w:t>2</w:t>
      </w:r>
      <w:r w:rsidR="003F671C" w:rsidRPr="003F671C">
        <w:rPr>
          <w:rFonts w:ascii="Arial" w:hAnsi="Arial" w:cs="Arial"/>
          <w:color w:val="000000" w:themeColor="text1"/>
          <w:szCs w:val="24"/>
        </w:rPr>
        <w:t>3-01-2014</w:t>
      </w:r>
      <w:r w:rsidR="00F53A8A" w:rsidRPr="003F671C">
        <w:rPr>
          <w:rFonts w:ascii="Arial" w:hAnsi="Arial" w:cs="Arial"/>
          <w:color w:val="000000" w:themeColor="text1"/>
          <w:szCs w:val="24"/>
        </w:rPr>
        <w:t xml:space="preserve">, es decir, por fuera de los tres años siguientes a la entrada en vigencia de la Ley 860 de 2003, por </w:t>
      </w:r>
      <w:r w:rsidR="00DB4E0E" w:rsidRPr="003F671C">
        <w:rPr>
          <w:rFonts w:ascii="Arial" w:hAnsi="Arial" w:cs="Arial"/>
          <w:color w:val="000000" w:themeColor="text1"/>
          <w:szCs w:val="24"/>
        </w:rPr>
        <w:t>lo que no puede ser destinatari</w:t>
      </w:r>
      <w:r w:rsidR="00E624EB">
        <w:rPr>
          <w:rFonts w:ascii="Arial" w:hAnsi="Arial" w:cs="Arial"/>
          <w:color w:val="000000" w:themeColor="text1"/>
          <w:szCs w:val="24"/>
        </w:rPr>
        <w:t>o</w:t>
      </w:r>
      <w:r w:rsidR="00F53A8A" w:rsidRPr="003F671C">
        <w:rPr>
          <w:rFonts w:ascii="Arial" w:hAnsi="Arial" w:cs="Arial"/>
          <w:color w:val="000000" w:themeColor="text1"/>
          <w:szCs w:val="24"/>
        </w:rPr>
        <w:t xml:space="preserve"> de la Ley 100/93 en su versión original, en aplicación del principio de la condición más beneficiosa</w:t>
      </w:r>
      <w:r w:rsidR="00367A91" w:rsidRPr="003F671C">
        <w:rPr>
          <w:rFonts w:ascii="Arial" w:hAnsi="Arial" w:cs="Arial"/>
          <w:color w:val="000000" w:themeColor="text1"/>
          <w:szCs w:val="24"/>
        </w:rPr>
        <w:t xml:space="preserve">. </w:t>
      </w:r>
      <w:r w:rsidR="00E624EB">
        <w:rPr>
          <w:rFonts w:ascii="Arial" w:hAnsi="Arial" w:cs="Arial"/>
          <w:color w:val="000000" w:themeColor="text1"/>
          <w:szCs w:val="24"/>
        </w:rPr>
        <w:t xml:space="preserve">Es más tampoco tenía una expectativa legítima al </w:t>
      </w:r>
      <w:r w:rsidR="002B71E6">
        <w:rPr>
          <w:rFonts w:ascii="Arial" w:hAnsi="Arial" w:cs="Arial"/>
          <w:color w:val="000000" w:themeColor="text1"/>
          <w:szCs w:val="24"/>
        </w:rPr>
        <w:t>no cotizar, siendo afiliado inactivo, 26 semanas en el año anterior al momento del cambio normativo ni de estructurarse la invalidez, pues su última cotización lo fue en el año 2008</w:t>
      </w:r>
      <w:r w:rsidR="00571BAF">
        <w:rPr>
          <w:rFonts w:ascii="Arial" w:hAnsi="Arial" w:cs="Arial"/>
          <w:color w:val="000000" w:themeColor="text1"/>
          <w:szCs w:val="24"/>
        </w:rPr>
        <w:t>.</w:t>
      </w:r>
      <w:r w:rsidR="002B71E6">
        <w:rPr>
          <w:rFonts w:ascii="Arial" w:hAnsi="Arial" w:cs="Arial"/>
          <w:color w:val="000000" w:themeColor="text1"/>
          <w:szCs w:val="24"/>
        </w:rPr>
        <w:t xml:space="preserve"> </w:t>
      </w:r>
    </w:p>
    <w:p w14:paraId="7D5A14AB" w14:textId="77777777" w:rsidR="00392289" w:rsidRPr="00937348" w:rsidRDefault="00392289" w:rsidP="00EF536D">
      <w:pPr>
        <w:shd w:val="clear" w:color="auto" w:fill="FFFFFF"/>
        <w:tabs>
          <w:tab w:val="left" w:pos="5197"/>
        </w:tabs>
        <w:spacing w:line="276" w:lineRule="auto"/>
        <w:contextualSpacing/>
        <w:jc w:val="both"/>
        <w:rPr>
          <w:rFonts w:ascii="Arial" w:hAnsi="Arial" w:cs="Arial"/>
          <w:color w:val="000000" w:themeColor="text1"/>
          <w:szCs w:val="24"/>
          <w:highlight w:val="yellow"/>
          <w:lang w:eastAsia="es-CO"/>
        </w:rPr>
      </w:pPr>
    </w:p>
    <w:p w14:paraId="163201FC" w14:textId="04ABD917" w:rsidR="003A3C2E" w:rsidRDefault="002A4B48" w:rsidP="00EF536D">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3F671C">
        <w:rPr>
          <w:rFonts w:ascii="Arial" w:hAnsi="Arial" w:cs="Arial"/>
          <w:color w:val="000000" w:themeColor="text1"/>
          <w:szCs w:val="24"/>
          <w:lang w:eastAsia="es-CO"/>
        </w:rPr>
        <w:t xml:space="preserve">2.9 </w:t>
      </w:r>
      <w:r w:rsidR="003A3C2E" w:rsidRPr="003F671C">
        <w:rPr>
          <w:rFonts w:ascii="Arial" w:hAnsi="Arial" w:cs="Arial"/>
          <w:color w:val="000000" w:themeColor="text1"/>
          <w:szCs w:val="24"/>
          <w:lang w:eastAsia="es-CO"/>
        </w:rPr>
        <w:t xml:space="preserve">A tono con lo expuesto </w:t>
      </w:r>
      <w:r w:rsidR="0050292F" w:rsidRPr="003F671C">
        <w:rPr>
          <w:rFonts w:ascii="Arial" w:hAnsi="Arial" w:cs="Arial"/>
          <w:color w:val="000000" w:themeColor="text1"/>
          <w:szCs w:val="24"/>
          <w:lang w:eastAsia="es-CO"/>
        </w:rPr>
        <w:t xml:space="preserve">y </w:t>
      </w:r>
      <w:r w:rsidR="003A3C2E" w:rsidRPr="003F671C">
        <w:rPr>
          <w:rFonts w:ascii="Arial" w:hAnsi="Arial" w:cs="Arial"/>
          <w:color w:val="000000" w:themeColor="text1"/>
          <w:szCs w:val="24"/>
          <w:lang w:eastAsia="es-CO"/>
        </w:rPr>
        <w:t xml:space="preserve">sin asomo de duda se tiene que </w:t>
      </w:r>
      <w:r w:rsidR="003D6FAA" w:rsidRPr="003F671C">
        <w:rPr>
          <w:rFonts w:ascii="Arial" w:hAnsi="Arial" w:cs="Arial"/>
          <w:color w:val="000000" w:themeColor="text1"/>
          <w:szCs w:val="24"/>
          <w:lang w:eastAsia="es-CO"/>
        </w:rPr>
        <w:t xml:space="preserve">el señor José </w:t>
      </w:r>
      <w:r w:rsidR="003F671C" w:rsidRPr="003F671C">
        <w:rPr>
          <w:rFonts w:ascii="Arial" w:hAnsi="Arial" w:cs="Arial"/>
          <w:color w:val="000000" w:themeColor="text1"/>
          <w:szCs w:val="24"/>
          <w:lang w:eastAsia="es-CO"/>
        </w:rPr>
        <w:t xml:space="preserve">Antonio Montoya Gómez </w:t>
      </w:r>
      <w:r w:rsidR="003A3C2E" w:rsidRPr="003F671C">
        <w:rPr>
          <w:rFonts w:ascii="Arial" w:hAnsi="Arial" w:cs="Arial"/>
          <w:color w:val="000000" w:themeColor="text1"/>
          <w:szCs w:val="24"/>
          <w:lang w:eastAsia="es-CO"/>
        </w:rPr>
        <w:t>no causó la pensión de invalidez que reclama</w:t>
      </w:r>
      <w:r w:rsidR="00981B6D">
        <w:rPr>
          <w:rFonts w:ascii="Arial" w:hAnsi="Arial" w:cs="Arial"/>
          <w:color w:val="000000" w:themeColor="text1"/>
          <w:szCs w:val="24"/>
          <w:lang w:eastAsia="es-CO"/>
        </w:rPr>
        <w:t>, por lo que se releva la Sala Mayoritaria de analizar los argumentos expuestos en el recurso elevado por el demandante</w:t>
      </w:r>
      <w:r w:rsidR="003A3C2E" w:rsidRPr="003F671C">
        <w:rPr>
          <w:rFonts w:ascii="Arial" w:hAnsi="Arial" w:cs="Arial"/>
          <w:color w:val="000000" w:themeColor="text1"/>
          <w:szCs w:val="24"/>
          <w:lang w:eastAsia="es-CO"/>
        </w:rPr>
        <w:t>.</w:t>
      </w:r>
    </w:p>
    <w:p w14:paraId="1782E5EF" w14:textId="77777777" w:rsidR="003A3C2E" w:rsidRPr="00BD5769" w:rsidRDefault="003A3C2E" w:rsidP="00BD5769">
      <w:pPr>
        <w:spacing w:line="276" w:lineRule="auto"/>
        <w:jc w:val="both"/>
        <w:rPr>
          <w:rFonts w:ascii="Arial" w:eastAsia="Calibri" w:hAnsi="Arial" w:cs="Arial"/>
          <w:szCs w:val="24"/>
          <w:lang w:val="es-CO" w:eastAsia="en-US"/>
        </w:rPr>
      </w:pPr>
    </w:p>
    <w:p w14:paraId="03D7CE13" w14:textId="77777777" w:rsidR="00687454" w:rsidRPr="00DF2ABC" w:rsidRDefault="00687454" w:rsidP="00687454">
      <w:pPr>
        <w:shd w:val="clear" w:color="auto" w:fill="FFFFFF"/>
        <w:tabs>
          <w:tab w:val="left" w:pos="5197"/>
        </w:tabs>
        <w:spacing w:line="276" w:lineRule="auto"/>
        <w:jc w:val="center"/>
        <w:rPr>
          <w:rFonts w:ascii="Arial" w:hAnsi="Arial" w:cs="Arial"/>
          <w:b/>
          <w:color w:val="000000" w:themeColor="text1"/>
          <w:szCs w:val="24"/>
          <w:lang w:eastAsia="es-CO"/>
        </w:rPr>
      </w:pPr>
      <w:r w:rsidRPr="00DF2ABC">
        <w:rPr>
          <w:rFonts w:ascii="Arial" w:hAnsi="Arial" w:cs="Arial"/>
          <w:b/>
          <w:color w:val="000000" w:themeColor="text1"/>
          <w:szCs w:val="24"/>
          <w:lang w:eastAsia="es-CO"/>
        </w:rPr>
        <w:t>CONCLUSIÓN</w:t>
      </w:r>
    </w:p>
    <w:p w14:paraId="09095C63" w14:textId="77777777" w:rsidR="00062442" w:rsidRPr="00BD5769" w:rsidRDefault="00062442" w:rsidP="00BD5769">
      <w:pPr>
        <w:spacing w:line="276" w:lineRule="auto"/>
        <w:jc w:val="both"/>
        <w:rPr>
          <w:rFonts w:ascii="Arial" w:eastAsia="Calibri" w:hAnsi="Arial" w:cs="Arial"/>
          <w:szCs w:val="24"/>
          <w:lang w:val="es-CO" w:eastAsia="en-US"/>
        </w:rPr>
      </w:pPr>
    </w:p>
    <w:p w14:paraId="7D65F27A" w14:textId="704EE317" w:rsidR="009C4ED6" w:rsidRPr="00DF2ABC" w:rsidRDefault="00687454" w:rsidP="00593114">
      <w:pPr>
        <w:spacing w:line="276" w:lineRule="auto"/>
        <w:jc w:val="both"/>
        <w:rPr>
          <w:rFonts w:ascii="Arial" w:hAnsi="Arial" w:cs="Arial"/>
          <w:color w:val="000000" w:themeColor="text1"/>
          <w:szCs w:val="24"/>
        </w:rPr>
      </w:pPr>
      <w:r w:rsidRPr="00DF2ABC">
        <w:rPr>
          <w:rFonts w:ascii="Arial" w:hAnsi="Arial" w:cs="Arial"/>
          <w:color w:val="000000" w:themeColor="text1"/>
          <w:szCs w:val="24"/>
          <w:lang w:eastAsia="es-CO"/>
        </w:rPr>
        <w:t>Conforme lo expuesto, la decisión r</w:t>
      </w:r>
      <w:r w:rsidR="003F671C">
        <w:rPr>
          <w:rFonts w:ascii="Arial" w:hAnsi="Arial" w:cs="Arial"/>
          <w:color w:val="000000" w:themeColor="text1"/>
          <w:szCs w:val="24"/>
          <w:lang w:eastAsia="es-CO"/>
        </w:rPr>
        <w:t>evisada será revocada</w:t>
      </w:r>
      <w:r w:rsidR="00981B6D">
        <w:rPr>
          <w:rFonts w:ascii="Arial" w:hAnsi="Arial" w:cs="Arial"/>
          <w:color w:val="000000" w:themeColor="text1"/>
          <w:szCs w:val="24"/>
          <w:lang w:eastAsia="es-CO"/>
        </w:rPr>
        <w:t xml:space="preserve">, para en su lugar a absolver de las pretensiones </w:t>
      </w:r>
      <w:r w:rsidR="00256486">
        <w:rPr>
          <w:rFonts w:ascii="Arial" w:hAnsi="Arial" w:cs="Arial"/>
          <w:color w:val="000000" w:themeColor="text1"/>
          <w:szCs w:val="24"/>
          <w:lang w:eastAsia="es-CO"/>
        </w:rPr>
        <w:t>a la parte demandada</w:t>
      </w:r>
      <w:r w:rsidR="00981B6D">
        <w:rPr>
          <w:rFonts w:ascii="Arial" w:hAnsi="Arial" w:cs="Arial"/>
          <w:color w:val="000000" w:themeColor="text1"/>
          <w:szCs w:val="24"/>
          <w:lang w:eastAsia="es-CO"/>
        </w:rPr>
        <w:t>, con la consecuente condena en costas en las dos instancias a cargo de la parte actora</w:t>
      </w:r>
      <w:r w:rsidR="00500645">
        <w:rPr>
          <w:rFonts w:ascii="Arial" w:hAnsi="Arial" w:cs="Arial"/>
          <w:color w:val="000000" w:themeColor="text1"/>
          <w:szCs w:val="24"/>
          <w:lang w:eastAsia="es-CO"/>
        </w:rPr>
        <w:t xml:space="preserve"> de conformidad con el numeral 4 del artículo 365 del CGP </w:t>
      </w:r>
      <w:r w:rsidR="00981B6D">
        <w:rPr>
          <w:rFonts w:ascii="Arial" w:hAnsi="Arial" w:cs="Arial"/>
          <w:color w:val="000000" w:themeColor="text1"/>
          <w:szCs w:val="24"/>
          <w:lang w:eastAsia="es-CO"/>
        </w:rPr>
        <w:t xml:space="preserve">. </w:t>
      </w:r>
    </w:p>
    <w:p w14:paraId="468AC988" w14:textId="77777777" w:rsidR="00593114" w:rsidRDefault="00593114" w:rsidP="00687454">
      <w:pPr>
        <w:spacing w:line="276" w:lineRule="auto"/>
        <w:jc w:val="center"/>
        <w:rPr>
          <w:rFonts w:ascii="Arial" w:hAnsi="Arial" w:cs="Arial"/>
          <w:b/>
          <w:color w:val="000000" w:themeColor="text1"/>
          <w:szCs w:val="24"/>
        </w:rPr>
      </w:pPr>
    </w:p>
    <w:p w14:paraId="7251DF45" w14:textId="77777777" w:rsidR="00687454" w:rsidRPr="00DF2ABC" w:rsidRDefault="00687454" w:rsidP="00687454">
      <w:pPr>
        <w:spacing w:line="276" w:lineRule="auto"/>
        <w:jc w:val="center"/>
        <w:rPr>
          <w:rFonts w:ascii="Arial" w:hAnsi="Arial" w:cs="Arial"/>
          <w:b/>
          <w:color w:val="000000" w:themeColor="text1"/>
          <w:szCs w:val="24"/>
        </w:rPr>
      </w:pPr>
      <w:r w:rsidRPr="00DF2ABC">
        <w:rPr>
          <w:rFonts w:ascii="Arial" w:hAnsi="Arial" w:cs="Arial"/>
          <w:b/>
          <w:color w:val="000000" w:themeColor="text1"/>
          <w:szCs w:val="24"/>
        </w:rPr>
        <w:t>DECISIÓN</w:t>
      </w:r>
    </w:p>
    <w:p w14:paraId="49EF595F" w14:textId="77777777" w:rsidR="00687454" w:rsidRPr="00DF2ABC" w:rsidRDefault="00687454" w:rsidP="00687454">
      <w:pPr>
        <w:pStyle w:val="Sinespaciado"/>
        <w:spacing w:line="276" w:lineRule="auto"/>
        <w:rPr>
          <w:rFonts w:ascii="Arial" w:hAnsi="Arial" w:cs="Arial"/>
          <w:color w:val="000000" w:themeColor="text1"/>
          <w:szCs w:val="24"/>
        </w:rPr>
      </w:pPr>
    </w:p>
    <w:p w14:paraId="7E445C5D" w14:textId="6B9C39FA" w:rsidR="00687454" w:rsidRPr="00DF2ABC" w:rsidRDefault="00687454" w:rsidP="00687454">
      <w:pPr>
        <w:pStyle w:val="Prrafodelista2"/>
        <w:spacing w:after="0"/>
        <w:ind w:left="0"/>
        <w:jc w:val="both"/>
        <w:rPr>
          <w:rFonts w:ascii="Arial" w:hAnsi="Arial" w:cs="Arial"/>
          <w:color w:val="000000" w:themeColor="text1"/>
          <w:sz w:val="24"/>
          <w:szCs w:val="24"/>
        </w:rPr>
      </w:pPr>
      <w:r w:rsidRPr="00DF2ABC">
        <w:rPr>
          <w:rFonts w:ascii="Arial" w:hAnsi="Arial" w:cs="Arial"/>
          <w:color w:val="000000" w:themeColor="text1"/>
          <w:sz w:val="24"/>
          <w:szCs w:val="24"/>
        </w:rPr>
        <w:t xml:space="preserve">En mérito de lo expuesto, el </w:t>
      </w:r>
      <w:r w:rsidRPr="00DF2ABC">
        <w:rPr>
          <w:rFonts w:ascii="Arial" w:hAnsi="Arial" w:cs="Arial"/>
          <w:b/>
          <w:color w:val="000000" w:themeColor="text1"/>
          <w:sz w:val="24"/>
          <w:szCs w:val="24"/>
        </w:rPr>
        <w:t xml:space="preserve">Tribunal Superior del Distrito Judicial de Pereira - Risaralda, Sala </w:t>
      </w:r>
      <w:r w:rsidR="004E00DF">
        <w:rPr>
          <w:rFonts w:ascii="Arial" w:hAnsi="Arial" w:cs="Arial"/>
          <w:b/>
          <w:color w:val="000000" w:themeColor="text1"/>
          <w:sz w:val="24"/>
          <w:szCs w:val="24"/>
        </w:rPr>
        <w:t>Primera</w:t>
      </w:r>
      <w:r w:rsidRPr="00DF2ABC">
        <w:rPr>
          <w:rFonts w:ascii="Arial" w:hAnsi="Arial" w:cs="Arial"/>
          <w:b/>
          <w:color w:val="000000" w:themeColor="text1"/>
          <w:sz w:val="24"/>
          <w:szCs w:val="24"/>
        </w:rPr>
        <w:t xml:space="preserve"> de Decisión Laboral,</w:t>
      </w:r>
      <w:r w:rsidRPr="00DF2ABC">
        <w:rPr>
          <w:rFonts w:ascii="Arial" w:hAnsi="Arial" w:cs="Arial"/>
          <w:color w:val="000000" w:themeColor="text1"/>
          <w:sz w:val="24"/>
          <w:szCs w:val="24"/>
        </w:rPr>
        <w:t xml:space="preserve"> administrando justicia en nombre de la República y por autoridad de la ley,</w:t>
      </w:r>
    </w:p>
    <w:p w14:paraId="69DC7F31" w14:textId="77777777" w:rsidR="009C4ED6" w:rsidRDefault="009C4ED6" w:rsidP="00561158">
      <w:pPr>
        <w:spacing w:line="276" w:lineRule="auto"/>
        <w:rPr>
          <w:rFonts w:ascii="Arial" w:hAnsi="Arial" w:cs="Arial"/>
          <w:b/>
          <w:color w:val="000000" w:themeColor="text1"/>
          <w:szCs w:val="24"/>
        </w:rPr>
      </w:pPr>
    </w:p>
    <w:p w14:paraId="39B58278" w14:textId="77777777" w:rsidR="00561158" w:rsidRDefault="00561158" w:rsidP="00561158">
      <w:pPr>
        <w:spacing w:line="276" w:lineRule="auto"/>
        <w:rPr>
          <w:rFonts w:ascii="Arial" w:hAnsi="Arial" w:cs="Arial"/>
          <w:b/>
          <w:color w:val="000000" w:themeColor="text1"/>
          <w:szCs w:val="24"/>
        </w:rPr>
      </w:pPr>
    </w:p>
    <w:p w14:paraId="2FF18E8E" w14:textId="77777777" w:rsidR="00687454" w:rsidRPr="00DF2ABC" w:rsidRDefault="00687454" w:rsidP="00687454">
      <w:pPr>
        <w:spacing w:line="276" w:lineRule="auto"/>
        <w:jc w:val="center"/>
        <w:rPr>
          <w:rFonts w:ascii="Arial" w:hAnsi="Arial" w:cs="Arial"/>
          <w:b/>
          <w:color w:val="000000" w:themeColor="text1"/>
          <w:szCs w:val="24"/>
        </w:rPr>
      </w:pPr>
      <w:r w:rsidRPr="00DF2ABC">
        <w:rPr>
          <w:rFonts w:ascii="Arial" w:hAnsi="Arial" w:cs="Arial"/>
          <w:b/>
          <w:color w:val="000000" w:themeColor="text1"/>
          <w:szCs w:val="24"/>
        </w:rPr>
        <w:t>RESUELVE</w:t>
      </w:r>
    </w:p>
    <w:p w14:paraId="60F6BB8B" w14:textId="77777777" w:rsidR="00687454" w:rsidRPr="00DF2ABC" w:rsidRDefault="00687454" w:rsidP="00687454">
      <w:pPr>
        <w:pStyle w:val="Sinespaciado"/>
        <w:tabs>
          <w:tab w:val="left" w:pos="3387"/>
        </w:tabs>
        <w:spacing w:line="276" w:lineRule="auto"/>
        <w:rPr>
          <w:rFonts w:ascii="Arial" w:hAnsi="Arial" w:cs="Arial"/>
          <w:color w:val="000000" w:themeColor="text1"/>
          <w:szCs w:val="24"/>
        </w:rPr>
      </w:pPr>
      <w:r w:rsidRPr="00DF2ABC">
        <w:rPr>
          <w:rFonts w:ascii="Arial" w:hAnsi="Arial" w:cs="Arial"/>
          <w:color w:val="000000" w:themeColor="text1"/>
          <w:szCs w:val="24"/>
        </w:rPr>
        <w:tab/>
      </w:r>
    </w:p>
    <w:p w14:paraId="4969CA71" w14:textId="791ABEBB" w:rsidR="00E02DFD" w:rsidRDefault="00687454" w:rsidP="00AE094B">
      <w:pPr>
        <w:widowControl w:val="0"/>
        <w:autoSpaceDE w:val="0"/>
        <w:autoSpaceDN w:val="0"/>
        <w:adjustRightInd w:val="0"/>
        <w:spacing w:line="276" w:lineRule="auto"/>
        <w:jc w:val="both"/>
        <w:rPr>
          <w:rFonts w:ascii="Arial" w:hAnsi="Arial" w:cs="Arial"/>
          <w:b/>
          <w:color w:val="000000" w:themeColor="text1"/>
          <w:szCs w:val="24"/>
        </w:rPr>
      </w:pPr>
      <w:r w:rsidRPr="00DF2ABC">
        <w:rPr>
          <w:rFonts w:ascii="Arial" w:hAnsi="Arial" w:cs="Arial"/>
          <w:b/>
          <w:color w:val="000000" w:themeColor="text1"/>
          <w:szCs w:val="24"/>
          <w:u w:val="single"/>
        </w:rPr>
        <w:t>PRIMERO</w:t>
      </w:r>
      <w:r w:rsidRPr="00DF2ABC">
        <w:rPr>
          <w:rFonts w:ascii="Arial" w:hAnsi="Arial" w:cs="Arial"/>
          <w:b/>
          <w:color w:val="000000" w:themeColor="text1"/>
          <w:szCs w:val="24"/>
        </w:rPr>
        <w:t xml:space="preserve">: </w:t>
      </w:r>
      <w:r w:rsidR="004E00DF">
        <w:rPr>
          <w:rFonts w:ascii="Arial" w:hAnsi="Arial" w:cs="Arial"/>
          <w:b/>
          <w:color w:val="000000" w:themeColor="text1"/>
          <w:szCs w:val="24"/>
        </w:rPr>
        <w:t>REVOCAR</w:t>
      </w:r>
      <w:r w:rsidRPr="00DF2ABC">
        <w:rPr>
          <w:rFonts w:ascii="Arial" w:hAnsi="Arial" w:cs="Arial"/>
          <w:b/>
          <w:color w:val="000000" w:themeColor="text1"/>
          <w:szCs w:val="24"/>
        </w:rPr>
        <w:t xml:space="preserve"> </w:t>
      </w:r>
      <w:r w:rsidR="00AE094B" w:rsidRPr="00DF2ABC">
        <w:rPr>
          <w:rFonts w:ascii="Arial" w:hAnsi="Arial" w:cs="Arial"/>
          <w:b/>
          <w:color w:val="000000" w:themeColor="text1"/>
          <w:szCs w:val="24"/>
        </w:rPr>
        <w:t xml:space="preserve"> </w:t>
      </w:r>
      <w:r w:rsidRPr="00DF2ABC">
        <w:rPr>
          <w:rFonts w:ascii="Arial" w:hAnsi="Arial" w:cs="Arial"/>
          <w:color w:val="000000" w:themeColor="text1"/>
          <w:szCs w:val="24"/>
        </w:rPr>
        <w:t xml:space="preserve">la sentencia proferida el </w:t>
      </w:r>
      <w:r w:rsidR="004E00DF">
        <w:rPr>
          <w:rFonts w:ascii="Arial" w:hAnsi="Arial" w:cs="Arial"/>
          <w:color w:val="000000" w:themeColor="text1"/>
          <w:szCs w:val="24"/>
        </w:rPr>
        <w:t>14 de septiembre</w:t>
      </w:r>
      <w:r w:rsidR="004D300A">
        <w:rPr>
          <w:rFonts w:ascii="Arial" w:hAnsi="Arial" w:cs="Arial"/>
          <w:color w:val="000000" w:themeColor="text1"/>
          <w:szCs w:val="24"/>
        </w:rPr>
        <w:t xml:space="preserve"> de 2018</w:t>
      </w:r>
      <w:r w:rsidR="00AE094B" w:rsidRPr="00DF2ABC">
        <w:rPr>
          <w:rFonts w:ascii="Arial" w:hAnsi="Arial" w:cs="Arial"/>
          <w:color w:val="000000" w:themeColor="text1"/>
          <w:szCs w:val="24"/>
        </w:rPr>
        <w:t xml:space="preserve"> por el Juzgado </w:t>
      </w:r>
      <w:r w:rsidR="004E00DF">
        <w:rPr>
          <w:rFonts w:ascii="Arial" w:hAnsi="Arial" w:cs="Arial"/>
          <w:color w:val="000000" w:themeColor="text1"/>
          <w:szCs w:val="24"/>
        </w:rPr>
        <w:t>Primero</w:t>
      </w:r>
      <w:r w:rsidR="00AE094B" w:rsidRPr="00DF2ABC">
        <w:rPr>
          <w:rFonts w:ascii="Arial" w:hAnsi="Arial" w:cs="Arial"/>
          <w:color w:val="000000" w:themeColor="text1"/>
          <w:szCs w:val="24"/>
        </w:rPr>
        <w:t xml:space="preserve"> Laboral del Circuito de Pereira, den</w:t>
      </w:r>
      <w:r w:rsidR="004D300A">
        <w:rPr>
          <w:rFonts w:ascii="Arial" w:hAnsi="Arial" w:cs="Arial"/>
          <w:color w:val="000000" w:themeColor="text1"/>
          <w:szCs w:val="24"/>
        </w:rPr>
        <w:t xml:space="preserve">tro del proceso que promueve </w:t>
      </w:r>
      <w:r w:rsidR="00A32249">
        <w:rPr>
          <w:rFonts w:ascii="Arial" w:hAnsi="Arial" w:cs="Arial"/>
          <w:color w:val="000000" w:themeColor="text1"/>
          <w:szCs w:val="24"/>
        </w:rPr>
        <w:t>e</w:t>
      </w:r>
      <w:r w:rsidR="004D300A">
        <w:rPr>
          <w:rFonts w:ascii="Arial" w:hAnsi="Arial" w:cs="Arial"/>
          <w:color w:val="000000" w:themeColor="text1"/>
          <w:szCs w:val="24"/>
        </w:rPr>
        <w:t xml:space="preserve">l </w:t>
      </w:r>
      <w:r w:rsidR="00AE094B" w:rsidRPr="00DF2ABC">
        <w:rPr>
          <w:rFonts w:ascii="Arial" w:hAnsi="Arial" w:cs="Arial"/>
          <w:color w:val="000000" w:themeColor="text1"/>
          <w:szCs w:val="24"/>
        </w:rPr>
        <w:t xml:space="preserve">señor </w:t>
      </w:r>
      <w:r w:rsidR="00A32249">
        <w:rPr>
          <w:rFonts w:ascii="Arial" w:hAnsi="Arial" w:cs="Arial"/>
          <w:b/>
          <w:color w:val="000000" w:themeColor="text1"/>
          <w:szCs w:val="24"/>
        </w:rPr>
        <w:t xml:space="preserve">José </w:t>
      </w:r>
      <w:r w:rsidR="004E00DF">
        <w:rPr>
          <w:rFonts w:ascii="Arial" w:hAnsi="Arial" w:cs="Arial"/>
          <w:b/>
          <w:color w:val="000000" w:themeColor="text1"/>
          <w:szCs w:val="24"/>
        </w:rPr>
        <w:t>Antonio Montoya Gómez</w:t>
      </w:r>
      <w:r w:rsidR="003D6FAA">
        <w:rPr>
          <w:rFonts w:ascii="Arial" w:hAnsi="Arial" w:cs="Arial"/>
          <w:b/>
          <w:color w:val="000000" w:themeColor="text1"/>
          <w:szCs w:val="24"/>
        </w:rPr>
        <w:t xml:space="preserve"> </w:t>
      </w:r>
      <w:r w:rsidR="00AE094B" w:rsidRPr="00DF2ABC">
        <w:rPr>
          <w:rFonts w:ascii="Arial" w:hAnsi="Arial" w:cs="Arial"/>
          <w:color w:val="000000" w:themeColor="text1"/>
          <w:szCs w:val="24"/>
        </w:rPr>
        <w:t xml:space="preserve">en contra de la </w:t>
      </w:r>
      <w:r w:rsidR="00AE094B" w:rsidRPr="00DF2ABC">
        <w:rPr>
          <w:rFonts w:ascii="Arial" w:hAnsi="Arial" w:cs="Arial"/>
          <w:b/>
          <w:color w:val="000000" w:themeColor="text1"/>
          <w:szCs w:val="24"/>
        </w:rPr>
        <w:t>Administradora Colombiana de Pensiones – Colpensiones</w:t>
      </w:r>
      <w:r w:rsidR="002F271E" w:rsidRPr="002F271E">
        <w:rPr>
          <w:rFonts w:ascii="Arial" w:hAnsi="Arial" w:cs="Arial"/>
          <w:color w:val="000000" w:themeColor="text1"/>
          <w:szCs w:val="24"/>
        </w:rPr>
        <w:t xml:space="preserve">, para en su lugar </w:t>
      </w:r>
      <w:r w:rsidR="002F271E" w:rsidRPr="00C023C9">
        <w:rPr>
          <w:rFonts w:ascii="Arial" w:hAnsi="Arial" w:cs="Arial"/>
          <w:b/>
          <w:color w:val="000000" w:themeColor="text1"/>
          <w:szCs w:val="24"/>
        </w:rPr>
        <w:t>ABSOLVERLA</w:t>
      </w:r>
      <w:r w:rsidR="002F271E" w:rsidRPr="002F271E">
        <w:rPr>
          <w:rFonts w:ascii="Arial" w:hAnsi="Arial" w:cs="Arial"/>
          <w:color w:val="000000" w:themeColor="text1"/>
          <w:szCs w:val="24"/>
        </w:rPr>
        <w:t xml:space="preserve"> de las pretensiones formuladas en su contra</w:t>
      </w:r>
      <w:r w:rsidR="00AE094B" w:rsidRPr="00DF2ABC">
        <w:rPr>
          <w:rFonts w:ascii="Arial" w:hAnsi="Arial" w:cs="Arial"/>
          <w:b/>
          <w:color w:val="000000" w:themeColor="text1"/>
          <w:szCs w:val="24"/>
        </w:rPr>
        <w:t>.</w:t>
      </w:r>
    </w:p>
    <w:p w14:paraId="38F3206E" w14:textId="77777777" w:rsidR="004D300A" w:rsidRPr="00DF2ABC" w:rsidRDefault="004D300A" w:rsidP="00AE094B">
      <w:pPr>
        <w:widowControl w:val="0"/>
        <w:autoSpaceDE w:val="0"/>
        <w:autoSpaceDN w:val="0"/>
        <w:adjustRightInd w:val="0"/>
        <w:spacing w:line="276" w:lineRule="auto"/>
        <w:jc w:val="both"/>
        <w:rPr>
          <w:rFonts w:ascii="Arial" w:hAnsi="Arial" w:cs="Arial"/>
          <w:bCs/>
          <w:i/>
          <w:iCs/>
          <w:color w:val="000000" w:themeColor="text1"/>
          <w:sz w:val="22"/>
          <w:szCs w:val="22"/>
        </w:rPr>
      </w:pPr>
      <w:bookmarkStart w:id="0" w:name="_GoBack"/>
      <w:bookmarkEnd w:id="0"/>
    </w:p>
    <w:p w14:paraId="7A8833E1" w14:textId="15BF11BE" w:rsidR="00687454" w:rsidRPr="00B14AE8" w:rsidRDefault="00687454" w:rsidP="00760223">
      <w:pPr>
        <w:spacing w:line="276" w:lineRule="auto"/>
        <w:jc w:val="both"/>
        <w:rPr>
          <w:rFonts w:ascii="Arial" w:hAnsi="Arial" w:cs="Arial"/>
          <w:szCs w:val="24"/>
        </w:rPr>
      </w:pPr>
      <w:r w:rsidRPr="00DF2ABC">
        <w:rPr>
          <w:rFonts w:ascii="Arial" w:hAnsi="Arial" w:cs="Arial"/>
          <w:b/>
          <w:bCs/>
          <w:iCs/>
          <w:color w:val="000000" w:themeColor="text1"/>
          <w:szCs w:val="24"/>
          <w:u w:val="single"/>
        </w:rPr>
        <w:t>SEGUNDO</w:t>
      </w:r>
      <w:r w:rsidRPr="00DF2ABC">
        <w:rPr>
          <w:rFonts w:ascii="Arial" w:hAnsi="Arial" w:cs="Arial"/>
          <w:b/>
          <w:bCs/>
          <w:iCs/>
          <w:color w:val="000000" w:themeColor="text1"/>
          <w:szCs w:val="24"/>
        </w:rPr>
        <w:t xml:space="preserve">: </w:t>
      </w:r>
      <w:r w:rsidR="00DC63BE">
        <w:rPr>
          <w:rFonts w:ascii="Arial" w:hAnsi="Arial" w:cs="Arial"/>
          <w:b/>
          <w:spacing w:val="-2"/>
          <w:szCs w:val="24"/>
        </w:rPr>
        <w:t>CO</w:t>
      </w:r>
      <w:r w:rsidR="002F271E">
        <w:rPr>
          <w:rFonts w:ascii="Arial" w:hAnsi="Arial" w:cs="Arial"/>
          <w:b/>
          <w:spacing w:val="-2"/>
          <w:szCs w:val="24"/>
        </w:rPr>
        <w:t xml:space="preserve">NDENAR en costas </w:t>
      </w:r>
      <w:r w:rsidR="00DC63BE">
        <w:rPr>
          <w:rFonts w:ascii="Arial" w:hAnsi="Arial" w:cs="Arial"/>
          <w:spacing w:val="-2"/>
          <w:szCs w:val="24"/>
        </w:rPr>
        <w:t xml:space="preserve">en </w:t>
      </w:r>
      <w:r w:rsidR="002F271E">
        <w:rPr>
          <w:rFonts w:ascii="Arial" w:hAnsi="Arial" w:cs="Arial"/>
          <w:spacing w:val="-2"/>
          <w:szCs w:val="24"/>
        </w:rPr>
        <w:t xml:space="preserve">las dos instancias a la parte actora en favor de la demandada por lo mencionado. </w:t>
      </w:r>
    </w:p>
    <w:p w14:paraId="563B2EFB" w14:textId="77777777" w:rsidR="00687454" w:rsidRPr="00DF2ABC" w:rsidRDefault="00687454" w:rsidP="00687454">
      <w:pPr>
        <w:spacing w:line="276" w:lineRule="auto"/>
        <w:jc w:val="both"/>
        <w:rPr>
          <w:rFonts w:ascii="Arial" w:hAnsi="Arial" w:cs="Arial"/>
          <w:color w:val="000000" w:themeColor="text1"/>
          <w:szCs w:val="24"/>
        </w:rPr>
      </w:pPr>
    </w:p>
    <w:p w14:paraId="378630EB" w14:textId="77777777" w:rsidR="00687454" w:rsidRPr="00DF2ABC" w:rsidRDefault="00687454" w:rsidP="00687454">
      <w:pPr>
        <w:spacing w:line="276" w:lineRule="auto"/>
        <w:contextualSpacing/>
        <w:jc w:val="both"/>
        <w:rPr>
          <w:rFonts w:ascii="Arial" w:hAnsi="Arial" w:cs="Arial"/>
          <w:color w:val="000000" w:themeColor="text1"/>
          <w:szCs w:val="24"/>
        </w:rPr>
      </w:pPr>
      <w:r w:rsidRPr="00DF2ABC">
        <w:rPr>
          <w:rFonts w:ascii="Arial" w:hAnsi="Arial" w:cs="Arial"/>
          <w:color w:val="000000" w:themeColor="text1"/>
          <w:szCs w:val="24"/>
        </w:rPr>
        <w:t>Notificación surtida en estrados.</w:t>
      </w:r>
    </w:p>
    <w:p w14:paraId="320F8A21" w14:textId="77777777" w:rsidR="00687454" w:rsidRPr="00DF2ABC" w:rsidRDefault="00687454" w:rsidP="00687454">
      <w:pPr>
        <w:spacing w:line="276" w:lineRule="auto"/>
        <w:contextualSpacing/>
        <w:jc w:val="both"/>
        <w:rPr>
          <w:rFonts w:ascii="Arial" w:hAnsi="Arial" w:cs="Arial"/>
          <w:color w:val="000000" w:themeColor="text1"/>
          <w:szCs w:val="24"/>
        </w:rPr>
      </w:pPr>
    </w:p>
    <w:p w14:paraId="1932D6E7" w14:textId="77777777" w:rsidR="00687454" w:rsidRPr="00DF2ABC" w:rsidRDefault="00687454" w:rsidP="00687454">
      <w:pPr>
        <w:pStyle w:val="Textoindependiente"/>
        <w:spacing w:line="276" w:lineRule="auto"/>
        <w:contextualSpacing/>
        <w:rPr>
          <w:color w:val="000000" w:themeColor="text1"/>
          <w:szCs w:val="24"/>
        </w:rPr>
      </w:pPr>
      <w:r w:rsidRPr="00DF2ABC">
        <w:rPr>
          <w:color w:val="000000" w:themeColor="text1"/>
          <w:szCs w:val="24"/>
        </w:rPr>
        <w:t>No siendo otro el objeto de la presente audiencia, se eleva y firma esta acta por las personas que han intervenido.</w:t>
      </w:r>
    </w:p>
    <w:p w14:paraId="4E6B1743" w14:textId="77777777" w:rsidR="00687454" w:rsidRPr="00DF2ABC"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p>
    <w:p w14:paraId="7D6839C8" w14:textId="77777777" w:rsidR="00687454" w:rsidRDefault="00687454" w:rsidP="00687454">
      <w:pPr>
        <w:widowControl w:val="0"/>
        <w:autoSpaceDE w:val="0"/>
        <w:autoSpaceDN w:val="0"/>
        <w:adjustRightInd w:val="0"/>
        <w:spacing w:line="276" w:lineRule="auto"/>
        <w:contextualSpacing/>
        <w:jc w:val="both"/>
        <w:rPr>
          <w:rFonts w:ascii="Arial" w:hAnsi="Arial" w:cs="Arial"/>
          <w:color w:val="000000" w:themeColor="text1"/>
          <w:szCs w:val="24"/>
        </w:rPr>
      </w:pPr>
      <w:r w:rsidRPr="00DF2ABC">
        <w:rPr>
          <w:rFonts w:ascii="Arial" w:hAnsi="Arial" w:cs="Arial"/>
          <w:color w:val="000000" w:themeColor="text1"/>
          <w:szCs w:val="24"/>
        </w:rPr>
        <w:t>Quienes integran la Sala,</w:t>
      </w:r>
    </w:p>
    <w:p w14:paraId="1CDC88E7" w14:textId="77777777" w:rsidR="001B0B7B" w:rsidRPr="00BD5769" w:rsidRDefault="001B0B7B" w:rsidP="00BD5769">
      <w:pPr>
        <w:spacing w:line="276" w:lineRule="auto"/>
        <w:jc w:val="both"/>
        <w:rPr>
          <w:rFonts w:ascii="Arial" w:eastAsia="Calibri" w:hAnsi="Arial" w:cs="Arial"/>
          <w:szCs w:val="24"/>
          <w:lang w:val="es-CO" w:eastAsia="en-US"/>
        </w:rPr>
      </w:pPr>
    </w:p>
    <w:p w14:paraId="537CD26B" w14:textId="77777777" w:rsidR="001B0B7B" w:rsidRPr="00BD5769" w:rsidRDefault="001B0B7B" w:rsidP="00BD5769">
      <w:pPr>
        <w:spacing w:line="276" w:lineRule="auto"/>
        <w:jc w:val="both"/>
        <w:rPr>
          <w:rFonts w:ascii="Arial" w:eastAsia="Calibri" w:hAnsi="Arial" w:cs="Arial"/>
          <w:szCs w:val="24"/>
          <w:lang w:val="es-CO" w:eastAsia="en-US"/>
        </w:rPr>
      </w:pPr>
    </w:p>
    <w:p w14:paraId="12323E34" w14:textId="77777777" w:rsidR="00F05ED1" w:rsidRDefault="00F05ED1" w:rsidP="00BD5769">
      <w:pPr>
        <w:spacing w:line="276" w:lineRule="auto"/>
        <w:jc w:val="both"/>
        <w:rPr>
          <w:rFonts w:ascii="Arial" w:eastAsia="Calibri" w:hAnsi="Arial" w:cs="Arial"/>
          <w:szCs w:val="24"/>
          <w:lang w:val="es-CO" w:eastAsia="en-US"/>
        </w:rPr>
      </w:pPr>
    </w:p>
    <w:p w14:paraId="323D7CF5" w14:textId="77777777" w:rsidR="00685A50" w:rsidRPr="00BD5769" w:rsidRDefault="00685A50" w:rsidP="00BD5769">
      <w:pPr>
        <w:spacing w:line="276" w:lineRule="auto"/>
        <w:jc w:val="both"/>
        <w:rPr>
          <w:rFonts w:ascii="Arial" w:eastAsia="Calibri" w:hAnsi="Arial" w:cs="Arial"/>
          <w:szCs w:val="24"/>
          <w:lang w:val="es-CO" w:eastAsia="en-US"/>
        </w:rPr>
      </w:pPr>
    </w:p>
    <w:p w14:paraId="3FEBA677" w14:textId="77777777" w:rsidR="00687454" w:rsidRPr="00BD5769" w:rsidRDefault="00687454" w:rsidP="00687454">
      <w:pPr>
        <w:pStyle w:val="Sinespaciado"/>
        <w:spacing w:line="276" w:lineRule="auto"/>
        <w:contextualSpacing/>
        <w:jc w:val="center"/>
        <w:rPr>
          <w:rFonts w:ascii="Arial" w:hAnsi="Arial" w:cs="Arial"/>
          <w:b/>
          <w:color w:val="000000" w:themeColor="text1"/>
          <w:sz w:val="24"/>
          <w:szCs w:val="24"/>
          <w:lang w:val="es-ES"/>
        </w:rPr>
      </w:pPr>
      <w:r w:rsidRPr="00BD5769">
        <w:rPr>
          <w:rFonts w:ascii="Arial" w:hAnsi="Arial" w:cs="Arial"/>
          <w:b/>
          <w:color w:val="000000" w:themeColor="text1"/>
          <w:sz w:val="24"/>
          <w:szCs w:val="24"/>
          <w:lang w:val="es-ES"/>
        </w:rPr>
        <w:t>OLGA LUCÍA HOYOS SEPÚLVEDA</w:t>
      </w:r>
    </w:p>
    <w:p w14:paraId="4E5E09BB" w14:textId="77777777" w:rsidR="00687454" w:rsidRPr="00DF2ABC" w:rsidRDefault="00687454" w:rsidP="00687454">
      <w:pPr>
        <w:pStyle w:val="Sinespaciado"/>
        <w:spacing w:line="276" w:lineRule="auto"/>
        <w:contextualSpacing/>
        <w:jc w:val="center"/>
        <w:rPr>
          <w:rFonts w:ascii="Arial" w:hAnsi="Arial" w:cs="Arial"/>
          <w:color w:val="000000" w:themeColor="text1"/>
          <w:szCs w:val="24"/>
          <w:lang w:val="es-ES"/>
        </w:rPr>
      </w:pPr>
      <w:r w:rsidRPr="00DF2ABC">
        <w:rPr>
          <w:rFonts w:ascii="Arial" w:hAnsi="Arial" w:cs="Arial"/>
          <w:color w:val="000000" w:themeColor="text1"/>
          <w:szCs w:val="24"/>
          <w:lang w:val="es-ES"/>
        </w:rPr>
        <w:t>Magistrada Ponente</w:t>
      </w:r>
    </w:p>
    <w:p w14:paraId="06AC55D5" w14:textId="77777777" w:rsidR="00593114" w:rsidRPr="00BD5769" w:rsidRDefault="00593114" w:rsidP="00DC27B1">
      <w:pPr>
        <w:spacing w:line="276" w:lineRule="auto"/>
        <w:jc w:val="both"/>
        <w:rPr>
          <w:rFonts w:ascii="Arial" w:eastAsia="Calibri" w:hAnsi="Arial" w:cs="Arial"/>
          <w:szCs w:val="24"/>
          <w:lang w:val="es-CO" w:eastAsia="en-US"/>
        </w:rPr>
      </w:pPr>
    </w:p>
    <w:p w14:paraId="4043665F" w14:textId="77777777" w:rsidR="001B0B7B" w:rsidRDefault="001B0B7B" w:rsidP="00DC27B1">
      <w:pPr>
        <w:spacing w:line="276" w:lineRule="auto"/>
        <w:jc w:val="both"/>
        <w:rPr>
          <w:rFonts w:ascii="Arial" w:eastAsia="Calibri" w:hAnsi="Arial" w:cs="Arial"/>
          <w:szCs w:val="24"/>
          <w:lang w:val="es-CO" w:eastAsia="en-US"/>
        </w:rPr>
      </w:pPr>
    </w:p>
    <w:p w14:paraId="7BEF8DC7" w14:textId="77777777" w:rsidR="00685A50" w:rsidRDefault="00685A50" w:rsidP="00DC27B1">
      <w:pPr>
        <w:spacing w:line="276" w:lineRule="auto"/>
        <w:jc w:val="both"/>
        <w:rPr>
          <w:rFonts w:ascii="Arial" w:eastAsia="Calibri" w:hAnsi="Arial" w:cs="Arial"/>
          <w:szCs w:val="24"/>
          <w:lang w:val="es-CO" w:eastAsia="en-US"/>
        </w:rPr>
      </w:pPr>
    </w:p>
    <w:p w14:paraId="4B26119A" w14:textId="77777777" w:rsidR="00BD5769" w:rsidRPr="00BD5769" w:rsidRDefault="00BD5769" w:rsidP="00DC27B1">
      <w:pPr>
        <w:spacing w:line="276" w:lineRule="auto"/>
        <w:jc w:val="both"/>
        <w:rPr>
          <w:rFonts w:ascii="Arial" w:eastAsia="Calibri" w:hAnsi="Arial" w:cs="Arial"/>
          <w:szCs w:val="24"/>
          <w:lang w:val="es-CO" w:eastAsia="en-US"/>
        </w:rPr>
      </w:pPr>
    </w:p>
    <w:p w14:paraId="4FF6A1DB" w14:textId="37C7FBF2" w:rsidR="00DC27B1" w:rsidRPr="00BD5769" w:rsidRDefault="00DC27B1" w:rsidP="00DC27B1">
      <w:pPr>
        <w:spacing w:line="276" w:lineRule="auto"/>
        <w:jc w:val="both"/>
        <w:rPr>
          <w:rFonts w:ascii="Arial" w:hAnsi="Arial" w:cs="Arial"/>
          <w:color w:val="000000" w:themeColor="text1"/>
          <w:szCs w:val="23"/>
          <w:lang w:val="es-ES"/>
        </w:rPr>
      </w:pPr>
      <w:r w:rsidRPr="00BD5769">
        <w:rPr>
          <w:rFonts w:ascii="Arial" w:hAnsi="Arial" w:cs="Arial"/>
          <w:b/>
          <w:bCs/>
          <w:iCs/>
          <w:color w:val="000000" w:themeColor="text1"/>
          <w:szCs w:val="23"/>
          <w:lang w:val="es-ES"/>
        </w:rPr>
        <w:t>JULIO CÉSAR SALAZAR MUÑOZ</w:t>
      </w:r>
      <w:r w:rsidR="00BD5769" w:rsidRPr="00BD5769">
        <w:rPr>
          <w:rFonts w:ascii="Arial" w:hAnsi="Arial" w:cs="Arial"/>
          <w:b/>
          <w:bCs/>
          <w:iCs/>
          <w:color w:val="000000" w:themeColor="text1"/>
          <w:szCs w:val="23"/>
          <w:lang w:val="es-ES"/>
        </w:rPr>
        <w:tab/>
      </w:r>
      <w:r w:rsidR="00BD5769" w:rsidRPr="00BD5769">
        <w:rPr>
          <w:rFonts w:ascii="Arial" w:hAnsi="Arial" w:cs="Arial"/>
          <w:b/>
          <w:bCs/>
          <w:iCs/>
          <w:color w:val="000000" w:themeColor="text1"/>
          <w:szCs w:val="23"/>
          <w:lang w:val="es-ES"/>
        </w:rPr>
        <w:tab/>
        <w:t xml:space="preserve">  </w:t>
      </w:r>
      <w:r w:rsidR="004E00DF" w:rsidRPr="00BD5769">
        <w:rPr>
          <w:rFonts w:ascii="Arial" w:hAnsi="Arial" w:cs="Arial"/>
          <w:b/>
          <w:bCs/>
          <w:iCs/>
          <w:color w:val="000000" w:themeColor="text1"/>
          <w:szCs w:val="23"/>
          <w:lang w:val="es-ES"/>
        </w:rPr>
        <w:t>ANA LUCÍA CAICEDO CALDERÓN</w:t>
      </w:r>
    </w:p>
    <w:p w14:paraId="0381447D" w14:textId="76466638" w:rsidR="00BD5769" w:rsidRDefault="00DC27B1" w:rsidP="00F85AE5">
      <w:pPr>
        <w:spacing w:line="276" w:lineRule="auto"/>
        <w:jc w:val="both"/>
        <w:rPr>
          <w:rFonts w:ascii="Arial" w:hAnsi="Arial" w:cs="Arial"/>
          <w:color w:val="000000" w:themeColor="text1"/>
          <w:sz w:val="23"/>
          <w:szCs w:val="23"/>
          <w:lang w:val="es-ES"/>
        </w:rPr>
      </w:pPr>
      <w:r w:rsidRPr="00DF2ABC">
        <w:rPr>
          <w:rFonts w:ascii="Arial" w:hAnsi="Arial" w:cs="Arial"/>
          <w:color w:val="000000" w:themeColor="text1"/>
          <w:sz w:val="23"/>
          <w:szCs w:val="23"/>
          <w:lang w:val="es-ES"/>
        </w:rPr>
        <w:t xml:space="preserve">                   Magistrado</w:t>
      </w:r>
      <w:r w:rsidR="00BD5769">
        <w:rPr>
          <w:rFonts w:ascii="Arial" w:hAnsi="Arial" w:cs="Arial"/>
          <w:color w:val="000000" w:themeColor="text1"/>
          <w:sz w:val="23"/>
          <w:szCs w:val="23"/>
          <w:lang w:val="es-ES"/>
        </w:rPr>
        <w:tab/>
      </w:r>
      <w:r w:rsidR="00BD5769">
        <w:rPr>
          <w:rFonts w:ascii="Arial" w:hAnsi="Arial" w:cs="Arial"/>
          <w:color w:val="000000" w:themeColor="text1"/>
          <w:sz w:val="23"/>
          <w:szCs w:val="23"/>
          <w:lang w:val="es-ES"/>
        </w:rPr>
        <w:tab/>
      </w:r>
      <w:r w:rsidR="00BD5769">
        <w:rPr>
          <w:rFonts w:ascii="Arial" w:hAnsi="Arial" w:cs="Arial"/>
          <w:color w:val="000000" w:themeColor="text1"/>
          <w:sz w:val="23"/>
          <w:szCs w:val="23"/>
          <w:lang w:val="es-ES"/>
        </w:rPr>
        <w:tab/>
      </w:r>
      <w:r w:rsidR="00BD5769">
        <w:rPr>
          <w:rFonts w:ascii="Arial" w:hAnsi="Arial" w:cs="Arial"/>
          <w:color w:val="000000" w:themeColor="text1"/>
          <w:sz w:val="23"/>
          <w:szCs w:val="23"/>
          <w:lang w:val="es-ES"/>
        </w:rPr>
        <w:tab/>
      </w:r>
      <w:r w:rsidR="00BD5769">
        <w:rPr>
          <w:rFonts w:ascii="Arial" w:hAnsi="Arial" w:cs="Arial"/>
          <w:color w:val="000000" w:themeColor="text1"/>
          <w:sz w:val="23"/>
          <w:szCs w:val="23"/>
          <w:lang w:val="es-ES"/>
        </w:rPr>
        <w:tab/>
      </w:r>
      <w:r w:rsidR="00BD5769">
        <w:rPr>
          <w:rFonts w:ascii="Arial" w:hAnsi="Arial" w:cs="Arial"/>
          <w:color w:val="000000" w:themeColor="text1"/>
          <w:sz w:val="23"/>
          <w:szCs w:val="23"/>
          <w:lang w:val="es-ES"/>
        </w:rPr>
        <w:tab/>
      </w:r>
      <w:r w:rsidR="004E00DF">
        <w:rPr>
          <w:rFonts w:ascii="Arial" w:hAnsi="Arial" w:cs="Arial"/>
          <w:color w:val="000000" w:themeColor="text1"/>
          <w:sz w:val="23"/>
          <w:szCs w:val="23"/>
          <w:lang w:val="es-ES"/>
        </w:rPr>
        <w:t>Magistrada</w:t>
      </w:r>
    </w:p>
    <w:p w14:paraId="5DD08B92" w14:textId="0E7BA03C" w:rsidR="0016486B" w:rsidRDefault="00BD5769" w:rsidP="00BD5769">
      <w:pPr>
        <w:spacing w:line="276" w:lineRule="auto"/>
        <w:ind w:left="5664" w:firstLine="708"/>
        <w:jc w:val="both"/>
        <w:rPr>
          <w:rFonts w:ascii="Arial" w:hAnsi="Arial" w:cs="Arial"/>
          <w:color w:val="000000" w:themeColor="text1"/>
          <w:sz w:val="23"/>
          <w:szCs w:val="23"/>
          <w:lang w:val="es-ES"/>
        </w:rPr>
      </w:pPr>
      <w:r>
        <w:rPr>
          <w:rFonts w:ascii="Arial" w:hAnsi="Arial" w:cs="Arial"/>
          <w:color w:val="000000" w:themeColor="text1"/>
          <w:sz w:val="23"/>
          <w:szCs w:val="23"/>
          <w:lang w:val="es-ES"/>
        </w:rPr>
        <w:t>Salva Voto</w:t>
      </w:r>
    </w:p>
    <w:p w14:paraId="4939AAFD" w14:textId="77777777" w:rsidR="00643B66" w:rsidRDefault="00643B66" w:rsidP="00643B66">
      <w:pPr>
        <w:spacing w:line="276" w:lineRule="auto"/>
        <w:jc w:val="both"/>
        <w:rPr>
          <w:rFonts w:ascii="Arial" w:hAnsi="Arial" w:cs="Arial"/>
          <w:color w:val="000000" w:themeColor="text1"/>
          <w:sz w:val="23"/>
          <w:szCs w:val="23"/>
          <w:lang w:val="es-ES"/>
        </w:rPr>
      </w:pPr>
    </w:p>
    <w:p w14:paraId="44618FB7" w14:textId="6DD33738" w:rsidR="00643B66" w:rsidRDefault="00643B66">
      <w:pPr>
        <w:spacing w:after="160" w:line="259" w:lineRule="auto"/>
        <w:rPr>
          <w:rFonts w:ascii="Arial" w:hAnsi="Arial" w:cs="Arial"/>
          <w:color w:val="000000" w:themeColor="text1"/>
          <w:sz w:val="23"/>
          <w:szCs w:val="23"/>
          <w:lang w:val="es-ES"/>
        </w:rPr>
      </w:pPr>
      <w:r>
        <w:rPr>
          <w:rFonts w:ascii="Arial" w:hAnsi="Arial" w:cs="Arial"/>
          <w:color w:val="000000" w:themeColor="text1"/>
          <w:sz w:val="23"/>
          <w:szCs w:val="23"/>
          <w:lang w:val="es-ES"/>
        </w:rPr>
        <w:br w:type="page"/>
      </w:r>
    </w:p>
    <w:p w14:paraId="6C0B5E17" w14:textId="77777777" w:rsidR="00643B66" w:rsidRPr="00643B66" w:rsidRDefault="00643B66" w:rsidP="000271F4">
      <w:pPr>
        <w:widowControl w:val="0"/>
        <w:autoSpaceDE w:val="0"/>
        <w:autoSpaceDN w:val="0"/>
        <w:adjustRightInd w:val="0"/>
        <w:jc w:val="both"/>
        <w:rPr>
          <w:rFonts w:ascii="Tahoma" w:hAnsi="Tahoma" w:cs="Tahoma"/>
          <w:color w:val="000000" w:themeColor="text1"/>
          <w:sz w:val="20"/>
          <w:szCs w:val="18"/>
          <w:lang w:val="es-ES"/>
        </w:rPr>
      </w:pPr>
      <w:r w:rsidRPr="00643B66">
        <w:rPr>
          <w:rFonts w:ascii="Tahoma" w:hAnsi="Tahoma" w:cs="Tahoma"/>
          <w:color w:val="000000" w:themeColor="text1"/>
          <w:sz w:val="20"/>
          <w:szCs w:val="18"/>
          <w:lang w:val="es-ES"/>
        </w:rPr>
        <w:lastRenderedPageBreak/>
        <w:t xml:space="preserve">Providencia: </w:t>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t>Sentencia del 20 de septiembre de 2019</w:t>
      </w:r>
    </w:p>
    <w:p w14:paraId="0B258CF3" w14:textId="77777777" w:rsidR="00643B66" w:rsidRPr="00643B66" w:rsidRDefault="00643B66" w:rsidP="000271F4">
      <w:pPr>
        <w:widowControl w:val="0"/>
        <w:autoSpaceDE w:val="0"/>
        <w:autoSpaceDN w:val="0"/>
        <w:adjustRightInd w:val="0"/>
        <w:jc w:val="both"/>
        <w:rPr>
          <w:rFonts w:ascii="Tahoma" w:hAnsi="Tahoma" w:cs="Tahoma"/>
          <w:color w:val="000000" w:themeColor="text1"/>
          <w:sz w:val="20"/>
          <w:szCs w:val="18"/>
          <w:lang w:val="es-ES"/>
        </w:rPr>
      </w:pPr>
      <w:r w:rsidRPr="00643B66">
        <w:rPr>
          <w:rFonts w:ascii="Tahoma" w:hAnsi="Tahoma" w:cs="Tahoma"/>
          <w:color w:val="000000" w:themeColor="text1"/>
          <w:sz w:val="20"/>
          <w:szCs w:val="18"/>
          <w:lang w:val="es-ES"/>
        </w:rPr>
        <w:t xml:space="preserve">Radicación: </w:t>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t>66001-31-05-001-2017-00155-01</w:t>
      </w:r>
      <w:r w:rsidRPr="00643B66">
        <w:rPr>
          <w:rFonts w:ascii="Tahoma" w:hAnsi="Tahoma" w:cs="Tahoma"/>
          <w:color w:val="000000" w:themeColor="text1"/>
          <w:sz w:val="20"/>
          <w:szCs w:val="18"/>
          <w:lang w:val="es-ES"/>
        </w:rPr>
        <w:br/>
        <w:t xml:space="preserve">Proceso: </w:t>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t>Ordinario laboral</w:t>
      </w:r>
    </w:p>
    <w:p w14:paraId="3A9CEBAB" w14:textId="77777777" w:rsidR="00643B66" w:rsidRPr="00643B66" w:rsidRDefault="00643B66" w:rsidP="000271F4">
      <w:pPr>
        <w:widowControl w:val="0"/>
        <w:autoSpaceDE w:val="0"/>
        <w:autoSpaceDN w:val="0"/>
        <w:adjustRightInd w:val="0"/>
        <w:jc w:val="both"/>
        <w:rPr>
          <w:rFonts w:ascii="Tahoma" w:hAnsi="Tahoma" w:cs="Tahoma"/>
          <w:color w:val="000000" w:themeColor="text1"/>
          <w:sz w:val="20"/>
          <w:szCs w:val="18"/>
          <w:lang w:val="es-ES"/>
        </w:rPr>
      </w:pPr>
      <w:r w:rsidRPr="00643B66">
        <w:rPr>
          <w:rFonts w:ascii="Tahoma" w:hAnsi="Tahoma" w:cs="Tahoma"/>
          <w:color w:val="000000" w:themeColor="text1"/>
          <w:sz w:val="20"/>
          <w:szCs w:val="18"/>
          <w:lang w:val="es-ES"/>
        </w:rPr>
        <w:t xml:space="preserve">Demandante: </w:t>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t>José Antonio Montoya Gómez</w:t>
      </w:r>
    </w:p>
    <w:p w14:paraId="3109CB1A" w14:textId="77777777" w:rsidR="00643B66" w:rsidRPr="00643B66" w:rsidRDefault="00643B66" w:rsidP="000271F4">
      <w:pPr>
        <w:widowControl w:val="0"/>
        <w:autoSpaceDE w:val="0"/>
        <w:autoSpaceDN w:val="0"/>
        <w:adjustRightInd w:val="0"/>
        <w:jc w:val="both"/>
        <w:rPr>
          <w:rFonts w:ascii="Tahoma" w:hAnsi="Tahoma" w:cs="Tahoma"/>
          <w:color w:val="000000" w:themeColor="text1"/>
          <w:sz w:val="20"/>
          <w:szCs w:val="18"/>
          <w:lang w:val="es-ES"/>
        </w:rPr>
      </w:pPr>
      <w:r w:rsidRPr="00643B66">
        <w:rPr>
          <w:rFonts w:ascii="Tahoma" w:hAnsi="Tahoma" w:cs="Tahoma"/>
          <w:color w:val="000000" w:themeColor="text1"/>
          <w:sz w:val="20"/>
          <w:szCs w:val="18"/>
          <w:lang w:val="es-ES"/>
        </w:rPr>
        <w:t>Demandado:</w:t>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t xml:space="preserve">Colpensiones </w:t>
      </w:r>
    </w:p>
    <w:p w14:paraId="5FC15EF6" w14:textId="77777777" w:rsidR="00643B66" w:rsidRPr="00643B66" w:rsidRDefault="00643B66" w:rsidP="000271F4">
      <w:pPr>
        <w:widowControl w:val="0"/>
        <w:autoSpaceDE w:val="0"/>
        <w:autoSpaceDN w:val="0"/>
        <w:adjustRightInd w:val="0"/>
        <w:jc w:val="both"/>
        <w:rPr>
          <w:rFonts w:ascii="Tahoma" w:hAnsi="Tahoma" w:cs="Tahoma"/>
          <w:color w:val="000000" w:themeColor="text1"/>
          <w:sz w:val="20"/>
          <w:szCs w:val="18"/>
          <w:lang w:val="es-ES"/>
        </w:rPr>
      </w:pPr>
      <w:r w:rsidRPr="00643B66">
        <w:rPr>
          <w:rFonts w:ascii="Tahoma" w:hAnsi="Tahoma" w:cs="Tahoma"/>
          <w:color w:val="000000" w:themeColor="text1"/>
          <w:sz w:val="20"/>
          <w:szCs w:val="18"/>
          <w:lang w:val="es-ES"/>
        </w:rPr>
        <w:t>Magistrada ponente:</w:t>
      </w:r>
      <w:r w:rsidRPr="00643B66">
        <w:rPr>
          <w:rFonts w:ascii="Tahoma" w:hAnsi="Tahoma" w:cs="Tahoma"/>
          <w:color w:val="000000" w:themeColor="text1"/>
          <w:sz w:val="20"/>
          <w:szCs w:val="18"/>
          <w:lang w:val="es-ES"/>
        </w:rPr>
        <w:tab/>
      </w:r>
      <w:r w:rsidRPr="00643B66">
        <w:rPr>
          <w:rFonts w:ascii="Tahoma" w:hAnsi="Tahoma" w:cs="Tahoma"/>
          <w:color w:val="000000" w:themeColor="text1"/>
          <w:sz w:val="20"/>
          <w:szCs w:val="18"/>
          <w:lang w:val="es-ES"/>
        </w:rPr>
        <w:tab/>
        <w:t xml:space="preserve">Dra. Olga Lucía Hoyos Sepúlveda </w:t>
      </w:r>
    </w:p>
    <w:p w14:paraId="1864FE41" w14:textId="77777777" w:rsidR="00643B66" w:rsidRPr="00643B66" w:rsidRDefault="00643B66" w:rsidP="000271F4">
      <w:pPr>
        <w:widowControl w:val="0"/>
        <w:autoSpaceDE w:val="0"/>
        <w:autoSpaceDN w:val="0"/>
        <w:adjustRightInd w:val="0"/>
        <w:jc w:val="both"/>
        <w:rPr>
          <w:rFonts w:ascii="Tahoma" w:hAnsi="Tahoma" w:cs="Tahoma"/>
          <w:color w:val="000000" w:themeColor="text1"/>
          <w:sz w:val="20"/>
          <w:szCs w:val="18"/>
          <w:lang w:val="es-ES"/>
        </w:rPr>
      </w:pPr>
      <w:r w:rsidRPr="00643B66">
        <w:rPr>
          <w:rFonts w:ascii="Tahoma" w:hAnsi="Tahoma" w:cs="Tahoma"/>
          <w:color w:val="000000" w:themeColor="text1"/>
          <w:sz w:val="20"/>
          <w:szCs w:val="18"/>
          <w:lang w:val="es-ES"/>
        </w:rPr>
        <w:t>Magistrada que salva voto:</w:t>
      </w:r>
      <w:r w:rsidRPr="00643B66">
        <w:rPr>
          <w:rFonts w:ascii="Tahoma" w:hAnsi="Tahoma" w:cs="Tahoma"/>
          <w:color w:val="000000" w:themeColor="text1"/>
          <w:sz w:val="20"/>
          <w:szCs w:val="18"/>
          <w:lang w:val="es-ES"/>
        </w:rPr>
        <w:tab/>
        <w:t>Dra. Ana Lucia Caicedo Calderón</w:t>
      </w:r>
    </w:p>
    <w:p w14:paraId="757AB2E4" w14:textId="77777777" w:rsidR="00643B66" w:rsidRPr="00643B66" w:rsidRDefault="00643B66" w:rsidP="000271F4">
      <w:pPr>
        <w:widowControl w:val="0"/>
        <w:autoSpaceDE w:val="0"/>
        <w:autoSpaceDN w:val="0"/>
        <w:adjustRightInd w:val="0"/>
        <w:ind w:left="2805" w:hanging="2805"/>
        <w:jc w:val="both"/>
        <w:rPr>
          <w:rFonts w:ascii="Tahoma" w:hAnsi="Tahoma" w:cs="Tahoma"/>
          <w:color w:val="000000" w:themeColor="text1"/>
          <w:sz w:val="20"/>
          <w:szCs w:val="18"/>
          <w:lang w:val="es-ES"/>
        </w:rPr>
      </w:pPr>
    </w:p>
    <w:p w14:paraId="7F2DC644" w14:textId="7C4E9055" w:rsidR="00643B66" w:rsidRPr="00643B66" w:rsidRDefault="00643B66" w:rsidP="000271F4">
      <w:pPr>
        <w:rPr>
          <w:rFonts w:ascii="Tahoma" w:hAnsi="Tahoma" w:cs="Tahoma"/>
          <w:color w:val="000000" w:themeColor="text1"/>
          <w:sz w:val="20"/>
          <w:szCs w:val="18"/>
          <w:lang w:val="es-ES"/>
        </w:rPr>
      </w:pPr>
    </w:p>
    <w:p w14:paraId="1A1C1F35" w14:textId="77777777" w:rsidR="00643B66" w:rsidRPr="00643B66" w:rsidRDefault="00643B66" w:rsidP="000271F4">
      <w:pPr>
        <w:widowControl w:val="0"/>
        <w:autoSpaceDE w:val="0"/>
        <w:autoSpaceDN w:val="0"/>
        <w:adjustRightInd w:val="0"/>
        <w:ind w:left="2805" w:hanging="2805"/>
        <w:jc w:val="both"/>
        <w:rPr>
          <w:rFonts w:ascii="Tahoma" w:hAnsi="Tahoma" w:cs="Tahoma"/>
          <w:color w:val="000000" w:themeColor="text1"/>
          <w:sz w:val="20"/>
          <w:szCs w:val="18"/>
          <w:lang w:val="es-ES"/>
        </w:rPr>
      </w:pPr>
    </w:p>
    <w:p w14:paraId="43E5FB83" w14:textId="77777777" w:rsidR="00643B66" w:rsidRPr="00643B66" w:rsidRDefault="00643B66" w:rsidP="00643B66">
      <w:pPr>
        <w:keepNext/>
        <w:jc w:val="center"/>
        <w:outlineLvl w:val="0"/>
        <w:rPr>
          <w:rFonts w:ascii="Tahoma" w:hAnsi="Tahoma" w:cs="Tahoma"/>
          <w:b/>
          <w:bCs/>
          <w:color w:val="000000" w:themeColor="text1"/>
          <w:szCs w:val="24"/>
          <w:u w:val="single"/>
          <w:lang w:val="es-ES"/>
        </w:rPr>
      </w:pPr>
      <w:r w:rsidRPr="00643B66">
        <w:rPr>
          <w:rFonts w:ascii="Tahoma" w:hAnsi="Tahoma" w:cs="Tahoma"/>
          <w:b/>
          <w:bCs/>
          <w:color w:val="000000" w:themeColor="text1"/>
          <w:szCs w:val="24"/>
          <w:u w:val="single"/>
          <w:lang w:val="es-ES"/>
        </w:rPr>
        <w:t>SALVAMENTO DE VOTO</w:t>
      </w:r>
    </w:p>
    <w:p w14:paraId="68EEA076" w14:textId="77777777" w:rsidR="00643B66" w:rsidRDefault="00643B66" w:rsidP="00643B66">
      <w:pPr>
        <w:jc w:val="both"/>
        <w:rPr>
          <w:rFonts w:ascii="Tahoma" w:hAnsi="Tahoma" w:cs="Tahoma"/>
          <w:b/>
          <w:bCs/>
          <w:color w:val="000000" w:themeColor="text1"/>
          <w:sz w:val="22"/>
          <w:szCs w:val="22"/>
          <w:lang w:val="es-ES"/>
        </w:rPr>
      </w:pPr>
    </w:p>
    <w:p w14:paraId="476DB8F2" w14:textId="77777777" w:rsidR="000271F4" w:rsidRPr="00643B66" w:rsidRDefault="000271F4" w:rsidP="00643B66">
      <w:pPr>
        <w:jc w:val="both"/>
        <w:rPr>
          <w:rFonts w:ascii="Tahoma" w:hAnsi="Tahoma" w:cs="Tahoma"/>
          <w:b/>
          <w:bCs/>
          <w:color w:val="000000" w:themeColor="text1"/>
          <w:sz w:val="22"/>
          <w:szCs w:val="22"/>
          <w:lang w:val="es-ES"/>
        </w:rPr>
      </w:pPr>
    </w:p>
    <w:p w14:paraId="258EC0D6" w14:textId="77777777" w:rsidR="00643B66" w:rsidRPr="00643B66" w:rsidRDefault="00643B66" w:rsidP="008A1A1E">
      <w:pPr>
        <w:spacing w:line="276" w:lineRule="auto"/>
        <w:ind w:firstLine="709"/>
        <w:jc w:val="both"/>
        <w:rPr>
          <w:rFonts w:ascii="Tahoma" w:hAnsi="Tahoma" w:cs="Tahoma"/>
          <w:color w:val="000000" w:themeColor="text1"/>
          <w:szCs w:val="22"/>
          <w:lang w:val="es-ES"/>
        </w:rPr>
      </w:pPr>
      <w:r w:rsidRPr="00643B66">
        <w:rPr>
          <w:rFonts w:ascii="Tahoma" w:hAnsi="Tahoma" w:cs="Tahoma"/>
          <w:color w:val="000000" w:themeColor="text1"/>
          <w:szCs w:val="22"/>
          <w:lang w:val="es-ES"/>
        </w:rPr>
        <w:t>Con mi acostumbrado respeto, manifiesto mi inconformidad frente a la decisión mayoritaria por las razones que expuse cuando presenté el proyecto en mi calidad de ponente original, las cuales fueron las siguientes:</w:t>
      </w:r>
    </w:p>
    <w:p w14:paraId="70888FC8" w14:textId="77777777" w:rsidR="00643B66" w:rsidRPr="00643B66" w:rsidRDefault="00643B66" w:rsidP="008A1A1E">
      <w:pPr>
        <w:spacing w:line="276" w:lineRule="auto"/>
        <w:ind w:firstLine="709"/>
        <w:jc w:val="both"/>
        <w:rPr>
          <w:rFonts w:ascii="Tahoma" w:hAnsi="Tahoma" w:cs="Tahoma"/>
          <w:color w:val="000000" w:themeColor="text1"/>
          <w:szCs w:val="22"/>
          <w:lang w:val="es-ES"/>
        </w:rPr>
      </w:pPr>
    </w:p>
    <w:p w14:paraId="4200D4C8" w14:textId="77777777" w:rsidR="00643B66" w:rsidRPr="00643B66" w:rsidRDefault="00643B66" w:rsidP="008A1A1E">
      <w:pPr>
        <w:spacing w:line="276" w:lineRule="auto"/>
        <w:ind w:firstLine="708"/>
        <w:jc w:val="both"/>
        <w:rPr>
          <w:rFonts w:ascii="Tahoma" w:hAnsi="Tahoma" w:cs="Tahoma"/>
          <w:color w:val="000000" w:themeColor="text1"/>
          <w:szCs w:val="22"/>
          <w:lang w:val="es-ES"/>
        </w:rPr>
      </w:pPr>
      <w:r w:rsidRPr="00643B66">
        <w:rPr>
          <w:rFonts w:ascii="Tahoma" w:hAnsi="Tahoma" w:cs="Tahoma"/>
          <w:color w:val="000000" w:themeColor="text1"/>
          <w:szCs w:val="22"/>
          <w:lang w:val="es-ES"/>
        </w:rPr>
        <w:t>Respecto a la aplicación del principio de la condición más beneficiosa cuando se persigue el reconocimiento de una pensión de invalidez, las mayorías de la Sala de Decisión No. 4 de esta Corporación, en sentencia proferida el pasado 5 de septiembre, dentro del proceso radicado con el No. 2017-00172, M.P. Francisco Javier Tamayo Tabares, sostuvieron lo siguiente:</w:t>
      </w:r>
    </w:p>
    <w:p w14:paraId="34EFD081" w14:textId="77777777" w:rsidR="00643B66" w:rsidRPr="00643B66" w:rsidRDefault="00643B66" w:rsidP="008A1A1E">
      <w:pPr>
        <w:spacing w:line="276" w:lineRule="auto"/>
        <w:ind w:firstLine="708"/>
        <w:jc w:val="both"/>
        <w:rPr>
          <w:rFonts w:ascii="Tahoma" w:hAnsi="Tahoma" w:cs="Tahoma"/>
          <w:color w:val="000000" w:themeColor="text1"/>
          <w:szCs w:val="22"/>
          <w:lang w:val="es-ES"/>
        </w:rPr>
      </w:pPr>
    </w:p>
    <w:p w14:paraId="6F1EA227" w14:textId="77777777" w:rsidR="00643B66" w:rsidRPr="00643B66" w:rsidRDefault="00643B66" w:rsidP="00692B98">
      <w:pPr>
        <w:ind w:left="426" w:right="418"/>
        <w:jc w:val="both"/>
        <w:rPr>
          <w:rFonts w:ascii="Tahoma" w:eastAsiaTheme="minorHAnsi" w:hAnsi="Tahoma" w:cs="Tahoma"/>
          <w:color w:val="000000" w:themeColor="text1"/>
          <w:sz w:val="22"/>
          <w:szCs w:val="22"/>
          <w:lang w:eastAsia="en-US"/>
        </w:rPr>
      </w:pPr>
      <w:r w:rsidRPr="00643B66">
        <w:rPr>
          <w:rFonts w:ascii="Tahoma" w:eastAsiaTheme="minorHAnsi" w:hAnsi="Tahoma" w:cs="Tahoma"/>
          <w:color w:val="000000" w:themeColor="text1"/>
          <w:sz w:val="22"/>
          <w:szCs w:val="22"/>
          <w:lang w:eastAsia="en-US"/>
        </w:rPr>
        <w:t xml:space="preserve">“Los dos primeros enfoques al tema que se controvierte, atañen con las precisiones plasmadas en la sentencia de Unificación 005 de 2018, proferida por la Corte Constitucional, en torno a la ultractividad del Acuerdo 049 de 1990, aprobado por el Decreto 0758 de igual año, en tanto que los riesgos generados en las órbitas de la pensión de invalidez y de sobrevivientes, acaecieron en vigencias de las Leyes 860 y 797 de 2003, respectivamente: </w:t>
      </w:r>
      <w:r w:rsidRPr="00643B66">
        <w:rPr>
          <w:rFonts w:ascii="Tahoma" w:eastAsiaTheme="minorHAnsi" w:hAnsi="Tahoma" w:cs="Tahoma"/>
          <w:i/>
          <w:color w:val="000000" w:themeColor="text1"/>
          <w:sz w:val="22"/>
          <w:szCs w:val="22"/>
          <w:lang w:eastAsia="en-US"/>
        </w:rPr>
        <w:t>(i)</w:t>
      </w:r>
      <w:r w:rsidRPr="00643B66">
        <w:rPr>
          <w:rFonts w:ascii="Tahoma" w:eastAsiaTheme="minorHAnsi" w:hAnsi="Tahoma" w:cs="Tahoma"/>
          <w:color w:val="000000" w:themeColor="text1"/>
          <w:sz w:val="22"/>
          <w:szCs w:val="22"/>
          <w:lang w:eastAsia="en-US"/>
        </w:rPr>
        <w:t xml:space="preserve"> en cuanto a que el principio de la condición más beneficiosa </w:t>
      </w:r>
      <w:r w:rsidRPr="00643B66">
        <w:rPr>
          <w:rFonts w:ascii="Tahoma" w:eastAsiaTheme="minorHAnsi" w:hAnsi="Tahoma" w:cs="Tahoma"/>
          <w:color w:val="000000" w:themeColor="text1"/>
          <w:sz w:val="22"/>
          <w:szCs w:val="22"/>
          <w:shd w:val="clear" w:color="auto" w:fill="FFFFFF"/>
          <w:lang w:eastAsia="en-US"/>
        </w:rPr>
        <w:t>tiene su arraigo o venero en las voces finales del artículo 53 superior, a cuyo tenor:</w:t>
      </w:r>
      <w:r w:rsidRPr="00643B66">
        <w:rPr>
          <w:rFonts w:ascii="Tahoma" w:eastAsiaTheme="minorHAnsi" w:hAnsi="Tahoma" w:cs="Tahoma"/>
          <w:color w:val="000000" w:themeColor="text1"/>
          <w:sz w:val="22"/>
          <w:szCs w:val="22"/>
          <w:lang w:eastAsia="en-US"/>
        </w:rPr>
        <w:t xml:space="preserve"> </w:t>
      </w:r>
      <w:r w:rsidRPr="00643B66">
        <w:rPr>
          <w:rFonts w:ascii="Tahoma" w:eastAsiaTheme="minorHAnsi" w:hAnsi="Tahoma" w:cs="Tahoma"/>
          <w:i/>
          <w:color w:val="000000" w:themeColor="text1"/>
          <w:sz w:val="22"/>
          <w:szCs w:val="22"/>
          <w:lang w:eastAsia="en-US"/>
        </w:rPr>
        <w:t xml:space="preserve">“La ley, los contratos, los acuerdos y convenios de trabajo, no pueden menoscabar la libertad, la dignidad humana ni los derechos de los trabajadores”. </w:t>
      </w:r>
      <w:r w:rsidRPr="00643B66">
        <w:rPr>
          <w:rFonts w:ascii="Tahoma" w:eastAsiaTheme="minorHAnsi" w:hAnsi="Tahoma" w:cs="Tahoma"/>
          <w:color w:val="000000" w:themeColor="text1"/>
          <w:sz w:val="22"/>
          <w:szCs w:val="22"/>
          <w:lang w:eastAsia="en-US"/>
        </w:rPr>
        <w:t xml:space="preserve">De este, la Corte ha derivado, interpretativamente, el </w:t>
      </w:r>
      <w:r w:rsidRPr="00643B66">
        <w:rPr>
          <w:rFonts w:ascii="Tahoma" w:eastAsiaTheme="minorHAnsi" w:hAnsi="Tahoma" w:cs="Tahoma"/>
          <w:i/>
          <w:color w:val="000000" w:themeColor="text1"/>
          <w:sz w:val="22"/>
          <w:szCs w:val="22"/>
          <w:lang w:eastAsia="en-US"/>
        </w:rPr>
        <w:t>principio de la condición más beneficiosa en materia laboral y de la seguridad social</w:t>
      </w:r>
      <w:r w:rsidRPr="00643B66">
        <w:rPr>
          <w:rFonts w:ascii="Tahoma" w:eastAsiaTheme="minorHAnsi" w:hAnsi="Tahoma" w:cs="Tahoma"/>
          <w:color w:val="000000" w:themeColor="text1"/>
          <w:sz w:val="22"/>
          <w:szCs w:val="22"/>
          <w:lang w:eastAsia="en-US"/>
        </w:rPr>
        <w:t>, una de cuyas aplicaciones prácticas más relevantes ha sido en materia pensional.</w:t>
      </w:r>
    </w:p>
    <w:p w14:paraId="053FA257"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754393EE" w14:textId="77777777" w:rsidR="00643B66" w:rsidRPr="00643B66" w:rsidRDefault="00643B66" w:rsidP="00692B98">
      <w:pPr>
        <w:ind w:left="426" w:right="418" w:firstLine="707"/>
        <w:jc w:val="both"/>
        <w:rPr>
          <w:rFonts w:ascii="Tahoma" w:eastAsiaTheme="minorHAnsi" w:hAnsi="Tahoma" w:cs="Tahoma"/>
          <w:color w:val="000000" w:themeColor="text1"/>
          <w:sz w:val="22"/>
          <w:szCs w:val="22"/>
          <w:lang w:eastAsia="en-US"/>
        </w:rPr>
      </w:pPr>
      <w:r w:rsidRPr="00643B66">
        <w:rPr>
          <w:rFonts w:ascii="Tahoma" w:eastAsiaTheme="minorHAnsi" w:hAnsi="Tahoma" w:cs="Tahoma"/>
          <w:color w:val="000000" w:themeColor="text1"/>
          <w:sz w:val="22"/>
          <w:szCs w:val="22"/>
          <w:lang w:eastAsia="en-US"/>
        </w:rPr>
        <w:t>Al efecto recuerda el trozo jurisprudencial anterior, según el cual:</w:t>
      </w:r>
    </w:p>
    <w:p w14:paraId="3C8F17BC"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588E4DF4" w14:textId="1426BD86" w:rsidR="00643B66" w:rsidRPr="00643B66" w:rsidRDefault="00643B66" w:rsidP="00692B98">
      <w:pPr>
        <w:ind w:left="851" w:right="843"/>
        <w:jc w:val="both"/>
        <w:rPr>
          <w:rFonts w:ascii="Tahoma" w:hAnsi="Tahoma" w:cs="Tahoma"/>
          <w:color w:val="000000" w:themeColor="text1"/>
          <w:sz w:val="22"/>
          <w:szCs w:val="22"/>
          <w:lang w:val="es-ES"/>
        </w:rPr>
      </w:pPr>
      <w:r w:rsidRPr="00643B66">
        <w:rPr>
          <w:rFonts w:ascii="Tahoma" w:hAnsi="Tahoma" w:cs="Tahoma"/>
          <w:i/>
          <w:color w:val="000000" w:themeColor="text1"/>
          <w:sz w:val="22"/>
          <w:szCs w:val="22"/>
          <w:lang w:val="es-ES"/>
        </w:rPr>
        <w:t>“</w:t>
      </w:r>
      <w:r w:rsidRPr="00643B66">
        <w:rPr>
          <w:rFonts w:ascii="Tahoma" w:hAnsi="Tahoma" w:cs="Tahoma"/>
          <w:color w:val="000000" w:themeColor="text1"/>
          <w:sz w:val="22"/>
          <w:szCs w:val="22"/>
          <w:lang w:val="es-ES"/>
        </w:rPr>
        <w:t>[...]</w:t>
      </w:r>
      <w:r w:rsidRPr="00643B66">
        <w:rPr>
          <w:rFonts w:ascii="Tahoma" w:hAnsi="Tahoma" w:cs="Tahoma"/>
          <w:i/>
          <w:color w:val="000000" w:themeColor="text1"/>
          <w:sz w:val="22"/>
          <w:szCs w:val="22"/>
          <w:lang w:val="es-ES"/>
        </w:rPr>
        <w:t xml:space="preserve"> la ‘condición más beneficiosa’ para el trabajador, se encuentra plenamente garantizada mediante la aplicación del principio de favorabilidad que se consagra en materia laboral, no solo a nivel constitucional sino también legal, y a quien corresponde determinar en cada caso concreto cuál norma es más ventajosa o benéfica para el trabajador es a quien ha de aplicarla o interpretarla”</w:t>
      </w:r>
      <w:r w:rsidR="00D441FF">
        <w:rPr>
          <w:rFonts w:ascii="Tahoma" w:hAnsi="Tahoma" w:cs="Tahoma"/>
          <w:i/>
          <w:color w:val="000000" w:themeColor="text1"/>
          <w:sz w:val="22"/>
          <w:szCs w:val="22"/>
          <w:lang w:val="es-ES"/>
        </w:rPr>
        <w:t xml:space="preserve"> </w:t>
      </w:r>
      <w:r w:rsidRPr="00643B66">
        <w:rPr>
          <w:rFonts w:ascii="Tahoma" w:hAnsi="Tahoma" w:cs="Tahoma"/>
          <w:i/>
          <w:color w:val="000000" w:themeColor="text1"/>
          <w:sz w:val="22"/>
          <w:szCs w:val="22"/>
          <w:lang w:val="es-ES"/>
        </w:rPr>
        <w:t>(Sentencia C-168 de 1995)</w:t>
      </w:r>
      <w:r w:rsidRPr="00643B66">
        <w:rPr>
          <w:rFonts w:ascii="Tahoma" w:hAnsi="Tahoma" w:cs="Tahoma"/>
          <w:color w:val="000000" w:themeColor="text1"/>
          <w:sz w:val="22"/>
          <w:szCs w:val="22"/>
          <w:lang w:val="es-ES"/>
        </w:rPr>
        <w:t>.</w:t>
      </w:r>
    </w:p>
    <w:p w14:paraId="66516E7E"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5D08C458" w14:textId="77777777" w:rsidR="00643B66" w:rsidRPr="00643B66" w:rsidRDefault="00643B66" w:rsidP="00692B98">
      <w:pPr>
        <w:ind w:left="426" w:right="418" w:firstLine="707"/>
        <w:jc w:val="both"/>
        <w:rPr>
          <w:rFonts w:ascii="Tahoma" w:eastAsiaTheme="minorHAnsi" w:hAnsi="Tahoma" w:cs="Tahoma"/>
          <w:color w:val="000000" w:themeColor="text1"/>
          <w:sz w:val="22"/>
          <w:szCs w:val="22"/>
          <w:lang w:eastAsia="en-US"/>
        </w:rPr>
      </w:pPr>
      <w:r w:rsidRPr="00643B66">
        <w:rPr>
          <w:rFonts w:ascii="Tahoma" w:eastAsiaTheme="minorHAnsi" w:hAnsi="Tahoma" w:cs="Tahoma"/>
          <w:i/>
          <w:color w:val="000000" w:themeColor="text1"/>
          <w:sz w:val="22"/>
          <w:szCs w:val="22"/>
          <w:lang w:eastAsia="en-US"/>
        </w:rPr>
        <w:t>(ii)</w:t>
      </w:r>
      <w:r w:rsidRPr="00643B66">
        <w:rPr>
          <w:rFonts w:ascii="Tahoma" w:eastAsiaTheme="minorHAnsi" w:hAnsi="Tahoma" w:cs="Tahoma"/>
          <w:color w:val="000000" w:themeColor="text1"/>
          <w:sz w:val="22"/>
          <w:szCs w:val="22"/>
          <w:lang w:eastAsia="en-US"/>
        </w:rPr>
        <w:t xml:space="preserve"> Advirtió que su Sala Plena no cambia su jurisprudencia acerca de la aplicación ultractiva del Acuerdo 049 de 1990, o anteriores, en cuanto tiene que ver con la pensión de invalidez, la cual ya había tenido su propia sentencia de unificación a través de la SU-442 de 2016, y por tanto, no es posible hacerla extensiva al caso de la pensión de sobrevivientes, máxime que no realizó ninguna reflexión en cuanto a ésta última.</w:t>
      </w:r>
    </w:p>
    <w:p w14:paraId="34614560"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12AF52D0" w14:textId="77777777" w:rsidR="00643B66" w:rsidRPr="00643B66" w:rsidRDefault="00643B66" w:rsidP="00692B98">
      <w:pPr>
        <w:ind w:left="426" w:right="418" w:firstLine="707"/>
        <w:jc w:val="both"/>
        <w:rPr>
          <w:rFonts w:ascii="Tahoma" w:eastAsiaTheme="minorHAnsi" w:hAnsi="Tahoma" w:cs="Tahoma"/>
          <w:color w:val="000000" w:themeColor="text1"/>
          <w:sz w:val="22"/>
          <w:szCs w:val="22"/>
          <w:lang w:eastAsia="en-US"/>
        </w:rPr>
      </w:pPr>
      <w:r w:rsidRPr="00643B66">
        <w:rPr>
          <w:rFonts w:ascii="Tahoma" w:eastAsiaTheme="minorHAnsi" w:hAnsi="Tahoma" w:cs="Tahoma"/>
          <w:color w:val="000000" w:themeColor="text1"/>
          <w:sz w:val="22"/>
          <w:szCs w:val="22"/>
          <w:lang w:eastAsia="en-US"/>
        </w:rPr>
        <w:t xml:space="preserve">De allí, entonces, que como la mayoría de la Sala ha venido acogiendo de antaño la condición más beneficiosa, en materia de pensión de invalidez, con sustento en los lineamientos de la citada sentencia SU-442 de 2016, valga reiterar, </w:t>
      </w:r>
      <w:r w:rsidRPr="00643B66">
        <w:rPr>
          <w:rFonts w:ascii="Tahoma" w:eastAsiaTheme="minorHAnsi" w:hAnsi="Tahoma" w:cs="Tahoma"/>
          <w:color w:val="000000" w:themeColor="text1"/>
          <w:sz w:val="22"/>
          <w:szCs w:val="22"/>
          <w:lang w:eastAsia="en-US"/>
        </w:rPr>
        <w:lastRenderedPageBreak/>
        <w:t xml:space="preserve">ahora, tal postura, ante un cuadro fáctico igual al estudiado en pretéritas ocasiones, puesto que sin abrigo a hesitación alguna en el plenario se observa: </w:t>
      </w:r>
      <w:r w:rsidRPr="00643B66">
        <w:rPr>
          <w:rFonts w:ascii="Tahoma" w:eastAsiaTheme="minorHAnsi" w:hAnsi="Tahoma" w:cs="Tahoma"/>
          <w:i/>
          <w:color w:val="000000" w:themeColor="text1"/>
          <w:sz w:val="22"/>
          <w:szCs w:val="22"/>
          <w:lang w:eastAsia="en-US"/>
        </w:rPr>
        <w:t>(i)</w:t>
      </w:r>
      <w:r w:rsidRPr="00643B66">
        <w:rPr>
          <w:rFonts w:ascii="Tahoma" w:eastAsiaTheme="minorHAnsi" w:hAnsi="Tahoma" w:cs="Tahoma"/>
          <w:color w:val="000000" w:themeColor="text1"/>
          <w:sz w:val="22"/>
          <w:szCs w:val="22"/>
          <w:lang w:eastAsia="en-US"/>
        </w:rPr>
        <w:t xml:space="preserve"> que el actor sufragó 509.86 semanas al 1 de abril de 1994, y 431.28 semanas con posterioridad a tal calenda, </w:t>
      </w:r>
      <w:r w:rsidRPr="00643B66">
        <w:rPr>
          <w:rFonts w:ascii="Tahoma" w:eastAsiaTheme="minorHAnsi" w:hAnsi="Tahoma" w:cs="Tahoma"/>
          <w:i/>
          <w:color w:val="000000" w:themeColor="text1"/>
          <w:sz w:val="22"/>
          <w:szCs w:val="22"/>
          <w:lang w:eastAsia="en-US"/>
        </w:rPr>
        <w:t>(ii)</w:t>
      </w:r>
      <w:r w:rsidRPr="00643B66">
        <w:rPr>
          <w:rFonts w:ascii="Tahoma" w:eastAsiaTheme="minorHAnsi" w:hAnsi="Tahoma" w:cs="Tahoma"/>
          <w:color w:val="000000" w:themeColor="text1"/>
          <w:sz w:val="22"/>
          <w:szCs w:val="22"/>
          <w:lang w:eastAsia="en-US"/>
        </w:rPr>
        <w:t xml:space="preserve"> su última cotización se produjo en enero de 2012, y </w:t>
      </w:r>
      <w:r w:rsidRPr="00643B66">
        <w:rPr>
          <w:rFonts w:ascii="Tahoma" w:eastAsiaTheme="minorHAnsi" w:hAnsi="Tahoma" w:cs="Tahoma"/>
          <w:i/>
          <w:color w:val="000000" w:themeColor="text1"/>
          <w:sz w:val="22"/>
          <w:szCs w:val="22"/>
          <w:lang w:eastAsia="en-US"/>
        </w:rPr>
        <w:t>(iii)</w:t>
      </w:r>
      <w:r w:rsidRPr="00643B66">
        <w:rPr>
          <w:rFonts w:ascii="Tahoma" w:eastAsiaTheme="minorHAnsi" w:hAnsi="Tahoma" w:cs="Tahoma"/>
          <w:color w:val="000000" w:themeColor="text1"/>
          <w:sz w:val="22"/>
          <w:szCs w:val="22"/>
          <w:lang w:eastAsia="en-US"/>
        </w:rPr>
        <w:t xml:space="preserve"> la estructuración de su invalidez se dio el 5 de noviembre de 2014, con arreglo al dictamen de Pérdida de la Capacidad Laboral, practicado el 8 de diciembre de 2014 (fl.10).</w:t>
      </w:r>
    </w:p>
    <w:p w14:paraId="6B08AE5B"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4715CD1F" w14:textId="77777777" w:rsidR="00643B66" w:rsidRPr="00643B66" w:rsidRDefault="00643B66" w:rsidP="00692B98">
      <w:pPr>
        <w:ind w:left="426" w:right="418" w:firstLine="707"/>
        <w:jc w:val="both"/>
        <w:rPr>
          <w:rFonts w:ascii="Tahoma" w:eastAsiaTheme="minorHAnsi" w:hAnsi="Tahoma" w:cs="Tahoma"/>
          <w:color w:val="000000" w:themeColor="text1"/>
          <w:sz w:val="22"/>
          <w:szCs w:val="22"/>
          <w:lang w:val="es-ES" w:eastAsia="en-US"/>
        </w:rPr>
      </w:pPr>
      <w:r w:rsidRPr="00643B66">
        <w:rPr>
          <w:rFonts w:ascii="Tahoma" w:eastAsiaTheme="minorHAnsi" w:hAnsi="Tahoma" w:cs="Tahoma"/>
          <w:color w:val="000000" w:themeColor="text1"/>
          <w:sz w:val="22"/>
          <w:szCs w:val="22"/>
          <w:lang w:eastAsia="en-US"/>
        </w:rPr>
        <w:t xml:space="preserve">En tales circunstancias, la normativa llamada a gobernar el asunto, que en un comienzo sería la Ley 860 de 2003, habida cuenta de que el riesgo se generó al estructurarse el hecho incapacitante en 2014, no prohijaría el asunto, así como tampoco, el original artículo 39 de la Ley 100 de 1993, que la modificó, en la medida en que, por un lado el asegurado </w:t>
      </w:r>
      <w:r w:rsidRPr="00643B66">
        <w:rPr>
          <w:rFonts w:ascii="Tahoma" w:eastAsiaTheme="minorHAnsi" w:hAnsi="Tahoma" w:cs="Tahoma"/>
          <w:color w:val="000000" w:themeColor="text1"/>
          <w:sz w:val="22"/>
          <w:szCs w:val="22"/>
          <w:lang w:val="es-ES" w:eastAsia="en-US"/>
        </w:rPr>
        <w:t xml:space="preserve">no alcanzó a colmar 50 semanas de aportes, dentro de los tres (3) años que precediera a tal estructuración; y por el otro, tampoco sufragó 26 semanas en último año, amén que su última cotización al sistema data del 31 de enero de 2012, y la estructuración de su estado invalidante no ocurrió entre el 26 de diciembre de 2003 y ese mismo día y mes del 2006. </w:t>
      </w:r>
    </w:p>
    <w:p w14:paraId="2A6B060A"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66D3770F"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No obstante lo dicho, teniendo en cuenta que el asegurado aglutinó más de 300 semanas al 1º de abril de 1994, menester resulta, previamente, convenir por mayoría, que el principio de la condición más beneficiosa que como puente le tendería al asegurado, para que se le aplique con ultractividad el Acuerdo 049 de 1990, aprobado por el Decreto 0758 de igual año, no se opone a las previsiones del artículo 1º del Acto Legislativo 01 de 2005, el cual disciplina: que</w:t>
      </w:r>
      <w:r w:rsidRPr="00643B66">
        <w:rPr>
          <w:rFonts w:ascii="Tahoma" w:hAnsi="Tahoma" w:cs="Tahoma"/>
          <w:i/>
          <w:color w:val="000000" w:themeColor="text1"/>
          <w:sz w:val="22"/>
          <w:szCs w:val="22"/>
        </w:rPr>
        <w:t xml:space="preserve">“[l]os requisitos y beneficios para adquirir el derecho a una pensión de invalidez o sobrevivencia serán los establecidos por las leyes del Sistema General de Pensiones”, </w:t>
      </w:r>
      <w:r w:rsidRPr="00643B66">
        <w:rPr>
          <w:rFonts w:ascii="Tahoma" w:hAnsi="Tahoma" w:cs="Tahoma"/>
          <w:color w:val="000000" w:themeColor="text1"/>
          <w:sz w:val="22"/>
          <w:szCs w:val="22"/>
        </w:rPr>
        <w:t>ni el mandato dirigido el Legislador relativo a que: “</w:t>
      </w:r>
      <w:r w:rsidRPr="00643B66">
        <w:rPr>
          <w:rFonts w:ascii="Tahoma" w:hAnsi="Tahoma" w:cs="Tahoma"/>
          <w:i/>
          <w:color w:val="000000" w:themeColor="text1"/>
          <w:sz w:val="22"/>
          <w:szCs w:val="22"/>
        </w:rPr>
        <w:t>[l]as leyes en materia pensional que se expidan con posterioridad a la entrada en vigencia de este acto legislativo, deberán asegurar la sostenibilidad financiera de los establecido en ellas</w:t>
      </w:r>
      <w:r w:rsidRPr="00643B66">
        <w:rPr>
          <w:rFonts w:ascii="Tahoma" w:hAnsi="Tahoma" w:cs="Tahoma"/>
          <w:color w:val="000000" w:themeColor="text1"/>
          <w:sz w:val="22"/>
          <w:szCs w:val="22"/>
        </w:rPr>
        <w:t xml:space="preserve">” </w:t>
      </w:r>
    </w:p>
    <w:p w14:paraId="598B7AF3"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56F8A9D2"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 xml:space="preserve">Ambas disposiciones superiores, se sustentan, por lo tanto, en el principio de la sostenibilidad financiera del sistema pensional, mismo que haya su límite en el parágrafo del artículo 334 de la C.P., modificado por el Acto Legislativo 03 de 2011, artículo 1º, el cual reza: </w:t>
      </w:r>
    </w:p>
    <w:p w14:paraId="1C97CC8F"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068F59AD"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w:t>
      </w:r>
      <w:r w:rsidRPr="00643B66">
        <w:rPr>
          <w:rFonts w:ascii="Tahoma" w:hAnsi="Tahoma" w:cs="Tahoma"/>
          <w:i/>
          <w:color w:val="000000" w:themeColor="text1"/>
          <w:sz w:val="22"/>
          <w:szCs w:val="22"/>
        </w:rPr>
        <w:t>Parágrafo. Al interpretar el presente artículo, bajo ninguna circunstancia, autoridad alguna de naturaleza administrativa, legislativa o judicial, podrá invocar la sostenibilidad fiscal para menoscabar los derechos fundamentales, restringir su alcance o negar su protección efectiva</w:t>
      </w:r>
      <w:r w:rsidRPr="00643B66">
        <w:rPr>
          <w:rFonts w:ascii="Tahoma" w:hAnsi="Tahoma" w:cs="Tahoma"/>
          <w:color w:val="000000" w:themeColor="text1"/>
          <w:sz w:val="22"/>
          <w:szCs w:val="22"/>
        </w:rPr>
        <w:t>”.</w:t>
      </w:r>
    </w:p>
    <w:p w14:paraId="446FFF84"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17AA313D"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 xml:space="preserve">Naturalmente, que el demandante dada su edad y discapacidad es un sujeto de especial protección, contra quien no se podría oponer, entonces, el principio de la sostenibilidad fiscal tal cual lo prevé el parágrafo del artículo 334, en mientes, por cuanto, por otro lado, como lo asentó la Corte Constitucional en su sentencia SU-005 de 2018: </w:t>
      </w:r>
    </w:p>
    <w:p w14:paraId="772FB32B" w14:textId="77777777" w:rsidR="00643B66" w:rsidRPr="00643B66" w:rsidRDefault="00643B66" w:rsidP="00692B98">
      <w:pPr>
        <w:ind w:left="426" w:right="418"/>
        <w:jc w:val="both"/>
        <w:rPr>
          <w:rFonts w:ascii="Tahoma" w:hAnsi="Tahoma" w:cs="Tahoma"/>
          <w:color w:val="000000" w:themeColor="text1"/>
          <w:sz w:val="22"/>
          <w:szCs w:val="22"/>
        </w:rPr>
      </w:pPr>
    </w:p>
    <w:p w14:paraId="7BF979CB" w14:textId="3540558F"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w:t>
      </w:r>
      <w:r w:rsidRPr="00643B66">
        <w:rPr>
          <w:rFonts w:ascii="Tahoma" w:hAnsi="Tahoma" w:cs="Tahoma"/>
          <w:i/>
          <w:color w:val="000000" w:themeColor="text1"/>
          <w:sz w:val="22"/>
          <w:szCs w:val="22"/>
        </w:rPr>
        <w:t>e]n estos casos, los fines que persigue el Acto Legislativo 01 de 2005 –hacer viable el Sistema General de Seguridad Social en Pensiones, en condiciones de universalidad y de igualdad para todos los cotizantes- tienen un menor peso en comparación con la muy severa afectación de los derechos fundamentales a la seguridad social, mínimo vital y vida en condiciones dignas de las personas vulnerables. Por tanto, solo respecto de estas personas resulta proporcionado interpretar el principio de la condición más beneficiosa en el sentido de aplicar, de manera ultractiva,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sidR="00D441FF">
        <w:rPr>
          <w:rFonts w:ascii="Tahoma" w:hAnsi="Tahoma" w:cs="Tahoma"/>
          <w:i/>
          <w:color w:val="000000" w:themeColor="text1"/>
          <w:sz w:val="22"/>
          <w:szCs w:val="22"/>
        </w:rPr>
        <w:t xml:space="preserve"> </w:t>
      </w:r>
      <w:r w:rsidRPr="00643B66">
        <w:rPr>
          <w:rFonts w:ascii="Tahoma" w:hAnsi="Tahoma" w:cs="Tahoma"/>
          <w:color w:val="000000" w:themeColor="text1"/>
          <w:sz w:val="22"/>
          <w:szCs w:val="22"/>
        </w:rPr>
        <w:t>(</w:t>
      </w:r>
      <w:r w:rsidR="00065351" w:rsidRPr="00643B66">
        <w:rPr>
          <w:rFonts w:ascii="Tahoma" w:hAnsi="Tahoma" w:cs="Tahoma"/>
          <w:color w:val="000000" w:themeColor="text1"/>
          <w:sz w:val="22"/>
          <w:szCs w:val="22"/>
        </w:rPr>
        <w:t xml:space="preserve">Apartado </w:t>
      </w:r>
      <w:r w:rsidRPr="00643B66">
        <w:rPr>
          <w:rFonts w:ascii="Tahoma" w:hAnsi="Tahoma" w:cs="Tahoma"/>
          <w:color w:val="000000" w:themeColor="text1"/>
          <w:sz w:val="22"/>
          <w:szCs w:val="22"/>
        </w:rPr>
        <w:t>300).</w:t>
      </w:r>
    </w:p>
    <w:p w14:paraId="2CC266A5"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38E89232"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 xml:space="preserve">Tal reflexión la hizo en el marco de la pensión de sobrevivientes, primero, en el entendido de que el cambio legislativo fuere abrupto, esto es, entre una legislación y la inmediatamente siguiente, y segundo, de que si no fuere abrupto el cambio, la ultractividad del acuerdo 049 o decreto 0758, o norma anterior, sólo era posible si se trata de una persona vulnerable que responda, afirmativamente, a cada una de las cinco (5) condiciones del test de procedencia elaborado por la Corte Constitucional. </w:t>
      </w:r>
    </w:p>
    <w:p w14:paraId="4D3D623A"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46EE31A6"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Siendo, en cambio, evidente la vulnerabilidad de la persona que se encuentra en estado de discapacidad, cual se trata del reclamante de la pensión de invalidez, las limitaciones que se acaban de referir, no se aplican a éste, puesto que la misma sentencia SU-005 de 2018, dejó claro que el ajuste constitucional implementado en ésta no se extiende a la pensión de invalidez, como quiera que para ésta, cobraba pleno rigor el ajuste efectuado a través de la SU-442 de 2016, que evidentemente no contempla tales limitaciones.</w:t>
      </w:r>
    </w:p>
    <w:p w14:paraId="3AF37A55"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29A8DE3B"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Así las cosas, al margen, de que la estructuración haya tenido lugar en vigencia de la ley 100 de 1993 o de la Ley 860 de 2003, lo relevante es que de haberse cumplido la densidad de aportes exigida por la norma ultractiva (acuerdo 049), al 1 de abril de 1994, la misma resultaría superior a la exigida por las leyes citadas, esto es, 26 semanas (al momento de producirse la estructuración del estado de invalidez o del año inmediatamente anterior, dependiendo de si se encontraba cotizando o no), o 50 semanas dentro de los 3 años anteriores a la fecha del mismo suceso invalidante, por cuanto en una sana lógica, no tendría explicación que quien apenas haya efectuado aportes por 26 o 50 semanas, cual ocurre en el ámbito de aplicación de las leyes 100 y 860, respectivamente, se causaría el derecho a sus beneficiarios, en cambio, quienes por no haber colmado ese mínimo de cotizaciones, pero sí más de 150 o 300 con anterioridad a la Ley 100, quedarían por fuera de la protección legal.</w:t>
      </w:r>
    </w:p>
    <w:p w14:paraId="4E623E9F"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7BC30240" w14:textId="77777777" w:rsidR="00065351"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Sobre este particular, no obstante, el enfrentamiento de las posturas asumidas por ambas Cortes, en la definición de la condición más beneficiosa, cuando de la ultractividad del Acuerdo 049 de 1990, aprobado por el Decreto 0758 de hogaño, se trata, no queda al margen del resto de los servidores de la especialidad laboral, el ejercicio de su independencia judicial (art. 228 superior) al examinar situaciones análogas, o similares a las estudiadas por las altas Cortes, que fungen como superiores funcionales en el quehacer judicial, tanto en materia constitucional como ordinaria, permitiendo el acog</w:t>
      </w:r>
      <w:r w:rsidR="00065351">
        <w:rPr>
          <w:rFonts w:ascii="Tahoma" w:hAnsi="Tahoma" w:cs="Tahoma"/>
          <w:color w:val="000000" w:themeColor="text1"/>
          <w:sz w:val="22"/>
          <w:szCs w:val="22"/>
        </w:rPr>
        <w:t>imiento de una u otra posición.</w:t>
      </w:r>
    </w:p>
    <w:p w14:paraId="2A0934A7" w14:textId="033A54FA"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 xml:space="preserve">   </w:t>
      </w:r>
    </w:p>
    <w:p w14:paraId="3E35AACF"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Por otro lado, con el pronunciamiento del órgano de cierre de la especialidad laboral, en orden a señalar las pautas que harían posible la aplicación de la condición más beneficiosa –sentencia SL 2358 de 25 de enero de 2017, ciertamente, esa alta Magistratura le puso el límite hasta el 26 de diciembre de 2006, para que con base en la estructuración de la invalidez, fijada hasta ese hito temporal, saliera avante el menado principio, más el cumplimiento de otras variantes. Limite que valga, recordar, también había indicado, en ejercicio del mismo principio, en cuanto a las 150 semanas del acuerdo 049 de 1990, aprobado por el decreto 0758 de hogaño, hasta el 31 de marzo de 2000, en sentencias, entre otras, del 4 de diciembre de 2006, radicación 28893.</w:t>
      </w:r>
    </w:p>
    <w:p w14:paraId="2BE68D42"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46C5F072"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 xml:space="preserve">Sin embargo, no ha existido pronunciamiento de ese órgano de cierre de la especialidad laboral, en cuanto a la limitación temporal referente a las 300 semanas del comentado acuerdo 049, aparte de su disenso con el otro órgano de cierre en lo Constitucional, respecto de la sucesión normativa, entre la Ley 860 de 2003 y el referido cuerpo normativo de 1990. </w:t>
      </w:r>
    </w:p>
    <w:p w14:paraId="32A62C97"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2C097B44" w14:textId="77777777" w:rsidR="00643B66" w:rsidRPr="00643B66" w:rsidRDefault="00643B66" w:rsidP="00692B98">
      <w:pPr>
        <w:ind w:left="426" w:right="418" w:firstLine="707"/>
        <w:jc w:val="both"/>
        <w:rPr>
          <w:rFonts w:ascii="Tahoma" w:hAnsi="Tahoma" w:cs="Tahoma"/>
          <w:color w:val="000000" w:themeColor="text1"/>
          <w:sz w:val="22"/>
          <w:szCs w:val="22"/>
          <w:lang w:val="es-ES"/>
        </w:rPr>
      </w:pPr>
      <w:r w:rsidRPr="00643B66">
        <w:rPr>
          <w:rFonts w:ascii="Tahoma" w:hAnsi="Tahoma" w:cs="Tahoma"/>
          <w:color w:val="000000" w:themeColor="text1"/>
          <w:sz w:val="22"/>
          <w:szCs w:val="22"/>
          <w:lang w:val="es-ES"/>
        </w:rPr>
        <w:lastRenderedPageBreak/>
        <w:t xml:space="preserve">En pos de lo anterior, según se adujo precedentemente, teniendo en cuenta que al 1º de abril de 1994 el actor encumbraba un total de 509.86 semanas al sistema pensional, bien puede afirmarse que le asiste el derecho a la pensión de invalidez reclamada. En consecuencia, entonces, sale avante el recurso interpuesto. </w:t>
      </w:r>
    </w:p>
    <w:p w14:paraId="02CAB473"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357963F7" w14:textId="77777777" w:rsidR="00643B66" w:rsidRPr="00643B66" w:rsidRDefault="00643B66" w:rsidP="00692B98">
      <w:pPr>
        <w:ind w:left="426" w:right="418"/>
        <w:jc w:val="both"/>
        <w:rPr>
          <w:rFonts w:ascii="Tahoma" w:hAnsi="Tahoma" w:cs="Tahoma"/>
          <w:color w:val="000000" w:themeColor="text1"/>
          <w:sz w:val="22"/>
          <w:szCs w:val="22"/>
        </w:rPr>
      </w:pPr>
      <w:r w:rsidRPr="00643B66">
        <w:rPr>
          <w:rFonts w:ascii="Tahoma" w:hAnsi="Tahoma" w:cs="Tahoma"/>
          <w:color w:val="000000" w:themeColor="text1"/>
          <w:sz w:val="22"/>
          <w:szCs w:val="22"/>
        </w:rPr>
        <w:t xml:space="preserve">En cuanto a la fecha a partir de la cual procede el reconocimiento de dicha prestación, en un evento con ribetes similares a éste, el máximo órgano de cierre de la especialidad laboral, mediante sentencia de tutela STL 4333 de 2018, dispuso que la condena por retroactivo pensional sigue teniendo como venero la fecha de estructuración de la invalidez, por lo que ordenó el pago del retroactivo a partir de tal calenda y no el de la ejecutoria de la sentencia, como la antigua Sala de decisión N. 3 de esta Corporación lo venía pregonando. </w:t>
      </w:r>
    </w:p>
    <w:p w14:paraId="0CFCB974"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56633C87" w14:textId="77777777" w:rsidR="00643B66" w:rsidRPr="00643B66" w:rsidRDefault="00643B66" w:rsidP="00692B98">
      <w:pPr>
        <w:shd w:val="clear" w:color="auto" w:fill="FFFFFF"/>
        <w:ind w:left="426" w:right="418" w:firstLine="707"/>
        <w:jc w:val="both"/>
        <w:rPr>
          <w:rFonts w:ascii="Tahoma" w:hAnsi="Tahoma" w:cs="Tahoma"/>
          <w:color w:val="000000" w:themeColor="text1"/>
          <w:sz w:val="22"/>
          <w:szCs w:val="22"/>
          <w:lang w:val="es-ES"/>
        </w:rPr>
      </w:pPr>
      <w:r w:rsidRPr="00643B66">
        <w:rPr>
          <w:rFonts w:ascii="Tahoma" w:hAnsi="Tahoma" w:cs="Tahoma"/>
          <w:color w:val="000000" w:themeColor="text1"/>
          <w:sz w:val="22"/>
          <w:szCs w:val="22"/>
          <w:lang w:val="es-ES"/>
        </w:rPr>
        <w:t xml:space="preserve">Al efecto, trajo a colación el precedente sentado en la sentencia </w:t>
      </w:r>
      <w:r w:rsidRPr="00643B66">
        <w:rPr>
          <w:rFonts w:ascii="Tahoma" w:hAnsi="Tahoma" w:cs="Tahoma"/>
          <w:bCs/>
          <w:color w:val="000000" w:themeColor="text1"/>
          <w:spacing w:val="-4"/>
          <w:sz w:val="22"/>
          <w:szCs w:val="22"/>
          <w:lang w:val="es-ES"/>
        </w:rPr>
        <w:t>SL12753-2014</w:t>
      </w:r>
      <w:r w:rsidRPr="00643B66">
        <w:rPr>
          <w:rFonts w:ascii="Tahoma" w:hAnsi="Tahoma" w:cs="Tahoma"/>
          <w:color w:val="000000" w:themeColor="text1"/>
          <w:sz w:val="22"/>
          <w:szCs w:val="22"/>
          <w:lang w:val="es-ES"/>
        </w:rPr>
        <w:t xml:space="preserve">, en uno de cuyos trozos reza: </w:t>
      </w:r>
    </w:p>
    <w:p w14:paraId="3815F962" w14:textId="77777777" w:rsidR="00643B66" w:rsidRPr="00643B66" w:rsidRDefault="00643B66" w:rsidP="00692B98">
      <w:pPr>
        <w:shd w:val="clear" w:color="auto" w:fill="FFFFFF"/>
        <w:ind w:left="426" w:right="418" w:firstLine="707"/>
        <w:jc w:val="both"/>
        <w:rPr>
          <w:rFonts w:ascii="Tahoma" w:hAnsi="Tahoma" w:cs="Tahoma"/>
          <w:color w:val="000000" w:themeColor="text1"/>
          <w:sz w:val="22"/>
          <w:szCs w:val="22"/>
          <w:lang w:val="es-ES"/>
        </w:rPr>
      </w:pPr>
    </w:p>
    <w:p w14:paraId="3E0D057C" w14:textId="77777777" w:rsidR="00643B66" w:rsidRPr="00643B66" w:rsidRDefault="00643B66" w:rsidP="00692B98">
      <w:pPr>
        <w:ind w:left="851" w:right="843"/>
        <w:jc w:val="both"/>
        <w:rPr>
          <w:rFonts w:ascii="Tahoma" w:hAnsi="Tahoma" w:cs="Tahoma"/>
          <w:i/>
          <w:color w:val="000000" w:themeColor="text1"/>
          <w:spacing w:val="-4"/>
          <w:sz w:val="22"/>
          <w:szCs w:val="22"/>
          <w:lang w:val="es-ES"/>
        </w:rPr>
      </w:pPr>
      <w:r w:rsidRPr="00643B66">
        <w:rPr>
          <w:rFonts w:ascii="Tahoma" w:hAnsi="Tahoma" w:cs="Tahoma"/>
          <w:i/>
          <w:color w:val="000000" w:themeColor="text1"/>
          <w:spacing w:val="-4"/>
          <w:sz w:val="22"/>
          <w:szCs w:val="22"/>
          <w:lang w:val="es-ES"/>
        </w:rPr>
        <w:t>“Así las cosas, y a la luz del criterio trazado, resulta evidente que, si bien es cierto que, en términos legales la actora, no cumplió los requisitos exigidos por la ley bajo la cual se estructuró el estado de invalidez, y se realizó un análisis interpretativo amplio de la norma, y se aplicó la jurisprudencia pertinente al caso, también lo es que el Tribunal se apartó, sin justificación alguna, del precedente sentado por esta Corporación para estos casos especialísimos, lo que conllevó por demás a que conculcara los derechos fundamentales de la accionante quien atraviesa un grave estado de salud.</w:t>
      </w:r>
    </w:p>
    <w:p w14:paraId="14983A92" w14:textId="77777777" w:rsidR="00643B66" w:rsidRPr="00643B66" w:rsidRDefault="00643B66" w:rsidP="00692B98">
      <w:pPr>
        <w:ind w:left="851" w:right="843"/>
        <w:jc w:val="both"/>
        <w:rPr>
          <w:rFonts w:ascii="Tahoma" w:hAnsi="Tahoma" w:cs="Tahoma"/>
          <w:i/>
          <w:color w:val="000000" w:themeColor="text1"/>
          <w:spacing w:val="-4"/>
          <w:sz w:val="22"/>
          <w:szCs w:val="22"/>
          <w:lang w:val="es-ES"/>
        </w:rPr>
      </w:pPr>
    </w:p>
    <w:p w14:paraId="2F0BA252" w14:textId="77777777" w:rsidR="00643B66" w:rsidRPr="00643B66" w:rsidRDefault="00643B66" w:rsidP="00692B98">
      <w:pPr>
        <w:ind w:left="851" w:right="843"/>
        <w:jc w:val="both"/>
        <w:rPr>
          <w:rFonts w:ascii="Tahoma" w:hAnsi="Tahoma" w:cs="Tahoma"/>
          <w:i/>
          <w:color w:val="000000" w:themeColor="text1"/>
          <w:spacing w:val="-4"/>
          <w:sz w:val="22"/>
          <w:szCs w:val="22"/>
          <w:lang w:val="es-ES"/>
        </w:rPr>
      </w:pPr>
      <w:r w:rsidRPr="00643B66">
        <w:rPr>
          <w:rFonts w:ascii="Tahoma" w:hAnsi="Tahoma" w:cs="Tahoma"/>
          <w:i/>
          <w:color w:val="000000" w:themeColor="text1"/>
          <w:spacing w:val="-4"/>
          <w:sz w:val="22"/>
          <w:szCs w:val="22"/>
          <w:lang w:val="es-ES"/>
        </w:rPr>
        <w:t>Advierte esta Sala que la presente situación, no puede pasar inadvertida ante lo extraordinario del asunto y por ello, se concederá la tutela […].”</w:t>
      </w:r>
    </w:p>
    <w:p w14:paraId="6C5EEEDD" w14:textId="77777777" w:rsidR="00643B66" w:rsidRPr="00643B66" w:rsidRDefault="00643B66" w:rsidP="00692B98">
      <w:pPr>
        <w:ind w:left="426" w:right="418"/>
        <w:jc w:val="both"/>
        <w:rPr>
          <w:rFonts w:ascii="Tahoma" w:hAnsi="Tahoma" w:cs="Tahoma"/>
          <w:color w:val="000000" w:themeColor="text1"/>
          <w:sz w:val="22"/>
          <w:szCs w:val="22"/>
        </w:rPr>
      </w:pPr>
      <w:r w:rsidRPr="00643B66">
        <w:rPr>
          <w:rFonts w:ascii="Tahoma" w:hAnsi="Tahoma" w:cs="Tahoma"/>
          <w:color w:val="000000" w:themeColor="text1"/>
          <w:sz w:val="22"/>
          <w:szCs w:val="22"/>
        </w:rPr>
        <w:t xml:space="preserve">  </w:t>
      </w:r>
    </w:p>
    <w:p w14:paraId="10FE94A4"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Y si bien con posterioridad ese alto Tribunal, por mayoría sentó un criterio diferente, sin recoger el vertido en su sentencia STL4333-2018, Radicación n°50468 y otra, esta Sala de decisión por mayoría de sus integrantes, mantendrá la postura que le señaló su superior en la sentencia de Tutela con el radicado acabado de referir.</w:t>
      </w:r>
    </w:p>
    <w:p w14:paraId="119910E7"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r w:rsidRPr="00643B66">
        <w:rPr>
          <w:rFonts w:ascii="Tahoma" w:eastAsiaTheme="minorHAnsi" w:hAnsi="Tahoma" w:cs="Tahoma"/>
          <w:color w:val="000000" w:themeColor="text1"/>
          <w:sz w:val="22"/>
          <w:szCs w:val="22"/>
          <w:lang w:eastAsia="en-US"/>
        </w:rPr>
        <w:t xml:space="preserve"> </w:t>
      </w:r>
    </w:p>
    <w:p w14:paraId="382A1FAC" w14:textId="77777777" w:rsidR="00643B66" w:rsidRPr="00643B66" w:rsidRDefault="00643B66" w:rsidP="00692B98">
      <w:pPr>
        <w:ind w:left="426" w:right="418" w:firstLine="707"/>
        <w:jc w:val="both"/>
        <w:rPr>
          <w:rFonts w:ascii="Tahoma" w:hAnsi="Tahoma" w:cs="Tahoma"/>
          <w:color w:val="000000" w:themeColor="text1"/>
          <w:sz w:val="22"/>
          <w:szCs w:val="22"/>
        </w:rPr>
      </w:pPr>
      <w:r w:rsidRPr="00643B66">
        <w:rPr>
          <w:rFonts w:ascii="Tahoma" w:hAnsi="Tahoma" w:cs="Tahoma"/>
          <w:color w:val="000000" w:themeColor="text1"/>
          <w:sz w:val="22"/>
          <w:szCs w:val="22"/>
        </w:rPr>
        <w:t>En cambio, el argumento en torno a que la concesión de la prestación se hace no bajo la perspectiva legal, en tanto que el demandante no cumplió los requisitos por la ley bajo la cual se estructuró el estado de invalidez, sino gracias a una interpretación constitucional favorable, es la razón por la cual se negarán los intereses, puesto que en estos mismos eventos de condición más beneficiosa, el órgano de cierre laboral, ha indicado que se está en frente de un evento en que las actuaciones de las administradoras de pensiones, al no reconocer o pagar las prestaciones periódicas a su cargo, “</w:t>
      </w:r>
      <w:r w:rsidRPr="00643B66">
        <w:rPr>
          <w:rFonts w:ascii="Tahoma" w:hAnsi="Tahoma" w:cs="Tahoma"/>
          <w:i/>
          <w:color w:val="000000" w:themeColor="text1"/>
          <w:sz w:val="22"/>
          <w:szCs w:val="22"/>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643B66">
        <w:rPr>
          <w:rFonts w:ascii="Tahoma" w:hAnsi="Tahoma" w:cs="Tahoma"/>
          <w:color w:val="000000" w:themeColor="text1"/>
          <w:sz w:val="22"/>
          <w:szCs w:val="22"/>
        </w:rPr>
        <w:t>”. (Sent.02 de octubre de 2013. Rad. 44.454 Cas. Laboral).</w:t>
      </w:r>
    </w:p>
    <w:p w14:paraId="430DD456" w14:textId="77777777" w:rsidR="00643B66" w:rsidRPr="00643B66" w:rsidRDefault="00643B66" w:rsidP="00692B98">
      <w:pPr>
        <w:ind w:left="426" w:right="418"/>
        <w:rPr>
          <w:rFonts w:ascii="Tahoma" w:eastAsiaTheme="minorHAnsi" w:hAnsi="Tahoma" w:cs="Tahoma"/>
          <w:color w:val="000000" w:themeColor="text1"/>
          <w:sz w:val="22"/>
          <w:szCs w:val="22"/>
          <w:lang w:eastAsia="en-US"/>
        </w:rPr>
      </w:pPr>
    </w:p>
    <w:p w14:paraId="0497D2B1" w14:textId="77777777" w:rsidR="00643B66" w:rsidRPr="00643B66" w:rsidRDefault="00643B66" w:rsidP="00692B98">
      <w:pPr>
        <w:ind w:left="426" w:right="418"/>
        <w:jc w:val="both"/>
        <w:rPr>
          <w:rFonts w:ascii="Tahoma" w:hAnsi="Tahoma" w:cs="Tahoma"/>
          <w:color w:val="000000" w:themeColor="text1"/>
          <w:sz w:val="22"/>
          <w:szCs w:val="22"/>
          <w:lang w:val="es-ES"/>
        </w:rPr>
      </w:pPr>
      <w:r w:rsidRPr="00643B66">
        <w:rPr>
          <w:rFonts w:ascii="Tahoma" w:hAnsi="Tahoma" w:cs="Tahoma"/>
          <w:color w:val="000000" w:themeColor="text1"/>
          <w:sz w:val="22"/>
          <w:szCs w:val="22"/>
          <w:lang w:val="es-ES"/>
        </w:rPr>
        <w:t>Así las cosas, se hará a partir de la fecha de estructuración de la invalidez, es decir, a partir del 5 de noviembre de 2014, equivalente la mesada, al valor del salario mínimo legal mensual, vigente para cada anualidad, por haber cotizado el demandante en toda su vida laboral sobre esa base salarial, y por trece mesadas, por haberse causado el derecho con posterioridad al 31 de julio de 2011, en los términos del Acto Legislativo 01 de 2005.”</w:t>
      </w:r>
    </w:p>
    <w:p w14:paraId="4F7A95E9" w14:textId="77777777" w:rsidR="00643B66" w:rsidRPr="00643B66" w:rsidRDefault="00643B66" w:rsidP="008A1A1E">
      <w:pPr>
        <w:spacing w:line="276" w:lineRule="auto"/>
        <w:jc w:val="both"/>
        <w:rPr>
          <w:rFonts w:ascii="Tahoma" w:hAnsi="Tahoma" w:cs="Tahoma"/>
          <w:color w:val="000000" w:themeColor="text1"/>
          <w:spacing w:val="-2"/>
          <w:szCs w:val="22"/>
          <w:lang w:val="es-ES"/>
        </w:rPr>
      </w:pPr>
    </w:p>
    <w:p w14:paraId="2CD5DBAB" w14:textId="77777777" w:rsidR="00643B66" w:rsidRPr="00643B66" w:rsidRDefault="00643B66" w:rsidP="008A1A1E">
      <w:pPr>
        <w:spacing w:line="276" w:lineRule="auto"/>
        <w:ind w:firstLine="851"/>
        <w:jc w:val="both"/>
        <w:rPr>
          <w:rFonts w:ascii="Tahoma" w:hAnsi="Tahoma" w:cs="Tahoma"/>
          <w:color w:val="000000" w:themeColor="text1"/>
          <w:szCs w:val="22"/>
        </w:rPr>
      </w:pPr>
      <w:r w:rsidRPr="00643B66">
        <w:rPr>
          <w:rFonts w:ascii="Tahoma" w:hAnsi="Tahoma" w:cs="Tahoma"/>
          <w:color w:val="000000" w:themeColor="text1"/>
          <w:szCs w:val="22"/>
        </w:rPr>
        <w:lastRenderedPageBreak/>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14:paraId="235908AA" w14:textId="77777777" w:rsidR="00643B66" w:rsidRPr="00643B66" w:rsidRDefault="00643B66" w:rsidP="008A1A1E">
      <w:pPr>
        <w:spacing w:line="276" w:lineRule="auto"/>
        <w:rPr>
          <w:rFonts w:ascii="Tahoma" w:eastAsiaTheme="minorHAnsi" w:hAnsi="Tahoma" w:cs="Tahoma"/>
          <w:color w:val="000000" w:themeColor="text1"/>
          <w:szCs w:val="22"/>
          <w:lang w:eastAsia="en-US"/>
        </w:rPr>
      </w:pPr>
    </w:p>
    <w:p w14:paraId="29AE178F" w14:textId="77777777" w:rsidR="00643B66" w:rsidRPr="00643B66" w:rsidRDefault="00643B66" w:rsidP="00692B98">
      <w:pPr>
        <w:overflowPunct w:val="0"/>
        <w:autoSpaceDE w:val="0"/>
        <w:autoSpaceDN w:val="0"/>
        <w:adjustRightInd w:val="0"/>
        <w:ind w:left="426" w:right="418"/>
        <w:jc w:val="both"/>
        <w:textAlignment w:val="baseline"/>
        <w:rPr>
          <w:rFonts w:ascii="Tahoma" w:hAnsi="Tahoma" w:cs="Tahoma"/>
          <w:i/>
          <w:color w:val="000000" w:themeColor="text1"/>
          <w:sz w:val="22"/>
          <w:szCs w:val="22"/>
          <w:lang w:val="es-ES"/>
        </w:rPr>
      </w:pPr>
      <w:r w:rsidRPr="00643B66">
        <w:rPr>
          <w:rFonts w:ascii="Tahoma" w:hAnsi="Tahoma" w:cs="Tahoma"/>
          <w:i/>
          <w:color w:val="000000" w:themeColor="text1"/>
          <w:sz w:val="22"/>
          <w:szCs w:val="22"/>
          <w:lang w:val="es-ES"/>
        </w:rPr>
        <w:t>“</w:t>
      </w:r>
      <w:r w:rsidRPr="00643B66">
        <w:rPr>
          <w:rFonts w:ascii="Tahoma" w:hAnsi="Tahoma" w:cs="Tahoma"/>
          <w:color w:val="000000" w:themeColor="text1"/>
          <w:sz w:val="22"/>
          <w:szCs w:val="22"/>
          <w:lang w:val="es-ES"/>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643B66">
        <w:rPr>
          <w:rFonts w:ascii="Tahoma" w:hAnsi="Tahoma" w:cs="Tahoma"/>
          <w:i/>
          <w:color w:val="000000" w:themeColor="text1"/>
          <w:sz w:val="22"/>
          <w:szCs w:val="22"/>
          <w:lang w:val="es-ES"/>
        </w:rPr>
        <w:t xml:space="preserve">”. </w:t>
      </w:r>
    </w:p>
    <w:p w14:paraId="16CA8C76" w14:textId="77777777" w:rsidR="00643B66" w:rsidRPr="00643B66" w:rsidRDefault="00643B66" w:rsidP="008A1A1E">
      <w:pPr>
        <w:spacing w:line="276" w:lineRule="auto"/>
        <w:ind w:firstLine="709"/>
        <w:jc w:val="both"/>
        <w:rPr>
          <w:rFonts w:ascii="Tahoma" w:hAnsi="Tahoma" w:cs="Tahoma"/>
          <w:color w:val="000000" w:themeColor="text1"/>
          <w:spacing w:val="-2"/>
          <w:szCs w:val="22"/>
          <w:lang w:val="es-ES"/>
        </w:rPr>
      </w:pPr>
    </w:p>
    <w:p w14:paraId="737B5797" w14:textId="77777777" w:rsidR="00643B66" w:rsidRPr="00643B66" w:rsidRDefault="00643B66" w:rsidP="008A1A1E">
      <w:pPr>
        <w:spacing w:line="276" w:lineRule="auto"/>
        <w:ind w:firstLine="709"/>
        <w:jc w:val="both"/>
        <w:rPr>
          <w:rFonts w:ascii="Tahoma" w:hAnsi="Tahoma" w:cs="Tahoma"/>
          <w:spacing w:val="-2"/>
          <w:szCs w:val="22"/>
          <w:lang w:val="es-ES"/>
        </w:rPr>
      </w:pPr>
      <w:r w:rsidRPr="00643B66">
        <w:rPr>
          <w:rFonts w:ascii="Tahoma" w:hAnsi="Tahoma" w:cs="Tahoma"/>
          <w:spacing w:val="-2"/>
          <w:szCs w:val="22"/>
          <w:lang w:val="es-ES"/>
        </w:rPr>
        <w:t>En virtud de lo anterior, considero que debió confirmarse la sentencia de primera instancia en lo correspondiente al reconocimiento de la pensión de invalidez, al contar el actor con una pérdida de capacidad laboral superior al 50% y más de 300 semanas cotizadas con antelación a la entrada en vigencia de la Ley 100 de 1993, según da cuenta el expediente administrativo allegado en medio magnético por la entidad demandada (fl. 45). Por otra parte, debió revocarse únicamente en el sentido de conceder la pensión de invalidez desde la fecha de estructuración y confirmarse en lo demás, toda vez que ha sido posición de esta Sala que no hay lugar a intereses moratorios cuando la pensión se concede en virtud una interpretación constitucional favorable.</w:t>
      </w:r>
    </w:p>
    <w:p w14:paraId="5DDC3C0E" w14:textId="77777777" w:rsidR="00643B66" w:rsidRPr="00643B66" w:rsidRDefault="00643B66" w:rsidP="008A1A1E">
      <w:pPr>
        <w:spacing w:line="276" w:lineRule="auto"/>
        <w:ind w:firstLine="709"/>
        <w:jc w:val="both"/>
        <w:rPr>
          <w:rFonts w:ascii="Tahoma" w:hAnsi="Tahoma" w:cs="Tahoma"/>
          <w:color w:val="000000" w:themeColor="text1"/>
          <w:szCs w:val="22"/>
          <w:lang w:val="es-ES"/>
        </w:rPr>
      </w:pPr>
    </w:p>
    <w:p w14:paraId="64F8DD32" w14:textId="77777777" w:rsidR="00643B66" w:rsidRPr="00643B66" w:rsidRDefault="00643B66" w:rsidP="008A1A1E">
      <w:pPr>
        <w:spacing w:line="276" w:lineRule="auto"/>
        <w:ind w:firstLine="709"/>
        <w:jc w:val="both"/>
        <w:rPr>
          <w:rFonts w:ascii="Tahoma" w:hAnsi="Tahoma" w:cs="Tahoma"/>
          <w:color w:val="000000" w:themeColor="text1"/>
          <w:szCs w:val="22"/>
          <w:lang w:val="es-ES"/>
        </w:rPr>
      </w:pPr>
      <w:r w:rsidRPr="00643B66">
        <w:rPr>
          <w:rFonts w:ascii="Tahoma" w:hAnsi="Tahoma" w:cs="Tahoma"/>
          <w:color w:val="000000" w:themeColor="text1"/>
          <w:szCs w:val="22"/>
          <w:lang w:val="es-ES"/>
        </w:rPr>
        <w:t>En estos términos sustento mi salvamento de voto.</w:t>
      </w:r>
    </w:p>
    <w:p w14:paraId="3A4AA786" w14:textId="77777777" w:rsidR="00643B66" w:rsidRPr="00643B66" w:rsidRDefault="00643B66" w:rsidP="008A1A1E">
      <w:pPr>
        <w:spacing w:line="276" w:lineRule="auto"/>
        <w:ind w:firstLine="709"/>
        <w:jc w:val="both"/>
        <w:rPr>
          <w:rFonts w:ascii="Tahoma" w:hAnsi="Tahoma" w:cs="Tahoma"/>
          <w:color w:val="000000" w:themeColor="text1"/>
          <w:szCs w:val="22"/>
          <w:lang w:val="es-ES"/>
        </w:rPr>
      </w:pPr>
    </w:p>
    <w:p w14:paraId="5D0989C8" w14:textId="77777777" w:rsidR="00643B66" w:rsidRPr="00643B66" w:rsidRDefault="00643B66" w:rsidP="008A1A1E">
      <w:pPr>
        <w:widowControl w:val="0"/>
        <w:autoSpaceDE w:val="0"/>
        <w:autoSpaceDN w:val="0"/>
        <w:adjustRightInd w:val="0"/>
        <w:spacing w:line="276" w:lineRule="auto"/>
        <w:ind w:firstLine="709"/>
        <w:jc w:val="both"/>
        <w:rPr>
          <w:rFonts w:ascii="Tahoma" w:hAnsi="Tahoma" w:cs="Tahoma"/>
          <w:color w:val="000000" w:themeColor="text1"/>
          <w:szCs w:val="22"/>
          <w:lang w:val="es-ES"/>
        </w:rPr>
      </w:pPr>
    </w:p>
    <w:p w14:paraId="51F7B025" w14:textId="77777777" w:rsidR="00643B66" w:rsidRPr="00643B66" w:rsidRDefault="00643B66" w:rsidP="008A1A1E">
      <w:pPr>
        <w:widowControl w:val="0"/>
        <w:autoSpaceDE w:val="0"/>
        <w:autoSpaceDN w:val="0"/>
        <w:adjustRightInd w:val="0"/>
        <w:spacing w:line="276" w:lineRule="auto"/>
        <w:ind w:firstLine="709"/>
        <w:jc w:val="both"/>
        <w:rPr>
          <w:rFonts w:ascii="Tahoma" w:hAnsi="Tahoma" w:cs="Tahoma"/>
          <w:color w:val="000000" w:themeColor="text1"/>
          <w:szCs w:val="22"/>
          <w:lang w:val="es-ES"/>
        </w:rPr>
      </w:pPr>
    </w:p>
    <w:p w14:paraId="262D6A43" w14:textId="77777777" w:rsidR="00643B66" w:rsidRPr="00643B66" w:rsidRDefault="00643B66" w:rsidP="008A1A1E">
      <w:pPr>
        <w:widowControl w:val="0"/>
        <w:autoSpaceDE w:val="0"/>
        <w:autoSpaceDN w:val="0"/>
        <w:adjustRightInd w:val="0"/>
        <w:spacing w:line="276" w:lineRule="auto"/>
        <w:ind w:firstLine="709"/>
        <w:jc w:val="both"/>
        <w:rPr>
          <w:rFonts w:ascii="Tahoma" w:hAnsi="Tahoma" w:cs="Tahoma"/>
          <w:color w:val="000000" w:themeColor="text1"/>
          <w:szCs w:val="22"/>
          <w:lang w:val="es-ES"/>
        </w:rPr>
      </w:pPr>
    </w:p>
    <w:p w14:paraId="6EBDF676" w14:textId="77777777" w:rsidR="00643B66" w:rsidRPr="00643B66" w:rsidRDefault="00643B66" w:rsidP="008A1A1E">
      <w:pPr>
        <w:widowControl w:val="0"/>
        <w:autoSpaceDE w:val="0"/>
        <w:autoSpaceDN w:val="0"/>
        <w:adjustRightInd w:val="0"/>
        <w:spacing w:line="276" w:lineRule="auto"/>
        <w:ind w:firstLine="709"/>
        <w:jc w:val="both"/>
        <w:rPr>
          <w:rFonts w:ascii="Tahoma" w:hAnsi="Tahoma" w:cs="Tahoma"/>
          <w:color w:val="000000" w:themeColor="text1"/>
          <w:szCs w:val="22"/>
          <w:lang w:val="es-ES"/>
        </w:rPr>
      </w:pPr>
    </w:p>
    <w:p w14:paraId="08A50787" w14:textId="77777777" w:rsidR="00643B66" w:rsidRPr="00643B66" w:rsidRDefault="00643B66" w:rsidP="008A1A1E">
      <w:pPr>
        <w:keepNext/>
        <w:widowControl w:val="0"/>
        <w:autoSpaceDE w:val="0"/>
        <w:autoSpaceDN w:val="0"/>
        <w:adjustRightInd w:val="0"/>
        <w:spacing w:line="276" w:lineRule="auto"/>
        <w:ind w:firstLine="709"/>
        <w:jc w:val="center"/>
        <w:outlineLvl w:val="2"/>
        <w:rPr>
          <w:rFonts w:ascii="Tahoma" w:hAnsi="Tahoma" w:cs="Tahoma"/>
          <w:b/>
          <w:color w:val="000000" w:themeColor="text1"/>
          <w:szCs w:val="22"/>
          <w:lang w:val="es-ES"/>
        </w:rPr>
      </w:pPr>
      <w:r w:rsidRPr="00643B66">
        <w:rPr>
          <w:rFonts w:ascii="Tahoma" w:hAnsi="Tahoma" w:cs="Tahoma"/>
          <w:b/>
          <w:color w:val="000000" w:themeColor="text1"/>
          <w:szCs w:val="22"/>
          <w:lang w:val="es-ES"/>
        </w:rPr>
        <w:t>ANA LUCÍA CAICEDO CALDERÓN</w:t>
      </w:r>
    </w:p>
    <w:p w14:paraId="5AFA5415" w14:textId="46A676B8" w:rsidR="00643B66" w:rsidRPr="008A1A1E" w:rsidRDefault="00643B66" w:rsidP="008A1A1E">
      <w:pPr>
        <w:keepNext/>
        <w:widowControl w:val="0"/>
        <w:autoSpaceDE w:val="0"/>
        <w:autoSpaceDN w:val="0"/>
        <w:adjustRightInd w:val="0"/>
        <w:spacing w:line="276" w:lineRule="auto"/>
        <w:ind w:firstLine="709"/>
        <w:jc w:val="center"/>
        <w:outlineLvl w:val="2"/>
        <w:rPr>
          <w:rFonts w:ascii="Tahoma" w:hAnsi="Tahoma" w:cs="Tahoma"/>
          <w:color w:val="000000" w:themeColor="text1"/>
          <w:szCs w:val="22"/>
          <w:lang w:val="es-ES"/>
        </w:rPr>
      </w:pPr>
      <w:r w:rsidRPr="00643B66">
        <w:rPr>
          <w:rFonts w:ascii="Tahoma" w:hAnsi="Tahoma" w:cs="Tahoma"/>
          <w:color w:val="000000" w:themeColor="text1"/>
          <w:szCs w:val="22"/>
          <w:lang w:val="es-ES"/>
        </w:rPr>
        <w:t>Magistrada</w:t>
      </w:r>
    </w:p>
    <w:sectPr w:rsidR="00643B66" w:rsidRPr="008A1A1E" w:rsidSect="00BD5769">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12F9" w14:textId="77777777" w:rsidR="00984701" w:rsidRDefault="00984701" w:rsidP="00226D5F">
      <w:r>
        <w:separator/>
      </w:r>
    </w:p>
  </w:endnote>
  <w:endnote w:type="continuationSeparator" w:id="0">
    <w:p w14:paraId="5F5B0C8E" w14:textId="77777777" w:rsidR="00984701" w:rsidRDefault="0098470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9118" w14:textId="77777777" w:rsidR="001F28B8" w:rsidRDefault="001F28B8"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6B3E80" w14:textId="77777777" w:rsidR="001F28B8" w:rsidRDefault="001F28B8"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6BC13" w14:textId="77777777" w:rsidR="001F28B8" w:rsidRPr="00BD5769" w:rsidRDefault="001F28B8" w:rsidP="00BD5769">
    <w:pPr>
      <w:pStyle w:val="Encabezado"/>
      <w:framePr w:wrap="around" w:vAnchor="text" w:hAnchor="margin" w:xAlign="right" w:y="1"/>
      <w:jc w:val="center"/>
      <w:rPr>
        <w:rFonts w:ascii="Arial" w:hAnsi="Arial" w:cs="Arial"/>
        <w:sz w:val="18"/>
        <w:szCs w:val="18"/>
      </w:rPr>
    </w:pPr>
    <w:r w:rsidRPr="00BD5769">
      <w:rPr>
        <w:rFonts w:ascii="Arial" w:hAnsi="Arial" w:cs="Arial"/>
        <w:sz w:val="18"/>
        <w:szCs w:val="18"/>
      </w:rPr>
      <w:fldChar w:fldCharType="begin"/>
    </w:r>
    <w:r w:rsidRPr="00BD5769">
      <w:rPr>
        <w:rFonts w:ascii="Arial" w:hAnsi="Arial" w:cs="Arial"/>
        <w:sz w:val="18"/>
        <w:szCs w:val="18"/>
      </w:rPr>
      <w:instrText xml:space="preserve">PAGE  </w:instrText>
    </w:r>
    <w:r w:rsidRPr="00BD5769">
      <w:rPr>
        <w:rFonts w:ascii="Arial" w:hAnsi="Arial" w:cs="Arial"/>
        <w:sz w:val="18"/>
        <w:szCs w:val="18"/>
      </w:rPr>
      <w:fldChar w:fldCharType="separate"/>
    </w:r>
    <w:r w:rsidR="00C023C9">
      <w:rPr>
        <w:rFonts w:ascii="Arial" w:hAnsi="Arial" w:cs="Arial"/>
        <w:noProof/>
        <w:sz w:val="18"/>
        <w:szCs w:val="18"/>
      </w:rPr>
      <w:t>9</w:t>
    </w:r>
    <w:r w:rsidRPr="00BD5769">
      <w:rPr>
        <w:rFonts w:ascii="Arial" w:hAnsi="Arial" w:cs="Arial"/>
        <w:sz w:val="18"/>
        <w:szCs w:val="18"/>
      </w:rPr>
      <w:fldChar w:fldCharType="end"/>
    </w:r>
  </w:p>
  <w:p w14:paraId="4BE9D502" w14:textId="77777777" w:rsidR="001F28B8" w:rsidRPr="00BD5769" w:rsidRDefault="001F28B8" w:rsidP="00BD5769">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E7FE" w14:textId="77777777" w:rsidR="00984701" w:rsidRDefault="00984701" w:rsidP="00226D5F">
      <w:r>
        <w:separator/>
      </w:r>
    </w:p>
  </w:footnote>
  <w:footnote w:type="continuationSeparator" w:id="0">
    <w:p w14:paraId="752EF1CD" w14:textId="77777777" w:rsidR="00984701" w:rsidRDefault="00984701" w:rsidP="00226D5F">
      <w:r>
        <w:continuationSeparator/>
      </w:r>
    </w:p>
  </w:footnote>
  <w:footnote w:id="1">
    <w:p w14:paraId="0E919EE1" w14:textId="4FBC795D" w:rsidR="00D645EC" w:rsidRPr="00BD5769" w:rsidRDefault="00D645EC" w:rsidP="00BD5769">
      <w:pPr>
        <w:pStyle w:val="Textonotapie"/>
        <w:rPr>
          <w:rFonts w:ascii="Arial" w:hAnsi="Arial" w:cs="Arial"/>
          <w:sz w:val="18"/>
          <w:szCs w:val="18"/>
          <w:lang w:val="es-CO"/>
        </w:rPr>
      </w:pPr>
      <w:r w:rsidRPr="00BD5769">
        <w:rPr>
          <w:rStyle w:val="Refdenotaalpie"/>
          <w:rFonts w:ascii="Arial" w:hAnsi="Arial" w:cs="Arial"/>
          <w:sz w:val="18"/>
          <w:szCs w:val="18"/>
        </w:rPr>
        <w:footnoteRef/>
      </w:r>
      <w:r w:rsidRPr="00BD5769">
        <w:rPr>
          <w:rFonts w:ascii="Arial" w:hAnsi="Arial" w:cs="Arial"/>
          <w:sz w:val="18"/>
          <w:szCs w:val="18"/>
        </w:rPr>
        <w:t xml:space="preserve"> </w:t>
      </w:r>
      <w:r w:rsidR="004A1727" w:rsidRPr="00BD5769">
        <w:rPr>
          <w:rFonts w:ascii="Arial" w:hAnsi="Arial" w:cs="Arial"/>
          <w:sz w:val="18"/>
          <w:szCs w:val="18"/>
        </w:rPr>
        <w:t xml:space="preserve">SL 938 DEL 20 de marzo de 2019 </w:t>
      </w:r>
      <w:r w:rsidRPr="00BD5769">
        <w:rPr>
          <w:rFonts w:ascii="Arial" w:hAnsi="Arial" w:cs="Arial"/>
          <w:sz w:val="18"/>
          <w:szCs w:val="18"/>
          <w:lang w:val="es-CO"/>
        </w:rPr>
        <w:t xml:space="preserve"> </w:t>
      </w:r>
    </w:p>
  </w:footnote>
  <w:footnote w:id="2">
    <w:p w14:paraId="6C6C2351" w14:textId="77777777" w:rsidR="00555FBD" w:rsidRPr="00BD5769" w:rsidRDefault="00555FBD" w:rsidP="00BD5769">
      <w:pPr>
        <w:pStyle w:val="Textonotapie"/>
        <w:rPr>
          <w:rFonts w:ascii="Arial" w:hAnsi="Arial" w:cs="Arial"/>
          <w:sz w:val="18"/>
          <w:szCs w:val="18"/>
          <w:lang w:val="es-CO"/>
        </w:rPr>
      </w:pPr>
      <w:r w:rsidRPr="00BD5769">
        <w:rPr>
          <w:rStyle w:val="Refdenotaalpie"/>
          <w:rFonts w:ascii="Arial" w:hAnsi="Arial" w:cs="Arial"/>
          <w:sz w:val="18"/>
          <w:szCs w:val="18"/>
        </w:rPr>
        <w:footnoteRef/>
      </w:r>
      <w:r w:rsidRPr="00BD5769">
        <w:rPr>
          <w:rFonts w:ascii="Arial" w:hAnsi="Arial" w:cs="Arial"/>
          <w:sz w:val="18"/>
          <w:szCs w:val="18"/>
        </w:rPr>
        <w:t xml:space="preserve"> Decreto 2591 de 1991 </w:t>
      </w:r>
      <w:r w:rsidRPr="00BD5769">
        <w:rPr>
          <w:rFonts w:ascii="Arial" w:hAnsi="Arial" w:cs="Arial"/>
          <w:sz w:val="18"/>
          <w:szCs w:val="18"/>
          <w:lang w:val="es-CO"/>
        </w:rPr>
        <w:t xml:space="preserve">Ley 270 de 1996 </w:t>
      </w:r>
    </w:p>
  </w:footnote>
  <w:footnote w:id="3">
    <w:p w14:paraId="514BD231" w14:textId="4F000A01" w:rsidR="000C421D" w:rsidRPr="00BD5769" w:rsidRDefault="000C421D" w:rsidP="00BD5769">
      <w:pPr>
        <w:pStyle w:val="Textonotapie"/>
        <w:rPr>
          <w:rFonts w:ascii="Arial" w:hAnsi="Arial" w:cs="Arial"/>
          <w:sz w:val="18"/>
          <w:szCs w:val="18"/>
          <w:lang w:val="es-CO"/>
        </w:rPr>
      </w:pPr>
      <w:r w:rsidRPr="00BD5769">
        <w:rPr>
          <w:rStyle w:val="Refdenotaalpie"/>
          <w:rFonts w:ascii="Arial" w:hAnsi="Arial" w:cs="Arial"/>
          <w:sz w:val="18"/>
          <w:szCs w:val="18"/>
        </w:rPr>
        <w:footnoteRef/>
      </w:r>
      <w:r w:rsidRPr="00BD5769">
        <w:rPr>
          <w:rFonts w:ascii="Arial" w:hAnsi="Arial" w:cs="Arial"/>
          <w:sz w:val="18"/>
          <w:szCs w:val="18"/>
        </w:rPr>
        <w:t xml:space="preserve"> SL2358-2017, Radicación N.° 44596 del 25/01/2017. SL. 028 del 24-01- 2018. M.P Fernando Castillo  Cadena. Rda. 59012.</w:t>
      </w:r>
    </w:p>
  </w:footnote>
  <w:footnote w:id="4">
    <w:p w14:paraId="61A4013C" w14:textId="168868C1" w:rsidR="00F53A8A" w:rsidRPr="00BD5769" w:rsidRDefault="00F53A8A" w:rsidP="00BD5769">
      <w:pPr>
        <w:pStyle w:val="Textonotapie"/>
        <w:rPr>
          <w:rFonts w:ascii="Arial" w:hAnsi="Arial" w:cs="Arial"/>
          <w:sz w:val="18"/>
          <w:szCs w:val="18"/>
          <w:lang w:val="es-CO"/>
        </w:rPr>
      </w:pPr>
      <w:r w:rsidRPr="00BD5769">
        <w:rPr>
          <w:rStyle w:val="Refdenotaalpie"/>
          <w:rFonts w:ascii="Arial" w:hAnsi="Arial" w:cs="Arial"/>
          <w:sz w:val="18"/>
          <w:szCs w:val="18"/>
        </w:rPr>
        <w:footnoteRef/>
      </w:r>
      <w:r w:rsidRPr="00BD5769">
        <w:rPr>
          <w:rFonts w:ascii="Arial" w:hAnsi="Arial" w:cs="Arial"/>
          <w:sz w:val="18"/>
          <w:szCs w:val="18"/>
        </w:rPr>
        <w:t xml:space="preserve"> </w:t>
      </w:r>
      <w:r w:rsidR="00E05381" w:rsidRPr="00BD5769">
        <w:rPr>
          <w:rFonts w:ascii="Arial" w:hAnsi="Arial" w:cs="Arial"/>
          <w:i/>
          <w:sz w:val="18"/>
          <w:szCs w:val="18"/>
        </w:rPr>
        <w:t>ibídem</w:t>
      </w:r>
      <w:r w:rsidRPr="00BD5769">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6947" w14:textId="77777777"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Proceso Ordinario Laboral</w:t>
    </w:r>
  </w:p>
  <w:p w14:paraId="03F593F3" w14:textId="07EBEEA8" w:rsidR="001F28B8" w:rsidRPr="00F5729C" w:rsidRDefault="001F28B8" w:rsidP="00F5729C">
    <w:pPr>
      <w:pStyle w:val="Encabezado"/>
      <w:jc w:val="center"/>
      <w:rPr>
        <w:rFonts w:ascii="Arial" w:hAnsi="Arial" w:cs="Arial"/>
        <w:sz w:val="18"/>
        <w:szCs w:val="18"/>
      </w:rPr>
    </w:pPr>
    <w:r w:rsidRPr="00F5729C">
      <w:rPr>
        <w:rFonts w:ascii="Arial" w:hAnsi="Arial" w:cs="Arial"/>
        <w:sz w:val="18"/>
        <w:szCs w:val="18"/>
      </w:rPr>
      <w:t>66001-31-05-00</w:t>
    </w:r>
    <w:r w:rsidR="00952167">
      <w:rPr>
        <w:rFonts w:ascii="Arial" w:hAnsi="Arial" w:cs="Arial"/>
        <w:sz w:val="18"/>
        <w:szCs w:val="18"/>
      </w:rPr>
      <w:t>1</w:t>
    </w:r>
    <w:r>
      <w:rPr>
        <w:rFonts w:ascii="Arial" w:hAnsi="Arial" w:cs="Arial"/>
        <w:sz w:val="18"/>
        <w:szCs w:val="18"/>
      </w:rPr>
      <w:t>-201</w:t>
    </w:r>
    <w:r w:rsidR="00952167">
      <w:rPr>
        <w:rFonts w:ascii="Arial" w:hAnsi="Arial" w:cs="Arial"/>
        <w:sz w:val="18"/>
        <w:szCs w:val="18"/>
      </w:rPr>
      <w:t>7</w:t>
    </w:r>
    <w:r w:rsidRPr="00F5729C">
      <w:rPr>
        <w:rFonts w:ascii="Arial" w:hAnsi="Arial" w:cs="Arial"/>
        <w:sz w:val="18"/>
        <w:szCs w:val="18"/>
      </w:rPr>
      <w:t>-00</w:t>
    </w:r>
    <w:r w:rsidR="00952167">
      <w:rPr>
        <w:rFonts w:ascii="Arial" w:hAnsi="Arial" w:cs="Arial"/>
        <w:sz w:val="18"/>
        <w:szCs w:val="18"/>
      </w:rPr>
      <w:t>155</w:t>
    </w:r>
    <w:r w:rsidRPr="00F5729C">
      <w:rPr>
        <w:rFonts w:ascii="Arial" w:hAnsi="Arial" w:cs="Arial"/>
        <w:sz w:val="18"/>
        <w:szCs w:val="18"/>
      </w:rPr>
      <w:t>-0</w:t>
    </w:r>
    <w:r w:rsidR="00282B99">
      <w:rPr>
        <w:rFonts w:ascii="Arial" w:hAnsi="Arial" w:cs="Arial"/>
        <w:sz w:val="18"/>
        <w:szCs w:val="18"/>
      </w:rPr>
      <w:t>1</w:t>
    </w:r>
  </w:p>
  <w:p w14:paraId="7F398BDE" w14:textId="251F1E51" w:rsidR="001F28B8" w:rsidRPr="00F5729C" w:rsidRDefault="00282B99" w:rsidP="00F5729C">
    <w:pPr>
      <w:pStyle w:val="Encabezado"/>
      <w:jc w:val="center"/>
      <w:rPr>
        <w:rFonts w:ascii="Arial" w:hAnsi="Arial" w:cs="Arial"/>
        <w:sz w:val="18"/>
        <w:szCs w:val="18"/>
      </w:rPr>
    </w:pPr>
    <w:r>
      <w:rPr>
        <w:rFonts w:ascii="Arial" w:hAnsi="Arial" w:cs="Arial"/>
        <w:sz w:val="18"/>
        <w:szCs w:val="18"/>
      </w:rPr>
      <w:t xml:space="preserve"> </w:t>
    </w:r>
    <w:r w:rsidR="00952167">
      <w:rPr>
        <w:rFonts w:ascii="Arial" w:hAnsi="Arial" w:cs="Arial"/>
        <w:sz w:val="18"/>
        <w:szCs w:val="18"/>
      </w:rPr>
      <w:t>José Antonio Montoya Gómez</w:t>
    </w:r>
    <w:r>
      <w:rPr>
        <w:rFonts w:ascii="Arial" w:hAnsi="Arial" w:cs="Arial"/>
        <w:sz w:val="18"/>
        <w:szCs w:val="18"/>
      </w:rPr>
      <w:t xml:space="preserve"> </w:t>
    </w:r>
    <w:r w:rsidR="001F28B8" w:rsidRPr="00F5729C">
      <w:rPr>
        <w:rFonts w:ascii="Arial" w:hAnsi="Arial" w:cs="Arial"/>
        <w:sz w:val="18"/>
        <w:szCs w:val="18"/>
      </w:rPr>
      <w:t>v</w:t>
    </w:r>
    <w:r w:rsidR="001F28B8">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C8D0D71"/>
    <w:multiLevelType w:val="multilevel"/>
    <w:tmpl w:val="BEBA71A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7">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6D412B"/>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
  </w:num>
  <w:num w:numId="3">
    <w:abstractNumId w:val="9"/>
  </w:num>
  <w:num w:numId="4">
    <w:abstractNumId w:val="14"/>
  </w:num>
  <w:num w:numId="5">
    <w:abstractNumId w:val="0"/>
  </w:num>
  <w:num w:numId="6">
    <w:abstractNumId w:val="13"/>
  </w:num>
  <w:num w:numId="7">
    <w:abstractNumId w:val="15"/>
  </w:num>
  <w:num w:numId="8">
    <w:abstractNumId w:val="8"/>
  </w:num>
  <w:num w:numId="9">
    <w:abstractNumId w:val="7"/>
  </w:num>
  <w:num w:numId="10">
    <w:abstractNumId w:val="6"/>
  </w:num>
  <w:num w:numId="11">
    <w:abstractNumId w:val="2"/>
  </w:num>
  <w:num w:numId="12">
    <w:abstractNumId w:val="4"/>
  </w:num>
  <w:num w:numId="13">
    <w:abstractNumId w:val="5"/>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AR"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2EA"/>
    <w:rsid w:val="000023B8"/>
    <w:rsid w:val="000048AC"/>
    <w:rsid w:val="0000579C"/>
    <w:rsid w:val="0000581C"/>
    <w:rsid w:val="00005D7F"/>
    <w:rsid w:val="00007B72"/>
    <w:rsid w:val="00010F66"/>
    <w:rsid w:val="00011774"/>
    <w:rsid w:val="000137BB"/>
    <w:rsid w:val="0001474E"/>
    <w:rsid w:val="000171DC"/>
    <w:rsid w:val="00017A69"/>
    <w:rsid w:val="00020F6B"/>
    <w:rsid w:val="00021BCC"/>
    <w:rsid w:val="00022684"/>
    <w:rsid w:val="000237B7"/>
    <w:rsid w:val="000252B4"/>
    <w:rsid w:val="00025774"/>
    <w:rsid w:val="00026C2A"/>
    <w:rsid w:val="000271F4"/>
    <w:rsid w:val="00027862"/>
    <w:rsid w:val="00032F67"/>
    <w:rsid w:val="00033465"/>
    <w:rsid w:val="00040018"/>
    <w:rsid w:val="000402D6"/>
    <w:rsid w:val="00040E9A"/>
    <w:rsid w:val="000429E7"/>
    <w:rsid w:val="00044D3A"/>
    <w:rsid w:val="000452F4"/>
    <w:rsid w:val="00052904"/>
    <w:rsid w:val="000547C7"/>
    <w:rsid w:val="00057FAE"/>
    <w:rsid w:val="00062442"/>
    <w:rsid w:val="00062F54"/>
    <w:rsid w:val="00064BA7"/>
    <w:rsid w:val="00064DBC"/>
    <w:rsid w:val="00065351"/>
    <w:rsid w:val="00065EDD"/>
    <w:rsid w:val="00070E45"/>
    <w:rsid w:val="00072A6E"/>
    <w:rsid w:val="0007366F"/>
    <w:rsid w:val="00080C0E"/>
    <w:rsid w:val="00081E7D"/>
    <w:rsid w:val="00083043"/>
    <w:rsid w:val="00083178"/>
    <w:rsid w:val="00084002"/>
    <w:rsid w:val="00086468"/>
    <w:rsid w:val="000879CB"/>
    <w:rsid w:val="00094680"/>
    <w:rsid w:val="000A2794"/>
    <w:rsid w:val="000A397D"/>
    <w:rsid w:val="000B4CF2"/>
    <w:rsid w:val="000B5712"/>
    <w:rsid w:val="000C08B1"/>
    <w:rsid w:val="000C08C0"/>
    <w:rsid w:val="000C0A51"/>
    <w:rsid w:val="000C19B4"/>
    <w:rsid w:val="000C421D"/>
    <w:rsid w:val="000C4847"/>
    <w:rsid w:val="000C626B"/>
    <w:rsid w:val="000C6BEB"/>
    <w:rsid w:val="000C79DB"/>
    <w:rsid w:val="000C79E0"/>
    <w:rsid w:val="000C7D58"/>
    <w:rsid w:val="000D010E"/>
    <w:rsid w:val="000D0444"/>
    <w:rsid w:val="000D1130"/>
    <w:rsid w:val="000D6873"/>
    <w:rsid w:val="000D6AE3"/>
    <w:rsid w:val="000E158B"/>
    <w:rsid w:val="000E3183"/>
    <w:rsid w:val="000E37CD"/>
    <w:rsid w:val="000E3C0E"/>
    <w:rsid w:val="000E70EB"/>
    <w:rsid w:val="000E7E87"/>
    <w:rsid w:val="000E7F42"/>
    <w:rsid w:val="000F08C1"/>
    <w:rsid w:val="000F38F8"/>
    <w:rsid w:val="000F5775"/>
    <w:rsid w:val="000F6FF9"/>
    <w:rsid w:val="00100214"/>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097B"/>
    <w:rsid w:val="00142340"/>
    <w:rsid w:val="00143778"/>
    <w:rsid w:val="001444C2"/>
    <w:rsid w:val="00146507"/>
    <w:rsid w:val="00146784"/>
    <w:rsid w:val="00150D59"/>
    <w:rsid w:val="00154747"/>
    <w:rsid w:val="00154754"/>
    <w:rsid w:val="00154EE8"/>
    <w:rsid w:val="00160088"/>
    <w:rsid w:val="00162E8B"/>
    <w:rsid w:val="0016486B"/>
    <w:rsid w:val="00164E8B"/>
    <w:rsid w:val="001667FB"/>
    <w:rsid w:val="00171C56"/>
    <w:rsid w:val="00172834"/>
    <w:rsid w:val="00173A2A"/>
    <w:rsid w:val="0017483E"/>
    <w:rsid w:val="00181F80"/>
    <w:rsid w:val="00183477"/>
    <w:rsid w:val="00183F07"/>
    <w:rsid w:val="001843BE"/>
    <w:rsid w:val="001846F7"/>
    <w:rsid w:val="0018666F"/>
    <w:rsid w:val="00187075"/>
    <w:rsid w:val="001926F2"/>
    <w:rsid w:val="00194121"/>
    <w:rsid w:val="001945F3"/>
    <w:rsid w:val="001971AE"/>
    <w:rsid w:val="00197967"/>
    <w:rsid w:val="001A2492"/>
    <w:rsid w:val="001A2E17"/>
    <w:rsid w:val="001A4058"/>
    <w:rsid w:val="001A4D21"/>
    <w:rsid w:val="001A7D69"/>
    <w:rsid w:val="001B03FA"/>
    <w:rsid w:val="001B0B7B"/>
    <w:rsid w:val="001B0E25"/>
    <w:rsid w:val="001B2445"/>
    <w:rsid w:val="001B4B4B"/>
    <w:rsid w:val="001C17AC"/>
    <w:rsid w:val="001C340D"/>
    <w:rsid w:val="001C46FA"/>
    <w:rsid w:val="001C4D7F"/>
    <w:rsid w:val="001D1DD4"/>
    <w:rsid w:val="001D38D5"/>
    <w:rsid w:val="001D3A2C"/>
    <w:rsid w:val="001E0313"/>
    <w:rsid w:val="001E3462"/>
    <w:rsid w:val="001E4AC7"/>
    <w:rsid w:val="001E64EA"/>
    <w:rsid w:val="001F20CE"/>
    <w:rsid w:val="001F22E5"/>
    <w:rsid w:val="001F28B8"/>
    <w:rsid w:val="001F38E1"/>
    <w:rsid w:val="001F4ABB"/>
    <w:rsid w:val="001F60D8"/>
    <w:rsid w:val="001F795E"/>
    <w:rsid w:val="00205086"/>
    <w:rsid w:val="00205917"/>
    <w:rsid w:val="00217431"/>
    <w:rsid w:val="002233EC"/>
    <w:rsid w:val="00226D5F"/>
    <w:rsid w:val="002275DF"/>
    <w:rsid w:val="0023095E"/>
    <w:rsid w:val="00230A28"/>
    <w:rsid w:val="00230AFD"/>
    <w:rsid w:val="00231C21"/>
    <w:rsid w:val="002320EB"/>
    <w:rsid w:val="00233151"/>
    <w:rsid w:val="002344A4"/>
    <w:rsid w:val="002355AF"/>
    <w:rsid w:val="00235EEB"/>
    <w:rsid w:val="0024213E"/>
    <w:rsid w:val="00242152"/>
    <w:rsid w:val="00243527"/>
    <w:rsid w:val="002440B3"/>
    <w:rsid w:val="00244804"/>
    <w:rsid w:val="00244D79"/>
    <w:rsid w:val="0024524B"/>
    <w:rsid w:val="00247BBE"/>
    <w:rsid w:val="00251CC1"/>
    <w:rsid w:val="0025347E"/>
    <w:rsid w:val="00255BC3"/>
    <w:rsid w:val="002561D7"/>
    <w:rsid w:val="00256486"/>
    <w:rsid w:val="002601A0"/>
    <w:rsid w:val="00261F6D"/>
    <w:rsid w:val="00265520"/>
    <w:rsid w:val="0026682F"/>
    <w:rsid w:val="00267D65"/>
    <w:rsid w:val="00272C8B"/>
    <w:rsid w:val="00273805"/>
    <w:rsid w:val="0027548D"/>
    <w:rsid w:val="002769FA"/>
    <w:rsid w:val="00280037"/>
    <w:rsid w:val="00282763"/>
    <w:rsid w:val="002828C4"/>
    <w:rsid w:val="00282B99"/>
    <w:rsid w:val="002853D8"/>
    <w:rsid w:val="00286873"/>
    <w:rsid w:val="00287181"/>
    <w:rsid w:val="00287CC2"/>
    <w:rsid w:val="00290C0B"/>
    <w:rsid w:val="002916E6"/>
    <w:rsid w:val="00294B9E"/>
    <w:rsid w:val="002A02BA"/>
    <w:rsid w:val="002A1785"/>
    <w:rsid w:val="002A2840"/>
    <w:rsid w:val="002A4B48"/>
    <w:rsid w:val="002A6219"/>
    <w:rsid w:val="002B04F3"/>
    <w:rsid w:val="002B40DF"/>
    <w:rsid w:val="002B556B"/>
    <w:rsid w:val="002B6F2A"/>
    <w:rsid w:val="002B71E6"/>
    <w:rsid w:val="002B7C5C"/>
    <w:rsid w:val="002B7CF9"/>
    <w:rsid w:val="002B7D79"/>
    <w:rsid w:val="002C15F7"/>
    <w:rsid w:val="002C313D"/>
    <w:rsid w:val="002C5345"/>
    <w:rsid w:val="002D0A58"/>
    <w:rsid w:val="002D4FF9"/>
    <w:rsid w:val="002D6807"/>
    <w:rsid w:val="002E09C2"/>
    <w:rsid w:val="002E36F9"/>
    <w:rsid w:val="002E4F47"/>
    <w:rsid w:val="002E6E80"/>
    <w:rsid w:val="002E7342"/>
    <w:rsid w:val="002F07BA"/>
    <w:rsid w:val="002F10B3"/>
    <w:rsid w:val="002F271E"/>
    <w:rsid w:val="002F2A42"/>
    <w:rsid w:val="002F2BDA"/>
    <w:rsid w:val="002F413B"/>
    <w:rsid w:val="002F50F5"/>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3FD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67A91"/>
    <w:rsid w:val="00372347"/>
    <w:rsid w:val="00373712"/>
    <w:rsid w:val="00376926"/>
    <w:rsid w:val="00382914"/>
    <w:rsid w:val="00382C70"/>
    <w:rsid w:val="003841AF"/>
    <w:rsid w:val="00385650"/>
    <w:rsid w:val="00390620"/>
    <w:rsid w:val="003906F7"/>
    <w:rsid w:val="00390B71"/>
    <w:rsid w:val="00392289"/>
    <w:rsid w:val="003922FA"/>
    <w:rsid w:val="00392455"/>
    <w:rsid w:val="003931A6"/>
    <w:rsid w:val="003932F1"/>
    <w:rsid w:val="003939C3"/>
    <w:rsid w:val="003968C4"/>
    <w:rsid w:val="003A0003"/>
    <w:rsid w:val="003A388C"/>
    <w:rsid w:val="003A3C2E"/>
    <w:rsid w:val="003A672E"/>
    <w:rsid w:val="003B48CC"/>
    <w:rsid w:val="003B4DB7"/>
    <w:rsid w:val="003B4EA7"/>
    <w:rsid w:val="003B6DFE"/>
    <w:rsid w:val="003C189E"/>
    <w:rsid w:val="003C219F"/>
    <w:rsid w:val="003C42A6"/>
    <w:rsid w:val="003C4C10"/>
    <w:rsid w:val="003C58AB"/>
    <w:rsid w:val="003C5994"/>
    <w:rsid w:val="003C6E48"/>
    <w:rsid w:val="003D0DFC"/>
    <w:rsid w:val="003D29CD"/>
    <w:rsid w:val="003D2D7B"/>
    <w:rsid w:val="003D3FD3"/>
    <w:rsid w:val="003D6FAA"/>
    <w:rsid w:val="003D7571"/>
    <w:rsid w:val="003E7752"/>
    <w:rsid w:val="003F1AB1"/>
    <w:rsid w:val="003F32A6"/>
    <w:rsid w:val="003F39CE"/>
    <w:rsid w:val="003F671C"/>
    <w:rsid w:val="00404C23"/>
    <w:rsid w:val="00405796"/>
    <w:rsid w:val="004059CE"/>
    <w:rsid w:val="00406A44"/>
    <w:rsid w:val="00412CB5"/>
    <w:rsid w:val="004165E3"/>
    <w:rsid w:val="004167F6"/>
    <w:rsid w:val="00416A8D"/>
    <w:rsid w:val="00417928"/>
    <w:rsid w:val="00427FE1"/>
    <w:rsid w:val="004306CA"/>
    <w:rsid w:val="00430F37"/>
    <w:rsid w:val="00433ACE"/>
    <w:rsid w:val="004348AB"/>
    <w:rsid w:val="004375AE"/>
    <w:rsid w:val="00437D72"/>
    <w:rsid w:val="00441B49"/>
    <w:rsid w:val="004430DF"/>
    <w:rsid w:val="004453BD"/>
    <w:rsid w:val="00450598"/>
    <w:rsid w:val="00450903"/>
    <w:rsid w:val="004519EB"/>
    <w:rsid w:val="0045273B"/>
    <w:rsid w:val="00453DC3"/>
    <w:rsid w:val="00454184"/>
    <w:rsid w:val="004571AC"/>
    <w:rsid w:val="00460B2F"/>
    <w:rsid w:val="00462320"/>
    <w:rsid w:val="004644E9"/>
    <w:rsid w:val="00466D21"/>
    <w:rsid w:val="00470873"/>
    <w:rsid w:val="00474130"/>
    <w:rsid w:val="00475B9D"/>
    <w:rsid w:val="00480C56"/>
    <w:rsid w:val="00484A44"/>
    <w:rsid w:val="00484DDC"/>
    <w:rsid w:val="004864DD"/>
    <w:rsid w:val="00487FEB"/>
    <w:rsid w:val="00490DB0"/>
    <w:rsid w:val="004921EB"/>
    <w:rsid w:val="0049798E"/>
    <w:rsid w:val="004A1727"/>
    <w:rsid w:val="004A2468"/>
    <w:rsid w:val="004A36E0"/>
    <w:rsid w:val="004A549A"/>
    <w:rsid w:val="004A7AB4"/>
    <w:rsid w:val="004B632F"/>
    <w:rsid w:val="004B6775"/>
    <w:rsid w:val="004C088C"/>
    <w:rsid w:val="004C28EB"/>
    <w:rsid w:val="004C5B27"/>
    <w:rsid w:val="004C6F02"/>
    <w:rsid w:val="004C746A"/>
    <w:rsid w:val="004D018B"/>
    <w:rsid w:val="004D01C5"/>
    <w:rsid w:val="004D0233"/>
    <w:rsid w:val="004D300A"/>
    <w:rsid w:val="004D4073"/>
    <w:rsid w:val="004D6DB3"/>
    <w:rsid w:val="004E00DF"/>
    <w:rsid w:val="004E0CD7"/>
    <w:rsid w:val="004E272A"/>
    <w:rsid w:val="004E2F7F"/>
    <w:rsid w:val="004E45DD"/>
    <w:rsid w:val="004E4CC6"/>
    <w:rsid w:val="004F2036"/>
    <w:rsid w:val="004F2040"/>
    <w:rsid w:val="004F2336"/>
    <w:rsid w:val="004F53C8"/>
    <w:rsid w:val="004F5C24"/>
    <w:rsid w:val="004F724D"/>
    <w:rsid w:val="004F7D42"/>
    <w:rsid w:val="00500645"/>
    <w:rsid w:val="00501034"/>
    <w:rsid w:val="00502691"/>
    <w:rsid w:val="0050292F"/>
    <w:rsid w:val="00505AE8"/>
    <w:rsid w:val="00510226"/>
    <w:rsid w:val="0051055C"/>
    <w:rsid w:val="00511487"/>
    <w:rsid w:val="00515BDC"/>
    <w:rsid w:val="00516ACD"/>
    <w:rsid w:val="00516B23"/>
    <w:rsid w:val="00523E0D"/>
    <w:rsid w:val="0052698D"/>
    <w:rsid w:val="00533F10"/>
    <w:rsid w:val="0053562A"/>
    <w:rsid w:val="005409FD"/>
    <w:rsid w:val="00550787"/>
    <w:rsid w:val="005522AF"/>
    <w:rsid w:val="00552CE3"/>
    <w:rsid w:val="005531E7"/>
    <w:rsid w:val="0055465D"/>
    <w:rsid w:val="00555FBD"/>
    <w:rsid w:val="0055740E"/>
    <w:rsid w:val="005606ED"/>
    <w:rsid w:val="00561158"/>
    <w:rsid w:val="0056183E"/>
    <w:rsid w:val="00562A60"/>
    <w:rsid w:val="00563496"/>
    <w:rsid w:val="00563B31"/>
    <w:rsid w:val="005651A6"/>
    <w:rsid w:val="0056547A"/>
    <w:rsid w:val="005655AD"/>
    <w:rsid w:val="00565E83"/>
    <w:rsid w:val="00567B33"/>
    <w:rsid w:val="00567C97"/>
    <w:rsid w:val="005701C4"/>
    <w:rsid w:val="0057161A"/>
    <w:rsid w:val="00571BAF"/>
    <w:rsid w:val="00572BE9"/>
    <w:rsid w:val="00573197"/>
    <w:rsid w:val="00576BD0"/>
    <w:rsid w:val="00580565"/>
    <w:rsid w:val="0058139C"/>
    <w:rsid w:val="0058592D"/>
    <w:rsid w:val="00586CB3"/>
    <w:rsid w:val="005878E1"/>
    <w:rsid w:val="00591F75"/>
    <w:rsid w:val="005928B5"/>
    <w:rsid w:val="00593114"/>
    <w:rsid w:val="00594723"/>
    <w:rsid w:val="00594D40"/>
    <w:rsid w:val="00595001"/>
    <w:rsid w:val="00596038"/>
    <w:rsid w:val="00596524"/>
    <w:rsid w:val="005A026A"/>
    <w:rsid w:val="005A0EC3"/>
    <w:rsid w:val="005A2969"/>
    <w:rsid w:val="005A4B1A"/>
    <w:rsid w:val="005A56AD"/>
    <w:rsid w:val="005A6996"/>
    <w:rsid w:val="005A6DB9"/>
    <w:rsid w:val="005B2C2D"/>
    <w:rsid w:val="005B3241"/>
    <w:rsid w:val="005B34D8"/>
    <w:rsid w:val="005B5E47"/>
    <w:rsid w:val="005B6A93"/>
    <w:rsid w:val="005B7D0B"/>
    <w:rsid w:val="005C0178"/>
    <w:rsid w:val="005C2C85"/>
    <w:rsid w:val="005C32CE"/>
    <w:rsid w:val="005C3850"/>
    <w:rsid w:val="005C3E71"/>
    <w:rsid w:val="005C69A7"/>
    <w:rsid w:val="005C6EA6"/>
    <w:rsid w:val="005D1C5A"/>
    <w:rsid w:val="005D43EF"/>
    <w:rsid w:val="005D4E0F"/>
    <w:rsid w:val="005D5800"/>
    <w:rsid w:val="005D64E2"/>
    <w:rsid w:val="005D7A47"/>
    <w:rsid w:val="005D7D55"/>
    <w:rsid w:val="005E0ED1"/>
    <w:rsid w:val="005E1917"/>
    <w:rsid w:val="005E1981"/>
    <w:rsid w:val="005E3A1B"/>
    <w:rsid w:val="005E425F"/>
    <w:rsid w:val="005E44F6"/>
    <w:rsid w:val="005E49FB"/>
    <w:rsid w:val="005E664B"/>
    <w:rsid w:val="005E7DA5"/>
    <w:rsid w:val="005F1504"/>
    <w:rsid w:val="005F1CA7"/>
    <w:rsid w:val="005F36B2"/>
    <w:rsid w:val="005F3F1E"/>
    <w:rsid w:val="005F5DF3"/>
    <w:rsid w:val="005F5E82"/>
    <w:rsid w:val="0060036B"/>
    <w:rsid w:val="006121A6"/>
    <w:rsid w:val="006135E9"/>
    <w:rsid w:val="006143EE"/>
    <w:rsid w:val="0061484D"/>
    <w:rsid w:val="006149E0"/>
    <w:rsid w:val="00615E23"/>
    <w:rsid w:val="00621859"/>
    <w:rsid w:val="0062213D"/>
    <w:rsid w:val="00622B0F"/>
    <w:rsid w:val="00627612"/>
    <w:rsid w:val="00627AED"/>
    <w:rsid w:val="00627E1B"/>
    <w:rsid w:val="00627FE4"/>
    <w:rsid w:val="00634B91"/>
    <w:rsid w:val="00634BCA"/>
    <w:rsid w:val="00635000"/>
    <w:rsid w:val="00637118"/>
    <w:rsid w:val="006407FE"/>
    <w:rsid w:val="00640EDF"/>
    <w:rsid w:val="0064158C"/>
    <w:rsid w:val="006424B0"/>
    <w:rsid w:val="0064298F"/>
    <w:rsid w:val="00643B66"/>
    <w:rsid w:val="00643D10"/>
    <w:rsid w:val="0064473C"/>
    <w:rsid w:val="00646A5E"/>
    <w:rsid w:val="006474A8"/>
    <w:rsid w:val="00650668"/>
    <w:rsid w:val="00650C2E"/>
    <w:rsid w:val="006516CA"/>
    <w:rsid w:val="006528E0"/>
    <w:rsid w:val="006538A7"/>
    <w:rsid w:val="00656BF6"/>
    <w:rsid w:val="00657468"/>
    <w:rsid w:val="00662013"/>
    <w:rsid w:val="00662287"/>
    <w:rsid w:val="00662BF5"/>
    <w:rsid w:val="006701C5"/>
    <w:rsid w:val="00673A89"/>
    <w:rsid w:val="006746D0"/>
    <w:rsid w:val="00675E25"/>
    <w:rsid w:val="0067695F"/>
    <w:rsid w:val="00681602"/>
    <w:rsid w:val="00682BA8"/>
    <w:rsid w:val="00685A19"/>
    <w:rsid w:val="00685A50"/>
    <w:rsid w:val="00687454"/>
    <w:rsid w:val="00690E1D"/>
    <w:rsid w:val="00691827"/>
    <w:rsid w:val="00691D5C"/>
    <w:rsid w:val="00692B98"/>
    <w:rsid w:val="0069560B"/>
    <w:rsid w:val="006A0282"/>
    <w:rsid w:val="006A0D48"/>
    <w:rsid w:val="006A3D88"/>
    <w:rsid w:val="006A4FD9"/>
    <w:rsid w:val="006A504B"/>
    <w:rsid w:val="006B12B0"/>
    <w:rsid w:val="006B16AF"/>
    <w:rsid w:val="006B3907"/>
    <w:rsid w:val="006C1C3B"/>
    <w:rsid w:val="006C48AA"/>
    <w:rsid w:val="006C4D49"/>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042FA"/>
    <w:rsid w:val="00706399"/>
    <w:rsid w:val="00710456"/>
    <w:rsid w:val="00712CFC"/>
    <w:rsid w:val="0071318C"/>
    <w:rsid w:val="00713558"/>
    <w:rsid w:val="00715E43"/>
    <w:rsid w:val="00716474"/>
    <w:rsid w:val="0071760E"/>
    <w:rsid w:val="007220D1"/>
    <w:rsid w:val="00724874"/>
    <w:rsid w:val="007257B2"/>
    <w:rsid w:val="007258A6"/>
    <w:rsid w:val="00726CC1"/>
    <w:rsid w:val="007308D1"/>
    <w:rsid w:val="00732CCC"/>
    <w:rsid w:val="00734CF2"/>
    <w:rsid w:val="007364DD"/>
    <w:rsid w:val="007373DE"/>
    <w:rsid w:val="007409C2"/>
    <w:rsid w:val="00742DCB"/>
    <w:rsid w:val="00745389"/>
    <w:rsid w:val="00745EC1"/>
    <w:rsid w:val="007465BA"/>
    <w:rsid w:val="00746BF8"/>
    <w:rsid w:val="0074716A"/>
    <w:rsid w:val="0074785C"/>
    <w:rsid w:val="00750744"/>
    <w:rsid w:val="00751FCB"/>
    <w:rsid w:val="00753029"/>
    <w:rsid w:val="00754086"/>
    <w:rsid w:val="007544A1"/>
    <w:rsid w:val="00760223"/>
    <w:rsid w:val="00760313"/>
    <w:rsid w:val="007632AA"/>
    <w:rsid w:val="00764C9B"/>
    <w:rsid w:val="00765D6C"/>
    <w:rsid w:val="00767DE3"/>
    <w:rsid w:val="007701DD"/>
    <w:rsid w:val="00770372"/>
    <w:rsid w:val="0077470A"/>
    <w:rsid w:val="00774EF6"/>
    <w:rsid w:val="00776EC7"/>
    <w:rsid w:val="00777072"/>
    <w:rsid w:val="00777D9C"/>
    <w:rsid w:val="00782149"/>
    <w:rsid w:val="007825B7"/>
    <w:rsid w:val="00784E91"/>
    <w:rsid w:val="00785080"/>
    <w:rsid w:val="0078683A"/>
    <w:rsid w:val="00791760"/>
    <w:rsid w:val="00795237"/>
    <w:rsid w:val="00795792"/>
    <w:rsid w:val="007A157F"/>
    <w:rsid w:val="007A2627"/>
    <w:rsid w:val="007A2D40"/>
    <w:rsid w:val="007A3E24"/>
    <w:rsid w:val="007A73A3"/>
    <w:rsid w:val="007B1977"/>
    <w:rsid w:val="007B19A7"/>
    <w:rsid w:val="007B427F"/>
    <w:rsid w:val="007B5499"/>
    <w:rsid w:val="007B6F39"/>
    <w:rsid w:val="007C00E9"/>
    <w:rsid w:val="007C1262"/>
    <w:rsid w:val="007C29CC"/>
    <w:rsid w:val="007C5A02"/>
    <w:rsid w:val="007C6410"/>
    <w:rsid w:val="007C647B"/>
    <w:rsid w:val="007C6979"/>
    <w:rsid w:val="007D0C8E"/>
    <w:rsid w:val="007D1379"/>
    <w:rsid w:val="007D40B8"/>
    <w:rsid w:val="007D59DB"/>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3C3D"/>
    <w:rsid w:val="00815E4A"/>
    <w:rsid w:val="00817D02"/>
    <w:rsid w:val="008209C2"/>
    <w:rsid w:val="00820A64"/>
    <w:rsid w:val="00821F76"/>
    <w:rsid w:val="00822C9E"/>
    <w:rsid w:val="0082591D"/>
    <w:rsid w:val="008261E9"/>
    <w:rsid w:val="008275D7"/>
    <w:rsid w:val="00827731"/>
    <w:rsid w:val="0083061B"/>
    <w:rsid w:val="00831503"/>
    <w:rsid w:val="0083155E"/>
    <w:rsid w:val="00831C73"/>
    <w:rsid w:val="00832DBC"/>
    <w:rsid w:val="00833057"/>
    <w:rsid w:val="00834221"/>
    <w:rsid w:val="008371D0"/>
    <w:rsid w:val="00840045"/>
    <w:rsid w:val="00840563"/>
    <w:rsid w:val="00840EAA"/>
    <w:rsid w:val="0084317C"/>
    <w:rsid w:val="008460CC"/>
    <w:rsid w:val="008472E5"/>
    <w:rsid w:val="00851193"/>
    <w:rsid w:val="0085196C"/>
    <w:rsid w:val="00852460"/>
    <w:rsid w:val="0085354E"/>
    <w:rsid w:val="00854AB5"/>
    <w:rsid w:val="00855932"/>
    <w:rsid w:val="00855E5A"/>
    <w:rsid w:val="00856D20"/>
    <w:rsid w:val="00862453"/>
    <w:rsid w:val="00862EBC"/>
    <w:rsid w:val="00864228"/>
    <w:rsid w:val="0086783D"/>
    <w:rsid w:val="00867B2A"/>
    <w:rsid w:val="0087188C"/>
    <w:rsid w:val="00874552"/>
    <w:rsid w:val="008751D8"/>
    <w:rsid w:val="008763A6"/>
    <w:rsid w:val="00876B39"/>
    <w:rsid w:val="008778BA"/>
    <w:rsid w:val="00881830"/>
    <w:rsid w:val="00881F09"/>
    <w:rsid w:val="00883DF2"/>
    <w:rsid w:val="008842A5"/>
    <w:rsid w:val="00891545"/>
    <w:rsid w:val="008924B4"/>
    <w:rsid w:val="008942AA"/>
    <w:rsid w:val="00895036"/>
    <w:rsid w:val="008A04F6"/>
    <w:rsid w:val="008A1A1E"/>
    <w:rsid w:val="008A316B"/>
    <w:rsid w:val="008A66E1"/>
    <w:rsid w:val="008B2194"/>
    <w:rsid w:val="008B2EA6"/>
    <w:rsid w:val="008B3D4C"/>
    <w:rsid w:val="008B48B8"/>
    <w:rsid w:val="008B577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4A54"/>
    <w:rsid w:val="00905CC2"/>
    <w:rsid w:val="009071F5"/>
    <w:rsid w:val="00907A5F"/>
    <w:rsid w:val="00911B29"/>
    <w:rsid w:val="00911ED2"/>
    <w:rsid w:val="009131FD"/>
    <w:rsid w:val="009133B8"/>
    <w:rsid w:val="009137A5"/>
    <w:rsid w:val="00915EE3"/>
    <w:rsid w:val="0091611D"/>
    <w:rsid w:val="00917EFA"/>
    <w:rsid w:val="0092222C"/>
    <w:rsid w:val="00923234"/>
    <w:rsid w:val="00925D95"/>
    <w:rsid w:val="009273A7"/>
    <w:rsid w:val="00930D86"/>
    <w:rsid w:val="00931748"/>
    <w:rsid w:val="00931990"/>
    <w:rsid w:val="0093299E"/>
    <w:rsid w:val="00934023"/>
    <w:rsid w:val="00936A79"/>
    <w:rsid w:val="00937348"/>
    <w:rsid w:val="009378A8"/>
    <w:rsid w:val="00942C73"/>
    <w:rsid w:val="00943F86"/>
    <w:rsid w:val="00944622"/>
    <w:rsid w:val="00944AE5"/>
    <w:rsid w:val="00946D90"/>
    <w:rsid w:val="0094796A"/>
    <w:rsid w:val="00947BE1"/>
    <w:rsid w:val="00947CCF"/>
    <w:rsid w:val="00951BAF"/>
    <w:rsid w:val="00952167"/>
    <w:rsid w:val="00956609"/>
    <w:rsid w:val="0096112F"/>
    <w:rsid w:val="009615A9"/>
    <w:rsid w:val="00962259"/>
    <w:rsid w:val="009660D4"/>
    <w:rsid w:val="00966F23"/>
    <w:rsid w:val="00970379"/>
    <w:rsid w:val="00970493"/>
    <w:rsid w:val="0097065E"/>
    <w:rsid w:val="00972117"/>
    <w:rsid w:val="0097259D"/>
    <w:rsid w:val="00972913"/>
    <w:rsid w:val="0097306F"/>
    <w:rsid w:val="009740CF"/>
    <w:rsid w:val="0097507A"/>
    <w:rsid w:val="00975DEE"/>
    <w:rsid w:val="0097617E"/>
    <w:rsid w:val="00976B72"/>
    <w:rsid w:val="00977C95"/>
    <w:rsid w:val="00981009"/>
    <w:rsid w:val="00981764"/>
    <w:rsid w:val="00981B6D"/>
    <w:rsid w:val="00981DA7"/>
    <w:rsid w:val="00982149"/>
    <w:rsid w:val="009827E2"/>
    <w:rsid w:val="0098429B"/>
    <w:rsid w:val="00984701"/>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A6CA4"/>
    <w:rsid w:val="009B0270"/>
    <w:rsid w:val="009B146C"/>
    <w:rsid w:val="009B4226"/>
    <w:rsid w:val="009B4651"/>
    <w:rsid w:val="009B4DBC"/>
    <w:rsid w:val="009B6A31"/>
    <w:rsid w:val="009B6E23"/>
    <w:rsid w:val="009B74A6"/>
    <w:rsid w:val="009C0388"/>
    <w:rsid w:val="009C3900"/>
    <w:rsid w:val="009C4ED6"/>
    <w:rsid w:val="009C4F08"/>
    <w:rsid w:val="009C53EB"/>
    <w:rsid w:val="009C77EB"/>
    <w:rsid w:val="009D1438"/>
    <w:rsid w:val="009D22A9"/>
    <w:rsid w:val="009D2915"/>
    <w:rsid w:val="009D2E66"/>
    <w:rsid w:val="009D39F2"/>
    <w:rsid w:val="009D3DFC"/>
    <w:rsid w:val="009D3E37"/>
    <w:rsid w:val="009D5003"/>
    <w:rsid w:val="009D6F42"/>
    <w:rsid w:val="009D7443"/>
    <w:rsid w:val="009D77C9"/>
    <w:rsid w:val="009E1CC0"/>
    <w:rsid w:val="009E4948"/>
    <w:rsid w:val="009E5A8E"/>
    <w:rsid w:val="009F0B85"/>
    <w:rsid w:val="009F0E24"/>
    <w:rsid w:val="009F0E5E"/>
    <w:rsid w:val="009F1835"/>
    <w:rsid w:val="009F2EDB"/>
    <w:rsid w:val="009F4C5F"/>
    <w:rsid w:val="00A01A6F"/>
    <w:rsid w:val="00A02096"/>
    <w:rsid w:val="00A03D62"/>
    <w:rsid w:val="00A113F8"/>
    <w:rsid w:val="00A11ACB"/>
    <w:rsid w:val="00A12AD4"/>
    <w:rsid w:val="00A17007"/>
    <w:rsid w:val="00A227F4"/>
    <w:rsid w:val="00A23BFC"/>
    <w:rsid w:val="00A23CFA"/>
    <w:rsid w:val="00A26C03"/>
    <w:rsid w:val="00A27137"/>
    <w:rsid w:val="00A30D33"/>
    <w:rsid w:val="00A30E63"/>
    <w:rsid w:val="00A31531"/>
    <w:rsid w:val="00A32249"/>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3DCA"/>
    <w:rsid w:val="00A94CBB"/>
    <w:rsid w:val="00A957FB"/>
    <w:rsid w:val="00A959CB"/>
    <w:rsid w:val="00A95C6B"/>
    <w:rsid w:val="00AA1F93"/>
    <w:rsid w:val="00AA2F30"/>
    <w:rsid w:val="00AA37DA"/>
    <w:rsid w:val="00AA4554"/>
    <w:rsid w:val="00AA6DFC"/>
    <w:rsid w:val="00AB2427"/>
    <w:rsid w:val="00AB326E"/>
    <w:rsid w:val="00AB5E7A"/>
    <w:rsid w:val="00AC38DB"/>
    <w:rsid w:val="00AC486E"/>
    <w:rsid w:val="00AC5DDE"/>
    <w:rsid w:val="00AC6055"/>
    <w:rsid w:val="00AC77F4"/>
    <w:rsid w:val="00AD2596"/>
    <w:rsid w:val="00AD657C"/>
    <w:rsid w:val="00AD7EF8"/>
    <w:rsid w:val="00AE094B"/>
    <w:rsid w:val="00AE118E"/>
    <w:rsid w:val="00AE1282"/>
    <w:rsid w:val="00AE3317"/>
    <w:rsid w:val="00AE62E4"/>
    <w:rsid w:val="00AF0027"/>
    <w:rsid w:val="00AF0935"/>
    <w:rsid w:val="00AF0990"/>
    <w:rsid w:val="00AF46F1"/>
    <w:rsid w:val="00AF53F9"/>
    <w:rsid w:val="00AF5C75"/>
    <w:rsid w:val="00AF6E3F"/>
    <w:rsid w:val="00B007C5"/>
    <w:rsid w:val="00B02BD6"/>
    <w:rsid w:val="00B02F1F"/>
    <w:rsid w:val="00B0330C"/>
    <w:rsid w:val="00B04151"/>
    <w:rsid w:val="00B0466B"/>
    <w:rsid w:val="00B04949"/>
    <w:rsid w:val="00B04D64"/>
    <w:rsid w:val="00B10FF3"/>
    <w:rsid w:val="00B13341"/>
    <w:rsid w:val="00B14AE8"/>
    <w:rsid w:val="00B15681"/>
    <w:rsid w:val="00B17528"/>
    <w:rsid w:val="00B20277"/>
    <w:rsid w:val="00B21160"/>
    <w:rsid w:val="00B2133E"/>
    <w:rsid w:val="00B220D2"/>
    <w:rsid w:val="00B22E56"/>
    <w:rsid w:val="00B30C67"/>
    <w:rsid w:val="00B35761"/>
    <w:rsid w:val="00B35E2A"/>
    <w:rsid w:val="00B364A1"/>
    <w:rsid w:val="00B36B90"/>
    <w:rsid w:val="00B37452"/>
    <w:rsid w:val="00B37F7B"/>
    <w:rsid w:val="00B4194C"/>
    <w:rsid w:val="00B42D66"/>
    <w:rsid w:val="00B50CEB"/>
    <w:rsid w:val="00B51CA2"/>
    <w:rsid w:val="00B54250"/>
    <w:rsid w:val="00B5427D"/>
    <w:rsid w:val="00B54ADC"/>
    <w:rsid w:val="00B5613D"/>
    <w:rsid w:val="00B56E76"/>
    <w:rsid w:val="00B616F4"/>
    <w:rsid w:val="00B61A97"/>
    <w:rsid w:val="00B61CD1"/>
    <w:rsid w:val="00B63804"/>
    <w:rsid w:val="00B65F9A"/>
    <w:rsid w:val="00B67118"/>
    <w:rsid w:val="00B71C3E"/>
    <w:rsid w:val="00B804F1"/>
    <w:rsid w:val="00B86AC5"/>
    <w:rsid w:val="00B92076"/>
    <w:rsid w:val="00B92DF7"/>
    <w:rsid w:val="00B93719"/>
    <w:rsid w:val="00B948DB"/>
    <w:rsid w:val="00B9600C"/>
    <w:rsid w:val="00B960D7"/>
    <w:rsid w:val="00B97110"/>
    <w:rsid w:val="00B97639"/>
    <w:rsid w:val="00B9793C"/>
    <w:rsid w:val="00BA0C20"/>
    <w:rsid w:val="00BA2727"/>
    <w:rsid w:val="00BA3C3C"/>
    <w:rsid w:val="00BB0123"/>
    <w:rsid w:val="00BB101A"/>
    <w:rsid w:val="00BB1F45"/>
    <w:rsid w:val="00BB2C59"/>
    <w:rsid w:val="00BB675C"/>
    <w:rsid w:val="00BB74C3"/>
    <w:rsid w:val="00BC11D0"/>
    <w:rsid w:val="00BC30C0"/>
    <w:rsid w:val="00BC31C8"/>
    <w:rsid w:val="00BC3F99"/>
    <w:rsid w:val="00BC453C"/>
    <w:rsid w:val="00BC48A2"/>
    <w:rsid w:val="00BC70D9"/>
    <w:rsid w:val="00BD1C90"/>
    <w:rsid w:val="00BD2DC8"/>
    <w:rsid w:val="00BD3320"/>
    <w:rsid w:val="00BD3D1D"/>
    <w:rsid w:val="00BD5769"/>
    <w:rsid w:val="00BD6776"/>
    <w:rsid w:val="00BE0373"/>
    <w:rsid w:val="00BE0A68"/>
    <w:rsid w:val="00BE25C9"/>
    <w:rsid w:val="00BE40B2"/>
    <w:rsid w:val="00BE4770"/>
    <w:rsid w:val="00BF0238"/>
    <w:rsid w:val="00BF0CD8"/>
    <w:rsid w:val="00BF2489"/>
    <w:rsid w:val="00BF2E8F"/>
    <w:rsid w:val="00BF31CB"/>
    <w:rsid w:val="00BF43AA"/>
    <w:rsid w:val="00C01BF3"/>
    <w:rsid w:val="00C01DA7"/>
    <w:rsid w:val="00C02176"/>
    <w:rsid w:val="00C023C9"/>
    <w:rsid w:val="00C03079"/>
    <w:rsid w:val="00C03A0B"/>
    <w:rsid w:val="00C05AFF"/>
    <w:rsid w:val="00C066DD"/>
    <w:rsid w:val="00C06BB3"/>
    <w:rsid w:val="00C07401"/>
    <w:rsid w:val="00C07669"/>
    <w:rsid w:val="00C100C8"/>
    <w:rsid w:val="00C1062A"/>
    <w:rsid w:val="00C128F7"/>
    <w:rsid w:val="00C1591F"/>
    <w:rsid w:val="00C16B83"/>
    <w:rsid w:val="00C2073C"/>
    <w:rsid w:val="00C22810"/>
    <w:rsid w:val="00C22EE6"/>
    <w:rsid w:val="00C23391"/>
    <w:rsid w:val="00C27CC4"/>
    <w:rsid w:val="00C33CE3"/>
    <w:rsid w:val="00C4044E"/>
    <w:rsid w:val="00C42852"/>
    <w:rsid w:val="00C433FF"/>
    <w:rsid w:val="00C43BEE"/>
    <w:rsid w:val="00C45EC5"/>
    <w:rsid w:val="00C47DB3"/>
    <w:rsid w:val="00C51CFD"/>
    <w:rsid w:val="00C551BB"/>
    <w:rsid w:val="00C55D5E"/>
    <w:rsid w:val="00C56E1F"/>
    <w:rsid w:val="00C56E3E"/>
    <w:rsid w:val="00C57BD9"/>
    <w:rsid w:val="00C60785"/>
    <w:rsid w:val="00C634AF"/>
    <w:rsid w:val="00C65FCA"/>
    <w:rsid w:val="00C71D5E"/>
    <w:rsid w:val="00C73F27"/>
    <w:rsid w:val="00C743CA"/>
    <w:rsid w:val="00C75ECF"/>
    <w:rsid w:val="00C80996"/>
    <w:rsid w:val="00C81FE6"/>
    <w:rsid w:val="00C8210F"/>
    <w:rsid w:val="00C83734"/>
    <w:rsid w:val="00C83E27"/>
    <w:rsid w:val="00C845EE"/>
    <w:rsid w:val="00C8466C"/>
    <w:rsid w:val="00C8489A"/>
    <w:rsid w:val="00C84DAD"/>
    <w:rsid w:val="00C85AF8"/>
    <w:rsid w:val="00C91182"/>
    <w:rsid w:val="00C93A31"/>
    <w:rsid w:val="00C93C83"/>
    <w:rsid w:val="00C96930"/>
    <w:rsid w:val="00CA0C66"/>
    <w:rsid w:val="00CA1AFC"/>
    <w:rsid w:val="00CA42D3"/>
    <w:rsid w:val="00CA4670"/>
    <w:rsid w:val="00CA5AFD"/>
    <w:rsid w:val="00CA7465"/>
    <w:rsid w:val="00CB17D9"/>
    <w:rsid w:val="00CB24D6"/>
    <w:rsid w:val="00CB2EF7"/>
    <w:rsid w:val="00CB4FA2"/>
    <w:rsid w:val="00CB550B"/>
    <w:rsid w:val="00CB6CAE"/>
    <w:rsid w:val="00CC01FF"/>
    <w:rsid w:val="00CC0590"/>
    <w:rsid w:val="00CC0B8D"/>
    <w:rsid w:val="00CC3BC0"/>
    <w:rsid w:val="00CC473D"/>
    <w:rsid w:val="00CC4EF1"/>
    <w:rsid w:val="00CC63AE"/>
    <w:rsid w:val="00CC7863"/>
    <w:rsid w:val="00CC7F38"/>
    <w:rsid w:val="00CD0F44"/>
    <w:rsid w:val="00CD280B"/>
    <w:rsid w:val="00CD43DB"/>
    <w:rsid w:val="00CD67C7"/>
    <w:rsid w:val="00CD79DF"/>
    <w:rsid w:val="00CE272D"/>
    <w:rsid w:val="00CE3079"/>
    <w:rsid w:val="00CE3D55"/>
    <w:rsid w:val="00CE5583"/>
    <w:rsid w:val="00CE714F"/>
    <w:rsid w:val="00CE7377"/>
    <w:rsid w:val="00CF074A"/>
    <w:rsid w:val="00CF43C7"/>
    <w:rsid w:val="00CF576A"/>
    <w:rsid w:val="00CF62DC"/>
    <w:rsid w:val="00D04404"/>
    <w:rsid w:val="00D05129"/>
    <w:rsid w:val="00D07B8D"/>
    <w:rsid w:val="00D07E82"/>
    <w:rsid w:val="00D13723"/>
    <w:rsid w:val="00D23881"/>
    <w:rsid w:val="00D24656"/>
    <w:rsid w:val="00D260C3"/>
    <w:rsid w:val="00D31654"/>
    <w:rsid w:val="00D320B2"/>
    <w:rsid w:val="00D33344"/>
    <w:rsid w:val="00D333D1"/>
    <w:rsid w:val="00D37327"/>
    <w:rsid w:val="00D4129D"/>
    <w:rsid w:val="00D441FF"/>
    <w:rsid w:val="00D471CA"/>
    <w:rsid w:val="00D47375"/>
    <w:rsid w:val="00D50A1D"/>
    <w:rsid w:val="00D51CB6"/>
    <w:rsid w:val="00D5330A"/>
    <w:rsid w:val="00D53615"/>
    <w:rsid w:val="00D578CB"/>
    <w:rsid w:val="00D62197"/>
    <w:rsid w:val="00D62A00"/>
    <w:rsid w:val="00D645EC"/>
    <w:rsid w:val="00D65F8C"/>
    <w:rsid w:val="00D665D6"/>
    <w:rsid w:val="00D736BD"/>
    <w:rsid w:val="00D745A8"/>
    <w:rsid w:val="00D747E2"/>
    <w:rsid w:val="00D81A72"/>
    <w:rsid w:val="00D81FB9"/>
    <w:rsid w:val="00D82F10"/>
    <w:rsid w:val="00D83397"/>
    <w:rsid w:val="00D90D6F"/>
    <w:rsid w:val="00D91996"/>
    <w:rsid w:val="00D93CFB"/>
    <w:rsid w:val="00D959B2"/>
    <w:rsid w:val="00D96DB6"/>
    <w:rsid w:val="00D97B6F"/>
    <w:rsid w:val="00DA0D3F"/>
    <w:rsid w:val="00DA3E57"/>
    <w:rsid w:val="00DA3F38"/>
    <w:rsid w:val="00DA407E"/>
    <w:rsid w:val="00DA4623"/>
    <w:rsid w:val="00DA4B0A"/>
    <w:rsid w:val="00DA5292"/>
    <w:rsid w:val="00DA5F7D"/>
    <w:rsid w:val="00DA68E3"/>
    <w:rsid w:val="00DA6EFF"/>
    <w:rsid w:val="00DB1C70"/>
    <w:rsid w:val="00DB4E0E"/>
    <w:rsid w:val="00DB6BF8"/>
    <w:rsid w:val="00DC02D8"/>
    <w:rsid w:val="00DC27B1"/>
    <w:rsid w:val="00DC2CD2"/>
    <w:rsid w:val="00DC3A03"/>
    <w:rsid w:val="00DC3D92"/>
    <w:rsid w:val="00DC63BE"/>
    <w:rsid w:val="00DD1512"/>
    <w:rsid w:val="00DD514E"/>
    <w:rsid w:val="00DD64B2"/>
    <w:rsid w:val="00DD6BF4"/>
    <w:rsid w:val="00DE37DF"/>
    <w:rsid w:val="00DE638B"/>
    <w:rsid w:val="00DE6393"/>
    <w:rsid w:val="00DE6CD7"/>
    <w:rsid w:val="00DF1BCD"/>
    <w:rsid w:val="00DF2ABC"/>
    <w:rsid w:val="00DF30A5"/>
    <w:rsid w:val="00DF44F1"/>
    <w:rsid w:val="00DF45DA"/>
    <w:rsid w:val="00DF4A39"/>
    <w:rsid w:val="00E001ED"/>
    <w:rsid w:val="00E024E6"/>
    <w:rsid w:val="00E02CD5"/>
    <w:rsid w:val="00E02DFD"/>
    <w:rsid w:val="00E04B5A"/>
    <w:rsid w:val="00E05381"/>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540F6"/>
    <w:rsid w:val="00E624EB"/>
    <w:rsid w:val="00E6263D"/>
    <w:rsid w:val="00E665CA"/>
    <w:rsid w:val="00E70A48"/>
    <w:rsid w:val="00E72202"/>
    <w:rsid w:val="00E73818"/>
    <w:rsid w:val="00E75847"/>
    <w:rsid w:val="00E77022"/>
    <w:rsid w:val="00E80A7D"/>
    <w:rsid w:val="00E820BA"/>
    <w:rsid w:val="00E838B7"/>
    <w:rsid w:val="00E83E84"/>
    <w:rsid w:val="00E92122"/>
    <w:rsid w:val="00EA0A58"/>
    <w:rsid w:val="00EA15A6"/>
    <w:rsid w:val="00EA263F"/>
    <w:rsid w:val="00EA3CA8"/>
    <w:rsid w:val="00EA44D0"/>
    <w:rsid w:val="00EA4765"/>
    <w:rsid w:val="00EA7E61"/>
    <w:rsid w:val="00EB28C3"/>
    <w:rsid w:val="00EB5003"/>
    <w:rsid w:val="00EC05B2"/>
    <w:rsid w:val="00EC1A09"/>
    <w:rsid w:val="00EC3979"/>
    <w:rsid w:val="00EC3C6F"/>
    <w:rsid w:val="00EC4F99"/>
    <w:rsid w:val="00EC6AB5"/>
    <w:rsid w:val="00ED1BDA"/>
    <w:rsid w:val="00ED29F1"/>
    <w:rsid w:val="00ED2CDF"/>
    <w:rsid w:val="00ED32D4"/>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05ED1"/>
    <w:rsid w:val="00F11410"/>
    <w:rsid w:val="00F14373"/>
    <w:rsid w:val="00F216EE"/>
    <w:rsid w:val="00F21D3D"/>
    <w:rsid w:val="00F24233"/>
    <w:rsid w:val="00F359E9"/>
    <w:rsid w:val="00F421C1"/>
    <w:rsid w:val="00F4367C"/>
    <w:rsid w:val="00F43AA4"/>
    <w:rsid w:val="00F450BE"/>
    <w:rsid w:val="00F451DE"/>
    <w:rsid w:val="00F500A7"/>
    <w:rsid w:val="00F50AA0"/>
    <w:rsid w:val="00F53A8A"/>
    <w:rsid w:val="00F5456E"/>
    <w:rsid w:val="00F56600"/>
    <w:rsid w:val="00F5729C"/>
    <w:rsid w:val="00F57ABD"/>
    <w:rsid w:val="00F57CD9"/>
    <w:rsid w:val="00F57FE6"/>
    <w:rsid w:val="00F65645"/>
    <w:rsid w:val="00F65EFF"/>
    <w:rsid w:val="00F678C1"/>
    <w:rsid w:val="00F7229A"/>
    <w:rsid w:val="00F770B1"/>
    <w:rsid w:val="00F841A8"/>
    <w:rsid w:val="00F85AE5"/>
    <w:rsid w:val="00F9178B"/>
    <w:rsid w:val="00F919EA"/>
    <w:rsid w:val="00F922DD"/>
    <w:rsid w:val="00F9550A"/>
    <w:rsid w:val="00F96994"/>
    <w:rsid w:val="00FA006E"/>
    <w:rsid w:val="00FA0167"/>
    <w:rsid w:val="00FA6675"/>
    <w:rsid w:val="00FB3D33"/>
    <w:rsid w:val="00FB415B"/>
    <w:rsid w:val="00FB512C"/>
    <w:rsid w:val="00FB7BA5"/>
    <w:rsid w:val="00FC1499"/>
    <w:rsid w:val="00FC43B7"/>
    <w:rsid w:val="00FC5D35"/>
    <w:rsid w:val="00FD0A75"/>
    <w:rsid w:val="00FD2305"/>
    <w:rsid w:val="00FD32B4"/>
    <w:rsid w:val="00FD6247"/>
    <w:rsid w:val="00FD6AE2"/>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AA696"/>
  <w15:docId w15:val="{59E555B6-CA44-4DC0-A720-36FAFD62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643B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643B6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555FBD"/>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 w:type="character" w:customStyle="1" w:styleId="Ttulo4Car">
    <w:name w:val="Título 4 Car"/>
    <w:basedOn w:val="Fuentedeprrafopredeter"/>
    <w:link w:val="Ttulo4"/>
    <w:rsid w:val="00555FBD"/>
    <w:rPr>
      <w:rFonts w:ascii="Times New Roman" w:eastAsia="Times New Roman" w:hAnsi="Times New Roman" w:cs="Times New Roman"/>
      <w:b/>
      <w:sz w:val="24"/>
      <w:szCs w:val="20"/>
      <w:lang w:val="es-ES" w:eastAsia="es-ES"/>
    </w:rPr>
  </w:style>
  <w:style w:type="character" w:customStyle="1" w:styleId="Ttulo1Car">
    <w:name w:val="Título 1 Car"/>
    <w:basedOn w:val="Fuentedeprrafopredeter"/>
    <w:link w:val="Ttulo1"/>
    <w:uiPriority w:val="9"/>
    <w:rsid w:val="00643B66"/>
    <w:rPr>
      <w:rFonts w:asciiTheme="majorHAnsi" w:eastAsiaTheme="majorEastAsia" w:hAnsiTheme="majorHAnsi" w:cstheme="majorBidi"/>
      <w:color w:val="2E74B5" w:themeColor="accent1" w:themeShade="BF"/>
      <w:sz w:val="32"/>
      <w:szCs w:val="32"/>
      <w:lang w:val="es-ES_tradnl" w:eastAsia="es-ES"/>
    </w:rPr>
  </w:style>
  <w:style w:type="character" w:customStyle="1" w:styleId="Ttulo3Car">
    <w:name w:val="Título 3 Car"/>
    <w:basedOn w:val="Fuentedeprrafopredeter"/>
    <w:link w:val="Ttulo3"/>
    <w:uiPriority w:val="9"/>
    <w:semiHidden/>
    <w:rsid w:val="00643B66"/>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3050-3867-4518-A98F-F029DE0B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4885</Words>
  <Characters>26871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2019-09-04T14:09:00Z</cp:lastPrinted>
  <dcterms:created xsi:type="dcterms:W3CDTF">2019-07-26T16:00:00Z</dcterms:created>
  <dcterms:modified xsi:type="dcterms:W3CDTF">2019-11-13T13:53:00Z</dcterms:modified>
</cp:coreProperties>
</file>