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24" w:rsidRPr="00787324" w:rsidRDefault="00787324" w:rsidP="007873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8732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87324" w:rsidRPr="00787324" w:rsidRDefault="00787324" w:rsidP="00787324">
      <w:pPr>
        <w:jc w:val="both"/>
        <w:rPr>
          <w:rFonts w:ascii="Arial" w:hAnsi="Arial" w:cs="Arial"/>
          <w:sz w:val="20"/>
          <w:lang w:val="es-419"/>
        </w:rPr>
      </w:pPr>
    </w:p>
    <w:p w:rsidR="00787324" w:rsidRPr="00787324" w:rsidRDefault="00787324" w:rsidP="00787324">
      <w:pPr>
        <w:jc w:val="both"/>
        <w:rPr>
          <w:rFonts w:ascii="Arial" w:hAnsi="Arial" w:cs="Arial"/>
          <w:sz w:val="20"/>
          <w:lang w:val="es-419"/>
        </w:rPr>
      </w:pPr>
      <w:r w:rsidRPr="00787324">
        <w:rPr>
          <w:rFonts w:ascii="Arial" w:hAnsi="Arial" w:cs="Arial"/>
          <w:sz w:val="20"/>
          <w:lang w:val="es-419"/>
        </w:rPr>
        <w:t>Asunto.</w:t>
      </w:r>
      <w:r w:rsidRPr="00787324">
        <w:rPr>
          <w:rFonts w:ascii="Arial" w:hAnsi="Arial" w:cs="Arial"/>
          <w:sz w:val="20"/>
          <w:lang w:val="es-419"/>
        </w:rPr>
        <w:tab/>
      </w:r>
      <w:r w:rsidRPr="00787324">
        <w:rPr>
          <w:rFonts w:ascii="Arial" w:hAnsi="Arial" w:cs="Arial"/>
          <w:sz w:val="20"/>
          <w:lang w:val="es-419"/>
        </w:rPr>
        <w:tab/>
      </w:r>
      <w:r w:rsidRPr="00787324">
        <w:rPr>
          <w:rFonts w:ascii="Arial" w:hAnsi="Arial" w:cs="Arial"/>
          <w:sz w:val="20"/>
          <w:lang w:val="es-419"/>
        </w:rPr>
        <w:tab/>
        <w:t>Apelación Sentencia y Consulta</w:t>
      </w:r>
    </w:p>
    <w:p w:rsidR="00787324" w:rsidRPr="00787324" w:rsidRDefault="00787324" w:rsidP="00787324">
      <w:pPr>
        <w:jc w:val="both"/>
        <w:rPr>
          <w:rFonts w:ascii="Arial" w:hAnsi="Arial" w:cs="Arial"/>
          <w:sz w:val="20"/>
          <w:lang w:val="es-419"/>
        </w:rPr>
      </w:pPr>
      <w:r w:rsidRPr="00787324">
        <w:rPr>
          <w:rFonts w:ascii="Arial" w:hAnsi="Arial" w:cs="Arial"/>
          <w:sz w:val="20"/>
          <w:lang w:val="es-419"/>
        </w:rPr>
        <w:t>Proceso.</w:t>
      </w:r>
      <w:r w:rsidRPr="00787324">
        <w:rPr>
          <w:rFonts w:ascii="Arial" w:hAnsi="Arial" w:cs="Arial"/>
          <w:sz w:val="20"/>
          <w:lang w:val="es-419"/>
        </w:rPr>
        <w:tab/>
      </w:r>
      <w:r w:rsidRPr="00787324">
        <w:rPr>
          <w:rFonts w:ascii="Arial" w:hAnsi="Arial" w:cs="Arial"/>
          <w:sz w:val="20"/>
          <w:lang w:val="es-419"/>
        </w:rPr>
        <w:tab/>
        <w:t>Ordinario laboral</w:t>
      </w:r>
    </w:p>
    <w:p w:rsidR="00787324" w:rsidRPr="00787324" w:rsidRDefault="00787324" w:rsidP="00787324">
      <w:pPr>
        <w:jc w:val="both"/>
        <w:rPr>
          <w:rFonts w:ascii="Arial" w:hAnsi="Arial" w:cs="Arial"/>
          <w:sz w:val="20"/>
          <w:lang w:val="es-419"/>
        </w:rPr>
      </w:pPr>
      <w:r w:rsidRPr="00787324">
        <w:rPr>
          <w:rFonts w:ascii="Arial" w:hAnsi="Arial" w:cs="Arial"/>
          <w:sz w:val="20"/>
          <w:lang w:val="es-419"/>
        </w:rPr>
        <w:t>Radicación Nro.:</w:t>
      </w:r>
      <w:r w:rsidRPr="00787324">
        <w:rPr>
          <w:rFonts w:ascii="Arial" w:hAnsi="Arial" w:cs="Arial"/>
          <w:sz w:val="20"/>
          <w:lang w:val="es-419"/>
        </w:rPr>
        <w:tab/>
        <w:t xml:space="preserve">66001-31-05-002-2018-00185-01 </w:t>
      </w:r>
    </w:p>
    <w:p w:rsidR="00787324" w:rsidRPr="00787324" w:rsidRDefault="00787324" w:rsidP="00787324">
      <w:pPr>
        <w:jc w:val="both"/>
        <w:rPr>
          <w:rFonts w:ascii="Arial" w:hAnsi="Arial" w:cs="Arial"/>
          <w:sz w:val="20"/>
          <w:lang w:val="es-419"/>
        </w:rPr>
      </w:pPr>
      <w:r w:rsidRPr="00787324">
        <w:rPr>
          <w:rFonts w:ascii="Arial" w:hAnsi="Arial" w:cs="Arial"/>
          <w:sz w:val="20"/>
          <w:lang w:val="es-419"/>
        </w:rPr>
        <w:t>Demandante:</w:t>
      </w:r>
      <w:r w:rsidRPr="00787324">
        <w:rPr>
          <w:rFonts w:ascii="Arial" w:hAnsi="Arial" w:cs="Arial"/>
          <w:sz w:val="20"/>
          <w:lang w:val="es-419"/>
        </w:rPr>
        <w:tab/>
      </w:r>
      <w:r w:rsidRPr="00787324">
        <w:rPr>
          <w:rFonts w:ascii="Arial" w:hAnsi="Arial" w:cs="Arial"/>
          <w:sz w:val="20"/>
          <w:lang w:val="es-419"/>
        </w:rPr>
        <w:tab/>
        <w:t xml:space="preserve">Blanca Emma Ruiz de Suárez </w:t>
      </w:r>
    </w:p>
    <w:p w:rsidR="00787324" w:rsidRPr="00787324" w:rsidRDefault="00787324" w:rsidP="00787324">
      <w:pPr>
        <w:jc w:val="both"/>
        <w:rPr>
          <w:rFonts w:ascii="Arial" w:hAnsi="Arial" w:cs="Arial"/>
          <w:sz w:val="20"/>
          <w:lang w:val="es-419"/>
        </w:rPr>
      </w:pPr>
      <w:r w:rsidRPr="00787324">
        <w:rPr>
          <w:rFonts w:ascii="Arial" w:hAnsi="Arial" w:cs="Arial"/>
          <w:sz w:val="20"/>
          <w:lang w:val="es-419"/>
        </w:rPr>
        <w:t>Demandado:</w:t>
      </w:r>
      <w:r w:rsidRPr="00787324">
        <w:rPr>
          <w:rFonts w:ascii="Arial" w:hAnsi="Arial" w:cs="Arial"/>
          <w:sz w:val="20"/>
          <w:lang w:val="es-419"/>
        </w:rPr>
        <w:tab/>
      </w:r>
      <w:r w:rsidRPr="00787324">
        <w:rPr>
          <w:rFonts w:ascii="Arial" w:hAnsi="Arial" w:cs="Arial"/>
          <w:sz w:val="20"/>
          <w:lang w:val="es-419"/>
        </w:rPr>
        <w:tab/>
        <w:t>Colpensiones</w:t>
      </w:r>
    </w:p>
    <w:p w:rsidR="00787324" w:rsidRPr="00787324" w:rsidRDefault="00787324" w:rsidP="00787324">
      <w:pPr>
        <w:jc w:val="both"/>
        <w:rPr>
          <w:rFonts w:ascii="Arial" w:hAnsi="Arial" w:cs="Arial"/>
          <w:sz w:val="20"/>
          <w:lang w:val="es-419"/>
        </w:rPr>
      </w:pPr>
      <w:r w:rsidRPr="00787324">
        <w:rPr>
          <w:rFonts w:ascii="Arial" w:hAnsi="Arial" w:cs="Arial"/>
          <w:sz w:val="20"/>
          <w:lang w:val="es-419"/>
        </w:rPr>
        <w:t>Juzgado de Origen:</w:t>
      </w:r>
      <w:r w:rsidRPr="00787324">
        <w:rPr>
          <w:rFonts w:ascii="Arial" w:hAnsi="Arial" w:cs="Arial"/>
          <w:sz w:val="20"/>
          <w:lang w:val="es-419"/>
        </w:rPr>
        <w:tab/>
        <w:t>Segundo Laboral del Circuito de Pereira</w:t>
      </w:r>
    </w:p>
    <w:p w:rsidR="00787324" w:rsidRPr="00787324" w:rsidRDefault="00787324" w:rsidP="00787324">
      <w:pPr>
        <w:jc w:val="both"/>
        <w:rPr>
          <w:rFonts w:ascii="Arial" w:hAnsi="Arial" w:cs="Arial"/>
          <w:sz w:val="20"/>
          <w:lang w:val="es-419"/>
        </w:rPr>
      </w:pPr>
    </w:p>
    <w:p w:rsidR="00787324" w:rsidRPr="00787324" w:rsidRDefault="00787324" w:rsidP="00787324">
      <w:pPr>
        <w:jc w:val="both"/>
        <w:rPr>
          <w:rFonts w:ascii="Arial" w:hAnsi="Arial" w:cs="Arial"/>
          <w:b/>
          <w:bCs/>
          <w:iCs/>
          <w:sz w:val="20"/>
          <w:lang w:val="es-419" w:eastAsia="fr-FR"/>
        </w:rPr>
      </w:pPr>
      <w:r w:rsidRPr="00787324">
        <w:rPr>
          <w:rFonts w:ascii="Arial" w:hAnsi="Arial" w:cs="Arial"/>
          <w:b/>
          <w:bCs/>
          <w:iCs/>
          <w:sz w:val="20"/>
          <w:u w:val="single"/>
          <w:lang w:val="es-419" w:eastAsia="fr-FR"/>
        </w:rPr>
        <w:t>TEMAS:</w:t>
      </w:r>
      <w:r w:rsidRPr="00787324">
        <w:rPr>
          <w:rFonts w:ascii="Arial" w:hAnsi="Arial" w:cs="Arial"/>
          <w:b/>
          <w:bCs/>
          <w:iCs/>
          <w:sz w:val="20"/>
          <w:lang w:val="es-419" w:eastAsia="fr-FR"/>
        </w:rPr>
        <w:tab/>
      </w:r>
      <w:r w:rsidRPr="00787324">
        <w:rPr>
          <w:rFonts w:ascii="Arial" w:hAnsi="Arial" w:cs="Arial"/>
          <w:b/>
          <w:sz w:val="20"/>
          <w:lang w:val="es-419"/>
        </w:rPr>
        <w:t>PENSIÓN DE S</w:t>
      </w:r>
      <w:r>
        <w:rPr>
          <w:rFonts w:ascii="Arial" w:hAnsi="Arial" w:cs="Arial"/>
          <w:b/>
          <w:sz w:val="20"/>
          <w:lang w:val="es-419"/>
        </w:rPr>
        <w:t>OBREVIVIENTE</w:t>
      </w:r>
      <w:r w:rsidR="008F3925">
        <w:rPr>
          <w:rFonts w:ascii="Arial" w:hAnsi="Arial" w:cs="Arial"/>
          <w:b/>
          <w:sz w:val="20"/>
          <w:lang w:val="es-CO"/>
        </w:rPr>
        <w:t xml:space="preserve"> / NORMA APLICABLE / </w:t>
      </w:r>
      <w:r>
        <w:rPr>
          <w:rFonts w:ascii="Arial" w:hAnsi="Arial" w:cs="Arial"/>
          <w:b/>
          <w:sz w:val="20"/>
          <w:lang w:val="es-419"/>
        </w:rPr>
        <w:t>LEY 797 DE 2003</w:t>
      </w:r>
      <w:r w:rsidR="008F3925">
        <w:rPr>
          <w:rFonts w:ascii="Arial" w:hAnsi="Arial" w:cs="Arial"/>
          <w:b/>
          <w:sz w:val="20"/>
          <w:lang w:val="es-CO"/>
        </w:rPr>
        <w:t xml:space="preserve"> / ES COMPATIBLE CON LA </w:t>
      </w:r>
      <w:r w:rsidRPr="00787324">
        <w:rPr>
          <w:rFonts w:ascii="Arial" w:hAnsi="Arial" w:cs="Arial"/>
          <w:b/>
          <w:sz w:val="20"/>
          <w:lang w:val="es-419"/>
        </w:rPr>
        <w:t xml:space="preserve">INDEMNIZACIÓN SUSTITUTIVA DE </w:t>
      </w:r>
      <w:r w:rsidR="008F3925">
        <w:rPr>
          <w:rFonts w:ascii="Arial" w:hAnsi="Arial" w:cs="Arial"/>
          <w:b/>
          <w:sz w:val="20"/>
          <w:lang w:val="es-CO"/>
        </w:rPr>
        <w:t xml:space="preserve">LA PENSIÓN DE VEJEZ </w:t>
      </w:r>
      <w:r w:rsidR="00A721FC">
        <w:rPr>
          <w:rFonts w:ascii="Arial" w:hAnsi="Arial" w:cs="Arial"/>
          <w:b/>
          <w:bCs/>
          <w:iCs/>
          <w:sz w:val="20"/>
          <w:lang w:val="es-419" w:eastAsia="fr-FR"/>
        </w:rPr>
        <w:t>SI SE CUMPLE EL REQUISITO DE DENSIDAD DE SEMANAS EXIGIDO.</w:t>
      </w:r>
    </w:p>
    <w:p w:rsidR="00787324" w:rsidRPr="00787324" w:rsidRDefault="00787324" w:rsidP="00787324">
      <w:pPr>
        <w:jc w:val="both"/>
        <w:rPr>
          <w:rFonts w:ascii="Arial" w:hAnsi="Arial" w:cs="Arial"/>
          <w:sz w:val="20"/>
          <w:lang w:val="es-419"/>
        </w:rPr>
      </w:pPr>
    </w:p>
    <w:p w:rsidR="00652E69" w:rsidRPr="00652E69" w:rsidRDefault="00652E69" w:rsidP="00652E69">
      <w:pPr>
        <w:jc w:val="both"/>
        <w:rPr>
          <w:rFonts w:ascii="Arial" w:hAnsi="Arial" w:cs="Arial"/>
          <w:sz w:val="20"/>
          <w:lang w:val="es-419"/>
        </w:rPr>
      </w:pPr>
      <w:r w:rsidRPr="00652E69">
        <w:rPr>
          <w:rFonts w:ascii="Arial" w:hAnsi="Arial" w:cs="Arial"/>
          <w:sz w:val="20"/>
          <w:lang w:val="es-419"/>
        </w:rPr>
        <w:t>Bien es sabido que la norma que rige el reconocimiento de la pensión de sobrevivientes, es aquella que se encuentre vigente al momento en que se presente el deceso del afiliado o pensionado; que para el presente asunto lo fue el 07-10-2016</w:t>
      </w:r>
      <w:r>
        <w:rPr>
          <w:rFonts w:ascii="Arial" w:hAnsi="Arial" w:cs="Arial"/>
          <w:sz w:val="20"/>
          <w:lang w:val="es-CO"/>
        </w:rPr>
        <w:t>…</w:t>
      </w:r>
      <w:r w:rsidRPr="00652E69">
        <w:rPr>
          <w:rFonts w:ascii="Arial" w:hAnsi="Arial" w:cs="Arial"/>
          <w:sz w:val="20"/>
          <w:lang w:val="es-419"/>
        </w:rPr>
        <w:t>, por lo tanto, debemos remitirnos al contenido de los artículos 46 y 47 de la Ley 100 de 1993, modificados por los artículos 12 y 13 de la Ley 797 de 2003, que exige 50 semanas cotizadas en los 3 años anteriores al deceso.</w:t>
      </w:r>
    </w:p>
    <w:p w:rsidR="00652E69" w:rsidRPr="00652E69" w:rsidRDefault="00652E69" w:rsidP="00652E69">
      <w:pPr>
        <w:jc w:val="both"/>
        <w:rPr>
          <w:rFonts w:ascii="Arial" w:hAnsi="Arial" w:cs="Arial"/>
          <w:sz w:val="20"/>
          <w:lang w:val="es-419"/>
        </w:rPr>
      </w:pPr>
    </w:p>
    <w:p w:rsidR="00787324" w:rsidRPr="008F3925" w:rsidRDefault="00652E69" w:rsidP="00652E69">
      <w:pPr>
        <w:jc w:val="both"/>
        <w:rPr>
          <w:rFonts w:ascii="Arial" w:hAnsi="Arial" w:cs="Arial"/>
          <w:sz w:val="20"/>
          <w:lang w:val="es-CO"/>
        </w:rPr>
      </w:pPr>
      <w:r w:rsidRPr="00652E69">
        <w:rPr>
          <w:rFonts w:ascii="Arial" w:hAnsi="Arial" w:cs="Arial"/>
          <w:sz w:val="20"/>
          <w:lang w:val="es-419"/>
        </w:rPr>
        <w:t>Ahora, el literal a) del artículo 47 de la Ley 100 de 1993, modificado por el artículo 13 de la Ley 797 de 2003 prescribió a la cónyuge o compañera supérstite como beneficiarias de la pensión de sobrevivientes de manera vitalicia, siempre que hubiera alcanzado 30 años de edad para la fecha del fallecimiento del afiliado o pensionado, y pruebe haber convivido con él, durante 5 años continuos previos a la muerte.</w:t>
      </w:r>
      <w:r w:rsidR="008F3925">
        <w:rPr>
          <w:rFonts w:ascii="Arial" w:hAnsi="Arial" w:cs="Arial"/>
          <w:sz w:val="20"/>
          <w:lang w:val="es-CO"/>
        </w:rPr>
        <w:t xml:space="preserve"> (…)</w:t>
      </w:r>
    </w:p>
    <w:p w:rsidR="00787324" w:rsidRPr="00787324" w:rsidRDefault="00787324" w:rsidP="00787324">
      <w:pPr>
        <w:jc w:val="both"/>
        <w:rPr>
          <w:rFonts w:ascii="Arial" w:hAnsi="Arial" w:cs="Arial"/>
          <w:sz w:val="20"/>
          <w:lang w:val="es-419"/>
        </w:rPr>
      </w:pPr>
    </w:p>
    <w:p w:rsidR="008F3925" w:rsidRPr="008F3925" w:rsidRDefault="008F3925" w:rsidP="008F3925">
      <w:pPr>
        <w:jc w:val="both"/>
        <w:rPr>
          <w:rFonts w:ascii="Arial" w:hAnsi="Arial" w:cs="Arial"/>
          <w:sz w:val="20"/>
          <w:lang w:val="es-419"/>
        </w:rPr>
      </w:pPr>
      <w:r w:rsidRPr="008F3925">
        <w:rPr>
          <w:rFonts w:ascii="Arial" w:hAnsi="Arial" w:cs="Arial"/>
          <w:sz w:val="20"/>
          <w:lang w:val="es-419"/>
        </w:rPr>
        <w:t>Analizada la historia laboral del señor Suárez Garzón</w:t>
      </w:r>
      <w:r>
        <w:rPr>
          <w:rFonts w:ascii="Arial" w:hAnsi="Arial" w:cs="Arial"/>
          <w:sz w:val="20"/>
          <w:lang w:val="es-CO"/>
        </w:rPr>
        <w:t>…</w:t>
      </w:r>
      <w:r w:rsidRPr="008F3925">
        <w:rPr>
          <w:rFonts w:ascii="Arial" w:hAnsi="Arial" w:cs="Arial"/>
          <w:sz w:val="20"/>
          <w:lang w:val="es-419"/>
        </w:rPr>
        <w:t>, se tiene en primer lugar, que efectuó cotizaciones hasta el ciclo de octubre de 2016 y en segundo término que dentro de los tres últimos años anteriores al fallecimiento, esto es, desde el 7-10-2016 a la misma data del 2013 acreditó un total de 154,29 semanas, lo cual permite concluir que satisfizo la densidad exigida en el artículo 12 de la Ley 797 ibidem, es decir, dejó causado el derecho a la pensión de sobrevivientes para sus beneficiarios muy a pesar de haber recibido en vida la indemnización sustitutiva de la pensión de vejez a través de resolución 55235 del 25-02-2015</w:t>
      </w:r>
      <w:r>
        <w:rPr>
          <w:rFonts w:ascii="Arial" w:hAnsi="Arial" w:cs="Arial"/>
          <w:sz w:val="20"/>
          <w:lang w:val="es-CO"/>
        </w:rPr>
        <w:t>…</w:t>
      </w:r>
    </w:p>
    <w:p w:rsidR="008F3925" w:rsidRPr="008F3925" w:rsidRDefault="008F3925" w:rsidP="008F3925">
      <w:pPr>
        <w:jc w:val="both"/>
        <w:rPr>
          <w:rFonts w:ascii="Arial" w:hAnsi="Arial" w:cs="Arial"/>
          <w:sz w:val="20"/>
          <w:lang w:val="es-419"/>
        </w:rPr>
      </w:pPr>
    </w:p>
    <w:p w:rsidR="00787324" w:rsidRPr="00787324" w:rsidRDefault="008F3925" w:rsidP="008F3925">
      <w:pPr>
        <w:jc w:val="both"/>
        <w:rPr>
          <w:rFonts w:ascii="Arial" w:hAnsi="Arial" w:cs="Arial"/>
          <w:sz w:val="20"/>
          <w:lang w:val="es-419"/>
        </w:rPr>
      </w:pPr>
      <w:r w:rsidRPr="008F3925">
        <w:rPr>
          <w:rFonts w:ascii="Arial" w:hAnsi="Arial" w:cs="Arial"/>
          <w:sz w:val="20"/>
          <w:lang w:val="es-419"/>
        </w:rPr>
        <w:t>Lo anterior se afirma atendiendo la línea constante de nuestra superioridad  y de este tribunal, en el sentido de que no existe incompatibilidad entre las prestaciones mencionadas siempre y cuando acredite la densidad de semanas exigidas por la Ley, lo que implica que en vigencia de la Ley 797 de 2003, el afiliado debe tener cotizadas dentro de los tres años anteriores a su deceso por lo menos cincuenta semanas al sistema general de pensiones, con las cuales se garantice la cobertura de ese riesgo.</w:t>
      </w:r>
    </w:p>
    <w:p w:rsidR="00787324" w:rsidRPr="00787324" w:rsidRDefault="00787324" w:rsidP="00787324">
      <w:pPr>
        <w:jc w:val="both"/>
        <w:rPr>
          <w:rFonts w:ascii="Arial" w:hAnsi="Arial" w:cs="Arial"/>
          <w:sz w:val="20"/>
          <w:lang w:val="es-ES"/>
        </w:rPr>
      </w:pPr>
    </w:p>
    <w:p w:rsidR="00787324" w:rsidRDefault="00787324" w:rsidP="00787324">
      <w:pPr>
        <w:jc w:val="both"/>
        <w:rPr>
          <w:rFonts w:ascii="Arial" w:hAnsi="Arial" w:cs="Arial"/>
          <w:sz w:val="20"/>
          <w:lang w:val="es-ES"/>
        </w:rPr>
      </w:pPr>
    </w:p>
    <w:p w:rsidR="00A721FC" w:rsidRPr="00787324" w:rsidRDefault="00A721FC" w:rsidP="00787324">
      <w:pPr>
        <w:jc w:val="both"/>
        <w:rPr>
          <w:rFonts w:ascii="Arial" w:hAnsi="Arial" w:cs="Arial"/>
          <w:sz w:val="20"/>
          <w:lang w:val="es-ES"/>
        </w:rPr>
      </w:pPr>
      <w:bookmarkStart w:id="0" w:name="_GoBack"/>
      <w:bookmarkEnd w:id="0"/>
    </w:p>
    <w:p w:rsidR="00787324" w:rsidRPr="003E0CBE" w:rsidRDefault="00787324" w:rsidP="00787324">
      <w:pPr>
        <w:spacing w:line="240" w:lineRule="atLeast"/>
        <w:jc w:val="center"/>
        <w:rPr>
          <w:rFonts w:ascii="Edwardian Script ITC" w:hAnsi="Edwardian Script ITC" w:cs="Arial"/>
          <w:b/>
          <w:sz w:val="44"/>
          <w:szCs w:val="44"/>
          <w:lang w:val="en-GB"/>
        </w:rPr>
      </w:pPr>
      <w:r w:rsidRPr="003E0CBE">
        <w:rPr>
          <w:rFonts w:ascii="Edwardian Script ITC" w:hAnsi="Edwardian Script ITC"/>
          <w:noProof/>
          <w:sz w:val="44"/>
          <w:szCs w:val="44"/>
          <w:lang w:val="es-ES"/>
        </w:rPr>
        <w:drawing>
          <wp:inline distT="0" distB="0" distL="0" distR="0" wp14:anchorId="32F6E138" wp14:editId="442B01DA">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rsidR="00787324" w:rsidRPr="003E0CBE" w:rsidRDefault="00787324" w:rsidP="008F3925">
      <w:pPr>
        <w:widowControl w:val="0"/>
        <w:spacing w:line="300"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RAMA JUDICIAL DEL PODER PÚBLICO</w:t>
      </w:r>
    </w:p>
    <w:p w:rsidR="00787324" w:rsidRPr="003E0CBE" w:rsidRDefault="00787324" w:rsidP="008F3925">
      <w:pPr>
        <w:widowControl w:val="0"/>
        <w:spacing w:line="300"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TRIBUNAL SUPERIOR DEL DISTRITO JUDICIAL DE PEREIRA</w:t>
      </w:r>
    </w:p>
    <w:p w:rsidR="00787324" w:rsidRPr="003E0CBE" w:rsidRDefault="00787324" w:rsidP="008F3925">
      <w:pPr>
        <w:widowControl w:val="0"/>
        <w:spacing w:line="300"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SALA SEGUNDA DE DECISIÓN LABORAL</w:t>
      </w:r>
    </w:p>
    <w:p w:rsidR="00787324" w:rsidRPr="003E0CBE" w:rsidRDefault="00787324" w:rsidP="008F3925">
      <w:pPr>
        <w:spacing w:line="300" w:lineRule="auto"/>
        <w:jc w:val="center"/>
        <w:rPr>
          <w:rFonts w:ascii="Arial" w:hAnsi="Arial" w:cs="Arial"/>
          <w:color w:val="000000"/>
          <w:szCs w:val="24"/>
          <w:lang w:val="es-ES"/>
        </w:rPr>
      </w:pPr>
    </w:p>
    <w:p w:rsidR="00787324" w:rsidRPr="003E0CBE" w:rsidRDefault="00787324" w:rsidP="008F3925">
      <w:pPr>
        <w:spacing w:line="300" w:lineRule="auto"/>
        <w:jc w:val="center"/>
        <w:rPr>
          <w:rFonts w:ascii="Arial" w:hAnsi="Arial" w:cs="Arial"/>
          <w:color w:val="000000"/>
          <w:szCs w:val="24"/>
          <w:lang w:val="es-ES"/>
        </w:rPr>
      </w:pPr>
      <w:r w:rsidRPr="003E0CBE">
        <w:rPr>
          <w:rFonts w:ascii="Arial" w:hAnsi="Arial" w:cs="Arial"/>
          <w:color w:val="000000"/>
          <w:szCs w:val="24"/>
          <w:lang w:val="es-ES"/>
        </w:rPr>
        <w:t>Magistrada Sustanciadora</w:t>
      </w:r>
    </w:p>
    <w:p w:rsidR="00787324" w:rsidRPr="003E0CBE" w:rsidRDefault="00787324" w:rsidP="008F3925">
      <w:pPr>
        <w:widowControl w:val="0"/>
        <w:spacing w:line="300"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OLGA LUCÍA HOYOS SEPÚLVEDA</w:t>
      </w:r>
    </w:p>
    <w:p w:rsidR="00787324" w:rsidRPr="003E0CBE" w:rsidRDefault="00787324" w:rsidP="008F3925">
      <w:pPr>
        <w:spacing w:line="300" w:lineRule="auto"/>
        <w:jc w:val="both"/>
        <w:rPr>
          <w:rFonts w:ascii="Arial" w:eastAsia="Calibri" w:hAnsi="Arial" w:cs="Arial"/>
          <w:szCs w:val="24"/>
          <w:lang w:val="es-CO" w:eastAsia="en-US"/>
        </w:rPr>
      </w:pPr>
    </w:p>
    <w:p w:rsidR="00226D5F" w:rsidRDefault="00226D5F" w:rsidP="008F3925">
      <w:pPr>
        <w:spacing w:line="300" w:lineRule="auto"/>
        <w:jc w:val="both"/>
        <w:rPr>
          <w:rFonts w:ascii="Arial" w:hAnsi="Arial" w:cs="Arial"/>
          <w:szCs w:val="16"/>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 xml:space="preserve">a los </w:t>
      </w:r>
      <w:r w:rsidR="009831AB">
        <w:rPr>
          <w:rFonts w:ascii="Arial" w:eastAsia="Calibri" w:hAnsi="Arial" w:cs="Arial"/>
          <w:szCs w:val="24"/>
          <w:lang w:val="es-CO" w:eastAsia="en-US"/>
        </w:rPr>
        <w:t xml:space="preserve">cinco </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9831AB">
        <w:rPr>
          <w:rFonts w:ascii="Arial" w:eastAsia="Calibri" w:hAnsi="Arial" w:cs="Arial"/>
          <w:szCs w:val="24"/>
          <w:lang w:val="es-CO" w:eastAsia="en-US"/>
        </w:rPr>
        <w:t>05</w:t>
      </w:r>
      <w:r w:rsidRPr="002B5965">
        <w:rPr>
          <w:rFonts w:ascii="Arial" w:eastAsia="Calibri" w:hAnsi="Arial" w:cs="Arial"/>
          <w:szCs w:val="24"/>
          <w:lang w:val="es-CO" w:eastAsia="en-US"/>
        </w:rPr>
        <w:t xml:space="preserve">) días del mes de </w:t>
      </w:r>
      <w:r w:rsidR="009831AB">
        <w:rPr>
          <w:rFonts w:ascii="Arial" w:eastAsia="Calibri" w:hAnsi="Arial" w:cs="Arial"/>
          <w:szCs w:val="24"/>
          <w:lang w:val="es-CO" w:eastAsia="en-US"/>
        </w:rPr>
        <w:t>noviembre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9831AB">
        <w:rPr>
          <w:rFonts w:ascii="Arial" w:eastAsia="Calibri" w:hAnsi="Arial" w:cs="Arial"/>
          <w:szCs w:val="24"/>
          <w:lang w:val="es-CO" w:eastAsia="en-US"/>
        </w:rPr>
        <w:t>diecinueve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(201</w:t>
      </w:r>
      <w:r w:rsidR="009831AB">
        <w:rPr>
          <w:rFonts w:ascii="Arial" w:eastAsia="Calibri" w:hAnsi="Arial" w:cs="Arial"/>
          <w:szCs w:val="24"/>
          <w:lang w:val="es-CO" w:eastAsia="en-US"/>
        </w:rPr>
        <w:t>9), siendo las ocho y quince de la</w:t>
      </w:r>
      <w:r w:rsidR="00C1062A" w:rsidRPr="002B5965">
        <w:rPr>
          <w:rFonts w:ascii="Arial" w:eastAsia="Calibri" w:hAnsi="Arial" w:cs="Arial"/>
          <w:szCs w:val="24"/>
          <w:lang w:val="es-CO" w:eastAsia="en-US"/>
        </w:rPr>
        <w:t xml:space="preserve"> mañana (</w:t>
      </w:r>
      <w:r w:rsidR="009831AB">
        <w:rPr>
          <w:rFonts w:ascii="Arial" w:eastAsia="Calibri" w:hAnsi="Arial" w:cs="Arial"/>
          <w:szCs w:val="24"/>
          <w:lang w:val="es-CO" w:eastAsia="en-US"/>
        </w:rPr>
        <w:t>08:15</w:t>
      </w:r>
      <w:r w:rsidR="00C1062A" w:rsidRPr="002B5965">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0425B6">
        <w:rPr>
          <w:rFonts w:ascii="Arial" w:hAnsi="Arial" w:cs="Arial"/>
          <w:bCs/>
          <w:color w:val="000000"/>
          <w:szCs w:val="24"/>
          <w:lang w:eastAsia="es-CO"/>
        </w:rPr>
        <w:t xml:space="preserve"> S</w:t>
      </w:r>
      <w:r w:rsidR="009831AB">
        <w:rPr>
          <w:rFonts w:ascii="Arial" w:hAnsi="Arial" w:cs="Arial"/>
          <w:bCs/>
          <w:color w:val="000000"/>
          <w:szCs w:val="24"/>
          <w:lang w:eastAsia="es-CO"/>
        </w:rPr>
        <w:t>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9831AB">
        <w:rPr>
          <w:rFonts w:ascii="Arial" w:hAnsi="Arial" w:cs="Arial"/>
          <w:bCs/>
          <w:color w:val="000000"/>
          <w:szCs w:val="24"/>
          <w:lang w:eastAsia="es-CO"/>
        </w:rPr>
        <w:t>recurso de apelación y grado de jurisdicción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831AB">
        <w:rPr>
          <w:rFonts w:ascii="Arial" w:hAnsi="Arial" w:cs="Arial"/>
          <w:szCs w:val="24"/>
        </w:rPr>
        <w:t>24</w:t>
      </w:r>
      <w:r w:rsidRPr="00AC486E">
        <w:rPr>
          <w:rFonts w:ascii="Arial" w:hAnsi="Arial" w:cs="Arial"/>
          <w:szCs w:val="24"/>
        </w:rPr>
        <w:t xml:space="preserve"> de </w:t>
      </w:r>
      <w:r w:rsidR="009831AB">
        <w:rPr>
          <w:rFonts w:ascii="Arial" w:hAnsi="Arial" w:cs="Arial"/>
          <w:szCs w:val="24"/>
        </w:rPr>
        <w:t>mayo</w:t>
      </w:r>
      <w:r w:rsidR="003440CA">
        <w:rPr>
          <w:rFonts w:ascii="Arial" w:hAnsi="Arial" w:cs="Arial"/>
          <w:szCs w:val="24"/>
        </w:rPr>
        <w:t xml:space="preserve"> </w:t>
      </w:r>
      <w:r w:rsidRPr="00AC486E">
        <w:rPr>
          <w:rFonts w:ascii="Arial" w:hAnsi="Arial" w:cs="Arial"/>
          <w:szCs w:val="24"/>
        </w:rPr>
        <w:t>de 201</w:t>
      </w:r>
      <w:r w:rsidR="009831AB">
        <w:rPr>
          <w:rFonts w:ascii="Arial" w:hAnsi="Arial" w:cs="Arial"/>
          <w:szCs w:val="24"/>
        </w:rPr>
        <w:t>9</w:t>
      </w:r>
      <w:r w:rsidRPr="00AC486E">
        <w:rPr>
          <w:rFonts w:ascii="Arial" w:hAnsi="Arial" w:cs="Arial"/>
          <w:szCs w:val="24"/>
        </w:rPr>
        <w:t xml:space="preserve"> por el Juzgado </w:t>
      </w:r>
      <w:r w:rsidR="009831AB">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9831AB">
        <w:rPr>
          <w:rFonts w:ascii="Arial" w:hAnsi="Arial" w:cs="Arial"/>
          <w:b/>
          <w:szCs w:val="24"/>
        </w:rPr>
        <w:t xml:space="preserve">Blanca </w:t>
      </w:r>
      <w:r w:rsidR="009831AB">
        <w:rPr>
          <w:rFonts w:ascii="Arial" w:hAnsi="Arial" w:cs="Arial"/>
          <w:b/>
          <w:szCs w:val="24"/>
        </w:rPr>
        <w:lastRenderedPageBreak/>
        <w:t>Emma Ruiz de Suárez</w:t>
      </w:r>
      <w:r w:rsidR="002D0D07">
        <w:rPr>
          <w:rFonts w:ascii="Arial" w:hAnsi="Arial" w:cs="Arial"/>
          <w:b/>
          <w:szCs w:val="24"/>
        </w:rPr>
        <w:t xml:space="preserve"> </w:t>
      </w:r>
      <w:r w:rsidRPr="003440CA">
        <w:rPr>
          <w:rFonts w:ascii="Arial" w:hAnsi="Arial" w:cs="Arial"/>
          <w:szCs w:val="24"/>
        </w:rPr>
        <w:t xml:space="preserve">contra </w:t>
      </w:r>
      <w:r w:rsidR="008340D8">
        <w:rPr>
          <w:rFonts w:ascii="Arial" w:hAnsi="Arial" w:cs="Arial"/>
          <w:szCs w:val="24"/>
        </w:rPr>
        <w:t xml:space="preserve">la </w:t>
      </w:r>
      <w:r w:rsidR="004914BE" w:rsidRPr="004914BE">
        <w:rPr>
          <w:rFonts w:ascii="Arial" w:hAnsi="Arial" w:cs="Arial"/>
          <w:b/>
          <w:szCs w:val="16"/>
        </w:rPr>
        <w:t xml:space="preserve">Administradora </w:t>
      </w:r>
      <w:r w:rsidR="00A14959">
        <w:rPr>
          <w:rFonts w:ascii="Arial" w:hAnsi="Arial" w:cs="Arial"/>
          <w:b/>
          <w:szCs w:val="16"/>
        </w:rPr>
        <w:t>Colombiana</w:t>
      </w:r>
      <w:r w:rsidR="004914BE" w:rsidRPr="004914BE">
        <w:rPr>
          <w:rFonts w:ascii="Arial" w:hAnsi="Arial" w:cs="Arial"/>
          <w:b/>
          <w:szCs w:val="16"/>
        </w:rPr>
        <w:t xml:space="preserve"> de Pensiones -</w:t>
      </w:r>
      <w:r w:rsidR="00A14959">
        <w:rPr>
          <w:rFonts w:ascii="Arial" w:hAnsi="Arial" w:cs="Arial"/>
          <w:b/>
          <w:szCs w:val="16"/>
        </w:rPr>
        <w:t xml:space="preserve">Colpensiones-, </w:t>
      </w:r>
      <w:r w:rsidR="00A14959">
        <w:rPr>
          <w:rFonts w:ascii="Arial" w:hAnsi="Arial" w:cs="Arial"/>
          <w:szCs w:val="16"/>
        </w:rPr>
        <w:t xml:space="preserve">radicado </w:t>
      </w:r>
      <w:r w:rsidR="009831AB">
        <w:rPr>
          <w:rFonts w:ascii="Arial" w:hAnsi="Arial" w:cs="Arial"/>
          <w:szCs w:val="16"/>
        </w:rPr>
        <w:t>66001-31-05-002-2018-00185</w:t>
      </w:r>
      <w:r w:rsidR="00A14959">
        <w:rPr>
          <w:rFonts w:ascii="Arial" w:hAnsi="Arial" w:cs="Arial"/>
          <w:szCs w:val="16"/>
        </w:rPr>
        <w:t>-01.</w:t>
      </w:r>
    </w:p>
    <w:p w:rsidR="00032F34" w:rsidRPr="00A14959" w:rsidRDefault="00032F34" w:rsidP="008F3925">
      <w:pPr>
        <w:spacing w:line="300" w:lineRule="auto"/>
        <w:jc w:val="both"/>
        <w:rPr>
          <w:rFonts w:ascii="Arial" w:hAnsi="Arial" w:cs="Arial"/>
          <w:bCs/>
          <w:iCs/>
          <w:szCs w:val="24"/>
        </w:rPr>
      </w:pPr>
    </w:p>
    <w:p w:rsidR="00502691" w:rsidRPr="00174E3F" w:rsidRDefault="00502691" w:rsidP="008F3925">
      <w:pPr>
        <w:spacing w:line="300" w:lineRule="auto"/>
        <w:rPr>
          <w:rFonts w:ascii="Arial" w:hAnsi="Arial" w:cs="Arial"/>
          <w:b/>
          <w:szCs w:val="24"/>
        </w:rPr>
      </w:pPr>
      <w:r w:rsidRPr="00174E3F">
        <w:rPr>
          <w:rFonts w:ascii="Arial" w:hAnsi="Arial" w:cs="Arial"/>
          <w:b/>
          <w:szCs w:val="24"/>
        </w:rPr>
        <w:t>REGISTRO DE ASISTENCIA:</w:t>
      </w:r>
    </w:p>
    <w:p w:rsidR="00502691" w:rsidRPr="00174E3F" w:rsidRDefault="00502691" w:rsidP="008F3925">
      <w:pPr>
        <w:spacing w:line="300" w:lineRule="auto"/>
        <w:ind w:firstLine="851"/>
        <w:rPr>
          <w:rFonts w:ascii="Arial" w:hAnsi="Arial" w:cs="Arial"/>
          <w:szCs w:val="24"/>
        </w:rPr>
      </w:pPr>
    </w:p>
    <w:p w:rsidR="00502691" w:rsidRPr="00174E3F" w:rsidRDefault="00502691" w:rsidP="008F3925">
      <w:pPr>
        <w:spacing w:line="300"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8F3925">
      <w:pPr>
        <w:spacing w:line="300" w:lineRule="auto"/>
        <w:ind w:left="709" w:firstLine="142"/>
        <w:contextualSpacing/>
        <w:jc w:val="both"/>
        <w:rPr>
          <w:rFonts w:ascii="Arial" w:hAnsi="Arial" w:cs="Arial"/>
          <w:szCs w:val="24"/>
        </w:rPr>
      </w:pPr>
    </w:p>
    <w:p w:rsidR="00272C8B" w:rsidRPr="00174E3F" w:rsidRDefault="00272C8B" w:rsidP="008F3925">
      <w:pPr>
        <w:spacing w:line="300"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8F3925">
      <w:pPr>
        <w:spacing w:line="300" w:lineRule="auto"/>
        <w:contextualSpacing/>
        <w:jc w:val="both"/>
        <w:rPr>
          <w:rFonts w:ascii="Arial" w:hAnsi="Arial" w:cs="Arial"/>
          <w:szCs w:val="24"/>
        </w:rPr>
      </w:pPr>
      <w:r w:rsidRPr="00174E3F">
        <w:rPr>
          <w:rFonts w:ascii="Arial" w:hAnsi="Arial" w:cs="Arial"/>
          <w:szCs w:val="24"/>
        </w:rPr>
        <w:t xml:space="preserve"> </w:t>
      </w:r>
    </w:p>
    <w:p w:rsidR="00272C8B" w:rsidRDefault="00272C8B" w:rsidP="008F3925">
      <w:pPr>
        <w:spacing w:line="300"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8F3925">
      <w:pPr>
        <w:spacing w:line="300" w:lineRule="auto"/>
        <w:ind w:firstLine="851"/>
        <w:rPr>
          <w:rFonts w:ascii="Arial" w:hAnsi="Arial" w:cs="Arial"/>
          <w:szCs w:val="24"/>
        </w:rPr>
      </w:pPr>
    </w:p>
    <w:p w:rsidR="00226D5F" w:rsidRPr="00637118" w:rsidRDefault="00A14959" w:rsidP="008F3925">
      <w:pPr>
        <w:spacing w:line="300" w:lineRule="auto"/>
        <w:jc w:val="center"/>
        <w:rPr>
          <w:rFonts w:ascii="Arial" w:hAnsi="Arial" w:cs="Arial"/>
          <w:b/>
          <w:szCs w:val="24"/>
        </w:rPr>
      </w:pPr>
      <w:r>
        <w:rPr>
          <w:rFonts w:ascii="Arial" w:hAnsi="Arial" w:cs="Arial"/>
          <w:b/>
          <w:szCs w:val="24"/>
        </w:rPr>
        <w:t>ANTECEDENTES</w:t>
      </w:r>
    </w:p>
    <w:p w:rsidR="00226D5F" w:rsidRDefault="00226D5F" w:rsidP="008F3925">
      <w:pPr>
        <w:pStyle w:val="Sinespaciado"/>
        <w:spacing w:line="300" w:lineRule="auto"/>
        <w:rPr>
          <w:rFonts w:ascii="Arial" w:hAnsi="Arial" w:cs="Arial"/>
          <w:sz w:val="24"/>
          <w:szCs w:val="24"/>
        </w:rPr>
      </w:pPr>
    </w:p>
    <w:p w:rsidR="00341CD1" w:rsidRPr="004B0EB0" w:rsidRDefault="00341CD1" w:rsidP="008F3925">
      <w:pPr>
        <w:suppressAutoHyphens/>
        <w:spacing w:line="300"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8F3925">
      <w:pPr>
        <w:pStyle w:val="Sinespaciado"/>
        <w:spacing w:line="300" w:lineRule="auto"/>
        <w:rPr>
          <w:rFonts w:ascii="Arial" w:hAnsi="Arial" w:cs="Arial"/>
          <w:sz w:val="24"/>
          <w:szCs w:val="24"/>
        </w:rPr>
      </w:pPr>
    </w:p>
    <w:p w:rsidR="00631816" w:rsidRDefault="003E4B76" w:rsidP="008F3925">
      <w:pPr>
        <w:spacing w:line="300" w:lineRule="auto"/>
        <w:jc w:val="both"/>
        <w:rPr>
          <w:rFonts w:ascii="Arial" w:hAnsi="Arial" w:cs="Arial"/>
          <w:szCs w:val="24"/>
        </w:rPr>
      </w:pPr>
      <w:r>
        <w:rPr>
          <w:rFonts w:ascii="Arial" w:hAnsi="Arial" w:cs="Arial"/>
          <w:szCs w:val="24"/>
        </w:rPr>
        <w:t>La señora Blanca Emma Ruíz de Suárez pretende</w:t>
      </w:r>
      <w:r w:rsidR="00631816">
        <w:rPr>
          <w:rFonts w:ascii="Arial" w:hAnsi="Arial" w:cs="Arial"/>
          <w:szCs w:val="24"/>
        </w:rPr>
        <w:t xml:space="preserve"> que se </w:t>
      </w:r>
      <w:r w:rsidR="00242D14">
        <w:rPr>
          <w:rFonts w:ascii="Arial" w:hAnsi="Arial" w:cs="Arial"/>
          <w:szCs w:val="24"/>
        </w:rPr>
        <w:t>le reconozca la pensión de sobrevivientes causada con el deceso de</w:t>
      </w:r>
      <w:r w:rsidR="0064157A">
        <w:rPr>
          <w:rFonts w:ascii="Arial" w:hAnsi="Arial" w:cs="Arial"/>
          <w:szCs w:val="24"/>
        </w:rPr>
        <w:t>l señor</w:t>
      </w:r>
      <w:r w:rsidR="00631816">
        <w:rPr>
          <w:rFonts w:ascii="Arial" w:hAnsi="Arial" w:cs="Arial"/>
          <w:szCs w:val="24"/>
        </w:rPr>
        <w:t xml:space="preserve"> </w:t>
      </w:r>
      <w:r w:rsidR="00510CEB">
        <w:rPr>
          <w:rFonts w:ascii="Arial" w:hAnsi="Arial" w:cs="Arial"/>
          <w:szCs w:val="24"/>
        </w:rPr>
        <w:t xml:space="preserve">Gilberto </w:t>
      </w:r>
      <w:r w:rsidR="00631816">
        <w:rPr>
          <w:rFonts w:ascii="Arial" w:hAnsi="Arial" w:cs="Arial"/>
          <w:szCs w:val="24"/>
        </w:rPr>
        <w:t>Suárez Garzón</w:t>
      </w:r>
      <w:r w:rsidR="00242D14">
        <w:rPr>
          <w:rFonts w:ascii="Arial" w:hAnsi="Arial" w:cs="Arial"/>
          <w:szCs w:val="24"/>
        </w:rPr>
        <w:t xml:space="preserve"> </w:t>
      </w:r>
      <w:r>
        <w:rPr>
          <w:rFonts w:ascii="Arial" w:hAnsi="Arial" w:cs="Arial"/>
          <w:szCs w:val="24"/>
        </w:rPr>
        <w:t>a partir del 08-10-2016 con fundamento en la ley 797 de 2003</w:t>
      </w:r>
      <w:r w:rsidR="00242D14">
        <w:rPr>
          <w:rFonts w:ascii="Arial" w:hAnsi="Arial" w:cs="Arial"/>
          <w:szCs w:val="24"/>
        </w:rPr>
        <w:t xml:space="preserve">. </w:t>
      </w:r>
    </w:p>
    <w:p w:rsidR="003E4B76" w:rsidRDefault="003E4B76" w:rsidP="008F3925">
      <w:pPr>
        <w:spacing w:line="300" w:lineRule="auto"/>
        <w:jc w:val="both"/>
        <w:rPr>
          <w:rFonts w:ascii="Arial" w:hAnsi="Arial" w:cs="Arial"/>
          <w:szCs w:val="24"/>
        </w:rPr>
      </w:pPr>
      <w:r>
        <w:rPr>
          <w:rFonts w:ascii="Arial" w:hAnsi="Arial" w:cs="Arial"/>
          <w:szCs w:val="24"/>
        </w:rPr>
        <w:t xml:space="preserve"> </w:t>
      </w:r>
    </w:p>
    <w:p w:rsidR="004E2E75" w:rsidRDefault="00A957FB" w:rsidP="008F3925">
      <w:pPr>
        <w:spacing w:line="300"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64157A" w:rsidRPr="000425B6">
        <w:rPr>
          <w:rFonts w:ascii="Arial" w:hAnsi="Arial" w:cs="Arial"/>
          <w:i/>
          <w:szCs w:val="24"/>
        </w:rPr>
        <w:t>(i)</w:t>
      </w:r>
      <w:r w:rsidR="0064157A">
        <w:rPr>
          <w:rFonts w:ascii="Arial" w:hAnsi="Arial" w:cs="Arial"/>
          <w:szCs w:val="24"/>
        </w:rPr>
        <w:t xml:space="preserve"> </w:t>
      </w:r>
      <w:r w:rsidR="00C50B96">
        <w:rPr>
          <w:rFonts w:ascii="Arial" w:hAnsi="Arial" w:cs="Arial"/>
          <w:szCs w:val="24"/>
        </w:rPr>
        <w:t>el señor Gilberto Suárez Garzón se afilió al Sistema de seguridad social</w:t>
      </w:r>
      <w:r w:rsidR="009F478C">
        <w:rPr>
          <w:rFonts w:ascii="Arial" w:hAnsi="Arial" w:cs="Arial"/>
          <w:szCs w:val="24"/>
        </w:rPr>
        <w:t xml:space="preserve">  el 1-04-1998; </w:t>
      </w:r>
      <w:r w:rsidR="00C50B96">
        <w:rPr>
          <w:rFonts w:ascii="Arial" w:hAnsi="Arial" w:cs="Arial"/>
          <w:szCs w:val="24"/>
        </w:rPr>
        <w:t xml:space="preserve">(ii) </w:t>
      </w:r>
      <w:r w:rsidR="00242D14">
        <w:rPr>
          <w:rFonts w:ascii="Arial" w:hAnsi="Arial" w:cs="Arial"/>
          <w:szCs w:val="24"/>
        </w:rPr>
        <w:t>mediante resolución Nº 55235 del 25-02-2015 se le concedió a</w:t>
      </w:r>
      <w:r w:rsidR="004E2E75">
        <w:rPr>
          <w:rFonts w:ascii="Arial" w:hAnsi="Arial" w:cs="Arial"/>
          <w:szCs w:val="24"/>
        </w:rPr>
        <w:t xml:space="preserve"> este </w:t>
      </w:r>
      <w:r w:rsidR="00242D14">
        <w:rPr>
          <w:rFonts w:ascii="Arial" w:hAnsi="Arial" w:cs="Arial"/>
          <w:szCs w:val="24"/>
        </w:rPr>
        <w:t>indemnización sustitutiva de pensión de vejez</w:t>
      </w:r>
      <w:r w:rsidR="004E2E75">
        <w:rPr>
          <w:rFonts w:ascii="Arial" w:hAnsi="Arial" w:cs="Arial"/>
          <w:szCs w:val="24"/>
        </w:rPr>
        <w:t xml:space="preserve"> para lo cual se tomó las semanas cotizadas del 1-04-1998 al 31-12-2014</w:t>
      </w:r>
      <w:r w:rsidR="00242D14">
        <w:rPr>
          <w:rFonts w:ascii="Arial" w:hAnsi="Arial" w:cs="Arial"/>
          <w:szCs w:val="24"/>
        </w:rPr>
        <w:t>,</w:t>
      </w:r>
      <w:r w:rsidR="004E2E75">
        <w:rPr>
          <w:rFonts w:ascii="Arial" w:hAnsi="Arial" w:cs="Arial"/>
          <w:szCs w:val="24"/>
        </w:rPr>
        <w:t xml:space="preserve"> (iii)</w:t>
      </w:r>
      <w:r w:rsidR="00242D14">
        <w:rPr>
          <w:rFonts w:ascii="Arial" w:hAnsi="Arial" w:cs="Arial"/>
          <w:szCs w:val="24"/>
        </w:rPr>
        <w:t xml:space="preserve"> pero pese a ello estuvo</w:t>
      </w:r>
      <w:r w:rsidR="00D051C3">
        <w:rPr>
          <w:rFonts w:ascii="Arial" w:hAnsi="Arial" w:cs="Arial"/>
          <w:szCs w:val="24"/>
        </w:rPr>
        <w:t xml:space="preserve"> como</w:t>
      </w:r>
      <w:r w:rsidR="00242D14">
        <w:rPr>
          <w:rFonts w:ascii="Arial" w:hAnsi="Arial" w:cs="Arial"/>
          <w:szCs w:val="24"/>
        </w:rPr>
        <w:t xml:space="preserve"> afiliado</w:t>
      </w:r>
      <w:r w:rsidR="00D051C3">
        <w:rPr>
          <w:rFonts w:ascii="Arial" w:hAnsi="Arial" w:cs="Arial"/>
          <w:szCs w:val="24"/>
        </w:rPr>
        <w:t xml:space="preserve"> activo</w:t>
      </w:r>
      <w:r w:rsidR="00242D14">
        <w:rPr>
          <w:rFonts w:ascii="Arial" w:hAnsi="Arial" w:cs="Arial"/>
          <w:szCs w:val="24"/>
        </w:rPr>
        <w:t xml:space="preserve"> hasta el 31-08-2016, momento  para el cual contaba con un total de 714.57 semanas cotizadas; </w:t>
      </w:r>
    </w:p>
    <w:p w:rsidR="004E2E75" w:rsidRDefault="004E2E75" w:rsidP="008F3925">
      <w:pPr>
        <w:spacing w:line="300" w:lineRule="auto"/>
        <w:jc w:val="both"/>
        <w:rPr>
          <w:rFonts w:ascii="Arial" w:hAnsi="Arial" w:cs="Arial"/>
          <w:szCs w:val="24"/>
        </w:rPr>
      </w:pPr>
    </w:p>
    <w:p w:rsidR="00DC7456" w:rsidRDefault="004E2E75" w:rsidP="008F3925">
      <w:pPr>
        <w:spacing w:line="300" w:lineRule="auto"/>
        <w:jc w:val="both"/>
        <w:rPr>
          <w:rFonts w:ascii="Arial" w:hAnsi="Arial" w:cs="Arial"/>
          <w:szCs w:val="24"/>
        </w:rPr>
      </w:pPr>
      <w:r>
        <w:rPr>
          <w:rFonts w:ascii="Arial" w:hAnsi="Arial" w:cs="Arial"/>
          <w:szCs w:val="24"/>
        </w:rPr>
        <w:t xml:space="preserve">(iv) </w:t>
      </w:r>
      <w:r w:rsidR="00242D14">
        <w:rPr>
          <w:rFonts w:ascii="Arial" w:hAnsi="Arial" w:cs="Arial"/>
          <w:szCs w:val="24"/>
        </w:rPr>
        <w:t xml:space="preserve">contrajo nupcias el 25-12-1972 con el </w:t>
      </w:r>
      <w:r>
        <w:rPr>
          <w:rFonts w:ascii="Arial" w:hAnsi="Arial" w:cs="Arial"/>
          <w:szCs w:val="24"/>
        </w:rPr>
        <w:t>referido señor</w:t>
      </w:r>
      <w:r w:rsidR="00242D14">
        <w:rPr>
          <w:rFonts w:ascii="Arial" w:hAnsi="Arial" w:cs="Arial"/>
          <w:szCs w:val="24"/>
        </w:rPr>
        <w:t xml:space="preserve">, con quien convivió de forma ininterrumpida hasta el momento en que falleció </w:t>
      </w:r>
      <w:r w:rsidR="0064157A">
        <w:rPr>
          <w:rFonts w:ascii="Arial" w:hAnsi="Arial" w:cs="Arial"/>
          <w:szCs w:val="24"/>
        </w:rPr>
        <w:t xml:space="preserve"> el 07-10-2016</w:t>
      </w:r>
      <w:r w:rsidR="003B7DFA">
        <w:rPr>
          <w:rFonts w:ascii="Arial" w:hAnsi="Arial" w:cs="Arial"/>
          <w:szCs w:val="24"/>
        </w:rPr>
        <w:t xml:space="preserve">; </w:t>
      </w:r>
      <w:r w:rsidR="007647BC" w:rsidRPr="000425B6">
        <w:rPr>
          <w:rFonts w:ascii="Arial" w:hAnsi="Arial" w:cs="Arial"/>
          <w:i/>
          <w:szCs w:val="24"/>
        </w:rPr>
        <w:t>(</w:t>
      </w:r>
      <w:r>
        <w:rPr>
          <w:rFonts w:ascii="Arial" w:hAnsi="Arial" w:cs="Arial"/>
          <w:i/>
          <w:szCs w:val="24"/>
        </w:rPr>
        <w:t>v</w:t>
      </w:r>
      <w:r w:rsidR="00791F1D" w:rsidRPr="000425B6">
        <w:rPr>
          <w:rFonts w:ascii="Arial" w:hAnsi="Arial" w:cs="Arial"/>
          <w:i/>
          <w:szCs w:val="24"/>
        </w:rPr>
        <w:t>)</w:t>
      </w:r>
      <w:r w:rsidR="003F0BF0">
        <w:rPr>
          <w:rFonts w:ascii="Arial" w:hAnsi="Arial" w:cs="Arial"/>
          <w:szCs w:val="24"/>
        </w:rPr>
        <w:t xml:space="preserve"> </w:t>
      </w:r>
      <w:r w:rsidR="002C467C">
        <w:rPr>
          <w:rFonts w:ascii="Arial" w:hAnsi="Arial" w:cs="Arial"/>
          <w:szCs w:val="24"/>
        </w:rPr>
        <w:t>el 09-06-2017 elevó solicitud de reconocimiento y pago de pensi</w:t>
      </w:r>
      <w:r w:rsidR="00C631C1">
        <w:rPr>
          <w:rFonts w:ascii="Arial" w:hAnsi="Arial" w:cs="Arial"/>
          <w:szCs w:val="24"/>
        </w:rPr>
        <w:t>ón de sobreviviente</w:t>
      </w:r>
      <w:r w:rsidR="003F0BF0">
        <w:rPr>
          <w:rFonts w:ascii="Arial" w:hAnsi="Arial" w:cs="Arial"/>
          <w:szCs w:val="24"/>
        </w:rPr>
        <w:t xml:space="preserve"> que se le negó </w:t>
      </w:r>
      <w:r w:rsidR="00C631C1">
        <w:rPr>
          <w:rFonts w:ascii="Arial" w:hAnsi="Arial" w:cs="Arial"/>
          <w:szCs w:val="24"/>
        </w:rPr>
        <w:t>a través de resolución SUB 149103 del 05-08-2017</w:t>
      </w:r>
      <w:r w:rsidR="003F0BF0">
        <w:rPr>
          <w:rFonts w:ascii="Arial" w:hAnsi="Arial" w:cs="Arial"/>
          <w:szCs w:val="24"/>
        </w:rPr>
        <w:t xml:space="preserve"> </w:t>
      </w:r>
      <w:r w:rsidR="00C631C1">
        <w:rPr>
          <w:rFonts w:ascii="Arial" w:hAnsi="Arial" w:cs="Arial"/>
          <w:szCs w:val="24"/>
        </w:rPr>
        <w:t xml:space="preserve">por </w:t>
      </w:r>
      <w:r w:rsidR="003F0BF0">
        <w:rPr>
          <w:rFonts w:ascii="Arial" w:hAnsi="Arial" w:cs="Arial"/>
          <w:szCs w:val="24"/>
        </w:rPr>
        <w:t xml:space="preserve">ser </w:t>
      </w:r>
      <w:r w:rsidR="00C631C1">
        <w:rPr>
          <w:rFonts w:ascii="Arial" w:hAnsi="Arial" w:cs="Arial"/>
          <w:szCs w:val="24"/>
        </w:rPr>
        <w:t>incompatib</w:t>
      </w:r>
      <w:r w:rsidR="003F0BF0">
        <w:rPr>
          <w:rFonts w:ascii="Arial" w:hAnsi="Arial" w:cs="Arial"/>
          <w:szCs w:val="24"/>
        </w:rPr>
        <w:t xml:space="preserve">le con </w:t>
      </w:r>
      <w:r w:rsidR="00C631C1">
        <w:rPr>
          <w:rFonts w:ascii="Arial" w:hAnsi="Arial" w:cs="Arial"/>
          <w:szCs w:val="24"/>
        </w:rPr>
        <w:t xml:space="preserve">la indemnización </w:t>
      </w:r>
      <w:r w:rsidR="003F0BF0">
        <w:rPr>
          <w:rFonts w:ascii="Arial" w:hAnsi="Arial" w:cs="Arial"/>
          <w:szCs w:val="24"/>
        </w:rPr>
        <w:t xml:space="preserve">sustitutiva de la pensión de vejez </w:t>
      </w:r>
      <w:r w:rsidR="00C631C1">
        <w:rPr>
          <w:rFonts w:ascii="Arial" w:hAnsi="Arial" w:cs="Arial"/>
          <w:szCs w:val="24"/>
        </w:rPr>
        <w:t xml:space="preserve">y </w:t>
      </w:r>
      <w:r w:rsidR="003F0BF0">
        <w:rPr>
          <w:rFonts w:ascii="Arial" w:hAnsi="Arial" w:cs="Arial"/>
          <w:szCs w:val="24"/>
        </w:rPr>
        <w:t xml:space="preserve">ser </w:t>
      </w:r>
      <w:r w:rsidR="00C631C1">
        <w:rPr>
          <w:rFonts w:ascii="Arial" w:hAnsi="Arial" w:cs="Arial"/>
          <w:szCs w:val="24"/>
        </w:rPr>
        <w:t>imposib</w:t>
      </w:r>
      <w:r w:rsidR="003F0BF0">
        <w:rPr>
          <w:rFonts w:ascii="Arial" w:hAnsi="Arial" w:cs="Arial"/>
          <w:szCs w:val="24"/>
        </w:rPr>
        <w:t xml:space="preserve">le la </w:t>
      </w:r>
      <w:r w:rsidR="00C631C1">
        <w:rPr>
          <w:rFonts w:ascii="Arial" w:hAnsi="Arial" w:cs="Arial"/>
          <w:szCs w:val="24"/>
        </w:rPr>
        <w:t>re afiliación</w:t>
      </w:r>
      <w:r w:rsidR="003F0BF0">
        <w:rPr>
          <w:rFonts w:ascii="Arial" w:hAnsi="Arial" w:cs="Arial"/>
          <w:szCs w:val="24"/>
        </w:rPr>
        <w:t xml:space="preserve"> s</w:t>
      </w:r>
      <w:r w:rsidR="00C631C1">
        <w:rPr>
          <w:rFonts w:ascii="Arial" w:hAnsi="Arial" w:cs="Arial"/>
          <w:szCs w:val="24"/>
        </w:rPr>
        <w:t>urtid</w:t>
      </w:r>
      <w:r w:rsidR="003F0BF0">
        <w:rPr>
          <w:rFonts w:ascii="Arial" w:hAnsi="Arial" w:cs="Arial"/>
          <w:szCs w:val="24"/>
        </w:rPr>
        <w:t>a aquella</w:t>
      </w:r>
      <w:r w:rsidR="00C20603">
        <w:rPr>
          <w:rFonts w:ascii="Arial" w:hAnsi="Arial" w:cs="Arial"/>
          <w:szCs w:val="24"/>
        </w:rPr>
        <w:t>;</w:t>
      </w:r>
      <w:r w:rsidR="007F7608">
        <w:rPr>
          <w:rFonts w:ascii="Arial" w:hAnsi="Arial" w:cs="Arial"/>
          <w:szCs w:val="24"/>
        </w:rPr>
        <w:t xml:space="preserve"> decisión que se confirmó </w:t>
      </w:r>
      <w:r w:rsidR="00C20603">
        <w:rPr>
          <w:rFonts w:ascii="Arial" w:hAnsi="Arial" w:cs="Arial"/>
          <w:szCs w:val="24"/>
        </w:rPr>
        <w:t>el 20-09-2017.</w:t>
      </w:r>
    </w:p>
    <w:p w:rsidR="00DC7456" w:rsidRDefault="00DC7456" w:rsidP="008F3925">
      <w:pPr>
        <w:spacing w:line="300" w:lineRule="auto"/>
        <w:jc w:val="both"/>
        <w:rPr>
          <w:rFonts w:ascii="Arial" w:hAnsi="Arial" w:cs="Arial"/>
          <w:szCs w:val="24"/>
        </w:rPr>
      </w:pPr>
    </w:p>
    <w:p w:rsidR="00C20603" w:rsidRDefault="00C20603" w:rsidP="008F3925">
      <w:pPr>
        <w:spacing w:line="300" w:lineRule="auto"/>
        <w:jc w:val="both"/>
        <w:rPr>
          <w:rFonts w:ascii="Arial" w:hAnsi="Arial" w:cs="Arial"/>
          <w:szCs w:val="24"/>
        </w:rPr>
      </w:pPr>
      <w:r>
        <w:rPr>
          <w:rFonts w:ascii="Arial" w:hAnsi="Arial" w:cs="Arial"/>
          <w:b/>
          <w:szCs w:val="24"/>
        </w:rPr>
        <w:t xml:space="preserve">La Administradora Colombiana de Pensiones </w:t>
      </w:r>
      <w:r w:rsidR="00652E69">
        <w:rPr>
          <w:rFonts w:ascii="Arial" w:hAnsi="Arial" w:cs="Arial"/>
          <w:b/>
          <w:szCs w:val="24"/>
        </w:rPr>
        <w:t>–</w:t>
      </w:r>
      <w:r>
        <w:rPr>
          <w:rFonts w:ascii="Arial" w:hAnsi="Arial" w:cs="Arial"/>
          <w:b/>
          <w:szCs w:val="24"/>
        </w:rPr>
        <w:t xml:space="preserve"> Colpensiones</w:t>
      </w:r>
      <w:r w:rsidR="00652E69">
        <w:rPr>
          <w:rFonts w:ascii="Arial" w:hAnsi="Arial" w:cs="Arial"/>
          <w:b/>
          <w:szCs w:val="24"/>
        </w:rPr>
        <w:t xml:space="preserve"> </w:t>
      </w:r>
      <w:r>
        <w:rPr>
          <w:rFonts w:ascii="Arial" w:hAnsi="Arial" w:cs="Arial"/>
          <w:szCs w:val="24"/>
        </w:rPr>
        <w:t>se opuso a todas las pretensiones de la demanda y como razones de defensa esbozo que</w:t>
      </w:r>
      <w:r w:rsidR="00111F34">
        <w:rPr>
          <w:rFonts w:ascii="Arial" w:hAnsi="Arial" w:cs="Arial"/>
          <w:szCs w:val="24"/>
        </w:rPr>
        <w:t xml:space="preserve"> a</w:t>
      </w:r>
      <w:r>
        <w:rPr>
          <w:rFonts w:ascii="Arial" w:hAnsi="Arial" w:cs="Arial"/>
          <w:szCs w:val="24"/>
        </w:rPr>
        <w:t xml:space="preserve">l </w:t>
      </w:r>
      <w:r w:rsidR="00544D14">
        <w:rPr>
          <w:rFonts w:ascii="Arial" w:hAnsi="Arial" w:cs="Arial"/>
          <w:szCs w:val="24"/>
        </w:rPr>
        <w:t xml:space="preserve">manifestar el </w:t>
      </w:r>
      <w:r>
        <w:rPr>
          <w:rFonts w:ascii="Arial" w:hAnsi="Arial" w:cs="Arial"/>
          <w:szCs w:val="24"/>
        </w:rPr>
        <w:t>señor Suárez Garzón</w:t>
      </w:r>
      <w:r w:rsidR="00544D14">
        <w:rPr>
          <w:rFonts w:ascii="Arial" w:hAnsi="Arial" w:cs="Arial"/>
          <w:szCs w:val="24"/>
        </w:rPr>
        <w:t xml:space="preserve"> </w:t>
      </w:r>
      <w:r>
        <w:rPr>
          <w:rFonts w:ascii="Arial" w:hAnsi="Arial" w:cs="Arial"/>
          <w:szCs w:val="24"/>
        </w:rPr>
        <w:t xml:space="preserve">no querer seguir aportando al sistema de seguridad social se le </w:t>
      </w:r>
      <w:r w:rsidR="00C13EB6">
        <w:rPr>
          <w:rFonts w:ascii="Arial" w:hAnsi="Arial" w:cs="Arial"/>
          <w:szCs w:val="24"/>
        </w:rPr>
        <w:t>reconoció</w:t>
      </w:r>
      <w:r w:rsidR="00544D14">
        <w:rPr>
          <w:rFonts w:ascii="Arial" w:hAnsi="Arial" w:cs="Arial"/>
          <w:szCs w:val="24"/>
        </w:rPr>
        <w:t xml:space="preserve"> la</w:t>
      </w:r>
      <w:r>
        <w:rPr>
          <w:rFonts w:ascii="Arial" w:hAnsi="Arial" w:cs="Arial"/>
          <w:szCs w:val="24"/>
        </w:rPr>
        <w:t xml:space="preserve"> indemnización sustitutiva de pensión de vejez </w:t>
      </w:r>
      <w:r w:rsidR="00544D14">
        <w:rPr>
          <w:rFonts w:ascii="Arial" w:hAnsi="Arial" w:cs="Arial"/>
          <w:szCs w:val="24"/>
        </w:rPr>
        <w:t>en el año 20</w:t>
      </w:r>
      <w:r>
        <w:rPr>
          <w:rFonts w:ascii="Arial" w:hAnsi="Arial" w:cs="Arial"/>
          <w:szCs w:val="24"/>
        </w:rPr>
        <w:t>15</w:t>
      </w:r>
      <w:r w:rsidR="00544D14">
        <w:rPr>
          <w:rFonts w:ascii="Arial" w:hAnsi="Arial" w:cs="Arial"/>
          <w:szCs w:val="24"/>
        </w:rPr>
        <w:t>, por lo que las</w:t>
      </w:r>
      <w:r w:rsidR="00F029D8">
        <w:rPr>
          <w:rFonts w:ascii="Arial" w:hAnsi="Arial" w:cs="Arial"/>
          <w:szCs w:val="24"/>
        </w:rPr>
        <w:t xml:space="preserve"> semanas que obran en la historia laboral con posterioridad a las que fueron incluidas en la liquidación de la indemnización sustitutiva no pueden ser tenidas en cuenta</w:t>
      </w:r>
      <w:r w:rsidR="00544D14">
        <w:rPr>
          <w:rFonts w:ascii="Arial" w:hAnsi="Arial" w:cs="Arial"/>
          <w:szCs w:val="24"/>
        </w:rPr>
        <w:t xml:space="preserve">, al ser improcedente </w:t>
      </w:r>
      <w:r w:rsidR="00F029D8">
        <w:rPr>
          <w:rFonts w:ascii="Arial" w:hAnsi="Arial" w:cs="Arial"/>
          <w:szCs w:val="24"/>
        </w:rPr>
        <w:t>e</w:t>
      </w:r>
      <w:r w:rsidR="00544D14">
        <w:rPr>
          <w:rFonts w:ascii="Arial" w:hAnsi="Arial" w:cs="Arial"/>
          <w:szCs w:val="24"/>
        </w:rPr>
        <w:t>l</w:t>
      </w:r>
      <w:r w:rsidR="00F029D8">
        <w:rPr>
          <w:rFonts w:ascii="Arial" w:hAnsi="Arial" w:cs="Arial"/>
          <w:szCs w:val="24"/>
        </w:rPr>
        <w:t xml:space="preserve"> reconocimiento de una nueva prestación con fundamento en el artículo 6 del D-17-30 de 2001 y articulo 24 del D-758 de 1990.</w:t>
      </w:r>
      <w:r>
        <w:rPr>
          <w:rFonts w:ascii="Arial" w:hAnsi="Arial" w:cs="Arial"/>
          <w:szCs w:val="24"/>
        </w:rPr>
        <w:t xml:space="preserve"> </w:t>
      </w:r>
    </w:p>
    <w:p w:rsidR="00B1139C" w:rsidRDefault="00B1139C" w:rsidP="008F3925">
      <w:pPr>
        <w:pStyle w:val="Sinespaciado"/>
        <w:spacing w:line="300" w:lineRule="auto"/>
        <w:rPr>
          <w:rFonts w:ascii="Arial" w:hAnsi="Arial" w:cs="Arial"/>
          <w:sz w:val="24"/>
          <w:szCs w:val="24"/>
        </w:rPr>
      </w:pPr>
    </w:p>
    <w:p w:rsidR="00F029D8" w:rsidRDefault="00F029D8" w:rsidP="008F3925">
      <w:pPr>
        <w:spacing w:line="300" w:lineRule="auto"/>
        <w:rPr>
          <w:rFonts w:ascii="Arial" w:hAnsi="Arial" w:cs="Arial"/>
          <w:b/>
          <w:szCs w:val="24"/>
        </w:rPr>
      </w:pPr>
      <w:r>
        <w:rPr>
          <w:rFonts w:ascii="Arial" w:hAnsi="Arial" w:cs="Arial"/>
          <w:b/>
          <w:szCs w:val="24"/>
        </w:rPr>
        <w:t xml:space="preserve">2. </w:t>
      </w:r>
      <w:r w:rsidRPr="00715E43">
        <w:rPr>
          <w:rFonts w:ascii="Arial" w:hAnsi="Arial" w:cs="Arial"/>
          <w:b/>
          <w:szCs w:val="24"/>
        </w:rPr>
        <w:t>Síntesis de la sentencia apelada</w:t>
      </w:r>
    </w:p>
    <w:p w:rsidR="00F029D8" w:rsidRPr="00715E43" w:rsidRDefault="00F029D8" w:rsidP="008F3925">
      <w:pPr>
        <w:spacing w:line="300" w:lineRule="auto"/>
        <w:rPr>
          <w:rFonts w:ascii="Arial" w:hAnsi="Arial" w:cs="Arial"/>
          <w:b/>
          <w:szCs w:val="24"/>
        </w:rPr>
      </w:pPr>
    </w:p>
    <w:p w:rsidR="00F029D8" w:rsidRDefault="00F029D8" w:rsidP="008F3925">
      <w:pPr>
        <w:spacing w:line="300"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 xml:space="preserve">El Juzgado </w:t>
      </w:r>
      <w:r>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F80DDC">
        <w:rPr>
          <w:rFonts w:ascii="Arial" w:hAnsi="Arial" w:cs="Arial"/>
          <w:color w:val="000000"/>
          <w:szCs w:val="24"/>
          <w:lang w:eastAsia="es-CO"/>
        </w:rPr>
        <w:t xml:space="preserve">reconoció a la actora la pensión de sobrevivientes a partir del 7-10-2016 en cuantía de 1 </w:t>
      </w:r>
      <w:proofErr w:type="spellStart"/>
      <w:r w:rsidR="00F80DDC">
        <w:rPr>
          <w:rFonts w:ascii="Arial" w:hAnsi="Arial" w:cs="Arial"/>
          <w:color w:val="000000"/>
          <w:szCs w:val="24"/>
          <w:lang w:eastAsia="es-CO"/>
        </w:rPr>
        <w:t>SMLMV</w:t>
      </w:r>
      <w:proofErr w:type="spellEnd"/>
      <w:r w:rsidR="00F80DDC">
        <w:rPr>
          <w:rFonts w:ascii="Arial" w:hAnsi="Arial" w:cs="Arial"/>
          <w:color w:val="000000"/>
          <w:szCs w:val="24"/>
          <w:lang w:eastAsia="es-CO"/>
        </w:rPr>
        <w:t xml:space="preserve">, con derecho a 13 mesadas anuales; dispuso el pago del retroactivo causado hasta el 30-04-2019 </w:t>
      </w:r>
      <w:r>
        <w:rPr>
          <w:rFonts w:ascii="Arial" w:hAnsi="Arial" w:cs="Arial"/>
          <w:color w:val="000000"/>
          <w:szCs w:val="24"/>
          <w:lang w:eastAsia="es-CO"/>
        </w:rPr>
        <w:t>y condenó en costas procesales a la demandada</w:t>
      </w:r>
      <w:r w:rsidR="00F80DDC">
        <w:rPr>
          <w:rFonts w:ascii="Arial" w:hAnsi="Arial" w:cs="Arial"/>
          <w:color w:val="000000"/>
          <w:szCs w:val="24"/>
          <w:lang w:eastAsia="es-CO"/>
        </w:rPr>
        <w:t xml:space="preserve"> en 98%</w:t>
      </w:r>
      <w:r>
        <w:rPr>
          <w:rFonts w:ascii="Arial" w:hAnsi="Arial" w:cs="Arial"/>
          <w:color w:val="000000"/>
          <w:szCs w:val="24"/>
          <w:lang w:eastAsia="es-CO"/>
        </w:rPr>
        <w:t>.</w:t>
      </w:r>
    </w:p>
    <w:p w:rsidR="00F029D8" w:rsidRDefault="00F029D8" w:rsidP="008F3925">
      <w:pPr>
        <w:spacing w:line="300" w:lineRule="auto"/>
        <w:jc w:val="both"/>
        <w:rPr>
          <w:rFonts w:ascii="Arial" w:hAnsi="Arial" w:cs="Arial"/>
          <w:color w:val="000000"/>
          <w:szCs w:val="24"/>
          <w:lang w:eastAsia="es-CO"/>
        </w:rPr>
      </w:pPr>
    </w:p>
    <w:p w:rsidR="00496A1E" w:rsidRDefault="00F029D8" w:rsidP="008F3925">
      <w:pPr>
        <w:spacing w:line="300" w:lineRule="auto"/>
        <w:jc w:val="both"/>
        <w:rPr>
          <w:rFonts w:ascii="Arial" w:hAnsi="Arial" w:cs="Arial"/>
          <w:color w:val="000000"/>
          <w:szCs w:val="24"/>
          <w:lang w:eastAsia="es-CO"/>
        </w:rPr>
      </w:pPr>
      <w:r w:rsidRPr="00385650">
        <w:rPr>
          <w:rFonts w:ascii="Arial" w:hAnsi="Arial" w:cs="Arial"/>
          <w:color w:val="000000"/>
          <w:szCs w:val="24"/>
          <w:lang w:eastAsia="es-CO"/>
        </w:rPr>
        <w:t>Para arribar</w:t>
      </w:r>
      <w:r>
        <w:rPr>
          <w:rFonts w:ascii="Arial" w:hAnsi="Arial" w:cs="Arial"/>
          <w:color w:val="000000"/>
          <w:szCs w:val="24"/>
          <w:lang w:eastAsia="es-CO"/>
        </w:rPr>
        <w:t xml:space="preserve"> a la anterior decisión, expuso que</w:t>
      </w:r>
      <w:r w:rsidR="00B6478A">
        <w:rPr>
          <w:rFonts w:ascii="Arial" w:hAnsi="Arial" w:cs="Arial"/>
          <w:color w:val="000000"/>
          <w:szCs w:val="24"/>
          <w:lang w:eastAsia="es-CO"/>
        </w:rPr>
        <w:t xml:space="preserve"> </w:t>
      </w:r>
      <w:r w:rsidR="00510CEB">
        <w:rPr>
          <w:rFonts w:ascii="Arial" w:hAnsi="Arial" w:cs="Arial"/>
          <w:color w:val="000000"/>
          <w:szCs w:val="24"/>
          <w:lang w:eastAsia="es-CO"/>
        </w:rPr>
        <w:t>e</w:t>
      </w:r>
      <w:r w:rsidR="00B6478A">
        <w:rPr>
          <w:rFonts w:ascii="Arial" w:hAnsi="Arial" w:cs="Arial"/>
          <w:color w:val="000000"/>
          <w:szCs w:val="24"/>
          <w:lang w:eastAsia="es-CO"/>
        </w:rPr>
        <w:t>s</w:t>
      </w:r>
      <w:r w:rsidR="00510CEB">
        <w:rPr>
          <w:rFonts w:ascii="Arial" w:hAnsi="Arial" w:cs="Arial"/>
          <w:color w:val="000000"/>
          <w:szCs w:val="24"/>
          <w:lang w:eastAsia="es-CO"/>
        </w:rPr>
        <w:t xml:space="preserve"> compatible</w:t>
      </w:r>
      <w:r w:rsidR="00B6478A">
        <w:rPr>
          <w:rFonts w:ascii="Arial" w:hAnsi="Arial" w:cs="Arial"/>
          <w:color w:val="000000"/>
          <w:szCs w:val="24"/>
          <w:lang w:eastAsia="es-CO"/>
        </w:rPr>
        <w:t xml:space="preserve"> la indemnización sustitutiva de la pensión de vejez con la pensión de sobreviviente, al compartir la tesis expuesta por nuestra superioridad</w:t>
      </w:r>
      <w:r w:rsidR="00EF4968">
        <w:rPr>
          <w:rFonts w:ascii="Arial" w:hAnsi="Arial" w:cs="Arial"/>
          <w:color w:val="000000"/>
          <w:szCs w:val="24"/>
          <w:lang w:eastAsia="es-CO"/>
        </w:rPr>
        <w:t>,</w:t>
      </w:r>
      <w:r w:rsidR="0009380A">
        <w:rPr>
          <w:rFonts w:ascii="Arial" w:hAnsi="Arial" w:cs="Arial"/>
          <w:color w:val="000000"/>
          <w:szCs w:val="24"/>
          <w:lang w:eastAsia="es-CO"/>
        </w:rPr>
        <w:t xml:space="preserve"> al ser riesgos distintos</w:t>
      </w:r>
      <w:r w:rsidR="0009380A" w:rsidRPr="009D0CF8">
        <w:rPr>
          <w:rFonts w:ascii="Arial" w:hAnsi="Arial" w:cs="Arial"/>
          <w:color w:val="000000"/>
          <w:szCs w:val="24"/>
          <w:lang w:eastAsia="es-CO"/>
        </w:rPr>
        <w:t>.</w:t>
      </w:r>
    </w:p>
    <w:p w:rsidR="00496A1E" w:rsidRDefault="00496A1E" w:rsidP="008F3925">
      <w:pPr>
        <w:spacing w:line="300" w:lineRule="auto"/>
        <w:jc w:val="both"/>
        <w:rPr>
          <w:rFonts w:ascii="Arial" w:hAnsi="Arial" w:cs="Arial"/>
          <w:color w:val="000000"/>
          <w:szCs w:val="24"/>
          <w:lang w:eastAsia="es-CO"/>
        </w:rPr>
      </w:pPr>
    </w:p>
    <w:p w:rsidR="00F029D8" w:rsidRDefault="0009380A" w:rsidP="008F3925">
      <w:pPr>
        <w:spacing w:line="300" w:lineRule="auto"/>
        <w:jc w:val="both"/>
        <w:rPr>
          <w:rFonts w:ascii="Arial" w:hAnsi="Arial" w:cs="Arial"/>
          <w:color w:val="000000"/>
          <w:szCs w:val="24"/>
          <w:lang w:eastAsia="es-CO"/>
        </w:rPr>
      </w:pPr>
      <w:r>
        <w:rPr>
          <w:rFonts w:ascii="Arial" w:hAnsi="Arial" w:cs="Arial"/>
          <w:color w:val="000000"/>
          <w:szCs w:val="24"/>
          <w:lang w:eastAsia="es-CO"/>
        </w:rPr>
        <w:t xml:space="preserve">Ahora, en relación con la pensión en mención apuntó que </w:t>
      </w:r>
      <w:r w:rsidR="00B6478A">
        <w:rPr>
          <w:rFonts w:ascii="Arial" w:hAnsi="Arial" w:cs="Arial"/>
          <w:color w:val="000000"/>
          <w:szCs w:val="24"/>
          <w:lang w:eastAsia="es-CO"/>
        </w:rPr>
        <w:t xml:space="preserve">el afiliado </w:t>
      </w:r>
      <w:r>
        <w:rPr>
          <w:rFonts w:ascii="Arial" w:hAnsi="Arial" w:cs="Arial"/>
          <w:color w:val="000000"/>
          <w:szCs w:val="24"/>
          <w:lang w:eastAsia="es-CO"/>
        </w:rPr>
        <w:t xml:space="preserve">la </w:t>
      </w:r>
      <w:r w:rsidR="00B6478A">
        <w:rPr>
          <w:rFonts w:ascii="Arial" w:hAnsi="Arial" w:cs="Arial"/>
          <w:color w:val="000000"/>
          <w:szCs w:val="24"/>
          <w:lang w:eastAsia="es-CO"/>
        </w:rPr>
        <w:t>dejó causada</w:t>
      </w:r>
      <w:r>
        <w:rPr>
          <w:rFonts w:ascii="Arial" w:hAnsi="Arial" w:cs="Arial"/>
          <w:color w:val="000000"/>
          <w:szCs w:val="24"/>
          <w:lang w:eastAsia="es-CO"/>
        </w:rPr>
        <w:t xml:space="preserve"> </w:t>
      </w:r>
      <w:r w:rsidR="00B6478A">
        <w:rPr>
          <w:rFonts w:ascii="Arial" w:hAnsi="Arial" w:cs="Arial"/>
          <w:color w:val="000000"/>
          <w:szCs w:val="24"/>
          <w:lang w:eastAsia="es-CO"/>
        </w:rPr>
        <w:t xml:space="preserve">al tenor de la ley 797 de 2003 </w:t>
      </w:r>
      <w:r>
        <w:rPr>
          <w:rFonts w:ascii="Arial" w:hAnsi="Arial" w:cs="Arial"/>
          <w:color w:val="000000"/>
          <w:szCs w:val="24"/>
          <w:lang w:eastAsia="es-CO"/>
        </w:rPr>
        <w:t>por</w:t>
      </w:r>
      <w:r w:rsidR="00B6478A">
        <w:rPr>
          <w:rFonts w:ascii="Arial" w:hAnsi="Arial" w:cs="Arial"/>
          <w:color w:val="000000"/>
          <w:szCs w:val="24"/>
          <w:lang w:eastAsia="es-CO"/>
        </w:rPr>
        <w:t xml:space="preserve"> cotizar</w:t>
      </w:r>
      <w:r w:rsidR="00F029D8">
        <w:rPr>
          <w:rFonts w:ascii="Arial" w:hAnsi="Arial" w:cs="Arial"/>
          <w:color w:val="000000"/>
          <w:szCs w:val="24"/>
          <w:lang w:eastAsia="es-CO"/>
        </w:rPr>
        <w:t xml:space="preserve"> 50 semanas durante l</w:t>
      </w:r>
      <w:r w:rsidR="0097416D">
        <w:rPr>
          <w:rFonts w:ascii="Arial" w:hAnsi="Arial" w:cs="Arial"/>
          <w:color w:val="000000"/>
          <w:szCs w:val="24"/>
          <w:lang w:eastAsia="es-CO"/>
        </w:rPr>
        <w:t xml:space="preserve">os 3 años anteriores al deceso </w:t>
      </w:r>
      <w:r w:rsidR="0061744E">
        <w:rPr>
          <w:rFonts w:ascii="Arial" w:hAnsi="Arial" w:cs="Arial"/>
          <w:color w:val="000000"/>
          <w:szCs w:val="24"/>
          <w:lang w:eastAsia="es-CO"/>
        </w:rPr>
        <w:t>-</w:t>
      </w:r>
      <w:r w:rsidR="0097416D">
        <w:rPr>
          <w:rFonts w:ascii="Arial" w:hAnsi="Arial" w:cs="Arial"/>
          <w:color w:val="000000"/>
          <w:szCs w:val="24"/>
          <w:lang w:eastAsia="es-CO"/>
        </w:rPr>
        <w:t>del 07-10-2013 al 07-10-2016</w:t>
      </w:r>
      <w:r w:rsidR="0061744E">
        <w:rPr>
          <w:rFonts w:ascii="Arial" w:hAnsi="Arial" w:cs="Arial"/>
          <w:color w:val="000000"/>
          <w:szCs w:val="24"/>
          <w:lang w:eastAsia="es-CO"/>
        </w:rPr>
        <w:t>-</w:t>
      </w:r>
      <w:r w:rsidR="0097416D">
        <w:rPr>
          <w:rFonts w:ascii="Arial" w:hAnsi="Arial" w:cs="Arial"/>
          <w:color w:val="000000"/>
          <w:szCs w:val="24"/>
          <w:lang w:eastAsia="es-CO"/>
        </w:rPr>
        <w:t xml:space="preserve">, </w:t>
      </w:r>
      <w:r w:rsidR="00B6478A">
        <w:rPr>
          <w:rFonts w:ascii="Arial" w:hAnsi="Arial" w:cs="Arial"/>
          <w:color w:val="000000"/>
          <w:szCs w:val="24"/>
          <w:lang w:eastAsia="es-CO"/>
        </w:rPr>
        <w:t xml:space="preserve">concretamente </w:t>
      </w:r>
      <w:r w:rsidR="0097416D">
        <w:rPr>
          <w:rFonts w:ascii="Arial" w:hAnsi="Arial" w:cs="Arial"/>
          <w:color w:val="000000"/>
          <w:szCs w:val="24"/>
          <w:lang w:eastAsia="es-CO"/>
        </w:rPr>
        <w:t>154.42 semanas.</w:t>
      </w:r>
    </w:p>
    <w:p w:rsidR="00652CAC" w:rsidRDefault="0061744E" w:rsidP="008F3925">
      <w:pPr>
        <w:spacing w:line="300"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52CAC" w:rsidRPr="00E204CC" w:rsidRDefault="0034011A" w:rsidP="008F3925">
      <w:pPr>
        <w:spacing w:line="300" w:lineRule="auto"/>
        <w:jc w:val="both"/>
        <w:rPr>
          <w:rFonts w:ascii="Arial" w:hAnsi="Arial" w:cs="Arial"/>
        </w:rPr>
      </w:pPr>
      <w:r>
        <w:rPr>
          <w:rFonts w:ascii="Arial" w:hAnsi="Arial" w:cs="Arial"/>
          <w:color w:val="000000"/>
          <w:szCs w:val="24"/>
          <w:lang w:eastAsia="es-CO"/>
        </w:rPr>
        <w:t xml:space="preserve">Respecto a los beneficiarios señaló que la esposa acreditó la convivencia por 5 años, y dejó sentado porque no ordenó la vinculación de la hija del causante mayor de </w:t>
      </w:r>
      <w:r w:rsidR="00652CAC" w:rsidRPr="00E204CC">
        <w:rPr>
          <w:rFonts w:ascii="Arial" w:hAnsi="Arial" w:cs="Arial"/>
        </w:rPr>
        <w:t>18 años pero meno</w:t>
      </w:r>
      <w:r w:rsidR="00510CEB">
        <w:rPr>
          <w:rFonts w:ascii="Arial" w:hAnsi="Arial" w:cs="Arial"/>
        </w:rPr>
        <w:t>r</w:t>
      </w:r>
      <w:r w:rsidR="00652CAC" w:rsidRPr="00E204CC">
        <w:rPr>
          <w:rFonts w:ascii="Arial" w:hAnsi="Arial" w:cs="Arial"/>
        </w:rPr>
        <w:t xml:space="preserve"> de 25 al momento de su fallecimiento</w:t>
      </w:r>
      <w:r>
        <w:rPr>
          <w:rFonts w:ascii="Arial" w:hAnsi="Arial" w:cs="Arial"/>
        </w:rPr>
        <w:t>, lo que estimó i</w:t>
      </w:r>
      <w:r w:rsidR="00652CAC" w:rsidRPr="00E204CC">
        <w:rPr>
          <w:rFonts w:ascii="Arial" w:hAnsi="Arial" w:cs="Arial"/>
        </w:rPr>
        <w:t>nnecesario</w:t>
      </w:r>
      <w:r>
        <w:rPr>
          <w:rFonts w:ascii="Arial" w:hAnsi="Arial" w:cs="Arial"/>
        </w:rPr>
        <w:t xml:space="preserve"> al deponer los testigos que solo </w:t>
      </w:r>
      <w:r w:rsidR="00652CAC" w:rsidRPr="00E204CC">
        <w:rPr>
          <w:rFonts w:ascii="Arial" w:hAnsi="Arial" w:cs="Arial"/>
        </w:rPr>
        <w:t xml:space="preserve">estaba haciendo cursos informales </w:t>
      </w:r>
      <w:r>
        <w:rPr>
          <w:rFonts w:ascii="Arial" w:hAnsi="Arial" w:cs="Arial"/>
        </w:rPr>
        <w:t xml:space="preserve">y se </w:t>
      </w:r>
      <w:r w:rsidR="00652CAC" w:rsidRPr="00E204CC">
        <w:rPr>
          <w:rFonts w:ascii="Arial" w:hAnsi="Arial" w:cs="Arial"/>
        </w:rPr>
        <w:t>emancip</w:t>
      </w:r>
      <w:r>
        <w:rPr>
          <w:rFonts w:ascii="Arial" w:hAnsi="Arial" w:cs="Arial"/>
        </w:rPr>
        <w:t xml:space="preserve">ó al tener </w:t>
      </w:r>
      <w:r w:rsidR="00652CAC" w:rsidRPr="00E204CC">
        <w:rPr>
          <w:rFonts w:ascii="Arial" w:hAnsi="Arial" w:cs="Arial"/>
        </w:rPr>
        <w:t xml:space="preserve"> que para la época del fallecimiento</w:t>
      </w:r>
      <w:r w:rsidR="00496A1E">
        <w:rPr>
          <w:rFonts w:ascii="Arial" w:hAnsi="Arial" w:cs="Arial"/>
        </w:rPr>
        <w:t xml:space="preserve"> </w:t>
      </w:r>
      <w:r w:rsidR="00652CAC" w:rsidRPr="00E204CC">
        <w:rPr>
          <w:rFonts w:ascii="Arial" w:hAnsi="Arial" w:cs="Arial"/>
        </w:rPr>
        <w:t>u</w:t>
      </w:r>
      <w:r w:rsidR="00E204CC" w:rsidRPr="00E204CC">
        <w:rPr>
          <w:rFonts w:ascii="Arial" w:hAnsi="Arial" w:cs="Arial"/>
        </w:rPr>
        <w:t>na hija</w:t>
      </w:r>
      <w:r w:rsidR="00496A1E">
        <w:rPr>
          <w:rFonts w:ascii="Arial" w:hAnsi="Arial" w:cs="Arial"/>
        </w:rPr>
        <w:t xml:space="preserve">. </w:t>
      </w:r>
    </w:p>
    <w:p w:rsidR="00F029D8" w:rsidRPr="00E204CC" w:rsidRDefault="00F029D8" w:rsidP="008F3925">
      <w:pPr>
        <w:spacing w:line="300" w:lineRule="auto"/>
        <w:jc w:val="both"/>
        <w:rPr>
          <w:rFonts w:ascii="Arial" w:hAnsi="Arial" w:cs="Arial"/>
          <w:color w:val="000000" w:themeColor="text1"/>
          <w:szCs w:val="24"/>
          <w:lang w:val="es-CO"/>
        </w:rPr>
      </w:pPr>
    </w:p>
    <w:p w:rsidR="00F029D8" w:rsidRPr="00EA263F" w:rsidRDefault="00F029D8" w:rsidP="008F3925">
      <w:pPr>
        <w:spacing w:line="300" w:lineRule="auto"/>
        <w:rPr>
          <w:rFonts w:ascii="Arial" w:hAnsi="Arial" w:cs="Arial"/>
          <w:b/>
          <w:szCs w:val="24"/>
        </w:rPr>
      </w:pPr>
      <w:r w:rsidRPr="00EA263F">
        <w:rPr>
          <w:rFonts w:ascii="Arial" w:hAnsi="Arial" w:cs="Arial"/>
          <w:b/>
          <w:szCs w:val="24"/>
        </w:rPr>
        <w:t xml:space="preserve">3. </w:t>
      </w:r>
      <w:r>
        <w:rPr>
          <w:rFonts w:ascii="Arial" w:hAnsi="Arial" w:cs="Arial"/>
          <w:b/>
          <w:szCs w:val="24"/>
        </w:rPr>
        <w:t xml:space="preserve">Síntesis recurso de apelación </w:t>
      </w:r>
    </w:p>
    <w:p w:rsidR="00F029D8" w:rsidRDefault="00F029D8" w:rsidP="008F3925">
      <w:pPr>
        <w:spacing w:line="300" w:lineRule="auto"/>
        <w:rPr>
          <w:rFonts w:ascii="Arial" w:hAnsi="Arial" w:cs="Arial"/>
          <w:b/>
          <w:szCs w:val="24"/>
        </w:rPr>
      </w:pPr>
    </w:p>
    <w:p w:rsidR="001779FC" w:rsidRDefault="00F029D8" w:rsidP="008F3925">
      <w:pPr>
        <w:spacing w:line="300" w:lineRule="auto"/>
        <w:jc w:val="both"/>
        <w:rPr>
          <w:rFonts w:ascii="Arial" w:hAnsi="Arial" w:cs="Arial"/>
          <w:color w:val="000000" w:themeColor="text1"/>
          <w:szCs w:val="24"/>
          <w:lang w:val="es-CO"/>
        </w:rPr>
      </w:pPr>
      <w:r w:rsidRPr="0061484D">
        <w:rPr>
          <w:rFonts w:ascii="Arial" w:hAnsi="Arial" w:cs="Arial"/>
          <w:color w:val="000000"/>
          <w:szCs w:val="24"/>
          <w:lang w:eastAsia="es-CO"/>
        </w:rPr>
        <w:t>Contra la anterior decisión s</w:t>
      </w:r>
      <w:r>
        <w:rPr>
          <w:rFonts w:ascii="Arial" w:hAnsi="Arial" w:cs="Arial"/>
          <w:color w:val="000000"/>
          <w:szCs w:val="24"/>
          <w:lang w:eastAsia="es-CO"/>
        </w:rPr>
        <w:t xml:space="preserve">e </w:t>
      </w:r>
      <w:r w:rsidR="001779FC">
        <w:rPr>
          <w:rFonts w:ascii="Arial" w:hAnsi="Arial" w:cs="Arial"/>
          <w:color w:val="000000"/>
          <w:szCs w:val="24"/>
          <w:lang w:eastAsia="es-CO"/>
        </w:rPr>
        <w:t>alzó la parte demandada</w:t>
      </w:r>
      <w:r>
        <w:rPr>
          <w:rFonts w:ascii="Arial" w:hAnsi="Arial" w:cs="Arial"/>
          <w:color w:val="000000"/>
          <w:szCs w:val="24"/>
          <w:lang w:eastAsia="es-CO"/>
        </w:rPr>
        <w:t xml:space="preserve"> al considerar que</w:t>
      </w:r>
      <w:r w:rsidRPr="009D22A9">
        <w:rPr>
          <w:rFonts w:ascii="Arial" w:hAnsi="Arial" w:cs="Arial"/>
          <w:color w:val="000000" w:themeColor="text1"/>
          <w:szCs w:val="24"/>
          <w:lang w:val="es-CO"/>
        </w:rPr>
        <w:t xml:space="preserve"> </w:t>
      </w:r>
      <w:r w:rsidR="001779FC">
        <w:rPr>
          <w:rFonts w:ascii="Arial" w:hAnsi="Arial" w:cs="Arial"/>
          <w:color w:val="000000" w:themeColor="text1"/>
          <w:szCs w:val="24"/>
          <w:lang w:val="es-CO"/>
        </w:rPr>
        <w:t>no es viable el reconocimiento pensional de sobreviviente</w:t>
      </w:r>
      <w:r w:rsidR="006B0B3D">
        <w:rPr>
          <w:rFonts w:ascii="Arial" w:hAnsi="Arial" w:cs="Arial"/>
          <w:color w:val="000000" w:themeColor="text1"/>
          <w:szCs w:val="24"/>
          <w:lang w:val="es-CO"/>
        </w:rPr>
        <w:t>s</w:t>
      </w:r>
      <w:r w:rsidR="001779FC">
        <w:rPr>
          <w:rFonts w:ascii="Arial" w:hAnsi="Arial" w:cs="Arial"/>
          <w:color w:val="000000" w:themeColor="text1"/>
          <w:szCs w:val="24"/>
          <w:lang w:val="es-CO"/>
        </w:rPr>
        <w:t xml:space="preserve"> a favor de la actora p</w:t>
      </w:r>
      <w:r w:rsidR="006B0B3D">
        <w:rPr>
          <w:rFonts w:ascii="Arial" w:hAnsi="Arial" w:cs="Arial"/>
          <w:color w:val="000000" w:themeColor="text1"/>
          <w:szCs w:val="24"/>
          <w:lang w:val="es-CO"/>
        </w:rPr>
        <w:t xml:space="preserve">or ser incompatible con </w:t>
      </w:r>
      <w:r w:rsidR="001779FC">
        <w:rPr>
          <w:rFonts w:ascii="Arial" w:hAnsi="Arial" w:cs="Arial"/>
          <w:color w:val="000000" w:themeColor="text1"/>
          <w:szCs w:val="24"/>
          <w:lang w:val="es-CO"/>
        </w:rPr>
        <w:t>el reconocimiento de la</w:t>
      </w:r>
      <w:r w:rsidR="006B0B3D">
        <w:rPr>
          <w:rFonts w:ascii="Arial" w:hAnsi="Arial" w:cs="Arial"/>
          <w:color w:val="000000" w:themeColor="text1"/>
          <w:szCs w:val="24"/>
          <w:lang w:val="es-CO"/>
        </w:rPr>
        <w:t xml:space="preserve"> indemnización sustitutiva de</w:t>
      </w:r>
      <w:r w:rsidR="001779FC">
        <w:rPr>
          <w:rFonts w:ascii="Arial" w:hAnsi="Arial" w:cs="Arial"/>
          <w:color w:val="000000" w:themeColor="text1"/>
          <w:szCs w:val="24"/>
          <w:lang w:val="es-CO"/>
        </w:rPr>
        <w:t xml:space="preserve"> vejez</w:t>
      </w:r>
      <w:r w:rsidR="006B0B3D">
        <w:rPr>
          <w:rFonts w:ascii="Arial" w:hAnsi="Arial" w:cs="Arial"/>
          <w:color w:val="000000" w:themeColor="text1"/>
          <w:szCs w:val="24"/>
          <w:lang w:val="es-CO"/>
        </w:rPr>
        <w:t xml:space="preserve"> que implicó su </w:t>
      </w:r>
      <w:r w:rsidR="00F17E37">
        <w:rPr>
          <w:rFonts w:ascii="Arial" w:hAnsi="Arial" w:cs="Arial"/>
          <w:color w:val="000000" w:themeColor="text1"/>
          <w:szCs w:val="24"/>
          <w:lang w:val="es-CO"/>
        </w:rPr>
        <w:t>retir</w:t>
      </w:r>
      <w:r w:rsidR="006B0B3D">
        <w:rPr>
          <w:rFonts w:ascii="Arial" w:hAnsi="Arial" w:cs="Arial"/>
          <w:color w:val="000000" w:themeColor="text1"/>
          <w:szCs w:val="24"/>
          <w:lang w:val="es-CO"/>
        </w:rPr>
        <w:t>o para los</w:t>
      </w:r>
      <w:r w:rsidR="00F17E37">
        <w:rPr>
          <w:rFonts w:ascii="Arial" w:hAnsi="Arial" w:cs="Arial"/>
          <w:color w:val="000000" w:themeColor="text1"/>
          <w:szCs w:val="24"/>
          <w:lang w:val="es-CO"/>
        </w:rPr>
        <w:t xml:space="preserve"> efecto</w:t>
      </w:r>
      <w:r w:rsidR="006B0B3D">
        <w:rPr>
          <w:rFonts w:ascii="Arial" w:hAnsi="Arial" w:cs="Arial"/>
          <w:color w:val="000000" w:themeColor="text1"/>
          <w:szCs w:val="24"/>
          <w:lang w:val="es-CO"/>
        </w:rPr>
        <w:t>s</w:t>
      </w:r>
      <w:r w:rsidR="00F17E37">
        <w:rPr>
          <w:rFonts w:ascii="Arial" w:hAnsi="Arial" w:cs="Arial"/>
          <w:color w:val="000000" w:themeColor="text1"/>
          <w:szCs w:val="24"/>
          <w:lang w:val="es-CO"/>
        </w:rPr>
        <w:t xml:space="preserve"> del sistema de seguridad pensional.</w:t>
      </w:r>
    </w:p>
    <w:p w:rsidR="002C305D" w:rsidRPr="002C305D" w:rsidRDefault="002C305D" w:rsidP="008F3925">
      <w:pPr>
        <w:spacing w:line="300" w:lineRule="auto"/>
        <w:jc w:val="both"/>
        <w:rPr>
          <w:rFonts w:ascii="Arial" w:hAnsi="Arial" w:cs="Arial"/>
          <w:szCs w:val="24"/>
          <w:lang w:val="es-CO"/>
        </w:rPr>
      </w:pPr>
    </w:p>
    <w:p w:rsidR="004728C3" w:rsidRDefault="004728C3" w:rsidP="008F3925">
      <w:pPr>
        <w:spacing w:line="300" w:lineRule="auto"/>
        <w:rPr>
          <w:rFonts w:ascii="Arial" w:hAnsi="Arial" w:cs="Arial"/>
          <w:b/>
          <w:szCs w:val="24"/>
        </w:rPr>
      </w:pPr>
      <w:r>
        <w:rPr>
          <w:rFonts w:ascii="Arial" w:hAnsi="Arial" w:cs="Arial"/>
          <w:b/>
          <w:szCs w:val="24"/>
        </w:rPr>
        <w:t>3. Del grado jurisdiccional de consulta</w:t>
      </w:r>
    </w:p>
    <w:p w:rsidR="004728C3" w:rsidRDefault="004728C3" w:rsidP="008F3925">
      <w:pPr>
        <w:spacing w:line="300" w:lineRule="auto"/>
        <w:rPr>
          <w:rFonts w:ascii="Arial" w:hAnsi="Arial" w:cs="Arial"/>
          <w:b/>
          <w:szCs w:val="24"/>
        </w:rPr>
      </w:pPr>
    </w:p>
    <w:p w:rsidR="00C13EB6" w:rsidRDefault="005640B0" w:rsidP="008F3925">
      <w:pPr>
        <w:spacing w:line="300" w:lineRule="auto"/>
        <w:jc w:val="both"/>
        <w:rPr>
          <w:rFonts w:ascii="Arial" w:hAnsi="Arial" w:cs="Arial"/>
          <w:szCs w:val="24"/>
        </w:rPr>
      </w:pPr>
      <w:r w:rsidRPr="005640B0">
        <w:rPr>
          <w:rFonts w:ascii="Arial" w:hAnsi="Arial" w:cs="Arial"/>
          <w:szCs w:val="24"/>
        </w:rPr>
        <w:t>Por resultar la anterior decisión adversa a los intereses de la Administradora Colombiana de Pensiones –Colpensiones-, se ordenó surtir el grado jurisdiccional de consulta a su favor, conforme lo dispuesto</w:t>
      </w:r>
      <w:r w:rsidR="00D15B71">
        <w:rPr>
          <w:rFonts w:ascii="Arial" w:hAnsi="Arial" w:cs="Arial"/>
          <w:szCs w:val="24"/>
        </w:rPr>
        <w:t xml:space="preserve"> por el artículo 69 del </w:t>
      </w:r>
      <w:proofErr w:type="spellStart"/>
      <w:r w:rsidR="00D15B71">
        <w:rPr>
          <w:rFonts w:ascii="Arial" w:hAnsi="Arial" w:cs="Arial"/>
          <w:szCs w:val="24"/>
        </w:rPr>
        <w:t>C.P.L</w:t>
      </w:r>
      <w:proofErr w:type="spellEnd"/>
      <w:r w:rsidR="00D15B71">
        <w:rPr>
          <w:rFonts w:ascii="Arial" w:hAnsi="Arial" w:cs="Arial"/>
          <w:szCs w:val="24"/>
        </w:rPr>
        <w:t>.</w:t>
      </w:r>
    </w:p>
    <w:p w:rsidR="00D15B71" w:rsidRPr="00D15B71" w:rsidRDefault="00D15B71" w:rsidP="008F3925">
      <w:pPr>
        <w:spacing w:line="300" w:lineRule="auto"/>
        <w:jc w:val="both"/>
        <w:rPr>
          <w:rFonts w:ascii="Arial" w:hAnsi="Arial" w:cs="Arial"/>
          <w:szCs w:val="24"/>
        </w:rPr>
      </w:pPr>
    </w:p>
    <w:p w:rsidR="0061484D" w:rsidRPr="002D0D07" w:rsidRDefault="0061484D" w:rsidP="008F3925">
      <w:pPr>
        <w:shd w:val="clear" w:color="auto" w:fill="FFFFFF"/>
        <w:tabs>
          <w:tab w:val="left" w:pos="5197"/>
        </w:tabs>
        <w:spacing w:line="300" w:lineRule="auto"/>
        <w:jc w:val="center"/>
        <w:rPr>
          <w:rFonts w:ascii="Arial" w:hAnsi="Arial" w:cs="Arial"/>
          <w:b/>
          <w:szCs w:val="24"/>
        </w:rPr>
      </w:pPr>
      <w:r w:rsidRPr="002D0D07">
        <w:rPr>
          <w:rFonts w:ascii="Arial" w:hAnsi="Arial" w:cs="Arial"/>
          <w:b/>
          <w:szCs w:val="24"/>
        </w:rPr>
        <w:t>CONSIDERACIONES</w:t>
      </w:r>
    </w:p>
    <w:p w:rsidR="00E835F6" w:rsidRDefault="00E835F6" w:rsidP="008F3925">
      <w:pPr>
        <w:shd w:val="clear" w:color="auto" w:fill="FFFFFF"/>
        <w:tabs>
          <w:tab w:val="left" w:pos="5197"/>
        </w:tabs>
        <w:spacing w:line="300" w:lineRule="auto"/>
        <w:jc w:val="both"/>
        <w:rPr>
          <w:rFonts w:ascii="Arial" w:hAnsi="Arial" w:cs="Arial"/>
          <w:szCs w:val="24"/>
        </w:rPr>
      </w:pPr>
    </w:p>
    <w:p w:rsidR="00226D5F" w:rsidRDefault="008141B8" w:rsidP="008F3925">
      <w:pPr>
        <w:shd w:val="clear" w:color="auto" w:fill="FFFFFF"/>
        <w:tabs>
          <w:tab w:val="left" w:pos="5197"/>
        </w:tabs>
        <w:spacing w:line="300" w:lineRule="auto"/>
        <w:jc w:val="both"/>
        <w:rPr>
          <w:rFonts w:ascii="Arial" w:hAnsi="Arial" w:cs="Arial"/>
          <w:b/>
          <w:szCs w:val="24"/>
        </w:rPr>
      </w:pPr>
      <w:r>
        <w:rPr>
          <w:rFonts w:ascii="Arial" w:hAnsi="Arial" w:cs="Arial"/>
          <w:b/>
          <w:szCs w:val="24"/>
        </w:rPr>
        <w:t>1. P</w:t>
      </w:r>
      <w:r w:rsidR="004B154A">
        <w:rPr>
          <w:rFonts w:ascii="Arial" w:hAnsi="Arial" w:cs="Arial"/>
          <w:b/>
          <w:szCs w:val="24"/>
        </w:rPr>
        <w:t>roblema</w:t>
      </w:r>
      <w:r w:rsidR="00683442">
        <w:rPr>
          <w:rFonts w:ascii="Arial" w:hAnsi="Arial" w:cs="Arial"/>
          <w:b/>
          <w:szCs w:val="24"/>
        </w:rPr>
        <w:t>s</w:t>
      </w:r>
      <w:r w:rsidR="00226D5F" w:rsidRPr="009740CF">
        <w:rPr>
          <w:rFonts w:ascii="Arial" w:hAnsi="Arial" w:cs="Arial"/>
          <w:b/>
          <w:szCs w:val="24"/>
        </w:rPr>
        <w:t xml:space="preserve"> jurídico</w:t>
      </w:r>
      <w:r w:rsidR="00683442">
        <w:rPr>
          <w:rFonts w:ascii="Arial" w:hAnsi="Arial" w:cs="Arial"/>
          <w:b/>
          <w:szCs w:val="24"/>
        </w:rPr>
        <w:t>s</w:t>
      </w:r>
    </w:p>
    <w:p w:rsidR="008B3EA7" w:rsidRPr="0061484D" w:rsidRDefault="008B3EA7" w:rsidP="008F3925">
      <w:pPr>
        <w:shd w:val="clear" w:color="auto" w:fill="FFFFFF"/>
        <w:tabs>
          <w:tab w:val="left" w:pos="5197"/>
        </w:tabs>
        <w:spacing w:line="300" w:lineRule="auto"/>
        <w:jc w:val="both"/>
        <w:rPr>
          <w:rFonts w:ascii="Arial" w:hAnsi="Arial" w:cs="Arial"/>
          <w:szCs w:val="24"/>
        </w:rPr>
      </w:pPr>
    </w:p>
    <w:p w:rsidR="00721169" w:rsidRPr="00683442" w:rsidRDefault="00721169" w:rsidP="008F3925">
      <w:pPr>
        <w:suppressAutoHyphens/>
        <w:spacing w:line="300" w:lineRule="auto"/>
        <w:jc w:val="both"/>
        <w:rPr>
          <w:rFonts w:ascii="Arial" w:hAnsi="Arial" w:cs="Arial"/>
          <w:szCs w:val="24"/>
        </w:rPr>
      </w:pPr>
      <w:r w:rsidRPr="00683442">
        <w:rPr>
          <w:rFonts w:ascii="Arial" w:hAnsi="Arial" w:cs="Arial"/>
          <w:szCs w:val="24"/>
        </w:rPr>
        <w:t>Visto el recuen</w:t>
      </w:r>
      <w:r w:rsidR="00474A04" w:rsidRPr="00683442">
        <w:rPr>
          <w:rFonts w:ascii="Arial" w:hAnsi="Arial" w:cs="Arial"/>
          <w:szCs w:val="24"/>
        </w:rPr>
        <w:t xml:space="preserve">to anterior, la Sala formula </w:t>
      </w:r>
      <w:r w:rsidR="00683442" w:rsidRPr="00683442">
        <w:rPr>
          <w:rFonts w:ascii="Arial" w:hAnsi="Arial" w:cs="Arial"/>
          <w:szCs w:val="24"/>
        </w:rPr>
        <w:t>los siguientes</w:t>
      </w:r>
      <w:r w:rsidR="00683442">
        <w:rPr>
          <w:rFonts w:ascii="Arial" w:hAnsi="Arial" w:cs="Arial"/>
          <w:szCs w:val="24"/>
        </w:rPr>
        <w:t>:</w:t>
      </w:r>
    </w:p>
    <w:p w:rsidR="00721169" w:rsidRPr="00683442" w:rsidRDefault="00721169" w:rsidP="008F3925">
      <w:pPr>
        <w:suppressAutoHyphens/>
        <w:spacing w:line="300" w:lineRule="auto"/>
        <w:jc w:val="both"/>
        <w:rPr>
          <w:rFonts w:ascii="Arial" w:hAnsi="Arial" w:cs="Arial"/>
          <w:szCs w:val="24"/>
        </w:rPr>
      </w:pPr>
    </w:p>
    <w:p w:rsidR="000C06FC" w:rsidRPr="00683442" w:rsidRDefault="0019283E" w:rsidP="008F3925">
      <w:pPr>
        <w:shd w:val="clear" w:color="auto" w:fill="FFFFFF"/>
        <w:tabs>
          <w:tab w:val="left" w:pos="5197"/>
        </w:tabs>
        <w:spacing w:line="300" w:lineRule="auto"/>
        <w:jc w:val="both"/>
        <w:rPr>
          <w:rFonts w:ascii="Arial" w:hAnsi="Arial" w:cs="Arial"/>
          <w:szCs w:val="24"/>
        </w:rPr>
      </w:pPr>
      <w:r>
        <w:rPr>
          <w:rFonts w:ascii="Arial" w:hAnsi="Arial" w:cs="Arial"/>
          <w:szCs w:val="24"/>
        </w:rPr>
        <w:t xml:space="preserve">1.1 ¿Dejó causada la pensión de sobrevivientes el señor </w:t>
      </w:r>
      <w:r w:rsidR="004B3573">
        <w:rPr>
          <w:rFonts w:ascii="Arial" w:hAnsi="Arial" w:cs="Arial"/>
          <w:szCs w:val="24"/>
        </w:rPr>
        <w:t>Gilberto Suárez Garzón</w:t>
      </w:r>
      <w:r>
        <w:rPr>
          <w:rFonts w:ascii="Arial" w:hAnsi="Arial" w:cs="Arial"/>
          <w:szCs w:val="24"/>
        </w:rPr>
        <w:t xml:space="preserve"> y a</w:t>
      </w:r>
      <w:r w:rsidR="000C06FC" w:rsidRPr="00683442">
        <w:rPr>
          <w:rFonts w:ascii="Arial" w:hAnsi="Arial" w:cs="Arial"/>
          <w:szCs w:val="24"/>
        </w:rPr>
        <w:t xml:space="preserve">creditó </w:t>
      </w:r>
      <w:r w:rsidR="00683442" w:rsidRPr="00683442">
        <w:rPr>
          <w:rFonts w:ascii="Arial" w:hAnsi="Arial" w:cs="Arial"/>
          <w:szCs w:val="24"/>
        </w:rPr>
        <w:t>la señora Blanca Emma Ruiz de Su</w:t>
      </w:r>
      <w:r>
        <w:rPr>
          <w:rFonts w:ascii="Arial" w:hAnsi="Arial" w:cs="Arial"/>
          <w:szCs w:val="24"/>
        </w:rPr>
        <w:t>á</w:t>
      </w:r>
      <w:r w:rsidR="00683442" w:rsidRPr="00683442">
        <w:rPr>
          <w:rFonts w:ascii="Arial" w:hAnsi="Arial" w:cs="Arial"/>
          <w:szCs w:val="24"/>
        </w:rPr>
        <w:t xml:space="preserve">rez ser </w:t>
      </w:r>
      <w:r>
        <w:rPr>
          <w:rFonts w:ascii="Arial" w:hAnsi="Arial" w:cs="Arial"/>
          <w:szCs w:val="24"/>
        </w:rPr>
        <w:t xml:space="preserve">su </w:t>
      </w:r>
      <w:r w:rsidR="00683442" w:rsidRPr="00683442">
        <w:rPr>
          <w:rFonts w:ascii="Arial" w:hAnsi="Arial" w:cs="Arial"/>
          <w:szCs w:val="24"/>
        </w:rPr>
        <w:t>beneficia</w:t>
      </w:r>
      <w:r w:rsidR="00A77DD2">
        <w:rPr>
          <w:rFonts w:ascii="Arial" w:hAnsi="Arial" w:cs="Arial"/>
          <w:szCs w:val="24"/>
        </w:rPr>
        <w:t>ría</w:t>
      </w:r>
      <w:r w:rsidR="00683442" w:rsidRPr="00683442">
        <w:rPr>
          <w:rFonts w:ascii="Arial" w:hAnsi="Arial" w:cs="Arial"/>
          <w:szCs w:val="24"/>
        </w:rPr>
        <w:t xml:space="preserve">? </w:t>
      </w:r>
    </w:p>
    <w:p w:rsidR="0022308B" w:rsidRDefault="0022308B" w:rsidP="008F3925">
      <w:pPr>
        <w:tabs>
          <w:tab w:val="left" w:pos="0"/>
          <w:tab w:val="left" w:pos="8647"/>
        </w:tabs>
        <w:suppressAutoHyphens/>
        <w:spacing w:line="300" w:lineRule="auto"/>
        <w:ind w:right="51"/>
        <w:jc w:val="both"/>
        <w:rPr>
          <w:rFonts w:ascii="Arial" w:hAnsi="Arial" w:cs="Arial"/>
          <w:iCs/>
          <w:szCs w:val="24"/>
        </w:rPr>
      </w:pPr>
    </w:p>
    <w:p w:rsidR="0019283E" w:rsidRPr="00683442" w:rsidRDefault="0019283E" w:rsidP="008F3925">
      <w:pPr>
        <w:shd w:val="clear" w:color="auto" w:fill="FFFFFF"/>
        <w:tabs>
          <w:tab w:val="left" w:pos="5197"/>
        </w:tabs>
        <w:spacing w:line="300" w:lineRule="auto"/>
        <w:jc w:val="both"/>
        <w:rPr>
          <w:rFonts w:ascii="Arial" w:hAnsi="Arial" w:cs="Arial"/>
          <w:szCs w:val="24"/>
        </w:rPr>
      </w:pPr>
      <w:r>
        <w:rPr>
          <w:rFonts w:ascii="Arial" w:hAnsi="Arial" w:cs="Arial"/>
          <w:szCs w:val="24"/>
        </w:rPr>
        <w:t>1.2 D</w:t>
      </w:r>
      <w:r w:rsidRPr="00683442">
        <w:rPr>
          <w:rFonts w:ascii="Arial" w:hAnsi="Arial" w:cs="Arial"/>
          <w:szCs w:val="24"/>
        </w:rPr>
        <w:t>e ser positiva la respuesta anterior</w:t>
      </w:r>
      <w:r>
        <w:rPr>
          <w:rFonts w:ascii="Arial" w:hAnsi="Arial" w:cs="Arial"/>
          <w:szCs w:val="24"/>
        </w:rPr>
        <w:t xml:space="preserve"> </w:t>
      </w:r>
      <w:r w:rsidRPr="00683442">
        <w:rPr>
          <w:rFonts w:ascii="Arial" w:hAnsi="Arial" w:cs="Arial"/>
          <w:szCs w:val="24"/>
        </w:rPr>
        <w:t>¿Es compatible la indemnización sustitutiva de la pensión de vejez reconocida en vida a un afiliado, con la pensión de sobrevivientes</w:t>
      </w:r>
      <w:r>
        <w:rPr>
          <w:rFonts w:ascii="Arial" w:hAnsi="Arial" w:cs="Arial"/>
          <w:szCs w:val="24"/>
        </w:rPr>
        <w:t xml:space="preserve"> a favor de sus beneficiarios</w:t>
      </w:r>
      <w:r w:rsidRPr="00683442">
        <w:rPr>
          <w:rFonts w:ascii="Arial" w:hAnsi="Arial" w:cs="Arial"/>
          <w:szCs w:val="24"/>
        </w:rPr>
        <w:t>?</w:t>
      </w:r>
    </w:p>
    <w:p w:rsidR="0019283E" w:rsidRDefault="0019283E" w:rsidP="008F3925">
      <w:pPr>
        <w:tabs>
          <w:tab w:val="left" w:pos="0"/>
          <w:tab w:val="left" w:pos="8647"/>
        </w:tabs>
        <w:suppressAutoHyphens/>
        <w:spacing w:line="300" w:lineRule="auto"/>
        <w:ind w:right="51"/>
        <w:jc w:val="both"/>
        <w:rPr>
          <w:rFonts w:ascii="Arial" w:hAnsi="Arial" w:cs="Arial"/>
          <w:iCs/>
          <w:szCs w:val="24"/>
        </w:rPr>
      </w:pPr>
    </w:p>
    <w:p w:rsidR="00057890" w:rsidRDefault="00474A04" w:rsidP="008F3925">
      <w:pPr>
        <w:pStyle w:val="Textoindependiente"/>
        <w:spacing w:line="300" w:lineRule="auto"/>
        <w:contextualSpacing/>
        <w:rPr>
          <w:b/>
          <w:iCs/>
          <w:szCs w:val="24"/>
        </w:rPr>
      </w:pPr>
      <w:r>
        <w:rPr>
          <w:b/>
          <w:iCs/>
          <w:szCs w:val="24"/>
        </w:rPr>
        <w:lastRenderedPageBreak/>
        <w:t>2. Solución al interrogante planteado</w:t>
      </w:r>
    </w:p>
    <w:p w:rsidR="00057890" w:rsidRPr="00057890" w:rsidRDefault="00057890" w:rsidP="008F3925">
      <w:pPr>
        <w:pStyle w:val="Textoindependiente"/>
        <w:spacing w:line="300" w:lineRule="auto"/>
        <w:contextualSpacing/>
        <w:rPr>
          <w:iCs/>
          <w:szCs w:val="24"/>
        </w:rPr>
      </w:pPr>
    </w:p>
    <w:p w:rsidR="00162BF3" w:rsidRDefault="00162BF3" w:rsidP="008F3925">
      <w:pPr>
        <w:shd w:val="clear" w:color="auto" w:fill="FFFFFF"/>
        <w:tabs>
          <w:tab w:val="left" w:pos="5197"/>
        </w:tabs>
        <w:spacing w:line="300" w:lineRule="auto"/>
        <w:jc w:val="both"/>
        <w:rPr>
          <w:rFonts w:ascii="Arial" w:hAnsi="Arial" w:cs="Arial"/>
          <w:b/>
          <w:color w:val="000000"/>
          <w:szCs w:val="24"/>
          <w:lang w:eastAsia="es-CO"/>
        </w:rPr>
      </w:pPr>
      <w:r w:rsidRPr="00162BF3">
        <w:rPr>
          <w:rFonts w:ascii="Arial" w:hAnsi="Arial" w:cs="Arial"/>
          <w:b/>
          <w:color w:val="000000"/>
          <w:szCs w:val="24"/>
          <w:lang w:eastAsia="es-CO"/>
        </w:rPr>
        <w:t>2.</w:t>
      </w:r>
      <w:r w:rsidR="00104824">
        <w:rPr>
          <w:rFonts w:ascii="Arial" w:hAnsi="Arial" w:cs="Arial"/>
          <w:b/>
          <w:color w:val="000000"/>
          <w:szCs w:val="24"/>
          <w:lang w:eastAsia="es-CO"/>
        </w:rPr>
        <w:t>1</w:t>
      </w:r>
      <w:r w:rsidRPr="00162BF3">
        <w:rPr>
          <w:rFonts w:ascii="Arial" w:hAnsi="Arial" w:cs="Arial"/>
          <w:b/>
          <w:color w:val="000000"/>
          <w:szCs w:val="24"/>
          <w:lang w:eastAsia="es-CO"/>
        </w:rPr>
        <w:t xml:space="preserve">. </w:t>
      </w:r>
      <w:r w:rsidR="00AB370D" w:rsidRPr="00AB370D">
        <w:rPr>
          <w:rFonts w:ascii="Arial" w:hAnsi="Arial" w:cs="Arial"/>
          <w:b/>
          <w:color w:val="000000"/>
          <w:szCs w:val="24"/>
          <w:lang w:eastAsia="es-CO"/>
        </w:rPr>
        <w:t>Fundamento jurídico</w:t>
      </w:r>
    </w:p>
    <w:p w:rsidR="0092690D" w:rsidRDefault="0092690D" w:rsidP="008F3925">
      <w:pPr>
        <w:shd w:val="clear" w:color="auto" w:fill="FFFFFF"/>
        <w:tabs>
          <w:tab w:val="left" w:pos="5197"/>
        </w:tabs>
        <w:spacing w:line="300" w:lineRule="auto"/>
        <w:jc w:val="both"/>
        <w:rPr>
          <w:rFonts w:ascii="Arial" w:hAnsi="Arial" w:cs="Arial"/>
          <w:b/>
          <w:color w:val="000000"/>
          <w:szCs w:val="24"/>
          <w:lang w:eastAsia="es-CO"/>
        </w:rPr>
      </w:pPr>
    </w:p>
    <w:p w:rsidR="00032F34" w:rsidRDefault="008274DD" w:rsidP="008F3925">
      <w:pPr>
        <w:pStyle w:val="Textoindependiente"/>
        <w:spacing w:line="300" w:lineRule="auto"/>
        <w:ind w:right="193"/>
        <w:rPr>
          <w:b/>
          <w:szCs w:val="24"/>
        </w:rPr>
      </w:pPr>
      <w:r w:rsidRPr="008274DD">
        <w:rPr>
          <w:b/>
          <w:szCs w:val="24"/>
        </w:rPr>
        <w:t>Pensión de sobreviviente</w:t>
      </w:r>
      <w:r w:rsidR="00074CB7">
        <w:rPr>
          <w:b/>
          <w:szCs w:val="24"/>
        </w:rPr>
        <w:t xml:space="preserve">s </w:t>
      </w:r>
      <w:r w:rsidRPr="008274DD">
        <w:rPr>
          <w:b/>
          <w:szCs w:val="24"/>
        </w:rPr>
        <w:t>- cónyuge supérstite- en vigencia de la ley 797 de 2003</w:t>
      </w:r>
    </w:p>
    <w:p w:rsidR="00AB585F" w:rsidRPr="008274DD" w:rsidRDefault="00AB585F" w:rsidP="008F3925">
      <w:pPr>
        <w:pStyle w:val="Textoindependiente"/>
        <w:spacing w:line="300" w:lineRule="auto"/>
        <w:ind w:right="193"/>
        <w:rPr>
          <w:b/>
          <w:szCs w:val="24"/>
        </w:rPr>
      </w:pPr>
    </w:p>
    <w:p w:rsidR="007737C2" w:rsidRPr="00107E55" w:rsidRDefault="007737C2" w:rsidP="008F3925">
      <w:pPr>
        <w:spacing w:line="300" w:lineRule="auto"/>
        <w:contextualSpacing/>
        <w:jc w:val="both"/>
        <w:rPr>
          <w:rFonts w:ascii="Arial" w:eastAsia="Calibri" w:hAnsi="Arial" w:cs="Arial"/>
          <w:iCs/>
          <w:szCs w:val="24"/>
        </w:rPr>
      </w:pPr>
      <w:r w:rsidRPr="00107E55">
        <w:rPr>
          <w:rFonts w:ascii="Arial" w:eastAsia="Calibri" w:hAnsi="Arial" w:cs="Arial"/>
          <w:iCs/>
          <w:szCs w:val="24"/>
        </w:rPr>
        <w:t>Bien es sabido que la norma que rige el reconocimiento de la pensión de sobrevivientes, es aquella que se encuentre vigente al momento en que se presente el deceso del afiliado o pensionado</w:t>
      </w:r>
      <w:r w:rsidRPr="00107E55">
        <w:rPr>
          <w:rFonts w:ascii="Arial" w:eastAsia="Calibri" w:hAnsi="Arial" w:cs="Arial"/>
          <w:iCs/>
          <w:szCs w:val="24"/>
          <w:vertAlign w:val="superscript"/>
        </w:rPr>
        <w:footnoteReference w:id="1"/>
      </w:r>
      <w:r w:rsidRPr="00107E55">
        <w:rPr>
          <w:rFonts w:ascii="Arial" w:eastAsia="Calibri" w:hAnsi="Arial" w:cs="Arial"/>
          <w:iCs/>
          <w:szCs w:val="24"/>
        </w:rPr>
        <w:t>; que para el presente asunto lo fue el</w:t>
      </w:r>
      <w:r w:rsidR="00AB585F" w:rsidRPr="007737C2">
        <w:rPr>
          <w:rFonts w:ascii="Arial" w:hAnsi="Arial" w:cs="Arial"/>
          <w:szCs w:val="24"/>
        </w:rPr>
        <w:t xml:space="preserve"> 07-10-2016</w:t>
      </w:r>
      <w:r w:rsidR="00E83062">
        <w:rPr>
          <w:rFonts w:ascii="Arial" w:hAnsi="Arial" w:cs="Arial"/>
          <w:szCs w:val="24"/>
        </w:rPr>
        <w:t xml:space="preserve"> –fl.47-</w:t>
      </w:r>
      <w:r w:rsidR="00AB585F" w:rsidRPr="007737C2">
        <w:rPr>
          <w:rFonts w:ascii="Arial" w:hAnsi="Arial" w:cs="Arial"/>
          <w:szCs w:val="24"/>
        </w:rPr>
        <w:t>,</w:t>
      </w:r>
      <w:r w:rsidRPr="00107E55">
        <w:rPr>
          <w:rFonts w:ascii="Arial" w:eastAsia="Calibri" w:hAnsi="Arial" w:cs="Arial"/>
          <w:iCs/>
          <w:szCs w:val="24"/>
        </w:rPr>
        <w:t xml:space="preserve"> por lo tanto, debemos remitirnos al contenido de</w:t>
      </w:r>
      <w:r>
        <w:rPr>
          <w:rFonts w:ascii="Arial" w:eastAsia="Calibri" w:hAnsi="Arial" w:cs="Arial"/>
          <w:iCs/>
          <w:szCs w:val="24"/>
        </w:rPr>
        <w:t xml:space="preserve"> </w:t>
      </w:r>
      <w:r w:rsidRPr="00107E55">
        <w:rPr>
          <w:rFonts w:ascii="Arial" w:eastAsia="Calibri" w:hAnsi="Arial" w:cs="Arial"/>
          <w:iCs/>
          <w:szCs w:val="24"/>
        </w:rPr>
        <w:t>l</w:t>
      </w:r>
      <w:r>
        <w:rPr>
          <w:rFonts w:ascii="Arial" w:eastAsia="Calibri" w:hAnsi="Arial" w:cs="Arial"/>
          <w:iCs/>
          <w:szCs w:val="24"/>
        </w:rPr>
        <w:t>os</w:t>
      </w:r>
      <w:r w:rsidRPr="00107E55">
        <w:rPr>
          <w:rFonts w:ascii="Arial" w:eastAsia="Calibri" w:hAnsi="Arial" w:cs="Arial"/>
          <w:iCs/>
          <w:szCs w:val="24"/>
        </w:rPr>
        <w:t xml:space="preserve"> artículo</w:t>
      </w:r>
      <w:r>
        <w:rPr>
          <w:rFonts w:ascii="Arial" w:eastAsia="Calibri" w:hAnsi="Arial" w:cs="Arial"/>
          <w:iCs/>
          <w:szCs w:val="24"/>
        </w:rPr>
        <w:t>s</w:t>
      </w:r>
      <w:r w:rsidRPr="00107E55">
        <w:rPr>
          <w:rFonts w:ascii="Arial" w:eastAsia="Calibri" w:hAnsi="Arial" w:cs="Arial"/>
          <w:iCs/>
          <w:szCs w:val="24"/>
        </w:rPr>
        <w:t xml:space="preserve"> 46</w:t>
      </w:r>
      <w:r>
        <w:rPr>
          <w:rFonts w:ascii="Arial" w:eastAsia="Calibri" w:hAnsi="Arial" w:cs="Arial"/>
          <w:iCs/>
          <w:szCs w:val="24"/>
        </w:rPr>
        <w:t xml:space="preserve"> y 47</w:t>
      </w:r>
      <w:r w:rsidRPr="00107E55">
        <w:rPr>
          <w:rFonts w:ascii="Arial" w:eastAsia="Calibri" w:hAnsi="Arial" w:cs="Arial"/>
          <w:iCs/>
          <w:szCs w:val="24"/>
        </w:rPr>
        <w:t xml:space="preserve"> de la Ley 100 de 1993, modificado</w:t>
      </w:r>
      <w:r>
        <w:rPr>
          <w:rFonts w:ascii="Arial" w:eastAsia="Calibri" w:hAnsi="Arial" w:cs="Arial"/>
          <w:iCs/>
          <w:szCs w:val="24"/>
        </w:rPr>
        <w:t>s</w:t>
      </w:r>
      <w:r w:rsidRPr="00107E55">
        <w:rPr>
          <w:rFonts w:ascii="Arial" w:eastAsia="Calibri" w:hAnsi="Arial" w:cs="Arial"/>
          <w:iCs/>
          <w:szCs w:val="24"/>
        </w:rPr>
        <w:t xml:space="preserve"> por </w:t>
      </w:r>
      <w:r>
        <w:rPr>
          <w:rFonts w:ascii="Arial" w:eastAsia="Calibri" w:hAnsi="Arial" w:cs="Arial"/>
          <w:iCs/>
          <w:szCs w:val="24"/>
        </w:rPr>
        <w:t>los artículos 12 y 13 de la Ley 797 de 2003, que exige 50 semanas cotizadas en los 3 años anteriores al deceso.</w:t>
      </w:r>
    </w:p>
    <w:p w:rsidR="007737C2" w:rsidRDefault="007737C2" w:rsidP="008F3925">
      <w:pPr>
        <w:spacing w:line="300" w:lineRule="auto"/>
        <w:contextualSpacing/>
        <w:jc w:val="both"/>
        <w:rPr>
          <w:rFonts w:ascii="Arial" w:eastAsia="Calibri" w:hAnsi="Arial" w:cs="Arial"/>
          <w:iCs/>
          <w:szCs w:val="24"/>
        </w:rPr>
      </w:pPr>
    </w:p>
    <w:p w:rsidR="007737C2" w:rsidRDefault="007737C2" w:rsidP="008F3925">
      <w:pPr>
        <w:widowControl w:val="0"/>
        <w:autoSpaceDE w:val="0"/>
        <w:autoSpaceDN w:val="0"/>
        <w:adjustRightInd w:val="0"/>
        <w:spacing w:line="300" w:lineRule="auto"/>
        <w:contextualSpacing/>
        <w:jc w:val="both"/>
        <w:rPr>
          <w:rFonts w:ascii="Arial" w:hAnsi="Arial" w:cs="Arial"/>
          <w:iCs/>
          <w:szCs w:val="24"/>
        </w:rPr>
      </w:pPr>
      <w:r w:rsidRPr="00C10DEA">
        <w:rPr>
          <w:rFonts w:ascii="Arial" w:hAnsi="Arial" w:cs="Arial"/>
          <w:iCs/>
          <w:szCs w:val="24"/>
        </w:rPr>
        <w:t>Ahora,</w:t>
      </w:r>
      <w:r>
        <w:rPr>
          <w:rFonts w:ascii="Arial" w:hAnsi="Arial" w:cs="Arial"/>
          <w:iCs/>
          <w:szCs w:val="24"/>
        </w:rPr>
        <w:t xml:space="preserve"> el literal a) del artículo 47 de la Ley 100 de 1993, modificado por el artículo 13 de la Ley 797 de 2003 prescribió a la cónyuge o compañera supérstite como beneficiarias de la pensión de sobrevivientes de manera vitalicia, siempre que hubiera alcanzado 30 años de edad para la fecha del fallecimiento del afiliado o pensionado, y pruebe haber convivido con él, durante 5 años continuos previos a la muerte. </w:t>
      </w:r>
    </w:p>
    <w:p w:rsidR="00730035" w:rsidRPr="00FE29B3" w:rsidRDefault="00730035" w:rsidP="008F3925">
      <w:pPr>
        <w:widowControl w:val="0"/>
        <w:autoSpaceDE w:val="0"/>
        <w:autoSpaceDN w:val="0"/>
        <w:adjustRightInd w:val="0"/>
        <w:spacing w:line="300" w:lineRule="auto"/>
        <w:contextualSpacing/>
        <w:jc w:val="both"/>
        <w:rPr>
          <w:rFonts w:ascii="Arial" w:hAnsi="Arial" w:cs="Arial"/>
          <w:i/>
          <w:color w:val="000000"/>
          <w:szCs w:val="24"/>
          <w:lang w:eastAsia="es-CO"/>
        </w:rPr>
      </w:pPr>
    </w:p>
    <w:p w:rsidR="00162BF3" w:rsidRDefault="00162BF3" w:rsidP="008F3925">
      <w:pPr>
        <w:shd w:val="clear" w:color="auto" w:fill="FFFFFF"/>
        <w:tabs>
          <w:tab w:val="left" w:pos="5197"/>
        </w:tabs>
        <w:spacing w:line="300" w:lineRule="auto"/>
        <w:jc w:val="both"/>
        <w:rPr>
          <w:rFonts w:ascii="Arial" w:hAnsi="Arial" w:cs="Arial"/>
          <w:b/>
          <w:color w:val="000000"/>
          <w:szCs w:val="24"/>
          <w:lang w:eastAsia="es-CO"/>
        </w:rPr>
      </w:pPr>
      <w:r w:rsidRPr="00162BF3">
        <w:rPr>
          <w:rFonts w:ascii="Arial" w:hAnsi="Arial" w:cs="Arial"/>
          <w:b/>
          <w:color w:val="000000"/>
          <w:szCs w:val="24"/>
          <w:lang w:eastAsia="es-CO"/>
        </w:rPr>
        <w:t>2.2. Fundamento fáctico</w:t>
      </w:r>
    </w:p>
    <w:p w:rsidR="00070887" w:rsidRDefault="00070887" w:rsidP="008F3925">
      <w:pPr>
        <w:shd w:val="clear" w:color="auto" w:fill="FFFFFF"/>
        <w:tabs>
          <w:tab w:val="left" w:pos="5197"/>
        </w:tabs>
        <w:spacing w:line="300" w:lineRule="auto"/>
        <w:jc w:val="both"/>
        <w:rPr>
          <w:rFonts w:ascii="Arial" w:hAnsi="Arial" w:cs="Arial"/>
          <w:b/>
          <w:color w:val="000000"/>
          <w:szCs w:val="24"/>
          <w:lang w:eastAsia="es-CO"/>
        </w:rPr>
      </w:pPr>
    </w:p>
    <w:p w:rsidR="00474A04" w:rsidRPr="003D2027" w:rsidRDefault="00910BC7" w:rsidP="008F3925">
      <w:pPr>
        <w:shd w:val="clear" w:color="auto" w:fill="FFFFFF"/>
        <w:tabs>
          <w:tab w:val="left" w:pos="5197"/>
        </w:tabs>
        <w:spacing w:line="300" w:lineRule="auto"/>
        <w:jc w:val="both"/>
        <w:rPr>
          <w:rFonts w:ascii="Arial" w:hAnsi="Arial" w:cs="Arial"/>
          <w:color w:val="000000" w:themeColor="text1"/>
          <w:szCs w:val="24"/>
          <w:shd w:val="clear" w:color="auto" w:fill="FFFFFF"/>
          <w:lang w:val="es-ES"/>
        </w:rPr>
      </w:pPr>
      <w:r w:rsidRPr="00910BC7">
        <w:rPr>
          <w:rFonts w:ascii="Arial" w:hAnsi="Arial" w:cs="Arial"/>
          <w:color w:val="000000"/>
          <w:szCs w:val="24"/>
          <w:shd w:val="clear" w:color="auto" w:fill="FFFFFF"/>
          <w:lang w:val="es-ES"/>
        </w:rPr>
        <w:t xml:space="preserve">Analizada la historia laboral del señor </w:t>
      </w:r>
      <w:r w:rsidR="00BA7836">
        <w:rPr>
          <w:rFonts w:ascii="Arial" w:hAnsi="Arial" w:cs="Arial"/>
          <w:color w:val="000000"/>
          <w:szCs w:val="24"/>
          <w:shd w:val="clear" w:color="auto" w:fill="FFFFFF"/>
          <w:lang w:val="es-ES"/>
        </w:rPr>
        <w:t>Suárez Garzón</w:t>
      </w:r>
      <w:r w:rsidRPr="00910BC7">
        <w:rPr>
          <w:rFonts w:ascii="Arial" w:hAnsi="Arial" w:cs="Arial"/>
          <w:color w:val="000000"/>
          <w:szCs w:val="24"/>
          <w:shd w:val="clear" w:color="auto" w:fill="FFFFFF"/>
          <w:lang w:val="es-ES"/>
        </w:rPr>
        <w:t xml:space="preserve"> obrante a folio </w:t>
      </w:r>
      <w:r w:rsidR="00BA7836">
        <w:rPr>
          <w:rFonts w:ascii="Arial" w:hAnsi="Arial" w:cs="Arial"/>
          <w:color w:val="000000"/>
          <w:szCs w:val="24"/>
          <w:shd w:val="clear" w:color="auto" w:fill="FFFFFF"/>
          <w:lang w:val="es-ES"/>
        </w:rPr>
        <w:t>84</w:t>
      </w:r>
      <w:r w:rsidRPr="00910BC7">
        <w:rPr>
          <w:rFonts w:ascii="Arial" w:hAnsi="Arial" w:cs="Arial"/>
          <w:color w:val="000000"/>
          <w:szCs w:val="24"/>
          <w:shd w:val="clear" w:color="auto" w:fill="FFFFFF"/>
          <w:lang w:val="es-ES"/>
        </w:rPr>
        <w:t xml:space="preserve"> del cd 1, se </w:t>
      </w:r>
      <w:r w:rsidR="00E74398">
        <w:rPr>
          <w:rFonts w:ascii="Arial" w:hAnsi="Arial" w:cs="Arial"/>
          <w:color w:val="000000"/>
          <w:szCs w:val="24"/>
          <w:shd w:val="clear" w:color="auto" w:fill="FFFFFF"/>
          <w:lang w:val="es-ES"/>
        </w:rPr>
        <w:t xml:space="preserve">tiene </w:t>
      </w:r>
      <w:r w:rsidR="00E83062">
        <w:rPr>
          <w:rFonts w:ascii="Arial" w:hAnsi="Arial" w:cs="Arial"/>
          <w:color w:val="000000"/>
          <w:szCs w:val="24"/>
          <w:shd w:val="clear" w:color="auto" w:fill="FFFFFF"/>
          <w:lang w:val="es-ES"/>
        </w:rPr>
        <w:t>en primer lugar</w:t>
      </w:r>
      <w:r w:rsidR="00F4442A">
        <w:rPr>
          <w:rFonts w:ascii="Arial" w:hAnsi="Arial" w:cs="Arial"/>
          <w:color w:val="000000"/>
          <w:szCs w:val="24"/>
          <w:shd w:val="clear" w:color="auto" w:fill="FFFFFF"/>
          <w:lang w:val="es-ES"/>
        </w:rPr>
        <w:t>,</w:t>
      </w:r>
      <w:r w:rsidR="00E83062">
        <w:rPr>
          <w:rFonts w:ascii="Arial" w:hAnsi="Arial" w:cs="Arial"/>
          <w:color w:val="000000"/>
          <w:szCs w:val="24"/>
          <w:shd w:val="clear" w:color="auto" w:fill="FFFFFF"/>
          <w:lang w:val="es-ES"/>
        </w:rPr>
        <w:t xml:space="preserve"> que efectuó cotizaciones hasta el ciclo de octubre de 2016 y </w:t>
      </w:r>
      <w:r w:rsidR="002A7F81">
        <w:rPr>
          <w:rFonts w:ascii="Arial" w:hAnsi="Arial" w:cs="Arial"/>
          <w:color w:val="000000"/>
          <w:szCs w:val="24"/>
          <w:shd w:val="clear" w:color="auto" w:fill="FFFFFF"/>
          <w:lang w:val="es-ES"/>
        </w:rPr>
        <w:t xml:space="preserve">en segundo término que </w:t>
      </w:r>
      <w:r w:rsidRPr="00910BC7">
        <w:rPr>
          <w:rFonts w:ascii="Arial" w:hAnsi="Arial" w:cs="Arial"/>
          <w:color w:val="000000"/>
          <w:szCs w:val="24"/>
          <w:shd w:val="clear" w:color="auto" w:fill="FFFFFF"/>
          <w:lang w:val="es-ES"/>
        </w:rPr>
        <w:t>dentro de los tres últimos años anteriores al fallecimiento, esto es, desde</w:t>
      </w:r>
      <w:r w:rsidRPr="003A0A22">
        <w:rPr>
          <w:rFonts w:ascii="Arial" w:hAnsi="Arial" w:cs="Arial"/>
          <w:color w:val="000000"/>
          <w:szCs w:val="24"/>
          <w:shd w:val="clear" w:color="auto" w:fill="FFFFFF"/>
          <w:lang w:val="es-ES"/>
        </w:rPr>
        <w:t xml:space="preserve"> el</w:t>
      </w:r>
      <w:r w:rsidR="00BA7836" w:rsidRPr="003A0A22">
        <w:rPr>
          <w:rFonts w:ascii="Arial" w:hAnsi="Arial" w:cs="Arial"/>
          <w:color w:val="000000"/>
          <w:szCs w:val="24"/>
          <w:shd w:val="clear" w:color="auto" w:fill="FFFFFF"/>
          <w:lang w:val="es-ES"/>
        </w:rPr>
        <w:t xml:space="preserve"> </w:t>
      </w:r>
      <w:r w:rsidR="003A0A22" w:rsidRPr="003A0A22">
        <w:rPr>
          <w:rFonts w:ascii="Arial" w:hAnsi="Arial" w:cs="Arial"/>
          <w:color w:val="000000"/>
          <w:szCs w:val="24"/>
          <w:shd w:val="clear" w:color="auto" w:fill="FFFFFF"/>
          <w:lang w:val="es-ES"/>
        </w:rPr>
        <w:t xml:space="preserve">7-10-2016 a la misma data del 2013 acreditó un total de </w:t>
      </w:r>
      <w:r w:rsidR="002A1F4E">
        <w:rPr>
          <w:rFonts w:ascii="Arial" w:hAnsi="Arial" w:cs="Arial"/>
          <w:color w:val="000000"/>
          <w:szCs w:val="24"/>
          <w:shd w:val="clear" w:color="auto" w:fill="FFFFFF"/>
          <w:lang w:val="es-ES"/>
        </w:rPr>
        <w:t>15</w:t>
      </w:r>
      <w:r w:rsidR="008C13B6">
        <w:rPr>
          <w:rFonts w:ascii="Arial" w:hAnsi="Arial" w:cs="Arial"/>
          <w:color w:val="000000"/>
          <w:szCs w:val="24"/>
          <w:shd w:val="clear" w:color="auto" w:fill="FFFFFF"/>
          <w:lang w:val="es-ES"/>
        </w:rPr>
        <w:t>4</w:t>
      </w:r>
      <w:r w:rsidR="002A1F4E">
        <w:rPr>
          <w:rFonts w:ascii="Arial" w:hAnsi="Arial" w:cs="Arial"/>
          <w:color w:val="000000"/>
          <w:szCs w:val="24"/>
          <w:shd w:val="clear" w:color="auto" w:fill="FFFFFF"/>
          <w:lang w:val="es-ES"/>
        </w:rPr>
        <w:t>,29</w:t>
      </w:r>
      <w:r w:rsidR="003A0A22" w:rsidRPr="003A0A22">
        <w:rPr>
          <w:rFonts w:ascii="Arial" w:hAnsi="Arial" w:cs="Arial"/>
          <w:color w:val="000000"/>
          <w:szCs w:val="24"/>
          <w:shd w:val="clear" w:color="auto" w:fill="FFFFFF"/>
          <w:lang w:val="es-ES"/>
        </w:rPr>
        <w:t xml:space="preserve"> semanas, lo cual permite concluir que satisfizo </w:t>
      </w:r>
      <w:r w:rsidR="003A0A22">
        <w:rPr>
          <w:rFonts w:ascii="Arial" w:hAnsi="Arial" w:cs="Arial"/>
          <w:color w:val="000000"/>
          <w:szCs w:val="24"/>
          <w:shd w:val="clear" w:color="auto" w:fill="FFFFFF"/>
          <w:lang w:val="es-ES"/>
        </w:rPr>
        <w:t xml:space="preserve">la densidad exigida </w:t>
      </w:r>
      <w:r w:rsidR="003A0A22" w:rsidRPr="003A0A22">
        <w:rPr>
          <w:rFonts w:ascii="Arial" w:hAnsi="Arial" w:cs="Arial"/>
          <w:color w:val="000000"/>
          <w:szCs w:val="24"/>
          <w:shd w:val="clear" w:color="auto" w:fill="FFFFFF"/>
          <w:lang w:val="es-ES"/>
        </w:rPr>
        <w:t xml:space="preserve">en el artículo 12 de la Ley 797 </w:t>
      </w:r>
      <w:proofErr w:type="spellStart"/>
      <w:r w:rsidR="003A0A22" w:rsidRPr="003A0A22">
        <w:rPr>
          <w:rFonts w:ascii="Arial" w:hAnsi="Arial" w:cs="Arial"/>
          <w:i/>
          <w:color w:val="000000"/>
          <w:szCs w:val="24"/>
          <w:shd w:val="clear" w:color="auto" w:fill="FFFFFF"/>
          <w:lang w:val="es-ES"/>
        </w:rPr>
        <w:t>ibidem</w:t>
      </w:r>
      <w:proofErr w:type="spellEnd"/>
      <w:r w:rsidR="003A0A22" w:rsidRPr="003A0A22">
        <w:rPr>
          <w:rFonts w:ascii="Arial" w:hAnsi="Arial" w:cs="Arial"/>
          <w:color w:val="000000"/>
          <w:szCs w:val="24"/>
          <w:shd w:val="clear" w:color="auto" w:fill="FFFFFF"/>
          <w:lang w:val="es-ES"/>
        </w:rPr>
        <w:t xml:space="preserve">, es decir, dejó causado el derecho a la pensión de sobrevivientes para sus </w:t>
      </w:r>
      <w:r w:rsidR="003A0A22" w:rsidRPr="003D2027">
        <w:rPr>
          <w:rFonts w:ascii="Arial" w:hAnsi="Arial" w:cs="Arial"/>
          <w:color w:val="000000"/>
          <w:szCs w:val="24"/>
          <w:shd w:val="clear" w:color="auto" w:fill="FFFFFF"/>
          <w:lang w:val="es-ES"/>
        </w:rPr>
        <w:t>beneficiarios</w:t>
      </w:r>
      <w:r w:rsidR="00C35509" w:rsidRPr="003D2027">
        <w:rPr>
          <w:rFonts w:ascii="Arial" w:hAnsi="Arial" w:cs="Arial"/>
          <w:color w:val="000000"/>
          <w:szCs w:val="24"/>
          <w:shd w:val="clear" w:color="auto" w:fill="FFFFFF"/>
          <w:lang w:val="es-ES"/>
        </w:rPr>
        <w:t xml:space="preserve"> muy a pesar de haber recibido en vida la indemnización sustitutiva de la pensión de vejez</w:t>
      </w:r>
      <w:r w:rsidR="009F5271" w:rsidRPr="003D2027">
        <w:rPr>
          <w:rFonts w:ascii="Arial" w:hAnsi="Arial" w:cs="Arial"/>
          <w:color w:val="000000"/>
          <w:szCs w:val="24"/>
          <w:shd w:val="clear" w:color="auto" w:fill="FFFFFF"/>
          <w:lang w:val="es-ES"/>
        </w:rPr>
        <w:t xml:space="preserve"> </w:t>
      </w:r>
      <w:r w:rsidR="00350E26" w:rsidRPr="003D2027">
        <w:rPr>
          <w:rFonts w:ascii="Arial" w:hAnsi="Arial" w:cs="Arial"/>
          <w:color w:val="000000" w:themeColor="text1"/>
          <w:szCs w:val="24"/>
          <w:shd w:val="clear" w:color="auto" w:fill="FFFFFF"/>
          <w:lang w:val="es-ES"/>
        </w:rPr>
        <w:t>a través de resolución 55235 del 25-02-2015</w:t>
      </w:r>
      <w:r w:rsidR="00E83062" w:rsidRPr="003D2027">
        <w:rPr>
          <w:rFonts w:ascii="Arial" w:hAnsi="Arial" w:cs="Arial"/>
          <w:color w:val="000000" w:themeColor="text1"/>
          <w:szCs w:val="24"/>
          <w:shd w:val="clear" w:color="auto" w:fill="FFFFFF"/>
          <w:lang w:val="es-ES"/>
        </w:rPr>
        <w:t xml:space="preserve"> </w:t>
      </w:r>
      <w:r w:rsidR="007209D9" w:rsidRPr="003D2027">
        <w:rPr>
          <w:rFonts w:ascii="Arial" w:hAnsi="Arial" w:cs="Arial"/>
          <w:color w:val="000000" w:themeColor="text1"/>
          <w:szCs w:val="24"/>
          <w:shd w:val="clear" w:color="auto" w:fill="FFFFFF"/>
          <w:lang w:val="es-ES"/>
        </w:rPr>
        <w:t>-</w:t>
      </w:r>
      <w:r w:rsidR="00350E26" w:rsidRPr="003D2027">
        <w:rPr>
          <w:rFonts w:ascii="Arial" w:hAnsi="Arial" w:cs="Arial"/>
          <w:color w:val="000000" w:themeColor="text1"/>
          <w:szCs w:val="24"/>
          <w:shd w:val="clear" w:color="auto" w:fill="FFFFFF"/>
          <w:lang w:val="es-ES"/>
        </w:rPr>
        <w:t>fl.</w:t>
      </w:r>
      <w:r w:rsidR="00E83062" w:rsidRPr="003D2027">
        <w:rPr>
          <w:rFonts w:ascii="Arial" w:hAnsi="Arial" w:cs="Arial"/>
          <w:color w:val="000000" w:themeColor="text1"/>
          <w:szCs w:val="24"/>
          <w:shd w:val="clear" w:color="auto" w:fill="FFFFFF"/>
          <w:lang w:val="es-ES"/>
        </w:rPr>
        <w:t xml:space="preserve">67 </w:t>
      </w:r>
      <w:proofErr w:type="spellStart"/>
      <w:r w:rsidR="00E83062" w:rsidRPr="003D2027">
        <w:rPr>
          <w:rFonts w:ascii="Arial" w:hAnsi="Arial" w:cs="Arial"/>
          <w:color w:val="000000" w:themeColor="text1"/>
          <w:szCs w:val="24"/>
          <w:shd w:val="clear" w:color="auto" w:fill="FFFFFF"/>
          <w:lang w:val="es-ES"/>
        </w:rPr>
        <w:t>vlto</w:t>
      </w:r>
      <w:proofErr w:type="spellEnd"/>
      <w:r w:rsidR="00350E26" w:rsidRPr="003D2027">
        <w:rPr>
          <w:rFonts w:ascii="Arial" w:hAnsi="Arial" w:cs="Arial"/>
          <w:color w:val="000000" w:themeColor="text1"/>
          <w:szCs w:val="24"/>
          <w:shd w:val="clear" w:color="auto" w:fill="FFFFFF"/>
          <w:lang w:val="es-ES"/>
        </w:rPr>
        <w:t xml:space="preserve"> Cd-</w:t>
      </w:r>
      <w:r w:rsidR="004270C3" w:rsidRPr="003D2027">
        <w:rPr>
          <w:rFonts w:ascii="Arial" w:hAnsi="Arial" w:cs="Arial"/>
          <w:color w:val="000000" w:themeColor="text1"/>
          <w:szCs w:val="24"/>
          <w:shd w:val="clear" w:color="auto" w:fill="FFFFFF"/>
          <w:lang w:val="es-ES"/>
        </w:rPr>
        <w:t>2</w:t>
      </w:r>
      <w:r w:rsidR="00350E26" w:rsidRPr="003D2027">
        <w:rPr>
          <w:rFonts w:ascii="Arial" w:hAnsi="Arial" w:cs="Arial"/>
          <w:color w:val="000000" w:themeColor="text1"/>
          <w:szCs w:val="24"/>
          <w:shd w:val="clear" w:color="auto" w:fill="FFFFFF"/>
          <w:lang w:val="es-ES"/>
        </w:rPr>
        <w:t xml:space="preserve"> archivo Nº</w:t>
      </w:r>
      <w:r w:rsidR="004270C3" w:rsidRPr="003D2027">
        <w:rPr>
          <w:rFonts w:ascii="Arial" w:hAnsi="Arial" w:cs="Arial"/>
          <w:color w:val="000000" w:themeColor="text1"/>
          <w:szCs w:val="24"/>
          <w:shd w:val="clear" w:color="auto" w:fill="FFFFFF"/>
          <w:lang w:val="es-ES"/>
        </w:rPr>
        <w:t>63</w:t>
      </w:r>
      <w:r w:rsidR="007209D9" w:rsidRPr="003D2027">
        <w:rPr>
          <w:rFonts w:ascii="Arial" w:hAnsi="Arial" w:cs="Arial"/>
          <w:color w:val="000000" w:themeColor="text1"/>
          <w:szCs w:val="24"/>
          <w:shd w:val="clear" w:color="auto" w:fill="FFFFFF"/>
          <w:lang w:val="es-ES"/>
        </w:rPr>
        <w:t>-</w:t>
      </w:r>
      <w:r w:rsidR="00474A04" w:rsidRPr="003D2027">
        <w:rPr>
          <w:rFonts w:ascii="Arial" w:hAnsi="Arial" w:cs="Arial"/>
          <w:color w:val="000000" w:themeColor="text1"/>
          <w:szCs w:val="24"/>
          <w:shd w:val="clear" w:color="auto" w:fill="FFFFFF"/>
          <w:lang w:val="es-ES"/>
        </w:rPr>
        <w:t>.</w:t>
      </w:r>
    </w:p>
    <w:p w:rsidR="00474A04" w:rsidRPr="003D2027" w:rsidRDefault="00474A04" w:rsidP="008F3925">
      <w:pPr>
        <w:pStyle w:val="Textoindependiente"/>
        <w:spacing w:line="300" w:lineRule="auto"/>
        <w:contextualSpacing/>
        <w:rPr>
          <w:color w:val="000000" w:themeColor="text1"/>
          <w:szCs w:val="24"/>
          <w:shd w:val="clear" w:color="auto" w:fill="FFFFFF"/>
          <w:lang w:val="es-ES"/>
        </w:rPr>
      </w:pPr>
    </w:p>
    <w:p w:rsidR="00453107" w:rsidRPr="003D2027" w:rsidRDefault="003C3DE3" w:rsidP="008F3925">
      <w:pPr>
        <w:pStyle w:val="Textoindependiente"/>
        <w:spacing w:line="300" w:lineRule="auto"/>
        <w:ind w:right="193"/>
        <w:rPr>
          <w:b/>
          <w:color w:val="000000"/>
          <w:szCs w:val="24"/>
          <w:lang w:eastAsia="es-CO"/>
        </w:rPr>
      </w:pPr>
      <w:r w:rsidRPr="003D2027">
        <w:rPr>
          <w:szCs w:val="24"/>
          <w:lang w:val="es-CO"/>
        </w:rPr>
        <w:t>Lo anterior se afirma atendiendo la línea constante de nuestra superioridad</w:t>
      </w:r>
      <w:r w:rsidR="00453107" w:rsidRPr="003D2027">
        <w:rPr>
          <w:rStyle w:val="Refdenotaalpie"/>
          <w:szCs w:val="24"/>
          <w:lang w:val="es-CO"/>
        </w:rPr>
        <w:footnoteReference w:id="2"/>
      </w:r>
      <w:r w:rsidRPr="003D2027">
        <w:rPr>
          <w:szCs w:val="24"/>
          <w:lang w:val="es-CO"/>
        </w:rPr>
        <w:t xml:space="preserve"> y de este tribunal</w:t>
      </w:r>
      <w:r w:rsidR="00453107" w:rsidRPr="003D2027">
        <w:rPr>
          <w:rStyle w:val="Refdenotaalpie"/>
          <w:szCs w:val="24"/>
          <w:lang w:val="es-CO"/>
        </w:rPr>
        <w:footnoteReference w:id="3"/>
      </w:r>
      <w:r w:rsidRPr="003D2027">
        <w:rPr>
          <w:szCs w:val="24"/>
          <w:lang w:val="es-CO"/>
        </w:rPr>
        <w:t xml:space="preserve">, en el sentido de que no existe </w:t>
      </w:r>
      <w:r w:rsidR="000A2E85" w:rsidRPr="003D2027">
        <w:rPr>
          <w:szCs w:val="24"/>
          <w:lang w:val="es-CO"/>
        </w:rPr>
        <w:t xml:space="preserve">incompatibilidad </w:t>
      </w:r>
      <w:r w:rsidRPr="003D2027">
        <w:rPr>
          <w:szCs w:val="24"/>
          <w:lang w:val="es-CO"/>
        </w:rPr>
        <w:t xml:space="preserve">entre las prestaciones mencionadas </w:t>
      </w:r>
      <w:r w:rsidR="000A2E85" w:rsidRPr="003D2027">
        <w:rPr>
          <w:szCs w:val="24"/>
        </w:rPr>
        <w:t>siempre y cuando acredite la densidad de semanas exigidas por la Ley</w:t>
      </w:r>
      <w:r w:rsidR="000A2E85" w:rsidRPr="003D2027">
        <w:rPr>
          <w:rStyle w:val="Refdenotaalpie"/>
          <w:szCs w:val="24"/>
        </w:rPr>
        <w:footnoteReference w:id="4"/>
      </w:r>
      <w:r w:rsidR="007A2164" w:rsidRPr="003D2027">
        <w:rPr>
          <w:szCs w:val="24"/>
        </w:rPr>
        <w:t xml:space="preserve">, </w:t>
      </w:r>
      <w:r w:rsidR="007A2164" w:rsidRPr="003D2027">
        <w:t>lo que implica que en vigencia de la Ley 797 de 2003, el afiliado debe tener cotizadas dentro de los tres años anteriores a su deceso por lo menos cincuenta semanas al sistema general de pensiones, con las cuales se garantice la cobertura de ese riesgo.</w:t>
      </w:r>
      <w:r w:rsidR="00743829" w:rsidRPr="003D2027">
        <w:rPr>
          <w:rFonts w:eastAsia="Times New Roman"/>
          <w:szCs w:val="24"/>
          <w:lang w:eastAsia="en-US"/>
        </w:rPr>
        <w:t xml:space="preserve"> </w:t>
      </w:r>
    </w:p>
    <w:p w:rsidR="00453107" w:rsidRPr="003D2027" w:rsidRDefault="00743829" w:rsidP="008F3925">
      <w:pPr>
        <w:pStyle w:val="Textoindependiente"/>
        <w:spacing w:line="300" w:lineRule="auto"/>
        <w:ind w:right="193"/>
        <w:rPr>
          <w:rFonts w:eastAsia="Times New Roman"/>
          <w:szCs w:val="24"/>
        </w:rPr>
      </w:pPr>
      <w:r w:rsidRPr="003D2027">
        <w:rPr>
          <w:i/>
          <w:szCs w:val="24"/>
        </w:rPr>
        <w:t xml:space="preserve">  </w:t>
      </w:r>
    </w:p>
    <w:p w:rsidR="005F3CAF" w:rsidRPr="003D2027" w:rsidRDefault="00F4442A" w:rsidP="008F3925">
      <w:pPr>
        <w:spacing w:line="300" w:lineRule="auto"/>
        <w:ind w:right="51"/>
        <w:jc w:val="both"/>
        <w:rPr>
          <w:rFonts w:ascii="Arial" w:hAnsi="Arial" w:cs="Arial"/>
          <w:szCs w:val="24"/>
          <w:lang w:val="es-CO"/>
        </w:rPr>
      </w:pPr>
      <w:r w:rsidRPr="003D2027">
        <w:rPr>
          <w:rFonts w:ascii="Arial" w:hAnsi="Arial" w:cs="Arial"/>
          <w:szCs w:val="24"/>
          <w:lang w:val="es-CO"/>
        </w:rPr>
        <w:lastRenderedPageBreak/>
        <w:t>Así recientemente (2019)</w:t>
      </w:r>
      <w:r w:rsidR="00893B9D" w:rsidRPr="003D2027">
        <w:rPr>
          <w:rStyle w:val="Refdenotaalpie"/>
          <w:rFonts w:ascii="Arial" w:hAnsi="Arial" w:cs="Arial"/>
          <w:szCs w:val="24"/>
          <w:lang w:val="es-CO"/>
        </w:rPr>
        <w:footnoteReference w:id="5"/>
      </w:r>
      <w:r w:rsidRPr="003D2027">
        <w:rPr>
          <w:rFonts w:ascii="Arial" w:hAnsi="Arial" w:cs="Arial"/>
          <w:szCs w:val="24"/>
          <w:lang w:val="es-CO"/>
        </w:rPr>
        <w:t xml:space="preserve">, La Sala de Descongestión de la CSJ </w:t>
      </w:r>
      <w:proofErr w:type="spellStart"/>
      <w:r w:rsidRPr="003D2027">
        <w:rPr>
          <w:rFonts w:ascii="Arial" w:hAnsi="Arial" w:cs="Arial"/>
          <w:szCs w:val="24"/>
          <w:lang w:val="es-CO"/>
        </w:rPr>
        <w:t>SCL</w:t>
      </w:r>
      <w:proofErr w:type="spellEnd"/>
      <w:r w:rsidRPr="003D2027">
        <w:rPr>
          <w:rFonts w:ascii="Arial" w:hAnsi="Arial" w:cs="Arial"/>
          <w:szCs w:val="24"/>
          <w:lang w:val="es-CO"/>
        </w:rPr>
        <w:t>, en un caso de supuestos fácticos similar</w:t>
      </w:r>
      <w:r w:rsidR="007A2164" w:rsidRPr="003D2027">
        <w:rPr>
          <w:rFonts w:ascii="Arial" w:hAnsi="Arial" w:cs="Arial"/>
          <w:szCs w:val="24"/>
          <w:lang w:val="es-CO"/>
        </w:rPr>
        <w:t>es</w:t>
      </w:r>
      <w:r w:rsidRPr="003D2027">
        <w:rPr>
          <w:rFonts w:ascii="Arial" w:hAnsi="Arial" w:cs="Arial"/>
          <w:szCs w:val="24"/>
          <w:lang w:val="es-CO"/>
        </w:rPr>
        <w:t xml:space="preserve"> </w:t>
      </w:r>
      <w:r w:rsidR="005F3CAF" w:rsidRPr="003D2027">
        <w:rPr>
          <w:rFonts w:ascii="Arial" w:hAnsi="Arial" w:cs="Arial"/>
          <w:szCs w:val="24"/>
          <w:lang w:val="es-CO"/>
        </w:rPr>
        <w:t xml:space="preserve">al que nos concita </w:t>
      </w:r>
      <w:r w:rsidR="00852CA3">
        <w:rPr>
          <w:rFonts w:ascii="Arial" w:hAnsi="Arial" w:cs="Arial"/>
          <w:szCs w:val="24"/>
          <w:lang w:val="es-CO"/>
        </w:rPr>
        <w:t>reiteró</w:t>
      </w:r>
      <w:r w:rsidR="005F3CAF" w:rsidRPr="003D2027">
        <w:rPr>
          <w:rFonts w:ascii="Arial" w:hAnsi="Arial" w:cs="Arial"/>
          <w:szCs w:val="24"/>
          <w:lang w:val="es-CO"/>
        </w:rPr>
        <w:t xml:space="preserve"> la tesis atrás referida y trajo a colación la siguiente cita:</w:t>
      </w:r>
    </w:p>
    <w:p w:rsidR="005F3CAF" w:rsidRPr="003D2027" w:rsidRDefault="005F3CAF" w:rsidP="008F3925">
      <w:pPr>
        <w:spacing w:line="300" w:lineRule="auto"/>
        <w:ind w:right="51"/>
        <w:jc w:val="both"/>
        <w:rPr>
          <w:rFonts w:ascii="Arial" w:hAnsi="Arial" w:cs="Arial"/>
          <w:szCs w:val="24"/>
          <w:lang w:val="es-CO"/>
        </w:rPr>
      </w:pPr>
    </w:p>
    <w:p w:rsidR="005F3CAF" w:rsidRPr="00787324" w:rsidRDefault="005F3CAF" w:rsidP="008F3925">
      <w:pPr>
        <w:ind w:left="426" w:right="420"/>
        <w:jc w:val="both"/>
        <w:rPr>
          <w:rFonts w:ascii="Arial" w:hAnsi="Arial" w:cs="Arial"/>
          <w:i/>
          <w:sz w:val="22"/>
          <w:szCs w:val="22"/>
        </w:rPr>
      </w:pPr>
      <w:r w:rsidRPr="00787324">
        <w:rPr>
          <w:rFonts w:ascii="Arial" w:hAnsi="Arial" w:cs="Arial"/>
          <w:i/>
          <w:sz w:val="22"/>
          <w:szCs w:val="22"/>
        </w:rPr>
        <w:t xml:space="preserve">Esta Corporación en sentencia CSJ </w:t>
      </w:r>
      <w:proofErr w:type="spellStart"/>
      <w:r w:rsidRPr="00787324">
        <w:rPr>
          <w:rFonts w:ascii="Arial" w:hAnsi="Arial" w:cs="Arial"/>
          <w:i/>
          <w:sz w:val="22"/>
          <w:szCs w:val="22"/>
        </w:rPr>
        <w:t>SL</w:t>
      </w:r>
      <w:proofErr w:type="spellEnd"/>
      <w:r w:rsidRPr="00787324">
        <w:rPr>
          <w:rFonts w:ascii="Arial" w:hAnsi="Arial" w:cs="Arial"/>
          <w:i/>
          <w:sz w:val="22"/>
          <w:szCs w:val="22"/>
        </w:rPr>
        <w:t xml:space="preserve">. 25. Mar. 2009, radicación 34014, reiterada recientemente, en la sentencia CSJ </w:t>
      </w:r>
      <w:proofErr w:type="spellStart"/>
      <w:r w:rsidRPr="00787324">
        <w:rPr>
          <w:rFonts w:ascii="Arial" w:hAnsi="Arial" w:cs="Arial"/>
          <w:i/>
          <w:sz w:val="22"/>
          <w:szCs w:val="22"/>
        </w:rPr>
        <w:t>SL</w:t>
      </w:r>
      <w:proofErr w:type="spellEnd"/>
      <w:r w:rsidRPr="00787324">
        <w:rPr>
          <w:rFonts w:ascii="Arial" w:hAnsi="Arial" w:cs="Arial"/>
          <w:i/>
          <w:sz w:val="22"/>
          <w:szCs w:val="22"/>
        </w:rPr>
        <w:t xml:space="preserve"> 9769 – 2014, fijó su criterio en ese sentido, al considerar que no existía incompatibilidad alguna entre la indemnización sustitutiva de la pensión de vejez que recibió el causante y la pensión de sobrevivientes que corresponde a los beneficiarios de éste, siempre que cumplan con las exigencias legales para acceder a ese derecho, al efecto precisó:</w:t>
      </w:r>
    </w:p>
    <w:p w:rsidR="005F3CAF" w:rsidRPr="00787324" w:rsidRDefault="00893B9D" w:rsidP="008F3925">
      <w:pPr>
        <w:pStyle w:val="Textoindependiente"/>
        <w:ind w:left="426" w:right="420" w:firstLine="708"/>
        <w:rPr>
          <w:sz w:val="22"/>
        </w:rPr>
      </w:pPr>
      <w:r w:rsidRPr="00787324">
        <w:rPr>
          <w:sz w:val="22"/>
        </w:rPr>
        <w:t>(</w:t>
      </w:r>
      <w:r w:rsidR="005F3CAF" w:rsidRPr="00787324">
        <w:rPr>
          <w:sz w:val="22"/>
        </w:rPr>
        <w:t>…</w:t>
      </w:r>
      <w:r w:rsidRPr="00787324">
        <w:rPr>
          <w:sz w:val="22"/>
        </w:rPr>
        <w:t>)</w:t>
      </w:r>
    </w:p>
    <w:p w:rsidR="005F3CAF" w:rsidRPr="00787324" w:rsidRDefault="005F3CAF" w:rsidP="008F3925">
      <w:pPr>
        <w:ind w:left="426" w:right="420"/>
        <w:jc w:val="both"/>
        <w:rPr>
          <w:rFonts w:ascii="Arial" w:hAnsi="Arial" w:cs="Arial"/>
          <w:i/>
          <w:sz w:val="22"/>
          <w:szCs w:val="22"/>
          <w:lang w:val="es-CO"/>
        </w:rPr>
      </w:pPr>
      <w:r w:rsidRPr="00787324">
        <w:rPr>
          <w:rFonts w:ascii="Arial" w:hAnsi="Arial" w:cs="Arial"/>
          <w:i/>
          <w:sz w:val="22"/>
          <w:szCs w:val="22"/>
          <w:lang w:val="es-CO"/>
        </w:rPr>
        <w:t>En las condiciones que anteceden, la indemnización que se le canceló al afiliado en el sub judice, es como su mismo nombre lo indica, “sustitutiva de la pensión de vejez”, esto es, sustituye esa prestación concretamente (pensión de vejez) y no las otras contingencias que también ampara el sistema, como la invalidez y la muerte, por lo que resulta equivocado el razonamiento del Tribunal cuando para negar el derecho pretendido, textualmente expresa, que “en el momento en que el causante recibió la indemnización sustitutiva, “se gastó” las semanas que tenía para cubrir las contingencias de invalidez, vejez y muerte de origen común”.</w:t>
      </w:r>
    </w:p>
    <w:p w:rsidR="00893B9D" w:rsidRPr="00787324" w:rsidRDefault="00893B9D" w:rsidP="008F3925">
      <w:pPr>
        <w:ind w:left="426" w:right="420"/>
        <w:jc w:val="both"/>
        <w:rPr>
          <w:rFonts w:ascii="Arial" w:hAnsi="Arial" w:cs="Arial"/>
          <w:i/>
          <w:sz w:val="22"/>
          <w:szCs w:val="22"/>
          <w:lang w:val="es-CO"/>
        </w:rPr>
      </w:pPr>
    </w:p>
    <w:p w:rsidR="00893B9D" w:rsidRPr="00787324" w:rsidRDefault="00893B9D" w:rsidP="008F3925">
      <w:pPr>
        <w:ind w:left="426" w:right="420"/>
        <w:jc w:val="both"/>
        <w:rPr>
          <w:rFonts w:ascii="Arial" w:hAnsi="Arial" w:cs="Arial"/>
          <w:sz w:val="22"/>
          <w:szCs w:val="22"/>
        </w:rPr>
      </w:pPr>
      <w:r w:rsidRPr="00787324">
        <w:rPr>
          <w:rFonts w:ascii="Arial" w:hAnsi="Arial" w:cs="Arial"/>
          <w:sz w:val="22"/>
          <w:szCs w:val="22"/>
        </w:rPr>
        <w:t>(</w:t>
      </w:r>
      <w:r w:rsidR="005F3CAF" w:rsidRPr="00787324">
        <w:rPr>
          <w:rFonts w:ascii="Arial" w:hAnsi="Arial" w:cs="Arial"/>
          <w:sz w:val="22"/>
          <w:szCs w:val="22"/>
        </w:rPr>
        <w:t>…</w:t>
      </w:r>
      <w:r w:rsidRPr="00787324">
        <w:rPr>
          <w:rFonts w:ascii="Arial" w:hAnsi="Arial" w:cs="Arial"/>
          <w:sz w:val="22"/>
          <w:szCs w:val="22"/>
        </w:rPr>
        <w:t>)</w:t>
      </w:r>
    </w:p>
    <w:p w:rsidR="005F3CAF" w:rsidRPr="00787324" w:rsidRDefault="005F3CAF" w:rsidP="008F3925">
      <w:pPr>
        <w:ind w:left="426" w:right="420"/>
        <w:jc w:val="both"/>
        <w:rPr>
          <w:rFonts w:ascii="Arial" w:hAnsi="Arial" w:cs="Arial"/>
          <w:i/>
          <w:sz w:val="22"/>
          <w:szCs w:val="22"/>
        </w:rPr>
      </w:pPr>
      <w:r w:rsidRPr="00787324">
        <w:rPr>
          <w:rFonts w:ascii="Arial" w:hAnsi="Arial" w:cs="Arial"/>
          <w:i/>
          <w:sz w:val="22"/>
          <w:szCs w:val="22"/>
        </w:rPr>
        <w:t>De manera que de acuerdo con la regla jurisprudencial referida, incurrió el Tribunal en el yerro hermenéutico denunciado por la censura por cuanto la indemnización sustitutiva de la pensión de vejez recibida en vida por el causante no implica, ipso jure, la renuncia por parte del asegurado o sus derechohabientes a reclamar una pensión por un riesgo distinto al de vejez, por constituir ésta una contingencia amparable diferente, pues la indemnización sustitutiva de la pensión de vejez en el presente caso sólo consolidó lo referente a ese riesgo.</w:t>
      </w:r>
    </w:p>
    <w:p w:rsidR="00893B9D" w:rsidRPr="003D2027" w:rsidRDefault="00893B9D" w:rsidP="008F3925">
      <w:pPr>
        <w:spacing w:line="300" w:lineRule="auto"/>
        <w:ind w:left="708" w:right="51"/>
        <w:jc w:val="both"/>
        <w:rPr>
          <w:rFonts w:ascii="Arial" w:hAnsi="Arial" w:cs="Arial"/>
          <w:szCs w:val="24"/>
          <w:lang w:val="es-CO"/>
        </w:rPr>
      </w:pPr>
    </w:p>
    <w:p w:rsidR="008A0248" w:rsidRPr="003D2027" w:rsidRDefault="008A0248" w:rsidP="008F3925">
      <w:pPr>
        <w:pStyle w:val="Textoindependiente"/>
        <w:spacing w:line="300" w:lineRule="auto"/>
        <w:contextualSpacing/>
        <w:rPr>
          <w:iCs/>
          <w:color w:val="000000" w:themeColor="text1"/>
          <w:szCs w:val="24"/>
        </w:rPr>
      </w:pPr>
      <w:r w:rsidRPr="003D2027">
        <w:rPr>
          <w:iCs/>
          <w:color w:val="000000" w:themeColor="text1"/>
          <w:szCs w:val="24"/>
        </w:rPr>
        <w:t>Y precisamente en este asunto ello se da, es más, se alcanzan las 50 semanas</w:t>
      </w:r>
      <w:r w:rsidR="007C7205">
        <w:rPr>
          <w:iCs/>
          <w:color w:val="000000" w:themeColor="text1"/>
          <w:szCs w:val="24"/>
        </w:rPr>
        <w:t>, concretamente 91,</w:t>
      </w:r>
      <w:r w:rsidRPr="003D2027">
        <w:rPr>
          <w:iCs/>
          <w:color w:val="000000" w:themeColor="text1"/>
          <w:szCs w:val="24"/>
        </w:rPr>
        <w:t xml:space="preserve"> sin tener en cuenta las contabilizadas para el reconocimiento de la indemnización sustitutiva, que solo abarcan hasta el 31-12-2014.</w:t>
      </w:r>
    </w:p>
    <w:p w:rsidR="008A0248" w:rsidRPr="003D2027" w:rsidRDefault="008A0248" w:rsidP="008F3925">
      <w:pPr>
        <w:spacing w:line="300" w:lineRule="auto"/>
        <w:jc w:val="center"/>
        <w:rPr>
          <w:rFonts w:ascii="Arial" w:hAnsi="Arial" w:cs="Arial"/>
          <w:b/>
          <w:sz w:val="16"/>
          <w:szCs w:val="16"/>
        </w:rPr>
      </w:pPr>
    </w:p>
    <w:p w:rsidR="009319A4" w:rsidRPr="003D2027" w:rsidRDefault="009319A4" w:rsidP="008F3925">
      <w:pPr>
        <w:pStyle w:val="Textoindependiente"/>
        <w:spacing w:line="300" w:lineRule="auto"/>
        <w:contextualSpacing/>
        <w:rPr>
          <w:szCs w:val="24"/>
        </w:rPr>
      </w:pPr>
      <w:r w:rsidRPr="003D2027">
        <w:rPr>
          <w:szCs w:val="24"/>
        </w:rPr>
        <w:t>Finalmente, en lo que respecta a la calidad de beneficiaria que aduce tener la actora al alegar su condición de cónyuge con una convivencia superior a los 5 años, se tiene que se demostró su estado civil de casada con el documento visible a folio 13, unión católica celebrada el 25-12-1972, sin que conste en él, nota marginal del divorcio, por lo que se infiere que el vínculo estuvo vigente hasta la fecha de la muerte del varón.</w:t>
      </w:r>
    </w:p>
    <w:p w:rsidR="009319A4" w:rsidRPr="003D2027" w:rsidRDefault="009319A4" w:rsidP="008F3925">
      <w:pPr>
        <w:pStyle w:val="Textoindependiente"/>
        <w:spacing w:line="300" w:lineRule="auto"/>
        <w:contextualSpacing/>
        <w:rPr>
          <w:szCs w:val="24"/>
        </w:rPr>
      </w:pPr>
    </w:p>
    <w:p w:rsidR="009319A4" w:rsidRPr="003D2027" w:rsidRDefault="009319A4" w:rsidP="008F3925">
      <w:pPr>
        <w:pStyle w:val="Textoindependiente"/>
        <w:spacing w:line="300" w:lineRule="auto"/>
        <w:rPr>
          <w:szCs w:val="24"/>
        </w:rPr>
      </w:pPr>
      <w:r w:rsidRPr="003D2027">
        <w:rPr>
          <w:szCs w:val="24"/>
        </w:rPr>
        <w:t>Asimismo, al momento del deceso de aquel la actora contaba con más de 30 años de edad, según se colige del registro civil de nacimiento que reposa a folio 11, al nacer en 1946 y la muerte del cónyuge en 2016.</w:t>
      </w:r>
    </w:p>
    <w:p w:rsidR="009319A4" w:rsidRPr="003D2027" w:rsidRDefault="009319A4" w:rsidP="008F3925">
      <w:pPr>
        <w:pStyle w:val="Textoindependiente"/>
        <w:spacing w:line="300" w:lineRule="auto"/>
        <w:contextualSpacing/>
        <w:rPr>
          <w:szCs w:val="24"/>
        </w:rPr>
      </w:pPr>
    </w:p>
    <w:p w:rsidR="009319A4" w:rsidRPr="003D2027" w:rsidRDefault="009319A4" w:rsidP="008F3925">
      <w:pPr>
        <w:pStyle w:val="Textoindependiente"/>
        <w:spacing w:line="300" w:lineRule="auto"/>
        <w:contextualSpacing/>
        <w:rPr>
          <w:sz w:val="22"/>
          <w:lang w:val="es-CO"/>
        </w:rPr>
      </w:pPr>
      <w:r w:rsidRPr="003D2027">
        <w:rPr>
          <w:iCs/>
          <w:color w:val="000000" w:themeColor="text1"/>
          <w:szCs w:val="24"/>
        </w:rPr>
        <w:t xml:space="preserve">Ahora en cuanto a la convivencia ininterrumpida hasta la muerte y por espacio superior a 5 años se acreditó con el material probatorio obrante en el proceso,   (fl.13), que se mantuvo desde el matrimonio hasta el momento de fallecimiento del varón como se desprende de lo declarado por  Guillermo Alfonso Vergara Hernández, </w:t>
      </w:r>
      <w:proofErr w:type="spellStart"/>
      <w:r w:rsidRPr="003D2027">
        <w:rPr>
          <w:iCs/>
          <w:color w:val="000000" w:themeColor="text1"/>
          <w:szCs w:val="24"/>
        </w:rPr>
        <w:t>Miryan</w:t>
      </w:r>
      <w:proofErr w:type="spellEnd"/>
      <w:r w:rsidRPr="003D2027">
        <w:rPr>
          <w:iCs/>
          <w:color w:val="000000" w:themeColor="text1"/>
          <w:szCs w:val="24"/>
        </w:rPr>
        <w:t xml:space="preserve"> López Hurtado, Martha Lucía Jiménez Tabares y María </w:t>
      </w:r>
      <w:proofErr w:type="spellStart"/>
      <w:r w:rsidRPr="003D2027">
        <w:rPr>
          <w:iCs/>
          <w:color w:val="000000" w:themeColor="text1"/>
          <w:szCs w:val="24"/>
        </w:rPr>
        <w:t>Eucaris</w:t>
      </w:r>
      <w:proofErr w:type="spellEnd"/>
      <w:r w:rsidRPr="003D2027">
        <w:rPr>
          <w:iCs/>
          <w:color w:val="000000" w:themeColor="text1"/>
          <w:szCs w:val="24"/>
        </w:rPr>
        <w:t xml:space="preserve"> Bueno </w:t>
      </w:r>
      <w:proofErr w:type="spellStart"/>
      <w:r w:rsidRPr="003D2027">
        <w:rPr>
          <w:iCs/>
          <w:color w:val="000000" w:themeColor="text1"/>
          <w:szCs w:val="24"/>
        </w:rPr>
        <w:t>Tapasco</w:t>
      </w:r>
      <w:proofErr w:type="spellEnd"/>
      <w:r w:rsidRPr="003D2027">
        <w:rPr>
          <w:iCs/>
          <w:color w:val="000000" w:themeColor="text1"/>
          <w:szCs w:val="24"/>
        </w:rPr>
        <w:t xml:space="preserve">, todos </w:t>
      </w:r>
      <w:r w:rsidRPr="003D2027">
        <w:rPr>
          <w:iCs/>
          <w:color w:val="000000" w:themeColor="text1"/>
          <w:szCs w:val="24"/>
        </w:rPr>
        <w:lastRenderedPageBreak/>
        <w:t xml:space="preserve">vecinos, que coincidieron en afirmar que los conocieron como pareja  aproximadamente hace 28 años, quienes tuvieron muchos hijos – 10 – , siendo una pareja de admirar; también afirmaron que el señor </w:t>
      </w:r>
      <w:r w:rsidR="003D2027">
        <w:rPr>
          <w:iCs/>
          <w:color w:val="000000" w:themeColor="text1"/>
          <w:szCs w:val="24"/>
        </w:rPr>
        <w:t xml:space="preserve">Gilberto </w:t>
      </w:r>
      <w:r w:rsidRPr="003D2027">
        <w:rPr>
          <w:iCs/>
          <w:color w:val="000000" w:themeColor="text1"/>
          <w:szCs w:val="24"/>
        </w:rPr>
        <w:t xml:space="preserve">trabajó </w:t>
      </w:r>
      <w:r w:rsidRPr="003D2027">
        <w:t>en una finca propiedad del señor Carlos Murillo donde se desempeñó como administrador.</w:t>
      </w:r>
    </w:p>
    <w:p w:rsidR="009319A4" w:rsidRPr="003D2027" w:rsidRDefault="009319A4" w:rsidP="008F3925">
      <w:pPr>
        <w:pStyle w:val="Textoindependiente"/>
        <w:spacing w:line="300" w:lineRule="auto"/>
        <w:contextualSpacing/>
        <w:rPr>
          <w:iCs/>
          <w:color w:val="000000" w:themeColor="text1"/>
          <w:szCs w:val="24"/>
        </w:rPr>
      </w:pPr>
    </w:p>
    <w:p w:rsidR="009319A4" w:rsidRPr="003D2027" w:rsidRDefault="009319A4" w:rsidP="008F3925">
      <w:pPr>
        <w:pStyle w:val="Textoindependiente"/>
        <w:spacing w:line="300" w:lineRule="auto"/>
        <w:contextualSpacing/>
        <w:rPr>
          <w:szCs w:val="24"/>
        </w:rPr>
      </w:pPr>
      <w:r w:rsidRPr="003D2027">
        <w:rPr>
          <w:szCs w:val="24"/>
        </w:rPr>
        <w:t xml:space="preserve">Lo anterior, permite concluir que entre el </w:t>
      </w:r>
      <w:r w:rsidRPr="003D2027">
        <w:rPr>
          <w:iCs/>
          <w:color w:val="000000" w:themeColor="text1"/>
          <w:szCs w:val="24"/>
        </w:rPr>
        <w:t xml:space="preserve"> 25-12-1972 y 7-10-2016 </w:t>
      </w:r>
      <w:r w:rsidRPr="003D2027">
        <w:rPr>
          <w:szCs w:val="24"/>
        </w:rPr>
        <w:t xml:space="preserve"> la señora Blanca Emma Ruiz  y Gilberto Suárez Garzón convivieron por un espacio superior a 40 años, cumpliendo así el requisito de la convivencia,</w:t>
      </w:r>
      <w:r w:rsidRPr="003D2027">
        <w:rPr>
          <w:color w:val="000000"/>
          <w:szCs w:val="24"/>
          <w:shd w:val="clear" w:color="auto" w:fill="FFFFFF"/>
        </w:rPr>
        <w:t xml:space="preserve"> como lo definió la primera instancia, por lo que es</w:t>
      </w:r>
      <w:r w:rsidRPr="003D2027">
        <w:rPr>
          <w:iCs/>
          <w:szCs w:val="24"/>
        </w:rPr>
        <w:t xml:space="preserve"> beneficiara la actora de la pensión de sobrevivientes causada con el deceso de su esposo. </w:t>
      </w:r>
    </w:p>
    <w:p w:rsidR="009319A4" w:rsidRPr="003D2027" w:rsidRDefault="009319A4" w:rsidP="008F3925">
      <w:pPr>
        <w:pStyle w:val="Textoindependiente"/>
        <w:spacing w:line="300" w:lineRule="auto"/>
        <w:contextualSpacing/>
        <w:rPr>
          <w:szCs w:val="24"/>
        </w:rPr>
      </w:pPr>
      <w:r w:rsidRPr="003D2027">
        <w:rPr>
          <w:szCs w:val="24"/>
        </w:rPr>
        <w:t xml:space="preserve"> </w:t>
      </w:r>
    </w:p>
    <w:p w:rsidR="009319A4" w:rsidRPr="003D2027" w:rsidRDefault="009319A4" w:rsidP="008F3925">
      <w:pPr>
        <w:pStyle w:val="Textoindependiente"/>
        <w:spacing w:line="300" w:lineRule="auto"/>
        <w:rPr>
          <w:szCs w:val="24"/>
        </w:rPr>
      </w:pPr>
      <w:r w:rsidRPr="003D2027">
        <w:rPr>
          <w:szCs w:val="24"/>
        </w:rPr>
        <w:t xml:space="preserve">Ahora bien, el monto de la prestación debe corresponder al </w:t>
      </w:r>
      <w:proofErr w:type="spellStart"/>
      <w:r w:rsidRPr="003D2027">
        <w:rPr>
          <w:szCs w:val="24"/>
        </w:rPr>
        <w:t>SMLMV</w:t>
      </w:r>
      <w:proofErr w:type="spellEnd"/>
      <w:r w:rsidRPr="003D2027">
        <w:rPr>
          <w:szCs w:val="24"/>
        </w:rPr>
        <w:t xml:space="preserve">, dado que sobre ese valor el causante siempre cotizó al Sistema de Seguridad Social en Pensiones, como se desprende de la historia laboral folio 84 </w:t>
      </w:r>
      <w:proofErr w:type="spellStart"/>
      <w:r w:rsidRPr="003D2027">
        <w:rPr>
          <w:szCs w:val="24"/>
        </w:rPr>
        <w:t>cdn</w:t>
      </w:r>
      <w:proofErr w:type="spellEnd"/>
      <w:r w:rsidRPr="003D2027">
        <w:rPr>
          <w:szCs w:val="24"/>
        </w:rPr>
        <w:t xml:space="preserve"> 1, sin que ninguna mesada hubiere prescrito al presentarse la reclamación administrativa en el 2017 y la demanda al año siguiente.</w:t>
      </w:r>
    </w:p>
    <w:p w:rsidR="009319A4" w:rsidRPr="003D2027" w:rsidRDefault="009319A4" w:rsidP="008F3925">
      <w:pPr>
        <w:autoSpaceDE w:val="0"/>
        <w:autoSpaceDN w:val="0"/>
        <w:adjustRightInd w:val="0"/>
        <w:spacing w:line="300" w:lineRule="auto"/>
        <w:jc w:val="both"/>
        <w:rPr>
          <w:rFonts w:ascii="Arial" w:hAnsi="Arial" w:cs="Arial"/>
          <w:szCs w:val="24"/>
        </w:rPr>
      </w:pPr>
    </w:p>
    <w:p w:rsidR="009319A4" w:rsidRPr="003D2027" w:rsidRDefault="009319A4" w:rsidP="008F3925">
      <w:pPr>
        <w:autoSpaceDE w:val="0"/>
        <w:autoSpaceDN w:val="0"/>
        <w:adjustRightInd w:val="0"/>
        <w:spacing w:line="300" w:lineRule="auto"/>
        <w:jc w:val="both"/>
        <w:rPr>
          <w:rFonts w:ascii="Arial" w:hAnsi="Arial" w:cs="Arial"/>
          <w:szCs w:val="24"/>
        </w:rPr>
      </w:pPr>
      <w:r w:rsidRPr="003D2027">
        <w:rPr>
          <w:rFonts w:ascii="Arial" w:hAnsi="Arial" w:cs="Arial"/>
          <w:szCs w:val="24"/>
        </w:rPr>
        <w:t xml:space="preserve">Bien para la liquidación del retroactivo y las mesadas que a futuro se causen, deberán tenerse en cuenta 13 mesadas anuales, como quiera que el hecho que determina ese aspecto, es precisamente la fecha en que se causa la pensión, que en tratándose de la de sobrevivientes es el deceso del afiliado o en este caso luego del 31/07/2011, conforme al parágrafo 6° del Acto Legislativo 01/05, por lo que confirmará en este aspecto la decisión de la </w:t>
      </w:r>
      <w:r w:rsidRPr="003D2027">
        <w:rPr>
          <w:rFonts w:ascii="Arial" w:hAnsi="Arial" w:cs="Arial"/>
          <w:i/>
          <w:szCs w:val="24"/>
        </w:rPr>
        <w:t>a quo</w:t>
      </w:r>
      <w:r w:rsidRPr="003D2027">
        <w:rPr>
          <w:rFonts w:ascii="Arial" w:hAnsi="Arial" w:cs="Arial"/>
          <w:szCs w:val="24"/>
        </w:rPr>
        <w:t xml:space="preserve">. </w:t>
      </w:r>
    </w:p>
    <w:p w:rsidR="009319A4" w:rsidRPr="003D2027" w:rsidRDefault="009319A4" w:rsidP="008F3925">
      <w:pPr>
        <w:autoSpaceDE w:val="0"/>
        <w:autoSpaceDN w:val="0"/>
        <w:adjustRightInd w:val="0"/>
        <w:spacing w:line="300" w:lineRule="auto"/>
        <w:jc w:val="both"/>
        <w:rPr>
          <w:rFonts w:ascii="Arial" w:hAnsi="Arial" w:cs="Arial"/>
          <w:szCs w:val="24"/>
        </w:rPr>
      </w:pPr>
    </w:p>
    <w:p w:rsidR="009319A4" w:rsidRPr="003D2027" w:rsidRDefault="009319A4" w:rsidP="008F3925">
      <w:pPr>
        <w:autoSpaceDE w:val="0"/>
        <w:autoSpaceDN w:val="0"/>
        <w:adjustRightInd w:val="0"/>
        <w:spacing w:line="300" w:lineRule="auto"/>
        <w:jc w:val="both"/>
        <w:rPr>
          <w:rFonts w:ascii="Arial" w:hAnsi="Arial" w:cs="Arial"/>
          <w:szCs w:val="24"/>
        </w:rPr>
      </w:pPr>
      <w:r w:rsidRPr="003D2027">
        <w:rPr>
          <w:rFonts w:ascii="Arial" w:hAnsi="Arial" w:cs="Arial"/>
          <w:szCs w:val="24"/>
        </w:rPr>
        <w:t xml:space="preserve">Entonces el retroactivo a que tiene derecho la señora Blanca Emma Ruiz de Suárez coincide con el  liquidado en primera instancia liquidado desde el 7-10-2016 hasta el 31-04-2019, pero deberá actualizarse hasta el 31-10-2019, mes previo a  proferir esta sentencia, el cual asciende a la suma de $30’547.555, conforme consta en la liquidación que hace parte integral del acta que se suscriba con ocasión de esta diligencia, sin perjuicio de las que se causen a futuro. Se autorizará a Colpensiones a realizar los descuentos en salud respectivos </w:t>
      </w:r>
    </w:p>
    <w:p w:rsidR="009319A4" w:rsidRPr="003D2027" w:rsidRDefault="009319A4" w:rsidP="008F3925">
      <w:pPr>
        <w:pStyle w:val="Textoindependiente"/>
        <w:spacing w:line="300" w:lineRule="auto"/>
        <w:contextualSpacing/>
        <w:rPr>
          <w:iCs/>
          <w:color w:val="000000" w:themeColor="text1"/>
          <w:szCs w:val="24"/>
        </w:rPr>
      </w:pPr>
    </w:p>
    <w:p w:rsidR="009319A4" w:rsidRPr="003D2027" w:rsidRDefault="009319A4" w:rsidP="008F3925">
      <w:pPr>
        <w:autoSpaceDE w:val="0"/>
        <w:autoSpaceDN w:val="0"/>
        <w:adjustRightInd w:val="0"/>
        <w:spacing w:line="300" w:lineRule="auto"/>
        <w:jc w:val="both"/>
        <w:rPr>
          <w:rFonts w:ascii="Arial" w:hAnsi="Arial" w:cs="Arial"/>
          <w:szCs w:val="24"/>
        </w:rPr>
      </w:pPr>
      <w:r w:rsidRPr="003D2027">
        <w:rPr>
          <w:rFonts w:ascii="Arial" w:hAnsi="Arial" w:cs="Arial"/>
          <w:szCs w:val="24"/>
        </w:rPr>
        <w:t>No hay lugar a efectuar ningún discernimiento sobre los intereses moratorios por no existir pronunciamiento sobre ellos al no solicitarse en la demanda.</w:t>
      </w:r>
    </w:p>
    <w:p w:rsidR="00EA6BFD" w:rsidRPr="003D2027" w:rsidRDefault="00EA6BFD" w:rsidP="008F3925">
      <w:pPr>
        <w:pStyle w:val="Textoindependiente"/>
        <w:spacing w:line="300" w:lineRule="auto"/>
        <w:contextualSpacing/>
        <w:rPr>
          <w:b/>
          <w:color w:val="000000"/>
          <w:szCs w:val="24"/>
          <w:shd w:val="clear" w:color="auto" w:fill="FFFFFF"/>
        </w:rPr>
      </w:pPr>
    </w:p>
    <w:p w:rsidR="001D4AAC" w:rsidRPr="003D2027" w:rsidRDefault="001D4AAC" w:rsidP="008F3925">
      <w:pPr>
        <w:shd w:val="clear" w:color="auto" w:fill="FFFFFF"/>
        <w:tabs>
          <w:tab w:val="left" w:pos="5197"/>
        </w:tabs>
        <w:spacing w:line="300" w:lineRule="auto"/>
        <w:jc w:val="center"/>
        <w:rPr>
          <w:rFonts w:ascii="Arial" w:hAnsi="Arial" w:cs="Arial"/>
          <w:b/>
          <w:color w:val="000000" w:themeColor="text1"/>
          <w:szCs w:val="24"/>
          <w:lang w:eastAsia="es-CO"/>
        </w:rPr>
      </w:pPr>
      <w:r w:rsidRPr="003D2027">
        <w:rPr>
          <w:rFonts w:ascii="Arial" w:hAnsi="Arial" w:cs="Arial"/>
          <w:b/>
          <w:color w:val="000000" w:themeColor="text1"/>
          <w:szCs w:val="24"/>
          <w:lang w:eastAsia="es-CO"/>
        </w:rPr>
        <w:t>CONCLUSIÓN</w:t>
      </w:r>
    </w:p>
    <w:p w:rsidR="001D4AAC" w:rsidRPr="003D2027" w:rsidRDefault="001D4AAC" w:rsidP="008F3925">
      <w:pPr>
        <w:shd w:val="clear" w:color="auto" w:fill="FFFFFF"/>
        <w:tabs>
          <w:tab w:val="left" w:pos="5197"/>
        </w:tabs>
        <w:spacing w:line="300" w:lineRule="auto"/>
        <w:jc w:val="center"/>
        <w:rPr>
          <w:rFonts w:ascii="Arial" w:hAnsi="Arial" w:cs="Arial"/>
          <w:b/>
          <w:color w:val="000000" w:themeColor="text1"/>
          <w:szCs w:val="24"/>
          <w:lang w:eastAsia="es-CO"/>
        </w:rPr>
      </w:pPr>
    </w:p>
    <w:p w:rsidR="009319A4" w:rsidRPr="003D2027" w:rsidRDefault="009319A4" w:rsidP="008F3925">
      <w:pPr>
        <w:spacing w:line="300" w:lineRule="auto"/>
        <w:jc w:val="both"/>
        <w:rPr>
          <w:rFonts w:ascii="Arial" w:hAnsi="Arial" w:cs="Arial"/>
          <w:szCs w:val="24"/>
        </w:rPr>
      </w:pPr>
      <w:r w:rsidRPr="003D2027">
        <w:rPr>
          <w:rFonts w:ascii="Arial" w:hAnsi="Arial" w:cs="Arial"/>
          <w:szCs w:val="24"/>
        </w:rPr>
        <w:t xml:space="preserve">En armonía con lo expuesto en precedencia, se modificará el numeral 3º para </w:t>
      </w:r>
      <w:r w:rsidRPr="003D2027">
        <w:rPr>
          <w:rFonts w:ascii="Arial" w:hAnsi="Arial" w:cs="Arial"/>
          <w:color w:val="000000"/>
          <w:szCs w:val="24"/>
          <w:lang w:eastAsia="es-CO"/>
        </w:rPr>
        <w:t xml:space="preserve">actualizar la condena por concepto de retroactivo pensional, liquidado hasta el </w:t>
      </w:r>
      <w:r w:rsidRPr="003D2027">
        <w:rPr>
          <w:rFonts w:ascii="Arial" w:hAnsi="Arial" w:cs="Arial"/>
          <w:szCs w:val="24"/>
        </w:rPr>
        <w:t>último día de octubre de 2019, en lo demás confirmará la sentencia recurrida y se condenará en esta instancia en costas a Colpensiones a favor de la demandante, al fracasar la alzada (art. 365 numerales 1 y 3 CGP).</w:t>
      </w:r>
    </w:p>
    <w:p w:rsidR="009319A4" w:rsidRPr="003D2027" w:rsidRDefault="009319A4" w:rsidP="008F3925">
      <w:pPr>
        <w:spacing w:line="300" w:lineRule="auto"/>
        <w:jc w:val="both"/>
        <w:rPr>
          <w:rFonts w:ascii="Arial" w:hAnsi="Arial" w:cs="Arial"/>
          <w:szCs w:val="24"/>
        </w:rPr>
      </w:pPr>
    </w:p>
    <w:p w:rsidR="009319A4" w:rsidRPr="003D2027" w:rsidRDefault="009319A4" w:rsidP="008F3925">
      <w:pPr>
        <w:spacing w:line="300" w:lineRule="auto"/>
        <w:jc w:val="center"/>
        <w:rPr>
          <w:rFonts w:ascii="Arial" w:hAnsi="Arial" w:cs="Arial"/>
          <w:b/>
          <w:szCs w:val="24"/>
        </w:rPr>
      </w:pPr>
      <w:r w:rsidRPr="003D2027">
        <w:rPr>
          <w:rFonts w:ascii="Arial" w:hAnsi="Arial" w:cs="Arial"/>
          <w:b/>
          <w:szCs w:val="24"/>
        </w:rPr>
        <w:t>DECISIÓN</w:t>
      </w:r>
    </w:p>
    <w:p w:rsidR="009319A4" w:rsidRPr="003D2027" w:rsidRDefault="009319A4" w:rsidP="008F3925">
      <w:pPr>
        <w:pStyle w:val="Prrafodelista2"/>
        <w:spacing w:after="0" w:line="300" w:lineRule="auto"/>
        <w:ind w:left="0"/>
        <w:jc w:val="both"/>
        <w:rPr>
          <w:rFonts w:ascii="Arial" w:hAnsi="Arial" w:cs="Arial"/>
          <w:sz w:val="24"/>
          <w:szCs w:val="24"/>
        </w:rPr>
      </w:pPr>
    </w:p>
    <w:p w:rsidR="009319A4" w:rsidRPr="003D2027" w:rsidRDefault="009319A4" w:rsidP="008F3925">
      <w:pPr>
        <w:pStyle w:val="Prrafodelista2"/>
        <w:spacing w:after="0" w:line="300" w:lineRule="auto"/>
        <w:ind w:left="0"/>
        <w:jc w:val="both"/>
        <w:rPr>
          <w:rFonts w:ascii="Arial" w:hAnsi="Arial" w:cs="Arial"/>
          <w:sz w:val="24"/>
          <w:szCs w:val="24"/>
        </w:rPr>
      </w:pPr>
      <w:r w:rsidRPr="003D2027">
        <w:rPr>
          <w:rFonts w:ascii="Arial" w:hAnsi="Arial" w:cs="Arial"/>
          <w:sz w:val="24"/>
          <w:szCs w:val="24"/>
        </w:rPr>
        <w:lastRenderedPageBreak/>
        <w:t xml:space="preserve">En mérito de lo expuesto, el </w:t>
      </w:r>
      <w:r w:rsidRPr="003D2027">
        <w:rPr>
          <w:rFonts w:ascii="Arial" w:hAnsi="Arial" w:cs="Arial"/>
          <w:b/>
          <w:sz w:val="24"/>
          <w:szCs w:val="24"/>
        </w:rPr>
        <w:t>Tribunal Superior del Distrito Judicial de Pereira - Risaralda, Sala Segunda de Decisión Laboral,</w:t>
      </w:r>
      <w:r w:rsidRPr="003D2027">
        <w:rPr>
          <w:rFonts w:ascii="Arial" w:hAnsi="Arial" w:cs="Arial"/>
          <w:sz w:val="24"/>
          <w:szCs w:val="24"/>
        </w:rPr>
        <w:t xml:space="preserve"> administrando justicia en nombre de la República y por autoridad de la ley,</w:t>
      </w:r>
    </w:p>
    <w:p w:rsidR="009319A4" w:rsidRPr="003D2027" w:rsidRDefault="009319A4" w:rsidP="008F3925">
      <w:pPr>
        <w:pStyle w:val="Prrafodelista2"/>
        <w:spacing w:after="0" w:line="300" w:lineRule="auto"/>
        <w:ind w:left="0"/>
        <w:jc w:val="both"/>
        <w:rPr>
          <w:rFonts w:ascii="Arial" w:hAnsi="Arial" w:cs="Arial"/>
          <w:b/>
          <w:sz w:val="24"/>
          <w:szCs w:val="24"/>
        </w:rPr>
      </w:pPr>
    </w:p>
    <w:p w:rsidR="009319A4" w:rsidRPr="003D2027" w:rsidRDefault="009319A4" w:rsidP="008F3925">
      <w:pPr>
        <w:spacing w:line="300" w:lineRule="auto"/>
        <w:jc w:val="center"/>
        <w:rPr>
          <w:rFonts w:ascii="Arial" w:hAnsi="Arial" w:cs="Arial"/>
          <w:b/>
          <w:szCs w:val="24"/>
        </w:rPr>
      </w:pPr>
      <w:r w:rsidRPr="003D2027">
        <w:rPr>
          <w:rFonts w:ascii="Arial" w:hAnsi="Arial" w:cs="Arial"/>
          <w:b/>
          <w:szCs w:val="24"/>
        </w:rPr>
        <w:t>RESUELVE</w:t>
      </w:r>
    </w:p>
    <w:p w:rsidR="009319A4" w:rsidRPr="003D2027" w:rsidRDefault="009319A4" w:rsidP="008F3925">
      <w:pPr>
        <w:spacing w:line="300" w:lineRule="auto"/>
        <w:jc w:val="center"/>
        <w:rPr>
          <w:rFonts w:ascii="Arial" w:hAnsi="Arial" w:cs="Arial"/>
          <w:b/>
          <w:szCs w:val="24"/>
        </w:rPr>
      </w:pPr>
    </w:p>
    <w:p w:rsidR="009319A4" w:rsidRPr="003D2027" w:rsidRDefault="009319A4" w:rsidP="008F3925">
      <w:pPr>
        <w:widowControl w:val="0"/>
        <w:autoSpaceDE w:val="0"/>
        <w:autoSpaceDN w:val="0"/>
        <w:adjustRightInd w:val="0"/>
        <w:spacing w:line="300" w:lineRule="auto"/>
        <w:jc w:val="both"/>
        <w:rPr>
          <w:rFonts w:ascii="Arial" w:hAnsi="Arial" w:cs="Arial"/>
          <w:szCs w:val="24"/>
        </w:rPr>
      </w:pPr>
      <w:r w:rsidRPr="003D2027">
        <w:rPr>
          <w:rFonts w:ascii="Arial" w:hAnsi="Arial" w:cs="Arial"/>
          <w:b/>
          <w:szCs w:val="24"/>
          <w:u w:val="single"/>
        </w:rPr>
        <w:t>PRIMERO</w:t>
      </w:r>
      <w:r w:rsidRPr="003D2027">
        <w:rPr>
          <w:rFonts w:ascii="Arial" w:hAnsi="Arial" w:cs="Arial"/>
          <w:b/>
          <w:szCs w:val="24"/>
        </w:rPr>
        <w:t xml:space="preserve">: CONFIRMAR </w:t>
      </w:r>
      <w:r w:rsidRPr="003D2027">
        <w:rPr>
          <w:rFonts w:ascii="Arial" w:hAnsi="Arial" w:cs="Arial"/>
          <w:szCs w:val="24"/>
        </w:rPr>
        <w:t xml:space="preserve">la sentencia proferida el 24 de mayo de 2019 por el Juzgado Segundo Laboral del Circuito de Pereira, dentro del proceso que promueve la señora   </w:t>
      </w:r>
      <w:r w:rsidRPr="003D2027">
        <w:rPr>
          <w:rFonts w:ascii="Arial" w:hAnsi="Arial" w:cs="Arial"/>
          <w:b/>
          <w:szCs w:val="24"/>
        </w:rPr>
        <w:t xml:space="preserve">Blanca Emma Ruiz de Suárez </w:t>
      </w:r>
      <w:r w:rsidRPr="003D2027">
        <w:rPr>
          <w:rFonts w:ascii="Arial" w:hAnsi="Arial" w:cs="Arial"/>
          <w:szCs w:val="24"/>
        </w:rPr>
        <w:t xml:space="preserve">contra </w:t>
      </w:r>
      <w:r w:rsidRPr="003D2027">
        <w:rPr>
          <w:rFonts w:ascii="Arial" w:hAnsi="Arial" w:cs="Arial"/>
          <w:b/>
          <w:szCs w:val="24"/>
        </w:rPr>
        <w:t xml:space="preserve">la Administradora Colombiana de Pensiones, salvo </w:t>
      </w:r>
      <w:r w:rsidRPr="003D2027">
        <w:rPr>
          <w:rFonts w:ascii="Arial" w:hAnsi="Arial" w:cs="Arial"/>
          <w:szCs w:val="24"/>
        </w:rPr>
        <w:t>el numeral 3º que se modificará para actualizar el valor del retroactivo pensional, que para mayor comprensión quedará de la siguiente manera:</w:t>
      </w:r>
    </w:p>
    <w:p w:rsidR="009319A4" w:rsidRPr="003D2027" w:rsidRDefault="009319A4" w:rsidP="008F3925">
      <w:pPr>
        <w:widowControl w:val="0"/>
        <w:autoSpaceDE w:val="0"/>
        <w:autoSpaceDN w:val="0"/>
        <w:adjustRightInd w:val="0"/>
        <w:spacing w:line="300" w:lineRule="auto"/>
        <w:jc w:val="both"/>
        <w:rPr>
          <w:rFonts w:ascii="Arial" w:hAnsi="Arial" w:cs="Arial"/>
          <w:b/>
          <w:szCs w:val="24"/>
        </w:rPr>
      </w:pPr>
    </w:p>
    <w:p w:rsidR="009319A4" w:rsidRPr="003D2027" w:rsidRDefault="009319A4" w:rsidP="008F3925">
      <w:pPr>
        <w:widowControl w:val="0"/>
        <w:autoSpaceDE w:val="0"/>
        <w:autoSpaceDN w:val="0"/>
        <w:adjustRightInd w:val="0"/>
        <w:spacing w:line="300" w:lineRule="auto"/>
        <w:ind w:left="426" w:right="420"/>
        <w:jc w:val="both"/>
        <w:rPr>
          <w:rFonts w:ascii="Arial" w:hAnsi="Arial" w:cs="Arial"/>
          <w:bCs/>
          <w:i/>
          <w:iCs/>
          <w:sz w:val="22"/>
          <w:szCs w:val="22"/>
        </w:rPr>
      </w:pPr>
      <w:r w:rsidRPr="003D2027">
        <w:rPr>
          <w:rFonts w:ascii="Arial" w:hAnsi="Arial" w:cs="Arial"/>
          <w:bCs/>
          <w:i/>
          <w:iCs/>
          <w:sz w:val="22"/>
          <w:szCs w:val="22"/>
        </w:rPr>
        <w:t>TERCERO: CONDENAR a la Administradora Colombiana de Pensiones –COLPENSIONES- a pagar a la señora BLANCA EMMA RUIZ DE SUÁREZ el retroactivo pensional que liquidado hasta el 31/10/2019 asciende a $30.924.582".</w:t>
      </w:r>
    </w:p>
    <w:p w:rsidR="009319A4" w:rsidRPr="003D2027" w:rsidRDefault="009319A4" w:rsidP="008F3925">
      <w:pPr>
        <w:widowControl w:val="0"/>
        <w:autoSpaceDE w:val="0"/>
        <w:autoSpaceDN w:val="0"/>
        <w:adjustRightInd w:val="0"/>
        <w:spacing w:line="300" w:lineRule="auto"/>
        <w:ind w:left="567" w:right="567"/>
        <w:jc w:val="both"/>
        <w:rPr>
          <w:rFonts w:ascii="Arial" w:hAnsi="Arial" w:cs="Arial"/>
          <w:bCs/>
          <w:i/>
          <w:iCs/>
          <w:sz w:val="22"/>
          <w:szCs w:val="22"/>
        </w:rPr>
      </w:pPr>
    </w:p>
    <w:p w:rsidR="009319A4" w:rsidRPr="003D2027" w:rsidRDefault="009319A4" w:rsidP="008F3925">
      <w:pPr>
        <w:widowControl w:val="0"/>
        <w:autoSpaceDE w:val="0"/>
        <w:autoSpaceDN w:val="0"/>
        <w:adjustRightInd w:val="0"/>
        <w:spacing w:line="300" w:lineRule="auto"/>
        <w:jc w:val="both"/>
        <w:rPr>
          <w:rFonts w:ascii="Arial" w:hAnsi="Arial" w:cs="Arial"/>
          <w:szCs w:val="24"/>
        </w:rPr>
      </w:pPr>
      <w:r w:rsidRPr="003D2027">
        <w:rPr>
          <w:rFonts w:ascii="Arial" w:hAnsi="Arial" w:cs="Arial"/>
          <w:b/>
          <w:bCs/>
          <w:iCs/>
          <w:szCs w:val="24"/>
          <w:u w:val="single"/>
        </w:rPr>
        <w:t>SEGUNDO</w:t>
      </w:r>
      <w:r w:rsidRPr="003D2027">
        <w:rPr>
          <w:rFonts w:ascii="Arial" w:hAnsi="Arial" w:cs="Arial"/>
          <w:b/>
          <w:bCs/>
          <w:iCs/>
          <w:szCs w:val="24"/>
        </w:rPr>
        <w:t xml:space="preserve">: </w:t>
      </w:r>
      <w:r w:rsidRPr="003D2027">
        <w:rPr>
          <w:rFonts w:ascii="Arial" w:hAnsi="Arial" w:cs="Arial"/>
          <w:b/>
          <w:szCs w:val="24"/>
        </w:rPr>
        <w:t>CONDENAR</w:t>
      </w:r>
      <w:r w:rsidRPr="003D2027">
        <w:rPr>
          <w:rFonts w:ascii="Arial" w:hAnsi="Arial" w:cs="Arial"/>
          <w:szCs w:val="24"/>
        </w:rPr>
        <w:t xml:space="preserve"> en costas en esta instancia a Colpensiones en favor de la demandante, por lo expuesto en la parte motiva.</w:t>
      </w:r>
    </w:p>
    <w:p w:rsidR="009319A4" w:rsidRPr="003D2027" w:rsidRDefault="009319A4" w:rsidP="008F3925">
      <w:pPr>
        <w:widowControl w:val="0"/>
        <w:autoSpaceDE w:val="0"/>
        <w:autoSpaceDN w:val="0"/>
        <w:adjustRightInd w:val="0"/>
        <w:spacing w:line="300" w:lineRule="auto"/>
        <w:jc w:val="both"/>
        <w:rPr>
          <w:rFonts w:ascii="Arial" w:hAnsi="Arial" w:cs="Arial"/>
          <w:szCs w:val="24"/>
        </w:rPr>
      </w:pPr>
    </w:p>
    <w:p w:rsidR="009319A4" w:rsidRPr="003D2027" w:rsidRDefault="009319A4" w:rsidP="008F3925">
      <w:pPr>
        <w:spacing w:line="300" w:lineRule="auto"/>
        <w:jc w:val="both"/>
        <w:rPr>
          <w:rFonts w:ascii="Arial" w:hAnsi="Arial" w:cs="Arial"/>
          <w:bCs/>
          <w:iCs/>
          <w:szCs w:val="24"/>
          <w:lang w:val="es-ES"/>
        </w:rPr>
      </w:pPr>
      <w:r w:rsidRPr="003D2027">
        <w:rPr>
          <w:rFonts w:ascii="Arial" w:hAnsi="Arial" w:cs="Arial"/>
          <w:bCs/>
          <w:iCs/>
          <w:szCs w:val="24"/>
          <w:lang w:val="es-ES"/>
        </w:rPr>
        <w:t>La anterior decisión queda notificada en estrados.</w:t>
      </w:r>
    </w:p>
    <w:p w:rsidR="009319A4" w:rsidRPr="003D2027" w:rsidRDefault="009319A4" w:rsidP="008F3925">
      <w:pPr>
        <w:pStyle w:val="Sinespaciado"/>
        <w:spacing w:line="300" w:lineRule="auto"/>
        <w:rPr>
          <w:rFonts w:ascii="Arial" w:hAnsi="Arial" w:cs="Arial"/>
          <w:sz w:val="24"/>
          <w:szCs w:val="24"/>
          <w:lang w:val="es-ES"/>
        </w:rPr>
      </w:pPr>
    </w:p>
    <w:p w:rsidR="009319A4" w:rsidRPr="003D2027" w:rsidRDefault="009319A4" w:rsidP="008F3925">
      <w:pPr>
        <w:pStyle w:val="Textoindependiente"/>
        <w:spacing w:line="300" w:lineRule="auto"/>
        <w:contextualSpacing/>
        <w:rPr>
          <w:szCs w:val="24"/>
        </w:rPr>
      </w:pPr>
      <w:r w:rsidRPr="003D2027">
        <w:rPr>
          <w:szCs w:val="24"/>
        </w:rPr>
        <w:t>No siendo otro el objeto de la presente audiencia, se eleva y firma esta acta por las personas que han intervenido.</w:t>
      </w:r>
    </w:p>
    <w:p w:rsidR="009319A4" w:rsidRPr="003D2027" w:rsidRDefault="009319A4" w:rsidP="008F3925">
      <w:pPr>
        <w:widowControl w:val="0"/>
        <w:autoSpaceDE w:val="0"/>
        <w:autoSpaceDN w:val="0"/>
        <w:adjustRightInd w:val="0"/>
        <w:spacing w:line="300" w:lineRule="auto"/>
        <w:contextualSpacing/>
        <w:jc w:val="both"/>
        <w:rPr>
          <w:rFonts w:ascii="Arial" w:hAnsi="Arial" w:cs="Arial"/>
          <w:szCs w:val="24"/>
        </w:rPr>
      </w:pPr>
    </w:p>
    <w:p w:rsidR="009319A4" w:rsidRPr="003D2027" w:rsidRDefault="009319A4" w:rsidP="008F3925">
      <w:pPr>
        <w:widowControl w:val="0"/>
        <w:autoSpaceDE w:val="0"/>
        <w:autoSpaceDN w:val="0"/>
        <w:adjustRightInd w:val="0"/>
        <w:spacing w:line="300" w:lineRule="auto"/>
        <w:contextualSpacing/>
        <w:jc w:val="both"/>
        <w:rPr>
          <w:rFonts w:ascii="Arial" w:hAnsi="Arial" w:cs="Arial"/>
          <w:szCs w:val="24"/>
        </w:rPr>
      </w:pPr>
      <w:r w:rsidRPr="003D2027">
        <w:rPr>
          <w:rFonts w:ascii="Arial" w:hAnsi="Arial" w:cs="Arial"/>
          <w:szCs w:val="24"/>
        </w:rPr>
        <w:t>Quienes integran la Sala,</w:t>
      </w: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spacing w:line="300" w:lineRule="auto"/>
        <w:contextualSpacing/>
        <w:jc w:val="center"/>
        <w:rPr>
          <w:rFonts w:ascii="Arial" w:hAnsi="Arial" w:cs="Arial"/>
          <w:b/>
          <w:spacing w:val="-4"/>
          <w:szCs w:val="24"/>
          <w:lang w:val="es-419"/>
        </w:rPr>
      </w:pPr>
      <w:r w:rsidRPr="0015201E">
        <w:rPr>
          <w:rFonts w:ascii="Arial" w:hAnsi="Arial" w:cs="Arial"/>
          <w:b/>
          <w:spacing w:val="-4"/>
          <w:szCs w:val="24"/>
          <w:lang w:val="es-419"/>
        </w:rPr>
        <w:t>OLGA LUCÍA HOYOS SEPÚLVEDA</w:t>
      </w:r>
    </w:p>
    <w:p w:rsidR="0015201E" w:rsidRPr="0015201E" w:rsidRDefault="0015201E" w:rsidP="008F3925">
      <w:pPr>
        <w:autoSpaceDE w:val="0"/>
        <w:autoSpaceDN w:val="0"/>
        <w:adjustRightInd w:val="0"/>
        <w:spacing w:line="300" w:lineRule="auto"/>
        <w:jc w:val="center"/>
        <w:rPr>
          <w:rFonts w:ascii="Arial" w:hAnsi="Arial" w:cs="Arial"/>
          <w:spacing w:val="-4"/>
          <w:szCs w:val="24"/>
          <w:lang w:val="es-419"/>
        </w:rPr>
      </w:pPr>
      <w:r w:rsidRPr="0015201E">
        <w:rPr>
          <w:rFonts w:ascii="Arial" w:hAnsi="Arial" w:cs="Arial"/>
          <w:spacing w:val="-4"/>
          <w:szCs w:val="24"/>
          <w:lang w:val="es-419"/>
        </w:rPr>
        <w:t>Magistrada Ponente</w:t>
      </w: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autoSpaceDE w:val="0"/>
        <w:autoSpaceDN w:val="0"/>
        <w:adjustRightInd w:val="0"/>
        <w:spacing w:line="300" w:lineRule="auto"/>
        <w:jc w:val="both"/>
        <w:rPr>
          <w:rFonts w:ascii="Arial" w:hAnsi="Arial" w:cs="Arial"/>
          <w:spacing w:val="-4"/>
          <w:sz w:val="20"/>
          <w:szCs w:val="24"/>
          <w:lang w:val="es-419"/>
        </w:rPr>
      </w:pPr>
    </w:p>
    <w:p w:rsidR="0015201E" w:rsidRPr="0015201E" w:rsidRDefault="0015201E" w:rsidP="008F3925">
      <w:pPr>
        <w:spacing w:line="300" w:lineRule="auto"/>
        <w:contextualSpacing/>
        <w:jc w:val="both"/>
        <w:rPr>
          <w:rFonts w:ascii="Arial" w:hAnsi="Arial" w:cs="Arial"/>
          <w:b/>
          <w:spacing w:val="-4"/>
          <w:szCs w:val="24"/>
          <w:lang w:val="es-419"/>
        </w:rPr>
      </w:pPr>
      <w:r w:rsidRPr="0015201E">
        <w:rPr>
          <w:rFonts w:ascii="Arial" w:hAnsi="Arial" w:cs="Arial"/>
          <w:b/>
          <w:spacing w:val="-4"/>
          <w:szCs w:val="24"/>
          <w:lang w:val="es-419"/>
        </w:rPr>
        <w:t>JULIO CÉSAR SALAZAR MUÑOZ</w:t>
      </w:r>
      <w:r w:rsidRPr="0015201E">
        <w:rPr>
          <w:rFonts w:ascii="Arial" w:hAnsi="Arial" w:cs="Arial"/>
          <w:b/>
          <w:spacing w:val="-4"/>
          <w:szCs w:val="24"/>
          <w:lang w:val="es-419"/>
        </w:rPr>
        <w:tab/>
        <w:t>FRANCISCO JAVIER TAMAYO TABARES</w:t>
      </w:r>
    </w:p>
    <w:p w:rsidR="001D4AAC" w:rsidRPr="0015201E" w:rsidRDefault="0015201E" w:rsidP="008F3925">
      <w:pPr>
        <w:spacing w:line="300" w:lineRule="auto"/>
        <w:rPr>
          <w:rFonts w:ascii="Arial" w:eastAsia="Calibri" w:hAnsi="Arial" w:cs="Arial"/>
          <w:spacing w:val="-4"/>
          <w:szCs w:val="24"/>
          <w:lang w:val="es-419" w:eastAsia="en-US"/>
        </w:rPr>
      </w:pPr>
      <w:r w:rsidRPr="0015201E">
        <w:rPr>
          <w:rFonts w:ascii="Arial" w:eastAsia="Calibri" w:hAnsi="Arial" w:cs="Arial"/>
          <w:spacing w:val="-4"/>
          <w:szCs w:val="24"/>
          <w:lang w:val="es-419" w:eastAsia="en-US"/>
        </w:rPr>
        <w:t>Magistrado</w:t>
      </w:r>
      <w:r w:rsidRPr="0015201E">
        <w:rPr>
          <w:rFonts w:ascii="Arial" w:eastAsia="Calibri" w:hAnsi="Arial" w:cs="Arial"/>
          <w:spacing w:val="-4"/>
          <w:szCs w:val="24"/>
          <w:lang w:val="es-419" w:eastAsia="en-US"/>
        </w:rPr>
        <w:tab/>
      </w:r>
      <w:r w:rsidRPr="0015201E">
        <w:rPr>
          <w:rFonts w:ascii="Arial" w:eastAsia="Calibri" w:hAnsi="Arial" w:cs="Arial"/>
          <w:spacing w:val="-4"/>
          <w:szCs w:val="24"/>
          <w:lang w:val="es-419" w:eastAsia="en-US"/>
        </w:rPr>
        <w:tab/>
      </w:r>
      <w:r w:rsidRPr="0015201E">
        <w:rPr>
          <w:rFonts w:ascii="Arial" w:eastAsia="Calibri" w:hAnsi="Arial" w:cs="Arial"/>
          <w:spacing w:val="-4"/>
          <w:szCs w:val="24"/>
          <w:lang w:val="es-419" w:eastAsia="en-US"/>
        </w:rPr>
        <w:tab/>
      </w:r>
      <w:r w:rsidRPr="0015201E">
        <w:rPr>
          <w:rFonts w:ascii="Arial" w:eastAsia="Calibri" w:hAnsi="Arial" w:cs="Arial"/>
          <w:spacing w:val="-4"/>
          <w:szCs w:val="24"/>
          <w:lang w:val="es-419" w:eastAsia="en-US"/>
        </w:rPr>
        <w:tab/>
      </w:r>
      <w:r w:rsidRPr="0015201E">
        <w:rPr>
          <w:rFonts w:ascii="Arial" w:eastAsia="Calibri" w:hAnsi="Arial" w:cs="Arial"/>
          <w:spacing w:val="-4"/>
          <w:szCs w:val="24"/>
          <w:lang w:val="es-419" w:eastAsia="en-US"/>
        </w:rPr>
        <w:tab/>
        <w:t>Magistrado</w:t>
      </w:r>
    </w:p>
    <w:sectPr w:rsidR="001D4AAC" w:rsidRPr="0015201E" w:rsidSect="00787324">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AE" w:rsidRDefault="003830AE" w:rsidP="00226D5F">
      <w:r>
        <w:separator/>
      </w:r>
    </w:p>
  </w:endnote>
  <w:endnote w:type="continuationSeparator" w:id="0">
    <w:p w:rsidR="003830AE" w:rsidRDefault="003830A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D" w:rsidRDefault="008274DD" w:rsidP="00F626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74DD" w:rsidRDefault="008274DD" w:rsidP="00F626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D" w:rsidRPr="00787324" w:rsidRDefault="008274DD" w:rsidP="00787324">
    <w:pPr>
      <w:pStyle w:val="Encabezado"/>
      <w:framePr w:wrap="around" w:vAnchor="text" w:hAnchor="margin" w:xAlign="right" w:y="1"/>
      <w:jc w:val="center"/>
      <w:rPr>
        <w:rFonts w:ascii="Arial" w:hAnsi="Arial" w:cs="Arial"/>
        <w:sz w:val="18"/>
        <w:szCs w:val="18"/>
      </w:rPr>
    </w:pPr>
    <w:r w:rsidRPr="00787324">
      <w:rPr>
        <w:rFonts w:ascii="Arial" w:hAnsi="Arial" w:cs="Arial"/>
        <w:sz w:val="18"/>
        <w:szCs w:val="18"/>
      </w:rPr>
      <w:fldChar w:fldCharType="begin"/>
    </w:r>
    <w:r w:rsidRPr="00787324">
      <w:rPr>
        <w:rFonts w:ascii="Arial" w:hAnsi="Arial" w:cs="Arial"/>
        <w:sz w:val="18"/>
        <w:szCs w:val="18"/>
      </w:rPr>
      <w:instrText xml:space="preserve">PAGE  </w:instrText>
    </w:r>
    <w:r w:rsidRPr="00787324">
      <w:rPr>
        <w:rFonts w:ascii="Arial" w:hAnsi="Arial" w:cs="Arial"/>
        <w:sz w:val="18"/>
        <w:szCs w:val="18"/>
      </w:rPr>
      <w:fldChar w:fldCharType="separate"/>
    </w:r>
    <w:r w:rsidR="00A721FC">
      <w:rPr>
        <w:rFonts w:ascii="Arial" w:hAnsi="Arial" w:cs="Arial"/>
        <w:noProof/>
        <w:sz w:val="18"/>
        <w:szCs w:val="18"/>
      </w:rPr>
      <w:t>7</w:t>
    </w:r>
    <w:r w:rsidRPr="00787324">
      <w:rPr>
        <w:rFonts w:ascii="Arial" w:hAnsi="Arial" w:cs="Arial"/>
        <w:sz w:val="18"/>
        <w:szCs w:val="18"/>
      </w:rPr>
      <w:fldChar w:fldCharType="end"/>
    </w:r>
  </w:p>
  <w:p w:rsidR="008274DD" w:rsidRDefault="008274DD" w:rsidP="00F626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AE" w:rsidRDefault="003830AE" w:rsidP="00226D5F">
      <w:r>
        <w:separator/>
      </w:r>
    </w:p>
  </w:footnote>
  <w:footnote w:type="continuationSeparator" w:id="0">
    <w:p w:rsidR="003830AE" w:rsidRDefault="003830AE" w:rsidP="00226D5F">
      <w:r>
        <w:continuationSeparator/>
      </w:r>
    </w:p>
  </w:footnote>
  <w:footnote w:id="1">
    <w:p w:rsidR="007737C2" w:rsidRPr="00787324" w:rsidRDefault="007737C2" w:rsidP="00787324">
      <w:pPr>
        <w:pStyle w:val="Textonotapie"/>
        <w:jc w:val="both"/>
        <w:rPr>
          <w:rFonts w:ascii="Arial" w:hAnsi="Arial" w:cs="Arial"/>
          <w:sz w:val="18"/>
          <w:szCs w:val="18"/>
          <w:lang w:val="es-CO"/>
        </w:rPr>
      </w:pPr>
      <w:r w:rsidRPr="00787324">
        <w:rPr>
          <w:rStyle w:val="Refdenotaalpie"/>
          <w:rFonts w:ascii="Arial" w:hAnsi="Arial" w:cs="Arial"/>
          <w:sz w:val="18"/>
          <w:szCs w:val="18"/>
        </w:rPr>
        <w:footnoteRef/>
      </w:r>
      <w:r w:rsidRPr="00787324">
        <w:rPr>
          <w:rFonts w:ascii="Arial" w:hAnsi="Arial" w:cs="Arial"/>
          <w:sz w:val="18"/>
          <w:szCs w:val="18"/>
        </w:rPr>
        <w:t xml:space="preserve"> </w:t>
      </w:r>
      <w:r w:rsidRPr="00787324">
        <w:rPr>
          <w:rFonts w:ascii="Arial" w:hAnsi="Arial" w:cs="Arial"/>
          <w:sz w:val="18"/>
          <w:szCs w:val="18"/>
          <w:lang w:val="es-CO"/>
        </w:rPr>
        <w:t>SL15199 del 2017.</w:t>
      </w:r>
    </w:p>
  </w:footnote>
  <w:footnote w:id="2">
    <w:p w:rsidR="00453107" w:rsidRPr="00787324" w:rsidRDefault="00453107" w:rsidP="00787324">
      <w:pPr>
        <w:pStyle w:val="Textonotapie"/>
        <w:jc w:val="both"/>
        <w:rPr>
          <w:rFonts w:ascii="Arial" w:hAnsi="Arial" w:cs="Arial"/>
          <w:sz w:val="18"/>
          <w:szCs w:val="18"/>
          <w:lang w:val="es-CO"/>
        </w:rPr>
      </w:pPr>
      <w:r w:rsidRPr="00787324">
        <w:rPr>
          <w:rStyle w:val="Refdenotaalpie"/>
          <w:rFonts w:ascii="Arial" w:hAnsi="Arial" w:cs="Arial"/>
          <w:sz w:val="18"/>
          <w:szCs w:val="18"/>
        </w:rPr>
        <w:footnoteRef/>
      </w:r>
      <w:r w:rsidR="00787324">
        <w:rPr>
          <w:rFonts w:ascii="Arial" w:hAnsi="Arial" w:cs="Arial"/>
          <w:sz w:val="18"/>
          <w:szCs w:val="18"/>
        </w:rPr>
        <w:t xml:space="preserve"> </w:t>
      </w:r>
      <w:r w:rsidR="00893B9D" w:rsidRPr="00787324">
        <w:rPr>
          <w:rFonts w:ascii="Arial" w:hAnsi="Arial" w:cs="Arial"/>
          <w:sz w:val="18"/>
          <w:szCs w:val="18"/>
        </w:rPr>
        <w:t>CORTE SUPREMA DE JUSTICIA</w:t>
      </w:r>
      <w:r w:rsidR="00893B9D" w:rsidRPr="00787324">
        <w:rPr>
          <w:rFonts w:ascii="Arial" w:hAnsi="Arial" w:cs="Arial"/>
          <w:sz w:val="18"/>
          <w:szCs w:val="18"/>
          <w:lang w:val="es-CO"/>
        </w:rPr>
        <w:t xml:space="preserve"> , Sala de Casación Laboral, sentencia </w:t>
      </w:r>
      <w:proofErr w:type="spellStart"/>
      <w:r w:rsidRPr="00787324">
        <w:rPr>
          <w:rFonts w:ascii="Arial" w:hAnsi="Arial" w:cs="Arial"/>
          <w:sz w:val="18"/>
          <w:szCs w:val="18"/>
          <w:lang w:val="es-CO"/>
        </w:rPr>
        <w:t>SL</w:t>
      </w:r>
      <w:proofErr w:type="spellEnd"/>
      <w:r w:rsidRPr="00787324">
        <w:rPr>
          <w:rFonts w:ascii="Arial" w:hAnsi="Arial" w:cs="Arial"/>
          <w:sz w:val="18"/>
          <w:szCs w:val="18"/>
          <w:lang w:val="es-CO"/>
        </w:rPr>
        <w:t xml:space="preserve"> 11234 de 26 de agosto de 2015 radicación Nº 45.857</w:t>
      </w:r>
      <w:r w:rsidRPr="00787324">
        <w:rPr>
          <w:rFonts w:ascii="Arial" w:hAnsi="Arial" w:cs="Arial"/>
          <w:sz w:val="18"/>
          <w:szCs w:val="18"/>
        </w:rPr>
        <w:t xml:space="preserve"> </w:t>
      </w:r>
    </w:p>
  </w:footnote>
  <w:footnote w:id="3">
    <w:p w:rsidR="00453107" w:rsidRPr="00787324" w:rsidRDefault="00453107" w:rsidP="00787324">
      <w:pPr>
        <w:pStyle w:val="Textonotapie"/>
        <w:jc w:val="both"/>
        <w:rPr>
          <w:rFonts w:ascii="Arial" w:hAnsi="Arial" w:cs="Arial"/>
          <w:sz w:val="18"/>
          <w:szCs w:val="18"/>
          <w:lang w:val="es-CO"/>
        </w:rPr>
      </w:pPr>
      <w:r w:rsidRPr="00787324">
        <w:rPr>
          <w:rStyle w:val="Refdenotaalpie"/>
          <w:rFonts w:ascii="Arial" w:hAnsi="Arial" w:cs="Arial"/>
          <w:sz w:val="18"/>
          <w:szCs w:val="18"/>
        </w:rPr>
        <w:footnoteRef/>
      </w:r>
      <w:r w:rsidRPr="00787324">
        <w:rPr>
          <w:rFonts w:ascii="Arial" w:hAnsi="Arial" w:cs="Arial"/>
          <w:sz w:val="18"/>
          <w:szCs w:val="18"/>
        </w:rPr>
        <w:t xml:space="preserve"> </w:t>
      </w:r>
      <w:r w:rsidR="00893B9D" w:rsidRPr="00787324">
        <w:rPr>
          <w:rFonts w:ascii="Arial" w:hAnsi="Arial" w:cs="Arial"/>
          <w:sz w:val="18"/>
          <w:szCs w:val="18"/>
        </w:rPr>
        <w:t xml:space="preserve">TRIBUNAL SUPERIOR DISTRITO JUDICIAL PEREIRA, Sala Laboral, </w:t>
      </w:r>
      <w:r w:rsidRPr="00787324">
        <w:rPr>
          <w:rFonts w:ascii="Arial" w:hAnsi="Arial" w:cs="Arial"/>
          <w:color w:val="000000"/>
          <w:sz w:val="18"/>
          <w:szCs w:val="18"/>
          <w:lang w:eastAsia="es-CO"/>
        </w:rPr>
        <w:t>sentencia del 23 noviembre de 2016, radicado 204-503, con ponencia del Magistrado</w:t>
      </w:r>
      <w:r w:rsidRPr="00787324">
        <w:rPr>
          <w:rFonts w:ascii="Arial" w:hAnsi="Arial" w:cs="Arial"/>
          <w:b/>
          <w:color w:val="000000"/>
          <w:sz w:val="18"/>
          <w:szCs w:val="18"/>
          <w:lang w:eastAsia="es-CO"/>
        </w:rPr>
        <w:t xml:space="preserve"> </w:t>
      </w:r>
      <w:r w:rsidRPr="00787324">
        <w:rPr>
          <w:rFonts w:ascii="Arial" w:hAnsi="Arial" w:cs="Arial"/>
          <w:sz w:val="18"/>
          <w:szCs w:val="18"/>
          <w:lang w:eastAsia="en-US"/>
        </w:rPr>
        <w:t>Julio Cesar Salazar Muñoz</w:t>
      </w:r>
    </w:p>
  </w:footnote>
  <w:footnote w:id="4">
    <w:p w:rsidR="008274DD" w:rsidRPr="00787324" w:rsidRDefault="008274DD" w:rsidP="00787324">
      <w:pPr>
        <w:pStyle w:val="Textonotapie"/>
        <w:jc w:val="both"/>
        <w:rPr>
          <w:rFonts w:ascii="Arial" w:hAnsi="Arial" w:cs="Arial"/>
          <w:sz w:val="18"/>
          <w:szCs w:val="18"/>
          <w:lang w:val="es-CO"/>
        </w:rPr>
      </w:pPr>
      <w:r w:rsidRPr="00787324">
        <w:rPr>
          <w:rStyle w:val="Refdenotaalpie"/>
          <w:rFonts w:ascii="Arial" w:hAnsi="Arial" w:cs="Arial"/>
          <w:sz w:val="18"/>
          <w:szCs w:val="18"/>
        </w:rPr>
        <w:footnoteRef/>
      </w:r>
      <w:r w:rsidRPr="00787324">
        <w:rPr>
          <w:rFonts w:ascii="Arial" w:hAnsi="Arial" w:cs="Arial"/>
          <w:sz w:val="18"/>
          <w:szCs w:val="18"/>
        </w:rPr>
        <w:t xml:space="preserve"> </w:t>
      </w:r>
      <w:r w:rsidR="00387546" w:rsidRPr="00787324">
        <w:rPr>
          <w:rFonts w:ascii="Arial" w:hAnsi="Arial" w:cs="Arial"/>
          <w:sz w:val="18"/>
          <w:szCs w:val="18"/>
        </w:rPr>
        <w:t>CORTE SUPREMA DE JUSTICIA, Sala de Casación laboral, sentencia</w:t>
      </w:r>
      <w:r w:rsidR="00387546" w:rsidRPr="00787324">
        <w:rPr>
          <w:rFonts w:ascii="Arial" w:hAnsi="Arial" w:cs="Arial"/>
          <w:i/>
          <w:sz w:val="18"/>
          <w:szCs w:val="18"/>
        </w:rPr>
        <w:t xml:space="preserve"> del </w:t>
      </w:r>
      <w:r w:rsidRPr="00787324">
        <w:rPr>
          <w:rFonts w:ascii="Arial" w:hAnsi="Arial" w:cs="Arial"/>
          <w:i/>
          <w:sz w:val="18"/>
          <w:szCs w:val="18"/>
        </w:rPr>
        <w:t xml:space="preserve"> 27</w:t>
      </w:r>
      <w:r w:rsidR="00387546" w:rsidRPr="00787324">
        <w:rPr>
          <w:rFonts w:ascii="Arial" w:hAnsi="Arial" w:cs="Arial"/>
          <w:i/>
          <w:sz w:val="18"/>
          <w:szCs w:val="18"/>
        </w:rPr>
        <w:t>-08-</w:t>
      </w:r>
      <w:r w:rsidRPr="00787324">
        <w:rPr>
          <w:rFonts w:ascii="Arial" w:hAnsi="Arial" w:cs="Arial"/>
          <w:i/>
          <w:sz w:val="18"/>
          <w:szCs w:val="18"/>
        </w:rPr>
        <w:t xml:space="preserve"> 2008, rad. 33885</w:t>
      </w:r>
      <w:r w:rsidR="00453107" w:rsidRPr="00787324">
        <w:rPr>
          <w:rFonts w:ascii="Arial" w:hAnsi="Arial" w:cs="Arial"/>
          <w:i/>
          <w:sz w:val="18"/>
          <w:szCs w:val="18"/>
        </w:rPr>
        <w:t>,</w:t>
      </w:r>
    </w:p>
  </w:footnote>
  <w:footnote w:id="5">
    <w:p w:rsidR="00893B9D" w:rsidRPr="00787324" w:rsidRDefault="00893B9D" w:rsidP="00787324">
      <w:pPr>
        <w:jc w:val="both"/>
        <w:rPr>
          <w:rFonts w:ascii="Arial" w:hAnsi="Arial" w:cs="Arial"/>
          <w:b/>
          <w:sz w:val="18"/>
          <w:szCs w:val="18"/>
        </w:rPr>
      </w:pPr>
      <w:r w:rsidRPr="00787324">
        <w:rPr>
          <w:rStyle w:val="Refdenotaalpie"/>
          <w:rFonts w:ascii="Arial" w:hAnsi="Arial" w:cs="Arial"/>
          <w:sz w:val="18"/>
          <w:szCs w:val="18"/>
        </w:rPr>
        <w:footnoteRef/>
      </w:r>
      <w:r w:rsidRPr="00787324">
        <w:rPr>
          <w:rFonts w:ascii="Arial" w:hAnsi="Arial" w:cs="Arial"/>
          <w:sz w:val="18"/>
          <w:szCs w:val="18"/>
        </w:rPr>
        <w:t xml:space="preserve"> CORTE SUPREMA DE JUSTICIA, Sala </w:t>
      </w:r>
      <w:r w:rsidR="00852CA3" w:rsidRPr="00787324">
        <w:rPr>
          <w:rFonts w:ascii="Arial" w:hAnsi="Arial" w:cs="Arial"/>
          <w:sz w:val="18"/>
          <w:szCs w:val="18"/>
        </w:rPr>
        <w:t>de desconges</w:t>
      </w:r>
      <w:r w:rsidRPr="00787324">
        <w:rPr>
          <w:rFonts w:ascii="Arial" w:hAnsi="Arial" w:cs="Arial"/>
          <w:sz w:val="18"/>
          <w:szCs w:val="18"/>
        </w:rPr>
        <w:t xml:space="preserve">tión </w:t>
      </w:r>
      <w:proofErr w:type="spellStart"/>
      <w:r w:rsidRPr="00787324">
        <w:rPr>
          <w:rFonts w:ascii="Arial" w:hAnsi="Arial" w:cs="Arial"/>
          <w:sz w:val="18"/>
          <w:szCs w:val="18"/>
        </w:rPr>
        <w:t>SCL</w:t>
      </w:r>
      <w:proofErr w:type="spellEnd"/>
      <w:r w:rsidRPr="00787324">
        <w:rPr>
          <w:rFonts w:ascii="Arial" w:hAnsi="Arial" w:cs="Arial"/>
          <w:sz w:val="18"/>
          <w:szCs w:val="18"/>
        </w:rPr>
        <w:t>, sentencia SL117-2019, Radicación n</w:t>
      </w:r>
      <w:proofErr w:type="gramStart"/>
      <w:r w:rsidRPr="00787324">
        <w:rPr>
          <w:rFonts w:ascii="Arial" w:hAnsi="Arial" w:cs="Arial"/>
          <w:sz w:val="18"/>
          <w:szCs w:val="18"/>
        </w:rPr>
        <w:t>.º</w:t>
      </w:r>
      <w:proofErr w:type="gramEnd"/>
      <w:r w:rsidRPr="00787324">
        <w:rPr>
          <w:rFonts w:ascii="Arial" w:hAnsi="Arial" w:cs="Arial"/>
          <w:sz w:val="18"/>
          <w:szCs w:val="18"/>
        </w:rPr>
        <w:t xml:space="preserve"> 69666, 22-01-2019, </w:t>
      </w:r>
      <w:proofErr w:type="spellStart"/>
      <w:r w:rsidRPr="00787324">
        <w:rPr>
          <w:rFonts w:ascii="Arial" w:hAnsi="Arial" w:cs="Arial"/>
          <w:sz w:val="18"/>
          <w:szCs w:val="18"/>
        </w:rPr>
        <w:t>MP</w:t>
      </w:r>
      <w:proofErr w:type="spellEnd"/>
      <w:r w:rsidRPr="00787324">
        <w:rPr>
          <w:rFonts w:ascii="Arial" w:hAnsi="Arial" w:cs="Arial"/>
          <w:sz w:val="18"/>
          <w:szCs w:val="18"/>
        </w:rPr>
        <w:t xml:space="preserve"> Ana María Muñoz Segura</w:t>
      </w:r>
      <w:r w:rsidR="003D2027" w:rsidRPr="00787324">
        <w:rPr>
          <w:rFonts w:ascii="Arial" w:hAnsi="Arial" w:cs="Arial"/>
          <w:sz w:val="18"/>
          <w:szCs w:val="18"/>
        </w:rPr>
        <w:t xml:space="preserve">. Sobre el tema de la compatibilidad también pueden revisarse las sentencias </w:t>
      </w:r>
      <w:proofErr w:type="spellStart"/>
      <w:r w:rsidR="003D2027" w:rsidRPr="00787324">
        <w:rPr>
          <w:rFonts w:ascii="Arial" w:hAnsi="Arial" w:cs="Arial"/>
          <w:sz w:val="18"/>
          <w:szCs w:val="18"/>
        </w:rPr>
        <w:t>SL</w:t>
      </w:r>
      <w:proofErr w:type="spellEnd"/>
      <w:r w:rsidR="003D2027" w:rsidRPr="00787324">
        <w:rPr>
          <w:rFonts w:ascii="Arial" w:hAnsi="Arial" w:cs="Arial"/>
          <w:sz w:val="18"/>
          <w:szCs w:val="18"/>
        </w:rPr>
        <w:t xml:space="preserve"> 5588 Y 4882, ambas de 2018 y de la Sala de Descongestión</w:t>
      </w:r>
      <w:r w:rsidR="00852CA3" w:rsidRPr="00787324">
        <w:rPr>
          <w:rFonts w:ascii="Arial" w:hAnsi="Arial" w:cs="Arial"/>
          <w:sz w:val="18"/>
          <w:szCs w:val="18"/>
        </w:rPr>
        <w:t xml:space="preserve">, estas últimas incluso se refieren al parágrafo </w:t>
      </w:r>
      <w:r w:rsidR="00695AC4" w:rsidRPr="00787324">
        <w:rPr>
          <w:rFonts w:ascii="Arial" w:hAnsi="Arial" w:cs="Arial"/>
          <w:sz w:val="18"/>
          <w:szCs w:val="18"/>
        </w:rPr>
        <w:t xml:space="preserve">1 </w:t>
      </w:r>
      <w:r w:rsidR="00852CA3" w:rsidRPr="00787324">
        <w:rPr>
          <w:rFonts w:ascii="Arial" w:hAnsi="Arial" w:cs="Arial"/>
          <w:sz w:val="18"/>
          <w:szCs w:val="18"/>
        </w:rPr>
        <w:t>del 46 de ley 100 de 1993 modificado por ley 797 de 2003</w:t>
      </w:r>
      <w:r w:rsidR="003D2027" w:rsidRPr="0078732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D" w:rsidRPr="00174E3F" w:rsidRDefault="008274D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274DD" w:rsidRPr="00174E3F" w:rsidRDefault="008274DD" w:rsidP="00174E3F">
    <w:pPr>
      <w:pStyle w:val="Encabezado"/>
      <w:jc w:val="center"/>
      <w:rPr>
        <w:rFonts w:ascii="Arial" w:hAnsi="Arial" w:cs="Arial"/>
        <w:sz w:val="18"/>
        <w:szCs w:val="18"/>
      </w:rPr>
    </w:pPr>
    <w:r>
      <w:rPr>
        <w:rFonts w:ascii="Arial" w:hAnsi="Arial" w:cs="Arial"/>
        <w:sz w:val="18"/>
        <w:szCs w:val="18"/>
      </w:rPr>
      <w:t>66001-31-05-002-2018</w:t>
    </w:r>
    <w:r w:rsidRPr="00174E3F">
      <w:rPr>
        <w:rFonts w:ascii="Arial" w:hAnsi="Arial" w:cs="Arial"/>
        <w:sz w:val="18"/>
        <w:szCs w:val="18"/>
      </w:rPr>
      <w:t>-00</w:t>
    </w:r>
    <w:r>
      <w:rPr>
        <w:rFonts w:ascii="Arial" w:hAnsi="Arial" w:cs="Arial"/>
        <w:sz w:val="18"/>
        <w:szCs w:val="18"/>
      </w:rPr>
      <w:t>185</w:t>
    </w:r>
    <w:r w:rsidRPr="00174E3F">
      <w:rPr>
        <w:rFonts w:ascii="Arial" w:hAnsi="Arial" w:cs="Arial"/>
        <w:sz w:val="18"/>
        <w:szCs w:val="18"/>
      </w:rPr>
      <w:t>-01</w:t>
    </w:r>
  </w:p>
  <w:p w:rsidR="008274DD" w:rsidRPr="00174E3F" w:rsidRDefault="008274DD" w:rsidP="00174E3F">
    <w:pPr>
      <w:pStyle w:val="Encabezado"/>
      <w:jc w:val="center"/>
      <w:rPr>
        <w:rFonts w:ascii="Arial" w:hAnsi="Arial" w:cs="Arial"/>
        <w:sz w:val="18"/>
        <w:szCs w:val="18"/>
      </w:rPr>
    </w:pPr>
    <w:r>
      <w:rPr>
        <w:rFonts w:ascii="Arial" w:hAnsi="Arial" w:cs="Arial"/>
        <w:sz w:val="18"/>
        <w:szCs w:val="18"/>
      </w:rPr>
      <w:t>Blanca Emma Ruiz de Suárez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F4F3C11"/>
    <w:multiLevelType w:val="hybridMultilevel"/>
    <w:tmpl w:val="828A5F4C"/>
    <w:lvl w:ilvl="0" w:tplc="BD1A08D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8AB"/>
    <w:rsid w:val="0000581C"/>
    <w:rsid w:val="00007B72"/>
    <w:rsid w:val="00013DE6"/>
    <w:rsid w:val="0001586E"/>
    <w:rsid w:val="0002322B"/>
    <w:rsid w:val="00026BC6"/>
    <w:rsid w:val="00027347"/>
    <w:rsid w:val="000304E1"/>
    <w:rsid w:val="00032F34"/>
    <w:rsid w:val="00033FA9"/>
    <w:rsid w:val="000344FD"/>
    <w:rsid w:val="0003698C"/>
    <w:rsid w:val="000379B3"/>
    <w:rsid w:val="00040E9A"/>
    <w:rsid w:val="000425B6"/>
    <w:rsid w:val="000429E7"/>
    <w:rsid w:val="00045DA2"/>
    <w:rsid w:val="000556A2"/>
    <w:rsid w:val="00056E58"/>
    <w:rsid w:val="00057890"/>
    <w:rsid w:val="000646AF"/>
    <w:rsid w:val="000668CC"/>
    <w:rsid w:val="00070887"/>
    <w:rsid w:val="00074CB7"/>
    <w:rsid w:val="00080570"/>
    <w:rsid w:val="00081200"/>
    <w:rsid w:val="00082AEB"/>
    <w:rsid w:val="0009380A"/>
    <w:rsid w:val="00093BDD"/>
    <w:rsid w:val="000955E3"/>
    <w:rsid w:val="00095FD2"/>
    <w:rsid w:val="000A06ED"/>
    <w:rsid w:val="000A2E85"/>
    <w:rsid w:val="000A31C4"/>
    <w:rsid w:val="000A397D"/>
    <w:rsid w:val="000B0CA6"/>
    <w:rsid w:val="000C06FC"/>
    <w:rsid w:val="000C08B1"/>
    <w:rsid w:val="000C0A51"/>
    <w:rsid w:val="000C75E2"/>
    <w:rsid w:val="000D52C6"/>
    <w:rsid w:val="000D7C45"/>
    <w:rsid w:val="000E70EB"/>
    <w:rsid w:val="000E7F42"/>
    <w:rsid w:val="000F358E"/>
    <w:rsid w:val="000F5775"/>
    <w:rsid w:val="000F7A95"/>
    <w:rsid w:val="00100851"/>
    <w:rsid w:val="00101DEB"/>
    <w:rsid w:val="00102E97"/>
    <w:rsid w:val="00104110"/>
    <w:rsid w:val="00104824"/>
    <w:rsid w:val="001053E1"/>
    <w:rsid w:val="00111454"/>
    <w:rsid w:val="00111F34"/>
    <w:rsid w:val="001122E6"/>
    <w:rsid w:val="00117737"/>
    <w:rsid w:val="001179BE"/>
    <w:rsid w:val="00117D87"/>
    <w:rsid w:val="00121188"/>
    <w:rsid w:val="00122A57"/>
    <w:rsid w:val="001236A0"/>
    <w:rsid w:val="001238FE"/>
    <w:rsid w:val="00127390"/>
    <w:rsid w:val="00131426"/>
    <w:rsid w:val="00134393"/>
    <w:rsid w:val="00134C86"/>
    <w:rsid w:val="00135189"/>
    <w:rsid w:val="00145C7C"/>
    <w:rsid w:val="00146784"/>
    <w:rsid w:val="0015065E"/>
    <w:rsid w:val="00151230"/>
    <w:rsid w:val="0015201E"/>
    <w:rsid w:val="00154279"/>
    <w:rsid w:val="00155DC7"/>
    <w:rsid w:val="00156B5B"/>
    <w:rsid w:val="0016061B"/>
    <w:rsid w:val="00162BF3"/>
    <w:rsid w:val="00163D1A"/>
    <w:rsid w:val="001667FB"/>
    <w:rsid w:val="00171C56"/>
    <w:rsid w:val="00172834"/>
    <w:rsid w:val="00174E3F"/>
    <w:rsid w:val="001751D4"/>
    <w:rsid w:val="001779FC"/>
    <w:rsid w:val="001830D4"/>
    <w:rsid w:val="00183477"/>
    <w:rsid w:val="00186FA3"/>
    <w:rsid w:val="00187827"/>
    <w:rsid w:val="00191236"/>
    <w:rsid w:val="0019283E"/>
    <w:rsid w:val="00194FFF"/>
    <w:rsid w:val="00197563"/>
    <w:rsid w:val="001A4759"/>
    <w:rsid w:val="001A4D21"/>
    <w:rsid w:val="001B03FA"/>
    <w:rsid w:val="001B0880"/>
    <w:rsid w:val="001B15AC"/>
    <w:rsid w:val="001B2BB0"/>
    <w:rsid w:val="001B3CB5"/>
    <w:rsid w:val="001B5F10"/>
    <w:rsid w:val="001B7EE1"/>
    <w:rsid w:val="001C4D7F"/>
    <w:rsid w:val="001D4AAC"/>
    <w:rsid w:val="001E0313"/>
    <w:rsid w:val="001E063A"/>
    <w:rsid w:val="001E3575"/>
    <w:rsid w:val="001E4082"/>
    <w:rsid w:val="001F0F78"/>
    <w:rsid w:val="001F0FE6"/>
    <w:rsid w:val="002006BC"/>
    <w:rsid w:val="00200F20"/>
    <w:rsid w:val="00202A20"/>
    <w:rsid w:val="00203E4A"/>
    <w:rsid w:val="002077DB"/>
    <w:rsid w:val="002173DC"/>
    <w:rsid w:val="002207E5"/>
    <w:rsid w:val="0022308B"/>
    <w:rsid w:val="002265ED"/>
    <w:rsid w:val="00226D26"/>
    <w:rsid w:val="00226D5F"/>
    <w:rsid w:val="0023168D"/>
    <w:rsid w:val="00231C21"/>
    <w:rsid w:val="002320EB"/>
    <w:rsid w:val="00242152"/>
    <w:rsid w:val="002424AA"/>
    <w:rsid w:val="00242D14"/>
    <w:rsid w:val="00245041"/>
    <w:rsid w:val="00246AF6"/>
    <w:rsid w:val="00246E9E"/>
    <w:rsid w:val="00247BBE"/>
    <w:rsid w:val="002546C0"/>
    <w:rsid w:val="002568E7"/>
    <w:rsid w:val="00256B29"/>
    <w:rsid w:val="002578B8"/>
    <w:rsid w:val="00265810"/>
    <w:rsid w:val="002658E4"/>
    <w:rsid w:val="00272C8B"/>
    <w:rsid w:val="00275970"/>
    <w:rsid w:val="002777B2"/>
    <w:rsid w:val="00277E32"/>
    <w:rsid w:val="00283CFA"/>
    <w:rsid w:val="00287140"/>
    <w:rsid w:val="00287275"/>
    <w:rsid w:val="00296B62"/>
    <w:rsid w:val="002A02BA"/>
    <w:rsid w:val="002A1F4E"/>
    <w:rsid w:val="002A3808"/>
    <w:rsid w:val="002A47F5"/>
    <w:rsid w:val="002A55E3"/>
    <w:rsid w:val="002A7F81"/>
    <w:rsid w:val="002B1E2F"/>
    <w:rsid w:val="002B5965"/>
    <w:rsid w:val="002C1E55"/>
    <w:rsid w:val="002C305D"/>
    <w:rsid w:val="002C467C"/>
    <w:rsid w:val="002C5344"/>
    <w:rsid w:val="002C69B0"/>
    <w:rsid w:val="002D0D07"/>
    <w:rsid w:val="002D1DB7"/>
    <w:rsid w:val="002D6807"/>
    <w:rsid w:val="002E0ACB"/>
    <w:rsid w:val="002E34E6"/>
    <w:rsid w:val="002E39C9"/>
    <w:rsid w:val="002E3B26"/>
    <w:rsid w:val="002E3E9A"/>
    <w:rsid w:val="002E48A1"/>
    <w:rsid w:val="002E4F47"/>
    <w:rsid w:val="002E785F"/>
    <w:rsid w:val="002F27EA"/>
    <w:rsid w:val="002F333D"/>
    <w:rsid w:val="002F6064"/>
    <w:rsid w:val="00301D45"/>
    <w:rsid w:val="00305AD4"/>
    <w:rsid w:val="0030734F"/>
    <w:rsid w:val="003138FB"/>
    <w:rsid w:val="003244C6"/>
    <w:rsid w:val="0034011A"/>
    <w:rsid w:val="003407E7"/>
    <w:rsid w:val="0034133C"/>
    <w:rsid w:val="00341CD1"/>
    <w:rsid w:val="003440CA"/>
    <w:rsid w:val="00344AF0"/>
    <w:rsid w:val="0034630C"/>
    <w:rsid w:val="003463CD"/>
    <w:rsid w:val="003465C4"/>
    <w:rsid w:val="00350E26"/>
    <w:rsid w:val="00351BE8"/>
    <w:rsid w:val="00357193"/>
    <w:rsid w:val="00357959"/>
    <w:rsid w:val="00360DEF"/>
    <w:rsid w:val="003610BE"/>
    <w:rsid w:val="00372F89"/>
    <w:rsid w:val="00374005"/>
    <w:rsid w:val="003830AE"/>
    <w:rsid w:val="003841CA"/>
    <w:rsid w:val="003856BA"/>
    <w:rsid w:val="00385D77"/>
    <w:rsid w:val="003871DE"/>
    <w:rsid w:val="00387546"/>
    <w:rsid w:val="003922FA"/>
    <w:rsid w:val="00395C18"/>
    <w:rsid w:val="00396EA9"/>
    <w:rsid w:val="003A0A22"/>
    <w:rsid w:val="003A2A7B"/>
    <w:rsid w:val="003A3E70"/>
    <w:rsid w:val="003A42B0"/>
    <w:rsid w:val="003A4513"/>
    <w:rsid w:val="003A6148"/>
    <w:rsid w:val="003B4103"/>
    <w:rsid w:val="003B6CEA"/>
    <w:rsid w:val="003B7DFA"/>
    <w:rsid w:val="003C3DE3"/>
    <w:rsid w:val="003C4EDF"/>
    <w:rsid w:val="003C58AA"/>
    <w:rsid w:val="003C770F"/>
    <w:rsid w:val="003D041E"/>
    <w:rsid w:val="003D05D2"/>
    <w:rsid w:val="003D2027"/>
    <w:rsid w:val="003D5BA7"/>
    <w:rsid w:val="003E4B76"/>
    <w:rsid w:val="003E7098"/>
    <w:rsid w:val="003F0882"/>
    <w:rsid w:val="003F0BF0"/>
    <w:rsid w:val="003F3F63"/>
    <w:rsid w:val="00400821"/>
    <w:rsid w:val="00402654"/>
    <w:rsid w:val="004050D9"/>
    <w:rsid w:val="004052FD"/>
    <w:rsid w:val="004074E6"/>
    <w:rsid w:val="0040758B"/>
    <w:rsid w:val="00411CE6"/>
    <w:rsid w:val="00412E69"/>
    <w:rsid w:val="00413BB4"/>
    <w:rsid w:val="00415EC0"/>
    <w:rsid w:val="0042105E"/>
    <w:rsid w:val="004270C3"/>
    <w:rsid w:val="0043091C"/>
    <w:rsid w:val="004348AB"/>
    <w:rsid w:val="00444317"/>
    <w:rsid w:val="00444954"/>
    <w:rsid w:val="00447A2F"/>
    <w:rsid w:val="00450598"/>
    <w:rsid w:val="00450903"/>
    <w:rsid w:val="004519EB"/>
    <w:rsid w:val="0045273B"/>
    <w:rsid w:val="00453107"/>
    <w:rsid w:val="00453FF3"/>
    <w:rsid w:val="0045551F"/>
    <w:rsid w:val="00464B75"/>
    <w:rsid w:val="004662AE"/>
    <w:rsid w:val="00466734"/>
    <w:rsid w:val="0047218A"/>
    <w:rsid w:val="004728C3"/>
    <w:rsid w:val="00474A04"/>
    <w:rsid w:val="004853A1"/>
    <w:rsid w:val="00490B4F"/>
    <w:rsid w:val="004914BE"/>
    <w:rsid w:val="00494EEC"/>
    <w:rsid w:val="00496A1E"/>
    <w:rsid w:val="004A2468"/>
    <w:rsid w:val="004A7E63"/>
    <w:rsid w:val="004A7E81"/>
    <w:rsid w:val="004B0BDE"/>
    <w:rsid w:val="004B154A"/>
    <w:rsid w:val="004B3573"/>
    <w:rsid w:val="004B5BC4"/>
    <w:rsid w:val="004B68A1"/>
    <w:rsid w:val="004B76AC"/>
    <w:rsid w:val="004C0DA5"/>
    <w:rsid w:val="004C4291"/>
    <w:rsid w:val="004C4AF7"/>
    <w:rsid w:val="004C57C4"/>
    <w:rsid w:val="004C6350"/>
    <w:rsid w:val="004C728F"/>
    <w:rsid w:val="004D01C5"/>
    <w:rsid w:val="004D6834"/>
    <w:rsid w:val="004E142F"/>
    <w:rsid w:val="004E1617"/>
    <w:rsid w:val="004E2E75"/>
    <w:rsid w:val="004E4CC6"/>
    <w:rsid w:val="004F1613"/>
    <w:rsid w:val="004F3889"/>
    <w:rsid w:val="004F5114"/>
    <w:rsid w:val="004F6857"/>
    <w:rsid w:val="004F6DA3"/>
    <w:rsid w:val="00500460"/>
    <w:rsid w:val="00501034"/>
    <w:rsid w:val="00502691"/>
    <w:rsid w:val="0051075C"/>
    <w:rsid w:val="00510CEB"/>
    <w:rsid w:val="005132A4"/>
    <w:rsid w:val="00515BDC"/>
    <w:rsid w:val="0052288B"/>
    <w:rsid w:val="00525724"/>
    <w:rsid w:val="0053562A"/>
    <w:rsid w:val="00540EA2"/>
    <w:rsid w:val="00542C4F"/>
    <w:rsid w:val="00544D14"/>
    <w:rsid w:val="00547074"/>
    <w:rsid w:val="00547E7A"/>
    <w:rsid w:val="005501C5"/>
    <w:rsid w:val="00551B9A"/>
    <w:rsid w:val="0055465D"/>
    <w:rsid w:val="00561314"/>
    <w:rsid w:val="0056188E"/>
    <w:rsid w:val="00562CBC"/>
    <w:rsid w:val="00563496"/>
    <w:rsid w:val="005640B0"/>
    <w:rsid w:val="00565E83"/>
    <w:rsid w:val="00566410"/>
    <w:rsid w:val="00566A42"/>
    <w:rsid w:val="00567B33"/>
    <w:rsid w:val="00572BE9"/>
    <w:rsid w:val="00580E69"/>
    <w:rsid w:val="00585A71"/>
    <w:rsid w:val="005A0277"/>
    <w:rsid w:val="005A32DB"/>
    <w:rsid w:val="005B31B1"/>
    <w:rsid w:val="005C4F38"/>
    <w:rsid w:val="005C564B"/>
    <w:rsid w:val="005D04E2"/>
    <w:rsid w:val="005D0E9A"/>
    <w:rsid w:val="005D2BDB"/>
    <w:rsid w:val="005D4EB7"/>
    <w:rsid w:val="005D5E66"/>
    <w:rsid w:val="005D7916"/>
    <w:rsid w:val="005E0ED1"/>
    <w:rsid w:val="005E4BAA"/>
    <w:rsid w:val="005F3CAF"/>
    <w:rsid w:val="005F5E82"/>
    <w:rsid w:val="00601CE4"/>
    <w:rsid w:val="00604137"/>
    <w:rsid w:val="00605E81"/>
    <w:rsid w:val="00607F9F"/>
    <w:rsid w:val="006127AE"/>
    <w:rsid w:val="00612EDA"/>
    <w:rsid w:val="006135E9"/>
    <w:rsid w:val="00613684"/>
    <w:rsid w:val="0061396E"/>
    <w:rsid w:val="00613F48"/>
    <w:rsid w:val="0061484D"/>
    <w:rsid w:val="00616F78"/>
    <w:rsid w:val="006173D2"/>
    <w:rsid w:val="0061744E"/>
    <w:rsid w:val="00623C9F"/>
    <w:rsid w:val="00631816"/>
    <w:rsid w:val="006331A7"/>
    <w:rsid w:val="00637118"/>
    <w:rsid w:val="0064157A"/>
    <w:rsid w:val="0064295D"/>
    <w:rsid w:val="00643B43"/>
    <w:rsid w:val="006516CA"/>
    <w:rsid w:val="00652650"/>
    <w:rsid w:val="00652CAC"/>
    <w:rsid w:val="00652E69"/>
    <w:rsid w:val="00653B58"/>
    <w:rsid w:val="00660AF9"/>
    <w:rsid w:val="006620DD"/>
    <w:rsid w:val="006622BF"/>
    <w:rsid w:val="0066459B"/>
    <w:rsid w:val="00666581"/>
    <w:rsid w:val="00667F1D"/>
    <w:rsid w:val="006709CF"/>
    <w:rsid w:val="00671EBF"/>
    <w:rsid w:val="00671EF5"/>
    <w:rsid w:val="00672720"/>
    <w:rsid w:val="006743E1"/>
    <w:rsid w:val="00675E25"/>
    <w:rsid w:val="00676401"/>
    <w:rsid w:val="00683442"/>
    <w:rsid w:val="006853F5"/>
    <w:rsid w:val="006901D8"/>
    <w:rsid w:val="00695AC4"/>
    <w:rsid w:val="00696352"/>
    <w:rsid w:val="006A0D48"/>
    <w:rsid w:val="006A283D"/>
    <w:rsid w:val="006A3F9A"/>
    <w:rsid w:val="006A7578"/>
    <w:rsid w:val="006A7D6E"/>
    <w:rsid w:val="006B0B3D"/>
    <w:rsid w:val="006B2A7E"/>
    <w:rsid w:val="006B3131"/>
    <w:rsid w:val="006B78DC"/>
    <w:rsid w:val="006C0B7B"/>
    <w:rsid w:val="006C10BD"/>
    <w:rsid w:val="006C6FFC"/>
    <w:rsid w:val="006D0816"/>
    <w:rsid w:val="006D092F"/>
    <w:rsid w:val="006D36E3"/>
    <w:rsid w:val="006D7866"/>
    <w:rsid w:val="006D79A3"/>
    <w:rsid w:val="006D79A9"/>
    <w:rsid w:val="006E099D"/>
    <w:rsid w:val="006E11A2"/>
    <w:rsid w:val="006E2C68"/>
    <w:rsid w:val="006E2F01"/>
    <w:rsid w:val="006E301C"/>
    <w:rsid w:val="006E41EF"/>
    <w:rsid w:val="006E50DB"/>
    <w:rsid w:val="006E5B8B"/>
    <w:rsid w:val="006F2B8E"/>
    <w:rsid w:val="006F2FF3"/>
    <w:rsid w:val="006F3D12"/>
    <w:rsid w:val="006F4E15"/>
    <w:rsid w:val="006F68BC"/>
    <w:rsid w:val="006F7ED8"/>
    <w:rsid w:val="00701F94"/>
    <w:rsid w:val="00702593"/>
    <w:rsid w:val="007046FA"/>
    <w:rsid w:val="00705059"/>
    <w:rsid w:val="0071108C"/>
    <w:rsid w:val="00712CFC"/>
    <w:rsid w:val="00713558"/>
    <w:rsid w:val="0071545C"/>
    <w:rsid w:val="00716474"/>
    <w:rsid w:val="007209D9"/>
    <w:rsid w:val="00721169"/>
    <w:rsid w:val="007258A6"/>
    <w:rsid w:val="00730035"/>
    <w:rsid w:val="007308D1"/>
    <w:rsid w:val="007411F6"/>
    <w:rsid w:val="00743786"/>
    <w:rsid w:val="00743829"/>
    <w:rsid w:val="007465BA"/>
    <w:rsid w:val="00755899"/>
    <w:rsid w:val="00755D2B"/>
    <w:rsid w:val="0076209E"/>
    <w:rsid w:val="00762F65"/>
    <w:rsid w:val="007632AA"/>
    <w:rsid w:val="007647BC"/>
    <w:rsid w:val="00764C9B"/>
    <w:rsid w:val="00770917"/>
    <w:rsid w:val="00770A8C"/>
    <w:rsid w:val="007714C0"/>
    <w:rsid w:val="007737C2"/>
    <w:rsid w:val="007763EC"/>
    <w:rsid w:val="00777520"/>
    <w:rsid w:val="007778E3"/>
    <w:rsid w:val="00777D9C"/>
    <w:rsid w:val="007841FA"/>
    <w:rsid w:val="007871D5"/>
    <w:rsid w:val="00787324"/>
    <w:rsid w:val="00790666"/>
    <w:rsid w:val="00791F1D"/>
    <w:rsid w:val="00793DC4"/>
    <w:rsid w:val="00795237"/>
    <w:rsid w:val="007952AA"/>
    <w:rsid w:val="007967CF"/>
    <w:rsid w:val="007A2164"/>
    <w:rsid w:val="007A2D40"/>
    <w:rsid w:val="007A720C"/>
    <w:rsid w:val="007B1977"/>
    <w:rsid w:val="007B5499"/>
    <w:rsid w:val="007B778F"/>
    <w:rsid w:val="007C507D"/>
    <w:rsid w:val="007C5A02"/>
    <w:rsid w:val="007C7205"/>
    <w:rsid w:val="007D1173"/>
    <w:rsid w:val="007D7C2A"/>
    <w:rsid w:val="007E3B79"/>
    <w:rsid w:val="007E5B11"/>
    <w:rsid w:val="007E5F18"/>
    <w:rsid w:val="007F41CE"/>
    <w:rsid w:val="007F4E9D"/>
    <w:rsid w:val="007F7608"/>
    <w:rsid w:val="008012D4"/>
    <w:rsid w:val="0080173C"/>
    <w:rsid w:val="008036A4"/>
    <w:rsid w:val="00803AE6"/>
    <w:rsid w:val="00810397"/>
    <w:rsid w:val="008114E1"/>
    <w:rsid w:val="008141B8"/>
    <w:rsid w:val="00820101"/>
    <w:rsid w:val="008274DD"/>
    <w:rsid w:val="008276B1"/>
    <w:rsid w:val="0083061B"/>
    <w:rsid w:val="0083155E"/>
    <w:rsid w:val="00832CAB"/>
    <w:rsid w:val="00832D95"/>
    <w:rsid w:val="008340D8"/>
    <w:rsid w:val="00834898"/>
    <w:rsid w:val="00842AF9"/>
    <w:rsid w:val="008458F0"/>
    <w:rsid w:val="00852CA3"/>
    <w:rsid w:val="00853055"/>
    <w:rsid w:val="00856739"/>
    <w:rsid w:val="00857B33"/>
    <w:rsid w:val="00864CB2"/>
    <w:rsid w:val="008751D8"/>
    <w:rsid w:val="00876407"/>
    <w:rsid w:val="008778BA"/>
    <w:rsid w:val="0088120E"/>
    <w:rsid w:val="00882880"/>
    <w:rsid w:val="00882A39"/>
    <w:rsid w:val="00885859"/>
    <w:rsid w:val="00885B0C"/>
    <w:rsid w:val="00887072"/>
    <w:rsid w:val="00887B5E"/>
    <w:rsid w:val="0089056F"/>
    <w:rsid w:val="00892C87"/>
    <w:rsid w:val="00893B9D"/>
    <w:rsid w:val="00895036"/>
    <w:rsid w:val="008A0248"/>
    <w:rsid w:val="008A04F6"/>
    <w:rsid w:val="008A45B7"/>
    <w:rsid w:val="008A6C61"/>
    <w:rsid w:val="008A741B"/>
    <w:rsid w:val="008A7B53"/>
    <w:rsid w:val="008B33FE"/>
    <w:rsid w:val="008B358D"/>
    <w:rsid w:val="008B3EA7"/>
    <w:rsid w:val="008B59F6"/>
    <w:rsid w:val="008C13B6"/>
    <w:rsid w:val="008C1F98"/>
    <w:rsid w:val="008C7277"/>
    <w:rsid w:val="008D491A"/>
    <w:rsid w:val="008E6DFE"/>
    <w:rsid w:val="008F003B"/>
    <w:rsid w:val="008F3925"/>
    <w:rsid w:val="00900141"/>
    <w:rsid w:val="00902D01"/>
    <w:rsid w:val="00903579"/>
    <w:rsid w:val="00903A87"/>
    <w:rsid w:val="009040B1"/>
    <w:rsid w:val="009048D4"/>
    <w:rsid w:val="009065C6"/>
    <w:rsid w:val="00907A5F"/>
    <w:rsid w:val="00910322"/>
    <w:rsid w:val="00910BC7"/>
    <w:rsid w:val="00915EE3"/>
    <w:rsid w:val="0092078E"/>
    <w:rsid w:val="00922DCA"/>
    <w:rsid w:val="0092344C"/>
    <w:rsid w:val="0092352E"/>
    <w:rsid w:val="0092690D"/>
    <w:rsid w:val="00926DF4"/>
    <w:rsid w:val="009303F5"/>
    <w:rsid w:val="009304D4"/>
    <w:rsid w:val="009319A4"/>
    <w:rsid w:val="00935E24"/>
    <w:rsid w:val="009376C1"/>
    <w:rsid w:val="00941DA9"/>
    <w:rsid w:val="00943127"/>
    <w:rsid w:val="00952C93"/>
    <w:rsid w:val="00953B6E"/>
    <w:rsid w:val="00953BCA"/>
    <w:rsid w:val="0095543D"/>
    <w:rsid w:val="0095699B"/>
    <w:rsid w:val="00960D55"/>
    <w:rsid w:val="00962246"/>
    <w:rsid w:val="009625E5"/>
    <w:rsid w:val="0096329E"/>
    <w:rsid w:val="009667C1"/>
    <w:rsid w:val="00966F23"/>
    <w:rsid w:val="009740CF"/>
    <w:rsid w:val="0097416D"/>
    <w:rsid w:val="00974536"/>
    <w:rsid w:val="009812BA"/>
    <w:rsid w:val="009831AB"/>
    <w:rsid w:val="009939BA"/>
    <w:rsid w:val="00995393"/>
    <w:rsid w:val="00997DB3"/>
    <w:rsid w:val="009A0EA9"/>
    <w:rsid w:val="009A41BE"/>
    <w:rsid w:val="009A50D7"/>
    <w:rsid w:val="009A668D"/>
    <w:rsid w:val="009B230A"/>
    <w:rsid w:val="009B3939"/>
    <w:rsid w:val="009B3C6E"/>
    <w:rsid w:val="009B3DB0"/>
    <w:rsid w:val="009B466F"/>
    <w:rsid w:val="009B5608"/>
    <w:rsid w:val="009C4E4B"/>
    <w:rsid w:val="009C5525"/>
    <w:rsid w:val="009C6057"/>
    <w:rsid w:val="009C7783"/>
    <w:rsid w:val="009C7DA9"/>
    <w:rsid w:val="009D0CF8"/>
    <w:rsid w:val="009D10E6"/>
    <w:rsid w:val="009D7D60"/>
    <w:rsid w:val="009E4835"/>
    <w:rsid w:val="009E5A8E"/>
    <w:rsid w:val="009E6B0F"/>
    <w:rsid w:val="009F1835"/>
    <w:rsid w:val="009F462E"/>
    <w:rsid w:val="009F478C"/>
    <w:rsid w:val="009F5271"/>
    <w:rsid w:val="00A05F0F"/>
    <w:rsid w:val="00A14959"/>
    <w:rsid w:val="00A17A3D"/>
    <w:rsid w:val="00A23CFA"/>
    <w:rsid w:val="00A24F8A"/>
    <w:rsid w:val="00A2504E"/>
    <w:rsid w:val="00A2679A"/>
    <w:rsid w:val="00A27137"/>
    <w:rsid w:val="00A30FBD"/>
    <w:rsid w:val="00A3254D"/>
    <w:rsid w:val="00A34A85"/>
    <w:rsid w:val="00A34D35"/>
    <w:rsid w:val="00A42876"/>
    <w:rsid w:val="00A43641"/>
    <w:rsid w:val="00A46A33"/>
    <w:rsid w:val="00A4721A"/>
    <w:rsid w:val="00A50050"/>
    <w:rsid w:val="00A5024C"/>
    <w:rsid w:val="00A52E12"/>
    <w:rsid w:val="00A53070"/>
    <w:rsid w:val="00A533B9"/>
    <w:rsid w:val="00A5700F"/>
    <w:rsid w:val="00A61035"/>
    <w:rsid w:val="00A64026"/>
    <w:rsid w:val="00A65E5B"/>
    <w:rsid w:val="00A71FCB"/>
    <w:rsid w:val="00A721FC"/>
    <w:rsid w:val="00A74F79"/>
    <w:rsid w:val="00A75186"/>
    <w:rsid w:val="00A756ED"/>
    <w:rsid w:val="00A77DD2"/>
    <w:rsid w:val="00A85C3A"/>
    <w:rsid w:val="00A9023E"/>
    <w:rsid w:val="00A928D2"/>
    <w:rsid w:val="00A93DCA"/>
    <w:rsid w:val="00A93EA0"/>
    <w:rsid w:val="00A957FB"/>
    <w:rsid w:val="00AA7544"/>
    <w:rsid w:val="00AB34BF"/>
    <w:rsid w:val="00AB35E7"/>
    <w:rsid w:val="00AB370D"/>
    <w:rsid w:val="00AB5844"/>
    <w:rsid w:val="00AB5856"/>
    <w:rsid w:val="00AB585F"/>
    <w:rsid w:val="00AB5FBF"/>
    <w:rsid w:val="00AB6EDF"/>
    <w:rsid w:val="00AB6F49"/>
    <w:rsid w:val="00AC27C7"/>
    <w:rsid w:val="00AC486E"/>
    <w:rsid w:val="00AC5B3A"/>
    <w:rsid w:val="00AC5D46"/>
    <w:rsid w:val="00AC61B2"/>
    <w:rsid w:val="00AD0279"/>
    <w:rsid w:val="00AD4A60"/>
    <w:rsid w:val="00AE0464"/>
    <w:rsid w:val="00AE1906"/>
    <w:rsid w:val="00AE29AA"/>
    <w:rsid w:val="00AE5FED"/>
    <w:rsid w:val="00AE7124"/>
    <w:rsid w:val="00AE798B"/>
    <w:rsid w:val="00AF12DC"/>
    <w:rsid w:val="00AF68D5"/>
    <w:rsid w:val="00B0004B"/>
    <w:rsid w:val="00B00354"/>
    <w:rsid w:val="00B007CA"/>
    <w:rsid w:val="00B00A13"/>
    <w:rsid w:val="00B026E7"/>
    <w:rsid w:val="00B0355F"/>
    <w:rsid w:val="00B0466B"/>
    <w:rsid w:val="00B10109"/>
    <w:rsid w:val="00B10EF4"/>
    <w:rsid w:val="00B1139C"/>
    <w:rsid w:val="00B22E56"/>
    <w:rsid w:val="00B259AA"/>
    <w:rsid w:val="00B26592"/>
    <w:rsid w:val="00B26BFE"/>
    <w:rsid w:val="00B35E4A"/>
    <w:rsid w:val="00B363DB"/>
    <w:rsid w:val="00B43D0A"/>
    <w:rsid w:val="00B44683"/>
    <w:rsid w:val="00B4602F"/>
    <w:rsid w:val="00B52D92"/>
    <w:rsid w:val="00B5313D"/>
    <w:rsid w:val="00B55B4D"/>
    <w:rsid w:val="00B56806"/>
    <w:rsid w:val="00B56E76"/>
    <w:rsid w:val="00B57852"/>
    <w:rsid w:val="00B63804"/>
    <w:rsid w:val="00B6478A"/>
    <w:rsid w:val="00B658F0"/>
    <w:rsid w:val="00B67118"/>
    <w:rsid w:val="00B67D98"/>
    <w:rsid w:val="00B75755"/>
    <w:rsid w:val="00B769BF"/>
    <w:rsid w:val="00B77239"/>
    <w:rsid w:val="00B77BB3"/>
    <w:rsid w:val="00B810D6"/>
    <w:rsid w:val="00B8156B"/>
    <w:rsid w:val="00B815DC"/>
    <w:rsid w:val="00B82A13"/>
    <w:rsid w:val="00B8518E"/>
    <w:rsid w:val="00B91637"/>
    <w:rsid w:val="00B93086"/>
    <w:rsid w:val="00B9600C"/>
    <w:rsid w:val="00BA0C20"/>
    <w:rsid w:val="00BA0E5A"/>
    <w:rsid w:val="00BA3915"/>
    <w:rsid w:val="00BA5FDB"/>
    <w:rsid w:val="00BA7836"/>
    <w:rsid w:val="00BB26BB"/>
    <w:rsid w:val="00BC071C"/>
    <w:rsid w:val="00BC31C8"/>
    <w:rsid w:val="00BD00C4"/>
    <w:rsid w:val="00BD1BC0"/>
    <w:rsid w:val="00BD436A"/>
    <w:rsid w:val="00BD6FCC"/>
    <w:rsid w:val="00BD7D67"/>
    <w:rsid w:val="00BE0373"/>
    <w:rsid w:val="00BE0CAD"/>
    <w:rsid w:val="00BF1F38"/>
    <w:rsid w:val="00BF592E"/>
    <w:rsid w:val="00BF661D"/>
    <w:rsid w:val="00BF686D"/>
    <w:rsid w:val="00C0195B"/>
    <w:rsid w:val="00C04833"/>
    <w:rsid w:val="00C10227"/>
    <w:rsid w:val="00C1062A"/>
    <w:rsid w:val="00C13EB6"/>
    <w:rsid w:val="00C1591F"/>
    <w:rsid w:val="00C1600D"/>
    <w:rsid w:val="00C20603"/>
    <w:rsid w:val="00C21B58"/>
    <w:rsid w:val="00C3019C"/>
    <w:rsid w:val="00C324B8"/>
    <w:rsid w:val="00C35509"/>
    <w:rsid w:val="00C40521"/>
    <w:rsid w:val="00C40724"/>
    <w:rsid w:val="00C41757"/>
    <w:rsid w:val="00C44CA8"/>
    <w:rsid w:val="00C50B96"/>
    <w:rsid w:val="00C552D5"/>
    <w:rsid w:val="00C631C1"/>
    <w:rsid w:val="00C81577"/>
    <w:rsid w:val="00C821C5"/>
    <w:rsid w:val="00C83132"/>
    <w:rsid w:val="00C83784"/>
    <w:rsid w:val="00C86707"/>
    <w:rsid w:val="00C91182"/>
    <w:rsid w:val="00C91902"/>
    <w:rsid w:val="00C94D7D"/>
    <w:rsid w:val="00C964DB"/>
    <w:rsid w:val="00CA13FF"/>
    <w:rsid w:val="00CA27D0"/>
    <w:rsid w:val="00CA29EF"/>
    <w:rsid w:val="00CA3C51"/>
    <w:rsid w:val="00CB216F"/>
    <w:rsid w:val="00CB283A"/>
    <w:rsid w:val="00CB4756"/>
    <w:rsid w:val="00CC16C1"/>
    <w:rsid w:val="00CC703F"/>
    <w:rsid w:val="00CC747D"/>
    <w:rsid w:val="00CD1974"/>
    <w:rsid w:val="00CD65CE"/>
    <w:rsid w:val="00CE07E5"/>
    <w:rsid w:val="00CE16C6"/>
    <w:rsid w:val="00CE2A63"/>
    <w:rsid w:val="00CE2EDC"/>
    <w:rsid w:val="00CE3230"/>
    <w:rsid w:val="00CE3AEC"/>
    <w:rsid w:val="00CE46EC"/>
    <w:rsid w:val="00CF1042"/>
    <w:rsid w:val="00CF14F8"/>
    <w:rsid w:val="00CF32C8"/>
    <w:rsid w:val="00CF576A"/>
    <w:rsid w:val="00CF70B9"/>
    <w:rsid w:val="00D0496E"/>
    <w:rsid w:val="00D051C3"/>
    <w:rsid w:val="00D07E70"/>
    <w:rsid w:val="00D15B71"/>
    <w:rsid w:val="00D22092"/>
    <w:rsid w:val="00D320B2"/>
    <w:rsid w:val="00D3559B"/>
    <w:rsid w:val="00D418FD"/>
    <w:rsid w:val="00D4457B"/>
    <w:rsid w:val="00D4492C"/>
    <w:rsid w:val="00D458C3"/>
    <w:rsid w:val="00D51C8F"/>
    <w:rsid w:val="00D56022"/>
    <w:rsid w:val="00D578CB"/>
    <w:rsid w:val="00D6030B"/>
    <w:rsid w:val="00D64183"/>
    <w:rsid w:val="00D64D2C"/>
    <w:rsid w:val="00D714B6"/>
    <w:rsid w:val="00D72CF6"/>
    <w:rsid w:val="00D747E2"/>
    <w:rsid w:val="00D803FC"/>
    <w:rsid w:val="00D8625D"/>
    <w:rsid w:val="00D923ED"/>
    <w:rsid w:val="00D92C02"/>
    <w:rsid w:val="00DA2705"/>
    <w:rsid w:val="00DA27EC"/>
    <w:rsid w:val="00DA3E57"/>
    <w:rsid w:val="00DA4DD6"/>
    <w:rsid w:val="00DB6A09"/>
    <w:rsid w:val="00DB6D40"/>
    <w:rsid w:val="00DC7456"/>
    <w:rsid w:val="00DD3057"/>
    <w:rsid w:val="00DD65A6"/>
    <w:rsid w:val="00DE1A7D"/>
    <w:rsid w:val="00DE7BB2"/>
    <w:rsid w:val="00DF30A5"/>
    <w:rsid w:val="00DF4DE4"/>
    <w:rsid w:val="00E027ED"/>
    <w:rsid w:val="00E062F9"/>
    <w:rsid w:val="00E13992"/>
    <w:rsid w:val="00E14109"/>
    <w:rsid w:val="00E14DFB"/>
    <w:rsid w:val="00E202BA"/>
    <w:rsid w:val="00E204CC"/>
    <w:rsid w:val="00E219F3"/>
    <w:rsid w:val="00E27B52"/>
    <w:rsid w:val="00E3065D"/>
    <w:rsid w:val="00E321B4"/>
    <w:rsid w:val="00E368B2"/>
    <w:rsid w:val="00E43AEA"/>
    <w:rsid w:val="00E43FC0"/>
    <w:rsid w:val="00E50981"/>
    <w:rsid w:val="00E5328C"/>
    <w:rsid w:val="00E665CA"/>
    <w:rsid w:val="00E70A48"/>
    <w:rsid w:val="00E718A6"/>
    <w:rsid w:val="00E7324E"/>
    <w:rsid w:val="00E74398"/>
    <w:rsid w:val="00E74949"/>
    <w:rsid w:val="00E81F24"/>
    <w:rsid w:val="00E83062"/>
    <w:rsid w:val="00E835F6"/>
    <w:rsid w:val="00E84FC4"/>
    <w:rsid w:val="00E92099"/>
    <w:rsid w:val="00E95FB3"/>
    <w:rsid w:val="00EA1B84"/>
    <w:rsid w:val="00EA4765"/>
    <w:rsid w:val="00EA6BFD"/>
    <w:rsid w:val="00EA7B80"/>
    <w:rsid w:val="00EB1AEE"/>
    <w:rsid w:val="00EB42C4"/>
    <w:rsid w:val="00EB4BBE"/>
    <w:rsid w:val="00EB6C2A"/>
    <w:rsid w:val="00EC1699"/>
    <w:rsid w:val="00EC3C6F"/>
    <w:rsid w:val="00EC4C0A"/>
    <w:rsid w:val="00EC5AC2"/>
    <w:rsid w:val="00EE283D"/>
    <w:rsid w:val="00EE43DA"/>
    <w:rsid w:val="00EE6058"/>
    <w:rsid w:val="00EF2074"/>
    <w:rsid w:val="00EF24FC"/>
    <w:rsid w:val="00EF29AC"/>
    <w:rsid w:val="00EF4968"/>
    <w:rsid w:val="00EF5A6B"/>
    <w:rsid w:val="00F00C7F"/>
    <w:rsid w:val="00F017BF"/>
    <w:rsid w:val="00F029D8"/>
    <w:rsid w:val="00F03CB8"/>
    <w:rsid w:val="00F11410"/>
    <w:rsid w:val="00F13D96"/>
    <w:rsid w:val="00F17E37"/>
    <w:rsid w:val="00F20706"/>
    <w:rsid w:val="00F22D81"/>
    <w:rsid w:val="00F22E90"/>
    <w:rsid w:val="00F2472E"/>
    <w:rsid w:val="00F36C86"/>
    <w:rsid w:val="00F37C20"/>
    <w:rsid w:val="00F4442A"/>
    <w:rsid w:val="00F44736"/>
    <w:rsid w:val="00F450BE"/>
    <w:rsid w:val="00F500A7"/>
    <w:rsid w:val="00F51FDD"/>
    <w:rsid w:val="00F57279"/>
    <w:rsid w:val="00F6268E"/>
    <w:rsid w:val="00F6445D"/>
    <w:rsid w:val="00F64D72"/>
    <w:rsid w:val="00F65645"/>
    <w:rsid w:val="00F66F45"/>
    <w:rsid w:val="00F7229A"/>
    <w:rsid w:val="00F763A1"/>
    <w:rsid w:val="00F76BAF"/>
    <w:rsid w:val="00F80DDC"/>
    <w:rsid w:val="00F83A8F"/>
    <w:rsid w:val="00F83C28"/>
    <w:rsid w:val="00F8610E"/>
    <w:rsid w:val="00F87808"/>
    <w:rsid w:val="00F91FDD"/>
    <w:rsid w:val="00F93FA9"/>
    <w:rsid w:val="00F95CAB"/>
    <w:rsid w:val="00FA6675"/>
    <w:rsid w:val="00FA783D"/>
    <w:rsid w:val="00FA7FA8"/>
    <w:rsid w:val="00FB19F6"/>
    <w:rsid w:val="00FB41DE"/>
    <w:rsid w:val="00FB6A18"/>
    <w:rsid w:val="00FB7F2B"/>
    <w:rsid w:val="00FC0B96"/>
    <w:rsid w:val="00FC0E6F"/>
    <w:rsid w:val="00FC1B9F"/>
    <w:rsid w:val="00FC4365"/>
    <w:rsid w:val="00FC50FA"/>
    <w:rsid w:val="00FC52E7"/>
    <w:rsid w:val="00FC5C54"/>
    <w:rsid w:val="00FD161A"/>
    <w:rsid w:val="00FD2016"/>
    <w:rsid w:val="00FD40F1"/>
    <w:rsid w:val="00FD721F"/>
    <w:rsid w:val="00FE059A"/>
    <w:rsid w:val="00FE29B3"/>
    <w:rsid w:val="00FE5292"/>
    <w:rsid w:val="00FE52E6"/>
    <w:rsid w:val="00FE65E3"/>
    <w:rsid w:val="00FE6CF3"/>
    <w:rsid w:val="00FF01F2"/>
    <w:rsid w:val="00FF212A"/>
    <w:rsid w:val="00FF24FA"/>
    <w:rsid w:val="00FF4AF1"/>
    <w:rsid w:val="00FF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A946D-4DAC-4D25-ACFC-ADB31336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character" w:customStyle="1" w:styleId="iaj">
    <w:name w:val="i_aj"/>
    <w:basedOn w:val="Fuentedeprrafopredeter"/>
    <w:rsid w:val="00AB585F"/>
  </w:style>
  <w:style w:type="character" w:customStyle="1" w:styleId="SinespaciadoCar">
    <w:name w:val="Sin espaciado Car"/>
    <w:link w:val="Sinespaciado"/>
    <w:uiPriority w:val="1"/>
    <w:locked/>
    <w:rsid w:val="00B5313D"/>
    <w:rPr>
      <w:lang w:val="es-ES_tradnl"/>
    </w:rPr>
  </w:style>
  <w:style w:type="paragraph" w:customStyle="1" w:styleId="a">
    <w:basedOn w:val="Normal"/>
    <w:next w:val="Puesto"/>
    <w:qFormat/>
    <w:rsid w:val="004C0DA5"/>
    <w:pPr>
      <w:widowControl w:val="0"/>
      <w:autoSpaceDE w:val="0"/>
      <w:autoSpaceDN w:val="0"/>
      <w:adjustRightInd w:val="0"/>
      <w:jc w:val="center"/>
    </w:pPr>
    <w:rPr>
      <w:rFonts w:ascii="Roman 12cpi" w:hAnsi="Roman 12cpi"/>
      <w:b/>
      <w:bCs/>
      <w:sz w:val="20"/>
      <w:lang w:val="es-ES"/>
    </w:rPr>
  </w:style>
  <w:style w:type="paragraph" w:styleId="Puesto">
    <w:name w:val="Title"/>
    <w:basedOn w:val="Normal"/>
    <w:next w:val="Normal"/>
    <w:link w:val="PuestoCar"/>
    <w:uiPriority w:val="10"/>
    <w:qFormat/>
    <w:rsid w:val="004C0DA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C0DA5"/>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077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295398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40149765">
      <w:bodyDiv w:val="1"/>
      <w:marLeft w:val="0"/>
      <w:marRight w:val="0"/>
      <w:marTop w:val="0"/>
      <w:marBottom w:val="0"/>
      <w:divBdr>
        <w:top w:val="none" w:sz="0" w:space="0" w:color="auto"/>
        <w:left w:val="none" w:sz="0" w:space="0" w:color="auto"/>
        <w:bottom w:val="none" w:sz="0" w:space="0" w:color="auto"/>
        <w:right w:val="none" w:sz="0" w:space="0" w:color="auto"/>
      </w:divBdr>
    </w:div>
    <w:div w:id="19607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2F94-8711-4D21-9E1F-868E20D1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2630</Words>
  <Characters>14467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2019-10-01T13:54:00Z</cp:lastPrinted>
  <dcterms:created xsi:type="dcterms:W3CDTF">2019-10-01T13:54:00Z</dcterms:created>
  <dcterms:modified xsi:type="dcterms:W3CDTF">2019-12-19T21:08:00Z</dcterms:modified>
</cp:coreProperties>
</file>