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7B" w:rsidRPr="009E387B" w:rsidRDefault="009E387B" w:rsidP="009E387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E387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387B" w:rsidRPr="009E387B" w:rsidRDefault="009E387B" w:rsidP="009E387B">
      <w:pPr>
        <w:spacing w:after="0" w:line="240" w:lineRule="auto"/>
        <w:jc w:val="both"/>
        <w:rPr>
          <w:rFonts w:ascii="Arial" w:eastAsia="Times New Roman" w:hAnsi="Arial" w:cs="Arial"/>
          <w:sz w:val="20"/>
          <w:szCs w:val="20"/>
          <w:lang w:val="es-419" w:eastAsia="es-ES"/>
        </w:rPr>
      </w:pPr>
    </w:p>
    <w:p w:rsidR="009E387B" w:rsidRPr="009E387B" w:rsidRDefault="009E387B" w:rsidP="009E387B">
      <w:pPr>
        <w:spacing w:after="0" w:line="240" w:lineRule="auto"/>
        <w:jc w:val="both"/>
        <w:rPr>
          <w:rFonts w:ascii="Arial" w:eastAsia="Times New Roman" w:hAnsi="Arial" w:cs="Arial"/>
          <w:b/>
          <w:bCs/>
          <w:iCs/>
          <w:sz w:val="20"/>
          <w:szCs w:val="20"/>
          <w:lang w:val="es-419" w:eastAsia="fr-FR"/>
        </w:rPr>
      </w:pPr>
      <w:r w:rsidRPr="009E387B">
        <w:rPr>
          <w:rFonts w:ascii="Arial" w:eastAsia="Times New Roman" w:hAnsi="Arial" w:cs="Arial"/>
          <w:b/>
          <w:bCs/>
          <w:iCs/>
          <w:sz w:val="20"/>
          <w:szCs w:val="20"/>
          <w:lang w:val="es-419" w:eastAsia="fr-FR"/>
        </w:rPr>
        <w:t>TEMAS:</w:t>
      </w:r>
      <w:r w:rsidRPr="009E387B">
        <w:rPr>
          <w:rFonts w:ascii="Arial" w:eastAsia="Times New Roman" w:hAnsi="Arial" w:cs="Arial"/>
          <w:b/>
          <w:bCs/>
          <w:iCs/>
          <w:sz w:val="20"/>
          <w:szCs w:val="20"/>
          <w:lang w:val="es-419" w:eastAsia="fr-FR"/>
        </w:rPr>
        <w:tab/>
      </w:r>
      <w:r w:rsidR="00110885">
        <w:rPr>
          <w:rFonts w:ascii="Arial" w:eastAsia="Times New Roman" w:hAnsi="Arial" w:cs="Arial"/>
          <w:b/>
          <w:bCs/>
          <w:iCs/>
          <w:sz w:val="20"/>
          <w:szCs w:val="20"/>
          <w:lang w:eastAsia="fr-FR"/>
        </w:rPr>
        <w:t xml:space="preserve">HURTO CALIFICADO / </w:t>
      </w:r>
      <w:r w:rsidR="008F17AC">
        <w:rPr>
          <w:rFonts w:ascii="Arial" w:eastAsia="Times New Roman" w:hAnsi="Arial" w:cs="Arial"/>
          <w:b/>
          <w:bCs/>
          <w:iCs/>
          <w:sz w:val="20"/>
          <w:szCs w:val="20"/>
          <w:lang w:eastAsia="fr-FR"/>
        </w:rPr>
        <w:t xml:space="preserve">ALLANAMIENTO A LOS CARGOS / LÍMITES DE LA APELACIÓN CONTRA LA SENTENCIA DE CONDENA / </w:t>
      </w:r>
      <w:r w:rsidR="00D87AB0">
        <w:rPr>
          <w:rFonts w:ascii="Arial" w:eastAsia="Times New Roman" w:hAnsi="Arial" w:cs="Arial"/>
          <w:b/>
          <w:bCs/>
          <w:iCs/>
          <w:sz w:val="20"/>
          <w:szCs w:val="20"/>
          <w:lang w:eastAsia="fr-FR"/>
        </w:rPr>
        <w:t xml:space="preserve">CONGRUENCIA ENTRE LA ACUSACIÓN Y LA SENTENCIA / </w:t>
      </w:r>
      <w:r w:rsidR="008F17AC" w:rsidRPr="008F17AC">
        <w:rPr>
          <w:rFonts w:ascii="Arial" w:eastAsia="Times New Roman" w:hAnsi="Arial" w:cs="Arial"/>
          <w:b/>
          <w:bCs/>
          <w:iCs/>
          <w:sz w:val="20"/>
          <w:szCs w:val="20"/>
          <w:lang w:eastAsia="fr-FR"/>
        </w:rPr>
        <w:t xml:space="preserve">ES </w:t>
      </w:r>
      <w:r w:rsidR="008F17AC">
        <w:rPr>
          <w:rFonts w:ascii="Arial" w:eastAsia="Times New Roman" w:hAnsi="Arial" w:cs="Arial"/>
          <w:b/>
          <w:bCs/>
          <w:iCs/>
          <w:sz w:val="20"/>
          <w:szCs w:val="20"/>
          <w:lang w:eastAsia="fr-FR"/>
        </w:rPr>
        <w:t>POSIBLE V</w:t>
      </w:r>
      <w:r w:rsidR="008F17AC" w:rsidRPr="008F17AC">
        <w:rPr>
          <w:rFonts w:ascii="Arial" w:eastAsia="Times New Roman" w:hAnsi="Arial" w:cs="Arial"/>
          <w:b/>
          <w:bCs/>
          <w:iCs/>
          <w:sz w:val="20"/>
          <w:szCs w:val="20"/>
          <w:lang w:eastAsia="fr-FR"/>
        </w:rPr>
        <w:t>ARIAR LOS ELEMENTOS NORMATIVOS DE LA IMPUTACIÓN CON EL FIN DE FIJAR LA PENA A</w:t>
      </w:r>
      <w:r w:rsidR="00D87AB0" w:rsidRPr="008F17AC">
        <w:rPr>
          <w:rFonts w:ascii="Arial" w:eastAsia="Times New Roman" w:hAnsi="Arial" w:cs="Arial"/>
          <w:b/>
          <w:bCs/>
          <w:iCs/>
          <w:sz w:val="20"/>
          <w:szCs w:val="20"/>
          <w:lang w:eastAsia="fr-FR"/>
        </w:rPr>
        <w:t xml:space="preserve"> IMPONER</w:t>
      </w:r>
      <w:r w:rsidR="00D87AB0">
        <w:rPr>
          <w:rFonts w:ascii="Arial" w:eastAsia="Times New Roman" w:hAnsi="Arial" w:cs="Arial"/>
          <w:b/>
          <w:bCs/>
          <w:iCs/>
          <w:sz w:val="20"/>
          <w:szCs w:val="20"/>
          <w:lang w:eastAsia="fr-FR"/>
        </w:rPr>
        <w:t xml:space="preserve"> / </w:t>
      </w:r>
      <w:r w:rsidR="00D87AB0" w:rsidRPr="00D87AB0">
        <w:rPr>
          <w:rFonts w:ascii="Arial" w:eastAsia="Times New Roman" w:hAnsi="Arial" w:cs="Arial"/>
          <w:b/>
          <w:bCs/>
          <w:iCs/>
          <w:sz w:val="20"/>
          <w:szCs w:val="20"/>
          <w:lang w:eastAsia="fr-FR"/>
        </w:rPr>
        <w:t xml:space="preserve">CONGRUENCIA ENTRE LA SITUACIÓN FÁCTICA Y LA ADECUACIÓN JURÍDICA REALIZADA POR LA </w:t>
      </w:r>
      <w:proofErr w:type="spellStart"/>
      <w:r w:rsidR="00D87AB0" w:rsidRPr="00D87AB0">
        <w:rPr>
          <w:rFonts w:ascii="Arial" w:eastAsia="Times New Roman" w:hAnsi="Arial" w:cs="Arial"/>
          <w:b/>
          <w:bCs/>
          <w:iCs/>
          <w:sz w:val="20"/>
          <w:szCs w:val="20"/>
          <w:lang w:eastAsia="fr-FR"/>
        </w:rPr>
        <w:t>FGN</w:t>
      </w:r>
      <w:proofErr w:type="spellEnd"/>
      <w:r w:rsidR="00D87AB0">
        <w:rPr>
          <w:rFonts w:ascii="Arial" w:eastAsia="Times New Roman" w:hAnsi="Arial" w:cs="Arial"/>
          <w:b/>
          <w:bCs/>
          <w:iCs/>
          <w:sz w:val="20"/>
          <w:szCs w:val="20"/>
          <w:lang w:eastAsia="fr-FR"/>
        </w:rPr>
        <w:t xml:space="preserve"> / </w:t>
      </w:r>
      <w:r w:rsidR="0095401F">
        <w:rPr>
          <w:rFonts w:ascii="Arial" w:eastAsia="Times New Roman" w:hAnsi="Arial" w:cs="Arial"/>
          <w:b/>
          <w:bCs/>
          <w:iCs/>
          <w:sz w:val="20"/>
          <w:szCs w:val="20"/>
          <w:lang w:eastAsia="fr-FR"/>
        </w:rPr>
        <w:t>MODALIDAD DE LA CONDUCTA IMPUTADA / GRADO DE TENTATIVA.</w:t>
      </w:r>
    </w:p>
    <w:p w:rsidR="009E387B" w:rsidRPr="009E387B" w:rsidRDefault="009E387B" w:rsidP="009E387B">
      <w:pPr>
        <w:spacing w:after="0" w:line="240" w:lineRule="auto"/>
        <w:jc w:val="both"/>
        <w:rPr>
          <w:rFonts w:ascii="Arial" w:eastAsia="Times New Roman" w:hAnsi="Arial" w:cs="Arial"/>
          <w:sz w:val="20"/>
          <w:szCs w:val="20"/>
          <w:lang w:val="es-419" w:eastAsia="es-ES"/>
        </w:rPr>
      </w:pPr>
    </w:p>
    <w:p w:rsidR="009E387B" w:rsidRDefault="00C23F3F" w:rsidP="009E387B">
      <w:pPr>
        <w:spacing w:after="0" w:line="240" w:lineRule="auto"/>
        <w:jc w:val="both"/>
        <w:rPr>
          <w:rFonts w:ascii="Arial" w:eastAsia="Times New Roman" w:hAnsi="Arial" w:cs="Arial"/>
          <w:sz w:val="20"/>
          <w:szCs w:val="20"/>
          <w:lang w:eastAsia="es-ES"/>
        </w:rPr>
      </w:pPr>
      <w:r w:rsidRPr="00C23F3F">
        <w:rPr>
          <w:rFonts w:ascii="Arial" w:eastAsia="Times New Roman" w:hAnsi="Arial" w:cs="Arial"/>
          <w:sz w:val="20"/>
          <w:szCs w:val="20"/>
          <w:lang w:val="es-419" w:eastAsia="es-ES"/>
        </w:rPr>
        <w:t xml:space="preserve">En principio, se debe tener en cuenta que en el presente trámite procesal el encartado decidió aceptar los cargos que le fueron comunicados en la audiencia de formulación de imputación, de conformidad con lo previsto en el artículo 288 numeral 3º del CPP., diligencia en la cual estuvo acompañado de un abogado adscrito al sistema nacional de defensoría pública por lo que es dable pregonar que el señor </w:t>
      </w:r>
      <w:r w:rsidR="007951D4">
        <w:rPr>
          <w:rFonts w:ascii="Arial" w:eastAsia="Times New Roman" w:hAnsi="Arial" w:cs="Arial"/>
          <w:sz w:val="20"/>
          <w:szCs w:val="20"/>
          <w:lang w:val="es-419" w:eastAsia="es-ES"/>
        </w:rPr>
        <w:t>JAMV</w:t>
      </w:r>
      <w:r w:rsidRPr="00C23F3F">
        <w:rPr>
          <w:rFonts w:ascii="Arial" w:eastAsia="Times New Roman" w:hAnsi="Arial" w:cs="Arial"/>
          <w:sz w:val="20"/>
          <w:szCs w:val="20"/>
          <w:lang w:val="es-419" w:eastAsia="es-ES"/>
        </w:rPr>
        <w:t xml:space="preserve"> contó con una defensa técnica que le brindó la asesoría correspondiente.</w:t>
      </w:r>
      <w:r>
        <w:rPr>
          <w:rFonts w:ascii="Arial" w:eastAsia="Times New Roman" w:hAnsi="Arial" w:cs="Arial"/>
          <w:sz w:val="20"/>
          <w:szCs w:val="20"/>
          <w:lang w:eastAsia="es-ES"/>
        </w:rPr>
        <w:t xml:space="preserve"> (…)</w:t>
      </w:r>
    </w:p>
    <w:p w:rsidR="00C23F3F" w:rsidRDefault="00C23F3F" w:rsidP="009E387B">
      <w:pPr>
        <w:spacing w:after="0" w:line="240" w:lineRule="auto"/>
        <w:jc w:val="both"/>
        <w:rPr>
          <w:rFonts w:ascii="Arial" w:eastAsia="Times New Roman" w:hAnsi="Arial" w:cs="Arial"/>
          <w:sz w:val="20"/>
          <w:szCs w:val="20"/>
          <w:lang w:eastAsia="es-ES"/>
        </w:rPr>
      </w:pPr>
    </w:p>
    <w:p w:rsidR="00C23F3F" w:rsidRPr="00C23F3F" w:rsidRDefault="00C23F3F" w:rsidP="00C23F3F">
      <w:pPr>
        <w:spacing w:after="0" w:line="240" w:lineRule="auto"/>
        <w:jc w:val="both"/>
        <w:rPr>
          <w:rFonts w:ascii="Arial" w:eastAsia="Times New Roman" w:hAnsi="Arial" w:cs="Arial"/>
          <w:sz w:val="20"/>
          <w:szCs w:val="20"/>
          <w:lang w:eastAsia="es-ES"/>
        </w:rPr>
      </w:pPr>
      <w:r w:rsidRPr="00C23F3F">
        <w:rPr>
          <w:rFonts w:ascii="Arial" w:eastAsia="Times New Roman" w:hAnsi="Arial" w:cs="Arial"/>
          <w:sz w:val="20"/>
          <w:szCs w:val="20"/>
          <w:lang w:eastAsia="es-ES"/>
        </w:rPr>
        <w:t>Ante tal planteamiento la a quo advirtió que no era procedente acceder al pedimento defensivo para lo cual tuvo en cuenta, en primer lugar, que consideraba la acción criminal como consumada toda vez que el encartado tenía guardado el espejo retrovisor en la pretina del pantalón</w:t>
      </w:r>
      <w:r>
        <w:rPr>
          <w:rFonts w:ascii="Arial" w:eastAsia="Times New Roman" w:hAnsi="Arial" w:cs="Arial"/>
          <w:sz w:val="20"/>
          <w:szCs w:val="20"/>
          <w:lang w:eastAsia="es-ES"/>
        </w:rPr>
        <w:t>…</w:t>
      </w:r>
      <w:r w:rsidRPr="00C23F3F">
        <w:rPr>
          <w:rFonts w:ascii="Arial" w:eastAsia="Times New Roman" w:hAnsi="Arial" w:cs="Arial"/>
          <w:sz w:val="20"/>
          <w:szCs w:val="20"/>
          <w:lang w:eastAsia="es-ES"/>
        </w:rPr>
        <w:t xml:space="preserve"> </w:t>
      </w:r>
    </w:p>
    <w:p w:rsidR="00C23F3F" w:rsidRPr="00C23F3F" w:rsidRDefault="00C23F3F" w:rsidP="00C23F3F">
      <w:pPr>
        <w:spacing w:after="0" w:line="240" w:lineRule="auto"/>
        <w:jc w:val="both"/>
        <w:rPr>
          <w:rFonts w:ascii="Arial" w:eastAsia="Times New Roman" w:hAnsi="Arial" w:cs="Arial"/>
          <w:sz w:val="20"/>
          <w:szCs w:val="20"/>
          <w:lang w:eastAsia="es-ES"/>
        </w:rPr>
      </w:pPr>
    </w:p>
    <w:p w:rsidR="00C23F3F" w:rsidRDefault="00C23F3F" w:rsidP="00C23F3F">
      <w:pPr>
        <w:spacing w:after="0" w:line="240" w:lineRule="auto"/>
        <w:jc w:val="both"/>
        <w:rPr>
          <w:rFonts w:ascii="Arial" w:eastAsia="Times New Roman" w:hAnsi="Arial" w:cs="Arial"/>
          <w:sz w:val="20"/>
          <w:szCs w:val="20"/>
          <w:lang w:eastAsia="es-ES"/>
        </w:rPr>
      </w:pPr>
      <w:r w:rsidRPr="00C23F3F">
        <w:rPr>
          <w:rFonts w:ascii="Arial" w:eastAsia="Times New Roman" w:hAnsi="Arial" w:cs="Arial"/>
          <w:sz w:val="20"/>
          <w:szCs w:val="20"/>
          <w:lang w:eastAsia="es-ES"/>
        </w:rPr>
        <w:t>En segundo lugar la a quo se refirió a la extemporaneidad e improcedencia de la petición toda vez que no era en la audiencia de individualización de pena y sentencia donde se debía debatir tal pretensión.</w:t>
      </w:r>
      <w:r>
        <w:rPr>
          <w:rFonts w:ascii="Arial" w:eastAsia="Times New Roman" w:hAnsi="Arial" w:cs="Arial"/>
          <w:sz w:val="20"/>
          <w:szCs w:val="20"/>
          <w:lang w:eastAsia="es-ES"/>
        </w:rPr>
        <w:t xml:space="preserve"> (…)</w:t>
      </w:r>
    </w:p>
    <w:p w:rsidR="00C23F3F" w:rsidRDefault="00C23F3F" w:rsidP="00C23F3F">
      <w:pPr>
        <w:spacing w:after="0" w:line="240" w:lineRule="auto"/>
        <w:jc w:val="both"/>
        <w:rPr>
          <w:rFonts w:ascii="Arial" w:eastAsia="Times New Roman" w:hAnsi="Arial" w:cs="Arial"/>
          <w:sz w:val="20"/>
          <w:szCs w:val="20"/>
          <w:lang w:eastAsia="es-ES"/>
        </w:rPr>
      </w:pPr>
    </w:p>
    <w:p w:rsidR="00C23F3F" w:rsidRDefault="00A2698E" w:rsidP="00C23F3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2698E">
        <w:rPr>
          <w:rFonts w:ascii="Arial" w:eastAsia="Times New Roman" w:hAnsi="Arial" w:cs="Arial"/>
          <w:sz w:val="20"/>
          <w:szCs w:val="20"/>
          <w:lang w:eastAsia="es-ES"/>
        </w:rPr>
        <w:t xml:space="preserve">no resultaría posible que el abogado que representa sus intereses entre a controvertir por vía de apelación de la sentencia de primer grado el juicio de adecuación típica efectuado por la </w:t>
      </w:r>
      <w:proofErr w:type="spellStart"/>
      <w:r w:rsidRPr="00A2698E">
        <w:rPr>
          <w:rFonts w:ascii="Arial" w:eastAsia="Times New Roman" w:hAnsi="Arial" w:cs="Arial"/>
          <w:sz w:val="20"/>
          <w:szCs w:val="20"/>
          <w:lang w:eastAsia="es-ES"/>
        </w:rPr>
        <w:t>FGN</w:t>
      </w:r>
      <w:proofErr w:type="spellEnd"/>
      <w:r w:rsidRPr="00A2698E">
        <w:rPr>
          <w:rFonts w:ascii="Arial" w:eastAsia="Times New Roman" w:hAnsi="Arial" w:cs="Arial"/>
          <w:sz w:val="20"/>
          <w:szCs w:val="20"/>
          <w:lang w:eastAsia="es-ES"/>
        </w:rPr>
        <w:t xml:space="preserve">, frente a una decisión del procesado que fue avalada por el Juez que ejerció el control de garantías del procedimiento, en virtud de la competencia que le otorga el artículo 131 del </w:t>
      </w:r>
      <w:proofErr w:type="spellStart"/>
      <w:r w:rsidRPr="00A2698E">
        <w:rPr>
          <w:rFonts w:ascii="Arial" w:eastAsia="Times New Roman" w:hAnsi="Arial" w:cs="Arial"/>
          <w:sz w:val="20"/>
          <w:szCs w:val="20"/>
          <w:lang w:eastAsia="es-ES"/>
        </w:rPr>
        <w:t>CPP</w:t>
      </w:r>
      <w:proofErr w:type="spellEnd"/>
      <w:r w:rsidRPr="00A2698E">
        <w:rPr>
          <w:rFonts w:ascii="Arial" w:eastAsia="Times New Roman" w:hAnsi="Arial" w:cs="Arial"/>
          <w:sz w:val="20"/>
          <w:szCs w:val="20"/>
          <w:lang w:eastAsia="es-ES"/>
        </w:rPr>
        <w:t xml:space="preserve"> ya que precisamente la conducta procesal del señor </w:t>
      </w:r>
      <w:proofErr w:type="spellStart"/>
      <w:r w:rsidR="007951D4">
        <w:rPr>
          <w:rFonts w:ascii="Arial" w:eastAsia="Times New Roman" w:hAnsi="Arial" w:cs="Arial"/>
          <w:sz w:val="20"/>
          <w:szCs w:val="20"/>
          <w:lang w:eastAsia="es-ES"/>
        </w:rPr>
        <w:t>JAMV</w:t>
      </w:r>
      <w:proofErr w:type="spellEnd"/>
      <w:r w:rsidRPr="00A2698E">
        <w:rPr>
          <w:rFonts w:ascii="Arial" w:eastAsia="Times New Roman" w:hAnsi="Arial" w:cs="Arial"/>
          <w:sz w:val="20"/>
          <w:szCs w:val="20"/>
          <w:lang w:eastAsia="es-ES"/>
        </w:rPr>
        <w:t xml:space="preserve"> de allanarse a los cargos en los términos formulados por la </w:t>
      </w:r>
      <w:proofErr w:type="spellStart"/>
      <w:r w:rsidRPr="00A2698E">
        <w:rPr>
          <w:rFonts w:ascii="Arial" w:eastAsia="Times New Roman" w:hAnsi="Arial" w:cs="Arial"/>
          <w:sz w:val="20"/>
          <w:szCs w:val="20"/>
          <w:lang w:eastAsia="es-ES"/>
        </w:rPr>
        <w:t>FGN</w:t>
      </w:r>
      <w:proofErr w:type="spellEnd"/>
      <w:r w:rsidRPr="00A2698E">
        <w:rPr>
          <w:rFonts w:ascii="Arial" w:eastAsia="Times New Roman" w:hAnsi="Arial" w:cs="Arial"/>
          <w:sz w:val="20"/>
          <w:szCs w:val="20"/>
          <w:lang w:eastAsia="es-ES"/>
        </w:rPr>
        <w:t xml:space="preserve">, constituyó una renuncia al juicio oral y por ende a la controversia sobre los medios de prueba de que disponía el ente acusador para esa fase procesal, ya que se entiende que el avenimiento unilateral del encartado con la acusación, como ocurrió en este caso, comportaba la aceptación tanto de los hechos como de su calificación jurídica, lo cual viene a ser consecuencia del principio de congruencia entre acusación y sentencia que establece el artículo 448 del </w:t>
      </w:r>
      <w:proofErr w:type="spellStart"/>
      <w:r w:rsidRPr="00A2698E">
        <w:rPr>
          <w:rFonts w:ascii="Arial" w:eastAsia="Times New Roman" w:hAnsi="Arial" w:cs="Arial"/>
          <w:sz w:val="20"/>
          <w:szCs w:val="20"/>
          <w:lang w:eastAsia="es-ES"/>
        </w:rPr>
        <w:t>CPP</w:t>
      </w:r>
      <w:proofErr w:type="spellEnd"/>
      <w:r w:rsidRPr="00A2698E">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p w:rsidR="00A2698E" w:rsidRDefault="00A2698E" w:rsidP="00C23F3F">
      <w:pPr>
        <w:spacing w:after="0" w:line="240" w:lineRule="auto"/>
        <w:jc w:val="both"/>
        <w:rPr>
          <w:rFonts w:ascii="Arial" w:eastAsia="Times New Roman" w:hAnsi="Arial" w:cs="Arial"/>
          <w:sz w:val="20"/>
          <w:szCs w:val="20"/>
          <w:lang w:eastAsia="es-ES"/>
        </w:rPr>
      </w:pPr>
    </w:p>
    <w:p w:rsidR="00A2698E" w:rsidRPr="00C23F3F" w:rsidRDefault="005F4F9C" w:rsidP="00C23F3F">
      <w:pPr>
        <w:spacing w:after="0" w:line="240" w:lineRule="auto"/>
        <w:jc w:val="both"/>
        <w:rPr>
          <w:rFonts w:ascii="Arial" w:eastAsia="Times New Roman" w:hAnsi="Arial" w:cs="Arial"/>
          <w:sz w:val="20"/>
          <w:szCs w:val="20"/>
          <w:lang w:eastAsia="es-ES"/>
        </w:rPr>
      </w:pPr>
      <w:r w:rsidRPr="005F4F9C">
        <w:rPr>
          <w:rFonts w:ascii="Arial" w:eastAsia="Times New Roman" w:hAnsi="Arial" w:cs="Arial"/>
          <w:sz w:val="20"/>
          <w:szCs w:val="20"/>
          <w:lang w:eastAsia="es-ES"/>
        </w:rPr>
        <w:t>No obstante, el defensor soportó su pretensión en el citado precedente No. 31280 del 8 de julio de 2009 de la CSJ, según el cual es viable para el juez de conocimiento variar los elementos normativos de la imputación aun cuando exista allanamiento a cargos, con el fin de fijar la pena a imponer.</w:t>
      </w:r>
      <w:r>
        <w:rPr>
          <w:rFonts w:ascii="Arial" w:eastAsia="Times New Roman" w:hAnsi="Arial" w:cs="Arial"/>
          <w:sz w:val="20"/>
          <w:szCs w:val="20"/>
          <w:lang w:eastAsia="es-ES"/>
        </w:rPr>
        <w:t xml:space="preserve"> (…)</w:t>
      </w:r>
    </w:p>
    <w:p w:rsidR="009E387B" w:rsidRPr="009E387B" w:rsidRDefault="009E387B" w:rsidP="009E387B">
      <w:pPr>
        <w:spacing w:after="0" w:line="240" w:lineRule="auto"/>
        <w:jc w:val="both"/>
        <w:rPr>
          <w:rFonts w:ascii="Arial" w:eastAsia="Times New Roman" w:hAnsi="Arial" w:cs="Arial"/>
          <w:sz w:val="20"/>
          <w:szCs w:val="20"/>
          <w:lang w:val="es-419" w:eastAsia="es-ES"/>
        </w:rPr>
      </w:pPr>
    </w:p>
    <w:p w:rsidR="009E387B" w:rsidRPr="009E387B" w:rsidRDefault="005F4F9C" w:rsidP="009E387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5F4F9C">
        <w:rPr>
          <w:rFonts w:ascii="Arial" w:eastAsia="Times New Roman" w:hAnsi="Arial" w:cs="Arial"/>
          <w:sz w:val="20"/>
          <w:szCs w:val="20"/>
          <w:lang w:val="es-419" w:eastAsia="es-ES"/>
        </w:rPr>
        <w:t>se advierte que la respuesta al primer problema jurídico es que sí es posible la variación de los presupuestos de la adecuación jurídica de la imputación de cargos aún en los casos de allanamiento, una vez se examine el grado de acierto de la calificación jurídica con los hechos relevantes en aras de evitar la trasgresión de derechos fundamentales del procesado.</w:t>
      </w:r>
    </w:p>
    <w:p w:rsidR="009E387B" w:rsidRDefault="009E387B" w:rsidP="009E387B">
      <w:pPr>
        <w:spacing w:after="0" w:line="240" w:lineRule="auto"/>
        <w:jc w:val="both"/>
        <w:rPr>
          <w:rFonts w:ascii="Arial" w:eastAsia="Times New Roman" w:hAnsi="Arial" w:cs="Arial"/>
          <w:sz w:val="20"/>
          <w:szCs w:val="20"/>
          <w:lang w:val="es-ES" w:eastAsia="es-ES"/>
        </w:rPr>
      </w:pPr>
    </w:p>
    <w:p w:rsidR="005F4F9C" w:rsidRDefault="00110885" w:rsidP="009E387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10885">
        <w:rPr>
          <w:rFonts w:ascii="Arial" w:eastAsia="Times New Roman" w:hAnsi="Arial" w:cs="Arial"/>
          <w:sz w:val="20"/>
          <w:szCs w:val="20"/>
          <w:lang w:val="es-ES" w:eastAsia="es-ES"/>
        </w:rPr>
        <w:t xml:space="preserve">examinados los </w:t>
      </w:r>
      <w:proofErr w:type="spellStart"/>
      <w:r w:rsidRPr="00110885">
        <w:rPr>
          <w:rFonts w:ascii="Arial" w:eastAsia="Times New Roman" w:hAnsi="Arial" w:cs="Arial"/>
          <w:sz w:val="20"/>
          <w:szCs w:val="20"/>
          <w:lang w:val="es-ES" w:eastAsia="es-ES"/>
        </w:rPr>
        <w:t>EMP</w:t>
      </w:r>
      <w:proofErr w:type="spellEnd"/>
      <w:r w:rsidRPr="00110885">
        <w:rPr>
          <w:rFonts w:ascii="Arial" w:eastAsia="Times New Roman" w:hAnsi="Arial" w:cs="Arial"/>
          <w:sz w:val="20"/>
          <w:szCs w:val="20"/>
          <w:lang w:val="es-ES" w:eastAsia="es-ES"/>
        </w:rPr>
        <w:t xml:space="preserve"> o </w:t>
      </w:r>
      <w:proofErr w:type="spellStart"/>
      <w:r w:rsidRPr="00110885">
        <w:rPr>
          <w:rFonts w:ascii="Arial" w:eastAsia="Times New Roman" w:hAnsi="Arial" w:cs="Arial"/>
          <w:sz w:val="20"/>
          <w:szCs w:val="20"/>
          <w:lang w:val="es-ES" w:eastAsia="es-ES"/>
        </w:rPr>
        <w:t>EF</w:t>
      </w:r>
      <w:proofErr w:type="spellEnd"/>
      <w:r w:rsidRPr="00110885">
        <w:rPr>
          <w:rFonts w:ascii="Arial" w:eastAsia="Times New Roman" w:hAnsi="Arial" w:cs="Arial"/>
          <w:sz w:val="20"/>
          <w:szCs w:val="20"/>
          <w:lang w:val="es-ES" w:eastAsia="es-ES"/>
        </w:rPr>
        <w:t xml:space="preserve"> la Sala concluye que contrario a la imputación de cargos que formuló la </w:t>
      </w:r>
      <w:proofErr w:type="spellStart"/>
      <w:r w:rsidRPr="00110885">
        <w:rPr>
          <w:rFonts w:ascii="Arial" w:eastAsia="Times New Roman" w:hAnsi="Arial" w:cs="Arial"/>
          <w:sz w:val="20"/>
          <w:szCs w:val="20"/>
          <w:lang w:val="es-ES" w:eastAsia="es-ES"/>
        </w:rPr>
        <w:t>FGN</w:t>
      </w:r>
      <w:proofErr w:type="spellEnd"/>
      <w:r w:rsidRPr="00110885">
        <w:rPr>
          <w:rFonts w:ascii="Arial" w:eastAsia="Times New Roman" w:hAnsi="Arial" w:cs="Arial"/>
          <w:sz w:val="20"/>
          <w:szCs w:val="20"/>
          <w:lang w:val="es-ES" w:eastAsia="es-ES"/>
        </w:rPr>
        <w:t xml:space="preserve">, la conducta por la cual se adelantó la investigación fue tentada en el entendido que para el momento de la captura del señor </w:t>
      </w:r>
      <w:proofErr w:type="spellStart"/>
      <w:r w:rsidR="00A33152">
        <w:rPr>
          <w:rFonts w:ascii="Arial" w:eastAsia="Times New Roman" w:hAnsi="Arial" w:cs="Arial"/>
          <w:sz w:val="20"/>
          <w:szCs w:val="20"/>
          <w:lang w:val="es-ES" w:eastAsia="es-ES"/>
        </w:rPr>
        <w:t>JAMV</w:t>
      </w:r>
      <w:proofErr w:type="spellEnd"/>
      <w:r w:rsidRPr="00110885">
        <w:rPr>
          <w:rFonts w:ascii="Arial" w:eastAsia="Times New Roman" w:hAnsi="Arial" w:cs="Arial"/>
          <w:sz w:val="20"/>
          <w:szCs w:val="20"/>
          <w:lang w:val="es-ES" w:eastAsia="es-ES"/>
        </w:rPr>
        <w:t>, si bien se hallaba en poder del espejo del vehículo propiedad de la víctima, no había consumado la conducta por cuanto seguía intentando extraer otros elementos del automotor y fue descubierto por la patrulla de vigilancia, por lo tanto no había sido extraído de la protección o esfera de custodia de su propietario.</w:t>
      </w:r>
    </w:p>
    <w:p w:rsidR="005F4F9C" w:rsidRDefault="005F4F9C" w:rsidP="009E387B">
      <w:pPr>
        <w:spacing w:after="0" w:line="240" w:lineRule="auto"/>
        <w:jc w:val="both"/>
        <w:rPr>
          <w:rFonts w:ascii="Arial" w:eastAsia="Times New Roman" w:hAnsi="Arial" w:cs="Arial"/>
          <w:sz w:val="20"/>
          <w:szCs w:val="20"/>
          <w:lang w:val="es-ES" w:eastAsia="es-ES"/>
        </w:rPr>
      </w:pPr>
    </w:p>
    <w:p w:rsidR="005F4F9C" w:rsidRPr="009E387B" w:rsidRDefault="005F4F9C" w:rsidP="009E387B">
      <w:pPr>
        <w:spacing w:after="0" w:line="240" w:lineRule="auto"/>
        <w:jc w:val="both"/>
        <w:rPr>
          <w:rFonts w:ascii="Arial" w:eastAsia="Times New Roman" w:hAnsi="Arial" w:cs="Arial"/>
          <w:sz w:val="20"/>
          <w:szCs w:val="20"/>
          <w:lang w:val="es-ES" w:eastAsia="es-ES"/>
        </w:rPr>
      </w:pPr>
    </w:p>
    <w:p w:rsidR="009E387B" w:rsidRPr="009E387B" w:rsidRDefault="009E387B" w:rsidP="009E387B">
      <w:pPr>
        <w:spacing w:after="0" w:line="240" w:lineRule="auto"/>
        <w:jc w:val="both"/>
        <w:rPr>
          <w:rFonts w:ascii="Arial" w:eastAsia="Times New Roman" w:hAnsi="Arial" w:cs="Arial"/>
          <w:sz w:val="20"/>
          <w:szCs w:val="20"/>
          <w:lang w:val="es-ES" w:eastAsia="es-ES"/>
        </w:rPr>
      </w:pPr>
    </w:p>
    <w:p w:rsidR="00E5244C" w:rsidRPr="009E387B" w:rsidRDefault="00E5244C" w:rsidP="009E387B">
      <w:pPr>
        <w:spacing w:after="0" w:line="288" w:lineRule="auto"/>
        <w:jc w:val="center"/>
        <w:rPr>
          <w:rFonts w:ascii="Arial" w:eastAsia="Times New Roman" w:hAnsi="Arial" w:cs="Arial"/>
          <w:b/>
          <w:sz w:val="24"/>
          <w:szCs w:val="24"/>
          <w:lang w:eastAsia="es-ES"/>
        </w:rPr>
      </w:pPr>
      <w:r w:rsidRPr="009E387B">
        <w:rPr>
          <w:rFonts w:ascii="Arial" w:eastAsia="Times New Roman" w:hAnsi="Arial" w:cs="Arial"/>
          <w:b/>
          <w:sz w:val="24"/>
          <w:szCs w:val="24"/>
          <w:lang w:eastAsia="es-ES"/>
        </w:rPr>
        <w:t>RAMA JUDICIAL DEL PODER PÚBLICO</w:t>
      </w:r>
    </w:p>
    <w:p w:rsidR="00E5244C" w:rsidRPr="009E387B" w:rsidRDefault="00E5244C" w:rsidP="009E387B">
      <w:pPr>
        <w:spacing w:after="0" w:line="288" w:lineRule="auto"/>
        <w:jc w:val="center"/>
        <w:rPr>
          <w:rFonts w:ascii="Arial" w:eastAsia="Times New Roman" w:hAnsi="Arial" w:cs="Arial"/>
          <w:b/>
          <w:sz w:val="24"/>
          <w:szCs w:val="24"/>
          <w:lang w:eastAsia="es-ES"/>
        </w:rPr>
      </w:pP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Pr="009E387B">
        <w:rPr>
          <w:rFonts w:ascii="Arial" w:eastAsia="Times New Roman" w:hAnsi="Arial" w:cs="Arial"/>
          <w:b/>
          <w:bCs/>
          <w:sz w:val="24"/>
          <w:szCs w:val="24"/>
          <w:lang w:eastAsia="es-ES"/>
        </w:rPr>
        <w:fldChar w:fldCharType="begin"/>
      </w:r>
      <w:r w:rsidRPr="009E387B">
        <w:rPr>
          <w:rFonts w:ascii="Arial" w:eastAsia="Times New Roman" w:hAnsi="Arial" w:cs="Arial"/>
          <w:b/>
          <w:bCs/>
          <w:sz w:val="24"/>
          <w:szCs w:val="24"/>
          <w:lang w:eastAsia="es-ES"/>
        </w:rPr>
        <w:instrText xml:space="preserve"> INCLUDEPICTURE  "http://www.mintransporte.gov.co/images/escudo.gif" \* MERGEFORMATINET </w:instrText>
      </w:r>
      <w:r w:rsidRPr="009E387B">
        <w:rPr>
          <w:rFonts w:ascii="Arial" w:eastAsia="Times New Roman" w:hAnsi="Arial" w:cs="Arial"/>
          <w:b/>
          <w:bCs/>
          <w:sz w:val="24"/>
          <w:szCs w:val="24"/>
          <w:lang w:eastAsia="es-ES"/>
        </w:rPr>
        <w:fldChar w:fldCharType="separate"/>
      </w:r>
      <w:r w:rsidR="00B11BA5" w:rsidRPr="009E387B">
        <w:rPr>
          <w:rFonts w:ascii="Arial" w:eastAsia="Times New Roman" w:hAnsi="Arial" w:cs="Arial"/>
          <w:b/>
          <w:bCs/>
          <w:sz w:val="24"/>
          <w:szCs w:val="24"/>
          <w:lang w:eastAsia="es-ES"/>
        </w:rPr>
        <w:fldChar w:fldCharType="begin"/>
      </w:r>
      <w:r w:rsidR="00B11BA5" w:rsidRPr="009E387B">
        <w:rPr>
          <w:rFonts w:ascii="Arial" w:eastAsia="Times New Roman" w:hAnsi="Arial" w:cs="Arial"/>
          <w:b/>
          <w:bCs/>
          <w:sz w:val="24"/>
          <w:szCs w:val="24"/>
          <w:lang w:eastAsia="es-ES"/>
        </w:rPr>
        <w:instrText xml:space="preserve"> INCLUDEPICTURE  "http://www.mintransporte.gov.co/images/escudo.gif" \* MERGEFORMATINET </w:instrText>
      </w:r>
      <w:r w:rsidR="00B11BA5" w:rsidRPr="009E387B">
        <w:rPr>
          <w:rFonts w:ascii="Arial" w:eastAsia="Times New Roman" w:hAnsi="Arial" w:cs="Arial"/>
          <w:b/>
          <w:bCs/>
          <w:sz w:val="24"/>
          <w:szCs w:val="24"/>
          <w:lang w:eastAsia="es-ES"/>
        </w:rPr>
        <w:fldChar w:fldCharType="separate"/>
      </w:r>
      <w:r w:rsidR="006D3166" w:rsidRPr="009E387B">
        <w:rPr>
          <w:rFonts w:ascii="Arial" w:eastAsia="Times New Roman" w:hAnsi="Arial" w:cs="Arial"/>
          <w:b/>
          <w:bCs/>
          <w:sz w:val="24"/>
          <w:szCs w:val="24"/>
          <w:lang w:eastAsia="es-ES"/>
        </w:rPr>
        <w:fldChar w:fldCharType="begin"/>
      </w:r>
      <w:r w:rsidR="006D3166" w:rsidRPr="009E387B">
        <w:rPr>
          <w:rFonts w:ascii="Arial" w:eastAsia="Times New Roman" w:hAnsi="Arial" w:cs="Arial"/>
          <w:b/>
          <w:bCs/>
          <w:sz w:val="24"/>
          <w:szCs w:val="24"/>
          <w:lang w:eastAsia="es-ES"/>
        </w:rPr>
        <w:instrText xml:space="preserve"> INCLUDEPICTURE  "http://www.mintransporte.gov.co/images/escudo.gif" \* MERGEFORMATINET </w:instrText>
      </w:r>
      <w:r w:rsidR="006D3166" w:rsidRPr="009E387B">
        <w:rPr>
          <w:rFonts w:ascii="Arial" w:eastAsia="Times New Roman" w:hAnsi="Arial" w:cs="Arial"/>
          <w:b/>
          <w:bCs/>
          <w:sz w:val="24"/>
          <w:szCs w:val="24"/>
          <w:lang w:eastAsia="es-ES"/>
        </w:rPr>
        <w:fldChar w:fldCharType="separate"/>
      </w:r>
      <w:r w:rsidR="007B1C55" w:rsidRPr="009E387B">
        <w:rPr>
          <w:rFonts w:ascii="Arial" w:eastAsia="Times New Roman" w:hAnsi="Arial" w:cs="Arial"/>
          <w:b/>
          <w:bCs/>
          <w:sz w:val="24"/>
          <w:szCs w:val="24"/>
          <w:lang w:eastAsia="es-ES"/>
        </w:rPr>
        <w:fldChar w:fldCharType="begin"/>
      </w:r>
      <w:r w:rsidR="007B1C55" w:rsidRPr="009E387B">
        <w:rPr>
          <w:rFonts w:ascii="Arial" w:eastAsia="Times New Roman" w:hAnsi="Arial" w:cs="Arial"/>
          <w:b/>
          <w:bCs/>
          <w:sz w:val="24"/>
          <w:szCs w:val="24"/>
          <w:lang w:eastAsia="es-ES"/>
        </w:rPr>
        <w:instrText xml:space="preserve"> INCLUDEPICTURE  "http://www.mintransporte.gov.co/images/escudo.gif" \* MERGEFORMATINET </w:instrText>
      </w:r>
      <w:r w:rsidR="007B1C55" w:rsidRPr="009E387B">
        <w:rPr>
          <w:rFonts w:ascii="Arial" w:eastAsia="Times New Roman" w:hAnsi="Arial" w:cs="Arial"/>
          <w:b/>
          <w:bCs/>
          <w:sz w:val="24"/>
          <w:szCs w:val="24"/>
          <w:lang w:eastAsia="es-ES"/>
        </w:rPr>
        <w:fldChar w:fldCharType="separate"/>
      </w:r>
      <w:r w:rsidR="0057122B" w:rsidRPr="009E387B">
        <w:rPr>
          <w:rFonts w:ascii="Arial" w:eastAsia="Times New Roman" w:hAnsi="Arial" w:cs="Arial"/>
          <w:b/>
          <w:bCs/>
          <w:sz w:val="24"/>
          <w:szCs w:val="24"/>
          <w:lang w:eastAsia="es-ES"/>
        </w:rPr>
        <w:fldChar w:fldCharType="begin"/>
      </w:r>
      <w:r w:rsidR="0057122B" w:rsidRPr="009E387B">
        <w:rPr>
          <w:rFonts w:ascii="Arial" w:eastAsia="Times New Roman" w:hAnsi="Arial" w:cs="Arial"/>
          <w:b/>
          <w:bCs/>
          <w:sz w:val="24"/>
          <w:szCs w:val="24"/>
          <w:lang w:eastAsia="es-ES"/>
        </w:rPr>
        <w:instrText xml:space="preserve"> INCLUDEPICTURE  "http://www.mintransporte.gov.co/images/escudo.gif" \* MERGEFORMATINET </w:instrText>
      </w:r>
      <w:r w:rsidR="0057122B" w:rsidRPr="009E387B">
        <w:rPr>
          <w:rFonts w:ascii="Arial" w:eastAsia="Times New Roman" w:hAnsi="Arial" w:cs="Arial"/>
          <w:b/>
          <w:bCs/>
          <w:sz w:val="24"/>
          <w:szCs w:val="24"/>
          <w:lang w:eastAsia="es-ES"/>
        </w:rPr>
        <w:fldChar w:fldCharType="separate"/>
      </w:r>
      <w:r w:rsidR="00B4040C" w:rsidRPr="009E387B">
        <w:rPr>
          <w:rFonts w:ascii="Arial" w:eastAsia="Times New Roman" w:hAnsi="Arial" w:cs="Arial"/>
          <w:b/>
          <w:bCs/>
          <w:sz w:val="24"/>
          <w:szCs w:val="24"/>
          <w:lang w:eastAsia="es-ES"/>
        </w:rPr>
        <w:fldChar w:fldCharType="begin"/>
      </w:r>
      <w:r w:rsidR="00B4040C" w:rsidRPr="009E387B">
        <w:rPr>
          <w:rFonts w:ascii="Arial" w:eastAsia="Times New Roman" w:hAnsi="Arial" w:cs="Arial"/>
          <w:b/>
          <w:bCs/>
          <w:sz w:val="24"/>
          <w:szCs w:val="24"/>
          <w:lang w:eastAsia="es-ES"/>
        </w:rPr>
        <w:instrText xml:space="preserve"> INCLUDEPICTURE  "http://www.mintransporte.gov.co/images/escudo.gif" \* MERGEFORMATINET </w:instrText>
      </w:r>
      <w:r w:rsidR="00B4040C" w:rsidRPr="009E387B">
        <w:rPr>
          <w:rFonts w:ascii="Arial" w:eastAsia="Times New Roman" w:hAnsi="Arial" w:cs="Arial"/>
          <w:b/>
          <w:bCs/>
          <w:sz w:val="24"/>
          <w:szCs w:val="24"/>
          <w:lang w:eastAsia="es-ES"/>
        </w:rPr>
        <w:fldChar w:fldCharType="separate"/>
      </w:r>
      <w:r w:rsidR="001C4454" w:rsidRPr="009E387B">
        <w:rPr>
          <w:rFonts w:ascii="Arial" w:eastAsia="Times New Roman" w:hAnsi="Arial" w:cs="Arial"/>
          <w:b/>
          <w:bCs/>
          <w:sz w:val="24"/>
          <w:szCs w:val="24"/>
          <w:lang w:eastAsia="es-ES"/>
        </w:rPr>
        <w:fldChar w:fldCharType="begin"/>
      </w:r>
      <w:r w:rsidR="001C4454" w:rsidRPr="009E387B">
        <w:rPr>
          <w:rFonts w:ascii="Arial" w:eastAsia="Times New Roman" w:hAnsi="Arial" w:cs="Arial"/>
          <w:b/>
          <w:bCs/>
          <w:sz w:val="24"/>
          <w:szCs w:val="24"/>
          <w:lang w:eastAsia="es-ES"/>
        </w:rPr>
        <w:instrText xml:space="preserve"> INCLUDEPICTURE  "http://www.mintransporte.gov.co/images/escudo.gif" \* MERGEFORMATINET </w:instrText>
      </w:r>
      <w:r w:rsidR="001C4454" w:rsidRPr="009E387B">
        <w:rPr>
          <w:rFonts w:ascii="Arial" w:eastAsia="Times New Roman" w:hAnsi="Arial" w:cs="Arial"/>
          <w:b/>
          <w:bCs/>
          <w:sz w:val="24"/>
          <w:szCs w:val="24"/>
          <w:lang w:eastAsia="es-ES"/>
        </w:rPr>
        <w:fldChar w:fldCharType="separate"/>
      </w:r>
      <w:r w:rsidR="00B80EA7" w:rsidRPr="009E387B">
        <w:rPr>
          <w:rFonts w:ascii="Arial" w:eastAsia="Times New Roman" w:hAnsi="Arial" w:cs="Arial"/>
          <w:b/>
          <w:bCs/>
          <w:sz w:val="24"/>
          <w:szCs w:val="24"/>
          <w:lang w:eastAsia="es-ES"/>
        </w:rPr>
        <w:fldChar w:fldCharType="begin"/>
      </w:r>
      <w:r w:rsidR="00B80EA7" w:rsidRPr="009E387B">
        <w:rPr>
          <w:rFonts w:ascii="Arial" w:eastAsia="Times New Roman" w:hAnsi="Arial" w:cs="Arial"/>
          <w:b/>
          <w:bCs/>
          <w:sz w:val="24"/>
          <w:szCs w:val="24"/>
          <w:lang w:eastAsia="es-ES"/>
        </w:rPr>
        <w:instrText xml:space="preserve"> INCLUDEPICTURE  "http://www.mintransporte.gov.co/images/escudo.gif" \* MERGEFORMATINET </w:instrText>
      </w:r>
      <w:r w:rsidR="00B80EA7" w:rsidRPr="009E387B">
        <w:rPr>
          <w:rFonts w:ascii="Arial" w:eastAsia="Times New Roman" w:hAnsi="Arial" w:cs="Arial"/>
          <w:b/>
          <w:bCs/>
          <w:sz w:val="24"/>
          <w:szCs w:val="24"/>
          <w:lang w:eastAsia="es-ES"/>
        </w:rPr>
        <w:fldChar w:fldCharType="separate"/>
      </w:r>
      <w:r w:rsidR="009868B5" w:rsidRPr="009E387B">
        <w:rPr>
          <w:rFonts w:ascii="Arial" w:eastAsia="Times New Roman" w:hAnsi="Arial" w:cs="Arial"/>
          <w:b/>
          <w:bCs/>
          <w:sz w:val="24"/>
          <w:szCs w:val="24"/>
          <w:lang w:eastAsia="es-ES"/>
        </w:rPr>
        <w:fldChar w:fldCharType="begin"/>
      </w:r>
      <w:r w:rsidR="009868B5" w:rsidRPr="009E387B">
        <w:rPr>
          <w:rFonts w:ascii="Arial" w:eastAsia="Times New Roman" w:hAnsi="Arial" w:cs="Arial"/>
          <w:b/>
          <w:bCs/>
          <w:sz w:val="24"/>
          <w:szCs w:val="24"/>
          <w:lang w:eastAsia="es-ES"/>
        </w:rPr>
        <w:instrText xml:space="preserve"> INCLUDEPICTURE  "http://www.mintransporte.gov.co/images/escudo.gif" \* MERGEFORMATINET </w:instrText>
      </w:r>
      <w:r w:rsidR="009868B5" w:rsidRPr="009E387B">
        <w:rPr>
          <w:rFonts w:ascii="Arial" w:eastAsia="Times New Roman" w:hAnsi="Arial" w:cs="Arial"/>
          <w:b/>
          <w:bCs/>
          <w:sz w:val="24"/>
          <w:szCs w:val="24"/>
          <w:lang w:eastAsia="es-ES"/>
        </w:rPr>
        <w:fldChar w:fldCharType="separate"/>
      </w:r>
      <w:r w:rsidR="002E385F" w:rsidRPr="009E387B">
        <w:rPr>
          <w:rFonts w:ascii="Arial" w:eastAsia="Times New Roman" w:hAnsi="Arial" w:cs="Arial"/>
          <w:b/>
          <w:bCs/>
          <w:sz w:val="24"/>
          <w:szCs w:val="24"/>
          <w:lang w:eastAsia="es-ES"/>
        </w:rPr>
        <w:fldChar w:fldCharType="begin"/>
      </w:r>
      <w:r w:rsidR="002E385F" w:rsidRPr="009E387B">
        <w:rPr>
          <w:rFonts w:ascii="Arial" w:eastAsia="Times New Roman" w:hAnsi="Arial" w:cs="Arial"/>
          <w:b/>
          <w:bCs/>
          <w:sz w:val="24"/>
          <w:szCs w:val="24"/>
          <w:lang w:eastAsia="es-ES"/>
        </w:rPr>
        <w:instrText xml:space="preserve"> INCLUDEPICTURE  "http://www.mintransporte.gov.co/images/escudo.gif" \* MERGEFORMATINET </w:instrText>
      </w:r>
      <w:r w:rsidR="002E385F" w:rsidRPr="009E387B">
        <w:rPr>
          <w:rFonts w:ascii="Arial" w:eastAsia="Times New Roman" w:hAnsi="Arial" w:cs="Arial"/>
          <w:b/>
          <w:bCs/>
          <w:sz w:val="24"/>
          <w:szCs w:val="24"/>
          <w:lang w:eastAsia="es-ES"/>
        </w:rPr>
        <w:fldChar w:fldCharType="separate"/>
      </w:r>
      <w:r w:rsidR="00F15D7B" w:rsidRPr="009E387B">
        <w:rPr>
          <w:rFonts w:ascii="Arial" w:eastAsia="Times New Roman" w:hAnsi="Arial" w:cs="Arial"/>
          <w:b/>
          <w:bCs/>
          <w:sz w:val="24"/>
          <w:szCs w:val="24"/>
          <w:lang w:eastAsia="es-ES"/>
        </w:rPr>
        <w:fldChar w:fldCharType="begin"/>
      </w:r>
      <w:r w:rsidR="00F15D7B" w:rsidRPr="009E387B">
        <w:rPr>
          <w:rFonts w:ascii="Arial" w:eastAsia="Times New Roman" w:hAnsi="Arial" w:cs="Arial"/>
          <w:b/>
          <w:bCs/>
          <w:sz w:val="24"/>
          <w:szCs w:val="24"/>
          <w:lang w:eastAsia="es-ES"/>
        </w:rPr>
        <w:instrText xml:space="preserve"> INCLUDEPICTURE  "http://www.mintransporte.gov.co/images/escudo.gif" \* MERGEFORMATINET </w:instrText>
      </w:r>
      <w:r w:rsidR="00F15D7B" w:rsidRPr="009E387B">
        <w:rPr>
          <w:rFonts w:ascii="Arial" w:eastAsia="Times New Roman" w:hAnsi="Arial" w:cs="Arial"/>
          <w:b/>
          <w:bCs/>
          <w:sz w:val="24"/>
          <w:szCs w:val="24"/>
          <w:lang w:eastAsia="es-ES"/>
        </w:rPr>
        <w:fldChar w:fldCharType="separate"/>
      </w:r>
      <w:r w:rsidR="00FA2766" w:rsidRPr="009E387B">
        <w:rPr>
          <w:rFonts w:ascii="Arial" w:eastAsia="Times New Roman" w:hAnsi="Arial" w:cs="Arial"/>
          <w:b/>
          <w:bCs/>
          <w:sz w:val="24"/>
          <w:szCs w:val="24"/>
          <w:lang w:eastAsia="es-ES"/>
        </w:rPr>
        <w:fldChar w:fldCharType="begin"/>
      </w:r>
      <w:r w:rsidR="00FA2766" w:rsidRPr="009E387B">
        <w:rPr>
          <w:rFonts w:ascii="Arial" w:eastAsia="Times New Roman" w:hAnsi="Arial" w:cs="Arial"/>
          <w:b/>
          <w:bCs/>
          <w:sz w:val="24"/>
          <w:szCs w:val="24"/>
          <w:lang w:eastAsia="es-ES"/>
        </w:rPr>
        <w:instrText xml:space="preserve"> INCLUDEPICTURE  "http://www.mintransporte.gov.co/images/escudo.gif" \* MERGEFORMATINET </w:instrText>
      </w:r>
      <w:r w:rsidR="00FA2766" w:rsidRPr="009E387B">
        <w:rPr>
          <w:rFonts w:ascii="Arial" w:eastAsia="Times New Roman" w:hAnsi="Arial" w:cs="Arial"/>
          <w:b/>
          <w:bCs/>
          <w:sz w:val="24"/>
          <w:szCs w:val="24"/>
          <w:lang w:eastAsia="es-ES"/>
        </w:rPr>
        <w:fldChar w:fldCharType="separate"/>
      </w:r>
      <w:r w:rsidR="00660B34" w:rsidRPr="009E387B">
        <w:rPr>
          <w:rFonts w:ascii="Arial" w:eastAsia="Times New Roman" w:hAnsi="Arial" w:cs="Arial"/>
          <w:b/>
          <w:bCs/>
          <w:sz w:val="24"/>
          <w:szCs w:val="24"/>
          <w:lang w:eastAsia="es-ES"/>
        </w:rPr>
        <w:fldChar w:fldCharType="begin"/>
      </w:r>
      <w:r w:rsidR="00660B34" w:rsidRPr="009E387B">
        <w:rPr>
          <w:rFonts w:ascii="Arial" w:eastAsia="Times New Roman" w:hAnsi="Arial" w:cs="Arial"/>
          <w:b/>
          <w:bCs/>
          <w:sz w:val="24"/>
          <w:szCs w:val="24"/>
          <w:lang w:eastAsia="es-ES"/>
        </w:rPr>
        <w:instrText xml:space="preserve"> INCLUDEPICTURE  "http://www.mintransporte.gov.co/images/escudo.gif" \* MERGEFORMATINET </w:instrText>
      </w:r>
      <w:r w:rsidR="00660B34" w:rsidRPr="009E387B">
        <w:rPr>
          <w:rFonts w:ascii="Arial" w:eastAsia="Times New Roman" w:hAnsi="Arial" w:cs="Arial"/>
          <w:b/>
          <w:bCs/>
          <w:sz w:val="24"/>
          <w:szCs w:val="24"/>
          <w:lang w:eastAsia="es-ES"/>
        </w:rPr>
        <w:fldChar w:fldCharType="separate"/>
      </w:r>
      <w:r w:rsidR="00E84196" w:rsidRPr="009E387B">
        <w:rPr>
          <w:rFonts w:ascii="Arial" w:eastAsia="Times New Roman" w:hAnsi="Arial" w:cs="Arial"/>
          <w:b/>
          <w:bCs/>
          <w:sz w:val="24"/>
          <w:szCs w:val="24"/>
          <w:lang w:eastAsia="es-ES"/>
        </w:rPr>
        <w:fldChar w:fldCharType="begin"/>
      </w:r>
      <w:r w:rsidR="00E84196" w:rsidRPr="009E387B">
        <w:rPr>
          <w:rFonts w:ascii="Arial" w:eastAsia="Times New Roman" w:hAnsi="Arial" w:cs="Arial"/>
          <w:b/>
          <w:bCs/>
          <w:sz w:val="24"/>
          <w:szCs w:val="24"/>
          <w:lang w:eastAsia="es-ES"/>
        </w:rPr>
        <w:instrText xml:space="preserve"> INCLUDEPICTURE  "http://www.mintransporte.gov.co/images/escudo.gif" \* MERGEFORMATINET </w:instrText>
      </w:r>
      <w:r w:rsidR="00E84196" w:rsidRPr="009E387B">
        <w:rPr>
          <w:rFonts w:ascii="Arial" w:eastAsia="Times New Roman" w:hAnsi="Arial" w:cs="Arial"/>
          <w:b/>
          <w:bCs/>
          <w:sz w:val="24"/>
          <w:szCs w:val="24"/>
          <w:lang w:eastAsia="es-ES"/>
        </w:rPr>
        <w:fldChar w:fldCharType="separate"/>
      </w:r>
      <w:r w:rsidR="002B29C6" w:rsidRPr="009E387B">
        <w:rPr>
          <w:rFonts w:ascii="Arial" w:eastAsia="Times New Roman" w:hAnsi="Arial" w:cs="Arial"/>
          <w:b/>
          <w:bCs/>
          <w:sz w:val="24"/>
          <w:szCs w:val="24"/>
          <w:lang w:eastAsia="es-ES"/>
        </w:rPr>
        <w:fldChar w:fldCharType="begin"/>
      </w:r>
      <w:r w:rsidR="002B29C6" w:rsidRPr="009E387B">
        <w:rPr>
          <w:rFonts w:ascii="Arial" w:eastAsia="Times New Roman" w:hAnsi="Arial" w:cs="Arial"/>
          <w:b/>
          <w:bCs/>
          <w:sz w:val="24"/>
          <w:szCs w:val="24"/>
          <w:lang w:eastAsia="es-ES"/>
        </w:rPr>
        <w:instrText xml:space="preserve"> INCLUDEPICTURE  "http://www.mintransporte.gov.co/images/escudo.gif" \* MERGEFORMATINET </w:instrText>
      </w:r>
      <w:r w:rsidR="002B29C6" w:rsidRPr="009E387B">
        <w:rPr>
          <w:rFonts w:ascii="Arial" w:eastAsia="Times New Roman" w:hAnsi="Arial" w:cs="Arial"/>
          <w:b/>
          <w:bCs/>
          <w:sz w:val="24"/>
          <w:szCs w:val="24"/>
          <w:lang w:eastAsia="es-ES"/>
        </w:rPr>
        <w:fldChar w:fldCharType="separate"/>
      </w:r>
      <w:r w:rsidR="00E11BCB" w:rsidRPr="009E387B">
        <w:rPr>
          <w:rFonts w:ascii="Arial" w:eastAsia="Times New Roman" w:hAnsi="Arial" w:cs="Arial"/>
          <w:b/>
          <w:bCs/>
          <w:sz w:val="24"/>
          <w:szCs w:val="24"/>
          <w:lang w:eastAsia="es-ES"/>
        </w:rPr>
        <w:fldChar w:fldCharType="begin"/>
      </w:r>
      <w:r w:rsidR="00E11BCB" w:rsidRPr="009E387B">
        <w:rPr>
          <w:rFonts w:ascii="Arial" w:eastAsia="Times New Roman" w:hAnsi="Arial" w:cs="Arial"/>
          <w:b/>
          <w:bCs/>
          <w:sz w:val="24"/>
          <w:szCs w:val="24"/>
          <w:lang w:eastAsia="es-ES"/>
        </w:rPr>
        <w:instrText xml:space="preserve"> INCLUDEPICTURE  "http://www.mintransporte.gov.co/images/escudo.gif" \* MERGEFORMATINET </w:instrText>
      </w:r>
      <w:r w:rsidR="00E11BCB" w:rsidRPr="009E387B">
        <w:rPr>
          <w:rFonts w:ascii="Arial" w:eastAsia="Times New Roman" w:hAnsi="Arial" w:cs="Arial"/>
          <w:b/>
          <w:bCs/>
          <w:sz w:val="24"/>
          <w:szCs w:val="24"/>
          <w:lang w:eastAsia="es-ES"/>
        </w:rPr>
        <w:fldChar w:fldCharType="separate"/>
      </w:r>
      <w:r w:rsidR="00AF0E50" w:rsidRPr="009E387B">
        <w:rPr>
          <w:rFonts w:ascii="Arial" w:eastAsia="Times New Roman" w:hAnsi="Arial" w:cs="Arial"/>
          <w:b/>
          <w:bCs/>
          <w:sz w:val="24"/>
          <w:szCs w:val="24"/>
          <w:lang w:eastAsia="es-ES"/>
        </w:rPr>
        <w:fldChar w:fldCharType="begin"/>
      </w:r>
      <w:r w:rsidR="00AF0E50" w:rsidRPr="009E387B">
        <w:rPr>
          <w:rFonts w:ascii="Arial" w:eastAsia="Times New Roman" w:hAnsi="Arial" w:cs="Arial"/>
          <w:b/>
          <w:bCs/>
          <w:sz w:val="24"/>
          <w:szCs w:val="24"/>
          <w:lang w:eastAsia="es-ES"/>
        </w:rPr>
        <w:instrText xml:space="preserve"> INCLUDEPICTURE  "http://www.mintransporte.gov.co/images/escudo.gif" \* MERGEFORMATINET </w:instrText>
      </w:r>
      <w:r w:rsidR="00AF0E50" w:rsidRPr="009E387B">
        <w:rPr>
          <w:rFonts w:ascii="Arial" w:eastAsia="Times New Roman" w:hAnsi="Arial" w:cs="Arial"/>
          <w:b/>
          <w:bCs/>
          <w:sz w:val="24"/>
          <w:szCs w:val="24"/>
          <w:lang w:eastAsia="es-ES"/>
        </w:rPr>
        <w:fldChar w:fldCharType="separate"/>
      </w:r>
      <w:r w:rsidR="001F2ACF" w:rsidRPr="009E387B">
        <w:rPr>
          <w:rFonts w:ascii="Arial" w:eastAsia="Times New Roman" w:hAnsi="Arial" w:cs="Arial"/>
          <w:b/>
          <w:bCs/>
          <w:sz w:val="24"/>
          <w:szCs w:val="24"/>
          <w:lang w:eastAsia="es-ES"/>
        </w:rPr>
        <w:fldChar w:fldCharType="begin"/>
      </w:r>
      <w:r w:rsidR="001F2ACF" w:rsidRPr="009E387B">
        <w:rPr>
          <w:rFonts w:ascii="Arial" w:eastAsia="Times New Roman" w:hAnsi="Arial" w:cs="Arial"/>
          <w:b/>
          <w:bCs/>
          <w:sz w:val="24"/>
          <w:szCs w:val="24"/>
          <w:lang w:eastAsia="es-ES"/>
        </w:rPr>
        <w:instrText xml:space="preserve"> INCLUDEPICTURE  "http://www.mintransporte.gov.co/images/escudo.gif" \* MERGEFORMATINET </w:instrText>
      </w:r>
      <w:r w:rsidR="001F2ACF" w:rsidRPr="009E387B">
        <w:rPr>
          <w:rFonts w:ascii="Arial" w:eastAsia="Times New Roman" w:hAnsi="Arial" w:cs="Arial"/>
          <w:b/>
          <w:bCs/>
          <w:sz w:val="24"/>
          <w:szCs w:val="24"/>
          <w:lang w:eastAsia="es-ES"/>
        </w:rPr>
        <w:fldChar w:fldCharType="separate"/>
      </w:r>
      <w:r w:rsidR="008D0026">
        <w:rPr>
          <w:rFonts w:ascii="Arial" w:eastAsia="Times New Roman" w:hAnsi="Arial" w:cs="Arial"/>
          <w:b/>
          <w:bCs/>
          <w:sz w:val="24"/>
          <w:szCs w:val="24"/>
          <w:lang w:eastAsia="es-ES"/>
        </w:rPr>
        <w:fldChar w:fldCharType="begin"/>
      </w:r>
      <w:r w:rsidR="008D0026">
        <w:rPr>
          <w:rFonts w:ascii="Arial" w:eastAsia="Times New Roman" w:hAnsi="Arial" w:cs="Arial"/>
          <w:b/>
          <w:bCs/>
          <w:sz w:val="24"/>
          <w:szCs w:val="24"/>
          <w:lang w:eastAsia="es-ES"/>
        </w:rPr>
        <w:instrText xml:space="preserve"> INCLUDEPICTURE  "http://www.mintransporte.gov.co/images/escudo.gif" \* MERGEFORMATINET </w:instrText>
      </w:r>
      <w:r w:rsidR="008D0026">
        <w:rPr>
          <w:rFonts w:ascii="Arial" w:eastAsia="Times New Roman" w:hAnsi="Arial" w:cs="Arial"/>
          <w:b/>
          <w:bCs/>
          <w:sz w:val="24"/>
          <w:szCs w:val="24"/>
          <w:lang w:eastAsia="es-ES"/>
        </w:rPr>
        <w:fldChar w:fldCharType="separate"/>
      </w:r>
      <w:r w:rsidR="00E345AA">
        <w:rPr>
          <w:rFonts w:ascii="Arial" w:eastAsia="Times New Roman" w:hAnsi="Arial" w:cs="Arial"/>
          <w:b/>
          <w:bCs/>
          <w:sz w:val="24"/>
          <w:szCs w:val="24"/>
          <w:lang w:eastAsia="es-ES"/>
        </w:rPr>
        <w:fldChar w:fldCharType="begin"/>
      </w:r>
      <w:r w:rsidR="00E345AA">
        <w:rPr>
          <w:rFonts w:ascii="Arial" w:eastAsia="Times New Roman" w:hAnsi="Arial" w:cs="Arial"/>
          <w:b/>
          <w:bCs/>
          <w:sz w:val="24"/>
          <w:szCs w:val="24"/>
          <w:lang w:eastAsia="es-ES"/>
        </w:rPr>
        <w:instrText xml:space="preserve"> </w:instrText>
      </w:r>
      <w:r w:rsidR="00E345AA">
        <w:rPr>
          <w:rFonts w:ascii="Arial" w:eastAsia="Times New Roman" w:hAnsi="Arial" w:cs="Arial"/>
          <w:b/>
          <w:bCs/>
          <w:sz w:val="24"/>
          <w:szCs w:val="24"/>
          <w:lang w:eastAsia="es-ES"/>
        </w:rPr>
        <w:instrText>INCLUDEPICTURE  "http://www.mintransporte.gov.co/images/escudo.gif" \* MERGEFORMATINET</w:instrText>
      </w:r>
      <w:r w:rsidR="00E345AA">
        <w:rPr>
          <w:rFonts w:ascii="Arial" w:eastAsia="Times New Roman" w:hAnsi="Arial" w:cs="Arial"/>
          <w:b/>
          <w:bCs/>
          <w:sz w:val="24"/>
          <w:szCs w:val="24"/>
          <w:lang w:eastAsia="es-ES"/>
        </w:rPr>
        <w:instrText xml:space="preserve"> </w:instrText>
      </w:r>
      <w:r w:rsidR="00E345AA">
        <w:rPr>
          <w:rFonts w:ascii="Arial" w:eastAsia="Times New Roman" w:hAnsi="Arial" w:cs="Arial"/>
          <w:b/>
          <w:bCs/>
          <w:sz w:val="24"/>
          <w:szCs w:val="24"/>
          <w:lang w:eastAsia="es-ES"/>
        </w:rPr>
        <w:fldChar w:fldCharType="separate"/>
      </w:r>
      <w:r w:rsidR="007951D4">
        <w:rPr>
          <w:rFonts w:ascii="Arial" w:eastAsia="Times New Roman" w:hAnsi="Arial" w:cs="Arial"/>
          <w:b/>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
            <v:imagedata r:id="rId8" r:href="rId9"/>
          </v:shape>
        </w:pict>
      </w:r>
      <w:r w:rsidR="00E345AA">
        <w:rPr>
          <w:rFonts w:ascii="Arial" w:eastAsia="Times New Roman" w:hAnsi="Arial" w:cs="Arial"/>
          <w:b/>
          <w:bCs/>
          <w:sz w:val="24"/>
          <w:szCs w:val="24"/>
          <w:lang w:eastAsia="es-ES"/>
        </w:rPr>
        <w:fldChar w:fldCharType="end"/>
      </w:r>
      <w:r w:rsidR="008D0026">
        <w:rPr>
          <w:rFonts w:ascii="Arial" w:eastAsia="Times New Roman" w:hAnsi="Arial" w:cs="Arial"/>
          <w:b/>
          <w:bCs/>
          <w:sz w:val="24"/>
          <w:szCs w:val="24"/>
          <w:lang w:eastAsia="es-ES"/>
        </w:rPr>
        <w:fldChar w:fldCharType="end"/>
      </w:r>
      <w:r w:rsidR="001F2ACF" w:rsidRPr="009E387B">
        <w:rPr>
          <w:rFonts w:ascii="Arial" w:eastAsia="Times New Roman" w:hAnsi="Arial" w:cs="Arial"/>
          <w:b/>
          <w:bCs/>
          <w:sz w:val="24"/>
          <w:szCs w:val="24"/>
          <w:lang w:eastAsia="es-ES"/>
        </w:rPr>
        <w:fldChar w:fldCharType="end"/>
      </w:r>
      <w:r w:rsidR="00AF0E50" w:rsidRPr="009E387B">
        <w:rPr>
          <w:rFonts w:ascii="Arial" w:eastAsia="Times New Roman" w:hAnsi="Arial" w:cs="Arial"/>
          <w:b/>
          <w:bCs/>
          <w:sz w:val="24"/>
          <w:szCs w:val="24"/>
          <w:lang w:eastAsia="es-ES"/>
        </w:rPr>
        <w:fldChar w:fldCharType="end"/>
      </w:r>
      <w:r w:rsidR="00E11BCB" w:rsidRPr="009E387B">
        <w:rPr>
          <w:rFonts w:ascii="Arial" w:eastAsia="Times New Roman" w:hAnsi="Arial" w:cs="Arial"/>
          <w:b/>
          <w:bCs/>
          <w:sz w:val="24"/>
          <w:szCs w:val="24"/>
          <w:lang w:eastAsia="es-ES"/>
        </w:rPr>
        <w:fldChar w:fldCharType="end"/>
      </w:r>
      <w:r w:rsidR="002B29C6" w:rsidRPr="009E387B">
        <w:rPr>
          <w:rFonts w:ascii="Arial" w:eastAsia="Times New Roman" w:hAnsi="Arial" w:cs="Arial"/>
          <w:b/>
          <w:bCs/>
          <w:sz w:val="24"/>
          <w:szCs w:val="24"/>
          <w:lang w:eastAsia="es-ES"/>
        </w:rPr>
        <w:fldChar w:fldCharType="end"/>
      </w:r>
      <w:r w:rsidR="00E84196" w:rsidRPr="009E387B">
        <w:rPr>
          <w:rFonts w:ascii="Arial" w:eastAsia="Times New Roman" w:hAnsi="Arial" w:cs="Arial"/>
          <w:b/>
          <w:bCs/>
          <w:sz w:val="24"/>
          <w:szCs w:val="24"/>
          <w:lang w:eastAsia="es-ES"/>
        </w:rPr>
        <w:fldChar w:fldCharType="end"/>
      </w:r>
      <w:r w:rsidR="00660B34" w:rsidRPr="009E387B">
        <w:rPr>
          <w:rFonts w:ascii="Arial" w:eastAsia="Times New Roman" w:hAnsi="Arial" w:cs="Arial"/>
          <w:b/>
          <w:bCs/>
          <w:sz w:val="24"/>
          <w:szCs w:val="24"/>
          <w:lang w:eastAsia="es-ES"/>
        </w:rPr>
        <w:fldChar w:fldCharType="end"/>
      </w:r>
      <w:r w:rsidR="00FA2766" w:rsidRPr="009E387B">
        <w:rPr>
          <w:rFonts w:ascii="Arial" w:eastAsia="Times New Roman" w:hAnsi="Arial" w:cs="Arial"/>
          <w:b/>
          <w:bCs/>
          <w:sz w:val="24"/>
          <w:szCs w:val="24"/>
          <w:lang w:eastAsia="es-ES"/>
        </w:rPr>
        <w:fldChar w:fldCharType="end"/>
      </w:r>
      <w:r w:rsidR="00F15D7B" w:rsidRPr="009E387B">
        <w:rPr>
          <w:rFonts w:ascii="Arial" w:eastAsia="Times New Roman" w:hAnsi="Arial" w:cs="Arial"/>
          <w:b/>
          <w:bCs/>
          <w:sz w:val="24"/>
          <w:szCs w:val="24"/>
          <w:lang w:eastAsia="es-ES"/>
        </w:rPr>
        <w:fldChar w:fldCharType="end"/>
      </w:r>
      <w:r w:rsidR="002E385F" w:rsidRPr="009E387B">
        <w:rPr>
          <w:rFonts w:ascii="Arial" w:eastAsia="Times New Roman" w:hAnsi="Arial" w:cs="Arial"/>
          <w:b/>
          <w:bCs/>
          <w:sz w:val="24"/>
          <w:szCs w:val="24"/>
          <w:lang w:eastAsia="es-ES"/>
        </w:rPr>
        <w:fldChar w:fldCharType="end"/>
      </w:r>
      <w:r w:rsidR="009868B5" w:rsidRPr="009E387B">
        <w:rPr>
          <w:rFonts w:ascii="Arial" w:eastAsia="Times New Roman" w:hAnsi="Arial" w:cs="Arial"/>
          <w:b/>
          <w:bCs/>
          <w:sz w:val="24"/>
          <w:szCs w:val="24"/>
          <w:lang w:eastAsia="es-ES"/>
        </w:rPr>
        <w:fldChar w:fldCharType="end"/>
      </w:r>
      <w:r w:rsidR="00B80EA7" w:rsidRPr="009E387B">
        <w:rPr>
          <w:rFonts w:ascii="Arial" w:eastAsia="Times New Roman" w:hAnsi="Arial" w:cs="Arial"/>
          <w:b/>
          <w:bCs/>
          <w:sz w:val="24"/>
          <w:szCs w:val="24"/>
          <w:lang w:eastAsia="es-ES"/>
        </w:rPr>
        <w:fldChar w:fldCharType="end"/>
      </w:r>
      <w:r w:rsidR="001C4454" w:rsidRPr="009E387B">
        <w:rPr>
          <w:rFonts w:ascii="Arial" w:eastAsia="Times New Roman" w:hAnsi="Arial" w:cs="Arial"/>
          <w:b/>
          <w:bCs/>
          <w:sz w:val="24"/>
          <w:szCs w:val="24"/>
          <w:lang w:eastAsia="es-ES"/>
        </w:rPr>
        <w:fldChar w:fldCharType="end"/>
      </w:r>
      <w:r w:rsidR="00B4040C" w:rsidRPr="009E387B">
        <w:rPr>
          <w:rFonts w:ascii="Arial" w:eastAsia="Times New Roman" w:hAnsi="Arial" w:cs="Arial"/>
          <w:b/>
          <w:bCs/>
          <w:sz w:val="24"/>
          <w:szCs w:val="24"/>
          <w:lang w:eastAsia="es-ES"/>
        </w:rPr>
        <w:fldChar w:fldCharType="end"/>
      </w:r>
      <w:r w:rsidR="0057122B" w:rsidRPr="009E387B">
        <w:rPr>
          <w:rFonts w:ascii="Arial" w:eastAsia="Times New Roman" w:hAnsi="Arial" w:cs="Arial"/>
          <w:b/>
          <w:bCs/>
          <w:sz w:val="24"/>
          <w:szCs w:val="24"/>
          <w:lang w:eastAsia="es-ES"/>
        </w:rPr>
        <w:fldChar w:fldCharType="end"/>
      </w:r>
      <w:r w:rsidR="007B1C55" w:rsidRPr="009E387B">
        <w:rPr>
          <w:rFonts w:ascii="Arial" w:eastAsia="Times New Roman" w:hAnsi="Arial" w:cs="Arial"/>
          <w:b/>
          <w:bCs/>
          <w:sz w:val="24"/>
          <w:szCs w:val="24"/>
          <w:lang w:eastAsia="es-ES"/>
        </w:rPr>
        <w:fldChar w:fldCharType="end"/>
      </w:r>
      <w:r w:rsidR="006D3166" w:rsidRPr="009E387B">
        <w:rPr>
          <w:rFonts w:ascii="Arial" w:eastAsia="Times New Roman" w:hAnsi="Arial" w:cs="Arial"/>
          <w:b/>
          <w:bCs/>
          <w:sz w:val="24"/>
          <w:szCs w:val="24"/>
          <w:lang w:eastAsia="es-ES"/>
        </w:rPr>
        <w:fldChar w:fldCharType="end"/>
      </w:r>
      <w:r w:rsidR="00B11BA5"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r w:rsidRPr="009E387B">
        <w:rPr>
          <w:rFonts w:ascii="Arial" w:eastAsia="Times New Roman" w:hAnsi="Arial" w:cs="Arial"/>
          <w:b/>
          <w:bCs/>
          <w:sz w:val="24"/>
          <w:szCs w:val="24"/>
          <w:lang w:eastAsia="es-ES"/>
        </w:rPr>
        <w:fldChar w:fldCharType="end"/>
      </w:r>
    </w:p>
    <w:p w:rsidR="00E5244C" w:rsidRPr="009E387B" w:rsidRDefault="00E5244C" w:rsidP="009E387B">
      <w:pPr>
        <w:spacing w:after="0" w:line="288" w:lineRule="auto"/>
        <w:jc w:val="center"/>
        <w:rPr>
          <w:rFonts w:ascii="Arial" w:eastAsia="Times New Roman" w:hAnsi="Arial" w:cs="Arial"/>
          <w:b/>
          <w:sz w:val="24"/>
          <w:szCs w:val="24"/>
          <w:lang w:eastAsia="es-ES"/>
        </w:rPr>
      </w:pPr>
      <w:r w:rsidRPr="009E387B">
        <w:rPr>
          <w:rFonts w:ascii="Arial" w:eastAsia="Times New Roman" w:hAnsi="Arial" w:cs="Arial"/>
          <w:b/>
          <w:sz w:val="24"/>
          <w:szCs w:val="24"/>
          <w:lang w:eastAsia="es-ES"/>
        </w:rPr>
        <w:t>TRIBUNAL SUPERIOR DEL DISTRITO JUDICIAL DE PEREIRA - RISARALDA</w:t>
      </w:r>
    </w:p>
    <w:p w:rsidR="00E5244C" w:rsidRPr="009E387B" w:rsidRDefault="00E5244C" w:rsidP="009E387B">
      <w:pPr>
        <w:spacing w:after="0" w:line="288" w:lineRule="auto"/>
        <w:jc w:val="center"/>
        <w:rPr>
          <w:rFonts w:ascii="Arial" w:eastAsia="Times New Roman" w:hAnsi="Arial" w:cs="Arial"/>
          <w:b/>
          <w:iCs/>
          <w:sz w:val="24"/>
          <w:szCs w:val="24"/>
          <w:lang w:eastAsia="es-ES"/>
        </w:rPr>
      </w:pPr>
      <w:r w:rsidRPr="009E387B">
        <w:rPr>
          <w:rFonts w:ascii="Arial" w:eastAsia="Times New Roman" w:hAnsi="Arial" w:cs="Arial"/>
          <w:b/>
          <w:iCs/>
          <w:sz w:val="24"/>
          <w:szCs w:val="24"/>
          <w:lang w:eastAsia="es-ES"/>
        </w:rPr>
        <w:t>SALA PENAL</w:t>
      </w:r>
    </w:p>
    <w:p w:rsidR="00E5244C" w:rsidRPr="009E387B" w:rsidRDefault="00E5244C" w:rsidP="009E387B">
      <w:pPr>
        <w:spacing w:after="0" w:line="288" w:lineRule="auto"/>
        <w:jc w:val="center"/>
        <w:rPr>
          <w:rFonts w:ascii="Arial" w:eastAsia="Times New Roman" w:hAnsi="Arial" w:cs="Arial"/>
          <w:b/>
          <w:sz w:val="24"/>
          <w:szCs w:val="24"/>
          <w:lang w:eastAsia="es-ES"/>
        </w:rPr>
      </w:pPr>
      <w:r w:rsidRPr="009E387B">
        <w:rPr>
          <w:rFonts w:ascii="Arial" w:eastAsia="Times New Roman" w:hAnsi="Arial" w:cs="Arial"/>
          <w:b/>
          <w:sz w:val="24"/>
          <w:szCs w:val="24"/>
          <w:lang w:eastAsia="es-ES"/>
        </w:rPr>
        <w:t>M P. JAIRO ERNESTO ESCOBAR SANZ</w:t>
      </w:r>
    </w:p>
    <w:p w:rsidR="00E5244C" w:rsidRPr="009E387B" w:rsidRDefault="00E5244C" w:rsidP="009E387B">
      <w:pPr>
        <w:spacing w:after="0" w:line="288" w:lineRule="auto"/>
        <w:jc w:val="both"/>
        <w:rPr>
          <w:rFonts w:ascii="Arial" w:eastAsia="Times New Roman" w:hAnsi="Arial" w:cs="Arial"/>
          <w:b/>
          <w:sz w:val="24"/>
          <w:szCs w:val="24"/>
          <w:lang w:eastAsia="es-ES"/>
        </w:rPr>
      </w:pPr>
    </w:p>
    <w:p w:rsidR="0069368C" w:rsidRPr="009E387B" w:rsidRDefault="0069368C" w:rsidP="009E387B">
      <w:pPr>
        <w:spacing w:after="0" w:line="288" w:lineRule="auto"/>
        <w:jc w:val="both"/>
        <w:rPr>
          <w:rFonts w:ascii="Arial" w:eastAsia="Times New Roman" w:hAnsi="Arial" w:cs="Arial"/>
          <w:sz w:val="24"/>
          <w:szCs w:val="24"/>
          <w:lang w:eastAsia="es-ES"/>
        </w:rPr>
      </w:pPr>
    </w:p>
    <w:p w:rsidR="00E5244C" w:rsidRPr="009E387B" w:rsidRDefault="00E5244C" w:rsidP="009E387B">
      <w:pPr>
        <w:spacing w:after="0" w:line="288" w:lineRule="auto"/>
        <w:jc w:val="both"/>
        <w:rPr>
          <w:rFonts w:ascii="Arial" w:eastAsia="Times New Roman" w:hAnsi="Arial" w:cs="Arial"/>
          <w:sz w:val="24"/>
          <w:szCs w:val="24"/>
          <w:lang w:eastAsia="es-ES"/>
        </w:rPr>
      </w:pPr>
      <w:r w:rsidRPr="009E387B">
        <w:rPr>
          <w:rFonts w:ascii="Arial" w:eastAsia="Times New Roman" w:hAnsi="Arial" w:cs="Arial"/>
          <w:sz w:val="24"/>
          <w:szCs w:val="24"/>
          <w:lang w:eastAsia="es-ES"/>
        </w:rPr>
        <w:lastRenderedPageBreak/>
        <w:t xml:space="preserve">Pereira, </w:t>
      </w:r>
      <w:r w:rsidR="0069368C" w:rsidRPr="009E387B">
        <w:rPr>
          <w:rFonts w:ascii="Arial" w:eastAsia="Times New Roman" w:hAnsi="Arial" w:cs="Arial"/>
          <w:sz w:val="24"/>
          <w:szCs w:val="24"/>
          <w:lang w:eastAsia="es-ES"/>
        </w:rPr>
        <w:t>primero (1º) de abril</w:t>
      </w:r>
      <w:r w:rsidR="006B6CE4" w:rsidRPr="009E387B">
        <w:rPr>
          <w:rFonts w:ascii="Arial" w:eastAsia="Times New Roman" w:hAnsi="Arial" w:cs="Arial"/>
          <w:sz w:val="24"/>
          <w:szCs w:val="24"/>
          <w:lang w:eastAsia="es-ES"/>
        </w:rPr>
        <w:t xml:space="preserve"> de</w:t>
      </w:r>
      <w:r w:rsidRPr="009E387B">
        <w:rPr>
          <w:rFonts w:ascii="Arial" w:eastAsia="Times New Roman" w:hAnsi="Arial" w:cs="Arial"/>
          <w:sz w:val="24"/>
          <w:szCs w:val="24"/>
          <w:lang w:eastAsia="es-ES"/>
        </w:rPr>
        <w:t xml:space="preserve"> dos mil dieci</w:t>
      </w:r>
      <w:r w:rsidR="006F36A0" w:rsidRPr="009E387B">
        <w:rPr>
          <w:rFonts w:ascii="Arial" w:eastAsia="Times New Roman" w:hAnsi="Arial" w:cs="Arial"/>
          <w:sz w:val="24"/>
          <w:szCs w:val="24"/>
          <w:lang w:eastAsia="es-ES"/>
        </w:rPr>
        <w:t xml:space="preserve">nueve </w:t>
      </w:r>
      <w:r w:rsidRPr="009E387B">
        <w:rPr>
          <w:rFonts w:ascii="Arial" w:eastAsia="Times New Roman" w:hAnsi="Arial" w:cs="Arial"/>
          <w:sz w:val="24"/>
          <w:szCs w:val="24"/>
          <w:lang w:eastAsia="es-ES"/>
        </w:rPr>
        <w:t>(</w:t>
      </w:r>
      <w:r w:rsidR="006F36A0" w:rsidRPr="009E387B">
        <w:rPr>
          <w:rFonts w:ascii="Arial" w:eastAsia="Times New Roman" w:hAnsi="Arial" w:cs="Arial"/>
          <w:sz w:val="24"/>
          <w:szCs w:val="24"/>
          <w:lang w:eastAsia="es-ES"/>
        </w:rPr>
        <w:t>2019</w:t>
      </w:r>
      <w:r w:rsidRPr="009E387B">
        <w:rPr>
          <w:rFonts w:ascii="Arial" w:eastAsia="Times New Roman" w:hAnsi="Arial" w:cs="Arial"/>
          <w:sz w:val="24"/>
          <w:szCs w:val="24"/>
          <w:lang w:eastAsia="es-ES"/>
        </w:rPr>
        <w:t xml:space="preserve">) </w:t>
      </w:r>
    </w:p>
    <w:p w:rsidR="00E5244C" w:rsidRPr="009E387B" w:rsidRDefault="0069368C" w:rsidP="009E387B">
      <w:pPr>
        <w:spacing w:after="0" w:line="288" w:lineRule="auto"/>
        <w:jc w:val="both"/>
        <w:rPr>
          <w:rFonts w:ascii="Arial" w:eastAsia="Times New Roman" w:hAnsi="Arial" w:cs="Arial"/>
          <w:sz w:val="24"/>
          <w:szCs w:val="24"/>
          <w:lang w:eastAsia="es-ES"/>
        </w:rPr>
      </w:pPr>
      <w:r w:rsidRPr="009E387B">
        <w:rPr>
          <w:rFonts w:ascii="Arial" w:eastAsia="Times New Roman" w:hAnsi="Arial" w:cs="Arial"/>
          <w:sz w:val="24"/>
          <w:szCs w:val="24"/>
          <w:lang w:eastAsia="es-ES"/>
        </w:rPr>
        <w:t xml:space="preserve">Acta Nro. 332 </w:t>
      </w:r>
    </w:p>
    <w:p w:rsidR="0069368C" w:rsidRPr="009E387B" w:rsidRDefault="0069368C" w:rsidP="009E387B">
      <w:pPr>
        <w:spacing w:after="0" w:line="288" w:lineRule="auto"/>
        <w:jc w:val="both"/>
        <w:rPr>
          <w:rFonts w:ascii="Arial" w:eastAsia="Times New Roman" w:hAnsi="Arial" w:cs="Arial"/>
          <w:sz w:val="24"/>
          <w:szCs w:val="24"/>
          <w:lang w:eastAsia="es-ES"/>
        </w:rPr>
      </w:pPr>
      <w:r w:rsidRPr="009E387B">
        <w:rPr>
          <w:rFonts w:ascii="Arial" w:eastAsia="Times New Roman" w:hAnsi="Arial" w:cs="Arial"/>
          <w:sz w:val="24"/>
          <w:szCs w:val="24"/>
          <w:lang w:eastAsia="es-ES"/>
        </w:rPr>
        <w:t xml:space="preserve">Hora: 2:04 p.m. </w:t>
      </w:r>
    </w:p>
    <w:p w:rsidR="0069368C" w:rsidRPr="009E387B" w:rsidRDefault="0069368C" w:rsidP="009E387B">
      <w:pPr>
        <w:spacing w:after="0" w:line="288" w:lineRule="auto"/>
        <w:jc w:val="both"/>
        <w:rPr>
          <w:rFonts w:ascii="Arial" w:eastAsia="Times New Roman" w:hAnsi="Arial" w:cs="Arial"/>
          <w:sz w:val="24"/>
          <w:szCs w:val="24"/>
          <w:lang w:eastAsia="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629"/>
      </w:tblGrid>
      <w:tr w:rsidR="00E5244C" w:rsidRPr="009E387B" w:rsidTr="009E387B">
        <w:tc>
          <w:tcPr>
            <w:tcW w:w="311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Radicación</w:t>
            </w:r>
          </w:p>
        </w:tc>
        <w:tc>
          <w:tcPr>
            <w:tcW w:w="5629" w:type="dxa"/>
          </w:tcPr>
          <w:p w:rsidR="00E5244C" w:rsidRPr="009E387B" w:rsidRDefault="00FD59E9"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66001 60 00 035 2013 01185 01</w:t>
            </w:r>
          </w:p>
        </w:tc>
      </w:tr>
      <w:tr w:rsidR="00E5244C" w:rsidRPr="009E387B" w:rsidTr="009E387B">
        <w:tc>
          <w:tcPr>
            <w:tcW w:w="311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 xml:space="preserve">Sentenciado </w:t>
            </w:r>
          </w:p>
        </w:tc>
        <w:tc>
          <w:tcPr>
            <w:tcW w:w="5629" w:type="dxa"/>
          </w:tcPr>
          <w:p w:rsidR="00E5244C" w:rsidRPr="009E387B" w:rsidRDefault="007951D4" w:rsidP="009E387B">
            <w:pPr>
              <w:spacing w:after="0" w:line="240" w:lineRule="auto"/>
              <w:jc w:val="both"/>
              <w:rPr>
                <w:rFonts w:ascii="Arial" w:eastAsia="Times New Roman" w:hAnsi="Arial" w:cs="Arial"/>
                <w:szCs w:val="24"/>
                <w:lang w:eastAsia="es-ES"/>
              </w:rPr>
            </w:pPr>
            <w:proofErr w:type="spellStart"/>
            <w:r>
              <w:rPr>
                <w:rFonts w:ascii="Arial" w:eastAsia="Times New Roman" w:hAnsi="Arial" w:cs="Arial"/>
                <w:szCs w:val="24"/>
                <w:lang w:eastAsia="es-ES"/>
              </w:rPr>
              <w:t>JAMV</w:t>
            </w:r>
            <w:proofErr w:type="spellEnd"/>
          </w:p>
        </w:tc>
      </w:tr>
      <w:tr w:rsidR="00E5244C" w:rsidRPr="009E387B" w:rsidTr="009E387B">
        <w:tc>
          <w:tcPr>
            <w:tcW w:w="311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Delito</w:t>
            </w:r>
          </w:p>
        </w:tc>
        <w:tc>
          <w:tcPr>
            <w:tcW w:w="5629" w:type="dxa"/>
          </w:tcPr>
          <w:p w:rsidR="00E5244C" w:rsidRPr="009E387B" w:rsidRDefault="008A2896"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Hurto calificado</w:t>
            </w:r>
          </w:p>
        </w:tc>
      </w:tr>
      <w:tr w:rsidR="00E5244C" w:rsidRPr="009E387B" w:rsidTr="009E387B">
        <w:tc>
          <w:tcPr>
            <w:tcW w:w="311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 xml:space="preserve">Juzgado de conocimiento </w:t>
            </w:r>
          </w:p>
        </w:tc>
        <w:tc>
          <w:tcPr>
            <w:tcW w:w="5629" w:type="dxa"/>
          </w:tcPr>
          <w:p w:rsidR="00E5244C" w:rsidRPr="009E387B" w:rsidRDefault="008A2896"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Juzgado Primero Penal Municipal de Conocimiento de Pereira</w:t>
            </w:r>
          </w:p>
        </w:tc>
      </w:tr>
      <w:tr w:rsidR="00E5244C" w:rsidRPr="009E387B" w:rsidTr="009E387B">
        <w:trPr>
          <w:trHeight w:val="540"/>
        </w:trPr>
        <w:tc>
          <w:tcPr>
            <w:tcW w:w="311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eastAsia="Times New Roman" w:hAnsi="Arial" w:cs="Arial"/>
                <w:szCs w:val="24"/>
                <w:lang w:eastAsia="es-ES"/>
              </w:rPr>
              <w:t xml:space="preserve">Asunto a decidir </w:t>
            </w:r>
          </w:p>
        </w:tc>
        <w:tc>
          <w:tcPr>
            <w:tcW w:w="5629" w:type="dxa"/>
          </w:tcPr>
          <w:p w:rsidR="00E5244C" w:rsidRPr="009E387B" w:rsidRDefault="00E5244C" w:rsidP="009E387B">
            <w:pPr>
              <w:spacing w:after="0" w:line="240" w:lineRule="auto"/>
              <w:jc w:val="both"/>
              <w:rPr>
                <w:rFonts w:ascii="Arial" w:eastAsia="Times New Roman" w:hAnsi="Arial" w:cs="Arial"/>
                <w:szCs w:val="24"/>
                <w:lang w:eastAsia="es-ES"/>
              </w:rPr>
            </w:pPr>
            <w:r w:rsidRPr="009E387B">
              <w:rPr>
                <w:rFonts w:ascii="Arial" w:hAnsi="Arial" w:cs="Arial"/>
                <w:szCs w:val="24"/>
                <w:lang w:eastAsia="es-ES"/>
              </w:rPr>
              <w:t>Recurso de apelación contra sentencia de primera instancia</w:t>
            </w:r>
            <w:r w:rsidR="008A2896" w:rsidRPr="009E387B">
              <w:rPr>
                <w:rFonts w:ascii="Arial" w:hAnsi="Arial" w:cs="Arial"/>
                <w:szCs w:val="24"/>
                <w:lang w:eastAsia="es-ES"/>
              </w:rPr>
              <w:t xml:space="preserve"> del 10 de diciembre de 2013</w:t>
            </w:r>
          </w:p>
        </w:tc>
      </w:tr>
    </w:tbl>
    <w:p w:rsidR="00E5244C" w:rsidRPr="009E387B" w:rsidRDefault="00E5244C" w:rsidP="009E387B">
      <w:pPr>
        <w:spacing w:after="0" w:line="288" w:lineRule="auto"/>
        <w:jc w:val="both"/>
        <w:rPr>
          <w:rFonts w:ascii="Arial" w:eastAsia="Times New Roman" w:hAnsi="Arial" w:cs="Arial"/>
          <w:sz w:val="24"/>
          <w:szCs w:val="24"/>
          <w:lang w:eastAsia="es-ES"/>
        </w:rPr>
      </w:pPr>
    </w:p>
    <w:p w:rsidR="00E5244C" w:rsidRPr="009E387B" w:rsidRDefault="00E5244C" w:rsidP="009E387B">
      <w:pPr>
        <w:pStyle w:val="Sinespaciado"/>
        <w:spacing w:line="288" w:lineRule="auto"/>
        <w:jc w:val="center"/>
        <w:rPr>
          <w:rFonts w:ascii="Arial" w:hAnsi="Arial" w:cs="Arial"/>
          <w:sz w:val="24"/>
          <w:szCs w:val="24"/>
        </w:rPr>
      </w:pPr>
    </w:p>
    <w:p w:rsidR="00E5244C" w:rsidRPr="009E387B" w:rsidRDefault="00E5244C" w:rsidP="009E387B">
      <w:pPr>
        <w:pStyle w:val="Sinespaciado"/>
        <w:numPr>
          <w:ilvl w:val="0"/>
          <w:numId w:val="6"/>
        </w:numPr>
        <w:spacing w:line="288" w:lineRule="auto"/>
        <w:jc w:val="center"/>
        <w:rPr>
          <w:rFonts w:ascii="Arial" w:hAnsi="Arial" w:cs="Arial"/>
          <w:b/>
          <w:sz w:val="24"/>
          <w:szCs w:val="24"/>
        </w:rPr>
      </w:pPr>
      <w:r w:rsidRPr="009E387B">
        <w:rPr>
          <w:rFonts w:ascii="Arial" w:hAnsi="Arial" w:cs="Arial"/>
          <w:b/>
          <w:sz w:val="24"/>
          <w:szCs w:val="24"/>
        </w:rPr>
        <w:t>ASUNTO A DECIDIR</w:t>
      </w:r>
    </w:p>
    <w:p w:rsidR="00AB217C" w:rsidRPr="009E387B" w:rsidRDefault="00AB217C" w:rsidP="009E387B">
      <w:pPr>
        <w:pStyle w:val="Sinespaciado"/>
        <w:spacing w:line="288" w:lineRule="auto"/>
        <w:jc w:val="both"/>
        <w:rPr>
          <w:rFonts w:ascii="Arial" w:hAnsi="Arial" w:cs="Arial"/>
          <w:sz w:val="24"/>
          <w:szCs w:val="24"/>
        </w:rPr>
      </w:pPr>
    </w:p>
    <w:p w:rsidR="00456420" w:rsidRPr="009E387B" w:rsidRDefault="0095361C"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Corresponde a la Sala desatar el recurso de apelación interpuesto por la defensa en contra de la sentencia proferida por el </w:t>
      </w:r>
      <w:r w:rsidR="008A2896" w:rsidRPr="009E387B">
        <w:rPr>
          <w:rFonts w:ascii="Arial" w:hAnsi="Arial" w:cs="Arial"/>
          <w:sz w:val="24"/>
          <w:szCs w:val="24"/>
        </w:rPr>
        <w:t>Juzgado Primero Penal Municipal de Conocimiento de Pereira</w:t>
      </w:r>
      <w:r w:rsidR="00BA70CD" w:rsidRPr="009E387B">
        <w:rPr>
          <w:rFonts w:ascii="Arial" w:hAnsi="Arial" w:cs="Arial"/>
          <w:sz w:val="24"/>
          <w:szCs w:val="24"/>
        </w:rPr>
        <w:t xml:space="preserve"> - Risaralda</w:t>
      </w:r>
      <w:r w:rsidRPr="009E387B">
        <w:rPr>
          <w:rFonts w:ascii="Arial" w:hAnsi="Arial" w:cs="Arial"/>
          <w:sz w:val="24"/>
          <w:szCs w:val="24"/>
        </w:rPr>
        <w:t xml:space="preserve">, en la que se condenó a </w:t>
      </w:r>
      <w:proofErr w:type="spellStart"/>
      <w:r w:rsidR="007951D4">
        <w:rPr>
          <w:rFonts w:ascii="Arial" w:hAnsi="Arial" w:cs="Arial"/>
          <w:sz w:val="24"/>
          <w:szCs w:val="24"/>
        </w:rPr>
        <w:t>JAMV</w:t>
      </w:r>
      <w:proofErr w:type="spellEnd"/>
      <w:r w:rsidRPr="009E387B">
        <w:rPr>
          <w:rFonts w:ascii="Arial" w:hAnsi="Arial" w:cs="Arial"/>
          <w:sz w:val="24"/>
          <w:szCs w:val="24"/>
        </w:rPr>
        <w:t xml:space="preserve"> por el delito de </w:t>
      </w:r>
      <w:r w:rsidR="008A2896" w:rsidRPr="009E387B">
        <w:rPr>
          <w:rFonts w:ascii="Arial" w:hAnsi="Arial" w:cs="Arial"/>
          <w:sz w:val="24"/>
          <w:szCs w:val="24"/>
        </w:rPr>
        <w:t>Hurto calificado</w:t>
      </w:r>
      <w:r w:rsidRPr="009E387B">
        <w:rPr>
          <w:rFonts w:ascii="Arial" w:hAnsi="Arial" w:cs="Arial"/>
          <w:sz w:val="24"/>
          <w:szCs w:val="24"/>
        </w:rPr>
        <w:t>.</w:t>
      </w:r>
    </w:p>
    <w:p w:rsidR="0095361C" w:rsidRPr="009E387B" w:rsidRDefault="0095361C" w:rsidP="009E387B">
      <w:pPr>
        <w:pStyle w:val="Sinespaciado"/>
        <w:spacing w:line="288" w:lineRule="auto"/>
        <w:jc w:val="both"/>
        <w:rPr>
          <w:rFonts w:ascii="Arial" w:hAnsi="Arial" w:cs="Arial"/>
          <w:sz w:val="24"/>
          <w:szCs w:val="24"/>
        </w:rPr>
      </w:pPr>
    </w:p>
    <w:p w:rsidR="00AB217C" w:rsidRPr="009E387B" w:rsidRDefault="00AB217C" w:rsidP="009E387B">
      <w:pPr>
        <w:pStyle w:val="Sinespaciado"/>
        <w:spacing w:line="288" w:lineRule="auto"/>
        <w:jc w:val="center"/>
        <w:rPr>
          <w:rFonts w:ascii="Arial" w:hAnsi="Arial" w:cs="Arial"/>
          <w:b/>
          <w:sz w:val="24"/>
          <w:szCs w:val="24"/>
        </w:rPr>
      </w:pPr>
      <w:r w:rsidRPr="009E387B">
        <w:rPr>
          <w:rFonts w:ascii="Arial" w:hAnsi="Arial" w:cs="Arial"/>
          <w:b/>
          <w:sz w:val="24"/>
          <w:szCs w:val="24"/>
        </w:rPr>
        <w:t>2. ANTECEDENTES</w:t>
      </w:r>
    </w:p>
    <w:p w:rsidR="00AB217C" w:rsidRPr="009E387B" w:rsidRDefault="00AB217C" w:rsidP="009E387B">
      <w:pPr>
        <w:pStyle w:val="Sinespaciado"/>
        <w:spacing w:line="288" w:lineRule="auto"/>
        <w:jc w:val="both"/>
        <w:rPr>
          <w:rFonts w:ascii="Arial" w:hAnsi="Arial" w:cs="Arial"/>
          <w:sz w:val="24"/>
          <w:szCs w:val="24"/>
        </w:rPr>
      </w:pPr>
    </w:p>
    <w:p w:rsidR="0095361C" w:rsidRPr="009E387B" w:rsidRDefault="0095361C" w:rsidP="009E387B">
      <w:pPr>
        <w:pStyle w:val="Sinespaciado"/>
        <w:spacing w:line="288" w:lineRule="auto"/>
        <w:jc w:val="both"/>
        <w:rPr>
          <w:rFonts w:ascii="Arial" w:hAnsi="Arial" w:cs="Arial"/>
          <w:sz w:val="24"/>
          <w:szCs w:val="24"/>
        </w:rPr>
      </w:pPr>
      <w:r w:rsidRPr="009E387B">
        <w:rPr>
          <w:rFonts w:ascii="Arial" w:hAnsi="Arial" w:cs="Arial"/>
          <w:sz w:val="24"/>
          <w:szCs w:val="24"/>
        </w:rPr>
        <w:t>2.1 Según el escrito de acusación</w:t>
      </w:r>
      <w:r w:rsidR="00BF6B74" w:rsidRPr="009E387B">
        <w:rPr>
          <w:rStyle w:val="Refdenotaalpie"/>
          <w:rFonts w:ascii="Arial" w:hAnsi="Arial" w:cs="Arial"/>
          <w:sz w:val="24"/>
          <w:szCs w:val="24"/>
        </w:rPr>
        <w:footnoteReference w:id="1"/>
      </w:r>
      <w:r w:rsidRPr="009E387B">
        <w:rPr>
          <w:rFonts w:ascii="Arial" w:hAnsi="Arial" w:cs="Arial"/>
          <w:sz w:val="24"/>
          <w:szCs w:val="24"/>
        </w:rPr>
        <w:t xml:space="preserve"> el supuesto fáctico es el siguiente: </w:t>
      </w:r>
    </w:p>
    <w:p w:rsidR="0095361C" w:rsidRPr="009E387B" w:rsidRDefault="0095361C" w:rsidP="009E387B">
      <w:pPr>
        <w:pStyle w:val="Sinespaciado"/>
        <w:spacing w:line="288" w:lineRule="auto"/>
        <w:ind w:left="567" w:right="566"/>
        <w:jc w:val="both"/>
        <w:rPr>
          <w:rFonts w:ascii="Arial" w:hAnsi="Arial" w:cs="Arial"/>
          <w:i/>
          <w:sz w:val="24"/>
          <w:szCs w:val="24"/>
        </w:rPr>
      </w:pPr>
    </w:p>
    <w:p w:rsidR="00BF6B74" w:rsidRPr="009E387B" w:rsidRDefault="00F01D3B" w:rsidP="009E387B">
      <w:pPr>
        <w:pStyle w:val="Sinespaciado"/>
        <w:ind w:left="426" w:right="418"/>
        <w:jc w:val="both"/>
        <w:rPr>
          <w:rFonts w:ascii="Arial" w:hAnsi="Arial" w:cs="Arial"/>
          <w:i/>
          <w:szCs w:val="24"/>
        </w:rPr>
      </w:pPr>
      <w:r w:rsidRPr="009E387B">
        <w:rPr>
          <w:rFonts w:ascii="Arial" w:hAnsi="Arial" w:cs="Arial"/>
          <w:i/>
          <w:szCs w:val="24"/>
        </w:rPr>
        <w:t>“</w:t>
      </w:r>
      <w:r w:rsidR="00BF6B74" w:rsidRPr="009E387B">
        <w:rPr>
          <w:rFonts w:ascii="Arial" w:hAnsi="Arial" w:cs="Arial"/>
          <w:i/>
          <w:szCs w:val="24"/>
        </w:rPr>
        <w:t xml:space="preserve">Tuvieron ocurrencia el 8 de marzo de 2013, aproximadamente a eso de las 7.10 de la mañana, cuando fue capturado </w:t>
      </w:r>
      <w:proofErr w:type="spellStart"/>
      <w:r w:rsidR="007951D4">
        <w:rPr>
          <w:rFonts w:ascii="Arial" w:hAnsi="Arial" w:cs="Arial"/>
          <w:i/>
          <w:szCs w:val="24"/>
        </w:rPr>
        <w:t>JAMV</w:t>
      </w:r>
      <w:proofErr w:type="spellEnd"/>
      <w:r w:rsidR="00BF6B74" w:rsidRPr="009E387B">
        <w:rPr>
          <w:rFonts w:ascii="Arial" w:hAnsi="Arial" w:cs="Arial"/>
          <w:i/>
          <w:szCs w:val="24"/>
        </w:rPr>
        <w:t xml:space="preserve">, en la carrera 12 nro. 7 e 36 Barrio </w:t>
      </w:r>
      <w:proofErr w:type="spellStart"/>
      <w:r w:rsidR="00BF6B74" w:rsidRPr="009E387B">
        <w:rPr>
          <w:rFonts w:ascii="Arial" w:hAnsi="Arial" w:cs="Arial"/>
          <w:i/>
          <w:szCs w:val="24"/>
        </w:rPr>
        <w:t>Pizamo</w:t>
      </w:r>
      <w:proofErr w:type="spellEnd"/>
      <w:r w:rsidR="00BF6B74" w:rsidRPr="009E387B">
        <w:rPr>
          <w:rFonts w:ascii="Arial" w:hAnsi="Arial" w:cs="Arial"/>
          <w:i/>
          <w:szCs w:val="24"/>
        </w:rPr>
        <w:t xml:space="preserve">, de esta ciudad; quien momentos previos y con violencia ejercida sobre el retrovisor del lado izquierdo del vehículo </w:t>
      </w:r>
      <w:r w:rsidR="000F3485" w:rsidRPr="009E387B">
        <w:rPr>
          <w:rFonts w:ascii="Arial" w:hAnsi="Arial" w:cs="Arial"/>
          <w:i/>
          <w:szCs w:val="24"/>
        </w:rPr>
        <w:t>M</w:t>
      </w:r>
      <w:r w:rsidR="00BF6B74" w:rsidRPr="009E387B">
        <w:rPr>
          <w:rFonts w:ascii="Arial" w:hAnsi="Arial" w:cs="Arial"/>
          <w:i/>
          <w:szCs w:val="24"/>
        </w:rPr>
        <w:t>azda BT 50 de placas PFK852, como quiera que dañ</w:t>
      </w:r>
      <w:r w:rsidR="000F3485" w:rsidRPr="009E387B">
        <w:rPr>
          <w:rFonts w:ascii="Arial" w:hAnsi="Arial" w:cs="Arial"/>
          <w:i/>
          <w:szCs w:val="24"/>
        </w:rPr>
        <w:t>ó</w:t>
      </w:r>
      <w:r w:rsidR="00BF6B74" w:rsidRPr="009E387B">
        <w:rPr>
          <w:rFonts w:ascii="Arial" w:hAnsi="Arial" w:cs="Arial"/>
          <w:i/>
          <w:szCs w:val="24"/>
        </w:rPr>
        <w:t xml:space="preserve"> el protector que cubre el espejo, se </w:t>
      </w:r>
      <w:r w:rsidR="000F3485" w:rsidRPr="009E387B">
        <w:rPr>
          <w:rFonts w:ascii="Arial" w:hAnsi="Arial" w:cs="Arial"/>
          <w:i/>
          <w:szCs w:val="24"/>
        </w:rPr>
        <w:t>logró</w:t>
      </w:r>
      <w:r w:rsidR="00BF6B74" w:rsidRPr="009E387B">
        <w:rPr>
          <w:rFonts w:ascii="Arial" w:hAnsi="Arial" w:cs="Arial"/>
          <w:i/>
          <w:szCs w:val="24"/>
        </w:rPr>
        <w:t xml:space="preserve"> apoderar del mismo, elemento avaluado en la suma de $80.000. El rodante es de propiedad del señor LUIS </w:t>
      </w:r>
      <w:proofErr w:type="spellStart"/>
      <w:r w:rsidR="00BF6B74" w:rsidRPr="009E387B">
        <w:rPr>
          <w:rFonts w:ascii="Arial" w:hAnsi="Arial" w:cs="Arial"/>
          <w:i/>
          <w:szCs w:val="24"/>
        </w:rPr>
        <w:t>ARBEY</w:t>
      </w:r>
      <w:proofErr w:type="spellEnd"/>
      <w:r w:rsidR="00BF6B74" w:rsidRPr="009E387B">
        <w:rPr>
          <w:rFonts w:ascii="Arial" w:hAnsi="Arial" w:cs="Arial"/>
          <w:i/>
          <w:szCs w:val="24"/>
        </w:rPr>
        <w:t xml:space="preserve"> CARDONA CAICEDO.</w:t>
      </w:r>
    </w:p>
    <w:p w:rsidR="000F3485" w:rsidRPr="009E387B" w:rsidRDefault="000F3485" w:rsidP="009E387B">
      <w:pPr>
        <w:pStyle w:val="Sinespaciado"/>
        <w:ind w:left="426" w:right="418"/>
        <w:jc w:val="both"/>
        <w:rPr>
          <w:rFonts w:ascii="Arial" w:hAnsi="Arial" w:cs="Arial"/>
          <w:i/>
          <w:szCs w:val="24"/>
        </w:rPr>
      </w:pPr>
    </w:p>
    <w:p w:rsidR="00BF6B74" w:rsidRPr="009E387B" w:rsidRDefault="00BF6B74" w:rsidP="009E387B">
      <w:pPr>
        <w:pStyle w:val="Sinespaciado"/>
        <w:ind w:left="426" w:right="418"/>
        <w:jc w:val="both"/>
        <w:rPr>
          <w:rFonts w:ascii="Arial" w:hAnsi="Arial" w:cs="Arial"/>
          <w:i/>
          <w:szCs w:val="24"/>
        </w:rPr>
      </w:pPr>
      <w:r w:rsidRPr="009E387B">
        <w:rPr>
          <w:rFonts w:ascii="Arial" w:hAnsi="Arial" w:cs="Arial"/>
          <w:i/>
          <w:szCs w:val="24"/>
        </w:rPr>
        <w:t xml:space="preserve">Con los elementos materiales probatorios legalmente allegados a la investigación, el despacho fiscal 44 en turno URI el pasado 9 de marzo de 2013 ante el juzgado único promiscuo municipal de </w:t>
      </w:r>
      <w:proofErr w:type="spellStart"/>
      <w:r w:rsidRPr="009E387B">
        <w:rPr>
          <w:rFonts w:ascii="Arial" w:hAnsi="Arial" w:cs="Arial"/>
          <w:i/>
          <w:szCs w:val="24"/>
        </w:rPr>
        <w:t>Gu</w:t>
      </w:r>
      <w:r w:rsidR="000F3485" w:rsidRPr="009E387B">
        <w:rPr>
          <w:rFonts w:ascii="Arial" w:hAnsi="Arial" w:cs="Arial"/>
          <w:i/>
          <w:szCs w:val="24"/>
        </w:rPr>
        <w:t>á</w:t>
      </w:r>
      <w:r w:rsidRPr="009E387B">
        <w:rPr>
          <w:rFonts w:ascii="Arial" w:hAnsi="Arial" w:cs="Arial"/>
          <w:i/>
          <w:szCs w:val="24"/>
        </w:rPr>
        <w:t>tica</w:t>
      </w:r>
      <w:proofErr w:type="spellEnd"/>
      <w:r w:rsidRPr="009E387B">
        <w:rPr>
          <w:rFonts w:ascii="Arial" w:hAnsi="Arial" w:cs="Arial"/>
          <w:i/>
          <w:szCs w:val="24"/>
        </w:rPr>
        <w:t xml:space="preserve"> Risaralda, con función de control de garantías en esta ciudad, llevo a cabo audiencia preliminar de legalización de captura, formulación de imputación y medida de aseguramiento, y en tal sentido se </w:t>
      </w:r>
      <w:r w:rsidR="000F3485" w:rsidRPr="009E387B">
        <w:rPr>
          <w:rFonts w:ascii="Arial" w:hAnsi="Arial" w:cs="Arial"/>
          <w:i/>
          <w:szCs w:val="24"/>
        </w:rPr>
        <w:t>declaró</w:t>
      </w:r>
      <w:r w:rsidRPr="009E387B">
        <w:rPr>
          <w:rFonts w:ascii="Arial" w:hAnsi="Arial" w:cs="Arial"/>
          <w:i/>
          <w:szCs w:val="24"/>
        </w:rPr>
        <w:t xml:space="preserve"> legal la captura, y se elevaron cargos a </w:t>
      </w:r>
      <w:proofErr w:type="spellStart"/>
      <w:r w:rsidR="007951D4">
        <w:rPr>
          <w:rFonts w:ascii="Arial" w:hAnsi="Arial" w:cs="Arial"/>
          <w:i/>
          <w:szCs w:val="24"/>
        </w:rPr>
        <w:t>JAMV</w:t>
      </w:r>
      <w:proofErr w:type="spellEnd"/>
      <w:r w:rsidRPr="009E387B">
        <w:rPr>
          <w:rFonts w:ascii="Arial" w:hAnsi="Arial" w:cs="Arial"/>
          <w:i/>
          <w:szCs w:val="24"/>
        </w:rPr>
        <w:t xml:space="preserve">, como autor de </w:t>
      </w:r>
      <w:r w:rsidR="000F3485" w:rsidRPr="009E387B">
        <w:rPr>
          <w:rFonts w:ascii="Arial" w:hAnsi="Arial" w:cs="Arial"/>
          <w:i/>
          <w:szCs w:val="24"/>
        </w:rPr>
        <w:t>l</w:t>
      </w:r>
      <w:r w:rsidRPr="009E387B">
        <w:rPr>
          <w:rFonts w:ascii="Arial" w:hAnsi="Arial" w:cs="Arial"/>
          <w:i/>
          <w:szCs w:val="24"/>
        </w:rPr>
        <w:t xml:space="preserve">a conducta punible de Hurto Calificado, reglada dentro del Libro segundo, título </w:t>
      </w:r>
      <w:proofErr w:type="spellStart"/>
      <w:r w:rsidRPr="009E387B">
        <w:rPr>
          <w:rFonts w:ascii="Arial" w:hAnsi="Arial" w:cs="Arial"/>
          <w:i/>
          <w:szCs w:val="24"/>
        </w:rPr>
        <w:t>V</w:t>
      </w:r>
      <w:r w:rsidR="000F3485" w:rsidRPr="009E387B">
        <w:rPr>
          <w:rFonts w:ascii="Arial" w:hAnsi="Arial" w:cs="Arial"/>
          <w:i/>
          <w:szCs w:val="24"/>
        </w:rPr>
        <w:t>I</w:t>
      </w:r>
      <w:r w:rsidRPr="009E387B">
        <w:rPr>
          <w:rFonts w:ascii="Arial" w:hAnsi="Arial" w:cs="Arial"/>
          <w:i/>
          <w:szCs w:val="24"/>
        </w:rPr>
        <w:t>l</w:t>
      </w:r>
      <w:proofErr w:type="spellEnd"/>
      <w:r w:rsidRPr="009E387B">
        <w:rPr>
          <w:rFonts w:ascii="Arial" w:hAnsi="Arial" w:cs="Arial"/>
          <w:i/>
          <w:szCs w:val="24"/>
        </w:rPr>
        <w:t xml:space="preserve">, capítulo I, </w:t>
      </w:r>
      <w:r w:rsidR="00D323BD" w:rsidRPr="009E387B">
        <w:rPr>
          <w:rFonts w:ascii="Arial" w:hAnsi="Arial" w:cs="Arial"/>
          <w:i/>
          <w:szCs w:val="24"/>
        </w:rPr>
        <w:t>artículo</w:t>
      </w:r>
      <w:r w:rsidRPr="009E387B">
        <w:rPr>
          <w:rFonts w:ascii="Arial" w:hAnsi="Arial" w:cs="Arial"/>
          <w:i/>
          <w:szCs w:val="24"/>
        </w:rPr>
        <w:t xml:space="preserve"> 239 , 240 inciso 1o. numeral 1o “con violencia sobre las cosas”, </w:t>
      </w:r>
      <w:proofErr w:type="spellStart"/>
      <w:r w:rsidRPr="009E387B">
        <w:rPr>
          <w:rFonts w:ascii="Arial" w:hAnsi="Arial" w:cs="Arial"/>
          <w:i/>
          <w:szCs w:val="24"/>
        </w:rPr>
        <w:t>codificaturas</w:t>
      </w:r>
      <w:proofErr w:type="spellEnd"/>
      <w:r w:rsidRPr="009E387B">
        <w:rPr>
          <w:rFonts w:ascii="Arial" w:hAnsi="Arial" w:cs="Arial"/>
          <w:i/>
          <w:szCs w:val="24"/>
        </w:rPr>
        <w:t xml:space="preserve"> del código penal., quien luego de escuchar los cargos decide libre, voluntaria y espontáneamente ACEPTARLOS. Se </w:t>
      </w:r>
      <w:r w:rsidR="000F3485" w:rsidRPr="009E387B">
        <w:rPr>
          <w:rFonts w:ascii="Arial" w:hAnsi="Arial" w:cs="Arial"/>
          <w:i/>
          <w:szCs w:val="24"/>
        </w:rPr>
        <w:t>retiró</w:t>
      </w:r>
      <w:r w:rsidRPr="009E387B">
        <w:rPr>
          <w:rFonts w:ascii="Arial" w:hAnsi="Arial" w:cs="Arial"/>
          <w:i/>
          <w:szCs w:val="24"/>
        </w:rPr>
        <w:t xml:space="preserve"> solicitud de medida de aseguramiento de detención preventiva y se </w:t>
      </w:r>
      <w:r w:rsidR="000F3485" w:rsidRPr="009E387B">
        <w:rPr>
          <w:rFonts w:ascii="Arial" w:hAnsi="Arial" w:cs="Arial"/>
          <w:i/>
          <w:szCs w:val="24"/>
        </w:rPr>
        <w:t>ordenó</w:t>
      </w:r>
      <w:r w:rsidRPr="009E387B">
        <w:rPr>
          <w:rFonts w:ascii="Arial" w:hAnsi="Arial" w:cs="Arial"/>
          <w:i/>
          <w:szCs w:val="24"/>
        </w:rPr>
        <w:t xml:space="preserve"> libertad inmediata.</w:t>
      </w:r>
    </w:p>
    <w:p w:rsidR="000F3485" w:rsidRPr="009E387B" w:rsidRDefault="000F3485" w:rsidP="009E387B">
      <w:pPr>
        <w:pStyle w:val="Sinespaciado"/>
        <w:ind w:left="426" w:right="418"/>
        <w:jc w:val="both"/>
        <w:rPr>
          <w:rFonts w:ascii="Arial" w:hAnsi="Arial" w:cs="Arial"/>
          <w:i/>
          <w:szCs w:val="24"/>
        </w:rPr>
      </w:pPr>
    </w:p>
    <w:p w:rsidR="00BF6B74" w:rsidRPr="009E387B" w:rsidRDefault="00BF6B74" w:rsidP="009E387B">
      <w:pPr>
        <w:pStyle w:val="Sinespaciado"/>
        <w:ind w:left="426" w:right="418"/>
        <w:jc w:val="both"/>
        <w:rPr>
          <w:rFonts w:ascii="Arial" w:hAnsi="Arial" w:cs="Arial"/>
          <w:i/>
          <w:szCs w:val="24"/>
        </w:rPr>
      </w:pPr>
      <w:r w:rsidRPr="009E387B">
        <w:rPr>
          <w:rFonts w:ascii="Arial" w:hAnsi="Arial" w:cs="Arial"/>
          <w:i/>
          <w:szCs w:val="24"/>
        </w:rPr>
        <w:t xml:space="preserve">En consecuencia por razón de la aceptación de la imputación de </w:t>
      </w:r>
      <w:proofErr w:type="spellStart"/>
      <w:r w:rsidR="007951D4">
        <w:rPr>
          <w:rFonts w:ascii="Arial" w:hAnsi="Arial" w:cs="Arial"/>
          <w:i/>
          <w:szCs w:val="24"/>
        </w:rPr>
        <w:t>JAMV</w:t>
      </w:r>
      <w:proofErr w:type="spellEnd"/>
      <w:r w:rsidRPr="009E387B">
        <w:rPr>
          <w:rFonts w:ascii="Arial" w:hAnsi="Arial" w:cs="Arial"/>
          <w:i/>
          <w:szCs w:val="24"/>
        </w:rPr>
        <w:t xml:space="preserve">, de conformidad con lo preceptuado en el canon 293 de nuestro estatuto adjetivo penal, lo actuado debe entenderse como acusación, tal como lo ha advertido la sala de casación penal de la Corte Suprema de Justicia en ponencia del Magistrado ALFREDO </w:t>
      </w:r>
      <w:r w:rsidR="000F3485" w:rsidRPr="009E387B">
        <w:rPr>
          <w:rFonts w:ascii="Arial" w:hAnsi="Arial" w:cs="Arial"/>
          <w:i/>
          <w:szCs w:val="24"/>
        </w:rPr>
        <w:t>GÓMEZ</w:t>
      </w:r>
      <w:r w:rsidRPr="009E387B">
        <w:rPr>
          <w:rFonts w:ascii="Arial" w:hAnsi="Arial" w:cs="Arial"/>
          <w:i/>
          <w:szCs w:val="24"/>
        </w:rPr>
        <w:t xml:space="preserve"> QUINTERO del 31 de julio de 2008., por lo que se remite al señor juez penal de conocimiento </w:t>
      </w:r>
      <w:r w:rsidR="000F3485" w:rsidRPr="009E387B">
        <w:rPr>
          <w:rFonts w:ascii="Arial" w:hAnsi="Arial" w:cs="Arial"/>
          <w:i/>
          <w:szCs w:val="24"/>
        </w:rPr>
        <w:t>(r)</w:t>
      </w:r>
      <w:r w:rsidRPr="009E387B">
        <w:rPr>
          <w:rFonts w:ascii="Arial" w:hAnsi="Arial" w:cs="Arial"/>
          <w:i/>
          <w:szCs w:val="24"/>
        </w:rPr>
        <w:t xml:space="preserve"> para que se sirva fijar fecha y hora para llevar a cabo audiencia de individualización de pena y sentencia, y se sostiene la acusación en calidad de autor y a </w:t>
      </w:r>
      <w:r w:rsidR="000F3485" w:rsidRPr="009E387B">
        <w:rPr>
          <w:rFonts w:ascii="Arial" w:hAnsi="Arial" w:cs="Arial"/>
          <w:i/>
          <w:szCs w:val="24"/>
        </w:rPr>
        <w:t>título</w:t>
      </w:r>
      <w:r w:rsidRPr="009E387B">
        <w:rPr>
          <w:rFonts w:ascii="Arial" w:hAnsi="Arial" w:cs="Arial"/>
          <w:i/>
          <w:szCs w:val="24"/>
        </w:rPr>
        <w:t xml:space="preserve"> de dolo, por el cargo de Hurto Calificado, </w:t>
      </w:r>
      <w:r w:rsidRPr="009E387B">
        <w:rPr>
          <w:rFonts w:ascii="Arial" w:hAnsi="Arial" w:cs="Arial"/>
          <w:i/>
          <w:szCs w:val="24"/>
        </w:rPr>
        <w:lastRenderedPageBreak/>
        <w:t xml:space="preserve">reglada dentro del Libro segundo, título </w:t>
      </w:r>
      <w:proofErr w:type="spellStart"/>
      <w:r w:rsidRPr="009E387B">
        <w:rPr>
          <w:rFonts w:ascii="Arial" w:hAnsi="Arial" w:cs="Arial"/>
          <w:i/>
          <w:szCs w:val="24"/>
        </w:rPr>
        <w:t>V</w:t>
      </w:r>
      <w:r w:rsidR="000F3485" w:rsidRPr="009E387B">
        <w:rPr>
          <w:rFonts w:ascii="Arial" w:hAnsi="Arial" w:cs="Arial"/>
          <w:i/>
          <w:szCs w:val="24"/>
        </w:rPr>
        <w:t>I</w:t>
      </w:r>
      <w:r w:rsidRPr="009E387B">
        <w:rPr>
          <w:rFonts w:ascii="Arial" w:hAnsi="Arial" w:cs="Arial"/>
          <w:i/>
          <w:szCs w:val="24"/>
        </w:rPr>
        <w:t>l</w:t>
      </w:r>
      <w:proofErr w:type="spellEnd"/>
      <w:r w:rsidRPr="009E387B">
        <w:rPr>
          <w:rFonts w:ascii="Arial" w:hAnsi="Arial" w:cs="Arial"/>
          <w:i/>
          <w:szCs w:val="24"/>
        </w:rPr>
        <w:t xml:space="preserve">, capítulo I, </w:t>
      </w:r>
      <w:r w:rsidR="00D323BD" w:rsidRPr="009E387B">
        <w:rPr>
          <w:rFonts w:ascii="Arial" w:hAnsi="Arial" w:cs="Arial"/>
          <w:i/>
          <w:szCs w:val="24"/>
        </w:rPr>
        <w:t>artículo</w:t>
      </w:r>
      <w:r w:rsidRPr="009E387B">
        <w:rPr>
          <w:rFonts w:ascii="Arial" w:hAnsi="Arial" w:cs="Arial"/>
          <w:i/>
          <w:szCs w:val="24"/>
        </w:rPr>
        <w:t xml:space="preserve"> 239 , 240 inciso 1o. numeral 1o “con violencia sobre las cosas”, </w:t>
      </w:r>
      <w:proofErr w:type="spellStart"/>
      <w:r w:rsidRPr="009E387B">
        <w:rPr>
          <w:rFonts w:ascii="Arial" w:hAnsi="Arial" w:cs="Arial"/>
          <w:i/>
          <w:szCs w:val="24"/>
        </w:rPr>
        <w:t>codificaturas</w:t>
      </w:r>
      <w:proofErr w:type="spellEnd"/>
      <w:r w:rsidRPr="009E387B">
        <w:rPr>
          <w:rFonts w:ascii="Arial" w:hAnsi="Arial" w:cs="Arial"/>
          <w:i/>
          <w:szCs w:val="24"/>
        </w:rPr>
        <w:t xml:space="preserve"> del código penal.”</w:t>
      </w:r>
    </w:p>
    <w:p w:rsidR="00BF6B74" w:rsidRPr="009E387B" w:rsidRDefault="00BF6B74" w:rsidP="009E387B">
      <w:pPr>
        <w:pStyle w:val="Sinespaciado"/>
        <w:spacing w:line="288" w:lineRule="auto"/>
        <w:ind w:left="567" w:right="566"/>
        <w:jc w:val="both"/>
        <w:rPr>
          <w:rFonts w:ascii="Arial" w:hAnsi="Arial" w:cs="Arial"/>
          <w:i/>
          <w:sz w:val="24"/>
          <w:szCs w:val="24"/>
        </w:rPr>
      </w:pPr>
    </w:p>
    <w:p w:rsidR="0095361C" w:rsidRPr="009E387B" w:rsidRDefault="0095361C"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2.2 </w:t>
      </w:r>
      <w:r w:rsidR="009D0936" w:rsidRPr="009E387B">
        <w:rPr>
          <w:rFonts w:ascii="Arial" w:hAnsi="Arial" w:cs="Arial"/>
          <w:sz w:val="24"/>
          <w:szCs w:val="24"/>
        </w:rPr>
        <w:t>La audiencia preliminar de formulación de imputación se llev</w:t>
      </w:r>
      <w:r w:rsidR="006F62C0" w:rsidRPr="009E387B">
        <w:rPr>
          <w:rFonts w:ascii="Arial" w:hAnsi="Arial" w:cs="Arial"/>
          <w:sz w:val="24"/>
          <w:szCs w:val="24"/>
        </w:rPr>
        <w:t>ó</w:t>
      </w:r>
      <w:r w:rsidR="009D0936" w:rsidRPr="009E387B">
        <w:rPr>
          <w:rFonts w:ascii="Arial" w:hAnsi="Arial" w:cs="Arial"/>
          <w:sz w:val="24"/>
          <w:szCs w:val="24"/>
        </w:rPr>
        <w:t xml:space="preserve"> a cabo ante el Juzgado </w:t>
      </w:r>
      <w:r w:rsidR="006F62C0" w:rsidRPr="009E387B">
        <w:rPr>
          <w:rFonts w:ascii="Arial" w:hAnsi="Arial" w:cs="Arial"/>
          <w:sz w:val="24"/>
          <w:szCs w:val="24"/>
        </w:rPr>
        <w:t>Único Promiscuo Municipal de</w:t>
      </w:r>
      <w:r w:rsidR="00335549" w:rsidRPr="009E387B">
        <w:rPr>
          <w:rFonts w:ascii="Arial" w:hAnsi="Arial" w:cs="Arial"/>
          <w:sz w:val="24"/>
          <w:szCs w:val="24"/>
        </w:rPr>
        <w:t xml:space="preserve"> </w:t>
      </w:r>
      <w:proofErr w:type="spellStart"/>
      <w:r w:rsidR="00335549" w:rsidRPr="009E387B">
        <w:rPr>
          <w:rFonts w:ascii="Arial" w:hAnsi="Arial" w:cs="Arial"/>
          <w:sz w:val="24"/>
          <w:szCs w:val="24"/>
        </w:rPr>
        <w:t>Guática</w:t>
      </w:r>
      <w:proofErr w:type="spellEnd"/>
      <w:r w:rsidR="00335549" w:rsidRPr="009E387B">
        <w:rPr>
          <w:rFonts w:ascii="Arial" w:hAnsi="Arial" w:cs="Arial"/>
          <w:sz w:val="24"/>
          <w:szCs w:val="24"/>
        </w:rPr>
        <w:t xml:space="preserve"> </w:t>
      </w:r>
      <w:r w:rsidR="006F62C0" w:rsidRPr="009E387B">
        <w:rPr>
          <w:rFonts w:ascii="Arial" w:hAnsi="Arial" w:cs="Arial"/>
          <w:sz w:val="24"/>
          <w:szCs w:val="24"/>
        </w:rPr>
        <w:t>- Risaralda</w:t>
      </w:r>
      <w:r w:rsidR="009D0936" w:rsidRPr="009E387B">
        <w:rPr>
          <w:rFonts w:ascii="Arial" w:hAnsi="Arial" w:cs="Arial"/>
          <w:sz w:val="24"/>
          <w:szCs w:val="24"/>
        </w:rPr>
        <w:t xml:space="preserve"> el </w:t>
      </w:r>
      <w:r w:rsidR="00335549" w:rsidRPr="009E387B">
        <w:rPr>
          <w:rFonts w:ascii="Arial" w:hAnsi="Arial" w:cs="Arial"/>
          <w:sz w:val="24"/>
          <w:szCs w:val="24"/>
        </w:rPr>
        <w:t>9 de marzo de 2013</w:t>
      </w:r>
      <w:r w:rsidR="006F62C0" w:rsidRPr="009E387B">
        <w:rPr>
          <w:rFonts w:ascii="Arial" w:hAnsi="Arial" w:cs="Arial"/>
          <w:sz w:val="24"/>
          <w:szCs w:val="24"/>
        </w:rPr>
        <w:t xml:space="preserve">. </w:t>
      </w:r>
      <w:r w:rsidR="009D0936" w:rsidRPr="009E387B">
        <w:rPr>
          <w:rFonts w:ascii="Arial" w:hAnsi="Arial" w:cs="Arial"/>
          <w:sz w:val="24"/>
          <w:szCs w:val="24"/>
        </w:rPr>
        <w:t xml:space="preserve">En dicho acto </w:t>
      </w:r>
      <w:r w:rsidRPr="009E387B">
        <w:rPr>
          <w:rFonts w:ascii="Arial" w:hAnsi="Arial" w:cs="Arial"/>
          <w:sz w:val="24"/>
          <w:szCs w:val="24"/>
        </w:rPr>
        <w:t xml:space="preserve">la FGN le comunicó cargos al señor </w:t>
      </w:r>
      <w:proofErr w:type="spellStart"/>
      <w:r w:rsidR="007951D4">
        <w:rPr>
          <w:rFonts w:ascii="Arial" w:hAnsi="Arial" w:cs="Arial"/>
          <w:sz w:val="24"/>
          <w:szCs w:val="24"/>
        </w:rPr>
        <w:t>JAMV</w:t>
      </w:r>
      <w:proofErr w:type="spellEnd"/>
      <w:r w:rsidRPr="009E387B">
        <w:rPr>
          <w:rFonts w:ascii="Arial" w:hAnsi="Arial" w:cs="Arial"/>
          <w:sz w:val="24"/>
          <w:szCs w:val="24"/>
        </w:rPr>
        <w:t xml:space="preserve"> por el delito de </w:t>
      </w:r>
      <w:r w:rsidR="008A2896" w:rsidRPr="009E387B">
        <w:rPr>
          <w:rFonts w:ascii="Arial" w:hAnsi="Arial" w:cs="Arial"/>
          <w:sz w:val="24"/>
          <w:szCs w:val="24"/>
        </w:rPr>
        <w:t>Hurto calificado</w:t>
      </w:r>
      <w:r w:rsidR="009D0936" w:rsidRPr="009E387B">
        <w:rPr>
          <w:rFonts w:ascii="Arial" w:hAnsi="Arial" w:cs="Arial"/>
          <w:sz w:val="24"/>
          <w:szCs w:val="24"/>
        </w:rPr>
        <w:t xml:space="preserve">, previsto en los artículos </w:t>
      </w:r>
      <w:r w:rsidR="00335549" w:rsidRPr="009E387B">
        <w:rPr>
          <w:rFonts w:ascii="Arial" w:hAnsi="Arial" w:cs="Arial"/>
          <w:sz w:val="24"/>
          <w:szCs w:val="24"/>
        </w:rPr>
        <w:t xml:space="preserve">239 </w:t>
      </w:r>
      <w:r w:rsidR="006F62C0" w:rsidRPr="009E387B">
        <w:rPr>
          <w:rFonts w:ascii="Arial" w:hAnsi="Arial" w:cs="Arial"/>
          <w:sz w:val="24"/>
          <w:szCs w:val="24"/>
        </w:rPr>
        <w:t xml:space="preserve">y </w:t>
      </w:r>
      <w:r w:rsidR="00335549" w:rsidRPr="009E387B">
        <w:rPr>
          <w:rFonts w:ascii="Arial" w:hAnsi="Arial" w:cs="Arial"/>
          <w:sz w:val="24"/>
          <w:szCs w:val="24"/>
        </w:rPr>
        <w:t xml:space="preserve">240 inciso 1º numeral 1º </w:t>
      </w:r>
      <w:r w:rsidR="0060680B" w:rsidRPr="009E387B">
        <w:rPr>
          <w:rFonts w:ascii="Arial" w:hAnsi="Arial" w:cs="Arial"/>
          <w:sz w:val="24"/>
          <w:szCs w:val="24"/>
        </w:rPr>
        <w:t>del CP.</w:t>
      </w:r>
      <w:r w:rsidR="0060680B" w:rsidRPr="009E387B">
        <w:rPr>
          <w:rStyle w:val="Refdenotaalpie"/>
          <w:rFonts w:ascii="Arial" w:hAnsi="Arial" w:cs="Arial"/>
          <w:sz w:val="24"/>
          <w:szCs w:val="24"/>
        </w:rPr>
        <w:footnoteReference w:id="2"/>
      </w:r>
      <w:r w:rsidR="006B6618" w:rsidRPr="009E387B">
        <w:rPr>
          <w:rFonts w:ascii="Arial" w:hAnsi="Arial" w:cs="Arial"/>
          <w:sz w:val="24"/>
          <w:szCs w:val="24"/>
        </w:rPr>
        <w:t xml:space="preserve">. El señor </w:t>
      </w:r>
      <w:proofErr w:type="spellStart"/>
      <w:r w:rsidR="00A33152">
        <w:rPr>
          <w:rFonts w:ascii="Arial" w:hAnsi="Arial" w:cs="Arial"/>
          <w:sz w:val="24"/>
          <w:szCs w:val="24"/>
        </w:rPr>
        <w:t>JAMV</w:t>
      </w:r>
      <w:proofErr w:type="spellEnd"/>
      <w:r w:rsidR="006B6618" w:rsidRPr="009E387B">
        <w:rPr>
          <w:rFonts w:ascii="Arial" w:hAnsi="Arial" w:cs="Arial"/>
          <w:sz w:val="24"/>
          <w:szCs w:val="24"/>
        </w:rPr>
        <w:t xml:space="preserve"> </w:t>
      </w:r>
      <w:r w:rsidR="006F62C0" w:rsidRPr="009E387B">
        <w:rPr>
          <w:rFonts w:ascii="Arial" w:hAnsi="Arial" w:cs="Arial"/>
          <w:sz w:val="24"/>
          <w:szCs w:val="24"/>
        </w:rPr>
        <w:t>aceptó los cargos imputados</w:t>
      </w:r>
      <w:r w:rsidR="00335549" w:rsidRPr="009E387B">
        <w:rPr>
          <w:rFonts w:ascii="Arial" w:hAnsi="Arial" w:cs="Arial"/>
          <w:sz w:val="24"/>
          <w:szCs w:val="24"/>
        </w:rPr>
        <w:t>.</w:t>
      </w:r>
      <w:r w:rsidR="004C5D7C" w:rsidRPr="009E387B">
        <w:rPr>
          <w:rFonts w:ascii="Arial" w:hAnsi="Arial" w:cs="Arial"/>
          <w:sz w:val="24"/>
          <w:szCs w:val="24"/>
        </w:rPr>
        <w:t xml:space="preserve"> </w:t>
      </w:r>
    </w:p>
    <w:p w:rsidR="009D0936" w:rsidRPr="009E387B" w:rsidRDefault="009D0936" w:rsidP="009E387B">
      <w:pPr>
        <w:pStyle w:val="Sinespaciado"/>
        <w:spacing w:line="288" w:lineRule="auto"/>
        <w:jc w:val="both"/>
        <w:rPr>
          <w:rFonts w:ascii="Arial" w:hAnsi="Arial" w:cs="Arial"/>
          <w:sz w:val="24"/>
          <w:szCs w:val="24"/>
        </w:rPr>
      </w:pPr>
    </w:p>
    <w:p w:rsidR="002D083B" w:rsidRPr="009E387B" w:rsidRDefault="0095361C"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2.3 El </w:t>
      </w:r>
      <w:r w:rsidR="008A2896" w:rsidRPr="009E387B">
        <w:rPr>
          <w:rFonts w:ascii="Arial" w:hAnsi="Arial" w:cs="Arial"/>
          <w:sz w:val="24"/>
          <w:szCs w:val="24"/>
        </w:rPr>
        <w:t>Juzgado Primero Penal Municipal de Conocimiento de Pereira</w:t>
      </w:r>
      <w:r w:rsidR="00D906BB" w:rsidRPr="009E387B">
        <w:rPr>
          <w:rFonts w:ascii="Arial" w:hAnsi="Arial" w:cs="Arial"/>
          <w:sz w:val="24"/>
          <w:szCs w:val="24"/>
        </w:rPr>
        <w:t xml:space="preserve"> </w:t>
      </w:r>
      <w:r w:rsidRPr="009E387B">
        <w:rPr>
          <w:rFonts w:ascii="Arial" w:hAnsi="Arial" w:cs="Arial"/>
          <w:sz w:val="24"/>
          <w:szCs w:val="24"/>
        </w:rPr>
        <w:t xml:space="preserve">asumió el conocimiento de la presente causa </w:t>
      </w:r>
      <w:r w:rsidR="00DD0782" w:rsidRPr="009E387B">
        <w:rPr>
          <w:rFonts w:ascii="Arial" w:hAnsi="Arial" w:cs="Arial"/>
          <w:sz w:val="24"/>
          <w:szCs w:val="24"/>
        </w:rPr>
        <w:t>(folio</w:t>
      </w:r>
      <w:r w:rsidR="00335549" w:rsidRPr="009E387B">
        <w:rPr>
          <w:rFonts w:ascii="Arial" w:hAnsi="Arial" w:cs="Arial"/>
          <w:sz w:val="24"/>
          <w:szCs w:val="24"/>
        </w:rPr>
        <w:t>s</w:t>
      </w:r>
      <w:r w:rsidR="00DD0782" w:rsidRPr="009E387B">
        <w:rPr>
          <w:rFonts w:ascii="Arial" w:hAnsi="Arial" w:cs="Arial"/>
          <w:sz w:val="24"/>
          <w:szCs w:val="24"/>
        </w:rPr>
        <w:t xml:space="preserve"> </w:t>
      </w:r>
      <w:r w:rsidR="00335549" w:rsidRPr="009E387B">
        <w:rPr>
          <w:rFonts w:ascii="Arial" w:hAnsi="Arial" w:cs="Arial"/>
          <w:sz w:val="24"/>
          <w:szCs w:val="24"/>
        </w:rPr>
        <w:t>1 y 7</w:t>
      </w:r>
      <w:r w:rsidR="00DD0782" w:rsidRPr="009E387B">
        <w:rPr>
          <w:rFonts w:ascii="Arial" w:hAnsi="Arial" w:cs="Arial"/>
          <w:sz w:val="24"/>
          <w:szCs w:val="24"/>
        </w:rPr>
        <w:t xml:space="preserve">). </w:t>
      </w:r>
      <w:r w:rsidR="00FE4A8F" w:rsidRPr="009E387B">
        <w:rPr>
          <w:rFonts w:ascii="Arial" w:hAnsi="Arial" w:cs="Arial"/>
          <w:sz w:val="24"/>
          <w:szCs w:val="24"/>
        </w:rPr>
        <w:t>La audiencia de</w:t>
      </w:r>
      <w:r w:rsidR="00335549" w:rsidRPr="009E387B">
        <w:rPr>
          <w:rFonts w:ascii="Arial" w:hAnsi="Arial" w:cs="Arial"/>
          <w:sz w:val="24"/>
          <w:szCs w:val="24"/>
        </w:rPr>
        <w:t xml:space="preserve"> individualización de pena y sentencia se celebró el 15 de agosto de 2013</w:t>
      </w:r>
      <w:r w:rsidR="00C431CD" w:rsidRPr="009E387B">
        <w:rPr>
          <w:rFonts w:ascii="Arial" w:hAnsi="Arial" w:cs="Arial"/>
          <w:sz w:val="24"/>
          <w:szCs w:val="24"/>
        </w:rPr>
        <w:t xml:space="preserve"> (folio</w:t>
      </w:r>
      <w:r w:rsidR="00335549" w:rsidRPr="009E387B">
        <w:rPr>
          <w:rFonts w:ascii="Arial" w:hAnsi="Arial" w:cs="Arial"/>
          <w:sz w:val="24"/>
          <w:szCs w:val="24"/>
        </w:rPr>
        <w:t xml:space="preserve"> 42), en la misma la defensa solicitó que se le conceda a su prohijado la rebaja de pena correspondiente al artículo 27 del CP por considerar que el delito se realizó en grado de tentativa</w:t>
      </w:r>
      <w:r w:rsidR="00C431CD" w:rsidRPr="009E387B">
        <w:rPr>
          <w:rFonts w:ascii="Arial" w:hAnsi="Arial" w:cs="Arial"/>
          <w:sz w:val="24"/>
          <w:szCs w:val="24"/>
        </w:rPr>
        <w:t xml:space="preserve">. </w:t>
      </w:r>
    </w:p>
    <w:p w:rsidR="002D083B" w:rsidRPr="009E387B" w:rsidRDefault="002D083B" w:rsidP="009E387B">
      <w:pPr>
        <w:pStyle w:val="Sinespaciado"/>
        <w:spacing w:line="288" w:lineRule="auto"/>
        <w:jc w:val="both"/>
        <w:rPr>
          <w:rFonts w:ascii="Arial" w:hAnsi="Arial" w:cs="Arial"/>
          <w:sz w:val="24"/>
          <w:szCs w:val="24"/>
        </w:rPr>
      </w:pPr>
    </w:p>
    <w:p w:rsidR="00FE4A8F" w:rsidRPr="009E387B" w:rsidRDefault="002D083B"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2.4 </w:t>
      </w:r>
      <w:r w:rsidR="00FE4A8F" w:rsidRPr="009E387B">
        <w:rPr>
          <w:rFonts w:ascii="Arial" w:hAnsi="Arial" w:cs="Arial"/>
          <w:sz w:val="24"/>
          <w:szCs w:val="24"/>
        </w:rPr>
        <w:t xml:space="preserve">La sentencia fue proferida el </w:t>
      </w:r>
      <w:r w:rsidR="00335549" w:rsidRPr="009E387B">
        <w:rPr>
          <w:rFonts w:ascii="Arial" w:hAnsi="Arial" w:cs="Arial"/>
          <w:sz w:val="24"/>
          <w:szCs w:val="24"/>
        </w:rPr>
        <w:t>10 de diciembre de 2013</w:t>
      </w:r>
      <w:r w:rsidR="004565D0" w:rsidRPr="009E387B">
        <w:rPr>
          <w:rFonts w:ascii="Arial" w:hAnsi="Arial" w:cs="Arial"/>
          <w:sz w:val="24"/>
          <w:szCs w:val="24"/>
        </w:rPr>
        <w:t xml:space="preserve"> </w:t>
      </w:r>
      <w:r w:rsidR="00FE4A8F" w:rsidRPr="009E387B">
        <w:rPr>
          <w:rFonts w:ascii="Arial" w:hAnsi="Arial" w:cs="Arial"/>
          <w:sz w:val="24"/>
          <w:szCs w:val="24"/>
        </w:rPr>
        <w:t>(folio</w:t>
      </w:r>
      <w:r w:rsidR="004565D0" w:rsidRPr="009E387B">
        <w:rPr>
          <w:rFonts w:ascii="Arial" w:hAnsi="Arial" w:cs="Arial"/>
          <w:sz w:val="24"/>
          <w:szCs w:val="24"/>
        </w:rPr>
        <w:t xml:space="preserve">s </w:t>
      </w:r>
      <w:r w:rsidR="00335549" w:rsidRPr="009E387B">
        <w:rPr>
          <w:rFonts w:ascii="Arial" w:hAnsi="Arial" w:cs="Arial"/>
          <w:sz w:val="24"/>
          <w:szCs w:val="24"/>
        </w:rPr>
        <w:t>46 a 49</w:t>
      </w:r>
      <w:r w:rsidR="006D7440" w:rsidRPr="009E387B">
        <w:rPr>
          <w:rFonts w:ascii="Arial" w:hAnsi="Arial" w:cs="Arial"/>
          <w:sz w:val="24"/>
          <w:szCs w:val="24"/>
        </w:rPr>
        <w:t xml:space="preserve">). En dicho proveído </w:t>
      </w:r>
      <w:r w:rsidR="004565D0" w:rsidRPr="009E387B">
        <w:rPr>
          <w:rFonts w:ascii="Arial" w:hAnsi="Arial" w:cs="Arial"/>
          <w:sz w:val="24"/>
          <w:szCs w:val="24"/>
        </w:rPr>
        <w:t>l</w:t>
      </w:r>
      <w:r w:rsidR="00335549" w:rsidRPr="009E387B">
        <w:rPr>
          <w:rFonts w:ascii="Arial" w:hAnsi="Arial" w:cs="Arial"/>
          <w:sz w:val="24"/>
          <w:szCs w:val="24"/>
        </w:rPr>
        <w:t>a</w:t>
      </w:r>
      <w:r w:rsidR="004565D0" w:rsidRPr="009E387B">
        <w:rPr>
          <w:rFonts w:ascii="Arial" w:hAnsi="Arial" w:cs="Arial"/>
          <w:sz w:val="24"/>
          <w:szCs w:val="24"/>
        </w:rPr>
        <w:t xml:space="preserve"> </w:t>
      </w:r>
      <w:r w:rsidR="006D7440" w:rsidRPr="009E387B">
        <w:rPr>
          <w:rFonts w:ascii="Arial" w:hAnsi="Arial" w:cs="Arial"/>
          <w:sz w:val="24"/>
          <w:szCs w:val="24"/>
        </w:rPr>
        <w:t xml:space="preserve">juez de primera instancia dispuso: i) condenar </w:t>
      </w:r>
      <w:r w:rsidR="00335549" w:rsidRPr="009E387B">
        <w:rPr>
          <w:rFonts w:ascii="Arial" w:hAnsi="Arial" w:cs="Arial"/>
          <w:sz w:val="24"/>
          <w:szCs w:val="24"/>
        </w:rPr>
        <w:t xml:space="preserve">a </w:t>
      </w:r>
      <w:proofErr w:type="spellStart"/>
      <w:r w:rsidR="007951D4">
        <w:rPr>
          <w:rFonts w:ascii="Arial" w:hAnsi="Arial" w:cs="Arial"/>
          <w:sz w:val="24"/>
          <w:szCs w:val="24"/>
        </w:rPr>
        <w:t>JAMV</w:t>
      </w:r>
      <w:proofErr w:type="spellEnd"/>
      <w:r w:rsidR="006D7440" w:rsidRPr="009E387B">
        <w:rPr>
          <w:rFonts w:ascii="Arial" w:hAnsi="Arial" w:cs="Arial"/>
          <w:sz w:val="24"/>
          <w:szCs w:val="24"/>
        </w:rPr>
        <w:t xml:space="preserve"> </w:t>
      </w:r>
      <w:r w:rsidR="00335549" w:rsidRPr="009E387B">
        <w:rPr>
          <w:rFonts w:ascii="Arial" w:hAnsi="Arial" w:cs="Arial"/>
          <w:sz w:val="24"/>
          <w:szCs w:val="24"/>
        </w:rPr>
        <w:t xml:space="preserve">a la pena principal de sesenta y tres (63) meses de prisión, al encontrarlo autor responsable del delito de hurto calificado al atentar contra el patrimonio económico de Luis </w:t>
      </w:r>
      <w:proofErr w:type="spellStart"/>
      <w:r w:rsidR="00335549" w:rsidRPr="009E387B">
        <w:rPr>
          <w:rFonts w:ascii="Arial" w:hAnsi="Arial" w:cs="Arial"/>
          <w:sz w:val="24"/>
          <w:szCs w:val="24"/>
        </w:rPr>
        <w:t>Arbey</w:t>
      </w:r>
      <w:proofErr w:type="spellEnd"/>
      <w:r w:rsidR="00335549" w:rsidRPr="009E387B">
        <w:rPr>
          <w:rFonts w:ascii="Arial" w:hAnsi="Arial" w:cs="Arial"/>
          <w:sz w:val="24"/>
          <w:szCs w:val="24"/>
        </w:rPr>
        <w:t xml:space="preserve"> Cardona Caicedo</w:t>
      </w:r>
      <w:r w:rsidR="006D7440" w:rsidRPr="009E387B">
        <w:rPr>
          <w:rFonts w:ascii="Arial" w:hAnsi="Arial" w:cs="Arial"/>
          <w:sz w:val="24"/>
          <w:szCs w:val="24"/>
        </w:rPr>
        <w:t>; ii)</w:t>
      </w:r>
      <w:r w:rsidR="00335549" w:rsidRPr="009E387B">
        <w:rPr>
          <w:rFonts w:ascii="Arial" w:hAnsi="Arial" w:cs="Arial"/>
          <w:sz w:val="24"/>
          <w:szCs w:val="24"/>
        </w:rPr>
        <w:t xml:space="preserve"> condenar a </w:t>
      </w:r>
      <w:proofErr w:type="spellStart"/>
      <w:r w:rsidR="007951D4">
        <w:rPr>
          <w:rFonts w:ascii="Arial" w:hAnsi="Arial" w:cs="Arial"/>
          <w:sz w:val="24"/>
          <w:szCs w:val="24"/>
        </w:rPr>
        <w:t>JAMV</w:t>
      </w:r>
      <w:proofErr w:type="spellEnd"/>
      <w:r w:rsidR="00335549" w:rsidRPr="009E387B">
        <w:rPr>
          <w:rFonts w:ascii="Arial" w:hAnsi="Arial" w:cs="Arial"/>
          <w:sz w:val="24"/>
          <w:szCs w:val="24"/>
        </w:rPr>
        <w:t xml:space="preserve"> a la pena accesoria de inhabilitación para el ejercicio de derechos y funciones públicas por un tiempo igual al de la pena principal, esto es, 63 meses; iii) no conceder al señor </w:t>
      </w:r>
      <w:proofErr w:type="spellStart"/>
      <w:r w:rsidR="007951D4">
        <w:rPr>
          <w:rFonts w:ascii="Arial" w:hAnsi="Arial" w:cs="Arial"/>
          <w:sz w:val="24"/>
          <w:szCs w:val="24"/>
        </w:rPr>
        <w:t>JAMV</w:t>
      </w:r>
      <w:proofErr w:type="spellEnd"/>
      <w:r w:rsidR="00335549" w:rsidRPr="009E387B">
        <w:rPr>
          <w:rFonts w:ascii="Arial" w:hAnsi="Arial" w:cs="Arial"/>
          <w:sz w:val="24"/>
          <w:szCs w:val="24"/>
        </w:rPr>
        <w:t xml:space="preserve"> el subrogado de la suspensión condicional de la ejecución de la pena, por no reunir los requisitos establecidos en el artículo 63 del Código de las Penas. Se dispone librar la correspondiente orden de captura</w:t>
      </w:r>
      <w:r w:rsidR="004D53B4" w:rsidRPr="009E387B">
        <w:rPr>
          <w:rFonts w:ascii="Arial" w:hAnsi="Arial" w:cs="Arial"/>
          <w:sz w:val="24"/>
          <w:szCs w:val="24"/>
        </w:rPr>
        <w:t xml:space="preserve">. </w:t>
      </w:r>
    </w:p>
    <w:p w:rsidR="006D7440" w:rsidRPr="009E387B" w:rsidRDefault="006D7440" w:rsidP="009E387B">
      <w:pPr>
        <w:pStyle w:val="Sinespaciado"/>
        <w:spacing w:line="288" w:lineRule="auto"/>
        <w:jc w:val="both"/>
        <w:rPr>
          <w:rFonts w:ascii="Arial" w:hAnsi="Arial" w:cs="Arial"/>
          <w:sz w:val="24"/>
          <w:szCs w:val="24"/>
        </w:rPr>
      </w:pPr>
    </w:p>
    <w:p w:rsidR="00196265" w:rsidRPr="009E387B" w:rsidRDefault="00FE4A8F" w:rsidP="009E387B">
      <w:pPr>
        <w:pStyle w:val="Sinespaciado"/>
        <w:spacing w:line="288" w:lineRule="auto"/>
        <w:jc w:val="both"/>
        <w:rPr>
          <w:rFonts w:ascii="Arial" w:hAnsi="Arial" w:cs="Arial"/>
          <w:sz w:val="24"/>
          <w:szCs w:val="24"/>
        </w:rPr>
      </w:pPr>
      <w:r w:rsidRPr="009E387B">
        <w:rPr>
          <w:rFonts w:ascii="Arial" w:hAnsi="Arial" w:cs="Arial"/>
          <w:sz w:val="24"/>
          <w:szCs w:val="24"/>
        </w:rPr>
        <w:t>El defensor del acusado apel</w:t>
      </w:r>
      <w:r w:rsidR="00844CDD" w:rsidRPr="009E387B">
        <w:rPr>
          <w:rFonts w:ascii="Arial" w:hAnsi="Arial" w:cs="Arial"/>
          <w:sz w:val="24"/>
          <w:szCs w:val="24"/>
        </w:rPr>
        <w:t xml:space="preserve">ó el fallo de primer nivel. </w:t>
      </w:r>
    </w:p>
    <w:p w:rsidR="00196265" w:rsidRPr="009E387B" w:rsidRDefault="00196265" w:rsidP="009E387B">
      <w:pPr>
        <w:pStyle w:val="Sinespaciado"/>
        <w:spacing w:line="288" w:lineRule="auto"/>
        <w:jc w:val="both"/>
        <w:rPr>
          <w:rFonts w:ascii="Arial" w:hAnsi="Arial" w:cs="Arial"/>
          <w:sz w:val="24"/>
          <w:szCs w:val="24"/>
        </w:rPr>
      </w:pPr>
    </w:p>
    <w:p w:rsidR="00AB217C" w:rsidRPr="009E387B" w:rsidRDefault="00AB217C" w:rsidP="009E387B">
      <w:pPr>
        <w:pStyle w:val="Sinespaciado"/>
        <w:spacing w:line="288" w:lineRule="auto"/>
        <w:jc w:val="center"/>
        <w:rPr>
          <w:rFonts w:ascii="Arial" w:hAnsi="Arial" w:cs="Arial"/>
          <w:b/>
          <w:sz w:val="24"/>
          <w:szCs w:val="24"/>
        </w:rPr>
      </w:pPr>
      <w:r w:rsidRPr="009E387B">
        <w:rPr>
          <w:rFonts w:ascii="Arial" w:hAnsi="Arial" w:cs="Arial"/>
          <w:b/>
          <w:sz w:val="24"/>
          <w:szCs w:val="24"/>
        </w:rPr>
        <w:t>3. IDENTIDAD DEL ACUSADO</w:t>
      </w:r>
    </w:p>
    <w:p w:rsidR="00DF044E" w:rsidRPr="009E387B" w:rsidRDefault="00DF044E" w:rsidP="009E387B">
      <w:pPr>
        <w:pStyle w:val="Sinespaciado"/>
        <w:spacing w:line="288" w:lineRule="auto"/>
        <w:jc w:val="both"/>
        <w:rPr>
          <w:rFonts w:ascii="Arial" w:hAnsi="Arial" w:cs="Arial"/>
          <w:sz w:val="24"/>
          <w:szCs w:val="24"/>
        </w:rPr>
      </w:pPr>
    </w:p>
    <w:p w:rsidR="00443CAB" w:rsidRPr="009E387B" w:rsidRDefault="00DF044E"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Se trata de </w:t>
      </w:r>
      <w:proofErr w:type="spellStart"/>
      <w:r w:rsidR="007951D4">
        <w:rPr>
          <w:rFonts w:ascii="Arial" w:hAnsi="Arial" w:cs="Arial"/>
          <w:sz w:val="24"/>
          <w:szCs w:val="24"/>
        </w:rPr>
        <w:t>JAMV</w:t>
      </w:r>
      <w:proofErr w:type="spellEnd"/>
      <w:r w:rsidR="00AB217C" w:rsidRPr="009E387B">
        <w:rPr>
          <w:rFonts w:ascii="Arial" w:hAnsi="Arial" w:cs="Arial"/>
          <w:sz w:val="24"/>
          <w:szCs w:val="24"/>
        </w:rPr>
        <w:t xml:space="preserve">, identificado con la cédula de ciudadanía número </w:t>
      </w:r>
      <w:r w:rsidR="00196265" w:rsidRPr="009E387B">
        <w:rPr>
          <w:rFonts w:ascii="Arial" w:hAnsi="Arial" w:cs="Arial"/>
          <w:sz w:val="24"/>
          <w:szCs w:val="24"/>
        </w:rPr>
        <w:t xml:space="preserve">9.863.204 </w:t>
      </w:r>
      <w:r w:rsidR="004E5387" w:rsidRPr="009E387B">
        <w:rPr>
          <w:rFonts w:ascii="Arial" w:hAnsi="Arial" w:cs="Arial"/>
          <w:sz w:val="24"/>
          <w:szCs w:val="24"/>
        </w:rPr>
        <w:t xml:space="preserve">de </w:t>
      </w:r>
      <w:r w:rsidR="00196265" w:rsidRPr="009E387B">
        <w:rPr>
          <w:rFonts w:ascii="Arial" w:hAnsi="Arial" w:cs="Arial"/>
          <w:sz w:val="24"/>
          <w:szCs w:val="24"/>
        </w:rPr>
        <w:t xml:space="preserve">Pereira </w:t>
      </w:r>
      <w:r w:rsidR="00644106" w:rsidRPr="009E387B">
        <w:rPr>
          <w:rFonts w:ascii="Arial" w:hAnsi="Arial" w:cs="Arial"/>
          <w:sz w:val="24"/>
          <w:szCs w:val="24"/>
        </w:rPr>
        <w:t>- Risaralda</w:t>
      </w:r>
      <w:r w:rsidR="004E5387" w:rsidRPr="009E387B">
        <w:rPr>
          <w:rFonts w:ascii="Arial" w:hAnsi="Arial" w:cs="Arial"/>
          <w:sz w:val="24"/>
          <w:szCs w:val="24"/>
        </w:rPr>
        <w:t xml:space="preserve">, </w:t>
      </w:r>
      <w:r w:rsidR="00AB217C" w:rsidRPr="009E387B">
        <w:rPr>
          <w:rFonts w:ascii="Arial" w:hAnsi="Arial" w:cs="Arial"/>
          <w:sz w:val="24"/>
          <w:szCs w:val="24"/>
        </w:rPr>
        <w:t xml:space="preserve">nació el </w:t>
      </w:r>
      <w:r w:rsidR="00196265" w:rsidRPr="009E387B">
        <w:rPr>
          <w:rFonts w:ascii="Arial" w:hAnsi="Arial" w:cs="Arial"/>
          <w:sz w:val="24"/>
          <w:szCs w:val="24"/>
        </w:rPr>
        <w:t>14 de septiembre de 1985 en la misma ciudad</w:t>
      </w:r>
      <w:r w:rsidR="00AB217C" w:rsidRPr="009E387B">
        <w:rPr>
          <w:rFonts w:ascii="Arial" w:hAnsi="Arial" w:cs="Arial"/>
          <w:sz w:val="24"/>
          <w:szCs w:val="24"/>
        </w:rPr>
        <w:t xml:space="preserve">, </w:t>
      </w:r>
      <w:r w:rsidR="00A477EB" w:rsidRPr="009E387B">
        <w:rPr>
          <w:rFonts w:ascii="Arial" w:hAnsi="Arial" w:cs="Arial"/>
          <w:sz w:val="24"/>
          <w:szCs w:val="24"/>
        </w:rPr>
        <w:t xml:space="preserve">es </w:t>
      </w:r>
      <w:r w:rsidR="00AB217C" w:rsidRPr="009E387B">
        <w:rPr>
          <w:rFonts w:ascii="Arial" w:hAnsi="Arial" w:cs="Arial"/>
          <w:sz w:val="24"/>
          <w:szCs w:val="24"/>
        </w:rPr>
        <w:t xml:space="preserve">hijo de </w:t>
      </w:r>
      <w:r w:rsidR="00196265" w:rsidRPr="009E387B">
        <w:rPr>
          <w:rFonts w:ascii="Arial" w:hAnsi="Arial" w:cs="Arial"/>
          <w:sz w:val="24"/>
          <w:szCs w:val="24"/>
        </w:rPr>
        <w:t>Teresa y Gabriel, de ocupación reciclador</w:t>
      </w:r>
      <w:r w:rsidR="00196265" w:rsidRPr="009E387B">
        <w:rPr>
          <w:rStyle w:val="Refdenotaalpie"/>
          <w:rFonts w:ascii="Arial" w:hAnsi="Arial" w:cs="Arial"/>
          <w:sz w:val="24"/>
          <w:szCs w:val="24"/>
        </w:rPr>
        <w:footnoteReference w:id="3"/>
      </w:r>
      <w:r w:rsidR="00196265" w:rsidRPr="009E387B">
        <w:rPr>
          <w:rFonts w:ascii="Arial" w:hAnsi="Arial" w:cs="Arial"/>
          <w:sz w:val="24"/>
          <w:szCs w:val="24"/>
        </w:rPr>
        <w:t xml:space="preserve">. </w:t>
      </w:r>
    </w:p>
    <w:p w:rsidR="00496C4B" w:rsidRPr="009E387B" w:rsidRDefault="00496C4B" w:rsidP="009E387B">
      <w:pPr>
        <w:pStyle w:val="Sinespaciado"/>
        <w:spacing w:line="288" w:lineRule="auto"/>
        <w:jc w:val="both"/>
        <w:rPr>
          <w:rFonts w:ascii="Arial" w:hAnsi="Arial" w:cs="Arial"/>
          <w:sz w:val="24"/>
          <w:szCs w:val="24"/>
        </w:rPr>
      </w:pPr>
    </w:p>
    <w:p w:rsidR="00196265" w:rsidRPr="009E387B" w:rsidRDefault="00443CAB" w:rsidP="009E387B">
      <w:pPr>
        <w:pStyle w:val="Sinespaciado"/>
        <w:spacing w:line="288" w:lineRule="auto"/>
        <w:jc w:val="center"/>
        <w:rPr>
          <w:rFonts w:ascii="Arial" w:hAnsi="Arial" w:cs="Arial"/>
          <w:b/>
          <w:sz w:val="24"/>
          <w:szCs w:val="24"/>
        </w:rPr>
      </w:pPr>
      <w:r w:rsidRPr="009E387B">
        <w:rPr>
          <w:rFonts w:ascii="Arial" w:hAnsi="Arial" w:cs="Arial"/>
          <w:b/>
          <w:sz w:val="24"/>
          <w:szCs w:val="24"/>
        </w:rPr>
        <w:t xml:space="preserve">4. </w:t>
      </w:r>
      <w:r w:rsidR="00196265" w:rsidRPr="009E387B">
        <w:rPr>
          <w:rFonts w:ascii="Arial" w:hAnsi="Arial" w:cs="Arial"/>
          <w:b/>
          <w:sz w:val="24"/>
          <w:szCs w:val="24"/>
        </w:rPr>
        <w:t>FUNDAMENTOS DEL FALLO</w:t>
      </w:r>
    </w:p>
    <w:p w:rsidR="00196265" w:rsidRPr="009E387B" w:rsidRDefault="00196265" w:rsidP="009E387B">
      <w:pPr>
        <w:pStyle w:val="Sinespaciado"/>
        <w:spacing w:line="288" w:lineRule="auto"/>
        <w:jc w:val="center"/>
        <w:rPr>
          <w:rFonts w:ascii="Arial" w:hAnsi="Arial" w:cs="Arial"/>
          <w:b/>
          <w:sz w:val="24"/>
          <w:szCs w:val="24"/>
        </w:rPr>
      </w:pPr>
    </w:p>
    <w:p w:rsidR="00196265" w:rsidRPr="009E387B" w:rsidRDefault="00196265" w:rsidP="009E387B">
      <w:pPr>
        <w:spacing w:after="0" w:line="288" w:lineRule="auto"/>
        <w:ind w:right="-232"/>
        <w:jc w:val="both"/>
        <w:rPr>
          <w:rFonts w:ascii="Arial" w:hAnsi="Arial" w:cs="Arial"/>
          <w:sz w:val="24"/>
          <w:szCs w:val="24"/>
          <w:lang w:val="es-ES"/>
        </w:rPr>
      </w:pPr>
      <w:r w:rsidRPr="009E387B">
        <w:rPr>
          <w:rFonts w:ascii="Arial" w:hAnsi="Arial" w:cs="Arial"/>
          <w:sz w:val="24"/>
          <w:szCs w:val="24"/>
          <w:lang w:val="es-ES"/>
        </w:rPr>
        <w:t xml:space="preserve">En atención al principio de limitación de la segunda instancia </w:t>
      </w:r>
      <w:r w:rsidRPr="009E387B">
        <w:rPr>
          <w:rFonts w:ascii="Arial" w:hAnsi="Arial" w:cs="Arial"/>
          <w:i/>
          <w:sz w:val="24"/>
          <w:szCs w:val="24"/>
          <w:lang w:val="es-ES"/>
        </w:rPr>
        <w:t xml:space="preserve">“tantum </w:t>
      </w:r>
      <w:proofErr w:type="spellStart"/>
      <w:r w:rsidRPr="009E387B">
        <w:rPr>
          <w:rFonts w:ascii="Arial" w:hAnsi="Arial" w:cs="Arial"/>
          <w:i/>
          <w:sz w:val="24"/>
          <w:szCs w:val="24"/>
          <w:lang w:val="es-ES"/>
        </w:rPr>
        <w:t>devolutum</w:t>
      </w:r>
      <w:proofErr w:type="spellEnd"/>
      <w:r w:rsidRPr="009E387B">
        <w:rPr>
          <w:rFonts w:ascii="Arial" w:hAnsi="Arial" w:cs="Arial"/>
          <w:i/>
          <w:sz w:val="24"/>
          <w:szCs w:val="24"/>
          <w:lang w:val="es-ES"/>
        </w:rPr>
        <w:t xml:space="preserve"> quantum </w:t>
      </w:r>
      <w:proofErr w:type="spellStart"/>
      <w:r w:rsidRPr="009E387B">
        <w:rPr>
          <w:rFonts w:ascii="Arial" w:hAnsi="Arial" w:cs="Arial"/>
          <w:i/>
          <w:sz w:val="24"/>
          <w:szCs w:val="24"/>
          <w:lang w:val="es-ES"/>
        </w:rPr>
        <w:t>apellatum</w:t>
      </w:r>
      <w:proofErr w:type="spellEnd"/>
      <w:r w:rsidRPr="009E387B">
        <w:rPr>
          <w:rFonts w:ascii="Arial" w:hAnsi="Arial" w:cs="Arial"/>
          <w:i/>
          <w:sz w:val="24"/>
          <w:szCs w:val="24"/>
          <w:lang w:val="es-ES"/>
        </w:rPr>
        <w:t xml:space="preserve">”, </w:t>
      </w:r>
      <w:r w:rsidRPr="009E387B">
        <w:rPr>
          <w:rFonts w:ascii="Arial" w:hAnsi="Arial" w:cs="Arial"/>
          <w:sz w:val="24"/>
          <w:szCs w:val="24"/>
          <w:lang w:val="es-ES"/>
        </w:rPr>
        <w:t>se menciona solamente la parte específica de la sentencia que fue objeto de impugnación, que tiene que ver con la negativa respecto de</w:t>
      </w:r>
      <w:r w:rsidR="00931F61" w:rsidRPr="009E387B">
        <w:rPr>
          <w:rFonts w:ascii="Arial" w:hAnsi="Arial" w:cs="Arial"/>
          <w:sz w:val="24"/>
          <w:szCs w:val="24"/>
          <w:lang w:val="es-ES"/>
        </w:rPr>
        <w:t xml:space="preserve"> reconocer la rebaja de pena correspondiente al delito en modalidad de tentativa</w:t>
      </w:r>
      <w:r w:rsidRPr="009E387B">
        <w:rPr>
          <w:rFonts w:ascii="Arial" w:hAnsi="Arial" w:cs="Arial"/>
          <w:sz w:val="24"/>
          <w:szCs w:val="24"/>
          <w:lang w:val="es-ES"/>
        </w:rPr>
        <w:t>, así:</w:t>
      </w:r>
    </w:p>
    <w:p w:rsidR="00196265" w:rsidRPr="009E387B" w:rsidRDefault="00196265" w:rsidP="009E387B">
      <w:pPr>
        <w:spacing w:after="0" w:line="288" w:lineRule="auto"/>
        <w:ind w:right="-232"/>
        <w:jc w:val="both"/>
        <w:rPr>
          <w:rFonts w:ascii="Arial" w:hAnsi="Arial" w:cs="Arial"/>
          <w:sz w:val="24"/>
          <w:szCs w:val="24"/>
          <w:lang w:val="es-ES"/>
        </w:rPr>
      </w:pPr>
    </w:p>
    <w:p w:rsidR="00931F61" w:rsidRPr="00D323BD" w:rsidRDefault="00196265" w:rsidP="00D323BD">
      <w:pPr>
        <w:pStyle w:val="Sinespaciado"/>
        <w:ind w:left="426" w:right="418"/>
        <w:jc w:val="both"/>
        <w:rPr>
          <w:rFonts w:ascii="Arial" w:hAnsi="Arial" w:cs="Arial"/>
          <w:i/>
          <w:szCs w:val="24"/>
        </w:rPr>
      </w:pPr>
      <w:r w:rsidRPr="00D323BD">
        <w:rPr>
          <w:rFonts w:ascii="Arial" w:hAnsi="Arial" w:cs="Arial"/>
          <w:i/>
          <w:szCs w:val="24"/>
        </w:rPr>
        <w:t>“</w:t>
      </w:r>
      <w:r w:rsidR="00931F61" w:rsidRPr="00D323BD">
        <w:rPr>
          <w:rFonts w:ascii="Arial" w:hAnsi="Arial" w:cs="Arial"/>
          <w:i/>
          <w:szCs w:val="24"/>
        </w:rPr>
        <w:t>Ha presentado la defensa solicitud de reconocer en el presente asunto disminución de pena por tratarse de un delito tentado, al respecto ha de decirse que el Despacho se aparta de las argumentaciones esbozadas por la defensa por las siguientes dos razones:</w:t>
      </w:r>
    </w:p>
    <w:p w:rsidR="00D323BD" w:rsidRPr="00D323BD" w:rsidRDefault="00D323BD"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lastRenderedPageBreak/>
        <w:t>La primera porque la acción criminal en efecto fue consumada, así lo dieron a conocer los agentes de la policía que realizaron el procedimiento de captura, al informar que el aquí procesado tenía guardado el retrovisor en la pretina de su pantalón, además, no satisfecho con dicho hurto, intentaba abrir el vehículo para apoderase de lo que allí se encontrara.</w:t>
      </w:r>
    </w:p>
    <w:p w:rsidR="00931F61" w:rsidRPr="00D323BD" w:rsidRDefault="00931F61"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t>El hecho que fuera capturado al lado del vehículo, no quiere decir que la acción no fue consumada, porque se repite, ya tenía en su poder el espejo retrovisor y si estaba todavía al lado del rodante, era porque estaba tratando de abrirlo.</w:t>
      </w:r>
    </w:p>
    <w:p w:rsidR="00931F61" w:rsidRPr="00D323BD" w:rsidRDefault="00931F61"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t xml:space="preserve">Y la segunda razón, es que la petición es extemporánea e improcedente, en virtud que no es la audiencia de individualización de pena, donde se debate este tipo de pedimentos por ser diversas a las contempladas en el artículo 447 del C. de P.P., frente a lo cual se retoma lo expuesto en la honorable Sala Penal del Tribunal Superior (del veintiséis (26) de Abril de dos mil trece (2013), dentro del proceso con radicado Nro. 11001600005520060112803. M.P. Manuel </w:t>
      </w:r>
      <w:proofErr w:type="spellStart"/>
      <w:r w:rsidRPr="00D323BD">
        <w:rPr>
          <w:rFonts w:ascii="Arial" w:hAnsi="Arial" w:cs="Arial"/>
          <w:i/>
          <w:szCs w:val="24"/>
        </w:rPr>
        <w:t>Yarzagaray</w:t>
      </w:r>
      <w:proofErr w:type="spellEnd"/>
      <w:r w:rsidRPr="00D323BD">
        <w:rPr>
          <w:rFonts w:ascii="Arial" w:hAnsi="Arial" w:cs="Arial"/>
          <w:i/>
          <w:szCs w:val="24"/>
        </w:rPr>
        <w:t xml:space="preserve"> Bandera) de este distrito donde se expuso lo siguiente:</w:t>
      </w:r>
    </w:p>
    <w:p w:rsidR="00931F61" w:rsidRPr="00D323BD" w:rsidRDefault="00931F61"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t>“Los aspectos personales, familiares y sociales a los que se pueden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a que éste corresponde -o para determinar formas de cumplimiento de la misma o bien para la cuantificación individualizada de la pena pecuniaria, respecto de la cual se deben estimar factores concernientes a la situación económica, ingresos y cargos familiares del condenado (artículo 30 de la ley 599 de 2000) o para la imposición de penas accesorias, y principalmente, para la eventual concesión de mecanismos sustitutivos o alternativos de la pena privativa de libertad"</w:t>
      </w:r>
    </w:p>
    <w:p w:rsidR="00931F61" w:rsidRPr="00D323BD" w:rsidRDefault="00931F61"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t xml:space="preserve">Y se ha establecido jurisprudencialmente (ver sentencia CSJ Casación Penal, de fecha marzo 21 de 2007 , Radicado 25862, M.P. Julio Enrique </w:t>
      </w:r>
      <w:proofErr w:type="spellStart"/>
      <w:r w:rsidRPr="00D323BD">
        <w:rPr>
          <w:rFonts w:ascii="Arial" w:hAnsi="Arial" w:cs="Arial"/>
          <w:i/>
          <w:szCs w:val="24"/>
        </w:rPr>
        <w:t>Socha</w:t>
      </w:r>
      <w:proofErr w:type="spellEnd"/>
      <w:r w:rsidRPr="00D323BD">
        <w:rPr>
          <w:rFonts w:ascii="Arial" w:hAnsi="Arial" w:cs="Arial"/>
          <w:i/>
          <w:szCs w:val="24"/>
        </w:rPr>
        <w:t xml:space="preserve"> Salamanca) que no queda duda que la formulación de la imputación o de la acusación ha de ser explícita, y clara y así que el procesado la conozca, entienda y comprenda para que ejercite en debida forma su defensa, adquiriendo el derecho a tal conocimiento un carácter instrumental destinado a posibilitar el ejercicio defensivo y preservar el equilibrio entre las partes, debe incluir la conducta circunstanciada y con todos los motivos que indican la punibilidad. Consecuentemente, bajo el sistema acusatorio dispuesto para nuestro país, el fundamento de la imputación no ha de ser solo táctico, también debe ser jurídico, es decir, se deben incluir los hechos constitutivos del delito con su consecuencia calificación jurídica, pues al conocer de ella el imputado ha de saber de sus condignas consecuencias.</w:t>
      </w:r>
    </w:p>
    <w:p w:rsidR="00931F61" w:rsidRPr="00D323BD" w:rsidRDefault="00931F61" w:rsidP="00D323BD">
      <w:pPr>
        <w:pStyle w:val="Sinespaciado"/>
        <w:ind w:left="426" w:right="418"/>
        <w:jc w:val="both"/>
        <w:rPr>
          <w:rFonts w:ascii="Arial" w:hAnsi="Arial" w:cs="Arial"/>
          <w:i/>
          <w:szCs w:val="24"/>
        </w:rPr>
      </w:pPr>
    </w:p>
    <w:p w:rsidR="00931F61" w:rsidRPr="00D323BD" w:rsidRDefault="00931F61" w:rsidP="00D323BD">
      <w:pPr>
        <w:pStyle w:val="Sinespaciado"/>
        <w:ind w:left="426" w:right="418"/>
        <w:jc w:val="both"/>
        <w:rPr>
          <w:rFonts w:ascii="Arial" w:hAnsi="Arial" w:cs="Arial"/>
          <w:i/>
          <w:szCs w:val="24"/>
        </w:rPr>
      </w:pPr>
      <w:r w:rsidRPr="00D323BD">
        <w:rPr>
          <w:rFonts w:ascii="Arial" w:hAnsi="Arial" w:cs="Arial"/>
          <w:i/>
          <w:szCs w:val="24"/>
        </w:rPr>
        <w:t>En ese sentido no resulta procedente acatar las peticiones que eleva el abogado defensor.”</w:t>
      </w:r>
    </w:p>
    <w:p w:rsidR="00931F61" w:rsidRPr="009E387B" w:rsidRDefault="00931F61" w:rsidP="009E387B">
      <w:pPr>
        <w:spacing w:after="0" w:line="288" w:lineRule="auto"/>
        <w:ind w:left="567" w:right="335"/>
        <w:jc w:val="both"/>
        <w:rPr>
          <w:rFonts w:ascii="Arial" w:hAnsi="Arial" w:cs="Arial"/>
          <w:i/>
          <w:sz w:val="24"/>
          <w:szCs w:val="24"/>
          <w:lang w:val="es-ES"/>
        </w:rPr>
      </w:pPr>
    </w:p>
    <w:p w:rsidR="00931F61" w:rsidRPr="009E387B" w:rsidRDefault="00931F61" w:rsidP="009E387B">
      <w:pPr>
        <w:spacing w:after="0" w:line="288" w:lineRule="auto"/>
        <w:ind w:right="-232"/>
        <w:jc w:val="center"/>
        <w:rPr>
          <w:rFonts w:ascii="Arial" w:hAnsi="Arial" w:cs="Arial"/>
          <w:b/>
          <w:bCs/>
          <w:sz w:val="24"/>
          <w:szCs w:val="24"/>
          <w:lang w:val="es-ES"/>
        </w:rPr>
      </w:pPr>
      <w:r w:rsidRPr="009E387B">
        <w:rPr>
          <w:rFonts w:ascii="Arial" w:hAnsi="Arial" w:cs="Arial"/>
          <w:b/>
          <w:bCs/>
          <w:sz w:val="24"/>
          <w:szCs w:val="24"/>
          <w:lang w:val="es-ES"/>
        </w:rPr>
        <w:t>5. SOBRE EL RECURSO PROPUESTO</w:t>
      </w:r>
    </w:p>
    <w:p w:rsidR="00931F61" w:rsidRPr="009E387B" w:rsidRDefault="00931F61" w:rsidP="009E387B">
      <w:pPr>
        <w:spacing w:after="0" w:line="288" w:lineRule="auto"/>
        <w:ind w:right="-232"/>
        <w:jc w:val="center"/>
        <w:rPr>
          <w:rFonts w:ascii="Arial" w:hAnsi="Arial" w:cs="Arial"/>
          <w:b/>
          <w:bCs/>
          <w:sz w:val="24"/>
          <w:szCs w:val="24"/>
          <w:lang w:val="es-ES"/>
        </w:rPr>
      </w:pPr>
    </w:p>
    <w:p w:rsidR="00931F61" w:rsidRPr="009E387B" w:rsidRDefault="00931F61" w:rsidP="009E387B">
      <w:pPr>
        <w:spacing w:after="0" w:line="288" w:lineRule="auto"/>
        <w:ind w:right="-232"/>
        <w:jc w:val="both"/>
        <w:rPr>
          <w:rFonts w:ascii="Arial" w:hAnsi="Arial" w:cs="Arial"/>
          <w:b/>
          <w:bCs/>
          <w:sz w:val="24"/>
          <w:szCs w:val="24"/>
          <w:lang w:val="es-ES"/>
        </w:rPr>
      </w:pPr>
      <w:r w:rsidRPr="009E387B">
        <w:rPr>
          <w:rFonts w:ascii="Arial" w:hAnsi="Arial" w:cs="Arial"/>
          <w:b/>
          <w:bCs/>
          <w:sz w:val="24"/>
          <w:szCs w:val="24"/>
          <w:lang w:val="es-ES"/>
        </w:rPr>
        <w:t>5.1  Defensor (recurrente)</w:t>
      </w:r>
    </w:p>
    <w:p w:rsidR="00931F61" w:rsidRPr="009E387B" w:rsidRDefault="00931F61" w:rsidP="009E387B">
      <w:p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(Sinopsis) </w:t>
      </w:r>
    </w:p>
    <w:p w:rsidR="00931F61" w:rsidRPr="009E387B" w:rsidRDefault="00931F61" w:rsidP="009E387B">
      <w:pPr>
        <w:spacing w:after="0" w:line="288" w:lineRule="auto"/>
        <w:ind w:right="-232"/>
        <w:jc w:val="both"/>
        <w:rPr>
          <w:rFonts w:ascii="Arial" w:hAnsi="Arial" w:cs="Arial"/>
          <w:bCs/>
          <w:sz w:val="24"/>
          <w:szCs w:val="24"/>
          <w:lang w:val="es-ES"/>
        </w:rPr>
      </w:pPr>
    </w:p>
    <w:p w:rsidR="00931F61" w:rsidRPr="009E387B" w:rsidRDefault="0061183C"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P</w:t>
      </w:r>
      <w:r w:rsidR="00561BD9" w:rsidRPr="009E387B">
        <w:rPr>
          <w:rFonts w:ascii="Arial" w:hAnsi="Arial" w:cs="Arial"/>
          <w:bCs/>
          <w:sz w:val="24"/>
          <w:szCs w:val="24"/>
          <w:lang w:val="es-ES"/>
        </w:rPr>
        <w:t>lantea si ante la aceptación de cargos es posible dosificar la pena a imponer teniendo en cuenta el dispositivo amplificador de la tentativa aunque no haya sido parte de la imputación jurídica</w:t>
      </w:r>
      <w:r w:rsidRPr="009E387B">
        <w:rPr>
          <w:rFonts w:ascii="Arial" w:hAnsi="Arial" w:cs="Arial"/>
          <w:bCs/>
          <w:sz w:val="24"/>
          <w:szCs w:val="24"/>
          <w:lang w:val="es-ES"/>
        </w:rPr>
        <w:t>, p</w:t>
      </w:r>
      <w:r w:rsidR="00561BD9" w:rsidRPr="009E387B">
        <w:rPr>
          <w:rFonts w:ascii="Arial" w:hAnsi="Arial" w:cs="Arial"/>
          <w:bCs/>
          <w:sz w:val="24"/>
          <w:szCs w:val="24"/>
          <w:lang w:val="es-ES"/>
        </w:rPr>
        <w:t xml:space="preserve">ara lo cual citó la sentencia </w:t>
      </w:r>
      <w:r w:rsidR="00931F61" w:rsidRPr="009E387B">
        <w:rPr>
          <w:rFonts w:ascii="Arial" w:hAnsi="Arial" w:cs="Arial"/>
          <w:bCs/>
          <w:sz w:val="24"/>
          <w:szCs w:val="24"/>
          <w:lang w:val="es-ES"/>
        </w:rPr>
        <w:t>No</w:t>
      </w:r>
      <w:r w:rsidR="00561BD9" w:rsidRPr="009E387B">
        <w:rPr>
          <w:rFonts w:ascii="Arial" w:hAnsi="Arial" w:cs="Arial"/>
          <w:bCs/>
          <w:sz w:val="24"/>
          <w:szCs w:val="24"/>
          <w:lang w:val="es-ES"/>
        </w:rPr>
        <w:t>.</w:t>
      </w:r>
      <w:r w:rsidR="00931F61" w:rsidRPr="009E387B">
        <w:rPr>
          <w:rFonts w:ascii="Arial" w:hAnsi="Arial" w:cs="Arial"/>
          <w:bCs/>
          <w:sz w:val="24"/>
          <w:szCs w:val="24"/>
          <w:lang w:val="es-ES"/>
        </w:rPr>
        <w:t xml:space="preserve"> 31280 de la</w:t>
      </w:r>
      <w:r w:rsidR="00561BD9" w:rsidRPr="009E387B">
        <w:rPr>
          <w:rFonts w:ascii="Arial" w:hAnsi="Arial" w:cs="Arial"/>
          <w:bCs/>
          <w:sz w:val="24"/>
          <w:szCs w:val="24"/>
          <w:lang w:val="es-ES"/>
        </w:rPr>
        <w:t xml:space="preserve"> </w:t>
      </w:r>
      <w:r w:rsidR="00931F61" w:rsidRPr="009E387B">
        <w:rPr>
          <w:rFonts w:ascii="Arial" w:hAnsi="Arial" w:cs="Arial"/>
          <w:bCs/>
          <w:sz w:val="24"/>
          <w:szCs w:val="24"/>
          <w:lang w:val="es-ES"/>
        </w:rPr>
        <w:t xml:space="preserve">CSJ - </w:t>
      </w:r>
      <w:proofErr w:type="spellStart"/>
      <w:r w:rsidR="00931F61" w:rsidRPr="009E387B">
        <w:rPr>
          <w:rFonts w:ascii="Arial" w:hAnsi="Arial" w:cs="Arial"/>
          <w:bCs/>
          <w:sz w:val="24"/>
          <w:szCs w:val="24"/>
          <w:lang w:val="es-ES"/>
        </w:rPr>
        <w:t>S</w:t>
      </w:r>
      <w:r w:rsidRPr="009E387B">
        <w:rPr>
          <w:rFonts w:ascii="Arial" w:hAnsi="Arial" w:cs="Arial"/>
          <w:bCs/>
          <w:sz w:val="24"/>
          <w:szCs w:val="24"/>
          <w:lang w:val="es-ES"/>
        </w:rPr>
        <w:t>P</w:t>
      </w:r>
      <w:proofErr w:type="spellEnd"/>
      <w:r w:rsidR="00931F61" w:rsidRPr="009E387B">
        <w:rPr>
          <w:rFonts w:ascii="Arial" w:hAnsi="Arial" w:cs="Arial"/>
          <w:bCs/>
          <w:sz w:val="24"/>
          <w:szCs w:val="24"/>
          <w:lang w:val="es-ES"/>
        </w:rPr>
        <w:t xml:space="preserve">, </w:t>
      </w:r>
      <w:proofErr w:type="spellStart"/>
      <w:r w:rsidR="00931F61" w:rsidRPr="009E387B">
        <w:rPr>
          <w:rFonts w:ascii="Arial" w:hAnsi="Arial" w:cs="Arial"/>
          <w:bCs/>
          <w:sz w:val="24"/>
          <w:szCs w:val="24"/>
          <w:lang w:val="es-ES"/>
        </w:rPr>
        <w:t>MP</w:t>
      </w:r>
      <w:proofErr w:type="spellEnd"/>
      <w:r w:rsidR="00931F61" w:rsidRPr="009E387B">
        <w:rPr>
          <w:rFonts w:ascii="Arial" w:hAnsi="Arial" w:cs="Arial"/>
          <w:bCs/>
          <w:sz w:val="24"/>
          <w:szCs w:val="24"/>
          <w:lang w:val="es-ES"/>
        </w:rPr>
        <w:t xml:space="preserve"> Julio Enrique </w:t>
      </w:r>
      <w:proofErr w:type="spellStart"/>
      <w:r w:rsidR="00931F61" w:rsidRPr="009E387B">
        <w:rPr>
          <w:rFonts w:ascii="Arial" w:hAnsi="Arial" w:cs="Arial"/>
          <w:bCs/>
          <w:sz w:val="24"/>
          <w:szCs w:val="24"/>
          <w:lang w:val="es-ES"/>
        </w:rPr>
        <w:t>Socha</w:t>
      </w:r>
      <w:proofErr w:type="spellEnd"/>
      <w:r w:rsidR="00931F61" w:rsidRPr="009E387B">
        <w:rPr>
          <w:rFonts w:ascii="Arial" w:hAnsi="Arial" w:cs="Arial"/>
          <w:bCs/>
          <w:sz w:val="24"/>
          <w:szCs w:val="24"/>
          <w:lang w:val="es-ES"/>
        </w:rPr>
        <w:t xml:space="preserve"> Salamanca del 8 de julio de 2009</w:t>
      </w:r>
      <w:r w:rsidR="00561BD9" w:rsidRPr="009E387B">
        <w:rPr>
          <w:rFonts w:ascii="Arial" w:hAnsi="Arial" w:cs="Arial"/>
          <w:bCs/>
          <w:sz w:val="24"/>
          <w:szCs w:val="24"/>
          <w:lang w:val="es-ES"/>
        </w:rPr>
        <w:t>,</w:t>
      </w:r>
      <w:r w:rsidR="00931F61" w:rsidRPr="009E387B">
        <w:rPr>
          <w:rFonts w:ascii="Arial" w:hAnsi="Arial" w:cs="Arial"/>
          <w:bCs/>
          <w:sz w:val="24"/>
          <w:szCs w:val="24"/>
          <w:lang w:val="es-ES"/>
        </w:rPr>
        <w:t xml:space="preserve"> cuyas </w:t>
      </w:r>
      <w:r w:rsidR="00931F61" w:rsidRPr="009E387B">
        <w:rPr>
          <w:rFonts w:ascii="Arial" w:hAnsi="Arial" w:cs="Arial"/>
          <w:bCs/>
          <w:sz w:val="24"/>
          <w:szCs w:val="24"/>
          <w:lang w:val="es-ES"/>
        </w:rPr>
        <w:lastRenderedPageBreak/>
        <w:t xml:space="preserve">situaciones </w:t>
      </w:r>
      <w:r w:rsidR="00496C4B" w:rsidRPr="009E387B">
        <w:rPr>
          <w:rFonts w:ascii="Arial" w:hAnsi="Arial" w:cs="Arial"/>
          <w:bCs/>
          <w:sz w:val="24"/>
          <w:szCs w:val="24"/>
          <w:lang w:val="es-ES"/>
        </w:rPr>
        <w:t>f</w:t>
      </w:r>
      <w:r w:rsidR="00931F61" w:rsidRPr="009E387B">
        <w:rPr>
          <w:rFonts w:ascii="Arial" w:hAnsi="Arial" w:cs="Arial"/>
          <w:bCs/>
          <w:sz w:val="24"/>
          <w:szCs w:val="24"/>
          <w:lang w:val="es-ES"/>
        </w:rPr>
        <w:t xml:space="preserve">ácticas son homologables al caso de marras, siendo el problema jurídico y su solución, idéntico </w:t>
      </w:r>
      <w:r w:rsidR="00561BD9" w:rsidRPr="009E387B">
        <w:rPr>
          <w:rFonts w:ascii="Arial" w:hAnsi="Arial" w:cs="Arial"/>
          <w:bCs/>
          <w:sz w:val="24"/>
          <w:szCs w:val="24"/>
          <w:lang w:val="es-ES"/>
        </w:rPr>
        <w:t>a</w:t>
      </w:r>
      <w:r w:rsidR="00931F61" w:rsidRPr="009E387B">
        <w:rPr>
          <w:rFonts w:ascii="Arial" w:hAnsi="Arial" w:cs="Arial"/>
          <w:bCs/>
          <w:sz w:val="24"/>
          <w:szCs w:val="24"/>
          <w:lang w:val="es-ES"/>
        </w:rPr>
        <w:t>l</w:t>
      </w:r>
      <w:r w:rsidR="00496C4B" w:rsidRPr="009E387B">
        <w:rPr>
          <w:rFonts w:ascii="Arial" w:hAnsi="Arial" w:cs="Arial"/>
          <w:bCs/>
          <w:sz w:val="24"/>
          <w:szCs w:val="24"/>
          <w:lang w:val="es-ES"/>
        </w:rPr>
        <w:t xml:space="preserve"> acá</w:t>
      </w:r>
      <w:r w:rsidR="00931F61" w:rsidRPr="009E387B">
        <w:rPr>
          <w:rFonts w:ascii="Arial" w:hAnsi="Arial" w:cs="Arial"/>
          <w:bCs/>
          <w:sz w:val="24"/>
          <w:szCs w:val="24"/>
          <w:lang w:val="es-ES"/>
        </w:rPr>
        <w:t xml:space="preserve"> planteado.</w:t>
      </w:r>
    </w:p>
    <w:p w:rsidR="00561BD9" w:rsidRPr="009E387B" w:rsidRDefault="00561BD9" w:rsidP="009E387B">
      <w:pPr>
        <w:spacing w:after="0" w:line="288" w:lineRule="auto"/>
        <w:ind w:left="720" w:right="-232"/>
        <w:jc w:val="both"/>
        <w:rPr>
          <w:rFonts w:ascii="Arial" w:hAnsi="Arial" w:cs="Arial"/>
          <w:bCs/>
          <w:sz w:val="24"/>
          <w:szCs w:val="24"/>
          <w:lang w:val="es-ES"/>
        </w:rPr>
      </w:pPr>
    </w:p>
    <w:p w:rsidR="00931F61" w:rsidRPr="009E387B" w:rsidRDefault="00931F61"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En la citada jurisprudencia se analiz</w:t>
      </w:r>
      <w:r w:rsidR="00764C9D" w:rsidRPr="009E387B">
        <w:rPr>
          <w:rFonts w:ascii="Arial" w:hAnsi="Arial" w:cs="Arial"/>
          <w:bCs/>
          <w:sz w:val="24"/>
          <w:szCs w:val="24"/>
          <w:lang w:val="es-ES"/>
        </w:rPr>
        <w:t>ó</w:t>
      </w:r>
      <w:r w:rsidRPr="009E387B">
        <w:rPr>
          <w:rFonts w:ascii="Arial" w:hAnsi="Arial" w:cs="Arial"/>
          <w:bCs/>
          <w:sz w:val="24"/>
          <w:szCs w:val="24"/>
          <w:lang w:val="es-ES"/>
        </w:rPr>
        <w:t xml:space="preserve"> la aceptación de cargos que de forma libre y voluntaria realiza una persona al imputársele un homicidio con circunstancias de agravación, ya en audiencia de individualización de pena y sentencia, la F</w:t>
      </w:r>
      <w:r w:rsidR="00764C9D" w:rsidRPr="009E387B">
        <w:rPr>
          <w:rFonts w:ascii="Arial" w:hAnsi="Arial" w:cs="Arial"/>
          <w:bCs/>
          <w:sz w:val="24"/>
          <w:szCs w:val="24"/>
          <w:lang w:val="es-ES"/>
        </w:rPr>
        <w:t xml:space="preserve">GN </w:t>
      </w:r>
      <w:r w:rsidRPr="009E387B">
        <w:rPr>
          <w:rFonts w:ascii="Arial" w:hAnsi="Arial" w:cs="Arial"/>
          <w:bCs/>
          <w:sz w:val="24"/>
          <w:szCs w:val="24"/>
          <w:lang w:val="es-ES"/>
        </w:rPr>
        <w:t>exp</w:t>
      </w:r>
      <w:r w:rsidR="00764C9D" w:rsidRPr="009E387B">
        <w:rPr>
          <w:rFonts w:ascii="Arial" w:hAnsi="Arial" w:cs="Arial"/>
          <w:bCs/>
          <w:sz w:val="24"/>
          <w:szCs w:val="24"/>
          <w:lang w:val="es-ES"/>
        </w:rPr>
        <w:t xml:space="preserve">uso </w:t>
      </w:r>
      <w:r w:rsidRPr="009E387B">
        <w:rPr>
          <w:rFonts w:ascii="Arial" w:hAnsi="Arial" w:cs="Arial"/>
          <w:bCs/>
          <w:sz w:val="24"/>
          <w:szCs w:val="24"/>
          <w:lang w:val="es-ES"/>
        </w:rPr>
        <w:t>que por labores investigat</w:t>
      </w:r>
      <w:r w:rsidR="00764C9D" w:rsidRPr="009E387B">
        <w:rPr>
          <w:rFonts w:ascii="Arial" w:hAnsi="Arial" w:cs="Arial"/>
          <w:bCs/>
          <w:sz w:val="24"/>
          <w:szCs w:val="24"/>
          <w:lang w:val="es-ES"/>
        </w:rPr>
        <w:t>ivas</w:t>
      </w:r>
      <w:r w:rsidRPr="009E387B">
        <w:rPr>
          <w:rFonts w:ascii="Arial" w:hAnsi="Arial" w:cs="Arial"/>
          <w:bCs/>
          <w:sz w:val="24"/>
          <w:szCs w:val="24"/>
          <w:lang w:val="es-ES"/>
        </w:rPr>
        <w:t xml:space="preserve"> posteriores a ese primer estadio procesal se pudo establecer que el delito se había cometido bajo una circunstancia de exceso en la legítima defensa a favor del procesado y por consiguiente debía de reconocérsele dicha circunstancia al momento de dosificar la pena, petición negada por el </w:t>
      </w:r>
      <w:r w:rsidR="0061183C" w:rsidRPr="009E387B">
        <w:rPr>
          <w:rFonts w:ascii="Arial" w:hAnsi="Arial" w:cs="Arial"/>
          <w:bCs/>
          <w:sz w:val="24"/>
          <w:szCs w:val="24"/>
          <w:lang w:val="es-ES"/>
        </w:rPr>
        <w:t>j</w:t>
      </w:r>
      <w:r w:rsidRPr="009E387B">
        <w:rPr>
          <w:rFonts w:ascii="Arial" w:hAnsi="Arial" w:cs="Arial"/>
          <w:bCs/>
          <w:sz w:val="24"/>
          <w:szCs w:val="24"/>
          <w:lang w:val="es-ES"/>
        </w:rPr>
        <w:t xml:space="preserve">uez de </w:t>
      </w:r>
      <w:r w:rsidR="0061183C" w:rsidRPr="009E387B">
        <w:rPr>
          <w:rFonts w:ascii="Arial" w:hAnsi="Arial" w:cs="Arial"/>
          <w:bCs/>
          <w:sz w:val="24"/>
          <w:szCs w:val="24"/>
          <w:lang w:val="es-ES"/>
        </w:rPr>
        <w:t>c</w:t>
      </w:r>
      <w:r w:rsidRPr="009E387B">
        <w:rPr>
          <w:rFonts w:ascii="Arial" w:hAnsi="Arial" w:cs="Arial"/>
          <w:bCs/>
          <w:sz w:val="24"/>
          <w:szCs w:val="24"/>
          <w:lang w:val="es-ES"/>
        </w:rPr>
        <w:t xml:space="preserve">onocimiento y confirmada </w:t>
      </w:r>
      <w:r w:rsidR="00C01566" w:rsidRPr="009E387B">
        <w:rPr>
          <w:rFonts w:ascii="Arial" w:hAnsi="Arial" w:cs="Arial"/>
          <w:bCs/>
          <w:sz w:val="24"/>
          <w:szCs w:val="24"/>
          <w:lang w:val="es-ES"/>
        </w:rPr>
        <w:t xml:space="preserve">en segunda instancia </w:t>
      </w:r>
      <w:r w:rsidR="0061183C" w:rsidRPr="009E387B">
        <w:rPr>
          <w:rFonts w:ascii="Arial" w:hAnsi="Arial" w:cs="Arial"/>
          <w:bCs/>
          <w:sz w:val="24"/>
          <w:szCs w:val="24"/>
          <w:lang w:val="es-ES"/>
        </w:rPr>
        <w:t xml:space="preserve">bajo el argumento </w:t>
      </w:r>
      <w:r w:rsidRPr="009E387B">
        <w:rPr>
          <w:rFonts w:ascii="Arial" w:hAnsi="Arial" w:cs="Arial"/>
          <w:bCs/>
          <w:sz w:val="24"/>
          <w:szCs w:val="24"/>
          <w:lang w:val="es-ES"/>
        </w:rPr>
        <w:t xml:space="preserve">que ante una aceptación de </w:t>
      </w:r>
      <w:r w:rsidR="0061183C" w:rsidRPr="009E387B">
        <w:rPr>
          <w:rFonts w:ascii="Arial" w:hAnsi="Arial" w:cs="Arial"/>
          <w:bCs/>
          <w:sz w:val="24"/>
          <w:szCs w:val="24"/>
          <w:lang w:val="es-ES"/>
        </w:rPr>
        <w:t>c</w:t>
      </w:r>
      <w:r w:rsidRPr="009E387B">
        <w:rPr>
          <w:rFonts w:ascii="Arial" w:hAnsi="Arial" w:cs="Arial"/>
          <w:bCs/>
          <w:sz w:val="24"/>
          <w:szCs w:val="24"/>
          <w:lang w:val="es-ES"/>
        </w:rPr>
        <w:t>argos no se podía variar las circunstancias en que esta se dio, por lo qu</w:t>
      </w:r>
      <w:r w:rsidR="0061183C" w:rsidRPr="009E387B">
        <w:rPr>
          <w:rFonts w:ascii="Arial" w:hAnsi="Arial" w:cs="Arial"/>
          <w:bCs/>
          <w:sz w:val="24"/>
          <w:szCs w:val="24"/>
          <w:lang w:val="es-ES"/>
        </w:rPr>
        <w:t xml:space="preserve">e se acude a sede de casación en donde se </w:t>
      </w:r>
      <w:r w:rsidR="00764C9D" w:rsidRPr="009E387B">
        <w:rPr>
          <w:rFonts w:ascii="Arial" w:hAnsi="Arial" w:cs="Arial"/>
          <w:bCs/>
          <w:sz w:val="24"/>
          <w:szCs w:val="24"/>
          <w:lang w:val="es-ES"/>
        </w:rPr>
        <w:t>resuelve que</w:t>
      </w:r>
      <w:r w:rsidRPr="009E387B">
        <w:rPr>
          <w:rFonts w:ascii="Arial" w:hAnsi="Arial" w:cs="Arial"/>
          <w:bCs/>
          <w:sz w:val="24"/>
          <w:szCs w:val="24"/>
          <w:lang w:val="es-ES"/>
        </w:rPr>
        <w:t xml:space="preserve"> el juez de conocimiento s</w:t>
      </w:r>
      <w:r w:rsidR="00764C9D" w:rsidRPr="009E387B">
        <w:rPr>
          <w:rFonts w:ascii="Arial" w:hAnsi="Arial" w:cs="Arial"/>
          <w:bCs/>
          <w:sz w:val="24"/>
          <w:szCs w:val="24"/>
          <w:lang w:val="es-ES"/>
        </w:rPr>
        <w:t>í</w:t>
      </w:r>
      <w:r w:rsidRPr="009E387B">
        <w:rPr>
          <w:rFonts w:ascii="Arial" w:hAnsi="Arial" w:cs="Arial"/>
          <w:bCs/>
          <w:sz w:val="24"/>
          <w:szCs w:val="24"/>
          <w:lang w:val="es-ES"/>
        </w:rPr>
        <w:t xml:space="preserve"> debió de aceptar esa circunstancia</w:t>
      </w:r>
      <w:r w:rsidR="00764C9D" w:rsidRPr="009E387B">
        <w:rPr>
          <w:rFonts w:ascii="Arial" w:hAnsi="Arial" w:cs="Arial"/>
          <w:bCs/>
          <w:sz w:val="24"/>
          <w:szCs w:val="24"/>
          <w:lang w:val="es-ES"/>
        </w:rPr>
        <w:t xml:space="preserve"> disminuyente</w:t>
      </w:r>
      <w:r w:rsidRPr="009E387B">
        <w:rPr>
          <w:rFonts w:ascii="Arial" w:hAnsi="Arial" w:cs="Arial"/>
          <w:bCs/>
          <w:sz w:val="24"/>
          <w:szCs w:val="24"/>
          <w:lang w:val="es-ES"/>
        </w:rPr>
        <w:t xml:space="preserve"> de responsabilidad al momento de tasar la pena a pesar de no haber sido señalada en la imputación inicial.</w:t>
      </w:r>
    </w:p>
    <w:p w:rsidR="00764C9D" w:rsidRPr="009E387B" w:rsidRDefault="00764C9D" w:rsidP="009E387B">
      <w:pPr>
        <w:spacing w:after="0" w:line="288" w:lineRule="auto"/>
        <w:ind w:right="-232"/>
        <w:jc w:val="both"/>
        <w:rPr>
          <w:rFonts w:ascii="Arial" w:hAnsi="Arial" w:cs="Arial"/>
          <w:bCs/>
          <w:sz w:val="24"/>
          <w:szCs w:val="24"/>
          <w:lang w:val="es-ES"/>
        </w:rPr>
      </w:pPr>
    </w:p>
    <w:p w:rsidR="00764C9D" w:rsidRPr="009E387B" w:rsidRDefault="00764C9D"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Dicha </w:t>
      </w:r>
      <w:r w:rsidR="00931F61" w:rsidRPr="009E387B">
        <w:rPr>
          <w:rFonts w:ascii="Arial" w:hAnsi="Arial" w:cs="Arial"/>
          <w:bCs/>
          <w:sz w:val="24"/>
          <w:szCs w:val="24"/>
          <w:lang w:val="es-ES"/>
        </w:rPr>
        <w:t>facultad es lógica en pro del principio de legalidad, si se tiene en cuenta que el acto de imputación se compone de dos elementos, narración fáctica y la adecuación jurídica, siendo la primera la base de la figura de aceptación de cargos y su inmutabilidad.</w:t>
      </w:r>
    </w:p>
    <w:p w:rsidR="00764C9D" w:rsidRPr="009E387B" w:rsidRDefault="00764C9D" w:rsidP="00D323BD">
      <w:pPr>
        <w:spacing w:after="0" w:line="288" w:lineRule="auto"/>
        <w:ind w:right="-232"/>
        <w:jc w:val="both"/>
        <w:rPr>
          <w:rFonts w:ascii="Arial" w:hAnsi="Arial" w:cs="Arial"/>
          <w:bCs/>
          <w:sz w:val="24"/>
          <w:szCs w:val="24"/>
          <w:lang w:val="es-ES"/>
        </w:rPr>
      </w:pPr>
    </w:p>
    <w:p w:rsidR="00931F61" w:rsidRPr="009E387B" w:rsidRDefault="00931F61"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Cosa distinta ocurre con</w:t>
      </w:r>
      <w:r w:rsidR="00C01566" w:rsidRPr="009E387B">
        <w:rPr>
          <w:rFonts w:ascii="Arial" w:hAnsi="Arial" w:cs="Arial"/>
          <w:bCs/>
          <w:sz w:val="24"/>
          <w:szCs w:val="24"/>
          <w:lang w:val="es-ES"/>
        </w:rPr>
        <w:t xml:space="preserve"> </w:t>
      </w:r>
      <w:r w:rsidRPr="009E387B">
        <w:rPr>
          <w:rFonts w:ascii="Arial" w:hAnsi="Arial" w:cs="Arial"/>
          <w:bCs/>
          <w:sz w:val="24"/>
          <w:szCs w:val="24"/>
          <w:lang w:val="es-ES"/>
        </w:rPr>
        <w:t xml:space="preserve">la imputación jurídica, pues en ella se ve necesario tener conocimientos claros, precisos y particulares en la ciencia del derecho que permitan adecuar ese comportamiento humano a una descripción típica constitutiva de delito, siendo más complicado y objeto de equivocaciones por parte de </w:t>
      </w:r>
      <w:r w:rsidR="00764C9D" w:rsidRPr="009E387B">
        <w:rPr>
          <w:rFonts w:ascii="Arial" w:hAnsi="Arial" w:cs="Arial"/>
          <w:bCs/>
          <w:sz w:val="24"/>
          <w:szCs w:val="24"/>
          <w:lang w:val="es-ES"/>
        </w:rPr>
        <w:t>l</w:t>
      </w:r>
      <w:r w:rsidRPr="009E387B">
        <w:rPr>
          <w:rFonts w:ascii="Arial" w:hAnsi="Arial" w:cs="Arial"/>
          <w:bCs/>
          <w:sz w:val="24"/>
          <w:szCs w:val="24"/>
          <w:lang w:val="es-ES"/>
        </w:rPr>
        <w:t>os diversos intervinientes</w:t>
      </w:r>
      <w:r w:rsidR="00B85BCD" w:rsidRPr="009E387B">
        <w:rPr>
          <w:rFonts w:ascii="Arial" w:hAnsi="Arial" w:cs="Arial"/>
          <w:bCs/>
          <w:sz w:val="24"/>
          <w:szCs w:val="24"/>
          <w:lang w:val="es-ES"/>
        </w:rPr>
        <w:t xml:space="preserve"> e </w:t>
      </w:r>
      <w:r w:rsidRPr="009E387B">
        <w:rPr>
          <w:rFonts w:ascii="Arial" w:hAnsi="Arial" w:cs="Arial"/>
          <w:bCs/>
          <w:sz w:val="24"/>
          <w:szCs w:val="24"/>
          <w:lang w:val="es-ES"/>
        </w:rPr>
        <w:t xml:space="preserve">inclusive, en la imputación </w:t>
      </w:r>
      <w:r w:rsidR="00B85BCD" w:rsidRPr="009E387B">
        <w:rPr>
          <w:rFonts w:ascii="Arial" w:hAnsi="Arial" w:cs="Arial"/>
          <w:bCs/>
          <w:sz w:val="24"/>
          <w:szCs w:val="24"/>
          <w:lang w:val="es-ES"/>
        </w:rPr>
        <w:t xml:space="preserve">puede existir </w:t>
      </w:r>
      <w:r w:rsidRPr="009E387B">
        <w:rPr>
          <w:rFonts w:ascii="Arial" w:hAnsi="Arial" w:cs="Arial"/>
          <w:bCs/>
          <w:sz w:val="24"/>
          <w:szCs w:val="24"/>
          <w:lang w:val="es-ES"/>
        </w:rPr>
        <w:t>un err</w:t>
      </w:r>
      <w:r w:rsidR="00B85BCD" w:rsidRPr="009E387B">
        <w:rPr>
          <w:rFonts w:ascii="Arial" w:hAnsi="Arial" w:cs="Arial"/>
          <w:bCs/>
          <w:sz w:val="24"/>
          <w:szCs w:val="24"/>
          <w:lang w:val="es-ES"/>
        </w:rPr>
        <w:t xml:space="preserve">or en </w:t>
      </w:r>
      <w:r w:rsidRPr="009E387B">
        <w:rPr>
          <w:rFonts w:ascii="Arial" w:hAnsi="Arial" w:cs="Arial"/>
          <w:bCs/>
          <w:sz w:val="24"/>
          <w:szCs w:val="24"/>
          <w:lang w:val="es-ES"/>
        </w:rPr>
        <w:t>su adecuación jurídica</w:t>
      </w:r>
      <w:r w:rsidR="00C01566" w:rsidRPr="009E387B">
        <w:rPr>
          <w:rFonts w:ascii="Arial" w:hAnsi="Arial" w:cs="Arial"/>
          <w:bCs/>
          <w:sz w:val="24"/>
          <w:szCs w:val="24"/>
          <w:lang w:val="es-ES"/>
        </w:rPr>
        <w:t xml:space="preserve"> que </w:t>
      </w:r>
      <w:r w:rsidRPr="009E387B">
        <w:rPr>
          <w:rFonts w:ascii="Arial" w:hAnsi="Arial" w:cs="Arial"/>
          <w:bCs/>
          <w:sz w:val="24"/>
          <w:szCs w:val="24"/>
          <w:lang w:val="es-ES"/>
        </w:rPr>
        <w:t>nace de la F</w:t>
      </w:r>
      <w:r w:rsidR="00B85BCD" w:rsidRPr="009E387B">
        <w:rPr>
          <w:rFonts w:ascii="Arial" w:hAnsi="Arial" w:cs="Arial"/>
          <w:bCs/>
          <w:sz w:val="24"/>
          <w:szCs w:val="24"/>
          <w:lang w:val="es-ES"/>
        </w:rPr>
        <w:t>GN</w:t>
      </w:r>
      <w:r w:rsidRPr="009E387B">
        <w:rPr>
          <w:rFonts w:ascii="Arial" w:hAnsi="Arial" w:cs="Arial"/>
          <w:bCs/>
          <w:sz w:val="24"/>
          <w:szCs w:val="24"/>
          <w:lang w:val="es-ES"/>
        </w:rPr>
        <w:t xml:space="preserve">, es avalada por un </w:t>
      </w:r>
      <w:r w:rsidR="00B85BCD" w:rsidRPr="009E387B">
        <w:rPr>
          <w:rFonts w:ascii="Arial" w:hAnsi="Arial" w:cs="Arial"/>
          <w:bCs/>
          <w:sz w:val="24"/>
          <w:szCs w:val="24"/>
          <w:lang w:val="es-ES"/>
        </w:rPr>
        <w:t>j</w:t>
      </w:r>
      <w:r w:rsidRPr="009E387B">
        <w:rPr>
          <w:rFonts w:ascii="Arial" w:hAnsi="Arial" w:cs="Arial"/>
          <w:bCs/>
          <w:sz w:val="24"/>
          <w:szCs w:val="24"/>
          <w:lang w:val="es-ES"/>
        </w:rPr>
        <w:t>uez y logra pasar el filtro del defensor y Ministerio Publico si se hace presente. Por todo lo anterior es factible concluir entonces que el yerro jurídico al momento de imputar</w:t>
      </w:r>
      <w:r w:rsidR="00764C9D" w:rsidRPr="009E387B">
        <w:rPr>
          <w:rFonts w:ascii="Arial" w:hAnsi="Arial" w:cs="Arial"/>
          <w:bCs/>
          <w:sz w:val="24"/>
          <w:szCs w:val="24"/>
          <w:lang w:val="es-ES"/>
        </w:rPr>
        <w:t xml:space="preserve"> </w:t>
      </w:r>
      <w:r w:rsidRPr="009E387B">
        <w:rPr>
          <w:rFonts w:ascii="Arial" w:hAnsi="Arial" w:cs="Arial"/>
          <w:bCs/>
          <w:sz w:val="24"/>
          <w:szCs w:val="24"/>
          <w:lang w:val="es-ES"/>
        </w:rPr>
        <w:t>es posible y los operadores judiciales no pueden abstenerse de purgarlo bajo ciertos parámetros normativos</w:t>
      </w:r>
      <w:r w:rsidR="00B85BCD" w:rsidRPr="009E387B">
        <w:rPr>
          <w:rFonts w:ascii="Arial" w:hAnsi="Arial" w:cs="Arial"/>
          <w:bCs/>
          <w:sz w:val="24"/>
          <w:szCs w:val="24"/>
          <w:lang w:val="es-ES"/>
        </w:rPr>
        <w:t>.</w:t>
      </w:r>
    </w:p>
    <w:p w:rsidR="00764C9D" w:rsidRPr="009E387B" w:rsidRDefault="00764C9D" w:rsidP="009E387B">
      <w:pPr>
        <w:spacing w:after="0" w:line="288" w:lineRule="auto"/>
        <w:ind w:left="360" w:right="-232"/>
        <w:jc w:val="both"/>
        <w:rPr>
          <w:rFonts w:ascii="Arial" w:hAnsi="Arial" w:cs="Arial"/>
          <w:bCs/>
          <w:sz w:val="24"/>
          <w:szCs w:val="24"/>
          <w:lang w:val="es-ES"/>
        </w:rPr>
      </w:pPr>
    </w:p>
    <w:p w:rsidR="00931F61" w:rsidRPr="009E387B" w:rsidRDefault="00764C9D"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Consideró que como la respuesta es positiva en el entendido que el juez de conocimiento puede tener en cuenta el dispositivo amplificador </w:t>
      </w:r>
      <w:r w:rsidR="007A648B" w:rsidRPr="009E387B">
        <w:rPr>
          <w:rFonts w:ascii="Arial" w:hAnsi="Arial" w:cs="Arial"/>
          <w:bCs/>
          <w:sz w:val="24"/>
          <w:szCs w:val="24"/>
          <w:lang w:val="es-ES"/>
        </w:rPr>
        <w:t xml:space="preserve">del tipo de la tentativa, es necesario analizar si en el presente </w:t>
      </w:r>
      <w:r w:rsidR="0007579D" w:rsidRPr="009E387B">
        <w:rPr>
          <w:rFonts w:ascii="Arial" w:hAnsi="Arial" w:cs="Arial"/>
          <w:bCs/>
          <w:sz w:val="24"/>
          <w:szCs w:val="24"/>
          <w:lang w:val="es-ES"/>
        </w:rPr>
        <w:t xml:space="preserve">caso </w:t>
      </w:r>
      <w:r w:rsidR="00931F61" w:rsidRPr="009E387B">
        <w:rPr>
          <w:rFonts w:ascii="Arial" w:hAnsi="Arial" w:cs="Arial"/>
          <w:bCs/>
          <w:sz w:val="24"/>
          <w:szCs w:val="24"/>
          <w:lang w:val="es-ES"/>
        </w:rPr>
        <w:t>efectivamente existió o no esa circunstancia de atenuación punitiva.</w:t>
      </w:r>
    </w:p>
    <w:p w:rsidR="00931F61" w:rsidRPr="009E387B" w:rsidRDefault="00931F61" w:rsidP="00D323BD">
      <w:pPr>
        <w:spacing w:after="0" w:line="288" w:lineRule="auto"/>
        <w:ind w:right="-232"/>
        <w:jc w:val="both"/>
        <w:rPr>
          <w:rFonts w:ascii="Arial" w:hAnsi="Arial" w:cs="Arial"/>
          <w:bCs/>
          <w:sz w:val="24"/>
          <w:szCs w:val="24"/>
          <w:lang w:val="es-ES"/>
        </w:rPr>
      </w:pPr>
    </w:p>
    <w:p w:rsidR="00A45419" w:rsidRPr="009E387B" w:rsidRDefault="00931F61"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Doctrinariamente se ha dividido el inter </w:t>
      </w:r>
      <w:proofErr w:type="spellStart"/>
      <w:r w:rsidRPr="009E387B">
        <w:rPr>
          <w:rFonts w:ascii="Arial" w:hAnsi="Arial" w:cs="Arial"/>
          <w:bCs/>
          <w:sz w:val="24"/>
          <w:szCs w:val="24"/>
          <w:lang w:val="es-ES"/>
        </w:rPr>
        <w:t>críminis</w:t>
      </w:r>
      <w:proofErr w:type="spellEnd"/>
      <w:r w:rsidRPr="009E387B">
        <w:rPr>
          <w:rFonts w:ascii="Arial" w:hAnsi="Arial" w:cs="Arial"/>
          <w:bCs/>
          <w:sz w:val="24"/>
          <w:szCs w:val="24"/>
          <w:lang w:val="es-ES"/>
        </w:rPr>
        <w:t xml:space="preserve"> en cuatro etapas, la </w:t>
      </w:r>
      <w:r w:rsidR="0007579D" w:rsidRPr="009E387B">
        <w:rPr>
          <w:rFonts w:ascii="Arial" w:hAnsi="Arial" w:cs="Arial"/>
          <w:bCs/>
          <w:sz w:val="24"/>
          <w:szCs w:val="24"/>
          <w:lang w:val="es-ES"/>
        </w:rPr>
        <w:t>i</w:t>
      </w:r>
      <w:r w:rsidRPr="009E387B">
        <w:rPr>
          <w:rFonts w:ascii="Arial" w:hAnsi="Arial" w:cs="Arial"/>
          <w:bCs/>
          <w:sz w:val="24"/>
          <w:szCs w:val="24"/>
          <w:lang w:val="es-ES"/>
        </w:rPr>
        <w:t xml:space="preserve">deación, preparación, ejecución y consumación, </w:t>
      </w:r>
      <w:r w:rsidR="0007579D" w:rsidRPr="009E387B">
        <w:rPr>
          <w:rFonts w:ascii="Arial" w:hAnsi="Arial" w:cs="Arial"/>
          <w:bCs/>
          <w:sz w:val="24"/>
          <w:szCs w:val="24"/>
          <w:lang w:val="es-ES"/>
        </w:rPr>
        <w:t>este último del cual no pas</w:t>
      </w:r>
      <w:r w:rsidR="00A45419" w:rsidRPr="009E387B">
        <w:rPr>
          <w:rFonts w:ascii="Arial" w:hAnsi="Arial" w:cs="Arial"/>
          <w:bCs/>
          <w:sz w:val="24"/>
          <w:szCs w:val="24"/>
          <w:lang w:val="es-ES"/>
        </w:rPr>
        <w:t>ó el procesado, pues si bien superó las dos primeras fases</w:t>
      </w:r>
      <w:r w:rsidRPr="009E387B">
        <w:rPr>
          <w:rFonts w:ascii="Arial" w:hAnsi="Arial" w:cs="Arial"/>
          <w:bCs/>
          <w:sz w:val="24"/>
          <w:szCs w:val="24"/>
          <w:lang w:val="es-ES"/>
        </w:rPr>
        <w:t xml:space="preserve">, ya que por razonabilidad se puede sustraer que al ver un carro abandonada en vía </w:t>
      </w:r>
      <w:r w:rsidR="00A45419" w:rsidRPr="009E387B">
        <w:rPr>
          <w:rFonts w:ascii="Arial" w:hAnsi="Arial" w:cs="Arial"/>
          <w:bCs/>
          <w:sz w:val="24"/>
          <w:szCs w:val="24"/>
          <w:lang w:val="es-ES"/>
        </w:rPr>
        <w:t>pública</w:t>
      </w:r>
      <w:r w:rsidRPr="009E387B">
        <w:rPr>
          <w:rFonts w:ascii="Arial" w:hAnsi="Arial" w:cs="Arial"/>
          <w:bCs/>
          <w:sz w:val="24"/>
          <w:szCs w:val="24"/>
          <w:lang w:val="es-ES"/>
        </w:rPr>
        <w:t xml:space="preserve">, ideo la forma de </w:t>
      </w:r>
      <w:r w:rsidR="00A45419" w:rsidRPr="009E387B">
        <w:rPr>
          <w:rFonts w:ascii="Arial" w:hAnsi="Arial" w:cs="Arial"/>
          <w:bCs/>
          <w:sz w:val="24"/>
          <w:szCs w:val="24"/>
          <w:lang w:val="es-ES"/>
        </w:rPr>
        <w:t xml:space="preserve">sustraer partes y elementos al interior de este </w:t>
      </w:r>
      <w:r w:rsidRPr="009E387B">
        <w:rPr>
          <w:rFonts w:ascii="Arial" w:hAnsi="Arial" w:cs="Arial"/>
          <w:bCs/>
          <w:sz w:val="24"/>
          <w:szCs w:val="24"/>
          <w:lang w:val="es-ES"/>
        </w:rPr>
        <w:t>y proyectó como iba a apropiarse del espejo y posteriormente intentar abrir el vehículo (ideación), posteriormente hubo de verificar que no estuviera bajo la mirada de alguna persona y que fuera posible realizar el acto sin ser descubierto (prepara</w:t>
      </w:r>
      <w:r w:rsidR="00A45419" w:rsidRPr="009E387B">
        <w:rPr>
          <w:rFonts w:ascii="Arial" w:hAnsi="Arial" w:cs="Arial"/>
          <w:bCs/>
          <w:sz w:val="24"/>
          <w:szCs w:val="24"/>
          <w:lang w:val="es-ES"/>
        </w:rPr>
        <w:t>ción</w:t>
      </w:r>
      <w:r w:rsidRPr="009E387B">
        <w:rPr>
          <w:rFonts w:ascii="Arial" w:hAnsi="Arial" w:cs="Arial"/>
          <w:bCs/>
          <w:sz w:val="24"/>
          <w:szCs w:val="24"/>
          <w:lang w:val="es-ES"/>
        </w:rPr>
        <w:t xml:space="preserve">), ya </w:t>
      </w:r>
      <w:r w:rsidRPr="009E387B">
        <w:rPr>
          <w:rFonts w:ascii="Arial" w:hAnsi="Arial" w:cs="Arial"/>
          <w:bCs/>
          <w:sz w:val="24"/>
          <w:szCs w:val="24"/>
          <w:lang w:val="es-ES"/>
        </w:rPr>
        <w:lastRenderedPageBreak/>
        <w:t xml:space="preserve">una vez tenía una probabilidad de éxito, se dirigió al vehículo, arranco el espejo retrovisor, puso este en su pretina </w:t>
      </w:r>
      <w:r w:rsidR="00A45419" w:rsidRPr="009E387B">
        <w:rPr>
          <w:rFonts w:ascii="Arial" w:hAnsi="Arial" w:cs="Arial"/>
          <w:bCs/>
          <w:sz w:val="24"/>
          <w:szCs w:val="24"/>
          <w:lang w:val="es-ES"/>
        </w:rPr>
        <w:t xml:space="preserve">para tener las manos libres </w:t>
      </w:r>
      <w:r w:rsidRPr="009E387B">
        <w:rPr>
          <w:rFonts w:ascii="Arial" w:hAnsi="Arial" w:cs="Arial"/>
          <w:bCs/>
          <w:sz w:val="24"/>
          <w:szCs w:val="24"/>
          <w:lang w:val="es-ES"/>
        </w:rPr>
        <w:t>y así abrir el vehículo y hurtar los elementos al interior de este, siendo interceptado por los agentes de Policía sin que alcanzara a abrir el vehículo. Son esas dos últimas fases las que son objeto de discusión</w:t>
      </w:r>
      <w:r w:rsidR="00A45419" w:rsidRPr="009E387B">
        <w:rPr>
          <w:rFonts w:ascii="Arial" w:hAnsi="Arial" w:cs="Arial"/>
          <w:bCs/>
          <w:sz w:val="24"/>
          <w:szCs w:val="24"/>
          <w:lang w:val="es-ES"/>
        </w:rPr>
        <w:t>.</w:t>
      </w:r>
    </w:p>
    <w:p w:rsidR="00A45419" w:rsidRPr="009E387B" w:rsidRDefault="00A45419" w:rsidP="00D323BD">
      <w:pPr>
        <w:spacing w:after="0" w:line="288" w:lineRule="auto"/>
        <w:ind w:right="-232"/>
        <w:jc w:val="both"/>
        <w:rPr>
          <w:rFonts w:ascii="Arial" w:hAnsi="Arial" w:cs="Arial"/>
          <w:bCs/>
          <w:sz w:val="24"/>
          <w:szCs w:val="24"/>
          <w:lang w:val="es-ES"/>
        </w:rPr>
      </w:pPr>
    </w:p>
    <w:p w:rsidR="00931F61" w:rsidRDefault="00931F61"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Es de señalar que la delimitación entre el grado de tentativa y consumado ha sido ampliamente debatida por la judicatura y para el </w:t>
      </w:r>
      <w:r w:rsidR="00A45419" w:rsidRPr="009E387B">
        <w:rPr>
          <w:rFonts w:ascii="Arial" w:hAnsi="Arial" w:cs="Arial"/>
          <w:bCs/>
          <w:sz w:val="24"/>
          <w:szCs w:val="24"/>
          <w:lang w:val="es-ES"/>
        </w:rPr>
        <w:t>interés</w:t>
      </w:r>
      <w:r w:rsidRPr="009E387B">
        <w:rPr>
          <w:rFonts w:ascii="Arial" w:hAnsi="Arial" w:cs="Arial"/>
          <w:bCs/>
          <w:sz w:val="24"/>
          <w:szCs w:val="24"/>
          <w:lang w:val="es-ES"/>
        </w:rPr>
        <w:t xml:space="preserve"> de la presente se acogió</w:t>
      </w:r>
      <w:r w:rsidR="00A45419" w:rsidRPr="009E387B">
        <w:rPr>
          <w:rFonts w:ascii="Arial" w:hAnsi="Arial" w:cs="Arial"/>
          <w:bCs/>
          <w:sz w:val="24"/>
          <w:szCs w:val="24"/>
          <w:lang w:val="es-ES"/>
        </w:rPr>
        <w:t xml:space="preserve"> </w:t>
      </w:r>
      <w:r w:rsidRPr="009E387B">
        <w:rPr>
          <w:rFonts w:ascii="Arial" w:hAnsi="Arial" w:cs="Arial"/>
          <w:bCs/>
          <w:sz w:val="24"/>
          <w:szCs w:val="24"/>
          <w:lang w:val="es-ES"/>
        </w:rPr>
        <w:t xml:space="preserve">pacíficamente hasta la fecha la teoría de la </w:t>
      </w:r>
      <w:r w:rsidR="00A45419" w:rsidRPr="009E387B">
        <w:rPr>
          <w:rFonts w:ascii="Arial" w:hAnsi="Arial" w:cs="Arial"/>
          <w:bCs/>
          <w:sz w:val="24"/>
          <w:szCs w:val="24"/>
          <w:lang w:val="es-ES"/>
        </w:rPr>
        <w:t>e</w:t>
      </w:r>
      <w:r w:rsidRPr="009E387B">
        <w:rPr>
          <w:rFonts w:ascii="Arial" w:hAnsi="Arial" w:cs="Arial"/>
          <w:bCs/>
          <w:sz w:val="24"/>
          <w:szCs w:val="24"/>
          <w:lang w:val="es-ES"/>
        </w:rPr>
        <w:t xml:space="preserve">sfera de </w:t>
      </w:r>
      <w:r w:rsidR="00A45419" w:rsidRPr="009E387B">
        <w:rPr>
          <w:rFonts w:ascii="Arial" w:hAnsi="Arial" w:cs="Arial"/>
          <w:bCs/>
          <w:sz w:val="24"/>
          <w:szCs w:val="24"/>
          <w:lang w:val="es-ES"/>
        </w:rPr>
        <w:t>p</w:t>
      </w:r>
      <w:r w:rsidRPr="009E387B">
        <w:rPr>
          <w:rFonts w:ascii="Arial" w:hAnsi="Arial" w:cs="Arial"/>
          <w:bCs/>
          <w:sz w:val="24"/>
          <w:szCs w:val="24"/>
          <w:lang w:val="es-ES"/>
        </w:rPr>
        <w:t xml:space="preserve">rotección, citando para ello la sentencia </w:t>
      </w:r>
      <w:r w:rsidR="00C01566" w:rsidRPr="009E387B">
        <w:rPr>
          <w:rFonts w:ascii="Arial" w:hAnsi="Arial" w:cs="Arial"/>
          <w:bCs/>
          <w:sz w:val="24"/>
          <w:szCs w:val="24"/>
          <w:lang w:val="es-ES"/>
        </w:rPr>
        <w:t xml:space="preserve">No. </w:t>
      </w:r>
      <w:r w:rsidRPr="009E387B">
        <w:rPr>
          <w:rFonts w:ascii="Arial" w:hAnsi="Arial" w:cs="Arial"/>
          <w:bCs/>
          <w:sz w:val="24"/>
          <w:szCs w:val="24"/>
          <w:lang w:val="es-ES"/>
        </w:rPr>
        <w:t>21558 de 2005</w:t>
      </w:r>
      <w:r w:rsidR="00C01566" w:rsidRPr="009E387B">
        <w:rPr>
          <w:rFonts w:ascii="Arial" w:hAnsi="Arial" w:cs="Arial"/>
          <w:bCs/>
          <w:sz w:val="24"/>
          <w:szCs w:val="24"/>
          <w:lang w:val="es-ES"/>
        </w:rPr>
        <w:t xml:space="preserve"> de la CSJ, pero, esta</w:t>
      </w:r>
      <w:r w:rsidR="00D53ED6" w:rsidRPr="009E387B">
        <w:rPr>
          <w:rFonts w:ascii="Arial" w:hAnsi="Arial" w:cs="Arial"/>
          <w:bCs/>
          <w:sz w:val="24"/>
          <w:szCs w:val="24"/>
          <w:lang w:val="es-ES"/>
        </w:rPr>
        <w:t xml:space="preserve"> no ofrece una respuesta </w:t>
      </w:r>
      <w:r w:rsidR="00B85BCD" w:rsidRPr="009E387B">
        <w:rPr>
          <w:rFonts w:ascii="Arial" w:hAnsi="Arial" w:cs="Arial"/>
          <w:bCs/>
          <w:sz w:val="24"/>
          <w:szCs w:val="24"/>
          <w:lang w:val="es-ES"/>
        </w:rPr>
        <w:t>en e</w:t>
      </w:r>
      <w:r w:rsidR="00C01566" w:rsidRPr="009E387B">
        <w:rPr>
          <w:rFonts w:ascii="Arial" w:hAnsi="Arial" w:cs="Arial"/>
          <w:bCs/>
          <w:sz w:val="24"/>
          <w:szCs w:val="24"/>
          <w:lang w:val="es-ES"/>
        </w:rPr>
        <w:t>l</w:t>
      </w:r>
      <w:r w:rsidR="00B85BCD" w:rsidRPr="009E387B">
        <w:rPr>
          <w:rFonts w:ascii="Arial" w:hAnsi="Arial" w:cs="Arial"/>
          <w:bCs/>
          <w:sz w:val="24"/>
          <w:szCs w:val="24"/>
          <w:lang w:val="es-ES"/>
        </w:rPr>
        <w:t xml:space="preserve"> preciso caso </w:t>
      </w:r>
      <w:r w:rsidR="00D53ED6" w:rsidRPr="009E387B">
        <w:rPr>
          <w:rFonts w:ascii="Arial" w:hAnsi="Arial" w:cs="Arial"/>
          <w:bCs/>
          <w:sz w:val="24"/>
          <w:szCs w:val="24"/>
          <w:lang w:val="es-ES"/>
        </w:rPr>
        <w:t xml:space="preserve">por lo que acude a la </w:t>
      </w:r>
      <w:r w:rsidRPr="009E387B">
        <w:rPr>
          <w:rFonts w:ascii="Arial" w:hAnsi="Arial" w:cs="Arial"/>
          <w:bCs/>
          <w:sz w:val="24"/>
          <w:szCs w:val="24"/>
          <w:lang w:val="es-ES"/>
        </w:rPr>
        <w:t>teoría del dominio del objeto, la cual pregona que la conducta de hurto se encuentra consumada cuando le es posible al sujeto activo disponer o disfrutar de su botín de alguna forma.</w:t>
      </w:r>
    </w:p>
    <w:p w:rsidR="00D323BD" w:rsidRPr="009E387B" w:rsidRDefault="00D323BD" w:rsidP="00D323BD">
      <w:pPr>
        <w:spacing w:after="0" w:line="288" w:lineRule="auto"/>
        <w:ind w:left="720" w:right="-232"/>
        <w:jc w:val="both"/>
        <w:rPr>
          <w:rFonts w:ascii="Arial" w:hAnsi="Arial" w:cs="Arial"/>
          <w:bCs/>
          <w:sz w:val="24"/>
          <w:szCs w:val="24"/>
          <w:lang w:val="es-ES"/>
        </w:rPr>
      </w:pPr>
    </w:p>
    <w:p w:rsidR="00931F61" w:rsidRPr="009E387B" w:rsidRDefault="00D53ED6"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L</w:t>
      </w:r>
      <w:r w:rsidR="00931F61" w:rsidRPr="009E387B">
        <w:rPr>
          <w:rFonts w:ascii="Arial" w:hAnsi="Arial" w:cs="Arial"/>
          <w:bCs/>
          <w:sz w:val="24"/>
          <w:szCs w:val="24"/>
          <w:lang w:val="es-ES"/>
        </w:rPr>
        <w:t xml:space="preserve">a finalidad subjetiva buscada por el </w:t>
      </w:r>
      <w:r w:rsidRPr="009E387B">
        <w:rPr>
          <w:rFonts w:ascii="Arial" w:hAnsi="Arial" w:cs="Arial"/>
          <w:bCs/>
          <w:sz w:val="24"/>
          <w:szCs w:val="24"/>
          <w:lang w:val="es-ES"/>
        </w:rPr>
        <w:t>s</w:t>
      </w:r>
      <w:r w:rsidR="00931F61" w:rsidRPr="009E387B">
        <w:rPr>
          <w:rFonts w:ascii="Arial" w:hAnsi="Arial" w:cs="Arial"/>
          <w:bCs/>
          <w:sz w:val="24"/>
          <w:szCs w:val="24"/>
          <w:lang w:val="es-ES"/>
        </w:rPr>
        <w:t xml:space="preserve">ujeto </w:t>
      </w:r>
      <w:r w:rsidRPr="009E387B">
        <w:rPr>
          <w:rFonts w:ascii="Arial" w:hAnsi="Arial" w:cs="Arial"/>
          <w:bCs/>
          <w:sz w:val="24"/>
          <w:szCs w:val="24"/>
          <w:lang w:val="es-ES"/>
        </w:rPr>
        <w:t>a</w:t>
      </w:r>
      <w:r w:rsidR="00931F61" w:rsidRPr="009E387B">
        <w:rPr>
          <w:rFonts w:ascii="Arial" w:hAnsi="Arial" w:cs="Arial"/>
          <w:bCs/>
          <w:sz w:val="24"/>
          <w:szCs w:val="24"/>
          <w:lang w:val="es-ES"/>
        </w:rPr>
        <w:t xml:space="preserve">ctivo de la acción, tal cual era robar distintos objetos del vehículo y no única y exclusivamente un espejo retrovisor, por lo que el desprender este elemento del automóvil fue única y exclusivamente una acción dentro de la etapa ejecutoria de la conducta delictiva deseada, siendo las siguientes abrir el vehículo, hurtar los objetos al interior de este y huir del lugar para que nadie lo descubriera. La anterior anotación </w:t>
      </w:r>
      <w:r w:rsidRPr="009E387B">
        <w:rPr>
          <w:rFonts w:ascii="Arial" w:hAnsi="Arial" w:cs="Arial"/>
          <w:bCs/>
          <w:sz w:val="24"/>
          <w:szCs w:val="24"/>
          <w:lang w:val="es-ES"/>
        </w:rPr>
        <w:t xml:space="preserve">de conformidad con </w:t>
      </w:r>
      <w:r w:rsidR="00931F61" w:rsidRPr="009E387B">
        <w:rPr>
          <w:rFonts w:ascii="Arial" w:hAnsi="Arial" w:cs="Arial"/>
          <w:bCs/>
          <w:sz w:val="24"/>
          <w:szCs w:val="24"/>
          <w:lang w:val="es-ES"/>
        </w:rPr>
        <w:t xml:space="preserve">la teoría finalista de la acción, acción que en el presente caso no fue consumativa del delito que quería el señor </w:t>
      </w:r>
      <w:proofErr w:type="spellStart"/>
      <w:r w:rsidR="00931F61" w:rsidRPr="009E387B">
        <w:rPr>
          <w:rFonts w:ascii="Arial" w:hAnsi="Arial" w:cs="Arial"/>
          <w:bCs/>
          <w:sz w:val="24"/>
          <w:szCs w:val="24"/>
          <w:lang w:val="es-ES"/>
        </w:rPr>
        <w:t>J</w:t>
      </w:r>
      <w:r w:rsidR="0061183C" w:rsidRPr="009E387B">
        <w:rPr>
          <w:rFonts w:ascii="Arial" w:hAnsi="Arial" w:cs="Arial"/>
          <w:bCs/>
          <w:sz w:val="24"/>
          <w:szCs w:val="24"/>
          <w:lang w:val="es-ES"/>
        </w:rPr>
        <w:t>A</w:t>
      </w:r>
      <w:r w:rsidR="007951D4">
        <w:rPr>
          <w:rFonts w:ascii="Arial" w:hAnsi="Arial" w:cs="Arial"/>
          <w:bCs/>
          <w:sz w:val="24"/>
          <w:szCs w:val="24"/>
          <w:lang w:val="es-ES"/>
        </w:rPr>
        <w:t>MV</w:t>
      </w:r>
      <w:proofErr w:type="spellEnd"/>
      <w:r w:rsidR="00931F61" w:rsidRPr="009E387B">
        <w:rPr>
          <w:rFonts w:ascii="Arial" w:hAnsi="Arial" w:cs="Arial"/>
          <w:bCs/>
          <w:sz w:val="24"/>
          <w:szCs w:val="24"/>
          <w:lang w:val="es-ES"/>
        </w:rPr>
        <w:t>, pues aun buscaba abrir el vehículo y robar el resto de</w:t>
      </w:r>
      <w:r w:rsidR="0061183C" w:rsidRPr="009E387B">
        <w:rPr>
          <w:rFonts w:ascii="Arial" w:hAnsi="Arial" w:cs="Arial"/>
          <w:bCs/>
          <w:sz w:val="24"/>
          <w:szCs w:val="24"/>
          <w:lang w:val="es-ES"/>
        </w:rPr>
        <w:t xml:space="preserve"> las cosas al interior de este, por lo que la conducta desplegada fue tentada.</w:t>
      </w:r>
    </w:p>
    <w:p w:rsidR="0061183C" w:rsidRPr="009E387B" w:rsidRDefault="0061183C" w:rsidP="00D323BD">
      <w:pPr>
        <w:spacing w:after="0" w:line="288" w:lineRule="auto"/>
        <w:ind w:right="-232"/>
        <w:jc w:val="both"/>
        <w:rPr>
          <w:rFonts w:ascii="Arial" w:hAnsi="Arial" w:cs="Arial"/>
          <w:bCs/>
          <w:sz w:val="24"/>
          <w:szCs w:val="24"/>
          <w:lang w:val="es-ES"/>
        </w:rPr>
      </w:pPr>
    </w:p>
    <w:p w:rsidR="0061183C" w:rsidRPr="009E387B" w:rsidRDefault="0061183C" w:rsidP="009E387B">
      <w:pPr>
        <w:numPr>
          <w:ilvl w:val="0"/>
          <w:numId w:val="8"/>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Solicitó declarara la nulidad de la sentencia de primera instancia para que el </w:t>
      </w:r>
      <w:r w:rsidRPr="009E387B">
        <w:rPr>
          <w:rFonts w:ascii="Arial" w:hAnsi="Arial" w:cs="Arial"/>
          <w:bCs/>
          <w:i/>
          <w:sz w:val="24"/>
          <w:szCs w:val="24"/>
          <w:lang w:val="es-ES"/>
        </w:rPr>
        <w:t xml:space="preserve">a quo </w:t>
      </w:r>
      <w:r w:rsidRPr="009E387B">
        <w:rPr>
          <w:rFonts w:ascii="Arial" w:hAnsi="Arial" w:cs="Arial"/>
          <w:bCs/>
          <w:sz w:val="24"/>
          <w:szCs w:val="24"/>
          <w:lang w:val="es-ES"/>
        </w:rPr>
        <w:t xml:space="preserve">se pronuncie nuevamente sobre la pena a imponer teniendo en cuenta el dispositivo amplificador del tipo de la tentativa. En forma subsidiaria requirió que se emita un nuevo fallo en forma directa. </w:t>
      </w:r>
    </w:p>
    <w:p w:rsidR="00C01566" w:rsidRPr="009E387B" w:rsidRDefault="00C01566" w:rsidP="00D323BD">
      <w:pPr>
        <w:spacing w:after="0" w:line="288" w:lineRule="auto"/>
        <w:ind w:right="-232"/>
        <w:jc w:val="both"/>
        <w:rPr>
          <w:rFonts w:ascii="Arial" w:hAnsi="Arial" w:cs="Arial"/>
          <w:bCs/>
          <w:sz w:val="24"/>
          <w:szCs w:val="24"/>
          <w:lang w:val="es-ES"/>
        </w:rPr>
      </w:pPr>
    </w:p>
    <w:p w:rsidR="00931F61" w:rsidRPr="009E387B" w:rsidRDefault="00931F61" w:rsidP="009E387B">
      <w:pPr>
        <w:spacing w:after="0" w:line="288" w:lineRule="auto"/>
        <w:ind w:right="-232"/>
        <w:jc w:val="both"/>
        <w:rPr>
          <w:rFonts w:ascii="Arial" w:hAnsi="Arial" w:cs="Arial"/>
          <w:b/>
          <w:bCs/>
          <w:sz w:val="24"/>
          <w:szCs w:val="24"/>
          <w:lang w:val="es-ES"/>
        </w:rPr>
      </w:pPr>
      <w:r w:rsidRPr="009E387B">
        <w:rPr>
          <w:rFonts w:ascii="Arial" w:hAnsi="Arial" w:cs="Arial"/>
          <w:b/>
          <w:bCs/>
          <w:sz w:val="24"/>
          <w:szCs w:val="24"/>
          <w:lang w:val="es-ES"/>
        </w:rPr>
        <w:t xml:space="preserve">5.2 </w:t>
      </w:r>
      <w:r w:rsidR="00B85BCD" w:rsidRPr="009E387B">
        <w:rPr>
          <w:rFonts w:ascii="Arial" w:hAnsi="Arial" w:cs="Arial"/>
          <w:b/>
          <w:bCs/>
          <w:sz w:val="24"/>
          <w:szCs w:val="24"/>
          <w:lang w:val="es-ES"/>
        </w:rPr>
        <w:t xml:space="preserve">Delegado FGN </w:t>
      </w:r>
      <w:r w:rsidRPr="009E387B">
        <w:rPr>
          <w:rFonts w:ascii="Arial" w:hAnsi="Arial" w:cs="Arial"/>
          <w:b/>
          <w:bCs/>
          <w:sz w:val="24"/>
          <w:szCs w:val="24"/>
          <w:lang w:val="es-ES"/>
        </w:rPr>
        <w:t>(No Recurrente)</w:t>
      </w:r>
    </w:p>
    <w:p w:rsidR="00931F61" w:rsidRPr="009E387B" w:rsidRDefault="00931F61" w:rsidP="009E387B">
      <w:p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(Sinopsis)</w:t>
      </w:r>
    </w:p>
    <w:p w:rsidR="00931F61" w:rsidRPr="009E387B" w:rsidRDefault="00931F61" w:rsidP="009E387B">
      <w:pPr>
        <w:spacing w:after="0" w:line="288" w:lineRule="auto"/>
        <w:ind w:right="-232"/>
        <w:jc w:val="both"/>
        <w:rPr>
          <w:rFonts w:ascii="Arial" w:hAnsi="Arial" w:cs="Arial"/>
          <w:bCs/>
          <w:sz w:val="24"/>
          <w:szCs w:val="24"/>
          <w:lang w:val="es-ES"/>
        </w:rPr>
      </w:pPr>
    </w:p>
    <w:p w:rsidR="00BA10EA" w:rsidRPr="009E387B" w:rsidRDefault="00BA10EA"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En cuanto a la oportunidad para debatir la aplicación del dispositivo amplificador </w:t>
      </w:r>
      <w:r w:rsidR="009A1BF1" w:rsidRPr="009E387B">
        <w:rPr>
          <w:rFonts w:ascii="Arial" w:hAnsi="Arial" w:cs="Arial"/>
          <w:bCs/>
          <w:sz w:val="24"/>
          <w:szCs w:val="24"/>
          <w:lang w:val="es-ES"/>
        </w:rPr>
        <w:t xml:space="preserve">del tipo de la tentativa se refirió a la sentencia No. </w:t>
      </w:r>
      <w:r w:rsidRPr="009E387B">
        <w:rPr>
          <w:rFonts w:ascii="Arial" w:hAnsi="Arial" w:cs="Arial"/>
          <w:bCs/>
          <w:sz w:val="24"/>
          <w:szCs w:val="24"/>
          <w:lang w:val="es-ES"/>
        </w:rPr>
        <w:t>26716 del 16 de mayo de 2007, M.P.</w:t>
      </w:r>
      <w:r w:rsidR="009A1BF1" w:rsidRPr="009E387B">
        <w:rPr>
          <w:rFonts w:ascii="Arial" w:hAnsi="Arial" w:cs="Arial"/>
          <w:bCs/>
          <w:sz w:val="24"/>
          <w:szCs w:val="24"/>
          <w:lang w:val="es-ES"/>
        </w:rPr>
        <w:t xml:space="preserve"> </w:t>
      </w:r>
      <w:proofErr w:type="spellStart"/>
      <w:r w:rsidR="009A1BF1" w:rsidRPr="009E387B">
        <w:rPr>
          <w:rFonts w:ascii="Arial" w:hAnsi="Arial" w:cs="Arial"/>
          <w:bCs/>
          <w:sz w:val="24"/>
          <w:szCs w:val="24"/>
          <w:lang w:val="es-ES"/>
        </w:rPr>
        <w:t>Sigifredo</w:t>
      </w:r>
      <w:proofErr w:type="spellEnd"/>
      <w:r w:rsidR="009A1BF1" w:rsidRPr="009E387B">
        <w:rPr>
          <w:rFonts w:ascii="Arial" w:hAnsi="Arial" w:cs="Arial"/>
          <w:bCs/>
          <w:sz w:val="24"/>
          <w:szCs w:val="24"/>
          <w:lang w:val="es-ES"/>
        </w:rPr>
        <w:t xml:space="preserve"> Espinoza Pérez, de la cual extracta que la audiencia del 447 del C.P.P.,</w:t>
      </w:r>
      <w:r w:rsidRPr="009E387B">
        <w:rPr>
          <w:rFonts w:ascii="Arial" w:hAnsi="Arial" w:cs="Arial"/>
          <w:bCs/>
          <w:sz w:val="24"/>
          <w:szCs w:val="24"/>
          <w:lang w:val="es-ES"/>
        </w:rPr>
        <w:t xml:space="preserve"> no es una nueva oportunidad que tienen las partes para referirse al tópico de responsabilidad s</w:t>
      </w:r>
      <w:r w:rsidR="009A1BF1" w:rsidRPr="009E387B">
        <w:rPr>
          <w:rFonts w:ascii="Arial" w:hAnsi="Arial" w:cs="Arial"/>
          <w:bCs/>
          <w:sz w:val="24"/>
          <w:szCs w:val="24"/>
          <w:lang w:val="es-ES"/>
        </w:rPr>
        <w:t xml:space="preserve">i se tiene en cuenta </w:t>
      </w:r>
      <w:r w:rsidRPr="009E387B">
        <w:rPr>
          <w:rFonts w:ascii="Arial" w:hAnsi="Arial" w:cs="Arial"/>
          <w:bCs/>
          <w:sz w:val="24"/>
          <w:szCs w:val="24"/>
          <w:lang w:val="es-ES"/>
        </w:rPr>
        <w:t xml:space="preserve">que desde el </w:t>
      </w:r>
      <w:r w:rsidR="009A1BF1" w:rsidRPr="009E387B">
        <w:rPr>
          <w:rFonts w:ascii="Arial" w:hAnsi="Arial" w:cs="Arial"/>
          <w:bCs/>
          <w:sz w:val="24"/>
          <w:szCs w:val="24"/>
          <w:lang w:val="es-ES"/>
        </w:rPr>
        <w:t xml:space="preserve">anuncio del sentido del fallo el juez ya </w:t>
      </w:r>
      <w:r w:rsidRPr="009E387B">
        <w:rPr>
          <w:rFonts w:ascii="Arial" w:hAnsi="Arial" w:cs="Arial"/>
          <w:bCs/>
          <w:sz w:val="24"/>
          <w:szCs w:val="24"/>
          <w:lang w:val="es-ES"/>
        </w:rPr>
        <w:t>ha definido con suficiencia este tema</w:t>
      </w:r>
      <w:r w:rsidR="009A1BF1" w:rsidRPr="009E387B">
        <w:rPr>
          <w:rFonts w:ascii="Arial" w:hAnsi="Arial" w:cs="Arial"/>
          <w:bCs/>
          <w:sz w:val="24"/>
          <w:szCs w:val="24"/>
          <w:lang w:val="es-ES"/>
        </w:rPr>
        <w:t xml:space="preserve">, especialmente si se trata de allanamientos o preacuerdos en los que </w:t>
      </w:r>
      <w:r w:rsidRPr="009E387B">
        <w:rPr>
          <w:rFonts w:ascii="Arial" w:hAnsi="Arial" w:cs="Arial"/>
          <w:bCs/>
          <w:sz w:val="24"/>
          <w:szCs w:val="24"/>
          <w:lang w:val="es-ES"/>
        </w:rPr>
        <w:t>la condena versará por el delito aceptado, el cual debe constar con total claridad en el escrito de acusación</w:t>
      </w:r>
      <w:r w:rsidR="009A1BF1" w:rsidRPr="009E387B">
        <w:rPr>
          <w:rFonts w:ascii="Arial" w:hAnsi="Arial" w:cs="Arial"/>
          <w:bCs/>
          <w:sz w:val="24"/>
          <w:szCs w:val="24"/>
          <w:lang w:val="es-ES"/>
        </w:rPr>
        <w:t>.</w:t>
      </w:r>
    </w:p>
    <w:p w:rsidR="009A1BF1" w:rsidRPr="009E387B" w:rsidRDefault="009A1BF1" w:rsidP="009E387B">
      <w:pPr>
        <w:spacing w:after="0" w:line="288" w:lineRule="auto"/>
        <w:ind w:left="720" w:right="-232"/>
        <w:jc w:val="both"/>
        <w:rPr>
          <w:rFonts w:ascii="Arial" w:hAnsi="Arial" w:cs="Arial"/>
          <w:bCs/>
          <w:sz w:val="24"/>
          <w:szCs w:val="24"/>
          <w:lang w:val="es-ES"/>
        </w:rPr>
      </w:pPr>
    </w:p>
    <w:p w:rsidR="00BA10EA" w:rsidRPr="009E387B" w:rsidRDefault="00BA10EA"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Dichos conceptos jurisprudenciales permiten reflexionar que la audiencia de individualización de pena y sentencia no es ya el escenario para hacer prerrogativas diferentes como las pretende hacer valer el togado de la defensa, </w:t>
      </w:r>
      <w:r w:rsidRPr="009E387B">
        <w:rPr>
          <w:rFonts w:ascii="Arial" w:hAnsi="Arial" w:cs="Arial"/>
          <w:bCs/>
          <w:sz w:val="24"/>
          <w:szCs w:val="24"/>
          <w:lang w:val="es-ES"/>
        </w:rPr>
        <w:lastRenderedPageBreak/>
        <w:t>pues no puede olvidarse que el ejercicio de la acción penal lo detenta la FG</w:t>
      </w:r>
      <w:r w:rsidR="00343009" w:rsidRPr="009E387B">
        <w:rPr>
          <w:rFonts w:ascii="Arial" w:hAnsi="Arial" w:cs="Arial"/>
          <w:bCs/>
          <w:sz w:val="24"/>
          <w:szCs w:val="24"/>
          <w:lang w:val="es-ES"/>
        </w:rPr>
        <w:t>N</w:t>
      </w:r>
      <w:r w:rsidRPr="009E387B">
        <w:rPr>
          <w:rFonts w:ascii="Arial" w:hAnsi="Arial" w:cs="Arial"/>
          <w:bCs/>
          <w:sz w:val="24"/>
          <w:szCs w:val="24"/>
          <w:lang w:val="es-ES"/>
        </w:rPr>
        <w:t>, y en momento alguno el órgano</w:t>
      </w:r>
      <w:r w:rsidR="009A1BF1" w:rsidRPr="009E387B">
        <w:rPr>
          <w:rFonts w:ascii="Arial" w:hAnsi="Arial" w:cs="Arial"/>
          <w:bCs/>
          <w:sz w:val="24"/>
          <w:szCs w:val="24"/>
          <w:lang w:val="es-ES"/>
        </w:rPr>
        <w:t xml:space="preserve"> </w:t>
      </w:r>
      <w:r w:rsidRPr="009E387B">
        <w:rPr>
          <w:rFonts w:ascii="Arial" w:hAnsi="Arial" w:cs="Arial"/>
          <w:bCs/>
          <w:sz w:val="24"/>
          <w:szCs w:val="24"/>
          <w:lang w:val="es-ES"/>
        </w:rPr>
        <w:t>acusador ha solicitado la variación de la calificación, más aún el escrito de acusación por aceptación de cargos en contra de</w:t>
      </w:r>
      <w:r w:rsidR="009A1BF1" w:rsidRPr="009E387B">
        <w:rPr>
          <w:rFonts w:ascii="Arial" w:hAnsi="Arial" w:cs="Arial"/>
          <w:bCs/>
          <w:sz w:val="24"/>
          <w:szCs w:val="24"/>
          <w:lang w:val="es-ES"/>
        </w:rPr>
        <w:t xml:space="preserve"> </w:t>
      </w:r>
      <w:proofErr w:type="spellStart"/>
      <w:r w:rsidR="00A33152">
        <w:rPr>
          <w:rFonts w:ascii="Arial" w:hAnsi="Arial" w:cs="Arial"/>
          <w:bCs/>
          <w:sz w:val="24"/>
          <w:szCs w:val="24"/>
          <w:lang w:val="es-ES"/>
        </w:rPr>
        <w:t>JAMV</w:t>
      </w:r>
      <w:proofErr w:type="spellEnd"/>
      <w:r w:rsidRPr="009E387B">
        <w:rPr>
          <w:rFonts w:ascii="Arial" w:hAnsi="Arial" w:cs="Arial"/>
          <w:bCs/>
          <w:sz w:val="24"/>
          <w:szCs w:val="24"/>
          <w:lang w:val="es-ES"/>
        </w:rPr>
        <w:t xml:space="preserve">, fue por </w:t>
      </w:r>
      <w:r w:rsidR="009A1BF1" w:rsidRPr="009E387B">
        <w:rPr>
          <w:rFonts w:ascii="Arial" w:hAnsi="Arial" w:cs="Arial"/>
          <w:bCs/>
          <w:sz w:val="24"/>
          <w:szCs w:val="24"/>
          <w:lang w:val="es-ES"/>
        </w:rPr>
        <w:t>h</w:t>
      </w:r>
      <w:r w:rsidRPr="009E387B">
        <w:rPr>
          <w:rFonts w:ascii="Arial" w:hAnsi="Arial" w:cs="Arial"/>
          <w:bCs/>
          <w:sz w:val="24"/>
          <w:szCs w:val="24"/>
          <w:lang w:val="es-ES"/>
        </w:rPr>
        <w:t xml:space="preserve">urto </w:t>
      </w:r>
      <w:r w:rsidR="009A1BF1" w:rsidRPr="009E387B">
        <w:rPr>
          <w:rFonts w:ascii="Arial" w:hAnsi="Arial" w:cs="Arial"/>
          <w:bCs/>
          <w:sz w:val="24"/>
          <w:szCs w:val="24"/>
          <w:lang w:val="es-ES"/>
        </w:rPr>
        <w:t>c</w:t>
      </w:r>
      <w:r w:rsidRPr="009E387B">
        <w:rPr>
          <w:rFonts w:ascii="Arial" w:hAnsi="Arial" w:cs="Arial"/>
          <w:bCs/>
          <w:sz w:val="24"/>
          <w:szCs w:val="24"/>
          <w:lang w:val="es-ES"/>
        </w:rPr>
        <w:t>alificado, de acuerdo a los derroteros de los artículos 239 inciso 2</w:t>
      </w:r>
      <w:r w:rsidR="009A1BF1" w:rsidRPr="009E387B">
        <w:rPr>
          <w:rFonts w:ascii="Arial" w:hAnsi="Arial" w:cs="Arial"/>
          <w:bCs/>
          <w:sz w:val="24"/>
          <w:szCs w:val="24"/>
          <w:lang w:val="es-ES"/>
        </w:rPr>
        <w:t>º</w:t>
      </w:r>
      <w:r w:rsidRPr="009E387B">
        <w:rPr>
          <w:rFonts w:ascii="Arial" w:hAnsi="Arial" w:cs="Arial"/>
          <w:bCs/>
          <w:sz w:val="24"/>
          <w:szCs w:val="24"/>
          <w:lang w:val="es-ES"/>
        </w:rPr>
        <w:t xml:space="preserve"> </w:t>
      </w:r>
      <w:r w:rsidR="009A1BF1" w:rsidRPr="009E387B">
        <w:rPr>
          <w:rFonts w:ascii="Arial" w:hAnsi="Arial" w:cs="Arial"/>
          <w:bCs/>
          <w:sz w:val="24"/>
          <w:szCs w:val="24"/>
          <w:lang w:val="es-ES"/>
        </w:rPr>
        <w:t>y</w:t>
      </w:r>
      <w:r w:rsidRPr="009E387B">
        <w:rPr>
          <w:rFonts w:ascii="Arial" w:hAnsi="Arial" w:cs="Arial"/>
          <w:bCs/>
          <w:sz w:val="24"/>
          <w:szCs w:val="24"/>
          <w:lang w:val="es-ES"/>
        </w:rPr>
        <w:t xml:space="preserve"> 240 inciso </w:t>
      </w:r>
      <w:r w:rsidR="009A1BF1" w:rsidRPr="009E387B">
        <w:rPr>
          <w:rFonts w:ascii="Arial" w:hAnsi="Arial" w:cs="Arial"/>
          <w:bCs/>
          <w:sz w:val="24"/>
          <w:szCs w:val="24"/>
          <w:lang w:val="es-ES"/>
        </w:rPr>
        <w:t>1º</w:t>
      </w:r>
      <w:r w:rsidRPr="009E387B">
        <w:rPr>
          <w:rFonts w:ascii="Arial" w:hAnsi="Arial" w:cs="Arial"/>
          <w:bCs/>
          <w:sz w:val="24"/>
          <w:szCs w:val="24"/>
          <w:lang w:val="es-ES"/>
        </w:rPr>
        <w:t xml:space="preserve"> </w:t>
      </w:r>
      <w:r w:rsidR="009A1BF1" w:rsidRPr="009E387B">
        <w:rPr>
          <w:rFonts w:ascii="Arial" w:hAnsi="Arial" w:cs="Arial"/>
          <w:bCs/>
          <w:sz w:val="24"/>
          <w:szCs w:val="24"/>
          <w:lang w:val="es-ES"/>
        </w:rPr>
        <w:t>n</w:t>
      </w:r>
      <w:r w:rsidRPr="009E387B">
        <w:rPr>
          <w:rFonts w:ascii="Arial" w:hAnsi="Arial" w:cs="Arial"/>
          <w:bCs/>
          <w:sz w:val="24"/>
          <w:szCs w:val="24"/>
          <w:lang w:val="es-ES"/>
        </w:rPr>
        <w:t xml:space="preserve">umeral </w:t>
      </w:r>
      <w:r w:rsidR="009A1BF1" w:rsidRPr="009E387B">
        <w:rPr>
          <w:rFonts w:ascii="Arial" w:hAnsi="Arial" w:cs="Arial"/>
          <w:bCs/>
          <w:sz w:val="24"/>
          <w:szCs w:val="24"/>
          <w:lang w:val="es-ES"/>
        </w:rPr>
        <w:t>1º</w:t>
      </w:r>
      <w:r w:rsidRPr="009E387B">
        <w:rPr>
          <w:rFonts w:ascii="Arial" w:hAnsi="Arial" w:cs="Arial"/>
          <w:bCs/>
          <w:sz w:val="24"/>
          <w:szCs w:val="24"/>
          <w:lang w:val="es-ES"/>
        </w:rPr>
        <w:t>.</w:t>
      </w:r>
      <w:r w:rsidRPr="009E387B">
        <w:rPr>
          <w:rFonts w:ascii="Arial" w:hAnsi="Arial" w:cs="Arial"/>
          <w:bCs/>
          <w:sz w:val="24"/>
          <w:szCs w:val="24"/>
          <w:lang w:val="es-ES"/>
        </w:rPr>
        <w:cr/>
      </w:r>
    </w:p>
    <w:p w:rsidR="00BA10EA" w:rsidRPr="009E387B" w:rsidRDefault="00343009"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Revisada</w:t>
      </w:r>
      <w:r w:rsidR="00BA10EA" w:rsidRPr="009E387B">
        <w:rPr>
          <w:rFonts w:ascii="Arial" w:hAnsi="Arial" w:cs="Arial"/>
          <w:bCs/>
          <w:sz w:val="24"/>
          <w:szCs w:val="24"/>
          <w:lang w:val="es-ES"/>
        </w:rPr>
        <w:t xml:space="preserve"> la</w:t>
      </w:r>
      <w:r w:rsidRPr="009E387B">
        <w:rPr>
          <w:rFonts w:ascii="Arial" w:hAnsi="Arial" w:cs="Arial"/>
          <w:bCs/>
          <w:sz w:val="24"/>
          <w:szCs w:val="24"/>
          <w:lang w:val="es-ES"/>
        </w:rPr>
        <w:t xml:space="preserve"> citada providencia No. </w:t>
      </w:r>
      <w:r w:rsidR="00BA10EA" w:rsidRPr="009E387B">
        <w:rPr>
          <w:rFonts w:ascii="Arial" w:hAnsi="Arial" w:cs="Arial"/>
          <w:bCs/>
          <w:sz w:val="24"/>
          <w:szCs w:val="24"/>
          <w:lang w:val="es-ES"/>
        </w:rPr>
        <w:t>31280 del 8 de julio de 2009</w:t>
      </w:r>
      <w:r w:rsidRPr="009E387B">
        <w:rPr>
          <w:rFonts w:ascii="Arial" w:hAnsi="Arial" w:cs="Arial"/>
          <w:bCs/>
          <w:sz w:val="24"/>
          <w:szCs w:val="24"/>
          <w:lang w:val="es-ES"/>
        </w:rPr>
        <w:t>,</w:t>
      </w:r>
      <w:r w:rsidR="00BA10EA" w:rsidRPr="009E387B">
        <w:rPr>
          <w:rFonts w:ascii="Arial" w:hAnsi="Arial" w:cs="Arial"/>
          <w:bCs/>
          <w:sz w:val="24"/>
          <w:szCs w:val="24"/>
          <w:lang w:val="es-ES"/>
        </w:rPr>
        <w:t xml:space="preserve"> la misma no corresponde a las conducta punibles endilgadas al acusado de la presente causa, y para el caso de marras existe congruencia entre lo factico y lo jurídico, y en tal sentido </w:t>
      </w:r>
      <w:r w:rsidRPr="009E387B">
        <w:rPr>
          <w:rFonts w:ascii="Arial" w:hAnsi="Arial" w:cs="Arial"/>
          <w:bCs/>
          <w:sz w:val="24"/>
          <w:szCs w:val="24"/>
          <w:lang w:val="es-ES"/>
        </w:rPr>
        <w:t xml:space="preserve">el señor </w:t>
      </w:r>
      <w:proofErr w:type="spellStart"/>
      <w:r w:rsidR="00A33152">
        <w:rPr>
          <w:rFonts w:ascii="Arial" w:hAnsi="Arial" w:cs="Arial"/>
          <w:bCs/>
          <w:sz w:val="24"/>
          <w:szCs w:val="24"/>
          <w:lang w:val="es-ES"/>
        </w:rPr>
        <w:t>JAMV</w:t>
      </w:r>
      <w:proofErr w:type="spellEnd"/>
      <w:r w:rsidRPr="009E387B">
        <w:rPr>
          <w:rFonts w:ascii="Arial" w:hAnsi="Arial" w:cs="Arial"/>
          <w:bCs/>
          <w:sz w:val="24"/>
          <w:szCs w:val="24"/>
          <w:lang w:val="es-ES"/>
        </w:rPr>
        <w:t xml:space="preserve"> </w:t>
      </w:r>
      <w:r w:rsidR="00BA10EA" w:rsidRPr="009E387B">
        <w:rPr>
          <w:rFonts w:ascii="Arial" w:hAnsi="Arial" w:cs="Arial"/>
          <w:bCs/>
          <w:sz w:val="24"/>
          <w:szCs w:val="24"/>
          <w:lang w:val="es-ES"/>
        </w:rPr>
        <w:t xml:space="preserve">de forma libre, voluntaria, </w:t>
      </w:r>
      <w:r w:rsidRPr="009E387B">
        <w:rPr>
          <w:rFonts w:ascii="Arial" w:hAnsi="Arial" w:cs="Arial"/>
          <w:bCs/>
          <w:sz w:val="24"/>
          <w:szCs w:val="24"/>
          <w:lang w:val="es-ES"/>
        </w:rPr>
        <w:t>espontánea</w:t>
      </w:r>
      <w:r w:rsidR="00BA10EA" w:rsidRPr="009E387B">
        <w:rPr>
          <w:rFonts w:ascii="Arial" w:hAnsi="Arial" w:cs="Arial"/>
          <w:bCs/>
          <w:sz w:val="24"/>
          <w:szCs w:val="24"/>
          <w:lang w:val="es-ES"/>
        </w:rPr>
        <w:t xml:space="preserve"> y consciente acept</w:t>
      </w:r>
      <w:r w:rsidRPr="009E387B">
        <w:rPr>
          <w:rFonts w:ascii="Arial" w:hAnsi="Arial" w:cs="Arial"/>
          <w:bCs/>
          <w:sz w:val="24"/>
          <w:szCs w:val="24"/>
          <w:lang w:val="es-ES"/>
        </w:rPr>
        <w:t>ó</w:t>
      </w:r>
      <w:r w:rsidR="00BA10EA" w:rsidRPr="009E387B">
        <w:rPr>
          <w:rFonts w:ascii="Arial" w:hAnsi="Arial" w:cs="Arial"/>
          <w:bCs/>
          <w:sz w:val="24"/>
          <w:szCs w:val="24"/>
          <w:lang w:val="es-ES"/>
        </w:rPr>
        <w:t xml:space="preserve"> los cargos.</w:t>
      </w:r>
    </w:p>
    <w:p w:rsidR="00343009" w:rsidRPr="009E387B" w:rsidRDefault="00343009" w:rsidP="009E387B">
      <w:pPr>
        <w:spacing w:after="0" w:line="288" w:lineRule="auto"/>
        <w:ind w:left="720" w:right="-232"/>
        <w:jc w:val="both"/>
        <w:rPr>
          <w:rFonts w:ascii="Arial" w:hAnsi="Arial" w:cs="Arial"/>
          <w:bCs/>
          <w:sz w:val="24"/>
          <w:szCs w:val="24"/>
          <w:lang w:val="es-ES"/>
        </w:rPr>
      </w:pPr>
    </w:p>
    <w:p w:rsidR="00BA10EA" w:rsidRPr="009E387B" w:rsidRDefault="00343009"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En el fallo recurrido la</w:t>
      </w:r>
      <w:r w:rsidR="007951D4">
        <w:rPr>
          <w:rFonts w:ascii="Arial" w:hAnsi="Arial" w:cs="Arial"/>
          <w:bCs/>
          <w:sz w:val="24"/>
          <w:szCs w:val="24"/>
          <w:lang w:val="es-ES"/>
        </w:rPr>
        <w:t xml:space="preserve"> </w:t>
      </w:r>
      <w:r w:rsidRPr="009E387B">
        <w:rPr>
          <w:rFonts w:ascii="Arial" w:hAnsi="Arial" w:cs="Arial"/>
          <w:bCs/>
          <w:i/>
          <w:sz w:val="24"/>
          <w:szCs w:val="24"/>
          <w:lang w:val="es-ES"/>
        </w:rPr>
        <w:t xml:space="preserve">a quo </w:t>
      </w:r>
      <w:r w:rsidRPr="009E387B">
        <w:rPr>
          <w:rFonts w:ascii="Arial" w:hAnsi="Arial" w:cs="Arial"/>
          <w:bCs/>
          <w:sz w:val="24"/>
          <w:szCs w:val="24"/>
          <w:lang w:val="es-ES"/>
        </w:rPr>
        <w:t xml:space="preserve">señaló </w:t>
      </w:r>
      <w:r w:rsidR="00BA10EA" w:rsidRPr="009E387B">
        <w:rPr>
          <w:rFonts w:ascii="Arial" w:hAnsi="Arial" w:cs="Arial"/>
          <w:bCs/>
          <w:sz w:val="24"/>
          <w:szCs w:val="24"/>
          <w:lang w:val="es-ES"/>
        </w:rPr>
        <w:t>que la petición de la defensa es extemporánea e improcedente ya que la audiencia de individualización de pena y sentencia no es el escenario para este tipo de pedimento, y en tal sentido cita el referente jurisprudencial del 26 de abril de 2013 dado por la Honorable Sala Penal del Tribunal Superior de este distrito, en ponencia del Dr.</w:t>
      </w:r>
      <w:r w:rsidR="003B1A95" w:rsidRPr="009E387B">
        <w:rPr>
          <w:rFonts w:ascii="Arial" w:hAnsi="Arial" w:cs="Arial"/>
          <w:bCs/>
          <w:sz w:val="24"/>
          <w:szCs w:val="24"/>
          <w:lang w:val="es-ES"/>
        </w:rPr>
        <w:t xml:space="preserve"> Manuel </w:t>
      </w:r>
      <w:proofErr w:type="spellStart"/>
      <w:r w:rsidR="003B1A95" w:rsidRPr="009E387B">
        <w:rPr>
          <w:rFonts w:ascii="Arial" w:hAnsi="Arial" w:cs="Arial"/>
          <w:bCs/>
          <w:sz w:val="24"/>
          <w:szCs w:val="24"/>
          <w:lang w:val="es-ES"/>
        </w:rPr>
        <w:t>Yarzagaray</w:t>
      </w:r>
      <w:proofErr w:type="spellEnd"/>
      <w:r w:rsidR="003B1A95" w:rsidRPr="009E387B">
        <w:rPr>
          <w:rFonts w:ascii="Arial" w:hAnsi="Arial" w:cs="Arial"/>
          <w:bCs/>
          <w:sz w:val="24"/>
          <w:szCs w:val="24"/>
          <w:lang w:val="es-ES"/>
        </w:rPr>
        <w:t xml:space="preserve"> Bandera, por </w:t>
      </w:r>
      <w:r w:rsidR="00BA10EA" w:rsidRPr="009E387B">
        <w:rPr>
          <w:rFonts w:ascii="Arial" w:hAnsi="Arial" w:cs="Arial"/>
          <w:bCs/>
          <w:sz w:val="24"/>
          <w:szCs w:val="24"/>
          <w:lang w:val="es-ES"/>
        </w:rPr>
        <w:t xml:space="preserve">lo que resulta improcedente acatar las peticiones que eleva el defensor de otorgar el amplificador de la tentativa en la conducta desplegada por </w:t>
      </w:r>
      <w:proofErr w:type="spellStart"/>
      <w:r w:rsidR="00A33152">
        <w:rPr>
          <w:rFonts w:ascii="Arial" w:hAnsi="Arial" w:cs="Arial"/>
          <w:bCs/>
          <w:sz w:val="24"/>
          <w:szCs w:val="24"/>
          <w:lang w:val="es-ES"/>
        </w:rPr>
        <w:t>JAMV</w:t>
      </w:r>
      <w:proofErr w:type="spellEnd"/>
      <w:r w:rsidR="00BA10EA" w:rsidRPr="009E387B">
        <w:rPr>
          <w:rFonts w:ascii="Arial" w:hAnsi="Arial" w:cs="Arial"/>
          <w:bCs/>
          <w:sz w:val="24"/>
          <w:szCs w:val="24"/>
          <w:lang w:val="es-ES"/>
        </w:rPr>
        <w:t>.</w:t>
      </w:r>
    </w:p>
    <w:p w:rsidR="00EC73D5" w:rsidRPr="009E387B" w:rsidRDefault="00EC73D5" w:rsidP="009E387B">
      <w:pPr>
        <w:spacing w:after="0" w:line="288" w:lineRule="auto"/>
        <w:ind w:left="720" w:right="-232"/>
        <w:jc w:val="both"/>
        <w:rPr>
          <w:rFonts w:ascii="Arial" w:hAnsi="Arial" w:cs="Arial"/>
          <w:bCs/>
          <w:sz w:val="24"/>
          <w:szCs w:val="24"/>
          <w:lang w:val="es-ES"/>
        </w:rPr>
      </w:pPr>
    </w:p>
    <w:p w:rsidR="00BA10EA" w:rsidRPr="009E387B" w:rsidRDefault="00EC73D5"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En cuanto a la hipótesis de la tentativa en el caso concreto discurrió que los interrogantes del recurrente son subjetivos </w:t>
      </w:r>
      <w:r w:rsidR="00BA10EA" w:rsidRPr="009E387B">
        <w:rPr>
          <w:rFonts w:ascii="Arial" w:hAnsi="Arial" w:cs="Arial"/>
          <w:bCs/>
          <w:sz w:val="24"/>
          <w:szCs w:val="24"/>
          <w:lang w:val="es-ES"/>
        </w:rPr>
        <w:t xml:space="preserve">de lo que pude ser y no fue, y pretende endilgar a la </w:t>
      </w:r>
      <w:r w:rsidRPr="009E387B">
        <w:rPr>
          <w:rFonts w:ascii="Arial" w:hAnsi="Arial" w:cs="Arial"/>
          <w:bCs/>
          <w:sz w:val="24"/>
          <w:szCs w:val="24"/>
          <w:lang w:val="es-ES"/>
        </w:rPr>
        <w:t>víctima</w:t>
      </w:r>
      <w:r w:rsidR="00BA10EA" w:rsidRPr="009E387B">
        <w:rPr>
          <w:rFonts w:ascii="Arial" w:hAnsi="Arial" w:cs="Arial"/>
          <w:bCs/>
          <w:sz w:val="24"/>
          <w:szCs w:val="24"/>
          <w:lang w:val="es-ES"/>
        </w:rPr>
        <w:t xml:space="preserve"> </w:t>
      </w:r>
      <w:r w:rsidRPr="009E387B">
        <w:rPr>
          <w:rFonts w:ascii="Arial" w:hAnsi="Arial" w:cs="Arial"/>
          <w:bCs/>
          <w:sz w:val="24"/>
          <w:szCs w:val="24"/>
          <w:lang w:val="es-ES"/>
        </w:rPr>
        <w:t xml:space="preserve">una </w:t>
      </w:r>
      <w:r w:rsidR="00BA10EA" w:rsidRPr="009E387B">
        <w:rPr>
          <w:rFonts w:ascii="Arial" w:hAnsi="Arial" w:cs="Arial"/>
          <w:bCs/>
          <w:sz w:val="24"/>
          <w:szCs w:val="24"/>
          <w:lang w:val="es-ES"/>
        </w:rPr>
        <w:t xml:space="preserve">responsabilidad dentro de la esfera de protección al dejar el rodante abandonado temporalmente en la calle, en un lugar </w:t>
      </w:r>
      <w:r w:rsidRPr="009E387B">
        <w:rPr>
          <w:rFonts w:ascii="Arial" w:hAnsi="Arial" w:cs="Arial"/>
          <w:bCs/>
          <w:sz w:val="24"/>
          <w:szCs w:val="24"/>
          <w:lang w:val="es-ES"/>
        </w:rPr>
        <w:t xml:space="preserve">público a su suerte, información que </w:t>
      </w:r>
      <w:r w:rsidR="00BA10EA" w:rsidRPr="009E387B">
        <w:rPr>
          <w:rFonts w:ascii="Arial" w:hAnsi="Arial" w:cs="Arial"/>
          <w:bCs/>
          <w:sz w:val="24"/>
          <w:szCs w:val="24"/>
          <w:lang w:val="es-ES"/>
        </w:rPr>
        <w:t xml:space="preserve">resulta totalmente falsa, ya que de los elementos materiales probatorios legalmente acopiados a la investigación </w:t>
      </w:r>
      <w:r w:rsidRPr="009E387B">
        <w:rPr>
          <w:rFonts w:ascii="Arial" w:hAnsi="Arial" w:cs="Arial"/>
          <w:bCs/>
          <w:sz w:val="24"/>
          <w:szCs w:val="24"/>
          <w:lang w:val="es-ES"/>
        </w:rPr>
        <w:t>se informa que el vehículo estaba estacionado en el parqueadero del antejardín de su residencia.</w:t>
      </w:r>
    </w:p>
    <w:p w:rsidR="00EC73D5" w:rsidRPr="009E387B" w:rsidRDefault="00EC73D5" w:rsidP="009E387B">
      <w:pPr>
        <w:spacing w:after="0" w:line="288" w:lineRule="auto"/>
        <w:ind w:left="720" w:right="-232"/>
        <w:jc w:val="both"/>
        <w:rPr>
          <w:rFonts w:ascii="Arial" w:hAnsi="Arial" w:cs="Arial"/>
          <w:bCs/>
          <w:sz w:val="24"/>
          <w:szCs w:val="24"/>
          <w:lang w:val="es-ES"/>
        </w:rPr>
      </w:pPr>
    </w:p>
    <w:p w:rsidR="00BA10EA" w:rsidRPr="009E387B" w:rsidRDefault="00EC73D5"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Consideró que no </w:t>
      </w:r>
      <w:r w:rsidR="00BA10EA" w:rsidRPr="009E387B">
        <w:rPr>
          <w:rFonts w:ascii="Arial" w:hAnsi="Arial" w:cs="Arial"/>
          <w:bCs/>
          <w:sz w:val="24"/>
          <w:szCs w:val="24"/>
          <w:lang w:val="es-ES"/>
        </w:rPr>
        <w:t xml:space="preserve">existe tentativa, pues el hecho de no poder por parte del sujeto activo disponer o disfrutar de su botín, como lo pretende pregonar la defensa, no quiere indicarse con ello que la conducta no se </w:t>
      </w:r>
      <w:r w:rsidRPr="009E387B">
        <w:rPr>
          <w:rFonts w:ascii="Arial" w:hAnsi="Arial" w:cs="Arial"/>
          <w:bCs/>
          <w:sz w:val="24"/>
          <w:szCs w:val="24"/>
          <w:lang w:val="es-ES"/>
        </w:rPr>
        <w:t>consumó</w:t>
      </w:r>
      <w:r w:rsidR="00BA10EA" w:rsidRPr="009E387B">
        <w:rPr>
          <w:rFonts w:ascii="Arial" w:hAnsi="Arial" w:cs="Arial"/>
          <w:bCs/>
          <w:sz w:val="24"/>
          <w:szCs w:val="24"/>
          <w:lang w:val="es-ES"/>
        </w:rPr>
        <w:t xml:space="preserve">, es que la misma norma, en su canon 239 del </w:t>
      </w:r>
      <w:r w:rsidRPr="009E387B">
        <w:rPr>
          <w:rFonts w:ascii="Arial" w:hAnsi="Arial" w:cs="Arial"/>
          <w:bCs/>
          <w:sz w:val="24"/>
          <w:szCs w:val="24"/>
          <w:lang w:val="es-ES"/>
        </w:rPr>
        <w:t>CP</w:t>
      </w:r>
      <w:r w:rsidR="00BA10EA" w:rsidRPr="009E387B">
        <w:rPr>
          <w:rFonts w:ascii="Arial" w:hAnsi="Arial" w:cs="Arial"/>
          <w:bCs/>
          <w:sz w:val="24"/>
          <w:szCs w:val="24"/>
          <w:lang w:val="es-ES"/>
        </w:rPr>
        <w:t xml:space="preserve">, como ingrediente normativo enseña que el apoderamiento es con el propósito de obtener provecho para </w:t>
      </w:r>
      <w:r w:rsidRPr="009E387B">
        <w:rPr>
          <w:rFonts w:ascii="Arial" w:hAnsi="Arial" w:cs="Arial"/>
          <w:bCs/>
          <w:sz w:val="24"/>
          <w:szCs w:val="24"/>
          <w:lang w:val="es-ES"/>
        </w:rPr>
        <w:t>sí</w:t>
      </w:r>
      <w:r w:rsidR="00BA10EA" w:rsidRPr="009E387B">
        <w:rPr>
          <w:rFonts w:ascii="Arial" w:hAnsi="Arial" w:cs="Arial"/>
          <w:bCs/>
          <w:sz w:val="24"/>
          <w:szCs w:val="24"/>
          <w:lang w:val="es-ES"/>
        </w:rPr>
        <w:t xml:space="preserve"> o para otro</w:t>
      </w:r>
      <w:r w:rsidRPr="009E387B">
        <w:rPr>
          <w:rFonts w:ascii="Arial" w:hAnsi="Arial" w:cs="Arial"/>
          <w:bCs/>
          <w:sz w:val="24"/>
          <w:szCs w:val="24"/>
          <w:lang w:val="es-ES"/>
        </w:rPr>
        <w:t>.</w:t>
      </w:r>
    </w:p>
    <w:p w:rsidR="00EC73D5" w:rsidRPr="009E387B" w:rsidRDefault="00EC73D5" w:rsidP="009E387B">
      <w:pPr>
        <w:spacing w:after="0" w:line="288" w:lineRule="auto"/>
        <w:ind w:right="-232"/>
        <w:jc w:val="both"/>
        <w:rPr>
          <w:rFonts w:ascii="Arial" w:hAnsi="Arial" w:cs="Arial"/>
          <w:bCs/>
          <w:sz w:val="24"/>
          <w:szCs w:val="24"/>
          <w:lang w:val="es-ES"/>
        </w:rPr>
      </w:pPr>
    </w:p>
    <w:p w:rsidR="00BA10EA" w:rsidRPr="009E387B" w:rsidRDefault="00EC73D5"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Los EMP indican </w:t>
      </w:r>
      <w:r w:rsidR="005D4134" w:rsidRPr="009E387B">
        <w:rPr>
          <w:rFonts w:ascii="Arial" w:hAnsi="Arial" w:cs="Arial"/>
          <w:bCs/>
          <w:sz w:val="24"/>
          <w:szCs w:val="24"/>
          <w:lang w:val="es-ES"/>
        </w:rPr>
        <w:t>que el retrovisor</w:t>
      </w:r>
      <w:r w:rsidR="00BA10EA" w:rsidRPr="009E387B">
        <w:rPr>
          <w:rFonts w:ascii="Arial" w:hAnsi="Arial" w:cs="Arial"/>
          <w:bCs/>
          <w:sz w:val="24"/>
          <w:szCs w:val="24"/>
          <w:lang w:val="es-ES"/>
        </w:rPr>
        <w:t xml:space="preserve"> fue apartado de su lugar de ubicación</w:t>
      </w:r>
      <w:r w:rsidR="005D4134" w:rsidRPr="009E387B">
        <w:rPr>
          <w:rFonts w:ascii="Arial" w:hAnsi="Arial" w:cs="Arial"/>
          <w:bCs/>
          <w:sz w:val="24"/>
          <w:szCs w:val="24"/>
          <w:lang w:val="es-ES"/>
        </w:rPr>
        <w:t xml:space="preserve"> en forma violenta por el señor </w:t>
      </w:r>
      <w:proofErr w:type="spellStart"/>
      <w:r w:rsidR="00A33152">
        <w:rPr>
          <w:rFonts w:ascii="Arial" w:hAnsi="Arial" w:cs="Arial"/>
          <w:bCs/>
          <w:sz w:val="24"/>
          <w:szCs w:val="24"/>
          <w:lang w:val="es-ES"/>
        </w:rPr>
        <w:t>JAMV</w:t>
      </w:r>
      <w:proofErr w:type="spellEnd"/>
      <w:r w:rsidR="005D4134" w:rsidRPr="009E387B">
        <w:rPr>
          <w:rFonts w:ascii="Arial" w:hAnsi="Arial" w:cs="Arial"/>
          <w:bCs/>
          <w:sz w:val="24"/>
          <w:szCs w:val="24"/>
          <w:lang w:val="es-ES"/>
        </w:rPr>
        <w:t xml:space="preserve"> quien </w:t>
      </w:r>
      <w:r w:rsidR="00BA10EA" w:rsidRPr="009E387B">
        <w:rPr>
          <w:rFonts w:ascii="Arial" w:hAnsi="Arial" w:cs="Arial"/>
          <w:bCs/>
          <w:sz w:val="24"/>
          <w:szCs w:val="24"/>
          <w:lang w:val="es-ES"/>
        </w:rPr>
        <w:t xml:space="preserve">lo hace suyo, indistintamente que no se haya </w:t>
      </w:r>
      <w:r w:rsidR="005D4134" w:rsidRPr="009E387B">
        <w:rPr>
          <w:rFonts w:ascii="Arial" w:hAnsi="Arial" w:cs="Arial"/>
          <w:bCs/>
          <w:sz w:val="24"/>
          <w:szCs w:val="24"/>
          <w:lang w:val="es-ES"/>
        </w:rPr>
        <w:t xml:space="preserve">retirado </w:t>
      </w:r>
      <w:r w:rsidR="00BA10EA" w:rsidRPr="009E387B">
        <w:rPr>
          <w:rFonts w:ascii="Arial" w:hAnsi="Arial" w:cs="Arial"/>
          <w:bCs/>
          <w:sz w:val="24"/>
          <w:szCs w:val="24"/>
          <w:lang w:val="es-ES"/>
        </w:rPr>
        <w:t>del rodante, ese ocultamiento para sacarlo de la vista de posesión y dominio de su dueño, ya que si no existe la requisa de rigor, hubiese pasado desapercibido para los agentes del orden la existencia del retrovisor; luego entonces, el acto desplegado fue consumado.</w:t>
      </w:r>
    </w:p>
    <w:p w:rsidR="002F168A" w:rsidRPr="009E387B" w:rsidRDefault="002F168A" w:rsidP="009E387B">
      <w:pPr>
        <w:spacing w:after="0" w:line="288" w:lineRule="auto"/>
        <w:ind w:right="-232"/>
        <w:jc w:val="both"/>
        <w:rPr>
          <w:rFonts w:ascii="Arial" w:hAnsi="Arial" w:cs="Arial"/>
          <w:bCs/>
          <w:sz w:val="24"/>
          <w:szCs w:val="24"/>
          <w:lang w:val="es-ES"/>
        </w:rPr>
      </w:pPr>
    </w:p>
    <w:p w:rsidR="00BA10EA" w:rsidRPr="009E387B" w:rsidRDefault="00BA10EA"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 xml:space="preserve">Por </w:t>
      </w:r>
      <w:r w:rsidR="005D4134" w:rsidRPr="009E387B">
        <w:rPr>
          <w:rFonts w:ascii="Arial" w:hAnsi="Arial" w:cs="Arial"/>
          <w:bCs/>
          <w:sz w:val="24"/>
          <w:szCs w:val="24"/>
          <w:lang w:val="es-ES"/>
        </w:rPr>
        <w:t>último</w:t>
      </w:r>
      <w:r w:rsidRPr="009E387B">
        <w:rPr>
          <w:rFonts w:ascii="Arial" w:hAnsi="Arial" w:cs="Arial"/>
          <w:bCs/>
          <w:sz w:val="24"/>
          <w:szCs w:val="24"/>
          <w:lang w:val="es-ES"/>
        </w:rPr>
        <w:t xml:space="preserve"> indica que en caso de que e</w:t>
      </w:r>
      <w:r w:rsidR="005D4134" w:rsidRPr="009E387B">
        <w:rPr>
          <w:rFonts w:ascii="Arial" w:hAnsi="Arial" w:cs="Arial"/>
          <w:bCs/>
          <w:sz w:val="24"/>
          <w:szCs w:val="24"/>
          <w:lang w:val="es-ES"/>
        </w:rPr>
        <w:t>l superior</w:t>
      </w:r>
      <w:r w:rsidRPr="009E387B">
        <w:rPr>
          <w:rFonts w:ascii="Arial" w:hAnsi="Arial" w:cs="Arial"/>
          <w:bCs/>
          <w:sz w:val="24"/>
          <w:szCs w:val="24"/>
          <w:lang w:val="es-ES"/>
        </w:rPr>
        <w:t xml:space="preserve"> considere que se debe establecer en el presente evento el amplificador de la tentativa, y por ende la pena quedaría en 31 meses </w:t>
      </w:r>
      <w:r w:rsidR="005D4134" w:rsidRPr="009E387B">
        <w:rPr>
          <w:rFonts w:ascii="Arial" w:hAnsi="Arial" w:cs="Arial"/>
          <w:bCs/>
          <w:sz w:val="24"/>
          <w:szCs w:val="24"/>
          <w:lang w:val="es-ES"/>
        </w:rPr>
        <w:t>15</w:t>
      </w:r>
      <w:r w:rsidRPr="009E387B">
        <w:rPr>
          <w:rFonts w:ascii="Arial" w:hAnsi="Arial" w:cs="Arial"/>
          <w:bCs/>
          <w:sz w:val="24"/>
          <w:szCs w:val="24"/>
          <w:lang w:val="es-ES"/>
        </w:rPr>
        <w:t xml:space="preserve"> días, no es dable la concesión del subrogado </w:t>
      </w:r>
      <w:r w:rsidRPr="009E387B">
        <w:rPr>
          <w:rFonts w:ascii="Arial" w:hAnsi="Arial" w:cs="Arial"/>
          <w:bCs/>
          <w:sz w:val="24"/>
          <w:szCs w:val="24"/>
          <w:lang w:val="es-ES"/>
        </w:rPr>
        <w:lastRenderedPageBreak/>
        <w:t xml:space="preserve">que establece el </w:t>
      </w:r>
      <w:r w:rsidR="005D4134" w:rsidRPr="009E387B">
        <w:rPr>
          <w:rFonts w:ascii="Arial" w:hAnsi="Arial" w:cs="Arial"/>
          <w:bCs/>
          <w:sz w:val="24"/>
          <w:szCs w:val="24"/>
          <w:lang w:val="es-ES"/>
        </w:rPr>
        <w:t>artículo</w:t>
      </w:r>
      <w:r w:rsidRPr="009E387B">
        <w:rPr>
          <w:rFonts w:ascii="Arial" w:hAnsi="Arial" w:cs="Arial"/>
          <w:bCs/>
          <w:sz w:val="24"/>
          <w:szCs w:val="24"/>
          <w:lang w:val="es-ES"/>
        </w:rPr>
        <w:t xml:space="preserve"> 63 del </w:t>
      </w:r>
      <w:r w:rsidR="005D4134" w:rsidRPr="009E387B">
        <w:rPr>
          <w:rFonts w:ascii="Arial" w:hAnsi="Arial" w:cs="Arial"/>
          <w:bCs/>
          <w:sz w:val="24"/>
          <w:szCs w:val="24"/>
          <w:lang w:val="es-ES"/>
        </w:rPr>
        <w:t>CP</w:t>
      </w:r>
      <w:r w:rsidRPr="009E387B">
        <w:rPr>
          <w:rFonts w:ascii="Arial" w:hAnsi="Arial" w:cs="Arial"/>
          <w:bCs/>
          <w:sz w:val="24"/>
          <w:szCs w:val="24"/>
          <w:lang w:val="es-ES"/>
        </w:rPr>
        <w:t xml:space="preserve">, por </w:t>
      </w:r>
      <w:r w:rsidR="005D4134" w:rsidRPr="009E387B">
        <w:rPr>
          <w:rFonts w:ascii="Arial" w:hAnsi="Arial" w:cs="Arial"/>
          <w:bCs/>
          <w:sz w:val="24"/>
          <w:szCs w:val="24"/>
          <w:lang w:val="es-ES"/>
        </w:rPr>
        <w:t>el factor subjetivo teniendo en cuenta que el encartado</w:t>
      </w:r>
      <w:r w:rsidRPr="009E387B">
        <w:rPr>
          <w:rFonts w:ascii="Arial" w:hAnsi="Arial" w:cs="Arial"/>
          <w:bCs/>
          <w:sz w:val="24"/>
          <w:szCs w:val="24"/>
          <w:lang w:val="es-ES"/>
        </w:rPr>
        <w:t xml:space="preserve"> cuenta con tres sentencias condenatorias</w:t>
      </w:r>
      <w:r w:rsidR="005D4134" w:rsidRPr="009E387B">
        <w:rPr>
          <w:rFonts w:ascii="Arial" w:hAnsi="Arial" w:cs="Arial"/>
          <w:bCs/>
          <w:sz w:val="24"/>
          <w:szCs w:val="24"/>
          <w:lang w:val="es-ES"/>
        </w:rPr>
        <w:t>.</w:t>
      </w:r>
    </w:p>
    <w:p w:rsidR="005D4134" w:rsidRPr="009E387B" w:rsidRDefault="005D4134" w:rsidP="009E387B">
      <w:pPr>
        <w:spacing w:after="0" w:line="288" w:lineRule="auto"/>
        <w:ind w:right="-232"/>
        <w:jc w:val="both"/>
        <w:rPr>
          <w:rFonts w:ascii="Arial" w:hAnsi="Arial" w:cs="Arial"/>
          <w:bCs/>
          <w:sz w:val="24"/>
          <w:szCs w:val="24"/>
          <w:lang w:val="es-ES"/>
        </w:rPr>
      </w:pPr>
    </w:p>
    <w:p w:rsidR="00BA10EA" w:rsidRPr="009E387B" w:rsidRDefault="005D4134" w:rsidP="009E387B">
      <w:pPr>
        <w:numPr>
          <w:ilvl w:val="0"/>
          <w:numId w:val="9"/>
        </w:numPr>
        <w:spacing w:after="0" w:line="288" w:lineRule="auto"/>
        <w:ind w:right="-232"/>
        <w:jc w:val="both"/>
        <w:rPr>
          <w:rFonts w:ascii="Arial" w:hAnsi="Arial" w:cs="Arial"/>
          <w:bCs/>
          <w:sz w:val="24"/>
          <w:szCs w:val="24"/>
          <w:lang w:val="es-ES"/>
        </w:rPr>
      </w:pPr>
      <w:r w:rsidRPr="009E387B">
        <w:rPr>
          <w:rFonts w:ascii="Arial" w:hAnsi="Arial" w:cs="Arial"/>
          <w:bCs/>
          <w:sz w:val="24"/>
          <w:szCs w:val="24"/>
          <w:lang w:val="es-ES"/>
        </w:rPr>
        <w:t>Solicitó</w:t>
      </w:r>
      <w:r w:rsidR="00BA10EA" w:rsidRPr="009E387B">
        <w:rPr>
          <w:rFonts w:ascii="Arial" w:hAnsi="Arial" w:cs="Arial"/>
          <w:bCs/>
          <w:sz w:val="24"/>
          <w:szCs w:val="24"/>
          <w:lang w:val="es-ES"/>
        </w:rPr>
        <w:t xml:space="preserve"> confirmar en su integridad la sentencia de primera instancia</w:t>
      </w:r>
      <w:r w:rsidRPr="009E387B">
        <w:rPr>
          <w:rFonts w:ascii="Arial" w:hAnsi="Arial" w:cs="Arial"/>
          <w:bCs/>
          <w:sz w:val="24"/>
          <w:szCs w:val="24"/>
          <w:lang w:val="es-ES"/>
        </w:rPr>
        <w:t xml:space="preserve"> </w:t>
      </w:r>
      <w:r w:rsidR="00BA10EA" w:rsidRPr="009E387B">
        <w:rPr>
          <w:rFonts w:ascii="Arial" w:hAnsi="Arial" w:cs="Arial"/>
          <w:bCs/>
          <w:sz w:val="24"/>
          <w:szCs w:val="24"/>
          <w:lang w:val="es-ES"/>
        </w:rPr>
        <w:t>dentro de la investigación que por</w:t>
      </w:r>
      <w:r w:rsidRPr="009E387B">
        <w:rPr>
          <w:rFonts w:ascii="Arial" w:hAnsi="Arial" w:cs="Arial"/>
          <w:bCs/>
          <w:sz w:val="24"/>
          <w:szCs w:val="24"/>
          <w:lang w:val="es-ES"/>
        </w:rPr>
        <w:t xml:space="preserve"> hurto calificado</w:t>
      </w:r>
      <w:r w:rsidR="00BA10EA" w:rsidRPr="009E387B">
        <w:rPr>
          <w:rFonts w:ascii="Arial" w:hAnsi="Arial" w:cs="Arial"/>
          <w:bCs/>
          <w:sz w:val="24"/>
          <w:szCs w:val="24"/>
          <w:lang w:val="es-ES"/>
        </w:rPr>
        <w:t xml:space="preserve"> se sigue en contra del señor </w:t>
      </w:r>
      <w:proofErr w:type="spellStart"/>
      <w:r w:rsidR="007951D4">
        <w:rPr>
          <w:rFonts w:ascii="Arial" w:hAnsi="Arial" w:cs="Arial"/>
          <w:bCs/>
          <w:sz w:val="24"/>
          <w:szCs w:val="24"/>
          <w:lang w:val="es-ES"/>
        </w:rPr>
        <w:t>JAMV</w:t>
      </w:r>
      <w:proofErr w:type="spellEnd"/>
      <w:r w:rsidR="00BA10EA" w:rsidRPr="009E387B">
        <w:rPr>
          <w:rFonts w:ascii="Arial" w:hAnsi="Arial" w:cs="Arial"/>
          <w:bCs/>
          <w:sz w:val="24"/>
          <w:szCs w:val="24"/>
          <w:lang w:val="es-ES"/>
        </w:rPr>
        <w:t xml:space="preserve"> y se mantenga la no concesión del sustituto del art. 63 del</w:t>
      </w:r>
      <w:r w:rsidRPr="009E387B">
        <w:rPr>
          <w:rFonts w:ascii="Arial" w:hAnsi="Arial" w:cs="Arial"/>
          <w:bCs/>
          <w:sz w:val="24"/>
          <w:szCs w:val="24"/>
          <w:lang w:val="es-ES"/>
        </w:rPr>
        <w:t xml:space="preserve"> CP</w:t>
      </w:r>
      <w:r w:rsidR="00BA10EA" w:rsidRPr="009E387B">
        <w:rPr>
          <w:rFonts w:ascii="Arial" w:hAnsi="Arial" w:cs="Arial"/>
          <w:bCs/>
          <w:sz w:val="24"/>
          <w:szCs w:val="24"/>
          <w:lang w:val="es-ES"/>
        </w:rPr>
        <w:t>.</w:t>
      </w:r>
    </w:p>
    <w:p w:rsidR="00BA10EA" w:rsidRPr="009E387B" w:rsidRDefault="00BA10EA" w:rsidP="009E387B">
      <w:pPr>
        <w:spacing w:after="0" w:line="288" w:lineRule="auto"/>
        <w:ind w:left="720" w:right="-232"/>
        <w:jc w:val="both"/>
        <w:rPr>
          <w:rFonts w:ascii="Arial" w:hAnsi="Arial" w:cs="Arial"/>
          <w:bCs/>
          <w:sz w:val="24"/>
          <w:szCs w:val="24"/>
          <w:lang w:val="es-ES"/>
        </w:rPr>
      </w:pPr>
    </w:p>
    <w:p w:rsidR="00443CAB" w:rsidRPr="009E387B" w:rsidRDefault="005F11C3" w:rsidP="009E387B">
      <w:pPr>
        <w:pStyle w:val="Sinespaciado"/>
        <w:spacing w:line="288" w:lineRule="auto"/>
        <w:jc w:val="center"/>
        <w:rPr>
          <w:rFonts w:ascii="Arial" w:hAnsi="Arial" w:cs="Arial"/>
          <w:b/>
          <w:sz w:val="24"/>
          <w:szCs w:val="24"/>
        </w:rPr>
      </w:pPr>
      <w:r w:rsidRPr="009E387B">
        <w:rPr>
          <w:rFonts w:ascii="Arial" w:hAnsi="Arial" w:cs="Arial"/>
          <w:b/>
          <w:sz w:val="24"/>
          <w:szCs w:val="24"/>
        </w:rPr>
        <w:t xml:space="preserve">6. </w:t>
      </w:r>
      <w:r w:rsidR="00443CAB" w:rsidRPr="009E387B">
        <w:rPr>
          <w:rFonts w:ascii="Arial" w:hAnsi="Arial" w:cs="Arial"/>
          <w:b/>
          <w:sz w:val="24"/>
          <w:szCs w:val="24"/>
        </w:rPr>
        <w:t>CONSIDERACIONES</w:t>
      </w:r>
    </w:p>
    <w:p w:rsidR="00443CAB" w:rsidRPr="009E387B" w:rsidRDefault="00443CAB" w:rsidP="009E387B">
      <w:pPr>
        <w:pStyle w:val="Sinespaciado"/>
        <w:spacing w:line="288" w:lineRule="auto"/>
        <w:jc w:val="both"/>
        <w:rPr>
          <w:rFonts w:ascii="Arial" w:hAnsi="Arial" w:cs="Arial"/>
          <w:sz w:val="24"/>
          <w:szCs w:val="24"/>
        </w:rPr>
      </w:pPr>
    </w:p>
    <w:p w:rsidR="00443CAB"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443CAB" w:rsidRPr="009E387B">
        <w:rPr>
          <w:rFonts w:ascii="Arial" w:hAnsi="Arial" w:cs="Arial"/>
          <w:sz w:val="24"/>
          <w:szCs w:val="24"/>
        </w:rPr>
        <w:t>.1 Esta Sala es competente para pronunciarse sobre el recurso propuesto, en atención a lo que dispone el artículo 34-1 del CPP-</w:t>
      </w:r>
    </w:p>
    <w:p w:rsidR="00443CAB" w:rsidRPr="009E387B" w:rsidRDefault="00443CAB" w:rsidP="009E387B">
      <w:pPr>
        <w:pStyle w:val="Sinespaciado"/>
        <w:spacing w:line="288" w:lineRule="auto"/>
        <w:jc w:val="both"/>
        <w:rPr>
          <w:rFonts w:ascii="Arial" w:hAnsi="Arial" w:cs="Arial"/>
          <w:sz w:val="24"/>
          <w:szCs w:val="24"/>
        </w:rPr>
      </w:pPr>
    </w:p>
    <w:p w:rsidR="005F11C3"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443CAB" w:rsidRPr="009E387B">
        <w:rPr>
          <w:rFonts w:ascii="Arial" w:hAnsi="Arial" w:cs="Arial"/>
          <w:sz w:val="24"/>
          <w:szCs w:val="24"/>
        </w:rPr>
        <w:t xml:space="preserve">.2 </w:t>
      </w:r>
      <w:r w:rsidR="00F60690" w:rsidRPr="009E387B">
        <w:rPr>
          <w:rFonts w:ascii="Arial" w:hAnsi="Arial" w:cs="Arial"/>
          <w:sz w:val="24"/>
          <w:szCs w:val="24"/>
        </w:rPr>
        <w:t>De conformidad con los argumentos expuestos por el recurrente, esta</w:t>
      </w:r>
      <w:r w:rsidR="00443CAB" w:rsidRPr="009E387B">
        <w:rPr>
          <w:rFonts w:ascii="Arial" w:hAnsi="Arial" w:cs="Arial"/>
          <w:sz w:val="24"/>
          <w:szCs w:val="24"/>
        </w:rPr>
        <w:t xml:space="preserve"> Sala </w:t>
      </w:r>
      <w:r w:rsidR="00962D03" w:rsidRPr="009E387B">
        <w:rPr>
          <w:rFonts w:ascii="Arial" w:hAnsi="Arial" w:cs="Arial"/>
          <w:sz w:val="24"/>
          <w:szCs w:val="24"/>
        </w:rPr>
        <w:t>debería</w:t>
      </w:r>
      <w:r w:rsidR="00443CAB" w:rsidRPr="009E387B">
        <w:rPr>
          <w:rFonts w:ascii="Arial" w:hAnsi="Arial" w:cs="Arial"/>
          <w:sz w:val="24"/>
          <w:szCs w:val="24"/>
        </w:rPr>
        <w:t xml:space="preserve"> </w:t>
      </w:r>
      <w:r w:rsidR="00F60690" w:rsidRPr="009E387B">
        <w:rPr>
          <w:rFonts w:ascii="Arial" w:hAnsi="Arial" w:cs="Arial"/>
          <w:sz w:val="24"/>
          <w:szCs w:val="24"/>
        </w:rPr>
        <w:t>pronunciarse</w:t>
      </w:r>
      <w:r w:rsidR="00443CAB" w:rsidRPr="009E387B">
        <w:rPr>
          <w:rFonts w:ascii="Arial" w:hAnsi="Arial" w:cs="Arial"/>
          <w:sz w:val="24"/>
          <w:szCs w:val="24"/>
        </w:rPr>
        <w:t xml:space="preserve"> frente a </w:t>
      </w:r>
      <w:r w:rsidR="006A1FD8" w:rsidRPr="009E387B">
        <w:rPr>
          <w:rFonts w:ascii="Arial" w:hAnsi="Arial" w:cs="Arial"/>
          <w:sz w:val="24"/>
          <w:szCs w:val="24"/>
        </w:rPr>
        <w:t xml:space="preserve">dos </w:t>
      </w:r>
      <w:r w:rsidR="00443CAB" w:rsidRPr="009E387B">
        <w:rPr>
          <w:rFonts w:ascii="Arial" w:hAnsi="Arial" w:cs="Arial"/>
          <w:sz w:val="24"/>
          <w:szCs w:val="24"/>
        </w:rPr>
        <w:t>temas específicos: i)</w:t>
      </w:r>
      <w:r w:rsidR="00DB2442" w:rsidRPr="009E387B">
        <w:rPr>
          <w:rFonts w:ascii="Arial" w:hAnsi="Arial" w:cs="Arial"/>
          <w:sz w:val="24"/>
          <w:szCs w:val="24"/>
        </w:rPr>
        <w:t xml:space="preserve"> </w:t>
      </w:r>
      <w:r w:rsidRPr="009E387B">
        <w:rPr>
          <w:rFonts w:ascii="Arial" w:hAnsi="Arial" w:cs="Arial"/>
          <w:sz w:val="24"/>
          <w:szCs w:val="24"/>
        </w:rPr>
        <w:t>si es posible variar los presupuestos fácticos y jurídicos de la imputación con ocasión del allan</w:t>
      </w:r>
      <w:r w:rsidR="002E385F" w:rsidRPr="009E387B">
        <w:rPr>
          <w:rFonts w:ascii="Arial" w:hAnsi="Arial" w:cs="Arial"/>
          <w:sz w:val="24"/>
          <w:szCs w:val="24"/>
        </w:rPr>
        <w:t xml:space="preserve">amiento a cargos para tasar la pena teniendo en cuenta el dispositivo amplificador del tipo de la tentativa, y </w:t>
      </w:r>
      <w:r w:rsidRPr="009E387B">
        <w:rPr>
          <w:rFonts w:ascii="Arial" w:hAnsi="Arial" w:cs="Arial"/>
          <w:sz w:val="24"/>
          <w:szCs w:val="24"/>
        </w:rPr>
        <w:t xml:space="preserve">ii) </w:t>
      </w:r>
      <w:r w:rsidR="00DB2442" w:rsidRPr="009E387B">
        <w:rPr>
          <w:rFonts w:ascii="Arial" w:hAnsi="Arial" w:cs="Arial"/>
          <w:sz w:val="24"/>
          <w:szCs w:val="24"/>
        </w:rPr>
        <w:t>si la situación fáctica concuerda con la adecuación t</w:t>
      </w:r>
      <w:r w:rsidR="00F60690" w:rsidRPr="009E387B">
        <w:rPr>
          <w:rFonts w:ascii="Arial" w:hAnsi="Arial" w:cs="Arial"/>
          <w:sz w:val="24"/>
          <w:szCs w:val="24"/>
        </w:rPr>
        <w:t>íp</w:t>
      </w:r>
      <w:r w:rsidR="00594454" w:rsidRPr="009E387B">
        <w:rPr>
          <w:rFonts w:ascii="Arial" w:hAnsi="Arial" w:cs="Arial"/>
          <w:sz w:val="24"/>
          <w:szCs w:val="24"/>
        </w:rPr>
        <w:t xml:space="preserve">ica realizada por la FGN </w:t>
      </w:r>
      <w:r w:rsidR="00962D03" w:rsidRPr="009E387B">
        <w:rPr>
          <w:rFonts w:ascii="Arial" w:hAnsi="Arial" w:cs="Arial"/>
          <w:sz w:val="24"/>
          <w:szCs w:val="24"/>
        </w:rPr>
        <w:t xml:space="preserve">y </w:t>
      </w:r>
      <w:r w:rsidR="00F60690" w:rsidRPr="009E387B">
        <w:rPr>
          <w:rFonts w:ascii="Arial" w:hAnsi="Arial" w:cs="Arial"/>
          <w:sz w:val="24"/>
          <w:szCs w:val="24"/>
        </w:rPr>
        <w:t>específicamente determinar si en el caso concreto se</w:t>
      </w:r>
      <w:r w:rsidRPr="009E387B">
        <w:rPr>
          <w:rFonts w:ascii="Arial" w:hAnsi="Arial" w:cs="Arial"/>
          <w:sz w:val="24"/>
          <w:szCs w:val="24"/>
        </w:rPr>
        <w:t xml:space="preserve"> debía tener en cuenta la disminución punitiva correspondiente al dispositivo amplificador del tipo de la tentativa </w:t>
      </w:r>
      <w:r w:rsidR="00F60690" w:rsidRPr="009E387B">
        <w:rPr>
          <w:rFonts w:ascii="Arial" w:hAnsi="Arial" w:cs="Arial"/>
          <w:sz w:val="24"/>
          <w:szCs w:val="24"/>
        </w:rPr>
        <w:t xml:space="preserve">en el </w:t>
      </w:r>
      <w:r w:rsidRPr="009E387B">
        <w:rPr>
          <w:rFonts w:ascii="Arial" w:hAnsi="Arial" w:cs="Arial"/>
          <w:sz w:val="24"/>
          <w:szCs w:val="24"/>
        </w:rPr>
        <w:t>artículo 27</w:t>
      </w:r>
      <w:r w:rsidR="00FA2766" w:rsidRPr="009E387B">
        <w:rPr>
          <w:rFonts w:ascii="Arial" w:hAnsi="Arial" w:cs="Arial"/>
          <w:sz w:val="24"/>
          <w:szCs w:val="24"/>
        </w:rPr>
        <w:t xml:space="preserve"> del CP</w:t>
      </w:r>
      <w:r w:rsidR="002E385F" w:rsidRPr="009E387B">
        <w:rPr>
          <w:rFonts w:ascii="Arial" w:hAnsi="Arial" w:cs="Arial"/>
          <w:sz w:val="24"/>
          <w:szCs w:val="24"/>
        </w:rPr>
        <w:t>.</w:t>
      </w:r>
    </w:p>
    <w:p w:rsidR="002F168A" w:rsidRPr="009E387B" w:rsidRDefault="002F168A" w:rsidP="009E387B">
      <w:pPr>
        <w:pStyle w:val="Sinespaciado"/>
        <w:spacing w:line="288" w:lineRule="auto"/>
        <w:jc w:val="both"/>
        <w:rPr>
          <w:rFonts w:ascii="Arial" w:hAnsi="Arial" w:cs="Arial"/>
          <w:sz w:val="24"/>
          <w:szCs w:val="24"/>
        </w:rPr>
      </w:pPr>
    </w:p>
    <w:p w:rsidR="00841118" w:rsidRPr="009E387B" w:rsidRDefault="005F11C3" w:rsidP="009E387B">
      <w:pPr>
        <w:pStyle w:val="Sinespaciado"/>
        <w:spacing w:line="288" w:lineRule="auto"/>
        <w:jc w:val="both"/>
        <w:rPr>
          <w:rFonts w:ascii="Arial" w:hAnsi="Arial" w:cs="Arial"/>
          <w:sz w:val="24"/>
          <w:szCs w:val="24"/>
        </w:rPr>
      </w:pPr>
      <w:r w:rsidRPr="009E387B">
        <w:rPr>
          <w:rFonts w:ascii="Arial" w:hAnsi="Arial" w:cs="Arial"/>
          <w:b/>
          <w:sz w:val="24"/>
          <w:szCs w:val="24"/>
        </w:rPr>
        <w:t>6</w:t>
      </w:r>
      <w:r w:rsidR="00C852E4" w:rsidRPr="009E387B">
        <w:rPr>
          <w:rFonts w:ascii="Arial" w:hAnsi="Arial" w:cs="Arial"/>
          <w:b/>
          <w:sz w:val="24"/>
          <w:szCs w:val="24"/>
        </w:rPr>
        <w:t>.3</w:t>
      </w:r>
      <w:r w:rsidR="001E5344" w:rsidRPr="009E387B">
        <w:rPr>
          <w:rFonts w:ascii="Arial" w:hAnsi="Arial" w:cs="Arial"/>
          <w:b/>
          <w:sz w:val="24"/>
          <w:szCs w:val="24"/>
        </w:rPr>
        <w:t xml:space="preserve"> </w:t>
      </w:r>
      <w:r w:rsidR="00841118" w:rsidRPr="009E387B">
        <w:rPr>
          <w:rFonts w:ascii="Arial" w:hAnsi="Arial" w:cs="Arial"/>
          <w:b/>
          <w:sz w:val="24"/>
          <w:szCs w:val="24"/>
        </w:rPr>
        <w:t>Primer problema jurídico</w:t>
      </w:r>
      <w:r w:rsidR="00841118" w:rsidRPr="009E387B">
        <w:rPr>
          <w:rFonts w:ascii="Arial" w:hAnsi="Arial" w:cs="Arial"/>
          <w:sz w:val="24"/>
          <w:szCs w:val="24"/>
        </w:rPr>
        <w:t xml:space="preserve"> (variación de los presupuestos fácticos y jurídicos de la imputación de cargos con ocasión del allanamiento y posterior sentencia). </w:t>
      </w:r>
    </w:p>
    <w:p w:rsidR="00841118" w:rsidRPr="009E387B" w:rsidRDefault="00841118" w:rsidP="009E387B">
      <w:pPr>
        <w:pStyle w:val="Sinespaciado"/>
        <w:spacing w:line="288" w:lineRule="auto"/>
        <w:jc w:val="both"/>
        <w:rPr>
          <w:rFonts w:ascii="Arial" w:hAnsi="Arial" w:cs="Arial"/>
          <w:sz w:val="24"/>
          <w:szCs w:val="24"/>
        </w:rPr>
      </w:pPr>
    </w:p>
    <w:p w:rsidR="002E385F" w:rsidRPr="009E387B" w:rsidRDefault="00841118"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6.3.1 </w:t>
      </w:r>
      <w:r w:rsidR="001E5344" w:rsidRPr="009E387B">
        <w:rPr>
          <w:rFonts w:ascii="Arial" w:hAnsi="Arial" w:cs="Arial"/>
          <w:sz w:val="24"/>
          <w:szCs w:val="24"/>
        </w:rPr>
        <w:t xml:space="preserve">En principio, </w:t>
      </w:r>
      <w:r w:rsidR="00240AFD" w:rsidRPr="009E387B">
        <w:rPr>
          <w:rFonts w:ascii="Arial" w:hAnsi="Arial" w:cs="Arial"/>
          <w:sz w:val="24"/>
          <w:szCs w:val="24"/>
        </w:rPr>
        <w:t xml:space="preserve">se debe tener en cuenta que en el presente trámite procesal </w:t>
      </w:r>
      <w:r w:rsidR="00B11BA5" w:rsidRPr="009E387B">
        <w:rPr>
          <w:rFonts w:ascii="Arial" w:hAnsi="Arial" w:cs="Arial"/>
          <w:sz w:val="24"/>
          <w:szCs w:val="24"/>
        </w:rPr>
        <w:t xml:space="preserve">el </w:t>
      </w:r>
      <w:r w:rsidR="002E385F" w:rsidRPr="009E387B">
        <w:rPr>
          <w:rFonts w:ascii="Arial" w:hAnsi="Arial" w:cs="Arial"/>
          <w:sz w:val="24"/>
          <w:szCs w:val="24"/>
        </w:rPr>
        <w:t xml:space="preserve">encartado </w:t>
      </w:r>
      <w:r w:rsidR="00B11BA5" w:rsidRPr="009E387B">
        <w:rPr>
          <w:rFonts w:ascii="Arial" w:hAnsi="Arial" w:cs="Arial"/>
          <w:sz w:val="24"/>
          <w:szCs w:val="24"/>
        </w:rPr>
        <w:t>decidió aceptar los cargos</w:t>
      </w:r>
      <w:r w:rsidR="002E385F" w:rsidRPr="009E387B">
        <w:rPr>
          <w:rFonts w:ascii="Arial" w:hAnsi="Arial" w:cs="Arial"/>
          <w:sz w:val="24"/>
          <w:szCs w:val="24"/>
        </w:rPr>
        <w:t xml:space="preserve"> que le fueron comunicados</w:t>
      </w:r>
      <w:r w:rsidR="00B11BA5" w:rsidRPr="009E387B">
        <w:rPr>
          <w:rFonts w:ascii="Arial" w:hAnsi="Arial" w:cs="Arial"/>
          <w:sz w:val="24"/>
          <w:szCs w:val="24"/>
        </w:rPr>
        <w:t xml:space="preserve"> </w:t>
      </w:r>
      <w:r w:rsidR="00240AFD" w:rsidRPr="009E387B">
        <w:rPr>
          <w:rFonts w:ascii="Arial" w:hAnsi="Arial" w:cs="Arial"/>
          <w:sz w:val="24"/>
          <w:szCs w:val="24"/>
        </w:rPr>
        <w:t xml:space="preserve">en la audiencia </w:t>
      </w:r>
      <w:r w:rsidR="002E385F" w:rsidRPr="009E387B">
        <w:rPr>
          <w:rFonts w:ascii="Arial" w:hAnsi="Arial" w:cs="Arial"/>
          <w:sz w:val="24"/>
          <w:szCs w:val="24"/>
        </w:rPr>
        <w:t xml:space="preserve">de formulación de imputación, </w:t>
      </w:r>
      <w:r w:rsidR="008B186E" w:rsidRPr="009E387B">
        <w:rPr>
          <w:rFonts w:ascii="Arial" w:hAnsi="Arial" w:cs="Arial"/>
          <w:sz w:val="24"/>
          <w:szCs w:val="24"/>
        </w:rPr>
        <w:t xml:space="preserve">de conformidad con lo previsto en el artículo </w:t>
      </w:r>
      <w:r w:rsidR="002E385F" w:rsidRPr="009E387B">
        <w:rPr>
          <w:rFonts w:ascii="Arial" w:hAnsi="Arial" w:cs="Arial"/>
          <w:sz w:val="24"/>
          <w:szCs w:val="24"/>
        </w:rPr>
        <w:t>288</w:t>
      </w:r>
      <w:r w:rsidR="008B186E" w:rsidRPr="009E387B">
        <w:rPr>
          <w:rFonts w:ascii="Arial" w:hAnsi="Arial" w:cs="Arial"/>
          <w:sz w:val="24"/>
          <w:szCs w:val="24"/>
        </w:rPr>
        <w:t xml:space="preserve"> numeral </w:t>
      </w:r>
      <w:r w:rsidR="002E385F" w:rsidRPr="009E387B">
        <w:rPr>
          <w:rFonts w:ascii="Arial" w:hAnsi="Arial" w:cs="Arial"/>
          <w:sz w:val="24"/>
          <w:szCs w:val="24"/>
        </w:rPr>
        <w:t>3</w:t>
      </w:r>
      <w:r w:rsidR="008B186E" w:rsidRPr="009E387B">
        <w:rPr>
          <w:rFonts w:ascii="Arial" w:hAnsi="Arial" w:cs="Arial"/>
          <w:sz w:val="24"/>
          <w:szCs w:val="24"/>
        </w:rPr>
        <w:t>º del CPP.</w:t>
      </w:r>
      <w:r w:rsidR="002E385F" w:rsidRPr="009E387B">
        <w:rPr>
          <w:rFonts w:ascii="Arial" w:hAnsi="Arial" w:cs="Arial"/>
          <w:sz w:val="24"/>
          <w:szCs w:val="24"/>
        </w:rPr>
        <w:t xml:space="preserve">, diligencia en la cual estuvo acompañado de un abogado adscrito al sistema nacional de defensoría pública por lo que es dable pregonar que el señor </w:t>
      </w:r>
      <w:proofErr w:type="spellStart"/>
      <w:r w:rsidR="007951D4">
        <w:rPr>
          <w:rFonts w:ascii="Arial" w:hAnsi="Arial" w:cs="Arial"/>
          <w:sz w:val="24"/>
          <w:szCs w:val="24"/>
        </w:rPr>
        <w:t>JAMV</w:t>
      </w:r>
      <w:proofErr w:type="spellEnd"/>
      <w:r w:rsidR="002E385F" w:rsidRPr="009E387B">
        <w:rPr>
          <w:rFonts w:ascii="Arial" w:hAnsi="Arial" w:cs="Arial"/>
          <w:sz w:val="24"/>
          <w:szCs w:val="24"/>
        </w:rPr>
        <w:t xml:space="preserve"> contó con una defensa técnica que le brindó la asesoría correspondiente. </w:t>
      </w:r>
    </w:p>
    <w:p w:rsidR="00841118" w:rsidRPr="009E387B" w:rsidRDefault="00841118" w:rsidP="009E387B">
      <w:pPr>
        <w:pStyle w:val="Sinespaciado"/>
        <w:spacing w:line="288" w:lineRule="auto"/>
        <w:jc w:val="both"/>
        <w:rPr>
          <w:rFonts w:ascii="Arial" w:hAnsi="Arial" w:cs="Arial"/>
          <w:sz w:val="24"/>
          <w:szCs w:val="24"/>
        </w:rPr>
      </w:pPr>
    </w:p>
    <w:p w:rsidR="008E0FF0" w:rsidRPr="009E387B" w:rsidRDefault="002E385F"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El cargo que le fue comunicado al señor </w:t>
      </w:r>
      <w:proofErr w:type="spellStart"/>
      <w:r w:rsidR="00A33152">
        <w:rPr>
          <w:rFonts w:ascii="Arial" w:hAnsi="Arial" w:cs="Arial"/>
          <w:sz w:val="24"/>
          <w:szCs w:val="24"/>
        </w:rPr>
        <w:t>JAMV</w:t>
      </w:r>
      <w:proofErr w:type="spellEnd"/>
      <w:r w:rsidRPr="009E387B">
        <w:rPr>
          <w:rFonts w:ascii="Arial" w:hAnsi="Arial" w:cs="Arial"/>
          <w:sz w:val="24"/>
          <w:szCs w:val="24"/>
        </w:rPr>
        <w:t xml:space="preserve"> fue el de </w:t>
      </w:r>
      <w:r w:rsidR="00FD0857" w:rsidRPr="009E387B">
        <w:rPr>
          <w:rFonts w:ascii="Arial" w:hAnsi="Arial" w:cs="Arial"/>
          <w:sz w:val="24"/>
          <w:szCs w:val="24"/>
        </w:rPr>
        <w:t>autor de la conducta punible de hurto previsto en el artículo 239 del CP, calificado de conformidad con lo previsto en el artículo 240 inciso 1º numeral 1º del CP., conducta sobre la cual, como quiera que no se hizo previsión en contrario, se entiende consumada.</w:t>
      </w:r>
      <w:r w:rsidR="00EF5B01" w:rsidRPr="009E387B">
        <w:rPr>
          <w:rFonts w:ascii="Arial" w:hAnsi="Arial" w:cs="Arial"/>
          <w:sz w:val="24"/>
          <w:szCs w:val="24"/>
        </w:rPr>
        <w:t xml:space="preserve"> </w:t>
      </w:r>
    </w:p>
    <w:p w:rsidR="00BA43A2" w:rsidRPr="009E387B" w:rsidRDefault="00BA43A2" w:rsidP="009E387B">
      <w:pPr>
        <w:pStyle w:val="Sinespaciado"/>
        <w:spacing w:line="288" w:lineRule="auto"/>
        <w:jc w:val="both"/>
        <w:rPr>
          <w:rFonts w:ascii="Arial" w:hAnsi="Arial" w:cs="Arial"/>
          <w:sz w:val="24"/>
          <w:szCs w:val="24"/>
        </w:rPr>
      </w:pPr>
    </w:p>
    <w:p w:rsidR="006A7D59"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AE270E" w:rsidRPr="009E387B">
        <w:rPr>
          <w:rFonts w:ascii="Arial" w:hAnsi="Arial" w:cs="Arial"/>
          <w:sz w:val="24"/>
          <w:szCs w:val="24"/>
        </w:rPr>
        <w:t>.3.2 Es por lo anterior que l</w:t>
      </w:r>
      <w:r w:rsidR="00FD0857" w:rsidRPr="009E387B">
        <w:rPr>
          <w:rFonts w:ascii="Arial" w:hAnsi="Arial" w:cs="Arial"/>
          <w:sz w:val="24"/>
          <w:szCs w:val="24"/>
        </w:rPr>
        <w:t>a</w:t>
      </w:r>
      <w:r w:rsidR="00AE270E" w:rsidRPr="009E387B">
        <w:rPr>
          <w:rFonts w:ascii="Arial" w:hAnsi="Arial" w:cs="Arial"/>
          <w:sz w:val="24"/>
          <w:szCs w:val="24"/>
        </w:rPr>
        <w:t xml:space="preserve"> </w:t>
      </w:r>
      <w:r w:rsidR="00AE270E" w:rsidRPr="009E387B">
        <w:rPr>
          <w:rFonts w:ascii="Arial" w:hAnsi="Arial" w:cs="Arial"/>
          <w:i/>
          <w:sz w:val="24"/>
          <w:szCs w:val="24"/>
        </w:rPr>
        <w:t xml:space="preserve">a quo </w:t>
      </w:r>
      <w:r w:rsidR="006A7D59" w:rsidRPr="009E387B">
        <w:rPr>
          <w:rFonts w:ascii="Arial" w:hAnsi="Arial" w:cs="Arial"/>
          <w:sz w:val="24"/>
          <w:szCs w:val="24"/>
        </w:rPr>
        <w:t xml:space="preserve">procedió </w:t>
      </w:r>
      <w:r w:rsidR="00C01566" w:rsidRPr="009E387B">
        <w:rPr>
          <w:rFonts w:ascii="Arial" w:hAnsi="Arial" w:cs="Arial"/>
          <w:sz w:val="24"/>
          <w:szCs w:val="24"/>
        </w:rPr>
        <w:t xml:space="preserve">con </w:t>
      </w:r>
      <w:r w:rsidR="00AE270E" w:rsidRPr="009E387B">
        <w:rPr>
          <w:rFonts w:ascii="Arial" w:hAnsi="Arial" w:cs="Arial"/>
          <w:sz w:val="24"/>
          <w:szCs w:val="24"/>
        </w:rPr>
        <w:t>el trámite de que trata el artículo 447 del CPP., para lo cual cada una de las partes se refirió a las condiciones individuales, familiares, sociales, modo de vivir y antecedentes de todo orden del acu</w:t>
      </w:r>
      <w:r w:rsidR="00CB69E9" w:rsidRPr="009E387B">
        <w:rPr>
          <w:rFonts w:ascii="Arial" w:hAnsi="Arial" w:cs="Arial"/>
          <w:sz w:val="24"/>
          <w:szCs w:val="24"/>
        </w:rPr>
        <w:t>sado e hicieron manifestaci</w:t>
      </w:r>
      <w:r w:rsidR="00B854BD" w:rsidRPr="009E387B">
        <w:rPr>
          <w:rFonts w:ascii="Arial" w:hAnsi="Arial" w:cs="Arial"/>
          <w:sz w:val="24"/>
          <w:szCs w:val="24"/>
        </w:rPr>
        <w:t>ones</w:t>
      </w:r>
      <w:r w:rsidR="00CB69E9" w:rsidRPr="009E387B">
        <w:rPr>
          <w:rFonts w:ascii="Arial" w:hAnsi="Arial" w:cs="Arial"/>
          <w:sz w:val="24"/>
          <w:szCs w:val="24"/>
        </w:rPr>
        <w:t xml:space="preserve"> sobre </w:t>
      </w:r>
      <w:r w:rsidR="00AE270E" w:rsidRPr="009E387B">
        <w:rPr>
          <w:rFonts w:ascii="Arial" w:hAnsi="Arial" w:cs="Arial"/>
          <w:sz w:val="24"/>
          <w:szCs w:val="24"/>
        </w:rPr>
        <w:t>la probable determinación de la pena aplicable</w:t>
      </w:r>
      <w:r w:rsidR="00F8736B" w:rsidRPr="009E387B">
        <w:rPr>
          <w:rFonts w:ascii="Arial" w:hAnsi="Arial" w:cs="Arial"/>
          <w:sz w:val="24"/>
          <w:szCs w:val="24"/>
        </w:rPr>
        <w:t xml:space="preserve">, acto en el cual el defensor </w:t>
      </w:r>
      <w:r w:rsidR="0096539C" w:rsidRPr="009E387B">
        <w:rPr>
          <w:rFonts w:ascii="Arial" w:hAnsi="Arial" w:cs="Arial"/>
          <w:sz w:val="24"/>
          <w:szCs w:val="24"/>
        </w:rPr>
        <w:t xml:space="preserve">solicitó que se reconociera la rebaja establecida en el artículo 27 CP., porque el delito se realizó en grado de tentativa. </w:t>
      </w:r>
    </w:p>
    <w:p w:rsidR="0096539C" w:rsidRPr="009E387B" w:rsidRDefault="0096539C" w:rsidP="009E387B">
      <w:pPr>
        <w:pStyle w:val="Sinespaciado"/>
        <w:spacing w:line="288" w:lineRule="auto"/>
        <w:jc w:val="both"/>
        <w:rPr>
          <w:rFonts w:ascii="Arial" w:hAnsi="Arial" w:cs="Arial"/>
          <w:sz w:val="24"/>
          <w:szCs w:val="24"/>
        </w:rPr>
      </w:pPr>
    </w:p>
    <w:p w:rsidR="0096539C" w:rsidRPr="009E387B" w:rsidRDefault="0096539C"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6.3.3 Ante tal planteamiento la </w:t>
      </w:r>
      <w:r w:rsidRPr="009E387B">
        <w:rPr>
          <w:rFonts w:ascii="Arial" w:hAnsi="Arial" w:cs="Arial"/>
          <w:i/>
          <w:sz w:val="24"/>
          <w:szCs w:val="24"/>
        </w:rPr>
        <w:t>a quo</w:t>
      </w:r>
      <w:r w:rsidR="00F8736B" w:rsidRPr="009E387B">
        <w:rPr>
          <w:rFonts w:ascii="Arial" w:hAnsi="Arial" w:cs="Arial"/>
          <w:i/>
          <w:sz w:val="24"/>
          <w:szCs w:val="24"/>
        </w:rPr>
        <w:t xml:space="preserve"> </w:t>
      </w:r>
      <w:r w:rsidR="00F8736B" w:rsidRPr="009E387B">
        <w:rPr>
          <w:rFonts w:ascii="Arial" w:hAnsi="Arial" w:cs="Arial"/>
          <w:sz w:val="24"/>
          <w:szCs w:val="24"/>
        </w:rPr>
        <w:t>advirtió</w:t>
      </w:r>
      <w:r w:rsidRPr="009E387B">
        <w:rPr>
          <w:rFonts w:ascii="Arial" w:hAnsi="Arial" w:cs="Arial"/>
          <w:sz w:val="24"/>
          <w:szCs w:val="24"/>
        </w:rPr>
        <w:t xml:space="preserve"> que no era procedente acceder al pedimento defensivo para lo cual tuvo en cuenta</w:t>
      </w:r>
      <w:r w:rsidR="008C1EF6" w:rsidRPr="009E387B">
        <w:rPr>
          <w:rFonts w:ascii="Arial" w:hAnsi="Arial" w:cs="Arial"/>
          <w:sz w:val="24"/>
          <w:szCs w:val="24"/>
        </w:rPr>
        <w:t>,</w:t>
      </w:r>
      <w:r w:rsidRPr="009E387B">
        <w:rPr>
          <w:rFonts w:ascii="Arial" w:hAnsi="Arial" w:cs="Arial"/>
          <w:sz w:val="24"/>
          <w:szCs w:val="24"/>
        </w:rPr>
        <w:t xml:space="preserve"> en primer lugar</w:t>
      </w:r>
      <w:r w:rsidR="008C1EF6" w:rsidRPr="009E387B">
        <w:rPr>
          <w:rFonts w:ascii="Arial" w:hAnsi="Arial" w:cs="Arial"/>
          <w:sz w:val="24"/>
          <w:szCs w:val="24"/>
        </w:rPr>
        <w:t>,</w:t>
      </w:r>
      <w:r w:rsidRPr="009E387B">
        <w:rPr>
          <w:rFonts w:ascii="Arial" w:hAnsi="Arial" w:cs="Arial"/>
          <w:sz w:val="24"/>
          <w:szCs w:val="24"/>
        </w:rPr>
        <w:t xml:space="preserve"> que consider</w:t>
      </w:r>
      <w:r w:rsidR="008C1EF6" w:rsidRPr="009E387B">
        <w:rPr>
          <w:rFonts w:ascii="Arial" w:hAnsi="Arial" w:cs="Arial"/>
          <w:sz w:val="24"/>
          <w:szCs w:val="24"/>
        </w:rPr>
        <w:t xml:space="preserve">aba </w:t>
      </w:r>
      <w:r w:rsidRPr="009E387B">
        <w:rPr>
          <w:rFonts w:ascii="Arial" w:hAnsi="Arial" w:cs="Arial"/>
          <w:sz w:val="24"/>
          <w:szCs w:val="24"/>
        </w:rPr>
        <w:t xml:space="preserve">la acción criminal como consumada toda vez que el encartado tenía guardado el espejo retrovisor en la pretina del pantalón </w:t>
      </w:r>
      <w:r w:rsidR="008C1EF6" w:rsidRPr="009E387B">
        <w:rPr>
          <w:rFonts w:ascii="Arial" w:hAnsi="Arial" w:cs="Arial"/>
          <w:sz w:val="24"/>
          <w:szCs w:val="24"/>
        </w:rPr>
        <w:t xml:space="preserve">cuando fue sorprendido por los policiales </w:t>
      </w:r>
      <w:r w:rsidR="008C1EF6" w:rsidRPr="009E387B">
        <w:rPr>
          <w:rFonts w:ascii="Arial" w:hAnsi="Arial" w:cs="Arial"/>
          <w:sz w:val="24"/>
          <w:szCs w:val="24"/>
        </w:rPr>
        <w:lastRenderedPageBreak/>
        <w:t>que procedieron posteriormente a su captura y</w:t>
      </w:r>
      <w:r w:rsidR="00F8736B" w:rsidRPr="009E387B">
        <w:rPr>
          <w:rFonts w:ascii="Arial" w:hAnsi="Arial" w:cs="Arial"/>
          <w:sz w:val="24"/>
          <w:szCs w:val="24"/>
        </w:rPr>
        <w:t>,</w:t>
      </w:r>
      <w:r w:rsidR="008C1EF6" w:rsidRPr="009E387B">
        <w:rPr>
          <w:rFonts w:ascii="Arial" w:hAnsi="Arial" w:cs="Arial"/>
          <w:sz w:val="24"/>
          <w:szCs w:val="24"/>
        </w:rPr>
        <w:t xml:space="preserve"> por cuanto si </w:t>
      </w:r>
      <w:r w:rsidR="00F8736B" w:rsidRPr="009E387B">
        <w:rPr>
          <w:rFonts w:ascii="Arial" w:hAnsi="Arial" w:cs="Arial"/>
          <w:sz w:val="24"/>
          <w:szCs w:val="24"/>
        </w:rPr>
        <w:t xml:space="preserve">bien </w:t>
      </w:r>
      <w:r w:rsidR="008C1EF6" w:rsidRPr="009E387B">
        <w:rPr>
          <w:rFonts w:ascii="Arial" w:hAnsi="Arial" w:cs="Arial"/>
          <w:sz w:val="24"/>
          <w:szCs w:val="24"/>
        </w:rPr>
        <w:t xml:space="preserve">permanecía junto al rodante era porque estaba intentando abrirlo, pero ya tenía en su poder el elemento hurtado. </w:t>
      </w:r>
    </w:p>
    <w:p w:rsidR="008C1EF6" w:rsidRPr="009E387B" w:rsidRDefault="008C1EF6" w:rsidP="009E387B">
      <w:pPr>
        <w:pStyle w:val="Sinespaciado"/>
        <w:spacing w:line="288" w:lineRule="auto"/>
        <w:jc w:val="both"/>
        <w:rPr>
          <w:rFonts w:ascii="Arial" w:hAnsi="Arial" w:cs="Arial"/>
          <w:sz w:val="24"/>
          <w:szCs w:val="24"/>
        </w:rPr>
      </w:pPr>
    </w:p>
    <w:p w:rsidR="008C1EF6" w:rsidRPr="009E387B" w:rsidRDefault="008C1EF6"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En segundo lugar la </w:t>
      </w:r>
      <w:r w:rsidRPr="009E387B">
        <w:rPr>
          <w:rFonts w:ascii="Arial" w:hAnsi="Arial" w:cs="Arial"/>
          <w:i/>
          <w:sz w:val="24"/>
          <w:szCs w:val="24"/>
        </w:rPr>
        <w:t xml:space="preserve">a quo </w:t>
      </w:r>
      <w:r w:rsidRPr="009E387B">
        <w:rPr>
          <w:rFonts w:ascii="Arial" w:hAnsi="Arial" w:cs="Arial"/>
          <w:sz w:val="24"/>
          <w:szCs w:val="24"/>
        </w:rPr>
        <w:t xml:space="preserve">se refirió a la extemporaneidad e improcedencia de la petición toda vez que no </w:t>
      </w:r>
      <w:r w:rsidR="00F8736B" w:rsidRPr="009E387B">
        <w:rPr>
          <w:rFonts w:ascii="Arial" w:hAnsi="Arial" w:cs="Arial"/>
          <w:sz w:val="24"/>
          <w:szCs w:val="24"/>
        </w:rPr>
        <w:t>era</w:t>
      </w:r>
      <w:r w:rsidRPr="009E387B">
        <w:rPr>
          <w:rFonts w:ascii="Arial" w:hAnsi="Arial" w:cs="Arial"/>
          <w:sz w:val="24"/>
          <w:szCs w:val="24"/>
        </w:rPr>
        <w:t xml:space="preserve"> en la audiencia de individualización de pena y sentencia donde se </w:t>
      </w:r>
      <w:r w:rsidR="00F8736B" w:rsidRPr="009E387B">
        <w:rPr>
          <w:rFonts w:ascii="Arial" w:hAnsi="Arial" w:cs="Arial"/>
          <w:sz w:val="24"/>
          <w:szCs w:val="24"/>
        </w:rPr>
        <w:t xml:space="preserve">debía debatir </w:t>
      </w:r>
      <w:r w:rsidRPr="009E387B">
        <w:rPr>
          <w:rFonts w:ascii="Arial" w:hAnsi="Arial" w:cs="Arial"/>
          <w:sz w:val="24"/>
          <w:szCs w:val="24"/>
        </w:rPr>
        <w:t>tal pretensi</w:t>
      </w:r>
      <w:r w:rsidR="003C1E78" w:rsidRPr="009E387B">
        <w:rPr>
          <w:rFonts w:ascii="Arial" w:hAnsi="Arial" w:cs="Arial"/>
          <w:sz w:val="24"/>
          <w:szCs w:val="24"/>
        </w:rPr>
        <w:t>ón.</w:t>
      </w:r>
    </w:p>
    <w:p w:rsidR="002F168A" w:rsidRPr="009E387B" w:rsidRDefault="002F168A" w:rsidP="009E387B">
      <w:pPr>
        <w:pStyle w:val="Sinespaciado"/>
        <w:spacing w:line="288" w:lineRule="auto"/>
        <w:jc w:val="both"/>
        <w:rPr>
          <w:rFonts w:ascii="Arial" w:hAnsi="Arial" w:cs="Arial"/>
          <w:sz w:val="24"/>
          <w:szCs w:val="24"/>
        </w:rPr>
      </w:pPr>
    </w:p>
    <w:p w:rsidR="006A7D59"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6A7D59" w:rsidRPr="009E387B">
        <w:rPr>
          <w:rFonts w:ascii="Arial" w:hAnsi="Arial" w:cs="Arial"/>
          <w:sz w:val="24"/>
          <w:szCs w:val="24"/>
        </w:rPr>
        <w:t>.3.</w:t>
      </w:r>
      <w:r w:rsidR="00F8736B" w:rsidRPr="009E387B">
        <w:rPr>
          <w:rFonts w:ascii="Arial" w:hAnsi="Arial" w:cs="Arial"/>
          <w:sz w:val="24"/>
          <w:szCs w:val="24"/>
        </w:rPr>
        <w:t>4</w:t>
      </w:r>
      <w:r w:rsidR="006A7D59" w:rsidRPr="009E387B">
        <w:rPr>
          <w:rFonts w:ascii="Arial" w:hAnsi="Arial" w:cs="Arial"/>
          <w:sz w:val="24"/>
          <w:szCs w:val="24"/>
        </w:rPr>
        <w:t xml:space="preserve"> Siendo este el trámite procesal </w:t>
      </w:r>
      <w:r w:rsidR="00CB69E9" w:rsidRPr="009E387B">
        <w:rPr>
          <w:rFonts w:ascii="Arial" w:hAnsi="Arial" w:cs="Arial"/>
          <w:sz w:val="24"/>
          <w:szCs w:val="24"/>
        </w:rPr>
        <w:t xml:space="preserve">que se imprimió al presente asunto </w:t>
      </w:r>
      <w:r w:rsidR="006A7D59" w:rsidRPr="009E387B">
        <w:rPr>
          <w:rFonts w:ascii="Arial" w:hAnsi="Arial" w:cs="Arial"/>
          <w:sz w:val="24"/>
          <w:szCs w:val="24"/>
        </w:rPr>
        <w:t xml:space="preserve">es del caso </w:t>
      </w:r>
      <w:r w:rsidR="00F25843" w:rsidRPr="009E387B">
        <w:rPr>
          <w:rFonts w:ascii="Arial" w:hAnsi="Arial" w:cs="Arial"/>
          <w:sz w:val="24"/>
          <w:szCs w:val="24"/>
        </w:rPr>
        <w:t>recordar que si bien el proceso penal ordinario comprende las audiencias de formulación de imputación, formulación de acusación, preparatoria y de juicio oral; también existen formas anticipadas de terminación del proceso como lo es en este</w:t>
      </w:r>
      <w:r w:rsidR="00CB69E9" w:rsidRPr="009E387B">
        <w:rPr>
          <w:rFonts w:ascii="Arial" w:hAnsi="Arial" w:cs="Arial"/>
          <w:sz w:val="24"/>
          <w:szCs w:val="24"/>
        </w:rPr>
        <w:t xml:space="preserve"> asunto</w:t>
      </w:r>
      <w:r w:rsidR="00F25843" w:rsidRPr="009E387B">
        <w:rPr>
          <w:rFonts w:ascii="Arial" w:hAnsi="Arial" w:cs="Arial"/>
          <w:sz w:val="24"/>
          <w:szCs w:val="24"/>
        </w:rPr>
        <w:t xml:space="preserve"> el allanamiento a cargos, lo cual tiene como consecuencia </w:t>
      </w:r>
      <w:r w:rsidR="00CB69E9" w:rsidRPr="009E387B">
        <w:rPr>
          <w:rFonts w:ascii="Arial" w:hAnsi="Arial" w:cs="Arial"/>
          <w:sz w:val="24"/>
          <w:szCs w:val="24"/>
        </w:rPr>
        <w:t>que el Juez proceda a dictar sentencia reduciendo la pena a imponer</w:t>
      </w:r>
      <w:r w:rsidR="003C1E78" w:rsidRPr="009E387B">
        <w:rPr>
          <w:rFonts w:ascii="Arial" w:hAnsi="Arial" w:cs="Arial"/>
          <w:sz w:val="24"/>
          <w:szCs w:val="24"/>
        </w:rPr>
        <w:t xml:space="preserve"> como parte del sistema </w:t>
      </w:r>
      <w:proofErr w:type="spellStart"/>
      <w:r w:rsidR="003C1E78" w:rsidRPr="009E387B">
        <w:rPr>
          <w:rFonts w:ascii="Arial" w:hAnsi="Arial" w:cs="Arial"/>
          <w:sz w:val="24"/>
          <w:szCs w:val="24"/>
        </w:rPr>
        <w:t>premial</w:t>
      </w:r>
      <w:proofErr w:type="spellEnd"/>
      <w:r w:rsidR="00CB69E9" w:rsidRPr="009E387B">
        <w:rPr>
          <w:rFonts w:ascii="Arial" w:hAnsi="Arial" w:cs="Arial"/>
          <w:sz w:val="24"/>
          <w:szCs w:val="24"/>
        </w:rPr>
        <w:t>, es decir, que ya no era necesario</w:t>
      </w:r>
      <w:r w:rsidR="003C1E78" w:rsidRPr="009E387B">
        <w:rPr>
          <w:rFonts w:ascii="Arial" w:hAnsi="Arial" w:cs="Arial"/>
          <w:sz w:val="24"/>
          <w:szCs w:val="24"/>
        </w:rPr>
        <w:t xml:space="preserve"> el debate probatorio respecto de los elementos de la conducta punible, la modalidad de la misma, el elemento amplificador del tipo de la tentativa o las circunstancias de atenuación y agravación</w:t>
      </w:r>
      <w:r w:rsidR="00CB69E9" w:rsidRPr="009E387B">
        <w:rPr>
          <w:rFonts w:ascii="Arial" w:hAnsi="Arial" w:cs="Arial"/>
          <w:sz w:val="24"/>
          <w:szCs w:val="24"/>
        </w:rPr>
        <w:t xml:space="preserve">. </w:t>
      </w:r>
    </w:p>
    <w:p w:rsidR="00841118" w:rsidRPr="009E387B" w:rsidRDefault="00841118" w:rsidP="009E387B">
      <w:pPr>
        <w:pStyle w:val="Sinespaciado"/>
        <w:spacing w:line="288" w:lineRule="auto"/>
        <w:jc w:val="both"/>
        <w:rPr>
          <w:rFonts w:ascii="Arial" w:hAnsi="Arial" w:cs="Arial"/>
          <w:sz w:val="24"/>
          <w:szCs w:val="24"/>
        </w:rPr>
      </w:pPr>
    </w:p>
    <w:p w:rsidR="00BA43A2"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476EA1" w:rsidRPr="009E387B">
        <w:rPr>
          <w:rFonts w:ascii="Arial" w:hAnsi="Arial" w:cs="Arial"/>
          <w:sz w:val="24"/>
          <w:szCs w:val="24"/>
        </w:rPr>
        <w:t xml:space="preserve">.4 Ahora, respecto de la apelación que ataca específicamente </w:t>
      </w:r>
      <w:r w:rsidR="003C1E78" w:rsidRPr="009E387B">
        <w:rPr>
          <w:rFonts w:ascii="Arial" w:hAnsi="Arial" w:cs="Arial"/>
          <w:sz w:val="24"/>
          <w:szCs w:val="24"/>
        </w:rPr>
        <w:t>el reconocimiento de la disminución en la tasación de la pena en aplicación de lo previsto en el artículo 27 del C</w:t>
      </w:r>
      <w:r w:rsidR="00BA43A2" w:rsidRPr="009E387B">
        <w:rPr>
          <w:rFonts w:ascii="Arial" w:hAnsi="Arial" w:cs="Arial"/>
          <w:sz w:val="24"/>
          <w:szCs w:val="24"/>
        </w:rPr>
        <w:t>.</w:t>
      </w:r>
      <w:r w:rsidR="003C1E78" w:rsidRPr="009E387B">
        <w:rPr>
          <w:rFonts w:ascii="Arial" w:hAnsi="Arial" w:cs="Arial"/>
          <w:sz w:val="24"/>
          <w:szCs w:val="24"/>
        </w:rPr>
        <w:t>P.,</w:t>
      </w:r>
      <w:r w:rsidR="00476EA1" w:rsidRPr="009E387B">
        <w:rPr>
          <w:rFonts w:ascii="Arial" w:hAnsi="Arial" w:cs="Arial"/>
          <w:sz w:val="24"/>
          <w:szCs w:val="24"/>
        </w:rPr>
        <w:t xml:space="preserve"> bajo el sustento de no estar debidamente probado</w:t>
      </w:r>
      <w:r w:rsidR="003C1E78" w:rsidRPr="009E387B">
        <w:rPr>
          <w:rFonts w:ascii="Arial" w:hAnsi="Arial" w:cs="Arial"/>
          <w:sz w:val="24"/>
          <w:szCs w:val="24"/>
        </w:rPr>
        <w:t xml:space="preserve"> que el punible enrostrado al señor </w:t>
      </w:r>
      <w:proofErr w:type="spellStart"/>
      <w:r w:rsidR="00A33152">
        <w:rPr>
          <w:rFonts w:ascii="Arial" w:hAnsi="Arial" w:cs="Arial"/>
          <w:sz w:val="24"/>
          <w:szCs w:val="24"/>
        </w:rPr>
        <w:t>JAMV</w:t>
      </w:r>
      <w:proofErr w:type="spellEnd"/>
      <w:r w:rsidR="003C1E78" w:rsidRPr="009E387B">
        <w:rPr>
          <w:rFonts w:ascii="Arial" w:hAnsi="Arial" w:cs="Arial"/>
          <w:sz w:val="24"/>
          <w:szCs w:val="24"/>
        </w:rPr>
        <w:t xml:space="preserve"> fue consumado</w:t>
      </w:r>
      <w:r w:rsidR="00476EA1" w:rsidRPr="009E387B">
        <w:rPr>
          <w:rFonts w:ascii="Arial" w:hAnsi="Arial" w:cs="Arial"/>
          <w:sz w:val="24"/>
          <w:szCs w:val="24"/>
        </w:rPr>
        <w:t>,</w:t>
      </w:r>
      <w:r w:rsidR="00C852E4" w:rsidRPr="009E387B">
        <w:rPr>
          <w:rFonts w:ascii="Arial" w:hAnsi="Arial" w:cs="Arial"/>
          <w:sz w:val="24"/>
          <w:szCs w:val="24"/>
        </w:rPr>
        <w:t xml:space="preserve"> resulta imperioso </w:t>
      </w:r>
      <w:r w:rsidR="00476EA1" w:rsidRPr="009E387B">
        <w:rPr>
          <w:rFonts w:ascii="Arial" w:hAnsi="Arial" w:cs="Arial"/>
          <w:sz w:val="24"/>
          <w:szCs w:val="24"/>
        </w:rPr>
        <w:t xml:space="preserve">reiterar que </w:t>
      </w:r>
      <w:r w:rsidR="00C852E4" w:rsidRPr="009E387B">
        <w:rPr>
          <w:rFonts w:ascii="Arial" w:hAnsi="Arial" w:cs="Arial"/>
          <w:sz w:val="24"/>
          <w:szCs w:val="24"/>
        </w:rPr>
        <w:t xml:space="preserve">en el caso objeto de estudio </w:t>
      </w:r>
      <w:r w:rsidR="00101DD1" w:rsidRPr="009E387B">
        <w:rPr>
          <w:rFonts w:ascii="Arial" w:hAnsi="Arial" w:cs="Arial"/>
          <w:sz w:val="24"/>
          <w:szCs w:val="24"/>
        </w:rPr>
        <w:t>existió un allanamiento a cargos libre, espontáneo e informado, por parte de</w:t>
      </w:r>
      <w:r w:rsidR="003C1E78" w:rsidRPr="009E387B">
        <w:rPr>
          <w:rFonts w:ascii="Arial" w:hAnsi="Arial" w:cs="Arial"/>
          <w:sz w:val="24"/>
          <w:szCs w:val="24"/>
        </w:rPr>
        <w:t>l encartado</w:t>
      </w:r>
      <w:r w:rsidR="007507C1" w:rsidRPr="009E387B">
        <w:rPr>
          <w:rFonts w:ascii="Arial" w:hAnsi="Arial" w:cs="Arial"/>
          <w:sz w:val="24"/>
          <w:szCs w:val="24"/>
        </w:rPr>
        <w:t xml:space="preserve">. </w:t>
      </w:r>
    </w:p>
    <w:p w:rsidR="00BA43A2" w:rsidRPr="009E387B" w:rsidRDefault="00BA43A2" w:rsidP="009E387B">
      <w:pPr>
        <w:pStyle w:val="Sinespaciado"/>
        <w:spacing w:line="288" w:lineRule="auto"/>
        <w:jc w:val="both"/>
        <w:rPr>
          <w:rFonts w:ascii="Arial" w:hAnsi="Arial" w:cs="Arial"/>
          <w:sz w:val="24"/>
          <w:szCs w:val="24"/>
        </w:rPr>
      </w:pPr>
    </w:p>
    <w:p w:rsidR="00101DD1" w:rsidRPr="009E387B" w:rsidRDefault="00BA43A2"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Entonces, en principio </w:t>
      </w:r>
      <w:r w:rsidR="00101DD1" w:rsidRPr="009E387B">
        <w:rPr>
          <w:rFonts w:ascii="Arial" w:hAnsi="Arial" w:cs="Arial"/>
          <w:sz w:val="24"/>
          <w:szCs w:val="24"/>
        </w:rPr>
        <w:t>no resulta</w:t>
      </w:r>
      <w:r w:rsidRPr="009E387B">
        <w:rPr>
          <w:rFonts w:ascii="Arial" w:hAnsi="Arial" w:cs="Arial"/>
          <w:sz w:val="24"/>
          <w:szCs w:val="24"/>
        </w:rPr>
        <w:t>ría</w:t>
      </w:r>
      <w:r w:rsidR="00101DD1" w:rsidRPr="009E387B">
        <w:rPr>
          <w:rFonts w:ascii="Arial" w:hAnsi="Arial" w:cs="Arial"/>
          <w:sz w:val="24"/>
          <w:szCs w:val="24"/>
        </w:rPr>
        <w:t xml:space="preserve"> posible que el </w:t>
      </w:r>
      <w:r w:rsidR="007507C1" w:rsidRPr="009E387B">
        <w:rPr>
          <w:rFonts w:ascii="Arial" w:hAnsi="Arial" w:cs="Arial"/>
          <w:sz w:val="24"/>
          <w:szCs w:val="24"/>
        </w:rPr>
        <w:t xml:space="preserve">abogado que representa </w:t>
      </w:r>
      <w:r w:rsidR="003C1E78" w:rsidRPr="009E387B">
        <w:rPr>
          <w:rFonts w:ascii="Arial" w:hAnsi="Arial" w:cs="Arial"/>
          <w:sz w:val="24"/>
          <w:szCs w:val="24"/>
        </w:rPr>
        <w:t xml:space="preserve">sus </w:t>
      </w:r>
      <w:r w:rsidR="007507C1" w:rsidRPr="009E387B">
        <w:rPr>
          <w:rFonts w:ascii="Arial" w:hAnsi="Arial" w:cs="Arial"/>
          <w:sz w:val="24"/>
          <w:szCs w:val="24"/>
        </w:rPr>
        <w:t xml:space="preserve">intereses </w:t>
      </w:r>
      <w:r w:rsidR="00101DD1" w:rsidRPr="009E387B">
        <w:rPr>
          <w:rFonts w:ascii="Arial" w:hAnsi="Arial" w:cs="Arial"/>
          <w:sz w:val="24"/>
          <w:szCs w:val="24"/>
        </w:rPr>
        <w:t xml:space="preserve">entre a controvertir por vía de apelación </w:t>
      </w:r>
      <w:r w:rsidR="000B42C9" w:rsidRPr="009E387B">
        <w:rPr>
          <w:rFonts w:ascii="Arial" w:hAnsi="Arial" w:cs="Arial"/>
          <w:sz w:val="24"/>
          <w:szCs w:val="24"/>
        </w:rPr>
        <w:t>de la sentencia de primer grado</w:t>
      </w:r>
      <w:r w:rsidR="00101DD1" w:rsidRPr="009E387B">
        <w:rPr>
          <w:rFonts w:ascii="Arial" w:hAnsi="Arial" w:cs="Arial"/>
          <w:sz w:val="24"/>
          <w:szCs w:val="24"/>
        </w:rPr>
        <w:t xml:space="preserve"> el juicio de adecuación típica efectuado por la FGN, frente a una decisión del procesado que fue avalada por </w:t>
      </w:r>
      <w:r w:rsidR="003C1E78" w:rsidRPr="009E387B">
        <w:rPr>
          <w:rFonts w:ascii="Arial" w:hAnsi="Arial" w:cs="Arial"/>
          <w:sz w:val="24"/>
          <w:szCs w:val="24"/>
        </w:rPr>
        <w:t>el Juez que ejerció el control de garantías del procedimiento</w:t>
      </w:r>
      <w:r w:rsidR="00101DD1" w:rsidRPr="009E387B">
        <w:rPr>
          <w:rFonts w:ascii="Arial" w:hAnsi="Arial" w:cs="Arial"/>
          <w:sz w:val="24"/>
          <w:szCs w:val="24"/>
        </w:rPr>
        <w:t>, en virtud de la competencia que le otorga el artículo 131 d</w:t>
      </w:r>
      <w:r w:rsidR="00962D03" w:rsidRPr="009E387B">
        <w:rPr>
          <w:rFonts w:ascii="Arial" w:hAnsi="Arial" w:cs="Arial"/>
          <w:sz w:val="24"/>
          <w:szCs w:val="24"/>
        </w:rPr>
        <w:t>el CPP</w:t>
      </w:r>
      <w:r w:rsidR="00101DD1" w:rsidRPr="009E387B">
        <w:rPr>
          <w:rFonts w:ascii="Arial" w:hAnsi="Arial" w:cs="Arial"/>
          <w:sz w:val="24"/>
          <w:szCs w:val="24"/>
        </w:rPr>
        <w:t xml:space="preserve"> ya que precisamente</w:t>
      </w:r>
      <w:r w:rsidR="007507C1" w:rsidRPr="009E387B">
        <w:rPr>
          <w:rFonts w:ascii="Arial" w:hAnsi="Arial" w:cs="Arial"/>
          <w:sz w:val="24"/>
          <w:szCs w:val="24"/>
        </w:rPr>
        <w:t xml:space="preserve"> la conducta procesal del señor </w:t>
      </w:r>
      <w:proofErr w:type="spellStart"/>
      <w:r w:rsidR="007951D4">
        <w:rPr>
          <w:rFonts w:ascii="Arial" w:hAnsi="Arial" w:cs="Arial"/>
          <w:sz w:val="24"/>
          <w:szCs w:val="24"/>
        </w:rPr>
        <w:t>JAMV</w:t>
      </w:r>
      <w:proofErr w:type="spellEnd"/>
      <w:r w:rsidR="00101DD1" w:rsidRPr="009E387B">
        <w:rPr>
          <w:rFonts w:ascii="Arial" w:hAnsi="Arial" w:cs="Arial"/>
          <w:sz w:val="24"/>
          <w:szCs w:val="24"/>
        </w:rPr>
        <w:t xml:space="preserve"> de allanarse a los cargos en los términos formulados por la FGN, constituyó una renuncia al juicio oral y por ende a la controversia sobre los medios de prueba de que disponía el ente acusador para esa fase procesal, ya que se entiende que el avenimiento unilateral del </w:t>
      </w:r>
      <w:r w:rsidR="00440884" w:rsidRPr="009E387B">
        <w:rPr>
          <w:rFonts w:ascii="Arial" w:hAnsi="Arial" w:cs="Arial"/>
          <w:sz w:val="24"/>
          <w:szCs w:val="24"/>
        </w:rPr>
        <w:t>encartado</w:t>
      </w:r>
      <w:r w:rsidR="00101DD1" w:rsidRPr="009E387B">
        <w:rPr>
          <w:rFonts w:ascii="Arial" w:hAnsi="Arial" w:cs="Arial"/>
          <w:sz w:val="24"/>
          <w:szCs w:val="24"/>
        </w:rPr>
        <w:t xml:space="preserve"> con la </w:t>
      </w:r>
      <w:r w:rsidR="00D80B46" w:rsidRPr="009E387B">
        <w:rPr>
          <w:rFonts w:ascii="Arial" w:hAnsi="Arial" w:cs="Arial"/>
          <w:sz w:val="24"/>
          <w:szCs w:val="24"/>
        </w:rPr>
        <w:t>acusación</w:t>
      </w:r>
      <w:r w:rsidR="00DC1A16" w:rsidRPr="009E387B">
        <w:rPr>
          <w:rFonts w:ascii="Arial" w:hAnsi="Arial" w:cs="Arial"/>
          <w:sz w:val="24"/>
          <w:szCs w:val="24"/>
        </w:rPr>
        <w:t>,</w:t>
      </w:r>
      <w:r w:rsidR="00D80B46" w:rsidRPr="009E387B">
        <w:rPr>
          <w:rFonts w:ascii="Arial" w:hAnsi="Arial" w:cs="Arial"/>
          <w:sz w:val="24"/>
          <w:szCs w:val="24"/>
        </w:rPr>
        <w:t xml:space="preserve"> </w:t>
      </w:r>
      <w:r w:rsidR="00101DD1" w:rsidRPr="009E387B">
        <w:rPr>
          <w:rFonts w:ascii="Arial" w:hAnsi="Arial" w:cs="Arial"/>
          <w:sz w:val="24"/>
          <w:szCs w:val="24"/>
        </w:rPr>
        <w:t>como ocurrió en este caso, comportaba la aceptación tanto de los hechos como de su calificación jurídica, lo cual viene a ser consecuencia del principio de congruencia entre acusación y sentencia que establece el artículo 448 del CPP.</w:t>
      </w:r>
    </w:p>
    <w:p w:rsidR="0013689D" w:rsidRPr="009E387B" w:rsidRDefault="0013689D" w:rsidP="009E387B">
      <w:pPr>
        <w:pStyle w:val="Sinespaciado"/>
        <w:spacing w:line="288" w:lineRule="auto"/>
        <w:jc w:val="both"/>
        <w:rPr>
          <w:rFonts w:ascii="Arial" w:hAnsi="Arial" w:cs="Arial"/>
          <w:sz w:val="24"/>
          <w:szCs w:val="24"/>
        </w:rPr>
      </w:pPr>
    </w:p>
    <w:p w:rsidR="001C4454" w:rsidRPr="009E387B" w:rsidRDefault="005F11C3" w:rsidP="009E387B">
      <w:pPr>
        <w:widowControl w:val="0"/>
        <w:autoSpaceDE w:val="0"/>
        <w:autoSpaceDN w:val="0"/>
        <w:adjustRightInd w:val="0"/>
        <w:spacing w:after="0" w:line="288" w:lineRule="auto"/>
        <w:jc w:val="both"/>
        <w:rPr>
          <w:rFonts w:ascii="Arial" w:eastAsia="Times New Roman" w:hAnsi="Arial" w:cs="Arial"/>
          <w:sz w:val="24"/>
          <w:szCs w:val="24"/>
          <w:lang w:val="es-ES" w:eastAsia="es-ES"/>
        </w:rPr>
      </w:pPr>
      <w:r w:rsidRPr="009E387B">
        <w:rPr>
          <w:rFonts w:ascii="Arial" w:hAnsi="Arial" w:cs="Arial"/>
          <w:sz w:val="24"/>
          <w:szCs w:val="24"/>
        </w:rPr>
        <w:t>6</w:t>
      </w:r>
      <w:r w:rsidR="001C4454" w:rsidRPr="009E387B">
        <w:rPr>
          <w:rFonts w:ascii="Arial" w:hAnsi="Arial" w:cs="Arial"/>
          <w:sz w:val="24"/>
          <w:szCs w:val="24"/>
        </w:rPr>
        <w:t xml:space="preserve">.4.1 </w:t>
      </w:r>
      <w:r w:rsidR="00716FE3" w:rsidRPr="009E387B">
        <w:rPr>
          <w:rFonts w:ascii="Arial" w:hAnsi="Arial" w:cs="Arial"/>
          <w:sz w:val="24"/>
          <w:szCs w:val="24"/>
        </w:rPr>
        <w:t xml:space="preserve">Es de tener en cuenta respecto de </w:t>
      </w:r>
      <w:r w:rsidR="001C4454" w:rsidRPr="009E387B">
        <w:rPr>
          <w:rFonts w:ascii="Arial" w:eastAsia="Times New Roman" w:hAnsi="Arial" w:cs="Arial"/>
          <w:sz w:val="24"/>
          <w:szCs w:val="24"/>
          <w:lang w:val="es-ES" w:eastAsia="es-ES"/>
        </w:rPr>
        <w:t>lo relacionado con el allanamiento a cargos y sus consecuencias procesales, aspecto definido por la doctrina:</w:t>
      </w:r>
    </w:p>
    <w:p w:rsidR="002F168A" w:rsidRPr="009E387B" w:rsidRDefault="002F168A" w:rsidP="009E387B">
      <w:pPr>
        <w:widowControl w:val="0"/>
        <w:autoSpaceDE w:val="0"/>
        <w:autoSpaceDN w:val="0"/>
        <w:adjustRightInd w:val="0"/>
        <w:spacing w:after="0" w:line="288" w:lineRule="auto"/>
        <w:ind w:left="567" w:right="618"/>
        <w:jc w:val="both"/>
        <w:rPr>
          <w:rFonts w:ascii="Arial" w:eastAsia="Times New Roman" w:hAnsi="Arial" w:cs="Arial"/>
          <w:i/>
          <w:sz w:val="24"/>
          <w:szCs w:val="24"/>
          <w:lang w:val="es-ES" w:eastAsia="es-ES"/>
        </w:rPr>
      </w:pP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D323BD">
        <w:rPr>
          <w:rFonts w:ascii="Arial" w:eastAsia="Times New Roman" w:hAnsi="Arial" w:cs="Arial"/>
          <w:i/>
          <w:szCs w:val="24"/>
          <w:lang w:val="es-ES" w:eastAsia="es-ES"/>
        </w:rPr>
        <w:t xml:space="preserve">“El proceso penal puede terminar anticipadamente a través de la aceptación unilateral de responsabilidad, esto es, el allanamiento a cargos; o bien a través del acuerdo o consenso o unilateralmente en asocio con la fiscalía, a través de la negociación o los preacuerdos. </w:t>
      </w: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D323BD">
        <w:rPr>
          <w:rFonts w:ascii="Arial" w:eastAsia="Times New Roman" w:hAnsi="Arial" w:cs="Arial"/>
          <w:i/>
          <w:szCs w:val="24"/>
          <w:lang w:val="es-ES" w:eastAsia="es-ES"/>
        </w:rPr>
        <w:t>(…)</w:t>
      </w:r>
    </w:p>
    <w:p w:rsidR="0013689D" w:rsidRPr="00D323BD" w:rsidRDefault="0013689D"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D323BD">
        <w:rPr>
          <w:rFonts w:ascii="Arial" w:eastAsia="Times New Roman" w:hAnsi="Arial" w:cs="Arial"/>
          <w:i/>
          <w:szCs w:val="24"/>
          <w:lang w:val="es-ES" w:eastAsia="es-ES"/>
        </w:rPr>
        <w:t xml:space="preserve"> Dentro de la categoría de formas propias de cada juicio, la ley procesal penal ha previsto dos (2) clases de terminación del proceso con pretensión punitiva: uno ordinario que comporta el adelantamiento de la totalidad de las fases de investigación, imputación, acusación, juicio oral, sentencia y ejecución; y el otro, de índole abreviada, anormal o anticipada, fundado en la renuncia voluntaria, debidamente informada y con asistencia de un defensor, por parte del imputado o acusado, al derecho de no auto incriminarse y al de tener un juicio público, oral contradictorio, concentrado, imparcial, con inmediación de las pruebas y sin dilaciones injustificadas, en el cual pudiera, personalmente o por conducto de su defensor, hacer comparecer e interrogar a los testigos y peritos de cargo y de descargo, con la finalidad de aceptar su responsabilidad penal en la conducta delictiva a él imputada a cambio de una sustancial rebaja en la pena que habría de corresponderle para el caso de ser hallado penalmente responsable a la culminación ordinaria del juicio oral. </w:t>
      </w: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D323BD" w:rsidRDefault="001C4454" w:rsidP="00D323B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D323BD">
        <w:rPr>
          <w:rFonts w:ascii="Arial" w:eastAsia="Times New Roman" w:hAnsi="Arial" w:cs="Arial"/>
          <w:i/>
          <w:szCs w:val="24"/>
          <w:lang w:val="es-ES" w:eastAsia="es-ES"/>
        </w:rPr>
        <w:t>Dentro de la categoría del trámite abreviado, anticipado o anormal, la ley de procedimiento penal tiene previstas dos formas de terminación del proceso: una a partir de la simple y llana aceptación de los cargos imputados, y la otra, derivada de la celebración de preacuerdos con la fiscalía, cada una de las cuales trae aparejadas no solamente sus propias particularidades de realización, sino, asimismo, específicas consecuencias en la determinación de la punibilidad.”</w:t>
      </w:r>
      <w:r w:rsidRPr="00D323BD">
        <w:rPr>
          <w:rFonts w:ascii="Arial" w:eastAsia="Times New Roman" w:hAnsi="Arial" w:cs="Arial"/>
          <w:i/>
          <w:szCs w:val="24"/>
          <w:vertAlign w:val="superscript"/>
          <w:lang w:val="es-ES" w:eastAsia="es-ES"/>
        </w:rPr>
        <w:footnoteReference w:id="4"/>
      </w:r>
    </w:p>
    <w:p w:rsidR="005F11C3" w:rsidRPr="009E387B" w:rsidRDefault="005F11C3" w:rsidP="009E387B">
      <w:pPr>
        <w:pStyle w:val="Sinespaciado"/>
        <w:spacing w:line="288" w:lineRule="auto"/>
        <w:jc w:val="both"/>
        <w:rPr>
          <w:rFonts w:ascii="Arial" w:hAnsi="Arial" w:cs="Arial"/>
          <w:sz w:val="24"/>
          <w:szCs w:val="24"/>
        </w:rPr>
      </w:pPr>
    </w:p>
    <w:p w:rsidR="00101DD1" w:rsidRPr="009E387B" w:rsidRDefault="005F11C3" w:rsidP="009E387B">
      <w:pPr>
        <w:pStyle w:val="Sinespaciado"/>
        <w:spacing w:line="288" w:lineRule="auto"/>
        <w:jc w:val="both"/>
        <w:rPr>
          <w:rFonts w:ascii="Arial" w:hAnsi="Arial" w:cs="Arial"/>
          <w:sz w:val="24"/>
          <w:szCs w:val="24"/>
        </w:rPr>
      </w:pPr>
      <w:r w:rsidRPr="009E387B">
        <w:rPr>
          <w:rFonts w:ascii="Arial" w:hAnsi="Arial" w:cs="Arial"/>
          <w:sz w:val="24"/>
          <w:szCs w:val="24"/>
        </w:rPr>
        <w:t>6</w:t>
      </w:r>
      <w:r w:rsidR="00B45E9A" w:rsidRPr="009E387B">
        <w:rPr>
          <w:rFonts w:ascii="Arial" w:hAnsi="Arial" w:cs="Arial"/>
          <w:sz w:val="24"/>
          <w:szCs w:val="24"/>
        </w:rPr>
        <w:t>.5</w:t>
      </w:r>
      <w:r w:rsidR="00101DD1" w:rsidRPr="009E387B">
        <w:rPr>
          <w:rFonts w:ascii="Arial" w:hAnsi="Arial" w:cs="Arial"/>
          <w:sz w:val="24"/>
          <w:szCs w:val="24"/>
        </w:rPr>
        <w:t xml:space="preserve"> Como consecuencia de lo expuesto anteriormente hay que manifestar que en casos como el presente donde medió el consentimiento del procesado frente a la </w:t>
      </w:r>
      <w:proofErr w:type="spellStart"/>
      <w:r w:rsidR="00101DD1" w:rsidRPr="009E387B">
        <w:rPr>
          <w:rFonts w:ascii="Arial" w:hAnsi="Arial" w:cs="Arial"/>
          <w:i/>
          <w:sz w:val="24"/>
          <w:szCs w:val="24"/>
        </w:rPr>
        <w:t>imputatio</w:t>
      </w:r>
      <w:proofErr w:type="spellEnd"/>
      <w:r w:rsidR="00101DD1" w:rsidRPr="009E387B">
        <w:rPr>
          <w:rFonts w:ascii="Arial" w:hAnsi="Arial" w:cs="Arial"/>
          <w:i/>
          <w:sz w:val="24"/>
          <w:szCs w:val="24"/>
        </w:rPr>
        <w:t xml:space="preserve"> </w:t>
      </w:r>
      <w:proofErr w:type="spellStart"/>
      <w:r w:rsidR="00101DD1" w:rsidRPr="009E387B">
        <w:rPr>
          <w:rFonts w:ascii="Arial" w:hAnsi="Arial" w:cs="Arial"/>
          <w:i/>
          <w:sz w:val="24"/>
          <w:szCs w:val="24"/>
        </w:rPr>
        <w:t>facti</w:t>
      </w:r>
      <w:proofErr w:type="spellEnd"/>
      <w:r w:rsidR="00101DD1" w:rsidRPr="009E387B">
        <w:rPr>
          <w:rFonts w:ascii="Arial" w:hAnsi="Arial" w:cs="Arial"/>
          <w:i/>
          <w:sz w:val="24"/>
          <w:szCs w:val="24"/>
        </w:rPr>
        <w:t xml:space="preserve"> </w:t>
      </w:r>
      <w:r w:rsidR="00101DD1" w:rsidRPr="009E387B">
        <w:rPr>
          <w:rFonts w:ascii="Arial" w:hAnsi="Arial" w:cs="Arial"/>
          <w:sz w:val="24"/>
          <w:szCs w:val="24"/>
        </w:rPr>
        <w:t xml:space="preserve">y la </w:t>
      </w:r>
      <w:proofErr w:type="spellStart"/>
      <w:r w:rsidR="00101DD1" w:rsidRPr="009E387B">
        <w:rPr>
          <w:rFonts w:ascii="Arial" w:hAnsi="Arial" w:cs="Arial"/>
          <w:i/>
          <w:sz w:val="24"/>
          <w:szCs w:val="24"/>
        </w:rPr>
        <w:t>imputatio</w:t>
      </w:r>
      <w:proofErr w:type="spellEnd"/>
      <w:r w:rsidR="00101DD1" w:rsidRPr="009E387B">
        <w:rPr>
          <w:rFonts w:ascii="Arial" w:hAnsi="Arial" w:cs="Arial"/>
          <w:i/>
          <w:sz w:val="24"/>
          <w:szCs w:val="24"/>
        </w:rPr>
        <w:t xml:space="preserve"> iuris, el </w:t>
      </w:r>
      <w:r w:rsidR="00101DD1" w:rsidRPr="009E387B">
        <w:rPr>
          <w:rFonts w:ascii="Arial" w:hAnsi="Arial" w:cs="Arial"/>
          <w:sz w:val="24"/>
          <w:szCs w:val="24"/>
        </w:rPr>
        <w:t xml:space="preserve">interés para recurrir la sentencia condenatoria se encuentra limitado, como consecuencia del principio de </w:t>
      </w:r>
      <w:r w:rsidR="00101DD1" w:rsidRPr="009E387B">
        <w:rPr>
          <w:rFonts w:ascii="Arial" w:hAnsi="Arial" w:cs="Arial"/>
          <w:sz w:val="24"/>
          <w:szCs w:val="24"/>
          <w:u w:val="single"/>
        </w:rPr>
        <w:t>legitimación de la impugnación</w:t>
      </w:r>
      <w:r w:rsidR="00101DD1" w:rsidRPr="009E387B">
        <w:rPr>
          <w:rFonts w:ascii="Arial" w:hAnsi="Arial" w:cs="Arial"/>
          <w:sz w:val="24"/>
          <w:szCs w:val="24"/>
        </w:rPr>
        <w:t>, que fue examinado en CSJ SP del 3 de septiembre de 2014, radicado 33.409, donde se manifestó lo siguiente:</w:t>
      </w:r>
    </w:p>
    <w:p w:rsidR="0013689D" w:rsidRPr="009E387B" w:rsidRDefault="0013689D" w:rsidP="009E387B">
      <w:pPr>
        <w:pStyle w:val="Sinespaciado"/>
        <w:spacing w:line="288" w:lineRule="auto"/>
        <w:ind w:left="567" w:right="567"/>
        <w:jc w:val="both"/>
        <w:rPr>
          <w:rFonts w:ascii="Arial" w:hAnsi="Arial" w:cs="Arial"/>
          <w:bCs/>
          <w:sz w:val="24"/>
          <w:szCs w:val="24"/>
        </w:rPr>
      </w:pPr>
    </w:p>
    <w:p w:rsidR="00101DD1" w:rsidRPr="0076392C" w:rsidRDefault="00101DD1" w:rsidP="0076392C">
      <w:pPr>
        <w:pStyle w:val="Sinespaciado"/>
        <w:ind w:left="426" w:right="418"/>
        <w:jc w:val="both"/>
        <w:rPr>
          <w:rFonts w:ascii="Arial" w:hAnsi="Arial" w:cs="Arial"/>
          <w:bCs/>
          <w:i/>
          <w:szCs w:val="24"/>
        </w:rPr>
      </w:pPr>
      <w:r w:rsidRPr="0076392C">
        <w:rPr>
          <w:rFonts w:ascii="Arial" w:hAnsi="Arial" w:cs="Arial"/>
          <w:bCs/>
          <w:szCs w:val="24"/>
        </w:rPr>
        <w:t>“</w:t>
      </w:r>
      <w:r w:rsidRPr="0076392C">
        <w:rPr>
          <w:rFonts w:ascii="Arial" w:hAnsi="Arial" w:cs="Arial"/>
          <w:bCs/>
          <w:i/>
          <w:szCs w:val="24"/>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76392C">
        <w:rPr>
          <w:rFonts w:ascii="Arial" w:hAnsi="Arial" w:cs="Arial"/>
          <w:i/>
          <w:spacing w:val="-3"/>
          <w:szCs w:val="24"/>
        </w:rPr>
        <w:t xml:space="preserve"> CSJ AP, 16 Jul 2001, Rad. 15488 y CSJ AP, 20 Oct. 2005, Rad. 24026</w:t>
      </w:r>
      <w:r w:rsidRPr="0076392C">
        <w:rPr>
          <w:rFonts w:ascii="Arial" w:hAnsi="Arial" w:cs="Arial"/>
          <w:bCs/>
          <w:i/>
          <w:szCs w:val="24"/>
        </w:rPr>
        <w:t>.</w:t>
      </w:r>
    </w:p>
    <w:p w:rsidR="00101DD1" w:rsidRPr="0076392C" w:rsidRDefault="00101DD1" w:rsidP="0076392C">
      <w:pPr>
        <w:pStyle w:val="Sinespaciado"/>
        <w:ind w:left="426" w:right="418"/>
        <w:jc w:val="both"/>
        <w:rPr>
          <w:rFonts w:ascii="Arial" w:hAnsi="Arial" w:cs="Arial"/>
          <w:bCs/>
          <w:szCs w:val="24"/>
        </w:rPr>
      </w:pPr>
    </w:p>
    <w:p w:rsidR="00101DD1" w:rsidRPr="009E387B" w:rsidRDefault="00101DD1" w:rsidP="0076392C">
      <w:pPr>
        <w:pStyle w:val="Sinespaciado"/>
        <w:ind w:left="426" w:right="418"/>
        <w:jc w:val="both"/>
        <w:rPr>
          <w:rFonts w:ascii="Arial" w:hAnsi="Arial" w:cs="Arial"/>
          <w:bCs/>
          <w:sz w:val="24"/>
          <w:szCs w:val="24"/>
        </w:rPr>
      </w:pPr>
      <w:r w:rsidRPr="0076392C">
        <w:rPr>
          <w:rFonts w:ascii="Arial" w:hAnsi="Arial" w:cs="Arial"/>
          <w:bCs/>
          <w:i/>
          <w:szCs w:val="24"/>
          <w:u w:val="single"/>
        </w:rPr>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w:t>
      </w:r>
      <w:r w:rsidR="007951D4">
        <w:rPr>
          <w:rFonts w:ascii="Arial" w:hAnsi="Arial" w:cs="Arial"/>
          <w:bCs/>
          <w:i/>
          <w:szCs w:val="24"/>
          <w:u w:val="single"/>
        </w:rPr>
        <w:t xml:space="preserve"> </w:t>
      </w:r>
      <w:r w:rsidRPr="0076392C">
        <w:rPr>
          <w:rFonts w:ascii="Arial" w:hAnsi="Arial" w:cs="Arial"/>
          <w:bCs/>
          <w:i/>
          <w:szCs w:val="24"/>
          <w:u w:val="single"/>
        </w:rPr>
        <w:t>los cargos válidamente imputados, el p</w:t>
      </w:r>
      <w:r w:rsidR="00440884" w:rsidRPr="0076392C">
        <w:rPr>
          <w:rFonts w:ascii="Arial" w:hAnsi="Arial" w:cs="Arial"/>
          <w:bCs/>
          <w:i/>
          <w:szCs w:val="24"/>
          <w:u w:val="single"/>
        </w:rPr>
        <w:t xml:space="preserve">ropósito político criminal que </w:t>
      </w:r>
      <w:r w:rsidRPr="0076392C">
        <w:rPr>
          <w:rFonts w:ascii="Arial" w:hAnsi="Arial" w:cs="Arial"/>
          <w:bCs/>
          <w:i/>
          <w:szCs w:val="24"/>
          <w:u w:val="single"/>
        </w:rPr>
        <w:t>justifica el sistema de lograr una rápida y eficaz administración de justicia a través de los allanamientos, acuerdos y negociaciones con la Fiscalía, y de obtener ahorros en las funciones de investigación y juzgamiento, se tornaría irrealizable.”</w:t>
      </w:r>
      <w:r w:rsidRPr="0076392C">
        <w:rPr>
          <w:rFonts w:ascii="Arial" w:hAnsi="Arial" w:cs="Arial"/>
          <w:bCs/>
          <w:i/>
          <w:szCs w:val="24"/>
        </w:rPr>
        <w:t xml:space="preserve"> </w:t>
      </w:r>
      <w:r w:rsidRPr="009E387B">
        <w:rPr>
          <w:rFonts w:ascii="Arial" w:hAnsi="Arial" w:cs="Arial"/>
          <w:bCs/>
          <w:sz w:val="24"/>
          <w:szCs w:val="24"/>
        </w:rPr>
        <w:t>(Subrayas fuera del texto).</w:t>
      </w:r>
    </w:p>
    <w:p w:rsidR="00101DD1" w:rsidRPr="009E387B" w:rsidRDefault="00101DD1" w:rsidP="009E387B">
      <w:pPr>
        <w:pStyle w:val="Sinespaciado"/>
        <w:spacing w:line="288" w:lineRule="auto"/>
        <w:jc w:val="both"/>
        <w:rPr>
          <w:rFonts w:ascii="Arial" w:hAnsi="Arial" w:cs="Arial"/>
          <w:bCs/>
          <w:sz w:val="24"/>
          <w:szCs w:val="24"/>
        </w:rPr>
      </w:pPr>
    </w:p>
    <w:p w:rsidR="00101DD1" w:rsidRPr="009E387B" w:rsidRDefault="005F11C3" w:rsidP="009E387B">
      <w:pPr>
        <w:pStyle w:val="Sinespaciado"/>
        <w:spacing w:line="288" w:lineRule="auto"/>
        <w:jc w:val="both"/>
        <w:rPr>
          <w:rFonts w:ascii="Arial" w:hAnsi="Arial" w:cs="Arial"/>
          <w:spacing w:val="-3"/>
          <w:sz w:val="24"/>
          <w:szCs w:val="24"/>
        </w:rPr>
      </w:pPr>
      <w:r w:rsidRPr="009E387B">
        <w:rPr>
          <w:rFonts w:ascii="Arial" w:hAnsi="Arial" w:cs="Arial"/>
          <w:bCs/>
          <w:sz w:val="24"/>
          <w:szCs w:val="24"/>
        </w:rPr>
        <w:t>6</w:t>
      </w:r>
      <w:r w:rsidR="00B45E9A" w:rsidRPr="009E387B">
        <w:rPr>
          <w:rFonts w:ascii="Arial" w:hAnsi="Arial" w:cs="Arial"/>
          <w:bCs/>
          <w:sz w:val="24"/>
          <w:szCs w:val="24"/>
        </w:rPr>
        <w:t>.6</w:t>
      </w:r>
      <w:r w:rsidR="00101DD1" w:rsidRPr="009E387B">
        <w:rPr>
          <w:rFonts w:ascii="Arial" w:hAnsi="Arial" w:cs="Arial"/>
          <w:bCs/>
          <w:sz w:val="24"/>
          <w:szCs w:val="24"/>
        </w:rPr>
        <w:t xml:space="preserve"> A su vez, en la sentencia </w:t>
      </w:r>
      <w:r w:rsidR="00B854BD" w:rsidRPr="009E387B">
        <w:rPr>
          <w:rFonts w:ascii="Arial" w:hAnsi="Arial" w:cs="Arial"/>
          <w:bCs/>
          <w:sz w:val="24"/>
          <w:szCs w:val="24"/>
        </w:rPr>
        <w:t>antes citada</w:t>
      </w:r>
      <w:r w:rsidR="00101DD1" w:rsidRPr="009E387B">
        <w:rPr>
          <w:rFonts w:ascii="Arial" w:hAnsi="Arial" w:cs="Arial"/>
          <w:bCs/>
          <w:sz w:val="24"/>
          <w:szCs w:val="24"/>
        </w:rPr>
        <w:t>, se manifestó lo siguiente:</w:t>
      </w:r>
    </w:p>
    <w:p w:rsidR="00101DD1" w:rsidRPr="009E387B" w:rsidRDefault="00101DD1" w:rsidP="009E387B">
      <w:pPr>
        <w:pStyle w:val="Sinespaciado"/>
        <w:spacing w:line="288" w:lineRule="auto"/>
        <w:jc w:val="both"/>
        <w:rPr>
          <w:rFonts w:ascii="Arial" w:hAnsi="Arial" w:cs="Arial"/>
          <w:spacing w:val="-3"/>
          <w:sz w:val="24"/>
          <w:szCs w:val="24"/>
        </w:rPr>
      </w:pPr>
    </w:p>
    <w:p w:rsidR="00101DD1" w:rsidRPr="0076392C" w:rsidRDefault="0076392C" w:rsidP="0076392C">
      <w:pPr>
        <w:pStyle w:val="Sinespaciado"/>
        <w:ind w:left="426" w:right="418"/>
        <w:jc w:val="both"/>
        <w:rPr>
          <w:rFonts w:ascii="Arial" w:hAnsi="Arial" w:cs="Arial"/>
          <w:bCs/>
          <w:szCs w:val="24"/>
        </w:rPr>
      </w:pPr>
      <w:r>
        <w:rPr>
          <w:rFonts w:ascii="Arial" w:hAnsi="Arial" w:cs="Arial"/>
          <w:bCs/>
          <w:szCs w:val="24"/>
        </w:rPr>
        <w:t>“</w:t>
      </w:r>
      <w:r w:rsidR="00101DD1" w:rsidRPr="0076392C">
        <w:rPr>
          <w:rFonts w:ascii="Arial" w:hAnsi="Arial" w:cs="Arial"/>
          <w:bCs/>
          <w:szCs w:val="24"/>
        </w:rPr>
        <w:t xml:space="preserve">1.5.- En el caso que se estudia, en la audiencia preliminar de imputación el indiciado aceptó libre y voluntariamente los cargos que le formuló la Fiscalía por el </w:t>
      </w:r>
      <w:r w:rsidR="00101DD1" w:rsidRPr="0076392C">
        <w:rPr>
          <w:rFonts w:ascii="Arial" w:hAnsi="Arial" w:cs="Arial"/>
          <w:bCs/>
          <w:szCs w:val="24"/>
        </w:rPr>
        <w:lastRenderedPageBreak/>
        <w:t xml:space="preserve">delito de tráfico, fabricación o porte de estupefacientes, en la modalidad de “llevar consigo”, definido por el inciso segundo del artículo 376 del Código Penal, modificado por la Ley 890 de 2004. </w:t>
      </w:r>
    </w:p>
    <w:p w:rsidR="00101DD1" w:rsidRPr="0076392C" w:rsidRDefault="00101DD1" w:rsidP="0076392C">
      <w:pPr>
        <w:pStyle w:val="Sinespaciado"/>
        <w:ind w:left="426" w:right="418"/>
        <w:jc w:val="both"/>
        <w:rPr>
          <w:rFonts w:ascii="Arial" w:hAnsi="Arial" w:cs="Arial"/>
          <w:bCs/>
          <w:szCs w:val="24"/>
        </w:rPr>
      </w:pPr>
    </w:p>
    <w:p w:rsidR="00101DD1" w:rsidRPr="0076392C" w:rsidRDefault="00101DD1" w:rsidP="0076392C">
      <w:pPr>
        <w:pStyle w:val="Sinespaciado"/>
        <w:ind w:left="426" w:right="418"/>
        <w:jc w:val="both"/>
        <w:rPr>
          <w:rFonts w:ascii="Arial" w:hAnsi="Arial" w:cs="Arial"/>
          <w:bCs/>
          <w:sz w:val="24"/>
          <w:szCs w:val="24"/>
        </w:rPr>
      </w:pPr>
      <w:r w:rsidRPr="0076392C">
        <w:rPr>
          <w:rFonts w:ascii="Arial" w:hAnsi="Arial" w:cs="Arial"/>
          <w:bCs/>
          <w:szCs w:val="24"/>
        </w:rPr>
        <w:t>Esto significa que reconocía la realización de la conducta típicamente antijurídica que le fue imputada, que admitía la responsabilidad por dicho delito, que aceptaba que se le condenara por el mismo, y que renunciaba al derecho de tener un juicio público, oral, contradict</w:t>
      </w:r>
      <w:r w:rsidR="00440884" w:rsidRPr="0076392C">
        <w:rPr>
          <w:rFonts w:ascii="Arial" w:hAnsi="Arial" w:cs="Arial"/>
          <w:bCs/>
          <w:szCs w:val="24"/>
        </w:rPr>
        <w:t xml:space="preserve">orio, concentrado e imparcial; </w:t>
      </w:r>
      <w:r w:rsidRPr="0076392C">
        <w:rPr>
          <w:rFonts w:ascii="Arial" w:hAnsi="Arial" w:cs="Arial"/>
          <w:bCs/>
          <w:szCs w:val="24"/>
        </w:rPr>
        <w:t xml:space="preserve">también, a la garantía de no </w:t>
      </w:r>
      <w:proofErr w:type="spellStart"/>
      <w:r w:rsidRPr="0076392C">
        <w:rPr>
          <w:rFonts w:ascii="Arial" w:hAnsi="Arial" w:cs="Arial"/>
          <w:bCs/>
          <w:szCs w:val="24"/>
        </w:rPr>
        <w:t>autoincriminarse</w:t>
      </w:r>
      <w:proofErr w:type="spellEnd"/>
      <w:r w:rsidRPr="0076392C">
        <w:rPr>
          <w:rFonts w:ascii="Arial" w:hAnsi="Arial" w:cs="Arial"/>
          <w:bCs/>
          <w:szCs w:val="24"/>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w:t>
      </w:r>
      <w:r w:rsidRPr="0076392C">
        <w:rPr>
          <w:rFonts w:ascii="Arial" w:hAnsi="Arial" w:cs="Arial"/>
          <w:b/>
          <w:bCs/>
          <w:szCs w:val="24"/>
          <w:u w:val="single"/>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001744B9" w:rsidRPr="0076392C">
        <w:rPr>
          <w:rFonts w:ascii="Arial" w:hAnsi="Arial" w:cs="Arial"/>
          <w:b/>
          <w:bCs/>
          <w:szCs w:val="24"/>
          <w:u w:val="single"/>
        </w:rPr>
        <w:t>.</w:t>
      </w:r>
      <w:r w:rsidRPr="0076392C">
        <w:rPr>
          <w:rFonts w:ascii="Arial" w:hAnsi="Arial" w:cs="Arial"/>
          <w:b/>
          <w:bCs/>
          <w:szCs w:val="24"/>
          <w:u w:val="single"/>
        </w:rPr>
        <w:t>.”.</w:t>
      </w:r>
      <w:r w:rsidRPr="0076392C">
        <w:rPr>
          <w:rFonts w:ascii="Arial" w:hAnsi="Arial" w:cs="Arial"/>
          <w:bCs/>
          <w:szCs w:val="24"/>
        </w:rPr>
        <w:t xml:space="preserve"> </w:t>
      </w:r>
      <w:r w:rsidRPr="0076392C">
        <w:rPr>
          <w:rFonts w:ascii="Arial" w:hAnsi="Arial" w:cs="Arial"/>
          <w:bCs/>
          <w:sz w:val="24"/>
          <w:szCs w:val="24"/>
        </w:rPr>
        <w:t xml:space="preserve">(Subrayas </w:t>
      </w:r>
      <w:r w:rsidR="00440884" w:rsidRPr="0076392C">
        <w:rPr>
          <w:rFonts w:ascii="Arial" w:hAnsi="Arial" w:cs="Arial"/>
          <w:bCs/>
          <w:sz w:val="24"/>
          <w:szCs w:val="24"/>
        </w:rPr>
        <w:t xml:space="preserve">y negrillas </w:t>
      </w:r>
      <w:r w:rsidRPr="0076392C">
        <w:rPr>
          <w:rFonts w:ascii="Arial" w:hAnsi="Arial" w:cs="Arial"/>
          <w:bCs/>
          <w:sz w:val="24"/>
          <w:szCs w:val="24"/>
        </w:rPr>
        <w:t>fuera del texto original)</w:t>
      </w:r>
    </w:p>
    <w:p w:rsidR="002F168A" w:rsidRPr="009E387B" w:rsidRDefault="002F168A" w:rsidP="009E387B">
      <w:pPr>
        <w:pStyle w:val="Sinespaciado"/>
        <w:spacing w:line="288" w:lineRule="auto"/>
        <w:jc w:val="both"/>
        <w:rPr>
          <w:rFonts w:ascii="Arial" w:hAnsi="Arial" w:cs="Arial"/>
          <w:bCs/>
          <w:sz w:val="24"/>
          <w:szCs w:val="24"/>
        </w:rPr>
      </w:pPr>
    </w:p>
    <w:p w:rsidR="00101DD1" w:rsidRPr="009E387B" w:rsidRDefault="00101DD1" w:rsidP="009E387B">
      <w:pPr>
        <w:pStyle w:val="Sinespaciado"/>
        <w:spacing w:line="288" w:lineRule="auto"/>
        <w:jc w:val="both"/>
        <w:rPr>
          <w:rFonts w:ascii="Arial" w:hAnsi="Arial" w:cs="Arial"/>
          <w:bCs/>
          <w:sz w:val="24"/>
          <w:szCs w:val="24"/>
        </w:rPr>
      </w:pPr>
      <w:r w:rsidRPr="009E387B">
        <w:rPr>
          <w:rFonts w:ascii="Arial" w:hAnsi="Arial" w:cs="Arial"/>
          <w:bCs/>
          <w:sz w:val="24"/>
          <w:szCs w:val="24"/>
        </w:rPr>
        <w:t>El anterior criterio fue reiterado en CSJ SP del 9 de marzo de 2016, radicado 45181.</w:t>
      </w:r>
    </w:p>
    <w:p w:rsidR="00101DD1" w:rsidRPr="009E387B" w:rsidRDefault="00101DD1" w:rsidP="009E387B">
      <w:pPr>
        <w:pStyle w:val="Sinespaciado"/>
        <w:spacing w:line="288" w:lineRule="auto"/>
        <w:jc w:val="both"/>
        <w:rPr>
          <w:rFonts w:ascii="Arial" w:hAnsi="Arial" w:cs="Arial"/>
          <w:sz w:val="24"/>
          <w:szCs w:val="24"/>
        </w:rPr>
      </w:pPr>
    </w:p>
    <w:p w:rsidR="00B26D4B" w:rsidRDefault="005F11C3" w:rsidP="009E387B">
      <w:pPr>
        <w:pStyle w:val="Sinespaciado"/>
        <w:spacing w:line="288" w:lineRule="auto"/>
        <w:jc w:val="both"/>
        <w:rPr>
          <w:rFonts w:ascii="Arial" w:hAnsi="Arial" w:cs="Arial"/>
          <w:i/>
          <w:sz w:val="24"/>
          <w:szCs w:val="24"/>
        </w:rPr>
      </w:pPr>
      <w:r w:rsidRPr="009E387B">
        <w:rPr>
          <w:rFonts w:ascii="Arial" w:hAnsi="Arial" w:cs="Arial"/>
          <w:sz w:val="24"/>
          <w:szCs w:val="24"/>
        </w:rPr>
        <w:t>6</w:t>
      </w:r>
      <w:r w:rsidR="00440884" w:rsidRPr="009E387B">
        <w:rPr>
          <w:rFonts w:ascii="Arial" w:hAnsi="Arial" w:cs="Arial"/>
          <w:sz w:val="24"/>
          <w:szCs w:val="24"/>
        </w:rPr>
        <w:t xml:space="preserve">.7 </w:t>
      </w:r>
      <w:r w:rsidR="00687D22" w:rsidRPr="009E387B">
        <w:rPr>
          <w:rFonts w:ascii="Arial" w:hAnsi="Arial" w:cs="Arial"/>
          <w:sz w:val="24"/>
          <w:szCs w:val="24"/>
        </w:rPr>
        <w:t>Lo anterior permit</w:t>
      </w:r>
      <w:r w:rsidR="00AC5A37" w:rsidRPr="009E387B">
        <w:rPr>
          <w:rFonts w:ascii="Arial" w:hAnsi="Arial" w:cs="Arial"/>
          <w:sz w:val="24"/>
          <w:szCs w:val="24"/>
        </w:rPr>
        <w:t xml:space="preserve">e inferir que en el caso sub judice, el abogado que representa los intereses del señor </w:t>
      </w:r>
      <w:proofErr w:type="spellStart"/>
      <w:r w:rsidR="00A33152">
        <w:rPr>
          <w:rFonts w:ascii="Arial" w:hAnsi="Arial" w:cs="Arial"/>
          <w:sz w:val="24"/>
          <w:szCs w:val="24"/>
        </w:rPr>
        <w:t>JAMV</w:t>
      </w:r>
      <w:proofErr w:type="spellEnd"/>
      <w:r w:rsidR="00DC1A16" w:rsidRPr="009E387B">
        <w:rPr>
          <w:rFonts w:ascii="Arial" w:hAnsi="Arial" w:cs="Arial"/>
          <w:sz w:val="24"/>
          <w:szCs w:val="24"/>
        </w:rPr>
        <w:t xml:space="preserve"> estaría desconociendo el principio de </w:t>
      </w:r>
      <w:proofErr w:type="spellStart"/>
      <w:r w:rsidR="00DC1A16" w:rsidRPr="009E387B">
        <w:rPr>
          <w:rFonts w:ascii="Arial" w:hAnsi="Arial" w:cs="Arial"/>
          <w:sz w:val="24"/>
          <w:szCs w:val="24"/>
        </w:rPr>
        <w:t>irretractabilidad</w:t>
      </w:r>
      <w:proofErr w:type="spellEnd"/>
      <w:r w:rsidR="00DC1A16" w:rsidRPr="009E387B">
        <w:rPr>
          <w:rFonts w:ascii="Arial" w:hAnsi="Arial" w:cs="Arial"/>
          <w:sz w:val="24"/>
          <w:szCs w:val="24"/>
        </w:rPr>
        <w:t xml:space="preserve"> y efectos vinculantes del allanamiento a cargos al</w:t>
      </w:r>
      <w:r w:rsidR="005E4628" w:rsidRPr="009E387B">
        <w:rPr>
          <w:rFonts w:ascii="Arial" w:hAnsi="Arial" w:cs="Arial"/>
          <w:sz w:val="24"/>
          <w:szCs w:val="24"/>
        </w:rPr>
        <w:t xml:space="preserve"> recurrir lo relacionado con</w:t>
      </w:r>
      <w:r w:rsidR="00EF5B01" w:rsidRPr="009E387B">
        <w:rPr>
          <w:rFonts w:ascii="Arial" w:hAnsi="Arial" w:cs="Arial"/>
          <w:sz w:val="24"/>
          <w:szCs w:val="24"/>
        </w:rPr>
        <w:t xml:space="preserve"> los efectos de la aceptación de cargos del procesado que incluyeron l</w:t>
      </w:r>
      <w:r w:rsidR="00B26D4B" w:rsidRPr="009E387B">
        <w:rPr>
          <w:rFonts w:ascii="Arial" w:hAnsi="Arial" w:cs="Arial"/>
          <w:sz w:val="24"/>
          <w:szCs w:val="24"/>
        </w:rPr>
        <w:t>a comunicación de cargos por el delito de hurto calificado consumado</w:t>
      </w:r>
      <w:r w:rsidR="0057122B" w:rsidRPr="009E387B">
        <w:rPr>
          <w:rFonts w:ascii="Arial" w:hAnsi="Arial" w:cs="Arial"/>
          <w:sz w:val="24"/>
          <w:szCs w:val="24"/>
        </w:rPr>
        <w:t>,</w:t>
      </w:r>
      <w:r w:rsidR="00EF6C33" w:rsidRPr="009E387B">
        <w:rPr>
          <w:rFonts w:ascii="Arial" w:hAnsi="Arial" w:cs="Arial"/>
          <w:sz w:val="24"/>
          <w:szCs w:val="24"/>
        </w:rPr>
        <w:t xml:space="preserve"> conforme se puede observar en el acta que obra a folio </w:t>
      </w:r>
      <w:r w:rsidR="00B26D4B" w:rsidRPr="009E387B">
        <w:rPr>
          <w:rFonts w:ascii="Arial" w:hAnsi="Arial" w:cs="Arial"/>
          <w:sz w:val="24"/>
          <w:szCs w:val="24"/>
        </w:rPr>
        <w:t>6</w:t>
      </w:r>
      <w:r w:rsidR="0057122B" w:rsidRPr="009E387B">
        <w:rPr>
          <w:rFonts w:ascii="Arial" w:hAnsi="Arial" w:cs="Arial"/>
          <w:sz w:val="24"/>
          <w:szCs w:val="24"/>
        </w:rPr>
        <w:t xml:space="preserve"> del expediente</w:t>
      </w:r>
      <w:r w:rsidR="00EF6C33" w:rsidRPr="009E387B">
        <w:rPr>
          <w:rFonts w:ascii="Arial" w:hAnsi="Arial" w:cs="Arial"/>
          <w:sz w:val="24"/>
          <w:szCs w:val="24"/>
        </w:rPr>
        <w:t xml:space="preserve">: </w:t>
      </w:r>
      <w:r w:rsidR="00EF6C33" w:rsidRPr="009E387B">
        <w:rPr>
          <w:rFonts w:ascii="Arial" w:hAnsi="Arial" w:cs="Arial"/>
          <w:i/>
          <w:sz w:val="24"/>
          <w:szCs w:val="24"/>
        </w:rPr>
        <w:t>“</w:t>
      </w:r>
      <w:r w:rsidR="00B26D4B" w:rsidRPr="009E387B">
        <w:rPr>
          <w:rFonts w:ascii="Arial" w:hAnsi="Arial" w:cs="Arial"/>
          <w:i/>
          <w:sz w:val="24"/>
          <w:szCs w:val="24"/>
        </w:rPr>
        <w:t>L</w:t>
      </w:r>
      <w:r w:rsidR="0010520E" w:rsidRPr="009E387B">
        <w:rPr>
          <w:rFonts w:ascii="Arial" w:hAnsi="Arial" w:cs="Arial"/>
          <w:i/>
          <w:sz w:val="24"/>
          <w:szCs w:val="24"/>
        </w:rPr>
        <w:t>a</w:t>
      </w:r>
      <w:r w:rsidR="00B26D4B" w:rsidRPr="009E387B">
        <w:rPr>
          <w:rFonts w:ascii="Arial" w:hAnsi="Arial" w:cs="Arial"/>
          <w:i/>
          <w:sz w:val="24"/>
          <w:szCs w:val="24"/>
        </w:rPr>
        <w:t xml:space="preserve"> Fiscalía conforme a lo dispuesto en el artículo 286 y subsiguientes del Código de Procedimiento Penal le formula imputación al señor </w:t>
      </w:r>
      <w:proofErr w:type="spellStart"/>
      <w:r w:rsidR="007951D4">
        <w:rPr>
          <w:rFonts w:ascii="Arial" w:hAnsi="Arial" w:cs="Arial"/>
          <w:i/>
          <w:sz w:val="24"/>
          <w:szCs w:val="24"/>
        </w:rPr>
        <w:t>JAMV</w:t>
      </w:r>
      <w:proofErr w:type="spellEnd"/>
      <w:r w:rsidR="00B26D4B" w:rsidRPr="009E387B">
        <w:rPr>
          <w:rFonts w:ascii="Arial" w:hAnsi="Arial" w:cs="Arial"/>
          <w:i/>
          <w:sz w:val="24"/>
          <w:szCs w:val="24"/>
        </w:rPr>
        <w:t xml:space="preserve"> en calidad de autor de la conducta punible de hurto calificado, en detrimento del patrimonio económico del señor Luis </w:t>
      </w:r>
      <w:proofErr w:type="spellStart"/>
      <w:r w:rsidR="00B26D4B" w:rsidRPr="009E387B">
        <w:rPr>
          <w:rFonts w:ascii="Arial" w:hAnsi="Arial" w:cs="Arial"/>
          <w:i/>
          <w:sz w:val="24"/>
          <w:szCs w:val="24"/>
        </w:rPr>
        <w:t>Arbey</w:t>
      </w:r>
      <w:proofErr w:type="spellEnd"/>
      <w:r w:rsidR="00B26D4B" w:rsidRPr="009E387B">
        <w:rPr>
          <w:rFonts w:ascii="Arial" w:hAnsi="Arial" w:cs="Arial"/>
          <w:i/>
          <w:sz w:val="24"/>
          <w:szCs w:val="24"/>
        </w:rPr>
        <w:t xml:space="preserve"> Cardona Caicedo, tal y como lo consagra el artículo 239 del Código Penal, en concordancia con el inciso 1º, numeral 1º, del artículo 240 ibídem, (violencia sobre las cosas), cuya pena imponible será de 6 a 14 años; así mismo le da a conocer los alcances y consecuencias de aceptar, no aceptar los cargos y guardar silencio; que en caso de aceptar los cargos obtendría una rebaja de hasta una cuarta parte de la pena a imponer, contemplado en el artículo 57 de la ley 1453 de 2011, modificatorio del artículo 301 del Código de Procedimiento Penal. El indiciado acepta cargos. El señor juez verificó que la decisión correspondiera a un consentimiento libre, consciente y voluntario </w:t>
      </w:r>
      <w:r w:rsidR="0010520E" w:rsidRPr="009E387B">
        <w:rPr>
          <w:rFonts w:ascii="Arial" w:hAnsi="Arial" w:cs="Arial"/>
          <w:i/>
          <w:sz w:val="24"/>
          <w:szCs w:val="24"/>
        </w:rPr>
        <w:t>y debidamente asesorado por su defensor. (…)”</w:t>
      </w:r>
    </w:p>
    <w:p w:rsidR="003E22F6" w:rsidRPr="009E387B" w:rsidRDefault="003E22F6" w:rsidP="009E387B">
      <w:pPr>
        <w:pStyle w:val="Sinespaciado"/>
        <w:spacing w:line="288" w:lineRule="auto"/>
        <w:jc w:val="both"/>
        <w:rPr>
          <w:rFonts w:ascii="Arial" w:hAnsi="Arial" w:cs="Arial"/>
          <w:i/>
          <w:sz w:val="24"/>
          <w:szCs w:val="24"/>
        </w:rPr>
      </w:pPr>
    </w:p>
    <w:p w:rsidR="004C638F" w:rsidRPr="009E387B" w:rsidRDefault="0010520E"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6.7.1 </w:t>
      </w:r>
      <w:r w:rsidR="00F4288E" w:rsidRPr="009E387B">
        <w:rPr>
          <w:rFonts w:ascii="Arial" w:hAnsi="Arial" w:cs="Arial"/>
          <w:sz w:val="24"/>
          <w:szCs w:val="24"/>
        </w:rPr>
        <w:t>No obstante, el defensor soportó su pretensión en el citado precedente No.</w:t>
      </w:r>
      <w:r w:rsidR="003E22F6">
        <w:rPr>
          <w:rFonts w:ascii="Arial" w:hAnsi="Arial" w:cs="Arial"/>
          <w:sz w:val="24"/>
          <w:szCs w:val="24"/>
        </w:rPr>
        <w:t xml:space="preserve"> </w:t>
      </w:r>
      <w:r w:rsidR="00F4288E" w:rsidRPr="009E387B">
        <w:rPr>
          <w:rFonts w:ascii="Arial" w:hAnsi="Arial" w:cs="Arial"/>
          <w:sz w:val="24"/>
          <w:szCs w:val="24"/>
        </w:rPr>
        <w:t>31280 del 8 de julio de 2009 de la CSJ, según el cual es viable para el juez de conocimiento varia</w:t>
      </w:r>
      <w:r w:rsidR="00EC04BA" w:rsidRPr="009E387B">
        <w:rPr>
          <w:rFonts w:ascii="Arial" w:hAnsi="Arial" w:cs="Arial"/>
          <w:sz w:val="24"/>
          <w:szCs w:val="24"/>
        </w:rPr>
        <w:t>r</w:t>
      </w:r>
      <w:r w:rsidR="00F4288E" w:rsidRPr="009E387B">
        <w:rPr>
          <w:rFonts w:ascii="Arial" w:hAnsi="Arial" w:cs="Arial"/>
          <w:sz w:val="24"/>
          <w:szCs w:val="24"/>
        </w:rPr>
        <w:t xml:space="preserve"> los elementos normativos de la imputación aun cuando exista allanamiento a cargos, con el fin de fijar la pena a imponer</w:t>
      </w:r>
      <w:r w:rsidR="003E22F6">
        <w:rPr>
          <w:rFonts w:ascii="Arial" w:hAnsi="Arial" w:cs="Arial"/>
          <w:sz w:val="24"/>
          <w:szCs w:val="24"/>
        </w:rPr>
        <w:t>.</w:t>
      </w:r>
    </w:p>
    <w:p w:rsidR="004C638F" w:rsidRPr="009E387B" w:rsidRDefault="004C638F" w:rsidP="009E387B">
      <w:pPr>
        <w:pStyle w:val="Sinespaciado"/>
        <w:spacing w:line="288" w:lineRule="auto"/>
        <w:jc w:val="both"/>
        <w:rPr>
          <w:rFonts w:ascii="Arial" w:hAnsi="Arial" w:cs="Arial"/>
          <w:sz w:val="24"/>
          <w:szCs w:val="24"/>
        </w:rPr>
      </w:pPr>
    </w:p>
    <w:p w:rsidR="004C638F" w:rsidRPr="009E387B" w:rsidRDefault="004C638F"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6.7.2 Así mismo, en sentencia de la SP CSJ del 13 de febrero de 2019, SP384-2019 radicada al No. 49386, M.P. Patricia Salazar Cuellar, se reiteró: </w:t>
      </w:r>
    </w:p>
    <w:p w:rsidR="004C638F" w:rsidRPr="0076392C" w:rsidRDefault="004C638F" w:rsidP="0076392C">
      <w:pPr>
        <w:pStyle w:val="Sinespaciado"/>
        <w:ind w:left="426" w:right="418"/>
        <w:jc w:val="both"/>
        <w:rPr>
          <w:rFonts w:ascii="Arial" w:hAnsi="Arial" w:cs="Arial"/>
          <w:bCs/>
          <w:szCs w:val="24"/>
        </w:rPr>
      </w:pPr>
    </w:p>
    <w:p w:rsidR="00841118" w:rsidRPr="0076392C" w:rsidRDefault="00841118" w:rsidP="0076392C">
      <w:pPr>
        <w:pStyle w:val="Sinespaciado"/>
        <w:ind w:left="426" w:right="418"/>
        <w:jc w:val="both"/>
        <w:rPr>
          <w:rFonts w:ascii="Arial" w:hAnsi="Arial" w:cs="Arial"/>
          <w:bCs/>
          <w:szCs w:val="24"/>
        </w:rPr>
      </w:pPr>
      <w:r w:rsidRPr="0076392C">
        <w:rPr>
          <w:rFonts w:ascii="Arial" w:hAnsi="Arial" w:cs="Arial"/>
          <w:bCs/>
          <w:szCs w:val="24"/>
        </w:rPr>
        <w:t xml:space="preserve">“Entonces, el control judicial en los casos en los que el proceso termina anticipadamente se circunscribe a vigilar que no se traspasen los límites mínimos de legalidad y garantizar el respeto de los derechos fundamentales de los intervinientes (CSJ AP 7 </w:t>
      </w:r>
      <w:proofErr w:type="spellStart"/>
      <w:r w:rsidRPr="0076392C">
        <w:rPr>
          <w:rFonts w:ascii="Arial" w:hAnsi="Arial" w:cs="Arial"/>
          <w:bCs/>
          <w:szCs w:val="24"/>
        </w:rPr>
        <w:t>may</w:t>
      </w:r>
      <w:proofErr w:type="spellEnd"/>
      <w:r w:rsidRPr="0076392C">
        <w:rPr>
          <w:rFonts w:ascii="Arial" w:hAnsi="Arial" w:cs="Arial"/>
          <w:bCs/>
          <w:szCs w:val="24"/>
        </w:rPr>
        <w:t>. 2014, rad. 43.523).</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lastRenderedPageBreak/>
        <w:t>(…)</w:t>
      </w:r>
    </w:p>
    <w:p w:rsidR="00841118" w:rsidRPr="0076392C" w:rsidRDefault="00841118"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 xml:space="preserve">Recientemente la Corte reafirmó que no existe control material sobre la imputación y la acusación, </w:t>
      </w:r>
      <w:r w:rsidRPr="00A4437E">
        <w:rPr>
          <w:rFonts w:ascii="Arial" w:hAnsi="Arial" w:cs="Arial"/>
          <w:bCs/>
          <w:szCs w:val="24"/>
          <w:u w:val="single"/>
        </w:rPr>
        <w:t>mientras que el examen sobre el acierto de la calificación jurídica de los hechos jurídicamente relevantes, se ejerce exclusivamente cuando se advierta evidente vulneración de derechos fundamentales</w:t>
      </w:r>
      <w:r w:rsidRPr="0076392C">
        <w:rPr>
          <w:rFonts w:ascii="Arial" w:hAnsi="Arial" w:cs="Arial"/>
          <w:bCs/>
          <w:szCs w:val="24"/>
        </w:rPr>
        <w:t>. (CSJ SP5660-2018, 11 dic. 2018, rad. 52311):</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«Si la Fiscalía cumple con la obligación legal de expresar de manera sucinta y clara los hechos jurídicamente relevantes, los jueces, por regla general, no ejercen control sobre el acierto de la calificación jurídica, salvo que se trate de casos de evidente violación de los derechos fundamentales.</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Al respecto, en la decisión CSJSP, 05 Oct. 2016, Rad.45594, la Sala, a la luz de sus propios precedentes, reiteró que</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w:t>
      </w:r>
      <w:proofErr w:type="gramStart"/>
      <w:r w:rsidRPr="0076392C">
        <w:rPr>
          <w:rFonts w:ascii="Arial" w:hAnsi="Arial" w:cs="Arial"/>
          <w:bCs/>
          <w:szCs w:val="24"/>
        </w:rPr>
        <w:t>e]</w:t>
      </w:r>
      <w:proofErr w:type="gramEnd"/>
      <w:r w:rsidRPr="0076392C">
        <w:rPr>
          <w:rFonts w:ascii="Arial" w:hAnsi="Arial" w:cs="Arial"/>
          <w:bCs/>
          <w:szCs w:val="24"/>
        </w:rPr>
        <w:t xml:space="preserve">l </w:t>
      </w:r>
      <w:proofErr w:type="spellStart"/>
      <w:r w:rsidRPr="0076392C">
        <w:rPr>
          <w:rFonts w:ascii="Arial" w:hAnsi="Arial" w:cs="Arial"/>
          <w:bCs/>
          <w:szCs w:val="24"/>
        </w:rPr>
        <w:t>nomen</w:t>
      </w:r>
      <w:proofErr w:type="spellEnd"/>
      <w:r w:rsidRPr="0076392C">
        <w:rPr>
          <w:rFonts w:ascii="Arial" w:hAnsi="Arial" w:cs="Arial"/>
          <w:bCs/>
          <w:szCs w:val="24"/>
        </w:rPr>
        <w:t xml:space="preserve"> iuris de la imputación compete a la fiscalía, respecto del cual no existe control alguno, salvo la posibilidad de formular las observaciones aludidas, de tal forma que de ninguna manera se puede discutir la validez o el alcance de la acusación en lo sustancial o sus aspectos de fondo. La tipificación de la conducta es una atribución de la fiscalía que no tiene control judicial, ni oficioso ni rogado.</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 xml:space="preserve">[…] </w:t>
      </w:r>
      <w:r w:rsidRPr="00A4437E">
        <w:rPr>
          <w:rFonts w:ascii="Arial" w:hAnsi="Arial" w:cs="Arial"/>
          <w:bCs/>
          <w:szCs w:val="24"/>
          <w:u w:val="single"/>
        </w:rPr>
        <w:t>La ley y la jurisprudencia han decantado igualmente que, a modo de única excepción, al juez, bien oficiosamente, bien a solicitud de parte, le es permitido adentrarse en el estudio de aspectos sustanciales, materiales, de la acusación, que incluyen la tipificación del comportamiento, cuando se trata de violaciones a derechos fundamentales</w:t>
      </w:r>
      <w:r w:rsidRPr="0076392C">
        <w:rPr>
          <w:rFonts w:ascii="Arial" w:hAnsi="Arial" w:cs="Arial"/>
          <w:bCs/>
          <w:szCs w:val="24"/>
        </w:rPr>
        <w:t>.</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Es claro que esa permisión excepcional parte del deber judicial de ejercer un control constitucional que ampare las garantías fundamentales.</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La transgresión de esos derechos superiores debe surgir y estar acreditada probatoriamente, de manera manifiesta, patente, evidente, porque lo que no puede suceder es que, como sucedió en el caso estudiado, se eleve a categoría de vulneración de garantías constitucionales, una simple opinión contraria, una valoración distinta que, para imponerla, se nomina como irregularidad sustancial insubsanable, por el prurito de que el Ministerio Público y/o el superior funcional razonan diferente o mejor.»</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Precisamente, con el fin de salvaguardar esas garantías procesales mínimas, señaló la Sala en el citado fallo, el Juez tiene la obligación de realizar, en cumplimiento de las labores de dirección de la audiencia, la verificación de (i) la presentación sucinta y clara de los hechos jurídicamente relevantes, y (ii) el cumplimiento de los demás requisitos formales establecidos en los artículos 288 y 337 de la Ley 906 de 2004, según presida la audiencia de imputación o acusación, respectivamente. Así, al juez le corresponde velar porque la Fiscalía presente una acusación que reúna los requisitos legales, mas no insinuar ni, menos, ordenar, que opte por una hipótesis fáctica en particular (CSJSP, 05 Oct. 2016, Rad.45594). En suma, el Juez debe limitarse a garantizar que el fiscal cumpla la ley, lo que se aviene a lo expuesto por la Fiscalía General de la Nación en la Circular 0006 del primero de junio de 2017, donde se resaltó lo siguiente sobre la estructuración de la acusación:</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“Hechos jurídicamente relevantes. Según la Corte Suprema de Justicia “la relevancia jurídica de hecho está supeditada a su correspondencia con la norma penal”. De esta forma, “los hechos jurídicamente relevantes son los que corresponden al presupuesto fáctico previsto por el legislador en las respectivas normas penales” (…). Su presentación debe hacerse en forma sucinta, de suerte que el operador jurídico pueda advertir el foco de la respectiva situación fáctica”.</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lastRenderedPageBreak/>
        <w:t>Según se acaba de indicar, con este tipo de actos de dirección el juez no propone ni insinúa a la Fiscalía que emita la acusación en un sentido determinado. Su intervención se limita a constatar que la acusación contenga los elementos previstos en la ley, lo que, valga aclararlo, puede resultar beneficioso para el procesado en cuanto tendrá elementos para preparar su defensa e incluso porque puede liberarse del gravoso juicio oral en el evento de que la Fiscalía se percate de que no están dadas las condiciones para formular la acusación. En todo caso, aunque es cierto que al juez le está vedado sugerir hipótesis delictivas, pues con ello podría afectar su imparcialidad, también lo es que tiene la obligación de constatar que las actuaciones de la Fiscalía cumplan los requisitos legales, pues de ello depende la realización de un proceso viable en el sentido indicado en párrafos precedentes. (CSJ SP5660-2018, 11 dic. Radicado 52311).</w:t>
      </w:r>
    </w:p>
    <w:p w:rsidR="00E20CD8" w:rsidRPr="0076392C" w:rsidRDefault="00E20CD8"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Entonces, si bien está claro que la imputación y la acusación no están sometidas a control judicial, al juez si le corresponde, en desarrollo de los actos propios de dirección de la audiencia, constatar que las actuaciones de la Fiscalía cumplen los requisitos establecidos en la ley.</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Nada diferente ocurre frente a los procesos que terminan anticipadamente, en tanto el juez competente para examinar los términos de la negociación, debe verificar si están dados los presupuestos para emitir una sentencia condenatoria, lo que incluye aspectos como los siguientes:</w:t>
      </w:r>
    </w:p>
    <w:p w:rsidR="004C638F" w:rsidRPr="0076392C" w:rsidRDefault="004C638F" w:rsidP="0076392C">
      <w:pPr>
        <w:pStyle w:val="Sinespaciado"/>
        <w:ind w:left="426" w:right="418"/>
        <w:jc w:val="both"/>
        <w:rPr>
          <w:rFonts w:ascii="Arial" w:hAnsi="Arial" w:cs="Arial"/>
          <w:bCs/>
          <w:szCs w:val="24"/>
        </w:rPr>
      </w:pPr>
    </w:p>
    <w:p w:rsidR="004C638F" w:rsidRPr="0076392C" w:rsidRDefault="004C638F" w:rsidP="0076392C">
      <w:pPr>
        <w:pStyle w:val="Sinespaciado"/>
        <w:ind w:left="426" w:right="418"/>
        <w:jc w:val="both"/>
        <w:rPr>
          <w:rFonts w:ascii="Arial" w:hAnsi="Arial" w:cs="Arial"/>
          <w:bCs/>
          <w:szCs w:val="24"/>
        </w:rPr>
      </w:pPr>
      <w:r w:rsidRPr="0076392C">
        <w:rPr>
          <w:rFonts w:ascii="Arial" w:hAnsi="Arial" w:cs="Arial"/>
          <w:bCs/>
          <w:szCs w:val="24"/>
        </w:rPr>
        <w:t xml:space="preserve">(i) La existencia de una hipótesis de hechos jurídicamente relevantes, toda vez que, en virtud del principio de legalidad, la condena solo es procedente frente a conductas que estén previa y claramente sancionadas por el legislador; (ii) el aporte de evidencias físicas u otra información legalmente obtenida, que permita cumplir el estándar de conocimiento previsto en el artículo 327 de la Ley 906 de 2004, orientado, según dice esta norma, a salvaguardar la presunción de inocencia del procesado; (iii) la claridad sobre los términos del acuerdo, lo que implica, entre otras cosas, precisar cuándo un eventual cambio de calificación jurídica (en cualquiera de sus modalidades) corresponde a la materialización del principio de legalidad, y en qué eventos ello es producto de los beneficios acordados por las partes; (iv) la viabilidad legal de los beneficios otorgados por la Fiscalía, bien por la modalidad y cantidad de los mismos, o por las limitaciones previstas frente a determinados delitos; (v) que el procesado, al decidir sobre la renuncia al juicio, haya actuado con libertad y suficientemente información; etcétera. </w:t>
      </w:r>
    </w:p>
    <w:p w:rsidR="004C638F" w:rsidRPr="0076392C" w:rsidRDefault="004C638F" w:rsidP="0076392C">
      <w:pPr>
        <w:pStyle w:val="Sinespaciado"/>
        <w:ind w:left="426" w:right="418"/>
        <w:jc w:val="both"/>
        <w:rPr>
          <w:rFonts w:ascii="Arial" w:hAnsi="Arial" w:cs="Arial"/>
          <w:bCs/>
          <w:szCs w:val="24"/>
        </w:rPr>
      </w:pPr>
    </w:p>
    <w:p w:rsidR="004C638F" w:rsidRPr="00A4437E" w:rsidRDefault="004C638F" w:rsidP="0076392C">
      <w:pPr>
        <w:pStyle w:val="Sinespaciado"/>
        <w:ind w:left="426" w:right="418"/>
        <w:jc w:val="both"/>
        <w:rPr>
          <w:rFonts w:ascii="Arial" w:hAnsi="Arial" w:cs="Arial"/>
          <w:bCs/>
          <w:sz w:val="24"/>
          <w:szCs w:val="24"/>
        </w:rPr>
      </w:pPr>
      <w:r w:rsidRPr="00A4437E">
        <w:rPr>
          <w:rFonts w:ascii="Arial" w:hAnsi="Arial" w:cs="Arial"/>
          <w:bCs/>
          <w:szCs w:val="24"/>
          <w:u w:val="single"/>
        </w:rPr>
        <w:t xml:space="preserve">Así las cosas, en los casos de terminación anticipada, la claridad de los términos del acuerdo o de la imputación, según el caso, determinan la viabilidad del </w:t>
      </w:r>
      <w:proofErr w:type="spellStart"/>
      <w:r w:rsidRPr="00A4437E">
        <w:rPr>
          <w:rFonts w:ascii="Arial" w:hAnsi="Arial" w:cs="Arial"/>
          <w:bCs/>
          <w:szCs w:val="24"/>
          <w:u w:val="single"/>
        </w:rPr>
        <w:t>proferimiento</w:t>
      </w:r>
      <w:proofErr w:type="spellEnd"/>
      <w:r w:rsidRPr="00A4437E">
        <w:rPr>
          <w:rFonts w:ascii="Arial" w:hAnsi="Arial" w:cs="Arial"/>
          <w:bCs/>
          <w:szCs w:val="24"/>
          <w:u w:val="single"/>
        </w:rPr>
        <w:t xml:space="preserve"> de la sentencia condenatoria</w:t>
      </w:r>
      <w:r w:rsidRPr="0076392C">
        <w:rPr>
          <w:rFonts w:ascii="Arial" w:hAnsi="Arial" w:cs="Arial"/>
          <w:bCs/>
          <w:szCs w:val="24"/>
        </w:rPr>
        <w:t>.</w:t>
      </w:r>
      <w:r w:rsidR="00841118" w:rsidRPr="0076392C">
        <w:rPr>
          <w:rFonts w:ascii="Arial" w:hAnsi="Arial" w:cs="Arial"/>
          <w:bCs/>
          <w:szCs w:val="24"/>
        </w:rPr>
        <w:t xml:space="preserve">” </w:t>
      </w:r>
      <w:r w:rsidR="00841118" w:rsidRPr="00A4437E">
        <w:rPr>
          <w:rFonts w:ascii="Arial" w:hAnsi="Arial" w:cs="Arial"/>
          <w:bCs/>
          <w:sz w:val="24"/>
          <w:szCs w:val="24"/>
        </w:rPr>
        <w:t>(Subrayas ex texto).</w:t>
      </w:r>
    </w:p>
    <w:p w:rsidR="004C638F" w:rsidRPr="009E387B" w:rsidRDefault="004C638F" w:rsidP="009E387B">
      <w:pPr>
        <w:pStyle w:val="Sinespaciado"/>
        <w:spacing w:line="288" w:lineRule="auto"/>
        <w:jc w:val="both"/>
        <w:rPr>
          <w:rFonts w:ascii="Arial" w:hAnsi="Arial" w:cs="Arial"/>
          <w:sz w:val="24"/>
          <w:szCs w:val="24"/>
        </w:rPr>
      </w:pPr>
    </w:p>
    <w:p w:rsidR="00A4437E" w:rsidRDefault="00841118"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Por lo cual se advierte que la respuesta al primer problema jurídico es que sí es posible </w:t>
      </w:r>
      <w:r w:rsidR="00572142" w:rsidRPr="009E387B">
        <w:rPr>
          <w:rFonts w:ascii="Arial" w:hAnsi="Arial" w:cs="Arial"/>
          <w:sz w:val="24"/>
          <w:szCs w:val="24"/>
        </w:rPr>
        <w:t>la variación de</w:t>
      </w:r>
      <w:r w:rsidRPr="009E387B">
        <w:rPr>
          <w:rFonts w:ascii="Arial" w:hAnsi="Arial" w:cs="Arial"/>
          <w:sz w:val="24"/>
          <w:szCs w:val="24"/>
        </w:rPr>
        <w:t xml:space="preserve"> los presupuestos de la adecuación jurídica de la imputación de cargos aún en los casos de allanamiento, una vez se examine el grado de acierto de la calificación jurídica con los hechos relevantes en aras de evitar la trasgresión de derechos fundamentales del procesado.</w:t>
      </w:r>
    </w:p>
    <w:p w:rsidR="00841118" w:rsidRPr="009E387B" w:rsidRDefault="00841118"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 </w:t>
      </w:r>
    </w:p>
    <w:p w:rsidR="00841118" w:rsidRPr="009E387B" w:rsidRDefault="00572142" w:rsidP="009E387B">
      <w:pPr>
        <w:pStyle w:val="Sinespaciado"/>
        <w:spacing w:line="288" w:lineRule="auto"/>
        <w:jc w:val="both"/>
        <w:rPr>
          <w:rFonts w:ascii="Arial" w:hAnsi="Arial" w:cs="Arial"/>
          <w:sz w:val="24"/>
          <w:szCs w:val="24"/>
        </w:rPr>
      </w:pPr>
      <w:r w:rsidRPr="009E387B">
        <w:rPr>
          <w:rFonts w:ascii="Arial" w:hAnsi="Arial" w:cs="Arial"/>
          <w:b/>
          <w:sz w:val="24"/>
          <w:szCs w:val="24"/>
        </w:rPr>
        <w:t>6.8 Segundo problema jurídico</w:t>
      </w:r>
      <w:r w:rsidRPr="009E387B">
        <w:rPr>
          <w:rFonts w:ascii="Arial" w:hAnsi="Arial" w:cs="Arial"/>
          <w:sz w:val="24"/>
          <w:szCs w:val="24"/>
        </w:rPr>
        <w:t xml:space="preserve"> (congruencia entre la situación fáctica y la adecuación jurídica realizada por la FGN. Determinación respecto de</w:t>
      </w:r>
      <w:r w:rsidR="00E06687" w:rsidRPr="009E387B">
        <w:rPr>
          <w:rFonts w:ascii="Arial" w:hAnsi="Arial" w:cs="Arial"/>
          <w:sz w:val="24"/>
          <w:szCs w:val="24"/>
        </w:rPr>
        <w:t xml:space="preserve"> la modalidad de la conducta imputada). </w:t>
      </w:r>
    </w:p>
    <w:p w:rsidR="00BC7C8A" w:rsidRPr="009E387B" w:rsidRDefault="00BC7C8A" w:rsidP="009E387B">
      <w:pPr>
        <w:pStyle w:val="Sinespaciado"/>
        <w:spacing w:line="288" w:lineRule="auto"/>
        <w:jc w:val="both"/>
        <w:rPr>
          <w:rFonts w:ascii="Arial" w:hAnsi="Arial" w:cs="Arial"/>
          <w:sz w:val="24"/>
          <w:szCs w:val="24"/>
        </w:rPr>
      </w:pPr>
    </w:p>
    <w:p w:rsidR="00BC7C8A" w:rsidRPr="009E387B" w:rsidRDefault="00E20CD8"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La </w:t>
      </w:r>
      <w:r w:rsidR="00C22303" w:rsidRPr="009E387B">
        <w:rPr>
          <w:rFonts w:ascii="Arial" w:hAnsi="Arial" w:cs="Arial"/>
          <w:i/>
          <w:sz w:val="24"/>
          <w:szCs w:val="24"/>
        </w:rPr>
        <w:t xml:space="preserve">a quo </w:t>
      </w:r>
      <w:r w:rsidRPr="009E387B">
        <w:rPr>
          <w:rFonts w:ascii="Arial" w:hAnsi="Arial" w:cs="Arial"/>
          <w:sz w:val="24"/>
          <w:szCs w:val="24"/>
        </w:rPr>
        <w:t xml:space="preserve">emitió pronunciamiento </w:t>
      </w:r>
      <w:r w:rsidR="00C22303" w:rsidRPr="009E387B">
        <w:rPr>
          <w:rFonts w:ascii="Arial" w:hAnsi="Arial" w:cs="Arial"/>
          <w:sz w:val="24"/>
          <w:szCs w:val="24"/>
        </w:rPr>
        <w:t xml:space="preserve">respecto de la materialidad y responsabilidad penal del procesado atendiendo los EMP que aportó la FGN como anexos del escrito de acusación y, de ese análisis, concluyó que en efecto la conducta comunicada al señor </w:t>
      </w:r>
      <w:proofErr w:type="spellStart"/>
      <w:r w:rsidR="00A33152">
        <w:rPr>
          <w:rFonts w:ascii="Arial" w:hAnsi="Arial" w:cs="Arial"/>
          <w:sz w:val="24"/>
          <w:szCs w:val="24"/>
        </w:rPr>
        <w:t>JAMV</w:t>
      </w:r>
      <w:proofErr w:type="spellEnd"/>
      <w:r w:rsidR="00C22303" w:rsidRPr="009E387B">
        <w:rPr>
          <w:rFonts w:ascii="Arial" w:hAnsi="Arial" w:cs="Arial"/>
          <w:sz w:val="24"/>
          <w:szCs w:val="24"/>
        </w:rPr>
        <w:t xml:space="preserve"> no fue tentada</w:t>
      </w:r>
      <w:r w:rsidRPr="009E387B">
        <w:rPr>
          <w:rFonts w:ascii="Arial" w:hAnsi="Arial" w:cs="Arial"/>
          <w:sz w:val="24"/>
          <w:szCs w:val="24"/>
        </w:rPr>
        <w:t>,</w:t>
      </w:r>
      <w:r w:rsidR="00C22303" w:rsidRPr="009E387B">
        <w:rPr>
          <w:rFonts w:ascii="Arial" w:hAnsi="Arial" w:cs="Arial"/>
          <w:sz w:val="24"/>
          <w:szCs w:val="24"/>
        </w:rPr>
        <w:t xml:space="preserve"> sino consumada por considerar que el ciudadano logró </w:t>
      </w:r>
      <w:r w:rsidR="00C22303" w:rsidRPr="009E387B">
        <w:rPr>
          <w:rFonts w:ascii="Arial" w:hAnsi="Arial" w:cs="Arial"/>
          <w:sz w:val="24"/>
          <w:szCs w:val="24"/>
        </w:rPr>
        <w:lastRenderedPageBreak/>
        <w:t>apoderarse de forma violenta del espejo retrovisor del ve</w:t>
      </w:r>
      <w:r w:rsidRPr="009E387B">
        <w:rPr>
          <w:rFonts w:ascii="Arial" w:hAnsi="Arial" w:cs="Arial"/>
          <w:sz w:val="24"/>
          <w:szCs w:val="24"/>
        </w:rPr>
        <w:t xml:space="preserve">hículo propiedad de la víctima y posteriormente fue sorprendido por la patrulla de vigilancia.  </w:t>
      </w:r>
    </w:p>
    <w:p w:rsidR="00E20CD8" w:rsidRPr="009E387B" w:rsidRDefault="00E20CD8" w:rsidP="009E387B">
      <w:pPr>
        <w:pStyle w:val="Sinespaciado"/>
        <w:spacing w:line="288" w:lineRule="auto"/>
        <w:jc w:val="both"/>
        <w:rPr>
          <w:rFonts w:ascii="Arial" w:hAnsi="Arial" w:cs="Arial"/>
          <w:sz w:val="24"/>
          <w:szCs w:val="24"/>
        </w:rPr>
      </w:pPr>
    </w:p>
    <w:p w:rsidR="00C22303" w:rsidRPr="009E387B" w:rsidRDefault="00E20CD8"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En ese sentido para la </w:t>
      </w:r>
      <w:r w:rsidR="00C22303" w:rsidRPr="009E387B">
        <w:rPr>
          <w:rFonts w:ascii="Arial" w:hAnsi="Arial" w:cs="Arial"/>
          <w:sz w:val="24"/>
          <w:szCs w:val="24"/>
        </w:rPr>
        <w:t xml:space="preserve">Sala es claro que el fundamento del pronunciamiento </w:t>
      </w:r>
      <w:r w:rsidR="00435B70" w:rsidRPr="009E387B">
        <w:rPr>
          <w:rFonts w:ascii="Arial" w:hAnsi="Arial" w:cs="Arial"/>
          <w:sz w:val="24"/>
          <w:szCs w:val="24"/>
        </w:rPr>
        <w:t xml:space="preserve">antes citado </w:t>
      </w:r>
      <w:r w:rsidR="00C22303" w:rsidRPr="009E387B">
        <w:rPr>
          <w:rFonts w:ascii="Arial" w:hAnsi="Arial" w:cs="Arial"/>
          <w:sz w:val="24"/>
          <w:szCs w:val="24"/>
        </w:rPr>
        <w:t xml:space="preserve">de la </w:t>
      </w:r>
      <w:r w:rsidR="00435B70" w:rsidRPr="009E387B">
        <w:rPr>
          <w:rFonts w:ascii="Arial" w:hAnsi="Arial" w:cs="Arial"/>
          <w:sz w:val="24"/>
          <w:szCs w:val="24"/>
        </w:rPr>
        <w:t xml:space="preserve">SP de la </w:t>
      </w:r>
      <w:r w:rsidR="00C22303" w:rsidRPr="009E387B">
        <w:rPr>
          <w:rFonts w:ascii="Arial" w:hAnsi="Arial" w:cs="Arial"/>
          <w:sz w:val="24"/>
          <w:szCs w:val="24"/>
        </w:rPr>
        <w:t>CSJ versa respecto de la omisión de la FGN y del juez de conocimiento</w:t>
      </w:r>
      <w:r w:rsidR="00A7509B" w:rsidRPr="009E387B">
        <w:rPr>
          <w:rFonts w:ascii="Arial" w:hAnsi="Arial" w:cs="Arial"/>
          <w:sz w:val="24"/>
          <w:szCs w:val="24"/>
        </w:rPr>
        <w:t xml:space="preserve"> en relación con el </w:t>
      </w:r>
      <w:r w:rsidR="00C22303" w:rsidRPr="009E387B">
        <w:rPr>
          <w:rFonts w:ascii="Arial" w:hAnsi="Arial" w:cs="Arial"/>
          <w:sz w:val="24"/>
          <w:szCs w:val="24"/>
        </w:rPr>
        <w:t xml:space="preserve">allanamiento </w:t>
      </w:r>
      <w:r w:rsidR="00A7509B" w:rsidRPr="009E387B">
        <w:rPr>
          <w:rFonts w:ascii="Arial" w:hAnsi="Arial" w:cs="Arial"/>
          <w:sz w:val="24"/>
          <w:szCs w:val="24"/>
        </w:rPr>
        <w:t xml:space="preserve">a cargos </w:t>
      </w:r>
      <w:r w:rsidR="00C22303" w:rsidRPr="009E387B">
        <w:rPr>
          <w:rFonts w:ascii="Arial" w:hAnsi="Arial" w:cs="Arial"/>
          <w:sz w:val="24"/>
          <w:szCs w:val="24"/>
        </w:rPr>
        <w:t xml:space="preserve">y la </w:t>
      </w:r>
      <w:r w:rsidR="00A7509B" w:rsidRPr="009E387B">
        <w:rPr>
          <w:rFonts w:ascii="Arial" w:hAnsi="Arial" w:cs="Arial"/>
          <w:sz w:val="24"/>
          <w:szCs w:val="24"/>
        </w:rPr>
        <w:t xml:space="preserve">posterior </w:t>
      </w:r>
      <w:r w:rsidR="00C22303" w:rsidRPr="009E387B">
        <w:rPr>
          <w:rFonts w:ascii="Arial" w:hAnsi="Arial" w:cs="Arial"/>
          <w:sz w:val="24"/>
          <w:szCs w:val="24"/>
        </w:rPr>
        <w:t xml:space="preserve">verificación en el entendido que el mismo debe ser coherente con los elementos fácticos y jurídicos de la imputación </w:t>
      </w:r>
      <w:r w:rsidR="00A7509B" w:rsidRPr="009E387B">
        <w:rPr>
          <w:rFonts w:ascii="Arial" w:hAnsi="Arial" w:cs="Arial"/>
          <w:sz w:val="24"/>
          <w:szCs w:val="24"/>
        </w:rPr>
        <w:t xml:space="preserve">y </w:t>
      </w:r>
      <w:r w:rsidR="00C22303" w:rsidRPr="009E387B">
        <w:rPr>
          <w:rFonts w:ascii="Arial" w:hAnsi="Arial" w:cs="Arial"/>
          <w:sz w:val="24"/>
          <w:szCs w:val="24"/>
        </w:rPr>
        <w:t xml:space="preserve">los EMP adosados a la actuación. </w:t>
      </w:r>
    </w:p>
    <w:p w:rsidR="00E20CD8" w:rsidRPr="009E387B" w:rsidRDefault="00E20CD8" w:rsidP="009E387B">
      <w:pPr>
        <w:pStyle w:val="Sinespaciado"/>
        <w:spacing w:line="288" w:lineRule="auto"/>
        <w:jc w:val="both"/>
        <w:rPr>
          <w:rFonts w:ascii="Arial" w:hAnsi="Arial" w:cs="Arial"/>
          <w:sz w:val="24"/>
          <w:szCs w:val="24"/>
        </w:rPr>
      </w:pPr>
    </w:p>
    <w:p w:rsidR="00C22303" w:rsidRPr="009E387B" w:rsidRDefault="00C22303" w:rsidP="009E387B">
      <w:pPr>
        <w:pStyle w:val="Sinespaciado"/>
        <w:spacing w:line="288" w:lineRule="auto"/>
        <w:jc w:val="both"/>
        <w:rPr>
          <w:rFonts w:ascii="Arial" w:hAnsi="Arial" w:cs="Arial"/>
          <w:sz w:val="24"/>
          <w:szCs w:val="24"/>
        </w:rPr>
      </w:pPr>
      <w:r w:rsidRPr="009E387B">
        <w:rPr>
          <w:rFonts w:ascii="Arial" w:hAnsi="Arial" w:cs="Arial"/>
          <w:sz w:val="24"/>
          <w:szCs w:val="24"/>
        </w:rPr>
        <w:t>Por demás</w:t>
      </w:r>
      <w:r w:rsidR="00A7509B" w:rsidRPr="009E387B">
        <w:rPr>
          <w:rFonts w:ascii="Arial" w:hAnsi="Arial" w:cs="Arial"/>
          <w:sz w:val="24"/>
          <w:szCs w:val="24"/>
        </w:rPr>
        <w:t>,</w:t>
      </w:r>
      <w:r w:rsidRPr="009E387B">
        <w:rPr>
          <w:rFonts w:ascii="Arial" w:hAnsi="Arial" w:cs="Arial"/>
          <w:sz w:val="24"/>
          <w:szCs w:val="24"/>
        </w:rPr>
        <w:t xml:space="preserve"> en pronunciamiento del 15 de julio de 2008, radicado 28872, MP Augusto José Ibáñez Guzmán</w:t>
      </w:r>
      <w:r w:rsidR="006C38AF" w:rsidRPr="009E387B">
        <w:rPr>
          <w:rFonts w:ascii="Arial" w:hAnsi="Arial" w:cs="Arial"/>
          <w:sz w:val="24"/>
          <w:szCs w:val="24"/>
        </w:rPr>
        <w:t xml:space="preserve">, desató: </w:t>
      </w:r>
    </w:p>
    <w:p w:rsidR="00C22303" w:rsidRPr="009E387B" w:rsidRDefault="00C22303" w:rsidP="009E387B">
      <w:pPr>
        <w:pStyle w:val="Sinespaciado"/>
        <w:spacing w:line="288" w:lineRule="auto"/>
        <w:jc w:val="both"/>
        <w:rPr>
          <w:rFonts w:ascii="Arial" w:hAnsi="Arial" w:cs="Arial"/>
          <w:sz w:val="24"/>
          <w:szCs w:val="24"/>
        </w:rPr>
      </w:pPr>
    </w:p>
    <w:p w:rsidR="00C22303" w:rsidRPr="00A4437E" w:rsidRDefault="00C22303" w:rsidP="00A4437E">
      <w:pPr>
        <w:pStyle w:val="Sinespaciado"/>
        <w:ind w:left="426" w:right="418"/>
        <w:jc w:val="both"/>
        <w:rPr>
          <w:rFonts w:ascii="Arial" w:hAnsi="Arial" w:cs="Arial"/>
          <w:bCs/>
          <w:szCs w:val="24"/>
        </w:rPr>
      </w:pPr>
      <w:r w:rsidRPr="00A4437E">
        <w:rPr>
          <w:rFonts w:ascii="Arial" w:hAnsi="Arial" w:cs="Arial"/>
          <w:bCs/>
          <w:szCs w:val="24"/>
        </w:rPr>
        <w:t>“Sin duda, el debido proceso es una garantía reconocida en la Carta Política y el principio de legalidad, como una de sus expresiones, puede resultar eventualmente lesionado cuando la conducta desplegada por el agente no se adecua al tipo penal imputado y con fundamento en el cual se profirió sentencia condenatoria, o cuando el proceder criminal solo encaja en una acción típica.</w:t>
      </w:r>
    </w:p>
    <w:p w:rsidR="00496C4B" w:rsidRPr="00A4437E" w:rsidRDefault="00496C4B" w:rsidP="00A4437E">
      <w:pPr>
        <w:pStyle w:val="Sinespaciado"/>
        <w:ind w:left="426" w:right="418"/>
        <w:jc w:val="both"/>
        <w:rPr>
          <w:rFonts w:ascii="Arial" w:hAnsi="Arial" w:cs="Arial"/>
          <w:bCs/>
          <w:szCs w:val="24"/>
        </w:rPr>
      </w:pPr>
    </w:p>
    <w:p w:rsidR="00C22303" w:rsidRPr="00A4437E" w:rsidRDefault="00C22303" w:rsidP="00A4437E">
      <w:pPr>
        <w:pStyle w:val="Sinespaciado"/>
        <w:ind w:left="426" w:right="418"/>
        <w:jc w:val="both"/>
        <w:rPr>
          <w:rFonts w:ascii="Arial" w:hAnsi="Arial" w:cs="Arial"/>
          <w:bCs/>
          <w:szCs w:val="24"/>
        </w:rPr>
      </w:pPr>
      <w:r w:rsidRPr="00A4437E">
        <w:rPr>
          <w:rFonts w:ascii="Arial" w:hAnsi="Arial" w:cs="Arial"/>
          <w:bCs/>
          <w:szCs w:val="24"/>
        </w:rPr>
        <w:t>[…]</w:t>
      </w:r>
    </w:p>
    <w:p w:rsidR="00496C4B" w:rsidRPr="00A4437E" w:rsidRDefault="00496C4B" w:rsidP="00A4437E">
      <w:pPr>
        <w:pStyle w:val="Sinespaciado"/>
        <w:ind w:left="426" w:right="418"/>
        <w:jc w:val="both"/>
        <w:rPr>
          <w:rFonts w:ascii="Arial" w:hAnsi="Arial" w:cs="Arial"/>
          <w:bCs/>
          <w:szCs w:val="24"/>
        </w:rPr>
      </w:pPr>
    </w:p>
    <w:p w:rsidR="00C22303" w:rsidRPr="00A4437E" w:rsidRDefault="00C22303" w:rsidP="00A4437E">
      <w:pPr>
        <w:pStyle w:val="Sinespaciado"/>
        <w:ind w:left="426" w:right="418"/>
        <w:jc w:val="both"/>
        <w:rPr>
          <w:rFonts w:ascii="Arial" w:hAnsi="Arial" w:cs="Arial"/>
          <w:bCs/>
          <w:szCs w:val="24"/>
        </w:rPr>
      </w:pPr>
      <w:r w:rsidRPr="00A4437E">
        <w:rPr>
          <w:rFonts w:ascii="Arial" w:hAnsi="Arial" w:cs="Arial"/>
          <w:bCs/>
          <w:szCs w:val="24"/>
        </w:rPr>
        <w:t>“Por consiguiente, de comprobarse que la adecuación típica fractura el principio de legalidad, no es posible oponer la manifestación libre y voluntaria del indiciado y el presunto</w:t>
      </w:r>
      <w:r w:rsidR="007951D4">
        <w:rPr>
          <w:rFonts w:ascii="Arial" w:hAnsi="Arial" w:cs="Arial"/>
          <w:bCs/>
          <w:szCs w:val="24"/>
        </w:rPr>
        <w:t xml:space="preserve"> </w:t>
      </w:r>
      <w:r w:rsidRPr="00A4437E">
        <w:rPr>
          <w:rFonts w:ascii="Arial" w:hAnsi="Arial" w:cs="Arial"/>
          <w:bCs/>
          <w:szCs w:val="24"/>
        </w:rPr>
        <w:t>cumplimiento de las formas, a los derechos y garantías fundamentales”.</w:t>
      </w:r>
    </w:p>
    <w:p w:rsidR="00C22303" w:rsidRPr="009E387B" w:rsidRDefault="00C22303" w:rsidP="009E387B">
      <w:pPr>
        <w:pStyle w:val="Sinespaciado"/>
        <w:spacing w:line="288" w:lineRule="auto"/>
        <w:jc w:val="both"/>
        <w:rPr>
          <w:rFonts w:ascii="Arial" w:hAnsi="Arial" w:cs="Arial"/>
          <w:sz w:val="24"/>
          <w:szCs w:val="24"/>
        </w:rPr>
      </w:pPr>
    </w:p>
    <w:p w:rsidR="006C38AF" w:rsidRPr="009E387B" w:rsidRDefault="006C38AF" w:rsidP="009E387B">
      <w:pPr>
        <w:pStyle w:val="Sinespaciado"/>
        <w:spacing w:line="288" w:lineRule="auto"/>
        <w:jc w:val="both"/>
        <w:rPr>
          <w:rFonts w:ascii="Arial" w:hAnsi="Arial" w:cs="Arial"/>
          <w:sz w:val="24"/>
          <w:szCs w:val="24"/>
        </w:rPr>
      </w:pPr>
      <w:r w:rsidRPr="009E387B">
        <w:rPr>
          <w:rFonts w:ascii="Arial" w:hAnsi="Arial" w:cs="Arial"/>
          <w:sz w:val="24"/>
          <w:szCs w:val="24"/>
        </w:rPr>
        <w:t>De</w:t>
      </w:r>
      <w:r w:rsidR="00A7509B" w:rsidRPr="009E387B">
        <w:rPr>
          <w:rFonts w:ascii="Arial" w:hAnsi="Arial" w:cs="Arial"/>
          <w:sz w:val="24"/>
          <w:szCs w:val="24"/>
        </w:rPr>
        <w:t xml:space="preserve"> tal modo que examinados los </w:t>
      </w:r>
      <w:r w:rsidR="00496C4B" w:rsidRPr="009E387B">
        <w:rPr>
          <w:rFonts w:ascii="Arial" w:hAnsi="Arial" w:cs="Arial"/>
          <w:sz w:val="24"/>
          <w:szCs w:val="24"/>
        </w:rPr>
        <w:t>EMP o EF</w:t>
      </w:r>
      <w:r w:rsidR="00A7509B" w:rsidRPr="009E387B">
        <w:rPr>
          <w:rFonts w:ascii="Arial" w:hAnsi="Arial" w:cs="Arial"/>
          <w:sz w:val="24"/>
          <w:szCs w:val="24"/>
        </w:rPr>
        <w:t xml:space="preserve"> la Sala concluye que contrario a la imputación de cargos que formuló la FGN</w:t>
      </w:r>
      <w:r w:rsidR="00496C4B" w:rsidRPr="009E387B">
        <w:rPr>
          <w:rFonts w:ascii="Arial" w:hAnsi="Arial" w:cs="Arial"/>
          <w:sz w:val="24"/>
          <w:szCs w:val="24"/>
        </w:rPr>
        <w:t xml:space="preserve">, la conducta por la cual se adelantó la investigación fue </w:t>
      </w:r>
      <w:r w:rsidR="00A7509B" w:rsidRPr="009E387B">
        <w:rPr>
          <w:rFonts w:ascii="Arial" w:hAnsi="Arial" w:cs="Arial"/>
          <w:sz w:val="24"/>
          <w:szCs w:val="24"/>
        </w:rPr>
        <w:t>tentada</w:t>
      </w:r>
      <w:r w:rsidR="00496C4B" w:rsidRPr="009E387B">
        <w:rPr>
          <w:rFonts w:ascii="Arial" w:hAnsi="Arial" w:cs="Arial"/>
          <w:sz w:val="24"/>
          <w:szCs w:val="24"/>
        </w:rPr>
        <w:t xml:space="preserve"> en el entendido que para el momento de la captura del señor </w:t>
      </w:r>
      <w:proofErr w:type="spellStart"/>
      <w:r w:rsidR="00A33152">
        <w:rPr>
          <w:rFonts w:ascii="Arial" w:hAnsi="Arial" w:cs="Arial"/>
          <w:sz w:val="24"/>
          <w:szCs w:val="24"/>
        </w:rPr>
        <w:t>JAMV</w:t>
      </w:r>
      <w:proofErr w:type="spellEnd"/>
      <w:r w:rsidR="00A7509B" w:rsidRPr="009E387B">
        <w:rPr>
          <w:rFonts w:ascii="Arial" w:hAnsi="Arial" w:cs="Arial"/>
          <w:sz w:val="24"/>
          <w:szCs w:val="24"/>
        </w:rPr>
        <w:t xml:space="preserve">, si bien se </w:t>
      </w:r>
      <w:r w:rsidR="00496C4B" w:rsidRPr="009E387B">
        <w:rPr>
          <w:rFonts w:ascii="Arial" w:hAnsi="Arial" w:cs="Arial"/>
          <w:sz w:val="24"/>
          <w:szCs w:val="24"/>
        </w:rPr>
        <w:t>hallaba en poder del espejo del vehículo propiedad de la víctima</w:t>
      </w:r>
      <w:r w:rsidR="00A7509B" w:rsidRPr="009E387B">
        <w:rPr>
          <w:rFonts w:ascii="Arial" w:hAnsi="Arial" w:cs="Arial"/>
          <w:sz w:val="24"/>
          <w:szCs w:val="24"/>
        </w:rPr>
        <w:t xml:space="preserve">, no había consumado la conducta por cuanto seguía intentando extraer otros elementos del automotor y fue descubierto por la patrulla de vigilancia, por lo tanto no </w:t>
      </w:r>
      <w:r w:rsidR="00496C4B" w:rsidRPr="009E387B">
        <w:rPr>
          <w:rFonts w:ascii="Arial" w:hAnsi="Arial" w:cs="Arial"/>
          <w:sz w:val="24"/>
          <w:szCs w:val="24"/>
        </w:rPr>
        <w:t>había sido extraído de la protección</w:t>
      </w:r>
      <w:r w:rsidR="007F127F" w:rsidRPr="009E387B">
        <w:rPr>
          <w:rFonts w:ascii="Arial" w:hAnsi="Arial" w:cs="Arial"/>
          <w:sz w:val="24"/>
          <w:szCs w:val="24"/>
        </w:rPr>
        <w:t xml:space="preserve"> o esfera de custodia de su</w:t>
      </w:r>
      <w:r w:rsidR="00496C4B" w:rsidRPr="009E387B">
        <w:rPr>
          <w:rFonts w:ascii="Arial" w:hAnsi="Arial" w:cs="Arial"/>
          <w:sz w:val="24"/>
          <w:szCs w:val="24"/>
        </w:rPr>
        <w:t xml:space="preserve"> propietario. </w:t>
      </w:r>
    </w:p>
    <w:p w:rsidR="00496C4B" w:rsidRPr="009E387B" w:rsidRDefault="00496C4B" w:rsidP="009E387B">
      <w:pPr>
        <w:pStyle w:val="Sinespaciado"/>
        <w:spacing w:line="288" w:lineRule="auto"/>
        <w:jc w:val="both"/>
        <w:rPr>
          <w:rFonts w:ascii="Arial" w:hAnsi="Arial" w:cs="Arial"/>
          <w:sz w:val="24"/>
          <w:szCs w:val="24"/>
        </w:rPr>
      </w:pPr>
    </w:p>
    <w:p w:rsidR="001744B9" w:rsidRPr="009E387B" w:rsidRDefault="001744B9" w:rsidP="009E387B">
      <w:pPr>
        <w:pStyle w:val="Sinespaciado"/>
        <w:spacing w:line="288" w:lineRule="auto"/>
        <w:jc w:val="both"/>
        <w:rPr>
          <w:rFonts w:ascii="Arial" w:hAnsi="Arial" w:cs="Arial"/>
          <w:sz w:val="24"/>
          <w:szCs w:val="24"/>
        </w:rPr>
      </w:pPr>
      <w:r w:rsidRPr="009E387B">
        <w:rPr>
          <w:rFonts w:ascii="Arial" w:hAnsi="Arial" w:cs="Arial"/>
          <w:sz w:val="24"/>
          <w:szCs w:val="24"/>
        </w:rPr>
        <w:t>En igual sentido la SP de la CSJ en sentencia del 20 de septiembre de 2005 radicado 21558, M.P. Yesid Ramírez Bastidas, ha establecido respecto de la consumación del delito:</w:t>
      </w:r>
    </w:p>
    <w:p w:rsidR="001744B9" w:rsidRPr="009E387B" w:rsidRDefault="001744B9" w:rsidP="009E387B">
      <w:pPr>
        <w:pStyle w:val="Sinespaciado"/>
        <w:spacing w:line="288" w:lineRule="auto"/>
        <w:jc w:val="both"/>
        <w:rPr>
          <w:rFonts w:ascii="Arial" w:hAnsi="Arial" w:cs="Arial"/>
          <w:sz w:val="24"/>
          <w:szCs w:val="24"/>
        </w:rPr>
      </w:pPr>
    </w:p>
    <w:p w:rsidR="001744B9" w:rsidRPr="009E387B" w:rsidRDefault="001744B9" w:rsidP="009E387B">
      <w:pPr>
        <w:pStyle w:val="Sinespaciado"/>
        <w:spacing w:line="288" w:lineRule="auto"/>
        <w:ind w:left="567" w:right="618"/>
        <w:jc w:val="both"/>
        <w:rPr>
          <w:rFonts w:ascii="Arial" w:hAnsi="Arial" w:cs="Arial"/>
          <w:sz w:val="24"/>
          <w:szCs w:val="24"/>
        </w:rPr>
      </w:pPr>
      <w:r w:rsidRPr="00A4437E">
        <w:rPr>
          <w:rFonts w:ascii="Arial" w:hAnsi="Arial" w:cs="Arial"/>
          <w:bCs/>
          <w:szCs w:val="24"/>
        </w:rPr>
        <w:t>“</w:t>
      </w:r>
      <w:r w:rsidR="007F127F" w:rsidRPr="00A4437E">
        <w:rPr>
          <w:rFonts w:ascii="Arial" w:hAnsi="Arial" w:cs="Arial"/>
          <w:bCs/>
          <w:szCs w:val="24"/>
        </w:rPr>
        <w:t xml:space="preserve">La guardia policial dispuesta, entonces, así como en general los mecanismos de seguridad de que comúnmente se valen las personas para la protección de sus bienes, por sí mismos no excluyen la posibilidad de la consumación del delito y eso significa que en todos aquellos casos donde se contaba con algún sistema de vigilancia que haya obstaculizado el escape de los asaltantes y permitido su captura, no necesariamente cabe la conclusión de que la conducta no superó la tentativa. </w:t>
      </w:r>
      <w:r w:rsidRPr="00A4437E">
        <w:rPr>
          <w:rFonts w:ascii="Arial" w:hAnsi="Arial" w:cs="Arial"/>
          <w:bCs/>
          <w:szCs w:val="24"/>
        </w:rPr>
        <w:t>Simplemente porque lo que define si se completó la ejecución del delito es la comprobación de si el bien salió de la esfera de custodia de su due</w:t>
      </w:r>
      <w:r w:rsidR="00FA2766" w:rsidRPr="00A4437E">
        <w:rPr>
          <w:rFonts w:ascii="Arial" w:hAnsi="Arial" w:cs="Arial"/>
          <w:bCs/>
          <w:szCs w:val="24"/>
        </w:rPr>
        <w:t>ñ</w:t>
      </w:r>
      <w:r w:rsidRPr="00A4437E">
        <w:rPr>
          <w:rFonts w:ascii="Arial" w:hAnsi="Arial" w:cs="Arial"/>
          <w:bCs/>
          <w:szCs w:val="24"/>
        </w:rPr>
        <w:t>o, poseedor o tenedor, aunque haya sido brevemente, y no que el autor del hecho haya asumido el poder de control y disposición material sobre la cosa, que perfectamente puede no haberlo obtenido y, sin embargo, encontrarse consumada la ilicitud, como cuando huye con el bien y es perseguido por quien lo tenía o por las autoridades”.</w:t>
      </w:r>
      <w:r w:rsidRPr="009E387B">
        <w:rPr>
          <w:rFonts w:ascii="Arial" w:hAnsi="Arial" w:cs="Arial"/>
          <w:i/>
          <w:sz w:val="24"/>
          <w:szCs w:val="24"/>
        </w:rPr>
        <w:t xml:space="preserve"> </w:t>
      </w:r>
      <w:r w:rsidR="007F127F" w:rsidRPr="009E387B">
        <w:rPr>
          <w:rFonts w:ascii="Arial" w:hAnsi="Arial" w:cs="Arial"/>
          <w:sz w:val="24"/>
          <w:szCs w:val="24"/>
        </w:rPr>
        <w:t>(Subrayas ex texto).</w:t>
      </w:r>
    </w:p>
    <w:p w:rsidR="001744B9" w:rsidRPr="009E387B" w:rsidRDefault="001744B9" w:rsidP="009E387B">
      <w:pPr>
        <w:pStyle w:val="Sinespaciado"/>
        <w:spacing w:line="288" w:lineRule="auto"/>
        <w:jc w:val="both"/>
        <w:rPr>
          <w:rFonts w:ascii="Arial" w:hAnsi="Arial" w:cs="Arial"/>
          <w:sz w:val="24"/>
          <w:szCs w:val="24"/>
        </w:rPr>
      </w:pPr>
    </w:p>
    <w:p w:rsidR="00F26259" w:rsidRPr="009E387B" w:rsidRDefault="007F127F" w:rsidP="009E387B">
      <w:pPr>
        <w:pStyle w:val="Sinespaciado"/>
        <w:spacing w:line="288" w:lineRule="auto"/>
        <w:jc w:val="both"/>
        <w:rPr>
          <w:rFonts w:ascii="Arial" w:hAnsi="Arial" w:cs="Arial"/>
          <w:i/>
          <w:sz w:val="24"/>
          <w:szCs w:val="24"/>
        </w:rPr>
      </w:pPr>
      <w:r w:rsidRPr="009E387B">
        <w:rPr>
          <w:rFonts w:ascii="Arial" w:hAnsi="Arial" w:cs="Arial"/>
          <w:sz w:val="24"/>
          <w:szCs w:val="24"/>
        </w:rPr>
        <w:lastRenderedPageBreak/>
        <w:t xml:space="preserve">6.9 </w:t>
      </w:r>
      <w:r w:rsidR="004221AC" w:rsidRPr="009E387B">
        <w:rPr>
          <w:rFonts w:ascii="Arial" w:hAnsi="Arial" w:cs="Arial"/>
          <w:sz w:val="24"/>
          <w:szCs w:val="24"/>
        </w:rPr>
        <w:t xml:space="preserve">En esas condiciones, </w:t>
      </w:r>
      <w:r w:rsidRPr="009E387B">
        <w:rPr>
          <w:rFonts w:ascii="Arial" w:hAnsi="Arial" w:cs="Arial"/>
          <w:sz w:val="24"/>
          <w:szCs w:val="24"/>
        </w:rPr>
        <w:t>la Sala debe proceder a dosificar la pena impuesta al procesado atendiendo la disminución que procede por aplicación del dispositivo amplificador del tipo de la tentativa de que trata el artículo 27 del C.P., el cual dispone: “</w:t>
      </w:r>
      <w:r w:rsidRPr="00A4437E">
        <w:rPr>
          <w:rFonts w:ascii="Arial" w:hAnsi="Arial" w:cs="Arial"/>
          <w:i/>
          <w:szCs w:val="24"/>
        </w:rPr>
        <w:t xml:space="preserve">El que iniciare la ejecución de una conducta punible mediante actos idóneos e inequívocamente dirigidos a su consumación, y ésta no se produjere por circunstancias ajenas a su voluntad, </w:t>
      </w:r>
      <w:r w:rsidRPr="00A4437E">
        <w:rPr>
          <w:rFonts w:ascii="Arial" w:hAnsi="Arial" w:cs="Arial"/>
          <w:i/>
          <w:szCs w:val="24"/>
          <w:u w:val="single"/>
        </w:rPr>
        <w:t>incurrirá en pena no menor de la mitad del mínimo ni mayor de las tres cuartas partes del máximo de la señalada para la conducta punible consumada.</w:t>
      </w:r>
      <w:r w:rsidRPr="00A4437E">
        <w:rPr>
          <w:rFonts w:ascii="Arial" w:hAnsi="Arial" w:cs="Arial"/>
          <w:i/>
          <w:szCs w:val="24"/>
        </w:rPr>
        <w:t xml:space="preserve"> Cuando la conducta punible no se consuma por circunstancias ajenas a la voluntad del autor o partícipe, incurrirá en pena no menor de la tercera parte del mínimo ni mayor de las dos terceras partes del máximo de la señalada para su consumación, si voluntariamente ha realizado todos los esfuerzos necesarios para impedirl</w:t>
      </w:r>
      <w:r w:rsidR="005466D7" w:rsidRPr="00A4437E">
        <w:rPr>
          <w:rFonts w:ascii="Arial" w:hAnsi="Arial" w:cs="Arial"/>
          <w:i/>
          <w:szCs w:val="24"/>
        </w:rPr>
        <w:t>a</w:t>
      </w:r>
      <w:r w:rsidRPr="009E387B">
        <w:rPr>
          <w:rFonts w:ascii="Arial" w:hAnsi="Arial" w:cs="Arial"/>
          <w:i/>
          <w:sz w:val="24"/>
          <w:szCs w:val="24"/>
        </w:rPr>
        <w:t>.”</w:t>
      </w:r>
    </w:p>
    <w:p w:rsidR="007F127F" w:rsidRPr="009E387B" w:rsidRDefault="007F127F" w:rsidP="009E387B">
      <w:pPr>
        <w:pStyle w:val="Sinespaciado"/>
        <w:spacing w:line="288" w:lineRule="auto"/>
        <w:jc w:val="both"/>
        <w:rPr>
          <w:rFonts w:ascii="Arial" w:hAnsi="Arial" w:cs="Arial"/>
          <w:sz w:val="24"/>
          <w:szCs w:val="24"/>
        </w:rPr>
      </w:pPr>
    </w:p>
    <w:p w:rsidR="00C74A81" w:rsidRPr="009E387B" w:rsidRDefault="005466D7"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En consecuencia la pena quedaría de la siguiente forma: el artículo 240 inciso 1º numeral 1º del C.P., dispone que la pena será de prisión de 6 a 14 años si el hurto se cometiere con violencia sobre las cosas, esta pena expresada en meses es de 72 a 168 meses, a los cuales se les aplica la disminución del artículo 27 del C.P. antes citado </w:t>
      </w:r>
      <w:r w:rsidR="002B0CB4" w:rsidRPr="009E387B">
        <w:rPr>
          <w:rFonts w:ascii="Arial" w:hAnsi="Arial" w:cs="Arial"/>
          <w:sz w:val="24"/>
          <w:szCs w:val="24"/>
        </w:rPr>
        <w:t xml:space="preserve">para una pena de 36 a 126 meses de prisión. </w:t>
      </w:r>
    </w:p>
    <w:p w:rsidR="002B0CB4" w:rsidRPr="009E387B" w:rsidRDefault="002B0CB4" w:rsidP="009E387B">
      <w:pPr>
        <w:pStyle w:val="Sinespaciado"/>
        <w:spacing w:line="288" w:lineRule="auto"/>
        <w:jc w:val="both"/>
        <w:rPr>
          <w:rFonts w:ascii="Arial" w:hAnsi="Arial" w:cs="Arial"/>
          <w:sz w:val="24"/>
          <w:szCs w:val="24"/>
        </w:rPr>
      </w:pPr>
    </w:p>
    <w:p w:rsidR="002B0CB4" w:rsidRPr="009E387B" w:rsidRDefault="002B0CB4" w:rsidP="009E387B">
      <w:pPr>
        <w:pStyle w:val="Sinespaciado"/>
        <w:spacing w:line="288" w:lineRule="auto"/>
        <w:jc w:val="both"/>
        <w:rPr>
          <w:rFonts w:ascii="Arial" w:hAnsi="Arial" w:cs="Arial"/>
          <w:sz w:val="24"/>
          <w:szCs w:val="24"/>
        </w:rPr>
      </w:pPr>
      <w:r w:rsidRPr="009E387B">
        <w:rPr>
          <w:rFonts w:ascii="Arial" w:hAnsi="Arial" w:cs="Arial"/>
          <w:sz w:val="24"/>
          <w:szCs w:val="24"/>
        </w:rPr>
        <w:t xml:space="preserve">7. CONSIDERACIÓN ADICIONAL </w:t>
      </w:r>
      <w:r w:rsidR="00274350" w:rsidRPr="009E387B">
        <w:rPr>
          <w:rFonts w:ascii="Arial" w:hAnsi="Arial" w:cs="Arial"/>
          <w:sz w:val="24"/>
          <w:szCs w:val="24"/>
        </w:rPr>
        <w:t>(aplicación retroactiva por favorabilidad de las disposiciones consagradas en la ley 1826 de 2017 en lo atinente a los descuentos punitivos en casos de captura en flagrancia)</w:t>
      </w:r>
      <w:r w:rsidRPr="009E387B">
        <w:rPr>
          <w:rFonts w:ascii="Arial" w:hAnsi="Arial" w:cs="Arial"/>
          <w:sz w:val="24"/>
          <w:szCs w:val="24"/>
        </w:rPr>
        <w:t xml:space="preserve">. </w:t>
      </w:r>
    </w:p>
    <w:p w:rsidR="002B0CB4" w:rsidRPr="009E387B" w:rsidRDefault="002B0CB4" w:rsidP="009E387B">
      <w:pPr>
        <w:pStyle w:val="Sinespaciado"/>
        <w:spacing w:line="288" w:lineRule="auto"/>
        <w:jc w:val="both"/>
        <w:rPr>
          <w:rFonts w:ascii="Arial" w:hAnsi="Arial" w:cs="Arial"/>
          <w:sz w:val="24"/>
          <w:szCs w:val="24"/>
        </w:rPr>
      </w:pPr>
    </w:p>
    <w:p w:rsidR="002B0CB4" w:rsidRDefault="002B0CB4" w:rsidP="009E387B">
      <w:pPr>
        <w:spacing w:after="0" w:line="288" w:lineRule="auto"/>
        <w:jc w:val="both"/>
        <w:rPr>
          <w:rFonts w:ascii="Arial" w:eastAsia="Times New Roman" w:hAnsi="Arial" w:cs="Arial"/>
          <w:bCs/>
          <w:i/>
          <w:sz w:val="24"/>
          <w:szCs w:val="24"/>
          <w:lang w:val="es-ES" w:eastAsia="es-ES"/>
        </w:rPr>
      </w:pPr>
      <w:r w:rsidRPr="009E387B">
        <w:rPr>
          <w:rFonts w:ascii="Arial" w:eastAsia="Times New Roman" w:hAnsi="Arial" w:cs="Arial"/>
          <w:bCs/>
          <w:sz w:val="24"/>
          <w:szCs w:val="24"/>
          <w:lang w:val="es-ES" w:eastAsia="es-ES"/>
        </w:rPr>
        <w:t xml:space="preserve">7.1 Para efectos de la presente decisión se debe tener en cuenta que para la fecha de la comisión de la conducta punible (8 de marzo de 2013) estaba vigente el artículo 57 de la ley 1453 de 2011, norma que modificó el artículo 301 del C. de P.P., que dispone que lo siguiente: </w:t>
      </w:r>
      <w:r w:rsidRPr="00A4437E">
        <w:rPr>
          <w:rFonts w:ascii="Arial" w:eastAsia="Times New Roman" w:hAnsi="Arial" w:cs="Arial"/>
          <w:bCs/>
          <w:sz w:val="24"/>
          <w:szCs w:val="24"/>
          <w:lang w:val="es-ES" w:eastAsia="es-ES"/>
        </w:rPr>
        <w:t>“</w:t>
      </w:r>
      <w:r w:rsidRPr="00A4437E">
        <w:rPr>
          <w:rFonts w:ascii="Arial" w:eastAsia="Times New Roman" w:hAnsi="Arial" w:cs="Arial"/>
          <w:bCs/>
          <w:szCs w:val="24"/>
          <w:lang w:val="es-ES" w:eastAsia="es-ES"/>
        </w:rPr>
        <w:t>…</w:t>
      </w:r>
      <w:r w:rsidRPr="00A4437E">
        <w:rPr>
          <w:rFonts w:ascii="Arial" w:eastAsia="Times New Roman" w:hAnsi="Arial" w:cs="Arial"/>
          <w:bCs/>
          <w:i/>
          <w:szCs w:val="24"/>
          <w:lang w:val="es-ES" w:eastAsia="es-ES"/>
        </w:rPr>
        <w:t>PAR. La persona que incurra en las causales anteriores</w:t>
      </w:r>
      <w:r w:rsidR="007951D4">
        <w:rPr>
          <w:rFonts w:ascii="Arial" w:eastAsia="Times New Roman" w:hAnsi="Arial" w:cs="Arial"/>
          <w:bCs/>
          <w:i/>
          <w:szCs w:val="24"/>
          <w:lang w:val="es-ES" w:eastAsia="es-ES"/>
        </w:rPr>
        <w:t xml:space="preserve"> </w:t>
      </w:r>
      <w:r w:rsidRPr="00A4437E">
        <w:rPr>
          <w:rFonts w:ascii="Arial" w:eastAsia="Times New Roman" w:hAnsi="Arial" w:cs="Arial"/>
          <w:bCs/>
          <w:i/>
          <w:szCs w:val="24"/>
          <w:lang w:val="es-ES" w:eastAsia="es-ES"/>
        </w:rPr>
        <w:t xml:space="preserve">sólo tendrá ¼ del beneficio de que trata el artículo 351 de la ley 906 de </w:t>
      </w:r>
      <w:smartTag w:uri="urn:schemas-microsoft-com:office:smarttags" w:element="metricconverter">
        <w:smartTagPr>
          <w:attr w:name="ProductID" w:val="2004.”"/>
        </w:smartTagPr>
        <w:r w:rsidRPr="00A4437E">
          <w:rPr>
            <w:rFonts w:ascii="Arial" w:eastAsia="Times New Roman" w:hAnsi="Arial" w:cs="Arial"/>
            <w:bCs/>
            <w:i/>
            <w:szCs w:val="24"/>
            <w:lang w:val="es-ES" w:eastAsia="es-ES"/>
          </w:rPr>
          <w:t>2004</w:t>
        </w:r>
        <w:r w:rsidRPr="009E387B">
          <w:rPr>
            <w:rFonts w:ascii="Arial" w:eastAsia="Times New Roman" w:hAnsi="Arial" w:cs="Arial"/>
            <w:bCs/>
            <w:i/>
            <w:sz w:val="24"/>
            <w:szCs w:val="24"/>
            <w:lang w:val="es-ES" w:eastAsia="es-ES"/>
          </w:rPr>
          <w:t>.”</w:t>
        </w:r>
        <w:r w:rsidR="00A4437E">
          <w:rPr>
            <w:rFonts w:ascii="Arial" w:eastAsia="Times New Roman" w:hAnsi="Arial" w:cs="Arial"/>
            <w:bCs/>
            <w:i/>
            <w:sz w:val="24"/>
            <w:szCs w:val="24"/>
            <w:lang w:val="es-ES" w:eastAsia="es-ES"/>
          </w:rPr>
          <w:t xml:space="preserve"> </w:t>
        </w:r>
      </w:smartTag>
      <w:r w:rsidRPr="009E387B">
        <w:rPr>
          <w:rFonts w:ascii="Arial" w:eastAsia="Times New Roman" w:hAnsi="Arial" w:cs="Arial"/>
          <w:bCs/>
          <w:i/>
          <w:sz w:val="24"/>
          <w:szCs w:val="24"/>
          <w:vertAlign w:val="superscript"/>
          <w:lang w:val="es-ES" w:eastAsia="es-ES"/>
        </w:rPr>
        <w:footnoteReference w:id="5"/>
      </w:r>
    </w:p>
    <w:p w:rsidR="00A4437E" w:rsidRPr="009E387B" w:rsidRDefault="00A4437E" w:rsidP="009E387B">
      <w:pPr>
        <w:spacing w:after="0" w:line="288" w:lineRule="auto"/>
        <w:jc w:val="both"/>
        <w:rPr>
          <w:rFonts w:ascii="Arial" w:eastAsia="Times New Roman" w:hAnsi="Arial" w:cs="Arial"/>
          <w:bCs/>
          <w:i/>
          <w:sz w:val="24"/>
          <w:szCs w:val="24"/>
          <w:lang w:val="es-ES" w:eastAsia="es-ES"/>
        </w:rPr>
      </w:pPr>
    </w:p>
    <w:p w:rsidR="0070054F" w:rsidRPr="009E387B" w:rsidRDefault="0070054F" w:rsidP="009E387B">
      <w:pPr>
        <w:pStyle w:val="Sinespaciado"/>
        <w:spacing w:line="288" w:lineRule="auto"/>
        <w:jc w:val="both"/>
        <w:rPr>
          <w:rFonts w:ascii="Arial" w:eastAsia="Times New Roman" w:hAnsi="Arial" w:cs="Arial"/>
          <w:bCs/>
          <w:i/>
          <w:sz w:val="24"/>
          <w:szCs w:val="24"/>
          <w:lang w:eastAsia="es-ES"/>
        </w:rPr>
      </w:pPr>
      <w:r w:rsidRPr="009E387B">
        <w:rPr>
          <w:rFonts w:ascii="Arial" w:hAnsi="Arial" w:cs="Arial"/>
          <w:sz w:val="24"/>
          <w:szCs w:val="24"/>
        </w:rPr>
        <w:t xml:space="preserve">7.2 </w:t>
      </w:r>
      <w:r w:rsidRPr="009E387B">
        <w:rPr>
          <w:rFonts w:ascii="Arial" w:eastAsia="Times New Roman" w:hAnsi="Arial" w:cs="Arial"/>
          <w:bCs/>
          <w:sz w:val="24"/>
          <w:szCs w:val="24"/>
          <w:lang w:eastAsia="es-ES"/>
        </w:rPr>
        <w:t xml:space="preserve">Ahora bien, en la ley 1826 de 2017 “por medio de la cual se establece un procedimiento penal especial abreviado y se regula la figura del acusador privado”, </w:t>
      </w:r>
      <w:r w:rsidR="005C0EBD" w:rsidRPr="009E387B">
        <w:rPr>
          <w:rFonts w:ascii="Arial" w:eastAsia="Times New Roman" w:hAnsi="Arial" w:cs="Arial"/>
          <w:bCs/>
          <w:sz w:val="24"/>
          <w:szCs w:val="24"/>
          <w:lang w:eastAsia="es-ES"/>
        </w:rPr>
        <w:t>se enlisto el hurto calificado de que trata el artículo 241 del C.P., como conducta a la cual se le aplicarán las disposiciones de ese procedimiento, por lo tanto es necesario determinar si es dable el reconocimiento de</w:t>
      </w:r>
      <w:r w:rsidRPr="009E387B">
        <w:rPr>
          <w:rFonts w:ascii="Arial" w:eastAsia="Times New Roman" w:hAnsi="Arial" w:cs="Arial"/>
          <w:bCs/>
          <w:sz w:val="24"/>
          <w:szCs w:val="24"/>
          <w:lang w:eastAsia="es-ES"/>
        </w:rPr>
        <w:t xml:space="preserve"> la rebaja de “hasta la mitad” de la pena ante el allanamiento a cargos realizado por el incriminado durante la audiencia de formulación de imputación adelantada en el trámite ordinario que contempla la Ley 906 de 2004, en consideración al principio rector de la favorabilidad, por aplicación retroactiva de los incisos 1º y 2º del artículo 539 del CPP, adicionado por el artículo 16 de la ley 1826 de 2017.</w:t>
      </w:r>
    </w:p>
    <w:p w:rsidR="0070054F" w:rsidRPr="009E387B" w:rsidRDefault="0070054F" w:rsidP="009E387B">
      <w:pPr>
        <w:spacing w:after="0" w:line="288" w:lineRule="auto"/>
        <w:jc w:val="both"/>
        <w:rPr>
          <w:rFonts w:ascii="Arial" w:eastAsia="Times New Roman" w:hAnsi="Arial" w:cs="Arial"/>
          <w:sz w:val="24"/>
          <w:szCs w:val="24"/>
          <w:lang w:val="es-ES" w:eastAsia="es-ES"/>
        </w:rPr>
      </w:pPr>
    </w:p>
    <w:p w:rsidR="0070054F" w:rsidRPr="009E387B" w:rsidRDefault="005C0EBD" w:rsidP="009E387B">
      <w:pPr>
        <w:spacing w:after="0" w:line="288" w:lineRule="auto"/>
        <w:jc w:val="both"/>
        <w:rPr>
          <w:rFonts w:ascii="Arial" w:eastAsia="Times New Roman" w:hAnsi="Arial" w:cs="Arial"/>
          <w:sz w:val="24"/>
          <w:szCs w:val="24"/>
          <w:lang w:val="es-ES" w:eastAsia="es-ES"/>
        </w:rPr>
      </w:pPr>
      <w:r w:rsidRPr="009E387B">
        <w:rPr>
          <w:rFonts w:ascii="Arial" w:eastAsia="Times New Roman" w:hAnsi="Arial" w:cs="Arial"/>
          <w:sz w:val="24"/>
          <w:szCs w:val="24"/>
          <w:lang w:val="es-ES" w:eastAsia="es-ES"/>
        </w:rPr>
        <w:t>7</w:t>
      </w:r>
      <w:r w:rsidR="0070054F" w:rsidRPr="009E387B">
        <w:rPr>
          <w:rFonts w:ascii="Arial" w:eastAsia="Times New Roman" w:hAnsi="Arial" w:cs="Arial"/>
          <w:sz w:val="24"/>
          <w:szCs w:val="24"/>
          <w:lang w:val="es-ES" w:eastAsia="es-ES"/>
        </w:rPr>
        <w:t>.3 La Corte Constitucional mediante Sentencia C-592 de 2005 hizo referencia a los alcances del principio de favorabilidad frente a la figura jurídica de la retroactividad así:</w:t>
      </w:r>
    </w:p>
    <w:p w:rsidR="0070054F" w:rsidRPr="009E387B" w:rsidRDefault="0070054F" w:rsidP="009E387B">
      <w:pPr>
        <w:spacing w:after="0" w:line="288" w:lineRule="auto"/>
        <w:jc w:val="both"/>
        <w:rPr>
          <w:rFonts w:ascii="Arial" w:eastAsia="Times New Roman" w:hAnsi="Arial" w:cs="Arial"/>
          <w:sz w:val="24"/>
          <w:szCs w:val="24"/>
          <w:lang w:val="es-ES" w:eastAsia="es-ES"/>
        </w:rPr>
      </w:pPr>
    </w:p>
    <w:p w:rsidR="0070054F" w:rsidRPr="00A4437E" w:rsidRDefault="0070054F" w:rsidP="00A4437E">
      <w:pPr>
        <w:pStyle w:val="Sinespaciado"/>
        <w:ind w:left="426" w:right="418"/>
        <w:jc w:val="both"/>
        <w:rPr>
          <w:rFonts w:ascii="Arial" w:hAnsi="Arial" w:cs="Arial"/>
          <w:bCs/>
          <w:szCs w:val="24"/>
        </w:rPr>
      </w:pPr>
      <w:r w:rsidRPr="00A4437E">
        <w:rPr>
          <w:rFonts w:ascii="Arial" w:hAnsi="Arial" w:cs="Arial"/>
          <w:bCs/>
          <w:szCs w:val="24"/>
        </w:rPr>
        <w:t xml:space="preserve">“…El principio de favorabilidad constituye un elemento fundamental del debido proceso que no puede desconocerse. El carácter imperativo del inciso segundo del artículo 29 de la Carta no deja duda al respecto. Así, en el caso de sucesión de </w:t>
      </w:r>
      <w:r w:rsidRPr="00A4437E">
        <w:rPr>
          <w:rFonts w:ascii="Arial" w:hAnsi="Arial" w:cs="Arial"/>
          <w:bCs/>
          <w:szCs w:val="24"/>
        </w:rPr>
        <w:lastRenderedPageBreak/>
        <w:t xml:space="preserve">leyes en el tiempo, si la nueva ley es desfavorable en relación con la derogada, ésta será la que se siga aplicando a todos los hechos delictivos que se cometieron durante su vigencia, que es lo que la doctrina denomina </w:t>
      </w:r>
      <w:proofErr w:type="spellStart"/>
      <w:r w:rsidRPr="00A4437E">
        <w:rPr>
          <w:rFonts w:ascii="Arial" w:hAnsi="Arial" w:cs="Arial"/>
          <w:bCs/>
          <w:szCs w:val="24"/>
        </w:rPr>
        <w:t>ultractividad</w:t>
      </w:r>
      <w:proofErr w:type="spellEnd"/>
      <w:r w:rsidRPr="00A4437E">
        <w:rPr>
          <w:rFonts w:ascii="Arial" w:hAnsi="Arial" w:cs="Arial"/>
          <w:bCs/>
          <w:szCs w:val="24"/>
        </w:rPr>
        <w:t xml:space="preserve"> de la ley. La retroactividad, por el contrario, significa que cuando la nueva ley </w:t>
      </w:r>
      <w:r w:rsidRPr="00A4437E">
        <w:rPr>
          <w:rFonts w:ascii="Arial" w:hAnsi="Arial" w:cs="Arial"/>
          <w:bCs/>
          <w:szCs w:val="24"/>
          <w:u w:val="single"/>
        </w:rPr>
        <w:t>contiene previsiones más favorables que las contempladas en la ley que deroga, la nueva ley se aplicará a los hechos delictivos ocurridos con anterioridad a su vigencia. Sobre este punto debe la Corte señalar que tratándose de la aplicación del principio de favorabilidad en materia penal, no cabe hacer distinción entre normas sustantivas y normas procesales,</w:t>
      </w:r>
      <w:r w:rsidR="007951D4">
        <w:rPr>
          <w:rFonts w:ascii="Arial" w:hAnsi="Arial" w:cs="Arial"/>
          <w:bCs/>
          <w:szCs w:val="24"/>
          <w:u w:val="single"/>
        </w:rPr>
        <w:t xml:space="preserve"> </w:t>
      </w:r>
      <w:r w:rsidRPr="00A4437E">
        <w:rPr>
          <w:rFonts w:ascii="Arial" w:hAnsi="Arial" w:cs="Arial"/>
          <w:bCs/>
          <w:szCs w:val="24"/>
          <w:u w:val="single"/>
        </w:rPr>
        <w:t>pues el texto constitucional no establece diferencia alguna que permita un trato diferente para las normas procesales</w:t>
      </w:r>
      <w:r w:rsidRPr="00A4437E">
        <w:rPr>
          <w:rFonts w:ascii="Arial" w:hAnsi="Arial" w:cs="Arial"/>
          <w:bCs/>
          <w:szCs w:val="24"/>
        </w:rPr>
        <w:t>…”</w:t>
      </w:r>
    </w:p>
    <w:p w:rsidR="0070054F" w:rsidRPr="009E387B" w:rsidRDefault="0070054F" w:rsidP="009E387B">
      <w:pPr>
        <w:spacing w:after="0" w:line="288" w:lineRule="auto"/>
        <w:jc w:val="both"/>
        <w:rPr>
          <w:rFonts w:ascii="Arial" w:eastAsia="Times New Roman" w:hAnsi="Arial" w:cs="Arial"/>
          <w:bCs/>
          <w:sz w:val="24"/>
          <w:szCs w:val="24"/>
          <w:lang w:val="es-ES" w:eastAsia="es-ES"/>
        </w:rPr>
      </w:pPr>
    </w:p>
    <w:p w:rsidR="0070054F" w:rsidRDefault="0070054F" w:rsidP="009E387B">
      <w:pPr>
        <w:spacing w:after="0" w:line="288" w:lineRule="auto"/>
        <w:jc w:val="both"/>
        <w:rPr>
          <w:rFonts w:ascii="Arial" w:eastAsia="Times New Roman" w:hAnsi="Arial" w:cs="Arial"/>
          <w:bCs/>
          <w:sz w:val="24"/>
          <w:szCs w:val="24"/>
          <w:lang w:val="es-ES" w:eastAsia="es-ES"/>
        </w:rPr>
      </w:pPr>
      <w:r w:rsidRPr="009E387B">
        <w:rPr>
          <w:rFonts w:ascii="Arial" w:eastAsia="Times New Roman" w:hAnsi="Arial" w:cs="Arial"/>
          <w:bCs/>
          <w:sz w:val="24"/>
          <w:szCs w:val="24"/>
          <w:lang w:val="es-ES" w:eastAsia="es-ES"/>
        </w:rPr>
        <w:t>Esa misma Corporación a través de sentencia T-091 de 2005 indicó lo siguiente:</w:t>
      </w:r>
    </w:p>
    <w:p w:rsidR="00E7386F" w:rsidRPr="009E387B" w:rsidRDefault="00E7386F" w:rsidP="009E387B">
      <w:pPr>
        <w:spacing w:after="0" w:line="288" w:lineRule="auto"/>
        <w:jc w:val="both"/>
        <w:rPr>
          <w:rFonts w:ascii="Arial" w:eastAsia="Times New Roman" w:hAnsi="Arial" w:cs="Arial"/>
          <w:bCs/>
          <w:sz w:val="24"/>
          <w:szCs w:val="24"/>
          <w:lang w:val="es-ES" w:eastAsia="es-ES"/>
        </w:rPr>
      </w:pPr>
    </w:p>
    <w:p w:rsidR="0070054F" w:rsidRPr="00A4437E" w:rsidRDefault="0070054F" w:rsidP="00E7386F">
      <w:pPr>
        <w:pStyle w:val="Sinespaciado"/>
        <w:ind w:left="426" w:right="418"/>
        <w:jc w:val="both"/>
        <w:rPr>
          <w:rFonts w:ascii="Arial" w:hAnsi="Arial" w:cs="Arial"/>
          <w:bCs/>
          <w:szCs w:val="24"/>
        </w:rPr>
      </w:pPr>
      <w:r w:rsidRPr="00A4437E">
        <w:rPr>
          <w:rFonts w:ascii="Arial" w:hAnsi="Arial" w:cs="Arial"/>
          <w:bCs/>
          <w:szCs w:val="24"/>
        </w:rPr>
        <w:t>“En efecto, un ejercicio hermenéutico orientado a establecer cuál es el régimen legal o la norma que más favorece los intereses del procesado o sentenciado, comporta un análisis particular del caso concreto, lo cual no implica libertad absoluta del operador judicial, quien está sujeto a los imperativos normativos pertinentes, y a los precedentes jurisprudenciales que rigen el asunto sometido a su conocimiento.</w:t>
      </w:r>
    </w:p>
    <w:p w:rsidR="0070054F" w:rsidRPr="00A4437E" w:rsidRDefault="0070054F" w:rsidP="00A4437E">
      <w:pPr>
        <w:pStyle w:val="Sinespaciado"/>
        <w:ind w:left="426" w:right="418"/>
        <w:jc w:val="both"/>
        <w:rPr>
          <w:rFonts w:ascii="Arial" w:hAnsi="Arial" w:cs="Arial"/>
          <w:bCs/>
          <w:szCs w:val="24"/>
        </w:rPr>
      </w:pPr>
    </w:p>
    <w:p w:rsidR="0070054F" w:rsidRPr="00A4437E" w:rsidRDefault="0070054F" w:rsidP="00A4437E">
      <w:pPr>
        <w:pStyle w:val="Sinespaciado"/>
        <w:ind w:left="426" w:right="418"/>
        <w:jc w:val="both"/>
        <w:rPr>
          <w:rFonts w:ascii="Arial" w:hAnsi="Arial" w:cs="Arial"/>
          <w:bCs/>
          <w:szCs w:val="24"/>
        </w:rPr>
      </w:pPr>
      <w:r w:rsidRPr="00A4437E">
        <w:rPr>
          <w:rFonts w:ascii="Arial" w:hAnsi="Arial" w:cs="Arial"/>
          <w:bCs/>
          <w:szCs w:val="24"/>
        </w:rPr>
        <w:t>11. En conclusión, la</w:t>
      </w:r>
      <w:r w:rsidR="007951D4">
        <w:rPr>
          <w:rFonts w:ascii="Arial" w:hAnsi="Arial" w:cs="Arial"/>
          <w:bCs/>
          <w:szCs w:val="24"/>
        </w:rPr>
        <w:t xml:space="preserve"> </w:t>
      </w:r>
      <w:r w:rsidRPr="00A4437E">
        <w:rPr>
          <w:rFonts w:ascii="Arial" w:hAnsi="Arial" w:cs="Arial"/>
          <w:bCs/>
          <w:szCs w:val="24"/>
        </w:rPr>
        <w:t>jurisprudencia constitucional de esta Corporación ha sentado varias directrices que interesan al análisis del caso que aquí se plantea, en materia de favorabilidad penal,</w:t>
      </w:r>
      <w:r w:rsidR="007951D4">
        <w:rPr>
          <w:rFonts w:ascii="Arial" w:hAnsi="Arial" w:cs="Arial"/>
          <w:bCs/>
          <w:szCs w:val="24"/>
        </w:rPr>
        <w:t xml:space="preserve"> </w:t>
      </w:r>
      <w:r w:rsidRPr="00A4437E">
        <w:rPr>
          <w:rFonts w:ascii="Arial" w:hAnsi="Arial" w:cs="Arial"/>
          <w:bCs/>
          <w:szCs w:val="24"/>
        </w:rPr>
        <w:t>referida a la Ley 906 de 2004, así: (1) El principio de favorabilidad como parte integrante del cuerpo dogmático de la Constitución, conserva pleno vigor y aplicabilidad respecto de la Ley 906 de 2004, no obstante las normas de vigencia que ella consagra, orientadas a reafirmar el principio general de irretroactividad de la ley penal, el cual no es excluyente sino complementario de la favorabilidad; (ii) el principio de favorabilidad conserva su vigor en todo el territorio nacional, no obstante el método progresivo elegido para la implantación gradual del nuevo sistema; (iii) el principio de favorabilidad rige también situaciones de coexistencia de regímenes legales distintos, siempre que concurran los presupuestos materiales del principio de favorabilidad, lo que implica que no pueda ser aplicado frente a instituciones estructurales y características del nuevo sistema y como tales sin referente en el anterior; (iv) la aplicación del principio de favorabilidad reclama un estudio particularizado de cada caso a fin de determinar el impacto de las normas en conflicto sobre la situación del procesado.”</w:t>
      </w:r>
    </w:p>
    <w:p w:rsidR="00E7386F" w:rsidRDefault="00E7386F" w:rsidP="009E387B">
      <w:pPr>
        <w:spacing w:after="0" w:line="288" w:lineRule="auto"/>
        <w:jc w:val="both"/>
        <w:rPr>
          <w:rFonts w:ascii="Arial" w:eastAsia="Times New Roman" w:hAnsi="Arial" w:cs="Arial"/>
          <w:bCs/>
          <w:sz w:val="24"/>
          <w:szCs w:val="24"/>
          <w:lang w:val="es-ES" w:eastAsia="es-ES"/>
        </w:rPr>
      </w:pPr>
    </w:p>
    <w:p w:rsidR="0070054F" w:rsidRDefault="00601C35" w:rsidP="009E387B">
      <w:pPr>
        <w:spacing w:after="0" w:line="288" w:lineRule="auto"/>
        <w:jc w:val="both"/>
        <w:rPr>
          <w:rFonts w:ascii="Arial" w:eastAsia="Times New Roman" w:hAnsi="Arial" w:cs="Arial"/>
          <w:bCs/>
          <w:sz w:val="24"/>
          <w:szCs w:val="24"/>
          <w:lang w:val="es-ES" w:eastAsia="es-ES"/>
        </w:rPr>
      </w:pPr>
      <w:r w:rsidRPr="009E387B">
        <w:rPr>
          <w:rFonts w:ascii="Arial" w:eastAsia="Times New Roman" w:hAnsi="Arial" w:cs="Arial"/>
          <w:bCs/>
          <w:sz w:val="24"/>
          <w:szCs w:val="24"/>
          <w:lang w:val="es-ES" w:eastAsia="es-ES"/>
        </w:rPr>
        <w:t>7.4</w:t>
      </w:r>
      <w:r w:rsidR="0070054F" w:rsidRPr="009E387B">
        <w:rPr>
          <w:rFonts w:ascii="Arial" w:eastAsia="Times New Roman" w:hAnsi="Arial" w:cs="Arial"/>
          <w:bCs/>
          <w:sz w:val="24"/>
          <w:szCs w:val="24"/>
          <w:lang w:val="es-ES" w:eastAsia="es-ES"/>
        </w:rPr>
        <w:t xml:space="preserve"> En lo que tiene que ver con </w:t>
      </w:r>
      <w:r w:rsidRPr="009E387B">
        <w:rPr>
          <w:rFonts w:ascii="Arial" w:eastAsia="Times New Roman" w:hAnsi="Arial" w:cs="Arial"/>
          <w:bCs/>
          <w:sz w:val="24"/>
          <w:szCs w:val="24"/>
          <w:lang w:val="es-ES" w:eastAsia="es-ES"/>
        </w:rPr>
        <w:t>la aplicación</w:t>
      </w:r>
      <w:r w:rsidR="0070054F" w:rsidRPr="009E387B">
        <w:rPr>
          <w:rFonts w:ascii="Arial" w:eastAsia="Times New Roman" w:hAnsi="Arial" w:cs="Arial"/>
          <w:bCs/>
          <w:sz w:val="24"/>
          <w:szCs w:val="24"/>
          <w:lang w:val="es-ES" w:eastAsia="es-ES"/>
        </w:rPr>
        <w:t xml:space="preserve"> </w:t>
      </w:r>
      <w:r w:rsidR="0070054F" w:rsidRPr="009E387B">
        <w:rPr>
          <w:rFonts w:ascii="Arial" w:eastAsia="Times New Roman" w:hAnsi="Arial" w:cs="Arial"/>
          <w:sz w:val="24"/>
          <w:szCs w:val="24"/>
          <w:lang w:val="es-ES" w:eastAsia="es-ES"/>
        </w:rPr>
        <w:t xml:space="preserve">por favorabilidad </w:t>
      </w:r>
      <w:r w:rsidRPr="009E387B">
        <w:rPr>
          <w:rFonts w:ascii="Arial" w:eastAsia="Times New Roman" w:hAnsi="Arial" w:cs="Arial"/>
          <w:sz w:val="24"/>
          <w:szCs w:val="24"/>
          <w:lang w:val="es-ES" w:eastAsia="es-ES"/>
        </w:rPr>
        <w:t>d</w:t>
      </w:r>
      <w:r w:rsidR="0070054F" w:rsidRPr="009E387B">
        <w:rPr>
          <w:rFonts w:ascii="Arial" w:eastAsia="Times New Roman" w:hAnsi="Arial" w:cs="Arial"/>
          <w:sz w:val="24"/>
          <w:szCs w:val="24"/>
          <w:lang w:val="es-ES" w:eastAsia="es-ES"/>
        </w:rPr>
        <w:t xml:space="preserve">el descuento punitivo de “hasta la mitad” en casos de captura de flagrancia previsto en el artículo 539 del CPP, frente al delito por el cual fue sentenciado el señor </w:t>
      </w:r>
      <w:proofErr w:type="spellStart"/>
      <w:r w:rsidR="007951D4">
        <w:rPr>
          <w:rFonts w:ascii="Arial" w:eastAsia="Times New Roman" w:hAnsi="Arial" w:cs="Arial"/>
          <w:sz w:val="24"/>
          <w:szCs w:val="24"/>
          <w:lang w:val="es-ES" w:eastAsia="es-ES"/>
        </w:rPr>
        <w:t>JAMV</w:t>
      </w:r>
      <w:proofErr w:type="spellEnd"/>
      <w:r w:rsidR="0070054F" w:rsidRPr="009E387B">
        <w:rPr>
          <w:rFonts w:ascii="Arial" w:eastAsia="Times New Roman" w:hAnsi="Arial" w:cs="Arial"/>
          <w:sz w:val="24"/>
          <w:szCs w:val="24"/>
          <w:lang w:val="es-ES" w:eastAsia="es-ES"/>
        </w:rPr>
        <w:t xml:space="preserve">, se hace menester referir que ya existe un pronunciamiento de esta Colegiatura sobre el tema, donde se manifestó que </w:t>
      </w:r>
      <w:r w:rsidR="0070054F" w:rsidRPr="009E387B">
        <w:rPr>
          <w:rFonts w:ascii="Arial" w:eastAsia="Times New Roman" w:hAnsi="Arial" w:cs="Arial"/>
          <w:bCs/>
          <w:sz w:val="24"/>
          <w:szCs w:val="24"/>
          <w:lang w:val="es-ES" w:eastAsia="es-ES"/>
        </w:rPr>
        <w:t xml:space="preserve">era posible aplicar retroactivamente las disposiciones de la Ley 1826 de 2017, a casos anteriores donde se hubiera producido el allanamiento a cargos dentro del proceso ordinario previsto en la Ley 906 de 2004, siempre que se tratara de un delito de aquellos que se encuentran enunciados en el artículo 534 del </w:t>
      </w:r>
      <w:proofErr w:type="spellStart"/>
      <w:r w:rsidR="0070054F" w:rsidRPr="009E387B">
        <w:rPr>
          <w:rFonts w:ascii="Arial" w:eastAsia="Times New Roman" w:hAnsi="Arial" w:cs="Arial"/>
          <w:bCs/>
          <w:sz w:val="24"/>
          <w:szCs w:val="24"/>
          <w:lang w:val="es-ES" w:eastAsia="es-ES"/>
        </w:rPr>
        <w:t>CPP</w:t>
      </w:r>
      <w:proofErr w:type="spellEnd"/>
      <w:r w:rsidR="0070054F" w:rsidRPr="009E387B">
        <w:rPr>
          <w:rFonts w:ascii="Arial" w:eastAsia="Times New Roman" w:hAnsi="Arial" w:cs="Arial"/>
          <w:bCs/>
          <w:sz w:val="24"/>
          <w:szCs w:val="24"/>
          <w:lang w:val="es-ES" w:eastAsia="es-ES"/>
        </w:rPr>
        <w:t>.</w:t>
      </w:r>
    </w:p>
    <w:p w:rsidR="00E7386F" w:rsidRPr="009E387B" w:rsidRDefault="00E7386F" w:rsidP="009E387B">
      <w:pPr>
        <w:spacing w:after="0" w:line="288" w:lineRule="auto"/>
        <w:jc w:val="both"/>
        <w:rPr>
          <w:rFonts w:ascii="Arial" w:eastAsia="Times New Roman" w:hAnsi="Arial" w:cs="Arial"/>
          <w:bCs/>
          <w:sz w:val="24"/>
          <w:szCs w:val="24"/>
          <w:lang w:val="es-ES" w:eastAsia="es-ES"/>
        </w:rPr>
      </w:pPr>
    </w:p>
    <w:p w:rsidR="00601C35" w:rsidRPr="009E387B" w:rsidRDefault="00F923AE" w:rsidP="009E387B">
      <w:pPr>
        <w:pStyle w:val="Sinespaciado"/>
        <w:spacing w:line="288" w:lineRule="auto"/>
        <w:ind w:right="51"/>
        <w:jc w:val="both"/>
        <w:rPr>
          <w:rFonts w:ascii="Arial" w:eastAsia="Times New Roman" w:hAnsi="Arial" w:cs="Arial"/>
          <w:sz w:val="24"/>
          <w:szCs w:val="24"/>
        </w:rPr>
      </w:pPr>
      <w:r w:rsidRPr="009E387B">
        <w:rPr>
          <w:rFonts w:ascii="Arial" w:hAnsi="Arial" w:cs="Arial"/>
          <w:sz w:val="24"/>
          <w:szCs w:val="24"/>
        </w:rPr>
        <w:t xml:space="preserve">7.4.1 </w:t>
      </w:r>
      <w:r w:rsidRPr="009E387B">
        <w:rPr>
          <w:rFonts w:ascii="Arial" w:eastAsia="Times New Roman" w:hAnsi="Arial" w:cs="Arial"/>
          <w:bCs/>
          <w:sz w:val="24"/>
          <w:szCs w:val="24"/>
          <w:lang w:eastAsia="es-ES"/>
        </w:rPr>
        <w:t>Al respecto, en apartes de una decisión del 8 de junio de 2018</w:t>
      </w:r>
      <w:r w:rsidRPr="009E387B">
        <w:rPr>
          <w:rFonts w:ascii="Arial" w:eastAsia="Times New Roman" w:hAnsi="Arial" w:cs="Arial"/>
          <w:sz w:val="24"/>
          <w:szCs w:val="24"/>
        </w:rPr>
        <w:t xml:space="preserve">, adoptada dentro del proceso tramitado en contra de </w:t>
      </w:r>
      <w:proofErr w:type="spellStart"/>
      <w:r w:rsidRPr="009E387B">
        <w:rPr>
          <w:rFonts w:ascii="Arial" w:eastAsia="Times New Roman" w:hAnsi="Arial" w:cs="Arial"/>
          <w:sz w:val="24"/>
          <w:szCs w:val="24"/>
        </w:rPr>
        <w:t>Marilin</w:t>
      </w:r>
      <w:proofErr w:type="spellEnd"/>
      <w:r w:rsidRPr="009E387B">
        <w:rPr>
          <w:rFonts w:ascii="Arial" w:eastAsia="Times New Roman" w:hAnsi="Arial" w:cs="Arial"/>
          <w:sz w:val="24"/>
          <w:szCs w:val="24"/>
        </w:rPr>
        <w:t xml:space="preserve"> </w:t>
      </w:r>
      <w:proofErr w:type="spellStart"/>
      <w:r w:rsidRPr="009E387B">
        <w:rPr>
          <w:rFonts w:ascii="Arial" w:eastAsia="Times New Roman" w:hAnsi="Arial" w:cs="Arial"/>
          <w:sz w:val="24"/>
          <w:szCs w:val="24"/>
        </w:rPr>
        <w:t>Taborda</w:t>
      </w:r>
      <w:proofErr w:type="spellEnd"/>
      <w:r w:rsidRPr="009E387B">
        <w:rPr>
          <w:rFonts w:ascii="Arial" w:eastAsia="Times New Roman" w:hAnsi="Arial" w:cs="Arial"/>
          <w:sz w:val="24"/>
          <w:szCs w:val="24"/>
        </w:rPr>
        <w:t xml:space="preserve"> Guevara y </w:t>
      </w:r>
      <w:proofErr w:type="spellStart"/>
      <w:r w:rsidRPr="009E387B">
        <w:rPr>
          <w:rFonts w:ascii="Arial" w:eastAsia="Times New Roman" w:hAnsi="Arial" w:cs="Arial"/>
          <w:sz w:val="24"/>
          <w:szCs w:val="24"/>
        </w:rPr>
        <w:t>Herney</w:t>
      </w:r>
      <w:proofErr w:type="spellEnd"/>
      <w:r w:rsidRPr="009E387B">
        <w:rPr>
          <w:rFonts w:ascii="Arial" w:eastAsia="Times New Roman" w:hAnsi="Arial" w:cs="Arial"/>
          <w:sz w:val="24"/>
          <w:szCs w:val="24"/>
        </w:rPr>
        <w:t xml:space="preserve"> Bedoya Quintero, por el delito de hurto calificado y agravado, y con ponencia del Magistrado Manuel </w:t>
      </w:r>
      <w:proofErr w:type="spellStart"/>
      <w:r w:rsidRPr="009E387B">
        <w:rPr>
          <w:rFonts w:ascii="Arial" w:eastAsia="Times New Roman" w:hAnsi="Arial" w:cs="Arial"/>
          <w:sz w:val="24"/>
          <w:szCs w:val="24"/>
        </w:rPr>
        <w:t>Yarzagaray</w:t>
      </w:r>
      <w:proofErr w:type="spellEnd"/>
      <w:r w:rsidRPr="009E387B">
        <w:rPr>
          <w:rFonts w:ascii="Arial" w:eastAsia="Times New Roman" w:hAnsi="Arial" w:cs="Arial"/>
          <w:sz w:val="24"/>
          <w:szCs w:val="24"/>
        </w:rPr>
        <w:t xml:space="preserve"> Bandera, se dijo que la aplicación retroactiva del inciso 2º del artículo 539 del CPP, era procedente frente a los delitos enunciados en el artículo 534 del C.P.P., y en tal virtud se dispuso:</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lastRenderedPageBreak/>
        <w:t>“Teniendo en cuenta que el eje central de la tesis de la discrepancia propuesta por el apelante gira en torno a reclamar en favor de los Procesados de la aplicación de la ley 1.826 de 2017 como consecuencia del principio de la favorabilidad, a fin de ofrecerle una solución al problema jurídico propuesto por el apela</w:t>
      </w:r>
      <w:r w:rsidR="00E7386F">
        <w:rPr>
          <w:rFonts w:ascii="Arial" w:hAnsi="Arial" w:cs="Arial"/>
          <w:bCs/>
          <w:szCs w:val="24"/>
        </w:rPr>
        <w:t>nte,</w:t>
      </w:r>
      <w:r w:rsidRPr="00E7386F">
        <w:rPr>
          <w:rFonts w:ascii="Arial" w:hAnsi="Arial" w:cs="Arial"/>
          <w:bCs/>
          <w:szCs w:val="24"/>
        </w:rPr>
        <w:t xml:space="preserve"> la Sala tendrá como hecho cierto e indudable el consistente en que como consecuencia de la promulgación y sanción de la ley # 1826 de 2017, entró en vigencia una nueva normativa procesal penal que cobijaría a ciertos delitos</w:t>
      </w:r>
      <w:r w:rsidRPr="00E7386F">
        <w:rPr>
          <w:rFonts w:ascii="Arial" w:hAnsi="Arial" w:cs="Arial"/>
          <w:bCs/>
          <w:szCs w:val="24"/>
          <w:vertAlign w:val="superscript"/>
        </w:rPr>
        <w:footnoteReference w:id="6"/>
      </w:r>
      <w:r w:rsidRPr="00E7386F">
        <w:rPr>
          <w:rFonts w:ascii="Arial" w:hAnsi="Arial" w:cs="Arial"/>
          <w:bCs/>
          <w:szCs w:val="24"/>
        </w:rPr>
        <w:t>, entre los que se encuentra el reato por el que los Procesados se allanaron a los cargos,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E7386F">
        <w:rPr>
          <w:rFonts w:ascii="Arial" w:hAnsi="Arial" w:cs="Arial"/>
          <w:bCs/>
          <w:szCs w:val="24"/>
          <w:vertAlign w:val="superscript"/>
        </w:rPr>
        <w:footnoteReference w:id="7"/>
      </w:r>
      <w:r w:rsidRPr="00E7386F">
        <w:rPr>
          <w:rFonts w:ascii="Arial" w:hAnsi="Arial" w:cs="Arial"/>
          <w:bCs/>
          <w:szCs w:val="24"/>
        </w:rPr>
        <w:t>.</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C.P.P. corresponden a una cuarta parte de los descuentos por allanamientos a cargo, no sería necesario llevar a cabo un gran esfuerzo intelectivo para colegir que las disposiciones de 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E7386F">
        <w:rPr>
          <w:rFonts w:ascii="Arial" w:hAnsi="Arial" w:cs="Arial"/>
          <w:bCs/>
          <w:szCs w:val="24"/>
          <w:vertAlign w:val="superscript"/>
        </w:rPr>
        <w:footnoteReference w:id="8"/>
      </w:r>
      <w:r w:rsidRPr="00E7386F">
        <w:rPr>
          <w:rFonts w:ascii="Arial" w:hAnsi="Arial" w:cs="Arial"/>
          <w:bCs/>
          <w:szCs w:val="24"/>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 xml:space="preserve">Siendo así las cosas, la Colegiatura concluye que le asiste la razón al apelante, porque en efecto, la ley # 1826 de 2.017, por ser una normativa posterior y más benéfica para los intereses de los procesados, acorde con lo establecido en el artículo 29 de la Carta, en consonancia con lo reglado por el inciso 3º del artículo 6º C.P. el inciso 2º del artículo 6º C.P.P. y el artículo 44 de la ley 153 de 1.887, sería la llamada a regir el </w:t>
      </w:r>
      <w:proofErr w:type="spellStart"/>
      <w:r w:rsidRPr="00E7386F">
        <w:rPr>
          <w:rFonts w:ascii="Arial" w:hAnsi="Arial" w:cs="Arial"/>
          <w:bCs/>
          <w:szCs w:val="24"/>
        </w:rPr>
        <w:t>subexamine</w:t>
      </w:r>
      <w:proofErr w:type="spellEnd"/>
      <w:r w:rsidRPr="00E7386F">
        <w:rPr>
          <w:rFonts w:ascii="Arial" w:hAnsi="Arial" w:cs="Arial"/>
          <w:bCs/>
          <w:szCs w:val="24"/>
        </w:rPr>
        <w:t xml:space="preserve">, ya que el delito por el que los Procesados se allanaron a los cargos se encuentra dentro del listado de reatos susceptibles del procedimiento abreviado especial, y como consecuencia de la aplicación del principio de la favorabilidad tendría efectos retroactivos, y en tal virtud válidamente puede regular y modificar situaciones jurídicas que existían antes de su entrada en vigencia. </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lastRenderedPageBreak/>
        <w:t>Estando claro que en virtud del principio de favorabilidad los Procesados son destinatarios del monto de los descuentos punitivos consagrados por la ley # 1826 de 2.017 para quienes se allanen a los cargos en los eventos de captura en flagrancia, el tópico que ahora nos tocaría por esclarecer es si para la procedencia de dicha modalidad de terminación anticipada de los procesos, los acriminados deben cumplir con las exigencias del artículo 349 C.P.P. el cual requiere, como condicionamiento para la procedencia de los descuentos punitivos, que el Procesado reintegre al menos el 50% del incremento patrimonial percibido</w:t>
      </w:r>
      <w:r w:rsidRPr="00E7386F">
        <w:rPr>
          <w:rFonts w:ascii="Arial" w:hAnsi="Arial" w:cs="Arial"/>
          <w:bCs/>
          <w:szCs w:val="24"/>
          <w:vertAlign w:val="superscript"/>
        </w:rPr>
        <w:footnoteReference w:id="9"/>
      </w:r>
      <w:r w:rsidRPr="00E7386F">
        <w:rPr>
          <w:rFonts w:ascii="Arial" w:hAnsi="Arial" w:cs="Arial"/>
          <w:bCs/>
          <w:szCs w:val="24"/>
        </w:rPr>
        <w:t>.</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 xml:space="preserve">Frente a lo anterior, la Sala dirá que en el presente asunto no tendría </w:t>
      </w:r>
      <w:proofErr w:type="spellStart"/>
      <w:r w:rsidRPr="00E7386F">
        <w:rPr>
          <w:rFonts w:ascii="Arial" w:hAnsi="Arial" w:cs="Arial"/>
          <w:bCs/>
          <w:szCs w:val="24"/>
        </w:rPr>
        <w:t>operancia</w:t>
      </w:r>
      <w:proofErr w:type="spellEnd"/>
      <w:r w:rsidRPr="00E7386F">
        <w:rPr>
          <w:rFonts w:ascii="Arial" w:hAnsi="Arial" w:cs="Arial"/>
          <w:bCs/>
          <w:szCs w:val="24"/>
        </w:rPr>
        <w:t xml:space="preserve"> las disposiciones consagradas en el aludido artículo 349 C.P.P. porque acorde con la naturaleza del delito por el cual los encausados se allanaron a los cargos: tentativa hurto calificado agravado, es obvio que se está en presencia de un delito frustrado que implicó que los Procesados en momento alguno obtuvieran ningún tipo de incremento patrimonial como consecuencia de su comisión. </w:t>
      </w:r>
    </w:p>
    <w:p w:rsidR="00F923AE" w:rsidRPr="00E7386F" w:rsidRDefault="00F923AE" w:rsidP="00E7386F">
      <w:pPr>
        <w:pStyle w:val="Sinespaciado"/>
        <w:ind w:left="426" w:right="418"/>
        <w:jc w:val="both"/>
        <w:rPr>
          <w:rFonts w:ascii="Arial" w:hAnsi="Arial" w:cs="Arial"/>
          <w:bCs/>
          <w:szCs w:val="24"/>
        </w:rPr>
      </w:pP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 xml:space="preserve">Luego, al asistirle la razón a la tesis de la discrepancia propuesta por el apelante, la consecuencia es que se deba modificar el fallo opugnado en todo aquello que atañe con las penas impuestas a los Procesados, en especial en lo que corresponde con el monto de los descuentos punitivos del 12,5% que se le reconoció en favor de los acriminados por allanarse a los cargos en la audiencia de formulación de la imputación, los cuales, como consecuencia del principio de favorabilidad que conllevó la aplicación de las disposiciones de la ley # 1826 de 2.017, oscilarían entre una tercera parte y hasta la mitad de la pena a imponer, como de vieja data lo ha reconocido la Corte en los siguientes términos: </w:t>
      </w: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t xml:space="preserve"> </w:t>
      </w:r>
    </w:p>
    <w:p w:rsidR="00E7386F" w:rsidRDefault="00F923AE" w:rsidP="00E7386F">
      <w:pPr>
        <w:pStyle w:val="Sinespaciado"/>
        <w:ind w:left="426" w:right="418"/>
        <w:jc w:val="both"/>
        <w:rPr>
          <w:rFonts w:ascii="Arial" w:hAnsi="Arial" w:cs="Arial"/>
          <w:bCs/>
          <w:szCs w:val="24"/>
        </w:rPr>
      </w:pPr>
      <w:r w:rsidRPr="00E7386F">
        <w:rPr>
          <w:rFonts w:ascii="Arial" w:hAnsi="Arial" w:cs="Arial"/>
          <w:bCs/>
          <w:szCs w:val="24"/>
        </w:rPr>
        <w:t>“Ahora, aunque en la Ley 906 de 2004 no se establece el límite mínimo de la rebaja para cuando el allanamiento tiene lugar durante la audiencia de imputación o la preparatoria, una interpretación razonable del instituto permite afirmar que dichos extremos menores están determinados por el rango de mayor disminución punitiva prevista para la siguiente oportunidad procesal en que procede el</w:t>
      </w:r>
      <w:r w:rsidR="007951D4">
        <w:rPr>
          <w:rFonts w:ascii="Arial" w:hAnsi="Arial" w:cs="Arial"/>
          <w:bCs/>
          <w:szCs w:val="24"/>
        </w:rPr>
        <w:t xml:space="preserve"> </w:t>
      </w:r>
      <w:r w:rsidRPr="00E7386F">
        <w:rPr>
          <w:rFonts w:ascii="Arial" w:hAnsi="Arial" w:cs="Arial"/>
          <w:bCs/>
          <w:szCs w:val="24"/>
        </w:rPr>
        <w:t>allanamiento</w:t>
      </w:r>
      <w:r w:rsidR="007951D4">
        <w:rPr>
          <w:rFonts w:ascii="Arial" w:hAnsi="Arial" w:cs="Arial"/>
          <w:bCs/>
          <w:szCs w:val="24"/>
        </w:rPr>
        <w:t xml:space="preserve"> </w:t>
      </w:r>
      <w:r w:rsidRPr="00E7386F">
        <w:rPr>
          <w:rFonts w:ascii="Arial" w:hAnsi="Arial" w:cs="Arial"/>
          <w:bCs/>
          <w:szCs w:val="24"/>
        </w:rPr>
        <w:t>a la imputación. Es decir, de la tercera parte hasta la mitad de la pena cuando el allanamiento tiene lugar en la audiencia de formulación de imputación; de la sexta hasta la tercera parte de la pena cuando ocurre durante la audiencia preparatoria y de la sexta parte de la pena, cuando la aceptación se presenta al inicio del juicio oral.</w:t>
      </w:r>
    </w:p>
    <w:p w:rsidR="00F923AE" w:rsidRPr="00E7386F" w:rsidRDefault="00F923AE" w:rsidP="00E7386F">
      <w:pPr>
        <w:pStyle w:val="Sinespaciado"/>
        <w:ind w:left="426" w:right="418"/>
        <w:jc w:val="both"/>
        <w:rPr>
          <w:rFonts w:ascii="Arial" w:hAnsi="Arial" w:cs="Arial"/>
          <w:bCs/>
          <w:szCs w:val="24"/>
        </w:rPr>
      </w:pPr>
      <w:r w:rsidRPr="00E7386F">
        <w:rPr>
          <w:rFonts w:ascii="Arial" w:hAnsi="Arial" w:cs="Arial"/>
          <w:bCs/>
          <w:szCs w:val="24"/>
        </w:rPr>
        <w:br/>
        <w:t>De conformidad con lo expuesto, si en los artículos 351 y 356 de la Ley 906 de 2004 no se establece una rebaja fija de la sanción para cuando el</w:t>
      </w:r>
      <w:bookmarkStart w:id="0" w:name="CiTag14"/>
      <w:r w:rsidRPr="00E7386F">
        <w:rPr>
          <w:rFonts w:ascii="Arial" w:hAnsi="Arial" w:cs="Arial"/>
          <w:bCs/>
          <w:szCs w:val="24"/>
        </w:rPr>
        <w:t> </w:t>
      </w:r>
      <w:bookmarkEnd w:id="0"/>
      <w:r w:rsidRPr="00E7386F">
        <w:rPr>
          <w:rFonts w:ascii="Arial" w:hAnsi="Arial" w:cs="Arial"/>
          <w:bCs/>
          <w:szCs w:val="24"/>
        </w:rPr>
        <w:t>allanamiento</w:t>
      </w:r>
      <w:r w:rsidR="007951D4">
        <w:rPr>
          <w:rFonts w:ascii="Arial" w:hAnsi="Arial" w:cs="Arial"/>
          <w:bCs/>
          <w:szCs w:val="24"/>
        </w:rPr>
        <w:t xml:space="preserve"> </w:t>
      </w:r>
      <w:r w:rsidRPr="00E7386F">
        <w:rPr>
          <w:rFonts w:ascii="Arial" w:hAnsi="Arial" w:cs="Arial"/>
          <w:bCs/>
          <w:szCs w:val="24"/>
        </w:rPr>
        <w:t>a cargos se produce dentro de las audiencias de imputación y preparatoria – como sí ocurre cuando la aceptación de los cargos acontece en la iniciación del juicio, caso en el cual se descuenta de manera fija una sexta parte de la pena – sino que frente a las referidas situaciones se dispone una rebaja ponderada de “hasta de la mitad” de la pena para la primera y “hasta de la tercera parte” para la segunda, es razonable concluir que corresponde al fallador determinar la proporción en la cual rebajará la pena…”</w:t>
      </w:r>
      <w:r w:rsidRPr="00E7386F">
        <w:rPr>
          <w:rFonts w:ascii="Arial" w:hAnsi="Arial" w:cs="Arial"/>
          <w:bCs/>
          <w:szCs w:val="24"/>
          <w:vertAlign w:val="superscript"/>
        </w:rPr>
        <w:footnoteReference w:id="10"/>
      </w:r>
      <w:r w:rsidRPr="00E7386F">
        <w:rPr>
          <w:rFonts w:ascii="Arial" w:hAnsi="Arial" w:cs="Arial"/>
          <w:bCs/>
          <w:szCs w:val="24"/>
        </w:rPr>
        <w:t>.</w:t>
      </w:r>
    </w:p>
    <w:p w:rsidR="00F923AE" w:rsidRPr="009E387B" w:rsidRDefault="00F923AE" w:rsidP="009E387B">
      <w:pPr>
        <w:spacing w:after="0" w:line="288" w:lineRule="auto"/>
        <w:ind w:left="567" w:right="616"/>
        <w:jc w:val="both"/>
        <w:rPr>
          <w:rFonts w:ascii="Arial" w:eastAsia="Verdana" w:hAnsi="Arial" w:cs="Arial"/>
          <w:bCs/>
          <w:i/>
          <w:sz w:val="24"/>
          <w:szCs w:val="24"/>
        </w:rPr>
      </w:pPr>
    </w:p>
    <w:p w:rsidR="00D82EE8" w:rsidRPr="009E387B" w:rsidRDefault="00D82EE8" w:rsidP="009E387B">
      <w:pPr>
        <w:spacing w:after="0" w:line="288" w:lineRule="auto"/>
        <w:jc w:val="both"/>
        <w:rPr>
          <w:rFonts w:ascii="Arial" w:eastAsia="Times New Roman" w:hAnsi="Arial" w:cs="Arial"/>
          <w:sz w:val="24"/>
          <w:szCs w:val="24"/>
          <w:lang w:val="es-ES" w:eastAsia="es-ES"/>
        </w:rPr>
      </w:pPr>
      <w:r w:rsidRPr="009E387B">
        <w:rPr>
          <w:rFonts w:ascii="Arial" w:eastAsia="Times New Roman" w:hAnsi="Arial" w:cs="Arial"/>
          <w:sz w:val="24"/>
          <w:szCs w:val="24"/>
          <w:lang w:val="es-ES" w:eastAsia="es-ES"/>
        </w:rPr>
        <w:t xml:space="preserve">7.4.2 Por lo anterior se puede concluir que en el caso del señor </w:t>
      </w:r>
      <w:proofErr w:type="spellStart"/>
      <w:r w:rsidR="007951D4">
        <w:rPr>
          <w:rFonts w:ascii="Arial" w:eastAsia="Times New Roman" w:hAnsi="Arial" w:cs="Arial"/>
          <w:sz w:val="24"/>
          <w:szCs w:val="24"/>
          <w:lang w:val="es-ES" w:eastAsia="es-ES"/>
        </w:rPr>
        <w:t>JAMV</w:t>
      </w:r>
      <w:proofErr w:type="spellEnd"/>
      <w:r w:rsidR="007F5939" w:rsidRPr="009E387B">
        <w:rPr>
          <w:rFonts w:ascii="Arial" w:eastAsia="Times New Roman" w:hAnsi="Arial" w:cs="Arial"/>
          <w:sz w:val="24"/>
          <w:szCs w:val="24"/>
          <w:lang w:val="es-ES" w:eastAsia="es-ES"/>
        </w:rPr>
        <w:t xml:space="preserve"> </w:t>
      </w:r>
      <w:r w:rsidRPr="009E387B">
        <w:rPr>
          <w:rFonts w:ascii="Arial" w:eastAsia="Times New Roman" w:hAnsi="Arial" w:cs="Arial"/>
          <w:sz w:val="24"/>
          <w:szCs w:val="24"/>
          <w:lang w:val="es-ES" w:eastAsia="es-ES"/>
        </w:rPr>
        <w:t>concurren las condiciones para aplicar el principio de favorabilidad en lo relacionado con la aplicación retroactiva a las disposiciones de la ley 1826 de 2017 en materia de descuentos punitivos ante el allanamiento a cargos por parte del acusado</w:t>
      </w:r>
      <w:r w:rsidR="007F5939" w:rsidRPr="009E387B">
        <w:rPr>
          <w:rFonts w:ascii="Arial" w:eastAsia="Times New Roman" w:hAnsi="Arial" w:cs="Arial"/>
          <w:sz w:val="24"/>
          <w:szCs w:val="24"/>
          <w:lang w:val="es-ES" w:eastAsia="es-ES"/>
        </w:rPr>
        <w:t>.</w:t>
      </w:r>
    </w:p>
    <w:p w:rsidR="00D20FF3" w:rsidRPr="009E387B" w:rsidRDefault="00D20FF3" w:rsidP="009E387B">
      <w:pPr>
        <w:spacing w:after="0" w:line="288" w:lineRule="auto"/>
        <w:jc w:val="both"/>
        <w:rPr>
          <w:rFonts w:ascii="Arial" w:eastAsia="Times New Roman" w:hAnsi="Arial" w:cs="Arial"/>
          <w:sz w:val="24"/>
          <w:szCs w:val="24"/>
          <w:lang w:val="es-ES" w:eastAsia="es-ES"/>
        </w:rPr>
      </w:pPr>
    </w:p>
    <w:p w:rsidR="00F923AE" w:rsidRPr="009E387B" w:rsidRDefault="007F5939" w:rsidP="009E387B">
      <w:pPr>
        <w:pStyle w:val="Sinespaciado"/>
        <w:spacing w:line="288" w:lineRule="auto"/>
        <w:ind w:right="51"/>
        <w:jc w:val="both"/>
        <w:rPr>
          <w:rFonts w:ascii="Arial" w:eastAsia="Times New Roman" w:hAnsi="Arial" w:cs="Arial"/>
          <w:sz w:val="24"/>
          <w:szCs w:val="24"/>
        </w:rPr>
      </w:pPr>
      <w:r w:rsidRPr="009E387B">
        <w:rPr>
          <w:rFonts w:ascii="Arial" w:eastAsia="Times New Roman" w:hAnsi="Arial" w:cs="Arial"/>
          <w:sz w:val="24"/>
          <w:szCs w:val="24"/>
        </w:rPr>
        <w:lastRenderedPageBreak/>
        <w:t xml:space="preserve">7.4.3 Por lo tanto, se determina que el monto del descuento punitivo a reconocer a favor del procesado es del 40% de la pena mínima, en aplicación del derecho </w:t>
      </w:r>
      <w:proofErr w:type="spellStart"/>
      <w:r w:rsidRPr="009E387B">
        <w:rPr>
          <w:rFonts w:ascii="Arial" w:eastAsia="Times New Roman" w:hAnsi="Arial" w:cs="Arial"/>
          <w:sz w:val="24"/>
          <w:szCs w:val="24"/>
        </w:rPr>
        <w:t>premial</w:t>
      </w:r>
      <w:proofErr w:type="spellEnd"/>
      <w:r w:rsidRPr="009E387B">
        <w:rPr>
          <w:rFonts w:ascii="Arial" w:eastAsia="Times New Roman" w:hAnsi="Arial" w:cs="Arial"/>
          <w:sz w:val="24"/>
          <w:szCs w:val="24"/>
        </w:rPr>
        <w:t xml:space="preserve"> y atendiendo que la colaboración del procesado con la administración de justicia no fue determinante para la finalización del proceso seguido en su contra, puesto que la FGN contaba con </w:t>
      </w:r>
      <w:r w:rsidR="009C1B3C" w:rsidRPr="009E387B">
        <w:rPr>
          <w:rFonts w:ascii="Arial" w:eastAsia="Times New Roman" w:hAnsi="Arial" w:cs="Arial"/>
          <w:sz w:val="24"/>
          <w:szCs w:val="24"/>
        </w:rPr>
        <w:t>suficientes</w:t>
      </w:r>
      <w:r w:rsidRPr="009E387B">
        <w:rPr>
          <w:rFonts w:ascii="Arial" w:eastAsia="Times New Roman" w:hAnsi="Arial" w:cs="Arial"/>
          <w:sz w:val="24"/>
          <w:szCs w:val="24"/>
        </w:rPr>
        <w:t xml:space="preserve"> EMP y EF para </w:t>
      </w:r>
      <w:r w:rsidR="00E278FE" w:rsidRPr="009E387B">
        <w:rPr>
          <w:rFonts w:ascii="Arial" w:eastAsia="Times New Roman" w:hAnsi="Arial" w:cs="Arial"/>
          <w:sz w:val="24"/>
          <w:szCs w:val="24"/>
        </w:rPr>
        <w:t xml:space="preserve">llevar el asunto hasta la audiencia de juicio oral y probar la responsabilidad del señor </w:t>
      </w:r>
      <w:proofErr w:type="spellStart"/>
      <w:r w:rsidR="00A33152">
        <w:rPr>
          <w:rFonts w:ascii="Arial" w:eastAsia="Times New Roman" w:hAnsi="Arial" w:cs="Arial"/>
          <w:sz w:val="24"/>
          <w:szCs w:val="24"/>
        </w:rPr>
        <w:t>JAMV</w:t>
      </w:r>
      <w:proofErr w:type="spellEnd"/>
      <w:r w:rsidR="00E278FE" w:rsidRPr="009E387B">
        <w:rPr>
          <w:rFonts w:ascii="Arial" w:eastAsia="Times New Roman" w:hAnsi="Arial" w:cs="Arial"/>
          <w:sz w:val="24"/>
          <w:szCs w:val="24"/>
        </w:rPr>
        <w:t xml:space="preserve">. </w:t>
      </w:r>
    </w:p>
    <w:p w:rsidR="00F923AE" w:rsidRPr="009E387B" w:rsidRDefault="00F923AE" w:rsidP="009E387B">
      <w:pPr>
        <w:pStyle w:val="Sinespaciado"/>
        <w:spacing w:line="288" w:lineRule="auto"/>
        <w:ind w:right="51"/>
        <w:jc w:val="both"/>
        <w:rPr>
          <w:rFonts w:ascii="Arial" w:eastAsia="Times New Roman" w:hAnsi="Arial" w:cs="Arial"/>
          <w:sz w:val="24"/>
          <w:szCs w:val="24"/>
        </w:rPr>
      </w:pPr>
    </w:p>
    <w:p w:rsidR="00F923AE" w:rsidRPr="009E387B" w:rsidRDefault="00E278FE" w:rsidP="009E387B">
      <w:pPr>
        <w:pStyle w:val="Sinespaciado"/>
        <w:spacing w:line="288" w:lineRule="auto"/>
        <w:ind w:right="51"/>
        <w:jc w:val="both"/>
        <w:rPr>
          <w:rFonts w:ascii="Arial" w:eastAsia="Times New Roman" w:hAnsi="Arial" w:cs="Arial"/>
          <w:sz w:val="24"/>
          <w:szCs w:val="24"/>
        </w:rPr>
      </w:pPr>
      <w:r w:rsidRPr="009E387B">
        <w:rPr>
          <w:rFonts w:ascii="Arial" w:eastAsia="Times New Roman" w:hAnsi="Arial" w:cs="Arial"/>
          <w:sz w:val="24"/>
          <w:szCs w:val="24"/>
        </w:rPr>
        <w:t xml:space="preserve">De conformidad con lo antedicho se </w:t>
      </w:r>
      <w:proofErr w:type="spellStart"/>
      <w:r w:rsidRPr="009E387B">
        <w:rPr>
          <w:rFonts w:ascii="Arial" w:eastAsia="Times New Roman" w:hAnsi="Arial" w:cs="Arial"/>
          <w:sz w:val="24"/>
          <w:szCs w:val="24"/>
        </w:rPr>
        <w:t>redosificará</w:t>
      </w:r>
      <w:proofErr w:type="spellEnd"/>
      <w:r w:rsidRPr="009E387B">
        <w:rPr>
          <w:rFonts w:ascii="Arial" w:eastAsia="Times New Roman" w:hAnsi="Arial" w:cs="Arial"/>
          <w:sz w:val="24"/>
          <w:szCs w:val="24"/>
        </w:rPr>
        <w:t xml:space="preserve"> la pena de prisión que se había tasado en el acápite 6.9 de este pronunciamiento en 36 meses como pena mínima disminuida en un 40% para una pena definitiva de</w:t>
      </w:r>
      <w:r w:rsidR="00CF679B" w:rsidRPr="009E387B">
        <w:rPr>
          <w:rFonts w:ascii="Arial" w:eastAsia="Times New Roman" w:hAnsi="Arial" w:cs="Arial"/>
          <w:sz w:val="24"/>
          <w:szCs w:val="24"/>
        </w:rPr>
        <w:t xml:space="preserve"> 21 meses y 18</w:t>
      </w:r>
      <w:r w:rsidR="00D20FF3" w:rsidRPr="009E387B">
        <w:rPr>
          <w:rFonts w:ascii="Arial" w:eastAsia="Times New Roman" w:hAnsi="Arial" w:cs="Arial"/>
          <w:sz w:val="24"/>
          <w:szCs w:val="24"/>
        </w:rPr>
        <w:t xml:space="preserve"> días de prisión, en igual sentido se aplicará a la pena accesoria de inhabilitación para el ejercicio de derechos y funciones públicas.</w:t>
      </w:r>
    </w:p>
    <w:p w:rsidR="002E38BB" w:rsidRPr="009E387B" w:rsidRDefault="002E38BB" w:rsidP="009E387B">
      <w:pPr>
        <w:pStyle w:val="Sinespaciado"/>
        <w:spacing w:line="288" w:lineRule="auto"/>
        <w:ind w:right="51"/>
        <w:jc w:val="both"/>
        <w:rPr>
          <w:rFonts w:ascii="Arial" w:eastAsia="Times New Roman" w:hAnsi="Arial" w:cs="Arial"/>
          <w:sz w:val="24"/>
          <w:szCs w:val="24"/>
        </w:rPr>
      </w:pPr>
    </w:p>
    <w:p w:rsidR="002E38BB" w:rsidRPr="009E387B" w:rsidRDefault="002E38BB" w:rsidP="009E387B">
      <w:pPr>
        <w:pStyle w:val="Sinespaciado"/>
        <w:spacing w:line="288" w:lineRule="auto"/>
        <w:ind w:right="51"/>
        <w:jc w:val="both"/>
        <w:rPr>
          <w:rFonts w:ascii="Arial" w:eastAsia="Times New Roman" w:hAnsi="Arial" w:cs="Arial"/>
          <w:sz w:val="24"/>
          <w:szCs w:val="24"/>
        </w:rPr>
      </w:pPr>
      <w:r w:rsidRPr="009E387B">
        <w:rPr>
          <w:rFonts w:ascii="Arial" w:eastAsia="Times New Roman" w:hAnsi="Arial" w:cs="Arial"/>
          <w:sz w:val="24"/>
          <w:szCs w:val="24"/>
        </w:rPr>
        <w:t xml:space="preserve">Lo anterior sin variación alguna respecto del subrogado de la suspensión condicional de la ejecución de la pena en el entendido que como lo advirtió la </w:t>
      </w:r>
      <w:r w:rsidRPr="009E387B">
        <w:rPr>
          <w:rFonts w:ascii="Arial" w:eastAsia="Times New Roman" w:hAnsi="Arial" w:cs="Arial"/>
          <w:i/>
          <w:sz w:val="24"/>
          <w:szCs w:val="24"/>
        </w:rPr>
        <w:t>a quo</w:t>
      </w:r>
      <w:r w:rsidR="008240A1" w:rsidRPr="009E387B">
        <w:rPr>
          <w:rFonts w:ascii="Arial" w:eastAsia="Times New Roman" w:hAnsi="Arial" w:cs="Arial"/>
          <w:i/>
          <w:sz w:val="24"/>
          <w:szCs w:val="24"/>
        </w:rPr>
        <w:t>,</w:t>
      </w:r>
      <w:r w:rsidRPr="009E387B">
        <w:rPr>
          <w:rFonts w:ascii="Arial" w:eastAsia="Times New Roman" w:hAnsi="Arial" w:cs="Arial"/>
          <w:sz w:val="24"/>
          <w:szCs w:val="24"/>
        </w:rPr>
        <w:t xml:space="preserve"> no se cumple con el aspecto subjetivo del artículo 63 del C.P., </w:t>
      </w:r>
      <w:r w:rsidR="008240A1" w:rsidRPr="009E387B">
        <w:rPr>
          <w:rFonts w:ascii="Arial" w:eastAsia="Times New Roman" w:hAnsi="Arial" w:cs="Arial"/>
          <w:sz w:val="24"/>
          <w:szCs w:val="24"/>
        </w:rPr>
        <w:t xml:space="preserve">toda vez que </w:t>
      </w:r>
      <w:r w:rsidRPr="009E387B">
        <w:rPr>
          <w:rFonts w:ascii="Arial" w:eastAsia="Times New Roman" w:hAnsi="Arial" w:cs="Arial"/>
          <w:sz w:val="24"/>
          <w:szCs w:val="24"/>
        </w:rPr>
        <w:t xml:space="preserve">al procesado le figuran </w:t>
      </w:r>
      <w:r w:rsidR="00CF679B" w:rsidRPr="009E387B">
        <w:rPr>
          <w:rFonts w:ascii="Arial" w:eastAsia="Times New Roman" w:hAnsi="Arial" w:cs="Arial"/>
          <w:sz w:val="24"/>
          <w:szCs w:val="24"/>
        </w:rPr>
        <w:t xml:space="preserve">3 </w:t>
      </w:r>
      <w:r w:rsidRPr="009E387B">
        <w:rPr>
          <w:rFonts w:ascii="Arial" w:eastAsia="Times New Roman" w:hAnsi="Arial" w:cs="Arial"/>
          <w:sz w:val="24"/>
          <w:szCs w:val="24"/>
        </w:rPr>
        <w:t>sentencias condenatorias vigentes por punibles similares al que dio origen al presente proceso</w:t>
      </w:r>
      <w:r w:rsidR="007951D4">
        <w:rPr>
          <w:rFonts w:ascii="Arial" w:eastAsia="Times New Roman" w:hAnsi="Arial" w:cs="Arial"/>
          <w:sz w:val="24"/>
          <w:szCs w:val="24"/>
        </w:rPr>
        <w:t xml:space="preserve"> </w:t>
      </w:r>
      <w:r w:rsidR="00CF679B" w:rsidRPr="009E387B">
        <w:rPr>
          <w:rFonts w:ascii="Arial" w:eastAsia="Times New Roman" w:hAnsi="Arial" w:cs="Arial"/>
          <w:sz w:val="24"/>
          <w:szCs w:val="24"/>
        </w:rPr>
        <w:t xml:space="preserve">en los cinco años anteriores a la decisión que fue objeto del recurso </w:t>
      </w:r>
      <w:r w:rsidRPr="009E387B">
        <w:rPr>
          <w:rFonts w:ascii="Arial" w:eastAsia="Times New Roman" w:hAnsi="Arial" w:cs="Arial"/>
          <w:sz w:val="24"/>
          <w:szCs w:val="24"/>
        </w:rPr>
        <w:t>(folio</w:t>
      </w:r>
      <w:r w:rsidR="00CF679B" w:rsidRPr="009E387B">
        <w:rPr>
          <w:rFonts w:ascii="Arial" w:eastAsia="Times New Roman" w:hAnsi="Arial" w:cs="Arial"/>
          <w:sz w:val="24"/>
          <w:szCs w:val="24"/>
        </w:rPr>
        <w:t>s 20 a 33 y 40</w:t>
      </w:r>
      <w:r w:rsidRPr="009E387B">
        <w:rPr>
          <w:rFonts w:ascii="Arial" w:eastAsia="Times New Roman" w:hAnsi="Arial" w:cs="Arial"/>
          <w:sz w:val="24"/>
          <w:szCs w:val="24"/>
        </w:rPr>
        <w:t>).</w:t>
      </w:r>
    </w:p>
    <w:p w:rsidR="00345483" w:rsidRPr="009E387B" w:rsidRDefault="00345483" w:rsidP="009E387B">
      <w:pPr>
        <w:pStyle w:val="Sinespaciado"/>
        <w:spacing w:line="288" w:lineRule="auto"/>
        <w:jc w:val="both"/>
        <w:rPr>
          <w:rFonts w:ascii="Arial" w:hAnsi="Arial" w:cs="Arial"/>
          <w:sz w:val="24"/>
          <w:szCs w:val="24"/>
        </w:rPr>
      </w:pPr>
    </w:p>
    <w:p w:rsidR="002B29C6" w:rsidRPr="009E387B" w:rsidRDefault="002B29C6" w:rsidP="009E387B">
      <w:pPr>
        <w:spacing w:after="0" w:line="288" w:lineRule="auto"/>
        <w:jc w:val="both"/>
        <w:rPr>
          <w:rFonts w:ascii="Arial" w:eastAsia="Times New Roman" w:hAnsi="Arial" w:cs="Arial"/>
          <w:b/>
          <w:sz w:val="24"/>
          <w:szCs w:val="24"/>
        </w:rPr>
      </w:pPr>
      <w:r w:rsidRPr="009E387B">
        <w:rPr>
          <w:rFonts w:ascii="Arial" w:eastAsia="Times New Roman" w:hAnsi="Arial" w:cs="Arial"/>
          <w:b/>
          <w:sz w:val="24"/>
          <w:szCs w:val="24"/>
        </w:rPr>
        <w:t>8. SOBRE LA LIBERTAD DEL PROCESADO</w:t>
      </w:r>
    </w:p>
    <w:p w:rsidR="002B29C6" w:rsidRPr="009E387B" w:rsidRDefault="002B29C6" w:rsidP="009E387B">
      <w:pPr>
        <w:spacing w:after="0" w:line="288" w:lineRule="auto"/>
        <w:jc w:val="both"/>
        <w:rPr>
          <w:rFonts w:ascii="Arial" w:eastAsia="Times New Roman" w:hAnsi="Arial" w:cs="Arial"/>
          <w:b/>
          <w:sz w:val="24"/>
          <w:szCs w:val="24"/>
        </w:rPr>
      </w:pPr>
    </w:p>
    <w:p w:rsidR="002B29C6" w:rsidRPr="009E387B" w:rsidRDefault="002B29C6" w:rsidP="009E387B">
      <w:pPr>
        <w:spacing w:after="0" w:line="288" w:lineRule="auto"/>
        <w:jc w:val="both"/>
        <w:rPr>
          <w:rFonts w:ascii="Arial" w:eastAsia="Times New Roman" w:hAnsi="Arial" w:cs="Arial"/>
          <w:sz w:val="24"/>
          <w:szCs w:val="24"/>
        </w:rPr>
      </w:pPr>
      <w:r w:rsidRPr="009E387B">
        <w:rPr>
          <w:rFonts w:ascii="Arial" w:eastAsia="Times New Roman" w:hAnsi="Arial" w:cs="Arial"/>
          <w:sz w:val="24"/>
          <w:szCs w:val="24"/>
        </w:rPr>
        <w:t xml:space="preserve">Teniendo en cuenta que el procesado </w:t>
      </w:r>
      <w:r w:rsidR="00345483" w:rsidRPr="009E387B">
        <w:rPr>
          <w:rFonts w:ascii="Arial" w:eastAsia="Times New Roman" w:hAnsi="Arial" w:cs="Arial"/>
          <w:sz w:val="24"/>
          <w:szCs w:val="24"/>
        </w:rPr>
        <w:t xml:space="preserve">se encuentra </w:t>
      </w:r>
      <w:r w:rsidRPr="009E387B">
        <w:rPr>
          <w:rFonts w:ascii="Arial" w:eastAsia="Times New Roman" w:hAnsi="Arial" w:cs="Arial"/>
          <w:sz w:val="24"/>
          <w:szCs w:val="24"/>
        </w:rPr>
        <w:t>en libertad, es necesario hacer las siguientes precisiones, relacionadas con la aplicación del artículo 450 del CPP:</w:t>
      </w:r>
    </w:p>
    <w:p w:rsidR="00345483" w:rsidRPr="009E387B" w:rsidRDefault="00345483" w:rsidP="009E387B">
      <w:pPr>
        <w:spacing w:after="0" w:line="288" w:lineRule="auto"/>
        <w:jc w:val="both"/>
        <w:rPr>
          <w:rFonts w:ascii="Arial" w:eastAsia="Times New Roman" w:hAnsi="Arial" w:cs="Arial"/>
          <w:sz w:val="24"/>
          <w:szCs w:val="24"/>
        </w:rPr>
      </w:pPr>
    </w:p>
    <w:p w:rsidR="002B29C6" w:rsidRPr="009E387B" w:rsidRDefault="002B29C6" w:rsidP="009E387B">
      <w:pPr>
        <w:spacing w:after="0" w:line="288" w:lineRule="auto"/>
        <w:jc w:val="both"/>
        <w:rPr>
          <w:rFonts w:ascii="Arial" w:eastAsia="Times New Roman" w:hAnsi="Arial" w:cs="Arial"/>
          <w:sz w:val="24"/>
          <w:szCs w:val="24"/>
        </w:rPr>
      </w:pPr>
      <w:r w:rsidRPr="009E387B">
        <w:rPr>
          <w:rFonts w:ascii="Arial" w:eastAsia="Times New Roman" w:hAnsi="Arial" w:cs="Arial"/>
          <w:sz w:val="24"/>
          <w:szCs w:val="24"/>
        </w:rPr>
        <w:t>8.1 La norma en mención dispone lo siguiente:</w:t>
      </w:r>
    </w:p>
    <w:p w:rsidR="002B29C6" w:rsidRPr="009E387B" w:rsidRDefault="002B29C6" w:rsidP="009E387B">
      <w:pPr>
        <w:spacing w:after="0" w:line="288" w:lineRule="auto"/>
        <w:jc w:val="both"/>
        <w:rPr>
          <w:rFonts w:ascii="Arial" w:eastAsia="Times New Roman" w:hAnsi="Arial" w:cs="Arial"/>
          <w:sz w:val="24"/>
          <w:szCs w:val="24"/>
        </w:rPr>
      </w:pPr>
    </w:p>
    <w:p w:rsidR="002B29C6" w:rsidRPr="00E7386F" w:rsidRDefault="002B29C6" w:rsidP="00E7386F">
      <w:pPr>
        <w:pStyle w:val="Sinespaciado"/>
        <w:ind w:left="426" w:right="418"/>
        <w:jc w:val="both"/>
        <w:rPr>
          <w:rFonts w:ascii="Arial" w:hAnsi="Arial" w:cs="Arial"/>
          <w:bCs/>
          <w:szCs w:val="24"/>
        </w:rPr>
      </w:pPr>
      <w:r w:rsidRPr="00E7386F">
        <w:rPr>
          <w:rFonts w:ascii="Arial" w:hAnsi="Arial" w:cs="Arial"/>
          <w:bCs/>
          <w:szCs w:val="24"/>
        </w:rPr>
        <w:t>“Si al momento de anunciar el sentido del fallo el acusado declarado culpable no se hallare detenido, el juez puede disponer que continúe en libertad hasta el momento de dictar sentencia.</w:t>
      </w:r>
    </w:p>
    <w:p w:rsidR="002B29C6" w:rsidRPr="00E7386F" w:rsidRDefault="002B29C6" w:rsidP="00E7386F">
      <w:pPr>
        <w:pStyle w:val="Sinespaciado"/>
        <w:ind w:left="426" w:right="418"/>
        <w:jc w:val="both"/>
        <w:rPr>
          <w:rFonts w:ascii="Arial" w:hAnsi="Arial" w:cs="Arial"/>
          <w:bCs/>
          <w:szCs w:val="24"/>
        </w:rPr>
      </w:pPr>
    </w:p>
    <w:p w:rsidR="002B29C6" w:rsidRPr="00E7386F" w:rsidRDefault="002B29C6" w:rsidP="00E7386F">
      <w:pPr>
        <w:pStyle w:val="Sinespaciado"/>
        <w:ind w:left="426" w:right="418"/>
        <w:jc w:val="both"/>
        <w:rPr>
          <w:rFonts w:ascii="Arial" w:hAnsi="Arial" w:cs="Arial"/>
          <w:bCs/>
          <w:szCs w:val="24"/>
        </w:rPr>
      </w:pPr>
      <w:r w:rsidRPr="00E7386F">
        <w:rPr>
          <w:rFonts w:ascii="Arial" w:hAnsi="Arial" w:cs="Arial"/>
          <w:bCs/>
          <w:szCs w:val="24"/>
        </w:rPr>
        <w:t xml:space="preserve">Si la detención es necesaria, de conformidad con las normas de este código, el juez la ordenará y librará inmediatamente la orden de encarcelamiento” </w:t>
      </w:r>
    </w:p>
    <w:p w:rsidR="002B29C6" w:rsidRPr="009E387B" w:rsidRDefault="002B29C6" w:rsidP="009E387B">
      <w:pPr>
        <w:spacing w:after="0" w:line="288" w:lineRule="auto"/>
        <w:jc w:val="both"/>
        <w:rPr>
          <w:rFonts w:ascii="Arial" w:eastAsia="Times New Roman" w:hAnsi="Arial" w:cs="Arial"/>
          <w:sz w:val="24"/>
          <w:szCs w:val="24"/>
        </w:rPr>
      </w:pPr>
    </w:p>
    <w:p w:rsidR="002B29C6" w:rsidRPr="009E387B" w:rsidRDefault="002B29C6" w:rsidP="009E387B">
      <w:pPr>
        <w:spacing w:after="0" w:line="288" w:lineRule="auto"/>
        <w:jc w:val="both"/>
        <w:rPr>
          <w:rFonts w:ascii="Arial" w:eastAsia="Times New Roman" w:hAnsi="Arial" w:cs="Arial"/>
          <w:sz w:val="24"/>
          <w:szCs w:val="24"/>
        </w:rPr>
      </w:pPr>
      <w:r w:rsidRPr="009E387B">
        <w:rPr>
          <w:rFonts w:ascii="Arial" w:eastAsia="Times New Roman" w:hAnsi="Arial" w:cs="Arial"/>
          <w:sz w:val="24"/>
          <w:szCs w:val="24"/>
        </w:rPr>
        <w:t>8.2 En atención al contenido de esa norma, la Sala debe hacer referencia a lo decidido por la Corte Constitucional en la sentencia C-342 del 24 de mayo de 2017, donde se hizo control abstracto de la norma antes citada y se dijo lo siguiente:</w:t>
      </w:r>
    </w:p>
    <w:p w:rsidR="002B29C6" w:rsidRPr="009E387B" w:rsidRDefault="002B29C6" w:rsidP="009E387B">
      <w:pPr>
        <w:spacing w:after="0" w:line="288" w:lineRule="auto"/>
        <w:jc w:val="both"/>
        <w:rPr>
          <w:rFonts w:ascii="Arial" w:eastAsia="Times New Roman" w:hAnsi="Arial" w:cs="Arial"/>
          <w:sz w:val="24"/>
          <w:szCs w:val="24"/>
          <w:shd w:val="clear" w:color="auto" w:fill="FFFFFF"/>
        </w:rPr>
      </w:pPr>
    </w:p>
    <w:p w:rsidR="002B29C6" w:rsidRPr="00E7386F" w:rsidRDefault="002B29C6" w:rsidP="00E7386F">
      <w:pPr>
        <w:spacing w:after="0" w:line="240" w:lineRule="auto"/>
        <w:ind w:left="426" w:right="418"/>
        <w:jc w:val="both"/>
        <w:rPr>
          <w:rFonts w:ascii="Arial" w:eastAsia="Times New Roman" w:hAnsi="Arial" w:cs="Arial"/>
          <w:szCs w:val="24"/>
          <w:shd w:val="clear" w:color="auto" w:fill="FFFFFF"/>
          <w:lang w:val="es-ES"/>
        </w:rPr>
      </w:pPr>
      <w:r w:rsidRPr="00E7386F">
        <w:rPr>
          <w:rFonts w:ascii="Arial" w:eastAsia="Times New Roman" w:hAnsi="Arial" w:cs="Arial"/>
          <w:szCs w:val="24"/>
          <w:shd w:val="clear" w:color="auto" w:fill="FFFFFF"/>
        </w:rPr>
        <w:t>“(...) .</w:t>
      </w:r>
    </w:p>
    <w:p w:rsidR="002B29C6" w:rsidRPr="00E7386F" w:rsidRDefault="002B29C6" w:rsidP="00E7386F">
      <w:pPr>
        <w:spacing w:after="0" w:line="240" w:lineRule="auto"/>
        <w:ind w:left="426" w:right="418"/>
        <w:jc w:val="both"/>
        <w:rPr>
          <w:rFonts w:ascii="Arial" w:eastAsia="Times New Roman" w:hAnsi="Arial" w:cs="Arial"/>
          <w:i/>
          <w:szCs w:val="24"/>
          <w:lang w:val="es-ES_tradnl" w:eastAsia="es-ES"/>
        </w:rPr>
      </w:pPr>
    </w:p>
    <w:p w:rsidR="002B29C6" w:rsidRPr="00E7386F" w:rsidRDefault="002B29C6" w:rsidP="00E7386F">
      <w:pPr>
        <w:spacing w:after="0" w:line="240" w:lineRule="auto"/>
        <w:ind w:left="426" w:right="418"/>
        <w:jc w:val="both"/>
        <w:rPr>
          <w:rFonts w:ascii="Arial" w:eastAsia="Times New Roman" w:hAnsi="Arial" w:cs="Arial"/>
          <w:i/>
          <w:szCs w:val="24"/>
        </w:rPr>
      </w:pPr>
      <w:r w:rsidRPr="00E7386F">
        <w:rPr>
          <w:rFonts w:ascii="Arial" w:eastAsia="Times New Roman" w:hAnsi="Arial" w:cs="Arial"/>
          <w:i/>
          <w:szCs w:val="24"/>
          <w:lang w:val="es-ES_tradnl" w:eastAsia="es-ES"/>
        </w:rPr>
        <w:t>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w:t>
      </w:r>
      <w:r w:rsidRPr="00E7386F">
        <w:rPr>
          <w:rFonts w:ascii="Arial" w:eastAsia="Times New Roman" w:hAnsi="Arial" w:cs="Arial"/>
          <w:i/>
          <w:szCs w:val="24"/>
        </w:rPr>
        <w:t xml:space="preserve"> la eventual declaratoria de </w:t>
      </w:r>
      <w:proofErr w:type="spellStart"/>
      <w:r w:rsidRPr="00E7386F">
        <w:rPr>
          <w:rFonts w:ascii="Arial" w:eastAsia="Times New Roman" w:hAnsi="Arial" w:cs="Arial"/>
          <w:i/>
          <w:szCs w:val="24"/>
        </w:rPr>
        <w:t>inexequiblidad</w:t>
      </w:r>
      <w:proofErr w:type="spellEnd"/>
      <w:r w:rsidRPr="00E7386F">
        <w:rPr>
          <w:rFonts w:ascii="Arial" w:eastAsia="Times New Roman" w:hAnsi="Arial" w:cs="Arial"/>
          <w:i/>
          <w:szCs w:val="24"/>
        </w:rPr>
        <w:t xml:space="preserve"> de las expresiones implicaría que los apartes que no fueron acusados perderían la posibilidad de producir efectos jurídicos.</w:t>
      </w:r>
    </w:p>
    <w:p w:rsidR="002B29C6" w:rsidRPr="00E7386F" w:rsidRDefault="002B29C6" w:rsidP="00E7386F">
      <w:pPr>
        <w:spacing w:after="0" w:line="240" w:lineRule="auto"/>
        <w:ind w:left="426" w:right="418"/>
        <w:jc w:val="both"/>
        <w:rPr>
          <w:rFonts w:ascii="Arial" w:eastAsia="Times New Roman" w:hAnsi="Arial" w:cs="Arial"/>
          <w:i/>
          <w:szCs w:val="24"/>
        </w:rPr>
      </w:pPr>
    </w:p>
    <w:p w:rsidR="002B29C6" w:rsidRPr="00E7386F" w:rsidRDefault="002B29C6" w:rsidP="00E7386F">
      <w:pPr>
        <w:spacing w:after="0" w:line="240" w:lineRule="auto"/>
        <w:ind w:left="426" w:right="418"/>
        <w:jc w:val="both"/>
        <w:rPr>
          <w:rFonts w:ascii="Arial" w:eastAsia="Times New Roman" w:hAnsi="Arial" w:cs="Arial"/>
          <w:i/>
          <w:szCs w:val="24"/>
          <w:shd w:val="clear" w:color="auto" w:fill="FFFFFF"/>
        </w:rPr>
      </w:pPr>
      <w:r w:rsidRPr="00E7386F">
        <w:rPr>
          <w:rFonts w:ascii="Arial" w:eastAsia="Times New Roman" w:hAnsi="Arial" w:cs="Arial"/>
          <w:i/>
          <w:szCs w:val="24"/>
        </w:rPr>
        <w:t xml:space="preserve">11.2. </w:t>
      </w:r>
      <w:r w:rsidRPr="00E7386F">
        <w:rPr>
          <w:rFonts w:ascii="Arial" w:eastAsia="Times New Roman" w:hAnsi="Arial" w:cs="Arial"/>
          <w:i/>
          <w:szCs w:val="24"/>
          <w:lang w:val="es-ES_tradnl" w:eastAsia="es-ES"/>
        </w:rPr>
        <w:t>Como primer asunto la Sala se refirió al amplio espacio de configuración del legislador para regular los procedimientos judiciales, así como los límites del mismo. Señaló que se funda</w:t>
      </w:r>
      <w:r w:rsidRPr="00E7386F">
        <w:rPr>
          <w:rFonts w:ascii="Arial" w:eastAsia="Times New Roman" w:hAnsi="Arial" w:cs="Arial"/>
          <w:i/>
          <w:szCs w:val="24"/>
        </w:rPr>
        <w:t xml:space="preserve"> en lo dispuesto por los numerales 1° y 2° del artículo 150 de la Constitución, que consagran la cláusula general de competencia del Congreso de la República, que le permite regular los procedimientos judiciales y administrativos. Adicionalmente la Sala identificó cuatro límites de esa facultad configurativa, precisados entre otras, en la Sentencia C-319 de 2013, siendo estos</w:t>
      </w:r>
      <w:r w:rsidRPr="00E7386F">
        <w:rPr>
          <w:rFonts w:ascii="Arial" w:eastAsia="Times New Roman" w:hAnsi="Arial" w:cs="Arial"/>
          <w:i/>
          <w:szCs w:val="24"/>
          <w:vertAlign w:val="superscript"/>
        </w:rPr>
        <w:footnoteReference w:id="11"/>
      </w:r>
      <w:r w:rsidRPr="00E7386F">
        <w:rPr>
          <w:rFonts w:ascii="Arial" w:eastAsia="Times New Roman" w:hAnsi="Arial" w:cs="Arial"/>
          <w:i/>
          <w:szCs w:val="24"/>
        </w:rPr>
        <w:t xml:space="preserve">: </w:t>
      </w:r>
      <w:r w:rsidRPr="00E7386F">
        <w:rPr>
          <w:rFonts w:ascii="Arial" w:eastAsia="Times New Roman" w:hAnsi="Arial" w:cs="Arial"/>
          <w:i/>
          <w:szCs w:val="24"/>
          <w:shd w:val="clear" w:color="auto" w:fill="FFFFFF"/>
        </w:rPr>
        <w:t xml:space="preserve">(i)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rsidR="002B29C6" w:rsidRPr="00E7386F" w:rsidRDefault="002B29C6" w:rsidP="00E7386F">
      <w:pPr>
        <w:spacing w:after="0" w:line="240" w:lineRule="auto"/>
        <w:ind w:left="426" w:right="418"/>
        <w:jc w:val="both"/>
        <w:rPr>
          <w:rFonts w:ascii="Arial" w:eastAsia="Times New Roman" w:hAnsi="Arial" w:cs="Arial"/>
          <w:i/>
          <w:szCs w:val="24"/>
          <w:shd w:val="clear" w:color="auto" w:fill="FFFFFF"/>
        </w:rPr>
      </w:pPr>
    </w:p>
    <w:p w:rsidR="002B29C6" w:rsidRPr="00E7386F" w:rsidRDefault="002B29C6" w:rsidP="00E7386F">
      <w:pPr>
        <w:spacing w:after="0" w:line="240" w:lineRule="auto"/>
        <w:ind w:left="426" w:right="418"/>
        <w:jc w:val="both"/>
        <w:rPr>
          <w:rFonts w:ascii="Arial" w:eastAsia="Times New Roman" w:hAnsi="Arial" w:cs="Arial"/>
          <w:i/>
          <w:szCs w:val="24"/>
          <w:u w:val="single"/>
          <w:lang w:val="es-ES_tradnl" w:eastAsia="es-ES_tradnl"/>
        </w:rPr>
      </w:pPr>
      <w:r w:rsidRPr="00E7386F">
        <w:rPr>
          <w:rFonts w:ascii="Arial" w:eastAsia="Times New Roman" w:hAnsi="Arial" w:cs="Arial"/>
          <w:i/>
          <w:szCs w:val="24"/>
          <w:shd w:val="clear" w:color="auto" w:fill="FFFFFF"/>
        </w:rPr>
        <w:t xml:space="preserve">11.3. En segundo término, la Corte verificó los derechos que el demandante señaló como violados. </w:t>
      </w:r>
      <w:r w:rsidRPr="00E7386F">
        <w:rPr>
          <w:rFonts w:ascii="Arial" w:eastAsia="Times New Roman" w:hAnsi="Arial" w:cs="Arial"/>
          <w:i/>
          <w:szCs w:val="24"/>
          <w:u w:val="single"/>
          <w:shd w:val="clear" w:color="auto" w:fill="FFFFFF"/>
        </w:rPr>
        <w:t>Respecto de la libertad personal, la Corporación señaló que se trata de un principio y derecho fundamental, que p</w:t>
      </w:r>
      <w:r w:rsidRPr="00E7386F">
        <w:rPr>
          <w:rFonts w:ascii="Arial" w:eastAsia="Times New Roman" w:hAnsi="Arial" w:cs="Arial"/>
          <w:i/>
          <w:szCs w:val="24"/>
          <w:u w:val="single"/>
          <w:bdr w:val="none" w:sz="0" w:space="0" w:color="auto" w:frame="1"/>
          <w:shd w:val="clear" w:color="auto" w:fill="FFFFFF"/>
        </w:rPr>
        <w:t>ara su protección cuenta con las garantías de la reserva legal y la reserva judicial, precisando que las medidas privativas de la libertad son de carácter excepcional y de interpretación restrictiva.</w:t>
      </w:r>
      <w:r w:rsidRPr="00E7386F">
        <w:rPr>
          <w:rFonts w:ascii="Arial" w:eastAsia="Times New Roman" w:hAnsi="Arial" w:cs="Arial"/>
          <w:i/>
          <w:szCs w:val="24"/>
          <w:bdr w:val="none" w:sz="0" w:space="0" w:color="auto" w:frame="1"/>
          <w:shd w:val="clear" w:color="auto" w:fill="FFFFFF"/>
        </w:rPr>
        <w:t xml:space="preserve"> En lo que tuvo que ver con el debido proceso, </w:t>
      </w:r>
      <w:r w:rsidRPr="00E7386F">
        <w:rPr>
          <w:rFonts w:ascii="Arial" w:eastAsia="Times New Roman" w:hAnsi="Arial" w:cs="Arial"/>
          <w:i/>
          <w:szCs w:val="24"/>
          <w:shd w:val="clear" w:color="auto" w:fill="FFFFFF"/>
        </w:rPr>
        <w:t xml:space="preserve">se afirmó que </w:t>
      </w:r>
      <w:r w:rsidRPr="00E7386F">
        <w:rPr>
          <w:rFonts w:ascii="Arial" w:eastAsia="Times New Roman" w:hAnsi="Arial" w:cs="Arial"/>
          <w:i/>
          <w:szCs w:val="24"/>
          <w:lang w:val="es-ES_tradnl" w:eastAsia="es-ES_tradnl"/>
        </w:rPr>
        <w:t>de conformidad con la jurisprudencia de la Corte Interamericana</w:t>
      </w:r>
      <w:r w:rsidRPr="00E7386F">
        <w:rPr>
          <w:rFonts w:ascii="Arial" w:eastAsia="Times New Roman" w:hAnsi="Arial" w:cs="Arial"/>
          <w:i/>
          <w:szCs w:val="24"/>
          <w:vertAlign w:val="superscript"/>
          <w:lang w:val="es-ES_tradnl" w:eastAsia="es-ES_tradnl"/>
        </w:rPr>
        <w:footnoteReference w:id="12"/>
      </w:r>
      <w:r w:rsidRPr="00E7386F">
        <w:rPr>
          <w:rFonts w:ascii="Arial" w:eastAsia="Times New Roman" w:hAnsi="Arial" w:cs="Arial"/>
          <w:i/>
          <w:szCs w:val="24"/>
          <w:lang w:val="es-ES_tradnl" w:eastAsia="es-ES_tradnl"/>
        </w:rPr>
        <w:t xml:space="preserve"> y de la Corte Constitucional</w:t>
      </w:r>
      <w:r w:rsidRPr="00E7386F">
        <w:rPr>
          <w:rFonts w:ascii="Arial" w:eastAsia="Times New Roman" w:hAnsi="Arial" w:cs="Arial"/>
          <w:i/>
          <w:szCs w:val="24"/>
          <w:vertAlign w:val="superscript"/>
          <w:lang w:val="es-ES_tradnl" w:eastAsia="es-ES_tradnl"/>
        </w:rPr>
        <w:footnoteReference w:id="13"/>
      </w:r>
      <w:r w:rsidRPr="00E7386F">
        <w:rPr>
          <w:rFonts w:ascii="Arial" w:eastAsia="Times New Roman" w:hAnsi="Arial" w:cs="Arial"/>
          <w:i/>
          <w:szCs w:val="24"/>
          <w:lang w:val="es-ES_tradnl" w:eastAsia="es-ES_tradnl"/>
        </w:rPr>
        <w:t xml:space="preserve">, el derecho al recurso judicial efectivo supone la existencia de mecanismos procesales accesibles y eficaces que permitan el control y la revisión de las decisiones judiciales, cuando los afectados consideren vulnerados sus derechos. </w:t>
      </w:r>
      <w:r w:rsidRPr="00E7386F">
        <w:rPr>
          <w:rFonts w:ascii="Arial" w:eastAsia="Times New Roman" w:hAnsi="Arial" w:cs="Arial"/>
          <w:i/>
          <w:szCs w:val="24"/>
          <w:u w:val="single"/>
          <w:lang w:val="es-ES_tradnl" w:eastAsia="es-ES_tradnl"/>
        </w:rPr>
        <w:t>Finalmente y en relación con la presunción de inocencia, la Sala determinó desde su jurisprudencia</w:t>
      </w:r>
      <w:r w:rsidRPr="00E7386F">
        <w:rPr>
          <w:rFonts w:ascii="Arial" w:eastAsia="Times New Roman" w:hAnsi="Arial" w:cs="Arial"/>
          <w:i/>
          <w:szCs w:val="24"/>
          <w:u w:val="single"/>
          <w:vertAlign w:val="superscript"/>
          <w:lang w:val="es-ES_tradnl" w:eastAsia="es-ES_tradnl"/>
        </w:rPr>
        <w:footnoteReference w:id="14"/>
      </w:r>
      <w:r w:rsidRPr="00E7386F">
        <w:rPr>
          <w:rFonts w:ascii="Arial" w:eastAsia="Times New Roman" w:hAnsi="Arial" w:cs="Arial"/>
          <w:i/>
          <w:szCs w:val="24"/>
          <w:u w:val="single"/>
          <w:lang w:val="es-ES_tradnl" w:eastAsia="es-ES_tradnl"/>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rsidR="002B29C6" w:rsidRPr="00E7386F" w:rsidRDefault="002B29C6" w:rsidP="00E7386F">
      <w:pPr>
        <w:spacing w:after="0" w:line="240" w:lineRule="auto"/>
        <w:ind w:left="426" w:right="418"/>
        <w:jc w:val="both"/>
        <w:rPr>
          <w:rFonts w:ascii="Arial" w:eastAsia="Times New Roman" w:hAnsi="Arial" w:cs="Arial"/>
          <w:i/>
          <w:szCs w:val="24"/>
          <w:lang w:val="es-ES_tradnl" w:eastAsia="es-ES_tradnl"/>
        </w:rPr>
      </w:pPr>
    </w:p>
    <w:p w:rsidR="002B29C6" w:rsidRPr="00E7386F" w:rsidRDefault="002B29C6" w:rsidP="00E7386F">
      <w:pPr>
        <w:spacing w:after="0" w:line="240" w:lineRule="auto"/>
        <w:ind w:left="426" w:right="418"/>
        <w:jc w:val="both"/>
        <w:rPr>
          <w:rFonts w:ascii="Arial" w:eastAsia="Times New Roman" w:hAnsi="Arial" w:cs="Arial"/>
          <w:i/>
          <w:szCs w:val="24"/>
          <w:lang w:eastAsia="es-ES"/>
        </w:rPr>
      </w:pPr>
      <w:r w:rsidRPr="00E7386F">
        <w:rPr>
          <w:rFonts w:ascii="Arial" w:eastAsia="Times New Roman" w:hAnsi="Arial" w:cs="Arial"/>
          <w:i/>
          <w:szCs w:val="24"/>
          <w:lang w:eastAsia="es-ES"/>
        </w:rPr>
        <w:t xml:space="preserve">11.4. Finalmente se procedió a la solución del caso, para lo cual la Corporación afirmó que la interpretación hecha por la Sala de Casación Penal de la Corte Suprema de Justicia, </w:t>
      </w:r>
      <w:r w:rsidRPr="00E7386F">
        <w:rPr>
          <w:rFonts w:ascii="Arial" w:eastAsia="Times New Roman" w:hAnsi="Arial" w:cs="Arial"/>
          <w:i/>
          <w:szCs w:val="24"/>
        </w:rPr>
        <w:t>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w:t>
      </w:r>
      <w:r w:rsidRPr="00E7386F">
        <w:rPr>
          <w:rFonts w:ascii="Arial" w:eastAsia="Times New Roman" w:hAnsi="Arial" w:cs="Arial"/>
          <w:i/>
          <w:szCs w:val="24"/>
          <w:lang w:eastAsia="es-ES"/>
        </w:rPr>
        <w:t xml:space="preserve"> no excede los límites del amplio espacio de configuración del legislador para el establecimiento de los procedimientos judiciales.</w:t>
      </w:r>
    </w:p>
    <w:p w:rsidR="002B29C6" w:rsidRPr="00E7386F" w:rsidRDefault="002B29C6" w:rsidP="00E7386F">
      <w:pPr>
        <w:spacing w:after="0" w:line="240" w:lineRule="auto"/>
        <w:ind w:left="426" w:right="418"/>
        <w:jc w:val="both"/>
        <w:rPr>
          <w:rFonts w:ascii="Arial" w:eastAsia="Times New Roman" w:hAnsi="Arial" w:cs="Arial"/>
          <w:i/>
          <w:szCs w:val="24"/>
          <w:lang w:eastAsia="es-ES"/>
        </w:rPr>
      </w:pPr>
    </w:p>
    <w:p w:rsidR="002B29C6" w:rsidRPr="00E7386F" w:rsidRDefault="002B29C6" w:rsidP="00E7386F">
      <w:pPr>
        <w:spacing w:after="0" w:line="240" w:lineRule="auto"/>
        <w:ind w:left="426" w:right="418"/>
        <w:jc w:val="both"/>
        <w:rPr>
          <w:rFonts w:ascii="Arial" w:eastAsia="Times New Roman" w:hAnsi="Arial" w:cs="Arial"/>
          <w:i/>
          <w:szCs w:val="24"/>
        </w:rPr>
      </w:pPr>
      <w:r w:rsidRPr="00E7386F">
        <w:rPr>
          <w:rFonts w:ascii="Arial" w:eastAsia="Times New Roman" w:hAnsi="Arial" w:cs="Arial"/>
          <w:i/>
          <w:szCs w:val="24"/>
          <w:lang w:eastAsia="es-ES"/>
        </w:rPr>
        <w:t>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w:t>
      </w:r>
      <w:r w:rsidRPr="00E7386F">
        <w:rPr>
          <w:rFonts w:ascii="Arial" w:eastAsia="Times New Roman" w:hAnsi="Arial" w:cs="Arial"/>
          <w:i/>
          <w:szCs w:val="24"/>
        </w:rPr>
        <w:t xml:space="preserve">. </w:t>
      </w:r>
      <w:r w:rsidRPr="00E7386F">
        <w:rPr>
          <w:rFonts w:ascii="Arial" w:eastAsia="Times New Roman" w:hAnsi="Arial" w:cs="Arial"/>
          <w:i/>
          <w:szCs w:val="24"/>
          <w:u w:val="single"/>
        </w:rPr>
        <w:t>Para el efecto se precisó, que respecto de la necesidad de la detención, el inciso segundo del artículo 450 demandado debe asumirse en relación con</w:t>
      </w:r>
      <w:r w:rsidRPr="00E7386F">
        <w:rPr>
          <w:rFonts w:ascii="Arial" w:eastAsia="Times New Roman" w:hAnsi="Arial" w:cs="Arial"/>
          <w:i/>
          <w:szCs w:val="24"/>
          <w:u w:val="single"/>
          <w:lang w:eastAsia="es-ES"/>
        </w:rPr>
        <w:t xml:space="preserve"> los artículos 54 y 63 del Código Penal, que establecen los criterios y reglas para la determinación de la punibilidad y los mecanismos sustitutivos de la pena privativa de la libertad, y no </w:t>
      </w:r>
      <w:r w:rsidRPr="00E7386F">
        <w:rPr>
          <w:rFonts w:ascii="Arial" w:eastAsia="Times New Roman" w:hAnsi="Arial" w:cs="Arial"/>
          <w:i/>
          <w:szCs w:val="24"/>
          <w:u w:val="single"/>
          <w:lang w:eastAsia="es-ES"/>
        </w:rPr>
        <w:lastRenderedPageBreak/>
        <w:t xml:space="preserve">con </w:t>
      </w:r>
      <w:r w:rsidRPr="00E7386F">
        <w:rPr>
          <w:rFonts w:ascii="Arial" w:eastAsia="Times New Roman" w:hAnsi="Arial" w:cs="Arial"/>
          <w:i/>
          <w:szCs w:val="24"/>
          <w:u w:val="single"/>
        </w:rPr>
        <w:t>los criterios que deben ser considerados al decretar la medida de aseguramiento</w:t>
      </w:r>
      <w:r w:rsidRPr="00E7386F">
        <w:rPr>
          <w:rFonts w:ascii="Arial" w:eastAsia="Times New Roman" w:hAnsi="Arial" w:cs="Arial"/>
          <w:i/>
          <w:szCs w:val="24"/>
        </w:rPr>
        <w:t>.</w:t>
      </w:r>
    </w:p>
    <w:p w:rsidR="002B29C6" w:rsidRPr="00E7386F" w:rsidRDefault="002B29C6" w:rsidP="00E7386F">
      <w:pPr>
        <w:spacing w:after="0" w:line="240" w:lineRule="auto"/>
        <w:ind w:left="426" w:right="418"/>
        <w:jc w:val="both"/>
        <w:rPr>
          <w:rFonts w:ascii="Arial" w:eastAsia="Times New Roman" w:hAnsi="Arial" w:cs="Arial"/>
          <w:i/>
          <w:szCs w:val="24"/>
          <w:lang w:eastAsia="es-ES"/>
        </w:rPr>
      </w:pPr>
    </w:p>
    <w:p w:rsidR="002B29C6" w:rsidRPr="00E7386F" w:rsidRDefault="002B29C6" w:rsidP="00E7386F">
      <w:pPr>
        <w:spacing w:after="0" w:line="240" w:lineRule="auto"/>
        <w:ind w:left="426" w:right="418"/>
        <w:jc w:val="both"/>
        <w:rPr>
          <w:rFonts w:ascii="Arial" w:eastAsia="Times New Roman" w:hAnsi="Arial" w:cs="Arial"/>
          <w:i/>
          <w:szCs w:val="24"/>
          <w:lang w:eastAsia="es-ES"/>
        </w:rPr>
      </w:pPr>
      <w:r w:rsidRPr="00E7386F">
        <w:rPr>
          <w:rFonts w:ascii="Arial" w:eastAsia="Times New Roman" w:hAnsi="Arial" w:cs="Arial"/>
          <w:i/>
          <w:szCs w:val="24"/>
          <w:lang w:eastAsia="es-ES"/>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ser impugnadas tanto la privación de la libertad, como la declaratoria de responsabilidad penal. Dentro 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rsidR="00345483" w:rsidRPr="00E7386F" w:rsidRDefault="00345483" w:rsidP="00E7386F">
      <w:pPr>
        <w:spacing w:after="0" w:line="240" w:lineRule="auto"/>
        <w:ind w:left="426" w:right="418"/>
        <w:jc w:val="both"/>
        <w:rPr>
          <w:rFonts w:ascii="Arial" w:eastAsia="Times New Roman" w:hAnsi="Arial" w:cs="Arial"/>
          <w:i/>
          <w:szCs w:val="24"/>
          <w:lang w:eastAsia="es-ES"/>
        </w:rPr>
      </w:pPr>
    </w:p>
    <w:p w:rsidR="002B29C6" w:rsidRPr="009E387B" w:rsidRDefault="002B29C6" w:rsidP="00E7386F">
      <w:pPr>
        <w:spacing w:after="0" w:line="240" w:lineRule="auto"/>
        <w:ind w:left="426" w:right="418"/>
        <w:jc w:val="both"/>
        <w:rPr>
          <w:rFonts w:ascii="Arial" w:eastAsia="Times New Roman" w:hAnsi="Arial" w:cs="Arial"/>
          <w:sz w:val="24"/>
          <w:szCs w:val="24"/>
          <w:shd w:val="clear" w:color="auto" w:fill="FFFFFF"/>
        </w:rPr>
      </w:pPr>
      <w:r w:rsidRPr="00E7386F">
        <w:rPr>
          <w:rFonts w:ascii="Arial" w:eastAsia="Times New Roman" w:hAnsi="Arial" w:cs="Arial"/>
          <w:i/>
          <w:szCs w:val="24"/>
          <w:u w:val="single"/>
          <w:lang w:eastAsia="es-ES"/>
        </w:rPr>
        <w:t>11.6. Como cuestión final la Corte reiteró que el juez de conocimiento tiene</w:t>
      </w:r>
      <w:r w:rsidRPr="00E7386F">
        <w:rPr>
          <w:rFonts w:ascii="Arial" w:eastAsia="Times New Roman" w:hAnsi="Arial" w:cs="Arial"/>
          <w:i/>
          <w:szCs w:val="24"/>
          <w:u w:val="single"/>
          <w:bdr w:val="none" w:sz="0" w:space="0" w:color="auto" w:frame="1"/>
          <w:lang w:eastAsia="es-CO"/>
        </w:rPr>
        <w:t xml:space="preserve"> la obligación de evaluar todas las circunstancias relacionadas con el caso y la conducta desarrollada por el acusado, velando por la integridad de sus derechos fundamentales y la vigencia del principio pro </w:t>
      </w:r>
      <w:proofErr w:type="spellStart"/>
      <w:r w:rsidRPr="00E7386F">
        <w:rPr>
          <w:rFonts w:ascii="Arial" w:eastAsia="Times New Roman" w:hAnsi="Arial" w:cs="Arial"/>
          <w:i/>
          <w:szCs w:val="24"/>
          <w:u w:val="single"/>
          <w:bdr w:val="none" w:sz="0" w:space="0" w:color="auto" w:frame="1"/>
          <w:lang w:eastAsia="es-CO"/>
        </w:rPr>
        <w:t>libertate</w:t>
      </w:r>
      <w:proofErr w:type="spellEnd"/>
      <w:r w:rsidRPr="00E7386F">
        <w:rPr>
          <w:rFonts w:ascii="Arial" w:eastAsia="Times New Roman" w:hAnsi="Arial" w:cs="Arial"/>
          <w:i/>
          <w:szCs w:val="24"/>
          <w:u w:val="single"/>
          <w:bdr w:val="none" w:sz="0" w:space="0" w:color="auto" w:frame="1"/>
          <w:vertAlign w:val="superscript"/>
          <w:lang w:eastAsia="es-CO"/>
        </w:rPr>
        <w:footnoteReference w:id="15"/>
      </w:r>
      <w:r w:rsidRPr="00E7386F">
        <w:rPr>
          <w:rFonts w:ascii="Arial" w:eastAsia="Times New Roman" w:hAnsi="Arial" w:cs="Arial"/>
          <w:i/>
          <w:szCs w:val="24"/>
          <w:u w:val="single"/>
          <w:bdr w:val="none" w:sz="0" w:space="0" w:color="auto" w:frame="1"/>
          <w:lang w:eastAsia="es-CO"/>
        </w:rPr>
        <w:t>. Por lo mismo, el funcionario debe asumir rigurosamente, que la privación de la libertad es excepcional y que más aún debe serlo la privación de la libertad</w:t>
      </w:r>
      <w:r w:rsidRPr="00E7386F">
        <w:rPr>
          <w:rFonts w:ascii="Arial" w:eastAsia="Times New Roman" w:hAnsi="Arial" w:cs="Arial"/>
          <w:i/>
          <w:szCs w:val="24"/>
          <w:bdr w:val="none" w:sz="0" w:space="0" w:color="auto" w:frame="1"/>
          <w:lang w:eastAsia="es-CO"/>
        </w:rPr>
        <w:t xml:space="preserve"> </w:t>
      </w:r>
      <w:r w:rsidRPr="00E7386F">
        <w:rPr>
          <w:rFonts w:ascii="Arial" w:eastAsia="Times New Roman" w:hAnsi="Arial" w:cs="Arial"/>
          <w:i/>
          <w:szCs w:val="24"/>
          <w:u w:val="single"/>
          <w:bdr w:val="none" w:sz="0" w:space="0" w:color="auto" w:frame="1"/>
          <w:lang w:eastAsia="es-CO"/>
        </w:rPr>
        <w:t>intramural, por lo cual y de conformidad con la doctrina reconocida por la Corte, “</w:t>
      </w:r>
      <w:r w:rsidRPr="00E7386F">
        <w:rPr>
          <w:rFonts w:ascii="Arial" w:eastAsia="Times New Roman" w:hAnsi="Arial" w:cs="Arial"/>
          <w:i/>
          <w:szCs w:val="24"/>
          <w:u w:val="single"/>
          <w:shd w:val="clear" w:color="auto" w:fill="FFFFFF"/>
        </w:rPr>
        <w:t>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w:t>
      </w:r>
      <w:r w:rsidRPr="00E7386F">
        <w:rPr>
          <w:rFonts w:ascii="Arial" w:eastAsia="Times New Roman" w:hAnsi="Arial" w:cs="Arial"/>
          <w:i/>
          <w:szCs w:val="24"/>
          <w:u w:val="single"/>
          <w:shd w:val="clear" w:color="auto" w:fill="FFFFFF"/>
          <w:vertAlign w:val="superscript"/>
        </w:rPr>
        <w:footnoteReference w:id="16"/>
      </w:r>
      <w:r w:rsidRPr="00E7386F">
        <w:rPr>
          <w:rFonts w:ascii="Arial" w:eastAsia="Times New Roman" w:hAnsi="Arial" w:cs="Arial"/>
          <w:i/>
          <w:szCs w:val="24"/>
          <w:u w:val="single"/>
          <w:shd w:val="clear" w:color="auto" w:fill="FFFFFF"/>
        </w:rPr>
        <w:t>.</w:t>
      </w:r>
      <w:r w:rsidRPr="00E7386F">
        <w:rPr>
          <w:rFonts w:ascii="Arial" w:eastAsia="Times New Roman" w:hAnsi="Arial" w:cs="Arial"/>
          <w:szCs w:val="24"/>
          <w:u w:val="single"/>
          <w:shd w:val="clear" w:color="auto" w:fill="FFFFFF"/>
        </w:rPr>
        <w:t xml:space="preserve"> </w:t>
      </w:r>
      <w:r w:rsidRPr="009E387B">
        <w:rPr>
          <w:rFonts w:ascii="Arial" w:eastAsia="Times New Roman" w:hAnsi="Arial" w:cs="Arial"/>
          <w:sz w:val="24"/>
          <w:szCs w:val="24"/>
          <w:shd w:val="clear" w:color="auto" w:fill="FFFFFF"/>
        </w:rPr>
        <w:t xml:space="preserve">(Subrayas ex texto) </w:t>
      </w:r>
    </w:p>
    <w:p w:rsidR="002B29C6" w:rsidRPr="009E387B" w:rsidRDefault="002B29C6" w:rsidP="009E387B">
      <w:pPr>
        <w:spacing w:after="0" w:line="288" w:lineRule="auto"/>
        <w:jc w:val="both"/>
        <w:rPr>
          <w:rFonts w:ascii="Arial" w:eastAsia="Times New Roman" w:hAnsi="Arial" w:cs="Arial"/>
          <w:i/>
          <w:sz w:val="24"/>
          <w:szCs w:val="24"/>
          <w:u w:val="single"/>
          <w:shd w:val="clear" w:color="auto" w:fill="FFFFFF"/>
        </w:rPr>
      </w:pPr>
    </w:p>
    <w:p w:rsidR="002B29C6" w:rsidRPr="009E387B" w:rsidRDefault="002B29C6" w:rsidP="009E387B">
      <w:pPr>
        <w:spacing w:after="0" w:line="288" w:lineRule="auto"/>
        <w:jc w:val="both"/>
        <w:rPr>
          <w:rFonts w:ascii="Arial" w:eastAsia="Times New Roman" w:hAnsi="Arial" w:cs="Arial"/>
          <w:i/>
          <w:sz w:val="24"/>
          <w:szCs w:val="24"/>
          <w:shd w:val="clear" w:color="auto" w:fill="FFFFFF"/>
        </w:rPr>
      </w:pPr>
      <w:r w:rsidRPr="009E387B">
        <w:rPr>
          <w:rFonts w:ascii="Arial" w:eastAsia="Times New Roman" w:hAnsi="Arial" w:cs="Arial"/>
          <w:sz w:val="24"/>
          <w:szCs w:val="24"/>
          <w:shd w:val="clear" w:color="auto" w:fill="FFFFFF"/>
        </w:rPr>
        <w:t xml:space="preserve">8.3 De acuerdo a las consideraciones </w:t>
      </w:r>
      <w:r w:rsidR="00E11BCB" w:rsidRPr="009E387B">
        <w:rPr>
          <w:rFonts w:ascii="Arial" w:eastAsia="Times New Roman" w:hAnsi="Arial" w:cs="Arial"/>
          <w:sz w:val="24"/>
          <w:szCs w:val="24"/>
          <w:shd w:val="clear" w:color="auto" w:fill="FFFFFF"/>
        </w:rPr>
        <w:t>citadas</w:t>
      </w:r>
      <w:r w:rsidRPr="009E387B">
        <w:rPr>
          <w:rFonts w:ascii="Arial" w:eastAsia="Times New Roman" w:hAnsi="Arial" w:cs="Arial"/>
          <w:sz w:val="24"/>
          <w:szCs w:val="24"/>
          <w:shd w:val="clear" w:color="auto" w:fill="FFFFFF"/>
        </w:rPr>
        <w:t xml:space="preserve"> debe decirse que en este evento no podrían aducirse las razones mencionadas en el artículo 308 del CPP, que se relacionan con la imposición de una medida de aseguramiento, para ordenar la captura inmediata del procesado, quien se encuentra en libertad, ya que los supuestos de esa norma están relacionados con situaciones previstas en los numerales 1º a 3º </w:t>
      </w:r>
      <w:r w:rsidR="00E11BCB" w:rsidRPr="009E387B">
        <w:rPr>
          <w:rFonts w:ascii="Arial" w:eastAsia="Times New Roman" w:hAnsi="Arial" w:cs="Arial"/>
          <w:sz w:val="24"/>
          <w:szCs w:val="24"/>
          <w:shd w:val="clear" w:color="auto" w:fill="FFFFFF"/>
        </w:rPr>
        <w:t>d</w:t>
      </w:r>
      <w:r w:rsidRPr="009E387B">
        <w:rPr>
          <w:rFonts w:ascii="Arial" w:eastAsia="Times New Roman" w:hAnsi="Arial" w:cs="Arial"/>
          <w:sz w:val="24"/>
          <w:szCs w:val="24"/>
          <w:shd w:val="clear" w:color="auto" w:fill="FFFFFF"/>
        </w:rPr>
        <w:t xml:space="preserve">e </w:t>
      </w:r>
      <w:r w:rsidR="00E11BCB" w:rsidRPr="009E387B">
        <w:rPr>
          <w:rFonts w:ascii="Arial" w:eastAsia="Times New Roman" w:hAnsi="Arial" w:cs="Arial"/>
          <w:sz w:val="24"/>
          <w:szCs w:val="24"/>
          <w:shd w:val="clear" w:color="auto" w:fill="FFFFFF"/>
        </w:rPr>
        <w:t xml:space="preserve">la misma </w:t>
      </w:r>
      <w:r w:rsidRPr="009E387B">
        <w:rPr>
          <w:rFonts w:ascii="Arial" w:eastAsia="Times New Roman" w:hAnsi="Arial" w:cs="Arial"/>
          <w:sz w:val="24"/>
          <w:szCs w:val="24"/>
          <w:shd w:val="clear" w:color="auto" w:fill="FFFFFF"/>
        </w:rPr>
        <w:t xml:space="preserve">así : 1. “ </w:t>
      </w:r>
      <w:r w:rsidRPr="009E387B">
        <w:rPr>
          <w:rFonts w:ascii="Arial" w:eastAsia="Times New Roman" w:hAnsi="Arial" w:cs="Arial"/>
          <w:i/>
          <w:sz w:val="24"/>
          <w:szCs w:val="24"/>
          <w:shd w:val="clear" w:color="auto" w:fill="FFFFFF"/>
        </w:rPr>
        <w:t>Que la medida de aseguramiento se muestre como necesaria para evitar que el imputado obstruya el debido ejercicio de la justicia 2. Que el imputado constituya un peligro para la seguridad de la sociedad o de la víctima “3. Que resulte probable que el imputado comparezca al proceso o que no cumplirá la sentencia”.</w:t>
      </w:r>
    </w:p>
    <w:p w:rsidR="00345483" w:rsidRPr="009E387B" w:rsidRDefault="00345483" w:rsidP="009E387B">
      <w:pPr>
        <w:spacing w:after="0" w:line="288" w:lineRule="auto"/>
        <w:jc w:val="both"/>
        <w:rPr>
          <w:rFonts w:ascii="Arial" w:eastAsia="Times New Roman" w:hAnsi="Arial" w:cs="Arial"/>
          <w:i/>
          <w:sz w:val="24"/>
          <w:szCs w:val="24"/>
          <w:shd w:val="clear" w:color="auto" w:fill="FFFFFF"/>
        </w:rPr>
      </w:pPr>
    </w:p>
    <w:p w:rsidR="002B29C6" w:rsidRPr="009E387B" w:rsidRDefault="002B29C6" w:rsidP="009E387B">
      <w:pPr>
        <w:spacing w:after="0" w:line="288" w:lineRule="auto"/>
        <w:jc w:val="both"/>
        <w:rPr>
          <w:rFonts w:ascii="Arial" w:eastAsia="Times New Roman" w:hAnsi="Arial" w:cs="Arial"/>
          <w:sz w:val="24"/>
          <w:szCs w:val="24"/>
          <w:shd w:val="clear" w:color="auto" w:fill="FFFFFF"/>
        </w:rPr>
      </w:pPr>
      <w:r w:rsidRPr="009E387B">
        <w:rPr>
          <w:rFonts w:ascii="Arial" w:eastAsia="Times New Roman" w:hAnsi="Arial" w:cs="Arial"/>
          <w:sz w:val="24"/>
          <w:szCs w:val="24"/>
          <w:shd w:val="clear" w:color="auto" w:fill="FFFFFF"/>
        </w:rPr>
        <w:t>8.4 En ese orden de ideas como en el precedente citado se reafirma el carácter excepcional de la privación de la libertad</w:t>
      </w:r>
      <w:r w:rsidR="00345483" w:rsidRPr="009E387B">
        <w:rPr>
          <w:rFonts w:ascii="Arial" w:eastAsia="Times New Roman" w:hAnsi="Arial" w:cs="Arial"/>
          <w:sz w:val="24"/>
          <w:szCs w:val="24"/>
          <w:shd w:val="clear" w:color="auto" w:fill="FFFFFF"/>
        </w:rPr>
        <w:t>,</w:t>
      </w:r>
      <w:r w:rsidRPr="009E387B">
        <w:rPr>
          <w:rFonts w:ascii="Arial" w:eastAsia="Times New Roman" w:hAnsi="Arial" w:cs="Arial"/>
          <w:sz w:val="24"/>
          <w:szCs w:val="24"/>
          <w:shd w:val="clear" w:color="auto" w:fill="FFFFFF"/>
        </w:rPr>
        <w:t xml:space="preserve"> por lo cual</w:t>
      </w:r>
      <w:r w:rsidR="00345483" w:rsidRPr="009E387B">
        <w:rPr>
          <w:rFonts w:ascii="Arial" w:eastAsia="Times New Roman" w:hAnsi="Arial" w:cs="Arial"/>
          <w:sz w:val="24"/>
          <w:szCs w:val="24"/>
          <w:shd w:val="clear" w:color="auto" w:fill="FFFFFF"/>
        </w:rPr>
        <w:t>,</w:t>
      </w:r>
      <w:r w:rsidRPr="009E387B">
        <w:rPr>
          <w:rFonts w:ascii="Arial" w:eastAsia="Times New Roman" w:hAnsi="Arial" w:cs="Arial"/>
          <w:sz w:val="24"/>
          <w:szCs w:val="24"/>
          <w:shd w:val="clear" w:color="auto" w:fill="FFFFFF"/>
        </w:rPr>
        <w:t xml:space="preserve"> siguiendo los términos de la sentencia C-342 de 2017, al evaluar: </w:t>
      </w:r>
      <w:r w:rsidRPr="009E387B">
        <w:rPr>
          <w:rFonts w:ascii="Arial" w:eastAsia="Times New Roman" w:hAnsi="Arial" w:cs="Arial"/>
          <w:i/>
          <w:sz w:val="24"/>
          <w:szCs w:val="24"/>
          <w:shd w:val="clear" w:color="auto" w:fill="FFFFFF"/>
        </w:rPr>
        <w:t xml:space="preserve">”...todas las circunstancias relacionadas con el caso y la conducta desarrollada por el acusado, velando por la integridad de sus derechos fundamentales y la vigencia del principio pro </w:t>
      </w:r>
      <w:proofErr w:type="spellStart"/>
      <w:r w:rsidRPr="009E387B">
        <w:rPr>
          <w:rFonts w:ascii="Arial" w:eastAsia="Times New Roman" w:hAnsi="Arial" w:cs="Arial"/>
          <w:i/>
          <w:sz w:val="24"/>
          <w:szCs w:val="24"/>
          <w:shd w:val="clear" w:color="auto" w:fill="FFFFFF"/>
        </w:rPr>
        <w:t>libertate</w:t>
      </w:r>
      <w:proofErr w:type="spellEnd"/>
      <w:r w:rsidRPr="009E387B">
        <w:rPr>
          <w:rFonts w:ascii="Arial" w:eastAsia="Times New Roman" w:hAnsi="Arial" w:cs="Arial"/>
          <w:i/>
          <w:sz w:val="24"/>
          <w:szCs w:val="24"/>
          <w:shd w:val="clear" w:color="auto" w:fill="FFFFFF"/>
        </w:rPr>
        <w:t xml:space="preserve">”, </w:t>
      </w:r>
      <w:r w:rsidRPr="009E387B">
        <w:rPr>
          <w:rFonts w:ascii="Arial" w:eastAsia="Times New Roman" w:hAnsi="Arial" w:cs="Arial"/>
          <w:sz w:val="24"/>
          <w:szCs w:val="24"/>
          <w:shd w:val="clear" w:color="auto" w:fill="FFFFFF"/>
        </w:rPr>
        <w:t>se considera que en el presente caso no resulta indispensable la privación de la libertad del incriminad</w:t>
      </w:r>
      <w:r w:rsidR="00345483" w:rsidRPr="009E387B">
        <w:rPr>
          <w:rFonts w:ascii="Arial" w:eastAsia="Times New Roman" w:hAnsi="Arial" w:cs="Arial"/>
          <w:sz w:val="24"/>
          <w:szCs w:val="24"/>
          <w:shd w:val="clear" w:color="auto" w:fill="FFFFFF"/>
        </w:rPr>
        <w:t>o</w:t>
      </w:r>
      <w:r w:rsidRPr="009E387B">
        <w:rPr>
          <w:rFonts w:ascii="Arial" w:eastAsia="Times New Roman" w:hAnsi="Arial" w:cs="Arial"/>
          <w:sz w:val="24"/>
          <w:szCs w:val="24"/>
          <w:shd w:val="clear" w:color="auto" w:fill="FFFFFF"/>
        </w:rPr>
        <w:t>, que tiene carácter excepcional según el precedente mencionado</w:t>
      </w:r>
      <w:r w:rsidR="00E11BCB" w:rsidRPr="009E387B">
        <w:rPr>
          <w:rFonts w:ascii="Arial" w:eastAsia="Times New Roman" w:hAnsi="Arial" w:cs="Arial"/>
          <w:sz w:val="24"/>
          <w:szCs w:val="24"/>
          <w:shd w:val="clear" w:color="auto" w:fill="FFFFFF"/>
        </w:rPr>
        <w:t xml:space="preserve"> y atendiendo que </w:t>
      </w:r>
      <w:r w:rsidR="000B4FC3" w:rsidRPr="009E387B">
        <w:rPr>
          <w:rFonts w:ascii="Arial" w:eastAsia="Times New Roman" w:hAnsi="Arial" w:cs="Arial"/>
          <w:sz w:val="24"/>
          <w:szCs w:val="24"/>
          <w:shd w:val="clear" w:color="auto" w:fill="FFFFFF"/>
        </w:rPr>
        <w:t>en el caso bajo análisis no se impuso una medida de aseguramiento al procesado en las audiencias preliminares, tampoco le era exigible su presencia en el juicio oral toda vez que se allanó a los cargos imputados por la FGN y, por último, se verificó que el Juzgado de primera instancia no expidió la orden de captura que dispuso librar</w:t>
      </w:r>
      <w:r w:rsidRPr="009E387B">
        <w:rPr>
          <w:rFonts w:ascii="Arial" w:eastAsia="Times New Roman" w:hAnsi="Arial" w:cs="Arial"/>
          <w:sz w:val="24"/>
          <w:szCs w:val="24"/>
          <w:shd w:val="clear" w:color="auto" w:fill="FFFFFF"/>
        </w:rPr>
        <w:t>, por lo cual su eventual detención a efectos de que descuente la pena impuesta, solo se hará efectiva, de cobrar ejecutoria la presente decisión.</w:t>
      </w:r>
    </w:p>
    <w:p w:rsidR="002B29C6" w:rsidRPr="009E387B" w:rsidRDefault="002B29C6" w:rsidP="009E387B">
      <w:pPr>
        <w:pStyle w:val="Sinespaciado"/>
        <w:spacing w:line="288" w:lineRule="auto"/>
        <w:jc w:val="both"/>
        <w:rPr>
          <w:rFonts w:ascii="Arial" w:hAnsi="Arial" w:cs="Arial"/>
          <w:sz w:val="24"/>
          <w:szCs w:val="24"/>
          <w:lang w:val="es-CO"/>
        </w:rPr>
      </w:pPr>
    </w:p>
    <w:p w:rsidR="001404E1" w:rsidRPr="009E387B" w:rsidRDefault="001404E1" w:rsidP="009E387B">
      <w:pPr>
        <w:spacing w:after="0" w:line="288" w:lineRule="auto"/>
        <w:jc w:val="both"/>
        <w:rPr>
          <w:rFonts w:ascii="Arial" w:eastAsia="Times New Roman" w:hAnsi="Arial" w:cs="Arial"/>
          <w:sz w:val="24"/>
          <w:szCs w:val="24"/>
          <w:lang w:val="es-ES" w:eastAsia="es-ES"/>
        </w:rPr>
      </w:pPr>
      <w:r w:rsidRPr="009E387B">
        <w:rPr>
          <w:rFonts w:ascii="Arial" w:eastAsia="Times New Roman" w:hAnsi="Arial" w:cs="Arial"/>
          <w:sz w:val="24"/>
          <w:szCs w:val="24"/>
          <w:lang w:val="es-ES" w:eastAsia="es-ES"/>
        </w:rPr>
        <w:t>Con base en lo expuesto en precedencia, la Sala de Decisión Penal del Tribunal Superior del Distrito Judicial de Pereira, Administrando Justicia en nombre de la República y por Autoridad de la Ley,</w:t>
      </w:r>
    </w:p>
    <w:p w:rsidR="00D20FF3" w:rsidRPr="009E387B" w:rsidRDefault="00D20FF3" w:rsidP="009E387B">
      <w:pPr>
        <w:spacing w:after="0" w:line="288" w:lineRule="auto"/>
        <w:jc w:val="center"/>
        <w:rPr>
          <w:rFonts w:ascii="Arial" w:eastAsia="Adobe Gothic Std B" w:hAnsi="Arial" w:cs="Arial"/>
          <w:b/>
          <w:sz w:val="24"/>
          <w:szCs w:val="24"/>
          <w:lang w:eastAsia="es-ES"/>
        </w:rPr>
      </w:pPr>
    </w:p>
    <w:p w:rsidR="001404E1" w:rsidRPr="009E387B" w:rsidRDefault="001404E1" w:rsidP="009E387B">
      <w:pPr>
        <w:spacing w:after="0" w:line="288" w:lineRule="auto"/>
        <w:jc w:val="center"/>
        <w:rPr>
          <w:rFonts w:ascii="Arial" w:eastAsia="Adobe Gothic Std B" w:hAnsi="Arial" w:cs="Arial"/>
          <w:b/>
          <w:sz w:val="24"/>
          <w:szCs w:val="24"/>
          <w:lang w:eastAsia="es-ES"/>
        </w:rPr>
      </w:pPr>
      <w:r w:rsidRPr="009E387B">
        <w:rPr>
          <w:rFonts w:ascii="Arial" w:eastAsia="Adobe Gothic Std B" w:hAnsi="Arial" w:cs="Arial"/>
          <w:b/>
          <w:sz w:val="24"/>
          <w:szCs w:val="24"/>
          <w:lang w:eastAsia="es-ES"/>
        </w:rPr>
        <w:t>RESUELVE:</w:t>
      </w:r>
    </w:p>
    <w:p w:rsidR="00345483" w:rsidRPr="009E387B" w:rsidRDefault="00345483" w:rsidP="009E387B">
      <w:pPr>
        <w:spacing w:after="0" w:line="288" w:lineRule="auto"/>
        <w:jc w:val="both"/>
        <w:rPr>
          <w:rFonts w:ascii="Arial" w:eastAsia="Adobe Gothic Std B" w:hAnsi="Arial" w:cs="Arial"/>
          <w:sz w:val="24"/>
          <w:szCs w:val="24"/>
          <w:lang w:eastAsia="es-ES"/>
        </w:rPr>
      </w:pPr>
    </w:p>
    <w:p w:rsidR="008240A1" w:rsidRDefault="001404E1" w:rsidP="00A72D58">
      <w:pPr>
        <w:spacing w:after="0" w:line="288" w:lineRule="auto"/>
        <w:jc w:val="both"/>
        <w:rPr>
          <w:rFonts w:ascii="Arial" w:eastAsia="Times New Roman" w:hAnsi="Arial" w:cs="Arial"/>
          <w:sz w:val="24"/>
          <w:szCs w:val="24"/>
          <w:lang w:val="es-ES" w:eastAsia="es-ES"/>
        </w:rPr>
      </w:pPr>
      <w:r w:rsidRPr="00A72D58">
        <w:rPr>
          <w:rFonts w:ascii="Arial" w:eastAsia="Times New Roman" w:hAnsi="Arial" w:cs="Arial"/>
          <w:b/>
          <w:sz w:val="24"/>
          <w:szCs w:val="24"/>
          <w:lang w:val="es-ES" w:eastAsia="es-ES"/>
        </w:rPr>
        <w:t>PRIMERO:</w:t>
      </w:r>
      <w:r w:rsidRPr="00A72D58">
        <w:rPr>
          <w:rFonts w:ascii="Arial" w:eastAsia="Times New Roman" w:hAnsi="Arial" w:cs="Arial"/>
          <w:b/>
          <w:sz w:val="24"/>
          <w:szCs w:val="24"/>
          <w:lang w:val="es-ES" w:eastAsia="es-ES"/>
        </w:rPr>
        <w:tab/>
      </w:r>
      <w:r w:rsidR="008240A1" w:rsidRPr="00A72D58">
        <w:rPr>
          <w:rFonts w:ascii="Arial" w:eastAsia="Times New Roman" w:hAnsi="Arial" w:cs="Arial"/>
          <w:b/>
          <w:sz w:val="24"/>
          <w:szCs w:val="24"/>
          <w:lang w:val="es-ES" w:eastAsia="es-ES"/>
        </w:rPr>
        <w:t>CONFIRMAR PARCIALMENTE</w:t>
      </w:r>
      <w:r w:rsidR="008240A1" w:rsidRPr="00A72D58">
        <w:rPr>
          <w:rFonts w:ascii="Arial" w:eastAsia="Times New Roman" w:hAnsi="Arial" w:cs="Arial"/>
          <w:sz w:val="24"/>
          <w:szCs w:val="24"/>
          <w:lang w:val="es-ES" w:eastAsia="es-ES"/>
        </w:rPr>
        <w:t xml:space="preserve"> la sentencia proferida el 10 de diciembre de 2013 por el Juzgado Primero Penal Municipal de Conocimiento de Pereira (Risaralda), en contra del señor </w:t>
      </w:r>
      <w:proofErr w:type="spellStart"/>
      <w:r w:rsidR="007951D4">
        <w:rPr>
          <w:rFonts w:ascii="Arial" w:eastAsia="Times New Roman" w:hAnsi="Arial" w:cs="Arial"/>
          <w:sz w:val="24"/>
          <w:szCs w:val="24"/>
          <w:lang w:val="es-ES" w:eastAsia="es-ES"/>
        </w:rPr>
        <w:t>JAMV</w:t>
      </w:r>
      <w:proofErr w:type="spellEnd"/>
      <w:r w:rsidR="008240A1" w:rsidRPr="00A72D58">
        <w:rPr>
          <w:rFonts w:ascii="Arial" w:eastAsia="Times New Roman" w:hAnsi="Arial" w:cs="Arial"/>
          <w:sz w:val="24"/>
          <w:szCs w:val="24"/>
          <w:lang w:val="es-ES" w:eastAsia="es-ES"/>
        </w:rPr>
        <w:t xml:space="preserve">. En consecuencia se </w:t>
      </w:r>
      <w:r w:rsidR="008240A1" w:rsidRPr="00A72D58">
        <w:rPr>
          <w:rFonts w:ascii="Arial" w:eastAsia="Times New Roman" w:hAnsi="Arial" w:cs="Arial"/>
          <w:b/>
          <w:sz w:val="24"/>
          <w:szCs w:val="24"/>
          <w:lang w:val="es-ES" w:eastAsia="es-ES"/>
        </w:rPr>
        <w:t>MODIFICAN</w:t>
      </w:r>
      <w:r w:rsidR="008240A1" w:rsidRPr="00A72D58">
        <w:rPr>
          <w:rFonts w:ascii="Arial" w:eastAsia="Times New Roman" w:hAnsi="Arial" w:cs="Arial"/>
          <w:sz w:val="24"/>
          <w:szCs w:val="24"/>
          <w:lang w:val="es-ES" w:eastAsia="es-ES"/>
        </w:rPr>
        <w:t xml:space="preserve"> los ordinales primero y segundo de dicho proveído en el sentido de condenar al señor </w:t>
      </w:r>
      <w:proofErr w:type="spellStart"/>
      <w:r w:rsidR="007951D4">
        <w:rPr>
          <w:rFonts w:ascii="Arial" w:eastAsia="Times New Roman" w:hAnsi="Arial" w:cs="Arial"/>
          <w:sz w:val="24"/>
          <w:szCs w:val="24"/>
          <w:lang w:val="es-ES" w:eastAsia="es-ES"/>
        </w:rPr>
        <w:t>JAMV</w:t>
      </w:r>
      <w:proofErr w:type="spellEnd"/>
      <w:r w:rsidR="008240A1" w:rsidRPr="00A72D58">
        <w:rPr>
          <w:rFonts w:ascii="Arial" w:eastAsia="Times New Roman" w:hAnsi="Arial" w:cs="Arial"/>
          <w:sz w:val="24"/>
          <w:szCs w:val="24"/>
          <w:lang w:val="es-ES" w:eastAsia="es-ES"/>
        </w:rPr>
        <w:t>, a la pena principal de 21 meses y 1</w:t>
      </w:r>
      <w:r w:rsidR="00CF679B" w:rsidRPr="00A72D58">
        <w:rPr>
          <w:rFonts w:ascii="Arial" w:eastAsia="Times New Roman" w:hAnsi="Arial" w:cs="Arial"/>
          <w:sz w:val="24"/>
          <w:szCs w:val="24"/>
          <w:lang w:val="es-ES" w:eastAsia="es-ES"/>
        </w:rPr>
        <w:t>8</w:t>
      </w:r>
      <w:r w:rsidR="008240A1" w:rsidRPr="00A72D58">
        <w:rPr>
          <w:rFonts w:ascii="Arial" w:eastAsia="Times New Roman" w:hAnsi="Arial" w:cs="Arial"/>
          <w:sz w:val="24"/>
          <w:szCs w:val="24"/>
          <w:lang w:val="es-ES" w:eastAsia="es-ES"/>
        </w:rPr>
        <w:t xml:space="preserve"> días de prisión y a la pena accesoria de inhabilitación para el ejercicio de derechos y funciones públicas por igual término. En lo demás queda vigente el fallo de primera instancia.</w:t>
      </w:r>
    </w:p>
    <w:p w:rsidR="00A72D58" w:rsidRPr="00A72D58" w:rsidRDefault="00A72D58" w:rsidP="00A72D58">
      <w:pPr>
        <w:spacing w:after="0" w:line="288" w:lineRule="auto"/>
        <w:jc w:val="both"/>
        <w:rPr>
          <w:rFonts w:ascii="Arial" w:eastAsia="Times New Roman" w:hAnsi="Arial" w:cs="Arial"/>
          <w:sz w:val="24"/>
          <w:szCs w:val="24"/>
          <w:lang w:val="es-ES" w:eastAsia="es-ES"/>
        </w:rPr>
      </w:pPr>
    </w:p>
    <w:p w:rsidR="002B29C6" w:rsidRPr="009E387B" w:rsidRDefault="001404E1" w:rsidP="009E387B">
      <w:pPr>
        <w:pStyle w:val="Sinespaciado"/>
        <w:spacing w:line="288" w:lineRule="auto"/>
        <w:jc w:val="both"/>
        <w:rPr>
          <w:rFonts w:ascii="Arial" w:hAnsi="Arial" w:cs="Arial"/>
          <w:sz w:val="24"/>
          <w:szCs w:val="24"/>
        </w:rPr>
      </w:pPr>
      <w:r w:rsidRPr="009E387B">
        <w:rPr>
          <w:rFonts w:ascii="Arial" w:eastAsia="Times New Roman" w:hAnsi="Arial" w:cs="Arial"/>
          <w:b/>
          <w:sz w:val="24"/>
          <w:szCs w:val="24"/>
          <w:lang w:eastAsia="es-ES"/>
        </w:rPr>
        <w:t>SEGUNDO:</w:t>
      </w:r>
      <w:r w:rsidR="00E84196" w:rsidRPr="009E387B">
        <w:rPr>
          <w:rFonts w:ascii="Arial" w:eastAsia="Times New Roman" w:hAnsi="Arial" w:cs="Arial"/>
          <w:b/>
          <w:sz w:val="24"/>
          <w:szCs w:val="24"/>
          <w:lang w:eastAsia="es-ES"/>
        </w:rPr>
        <w:t xml:space="preserve"> </w:t>
      </w:r>
      <w:r w:rsidR="00E84196" w:rsidRPr="009E387B">
        <w:rPr>
          <w:rFonts w:ascii="Arial" w:eastAsia="Times New Roman" w:hAnsi="Arial" w:cs="Arial"/>
          <w:sz w:val="24"/>
          <w:szCs w:val="24"/>
          <w:lang w:eastAsia="es-ES"/>
        </w:rPr>
        <w:t>Toda vez que no hubo variación re</w:t>
      </w:r>
      <w:bookmarkStart w:id="1" w:name="_GoBack"/>
      <w:bookmarkEnd w:id="1"/>
      <w:r w:rsidR="00E84196" w:rsidRPr="009E387B">
        <w:rPr>
          <w:rFonts w:ascii="Arial" w:eastAsia="Times New Roman" w:hAnsi="Arial" w:cs="Arial"/>
          <w:sz w:val="24"/>
          <w:szCs w:val="24"/>
          <w:lang w:eastAsia="es-ES"/>
        </w:rPr>
        <w:t xml:space="preserve">specto de la negativa del </w:t>
      </w:r>
      <w:r w:rsidR="00E84196" w:rsidRPr="009E387B">
        <w:rPr>
          <w:rFonts w:ascii="Arial" w:eastAsia="Times New Roman" w:hAnsi="Arial" w:cs="Arial"/>
          <w:sz w:val="24"/>
          <w:szCs w:val="24"/>
          <w:lang w:val="es-CO"/>
        </w:rPr>
        <w:t>subrogado de ejecución condicional de la pena de conformidad con lo expuesto en la parte motiva de esta providencia</w:t>
      </w:r>
      <w:r w:rsidR="00345483" w:rsidRPr="009E387B">
        <w:rPr>
          <w:rFonts w:ascii="Arial" w:eastAsia="Times New Roman" w:hAnsi="Arial" w:cs="Arial"/>
          <w:sz w:val="24"/>
          <w:szCs w:val="24"/>
          <w:lang w:val="es-CO"/>
        </w:rPr>
        <w:t xml:space="preserve"> y atendiendo que no se ha librado orden de captura </w:t>
      </w:r>
      <w:r w:rsidR="00E84196" w:rsidRPr="009E387B">
        <w:rPr>
          <w:rFonts w:ascii="Arial" w:eastAsia="Times New Roman" w:hAnsi="Arial" w:cs="Arial"/>
          <w:sz w:val="24"/>
          <w:szCs w:val="24"/>
          <w:lang w:val="es-CO"/>
        </w:rPr>
        <w:t>en contra del condenado</w:t>
      </w:r>
      <w:r w:rsidR="00345483" w:rsidRPr="009E387B">
        <w:rPr>
          <w:rFonts w:ascii="Arial" w:eastAsia="Times New Roman" w:hAnsi="Arial" w:cs="Arial"/>
          <w:sz w:val="24"/>
          <w:szCs w:val="24"/>
          <w:lang w:val="es-CO"/>
        </w:rPr>
        <w:t>, se dispone librar</w:t>
      </w:r>
      <w:r w:rsidR="00E84196" w:rsidRPr="009E387B">
        <w:rPr>
          <w:rFonts w:ascii="Arial" w:eastAsia="Times New Roman" w:hAnsi="Arial" w:cs="Arial"/>
          <w:sz w:val="24"/>
          <w:szCs w:val="24"/>
          <w:lang w:val="es-CO"/>
        </w:rPr>
        <w:t xml:space="preserve"> </w:t>
      </w:r>
      <w:r w:rsidR="00345483" w:rsidRPr="009E387B">
        <w:rPr>
          <w:rFonts w:ascii="Arial" w:eastAsia="Times New Roman" w:hAnsi="Arial" w:cs="Arial"/>
          <w:sz w:val="24"/>
          <w:szCs w:val="24"/>
          <w:lang w:val="es-CO"/>
        </w:rPr>
        <w:t xml:space="preserve">la misma </w:t>
      </w:r>
      <w:r w:rsidR="00E84196" w:rsidRPr="009E387B">
        <w:rPr>
          <w:rFonts w:ascii="Arial" w:eastAsia="Times New Roman" w:hAnsi="Arial" w:cs="Arial"/>
          <w:sz w:val="24"/>
          <w:szCs w:val="24"/>
          <w:lang w:val="es-CO"/>
        </w:rPr>
        <w:t xml:space="preserve">para que descuente la pena impuesta en la presente decisión.  </w:t>
      </w:r>
      <w:r w:rsidR="002B29C6" w:rsidRPr="009E387B">
        <w:rPr>
          <w:rFonts w:ascii="Arial" w:hAnsi="Arial" w:cs="Arial"/>
          <w:sz w:val="24"/>
          <w:szCs w:val="24"/>
        </w:rPr>
        <w:t>Sin embargo, su privación de la libertad para cumplir la pena impuesta solo se hará efectiva de cobrar ejecutoria esta decisión de segunda instancia, como se explicó en el apartado número 8 de esta providencia.</w:t>
      </w:r>
    </w:p>
    <w:p w:rsidR="002B29C6" w:rsidRPr="009E387B" w:rsidRDefault="002B29C6" w:rsidP="009E387B">
      <w:pPr>
        <w:spacing w:after="0" w:line="288" w:lineRule="auto"/>
        <w:jc w:val="both"/>
        <w:rPr>
          <w:rFonts w:ascii="Arial" w:eastAsia="Times New Roman" w:hAnsi="Arial" w:cs="Arial"/>
          <w:sz w:val="24"/>
          <w:szCs w:val="24"/>
          <w:lang w:eastAsia="es-ES"/>
        </w:rPr>
      </w:pPr>
    </w:p>
    <w:p w:rsidR="001404E1" w:rsidRPr="009E387B" w:rsidRDefault="00345483" w:rsidP="009E387B">
      <w:pPr>
        <w:spacing w:after="0" w:line="288" w:lineRule="auto"/>
        <w:jc w:val="both"/>
        <w:rPr>
          <w:rFonts w:ascii="Arial" w:eastAsia="Times New Roman" w:hAnsi="Arial" w:cs="Arial"/>
          <w:sz w:val="24"/>
          <w:szCs w:val="24"/>
          <w:lang w:eastAsia="es-ES"/>
        </w:rPr>
      </w:pPr>
      <w:r w:rsidRPr="009E387B">
        <w:rPr>
          <w:rFonts w:ascii="Arial" w:eastAsia="Times New Roman" w:hAnsi="Arial" w:cs="Arial"/>
          <w:b/>
          <w:sz w:val="24"/>
          <w:szCs w:val="24"/>
          <w:lang w:eastAsia="es-ES"/>
        </w:rPr>
        <w:t>TERCERO</w:t>
      </w:r>
      <w:r w:rsidR="00E84196" w:rsidRPr="009E387B">
        <w:rPr>
          <w:rFonts w:ascii="Arial" w:eastAsia="Times New Roman" w:hAnsi="Arial" w:cs="Arial"/>
          <w:b/>
          <w:sz w:val="24"/>
          <w:szCs w:val="24"/>
          <w:lang w:eastAsia="es-ES"/>
        </w:rPr>
        <w:t xml:space="preserve">: </w:t>
      </w:r>
      <w:r w:rsidR="001404E1" w:rsidRPr="009E387B">
        <w:rPr>
          <w:rFonts w:ascii="Arial" w:eastAsia="Times New Roman" w:hAnsi="Arial" w:cs="Arial"/>
          <w:sz w:val="24"/>
          <w:szCs w:val="24"/>
          <w:lang w:eastAsia="es-ES"/>
        </w:rPr>
        <w:t>Esta decisión queda notificada en estrados y contr</w:t>
      </w:r>
      <w:r w:rsidR="00CF679B" w:rsidRPr="009E387B">
        <w:rPr>
          <w:rFonts w:ascii="Arial" w:eastAsia="Times New Roman" w:hAnsi="Arial" w:cs="Arial"/>
          <w:sz w:val="24"/>
          <w:szCs w:val="24"/>
          <w:lang w:eastAsia="es-ES"/>
        </w:rPr>
        <w:t>a</w:t>
      </w:r>
      <w:r w:rsidR="001404E1" w:rsidRPr="009E387B">
        <w:rPr>
          <w:rFonts w:ascii="Arial" w:eastAsia="Times New Roman" w:hAnsi="Arial" w:cs="Arial"/>
          <w:sz w:val="24"/>
          <w:szCs w:val="24"/>
          <w:lang w:eastAsia="es-ES"/>
        </w:rPr>
        <w:t xml:space="preserve"> ella procede el recurso de casación.</w:t>
      </w:r>
    </w:p>
    <w:p w:rsidR="00345483" w:rsidRPr="009E387B" w:rsidRDefault="00345483" w:rsidP="009E387B">
      <w:pPr>
        <w:pStyle w:val="Sinespaciado"/>
        <w:spacing w:line="288" w:lineRule="auto"/>
        <w:jc w:val="center"/>
        <w:rPr>
          <w:rFonts w:ascii="Arial" w:hAnsi="Arial" w:cs="Arial"/>
          <w:b/>
          <w:sz w:val="24"/>
          <w:szCs w:val="24"/>
          <w:lang w:val="es-CO"/>
        </w:rPr>
      </w:pPr>
    </w:p>
    <w:p w:rsidR="004221AC" w:rsidRPr="00A72D58" w:rsidRDefault="004221AC" w:rsidP="009E387B">
      <w:pPr>
        <w:pStyle w:val="Sinespaciado"/>
        <w:spacing w:line="288" w:lineRule="auto"/>
        <w:jc w:val="center"/>
        <w:rPr>
          <w:rFonts w:ascii="Arial" w:hAnsi="Arial" w:cs="Arial"/>
          <w:sz w:val="24"/>
          <w:szCs w:val="24"/>
        </w:rPr>
      </w:pPr>
      <w:r w:rsidRPr="00A72D58">
        <w:rPr>
          <w:rFonts w:ascii="Arial" w:hAnsi="Arial" w:cs="Arial"/>
          <w:sz w:val="24"/>
          <w:szCs w:val="24"/>
        </w:rPr>
        <w:t>NOTIFÍQUESE Y CÚMPLASE</w:t>
      </w:r>
    </w:p>
    <w:p w:rsidR="004221AC" w:rsidRPr="009E387B" w:rsidRDefault="004221AC" w:rsidP="009E387B">
      <w:pPr>
        <w:pStyle w:val="Sinespaciado"/>
        <w:spacing w:line="288" w:lineRule="auto"/>
        <w:rPr>
          <w:rFonts w:ascii="Arial" w:hAnsi="Arial" w:cs="Arial"/>
          <w:b/>
          <w:sz w:val="24"/>
          <w:szCs w:val="24"/>
        </w:rPr>
      </w:pPr>
    </w:p>
    <w:p w:rsidR="00F26259" w:rsidRPr="009E387B" w:rsidRDefault="00F26259" w:rsidP="009E387B">
      <w:pPr>
        <w:pStyle w:val="Sinespaciado"/>
        <w:spacing w:line="288" w:lineRule="auto"/>
        <w:rPr>
          <w:rFonts w:ascii="Arial" w:hAnsi="Arial" w:cs="Arial"/>
          <w:b/>
          <w:sz w:val="24"/>
          <w:szCs w:val="24"/>
        </w:rPr>
      </w:pPr>
    </w:p>
    <w:p w:rsidR="004221AC" w:rsidRPr="009E387B" w:rsidRDefault="004221AC" w:rsidP="009E387B">
      <w:pPr>
        <w:pStyle w:val="Sinespaciado"/>
        <w:spacing w:line="288" w:lineRule="auto"/>
        <w:jc w:val="center"/>
        <w:rPr>
          <w:rFonts w:ascii="Arial" w:hAnsi="Arial" w:cs="Arial"/>
          <w:b/>
          <w:sz w:val="24"/>
          <w:szCs w:val="24"/>
        </w:rPr>
      </w:pPr>
    </w:p>
    <w:p w:rsidR="004221AC" w:rsidRPr="009E387B" w:rsidRDefault="004221AC" w:rsidP="009E387B">
      <w:pPr>
        <w:pStyle w:val="Sinespaciado"/>
        <w:spacing w:line="288" w:lineRule="auto"/>
        <w:jc w:val="center"/>
        <w:rPr>
          <w:rFonts w:ascii="Arial" w:hAnsi="Arial" w:cs="Arial"/>
          <w:b/>
          <w:sz w:val="24"/>
          <w:szCs w:val="24"/>
        </w:rPr>
      </w:pPr>
      <w:r w:rsidRPr="009E387B">
        <w:rPr>
          <w:rFonts w:ascii="Arial" w:hAnsi="Arial" w:cs="Arial"/>
          <w:b/>
          <w:sz w:val="24"/>
          <w:szCs w:val="24"/>
        </w:rPr>
        <w:t>JAIRO ERNESTO ESCOBAR SANZ</w:t>
      </w:r>
    </w:p>
    <w:p w:rsidR="004221AC" w:rsidRPr="00A72D58" w:rsidRDefault="004221AC" w:rsidP="009E387B">
      <w:pPr>
        <w:pStyle w:val="Sinespaciado"/>
        <w:spacing w:line="288" w:lineRule="auto"/>
        <w:jc w:val="center"/>
        <w:rPr>
          <w:rFonts w:ascii="Arial" w:hAnsi="Arial" w:cs="Arial"/>
          <w:sz w:val="24"/>
          <w:szCs w:val="24"/>
        </w:rPr>
      </w:pPr>
      <w:r w:rsidRPr="00A72D58">
        <w:rPr>
          <w:rFonts w:ascii="Arial" w:hAnsi="Arial" w:cs="Arial"/>
          <w:sz w:val="24"/>
          <w:szCs w:val="24"/>
        </w:rPr>
        <w:t>Magistrado</w:t>
      </w:r>
    </w:p>
    <w:p w:rsidR="004221AC" w:rsidRPr="009E387B" w:rsidRDefault="004221AC" w:rsidP="009E387B">
      <w:pPr>
        <w:pStyle w:val="Sinespaciado"/>
        <w:spacing w:line="288" w:lineRule="auto"/>
        <w:rPr>
          <w:rFonts w:ascii="Arial" w:hAnsi="Arial" w:cs="Arial"/>
          <w:b/>
          <w:sz w:val="24"/>
          <w:szCs w:val="24"/>
        </w:rPr>
      </w:pPr>
    </w:p>
    <w:p w:rsidR="00F26259" w:rsidRPr="009E387B" w:rsidRDefault="00F26259" w:rsidP="009E387B">
      <w:pPr>
        <w:pStyle w:val="Sinespaciado"/>
        <w:spacing w:line="288" w:lineRule="auto"/>
        <w:rPr>
          <w:rFonts w:ascii="Arial" w:hAnsi="Arial" w:cs="Arial"/>
          <w:b/>
          <w:sz w:val="24"/>
          <w:szCs w:val="24"/>
        </w:rPr>
      </w:pPr>
    </w:p>
    <w:p w:rsidR="004221AC" w:rsidRPr="009E387B" w:rsidRDefault="004221AC" w:rsidP="009E387B">
      <w:pPr>
        <w:pStyle w:val="Sinespaciado"/>
        <w:spacing w:line="288" w:lineRule="auto"/>
        <w:jc w:val="center"/>
        <w:rPr>
          <w:rFonts w:ascii="Arial" w:hAnsi="Arial" w:cs="Arial"/>
          <w:b/>
          <w:sz w:val="24"/>
          <w:szCs w:val="24"/>
        </w:rPr>
      </w:pPr>
    </w:p>
    <w:p w:rsidR="004221AC" w:rsidRPr="009E387B" w:rsidRDefault="004221AC" w:rsidP="009E387B">
      <w:pPr>
        <w:pStyle w:val="Sinespaciado"/>
        <w:spacing w:line="288" w:lineRule="auto"/>
        <w:jc w:val="center"/>
        <w:rPr>
          <w:rFonts w:ascii="Arial" w:hAnsi="Arial" w:cs="Arial"/>
          <w:b/>
          <w:sz w:val="24"/>
          <w:szCs w:val="24"/>
        </w:rPr>
      </w:pPr>
      <w:r w:rsidRPr="009E387B">
        <w:rPr>
          <w:rFonts w:ascii="Arial" w:hAnsi="Arial" w:cs="Arial"/>
          <w:b/>
          <w:sz w:val="24"/>
          <w:szCs w:val="24"/>
        </w:rPr>
        <w:t>MANUEL YARZAGARAY BANDERA</w:t>
      </w:r>
    </w:p>
    <w:p w:rsidR="004221AC" w:rsidRPr="00A72D58" w:rsidRDefault="004221AC" w:rsidP="009E387B">
      <w:pPr>
        <w:pStyle w:val="Sinespaciado"/>
        <w:spacing w:line="288" w:lineRule="auto"/>
        <w:jc w:val="center"/>
        <w:rPr>
          <w:rFonts w:ascii="Arial" w:hAnsi="Arial" w:cs="Arial"/>
          <w:sz w:val="24"/>
          <w:szCs w:val="24"/>
        </w:rPr>
      </w:pPr>
      <w:r w:rsidRPr="00A72D58">
        <w:rPr>
          <w:rFonts w:ascii="Arial" w:hAnsi="Arial" w:cs="Arial"/>
          <w:sz w:val="24"/>
          <w:szCs w:val="24"/>
        </w:rPr>
        <w:t>Magistrado</w:t>
      </w:r>
    </w:p>
    <w:p w:rsidR="004221AC" w:rsidRPr="009E387B" w:rsidRDefault="004221AC" w:rsidP="009E387B">
      <w:pPr>
        <w:pStyle w:val="Sinespaciado"/>
        <w:spacing w:line="288" w:lineRule="auto"/>
        <w:jc w:val="center"/>
        <w:rPr>
          <w:rFonts w:ascii="Arial" w:hAnsi="Arial" w:cs="Arial"/>
          <w:b/>
          <w:sz w:val="24"/>
          <w:szCs w:val="24"/>
        </w:rPr>
      </w:pPr>
    </w:p>
    <w:p w:rsidR="00F26259" w:rsidRPr="009E387B" w:rsidRDefault="00F26259" w:rsidP="009E387B">
      <w:pPr>
        <w:pStyle w:val="Sinespaciado"/>
        <w:spacing w:line="288" w:lineRule="auto"/>
        <w:jc w:val="center"/>
        <w:rPr>
          <w:rFonts w:ascii="Arial" w:hAnsi="Arial" w:cs="Arial"/>
          <w:b/>
          <w:sz w:val="24"/>
          <w:szCs w:val="24"/>
        </w:rPr>
      </w:pPr>
    </w:p>
    <w:p w:rsidR="004221AC" w:rsidRPr="009E387B" w:rsidRDefault="004221AC" w:rsidP="009E387B">
      <w:pPr>
        <w:pStyle w:val="Sinespaciado"/>
        <w:spacing w:line="288" w:lineRule="auto"/>
        <w:rPr>
          <w:rFonts w:ascii="Arial" w:hAnsi="Arial" w:cs="Arial"/>
          <w:b/>
          <w:sz w:val="24"/>
          <w:szCs w:val="24"/>
        </w:rPr>
      </w:pPr>
    </w:p>
    <w:p w:rsidR="004221AC" w:rsidRPr="009E387B" w:rsidRDefault="004221AC" w:rsidP="009E387B">
      <w:pPr>
        <w:pStyle w:val="Sinespaciado"/>
        <w:spacing w:line="288" w:lineRule="auto"/>
        <w:jc w:val="center"/>
        <w:rPr>
          <w:rFonts w:ascii="Arial" w:hAnsi="Arial" w:cs="Arial"/>
          <w:b/>
          <w:sz w:val="24"/>
          <w:szCs w:val="24"/>
        </w:rPr>
      </w:pPr>
      <w:r w:rsidRPr="009E387B">
        <w:rPr>
          <w:rFonts w:ascii="Arial" w:hAnsi="Arial" w:cs="Arial"/>
          <w:b/>
          <w:sz w:val="24"/>
          <w:szCs w:val="24"/>
        </w:rPr>
        <w:t>JORGE ARTURO CASTAÑO DUQUE</w:t>
      </w:r>
    </w:p>
    <w:p w:rsidR="004221AC" w:rsidRPr="00A72D58" w:rsidRDefault="004221AC" w:rsidP="009E387B">
      <w:pPr>
        <w:pStyle w:val="Sinespaciado"/>
        <w:spacing w:line="288" w:lineRule="auto"/>
        <w:jc w:val="center"/>
        <w:rPr>
          <w:rFonts w:ascii="Arial" w:hAnsi="Arial" w:cs="Arial"/>
          <w:sz w:val="24"/>
          <w:szCs w:val="24"/>
        </w:rPr>
      </w:pPr>
      <w:r w:rsidRPr="00A72D58">
        <w:rPr>
          <w:rFonts w:ascii="Arial" w:hAnsi="Arial" w:cs="Arial"/>
          <w:sz w:val="24"/>
          <w:szCs w:val="24"/>
        </w:rPr>
        <w:t>Magistrado</w:t>
      </w:r>
    </w:p>
    <w:sectPr w:rsidR="004221AC" w:rsidRPr="00A72D58" w:rsidSect="009E387B">
      <w:headerReference w:type="default" r:id="rId10"/>
      <w:footerReference w:type="default" r:id="rId11"/>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AA" w:rsidRDefault="00E345AA" w:rsidP="002629D1">
      <w:pPr>
        <w:spacing w:after="0" w:line="240" w:lineRule="auto"/>
      </w:pPr>
      <w:r>
        <w:separator/>
      </w:r>
    </w:p>
  </w:endnote>
  <w:endnote w:type="continuationSeparator" w:id="0">
    <w:p w:rsidR="00E345AA" w:rsidRDefault="00E345AA" w:rsidP="002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423239561"/>
      <w:docPartObj>
        <w:docPartGallery w:val="Page Numbers (Bottom of Page)"/>
        <w:docPartUnique/>
      </w:docPartObj>
    </w:sdtPr>
    <w:sdtEndPr>
      <w:rPr>
        <w:rFonts w:ascii="Arial" w:hAnsi="Arial" w:cs="Arial"/>
      </w:rPr>
    </w:sdtEndPr>
    <w:sdtContent>
      <w:sdt>
        <w:sdtPr>
          <w:rPr>
            <w:rFonts w:ascii="Arial" w:hAnsi="Arial" w:cs="Arial"/>
            <w:sz w:val="18"/>
            <w:szCs w:val="20"/>
          </w:rPr>
          <w:id w:val="-1705238520"/>
          <w:docPartObj>
            <w:docPartGallery w:val="Page Numbers (Top of Page)"/>
            <w:docPartUnique/>
          </w:docPartObj>
        </w:sdtPr>
        <w:sdtEndPr/>
        <w:sdtContent>
          <w:p w:rsidR="00E11BCB" w:rsidRPr="009E387B" w:rsidRDefault="00E11BCB">
            <w:pPr>
              <w:pStyle w:val="Piedepgina"/>
              <w:rPr>
                <w:rFonts w:ascii="Arial" w:hAnsi="Arial" w:cs="Arial"/>
                <w:sz w:val="18"/>
                <w:szCs w:val="20"/>
              </w:rPr>
            </w:pPr>
            <w:r w:rsidRPr="009E387B">
              <w:rPr>
                <w:rFonts w:ascii="Arial" w:hAnsi="Arial" w:cs="Arial"/>
                <w:sz w:val="18"/>
                <w:szCs w:val="20"/>
                <w:lang w:val="es-ES"/>
              </w:rPr>
              <w:t xml:space="preserve">Página </w:t>
            </w:r>
            <w:r w:rsidRPr="009E387B">
              <w:rPr>
                <w:rFonts w:ascii="Arial" w:hAnsi="Arial" w:cs="Arial"/>
                <w:bCs/>
                <w:sz w:val="18"/>
                <w:szCs w:val="20"/>
              </w:rPr>
              <w:fldChar w:fldCharType="begin"/>
            </w:r>
            <w:r w:rsidRPr="009E387B">
              <w:rPr>
                <w:rFonts w:ascii="Arial" w:hAnsi="Arial" w:cs="Arial"/>
                <w:bCs/>
                <w:sz w:val="18"/>
                <w:szCs w:val="20"/>
              </w:rPr>
              <w:instrText>PAGE</w:instrText>
            </w:r>
            <w:r w:rsidRPr="009E387B">
              <w:rPr>
                <w:rFonts w:ascii="Arial" w:hAnsi="Arial" w:cs="Arial"/>
                <w:bCs/>
                <w:sz w:val="18"/>
                <w:szCs w:val="20"/>
              </w:rPr>
              <w:fldChar w:fldCharType="separate"/>
            </w:r>
            <w:r w:rsidR="00A33152">
              <w:rPr>
                <w:rFonts w:ascii="Arial" w:hAnsi="Arial" w:cs="Arial"/>
                <w:bCs/>
                <w:noProof/>
                <w:sz w:val="18"/>
                <w:szCs w:val="20"/>
              </w:rPr>
              <w:t>20</w:t>
            </w:r>
            <w:r w:rsidRPr="009E387B">
              <w:rPr>
                <w:rFonts w:ascii="Arial" w:hAnsi="Arial" w:cs="Arial"/>
                <w:bCs/>
                <w:sz w:val="18"/>
                <w:szCs w:val="20"/>
              </w:rPr>
              <w:fldChar w:fldCharType="end"/>
            </w:r>
            <w:r w:rsidRPr="009E387B">
              <w:rPr>
                <w:rFonts w:ascii="Arial" w:hAnsi="Arial" w:cs="Arial"/>
                <w:sz w:val="18"/>
                <w:szCs w:val="20"/>
                <w:lang w:val="es-ES"/>
              </w:rPr>
              <w:t xml:space="preserve"> de </w:t>
            </w:r>
            <w:r w:rsidRPr="009E387B">
              <w:rPr>
                <w:rFonts w:ascii="Arial" w:hAnsi="Arial" w:cs="Arial"/>
                <w:bCs/>
                <w:sz w:val="18"/>
                <w:szCs w:val="20"/>
              </w:rPr>
              <w:fldChar w:fldCharType="begin"/>
            </w:r>
            <w:r w:rsidRPr="009E387B">
              <w:rPr>
                <w:rFonts w:ascii="Arial" w:hAnsi="Arial" w:cs="Arial"/>
                <w:bCs/>
                <w:sz w:val="18"/>
                <w:szCs w:val="20"/>
              </w:rPr>
              <w:instrText>NUMPAGES</w:instrText>
            </w:r>
            <w:r w:rsidRPr="009E387B">
              <w:rPr>
                <w:rFonts w:ascii="Arial" w:hAnsi="Arial" w:cs="Arial"/>
                <w:bCs/>
                <w:sz w:val="18"/>
                <w:szCs w:val="20"/>
              </w:rPr>
              <w:fldChar w:fldCharType="separate"/>
            </w:r>
            <w:r w:rsidR="00A33152">
              <w:rPr>
                <w:rFonts w:ascii="Arial" w:hAnsi="Arial" w:cs="Arial"/>
                <w:bCs/>
                <w:noProof/>
                <w:sz w:val="18"/>
                <w:szCs w:val="20"/>
              </w:rPr>
              <w:t>22</w:t>
            </w:r>
            <w:r w:rsidRPr="009E387B">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AA" w:rsidRDefault="00E345AA" w:rsidP="002629D1">
      <w:pPr>
        <w:spacing w:after="0" w:line="240" w:lineRule="auto"/>
      </w:pPr>
      <w:r>
        <w:separator/>
      </w:r>
    </w:p>
  </w:footnote>
  <w:footnote w:type="continuationSeparator" w:id="0">
    <w:p w:rsidR="00E345AA" w:rsidRDefault="00E345AA" w:rsidP="002629D1">
      <w:pPr>
        <w:spacing w:after="0" w:line="240" w:lineRule="auto"/>
      </w:pPr>
      <w:r>
        <w:continuationSeparator/>
      </w:r>
    </w:p>
  </w:footnote>
  <w:footnote w:id="1">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Folio 3.</w:t>
      </w:r>
    </w:p>
  </w:footnote>
  <w:footnote w:id="2">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Folios 5-6. </w:t>
      </w:r>
    </w:p>
  </w:footnote>
  <w:footnote w:id="3">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Folios 15 y 16.</w:t>
      </w:r>
    </w:p>
  </w:footnote>
  <w:footnote w:id="4">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Saray Botero, Nelson. Procedimiento Penal Acusatorio, Editorial </w:t>
      </w:r>
      <w:proofErr w:type="spellStart"/>
      <w:r w:rsidRPr="00D45F4B">
        <w:rPr>
          <w:rFonts w:ascii="Arial" w:hAnsi="Arial" w:cs="Arial"/>
          <w:sz w:val="18"/>
          <w:szCs w:val="18"/>
        </w:rPr>
        <w:t>Leyer</w:t>
      </w:r>
      <w:proofErr w:type="spellEnd"/>
      <w:r w:rsidRPr="00D45F4B">
        <w:rPr>
          <w:rFonts w:ascii="Arial" w:hAnsi="Arial" w:cs="Arial"/>
          <w:sz w:val="18"/>
          <w:szCs w:val="18"/>
        </w:rPr>
        <w:t xml:space="preserve">. Segunda Edición. 2017, capítulo XIII. </w:t>
      </w:r>
    </w:p>
  </w:footnote>
  <w:footnote w:id="5">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La ley 1453 de 2011 empezó a regir el 24 de junio de 2011.</w:t>
      </w:r>
    </w:p>
  </w:footnote>
  <w:footnote w:id="6">
    <w:p w:rsidR="00E11BCB" w:rsidRPr="00D45F4B" w:rsidRDefault="00E11BCB" w:rsidP="00D45F4B">
      <w:pPr>
        <w:pStyle w:val="Sinespaciado"/>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Consagrados en el # 2º del artículo 534 C.P.P.</w:t>
      </w:r>
    </w:p>
  </w:footnote>
  <w:footnote w:id="7">
    <w:p w:rsidR="00E11BCB" w:rsidRPr="00D45F4B" w:rsidRDefault="00E11BCB" w:rsidP="00D45F4B">
      <w:pPr>
        <w:pStyle w:val="Sinespaciado"/>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Artículo 549 C.P.P.</w:t>
      </w:r>
    </w:p>
  </w:footnote>
  <w:footnote w:id="8">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Artículo 13 de la Carta.</w:t>
      </w:r>
    </w:p>
  </w:footnote>
  <w:footnote w:id="9">
    <w:p w:rsidR="00E11BCB" w:rsidRPr="00D45F4B" w:rsidRDefault="00E11BCB" w:rsidP="00D45F4B">
      <w:pPr>
        <w:pStyle w:val="Textonotapie"/>
        <w:jc w:val="both"/>
        <w:rPr>
          <w:rFonts w:ascii="Arial" w:hAnsi="Arial" w:cs="Arial"/>
          <w:sz w:val="18"/>
          <w:szCs w:val="18"/>
        </w:rPr>
      </w:pPr>
      <w:r w:rsidRPr="00D45F4B">
        <w:rPr>
          <w:rStyle w:val="Refdenotaalpie"/>
          <w:rFonts w:ascii="Arial" w:hAnsi="Arial" w:cs="Arial"/>
          <w:sz w:val="18"/>
          <w:szCs w:val="18"/>
        </w:rPr>
        <w:footnoteRef/>
      </w:r>
      <w:r w:rsidRPr="00D45F4B">
        <w:rPr>
          <w:rFonts w:ascii="Arial" w:hAnsi="Arial" w:cs="Arial"/>
          <w:sz w:val="18"/>
          <w:szCs w:val="18"/>
        </w:rPr>
        <w:t xml:space="preserve"> Lo que es consecuencia de la Sentencia del 27 de septiembre de 2017. SP14496-2017. Rad. # 39831, proferida por la Sala de Casación Penal de la C.S.J. en la que se dijo que los allanamientos a cargos eran una modalidad de los preacuerdos y no una figura procesal independiente.</w:t>
      </w:r>
    </w:p>
  </w:footnote>
  <w:footnote w:id="10">
    <w:p w:rsidR="00E11BCB" w:rsidRPr="00D45F4B" w:rsidRDefault="00E11BCB" w:rsidP="00D45F4B">
      <w:pPr>
        <w:jc w:val="both"/>
        <w:rPr>
          <w:rFonts w:ascii="Arial" w:eastAsia="Times New Roman" w:hAnsi="Arial" w:cs="Arial"/>
          <w:sz w:val="18"/>
          <w:szCs w:val="18"/>
          <w:lang w:val="es-ES"/>
        </w:rPr>
      </w:pPr>
      <w:r w:rsidRPr="00D45F4B">
        <w:rPr>
          <w:rStyle w:val="Refdenotaalpie"/>
          <w:rFonts w:ascii="Arial" w:hAnsi="Arial" w:cs="Arial"/>
          <w:sz w:val="18"/>
          <w:szCs w:val="18"/>
        </w:rPr>
        <w:footnoteRef/>
      </w:r>
      <w:r w:rsidRPr="00D45F4B">
        <w:rPr>
          <w:rFonts w:ascii="Arial" w:hAnsi="Arial" w:cs="Arial"/>
          <w:sz w:val="18"/>
          <w:szCs w:val="18"/>
        </w:rPr>
        <w:t xml:space="preserve"> Corte Suprema de Justicia, Sala </w:t>
      </w:r>
      <w:r w:rsidRPr="00D45F4B">
        <w:rPr>
          <w:rFonts w:ascii="Arial" w:eastAsia="Times New Roman" w:hAnsi="Arial" w:cs="Arial"/>
          <w:sz w:val="18"/>
          <w:szCs w:val="18"/>
          <w:lang w:val="es-ES"/>
        </w:rPr>
        <w:t xml:space="preserve">de Casación Penal: Sentencia del 21 de febrero de 2007. Rad. # 25726. </w:t>
      </w:r>
    </w:p>
  </w:footnote>
  <w:footnote w:id="11">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Sentencia C-319 de 2013 M.P. Luis Ernesto Vargas Silva, consideración jurídica No. 5 </w:t>
      </w:r>
    </w:p>
  </w:footnote>
  <w:footnote w:id="12">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 Corte IDH. Caso Cabrera García y Montiel Flores contra México. Sentencia de noviembre 26 de 2010. Serie C No. 220, párrafo 142. Este fallo reitera y precisa el precedente contenido en los casos Caso Baena Ricardo contra Panamá, citado en la sentencia de fondo del Caso de los 19 Comerciantes contra Colombia. Sentencia de julio 5 de 2004. Serie C No. 109, párrafo 192</w:t>
      </w:r>
    </w:p>
  </w:footnote>
  <w:footnote w:id="13">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 Sentencia C-1195 de 2001 M.P. Manuel José Cepeda Espinosa y Marco Gerardo Monroy Cabra, consideración jurídica No. 4.3, citando la Sentencia T-268 de 1996. M.P. Antonio Barrera Carbonell </w:t>
      </w:r>
    </w:p>
  </w:footnote>
  <w:footnote w:id="14">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 Sentencia C-003 de 2017 M.P. Aquiles Arrieta Gómez, consideración jurídica No. 3.1.1 </w:t>
      </w:r>
    </w:p>
  </w:footnote>
  <w:footnote w:id="15">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 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16">
    <w:p w:rsidR="00E11BCB" w:rsidRPr="00D45F4B" w:rsidRDefault="00E11BCB" w:rsidP="00D45F4B">
      <w:pPr>
        <w:pStyle w:val="Textonotapie"/>
        <w:jc w:val="both"/>
        <w:rPr>
          <w:rFonts w:ascii="Arial" w:hAnsi="Arial" w:cs="Arial"/>
          <w:sz w:val="18"/>
          <w:szCs w:val="18"/>
        </w:rPr>
      </w:pPr>
      <w:r w:rsidRPr="00D45F4B">
        <w:rPr>
          <w:rFonts w:ascii="Arial" w:hAnsi="Arial" w:cs="Arial"/>
          <w:sz w:val="18"/>
          <w:szCs w:val="18"/>
          <w:vertAlign w:val="superscript"/>
        </w:rPr>
        <w:footnoteRef/>
      </w:r>
      <w:r w:rsidRPr="00D45F4B">
        <w:rPr>
          <w:rFonts w:ascii="Arial" w:hAnsi="Arial" w:cs="Arial"/>
          <w:sz w:val="18"/>
          <w:szCs w:val="18"/>
        </w:rPr>
        <w:t xml:space="preserve"> Sentencia T-276 de 2016 M.P. Jorge Ignacio </w:t>
      </w:r>
      <w:proofErr w:type="spellStart"/>
      <w:r w:rsidRPr="00D45F4B">
        <w:rPr>
          <w:rFonts w:ascii="Arial" w:hAnsi="Arial" w:cs="Arial"/>
          <w:sz w:val="18"/>
          <w:szCs w:val="18"/>
        </w:rPr>
        <w:t>Pretelt</w:t>
      </w:r>
      <w:proofErr w:type="spellEnd"/>
      <w:r w:rsidRPr="00D45F4B">
        <w:rPr>
          <w:rFonts w:ascii="Arial" w:hAnsi="Arial" w:cs="Arial"/>
          <w:sz w:val="18"/>
          <w:szCs w:val="18"/>
        </w:rPr>
        <w:t xml:space="preserve"> </w:t>
      </w:r>
      <w:proofErr w:type="spellStart"/>
      <w:r w:rsidRPr="00D45F4B">
        <w:rPr>
          <w:rFonts w:ascii="Arial" w:hAnsi="Arial" w:cs="Arial"/>
          <w:sz w:val="18"/>
          <w:szCs w:val="18"/>
        </w:rPr>
        <w:t>Chaljub</w:t>
      </w:r>
      <w:proofErr w:type="spellEnd"/>
      <w:r w:rsidRPr="00D45F4B">
        <w:rPr>
          <w:rFonts w:ascii="Arial" w:hAnsi="Arial" w:cs="Arial"/>
          <w:sz w:val="18"/>
          <w:szCs w:val="18"/>
        </w:rPr>
        <w:t xml:space="preserve">, consideración jurídica No. 2.5.1.3.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CB" w:rsidRPr="000F3485" w:rsidRDefault="00E11BCB" w:rsidP="00F01D3B">
    <w:pPr>
      <w:pStyle w:val="Encabezado"/>
      <w:jc w:val="right"/>
      <w:rPr>
        <w:rFonts w:ascii="Arial" w:hAnsi="Arial" w:cs="Arial"/>
        <w:sz w:val="18"/>
        <w:szCs w:val="20"/>
      </w:rPr>
    </w:pPr>
    <w:r w:rsidRPr="000F3485">
      <w:rPr>
        <w:rFonts w:ascii="Arial" w:hAnsi="Arial" w:cs="Arial"/>
        <w:sz w:val="18"/>
        <w:szCs w:val="20"/>
      </w:rPr>
      <w:t>Radicado: 66001 60 00 035 02013 01185 01</w:t>
    </w:r>
  </w:p>
  <w:p w:rsidR="00E11BCB" w:rsidRPr="000F3485" w:rsidRDefault="00E11BCB" w:rsidP="00F01D3B">
    <w:pPr>
      <w:pStyle w:val="Encabezado"/>
      <w:jc w:val="right"/>
      <w:rPr>
        <w:rFonts w:ascii="Arial" w:hAnsi="Arial" w:cs="Arial"/>
        <w:sz w:val="18"/>
        <w:szCs w:val="20"/>
      </w:rPr>
    </w:pPr>
    <w:r w:rsidRPr="000F3485">
      <w:rPr>
        <w:rFonts w:ascii="Arial" w:hAnsi="Arial" w:cs="Arial"/>
        <w:sz w:val="18"/>
        <w:szCs w:val="20"/>
      </w:rPr>
      <w:t xml:space="preserve">Acusado: </w:t>
    </w:r>
    <w:proofErr w:type="spellStart"/>
    <w:r w:rsidRPr="000F3485">
      <w:rPr>
        <w:rFonts w:ascii="Arial" w:hAnsi="Arial" w:cs="Arial"/>
        <w:sz w:val="18"/>
        <w:szCs w:val="20"/>
      </w:rPr>
      <w:t>J</w:t>
    </w:r>
    <w:r>
      <w:rPr>
        <w:rFonts w:ascii="Arial" w:hAnsi="Arial" w:cs="Arial"/>
        <w:sz w:val="18"/>
        <w:szCs w:val="20"/>
      </w:rPr>
      <w:t>A</w:t>
    </w:r>
    <w:r w:rsidRPr="000F3485">
      <w:rPr>
        <w:rFonts w:ascii="Arial" w:hAnsi="Arial" w:cs="Arial"/>
        <w:sz w:val="18"/>
        <w:szCs w:val="20"/>
      </w:rPr>
      <w:t>MV</w:t>
    </w:r>
    <w:proofErr w:type="spellEnd"/>
  </w:p>
  <w:p w:rsidR="00E11BCB" w:rsidRPr="000F3485" w:rsidRDefault="00E11BCB" w:rsidP="00F01D3B">
    <w:pPr>
      <w:pStyle w:val="Encabezado"/>
      <w:jc w:val="right"/>
      <w:rPr>
        <w:rFonts w:ascii="Arial" w:hAnsi="Arial" w:cs="Arial"/>
        <w:sz w:val="18"/>
        <w:szCs w:val="20"/>
      </w:rPr>
    </w:pPr>
    <w:r w:rsidRPr="000F3485">
      <w:rPr>
        <w:rFonts w:ascii="Arial" w:hAnsi="Arial" w:cs="Arial"/>
        <w:sz w:val="18"/>
        <w:szCs w:val="20"/>
      </w:rPr>
      <w:t>Delito: Hurto calificado</w:t>
    </w:r>
  </w:p>
  <w:p w:rsidR="00E11BCB" w:rsidRPr="000F3485" w:rsidRDefault="00E11BCB" w:rsidP="009E387B">
    <w:pPr>
      <w:pStyle w:val="Encabezado"/>
      <w:jc w:val="right"/>
      <w:rPr>
        <w:rFonts w:ascii="Arial" w:hAnsi="Arial" w:cs="Arial"/>
        <w:sz w:val="18"/>
        <w:szCs w:val="20"/>
      </w:rPr>
    </w:pPr>
    <w:r w:rsidRPr="000F3485">
      <w:rPr>
        <w:rFonts w:ascii="Arial" w:hAnsi="Arial" w:cs="Arial"/>
        <w:sz w:val="18"/>
        <w:szCs w:val="20"/>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EE7"/>
    <w:multiLevelType w:val="hybridMultilevel"/>
    <w:tmpl w:val="2A8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4304C"/>
    <w:multiLevelType w:val="hybridMultilevel"/>
    <w:tmpl w:val="19843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BA113A"/>
    <w:multiLevelType w:val="hybridMultilevel"/>
    <w:tmpl w:val="3B9A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287DB2"/>
    <w:multiLevelType w:val="hybridMultilevel"/>
    <w:tmpl w:val="E2D48486"/>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5">
    <w:nsid w:val="3A1C712A"/>
    <w:multiLevelType w:val="hybridMultilevel"/>
    <w:tmpl w:val="46547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1B62F0"/>
    <w:multiLevelType w:val="hybridMultilevel"/>
    <w:tmpl w:val="A10E05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D60862"/>
    <w:multiLevelType w:val="hybridMultilevel"/>
    <w:tmpl w:val="A5960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D01EE5"/>
    <w:multiLevelType w:val="hybridMultilevel"/>
    <w:tmpl w:val="FCA8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3"/>
  </w:num>
  <w:num w:numId="6">
    <w:abstractNumId w:val="8"/>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003CC"/>
    <w:rsid w:val="0000345F"/>
    <w:rsid w:val="00003C72"/>
    <w:rsid w:val="00005561"/>
    <w:rsid w:val="0001334A"/>
    <w:rsid w:val="000229B4"/>
    <w:rsid w:val="00027FDF"/>
    <w:rsid w:val="00035484"/>
    <w:rsid w:val="000414CA"/>
    <w:rsid w:val="00044E0F"/>
    <w:rsid w:val="00047056"/>
    <w:rsid w:val="000505D3"/>
    <w:rsid w:val="00060370"/>
    <w:rsid w:val="000665BA"/>
    <w:rsid w:val="00073047"/>
    <w:rsid w:val="000732B4"/>
    <w:rsid w:val="00073E20"/>
    <w:rsid w:val="0007579D"/>
    <w:rsid w:val="00076085"/>
    <w:rsid w:val="00077AE6"/>
    <w:rsid w:val="00081930"/>
    <w:rsid w:val="00081F1A"/>
    <w:rsid w:val="00093CFB"/>
    <w:rsid w:val="00093D08"/>
    <w:rsid w:val="00097FF7"/>
    <w:rsid w:val="000A0543"/>
    <w:rsid w:val="000A5023"/>
    <w:rsid w:val="000B1473"/>
    <w:rsid w:val="000B1565"/>
    <w:rsid w:val="000B1AE4"/>
    <w:rsid w:val="000B2FDF"/>
    <w:rsid w:val="000B42C9"/>
    <w:rsid w:val="000B4FC3"/>
    <w:rsid w:val="000C696E"/>
    <w:rsid w:val="000C76E6"/>
    <w:rsid w:val="000C7FC5"/>
    <w:rsid w:val="000D6103"/>
    <w:rsid w:val="000E0EB7"/>
    <w:rsid w:val="000F1928"/>
    <w:rsid w:val="000F3485"/>
    <w:rsid w:val="000F7F71"/>
    <w:rsid w:val="00101DD1"/>
    <w:rsid w:val="001024DF"/>
    <w:rsid w:val="0010520E"/>
    <w:rsid w:val="00106CF9"/>
    <w:rsid w:val="00110885"/>
    <w:rsid w:val="00127801"/>
    <w:rsid w:val="00127B0E"/>
    <w:rsid w:val="00127CCF"/>
    <w:rsid w:val="00131E87"/>
    <w:rsid w:val="0013689D"/>
    <w:rsid w:val="00137A41"/>
    <w:rsid w:val="001404E1"/>
    <w:rsid w:val="00145C8B"/>
    <w:rsid w:val="00156708"/>
    <w:rsid w:val="00167175"/>
    <w:rsid w:val="00172AC0"/>
    <w:rsid w:val="00173196"/>
    <w:rsid w:val="001744B9"/>
    <w:rsid w:val="00175AC4"/>
    <w:rsid w:val="001836A6"/>
    <w:rsid w:val="001844BF"/>
    <w:rsid w:val="0018517A"/>
    <w:rsid w:val="001859FB"/>
    <w:rsid w:val="00194547"/>
    <w:rsid w:val="00196265"/>
    <w:rsid w:val="001974BC"/>
    <w:rsid w:val="001A4A5F"/>
    <w:rsid w:val="001A50E1"/>
    <w:rsid w:val="001A5675"/>
    <w:rsid w:val="001A62F4"/>
    <w:rsid w:val="001A6665"/>
    <w:rsid w:val="001B02A5"/>
    <w:rsid w:val="001B2F25"/>
    <w:rsid w:val="001B7917"/>
    <w:rsid w:val="001C2781"/>
    <w:rsid w:val="001C4454"/>
    <w:rsid w:val="001C453D"/>
    <w:rsid w:val="001E038C"/>
    <w:rsid w:val="001E0EB3"/>
    <w:rsid w:val="001E240C"/>
    <w:rsid w:val="001E4D40"/>
    <w:rsid w:val="001E5344"/>
    <w:rsid w:val="001E77D8"/>
    <w:rsid w:val="001E7AE7"/>
    <w:rsid w:val="001F2784"/>
    <w:rsid w:val="001F2ACF"/>
    <w:rsid w:val="001F3302"/>
    <w:rsid w:val="0020176A"/>
    <w:rsid w:val="00202FF6"/>
    <w:rsid w:val="0020658C"/>
    <w:rsid w:val="0020705A"/>
    <w:rsid w:val="00210F60"/>
    <w:rsid w:val="0021238B"/>
    <w:rsid w:val="00221BE5"/>
    <w:rsid w:val="00240AFD"/>
    <w:rsid w:val="0024215B"/>
    <w:rsid w:val="0024313F"/>
    <w:rsid w:val="002506BA"/>
    <w:rsid w:val="002629D1"/>
    <w:rsid w:val="00263E34"/>
    <w:rsid w:val="0026540A"/>
    <w:rsid w:val="0026604C"/>
    <w:rsid w:val="002731F6"/>
    <w:rsid w:val="00273B34"/>
    <w:rsid w:val="00274350"/>
    <w:rsid w:val="00275794"/>
    <w:rsid w:val="0027620A"/>
    <w:rsid w:val="00285872"/>
    <w:rsid w:val="0028731C"/>
    <w:rsid w:val="002877CF"/>
    <w:rsid w:val="002925FD"/>
    <w:rsid w:val="002946B5"/>
    <w:rsid w:val="002A32B9"/>
    <w:rsid w:val="002B0CB4"/>
    <w:rsid w:val="002B0D80"/>
    <w:rsid w:val="002B29C6"/>
    <w:rsid w:val="002B2C3C"/>
    <w:rsid w:val="002C568B"/>
    <w:rsid w:val="002C7A52"/>
    <w:rsid w:val="002D083B"/>
    <w:rsid w:val="002D366A"/>
    <w:rsid w:val="002D4101"/>
    <w:rsid w:val="002D68DC"/>
    <w:rsid w:val="002E1D4A"/>
    <w:rsid w:val="002E385F"/>
    <w:rsid w:val="002E38BB"/>
    <w:rsid w:val="002F168A"/>
    <w:rsid w:val="002F61AF"/>
    <w:rsid w:val="002F7210"/>
    <w:rsid w:val="00303054"/>
    <w:rsid w:val="00303C0F"/>
    <w:rsid w:val="00307906"/>
    <w:rsid w:val="00315690"/>
    <w:rsid w:val="00320A10"/>
    <w:rsid w:val="00323445"/>
    <w:rsid w:val="0032455D"/>
    <w:rsid w:val="00327474"/>
    <w:rsid w:val="00335549"/>
    <w:rsid w:val="003362E0"/>
    <w:rsid w:val="00336535"/>
    <w:rsid w:val="00343009"/>
    <w:rsid w:val="00345483"/>
    <w:rsid w:val="003503FA"/>
    <w:rsid w:val="00362BC6"/>
    <w:rsid w:val="00363D30"/>
    <w:rsid w:val="0038065B"/>
    <w:rsid w:val="00382283"/>
    <w:rsid w:val="0038593B"/>
    <w:rsid w:val="00385F95"/>
    <w:rsid w:val="00387489"/>
    <w:rsid w:val="00392C32"/>
    <w:rsid w:val="00392E2F"/>
    <w:rsid w:val="00394CD4"/>
    <w:rsid w:val="00397BCD"/>
    <w:rsid w:val="003A6188"/>
    <w:rsid w:val="003A6998"/>
    <w:rsid w:val="003A7D2C"/>
    <w:rsid w:val="003B1A95"/>
    <w:rsid w:val="003B5D50"/>
    <w:rsid w:val="003C1E78"/>
    <w:rsid w:val="003C2891"/>
    <w:rsid w:val="003C3650"/>
    <w:rsid w:val="003C6D3A"/>
    <w:rsid w:val="003D645A"/>
    <w:rsid w:val="003E0335"/>
    <w:rsid w:val="003E22F6"/>
    <w:rsid w:val="003E78FD"/>
    <w:rsid w:val="003F0496"/>
    <w:rsid w:val="003F1B3B"/>
    <w:rsid w:val="004039D2"/>
    <w:rsid w:val="00404DD3"/>
    <w:rsid w:val="0040594B"/>
    <w:rsid w:val="00407609"/>
    <w:rsid w:val="004125DA"/>
    <w:rsid w:val="00421B14"/>
    <w:rsid w:val="00421C3A"/>
    <w:rsid w:val="004221AC"/>
    <w:rsid w:val="00422D60"/>
    <w:rsid w:val="004250ED"/>
    <w:rsid w:val="00435B70"/>
    <w:rsid w:val="0043669B"/>
    <w:rsid w:val="00440884"/>
    <w:rsid w:val="00440FF4"/>
    <w:rsid w:val="00442091"/>
    <w:rsid w:val="0044226D"/>
    <w:rsid w:val="0044290F"/>
    <w:rsid w:val="00443CAB"/>
    <w:rsid w:val="00446BCF"/>
    <w:rsid w:val="00450E14"/>
    <w:rsid w:val="0045263D"/>
    <w:rsid w:val="00452D83"/>
    <w:rsid w:val="00455FDD"/>
    <w:rsid w:val="00456420"/>
    <w:rsid w:val="004565D0"/>
    <w:rsid w:val="00456ACA"/>
    <w:rsid w:val="00464512"/>
    <w:rsid w:val="004757B3"/>
    <w:rsid w:val="00476050"/>
    <w:rsid w:val="00476EA1"/>
    <w:rsid w:val="004776F4"/>
    <w:rsid w:val="00481E70"/>
    <w:rsid w:val="0048348F"/>
    <w:rsid w:val="004861DC"/>
    <w:rsid w:val="004933EE"/>
    <w:rsid w:val="00493F56"/>
    <w:rsid w:val="004966F5"/>
    <w:rsid w:val="00496C4B"/>
    <w:rsid w:val="00497F0A"/>
    <w:rsid w:val="004A1BB8"/>
    <w:rsid w:val="004A51E3"/>
    <w:rsid w:val="004B1ACA"/>
    <w:rsid w:val="004B1BDF"/>
    <w:rsid w:val="004B2558"/>
    <w:rsid w:val="004B4B05"/>
    <w:rsid w:val="004C5D7C"/>
    <w:rsid w:val="004C638F"/>
    <w:rsid w:val="004D53B4"/>
    <w:rsid w:val="004D5658"/>
    <w:rsid w:val="004D5D27"/>
    <w:rsid w:val="004D7B38"/>
    <w:rsid w:val="004E0EDD"/>
    <w:rsid w:val="004E5387"/>
    <w:rsid w:val="004E5B46"/>
    <w:rsid w:val="004F340A"/>
    <w:rsid w:val="005060A0"/>
    <w:rsid w:val="00506D1A"/>
    <w:rsid w:val="005134FE"/>
    <w:rsid w:val="00531044"/>
    <w:rsid w:val="005330C1"/>
    <w:rsid w:val="0053578B"/>
    <w:rsid w:val="00536319"/>
    <w:rsid w:val="00543C3F"/>
    <w:rsid w:val="0054657D"/>
    <w:rsid w:val="005466D7"/>
    <w:rsid w:val="0055167E"/>
    <w:rsid w:val="0055200D"/>
    <w:rsid w:val="00560B3C"/>
    <w:rsid w:val="00561BD9"/>
    <w:rsid w:val="005708BC"/>
    <w:rsid w:val="0057122B"/>
    <w:rsid w:val="00572142"/>
    <w:rsid w:val="005725D4"/>
    <w:rsid w:val="00574939"/>
    <w:rsid w:val="00587DD4"/>
    <w:rsid w:val="00594454"/>
    <w:rsid w:val="005A1C90"/>
    <w:rsid w:val="005A5AA9"/>
    <w:rsid w:val="005A7394"/>
    <w:rsid w:val="005A7D58"/>
    <w:rsid w:val="005B094B"/>
    <w:rsid w:val="005B146B"/>
    <w:rsid w:val="005B5F6E"/>
    <w:rsid w:val="005B6E08"/>
    <w:rsid w:val="005B6FD2"/>
    <w:rsid w:val="005C0EBD"/>
    <w:rsid w:val="005C13AB"/>
    <w:rsid w:val="005C157C"/>
    <w:rsid w:val="005C7353"/>
    <w:rsid w:val="005C7390"/>
    <w:rsid w:val="005D1DEC"/>
    <w:rsid w:val="005D4134"/>
    <w:rsid w:val="005D6499"/>
    <w:rsid w:val="005D6F7E"/>
    <w:rsid w:val="005E2908"/>
    <w:rsid w:val="005E4097"/>
    <w:rsid w:val="005E4628"/>
    <w:rsid w:val="005F0834"/>
    <w:rsid w:val="005F11C3"/>
    <w:rsid w:val="005F4F9C"/>
    <w:rsid w:val="00601457"/>
    <w:rsid w:val="00601C35"/>
    <w:rsid w:val="006038A5"/>
    <w:rsid w:val="006043C8"/>
    <w:rsid w:val="00604C6E"/>
    <w:rsid w:val="0060680B"/>
    <w:rsid w:val="0061183C"/>
    <w:rsid w:val="00612C7F"/>
    <w:rsid w:val="006171FF"/>
    <w:rsid w:val="00617FFD"/>
    <w:rsid w:val="0062242A"/>
    <w:rsid w:val="0063167B"/>
    <w:rsid w:val="00633C38"/>
    <w:rsid w:val="006355B5"/>
    <w:rsid w:val="006405B8"/>
    <w:rsid w:val="00640A3F"/>
    <w:rsid w:val="00643502"/>
    <w:rsid w:val="00644106"/>
    <w:rsid w:val="006526C3"/>
    <w:rsid w:val="00656146"/>
    <w:rsid w:val="00657CC9"/>
    <w:rsid w:val="00660B34"/>
    <w:rsid w:val="00660BAF"/>
    <w:rsid w:val="006617CA"/>
    <w:rsid w:val="00666759"/>
    <w:rsid w:val="00671237"/>
    <w:rsid w:val="006715D6"/>
    <w:rsid w:val="00671FA6"/>
    <w:rsid w:val="00680088"/>
    <w:rsid w:val="006847AC"/>
    <w:rsid w:val="00687D22"/>
    <w:rsid w:val="006928EF"/>
    <w:rsid w:val="0069337A"/>
    <w:rsid w:val="0069368C"/>
    <w:rsid w:val="00694A80"/>
    <w:rsid w:val="00695F77"/>
    <w:rsid w:val="006A1FD8"/>
    <w:rsid w:val="006A250F"/>
    <w:rsid w:val="006A36EE"/>
    <w:rsid w:val="006A45FB"/>
    <w:rsid w:val="006A7D59"/>
    <w:rsid w:val="006B344B"/>
    <w:rsid w:val="006B6618"/>
    <w:rsid w:val="006B6CE4"/>
    <w:rsid w:val="006C28D3"/>
    <w:rsid w:val="006C38AF"/>
    <w:rsid w:val="006D11AC"/>
    <w:rsid w:val="006D3166"/>
    <w:rsid w:val="006D420C"/>
    <w:rsid w:val="006D7440"/>
    <w:rsid w:val="006E04B2"/>
    <w:rsid w:val="006E085E"/>
    <w:rsid w:val="006E3C82"/>
    <w:rsid w:val="006E63AE"/>
    <w:rsid w:val="006F36A0"/>
    <w:rsid w:val="006F4E8B"/>
    <w:rsid w:val="006F4E9F"/>
    <w:rsid w:val="006F5B3A"/>
    <w:rsid w:val="006F62C0"/>
    <w:rsid w:val="006F7B3E"/>
    <w:rsid w:val="0070054F"/>
    <w:rsid w:val="0070126B"/>
    <w:rsid w:val="007018AB"/>
    <w:rsid w:val="00703130"/>
    <w:rsid w:val="007139A5"/>
    <w:rsid w:val="00716FE3"/>
    <w:rsid w:val="0072020F"/>
    <w:rsid w:val="00722511"/>
    <w:rsid w:val="00724E36"/>
    <w:rsid w:val="00727217"/>
    <w:rsid w:val="00730FF1"/>
    <w:rsid w:val="00734574"/>
    <w:rsid w:val="007428FB"/>
    <w:rsid w:val="00743E39"/>
    <w:rsid w:val="007502F0"/>
    <w:rsid w:val="007507C1"/>
    <w:rsid w:val="00755A5F"/>
    <w:rsid w:val="007624FA"/>
    <w:rsid w:val="0076392C"/>
    <w:rsid w:val="00764C9D"/>
    <w:rsid w:val="007673AE"/>
    <w:rsid w:val="0076775C"/>
    <w:rsid w:val="00771635"/>
    <w:rsid w:val="00771E7F"/>
    <w:rsid w:val="00775EA2"/>
    <w:rsid w:val="00776081"/>
    <w:rsid w:val="007809A0"/>
    <w:rsid w:val="00786F0F"/>
    <w:rsid w:val="00791DB4"/>
    <w:rsid w:val="00793C6E"/>
    <w:rsid w:val="007951D4"/>
    <w:rsid w:val="007971BA"/>
    <w:rsid w:val="007A2C9D"/>
    <w:rsid w:val="007A4A1A"/>
    <w:rsid w:val="007A648B"/>
    <w:rsid w:val="007A7DA9"/>
    <w:rsid w:val="007A7F6E"/>
    <w:rsid w:val="007B0446"/>
    <w:rsid w:val="007B1603"/>
    <w:rsid w:val="007B1C55"/>
    <w:rsid w:val="007C3D05"/>
    <w:rsid w:val="007C5D9D"/>
    <w:rsid w:val="007C7457"/>
    <w:rsid w:val="007D7727"/>
    <w:rsid w:val="007E65B0"/>
    <w:rsid w:val="007F127F"/>
    <w:rsid w:val="007F5939"/>
    <w:rsid w:val="007F7586"/>
    <w:rsid w:val="008013A8"/>
    <w:rsid w:val="00803C6F"/>
    <w:rsid w:val="00805D2C"/>
    <w:rsid w:val="008067BF"/>
    <w:rsid w:val="008107FB"/>
    <w:rsid w:val="008147AF"/>
    <w:rsid w:val="0081731A"/>
    <w:rsid w:val="00821C11"/>
    <w:rsid w:val="00821C2D"/>
    <w:rsid w:val="008240A1"/>
    <w:rsid w:val="00833EDA"/>
    <w:rsid w:val="00834D60"/>
    <w:rsid w:val="00841118"/>
    <w:rsid w:val="00842551"/>
    <w:rsid w:val="008440DF"/>
    <w:rsid w:val="00844CDD"/>
    <w:rsid w:val="00845E71"/>
    <w:rsid w:val="00846093"/>
    <w:rsid w:val="008528B3"/>
    <w:rsid w:val="00856C30"/>
    <w:rsid w:val="00863B71"/>
    <w:rsid w:val="008663BD"/>
    <w:rsid w:val="00867129"/>
    <w:rsid w:val="00872485"/>
    <w:rsid w:val="00877D34"/>
    <w:rsid w:val="00883561"/>
    <w:rsid w:val="008A2896"/>
    <w:rsid w:val="008A3107"/>
    <w:rsid w:val="008A3D4C"/>
    <w:rsid w:val="008A740C"/>
    <w:rsid w:val="008B154E"/>
    <w:rsid w:val="008B186E"/>
    <w:rsid w:val="008C055B"/>
    <w:rsid w:val="008C1413"/>
    <w:rsid w:val="008C1EF6"/>
    <w:rsid w:val="008C24C1"/>
    <w:rsid w:val="008C4BD3"/>
    <w:rsid w:val="008C5A69"/>
    <w:rsid w:val="008C620E"/>
    <w:rsid w:val="008C6E18"/>
    <w:rsid w:val="008D0026"/>
    <w:rsid w:val="008D5E58"/>
    <w:rsid w:val="008E0FF0"/>
    <w:rsid w:val="008E255C"/>
    <w:rsid w:val="008E3CC9"/>
    <w:rsid w:val="008F17AC"/>
    <w:rsid w:val="008F3EF9"/>
    <w:rsid w:val="008F7327"/>
    <w:rsid w:val="008F7868"/>
    <w:rsid w:val="008F7D69"/>
    <w:rsid w:val="00920899"/>
    <w:rsid w:val="0092519F"/>
    <w:rsid w:val="00926355"/>
    <w:rsid w:val="00931F61"/>
    <w:rsid w:val="00941A8B"/>
    <w:rsid w:val="00951A37"/>
    <w:rsid w:val="0095361C"/>
    <w:rsid w:val="0095401F"/>
    <w:rsid w:val="0096233A"/>
    <w:rsid w:val="00962D03"/>
    <w:rsid w:val="009639A9"/>
    <w:rsid w:val="0096539C"/>
    <w:rsid w:val="009807D2"/>
    <w:rsid w:val="0098143C"/>
    <w:rsid w:val="00982A79"/>
    <w:rsid w:val="009868B5"/>
    <w:rsid w:val="00990C80"/>
    <w:rsid w:val="00993A67"/>
    <w:rsid w:val="009A1BF1"/>
    <w:rsid w:val="009A789A"/>
    <w:rsid w:val="009A7C57"/>
    <w:rsid w:val="009B1DD2"/>
    <w:rsid w:val="009C1B3C"/>
    <w:rsid w:val="009C4DE9"/>
    <w:rsid w:val="009C6381"/>
    <w:rsid w:val="009C7B3C"/>
    <w:rsid w:val="009D0936"/>
    <w:rsid w:val="009D3DF2"/>
    <w:rsid w:val="009E387B"/>
    <w:rsid w:val="009F0903"/>
    <w:rsid w:val="009F3ECC"/>
    <w:rsid w:val="009F6BC3"/>
    <w:rsid w:val="009F7389"/>
    <w:rsid w:val="00A00E1D"/>
    <w:rsid w:val="00A104A6"/>
    <w:rsid w:val="00A143B9"/>
    <w:rsid w:val="00A1647C"/>
    <w:rsid w:val="00A17355"/>
    <w:rsid w:val="00A2698E"/>
    <w:rsid w:val="00A27109"/>
    <w:rsid w:val="00A33152"/>
    <w:rsid w:val="00A3357C"/>
    <w:rsid w:val="00A33AE2"/>
    <w:rsid w:val="00A35B0D"/>
    <w:rsid w:val="00A42969"/>
    <w:rsid w:val="00A4437E"/>
    <w:rsid w:val="00A45419"/>
    <w:rsid w:val="00A477EB"/>
    <w:rsid w:val="00A51266"/>
    <w:rsid w:val="00A52C72"/>
    <w:rsid w:val="00A53666"/>
    <w:rsid w:val="00A54E1F"/>
    <w:rsid w:val="00A5744F"/>
    <w:rsid w:val="00A65EF8"/>
    <w:rsid w:val="00A72D58"/>
    <w:rsid w:val="00A73F13"/>
    <w:rsid w:val="00A75071"/>
    <w:rsid w:val="00A7509B"/>
    <w:rsid w:val="00A76D03"/>
    <w:rsid w:val="00A82BCA"/>
    <w:rsid w:val="00A83D56"/>
    <w:rsid w:val="00A91003"/>
    <w:rsid w:val="00AA008A"/>
    <w:rsid w:val="00AA2B9B"/>
    <w:rsid w:val="00AA3AF8"/>
    <w:rsid w:val="00AB217C"/>
    <w:rsid w:val="00AB469A"/>
    <w:rsid w:val="00AB62E9"/>
    <w:rsid w:val="00AB6968"/>
    <w:rsid w:val="00AC4119"/>
    <w:rsid w:val="00AC5A37"/>
    <w:rsid w:val="00AC7449"/>
    <w:rsid w:val="00AD1127"/>
    <w:rsid w:val="00AD3A94"/>
    <w:rsid w:val="00AE270E"/>
    <w:rsid w:val="00AF0E50"/>
    <w:rsid w:val="00AF3282"/>
    <w:rsid w:val="00AF6122"/>
    <w:rsid w:val="00B00CC0"/>
    <w:rsid w:val="00B01672"/>
    <w:rsid w:val="00B02363"/>
    <w:rsid w:val="00B07E60"/>
    <w:rsid w:val="00B11BA5"/>
    <w:rsid w:val="00B14C9A"/>
    <w:rsid w:val="00B15B15"/>
    <w:rsid w:val="00B15E09"/>
    <w:rsid w:val="00B2629A"/>
    <w:rsid w:val="00B26D4B"/>
    <w:rsid w:val="00B34118"/>
    <w:rsid w:val="00B4003D"/>
    <w:rsid w:val="00B4040C"/>
    <w:rsid w:val="00B41E4C"/>
    <w:rsid w:val="00B43658"/>
    <w:rsid w:val="00B45E9A"/>
    <w:rsid w:val="00B46DEB"/>
    <w:rsid w:val="00B603EA"/>
    <w:rsid w:val="00B73750"/>
    <w:rsid w:val="00B804AE"/>
    <w:rsid w:val="00B80EA7"/>
    <w:rsid w:val="00B811BF"/>
    <w:rsid w:val="00B833F2"/>
    <w:rsid w:val="00B850F7"/>
    <w:rsid w:val="00B854BD"/>
    <w:rsid w:val="00B85BCD"/>
    <w:rsid w:val="00B90C2B"/>
    <w:rsid w:val="00B92E63"/>
    <w:rsid w:val="00B96C8E"/>
    <w:rsid w:val="00BA10EA"/>
    <w:rsid w:val="00BA2443"/>
    <w:rsid w:val="00BA43A2"/>
    <w:rsid w:val="00BA5CA7"/>
    <w:rsid w:val="00BA70CD"/>
    <w:rsid w:val="00BB5714"/>
    <w:rsid w:val="00BC0C16"/>
    <w:rsid w:val="00BC7C8A"/>
    <w:rsid w:val="00BD30AD"/>
    <w:rsid w:val="00BD6F18"/>
    <w:rsid w:val="00BE2BD4"/>
    <w:rsid w:val="00BE4FA9"/>
    <w:rsid w:val="00BF05F0"/>
    <w:rsid w:val="00BF43F2"/>
    <w:rsid w:val="00BF6B74"/>
    <w:rsid w:val="00C01566"/>
    <w:rsid w:val="00C15018"/>
    <w:rsid w:val="00C21DB6"/>
    <w:rsid w:val="00C22303"/>
    <w:rsid w:val="00C23F3F"/>
    <w:rsid w:val="00C2532C"/>
    <w:rsid w:val="00C321D9"/>
    <w:rsid w:val="00C349C0"/>
    <w:rsid w:val="00C431CD"/>
    <w:rsid w:val="00C5113F"/>
    <w:rsid w:val="00C528E3"/>
    <w:rsid w:val="00C53C89"/>
    <w:rsid w:val="00C556CD"/>
    <w:rsid w:val="00C575C9"/>
    <w:rsid w:val="00C67E7C"/>
    <w:rsid w:val="00C711A3"/>
    <w:rsid w:val="00C74A81"/>
    <w:rsid w:val="00C751F6"/>
    <w:rsid w:val="00C7621E"/>
    <w:rsid w:val="00C76C19"/>
    <w:rsid w:val="00C80FC4"/>
    <w:rsid w:val="00C852E4"/>
    <w:rsid w:val="00C921B3"/>
    <w:rsid w:val="00CA76FB"/>
    <w:rsid w:val="00CB2530"/>
    <w:rsid w:val="00CB69E9"/>
    <w:rsid w:val="00CC6A6E"/>
    <w:rsid w:val="00CC7594"/>
    <w:rsid w:val="00CD2843"/>
    <w:rsid w:val="00CD4FC4"/>
    <w:rsid w:val="00CD76D7"/>
    <w:rsid w:val="00CE1D7B"/>
    <w:rsid w:val="00CE3D44"/>
    <w:rsid w:val="00CE445E"/>
    <w:rsid w:val="00CF54C7"/>
    <w:rsid w:val="00CF6325"/>
    <w:rsid w:val="00CF679B"/>
    <w:rsid w:val="00D009E3"/>
    <w:rsid w:val="00D057FA"/>
    <w:rsid w:val="00D075BB"/>
    <w:rsid w:val="00D125C5"/>
    <w:rsid w:val="00D12A8F"/>
    <w:rsid w:val="00D20FF3"/>
    <w:rsid w:val="00D2502C"/>
    <w:rsid w:val="00D27EFC"/>
    <w:rsid w:val="00D31053"/>
    <w:rsid w:val="00D323BD"/>
    <w:rsid w:val="00D33005"/>
    <w:rsid w:val="00D36694"/>
    <w:rsid w:val="00D45F4B"/>
    <w:rsid w:val="00D46419"/>
    <w:rsid w:val="00D5257D"/>
    <w:rsid w:val="00D53ED6"/>
    <w:rsid w:val="00D578BB"/>
    <w:rsid w:val="00D60D4A"/>
    <w:rsid w:val="00D627FE"/>
    <w:rsid w:val="00D633EE"/>
    <w:rsid w:val="00D65E21"/>
    <w:rsid w:val="00D67301"/>
    <w:rsid w:val="00D71413"/>
    <w:rsid w:val="00D74D57"/>
    <w:rsid w:val="00D80B46"/>
    <w:rsid w:val="00D82EE8"/>
    <w:rsid w:val="00D8610B"/>
    <w:rsid w:val="00D86C87"/>
    <w:rsid w:val="00D87AB0"/>
    <w:rsid w:val="00D906BB"/>
    <w:rsid w:val="00DA537D"/>
    <w:rsid w:val="00DA7C04"/>
    <w:rsid w:val="00DB0556"/>
    <w:rsid w:val="00DB2442"/>
    <w:rsid w:val="00DB3900"/>
    <w:rsid w:val="00DC0F75"/>
    <w:rsid w:val="00DC110B"/>
    <w:rsid w:val="00DC1A16"/>
    <w:rsid w:val="00DC1AD1"/>
    <w:rsid w:val="00DC7833"/>
    <w:rsid w:val="00DD0782"/>
    <w:rsid w:val="00DD3C32"/>
    <w:rsid w:val="00DD5226"/>
    <w:rsid w:val="00DD6394"/>
    <w:rsid w:val="00DE5E00"/>
    <w:rsid w:val="00DF044E"/>
    <w:rsid w:val="00DF2153"/>
    <w:rsid w:val="00DF6CB0"/>
    <w:rsid w:val="00E06687"/>
    <w:rsid w:val="00E11BCB"/>
    <w:rsid w:val="00E1285F"/>
    <w:rsid w:val="00E20CD8"/>
    <w:rsid w:val="00E20F71"/>
    <w:rsid w:val="00E25128"/>
    <w:rsid w:val="00E26D7C"/>
    <w:rsid w:val="00E278FE"/>
    <w:rsid w:val="00E345AA"/>
    <w:rsid w:val="00E362D1"/>
    <w:rsid w:val="00E42338"/>
    <w:rsid w:val="00E44256"/>
    <w:rsid w:val="00E45438"/>
    <w:rsid w:val="00E472C2"/>
    <w:rsid w:val="00E5185B"/>
    <w:rsid w:val="00E5244C"/>
    <w:rsid w:val="00E533F7"/>
    <w:rsid w:val="00E57461"/>
    <w:rsid w:val="00E63012"/>
    <w:rsid w:val="00E67388"/>
    <w:rsid w:val="00E7386F"/>
    <w:rsid w:val="00E74EBF"/>
    <w:rsid w:val="00E76D98"/>
    <w:rsid w:val="00E83F00"/>
    <w:rsid w:val="00E84196"/>
    <w:rsid w:val="00E85B02"/>
    <w:rsid w:val="00E918C2"/>
    <w:rsid w:val="00E93221"/>
    <w:rsid w:val="00E9518D"/>
    <w:rsid w:val="00E96770"/>
    <w:rsid w:val="00EA382C"/>
    <w:rsid w:val="00EB156F"/>
    <w:rsid w:val="00EB71B9"/>
    <w:rsid w:val="00EC04BA"/>
    <w:rsid w:val="00EC505A"/>
    <w:rsid w:val="00EC6BBC"/>
    <w:rsid w:val="00EC73D5"/>
    <w:rsid w:val="00ED3076"/>
    <w:rsid w:val="00ED48AB"/>
    <w:rsid w:val="00EE31F5"/>
    <w:rsid w:val="00EE5131"/>
    <w:rsid w:val="00EE5878"/>
    <w:rsid w:val="00EF5789"/>
    <w:rsid w:val="00EF5B01"/>
    <w:rsid w:val="00EF6C33"/>
    <w:rsid w:val="00EF73BF"/>
    <w:rsid w:val="00F01D3B"/>
    <w:rsid w:val="00F04620"/>
    <w:rsid w:val="00F04DDE"/>
    <w:rsid w:val="00F1178F"/>
    <w:rsid w:val="00F15D7B"/>
    <w:rsid w:val="00F21106"/>
    <w:rsid w:val="00F25843"/>
    <w:rsid w:val="00F26259"/>
    <w:rsid w:val="00F4288E"/>
    <w:rsid w:val="00F5167B"/>
    <w:rsid w:val="00F55836"/>
    <w:rsid w:val="00F57764"/>
    <w:rsid w:val="00F60690"/>
    <w:rsid w:val="00F71857"/>
    <w:rsid w:val="00F74AE4"/>
    <w:rsid w:val="00F7571C"/>
    <w:rsid w:val="00F82305"/>
    <w:rsid w:val="00F8363D"/>
    <w:rsid w:val="00F8736B"/>
    <w:rsid w:val="00F90B3A"/>
    <w:rsid w:val="00F923AE"/>
    <w:rsid w:val="00F9651F"/>
    <w:rsid w:val="00F97FC7"/>
    <w:rsid w:val="00FA2766"/>
    <w:rsid w:val="00FA5615"/>
    <w:rsid w:val="00FA5FA2"/>
    <w:rsid w:val="00FA6460"/>
    <w:rsid w:val="00FC18B0"/>
    <w:rsid w:val="00FC4E63"/>
    <w:rsid w:val="00FC601F"/>
    <w:rsid w:val="00FD0857"/>
    <w:rsid w:val="00FD4B63"/>
    <w:rsid w:val="00FD59E9"/>
    <w:rsid w:val="00FD6B2B"/>
    <w:rsid w:val="00FE4A8F"/>
    <w:rsid w:val="00FE7D19"/>
    <w:rsid w:val="00FF12D2"/>
    <w:rsid w:val="00FF4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4B5F476-FB16-4D06-B2F3-4AED864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20"/>
    <w:pPr>
      <w:spacing w:after="200" w:line="276" w:lineRule="auto"/>
    </w:pPr>
    <w:rPr>
      <w:lang w:val="es-CO"/>
    </w:rPr>
  </w:style>
  <w:style w:type="paragraph" w:styleId="Ttulo2">
    <w:name w:val="heading 2"/>
    <w:basedOn w:val="Normal"/>
    <w:next w:val="Normal"/>
    <w:link w:val="Ttulo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B217C"/>
    <w:pPr>
      <w:spacing w:after="0" w:line="240" w:lineRule="auto"/>
    </w:pPr>
  </w:style>
  <w:style w:type="paragraph" w:styleId="Encabezado">
    <w:name w:val="header"/>
    <w:basedOn w:val="Normal"/>
    <w:link w:val="EncabezadoCar"/>
    <w:uiPriority w:val="99"/>
    <w:unhideWhenUsed/>
    <w:rsid w:val="00262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9D1"/>
    <w:rPr>
      <w:lang w:val="es-CO"/>
    </w:rPr>
  </w:style>
  <w:style w:type="paragraph" w:styleId="Piedepgina">
    <w:name w:val="footer"/>
    <w:basedOn w:val="Normal"/>
    <w:link w:val="PiedepginaCar"/>
    <w:uiPriority w:val="99"/>
    <w:unhideWhenUsed/>
    <w:rsid w:val="00262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9D1"/>
    <w:rPr>
      <w:lang w:val="es-CO"/>
    </w:rPr>
  </w:style>
  <w:style w:type="character" w:customStyle="1" w:styleId="Ttulo4Car">
    <w:name w:val="Título 4 Car"/>
    <w:basedOn w:val="Fuentedeprrafopredeter"/>
    <w:link w:val="Ttulo4"/>
    <w:rsid w:val="00803C6F"/>
    <w:rPr>
      <w:rFonts w:ascii="Calibri" w:eastAsia="Times New Roman" w:hAnsi="Calibri" w:cs="Calibri"/>
      <w:b/>
      <w:bCs/>
      <w:sz w:val="28"/>
      <w:szCs w:val="28"/>
      <w:lang w:eastAsia="es-ES"/>
    </w:rPr>
  </w:style>
  <w:style w:type="paragraph" w:styleId="Textoindependiente">
    <w:name w:val="Body Text"/>
    <w:basedOn w:val="Normal"/>
    <w:link w:val="Textoindependien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803C6F"/>
    <w:rPr>
      <w:rFonts w:ascii="Bookman Old Style" w:eastAsia="Times New Roman" w:hAnsi="Bookman Old Style" w:cs="Bookman Old Style"/>
      <w:sz w:val="28"/>
      <w:szCs w:val="28"/>
      <w:lang w:eastAsia="es-ES"/>
    </w:rPr>
  </w:style>
  <w:style w:type="paragraph" w:styleId="Prrafodelista">
    <w:name w:val="List Paragraph"/>
    <w:basedOn w:val="Normal"/>
    <w:uiPriority w:val="99"/>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inespaciadoCar">
    <w:name w:val="Sin espaciado Car"/>
    <w:link w:val="Sinespaciado"/>
    <w:uiPriority w:val="99"/>
    <w:locked/>
    <w:rsid w:val="001A4A5F"/>
  </w:style>
  <w:style w:type="paragraph" w:styleId="Textodeglobo">
    <w:name w:val="Balloon Text"/>
    <w:basedOn w:val="Normal"/>
    <w:link w:val="TextodegloboCar"/>
    <w:uiPriority w:val="99"/>
    <w:semiHidden/>
    <w:unhideWhenUsed/>
    <w:rsid w:val="00BD3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0AD"/>
    <w:rPr>
      <w:rFonts w:ascii="Segoe UI" w:hAnsi="Segoe UI" w:cs="Segoe UI"/>
      <w:sz w:val="18"/>
      <w:szCs w:val="18"/>
      <w:lang w:val="es-CO"/>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TextonotapieCar"/>
    <w:unhideWhenUsed/>
    <w:rsid w:val="007C5D9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ar1,Footnote Text Char Char Char Char Char Char Char Char Car1"/>
    <w:basedOn w:val="Fuentedeprrafopredeter"/>
    <w:link w:val="Textonotapie"/>
    <w:uiPriority w:val="99"/>
    <w:semiHidden/>
    <w:rsid w:val="007C5D9D"/>
    <w:rPr>
      <w:sz w:val="20"/>
      <w:szCs w:val="20"/>
      <w:lang w:val="es-CO"/>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basedOn w:val="Fuentedeprrafopredeter"/>
    <w:unhideWhenUsed/>
    <w:rsid w:val="007C5D9D"/>
    <w:rPr>
      <w:vertAlign w:val="superscript"/>
    </w:rPr>
  </w:style>
  <w:style w:type="paragraph" w:styleId="Textoindependiente3">
    <w:name w:val="Body Text 3"/>
    <w:basedOn w:val="Normal"/>
    <w:link w:val="Textoindependien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tulo2Car">
    <w:name w:val="Título 2 Car"/>
    <w:basedOn w:val="Fuentedeprrafopredeter"/>
    <w:link w:val="Ttulo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Sangra2detindependiente">
    <w:name w:val="Body Text Indent 2"/>
    <w:basedOn w:val="Normal"/>
    <w:link w:val="Sangra2detindependienteCar"/>
    <w:uiPriority w:val="99"/>
    <w:semiHidden/>
    <w:unhideWhenUsed/>
    <w:rsid w:val="008E255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3966">
      <w:bodyDiv w:val="1"/>
      <w:marLeft w:val="0"/>
      <w:marRight w:val="0"/>
      <w:marTop w:val="0"/>
      <w:marBottom w:val="0"/>
      <w:divBdr>
        <w:top w:val="none" w:sz="0" w:space="0" w:color="auto"/>
        <w:left w:val="none" w:sz="0" w:space="0" w:color="auto"/>
        <w:bottom w:val="none" w:sz="0" w:space="0" w:color="auto"/>
        <w:right w:val="none" w:sz="0" w:space="0" w:color="auto"/>
      </w:divBdr>
    </w:div>
    <w:div w:id="292105722">
      <w:bodyDiv w:val="1"/>
      <w:marLeft w:val="0"/>
      <w:marRight w:val="0"/>
      <w:marTop w:val="0"/>
      <w:marBottom w:val="0"/>
      <w:divBdr>
        <w:top w:val="none" w:sz="0" w:space="0" w:color="auto"/>
        <w:left w:val="none" w:sz="0" w:space="0" w:color="auto"/>
        <w:bottom w:val="none" w:sz="0" w:space="0" w:color="auto"/>
        <w:right w:val="none" w:sz="0" w:space="0" w:color="auto"/>
      </w:divBdr>
    </w:div>
    <w:div w:id="346910189">
      <w:bodyDiv w:val="1"/>
      <w:marLeft w:val="0"/>
      <w:marRight w:val="0"/>
      <w:marTop w:val="0"/>
      <w:marBottom w:val="0"/>
      <w:divBdr>
        <w:top w:val="none" w:sz="0" w:space="0" w:color="auto"/>
        <w:left w:val="none" w:sz="0" w:space="0" w:color="auto"/>
        <w:bottom w:val="none" w:sz="0" w:space="0" w:color="auto"/>
        <w:right w:val="none" w:sz="0" w:space="0" w:color="auto"/>
      </w:divBdr>
    </w:div>
    <w:div w:id="599797178">
      <w:bodyDiv w:val="1"/>
      <w:marLeft w:val="0"/>
      <w:marRight w:val="0"/>
      <w:marTop w:val="0"/>
      <w:marBottom w:val="0"/>
      <w:divBdr>
        <w:top w:val="none" w:sz="0" w:space="0" w:color="auto"/>
        <w:left w:val="none" w:sz="0" w:space="0" w:color="auto"/>
        <w:bottom w:val="none" w:sz="0" w:space="0" w:color="auto"/>
        <w:right w:val="none" w:sz="0" w:space="0" w:color="auto"/>
      </w:divBdr>
    </w:div>
    <w:div w:id="1352100391">
      <w:bodyDiv w:val="1"/>
      <w:marLeft w:val="0"/>
      <w:marRight w:val="0"/>
      <w:marTop w:val="0"/>
      <w:marBottom w:val="0"/>
      <w:divBdr>
        <w:top w:val="none" w:sz="0" w:space="0" w:color="auto"/>
        <w:left w:val="none" w:sz="0" w:space="0" w:color="auto"/>
        <w:bottom w:val="none" w:sz="0" w:space="0" w:color="auto"/>
        <w:right w:val="none" w:sz="0" w:space="0" w:color="auto"/>
      </w:divBdr>
    </w:div>
    <w:div w:id="1897157900">
      <w:bodyDiv w:val="1"/>
      <w:marLeft w:val="0"/>
      <w:marRight w:val="0"/>
      <w:marTop w:val="0"/>
      <w:marBottom w:val="0"/>
      <w:divBdr>
        <w:top w:val="none" w:sz="0" w:space="0" w:color="auto"/>
        <w:left w:val="none" w:sz="0" w:space="0" w:color="auto"/>
        <w:bottom w:val="none" w:sz="0" w:space="0" w:color="auto"/>
        <w:right w:val="none" w:sz="0" w:space="0" w:color="auto"/>
      </w:divBdr>
    </w:div>
    <w:div w:id="1909732727">
      <w:bodyDiv w:val="1"/>
      <w:marLeft w:val="0"/>
      <w:marRight w:val="0"/>
      <w:marTop w:val="0"/>
      <w:marBottom w:val="0"/>
      <w:divBdr>
        <w:top w:val="none" w:sz="0" w:space="0" w:color="auto"/>
        <w:left w:val="none" w:sz="0" w:space="0" w:color="auto"/>
        <w:bottom w:val="none" w:sz="0" w:space="0" w:color="auto"/>
        <w:right w:val="none" w:sz="0" w:space="0" w:color="auto"/>
      </w:divBdr>
    </w:div>
    <w:div w:id="2030830080">
      <w:bodyDiv w:val="1"/>
      <w:marLeft w:val="0"/>
      <w:marRight w:val="0"/>
      <w:marTop w:val="0"/>
      <w:marBottom w:val="0"/>
      <w:divBdr>
        <w:top w:val="none" w:sz="0" w:space="0" w:color="auto"/>
        <w:left w:val="none" w:sz="0" w:space="0" w:color="auto"/>
        <w:bottom w:val="none" w:sz="0" w:space="0" w:color="auto"/>
        <w:right w:val="none" w:sz="0" w:space="0" w:color="auto"/>
      </w:divBdr>
    </w:div>
    <w:div w:id="2130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6402-E37B-4355-9F4D-38EE7E3C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22</Pages>
  <Words>11539</Words>
  <Characters>63470</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74860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55</cp:revision>
  <cp:lastPrinted>2019-02-14T18:06:00Z</cp:lastPrinted>
  <dcterms:created xsi:type="dcterms:W3CDTF">2019-03-06T19:48:00Z</dcterms:created>
  <dcterms:modified xsi:type="dcterms:W3CDTF">2019-05-24T19:53:00Z</dcterms:modified>
</cp:coreProperties>
</file>