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3A" w:rsidRPr="00867E3A" w:rsidRDefault="00867E3A" w:rsidP="00867E3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867E3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67E3A" w:rsidRPr="00867E3A" w:rsidRDefault="00867E3A" w:rsidP="00867E3A">
      <w:pPr>
        <w:overflowPunct/>
        <w:autoSpaceDE/>
        <w:autoSpaceDN/>
        <w:adjustRightInd/>
        <w:jc w:val="both"/>
        <w:textAlignment w:val="auto"/>
        <w:rPr>
          <w:rFonts w:ascii="Arial" w:hAnsi="Arial" w:cs="Arial"/>
          <w:lang w:val="es-419"/>
        </w:rPr>
      </w:pPr>
    </w:p>
    <w:p w:rsidR="00867E3A" w:rsidRPr="00867E3A" w:rsidRDefault="00867E3A" w:rsidP="00867E3A">
      <w:pPr>
        <w:overflowPunct/>
        <w:autoSpaceDE/>
        <w:autoSpaceDN/>
        <w:adjustRightInd/>
        <w:jc w:val="both"/>
        <w:textAlignment w:val="auto"/>
        <w:rPr>
          <w:rFonts w:ascii="Arial" w:hAnsi="Arial" w:cs="Arial"/>
          <w:b/>
          <w:bCs/>
          <w:iCs/>
          <w:lang w:val="es-419" w:eastAsia="fr-FR"/>
        </w:rPr>
      </w:pPr>
      <w:r w:rsidRPr="00867E3A">
        <w:rPr>
          <w:rFonts w:ascii="Arial" w:hAnsi="Arial" w:cs="Arial"/>
          <w:b/>
          <w:bCs/>
          <w:iCs/>
          <w:u w:val="single"/>
          <w:lang w:val="es-419" w:eastAsia="fr-FR"/>
        </w:rPr>
        <w:t>TEMAS:</w:t>
      </w:r>
      <w:r w:rsidRPr="00867E3A">
        <w:rPr>
          <w:rFonts w:ascii="Arial" w:hAnsi="Arial" w:cs="Arial"/>
          <w:b/>
          <w:bCs/>
          <w:iCs/>
          <w:lang w:val="es-419" w:eastAsia="fr-FR"/>
        </w:rPr>
        <w:tab/>
      </w:r>
      <w:r w:rsidR="00920C1B">
        <w:rPr>
          <w:rFonts w:ascii="Arial" w:hAnsi="Arial" w:cs="Arial"/>
          <w:b/>
          <w:bCs/>
          <w:iCs/>
          <w:lang w:val="es-419" w:eastAsia="fr-FR"/>
        </w:rPr>
        <w:t>COMPETENCIA /</w:t>
      </w:r>
      <w:r w:rsidR="00920C1B">
        <w:rPr>
          <w:rFonts w:ascii="Arial" w:hAnsi="Arial" w:cs="Arial"/>
          <w:b/>
          <w:bCs/>
          <w:iCs/>
          <w:lang w:val="es-419" w:eastAsia="fr-FR"/>
        </w:rPr>
        <w:t xml:space="preserve"> </w:t>
      </w:r>
      <w:r w:rsidR="003E5D06">
        <w:rPr>
          <w:rFonts w:ascii="Arial" w:hAnsi="Arial" w:cs="Arial"/>
          <w:b/>
          <w:bCs/>
          <w:iCs/>
          <w:lang w:val="es-419" w:eastAsia="fr-FR"/>
        </w:rPr>
        <w:t xml:space="preserve">DERECHO DE PETICIÓN / </w:t>
      </w:r>
      <w:r w:rsidR="00920C1B">
        <w:rPr>
          <w:rFonts w:ascii="Arial" w:hAnsi="Arial" w:cs="Arial"/>
          <w:b/>
          <w:bCs/>
          <w:iCs/>
          <w:lang w:val="es-419" w:eastAsia="fr-FR"/>
        </w:rPr>
        <w:t>FORMULADO A</w:t>
      </w:r>
      <w:r w:rsidR="0009587F">
        <w:rPr>
          <w:rFonts w:ascii="Arial" w:hAnsi="Arial" w:cs="Arial"/>
          <w:b/>
          <w:bCs/>
          <w:iCs/>
          <w:lang w:val="es-419" w:eastAsia="fr-FR"/>
        </w:rPr>
        <w:t xml:space="preserve"> JUEZ DE CIRCUITO / </w:t>
      </w:r>
      <w:r w:rsidR="00920C1B">
        <w:rPr>
          <w:rFonts w:ascii="Arial" w:hAnsi="Arial" w:cs="Arial"/>
          <w:b/>
          <w:bCs/>
          <w:iCs/>
          <w:lang w:val="es-419" w:eastAsia="fr-FR"/>
        </w:rPr>
        <w:t xml:space="preserve">NO </w:t>
      </w:r>
      <w:r w:rsidR="0009587F">
        <w:rPr>
          <w:rFonts w:ascii="Arial" w:hAnsi="Arial" w:cs="Arial"/>
          <w:b/>
          <w:bCs/>
          <w:iCs/>
          <w:lang w:val="es-419" w:eastAsia="fr-FR"/>
        </w:rPr>
        <w:t xml:space="preserve">ACTÚA COMO SERVIDOR </w:t>
      </w:r>
      <w:r w:rsidR="00920C1B">
        <w:rPr>
          <w:rFonts w:ascii="Arial" w:hAnsi="Arial" w:cs="Arial"/>
          <w:b/>
          <w:bCs/>
          <w:iCs/>
          <w:lang w:val="es-419" w:eastAsia="fr-FR"/>
        </w:rPr>
        <w:t xml:space="preserve">JUDICIAL </w:t>
      </w:r>
      <w:r w:rsidR="0009587F">
        <w:rPr>
          <w:rFonts w:ascii="Arial" w:hAnsi="Arial" w:cs="Arial"/>
          <w:b/>
          <w:bCs/>
          <w:iCs/>
          <w:lang w:val="es-419" w:eastAsia="fr-FR"/>
        </w:rPr>
        <w:t xml:space="preserve">/ </w:t>
      </w:r>
      <w:r w:rsidR="00920C1B">
        <w:rPr>
          <w:rFonts w:ascii="Arial" w:hAnsi="Arial" w:cs="Arial"/>
          <w:b/>
          <w:bCs/>
          <w:iCs/>
          <w:lang w:val="es-419" w:eastAsia="fr-FR"/>
        </w:rPr>
        <w:t>COMPETE A</w:t>
      </w:r>
      <w:r w:rsidR="0009587F">
        <w:rPr>
          <w:rFonts w:ascii="Arial" w:hAnsi="Arial" w:cs="Arial"/>
          <w:b/>
          <w:bCs/>
          <w:iCs/>
          <w:lang w:val="es-419" w:eastAsia="fr-FR"/>
        </w:rPr>
        <w:t xml:space="preserve">L JUEZ MUNICIPAL </w:t>
      </w:r>
      <w:r w:rsidRPr="00867E3A">
        <w:rPr>
          <w:rFonts w:ascii="Arial" w:hAnsi="Arial" w:cs="Arial"/>
          <w:b/>
          <w:bCs/>
          <w:iCs/>
          <w:lang w:val="es-419" w:eastAsia="fr-FR"/>
        </w:rPr>
        <w:t xml:space="preserve">/ </w:t>
      </w:r>
      <w:r w:rsidR="0009587F">
        <w:rPr>
          <w:rFonts w:ascii="Arial" w:hAnsi="Arial" w:cs="Arial"/>
          <w:b/>
          <w:bCs/>
          <w:iCs/>
          <w:lang w:val="es-419" w:eastAsia="fr-FR"/>
        </w:rPr>
        <w:t>PROCEDENCIA DE DECRETAR NULIDAD EN TUTELAS / RECUENTO JURISPRUDENCIAL.</w:t>
      </w:r>
    </w:p>
    <w:p w:rsidR="00867E3A" w:rsidRPr="00867E3A" w:rsidRDefault="00867E3A" w:rsidP="00867E3A">
      <w:pPr>
        <w:overflowPunct/>
        <w:autoSpaceDE/>
        <w:autoSpaceDN/>
        <w:adjustRightInd/>
        <w:jc w:val="both"/>
        <w:textAlignment w:val="auto"/>
        <w:rPr>
          <w:rFonts w:ascii="Arial" w:hAnsi="Arial" w:cs="Arial"/>
          <w:lang w:val="es-419"/>
        </w:rPr>
      </w:pPr>
    </w:p>
    <w:p w:rsidR="003E5D06" w:rsidRPr="003E5D06" w:rsidRDefault="003E5D06" w:rsidP="003E5D0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3E5D06">
        <w:rPr>
          <w:rFonts w:ascii="Arial" w:hAnsi="Arial" w:cs="Arial"/>
          <w:lang w:val="es-419"/>
        </w:rPr>
        <w:t>en acción de tutela promovida por el aquí demandante, tendiente a obtener que el Juzgado Primero Civil del Circuito de esta ciudad le respondiera un derecho de petición, de la que conoció esta Sala, la referida Corporación declaró la nulidad de todo lo actuado y ordenó remitir el expediente a los jueces municipales, que consideró eran los competentes para conocer del asunto.</w:t>
      </w:r>
      <w:r>
        <w:rPr>
          <w:rFonts w:ascii="Arial" w:hAnsi="Arial" w:cs="Arial"/>
          <w:lang w:val="es-419"/>
        </w:rPr>
        <w:t xml:space="preserve">  </w:t>
      </w:r>
      <w:r w:rsidRPr="003E5D06">
        <w:rPr>
          <w:rFonts w:ascii="Arial" w:hAnsi="Arial" w:cs="Arial"/>
          <w:lang w:val="es-419"/>
        </w:rPr>
        <w:t>Así dijo:</w:t>
      </w:r>
    </w:p>
    <w:p w:rsidR="003E5D06" w:rsidRPr="003E5D06" w:rsidRDefault="003E5D06" w:rsidP="003E5D06">
      <w:pPr>
        <w:overflowPunct/>
        <w:autoSpaceDE/>
        <w:autoSpaceDN/>
        <w:adjustRightInd/>
        <w:jc w:val="both"/>
        <w:textAlignment w:val="auto"/>
        <w:rPr>
          <w:rFonts w:ascii="Arial" w:hAnsi="Arial" w:cs="Arial"/>
          <w:lang w:val="es-419"/>
        </w:rPr>
      </w:pPr>
      <w:r w:rsidRPr="003E5D06">
        <w:rPr>
          <w:rFonts w:ascii="Arial" w:hAnsi="Arial" w:cs="Arial"/>
          <w:lang w:val="es-419"/>
        </w:rPr>
        <w:t xml:space="preserve"> </w:t>
      </w:r>
    </w:p>
    <w:p w:rsidR="003E5D06" w:rsidRPr="003E5D06" w:rsidRDefault="003E5D06" w:rsidP="003E5D06">
      <w:pPr>
        <w:overflowPunct/>
        <w:autoSpaceDE/>
        <w:autoSpaceDN/>
        <w:adjustRightInd/>
        <w:jc w:val="both"/>
        <w:textAlignment w:val="auto"/>
        <w:rPr>
          <w:rFonts w:ascii="Arial" w:hAnsi="Arial" w:cs="Arial"/>
          <w:lang w:val="es-419"/>
        </w:rPr>
      </w:pPr>
      <w:r w:rsidRPr="003E5D06">
        <w:rPr>
          <w:rFonts w:ascii="Arial" w:hAnsi="Arial" w:cs="Arial"/>
          <w:lang w:val="es-419"/>
        </w:rPr>
        <w:t>“1.- De lo expuesto, especialmente del escrito en torno al cual gira la queja y del carácter que el a-quo le dio, que la Corte comparte, se desprende que el reproche se enfila contra una supuesta omisión del Juez Primero Civil del Circuito de Pereira por fuera del escenario estrictamente judicial, enmarcada más bien en el rol como director del despacho.</w:t>
      </w:r>
    </w:p>
    <w:p w:rsidR="003E5D06" w:rsidRPr="003E5D06" w:rsidRDefault="003E5D06" w:rsidP="003E5D06">
      <w:pPr>
        <w:overflowPunct/>
        <w:autoSpaceDE/>
        <w:autoSpaceDN/>
        <w:adjustRightInd/>
        <w:jc w:val="both"/>
        <w:textAlignment w:val="auto"/>
        <w:rPr>
          <w:rFonts w:ascii="Arial" w:hAnsi="Arial" w:cs="Arial"/>
          <w:lang w:val="es-419"/>
        </w:rPr>
      </w:pPr>
    </w:p>
    <w:p w:rsidR="00867E3A" w:rsidRPr="00867E3A" w:rsidRDefault="003E5D06" w:rsidP="003E5D06">
      <w:pPr>
        <w:overflowPunct/>
        <w:autoSpaceDE/>
        <w:autoSpaceDN/>
        <w:adjustRightInd/>
        <w:jc w:val="both"/>
        <w:textAlignment w:val="auto"/>
        <w:rPr>
          <w:rFonts w:ascii="Arial" w:hAnsi="Arial" w:cs="Arial"/>
          <w:lang w:val="es-419"/>
        </w:rPr>
      </w:pPr>
      <w:r>
        <w:rPr>
          <w:rFonts w:ascii="Arial" w:hAnsi="Arial" w:cs="Arial"/>
          <w:lang w:val="es-419"/>
        </w:rPr>
        <w:t>“</w:t>
      </w:r>
      <w:r w:rsidRPr="003E5D06">
        <w:rPr>
          <w:rFonts w:ascii="Arial" w:hAnsi="Arial" w:cs="Arial"/>
          <w:lang w:val="es-419"/>
        </w:rPr>
        <w:t>En consecuencia, el funcionario actuó como servidor público del nivel municipal, lo que significa que el Tribunal Superior de Pereira no era competente para conocer en primera instancia de la solicitud de amparo en referencia</w:t>
      </w:r>
      <w:r>
        <w:rPr>
          <w:rFonts w:ascii="Arial" w:hAnsi="Arial" w:cs="Arial"/>
          <w:lang w:val="es-419"/>
        </w:rPr>
        <w:t>…”</w:t>
      </w:r>
    </w:p>
    <w:p w:rsidR="00867E3A" w:rsidRPr="00867E3A" w:rsidRDefault="00867E3A" w:rsidP="00867E3A">
      <w:pPr>
        <w:overflowPunct/>
        <w:autoSpaceDE/>
        <w:autoSpaceDN/>
        <w:adjustRightInd/>
        <w:jc w:val="both"/>
        <w:textAlignment w:val="auto"/>
        <w:rPr>
          <w:rFonts w:ascii="Arial" w:hAnsi="Arial" w:cs="Arial"/>
          <w:lang w:val="es-419"/>
        </w:rPr>
      </w:pPr>
    </w:p>
    <w:p w:rsidR="003E5D06" w:rsidRPr="003E5D06" w:rsidRDefault="003E5D06" w:rsidP="003E5D06">
      <w:pPr>
        <w:overflowPunct/>
        <w:autoSpaceDE/>
        <w:autoSpaceDN/>
        <w:adjustRightInd/>
        <w:jc w:val="both"/>
        <w:textAlignment w:val="auto"/>
        <w:rPr>
          <w:rFonts w:ascii="Arial" w:hAnsi="Arial" w:cs="Arial"/>
          <w:lang w:val="es-419"/>
        </w:rPr>
      </w:pPr>
      <w:r w:rsidRPr="003E5D06">
        <w:rPr>
          <w:rFonts w:ascii="Arial" w:hAnsi="Arial" w:cs="Arial"/>
          <w:lang w:val="es-419"/>
        </w:rPr>
        <w:t xml:space="preserve">Esa misma corporación analizó en extenso lo relacionado con la competencia que deben tener los jueces para conocer de las acciones de tutela en torno a lo dispuesto por la Corte Constitucional que en auto del 1º de julio de 2009 la instó, sin ser competente, a resolver la impugnación interpuesta contra la sentencia de primera instancia proferida por la Sala Civil Familia de este Tribunal. En esa providencia aquella Corporación declaró la nulidad de todo lo actuado, por falta de competencia funcional. </w:t>
      </w:r>
    </w:p>
    <w:p w:rsidR="003E5D06" w:rsidRPr="003E5D06" w:rsidRDefault="003E5D06" w:rsidP="003E5D06">
      <w:pPr>
        <w:overflowPunct/>
        <w:autoSpaceDE/>
        <w:autoSpaceDN/>
        <w:adjustRightInd/>
        <w:jc w:val="both"/>
        <w:textAlignment w:val="auto"/>
        <w:rPr>
          <w:rFonts w:ascii="Arial" w:hAnsi="Arial" w:cs="Arial"/>
          <w:lang w:val="es-419"/>
        </w:rPr>
      </w:pPr>
    </w:p>
    <w:p w:rsidR="00867E3A" w:rsidRPr="00867E3A" w:rsidRDefault="003E5D06" w:rsidP="003E5D06">
      <w:pPr>
        <w:overflowPunct/>
        <w:autoSpaceDE/>
        <w:autoSpaceDN/>
        <w:adjustRightInd/>
        <w:jc w:val="both"/>
        <w:textAlignment w:val="auto"/>
        <w:rPr>
          <w:rFonts w:ascii="Arial" w:hAnsi="Arial" w:cs="Arial"/>
          <w:lang w:val="es-419"/>
        </w:rPr>
      </w:pPr>
      <w:r w:rsidRPr="003E5D06">
        <w:rPr>
          <w:rFonts w:ascii="Arial" w:hAnsi="Arial" w:cs="Arial"/>
          <w:lang w:val="es-419"/>
        </w:rPr>
        <w:t>Ese criterio aún se conserva y para solo citar una providencia en tal sentido, dijo recientemente la Corte Suprema de Justicia:</w:t>
      </w:r>
    </w:p>
    <w:p w:rsidR="00867E3A" w:rsidRDefault="00867E3A" w:rsidP="00867E3A">
      <w:pPr>
        <w:overflowPunct/>
        <w:autoSpaceDE/>
        <w:autoSpaceDN/>
        <w:adjustRightInd/>
        <w:jc w:val="both"/>
        <w:textAlignment w:val="auto"/>
        <w:rPr>
          <w:rFonts w:ascii="Arial" w:hAnsi="Arial" w:cs="Arial"/>
          <w:lang w:val="es-ES"/>
        </w:rPr>
      </w:pPr>
    </w:p>
    <w:p w:rsidR="003E5D06" w:rsidRPr="00867E3A" w:rsidRDefault="003E5D06" w:rsidP="00867E3A">
      <w:pPr>
        <w:overflowPunct/>
        <w:autoSpaceDE/>
        <w:autoSpaceDN/>
        <w:adjustRightInd/>
        <w:jc w:val="both"/>
        <w:textAlignment w:val="auto"/>
        <w:rPr>
          <w:rFonts w:ascii="Arial" w:hAnsi="Arial" w:cs="Arial"/>
          <w:lang w:val="es-ES"/>
        </w:rPr>
      </w:pPr>
      <w:r>
        <w:rPr>
          <w:rFonts w:ascii="Arial" w:hAnsi="Arial" w:cs="Arial"/>
          <w:lang w:val="es-ES"/>
        </w:rPr>
        <w:t>“…</w:t>
      </w:r>
      <w:r w:rsidRPr="003E5D06">
        <w:rPr>
          <w:rFonts w:ascii="Arial" w:hAnsi="Arial" w:cs="Arial"/>
          <w:lang w:val="es-ES"/>
        </w:rPr>
        <w:t xml:space="preserve">aunque el trámite del amparo se rige por los principios de informalidad, </w:t>
      </w:r>
      <w:proofErr w:type="spellStart"/>
      <w:r w:rsidRPr="003E5D06">
        <w:rPr>
          <w:rFonts w:ascii="Arial" w:hAnsi="Arial" w:cs="Arial"/>
          <w:lang w:val="es-ES"/>
        </w:rPr>
        <w:t>sumariedad</w:t>
      </w:r>
      <w:proofErr w:type="spellEnd"/>
      <w:r w:rsidRPr="003E5D06">
        <w:rPr>
          <w:rFonts w:ascii="Arial" w:hAnsi="Arial" w:cs="Arial"/>
          <w:lang w:val="es-ES"/>
        </w:rPr>
        <w:t xml:space="preserve"> y celeridad, la competencia del juez está indisociablemente [ligada] con el derecho fundamental del debido proceso (artículo 29 de Carta), el acceso al juez natural y la administración de justicia, de donde, ‘según la jurisprudencia constitucional la falta de competencia del juez de tutela genera nulidad </w:t>
      </w:r>
      <w:proofErr w:type="spellStart"/>
      <w:r w:rsidRPr="003E5D06">
        <w:rPr>
          <w:rFonts w:ascii="Arial" w:hAnsi="Arial" w:cs="Arial"/>
          <w:lang w:val="es-ES"/>
        </w:rPr>
        <w:t>insaneable</w:t>
      </w:r>
      <w:proofErr w:type="spellEnd"/>
      <w:r w:rsidRPr="003E5D06">
        <w:rPr>
          <w:rFonts w:ascii="Arial" w:hAnsi="Arial" w:cs="Arial"/>
          <w:lang w:val="es-ES"/>
        </w:rPr>
        <w:t xml:space="preserve"> y la constatación de la misma no puede pasarse por alto, por más urgente que sea el pronunciamiento requerido, pues (…) la competencia del juez se relaciona estrechamente con el derecho constitucional fundamental al debido proceso’ (Auto 304 A de 2007), ‘el cual establece que nadie puede ser juzgado sino conforme a leyes preexistentes al acto que se le imputa, ante juez o tribunal competente y con observancia de la plenitud de las formas propias de cada juicio’ (Auto 072 A de 2006, Corte Constitucional)</w:t>
      </w:r>
      <w:r>
        <w:rPr>
          <w:rFonts w:ascii="Arial" w:hAnsi="Arial" w:cs="Arial"/>
          <w:lang w:val="es-ES"/>
        </w:rPr>
        <w:t>”</w:t>
      </w:r>
      <w:r w:rsidRPr="003E5D06">
        <w:rPr>
          <w:rFonts w:ascii="Arial" w:hAnsi="Arial" w:cs="Arial"/>
          <w:lang w:val="es-ES"/>
        </w:rPr>
        <w:t>.</w:t>
      </w:r>
    </w:p>
    <w:p w:rsidR="00867E3A" w:rsidRPr="00867E3A" w:rsidRDefault="00867E3A" w:rsidP="00867E3A">
      <w:pPr>
        <w:overflowPunct/>
        <w:autoSpaceDE/>
        <w:autoSpaceDN/>
        <w:adjustRightInd/>
        <w:jc w:val="both"/>
        <w:textAlignment w:val="auto"/>
        <w:rPr>
          <w:rFonts w:ascii="Arial" w:hAnsi="Arial" w:cs="Arial"/>
          <w:lang w:val="es-ES"/>
        </w:rPr>
      </w:pPr>
    </w:p>
    <w:p w:rsidR="00867E3A" w:rsidRPr="00867E3A" w:rsidRDefault="00867E3A" w:rsidP="00867E3A">
      <w:pPr>
        <w:overflowPunct/>
        <w:autoSpaceDE/>
        <w:autoSpaceDN/>
        <w:adjustRightInd/>
        <w:jc w:val="both"/>
        <w:textAlignment w:val="auto"/>
        <w:rPr>
          <w:rFonts w:ascii="Arial" w:hAnsi="Arial" w:cs="Arial"/>
          <w:lang w:val="es-ES"/>
        </w:rPr>
      </w:pPr>
    </w:p>
    <w:p w:rsidR="00867E3A" w:rsidRPr="00867E3A" w:rsidRDefault="00867E3A" w:rsidP="00867E3A">
      <w:pPr>
        <w:overflowPunct/>
        <w:autoSpaceDE/>
        <w:autoSpaceDN/>
        <w:adjustRightInd/>
        <w:jc w:val="both"/>
        <w:textAlignment w:val="auto"/>
        <w:rPr>
          <w:rFonts w:ascii="Arial" w:hAnsi="Arial" w:cs="Arial"/>
          <w:lang w:val="es-ES"/>
        </w:rPr>
      </w:pPr>
    </w:p>
    <w:p w:rsidR="00776FD5" w:rsidRPr="00867E3A" w:rsidRDefault="00776FD5" w:rsidP="00095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Tahoma" w:hAnsi="Tahoma" w:cs="Tahoma"/>
          <w:b/>
          <w:spacing w:val="-4"/>
          <w:sz w:val="24"/>
          <w:szCs w:val="24"/>
        </w:rPr>
      </w:pPr>
      <w:r w:rsidRPr="00867E3A">
        <w:rPr>
          <w:rFonts w:ascii="Tahoma" w:hAnsi="Tahoma" w:cs="Tahoma"/>
          <w:b/>
          <w:spacing w:val="-4"/>
          <w:sz w:val="24"/>
          <w:szCs w:val="24"/>
        </w:rPr>
        <w:t>TRIBUNAL SUPERIOR DEL DISTRITO JUDICIAL</w:t>
      </w:r>
    </w:p>
    <w:p w:rsidR="00776FD5" w:rsidRPr="00867E3A" w:rsidRDefault="00776FD5" w:rsidP="00095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Tahoma" w:hAnsi="Tahoma" w:cs="Tahoma"/>
          <w:b/>
          <w:spacing w:val="-4"/>
          <w:sz w:val="24"/>
          <w:szCs w:val="24"/>
        </w:rPr>
      </w:pPr>
      <w:r w:rsidRPr="00867E3A">
        <w:rPr>
          <w:rFonts w:ascii="Tahoma" w:hAnsi="Tahoma" w:cs="Tahoma"/>
          <w:b/>
          <w:spacing w:val="-4"/>
          <w:sz w:val="24"/>
          <w:szCs w:val="24"/>
        </w:rPr>
        <w:t xml:space="preserve">SALA </w:t>
      </w:r>
      <w:r w:rsidR="004F6E27" w:rsidRPr="00867E3A">
        <w:rPr>
          <w:rFonts w:ascii="Tahoma" w:hAnsi="Tahoma" w:cs="Tahoma"/>
          <w:b/>
          <w:spacing w:val="-4"/>
          <w:sz w:val="24"/>
          <w:szCs w:val="24"/>
        </w:rPr>
        <w:t xml:space="preserve">UNITARIA </w:t>
      </w:r>
      <w:r w:rsidR="00EC643E" w:rsidRPr="00867E3A">
        <w:rPr>
          <w:rFonts w:ascii="Tahoma" w:hAnsi="Tahoma" w:cs="Tahoma"/>
          <w:b/>
          <w:spacing w:val="-4"/>
          <w:sz w:val="24"/>
          <w:szCs w:val="24"/>
        </w:rPr>
        <w:t>CIV</w:t>
      </w:r>
      <w:r w:rsidRPr="00867E3A">
        <w:rPr>
          <w:rFonts w:ascii="Tahoma" w:hAnsi="Tahoma" w:cs="Tahoma"/>
          <w:b/>
          <w:spacing w:val="-4"/>
          <w:sz w:val="24"/>
          <w:szCs w:val="24"/>
        </w:rPr>
        <w:t>IL FAMILIA</w:t>
      </w:r>
    </w:p>
    <w:p w:rsidR="00080A6B" w:rsidRPr="00867E3A" w:rsidRDefault="00080A6B" w:rsidP="00095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pacing w:val="-4"/>
          <w:sz w:val="24"/>
          <w:szCs w:val="24"/>
        </w:rPr>
      </w:pPr>
    </w:p>
    <w:p w:rsidR="003D1637" w:rsidRPr="00867E3A" w:rsidRDefault="003D1637" w:rsidP="00095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pacing w:val="-4"/>
          <w:sz w:val="24"/>
          <w:szCs w:val="24"/>
        </w:rPr>
      </w:pPr>
    </w:p>
    <w:p w:rsidR="00776FD5" w:rsidRPr="00867E3A" w:rsidRDefault="00A106A7" w:rsidP="000958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pacing w:val="-4"/>
          <w:sz w:val="24"/>
          <w:szCs w:val="24"/>
        </w:rPr>
      </w:pPr>
      <w:r w:rsidRPr="00867E3A">
        <w:rPr>
          <w:rFonts w:ascii="Tahoma" w:hAnsi="Tahoma" w:cs="Tahoma"/>
          <w:spacing w:val="-4"/>
          <w:sz w:val="24"/>
          <w:szCs w:val="24"/>
        </w:rPr>
        <w:t xml:space="preserve">       </w:t>
      </w:r>
      <w:r w:rsidR="00776FD5" w:rsidRPr="00867E3A">
        <w:rPr>
          <w:rFonts w:ascii="Tahoma" w:hAnsi="Tahoma" w:cs="Tahoma"/>
          <w:spacing w:val="-4"/>
          <w:sz w:val="24"/>
          <w:szCs w:val="24"/>
        </w:rPr>
        <w:t>Magistrada: Claudia María Arcila Ríos</w:t>
      </w:r>
    </w:p>
    <w:p w:rsidR="00776FD5" w:rsidRPr="00867E3A" w:rsidRDefault="00A106A7" w:rsidP="000958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pacing w:val="-4"/>
          <w:sz w:val="24"/>
          <w:szCs w:val="24"/>
        </w:rPr>
      </w:pPr>
      <w:r w:rsidRPr="00867E3A">
        <w:rPr>
          <w:rFonts w:ascii="Tahoma" w:hAnsi="Tahoma" w:cs="Tahoma"/>
          <w:spacing w:val="-4"/>
          <w:sz w:val="24"/>
          <w:szCs w:val="24"/>
        </w:rPr>
        <w:t xml:space="preserve">       </w:t>
      </w:r>
      <w:r w:rsidR="00776FD5" w:rsidRPr="00867E3A">
        <w:rPr>
          <w:rFonts w:ascii="Tahoma" w:hAnsi="Tahoma" w:cs="Tahoma"/>
          <w:spacing w:val="-4"/>
          <w:sz w:val="24"/>
          <w:szCs w:val="24"/>
        </w:rPr>
        <w:t>Pereira,</w:t>
      </w:r>
      <w:r w:rsidR="00A81A0A" w:rsidRPr="00867E3A">
        <w:rPr>
          <w:rFonts w:ascii="Tahoma" w:hAnsi="Tahoma" w:cs="Tahoma"/>
          <w:spacing w:val="-4"/>
          <w:sz w:val="24"/>
          <w:szCs w:val="24"/>
        </w:rPr>
        <w:t xml:space="preserve"> </w:t>
      </w:r>
      <w:r w:rsidRPr="00867E3A">
        <w:rPr>
          <w:rFonts w:ascii="Tahoma" w:hAnsi="Tahoma" w:cs="Tahoma"/>
          <w:spacing w:val="-4"/>
          <w:sz w:val="24"/>
          <w:szCs w:val="24"/>
        </w:rPr>
        <w:t>septiembre veinticuatro</w:t>
      </w:r>
      <w:r w:rsidR="00A54133" w:rsidRPr="00867E3A">
        <w:rPr>
          <w:rFonts w:ascii="Tahoma" w:hAnsi="Tahoma" w:cs="Tahoma"/>
          <w:spacing w:val="-4"/>
          <w:sz w:val="24"/>
          <w:szCs w:val="24"/>
        </w:rPr>
        <w:t xml:space="preserve"> (</w:t>
      </w:r>
      <w:r w:rsidRPr="00867E3A">
        <w:rPr>
          <w:rFonts w:ascii="Tahoma" w:hAnsi="Tahoma" w:cs="Tahoma"/>
          <w:spacing w:val="-4"/>
          <w:sz w:val="24"/>
          <w:szCs w:val="24"/>
        </w:rPr>
        <w:t>24</w:t>
      </w:r>
      <w:r w:rsidR="00492FEB" w:rsidRPr="00867E3A">
        <w:rPr>
          <w:rFonts w:ascii="Tahoma" w:hAnsi="Tahoma" w:cs="Tahoma"/>
          <w:spacing w:val="-4"/>
          <w:sz w:val="24"/>
          <w:szCs w:val="24"/>
        </w:rPr>
        <w:t>) de</w:t>
      </w:r>
      <w:r w:rsidR="00977CA9" w:rsidRPr="00867E3A">
        <w:rPr>
          <w:rFonts w:ascii="Tahoma" w:hAnsi="Tahoma" w:cs="Tahoma"/>
          <w:spacing w:val="-4"/>
          <w:sz w:val="24"/>
          <w:szCs w:val="24"/>
        </w:rPr>
        <w:t xml:space="preserve"> </w:t>
      </w:r>
      <w:r w:rsidR="00997862" w:rsidRPr="00867E3A">
        <w:rPr>
          <w:rFonts w:ascii="Tahoma" w:hAnsi="Tahoma" w:cs="Tahoma"/>
          <w:spacing w:val="-4"/>
          <w:sz w:val="24"/>
          <w:szCs w:val="24"/>
        </w:rPr>
        <w:t xml:space="preserve">dos mil </w:t>
      </w:r>
      <w:r w:rsidR="00A81A0A" w:rsidRPr="00867E3A">
        <w:rPr>
          <w:rFonts w:ascii="Tahoma" w:hAnsi="Tahoma" w:cs="Tahoma"/>
          <w:spacing w:val="-4"/>
          <w:sz w:val="24"/>
          <w:szCs w:val="24"/>
        </w:rPr>
        <w:t>veinte</w:t>
      </w:r>
      <w:r w:rsidR="00655B68" w:rsidRPr="00867E3A">
        <w:rPr>
          <w:rFonts w:ascii="Tahoma" w:hAnsi="Tahoma" w:cs="Tahoma"/>
          <w:spacing w:val="-4"/>
          <w:sz w:val="24"/>
          <w:szCs w:val="24"/>
        </w:rPr>
        <w:t xml:space="preserve"> </w:t>
      </w:r>
      <w:r w:rsidR="00A81A0A" w:rsidRPr="00867E3A">
        <w:rPr>
          <w:rFonts w:ascii="Tahoma" w:hAnsi="Tahoma" w:cs="Tahoma"/>
          <w:spacing w:val="-4"/>
          <w:sz w:val="24"/>
          <w:szCs w:val="24"/>
        </w:rPr>
        <w:t>(2020</w:t>
      </w:r>
      <w:r w:rsidR="00A45A71" w:rsidRPr="00867E3A">
        <w:rPr>
          <w:rFonts w:ascii="Tahoma" w:hAnsi="Tahoma" w:cs="Tahoma"/>
          <w:spacing w:val="-4"/>
          <w:sz w:val="24"/>
          <w:szCs w:val="24"/>
        </w:rPr>
        <w:t>)</w:t>
      </w:r>
    </w:p>
    <w:p w:rsidR="00776FD5" w:rsidRPr="00867E3A" w:rsidRDefault="00A106A7" w:rsidP="000958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pacing w:val="-4"/>
          <w:sz w:val="24"/>
          <w:szCs w:val="24"/>
        </w:rPr>
      </w:pPr>
      <w:r w:rsidRPr="00867E3A">
        <w:rPr>
          <w:rFonts w:ascii="Tahoma" w:hAnsi="Tahoma" w:cs="Tahoma"/>
          <w:spacing w:val="-4"/>
          <w:sz w:val="24"/>
          <w:szCs w:val="24"/>
        </w:rPr>
        <w:t xml:space="preserve">       </w:t>
      </w:r>
      <w:r w:rsidR="00776FD5" w:rsidRPr="00867E3A">
        <w:rPr>
          <w:rFonts w:ascii="Tahoma" w:hAnsi="Tahoma" w:cs="Tahoma"/>
          <w:spacing w:val="-4"/>
          <w:sz w:val="24"/>
          <w:szCs w:val="24"/>
        </w:rPr>
        <w:t>Expediente</w:t>
      </w:r>
      <w:r w:rsidR="00EE795E" w:rsidRPr="00867E3A">
        <w:rPr>
          <w:rFonts w:ascii="Tahoma" w:hAnsi="Tahoma" w:cs="Tahoma"/>
          <w:spacing w:val="-4"/>
          <w:sz w:val="24"/>
          <w:szCs w:val="24"/>
        </w:rPr>
        <w:t xml:space="preserve"> No. 66</w:t>
      </w:r>
      <w:r w:rsidR="006655BE" w:rsidRPr="00867E3A">
        <w:rPr>
          <w:rFonts w:ascii="Tahoma" w:hAnsi="Tahoma" w:cs="Tahoma"/>
          <w:spacing w:val="-4"/>
          <w:sz w:val="24"/>
          <w:szCs w:val="24"/>
        </w:rPr>
        <w:t>00</w:t>
      </w:r>
      <w:r w:rsidR="00EE795E" w:rsidRPr="00867E3A">
        <w:rPr>
          <w:rFonts w:ascii="Tahoma" w:hAnsi="Tahoma" w:cs="Tahoma"/>
          <w:spacing w:val="-4"/>
          <w:sz w:val="24"/>
          <w:szCs w:val="24"/>
        </w:rPr>
        <w:t>1</w:t>
      </w:r>
      <w:r w:rsidR="00543E2A" w:rsidRPr="00867E3A">
        <w:rPr>
          <w:rFonts w:ascii="Tahoma" w:hAnsi="Tahoma" w:cs="Tahoma"/>
          <w:spacing w:val="-4"/>
          <w:sz w:val="24"/>
          <w:szCs w:val="24"/>
        </w:rPr>
        <w:t>-</w:t>
      </w:r>
      <w:r w:rsidR="00EC643E" w:rsidRPr="00867E3A">
        <w:rPr>
          <w:rFonts w:ascii="Tahoma" w:hAnsi="Tahoma" w:cs="Tahoma"/>
          <w:spacing w:val="-4"/>
          <w:sz w:val="24"/>
          <w:szCs w:val="24"/>
        </w:rPr>
        <w:t>22</w:t>
      </w:r>
      <w:r w:rsidR="00543E2A" w:rsidRPr="00867E3A">
        <w:rPr>
          <w:rFonts w:ascii="Tahoma" w:hAnsi="Tahoma" w:cs="Tahoma"/>
          <w:spacing w:val="-4"/>
          <w:sz w:val="24"/>
          <w:szCs w:val="24"/>
        </w:rPr>
        <w:t>-</w:t>
      </w:r>
      <w:r w:rsidR="00EC643E" w:rsidRPr="00867E3A">
        <w:rPr>
          <w:rFonts w:ascii="Tahoma" w:hAnsi="Tahoma" w:cs="Tahoma"/>
          <w:spacing w:val="-4"/>
          <w:sz w:val="24"/>
          <w:szCs w:val="24"/>
        </w:rPr>
        <w:t>13</w:t>
      </w:r>
      <w:r w:rsidR="00543E2A" w:rsidRPr="00867E3A">
        <w:rPr>
          <w:rFonts w:ascii="Tahoma" w:hAnsi="Tahoma" w:cs="Tahoma"/>
          <w:spacing w:val="-4"/>
          <w:sz w:val="24"/>
          <w:szCs w:val="24"/>
        </w:rPr>
        <w:t>-</w:t>
      </w:r>
      <w:r w:rsidR="00997862" w:rsidRPr="00867E3A">
        <w:rPr>
          <w:rFonts w:ascii="Tahoma" w:hAnsi="Tahoma" w:cs="Tahoma"/>
          <w:spacing w:val="-4"/>
          <w:sz w:val="24"/>
          <w:szCs w:val="24"/>
        </w:rPr>
        <w:t>00</w:t>
      </w:r>
      <w:r w:rsidR="00EC643E" w:rsidRPr="00867E3A">
        <w:rPr>
          <w:rFonts w:ascii="Tahoma" w:hAnsi="Tahoma" w:cs="Tahoma"/>
          <w:spacing w:val="-4"/>
          <w:sz w:val="24"/>
          <w:szCs w:val="24"/>
        </w:rPr>
        <w:t>0</w:t>
      </w:r>
      <w:r w:rsidR="00543E2A" w:rsidRPr="00867E3A">
        <w:rPr>
          <w:rFonts w:ascii="Tahoma" w:hAnsi="Tahoma" w:cs="Tahoma"/>
          <w:spacing w:val="-4"/>
          <w:sz w:val="24"/>
          <w:szCs w:val="24"/>
        </w:rPr>
        <w:t>-</w:t>
      </w:r>
      <w:r w:rsidR="009D234E" w:rsidRPr="00867E3A">
        <w:rPr>
          <w:rFonts w:ascii="Tahoma" w:hAnsi="Tahoma" w:cs="Tahoma"/>
          <w:spacing w:val="-4"/>
          <w:sz w:val="24"/>
          <w:szCs w:val="24"/>
        </w:rPr>
        <w:t>2</w:t>
      </w:r>
      <w:r w:rsidR="00B53C3B" w:rsidRPr="00867E3A">
        <w:rPr>
          <w:rFonts w:ascii="Tahoma" w:hAnsi="Tahoma" w:cs="Tahoma"/>
          <w:spacing w:val="-4"/>
          <w:sz w:val="24"/>
          <w:szCs w:val="24"/>
        </w:rPr>
        <w:t>0</w:t>
      </w:r>
      <w:r w:rsidR="009326FB" w:rsidRPr="00867E3A">
        <w:rPr>
          <w:rFonts w:ascii="Tahoma" w:hAnsi="Tahoma" w:cs="Tahoma"/>
          <w:spacing w:val="-4"/>
          <w:sz w:val="24"/>
          <w:szCs w:val="24"/>
        </w:rPr>
        <w:t>20</w:t>
      </w:r>
      <w:r w:rsidR="00543E2A" w:rsidRPr="00867E3A">
        <w:rPr>
          <w:rFonts w:ascii="Tahoma" w:hAnsi="Tahoma" w:cs="Tahoma"/>
          <w:spacing w:val="-4"/>
          <w:sz w:val="24"/>
          <w:szCs w:val="24"/>
        </w:rPr>
        <w:t>-</w:t>
      </w:r>
      <w:r w:rsidR="00A330BB" w:rsidRPr="00867E3A">
        <w:rPr>
          <w:rFonts w:ascii="Tahoma" w:hAnsi="Tahoma" w:cs="Tahoma"/>
          <w:spacing w:val="-4"/>
          <w:sz w:val="24"/>
          <w:szCs w:val="24"/>
        </w:rPr>
        <w:t>00</w:t>
      </w:r>
      <w:r w:rsidRPr="00867E3A">
        <w:rPr>
          <w:rFonts w:ascii="Tahoma" w:hAnsi="Tahoma" w:cs="Tahoma"/>
          <w:spacing w:val="-4"/>
          <w:sz w:val="24"/>
          <w:szCs w:val="24"/>
        </w:rPr>
        <w:t>198</w:t>
      </w:r>
      <w:r w:rsidR="00543E2A" w:rsidRPr="00867E3A">
        <w:rPr>
          <w:rFonts w:ascii="Tahoma" w:hAnsi="Tahoma" w:cs="Tahoma"/>
          <w:spacing w:val="-4"/>
          <w:sz w:val="24"/>
          <w:szCs w:val="24"/>
        </w:rPr>
        <w:t>-</w:t>
      </w:r>
      <w:r w:rsidR="00997862" w:rsidRPr="00867E3A">
        <w:rPr>
          <w:rFonts w:ascii="Tahoma" w:hAnsi="Tahoma" w:cs="Tahoma"/>
          <w:spacing w:val="-4"/>
          <w:sz w:val="24"/>
          <w:szCs w:val="24"/>
        </w:rPr>
        <w:t>0</w:t>
      </w:r>
      <w:r w:rsidR="00EC643E" w:rsidRPr="00867E3A">
        <w:rPr>
          <w:rFonts w:ascii="Tahoma" w:hAnsi="Tahoma" w:cs="Tahoma"/>
          <w:spacing w:val="-4"/>
          <w:sz w:val="24"/>
          <w:szCs w:val="24"/>
        </w:rPr>
        <w:t>0</w:t>
      </w:r>
    </w:p>
    <w:p w:rsidR="008E7470" w:rsidRPr="00867E3A" w:rsidRDefault="008E7470" w:rsidP="0009587F">
      <w:pPr>
        <w:spacing w:line="300" w:lineRule="auto"/>
        <w:jc w:val="both"/>
        <w:rPr>
          <w:rFonts w:ascii="Tahoma" w:hAnsi="Tahoma" w:cs="Tahoma"/>
          <w:spacing w:val="-4"/>
          <w:sz w:val="24"/>
          <w:szCs w:val="24"/>
        </w:rPr>
      </w:pPr>
    </w:p>
    <w:p w:rsidR="007C3A4A" w:rsidRPr="00867E3A" w:rsidRDefault="007C3A4A" w:rsidP="0009587F">
      <w:pPr>
        <w:spacing w:line="300" w:lineRule="auto"/>
        <w:jc w:val="both"/>
        <w:rPr>
          <w:rFonts w:ascii="Tahoma" w:hAnsi="Tahoma" w:cs="Tahoma"/>
          <w:spacing w:val="-4"/>
          <w:sz w:val="24"/>
          <w:szCs w:val="24"/>
        </w:rPr>
      </w:pPr>
    </w:p>
    <w:p w:rsidR="00A106A7" w:rsidRPr="00867E3A" w:rsidRDefault="00A106A7" w:rsidP="0009587F">
      <w:pPr>
        <w:pStyle w:val="Textoindependiente"/>
        <w:spacing w:line="300" w:lineRule="auto"/>
        <w:rPr>
          <w:rFonts w:ascii="Tahoma" w:hAnsi="Tahoma" w:cs="Tahoma"/>
          <w:spacing w:val="-4"/>
          <w:szCs w:val="24"/>
        </w:rPr>
      </w:pPr>
      <w:r w:rsidRPr="00867E3A">
        <w:rPr>
          <w:rFonts w:ascii="Tahoma" w:hAnsi="Tahoma" w:cs="Tahoma"/>
          <w:spacing w:val="-4"/>
          <w:szCs w:val="24"/>
        </w:rPr>
        <w:t xml:space="preserve">1. El señor Javier Elías Arias </w:t>
      </w:r>
      <w:proofErr w:type="spellStart"/>
      <w:r w:rsidRPr="00867E3A">
        <w:rPr>
          <w:rFonts w:ascii="Tahoma" w:hAnsi="Tahoma" w:cs="Tahoma"/>
          <w:spacing w:val="-4"/>
          <w:szCs w:val="24"/>
        </w:rPr>
        <w:t>Idárraga</w:t>
      </w:r>
      <w:proofErr w:type="spellEnd"/>
      <w:r w:rsidRPr="00867E3A">
        <w:rPr>
          <w:rFonts w:ascii="Tahoma" w:hAnsi="Tahoma" w:cs="Tahoma"/>
          <w:spacing w:val="-4"/>
          <w:szCs w:val="24"/>
        </w:rPr>
        <w:t xml:space="preserve"> instauró acción de tutela contra el Juzgado Tercero Civil del Circuito local, con el fin de obtener le responda adecuadamente un derecho de petición que le elevó para obtener información de carácter general.</w:t>
      </w:r>
    </w:p>
    <w:p w:rsidR="00A106A7" w:rsidRPr="00867E3A" w:rsidRDefault="00A106A7" w:rsidP="0009587F">
      <w:pPr>
        <w:pStyle w:val="Textoindependiente"/>
        <w:spacing w:line="300" w:lineRule="auto"/>
        <w:rPr>
          <w:rFonts w:ascii="Tahoma" w:hAnsi="Tahoma" w:cs="Tahoma"/>
          <w:spacing w:val="-4"/>
          <w:szCs w:val="24"/>
        </w:rPr>
      </w:pPr>
    </w:p>
    <w:p w:rsidR="00A106A7" w:rsidRPr="00867E3A" w:rsidRDefault="00A106A7" w:rsidP="0009587F">
      <w:pPr>
        <w:pStyle w:val="Textoindependiente"/>
        <w:spacing w:line="300" w:lineRule="auto"/>
        <w:rPr>
          <w:rFonts w:ascii="Tahoma" w:hAnsi="Tahoma" w:cs="Tahoma"/>
          <w:spacing w:val="-4"/>
          <w:szCs w:val="24"/>
        </w:rPr>
      </w:pPr>
      <w:r w:rsidRPr="00867E3A">
        <w:rPr>
          <w:rFonts w:ascii="Tahoma" w:hAnsi="Tahoma" w:cs="Tahoma"/>
          <w:spacing w:val="-4"/>
          <w:szCs w:val="24"/>
        </w:rPr>
        <w:lastRenderedPageBreak/>
        <w:t>2. Este Tribunal, siguiendo un precedente de la Sala de Casación Civil de la Corte Suprema de Justicia, se declarará incompetente para conocer del asunto.</w:t>
      </w:r>
    </w:p>
    <w:p w:rsidR="00A106A7" w:rsidRPr="00867E3A" w:rsidRDefault="00A106A7" w:rsidP="0009587F">
      <w:pPr>
        <w:pStyle w:val="Textoindependiente"/>
        <w:spacing w:line="300" w:lineRule="auto"/>
        <w:rPr>
          <w:rFonts w:ascii="Tahoma" w:hAnsi="Tahoma" w:cs="Tahoma"/>
          <w:spacing w:val="-4"/>
          <w:szCs w:val="24"/>
        </w:rPr>
      </w:pPr>
    </w:p>
    <w:p w:rsidR="00A106A7" w:rsidRPr="00867E3A" w:rsidRDefault="00A106A7" w:rsidP="0009587F">
      <w:pPr>
        <w:pStyle w:val="Textoindependiente"/>
        <w:spacing w:line="300" w:lineRule="auto"/>
        <w:rPr>
          <w:rFonts w:ascii="Tahoma" w:hAnsi="Tahoma" w:cs="Tahoma"/>
          <w:spacing w:val="-4"/>
          <w:szCs w:val="24"/>
        </w:rPr>
      </w:pPr>
      <w:r w:rsidRPr="00867E3A">
        <w:rPr>
          <w:rFonts w:ascii="Tahoma" w:hAnsi="Tahoma" w:cs="Tahoma"/>
          <w:spacing w:val="-4"/>
          <w:szCs w:val="24"/>
        </w:rPr>
        <w:t>3. En efecto, en acción de tutela promovida por el aquí demandante, tendiente a obtener que el Juzgado Primero Civil del Circuito de esta ciudad le respondiera un derecho de petición, de la que conoció esta Sala, la referida Corporación declaró la nulidad de todo lo actuado y ordenó remitir el expediente a los jueces municipales, que consideró eran los competentes para conocer del asunto.</w:t>
      </w:r>
    </w:p>
    <w:p w:rsidR="00A106A7" w:rsidRPr="00867E3A" w:rsidRDefault="00A106A7" w:rsidP="0009587F">
      <w:pPr>
        <w:pStyle w:val="Textoindependiente"/>
        <w:spacing w:line="300" w:lineRule="auto"/>
        <w:rPr>
          <w:rFonts w:ascii="Tahoma" w:hAnsi="Tahoma" w:cs="Tahoma"/>
          <w:spacing w:val="-4"/>
          <w:szCs w:val="24"/>
        </w:rPr>
      </w:pPr>
    </w:p>
    <w:p w:rsidR="00A106A7" w:rsidRPr="00867E3A" w:rsidRDefault="00A106A7" w:rsidP="0009587F">
      <w:pPr>
        <w:pStyle w:val="Textoindependiente"/>
        <w:spacing w:line="300" w:lineRule="auto"/>
        <w:rPr>
          <w:rFonts w:ascii="Tahoma" w:hAnsi="Tahoma" w:cs="Tahoma"/>
          <w:spacing w:val="-4"/>
          <w:szCs w:val="24"/>
        </w:rPr>
      </w:pPr>
      <w:r w:rsidRPr="00867E3A">
        <w:rPr>
          <w:rFonts w:ascii="Tahoma" w:hAnsi="Tahoma" w:cs="Tahoma"/>
          <w:spacing w:val="-4"/>
          <w:szCs w:val="24"/>
        </w:rPr>
        <w:t>Así dijo:</w:t>
      </w:r>
    </w:p>
    <w:p w:rsidR="00A106A7" w:rsidRPr="00867E3A" w:rsidRDefault="00A106A7" w:rsidP="0009587F">
      <w:pPr>
        <w:pStyle w:val="Textoindependiente"/>
        <w:spacing w:line="300" w:lineRule="auto"/>
        <w:rPr>
          <w:rFonts w:ascii="Tahoma" w:hAnsi="Tahoma" w:cs="Tahoma"/>
          <w:spacing w:val="-4"/>
          <w:szCs w:val="24"/>
        </w:rPr>
      </w:pPr>
      <w:r w:rsidRPr="00867E3A">
        <w:rPr>
          <w:rFonts w:ascii="Tahoma" w:hAnsi="Tahoma" w:cs="Tahoma"/>
          <w:spacing w:val="-4"/>
          <w:szCs w:val="24"/>
        </w:rPr>
        <w:t xml:space="preserve"> </w:t>
      </w:r>
    </w:p>
    <w:p w:rsidR="00A106A7" w:rsidRPr="00867E3A" w:rsidRDefault="00A106A7" w:rsidP="0009587F">
      <w:pPr>
        <w:pStyle w:val="Textoindependiente"/>
        <w:tabs>
          <w:tab w:val="clear" w:pos="0"/>
          <w:tab w:val="left" w:pos="8080"/>
        </w:tabs>
        <w:spacing w:line="240" w:lineRule="auto"/>
        <w:ind w:left="426" w:right="420"/>
        <w:rPr>
          <w:rFonts w:ascii="Tahoma" w:hAnsi="Tahoma" w:cs="Tahoma"/>
          <w:i/>
          <w:spacing w:val="-4"/>
          <w:sz w:val="22"/>
          <w:szCs w:val="24"/>
        </w:rPr>
      </w:pPr>
      <w:r w:rsidRPr="00867E3A">
        <w:rPr>
          <w:rFonts w:ascii="Tahoma" w:hAnsi="Tahoma" w:cs="Tahoma"/>
          <w:i/>
          <w:spacing w:val="-4"/>
          <w:sz w:val="22"/>
          <w:szCs w:val="24"/>
          <w:lang w:val="es-MX"/>
        </w:rPr>
        <w:t>“1.-</w:t>
      </w:r>
      <w:r w:rsidRPr="00867E3A">
        <w:rPr>
          <w:rFonts w:ascii="Tahoma" w:hAnsi="Tahoma" w:cs="Tahoma"/>
          <w:i/>
          <w:spacing w:val="-4"/>
          <w:sz w:val="22"/>
          <w:szCs w:val="24"/>
        </w:rPr>
        <w:t xml:space="preserve"> De lo expuesto, especialmente del escrito en torno al cual gira la queja y del carácter que el a-quo le dio, que la Corte comparte, se desprende que el reproche se enfila contra una supuesta omisión del Juez Primero Civil del Circuito de Pereira por fuera del escenario estrictamente judicial, enmarcada más bien en el rol como director del despacho.</w:t>
      </w:r>
    </w:p>
    <w:p w:rsidR="00A106A7" w:rsidRPr="00867E3A" w:rsidRDefault="00A106A7" w:rsidP="0009587F">
      <w:pPr>
        <w:pStyle w:val="Textoindependiente"/>
        <w:tabs>
          <w:tab w:val="clear" w:pos="0"/>
          <w:tab w:val="left" w:pos="8080"/>
        </w:tabs>
        <w:spacing w:line="240" w:lineRule="auto"/>
        <w:ind w:left="426" w:right="420"/>
        <w:rPr>
          <w:rFonts w:ascii="Tahoma" w:hAnsi="Tahoma" w:cs="Tahoma"/>
          <w:i/>
          <w:spacing w:val="-4"/>
          <w:sz w:val="22"/>
          <w:szCs w:val="24"/>
        </w:rPr>
      </w:pPr>
    </w:p>
    <w:p w:rsidR="00A106A7" w:rsidRPr="00867E3A" w:rsidRDefault="00A106A7" w:rsidP="0009587F">
      <w:pPr>
        <w:pStyle w:val="Textoindependiente"/>
        <w:tabs>
          <w:tab w:val="clear" w:pos="0"/>
          <w:tab w:val="left" w:pos="8080"/>
        </w:tabs>
        <w:spacing w:line="240" w:lineRule="auto"/>
        <w:ind w:left="426" w:right="420"/>
        <w:rPr>
          <w:rFonts w:ascii="Tahoma" w:hAnsi="Tahoma" w:cs="Tahoma"/>
          <w:i/>
          <w:spacing w:val="-4"/>
          <w:sz w:val="22"/>
          <w:szCs w:val="24"/>
        </w:rPr>
      </w:pPr>
      <w:r w:rsidRPr="00867E3A">
        <w:rPr>
          <w:rFonts w:ascii="Tahoma" w:hAnsi="Tahoma" w:cs="Tahoma"/>
          <w:i/>
          <w:spacing w:val="-4"/>
          <w:sz w:val="22"/>
          <w:szCs w:val="24"/>
        </w:rPr>
        <w:t>En consecuencia, el funcionario actuó como servidor público del nivel municipal, lo que significa que el Tribunal Superior de Pereira no era competente para conocer en primera instancia de la solicitud de amparo en referencia, como la Corte ha precisado, pues, “…</w:t>
      </w:r>
      <w:r w:rsidR="00867E3A" w:rsidRPr="00867E3A">
        <w:rPr>
          <w:rFonts w:ascii="Tahoma" w:hAnsi="Tahoma" w:cs="Tahoma"/>
          <w:i/>
          <w:spacing w:val="-4"/>
          <w:sz w:val="22"/>
          <w:szCs w:val="24"/>
        </w:rPr>
        <w:t xml:space="preserve"> </w:t>
      </w:r>
      <w:r w:rsidRPr="00867E3A">
        <w:rPr>
          <w:rFonts w:ascii="Tahoma" w:hAnsi="Tahoma" w:cs="Tahoma"/>
          <w:i/>
          <w:spacing w:val="-4"/>
          <w:sz w:val="22"/>
          <w:szCs w:val="24"/>
        </w:rPr>
        <w:t xml:space="preserve">en este caso no se aplica la regla 2ª del artículo 1° del precitado decreto [se refiere al D. 1382 de 2000, cuya nomenclatura actual es numeral 2 del artículo 2.2.3.1.2.1. </w:t>
      </w:r>
      <w:proofErr w:type="gramStart"/>
      <w:r w:rsidRPr="00867E3A">
        <w:rPr>
          <w:rFonts w:ascii="Tahoma" w:hAnsi="Tahoma" w:cs="Tahoma"/>
          <w:i/>
          <w:spacing w:val="-4"/>
          <w:sz w:val="22"/>
          <w:szCs w:val="24"/>
        </w:rPr>
        <w:t>del</w:t>
      </w:r>
      <w:proofErr w:type="gramEnd"/>
      <w:r w:rsidRPr="00867E3A">
        <w:rPr>
          <w:rFonts w:ascii="Tahoma" w:hAnsi="Tahoma" w:cs="Tahoma"/>
          <w:i/>
          <w:spacing w:val="-4"/>
          <w:sz w:val="22"/>
          <w:szCs w:val="24"/>
        </w:rPr>
        <w:t xml:space="preserve"> Decreto 1069 de 2015], según la cual la acción de tutela promovida contra un funcionario o corporación judicial, será repartida al respectivo superior funcional del accionado, porque ésta se predica del ejercicio de su actividad jurisdiccional, pues en tratándose de su gestión administrativa queda regulada por los criterios de reparto consagrados en la regla 1ª. (…) 2. En este orden de ideas, es claro que ante la circunstancia referida y dado el carácter de autoridad pública del orden municipal que ostenta el funcionario judicial acusado, los competentes para conocer de esta solicitud de amparo, en virtud de lo dispuesto en el inciso 3°, del numeral 1° del artículo 1° del Decreto 1382 de 2000 [ artículo 2.2.3.1.2.1. ídem], son los Jueces Municipales de esta ciudad”</w:t>
      </w:r>
      <w:r w:rsidRPr="00867E3A">
        <w:rPr>
          <w:rFonts w:ascii="Tahoma" w:hAnsi="Tahoma" w:cs="Tahoma"/>
          <w:i/>
          <w:spacing w:val="-4"/>
          <w:sz w:val="22"/>
          <w:szCs w:val="24"/>
          <w:vertAlign w:val="superscript"/>
        </w:rPr>
        <w:t xml:space="preserve"> </w:t>
      </w:r>
      <w:r w:rsidRPr="00867E3A">
        <w:rPr>
          <w:rFonts w:ascii="Tahoma" w:hAnsi="Tahoma" w:cs="Tahoma"/>
          <w:i/>
          <w:spacing w:val="-4"/>
          <w:sz w:val="22"/>
          <w:szCs w:val="24"/>
        </w:rPr>
        <w:t xml:space="preserve">(CSJ, ATC, 6 </w:t>
      </w:r>
      <w:proofErr w:type="spellStart"/>
      <w:r w:rsidRPr="00867E3A">
        <w:rPr>
          <w:rFonts w:ascii="Tahoma" w:hAnsi="Tahoma" w:cs="Tahoma"/>
          <w:i/>
          <w:spacing w:val="-4"/>
          <w:sz w:val="22"/>
          <w:szCs w:val="24"/>
        </w:rPr>
        <w:t>may</w:t>
      </w:r>
      <w:proofErr w:type="spellEnd"/>
      <w:r w:rsidRPr="00867E3A">
        <w:rPr>
          <w:rFonts w:ascii="Tahoma" w:hAnsi="Tahoma" w:cs="Tahoma"/>
          <w:i/>
          <w:spacing w:val="-4"/>
          <w:sz w:val="22"/>
          <w:szCs w:val="24"/>
        </w:rPr>
        <w:t xml:space="preserve">. 2010, </w:t>
      </w:r>
      <w:proofErr w:type="spellStart"/>
      <w:r w:rsidRPr="00867E3A">
        <w:rPr>
          <w:rFonts w:ascii="Tahoma" w:hAnsi="Tahoma" w:cs="Tahoma"/>
          <w:i/>
          <w:spacing w:val="-4"/>
          <w:sz w:val="22"/>
          <w:szCs w:val="24"/>
        </w:rPr>
        <w:t>exp</w:t>
      </w:r>
      <w:proofErr w:type="spellEnd"/>
      <w:r w:rsidRPr="00867E3A">
        <w:rPr>
          <w:rFonts w:ascii="Tahoma" w:hAnsi="Tahoma" w:cs="Tahoma"/>
          <w:i/>
          <w:spacing w:val="-4"/>
          <w:sz w:val="22"/>
          <w:szCs w:val="24"/>
        </w:rPr>
        <w:t xml:space="preserve">. 00234-01, citado ATC, 30 ab. 2013, </w:t>
      </w:r>
      <w:proofErr w:type="spellStart"/>
      <w:r w:rsidRPr="00867E3A">
        <w:rPr>
          <w:rFonts w:ascii="Tahoma" w:hAnsi="Tahoma" w:cs="Tahoma"/>
          <w:i/>
          <w:spacing w:val="-4"/>
          <w:sz w:val="22"/>
          <w:szCs w:val="24"/>
        </w:rPr>
        <w:t>exp</w:t>
      </w:r>
      <w:proofErr w:type="spellEnd"/>
      <w:r w:rsidRPr="00867E3A">
        <w:rPr>
          <w:rFonts w:ascii="Tahoma" w:hAnsi="Tahoma" w:cs="Tahoma"/>
          <w:i/>
          <w:spacing w:val="-4"/>
          <w:sz w:val="22"/>
          <w:szCs w:val="24"/>
        </w:rPr>
        <w:t>. 00102-01).</w:t>
      </w:r>
    </w:p>
    <w:p w:rsidR="00A106A7" w:rsidRPr="00867E3A" w:rsidRDefault="00A106A7" w:rsidP="0009587F">
      <w:pPr>
        <w:pStyle w:val="Textoindependiente"/>
        <w:tabs>
          <w:tab w:val="clear" w:pos="0"/>
          <w:tab w:val="left" w:pos="8080"/>
        </w:tabs>
        <w:spacing w:line="240" w:lineRule="auto"/>
        <w:ind w:left="426" w:right="420"/>
        <w:rPr>
          <w:rFonts w:ascii="Tahoma" w:hAnsi="Tahoma" w:cs="Tahoma"/>
          <w:i/>
          <w:spacing w:val="-4"/>
          <w:sz w:val="22"/>
          <w:szCs w:val="24"/>
        </w:rPr>
      </w:pPr>
    </w:p>
    <w:p w:rsidR="00A106A7" w:rsidRPr="00867E3A" w:rsidRDefault="00A106A7" w:rsidP="0009587F">
      <w:pPr>
        <w:pStyle w:val="Textoindependiente"/>
        <w:tabs>
          <w:tab w:val="clear" w:pos="0"/>
          <w:tab w:val="left" w:pos="8080"/>
        </w:tabs>
        <w:spacing w:line="240" w:lineRule="auto"/>
        <w:ind w:left="426" w:right="420"/>
        <w:rPr>
          <w:rFonts w:ascii="Tahoma" w:hAnsi="Tahoma" w:cs="Tahoma"/>
          <w:i/>
          <w:spacing w:val="-4"/>
          <w:sz w:val="22"/>
          <w:szCs w:val="24"/>
        </w:rPr>
      </w:pPr>
      <w:r w:rsidRPr="00867E3A">
        <w:rPr>
          <w:rFonts w:ascii="Tahoma" w:hAnsi="Tahoma" w:cs="Tahoma"/>
          <w:i/>
          <w:spacing w:val="-4"/>
          <w:sz w:val="22"/>
          <w:szCs w:val="24"/>
        </w:rPr>
        <w:t xml:space="preserve">2.- Así las cosas, el sentenciador constitucional a-quo no estaba facultado para resolver el asunto bajo estudio, según el numeral 2° del artículo 2.2.3.1.2.1. </w:t>
      </w:r>
      <w:proofErr w:type="spellStart"/>
      <w:proofErr w:type="gramStart"/>
      <w:r w:rsidRPr="00867E3A">
        <w:rPr>
          <w:rFonts w:ascii="Tahoma" w:hAnsi="Tahoma" w:cs="Tahoma"/>
          <w:i/>
          <w:spacing w:val="-4"/>
          <w:sz w:val="22"/>
          <w:szCs w:val="24"/>
        </w:rPr>
        <w:t>ejusdem</w:t>
      </w:r>
      <w:proofErr w:type="spellEnd"/>
      <w:proofErr w:type="gramEnd"/>
      <w:r w:rsidRPr="00867E3A">
        <w:rPr>
          <w:rFonts w:ascii="Tahoma" w:hAnsi="Tahoma" w:cs="Tahoma"/>
          <w:i/>
          <w:spacing w:val="-4"/>
          <w:sz w:val="22"/>
          <w:szCs w:val="24"/>
        </w:rPr>
        <w:t>, configurándose la causal prevista en el numeral 2° del artículo 140 del Código de Procedimiento Civil, norma aplicable al trámite de la acción de tutela en virtud de lo contenido en el artículo 2.2.3.1.1.3 del Decreto 1069 en cita; por lo tanto la actuación adelantada por el Tribunal deberá ser invalidada y remitirse a los competentes, esto es, los jueces de nivel municipal de Pereira.”</w:t>
      </w:r>
      <w:r w:rsidRPr="00867E3A">
        <w:rPr>
          <w:rFonts w:ascii="Tahoma" w:hAnsi="Tahoma" w:cs="Tahoma"/>
          <w:i/>
          <w:spacing w:val="-4"/>
          <w:sz w:val="22"/>
          <w:szCs w:val="24"/>
          <w:vertAlign w:val="superscript"/>
        </w:rPr>
        <w:footnoteReference w:id="1"/>
      </w:r>
    </w:p>
    <w:p w:rsidR="00E91ADD" w:rsidRPr="00867E3A" w:rsidRDefault="00E91ADD" w:rsidP="0009587F">
      <w:pPr>
        <w:pStyle w:val="Textoindependiente"/>
        <w:spacing w:line="300" w:lineRule="auto"/>
        <w:rPr>
          <w:rFonts w:ascii="Tahoma" w:hAnsi="Tahoma" w:cs="Tahoma"/>
          <w:spacing w:val="-4"/>
          <w:szCs w:val="24"/>
        </w:rPr>
      </w:pPr>
    </w:p>
    <w:p w:rsidR="00E91ADD" w:rsidRPr="00867E3A" w:rsidRDefault="00A106A7" w:rsidP="0009587F">
      <w:pPr>
        <w:tabs>
          <w:tab w:val="left" w:pos="8789"/>
        </w:tabs>
        <w:spacing w:line="300" w:lineRule="auto"/>
        <w:jc w:val="both"/>
        <w:rPr>
          <w:rFonts w:ascii="Tahoma" w:hAnsi="Tahoma" w:cs="Tahoma"/>
          <w:spacing w:val="-4"/>
          <w:sz w:val="24"/>
          <w:szCs w:val="24"/>
          <w:lang w:val="es-ES"/>
        </w:rPr>
      </w:pPr>
      <w:r w:rsidRPr="00867E3A">
        <w:rPr>
          <w:rFonts w:ascii="Tahoma" w:hAnsi="Tahoma" w:cs="Tahoma"/>
          <w:spacing w:val="-4"/>
          <w:sz w:val="24"/>
          <w:szCs w:val="24"/>
        </w:rPr>
        <w:t>4</w:t>
      </w:r>
      <w:r w:rsidR="00E91ADD" w:rsidRPr="00867E3A">
        <w:rPr>
          <w:rFonts w:ascii="Tahoma" w:hAnsi="Tahoma" w:cs="Tahoma"/>
          <w:spacing w:val="-4"/>
          <w:sz w:val="24"/>
          <w:szCs w:val="24"/>
        </w:rPr>
        <w:t>.</w:t>
      </w:r>
      <w:r w:rsidRPr="00867E3A">
        <w:rPr>
          <w:rFonts w:ascii="Tahoma" w:hAnsi="Tahoma" w:cs="Tahoma"/>
          <w:spacing w:val="-4"/>
          <w:sz w:val="24"/>
          <w:szCs w:val="24"/>
        </w:rPr>
        <w:t xml:space="preserve"> Esa misma corporación</w:t>
      </w:r>
      <w:r w:rsidR="00E91ADD" w:rsidRPr="00867E3A">
        <w:rPr>
          <w:rFonts w:ascii="Tahoma" w:hAnsi="Tahoma" w:cs="Tahoma"/>
          <w:spacing w:val="-4"/>
          <w:sz w:val="24"/>
          <w:szCs w:val="24"/>
          <w:lang w:val="es-ES"/>
        </w:rPr>
        <w:t xml:space="preserve"> analizó en extenso lo relacionado con la competencia que deben tener los jueces para conocer de las acciones de tutela</w:t>
      </w:r>
      <w:r w:rsidR="00E91ADD" w:rsidRPr="00867E3A">
        <w:rPr>
          <w:rStyle w:val="Refdenotaalpie"/>
          <w:rFonts w:ascii="Tahoma" w:hAnsi="Tahoma" w:cs="Tahoma"/>
          <w:spacing w:val="-4"/>
          <w:sz w:val="24"/>
          <w:szCs w:val="24"/>
          <w:lang w:val="es-ES"/>
        </w:rPr>
        <w:footnoteReference w:id="2"/>
      </w:r>
      <w:r w:rsidR="00E91ADD" w:rsidRPr="00867E3A">
        <w:rPr>
          <w:rFonts w:ascii="Tahoma" w:hAnsi="Tahoma" w:cs="Tahoma"/>
          <w:spacing w:val="-4"/>
          <w:sz w:val="24"/>
          <w:szCs w:val="24"/>
          <w:lang w:val="es-ES"/>
        </w:rPr>
        <w:t xml:space="preserve"> en torno a lo dispuesto por la Corte Constitucional que en auto del 1º de julio de 2009 la instó, sin ser competente, a resolver la impugnación interpuesta contra la sentencia de primera </w:t>
      </w:r>
      <w:r w:rsidR="00E91ADD" w:rsidRPr="00867E3A">
        <w:rPr>
          <w:rFonts w:ascii="Tahoma" w:hAnsi="Tahoma" w:cs="Tahoma"/>
          <w:spacing w:val="-4"/>
          <w:sz w:val="24"/>
          <w:szCs w:val="24"/>
          <w:lang w:val="es-ES"/>
        </w:rPr>
        <w:lastRenderedPageBreak/>
        <w:t>instancia proferida por la Sala Civil Familia de este Tribunal</w:t>
      </w:r>
      <w:r w:rsidR="00E91ADD" w:rsidRPr="00867E3A">
        <w:rPr>
          <w:rStyle w:val="Refdenotaalpie"/>
          <w:rFonts w:ascii="Tahoma" w:hAnsi="Tahoma" w:cs="Tahoma"/>
          <w:spacing w:val="-4"/>
          <w:sz w:val="24"/>
          <w:szCs w:val="24"/>
          <w:lang w:val="es-ES"/>
        </w:rPr>
        <w:footnoteReference w:id="3"/>
      </w:r>
      <w:r w:rsidR="00E91ADD" w:rsidRPr="00867E3A">
        <w:rPr>
          <w:rFonts w:ascii="Tahoma" w:hAnsi="Tahoma" w:cs="Tahoma"/>
          <w:spacing w:val="-4"/>
          <w:sz w:val="24"/>
          <w:szCs w:val="24"/>
          <w:lang w:val="es-ES"/>
        </w:rPr>
        <w:t xml:space="preserve">. En esa providencia aquella Corporación declaró la nulidad de todo lo actuado, por falta de competencia funcional. </w:t>
      </w:r>
    </w:p>
    <w:p w:rsidR="00E91ADD" w:rsidRPr="00867E3A" w:rsidRDefault="00E91ADD" w:rsidP="0009587F">
      <w:pPr>
        <w:tabs>
          <w:tab w:val="left" w:pos="8789"/>
        </w:tabs>
        <w:spacing w:line="300" w:lineRule="auto"/>
        <w:jc w:val="both"/>
        <w:rPr>
          <w:rFonts w:ascii="Tahoma" w:hAnsi="Tahoma" w:cs="Tahoma"/>
          <w:spacing w:val="-4"/>
          <w:sz w:val="24"/>
          <w:szCs w:val="24"/>
          <w:lang w:val="es-ES"/>
        </w:rPr>
      </w:pPr>
    </w:p>
    <w:p w:rsidR="00E91ADD" w:rsidRPr="00867E3A" w:rsidRDefault="00E91ADD" w:rsidP="0009587F">
      <w:pPr>
        <w:tabs>
          <w:tab w:val="left" w:pos="8789"/>
        </w:tabs>
        <w:spacing w:line="300" w:lineRule="auto"/>
        <w:jc w:val="both"/>
        <w:rPr>
          <w:rFonts w:ascii="Tahoma" w:hAnsi="Tahoma" w:cs="Tahoma"/>
          <w:spacing w:val="-4"/>
          <w:sz w:val="24"/>
          <w:szCs w:val="24"/>
          <w:lang w:val="es-ES"/>
        </w:rPr>
      </w:pPr>
      <w:r w:rsidRPr="00867E3A">
        <w:rPr>
          <w:rFonts w:ascii="Tahoma" w:hAnsi="Tahoma" w:cs="Tahoma"/>
          <w:spacing w:val="-4"/>
          <w:sz w:val="24"/>
          <w:szCs w:val="24"/>
          <w:lang w:val="es-ES"/>
        </w:rPr>
        <w:t>Ese criterio aún se conserva y para solo citar una providencia en tal sentido, dijo recientemente la Corte Suprema de Justicia:</w:t>
      </w:r>
    </w:p>
    <w:p w:rsidR="00E91ADD" w:rsidRPr="00867E3A" w:rsidRDefault="00E91ADD" w:rsidP="0009587F">
      <w:pPr>
        <w:tabs>
          <w:tab w:val="left" w:pos="8789"/>
        </w:tabs>
        <w:spacing w:line="300" w:lineRule="auto"/>
        <w:jc w:val="both"/>
        <w:rPr>
          <w:rFonts w:ascii="Tahoma" w:hAnsi="Tahoma" w:cs="Tahoma"/>
          <w:spacing w:val="-4"/>
          <w:sz w:val="24"/>
          <w:szCs w:val="24"/>
          <w:lang w:val="es-ES"/>
        </w:rPr>
      </w:pPr>
    </w:p>
    <w:p w:rsidR="00E91ADD" w:rsidRPr="00867E3A" w:rsidRDefault="00E91ADD" w:rsidP="0009587F">
      <w:pPr>
        <w:ind w:left="426" w:right="420"/>
        <w:jc w:val="both"/>
        <w:rPr>
          <w:rFonts w:ascii="Tahoma" w:hAnsi="Tahoma" w:cs="Tahoma"/>
          <w:i/>
          <w:iCs/>
          <w:color w:val="000000"/>
          <w:spacing w:val="-4"/>
          <w:sz w:val="22"/>
          <w:szCs w:val="24"/>
          <w:shd w:val="clear" w:color="auto" w:fill="FFFFFF"/>
        </w:rPr>
      </w:pPr>
      <w:r w:rsidRPr="00867E3A">
        <w:rPr>
          <w:rFonts w:ascii="Tahoma" w:hAnsi="Tahoma" w:cs="Tahoma"/>
          <w:i/>
          <w:iCs/>
          <w:color w:val="000000"/>
          <w:spacing w:val="-4"/>
          <w:sz w:val="22"/>
          <w:szCs w:val="24"/>
          <w:shd w:val="clear" w:color="auto" w:fill="FFFFFF"/>
        </w:rPr>
        <w:t>“En torno a la facultad para decretar «nulidades» a partir de las reglas fijadas en el Decreto 1382 de 2000, esta Corporación precisó que:</w:t>
      </w:r>
    </w:p>
    <w:p w:rsidR="00867E3A" w:rsidRPr="00867E3A" w:rsidRDefault="00867E3A" w:rsidP="0009587F">
      <w:pPr>
        <w:ind w:left="426" w:right="420"/>
        <w:jc w:val="both"/>
        <w:rPr>
          <w:rFonts w:ascii="Tahoma" w:hAnsi="Tahoma" w:cs="Tahoma"/>
          <w:i/>
          <w:color w:val="000000"/>
          <w:spacing w:val="-4"/>
          <w:sz w:val="22"/>
          <w:szCs w:val="24"/>
          <w:shd w:val="clear" w:color="auto" w:fill="FFFFFF"/>
        </w:rPr>
      </w:pPr>
    </w:p>
    <w:p w:rsidR="00E91ADD" w:rsidRPr="00867E3A" w:rsidRDefault="00E91ADD" w:rsidP="0009587F">
      <w:pPr>
        <w:ind w:left="426" w:right="420"/>
        <w:jc w:val="both"/>
        <w:rPr>
          <w:rFonts w:ascii="Tahoma" w:hAnsi="Tahoma" w:cs="Tahoma"/>
          <w:i/>
          <w:color w:val="000000"/>
          <w:spacing w:val="-4"/>
          <w:sz w:val="22"/>
          <w:szCs w:val="24"/>
          <w:shd w:val="clear" w:color="auto" w:fill="FFFFFF"/>
        </w:rPr>
      </w:pPr>
      <w:r w:rsidRPr="00867E3A">
        <w:rPr>
          <w:rFonts w:ascii="Tahoma" w:hAnsi="Tahoma" w:cs="Tahoma"/>
          <w:i/>
          <w:color w:val="000000"/>
          <w:spacing w:val="-4"/>
          <w:sz w:val="22"/>
          <w:szCs w:val="24"/>
          <w:shd w:val="clear" w:color="auto" w:fill="FFFFFF"/>
        </w:rPr>
        <w:t>… la Sala hace suya la preocupación de la Honorable Corte Constitucional expresada en el auto 124 de 2009 (</w:t>
      </w:r>
      <w:proofErr w:type="spellStart"/>
      <w:r w:rsidRPr="00867E3A">
        <w:rPr>
          <w:rFonts w:ascii="Tahoma" w:hAnsi="Tahoma" w:cs="Tahoma"/>
          <w:i/>
          <w:color w:val="000000"/>
          <w:spacing w:val="-4"/>
          <w:sz w:val="22"/>
          <w:szCs w:val="24"/>
          <w:shd w:val="clear" w:color="auto" w:fill="FFFFFF"/>
        </w:rPr>
        <w:t>Exp</w:t>
      </w:r>
      <w:proofErr w:type="spellEnd"/>
      <w:r w:rsidRPr="00867E3A">
        <w:rPr>
          <w:rFonts w:ascii="Tahoma" w:hAnsi="Tahoma" w:cs="Tahoma"/>
          <w:i/>
          <w:color w:val="000000"/>
          <w:spacing w:val="-4"/>
          <w:sz w:val="22"/>
          <w:szCs w:val="24"/>
          <w:shd w:val="clear" w:color="auto" w:fill="FFFFFF"/>
        </w:rPr>
        <w:t>. I.C.C.1404) sobre la imperiosa necesidad de evitar la dilación en el trámite de las acciones de tutela para garantizar su finalidad, eficiencia y eficacia, esto es, la protección efectiva e inmediata de los derechos fundamentales.</w:t>
      </w:r>
    </w:p>
    <w:p w:rsidR="00867E3A" w:rsidRPr="00867E3A" w:rsidRDefault="00867E3A" w:rsidP="0009587F">
      <w:pPr>
        <w:ind w:left="426" w:right="420"/>
        <w:jc w:val="both"/>
        <w:rPr>
          <w:rFonts w:ascii="Tahoma" w:hAnsi="Tahoma" w:cs="Tahoma"/>
          <w:i/>
          <w:color w:val="000000"/>
          <w:spacing w:val="-4"/>
          <w:sz w:val="22"/>
          <w:szCs w:val="24"/>
          <w:shd w:val="clear" w:color="auto" w:fill="FFFFFF"/>
        </w:rPr>
      </w:pPr>
    </w:p>
    <w:p w:rsidR="00E91ADD" w:rsidRPr="00867E3A" w:rsidRDefault="00E91ADD" w:rsidP="0009587F">
      <w:pPr>
        <w:ind w:left="426" w:right="420"/>
        <w:jc w:val="both"/>
        <w:rPr>
          <w:rFonts w:ascii="Tahoma" w:hAnsi="Tahoma" w:cs="Tahoma"/>
          <w:i/>
          <w:color w:val="000000"/>
          <w:spacing w:val="-4"/>
          <w:sz w:val="22"/>
          <w:szCs w:val="24"/>
          <w:shd w:val="clear" w:color="auto" w:fill="FFFFFF"/>
        </w:rPr>
      </w:pPr>
      <w:r w:rsidRPr="00867E3A">
        <w:rPr>
          <w:rFonts w:ascii="Tahoma" w:hAnsi="Tahoma" w:cs="Tahoma"/>
          <w:i/>
          <w:color w:val="000000"/>
          <w:spacing w:val="-4"/>
          <w:sz w:val="22"/>
          <w:szCs w:val="24"/>
          <w:shd w:val="clear" w:color="auto" w:fill="FFFFFF"/>
        </w:rPr>
        <w:t>Empero, no comparte su posición respecto a que los jueces ‘no están facultados para declararse incompetentes o para decretar nulidades por falta de competencia con base en la aplicación o interpretación de las reglas de reparto del decreto 1382 de 2000’ el cual ‘…en manera alguna puede servir de fundamento para que los jueces o corporaciones que ejercen jurisdicción constitucional se declaren incompetentes para conocer de una acción de tutela, puesto que las reglas en él contenidas son meramente de reparto.’ En efecto, el Decreto 1382 de 2000, reglamenta el artículo 37 del Decreto 2591 de 1991 relativo a la competencia de los jueces para conocer de la acción de tutela y, por supuesto, establece las reglas de reparto entre los jueces competentes.</w:t>
      </w:r>
      <w:r w:rsidR="00867E3A" w:rsidRPr="00867E3A">
        <w:rPr>
          <w:rFonts w:ascii="Tahoma" w:hAnsi="Tahoma" w:cs="Tahoma"/>
          <w:i/>
          <w:color w:val="000000"/>
          <w:spacing w:val="-4"/>
          <w:sz w:val="22"/>
          <w:szCs w:val="24"/>
          <w:shd w:val="clear" w:color="auto" w:fill="FFFFFF"/>
        </w:rPr>
        <w:t xml:space="preserve">  </w:t>
      </w:r>
      <w:r w:rsidRPr="00867E3A">
        <w:rPr>
          <w:rFonts w:ascii="Tahoma" w:hAnsi="Tahoma" w:cs="Tahoma"/>
          <w:i/>
          <w:color w:val="000000"/>
          <w:spacing w:val="-4"/>
          <w:sz w:val="22"/>
          <w:szCs w:val="24"/>
          <w:shd w:val="clear" w:color="auto" w:fill="FFFFFF"/>
        </w:rPr>
        <w:t>…</w:t>
      </w:r>
    </w:p>
    <w:p w:rsidR="00867E3A" w:rsidRPr="00867E3A" w:rsidRDefault="00867E3A" w:rsidP="0009587F">
      <w:pPr>
        <w:ind w:left="426" w:right="420"/>
        <w:jc w:val="both"/>
        <w:rPr>
          <w:rFonts w:ascii="Tahoma" w:hAnsi="Tahoma" w:cs="Tahoma"/>
          <w:i/>
          <w:color w:val="000000"/>
          <w:spacing w:val="-4"/>
          <w:sz w:val="22"/>
          <w:szCs w:val="24"/>
          <w:shd w:val="clear" w:color="auto" w:fill="FFFFFF"/>
        </w:rPr>
      </w:pPr>
    </w:p>
    <w:p w:rsidR="00867E3A" w:rsidRPr="00867E3A" w:rsidRDefault="00E91ADD" w:rsidP="0009587F">
      <w:pPr>
        <w:ind w:left="426" w:right="420"/>
        <w:jc w:val="both"/>
        <w:rPr>
          <w:rFonts w:ascii="Tahoma" w:hAnsi="Tahoma" w:cs="Tahoma"/>
          <w:i/>
          <w:color w:val="000000"/>
          <w:spacing w:val="-4"/>
          <w:sz w:val="22"/>
          <w:szCs w:val="24"/>
          <w:shd w:val="clear" w:color="auto" w:fill="FFFFFF"/>
        </w:rPr>
      </w:pPr>
      <w:r w:rsidRPr="00867E3A">
        <w:rPr>
          <w:rFonts w:ascii="Tahoma" w:hAnsi="Tahoma" w:cs="Tahoma"/>
          <w:i/>
          <w:color w:val="000000"/>
          <w:spacing w:val="-4"/>
          <w:sz w:val="22"/>
          <w:szCs w:val="24"/>
          <w:shd w:val="clear" w:color="auto" w:fill="FFFFFF"/>
        </w:rPr>
        <w:t xml:space="preserve">Por otra parte, aunque el trámite del amparo se rige por los principios de informalidad, </w:t>
      </w:r>
      <w:proofErr w:type="spellStart"/>
      <w:r w:rsidRPr="00867E3A">
        <w:rPr>
          <w:rFonts w:ascii="Tahoma" w:hAnsi="Tahoma" w:cs="Tahoma"/>
          <w:i/>
          <w:color w:val="000000"/>
          <w:spacing w:val="-4"/>
          <w:sz w:val="22"/>
          <w:szCs w:val="24"/>
          <w:shd w:val="clear" w:color="auto" w:fill="FFFFFF"/>
        </w:rPr>
        <w:t>sumariedad</w:t>
      </w:r>
      <w:proofErr w:type="spellEnd"/>
      <w:r w:rsidRPr="00867E3A">
        <w:rPr>
          <w:rFonts w:ascii="Tahoma" w:hAnsi="Tahoma" w:cs="Tahoma"/>
          <w:i/>
          <w:color w:val="000000"/>
          <w:spacing w:val="-4"/>
          <w:sz w:val="22"/>
          <w:szCs w:val="24"/>
          <w:shd w:val="clear" w:color="auto" w:fill="FFFFFF"/>
        </w:rPr>
        <w:t xml:space="preserve"> y celeridad, la competencia del juez está indisociablemente [ligada] con el derecho fundamental del debido proceso (artículo 29 de Carta), el acceso al juez natural y la administración de justicia, de donde, ‘según la jurisprudencia constitucional la falta de competencia del juez de tutela genera nulidad </w:t>
      </w:r>
      <w:proofErr w:type="spellStart"/>
      <w:r w:rsidRPr="00867E3A">
        <w:rPr>
          <w:rFonts w:ascii="Tahoma" w:hAnsi="Tahoma" w:cs="Tahoma"/>
          <w:i/>
          <w:color w:val="000000"/>
          <w:spacing w:val="-4"/>
          <w:sz w:val="22"/>
          <w:szCs w:val="24"/>
          <w:shd w:val="clear" w:color="auto" w:fill="FFFFFF"/>
        </w:rPr>
        <w:t>insaneable</w:t>
      </w:r>
      <w:proofErr w:type="spellEnd"/>
      <w:r w:rsidRPr="00867E3A">
        <w:rPr>
          <w:rFonts w:ascii="Tahoma" w:hAnsi="Tahoma" w:cs="Tahoma"/>
          <w:i/>
          <w:color w:val="000000"/>
          <w:spacing w:val="-4"/>
          <w:sz w:val="22"/>
          <w:szCs w:val="24"/>
          <w:shd w:val="clear" w:color="auto" w:fill="FFFFFF"/>
        </w:rPr>
        <w:t xml:space="preserve"> y la constatación de la misma no puede pasarse por alto, por más urgente que sea el pronunciamiento requerido, pues (…) la competencia del juez se relaciona estrechamente con el derecho constitucional fundamental al debido proceso’ (Auto 304 A de 2007), ‘el cual establece que nadie puede ser juzgado sino conforme a leyes preexistentes al acto que se le imputa, ante juez o tribunal competente y con observancia de la plenitud de las formas propias de cada juicio’ (Auto 072 A de 2006, Corte Constitucional).</w:t>
      </w:r>
    </w:p>
    <w:p w:rsidR="00867E3A" w:rsidRPr="00867E3A" w:rsidRDefault="00867E3A" w:rsidP="0009587F">
      <w:pPr>
        <w:ind w:left="426" w:right="420"/>
        <w:jc w:val="both"/>
        <w:rPr>
          <w:rFonts w:ascii="Tahoma" w:hAnsi="Tahoma" w:cs="Tahoma"/>
          <w:i/>
          <w:color w:val="000000"/>
          <w:spacing w:val="-4"/>
          <w:sz w:val="22"/>
          <w:szCs w:val="24"/>
          <w:shd w:val="clear" w:color="auto" w:fill="FFFFFF"/>
        </w:rPr>
      </w:pPr>
    </w:p>
    <w:p w:rsidR="00E91ADD" w:rsidRPr="00867E3A" w:rsidRDefault="00E91ADD" w:rsidP="0009587F">
      <w:pPr>
        <w:ind w:left="426" w:right="420"/>
        <w:jc w:val="both"/>
        <w:rPr>
          <w:rFonts w:ascii="Tahoma" w:hAnsi="Tahoma" w:cs="Tahoma"/>
          <w:i/>
          <w:spacing w:val="-4"/>
          <w:sz w:val="22"/>
          <w:szCs w:val="24"/>
          <w:lang w:val="es-ES"/>
        </w:rPr>
      </w:pPr>
      <w:r w:rsidRPr="00867E3A">
        <w:rPr>
          <w:rFonts w:ascii="Tahoma" w:hAnsi="Tahoma" w:cs="Tahoma"/>
          <w:i/>
          <w:color w:val="000000"/>
          <w:spacing w:val="-4"/>
          <w:sz w:val="22"/>
          <w:szCs w:val="24"/>
          <w:shd w:val="clear" w:color="auto" w:fill="FFFFFF"/>
        </w:rPr>
        <w:t xml:space="preserve">Análogamente, el principio de legalidad imperante en todas las actuaciones de los servidores del Estado, precisa atribuciones concretas y ninguno puede ejercer sino las confiadas expresamente en la Constitución Política y la ley, cuya competencia asigna el legislador y los jueces, dentro de un marco estricto, de orden público y, por tanto, de estricta interpretación y aplicación. ‘En idéntico sentido, razones de transcendental significación inherentes a la autonomía e independencia de los jueces (artículos 228 y 230 de la Constitución Nacional) y su sujeción al imperio del ordenamiento jurídico, estarían seriamente comprometidas de limitarse las facultades y deberes de los jueces, sean ordinarios, sean constitucionales’ (ATC, 13 </w:t>
      </w:r>
      <w:proofErr w:type="spellStart"/>
      <w:r w:rsidRPr="00867E3A">
        <w:rPr>
          <w:rFonts w:ascii="Tahoma" w:hAnsi="Tahoma" w:cs="Tahoma"/>
          <w:i/>
          <w:color w:val="000000"/>
          <w:spacing w:val="-4"/>
          <w:sz w:val="22"/>
          <w:szCs w:val="24"/>
          <w:shd w:val="clear" w:color="auto" w:fill="FFFFFF"/>
        </w:rPr>
        <w:t>may</w:t>
      </w:r>
      <w:proofErr w:type="spellEnd"/>
      <w:r w:rsidRPr="00867E3A">
        <w:rPr>
          <w:rFonts w:ascii="Tahoma" w:hAnsi="Tahoma" w:cs="Tahoma"/>
          <w:i/>
          <w:color w:val="000000"/>
          <w:spacing w:val="-4"/>
          <w:sz w:val="22"/>
          <w:szCs w:val="24"/>
          <w:shd w:val="clear" w:color="auto" w:fill="FFFFFF"/>
        </w:rPr>
        <w:t>. 2009, rad. 2009-00083-01)…”</w:t>
      </w:r>
      <w:r w:rsidRPr="00867E3A">
        <w:rPr>
          <w:rStyle w:val="Refdenotaalpie"/>
          <w:rFonts w:ascii="Tahoma" w:hAnsi="Tahoma" w:cs="Tahoma"/>
          <w:i/>
          <w:color w:val="000000"/>
          <w:spacing w:val="-4"/>
          <w:sz w:val="22"/>
          <w:szCs w:val="24"/>
          <w:shd w:val="clear" w:color="auto" w:fill="FFFFFF"/>
        </w:rPr>
        <w:footnoteReference w:id="4"/>
      </w:r>
    </w:p>
    <w:p w:rsidR="00492FEB" w:rsidRPr="00867E3A" w:rsidRDefault="00492FEB" w:rsidP="0009587F">
      <w:pPr>
        <w:spacing w:line="300" w:lineRule="auto"/>
        <w:jc w:val="both"/>
        <w:rPr>
          <w:rFonts w:ascii="Tahoma" w:hAnsi="Tahoma" w:cs="Tahoma"/>
          <w:spacing w:val="-4"/>
          <w:sz w:val="24"/>
          <w:szCs w:val="24"/>
          <w:lang w:val="es-ES"/>
        </w:rPr>
      </w:pPr>
    </w:p>
    <w:p w:rsidR="00C87F25" w:rsidRPr="00867E3A" w:rsidRDefault="00C87F25" w:rsidP="0009587F">
      <w:pPr>
        <w:spacing w:line="300" w:lineRule="auto"/>
        <w:jc w:val="both"/>
        <w:rPr>
          <w:rFonts w:ascii="Tahoma" w:hAnsi="Tahoma" w:cs="Tahoma"/>
          <w:spacing w:val="-4"/>
          <w:kern w:val="2"/>
          <w:sz w:val="24"/>
          <w:szCs w:val="24"/>
        </w:rPr>
      </w:pPr>
      <w:r w:rsidRPr="00867E3A">
        <w:rPr>
          <w:rFonts w:ascii="Tahoma" w:hAnsi="Tahoma" w:cs="Tahoma"/>
          <w:spacing w:val="-4"/>
          <w:kern w:val="2"/>
          <w:sz w:val="24"/>
          <w:szCs w:val="24"/>
        </w:rPr>
        <w:t>En mérito de lo expuesto, esta Sala Unitaria Civil-Familia del Tribunal Superior del Distrito Judicial de Pereira,</w:t>
      </w:r>
    </w:p>
    <w:p w:rsidR="00C87F25" w:rsidRPr="00867E3A" w:rsidRDefault="00C87F25" w:rsidP="0009587F">
      <w:pPr>
        <w:pStyle w:val="Textoindependiente21"/>
        <w:spacing w:line="300" w:lineRule="auto"/>
        <w:rPr>
          <w:rFonts w:ascii="Tahoma" w:hAnsi="Tahoma" w:cs="Tahoma"/>
          <w:b/>
          <w:spacing w:val="-4"/>
          <w:kern w:val="2"/>
          <w:szCs w:val="24"/>
        </w:rPr>
      </w:pPr>
      <w:bookmarkStart w:id="0" w:name="_GoBack"/>
      <w:bookmarkEnd w:id="0"/>
    </w:p>
    <w:p w:rsidR="00C87F25" w:rsidRPr="00867E3A" w:rsidRDefault="00C87F25" w:rsidP="0009587F">
      <w:pPr>
        <w:pStyle w:val="Textoindependiente21"/>
        <w:spacing w:line="300" w:lineRule="auto"/>
        <w:rPr>
          <w:rFonts w:ascii="Tahoma" w:hAnsi="Tahoma" w:cs="Tahoma"/>
          <w:b/>
          <w:spacing w:val="-4"/>
          <w:kern w:val="2"/>
          <w:szCs w:val="24"/>
        </w:rPr>
      </w:pPr>
      <w:r w:rsidRPr="00867E3A">
        <w:rPr>
          <w:rFonts w:ascii="Tahoma" w:hAnsi="Tahoma" w:cs="Tahoma"/>
          <w:b/>
          <w:spacing w:val="-4"/>
          <w:kern w:val="2"/>
          <w:szCs w:val="24"/>
        </w:rPr>
        <w:t>R E S U E L V E</w:t>
      </w:r>
    </w:p>
    <w:p w:rsidR="00C87F25" w:rsidRPr="00867E3A" w:rsidRDefault="00C87F25" w:rsidP="0009587F">
      <w:pPr>
        <w:spacing w:line="300" w:lineRule="auto"/>
        <w:jc w:val="both"/>
        <w:rPr>
          <w:rFonts w:ascii="Tahoma" w:hAnsi="Tahoma" w:cs="Tahoma"/>
          <w:spacing w:val="-4"/>
          <w:sz w:val="24"/>
          <w:szCs w:val="24"/>
        </w:rPr>
      </w:pPr>
    </w:p>
    <w:p w:rsidR="008266F2" w:rsidRPr="00867E3A" w:rsidRDefault="00C87F25" w:rsidP="0009587F">
      <w:pPr>
        <w:spacing w:line="300" w:lineRule="auto"/>
        <w:jc w:val="both"/>
        <w:rPr>
          <w:rFonts w:ascii="Tahoma" w:hAnsi="Tahoma" w:cs="Tahoma"/>
          <w:spacing w:val="-4"/>
          <w:sz w:val="24"/>
          <w:szCs w:val="24"/>
        </w:rPr>
      </w:pPr>
      <w:r w:rsidRPr="00867E3A">
        <w:rPr>
          <w:rFonts w:ascii="Tahoma" w:hAnsi="Tahoma" w:cs="Tahoma"/>
          <w:spacing w:val="-4"/>
          <w:sz w:val="24"/>
          <w:szCs w:val="24"/>
          <w:lang w:val="es-ES"/>
        </w:rPr>
        <w:t>1. Declararse incompetente para conocer de la acción de tutela instaurada por</w:t>
      </w:r>
      <w:r w:rsidR="00E905DB" w:rsidRPr="00867E3A">
        <w:rPr>
          <w:rFonts w:ascii="Tahoma" w:hAnsi="Tahoma" w:cs="Tahoma"/>
          <w:spacing w:val="-4"/>
          <w:sz w:val="24"/>
          <w:szCs w:val="24"/>
          <w:lang w:val="es-ES"/>
        </w:rPr>
        <w:t xml:space="preserve"> el señor</w:t>
      </w:r>
      <w:r w:rsidR="00E20E6C" w:rsidRPr="00867E3A">
        <w:rPr>
          <w:rFonts w:ascii="Tahoma" w:hAnsi="Tahoma" w:cs="Tahoma"/>
          <w:spacing w:val="-4"/>
          <w:sz w:val="24"/>
          <w:szCs w:val="24"/>
          <w:lang w:val="es-ES"/>
        </w:rPr>
        <w:t xml:space="preserve"> </w:t>
      </w:r>
      <w:r w:rsidR="00A106A7" w:rsidRPr="00867E3A">
        <w:rPr>
          <w:rFonts w:ascii="Tahoma" w:hAnsi="Tahoma" w:cs="Tahoma"/>
          <w:spacing w:val="-4"/>
          <w:sz w:val="24"/>
          <w:szCs w:val="24"/>
        </w:rPr>
        <w:t xml:space="preserve">Javier Elías Arias </w:t>
      </w:r>
      <w:proofErr w:type="spellStart"/>
      <w:r w:rsidR="00A106A7" w:rsidRPr="00867E3A">
        <w:rPr>
          <w:rFonts w:ascii="Tahoma" w:hAnsi="Tahoma" w:cs="Tahoma"/>
          <w:spacing w:val="-4"/>
          <w:sz w:val="24"/>
          <w:szCs w:val="24"/>
        </w:rPr>
        <w:t>Idárraga</w:t>
      </w:r>
      <w:proofErr w:type="spellEnd"/>
      <w:r w:rsidR="00A106A7" w:rsidRPr="00867E3A">
        <w:rPr>
          <w:rFonts w:ascii="Tahoma" w:hAnsi="Tahoma" w:cs="Tahoma"/>
          <w:spacing w:val="-4"/>
          <w:sz w:val="24"/>
          <w:szCs w:val="24"/>
        </w:rPr>
        <w:t xml:space="preserve"> contra el Juzgado Tercero Civil del Circuito de Pereira</w:t>
      </w:r>
      <w:r w:rsidR="008266F2" w:rsidRPr="00867E3A">
        <w:rPr>
          <w:rFonts w:ascii="Tahoma" w:hAnsi="Tahoma" w:cs="Tahoma"/>
          <w:spacing w:val="-4"/>
          <w:sz w:val="24"/>
          <w:szCs w:val="24"/>
        </w:rPr>
        <w:t>.</w:t>
      </w:r>
    </w:p>
    <w:p w:rsidR="00C87F25" w:rsidRPr="00867E3A" w:rsidRDefault="00C87F25" w:rsidP="0009587F">
      <w:pPr>
        <w:spacing w:line="300" w:lineRule="auto"/>
        <w:jc w:val="both"/>
        <w:rPr>
          <w:rFonts w:ascii="Tahoma" w:hAnsi="Tahoma" w:cs="Tahoma"/>
          <w:spacing w:val="-4"/>
          <w:sz w:val="24"/>
          <w:szCs w:val="24"/>
        </w:rPr>
      </w:pPr>
    </w:p>
    <w:p w:rsidR="00A106A7" w:rsidRPr="00867E3A" w:rsidRDefault="00A106A7" w:rsidP="0009587F">
      <w:pPr>
        <w:spacing w:line="300" w:lineRule="auto"/>
        <w:jc w:val="both"/>
        <w:rPr>
          <w:rFonts w:ascii="Tahoma" w:hAnsi="Tahoma" w:cs="Tahoma"/>
          <w:spacing w:val="-4"/>
          <w:sz w:val="24"/>
          <w:szCs w:val="24"/>
          <w:lang w:val="es-ES"/>
        </w:rPr>
      </w:pPr>
      <w:r w:rsidRPr="00867E3A">
        <w:rPr>
          <w:rFonts w:ascii="Tahoma" w:hAnsi="Tahoma" w:cs="Tahoma"/>
          <w:spacing w:val="-4"/>
          <w:sz w:val="24"/>
          <w:szCs w:val="24"/>
          <w:lang w:val="es-ES"/>
        </w:rPr>
        <w:t>2. Remítanse las diligencias a la Oficina de Administración Judicial para que sea repartida entre los jueces con categoría municipales de esta ciudad.</w:t>
      </w:r>
    </w:p>
    <w:p w:rsidR="00C87F25" w:rsidRPr="00867E3A" w:rsidRDefault="00C87F25" w:rsidP="0009587F">
      <w:pPr>
        <w:spacing w:line="300" w:lineRule="auto"/>
        <w:jc w:val="both"/>
        <w:rPr>
          <w:rFonts w:ascii="Tahoma" w:hAnsi="Tahoma" w:cs="Tahoma"/>
          <w:spacing w:val="-4"/>
          <w:sz w:val="24"/>
          <w:szCs w:val="24"/>
          <w:lang w:val="es-ES"/>
        </w:rPr>
      </w:pPr>
    </w:p>
    <w:p w:rsidR="00C87F25" w:rsidRPr="00867E3A" w:rsidRDefault="008266F2" w:rsidP="0009587F">
      <w:pPr>
        <w:spacing w:line="300" w:lineRule="auto"/>
        <w:jc w:val="both"/>
        <w:rPr>
          <w:rFonts w:ascii="Tahoma" w:hAnsi="Tahoma" w:cs="Tahoma"/>
          <w:spacing w:val="-4"/>
          <w:sz w:val="24"/>
          <w:szCs w:val="24"/>
          <w:lang w:val="es-ES"/>
        </w:rPr>
      </w:pPr>
      <w:r w:rsidRPr="00867E3A">
        <w:rPr>
          <w:rFonts w:ascii="Tahoma" w:hAnsi="Tahoma" w:cs="Tahoma"/>
          <w:spacing w:val="-4"/>
          <w:sz w:val="24"/>
          <w:szCs w:val="24"/>
          <w:lang w:val="es-ES"/>
        </w:rPr>
        <w:t>3</w:t>
      </w:r>
      <w:r w:rsidR="00E905DB" w:rsidRPr="00867E3A">
        <w:rPr>
          <w:rFonts w:ascii="Tahoma" w:hAnsi="Tahoma" w:cs="Tahoma"/>
          <w:spacing w:val="-4"/>
          <w:sz w:val="24"/>
          <w:szCs w:val="24"/>
          <w:lang w:val="es-ES"/>
        </w:rPr>
        <w:t>. Notifíquese esta decisión al</w:t>
      </w:r>
      <w:r w:rsidR="00C87F25" w:rsidRPr="00867E3A">
        <w:rPr>
          <w:rFonts w:ascii="Tahoma" w:hAnsi="Tahoma" w:cs="Tahoma"/>
          <w:spacing w:val="-4"/>
          <w:sz w:val="24"/>
          <w:szCs w:val="24"/>
          <w:lang w:val="es-ES"/>
        </w:rPr>
        <w:t xml:space="preserve"> demandante por el medio más eficaz.</w:t>
      </w:r>
    </w:p>
    <w:p w:rsidR="00C87F25" w:rsidRPr="00867E3A" w:rsidRDefault="00C87F25" w:rsidP="0009587F">
      <w:pPr>
        <w:spacing w:line="300" w:lineRule="auto"/>
        <w:jc w:val="both"/>
        <w:rPr>
          <w:rFonts w:ascii="Tahoma" w:hAnsi="Tahoma" w:cs="Tahoma"/>
          <w:spacing w:val="-4"/>
          <w:sz w:val="24"/>
          <w:szCs w:val="24"/>
          <w:lang w:val="es-ES"/>
        </w:rPr>
      </w:pPr>
    </w:p>
    <w:p w:rsidR="00C87F25" w:rsidRPr="00867E3A" w:rsidRDefault="00C87F25" w:rsidP="0009587F">
      <w:pPr>
        <w:spacing w:line="300" w:lineRule="auto"/>
        <w:jc w:val="both"/>
        <w:rPr>
          <w:rFonts w:ascii="Tahoma" w:hAnsi="Tahoma" w:cs="Tahoma"/>
          <w:spacing w:val="-4"/>
          <w:sz w:val="24"/>
          <w:szCs w:val="24"/>
          <w:lang w:val="es-ES"/>
        </w:rPr>
      </w:pPr>
      <w:r w:rsidRPr="00867E3A">
        <w:rPr>
          <w:rFonts w:ascii="Tahoma" w:hAnsi="Tahoma" w:cs="Tahoma"/>
          <w:spacing w:val="-4"/>
          <w:sz w:val="24"/>
          <w:szCs w:val="24"/>
          <w:lang w:val="es-ES"/>
        </w:rPr>
        <w:t xml:space="preserve">Notifíquese y cúmplase, </w:t>
      </w:r>
    </w:p>
    <w:p w:rsidR="00C87F25" w:rsidRPr="00867E3A" w:rsidRDefault="00C87F25" w:rsidP="0009587F">
      <w:pPr>
        <w:spacing w:line="300" w:lineRule="auto"/>
        <w:jc w:val="both"/>
        <w:rPr>
          <w:rFonts w:ascii="Tahoma" w:hAnsi="Tahoma" w:cs="Tahoma"/>
          <w:spacing w:val="-4"/>
          <w:sz w:val="24"/>
          <w:szCs w:val="24"/>
          <w:lang w:val="es-ES"/>
        </w:rPr>
      </w:pPr>
    </w:p>
    <w:p w:rsidR="00C87F25" w:rsidRPr="00867E3A" w:rsidRDefault="00C87F25" w:rsidP="0009587F">
      <w:pPr>
        <w:spacing w:line="300" w:lineRule="auto"/>
        <w:jc w:val="both"/>
        <w:rPr>
          <w:rFonts w:ascii="Tahoma" w:hAnsi="Tahoma" w:cs="Tahoma"/>
          <w:spacing w:val="-4"/>
          <w:sz w:val="24"/>
          <w:szCs w:val="24"/>
          <w:lang w:val="es-ES"/>
        </w:rPr>
      </w:pPr>
      <w:r w:rsidRPr="00867E3A">
        <w:rPr>
          <w:rFonts w:ascii="Tahoma" w:hAnsi="Tahoma" w:cs="Tahoma"/>
          <w:spacing w:val="-4"/>
          <w:sz w:val="24"/>
          <w:szCs w:val="24"/>
          <w:lang w:val="es-ES"/>
        </w:rPr>
        <w:t>La Magistrada,</w:t>
      </w:r>
    </w:p>
    <w:p w:rsidR="00C87F25" w:rsidRPr="00867E3A" w:rsidRDefault="00C87F25" w:rsidP="0009587F">
      <w:pPr>
        <w:spacing w:line="300" w:lineRule="auto"/>
        <w:jc w:val="both"/>
        <w:rPr>
          <w:rFonts w:ascii="Tahoma" w:hAnsi="Tahoma" w:cs="Tahoma"/>
          <w:spacing w:val="-4"/>
          <w:sz w:val="24"/>
          <w:szCs w:val="24"/>
          <w:lang w:val="es-ES"/>
        </w:rPr>
      </w:pPr>
    </w:p>
    <w:p w:rsidR="00C87F25" w:rsidRPr="00867E3A" w:rsidRDefault="00C87F25" w:rsidP="0009587F">
      <w:pPr>
        <w:spacing w:line="300" w:lineRule="auto"/>
        <w:jc w:val="both"/>
        <w:rPr>
          <w:rFonts w:ascii="Tahoma" w:hAnsi="Tahoma" w:cs="Tahoma"/>
          <w:spacing w:val="-4"/>
          <w:sz w:val="24"/>
          <w:szCs w:val="24"/>
          <w:lang w:val="es-ES"/>
        </w:rPr>
      </w:pPr>
    </w:p>
    <w:p w:rsidR="00C87F25" w:rsidRPr="00867E3A" w:rsidRDefault="00C87F25" w:rsidP="0009587F">
      <w:pPr>
        <w:spacing w:line="300" w:lineRule="auto"/>
        <w:jc w:val="both"/>
        <w:rPr>
          <w:rFonts w:ascii="Tahoma" w:hAnsi="Tahoma" w:cs="Tahoma"/>
          <w:spacing w:val="-4"/>
          <w:sz w:val="24"/>
          <w:szCs w:val="24"/>
          <w:lang w:val="es-ES"/>
        </w:rPr>
      </w:pPr>
    </w:p>
    <w:p w:rsidR="0022156A" w:rsidRPr="00867E3A" w:rsidRDefault="00C87F25" w:rsidP="0009587F">
      <w:pPr>
        <w:spacing w:line="300" w:lineRule="auto"/>
        <w:jc w:val="both"/>
        <w:rPr>
          <w:rFonts w:ascii="Tahoma" w:hAnsi="Tahoma" w:cs="Tahoma"/>
          <w:spacing w:val="-4"/>
          <w:sz w:val="24"/>
          <w:szCs w:val="24"/>
        </w:rPr>
      </w:pPr>
      <w:r w:rsidRPr="00867E3A">
        <w:rPr>
          <w:rFonts w:ascii="Tahoma" w:hAnsi="Tahoma" w:cs="Tahoma"/>
          <w:spacing w:val="-4"/>
          <w:sz w:val="24"/>
          <w:szCs w:val="24"/>
          <w:lang w:val="es-ES"/>
        </w:rPr>
        <w:tab/>
      </w:r>
      <w:r w:rsidRPr="00867E3A">
        <w:rPr>
          <w:rFonts w:ascii="Tahoma" w:hAnsi="Tahoma" w:cs="Tahoma"/>
          <w:spacing w:val="-4"/>
          <w:sz w:val="24"/>
          <w:szCs w:val="24"/>
          <w:lang w:val="es-ES"/>
        </w:rPr>
        <w:tab/>
      </w:r>
      <w:r w:rsidRPr="00867E3A">
        <w:rPr>
          <w:rFonts w:ascii="Tahoma" w:hAnsi="Tahoma" w:cs="Tahoma"/>
          <w:spacing w:val="-4"/>
          <w:sz w:val="24"/>
          <w:szCs w:val="24"/>
          <w:lang w:val="es-ES"/>
        </w:rPr>
        <w:tab/>
      </w:r>
      <w:r w:rsidRPr="00867E3A">
        <w:rPr>
          <w:rFonts w:ascii="Tahoma" w:hAnsi="Tahoma" w:cs="Tahoma"/>
          <w:b/>
          <w:spacing w:val="-4"/>
          <w:sz w:val="24"/>
          <w:szCs w:val="24"/>
          <w:lang w:val="es-ES"/>
        </w:rPr>
        <w:t xml:space="preserve">      CLAUDIA MARÍA ARCILA RÍOS</w:t>
      </w:r>
    </w:p>
    <w:sectPr w:rsidR="0022156A" w:rsidRPr="00867E3A" w:rsidSect="0009587F">
      <w:headerReference w:type="even" r:id="rId12"/>
      <w:headerReference w:type="default" r:id="rId13"/>
      <w:footerReference w:type="even" r:id="rId14"/>
      <w:footerReference w:type="default" r:id="rId15"/>
      <w:headerReference w:type="first" r:id="rId16"/>
      <w:footerReference w:type="first" r:id="rId17"/>
      <w:pgSz w:w="12242" w:h="18722" w:code="258"/>
      <w:pgMar w:top="1985" w:right="1361" w:bottom="1418" w:left="192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2F" w:rsidRDefault="00B8532F">
      <w:r>
        <w:separator/>
      </w:r>
    </w:p>
  </w:endnote>
  <w:endnote w:type="continuationSeparator" w:id="0">
    <w:p w:rsidR="00B8532F" w:rsidRDefault="00B8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E5" w:rsidRDefault="000E77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19" w:rsidRPr="000E77E5" w:rsidRDefault="00767FFB">
    <w:pPr>
      <w:pStyle w:val="Piedepgina"/>
      <w:framePr w:wrap="auto" w:vAnchor="text" w:hAnchor="margin" w:xAlign="right" w:y="1"/>
      <w:rPr>
        <w:rStyle w:val="Nmerodepgina"/>
        <w:rFonts w:ascii="Arial" w:hAnsi="Arial" w:cs="Arial"/>
        <w:sz w:val="18"/>
      </w:rPr>
    </w:pPr>
    <w:r w:rsidRPr="000E77E5">
      <w:rPr>
        <w:rStyle w:val="Nmerodepgina"/>
        <w:rFonts w:ascii="Arial" w:hAnsi="Arial" w:cs="Arial"/>
        <w:sz w:val="18"/>
      </w:rPr>
      <w:fldChar w:fldCharType="begin"/>
    </w:r>
    <w:r w:rsidR="00E24B19" w:rsidRPr="000E77E5">
      <w:rPr>
        <w:rStyle w:val="Nmerodepgina"/>
        <w:rFonts w:ascii="Arial" w:hAnsi="Arial" w:cs="Arial"/>
        <w:sz w:val="18"/>
      </w:rPr>
      <w:instrText xml:space="preserve">PAGE  </w:instrText>
    </w:r>
    <w:r w:rsidRPr="000E77E5">
      <w:rPr>
        <w:rStyle w:val="Nmerodepgina"/>
        <w:rFonts w:ascii="Arial" w:hAnsi="Arial" w:cs="Arial"/>
        <w:sz w:val="18"/>
      </w:rPr>
      <w:fldChar w:fldCharType="separate"/>
    </w:r>
    <w:r w:rsidR="00920C1B">
      <w:rPr>
        <w:rStyle w:val="Nmerodepgina"/>
        <w:rFonts w:ascii="Arial" w:hAnsi="Arial" w:cs="Arial"/>
        <w:noProof/>
        <w:sz w:val="18"/>
      </w:rPr>
      <w:t>4</w:t>
    </w:r>
    <w:r w:rsidRPr="000E77E5">
      <w:rPr>
        <w:rStyle w:val="Nmerodepgina"/>
        <w:rFonts w:ascii="Arial" w:hAnsi="Arial" w:cs="Arial"/>
        <w:sz w:val="18"/>
      </w:rPr>
      <w:fldChar w:fldCharType="end"/>
    </w:r>
  </w:p>
  <w:p w:rsidR="00E24B19" w:rsidRDefault="00E24B1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E5" w:rsidRDefault="000E77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2F" w:rsidRDefault="00B8532F">
      <w:r>
        <w:separator/>
      </w:r>
    </w:p>
  </w:footnote>
  <w:footnote w:type="continuationSeparator" w:id="0">
    <w:p w:rsidR="00B8532F" w:rsidRDefault="00B8532F">
      <w:r>
        <w:continuationSeparator/>
      </w:r>
    </w:p>
  </w:footnote>
  <w:footnote w:id="1">
    <w:p w:rsidR="00A106A7" w:rsidRPr="00867E3A" w:rsidRDefault="00A106A7" w:rsidP="00867E3A">
      <w:pPr>
        <w:pStyle w:val="Textonotapie"/>
        <w:jc w:val="both"/>
        <w:rPr>
          <w:rFonts w:ascii="Arial" w:hAnsi="Arial" w:cs="Arial"/>
          <w:sz w:val="16"/>
          <w:szCs w:val="15"/>
          <w:lang w:val="es-CO"/>
        </w:rPr>
      </w:pPr>
      <w:r w:rsidRPr="00867E3A">
        <w:rPr>
          <w:rStyle w:val="Refdenotaalpie"/>
          <w:rFonts w:ascii="Arial" w:hAnsi="Arial" w:cs="Arial"/>
          <w:sz w:val="18"/>
          <w:szCs w:val="15"/>
        </w:rPr>
        <w:footnoteRef/>
      </w:r>
      <w:r w:rsidRPr="00867E3A">
        <w:rPr>
          <w:rFonts w:ascii="Arial" w:hAnsi="Arial" w:cs="Arial"/>
          <w:sz w:val="18"/>
          <w:szCs w:val="15"/>
        </w:rPr>
        <w:t xml:space="preserve"> Auto de tutela del 13 de octubre de 2015, </w:t>
      </w:r>
      <w:proofErr w:type="spellStart"/>
      <w:r w:rsidRPr="00867E3A">
        <w:rPr>
          <w:rFonts w:ascii="Arial" w:hAnsi="Arial" w:cs="Arial"/>
          <w:sz w:val="18"/>
          <w:szCs w:val="15"/>
        </w:rPr>
        <w:t>M.P</w:t>
      </w:r>
      <w:proofErr w:type="spellEnd"/>
      <w:r w:rsidRPr="00867E3A">
        <w:rPr>
          <w:rFonts w:ascii="Arial" w:hAnsi="Arial" w:cs="Arial"/>
          <w:sz w:val="18"/>
          <w:szCs w:val="15"/>
        </w:rPr>
        <w:t>. Fernando Giraldo Gutiérrez, expediente 66001-22-13-000-2015-00519-01</w:t>
      </w:r>
    </w:p>
  </w:footnote>
  <w:footnote w:id="2">
    <w:p w:rsidR="00E91ADD" w:rsidRPr="00867E3A" w:rsidRDefault="00E91ADD" w:rsidP="00867E3A">
      <w:pPr>
        <w:pStyle w:val="Textonotapie"/>
        <w:jc w:val="both"/>
        <w:rPr>
          <w:rFonts w:ascii="Arial" w:hAnsi="Arial" w:cs="Arial"/>
          <w:sz w:val="18"/>
          <w:szCs w:val="16"/>
        </w:rPr>
      </w:pPr>
      <w:r w:rsidRPr="00867E3A">
        <w:rPr>
          <w:rStyle w:val="Refdenotaalpie"/>
          <w:rFonts w:ascii="Arial" w:hAnsi="Arial" w:cs="Arial"/>
          <w:sz w:val="18"/>
          <w:szCs w:val="16"/>
        </w:rPr>
        <w:footnoteRef/>
      </w:r>
      <w:r w:rsidRPr="00867E3A">
        <w:rPr>
          <w:rFonts w:ascii="Arial" w:hAnsi="Arial" w:cs="Arial"/>
          <w:sz w:val="18"/>
          <w:szCs w:val="16"/>
        </w:rPr>
        <w:t xml:space="preserve"> Auto de septiembre 7 de 2009.</w:t>
      </w:r>
    </w:p>
  </w:footnote>
  <w:footnote w:id="3">
    <w:p w:rsidR="00E91ADD" w:rsidRPr="00867E3A" w:rsidRDefault="00E91ADD" w:rsidP="00867E3A">
      <w:pPr>
        <w:pStyle w:val="Textonotapie"/>
        <w:jc w:val="both"/>
        <w:rPr>
          <w:rFonts w:ascii="Arial" w:hAnsi="Arial" w:cs="Arial"/>
          <w:sz w:val="18"/>
          <w:szCs w:val="16"/>
        </w:rPr>
      </w:pPr>
      <w:r w:rsidRPr="00867E3A">
        <w:rPr>
          <w:rStyle w:val="Refdenotaalpie"/>
          <w:rFonts w:ascii="Arial" w:hAnsi="Arial" w:cs="Arial"/>
          <w:sz w:val="18"/>
          <w:szCs w:val="16"/>
        </w:rPr>
        <w:footnoteRef/>
      </w:r>
      <w:r w:rsidRPr="00867E3A">
        <w:rPr>
          <w:rFonts w:ascii="Arial" w:hAnsi="Arial" w:cs="Arial"/>
          <w:sz w:val="18"/>
          <w:szCs w:val="16"/>
        </w:rPr>
        <w:t xml:space="preserve"> Proceso No. 66001-22-13-0000-2009-00021-00.</w:t>
      </w:r>
    </w:p>
  </w:footnote>
  <w:footnote w:id="4">
    <w:p w:rsidR="00E91ADD" w:rsidRPr="00885CBC" w:rsidRDefault="00E91ADD" w:rsidP="00867E3A">
      <w:pPr>
        <w:pStyle w:val="Textonotapie"/>
        <w:jc w:val="both"/>
        <w:rPr>
          <w:rFonts w:ascii="Verdana" w:hAnsi="Verdana"/>
          <w:sz w:val="16"/>
          <w:szCs w:val="16"/>
          <w:lang w:val="es-CO"/>
        </w:rPr>
      </w:pPr>
      <w:r w:rsidRPr="00867E3A">
        <w:rPr>
          <w:rStyle w:val="Refdenotaalpie"/>
          <w:rFonts w:ascii="Arial" w:hAnsi="Arial" w:cs="Arial"/>
          <w:sz w:val="18"/>
          <w:szCs w:val="16"/>
        </w:rPr>
        <w:footnoteRef/>
      </w:r>
      <w:r w:rsidRPr="00867E3A">
        <w:rPr>
          <w:rFonts w:ascii="Arial" w:hAnsi="Arial" w:cs="Arial"/>
          <w:sz w:val="18"/>
          <w:szCs w:val="16"/>
        </w:rPr>
        <w:t xml:space="preserve"> </w:t>
      </w:r>
      <w:r w:rsidRPr="00867E3A">
        <w:rPr>
          <w:rFonts w:ascii="Arial" w:hAnsi="Arial" w:cs="Arial"/>
          <w:sz w:val="18"/>
          <w:szCs w:val="16"/>
          <w:lang w:val="es-CO"/>
        </w:rPr>
        <w:t xml:space="preserve">ATC263-2020 del 5 de marzo de 2020, </w:t>
      </w:r>
      <w:proofErr w:type="spellStart"/>
      <w:r w:rsidRPr="00867E3A">
        <w:rPr>
          <w:rFonts w:ascii="Arial" w:hAnsi="Arial" w:cs="Arial"/>
          <w:sz w:val="18"/>
          <w:szCs w:val="16"/>
          <w:lang w:val="es-CO"/>
        </w:rPr>
        <w:t>MP</w:t>
      </w:r>
      <w:proofErr w:type="spellEnd"/>
      <w:r w:rsidRPr="00867E3A">
        <w:rPr>
          <w:rFonts w:ascii="Arial" w:hAnsi="Arial" w:cs="Arial"/>
          <w:sz w:val="18"/>
          <w:szCs w:val="16"/>
          <w:lang w:val="es-CO"/>
        </w:rPr>
        <w:t xml:space="preserve">. Aroldo Wilson Quiroz </w:t>
      </w:r>
      <w:proofErr w:type="spellStart"/>
      <w:r w:rsidRPr="00867E3A">
        <w:rPr>
          <w:rFonts w:ascii="Arial" w:hAnsi="Arial" w:cs="Arial"/>
          <w:sz w:val="18"/>
          <w:szCs w:val="16"/>
          <w:lang w:val="es-CO"/>
        </w:rPr>
        <w:t>Monsalvo</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E5" w:rsidRDefault="000E77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E5" w:rsidRDefault="000E77E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E5" w:rsidRDefault="000E77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7FD"/>
    <w:rsid w:val="000023F0"/>
    <w:rsid w:val="00002527"/>
    <w:rsid w:val="00002DBC"/>
    <w:rsid w:val="0000343C"/>
    <w:rsid w:val="00005450"/>
    <w:rsid w:val="000110A9"/>
    <w:rsid w:val="00011F75"/>
    <w:rsid w:val="00012C63"/>
    <w:rsid w:val="000151B8"/>
    <w:rsid w:val="00015B67"/>
    <w:rsid w:val="00015CC7"/>
    <w:rsid w:val="00016D0E"/>
    <w:rsid w:val="00021366"/>
    <w:rsid w:val="000245A2"/>
    <w:rsid w:val="0003182E"/>
    <w:rsid w:val="00033282"/>
    <w:rsid w:val="0003472E"/>
    <w:rsid w:val="00034B85"/>
    <w:rsid w:val="000355EE"/>
    <w:rsid w:val="000359C6"/>
    <w:rsid w:val="0003658B"/>
    <w:rsid w:val="000371D2"/>
    <w:rsid w:val="00040544"/>
    <w:rsid w:val="00040BB2"/>
    <w:rsid w:val="000434C1"/>
    <w:rsid w:val="00043672"/>
    <w:rsid w:val="00043B25"/>
    <w:rsid w:val="00046E13"/>
    <w:rsid w:val="00046FB0"/>
    <w:rsid w:val="00050FB7"/>
    <w:rsid w:val="00051D65"/>
    <w:rsid w:val="00052F30"/>
    <w:rsid w:val="00054202"/>
    <w:rsid w:val="0005511F"/>
    <w:rsid w:val="00055408"/>
    <w:rsid w:val="00056CED"/>
    <w:rsid w:val="00057E02"/>
    <w:rsid w:val="00061D40"/>
    <w:rsid w:val="0006275D"/>
    <w:rsid w:val="000631E8"/>
    <w:rsid w:val="00063370"/>
    <w:rsid w:val="00063560"/>
    <w:rsid w:val="000644A6"/>
    <w:rsid w:val="0006572B"/>
    <w:rsid w:val="00066F0B"/>
    <w:rsid w:val="00071C77"/>
    <w:rsid w:val="00073BA6"/>
    <w:rsid w:val="000754C7"/>
    <w:rsid w:val="0007706A"/>
    <w:rsid w:val="000778A6"/>
    <w:rsid w:val="000779BD"/>
    <w:rsid w:val="00077AD9"/>
    <w:rsid w:val="000801D7"/>
    <w:rsid w:val="00080362"/>
    <w:rsid w:val="00080A6B"/>
    <w:rsid w:val="00080EE1"/>
    <w:rsid w:val="00081FFA"/>
    <w:rsid w:val="00083BF3"/>
    <w:rsid w:val="00086D62"/>
    <w:rsid w:val="00087180"/>
    <w:rsid w:val="0008773D"/>
    <w:rsid w:val="00090217"/>
    <w:rsid w:val="00091A61"/>
    <w:rsid w:val="0009238C"/>
    <w:rsid w:val="00092BBA"/>
    <w:rsid w:val="000942B0"/>
    <w:rsid w:val="000947DA"/>
    <w:rsid w:val="00094900"/>
    <w:rsid w:val="0009587F"/>
    <w:rsid w:val="000960ED"/>
    <w:rsid w:val="00096725"/>
    <w:rsid w:val="00097864"/>
    <w:rsid w:val="000A0A77"/>
    <w:rsid w:val="000A12E5"/>
    <w:rsid w:val="000A174D"/>
    <w:rsid w:val="000A1EA4"/>
    <w:rsid w:val="000A209F"/>
    <w:rsid w:val="000A232F"/>
    <w:rsid w:val="000A38FA"/>
    <w:rsid w:val="000A4A85"/>
    <w:rsid w:val="000A5B9E"/>
    <w:rsid w:val="000A708D"/>
    <w:rsid w:val="000B00B5"/>
    <w:rsid w:val="000B02C2"/>
    <w:rsid w:val="000B0729"/>
    <w:rsid w:val="000B1676"/>
    <w:rsid w:val="000B1E01"/>
    <w:rsid w:val="000B20CF"/>
    <w:rsid w:val="000B33A7"/>
    <w:rsid w:val="000B43BF"/>
    <w:rsid w:val="000B46F3"/>
    <w:rsid w:val="000B5913"/>
    <w:rsid w:val="000B605F"/>
    <w:rsid w:val="000B7FCB"/>
    <w:rsid w:val="000C03EB"/>
    <w:rsid w:val="000C0682"/>
    <w:rsid w:val="000C0E64"/>
    <w:rsid w:val="000C1B65"/>
    <w:rsid w:val="000C4AA8"/>
    <w:rsid w:val="000C4B3A"/>
    <w:rsid w:val="000C502A"/>
    <w:rsid w:val="000C5E8A"/>
    <w:rsid w:val="000C6255"/>
    <w:rsid w:val="000D03F8"/>
    <w:rsid w:val="000D2B34"/>
    <w:rsid w:val="000D32A6"/>
    <w:rsid w:val="000D7D5A"/>
    <w:rsid w:val="000D7EBC"/>
    <w:rsid w:val="000E01D5"/>
    <w:rsid w:val="000E09E5"/>
    <w:rsid w:val="000E0C2B"/>
    <w:rsid w:val="000E10C0"/>
    <w:rsid w:val="000E230F"/>
    <w:rsid w:val="000E2360"/>
    <w:rsid w:val="000E2F6E"/>
    <w:rsid w:val="000E3530"/>
    <w:rsid w:val="000E4826"/>
    <w:rsid w:val="000E4AE7"/>
    <w:rsid w:val="000E523B"/>
    <w:rsid w:val="000E5780"/>
    <w:rsid w:val="000E77E5"/>
    <w:rsid w:val="000F2682"/>
    <w:rsid w:val="000F41BE"/>
    <w:rsid w:val="000F49AE"/>
    <w:rsid w:val="000F50E9"/>
    <w:rsid w:val="000F5371"/>
    <w:rsid w:val="000F6AC0"/>
    <w:rsid w:val="000F7553"/>
    <w:rsid w:val="000F77F8"/>
    <w:rsid w:val="00103F02"/>
    <w:rsid w:val="00107251"/>
    <w:rsid w:val="001110BA"/>
    <w:rsid w:val="00111D78"/>
    <w:rsid w:val="001125B6"/>
    <w:rsid w:val="00113EF3"/>
    <w:rsid w:val="0011450D"/>
    <w:rsid w:val="00114D2C"/>
    <w:rsid w:val="00115E97"/>
    <w:rsid w:val="00116551"/>
    <w:rsid w:val="00121E4C"/>
    <w:rsid w:val="0012313F"/>
    <w:rsid w:val="00124207"/>
    <w:rsid w:val="00124650"/>
    <w:rsid w:val="00124EA8"/>
    <w:rsid w:val="00125633"/>
    <w:rsid w:val="00127614"/>
    <w:rsid w:val="00127A0F"/>
    <w:rsid w:val="00130322"/>
    <w:rsid w:val="00130C50"/>
    <w:rsid w:val="00132DBC"/>
    <w:rsid w:val="001339B3"/>
    <w:rsid w:val="00133A92"/>
    <w:rsid w:val="00134BEA"/>
    <w:rsid w:val="0013664F"/>
    <w:rsid w:val="001366CC"/>
    <w:rsid w:val="00136B45"/>
    <w:rsid w:val="00140C92"/>
    <w:rsid w:val="00142E77"/>
    <w:rsid w:val="00143AE8"/>
    <w:rsid w:val="00146ADD"/>
    <w:rsid w:val="00146D6B"/>
    <w:rsid w:val="001475BB"/>
    <w:rsid w:val="00147830"/>
    <w:rsid w:val="00150436"/>
    <w:rsid w:val="001511B1"/>
    <w:rsid w:val="00155A13"/>
    <w:rsid w:val="00156F25"/>
    <w:rsid w:val="0015705D"/>
    <w:rsid w:val="001572A5"/>
    <w:rsid w:val="00162138"/>
    <w:rsid w:val="00162CAD"/>
    <w:rsid w:val="001634EB"/>
    <w:rsid w:val="001647F9"/>
    <w:rsid w:val="00166673"/>
    <w:rsid w:val="00166E78"/>
    <w:rsid w:val="001672CB"/>
    <w:rsid w:val="001702C6"/>
    <w:rsid w:val="00170470"/>
    <w:rsid w:val="001722FB"/>
    <w:rsid w:val="00173558"/>
    <w:rsid w:val="001743CD"/>
    <w:rsid w:val="00174E0A"/>
    <w:rsid w:val="00175967"/>
    <w:rsid w:val="00176451"/>
    <w:rsid w:val="00176D8F"/>
    <w:rsid w:val="00177A75"/>
    <w:rsid w:val="00180A56"/>
    <w:rsid w:val="00181AC0"/>
    <w:rsid w:val="00182466"/>
    <w:rsid w:val="00182D18"/>
    <w:rsid w:val="00183B51"/>
    <w:rsid w:val="00183C19"/>
    <w:rsid w:val="0018535A"/>
    <w:rsid w:val="00187C0D"/>
    <w:rsid w:val="001952C5"/>
    <w:rsid w:val="001970F9"/>
    <w:rsid w:val="001A0C2C"/>
    <w:rsid w:val="001A0F53"/>
    <w:rsid w:val="001A3FBA"/>
    <w:rsid w:val="001A4390"/>
    <w:rsid w:val="001A5315"/>
    <w:rsid w:val="001A56AE"/>
    <w:rsid w:val="001A6350"/>
    <w:rsid w:val="001A69CB"/>
    <w:rsid w:val="001A7099"/>
    <w:rsid w:val="001B05F5"/>
    <w:rsid w:val="001B087C"/>
    <w:rsid w:val="001B174F"/>
    <w:rsid w:val="001B1C76"/>
    <w:rsid w:val="001B2D01"/>
    <w:rsid w:val="001B46D5"/>
    <w:rsid w:val="001B495E"/>
    <w:rsid w:val="001B5A05"/>
    <w:rsid w:val="001B5FCD"/>
    <w:rsid w:val="001C0F93"/>
    <w:rsid w:val="001C1DA2"/>
    <w:rsid w:val="001C3ADC"/>
    <w:rsid w:val="001C406E"/>
    <w:rsid w:val="001C6510"/>
    <w:rsid w:val="001C7CB6"/>
    <w:rsid w:val="001D0014"/>
    <w:rsid w:val="001D02D3"/>
    <w:rsid w:val="001D3143"/>
    <w:rsid w:val="001D3963"/>
    <w:rsid w:val="001D3F6D"/>
    <w:rsid w:val="001D6341"/>
    <w:rsid w:val="001E0357"/>
    <w:rsid w:val="001E04FC"/>
    <w:rsid w:val="001E178D"/>
    <w:rsid w:val="001E27F8"/>
    <w:rsid w:val="001E3D46"/>
    <w:rsid w:val="001E3F25"/>
    <w:rsid w:val="001E41A3"/>
    <w:rsid w:val="001E4F8C"/>
    <w:rsid w:val="001E552A"/>
    <w:rsid w:val="001E70BE"/>
    <w:rsid w:val="001E75B6"/>
    <w:rsid w:val="001F03FB"/>
    <w:rsid w:val="001F24C0"/>
    <w:rsid w:val="001F27ED"/>
    <w:rsid w:val="001F28E6"/>
    <w:rsid w:val="001F3B04"/>
    <w:rsid w:val="001F422C"/>
    <w:rsid w:val="001F43F6"/>
    <w:rsid w:val="001F529B"/>
    <w:rsid w:val="001F74B1"/>
    <w:rsid w:val="001F7732"/>
    <w:rsid w:val="00202842"/>
    <w:rsid w:val="00202D76"/>
    <w:rsid w:val="00203793"/>
    <w:rsid w:val="00203AB7"/>
    <w:rsid w:val="00203B6A"/>
    <w:rsid w:val="00204383"/>
    <w:rsid w:val="0020448B"/>
    <w:rsid w:val="002051D4"/>
    <w:rsid w:val="00206D5B"/>
    <w:rsid w:val="00210230"/>
    <w:rsid w:val="0021153B"/>
    <w:rsid w:val="00211CC8"/>
    <w:rsid w:val="002128EF"/>
    <w:rsid w:val="00212B9C"/>
    <w:rsid w:val="00213006"/>
    <w:rsid w:val="00213CE6"/>
    <w:rsid w:val="00215230"/>
    <w:rsid w:val="0021579A"/>
    <w:rsid w:val="00215BCC"/>
    <w:rsid w:val="00216B43"/>
    <w:rsid w:val="00217166"/>
    <w:rsid w:val="00217843"/>
    <w:rsid w:val="00217921"/>
    <w:rsid w:val="002202F7"/>
    <w:rsid w:val="002207E4"/>
    <w:rsid w:val="00220B59"/>
    <w:rsid w:val="0022156A"/>
    <w:rsid w:val="00221D16"/>
    <w:rsid w:val="0022263A"/>
    <w:rsid w:val="00226115"/>
    <w:rsid w:val="0023039A"/>
    <w:rsid w:val="00233053"/>
    <w:rsid w:val="002351CB"/>
    <w:rsid w:val="00235B12"/>
    <w:rsid w:val="00235E52"/>
    <w:rsid w:val="00236B62"/>
    <w:rsid w:val="00237C07"/>
    <w:rsid w:val="00241088"/>
    <w:rsid w:val="00241C63"/>
    <w:rsid w:val="00241E5B"/>
    <w:rsid w:val="00242CF5"/>
    <w:rsid w:val="00242ED3"/>
    <w:rsid w:val="00243D8F"/>
    <w:rsid w:val="0024413D"/>
    <w:rsid w:val="002467EF"/>
    <w:rsid w:val="00246E2D"/>
    <w:rsid w:val="00247C7A"/>
    <w:rsid w:val="00250007"/>
    <w:rsid w:val="00250316"/>
    <w:rsid w:val="00250E30"/>
    <w:rsid w:val="002511F0"/>
    <w:rsid w:val="00251E8B"/>
    <w:rsid w:val="0025201D"/>
    <w:rsid w:val="002533FD"/>
    <w:rsid w:val="00256506"/>
    <w:rsid w:val="00264381"/>
    <w:rsid w:val="002645D0"/>
    <w:rsid w:val="00265DDF"/>
    <w:rsid w:val="002661E8"/>
    <w:rsid w:val="002671F0"/>
    <w:rsid w:val="00267637"/>
    <w:rsid w:val="00271B1C"/>
    <w:rsid w:val="0027213B"/>
    <w:rsid w:val="00273392"/>
    <w:rsid w:val="002734B2"/>
    <w:rsid w:val="0027477A"/>
    <w:rsid w:val="00274946"/>
    <w:rsid w:val="00281EAE"/>
    <w:rsid w:val="00282078"/>
    <w:rsid w:val="00282E9F"/>
    <w:rsid w:val="00283FB2"/>
    <w:rsid w:val="00284EB0"/>
    <w:rsid w:val="002854DE"/>
    <w:rsid w:val="00286C42"/>
    <w:rsid w:val="002870B5"/>
    <w:rsid w:val="00287390"/>
    <w:rsid w:val="0028789E"/>
    <w:rsid w:val="00292A5C"/>
    <w:rsid w:val="00297564"/>
    <w:rsid w:val="002976EE"/>
    <w:rsid w:val="00297D2C"/>
    <w:rsid w:val="002A0185"/>
    <w:rsid w:val="002A0F9A"/>
    <w:rsid w:val="002A10C7"/>
    <w:rsid w:val="002A3CAD"/>
    <w:rsid w:val="002A3D31"/>
    <w:rsid w:val="002A50E0"/>
    <w:rsid w:val="002A52CB"/>
    <w:rsid w:val="002A7F01"/>
    <w:rsid w:val="002B0D8F"/>
    <w:rsid w:val="002B0EB1"/>
    <w:rsid w:val="002B17D6"/>
    <w:rsid w:val="002B221D"/>
    <w:rsid w:val="002B2D8B"/>
    <w:rsid w:val="002B2DFA"/>
    <w:rsid w:val="002B3520"/>
    <w:rsid w:val="002B38FF"/>
    <w:rsid w:val="002B6B01"/>
    <w:rsid w:val="002B7792"/>
    <w:rsid w:val="002C036B"/>
    <w:rsid w:val="002C3708"/>
    <w:rsid w:val="002C5A3D"/>
    <w:rsid w:val="002D02B8"/>
    <w:rsid w:val="002D03F6"/>
    <w:rsid w:val="002D0726"/>
    <w:rsid w:val="002D0887"/>
    <w:rsid w:val="002D2354"/>
    <w:rsid w:val="002D2DB3"/>
    <w:rsid w:val="002D5CBC"/>
    <w:rsid w:val="002D63DC"/>
    <w:rsid w:val="002D7F89"/>
    <w:rsid w:val="002E0EC8"/>
    <w:rsid w:val="002E24CE"/>
    <w:rsid w:val="002E2C65"/>
    <w:rsid w:val="002E3E82"/>
    <w:rsid w:val="002E4DB9"/>
    <w:rsid w:val="002E4F1D"/>
    <w:rsid w:val="002E51D8"/>
    <w:rsid w:val="002E5D20"/>
    <w:rsid w:val="002E5D40"/>
    <w:rsid w:val="002E7D6C"/>
    <w:rsid w:val="002F39EC"/>
    <w:rsid w:val="002F4736"/>
    <w:rsid w:val="002F535B"/>
    <w:rsid w:val="002F5360"/>
    <w:rsid w:val="002F58B9"/>
    <w:rsid w:val="003014EC"/>
    <w:rsid w:val="00302542"/>
    <w:rsid w:val="00303B8C"/>
    <w:rsid w:val="003041A8"/>
    <w:rsid w:val="003046BF"/>
    <w:rsid w:val="0030627B"/>
    <w:rsid w:val="003065B2"/>
    <w:rsid w:val="0030721E"/>
    <w:rsid w:val="00310D24"/>
    <w:rsid w:val="00311F64"/>
    <w:rsid w:val="003120FA"/>
    <w:rsid w:val="0031322F"/>
    <w:rsid w:val="0031515F"/>
    <w:rsid w:val="00317921"/>
    <w:rsid w:val="003206F2"/>
    <w:rsid w:val="0032087C"/>
    <w:rsid w:val="00321B66"/>
    <w:rsid w:val="003236B0"/>
    <w:rsid w:val="00325B1A"/>
    <w:rsid w:val="00326B47"/>
    <w:rsid w:val="00330D89"/>
    <w:rsid w:val="0033170A"/>
    <w:rsid w:val="00332919"/>
    <w:rsid w:val="00334DC0"/>
    <w:rsid w:val="00335082"/>
    <w:rsid w:val="003376B6"/>
    <w:rsid w:val="00337B4E"/>
    <w:rsid w:val="00337E28"/>
    <w:rsid w:val="003403CD"/>
    <w:rsid w:val="003405D3"/>
    <w:rsid w:val="00340EA0"/>
    <w:rsid w:val="003414BA"/>
    <w:rsid w:val="003414FC"/>
    <w:rsid w:val="00342521"/>
    <w:rsid w:val="003426A7"/>
    <w:rsid w:val="00342CC4"/>
    <w:rsid w:val="00343003"/>
    <w:rsid w:val="003447C2"/>
    <w:rsid w:val="003505AC"/>
    <w:rsid w:val="00353417"/>
    <w:rsid w:val="00353931"/>
    <w:rsid w:val="00353E05"/>
    <w:rsid w:val="00355D79"/>
    <w:rsid w:val="00355E94"/>
    <w:rsid w:val="00357236"/>
    <w:rsid w:val="003622F7"/>
    <w:rsid w:val="003629E0"/>
    <w:rsid w:val="0036403A"/>
    <w:rsid w:val="00366728"/>
    <w:rsid w:val="00367F7C"/>
    <w:rsid w:val="00370897"/>
    <w:rsid w:val="00370C80"/>
    <w:rsid w:val="003720CF"/>
    <w:rsid w:val="003723CA"/>
    <w:rsid w:val="00372460"/>
    <w:rsid w:val="003729D1"/>
    <w:rsid w:val="00373839"/>
    <w:rsid w:val="0037399F"/>
    <w:rsid w:val="00373A9B"/>
    <w:rsid w:val="00373B37"/>
    <w:rsid w:val="00375D39"/>
    <w:rsid w:val="00376313"/>
    <w:rsid w:val="0037692A"/>
    <w:rsid w:val="003779AD"/>
    <w:rsid w:val="00382B06"/>
    <w:rsid w:val="0038308E"/>
    <w:rsid w:val="00387227"/>
    <w:rsid w:val="00387BF4"/>
    <w:rsid w:val="003917C0"/>
    <w:rsid w:val="003924BD"/>
    <w:rsid w:val="00393CBA"/>
    <w:rsid w:val="003944C7"/>
    <w:rsid w:val="0039565E"/>
    <w:rsid w:val="003976C5"/>
    <w:rsid w:val="00397AF1"/>
    <w:rsid w:val="003A0EAC"/>
    <w:rsid w:val="003A117A"/>
    <w:rsid w:val="003A3E4A"/>
    <w:rsid w:val="003A40B9"/>
    <w:rsid w:val="003A43F3"/>
    <w:rsid w:val="003A5681"/>
    <w:rsid w:val="003A5C19"/>
    <w:rsid w:val="003A5FBF"/>
    <w:rsid w:val="003A66EE"/>
    <w:rsid w:val="003A6D59"/>
    <w:rsid w:val="003A7C9B"/>
    <w:rsid w:val="003B0B1D"/>
    <w:rsid w:val="003B4B63"/>
    <w:rsid w:val="003B4F96"/>
    <w:rsid w:val="003B50F4"/>
    <w:rsid w:val="003B5284"/>
    <w:rsid w:val="003B72E7"/>
    <w:rsid w:val="003B75F9"/>
    <w:rsid w:val="003C1D08"/>
    <w:rsid w:val="003C402C"/>
    <w:rsid w:val="003C412B"/>
    <w:rsid w:val="003C49C5"/>
    <w:rsid w:val="003C615F"/>
    <w:rsid w:val="003D021A"/>
    <w:rsid w:val="003D070B"/>
    <w:rsid w:val="003D1637"/>
    <w:rsid w:val="003D2A94"/>
    <w:rsid w:val="003D4331"/>
    <w:rsid w:val="003D594C"/>
    <w:rsid w:val="003D7854"/>
    <w:rsid w:val="003D79B5"/>
    <w:rsid w:val="003D7EF2"/>
    <w:rsid w:val="003E1B5B"/>
    <w:rsid w:val="003E2C4B"/>
    <w:rsid w:val="003E32B6"/>
    <w:rsid w:val="003E4C45"/>
    <w:rsid w:val="003E4E22"/>
    <w:rsid w:val="003E5D06"/>
    <w:rsid w:val="003E658D"/>
    <w:rsid w:val="003E6961"/>
    <w:rsid w:val="003F1332"/>
    <w:rsid w:val="003F2918"/>
    <w:rsid w:val="003F31CF"/>
    <w:rsid w:val="003F3E8C"/>
    <w:rsid w:val="003F5A62"/>
    <w:rsid w:val="003F772A"/>
    <w:rsid w:val="003F7BF9"/>
    <w:rsid w:val="00402193"/>
    <w:rsid w:val="00402874"/>
    <w:rsid w:val="00403520"/>
    <w:rsid w:val="0040568F"/>
    <w:rsid w:val="004070D2"/>
    <w:rsid w:val="004076E7"/>
    <w:rsid w:val="00407873"/>
    <w:rsid w:val="00410CCA"/>
    <w:rsid w:val="004118DA"/>
    <w:rsid w:val="00413427"/>
    <w:rsid w:val="00413F6B"/>
    <w:rsid w:val="00414876"/>
    <w:rsid w:val="004155F6"/>
    <w:rsid w:val="00415B5D"/>
    <w:rsid w:val="00415D24"/>
    <w:rsid w:val="0041783E"/>
    <w:rsid w:val="00420239"/>
    <w:rsid w:val="00420474"/>
    <w:rsid w:val="004205A5"/>
    <w:rsid w:val="00423596"/>
    <w:rsid w:val="0042536B"/>
    <w:rsid w:val="00426DAF"/>
    <w:rsid w:val="00427646"/>
    <w:rsid w:val="00427E51"/>
    <w:rsid w:val="0043001B"/>
    <w:rsid w:val="00431DDD"/>
    <w:rsid w:val="00440BDD"/>
    <w:rsid w:val="004417A2"/>
    <w:rsid w:val="00442E6B"/>
    <w:rsid w:val="00442EA5"/>
    <w:rsid w:val="00443AFA"/>
    <w:rsid w:val="0044537E"/>
    <w:rsid w:val="004459FA"/>
    <w:rsid w:val="00446833"/>
    <w:rsid w:val="004474CB"/>
    <w:rsid w:val="004503AD"/>
    <w:rsid w:val="0045053A"/>
    <w:rsid w:val="00450988"/>
    <w:rsid w:val="00454A4F"/>
    <w:rsid w:val="00454A52"/>
    <w:rsid w:val="00454C2E"/>
    <w:rsid w:val="00456A2F"/>
    <w:rsid w:val="0046522F"/>
    <w:rsid w:val="00466075"/>
    <w:rsid w:val="00467ABB"/>
    <w:rsid w:val="00473125"/>
    <w:rsid w:val="004733E2"/>
    <w:rsid w:val="00474012"/>
    <w:rsid w:val="00475765"/>
    <w:rsid w:val="0047695A"/>
    <w:rsid w:val="00476DCC"/>
    <w:rsid w:val="00476E21"/>
    <w:rsid w:val="004776C9"/>
    <w:rsid w:val="00477B23"/>
    <w:rsid w:val="00477BDC"/>
    <w:rsid w:val="00480E12"/>
    <w:rsid w:val="00481CD5"/>
    <w:rsid w:val="004836A9"/>
    <w:rsid w:val="00483B14"/>
    <w:rsid w:val="00485372"/>
    <w:rsid w:val="0048537D"/>
    <w:rsid w:val="00486A37"/>
    <w:rsid w:val="004874FE"/>
    <w:rsid w:val="00490B2D"/>
    <w:rsid w:val="00492DF1"/>
    <w:rsid w:val="00492FEB"/>
    <w:rsid w:val="0049794C"/>
    <w:rsid w:val="004A2351"/>
    <w:rsid w:val="004A2C04"/>
    <w:rsid w:val="004A35B4"/>
    <w:rsid w:val="004A5616"/>
    <w:rsid w:val="004A674F"/>
    <w:rsid w:val="004A7E66"/>
    <w:rsid w:val="004B2B81"/>
    <w:rsid w:val="004B3300"/>
    <w:rsid w:val="004B4E4B"/>
    <w:rsid w:val="004B6728"/>
    <w:rsid w:val="004B72DF"/>
    <w:rsid w:val="004B7ABC"/>
    <w:rsid w:val="004C0D24"/>
    <w:rsid w:val="004C17F1"/>
    <w:rsid w:val="004C316C"/>
    <w:rsid w:val="004C37BE"/>
    <w:rsid w:val="004C3931"/>
    <w:rsid w:val="004C7AEA"/>
    <w:rsid w:val="004C7B49"/>
    <w:rsid w:val="004C7F6A"/>
    <w:rsid w:val="004D0FEB"/>
    <w:rsid w:val="004D1A4C"/>
    <w:rsid w:val="004D1FBF"/>
    <w:rsid w:val="004D43A3"/>
    <w:rsid w:val="004D4427"/>
    <w:rsid w:val="004D4A55"/>
    <w:rsid w:val="004D4F97"/>
    <w:rsid w:val="004D623C"/>
    <w:rsid w:val="004D7981"/>
    <w:rsid w:val="004E18F8"/>
    <w:rsid w:val="004E3AE1"/>
    <w:rsid w:val="004E4008"/>
    <w:rsid w:val="004F09F3"/>
    <w:rsid w:val="004F0AD3"/>
    <w:rsid w:val="004F1FC3"/>
    <w:rsid w:val="004F224F"/>
    <w:rsid w:val="004F4C5B"/>
    <w:rsid w:val="004F51FB"/>
    <w:rsid w:val="004F6E27"/>
    <w:rsid w:val="004F7BFE"/>
    <w:rsid w:val="00501E51"/>
    <w:rsid w:val="005020FC"/>
    <w:rsid w:val="005035BF"/>
    <w:rsid w:val="00503C99"/>
    <w:rsid w:val="00503FFD"/>
    <w:rsid w:val="00504675"/>
    <w:rsid w:val="00504A21"/>
    <w:rsid w:val="00504D1E"/>
    <w:rsid w:val="00505FE9"/>
    <w:rsid w:val="00506484"/>
    <w:rsid w:val="00506BA2"/>
    <w:rsid w:val="005075BD"/>
    <w:rsid w:val="00512A36"/>
    <w:rsid w:val="00512D21"/>
    <w:rsid w:val="0051462E"/>
    <w:rsid w:val="00516243"/>
    <w:rsid w:val="0051725E"/>
    <w:rsid w:val="005178B2"/>
    <w:rsid w:val="00520384"/>
    <w:rsid w:val="00521057"/>
    <w:rsid w:val="00522B6F"/>
    <w:rsid w:val="005249DF"/>
    <w:rsid w:val="0052534E"/>
    <w:rsid w:val="00525589"/>
    <w:rsid w:val="005255D3"/>
    <w:rsid w:val="00527CD2"/>
    <w:rsid w:val="005319D9"/>
    <w:rsid w:val="00533681"/>
    <w:rsid w:val="005336AD"/>
    <w:rsid w:val="005358DC"/>
    <w:rsid w:val="00535B09"/>
    <w:rsid w:val="00540035"/>
    <w:rsid w:val="00541149"/>
    <w:rsid w:val="005426BD"/>
    <w:rsid w:val="0054318F"/>
    <w:rsid w:val="00543338"/>
    <w:rsid w:val="00543E2A"/>
    <w:rsid w:val="00544290"/>
    <w:rsid w:val="00545715"/>
    <w:rsid w:val="00547463"/>
    <w:rsid w:val="00551FF3"/>
    <w:rsid w:val="005527B9"/>
    <w:rsid w:val="00552B00"/>
    <w:rsid w:val="00552D85"/>
    <w:rsid w:val="00553AF3"/>
    <w:rsid w:val="005548EA"/>
    <w:rsid w:val="00555DBC"/>
    <w:rsid w:val="005570B3"/>
    <w:rsid w:val="0056012E"/>
    <w:rsid w:val="0056061F"/>
    <w:rsid w:val="0056106B"/>
    <w:rsid w:val="00561FEC"/>
    <w:rsid w:val="00563109"/>
    <w:rsid w:val="005637ED"/>
    <w:rsid w:val="00565DB0"/>
    <w:rsid w:val="00566048"/>
    <w:rsid w:val="0056635A"/>
    <w:rsid w:val="005678E7"/>
    <w:rsid w:val="00571678"/>
    <w:rsid w:val="00572316"/>
    <w:rsid w:val="00573040"/>
    <w:rsid w:val="00575B89"/>
    <w:rsid w:val="005810F2"/>
    <w:rsid w:val="00581679"/>
    <w:rsid w:val="00581F87"/>
    <w:rsid w:val="00582E44"/>
    <w:rsid w:val="00585D4E"/>
    <w:rsid w:val="00585DBE"/>
    <w:rsid w:val="005877B7"/>
    <w:rsid w:val="00587934"/>
    <w:rsid w:val="0059010B"/>
    <w:rsid w:val="005914CF"/>
    <w:rsid w:val="00592D76"/>
    <w:rsid w:val="00595C44"/>
    <w:rsid w:val="00596589"/>
    <w:rsid w:val="00596914"/>
    <w:rsid w:val="005A009B"/>
    <w:rsid w:val="005A0363"/>
    <w:rsid w:val="005A36DC"/>
    <w:rsid w:val="005A41D6"/>
    <w:rsid w:val="005A42DE"/>
    <w:rsid w:val="005A72FD"/>
    <w:rsid w:val="005B010C"/>
    <w:rsid w:val="005B1EA7"/>
    <w:rsid w:val="005B2A95"/>
    <w:rsid w:val="005B4DAC"/>
    <w:rsid w:val="005C0220"/>
    <w:rsid w:val="005C04C7"/>
    <w:rsid w:val="005C5029"/>
    <w:rsid w:val="005C7D86"/>
    <w:rsid w:val="005D123C"/>
    <w:rsid w:val="005D1AEF"/>
    <w:rsid w:val="005D2074"/>
    <w:rsid w:val="005D31E6"/>
    <w:rsid w:val="005D327C"/>
    <w:rsid w:val="005D38B6"/>
    <w:rsid w:val="005D5CFA"/>
    <w:rsid w:val="005E0161"/>
    <w:rsid w:val="005E031B"/>
    <w:rsid w:val="005E1F86"/>
    <w:rsid w:val="005E3D91"/>
    <w:rsid w:val="005E5A98"/>
    <w:rsid w:val="005E5DC4"/>
    <w:rsid w:val="005E6DE2"/>
    <w:rsid w:val="005F0F5E"/>
    <w:rsid w:val="005F123B"/>
    <w:rsid w:val="005F1DC9"/>
    <w:rsid w:val="005F33BA"/>
    <w:rsid w:val="005F7B24"/>
    <w:rsid w:val="00602BC2"/>
    <w:rsid w:val="0060485D"/>
    <w:rsid w:val="006050EE"/>
    <w:rsid w:val="006055F1"/>
    <w:rsid w:val="006068B2"/>
    <w:rsid w:val="00606D7D"/>
    <w:rsid w:val="00606E6D"/>
    <w:rsid w:val="006078B7"/>
    <w:rsid w:val="0061000D"/>
    <w:rsid w:val="00610A1A"/>
    <w:rsid w:val="00611CBB"/>
    <w:rsid w:val="006147E4"/>
    <w:rsid w:val="006152D7"/>
    <w:rsid w:val="00615A25"/>
    <w:rsid w:val="00615FF9"/>
    <w:rsid w:val="006175AB"/>
    <w:rsid w:val="00617FF1"/>
    <w:rsid w:val="006205E2"/>
    <w:rsid w:val="006242B7"/>
    <w:rsid w:val="006254CA"/>
    <w:rsid w:val="00630A82"/>
    <w:rsid w:val="00630C7E"/>
    <w:rsid w:val="00631C57"/>
    <w:rsid w:val="00631C86"/>
    <w:rsid w:val="00633AC0"/>
    <w:rsid w:val="00634F7E"/>
    <w:rsid w:val="0063580F"/>
    <w:rsid w:val="00635816"/>
    <w:rsid w:val="00636A65"/>
    <w:rsid w:val="00636A9F"/>
    <w:rsid w:val="00637406"/>
    <w:rsid w:val="00641E71"/>
    <w:rsid w:val="00643379"/>
    <w:rsid w:val="00646750"/>
    <w:rsid w:val="00647058"/>
    <w:rsid w:val="00647951"/>
    <w:rsid w:val="0065163E"/>
    <w:rsid w:val="006521A6"/>
    <w:rsid w:val="006534A6"/>
    <w:rsid w:val="00655450"/>
    <w:rsid w:val="00655B68"/>
    <w:rsid w:val="00656E42"/>
    <w:rsid w:val="00657031"/>
    <w:rsid w:val="0065770D"/>
    <w:rsid w:val="00663A6E"/>
    <w:rsid w:val="00663CDE"/>
    <w:rsid w:val="006643E7"/>
    <w:rsid w:val="00664483"/>
    <w:rsid w:val="006655BE"/>
    <w:rsid w:val="00667DD2"/>
    <w:rsid w:val="00667DD8"/>
    <w:rsid w:val="00670F2C"/>
    <w:rsid w:val="006721B3"/>
    <w:rsid w:val="00672DFC"/>
    <w:rsid w:val="006745C5"/>
    <w:rsid w:val="00674BDF"/>
    <w:rsid w:val="00675073"/>
    <w:rsid w:val="0067794D"/>
    <w:rsid w:val="00677ADC"/>
    <w:rsid w:val="00677D6A"/>
    <w:rsid w:val="00677FB4"/>
    <w:rsid w:val="00682A92"/>
    <w:rsid w:val="00684045"/>
    <w:rsid w:val="006845CC"/>
    <w:rsid w:val="0068610D"/>
    <w:rsid w:val="00686240"/>
    <w:rsid w:val="0068655C"/>
    <w:rsid w:val="00687C68"/>
    <w:rsid w:val="00687D9C"/>
    <w:rsid w:val="006902F8"/>
    <w:rsid w:val="006912EF"/>
    <w:rsid w:val="00693FFB"/>
    <w:rsid w:val="006952BF"/>
    <w:rsid w:val="00695E31"/>
    <w:rsid w:val="006A024D"/>
    <w:rsid w:val="006A05F3"/>
    <w:rsid w:val="006A3DE0"/>
    <w:rsid w:val="006A3FE1"/>
    <w:rsid w:val="006A4CF3"/>
    <w:rsid w:val="006A6154"/>
    <w:rsid w:val="006A74C9"/>
    <w:rsid w:val="006A7FC4"/>
    <w:rsid w:val="006B0BB7"/>
    <w:rsid w:val="006B0CF5"/>
    <w:rsid w:val="006B2FC0"/>
    <w:rsid w:val="006B4C66"/>
    <w:rsid w:val="006B5587"/>
    <w:rsid w:val="006B5588"/>
    <w:rsid w:val="006B6383"/>
    <w:rsid w:val="006B65CD"/>
    <w:rsid w:val="006B6876"/>
    <w:rsid w:val="006B68DE"/>
    <w:rsid w:val="006B702F"/>
    <w:rsid w:val="006B79C7"/>
    <w:rsid w:val="006C14CF"/>
    <w:rsid w:val="006C1684"/>
    <w:rsid w:val="006C18D1"/>
    <w:rsid w:val="006C1F1E"/>
    <w:rsid w:val="006C2946"/>
    <w:rsid w:val="006C6ED7"/>
    <w:rsid w:val="006C761E"/>
    <w:rsid w:val="006C7D24"/>
    <w:rsid w:val="006D0858"/>
    <w:rsid w:val="006D3FC0"/>
    <w:rsid w:val="006D471D"/>
    <w:rsid w:val="006D4FB2"/>
    <w:rsid w:val="006D5870"/>
    <w:rsid w:val="006D6E30"/>
    <w:rsid w:val="006E0DF5"/>
    <w:rsid w:val="006E2311"/>
    <w:rsid w:val="006E4110"/>
    <w:rsid w:val="006E6C4B"/>
    <w:rsid w:val="006F0D46"/>
    <w:rsid w:val="006F111A"/>
    <w:rsid w:val="006F133A"/>
    <w:rsid w:val="006F13D8"/>
    <w:rsid w:val="006F2345"/>
    <w:rsid w:val="006F3EA4"/>
    <w:rsid w:val="006F4A3A"/>
    <w:rsid w:val="006F530B"/>
    <w:rsid w:val="006F5BAE"/>
    <w:rsid w:val="006F6090"/>
    <w:rsid w:val="006F60E2"/>
    <w:rsid w:val="00701731"/>
    <w:rsid w:val="007028D5"/>
    <w:rsid w:val="00704400"/>
    <w:rsid w:val="007052E0"/>
    <w:rsid w:val="007108E8"/>
    <w:rsid w:val="0071142C"/>
    <w:rsid w:val="00711CB0"/>
    <w:rsid w:val="00715B84"/>
    <w:rsid w:val="0072203A"/>
    <w:rsid w:val="0072238F"/>
    <w:rsid w:val="00724DA6"/>
    <w:rsid w:val="0073200E"/>
    <w:rsid w:val="00733551"/>
    <w:rsid w:val="00734EA1"/>
    <w:rsid w:val="00734F80"/>
    <w:rsid w:val="007352BA"/>
    <w:rsid w:val="00736D5F"/>
    <w:rsid w:val="0073734B"/>
    <w:rsid w:val="007373F2"/>
    <w:rsid w:val="00737745"/>
    <w:rsid w:val="0073796C"/>
    <w:rsid w:val="00737AB8"/>
    <w:rsid w:val="0074004E"/>
    <w:rsid w:val="007405C9"/>
    <w:rsid w:val="00740B50"/>
    <w:rsid w:val="00742E52"/>
    <w:rsid w:val="0074482C"/>
    <w:rsid w:val="00745238"/>
    <w:rsid w:val="00750985"/>
    <w:rsid w:val="00752BD5"/>
    <w:rsid w:val="00753F9E"/>
    <w:rsid w:val="007545E1"/>
    <w:rsid w:val="00761C55"/>
    <w:rsid w:val="00762C29"/>
    <w:rsid w:val="00764634"/>
    <w:rsid w:val="007651D8"/>
    <w:rsid w:val="007657B4"/>
    <w:rsid w:val="00765B87"/>
    <w:rsid w:val="00766395"/>
    <w:rsid w:val="0076667A"/>
    <w:rsid w:val="00767460"/>
    <w:rsid w:val="00767A77"/>
    <w:rsid w:val="00767E6C"/>
    <w:rsid w:val="00767FFB"/>
    <w:rsid w:val="00771120"/>
    <w:rsid w:val="007713DF"/>
    <w:rsid w:val="0077183D"/>
    <w:rsid w:val="00771ECC"/>
    <w:rsid w:val="007726F1"/>
    <w:rsid w:val="0077375D"/>
    <w:rsid w:val="00774335"/>
    <w:rsid w:val="007762EB"/>
    <w:rsid w:val="007765CC"/>
    <w:rsid w:val="00776FD5"/>
    <w:rsid w:val="00777969"/>
    <w:rsid w:val="007829DE"/>
    <w:rsid w:val="00785A9E"/>
    <w:rsid w:val="0079135C"/>
    <w:rsid w:val="00791557"/>
    <w:rsid w:val="00791D0B"/>
    <w:rsid w:val="007947A2"/>
    <w:rsid w:val="0079487D"/>
    <w:rsid w:val="00796350"/>
    <w:rsid w:val="00796D40"/>
    <w:rsid w:val="007A183D"/>
    <w:rsid w:val="007A3C59"/>
    <w:rsid w:val="007A423C"/>
    <w:rsid w:val="007A7E64"/>
    <w:rsid w:val="007B06F8"/>
    <w:rsid w:val="007B10CC"/>
    <w:rsid w:val="007B157F"/>
    <w:rsid w:val="007B1B57"/>
    <w:rsid w:val="007B30B3"/>
    <w:rsid w:val="007B5E63"/>
    <w:rsid w:val="007B6749"/>
    <w:rsid w:val="007B7DAF"/>
    <w:rsid w:val="007C0835"/>
    <w:rsid w:val="007C1CFB"/>
    <w:rsid w:val="007C1EC6"/>
    <w:rsid w:val="007C1FA7"/>
    <w:rsid w:val="007C3A4A"/>
    <w:rsid w:val="007C5A6B"/>
    <w:rsid w:val="007C6408"/>
    <w:rsid w:val="007D019A"/>
    <w:rsid w:val="007D14C6"/>
    <w:rsid w:val="007D1602"/>
    <w:rsid w:val="007D1B29"/>
    <w:rsid w:val="007D2B5F"/>
    <w:rsid w:val="007D3DA1"/>
    <w:rsid w:val="007D50F6"/>
    <w:rsid w:val="007D5BE5"/>
    <w:rsid w:val="007D7DCD"/>
    <w:rsid w:val="007E07AA"/>
    <w:rsid w:val="007E0EBD"/>
    <w:rsid w:val="007E12EC"/>
    <w:rsid w:val="007E679B"/>
    <w:rsid w:val="007E6C57"/>
    <w:rsid w:val="007F2AD5"/>
    <w:rsid w:val="007F35D4"/>
    <w:rsid w:val="007F48F2"/>
    <w:rsid w:val="007F5C7B"/>
    <w:rsid w:val="007F5F04"/>
    <w:rsid w:val="007F6026"/>
    <w:rsid w:val="0080453A"/>
    <w:rsid w:val="00804DF3"/>
    <w:rsid w:val="00804FCE"/>
    <w:rsid w:val="00805725"/>
    <w:rsid w:val="008058AF"/>
    <w:rsid w:val="00805E85"/>
    <w:rsid w:val="00807038"/>
    <w:rsid w:val="008077B9"/>
    <w:rsid w:val="00807A14"/>
    <w:rsid w:val="00811A44"/>
    <w:rsid w:val="00812767"/>
    <w:rsid w:val="0081313C"/>
    <w:rsid w:val="00813F5E"/>
    <w:rsid w:val="00814513"/>
    <w:rsid w:val="00816E97"/>
    <w:rsid w:val="008173EB"/>
    <w:rsid w:val="00817ABF"/>
    <w:rsid w:val="00817B09"/>
    <w:rsid w:val="008203DC"/>
    <w:rsid w:val="00820CB7"/>
    <w:rsid w:val="00822211"/>
    <w:rsid w:val="00822F54"/>
    <w:rsid w:val="00825077"/>
    <w:rsid w:val="008266F2"/>
    <w:rsid w:val="00827CE3"/>
    <w:rsid w:val="00831095"/>
    <w:rsid w:val="008310C1"/>
    <w:rsid w:val="00831AE5"/>
    <w:rsid w:val="00833666"/>
    <w:rsid w:val="008343DF"/>
    <w:rsid w:val="008347DB"/>
    <w:rsid w:val="00836986"/>
    <w:rsid w:val="008403C4"/>
    <w:rsid w:val="00841559"/>
    <w:rsid w:val="008417FA"/>
    <w:rsid w:val="00844AAF"/>
    <w:rsid w:val="00845809"/>
    <w:rsid w:val="00845DC9"/>
    <w:rsid w:val="0084601D"/>
    <w:rsid w:val="008463AC"/>
    <w:rsid w:val="00850245"/>
    <w:rsid w:val="0085084F"/>
    <w:rsid w:val="0085418E"/>
    <w:rsid w:val="00854C5B"/>
    <w:rsid w:val="0085619B"/>
    <w:rsid w:val="00856885"/>
    <w:rsid w:val="00860316"/>
    <w:rsid w:val="00862768"/>
    <w:rsid w:val="0086301E"/>
    <w:rsid w:val="00864CCD"/>
    <w:rsid w:val="008670AA"/>
    <w:rsid w:val="00867E3A"/>
    <w:rsid w:val="008703EB"/>
    <w:rsid w:val="0087181C"/>
    <w:rsid w:val="008725D5"/>
    <w:rsid w:val="00872C6A"/>
    <w:rsid w:val="00873569"/>
    <w:rsid w:val="00874597"/>
    <w:rsid w:val="00875798"/>
    <w:rsid w:val="00880D6A"/>
    <w:rsid w:val="00881AAD"/>
    <w:rsid w:val="00884318"/>
    <w:rsid w:val="00886348"/>
    <w:rsid w:val="008870EA"/>
    <w:rsid w:val="0089086E"/>
    <w:rsid w:val="0089298C"/>
    <w:rsid w:val="0089298E"/>
    <w:rsid w:val="008932B8"/>
    <w:rsid w:val="008934D0"/>
    <w:rsid w:val="00893E7A"/>
    <w:rsid w:val="0089495D"/>
    <w:rsid w:val="00895364"/>
    <w:rsid w:val="00896C91"/>
    <w:rsid w:val="00896EF7"/>
    <w:rsid w:val="0089773C"/>
    <w:rsid w:val="008A2560"/>
    <w:rsid w:val="008A4AF3"/>
    <w:rsid w:val="008A506C"/>
    <w:rsid w:val="008A7830"/>
    <w:rsid w:val="008B069A"/>
    <w:rsid w:val="008B11A1"/>
    <w:rsid w:val="008B65B6"/>
    <w:rsid w:val="008B6C73"/>
    <w:rsid w:val="008B6E72"/>
    <w:rsid w:val="008B7578"/>
    <w:rsid w:val="008C0703"/>
    <w:rsid w:val="008C18A4"/>
    <w:rsid w:val="008C2203"/>
    <w:rsid w:val="008C24E1"/>
    <w:rsid w:val="008C39CF"/>
    <w:rsid w:val="008C40F0"/>
    <w:rsid w:val="008C5FD8"/>
    <w:rsid w:val="008C7A2F"/>
    <w:rsid w:val="008D208D"/>
    <w:rsid w:val="008D4D33"/>
    <w:rsid w:val="008D755A"/>
    <w:rsid w:val="008E03BF"/>
    <w:rsid w:val="008E0723"/>
    <w:rsid w:val="008E0C3B"/>
    <w:rsid w:val="008E2360"/>
    <w:rsid w:val="008E3A2B"/>
    <w:rsid w:val="008E5594"/>
    <w:rsid w:val="008E56BA"/>
    <w:rsid w:val="008E6F4F"/>
    <w:rsid w:val="008E7181"/>
    <w:rsid w:val="008E7470"/>
    <w:rsid w:val="008F0CA4"/>
    <w:rsid w:val="008F3750"/>
    <w:rsid w:val="008F4B11"/>
    <w:rsid w:val="008F6867"/>
    <w:rsid w:val="008F6868"/>
    <w:rsid w:val="008F69BF"/>
    <w:rsid w:val="008F7CAF"/>
    <w:rsid w:val="009012D2"/>
    <w:rsid w:val="00902B05"/>
    <w:rsid w:val="00904F1D"/>
    <w:rsid w:val="009051D4"/>
    <w:rsid w:val="00906ADB"/>
    <w:rsid w:val="00906CFF"/>
    <w:rsid w:val="009071A8"/>
    <w:rsid w:val="009073DC"/>
    <w:rsid w:val="009114BE"/>
    <w:rsid w:val="00911A88"/>
    <w:rsid w:val="00911BC6"/>
    <w:rsid w:val="0091451A"/>
    <w:rsid w:val="00914FD7"/>
    <w:rsid w:val="00915D82"/>
    <w:rsid w:val="00916BD0"/>
    <w:rsid w:val="00917D7C"/>
    <w:rsid w:val="00920B9D"/>
    <w:rsid w:val="00920C1B"/>
    <w:rsid w:val="00921471"/>
    <w:rsid w:val="009237A2"/>
    <w:rsid w:val="00924CFE"/>
    <w:rsid w:val="00926816"/>
    <w:rsid w:val="00930273"/>
    <w:rsid w:val="00932184"/>
    <w:rsid w:val="0093246D"/>
    <w:rsid w:val="009326FB"/>
    <w:rsid w:val="00932767"/>
    <w:rsid w:val="00932C5A"/>
    <w:rsid w:val="009359B9"/>
    <w:rsid w:val="00935A0E"/>
    <w:rsid w:val="00937305"/>
    <w:rsid w:val="00937377"/>
    <w:rsid w:val="00937623"/>
    <w:rsid w:val="00940027"/>
    <w:rsid w:val="00940725"/>
    <w:rsid w:val="0094301D"/>
    <w:rsid w:val="009430C3"/>
    <w:rsid w:val="00944419"/>
    <w:rsid w:val="009444C6"/>
    <w:rsid w:val="00947BB1"/>
    <w:rsid w:val="0095056C"/>
    <w:rsid w:val="009512D0"/>
    <w:rsid w:val="00953CC2"/>
    <w:rsid w:val="00955D82"/>
    <w:rsid w:val="00956085"/>
    <w:rsid w:val="0095667A"/>
    <w:rsid w:val="00956CF4"/>
    <w:rsid w:val="00956E8F"/>
    <w:rsid w:val="00957594"/>
    <w:rsid w:val="00957CC3"/>
    <w:rsid w:val="00957E19"/>
    <w:rsid w:val="0096047F"/>
    <w:rsid w:val="00960BF1"/>
    <w:rsid w:val="009619B9"/>
    <w:rsid w:val="00961A85"/>
    <w:rsid w:val="00961DAE"/>
    <w:rsid w:val="0096293B"/>
    <w:rsid w:val="0096328A"/>
    <w:rsid w:val="0096535C"/>
    <w:rsid w:val="009669FB"/>
    <w:rsid w:val="00966C33"/>
    <w:rsid w:val="00966EF6"/>
    <w:rsid w:val="0096799C"/>
    <w:rsid w:val="00970A2D"/>
    <w:rsid w:val="00971E34"/>
    <w:rsid w:val="009721DF"/>
    <w:rsid w:val="009728BA"/>
    <w:rsid w:val="00974298"/>
    <w:rsid w:val="009742FA"/>
    <w:rsid w:val="0097583C"/>
    <w:rsid w:val="00975D2C"/>
    <w:rsid w:val="0097753B"/>
    <w:rsid w:val="009778E3"/>
    <w:rsid w:val="00977CA9"/>
    <w:rsid w:val="00980B12"/>
    <w:rsid w:val="00981B41"/>
    <w:rsid w:val="00981D80"/>
    <w:rsid w:val="00983557"/>
    <w:rsid w:val="009843DC"/>
    <w:rsid w:val="00984A90"/>
    <w:rsid w:val="00986280"/>
    <w:rsid w:val="00986488"/>
    <w:rsid w:val="00986DB7"/>
    <w:rsid w:val="009914DF"/>
    <w:rsid w:val="00991A8B"/>
    <w:rsid w:val="009924C1"/>
    <w:rsid w:val="00993941"/>
    <w:rsid w:val="00993D02"/>
    <w:rsid w:val="00993D50"/>
    <w:rsid w:val="009968C8"/>
    <w:rsid w:val="00996D7E"/>
    <w:rsid w:val="009976C4"/>
    <w:rsid w:val="00997862"/>
    <w:rsid w:val="009A2584"/>
    <w:rsid w:val="009A32F7"/>
    <w:rsid w:val="009A4C96"/>
    <w:rsid w:val="009A4FCB"/>
    <w:rsid w:val="009A5747"/>
    <w:rsid w:val="009B020B"/>
    <w:rsid w:val="009B02A3"/>
    <w:rsid w:val="009B083F"/>
    <w:rsid w:val="009B0F0C"/>
    <w:rsid w:val="009B1C37"/>
    <w:rsid w:val="009B1FF4"/>
    <w:rsid w:val="009B5912"/>
    <w:rsid w:val="009B5F2C"/>
    <w:rsid w:val="009B6482"/>
    <w:rsid w:val="009C0D07"/>
    <w:rsid w:val="009C1184"/>
    <w:rsid w:val="009C2107"/>
    <w:rsid w:val="009C3515"/>
    <w:rsid w:val="009C76F8"/>
    <w:rsid w:val="009D154B"/>
    <w:rsid w:val="009D234E"/>
    <w:rsid w:val="009D3554"/>
    <w:rsid w:val="009D3802"/>
    <w:rsid w:val="009D45C9"/>
    <w:rsid w:val="009D6A9A"/>
    <w:rsid w:val="009D6EC3"/>
    <w:rsid w:val="009E01C7"/>
    <w:rsid w:val="009E0B0B"/>
    <w:rsid w:val="009E1119"/>
    <w:rsid w:val="009E1F23"/>
    <w:rsid w:val="009E254D"/>
    <w:rsid w:val="009E3408"/>
    <w:rsid w:val="009E4C72"/>
    <w:rsid w:val="009E50DB"/>
    <w:rsid w:val="009E535A"/>
    <w:rsid w:val="009E5DB1"/>
    <w:rsid w:val="009F7404"/>
    <w:rsid w:val="00A00234"/>
    <w:rsid w:val="00A0175F"/>
    <w:rsid w:val="00A01F5C"/>
    <w:rsid w:val="00A02572"/>
    <w:rsid w:val="00A029B6"/>
    <w:rsid w:val="00A030D4"/>
    <w:rsid w:val="00A03877"/>
    <w:rsid w:val="00A100BD"/>
    <w:rsid w:val="00A106A7"/>
    <w:rsid w:val="00A10E92"/>
    <w:rsid w:val="00A120C3"/>
    <w:rsid w:val="00A128F0"/>
    <w:rsid w:val="00A13592"/>
    <w:rsid w:val="00A139C2"/>
    <w:rsid w:val="00A14C71"/>
    <w:rsid w:val="00A15285"/>
    <w:rsid w:val="00A166B6"/>
    <w:rsid w:val="00A20641"/>
    <w:rsid w:val="00A20E66"/>
    <w:rsid w:val="00A22336"/>
    <w:rsid w:val="00A2413F"/>
    <w:rsid w:val="00A26BA4"/>
    <w:rsid w:val="00A30C8E"/>
    <w:rsid w:val="00A30D9F"/>
    <w:rsid w:val="00A30EC8"/>
    <w:rsid w:val="00A32181"/>
    <w:rsid w:val="00A330BB"/>
    <w:rsid w:val="00A336B6"/>
    <w:rsid w:val="00A3376C"/>
    <w:rsid w:val="00A33990"/>
    <w:rsid w:val="00A35428"/>
    <w:rsid w:val="00A36251"/>
    <w:rsid w:val="00A41715"/>
    <w:rsid w:val="00A421A8"/>
    <w:rsid w:val="00A4269C"/>
    <w:rsid w:val="00A45A71"/>
    <w:rsid w:val="00A47295"/>
    <w:rsid w:val="00A5069F"/>
    <w:rsid w:val="00A50DC6"/>
    <w:rsid w:val="00A52639"/>
    <w:rsid w:val="00A53906"/>
    <w:rsid w:val="00A54133"/>
    <w:rsid w:val="00A54465"/>
    <w:rsid w:val="00A5568C"/>
    <w:rsid w:val="00A5644B"/>
    <w:rsid w:val="00A56B50"/>
    <w:rsid w:val="00A56FAA"/>
    <w:rsid w:val="00A574AC"/>
    <w:rsid w:val="00A57834"/>
    <w:rsid w:val="00A61110"/>
    <w:rsid w:val="00A62403"/>
    <w:rsid w:val="00A6301A"/>
    <w:rsid w:val="00A63997"/>
    <w:rsid w:val="00A64AA8"/>
    <w:rsid w:val="00A659F7"/>
    <w:rsid w:val="00A66944"/>
    <w:rsid w:val="00A67C48"/>
    <w:rsid w:val="00A71542"/>
    <w:rsid w:val="00A72639"/>
    <w:rsid w:val="00A733B0"/>
    <w:rsid w:val="00A73731"/>
    <w:rsid w:val="00A73CB6"/>
    <w:rsid w:val="00A749F6"/>
    <w:rsid w:val="00A77242"/>
    <w:rsid w:val="00A77EB2"/>
    <w:rsid w:val="00A80C9E"/>
    <w:rsid w:val="00A80F02"/>
    <w:rsid w:val="00A8172A"/>
    <w:rsid w:val="00A81A0A"/>
    <w:rsid w:val="00A83EA0"/>
    <w:rsid w:val="00A8417F"/>
    <w:rsid w:val="00A844A5"/>
    <w:rsid w:val="00A84817"/>
    <w:rsid w:val="00A84CD7"/>
    <w:rsid w:val="00A8615E"/>
    <w:rsid w:val="00A87060"/>
    <w:rsid w:val="00A8734A"/>
    <w:rsid w:val="00A90444"/>
    <w:rsid w:val="00A90F59"/>
    <w:rsid w:val="00A93679"/>
    <w:rsid w:val="00A966AA"/>
    <w:rsid w:val="00A9760F"/>
    <w:rsid w:val="00A97652"/>
    <w:rsid w:val="00AA0606"/>
    <w:rsid w:val="00AA073C"/>
    <w:rsid w:val="00AA0D54"/>
    <w:rsid w:val="00AA1BCE"/>
    <w:rsid w:val="00AA1F3F"/>
    <w:rsid w:val="00AA2049"/>
    <w:rsid w:val="00AA2D61"/>
    <w:rsid w:val="00AA3527"/>
    <w:rsid w:val="00AA4423"/>
    <w:rsid w:val="00AA5C46"/>
    <w:rsid w:val="00AA6522"/>
    <w:rsid w:val="00AA6C9E"/>
    <w:rsid w:val="00AA7419"/>
    <w:rsid w:val="00AA7AE3"/>
    <w:rsid w:val="00AB245A"/>
    <w:rsid w:val="00AB2A4F"/>
    <w:rsid w:val="00AB2E17"/>
    <w:rsid w:val="00AB3780"/>
    <w:rsid w:val="00AB4486"/>
    <w:rsid w:val="00AB50AB"/>
    <w:rsid w:val="00AB540C"/>
    <w:rsid w:val="00AB5AF8"/>
    <w:rsid w:val="00AB6312"/>
    <w:rsid w:val="00AB66EF"/>
    <w:rsid w:val="00AB6D17"/>
    <w:rsid w:val="00AB7934"/>
    <w:rsid w:val="00AC1BF8"/>
    <w:rsid w:val="00AC2669"/>
    <w:rsid w:val="00AC336F"/>
    <w:rsid w:val="00AC39FC"/>
    <w:rsid w:val="00AC6550"/>
    <w:rsid w:val="00AC7A6B"/>
    <w:rsid w:val="00AD0252"/>
    <w:rsid w:val="00AD0D29"/>
    <w:rsid w:val="00AD1329"/>
    <w:rsid w:val="00AD2A6B"/>
    <w:rsid w:val="00AD4DA5"/>
    <w:rsid w:val="00AD6EFA"/>
    <w:rsid w:val="00AD7554"/>
    <w:rsid w:val="00AE0C64"/>
    <w:rsid w:val="00AE13D6"/>
    <w:rsid w:val="00AE4E0E"/>
    <w:rsid w:val="00AE55D9"/>
    <w:rsid w:val="00AE5ACA"/>
    <w:rsid w:val="00AE642E"/>
    <w:rsid w:val="00AE78EA"/>
    <w:rsid w:val="00AF1C19"/>
    <w:rsid w:val="00AF739A"/>
    <w:rsid w:val="00B01589"/>
    <w:rsid w:val="00B03678"/>
    <w:rsid w:val="00B038C2"/>
    <w:rsid w:val="00B04622"/>
    <w:rsid w:val="00B04C08"/>
    <w:rsid w:val="00B04FA9"/>
    <w:rsid w:val="00B05109"/>
    <w:rsid w:val="00B0590C"/>
    <w:rsid w:val="00B06722"/>
    <w:rsid w:val="00B06734"/>
    <w:rsid w:val="00B07390"/>
    <w:rsid w:val="00B1027E"/>
    <w:rsid w:val="00B12FFA"/>
    <w:rsid w:val="00B14CBC"/>
    <w:rsid w:val="00B17D14"/>
    <w:rsid w:val="00B20339"/>
    <w:rsid w:val="00B23065"/>
    <w:rsid w:val="00B24943"/>
    <w:rsid w:val="00B26179"/>
    <w:rsid w:val="00B269EB"/>
    <w:rsid w:val="00B271B7"/>
    <w:rsid w:val="00B2778E"/>
    <w:rsid w:val="00B278E8"/>
    <w:rsid w:val="00B317A3"/>
    <w:rsid w:val="00B328CA"/>
    <w:rsid w:val="00B3295F"/>
    <w:rsid w:val="00B32E64"/>
    <w:rsid w:val="00B3309B"/>
    <w:rsid w:val="00B34450"/>
    <w:rsid w:val="00B34FEE"/>
    <w:rsid w:val="00B36D27"/>
    <w:rsid w:val="00B40629"/>
    <w:rsid w:val="00B40DAC"/>
    <w:rsid w:val="00B41AAA"/>
    <w:rsid w:val="00B429A8"/>
    <w:rsid w:val="00B43695"/>
    <w:rsid w:val="00B445A5"/>
    <w:rsid w:val="00B4673B"/>
    <w:rsid w:val="00B47189"/>
    <w:rsid w:val="00B47E66"/>
    <w:rsid w:val="00B507A4"/>
    <w:rsid w:val="00B5100F"/>
    <w:rsid w:val="00B52854"/>
    <w:rsid w:val="00B53C3B"/>
    <w:rsid w:val="00B53FE8"/>
    <w:rsid w:val="00B54178"/>
    <w:rsid w:val="00B5417C"/>
    <w:rsid w:val="00B553C3"/>
    <w:rsid w:val="00B55663"/>
    <w:rsid w:val="00B568EA"/>
    <w:rsid w:val="00B5708D"/>
    <w:rsid w:val="00B57609"/>
    <w:rsid w:val="00B603FC"/>
    <w:rsid w:val="00B635A5"/>
    <w:rsid w:val="00B65031"/>
    <w:rsid w:val="00B659F6"/>
    <w:rsid w:val="00B66A6A"/>
    <w:rsid w:val="00B66C0F"/>
    <w:rsid w:val="00B679FE"/>
    <w:rsid w:val="00B7165F"/>
    <w:rsid w:val="00B7214F"/>
    <w:rsid w:val="00B73229"/>
    <w:rsid w:val="00B747BE"/>
    <w:rsid w:val="00B75236"/>
    <w:rsid w:val="00B77200"/>
    <w:rsid w:val="00B80CF4"/>
    <w:rsid w:val="00B8142C"/>
    <w:rsid w:val="00B81FA3"/>
    <w:rsid w:val="00B834AA"/>
    <w:rsid w:val="00B850F8"/>
    <w:rsid w:val="00B85325"/>
    <w:rsid w:val="00B8532F"/>
    <w:rsid w:val="00B86EA3"/>
    <w:rsid w:val="00B86EB1"/>
    <w:rsid w:val="00B87A05"/>
    <w:rsid w:val="00B91D45"/>
    <w:rsid w:val="00B922BF"/>
    <w:rsid w:val="00B9284B"/>
    <w:rsid w:val="00B96D60"/>
    <w:rsid w:val="00B97332"/>
    <w:rsid w:val="00B97FEB"/>
    <w:rsid w:val="00BA21D0"/>
    <w:rsid w:val="00BA363A"/>
    <w:rsid w:val="00BA410A"/>
    <w:rsid w:val="00BA5233"/>
    <w:rsid w:val="00BA6682"/>
    <w:rsid w:val="00BA66F9"/>
    <w:rsid w:val="00BB0CF5"/>
    <w:rsid w:val="00BB1751"/>
    <w:rsid w:val="00BB1FE6"/>
    <w:rsid w:val="00BB5746"/>
    <w:rsid w:val="00BC0A82"/>
    <w:rsid w:val="00BC1B82"/>
    <w:rsid w:val="00BC398E"/>
    <w:rsid w:val="00BC435E"/>
    <w:rsid w:val="00BC4757"/>
    <w:rsid w:val="00BC5E79"/>
    <w:rsid w:val="00BC5ED7"/>
    <w:rsid w:val="00BC7679"/>
    <w:rsid w:val="00BD16E6"/>
    <w:rsid w:val="00BD1EC2"/>
    <w:rsid w:val="00BD2529"/>
    <w:rsid w:val="00BD270F"/>
    <w:rsid w:val="00BD42D4"/>
    <w:rsid w:val="00BD45CE"/>
    <w:rsid w:val="00BD45FA"/>
    <w:rsid w:val="00BD5243"/>
    <w:rsid w:val="00BD61A1"/>
    <w:rsid w:val="00BD70C8"/>
    <w:rsid w:val="00BE1666"/>
    <w:rsid w:val="00BE56F6"/>
    <w:rsid w:val="00BE5C6A"/>
    <w:rsid w:val="00BE6420"/>
    <w:rsid w:val="00BE652D"/>
    <w:rsid w:val="00BE70F1"/>
    <w:rsid w:val="00BE768E"/>
    <w:rsid w:val="00BE76B9"/>
    <w:rsid w:val="00BF0890"/>
    <w:rsid w:val="00BF17C5"/>
    <w:rsid w:val="00BF2809"/>
    <w:rsid w:val="00BF49FA"/>
    <w:rsid w:val="00BF4A1D"/>
    <w:rsid w:val="00BF4C04"/>
    <w:rsid w:val="00C00818"/>
    <w:rsid w:val="00C03453"/>
    <w:rsid w:val="00C042A0"/>
    <w:rsid w:val="00C07D9D"/>
    <w:rsid w:val="00C10A23"/>
    <w:rsid w:val="00C10AE5"/>
    <w:rsid w:val="00C10C16"/>
    <w:rsid w:val="00C127DE"/>
    <w:rsid w:val="00C138E1"/>
    <w:rsid w:val="00C145CC"/>
    <w:rsid w:val="00C1548A"/>
    <w:rsid w:val="00C16548"/>
    <w:rsid w:val="00C16AF4"/>
    <w:rsid w:val="00C1733A"/>
    <w:rsid w:val="00C17675"/>
    <w:rsid w:val="00C20C2E"/>
    <w:rsid w:val="00C214DE"/>
    <w:rsid w:val="00C24742"/>
    <w:rsid w:val="00C26229"/>
    <w:rsid w:val="00C27FB2"/>
    <w:rsid w:val="00C312D3"/>
    <w:rsid w:val="00C31FD6"/>
    <w:rsid w:val="00C34444"/>
    <w:rsid w:val="00C37B42"/>
    <w:rsid w:val="00C40612"/>
    <w:rsid w:val="00C428A3"/>
    <w:rsid w:val="00C430CF"/>
    <w:rsid w:val="00C43137"/>
    <w:rsid w:val="00C43587"/>
    <w:rsid w:val="00C4410E"/>
    <w:rsid w:val="00C4415E"/>
    <w:rsid w:val="00C452B7"/>
    <w:rsid w:val="00C47BAA"/>
    <w:rsid w:val="00C50CF7"/>
    <w:rsid w:val="00C51386"/>
    <w:rsid w:val="00C51A76"/>
    <w:rsid w:val="00C54923"/>
    <w:rsid w:val="00C55CE9"/>
    <w:rsid w:val="00C5759C"/>
    <w:rsid w:val="00C57A84"/>
    <w:rsid w:val="00C608F9"/>
    <w:rsid w:val="00C6153A"/>
    <w:rsid w:val="00C631E2"/>
    <w:rsid w:val="00C644E3"/>
    <w:rsid w:val="00C6564C"/>
    <w:rsid w:val="00C66408"/>
    <w:rsid w:val="00C70B6D"/>
    <w:rsid w:val="00C71E9F"/>
    <w:rsid w:val="00C74442"/>
    <w:rsid w:val="00C75162"/>
    <w:rsid w:val="00C762D9"/>
    <w:rsid w:val="00C762FA"/>
    <w:rsid w:val="00C76C0B"/>
    <w:rsid w:val="00C7724E"/>
    <w:rsid w:val="00C84E10"/>
    <w:rsid w:val="00C866F3"/>
    <w:rsid w:val="00C86D00"/>
    <w:rsid w:val="00C87CB0"/>
    <w:rsid w:val="00C87F25"/>
    <w:rsid w:val="00C900D3"/>
    <w:rsid w:val="00C90C64"/>
    <w:rsid w:val="00C96AE4"/>
    <w:rsid w:val="00C96B93"/>
    <w:rsid w:val="00C976F6"/>
    <w:rsid w:val="00CA16AF"/>
    <w:rsid w:val="00CA2C2C"/>
    <w:rsid w:val="00CA2D07"/>
    <w:rsid w:val="00CA34F2"/>
    <w:rsid w:val="00CA4014"/>
    <w:rsid w:val="00CA433D"/>
    <w:rsid w:val="00CA4BC2"/>
    <w:rsid w:val="00CA588F"/>
    <w:rsid w:val="00CA5E6B"/>
    <w:rsid w:val="00CA7BCB"/>
    <w:rsid w:val="00CB2066"/>
    <w:rsid w:val="00CB3B37"/>
    <w:rsid w:val="00CB3E32"/>
    <w:rsid w:val="00CB52B1"/>
    <w:rsid w:val="00CB5AB2"/>
    <w:rsid w:val="00CB5D36"/>
    <w:rsid w:val="00CB618B"/>
    <w:rsid w:val="00CB78EB"/>
    <w:rsid w:val="00CC4853"/>
    <w:rsid w:val="00CC7DB0"/>
    <w:rsid w:val="00CD069B"/>
    <w:rsid w:val="00CD13EF"/>
    <w:rsid w:val="00CD2D5E"/>
    <w:rsid w:val="00CD37E1"/>
    <w:rsid w:val="00CD4709"/>
    <w:rsid w:val="00CD4D1E"/>
    <w:rsid w:val="00CD61E8"/>
    <w:rsid w:val="00CD68E9"/>
    <w:rsid w:val="00CD7485"/>
    <w:rsid w:val="00CE01A9"/>
    <w:rsid w:val="00CE097A"/>
    <w:rsid w:val="00CE0B59"/>
    <w:rsid w:val="00CE2271"/>
    <w:rsid w:val="00CE56FE"/>
    <w:rsid w:val="00CE5EC7"/>
    <w:rsid w:val="00CE7954"/>
    <w:rsid w:val="00CF4E08"/>
    <w:rsid w:val="00CF5F22"/>
    <w:rsid w:val="00D000B3"/>
    <w:rsid w:val="00D00659"/>
    <w:rsid w:val="00D00950"/>
    <w:rsid w:val="00D01454"/>
    <w:rsid w:val="00D01D21"/>
    <w:rsid w:val="00D022C5"/>
    <w:rsid w:val="00D039F2"/>
    <w:rsid w:val="00D10BE8"/>
    <w:rsid w:val="00D11DEF"/>
    <w:rsid w:val="00D13A79"/>
    <w:rsid w:val="00D1639D"/>
    <w:rsid w:val="00D17D66"/>
    <w:rsid w:val="00D205E3"/>
    <w:rsid w:val="00D22546"/>
    <w:rsid w:val="00D2276F"/>
    <w:rsid w:val="00D238B3"/>
    <w:rsid w:val="00D24F02"/>
    <w:rsid w:val="00D31A7F"/>
    <w:rsid w:val="00D3267B"/>
    <w:rsid w:val="00D32B59"/>
    <w:rsid w:val="00D32C00"/>
    <w:rsid w:val="00D33912"/>
    <w:rsid w:val="00D34B4D"/>
    <w:rsid w:val="00D35AF2"/>
    <w:rsid w:val="00D36490"/>
    <w:rsid w:val="00D371E2"/>
    <w:rsid w:val="00D37439"/>
    <w:rsid w:val="00D40244"/>
    <w:rsid w:val="00D4053A"/>
    <w:rsid w:val="00D4139F"/>
    <w:rsid w:val="00D41CCB"/>
    <w:rsid w:val="00D429C1"/>
    <w:rsid w:val="00D437F6"/>
    <w:rsid w:val="00D4480D"/>
    <w:rsid w:val="00D45FB7"/>
    <w:rsid w:val="00D46784"/>
    <w:rsid w:val="00D47372"/>
    <w:rsid w:val="00D5106B"/>
    <w:rsid w:val="00D52CE1"/>
    <w:rsid w:val="00D52FFD"/>
    <w:rsid w:val="00D533FB"/>
    <w:rsid w:val="00D545BB"/>
    <w:rsid w:val="00D55AA0"/>
    <w:rsid w:val="00D55ABA"/>
    <w:rsid w:val="00D561FA"/>
    <w:rsid w:val="00D5622A"/>
    <w:rsid w:val="00D571A3"/>
    <w:rsid w:val="00D57BD1"/>
    <w:rsid w:val="00D6021A"/>
    <w:rsid w:val="00D61ACA"/>
    <w:rsid w:val="00D62F99"/>
    <w:rsid w:val="00D64AAD"/>
    <w:rsid w:val="00D65AD3"/>
    <w:rsid w:val="00D660E3"/>
    <w:rsid w:val="00D667CC"/>
    <w:rsid w:val="00D711F2"/>
    <w:rsid w:val="00D723CD"/>
    <w:rsid w:val="00D74B25"/>
    <w:rsid w:val="00D74DFB"/>
    <w:rsid w:val="00D77574"/>
    <w:rsid w:val="00D80903"/>
    <w:rsid w:val="00D8158A"/>
    <w:rsid w:val="00D82867"/>
    <w:rsid w:val="00D82BBC"/>
    <w:rsid w:val="00D84B87"/>
    <w:rsid w:val="00D84D1A"/>
    <w:rsid w:val="00D85150"/>
    <w:rsid w:val="00D85955"/>
    <w:rsid w:val="00D85F4F"/>
    <w:rsid w:val="00D8645F"/>
    <w:rsid w:val="00D87B03"/>
    <w:rsid w:val="00D92456"/>
    <w:rsid w:val="00D939F7"/>
    <w:rsid w:val="00D94BC3"/>
    <w:rsid w:val="00D95525"/>
    <w:rsid w:val="00D95652"/>
    <w:rsid w:val="00D95DB6"/>
    <w:rsid w:val="00D95F61"/>
    <w:rsid w:val="00D96608"/>
    <w:rsid w:val="00DA22F3"/>
    <w:rsid w:val="00DA230D"/>
    <w:rsid w:val="00DA2EAA"/>
    <w:rsid w:val="00DA39BE"/>
    <w:rsid w:val="00DA4F89"/>
    <w:rsid w:val="00DA5B07"/>
    <w:rsid w:val="00DA66B9"/>
    <w:rsid w:val="00DA6B87"/>
    <w:rsid w:val="00DA735E"/>
    <w:rsid w:val="00DB03F3"/>
    <w:rsid w:val="00DB086F"/>
    <w:rsid w:val="00DB3479"/>
    <w:rsid w:val="00DB4518"/>
    <w:rsid w:val="00DB5276"/>
    <w:rsid w:val="00DB5EE1"/>
    <w:rsid w:val="00DB5F65"/>
    <w:rsid w:val="00DB6166"/>
    <w:rsid w:val="00DB6F6F"/>
    <w:rsid w:val="00DB7287"/>
    <w:rsid w:val="00DC0F91"/>
    <w:rsid w:val="00DC0FCE"/>
    <w:rsid w:val="00DC135F"/>
    <w:rsid w:val="00DC22D7"/>
    <w:rsid w:val="00DC28A0"/>
    <w:rsid w:val="00DC2A4B"/>
    <w:rsid w:val="00DC3D69"/>
    <w:rsid w:val="00DC51F5"/>
    <w:rsid w:val="00DD1604"/>
    <w:rsid w:val="00DD265D"/>
    <w:rsid w:val="00DD3ACB"/>
    <w:rsid w:val="00DD72A9"/>
    <w:rsid w:val="00DE1996"/>
    <w:rsid w:val="00DE2021"/>
    <w:rsid w:val="00DE2427"/>
    <w:rsid w:val="00DE57C5"/>
    <w:rsid w:val="00DE61B7"/>
    <w:rsid w:val="00DE688B"/>
    <w:rsid w:val="00DE701E"/>
    <w:rsid w:val="00DE7247"/>
    <w:rsid w:val="00DE7AC5"/>
    <w:rsid w:val="00DE7C06"/>
    <w:rsid w:val="00DF06E8"/>
    <w:rsid w:val="00DF10BF"/>
    <w:rsid w:val="00DF15DB"/>
    <w:rsid w:val="00DF21A3"/>
    <w:rsid w:val="00DF4C5E"/>
    <w:rsid w:val="00E00F64"/>
    <w:rsid w:val="00E02369"/>
    <w:rsid w:val="00E042E0"/>
    <w:rsid w:val="00E04F76"/>
    <w:rsid w:val="00E06317"/>
    <w:rsid w:val="00E07540"/>
    <w:rsid w:val="00E07CF2"/>
    <w:rsid w:val="00E10F3C"/>
    <w:rsid w:val="00E12A46"/>
    <w:rsid w:val="00E14669"/>
    <w:rsid w:val="00E14E89"/>
    <w:rsid w:val="00E17736"/>
    <w:rsid w:val="00E204A8"/>
    <w:rsid w:val="00E20E6C"/>
    <w:rsid w:val="00E219D8"/>
    <w:rsid w:val="00E22721"/>
    <w:rsid w:val="00E24B19"/>
    <w:rsid w:val="00E2601C"/>
    <w:rsid w:val="00E26084"/>
    <w:rsid w:val="00E2717B"/>
    <w:rsid w:val="00E34B2F"/>
    <w:rsid w:val="00E34F4F"/>
    <w:rsid w:val="00E35894"/>
    <w:rsid w:val="00E36EBA"/>
    <w:rsid w:val="00E419F5"/>
    <w:rsid w:val="00E41E9C"/>
    <w:rsid w:val="00E42C9E"/>
    <w:rsid w:val="00E449F0"/>
    <w:rsid w:val="00E44B25"/>
    <w:rsid w:val="00E479BB"/>
    <w:rsid w:val="00E505BB"/>
    <w:rsid w:val="00E510F7"/>
    <w:rsid w:val="00E5195B"/>
    <w:rsid w:val="00E51AE9"/>
    <w:rsid w:val="00E54E58"/>
    <w:rsid w:val="00E5587A"/>
    <w:rsid w:val="00E55A98"/>
    <w:rsid w:val="00E56239"/>
    <w:rsid w:val="00E577C4"/>
    <w:rsid w:val="00E57FE9"/>
    <w:rsid w:val="00E6010E"/>
    <w:rsid w:val="00E61593"/>
    <w:rsid w:val="00E61895"/>
    <w:rsid w:val="00E628C1"/>
    <w:rsid w:val="00E63869"/>
    <w:rsid w:val="00E641E7"/>
    <w:rsid w:val="00E64CCB"/>
    <w:rsid w:val="00E66BCF"/>
    <w:rsid w:val="00E67634"/>
    <w:rsid w:val="00E6779F"/>
    <w:rsid w:val="00E70742"/>
    <w:rsid w:val="00E710CD"/>
    <w:rsid w:val="00E71FA3"/>
    <w:rsid w:val="00E725A4"/>
    <w:rsid w:val="00E72B34"/>
    <w:rsid w:val="00E738F4"/>
    <w:rsid w:val="00E7597C"/>
    <w:rsid w:val="00E800EC"/>
    <w:rsid w:val="00E80613"/>
    <w:rsid w:val="00E81D04"/>
    <w:rsid w:val="00E82EEE"/>
    <w:rsid w:val="00E83258"/>
    <w:rsid w:val="00E83B6E"/>
    <w:rsid w:val="00E845B2"/>
    <w:rsid w:val="00E84A38"/>
    <w:rsid w:val="00E862BC"/>
    <w:rsid w:val="00E900D7"/>
    <w:rsid w:val="00E905DB"/>
    <w:rsid w:val="00E90D77"/>
    <w:rsid w:val="00E910F3"/>
    <w:rsid w:val="00E91ADD"/>
    <w:rsid w:val="00E925EB"/>
    <w:rsid w:val="00E92BA1"/>
    <w:rsid w:val="00E93CA6"/>
    <w:rsid w:val="00E94F39"/>
    <w:rsid w:val="00E96C4C"/>
    <w:rsid w:val="00E97A8A"/>
    <w:rsid w:val="00EA3564"/>
    <w:rsid w:val="00EA726E"/>
    <w:rsid w:val="00EA73F2"/>
    <w:rsid w:val="00EB00C5"/>
    <w:rsid w:val="00EB0639"/>
    <w:rsid w:val="00EB30BC"/>
    <w:rsid w:val="00EB3EDA"/>
    <w:rsid w:val="00EC0F4F"/>
    <w:rsid w:val="00EC0FC7"/>
    <w:rsid w:val="00EC4EEC"/>
    <w:rsid w:val="00EC643E"/>
    <w:rsid w:val="00EC6FEA"/>
    <w:rsid w:val="00EC779F"/>
    <w:rsid w:val="00ED0A5C"/>
    <w:rsid w:val="00ED0C23"/>
    <w:rsid w:val="00ED5124"/>
    <w:rsid w:val="00ED6BF0"/>
    <w:rsid w:val="00ED785C"/>
    <w:rsid w:val="00ED7EFC"/>
    <w:rsid w:val="00EE01B8"/>
    <w:rsid w:val="00EE06D4"/>
    <w:rsid w:val="00EE0BA6"/>
    <w:rsid w:val="00EE1358"/>
    <w:rsid w:val="00EE1847"/>
    <w:rsid w:val="00EE20D8"/>
    <w:rsid w:val="00EE25F9"/>
    <w:rsid w:val="00EE2BEC"/>
    <w:rsid w:val="00EE3AEC"/>
    <w:rsid w:val="00EE514A"/>
    <w:rsid w:val="00EE5882"/>
    <w:rsid w:val="00EE6217"/>
    <w:rsid w:val="00EE6870"/>
    <w:rsid w:val="00EE74EE"/>
    <w:rsid w:val="00EE795E"/>
    <w:rsid w:val="00EF1063"/>
    <w:rsid w:val="00EF10AD"/>
    <w:rsid w:val="00EF1145"/>
    <w:rsid w:val="00EF1240"/>
    <w:rsid w:val="00EF182D"/>
    <w:rsid w:val="00EF2B2F"/>
    <w:rsid w:val="00EF3188"/>
    <w:rsid w:val="00EF47DF"/>
    <w:rsid w:val="00EF4EC1"/>
    <w:rsid w:val="00EF74F8"/>
    <w:rsid w:val="00F0165D"/>
    <w:rsid w:val="00F01907"/>
    <w:rsid w:val="00F04C40"/>
    <w:rsid w:val="00F05EA5"/>
    <w:rsid w:val="00F102A2"/>
    <w:rsid w:val="00F111D5"/>
    <w:rsid w:val="00F14C5C"/>
    <w:rsid w:val="00F15CF1"/>
    <w:rsid w:val="00F209C2"/>
    <w:rsid w:val="00F20A59"/>
    <w:rsid w:val="00F22AD2"/>
    <w:rsid w:val="00F22E4D"/>
    <w:rsid w:val="00F23233"/>
    <w:rsid w:val="00F2354C"/>
    <w:rsid w:val="00F242F8"/>
    <w:rsid w:val="00F269CA"/>
    <w:rsid w:val="00F26B3A"/>
    <w:rsid w:val="00F26EC9"/>
    <w:rsid w:val="00F27211"/>
    <w:rsid w:val="00F274B9"/>
    <w:rsid w:val="00F27857"/>
    <w:rsid w:val="00F303A3"/>
    <w:rsid w:val="00F311A2"/>
    <w:rsid w:val="00F32259"/>
    <w:rsid w:val="00F32A2D"/>
    <w:rsid w:val="00F32AA4"/>
    <w:rsid w:val="00F3383E"/>
    <w:rsid w:val="00F36A88"/>
    <w:rsid w:val="00F36E25"/>
    <w:rsid w:val="00F408F3"/>
    <w:rsid w:val="00F41AEF"/>
    <w:rsid w:val="00F43562"/>
    <w:rsid w:val="00F435CB"/>
    <w:rsid w:val="00F45B25"/>
    <w:rsid w:val="00F46A36"/>
    <w:rsid w:val="00F46B0B"/>
    <w:rsid w:val="00F47524"/>
    <w:rsid w:val="00F51415"/>
    <w:rsid w:val="00F5177E"/>
    <w:rsid w:val="00F520B0"/>
    <w:rsid w:val="00F55B0E"/>
    <w:rsid w:val="00F56A17"/>
    <w:rsid w:val="00F5783A"/>
    <w:rsid w:val="00F60BF6"/>
    <w:rsid w:val="00F6138E"/>
    <w:rsid w:val="00F620B9"/>
    <w:rsid w:val="00F62EF9"/>
    <w:rsid w:val="00F63524"/>
    <w:rsid w:val="00F64A36"/>
    <w:rsid w:val="00F66B91"/>
    <w:rsid w:val="00F70B7C"/>
    <w:rsid w:val="00F71689"/>
    <w:rsid w:val="00F717DB"/>
    <w:rsid w:val="00F7195C"/>
    <w:rsid w:val="00F71D8B"/>
    <w:rsid w:val="00F74713"/>
    <w:rsid w:val="00F74D35"/>
    <w:rsid w:val="00F800FB"/>
    <w:rsid w:val="00F80369"/>
    <w:rsid w:val="00F81305"/>
    <w:rsid w:val="00F82BE6"/>
    <w:rsid w:val="00F84853"/>
    <w:rsid w:val="00F85D32"/>
    <w:rsid w:val="00F86890"/>
    <w:rsid w:val="00F86CBB"/>
    <w:rsid w:val="00F90619"/>
    <w:rsid w:val="00F91395"/>
    <w:rsid w:val="00F913C3"/>
    <w:rsid w:val="00F91848"/>
    <w:rsid w:val="00F94059"/>
    <w:rsid w:val="00F945EC"/>
    <w:rsid w:val="00F94A55"/>
    <w:rsid w:val="00F9709E"/>
    <w:rsid w:val="00F97CBC"/>
    <w:rsid w:val="00F97D3C"/>
    <w:rsid w:val="00FA13E6"/>
    <w:rsid w:val="00FA31C0"/>
    <w:rsid w:val="00FA4BFF"/>
    <w:rsid w:val="00FA5ED6"/>
    <w:rsid w:val="00FA6584"/>
    <w:rsid w:val="00FA6825"/>
    <w:rsid w:val="00FA76DC"/>
    <w:rsid w:val="00FB0984"/>
    <w:rsid w:val="00FB259E"/>
    <w:rsid w:val="00FB3E36"/>
    <w:rsid w:val="00FB6999"/>
    <w:rsid w:val="00FC34B6"/>
    <w:rsid w:val="00FC451C"/>
    <w:rsid w:val="00FC5C95"/>
    <w:rsid w:val="00FC6237"/>
    <w:rsid w:val="00FD0300"/>
    <w:rsid w:val="00FD1FA5"/>
    <w:rsid w:val="00FD22F7"/>
    <w:rsid w:val="00FD2AD5"/>
    <w:rsid w:val="00FD3722"/>
    <w:rsid w:val="00FD4057"/>
    <w:rsid w:val="00FD5944"/>
    <w:rsid w:val="00FD5B17"/>
    <w:rsid w:val="00FD74E0"/>
    <w:rsid w:val="00FD7D0D"/>
    <w:rsid w:val="00FE0FBD"/>
    <w:rsid w:val="00FE127A"/>
    <w:rsid w:val="00FE1EDE"/>
    <w:rsid w:val="00FE2139"/>
    <w:rsid w:val="00FE381F"/>
    <w:rsid w:val="00FE3A22"/>
    <w:rsid w:val="00FE457C"/>
    <w:rsid w:val="00FE4A64"/>
    <w:rsid w:val="00FE58D9"/>
    <w:rsid w:val="00FE5A95"/>
    <w:rsid w:val="00FE6226"/>
    <w:rsid w:val="00FF2423"/>
    <w:rsid w:val="00FF311B"/>
    <w:rsid w:val="00FF44E9"/>
    <w:rsid w:val="00FF49CA"/>
    <w:rsid w:val="00FF533A"/>
    <w:rsid w:val="00FF5ED0"/>
    <w:rsid w:val="00FF732D"/>
    <w:rsid w:val="00FF7D31"/>
    <w:rsid w:val="00FF7EA8"/>
    <w:rsid w:val="021A8EFD"/>
    <w:rsid w:val="021F50DD"/>
    <w:rsid w:val="03CDBCB7"/>
    <w:rsid w:val="06246F69"/>
    <w:rsid w:val="0907B511"/>
    <w:rsid w:val="0A106AF8"/>
    <w:rsid w:val="0A92881D"/>
    <w:rsid w:val="0AF9B218"/>
    <w:rsid w:val="0D711F9E"/>
    <w:rsid w:val="10148C22"/>
    <w:rsid w:val="12AAC59C"/>
    <w:rsid w:val="133E8FDD"/>
    <w:rsid w:val="1350FE60"/>
    <w:rsid w:val="136D9CF5"/>
    <w:rsid w:val="13D1DA40"/>
    <w:rsid w:val="15D6DE62"/>
    <w:rsid w:val="161308C4"/>
    <w:rsid w:val="172A01C7"/>
    <w:rsid w:val="18242012"/>
    <w:rsid w:val="182EB463"/>
    <w:rsid w:val="1AAE672B"/>
    <w:rsid w:val="1ABCC824"/>
    <w:rsid w:val="1B77B32B"/>
    <w:rsid w:val="1C2B193C"/>
    <w:rsid w:val="1FF8F7F3"/>
    <w:rsid w:val="210348E8"/>
    <w:rsid w:val="2201AA46"/>
    <w:rsid w:val="22298CBD"/>
    <w:rsid w:val="261940FB"/>
    <w:rsid w:val="26FC2A09"/>
    <w:rsid w:val="289DCA16"/>
    <w:rsid w:val="2B0A7D17"/>
    <w:rsid w:val="2DA3CB08"/>
    <w:rsid w:val="2ED96AED"/>
    <w:rsid w:val="2FEC7FE6"/>
    <w:rsid w:val="321C1561"/>
    <w:rsid w:val="327F0949"/>
    <w:rsid w:val="33820D1C"/>
    <w:rsid w:val="339591FA"/>
    <w:rsid w:val="37999DB1"/>
    <w:rsid w:val="387EFC64"/>
    <w:rsid w:val="3935BFB0"/>
    <w:rsid w:val="3AF31324"/>
    <w:rsid w:val="3B740257"/>
    <w:rsid w:val="3C6C1964"/>
    <w:rsid w:val="3CB58A8C"/>
    <w:rsid w:val="402FCEB3"/>
    <w:rsid w:val="40399C9E"/>
    <w:rsid w:val="40EBB4B0"/>
    <w:rsid w:val="41E792E9"/>
    <w:rsid w:val="429E10B4"/>
    <w:rsid w:val="42F02774"/>
    <w:rsid w:val="44606C86"/>
    <w:rsid w:val="4500A436"/>
    <w:rsid w:val="46B25724"/>
    <w:rsid w:val="4AAE8F10"/>
    <w:rsid w:val="4ABC9607"/>
    <w:rsid w:val="4ACCF13B"/>
    <w:rsid w:val="4E8CBF51"/>
    <w:rsid w:val="5003376D"/>
    <w:rsid w:val="5267CCF3"/>
    <w:rsid w:val="53506EDC"/>
    <w:rsid w:val="53DD9B83"/>
    <w:rsid w:val="5426D254"/>
    <w:rsid w:val="569E4438"/>
    <w:rsid w:val="56A94B68"/>
    <w:rsid w:val="56E313D7"/>
    <w:rsid w:val="5873F88C"/>
    <w:rsid w:val="593CB4B3"/>
    <w:rsid w:val="59741CD0"/>
    <w:rsid w:val="597C030B"/>
    <w:rsid w:val="5B2237F4"/>
    <w:rsid w:val="5CA07A35"/>
    <w:rsid w:val="5CF83B43"/>
    <w:rsid w:val="5D4854D1"/>
    <w:rsid w:val="5DF8307F"/>
    <w:rsid w:val="5E119CF0"/>
    <w:rsid w:val="5F0AD5B0"/>
    <w:rsid w:val="5F6B246A"/>
    <w:rsid w:val="5FA3A1F1"/>
    <w:rsid w:val="60415F4F"/>
    <w:rsid w:val="61812D3E"/>
    <w:rsid w:val="6451FA04"/>
    <w:rsid w:val="65F9DB85"/>
    <w:rsid w:val="66E8DC33"/>
    <w:rsid w:val="68D70978"/>
    <w:rsid w:val="69F3DCFE"/>
    <w:rsid w:val="6A54EE7D"/>
    <w:rsid w:val="6AC92A0C"/>
    <w:rsid w:val="6D6CF7C0"/>
    <w:rsid w:val="6E024299"/>
    <w:rsid w:val="6ED7858F"/>
    <w:rsid w:val="711C24A1"/>
    <w:rsid w:val="72292DB5"/>
    <w:rsid w:val="75E9E2D8"/>
    <w:rsid w:val="76F6F04E"/>
    <w:rsid w:val="7760457E"/>
    <w:rsid w:val="77759828"/>
    <w:rsid w:val="777A8679"/>
    <w:rsid w:val="77AE38E0"/>
    <w:rsid w:val="7E0CBC2A"/>
    <w:rsid w:val="7FA0E7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C,Ref. de nota al pie 2,Appel note de bas de page,Footnotes refss,Fago Fußnotenzeichen,Nota a pie,Footnote symbol,Footnote,Char Car Car Car Ca,Ref. de nota al pie2,Nota de pie"/>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1,f Car"/>
    <w:link w:val="Textonotapie"/>
    <w:semiHidden/>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ar1,Footnote Text Char Char Char Char Car1,Footnote reference Car1,FA Fu Car1,Footnote Text Char Char Char Car1,Footnote Text Char Car1,texto de nota al pie Car,ft Car"/>
    <w:locked/>
    <w:rsid w:val="000942B0"/>
    <w:rPr>
      <w:lang w:val="es-ES" w:eastAsia="es-ES" w:bidi="ar-SA"/>
    </w:rPr>
  </w:style>
  <w:style w:type="paragraph" w:styleId="Encabezado">
    <w:name w:val="header"/>
    <w:basedOn w:val="Normal"/>
    <w:rsid w:val="00281EAE"/>
    <w:pPr>
      <w:tabs>
        <w:tab w:val="center" w:pos="4252"/>
        <w:tab w:val="right" w:pos="8504"/>
      </w:tabs>
    </w:pPr>
  </w:style>
  <w:style w:type="character" w:styleId="Refdecomentario">
    <w:name w:val="annotation reference"/>
    <w:semiHidden/>
    <w:rsid w:val="00B24943"/>
    <w:rPr>
      <w:sz w:val="16"/>
      <w:szCs w:val="16"/>
    </w:rPr>
  </w:style>
  <w:style w:type="paragraph" w:styleId="Textocomentario">
    <w:name w:val="annotation text"/>
    <w:basedOn w:val="Normal"/>
    <w:semiHidden/>
    <w:rsid w:val="00B24943"/>
  </w:style>
  <w:style w:type="paragraph" w:styleId="Asuntodelcomentario">
    <w:name w:val="annotation subject"/>
    <w:basedOn w:val="Textocomentario"/>
    <w:next w:val="Textocomentario"/>
    <w:semiHidden/>
    <w:rsid w:val="00B24943"/>
    <w:rPr>
      <w:b/>
      <w:bCs/>
    </w:rPr>
  </w:style>
  <w:style w:type="character" w:customStyle="1" w:styleId="apple-converted-space">
    <w:name w:val="apple-converted-space"/>
    <w:rsid w:val="00D55ABA"/>
  </w:style>
  <w:style w:type="character" w:styleId="Textoennegrita">
    <w:name w:val="Strong"/>
    <w:uiPriority w:val="22"/>
    <w:qFormat/>
    <w:rsid w:val="00D55ABA"/>
    <w:rPr>
      <w:b/>
      <w:bCs/>
    </w:rPr>
  </w:style>
  <w:style w:type="character" w:styleId="Hipervnculovisitado">
    <w:name w:val="FollowedHyperlink"/>
    <w:rsid w:val="00A20641"/>
    <w:rPr>
      <w:color w:val="954F72"/>
      <w:u w:val="single"/>
    </w:rPr>
  </w:style>
  <w:style w:type="character" w:customStyle="1" w:styleId="PiedepginaCar">
    <w:name w:val="Pie de página Car"/>
    <w:link w:val="Piedepgina"/>
    <w:uiPriority w:val="99"/>
    <w:rsid w:val="00504D1E"/>
    <w:rPr>
      <w:lang w:val="es-ES_tradnl"/>
    </w:rPr>
  </w:style>
  <w:style w:type="character" w:customStyle="1" w:styleId="TextoindependienteCar">
    <w:name w:val="Texto independiente Car"/>
    <w:link w:val="Textoindependiente"/>
    <w:rsid w:val="00E2601C"/>
    <w:rPr>
      <w:rFonts w:ascii="Verdana" w:hAnsi="Verdana"/>
      <w:spacing w:val="-3"/>
      <w:sz w:val="24"/>
      <w:lang w:val="es-ES_tradnl"/>
    </w:rPr>
  </w:style>
  <w:style w:type="paragraph" w:customStyle="1" w:styleId="Default">
    <w:name w:val="Default"/>
    <w:rsid w:val="004B672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960">
      <w:bodyDiv w:val="1"/>
      <w:marLeft w:val="0"/>
      <w:marRight w:val="0"/>
      <w:marTop w:val="0"/>
      <w:marBottom w:val="0"/>
      <w:divBdr>
        <w:top w:val="none" w:sz="0" w:space="0" w:color="auto"/>
        <w:left w:val="none" w:sz="0" w:space="0" w:color="auto"/>
        <w:bottom w:val="none" w:sz="0" w:space="0" w:color="auto"/>
        <w:right w:val="none" w:sz="0" w:space="0" w:color="auto"/>
      </w:divBdr>
      <w:divsChild>
        <w:div w:id="1860586892">
          <w:marLeft w:val="0"/>
          <w:marRight w:val="0"/>
          <w:marTop w:val="0"/>
          <w:marBottom w:val="0"/>
          <w:divBdr>
            <w:top w:val="none" w:sz="0" w:space="0" w:color="auto"/>
            <w:left w:val="none" w:sz="0" w:space="0" w:color="auto"/>
            <w:bottom w:val="none" w:sz="0" w:space="0" w:color="auto"/>
            <w:right w:val="none" w:sz="0" w:space="0" w:color="auto"/>
          </w:divBdr>
          <w:divsChild>
            <w:div w:id="1008750534">
              <w:marLeft w:val="0"/>
              <w:marRight w:val="0"/>
              <w:marTop w:val="0"/>
              <w:marBottom w:val="0"/>
              <w:divBdr>
                <w:top w:val="none" w:sz="0" w:space="0" w:color="auto"/>
                <w:left w:val="none" w:sz="0" w:space="0" w:color="auto"/>
                <w:bottom w:val="none" w:sz="0" w:space="0" w:color="auto"/>
                <w:right w:val="none" w:sz="0" w:space="0" w:color="auto"/>
              </w:divBdr>
            </w:div>
          </w:divsChild>
        </w:div>
        <w:div w:id="650523971">
          <w:marLeft w:val="0"/>
          <w:marRight w:val="0"/>
          <w:marTop w:val="0"/>
          <w:marBottom w:val="0"/>
          <w:divBdr>
            <w:top w:val="none" w:sz="0" w:space="0" w:color="auto"/>
            <w:left w:val="none" w:sz="0" w:space="0" w:color="auto"/>
            <w:bottom w:val="none" w:sz="0" w:space="0" w:color="auto"/>
            <w:right w:val="none" w:sz="0" w:space="0" w:color="auto"/>
          </w:divBdr>
          <w:divsChild>
            <w:div w:id="192118320">
              <w:marLeft w:val="0"/>
              <w:marRight w:val="0"/>
              <w:marTop w:val="0"/>
              <w:marBottom w:val="0"/>
              <w:divBdr>
                <w:top w:val="none" w:sz="0" w:space="0" w:color="auto"/>
                <w:left w:val="none" w:sz="0" w:space="0" w:color="auto"/>
                <w:bottom w:val="none" w:sz="0" w:space="0" w:color="auto"/>
                <w:right w:val="none" w:sz="0" w:space="0" w:color="auto"/>
              </w:divBdr>
            </w:div>
          </w:divsChild>
        </w:div>
        <w:div w:id="902302150">
          <w:marLeft w:val="0"/>
          <w:marRight w:val="0"/>
          <w:marTop w:val="0"/>
          <w:marBottom w:val="0"/>
          <w:divBdr>
            <w:top w:val="none" w:sz="0" w:space="0" w:color="auto"/>
            <w:left w:val="none" w:sz="0" w:space="0" w:color="auto"/>
            <w:bottom w:val="none" w:sz="0" w:space="0" w:color="auto"/>
            <w:right w:val="none" w:sz="0" w:space="0" w:color="auto"/>
          </w:divBdr>
          <w:divsChild>
            <w:div w:id="19218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04877071">
      <w:bodyDiv w:val="1"/>
      <w:marLeft w:val="0"/>
      <w:marRight w:val="0"/>
      <w:marTop w:val="0"/>
      <w:marBottom w:val="0"/>
      <w:divBdr>
        <w:top w:val="none" w:sz="0" w:space="0" w:color="auto"/>
        <w:left w:val="none" w:sz="0" w:space="0" w:color="auto"/>
        <w:bottom w:val="none" w:sz="0" w:space="0" w:color="auto"/>
        <w:right w:val="none" w:sz="0" w:space="0" w:color="auto"/>
      </w:divBdr>
    </w:div>
    <w:div w:id="294600373">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0616">
      <w:bodyDiv w:val="1"/>
      <w:marLeft w:val="0"/>
      <w:marRight w:val="0"/>
      <w:marTop w:val="0"/>
      <w:marBottom w:val="0"/>
      <w:divBdr>
        <w:top w:val="none" w:sz="0" w:space="0" w:color="auto"/>
        <w:left w:val="none" w:sz="0" w:space="0" w:color="auto"/>
        <w:bottom w:val="none" w:sz="0" w:space="0" w:color="auto"/>
        <w:right w:val="none" w:sz="0" w:space="0" w:color="auto"/>
      </w:divBdr>
    </w:div>
    <w:div w:id="428742385">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440000">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9307">
      <w:bodyDiv w:val="1"/>
      <w:marLeft w:val="0"/>
      <w:marRight w:val="0"/>
      <w:marTop w:val="0"/>
      <w:marBottom w:val="0"/>
      <w:divBdr>
        <w:top w:val="none" w:sz="0" w:space="0" w:color="auto"/>
        <w:left w:val="none" w:sz="0" w:space="0" w:color="auto"/>
        <w:bottom w:val="none" w:sz="0" w:space="0" w:color="auto"/>
        <w:right w:val="none" w:sz="0" w:space="0" w:color="auto"/>
      </w:divBdr>
    </w:div>
    <w:div w:id="734163155">
      <w:bodyDiv w:val="1"/>
      <w:marLeft w:val="0"/>
      <w:marRight w:val="0"/>
      <w:marTop w:val="0"/>
      <w:marBottom w:val="0"/>
      <w:divBdr>
        <w:top w:val="none" w:sz="0" w:space="0" w:color="auto"/>
        <w:left w:val="none" w:sz="0" w:space="0" w:color="auto"/>
        <w:bottom w:val="none" w:sz="0" w:space="0" w:color="auto"/>
        <w:right w:val="none" w:sz="0" w:space="0" w:color="auto"/>
      </w:divBdr>
    </w:div>
    <w:div w:id="785782334">
      <w:bodyDiv w:val="1"/>
      <w:marLeft w:val="0"/>
      <w:marRight w:val="0"/>
      <w:marTop w:val="0"/>
      <w:marBottom w:val="0"/>
      <w:divBdr>
        <w:top w:val="none" w:sz="0" w:space="0" w:color="auto"/>
        <w:left w:val="none" w:sz="0" w:space="0" w:color="auto"/>
        <w:bottom w:val="none" w:sz="0" w:space="0" w:color="auto"/>
        <w:right w:val="none" w:sz="0" w:space="0" w:color="auto"/>
      </w:divBdr>
    </w:div>
    <w:div w:id="796604775">
      <w:bodyDiv w:val="1"/>
      <w:marLeft w:val="0"/>
      <w:marRight w:val="0"/>
      <w:marTop w:val="0"/>
      <w:marBottom w:val="0"/>
      <w:divBdr>
        <w:top w:val="none" w:sz="0" w:space="0" w:color="auto"/>
        <w:left w:val="none" w:sz="0" w:space="0" w:color="auto"/>
        <w:bottom w:val="none" w:sz="0" w:space="0" w:color="auto"/>
        <w:right w:val="none" w:sz="0" w:space="0" w:color="auto"/>
      </w:divBdr>
    </w:div>
    <w:div w:id="814101621">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97946498">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32332441">
      <w:bodyDiv w:val="1"/>
      <w:marLeft w:val="0"/>
      <w:marRight w:val="0"/>
      <w:marTop w:val="0"/>
      <w:marBottom w:val="0"/>
      <w:divBdr>
        <w:top w:val="none" w:sz="0" w:space="0" w:color="auto"/>
        <w:left w:val="none" w:sz="0" w:space="0" w:color="auto"/>
        <w:bottom w:val="none" w:sz="0" w:space="0" w:color="auto"/>
        <w:right w:val="none" w:sz="0" w:space="0" w:color="auto"/>
      </w:divBdr>
    </w:div>
    <w:div w:id="1195343493">
      <w:bodyDiv w:val="1"/>
      <w:marLeft w:val="0"/>
      <w:marRight w:val="0"/>
      <w:marTop w:val="0"/>
      <w:marBottom w:val="0"/>
      <w:divBdr>
        <w:top w:val="none" w:sz="0" w:space="0" w:color="auto"/>
        <w:left w:val="none" w:sz="0" w:space="0" w:color="auto"/>
        <w:bottom w:val="none" w:sz="0" w:space="0" w:color="auto"/>
        <w:right w:val="none" w:sz="0" w:space="0" w:color="auto"/>
      </w:divBdr>
    </w:div>
    <w:div w:id="1211842688">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21745182">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33214436">
      <w:bodyDiv w:val="1"/>
      <w:marLeft w:val="0"/>
      <w:marRight w:val="0"/>
      <w:marTop w:val="0"/>
      <w:marBottom w:val="0"/>
      <w:divBdr>
        <w:top w:val="none" w:sz="0" w:space="0" w:color="auto"/>
        <w:left w:val="none" w:sz="0" w:space="0" w:color="auto"/>
        <w:bottom w:val="none" w:sz="0" w:space="0" w:color="auto"/>
        <w:right w:val="none" w:sz="0" w:space="0" w:color="auto"/>
      </w:divBdr>
    </w:div>
    <w:div w:id="1376735496">
      <w:bodyDiv w:val="1"/>
      <w:marLeft w:val="0"/>
      <w:marRight w:val="0"/>
      <w:marTop w:val="0"/>
      <w:marBottom w:val="0"/>
      <w:divBdr>
        <w:top w:val="none" w:sz="0" w:space="0" w:color="auto"/>
        <w:left w:val="none" w:sz="0" w:space="0" w:color="auto"/>
        <w:bottom w:val="none" w:sz="0" w:space="0" w:color="auto"/>
        <w:right w:val="none" w:sz="0" w:space="0" w:color="auto"/>
      </w:divBdr>
    </w:div>
    <w:div w:id="1436558342">
      <w:bodyDiv w:val="1"/>
      <w:marLeft w:val="0"/>
      <w:marRight w:val="0"/>
      <w:marTop w:val="0"/>
      <w:marBottom w:val="0"/>
      <w:divBdr>
        <w:top w:val="none" w:sz="0" w:space="0" w:color="auto"/>
        <w:left w:val="none" w:sz="0" w:space="0" w:color="auto"/>
        <w:bottom w:val="none" w:sz="0" w:space="0" w:color="auto"/>
        <w:right w:val="none" w:sz="0" w:space="0" w:color="auto"/>
      </w:divBdr>
    </w:div>
    <w:div w:id="1507135160">
      <w:bodyDiv w:val="1"/>
      <w:marLeft w:val="0"/>
      <w:marRight w:val="0"/>
      <w:marTop w:val="0"/>
      <w:marBottom w:val="0"/>
      <w:divBdr>
        <w:top w:val="none" w:sz="0" w:space="0" w:color="auto"/>
        <w:left w:val="none" w:sz="0" w:space="0" w:color="auto"/>
        <w:bottom w:val="none" w:sz="0" w:space="0" w:color="auto"/>
        <w:right w:val="none" w:sz="0" w:space="0" w:color="auto"/>
      </w:divBdr>
    </w:div>
    <w:div w:id="1530028302">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616866361">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89007">
      <w:bodyDiv w:val="1"/>
      <w:marLeft w:val="0"/>
      <w:marRight w:val="0"/>
      <w:marTop w:val="0"/>
      <w:marBottom w:val="0"/>
      <w:divBdr>
        <w:top w:val="none" w:sz="0" w:space="0" w:color="auto"/>
        <w:left w:val="none" w:sz="0" w:space="0" w:color="auto"/>
        <w:bottom w:val="none" w:sz="0" w:space="0" w:color="auto"/>
        <w:right w:val="none" w:sz="0" w:space="0" w:color="auto"/>
      </w:divBdr>
    </w:div>
    <w:div w:id="1665741688">
      <w:bodyDiv w:val="1"/>
      <w:marLeft w:val="0"/>
      <w:marRight w:val="0"/>
      <w:marTop w:val="0"/>
      <w:marBottom w:val="0"/>
      <w:divBdr>
        <w:top w:val="none" w:sz="0" w:space="0" w:color="auto"/>
        <w:left w:val="none" w:sz="0" w:space="0" w:color="auto"/>
        <w:bottom w:val="none" w:sz="0" w:space="0" w:color="auto"/>
        <w:right w:val="none" w:sz="0" w:space="0" w:color="auto"/>
      </w:divBdr>
    </w:div>
    <w:div w:id="1676835353">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60042815">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8684">
      <w:bodyDiv w:val="1"/>
      <w:marLeft w:val="0"/>
      <w:marRight w:val="0"/>
      <w:marTop w:val="0"/>
      <w:marBottom w:val="0"/>
      <w:divBdr>
        <w:top w:val="none" w:sz="0" w:space="0" w:color="auto"/>
        <w:left w:val="none" w:sz="0" w:space="0" w:color="auto"/>
        <w:bottom w:val="none" w:sz="0" w:space="0" w:color="auto"/>
        <w:right w:val="none" w:sz="0" w:space="0" w:color="auto"/>
      </w:divBdr>
    </w:div>
    <w:div w:id="202932709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B28D-619E-4D42-AF85-E84A08BB4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869F2-8011-4C35-8B09-4E950ABCD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ADF93-508D-4C84-9CC5-528B55D973C0}">
  <ds:schemaRefs>
    <ds:schemaRef ds:uri="http://schemas.microsoft.com/sharepoint/v3/contenttype/forms"/>
  </ds:schemaRefs>
</ds:datastoreItem>
</file>

<file path=customXml/itemProps4.xml><?xml version="1.0" encoding="utf-8"?>
<ds:datastoreItem xmlns:ds="http://schemas.openxmlformats.org/officeDocument/2006/customXml" ds:itemID="{F1251668-1E9C-4D13-A79E-9D725D6A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1605</Words>
  <Characters>8830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9</cp:revision>
  <cp:lastPrinted>2020-03-11T19:31:00Z</cp:lastPrinted>
  <dcterms:created xsi:type="dcterms:W3CDTF">2020-09-24T18:42:00Z</dcterms:created>
  <dcterms:modified xsi:type="dcterms:W3CDTF">2020-10-27T16:06:00Z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