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BFF" w:rsidRPr="00251BFF" w:rsidRDefault="00251BFF" w:rsidP="00251BF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eastAsia="fr-FR"/>
        </w:rPr>
      </w:pPr>
      <w:r w:rsidRPr="00251BFF">
        <w:rPr>
          <w:rFonts w:ascii="Arial" w:hAnsi="Arial" w:cs="Arial"/>
          <w:color w:val="FF0000"/>
          <w:spacing w:val="-4"/>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251BFF" w:rsidRPr="00251BFF" w:rsidRDefault="00251BFF" w:rsidP="00251BFF">
      <w:pPr>
        <w:jc w:val="both"/>
        <w:rPr>
          <w:rFonts w:ascii="Arial" w:hAnsi="Arial" w:cs="Arial"/>
        </w:rPr>
      </w:pPr>
    </w:p>
    <w:p w:rsidR="00251BFF" w:rsidRPr="00251BFF" w:rsidRDefault="00251BFF" w:rsidP="00251BFF">
      <w:pPr>
        <w:jc w:val="both"/>
        <w:rPr>
          <w:rFonts w:ascii="Arial" w:hAnsi="Arial" w:cs="Arial"/>
        </w:rPr>
      </w:pPr>
      <w:r w:rsidRPr="00251BFF">
        <w:rPr>
          <w:rFonts w:ascii="Arial" w:hAnsi="Arial" w:cs="Arial"/>
        </w:rPr>
        <w:t>Asunto</w:t>
      </w:r>
      <w:r w:rsidRPr="00251BFF">
        <w:rPr>
          <w:rFonts w:ascii="Arial" w:hAnsi="Arial" w:cs="Arial"/>
        </w:rPr>
        <w:tab/>
      </w:r>
      <w:r w:rsidRPr="00251BFF">
        <w:rPr>
          <w:rFonts w:ascii="Arial" w:hAnsi="Arial" w:cs="Arial"/>
        </w:rPr>
        <w:tab/>
      </w:r>
      <w:r w:rsidRPr="00251BFF">
        <w:rPr>
          <w:rFonts w:ascii="Arial" w:hAnsi="Arial" w:cs="Arial"/>
        </w:rPr>
        <w:tab/>
        <w:t>: Decide nulidad procesal</w:t>
      </w:r>
    </w:p>
    <w:p w:rsidR="00251BFF" w:rsidRPr="00251BFF" w:rsidRDefault="00251BFF" w:rsidP="00251BFF">
      <w:pPr>
        <w:jc w:val="both"/>
        <w:rPr>
          <w:rFonts w:ascii="Arial" w:hAnsi="Arial" w:cs="Arial"/>
        </w:rPr>
      </w:pPr>
      <w:r w:rsidRPr="00251BFF">
        <w:rPr>
          <w:rFonts w:ascii="Arial" w:hAnsi="Arial" w:cs="Arial"/>
        </w:rPr>
        <w:t>Proceso</w:t>
      </w:r>
      <w:r w:rsidRPr="00251BFF">
        <w:rPr>
          <w:rFonts w:ascii="Arial" w:hAnsi="Arial" w:cs="Arial"/>
        </w:rPr>
        <w:tab/>
      </w:r>
      <w:r>
        <w:rPr>
          <w:rFonts w:ascii="Arial" w:hAnsi="Arial" w:cs="Arial"/>
        </w:rPr>
        <w:tab/>
      </w:r>
      <w:r w:rsidRPr="00251BFF">
        <w:rPr>
          <w:rFonts w:ascii="Arial" w:hAnsi="Arial" w:cs="Arial"/>
        </w:rPr>
        <w:t>: Ordinario- Responsabilidad médica</w:t>
      </w:r>
    </w:p>
    <w:p w:rsidR="00251BFF" w:rsidRPr="00251BFF" w:rsidRDefault="00251BFF" w:rsidP="00251BFF">
      <w:pPr>
        <w:jc w:val="both"/>
        <w:rPr>
          <w:rFonts w:ascii="Arial" w:hAnsi="Arial" w:cs="Arial"/>
        </w:rPr>
      </w:pPr>
      <w:r w:rsidRPr="00251BFF">
        <w:rPr>
          <w:rFonts w:ascii="Arial" w:hAnsi="Arial" w:cs="Arial"/>
        </w:rPr>
        <w:t>Demandantes</w:t>
      </w:r>
      <w:r>
        <w:rPr>
          <w:rFonts w:ascii="Arial" w:hAnsi="Arial" w:cs="Arial"/>
        </w:rPr>
        <w:tab/>
      </w:r>
      <w:r w:rsidRPr="00251BFF">
        <w:rPr>
          <w:rFonts w:ascii="Arial" w:hAnsi="Arial" w:cs="Arial"/>
        </w:rPr>
        <w:tab/>
        <w:t>: María Cielo Gallego Melchor y otros</w:t>
      </w:r>
    </w:p>
    <w:p w:rsidR="00251BFF" w:rsidRPr="00251BFF" w:rsidRDefault="00251BFF" w:rsidP="00251BFF">
      <w:pPr>
        <w:jc w:val="both"/>
        <w:rPr>
          <w:rFonts w:ascii="Arial" w:hAnsi="Arial" w:cs="Arial"/>
        </w:rPr>
      </w:pPr>
      <w:r w:rsidRPr="00251BFF">
        <w:rPr>
          <w:rFonts w:ascii="Arial" w:hAnsi="Arial" w:cs="Arial"/>
        </w:rPr>
        <w:t>Demandados</w:t>
      </w:r>
      <w:r>
        <w:rPr>
          <w:rFonts w:ascii="Arial" w:hAnsi="Arial" w:cs="Arial"/>
        </w:rPr>
        <w:tab/>
      </w:r>
      <w:r w:rsidRPr="00251BFF">
        <w:rPr>
          <w:rFonts w:ascii="Arial" w:hAnsi="Arial" w:cs="Arial"/>
        </w:rPr>
        <w:tab/>
        <w:t xml:space="preserve">: Salud total </w:t>
      </w:r>
      <w:proofErr w:type="spellStart"/>
      <w:r w:rsidRPr="00251BFF">
        <w:rPr>
          <w:rFonts w:ascii="Arial" w:hAnsi="Arial" w:cs="Arial"/>
        </w:rPr>
        <w:t>SA</w:t>
      </w:r>
      <w:proofErr w:type="spellEnd"/>
      <w:r w:rsidRPr="00251BFF">
        <w:rPr>
          <w:rFonts w:ascii="Arial" w:hAnsi="Arial" w:cs="Arial"/>
        </w:rPr>
        <w:t xml:space="preserve"> </w:t>
      </w:r>
      <w:proofErr w:type="spellStart"/>
      <w:r w:rsidRPr="00251BFF">
        <w:rPr>
          <w:rFonts w:ascii="Arial" w:hAnsi="Arial" w:cs="Arial"/>
        </w:rPr>
        <w:t>EPS</w:t>
      </w:r>
      <w:proofErr w:type="spellEnd"/>
      <w:r w:rsidRPr="00251BFF">
        <w:rPr>
          <w:rFonts w:ascii="Arial" w:hAnsi="Arial" w:cs="Arial"/>
        </w:rPr>
        <w:t xml:space="preserve"> y otro</w:t>
      </w:r>
    </w:p>
    <w:p w:rsidR="00251BFF" w:rsidRPr="00251BFF" w:rsidRDefault="00251BFF" w:rsidP="00251BFF">
      <w:pPr>
        <w:jc w:val="both"/>
        <w:rPr>
          <w:rFonts w:ascii="Arial" w:hAnsi="Arial" w:cs="Arial"/>
        </w:rPr>
      </w:pPr>
      <w:r w:rsidRPr="00251BFF">
        <w:rPr>
          <w:rFonts w:ascii="Arial" w:hAnsi="Arial" w:cs="Arial"/>
        </w:rPr>
        <w:t xml:space="preserve">Procedencia </w:t>
      </w:r>
      <w:r>
        <w:rPr>
          <w:rFonts w:ascii="Arial" w:hAnsi="Arial" w:cs="Arial"/>
        </w:rPr>
        <w:tab/>
      </w:r>
      <w:r w:rsidRPr="00251BFF">
        <w:rPr>
          <w:rFonts w:ascii="Arial" w:hAnsi="Arial" w:cs="Arial"/>
        </w:rPr>
        <w:tab/>
        <w:t>: Juzgado Segundo Civil del Circuito de Pereira</w:t>
      </w:r>
    </w:p>
    <w:p w:rsidR="00251BFF" w:rsidRPr="00251BFF" w:rsidRDefault="00251BFF" w:rsidP="00251BFF">
      <w:pPr>
        <w:jc w:val="both"/>
        <w:rPr>
          <w:rFonts w:ascii="Arial" w:hAnsi="Arial" w:cs="Arial"/>
        </w:rPr>
      </w:pPr>
      <w:bookmarkStart w:id="0" w:name="_GoBack"/>
      <w:bookmarkEnd w:id="0"/>
      <w:r w:rsidRPr="00251BFF">
        <w:rPr>
          <w:rFonts w:ascii="Arial" w:hAnsi="Arial" w:cs="Arial"/>
        </w:rPr>
        <w:t>Radicación</w:t>
      </w:r>
      <w:r>
        <w:rPr>
          <w:rFonts w:ascii="Arial" w:hAnsi="Arial" w:cs="Arial"/>
        </w:rPr>
        <w:tab/>
      </w:r>
      <w:r w:rsidRPr="00251BFF">
        <w:rPr>
          <w:rFonts w:ascii="Arial" w:hAnsi="Arial" w:cs="Arial"/>
        </w:rPr>
        <w:tab/>
        <w:t>: 66001-31-03-002-2012-00289-01</w:t>
      </w:r>
    </w:p>
    <w:p w:rsidR="00251BFF" w:rsidRPr="00251BFF" w:rsidRDefault="00251BFF" w:rsidP="00251BFF">
      <w:pPr>
        <w:jc w:val="both"/>
        <w:rPr>
          <w:rFonts w:ascii="Arial" w:hAnsi="Arial" w:cs="Arial"/>
        </w:rPr>
      </w:pPr>
      <w:proofErr w:type="spellStart"/>
      <w:r w:rsidRPr="00251BFF">
        <w:rPr>
          <w:rFonts w:ascii="Arial" w:hAnsi="Arial" w:cs="Arial"/>
        </w:rPr>
        <w:t>Mag</w:t>
      </w:r>
      <w:proofErr w:type="spellEnd"/>
      <w:r w:rsidRPr="00251BFF">
        <w:rPr>
          <w:rFonts w:ascii="Arial" w:hAnsi="Arial" w:cs="Arial"/>
        </w:rPr>
        <w:t>. Sustanciador</w:t>
      </w:r>
      <w:r w:rsidRPr="00251BFF">
        <w:rPr>
          <w:rFonts w:ascii="Arial" w:hAnsi="Arial" w:cs="Arial"/>
        </w:rPr>
        <w:tab/>
        <w:t xml:space="preserve">: </w:t>
      </w:r>
      <w:proofErr w:type="spellStart"/>
      <w:r w:rsidRPr="00251BFF">
        <w:rPr>
          <w:rFonts w:ascii="Arial" w:hAnsi="Arial" w:cs="Arial"/>
        </w:rPr>
        <w:t>DUBERNEY</w:t>
      </w:r>
      <w:proofErr w:type="spellEnd"/>
      <w:r w:rsidRPr="00251BFF">
        <w:rPr>
          <w:rFonts w:ascii="Arial" w:hAnsi="Arial" w:cs="Arial"/>
        </w:rPr>
        <w:t xml:space="preserve"> GRISALES HERRERA</w:t>
      </w:r>
    </w:p>
    <w:p w:rsidR="00251BFF" w:rsidRPr="00251BFF" w:rsidRDefault="00251BFF" w:rsidP="00251BFF">
      <w:pPr>
        <w:jc w:val="both"/>
        <w:rPr>
          <w:rFonts w:ascii="Arial" w:hAnsi="Arial" w:cs="Arial"/>
        </w:rPr>
      </w:pPr>
    </w:p>
    <w:p w:rsidR="00251BFF" w:rsidRPr="00251BFF" w:rsidRDefault="00251BFF" w:rsidP="00251BFF">
      <w:pPr>
        <w:jc w:val="both"/>
        <w:rPr>
          <w:rFonts w:ascii="Arial" w:hAnsi="Arial" w:cs="Arial"/>
          <w:b/>
          <w:bCs/>
          <w:iCs/>
          <w:lang w:eastAsia="fr-FR"/>
        </w:rPr>
      </w:pPr>
      <w:r w:rsidRPr="00251BFF">
        <w:rPr>
          <w:rFonts w:ascii="Arial" w:hAnsi="Arial" w:cs="Arial"/>
          <w:b/>
          <w:bCs/>
          <w:iCs/>
          <w:u w:val="single"/>
          <w:lang w:eastAsia="fr-FR"/>
        </w:rPr>
        <w:t>TEMAS:</w:t>
      </w:r>
      <w:r w:rsidRPr="00251BFF">
        <w:rPr>
          <w:rFonts w:ascii="Arial" w:hAnsi="Arial" w:cs="Arial"/>
          <w:b/>
          <w:bCs/>
          <w:iCs/>
          <w:lang w:eastAsia="fr-FR"/>
        </w:rPr>
        <w:tab/>
      </w:r>
      <w:r w:rsidR="000F59E3">
        <w:rPr>
          <w:rFonts w:ascii="Arial" w:hAnsi="Arial" w:cs="Arial"/>
          <w:b/>
          <w:bCs/>
          <w:iCs/>
          <w:lang w:eastAsia="fr-FR"/>
        </w:rPr>
        <w:t>NULIDAD PROCESAL / PRINCIPIOS / FALTA DE JURISDICCIÓN / PROCESO DE RESPONSABILIDAD MÉDICA / CONTRA EMPRESA SOCIAL DEL ESTADO / ES COMPETENCIA DE LA JURISDICCIÓN CONTENCIOSO ADMINISTRATIVA.</w:t>
      </w:r>
    </w:p>
    <w:p w:rsidR="00251BFF" w:rsidRPr="00251BFF" w:rsidRDefault="00251BFF" w:rsidP="00251BFF">
      <w:pPr>
        <w:jc w:val="both"/>
        <w:rPr>
          <w:rFonts w:ascii="Arial" w:hAnsi="Arial" w:cs="Arial"/>
        </w:rPr>
      </w:pPr>
    </w:p>
    <w:p w:rsidR="008D3F51" w:rsidRPr="008D3F51" w:rsidRDefault="008D3F51" w:rsidP="008D3F51">
      <w:pPr>
        <w:jc w:val="both"/>
        <w:rPr>
          <w:rFonts w:ascii="Arial" w:hAnsi="Arial" w:cs="Arial"/>
        </w:rPr>
      </w:pPr>
      <w:r w:rsidRPr="008D3F51">
        <w:rPr>
          <w:rFonts w:ascii="Arial" w:hAnsi="Arial" w:cs="Arial"/>
        </w:rPr>
        <w:t xml:space="preserve">El ordenamiento legal, vigente en nuestro país, consagra como regla que la institución de las nulidades de tipo procedimental está estatuida con el propósito de salvaguardar el derecho constitucional del “debido proceso” y su derivado natural, el derecho de defensa (Artículo 29, </w:t>
      </w:r>
      <w:proofErr w:type="spellStart"/>
      <w:r w:rsidRPr="008D3F51">
        <w:rPr>
          <w:rFonts w:ascii="Arial" w:hAnsi="Arial" w:cs="Arial"/>
        </w:rPr>
        <w:t>CP</w:t>
      </w:r>
      <w:proofErr w:type="spellEnd"/>
      <w:r w:rsidRPr="008D3F51">
        <w:rPr>
          <w:rFonts w:ascii="Arial" w:hAnsi="Arial" w:cs="Arial"/>
        </w:rPr>
        <w:t>)</w:t>
      </w:r>
      <w:r>
        <w:rPr>
          <w:rFonts w:ascii="Arial" w:hAnsi="Arial" w:cs="Arial"/>
        </w:rPr>
        <w:t>…</w:t>
      </w:r>
    </w:p>
    <w:p w:rsidR="008D3F51" w:rsidRPr="008D3F51" w:rsidRDefault="008D3F51" w:rsidP="008D3F51">
      <w:pPr>
        <w:jc w:val="both"/>
        <w:rPr>
          <w:rFonts w:ascii="Arial" w:hAnsi="Arial" w:cs="Arial"/>
        </w:rPr>
      </w:pPr>
    </w:p>
    <w:p w:rsidR="00251BFF" w:rsidRDefault="008D3F51" w:rsidP="008D3F51">
      <w:pPr>
        <w:jc w:val="both"/>
        <w:rPr>
          <w:rFonts w:ascii="Arial" w:hAnsi="Arial" w:cs="Arial"/>
        </w:rPr>
      </w:pPr>
      <w:r w:rsidRPr="008D3F51">
        <w:rPr>
          <w:rFonts w:ascii="Arial" w:hAnsi="Arial" w:cs="Arial"/>
        </w:rPr>
        <w:t xml:space="preserve">El régimen de esta figura, está informado por el principio de la </w:t>
      </w:r>
      <w:proofErr w:type="spellStart"/>
      <w:r w:rsidRPr="008D3F51">
        <w:rPr>
          <w:rFonts w:ascii="Arial" w:hAnsi="Arial" w:cs="Arial"/>
        </w:rPr>
        <w:t>taxatividad</w:t>
      </w:r>
      <w:proofErr w:type="spellEnd"/>
      <w:r w:rsidRPr="008D3F51">
        <w:rPr>
          <w:rFonts w:ascii="Arial" w:hAnsi="Arial" w:cs="Arial"/>
        </w:rPr>
        <w:t xml:space="preserve"> o especificidad</w:t>
      </w:r>
      <w:r>
        <w:rPr>
          <w:rFonts w:ascii="Arial" w:hAnsi="Arial" w:cs="Arial"/>
        </w:rPr>
        <w:t>…</w:t>
      </w:r>
      <w:r w:rsidRPr="008D3F51">
        <w:rPr>
          <w:rFonts w:ascii="Arial" w:hAnsi="Arial" w:cs="Arial"/>
        </w:rPr>
        <w:t xml:space="preserve"> Otros principios de igual entidad que permean la herramienta en comento, son el de preclusión, protección, convalidación, trascendencia y legitimación para invocarla, así lo reconoce la CSJ.</w:t>
      </w:r>
      <w:r>
        <w:rPr>
          <w:rFonts w:ascii="Arial" w:hAnsi="Arial" w:cs="Arial"/>
        </w:rPr>
        <w:t xml:space="preserve"> (…)</w:t>
      </w:r>
    </w:p>
    <w:p w:rsidR="008D3F51" w:rsidRDefault="008D3F51" w:rsidP="008D3F51">
      <w:pPr>
        <w:jc w:val="both"/>
        <w:rPr>
          <w:rFonts w:ascii="Arial" w:hAnsi="Arial" w:cs="Arial"/>
        </w:rPr>
      </w:pPr>
    </w:p>
    <w:p w:rsidR="008D3F51" w:rsidRPr="00251BFF" w:rsidRDefault="008D3F51" w:rsidP="008D3F51">
      <w:pPr>
        <w:jc w:val="both"/>
        <w:rPr>
          <w:rFonts w:ascii="Arial" w:hAnsi="Arial" w:cs="Arial"/>
        </w:rPr>
      </w:pPr>
      <w:r w:rsidRPr="008D3F51">
        <w:rPr>
          <w:rFonts w:ascii="Arial" w:hAnsi="Arial" w:cs="Arial"/>
        </w:rPr>
        <w:t xml:space="preserve">De la interpretación armónica de los artículos 133-1º, 16º, 138-1º y 139, </w:t>
      </w:r>
      <w:proofErr w:type="spellStart"/>
      <w:r w:rsidRPr="008D3F51">
        <w:rPr>
          <w:rFonts w:ascii="Arial" w:hAnsi="Arial" w:cs="Arial"/>
        </w:rPr>
        <w:t>CGP</w:t>
      </w:r>
      <w:proofErr w:type="spellEnd"/>
      <w:r w:rsidRPr="008D3F51">
        <w:rPr>
          <w:rFonts w:ascii="Arial" w:hAnsi="Arial" w:cs="Arial"/>
        </w:rPr>
        <w:t xml:space="preserve"> se desprende que, cuando el juez de oficio o petición de parte advierte que carece de jurisdicción o competencia, por los factores subjetivo o funcional; deberá, inminentemente, ordenar la remisión del expediente al juez competente y lo actuado hasta ese momento tendrá validez, salvo que se hubiere proferido sentencia, pues esta sí será nula, ello en virtud a que cualquiera de tales circunstancias, son improrrogables.</w:t>
      </w:r>
      <w:r>
        <w:rPr>
          <w:rFonts w:ascii="Arial" w:hAnsi="Arial" w:cs="Arial"/>
        </w:rPr>
        <w:t xml:space="preserve"> (…)</w:t>
      </w:r>
    </w:p>
    <w:p w:rsidR="00251BFF" w:rsidRDefault="00251BFF" w:rsidP="00251BFF">
      <w:pPr>
        <w:jc w:val="both"/>
        <w:rPr>
          <w:rFonts w:ascii="Arial" w:hAnsi="Arial" w:cs="Arial"/>
        </w:rPr>
      </w:pPr>
    </w:p>
    <w:p w:rsidR="008D3F51" w:rsidRPr="008D3F51" w:rsidRDefault="008D3F51" w:rsidP="008D3F51">
      <w:pPr>
        <w:jc w:val="both"/>
        <w:rPr>
          <w:rFonts w:ascii="Arial" w:hAnsi="Arial" w:cs="Arial"/>
        </w:rPr>
      </w:pPr>
      <w:r w:rsidRPr="008D3F51">
        <w:rPr>
          <w:rFonts w:ascii="Arial" w:hAnsi="Arial" w:cs="Arial"/>
        </w:rPr>
        <w:t xml:space="preserve">Estatuyen los artículos 17-1º-2º, 18-1º-2º y 20-1º-2º, </w:t>
      </w:r>
      <w:proofErr w:type="spellStart"/>
      <w:r w:rsidRPr="008D3F51">
        <w:rPr>
          <w:rFonts w:ascii="Arial" w:hAnsi="Arial" w:cs="Arial"/>
        </w:rPr>
        <w:t>CGP</w:t>
      </w:r>
      <w:proofErr w:type="spellEnd"/>
      <w:r w:rsidRPr="008D3F51">
        <w:rPr>
          <w:rFonts w:ascii="Arial" w:hAnsi="Arial" w:cs="Arial"/>
        </w:rPr>
        <w:t>, que la competencia para conocer de estos procesos</w:t>
      </w:r>
      <w:r>
        <w:rPr>
          <w:rFonts w:ascii="Arial" w:hAnsi="Arial" w:cs="Arial"/>
        </w:rPr>
        <w:t xml:space="preserve"> -de responsabilidad médica-,</w:t>
      </w:r>
      <w:r w:rsidRPr="008D3F51">
        <w:rPr>
          <w:rFonts w:ascii="Arial" w:hAnsi="Arial" w:cs="Arial"/>
        </w:rPr>
        <w:t xml:space="preserve"> cualquiera que sea su naturaleza y origen, sin consideración a las partes; es de los jueces civiles, con excepción de aquellos que correspondan a la jurisdicción contencioso administrativa. </w:t>
      </w:r>
    </w:p>
    <w:p w:rsidR="008D3F51" w:rsidRPr="008D3F51" w:rsidRDefault="008D3F51" w:rsidP="008D3F51">
      <w:pPr>
        <w:jc w:val="both"/>
        <w:rPr>
          <w:rFonts w:ascii="Arial" w:hAnsi="Arial" w:cs="Arial"/>
        </w:rPr>
      </w:pPr>
    </w:p>
    <w:p w:rsidR="008D3F51" w:rsidRDefault="008D3F51" w:rsidP="008D3F51">
      <w:pPr>
        <w:jc w:val="both"/>
        <w:rPr>
          <w:rFonts w:ascii="Arial" w:hAnsi="Arial" w:cs="Arial"/>
        </w:rPr>
      </w:pPr>
      <w:r w:rsidRPr="008D3F51">
        <w:rPr>
          <w:rFonts w:ascii="Arial" w:hAnsi="Arial" w:cs="Arial"/>
        </w:rPr>
        <w:t xml:space="preserve">Por su parte, el </w:t>
      </w:r>
      <w:proofErr w:type="spellStart"/>
      <w:r w:rsidRPr="008D3F51">
        <w:rPr>
          <w:rFonts w:ascii="Arial" w:hAnsi="Arial" w:cs="Arial"/>
        </w:rPr>
        <w:t>CPACA</w:t>
      </w:r>
      <w:proofErr w:type="spellEnd"/>
      <w:r w:rsidRPr="008D3F51">
        <w:rPr>
          <w:rFonts w:ascii="Arial" w:hAnsi="Arial" w:cs="Arial"/>
        </w:rPr>
        <w:t xml:space="preserve"> consagra que son de conocimiento de aquella jurisdicción, entre muchos otros asuntos, los derivados de la responsabilidad extracontractual de cualquier entidad pública, así como, los relativos a la responsabilidad contractual</w:t>
      </w:r>
      <w:r>
        <w:rPr>
          <w:rFonts w:ascii="Arial" w:hAnsi="Arial" w:cs="Arial"/>
        </w:rPr>
        <w:t xml:space="preserve">… </w:t>
      </w:r>
      <w:r w:rsidRPr="008D3F51">
        <w:rPr>
          <w:rFonts w:ascii="Arial" w:hAnsi="Arial" w:cs="Arial"/>
        </w:rPr>
        <w:t>en los que sea parte una entidad pública</w:t>
      </w:r>
      <w:r>
        <w:rPr>
          <w:rFonts w:ascii="Arial" w:hAnsi="Arial" w:cs="Arial"/>
        </w:rPr>
        <w:t>…</w:t>
      </w:r>
    </w:p>
    <w:p w:rsidR="008D3F51" w:rsidRDefault="008D3F51" w:rsidP="008D3F51">
      <w:pPr>
        <w:jc w:val="both"/>
        <w:rPr>
          <w:rFonts w:ascii="Arial" w:hAnsi="Arial" w:cs="Arial"/>
        </w:rPr>
      </w:pPr>
    </w:p>
    <w:p w:rsidR="008D3F51" w:rsidRPr="008D3F51" w:rsidRDefault="008D3F51" w:rsidP="008D3F51">
      <w:pPr>
        <w:jc w:val="both"/>
        <w:rPr>
          <w:rFonts w:ascii="Arial" w:hAnsi="Arial" w:cs="Arial"/>
        </w:rPr>
      </w:pPr>
      <w:r w:rsidRPr="008D3F51">
        <w:rPr>
          <w:rFonts w:ascii="Arial" w:hAnsi="Arial" w:cs="Arial"/>
        </w:rPr>
        <w:t xml:space="preserve">Descendiendo en autos, se evidencia sin vacilaciones que en los hechos de la demanda, se exponen circunstancias acaecidas en la atención médica prestada a </w:t>
      </w:r>
      <w:proofErr w:type="gramStart"/>
      <w:r w:rsidRPr="008D3F51">
        <w:rPr>
          <w:rFonts w:ascii="Arial" w:hAnsi="Arial" w:cs="Arial"/>
        </w:rPr>
        <w:t>la menor</w:t>
      </w:r>
      <w:r>
        <w:rPr>
          <w:rFonts w:ascii="Arial" w:hAnsi="Arial" w:cs="Arial"/>
        </w:rPr>
        <w:t>…</w:t>
      </w:r>
      <w:r w:rsidR="000F59E3">
        <w:rPr>
          <w:rFonts w:ascii="Arial" w:hAnsi="Arial" w:cs="Arial"/>
        </w:rPr>
        <w:t xml:space="preserve"> </w:t>
      </w:r>
      <w:r w:rsidRPr="008D3F51">
        <w:rPr>
          <w:rFonts w:ascii="Arial" w:hAnsi="Arial" w:cs="Arial"/>
        </w:rPr>
        <w:t>imputadas a las demandadas ESE</w:t>
      </w:r>
      <w:proofErr w:type="gramEnd"/>
      <w:r w:rsidRPr="008D3F51">
        <w:rPr>
          <w:rFonts w:ascii="Arial" w:hAnsi="Arial" w:cs="Arial"/>
        </w:rPr>
        <w:t xml:space="preserve"> Hospital San Jorge de Pereira, clínica Los Rosales y la </w:t>
      </w:r>
      <w:proofErr w:type="spellStart"/>
      <w:r w:rsidRPr="008D3F51">
        <w:rPr>
          <w:rFonts w:ascii="Arial" w:hAnsi="Arial" w:cs="Arial"/>
        </w:rPr>
        <w:t>EPS</w:t>
      </w:r>
      <w:proofErr w:type="spellEnd"/>
      <w:r w:rsidRPr="008D3F51">
        <w:rPr>
          <w:rFonts w:ascii="Arial" w:hAnsi="Arial" w:cs="Arial"/>
        </w:rPr>
        <w:t xml:space="preserve"> Salud total.</w:t>
      </w:r>
    </w:p>
    <w:p w:rsidR="008D3F51" w:rsidRPr="008D3F51" w:rsidRDefault="008D3F51" w:rsidP="008D3F51">
      <w:pPr>
        <w:jc w:val="both"/>
        <w:rPr>
          <w:rFonts w:ascii="Arial" w:hAnsi="Arial" w:cs="Arial"/>
        </w:rPr>
      </w:pPr>
    </w:p>
    <w:p w:rsidR="008D3F51" w:rsidRPr="00251BFF" w:rsidRDefault="008D3F51" w:rsidP="008D3F51">
      <w:pPr>
        <w:jc w:val="both"/>
        <w:rPr>
          <w:rFonts w:ascii="Arial" w:hAnsi="Arial" w:cs="Arial"/>
        </w:rPr>
      </w:pPr>
      <w:r w:rsidRPr="008D3F51">
        <w:rPr>
          <w:rFonts w:ascii="Arial" w:hAnsi="Arial" w:cs="Arial"/>
        </w:rPr>
        <w:t>Ahora, verificada la naturaleza jurídica de la primera de esas entidades, se trata de una Empresa Social del Estado, entidad descentralizada indirecta de tipo asociación entre entes públicos</w:t>
      </w:r>
      <w:r w:rsidR="000F59E3">
        <w:rPr>
          <w:rFonts w:ascii="Arial" w:hAnsi="Arial" w:cs="Arial"/>
        </w:rPr>
        <w:t>…</w:t>
      </w:r>
      <w:r w:rsidRPr="008D3F51">
        <w:rPr>
          <w:rFonts w:ascii="Arial" w:hAnsi="Arial" w:cs="Arial"/>
        </w:rPr>
        <w:t>; de manera que, sin lugar a dudas, conforme a las anteriores premisas jurídicas, este asunto debe ser ventilado ante la jurisdicción administrativa</w:t>
      </w:r>
      <w:r w:rsidR="000F59E3">
        <w:rPr>
          <w:rFonts w:ascii="Arial" w:hAnsi="Arial" w:cs="Arial"/>
        </w:rPr>
        <w:t>…</w:t>
      </w:r>
    </w:p>
    <w:p w:rsidR="00251BFF" w:rsidRPr="00251BFF" w:rsidRDefault="00251BFF" w:rsidP="00251BFF">
      <w:pPr>
        <w:jc w:val="both"/>
        <w:rPr>
          <w:rFonts w:ascii="Arial" w:hAnsi="Arial" w:cs="Arial"/>
        </w:rPr>
      </w:pPr>
    </w:p>
    <w:p w:rsidR="00251BFF" w:rsidRPr="00251BFF" w:rsidRDefault="00251BFF" w:rsidP="00251BFF">
      <w:pPr>
        <w:jc w:val="both"/>
        <w:rPr>
          <w:rFonts w:ascii="Arial" w:hAnsi="Arial" w:cs="Arial"/>
        </w:rPr>
      </w:pPr>
    </w:p>
    <w:p w:rsidR="00251BFF" w:rsidRPr="00251BFF" w:rsidRDefault="00251BFF" w:rsidP="00251BFF">
      <w:pPr>
        <w:jc w:val="both"/>
        <w:rPr>
          <w:rFonts w:ascii="Arial" w:hAnsi="Arial" w:cs="Arial"/>
        </w:rPr>
      </w:pPr>
    </w:p>
    <w:p w:rsidR="008B7145" w:rsidRPr="00251BFF" w:rsidRDefault="00CD2257" w:rsidP="008B7145">
      <w:pPr>
        <w:pStyle w:val="Sinespaciado"/>
        <w:spacing w:line="360" w:lineRule="auto"/>
        <w:jc w:val="center"/>
        <w:rPr>
          <w:rFonts w:ascii="Georgia" w:hAnsi="Georgia" w:cs="Arial"/>
          <w:w w:val="140"/>
          <w:sz w:val="14"/>
          <w:szCs w:val="14"/>
        </w:rPr>
      </w:pPr>
      <w:r w:rsidRPr="00251BFF">
        <w:rPr>
          <w:rFonts w:ascii="Georgia" w:hAnsi="Georgia"/>
          <w:noProof/>
        </w:rPr>
        <w:drawing>
          <wp:anchor distT="0" distB="0" distL="114300" distR="114300" simplePos="0" relativeHeight="251658240" behindDoc="0" locked="0" layoutInCell="1" allowOverlap="1" wp14:anchorId="3FAA8E4A" wp14:editId="0D217977">
            <wp:simplePos x="0" y="0"/>
            <wp:positionH relativeFrom="column">
              <wp:posOffset>2813050</wp:posOffset>
            </wp:positionH>
            <wp:positionV relativeFrom="paragraph">
              <wp:posOffset>-78105</wp:posOffset>
            </wp:positionV>
            <wp:extent cx="363220" cy="3613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145" w:rsidRPr="00251BFF" w:rsidRDefault="008B7145" w:rsidP="008B7145">
      <w:pPr>
        <w:pStyle w:val="Sinespaciado"/>
        <w:spacing w:line="360" w:lineRule="auto"/>
        <w:jc w:val="center"/>
        <w:rPr>
          <w:rFonts w:ascii="Georgia" w:hAnsi="Georgia" w:cs="Arial"/>
          <w:w w:val="140"/>
          <w:sz w:val="14"/>
          <w:szCs w:val="14"/>
        </w:rPr>
      </w:pPr>
    </w:p>
    <w:p w:rsidR="008B7145" w:rsidRPr="00251BFF" w:rsidRDefault="008B7145" w:rsidP="008B7145">
      <w:pPr>
        <w:pStyle w:val="Sinespaciado"/>
        <w:spacing w:line="360" w:lineRule="auto"/>
        <w:jc w:val="center"/>
        <w:rPr>
          <w:rFonts w:ascii="Georgia" w:hAnsi="Georgia" w:cs="Arial"/>
          <w:w w:val="140"/>
          <w:sz w:val="14"/>
          <w:szCs w:val="14"/>
        </w:rPr>
      </w:pPr>
      <w:r w:rsidRPr="00251BFF">
        <w:rPr>
          <w:rFonts w:ascii="Georgia" w:hAnsi="Georgia" w:cs="Arial"/>
          <w:w w:val="140"/>
          <w:sz w:val="14"/>
          <w:szCs w:val="14"/>
        </w:rPr>
        <w:t>REPUBLICA DE COLOMBIA</w:t>
      </w:r>
    </w:p>
    <w:p w:rsidR="008B7145" w:rsidRPr="00251BFF" w:rsidRDefault="008B7145" w:rsidP="008B7145">
      <w:pPr>
        <w:pStyle w:val="Sinespaciado"/>
        <w:tabs>
          <w:tab w:val="center" w:pos="4987"/>
          <w:tab w:val="left" w:pos="8449"/>
        </w:tabs>
        <w:spacing w:line="360" w:lineRule="auto"/>
        <w:jc w:val="center"/>
        <w:rPr>
          <w:rFonts w:ascii="Georgia" w:hAnsi="Georgia" w:cs="Arial"/>
          <w:w w:val="140"/>
        </w:rPr>
      </w:pPr>
      <w:r w:rsidRPr="00251BFF">
        <w:rPr>
          <w:rFonts w:ascii="Georgia" w:hAnsi="Georgia" w:cs="Arial"/>
          <w:w w:val="140"/>
          <w:sz w:val="14"/>
          <w:szCs w:val="14"/>
        </w:rPr>
        <w:t>RAMA JUDICIAL DEL PODER PÚBLICO</w:t>
      </w:r>
    </w:p>
    <w:p w:rsidR="008B7145" w:rsidRPr="00251BFF" w:rsidRDefault="008B7145" w:rsidP="008B7145">
      <w:pPr>
        <w:pStyle w:val="Sinespaciado"/>
        <w:spacing w:line="360" w:lineRule="auto"/>
        <w:jc w:val="center"/>
        <w:rPr>
          <w:rFonts w:ascii="Georgia" w:hAnsi="Georgia" w:cs="Arial"/>
          <w:w w:val="140"/>
          <w:sz w:val="16"/>
          <w:szCs w:val="16"/>
        </w:rPr>
      </w:pPr>
      <w:r w:rsidRPr="00251BFF">
        <w:rPr>
          <w:rFonts w:ascii="Georgia" w:hAnsi="Georgia" w:cs="Arial"/>
          <w:w w:val="140"/>
          <w:sz w:val="18"/>
          <w:szCs w:val="18"/>
        </w:rPr>
        <w:t>T</w:t>
      </w:r>
      <w:r w:rsidRPr="00251BFF">
        <w:rPr>
          <w:rFonts w:ascii="Georgia" w:hAnsi="Georgia" w:cs="Arial"/>
          <w:w w:val="140"/>
          <w:sz w:val="16"/>
          <w:szCs w:val="16"/>
        </w:rPr>
        <w:t>RIBUNAL</w:t>
      </w:r>
      <w:r w:rsidRPr="00251BFF">
        <w:rPr>
          <w:rFonts w:ascii="Georgia" w:hAnsi="Georgia" w:cs="Arial"/>
          <w:w w:val="140"/>
          <w:sz w:val="18"/>
          <w:szCs w:val="18"/>
        </w:rPr>
        <w:t xml:space="preserve"> S</w:t>
      </w:r>
      <w:r w:rsidRPr="00251BFF">
        <w:rPr>
          <w:rFonts w:ascii="Georgia" w:hAnsi="Georgia" w:cs="Arial"/>
          <w:w w:val="140"/>
          <w:sz w:val="16"/>
          <w:szCs w:val="16"/>
        </w:rPr>
        <w:t xml:space="preserve">UPERIOR DEL </w:t>
      </w:r>
      <w:r w:rsidRPr="00251BFF">
        <w:rPr>
          <w:rFonts w:ascii="Georgia" w:hAnsi="Georgia" w:cs="Arial"/>
          <w:w w:val="140"/>
          <w:sz w:val="18"/>
          <w:szCs w:val="18"/>
        </w:rPr>
        <w:t>D</w:t>
      </w:r>
      <w:r w:rsidRPr="00251BFF">
        <w:rPr>
          <w:rFonts w:ascii="Georgia" w:hAnsi="Georgia" w:cs="Arial"/>
          <w:w w:val="140"/>
          <w:sz w:val="16"/>
          <w:szCs w:val="16"/>
        </w:rPr>
        <w:t>ISTRITO</w:t>
      </w:r>
      <w:r w:rsidRPr="00251BFF">
        <w:rPr>
          <w:rFonts w:ascii="Georgia" w:hAnsi="Georgia" w:cs="Arial"/>
          <w:w w:val="140"/>
          <w:sz w:val="18"/>
          <w:szCs w:val="18"/>
        </w:rPr>
        <w:t xml:space="preserve"> J</w:t>
      </w:r>
      <w:r w:rsidRPr="00251BFF">
        <w:rPr>
          <w:rFonts w:ascii="Georgia" w:hAnsi="Georgia" w:cs="Arial"/>
          <w:w w:val="140"/>
          <w:sz w:val="16"/>
          <w:szCs w:val="16"/>
        </w:rPr>
        <w:t xml:space="preserve">UDICIAL </w:t>
      </w:r>
    </w:p>
    <w:p w:rsidR="001E18FB" w:rsidRPr="00251BFF" w:rsidRDefault="001E18FB" w:rsidP="001E18FB">
      <w:pPr>
        <w:pStyle w:val="Sinespaciado"/>
        <w:spacing w:line="360" w:lineRule="auto"/>
        <w:jc w:val="center"/>
        <w:rPr>
          <w:rFonts w:ascii="Georgia" w:hAnsi="Georgia" w:cs="Arial"/>
          <w:w w:val="140"/>
          <w:sz w:val="16"/>
          <w:szCs w:val="16"/>
        </w:rPr>
      </w:pPr>
      <w:r w:rsidRPr="00251BFF">
        <w:rPr>
          <w:rFonts w:ascii="Georgia" w:hAnsi="Georgia" w:cs="Arial"/>
          <w:w w:val="140"/>
          <w:sz w:val="18"/>
          <w:szCs w:val="16"/>
        </w:rPr>
        <w:t>S</w:t>
      </w:r>
      <w:r w:rsidRPr="00251BFF">
        <w:rPr>
          <w:rFonts w:ascii="Georgia" w:hAnsi="Georgia" w:cs="Arial"/>
          <w:w w:val="140"/>
          <w:sz w:val="16"/>
          <w:szCs w:val="14"/>
        </w:rPr>
        <w:t xml:space="preserve">ALA </w:t>
      </w:r>
      <w:r w:rsidRPr="00251BFF">
        <w:rPr>
          <w:rFonts w:ascii="Georgia" w:hAnsi="Georgia" w:cs="Arial"/>
          <w:w w:val="140"/>
          <w:sz w:val="18"/>
          <w:szCs w:val="16"/>
        </w:rPr>
        <w:t>U</w:t>
      </w:r>
      <w:r w:rsidRPr="00251BFF">
        <w:rPr>
          <w:rFonts w:ascii="Georgia" w:hAnsi="Georgia" w:cs="Arial"/>
          <w:w w:val="140"/>
          <w:sz w:val="16"/>
          <w:szCs w:val="16"/>
        </w:rPr>
        <w:t xml:space="preserve">NITARIA </w:t>
      </w:r>
      <w:r w:rsidRPr="00251BFF">
        <w:rPr>
          <w:rFonts w:ascii="Georgia" w:hAnsi="Georgia" w:cs="Arial"/>
          <w:w w:val="140"/>
          <w:sz w:val="18"/>
          <w:szCs w:val="16"/>
        </w:rPr>
        <w:t>C</w:t>
      </w:r>
      <w:r w:rsidRPr="00251BFF">
        <w:rPr>
          <w:rFonts w:ascii="Georgia" w:hAnsi="Georgia" w:cs="Arial"/>
          <w:w w:val="140"/>
          <w:sz w:val="16"/>
          <w:szCs w:val="16"/>
        </w:rPr>
        <w:t>IVIL</w:t>
      </w:r>
      <w:r w:rsidRPr="00251BFF">
        <w:rPr>
          <w:rFonts w:ascii="Georgia" w:hAnsi="Georgia" w:cs="Arial"/>
          <w:w w:val="140"/>
          <w:sz w:val="14"/>
          <w:szCs w:val="14"/>
        </w:rPr>
        <w:t xml:space="preserve">– </w:t>
      </w:r>
      <w:r w:rsidRPr="00251BFF">
        <w:rPr>
          <w:rFonts w:ascii="Georgia" w:hAnsi="Georgia" w:cs="Arial"/>
          <w:w w:val="140"/>
          <w:sz w:val="18"/>
          <w:szCs w:val="16"/>
        </w:rPr>
        <w:t>F</w:t>
      </w:r>
      <w:r w:rsidRPr="00251BFF">
        <w:rPr>
          <w:rFonts w:ascii="Georgia" w:hAnsi="Georgia" w:cs="Arial"/>
          <w:w w:val="140"/>
          <w:sz w:val="16"/>
          <w:szCs w:val="16"/>
        </w:rPr>
        <w:t>AMILIA –</w:t>
      </w:r>
      <w:r w:rsidRPr="00251BFF">
        <w:rPr>
          <w:rFonts w:ascii="Georgia" w:hAnsi="Georgia" w:cs="Arial"/>
          <w:w w:val="140"/>
          <w:sz w:val="18"/>
          <w:szCs w:val="16"/>
        </w:rPr>
        <w:t>D</w:t>
      </w:r>
      <w:r w:rsidRPr="00251BFF">
        <w:rPr>
          <w:rFonts w:ascii="Georgia" w:hAnsi="Georgia" w:cs="Arial"/>
          <w:w w:val="140"/>
          <w:sz w:val="16"/>
          <w:szCs w:val="16"/>
        </w:rPr>
        <w:t xml:space="preserve">ISTRITO DE </w:t>
      </w:r>
      <w:r w:rsidRPr="00251BFF">
        <w:rPr>
          <w:rFonts w:ascii="Georgia" w:hAnsi="Georgia" w:cs="Arial"/>
          <w:w w:val="140"/>
          <w:sz w:val="18"/>
          <w:szCs w:val="16"/>
        </w:rPr>
        <w:t>P</w:t>
      </w:r>
      <w:r w:rsidRPr="00251BFF">
        <w:rPr>
          <w:rFonts w:ascii="Georgia" w:hAnsi="Georgia" w:cs="Arial"/>
          <w:w w:val="140"/>
          <w:sz w:val="16"/>
          <w:szCs w:val="16"/>
        </w:rPr>
        <w:t>EREIRA</w:t>
      </w:r>
    </w:p>
    <w:p w:rsidR="008B7145" w:rsidRPr="00251BFF" w:rsidRDefault="008B7145" w:rsidP="008B7145">
      <w:pPr>
        <w:pStyle w:val="Sinespaciado"/>
        <w:spacing w:line="360" w:lineRule="auto"/>
        <w:jc w:val="center"/>
        <w:rPr>
          <w:rFonts w:ascii="Georgia" w:hAnsi="Georgia" w:cs="Arial"/>
          <w:w w:val="140"/>
          <w:sz w:val="16"/>
          <w:szCs w:val="16"/>
        </w:rPr>
      </w:pPr>
      <w:r w:rsidRPr="00251BFF">
        <w:rPr>
          <w:rFonts w:ascii="Georgia" w:hAnsi="Georgia" w:cs="Arial"/>
          <w:w w:val="140"/>
          <w:sz w:val="18"/>
          <w:szCs w:val="18"/>
        </w:rPr>
        <w:t>D</w:t>
      </w:r>
      <w:r w:rsidRPr="00251BFF">
        <w:rPr>
          <w:rFonts w:ascii="Georgia" w:hAnsi="Georgia" w:cs="Arial"/>
          <w:w w:val="140"/>
          <w:sz w:val="16"/>
          <w:szCs w:val="16"/>
        </w:rPr>
        <w:t xml:space="preserve">EPARTAMENTO </w:t>
      </w:r>
      <w:r w:rsidRPr="00251BFF">
        <w:rPr>
          <w:rFonts w:ascii="Georgia" w:hAnsi="Georgia" w:cs="Arial"/>
          <w:w w:val="140"/>
          <w:sz w:val="18"/>
          <w:szCs w:val="18"/>
        </w:rPr>
        <w:t>D</w:t>
      </w:r>
      <w:r w:rsidRPr="00251BFF">
        <w:rPr>
          <w:rFonts w:ascii="Georgia" w:hAnsi="Georgia" w:cs="Arial"/>
          <w:w w:val="140"/>
          <w:sz w:val="16"/>
          <w:szCs w:val="16"/>
        </w:rPr>
        <w:t xml:space="preserve">EL </w:t>
      </w:r>
      <w:r w:rsidRPr="00251BFF">
        <w:rPr>
          <w:rFonts w:ascii="Georgia" w:hAnsi="Georgia" w:cs="Arial"/>
          <w:w w:val="140"/>
          <w:sz w:val="18"/>
          <w:szCs w:val="18"/>
        </w:rPr>
        <w:t>R</w:t>
      </w:r>
      <w:r w:rsidRPr="00251BFF">
        <w:rPr>
          <w:rFonts w:ascii="Georgia" w:hAnsi="Georgia" w:cs="Arial"/>
          <w:w w:val="140"/>
          <w:sz w:val="16"/>
          <w:szCs w:val="16"/>
        </w:rPr>
        <w:t>ISARALDA</w:t>
      </w:r>
    </w:p>
    <w:p w:rsidR="00045CE3" w:rsidRPr="00251BFF" w:rsidRDefault="00045CE3" w:rsidP="00045CE3">
      <w:pPr>
        <w:spacing w:line="360" w:lineRule="auto"/>
        <w:jc w:val="center"/>
        <w:rPr>
          <w:rFonts w:ascii="Georgia" w:hAnsi="Georgia" w:cs="Arial"/>
          <w:b/>
          <w:bCs/>
          <w:sz w:val="16"/>
          <w:szCs w:val="22"/>
        </w:rPr>
      </w:pPr>
    </w:p>
    <w:p w:rsidR="00045CE3" w:rsidRPr="00251BFF" w:rsidRDefault="00045CE3" w:rsidP="007326D4">
      <w:pPr>
        <w:pBdr>
          <w:bottom w:val="double" w:sz="6" w:space="1" w:color="auto"/>
        </w:pBdr>
        <w:spacing w:line="360" w:lineRule="auto"/>
        <w:rPr>
          <w:rFonts w:ascii="Georgia" w:hAnsi="Georgia" w:cs="Arial"/>
          <w:b/>
          <w:bCs/>
          <w:sz w:val="16"/>
          <w:szCs w:val="24"/>
        </w:rPr>
      </w:pPr>
    </w:p>
    <w:p w:rsidR="00045CE3" w:rsidRPr="00251BFF" w:rsidRDefault="00045CE3" w:rsidP="00D1698E">
      <w:pPr>
        <w:spacing w:line="360" w:lineRule="auto"/>
        <w:jc w:val="center"/>
        <w:rPr>
          <w:rFonts w:ascii="Georgia" w:hAnsi="Georgia" w:cs="Arial"/>
          <w:b/>
          <w:bCs/>
          <w:sz w:val="16"/>
          <w:szCs w:val="26"/>
        </w:rPr>
      </w:pPr>
    </w:p>
    <w:p w:rsidR="008B7145" w:rsidRPr="00251BFF" w:rsidRDefault="006956BB" w:rsidP="00251BFF">
      <w:pPr>
        <w:spacing w:line="276" w:lineRule="auto"/>
        <w:jc w:val="center"/>
        <w:rPr>
          <w:rFonts w:ascii="Georgia" w:hAnsi="Georgia" w:cs="Arial"/>
          <w:smallCaps/>
          <w:sz w:val="28"/>
          <w:szCs w:val="24"/>
        </w:rPr>
      </w:pPr>
      <w:r w:rsidRPr="00251BFF">
        <w:rPr>
          <w:rFonts w:ascii="Georgia" w:hAnsi="Georgia" w:cs="Arial"/>
          <w:smallCaps/>
          <w:sz w:val="28"/>
          <w:szCs w:val="24"/>
        </w:rPr>
        <w:t xml:space="preserve">Tres </w:t>
      </w:r>
      <w:r w:rsidR="008B7145" w:rsidRPr="00251BFF">
        <w:rPr>
          <w:rFonts w:ascii="Georgia" w:hAnsi="Georgia" w:cs="Arial"/>
          <w:smallCaps/>
          <w:sz w:val="28"/>
          <w:szCs w:val="24"/>
        </w:rPr>
        <w:t>(</w:t>
      </w:r>
      <w:r w:rsidRPr="00251BFF">
        <w:rPr>
          <w:rFonts w:ascii="Georgia" w:hAnsi="Georgia" w:cs="Arial"/>
          <w:smallCaps/>
          <w:sz w:val="28"/>
          <w:szCs w:val="24"/>
        </w:rPr>
        <w:t>3</w:t>
      </w:r>
      <w:r w:rsidR="008B7145" w:rsidRPr="00251BFF">
        <w:rPr>
          <w:rFonts w:ascii="Georgia" w:hAnsi="Georgia" w:cs="Arial"/>
          <w:smallCaps/>
          <w:sz w:val="28"/>
          <w:szCs w:val="24"/>
        </w:rPr>
        <w:t>) de</w:t>
      </w:r>
      <w:r w:rsidR="004561E8" w:rsidRPr="00251BFF">
        <w:rPr>
          <w:rFonts w:ascii="Georgia" w:hAnsi="Georgia" w:cs="Arial"/>
          <w:smallCaps/>
          <w:sz w:val="28"/>
          <w:szCs w:val="24"/>
        </w:rPr>
        <w:t xml:space="preserve"> </w:t>
      </w:r>
      <w:r w:rsidRPr="00251BFF">
        <w:rPr>
          <w:rFonts w:ascii="Georgia" w:hAnsi="Georgia" w:cs="Arial"/>
          <w:smallCaps/>
          <w:sz w:val="28"/>
          <w:szCs w:val="24"/>
        </w:rPr>
        <w:t>febrero</w:t>
      </w:r>
      <w:r w:rsidR="00D872FA" w:rsidRPr="00251BFF">
        <w:rPr>
          <w:rFonts w:ascii="Georgia" w:hAnsi="Georgia" w:cs="Arial"/>
          <w:smallCaps/>
          <w:sz w:val="28"/>
          <w:szCs w:val="24"/>
        </w:rPr>
        <w:t xml:space="preserve"> </w:t>
      </w:r>
      <w:r w:rsidR="008B7145" w:rsidRPr="00251BFF">
        <w:rPr>
          <w:rFonts w:ascii="Georgia" w:hAnsi="Georgia" w:cs="Arial"/>
          <w:smallCaps/>
          <w:sz w:val="28"/>
          <w:szCs w:val="24"/>
        </w:rPr>
        <w:t xml:space="preserve">de dos mil </w:t>
      </w:r>
      <w:r w:rsidR="00566818" w:rsidRPr="00251BFF">
        <w:rPr>
          <w:rFonts w:ascii="Georgia" w:hAnsi="Georgia" w:cs="Arial"/>
          <w:smallCaps/>
          <w:sz w:val="28"/>
          <w:szCs w:val="24"/>
        </w:rPr>
        <w:t>veinte</w:t>
      </w:r>
      <w:r w:rsidR="004561E8" w:rsidRPr="00251BFF">
        <w:rPr>
          <w:rFonts w:ascii="Georgia" w:hAnsi="Georgia" w:cs="Arial"/>
          <w:smallCaps/>
          <w:sz w:val="28"/>
          <w:szCs w:val="24"/>
        </w:rPr>
        <w:t xml:space="preserve"> </w:t>
      </w:r>
      <w:r w:rsidR="008B7145" w:rsidRPr="00251BFF">
        <w:rPr>
          <w:rFonts w:ascii="Georgia" w:hAnsi="Georgia" w:cs="Arial"/>
          <w:smallCaps/>
          <w:sz w:val="28"/>
          <w:szCs w:val="24"/>
        </w:rPr>
        <w:t>(20</w:t>
      </w:r>
      <w:r w:rsidR="00566818" w:rsidRPr="00251BFF">
        <w:rPr>
          <w:rFonts w:ascii="Georgia" w:hAnsi="Georgia" w:cs="Arial"/>
          <w:smallCaps/>
          <w:sz w:val="28"/>
          <w:szCs w:val="24"/>
        </w:rPr>
        <w:t>20</w:t>
      </w:r>
      <w:r w:rsidR="008B7145" w:rsidRPr="00251BFF">
        <w:rPr>
          <w:rFonts w:ascii="Georgia" w:hAnsi="Georgia" w:cs="Arial"/>
          <w:smallCaps/>
          <w:sz w:val="28"/>
          <w:szCs w:val="24"/>
        </w:rPr>
        <w:t>).</w:t>
      </w:r>
    </w:p>
    <w:p w:rsidR="00AC7745" w:rsidRPr="00251BFF" w:rsidRDefault="00AC7745" w:rsidP="00251BFF">
      <w:pPr>
        <w:pStyle w:val="Ttulo"/>
        <w:spacing w:line="276" w:lineRule="auto"/>
        <w:rPr>
          <w:rFonts w:ascii="Georgia" w:hAnsi="Georgia" w:cs="Arial"/>
          <w:b w:val="0"/>
          <w:i w:val="0"/>
          <w:spacing w:val="-3"/>
          <w:sz w:val="16"/>
          <w:szCs w:val="22"/>
        </w:rPr>
      </w:pPr>
    </w:p>
    <w:p w:rsidR="008872A2" w:rsidRPr="00251BFF" w:rsidRDefault="00350C7A" w:rsidP="00251BFF">
      <w:pPr>
        <w:pStyle w:val="Ttulo"/>
        <w:numPr>
          <w:ilvl w:val="0"/>
          <w:numId w:val="1"/>
        </w:numPr>
        <w:spacing w:line="276" w:lineRule="auto"/>
        <w:jc w:val="left"/>
        <w:rPr>
          <w:rFonts w:ascii="Georgia" w:hAnsi="Georgia" w:cs="Arial"/>
          <w:b w:val="0"/>
          <w:i w:val="0"/>
          <w:smallCaps/>
          <w:spacing w:val="-3"/>
          <w:sz w:val="26"/>
          <w:szCs w:val="24"/>
        </w:rPr>
      </w:pPr>
      <w:r w:rsidRPr="00251BFF">
        <w:rPr>
          <w:rFonts w:ascii="Georgia" w:hAnsi="Georgia" w:cs="Arial"/>
          <w:b w:val="0"/>
          <w:i w:val="0"/>
          <w:smallCaps/>
          <w:sz w:val="26"/>
          <w:szCs w:val="24"/>
        </w:rPr>
        <w:t>el asunto por decidir</w:t>
      </w:r>
    </w:p>
    <w:p w:rsidR="008872A2" w:rsidRPr="00251BFF" w:rsidRDefault="008872A2" w:rsidP="00251BFF">
      <w:pPr>
        <w:pStyle w:val="Ttulo"/>
        <w:spacing w:line="276" w:lineRule="auto"/>
        <w:jc w:val="left"/>
        <w:rPr>
          <w:rFonts w:ascii="Georgia" w:hAnsi="Georgia" w:cs="Arial"/>
          <w:b w:val="0"/>
          <w:i w:val="0"/>
          <w:spacing w:val="-3"/>
          <w:szCs w:val="24"/>
        </w:rPr>
      </w:pPr>
    </w:p>
    <w:p w:rsidR="00566818" w:rsidRPr="00251BFF" w:rsidRDefault="00566818" w:rsidP="00251BFF">
      <w:pPr>
        <w:spacing w:line="276" w:lineRule="auto"/>
        <w:jc w:val="both"/>
        <w:rPr>
          <w:rFonts w:ascii="Georgia" w:hAnsi="Georgia" w:cs="Arial"/>
          <w:spacing w:val="-3"/>
          <w:sz w:val="24"/>
          <w:szCs w:val="24"/>
        </w:rPr>
      </w:pPr>
      <w:r w:rsidRPr="00251BFF">
        <w:rPr>
          <w:rFonts w:ascii="Georgia" w:hAnsi="Georgia" w:cs="Arial"/>
          <w:spacing w:val="-3"/>
          <w:sz w:val="24"/>
          <w:szCs w:val="24"/>
        </w:rPr>
        <w:lastRenderedPageBreak/>
        <w:t>Sería del caso proveer de fondo, sino fuera porque se aprecia una causal de invalidación procesal, que amerita pronunciamiento, en el curso del proceso de la referencia, al tenor de las consideraciones que siguen.</w:t>
      </w:r>
    </w:p>
    <w:p w:rsidR="00566818" w:rsidRPr="00251BFF" w:rsidRDefault="00566818" w:rsidP="00251BFF">
      <w:pPr>
        <w:spacing w:line="276" w:lineRule="auto"/>
        <w:jc w:val="both"/>
        <w:rPr>
          <w:rFonts w:ascii="Georgia" w:hAnsi="Georgia" w:cs="Arial"/>
          <w:sz w:val="16"/>
          <w:szCs w:val="22"/>
        </w:rPr>
      </w:pPr>
    </w:p>
    <w:p w:rsidR="008872A2" w:rsidRPr="00251BFF" w:rsidRDefault="00350C7A" w:rsidP="00251BFF">
      <w:pPr>
        <w:numPr>
          <w:ilvl w:val="0"/>
          <w:numId w:val="1"/>
        </w:numPr>
        <w:spacing w:line="276" w:lineRule="auto"/>
        <w:jc w:val="both"/>
        <w:rPr>
          <w:rFonts w:ascii="Georgia" w:hAnsi="Georgia" w:cs="Arial"/>
          <w:smallCaps/>
          <w:sz w:val="26"/>
          <w:szCs w:val="24"/>
        </w:rPr>
      </w:pPr>
      <w:r w:rsidRPr="00251BFF">
        <w:rPr>
          <w:rFonts w:ascii="Georgia" w:hAnsi="Georgia" w:cs="Arial"/>
          <w:smallCaps/>
          <w:sz w:val="26"/>
          <w:szCs w:val="24"/>
        </w:rPr>
        <w:t>la síntesis de la crónica procesal</w:t>
      </w:r>
    </w:p>
    <w:p w:rsidR="00607310" w:rsidRPr="00251BFF" w:rsidRDefault="00607310" w:rsidP="00251BFF">
      <w:pPr>
        <w:spacing w:line="276" w:lineRule="auto"/>
        <w:jc w:val="both"/>
        <w:rPr>
          <w:rFonts w:ascii="Georgia" w:hAnsi="Georgia" w:cs="Arial"/>
          <w:sz w:val="16"/>
          <w:szCs w:val="24"/>
        </w:rPr>
      </w:pPr>
    </w:p>
    <w:p w:rsidR="00566818" w:rsidRPr="00251BFF" w:rsidRDefault="00566818" w:rsidP="00251BFF">
      <w:pPr>
        <w:spacing w:line="276" w:lineRule="auto"/>
        <w:jc w:val="both"/>
        <w:rPr>
          <w:rFonts w:ascii="Georgia" w:hAnsi="Georgia" w:cs="Arial"/>
          <w:sz w:val="24"/>
          <w:szCs w:val="24"/>
        </w:rPr>
      </w:pPr>
      <w:r w:rsidRPr="00251BFF">
        <w:rPr>
          <w:rFonts w:ascii="Georgia" w:hAnsi="Georgia" w:cs="Arial"/>
          <w:sz w:val="24"/>
          <w:szCs w:val="24"/>
        </w:rPr>
        <w:t>La demanda fue asignada al Juzgado Tercero Laboral del Circuito de esta ciudad, que la admitió el 30-06-2009, ordenó notificarla, correr traslado, entre otros ordenamientos (</w:t>
      </w:r>
      <w:r w:rsidRPr="00251BFF">
        <w:rPr>
          <w:rFonts w:ascii="Georgia" w:hAnsi="Georgia" w:cs="Arial"/>
          <w:sz w:val="22"/>
          <w:szCs w:val="24"/>
        </w:rPr>
        <w:t>Folio 178, cuaderno principal, tomo I</w:t>
      </w:r>
      <w:r w:rsidRPr="00251BFF">
        <w:rPr>
          <w:rFonts w:ascii="Georgia" w:hAnsi="Georgia" w:cs="Arial"/>
          <w:sz w:val="24"/>
          <w:szCs w:val="24"/>
        </w:rPr>
        <w:t xml:space="preserve">). Los demandados ESE Hospital San Jorge de Pereira, clínica Los Rosales y la </w:t>
      </w:r>
      <w:proofErr w:type="spellStart"/>
      <w:r w:rsidRPr="00251BFF">
        <w:rPr>
          <w:rFonts w:ascii="Georgia" w:hAnsi="Georgia" w:cs="Arial"/>
          <w:sz w:val="24"/>
          <w:szCs w:val="24"/>
        </w:rPr>
        <w:t>EPS</w:t>
      </w:r>
      <w:proofErr w:type="spellEnd"/>
      <w:r w:rsidRPr="00251BFF">
        <w:rPr>
          <w:rFonts w:ascii="Georgia" w:hAnsi="Georgia" w:cs="Arial"/>
          <w:sz w:val="24"/>
          <w:szCs w:val="24"/>
        </w:rPr>
        <w:t xml:space="preserve"> Salud total, fueron notificados (</w:t>
      </w:r>
      <w:r w:rsidRPr="00251BFF">
        <w:rPr>
          <w:rFonts w:ascii="Georgia" w:hAnsi="Georgia" w:cs="Arial"/>
          <w:sz w:val="22"/>
          <w:szCs w:val="24"/>
        </w:rPr>
        <w:t>Folios 185, 196 y 497, cuaderno principal, tomos I y II</w:t>
      </w:r>
      <w:r w:rsidRPr="00251BFF">
        <w:rPr>
          <w:rFonts w:ascii="Georgia" w:hAnsi="Georgia" w:cs="Arial"/>
          <w:sz w:val="24"/>
          <w:szCs w:val="24"/>
        </w:rPr>
        <w:t>), contestaron, excepcionaron y llamaron en garantía</w:t>
      </w:r>
      <w:r w:rsidR="007B0225" w:rsidRPr="00251BFF">
        <w:rPr>
          <w:rFonts w:ascii="Georgia" w:hAnsi="Georgia" w:cs="Arial"/>
          <w:sz w:val="24"/>
          <w:szCs w:val="24"/>
        </w:rPr>
        <w:t xml:space="preserve"> a entidades aseguradoras y las </w:t>
      </w:r>
      <w:proofErr w:type="spellStart"/>
      <w:r w:rsidR="007B0225" w:rsidRPr="00251BFF">
        <w:rPr>
          <w:rFonts w:ascii="Georgia" w:hAnsi="Georgia" w:cs="Arial"/>
          <w:sz w:val="24"/>
          <w:szCs w:val="24"/>
        </w:rPr>
        <w:t>IPS</w:t>
      </w:r>
      <w:proofErr w:type="spellEnd"/>
      <w:r w:rsidR="007B0225" w:rsidRPr="00251BFF">
        <w:rPr>
          <w:rFonts w:ascii="Georgia" w:hAnsi="Georgia" w:cs="Arial"/>
          <w:sz w:val="24"/>
          <w:szCs w:val="24"/>
        </w:rPr>
        <w:t xml:space="preserve"> mencionadas</w:t>
      </w:r>
      <w:r w:rsidRPr="00251BFF">
        <w:rPr>
          <w:rFonts w:ascii="Georgia" w:hAnsi="Georgia" w:cs="Arial"/>
          <w:sz w:val="24"/>
          <w:szCs w:val="24"/>
        </w:rPr>
        <w:t>.</w:t>
      </w:r>
    </w:p>
    <w:p w:rsidR="00566818" w:rsidRPr="00251BFF" w:rsidRDefault="00566818" w:rsidP="00251BFF">
      <w:pPr>
        <w:spacing w:line="276" w:lineRule="auto"/>
        <w:jc w:val="both"/>
        <w:rPr>
          <w:rFonts w:ascii="Georgia" w:hAnsi="Georgia" w:cs="Arial"/>
          <w:szCs w:val="24"/>
        </w:rPr>
      </w:pPr>
    </w:p>
    <w:p w:rsidR="00566818" w:rsidRPr="00251BFF" w:rsidRDefault="00566818" w:rsidP="00251BFF">
      <w:pPr>
        <w:spacing w:line="276" w:lineRule="auto"/>
        <w:jc w:val="both"/>
        <w:rPr>
          <w:rFonts w:ascii="Georgia" w:hAnsi="Georgia" w:cs="Arial"/>
          <w:sz w:val="24"/>
          <w:szCs w:val="24"/>
        </w:rPr>
      </w:pPr>
      <w:r w:rsidRPr="00251BFF">
        <w:rPr>
          <w:rFonts w:ascii="Georgia" w:hAnsi="Georgia" w:cs="Arial"/>
          <w:sz w:val="24"/>
          <w:szCs w:val="24"/>
        </w:rPr>
        <w:t xml:space="preserve">En audiencia realizada el </w:t>
      </w:r>
      <w:r w:rsidR="007B0225" w:rsidRPr="00251BFF">
        <w:rPr>
          <w:rFonts w:ascii="Georgia" w:hAnsi="Georgia" w:cs="Arial"/>
          <w:sz w:val="24"/>
          <w:szCs w:val="24"/>
        </w:rPr>
        <w:t>07-02-2011</w:t>
      </w:r>
      <w:r w:rsidRPr="00251BFF">
        <w:rPr>
          <w:rFonts w:ascii="Georgia" w:hAnsi="Georgia" w:cs="Arial"/>
          <w:sz w:val="24"/>
          <w:szCs w:val="24"/>
        </w:rPr>
        <w:t xml:space="preserve"> se </w:t>
      </w:r>
      <w:r w:rsidR="007B0225" w:rsidRPr="00251BFF">
        <w:rPr>
          <w:rFonts w:ascii="Georgia" w:hAnsi="Georgia" w:cs="Arial"/>
          <w:sz w:val="24"/>
          <w:szCs w:val="24"/>
        </w:rPr>
        <w:t xml:space="preserve">resolvieron las excepciones previas, entre ellas la de falta de jurisdicción formulada por la ESE Hospital San Jorge de Pereira, y se </w:t>
      </w:r>
      <w:r w:rsidRPr="00251BFF">
        <w:rPr>
          <w:rFonts w:ascii="Georgia" w:hAnsi="Georgia" w:cs="Arial"/>
          <w:sz w:val="24"/>
          <w:szCs w:val="24"/>
        </w:rPr>
        <w:t>decretaron las pruebas (</w:t>
      </w:r>
      <w:r w:rsidRPr="00251BFF">
        <w:rPr>
          <w:rFonts w:ascii="Georgia" w:hAnsi="Georgia" w:cs="Arial"/>
          <w:sz w:val="22"/>
          <w:szCs w:val="24"/>
        </w:rPr>
        <w:t xml:space="preserve">Folios </w:t>
      </w:r>
      <w:r w:rsidR="007B0225" w:rsidRPr="00251BFF">
        <w:rPr>
          <w:rFonts w:ascii="Georgia" w:hAnsi="Georgia" w:cs="Arial"/>
          <w:sz w:val="22"/>
          <w:szCs w:val="24"/>
        </w:rPr>
        <w:t>986</w:t>
      </w:r>
      <w:r w:rsidRPr="00251BFF">
        <w:rPr>
          <w:rFonts w:ascii="Georgia" w:hAnsi="Georgia" w:cs="Arial"/>
          <w:sz w:val="22"/>
          <w:szCs w:val="24"/>
        </w:rPr>
        <w:t xml:space="preserve"> a </w:t>
      </w:r>
      <w:r w:rsidR="007B0225" w:rsidRPr="00251BFF">
        <w:rPr>
          <w:rFonts w:ascii="Georgia" w:hAnsi="Georgia" w:cs="Arial"/>
          <w:sz w:val="22"/>
          <w:szCs w:val="24"/>
        </w:rPr>
        <w:t>1000</w:t>
      </w:r>
      <w:r w:rsidRPr="00251BFF">
        <w:rPr>
          <w:rFonts w:ascii="Georgia" w:hAnsi="Georgia" w:cs="Arial"/>
          <w:sz w:val="22"/>
          <w:szCs w:val="24"/>
        </w:rPr>
        <w:t xml:space="preserve">, </w:t>
      </w:r>
      <w:r w:rsidR="007B0225" w:rsidRPr="00251BFF">
        <w:rPr>
          <w:rFonts w:ascii="Georgia" w:hAnsi="Georgia" w:cs="Arial"/>
          <w:sz w:val="22"/>
          <w:szCs w:val="24"/>
        </w:rPr>
        <w:t>cuaderno principal, tomo IV</w:t>
      </w:r>
      <w:r w:rsidRPr="00251BFF">
        <w:rPr>
          <w:rFonts w:ascii="Georgia" w:hAnsi="Georgia" w:cs="Arial"/>
          <w:sz w:val="24"/>
          <w:szCs w:val="24"/>
        </w:rPr>
        <w:t>)</w:t>
      </w:r>
      <w:r w:rsidR="007B0225" w:rsidRPr="00251BFF">
        <w:rPr>
          <w:rFonts w:ascii="Georgia" w:hAnsi="Georgia" w:cs="Arial"/>
          <w:sz w:val="24"/>
          <w:szCs w:val="24"/>
        </w:rPr>
        <w:t xml:space="preserve">. Luego, </w:t>
      </w:r>
      <w:r w:rsidRPr="00251BFF">
        <w:rPr>
          <w:rFonts w:ascii="Georgia" w:hAnsi="Georgia" w:cs="Arial"/>
          <w:sz w:val="24"/>
          <w:szCs w:val="24"/>
        </w:rPr>
        <w:t xml:space="preserve">con auto del </w:t>
      </w:r>
      <w:r w:rsidR="007B0225" w:rsidRPr="00251BFF">
        <w:rPr>
          <w:rFonts w:ascii="Georgia" w:hAnsi="Georgia" w:cs="Arial"/>
          <w:sz w:val="24"/>
          <w:szCs w:val="24"/>
        </w:rPr>
        <w:t>30</w:t>
      </w:r>
      <w:r w:rsidRPr="00251BFF">
        <w:rPr>
          <w:rFonts w:ascii="Georgia" w:hAnsi="Georgia" w:cs="Arial"/>
          <w:sz w:val="24"/>
          <w:szCs w:val="24"/>
        </w:rPr>
        <w:t xml:space="preserve">-07-2012 el Juzgado </w:t>
      </w:r>
      <w:r w:rsidR="007B0225" w:rsidRPr="00251BFF">
        <w:rPr>
          <w:rFonts w:ascii="Georgia" w:hAnsi="Georgia" w:cs="Arial"/>
          <w:sz w:val="24"/>
          <w:szCs w:val="24"/>
        </w:rPr>
        <w:t xml:space="preserve">Tercero </w:t>
      </w:r>
      <w:r w:rsidRPr="00251BFF">
        <w:rPr>
          <w:rFonts w:ascii="Georgia" w:hAnsi="Georgia" w:cs="Arial"/>
          <w:sz w:val="24"/>
          <w:szCs w:val="24"/>
        </w:rPr>
        <w:t xml:space="preserve">Laboral del Circuito – </w:t>
      </w:r>
      <w:r w:rsidR="00A4651B" w:rsidRPr="00251BFF">
        <w:rPr>
          <w:rFonts w:ascii="Georgia" w:hAnsi="Georgia" w:cs="Arial"/>
          <w:sz w:val="24"/>
          <w:szCs w:val="24"/>
        </w:rPr>
        <w:t>Adjunto Uno</w:t>
      </w:r>
      <w:r w:rsidRPr="00251BFF">
        <w:rPr>
          <w:rFonts w:ascii="Georgia" w:hAnsi="Georgia" w:cs="Arial"/>
          <w:sz w:val="24"/>
          <w:szCs w:val="24"/>
        </w:rPr>
        <w:t>, declaró su incompetencia en razón a la Ley 1564 y remitió a los Juzgados Civiles del Circuito (</w:t>
      </w:r>
      <w:r w:rsidRPr="00251BFF">
        <w:rPr>
          <w:rFonts w:ascii="Georgia" w:hAnsi="Georgia" w:cs="Arial"/>
          <w:sz w:val="22"/>
          <w:szCs w:val="24"/>
        </w:rPr>
        <w:t xml:space="preserve">Folios </w:t>
      </w:r>
      <w:r w:rsidR="00A4651B" w:rsidRPr="00251BFF">
        <w:rPr>
          <w:rFonts w:ascii="Georgia" w:hAnsi="Georgia" w:cs="Arial"/>
          <w:sz w:val="22"/>
          <w:szCs w:val="24"/>
        </w:rPr>
        <w:t>1434-1435</w:t>
      </w:r>
      <w:r w:rsidRPr="00251BFF">
        <w:rPr>
          <w:rFonts w:ascii="Georgia" w:hAnsi="Georgia" w:cs="Arial"/>
          <w:sz w:val="22"/>
          <w:szCs w:val="24"/>
        </w:rPr>
        <w:t xml:space="preserve">, cuaderno </w:t>
      </w:r>
      <w:r w:rsidR="00A4651B" w:rsidRPr="00251BFF">
        <w:rPr>
          <w:rFonts w:ascii="Georgia" w:hAnsi="Georgia" w:cs="Arial"/>
          <w:sz w:val="22"/>
          <w:szCs w:val="24"/>
        </w:rPr>
        <w:t>principal, tomo V</w:t>
      </w:r>
      <w:r w:rsidRPr="00251BFF">
        <w:rPr>
          <w:rFonts w:ascii="Georgia" w:hAnsi="Georgia" w:cs="Arial"/>
          <w:sz w:val="24"/>
          <w:szCs w:val="24"/>
        </w:rPr>
        <w:t>).</w:t>
      </w:r>
    </w:p>
    <w:p w:rsidR="00566818" w:rsidRPr="00251BFF" w:rsidRDefault="00566818" w:rsidP="00251BFF">
      <w:pPr>
        <w:spacing w:line="276" w:lineRule="auto"/>
        <w:jc w:val="both"/>
        <w:rPr>
          <w:rFonts w:ascii="Georgia" w:hAnsi="Georgia" w:cs="Arial"/>
          <w:sz w:val="24"/>
          <w:szCs w:val="24"/>
        </w:rPr>
      </w:pPr>
    </w:p>
    <w:p w:rsidR="00566818" w:rsidRPr="00251BFF" w:rsidRDefault="00566818" w:rsidP="00251BFF">
      <w:pPr>
        <w:spacing w:line="276" w:lineRule="auto"/>
        <w:jc w:val="both"/>
        <w:rPr>
          <w:rFonts w:ascii="Georgia" w:hAnsi="Georgia" w:cs="Arial"/>
          <w:sz w:val="24"/>
          <w:szCs w:val="24"/>
        </w:rPr>
      </w:pPr>
      <w:r w:rsidRPr="00251BFF">
        <w:rPr>
          <w:rFonts w:ascii="Georgia" w:hAnsi="Georgia" w:cs="Arial"/>
          <w:sz w:val="24"/>
          <w:szCs w:val="24"/>
        </w:rPr>
        <w:t xml:space="preserve">El Juzgado </w:t>
      </w:r>
      <w:r w:rsidR="00A4651B" w:rsidRPr="00251BFF">
        <w:rPr>
          <w:rFonts w:ascii="Georgia" w:hAnsi="Georgia" w:cs="Arial"/>
          <w:sz w:val="24"/>
          <w:szCs w:val="24"/>
        </w:rPr>
        <w:t>Segundo</w:t>
      </w:r>
      <w:r w:rsidRPr="00251BFF">
        <w:rPr>
          <w:rFonts w:ascii="Georgia" w:hAnsi="Georgia" w:cs="Arial"/>
          <w:sz w:val="24"/>
          <w:szCs w:val="24"/>
        </w:rPr>
        <w:t xml:space="preserve"> Civil del Circuito de esta ciudad, asumió el asunto</w:t>
      </w:r>
      <w:r w:rsidR="00A4651B" w:rsidRPr="00251BFF">
        <w:rPr>
          <w:rFonts w:ascii="Georgia" w:hAnsi="Georgia" w:cs="Arial"/>
          <w:sz w:val="24"/>
          <w:szCs w:val="24"/>
        </w:rPr>
        <w:t>, dio trámite a algunas pruebas</w:t>
      </w:r>
      <w:r w:rsidRPr="00251BFF">
        <w:rPr>
          <w:rFonts w:ascii="Georgia" w:hAnsi="Georgia" w:cs="Arial"/>
          <w:sz w:val="24"/>
          <w:szCs w:val="24"/>
        </w:rPr>
        <w:t xml:space="preserve"> y con auto fechado del </w:t>
      </w:r>
      <w:r w:rsidR="00A4651B" w:rsidRPr="00251BFF">
        <w:rPr>
          <w:rFonts w:ascii="Georgia" w:hAnsi="Georgia" w:cs="Arial"/>
          <w:sz w:val="24"/>
          <w:szCs w:val="24"/>
        </w:rPr>
        <w:t>11-12-2014</w:t>
      </w:r>
      <w:r w:rsidRPr="00251BFF">
        <w:rPr>
          <w:rFonts w:ascii="Georgia" w:hAnsi="Georgia" w:cs="Arial"/>
          <w:sz w:val="24"/>
          <w:szCs w:val="24"/>
        </w:rPr>
        <w:t>, al estar agotado el debate probatorio, corrió traslado para alegaciones finales (</w:t>
      </w:r>
      <w:r w:rsidRPr="00251BFF">
        <w:rPr>
          <w:rFonts w:ascii="Georgia" w:hAnsi="Georgia" w:cs="Arial"/>
          <w:sz w:val="22"/>
          <w:szCs w:val="24"/>
        </w:rPr>
        <w:t xml:space="preserve">Folio </w:t>
      </w:r>
      <w:r w:rsidR="00A4651B" w:rsidRPr="00251BFF">
        <w:rPr>
          <w:rFonts w:ascii="Georgia" w:hAnsi="Georgia" w:cs="Arial"/>
          <w:sz w:val="22"/>
          <w:szCs w:val="24"/>
        </w:rPr>
        <w:t>1483</w:t>
      </w:r>
      <w:r w:rsidRPr="00251BFF">
        <w:rPr>
          <w:rFonts w:ascii="Georgia" w:hAnsi="Georgia" w:cs="Arial"/>
          <w:sz w:val="22"/>
          <w:szCs w:val="24"/>
        </w:rPr>
        <w:t xml:space="preserve">, cuaderno principal, tomo </w:t>
      </w:r>
      <w:r w:rsidR="00A4651B" w:rsidRPr="00251BFF">
        <w:rPr>
          <w:rFonts w:ascii="Georgia" w:hAnsi="Georgia" w:cs="Arial"/>
          <w:sz w:val="22"/>
          <w:szCs w:val="24"/>
        </w:rPr>
        <w:t>V</w:t>
      </w:r>
      <w:r w:rsidRPr="00251BFF">
        <w:rPr>
          <w:rFonts w:ascii="Georgia" w:hAnsi="Georgia" w:cs="Arial"/>
          <w:sz w:val="22"/>
          <w:szCs w:val="24"/>
        </w:rPr>
        <w:t>I</w:t>
      </w:r>
      <w:r w:rsidRPr="00251BFF">
        <w:rPr>
          <w:rFonts w:ascii="Georgia" w:hAnsi="Georgia" w:cs="Arial"/>
          <w:sz w:val="24"/>
          <w:szCs w:val="24"/>
        </w:rPr>
        <w:t xml:space="preserve">). </w:t>
      </w:r>
      <w:r w:rsidR="00CD5597" w:rsidRPr="00251BFF">
        <w:rPr>
          <w:rFonts w:ascii="Georgia" w:hAnsi="Georgia" w:cs="Arial"/>
          <w:sz w:val="24"/>
          <w:szCs w:val="24"/>
        </w:rPr>
        <w:t xml:space="preserve">El </w:t>
      </w:r>
      <w:r w:rsidRPr="00251BFF">
        <w:rPr>
          <w:rFonts w:ascii="Georgia" w:hAnsi="Georgia" w:cs="Arial"/>
          <w:sz w:val="24"/>
          <w:szCs w:val="24"/>
        </w:rPr>
        <w:t>día 2</w:t>
      </w:r>
      <w:r w:rsidR="00A4651B" w:rsidRPr="00251BFF">
        <w:rPr>
          <w:rFonts w:ascii="Georgia" w:hAnsi="Georgia" w:cs="Arial"/>
          <w:sz w:val="24"/>
          <w:szCs w:val="24"/>
        </w:rPr>
        <w:t>5</w:t>
      </w:r>
      <w:r w:rsidRPr="00251BFF">
        <w:rPr>
          <w:rFonts w:ascii="Georgia" w:hAnsi="Georgia" w:cs="Arial"/>
          <w:sz w:val="24"/>
          <w:szCs w:val="24"/>
        </w:rPr>
        <w:t>-</w:t>
      </w:r>
      <w:r w:rsidR="00A4651B" w:rsidRPr="00251BFF">
        <w:rPr>
          <w:rFonts w:ascii="Georgia" w:hAnsi="Georgia" w:cs="Arial"/>
          <w:sz w:val="24"/>
          <w:szCs w:val="24"/>
        </w:rPr>
        <w:t>04</w:t>
      </w:r>
      <w:r w:rsidRPr="00251BFF">
        <w:rPr>
          <w:rFonts w:ascii="Georgia" w:hAnsi="Georgia" w:cs="Arial"/>
          <w:sz w:val="24"/>
          <w:szCs w:val="24"/>
        </w:rPr>
        <w:t>-201</w:t>
      </w:r>
      <w:r w:rsidR="00A4651B" w:rsidRPr="00251BFF">
        <w:rPr>
          <w:rFonts w:ascii="Georgia" w:hAnsi="Georgia" w:cs="Arial"/>
          <w:sz w:val="24"/>
          <w:szCs w:val="24"/>
        </w:rPr>
        <w:t>9</w:t>
      </w:r>
      <w:r w:rsidR="00CD5597" w:rsidRPr="00251BFF">
        <w:rPr>
          <w:rFonts w:ascii="Georgia" w:hAnsi="Georgia" w:cs="Arial"/>
          <w:sz w:val="24"/>
          <w:szCs w:val="24"/>
        </w:rPr>
        <w:t xml:space="preserve">, emitió sentencia desestimatoria </w:t>
      </w:r>
      <w:r w:rsidRPr="00251BFF">
        <w:rPr>
          <w:rFonts w:ascii="Georgia" w:hAnsi="Georgia" w:cs="Arial"/>
          <w:sz w:val="24"/>
          <w:szCs w:val="24"/>
        </w:rPr>
        <w:t>(</w:t>
      </w:r>
      <w:r w:rsidRPr="00251BFF">
        <w:rPr>
          <w:rFonts w:ascii="Georgia" w:hAnsi="Georgia" w:cs="Arial"/>
          <w:sz w:val="22"/>
          <w:szCs w:val="24"/>
        </w:rPr>
        <w:t xml:space="preserve">Folios </w:t>
      </w:r>
      <w:r w:rsidR="00A4651B" w:rsidRPr="00251BFF">
        <w:rPr>
          <w:rFonts w:ascii="Georgia" w:hAnsi="Georgia" w:cs="Arial"/>
          <w:sz w:val="22"/>
          <w:szCs w:val="24"/>
        </w:rPr>
        <w:t>1525</w:t>
      </w:r>
      <w:r w:rsidRPr="00251BFF">
        <w:rPr>
          <w:rFonts w:ascii="Georgia" w:hAnsi="Georgia" w:cs="Arial"/>
          <w:sz w:val="22"/>
          <w:szCs w:val="24"/>
        </w:rPr>
        <w:t xml:space="preserve"> a </w:t>
      </w:r>
      <w:r w:rsidR="00CD5597" w:rsidRPr="00251BFF">
        <w:rPr>
          <w:rFonts w:ascii="Georgia" w:hAnsi="Georgia" w:cs="Arial"/>
          <w:sz w:val="22"/>
          <w:szCs w:val="24"/>
        </w:rPr>
        <w:t>1534</w:t>
      </w:r>
      <w:r w:rsidRPr="00251BFF">
        <w:rPr>
          <w:rFonts w:ascii="Georgia" w:hAnsi="Georgia" w:cs="Arial"/>
          <w:sz w:val="22"/>
          <w:szCs w:val="24"/>
        </w:rPr>
        <w:t xml:space="preserve">, cuaderno principal, tomo </w:t>
      </w:r>
      <w:r w:rsidR="00CD5597" w:rsidRPr="00251BFF">
        <w:rPr>
          <w:rFonts w:ascii="Georgia" w:hAnsi="Georgia" w:cs="Arial"/>
          <w:sz w:val="22"/>
          <w:szCs w:val="24"/>
        </w:rPr>
        <w:t>V</w:t>
      </w:r>
      <w:r w:rsidRPr="00251BFF">
        <w:rPr>
          <w:rFonts w:ascii="Georgia" w:hAnsi="Georgia" w:cs="Arial"/>
          <w:sz w:val="22"/>
          <w:szCs w:val="24"/>
        </w:rPr>
        <w:t>I</w:t>
      </w:r>
      <w:r w:rsidRPr="00251BFF">
        <w:rPr>
          <w:rFonts w:ascii="Georgia" w:hAnsi="Georgia" w:cs="Arial"/>
          <w:sz w:val="24"/>
          <w:szCs w:val="24"/>
        </w:rPr>
        <w:t xml:space="preserve">) y como fuera apelada por la parte demandante, se concedió el día </w:t>
      </w:r>
      <w:r w:rsidR="00CD5597" w:rsidRPr="00251BFF">
        <w:rPr>
          <w:rFonts w:ascii="Georgia" w:hAnsi="Georgia" w:cs="Arial"/>
          <w:sz w:val="24"/>
          <w:szCs w:val="24"/>
        </w:rPr>
        <w:t>10-05-2019</w:t>
      </w:r>
      <w:r w:rsidRPr="00251BFF">
        <w:rPr>
          <w:rFonts w:ascii="Georgia" w:hAnsi="Georgia" w:cs="Arial"/>
          <w:sz w:val="24"/>
          <w:szCs w:val="24"/>
        </w:rPr>
        <w:t xml:space="preserve"> ante este Tribunal (</w:t>
      </w:r>
      <w:r w:rsidRPr="00251BFF">
        <w:rPr>
          <w:rFonts w:ascii="Georgia" w:hAnsi="Georgia" w:cs="Arial"/>
          <w:sz w:val="22"/>
          <w:szCs w:val="24"/>
        </w:rPr>
        <w:t xml:space="preserve">Folio </w:t>
      </w:r>
      <w:r w:rsidR="00CD5597" w:rsidRPr="00251BFF">
        <w:rPr>
          <w:rFonts w:ascii="Georgia" w:hAnsi="Georgia" w:cs="Arial"/>
          <w:sz w:val="22"/>
          <w:szCs w:val="24"/>
        </w:rPr>
        <w:t>1543</w:t>
      </w:r>
      <w:r w:rsidRPr="00251BFF">
        <w:rPr>
          <w:rFonts w:ascii="Georgia" w:hAnsi="Georgia" w:cs="Arial"/>
          <w:sz w:val="22"/>
          <w:szCs w:val="24"/>
        </w:rPr>
        <w:t xml:space="preserve">, cuaderno principal, tomo </w:t>
      </w:r>
      <w:r w:rsidR="00CD5597" w:rsidRPr="00251BFF">
        <w:rPr>
          <w:rFonts w:ascii="Georgia" w:hAnsi="Georgia" w:cs="Arial"/>
          <w:sz w:val="22"/>
          <w:szCs w:val="24"/>
        </w:rPr>
        <w:t>VI</w:t>
      </w:r>
      <w:r w:rsidRPr="00251BFF">
        <w:rPr>
          <w:rFonts w:ascii="Georgia" w:hAnsi="Georgia" w:cs="Arial"/>
          <w:sz w:val="24"/>
          <w:szCs w:val="24"/>
        </w:rPr>
        <w:t>).</w:t>
      </w:r>
    </w:p>
    <w:p w:rsidR="00566818" w:rsidRPr="00251BFF" w:rsidRDefault="00566818" w:rsidP="00251BFF">
      <w:pPr>
        <w:spacing w:line="276" w:lineRule="auto"/>
        <w:jc w:val="both"/>
        <w:rPr>
          <w:rFonts w:ascii="Georgia" w:hAnsi="Georgia" w:cs="Arial"/>
          <w:sz w:val="18"/>
          <w:szCs w:val="24"/>
        </w:rPr>
      </w:pPr>
    </w:p>
    <w:p w:rsidR="00566818" w:rsidRPr="00251BFF" w:rsidRDefault="00566818" w:rsidP="00251BFF">
      <w:pPr>
        <w:spacing w:line="276" w:lineRule="auto"/>
        <w:jc w:val="both"/>
        <w:rPr>
          <w:rFonts w:ascii="Georgia" w:hAnsi="Georgia" w:cs="Arial"/>
          <w:sz w:val="24"/>
          <w:szCs w:val="24"/>
        </w:rPr>
      </w:pPr>
      <w:r w:rsidRPr="00251BFF">
        <w:rPr>
          <w:rFonts w:ascii="Georgia" w:hAnsi="Georgia" w:cs="Arial"/>
          <w:sz w:val="24"/>
          <w:szCs w:val="24"/>
        </w:rPr>
        <w:t xml:space="preserve">En esta superioridad, con proveído del </w:t>
      </w:r>
      <w:r w:rsidR="00CD5597" w:rsidRPr="00251BFF">
        <w:rPr>
          <w:rFonts w:ascii="Georgia" w:hAnsi="Georgia" w:cs="Arial"/>
          <w:sz w:val="24"/>
          <w:szCs w:val="24"/>
        </w:rPr>
        <w:t>02-07-2019</w:t>
      </w:r>
      <w:r w:rsidRPr="00251BFF">
        <w:rPr>
          <w:rFonts w:ascii="Georgia" w:hAnsi="Georgia" w:cs="Arial"/>
          <w:sz w:val="24"/>
          <w:szCs w:val="24"/>
        </w:rPr>
        <w:t xml:space="preserve"> se admitió la alzada (</w:t>
      </w:r>
      <w:r w:rsidRPr="00251BFF">
        <w:rPr>
          <w:rFonts w:ascii="Georgia" w:hAnsi="Georgia" w:cs="Arial"/>
          <w:sz w:val="22"/>
          <w:szCs w:val="24"/>
        </w:rPr>
        <w:t xml:space="preserve">Folio </w:t>
      </w:r>
      <w:r w:rsidR="00CD5597" w:rsidRPr="00251BFF">
        <w:rPr>
          <w:rFonts w:ascii="Georgia" w:hAnsi="Georgia" w:cs="Arial"/>
          <w:sz w:val="22"/>
          <w:szCs w:val="24"/>
        </w:rPr>
        <w:t>3</w:t>
      </w:r>
      <w:r w:rsidRPr="00251BFF">
        <w:rPr>
          <w:rFonts w:ascii="Georgia" w:hAnsi="Georgia" w:cs="Arial"/>
          <w:sz w:val="22"/>
          <w:szCs w:val="24"/>
        </w:rPr>
        <w:t>, este cuaderno</w:t>
      </w:r>
      <w:r w:rsidRPr="00251BFF">
        <w:rPr>
          <w:rFonts w:ascii="Georgia" w:hAnsi="Georgia" w:cs="Arial"/>
          <w:sz w:val="24"/>
          <w:szCs w:val="24"/>
        </w:rPr>
        <w:t>)</w:t>
      </w:r>
      <w:r w:rsidR="00CD5597" w:rsidRPr="00251BFF">
        <w:rPr>
          <w:rFonts w:ascii="Georgia" w:hAnsi="Georgia" w:cs="Arial"/>
          <w:sz w:val="24"/>
          <w:szCs w:val="24"/>
        </w:rPr>
        <w:t xml:space="preserve"> y el 18-12-2019 se prorrogó el plazo para fallar y se fijó fecha para la audiencia del artículo 327, </w:t>
      </w:r>
      <w:proofErr w:type="spellStart"/>
      <w:r w:rsidR="00CD5597" w:rsidRPr="00251BFF">
        <w:rPr>
          <w:rFonts w:ascii="Georgia" w:hAnsi="Georgia" w:cs="Arial"/>
          <w:sz w:val="24"/>
          <w:szCs w:val="24"/>
        </w:rPr>
        <w:t>CGP</w:t>
      </w:r>
      <w:proofErr w:type="spellEnd"/>
      <w:r w:rsidRPr="00251BFF">
        <w:rPr>
          <w:rFonts w:ascii="Georgia" w:hAnsi="Georgia" w:cs="Arial"/>
          <w:sz w:val="24"/>
          <w:szCs w:val="24"/>
        </w:rPr>
        <w:t xml:space="preserve"> (</w:t>
      </w:r>
      <w:r w:rsidRPr="00251BFF">
        <w:rPr>
          <w:rFonts w:ascii="Georgia" w:hAnsi="Georgia" w:cs="Arial"/>
          <w:sz w:val="22"/>
          <w:szCs w:val="24"/>
        </w:rPr>
        <w:t>Folio 6, este cuaderno</w:t>
      </w:r>
      <w:r w:rsidRPr="00251BFF">
        <w:rPr>
          <w:rFonts w:ascii="Georgia" w:hAnsi="Georgia" w:cs="Arial"/>
          <w:sz w:val="24"/>
          <w:szCs w:val="24"/>
        </w:rPr>
        <w:t>)</w:t>
      </w:r>
      <w:r w:rsidR="00CD5597" w:rsidRPr="00251BFF">
        <w:rPr>
          <w:rFonts w:ascii="Georgia" w:hAnsi="Georgia" w:cs="Arial"/>
          <w:sz w:val="24"/>
          <w:szCs w:val="24"/>
        </w:rPr>
        <w:t>.</w:t>
      </w:r>
    </w:p>
    <w:p w:rsidR="00566818" w:rsidRPr="00251BFF" w:rsidRDefault="00566818" w:rsidP="00251BFF">
      <w:pPr>
        <w:spacing w:line="276" w:lineRule="auto"/>
        <w:jc w:val="both"/>
        <w:rPr>
          <w:rFonts w:ascii="Georgia" w:hAnsi="Georgia" w:cs="Arial"/>
          <w:sz w:val="18"/>
          <w:szCs w:val="24"/>
        </w:rPr>
      </w:pPr>
    </w:p>
    <w:p w:rsidR="00E316D9" w:rsidRPr="00251BFF" w:rsidRDefault="00350C7A" w:rsidP="00251BFF">
      <w:pPr>
        <w:pStyle w:val="Prrafodelista"/>
        <w:numPr>
          <w:ilvl w:val="0"/>
          <w:numId w:val="1"/>
        </w:numPr>
        <w:tabs>
          <w:tab w:val="left" w:pos="-720"/>
        </w:tabs>
        <w:suppressAutoHyphens/>
        <w:spacing w:line="276" w:lineRule="auto"/>
        <w:jc w:val="both"/>
        <w:rPr>
          <w:rFonts w:ascii="Georgia" w:hAnsi="Georgia" w:cs="Arial"/>
          <w:smallCaps/>
          <w:spacing w:val="-3"/>
          <w:sz w:val="26"/>
          <w:szCs w:val="24"/>
        </w:rPr>
      </w:pPr>
      <w:r w:rsidRPr="00251BFF">
        <w:rPr>
          <w:rFonts w:ascii="Georgia" w:hAnsi="Georgia" w:cs="Arial"/>
          <w:smallCaps/>
          <w:spacing w:val="-3"/>
          <w:sz w:val="26"/>
          <w:szCs w:val="24"/>
        </w:rPr>
        <w:t>las estimaciones jurídicas para decidir</w:t>
      </w:r>
    </w:p>
    <w:p w:rsidR="00647818" w:rsidRPr="00251BFF" w:rsidRDefault="00647818" w:rsidP="00251BFF">
      <w:pPr>
        <w:pStyle w:val="Sinespaciado"/>
        <w:widowControl/>
        <w:autoSpaceDE/>
        <w:autoSpaceDN/>
        <w:adjustRightInd/>
        <w:spacing w:line="276" w:lineRule="auto"/>
        <w:ind w:left="360"/>
        <w:jc w:val="both"/>
        <w:rPr>
          <w:rFonts w:ascii="Georgia" w:hAnsi="Georgia" w:cs="Arial"/>
          <w:sz w:val="18"/>
        </w:rPr>
      </w:pPr>
    </w:p>
    <w:p w:rsidR="00582F12" w:rsidRPr="00251BFF" w:rsidRDefault="00582F12" w:rsidP="00251BFF">
      <w:pPr>
        <w:pStyle w:val="Sinespaciado"/>
        <w:widowControl/>
        <w:numPr>
          <w:ilvl w:val="1"/>
          <w:numId w:val="1"/>
        </w:numPr>
        <w:autoSpaceDE/>
        <w:autoSpaceDN/>
        <w:adjustRightInd/>
        <w:spacing w:line="276" w:lineRule="auto"/>
        <w:jc w:val="both"/>
        <w:rPr>
          <w:rFonts w:ascii="Georgia" w:hAnsi="Georgia" w:cs="Arial"/>
          <w:smallCaps/>
        </w:rPr>
      </w:pPr>
      <w:r w:rsidRPr="00251BFF">
        <w:rPr>
          <w:rFonts w:ascii="Georgia" w:hAnsi="Georgia" w:cs="Arial"/>
          <w:smallCaps/>
        </w:rPr>
        <w:t>El régimen de las nulidades procesales</w:t>
      </w:r>
    </w:p>
    <w:p w:rsidR="002825A8" w:rsidRPr="00251BFF" w:rsidRDefault="002825A8" w:rsidP="00251BFF">
      <w:pPr>
        <w:pStyle w:val="Sinespaciado"/>
        <w:widowControl/>
        <w:autoSpaceDE/>
        <w:autoSpaceDN/>
        <w:adjustRightInd/>
        <w:spacing w:line="276" w:lineRule="auto"/>
        <w:jc w:val="both"/>
        <w:rPr>
          <w:rFonts w:ascii="Georgia" w:hAnsi="Georgia" w:cs="Arial"/>
          <w:sz w:val="16"/>
        </w:rPr>
      </w:pPr>
    </w:p>
    <w:p w:rsidR="00526C51" w:rsidRPr="00251BFF" w:rsidRDefault="00526C51" w:rsidP="00251BFF">
      <w:pPr>
        <w:tabs>
          <w:tab w:val="left" w:pos="-720"/>
        </w:tabs>
        <w:suppressAutoHyphens/>
        <w:spacing w:line="276" w:lineRule="auto"/>
        <w:jc w:val="both"/>
        <w:rPr>
          <w:rFonts w:ascii="Georgia" w:hAnsi="Georgia" w:cs="Arial"/>
          <w:sz w:val="24"/>
          <w:szCs w:val="22"/>
        </w:rPr>
      </w:pPr>
      <w:r w:rsidRPr="00251BFF">
        <w:rPr>
          <w:rFonts w:ascii="Georgia" w:hAnsi="Georgia" w:cs="Arial"/>
          <w:sz w:val="24"/>
        </w:rPr>
        <w:t>El ordenamiento legal, vigente en nuestro país, consagra como regla que l</w:t>
      </w:r>
      <w:r w:rsidRPr="00251BFF">
        <w:rPr>
          <w:rFonts w:ascii="Georgia" w:hAnsi="Georgia" w:cs="Arial"/>
          <w:sz w:val="24"/>
          <w:szCs w:val="22"/>
        </w:rPr>
        <w:t xml:space="preserve">a institución de las nulidades de tipo procedimental está estatuida con el propósito de salvaguardar el derecho constitucional del “debido proceso” y su derivado natural, el derecho de defensa (Artículo 29, </w:t>
      </w:r>
      <w:proofErr w:type="spellStart"/>
      <w:r w:rsidRPr="00251BFF">
        <w:rPr>
          <w:rFonts w:ascii="Georgia" w:hAnsi="Georgia" w:cs="Arial"/>
          <w:sz w:val="24"/>
          <w:szCs w:val="22"/>
        </w:rPr>
        <w:t>CP</w:t>
      </w:r>
      <w:proofErr w:type="spellEnd"/>
      <w:r w:rsidRPr="00251BFF">
        <w:rPr>
          <w:rFonts w:ascii="Georgia" w:hAnsi="Georgia" w:cs="Arial"/>
          <w:sz w:val="24"/>
          <w:szCs w:val="22"/>
        </w:rPr>
        <w:t>).</w:t>
      </w:r>
    </w:p>
    <w:p w:rsidR="00526C51" w:rsidRPr="00251BFF" w:rsidRDefault="00526C51" w:rsidP="00251BFF">
      <w:pPr>
        <w:spacing w:line="276" w:lineRule="auto"/>
        <w:jc w:val="both"/>
        <w:rPr>
          <w:rFonts w:ascii="Georgia" w:hAnsi="Georgia" w:cs="Arial"/>
          <w:sz w:val="16"/>
          <w:szCs w:val="26"/>
        </w:rPr>
      </w:pPr>
    </w:p>
    <w:p w:rsidR="00526C51" w:rsidRPr="00251BFF" w:rsidRDefault="00071273" w:rsidP="00251BFF">
      <w:pPr>
        <w:spacing w:line="276" w:lineRule="auto"/>
        <w:jc w:val="both"/>
        <w:rPr>
          <w:rFonts w:ascii="Georgia" w:hAnsi="Georgia" w:cs="Arial"/>
          <w:i/>
          <w:sz w:val="24"/>
          <w:szCs w:val="22"/>
        </w:rPr>
      </w:pPr>
      <w:r w:rsidRPr="00251BFF">
        <w:rPr>
          <w:rFonts w:ascii="Georgia" w:hAnsi="Georgia"/>
          <w:sz w:val="24"/>
          <w:szCs w:val="24"/>
        </w:rPr>
        <w:t>Es preciso advertir que este instrumento,</w:t>
      </w:r>
      <w:r w:rsidR="00526C51" w:rsidRPr="00251BFF">
        <w:rPr>
          <w:rFonts w:ascii="Georgia" w:hAnsi="Georgia"/>
          <w:sz w:val="24"/>
          <w:szCs w:val="24"/>
        </w:rPr>
        <w:t xml:space="preserve"> reglamentad</w:t>
      </w:r>
      <w:r w:rsidRPr="00251BFF">
        <w:rPr>
          <w:rFonts w:ascii="Georgia" w:hAnsi="Georgia"/>
          <w:sz w:val="24"/>
          <w:szCs w:val="24"/>
        </w:rPr>
        <w:t xml:space="preserve">o por </w:t>
      </w:r>
      <w:r w:rsidR="00526C51" w:rsidRPr="00251BFF">
        <w:rPr>
          <w:rFonts w:ascii="Georgia" w:hAnsi="Georgia"/>
          <w:sz w:val="24"/>
          <w:szCs w:val="24"/>
        </w:rPr>
        <w:t>l</w:t>
      </w:r>
      <w:r w:rsidRPr="00251BFF">
        <w:rPr>
          <w:rFonts w:ascii="Georgia" w:hAnsi="Georgia"/>
          <w:sz w:val="24"/>
          <w:szCs w:val="24"/>
        </w:rPr>
        <w:t>os</w:t>
      </w:r>
      <w:r w:rsidR="00526C51" w:rsidRPr="00251BFF">
        <w:rPr>
          <w:rFonts w:ascii="Georgia" w:hAnsi="Georgia"/>
          <w:sz w:val="24"/>
          <w:szCs w:val="24"/>
        </w:rPr>
        <w:t xml:space="preserve"> artículo</w:t>
      </w:r>
      <w:r w:rsidRPr="00251BFF">
        <w:rPr>
          <w:rFonts w:ascii="Georgia" w:hAnsi="Georgia"/>
          <w:sz w:val="24"/>
          <w:szCs w:val="24"/>
        </w:rPr>
        <w:t>s</w:t>
      </w:r>
      <w:r w:rsidR="00526C51" w:rsidRPr="00251BFF">
        <w:rPr>
          <w:rFonts w:ascii="Georgia" w:hAnsi="Georgia"/>
          <w:sz w:val="24"/>
          <w:szCs w:val="24"/>
        </w:rPr>
        <w:t xml:space="preserve"> 133 </w:t>
      </w:r>
      <w:r w:rsidRPr="00251BFF">
        <w:rPr>
          <w:rFonts w:ascii="Georgia" w:hAnsi="Georgia"/>
          <w:sz w:val="24"/>
          <w:szCs w:val="24"/>
        </w:rPr>
        <w:t xml:space="preserve">y </w:t>
      </w:r>
      <w:proofErr w:type="spellStart"/>
      <w:r w:rsidRPr="00251BFF">
        <w:rPr>
          <w:rFonts w:ascii="Georgia" w:hAnsi="Georgia"/>
          <w:sz w:val="24"/>
          <w:szCs w:val="24"/>
        </w:rPr>
        <w:t>ss</w:t>
      </w:r>
      <w:proofErr w:type="spellEnd"/>
      <w:r w:rsidRPr="00251BFF">
        <w:rPr>
          <w:rFonts w:ascii="Georgia" w:hAnsi="Georgia"/>
          <w:sz w:val="24"/>
          <w:szCs w:val="24"/>
        </w:rPr>
        <w:t xml:space="preserve">, </w:t>
      </w:r>
      <w:proofErr w:type="spellStart"/>
      <w:r w:rsidR="00526C51" w:rsidRPr="00251BFF">
        <w:rPr>
          <w:rFonts w:ascii="Georgia" w:hAnsi="Georgia"/>
          <w:sz w:val="24"/>
          <w:szCs w:val="24"/>
        </w:rPr>
        <w:t>CGP</w:t>
      </w:r>
      <w:proofErr w:type="spellEnd"/>
      <w:r w:rsidR="00526C51" w:rsidRPr="00251BFF">
        <w:rPr>
          <w:rFonts w:ascii="Georgia" w:hAnsi="Georgia"/>
          <w:sz w:val="24"/>
          <w:szCs w:val="24"/>
        </w:rPr>
        <w:t xml:space="preserve">, no tuvo cambios sustanciales respecto a lo regulado en el </w:t>
      </w:r>
      <w:proofErr w:type="spellStart"/>
      <w:r w:rsidR="00526C51" w:rsidRPr="00251BFF">
        <w:rPr>
          <w:rFonts w:ascii="Georgia" w:hAnsi="Georgia"/>
          <w:sz w:val="24"/>
          <w:szCs w:val="24"/>
        </w:rPr>
        <w:t>CPC</w:t>
      </w:r>
      <w:proofErr w:type="spellEnd"/>
      <w:r w:rsidR="00526C51" w:rsidRPr="00251BFF">
        <w:rPr>
          <w:rFonts w:ascii="Georgia" w:hAnsi="Georgia"/>
          <w:sz w:val="24"/>
          <w:szCs w:val="24"/>
        </w:rPr>
        <w:t xml:space="preserve"> (</w:t>
      </w:r>
      <w:r w:rsidR="00526C51" w:rsidRPr="00251BFF">
        <w:rPr>
          <w:rFonts w:ascii="Georgia" w:hAnsi="Georgia"/>
          <w:sz w:val="22"/>
          <w:szCs w:val="24"/>
        </w:rPr>
        <w:t>Artículos 140 y 141</w:t>
      </w:r>
      <w:r w:rsidR="00526C51" w:rsidRPr="00251BFF">
        <w:rPr>
          <w:rFonts w:ascii="Georgia" w:hAnsi="Georgia"/>
          <w:sz w:val="24"/>
          <w:szCs w:val="24"/>
        </w:rPr>
        <w:t>), salvo que desapareció la causal del artículo 141-1º y se erigieron otras especiales (</w:t>
      </w:r>
      <w:r w:rsidR="00526C51" w:rsidRPr="00251BFF">
        <w:rPr>
          <w:rFonts w:ascii="Georgia" w:hAnsi="Georgia"/>
          <w:sz w:val="22"/>
          <w:szCs w:val="24"/>
        </w:rPr>
        <w:t xml:space="preserve">Artículos 14, 36, 38, 107, 164 y 121, </w:t>
      </w:r>
      <w:proofErr w:type="spellStart"/>
      <w:r w:rsidR="00526C51" w:rsidRPr="00251BFF">
        <w:rPr>
          <w:rFonts w:ascii="Georgia" w:hAnsi="Georgia"/>
          <w:sz w:val="22"/>
          <w:szCs w:val="24"/>
        </w:rPr>
        <w:t>CGP</w:t>
      </w:r>
      <w:proofErr w:type="spellEnd"/>
      <w:r w:rsidR="00526C51" w:rsidRPr="00251BFF">
        <w:rPr>
          <w:rFonts w:ascii="Georgia" w:hAnsi="Georgia"/>
          <w:sz w:val="24"/>
          <w:szCs w:val="24"/>
        </w:rPr>
        <w:t xml:space="preserve">). De tal suerte que la jurisprudencia y doctrina que se han encargado de estudiar el tema con arreglo al </w:t>
      </w:r>
      <w:proofErr w:type="spellStart"/>
      <w:r w:rsidR="00526C51" w:rsidRPr="00251BFF">
        <w:rPr>
          <w:rFonts w:ascii="Georgia" w:hAnsi="Georgia"/>
          <w:sz w:val="24"/>
          <w:szCs w:val="24"/>
        </w:rPr>
        <w:t>CPC</w:t>
      </w:r>
      <w:proofErr w:type="spellEnd"/>
      <w:r w:rsidR="00526C51" w:rsidRPr="00251BFF">
        <w:rPr>
          <w:rFonts w:ascii="Georgia" w:hAnsi="Georgia" w:cs="Arial"/>
          <w:sz w:val="24"/>
          <w:szCs w:val="22"/>
        </w:rPr>
        <w:t>, s</w:t>
      </w:r>
      <w:r w:rsidR="003862AD" w:rsidRPr="00251BFF">
        <w:rPr>
          <w:rFonts w:ascii="Georgia" w:hAnsi="Georgia" w:cs="Arial"/>
          <w:sz w:val="24"/>
          <w:szCs w:val="22"/>
        </w:rPr>
        <w:t>on</w:t>
      </w:r>
      <w:r w:rsidR="00526C51" w:rsidRPr="00251BFF">
        <w:rPr>
          <w:rFonts w:ascii="Georgia" w:hAnsi="Georgia" w:cs="Arial"/>
          <w:sz w:val="24"/>
          <w:szCs w:val="22"/>
        </w:rPr>
        <w:t xml:space="preserve"> aplicable</w:t>
      </w:r>
      <w:r w:rsidR="003862AD" w:rsidRPr="00251BFF">
        <w:rPr>
          <w:rFonts w:ascii="Georgia" w:hAnsi="Georgia" w:cs="Arial"/>
          <w:sz w:val="24"/>
          <w:szCs w:val="22"/>
        </w:rPr>
        <w:t>s</w:t>
      </w:r>
      <w:r w:rsidR="00411109" w:rsidRPr="00251BFF">
        <w:rPr>
          <w:rFonts w:ascii="Georgia" w:hAnsi="Georgia" w:cs="Arial"/>
          <w:sz w:val="24"/>
          <w:szCs w:val="22"/>
        </w:rPr>
        <w:t xml:space="preserve"> para el nuevo estatuto, en su mayoría.</w:t>
      </w:r>
    </w:p>
    <w:p w:rsidR="00526C51" w:rsidRPr="00251BFF" w:rsidRDefault="00526C51" w:rsidP="00251B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sz w:val="16"/>
          <w:szCs w:val="22"/>
        </w:rPr>
      </w:pPr>
    </w:p>
    <w:p w:rsidR="00526C51" w:rsidRPr="00251BFF" w:rsidRDefault="00526C51" w:rsidP="00251B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sz w:val="24"/>
          <w:szCs w:val="22"/>
        </w:rPr>
      </w:pPr>
      <w:r w:rsidRPr="00251BFF">
        <w:rPr>
          <w:rFonts w:ascii="Georgia" w:hAnsi="Georgia" w:cs="Arial"/>
          <w:sz w:val="24"/>
          <w:szCs w:val="22"/>
        </w:rPr>
        <w:t xml:space="preserve">El régimen de esta figura, está informado por el principio de la </w:t>
      </w:r>
      <w:proofErr w:type="spellStart"/>
      <w:r w:rsidRPr="00251BFF">
        <w:rPr>
          <w:rFonts w:ascii="Georgia" w:hAnsi="Georgia" w:cs="Arial"/>
          <w:sz w:val="24"/>
          <w:szCs w:val="22"/>
        </w:rPr>
        <w:t>taxatividad</w:t>
      </w:r>
      <w:proofErr w:type="spellEnd"/>
      <w:r w:rsidRPr="00251BFF">
        <w:rPr>
          <w:rFonts w:ascii="Georgia" w:hAnsi="Georgia" w:cs="Arial"/>
          <w:sz w:val="24"/>
          <w:szCs w:val="22"/>
        </w:rPr>
        <w:t xml:space="preserve"> o especificidad, que puede </w:t>
      </w:r>
      <w:r w:rsidRPr="00251BFF">
        <w:rPr>
          <w:rFonts w:ascii="Georgia" w:hAnsi="Georgia" w:cs="Arial"/>
          <w:sz w:val="24"/>
          <w:szCs w:val="24"/>
        </w:rPr>
        <w:t xml:space="preserve">consultarse en la doctrina, pacífica, de los profesores Canosa </w:t>
      </w:r>
      <w:r w:rsidRPr="00251BFF">
        <w:rPr>
          <w:rFonts w:ascii="Georgia" w:hAnsi="Georgia" w:cs="Arial"/>
          <w:sz w:val="24"/>
          <w:szCs w:val="24"/>
        </w:rPr>
        <w:lastRenderedPageBreak/>
        <w:t>T.</w:t>
      </w:r>
      <w:r w:rsidRPr="00251BFF">
        <w:rPr>
          <w:rStyle w:val="Refdenotaalpie"/>
          <w:rFonts w:ascii="Georgia" w:hAnsi="Georgia" w:cs="Arial"/>
          <w:sz w:val="24"/>
          <w:szCs w:val="24"/>
        </w:rPr>
        <w:footnoteReference w:id="1"/>
      </w:r>
      <w:r w:rsidRPr="00251BFF">
        <w:rPr>
          <w:rFonts w:ascii="Georgia" w:hAnsi="Georgia" w:cs="Arial"/>
          <w:sz w:val="24"/>
          <w:szCs w:val="24"/>
        </w:rPr>
        <w:t>, López B.</w:t>
      </w:r>
      <w:r w:rsidRPr="00251BFF">
        <w:rPr>
          <w:rStyle w:val="Refdenotaalpie"/>
          <w:rFonts w:ascii="Georgia" w:hAnsi="Georgia" w:cs="Arial"/>
          <w:sz w:val="24"/>
          <w:szCs w:val="24"/>
        </w:rPr>
        <w:footnoteReference w:id="2"/>
      </w:r>
      <w:r w:rsidRPr="00251BFF">
        <w:rPr>
          <w:rFonts w:ascii="Georgia" w:hAnsi="Georgia" w:cs="Arial"/>
          <w:sz w:val="24"/>
          <w:szCs w:val="24"/>
        </w:rPr>
        <w:t>, Azula C.</w:t>
      </w:r>
      <w:r w:rsidRPr="00251BFF">
        <w:rPr>
          <w:rStyle w:val="Refdenotaalpie"/>
          <w:rFonts w:ascii="Georgia" w:hAnsi="Georgia" w:cs="Arial"/>
          <w:sz w:val="24"/>
          <w:szCs w:val="24"/>
        </w:rPr>
        <w:footnoteReference w:id="3"/>
      </w:r>
      <w:r w:rsidRPr="00251BFF">
        <w:rPr>
          <w:rFonts w:ascii="Georgia" w:hAnsi="Georgia" w:cs="Arial"/>
          <w:sz w:val="24"/>
          <w:szCs w:val="24"/>
        </w:rPr>
        <w:t xml:space="preserve"> y Rojas G.</w:t>
      </w:r>
      <w:r w:rsidRPr="00251BFF">
        <w:rPr>
          <w:rStyle w:val="Refdenotaalpie"/>
          <w:rFonts w:ascii="Georgia" w:hAnsi="Georgia" w:cs="Arial"/>
          <w:sz w:val="24"/>
          <w:szCs w:val="24"/>
        </w:rPr>
        <w:footnoteReference w:id="4"/>
      </w:r>
      <w:r w:rsidRPr="00251BFF">
        <w:rPr>
          <w:rFonts w:ascii="Georgia" w:hAnsi="Georgia" w:cs="Arial"/>
          <w:sz w:val="24"/>
          <w:szCs w:val="24"/>
        </w:rPr>
        <w:t xml:space="preserve"> </w:t>
      </w:r>
      <w:r w:rsidRPr="00251BFF">
        <w:rPr>
          <w:rFonts w:ascii="Georgia" w:hAnsi="Georgia" w:cs="Arial"/>
          <w:sz w:val="24"/>
          <w:szCs w:val="22"/>
        </w:rPr>
        <w:t>y Sanabria S</w:t>
      </w:r>
      <w:r w:rsidRPr="00251BFF">
        <w:rPr>
          <w:rStyle w:val="Refdenotaalpie"/>
          <w:rFonts w:ascii="Georgia" w:hAnsi="Georgia"/>
          <w:sz w:val="24"/>
          <w:szCs w:val="22"/>
        </w:rPr>
        <w:footnoteReference w:id="5"/>
      </w:r>
      <w:r w:rsidRPr="00251BFF">
        <w:rPr>
          <w:rFonts w:ascii="Georgia" w:hAnsi="Georgia" w:cs="Arial"/>
          <w:sz w:val="24"/>
          <w:szCs w:val="22"/>
        </w:rPr>
        <w:t xml:space="preserve">. Otros principios de igual entidad que permean </w:t>
      </w:r>
      <w:r w:rsidR="00071273" w:rsidRPr="00251BFF">
        <w:rPr>
          <w:rFonts w:ascii="Georgia" w:hAnsi="Georgia" w:cs="Arial"/>
          <w:sz w:val="24"/>
          <w:szCs w:val="22"/>
        </w:rPr>
        <w:t xml:space="preserve">la herramienta </w:t>
      </w:r>
      <w:r w:rsidRPr="00251BFF">
        <w:rPr>
          <w:rFonts w:ascii="Georgia" w:hAnsi="Georgia" w:cs="Arial"/>
          <w:sz w:val="24"/>
          <w:szCs w:val="22"/>
        </w:rPr>
        <w:t>en comento, son el de preclusión, protección, convalidación, trascendencia y legitimación para invocarla, así lo reconoce la CSJ</w:t>
      </w:r>
      <w:r w:rsidRPr="00251BFF">
        <w:rPr>
          <w:rStyle w:val="Refdenotaalpie"/>
          <w:rFonts w:ascii="Georgia" w:hAnsi="Georgia"/>
          <w:sz w:val="24"/>
          <w:szCs w:val="22"/>
        </w:rPr>
        <w:footnoteReference w:id="6"/>
      </w:r>
      <w:r w:rsidRPr="00251BFF">
        <w:rPr>
          <w:rFonts w:ascii="Georgia" w:hAnsi="Georgia" w:cs="Arial"/>
          <w:sz w:val="24"/>
          <w:szCs w:val="22"/>
        </w:rPr>
        <w:t xml:space="preserve">. </w:t>
      </w:r>
    </w:p>
    <w:p w:rsidR="002E125F" w:rsidRPr="00251BFF" w:rsidRDefault="002E125F" w:rsidP="00251B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sz w:val="24"/>
          <w:szCs w:val="22"/>
        </w:rPr>
      </w:pPr>
    </w:p>
    <w:p w:rsidR="00647818" w:rsidRPr="00251BFF" w:rsidRDefault="00526C51" w:rsidP="00251B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sz w:val="24"/>
          <w:szCs w:val="24"/>
        </w:rPr>
      </w:pPr>
      <w:r w:rsidRPr="00251BFF">
        <w:rPr>
          <w:rFonts w:ascii="Georgia" w:hAnsi="Georgia" w:cs="Arial"/>
          <w:sz w:val="24"/>
        </w:rPr>
        <w:t>Las sentencias C-491 de 1995 y C-217 de 1996 de la Corte Constitucional, agregó otra causal, en los siguientes términos:</w:t>
      </w:r>
      <w:r w:rsidRPr="00251BFF">
        <w:rPr>
          <w:rFonts w:ascii="Georgia" w:hAnsi="Georgia" w:cs="Arial"/>
        </w:rPr>
        <w:t xml:space="preserve"> </w:t>
      </w:r>
      <w:r w:rsidRPr="00251BFF">
        <w:rPr>
          <w:rFonts w:ascii="Georgia" w:hAnsi="Georgia" w:cs="Arial"/>
          <w:i/>
          <w:sz w:val="22"/>
        </w:rPr>
        <w:t>“Además de dichas causales legales de nulidad es viable y puede ser invocada la consagrada en el artículo 29 de la Constitución, según el cual es nula, de pleno derecho, la prueba obtenida con violación del debido proceso, (...)”</w:t>
      </w:r>
      <w:r w:rsidR="00071273" w:rsidRPr="00251BFF">
        <w:rPr>
          <w:rFonts w:ascii="Georgia" w:hAnsi="Georgia" w:cs="Arial"/>
          <w:i/>
          <w:sz w:val="22"/>
        </w:rPr>
        <w:t>.</w:t>
      </w:r>
      <w:r w:rsidR="00071273" w:rsidRPr="00251BFF">
        <w:rPr>
          <w:rFonts w:ascii="Georgia" w:hAnsi="Georgia" w:cs="Arial"/>
          <w:sz w:val="22"/>
        </w:rPr>
        <w:t xml:space="preserve"> </w:t>
      </w:r>
      <w:r w:rsidR="00071273" w:rsidRPr="00251BFF">
        <w:rPr>
          <w:rFonts w:ascii="Georgia" w:hAnsi="Georgia" w:cs="Arial"/>
          <w:sz w:val="24"/>
          <w:szCs w:val="24"/>
        </w:rPr>
        <w:t xml:space="preserve">Hoy reconocidas en el </w:t>
      </w:r>
      <w:proofErr w:type="spellStart"/>
      <w:r w:rsidR="00071273" w:rsidRPr="00251BFF">
        <w:rPr>
          <w:rFonts w:ascii="Georgia" w:hAnsi="Georgia" w:cs="Arial"/>
          <w:sz w:val="24"/>
          <w:szCs w:val="24"/>
        </w:rPr>
        <w:t>CGP</w:t>
      </w:r>
      <w:proofErr w:type="spellEnd"/>
      <w:r w:rsidR="00071273" w:rsidRPr="00251BFF">
        <w:rPr>
          <w:rFonts w:ascii="Georgia" w:hAnsi="Georgia" w:cs="Arial"/>
          <w:sz w:val="24"/>
          <w:szCs w:val="24"/>
        </w:rPr>
        <w:t xml:space="preserve"> (</w:t>
      </w:r>
      <w:r w:rsidR="00071273" w:rsidRPr="00251BFF">
        <w:rPr>
          <w:rFonts w:ascii="Georgia" w:hAnsi="Georgia" w:cs="Arial"/>
          <w:sz w:val="22"/>
          <w:szCs w:val="24"/>
        </w:rPr>
        <w:t>Artículos 14, 164 y 168</w:t>
      </w:r>
      <w:r w:rsidR="00071273" w:rsidRPr="00251BFF">
        <w:rPr>
          <w:rFonts w:ascii="Georgia" w:hAnsi="Georgia" w:cs="Arial"/>
          <w:sz w:val="24"/>
          <w:szCs w:val="24"/>
        </w:rPr>
        <w:t>)</w:t>
      </w:r>
      <w:r w:rsidR="00071273" w:rsidRPr="00251BFF">
        <w:rPr>
          <w:rFonts w:ascii="Georgia" w:hAnsi="Georgia" w:cs="Arial"/>
          <w:sz w:val="24"/>
        </w:rPr>
        <w:t xml:space="preserve"> y, revalidada</w:t>
      </w:r>
      <w:r w:rsidR="00CA0F6D" w:rsidRPr="00251BFF">
        <w:rPr>
          <w:rFonts w:ascii="Georgia" w:hAnsi="Georgia" w:cs="Arial"/>
          <w:sz w:val="24"/>
        </w:rPr>
        <w:t>s</w:t>
      </w:r>
      <w:r w:rsidR="00071273" w:rsidRPr="00251BFF">
        <w:rPr>
          <w:rFonts w:ascii="Georgia" w:hAnsi="Georgia" w:cs="Arial"/>
          <w:sz w:val="24"/>
        </w:rPr>
        <w:t xml:space="preserve"> con la C-537 de 2016, que declaró exequible, entre otros, al mentado artículo 133, y que es distinta de la prevista en su numeral 5º.</w:t>
      </w:r>
    </w:p>
    <w:p w:rsidR="00B704FA" w:rsidRPr="00251BFF" w:rsidRDefault="00B704FA" w:rsidP="00251BFF">
      <w:pPr>
        <w:tabs>
          <w:tab w:val="left" w:pos="-720"/>
        </w:tabs>
        <w:suppressAutoHyphens/>
        <w:spacing w:line="276" w:lineRule="auto"/>
        <w:jc w:val="both"/>
        <w:rPr>
          <w:rFonts w:ascii="Georgia" w:hAnsi="Georgia" w:cs="Arial"/>
          <w:sz w:val="22"/>
          <w:szCs w:val="24"/>
        </w:rPr>
      </w:pPr>
    </w:p>
    <w:p w:rsidR="008247CC" w:rsidRPr="00251BFF" w:rsidRDefault="008247CC" w:rsidP="00251BFF">
      <w:pPr>
        <w:pStyle w:val="Sinespaciado"/>
        <w:widowControl/>
        <w:numPr>
          <w:ilvl w:val="1"/>
          <w:numId w:val="1"/>
        </w:numPr>
        <w:autoSpaceDE/>
        <w:autoSpaceDN/>
        <w:adjustRightInd/>
        <w:spacing w:line="276" w:lineRule="auto"/>
        <w:jc w:val="both"/>
        <w:rPr>
          <w:rFonts w:ascii="Georgia" w:hAnsi="Georgia" w:cs="Arial"/>
          <w:smallCaps/>
        </w:rPr>
      </w:pPr>
      <w:r w:rsidRPr="00251BFF">
        <w:rPr>
          <w:rFonts w:ascii="Georgia" w:hAnsi="Georgia" w:cs="Arial"/>
          <w:smallCaps/>
        </w:rPr>
        <w:t>Los presupuestos de las nulidades procesales</w:t>
      </w:r>
    </w:p>
    <w:p w:rsidR="00877480" w:rsidRPr="00251BFF" w:rsidRDefault="00877480" w:rsidP="00251BFF">
      <w:pPr>
        <w:tabs>
          <w:tab w:val="left" w:pos="-720"/>
        </w:tabs>
        <w:suppressAutoHyphens/>
        <w:spacing w:line="276" w:lineRule="auto"/>
        <w:jc w:val="both"/>
        <w:rPr>
          <w:rFonts w:ascii="Georgia" w:hAnsi="Georgia" w:cs="Arial"/>
          <w:sz w:val="18"/>
        </w:rPr>
      </w:pPr>
    </w:p>
    <w:p w:rsidR="00350C7A" w:rsidRPr="00251BFF" w:rsidRDefault="00526C51" w:rsidP="00251BFF">
      <w:pPr>
        <w:tabs>
          <w:tab w:val="left" w:pos="-720"/>
        </w:tabs>
        <w:suppressAutoHyphens/>
        <w:spacing w:line="276" w:lineRule="auto"/>
        <w:jc w:val="both"/>
        <w:rPr>
          <w:rFonts w:ascii="Georgia" w:hAnsi="Georgia" w:cs="Arial"/>
          <w:sz w:val="24"/>
        </w:rPr>
      </w:pPr>
      <w:r w:rsidRPr="00251BFF">
        <w:rPr>
          <w:rFonts w:ascii="Georgia" w:hAnsi="Georgia" w:cs="Arial"/>
          <w:sz w:val="24"/>
        </w:rPr>
        <w:t>Consisten en la concurrencia de legitimación, falta de saneamiento y oportunidad para proponerlas (</w:t>
      </w:r>
      <w:r w:rsidRPr="00251BFF">
        <w:rPr>
          <w:rFonts w:ascii="Georgia" w:hAnsi="Georgia" w:cs="Arial"/>
          <w:sz w:val="22"/>
        </w:rPr>
        <w:t xml:space="preserve">Artículos 134, 135 y 136 del </w:t>
      </w:r>
      <w:proofErr w:type="spellStart"/>
      <w:r w:rsidRPr="00251BFF">
        <w:rPr>
          <w:rFonts w:ascii="Georgia" w:hAnsi="Georgia" w:cs="Arial"/>
          <w:sz w:val="22"/>
        </w:rPr>
        <w:t>CGP</w:t>
      </w:r>
      <w:proofErr w:type="spellEnd"/>
      <w:r w:rsidRPr="00251BFF">
        <w:rPr>
          <w:rFonts w:ascii="Georgia" w:hAnsi="Georgia" w:cs="Arial"/>
          <w:sz w:val="24"/>
        </w:rPr>
        <w:t xml:space="preserve">); verificado el cumplimiento de tales requisitos se abre paso el análisis de la respectiva causal.  En este caso, se hace el pronunciamiento de oficio, conforme autoriza el artículo 137 </w:t>
      </w:r>
      <w:r w:rsidRPr="00251BFF">
        <w:rPr>
          <w:rFonts w:ascii="Georgia" w:hAnsi="Georgia" w:cs="Arial"/>
          <w:i/>
          <w:sz w:val="22"/>
        </w:rPr>
        <w:t>ibídem</w:t>
      </w:r>
      <w:r w:rsidRPr="00251BFF">
        <w:rPr>
          <w:rFonts w:ascii="Georgia" w:hAnsi="Georgia" w:cs="Arial"/>
          <w:sz w:val="24"/>
        </w:rPr>
        <w:t xml:space="preserve">, por ello hay habilitación legal para declararla, amén de que es tempestivo hacerlo. </w:t>
      </w:r>
    </w:p>
    <w:p w:rsidR="004B5E4F" w:rsidRPr="00251BFF" w:rsidRDefault="004B5E4F" w:rsidP="00251BFF">
      <w:pPr>
        <w:tabs>
          <w:tab w:val="left" w:pos="-720"/>
        </w:tabs>
        <w:suppressAutoHyphens/>
        <w:spacing w:line="276" w:lineRule="auto"/>
        <w:jc w:val="both"/>
        <w:rPr>
          <w:rFonts w:ascii="Georgia" w:hAnsi="Georgia" w:cs="Arial"/>
          <w:sz w:val="18"/>
        </w:rPr>
      </w:pPr>
    </w:p>
    <w:p w:rsidR="004B5E4F" w:rsidRPr="00251BFF" w:rsidRDefault="004B5E4F" w:rsidP="00251BFF">
      <w:pPr>
        <w:pStyle w:val="Textopredeterminado"/>
        <w:numPr>
          <w:ilvl w:val="1"/>
          <w:numId w:val="1"/>
        </w:numPr>
        <w:spacing w:line="276" w:lineRule="auto"/>
        <w:jc w:val="both"/>
        <w:textAlignment w:val="baseline"/>
        <w:rPr>
          <w:rFonts w:ascii="Georgia" w:hAnsi="Georgia" w:cs="Arial"/>
          <w:smallCaps/>
          <w:color w:val="auto"/>
          <w:sz w:val="25"/>
          <w:szCs w:val="25"/>
        </w:rPr>
      </w:pPr>
      <w:r w:rsidRPr="00251BFF">
        <w:rPr>
          <w:rFonts w:ascii="Georgia" w:hAnsi="Georgia" w:cs="Arial"/>
          <w:smallCaps/>
          <w:sz w:val="25"/>
          <w:szCs w:val="25"/>
        </w:rPr>
        <w:t>La falta de jurisdicción</w:t>
      </w:r>
    </w:p>
    <w:p w:rsidR="00F93A07" w:rsidRPr="00251BFF" w:rsidRDefault="00F93A07" w:rsidP="00251BFF">
      <w:pPr>
        <w:spacing w:line="276" w:lineRule="auto"/>
        <w:ind w:right="51"/>
        <w:jc w:val="both"/>
        <w:rPr>
          <w:rFonts w:ascii="Georgia" w:hAnsi="Georgia" w:cs="Arial"/>
          <w:szCs w:val="24"/>
        </w:rPr>
      </w:pPr>
      <w:r w:rsidRPr="00251BFF">
        <w:rPr>
          <w:rFonts w:ascii="Georgia" w:hAnsi="Georgia" w:cs="Arial"/>
          <w:sz w:val="24"/>
          <w:szCs w:val="24"/>
        </w:rPr>
        <w:t xml:space="preserve"> </w:t>
      </w:r>
    </w:p>
    <w:p w:rsidR="00C17142" w:rsidRPr="00251BFF" w:rsidRDefault="000A30D3" w:rsidP="00251BFF">
      <w:pPr>
        <w:spacing w:line="276" w:lineRule="auto"/>
        <w:ind w:right="51"/>
        <w:jc w:val="both"/>
        <w:rPr>
          <w:rFonts w:ascii="Georgia" w:hAnsi="Georgia" w:cs="Arial"/>
          <w:spacing w:val="-3"/>
          <w:sz w:val="24"/>
          <w:szCs w:val="24"/>
        </w:rPr>
      </w:pPr>
      <w:r w:rsidRPr="00251BFF">
        <w:rPr>
          <w:rFonts w:ascii="Georgia" w:hAnsi="Georgia" w:cs="Arial"/>
          <w:spacing w:val="-3"/>
          <w:sz w:val="24"/>
          <w:szCs w:val="24"/>
        </w:rPr>
        <w:t xml:space="preserve">De la interpretación armónica de los </w:t>
      </w:r>
      <w:r w:rsidR="007447F7" w:rsidRPr="00251BFF">
        <w:rPr>
          <w:rFonts w:ascii="Georgia" w:hAnsi="Georgia" w:cs="Arial"/>
          <w:spacing w:val="-3"/>
          <w:sz w:val="24"/>
          <w:szCs w:val="24"/>
        </w:rPr>
        <w:t>artículo</w:t>
      </w:r>
      <w:r w:rsidRPr="00251BFF">
        <w:rPr>
          <w:rFonts w:ascii="Georgia" w:hAnsi="Georgia" w:cs="Arial"/>
          <w:spacing w:val="-3"/>
          <w:sz w:val="24"/>
          <w:szCs w:val="24"/>
        </w:rPr>
        <w:t>s</w:t>
      </w:r>
      <w:r w:rsidR="007447F7" w:rsidRPr="00251BFF">
        <w:rPr>
          <w:rFonts w:ascii="Georgia" w:hAnsi="Georgia" w:cs="Arial"/>
          <w:spacing w:val="-3"/>
          <w:sz w:val="24"/>
          <w:szCs w:val="24"/>
        </w:rPr>
        <w:t xml:space="preserve"> 133-1º, </w:t>
      </w:r>
      <w:r w:rsidRPr="00251BFF">
        <w:rPr>
          <w:rFonts w:ascii="Georgia" w:hAnsi="Georgia" w:cs="Arial"/>
          <w:spacing w:val="-3"/>
          <w:sz w:val="24"/>
          <w:szCs w:val="24"/>
        </w:rPr>
        <w:t>16</w:t>
      </w:r>
      <w:r w:rsidR="008E4B09" w:rsidRPr="00251BFF">
        <w:rPr>
          <w:rFonts w:ascii="Georgia" w:hAnsi="Georgia" w:cs="Arial"/>
          <w:spacing w:val="-3"/>
          <w:sz w:val="24"/>
          <w:szCs w:val="24"/>
        </w:rPr>
        <w:t>º</w:t>
      </w:r>
      <w:r w:rsidRPr="00251BFF">
        <w:rPr>
          <w:rFonts w:ascii="Georgia" w:hAnsi="Georgia" w:cs="Arial"/>
          <w:spacing w:val="-3"/>
          <w:sz w:val="24"/>
          <w:szCs w:val="24"/>
        </w:rPr>
        <w:t xml:space="preserve">, 138-1º y 139, </w:t>
      </w:r>
      <w:proofErr w:type="spellStart"/>
      <w:r w:rsidR="007447F7" w:rsidRPr="00251BFF">
        <w:rPr>
          <w:rFonts w:ascii="Georgia" w:hAnsi="Georgia" w:cs="Arial"/>
          <w:spacing w:val="-3"/>
          <w:sz w:val="24"/>
          <w:szCs w:val="24"/>
        </w:rPr>
        <w:t>CGP</w:t>
      </w:r>
      <w:proofErr w:type="spellEnd"/>
      <w:r w:rsidRPr="00251BFF">
        <w:rPr>
          <w:rFonts w:ascii="Georgia" w:hAnsi="Georgia" w:cs="Arial"/>
          <w:spacing w:val="-3"/>
          <w:sz w:val="24"/>
          <w:szCs w:val="24"/>
        </w:rPr>
        <w:t xml:space="preserve"> se desprende que</w:t>
      </w:r>
      <w:r w:rsidR="00A362DE" w:rsidRPr="00251BFF">
        <w:rPr>
          <w:rFonts w:ascii="Georgia" w:hAnsi="Georgia" w:cs="Arial"/>
          <w:spacing w:val="-3"/>
          <w:sz w:val="24"/>
          <w:szCs w:val="24"/>
        </w:rPr>
        <w:t>,</w:t>
      </w:r>
      <w:r w:rsidRPr="00251BFF">
        <w:rPr>
          <w:rFonts w:ascii="Georgia" w:hAnsi="Georgia" w:cs="Arial"/>
          <w:spacing w:val="-3"/>
          <w:sz w:val="24"/>
          <w:szCs w:val="24"/>
        </w:rPr>
        <w:t xml:space="preserve"> cuando el juez de oficio o petición de parte advierte que carece de jurisdicción o competencia</w:t>
      </w:r>
      <w:r w:rsidR="00A362DE" w:rsidRPr="00251BFF">
        <w:rPr>
          <w:rFonts w:ascii="Georgia" w:hAnsi="Georgia" w:cs="Arial"/>
          <w:spacing w:val="-3"/>
          <w:sz w:val="24"/>
          <w:szCs w:val="24"/>
        </w:rPr>
        <w:t>,</w:t>
      </w:r>
      <w:r w:rsidRPr="00251BFF">
        <w:rPr>
          <w:rFonts w:ascii="Georgia" w:hAnsi="Georgia" w:cs="Arial"/>
          <w:spacing w:val="-3"/>
          <w:sz w:val="24"/>
          <w:szCs w:val="24"/>
        </w:rPr>
        <w:t xml:space="preserve"> por los factores subjetivo o funcional; deberá, inminentemente, ordenar la remisión del expediente al juez competente y lo actuado hasta ese momento tendrá validez, salvo que se hubiere proferido sentencia, </w:t>
      </w:r>
      <w:r w:rsidR="00C17142" w:rsidRPr="00251BFF">
        <w:rPr>
          <w:rFonts w:ascii="Georgia" w:hAnsi="Georgia" w:cs="Arial"/>
          <w:spacing w:val="-3"/>
          <w:sz w:val="24"/>
          <w:szCs w:val="24"/>
        </w:rPr>
        <w:t xml:space="preserve">pues esta sí </w:t>
      </w:r>
      <w:r w:rsidRPr="00251BFF">
        <w:rPr>
          <w:rFonts w:ascii="Georgia" w:hAnsi="Georgia" w:cs="Arial"/>
          <w:spacing w:val="-3"/>
          <w:sz w:val="24"/>
          <w:szCs w:val="24"/>
        </w:rPr>
        <w:t>será nula</w:t>
      </w:r>
      <w:r w:rsidR="00382302" w:rsidRPr="00251BFF">
        <w:rPr>
          <w:rFonts w:ascii="Georgia" w:hAnsi="Georgia" w:cs="Arial"/>
          <w:spacing w:val="-3"/>
          <w:sz w:val="24"/>
          <w:szCs w:val="24"/>
        </w:rPr>
        <w:t xml:space="preserve">, ello en virtud a que cualquiera de tales circunstancias, son </w:t>
      </w:r>
      <w:r w:rsidR="00C17142" w:rsidRPr="00251BFF">
        <w:rPr>
          <w:rFonts w:ascii="Georgia" w:hAnsi="Georgia" w:cs="Arial"/>
          <w:spacing w:val="-3"/>
          <w:sz w:val="24"/>
          <w:szCs w:val="24"/>
        </w:rPr>
        <w:t>improrrogable</w:t>
      </w:r>
      <w:r w:rsidR="00382302" w:rsidRPr="00251BFF">
        <w:rPr>
          <w:rFonts w:ascii="Georgia" w:hAnsi="Georgia" w:cs="Arial"/>
          <w:spacing w:val="-3"/>
          <w:sz w:val="24"/>
          <w:szCs w:val="24"/>
        </w:rPr>
        <w:t>s</w:t>
      </w:r>
      <w:r w:rsidR="00C17142" w:rsidRPr="00251BFF">
        <w:rPr>
          <w:rFonts w:ascii="Georgia" w:hAnsi="Georgia" w:cs="Arial"/>
          <w:spacing w:val="-3"/>
          <w:sz w:val="24"/>
          <w:szCs w:val="24"/>
        </w:rPr>
        <w:t>.</w:t>
      </w:r>
    </w:p>
    <w:p w:rsidR="000A30D3" w:rsidRPr="00251BFF" w:rsidRDefault="000A30D3" w:rsidP="00251BFF">
      <w:pPr>
        <w:tabs>
          <w:tab w:val="left" w:pos="-720"/>
        </w:tabs>
        <w:suppressAutoHyphens/>
        <w:spacing w:line="276" w:lineRule="auto"/>
        <w:ind w:left="567" w:right="567"/>
        <w:jc w:val="both"/>
        <w:rPr>
          <w:rFonts w:ascii="Tahoma" w:hAnsi="Tahoma" w:cs="Tahoma"/>
          <w:sz w:val="18"/>
          <w:szCs w:val="22"/>
        </w:rPr>
      </w:pPr>
    </w:p>
    <w:p w:rsidR="002C1477" w:rsidRPr="00251BFF" w:rsidRDefault="002C1477" w:rsidP="00251BFF">
      <w:pPr>
        <w:pStyle w:val="Textopredeterminado"/>
        <w:spacing w:line="276" w:lineRule="auto"/>
        <w:jc w:val="both"/>
        <w:rPr>
          <w:rFonts w:ascii="Georgia" w:hAnsi="Georgia" w:cs="Arial"/>
          <w:sz w:val="22"/>
        </w:rPr>
      </w:pPr>
      <w:r w:rsidRPr="00251BFF">
        <w:rPr>
          <w:rFonts w:ascii="Georgia" w:hAnsi="Georgia" w:cs="Arial"/>
          <w:szCs w:val="24"/>
        </w:rPr>
        <w:t>A este respecto el tratadista Sanabria S.</w:t>
      </w:r>
      <w:r w:rsidRPr="00251BFF">
        <w:rPr>
          <w:rStyle w:val="Refdenotaalpie"/>
          <w:rFonts w:ascii="Georgia" w:hAnsi="Georgia"/>
          <w:szCs w:val="24"/>
        </w:rPr>
        <w:footnoteReference w:id="7"/>
      </w:r>
      <w:r w:rsidR="00A362DE" w:rsidRPr="00251BFF">
        <w:rPr>
          <w:rFonts w:ascii="Georgia" w:hAnsi="Georgia" w:cs="Arial"/>
          <w:szCs w:val="24"/>
        </w:rPr>
        <w:t xml:space="preserve"> señala</w:t>
      </w:r>
      <w:r w:rsidRPr="00251BFF">
        <w:rPr>
          <w:rFonts w:ascii="Georgia" w:hAnsi="Georgia" w:cs="Arial"/>
          <w:szCs w:val="24"/>
        </w:rPr>
        <w:t>:</w:t>
      </w:r>
      <w:r w:rsidRPr="00251BFF">
        <w:rPr>
          <w:rFonts w:ascii="Georgia" w:hAnsi="Georgia" w:cs="Arial"/>
          <w:sz w:val="22"/>
        </w:rPr>
        <w:t xml:space="preserve"> </w:t>
      </w:r>
      <w:r w:rsidRPr="00251BFF">
        <w:rPr>
          <w:rFonts w:ascii="Georgia" w:hAnsi="Georgia" w:cs="Arial"/>
          <w:i/>
          <w:sz w:val="22"/>
        </w:rPr>
        <w:t>“(…) solamente se declarará la nulidad de dicho fallo y de lo actuado a partir de éste (…). En este caso sí hay lugar a nulidad, pero ésta será tan sólo (Sic) parcial a partir del fallo (…), lo cual impide que se pierda toda la actuación (…)”</w:t>
      </w:r>
      <w:r w:rsidRPr="00251BFF">
        <w:rPr>
          <w:rFonts w:ascii="Georgia" w:hAnsi="Georgia" w:cs="Arial"/>
          <w:sz w:val="22"/>
        </w:rPr>
        <w:t xml:space="preserve">; </w:t>
      </w:r>
      <w:r w:rsidRPr="00251BFF">
        <w:rPr>
          <w:rFonts w:ascii="Georgia" w:hAnsi="Georgia" w:cs="Arial"/>
        </w:rPr>
        <w:t xml:space="preserve">más adelante explica: </w:t>
      </w:r>
      <w:r w:rsidRPr="00251BFF">
        <w:rPr>
          <w:rFonts w:ascii="Georgia" w:hAnsi="Georgia" w:cs="Arial"/>
          <w:i/>
          <w:sz w:val="22"/>
        </w:rPr>
        <w:t>“(…) con la modificación se pone fin a lo que desafortunadamente venía ocurriendo (…) en el régimen procesal anterior, es decir, se dejaba sin efecto toda la actuación (…), pese a que las partes habían gozado de amplias oportunidades de defensa, lo cual significaba una verdadera afrenta a la economía procesal y al propósito de la institución de las nulidades procesales (…)”.</w:t>
      </w:r>
      <w:r w:rsidRPr="00251BFF">
        <w:rPr>
          <w:rFonts w:ascii="Georgia" w:hAnsi="Georgia" w:cs="Arial"/>
          <w:sz w:val="22"/>
        </w:rPr>
        <w:t xml:space="preserve">  </w:t>
      </w:r>
    </w:p>
    <w:p w:rsidR="002C1477" w:rsidRPr="00251BFF" w:rsidRDefault="002C1477" w:rsidP="00251BFF">
      <w:pPr>
        <w:tabs>
          <w:tab w:val="left" w:pos="-720"/>
        </w:tabs>
        <w:suppressAutoHyphens/>
        <w:spacing w:line="276" w:lineRule="auto"/>
        <w:ind w:left="567" w:right="567"/>
        <w:jc w:val="both"/>
        <w:rPr>
          <w:rFonts w:ascii="Tahoma" w:hAnsi="Tahoma" w:cs="Tahoma"/>
          <w:sz w:val="18"/>
          <w:szCs w:val="22"/>
        </w:rPr>
      </w:pPr>
    </w:p>
    <w:p w:rsidR="002C1477" w:rsidRPr="00251BFF" w:rsidRDefault="002C1477" w:rsidP="00251BFF">
      <w:pPr>
        <w:pStyle w:val="Textopredeterminado"/>
        <w:numPr>
          <w:ilvl w:val="1"/>
          <w:numId w:val="1"/>
        </w:numPr>
        <w:spacing w:line="276" w:lineRule="auto"/>
        <w:jc w:val="both"/>
        <w:textAlignment w:val="baseline"/>
        <w:rPr>
          <w:rFonts w:ascii="Georgia" w:hAnsi="Georgia" w:cs="Arial"/>
          <w:smallCaps/>
          <w:color w:val="auto"/>
          <w:sz w:val="25"/>
          <w:szCs w:val="25"/>
        </w:rPr>
      </w:pPr>
      <w:r w:rsidRPr="00251BFF">
        <w:rPr>
          <w:rFonts w:ascii="Georgia" w:hAnsi="Georgia" w:cs="Arial"/>
          <w:smallCaps/>
          <w:sz w:val="25"/>
          <w:szCs w:val="25"/>
        </w:rPr>
        <w:t>La competencia frente a procesos de responsabilidad médica</w:t>
      </w:r>
    </w:p>
    <w:p w:rsidR="002C1477" w:rsidRPr="00251BFF" w:rsidRDefault="002C1477" w:rsidP="00251BFF">
      <w:pPr>
        <w:tabs>
          <w:tab w:val="left" w:pos="-720"/>
        </w:tabs>
        <w:suppressAutoHyphens/>
        <w:spacing w:line="276" w:lineRule="auto"/>
        <w:ind w:left="567" w:right="567"/>
        <w:jc w:val="both"/>
        <w:rPr>
          <w:rFonts w:ascii="Tahoma" w:hAnsi="Tahoma" w:cs="Tahoma"/>
          <w:sz w:val="18"/>
          <w:szCs w:val="22"/>
        </w:rPr>
      </w:pPr>
    </w:p>
    <w:p w:rsidR="00970F32" w:rsidRPr="00251BFF" w:rsidRDefault="00970F32" w:rsidP="00251BFF">
      <w:pPr>
        <w:spacing w:line="276" w:lineRule="auto"/>
        <w:jc w:val="both"/>
        <w:rPr>
          <w:rFonts w:ascii="Georgia" w:hAnsi="Georgia" w:cs="Arial"/>
          <w:sz w:val="24"/>
          <w:szCs w:val="24"/>
        </w:rPr>
      </w:pPr>
      <w:r w:rsidRPr="00251BFF">
        <w:rPr>
          <w:rFonts w:ascii="Georgia" w:hAnsi="Georgia" w:cs="Arial"/>
          <w:sz w:val="24"/>
          <w:szCs w:val="24"/>
        </w:rPr>
        <w:lastRenderedPageBreak/>
        <w:t xml:space="preserve">Estatuyen los </w:t>
      </w:r>
      <w:r w:rsidR="002C1477" w:rsidRPr="00251BFF">
        <w:rPr>
          <w:rFonts w:ascii="Georgia" w:hAnsi="Georgia" w:cs="Arial"/>
          <w:sz w:val="24"/>
          <w:szCs w:val="24"/>
        </w:rPr>
        <w:t>artículos 17-1</w:t>
      </w:r>
      <w:r w:rsidRPr="00251BFF">
        <w:rPr>
          <w:rFonts w:ascii="Georgia" w:hAnsi="Georgia" w:cs="Arial"/>
          <w:sz w:val="24"/>
          <w:szCs w:val="24"/>
        </w:rPr>
        <w:t>º-2º</w:t>
      </w:r>
      <w:r w:rsidR="002C1477" w:rsidRPr="00251BFF">
        <w:rPr>
          <w:rFonts w:ascii="Georgia" w:hAnsi="Georgia" w:cs="Arial"/>
          <w:sz w:val="24"/>
          <w:szCs w:val="24"/>
        </w:rPr>
        <w:t>, 18-1</w:t>
      </w:r>
      <w:r w:rsidRPr="00251BFF">
        <w:rPr>
          <w:rFonts w:ascii="Georgia" w:hAnsi="Georgia" w:cs="Arial"/>
          <w:sz w:val="24"/>
          <w:szCs w:val="24"/>
        </w:rPr>
        <w:t>º-2º</w:t>
      </w:r>
      <w:r w:rsidR="002C1477" w:rsidRPr="00251BFF">
        <w:rPr>
          <w:rFonts w:ascii="Georgia" w:hAnsi="Georgia" w:cs="Arial"/>
          <w:sz w:val="24"/>
          <w:szCs w:val="24"/>
        </w:rPr>
        <w:t xml:space="preserve"> y 20-1</w:t>
      </w:r>
      <w:r w:rsidRPr="00251BFF">
        <w:rPr>
          <w:rFonts w:ascii="Georgia" w:hAnsi="Georgia" w:cs="Arial"/>
          <w:sz w:val="24"/>
          <w:szCs w:val="24"/>
        </w:rPr>
        <w:t xml:space="preserve">º-2º, </w:t>
      </w:r>
      <w:proofErr w:type="spellStart"/>
      <w:r w:rsidRPr="00251BFF">
        <w:rPr>
          <w:rFonts w:ascii="Georgia" w:hAnsi="Georgia" w:cs="Arial"/>
          <w:sz w:val="24"/>
          <w:szCs w:val="24"/>
        </w:rPr>
        <w:t>CGP</w:t>
      </w:r>
      <w:proofErr w:type="spellEnd"/>
      <w:r w:rsidR="002C1477" w:rsidRPr="00251BFF">
        <w:rPr>
          <w:rFonts w:ascii="Georgia" w:hAnsi="Georgia" w:cs="Arial"/>
          <w:sz w:val="24"/>
          <w:szCs w:val="24"/>
        </w:rPr>
        <w:t xml:space="preserve">, </w:t>
      </w:r>
      <w:r w:rsidRPr="00251BFF">
        <w:rPr>
          <w:rFonts w:ascii="Georgia" w:hAnsi="Georgia" w:cs="Arial"/>
          <w:sz w:val="24"/>
          <w:szCs w:val="24"/>
        </w:rPr>
        <w:t xml:space="preserve">que la competencia para conocer de estos </w:t>
      </w:r>
      <w:r w:rsidR="002C1477" w:rsidRPr="00251BFF">
        <w:rPr>
          <w:rFonts w:ascii="Georgia" w:hAnsi="Georgia" w:cs="Arial"/>
          <w:sz w:val="24"/>
          <w:szCs w:val="24"/>
        </w:rPr>
        <w:t xml:space="preserve">procesos, </w:t>
      </w:r>
      <w:r w:rsidRPr="00251BFF">
        <w:rPr>
          <w:rFonts w:ascii="Georgia" w:hAnsi="Georgia" w:cs="Arial"/>
          <w:sz w:val="24"/>
          <w:szCs w:val="24"/>
        </w:rPr>
        <w:t>c</w:t>
      </w:r>
      <w:r w:rsidR="002C1477" w:rsidRPr="00251BFF">
        <w:rPr>
          <w:rFonts w:ascii="Georgia" w:hAnsi="Georgia" w:cs="Arial"/>
          <w:sz w:val="24"/>
          <w:szCs w:val="24"/>
        </w:rPr>
        <w:t>ualquier</w:t>
      </w:r>
      <w:r w:rsidRPr="00251BFF">
        <w:rPr>
          <w:rFonts w:ascii="Georgia" w:hAnsi="Georgia" w:cs="Arial"/>
          <w:sz w:val="24"/>
          <w:szCs w:val="24"/>
        </w:rPr>
        <w:t xml:space="preserve">a que sea su </w:t>
      </w:r>
      <w:r w:rsidR="002C1477" w:rsidRPr="00251BFF">
        <w:rPr>
          <w:rFonts w:ascii="Georgia" w:hAnsi="Georgia" w:cs="Arial"/>
          <w:sz w:val="24"/>
          <w:szCs w:val="24"/>
        </w:rPr>
        <w:t>naturaleza y origen, sin consideración a las partes</w:t>
      </w:r>
      <w:r w:rsidR="00A362DE" w:rsidRPr="00251BFF">
        <w:rPr>
          <w:rFonts w:ascii="Georgia" w:hAnsi="Georgia" w:cs="Arial"/>
          <w:sz w:val="24"/>
          <w:szCs w:val="24"/>
        </w:rPr>
        <w:t>;</w:t>
      </w:r>
      <w:r w:rsidR="002C1477" w:rsidRPr="00251BFF">
        <w:rPr>
          <w:rFonts w:ascii="Georgia" w:hAnsi="Georgia" w:cs="Arial"/>
          <w:sz w:val="24"/>
          <w:szCs w:val="24"/>
        </w:rPr>
        <w:t xml:space="preserve"> </w:t>
      </w:r>
      <w:r w:rsidR="00A362DE" w:rsidRPr="00251BFF">
        <w:rPr>
          <w:rFonts w:ascii="Georgia" w:hAnsi="Georgia" w:cs="Arial"/>
          <w:sz w:val="24"/>
          <w:szCs w:val="24"/>
        </w:rPr>
        <w:t xml:space="preserve">es de los </w:t>
      </w:r>
      <w:r w:rsidR="002C1477" w:rsidRPr="00251BFF">
        <w:rPr>
          <w:rFonts w:ascii="Georgia" w:hAnsi="Georgia" w:cs="Arial"/>
          <w:sz w:val="24"/>
          <w:szCs w:val="24"/>
        </w:rPr>
        <w:t>jueces civiles</w:t>
      </w:r>
      <w:r w:rsidR="00A362DE" w:rsidRPr="00251BFF">
        <w:rPr>
          <w:rFonts w:ascii="Georgia" w:hAnsi="Georgia" w:cs="Arial"/>
          <w:sz w:val="24"/>
          <w:szCs w:val="24"/>
        </w:rPr>
        <w:t xml:space="preserve">, con excepción de </w:t>
      </w:r>
      <w:r w:rsidRPr="00251BFF">
        <w:rPr>
          <w:rFonts w:ascii="Georgia" w:hAnsi="Georgia" w:cs="Arial"/>
          <w:sz w:val="24"/>
          <w:szCs w:val="24"/>
        </w:rPr>
        <w:t xml:space="preserve">aquellos que correspondan </w:t>
      </w:r>
      <w:r w:rsidR="002C1477" w:rsidRPr="00251BFF">
        <w:rPr>
          <w:rFonts w:ascii="Georgia" w:hAnsi="Georgia" w:cs="Arial"/>
          <w:sz w:val="24"/>
          <w:szCs w:val="24"/>
        </w:rPr>
        <w:t>a la jurisdicción contencioso administrativa.</w:t>
      </w:r>
      <w:r w:rsidRPr="00251BFF">
        <w:rPr>
          <w:rFonts w:ascii="Georgia" w:hAnsi="Georgia" w:cs="Arial"/>
          <w:sz w:val="24"/>
          <w:szCs w:val="24"/>
        </w:rPr>
        <w:t xml:space="preserve"> </w:t>
      </w:r>
    </w:p>
    <w:p w:rsidR="00970F32" w:rsidRPr="00251BFF" w:rsidRDefault="00970F32" w:rsidP="00251BFF">
      <w:pPr>
        <w:spacing w:line="276" w:lineRule="auto"/>
        <w:jc w:val="both"/>
        <w:rPr>
          <w:rFonts w:ascii="Georgia" w:hAnsi="Georgia" w:cs="Arial"/>
          <w:sz w:val="18"/>
          <w:szCs w:val="24"/>
        </w:rPr>
      </w:pPr>
    </w:p>
    <w:p w:rsidR="002C1477" w:rsidRPr="00251BFF" w:rsidRDefault="00970F32" w:rsidP="00251BFF">
      <w:pPr>
        <w:spacing w:line="276" w:lineRule="auto"/>
        <w:jc w:val="both"/>
        <w:rPr>
          <w:rFonts w:ascii="Georgia" w:hAnsi="Georgia" w:cs="Arial"/>
          <w:sz w:val="24"/>
          <w:szCs w:val="24"/>
        </w:rPr>
      </w:pPr>
      <w:r w:rsidRPr="00251BFF">
        <w:rPr>
          <w:rFonts w:ascii="Georgia" w:hAnsi="Georgia" w:cs="Arial"/>
          <w:sz w:val="24"/>
          <w:szCs w:val="24"/>
        </w:rPr>
        <w:t xml:space="preserve">Por su parte, el </w:t>
      </w:r>
      <w:proofErr w:type="spellStart"/>
      <w:r w:rsidRPr="00251BFF">
        <w:rPr>
          <w:rFonts w:ascii="Georgia" w:hAnsi="Georgia" w:cs="Arial"/>
          <w:sz w:val="24"/>
          <w:szCs w:val="24"/>
        </w:rPr>
        <w:t>CPACA</w:t>
      </w:r>
      <w:proofErr w:type="spellEnd"/>
      <w:r w:rsidRPr="00251BFF">
        <w:rPr>
          <w:rFonts w:ascii="Georgia" w:hAnsi="Georgia" w:cs="Arial"/>
          <w:sz w:val="24"/>
          <w:szCs w:val="24"/>
        </w:rPr>
        <w:t xml:space="preserve"> consagra </w:t>
      </w:r>
      <w:r w:rsidR="002C1477" w:rsidRPr="00251BFF">
        <w:rPr>
          <w:rFonts w:ascii="Georgia" w:hAnsi="Georgia" w:cs="Arial"/>
          <w:sz w:val="24"/>
          <w:szCs w:val="24"/>
        </w:rPr>
        <w:t>que</w:t>
      </w:r>
      <w:r w:rsidRPr="00251BFF">
        <w:rPr>
          <w:rFonts w:ascii="Georgia" w:hAnsi="Georgia" w:cs="Arial"/>
          <w:sz w:val="24"/>
          <w:szCs w:val="24"/>
        </w:rPr>
        <w:t>,</w:t>
      </w:r>
      <w:r w:rsidR="002C1477" w:rsidRPr="00251BFF">
        <w:rPr>
          <w:rFonts w:ascii="Georgia" w:hAnsi="Georgia" w:cs="Arial"/>
          <w:sz w:val="24"/>
          <w:szCs w:val="24"/>
        </w:rPr>
        <w:t xml:space="preserve"> </w:t>
      </w:r>
      <w:r w:rsidRPr="00251BFF">
        <w:rPr>
          <w:rFonts w:ascii="Georgia" w:hAnsi="Georgia" w:cs="Arial"/>
          <w:sz w:val="24"/>
          <w:szCs w:val="24"/>
        </w:rPr>
        <w:t xml:space="preserve">son de conocimiento de aquella </w:t>
      </w:r>
      <w:r w:rsidR="002C1477" w:rsidRPr="00251BFF">
        <w:rPr>
          <w:rFonts w:ascii="Georgia" w:hAnsi="Georgia" w:cs="Arial"/>
          <w:sz w:val="24"/>
          <w:szCs w:val="24"/>
        </w:rPr>
        <w:t>jurisdicción, entre muchos otros asuntos, los derivados de la responsabilidad extracontractual de cualquier entidad pública, así como</w:t>
      </w:r>
      <w:r w:rsidR="00382302" w:rsidRPr="00251BFF">
        <w:rPr>
          <w:rFonts w:ascii="Georgia" w:hAnsi="Georgia" w:cs="Arial"/>
          <w:sz w:val="24"/>
          <w:szCs w:val="24"/>
        </w:rPr>
        <w:t>,</w:t>
      </w:r>
      <w:r w:rsidR="002C1477" w:rsidRPr="00251BFF">
        <w:rPr>
          <w:rFonts w:ascii="Georgia" w:hAnsi="Georgia" w:cs="Arial"/>
          <w:sz w:val="24"/>
          <w:szCs w:val="24"/>
        </w:rPr>
        <w:t xml:space="preserve"> los relativos a la responsabilidad contractual, </w:t>
      </w:r>
      <w:r w:rsidR="00382302" w:rsidRPr="00251BFF">
        <w:rPr>
          <w:rFonts w:ascii="Georgia" w:hAnsi="Georgia" w:cs="Arial"/>
          <w:sz w:val="24"/>
          <w:szCs w:val="24"/>
        </w:rPr>
        <w:t xml:space="preserve">sin miramientos del régimen aplicable, </w:t>
      </w:r>
      <w:r w:rsidR="002C1477" w:rsidRPr="00251BFF">
        <w:rPr>
          <w:rFonts w:ascii="Georgia" w:hAnsi="Georgia" w:cs="Arial"/>
          <w:sz w:val="24"/>
          <w:szCs w:val="24"/>
        </w:rPr>
        <w:t>en los que</w:t>
      </w:r>
      <w:r w:rsidR="00382302" w:rsidRPr="00251BFF">
        <w:rPr>
          <w:rFonts w:ascii="Georgia" w:hAnsi="Georgia" w:cs="Arial"/>
          <w:sz w:val="24"/>
          <w:szCs w:val="24"/>
        </w:rPr>
        <w:t xml:space="preserve"> sea</w:t>
      </w:r>
      <w:r w:rsidR="002C1477" w:rsidRPr="00251BFF">
        <w:rPr>
          <w:rFonts w:ascii="Georgia" w:hAnsi="Georgia" w:cs="Arial"/>
          <w:sz w:val="24"/>
          <w:szCs w:val="24"/>
        </w:rPr>
        <w:t xml:space="preserve"> parte una entidad pública o un particular en ejercicio de las funciones propias del Estado</w:t>
      </w:r>
      <w:r w:rsidRPr="00251BFF">
        <w:rPr>
          <w:rFonts w:ascii="Georgia" w:hAnsi="Georgia" w:cs="Arial"/>
          <w:sz w:val="24"/>
          <w:szCs w:val="24"/>
        </w:rPr>
        <w:t xml:space="preserve"> (</w:t>
      </w:r>
      <w:r w:rsidRPr="00251BFF">
        <w:rPr>
          <w:rFonts w:ascii="Georgia" w:hAnsi="Georgia" w:cs="Arial"/>
          <w:sz w:val="22"/>
          <w:szCs w:val="24"/>
        </w:rPr>
        <w:t>Artículo 104</w:t>
      </w:r>
      <w:r w:rsidR="00F34952" w:rsidRPr="00251BFF">
        <w:rPr>
          <w:rFonts w:ascii="Georgia" w:hAnsi="Georgia" w:cs="Arial"/>
          <w:sz w:val="22"/>
          <w:szCs w:val="24"/>
        </w:rPr>
        <w:t>-1º</w:t>
      </w:r>
      <w:r w:rsidR="006956BB" w:rsidRPr="00251BFF">
        <w:rPr>
          <w:rFonts w:ascii="Georgia" w:hAnsi="Georgia" w:cs="Arial"/>
          <w:sz w:val="22"/>
          <w:szCs w:val="24"/>
        </w:rPr>
        <w:t>-2º</w:t>
      </w:r>
      <w:r w:rsidRPr="00251BFF">
        <w:rPr>
          <w:rFonts w:ascii="Georgia" w:hAnsi="Georgia" w:cs="Arial"/>
          <w:sz w:val="24"/>
          <w:szCs w:val="24"/>
        </w:rPr>
        <w:t>).</w:t>
      </w:r>
    </w:p>
    <w:p w:rsidR="000A30D3" w:rsidRPr="00251BFF" w:rsidRDefault="000A30D3" w:rsidP="00251BFF">
      <w:pPr>
        <w:tabs>
          <w:tab w:val="left" w:pos="-720"/>
        </w:tabs>
        <w:suppressAutoHyphens/>
        <w:spacing w:line="276" w:lineRule="auto"/>
        <w:ind w:left="567" w:right="567"/>
        <w:jc w:val="both"/>
        <w:rPr>
          <w:rFonts w:ascii="Georgia" w:hAnsi="Georgia" w:cs="Arial"/>
          <w:spacing w:val="-3"/>
          <w:szCs w:val="24"/>
        </w:rPr>
      </w:pPr>
    </w:p>
    <w:p w:rsidR="00E316D9" w:rsidRPr="00251BFF" w:rsidRDefault="002E20D6" w:rsidP="00251BFF">
      <w:pPr>
        <w:pStyle w:val="Prrafodelista"/>
        <w:numPr>
          <w:ilvl w:val="0"/>
          <w:numId w:val="1"/>
        </w:numPr>
        <w:tabs>
          <w:tab w:val="left" w:pos="-720"/>
        </w:tabs>
        <w:suppressAutoHyphens/>
        <w:spacing w:line="276" w:lineRule="auto"/>
        <w:jc w:val="both"/>
        <w:rPr>
          <w:rFonts w:ascii="Georgia" w:hAnsi="Georgia" w:cs="Arial"/>
          <w:smallCaps/>
          <w:spacing w:val="-3"/>
          <w:sz w:val="26"/>
          <w:szCs w:val="26"/>
        </w:rPr>
      </w:pPr>
      <w:r w:rsidRPr="00251BFF">
        <w:rPr>
          <w:rFonts w:ascii="Georgia" w:hAnsi="Georgia" w:cs="Arial"/>
          <w:smallCaps/>
          <w:spacing w:val="-3"/>
          <w:sz w:val="26"/>
          <w:szCs w:val="26"/>
        </w:rPr>
        <w:t>El caso concreto que se analiza</w:t>
      </w:r>
    </w:p>
    <w:p w:rsidR="00C40F65" w:rsidRPr="00251BFF" w:rsidRDefault="00C40F65" w:rsidP="00251BFF">
      <w:pPr>
        <w:spacing w:line="276" w:lineRule="auto"/>
        <w:jc w:val="both"/>
        <w:rPr>
          <w:rFonts w:ascii="Georgia" w:hAnsi="Georgia" w:cs="Arial"/>
          <w:sz w:val="18"/>
          <w:szCs w:val="24"/>
        </w:rPr>
      </w:pPr>
    </w:p>
    <w:p w:rsidR="00970F32" w:rsidRPr="00251BFF" w:rsidRDefault="00E16723" w:rsidP="00251BFF">
      <w:pPr>
        <w:spacing w:line="276" w:lineRule="auto"/>
        <w:jc w:val="both"/>
        <w:rPr>
          <w:rFonts w:ascii="Georgia" w:hAnsi="Georgia" w:cs="Arial"/>
          <w:sz w:val="24"/>
          <w:szCs w:val="24"/>
        </w:rPr>
      </w:pPr>
      <w:r w:rsidRPr="00251BFF">
        <w:rPr>
          <w:rFonts w:ascii="Georgia" w:hAnsi="Georgia" w:cs="Arial"/>
          <w:sz w:val="24"/>
          <w:szCs w:val="24"/>
        </w:rPr>
        <w:t xml:space="preserve">Descendiendo en autos, </w:t>
      </w:r>
      <w:r w:rsidR="00970F32" w:rsidRPr="00251BFF">
        <w:rPr>
          <w:rFonts w:ascii="Georgia" w:hAnsi="Georgia" w:cs="Arial"/>
          <w:sz w:val="24"/>
          <w:szCs w:val="24"/>
        </w:rPr>
        <w:t>se evidencia sin vacilaciones que en los hechos de la demanda, se expone</w:t>
      </w:r>
      <w:r w:rsidRPr="00251BFF">
        <w:rPr>
          <w:rFonts w:ascii="Georgia" w:hAnsi="Georgia" w:cs="Arial"/>
          <w:sz w:val="24"/>
          <w:szCs w:val="24"/>
        </w:rPr>
        <w:t>n circunstancias acaecidas en la atención</w:t>
      </w:r>
      <w:r w:rsidR="00F34952" w:rsidRPr="00251BFF">
        <w:rPr>
          <w:rFonts w:ascii="Georgia" w:hAnsi="Georgia" w:cs="Arial"/>
          <w:sz w:val="24"/>
          <w:szCs w:val="24"/>
        </w:rPr>
        <w:t xml:space="preserve"> médica prestada a </w:t>
      </w:r>
      <w:r w:rsidRPr="00251BFF">
        <w:rPr>
          <w:rFonts w:ascii="Georgia" w:hAnsi="Georgia" w:cs="Arial"/>
          <w:sz w:val="24"/>
          <w:szCs w:val="24"/>
        </w:rPr>
        <w:t xml:space="preserve">la menor Kelly Ceballos Gallego </w:t>
      </w:r>
      <w:proofErr w:type="gramStart"/>
      <w:r w:rsidRPr="00251BFF">
        <w:rPr>
          <w:rFonts w:ascii="Georgia" w:hAnsi="Georgia" w:cs="Arial"/>
          <w:sz w:val="24"/>
          <w:szCs w:val="24"/>
        </w:rPr>
        <w:t>imputa</w:t>
      </w:r>
      <w:r w:rsidR="006956BB" w:rsidRPr="00251BFF">
        <w:rPr>
          <w:rFonts w:ascii="Georgia" w:hAnsi="Georgia" w:cs="Arial"/>
          <w:sz w:val="24"/>
          <w:szCs w:val="24"/>
        </w:rPr>
        <w:t>das</w:t>
      </w:r>
      <w:proofErr w:type="gramEnd"/>
      <w:r w:rsidRPr="00251BFF">
        <w:rPr>
          <w:rFonts w:ascii="Georgia" w:hAnsi="Georgia" w:cs="Arial"/>
          <w:sz w:val="24"/>
          <w:szCs w:val="24"/>
        </w:rPr>
        <w:t xml:space="preserve"> a las demandadas ESE Hospital San Jorge de Pereira, clínica Los Rosales y la </w:t>
      </w:r>
      <w:proofErr w:type="spellStart"/>
      <w:r w:rsidRPr="00251BFF">
        <w:rPr>
          <w:rFonts w:ascii="Georgia" w:hAnsi="Georgia" w:cs="Arial"/>
          <w:sz w:val="24"/>
          <w:szCs w:val="24"/>
        </w:rPr>
        <w:t>EPS</w:t>
      </w:r>
      <w:proofErr w:type="spellEnd"/>
      <w:r w:rsidRPr="00251BFF">
        <w:rPr>
          <w:rFonts w:ascii="Georgia" w:hAnsi="Georgia" w:cs="Arial"/>
          <w:sz w:val="24"/>
          <w:szCs w:val="24"/>
        </w:rPr>
        <w:t xml:space="preserve"> Salud total.</w:t>
      </w:r>
    </w:p>
    <w:p w:rsidR="003A68B4" w:rsidRPr="00251BFF" w:rsidRDefault="003A68B4" w:rsidP="00251BFF">
      <w:pPr>
        <w:spacing w:line="276" w:lineRule="auto"/>
        <w:ind w:right="51"/>
        <w:jc w:val="both"/>
        <w:rPr>
          <w:rFonts w:ascii="Georgia" w:hAnsi="Georgia" w:cs="Arial"/>
          <w:sz w:val="24"/>
          <w:szCs w:val="24"/>
        </w:rPr>
      </w:pPr>
    </w:p>
    <w:p w:rsidR="00F34952" w:rsidRPr="00251BFF" w:rsidRDefault="00E16723" w:rsidP="00251BFF">
      <w:pPr>
        <w:spacing w:line="276" w:lineRule="auto"/>
        <w:ind w:right="51"/>
        <w:jc w:val="both"/>
        <w:rPr>
          <w:rFonts w:ascii="Georgia" w:hAnsi="Georgia" w:cs="Arial"/>
          <w:color w:val="000000"/>
          <w:sz w:val="24"/>
          <w:szCs w:val="24"/>
        </w:rPr>
      </w:pPr>
      <w:r w:rsidRPr="00251BFF">
        <w:rPr>
          <w:rFonts w:ascii="Georgia" w:hAnsi="Georgia" w:cs="Arial"/>
          <w:sz w:val="24"/>
          <w:szCs w:val="24"/>
        </w:rPr>
        <w:t>Ahora, verificada la naturaleza jurídica de la primera de esas entidades, se trata de una Empresa Social del Estado, entidad descentralizada indirecta de tipo asociación entre entes públicos (</w:t>
      </w:r>
      <w:r w:rsidRPr="00251BFF">
        <w:rPr>
          <w:rFonts w:ascii="Georgia" w:hAnsi="Georgia" w:cs="Arial"/>
          <w:sz w:val="22"/>
          <w:szCs w:val="24"/>
        </w:rPr>
        <w:t>Artículo 96, Ley 489</w:t>
      </w:r>
      <w:r w:rsidRPr="00251BFF">
        <w:rPr>
          <w:rFonts w:ascii="Georgia" w:hAnsi="Georgia" w:cs="Arial"/>
          <w:sz w:val="24"/>
          <w:szCs w:val="24"/>
        </w:rPr>
        <w:t xml:space="preserve">), creada con la Ordenanza </w:t>
      </w:r>
      <w:proofErr w:type="spellStart"/>
      <w:r w:rsidRPr="00251BFF">
        <w:rPr>
          <w:rFonts w:ascii="Georgia" w:hAnsi="Georgia" w:cs="Arial"/>
          <w:sz w:val="24"/>
          <w:szCs w:val="24"/>
        </w:rPr>
        <w:t>No.014</w:t>
      </w:r>
      <w:proofErr w:type="spellEnd"/>
      <w:r w:rsidRPr="00251BFF">
        <w:rPr>
          <w:rFonts w:ascii="Georgia" w:hAnsi="Georgia" w:cs="Arial"/>
          <w:sz w:val="24"/>
          <w:szCs w:val="24"/>
        </w:rPr>
        <w:t xml:space="preserve"> de marzo de 1995 y el Acuerdo </w:t>
      </w:r>
      <w:proofErr w:type="spellStart"/>
      <w:r w:rsidRPr="00251BFF">
        <w:rPr>
          <w:rFonts w:ascii="Georgia" w:hAnsi="Georgia" w:cs="Arial"/>
          <w:sz w:val="24"/>
          <w:szCs w:val="24"/>
        </w:rPr>
        <w:t>No.108</w:t>
      </w:r>
      <w:proofErr w:type="spellEnd"/>
      <w:r w:rsidRPr="00251BFF">
        <w:rPr>
          <w:rFonts w:ascii="Georgia" w:hAnsi="Georgia" w:cs="Arial"/>
          <w:sz w:val="24"/>
          <w:szCs w:val="24"/>
        </w:rPr>
        <w:t xml:space="preserve"> de 1993</w:t>
      </w:r>
      <w:r w:rsidR="00F34952" w:rsidRPr="00251BFF">
        <w:rPr>
          <w:rFonts w:ascii="Georgia" w:hAnsi="Georgia" w:cs="Arial"/>
          <w:sz w:val="24"/>
          <w:szCs w:val="24"/>
        </w:rPr>
        <w:t xml:space="preserve">; de manera que, sin lugar a dudas, </w:t>
      </w:r>
      <w:r w:rsidR="008E4B09" w:rsidRPr="00251BFF">
        <w:rPr>
          <w:rFonts w:ascii="Georgia" w:hAnsi="Georgia" w:cs="Arial"/>
          <w:sz w:val="24"/>
          <w:szCs w:val="24"/>
        </w:rPr>
        <w:t xml:space="preserve">conforme a las anteriores premisas jurídicas, este asunto debe ser </w:t>
      </w:r>
      <w:r w:rsidR="00F34952" w:rsidRPr="00251BFF">
        <w:rPr>
          <w:rFonts w:ascii="Georgia" w:hAnsi="Georgia" w:cs="Arial"/>
          <w:sz w:val="24"/>
          <w:szCs w:val="24"/>
        </w:rPr>
        <w:t xml:space="preserve">ventilado ante la </w:t>
      </w:r>
      <w:r w:rsidR="006956BB" w:rsidRPr="00251BFF">
        <w:rPr>
          <w:rFonts w:ascii="Georgia" w:hAnsi="Georgia" w:cs="Arial"/>
          <w:sz w:val="24"/>
          <w:szCs w:val="24"/>
        </w:rPr>
        <w:t>jurisdicción administrativa</w:t>
      </w:r>
      <w:r w:rsidR="00F34952" w:rsidRPr="00251BFF">
        <w:rPr>
          <w:rFonts w:ascii="Georgia" w:hAnsi="Georgia" w:cs="Arial"/>
          <w:sz w:val="24"/>
          <w:szCs w:val="24"/>
        </w:rPr>
        <w:t>, en aplicación de la teoría del fuero de atracción</w:t>
      </w:r>
      <w:r w:rsidR="00042CFD" w:rsidRPr="00251BFF">
        <w:rPr>
          <w:rFonts w:ascii="Georgia" w:hAnsi="Georgia" w:cs="Arial"/>
          <w:sz w:val="24"/>
          <w:szCs w:val="24"/>
        </w:rPr>
        <w:t>, dado que una de las</w:t>
      </w:r>
      <w:r w:rsidR="006956BB" w:rsidRPr="00251BFF">
        <w:rPr>
          <w:rFonts w:ascii="Georgia" w:hAnsi="Georgia" w:cs="Arial"/>
          <w:sz w:val="24"/>
          <w:szCs w:val="24"/>
        </w:rPr>
        <w:t xml:space="preserve"> integrantes de la </w:t>
      </w:r>
      <w:r w:rsidR="00042CFD" w:rsidRPr="00251BFF">
        <w:rPr>
          <w:rFonts w:ascii="Georgia" w:hAnsi="Georgia" w:cs="Arial"/>
          <w:sz w:val="24"/>
          <w:szCs w:val="24"/>
        </w:rPr>
        <w:t xml:space="preserve">parte demandada, es una entidad de derecho público, lo que hace que prime </w:t>
      </w:r>
      <w:r w:rsidR="00382302" w:rsidRPr="00251BFF">
        <w:rPr>
          <w:rFonts w:ascii="Georgia" w:hAnsi="Georgia" w:cs="Arial"/>
          <w:sz w:val="24"/>
          <w:szCs w:val="24"/>
        </w:rPr>
        <w:t xml:space="preserve">su </w:t>
      </w:r>
      <w:r w:rsidR="00042CFD" w:rsidRPr="00251BFF">
        <w:rPr>
          <w:rFonts w:ascii="Georgia" w:hAnsi="Georgia" w:cs="Arial"/>
          <w:sz w:val="24"/>
          <w:szCs w:val="24"/>
        </w:rPr>
        <w:t>fuero.</w:t>
      </w:r>
      <w:r w:rsidR="00F34952" w:rsidRPr="00251BFF">
        <w:rPr>
          <w:rFonts w:ascii="Georgia" w:hAnsi="Georgia" w:cs="Arial"/>
          <w:sz w:val="24"/>
          <w:szCs w:val="24"/>
        </w:rPr>
        <w:t xml:space="preserve"> Al respecto ha dicho </w:t>
      </w:r>
      <w:r w:rsidR="00F34952" w:rsidRPr="00251BFF">
        <w:rPr>
          <w:rFonts w:ascii="Georgia" w:hAnsi="Georgia" w:cs="Arial"/>
          <w:color w:val="000000"/>
          <w:sz w:val="24"/>
          <w:szCs w:val="24"/>
        </w:rPr>
        <w:t>el órgano de cierre de esa especialidad (CE)</w:t>
      </w:r>
      <w:r w:rsidR="00F34952" w:rsidRPr="00251BFF">
        <w:rPr>
          <w:rStyle w:val="Refdenotaalpie"/>
          <w:rFonts w:ascii="Georgia" w:hAnsi="Georgia" w:cs="Arial"/>
          <w:i/>
          <w:sz w:val="24"/>
          <w:szCs w:val="24"/>
        </w:rPr>
        <w:t xml:space="preserve"> </w:t>
      </w:r>
      <w:r w:rsidR="00F34952" w:rsidRPr="00251BFF">
        <w:rPr>
          <w:rStyle w:val="Refdenotaalpie"/>
          <w:rFonts w:ascii="Georgia" w:hAnsi="Georgia" w:cs="Arial"/>
          <w:i/>
          <w:sz w:val="24"/>
          <w:szCs w:val="24"/>
        </w:rPr>
        <w:footnoteReference w:id="8"/>
      </w:r>
      <w:r w:rsidR="00F34952" w:rsidRPr="00251BFF">
        <w:rPr>
          <w:rFonts w:ascii="Georgia" w:hAnsi="Georgia" w:cs="Arial"/>
          <w:color w:val="000000"/>
          <w:sz w:val="24"/>
          <w:szCs w:val="24"/>
        </w:rPr>
        <w:t>:</w:t>
      </w:r>
    </w:p>
    <w:p w:rsidR="00F34952" w:rsidRPr="00251BFF" w:rsidRDefault="00F34952" w:rsidP="00251BFF">
      <w:pPr>
        <w:pStyle w:val="Sinespaciado"/>
        <w:spacing w:line="276" w:lineRule="auto"/>
        <w:jc w:val="both"/>
        <w:rPr>
          <w:rFonts w:ascii="Georgia" w:hAnsi="Georgia" w:cs="Arial"/>
          <w:color w:val="000000"/>
        </w:rPr>
      </w:pPr>
    </w:p>
    <w:p w:rsidR="00F34952" w:rsidRPr="00A60F59" w:rsidRDefault="00F34952" w:rsidP="00A60F59">
      <w:pPr>
        <w:pStyle w:val="Sinespaciado"/>
        <w:ind w:left="426" w:right="418"/>
        <w:jc w:val="both"/>
        <w:rPr>
          <w:rFonts w:ascii="Georgia" w:hAnsi="Georgia" w:cs="Arial"/>
          <w:sz w:val="22"/>
        </w:rPr>
      </w:pPr>
      <w:r w:rsidRPr="00A60F59">
        <w:rPr>
          <w:rFonts w:ascii="Georgia" w:hAnsi="Georgia" w:cs="Arial"/>
          <w:sz w:val="22"/>
        </w:rPr>
        <w:t xml:space="preserve">… De todo lo anterior se concluye que esta jurisdicción tiene competencia para vincular y juzgar a los particulares o personas de derecho privado en virtud del fuero de atracción, aun cuando al momento de realizar el análisis probatorio del proceso se establezca que la entidad pública, también demandada, no es responsable de los hechos y daños que se le atribuyen en el libelo. </w:t>
      </w:r>
    </w:p>
    <w:p w:rsidR="00F34952" w:rsidRPr="00A60F59" w:rsidRDefault="00F34952" w:rsidP="00A60F59">
      <w:pPr>
        <w:pStyle w:val="Sinespaciado"/>
        <w:ind w:left="426" w:right="418"/>
        <w:jc w:val="both"/>
        <w:rPr>
          <w:rFonts w:ascii="Georgia" w:hAnsi="Georgia" w:cs="Arial"/>
          <w:sz w:val="18"/>
        </w:rPr>
      </w:pPr>
    </w:p>
    <w:p w:rsidR="00F34952" w:rsidRPr="00A60F59" w:rsidRDefault="00F34952" w:rsidP="00A60F59">
      <w:pPr>
        <w:pStyle w:val="Sinespaciado"/>
        <w:ind w:left="426" w:right="418"/>
        <w:jc w:val="both"/>
        <w:rPr>
          <w:rFonts w:ascii="Georgia" w:hAnsi="Georgia" w:cs="Arial"/>
          <w:sz w:val="22"/>
        </w:rPr>
      </w:pPr>
      <w:r w:rsidRPr="00A60F59">
        <w:rPr>
          <w:rFonts w:ascii="Georgia" w:hAnsi="Georgia" w:cs="Arial"/>
          <w:sz w:val="22"/>
        </w:rPr>
        <w:t xml:space="preserve">Sin embargo, el factor de conexión que da lugar a la aplicación del fuero de atracción y que permite la vinculación de personas privadas que, en principio, están sometidas al juzgamiento de la jurisdicción ordinaria, debe tener un fundamento serio, es decir, que en la demanda se invoquen acciones u omisiones que, razonablemente, conduzcan a pensar que su responsabilidad pueda quedar comprometida. </w:t>
      </w:r>
    </w:p>
    <w:p w:rsidR="00F34952" w:rsidRPr="00A60F59" w:rsidRDefault="00F34952" w:rsidP="00A60F59">
      <w:pPr>
        <w:pStyle w:val="Sinespaciado"/>
        <w:ind w:left="426" w:right="418"/>
        <w:jc w:val="both"/>
        <w:rPr>
          <w:rFonts w:ascii="Georgia" w:hAnsi="Georgia" w:cs="Arial"/>
          <w:sz w:val="22"/>
        </w:rPr>
      </w:pPr>
    </w:p>
    <w:p w:rsidR="00F34952" w:rsidRPr="00A60F59" w:rsidRDefault="00F34952" w:rsidP="00A60F59">
      <w:pPr>
        <w:pStyle w:val="Sinespaciado"/>
        <w:ind w:left="426" w:right="418"/>
        <w:jc w:val="both"/>
        <w:rPr>
          <w:rFonts w:ascii="Georgia" w:hAnsi="Georgia" w:cs="Arial"/>
          <w:sz w:val="22"/>
        </w:rPr>
      </w:pPr>
      <w:r w:rsidRPr="00A60F59">
        <w:rPr>
          <w:rFonts w:ascii="Georgia" w:hAnsi="Georgia" w:cs="Arial"/>
          <w:sz w:val="22"/>
        </w:rPr>
        <w:t xml:space="preserve">Se resalta que para que opere el fuero de atracción es menester que los hechos que dan origen a la demanda sean los mismos, postura que ha sido reiterada por la Sala en pronunciamientos más recientes que le permiten compartir la decisión del a quo de fallar en relación con la persona de derecho privado, esto es, la Promotora Médica Las Américas </w:t>
      </w:r>
      <w:proofErr w:type="spellStart"/>
      <w:r w:rsidRPr="00A60F59">
        <w:rPr>
          <w:rFonts w:ascii="Georgia" w:hAnsi="Georgia" w:cs="Arial"/>
          <w:sz w:val="22"/>
        </w:rPr>
        <w:t>S.A</w:t>
      </w:r>
      <w:proofErr w:type="spellEnd"/>
      <w:r w:rsidR="006956BB" w:rsidRPr="00A60F59">
        <w:rPr>
          <w:rFonts w:ascii="Georgia" w:hAnsi="Georgia" w:cs="Arial"/>
          <w:sz w:val="22"/>
        </w:rPr>
        <w:t>…</w:t>
      </w:r>
    </w:p>
    <w:p w:rsidR="00A60F59" w:rsidRDefault="00A60F59" w:rsidP="00251BFF">
      <w:pPr>
        <w:spacing w:line="276" w:lineRule="auto"/>
        <w:jc w:val="both"/>
        <w:rPr>
          <w:rFonts w:ascii="Georgia" w:hAnsi="Georgia" w:cs="Arial"/>
          <w:sz w:val="24"/>
          <w:szCs w:val="24"/>
        </w:rPr>
      </w:pPr>
    </w:p>
    <w:p w:rsidR="00D77537" w:rsidRPr="00251BFF" w:rsidRDefault="008E4B09" w:rsidP="00251BFF">
      <w:pPr>
        <w:spacing w:line="276" w:lineRule="auto"/>
        <w:jc w:val="both"/>
        <w:rPr>
          <w:rFonts w:ascii="Georgia" w:hAnsi="Georgia"/>
          <w:sz w:val="24"/>
          <w:szCs w:val="24"/>
        </w:rPr>
      </w:pPr>
      <w:r w:rsidRPr="00251BFF">
        <w:rPr>
          <w:rFonts w:ascii="Georgia" w:hAnsi="Georgia" w:cs="Arial"/>
          <w:sz w:val="24"/>
          <w:szCs w:val="24"/>
        </w:rPr>
        <w:t xml:space="preserve">En ese orden de ideas, acorde con lo dispuesto en </w:t>
      </w:r>
      <w:r w:rsidRPr="00251BFF">
        <w:rPr>
          <w:rFonts w:ascii="Georgia" w:hAnsi="Georgia" w:cs="Arial"/>
          <w:spacing w:val="-3"/>
          <w:sz w:val="24"/>
          <w:szCs w:val="24"/>
        </w:rPr>
        <w:t xml:space="preserve">los ya citados, artículos 133-1º, 16º, 138-1º y 139, </w:t>
      </w:r>
      <w:proofErr w:type="spellStart"/>
      <w:r w:rsidRPr="00251BFF">
        <w:rPr>
          <w:rFonts w:ascii="Georgia" w:hAnsi="Georgia" w:cs="Arial"/>
          <w:spacing w:val="-3"/>
          <w:sz w:val="24"/>
          <w:szCs w:val="24"/>
        </w:rPr>
        <w:t>CGP</w:t>
      </w:r>
      <w:proofErr w:type="spellEnd"/>
      <w:r w:rsidRPr="00251BFF">
        <w:rPr>
          <w:rFonts w:ascii="Georgia" w:hAnsi="Georgia" w:cs="Arial"/>
          <w:spacing w:val="-3"/>
          <w:sz w:val="24"/>
          <w:szCs w:val="24"/>
        </w:rPr>
        <w:t>, ha</w:t>
      </w:r>
      <w:r w:rsidR="00F9463E" w:rsidRPr="00251BFF">
        <w:rPr>
          <w:rFonts w:ascii="Georgia" w:hAnsi="Georgia" w:cs="Arial"/>
          <w:spacing w:val="-3"/>
          <w:sz w:val="24"/>
          <w:szCs w:val="24"/>
        </w:rPr>
        <w:t xml:space="preserve">brá de </w:t>
      </w:r>
      <w:r w:rsidRPr="00251BFF">
        <w:rPr>
          <w:rFonts w:ascii="Georgia" w:hAnsi="Georgia" w:cs="Arial"/>
          <w:spacing w:val="-3"/>
          <w:sz w:val="24"/>
          <w:szCs w:val="24"/>
        </w:rPr>
        <w:t>declarar</w:t>
      </w:r>
      <w:r w:rsidR="00F9463E" w:rsidRPr="00251BFF">
        <w:rPr>
          <w:rFonts w:ascii="Georgia" w:hAnsi="Georgia" w:cs="Arial"/>
          <w:spacing w:val="-3"/>
          <w:sz w:val="24"/>
          <w:szCs w:val="24"/>
        </w:rPr>
        <w:t>se</w:t>
      </w:r>
      <w:r w:rsidRPr="00251BFF">
        <w:rPr>
          <w:rFonts w:ascii="Georgia" w:hAnsi="Georgia" w:cs="Arial"/>
          <w:spacing w:val="-3"/>
          <w:sz w:val="24"/>
          <w:szCs w:val="24"/>
        </w:rPr>
        <w:t xml:space="preserve"> la nulidad del proceso, a partir </w:t>
      </w:r>
      <w:r w:rsidR="00F9463E" w:rsidRPr="00251BFF">
        <w:rPr>
          <w:rFonts w:ascii="Georgia" w:hAnsi="Georgia" w:cs="Arial"/>
          <w:spacing w:val="-3"/>
          <w:sz w:val="24"/>
          <w:szCs w:val="24"/>
        </w:rPr>
        <w:t>de</w:t>
      </w:r>
      <w:r w:rsidR="0079112C" w:rsidRPr="00251BFF">
        <w:rPr>
          <w:rFonts w:ascii="Georgia" w:hAnsi="Georgia" w:cs="Arial"/>
          <w:spacing w:val="-3"/>
          <w:sz w:val="24"/>
          <w:szCs w:val="24"/>
        </w:rPr>
        <w:t xml:space="preserve"> la sentencia emitida por el Juzgado Segundo Civil del Circuito local y se dispondrá remi</w:t>
      </w:r>
      <w:r w:rsidR="005C23C4" w:rsidRPr="00251BFF">
        <w:rPr>
          <w:rFonts w:ascii="Georgia" w:hAnsi="Georgia" w:cs="Arial"/>
          <w:spacing w:val="-3"/>
          <w:sz w:val="24"/>
          <w:szCs w:val="24"/>
        </w:rPr>
        <w:t xml:space="preserve">tir </w:t>
      </w:r>
      <w:r w:rsidR="0079112C" w:rsidRPr="00251BFF">
        <w:rPr>
          <w:rFonts w:ascii="Georgia" w:hAnsi="Georgia" w:cs="Arial"/>
          <w:spacing w:val="-3"/>
          <w:sz w:val="24"/>
          <w:szCs w:val="24"/>
        </w:rPr>
        <w:t>la actuaci</w:t>
      </w:r>
      <w:r w:rsidR="005C23C4" w:rsidRPr="00251BFF">
        <w:rPr>
          <w:rFonts w:ascii="Georgia" w:hAnsi="Georgia" w:cs="Arial"/>
          <w:spacing w:val="-3"/>
          <w:sz w:val="24"/>
          <w:szCs w:val="24"/>
        </w:rPr>
        <w:t>ón</w:t>
      </w:r>
      <w:r w:rsidR="0079112C" w:rsidRPr="00251BFF">
        <w:rPr>
          <w:rFonts w:ascii="Georgia" w:hAnsi="Georgia" w:cs="Arial"/>
          <w:spacing w:val="-3"/>
          <w:sz w:val="24"/>
          <w:szCs w:val="24"/>
        </w:rPr>
        <w:t xml:space="preserve"> a</w:t>
      </w:r>
      <w:r w:rsidR="00A338FC" w:rsidRPr="00251BFF">
        <w:rPr>
          <w:rFonts w:ascii="Georgia" w:hAnsi="Georgia" w:cs="Arial"/>
          <w:spacing w:val="-3"/>
          <w:sz w:val="24"/>
          <w:szCs w:val="24"/>
        </w:rPr>
        <w:t xml:space="preserve"> la Oficina Judicial de Pereira, para que sea repartido entre los Jueces Administrativos del Circuito locales</w:t>
      </w:r>
      <w:r w:rsidRPr="00251BFF">
        <w:rPr>
          <w:rFonts w:ascii="Georgia" w:hAnsi="Georgia" w:cs="Arial"/>
          <w:sz w:val="24"/>
          <w:szCs w:val="24"/>
        </w:rPr>
        <w:t xml:space="preserve"> </w:t>
      </w:r>
      <w:r w:rsidR="00A338FC" w:rsidRPr="00251BFF">
        <w:rPr>
          <w:rFonts w:ascii="Georgia" w:hAnsi="Georgia" w:cs="Arial"/>
          <w:sz w:val="24"/>
          <w:szCs w:val="24"/>
        </w:rPr>
        <w:t>(</w:t>
      </w:r>
      <w:r w:rsidR="00A338FC" w:rsidRPr="00251BFF">
        <w:rPr>
          <w:rFonts w:ascii="Georgia" w:hAnsi="Georgia" w:cs="Arial"/>
          <w:sz w:val="22"/>
          <w:szCs w:val="24"/>
        </w:rPr>
        <w:t xml:space="preserve">Artículo 155-6º, </w:t>
      </w:r>
      <w:proofErr w:type="spellStart"/>
      <w:r w:rsidR="00A338FC" w:rsidRPr="00251BFF">
        <w:rPr>
          <w:rFonts w:ascii="Georgia" w:hAnsi="Georgia" w:cs="Arial"/>
          <w:sz w:val="22"/>
          <w:szCs w:val="24"/>
        </w:rPr>
        <w:t>CPACA</w:t>
      </w:r>
      <w:proofErr w:type="spellEnd"/>
      <w:r w:rsidR="00A338FC" w:rsidRPr="00251BFF">
        <w:rPr>
          <w:rFonts w:ascii="Georgia" w:hAnsi="Georgia" w:cs="Arial"/>
          <w:sz w:val="24"/>
          <w:szCs w:val="24"/>
        </w:rPr>
        <w:t>).</w:t>
      </w:r>
      <w:r w:rsidR="00D77537" w:rsidRPr="00251BFF">
        <w:rPr>
          <w:rFonts w:ascii="Georgia" w:hAnsi="Georgia" w:cs="Arial"/>
          <w:sz w:val="24"/>
          <w:szCs w:val="24"/>
        </w:rPr>
        <w:t xml:space="preserve"> </w:t>
      </w:r>
      <w:r w:rsidR="00D77537" w:rsidRPr="00251BFF">
        <w:rPr>
          <w:rFonts w:ascii="Georgia" w:hAnsi="Georgia"/>
          <w:sz w:val="24"/>
          <w:szCs w:val="24"/>
        </w:rPr>
        <w:t xml:space="preserve">Este criterio ya había sido </w:t>
      </w:r>
      <w:r w:rsidR="00D77537" w:rsidRPr="00251BFF">
        <w:rPr>
          <w:rFonts w:ascii="Georgia" w:hAnsi="Georgia"/>
          <w:sz w:val="24"/>
          <w:szCs w:val="24"/>
        </w:rPr>
        <w:lastRenderedPageBreak/>
        <w:t>acogido por otra Sala de esta Corporación</w:t>
      </w:r>
      <w:r w:rsidR="00D77537" w:rsidRPr="00251BFF">
        <w:rPr>
          <w:rStyle w:val="Refdenotaalpie"/>
          <w:rFonts w:ascii="Georgia" w:hAnsi="Georgia"/>
          <w:sz w:val="24"/>
          <w:szCs w:val="24"/>
        </w:rPr>
        <w:footnoteReference w:id="9"/>
      </w:r>
      <w:r w:rsidR="00D77537" w:rsidRPr="00251BFF">
        <w:rPr>
          <w:rFonts w:ascii="Georgia" w:hAnsi="Georgia"/>
          <w:sz w:val="24"/>
          <w:szCs w:val="24"/>
        </w:rPr>
        <w:t xml:space="preserve">, aunque en vigencia del </w:t>
      </w:r>
      <w:proofErr w:type="spellStart"/>
      <w:r w:rsidR="00D77537" w:rsidRPr="00251BFF">
        <w:rPr>
          <w:rFonts w:ascii="Georgia" w:hAnsi="Georgia"/>
          <w:sz w:val="24"/>
          <w:szCs w:val="24"/>
        </w:rPr>
        <w:t>CPC</w:t>
      </w:r>
      <w:proofErr w:type="spellEnd"/>
      <w:r w:rsidR="00D77537" w:rsidRPr="00251BFF">
        <w:rPr>
          <w:rFonts w:ascii="Georgia" w:hAnsi="Georgia"/>
          <w:sz w:val="24"/>
          <w:szCs w:val="24"/>
        </w:rPr>
        <w:t xml:space="preserve">, pero con similar razonamiento. </w:t>
      </w:r>
    </w:p>
    <w:p w:rsidR="008E4B09" w:rsidRPr="00251BFF" w:rsidRDefault="008E4B09" w:rsidP="00251BFF">
      <w:pPr>
        <w:spacing w:line="276" w:lineRule="auto"/>
        <w:ind w:right="51"/>
        <w:jc w:val="both"/>
        <w:rPr>
          <w:rFonts w:ascii="Georgia" w:hAnsi="Georgia" w:cs="Arial"/>
          <w:sz w:val="18"/>
          <w:szCs w:val="24"/>
        </w:rPr>
      </w:pPr>
    </w:p>
    <w:p w:rsidR="00A338FC" w:rsidRPr="00251BFF" w:rsidRDefault="008E4B09" w:rsidP="00251BFF">
      <w:pPr>
        <w:spacing w:line="276" w:lineRule="auto"/>
        <w:ind w:right="51"/>
        <w:jc w:val="both"/>
        <w:rPr>
          <w:rFonts w:ascii="Georgia" w:hAnsi="Georgia" w:cs="Arial"/>
          <w:sz w:val="24"/>
          <w:szCs w:val="24"/>
        </w:rPr>
      </w:pPr>
      <w:r w:rsidRPr="00251BFF">
        <w:rPr>
          <w:rFonts w:ascii="Georgia" w:hAnsi="Georgia" w:cs="Arial"/>
          <w:sz w:val="24"/>
          <w:szCs w:val="24"/>
        </w:rPr>
        <w:t>Es preciso señalar que</w:t>
      </w:r>
      <w:r w:rsidR="00A338FC" w:rsidRPr="00251BFF">
        <w:rPr>
          <w:rFonts w:ascii="Georgia" w:hAnsi="Georgia" w:cs="Arial"/>
          <w:sz w:val="24"/>
          <w:szCs w:val="24"/>
        </w:rPr>
        <w:t xml:space="preserve"> esta decisión, </w:t>
      </w:r>
      <w:r w:rsidR="006956BB" w:rsidRPr="00251BFF">
        <w:rPr>
          <w:rFonts w:ascii="Georgia" w:hAnsi="Georgia" w:cs="Arial"/>
          <w:sz w:val="24"/>
          <w:szCs w:val="24"/>
        </w:rPr>
        <w:t>en</w:t>
      </w:r>
      <w:r w:rsidR="00A338FC" w:rsidRPr="00251BFF">
        <w:rPr>
          <w:rFonts w:ascii="Georgia" w:hAnsi="Georgia" w:cs="Arial"/>
          <w:sz w:val="24"/>
          <w:szCs w:val="24"/>
        </w:rPr>
        <w:t xml:space="preserve"> modo alguno, va en contravía de lo resuelto por el Juzgado Tercero Laboral del Circuito</w:t>
      </w:r>
      <w:r w:rsidR="005C23C4" w:rsidRPr="00251BFF">
        <w:rPr>
          <w:rFonts w:ascii="Georgia" w:hAnsi="Georgia" w:cs="Arial"/>
          <w:sz w:val="24"/>
          <w:szCs w:val="24"/>
        </w:rPr>
        <w:t xml:space="preserve"> (</w:t>
      </w:r>
      <w:r w:rsidR="005C23C4" w:rsidRPr="00251BFF">
        <w:rPr>
          <w:rFonts w:ascii="Georgia" w:hAnsi="Georgia" w:cs="Arial"/>
          <w:sz w:val="22"/>
          <w:szCs w:val="24"/>
        </w:rPr>
        <w:t>Folios 986 a 1000, cuaderno principal, tomo IV</w:t>
      </w:r>
      <w:r w:rsidR="005C23C4" w:rsidRPr="00251BFF">
        <w:rPr>
          <w:rFonts w:ascii="Georgia" w:hAnsi="Georgia" w:cs="Arial"/>
          <w:sz w:val="24"/>
          <w:szCs w:val="24"/>
        </w:rPr>
        <w:t>)</w:t>
      </w:r>
      <w:r w:rsidR="00A338FC" w:rsidRPr="00251BFF">
        <w:rPr>
          <w:rFonts w:ascii="Georgia" w:hAnsi="Georgia" w:cs="Arial"/>
          <w:sz w:val="24"/>
          <w:szCs w:val="24"/>
        </w:rPr>
        <w:t>, al proveer sobre la excepción de falta de jurisdicción, propuesta por la ESE Hospital San Jorge de Pereira, porque para ese momento (07-02-2011), estaba decantado, al amparo de la Ley 712 (</w:t>
      </w:r>
      <w:r w:rsidR="00A338FC" w:rsidRPr="00251BFF">
        <w:rPr>
          <w:rFonts w:ascii="Georgia" w:hAnsi="Georgia" w:cs="Arial"/>
          <w:sz w:val="22"/>
          <w:szCs w:val="24"/>
        </w:rPr>
        <w:t>Artículo 2°-4º</w:t>
      </w:r>
      <w:r w:rsidR="00A338FC" w:rsidRPr="00251BFF">
        <w:rPr>
          <w:rFonts w:ascii="Georgia" w:hAnsi="Georgia" w:cs="Arial"/>
          <w:sz w:val="24"/>
          <w:szCs w:val="24"/>
        </w:rPr>
        <w:t>) que era esa especialidad la competente para conocer del proceso; situación que cambió con la expedición</w:t>
      </w:r>
      <w:r w:rsidR="009931F1" w:rsidRPr="00251BFF">
        <w:rPr>
          <w:rFonts w:ascii="Georgia" w:hAnsi="Georgia" w:cs="Arial"/>
          <w:sz w:val="24"/>
          <w:szCs w:val="24"/>
        </w:rPr>
        <w:t xml:space="preserve"> y vigencia </w:t>
      </w:r>
      <w:r w:rsidR="00A338FC" w:rsidRPr="00251BFF">
        <w:rPr>
          <w:rFonts w:ascii="Georgia" w:hAnsi="Georgia" w:cs="Arial"/>
          <w:sz w:val="24"/>
          <w:szCs w:val="24"/>
        </w:rPr>
        <w:t xml:space="preserve">del </w:t>
      </w:r>
      <w:proofErr w:type="spellStart"/>
      <w:r w:rsidR="00A338FC" w:rsidRPr="00251BFF">
        <w:rPr>
          <w:rFonts w:ascii="Georgia" w:hAnsi="Georgia" w:cs="Arial"/>
          <w:sz w:val="24"/>
          <w:szCs w:val="24"/>
        </w:rPr>
        <w:t>CGP</w:t>
      </w:r>
      <w:proofErr w:type="spellEnd"/>
      <w:r w:rsidR="00A338FC" w:rsidRPr="00251BFF">
        <w:rPr>
          <w:rFonts w:ascii="Georgia" w:hAnsi="Georgia" w:cs="Arial"/>
          <w:sz w:val="24"/>
          <w:szCs w:val="24"/>
        </w:rPr>
        <w:t xml:space="preserve"> y el </w:t>
      </w:r>
      <w:proofErr w:type="spellStart"/>
      <w:r w:rsidR="00A338FC" w:rsidRPr="00251BFF">
        <w:rPr>
          <w:rFonts w:ascii="Georgia" w:hAnsi="Georgia" w:cs="Arial"/>
          <w:sz w:val="24"/>
          <w:szCs w:val="24"/>
        </w:rPr>
        <w:t>CPACA</w:t>
      </w:r>
      <w:proofErr w:type="spellEnd"/>
      <w:r w:rsidR="009931F1" w:rsidRPr="00251BFF">
        <w:rPr>
          <w:rFonts w:ascii="Georgia" w:hAnsi="Georgia" w:cs="Arial"/>
          <w:sz w:val="24"/>
          <w:szCs w:val="24"/>
        </w:rPr>
        <w:t>.</w:t>
      </w:r>
      <w:r w:rsidR="00A338FC" w:rsidRPr="00251BFF">
        <w:rPr>
          <w:rFonts w:ascii="Georgia" w:hAnsi="Georgia" w:cs="Arial"/>
          <w:sz w:val="24"/>
          <w:szCs w:val="24"/>
        </w:rPr>
        <w:t xml:space="preserve"> </w:t>
      </w:r>
    </w:p>
    <w:p w:rsidR="00E16723" w:rsidRPr="00251BFF" w:rsidRDefault="00E16723" w:rsidP="00251BFF">
      <w:pPr>
        <w:spacing w:line="276" w:lineRule="auto"/>
        <w:ind w:right="51"/>
        <w:jc w:val="both"/>
        <w:rPr>
          <w:rFonts w:ascii="Georgia" w:hAnsi="Georgia" w:cs="Arial"/>
          <w:sz w:val="18"/>
          <w:szCs w:val="24"/>
        </w:rPr>
      </w:pPr>
    </w:p>
    <w:p w:rsidR="003C5098" w:rsidRPr="00251BFF" w:rsidRDefault="003C5098" w:rsidP="00251BFF">
      <w:pPr>
        <w:pStyle w:val="Textopredeterminado"/>
        <w:numPr>
          <w:ilvl w:val="0"/>
          <w:numId w:val="1"/>
        </w:numPr>
        <w:spacing w:line="276" w:lineRule="auto"/>
        <w:jc w:val="both"/>
        <w:textAlignment w:val="baseline"/>
        <w:rPr>
          <w:rFonts w:ascii="Georgia" w:hAnsi="Georgia" w:cs="Arial"/>
        </w:rPr>
      </w:pPr>
      <w:r w:rsidRPr="00251BFF">
        <w:rPr>
          <w:rFonts w:ascii="Georgia" w:hAnsi="Georgia" w:cs="Arial"/>
        </w:rPr>
        <w:t xml:space="preserve">LAS DECISIONES </w:t>
      </w:r>
    </w:p>
    <w:p w:rsidR="003A68B4" w:rsidRPr="00251BFF" w:rsidRDefault="003A68B4" w:rsidP="00251BFF">
      <w:pPr>
        <w:spacing w:line="276" w:lineRule="auto"/>
        <w:ind w:right="51"/>
        <w:jc w:val="both"/>
        <w:rPr>
          <w:rFonts w:ascii="Georgia" w:hAnsi="Georgia" w:cs="Arial"/>
          <w:sz w:val="22"/>
          <w:szCs w:val="24"/>
        </w:rPr>
      </w:pPr>
    </w:p>
    <w:p w:rsidR="005B48F1" w:rsidRPr="00251BFF" w:rsidRDefault="003C5098" w:rsidP="00251BFF">
      <w:pPr>
        <w:spacing w:line="276" w:lineRule="auto"/>
        <w:ind w:right="51"/>
        <w:jc w:val="both"/>
        <w:rPr>
          <w:rFonts w:ascii="Georgia" w:hAnsi="Georgia" w:cs="Arial"/>
          <w:sz w:val="24"/>
          <w:szCs w:val="24"/>
        </w:rPr>
      </w:pPr>
      <w:r w:rsidRPr="00251BFF">
        <w:rPr>
          <w:rFonts w:ascii="Georgia" w:hAnsi="Georgia" w:cs="Arial"/>
          <w:sz w:val="24"/>
          <w:szCs w:val="24"/>
        </w:rPr>
        <w:t xml:space="preserve">En armonía con las premisas expuestas, se </w:t>
      </w:r>
      <w:r w:rsidR="00E83B4F" w:rsidRPr="00251BFF">
        <w:rPr>
          <w:rFonts w:ascii="Georgia" w:hAnsi="Georgia" w:cs="Arial"/>
          <w:sz w:val="24"/>
          <w:szCs w:val="24"/>
        </w:rPr>
        <w:t xml:space="preserve">invalidará </w:t>
      </w:r>
      <w:r w:rsidRPr="00251BFF">
        <w:rPr>
          <w:rFonts w:ascii="Georgia" w:hAnsi="Georgia" w:cs="Arial"/>
          <w:sz w:val="24"/>
          <w:szCs w:val="24"/>
        </w:rPr>
        <w:t xml:space="preserve">lo actuado </w:t>
      </w:r>
      <w:r w:rsidR="00872F16" w:rsidRPr="00251BFF">
        <w:rPr>
          <w:rFonts w:ascii="Georgia" w:hAnsi="Georgia" w:cs="Arial"/>
          <w:sz w:val="24"/>
          <w:szCs w:val="24"/>
        </w:rPr>
        <w:t>a partir</w:t>
      </w:r>
      <w:r w:rsidR="009931F1" w:rsidRPr="00251BFF">
        <w:rPr>
          <w:rFonts w:ascii="Georgia" w:hAnsi="Georgia" w:cs="Arial"/>
          <w:sz w:val="24"/>
          <w:szCs w:val="24"/>
        </w:rPr>
        <w:t xml:space="preserve">, inclusive, de la sentencia emitida por el Juzgado </w:t>
      </w:r>
      <w:r w:rsidR="009931F1" w:rsidRPr="00251BFF">
        <w:rPr>
          <w:rFonts w:ascii="Georgia" w:hAnsi="Georgia" w:cs="Arial"/>
          <w:spacing w:val="-3"/>
          <w:sz w:val="24"/>
          <w:szCs w:val="24"/>
        </w:rPr>
        <w:t xml:space="preserve">Segundo Civil del Circuito de Pereira, </w:t>
      </w:r>
      <w:r w:rsidR="009931F1" w:rsidRPr="00251BFF">
        <w:rPr>
          <w:rFonts w:ascii="Georgia" w:hAnsi="Georgia" w:cs="Arial"/>
          <w:sz w:val="24"/>
          <w:szCs w:val="24"/>
        </w:rPr>
        <w:t>pues carecía de jurisdicción</w:t>
      </w:r>
      <w:r w:rsidR="009931F1" w:rsidRPr="00251BFF">
        <w:rPr>
          <w:rFonts w:ascii="Georgia" w:hAnsi="Georgia"/>
          <w:color w:val="000000" w:themeColor="text1"/>
          <w:sz w:val="24"/>
          <w:szCs w:val="24"/>
        </w:rPr>
        <w:t xml:space="preserve">; y se remitirá a los Juzgados Administrativos del Circuito locales, para que continúen conociendo del proceso. </w:t>
      </w:r>
    </w:p>
    <w:p w:rsidR="002D045F" w:rsidRPr="00251BFF" w:rsidRDefault="002D045F" w:rsidP="00251BFF">
      <w:pPr>
        <w:spacing w:line="276" w:lineRule="auto"/>
        <w:ind w:right="51"/>
        <w:jc w:val="both"/>
        <w:rPr>
          <w:rFonts w:ascii="Georgia" w:hAnsi="Georgia" w:cs="Arial"/>
          <w:sz w:val="18"/>
          <w:szCs w:val="24"/>
        </w:rPr>
      </w:pPr>
    </w:p>
    <w:p w:rsidR="00DB2868" w:rsidRPr="00251BFF" w:rsidRDefault="003C5098" w:rsidP="00251BFF">
      <w:pPr>
        <w:tabs>
          <w:tab w:val="left" w:pos="-720"/>
        </w:tabs>
        <w:suppressAutoHyphens/>
        <w:spacing w:line="276" w:lineRule="auto"/>
        <w:jc w:val="both"/>
        <w:rPr>
          <w:rFonts w:ascii="Georgia" w:hAnsi="Georgia" w:cs="Arial"/>
          <w:spacing w:val="-3"/>
          <w:sz w:val="24"/>
          <w:szCs w:val="24"/>
        </w:rPr>
      </w:pPr>
      <w:r w:rsidRPr="00251BFF">
        <w:rPr>
          <w:rFonts w:ascii="Georgia" w:hAnsi="Georgia" w:cs="Arial"/>
          <w:sz w:val="24"/>
          <w:szCs w:val="24"/>
        </w:rPr>
        <w:t>Considerando suficientes los argumentos expuestos</w:t>
      </w:r>
      <w:r w:rsidR="00DB2868" w:rsidRPr="00251BFF">
        <w:rPr>
          <w:rFonts w:ascii="Georgia" w:hAnsi="Georgia" w:cs="Arial"/>
          <w:sz w:val="24"/>
          <w:szCs w:val="24"/>
        </w:rPr>
        <w:t xml:space="preserve">, el </w:t>
      </w:r>
      <w:r w:rsidR="00DB2868" w:rsidRPr="00251BFF">
        <w:rPr>
          <w:rFonts w:ascii="Georgia" w:hAnsi="Georgia" w:cs="Arial"/>
          <w:smallCaps/>
          <w:sz w:val="24"/>
          <w:szCs w:val="24"/>
        </w:rPr>
        <w:t>Tribunal Superior del Distrito Judicial de Pereira, Sala Unitaria</w:t>
      </w:r>
      <w:r w:rsidR="00DB2868" w:rsidRPr="00251BFF">
        <w:rPr>
          <w:rFonts w:ascii="Georgia" w:hAnsi="Georgia" w:cs="Arial"/>
          <w:sz w:val="24"/>
          <w:szCs w:val="24"/>
        </w:rPr>
        <w:t>,</w:t>
      </w:r>
    </w:p>
    <w:p w:rsidR="00EA097E" w:rsidRPr="00251BFF" w:rsidRDefault="00EA097E" w:rsidP="00251BFF">
      <w:pPr>
        <w:tabs>
          <w:tab w:val="left" w:pos="-720"/>
        </w:tabs>
        <w:suppressAutoHyphens/>
        <w:spacing w:line="276" w:lineRule="auto"/>
        <w:jc w:val="center"/>
        <w:rPr>
          <w:rFonts w:ascii="Georgia" w:hAnsi="Georgia" w:cs="Arial"/>
          <w:smallCaps/>
          <w:szCs w:val="24"/>
        </w:rPr>
      </w:pPr>
    </w:p>
    <w:p w:rsidR="00DB2868" w:rsidRPr="00251BFF" w:rsidRDefault="00DB2868" w:rsidP="00251BFF">
      <w:pPr>
        <w:tabs>
          <w:tab w:val="left" w:pos="-720"/>
        </w:tabs>
        <w:suppressAutoHyphens/>
        <w:spacing w:line="276" w:lineRule="auto"/>
        <w:jc w:val="center"/>
        <w:rPr>
          <w:rFonts w:ascii="Georgia" w:hAnsi="Georgia" w:cs="Arial"/>
          <w:smallCaps/>
          <w:sz w:val="24"/>
          <w:szCs w:val="24"/>
        </w:rPr>
      </w:pPr>
      <w:r w:rsidRPr="00251BFF">
        <w:rPr>
          <w:rFonts w:ascii="Georgia" w:hAnsi="Georgia" w:cs="Arial"/>
          <w:smallCaps/>
          <w:sz w:val="24"/>
          <w:szCs w:val="24"/>
        </w:rPr>
        <w:t>R e s u e l v e,</w:t>
      </w:r>
    </w:p>
    <w:p w:rsidR="001902A0" w:rsidRPr="00251BFF" w:rsidRDefault="001902A0" w:rsidP="00251BFF">
      <w:pPr>
        <w:tabs>
          <w:tab w:val="left" w:pos="-720"/>
        </w:tabs>
        <w:suppressAutoHyphens/>
        <w:spacing w:line="276" w:lineRule="auto"/>
        <w:jc w:val="center"/>
        <w:rPr>
          <w:rFonts w:ascii="Georgia" w:hAnsi="Georgia" w:cs="Arial"/>
          <w:smallCaps/>
          <w:sz w:val="24"/>
          <w:szCs w:val="24"/>
        </w:rPr>
      </w:pPr>
    </w:p>
    <w:p w:rsidR="00E232E7" w:rsidRPr="00251BFF" w:rsidRDefault="00DB2868" w:rsidP="00251BFF">
      <w:pPr>
        <w:pStyle w:val="Prrafodelista"/>
        <w:numPr>
          <w:ilvl w:val="0"/>
          <w:numId w:val="4"/>
        </w:numPr>
        <w:tabs>
          <w:tab w:val="clear" w:pos="720"/>
        </w:tabs>
        <w:spacing w:line="276" w:lineRule="auto"/>
        <w:ind w:left="426" w:hanging="426"/>
        <w:jc w:val="both"/>
        <w:rPr>
          <w:rFonts w:ascii="Georgia" w:hAnsi="Georgia" w:cs="Arial"/>
          <w:sz w:val="24"/>
          <w:szCs w:val="24"/>
        </w:rPr>
      </w:pPr>
      <w:r w:rsidRPr="00251BFF">
        <w:rPr>
          <w:rFonts w:ascii="Georgia" w:hAnsi="Georgia" w:cs="Arial"/>
          <w:spacing w:val="-3"/>
          <w:sz w:val="24"/>
          <w:szCs w:val="24"/>
        </w:rPr>
        <w:t xml:space="preserve">DECLARAR </w:t>
      </w:r>
      <w:r w:rsidR="003C5098" w:rsidRPr="00251BFF">
        <w:rPr>
          <w:rFonts w:ascii="Georgia" w:hAnsi="Georgia" w:cs="Arial"/>
          <w:sz w:val="24"/>
          <w:szCs w:val="24"/>
        </w:rPr>
        <w:t xml:space="preserve">la nulidad de lo actuado en este proceso </w:t>
      </w:r>
      <w:r w:rsidR="009931F1" w:rsidRPr="00251BFF">
        <w:rPr>
          <w:rFonts w:ascii="Georgia" w:hAnsi="Georgia" w:cs="Arial"/>
          <w:sz w:val="24"/>
          <w:szCs w:val="24"/>
        </w:rPr>
        <w:t xml:space="preserve">a partir, inclusive, de la sentencia emitida por el Juzgado </w:t>
      </w:r>
      <w:r w:rsidR="009931F1" w:rsidRPr="00251BFF">
        <w:rPr>
          <w:rFonts w:ascii="Georgia" w:hAnsi="Georgia" w:cs="Arial"/>
          <w:spacing w:val="-3"/>
          <w:sz w:val="24"/>
          <w:szCs w:val="24"/>
        </w:rPr>
        <w:t>Segundo Civil del Circuito de Pereira</w:t>
      </w:r>
      <w:r w:rsidR="009931F1" w:rsidRPr="00251BFF">
        <w:rPr>
          <w:rFonts w:ascii="Georgia" w:hAnsi="Georgia" w:cs="Arial"/>
          <w:sz w:val="24"/>
          <w:szCs w:val="24"/>
        </w:rPr>
        <w:t xml:space="preserve">, emitida </w:t>
      </w:r>
      <w:r w:rsidR="009931F1" w:rsidRPr="00251BFF">
        <w:rPr>
          <w:rFonts w:ascii="Georgia" w:hAnsi="Georgia" w:cs="Arial"/>
          <w:spacing w:val="-3"/>
          <w:sz w:val="24"/>
          <w:szCs w:val="24"/>
        </w:rPr>
        <w:t>el</w:t>
      </w:r>
      <w:r w:rsidR="009931F1" w:rsidRPr="00251BFF">
        <w:rPr>
          <w:rFonts w:ascii="Georgia" w:hAnsi="Georgia" w:cs="Arial"/>
          <w:sz w:val="24"/>
          <w:szCs w:val="24"/>
        </w:rPr>
        <w:t xml:space="preserve"> 25-04-2019,</w:t>
      </w:r>
      <w:r w:rsidR="00872F16" w:rsidRPr="00251BFF">
        <w:rPr>
          <w:rFonts w:ascii="Georgia" w:hAnsi="Georgia" w:cs="Arial"/>
          <w:sz w:val="24"/>
          <w:szCs w:val="24"/>
        </w:rPr>
        <w:t xml:space="preserve"> </w:t>
      </w:r>
      <w:r w:rsidR="009931F1" w:rsidRPr="00251BFF">
        <w:rPr>
          <w:rFonts w:ascii="Georgia" w:hAnsi="Georgia" w:cs="Arial"/>
          <w:sz w:val="24"/>
          <w:szCs w:val="24"/>
        </w:rPr>
        <w:t>dado que ese estrado judicial carecía de jurisdicción</w:t>
      </w:r>
      <w:r w:rsidR="00E232E7" w:rsidRPr="00251BFF">
        <w:rPr>
          <w:rFonts w:ascii="Georgia" w:hAnsi="Georgia"/>
          <w:color w:val="000000" w:themeColor="text1"/>
          <w:sz w:val="24"/>
          <w:szCs w:val="24"/>
        </w:rPr>
        <w:t>.</w:t>
      </w:r>
    </w:p>
    <w:p w:rsidR="00224DC7" w:rsidRPr="00251BFF" w:rsidRDefault="00224DC7" w:rsidP="00251BFF">
      <w:pPr>
        <w:pStyle w:val="Textopredeterminado"/>
        <w:spacing w:line="276" w:lineRule="auto"/>
        <w:ind w:left="360" w:right="51"/>
        <w:jc w:val="both"/>
        <w:textAlignment w:val="baseline"/>
        <w:rPr>
          <w:rFonts w:ascii="Georgia" w:hAnsi="Georgia" w:cs="Arial"/>
          <w:szCs w:val="24"/>
        </w:rPr>
      </w:pPr>
    </w:p>
    <w:p w:rsidR="009931F1" w:rsidRPr="00251BFF" w:rsidRDefault="009931F1" w:rsidP="00251BFF">
      <w:pPr>
        <w:pStyle w:val="Prrafodelista"/>
        <w:numPr>
          <w:ilvl w:val="0"/>
          <w:numId w:val="4"/>
        </w:numPr>
        <w:tabs>
          <w:tab w:val="clear" w:pos="720"/>
        </w:tabs>
        <w:spacing w:line="276" w:lineRule="auto"/>
        <w:ind w:left="426" w:hanging="426"/>
        <w:jc w:val="both"/>
        <w:rPr>
          <w:rFonts w:ascii="Georgia" w:hAnsi="Georgia" w:cs="Arial"/>
          <w:spacing w:val="3"/>
          <w:sz w:val="24"/>
          <w:szCs w:val="24"/>
        </w:rPr>
      </w:pPr>
      <w:r w:rsidRPr="00251BFF">
        <w:rPr>
          <w:rFonts w:ascii="Georgia" w:hAnsi="Georgia" w:cs="Arial"/>
          <w:spacing w:val="3"/>
          <w:sz w:val="24"/>
          <w:szCs w:val="24"/>
        </w:rPr>
        <w:t xml:space="preserve">REMITIR el expediente junto con sus anexos a la Oficina Judicial de Pereira, para que sea repartido entre los Jueces </w:t>
      </w:r>
      <w:r w:rsidRPr="00251BFF">
        <w:rPr>
          <w:rFonts w:ascii="Georgia" w:hAnsi="Georgia"/>
          <w:color w:val="000000" w:themeColor="text1"/>
          <w:sz w:val="24"/>
          <w:szCs w:val="24"/>
        </w:rPr>
        <w:t>Administrativos del Circuito locales</w:t>
      </w:r>
      <w:r w:rsidRPr="00251BFF">
        <w:rPr>
          <w:rFonts w:ascii="Georgia" w:hAnsi="Georgia" w:cs="Arial"/>
          <w:spacing w:val="3"/>
          <w:sz w:val="24"/>
        </w:rPr>
        <w:t>.</w:t>
      </w:r>
    </w:p>
    <w:p w:rsidR="009931F1" w:rsidRPr="00251BFF" w:rsidRDefault="009931F1" w:rsidP="00251BFF">
      <w:pPr>
        <w:pStyle w:val="Prrafodelista"/>
        <w:spacing w:line="276" w:lineRule="auto"/>
        <w:rPr>
          <w:rFonts w:ascii="Georgia" w:hAnsi="Georgia" w:cs="Arial"/>
          <w:spacing w:val="3"/>
          <w:sz w:val="24"/>
          <w:szCs w:val="24"/>
        </w:rPr>
      </w:pPr>
    </w:p>
    <w:p w:rsidR="00DB2868" w:rsidRPr="00251BFF" w:rsidRDefault="00DB2868" w:rsidP="00251BFF">
      <w:pPr>
        <w:suppressAutoHyphens/>
        <w:spacing w:line="276" w:lineRule="auto"/>
        <w:jc w:val="center"/>
        <w:rPr>
          <w:rFonts w:ascii="Georgia" w:hAnsi="Georgia" w:cs="Arial"/>
          <w:smallCaps/>
        </w:rPr>
      </w:pPr>
      <w:r w:rsidRPr="00251BFF">
        <w:rPr>
          <w:rFonts w:ascii="Georgia" w:hAnsi="Georgia" w:cs="Arial"/>
          <w:smallCaps/>
          <w:sz w:val="24"/>
          <w:szCs w:val="24"/>
        </w:rPr>
        <w:t>Notifíquese</w:t>
      </w:r>
    </w:p>
    <w:p w:rsidR="00DB2868" w:rsidRPr="00251BFF" w:rsidRDefault="00DB2868" w:rsidP="00251BFF">
      <w:pPr>
        <w:pStyle w:val="Textoindependiente"/>
        <w:spacing w:line="276" w:lineRule="auto"/>
        <w:jc w:val="center"/>
        <w:rPr>
          <w:rFonts w:ascii="Georgia" w:hAnsi="Georgia"/>
          <w:spacing w:val="20"/>
          <w:w w:val="150"/>
          <w:sz w:val="22"/>
          <w:szCs w:val="22"/>
          <w:lang w:val="es-ES"/>
        </w:rPr>
      </w:pPr>
    </w:p>
    <w:p w:rsidR="00F107CA" w:rsidRPr="00251BFF" w:rsidRDefault="00F107CA" w:rsidP="00251BFF">
      <w:pPr>
        <w:pStyle w:val="Textopredeterminado"/>
        <w:spacing w:line="276" w:lineRule="auto"/>
        <w:jc w:val="center"/>
        <w:rPr>
          <w:rFonts w:ascii="Georgia" w:hAnsi="Georgia" w:cs="Arial"/>
          <w:caps/>
          <w:spacing w:val="20"/>
          <w:w w:val="150"/>
          <w:sz w:val="28"/>
        </w:rPr>
      </w:pPr>
    </w:p>
    <w:p w:rsidR="00111F9C" w:rsidRPr="00251BFF" w:rsidRDefault="00111F9C" w:rsidP="00251BFF">
      <w:pPr>
        <w:pStyle w:val="Textopredeterminado"/>
        <w:spacing w:line="276" w:lineRule="auto"/>
        <w:jc w:val="center"/>
        <w:rPr>
          <w:rFonts w:ascii="Georgia" w:hAnsi="Georgia" w:cs="Arial"/>
          <w:caps/>
          <w:spacing w:val="20"/>
          <w:w w:val="150"/>
        </w:rPr>
      </w:pPr>
      <w:proofErr w:type="spellStart"/>
      <w:r w:rsidRPr="00251BFF">
        <w:rPr>
          <w:rFonts w:ascii="Georgia" w:hAnsi="Georgia" w:cs="Arial"/>
          <w:caps/>
          <w:spacing w:val="20"/>
          <w:w w:val="150"/>
          <w:sz w:val="28"/>
        </w:rPr>
        <w:t>D</w:t>
      </w:r>
      <w:r w:rsidRPr="00251BFF">
        <w:rPr>
          <w:rFonts w:ascii="Georgia" w:hAnsi="Georgia" w:cs="Arial"/>
          <w:caps/>
          <w:spacing w:val="20"/>
          <w:w w:val="150"/>
          <w:sz w:val="18"/>
        </w:rPr>
        <w:t>UBERNEY</w:t>
      </w:r>
      <w:proofErr w:type="spellEnd"/>
      <w:r w:rsidRPr="00251BFF">
        <w:rPr>
          <w:rFonts w:ascii="Georgia" w:hAnsi="Georgia" w:cs="Arial"/>
          <w:caps/>
          <w:spacing w:val="20"/>
          <w:w w:val="150"/>
          <w:sz w:val="22"/>
        </w:rPr>
        <w:t xml:space="preserve"> </w:t>
      </w:r>
      <w:r w:rsidRPr="00251BFF">
        <w:rPr>
          <w:rFonts w:ascii="Georgia" w:hAnsi="Georgia" w:cs="Arial"/>
          <w:caps/>
          <w:spacing w:val="20"/>
          <w:w w:val="150"/>
          <w:sz w:val="28"/>
        </w:rPr>
        <w:t>G</w:t>
      </w:r>
      <w:r w:rsidRPr="00251BFF">
        <w:rPr>
          <w:rFonts w:ascii="Georgia" w:hAnsi="Georgia" w:cs="Arial"/>
          <w:caps/>
          <w:spacing w:val="20"/>
          <w:w w:val="150"/>
          <w:sz w:val="18"/>
        </w:rPr>
        <w:t>RISALES</w:t>
      </w:r>
      <w:r w:rsidRPr="00251BFF">
        <w:rPr>
          <w:rFonts w:ascii="Georgia" w:hAnsi="Georgia" w:cs="Arial"/>
          <w:caps/>
          <w:spacing w:val="20"/>
          <w:w w:val="150"/>
          <w:sz w:val="22"/>
        </w:rPr>
        <w:t xml:space="preserve"> </w:t>
      </w:r>
      <w:r w:rsidRPr="00251BFF">
        <w:rPr>
          <w:rFonts w:ascii="Georgia" w:hAnsi="Georgia" w:cs="Arial"/>
          <w:caps/>
          <w:spacing w:val="20"/>
          <w:w w:val="150"/>
          <w:sz w:val="28"/>
        </w:rPr>
        <w:t>H</w:t>
      </w:r>
      <w:r w:rsidRPr="00251BFF">
        <w:rPr>
          <w:rFonts w:ascii="Georgia" w:hAnsi="Georgia" w:cs="Arial"/>
          <w:caps/>
          <w:spacing w:val="20"/>
          <w:w w:val="150"/>
          <w:sz w:val="18"/>
        </w:rPr>
        <w:t>ERRERA</w:t>
      </w:r>
    </w:p>
    <w:p w:rsidR="00111F9C" w:rsidRPr="00251BFF" w:rsidRDefault="00111F9C" w:rsidP="00251BFF">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rPr>
      </w:pPr>
      <w:r w:rsidRPr="00251BFF">
        <w:rPr>
          <w:rFonts w:ascii="Georgia" w:hAnsi="Georgia" w:cs="Arial"/>
          <w:caps/>
          <w:spacing w:val="20"/>
          <w:w w:val="150"/>
          <w:sz w:val="28"/>
          <w:szCs w:val="24"/>
        </w:rPr>
        <w:t>M</w:t>
      </w:r>
      <w:r w:rsidRPr="00251BFF">
        <w:rPr>
          <w:rFonts w:ascii="Georgia" w:hAnsi="Georgia" w:cs="Arial"/>
          <w:caps/>
          <w:spacing w:val="20"/>
          <w:w w:val="150"/>
          <w:sz w:val="18"/>
        </w:rPr>
        <w:t>agistrado</w:t>
      </w:r>
    </w:p>
    <w:sectPr w:rsidR="00111F9C" w:rsidRPr="00251BFF" w:rsidSect="00251BFF">
      <w:headerReference w:type="default" r:id="rId10"/>
      <w:footerReference w:type="default" r:id="rId11"/>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7CB" w:rsidRDefault="004467CB" w:rsidP="009A1240">
      <w:r>
        <w:separator/>
      </w:r>
    </w:p>
  </w:endnote>
  <w:endnote w:type="continuationSeparator" w:id="0">
    <w:p w:rsidR="004467CB" w:rsidRDefault="004467CB" w:rsidP="009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E3" w:rsidRDefault="00045CE3" w:rsidP="00045CE3">
    <w:pPr>
      <w:pStyle w:val="Piedepgina"/>
      <w:pBdr>
        <w:bottom w:val="double" w:sz="6" w:space="1" w:color="auto"/>
      </w:pBdr>
      <w:spacing w:line="360" w:lineRule="auto"/>
      <w:jc w:val="right"/>
      <w:rPr>
        <w:rFonts w:ascii="Arial" w:hAnsi="Arial" w:cs="Arial"/>
        <w:spacing w:val="20"/>
        <w:w w:val="200"/>
        <w:sz w:val="14"/>
        <w:szCs w:val="10"/>
        <w:lang w:val="es-CO"/>
      </w:rPr>
    </w:pPr>
  </w:p>
  <w:p w:rsidR="00045CE3" w:rsidRDefault="00045CE3" w:rsidP="00045CE3">
    <w:pPr>
      <w:pStyle w:val="Piedepgina"/>
      <w:spacing w:line="360" w:lineRule="auto"/>
      <w:jc w:val="right"/>
      <w:rPr>
        <w:rFonts w:ascii="Arial" w:hAnsi="Arial" w:cs="Arial"/>
        <w:spacing w:val="20"/>
        <w:w w:val="200"/>
        <w:sz w:val="14"/>
        <w:szCs w:val="10"/>
        <w:lang w:val="es-CO"/>
      </w:rPr>
    </w:pPr>
  </w:p>
  <w:p w:rsidR="003C5098" w:rsidRPr="003E18D8" w:rsidRDefault="003C5098" w:rsidP="003C5098">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rsidR="00045CE3" w:rsidRDefault="00045CE3" w:rsidP="00045CE3">
    <w:pPr>
      <w:pStyle w:val="Piedepgina"/>
      <w:jc w:val="right"/>
    </w:pPr>
    <w:r w:rsidRPr="008E0505">
      <w:rPr>
        <w:rFonts w:ascii="Arial" w:hAnsi="Arial" w:cs="Arial"/>
        <w:spacing w:val="20"/>
        <w:w w:val="200"/>
        <w:sz w:val="10"/>
        <w:szCs w:val="10"/>
        <w:lang w:val="es-CO"/>
      </w:rPr>
      <w:t>M</w:t>
    </w:r>
    <w:r w:rsidR="00D851DA">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D</w:t>
    </w:r>
    <w:r w:rsidRPr="008E0505">
      <w:rPr>
        <w:rFonts w:ascii="Arial" w:hAnsi="Arial" w:cs="Arial"/>
        <w:spacing w:val="20"/>
        <w:w w:val="200"/>
        <w:sz w:val="8"/>
        <w:szCs w:val="10"/>
        <w:lang w:val="es-CO"/>
      </w:rPr>
      <w:t>UBERNEY</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G</w:t>
    </w:r>
    <w:r w:rsidRPr="008E0505">
      <w:rPr>
        <w:rFonts w:ascii="Arial" w:hAnsi="Arial" w:cs="Arial"/>
        <w:spacing w:val="20"/>
        <w:w w:val="200"/>
        <w:sz w:val="8"/>
        <w:szCs w:val="10"/>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H</w:t>
    </w:r>
    <w:r w:rsidRPr="008E0505">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7CB" w:rsidRDefault="004467CB" w:rsidP="009A1240">
      <w:r>
        <w:separator/>
      </w:r>
    </w:p>
  </w:footnote>
  <w:footnote w:type="continuationSeparator" w:id="0">
    <w:p w:rsidR="004467CB" w:rsidRDefault="004467CB" w:rsidP="009A1240">
      <w:r>
        <w:continuationSeparator/>
      </w:r>
    </w:p>
  </w:footnote>
  <w:footnote w:id="1">
    <w:p w:rsidR="00526C51" w:rsidRPr="006871B9" w:rsidRDefault="00526C51" w:rsidP="00A60F59">
      <w:pPr>
        <w:pStyle w:val="Textonotapie"/>
        <w:jc w:val="both"/>
        <w:rPr>
          <w:rFonts w:ascii="Century" w:hAnsi="Century"/>
        </w:rPr>
      </w:pPr>
      <w:r w:rsidRPr="006871B9">
        <w:rPr>
          <w:rStyle w:val="Refdenotaalpie"/>
          <w:rFonts w:ascii="Century" w:hAnsi="Century"/>
          <w:lang w:val="es-CO"/>
        </w:rPr>
        <w:footnoteRef/>
      </w:r>
      <w:r w:rsidRPr="006871B9">
        <w:rPr>
          <w:rFonts w:ascii="Century" w:hAnsi="Century"/>
          <w:lang w:val="es-CO"/>
        </w:rPr>
        <w:t xml:space="preserve"> CANOSA T., Fernando. Las nulidades en el derecho procesal civil, 3ª edición, Ediciones Doctrina y ley, 1998, p.26.</w:t>
      </w:r>
    </w:p>
  </w:footnote>
  <w:footnote w:id="2">
    <w:p w:rsidR="00526C51" w:rsidRPr="006871B9" w:rsidRDefault="00526C51" w:rsidP="00A60F59">
      <w:pPr>
        <w:pStyle w:val="Textonotapie"/>
        <w:jc w:val="both"/>
        <w:rPr>
          <w:rFonts w:ascii="Century" w:hAnsi="Century"/>
        </w:rPr>
      </w:pPr>
      <w:r w:rsidRPr="006871B9">
        <w:rPr>
          <w:rStyle w:val="Refdenotaalpie"/>
          <w:rFonts w:ascii="Century" w:hAnsi="Century"/>
          <w:lang w:val="es-CO"/>
        </w:rPr>
        <w:footnoteRef/>
      </w:r>
      <w:r w:rsidRPr="006871B9">
        <w:rPr>
          <w:rFonts w:ascii="Century" w:hAnsi="Century"/>
          <w:lang w:val="es-CO"/>
        </w:rPr>
        <w:t xml:space="preserve"> LÓPEZ B., Hernán F. Código General del Proceso, tomo I,</w:t>
      </w:r>
      <w:r w:rsidR="00945043">
        <w:rPr>
          <w:rFonts w:ascii="Century" w:hAnsi="Century"/>
          <w:lang w:val="es-CO"/>
        </w:rPr>
        <w:t xml:space="preserve"> parte general, Bogotá DC, </w:t>
      </w:r>
      <w:proofErr w:type="spellStart"/>
      <w:r w:rsidR="00945043">
        <w:rPr>
          <w:rFonts w:ascii="Century" w:hAnsi="Century"/>
          <w:lang w:val="es-CO"/>
        </w:rPr>
        <w:t>Dupre</w:t>
      </w:r>
      <w:proofErr w:type="spellEnd"/>
      <w:r w:rsidRPr="006871B9">
        <w:rPr>
          <w:rFonts w:ascii="Century" w:hAnsi="Century"/>
          <w:lang w:val="es-CO"/>
        </w:rPr>
        <w:t xml:space="preserve"> editores, 2016, </w:t>
      </w:r>
      <w:proofErr w:type="spellStart"/>
      <w:r w:rsidRPr="006871B9">
        <w:rPr>
          <w:rFonts w:ascii="Century" w:hAnsi="Century"/>
          <w:lang w:val="es-CO"/>
        </w:rPr>
        <w:t>p.909</w:t>
      </w:r>
      <w:proofErr w:type="spellEnd"/>
      <w:r w:rsidRPr="006871B9">
        <w:rPr>
          <w:rFonts w:ascii="Century" w:hAnsi="Century"/>
          <w:lang w:val="es-CO"/>
        </w:rPr>
        <w:t xml:space="preserve"> ss.</w:t>
      </w:r>
    </w:p>
  </w:footnote>
  <w:footnote w:id="3">
    <w:p w:rsidR="00526C51" w:rsidRPr="006871B9" w:rsidRDefault="00526C51" w:rsidP="00A60F59">
      <w:pPr>
        <w:pStyle w:val="Textonotapie"/>
        <w:jc w:val="both"/>
        <w:rPr>
          <w:rFonts w:ascii="Century" w:hAnsi="Century"/>
        </w:rPr>
      </w:pPr>
      <w:r w:rsidRPr="006871B9">
        <w:rPr>
          <w:rStyle w:val="Refdenotaalpie"/>
          <w:rFonts w:ascii="Century" w:hAnsi="Century"/>
          <w:lang w:val="es-CO"/>
        </w:rPr>
        <w:footnoteRef/>
      </w:r>
      <w:r w:rsidRPr="006871B9">
        <w:rPr>
          <w:rFonts w:ascii="Century" w:hAnsi="Century"/>
          <w:lang w:val="es-CO"/>
        </w:rPr>
        <w:t xml:space="preserve"> AZULA C., Jaime. Manual de derecho procesal civil, tomo II, 4ª edición, editorial Temis, Bogotá D.C., 1994, p.303.</w:t>
      </w:r>
    </w:p>
  </w:footnote>
  <w:footnote w:id="4">
    <w:p w:rsidR="00526C51" w:rsidRPr="006871B9" w:rsidRDefault="00526C51" w:rsidP="00A60F59">
      <w:pPr>
        <w:pStyle w:val="Textonotapie"/>
        <w:jc w:val="both"/>
        <w:rPr>
          <w:rFonts w:ascii="Century" w:hAnsi="Century"/>
        </w:rPr>
      </w:pPr>
      <w:r w:rsidRPr="006871B9">
        <w:rPr>
          <w:rStyle w:val="Refdenotaalpie"/>
          <w:rFonts w:ascii="Century" w:hAnsi="Century"/>
          <w:lang w:val="es-CO"/>
        </w:rPr>
        <w:footnoteRef/>
      </w:r>
      <w:r w:rsidRPr="006871B9">
        <w:rPr>
          <w:rFonts w:ascii="Century" w:hAnsi="Century"/>
          <w:lang w:val="es-CO"/>
        </w:rPr>
        <w:t xml:space="preserve"> ROJAS G., Miguel E. Lecciones de derecho procesal, tomo II, Procedimiento Civil, 6ª Edición, </w:t>
      </w:r>
      <w:proofErr w:type="spellStart"/>
      <w:r w:rsidRPr="006871B9">
        <w:rPr>
          <w:rFonts w:ascii="Century" w:hAnsi="Century"/>
          <w:lang w:val="es-CO"/>
        </w:rPr>
        <w:t>Esaju</w:t>
      </w:r>
      <w:proofErr w:type="spellEnd"/>
      <w:r w:rsidRPr="006871B9">
        <w:rPr>
          <w:rFonts w:ascii="Century" w:hAnsi="Century"/>
          <w:lang w:val="es-CO"/>
        </w:rPr>
        <w:t>, 2017, Bogotá DC, p.600.</w:t>
      </w:r>
    </w:p>
  </w:footnote>
  <w:footnote w:id="5">
    <w:p w:rsidR="00526C51" w:rsidRPr="006871B9" w:rsidRDefault="00526C51" w:rsidP="00A60F59">
      <w:pPr>
        <w:pStyle w:val="Textonotapie"/>
        <w:jc w:val="both"/>
        <w:rPr>
          <w:rFonts w:ascii="Century" w:hAnsi="Century"/>
          <w:lang w:val="es-CO"/>
        </w:rPr>
      </w:pPr>
      <w:r w:rsidRPr="006871B9">
        <w:rPr>
          <w:rStyle w:val="Refdenotaalpie"/>
          <w:rFonts w:ascii="Century" w:hAnsi="Century"/>
        </w:rPr>
        <w:footnoteRef/>
      </w:r>
      <w:r w:rsidRPr="006871B9">
        <w:rPr>
          <w:rFonts w:ascii="Century" w:hAnsi="Century"/>
        </w:rPr>
        <w:t xml:space="preserve"> INSTITUTO COLOMBIANO DE DERECHO PROCESAL. Código General del Proceso</w:t>
      </w:r>
      <w:r w:rsidRPr="006871B9">
        <w:rPr>
          <w:rFonts w:ascii="Century" w:hAnsi="Century"/>
          <w:lang w:val="es-CO"/>
        </w:rPr>
        <w:t>, Henry Sanabria S., Impresor Panamericana Formas e Impresos SAS, 2014, p.258.</w:t>
      </w:r>
      <w:r w:rsidRPr="006871B9">
        <w:rPr>
          <w:rFonts w:ascii="Century" w:hAnsi="Century"/>
        </w:rPr>
        <w:t xml:space="preserve"> </w:t>
      </w:r>
    </w:p>
  </w:footnote>
  <w:footnote w:id="6">
    <w:p w:rsidR="00526C51" w:rsidRPr="006871B9" w:rsidRDefault="00526C51" w:rsidP="00A60F59">
      <w:pPr>
        <w:pStyle w:val="Textonotapie"/>
        <w:jc w:val="both"/>
        <w:rPr>
          <w:rFonts w:ascii="Century" w:hAnsi="Century"/>
          <w:lang w:val="es-CO"/>
        </w:rPr>
      </w:pPr>
      <w:r w:rsidRPr="006871B9">
        <w:rPr>
          <w:rStyle w:val="Refdenotaalpie"/>
          <w:rFonts w:ascii="Century" w:hAnsi="Century"/>
        </w:rPr>
        <w:footnoteRef/>
      </w:r>
      <w:r w:rsidRPr="006871B9">
        <w:rPr>
          <w:rFonts w:ascii="Century" w:hAnsi="Century"/>
        </w:rPr>
        <w:t xml:space="preserve"> </w:t>
      </w:r>
      <w:r w:rsidRPr="006871B9">
        <w:rPr>
          <w:rFonts w:ascii="Century" w:hAnsi="Century"/>
          <w:lang w:val="es-CO"/>
        </w:rPr>
        <w:t>CSJ. Civil. SC280-2018, SC8210-2016, entre otras.</w:t>
      </w:r>
    </w:p>
  </w:footnote>
  <w:footnote w:id="7">
    <w:p w:rsidR="002C1477" w:rsidRPr="00722100" w:rsidRDefault="002C1477" w:rsidP="00A60F59">
      <w:pPr>
        <w:pStyle w:val="Textonotapie"/>
        <w:jc w:val="both"/>
        <w:rPr>
          <w:rFonts w:ascii="Century" w:hAnsi="Century"/>
          <w:lang w:val="es-CO"/>
        </w:rPr>
      </w:pPr>
      <w:r w:rsidRPr="00722100">
        <w:rPr>
          <w:rStyle w:val="Refdenotaalpie"/>
          <w:rFonts w:ascii="Century" w:hAnsi="Century"/>
        </w:rPr>
        <w:footnoteRef/>
      </w:r>
      <w:r w:rsidRPr="00722100">
        <w:rPr>
          <w:rFonts w:ascii="Century" w:hAnsi="Century"/>
        </w:rPr>
        <w:t xml:space="preserve"> INSTITUTO COLOMBIANO DE DERECHO PROCESAL. Código General del Proceso</w:t>
      </w:r>
      <w:r w:rsidRPr="00722100">
        <w:rPr>
          <w:rFonts w:ascii="Century" w:hAnsi="Century"/>
          <w:lang w:val="es-CO"/>
        </w:rPr>
        <w:t>, Sanabria S</w:t>
      </w:r>
      <w:r>
        <w:rPr>
          <w:rFonts w:ascii="Century" w:hAnsi="Century"/>
          <w:lang w:val="es-CO"/>
        </w:rPr>
        <w:t xml:space="preserve">. </w:t>
      </w:r>
      <w:r w:rsidRPr="00722100">
        <w:rPr>
          <w:rFonts w:ascii="Century" w:hAnsi="Century"/>
          <w:lang w:val="es-CO"/>
        </w:rPr>
        <w:t>Henry, Impresor Panamericana Formas e Impresos SAS, 2014, p.266-267.</w:t>
      </w:r>
    </w:p>
  </w:footnote>
  <w:footnote w:id="8">
    <w:p w:rsidR="00F34952" w:rsidRPr="005C23C4" w:rsidRDefault="00F34952" w:rsidP="00A60F59">
      <w:pPr>
        <w:pStyle w:val="Textonotapie"/>
        <w:jc w:val="both"/>
        <w:rPr>
          <w:rFonts w:ascii="Century" w:hAnsi="Century" w:cs="Arial"/>
          <w:lang w:val="es-MX"/>
        </w:rPr>
      </w:pPr>
      <w:r w:rsidRPr="005C23C4">
        <w:rPr>
          <w:rStyle w:val="Refdenotaalpie"/>
          <w:rFonts w:ascii="Century" w:hAnsi="Century" w:cs="Arial"/>
        </w:rPr>
        <w:footnoteRef/>
      </w:r>
      <w:r w:rsidRPr="005C23C4">
        <w:rPr>
          <w:rFonts w:ascii="Century" w:hAnsi="Century" w:cs="Arial"/>
        </w:rPr>
        <w:t xml:space="preserve"> </w:t>
      </w:r>
      <w:r w:rsidRPr="005C23C4">
        <w:rPr>
          <w:rFonts w:ascii="Century" w:hAnsi="Century" w:cs="Arial"/>
          <w:lang w:val="es-MX"/>
        </w:rPr>
        <w:t>CE. Sala de lo Contencioso Administrativo. Sección Tercera. Sentencia de 01-03-18. No.</w:t>
      </w:r>
      <w:r w:rsidRPr="005C23C4">
        <w:rPr>
          <w:rFonts w:ascii="Century" w:hAnsi="Century" w:cs="Arial"/>
        </w:rPr>
        <w:t>2006-02696-01(43269).</w:t>
      </w:r>
    </w:p>
  </w:footnote>
  <w:footnote w:id="9">
    <w:p w:rsidR="00D77537" w:rsidRPr="002E125F" w:rsidRDefault="00D77537" w:rsidP="00A60F59">
      <w:pPr>
        <w:pStyle w:val="Textonotapie"/>
        <w:jc w:val="both"/>
        <w:rPr>
          <w:sz w:val="18"/>
        </w:rPr>
      </w:pPr>
      <w:r w:rsidRPr="002E125F">
        <w:rPr>
          <w:rStyle w:val="Refdenotaalpie"/>
          <w:rFonts w:ascii="Century" w:hAnsi="Century"/>
          <w:szCs w:val="22"/>
        </w:rPr>
        <w:footnoteRef/>
      </w:r>
      <w:r w:rsidRPr="002E125F">
        <w:rPr>
          <w:rFonts w:ascii="Century" w:hAnsi="Century"/>
          <w:szCs w:val="22"/>
        </w:rPr>
        <w:t xml:space="preserve"> TSP, Civil-Familia. </w:t>
      </w:r>
      <w:r w:rsidRPr="002E125F">
        <w:rPr>
          <w:rFonts w:ascii="Century" w:hAnsi="Century"/>
          <w:szCs w:val="22"/>
          <w:lang w:val="es-CO"/>
        </w:rPr>
        <w:t>Providencia del 12-12-2013</w:t>
      </w:r>
      <w:r w:rsidRPr="002E125F">
        <w:rPr>
          <w:rFonts w:ascii="Century" w:hAnsi="Century"/>
          <w:szCs w:val="22"/>
        </w:rPr>
        <w:t>; MP: Saraza N., No.2012-00284-01.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E3" w:rsidRPr="00B62758" w:rsidRDefault="00045CE3" w:rsidP="00045CE3">
    <w:pPr>
      <w:pStyle w:val="Encabezado"/>
      <w:pBdr>
        <w:bottom w:val="single" w:sz="4" w:space="1" w:color="D9D9D9" w:themeColor="background1" w:themeShade="D9"/>
      </w:pBdr>
      <w:jc w:val="right"/>
      <w:rPr>
        <w:rFonts w:asciiTheme="minorHAnsi" w:hAnsiTheme="minorHAnsi" w:cs="Calibri"/>
        <w:bCs/>
      </w:rPr>
    </w:pPr>
    <w:r w:rsidRPr="00B62758">
      <w:rPr>
        <w:rFonts w:asciiTheme="minorHAnsi" w:hAnsiTheme="minorHAnsi" w:cs="Calibri"/>
        <w:color w:val="808080" w:themeColor="background1" w:themeShade="80"/>
        <w:spacing w:val="60"/>
      </w:rPr>
      <w:t>Página</w:t>
    </w:r>
    <w:r w:rsidRPr="00B62758">
      <w:rPr>
        <w:rFonts w:asciiTheme="minorHAnsi" w:hAnsiTheme="minorHAnsi" w:cs="Calibri"/>
      </w:rPr>
      <w:t xml:space="preserve"> | </w:t>
    </w:r>
    <w:r w:rsidRPr="00B62758">
      <w:rPr>
        <w:rFonts w:asciiTheme="minorHAnsi" w:hAnsiTheme="minorHAnsi" w:cs="Calibri"/>
      </w:rPr>
      <w:fldChar w:fldCharType="begin"/>
    </w:r>
    <w:r w:rsidRPr="00B62758">
      <w:rPr>
        <w:rFonts w:asciiTheme="minorHAnsi" w:hAnsiTheme="minorHAnsi" w:cs="Calibri"/>
      </w:rPr>
      <w:instrText>PAGE   \* MERGEFORMAT</w:instrText>
    </w:r>
    <w:r w:rsidRPr="00B62758">
      <w:rPr>
        <w:rFonts w:asciiTheme="minorHAnsi" w:hAnsiTheme="minorHAnsi" w:cs="Calibri"/>
      </w:rPr>
      <w:fldChar w:fldCharType="separate"/>
    </w:r>
    <w:r w:rsidR="002B10C2" w:rsidRPr="002B10C2">
      <w:rPr>
        <w:rFonts w:asciiTheme="minorHAnsi" w:hAnsiTheme="minorHAnsi" w:cs="Calibri"/>
        <w:bCs/>
        <w:noProof/>
      </w:rPr>
      <w:t>2</w:t>
    </w:r>
    <w:r w:rsidRPr="00B62758">
      <w:rPr>
        <w:rFonts w:asciiTheme="minorHAnsi" w:hAnsiTheme="minorHAnsi" w:cs="Calibri"/>
      </w:rPr>
      <w:fldChar w:fldCharType="end"/>
    </w:r>
  </w:p>
  <w:p w:rsidR="00045CE3" w:rsidRPr="00323447" w:rsidRDefault="00045CE3" w:rsidP="00045CE3">
    <w:pPr>
      <w:pStyle w:val="Encabezado"/>
      <w:rPr>
        <w:rFonts w:asciiTheme="majorHAnsi" w:hAnsiTheme="majorHAnsi" w:cs="Iskoola Pota"/>
        <w:i/>
        <w:sz w:val="18"/>
        <w:lang w:val="es-CO"/>
      </w:rPr>
    </w:pPr>
    <w:r w:rsidRPr="00323447">
      <w:rPr>
        <w:rFonts w:asciiTheme="majorHAnsi" w:hAnsiTheme="majorHAnsi" w:cs="Iskoola Pota"/>
        <w:i/>
        <w:lang w:val="es-CO"/>
      </w:rPr>
      <w:t>E</w:t>
    </w:r>
    <w:r w:rsidRPr="00323447">
      <w:rPr>
        <w:rFonts w:asciiTheme="majorHAnsi" w:hAnsiTheme="majorHAnsi" w:cs="Iskoola Pota"/>
        <w:i/>
        <w:sz w:val="16"/>
        <w:lang w:val="es-CO"/>
      </w:rPr>
      <w:t>XPEDIENTE No.</w:t>
    </w:r>
    <w:r w:rsidR="00251BFF">
      <w:rPr>
        <w:rFonts w:asciiTheme="majorHAnsi" w:hAnsiTheme="majorHAnsi" w:cs="Iskoola Pota"/>
        <w:i/>
        <w:sz w:val="16"/>
        <w:lang w:val="es-CO"/>
      </w:rPr>
      <w:t xml:space="preserve"> </w:t>
    </w:r>
    <w:r w:rsidRPr="00323447">
      <w:rPr>
        <w:rFonts w:asciiTheme="majorHAnsi" w:hAnsiTheme="majorHAnsi" w:cs="Iskoola Pota"/>
        <w:i/>
        <w:sz w:val="16"/>
        <w:lang w:val="es-CO"/>
      </w:rPr>
      <w:t>20</w:t>
    </w:r>
    <w:r w:rsidR="008B7145">
      <w:rPr>
        <w:rFonts w:asciiTheme="majorHAnsi" w:hAnsiTheme="majorHAnsi" w:cs="Iskoola Pota"/>
        <w:i/>
        <w:sz w:val="16"/>
        <w:lang w:val="es-CO"/>
      </w:rPr>
      <w:t>1</w:t>
    </w:r>
    <w:r w:rsidR="00566818">
      <w:rPr>
        <w:rFonts w:asciiTheme="majorHAnsi" w:hAnsiTheme="majorHAnsi" w:cs="Iskoola Pota"/>
        <w:i/>
        <w:sz w:val="16"/>
        <w:lang w:val="es-CO"/>
      </w:rPr>
      <w:t>2</w:t>
    </w:r>
    <w:r w:rsidRPr="00323447">
      <w:rPr>
        <w:rFonts w:asciiTheme="majorHAnsi" w:hAnsiTheme="majorHAnsi" w:cs="Iskoola Pota"/>
        <w:i/>
        <w:sz w:val="16"/>
        <w:lang w:val="es-CO"/>
      </w:rPr>
      <w:t>-00</w:t>
    </w:r>
    <w:r w:rsidR="008213D2">
      <w:rPr>
        <w:rFonts w:asciiTheme="majorHAnsi" w:hAnsiTheme="majorHAnsi" w:cs="Iskoola Pota"/>
        <w:i/>
        <w:sz w:val="16"/>
        <w:lang w:val="es-CO"/>
      </w:rPr>
      <w:t>2</w:t>
    </w:r>
    <w:r w:rsidR="00566818">
      <w:rPr>
        <w:rFonts w:asciiTheme="majorHAnsi" w:hAnsiTheme="majorHAnsi" w:cs="Iskoola Pota"/>
        <w:i/>
        <w:sz w:val="16"/>
        <w:lang w:val="es-CO"/>
      </w:rPr>
      <w:t>89</w:t>
    </w:r>
    <w:r w:rsidR="00AC7745">
      <w:rPr>
        <w:rFonts w:asciiTheme="majorHAnsi" w:hAnsiTheme="majorHAnsi" w:cs="Iskoola Pota"/>
        <w:i/>
        <w:sz w:val="16"/>
        <w:lang w:val="es-CO"/>
      </w:rPr>
      <w:t>-</w:t>
    </w:r>
    <w:r w:rsidRPr="00323447">
      <w:rPr>
        <w:rFonts w:asciiTheme="majorHAnsi" w:hAnsiTheme="majorHAnsi" w:cs="Iskoola Pota"/>
        <w:i/>
        <w:sz w:val="16"/>
        <w:lang w:val="es-CO"/>
      </w:rPr>
      <w:t>0</w:t>
    </w:r>
    <w:r w:rsidR="008B7145">
      <w:rPr>
        <w:rFonts w:asciiTheme="majorHAnsi" w:hAnsiTheme="majorHAnsi" w:cs="Iskoola Pota"/>
        <w:i/>
        <w:sz w:val="16"/>
        <w:lang w:val="es-CO"/>
      </w:rPr>
      <w:t>1</w:t>
    </w:r>
  </w:p>
  <w:p w:rsidR="008D321B" w:rsidRPr="00045CE3" w:rsidRDefault="008D321B" w:rsidP="00045C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661B9"/>
    <w:multiLevelType w:val="hybridMultilevel"/>
    <w:tmpl w:val="75A6ED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
    <w:nsid w:val="319E3479"/>
    <w:multiLevelType w:val="multilevel"/>
    <w:tmpl w:val="966045C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4">
    <w:nsid w:val="504664BE"/>
    <w:multiLevelType w:val="multilevel"/>
    <w:tmpl w:val="D93A02A8"/>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67334F69"/>
    <w:multiLevelType w:val="multilevel"/>
    <w:tmpl w:val="DD10510E"/>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5"/>
        <w:szCs w:val="25"/>
      </w:rPr>
    </w:lvl>
    <w:lvl w:ilvl="2">
      <w:start w:val="1"/>
      <w:numFmt w:val="decimal"/>
      <w:isLgl/>
      <w:lvlText w:val="%1.%2.%3."/>
      <w:lvlJc w:val="left"/>
      <w:pPr>
        <w:ind w:left="720" w:hanging="720"/>
      </w:pPr>
      <w:rPr>
        <w:rFonts w:cs="Times New Roman" w:hint="default"/>
        <w:sz w:val="22"/>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69BE7731"/>
    <w:multiLevelType w:val="multilevel"/>
    <w:tmpl w:val="C57A96C0"/>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nsid w:val="6FE85E4E"/>
    <w:multiLevelType w:val="hybridMultilevel"/>
    <w:tmpl w:val="22DA4D12"/>
    <w:lvl w:ilvl="0" w:tplc="172C4754">
      <w:start w:val="1"/>
      <w:numFmt w:val="decimal"/>
      <w:lvlText w:val="%1."/>
      <w:lvlJc w:val="left"/>
      <w:pPr>
        <w:tabs>
          <w:tab w:val="num" w:pos="360"/>
        </w:tabs>
        <w:ind w:left="360" w:hanging="360"/>
      </w:pPr>
      <w:rPr>
        <w:rFonts w:ascii="Arial" w:hAnsi="Arial" w:cs="Arial" w:hint="default"/>
        <w:sz w:val="24"/>
        <w:szCs w:val="24"/>
      </w:rPr>
    </w:lvl>
    <w:lvl w:ilvl="1" w:tplc="240A0019">
      <w:start w:val="1"/>
      <w:numFmt w:val="lowerLetter"/>
      <w:lvlText w:val="%2."/>
      <w:lvlJc w:val="left"/>
      <w:pPr>
        <w:tabs>
          <w:tab w:val="num" w:pos="1080"/>
        </w:tabs>
        <w:ind w:left="1080" w:hanging="360"/>
      </w:pPr>
    </w:lvl>
    <w:lvl w:ilvl="2" w:tplc="240A001B">
      <w:start w:val="1"/>
      <w:numFmt w:val="lowerRoman"/>
      <w:lvlText w:val="%3."/>
      <w:lvlJc w:val="right"/>
      <w:pPr>
        <w:tabs>
          <w:tab w:val="num" w:pos="1800"/>
        </w:tabs>
        <w:ind w:left="1800" w:hanging="180"/>
      </w:pPr>
    </w:lvl>
    <w:lvl w:ilvl="3" w:tplc="240A000F" w:tentative="1">
      <w:start w:val="1"/>
      <w:numFmt w:val="decimal"/>
      <w:lvlText w:val="%4."/>
      <w:lvlJc w:val="left"/>
      <w:pPr>
        <w:tabs>
          <w:tab w:val="num" w:pos="2520"/>
        </w:tabs>
        <w:ind w:left="2520" w:hanging="360"/>
      </w:pPr>
    </w:lvl>
    <w:lvl w:ilvl="4" w:tplc="240A0019" w:tentative="1">
      <w:start w:val="1"/>
      <w:numFmt w:val="lowerLetter"/>
      <w:lvlText w:val="%5."/>
      <w:lvlJc w:val="left"/>
      <w:pPr>
        <w:tabs>
          <w:tab w:val="num" w:pos="3240"/>
        </w:tabs>
        <w:ind w:left="3240" w:hanging="360"/>
      </w:pPr>
    </w:lvl>
    <w:lvl w:ilvl="5" w:tplc="240A001B" w:tentative="1">
      <w:start w:val="1"/>
      <w:numFmt w:val="lowerRoman"/>
      <w:lvlText w:val="%6."/>
      <w:lvlJc w:val="right"/>
      <w:pPr>
        <w:tabs>
          <w:tab w:val="num" w:pos="3960"/>
        </w:tabs>
        <w:ind w:left="3960" w:hanging="180"/>
      </w:pPr>
    </w:lvl>
    <w:lvl w:ilvl="6" w:tplc="240A000F" w:tentative="1">
      <w:start w:val="1"/>
      <w:numFmt w:val="decimal"/>
      <w:lvlText w:val="%7."/>
      <w:lvlJc w:val="left"/>
      <w:pPr>
        <w:tabs>
          <w:tab w:val="num" w:pos="4680"/>
        </w:tabs>
        <w:ind w:left="4680" w:hanging="360"/>
      </w:pPr>
    </w:lvl>
    <w:lvl w:ilvl="7" w:tplc="240A0019" w:tentative="1">
      <w:start w:val="1"/>
      <w:numFmt w:val="lowerLetter"/>
      <w:lvlText w:val="%8."/>
      <w:lvlJc w:val="left"/>
      <w:pPr>
        <w:tabs>
          <w:tab w:val="num" w:pos="5400"/>
        </w:tabs>
        <w:ind w:left="5400" w:hanging="360"/>
      </w:pPr>
    </w:lvl>
    <w:lvl w:ilvl="8" w:tplc="240A001B" w:tentative="1">
      <w:start w:val="1"/>
      <w:numFmt w:val="lowerRoman"/>
      <w:lvlText w:val="%9."/>
      <w:lvlJc w:val="right"/>
      <w:pPr>
        <w:tabs>
          <w:tab w:val="num" w:pos="6120"/>
        </w:tabs>
        <w:ind w:left="6120" w:hanging="180"/>
      </w:pPr>
    </w:lvl>
  </w:abstractNum>
  <w:abstractNum w:abstractNumId="10">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1">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8"/>
  </w:num>
  <w:num w:numId="2">
    <w:abstractNumId w:val="5"/>
  </w:num>
  <w:num w:numId="3">
    <w:abstractNumId w:val="11"/>
  </w:num>
  <w:num w:numId="4">
    <w:abstractNumId w:val="10"/>
  </w:num>
  <w:num w:numId="5">
    <w:abstractNumId w:val="4"/>
  </w:num>
  <w:num w:numId="6">
    <w:abstractNumId w:val="2"/>
  </w:num>
  <w:num w:numId="7">
    <w:abstractNumId w:val="7"/>
  </w:num>
  <w:num w:numId="8">
    <w:abstractNumId w:val="3"/>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2A2"/>
    <w:rsid w:val="000021FF"/>
    <w:rsid w:val="0000570F"/>
    <w:rsid w:val="000111C6"/>
    <w:rsid w:val="000124CA"/>
    <w:rsid w:val="00032991"/>
    <w:rsid w:val="0004285E"/>
    <w:rsid w:val="00042CFD"/>
    <w:rsid w:val="00045CE3"/>
    <w:rsid w:val="00047864"/>
    <w:rsid w:val="00050BAF"/>
    <w:rsid w:val="00050E52"/>
    <w:rsid w:val="000521D3"/>
    <w:rsid w:val="00053B9A"/>
    <w:rsid w:val="00054BF9"/>
    <w:rsid w:val="00054ED1"/>
    <w:rsid w:val="00057617"/>
    <w:rsid w:val="00057B5C"/>
    <w:rsid w:val="00060A66"/>
    <w:rsid w:val="00061786"/>
    <w:rsid w:val="00063444"/>
    <w:rsid w:val="00063E12"/>
    <w:rsid w:val="00071273"/>
    <w:rsid w:val="00073E33"/>
    <w:rsid w:val="00076EDC"/>
    <w:rsid w:val="00081450"/>
    <w:rsid w:val="00091B32"/>
    <w:rsid w:val="00093D74"/>
    <w:rsid w:val="000979F2"/>
    <w:rsid w:val="000A30D3"/>
    <w:rsid w:val="000A3198"/>
    <w:rsid w:val="000A4144"/>
    <w:rsid w:val="000B2C44"/>
    <w:rsid w:val="000B416A"/>
    <w:rsid w:val="000B4877"/>
    <w:rsid w:val="000B5B84"/>
    <w:rsid w:val="000B62AF"/>
    <w:rsid w:val="000C3C7F"/>
    <w:rsid w:val="000C76CE"/>
    <w:rsid w:val="000D03C3"/>
    <w:rsid w:val="000D106C"/>
    <w:rsid w:val="000D1C67"/>
    <w:rsid w:val="000D4106"/>
    <w:rsid w:val="000D51C5"/>
    <w:rsid w:val="000D579D"/>
    <w:rsid w:val="000D6D34"/>
    <w:rsid w:val="000D70EB"/>
    <w:rsid w:val="000E1102"/>
    <w:rsid w:val="000E18D0"/>
    <w:rsid w:val="000E4FA0"/>
    <w:rsid w:val="000E7392"/>
    <w:rsid w:val="000F08E0"/>
    <w:rsid w:val="000F16E3"/>
    <w:rsid w:val="000F1B66"/>
    <w:rsid w:val="000F3C01"/>
    <w:rsid w:val="000F59E3"/>
    <w:rsid w:val="000F6932"/>
    <w:rsid w:val="001055C0"/>
    <w:rsid w:val="00107E1A"/>
    <w:rsid w:val="00110366"/>
    <w:rsid w:val="00111F9C"/>
    <w:rsid w:val="00112D32"/>
    <w:rsid w:val="001130D4"/>
    <w:rsid w:val="00114608"/>
    <w:rsid w:val="00114FEE"/>
    <w:rsid w:val="00117C9A"/>
    <w:rsid w:val="0012018F"/>
    <w:rsid w:val="00121881"/>
    <w:rsid w:val="00122AF4"/>
    <w:rsid w:val="00122CE4"/>
    <w:rsid w:val="00132BE5"/>
    <w:rsid w:val="00134551"/>
    <w:rsid w:val="001403D4"/>
    <w:rsid w:val="00141432"/>
    <w:rsid w:val="00142393"/>
    <w:rsid w:val="001445DE"/>
    <w:rsid w:val="001446B1"/>
    <w:rsid w:val="001452E0"/>
    <w:rsid w:val="00157865"/>
    <w:rsid w:val="00164649"/>
    <w:rsid w:val="001654C4"/>
    <w:rsid w:val="00165916"/>
    <w:rsid w:val="00176160"/>
    <w:rsid w:val="00184852"/>
    <w:rsid w:val="00186705"/>
    <w:rsid w:val="00190036"/>
    <w:rsid w:val="001902A0"/>
    <w:rsid w:val="00193145"/>
    <w:rsid w:val="001A46C4"/>
    <w:rsid w:val="001A565D"/>
    <w:rsid w:val="001A688F"/>
    <w:rsid w:val="001B2496"/>
    <w:rsid w:val="001B3230"/>
    <w:rsid w:val="001B4583"/>
    <w:rsid w:val="001B4B9B"/>
    <w:rsid w:val="001C36DF"/>
    <w:rsid w:val="001C3F97"/>
    <w:rsid w:val="001C51D4"/>
    <w:rsid w:val="001C5578"/>
    <w:rsid w:val="001C5598"/>
    <w:rsid w:val="001D0AA3"/>
    <w:rsid w:val="001D5F8C"/>
    <w:rsid w:val="001D60DE"/>
    <w:rsid w:val="001D6161"/>
    <w:rsid w:val="001D7953"/>
    <w:rsid w:val="001D7E85"/>
    <w:rsid w:val="001E18FB"/>
    <w:rsid w:val="001E57DE"/>
    <w:rsid w:val="001F53B6"/>
    <w:rsid w:val="00201848"/>
    <w:rsid w:val="00203059"/>
    <w:rsid w:val="00204BB6"/>
    <w:rsid w:val="00207C51"/>
    <w:rsid w:val="0021075B"/>
    <w:rsid w:val="00216AE8"/>
    <w:rsid w:val="002243EA"/>
    <w:rsid w:val="00224DC7"/>
    <w:rsid w:val="00226E0D"/>
    <w:rsid w:val="00227FA6"/>
    <w:rsid w:val="00230208"/>
    <w:rsid w:val="00231A7F"/>
    <w:rsid w:val="00232FC6"/>
    <w:rsid w:val="0023681D"/>
    <w:rsid w:val="00236A9B"/>
    <w:rsid w:val="0023704F"/>
    <w:rsid w:val="00237B2C"/>
    <w:rsid w:val="00237BF5"/>
    <w:rsid w:val="002419D4"/>
    <w:rsid w:val="00243379"/>
    <w:rsid w:val="0024455A"/>
    <w:rsid w:val="00247FA8"/>
    <w:rsid w:val="00251BFF"/>
    <w:rsid w:val="00253570"/>
    <w:rsid w:val="00257943"/>
    <w:rsid w:val="002579E7"/>
    <w:rsid w:val="00257B1F"/>
    <w:rsid w:val="00266906"/>
    <w:rsid w:val="002711FB"/>
    <w:rsid w:val="0027637D"/>
    <w:rsid w:val="00276737"/>
    <w:rsid w:val="00280589"/>
    <w:rsid w:val="002825A8"/>
    <w:rsid w:val="002860D6"/>
    <w:rsid w:val="00286E35"/>
    <w:rsid w:val="002873EC"/>
    <w:rsid w:val="002912F2"/>
    <w:rsid w:val="00297096"/>
    <w:rsid w:val="002A0A88"/>
    <w:rsid w:val="002A18D8"/>
    <w:rsid w:val="002A3FA7"/>
    <w:rsid w:val="002A55F9"/>
    <w:rsid w:val="002A5F6E"/>
    <w:rsid w:val="002B10C2"/>
    <w:rsid w:val="002B513B"/>
    <w:rsid w:val="002C1477"/>
    <w:rsid w:val="002C37C0"/>
    <w:rsid w:val="002C4195"/>
    <w:rsid w:val="002C6B60"/>
    <w:rsid w:val="002C7A37"/>
    <w:rsid w:val="002D045F"/>
    <w:rsid w:val="002D4917"/>
    <w:rsid w:val="002D605B"/>
    <w:rsid w:val="002E0BA3"/>
    <w:rsid w:val="002E125F"/>
    <w:rsid w:val="002E20D6"/>
    <w:rsid w:val="002E21FB"/>
    <w:rsid w:val="002E5263"/>
    <w:rsid w:val="002E562C"/>
    <w:rsid w:val="002F4DF5"/>
    <w:rsid w:val="002F7410"/>
    <w:rsid w:val="003013A2"/>
    <w:rsid w:val="00305C99"/>
    <w:rsid w:val="00310A0A"/>
    <w:rsid w:val="00310EAB"/>
    <w:rsid w:val="003169B1"/>
    <w:rsid w:val="00316BE2"/>
    <w:rsid w:val="00317A08"/>
    <w:rsid w:val="00323447"/>
    <w:rsid w:val="003319C7"/>
    <w:rsid w:val="00331B14"/>
    <w:rsid w:val="003336C3"/>
    <w:rsid w:val="00342E88"/>
    <w:rsid w:val="003458B9"/>
    <w:rsid w:val="00350C7A"/>
    <w:rsid w:val="00352931"/>
    <w:rsid w:val="00354E29"/>
    <w:rsid w:val="00360576"/>
    <w:rsid w:val="00363D16"/>
    <w:rsid w:val="00363D70"/>
    <w:rsid w:val="00366D3B"/>
    <w:rsid w:val="0036706F"/>
    <w:rsid w:val="00370D1D"/>
    <w:rsid w:val="00371D56"/>
    <w:rsid w:val="00380D0F"/>
    <w:rsid w:val="0038158A"/>
    <w:rsid w:val="00382302"/>
    <w:rsid w:val="00384791"/>
    <w:rsid w:val="00386111"/>
    <w:rsid w:val="003862AD"/>
    <w:rsid w:val="00390B60"/>
    <w:rsid w:val="00392869"/>
    <w:rsid w:val="00392F07"/>
    <w:rsid w:val="00393DD3"/>
    <w:rsid w:val="00395E26"/>
    <w:rsid w:val="003972DC"/>
    <w:rsid w:val="00397F40"/>
    <w:rsid w:val="003A1A5B"/>
    <w:rsid w:val="003A4792"/>
    <w:rsid w:val="003A68B4"/>
    <w:rsid w:val="003B19D8"/>
    <w:rsid w:val="003B445E"/>
    <w:rsid w:val="003B5E6E"/>
    <w:rsid w:val="003C5098"/>
    <w:rsid w:val="003C7051"/>
    <w:rsid w:val="003C77D5"/>
    <w:rsid w:val="003D081D"/>
    <w:rsid w:val="003D67D8"/>
    <w:rsid w:val="003D6C3D"/>
    <w:rsid w:val="003E0818"/>
    <w:rsid w:val="003E1A30"/>
    <w:rsid w:val="003E236C"/>
    <w:rsid w:val="003E3CF7"/>
    <w:rsid w:val="003E3FFF"/>
    <w:rsid w:val="003E4533"/>
    <w:rsid w:val="003E5ED3"/>
    <w:rsid w:val="003F3AD2"/>
    <w:rsid w:val="00400B90"/>
    <w:rsid w:val="00402132"/>
    <w:rsid w:val="00403F27"/>
    <w:rsid w:val="004041EA"/>
    <w:rsid w:val="00407A11"/>
    <w:rsid w:val="00411109"/>
    <w:rsid w:val="00411AC5"/>
    <w:rsid w:val="004139EB"/>
    <w:rsid w:val="00414421"/>
    <w:rsid w:val="004155DE"/>
    <w:rsid w:val="00416732"/>
    <w:rsid w:val="004203C3"/>
    <w:rsid w:val="00427BE4"/>
    <w:rsid w:val="004335C7"/>
    <w:rsid w:val="00436669"/>
    <w:rsid w:val="00436C34"/>
    <w:rsid w:val="00437EF2"/>
    <w:rsid w:val="004434E7"/>
    <w:rsid w:val="004467CB"/>
    <w:rsid w:val="00455BC7"/>
    <w:rsid w:val="00455DE9"/>
    <w:rsid w:val="004561A2"/>
    <w:rsid w:val="004561E8"/>
    <w:rsid w:val="004614E4"/>
    <w:rsid w:val="00461F2C"/>
    <w:rsid w:val="00465107"/>
    <w:rsid w:val="00467B47"/>
    <w:rsid w:val="00471941"/>
    <w:rsid w:val="00471F25"/>
    <w:rsid w:val="00481083"/>
    <w:rsid w:val="00482924"/>
    <w:rsid w:val="004848E7"/>
    <w:rsid w:val="0048492D"/>
    <w:rsid w:val="004871C6"/>
    <w:rsid w:val="004972C9"/>
    <w:rsid w:val="004A0049"/>
    <w:rsid w:val="004A4D2E"/>
    <w:rsid w:val="004A7C24"/>
    <w:rsid w:val="004B52D3"/>
    <w:rsid w:val="004B5E4F"/>
    <w:rsid w:val="004B6BF7"/>
    <w:rsid w:val="004C24E5"/>
    <w:rsid w:val="004C319B"/>
    <w:rsid w:val="004D1DC4"/>
    <w:rsid w:val="004D3020"/>
    <w:rsid w:val="004D62C6"/>
    <w:rsid w:val="004E1CAC"/>
    <w:rsid w:val="004E1EF9"/>
    <w:rsid w:val="004E2173"/>
    <w:rsid w:val="004E640A"/>
    <w:rsid w:val="004E65E6"/>
    <w:rsid w:val="004E6A80"/>
    <w:rsid w:val="004F0F45"/>
    <w:rsid w:val="004F1726"/>
    <w:rsid w:val="004F229E"/>
    <w:rsid w:val="004F537C"/>
    <w:rsid w:val="004F7160"/>
    <w:rsid w:val="00500A43"/>
    <w:rsid w:val="00500DC5"/>
    <w:rsid w:val="005022A7"/>
    <w:rsid w:val="005035D2"/>
    <w:rsid w:val="005116F6"/>
    <w:rsid w:val="005136BB"/>
    <w:rsid w:val="00515B6B"/>
    <w:rsid w:val="005226A9"/>
    <w:rsid w:val="0052315C"/>
    <w:rsid w:val="0052398B"/>
    <w:rsid w:val="005269C3"/>
    <w:rsid w:val="00526C51"/>
    <w:rsid w:val="0053073B"/>
    <w:rsid w:val="0053730A"/>
    <w:rsid w:val="0054427C"/>
    <w:rsid w:val="00544BCA"/>
    <w:rsid w:val="005477D2"/>
    <w:rsid w:val="00547A10"/>
    <w:rsid w:val="00550D01"/>
    <w:rsid w:val="0055115B"/>
    <w:rsid w:val="0055475B"/>
    <w:rsid w:val="0055545C"/>
    <w:rsid w:val="00564C16"/>
    <w:rsid w:val="0056502A"/>
    <w:rsid w:val="0056570B"/>
    <w:rsid w:val="00566818"/>
    <w:rsid w:val="00566F65"/>
    <w:rsid w:val="00570A9B"/>
    <w:rsid w:val="00570C60"/>
    <w:rsid w:val="00572804"/>
    <w:rsid w:val="005768FC"/>
    <w:rsid w:val="0058265D"/>
    <w:rsid w:val="00582F12"/>
    <w:rsid w:val="005846B6"/>
    <w:rsid w:val="0058709F"/>
    <w:rsid w:val="00592D99"/>
    <w:rsid w:val="005938D9"/>
    <w:rsid w:val="00597D74"/>
    <w:rsid w:val="005A3571"/>
    <w:rsid w:val="005B48F1"/>
    <w:rsid w:val="005B781D"/>
    <w:rsid w:val="005C1309"/>
    <w:rsid w:val="005C23C4"/>
    <w:rsid w:val="005C3D57"/>
    <w:rsid w:val="005C4919"/>
    <w:rsid w:val="005D0B8F"/>
    <w:rsid w:val="005D0C4E"/>
    <w:rsid w:val="005D39F3"/>
    <w:rsid w:val="005D49DF"/>
    <w:rsid w:val="005E03C6"/>
    <w:rsid w:val="005E5E74"/>
    <w:rsid w:val="005E604E"/>
    <w:rsid w:val="005F1FB2"/>
    <w:rsid w:val="005F796A"/>
    <w:rsid w:val="0060427D"/>
    <w:rsid w:val="00606641"/>
    <w:rsid w:val="0060699E"/>
    <w:rsid w:val="00607310"/>
    <w:rsid w:val="00611CB0"/>
    <w:rsid w:val="00612738"/>
    <w:rsid w:val="006144B3"/>
    <w:rsid w:val="00617D63"/>
    <w:rsid w:val="00623497"/>
    <w:rsid w:val="006235A9"/>
    <w:rsid w:val="00623A6D"/>
    <w:rsid w:val="00631466"/>
    <w:rsid w:val="00631717"/>
    <w:rsid w:val="00632458"/>
    <w:rsid w:val="00640278"/>
    <w:rsid w:val="006423C6"/>
    <w:rsid w:val="006437CC"/>
    <w:rsid w:val="00646320"/>
    <w:rsid w:val="00647818"/>
    <w:rsid w:val="00651C7E"/>
    <w:rsid w:val="006527BF"/>
    <w:rsid w:val="006567B9"/>
    <w:rsid w:val="006575B5"/>
    <w:rsid w:val="00660E7E"/>
    <w:rsid w:val="00663341"/>
    <w:rsid w:val="00672632"/>
    <w:rsid w:val="00674682"/>
    <w:rsid w:val="00675690"/>
    <w:rsid w:val="00676A65"/>
    <w:rsid w:val="0067785B"/>
    <w:rsid w:val="00681A45"/>
    <w:rsid w:val="00682BBB"/>
    <w:rsid w:val="006837D2"/>
    <w:rsid w:val="00683C42"/>
    <w:rsid w:val="00684826"/>
    <w:rsid w:val="00686B69"/>
    <w:rsid w:val="006871B9"/>
    <w:rsid w:val="00690C31"/>
    <w:rsid w:val="006950C1"/>
    <w:rsid w:val="00695536"/>
    <w:rsid w:val="006956BB"/>
    <w:rsid w:val="006A11EF"/>
    <w:rsid w:val="006A13F4"/>
    <w:rsid w:val="006A30E2"/>
    <w:rsid w:val="006A6085"/>
    <w:rsid w:val="006B2386"/>
    <w:rsid w:val="006B6A86"/>
    <w:rsid w:val="006B768E"/>
    <w:rsid w:val="006B7EB8"/>
    <w:rsid w:val="006C408D"/>
    <w:rsid w:val="006C4591"/>
    <w:rsid w:val="006C572F"/>
    <w:rsid w:val="006C7A9D"/>
    <w:rsid w:val="006D11A6"/>
    <w:rsid w:val="006E02FE"/>
    <w:rsid w:val="006E07AA"/>
    <w:rsid w:val="006E1121"/>
    <w:rsid w:val="006E221E"/>
    <w:rsid w:val="006E2357"/>
    <w:rsid w:val="006F310C"/>
    <w:rsid w:val="006F58F9"/>
    <w:rsid w:val="006F61F6"/>
    <w:rsid w:val="007031D1"/>
    <w:rsid w:val="00707F42"/>
    <w:rsid w:val="00715013"/>
    <w:rsid w:val="00722457"/>
    <w:rsid w:val="00723A3A"/>
    <w:rsid w:val="00725DA4"/>
    <w:rsid w:val="00726D6E"/>
    <w:rsid w:val="00727833"/>
    <w:rsid w:val="007326D4"/>
    <w:rsid w:val="007330E3"/>
    <w:rsid w:val="00734860"/>
    <w:rsid w:val="00737026"/>
    <w:rsid w:val="0074098A"/>
    <w:rsid w:val="00740B86"/>
    <w:rsid w:val="007447F7"/>
    <w:rsid w:val="007518BA"/>
    <w:rsid w:val="0076163D"/>
    <w:rsid w:val="007668A2"/>
    <w:rsid w:val="00772816"/>
    <w:rsid w:val="00774AD2"/>
    <w:rsid w:val="00776488"/>
    <w:rsid w:val="00776C17"/>
    <w:rsid w:val="00780839"/>
    <w:rsid w:val="00781593"/>
    <w:rsid w:val="00781928"/>
    <w:rsid w:val="007841FC"/>
    <w:rsid w:val="007853A8"/>
    <w:rsid w:val="007860C0"/>
    <w:rsid w:val="007864D6"/>
    <w:rsid w:val="0079112C"/>
    <w:rsid w:val="00794B7C"/>
    <w:rsid w:val="007A1804"/>
    <w:rsid w:val="007A432B"/>
    <w:rsid w:val="007A476E"/>
    <w:rsid w:val="007A5D05"/>
    <w:rsid w:val="007B0225"/>
    <w:rsid w:val="007B3970"/>
    <w:rsid w:val="007C03DB"/>
    <w:rsid w:val="007C4788"/>
    <w:rsid w:val="007C66B8"/>
    <w:rsid w:val="007D102F"/>
    <w:rsid w:val="007D22B1"/>
    <w:rsid w:val="007D341B"/>
    <w:rsid w:val="007D3E10"/>
    <w:rsid w:val="007D7466"/>
    <w:rsid w:val="007E6325"/>
    <w:rsid w:val="007E77A9"/>
    <w:rsid w:val="007F105A"/>
    <w:rsid w:val="007F2975"/>
    <w:rsid w:val="007F3A25"/>
    <w:rsid w:val="007F56CD"/>
    <w:rsid w:val="00801E58"/>
    <w:rsid w:val="00810D50"/>
    <w:rsid w:val="008128BA"/>
    <w:rsid w:val="0081363A"/>
    <w:rsid w:val="00817435"/>
    <w:rsid w:val="00817588"/>
    <w:rsid w:val="00820BF6"/>
    <w:rsid w:val="008213D2"/>
    <w:rsid w:val="0082292F"/>
    <w:rsid w:val="008247CC"/>
    <w:rsid w:val="00827A6D"/>
    <w:rsid w:val="0083050E"/>
    <w:rsid w:val="00832731"/>
    <w:rsid w:val="008336D4"/>
    <w:rsid w:val="00834347"/>
    <w:rsid w:val="00834976"/>
    <w:rsid w:val="00835665"/>
    <w:rsid w:val="008419DF"/>
    <w:rsid w:val="00842FE8"/>
    <w:rsid w:val="00852B82"/>
    <w:rsid w:val="008557A4"/>
    <w:rsid w:val="008566B5"/>
    <w:rsid w:val="0086284C"/>
    <w:rsid w:val="00863948"/>
    <w:rsid w:val="008672C3"/>
    <w:rsid w:val="00872F16"/>
    <w:rsid w:val="00876E0A"/>
    <w:rsid w:val="00877480"/>
    <w:rsid w:val="0088358E"/>
    <w:rsid w:val="00884D74"/>
    <w:rsid w:val="008851BC"/>
    <w:rsid w:val="008872A2"/>
    <w:rsid w:val="008920B4"/>
    <w:rsid w:val="008930E1"/>
    <w:rsid w:val="00895B4B"/>
    <w:rsid w:val="008A52AE"/>
    <w:rsid w:val="008B14AB"/>
    <w:rsid w:val="008B18E2"/>
    <w:rsid w:val="008B3E9A"/>
    <w:rsid w:val="008B500B"/>
    <w:rsid w:val="008B7145"/>
    <w:rsid w:val="008D321B"/>
    <w:rsid w:val="008D3F51"/>
    <w:rsid w:val="008D6CBA"/>
    <w:rsid w:val="008E0505"/>
    <w:rsid w:val="008E0D48"/>
    <w:rsid w:val="008E1174"/>
    <w:rsid w:val="008E4B09"/>
    <w:rsid w:val="008E678E"/>
    <w:rsid w:val="008E7C8E"/>
    <w:rsid w:val="00903782"/>
    <w:rsid w:val="009108C5"/>
    <w:rsid w:val="00910B1E"/>
    <w:rsid w:val="00911C83"/>
    <w:rsid w:val="009147CB"/>
    <w:rsid w:val="00915F3D"/>
    <w:rsid w:val="00921C1B"/>
    <w:rsid w:val="00921EAD"/>
    <w:rsid w:val="00927679"/>
    <w:rsid w:val="00944538"/>
    <w:rsid w:val="00945043"/>
    <w:rsid w:val="0094593D"/>
    <w:rsid w:val="0094614E"/>
    <w:rsid w:val="00952E5E"/>
    <w:rsid w:val="00953227"/>
    <w:rsid w:val="00953362"/>
    <w:rsid w:val="00953B22"/>
    <w:rsid w:val="00956A70"/>
    <w:rsid w:val="0095728D"/>
    <w:rsid w:val="00960B51"/>
    <w:rsid w:val="00963ECB"/>
    <w:rsid w:val="00967D6F"/>
    <w:rsid w:val="00970F32"/>
    <w:rsid w:val="0097144C"/>
    <w:rsid w:val="0097269B"/>
    <w:rsid w:val="009759B2"/>
    <w:rsid w:val="00980394"/>
    <w:rsid w:val="00985FD1"/>
    <w:rsid w:val="00986196"/>
    <w:rsid w:val="0099309B"/>
    <w:rsid w:val="009931F1"/>
    <w:rsid w:val="009969C3"/>
    <w:rsid w:val="009A1240"/>
    <w:rsid w:val="009A6C1F"/>
    <w:rsid w:val="009A7A02"/>
    <w:rsid w:val="009A7FF4"/>
    <w:rsid w:val="009B1738"/>
    <w:rsid w:val="009B5FF3"/>
    <w:rsid w:val="009C1975"/>
    <w:rsid w:val="009C207D"/>
    <w:rsid w:val="009C743A"/>
    <w:rsid w:val="009C7EA8"/>
    <w:rsid w:val="009D02EA"/>
    <w:rsid w:val="009D0AF1"/>
    <w:rsid w:val="009E089C"/>
    <w:rsid w:val="009E1072"/>
    <w:rsid w:val="009E1CE4"/>
    <w:rsid w:val="009E3076"/>
    <w:rsid w:val="009E3110"/>
    <w:rsid w:val="009E6F52"/>
    <w:rsid w:val="009F0E61"/>
    <w:rsid w:val="009F2506"/>
    <w:rsid w:val="00A11F60"/>
    <w:rsid w:val="00A12284"/>
    <w:rsid w:val="00A14729"/>
    <w:rsid w:val="00A22745"/>
    <w:rsid w:val="00A230D3"/>
    <w:rsid w:val="00A2585D"/>
    <w:rsid w:val="00A27611"/>
    <w:rsid w:val="00A3039E"/>
    <w:rsid w:val="00A338FC"/>
    <w:rsid w:val="00A33DE2"/>
    <w:rsid w:val="00A35365"/>
    <w:rsid w:val="00A362DE"/>
    <w:rsid w:val="00A403FF"/>
    <w:rsid w:val="00A4651B"/>
    <w:rsid w:val="00A50045"/>
    <w:rsid w:val="00A51E08"/>
    <w:rsid w:val="00A5572D"/>
    <w:rsid w:val="00A56277"/>
    <w:rsid w:val="00A57455"/>
    <w:rsid w:val="00A60F59"/>
    <w:rsid w:val="00A62541"/>
    <w:rsid w:val="00A62787"/>
    <w:rsid w:val="00A644D6"/>
    <w:rsid w:val="00A71D99"/>
    <w:rsid w:val="00A7420C"/>
    <w:rsid w:val="00A773FB"/>
    <w:rsid w:val="00A81263"/>
    <w:rsid w:val="00A837CE"/>
    <w:rsid w:val="00A8577A"/>
    <w:rsid w:val="00A909D6"/>
    <w:rsid w:val="00A9147B"/>
    <w:rsid w:val="00A96BBB"/>
    <w:rsid w:val="00A96BDB"/>
    <w:rsid w:val="00A97E41"/>
    <w:rsid w:val="00AA0D85"/>
    <w:rsid w:val="00AB2D84"/>
    <w:rsid w:val="00AB4752"/>
    <w:rsid w:val="00AB6D90"/>
    <w:rsid w:val="00AB75BC"/>
    <w:rsid w:val="00AC0533"/>
    <w:rsid w:val="00AC51E2"/>
    <w:rsid w:val="00AC71B8"/>
    <w:rsid w:val="00AC72E5"/>
    <w:rsid w:val="00AC7745"/>
    <w:rsid w:val="00AD0AE2"/>
    <w:rsid w:val="00AD1A3F"/>
    <w:rsid w:val="00AD2134"/>
    <w:rsid w:val="00AD3DE8"/>
    <w:rsid w:val="00AD410B"/>
    <w:rsid w:val="00AE0641"/>
    <w:rsid w:val="00AE38B2"/>
    <w:rsid w:val="00AF04B1"/>
    <w:rsid w:val="00AF09DF"/>
    <w:rsid w:val="00AF321C"/>
    <w:rsid w:val="00AF3C92"/>
    <w:rsid w:val="00AF4B72"/>
    <w:rsid w:val="00AF6454"/>
    <w:rsid w:val="00AF7A6F"/>
    <w:rsid w:val="00AF7FC7"/>
    <w:rsid w:val="00B01A99"/>
    <w:rsid w:val="00B1222C"/>
    <w:rsid w:val="00B13AA4"/>
    <w:rsid w:val="00B14C4E"/>
    <w:rsid w:val="00B16506"/>
    <w:rsid w:val="00B17DC6"/>
    <w:rsid w:val="00B21163"/>
    <w:rsid w:val="00B214D7"/>
    <w:rsid w:val="00B248EB"/>
    <w:rsid w:val="00B25249"/>
    <w:rsid w:val="00B27D74"/>
    <w:rsid w:val="00B307B1"/>
    <w:rsid w:val="00B3400C"/>
    <w:rsid w:val="00B37678"/>
    <w:rsid w:val="00B40005"/>
    <w:rsid w:val="00B52EC6"/>
    <w:rsid w:val="00B55A68"/>
    <w:rsid w:val="00B60061"/>
    <w:rsid w:val="00B62758"/>
    <w:rsid w:val="00B6380C"/>
    <w:rsid w:val="00B675CB"/>
    <w:rsid w:val="00B675DE"/>
    <w:rsid w:val="00B704FA"/>
    <w:rsid w:val="00B71EBD"/>
    <w:rsid w:val="00B72103"/>
    <w:rsid w:val="00B724CE"/>
    <w:rsid w:val="00B74B6B"/>
    <w:rsid w:val="00B75A6A"/>
    <w:rsid w:val="00B82B66"/>
    <w:rsid w:val="00B833BD"/>
    <w:rsid w:val="00B849B9"/>
    <w:rsid w:val="00B87206"/>
    <w:rsid w:val="00B960FD"/>
    <w:rsid w:val="00BA0A2F"/>
    <w:rsid w:val="00BA19C9"/>
    <w:rsid w:val="00BA457F"/>
    <w:rsid w:val="00BB455A"/>
    <w:rsid w:val="00BC1A36"/>
    <w:rsid w:val="00BC2578"/>
    <w:rsid w:val="00BC3D53"/>
    <w:rsid w:val="00BC3EC8"/>
    <w:rsid w:val="00BC589D"/>
    <w:rsid w:val="00BC5F51"/>
    <w:rsid w:val="00BC77B9"/>
    <w:rsid w:val="00BD1343"/>
    <w:rsid w:val="00BD493E"/>
    <w:rsid w:val="00BD660E"/>
    <w:rsid w:val="00BD744D"/>
    <w:rsid w:val="00BE0E76"/>
    <w:rsid w:val="00BE16DB"/>
    <w:rsid w:val="00BE2F2A"/>
    <w:rsid w:val="00BE392D"/>
    <w:rsid w:val="00BE49F3"/>
    <w:rsid w:val="00BF0045"/>
    <w:rsid w:val="00BF73F6"/>
    <w:rsid w:val="00C022C2"/>
    <w:rsid w:val="00C02A44"/>
    <w:rsid w:val="00C04D9E"/>
    <w:rsid w:val="00C0547C"/>
    <w:rsid w:val="00C0586F"/>
    <w:rsid w:val="00C05C86"/>
    <w:rsid w:val="00C10C9F"/>
    <w:rsid w:val="00C12E58"/>
    <w:rsid w:val="00C15ED5"/>
    <w:rsid w:val="00C17142"/>
    <w:rsid w:val="00C20D87"/>
    <w:rsid w:val="00C20FB2"/>
    <w:rsid w:val="00C23440"/>
    <w:rsid w:val="00C304D5"/>
    <w:rsid w:val="00C31D4B"/>
    <w:rsid w:val="00C32B52"/>
    <w:rsid w:val="00C34DDA"/>
    <w:rsid w:val="00C3537D"/>
    <w:rsid w:val="00C363C4"/>
    <w:rsid w:val="00C363D3"/>
    <w:rsid w:val="00C36400"/>
    <w:rsid w:val="00C36F80"/>
    <w:rsid w:val="00C40CD0"/>
    <w:rsid w:val="00C40F65"/>
    <w:rsid w:val="00C432DC"/>
    <w:rsid w:val="00C5105B"/>
    <w:rsid w:val="00C53FDB"/>
    <w:rsid w:val="00C54FE1"/>
    <w:rsid w:val="00C55232"/>
    <w:rsid w:val="00C647E5"/>
    <w:rsid w:val="00C6558E"/>
    <w:rsid w:val="00C65DA3"/>
    <w:rsid w:val="00C741D5"/>
    <w:rsid w:val="00C820E9"/>
    <w:rsid w:val="00C82245"/>
    <w:rsid w:val="00C864C7"/>
    <w:rsid w:val="00C903AF"/>
    <w:rsid w:val="00C91199"/>
    <w:rsid w:val="00C9127E"/>
    <w:rsid w:val="00C925E2"/>
    <w:rsid w:val="00C9534A"/>
    <w:rsid w:val="00CA0F66"/>
    <w:rsid w:val="00CA0F6D"/>
    <w:rsid w:val="00CA6C0B"/>
    <w:rsid w:val="00CB3330"/>
    <w:rsid w:val="00CB4F83"/>
    <w:rsid w:val="00CB6B9A"/>
    <w:rsid w:val="00CC1093"/>
    <w:rsid w:val="00CC15CC"/>
    <w:rsid w:val="00CC753D"/>
    <w:rsid w:val="00CC75F4"/>
    <w:rsid w:val="00CD2257"/>
    <w:rsid w:val="00CD5597"/>
    <w:rsid w:val="00CD7AAA"/>
    <w:rsid w:val="00CF0EBE"/>
    <w:rsid w:val="00CF3CF5"/>
    <w:rsid w:val="00CF6850"/>
    <w:rsid w:val="00CF7AA1"/>
    <w:rsid w:val="00D01EE2"/>
    <w:rsid w:val="00D02CB4"/>
    <w:rsid w:val="00D06465"/>
    <w:rsid w:val="00D112E2"/>
    <w:rsid w:val="00D146BC"/>
    <w:rsid w:val="00D15AC7"/>
    <w:rsid w:val="00D1698E"/>
    <w:rsid w:val="00D2108D"/>
    <w:rsid w:val="00D2440A"/>
    <w:rsid w:val="00D26844"/>
    <w:rsid w:val="00D27CA0"/>
    <w:rsid w:val="00D4141F"/>
    <w:rsid w:val="00D43FF1"/>
    <w:rsid w:val="00D46DD8"/>
    <w:rsid w:val="00D47ACB"/>
    <w:rsid w:val="00D51EAD"/>
    <w:rsid w:val="00D52B3B"/>
    <w:rsid w:val="00D5369D"/>
    <w:rsid w:val="00D60ED4"/>
    <w:rsid w:val="00D619AE"/>
    <w:rsid w:val="00D64F30"/>
    <w:rsid w:val="00D70FD2"/>
    <w:rsid w:val="00D71B92"/>
    <w:rsid w:val="00D73D69"/>
    <w:rsid w:val="00D74DAB"/>
    <w:rsid w:val="00D771FE"/>
    <w:rsid w:val="00D77537"/>
    <w:rsid w:val="00D83E5D"/>
    <w:rsid w:val="00D84F31"/>
    <w:rsid w:val="00D851DA"/>
    <w:rsid w:val="00D872FA"/>
    <w:rsid w:val="00D9154D"/>
    <w:rsid w:val="00D915F4"/>
    <w:rsid w:val="00D93167"/>
    <w:rsid w:val="00D94D58"/>
    <w:rsid w:val="00D97527"/>
    <w:rsid w:val="00D97B75"/>
    <w:rsid w:val="00D97EBC"/>
    <w:rsid w:val="00DA079E"/>
    <w:rsid w:val="00DA1E67"/>
    <w:rsid w:val="00DA4F77"/>
    <w:rsid w:val="00DA5858"/>
    <w:rsid w:val="00DB0458"/>
    <w:rsid w:val="00DB222B"/>
    <w:rsid w:val="00DB2868"/>
    <w:rsid w:val="00DB6546"/>
    <w:rsid w:val="00DC031D"/>
    <w:rsid w:val="00DC21CE"/>
    <w:rsid w:val="00DC3B05"/>
    <w:rsid w:val="00DC4E67"/>
    <w:rsid w:val="00DC6EBC"/>
    <w:rsid w:val="00DC79CD"/>
    <w:rsid w:val="00DD00F5"/>
    <w:rsid w:val="00DD366D"/>
    <w:rsid w:val="00DD61AC"/>
    <w:rsid w:val="00DE078F"/>
    <w:rsid w:val="00DE19D9"/>
    <w:rsid w:val="00DE429A"/>
    <w:rsid w:val="00DF32A2"/>
    <w:rsid w:val="00DF5461"/>
    <w:rsid w:val="00DF73EF"/>
    <w:rsid w:val="00E036C8"/>
    <w:rsid w:val="00E04499"/>
    <w:rsid w:val="00E04CE6"/>
    <w:rsid w:val="00E10297"/>
    <w:rsid w:val="00E12FA3"/>
    <w:rsid w:val="00E13879"/>
    <w:rsid w:val="00E14DB5"/>
    <w:rsid w:val="00E1556F"/>
    <w:rsid w:val="00E1630D"/>
    <w:rsid w:val="00E16723"/>
    <w:rsid w:val="00E16943"/>
    <w:rsid w:val="00E17AE8"/>
    <w:rsid w:val="00E17EAD"/>
    <w:rsid w:val="00E232E7"/>
    <w:rsid w:val="00E23B32"/>
    <w:rsid w:val="00E253EE"/>
    <w:rsid w:val="00E2686D"/>
    <w:rsid w:val="00E30DFC"/>
    <w:rsid w:val="00E30EE5"/>
    <w:rsid w:val="00E316D9"/>
    <w:rsid w:val="00E34EB6"/>
    <w:rsid w:val="00E3677F"/>
    <w:rsid w:val="00E42B6A"/>
    <w:rsid w:val="00E4399D"/>
    <w:rsid w:val="00E44741"/>
    <w:rsid w:val="00E45E5A"/>
    <w:rsid w:val="00E4620F"/>
    <w:rsid w:val="00E54E75"/>
    <w:rsid w:val="00E55393"/>
    <w:rsid w:val="00E5643E"/>
    <w:rsid w:val="00E5720B"/>
    <w:rsid w:val="00E622B2"/>
    <w:rsid w:val="00E7199F"/>
    <w:rsid w:val="00E7400E"/>
    <w:rsid w:val="00E8141D"/>
    <w:rsid w:val="00E83B4F"/>
    <w:rsid w:val="00E84AFB"/>
    <w:rsid w:val="00E856DA"/>
    <w:rsid w:val="00E86F07"/>
    <w:rsid w:val="00E87611"/>
    <w:rsid w:val="00E90F47"/>
    <w:rsid w:val="00E92773"/>
    <w:rsid w:val="00E9418E"/>
    <w:rsid w:val="00E96913"/>
    <w:rsid w:val="00EA097E"/>
    <w:rsid w:val="00EA0D28"/>
    <w:rsid w:val="00EA12F0"/>
    <w:rsid w:val="00EA2148"/>
    <w:rsid w:val="00EB1F06"/>
    <w:rsid w:val="00EB2A8A"/>
    <w:rsid w:val="00EB7E37"/>
    <w:rsid w:val="00EC3FF2"/>
    <w:rsid w:val="00EC72BC"/>
    <w:rsid w:val="00ED0720"/>
    <w:rsid w:val="00ED2A1B"/>
    <w:rsid w:val="00EE0413"/>
    <w:rsid w:val="00EE0973"/>
    <w:rsid w:val="00EF4827"/>
    <w:rsid w:val="00EF4C9C"/>
    <w:rsid w:val="00EF5E48"/>
    <w:rsid w:val="00F0240A"/>
    <w:rsid w:val="00F03464"/>
    <w:rsid w:val="00F06F96"/>
    <w:rsid w:val="00F07150"/>
    <w:rsid w:val="00F1005D"/>
    <w:rsid w:val="00F107CA"/>
    <w:rsid w:val="00F121C1"/>
    <w:rsid w:val="00F20247"/>
    <w:rsid w:val="00F25594"/>
    <w:rsid w:val="00F2764C"/>
    <w:rsid w:val="00F31348"/>
    <w:rsid w:val="00F32BA7"/>
    <w:rsid w:val="00F32FED"/>
    <w:rsid w:val="00F34952"/>
    <w:rsid w:val="00F40355"/>
    <w:rsid w:val="00F404F9"/>
    <w:rsid w:val="00F421BF"/>
    <w:rsid w:val="00F44F5D"/>
    <w:rsid w:val="00F6163C"/>
    <w:rsid w:val="00F6458D"/>
    <w:rsid w:val="00F65EC8"/>
    <w:rsid w:val="00F672B0"/>
    <w:rsid w:val="00F72723"/>
    <w:rsid w:val="00F917C6"/>
    <w:rsid w:val="00F91A2C"/>
    <w:rsid w:val="00F93A07"/>
    <w:rsid w:val="00F94637"/>
    <w:rsid w:val="00F9463E"/>
    <w:rsid w:val="00F953AA"/>
    <w:rsid w:val="00F96938"/>
    <w:rsid w:val="00FA095C"/>
    <w:rsid w:val="00FA35FE"/>
    <w:rsid w:val="00FA7EF2"/>
    <w:rsid w:val="00FB30C6"/>
    <w:rsid w:val="00FC0A1B"/>
    <w:rsid w:val="00FC0DD8"/>
    <w:rsid w:val="00FC5390"/>
    <w:rsid w:val="00FC5EB6"/>
    <w:rsid w:val="00FC78BD"/>
    <w:rsid w:val="00FC7BF7"/>
    <w:rsid w:val="00FC7E53"/>
    <w:rsid w:val="00FD7D84"/>
    <w:rsid w:val="00FD7EDC"/>
    <w:rsid w:val="00FE2ED4"/>
    <w:rsid w:val="00FE41FD"/>
    <w:rsid w:val="00FE54AD"/>
    <w:rsid w:val="00FE74F1"/>
    <w:rsid w:val="00FF0335"/>
    <w:rsid w:val="00FF132F"/>
    <w:rsid w:val="00FF54D4"/>
    <w:rsid w:val="00FF76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Ttulo">
    <w:name w:val="Title"/>
    <w:basedOn w:val="Normal"/>
    <w:link w:val="TtuloCar"/>
    <w:uiPriority w:val="10"/>
    <w:qFormat/>
    <w:rsid w:val="008872A2"/>
    <w:pPr>
      <w:jc w:val="center"/>
    </w:pPr>
    <w:rPr>
      <w:rFonts w:ascii="Arial" w:hAnsi="Arial"/>
      <w:b/>
      <w:i/>
      <w:sz w:val="24"/>
    </w:rPr>
  </w:style>
  <w:style w:type="character" w:customStyle="1" w:styleId="TtuloCar">
    <w:name w:val="Título Car"/>
    <w:basedOn w:val="Fuentedeprrafopredeter"/>
    <w:link w:val="Ttulo"/>
    <w:uiPriority w:val="10"/>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99"/>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F"/>
    <w:basedOn w:val="Fuentedeprrafopredeter"/>
    <w:uiPriority w:val="99"/>
    <w:qFormat/>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 w:type="paragraph" w:customStyle="1" w:styleId="Default">
    <w:name w:val="Default"/>
    <w:rsid w:val="00471941"/>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rsid w:val="007C4788"/>
    <w:rPr>
      <w:sz w:val="16"/>
      <w:szCs w:val="16"/>
    </w:rPr>
  </w:style>
  <w:style w:type="paragraph" w:styleId="Textocomentario">
    <w:name w:val="annotation text"/>
    <w:basedOn w:val="Normal"/>
    <w:link w:val="TextocomentarioCar"/>
    <w:uiPriority w:val="99"/>
    <w:rsid w:val="007C4788"/>
  </w:style>
  <w:style w:type="character" w:customStyle="1" w:styleId="TextocomentarioCar">
    <w:name w:val="Texto comentario Car"/>
    <w:basedOn w:val="Fuentedeprrafopredeter"/>
    <w:link w:val="Textocomentario"/>
    <w:uiPriority w:val="99"/>
    <w:rsid w:val="007C4788"/>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7C4788"/>
    <w:rPr>
      <w:b/>
      <w:bCs/>
    </w:rPr>
  </w:style>
  <w:style w:type="character" w:customStyle="1" w:styleId="AsuntodelcomentarioCar">
    <w:name w:val="Asunto del comentario Car"/>
    <w:basedOn w:val="TextocomentarioCar"/>
    <w:link w:val="Asuntodelcomentario"/>
    <w:uiPriority w:val="99"/>
    <w:rsid w:val="007C4788"/>
    <w:rPr>
      <w:rFonts w:ascii="Times New Roman" w:hAnsi="Times New Roman" w:cs="Times New Roman"/>
      <w:b/>
      <w:bCs/>
      <w:sz w:val="20"/>
      <w:szCs w:val="20"/>
      <w:lang w:val="es-ES" w:eastAsia="es-ES"/>
    </w:rPr>
  </w:style>
  <w:style w:type="character" w:styleId="Hipervnculo">
    <w:name w:val="Hyperlink"/>
    <w:basedOn w:val="Fuentedeprrafopredeter"/>
    <w:uiPriority w:val="99"/>
    <w:rsid w:val="005B48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Ttulo">
    <w:name w:val="Title"/>
    <w:basedOn w:val="Normal"/>
    <w:link w:val="TtuloCar"/>
    <w:uiPriority w:val="10"/>
    <w:qFormat/>
    <w:rsid w:val="008872A2"/>
    <w:pPr>
      <w:jc w:val="center"/>
    </w:pPr>
    <w:rPr>
      <w:rFonts w:ascii="Arial" w:hAnsi="Arial"/>
      <w:b/>
      <w:i/>
      <w:sz w:val="24"/>
    </w:rPr>
  </w:style>
  <w:style w:type="character" w:customStyle="1" w:styleId="TtuloCar">
    <w:name w:val="Título Car"/>
    <w:basedOn w:val="Fuentedeprrafopredeter"/>
    <w:link w:val="Ttulo"/>
    <w:uiPriority w:val="10"/>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99"/>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F"/>
    <w:basedOn w:val="Fuentedeprrafopredeter"/>
    <w:uiPriority w:val="99"/>
    <w:qFormat/>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 w:type="paragraph" w:customStyle="1" w:styleId="Default">
    <w:name w:val="Default"/>
    <w:rsid w:val="00471941"/>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rsid w:val="007C4788"/>
    <w:rPr>
      <w:sz w:val="16"/>
      <w:szCs w:val="16"/>
    </w:rPr>
  </w:style>
  <w:style w:type="paragraph" w:styleId="Textocomentario">
    <w:name w:val="annotation text"/>
    <w:basedOn w:val="Normal"/>
    <w:link w:val="TextocomentarioCar"/>
    <w:uiPriority w:val="99"/>
    <w:rsid w:val="007C4788"/>
  </w:style>
  <w:style w:type="character" w:customStyle="1" w:styleId="TextocomentarioCar">
    <w:name w:val="Texto comentario Car"/>
    <w:basedOn w:val="Fuentedeprrafopredeter"/>
    <w:link w:val="Textocomentario"/>
    <w:uiPriority w:val="99"/>
    <w:rsid w:val="007C4788"/>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7C4788"/>
    <w:rPr>
      <w:b/>
      <w:bCs/>
    </w:rPr>
  </w:style>
  <w:style w:type="character" w:customStyle="1" w:styleId="AsuntodelcomentarioCar">
    <w:name w:val="Asunto del comentario Car"/>
    <w:basedOn w:val="TextocomentarioCar"/>
    <w:link w:val="Asuntodelcomentario"/>
    <w:uiPriority w:val="99"/>
    <w:rsid w:val="007C4788"/>
    <w:rPr>
      <w:rFonts w:ascii="Times New Roman" w:hAnsi="Times New Roman" w:cs="Times New Roman"/>
      <w:b/>
      <w:bCs/>
      <w:sz w:val="20"/>
      <w:szCs w:val="20"/>
      <w:lang w:val="es-ES" w:eastAsia="es-ES"/>
    </w:rPr>
  </w:style>
  <w:style w:type="character" w:styleId="Hipervnculo">
    <w:name w:val="Hyperlink"/>
    <w:basedOn w:val="Fuentedeprrafopredeter"/>
    <w:uiPriority w:val="99"/>
    <w:rsid w:val="005B48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60411">
      <w:bodyDiv w:val="1"/>
      <w:marLeft w:val="0"/>
      <w:marRight w:val="0"/>
      <w:marTop w:val="0"/>
      <w:marBottom w:val="0"/>
      <w:divBdr>
        <w:top w:val="none" w:sz="0" w:space="0" w:color="auto"/>
        <w:left w:val="none" w:sz="0" w:space="0" w:color="auto"/>
        <w:bottom w:val="none" w:sz="0" w:space="0" w:color="auto"/>
        <w:right w:val="none" w:sz="0" w:space="0" w:color="auto"/>
      </w:divBdr>
      <w:divsChild>
        <w:div w:id="282463058">
          <w:marLeft w:val="0"/>
          <w:marRight w:val="0"/>
          <w:marTop w:val="0"/>
          <w:marBottom w:val="0"/>
          <w:divBdr>
            <w:top w:val="none" w:sz="0" w:space="0" w:color="auto"/>
            <w:left w:val="none" w:sz="0" w:space="0" w:color="auto"/>
            <w:bottom w:val="none" w:sz="0" w:space="0" w:color="auto"/>
            <w:right w:val="none" w:sz="0" w:space="0" w:color="auto"/>
          </w:divBdr>
        </w:div>
        <w:div w:id="1605840602">
          <w:marLeft w:val="0"/>
          <w:marRight w:val="0"/>
          <w:marTop w:val="0"/>
          <w:marBottom w:val="0"/>
          <w:divBdr>
            <w:top w:val="none" w:sz="0" w:space="0" w:color="auto"/>
            <w:left w:val="none" w:sz="0" w:space="0" w:color="auto"/>
            <w:bottom w:val="none" w:sz="0" w:space="0" w:color="auto"/>
            <w:right w:val="none" w:sz="0" w:space="0" w:color="auto"/>
          </w:divBdr>
        </w:div>
        <w:div w:id="2007126593">
          <w:marLeft w:val="0"/>
          <w:marRight w:val="0"/>
          <w:marTop w:val="0"/>
          <w:marBottom w:val="0"/>
          <w:divBdr>
            <w:top w:val="none" w:sz="0" w:space="0" w:color="auto"/>
            <w:left w:val="none" w:sz="0" w:space="0" w:color="auto"/>
            <w:bottom w:val="none" w:sz="0" w:space="0" w:color="auto"/>
            <w:right w:val="none" w:sz="0" w:space="0" w:color="auto"/>
          </w:divBdr>
        </w:div>
      </w:divsChild>
    </w:div>
    <w:div w:id="1152260101">
      <w:bodyDiv w:val="1"/>
      <w:marLeft w:val="0"/>
      <w:marRight w:val="0"/>
      <w:marTop w:val="0"/>
      <w:marBottom w:val="0"/>
      <w:divBdr>
        <w:top w:val="none" w:sz="0" w:space="0" w:color="auto"/>
        <w:left w:val="none" w:sz="0" w:space="0" w:color="auto"/>
        <w:bottom w:val="none" w:sz="0" w:space="0" w:color="auto"/>
        <w:right w:val="none" w:sz="0" w:space="0" w:color="auto"/>
      </w:divBdr>
    </w:div>
    <w:div w:id="1636719597">
      <w:bodyDiv w:val="1"/>
      <w:marLeft w:val="0"/>
      <w:marRight w:val="0"/>
      <w:marTop w:val="0"/>
      <w:marBottom w:val="0"/>
      <w:divBdr>
        <w:top w:val="none" w:sz="0" w:space="0" w:color="auto"/>
        <w:left w:val="none" w:sz="0" w:space="0" w:color="auto"/>
        <w:bottom w:val="none" w:sz="0" w:space="0" w:color="auto"/>
        <w:right w:val="none" w:sz="0" w:space="0" w:color="auto"/>
      </w:divBdr>
    </w:div>
    <w:div w:id="1731997869">
      <w:bodyDiv w:val="1"/>
      <w:marLeft w:val="0"/>
      <w:marRight w:val="0"/>
      <w:marTop w:val="0"/>
      <w:marBottom w:val="0"/>
      <w:divBdr>
        <w:top w:val="none" w:sz="0" w:space="0" w:color="auto"/>
        <w:left w:val="none" w:sz="0" w:space="0" w:color="auto"/>
        <w:bottom w:val="none" w:sz="0" w:space="0" w:color="auto"/>
        <w:right w:val="none" w:sz="0" w:space="0" w:color="auto"/>
      </w:divBdr>
      <w:divsChild>
        <w:div w:id="564224548">
          <w:marLeft w:val="0"/>
          <w:marRight w:val="0"/>
          <w:marTop w:val="0"/>
          <w:marBottom w:val="0"/>
          <w:divBdr>
            <w:top w:val="none" w:sz="0" w:space="0" w:color="auto"/>
            <w:left w:val="none" w:sz="0" w:space="0" w:color="auto"/>
            <w:bottom w:val="none" w:sz="0" w:space="0" w:color="auto"/>
            <w:right w:val="none" w:sz="0" w:space="0" w:color="auto"/>
          </w:divBdr>
        </w:div>
        <w:div w:id="603153768">
          <w:marLeft w:val="0"/>
          <w:marRight w:val="0"/>
          <w:marTop w:val="0"/>
          <w:marBottom w:val="0"/>
          <w:divBdr>
            <w:top w:val="none" w:sz="0" w:space="0" w:color="auto"/>
            <w:left w:val="none" w:sz="0" w:space="0" w:color="auto"/>
            <w:bottom w:val="none" w:sz="0" w:space="0" w:color="auto"/>
            <w:right w:val="none" w:sz="0" w:space="0" w:color="auto"/>
          </w:divBdr>
        </w:div>
        <w:div w:id="1633249926">
          <w:marLeft w:val="0"/>
          <w:marRight w:val="0"/>
          <w:marTop w:val="0"/>
          <w:marBottom w:val="0"/>
          <w:divBdr>
            <w:top w:val="none" w:sz="0" w:space="0" w:color="auto"/>
            <w:left w:val="none" w:sz="0" w:space="0" w:color="auto"/>
            <w:bottom w:val="none" w:sz="0" w:space="0" w:color="auto"/>
            <w:right w:val="none" w:sz="0" w:space="0" w:color="auto"/>
          </w:divBdr>
        </w:div>
        <w:div w:id="870000419">
          <w:marLeft w:val="0"/>
          <w:marRight w:val="0"/>
          <w:marTop w:val="0"/>
          <w:marBottom w:val="0"/>
          <w:divBdr>
            <w:top w:val="none" w:sz="0" w:space="0" w:color="auto"/>
            <w:left w:val="none" w:sz="0" w:space="0" w:color="auto"/>
            <w:bottom w:val="none" w:sz="0" w:space="0" w:color="auto"/>
            <w:right w:val="none" w:sz="0" w:space="0" w:color="auto"/>
          </w:divBdr>
        </w:div>
        <w:div w:id="2267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31DD7-3625-40B7-B0A6-69402FE91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5</Pages>
  <Words>2096</Words>
  <Characters>11533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ALONSO</cp:lastModifiedBy>
  <cp:revision>21</cp:revision>
  <cp:lastPrinted>2020-01-31T20:15:00Z</cp:lastPrinted>
  <dcterms:created xsi:type="dcterms:W3CDTF">2020-01-31T13:55:00Z</dcterms:created>
  <dcterms:modified xsi:type="dcterms:W3CDTF">2020-03-26T16:47:00Z</dcterms:modified>
</cp:coreProperties>
</file>