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72F" w:rsidRPr="009A672F" w:rsidRDefault="009A672F" w:rsidP="009A672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eastAsia="fr-FR"/>
        </w:rPr>
      </w:pPr>
      <w:r w:rsidRPr="009A672F">
        <w:rPr>
          <w:rFonts w:ascii="Arial"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9A672F" w:rsidRPr="009A672F" w:rsidRDefault="009A672F" w:rsidP="009A672F">
      <w:pPr>
        <w:jc w:val="both"/>
        <w:rPr>
          <w:rFonts w:ascii="Arial" w:hAnsi="Arial" w:cs="Arial"/>
        </w:rPr>
      </w:pPr>
    </w:p>
    <w:p w:rsidR="009A672F" w:rsidRPr="009A672F" w:rsidRDefault="009A672F" w:rsidP="009A672F">
      <w:pPr>
        <w:jc w:val="both"/>
        <w:rPr>
          <w:rFonts w:ascii="Arial" w:hAnsi="Arial" w:cs="Arial"/>
        </w:rPr>
      </w:pPr>
      <w:r w:rsidRPr="009A672F">
        <w:rPr>
          <w:rFonts w:ascii="Arial" w:hAnsi="Arial" w:cs="Arial"/>
        </w:rPr>
        <w:t>Asunto</w:t>
      </w:r>
      <w:r w:rsidRPr="009A672F">
        <w:rPr>
          <w:rFonts w:ascii="Arial" w:hAnsi="Arial" w:cs="Arial"/>
        </w:rPr>
        <w:tab/>
      </w:r>
      <w:r w:rsidRPr="009A672F">
        <w:rPr>
          <w:rFonts w:ascii="Arial" w:hAnsi="Arial" w:cs="Arial"/>
        </w:rPr>
        <w:tab/>
      </w:r>
      <w:r w:rsidRPr="009A672F">
        <w:rPr>
          <w:rFonts w:ascii="Arial" w:hAnsi="Arial" w:cs="Arial"/>
        </w:rPr>
        <w:tab/>
        <w:t>: Decide nulidad procesal</w:t>
      </w:r>
    </w:p>
    <w:p w:rsidR="009A672F" w:rsidRPr="009A672F" w:rsidRDefault="009A672F" w:rsidP="009A672F">
      <w:pPr>
        <w:jc w:val="both"/>
        <w:rPr>
          <w:rFonts w:ascii="Arial" w:hAnsi="Arial" w:cs="Arial"/>
        </w:rPr>
      </w:pPr>
      <w:r w:rsidRPr="009A672F">
        <w:rPr>
          <w:rFonts w:ascii="Arial" w:hAnsi="Arial" w:cs="Arial"/>
        </w:rPr>
        <w:t>Tipo de proceso</w:t>
      </w:r>
      <w:r w:rsidRPr="009A672F">
        <w:rPr>
          <w:rFonts w:ascii="Arial" w:hAnsi="Arial" w:cs="Arial"/>
        </w:rPr>
        <w:tab/>
        <w:t xml:space="preserve">: Verbal - Reivindicatorio </w:t>
      </w:r>
    </w:p>
    <w:p w:rsidR="009A672F" w:rsidRPr="009A672F" w:rsidRDefault="009A672F" w:rsidP="009A672F">
      <w:pPr>
        <w:jc w:val="both"/>
        <w:rPr>
          <w:rFonts w:ascii="Arial" w:hAnsi="Arial" w:cs="Arial"/>
        </w:rPr>
      </w:pPr>
      <w:r w:rsidRPr="009A672F">
        <w:rPr>
          <w:rFonts w:ascii="Arial" w:hAnsi="Arial" w:cs="Arial"/>
        </w:rPr>
        <w:t xml:space="preserve">Reconvención </w:t>
      </w:r>
      <w:r w:rsidRPr="009A672F">
        <w:rPr>
          <w:rFonts w:ascii="Arial" w:hAnsi="Arial" w:cs="Arial"/>
        </w:rPr>
        <w:tab/>
      </w:r>
      <w:r w:rsidRPr="009A672F">
        <w:rPr>
          <w:rFonts w:ascii="Arial" w:hAnsi="Arial" w:cs="Arial"/>
        </w:rPr>
        <w:tab/>
        <w:t>: Ordinario – Usucapión extraordinaria</w:t>
      </w:r>
    </w:p>
    <w:p w:rsidR="009A672F" w:rsidRPr="009A672F" w:rsidRDefault="009A672F" w:rsidP="009A672F">
      <w:pPr>
        <w:jc w:val="both"/>
        <w:rPr>
          <w:rFonts w:ascii="Arial" w:hAnsi="Arial" w:cs="Arial"/>
        </w:rPr>
      </w:pPr>
      <w:r w:rsidRPr="009A672F">
        <w:rPr>
          <w:rFonts w:ascii="Arial" w:hAnsi="Arial" w:cs="Arial"/>
        </w:rPr>
        <w:t>Demandante</w:t>
      </w:r>
      <w:r w:rsidRPr="009A672F">
        <w:rPr>
          <w:rFonts w:ascii="Arial" w:hAnsi="Arial" w:cs="Arial"/>
        </w:rPr>
        <w:tab/>
      </w:r>
      <w:r w:rsidRPr="009A672F">
        <w:rPr>
          <w:rFonts w:ascii="Arial" w:hAnsi="Arial" w:cs="Arial"/>
        </w:rPr>
        <w:tab/>
        <w:t xml:space="preserve">: Sociedad Gaviria y Gaviria Ltda. </w:t>
      </w:r>
      <w:proofErr w:type="gramStart"/>
      <w:r w:rsidRPr="009A672F">
        <w:rPr>
          <w:rFonts w:ascii="Arial" w:hAnsi="Arial" w:cs="Arial"/>
        </w:rPr>
        <w:t>en</w:t>
      </w:r>
      <w:proofErr w:type="gramEnd"/>
      <w:r w:rsidRPr="009A672F">
        <w:rPr>
          <w:rFonts w:ascii="Arial" w:hAnsi="Arial" w:cs="Arial"/>
        </w:rPr>
        <w:t xml:space="preserve"> liquidación</w:t>
      </w:r>
    </w:p>
    <w:p w:rsidR="009A672F" w:rsidRPr="009A672F" w:rsidRDefault="009A672F" w:rsidP="009A672F">
      <w:pPr>
        <w:jc w:val="both"/>
        <w:rPr>
          <w:rFonts w:ascii="Arial" w:hAnsi="Arial" w:cs="Arial"/>
        </w:rPr>
      </w:pPr>
      <w:r w:rsidRPr="009A672F">
        <w:rPr>
          <w:rFonts w:ascii="Arial" w:hAnsi="Arial" w:cs="Arial"/>
        </w:rPr>
        <w:t>Demandado</w:t>
      </w:r>
      <w:r w:rsidRPr="009A672F">
        <w:rPr>
          <w:rFonts w:ascii="Arial" w:hAnsi="Arial" w:cs="Arial"/>
        </w:rPr>
        <w:tab/>
      </w:r>
      <w:r w:rsidRPr="009A672F">
        <w:rPr>
          <w:rFonts w:ascii="Arial" w:hAnsi="Arial" w:cs="Arial"/>
        </w:rPr>
        <w:tab/>
        <w:t>: Bernardo Gómez Herrera y otros</w:t>
      </w:r>
    </w:p>
    <w:p w:rsidR="009A672F" w:rsidRPr="009A672F" w:rsidRDefault="009A672F" w:rsidP="009A672F">
      <w:pPr>
        <w:jc w:val="both"/>
        <w:rPr>
          <w:rFonts w:ascii="Arial" w:hAnsi="Arial" w:cs="Arial"/>
        </w:rPr>
      </w:pPr>
      <w:r w:rsidRPr="009A672F">
        <w:rPr>
          <w:rFonts w:ascii="Arial" w:hAnsi="Arial" w:cs="Arial"/>
        </w:rPr>
        <w:t>Procedencia</w:t>
      </w:r>
      <w:r w:rsidRPr="009A672F">
        <w:rPr>
          <w:rFonts w:ascii="Arial" w:hAnsi="Arial" w:cs="Arial"/>
        </w:rPr>
        <w:tab/>
      </w:r>
      <w:r w:rsidRPr="009A672F">
        <w:rPr>
          <w:rFonts w:ascii="Arial" w:hAnsi="Arial" w:cs="Arial"/>
        </w:rPr>
        <w:tab/>
        <w:t>: Juzgado Civil del Circuito de Dosquebradas</w:t>
      </w:r>
    </w:p>
    <w:p w:rsidR="009A672F" w:rsidRPr="009A672F" w:rsidRDefault="009A672F" w:rsidP="009A672F">
      <w:pPr>
        <w:jc w:val="both"/>
        <w:rPr>
          <w:rFonts w:ascii="Arial" w:hAnsi="Arial" w:cs="Arial"/>
        </w:rPr>
      </w:pPr>
      <w:r w:rsidRPr="009A672F">
        <w:rPr>
          <w:rFonts w:ascii="Arial" w:hAnsi="Arial" w:cs="Arial"/>
        </w:rPr>
        <w:t>Radicación</w:t>
      </w:r>
      <w:r w:rsidRPr="009A672F">
        <w:rPr>
          <w:rFonts w:ascii="Arial" w:hAnsi="Arial" w:cs="Arial"/>
        </w:rPr>
        <w:tab/>
      </w:r>
      <w:r w:rsidRPr="009A672F">
        <w:rPr>
          <w:rFonts w:ascii="Arial" w:hAnsi="Arial" w:cs="Arial"/>
        </w:rPr>
        <w:tab/>
        <w:t>: 66170-31-03-001-2015-00131-01</w:t>
      </w:r>
    </w:p>
    <w:p w:rsidR="009A672F" w:rsidRPr="009A672F" w:rsidRDefault="009A672F" w:rsidP="009A672F">
      <w:pPr>
        <w:jc w:val="both"/>
        <w:rPr>
          <w:rFonts w:ascii="Arial" w:hAnsi="Arial" w:cs="Arial"/>
        </w:rPr>
      </w:pPr>
      <w:bookmarkStart w:id="0" w:name="_GoBack"/>
      <w:bookmarkEnd w:id="0"/>
      <w:proofErr w:type="spellStart"/>
      <w:r w:rsidRPr="009A672F">
        <w:rPr>
          <w:rFonts w:ascii="Arial" w:hAnsi="Arial" w:cs="Arial"/>
        </w:rPr>
        <w:t>Mag</w:t>
      </w:r>
      <w:proofErr w:type="spellEnd"/>
      <w:r w:rsidRPr="009A672F">
        <w:rPr>
          <w:rFonts w:ascii="Arial" w:hAnsi="Arial" w:cs="Arial"/>
        </w:rPr>
        <w:t>. Sustanciador</w:t>
      </w:r>
      <w:r w:rsidRPr="009A672F">
        <w:rPr>
          <w:rFonts w:ascii="Arial" w:hAnsi="Arial" w:cs="Arial"/>
        </w:rPr>
        <w:tab/>
        <w:t xml:space="preserve">: </w:t>
      </w:r>
      <w:proofErr w:type="spellStart"/>
      <w:r w:rsidRPr="009A672F">
        <w:rPr>
          <w:rFonts w:ascii="Arial" w:hAnsi="Arial" w:cs="Arial"/>
        </w:rPr>
        <w:t>DUBERNEY</w:t>
      </w:r>
      <w:proofErr w:type="spellEnd"/>
      <w:r w:rsidRPr="009A672F">
        <w:rPr>
          <w:rFonts w:ascii="Arial" w:hAnsi="Arial" w:cs="Arial"/>
        </w:rPr>
        <w:t xml:space="preserve"> GRISALES HERRERA</w:t>
      </w:r>
    </w:p>
    <w:p w:rsidR="009A672F" w:rsidRPr="009A672F" w:rsidRDefault="009A672F" w:rsidP="009A672F">
      <w:pPr>
        <w:jc w:val="both"/>
        <w:rPr>
          <w:rFonts w:ascii="Arial" w:hAnsi="Arial" w:cs="Arial"/>
        </w:rPr>
      </w:pPr>
    </w:p>
    <w:p w:rsidR="009A672F" w:rsidRPr="009A672F" w:rsidRDefault="009A672F" w:rsidP="009A672F">
      <w:pPr>
        <w:jc w:val="both"/>
        <w:rPr>
          <w:rFonts w:ascii="Arial" w:hAnsi="Arial" w:cs="Arial"/>
          <w:b/>
          <w:bCs/>
          <w:iCs/>
          <w:lang w:eastAsia="fr-FR"/>
        </w:rPr>
      </w:pPr>
      <w:r w:rsidRPr="009A672F">
        <w:rPr>
          <w:rFonts w:ascii="Arial" w:hAnsi="Arial" w:cs="Arial"/>
          <w:b/>
          <w:bCs/>
          <w:iCs/>
          <w:u w:val="single"/>
          <w:lang w:eastAsia="fr-FR"/>
        </w:rPr>
        <w:t>TEMAS:</w:t>
      </w:r>
      <w:r w:rsidRPr="009A672F">
        <w:rPr>
          <w:rFonts w:ascii="Arial" w:hAnsi="Arial" w:cs="Arial"/>
          <w:b/>
          <w:bCs/>
          <w:iCs/>
          <w:lang w:eastAsia="fr-FR"/>
        </w:rPr>
        <w:tab/>
      </w:r>
      <w:r w:rsidR="0022401A">
        <w:rPr>
          <w:rFonts w:ascii="Arial" w:hAnsi="Arial" w:cs="Arial"/>
          <w:b/>
          <w:bCs/>
          <w:iCs/>
          <w:lang w:eastAsia="fr-FR"/>
        </w:rPr>
        <w:t xml:space="preserve">NULIDAD PROCESAL / INDEBIDO EMPLAZAMIENTO / REQUISITOS DEL LLAMAMIENTO </w:t>
      </w:r>
      <w:proofErr w:type="spellStart"/>
      <w:r w:rsidR="0022401A">
        <w:rPr>
          <w:rFonts w:ascii="Arial" w:hAnsi="Arial" w:cs="Arial"/>
          <w:b/>
          <w:bCs/>
          <w:iCs/>
          <w:lang w:eastAsia="fr-FR"/>
        </w:rPr>
        <w:t>EDICTAL</w:t>
      </w:r>
      <w:proofErr w:type="spellEnd"/>
      <w:r w:rsidR="0022401A">
        <w:rPr>
          <w:rFonts w:ascii="Arial" w:hAnsi="Arial" w:cs="Arial"/>
          <w:b/>
          <w:bCs/>
          <w:iCs/>
          <w:lang w:eastAsia="fr-FR"/>
        </w:rPr>
        <w:t xml:space="preserve"> / REGISTRO NACIONAL DE PERSONAS EMPLAZADAS </w:t>
      </w:r>
      <w:r w:rsidR="0022401A" w:rsidRPr="009A672F">
        <w:rPr>
          <w:rFonts w:ascii="Arial" w:hAnsi="Arial" w:cs="Arial"/>
          <w:b/>
          <w:bCs/>
          <w:iCs/>
          <w:lang w:eastAsia="fr-FR"/>
        </w:rPr>
        <w:t xml:space="preserve">/ </w:t>
      </w:r>
      <w:r w:rsidR="0022401A">
        <w:rPr>
          <w:rFonts w:ascii="Arial" w:hAnsi="Arial" w:cs="Arial"/>
          <w:b/>
          <w:bCs/>
          <w:iCs/>
          <w:lang w:eastAsia="fr-FR"/>
        </w:rPr>
        <w:t>DEBE GARANTIZARSE EL ACCESO A LA PUBLICACIÓN / ES FUNCIÓN DEL JUZGADO DE CONOCIMIENTO.</w:t>
      </w:r>
    </w:p>
    <w:p w:rsidR="009A672F" w:rsidRPr="009A672F" w:rsidRDefault="009A672F" w:rsidP="009A672F">
      <w:pPr>
        <w:jc w:val="both"/>
        <w:rPr>
          <w:rFonts w:ascii="Arial" w:hAnsi="Arial" w:cs="Arial"/>
        </w:rPr>
      </w:pPr>
    </w:p>
    <w:p w:rsidR="009A672F" w:rsidRDefault="00587EDF" w:rsidP="009A672F">
      <w:pPr>
        <w:jc w:val="both"/>
        <w:rPr>
          <w:rFonts w:ascii="Arial" w:hAnsi="Arial" w:cs="Arial"/>
        </w:rPr>
      </w:pPr>
      <w:r w:rsidRPr="00587EDF">
        <w:rPr>
          <w:rFonts w:ascii="Arial" w:hAnsi="Arial" w:cs="Arial"/>
        </w:rPr>
        <w:t>El régimen de esta figura</w:t>
      </w:r>
      <w:r>
        <w:rPr>
          <w:rFonts w:ascii="Arial" w:hAnsi="Arial" w:cs="Arial"/>
        </w:rPr>
        <w:t xml:space="preserve"> (nulidades)</w:t>
      </w:r>
      <w:r w:rsidRPr="00587EDF">
        <w:rPr>
          <w:rFonts w:ascii="Arial" w:hAnsi="Arial" w:cs="Arial"/>
        </w:rPr>
        <w:t xml:space="preserve">, está informado por el principio de la </w:t>
      </w:r>
      <w:proofErr w:type="spellStart"/>
      <w:r w:rsidRPr="00587EDF">
        <w:rPr>
          <w:rFonts w:ascii="Arial" w:hAnsi="Arial" w:cs="Arial"/>
        </w:rPr>
        <w:t>taxatividad</w:t>
      </w:r>
      <w:proofErr w:type="spellEnd"/>
      <w:r w:rsidRPr="00587EDF">
        <w:rPr>
          <w:rFonts w:ascii="Arial" w:hAnsi="Arial" w:cs="Arial"/>
        </w:rPr>
        <w:t xml:space="preserve"> o especificidad</w:t>
      </w:r>
      <w:r>
        <w:rPr>
          <w:rFonts w:ascii="Arial" w:hAnsi="Arial" w:cs="Arial"/>
        </w:rPr>
        <w:t>…</w:t>
      </w:r>
      <w:r w:rsidRPr="00587EDF">
        <w:rPr>
          <w:rFonts w:ascii="Arial" w:hAnsi="Arial" w:cs="Arial"/>
        </w:rPr>
        <w:t xml:space="preserve"> Otros principios de igual entidad que permean la herramienta en comento, son el de preclusión, protección, convalidación, trascendencia y legitimación para invocarla</w:t>
      </w:r>
      <w:r>
        <w:rPr>
          <w:rFonts w:ascii="Arial" w:hAnsi="Arial" w:cs="Arial"/>
        </w:rPr>
        <w:t>…</w:t>
      </w:r>
    </w:p>
    <w:p w:rsidR="00587EDF" w:rsidRDefault="00587EDF" w:rsidP="009A672F">
      <w:pPr>
        <w:jc w:val="both"/>
        <w:rPr>
          <w:rFonts w:ascii="Arial" w:hAnsi="Arial" w:cs="Arial"/>
        </w:rPr>
      </w:pPr>
    </w:p>
    <w:p w:rsidR="00587EDF" w:rsidRPr="009A672F" w:rsidRDefault="00587EDF" w:rsidP="009A672F">
      <w:pPr>
        <w:jc w:val="both"/>
        <w:rPr>
          <w:rFonts w:ascii="Arial" w:hAnsi="Arial" w:cs="Arial"/>
        </w:rPr>
      </w:pPr>
      <w:r w:rsidRPr="00587EDF">
        <w:rPr>
          <w:rFonts w:ascii="Arial" w:hAnsi="Arial" w:cs="Arial"/>
        </w:rPr>
        <w:t xml:space="preserve">Establece el artículo 375-7º, </w:t>
      </w:r>
      <w:proofErr w:type="spellStart"/>
      <w:r w:rsidRPr="00587EDF">
        <w:rPr>
          <w:rFonts w:ascii="Arial" w:hAnsi="Arial" w:cs="Arial"/>
        </w:rPr>
        <w:t>CGP</w:t>
      </w:r>
      <w:proofErr w:type="spellEnd"/>
      <w:r w:rsidRPr="00587EDF">
        <w:rPr>
          <w:rFonts w:ascii="Arial" w:hAnsi="Arial" w:cs="Arial"/>
        </w:rPr>
        <w:t xml:space="preserve"> que en los procesos de pertenencia, debe cumplirse con el emplazamiento de las personas que se crean con derecho sobre el bien, en los términos previstos en ese ordenamiento. También señala que habrá de instalarse una valla con las especificaciones allí detalladas (Información, y dimensiones inclusive para la letra) y acreditado su establecimiento, en el proceso, deberá ordenarse su inclusión en el “registro nacional de procesos de pertenencia”.</w:t>
      </w:r>
      <w:r>
        <w:rPr>
          <w:rFonts w:ascii="Arial" w:hAnsi="Arial" w:cs="Arial"/>
        </w:rPr>
        <w:t xml:space="preserve"> (…)</w:t>
      </w:r>
    </w:p>
    <w:p w:rsidR="009A672F" w:rsidRPr="009A672F" w:rsidRDefault="009A672F" w:rsidP="009A672F">
      <w:pPr>
        <w:jc w:val="both"/>
        <w:rPr>
          <w:rFonts w:ascii="Arial" w:hAnsi="Arial" w:cs="Arial"/>
        </w:rPr>
      </w:pPr>
    </w:p>
    <w:p w:rsidR="00587EDF" w:rsidRPr="00587EDF" w:rsidRDefault="00587EDF" w:rsidP="00587EDF">
      <w:pPr>
        <w:jc w:val="both"/>
        <w:rPr>
          <w:rFonts w:ascii="Arial" w:hAnsi="Arial" w:cs="Arial"/>
        </w:rPr>
      </w:pPr>
      <w:r w:rsidRPr="00587EDF">
        <w:rPr>
          <w:rFonts w:ascii="Arial" w:hAnsi="Arial" w:cs="Arial"/>
        </w:rPr>
        <w:t xml:space="preserve">El parágrafo 1º del precitado artículo, dispuso que respecto al mencionado registro y los nacionales de procesos de pertenencia, bienes vacantes y mostrencos, así como de sucesorios, sería regulado por el CSJ, para: (i) Determinar la forma de darle publicidad; (ii) </w:t>
      </w:r>
      <w:r w:rsidRPr="00587EDF">
        <w:rPr>
          <w:rFonts w:ascii="Arial" w:hAnsi="Arial" w:cs="Arial"/>
          <w:u w:val="single"/>
        </w:rPr>
        <w:t>Garantizar el acceso</w:t>
      </w:r>
      <w:r w:rsidRPr="00587EDF">
        <w:rPr>
          <w:rFonts w:ascii="Arial" w:hAnsi="Arial" w:cs="Arial"/>
        </w:rPr>
        <w:t>; y, (iii) Establecer la base de datos que permita consultar la información</w:t>
      </w:r>
      <w:r>
        <w:rPr>
          <w:rFonts w:ascii="Arial" w:hAnsi="Arial" w:cs="Arial"/>
        </w:rPr>
        <w:t>…</w:t>
      </w:r>
    </w:p>
    <w:p w:rsidR="00587EDF" w:rsidRPr="00587EDF" w:rsidRDefault="00587EDF" w:rsidP="00587EDF">
      <w:pPr>
        <w:jc w:val="both"/>
        <w:rPr>
          <w:rFonts w:ascii="Arial" w:hAnsi="Arial" w:cs="Arial"/>
        </w:rPr>
      </w:pPr>
    </w:p>
    <w:p w:rsidR="009A672F" w:rsidRDefault="00587EDF" w:rsidP="00587EDF">
      <w:pPr>
        <w:jc w:val="both"/>
        <w:rPr>
          <w:rFonts w:ascii="Arial" w:hAnsi="Arial" w:cs="Arial"/>
        </w:rPr>
      </w:pPr>
      <w:r w:rsidRPr="00587EDF">
        <w:rPr>
          <w:rFonts w:ascii="Arial" w:hAnsi="Arial" w:cs="Arial"/>
        </w:rPr>
        <w:t xml:space="preserve">Ahora, en ejercicio de esa función reglamentaria, la citada Corporación emitió el Acuerdo </w:t>
      </w:r>
      <w:proofErr w:type="spellStart"/>
      <w:r w:rsidRPr="00587EDF">
        <w:rPr>
          <w:rFonts w:ascii="Arial" w:hAnsi="Arial" w:cs="Arial"/>
        </w:rPr>
        <w:t>PSAA14</w:t>
      </w:r>
      <w:proofErr w:type="spellEnd"/>
      <w:r w:rsidRPr="00587EDF">
        <w:rPr>
          <w:rFonts w:ascii="Arial" w:hAnsi="Arial" w:cs="Arial"/>
        </w:rPr>
        <w:t>-10118 en el cual precisó que la inclusión de la información, en cada registro, correspondía al JUZGADO DE CONOCIMIENTO, previa orden del juez (Artículos 1º y 2º) y amplió esa disposición en lo tocante al “registro nacional de personas emplazadas” en el artículo 5º</w:t>
      </w:r>
      <w:r>
        <w:rPr>
          <w:rFonts w:ascii="Arial" w:hAnsi="Arial" w:cs="Arial"/>
        </w:rPr>
        <w:t xml:space="preserve">… </w:t>
      </w:r>
      <w:r w:rsidRPr="00587EDF">
        <w:rPr>
          <w:rFonts w:ascii="Arial" w:hAnsi="Arial" w:cs="Arial"/>
        </w:rPr>
        <w:t>Este sistema debe permitir la consulta de la información registrada, por lo menos, durante un (1) año contado desde la publicación.</w:t>
      </w:r>
      <w:r>
        <w:rPr>
          <w:rFonts w:ascii="Arial" w:hAnsi="Arial" w:cs="Arial"/>
        </w:rPr>
        <w:t xml:space="preserve"> (…)</w:t>
      </w:r>
    </w:p>
    <w:p w:rsidR="00587EDF" w:rsidRDefault="00587EDF" w:rsidP="00587EDF">
      <w:pPr>
        <w:jc w:val="both"/>
        <w:rPr>
          <w:rFonts w:ascii="Arial" w:hAnsi="Arial" w:cs="Arial"/>
        </w:rPr>
      </w:pPr>
    </w:p>
    <w:p w:rsidR="00587EDF" w:rsidRDefault="0022401A" w:rsidP="00587EDF">
      <w:pPr>
        <w:jc w:val="both"/>
        <w:rPr>
          <w:rFonts w:ascii="Arial" w:hAnsi="Arial" w:cs="Arial"/>
        </w:rPr>
      </w:pPr>
      <w:r>
        <w:rPr>
          <w:rFonts w:ascii="Arial" w:hAnsi="Arial" w:cs="Arial"/>
        </w:rPr>
        <w:t xml:space="preserve">… </w:t>
      </w:r>
      <w:r w:rsidRPr="0022401A">
        <w:rPr>
          <w:rFonts w:ascii="Arial" w:hAnsi="Arial" w:cs="Arial"/>
        </w:rPr>
        <w:t>revisado el registro nacional de emplazamientos de la Rama Judicial (Folio 59, ib.), se encontró que el proceso está registrado, pero sin ser consultable, y, por ende, no está debidamente publicitado, es inaccesible. Esto ocurre porque la información es privada y hacerla pública, es facultad restringida al usuario, que es cada despacho, conforme al “manual para uso del sistema de gestión de procesos judiciales”  expedido por el CSJ.</w:t>
      </w:r>
    </w:p>
    <w:p w:rsidR="00587EDF" w:rsidRPr="009A672F" w:rsidRDefault="00587EDF" w:rsidP="00587EDF">
      <w:pPr>
        <w:jc w:val="both"/>
        <w:rPr>
          <w:rFonts w:ascii="Arial" w:hAnsi="Arial" w:cs="Arial"/>
        </w:rPr>
      </w:pPr>
    </w:p>
    <w:p w:rsidR="009A672F" w:rsidRPr="009A672F" w:rsidRDefault="009A672F" w:rsidP="009A672F">
      <w:pPr>
        <w:jc w:val="both"/>
        <w:rPr>
          <w:rFonts w:ascii="Arial" w:hAnsi="Arial" w:cs="Arial"/>
        </w:rPr>
      </w:pPr>
    </w:p>
    <w:p w:rsidR="009A672F" w:rsidRPr="009A672F" w:rsidRDefault="009A672F" w:rsidP="009A672F">
      <w:pPr>
        <w:jc w:val="both"/>
        <w:rPr>
          <w:rFonts w:ascii="Arial" w:hAnsi="Arial" w:cs="Arial"/>
        </w:rPr>
      </w:pPr>
    </w:p>
    <w:p w:rsidR="008B7145" w:rsidRPr="009A672F" w:rsidRDefault="00CD2257" w:rsidP="008B7145">
      <w:pPr>
        <w:pStyle w:val="Sinespaciado"/>
        <w:spacing w:line="360" w:lineRule="auto"/>
        <w:jc w:val="center"/>
        <w:rPr>
          <w:rFonts w:ascii="Georgia" w:hAnsi="Georgia" w:cs="Arial"/>
          <w:w w:val="140"/>
          <w:sz w:val="14"/>
          <w:szCs w:val="14"/>
        </w:rPr>
      </w:pPr>
      <w:r w:rsidRPr="009A672F">
        <w:rPr>
          <w:rFonts w:ascii="Georgia" w:hAnsi="Georgia"/>
          <w:noProof/>
        </w:rPr>
        <w:drawing>
          <wp:anchor distT="0" distB="0" distL="114300" distR="114300" simplePos="0" relativeHeight="251658240" behindDoc="0" locked="0" layoutInCell="1" allowOverlap="1" wp14:anchorId="7973FF5E" wp14:editId="7218A079">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45" w:rsidRPr="009A672F" w:rsidRDefault="008B7145" w:rsidP="008B7145">
      <w:pPr>
        <w:pStyle w:val="Sinespaciado"/>
        <w:spacing w:line="360" w:lineRule="auto"/>
        <w:jc w:val="center"/>
        <w:rPr>
          <w:rFonts w:ascii="Georgia" w:hAnsi="Georgia" w:cs="Arial"/>
          <w:w w:val="140"/>
          <w:sz w:val="14"/>
          <w:szCs w:val="14"/>
        </w:rPr>
      </w:pPr>
    </w:p>
    <w:p w:rsidR="008B7145" w:rsidRPr="009A672F" w:rsidRDefault="008B7145" w:rsidP="008B7145">
      <w:pPr>
        <w:pStyle w:val="Sinespaciado"/>
        <w:spacing w:line="360" w:lineRule="auto"/>
        <w:jc w:val="center"/>
        <w:rPr>
          <w:rFonts w:ascii="Georgia" w:hAnsi="Georgia" w:cs="Arial"/>
          <w:w w:val="140"/>
          <w:sz w:val="14"/>
          <w:szCs w:val="14"/>
        </w:rPr>
      </w:pPr>
      <w:r w:rsidRPr="009A672F">
        <w:rPr>
          <w:rFonts w:ascii="Georgia" w:hAnsi="Georgia" w:cs="Arial"/>
          <w:w w:val="140"/>
          <w:sz w:val="14"/>
          <w:szCs w:val="14"/>
        </w:rPr>
        <w:t>REPUBLICA DE COLOMBIA</w:t>
      </w:r>
    </w:p>
    <w:p w:rsidR="008B7145" w:rsidRPr="009A672F" w:rsidRDefault="008B7145" w:rsidP="008B7145">
      <w:pPr>
        <w:pStyle w:val="Sinespaciado"/>
        <w:tabs>
          <w:tab w:val="center" w:pos="4987"/>
          <w:tab w:val="left" w:pos="8449"/>
        </w:tabs>
        <w:spacing w:line="360" w:lineRule="auto"/>
        <w:jc w:val="center"/>
        <w:rPr>
          <w:rFonts w:ascii="Georgia" w:hAnsi="Georgia" w:cs="Arial"/>
          <w:w w:val="140"/>
        </w:rPr>
      </w:pPr>
      <w:r w:rsidRPr="009A672F">
        <w:rPr>
          <w:rFonts w:ascii="Georgia" w:hAnsi="Georgia" w:cs="Arial"/>
          <w:w w:val="140"/>
          <w:sz w:val="14"/>
          <w:szCs w:val="14"/>
        </w:rPr>
        <w:t>RAMA JUDICIAL DEL PODER PÚBLICO</w:t>
      </w:r>
    </w:p>
    <w:p w:rsidR="008B7145" w:rsidRPr="009A672F" w:rsidRDefault="008B7145" w:rsidP="008B7145">
      <w:pPr>
        <w:pStyle w:val="Sinespaciado"/>
        <w:spacing w:line="360" w:lineRule="auto"/>
        <w:jc w:val="center"/>
        <w:rPr>
          <w:rFonts w:ascii="Georgia" w:hAnsi="Georgia" w:cs="Arial"/>
          <w:w w:val="140"/>
          <w:sz w:val="16"/>
          <w:szCs w:val="16"/>
        </w:rPr>
      </w:pPr>
      <w:r w:rsidRPr="009A672F">
        <w:rPr>
          <w:rFonts w:ascii="Georgia" w:hAnsi="Georgia" w:cs="Arial"/>
          <w:w w:val="140"/>
          <w:sz w:val="18"/>
          <w:szCs w:val="18"/>
        </w:rPr>
        <w:t>T</w:t>
      </w:r>
      <w:r w:rsidRPr="009A672F">
        <w:rPr>
          <w:rFonts w:ascii="Georgia" w:hAnsi="Georgia" w:cs="Arial"/>
          <w:w w:val="140"/>
          <w:sz w:val="16"/>
          <w:szCs w:val="16"/>
        </w:rPr>
        <w:t>RIBUNAL</w:t>
      </w:r>
      <w:r w:rsidRPr="009A672F">
        <w:rPr>
          <w:rFonts w:ascii="Georgia" w:hAnsi="Georgia" w:cs="Arial"/>
          <w:w w:val="140"/>
          <w:sz w:val="18"/>
          <w:szCs w:val="18"/>
        </w:rPr>
        <w:t xml:space="preserve"> S</w:t>
      </w:r>
      <w:r w:rsidRPr="009A672F">
        <w:rPr>
          <w:rFonts w:ascii="Georgia" w:hAnsi="Georgia" w:cs="Arial"/>
          <w:w w:val="140"/>
          <w:sz w:val="16"/>
          <w:szCs w:val="16"/>
        </w:rPr>
        <w:t xml:space="preserve">UPERIOR DEL </w:t>
      </w:r>
      <w:r w:rsidRPr="009A672F">
        <w:rPr>
          <w:rFonts w:ascii="Georgia" w:hAnsi="Georgia" w:cs="Arial"/>
          <w:w w:val="140"/>
          <w:sz w:val="18"/>
          <w:szCs w:val="18"/>
        </w:rPr>
        <w:t>D</w:t>
      </w:r>
      <w:r w:rsidRPr="009A672F">
        <w:rPr>
          <w:rFonts w:ascii="Georgia" w:hAnsi="Georgia" w:cs="Arial"/>
          <w:w w:val="140"/>
          <w:sz w:val="16"/>
          <w:szCs w:val="16"/>
        </w:rPr>
        <w:t>ISTRITO</w:t>
      </w:r>
      <w:r w:rsidRPr="009A672F">
        <w:rPr>
          <w:rFonts w:ascii="Georgia" w:hAnsi="Georgia" w:cs="Arial"/>
          <w:w w:val="140"/>
          <w:sz w:val="18"/>
          <w:szCs w:val="18"/>
        </w:rPr>
        <w:t xml:space="preserve"> J</w:t>
      </w:r>
      <w:r w:rsidRPr="009A672F">
        <w:rPr>
          <w:rFonts w:ascii="Georgia" w:hAnsi="Georgia" w:cs="Arial"/>
          <w:w w:val="140"/>
          <w:sz w:val="16"/>
          <w:szCs w:val="16"/>
        </w:rPr>
        <w:t xml:space="preserve">UDICIAL </w:t>
      </w:r>
    </w:p>
    <w:p w:rsidR="001E18FB" w:rsidRPr="009A672F" w:rsidRDefault="001E18FB" w:rsidP="001E18FB">
      <w:pPr>
        <w:pStyle w:val="Sinespaciado"/>
        <w:spacing w:line="360" w:lineRule="auto"/>
        <w:jc w:val="center"/>
        <w:rPr>
          <w:rFonts w:ascii="Georgia" w:hAnsi="Georgia" w:cs="Arial"/>
          <w:w w:val="140"/>
          <w:sz w:val="16"/>
          <w:szCs w:val="16"/>
        </w:rPr>
      </w:pPr>
      <w:r w:rsidRPr="009A672F">
        <w:rPr>
          <w:rFonts w:ascii="Georgia" w:hAnsi="Georgia" w:cs="Arial"/>
          <w:w w:val="140"/>
          <w:sz w:val="18"/>
          <w:szCs w:val="16"/>
        </w:rPr>
        <w:t>S</w:t>
      </w:r>
      <w:r w:rsidRPr="009A672F">
        <w:rPr>
          <w:rFonts w:ascii="Georgia" w:hAnsi="Georgia" w:cs="Arial"/>
          <w:w w:val="140"/>
          <w:sz w:val="16"/>
          <w:szCs w:val="14"/>
        </w:rPr>
        <w:t xml:space="preserve">ALA </w:t>
      </w:r>
      <w:r w:rsidRPr="009A672F">
        <w:rPr>
          <w:rFonts w:ascii="Georgia" w:hAnsi="Georgia" w:cs="Arial"/>
          <w:w w:val="140"/>
          <w:sz w:val="18"/>
          <w:szCs w:val="16"/>
        </w:rPr>
        <w:t>U</w:t>
      </w:r>
      <w:r w:rsidRPr="009A672F">
        <w:rPr>
          <w:rFonts w:ascii="Georgia" w:hAnsi="Georgia" w:cs="Arial"/>
          <w:w w:val="140"/>
          <w:sz w:val="16"/>
          <w:szCs w:val="16"/>
        </w:rPr>
        <w:t xml:space="preserve">NITARIA </w:t>
      </w:r>
      <w:r w:rsidRPr="009A672F">
        <w:rPr>
          <w:rFonts w:ascii="Georgia" w:hAnsi="Georgia" w:cs="Arial"/>
          <w:w w:val="140"/>
          <w:sz w:val="18"/>
          <w:szCs w:val="16"/>
        </w:rPr>
        <w:t>C</w:t>
      </w:r>
      <w:r w:rsidRPr="009A672F">
        <w:rPr>
          <w:rFonts w:ascii="Georgia" w:hAnsi="Georgia" w:cs="Arial"/>
          <w:w w:val="140"/>
          <w:sz w:val="16"/>
          <w:szCs w:val="16"/>
        </w:rPr>
        <w:t>IVIL</w:t>
      </w:r>
      <w:r w:rsidRPr="009A672F">
        <w:rPr>
          <w:rFonts w:ascii="Georgia" w:hAnsi="Georgia" w:cs="Arial"/>
          <w:w w:val="140"/>
          <w:sz w:val="14"/>
          <w:szCs w:val="14"/>
        </w:rPr>
        <w:t xml:space="preserve">– </w:t>
      </w:r>
      <w:r w:rsidRPr="009A672F">
        <w:rPr>
          <w:rFonts w:ascii="Georgia" w:hAnsi="Georgia" w:cs="Arial"/>
          <w:w w:val="140"/>
          <w:sz w:val="18"/>
          <w:szCs w:val="16"/>
        </w:rPr>
        <w:t>F</w:t>
      </w:r>
      <w:r w:rsidRPr="009A672F">
        <w:rPr>
          <w:rFonts w:ascii="Georgia" w:hAnsi="Georgia" w:cs="Arial"/>
          <w:w w:val="140"/>
          <w:sz w:val="16"/>
          <w:szCs w:val="16"/>
        </w:rPr>
        <w:t>AMILIA –</w:t>
      </w:r>
      <w:r w:rsidRPr="009A672F">
        <w:rPr>
          <w:rFonts w:ascii="Georgia" w:hAnsi="Georgia" w:cs="Arial"/>
          <w:w w:val="140"/>
          <w:sz w:val="18"/>
          <w:szCs w:val="16"/>
        </w:rPr>
        <w:t>D</w:t>
      </w:r>
      <w:r w:rsidRPr="009A672F">
        <w:rPr>
          <w:rFonts w:ascii="Georgia" w:hAnsi="Georgia" w:cs="Arial"/>
          <w:w w:val="140"/>
          <w:sz w:val="16"/>
          <w:szCs w:val="16"/>
        </w:rPr>
        <w:t xml:space="preserve">ISTRITO DE </w:t>
      </w:r>
      <w:r w:rsidRPr="009A672F">
        <w:rPr>
          <w:rFonts w:ascii="Georgia" w:hAnsi="Georgia" w:cs="Arial"/>
          <w:w w:val="140"/>
          <w:sz w:val="18"/>
          <w:szCs w:val="16"/>
        </w:rPr>
        <w:t>P</w:t>
      </w:r>
      <w:r w:rsidRPr="009A672F">
        <w:rPr>
          <w:rFonts w:ascii="Georgia" w:hAnsi="Georgia" w:cs="Arial"/>
          <w:w w:val="140"/>
          <w:sz w:val="16"/>
          <w:szCs w:val="16"/>
        </w:rPr>
        <w:t>EREIRA</w:t>
      </w:r>
    </w:p>
    <w:p w:rsidR="008B7145" w:rsidRPr="009A672F" w:rsidRDefault="008B7145" w:rsidP="008B7145">
      <w:pPr>
        <w:pStyle w:val="Sinespaciado"/>
        <w:spacing w:line="360" w:lineRule="auto"/>
        <w:jc w:val="center"/>
        <w:rPr>
          <w:rFonts w:ascii="Georgia" w:hAnsi="Georgia" w:cs="Arial"/>
          <w:w w:val="140"/>
          <w:sz w:val="16"/>
          <w:szCs w:val="16"/>
        </w:rPr>
      </w:pPr>
      <w:r w:rsidRPr="009A672F">
        <w:rPr>
          <w:rFonts w:ascii="Georgia" w:hAnsi="Georgia" w:cs="Arial"/>
          <w:w w:val="140"/>
          <w:sz w:val="18"/>
          <w:szCs w:val="18"/>
        </w:rPr>
        <w:t>D</w:t>
      </w:r>
      <w:r w:rsidRPr="009A672F">
        <w:rPr>
          <w:rFonts w:ascii="Georgia" w:hAnsi="Georgia" w:cs="Arial"/>
          <w:w w:val="140"/>
          <w:sz w:val="16"/>
          <w:szCs w:val="16"/>
        </w:rPr>
        <w:t xml:space="preserve">EPARTAMENTO </w:t>
      </w:r>
      <w:r w:rsidRPr="009A672F">
        <w:rPr>
          <w:rFonts w:ascii="Georgia" w:hAnsi="Georgia" w:cs="Arial"/>
          <w:w w:val="140"/>
          <w:sz w:val="18"/>
          <w:szCs w:val="18"/>
        </w:rPr>
        <w:t>D</w:t>
      </w:r>
      <w:r w:rsidRPr="009A672F">
        <w:rPr>
          <w:rFonts w:ascii="Georgia" w:hAnsi="Georgia" w:cs="Arial"/>
          <w:w w:val="140"/>
          <w:sz w:val="16"/>
          <w:szCs w:val="16"/>
        </w:rPr>
        <w:t xml:space="preserve">EL </w:t>
      </w:r>
      <w:r w:rsidRPr="009A672F">
        <w:rPr>
          <w:rFonts w:ascii="Georgia" w:hAnsi="Georgia" w:cs="Arial"/>
          <w:w w:val="140"/>
          <w:sz w:val="18"/>
          <w:szCs w:val="18"/>
        </w:rPr>
        <w:t>R</w:t>
      </w:r>
      <w:r w:rsidRPr="009A672F">
        <w:rPr>
          <w:rFonts w:ascii="Georgia" w:hAnsi="Georgia" w:cs="Arial"/>
          <w:w w:val="140"/>
          <w:sz w:val="16"/>
          <w:szCs w:val="16"/>
        </w:rPr>
        <w:t>ISARALDA</w:t>
      </w:r>
    </w:p>
    <w:p w:rsidR="00045CE3" w:rsidRPr="009A672F" w:rsidRDefault="00045CE3" w:rsidP="00045CE3">
      <w:pPr>
        <w:spacing w:line="360" w:lineRule="auto"/>
        <w:jc w:val="center"/>
        <w:rPr>
          <w:rFonts w:ascii="Georgia" w:hAnsi="Georgia" w:cs="Arial"/>
          <w:b/>
          <w:bCs/>
          <w:sz w:val="18"/>
          <w:szCs w:val="22"/>
        </w:rPr>
      </w:pPr>
    </w:p>
    <w:p w:rsidR="00045CE3" w:rsidRPr="009A672F" w:rsidRDefault="00045CE3" w:rsidP="007326D4">
      <w:pPr>
        <w:pBdr>
          <w:bottom w:val="double" w:sz="6" w:space="1" w:color="auto"/>
        </w:pBdr>
        <w:spacing w:line="360" w:lineRule="auto"/>
        <w:rPr>
          <w:rFonts w:ascii="Georgia" w:hAnsi="Georgia" w:cs="Arial"/>
          <w:b/>
          <w:bCs/>
          <w:sz w:val="8"/>
          <w:szCs w:val="24"/>
        </w:rPr>
      </w:pPr>
    </w:p>
    <w:p w:rsidR="00045CE3" w:rsidRPr="009A672F" w:rsidRDefault="00045CE3" w:rsidP="00D1698E">
      <w:pPr>
        <w:spacing w:line="360" w:lineRule="auto"/>
        <w:jc w:val="center"/>
        <w:rPr>
          <w:rFonts w:ascii="Georgia" w:hAnsi="Georgia" w:cs="Arial"/>
          <w:b/>
          <w:bCs/>
          <w:sz w:val="14"/>
          <w:szCs w:val="26"/>
        </w:rPr>
      </w:pPr>
    </w:p>
    <w:p w:rsidR="008B7145" w:rsidRPr="009A672F" w:rsidRDefault="007B017E" w:rsidP="0022401A">
      <w:pPr>
        <w:spacing w:line="300" w:lineRule="auto"/>
        <w:jc w:val="center"/>
        <w:rPr>
          <w:rFonts w:ascii="Georgia" w:hAnsi="Georgia" w:cs="Arial"/>
          <w:smallCaps/>
          <w:sz w:val="28"/>
          <w:szCs w:val="24"/>
        </w:rPr>
      </w:pPr>
      <w:r w:rsidRPr="009A672F">
        <w:rPr>
          <w:rFonts w:ascii="Georgia" w:hAnsi="Georgia" w:cs="Arial"/>
          <w:smallCaps/>
          <w:sz w:val="28"/>
          <w:szCs w:val="24"/>
        </w:rPr>
        <w:t xml:space="preserve">Doce </w:t>
      </w:r>
      <w:r w:rsidR="008B7145" w:rsidRPr="009A672F">
        <w:rPr>
          <w:rFonts w:ascii="Georgia" w:hAnsi="Georgia" w:cs="Arial"/>
          <w:smallCaps/>
          <w:sz w:val="28"/>
          <w:szCs w:val="24"/>
        </w:rPr>
        <w:t>(</w:t>
      </w:r>
      <w:r w:rsidRPr="009A672F">
        <w:rPr>
          <w:rFonts w:ascii="Georgia" w:hAnsi="Georgia" w:cs="Arial"/>
          <w:smallCaps/>
          <w:sz w:val="28"/>
          <w:szCs w:val="24"/>
        </w:rPr>
        <w:t>12</w:t>
      </w:r>
      <w:r w:rsidR="008B7145" w:rsidRPr="009A672F">
        <w:rPr>
          <w:rFonts w:ascii="Georgia" w:hAnsi="Georgia" w:cs="Arial"/>
          <w:smallCaps/>
          <w:sz w:val="28"/>
          <w:szCs w:val="24"/>
        </w:rPr>
        <w:t>) de</w:t>
      </w:r>
      <w:r w:rsidR="004561E8" w:rsidRPr="009A672F">
        <w:rPr>
          <w:rFonts w:ascii="Georgia" w:hAnsi="Georgia" w:cs="Arial"/>
          <w:smallCaps/>
          <w:sz w:val="28"/>
          <w:szCs w:val="24"/>
        </w:rPr>
        <w:t xml:space="preserve"> </w:t>
      </w:r>
      <w:r w:rsidR="006C37A3" w:rsidRPr="009A672F">
        <w:rPr>
          <w:rFonts w:ascii="Georgia" w:hAnsi="Georgia" w:cs="Arial"/>
          <w:smallCaps/>
          <w:sz w:val="28"/>
          <w:szCs w:val="24"/>
        </w:rPr>
        <w:t>febrero</w:t>
      </w:r>
      <w:r w:rsidR="00D872FA" w:rsidRPr="009A672F">
        <w:rPr>
          <w:rFonts w:ascii="Georgia" w:hAnsi="Georgia" w:cs="Arial"/>
          <w:smallCaps/>
          <w:sz w:val="28"/>
          <w:szCs w:val="24"/>
        </w:rPr>
        <w:t xml:space="preserve"> </w:t>
      </w:r>
      <w:r w:rsidR="008B7145" w:rsidRPr="009A672F">
        <w:rPr>
          <w:rFonts w:ascii="Georgia" w:hAnsi="Georgia" w:cs="Arial"/>
          <w:smallCaps/>
          <w:sz w:val="28"/>
          <w:szCs w:val="24"/>
        </w:rPr>
        <w:t xml:space="preserve">de dos mil </w:t>
      </w:r>
      <w:r w:rsidR="006C37A3" w:rsidRPr="009A672F">
        <w:rPr>
          <w:rFonts w:ascii="Georgia" w:hAnsi="Georgia" w:cs="Arial"/>
          <w:smallCaps/>
          <w:sz w:val="28"/>
          <w:szCs w:val="24"/>
        </w:rPr>
        <w:t>veinte</w:t>
      </w:r>
      <w:r w:rsidR="004561E8" w:rsidRPr="009A672F">
        <w:rPr>
          <w:rFonts w:ascii="Georgia" w:hAnsi="Georgia" w:cs="Arial"/>
          <w:smallCaps/>
          <w:sz w:val="28"/>
          <w:szCs w:val="24"/>
        </w:rPr>
        <w:t xml:space="preserve"> </w:t>
      </w:r>
      <w:r w:rsidR="008B7145" w:rsidRPr="009A672F">
        <w:rPr>
          <w:rFonts w:ascii="Georgia" w:hAnsi="Georgia" w:cs="Arial"/>
          <w:smallCaps/>
          <w:sz w:val="28"/>
          <w:szCs w:val="24"/>
        </w:rPr>
        <w:t>(20</w:t>
      </w:r>
      <w:r w:rsidR="006C37A3" w:rsidRPr="009A672F">
        <w:rPr>
          <w:rFonts w:ascii="Georgia" w:hAnsi="Georgia" w:cs="Arial"/>
          <w:smallCaps/>
          <w:sz w:val="28"/>
          <w:szCs w:val="24"/>
        </w:rPr>
        <w:t>20</w:t>
      </w:r>
      <w:r w:rsidR="008B7145" w:rsidRPr="009A672F">
        <w:rPr>
          <w:rFonts w:ascii="Georgia" w:hAnsi="Georgia" w:cs="Arial"/>
          <w:smallCaps/>
          <w:sz w:val="28"/>
          <w:szCs w:val="24"/>
        </w:rPr>
        <w:t>).</w:t>
      </w:r>
    </w:p>
    <w:p w:rsidR="00AC7745" w:rsidRPr="009A672F" w:rsidRDefault="00AC7745" w:rsidP="0022401A">
      <w:pPr>
        <w:pStyle w:val="Ttulo"/>
        <w:spacing w:line="300" w:lineRule="auto"/>
        <w:rPr>
          <w:rFonts w:ascii="Georgia" w:hAnsi="Georgia" w:cs="Arial"/>
          <w:b w:val="0"/>
          <w:i w:val="0"/>
          <w:spacing w:val="-3"/>
          <w:sz w:val="20"/>
          <w:szCs w:val="22"/>
        </w:rPr>
      </w:pPr>
    </w:p>
    <w:p w:rsidR="008872A2" w:rsidRPr="009A672F" w:rsidRDefault="00350C7A" w:rsidP="0022401A">
      <w:pPr>
        <w:pStyle w:val="Ttulo"/>
        <w:numPr>
          <w:ilvl w:val="0"/>
          <w:numId w:val="1"/>
        </w:numPr>
        <w:spacing w:line="300" w:lineRule="auto"/>
        <w:jc w:val="left"/>
        <w:rPr>
          <w:rFonts w:ascii="Georgia" w:hAnsi="Georgia" w:cs="Arial"/>
          <w:b w:val="0"/>
          <w:i w:val="0"/>
          <w:smallCaps/>
          <w:spacing w:val="-3"/>
          <w:sz w:val="26"/>
          <w:szCs w:val="24"/>
        </w:rPr>
      </w:pPr>
      <w:r w:rsidRPr="009A672F">
        <w:rPr>
          <w:rFonts w:ascii="Georgia" w:hAnsi="Georgia" w:cs="Arial"/>
          <w:b w:val="0"/>
          <w:i w:val="0"/>
          <w:smallCaps/>
          <w:sz w:val="26"/>
          <w:szCs w:val="24"/>
        </w:rPr>
        <w:t>el asunto por decidir</w:t>
      </w:r>
    </w:p>
    <w:p w:rsidR="008872A2" w:rsidRPr="009A672F" w:rsidRDefault="008872A2" w:rsidP="0022401A">
      <w:pPr>
        <w:pStyle w:val="Ttulo"/>
        <w:spacing w:line="300" w:lineRule="auto"/>
        <w:jc w:val="left"/>
        <w:rPr>
          <w:rFonts w:ascii="Georgia" w:hAnsi="Georgia" w:cs="Arial"/>
          <w:b w:val="0"/>
          <w:i w:val="0"/>
          <w:spacing w:val="-3"/>
          <w:szCs w:val="24"/>
        </w:rPr>
      </w:pPr>
    </w:p>
    <w:p w:rsidR="006C37A3" w:rsidRPr="009A672F" w:rsidRDefault="006C37A3" w:rsidP="0022401A">
      <w:pPr>
        <w:spacing w:line="300" w:lineRule="auto"/>
        <w:jc w:val="both"/>
        <w:rPr>
          <w:rFonts w:ascii="Georgia" w:hAnsi="Georgia" w:cs="Arial"/>
          <w:spacing w:val="-3"/>
          <w:sz w:val="24"/>
          <w:szCs w:val="24"/>
        </w:rPr>
      </w:pPr>
      <w:r w:rsidRPr="009A672F">
        <w:rPr>
          <w:rFonts w:ascii="Georgia" w:hAnsi="Georgia" w:cs="Arial"/>
          <w:spacing w:val="-3"/>
          <w:sz w:val="24"/>
          <w:szCs w:val="24"/>
        </w:rPr>
        <w:lastRenderedPageBreak/>
        <w:t>Sería del caso proveer de fondo, sino fuera porque se aprecia una causal de invalidación procesal, que amerita pronunciamiento, en el curso del proceso de la referencia, al tenor de las consideraciones que siguen.</w:t>
      </w:r>
    </w:p>
    <w:p w:rsidR="00AC7745" w:rsidRPr="009A672F" w:rsidRDefault="00AC7745" w:rsidP="0022401A">
      <w:pPr>
        <w:spacing w:line="300" w:lineRule="auto"/>
        <w:jc w:val="both"/>
        <w:rPr>
          <w:rFonts w:ascii="Georgia" w:hAnsi="Georgia" w:cs="Arial"/>
          <w:sz w:val="24"/>
          <w:szCs w:val="22"/>
        </w:rPr>
      </w:pPr>
    </w:p>
    <w:p w:rsidR="008872A2" w:rsidRPr="009A672F" w:rsidRDefault="00350C7A" w:rsidP="0022401A">
      <w:pPr>
        <w:numPr>
          <w:ilvl w:val="0"/>
          <w:numId w:val="1"/>
        </w:numPr>
        <w:spacing w:line="300" w:lineRule="auto"/>
        <w:jc w:val="both"/>
        <w:rPr>
          <w:rFonts w:ascii="Georgia" w:hAnsi="Georgia" w:cs="Arial"/>
          <w:smallCaps/>
          <w:sz w:val="26"/>
          <w:szCs w:val="24"/>
        </w:rPr>
      </w:pPr>
      <w:r w:rsidRPr="009A672F">
        <w:rPr>
          <w:rFonts w:ascii="Georgia" w:hAnsi="Georgia" w:cs="Arial"/>
          <w:smallCaps/>
          <w:sz w:val="26"/>
          <w:szCs w:val="24"/>
        </w:rPr>
        <w:t>la síntesis de la crónica procesal</w:t>
      </w:r>
    </w:p>
    <w:p w:rsidR="00607310" w:rsidRPr="009A672F" w:rsidRDefault="00607310" w:rsidP="0022401A">
      <w:pPr>
        <w:spacing w:line="300" w:lineRule="auto"/>
        <w:jc w:val="both"/>
        <w:rPr>
          <w:rFonts w:ascii="Georgia" w:hAnsi="Georgia" w:cs="Arial"/>
          <w:sz w:val="24"/>
          <w:szCs w:val="24"/>
        </w:rPr>
      </w:pPr>
    </w:p>
    <w:p w:rsidR="003666AA" w:rsidRPr="009A672F" w:rsidRDefault="006C37A3" w:rsidP="0022401A">
      <w:pPr>
        <w:spacing w:line="300" w:lineRule="auto"/>
        <w:jc w:val="both"/>
        <w:rPr>
          <w:rFonts w:ascii="Georgia" w:hAnsi="Georgia" w:cs="Arial"/>
          <w:sz w:val="24"/>
          <w:szCs w:val="24"/>
        </w:rPr>
      </w:pPr>
      <w:r w:rsidRPr="009A672F">
        <w:rPr>
          <w:rFonts w:ascii="Georgia" w:hAnsi="Georgia" w:cs="Arial"/>
          <w:sz w:val="24"/>
          <w:szCs w:val="24"/>
        </w:rPr>
        <w:t xml:space="preserve">El 04-12-2015 se presentó ante el Juzgado </w:t>
      </w:r>
      <w:r w:rsidR="00310A0A" w:rsidRPr="009A672F">
        <w:rPr>
          <w:rFonts w:ascii="Georgia" w:hAnsi="Georgia" w:cs="Arial"/>
          <w:sz w:val="24"/>
          <w:szCs w:val="24"/>
        </w:rPr>
        <w:t xml:space="preserve">Civil del Circuito de </w:t>
      </w:r>
      <w:r w:rsidRPr="009A672F">
        <w:rPr>
          <w:rFonts w:ascii="Georgia" w:hAnsi="Georgia" w:cs="Arial"/>
          <w:sz w:val="24"/>
          <w:szCs w:val="24"/>
        </w:rPr>
        <w:t>Dosquebradas, R., la demanda principal en referencia, siendo admitida el 28-01-2016</w:t>
      </w:r>
      <w:r w:rsidR="002F4DF5" w:rsidRPr="009A672F">
        <w:rPr>
          <w:rFonts w:ascii="Georgia" w:hAnsi="Georgia" w:cs="Arial"/>
          <w:sz w:val="24"/>
          <w:szCs w:val="24"/>
        </w:rPr>
        <w:t>,</w:t>
      </w:r>
      <w:r w:rsidR="000D1C67" w:rsidRPr="009A672F">
        <w:rPr>
          <w:rFonts w:ascii="Georgia" w:hAnsi="Georgia" w:cs="Arial"/>
          <w:sz w:val="24"/>
          <w:szCs w:val="24"/>
        </w:rPr>
        <w:t xml:space="preserve"> </w:t>
      </w:r>
      <w:r w:rsidR="003666AA" w:rsidRPr="009A672F">
        <w:rPr>
          <w:rFonts w:ascii="Georgia" w:hAnsi="Georgia" w:cs="Arial"/>
          <w:sz w:val="24"/>
          <w:szCs w:val="24"/>
        </w:rPr>
        <w:t xml:space="preserve">donde se ordenó </w:t>
      </w:r>
      <w:r w:rsidR="00E3677F" w:rsidRPr="009A672F">
        <w:rPr>
          <w:rFonts w:ascii="Georgia" w:hAnsi="Georgia" w:cs="Arial"/>
          <w:sz w:val="24"/>
          <w:szCs w:val="24"/>
        </w:rPr>
        <w:t>notificar</w:t>
      </w:r>
      <w:r w:rsidR="003666AA" w:rsidRPr="009A672F">
        <w:rPr>
          <w:rFonts w:ascii="Georgia" w:hAnsi="Georgia" w:cs="Arial"/>
          <w:sz w:val="24"/>
          <w:szCs w:val="24"/>
        </w:rPr>
        <w:t xml:space="preserve"> y </w:t>
      </w:r>
      <w:r w:rsidR="00FC78BD" w:rsidRPr="009A672F">
        <w:rPr>
          <w:rFonts w:ascii="Georgia" w:hAnsi="Georgia" w:cs="Arial"/>
          <w:sz w:val="24"/>
          <w:szCs w:val="24"/>
        </w:rPr>
        <w:t>correr traslado</w:t>
      </w:r>
      <w:r w:rsidR="003666AA" w:rsidRPr="009A672F">
        <w:rPr>
          <w:rFonts w:ascii="Georgia" w:hAnsi="Georgia" w:cs="Arial"/>
          <w:sz w:val="24"/>
          <w:szCs w:val="24"/>
        </w:rPr>
        <w:t xml:space="preserve"> (</w:t>
      </w:r>
      <w:r w:rsidR="003666AA" w:rsidRPr="009A672F">
        <w:rPr>
          <w:rFonts w:ascii="Georgia" w:hAnsi="Georgia" w:cs="Arial"/>
          <w:sz w:val="22"/>
          <w:szCs w:val="24"/>
        </w:rPr>
        <w:t xml:space="preserve">Folio 25, cuaderno </w:t>
      </w:r>
      <w:proofErr w:type="spellStart"/>
      <w:r w:rsidR="003666AA" w:rsidRPr="009A672F">
        <w:rPr>
          <w:rFonts w:ascii="Georgia" w:hAnsi="Georgia" w:cs="Arial"/>
          <w:sz w:val="22"/>
          <w:szCs w:val="24"/>
        </w:rPr>
        <w:t>No.1</w:t>
      </w:r>
      <w:proofErr w:type="spellEnd"/>
      <w:r w:rsidR="003666AA" w:rsidRPr="009A672F">
        <w:rPr>
          <w:rFonts w:ascii="Georgia" w:hAnsi="Georgia" w:cs="Arial"/>
          <w:sz w:val="22"/>
          <w:szCs w:val="24"/>
        </w:rPr>
        <w:t>, principal</w:t>
      </w:r>
      <w:r w:rsidR="003666AA" w:rsidRPr="009A672F">
        <w:rPr>
          <w:rFonts w:ascii="Georgia" w:hAnsi="Georgia" w:cs="Arial"/>
          <w:sz w:val="24"/>
          <w:szCs w:val="24"/>
        </w:rPr>
        <w:t>)</w:t>
      </w:r>
      <w:r w:rsidR="00310A0A" w:rsidRPr="009A672F">
        <w:rPr>
          <w:rFonts w:ascii="Georgia" w:hAnsi="Georgia" w:cs="Arial"/>
          <w:sz w:val="24"/>
          <w:szCs w:val="24"/>
        </w:rPr>
        <w:t xml:space="preserve">. </w:t>
      </w:r>
    </w:p>
    <w:p w:rsidR="003666AA" w:rsidRPr="009A672F" w:rsidRDefault="003666AA" w:rsidP="0022401A">
      <w:pPr>
        <w:spacing w:line="300" w:lineRule="auto"/>
        <w:jc w:val="both"/>
        <w:rPr>
          <w:rFonts w:ascii="Georgia" w:hAnsi="Georgia" w:cs="Arial"/>
          <w:sz w:val="24"/>
          <w:szCs w:val="24"/>
        </w:rPr>
      </w:pPr>
    </w:p>
    <w:p w:rsidR="00E3677F" w:rsidRPr="009A672F" w:rsidRDefault="003666AA" w:rsidP="0022401A">
      <w:pPr>
        <w:spacing w:line="300" w:lineRule="auto"/>
        <w:jc w:val="both"/>
        <w:rPr>
          <w:rFonts w:ascii="Georgia" w:hAnsi="Georgia" w:cs="Arial"/>
          <w:sz w:val="24"/>
          <w:szCs w:val="24"/>
        </w:rPr>
      </w:pPr>
      <w:r w:rsidRPr="009A672F">
        <w:rPr>
          <w:rFonts w:ascii="Georgia" w:hAnsi="Georgia" w:cs="Arial"/>
          <w:sz w:val="24"/>
          <w:szCs w:val="24"/>
        </w:rPr>
        <w:t xml:space="preserve">El demandado se tuvo por notificado por aviso  y se citó a audiencia del artículo 372, </w:t>
      </w:r>
      <w:proofErr w:type="spellStart"/>
      <w:r w:rsidRPr="009A672F">
        <w:rPr>
          <w:rFonts w:ascii="Georgia" w:hAnsi="Georgia" w:cs="Arial"/>
          <w:sz w:val="24"/>
          <w:szCs w:val="24"/>
        </w:rPr>
        <w:t>CGP</w:t>
      </w:r>
      <w:proofErr w:type="spellEnd"/>
      <w:r w:rsidR="0086260D" w:rsidRPr="009A672F">
        <w:rPr>
          <w:rFonts w:ascii="Georgia" w:hAnsi="Georgia" w:cs="Arial"/>
          <w:sz w:val="24"/>
          <w:szCs w:val="24"/>
        </w:rPr>
        <w:t>, para el 17-06-2016 (</w:t>
      </w:r>
      <w:r w:rsidR="0086260D" w:rsidRPr="009A672F">
        <w:rPr>
          <w:rFonts w:ascii="Georgia" w:hAnsi="Georgia" w:cs="Arial"/>
          <w:sz w:val="22"/>
          <w:szCs w:val="24"/>
        </w:rPr>
        <w:t xml:space="preserve">Folios 28-34, cuaderno </w:t>
      </w:r>
      <w:proofErr w:type="spellStart"/>
      <w:r w:rsidR="0086260D" w:rsidRPr="009A672F">
        <w:rPr>
          <w:rFonts w:ascii="Georgia" w:hAnsi="Georgia" w:cs="Arial"/>
          <w:sz w:val="22"/>
          <w:szCs w:val="24"/>
        </w:rPr>
        <w:t>No.1</w:t>
      </w:r>
      <w:proofErr w:type="spellEnd"/>
      <w:r w:rsidR="0086260D" w:rsidRPr="009A672F">
        <w:rPr>
          <w:rFonts w:ascii="Georgia" w:hAnsi="Georgia" w:cs="Arial"/>
          <w:sz w:val="22"/>
          <w:szCs w:val="24"/>
        </w:rPr>
        <w:t>, principal</w:t>
      </w:r>
      <w:r w:rsidR="0086260D" w:rsidRPr="009A672F">
        <w:rPr>
          <w:rFonts w:ascii="Georgia" w:hAnsi="Georgia" w:cs="Arial"/>
          <w:sz w:val="24"/>
          <w:szCs w:val="24"/>
        </w:rPr>
        <w:t xml:space="preserve">). El 15-06-2016 se </w:t>
      </w:r>
      <w:r w:rsidR="001C11F9" w:rsidRPr="009A672F">
        <w:rPr>
          <w:rFonts w:ascii="Georgia" w:hAnsi="Georgia" w:cs="Arial"/>
          <w:sz w:val="24"/>
          <w:szCs w:val="24"/>
        </w:rPr>
        <w:t xml:space="preserve">allegó </w:t>
      </w:r>
      <w:r w:rsidR="0086260D" w:rsidRPr="009A672F">
        <w:rPr>
          <w:rFonts w:ascii="Georgia" w:hAnsi="Georgia" w:cs="Arial"/>
          <w:sz w:val="24"/>
          <w:szCs w:val="24"/>
        </w:rPr>
        <w:t>escrito al que se adjuntó la devolución de la notificación personal (</w:t>
      </w:r>
      <w:r w:rsidR="0086260D" w:rsidRPr="009A672F">
        <w:rPr>
          <w:rFonts w:ascii="Georgia" w:hAnsi="Georgia" w:cs="Arial"/>
          <w:sz w:val="22"/>
          <w:szCs w:val="24"/>
        </w:rPr>
        <w:t>Folios 36-41,</w:t>
      </w:r>
      <w:r w:rsidR="0086260D" w:rsidRPr="009A672F">
        <w:rPr>
          <w:rFonts w:ascii="Georgia" w:hAnsi="Georgia" w:cs="Arial"/>
          <w:sz w:val="24"/>
          <w:szCs w:val="24"/>
        </w:rPr>
        <w:t xml:space="preserve"> </w:t>
      </w:r>
      <w:r w:rsidR="0086260D" w:rsidRPr="009A672F">
        <w:rPr>
          <w:rFonts w:ascii="Georgia" w:hAnsi="Georgia" w:cs="Arial"/>
          <w:sz w:val="22"/>
          <w:szCs w:val="24"/>
        </w:rPr>
        <w:t xml:space="preserve">cuaderno </w:t>
      </w:r>
      <w:proofErr w:type="spellStart"/>
      <w:r w:rsidR="0086260D" w:rsidRPr="009A672F">
        <w:rPr>
          <w:rFonts w:ascii="Georgia" w:hAnsi="Georgia" w:cs="Arial"/>
          <w:sz w:val="22"/>
          <w:szCs w:val="24"/>
        </w:rPr>
        <w:t>No.1</w:t>
      </w:r>
      <w:proofErr w:type="spellEnd"/>
      <w:r w:rsidR="0086260D" w:rsidRPr="009A672F">
        <w:rPr>
          <w:rFonts w:ascii="Georgia" w:hAnsi="Georgia" w:cs="Arial"/>
          <w:sz w:val="22"/>
          <w:szCs w:val="24"/>
        </w:rPr>
        <w:t>, principal</w:t>
      </w:r>
      <w:r w:rsidR="0086260D" w:rsidRPr="009A672F">
        <w:rPr>
          <w:rFonts w:ascii="Georgia" w:hAnsi="Georgia" w:cs="Arial"/>
          <w:sz w:val="24"/>
          <w:szCs w:val="24"/>
        </w:rPr>
        <w:t>), no obstante el cual se cumplió esa diligencia y se decretaron las pruebas (</w:t>
      </w:r>
      <w:r w:rsidR="0086260D" w:rsidRPr="009A672F">
        <w:rPr>
          <w:rFonts w:ascii="Georgia" w:hAnsi="Georgia" w:cs="Arial"/>
          <w:sz w:val="22"/>
          <w:szCs w:val="24"/>
        </w:rPr>
        <w:t xml:space="preserve">Disco compacto </w:t>
      </w:r>
      <w:r w:rsidR="0086260D" w:rsidRPr="009A672F">
        <w:rPr>
          <w:rFonts w:ascii="Georgia" w:hAnsi="Georgia" w:cs="Arial"/>
          <w:sz w:val="22"/>
          <w:szCs w:val="24"/>
          <w:u w:val="single"/>
        </w:rPr>
        <w:t>sin acta de audiencia, folio 42, ibídem</w:t>
      </w:r>
      <w:r w:rsidR="0086260D" w:rsidRPr="009A672F">
        <w:rPr>
          <w:rFonts w:ascii="Georgia" w:hAnsi="Georgia" w:cs="Arial"/>
          <w:sz w:val="24"/>
          <w:szCs w:val="24"/>
        </w:rPr>
        <w:t xml:space="preserve">). </w:t>
      </w:r>
      <w:r w:rsidRPr="009A672F">
        <w:rPr>
          <w:rFonts w:ascii="Georgia" w:hAnsi="Georgia" w:cs="Arial"/>
          <w:sz w:val="24"/>
          <w:szCs w:val="24"/>
        </w:rPr>
        <w:t xml:space="preserve"> </w:t>
      </w:r>
    </w:p>
    <w:p w:rsidR="00E3677F" w:rsidRPr="009A672F" w:rsidRDefault="00E3677F" w:rsidP="0022401A">
      <w:pPr>
        <w:spacing w:line="300" w:lineRule="auto"/>
        <w:jc w:val="both"/>
        <w:rPr>
          <w:rFonts w:ascii="Georgia" w:hAnsi="Georgia" w:cs="Arial"/>
          <w:sz w:val="24"/>
          <w:szCs w:val="24"/>
        </w:rPr>
      </w:pPr>
    </w:p>
    <w:p w:rsidR="00B07F83" w:rsidRPr="009A672F" w:rsidRDefault="0086260D" w:rsidP="0022401A">
      <w:pPr>
        <w:spacing w:line="300" w:lineRule="auto"/>
        <w:jc w:val="both"/>
        <w:rPr>
          <w:rFonts w:ascii="Georgia" w:hAnsi="Georgia" w:cs="Arial"/>
          <w:sz w:val="24"/>
          <w:szCs w:val="24"/>
        </w:rPr>
      </w:pPr>
      <w:r w:rsidRPr="009A672F">
        <w:rPr>
          <w:rFonts w:ascii="Georgia" w:hAnsi="Georgia" w:cs="Arial"/>
          <w:sz w:val="24"/>
          <w:szCs w:val="24"/>
        </w:rPr>
        <w:t xml:space="preserve">El 06-10-2016 se hizo inspección judicial al predio y se ordenó la vinculación de la Sociedad Colombiana de Minerales y Carbones Comercializadora Internacional </w:t>
      </w:r>
      <w:proofErr w:type="spellStart"/>
      <w:r w:rsidRPr="009A672F">
        <w:rPr>
          <w:rFonts w:ascii="Georgia" w:hAnsi="Georgia" w:cs="Arial"/>
          <w:sz w:val="24"/>
          <w:szCs w:val="24"/>
        </w:rPr>
        <w:t>SAS</w:t>
      </w:r>
      <w:proofErr w:type="spellEnd"/>
      <w:r w:rsidRPr="009A672F">
        <w:rPr>
          <w:rFonts w:ascii="Georgia" w:hAnsi="Georgia" w:cs="Arial"/>
          <w:sz w:val="24"/>
          <w:szCs w:val="24"/>
        </w:rPr>
        <w:t xml:space="preserve"> (</w:t>
      </w:r>
      <w:r w:rsidRPr="009A672F">
        <w:rPr>
          <w:rFonts w:ascii="Georgia" w:hAnsi="Georgia" w:cs="Arial"/>
          <w:sz w:val="22"/>
          <w:szCs w:val="24"/>
        </w:rPr>
        <w:t xml:space="preserve">Folios 39-40, cuaderno </w:t>
      </w:r>
      <w:proofErr w:type="spellStart"/>
      <w:r w:rsidRPr="009A672F">
        <w:rPr>
          <w:rFonts w:ascii="Georgia" w:hAnsi="Georgia" w:cs="Arial"/>
          <w:sz w:val="22"/>
          <w:szCs w:val="24"/>
        </w:rPr>
        <w:t>No.3</w:t>
      </w:r>
      <w:proofErr w:type="spellEnd"/>
      <w:r w:rsidRPr="009A672F">
        <w:rPr>
          <w:rFonts w:ascii="Georgia" w:hAnsi="Georgia" w:cs="Arial"/>
          <w:sz w:val="24"/>
          <w:szCs w:val="24"/>
        </w:rPr>
        <w:t>)</w:t>
      </w:r>
      <w:r w:rsidR="007B1BDA" w:rsidRPr="009A672F">
        <w:rPr>
          <w:rFonts w:ascii="Georgia" w:hAnsi="Georgia" w:cs="Arial"/>
          <w:sz w:val="24"/>
          <w:szCs w:val="24"/>
        </w:rPr>
        <w:t>, quien contestó la demanda (</w:t>
      </w:r>
      <w:r w:rsidR="007B1BDA" w:rsidRPr="009A672F">
        <w:rPr>
          <w:rFonts w:ascii="Georgia" w:hAnsi="Georgia" w:cs="Arial"/>
          <w:sz w:val="22"/>
          <w:szCs w:val="24"/>
        </w:rPr>
        <w:t>Folios 57-1</w:t>
      </w:r>
      <w:r w:rsidR="00B07F83" w:rsidRPr="009A672F">
        <w:rPr>
          <w:rFonts w:ascii="Georgia" w:hAnsi="Georgia" w:cs="Arial"/>
          <w:sz w:val="22"/>
          <w:szCs w:val="24"/>
        </w:rPr>
        <w:t>78</w:t>
      </w:r>
      <w:r w:rsidR="007B1BDA" w:rsidRPr="009A672F">
        <w:rPr>
          <w:rFonts w:ascii="Georgia" w:hAnsi="Georgia" w:cs="Arial"/>
          <w:sz w:val="22"/>
          <w:szCs w:val="24"/>
        </w:rPr>
        <w:t xml:space="preserve">, cuaderno </w:t>
      </w:r>
      <w:proofErr w:type="spellStart"/>
      <w:r w:rsidR="007B1BDA" w:rsidRPr="009A672F">
        <w:rPr>
          <w:rFonts w:ascii="Georgia" w:hAnsi="Georgia" w:cs="Arial"/>
          <w:sz w:val="22"/>
          <w:szCs w:val="24"/>
        </w:rPr>
        <w:t>No.1</w:t>
      </w:r>
      <w:proofErr w:type="spellEnd"/>
      <w:r w:rsidR="007B1BDA" w:rsidRPr="009A672F">
        <w:rPr>
          <w:rFonts w:ascii="Georgia" w:hAnsi="Georgia" w:cs="Arial"/>
          <w:sz w:val="22"/>
          <w:szCs w:val="24"/>
        </w:rPr>
        <w:t xml:space="preserve"> principal</w:t>
      </w:r>
      <w:r w:rsidR="007B1BDA" w:rsidRPr="009A672F">
        <w:rPr>
          <w:rFonts w:ascii="Georgia" w:hAnsi="Georgia" w:cs="Arial"/>
          <w:sz w:val="24"/>
          <w:szCs w:val="24"/>
        </w:rPr>
        <w:t>)</w:t>
      </w:r>
      <w:r w:rsidR="00B07F83" w:rsidRPr="009A672F">
        <w:rPr>
          <w:rFonts w:ascii="Georgia" w:hAnsi="Georgia" w:cs="Arial"/>
          <w:sz w:val="24"/>
          <w:szCs w:val="24"/>
        </w:rPr>
        <w:t>, pidió nulidad y dictar sentencia anticipada (</w:t>
      </w:r>
      <w:r w:rsidR="00B07F83" w:rsidRPr="009A672F">
        <w:rPr>
          <w:rFonts w:ascii="Georgia" w:hAnsi="Georgia" w:cs="Arial"/>
          <w:sz w:val="22"/>
          <w:szCs w:val="24"/>
        </w:rPr>
        <w:t>Folios 180-184, ídem</w:t>
      </w:r>
      <w:r w:rsidR="00B07F83" w:rsidRPr="009A672F">
        <w:rPr>
          <w:rFonts w:ascii="Georgia" w:hAnsi="Georgia" w:cs="Arial"/>
          <w:sz w:val="24"/>
          <w:szCs w:val="24"/>
        </w:rPr>
        <w:t xml:space="preserve">). Además, </w:t>
      </w:r>
      <w:r w:rsidR="007B1BDA" w:rsidRPr="009A672F">
        <w:rPr>
          <w:rFonts w:ascii="Georgia" w:hAnsi="Georgia" w:cs="Arial"/>
          <w:sz w:val="24"/>
          <w:szCs w:val="24"/>
        </w:rPr>
        <w:t xml:space="preserve">formuló en reconvención, </w:t>
      </w:r>
      <w:r w:rsidR="00B07F83" w:rsidRPr="009A672F">
        <w:rPr>
          <w:rFonts w:ascii="Georgia" w:hAnsi="Georgia" w:cs="Arial"/>
          <w:sz w:val="24"/>
          <w:szCs w:val="24"/>
        </w:rPr>
        <w:t>demanda</w:t>
      </w:r>
      <w:r w:rsidR="007B1BDA" w:rsidRPr="009A672F">
        <w:rPr>
          <w:rFonts w:ascii="Georgia" w:hAnsi="Georgia" w:cs="Arial"/>
          <w:sz w:val="24"/>
          <w:szCs w:val="24"/>
        </w:rPr>
        <w:t xml:space="preserve"> de prescripción adquisitiva de dominio </w:t>
      </w:r>
      <w:r w:rsidR="00B07F83" w:rsidRPr="009A672F">
        <w:rPr>
          <w:rFonts w:ascii="Georgia" w:hAnsi="Georgia" w:cs="Arial"/>
          <w:sz w:val="24"/>
          <w:szCs w:val="24"/>
        </w:rPr>
        <w:t xml:space="preserve">(Folios 1-34, cuaderno </w:t>
      </w:r>
      <w:proofErr w:type="spellStart"/>
      <w:r w:rsidR="00B07F83" w:rsidRPr="009A672F">
        <w:rPr>
          <w:rFonts w:ascii="Georgia" w:hAnsi="Georgia" w:cs="Arial"/>
          <w:sz w:val="24"/>
          <w:szCs w:val="24"/>
        </w:rPr>
        <w:t>No.4</w:t>
      </w:r>
      <w:proofErr w:type="spellEnd"/>
      <w:r w:rsidR="00B07F83" w:rsidRPr="009A672F">
        <w:rPr>
          <w:rFonts w:ascii="Georgia" w:hAnsi="Georgia" w:cs="Arial"/>
          <w:sz w:val="24"/>
          <w:szCs w:val="24"/>
        </w:rPr>
        <w:t>), que fue admitida el 16-04-2017, se ordenó notificar, correr traslado, surtir emplazamiento para las personas indeterminadas, entre otros ordenamientos (</w:t>
      </w:r>
      <w:r w:rsidR="00B07F83" w:rsidRPr="009A672F">
        <w:rPr>
          <w:rFonts w:ascii="Georgia" w:hAnsi="Georgia" w:cs="Arial"/>
          <w:sz w:val="22"/>
          <w:szCs w:val="24"/>
        </w:rPr>
        <w:t xml:space="preserve">Folio 35, cuaderno </w:t>
      </w:r>
      <w:proofErr w:type="spellStart"/>
      <w:r w:rsidR="00B07F83" w:rsidRPr="009A672F">
        <w:rPr>
          <w:rFonts w:ascii="Georgia" w:hAnsi="Georgia" w:cs="Arial"/>
          <w:sz w:val="22"/>
          <w:szCs w:val="24"/>
        </w:rPr>
        <w:t>No.4</w:t>
      </w:r>
      <w:proofErr w:type="spellEnd"/>
      <w:r w:rsidR="00B07F83" w:rsidRPr="009A672F">
        <w:rPr>
          <w:rFonts w:ascii="Georgia" w:hAnsi="Georgia" w:cs="Arial"/>
          <w:sz w:val="24"/>
          <w:szCs w:val="24"/>
        </w:rPr>
        <w:t>)</w:t>
      </w:r>
      <w:r w:rsidRPr="009A672F">
        <w:rPr>
          <w:rFonts w:ascii="Georgia" w:hAnsi="Georgia" w:cs="Arial"/>
          <w:sz w:val="24"/>
          <w:szCs w:val="24"/>
        </w:rPr>
        <w:t xml:space="preserve">. </w:t>
      </w:r>
    </w:p>
    <w:p w:rsidR="00B07F83" w:rsidRPr="009A672F" w:rsidRDefault="00B07F83" w:rsidP="0022401A">
      <w:pPr>
        <w:spacing w:line="300" w:lineRule="auto"/>
        <w:jc w:val="both"/>
        <w:rPr>
          <w:rFonts w:ascii="Georgia" w:hAnsi="Georgia" w:cs="Arial"/>
          <w:sz w:val="24"/>
          <w:szCs w:val="24"/>
        </w:rPr>
      </w:pPr>
    </w:p>
    <w:p w:rsidR="00B07F83" w:rsidRPr="009A672F" w:rsidRDefault="00B07F83" w:rsidP="0022401A">
      <w:pPr>
        <w:spacing w:line="300" w:lineRule="auto"/>
        <w:jc w:val="both"/>
        <w:rPr>
          <w:rFonts w:ascii="Georgia" w:hAnsi="Georgia" w:cs="Arial"/>
          <w:sz w:val="24"/>
          <w:szCs w:val="24"/>
        </w:rPr>
      </w:pPr>
      <w:r w:rsidRPr="009A672F">
        <w:rPr>
          <w:rFonts w:ascii="Georgia" w:hAnsi="Georgia" w:cs="Arial"/>
          <w:sz w:val="24"/>
          <w:szCs w:val="24"/>
        </w:rPr>
        <w:t>La demandante principal contestó (</w:t>
      </w:r>
      <w:r w:rsidRPr="009A672F">
        <w:rPr>
          <w:rFonts w:ascii="Georgia" w:hAnsi="Georgia" w:cs="Arial"/>
          <w:sz w:val="22"/>
          <w:szCs w:val="24"/>
        </w:rPr>
        <w:t xml:space="preserve">Folios 43-48, cuaderno </w:t>
      </w:r>
      <w:proofErr w:type="spellStart"/>
      <w:r w:rsidRPr="009A672F">
        <w:rPr>
          <w:rFonts w:ascii="Georgia" w:hAnsi="Georgia" w:cs="Arial"/>
          <w:sz w:val="22"/>
          <w:szCs w:val="24"/>
        </w:rPr>
        <w:t>No.4</w:t>
      </w:r>
      <w:proofErr w:type="spellEnd"/>
      <w:r w:rsidRPr="009A672F">
        <w:rPr>
          <w:rFonts w:ascii="Georgia" w:hAnsi="Georgia" w:cs="Arial"/>
          <w:sz w:val="24"/>
          <w:szCs w:val="24"/>
        </w:rPr>
        <w:t>) y, enseguida, se aportó la constancia de divulgación en el periódico y de la fijación de la valla (</w:t>
      </w:r>
      <w:r w:rsidRPr="009A672F">
        <w:rPr>
          <w:rFonts w:ascii="Georgia" w:hAnsi="Georgia" w:cs="Arial"/>
          <w:sz w:val="22"/>
          <w:szCs w:val="24"/>
        </w:rPr>
        <w:t>Folios 50-58, ibídem</w:t>
      </w:r>
      <w:r w:rsidRPr="009A672F">
        <w:rPr>
          <w:rFonts w:ascii="Georgia" w:hAnsi="Georgia" w:cs="Arial"/>
          <w:sz w:val="24"/>
          <w:szCs w:val="24"/>
        </w:rPr>
        <w:t>), por lo que se hizo la publicación en el “registro nacional de personas emplazadas para la Rama Judicial” (</w:t>
      </w:r>
      <w:r w:rsidRPr="009A672F">
        <w:rPr>
          <w:rFonts w:ascii="Georgia" w:hAnsi="Georgia" w:cs="Arial"/>
          <w:sz w:val="22"/>
          <w:szCs w:val="24"/>
        </w:rPr>
        <w:t>Folio 59, ibídem</w:t>
      </w:r>
      <w:r w:rsidRPr="009A672F">
        <w:rPr>
          <w:rFonts w:ascii="Georgia" w:hAnsi="Georgia" w:cs="Arial"/>
          <w:sz w:val="24"/>
          <w:szCs w:val="24"/>
        </w:rPr>
        <w:t xml:space="preserve">), y, posteriormente, con auto del 17-01-2018 se nombró curador </w:t>
      </w:r>
      <w:r w:rsidRPr="009A672F">
        <w:rPr>
          <w:rFonts w:ascii="Georgia" w:hAnsi="Georgia" w:cs="Arial"/>
          <w:i/>
          <w:sz w:val="22"/>
          <w:szCs w:val="24"/>
        </w:rPr>
        <w:t xml:space="preserve">ad </w:t>
      </w:r>
      <w:proofErr w:type="spellStart"/>
      <w:r w:rsidRPr="009A672F">
        <w:rPr>
          <w:rFonts w:ascii="Georgia" w:hAnsi="Georgia" w:cs="Arial"/>
          <w:i/>
          <w:sz w:val="22"/>
          <w:szCs w:val="24"/>
        </w:rPr>
        <w:t>litem</w:t>
      </w:r>
      <w:proofErr w:type="spellEnd"/>
      <w:r w:rsidRPr="009A672F">
        <w:rPr>
          <w:rFonts w:ascii="Georgia" w:hAnsi="Georgia" w:cs="Arial"/>
          <w:i/>
          <w:sz w:val="22"/>
          <w:szCs w:val="24"/>
        </w:rPr>
        <w:t xml:space="preserve">  </w:t>
      </w:r>
      <w:r w:rsidRPr="009A672F">
        <w:rPr>
          <w:rFonts w:ascii="Georgia" w:hAnsi="Georgia" w:cs="Arial"/>
          <w:sz w:val="24"/>
          <w:szCs w:val="24"/>
        </w:rPr>
        <w:t>(</w:t>
      </w:r>
      <w:r w:rsidRPr="009A672F">
        <w:rPr>
          <w:rFonts w:ascii="Georgia" w:hAnsi="Georgia" w:cs="Arial"/>
          <w:sz w:val="22"/>
          <w:szCs w:val="24"/>
        </w:rPr>
        <w:t>Folio 69, ib.</w:t>
      </w:r>
      <w:r w:rsidRPr="009A672F">
        <w:rPr>
          <w:rFonts w:ascii="Georgia" w:hAnsi="Georgia" w:cs="Arial"/>
          <w:sz w:val="24"/>
          <w:szCs w:val="24"/>
        </w:rPr>
        <w:t>), que contestó la demanda (</w:t>
      </w:r>
      <w:r w:rsidRPr="009A672F">
        <w:rPr>
          <w:rFonts w:ascii="Georgia" w:hAnsi="Georgia" w:cs="Arial"/>
          <w:sz w:val="22"/>
          <w:szCs w:val="24"/>
        </w:rPr>
        <w:t>Folios 75-77, ib.</w:t>
      </w:r>
      <w:r w:rsidR="0002434F" w:rsidRPr="009A672F">
        <w:rPr>
          <w:rFonts w:ascii="Georgia" w:hAnsi="Georgia" w:cs="Arial"/>
          <w:sz w:val="24"/>
          <w:szCs w:val="24"/>
        </w:rPr>
        <w:t>)</w:t>
      </w:r>
      <w:r w:rsidRPr="009A672F">
        <w:rPr>
          <w:rFonts w:ascii="Georgia" w:hAnsi="Georgia" w:cs="Arial"/>
          <w:sz w:val="24"/>
          <w:szCs w:val="24"/>
        </w:rPr>
        <w:t xml:space="preserve">. </w:t>
      </w:r>
    </w:p>
    <w:p w:rsidR="003E3FFF" w:rsidRPr="009A672F" w:rsidRDefault="003E3FFF" w:rsidP="0022401A">
      <w:pPr>
        <w:spacing w:line="300" w:lineRule="auto"/>
        <w:jc w:val="both"/>
        <w:rPr>
          <w:rFonts w:ascii="Georgia" w:hAnsi="Georgia" w:cs="Arial"/>
          <w:sz w:val="24"/>
          <w:szCs w:val="24"/>
        </w:rPr>
      </w:pPr>
    </w:p>
    <w:p w:rsidR="00B07F83" w:rsidRPr="009A672F" w:rsidRDefault="00652300" w:rsidP="0022401A">
      <w:pPr>
        <w:spacing w:line="300" w:lineRule="auto"/>
        <w:jc w:val="both"/>
        <w:rPr>
          <w:rFonts w:ascii="Georgia" w:hAnsi="Georgia" w:cs="Arial"/>
          <w:sz w:val="24"/>
          <w:szCs w:val="24"/>
        </w:rPr>
      </w:pPr>
      <w:r w:rsidRPr="009A672F">
        <w:rPr>
          <w:rFonts w:ascii="Georgia" w:hAnsi="Georgia" w:cs="Arial"/>
          <w:sz w:val="24"/>
          <w:szCs w:val="24"/>
        </w:rPr>
        <w:t>Surtidas varias diligencias (</w:t>
      </w:r>
      <w:r w:rsidRPr="009A672F">
        <w:rPr>
          <w:rFonts w:ascii="Georgia" w:hAnsi="Georgia" w:cs="Arial"/>
          <w:sz w:val="22"/>
          <w:szCs w:val="24"/>
        </w:rPr>
        <w:t>01-06, 15-06, 21-08 y 28-08-2018, folios 87-91</w:t>
      </w:r>
      <w:r w:rsidR="00003803" w:rsidRPr="009A672F">
        <w:rPr>
          <w:rFonts w:ascii="Georgia" w:hAnsi="Georgia" w:cs="Arial"/>
          <w:sz w:val="22"/>
          <w:szCs w:val="24"/>
        </w:rPr>
        <w:t>, 101-114</w:t>
      </w:r>
      <w:r w:rsidRPr="009A672F">
        <w:rPr>
          <w:rFonts w:ascii="Georgia" w:hAnsi="Georgia" w:cs="Arial"/>
          <w:sz w:val="24"/>
          <w:szCs w:val="24"/>
        </w:rPr>
        <w:t xml:space="preserve">), finalmente, </w:t>
      </w:r>
      <w:r w:rsidR="00003803" w:rsidRPr="009A672F">
        <w:rPr>
          <w:rFonts w:ascii="Georgia" w:hAnsi="Georgia" w:cs="Arial"/>
          <w:sz w:val="24"/>
          <w:szCs w:val="24"/>
        </w:rPr>
        <w:t xml:space="preserve">el 14-09-2018 </w:t>
      </w:r>
      <w:r w:rsidRPr="009A672F">
        <w:rPr>
          <w:rFonts w:ascii="Georgia" w:hAnsi="Georgia" w:cs="Arial"/>
          <w:sz w:val="24"/>
          <w:szCs w:val="24"/>
        </w:rPr>
        <w:t xml:space="preserve">se cumplió </w:t>
      </w:r>
      <w:r w:rsidR="0002434F" w:rsidRPr="009A672F">
        <w:rPr>
          <w:rFonts w:ascii="Georgia" w:hAnsi="Georgia" w:cs="Arial"/>
          <w:sz w:val="24"/>
          <w:szCs w:val="24"/>
        </w:rPr>
        <w:t xml:space="preserve">audiencia </w:t>
      </w:r>
      <w:r w:rsidR="00B07F83" w:rsidRPr="009A672F">
        <w:rPr>
          <w:rFonts w:ascii="Georgia" w:hAnsi="Georgia" w:cs="Arial"/>
          <w:sz w:val="24"/>
          <w:szCs w:val="24"/>
        </w:rPr>
        <w:t xml:space="preserve">en la que se </w:t>
      </w:r>
      <w:r w:rsidR="00003803" w:rsidRPr="009A672F">
        <w:rPr>
          <w:rFonts w:ascii="Georgia" w:hAnsi="Georgia" w:cs="Arial"/>
          <w:sz w:val="24"/>
          <w:szCs w:val="24"/>
        </w:rPr>
        <w:t>presentaron los alegatos finales y se emitió sentencia estimatoria de la pretensión reivindicatori</w:t>
      </w:r>
      <w:r w:rsidR="0002434F" w:rsidRPr="009A672F">
        <w:rPr>
          <w:rFonts w:ascii="Georgia" w:hAnsi="Georgia" w:cs="Arial"/>
          <w:sz w:val="24"/>
          <w:szCs w:val="24"/>
        </w:rPr>
        <w:t>a</w:t>
      </w:r>
      <w:r w:rsidR="00003803" w:rsidRPr="009A672F">
        <w:rPr>
          <w:rFonts w:ascii="Georgia" w:hAnsi="Georgia" w:cs="Arial"/>
          <w:sz w:val="24"/>
          <w:szCs w:val="24"/>
        </w:rPr>
        <w:t xml:space="preserve"> y desestimatoria de la usucapión</w:t>
      </w:r>
      <w:r w:rsidR="00B07F83" w:rsidRPr="009A672F">
        <w:rPr>
          <w:rFonts w:ascii="Georgia" w:hAnsi="Georgia" w:cs="Arial"/>
          <w:sz w:val="24"/>
          <w:szCs w:val="24"/>
        </w:rPr>
        <w:t xml:space="preserve">, decisión que apelada por la parte </w:t>
      </w:r>
      <w:r w:rsidR="00003803" w:rsidRPr="009A672F">
        <w:rPr>
          <w:rFonts w:ascii="Georgia" w:hAnsi="Georgia" w:cs="Arial"/>
          <w:sz w:val="24"/>
          <w:szCs w:val="24"/>
        </w:rPr>
        <w:t>pasiva</w:t>
      </w:r>
      <w:r w:rsidR="00B07F83" w:rsidRPr="009A672F">
        <w:rPr>
          <w:rFonts w:ascii="Georgia" w:hAnsi="Georgia" w:cs="Arial"/>
          <w:sz w:val="24"/>
          <w:szCs w:val="24"/>
        </w:rPr>
        <w:t xml:space="preserve"> dio lugar a la remisión del expediente a esta Sala (</w:t>
      </w:r>
      <w:r w:rsidR="00B07F83" w:rsidRPr="009A672F">
        <w:rPr>
          <w:rFonts w:ascii="Georgia" w:hAnsi="Georgia" w:cs="Arial"/>
          <w:sz w:val="22"/>
          <w:szCs w:val="24"/>
        </w:rPr>
        <w:t xml:space="preserve">Folios </w:t>
      </w:r>
      <w:r w:rsidR="00003803" w:rsidRPr="009A672F">
        <w:rPr>
          <w:rFonts w:ascii="Georgia" w:hAnsi="Georgia" w:cs="Arial"/>
          <w:sz w:val="22"/>
          <w:szCs w:val="24"/>
        </w:rPr>
        <w:t>115</w:t>
      </w:r>
      <w:r w:rsidR="00B07F83" w:rsidRPr="009A672F">
        <w:rPr>
          <w:rFonts w:ascii="Georgia" w:hAnsi="Georgia" w:cs="Arial"/>
          <w:sz w:val="22"/>
          <w:szCs w:val="24"/>
        </w:rPr>
        <w:t>-</w:t>
      </w:r>
      <w:r w:rsidR="00003803" w:rsidRPr="009A672F">
        <w:rPr>
          <w:rFonts w:ascii="Georgia" w:hAnsi="Georgia" w:cs="Arial"/>
          <w:sz w:val="22"/>
          <w:szCs w:val="24"/>
        </w:rPr>
        <w:t>128</w:t>
      </w:r>
      <w:r w:rsidR="00B07F83" w:rsidRPr="009A672F">
        <w:rPr>
          <w:rFonts w:ascii="Georgia" w:hAnsi="Georgia" w:cs="Arial"/>
          <w:sz w:val="22"/>
          <w:szCs w:val="24"/>
        </w:rPr>
        <w:t>, ib.</w:t>
      </w:r>
      <w:r w:rsidR="00B07F83" w:rsidRPr="009A672F">
        <w:rPr>
          <w:rFonts w:ascii="Georgia" w:hAnsi="Georgia" w:cs="Arial"/>
          <w:sz w:val="24"/>
          <w:szCs w:val="24"/>
        </w:rPr>
        <w:t>).</w:t>
      </w:r>
    </w:p>
    <w:p w:rsidR="002E20D6" w:rsidRPr="009A672F" w:rsidRDefault="002E20D6" w:rsidP="0022401A">
      <w:pPr>
        <w:spacing w:line="300" w:lineRule="auto"/>
        <w:jc w:val="both"/>
        <w:rPr>
          <w:rFonts w:ascii="Georgia" w:hAnsi="Georgia" w:cs="Arial"/>
          <w:sz w:val="24"/>
          <w:szCs w:val="24"/>
        </w:rPr>
      </w:pPr>
    </w:p>
    <w:p w:rsidR="00E316D9" w:rsidRPr="009A672F" w:rsidRDefault="00350C7A" w:rsidP="0022401A">
      <w:pPr>
        <w:pStyle w:val="Prrafodelista"/>
        <w:numPr>
          <w:ilvl w:val="0"/>
          <w:numId w:val="1"/>
        </w:numPr>
        <w:tabs>
          <w:tab w:val="left" w:pos="-720"/>
        </w:tabs>
        <w:suppressAutoHyphens/>
        <w:spacing w:line="300" w:lineRule="auto"/>
        <w:jc w:val="both"/>
        <w:rPr>
          <w:rFonts w:ascii="Georgia" w:hAnsi="Georgia" w:cs="Arial"/>
          <w:smallCaps/>
          <w:spacing w:val="-3"/>
          <w:sz w:val="26"/>
          <w:szCs w:val="24"/>
        </w:rPr>
      </w:pPr>
      <w:r w:rsidRPr="009A672F">
        <w:rPr>
          <w:rFonts w:ascii="Georgia" w:hAnsi="Georgia" w:cs="Arial"/>
          <w:smallCaps/>
          <w:spacing w:val="-3"/>
          <w:sz w:val="26"/>
          <w:szCs w:val="24"/>
        </w:rPr>
        <w:t>las estimaciones jurídicas para decidir</w:t>
      </w:r>
    </w:p>
    <w:p w:rsidR="00647818" w:rsidRPr="009A672F" w:rsidRDefault="00647818" w:rsidP="0022401A">
      <w:pPr>
        <w:pStyle w:val="Sinespaciado"/>
        <w:widowControl/>
        <w:autoSpaceDE/>
        <w:autoSpaceDN/>
        <w:adjustRightInd/>
        <w:spacing w:line="300" w:lineRule="auto"/>
        <w:ind w:left="360"/>
        <w:jc w:val="both"/>
        <w:rPr>
          <w:rFonts w:ascii="Georgia" w:hAnsi="Georgia" w:cs="Arial"/>
          <w:sz w:val="18"/>
        </w:rPr>
      </w:pPr>
    </w:p>
    <w:p w:rsidR="00582F12" w:rsidRPr="009A672F" w:rsidRDefault="00582F12" w:rsidP="0022401A">
      <w:pPr>
        <w:pStyle w:val="Sinespaciado"/>
        <w:widowControl/>
        <w:numPr>
          <w:ilvl w:val="1"/>
          <w:numId w:val="1"/>
        </w:numPr>
        <w:autoSpaceDE/>
        <w:autoSpaceDN/>
        <w:adjustRightInd/>
        <w:spacing w:line="300" w:lineRule="auto"/>
        <w:jc w:val="both"/>
        <w:rPr>
          <w:rFonts w:ascii="Georgia" w:hAnsi="Georgia" w:cs="Arial"/>
          <w:smallCaps/>
        </w:rPr>
      </w:pPr>
      <w:r w:rsidRPr="009A672F">
        <w:rPr>
          <w:rFonts w:ascii="Georgia" w:hAnsi="Georgia" w:cs="Arial"/>
          <w:smallCaps/>
        </w:rPr>
        <w:t>El régimen de las nulidades procesales</w:t>
      </w:r>
    </w:p>
    <w:p w:rsidR="002825A8" w:rsidRPr="009A672F" w:rsidRDefault="002825A8" w:rsidP="0022401A">
      <w:pPr>
        <w:pStyle w:val="Sinespaciado"/>
        <w:widowControl/>
        <w:autoSpaceDE/>
        <w:autoSpaceDN/>
        <w:adjustRightInd/>
        <w:spacing w:line="300" w:lineRule="auto"/>
        <w:jc w:val="both"/>
        <w:rPr>
          <w:rFonts w:ascii="Georgia" w:hAnsi="Georgia" w:cs="Arial"/>
        </w:rPr>
      </w:pPr>
    </w:p>
    <w:p w:rsidR="00526C51" w:rsidRPr="009A672F" w:rsidRDefault="00526C51" w:rsidP="0022401A">
      <w:pPr>
        <w:tabs>
          <w:tab w:val="left" w:pos="-720"/>
        </w:tabs>
        <w:suppressAutoHyphens/>
        <w:spacing w:line="300" w:lineRule="auto"/>
        <w:jc w:val="both"/>
        <w:rPr>
          <w:rFonts w:ascii="Georgia" w:hAnsi="Georgia" w:cs="Arial"/>
          <w:sz w:val="24"/>
          <w:szCs w:val="22"/>
        </w:rPr>
      </w:pPr>
      <w:r w:rsidRPr="009A672F">
        <w:rPr>
          <w:rFonts w:ascii="Georgia" w:hAnsi="Georgia" w:cs="Arial"/>
          <w:sz w:val="24"/>
        </w:rPr>
        <w:t>El ordenamiento legal, vigente en nuestro país, consagra como regla que l</w:t>
      </w:r>
      <w:r w:rsidRPr="009A672F">
        <w:rPr>
          <w:rFonts w:ascii="Georgia" w:hAnsi="Georgia" w:cs="Arial"/>
          <w:sz w:val="24"/>
          <w:szCs w:val="22"/>
        </w:rPr>
        <w:t xml:space="preserve">a institución de las nulidades de tipo procedimental está estatuida con el propósito de </w:t>
      </w:r>
      <w:r w:rsidRPr="009A672F">
        <w:rPr>
          <w:rFonts w:ascii="Georgia" w:hAnsi="Georgia" w:cs="Arial"/>
          <w:sz w:val="24"/>
          <w:szCs w:val="22"/>
        </w:rPr>
        <w:lastRenderedPageBreak/>
        <w:t xml:space="preserve">salvaguardar el derecho constitucional del “debido proceso” y su derivado natural, el derecho de defensa (Artículo 29, </w:t>
      </w:r>
      <w:proofErr w:type="spellStart"/>
      <w:r w:rsidRPr="009A672F">
        <w:rPr>
          <w:rFonts w:ascii="Georgia" w:hAnsi="Georgia" w:cs="Arial"/>
          <w:sz w:val="24"/>
          <w:szCs w:val="22"/>
        </w:rPr>
        <w:t>CP</w:t>
      </w:r>
      <w:proofErr w:type="spellEnd"/>
      <w:r w:rsidRPr="009A672F">
        <w:rPr>
          <w:rFonts w:ascii="Georgia" w:hAnsi="Georgia" w:cs="Arial"/>
          <w:sz w:val="24"/>
          <w:szCs w:val="22"/>
        </w:rPr>
        <w:t>).</w:t>
      </w:r>
    </w:p>
    <w:p w:rsidR="00526C51" w:rsidRPr="009A672F" w:rsidRDefault="00526C51" w:rsidP="0022401A">
      <w:pPr>
        <w:spacing w:line="300" w:lineRule="auto"/>
        <w:jc w:val="both"/>
        <w:rPr>
          <w:rFonts w:ascii="Georgia" w:hAnsi="Georgia" w:cs="Arial"/>
          <w:sz w:val="26"/>
          <w:szCs w:val="26"/>
        </w:rPr>
      </w:pPr>
    </w:p>
    <w:p w:rsidR="00526C51" w:rsidRPr="009A672F" w:rsidRDefault="00071273" w:rsidP="0022401A">
      <w:pPr>
        <w:spacing w:line="300" w:lineRule="auto"/>
        <w:jc w:val="both"/>
        <w:rPr>
          <w:rFonts w:ascii="Georgia" w:hAnsi="Georgia" w:cs="Arial"/>
          <w:i/>
          <w:sz w:val="24"/>
          <w:szCs w:val="22"/>
        </w:rPr>
      </w:pPr>
      <w:r w:rsidRPr="009A672F">
        <w:rPr>
          <w:rFonts w:ascii="Georgia" w:hAnsi="Georgia"/>
          <w:sz w:val="24"/>
          <w:szCs w:val="24"/>
        </w:rPr>
        <w:t>Es preciso advertir que este instrumento,</w:t>
      </w:r>
      <w:r w:rsidR="00526C51" w:rsidRPr="009A672F">
        <w:rPr>
          <w:rFonts w:ascii="Georgia" w:hAnsi="Georgia"/>
          <w:sz w:val="24"/>
          <w:szCs w:val="24"/>
        </w:rPr>
        <w:t xml:space="preserve"> reglamentad</w:t>
      </w:r>
      <w:r w:rsidRPr="009A672F">
        <w:rPr>
          <w:rFonts w:ascii="Georgia" w:hAnsi="Georgia"/>
          <w:sz w:val="24"/>
          <w:szCs w:val="24"/>
        </w:rPr>
        <w:t xml:space="preserve">o por </w:t>
      </w:r>
      <w:r w:rsidR="00526C51" w:rsidRPr="009A672F">
        <w:rPr>
          <w:rFonts w:ascii="Georgia" w:hAnsi="Georgia"/>
          <w:sz w:val="24"/>
          <w:szCs w:val="24"/>
        </w:rPr>
        <w:t>l</w:t>
      </w:r>
      <w:r w:rsidRPr="009A672F">
        <w:rPr>
          <w:rFonts w:ascii="Georgia" w:hAnsi="Georgia"/>
          <w:sz w:val="24"/>
          <w:szCs w:val="24"/>
        </w:rPr>
        <w:t>os</w:t>
      </w:r>
      <w:r w:rsidR="00526C51" w:rsidRPr="009A672F">
        <w:rPr>
          <w:rFonts w:ascii="Georgia" w:hAnsi="Georgia"/>
          <w:sz w:val="24"/>
          <w:szCs w:val="24"/>
        </w:rPr>
        <w:t xml:space="preserve"> artículo</w:t>
      </w:r>
      <w:r w:rsidRPr="009A672F">
        <w:rPr>
          <w:rFonts w:ascii="Georgia" w:hAnsi="Georgia"/>
          <w:sz w:val="24"/>
          <w:szCs w:val="24"/>
        </w:rPr>
        <w:t>s</w:t>
      </w:r>
      <w:r w:rsidR="00526C51" w:rsidRPr="009A672F">
        <w:rPr>
          <w:rFonts w:ascii="Georgia" w:hAnsi="Georgia"/>
          <w:sz w:val="24"/>
          <w:szCs w:val="24"/>
        </w:rPr>
        <w:t xml:space="preserve"> 133 </w:t>
      </w:r>
      <w:r w:rsidRPr="009A672F">
        <w:rPr>
          <w:rFonts w:ascii="Georgia" w:hAnsi="Georgia"/>
          <w:sz w:val="24"/>
          <w:szCs w:val="24"/>
        </w:rPr>
        <w:t xml:space="preserve">y </w:t>
      </w:r>
      <w:proofErr w:type="spellStart"/>
      <w:r w:rsidRPr="009A672F">
        <w:rPr>
          <w:rFonts w:ascii="Georgia" w:hAnsi="Georgia"/>
          <w:sz w:val="24"/>
          <w:szCs w:val="24"/>
        </w:rPr>
        <w:t>ss</w:t>
      </w:r>
      <w:proofErr w:type="spellEnd"/>
      <w:r w:rsidRPr="009A672F">
        <w:rPr>
          <w:rFonts w:ascii="Georgia" w:hAnsi="Georgia"/>
          <w:sz w:val="24"/>
          <w:szCs w:val="24"/>
        </w:rPr>
        <w:t xml:space="preserve">, </w:t>
      </w:r>
      <w:proofErr w:type="spellStart"/>
      <w:r w:rsidR="00526C51" w:rsidRPr="009A672F">
        <w:rPr>
          <w:rFonts w:ascii="Georgia" w:hAnsi="Georgia"/>
          <w:sz w:val="24"/>
          <w:szCs w:val="24"/>
        </w:rPr>
        <w:t>CGP</w:t>
      </w:r>
      <w:proofErr w:type="spellEnd"/>
      <w:r w:rsidR="00526C51" w:rsidRPr="009A672F">
        <w:rPr>
          <w:rFonts w:ascii="Georgia" w:hAnsi="Georgia"/>
          <w:sz w:val="24"/>
          <w:szCs w:val="24"/>
        </w:rPr>
        <w:t xml:space="preserve">, no tuvo cambios sustanciales respecto a lo regulado en el </w:t>
      </w:r>
      <w:proofErr w:type="spellStart"/>
      <w:r w:rsidR="00526C51" w:rsidRPr="009A672F">
        <w:rPr>
          <w:rFonts w:ascii="Georgia" w:hAnsi="Georgia"/>
          <w:sz w:val="24"/>
          <w:szCs w:val="24"/>
        </w:rPr>
        <w:t>CPC</w:t>
      </w:r>
      <w:proofErr w:type="spellEnd"/>
      <w:r w:rsidR="00526C51" w:rsidRPr="009A672F">
        <w:rPr>
          <w:rFonts w:ascii="Georgia" w:hAnsi="Georgia"/>
          <w:sz w:val="24"/>
          <w:szCs w:val="24"/>
        </w:rPr>
        <w:t xml:space="preserve"> (</w:t>
      </w:r>
      <w:r w:rsidR="00526C51" w:rsidRPr="009A672F">
        <w:rPr>
          <w:rFonts w:ascii="Georgia" w:hAnsi="Georgia"/>
          <w:sz w:val="22"/>
          <w:szCs w:val="24"/>
        </w:rPr>
        <w:t>Artículos 140 y 141</w:t>
      </w:r>
      <w:r w:rsidR="00526C51" w:rsidRPr="009A672F">
        <w:rPr>
          <w:rFonts w:ascii="Georgia" w:hAnsi="Georgia"/>
          <w:sz w:val="24"/>
          <w:szCs w:val="24"/>
        </w:rPr>
        <w:t>), salvo que desapareció la causal del artículo 141-1º y se erigieron otras especiales (</w:t>
      </w:r>
      <w:r w:rsidR="00526C51" w:rsidRPr="009A672F">
        <w:rPr>
          <w:rFonts w:ascii="Georgia" w:hAnsi="Georgia"/>
          <w:sz w:val="22"/>
          <w:szCs w:val="24"/>
        </w:rPr>
        <w:t xml:space="preserve">Artículos 14, 36, 38, 107, 164 y 121, </w:t>
      </w:r>
      <w:proofErr w:type="spellStart"/>
      <w:r w:rsidR="00526C51" w:rsidRPr="009A672F">
        <w:rPr>
          <w:rFonts w:ascii="Georgia" w:hAnsi="Georgia"/>
          <w:sz w:val="22"/>
          <w:szCs w:val="24"/>
        </w:rPr>
        <w:t>CGP</w:t>
      </w:r>
      <w:proofErr w:type="spellEnd"/>
      <w:r w:rsidR="00526C51" w:rsidRPr="009A672F">
        <w:rPr>
          <w:rFonts w:ascii="Georgia" w:hAnsi="Georgia"/>
          <w:sz w:val="24"/>
          <w:szCs w:val="24"/>
        </w:rPr>
        <w:t xml:space="preserve">). De tal suerte que la jurisprudencia y doctrina que se han encargado de estudiar el tema con arreglo al </w:t>
      </w:r>
      <w:proofErr w:type="spellStart"/>
      <w:r w:rsidR="00526C51" w:rsidRPr="009A672F">
        <w:rPr>
          <w:rFonts w:ascii="Georgia" w:hAnsi="Georgia"/>
          <w:sz w:val="24"/>
          <w:szCs w:val="24"/>
        </w:rPr>
        <w:t>CPC</w:t>
      </w:r>
      <w:proofErr w:type="spellEnd"/>
      <w:r w:rsidR="00526C51" w:rsidRPr="009A672F">
        <w:rPr>
          <w:rFonts w:ascii="Georgia" w:hAnsi="Georgia" w:cs="Arial"/>
          <w:sz w:val="24"/>
          <w:szCs w:val="22"/>
        </w:rPr>
        <w:t>, s</w:t>
      </w:r>
      <w:r w:rsidR="003862AD" w:rsidRPr="009A672F">
        <w:rPr>
          <w:rFonts w:ascii="Georgia" w:hAnsi="Georgia" w:cs="Arial"/>
          <w:sz w:val="24"/>
          <w:szCs w:val="22"/>
        </w:rPr>
        <w:t>on</w:t>
      </w:r>
      <w:r w:rsidR="00526C51" w:rsidRPr="009A672F">
        <w:rPr>
          <w:rFonts w:ascii="Georgia" w:hAnsi="Georgia" w:cs="Arial"/>
          <w:sz w:val="24"/>
          <w:szCs w:val="22"/>
        </w:rPr>
        <w:t xml:space="preserve"> aplicable</w:t>
      </w:r>
      <w:r w:rsidR="003862AD" w:rsidRPr="009A672F">
        <w:rPr>
          <w:rFonts w:ascii="Georgia" w:hAnsi="Georgia" w:cs="Arial"/>
          <w:sz w:val="24"/>
          <w:szCs w:val="22"/>
        </w:rPr>
        <w:t>s</w:t>
      </w:r>
      <w:r w:rsidR="00411109" w:rsidRPr="009A672F">
        <w:rPr>
          <w:rFonts w:ascii="Georgia" w:hAnsi="Georgia" w:cs="Arial"/>
          <w:sz w:val="24"/>
          <w:szCs w:val="22"/>
        </w:rPr>
        <w:t xml:space="preserve"> para el nuevo estatuto, en su mayoría.</w:t>
      </w:r>
    </w:p>
    <w:p w:rsidR="00526C51" w:rsidRPr="009A672F" w:rsidRDefault="00526C51" w:rsidP="002240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00" w:lineRule="auto"/>
        <w:jc w:val="both"/>
        <w:rPr>
          <w:rFonts w:ascii="Georgia" w:hAnsi="Georgia" w:cs="Arial"/>
          <w:sz w:val="22"/>
          <w:szCs w:val="22"/>
        </w:rPr>
      </w:pPr>
    </w:p>
    <w:p w:rsidR="00526C51" w:rsidRPr="009A672F" w:rsidRDefault="00526C51" w:rsidP="002240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00" w:lineRule="auto"/>
        <w:jc w:val="both"/>
        <w:rPr>
          <w:rFonts w:ascii="Georgia" w:hAnsi="Georgia" w:cs="Arial"/>
          <w:sz w:val="24"/>
          <w:szCs w:val="22"/>
        </w:rPr>
      </w:pPr>
      <w:r w:rsidRPr="009A672F">
        <w:rPr>
          <w:rFonts w:ascii="Georgia" w:hAnsi="Georgia" w:cs="Arial"/>
          <w:sz w:val="24"/>
          <w:szCs w:val="22"/>
        </w:rPr>
        <w:t xml:space="preserve">El régimen de esta figura, está informado por el principio de la </w:t>
      </w:r>
      <w:proofErr w:type="spellStart"/>
      <w:r w:rsidRPr="009A672F">
        <w:rPr>
          <w:rFonts w:ascii="Georgia" w:hAnsi="Georgia" w:cs="Arial"/>
          <w:sz w:val="24"/>
          <w:szCs w:val="22"/>
        </w:rPr>
        <w:t>taxatividad</w:t>
      </w:r>
      <w:proofErr w:type="spellEnd"/>
      <w:r w:rsidRPr="009A672F">
        <w:rPr>
          <w:rFonts w:ascii="Georgia" w:hAnsi="Georgia" w:cs="Arial"/>
          <w:sz w:val="24"/>
          <w:szCs w:val="22"/>
        </w:rPr>
        <w:t xml:space="preserve"> o especificidad, que puede </w:t>
      </w:r>
      <w:r w:rsidRPr="009A672F">
        <w:rPr>
          <w:rFonts w:ascii="Georgia" w:hAnsi="Georgia" w:cs="Arial"/>
          <w:sz w:val="24"/>
          <w:szCs w:val="24"/>
        </w:rPr>
        <w:t>consultarse en la doctrina, pacífica, de los profesores Canosa T.</w:t>
      </w:r>
      <w:r w:rsidRPr="009A672F">
        <w:rPr>
          <w:rStyle w:val="Refdenotaalpie"/>
          <w:rFonts w:ascii="Georgia" w:hAnsi="Georgia" w:cs="Arial"/>
          <w:sz w:val="24"/>
          <w:szCs w:val="24"/>
        </w:rPr>
        <w:footnoteReference w:id="1"/>
      </w:r>
      <w:r w:rsidRPr="009A672F">
        <w:rPr>
          <w:rFonts w:ascii="Georgia" w:hAnsi="Georgia" w:cs="Arial"/>
          <w:sz w:val="24"/>
          <w:szCs w:val="24"/>
        </w:rPr>
        <w:t>, López B.</w:t>
      </w:r>
      <w:r w:rsidRPr="009A672F">
        <w:rPr>
          <w:rStyle w:val="Refdenotaalpie"/>
          <w:rFonts w:ascii="Georgia" w:hAnsi="Georgia" w:cs="Arial"/>
          <w:sz w:val="24"/>
          <w:szCs w:val="24"/>
        </w:rPr>
        <w:footnoteReference w:id="2"/>
      </w:r>
      <w:r w:rsidRPr="009A672F">
        <w:rPr>
          <w:rFonts w:ascii="Georgia" w:hAnsi="Georgia" w:cs="Arial"/>
          <w:sz w:val="24"/>
          <w:szCs w:val="24"/>
        </w:rPr>
        <w:t>, Azula C.</w:t>
      </w:r>
      <w:r w:rsidRPr="009A672F">
        <w:rPr>
          <w:rStyle w:val="Refdenotaalpie"/>
          <w:rFonts w:ascii="Georgia" w:hAnsi="Georgia" w:cs="Arial"/>
          <w:sz w:val="24"/>
          <w:szCs w:val="24"/>
        </w:rPr>
        <w:footnoteReference w:id="3"/>
      </w:r>
      <w:r w:rsidRPr="009A672F">
        <w:rPr>
          <w:rFonts w:ascii="Georgia" w:hAnsi="Georgia" w:cs="Arial"/>
          <w:sz w:val="24"/>
          <w:szCs w:val="24"/>
        </w:rPr>
        <w:t xml:space="preserve"> y Rojas G.</w:t>
      </w:r>
      <w:r w:rsidRPr="009A672F">
        <w:rPr>
          <w:rStyle w:val="Refdenotaalpie"/>
          <w:rFonts w:ascii="Georgia" w:hAnsi="Georgia" w:cs="Arial"/>
          <w:sz w:val="24"/>
          <w:szCs w:val="24"/>
        </w:rPr>
        <w:footnoteReference w:id="4"/>
      </w:r>
      <w:r w:rsidRPr="009A672F">
        <w:rPr>
          <w:rFonts w:ascii="Georgia" w:hAnsi="Georgia" w:cs="Arial"/>
          <w:sz w:val="24"/>
          <w:szCs w:val="24"/>
        </w:rPr>
        <w:t xml:space="preserve"> </w:t>
      </w:r>
      <w:r w:rsidRPr="009A672F">
        <w:rPr>
          <w:rFonts w:ascii="Georgia" w:hAnsi="Georgia" w:cs="Arial"/>
          <w:sz w:val="24"/>
          <w:szCs w:val="22"/>
        </w:rPr>
        <w:t>y Sanabria S</w:t>
      </w:r>
      <w:r w:rsidRPr="009A672F">
        <w:rPr>
          <w:rStyle w:val="Refdenotaalpie"/>
          <w:rFonts w:ascii="Georgia" w:hAnsi="Georgia"/>
          <w:sz w:val="24"/>
          <w:szCs w:val="22"/>
        </w:rPr>
        <w:footnoteReference w:id="5"/>
      </w:r>
      <w:r w:rsidRPr="009A672F">
        <w:rPr>
          <w:rFonts w:ascii="Georgia" w:hAnsi="Georgia" w:cs="Arial"/>
          <w:sz w:val="24"/>
          <w:szCs w:val="22"/>
        </w:rPr>
        <w:t xml:space="preserve">. Otros principios de igual entidad que permean </w:t>
      </w:r>
      <w:r w:rsidR="00071273" w:rsidRPr="009A672F">
        <w:rPr>
          <w:rFonts w:ascii="Georgia" w:hAnsi="Georgia" w:cs="Arial"/>
          <w:sz w:val="24"/>
          <w:szCs w:val="22"/>
        </w:rPr>
        <w:t xml:space="preserve">la herramienta </w:t>
      </w:r>
      <w:r w:rsidRPr="009A672F">
        <w:rPr>
          <w:rFonts w:ascii="Georgia" w:hAnsi="Georgia" w:cs="Arial"/>
          <w:sz w:val="24"/>
          <w:szCs w:val="22"/>
        </w:rPr>
        <w:t>en comento, son el de preclusión, protección, convalidación, trascendencia y legitimación para invocarla, así lo reconoce la CSJ</w:t>
      </w:r>
      <w:r w:rsidRPr="009A672F">
        <w:rPr>
          <w:rStyle w:val="Refdenotaalpie"/>
          <w:rFonts w:ascii="Georgia" w:hAnsi="Georgia"/>
          <w:sz w:val="24"/>
          <w:szCs w:val="22"/>
        </w:rPr>
        <w:footnoteReference w:id="6"/>
      </w:r>
      <w:r w:rsidRPr="009A672F">
        <w:rPr>
          <w:rFonts w:ascii="Georgia" w:hAnsi="Georgia" w:cs="Arial"/>
          <w:sz w:val="24"/>
          <w:szCs w:val="22"/>
        </w:rPr>
        <w:t xml:space="preserve">. </w:t>
      </w:r>
    </w:p>
    <w:p w:rsidR="00526C51" w:rsidRPr="009A672F" w:rsidRDefault="00526C51" w:rsidP="002240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00" w:lineRule="auto"/>
        <w:jc w:val="both"/>
        <w:rPr>
          <w:rFonts w:ascii="Georgia" w:hAnsi="Georgia" w:cs="Arial"/>
          <w:sz w:val="22"/>
          <w:szCs w:val="22"/>
        </w:rPr>
      </w:pPr>
    </w:p>
    <w:p w:rsidR="00647818" w:rsidRPr="009A672F" w:rsidRDefault="00526C51" w:rsidP="002240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00" w:lineRule="auto"/>
        <w:jc w:val="both"/>
        <w:rPr>
          <w:rFonts w:ascii="Georgia" w:hAnsi="Georgia" w:cs="Arial"/>
          <w:sz w:val="24"/>
          <w:szCs w:val="24"/>
        </w:rPr>
      </w:pPr>
      <w:r w:rsidRPr="009A672F">
        <w:rPr>
          <w:rFonts w:ascii="Georgia" w:hAnsi="Georgia" w:cs="Arial"/>
          <w:sz w:val="24"/>
        </w:rPr>
        <w:t>Las sentencias C-491 de 1995 y C-217 de 1996 de la Corte Constitucional, agregó otra causal, en los siguientes términos:</w:t>
      </w:r>
      <w:r w:rsidRPr="009A672F">
        <w:rPr>
          <w:rFonts w:ascii="Georgia" w:hAnsi="Georgia" w:cs="Arial"/>
        </w:rPr>
        <w:t xml:space="preserve"> </w:t>
      </w:r>
      <w:r w:rsidRPr="009A672F">
        <w:rPr>
          <w:rFonts w:ascii="Georgia" w:hAnsi="Georgia" w:cs="Arial"/>
          <w:i/>
          <w:sz w:val="22"/>
        </w:rPr>
        <w:t>“Además de dichas causales legales de nulidad es viable y puede ser invocada la consagrada en el artículo 29 de la Constitución, según el cual es nula, de pleno derecho, la prueba obtenida con violación del debido proceso, (...)”</w:t>
      </w:r>
      <w:r w:rsidR="00071273" w:rsidRPr="009A672F">
        <w:rPr>
          <w:rFonts w:ascii="Georgia" w:hAnsi="Georgia" w:cs="Arial"/>
          <w:i/>
          <w:sz w:val="22"/>
        </w:rPr>
        <w:t>.</w:t>
      </w:r>
      <w:r w:rsidR="00071273" w:rsidRPr="009A672F">
        <w:rPr>
          <w:rFonts w:ascii="Georgia" w:hAnsi="Georgia" w:cs="Arial"/>
          <w:sz w:val="22"/>
        </w:rPr>
        <w:t xml:space="preserve"> </w:t>
      </w:r>
      <w:r w:rsidR="00071273" w:rsidRPr="009A672F">
        <w:rPr>
          <w:rFonts w:ascii="Georgia" w:hAnsi="Georgia" w:cs="Arial"/>
          <w:sz w:val="24"/>
          <w:szCs w:val="24"/>
        </w:rPr>
        <w:t xml:space="preserve">Hoy reconocidas en el </w:t>
      </w:r>
      <w:proofErr w:type="spellStart"/>
      <w:r w:rsidR="00071273" w:rsidRPr="009A672F">
        <w:rPr>
          <w:rFonts w:ascii="Georgia" w:hAnsi="Georgia" w:cs="Arial"/>
          <w:sz w:val="24"/>
          <w:szCs w:val="24"/>
        </w:rPr>
        <w:t>CGP</w:t>
      </w:r>
      <w:proofErr w:type="spellEnd"/>
      <w:r w:rsidR="00071273" w:rsidRPr="009A672F">
        <w:rPr>
          <w:rFonts w:ascii="Georgia" w:hAnsi="Georgia" w:cs="Arial"/>
          <w:sz w:val="24"/>
          <w:szCs w:val="24"/>
        </w:rPr>
        <w:t xml:space="preserve"> (</w:t>
      </w:r>
      <w:r w:rsidR="00071273" w:rsidRPr="009A672F">
        <w:rPr>
          <w:rFonts w:ascii="Georgia" w:hAnsi="Georgia" w:cs="Arial"/>
          <w:sz w:val="22"/>
          <w:szCs w:val="24"/>
        </w:rPr>
        <w:t>Artículos 14, 164 y 168</w:t>
      </w:r>
      <w:r w:rsidR="00071273" w:rsidRPr="009A672F">
        <w:rPr>
          <w:rFonts w:ascii="Georgia" w:hAnsi="Georgia" w:cs="Arial"/>
          <w:sz w:val="24"/>
          <w:szCs w:val="24"/>
        </w:rPr>
        <w:t>)</w:t>
      </w:r>
      <w:r w:rsidR="00071273" w:rsidRPr="009A672F">
        <w:rPr>
          <w:rFonts w:ascii="Georgia" w:hAnsi="Georgia" w:cs="Arial"/>
          <w:sz w:val="24"/>
        </w:rPr>
        <w:t xml:space="preserve"> y, revalidada</w:t>
      </w:r>
      <w:r w:rsidR="00CA0F6D" w:rsidRPr="009A672F">
        <w:rPr>
          <w:rFonts w:ascii="Georgia" w:hAnsi="Georgia" w:cs="Arial"/>
          <w:sz w:val="24"/>
        </w:rPr>
        <w:t>s</w:t>
      </w:r>
      <w:r w:rsidR="00071273" w:rsidRPr="009A672F">
        <w:rPr>
          <w:rFonts w:ascii="Georgia" w:hAnsi="Georgia" w:cs="Arial"/>
          <w:sz w:val="24"/>
        </w:rPr>
        <w:t xml:space="preserve"> con la C-537 de 2016, que declaró exequible, entre otros, al mentado artículo 133, y que es distinta de la prevista en su numeral 5º.</w:t>
      </w:r>
    </w:p>
    <w:p w:rsidR="00B704FA" w:rsidRPr="009A672F" w:rsidRDefault="00B704FA" w:rsidP="0022401A">
      <w:pPr>
        <w:tabs>
          <w:tab w:val="left" w:pos="-720"/>
        </w:tabs>
        <w:suppressAutoHyphens/>
        <w:spacing w:line="300" w:lineRule="auto"/>
        <w:jc w:val="both"/>
        <w:rPr>
          <w:rFonts w:ascii="Georgia" w:hAnsi="Georgia" w:cs="Arial"/>
          <w:sz w:val="24"/>
          <w:szCs w:val="24"/>
        </w:rPr>
      </w:pPr>
    </w:p>
    <w:p w:rsidR="008247CC" w:rsidRPr="009A672F" w:rsidRDefault="008247CC" w:rsidP="0022401A">
      <w:pPr>
        <w:pStyle w:val="Sinespaciado"/>
        <w:widowControl/>
        <w:numPr>
          <w:ilvl w:val="1"/>
          <w:numId w:val="1"/>
        </w:numPr>
        <w:autoSpaceDE/>
        <w:autoSpaceDN/>
        <w:adjustRightInd/>
        <w:spacing w:line="300" w:lineRule="auto"/>
        <w:jc w:val="both"/>
        <w:rPr>
          <w:rFonts w:ascii="Georgia" w:hAnsi="Georgia" w:cs="Arial"/>
          <w:smallCaps/>
        </w:rPr>
      </w:pPr>
      <w:r w:rsidRPr="009A672F">
        <w:rPr>
          <w:rFonts w:ascii="Georgia" w:hAnsi="Georgia" w:cs="Arial"/>
          <w:smallCaps/>
        </w:rPr>
        <w:t>Los presupuestos de las nulidades procesales</w:t>
      </w:r>
    </w:p>
    <w:p w:rsidR="00877480" w:rsidRPr="009A672F" w:rsidRDefault="00877480" w:rsidP="0022401A">
      <w:pPr>
        <w:tabs>
          <w:tab w:val="left" w:pos="-720"/>
        </w:tabs>
        <w:suppressAutoHyphens/>
        <w:spacing w:line="300" w:lineRule="auto"/>
        <w:jc w:val="both"/>
        <w:rPr>
          <w:rFonts w:ascii="Georgia" w:hAnsi="Georgia" w:cs="Arial"/>
          <w:sz w:val="24"/>
        </w:rPr>
      </w:pPr>
    </w:p>
    <w:p w:rsidR="008F10E2" w:rsidRPr="009A672F" w:rsidRDefault="00526C51" w:rsidP="0022401A">
      <w:pPr>
        <w:tabs>
          <w:tab w:val="left" w:pos="-720"/>
        </w:tabs>
        <w:suppressAutoHyphens/>
        <w:spacing w:line="300" w:lineRule="auto"/>
        <w:jc w:val="both"/>
        <w:rPr>
          <w:rFonts w:ascii="Georgia" w:hAnsi="Georgia" w:cs="Arial"/>
          <w:sz w:val="24"/>
          <w:szCs w:val="24"/>
        </w:rPr>
      </w:pPr>
      <w:r w:rsidRPr="009A672F">
        <w:rPr>
          <w:rFonts w:ascii="Georgia" w:hAnsi="Georgia" w:cs="Arial"/>
          <w:sz w:val="24"/>
        </w:rPr>
        <w:t>Consisten en la concurrencia de legitimación, falta de saneamiento y oportunidad para proponerlas (</w:t>
      </w:r>
      <w:r w:rsidRPr="009A672F">
        <w:rPr>
          <w:rFonts w:ascii="Georgia" w:hAnsi="Georgia" w:cs="Arial"/>
          <w:sz w:val="22"/>
        </w:rPr>
        <w:t xml:space="preserve">Artículos 134, 135 y 136 del </w:t>
      </w:r>
      <w:proofErr w:type="spellStart"/>
      <w:r w:rsidRPr="009A672F">
        <w:rPr>
          <w:rFonts w:ascii="Georgia" w:hAnsi="Georgia" w:cs="Arial"/>
          <w:sz w:val="22"/>
        </w:rPr>
        <w:t>CGP</w:t>
      </w:r>
      <w:proofErr w:type="spellEnd"/>
      <w:r w:rsidRPr="009A672F">
        <w:rPr>
          <w:rFonts w:ascii="Georgia" w:hAnsi="Georgia" w:cs="Arial"/>
          <w:sz w:val="24"/>
        </w:rPr>
        <w:t xml:space="preserve">); verificado el cumplimiento de tales requisitos se abre paso el análisis de la respectiva causal.  En este caso, se hace el pronunciamiento de oficio, conforme autoriza el artículo 137 </w:t>
      </w:r>
      <w:r w:rsidRPr="009A672F">
        <w:rPr>
          <w:rFonts w:ascii="Georgia" w:hAnsi="Georgia" w:cs="Arial"/>
          <w:i/>
          <w:sz w:val="22"/>
        </w:rPr>
        <w:t>ibídem</w:t>
      </w:r>
      <w:r w:rsidRPr="009A672F">
        <w:rPr>
          <w:rFonts w:ascii="Georgia" w:hAnsi="Georgia" w:cs="Arial"/>
          <w:sz w:val="24"/>
        </w:rPr>
        <w:t xml:space="preserve">, por ello hay habilitación legal para declararla, amén de que es tempestivo hacerlo. No obstante, ser una causal restringida a la parte y ser </w:t>
      </w:r>
      <w:proofErr w:type="spellStart"/>
      <w:r w:rsidRPr="009A672F">
        <w:rPr>
          <w:rFonts w:ascii="Georgia" w:hAnsi="Georgia" w:cs="Arial"/>
          <w:sz w:val="24"/>
        </w:rPr>
        <w:t>saneable</w:t>
      </w:r>
      <w:proofErr w:type="spellEnd"/>
      <w:r w:rsidRPr="009A672F">
        <w:rPr>
          <w:rFonts w:ascii="Georgia" w:hAnsi="Georgia" w:cs="Arial"/>
          <w:sz w:val="24"/>
        </w:rPr>
        <w:t xml:space="preserve"> </w:t>
      </w:r>
      <w:r w:rsidRPr="009A672F">
        <w:rPr>
          <w:rFonts w:ascii="Georgia" w:hAnsi="Georgia" w:cs="Arial"/>
          <w:sz w:val="24"/>
          <w:szCs w:val="24"/>
        </w:rPr>
        <w:t>(</w:t>
      </w:r>
      <w:r w:rsidRPr="009A672F">
        <w:rPr>
          <w:rFonts w:ascii="Georgia" w:hAnsi="Georgia" w:cs="Arial"/>
          <w:sz w:val="22"/>
          <w:szCs w:val="24"/>
        </w:rPr>
        <w:t xml:space="preserve">Artículo 135-3, </w:t>
      </w:r>
      <w:proofErr w:type="spellStart"/>
      <w:r w:rsidRPr="009A672F">
        <w:rPr>
          <w:rFonts w:ascii="Georgia" w:hAnsi="Georgia" w:cs="Arial"/>
          <w:sz w:val="22"/>
          <w:szCs w:val="24"/>
        </w:rPr>
        <w:t>CGP</w:t>
      </w:r>
      <w:proofErr w:type="spellEnd"/>
      <w:r w:rsidRPr="009A672F">
        <w:rPr>
          <w:rFonts w:ascii="Georgia" w:hAnsi="Georgia" w:cs="Arial"/>
          <w:sz w:val="24"/>
          <w:szCs w:val="24"/>
        </w:rPr>
        <w:t>)</w:t>
      </w:r>
      <w:r w:rsidRPr="009A672F">
        <w:rPr>
          <w:rFonts w:ascii="Georgia" w:hAnsi="Georgia" w:cs="Arial"/>
          <w:sz w:val="24"/>
        </w:rPr>
        <w:t xml:space="preserve">, </w:t>
      </w:r>
      <w:r w:rsidR="008F10E2" w:rsidRPr="009A672F">
        <w:rPr>
          <w:rFonts w:ascii="Georgia" w:hAnsi="Georgia" w:cs="Arial"/>
          <w:sz w:val="24"/>
        </w:rPr>
        <w:t>ante su ausencia</w:t>
      </w:r>
      <w:r w:rsidR="008F10E2" w:rsidRPr="009A672F">
        <w:rPr>
          <w:rFonts w:ascii="Georgia" w:hAnsi="Georgia" w:cs="Arial"/>
          <w:sz w:val="24"/>
          <w:szCs w:val="24"/>
        </w:rPr>
        <w:t xml:space="preserve">, </w:t>
      </w:r>
      <w:r w:rsidR="008F10E2" w:rsidRPr="009A672F">
        <w:rPr>
          <w:rFonts w:ascii="Georgia" w:hAnsi="Georgia" w:cs="Arial"/>
          <w:sz w:val="24"/>
        </w:rPr>
        <w:t>representada por curador</w:t>
      </w:r>
      <w:r w:rsidR="008F10E2" w:rsidRPr="009A672F">
        <w:rPr>
          <w:rFonts w:ascii="Georgia" w:hAnsi="Georgia" w:cs="Arial"/>
          <w:i/>
          <w:sz w:val="24"/>
          <w:szCs w:val="24"/>
        </w:rPr>
        <w:t xml:space="preserve"> </w:t>
      </w:r>
      <w:r w:rsidR="008F10E2" w:rsidRPr="009A672F">
        <w:rPr>
          <w:rFonts w:ascii="Georgia" w:hAnsi="Georgia" w:cs="Arial"/>
          <w:i/>
          <w:sz w:val="22"/>
          <w:szCs w:val="24"/>
        </w:rPr>
        <w:t xml:space="preserve">ad </w:t>
      </w:r>
      <w:proofErr w:type="spellStart"/>
      <w:r w:rsidR="008F10E2" w:rsidRPr="009A672F">
        <w:rPr>
          <w:rFonts w:ascii="Georgia" w:hAnsi="Georgia" w:cs="Arial"/>
          <w:i/>
          <w:sz w:val="22"/>
          <w:szCs w:val="24"/>
        </w:rPr>
        <w:t>litem</w:t>
      </w:r>
      <w:proofErr w:type="spellEnd"/>
      <w:r w:rsidR="008F10E2" w:rsidRPr="009A672F">
        <w:rPr>
          <w:rFonts w:ascii="Georgia" w:hAnsi="Georgia" w:cs="Arial"/>
          <w:sz w:val="24"/>
          <w:szCs w:val="24"/>
        </w:rPr>
        <w:t xml:space="preserve">, que carece de toda facultad para convalidar la actuación, debe remediarse bajo la declaración de nulidad. </w:t>
      </w:r>
    </w:p>
    <w:p w:rsidR="00E111A4" w:rsidRPr="009A672F" w:rsidRDefault="00E111A4" w:rsidP="0022401A">
      <w:pPr>
        <w:tabs>
          <w:tab w:val="left" w:pos="-720"/>
        </w:tabs>
        <w:suppressAutoHyphens/>
        <w:spacing w:line="300" w:lineRule="auto"/>
        <w:ind w:left="567" w:right="567"/>
        <w:jc w:val="both"/>
        <w:rPr>
          <w:rFonts w:ascii="Georgia" w:hAnsi="Georgia" w:cs="Arial"/>
          <w:spacing w:val="-3"/>
          <w:sz w:val="24"/>
          <w:szCs w:val="24"/>
        </w:rPr>
      </w:pPr>
    </w:p>
    <w:p w:rsidR="00C40F65" w:rsidRPr="009A672F" w:rsidRDefault="00253570" w:rsidP="0022401A">
      <w:pPr>
        <w:pStyle w:val="Prrafodelista"/>
        <w:numPr>
          <w:ilvl w:val="1"/>
          <w:numId w:val="1"/>
        </w:numPr>
        <w:tabs>
          <w:tab w:val="left" w:pos="-720"/>
        </w:tabs>
        <w:suppressAutoHyphens/>
        <w:spacing w:line="300" w:lineRule="auto"/>
        <w:jc w:val="both"/>
        <w:rPr>
          <w:rFonts w:ascii="Georgia" w:hAnsi="Georgia" w:cs="Arial"/>
          <w:smallCaps/>
          <w:spacing w:val="-3"/>
          <w:sz w:val="24"/>
          <w:szCs w:val="24"/>
        </w:rPr>
      </w:pPr>
      <w:r w:rsidRPr="009A672F">
        <w:rPr>
          <w:rFonts w:ascii="Georgia" w:hAnsi="Georgia" w:cs="Arial"/>
          <w:smallCaps/>
          <w:spacing w:val="-3"/>
          <w:sz w:val="24"/>
          <w:szCs w:val="24"/>
        </w:rPr>
        <w:t>El emplazamiento de l</w:t>
      </w:r>
      <w:r w:rsidR="002275CE" w:rsidRPr="009A672F">
        <w:rPr>
          <w:rFonts w:ascii="Georgia" w:hAnsi="Georgia" w:cs="Arial"/>
          <w:smallCaps/>
          <w:spacing w:val="-3"/>
          <w:sz w:val="24"/>
          <w:szCs w:val="24"/>
        </w:rPr>
        <w:t xml:space="preserve">as personas </w:t>
      </w:r>
      <w:r w:rsidR="00071273" w:rsidRPr="009A672F">
        <w:rPr>
          <w:rFonts w:ascii="Georgia" w:hAnsi="Georgia" w:cs="Arial"/>
          <w:smallCaps/>
          <w:spacing w:val="-3"/>
          <w:sz w:val="24"/>
          <w:szCs w:val="24"/>
        </w:rPr>
        <w:t>indeterminad</w:t>
      </w:r>
      <w:r w:rsidR="00873A59" w:rsidRPr="009A672F">
        <w:rPr>
          <w:rFonts w:ascii="Georgia" w:hAnsi="Georgia" w:cs="Arial"/>
          <w:smallCaps/>
          <w:spacing w:val="-3"/>
          <w:sz w:val="24"/>
          <w:szCs w:val="24"/>
        </w:rPr>
        <w:t>a</w:t>
      </w:r>
      <w:r w:rsidR="00071273" w:rsidRPr="009A672F">
        <w:rPr>
          <w:rFonts w:ascii="Georgia" w:hAnsi="Georgia" w:cs="Arial"/>
          <w:smallCaps/>
          <w:spacing w:val="-3"/>
          <w:sz w:val="24"/>
          <w:szCs w:val="24"/>
        </w:rPr>
        <w:t>s</w:t>
      </w:r>
      <w:r w:rsidRPr="009A672F">
        <w:rPr>
          <w:rFonts w:ascii="Georgia" w:hAnsi="Georgia" w:cs="Arial"/>
          <w:smallCaps/>
          <w:spacing w:val="-3"/>
          <w:sz w:val="24"/>
          <w:szCs w:val="24"/>
        </w:rPr>
        <w:t xml:space="preserve"> </w:t>
      </w:r>
    </w:p>
    <w:p w:rsidR="00253570" w:rsidRPr="009A672F" w:rsidRDefault="00253570" w:rsidP="0022401A">
      <w:pPr>
        <w:tabs>
          <w:tab w:val="left" w:pos="-720"/>
          <w:tab w:val="left" w:pos="4185"/>
        </w:tabs>
        <w:suppressAutoHyphens/>
        <w:spacing w:line="300" w:lineRule="auto"/>
        <w:jc w:val="both"/>
        <w:rPr>
          <w:rFonts w:ascii="Georgia" w:hAnsi="Georgia" w:cs="Arial"/>
          <w:spacing w:val="-3"/>
          <w:sz w:val="24"/>
          <w:szCs w:val="24"/>
        </w:rPr>
      </w:pPr>
    </w:p>
    <w:p w:rsidR="002275CE" w:rsidRPr="009A672F" w:rsidRDefault="002275CE" w:rsidP="0022401A">
      <w:pPr>
        <w:tabs>
          <w:tab w:val="left" w:pos="-720"/>
        </w:tabs>
        <w:suppressAutoHyphens/>
        <w:spacing w:line="300" w:lineRule="auto"/>
        <w:jc w:val="both"/>
        <w:rPr>
          <w:rFonts w:ascii="Georgia" w:hAnsi="Georgia" w:cs="Arial"/>
          <w:sz w:val="24"/>
          <w:szCs w:val="24"/>
        </w:rPr>
      </w:pPr>
      <w:r w:rsidRPr="009A672F">
        <w:rPr>
          <w:rFonts w:ascii="Georgia" w:hAnsi="Georgia" w:cs="Arial"/>
          <w:spacing w:val="-3"/>
          <w:sz w:val="24"/>
          <w:szCs w:val="24"/>
        </w:rPr>
        <w:t xml:space="preserve">Establece el artículo 375-7º, </w:t>
      </w:r>
      <w:proofErr w:type="spellStart"/>
      <w:r w:rsidRPr="009A672F">
        <w:rPr>
          <w:rFonts w:ascii="Georgia" w:hAnsi="Georgia" w:cs="Arial"/>
          <w:spacing w:val="-3"/>
          <w:sz w:val="24"/>
          <w:szCs w:val="24"/>
        </w:rPr>
        <w:t>CGP</w:t>
      </w:r>
      <w:proofErr w:type="spellEnd"/>
      <w:r w:rsidRPr="009A672F">
        <w:rPr>
          <w:rFonts w:ascii="Georgia" w:hAnsi="Georgia" w:cs="Arial"/>
          <w:spacing w:val="-3"/>
          <w:sz w:val="24"/>
          <w:szCs w:val="24"/>
        </w:rPr>
        <w:t xml:space="preserve"> que en los procesos de pertenencia, debe cumplirse con el emplazamiento de las personas que se crean con derecho sobre el bien, </w:t>
      </w:r>
      <w:r w:rsidR="00A13E74" w:rsidRPr="009A672F">
        <w:rPr>
          <w:rFonts w:ascii="Georgia" w:hAnsi="Georgia" w:cs="Arial"/>
          <w:spacing w:val="-3"/>
          <w:sz w:val="24"/>
          <w:szCs w:val="24"/>
        </w:rPr>
        <w:t xml:space="preserve">en los términos previstos en ese ordenamiento. También señala que habrá de </w:t>
      </w:r>
      <w:r w:rsidRPr="009A672F">
        <w:rPr>
          <w:rFonts w:ascii="Georgia" w:hAnsi="Georgia" w:cs="Arial"/>
          <w:spacing w:val="-3"/>
          <w:sz w:val="24"/>
          <w:szCs w:val="24"/>
        </w:rPr>
        <w:t>instalar</w:t>
      </w:r>
      <w:r w:rsidR="00A13E74" w:rsidRPr="009A672F">
        <w:rPr>
          <w:rFonts w:ascii="Georgia" w:hAnsi="Georgia" w:cs="Arial"/>
          <w:spacing w:val="-3"/>
          <w:sz w:val="24"/>
          <w:szCs w:val="24"/>
        </w:rPr>
        <w:t>se</w:t>
      </w:r>
      <w:r w:rsidRPr="009A672F">
        <w:rPr>
          <w:rFonts w:ascii="Georgia" w:hAnsi="Georgia" w:cs="Arial"/>
          <w:spacing w:val="-3"/>
          <w:sz w:val="24"/>
          <w:szCs w:val="24"/>
        </w:rPr>
        <w:t xml:space="preserve"> una valla con las especificaciones allí detalladas (</w:t>
      </w:r>
      <w:r w:rsidRPr="009A672F">
        <w:rPr>
          <w:rFonts w:ascii="Georgia" w:hAnsi="Georgia" w:cs="Arial"/>
          <w:spacing w:val="-3"/>
          <w:sz w:val="22"/>
          <w:szCs w:val="24"/>
        </w:rPr>
        <w:t>Información, y dimensiones inclusive para la letra</w:t>
      </w:r>
      <w:r w:rsidRPr="009A672F">
        <w:rPr>
          <w:rFonts w:ascii="Georgia" w:hAnsi="Georgia" w:cs="Arial"/>
          <w:spacing w:val="-3"/>
          <w:sz w:val="24"/>
          <w:szCs w:val="24"/>
        </w:rPr>
        <w:t xml:space="preserve">) y acreditado su establecimiento, en el proceso, deberá ordenarse su inclusión en el </w:t>
      </w:r>
      <w:r w:rsidRPr="009A672F">
        <w:rPr>
          <w:rFonts w:ascii="Georgia" w:hAnsi="Georgia" w:cs="Arial"/>
          <w:sz w:val="24"/>
          <w:szCs w:val="24"/>
        </w:rPr>
        <w:t>“registro nacion</w:t>
      </w:r>
      <w:r w:rsidR="00A13E74" w:rsidRPr="009A672F">
        <w:rPr>
          <w:rFonts w:ascii="Georgia" w:hAnsi="Georgia" w:cs="Arial"/>
          <w:sz w:val="24"/>
          <w:szCs w:val="24"/>
        </w:rPr>
        <w:t xml:space="preserve">al de procesos de pertenencia”. </w:t>
      </w:r>
    </w:p>
    <w:p w:rsidR="002275CE" w:rsidRPr="009A672F" w:rsidRDefault="002275CE" w:rsidP="0022401A">
      <w:pPr>
        <w:tabs>
          <w:tab w:val="left" w:pos="-720"/>
          <w:tab w:val="left" w:pos="4185"/>
        </w:tabs>
        <w:suppressAutoHyphens/>
        <w:spacing w:line="300" w:lineRule="auto"/>
        <w:jc w:val="both"/>
        <w:rPr>
          <w:rFonts w:ascii="Georgia" w:hAnsi="Georgia" w:cs="Arial"/>
          <w:spacing w:val="-3"/>
          <w:sz w:val="24"/>
          <w:szCs w:val="24"/>
        </w:rPr>
      </w:pPr>
    </w:p>
    <w:p w:rsidR="00A13E74" w:rsidRPr="009A672F" w:rsidRDefault="00A13E74" w:rsidP="0022401A">
      <w:pPr>
        <w:spacing w:line="300" w:lineRule="auto"/>
        <w:ind w:right="51"/>
        <w:jc w:val="both"/>
        <w:rPr>
          <w:rFonts w:ascii="Georgia" w:hAnsi="Georgia" w:cs="Arial"/>
          <w:sz w:val="24"/>
          <w:szCs w:val="24"/>
        </w:rPr>
      </w:pPr>
      <w:r w:rsidRPr="009A672F">
        <w:rPr>
          <w:rFonts w:ascii="Georgia" w:hAnsi="Georgia" w:cs="Arial"/>
          <w:sz w:val="24"/>
          <w:szCs w:val="24"/>
        </w:rPr>
        <w:t xml:space="preserve">De manera que habrá de verificarse para ese emplazamiento, además de los requisitos de la valla, los estatuidos en el artículo 108, </w:t>
      </w:r>
      <w:proofErr w:type="spellStart"/>
      <w:r w:rsidRPr="009A672F">
        <w:rPr>
          <w:rFonts w:ascii="Georgia" w:hAnsi="Georgia" w:cs="Arial"/>
          <w:sz w:val="24"/>
          <w:szCs w:val="24"/>
        </w:rPr>
        <w:t>CGP</w:t>
      </w:r>
      <w:proofErr w:type="spellEnd"/>
      <w:r w:rsidRPr="009A672F">
        <w:rPr>
          <w:rFonts w:ascii="Georgia" w:hAnsi="Georgia" w:cs="Arial"/>
          <w:sz w:val="24"/>
          <w:szCs w:val="24"/>
        </w:rPr>
        <w:t xml:space="preserve">, a saber: (i) El nombre del emplazado; (ii) Las partes del proceso; (iii) La clase del proceso; y (iv) El juzgado que lo requiere; información que debe publicarse </w:t>
      </w:r>
      <w:r w:rsidRPr="009A672F">
        <w:rPr>
          <w:rFonts w:ascii="Georgia" w:hAnsi="Georgia" w:cs="Arial"/>
          <w:sz w:val="24"/>
          <w:szCs w:val="24"/>
          <w:u w:val="single"/>
        </w:rPr>
        <w:t>por una sola vez</w:t>
      </w:r>
      <w:r w:rsidRPr="009A672F">
        <w:rPr>
          <w:rFonts w:ascii="Georgia" w:hAnsi="Georgia" w:cs="Arial"/>
          <w:sz w:val="24"/>
          <w:szCs w:val="24"/>
        </w:rPr>
        <w:t xml:space="preserve">, en un diario de amplia circulación nacional o local, o cualquier otro medio masivo de comunicación, a criterio del juez, que postulará al menos dos. Si esa publicación se ordena escrita, se hará en día domingo. </w:t>
      </w:r>
    </w:p>
    <w:p w:rsidR="00A13E74" w:rsidRPr="009A672F" w:rsidRDefault="00A13E74" w:rsidP="0022401A">
      <w:pPr>
        <w:spacing w:line="300" w:lineRule="auto"/>
        <w:ind w:right="51"/>
        <w:jc w:val="both"/>
        <w:rPr>
          <w:rFonts w:ascii="Georgia" w:hAnsi="Georgia" w:cs="Arial"/>
          <w:sz w:val="24"/>
          <w:szCs w:val="24"/>
        </w:rPr>
      </w:pPr>
    </w:p>
    <w:p w:rsidR="00A13E74" w:rsidRPr="009A672F" w:rsidRDefault="00A13E74" w:rsidP="0022401A">
      <w:pPr>
        <w:spacing w:line="300" w:lineRule="auto"/>
        <w:ind w:right="51"/>
        <w:jc w:val="both"/>
        <w:rPr>
          <w:rFonts w:ascii="Georgia" w:hAnsi="Georgia" w:cs="Arial"/>
          <w:sz w:val="24"/>
          <w:szCs w:val="24"/>
        </w:rPr>
      </w:pPr>
      <w:r w:rsidRPr="009A672F">
        <w:rPr>
          <w:rFonts w:ascii="Georgia" w:hAnsi="Georgia" w:cs="Arial"/>
          <w:sz w:val="24"/>
          <w:szCs w:val="24"/>
        </w:rPr>
        <w:t>La parte interesada debe allegar copia informal de la divulgación y verificado el allanamiento a los precitados requisitos, se hará la publicación en el “registro nacional de personas emplazadas” en el que se incluirán, además de los mencionados datos, el número de la cédula de ciudadanía. Luego de transcurridos quince (15) días siguientes de esta publicación se entenderá surtido.</w:t>
      </w:r>
    </w:p>
    <w:p w:rsidR="00A13E74" w:rsidRPr="009A672F" w:rsidRDefault="00A13E74" w:rsidP="0022401A">
      <w:pPr>
        <w:tabs>
          <w:tab w:val="left" w:pos="-720"/>
          <w:tab w:val="left" w:pos="4185"/>
        </w:tabs>
        <w:suppressAutoHyphens/>
        <w:spacing w:line="300" w:lineRule="auto"/>
        <w:jc w:val="both"/>
        <w:rPr>
          <w:rFonts w:ascii="Georgia" w:hAnsi="Georgia" w:cs="Arial"/>
          <w:spacing w:val="-3"/>
          <w:sz w:val="24"/>
          <w:szCs w:val="24"/>
        </w:rPr>
      </w:pPr>
    </w:p>
    <w:p w:rsidR="00253570" w:rsidRPr="009A672F" w:rsidRDefault="00253570" w:rsidP="0022401A">
      <w:pPr>
        <w:spacing w:line="300" w:lineRule="auto"/>
        <w:ind w:right="51"/>
        <w:jc w:val="both"/>
        <w:rPr>
          <w:rFonts w:ascii="Georgia" w:hAnsi="Georgia" w:cs="Arial"/>
          <w:sz w:val="24"/>
          <w:szCs w:val="24"/>
        </w:rPr>
      </w:pPr>
      <w:r w:rsidRPr="009A672F">
        <w:rPr>
          <w:rFonts w:ascii="Georgia" w:hAnsi="Georgia" w:cs="Arial"/>
          <w:sz w:val="24"/>
          <w:szCs w:val="24"/>
        </w:rPr>
        <w:t xml:space="preserve">El parágrafo 1º del </w:t>
      </w:r>
      <w:r w:rsidR="00A13E74" w:rsidRPr="009A672F">
        <w:rPr>
          <w:rFonts w:ascii="Georgia" w:hAnsi="Georgia" w:cs="Arial"/>
          <w:sz w:val="24"/>
          <w:szCs w:val="24"/>
        </w:rPr>
        <w:t>pre</w:t>
      </w:r>
      <w:r w:rsidRPr="009A672F">
        <w:rPr>
          <w:rFonts w:ascii="Georgia" w:hAnsi="Georgia" w:cs="Arial"/>
          <w:sz w:val="24"/>
          <w:szCs w:val="24"/>
        </w:rPr>
        <w:t xml:space="preserve">citado artículo, dispuso que respecto al mencionado registro y los nacionales de procesos de pertenencia, bienes vacantes y mostrencos, así como de sucesorios, sería regulado por el CSJ, para: (i) Determinar la forma de darle publicidad; (ii) </w:t>
      </w:r>
      <w:r w:rsidRPr="009A672F">
        <w:rPr>
          <w:rFonts w:ascii="Georgia" w:hAnsi="Georgia" w:cs="Arial"/>
          <w:sz w:val="24"/>
          <w:szCs w:val="24"/>
          <w:u w:val="single"/>
        </w:rPr>
        <w:t>Garantizar el acceso</w:t>
      </w:r>
      <w:r w:rsidRPr="009A672F">
        <w:rPr>
          <w:rFonts w:ascii="Georgia" w:hAnsi="Georgia" w:cs="Arial"/>
          <w:sz w:val="24"/>
          <w:szCs w:val="24"/>
        </w:rPr>
        <w:t xml:space="preserve">; y, (iii) Establecer la base de datos que permita consultar la información. Sin mayores diferencias, </w:t>
      </w:r>
      <w:r w:rsidR="00411109" w:rsidRPr="009A672F">
        <w:rPr>
          <w:rFonts w:ascii="Georgia" w:hAnsi="Georgia" w:cs="Arial"/>
          <w:sz w:val="24"/>
          <w:szCs w:val="24"/>
        </w:rPr>
        <w:t>así lo</w:t>
      </w:r>
      <w:r w:rsidRPr="009A672F">
        <w:rPr>
          <w:rFonts w:ascii="Georgia" w:hAnsi="Georgia" w:cs="Arial"/>
          <w:sz w:val="24"/>
          <w:szCs w:val="24"/>
        </w:rPr>
        <w:t xml:space="preserve"> considera</w:t>
      </w:r>
      <w:r w:rsidR="00411109" w:rsidRPr="009A672F">
        <w:rPr>
          <w:rFonts w:ascii="Georgia" w:hAnsi="Georgia" w:cs="Arial"/>
          <w:sz w:val="24"/>
          <w:szCs w:val="24"/>
        </w:rPr>
        <w:t>n</w:t>
      </w:r>
      <w:r w:rsidRPr="009A672F">
        <w:rPr>
          <w:rFonts w:ascii="Georgia" w:hAnsi="Georgia" w:cs="Arial"/>
          <w:sz w:val="24"/>
        </w:rPr>
        <w:t xml:space="preserve"> López B</w:t>
      </w:r>
      <w:r w:rsidR="00F32FED" w:rsidRPr="009A672F">
        <w:rPr>
          <w:rFonts w:ascii="Georgia" w:hAnsi="Georgia" w:cs="Arial"/>
          <w:sz w:val="24"/>
        </w:rPr>
        <w:t>.</w:t>
      </w:r>
      <w:r w:rsidRPr="009A672F">
        <w:rPr>
          <w:rFonts w:ascii="Georgia" w:hAnsi="Georgia" w:cs="Arial"/>
          <w:sz w:val="24"/>
          <w:szCs w:val="24"/>
          <w:vertAlign w:val="superscript"/>
        </w:rPr>
        <w:footnoteReference w:id="7"/>
      </w:r>
      <w:r w:rsidRPr="009A672F">
        <w:rPr>
          <w:rFonts w:ascii="Georgia" w:hAnsi="Georgia" w:cs="Arial"/>
          <w:sz w:val="24"/>
        </w:rPr>
        <w:t xml:space="preserve"> y Rojas G</w:t>
      </w:r>
      <w:r w:rsidR="00F32FED" w:rsidRPr="009A672F">
        <w:rPr>
          <w:rFonts w:ascii="Georgia" w:hAnsi="Georgia" w:cs="Arial"/>
          <w:sz w:val="24"/>
        </w:rPr>
        <w:t>.</w:t>
      </w:r>
      <w:r w:rsidRPr="009A672F">
        <w:rPr>
          <w:rStyle w:val="Refdenotaalpie"/>
          <w:rFonts w:ascii="Georgia" w:hAnsi="Georgia"/>
          <w:sz w:val="24"/>
        </w:rPr>
        <w:footnoteReference w:id="8"/>
      </w:r>
      <w:r w:rsidRPr="009A672F">
        <w:rPr>
          <w:rFonts w:ascii="Georgia" w:hAnsi="Georgia" w:cs="Arial"/>
          <w:sz w:val="24"/>
          <w:szCs w:val="24"/>
        </w:rPr>
        <w:t>.</w:t>
      </w:r>
    </w:p>
    <w:p w:rsidR="00253570" w:rsidRPr="009A672F" w:rsidRDefault="00253570" w:rsidP="0022401A">
      <w:pPr>
        <w:spacing w:line="300" w:lineRule="auto"/>
        <w:ind w:right="51"/>
        <w:jc w:val="both"/>
        <w:rPr>
          <w:rFonts w:ascii="Georgia" w:hAnsi="Georgia" w:cs="Arial"/>
          <w:sz w:val="24"/>
          <w:szCs w:val="24"/>
        </w:rPr>
      </w:pPr>
    </w:p>
    <w:p w:rsidR="00F93A07" w:rsidRPr="009A672F" w:rsidRDefault="00253570" w:rsidP="0022401A">
      <w:pPr>
        <w:spacing w:line="300" w:lineRule="auto"/>
        <w:ind w:right="51"/>
        <w:jc w:val="both"/>
        <w:rPr>
          <w:rFonts w:ascii="Arial" w:hAnsi="Arial" w:cs="Arial"/>
          <w:sz w:val="24"/>
          <w:szCs w:val="24"/>
        </w:rPr>
      </w:pPr>
      <w:r w:rsidRPr="009A672F">
        <w:rPr>
          <w:rFonts w:ascii="Georgia" w:hAnsi="Georgia" w:cs="Arial"/>
          <w:sz w:val="24"/>
          <w:szCs w:val="24"/>
        </w:rPr>
        <w:t xml:space="preserve">Ahora, en ejercicio de esa función reglamentaria, la citada Corporación emitió el </w:t>
      </w:r>
      <w:r w:rsidR="00411109" w:rsidRPr="009A672F">
        <w:rPr>
          <w:rFonts w:ascii="Georgia" w:hAnsi="Georgia" w:cs="Arial"/>
          <w:sz w:val="24"/>
          <w:szCs w:val="24"/>
        </w:rPr>
        <w:t xml:space="preserve">Acuerdo </w:t>
      </w:r>
      <w:proofErr w:type="spellStart"/>
      <w:r w:rsidRPr="009A672F">
        <w:rPr>
          <w:rFonts w:ascii="Georgia" w:hAnsi="Georgia" w:cs="Arial"/>
          <w:sz w:val="24"/>
          <w:szCs w:val="24"/>
        </w:rPr>
        <w:t>PSAA14</w:t>
      </w:r>
      <w:proofErr w:type="spellEnd"/>
      <w:r w:rsidRPr="009A672F">
        <w:rPr>
          <w:rFonts w:ascii="Georgia" w:hAnsi="Georgia" w:cs="Arial"/>
          <w:sz w:val="24"/>
          <w:szCs w:val="24"/>
        </w:rPr>
        <w:t xml:space="preserve">-10118 en el cual precisó </w:t>
      </w:r>
      <w:r w:rsidRPr="009A672F">
        <w:rPr>
          <w:rFonts w:ascii="Georgia" w:hAnsi="Georgia" w:cs="Arial"/>
          <w:sz w:val="24"/>
          <w:szCs w:val="24"/>
          <w:u w:val="single"/>
        </w:rPr>
        <w:t xml:space="preserve">que la inclusión de la información, en cada registro, correspondía al </w:t>
      </w:r>
      <w:r w:rsidRPr="009A672F">
        <w:rPr>
          <w:rFonts w:ascii="Georgia" w:hAnsi="Georgia" w:cs="Arial"/>
          <w:smallCaps/>
          <w:sz w:val="24"/>
          <w:szCs w:val="24"/>
          <w:u w:val="single"/>
        </w:rPr>
        <w:t>juzgado de conocimiento</w:t>
      </w:r>
      <w:r w:rsidRPr="009A672F">
        <w:rPr>
          <w:rFonts w:ascii="Georgia" w:hAnsi="Georgia" w:cs="Arial"/>
          <w:sz w:val="24"/>
          <w:szCs w:val="24"/>
          <w:u w:val="single"/>
        </w:rPr>
        <w:t>, previa orden del juez (Artículos 1º y 2º)</w:t>
      </w:r>
      <w:r w:rsidRPr="009A672F">
        <w:rPr>
          <w:rFonts w:ascii="Georgia" w:hAnsi="Georgia" w:cs="Arial"/>
          <w:sz w:val="24"/>
          <w:szCs w:val="24"/>
        </w:rPr>
        <w:t xml:space="preserve"> y amplió esa disposición en lo tocante al “registro nacional de personas emplazadas” en el artículo 5º, al indicar: “</w:t>
      </w:r>
      <w:r w:rsidRPr="009A672F">
        <w:rPr>
          <w:rFonts w:ascii="Georgia" w:hAnsi="Georgia" w:cs="Arial"/>
          <w:i/>
          <w:sz w:val="22"/>
          <w:szCs w:val="24"/>
        </w:rPr>
        <w:t xml:space="preserve">(…) Una vez efectuada la publicación en uno de los medios expresamente señalados por el juez, </w:t>
      </w:r>
      <w:r w:rsidRPr="009A672F">
        <w:rPr>
          <w:rFonts w:ascii="Georgia" w:hAnsi="Georgia" w:cs="Arial"/>
          <w:i/>
          <w:sz w:val="22"/>
          <w:szCs w:val="24"/>
          <w:u w:val="single"/>
        </w:rPr>
        <w:t xml:space="preserve">la parte interesada deberá solicitar la inclusión de los datos de la persona requerida en el Registro Nacional de Personas Emplazadas, </w:t>
      </w:r>
      <w:r w:rsidRPr="009A672F">
        <w:rPr>
          <w:rFonts w:ascii="Georgia" w:hAnsi="Georgia" w:cs="Arial"/>
          <w:i/>
          <w:smallCaps/>
          <w:sz w:val="22"/>
          <w:szCs w:val="24"/>
          <w:u w:val="single"/>
        </w:rPr>
        <w:t>para lo cual el despacho ordenará</w:t>
      </w:r>
      <w:r w:rsidRPr="009A672F">
        <w:rPr>
          <w:rFonts w:ascii="Georgia" w:hAnsi="Georgia" w:cs="Arial"/>
          <w:i/>
          <w:sz w:val="22"/>
          <w:szCs w:val="24"/>
          <w:u w:val="single"/>
        </w:rPr>
        <w:t xml:space="preserve"> previo</w:t>
      </w:r>
      <w:r w:rsidRPr="009A672F">
        <w:rPr>
          <w:rFonts w:ascii="Georgia" w:hAnsi="Georgia" w:cs="Arial"/>
          <w:i/>
          <w:sz w:val="22"/>
          <w:szCs w:val="24"/>
        </w:rPr>
        <w:t xml:space="preserve"> el cumplimiento de los requisitos legales la inclusión de la siguiente información en la base de datos: (…)”</w:t>
      </w:r>
      <w:r w:rsidRPr="009A672F">
        <w:rPr>
          <w:rFonts w:ascii="Georgia" w:hAnsi="Georgia" w:cs="Arial"/>
          <w:sz w:val="24"/>
          <w:szCs w:val="24"/>
        </w:rPr>
        <w:t xml:space="preserve">. </w:t>
      </w:r>
      <w:proofErr w:type="spellStart"/>
      <w:r w:rsidRPr="009A672F">
        <w:rPr>
          <w:rFonts w:ascii="Georgia" w:hAnsi="Georgia" w:cs="Arial"/>
          <w:sz w:val="24"/>
          <w:szCs w:val="24"/>
        </w:rPr>
        <w:t>Sublínea</w:t>
      </w:r>
      <w:proofErr w:type="spellEnd"/>
      <w:r w:rsidRPr="009A672F">
        <w:rPr>
          <w:rFonts w:ascii="Georgia" w:hAnsi="Georgia" w:cs="Arial"/>
          <w:sz w:val="24"/>
          <w:szCs w:val="24"/>
        </w:rPr>
        <w:t xml:space="preserve"> y versalitas, fuera de texto.</w:t>
      </w:r>
      <w:r w:rsidR="00612738" w:rsidRPr="009A672F">
        <w:rPr>
          <w:rFonts w:ascii="Georgia" w:hAnsi="Georgia" w:cs="Arial"/>
          <w:sz w:val="24"/>
          <w:szCs w:val="24"/>
        </w:rPr>
        <w:t xml:space="preserve"> Este sistema debe permitir la consulta de la información registrada, por lo menos, durante un (1) año contado desde la publicación.</w:t>
      </w:r>
    </w:p>
    <w:p w:rsidR="00F93A07" w:rsidRPr="009A672F" w:rsidRDefault="00F93A07" w:rsidP="0022401A">
      <w:pPr>
        <w:spacing w:line="300" w:lineRule="auto"/>
        <w:ind w:right="51"/>
        <w:jc w:val="both"/>
        <w:rPr>
          <w:rFonts w:ascii="Georgia" w:hAnsi="Georgia" w:cs="Arial"/>
          <w:sz w:val="24"/>
          <w:szCs w:val="24"/>
        </w:rPr>
      </w:pPr>
    </w:p>
    <w:p w:rsidR="00F93A07" w:rsidRPr="009A672F" w:rsidRDefault="00AD2134" w:rsidP="0022401A">
      <w:pPr>
        <w:spacing w:line="300" w:lineRule="auto"/>
        <w:ind w:right="51"/>
        <w:jc w:val="both"/>
        <w:rPr>
          <w:rFonts w:ascii="Arial" w:hAnsi="Arial" w:cs="Arial"/>
          <w:sz w:val="24"/>
          <w:szCs w:val="24"/>
        </w:rPr>
      </w:pPr>
      <w:r w:rsidRPr="009A672F">
        <w:rPr>
          <w:rFonts w:ascii="Georgia" w:hAnsi="Georgia" w:cs="Arial"/>
          <w:sz w:val="24"/>
          <w:szCs w:val="24"/>
        </w:rPr>
        <w:t>En ese orden de ideas</w:t>
      </w:r>
      <w:r w:rsidR="00F93A07" w:rsidRPr="009A672F">
        <w:rPr>
          <w:rFonts w:ascii="Georgia" w:hAnsi="Georgia" w:cs="Arial"/>
          <w:sz w:val="24"/>
          <w:szCs w:val="24"/>
        </w:rPr>
        <w:t xml:space="preserve">, el incumplimiento de alguno de los referidos supuestos y/o etapas, hace irregular el trámite, con mayor razón cuando la(s) persona(s) no se </w:t>
      </w:r>
      <w:r w:rsidR="00F93A07" w:rsidRPr="009A672F">
        <w:rPr>
          <w:rFonts w:ascii="Georgia" w:hAnsi="Georgia" w:cs="Arial"/>
          <w:sz w:val="24"/>
          <w:szCs w:val="24"/>
        </w:rPr>
        <w:lastRenderedPageBreak/>
        <w:t>hace</w:t>
      </w:r>
      <w:r w:rsidR="00D27CA0" w:rsidRPr="009A672F">
        <w:rPr>
          <w:rFonts w:ascii="Georgia" w:hAnsi="Georgia" w:cs="Arial"/>
          <w:sz w:val="24"/>
          <w:szCs w:val="24"/>
        </w:rPr>
        <w:t>(</w:t>
      </w:r>
      <w:r w:rsidR="00F93A07" w:rsidRPr="009A672F">
        <w:rPr>
          <w:rFonts w:ascii="Georgia" w:hAnsi="Georgia" w:cs="Arial"/>
          <w:sz w:val="24"/>
          <w:szCs w:val="24"/>
        </w:rPr>
        <w:t>n</w:t>
      </w:r>
      <w:r w:rsidR="00D27CA0" w:rsidRPr="009A672F">
        <w:rPr>
          <w:rFonts w:ascii="Georgia" w:hAnsi="Georgia" w:cs="Arial"/>
          <w:sz w:val="24"/>
          <w:szCs w:val="24"/>
        </w:rPr>
        <w:t>)</w:t>
      </w:r>
      <w:r w:rsidR="00F93A07" w:rsidRPr="009A672F">
        <w:rPr>
          <w:rFonts w:ascii="Georgia" w:hAnsi="Georgia" w:cs="Arial"/>
          <w:sz w:val="24"/>
          <w:szCs w:val="24"/>
        </w:rPr>
        <w:t xml:space="preserve"> presente</w:t>
      </w:r>
      <w:r w:rsidR="00D27CA0" w:rsidRPr="009A672F">
        <w:rPr>
          <w:rFonts w:ascii="Georgia" w:hAnsi="Georgia" w:cs="Arial"/>
          <w:sz w:val="24"/>
          <w:szCs w:val="24"/>
        </w:rPr>
        <w:t>(</w:t>
      </w:r>
      <w:r w:rsidR="00F93A07" w:rsidRPr="009A672F">
        <w:rPr>
          <w:rFonts w:ascii="Georgia" w:hAnsi="Georgia" w:cs="Arial"/>
          <w:sz w:val="24"/>
          <w:szCs w:val="24"/>
        </w:rPr>
        <w:t>s</w:t>
      </w:r>
      <w:r w:rsidR="00D27CA0" w:rsidRPr="009A672F">
        <w:rPr>
          <w:rFonts w:ascii="Georgia" w:hAnsi="Georgia" w:cs="Arial"/>
          <w:sz w:val="24"/>
          <w:szCs w:val="24"/>
        </w:rPr>
        <w:t>)</w:t>
      </w:r>
      <w:r w:rsidR="00F93A07" w:rsidRPr="009A672F">
        <w:rPr>
          <w:rFonts w:ascii="Georgia" w:hAnsi="Georgia" w:cs="Arial"/>
          <w:sz w:val="24"/>
          <w:szCs w:val="24"/>
        </w:rPr>
        <w:t xml:space="preserve"> al litigio y luego de emplazada</w:t>
      </w:r>
      <w:r w:rsidR="001055C0" w:rsidRPr="009A672F">
        <w:rPr>
          <w:rFonts w:ascii="Georgia" w:hAnsi="Georgia" w:cs="Arial"/>
          <w:sz w:val="24"/>
          <w:szCs w:val="24"/>
        </w:rPr>
        <w:t xml:space="preserve"> (s)</w:t>
      </w:r>
      <w:r w:rsidR="00F93A07" w:rsidRPr="009A672F">
        <w:rPr>
          <w:rFonts w:ascii="Georgia" w:hAnsi="Georgia" w:cs="Arial"/>
          <w:sz w:val="24"/>
          <w:szCs w:val="24"/>
        </w:rPr>
        <w:t xml:space="preserve"> se le</w:t>
      </w:r>
      <w:r w:rsidR="00D27CA0" w:rsidRPr="009A672F">
        <w:rPr>
          <w:rFonts w:ascii="Georgia" w:hAnsi="Georgia" w:cs="Arial"/>
          <w:sz w:val="24"/>
          <w:szCs w:val="24"/>
        </w:rPr>
        <w:t>(s)</w:t>
      </w:r>
      <w:r w:rsidR="00F93A07" w:rsidRPr="009A672F">
        <w:rPr>
          <w:rFonts w:ascii="Georgia" w:hAnsi="Georgia" w:cs="Arial"/>
          <w:sz w:val="24"/>
          <w:szCs w:val="24"/>
        </w:rPr>
        <w:t xml:space="preserve"> nombra curador </w:t>
      </w:r>
      <w:r w:rsidR="00F93A07" w:rsidRPr="009A672F">
        <w:rPr>
          <w:rFonts w:ascii="Georgia" w:hAnsi="Georgia" w:cs="Arial"/>
          <w:i/>
          <w:sz w:val="24"/>
          <w:szCs w:val="24"/>
        </w:rPr>
        <w:t xml:space="preserve">ad </w:t>
      </w:r>
      <w:proofErr w:type="spellStart"/>
      <w:r w:rsidR="00F93A07" w:rsidRPr="009A672F">
        <w:rPr>
          <w:rFonts w:ascii="Georgia" w:hAnsi="Georgia" w:cs="Arial"/>
          <w:i/>
          <w:sz w:val="24"/>
          <w:szCs w:val="24"/>
        </w:rPr>
        <w:t>litem</w:t>
      </w:r>
      <w:proofErr w:type="spellEnd"/>
      <w:r w:rsidR="00F93A07" w:rsidRPr="009A672F">
        <w:rPr>
          <w:rFonts w:ascii="Georgia" w:hAnsi="Georgia" w:cs="Arial"/>
          <w:i/>
          <w:sz w:val="24"/>
          <w:szCs w:val="24"/>
        </w:rPr>
        <w:t>,</w:t>
      </w:r>
      <w:r w:rsidR="00F93A07" w:rsidRPr="009A672F">
        <w:rPr>
          <w:rFonts w:ascii="Georgia" w:hAnsi="Georgia" w:cs="Arial"/>
          <w:sz w:val="24"/>
          <w:szCs w:val="24"/>
        </w:rPr>
        <w:t xml:space="preserve"> quien se itera, carece de toda facultad para convalidar la actuación</w:t>
      </w:r>
      <w:r w:rsidR="00317A08" w:rsidRPr="009A672F">
        <w:rPr>
          <w:rFonts w:ascii="Georgia" w:hAnsi="Georgia" w:cs="Arial"/>
          <w:sz w:val="24"/>
          <w:szCs w:val="24"/>
        </w:rPr>
        <w:t>;</w:t>
      </w:r>
      <w:r w:rsidR="00F93A07" w:rsidRPr="009A672F">
        <w:rPr>
          <w:rFonts w:ascii="Georgia" w:hAnsi="Georgia" w:cs="Arial"/>
          <w:sz w:val="24"/>
          <w:szCs w:val="24"/>
        </w:rPr>
        <w:t xml:space="preserve"> de allí que la actuación sea anómala al tipificarse la causal del artículo 133-8º</w:t>
      </w:r>
      <w:r w:rsidR="001055C0" w:rsidRPr="009A672F">
        <w:rPr>
          <w:rFonts w:ascii="Georgia" w:hAnsi="Georgia" w:cs="Arial"/>
          <w:sz w:val="24"/>
          <w:szCs w:val="24"/>
        </w:rPr>
        <w:t xml:space="preserve">, </w:t>
      </w:r>
      <w:proofErr w:type="spellStart"/>
      <w:r w:rsidR="00F93A07" w:rsidRPr="009A672F">
        <w:rPr>
          <w:rFonts w:ascii="Georgia" w:hAnsi="Georgia" w:cs="Arial"/>
          <w:sz w:val="24"/>
          <w:szCs w:val="24"/>
        </w:rPr>
        <w:t>CGP</w:t>
      </w:r>
      <w:proofErr w:type="spellEnd"/>
      <w:r w:rsidR="00F93A07" w:rsidRPr="009A672F">
        <w:rPr>
          <w:rFonts w:ascii="Georgia" w:hAnsi="Georgia" w:cs="Arial"/>
          <w:sz w:val="24"/>
          <w:szCs w:val="24"/>
        </w:rPr>
        <w:t xml:space="preserve"> y la única forma de remediarla es mediante la declaratoria de nulidad. </w:t>
      </w:r>
    </w:p>
    <w:p w:rsidR="00C40F65" w:rsidRPr="009A672F" w:rsidRDefault="00C40F65" w:rsidP="0022401A">
      <w:pPr>
        <w:tabs>
          <w:tab w:val="left" w:pos="-720"/>
        </w:tabs>
        <w:suppressAutoHyphens/>
        <w:spacing w:line="300" w:lineRule="auto"/>
        <w:ind w:left="567" w:right="567"/>
        <w:jc w:val="both"/>
        <w:rPr>
          <w:rFonts w:ascii="Georgia" w:hAnsi="Georgia" w:cs="Arial"/>
          <w:spacing w:val="-3"/>
          <w:sz w:val="24"/>
          <w:szCs w:val="24"/>
        </w:rPr>
      </w:pPr>
    </w:p>
    <w:p w:rsidR="0006374F" w:rsidRPr="009A672F" w:rsidRDefault="0006374F" w:rsidP="0022401A">
      <w:pPr>
        <w:pStyle w:val="Prrafodelista"/>
        <w:numPr>
          <w:ilvl w:val="0"/>
          <w:numId w:val="1"/>
        </w:numPr>
        <w:tabs>
          <w:tab w:val="left" w:pos="-720"/>
        </w:tabs>
        <w:suppressAutoHyphens/>
        <w:spacing w:line="300" w:lineRule="auto"/>
        <w:jc w:val="both"/>
        <w:rPr>
          <w:rFonts w:ascii="Georgia" w:hAnsi="Georgia" w:cs="Arial"/>
          <w:smallCaps/>
          <w:spacing w:val="-3"/>
          <w:sz w:val="26"/>
          <w:szCs w:val="26"/>
        </w:rPr>
      </w:pPr>
      <w:r w:rsidRPr="009A672F">
        <w:rPr>
          <w:rFonts w:ascii="Georgia" w:hAnsi="Georgia" w:cs="Arial"/>
          <w:smallCaps/>
          <w:spacing w:val="-3"/>
          <w:sz w:val="26"/>
          <w:szCs w:val="26"/>
        </w:rPr>
        <w:t>El caso concreto que se analiza</w:t>
      </w:r>
    </w:p>
    <w:p w:rsidR="0006374F" w:rsidRPr="009A672F" w:rsidRDefault="0006374F" w:rsidP="0022401A">
      <w:pPr>
        <w:tabs>
          <w:tab w:val="left" w:pos="-720"/>
        </w:tabs>
        <w:suppressAutoHyphens/>
        <w:spacing w:line="300" w:lineRule="auto"/>
        <w:ind w:left="567" w:right="567"/>
        <w:jc w:val="both"/>
        <w:rPr>
          <w:rFonts w:ascii="Georgia" w:hAnsi="Georgia" w:cs="Arial"/>
          <w:spacing w:val="-3"/>
          <w:sz w:val="24"/>
          <w:szCs w:val="24"/>
        </w:rPr>
      </w:pPr>
    </w:p>
    <w:p w:rsidR="005846B6" w:rsidRPr="009A672F" w:rsidRDefault="0006374F" w:rsidP="0022401A">
      <w:pPr>
        <w:spacing w:line="300" w:lineRule="auto"/>
        <w:jc w:val="both"/>
        <w:rPr>
          <w:rFonts w:ascii="Georgia" w:hAnsi="Georgia" w:cs="Arial"/>
          <w:sz w:val="24"/>
          <w:szCs w:val="24"/>
        </w:rPr>
      </w:pPr>
      <w:r w:rsidRPr="009A672F">
        <w:rPr>
          <w:rFonts w:ascii="Georgia" w:hAnsi="Georgia" w:cs="Arial"/>
          <w:sz w:val="24"/>
          <w:szCs w:val="24"/>
        </w:rPr>
        <w:t xml:space="preserve">Hecha </w:t>
      </w:r>
      <w:r w:rsidR="00F2764C" w:rsidRPr="009A672F">
        <w:rPr>
          <w:rFonts w:ascii="Georgia" w:hAnsi="Georgia" w:cs="Arial"/>
          <w:sz w:val="24"/>
          <w:szCs w:val="24"/>
        </w:rPr>
        <w:t>la verificación del emplazamiento</w:t>
      </w:r>
      <w:r w:rsidR="00363D16" w:rsidRPr="009A672F">
        <w:rPr>
          <w:rFonts w:ascii="Georgia" w:hAnsi="Georgia" w:cs="Arial"/>
          <w:sz w:val="24"/>
          <w:szCs w:val="24"/>
        </w:rPr>
        <w:t xml:space="preserve"> surtido</w:t>
      </w:r>
      <w:r w:rsidR="00A13E74" w:rsidRPr="009A672F">
        <w:rPr>
          <w:rFonts w:ascii="Georgia" w:hAnsi="Georgia" w:cs="Arial"/>
          <w:sz w:val="24"/>
          <w:szCs w:val="24"/>
        </w:rPr>
        <w:t xml:space="preserve"> para las personas indeterminadas </w:t>
      </w:r>
      <w:r w:rsidR="00F2764C" w:rsidRPr="009A672F">
        <w:rPr>
          <w:rFonts w:ascii="Georgia" w:hAnsi="Georgia" w:cs="Arial"/>
          <w:sz w:val="24"/>
          <w:szCs w:val="24"/>
        </w:rPr>
        <w:t xml:space="preserve"> (</w:t>
      </w:r>
      <w:r w:rsidR="006A13F4" w:rsidRPr="009A672F">
        <w:rPr>
          <w:rFonts w:ascii="Georgia" w:hAnsi="Georgia" w:cs="Arial"/>
          <w:sz w:val="22"/>
          <w:szCs w:val="24"/>
        </w:rPr>
        <w:t xml:space="preserve">Folios </w:t>
      </w:r>
      <w:r w:rsidR="00F4262A" w:rsidRPr="009A672F">
        <w:rPr>
          <w:rFonts w:ascii="Georgia" w:hAnsi="Georgia" w:cs="Arial"/>
          <w:sz w:val="22"/>
          <w:szCs w:val="24"/>
        </w:rPr>
        <w:t xml:space="preserve">50-51 y 58-59, cuaderno </w:t>
      </w:r>
      <w:proofErr w:type="spellStart"/>
      <w:r w:rsidR="00F4262A" w:rsidRPr="009A672F">
        <w:rPr>
          <w:rFonts w:ascii="Georgia" w:hAnsi="Georgia" w:cs="Arial"/>
          <w:sz w:val="22"/>
          <w:szCs w:val="24"/>
        </w:rPr>
        <w:t>No.4</w:t>
      </w:r>
      <w:proofErr w:type="spellEnd"/>
      <w:r w:rsidR="00F2764C" w:rsidRPr="009A672F">
        <w:rPr>
          <w:rFonts w:ascii="Georgia" w:hAnsi="Georgia" w:cs="Arial"/>
          <w:sz w:val="24"/>
          <w:szCs w:val="24"/>
        </w:rPr>
        <w:t xml:space="preserve">), </w:t>
      </w:r>
      <w:r w:rsidR="00317A08" w:rsidRPr="009A672F">
        <w:rPr>
          <w:rFonts w:ascii="Georgia" w:hAnsi="Georgia" w:cs="Arial"/>
          <w:sz w:val="24"/>
          <w:szCs w:val="24"/>
        </w:rPr>
        <w:t>acorde</w:t>
      </w:r>
      <w:r w:rsidR="00F2764C" w:rsidRPr="009A672F">
        <w:rPr>
          <w:rFonts w:ascii="Georgia" w:hAnsi="Georgia" w:cs="Arial"/>
          <w:sz w:val="24"/>
          <w:szCs w:val="24"/>
        </w:rPr>
        <w:t xml:space="preserve"> a </w:t>
      </w:r>
      <w:r w:rsidR="00F2764C" w:rsidRPr="009A672F">
        <w:rPr>
          <w:rFonts w:ascii="Georgia" w:hAnsi="Georgia" w:cs="Arial"/>
          <w:spacing w:val="-3"/>
          <w:sz w:val="24"/>
          <w:szCs w:val="24"/>
        </w:rPr>
        <w:t>las premisas jurídicas precitadas en este asunto</w:t>
      </w:r>
      <w:r w:rsidR="00FC7E53" w:rsidRPr="009A672F">
        <w:rPr>
          <w:rFonts w:ascii="Georgia" w:hAnsi="Georgia" w:cs="Arial"/>
          <w:spacing w:val="-3"/>
          <w:sz w:val="24"/>
          <w:szCs w:val="24"/>
        </w:rPr>
        <w:t>,</w:t>
      </w:r>
      <w:r w:rsidR="00F2764C" w:rsidRPr="009A672F">
        <w:rPr>
          <w:rFonts w:ascii="Georgia" w:hAnsi="Georgia" w:cs="Arial"/>
          <w:spacing w:val="-3"/>
          <w:sz w:val="24"/>
          <w:szCs w:val="24"/>
        </w:rPr>
        <w:t xml:space="preserve"> se ha configurado la </w:t>
      </w:r>
      <w:r w:rsidR="00363D16" w:rsidRPr="009A672F">
        <w:rPr>
          <w:rFonts w:ascii="Georgia" w:hAnsi="Georgia" w:cs="Arial"/>
          <w:spacing w:val="-3"/>
          <w:sz w:val="24"/>
          <w:szCs w:val="24"/>
        </w:rPr>
        <w:t>aludida irregularidad.</w:t>
      </w:r>
      <w:r w:rsidR="005E5E74" w:rsidRPr="009A672F">
        <w:rPr>
          <w:rFonts w:ascii="Georgia" w:hAnsi="Georgia" w:cs="Arial"/>
          <w:sz w:val="24"/>
          <w:szCs w:val="24"/>
        </w:rPr>
        <w:t xml:space="preserve"> </w:t>
      </w:r>
    </w:p>
    <w:p w:rsidR="005846B6" w:rsidRPr="009A672F" w:rsidRDefault="005846B6" w:rsidP="0022401A">
      <w:pPr>
        <w:spacing w:line="300" w:lineRule="auto"/>
        <w:jc w:val="both"/>
        <w:rPr>
          <w:rFonts w:ascii="Georgia" w:hAnsi="Georgia" w:cs="Arial"/>
          <w:sz w:val="24"/>
          <w:szCs w:val="24"/>
        </w:rPr>
      </w:pPr>
    </w:p>
    <w:p w:rsidR="00F4262A" w:rsidRPr="009A672F" w:rsidRDefault="00363D16" w:rsidP="0022401A">
      <w:pPr>
        <w:spacing w:line="300" w:lineRule="auto"/>
        <w:jc w:val="both"/>
        <w:rPr>
          <w:rFonts w:ascii="Georgia" w:hAnsi="Georgia"/>
          <w:sz w:val="24"/>
          <w:szCs w:val="24"/>
        </w:rPr>
      </w:pPr>
      <w:r w:rsidRPr="009A672F">
        <w:rPr>
          <w:rFonts w:ascii="Georgia" w:hAnsi="Georgia" w:cs="Arial"/>
          <w:sz w:val="24"/>
          <w:szCs w:val="24"/>
        </w:rPr>
        <w:t>Ello por cuanto</w:t>
      </w:r>
      <w:r w:rsidR="005B48F1" w:rsidRPr="009A672F">
        <w:rPr>
          <w:rFonts w:ascii="Georgia" w:hAnsi="Georgia" w:cs="Arial"/>
          <w:sz w:val="24"/>
          <w:szCs w:val="24"/>
        </w:rPr>
        <w:t xml:space="preserve">, </w:t>
      </w:r>
      <w:r w:rsidR="0006374F" w:rsidRPr="009A672F">
        <w:rPr>
          <w:rFonts w:ascii="Georgia" w:hAnsi="Georgia" w:cs="Arial"/>
          <w:sz w:val="24"/>
          <w:szCs w:val="24"/>
        </w:rPr>
        <w:t xml:space="preserve">revisado </w:t>
      </w:r>
      <w:r w:rsidR="005B48F1" w:rsidRPr="009A672F">
        <w:rPr>
          <w:rFonts w:ascii="Georgia" w:hAnsi="Georgia" w:cs="Arial"/>
          <w:sz w:val="24"/>
          <w:szCs w:val="24"/>
        </w:rPr>
        <w:t>el registro nacional de emplazamientos de la Rama Judicial</w:t>
      </w:r>
      <w:r w:rsidR="00F32FED" w:rsidRPr="009A672F">
        <w:rPr>
          <w:rFonts w:ascii="Georgia" w:hAnsi="Georgia" w:cs="Arial"/>
          <w:sz w:val="24"/>
          <w:szCs w:val="24"/>
        </w:rPr>
        <w:t xml:space="preserve"> (</w:t>
      </w:r>
      <w:r w:rsidR="00F32FED" w:rsidRPr="009A672F">
        <w:rPr>
          <w:rFonts w:ascii="Georgia" w:hAnsi="Georgia" w:cs="Arial"/>
          <w:sz w:val="22"/>
          <w:szCs w:val="24"/>
        </w:rPr>
        <w:t xml:space="preserve">Folio </w:t>
      </w:r>
      <w:r w:rsidR="00F4262A" w:rsidRPr="009A672F">
        <w:rPr>
          <w:rFonts w:ascii="Georgia" w:hAnsi="Georgia" w:cs="Arial"/>
          <w:sz w:val="22"/>
          <w:szCs w:val="24"/>
        </w:rPr>
        <w:t>59</w:t>
      </w:r>
      <w:r w:rsidR="00F32FED" w:rsidRPr="009A672F">
        <w:rPr>
          <w:rFonts w:ascii="Georgia" w:hAnsi="Georgia" w:cs="Arial"/>
          <w:sz w:val="22"/>
          <w:szCs w:val="24"/>
        </w:rPr>
        <w:t>, ib.</w:t>
      </w:r>
      <w:r w:rsidR="00F32FED" w:rsidRPr="009A672F">
        <w:rPr>
          <w:rFonts w:ascii="Georgia" w:hAnsi="Georgia" w:cs="Arial"/>
          <w:sz w:val="24"/>
          <w:szCs w:val="24"/>
        </w:rPr>
        <w:t>)</w:t>
      </w:r>
      <w:r w:rsidR="006A13F4" w:rsidRPr="009A672F">
        <w:rPr>
          <w:rFonts w:ascii="Georgia" w:hAnsi="Georgia"/>
          <w:sz w:val="24"/>
          <w:szCs w:val="24"/>
        </w:rPr>
        <w:t>, se encontró</w:t>
      </w:r>
      <w:r w:rsidR="00587EDF">
        <w:rPr>
          <w:rFonts w:ascii="Georgia" w:hAnsi="Georgia"/>
          <w:sz w:val="24"/>
          <w:szCs w:val="24"/>
        </w:rPr>
        <w:t xml:space="preserve"> que</w:t>
      </w:r>
      <w:r w:rsidR="006A13F4" w:rsidRPr="009A672F">
        <w:rPr>
          <w:rFonts w:ascii="Georgia" w:hAnsi="Georgia"/>
          <w:sz w:val="24"/>
          <w:szCs w:val="24"/>
        </w:rPr>
        <w:t xml:space="preserve"> el proceso </w:t>
      </w:r>
      <w:r w:rsidR="00612738" w:rsidRPr="009A672F">
        <w:rPr>
          <w:rFonts w:ascii="Georgia" w:hAnsi="Georgia"/>
          <w:sz w:val="24"/>
          <w:szCs w:val="24"/>
        </w:rPr>
        <w:t>está</w:t>
      </w:r>
      <w:r w:rsidR="006A13F4" w:rsidRPr="009A672F">
        <w:rPr>
          <w:rFonts w:ascii="Georgia" w:hAnsi="Georgia"/>
          <w:sz w:val="24"/>
          <w:szCs w:val="24"/>
        </w:rPr>
        <w:t xml:space="preserve"> registrado, </w:t>
      </w:r>
      <w:r w:rsidR="00612738" w:rsidRPr="009A672F">
        <w:rPr>
          <w:rFonts w:ascii="Georgia" w:hAnsi="Georgia"/>
          <w:sz w:val="24"/>
          <w:szCs w:val="24"/>
        </w:rPr>
        <w:t xml:space="preserve">pero </w:t>
      </w:r>
      <w:r w:rsidR="00411109" w:rsidRPr="009A672F">
        <w:rPr>
          <w:rFonts w:ascii="Georgia" w:hAnsi="Georgia"/>
          <w:sz w:val="24"/>
          <w:szCs w:val="24"/>
        </w:rPr>
        <w:t xml:space="preserve">sin ser </w:t>
      </w:r>
      <w:r w:rsidR="006C7A9D" w:rsidRPr="009A672F">
        <w:rPr>
          <w:rFonts w:ascii="Georgia" w:hAnsi="Georgia"/>
          <w:sz w:val="24"/>
          <w:szCs w:val="24"/>
        </w:rPr>
        <w:t>consultable</w:t>
      </w:r>
      <w:r w:rsidR="00F4262A" w:rsidRPr="009A672F">
        <w:rPr>
          <w:rFonts w:ascii="Georgia" w:hAnsi="Georgia"/>
          <w:sz w:val="24"/>
          <w:szCs w:val="24"/>
        </w:rPr>
        <w:t>,</w:t>
      </w:r>
      <w:r w:rsidR="005B48F1" w:rsidRPr="009A672F">
        <w:rPr>
          <w:rFonts w:ascii="Georgia" w:hAnsi="Georgia"/>
          <w:sz w:val="24"/>
        </w:rPr>
        <w:t xml:space="preserve"> y, por ende, no está debidamente publicitado, </w:t>
      </w:r>
      <w:r w:rsidR="00411109" w:rsidRPr="009A672F">
        <w:rPr>
          <w:rFonts w:ascii="Georgia" w:hAnsi="Georgia"/>
          <w:sz w:val="24"/>
        </w:rPr>
        <w:t>es inaccesible.</w:t>
      </w:r>
      <w:r w:rsidR="006C7A9D" w:rsidRPr="009A672F">
        <w:rPr>
          <w:rFonts w:ascii="Georgia" w:hAnsi="Georgia"/>
          <w:sz w:val="24"/>
          <w:szCs w:val="24"/>
        </w:rPr>
        <w:t xml:space="preserve"> </w:t>
      </w:r>
      <w:r w:rsidR="00411109" w:rsidRPr="009A672F">
        <w:rPr>
          <w:rFonts w:ascii="Georgia" w:hAnsi="Georgia"/>
          <w:sz w:val="24"/>
          <w:szCs w:val="24"/>
        </w:rPr>
        <w:t xml:space="preserve">Esto </w:t>
      </w:r>
      <w:r w:rsidR="006C7A9D" w:rsidRPr="009A672F">
        <w:rPr>
          <w:rFonts w:ascii="Georgia" w:hAnsi="Georgia"/>
          <w:sz w:val="24"/>
          <w:szCs w:val="24"/>
        </w:rPr>
        <w:t xml:space="preserve">ocurre porque la </w:t>
      </w:r>
      <w:r w:rsidR="006A13F4" w:rsidRPr="009A672F">
        <w:rPr>
          <w:rFonts w:ascii="Georgia" w:hAnsi="Georgia"/>
          <w:sz w:val="24"/>
          <w:szCs w:val="24"/>
        </w:rPr>
        <w:t>información es privada</w:t>
      </w:r>
      <w:r w:rsidR="006C7A9D" w:rsidRPr="009A672F">
        <w:rPr>
          <w:rFonts w:ascii="Georgia" w:hAnsi="Georgia"/>
          <w:sz w:val="24"/>
          <w:szCs w:val="24"/>
        </w:rPr>
        <w:t xml:space="preserve"> y hacerla pública, es facultad restringida al usuario</w:t>
      </w:r>
      <w:r w:rsidR="00317A08" w:rsidRPr="009A672F">
        <w:rPr>
          <w:rFonts w:ascii="Georgia" w:hAnsi="Georgia"/>
          <w:sz w:val="24"/>
          <w:szCs w:val="24"/>
        </w:rPr>
        <w:t xml:space="preserve">, que es </w:t>
      </w:r>
      <w:r w:rsidR="006C7A9D" w:rsidRPr="009A672F">
        <w:rPr>
          <w:rFonts w:ascii="Georgia" w:hAnsi="Georgia"/>
          <w:sz w:val="24"/>
          <w:szCs w:val="24"/>
        </w:rPr>
        <w:t xml:space="preserve">cada despacho, conforme </w:t>
      </w:r>
      <w:r w:rsidR="002A3FA7" w:rsidRPr="009A672F">
        <w:rPr>
          <w:rFonts w:ascii="Georgia" w:hAnsi="Georgia"/>
          <w:sz w:val="24"/>
          <w:szCs w:val="24"/>
        </w:rPr>
        <w:t>a</w:t>
      </w:r>
      <w:r w:rsidR="006C7A9D" w:rsidRPr="009A672F">
        <w:rPr>
          <w:rFonts w:ascii="Georgia" w:hAnsi="Georgia"/>
          <w:sz w:val="24"/>
          <w:szCs w:val="24"/>
        </w:rPr>
        <w:t>l “manual para uso del sistema de gestión de procesos judiciales”</w:t>
      </w:r>
      <w:r w:rsidR="005B48F1" w:rsidRPr="009A672F">
        <w:rPr>
          <w:rStyle w:val="Refdenotaalpie"/>
          <w:rFonts w:ascii="Georgia" w:hAnsi="Georgia"/>
          <w:sz w:val="24"/>
          <w:szCs w:val="24"/>
        </w:rPr>
        <w:footnoteReference w:id="9"/>
      </w:r>
      <w:r w:rsidR="005B48F1" w:rsidRPr="009A672F">
        <w:rPr>
          <w:rStyle w:val="Refdenotaalpie"/>
          <w:rFonts w:ascii="Georgia" w:hAnsi="Georgia"/>
        </w:rPr>
        <w:t xml:space="preserve"> </w:t>
      </w:r>
      <w:r w:rsidR="006C7A9D" w:rsidRPr="009A672F">
        <w:rPr>
          <w:rFonts w:ascii="Georgia" w:hAnsi="Georgia"/>
          <w:sz w:val="24"/>
          <w:szCs w:val="24"/>
        </w:rPr>
        <w:t>expedido por el CSJ.</w:t>
      </w:r>
      <w:r w:rsidR="00F4262A" w:rsidRPr="009A672F">
        <w:rPr>
          <w:rFonts w:ascii="Georgia" w:hAnsi="Georgia"/>
          <w:sz w:val="24"/>
          <w:szCs w:val="24"/>
        </w:rPr>
        <w:t xml:space="preserve"> Adicionalmente, </w:t>
      </w:r>
      <w:r w:rsidR="0006374F" w:rsidRPr="009A672F">
        <w:rPr>
          <w:rFonts w:ascii="Georgia" w:hAnsi="Georgia"/>
          <w:sz w:val="24"/>
          <w:szCs w:val="24"/>
        </w:rPr>
        <w:t xml:space="preserve">se </w:t>
      </w:r>
      <w:r w:rsidR="00F4262A" w:rsidRPr="009A672F">
        <w:rPr>
          <w:rFonts w:ascii="Georgia" w:hAnsi="Georgia"/>
          <w:sz w:val="24"/>
          <w:szCs w:val="24"/>
        </w:rPr>
        <w:t>observa en la copia incorporada al proceso</w:t>
      </w:r>
      <w:r w:rsidR="0006374F" w:rsidRPr="009A672F">
        <w:rPr>
          <w:rFonts w:ascii="Georgia" w:hAnsi="Georgia"/>
          <w:sz w:val="24"/>
          <w:szCs w:val="24"/>
        </w:rPr>
        <w:t>,</w:t>
      </w:r>
      <w:r w:rsidR="00F4262A" w:rsidRPr="009A672F">
        <w:rPr>
          <w:rFonts w:ascii="Georgia" w:hAnsi="Georgia"/>
          <w:sz w:val="24"/>
          <w:szCs w:val="24"/>
        </w:rPr>
        <w:t xml:space="preserve"> que </w:t>
      </w:r>
      <w:r w:rsidR="00F4262A" w:rsidRPr="009A672F">
        <w:rPr>
          <w:rFonts w:ascii="Georgia" w:hAnsi="Georgia"/>
          <w:sz w:val="24"/>
          <w:szCs w:val="24"/>
          <w:u w:val="single"/>
        </w:rPr>
        <w:t>no están relacionadas</w:t>
      </w:r>
      <w:r w:rsidR="0006374F" w:rsidRPr="009A672F">
        <w:rPr>
          <w:rFonts w:ascii="Georgia" w:hAnsi="Georgia"/>
          <w:sz w:val="24"/>
          <w:szCs w:val="24"/>
          <w:u w:val="single"/>
        </w:rPr>
        <w:t xml:space="preserve"> </w:t>
      </w:r>
      <w:r w:rsidR="00F4262A" w:rsidRPr="009A672F">
        <w:rPr>
          <w:rFonts w:ascii="Georgia" w:hAnsi="Georgia"/>
          <w:sz w:val="24"/>
          <w:szCs w:val="24"/>
          <w:u w:val="single"/>
        </w:rPr>
        <w:t>las personas indeterminadas</w:t>
      </w:r>
      <w:r w:rsidR="00F4262A" w:rsidRPr="009A672F">
        <w:rPr>
          <w:rFonts w:ascii="Georgia" w:hAnsi="Georgia"/>
          <w:sz w:val="24"/>
          <w:szCs w:val="24"/>
        </w:rPr>
        <w:t xml:space="preserve">, lo que permite inferir que </w:t>
      </w:r>
      <w:r w:rsidR="0006374F" w:rsidRPr="009A672F">
        <w:rPr>
          <w:rFonts w:ascii="Georgia" w:hAnsi="Georgia"/>
          <w:sz w:val="24"/>
          <w:szCs w:val="24"/>
        </w:rPr>
        <w:t xml:space="preserve">fueron omitidas </w:t>
      </w:r>
      <w:r w:rsidR="00F4262A" w:rsidRPr="009A672F">
        <w:rPr>
          <w:rFonts w:ascii="Georgia" w:hAnsi="Georgia"/>
          <w:sz w:val="24"/>
          <w:szCs w:val="24"/>
        </w:rPr>
        <w:t>como emplazadas</w:t>
      </w:r>
      <w:r w:rsidR="0006374F" w:rsidRPr="009A672F">
        <w:rPr>
          <w:rFonts w:ascii="Georgia" w:hAnsi="Georgia"/>
          <w:sz w:val="24"/>
          <w:szCs w:val="24"/>
        </w:rPr>
        <w:t>, cuando obligaba hacerlo</w:t>
      </w:r>
      <w:r w:rsidR="00F4262A" w:rsidRPr="009A672F">
        <w:rPr>
          <w:rFonts w:ascii="Georgia" w:hAnsi="Georgia"/>
          <w:sz w:val="24"/>
          <w:szCs w:val="24"/>
        </w:rPr>
        <w:t xml:space="preserve">. </w:t>
      </w:r>
    </w:p>
    <w:p w:rsidR="00F32FED" w:rsidRPr="009A672F" w:rsidRDefault="00F32FED" w:rsidP="0022401A">
      <w:pPr>
        <w:spacing w:line="300" w:lineRule="auto"/>
        <w:jc w:val="both"/>
        <w:rPr>
          <w:rFonts w:ascii="Georgia" w:hAnsi="Georgia" w:cs="Arial"/>
          <w:sz w:val="24"/>
          <w:szCs w:val="24"/>
        </w:rPr>
      </w:pPr>
    </w:p>
    <w:p w:rsidR="005B48F1" w:rsidRPr="009A672F" w:rsidRDefault="002A5F6E" w:rsidP="0022401A">
      <w:pPr>
        <w:spacing w:line="300" w:lineRule="auto"/>
        <w:jc w:val="both"/>
        <w:rPr>
          <w:rFonts w:ascii="Georgia" w:hAnsi="Georgia"/>
          <w:color w:val="000000" w:themeColor="text1"/>
          <w:sz w:val="24"/>
          <w:szCs w:val="24"/>
        </w:rPr>
      </w:pPr>
      <w:r w:rsidRPr="009A672F">
        <w:rPr>
          <w:rFonts w:ascii="Georgia" w:hAnsi="Georgia" w:cs="Arial"/>
          <w:sz w:val="24"/>
          <w:szCs w:val="24"/>
        </w:rPr>
        <w:t xml:space="preserve">Así las cosas, se considera y así será declarado, que </w:t>
      </w:r>
      <w:r w:rsidR="00566F65" w:rsidRPr="009A672F">
        <w:rPr>
          <w:rFonts w:ascii="Georgia" w:hAnsi="Georgia" w:cs="Arial"/>
          <w:sz w:val="24"/>
          <w:szCs w:val="24"/>
        </w:rPr>
        <w:t xml:space="preserve">la actuación es </w:t>
      </w:r>
      <w:r w:rsidR="00317A08" w:rsidRPr="009A672F">
        <w:rPr>
          <w:rFonts w:ascii="Georgia" w:hAnsi="Georgia" w:cs="Arial"/>
          <w:sz w:val="24"/>
          <w:szCs w:val="24"/>
        </w:rPr>
        <w:t>anómala</w:t>
      </w:r>
      <w:r w:rsidR="00566F65" w:rsidRPr="009A672F">
        <w:rPr>
          <w:rFonts w:ascii="Georgia" w:hAnsi="Georgia" w:cs="Arial"/>
          <w:sz w:val="24"/>
          <w:szCs w:val="24"/>
        </w:rPr>
        <w:t xml:space="preserve"> y encuadra en </w:t>
      </w:r>
      <w:r w:rsidRPr="009A672F">
        <w:rPr>
          <w:rFonts w:ascii="Georgia" w:hAnsi="Georgia" w:cs="Arial"/>
          <w:sz w:val="24"/>
          <w:szCs w:val="24"/>
        </w:rPr>
        <w:t>la</w:t>
      </w:r>
      <w:r w:rsidR="00FC7E53" w:rsidRPr="009A672F">
        <w:rPr>
          <w:rFonts w:ascii="Georgia" w:hAnsi="Georgia" w:cs="Arial"/>
          <w:sz w:val="24"/>
          <w:szCs w:val="24"/>
        </w:rPr>
        <w:t xml:space="preserve"> mencionada causal</w:t>
      </w:r>
      <w:r w:rsidR="005B48F1" w:rsidRPr="009A672F">
        <w:rPr>
          <w:rFonts w:ascii="Georgia" w:hAnsi="Georgia" w:cs="Arial"/>
          <w:sz w:val="24"/>
          <w:szCs w:val="24"/>
        </w:rPr>
        <w:t xml:space="preserve"> (</w:t>
      </w:r>
      <w:r w:rsidR="005B48F1" w:rsidRPr="009A672F">
        <w:rPr>
          <w:rFonts w:ascii="Georgia" w:hAnsi="Georgia" w:cs="Arial"/>
          <w:sz w:val="22"/>
          <w:szCs w:val="24"/>
        </w:rPr>
        <w:t xml:space="preserve">Artículo 133-8º, </w:t>
      </w:r>
      <w:proofErr w:type="spellStart"/>
      <w:r w:rsidR="005B48F1" w:rsidRPr="009A672F">
        <w:rPr>
          <w:rFonts w:ascii="Georgia" w:hAnsi="Georgia" w:cs="Arial"/>
          <w:sz w:val="22"/>
          <w:szCs w:val="24"/>
        </w:rPr>
        <w:t>CGP</w:t>
      </w:r>
      <w:proofErr w:type="spellEnd"/>
      <w:r w:rsidR="005B48F1" w:rsidRPr="009A672F">
        <w:rPr>
          <w:rFonts w:ascii="Georgia" w:hAnsi="Georgia" w:cs="Arial"/>
          <w:sz w:val="24"/>
          <w:szCs w:val="24"/>
        </w:rPr>
        <w:t>),</w:t>
      </w:r>
      <w:r w:rsidR="00317A08" w:rsidRPr="009A672F">
        <w:rPr>
          <w:rFonts w:ascii="Georgia" w:hAnsi="Georgia" w:cs="Arial"/>
          <w:sz w:val="24"/>
          <w:szCs w:val="24"/>
        </w:rPr>
        <w:t xml:space="preserve"> </w:t>
      </w:r>
      <w:r w:rsidR="002A3FA7" w:rsidRPr="009A672F">
        <w:rPr>
          <w:rFonts w:ascii="Georgia" w:hAnsi="Georgia" w:cs="Arial"/>
          <w:sz w:val="24"/>
          <w:szCs w:val="24"/>
        </w:rPr>
        <w:t xml:space="preserve">lo cual, </w:t>
      </w:r>
      <w:r w:rsidRPr="009A672F">
        <w:rPr>
          <w:rFonts w:ascii="Georgia" w:hAnsi="Georgia" w:cs="Arial"/>
          <w:sz w:val="24"/>
          <w:szCs w:val="24"/>
        </w:rPr>
        <w:t>por supuesto</w:t>
      </w:r>
      <w:r w:rsidR="00566F65" w:rsidRPr="009A672F">
        <w:rPr>
          <w:rFonts w:ascii="Georgia" w:hAnsi="Georgia" w:cs="Arial"/>
          <w:sz w:val="24"/>
          <w:szCs w:val="24"/>
        </w:rPr>
        <w:t>,</w:t>
      </w:r>
      <w:r w:rsidR="00186705" w:rsidRPr="009A672F">
        <w:rPr>
          <w:rFonts w:ascii="Georgia" w:hAnsi="Georgia" w:cs="Arial"/>
          <w:sz w:val="24"/>
          <w:szCs w:val="24"/>
        </w:rPr>
        <w:t xml:space="preserve"> </w:t>
      </w:r>
      <w:r w:rsidR="00E83B4F" w:rsidRPr="009A672F">
        <w:rPr>
          <w:rFonts w:ascii="Georgia" w:hAnsi="Georgia" w:cs="Arial"/>
          <w:sz w:val="24"/>
          <w:szCs w:val="24"/>
        </w:rPr>
        <w:t xml:space="preserve">demerita </w:t>
      </w:r>
      <w:r w:rsidR="002E20D6" w:rsidRPr="009A672F">
        <w:rPr>
          <w:rFonts w:ascii="Georgia" w:hAnsi="Georgia" w:cs="Arial"/>
          <w:sz w:val="24"/>
          <w:szCs w:val="24"/>
        </w:rPr>
        <w:t xml:space="preserve">la </w:t>
      </w:r>
      <w:r w:rsidR="007D102F" w:rsidRPr="009A672F">
        <w:rPr>
          <w:rFonts w:ascii="Georgia" w:hAnsi="Georgia" w:cs="Arial"/>
          <w:sz w:val="24"/>
          <w:szCs w:val="24"/>
        </w:rPr>
        <w:t xml:space="preserve">comparecencia del curador </w:t>
      </w:r>
      <w:r w:rsidR="007D102F" w:rsidRPr="009A672F">
        <w:rPr>
          <w:rFonts w:ascii="Georgia" w:hAnsi="Georgia" w:cs="Arial"/>
          <w:i/>
          <w:sz w:val="22"/>
          <w:szCs w:val="24"/>
        </w:rPr>
        <w:t xml:space="preserve">ad </w:t>
      </w:r>
      <w:proofErr w:type="spellStart"/>
      <w:r w:rsidR="007D102F" w:rsidRPr="009A672F">
        <w:rPr>
          <w:rFonts w:ascii="Georgia" w:hAnsi="Georgia" w:cs="Arial"/>
          <w:i/>
          <w:sz w:val="22"/>
          <w:szCs w:val="24"/>
        </w:rPr>
        <w:t>litem</w:t>
      </w:r>
      <w:proofErr w:type="spellEnd"/>
      <w:r w:rsidR="006567B9" w:rsidRPr="009A672F">
        <w:rPr>
          <w:rFonts w:ascii="Georgia" w:hAnsi="Georgia" w:cs="Arial"/>
          <w:sz w:val="24"/>
          <w:szCs w:val="24"/>
        </w:rPr>
        <w:t xml:space="preserve"> que representó</w:t>
      </w:r>
      <w:r w:rsidR="006C7A9D" w:rsidRPr="009A672F">
        <w:rPr>
          <w:rFonts w:ascii="Georgia" w:hAnsi="Georgia" w:cs="Arial"/>
          <w:sz w:val="24"/>
          <w:szCs w:val="24"/>
        </w:rPr>
        <w:t xml:space="preserve"> a</w:t>
      </w:r>
      <w:r w:rsidR="00F672B0" w:rsidRPr="009A672F">
        <w:rPr>
          <w:rFonts w:ascii="Georgia" w:hAnsi="Georgia" w:cs="Arial"/>
          <w:sz w:val="24"/>
          <w:szCs w:val="24"/>
        </w:rPr>
        <w:t xml:space="preserve"> ese </w:t>
      </w:r>
      <w:r w:rsidR="006C7A9D" w:rsidRPr="009A672F">
        <w:rPr>
          <w:rFonts w:ascii="Georgia" w:hAnsi="Georgia" w:cs="Arial"/>
          <w:sz w:val="24"/>
          <w:szCs w:val="24"/>
        </w:rPr>
        <w:t>extremo pasivo</w:t>
      </w:r>
      <w:r w:rsidR="006567B9" w:rsidRPr="009A672F">
        <w:rPr>
          <w:rFonts w:ascii="Georgia" w:hAnsi="Georgia" w:cs="Arial"/>
          <w:sz w:val="24"/>
          <w:szCs w:val="24"/>
        </w:rPr>
        <w:t xml:space="preserve">. </w:t>
      </w:r>
      <w:r w:rsidR="00566F65" w:rsidRPr="009A672F">
        <w:rPr>
          <w:rFonts w:ascii="Georgia" w:hAnsi="Georgia" w:cs="Arial"/>
          <w:sz w:val="24"/>
          <w:szCs w:val="24"/>
        </w:rPr>
        <w:t xml:space="preserve">Los </w:t>
      </w:r>
      <w:r w:rsidR="00186705" w:rsidRPr="009A672F">
        <w:rPr>
          <w:rFonts w:ascii="Georgia" w:hAnsi="Georgia" w:cs="Arial"/>
          <w:sz w:val="24"/>
          <w:szCs w:val="24"/>
        </w:rPr>
        <w:t xml:space="preserve">efectos de esta declaratoria afectan todo lo actuado </w:t>
      </w:r>
      <w:r w:rsidR="006C7A9D" w:rsidRPr="009A672F">
        <w:rPr>
          <w:rFonts w:ascii="Georgia" w:hAnsi="Georgia" w:cs="Arial"/>
          <w:sz w:val="24"/>
          <w:szCs w:val="24"/>
        </w:rPr>
        <w:t>a partir de la anotación en ese registro</w:t>
      </w:r>
      <w:r w:rsidR="00F32FED" w:rsidRPr="009A672F">
        <w:rPr>
          <w:rFonts w:ascii="Georgia" w:hAnsi="Georgia" w:cs="Arial"/>
          <w:sz w:val="24"/>
          <w:szCs w:val="24"/>
        </w:rPr>
        <w:t xml:space="preserve"> (</w:t>
      </w:r>
      <w:r w:rsidR="00F32FED" w:rsidRPr="009A672F">
        <w:rPr>
          <w:rFonts w:ascii="Georgia" w:hAnsi="Georgia" w:cs="Arial"/>
          <w:sz w:val="22"/>
          <w:szCs w:val="24"/>
        </w:rPr>
        <w:t xml:space="preserve">Folio </w:t>
      </w:r>
      <w:r w:rsidR="00F4262A" w:rsidRPr="009A672F">
        <w:rPr>
          <w:rFonts w:ascii="Georgia" w:hAnsi="Georgia" w:cs="Arial"/>
          <w:sz w:val="22"/>
          <w:szCs w:val="24"/>
        </w:rPr>
        <w:t>59</w:t>
      </w:r>
      <w:r w:rsidR="00F32FED" w:rsidRPr="009A672F">
        <w:rPr>
          <w:rFonts w:ascii="Georgia" w:hAnsi="Georgia" w:cs="Arial"/>
          <w:sz w:val="22"/>
          <w:szCs w:val="24"/>
        </w:rPr>
        <w:t>, vuelto, ib.</w:t>
      </w:r>
      <w:r w:rsidR="00F32FED" w:rsidRPr="009A672F">
        <w:rPr>
          <w:rFonts w:ascii="Georgia" w:hAnsi="Georgia" w:cs="Arial"/>
          <w:sz w:val="24"/>
          <w:szCs w:val="24"/>
        </w:rPr>
        <w:t>)</w:t>
      </w:r>
      <w:r w:rsidR="00224DC7" w:rsidRPr="009A672F">
        <w:rPr>
          <w:rFonts w:ascii="Georgia" w:hAnsi="Georgia" w:cs="Arial"/>
          <w:sz w:val="24"/>
          <w:szCs w:val="24"/>
        </w:rPr>
        <w:t>.</w:t>
      </w:r>
      <w:r w:rsidR="006C7A9D" w:rsidRPr="009A672F">
        <w:rPr>
          <w:rFonts w:ascii="Georgia" w:hAnsi="Georgia" w:cs="Arial"/>
          <w:sz w:val="24"/>
          <w:szCs w:val="24"/>
        </w:rPr>
        <w:t xml:space="preserve"> </w:t>
      </w:r>
      <w:r w:rsidR="00411109" w:rsidRPr="009A672F">
        <w:rPr>
          <w:rFonts w:ascii="Georgia" w:hAnsi="Georgia"/>
          <w:color w:val="000000" w:themeColor="text1"/>
          <w:sz w:val="24"/>
          <w:szCs w:val="24"/>
        </w:rPr>
        <w:t>Quedará exceptuada</w:t>
      </w:r>
      <w:r w:rsidR="005B48F1" w:rsidRPr="009A672F">
        <w:rPr>
          <w:rFonts w:ascii="Georgia" w:hAnsi="Georgia"/>
          <w:color w:val="000000" w:themeColor="text1"/>
          <w:sz w:val="24"/>
          <w:szCs w:val="24"/>
        </w:rPr>
        <w:t xml:space="preserve"> de la anulación, el material probatorio, que tendrá eficacia respecto de las partes que tuvieron la oportunidad de controvertirlo (</w:t>
      </w:r>
      <w:r w:rsidR="005B48F1" w:rsidRPr="009A672F">
        <w:rPr>
          <w:rFonts w:ascii="Georgia" w:hAnsi="Georgia"/>
          <w:color w:val="000000" w:themeColor="text1"/>
          <w:sz w:val="22"/>
          <w:szCs w:val="24"/>
        </w:rPr>
        <w:t>Artículo 138, inciso 2º, ibídem</w:t>
      </w:r>
      <w:r w:rsidR="005B48F1" w:rsidRPr="009A672F">
        <w:rPr>
          <w:rFonts w:ascii="Georgia" w:hAnsi="Georgia"/>
          <w:color w:val="000000" w:themeColor="text1"/>
          <w:sz w:val="24"/>
          <w:szCs w:val="24"/>
        </w:rPr>
        <w:t>)</w:t>
      </w:r>
      <w:r w:rsidR="00F4262A" w:rsidRPr="009A672F">
        <w:rPr>
          <w:rFonts w:ascii="Georgia" w:hAnsi="Georgia"/>
          <w:color w:val="000000" w:themeColor="text1"/>
          <w:sz w:val="24"/>
          <w:szCs w:val="24"/>
        </w:rPr>
        <w:t>.</w:t>
      </w:r>
      <w:r w:rsidR="00F32FED" w:rsidRPr="009A672F">
        <w:rPr>
          <w:rFonts w:ascii="Georgia" w:hAnsi="Georgia"/>
          <w:color w:val="000000" w:themeColor="text1"/>
          <w:sz w:val="24"/>
          <w:szCs w:val="24"/>
        </w:rPr>
        <w:t xml:space="preserve"> </w:t>
      </w:r>
      <w:r w:rsidR="005B48F1" w:rsidRPr="009A672F">
        <w:rPr>
          <w:rFonts w:ascii="Georgia" w:hAnsi="Georgia"/>
          <w:color w:val="000000" w:themeColor="text1"/>
          <w:sz w:val="24"/>
          <w:szCs w:val="24"/>
        </w:rPr>
        <w:t xml:space="preserve"> </w:t>
      </w:r>
    </w:p>
    <w:p w:rsidR="003A68B4" w:rsidRPr="009A672F" w:rsidRDefault="003A68B4" w:rsidP="0022401A">
      <w:pPr>
        <w:spacing w:line="300" w:lineRule="auto"/>
        <w:ind w:right="51"/>
        <w:jc w:val="both"/>
        <w:rPr>
          <w:rFonts w:ascii="Georgia" w:hAnsi="Georgia" w:cs="Arial"/>
          <w:sz w:val="24"/>
          <w:szCs w:val="24"/>
        </w:rPr>
      </w:pPr>
    </w:p>
    <w:p w:rsidR="000D304A" w:rsidRPr="009A672F" w:rsidRDefault="0006374F" w:rsidP="0022401A">
      <w:pPr>
        <w:tabs>
          <w:tab w:val="left" w:pos="-720"/>
        </w:tabs>
        <w:suppressAutoHyphens/>
        <w:spacing w:line="300" w:lineRule="auto"/>
        <w:jc w:val="both"/>
        <w:rPr>
          <w:rFonts w:ascii="Georgia" w:hAnsi="Georgia" w:cs="Arial"/>
          <w:sz w:val="24"/>
          <w:szCs w:val="24"/>
        </w:rPr>
      </w:pPr>
      <w:r w:rsidRPr="009A672F">
        <w:rPr>
          <w:rFonts w:ascii="Georgia" w:hAnsi="Georgia" w:cs="Arial"/>
          <w:sz w:val="24"/>
          <w:szCs w:val="24"/>
        </w:rPr>
        <w:t xml:space="preserve">Al margen de lo anterior, no sobra destacar que llama la atención, la falta de esclarecimiento de las circunstancias que rodearon la notificación por aviso del señor Bernardo Gómez H, puesto que se advierte que previo a la fecha fijada para la audiencia del artículo 372, </w:t>
      </w:r>
      <w:proofErr w:type="spellStart"/>
      <w:r w:rsidRPr="009A672F">
        <w:rPr>
          <w:rFonts w:ascii="Georgia" w:hAnsi="Georgia" w:cs="Arial"/>
          <w:sz w:val="24"/>
          <w:szCs w:val="24"/>
        </w:rPr>
        <w:t>CGP</w:t>
      </w:r>
      <w:proofErr w:type="spellEnd"/>
      <w:r w:rsidRPr="009A672F">
        <w:rPr>
          <w:rFonts w:ascii="Georgia" w:hAnsi="Georgia" w:cs="Arial"/>
          <w:sz w:val="24"/>
          <w:szCs w:val="24"/>
        </w:rPr>
        <w:t>, quien acreditó ser su hijo (</w:t>
      </w:r>
      <w:r w:rsidRPr="009A672F">
        <w:rPr>
          <w:rFonts w:ascii="Georgia" w:hAnsi="Georgia" w:cs="Arial"/>
          <w:sz w:val="22"/>
          <w:szCs w:val="24"/>
        </w:rPr>
        <w:t>Armando Gómez H.</w:t>
      </w:r>
      <w:r w:rsidRPr="009A672F">
        <w:rPr>
          <w:rFonts w:ascii="Georgia" w:hAnsi="Georgia" w:cs="Arial"/>
          <w:sz w:val="24"/>
          <w:szCs w:val="24"/>
        </w:rPr>
        <w:t>), comunicó que esa información no llegó al destinatario, pues desconocía su paradero desde hacía algunos meses atrás, de allí que “devolviera” el formato de citación para notificación personal y, también, la convocatoria a la audiencia de conciliación extrajudicial (</w:t>
      </w:r>
      <w:r w:rsidRPr="009A672F">
        <w:rPr>
          <w:rFonts w:ascii="Georgia" w:hAnsi="Georgia" w:cs="Arial"/>
          <w:sz w:val="22"/>
          <w:szCs w:val="24"/>
        </w:rPr>
        <w:t>Folios 36-41, ídem</w:t>
      </w:r>
      <w:r w:rsidRPr="009A672F">
        <w:rPr>
          <w:rFonts w:ascii="Georgia" w:hAnsi="Georgia" w:cs="Arial"/>
          <w:sz w:val="24"/>
          <w:szCs w:val="24"/>
        </w:rPr>
        <w:t xml:space="preserve">).  </w:t>
      </w:r>
    </w:p>
    <w:p w:rsidR="000D304A" w:rsidRPr="009A672F" w:rsidRDefault="000D304A" w:rsidP="0022401A">
      <w:pPr>
        <w:tabs>
          <w:tab w:val="left" w:pos="-720"/>
        </w:tabs>
        <w:suppressAutoHyphens/>
        <w:spacing w:line="300" w:lineRule="auto"/>
        <w:jc w:val="both"/>
        <w:rPr>
          <w:rFonts w:ascii="Georgia" w:hAnsi="Georgia" w:cs="Arial"/>
          <w:sz w:val="24"/>
          <w:szCs w:val="24"/>
        </w:rPr>
      </w:pPr>
    </w:p>
    <w:p w:rsidR="000D304A" w:rsidRPr="009A672F" w:rsidRDefault="000D304A" w:rsidP="0022401A">
      <w:pPr>
        <w:tabs>
          <w:tab w:val="left" w:pos="-720"/>
        </w:tabs>
        <w:suppressAutoHyphens/>
        <w:spacing w:line="300" w:lineRule="auto"/>
        <w:jc w:val="both"/>
        <w:rPr>
          <w:rFonts w:ascii="Georgia" w:hAnsi="Georgia" w:cs="Arial"/>
          <w:sz w:val="24"/>
          <w:szCs w:val="24"/>
        </w:rPr>
      </w:pPr>
      <w:r w:rsidRPr="009A672F">
        <w:rPr>
          <w:rFonts w:ascii="Georgia" w:hAnsi="Georgia" w:cs="Arial"/>
          <w:sz w:val="24"/>
          <w:szCs w:val="24"/>
        </w:rPr>
        <w:t xml:space="preserve">Esa situación no logró </w:t>
      </w:r>
      <w:r w:rsidR="00AE2D99" w:rsidRPr="009A672F">
        <w:rPr>
          <w:rFonts w:ascii="Georgia" w:hAnsi="Georgia" w:cs="Arial"/>
          <w:sz w:val="24"/>
          <w:szCs w:val="24"/>
        </w:rPr>
        <w:t>aclar</w:t>
      </w:r>
      <w:r w:rsidRPr="009A672F">
        <w:rPr>
          <w:rFonts w:ascii="Georgia" w:hAnsi="Georgia" w:cs="Arial"/>
          <w:sz w:val="24"/>
          <w:szCs w:val="24"/>
        </w:rPr>
        <w:t xml:space="preserve">arse </w:t>
      </w:r>
      <w:r w:rsidR="00AE2D99" w:rsidRPr="009A672F">
        <w:rPr>
          <w:rFonts w:ascii="Georgia" w:hAnsi="Georgia" w:cs="Arial"/>
          <w:sz w:val="24"/>
          <w:szCs w:val="24"/>
        </w:rPr>
        <w:t>al escuchar el testimonio del aludido memorialista, dado que en su versión (</w:t>
      </w:r>
      <w:r w:rsidR="00AE2D99" w:rsidRPr="009A672F">
        <w:rPr>
          <w:rFonts w:ascii="Georgia" w:hAnsi="Georgia" w:cs="Arial"/>
          <w:sz w:val="22"/>
          <w:szCs w:val="24"/>
        </w:rPr>
        <w:t>Actuación que se cumplió el 21-08-2018</w:t>
      </w:r>
      <w:r w:rsidR="00AE2D99" w:rsidRPr="009A672F">
        <w:rPr>
          <w:rFonts w:ascii="Georgia" w:hAnsi="Georgia" w:cs="Arial"/>
          <w:sz w:val="24"/>
          <w:szCs w:val="24"/>
        </w:rPr>
        <w:t xml:space="preserve">), </w:t>
      </w:r>
      <w:r w:rsidRPr="009A672F">
        <w:rPr>
          <w:rFonts w:ascii="Georgia" w:hAnsi="Georgia" w:cs="Arial"/>
          <w:sz w:val="24"/>
          <w:szCs w:val="24"/>
        </w:rPr>
        <w:t>solo atinó a insistir</w:t>
      </w:r>
      <w:r w:rsidR="00AE2D99" w:rsidRPr="009A672F">
        <w:rPr>
          <w:rFonts w:ascii="Georgia" w:hAnsi="Georgia" w:cs="Arial"/>
          <w:sz w:val="24"/>
          <w:szCs w:val="24"/>
        </w:rPr>
        <w:t xml:space="preserve"> que para cuando allegó ese escrito (</w:t>
      </w:r>
      <w:r w:rsidR="00AE2D99" w:rsidRPr="009A672F">
        <w:rPr>
          <w:rFonts w:ascii="Georgia" w:hAnsi="Georgia" w:cs="Arial"/>
          <w:sz w:val="22"/>
          <w:szCs w:val="24"/>
        </w:rPr>
        <w:t>2016</w:t>
      </w:r>
      <w:r w:rsidR="00AE2D99" w:rsidRPr="009A672F">
        <w:rPr>
          <w:rFonts w:ascii="Georgia" w:hAnsi="Georgia" w:cs="Arial"/>
          <w:sz w:val="24"/>
          <w:szCs w:val="24"/>
        </w:rPr>
        <w:t>) desconocía el lugar donde se encontraba su padre, pero que actualmente tenía fijada su residencia en Medellín (</w:t>
      </w:r>
      <w:r w:rsidR="00AE2D99" w:rsidRPr="009A672F">
        <w:rPr>
          <w:rFonts w:ascii="Georgia" w:hAnsi="Georgia" w:cs="Arial"/>
          <w:sz w:val="22"/>
          <w:szCs w:val="24"/>
        </w:rPr>
        <w:t xml:space="preserve">Tiempo 01:33:16 a 02:29:50, cd visible a folio 104, cuaderno </w:t>
      </w:r>
      <w:proofErr w:type="spellStart"/>
      <w:r w:rsidR="00AE2D99" w:rsidRPr="009A672F">
        <w:rPr>
          <w:rFonts w:ascii="Georgia" w:hAnsi="Georgia" w:cs="Arial"/>
          <w:sz w:val="22"/>
          <w:szCs w:val="24"/>
        </w:rPr>
        <w:t>No.4</w:t>
      </w:r>
      <w:proofErr w:type="spellEnd"/>
      <w:r w:rsidR="00AE2D99" w:rsidRPr="009A672F">
        <w:rPr>
          <w:rFonts w:ascii="Georgia" w:hAnsi="Georgia" w:cs="Arial"/>
          <w:sz w:val="24"/>
          <w:szCs w:val="24"/>
        </w:rPr>
        <w:t>).</w:t>
      </w:r>
      <w:r w:rsidRPr="009A672F">
        <w:rPr>
          <w:rFonts w:ascii="Georgia" w:hAnsi="Georgia" w:cs="Arial"/>
          <w:sz w:val="24"/>
          <w:szCs w:val="24"/>
        </w:rPr>
        <w:t xml:space="preserve"> </w:t>
      </w:r>
    </w:p>
    <w:p w:rsidR="000D304A" w:rsidRPr="009A672F" w:rsidRDefault="000D304A" w:rsidP="0022401A">
      <w:pPr>
        <w:tabs>
          <w:tab w:val="left" w:pos="-720"/>
        </w:tabs>
        <w:suppressAutoHyphens/>
        <w:spacing w:line="300" w:lineRule="auto"/>
        <w:jc w:val="both"/>
        <w:rPr>
          <w:rFonts w:ascii="Georgia" w:hAnsi="Georgia" w:cs="Arial"/>
          <w:sz w:val="24"/>
          <w:szCs w:val="24"/>
        </w:rPr>
      </w:pPr>
    </w:p>
    <w:p w:rsidR="0006374F" w:rsidRPr="009A672F" w:rsidRDefault="0006374F" w:rsidP="0022401A">
      <w:pPr>
        <w:tabs>
          <w:tab w:val="left" w:pos="-720"/>
        </w:tabs>
        <w:suppressAutoHyphens/>
        <w:spacing w:line="300" w:lineRule="auto"/>
        <w:jc w:val="both"/>
        <w:rPr>
          <w:rFonts w:ascii="Georgia" w:hAnsi="Georgia" w:cs="Arial"/>
          <w:i/>
          <w:sz w:val="24"/>
          <w:szCs w:val="24"/>
        </w:rPr>
      </w:pPr>
      <w:r w:rsidRPr="009A672F">
        <w:rPr>
          <w:rFonts w:ascii="Georgia" w:hAnsi="Georgia" w:cs="Arial"/>
          <w:sz w:val="24"/>
          <w:szCs w:val="24"/>
        </w:rPr>
        <w:lastRenderedPageBreak/>
        <w:t>Recuérdese que el funcionario está facultado para adoptar las medidas que estime necesarias para esclarecer esa situación (</w:t>
      </w:r>
      <w:r w:rsidRPr="009A672F">
        <w:rPr>
          <w:rFonts w:ascii="Georgia" w:hAnsi="Georgia" w:cs="Arial"/>
          <w:sz w:val="22"/>
          <w:szCs w:val="24"/>
        </w:rPr>
        <w:t xml:space="preserve">Artículo 42-5º, </w:t>
      </w:r>
      <w:proofErr w:type="spellStart"/>
      <w:r w:rsidRPr="009A672F">
        <w:rPr>
          <w:rFonts w:ascii="Georgia" w:hAnsi="Georgia" w:cs="Arial"/>
          <w:sz w:val="22"/>
          <w:szCs w:val="24"/>
        </w:rPr>
        <w:t>CGP</w:t>
      </w:r>
      <w:proofErr w:type="spellEnd"/>
      <w:r w:rsidRPr="009A672F">
        <w:rPr>
          <w:rFonts w:ascii="Georgia" w:hAnsi="Georgia" w:cs="Arial"/>
          <w:sz w:val="24"/>
          <w:szCs w:val="24"/>
        </w:rPr>
        <w:t>)</w:t>
      </w:r>
      <w:r w:rsidRPr="009A672F">
        <w:rPr>
          <w:rFonts w:ascii="Georgia" w:hAnsi="Georgia" w:cs="Arial"/>
          <w:i/>
          <w:sz w:val="24"/>
          <w:szCs w:val="24"/>
        </w:rPr>
        <w:t>.</w:t>
      </w:r>
    </w:p>
    <w:p w:rsidR="009A672F" w:rsidRPr="009A672F" w:rsidRDefault="009A672F" w:rsidP="0022401A">
      <w:pPr>
        <w:tabs>
          <w:tab w:val="left" w:pos="-720"/>
        </w:tabs>
        <w:suppressAutoHyphens/>
        <w:spacing w:line="300" w:lineRule="auto"/>
        <w:jc w:val="both"/>
        <w:rPr>
          <w:rFonts w:ascii="Georgia" w:hAnsi="Georgia" w:cs="Arial"/>
          <w:sz w:val="24"/>
          <w:szCs w:val="24"/>
        </w:rPr>
      </w:pPr>
    </w:p>
    <w:p w:rsidR="003C5098" w:rsidRPr="009A672F" w:rsidRDefault="003C5098" w:rsidP="0022401A">
      <w:pPr>
        <w:pStyle w:val="Textopredeterminado"/>
        <w:numPr>
          <w:ilvl w:val="0"/>
          <w:numId w:val="1"/>
        </w:numPr>
        <w:spacing w:line="300" w:lineRule="auto"/>
        <w:jc w:val="both"/>
        <w:textAlignment w:val="baseline"/>
        <w:rPr>
          <w:rFonts w:ascii="Georgia" w:hAnsi="Georgia" w:cs="Arial"/>
        </w:rPr>
      </w:pPr>
      <w:r w:rsidRPr="009A672F">
        <w:rPr>
          <w:rFonts w:ascii="Georgia" w:hAnsi="Georgia" w:cs="Arial"/>
        </w:rPr>
        <w:t xml:space="preserve">LAS DECISIONES </w:t>
      </w:r>
    </w:p>
    <w:p w:rsidR="003A68B4" w:rsidRPr="009A672F" w:rsidRDefault="003A68B4" w:rsidP="0022401A">
      <w:pPr>
        <w:spacing w:line="300" w:lineRule="auto"/>
        <w:ind w:right="51"/>
        <w:jc w:val="both"/>
        <w:rPr>
          <w:rFonts w:ascii="Georgia" w:hAnsi="Georgia" w:cs="Arial"/>
          <w:sz w:val="24"/>
          <w:szCs w:val="24"/>
        </w:rPr>
      </w:pPr>
    </w:p>
    <w:p w:rsidR="0006374F" w:rsidRPr="009A672F" w:rsidRDefault="0006374F" w:rsidP="0022401A">
      <w:pPr>
        <w:spacing w:line="300" w:lineRule="auto"/>
        <w:ind w:right="51"/>
        <w:jc w:val="both"/>
        <w:rPr>
          <w:rFonts w:ascii="Georgia" w:hAnsi="Georgia" w:cs="Arial"/>
          <w:sz w:val="24"/>
          <w:szCs w:val="24"/>
        </w:rPr>
      </w:pPr>
      <w:r w:rsidRPr="009A672F">
        <w:rPr>
          <w:rFonts w:ascii="Georgia" w:hAnsi="Georgia" w:cs="Arial"/>
          <w:sz w:val="24"/>
          <w:szCs w:val="24"/>
        </w:rPr>
        <w:t xml:space="preserve">En armonía con las premisas expuestas, se invalidará lo actuado a partir de la fecha en que se intentó la inclusión del emplazamiento en el sistema, inclusive, a fin de que en primera instancia, se rehaga la actuación viciada, en la forma puesta de presente. Con excepción del acervo probatorio que tendrá validez para las partes </w:t>
      </w:r>
      <w:r w:rsidRPr="009A672F">
        <w:rPr>
          <w:rFonts w:ascii="Georgia" w:hAnsi="Georgia"/>
          <w:color w:val="000000" w:themeColor="text1"/>
          <w:sz w:val="24"/>
          <w:szCs w:val="24"/>
        </w:rPr>
        <w:t>que tuvieron la oportunidad de controvertirlo.</w:t>
      </w:r>
    </w:p>
    <w:p w:rsidR="0006374F" w:rsidRPr="009A672F" w:rsidRDefault="0006374F" w:rsidP="0022401A">
      <w:pPr>
        <w:spacing w:line="300" w:lineRule="auto"/>
        <w:ind w:right="51"/>
        <w:jc w:val="both"/>
        <w:rPr>
          <w:rFonts w:ascii="Georgia" w:hAnsi="Georgia" w:cs="Arial"/>
          <w:sz w:val="24"/>
          <w:szCs w:val="24"/>
        </w:rPr>
      </w:pPr>
    </w:p>
    <w:p w:rsidR="0006374F" w:rsidRPr="009A672F" w:rsidRDefault="0006374F" w:rsidP="0022401A">
      <w:pPr>
        <w:tabs>
          <w:tab w:val="left" w:pos="-720"/>
        </w:tabs>
        <w:suppressAutoHyphens/>
        <w:spacing w:line="300" w:lineRule="auto"/>
        <w:jc w:val="both"/>
        <w:rPr>
          <w:rFonts w:ascii="Georgia" w:hAnsi="Georgia" w:cs="Arial"/>
          <w:spacing w:val="-3"/>
          <w:sz w:val="24"/>
          <w:szCs w:val="24"/>
        </w:rPr>
      </w:pPr>
      <w:r w:rsidRPr="009A672F">
        <w:rPr>
          <w:rFonts w:ascii="Georgia" w:hAnsi="Georgia" w:cs="Arial"/>
          <w:sz w:val="24"/>
          <w:szCs w:val="24"/>
        </w:rPr>
        <w:t xml:space="preserve">Considerando suficientes los argumentos expuestos, el </w:t>
      </w:r>
      <w:r w:rsidRPr="009A672F">
        <w:rPr>
          <w:rFonts w:ascii="Georgia" w:hAnsi="Georgia" w:cs="Arial"/>
          <w:smallCaps/>
          <w:sz w:val="24"/>
          <w:szCs w:val="24"/>
        </w:rPr>
        <w:t>Tribunal Superior del Distrito Judicial de Pereira, Sala Unitaria</w:t>
      </w:r>
      <w:r w:rsidRPr="009A672F">
        <w:rPr>
          <w:rFonts w:ascii="Georgia" w:hAnsi="Georgia" w:cs="Arial"/>
          <w:sz w:val="24"/>
          <w:szCs w:val="24"/>
        </w:rPr>
        <w:t>,</w:t>
      </w:r>
    </w:p>
    <w:p w:rsidR="0006374F" w:rsidRPr="009A672F" w:rsidRDefault="0006374F" w:rsidP="0022401A">
      <w:pPr>
        <w:tabs>
          <w:tab w:val="left" w:pos="-720"/>
        </w:tabs>
        <w:suppressAutoHyphens/>
        <w:spacing w:line="300" w:lineRule="auto"/>
        <w:jc w:val="center"/>
        <w:rPr>
          <w:rFonts w:ascii="Georgia" w:hAnsi="Georgia" w:cs="Arial"/>
          <w:smallCaps/>
          <w:sz w:val="24"/>
          <w:szCs w:val="24"/>
        </w:rPr>
      </w:pPr>
    </w:p>
    <w:p w:rsidR="0006374F" w:rsidRPr="009A672F" w:rsidRDefault="0006374F" w:rsidP="0022401A">
      <w:pPr>
        <w:tabs>
          <w:tab w:val="left" w:pos="-720"/>
        </w:tabs>
        <w:suppressAutoHyphens/>
        <w:spacing w:line="300" w:lineRule="auto"/>
        <w:jc w:val="center"/>
        <w:rPr>
          <w:rFonts w:ascii="Georgia" w:hAnsi="Georgia" w:cs="Arial"/>
          <w:smallCaps/>
          <w:sz w:val="24"/>
          <w:szCs w:val="24"/>
        </w:rPr>
      </w:pPr>
      <w:r w:rsidRPr="009A672F">
        <w:rPr>
          <w:rFonts w:ascii="Georgia" w:hAnsi="Georgia" w:cs="Arial"/>
          <w:smallCaps/>
          <w:sz w:val="24"/>
          <w:szCs w:val="24"/>
        </w:rPr>
        <w:t>R e s u e l v e,</w:t>
      </w:r>
    </w:p>
    <w:p w:rsidR="0006374F" w:rsidRPr="009A672F" w:rsidRDefault="0006374F" w:rsidP="0022401A">
      <w:pPr>
        <w:tabs>
          <w:tab w:val="left" w:pos="-720"/>
        </w:tabs>
        <w:suppressAutoHyphens/>
        <w:spacing w:line="300" w:lineRule="auto"/>
        <w:jc w:val="center"/>
        <w:rPr>
          <w:rFonts w:ascii="Georgia" w:hAnsi="Georgia" w:cs="Arial"/>
          <w:smallCaps/>
          <w:sz w:val="24"/>
          <w:szCs w:val="24"/>
        </w:rPr>
      </w:pPr>
    </w:p>
    <w:p w:rsidR="00224DC7" w:rsidRPr="009A672F" w:rsidRDefault="0006374F" w:rsidP="0022401A">
      <w:pPr>
        <w:pStyle w:val="Textopredeterminado"/>
        <w:numPr>
          <w:ilvl w:val="0"/>
          <w:numId w:val="4"/>
        </w:numPr>
        <w:spacing w:line="300" w:lineRule="auto"/>
        <w:ind w:right="51"/>
        <w:jc w:val="both"/>
        <w:textAlignment w:val="baseline"/>
        <w:rPr>
          <w:rFonts w:ascii="Georgia" w:hAnsi="Georgia"/>
          <w:color w:val="000000" w:themeColor="text1"/>
          <w:szCs w:val="24"/>
        </w:rPr>
      </w:pPr>
      <w:r w:rsidRPr="009A672F">
        <w:rPr>
          <w:rFonts w:ascii="Georgia" w:hAnsi="Georgia" w:cs="Arial"/>
          <w:color w:val="auto"/>
          <w:szCs w:val="24"/>
        </w:rPr>
        <w:t xml:space="preserve">DECLARAR la nulidad de lo actuado en este proceso desde el </w:t>
      </w:r>
      <w:r w:rsidRPr="009A672F">
        <w:rPr>
          <w:rFonts w:ascii="Georgia" w:hAnsi="Georgia" w:cs="Arial"/>
          <w:szCs w:val="24"/>
        </w:rPr>
        <w:t>10-11-2017</w:t>
      </w:r>
      <w:r w:rsidRPr="009A672F">
        <w:rPr>
          <w:rFonts w:ascii="Georgia" w:hAnsi="Georgia" w:cs="Arial"/>
          <w:color w:val="auto"/>
          <w:szCs w:val="24"/>
        </w:rPr>
        <w:t>, data en que</w:t>
      </w:r>
      <w:r w:rsidRPr="009A672F">
        <w:rPr>
          <w:rFonts w:ascii="Georgia" w:hAnsi="Georgia" w:cs="Arial"/>
          <w:szCs w:val="24"/>
        </w:rPr>
        <w:t xml:space="preserve"> se hizo la anotación del emplazamiento en el registro nacional de la Rama Judicial, inclusive; salvo el </w:t>
      </w:r>
      <w:r w:rsidR="007B017E" w:rsidRPr="009A672F">
        <w:rPr>
          <w:rFonts w:ascii="Georgia" w:hAnsi="Georgia" w:cs="Arial"/>
          <w:szCs w:val="24"/>
        </w:rPr>
        <w:t>caudal de pruebas</w:t>
      </w:r>
      <w:r w:rsidR="00250F5E" w:rsidRPr="009A672F">
        <w:rPr>
          <w:rFonts w:ascii="Georgia" w:hAnsi="Georgia" w:cs="Arial"/>
          <w:szCs w:val="24"/>
        </w:rPr>
        <w:t xml:space="preserve"> que </w:t>
      </w:r>
      <w:r w:rsidRPr="009A672F">
        <w:rPr>
          <w:rFonts w:ascii="Georgia" w:hAnsi="Georgia" w:cs="Arial"/>
          <w:szCs w:val="24"/>
        </w:rPr>
        <w:t>t</w:t>
      </w:r>
      <w:r w:rsidR="00250F5E" w:rsidRPr="009A672F">
        <w:rPr>
          <w:rFonts w:ascii="Georgia" w:hAnsi="Georgia" w:cs="Arial"/>
          <w:szCs w:val="24"/>
        </w:rPr>
        <w:t xml:space="preserve">iene </w:t>
      </w:r>
      <w:r w:rsidRPr="009A672F">
        <w:rPr>
          <w:rFonts w:ascii="Georgia" w:hAnsi="Georgia" w:cs="Arial"/>
          <w:szCs w:val="24"/>
        </w:rPr>
        <w:t xml:space="preserve">validez para las partes </w:t>
      </w:r>
      <w:r w:rsidRPr="009A672F">
        <w:rPr>
          <w:rFonts w:ascii="Georgia" w:hAnsi="Georgia"/>
          <w:color w:val="000000" w:themeColor="text1"/>
          <w:szCs w:val="24"/>
        </w:rPr>
        <w:t xml:space="preserve">que </w:t>
      </w:r>
      <w:r w:rsidR="007B017E" w:rsidRPr="009A672F">
        <w:rPr>
          <w:rFonts w:ascii="Georgia" w:hAnsi="Georgia"/>
          <w:color w:val="000000" w:themeColor="text1"/>
          <w:szCs w:val="24"/>
        </w:rPr>
        <w:t>pudieron</w:t>
      </w:r>
      <w:r w:rsidRPr="009A672F">
        <w:rPr>
          <w:rFonts w:ascii="Georgia" w:hAnsi="Georgia"/>
          <w:color w:val="000000" w:themeColor="text1"/>
          <w:szCs w:val="24"/>
        </w:rPr>
        <w:t xml:space="preserve"> controvertirl</w:t>
      </w:r>
      <w:r w:rsidR="007B017E" w:rsidRPr="009A672F">
        <w:rPr>
          <w:rFonts w:ascii="Georgia" w:hAnsi="Georgia"/>
          <w:color w:val="000000" w:themeColor="text1"/>
          <w:szCs w:val="24"/>
        </w:rPr>
        <w:t>as</w:t>
      </w:r>
      <w:r w:rsidRPr="009A672F">
        <w:rPr>
          <w:rFonts w:ascii="Georgia" w:hAnsi="Georgia"/>
          <w:color w:val="000000" w:themeColor="text1"/>
          <w:szCs w:val="24"/>
        </w:rPr>
        <w:t>.</w:t>
      </w:r>
    </w:p>
    <w:p w:rsidR="0006374F" w:rsidRPr="009A672F" w:rsidRDefault="0006374F" w:rsidP="0022401A">
      <w:pPr>
        <w:pStyle w:val="Textopredeterminado"/>
        <w:spacing w:line="300" w:lineRule="auto"/>
        <w:ind w:left="360" w:right="51"/>
        <w:jc w:val="both"/>
        <w:textAlignment w:val="baseline"/>
        <w:rPr>
          <w:rFonts w:ascii="Georgia" w:hAnsi="Georgia" w:cs="Arial"/>
          <w:szCs w:val="24"/>
        </w:rPr>
      </w:pPr>
    </w:p>
    <w:p w:rsidR="00DB2868" w:rsidRPr="009A672F" w:rsidRDefault="003C5098" w:rsidP="0022401A">
      <w:pPr>
        <w:pStyle w:val="Prrafodelista"/>
        <w:numPr>
          <w:ilvl w:val="0"/>
          <w:numId w:val="4"/>
        </w:numPr>
        <w:spacing w:line="300" w:lineRule="auto"/>
        <w:ind w:left="426" w:hanging="426"/>
        <w:jc w:val="both"/>
        <w:rPr>
          <w:rFonts w:ascii="Georgia" w:hAnsi="Georgia" w:cs="Arial"/>
          <w:sz w:val="24"/>
          <w:szCs w:val="24"/>
        </w:rPr>
      </w:pPr>
      <w:r w:rsidRPr="009A672F">
        <w:rPr>
          <w:rFonts w:ascii="Georgia" w:hAnsi="Georgia" w:cs="Arial"/>
          <w:sz w:val="24"/>
          <w:szCs w:val="24"/>
        </w:rPr>
        <w:t>DEVOLVER el expediente al Juzgado</w:t>
      </w:r>
      <w:r w:rsidR="008A52AE" w:rsidRPr="009A672F">
        <w:rPr>
          <w:rFonts w:ascii="Georgia" w:hAnsi="Georgia" w:cs="Arial"/>
          <w:sz w:val="24"/>
          <w:szCs w:val="24"/>
        </w:rPr>
        <w:t xml:space="preserve"> </w:t>
      </w:r>
      <w:r w:rsidR="00E232E7" w:rsidRPr="009A672F">
        <w:rPr>
          <w:rFonts w:ascii="Georgia" w:hAnsi="Georgia" w:cs="Arial"/>
          <w:sz w:val="24"/>
          <w:szCs w:val="24"/>
        </w:rPr>
        <w:t xml:space="preserve">Civil del Circuito </w:t>
      </w:r>
      <w:r w:rsidR="005B48F1" w:rsidRPr="009A672F">
        <w:rPr>
          <w:rFonts w:ascii="Georgia" w:hAnsi="Georgia" w:cs="Arial"/>
          <w:sz w:val="24"/>
          <w:szCs w:val="24"/>
        </w:rPr>
        <w:t xml:space="preserve">de </w:t>
      </w:r>
      <w:r w:rsidR="007270B6" w:rsidRPr="009A672F">
        <w:rPr>
          <w:rFonts w:ascii="Georgia" w:hAnsi="Georgia" w:cs="Arial"/>
          <w:sz w:val="24"/>
          <w:szCs w:val="24"/>
        </w:rPr>
        <w:t>Dosquebradas, R.</w:t>
      </w:r>
      <w:r w:rsidR="00DB2868" w:rsidRPr="009A672F">
        <w:rPr>
          <w:rFonts w:ascii="Georgia" w:hAnsi="Georgia" w:cs="Arial"/>
          <w:spacing w:val="-3"/>
          <w:sz w:val="24"/>
          <w:szCs w:val="24"/>
        </w:rPr>
        <w:t>, para que se rehaga la actuación viciada, con estricto acatamiento de los términos anotados en esta providencia.</w:t>
      </w:r>
    </w:p>
    <w:p w:rsidR="009A672F" w:rsidRPr="009A672F" w:rsidRDefault="009A672F" w:rsidP="0022401A">
      <w:pPr>
        <w:spacing w:line="300" w:lineRule="auto"/>
        <w:jc w:val="both"/>
        <w:rPr>
          <w:rFonts w:ascii="Georgia" w:hAnsi="Georgia" w:cs="Arial"/>
          <w:sz w:val="24"/>
          <w:szCs w:val="24"/>
        </w:rPr>
      </w:pPr>
    </w:p>
    <w:p w:rsidR="00DB2868" w:rsidRPr="009A672F" w:rsidRDefault="00DB2868" w:rsidP="0022401A">
      <w:pPr>
        <w:suppressAutoHyphens/>
        <w:spacing w:line="300" w:lineRule="auto"/>
        <w:jc w:val="center"/>
        <w:rPr>
          <w:rFonts w:ascii="Georgia" w:hAnsi="Georgia" w:cs="Arial"/>
          <w:smallCaps/>
        </w:rPr>
      </w:pPr>
      <w:r w:rsidRPr="009A672F">
        <w:rPr>
          <w:rFonts w:ascii="Georgia" w:hAnsi="Georgia" w:cs="Arial"/>
          <w:smallCaps/>
          <w:sz w:val="24"/>
          <w:szCs w:val="24"/>
        </w:rPr>
        <w:t>Notifíquese</w:t>
      </w:r>
    </w:p>
    <w:p w:rsidR="00DB2868" w:rsidRPr="009A672F" w:rsidRDefault="00DB2868" w:rsidP="0022401A">
      <w:pPr>
        <w:pStyle w:val="Textoindependiente"/>
        <w:spacing w:line="300" w:lineRule="auto"/>
        <w:jc w:val="center"/>
        <w:rPr>
          <w:rFonts w:ascii="Georgia" w:hAnsi="Georgia"/>
          <w:spacing w:val="20"/>
          <w:w w:val="150"/>
          <w:sz w:val="22"/>
          <w:szCs w:val="22"/>
          <w:lang w:val="es-ES"/>
        </w:rPr>
      </w:pPr>
    </w:p>
    <w:p w:rsidR="00DB2868" w:rsidRPr="009A672F" w:rsidRDefault="00DB2868" w:rsidP="0022401A">
      <w:pPr>
        <w:pStyle w:val="Textoindependiente"/>
        <w:spacing w:line="300" w:lineRule="auto"/>
        <w:jc w:val="center"/>
        <w:rPr>
          <w:rFonts w:ascii="Georgia" w:hAnsi="Georgia"/>
          <w:spacing w:val="20"/>
          <w:w w:val="150"/>
          <w:sz w:val="22"/>
          <w:szCs w:val="22"/>
          <w:lang w:val="es-ES"/>
        </w:rPr>
      </w:pPr>
    </w:p>
    <w:p w:rsidR="003E1A30" w:rsidRPr="009A672F" w:rsidRDefault="003E1A30" w:rsidP="0022401A">
      <w:pPr>
        <w:pStyle w:val="Textoindependiente"/>
        <w:spacing w:line="300" w:lineRule="auto"/>
        <w:jc w:val="center"/>
        <w:rPr>
          <w:rFonts w:ascii="Georgia" w:hAnsi="Georgia"/>
          <w:spacing w:val="20"/>
          <w:w w:val="150"/>
          <w:sz w:val="22"/>
          <w:szCs w:val="22"/>
          <w:lang w:val="es-ES"/>
        </w:rPr>
      </w:pPr>
    </w:p>
    <w:p w:rsidR="00111F9C" w:rsidRPr="009A672F" w:rsidRDefault="00111F9C" w:rsidP="0022401A">
      <w:pPr>
        <w:pStyle w:val="Textopredeterminado"/>
        <w:spacing w:line="300" w:lineRule="auto"/>
        <w:jc w:val="center"/>
        <w:rPr>
          <w:rFonts w:ascii="Georgia" w:hAnsi="Georgia" w:cs="Arial"/>
          <w:caps/>
          <w:spacing w:val="20"/>
          <w:w w:val="150"/>
        </w:rPr>
      </w:pPr>
      <w:proofErr w:type="spellStart"/>
      <w:r w:rsidRPr="009A672F">
        <w:rPr>
          <w:rFonts w:ascii="Georgia" w:hAnsi="Georgia" w:cs="Arial"/>
          <w:caps/>
          <w:spacing w:val="20"/>
          <w:w w:val="150"/>
          <w:sz w:val="28"/>
        </w:rPr>
        <w:t>D</w:t>
      </w:r>
      <w:r w:rsidRPr="009A672F">
        <w:rPr>
          <w:rFonts w:ascii="Georgia" w:hAnsi="Georgia" w:cs="Arial"/>
          <w:caps/>
          <w:spacing w:val="20"/>
          <w:w w:val="150"/>
          <w:sz w:val="18"/>
        </w:rPr>
        <w:t>UBERNEY</w:t>
      </w:r>
      <w:proofErr w:type="spellEnd"/>
      <w:r w:rsidRPr="009A672F">
        <w:rPr>
          <w:rFonts w:ascii="Georgia" w:hAnsi="Georgia" w:cs="Arial"/>
          <w:caps/>
          <w:spacing w:val="20"/>
          <w:w w:val="150"/>
          <w:sz w:val="22"/>
        </w:rPr>
        <w:t xml:space="preserve"> </w:t>
      </w:r>
      <w:r w:rsidRPr="009A672F">
        <w:rPr>
          <w:rFonts w:ascii="Georgia" w:hAnsi="Georgia" w:cs="Arial"/>
          <w:caps/>
          <w:spacing w:val="20"/>
          <w:w w:val="150"/>
          <w:sz w:val="28"/>
        </w:rPr>
        <w:t>G</w:t>
      </w:r>
      <w:r w:rsidRPr="009A672F">
        <w:rPr>
          <w:rFonts w:ascii="Georgia" w:hAnsi="Georgia" w:cs="Arial"/>
          <w:caps/>
          <w:spacing w:val="20"/>
          <w:w w:val="150"/>
          <w:sz w:val="18"/>
        </w:rPr>
        <w:t>RISALES</w:t>
      </w:r>
      <w:r w:rsidRPr="009A672F">
        <w:rPr>
          <w:rFonts w:ascii="Georgia" w:hAnsi="Georgia" w:cs="Arial"/>
          <w:caps/>
          <w:spacing w:val="20"/>
          <w:w w:val="150"/>
          <w:sz w:val="22"/>
        </w:rPr>
        <w:t xml:space="preserve"> </w:t>
      </w:r>
      <w:r w:rsidRPr="009A672F">
        <w:rPr>
          <w:rFonts w:ascii="Georgia" w:hAnsi="Georgia" w:cs="Arial"/>
          <w:caps/>
          <w:spacing w:val="20"/>
          <w:w w:val="150"/>
          <w:sz w:val="28"/>
        </w:rPr>
        <w:t>H</w:t>
      </w:r>
      <w:r w:rsidRPr="009A672F">
        <w:rPr>
          <w:rFonts w:ascii="Georgia" w:hAnsi="Georgia" w:cs="Arial"/>
          <w:caps/>
          <w:spacing w:val="20"/>
          <w:w w:val="150"/>
          <w:sz w:val="18"/>
        </w:rPr>
        <w:t>ERRERA</w:t>
      </w:r>
    </w:p>
    <w:p w:rsidR="00111F9C" w:rsidRPr="009A672F" w:rsidRDefault="00111F9C" w:rsidP="0022401A">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00" w:lineRule="auto"/>
        <w:ind w:right="55"/>
        <w:jc w:val="center"/>
        <w:rPr>
          <w:rFonts w:ascii="Georgia" w:hAnsi="Georgia"/>
        </w:rPr>
      </w:pPr>
      <w:r w:rsidRPr="009A672F">
        <w:rPr>
          <w:rFonts w:ascii="Georgia" w:hAnsi="Georgia" w:cs="Arial"/>
          <w:caps/>
          <w:spacing w:val="20"/>
          <w:w w:val="150"/>
          <w:sz w:val="28"/>
          <w:szCs w:val="24"/>
        </w:rPr>
        <w:t>M</w:t>
      </w:r>
      <w:r w:rsidRPr="009A672F">
        <w:rPr>
          <w:rFonts w:ascii="Georgia" w:hAnsi="Georgia" w:cs="Arial"/>
          <w:caps/>
          <w:spacing w:val="20"/>
          <w:w w:val="150"/>
          <w:sz w:val="18"/>
        </w:rPr>
        <w:t>agistrado</w:t>
      </w:r>
    </w:p>
    <w:sectPr w:rsidR="00111F9C" w:rsidRPr="009A672F" w:rsidSect="009A672F">
      <w:headerReference w:type="default" r:id="rId10"/>
      <w:footerReference w:type="default" r:id="rId11"/>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4BC" w:rsidRDefault="007024BC" w:rsidP="009A1240">
      <w:r>
        <w:separator/>
      </w:r>
    </w:p>
  </w:endnote>
  <w:endnote w:type="continuationSeparator" w:id="0">
    <w:p w:rsidR="007024BC" w:rsidRDefault="007024BC"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E3" w:rsidRDefault="00045CE3" w:rsidP="00045CE3">
    <w:pPr>
      <w:pStyle w:val="Piedepgina"/>
      <w:pBdr>
        <w:bottom w:val="double" w:sz="6" w:space="1" w:color="auto"/>
      </w:pBdr>
      <w:spacing w:line="360" w:lineRule="auto"/>
      <w:jc w:val="right"/>
      <w:rPr>
        <w:rFonts w:ascii="Arial" w:hAnsi="Arial" w:cs="Arial"/>
        <w:spacing w:val="20"/>
        <w:w w:val="200"/>
        <w:sz w:val="14"/>
        <w:szCs w:val="10"/>
        <w:lang w:val="es-CO"/>
      </w:rPr>
    </w:pPr>
  </w:p>
  <w:p w:rsidR="00045CE3" w:rsidRDefault="00045CE3" w:rsidP="00045CE3">
    <w:pPr>
      <w:pStyle w:val="Piedepgina"/>
      <w:spacing w:line="360" w:lineRule="auto"/>
      <w:jc w:val="right"/>
      <w:rPr>
        <w:rFonts w:ascii="Arial" w:hAnsi="Arial" w:cs="Arial"/>
        <w:spacing w:val="20"/>
        <w:w w:val="200"/>
        <w:sz w:val="14"/>
        <w:szCs w:val="10"/>
        <w:lang w:val="es-CO"/>
      </w:rPr>
    </w:pPr>
  </w:p>
  <w:p w:rsidR="003C5098" w:rsidRPr="003E18D8" w:rsidRDefault="003C5098" w:rsidP="003C5098">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045CE3" w:rsidRDefault="00045CE3" w:rsidP="00045CE3">
    <w:pPr>
      <w:pStyle w:val="Piedepgina"/>
      <w:jc w:val="right"/>
    </w:pPr>
    <w:r w:rsidRPr="008E0505">
      <w:rPr>
        <w:rFonts w:ascii="Arial" w:hAnsi="Arial" w:cs="Arial"/>
        <w:spacing w:val="20"/>
        <w:w w:val="200"/>
        <w:sz w:val="10"/>
        <w:szCs w:val="10"/>
        <w:lang w:val="es-CO"/>
      </w:rPr>
      <w:t>M</w:t>
    </w:r>
    <w:r w:rsidR="00D851DA">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proofErr w:type="spellStart"/>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proofErr w:type="spellEnd"/>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4BC" w:rsidRDefault="007024BC" w:rsidP="009A1240">
      <w:r>
        <w:separator/>
      </w:r>
    </w:p>
  </w:footnote>
  <w:footnote w:type="continuationSeparator" w:id="0">
    <w:p w:rsidR="007024BC" w:rsidRDefault="007024BC" w:rsidP="009A1240">
      <w:r>
        <w:continuationSeparator/>
      </w:r>
    </w:p>
  </w:footnote>
  <w:footnote w:id="1">
    <w:p w:rsidR="00526C51" w:rsidRPr="006871B9" w:rsidRDefault="00526C51" w:rsidP="009A672F">
      <w:pPr>
        <w:pStyle w:val="Textonotapie"/>
        <w:jc w:val="both"/>
        <w:rPr>
          <w:rFonts w:ascii="Century" w:hAnsi="Century"/>
        </w:rPr>
      </w:pPr>
      <w:r w:rsidRPr="006871B9">
        <w:rPr>
          <w:rStyle w:val="Refdenotaalpie"/>
          <w:rFonts w:ascii="Century" w:hAnsi="Century"/>
          <w:lang w:val="es-CO"/>
        </w:rPr>
        <w:footnoteRef/>
      </w:r>
      <w:r w:rsidRPr="006871B9">
        <w:rPr>
          <w:rFonts w:ascii="Century" w:hAnsi="Century"/>
          <w:lang w:val="es-CO"/>
        </w:rPr>
        <w:t xml:space="preserve"> CANOSA T., Fernando. Las nulidades en el derecho procesal civil, 3ª edición, Ediciones Doctrina y ley, 1998, </w:t>
      </w:r>
      <w:proofErr w:type="spellStart"/>
      <w:r w:rsidRPr="006871B9">
        <w:rPr>
          <w:rFonts w:ascii="Century" w:hAnsi="Century"/>
          <w:lang w:val="es-CO"/>
        </w:rPr>
        <w:t>p.26</w:t>
      </w:r>
      <w:proofErr w:type="spellEnd"/>
      <w:r w:rsidRPr="006871B9">
        <w:rPr>
          <w:rFonts w:ascii="Century" w:hAnsi="Century"/>
          <w:lang w:val="es-CO"/>
        </w:rPr>
        <w:t>.</w:t>
      </w:r>
    </w:p>
  </w:footnote>
  <w:footnote w:id="2">
    <w:p w:rsidR="00526C51" w:rsidRPr="006871B9" w:rsidRDefault="00526C51" w:rsidP="009A672F">
      <w:pPr>
        <w:pStyle w:val="Textonotapie"/>
        <w:jc w:val="both"/>
        <w:rPr>
          <w:rFonts w:ascii="Century" w:hAnsi="Century"/>
        </w:rPr>
      </w:pPr>
      <w:r w:rsidRPr="006871B9">
        <w:rPr>
          <w:rStyle w:val="Refdenotaalpie"/>
          <w:rFonts w:ascii="Century" w:hAnsi="Century"/>
          <w:lang w:val="es-CO"/>
        </w:rPr>
        <w:footnoteRef/>
      </w:r>
      <w:r w:rsidRPr="006871B9">
        <w:rPr>
          <w:rFonts w:ascii="Century" w:hAnsi="Century"/>
          <w:lang w:val="es-CO"/>
        </w:rPr>
        <w:t xml:space="preserve"> LÓPEZ B., Hernán F. Código General del Proceso, tomo I,</w:t>
      </w:r>
      <w:r w:rsidR="00945043">
        <w:rPr>
          <w:rFonts w:ascii="Century" w:hAnsi="Century"/>
          <w:lang w:val="es-CO"/>
        </w:rPr>
        <w:t xml:space="preserve"> parte general, Bogotá DC, </w:t>
      </w:r>
      <w:proofErr w:type="spellStart"/>
      <w:r w:rsidR="00945043">
        <w:rPr>
          <w:rFonts w:ascii="Century" w:hAnsi="Century"/>
          <w:lang w:val="es-CO"/>
        </w:rPr>
        <w:t>Dupre</w:t>
      </w:r>
      <w:proofErr w:type="spellEnd"/>
      <w:r w:rsidRPr="006871B9">
        <w:rPr>
          <w:rFonts w:ascii="Century" w:hAnsi="Century"/>
          <w:lang w:val="es-CO"/>
        </w:rPr>
        <w:t xml:space="preserve"> editores, 2016, </w:t>
      </w:r>
      <w:proofErr w:type="spellStart"/>
      <w:r w:rsidRPr="006871B9">
        <w:rPr>
          <w:rFonts w:ascii="Century" w:hAnsi="Century"/>
          <w:lang w:val="es-CO"/>
        </w:rPr>
        <w:t>p.909</w:t>
      </w:r>
      <w:proofErr w:type="spellEnd"/>
      <w:r w:rsidRPr="006871B9">
        <w:rPr>
          <w:rFonts w:ascii="Century" w:hAnsi="Century"/>
          <w:lang w:val="es-CO"/>
        </w:rPr>
        <w:t xml:space="preserve"> ss.</w:t>
      </w:r>
    </w:p>
  </w:footnote>
  <w:footnote w:id="3">
    <w:p w:rsidR="00526C51" w:rsidRPr="006871B9" w:rsidRDefault="00526C51" w:rsidP="009A672F">
      <w:pPr>
        <w:pStyle w:val="Textonotapie"/>
        <w:jc w:val="both"/>
        <w:rPr>
          <w:rFonts w:ascii="Century" w:hAnsi="Century"/>
        </w:rPr>
      </w:pPr>
      <w:r w:rsidRPr="006871B9">
        <w:rPr>
          <w:rStyle w:val="Refdenotaalpie"/>
          <w:rFonts w:ascii="Century" w:hAnsi="Century"/>
          <w:lang w:val="es-CO"/>
        </w:rPr>
        <w:footnoteRef/>
      </w:r>
      <w:r w:rsidRPr="006871B9">
        <w:rPr>
          <w:rFonts w:ascii="Century" w:hAnsi="Century"/>
          <w:lang w:val="es-CO"/>
        </w:rPr>
        <w:t xml:space="preserve"> AZULA C., Jaime. Manual de derecho procesal civil, tomo II, 4ª edición, editorial Temis, Bogotá D.C., 1994, </w:t>
      </w:r>
      <w:proofErr w:type="spellStart"/>
      <w:r w:rsidRPr="006871B9">
        <w:rPr>
          <w:rFonts w:ascii="Century" w:hAnsi="Century"/>
          <w:lang w:val="es-CO"/>
        </w:rPr>
        <w:t>p.303</w:t>
      </w:r>
      <w:proofErr w:type="spellEnd"/>
      <w:r w:rsidRPr="006871B9">
        <w:rPr>
          <w:rFonts w:ascii="Century" w:hAnsi="Century"/>
          <w:lang w:val="es-CO"/>
        </w:rPr>
        <w:t>.</w:t>
      </w:r>
    </w:p>
  </w:footnote>
  <w:footnote w:id="4">
    <w:p w:rsidR="00526C51" w:rsidRPr="006871B9" w:rsidRDefault="00526C51" w:rsidP="006871B9">
      <w:pPr>
        <w:pStyle w:val="Textonotapie"/>
        <w:jc w:val="both"/>
        <w:rPr>
          <w:rFonts w:ascii="Century" w:hAnsi="Century"/>
        </w:rPr>
      </w:pPr>
      <w:r w:rsidRPr="006871B9">
        <w:rPr>
          <w:rStyle w:val="Refdenotaalpie"/>
          <w:rFonts w:ascii="Century" w:hAnsi="Century"/>
          <w:lang w:val="es-CO"/>
        </w:rPr>
        <w:footnoteRef/>
      </w:r>
      <w:r w:rsidRPr="006871B9">
        <w:rPr>
          <w:rFonts w:ascii="Century" w:hAnsi="Century"/>
          <w:lang w:val="es-CO"/>
        </w:rPr>
        <w:t xml:space="preserve"> ROJAS G., Miguel E. Lecciones de derecho procesal, tomo II, Procedimiento Civil, 6ª Edición, </w:t>
      </w:r>
      <w:proofErr w:type="spellStart"/>
      <w:r w:rsidRPr="006871B9">
        <w:rPr>
          <w:rFonts w:ascii="Century" w:hAnsi="Century"/>
          <w:lang w:val="es-CO"/>
        </w:rPr>
        <w:t>Esaju</w:t>
      </w:r>
      <w:proofErr w:type="spellEnd"/>
      <w:r w:rsidRPr="006871B9">
        <w:rPr>
          <w:rFonts w:ascii="Century" w:hAnsi="Century"/>
          <w:lang w:val="es-CO"/>
        </w:rPr>
        <w:t xml:space="preserve">, 2017, Bogotá DC, </w:t>
      </w:r>
      <w:proofErr w:type="spellStart"/>
      <w:r w:rsidRPr="006871B9">
        <w:rPr>
          <w:rFonts w:ascii="Century" w:hAnsi="Century"/>
          <w:lang w:val="es-CO"/>
        </w:rPr>
        <w:t>p.600</w:t>
      </w:r>
      <w:proofErr w:type="spellEnd"/>
      <w:r w:rsidRPr="006871B9">
        <w:rPr>
          <w:rFonts w:ascii="Century" w:hAnsi="Century"/>
          <w:lang w:val="es-CO"/>
        </w:rPr>
        <w:t>.</w:t>
      </w:r>
    </w:p>
  </w:footnote>
  <w:footnote w:id="5">
    <w:p w:rsidR="00526C51" w:rsidRPr="006871B9" w:rsidRDefault="00526C51" w:rsidP="006871B9">
      <w:pPr>
        <w:pStyle w:val="Textonotapie"/>
        <w:jc w:val="both"/>
        <w:rPr>
          <w:rFonts w:ascii="Century" w:hAnsi="Century"/>
          <w:lang w:val="es-CO"/>
        </w:rPr>
      </w:pPr>
      <w:r w:rsidRPr="006871B9">
        <w:rPr>
          <w:rStyle w:val="Refdenotaalpie"/>
          <w:rFonts w:ascii="Century" w:hAnsi="Century"/>
        </w:rPr>
        <w:footnoteRef/>
      </w:r>
      <w:r w:rsidRPr="006871B9">
        <w:rPr>
          <w:rFonts w:ascii="Century" w:hAnsi="Century"/>
        </w:rPr>
        <w:t xml:space="preserve"> INSTITUTO COLOMBIANO DE DERECHO PROCESAL. Código General del Proceso</w:t>
      </w:r>
      <w:r w:rsidRPr="006871B9">
        <w:rPr>
          <w:rFonts w:ascii="Century" w:hAnsi="Century"/>
          <w:lang w:val="es-CO"/>
        </w:rPr>
        <w:t xml:space="preserve">, Henry Sanabria S., Impresor Panamericana Formas e Impresos </w:t>
      </w:r>
      <w:proofErr w:type="spellStart"/>
      <w:r w:rsidRPr="006871B9">
        <w:rPr>
          <w:rFonts w:ascii="Century" w:hAnsi="Century"/>
          <w:lang w:val="es-CO"/>
        </w:rPr>
        <w:t>SAS</w:t>
      </w:r>
      <w:proofErr w:type="spellEnd"/>
      <w:r w:rsidRPr="006871B9">
        <w:rPr>
          <w:rFonts w:ascii="Century" w:hAnsi="Century"/>
          <w:lang w:val="es-CO"/>
        </w:rPr>
        <w:t xml:space="preserve">, 2014, </w:t>
      </w:r>
      <w:proofErr w:type="spellStart"/>
      <w:r w:rsidRPr="006871B9">
        <w:rPr>
          <w:rFonts w:ascii="Century" w:hAnsi="Century"/>
          <w:lang w:val="es-CO"/>
        </w:rPr>
        <w:t>p.258</w:t>
      </w:r>
      <w:proofErr w:type="spellEnd"/>
      <w:r w:rsidRPr="006871B9">
        <w:rPr>
          <w:rFonts w:ascii="Century" w:hAnsi="Century"/>
          <w:lang w:val="es-CO"/>
        </w:rPr>
        <w:t>.</w:t>
      </w:r>
      <w:r w:rsidRPr="006871B9">
        <w:rPr>
          <w:rFonts w:ascii="Century" w:hAnsi="Century"/>
        </w:rPr>
        <w:t xml:space="preserve"> </w:t>
      </w:r>
    </w:p>
  </w:footnote>
  <w:footnote w:id="6">
    <w:p w:rsidR="00526C51" w:rsidRPr="006871B9" w:rsidRDefault="00526C51" w:rsidP="006871B9">
      <w:pPr>
        <w:pStyle w:val="Textonotapie"/>
        <w:jc w:val="both"/>
        <w:rPr>
          <w:rFonts w:ascii="Century" w:hAnsi="Century"/>
          <w:lang w:val="es-CO"/>
        </w:rPr>
      </w:pPr>
      <w:r w:rsidRPr="006871B9">
        <w:rPr>
          <w:rStyle w:val="Refdenotaalpie"/>
          <w:rFonts w:ascii="Century" w:hAnsi="Century"/>
        </w:rPr>
        <w:footnoteRef/>
      </w:r>
      <w:r w:rsidRPr="006871B9">
        <w:rPr>
          <w:rFonts w:ascii="Century" w:hAnsi="Century"/>
        </w:rPr>
        <w:t xml:space="preserve"> </w:t>
      </w:r>
      <w:r w:rsidRPr="006871B9">
        <w:rPr>
          <w:rFonts w:ascii="Century" w:hAnsi="Century"/>
          <w:lang w:val="es-CO"/>
        </w:rPr>
        <w:t xml:space="preserve">CSJ. Civil. </w:t>
      </w:r>
      <w:proofErr w:type="spellStart"/>
      <w:r w:rsidRPr="006871B9">
        <w:rPr>
          <w:rFonts w:ascii="Century" w:hAnsi="Century"/>
          <w:lang w:val="es-CO"/>
        </w:rPr>
        <w:t>SC280</w:t>
      </w:r>
      <w:proofErr w:type="spellEnd"/>
      <w:r w:rsidRPr="006871B9">
        <w:rPr>
          <w:rFonts w:ascii="Century" w:hAnsi="Century"/>
          <w:lang w:val="es-CO"/>
        </w:rPr>
        <w:t xml:space="preserve">-2018, </w:t>
      </w:r>
      <w:proofErr w:type="spellStart"/>
      <w:r w:rsidRPr="006871B9">
        <w:rPr>
          <w:rFonts w:ascii="Century" w:hAnsi="Century"/>
          <w:lang w:val="es-CO"/>
        </w:rPr>
        <w:t>SC8210</w:t>
      </w:r>
      <w:proofErr w:type="spellEnd"/>
      <w:r w:rsidRPr="006871B9">
        <w:rPr>
          <w:rFonts w:ascii="Century" w:hAnsi="Century"/>
          <w:lang w:val="es-CO"/>
        </w:rPr>
        <w:t>-2016, entre otras.</w:t>
      </w:r>
    </w:p>
  </w:footnote>
  <w:footnote w:id="7">
    <w:p w:rsidR="00253570" w:rsidRPr="006871B9" w:rsidRDefault="00253570" w:rsidP="006871B9">
      <w:pPr>
        <w:pStyle w:val="Textonotapie"/>
        <w:jc w:val="both"/>
        <w:rPr>
          <w:rFonts w:ascii="Century" w:hAnsi="Century"/>
        </w:rPr>
      </w:pPr>
      <w:r w:rsidRPr="006871B9">
        <w:rPr>
          <w:rFonts w:ascii="Century" w:hAnsi="Century"/>
          <w:vertAlign w:val="superscript"/>
        </w:rPr>
        <w:footnoteRef/>
      </w:r>
      <w:r w:rsidRPr="006871B9">
        <w:rPr>
          <w:rFonts w:ascii="Century" w:hAnsi="Century"/>
        </w:rPr>
        <w:t xml:space="preserve"> </w:t>
      </w:r>
      <w:r w:rsidRPr="006871B9">
        <w:rPr>
          <w:rFonts w:ascii="Century" w:hAnsi="Century"/>
          <w:lang w:val="es-CO"/>
        </w:rPr>
        <w:t>LÓPEZ B</w:t>
      </w:r>
      <w:r w:rsidR="001055C0" w:rsidRPr="006871B9">
        <w:rPr>
          <w:rFonts w:ascii="Century" w:hAnsi="Century"/>
          <w:lang w:val="es-CO"/>
        </w:rPr>
        <w:t>.</w:t>
      </w:r>
      <w:r w:rsidRPr="006871B9">
        <w:rPr>
          <w:rFonts w:ascii="Century" w:hAnsi="Century"/>
          <w:lang w:val="es-CO"/>
        </w:rPr>
        <w:t>, Hernán F.</w:t>
      </w:r>
      <w:r w:rsidR="001055C0" w:rsidRPr="006871B9">
        <w:rPr>
          <w:rFonts w:ascii="Century" w:hAnsi="Century"/>
          <w:lang w:val="es-CO"/>
        </w:rPr>
        <w:t xml:space="preserve"> Ob. cit.,</w:t>
      </w:r>
      <w:r w:rsidRPr="006871B9">
        <w:rPr>
          <w:rFonts w:ascii="Century" w:hAnsi="Century"/>
          <w:lang w:val="es-CO"/>
        </w:rPr>
        <w:t xml:space="preserve"> </w:t>
      </w:r>
      <w:proofErr w:type="spellStart"/>
      <w:r w:rsidRPr="006871B9">
        <w:rPr>
          <w:rFonts w:ascii="Century" w:hAnsi="Century"/>
          <w:lang w:val="es-CO"/>
        </w:rPr>
        <w:t>p.447</w:t>
      </w:r>
      <w:proofErr w:type="spellEnd"/>
      <w:r w:rsidRPr="006871B9">
        <w:rPr>
          <w:rFonts w:ascii="Century" w:hAnsi="Century"/>
        </w:rPr>
        <w:t>.</w:t>
      </w:r>
    </w:p>
  </w:footnote>
  <w:footnote w:id="8">
    <w:p w:rsidR="00253570" w:rsidRPr="006871B9" w:rsidRDefault="00253570" w:rsidP="006871B9">
      <w:pPr>
        <w:pStyle w:val="Textonotapie"/>
        <w:jc w:val="both"/>
        <w:rPr>
          <w:rFonts w:ascii="Century" w:hAnsi="Century"/>
          <w:lang w:val="es-CO"/>
        </w:rPr>
      </w:pPr>
      <w:r w:rsidRPr="006871B9">
        <w:rPr>
          <w:rStyle w:val="Refdenotaalpie"/>
          <w:rFonts w:ascii="Century" w:hAnsi="Century"/>
        </w:rPr>
        <w:footnoteRef/>
      </w:r>
      <w:r w:rsidRPr="006871B9">
        <w:rPr>
          <w:rFonts w:ascii="Century" w:hAnsi="Century"/>
        </w:rPr>
        <w:t xml:space="preserve"> </w:t>
      </w:r>
      <w:r w:rsidR="001055C0" w:rsidRPr="006871B9">
        <w:rPr>
          <w:rFonts w:ascii="Century" w:hAnsi="Century"/>
          <w:lang w:val="es-CO"/>
        </w:rPr>
        <w:t>ROJAS G., Miguel E. Ob. cit.,</w:t>
      </w:r>
      <w:r w:rsidRPr="006871B9">
        <w:rPr>
          <w:rFonts w:ascii="Century" w:hAnsi="Century"/>
        </w:rPr>
        <w:t xml:space="preserve"> </w:t>
      </w:r>
      <w:proofErr w:type="spellStart"/>
      <w:r w:rsidRPr="006871B9">
        <w:rPr>
          <w:rFonts w:ascii="Century" w:hAnsi="Century"/>
        </w:rPr>
        <w:t>p.</w:t>
      </w:r>
      <w:r w:rsidR="001055C0" w:rsidRPr="006871B9">
        <w:rPr>
          <w:rFonts w:ascii="Century" w:hAnsi="Century"/>
        </w:rPr>
        <w:t>412</w:t>
      </w:r>
      <w:proofErr w:type="spellEnd"/>
      <w:r w:rsidRPr="006871B9">
        <w:rPr>
          <w:rFonts w:ascii="Century" w:hAnsi="Century"/>
        </w:rPr>
        <w:t>.</w:t>
      </w:r>
    </w:p>
  </w:footnote>
  <w:footnote w:id="9">
    <w:p w:rsidR="005B48F1" w:rsidRPr="005B48F1" w:rsidRDefault="005B48F1" w:rsidP="006871B9">
      <w:pPr>
        <w:pStyle w:val="Textonotapie"/>
        <w:jc w:val="both"/>
        <w:rPr>
          <w:lang w:val="es-CO"/>
        </w:rPr>
      </w:pPr>
      <w:r w:rsidRPr="006871B9">
        <w:rPr>
          <w:rStyle w:val="Refdenotaalpie"/>
          <w:rFonts w:ascii="Century" w:hAnsi="Century"/>
          <w:sz w:val="16"/>
        </w:rPr>
        <w:footnoteRef/>
      </w:r>
      <w:r w:rsidRPr="006871B9">
        <w:rPr>
          <w:rFonts w:ascii="Century" w:hAnsi="Century"/>
          <w:sz w:val="16"/>
        </w:rPr>
        <w:t xml:space="preserve"> Consultable en </w:t>
      </w:r>
      <w:hyperlink r:id="rId1" w:history="1">
        <w:r w:rsidRPr="006871B9">
          <w:rPr>
            <w:rStyle w:val="Hipervnculo"/>
            <w:rFonts w:ascii="Century" w:hAnsi="Century"/>
            <w:sz w:val="16"/>
          </w:rPr>
          <w:t>https://procesojudicial.ramajudicial.gov.co/Justicia/Seguridad/Login.aspx?ReturnUrl=%2fJusticia21</w:t>
        </w:r>
      </w:hyperlink>
      <w:r w:rsidRPr="006871B9">
        <w:rPr>
          <w:rFonts w:ascii="Century" w:hAnsi="Century"/>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E3" w:rsidRPr="00B62758" w:rsidRDefault="00045CE3" w:rsidP="00045CE3">
    <w:pPr>
      <w:pStyle w:val="Encabezado"/>
      <w:pBdr>
        <w:bottom w:val="single" w:sz="4" w:space="1" w:color="D9D9D9" w:themeColor="background1" w:themeShade="D9"/>
      </w:pBdr>
      <w:jc w:val="right"/>
      <w:rPr>
        <w:rFonts w:asciiTheme="minorHAnsi" w:hAnsiTheme="minorHAnsi" w:cs="Calibri"/>
        <w:bCs/>
      </w:rPr>
    </w:pPr>
    <w:r w:rsidRPr="00B62758">
      <w:rPr>
        <w:rFonts w:asciiTheme="minorHAnsi" w:hAnsiTheme="minorHAnsi" w:cs="Calibri"/>
        <w:color w:val="808080" w:themeColor="background1" w:themeShade="80"/>
        <w:spacing w:val="60"/>
      </w:rPr>
      <w:t>Página</w:t>
    </w:r>
    <w:r w:rsidRPr="00B62758">
      <w:rPr>
        <w:rFonts w:asciiTheme="minorHAnsi" w:hAnsiTheme="minorHAnsi" w:cs="Calibri"/>
      </w:rPr>
      <w:t xml:space="preserve"> | </w:t>
    </w:r>
    <w:r w:rsidRPr="00B62758">
      <w:rPr>
        <w:rFonts w:asciiTheme="minorHAnsi" w:hAnsiTheme="minorHAnsi" w:cs="Calibri"/>
      </w:rPr>
      <w:fldChar w:fldCharType="begin"/>
    </w:r>
    <w:r w:rsidRPr="00B62758">
      <w:rPr>
        <w:rFonts w:asciiTheme="minorHAnsi" w:hAnsiTheme="minorHAnsi" w:cs="Calibri"/>
      </w:rPr>
      <w:instrText>PAGE   \* MERGEFORMAT</w:instrText>
    </w:r>
    <w:r w:rsidRPr="00B62758">
      <w:rPr>
        <w:rFonts w:asciiTheme="minorHAnsi" w:hAnsiTheme="minorHAnsi" w:cs="Calibri"/>
      </w:rPr>
      <w:fldChar w:fldCharType="separate"/>
    </w:r>
    <w:r w:rsidR="00221773" w:rsidRPr="00221773">
      <w:rPr>
        <w:rFonts w:asciiTheme="minorHAnsi" w:hAnsiTheme="minorHAnsi" w:cs="Calibri"/>
        <w:bCs/>
        <w:noProof/>
      </w:rPr>
      <w:t>6</w:t>
    </w:r>
    <w:r w:rsidRPr="00B62758">
      <w:rPr>
        <w:rFonts w:asciiTheme="minorHAnsi" w:hAnsiTheme="minorHAnsi" w:cs="Calibri"/>
      </w:rPr>
      <w:fldChar w:fldCharType="end"/>
    </w:r>
  </w:p>
  <w:p w:rsidR="00045CE3" w:rsidRPr="00323447" w:rsidRDefault="00045CE3" w:rsidP="00045CE3">
    <w:pPr>
      <w:pStyle w:val="Encabezado"/>
      <w:rPr>
        <w:rFonts w:asciiTheme="majorHAnsi" w:hAnsiTheme="majorHAnsi" w:cs="Iskoola Pota"/>
        <w:i/>
        <w:sz w:val="18"/>
        <w:lang w:val="es-CO"/>
      </w:rPr>
    </w:pPr>
    <w:r w:rsidRPr="00323447">
      <w:rPr>
        <w:rFonts w:asciiTheme="majorHAnsi" w:hAnsiTheme="majorHAnsi" w:cs="Iskoola Pota"/>
        <w:i/>
        <w:lang w:val="es-CO"/>
      </w:rPr>
      <w:t>E</w:t>
    </w:r>
    <w:r w:rsidRPr="00323447">
      <w:rPr>
        <w:rFonts w:asciiTheme="majorHAnsi" w:hAnsiTheme="majorHAnsi" w:cs="Iskoola Pota"/>
        <w:i/>
        <w:sz w:val="16"/>
        <w:lang w:val="es-CO"/>
      </w:rPr>
      <w:t>XPEDIENTE No.</w:t>
    </w:r>
    <w:r w:rsidR="009A672F">
      <w:rPr>
        <w:rFonts w:asciiTheme="majorHAnsi" w:hAnsiTheme="majorHAnsi" w:cs="Iskoola Pota"/>
        <w:i/>
        <w:sz w:val="16"/>
        <w:lang w:val="es-CO"/>
      </w:rPr>
      <w:t xml:space="preserve"> </w:t>
    </w:r>
    <w:r w:rsidRPr="00323447">
      <w:rPr>
        <w:rFonts w:asciiTheme="majorHAnsi" w:hAnsiTheme="majorHAnsi" w:cs="Iskoola Pota"/>
        <w:i/>
        <w:sz w:val="16"/>
        <w:lang w:val="es-CO"/>
      </w:rPr>
      <w:t>20</w:t>
    </w:r>
    <w:r w:rsidR="008B7145">
      <w:rPr>
        <w:rFonts w:asciiTheme="majorHAnsi" w:hAnsiTheme="majorHAnsi" w:cs="Iskoola Pota"/>
        <w:i/>
        <w:sz w:val="16"/>
        <w:lang w:val="es-CO"/>
      </w:rPr>
      <w:t>1</w:t>
    </w:r>
    <w:r w:rsidR="006C37A3">
      <w:rPr>
        <w:rFonts w:asciiTheme="majorHAnsi" w:hAnsiTheme="majorHAnsi" w:cs="Iskoola Pota"/>
        <w:i/>
        <w:sz w:val="16"/>
        <w:lang w:val="es-CO"/>
      </w:rPr>
      <w:t>5</w:t>
    </w:r>
    <w:r w:rsidRPr="00323447">
      <w:rPr>
        <w:rFonts w:asciiTheme="majorHAnsi" w:hAnsiTheme="majorHAnsi" w:cs="Iskoola Pota"/>
        <w:i/>
        <w:sz w:val="16"/>
        <w:lang w:val="es-CO"/>
      </w:rPr>
      <w:t>-00</w:t>
    </w:r>
    <w:r w:rsidR="006C37A3">
      <w:rPr>
        <w:rFonts w:asciiTheme="majorHAnsi" w:hAnsiTheme="majorHAnsi" w:cs="Iskoola Pota"/>
        <w:i/>
        <w:sz w:val="16"/>
        <w:lang w:val="es-CO"/>
      </w:rPr>
      <w:t>131</w:t>
    </w:r>
    <w:r w:rsidR="00AC7745">
      <w:rPr>
        <w:rFonts w:asciiTheme="majorHAnsi" w:hAnsiTheme="majorHAnsi" w:cs="Iskoola Pota"/>
        <w:i/>
        <w:sz w:val="16"/>
        <w:lang w:val="es-CO"/>
      </w:rPr>
      <w:t>-</w:t>
    </w:r>
    <w:r w:rsidRPr="00323447">
      <w:rPr>
        <w:rFonts w:asciiTheme="majorHAnsi" w:hAnsiTheme="majorHAnsi" w:cs="Iskoola Pota"/>
        <w:i/>
        <w:sz w:val="16"/>
        <w:lang w:val="es-CO"/>
      </w:rPr>
      <w:t>0</w:t>
    </w:r>
    <w:r w:rsidR="008B7145">
      <w:rPr>
        <w:rFonts w:asciiTheme="majorHAnsi" w:hAnsiTheme="majorHAnsi" w:cs="Iskoola Pota"/>
        <w:i/>
        <w:sz w:val="16"/>
        <w:lang w:val="es-CO"/>
      </w:rPr>
      <w:t>1</w:t>
    </w:r>
  </w:p>
  <w:p w:rsidR="008D321B" w:rsidRPr="00045CE3" w:rsidRDefault="008D321B" w:rsidP="00045C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661B9"/>
    <w:multiLevelType w:val="hybridMultilevel"/>
    <w:tmpl w:val="75A6ED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67334F69"/>
    <w:multiLevelType w:val="multilevel"/>
    <w:tmpl w:val="2CB469B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73D5112F"/>
    <w:multiLevelType w:val="hybridMultilevel"/>
    <w:tmpl w:val="E63C247A"/>
    <w:lvl w:ilvl="0" w:tplc="080A000F">
      <w:start w:val="1"/>
      <w:numFmt w:val="decimal"/>
      <w:lvlText w:val="%1."/>
      <w:lvlJc w:val="left"/>
      <w:pPr>
        <w:tabs>
          <w:tab w:val="num" w:pos="360"/>
        </w:tabs>
        <w:ind w:left="360" w:hanging="360"/>
      </w:pPr>
      <w:rPr>
        <w:rFonts w:cs="Times New Roman"/>
      </w:rPr>
    </w:lvl>
    <w:lvl w:ilvl="1" w:tplc="080A0019" w:tentative="1">
      <w:start w:val="1"/>
      <w:numFmt w:val="lowerLetter"/>
      <w:lvlText w:val="%2."/>
      <w:lvlJc w:val="left"/>
      <w:pPr>
        <w:tabs>
          <w:tab w:val="num" w:pos="1080"/>
        </w:tabs>
        <w:ind w:left="1080" w:hanging="360"/>
      </w:pPr>
      <w:rPr>
        <w:rFonts w:cs="Times New Roman"/>
      </w:rPr>
    </w:lvl>
    <w:lvl w:ilvl="2" w:tplc="080A001B" w:tentative="1">
      <w:start w:val="1"/>
      <w:numFmt w:val="lowerRoman"/>
      <w:lvlText w:val="%3."/>
      <w:lvlJc w:val="right"/>
      <w:pPr>
        <w:tabs>
          <w:tab w:val="num" w:pos="1800"/>
        </w:tabs>
        <w:ind w:left="1800" w:hanging="180"/>
      </w:pPr>
      <w:rPr>
        <w:rFonts w:cs="Times New Roman"/>
      </w:rPr>
    </w:lvl>
    <w:lvl w:ilvl="3" w:tplc="080A000F" w:tentative="1">
      <w:start w:val="1"/>
      <w:numFmt w:val="decimal"/>
      <w:lvlText w:val="%4."/>
      <w:lvlJc w:val="left"/>
      <w:pPr>
        <w:tabs>
          <w:tab w:val="num" w:pos="2520"/>
        </w:tabs>
        <w:ind w:left="2520" w:hanging="360"/>
      </w:pPr>
      <w:rPr>
        <w:rFonts w:cs="Times New Roman"/>
      </w:rPr>
    </w:lvl>
    <w:lvl w:ilvl="4" w:tplc="080A0019" w:tentative="1">
      <w:start w:val="1"/>
      <w:numFmt w:val="lowerLetter"/>
      <w:lvlText w:val="%5."/>
      <w:lvlJc w:val="left"/>
      <w:pPr>
        <w:tabs>
          <w:tab w:val="num" w:pos="3240"/>
        </w:tabs>
        <w:ind w:left="3240" w:hanging="360"/>
      </w:pPr>
      <w:rPr>
        <w:rFonts w:cs="Times New Roman"/>
      </w:rPr>
    </w:lvl>
    <w:lvl w:ilvl="5" w:tplc="080A001B" w:tentative="1">
      <w:start w:val="1"/>
      <w:numFmt w:val="lowerRoman"/>
      <w:lvlText w:val="%6."/>
      <w:lvlJc w:val="right"/>
      <w:pPr>
        <w:tabs>
          <w:tab w:val="num" w:pos="3960"/>
        </w:tabs>
        <w:ind w:left="3960" w:hanging="180"/>
      </w:pPr>
      <w:rPr>
        <w:rFonts w:cs="Times New Roman"/>
      </w:rPr>
    </w:lvl>
    <w:lvl w:ilvl="6" w:tplc="080A000F" w:tentative="1">
      <w:start w:val="1"/>
      <w:numFmt w:val="decimal"/>
      <w:lvlText w:val="%7."/>
      <w:lvlJc w:val="left"/>
      <w:pPr>
        <w:tabs>
          <w:tab w:val="num" w:pos="4680"/>
        </w:tabs>
        <w:ind w:left="4680" w:hanging="360"/>
      </w:pPr>
      <w:rPr>
        <w:rFonts w:cs="Times New Roman"/>
      </w:rPr>
    </w:lvl>
    <w:lvl w:ilvl="7" w:tplc="080A0019" w:tentative="1">
      <w:start w:val="1"/>
      <w:numFmt w:val="lowerLetter"/>
      <w:lvlText w:val="%8."/>
      <w:lvlJc w:val="left"/>
      <w:pPr>
        <w:tabs>
          <w:tab w:val="num" w:pos="5400"/>
        </w:tabs>
        <w:ind w:left="5400" w:hanging="360"/>
      </w:pPr>
      <w:rPr>
        <w:rFonts w:cs="Times New Roman"/>
      </w:rPr>
    </w:lvl>
    <w:lvl w:ilvl="8" w:tplc="080A001B" w:tentative="1">
      <w:start w:val="1"/>
      <w:numFmt w:val="lowerRoman"/>
      <w:lvlText w:val="%9."/>
      <w:lvlJc w:val="right"/>
      <w:pPr>
        <w:tabs>
          <w:tab w:val="num" w:pos="6120"/>
        </w:tabs>
        <w:ind w:left="6120" w:hanging="180"/>
      </w:pPr>
      <w:rPr>
        <w:rFonts w:cs="Times New Roman"/>
      </w:rPr>
    </w:lvl>
  </w:abstractNum>
  <w:abstractNum w:abstractNumId="10">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8"/>
  </w:num>
  <w:num w:numId="2">
    <w:abstractNumId w:val="5"/>
  </w:num>
  <w:num w:numId="3">
    <w:abstractNumId w:val="10"/>
  </w:num>
  <w:num w:numId="4">
    <w:abstractNumId w:val="9"/>
  </w:num>
  <w:num w:numId="5">
    <w:abstractNumId w:val="4"/>
  </w:num>
  <w:num w:numId="6">
    <w:abstractNumId w:val="2"/>
  </w:num>
  <w:num w:numId="7">
    <w:abstractNumId w:val="7"/>
  </w:num>
  <w:num w:numId="8">
    <w:abstractNumId w:val="3"/>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2A2"/>
    <w:rsid w:val="000021FF"/>
    <w:rsid w:val="00003803"/>
    <w:rsid w:val="0000570F"/>
    <w:rsid w:val="000111C6"/>
    <w:rsid w:val="000124CA"/>
    <w:rsid w:val="0001437D"/>
    <w:rsid w:val="0002434F"/>
    <w:rsid w:val="00032991"/>
    <w:rsid w:val="0004285E"/>
    <w:rsid w:val="00045CE3"/>
    <w:rsid w:val="00047864"/>
    <w:rsid w:val="00050BAF"/>
    <w:rsid w:val="00050E52"/>
    <w:rsid w:val="000521D3"/>
    <w:rsid w:val="00053B9A"/>
    <w:rsid w:val="00054BF9"/>
    <w:rsid w:val="00054ED1"/>
    <w:rsid w:val="00057617"/>
    <w:rsid w:val="00057B5C"/>
    <w:rsid w:val="00060A66"/>
    <w:rsid w:val="00061786"/>
    <w:rsid w:val="00063444"/>
    <w:rsid w:val="0006374F"/>
    <w:rsid w:val="00063E12"/>
    <w:rsid w:val="00071273"/>
    <w:rsid w:val="00073E33"/>
    <w:rsid w:val="00076EDC"/>
    <w:rsid w:val="00081450"/>
    <w:rsid w:val="00091B32"/>
    <w:rsid w:val="00093D74"/>
    <w:rsid w:val="000979F2"/>
    <w:rsid w:val="000A3198"/>
    <w:rsid w:val="000A4144"/>
    <w:rsid w:val="000A44E3"/>
    <w:rsid w:val="000B2C44"/>
    <w:rsid w:val="000B416A"/>
    <w:rsid w:val="000B4877"/>
    <w:rsid w:val="000B5B84"/>
    <w:rsid w:val="000B62AF"/>
    <w:rsid w:val="000C3C7F"/>
    <w:rsid w:val="000D03C3"/>
    <w:rsid w:val="000D106C"/>
    <w:rsid w:val="000D1C67"/>
    <w:rsid w:val="000D304A"/>
    <w:rsid w:val="000D4106"/>
    <w:rsid w:val="000D51C5"/>
    <w:rsid w:val="000D579D"/>
    <w:rsid w:val="000D6D34"/>
    <w:rsid w:val="000D70EB"/>
    <w:rsid w:val="000E0068"/>
    <w:rsid w:val="000E1102"/>
    <w:rsid w:val="000E18D0"/>
    <w:rsid w:val="000E4FA0"/>
    <w:rsid w:val="000E7392"/>
    <w:rsid w:val="000F08E0"/>
    <w:rsid w:val="000F16E3"/>
    <w:rsid w:val="000F1B66"/>
    <w:rsid w:val="000F3C01"/>
    <w:rsid w:val="000F6932"/>
    <w:rsid w:val="0010454D"/>
    <w:rsid w:val="001055C0"/>
    <w:rsid w:val="00107E1A"/>
    <w:rsid w:val="00110366"/>
    <w:rsid w:val="00111F9C"/>
    <w:rsid w:val="00112D32"/>
    <w:rsid w:val="001130D4"/>
    <w:rsid w:val="00114608"/>
    <w:rsid w:val="00114FEE"/>
    <w:rsid w:val="00117C9A"/>
    <w:rsid w:val="0012018F"/>
    <w:rsid w:val="00121881"/>
    <w:rsid w:val="00122AF4"/>
    <w:rsid w:val="00122CE4"/>
    <w:rsid w:val="00132BE5"/>
    <w:rsid w:val="00134551"/>
    <w:rsid w:val="001403D4"/>
    <w:rsid w:val="00141432"/>
    <w:rsid w:val="00142393"/>
    <w:rsid w:val="001445DE"/>
    <w:rsid w:val="001446B1"/>
    <w:rsid w:val="001452E0"/>
    <w:rsid w:val="00157865"/>
    <w:rsid w:val="00164649"/>
    <w:rsid w:val="001654C4"/>
    <w:rsid w:val="00165916"/>
    <w:rsid w:val="001729EA"/>
    <w:rsid w:val="00176160"/>
    <w:rsid w:val="00184852"/>
    <w:rsid w:val="00186705"/>
    <w:rsid w:val="00190036"/>
    <w:rsid w:val="001902A0"/>
    <w:rsid w:val="00193145"/>
    <w:rsid w:val="001A46C4"/>
    <w:rsid w:val="001A565D"/>
    <w:rsid w:val="001A688F"/>
    <w:rsid w:val="001B2496"/>
    <w:rsid w:val="001B3230"/>
    <w:rsid w:val="001B4583"/>
    <w:rsid w:val="001B4B9B"/>
    <w:rsid w:val="001C11F9"/>
    <w:rsid w:val="001C36DF"/>
    <w:rsid w:val="001C3F97"/>
    <w:rsid w:val="001C51D4"/>
    <w:rsid w:val="001C5578"/>
    <w:rsid w:val="001C5598"/>
    <w:rsid w:val="001D0AA3"/>
    <w:rsid w:val="001D5F8C"/>
    <w:rsid w:val="001D60DE"/>
    <w:rsid w:val="001D7953"/>
    <w:rsid w:val="001D7E85"/>
    <w:rsid w:val="001E18FB"/>
    <w:rsid w:val="001E57DE"/>
    <w:rsid w:val="001E70A1"/>
    <w:rsid w:val="001F53B6"/>
    <w:rsid w:val="00201848"/>
    <w:rsid w:val="00203059"/>
    <w:rsid w:val="00204BB6"/>
    <w:rsid w:val="00207C51"/>
    <w:rsid w:val="0021075B"/>
    <w:rsid w:val="00216AE8"/>
    <w:rsid w:val="00221773"/>
    <w:rsid w:val="0022401A"/>
    <w:rsid w:val="002243EA"/>
    <w:rsid w:val="00224DC7"/>
    <w:rsid w:val="002275CE"/>
    <w:rsid w:val="00227FA6"/>
    <w:rsid w:val="00230208"/>
    <w:rsid w:val="00231A7F"/>
    <w:rsid w:val="00232FC6"/>
    <w:rsid w:val="0023681D"/>
    <w:rsid w:val="00236A9B"/>
    <w:rsid w:val="0023704F"/>
    <w:rsid w:val="00237B2C"/>
    <w:rsid w:val="00237BF5"/>
    <w:rsid w:val="002419D4"/>
    <w:rsid w:val="00243379"/>
    <w:rsid w:val="0024455A"/>
    <w:rsid w:val="00247DA1"/>
    <w:rsid w:val="00247FA8"/>
    <w:rsid w:val="00250F5E"/>
    <w:rsid w:val="0025169B"/>
    <w:rsid w:val="00253570"/>
    <w:rsid w:val="00257943"/>
    <w:rsid w:val="002579E7"/>
    <w:rsid w:val="00257B1F"/>
    <w:rsid w:val="00266906"/>
    <w:rsid w:val="002711FB"/>
    <w:rsid w:val="0027637D"/>
    <w:rsid w:val="00276737"/>
    <w:rsid w:val="00280589"/>
    <w:rsid w:val="002825A8"/>
    <w:rsid w:val="0028274F"/>
    <w:rsid w:val="002860D6"/>
    <w:rsid w:val="00286E35"/>
    <w:rsid w:val="002873EC"/>
    <w:rsid w:val="002912F2"/>
    <w:rsid w:val="00297096"/>
    <w:rsid w:val="002A0A88"/>
    <w:rsid w:val="002A18D8"/>
    <w:rsid w:val="002A3FA7"/>
    <w:rsid w:val="002A55F9"/>
    <w:rsid w:val="002A5F6E"/>
    <w:rsid w:val="002B513B"/>
    <w:rsid w:val="002B7B3F"/>
    <w:rsid w:val="002C37C0"/>
    <w:rsid w:val="002C4195"/>
    <w:rsid w:val="002C6B60"/>
    <w:rsid w:val="002C7A37"/>
    <w:rsid w:val="002D045F"/>
    <w:rsid w:val="002D4917"/>
    <w:rsid w:val="002D605B"/>
    <w:rsid w:val="002E0BA3"/>
    <w:rsid w:val="002E20D6"/>
    <w:rsid w:val="002E21FB"/>
    <w:rsid w:val="002E442C"/>
    <w:rsid w:val="002E5263"/>
    <w:rsid w:val="002E562C"/>
    <w:rsid w:val="002F4DF5"/>
    <w:rsid w:val="002F7410"/>
    <w:rsid w:val="003013A2"/>
    <w:rsid w:val="00305C99"/>
    <w:rsid w:val="00310A0A"/>
    <w:rsid w:val="00310EAB"/>
    <w:rsid w:val="003169B1"/>
    <w:rsid w:val="00316BE2"/>
    <w:rsid w:val="00317A08"/>
    <w:rsid w:val="00323447"/>
    <w:rsid w:val="003319C7"/>
    <w:rsid w:val="00331B14"/>
    <w:rsid w:val="003336C3"/>
    <w:rsid w:val="00342E88"/>
    <w:rsid w:val="003458B9"/>
    <w:rsid w:val="00350C7A"/>
    <w:rsid w:val="00352931"/>
    <w:rsid w:val="00354E29"/>
    <w:rsid w:val="00360576"/>
    <w:rsid w:val="00363D16"/>
    <w:rsid w:val="00363D70"/>
    <w:rsid w:val="003666AA"/>
    <w:rsid w:val="00366D3B"/>
    <w:rsid w:val="0036706F"/>
    <w:rsid w:val="00367DCA"/>
    <w:rsid w:val="00370D1D"/>
    <w:rsid w:val="00371D56"/>
    <w:rsid w:val="00380D0F"/>
    <w:rsid w:val="0038158A"/>
    <w:rsid w:val="00384791"/>
    <w:rsid w:val="00386111"/>
    <w:rsid w:val="003862AD"/>
    <w:rsid w:val="00390B60"/>
    <w:rsid w:val="00392869"/>
    <w:rsid w:val="00392F07"/>
    <w:rsid w:val="00393DD3"/>
    <w:rsid w:val="00395E26"/>
    <w:rsid w:val="003972DC"/>
    <w:rsid w:val="00397F40"/>
    <w:rsid w:val="003A1A5B"/>
    <w:rsid w:val="003A4792"/>
    <w:rsid w:val="003A68B4"/>
    <w:rsid w:val="003B19D8"/>
    <w:rsid w:val="003B445E"/>
    <w:rsid w:val="003B5E6E"/>
    <w:rsid w:val="003C5098"/>
    <w:rsid w:val="003C7051"/>
    <w:rsid w:val="003C77D5"/>
    <w:rsid w:val="003D081D"/>
    <w:rsid w:val="003D67D8"/>
    <w:rsid w:val="003D6C3D"/>
    <w:rsid w:val="003E0818"/>
    <w:rsid w:val="003E1A30"/>
    <w:rsid w:val="003E236C"/>
    <w:rsid w:val="003E36C9"/>
    <w:rsid w:val="003E3CF7"/>
    <w:rsid w:val="003E3FFF"/>
    <w:rsid w:val="003E4533"/>
    <w:rsid w:val="003E5ED3"/>
    <w:rsid w:val="003F3AD2"/>
    <w:rsid w:val="00400B90"/>
    <w:rsid w:val="00402132"/>
    <w:rsid w:val="00403F27"/>
    <w:rsid w:val="004041EA"/>
    <w:rsid w:val="00407A11"/>
    <w:rsid w:val="00411109"/>
    <w:rsid w:val="00411AC5"/>
    <w:rsid w:val="004139EB"/>
    <w:rsid w:val="00414421"/>
    <w:rsid w:val="004155DE"/>
    <w:rsid w:val="004203C3"/>
    <w:rsid w:val="00427BE4"/>
    <w:rsid w:val="004335C7"/>
    <w:rsid w:val="00436669"/>
    <w:rsid w:val="00436C34"/>
    <w:rsid w:val="00437EF2"/>
    <w:rsid w:val="00455BC7"/>
    <w:rsid w:val="00455DE9"/>
    <w:rsid w:val="004561A2"/>
    <w:rsid w:val="004561E8"/>
    <w:rsid w:val="004614E4"/>
    <w:rsid w:val="00461F2C"/>
    <w:rsid w:val="00465107"/>
    <w:rsid w:val="00467B47"/>
    <w:rsid w:val="00471941"/>
    <w:rsid w:val="00471F25"/>
    <w:rsid w:val="00481083"/>
    <w:rsid w:val="00482924"/>
    <w:rsid w:val="004848E7"/>
    <w:rsid w:val="0048492D"/>
    <w:rsid w:val="004871C6"/>
    <w:rsid w:val="004972C9"/>
    <w:rsid w:val="004A0049"/>
    <w:rsid w:val="004A4D2E"/>
    <w:rsid w:val="004A7C24"/>
    <w:rsid w:val="004B52D3"/>
    <w:rsid w:val="004B6BF7"/>
    <w:rsid w:val="004C24E5"/>
    <w:rsid w:val="004C319B"/>
    <w:rsid w:val="004D1DC4"/>
    <w:rsid w:val="004D3020"/>
    <w:rsid w:val="004D62C6"/>
    <w:rsid w:val="004E1CAC"/>
    <w:rsid w:val="004E1EF9"/>
    <w:rsid w:val="004E2173"/>
    <w:rsid w:val="004E640A"/>
    <w:rsid w:val="004E65E6"/>
    <w:rsid w:val="004E6A80"/>
    <w:rsid w:val="004F0F45"/>
    <w:rsid w:val="004F1726"/>
    <w:rsid w:val="004F229E"/>
    <w:rsid w:val="004F537C"/>
    <w:rsid w:val="004F7160"/>
    <w:rsid w:val="00500A43"/>
    <w:rsid w:val="00500DC5"/>
    <w:rsid w:val="005022A7"/>
    <w:rsid w:val="005035D2"/>
    <w:rsid w:val="005116F6"/>
    <w:rsid w:val="005136BB"/>
    <w:rsid w:val="00513BCE"/>
    <w:rsid w:val="00515B6B"/>
    <w:rsid w:val="005226A9"/>
    <w:rsid w:val="0052315C"/>
    <w:rsid w:val="0052398B"/>
    <w:rsid w:val="005269C3"/>
    <w:rsid w:val="00526C51"/>
    <w:rsid w:val="0053073B"/>
    <w:rsid w:val="0053730A"/>
    <w:rsid w:val="0054427C"/>
    <w:rsid w:val="00544BCA"/>
    <w:rsid w:val="005477D2"/>
    <w:rsid w:val="00547A10"/>
    <w:rsid w:val="00550D01"/>
    <w:rsid w:val="0055115B"/>
    <w:rsid w:val="0055475B"/>
    <w:rsid w:val="0055545C"/>
    <w:rsid w:val="00564C16"/>
    <w:rsid w:val="0056502A"/>
    <w:rsid w:val="0056570B"/>
    <w:rsid w:val="00566F65"/>
    <w:rsid w:val="00570A9B"/>
    <w:rsid w:val="00570C60"/>
    <w:rsid w:val="00572804"/>
    <w:rsid w:val="00573BBD"/>
    <w:rsid w:val="005768FC"/>
    <w:rsid w:val="0058265D"/>
    <w:rsid w:val="00582F12"/>
    <w:rsid w:val="005846B6"/>
    <w:rsid w:val="0058709F"/>
    <w:rsid w:val="00587EDF"/>
    <w:rsid w:val="00592D99"/>
    <w:rsid w:val="005938D9"/>
    <w:rsid w:val="00597D74"/>
    <w:rsid w:val="005A3245"/>
    <w:rsid w:val="005A3571"/>
    <w:rsid w:val="005B48F1"/>
    <w:rsid w:val="005B781D"/>
    <w:rsid w:val="005C1309"/>
    <w:rsid w:val="005C3D57"/>
    <w:rsid w:val="005C4919"/>
    <w:rsid w:val="005D0B8F"/>
    <w:rsid w:val="005D0C4E"/>
    <w:rsid w:val="005D1D4B"/>
    <w:rsid w:val="005D39F3"/>
    <w:rsid w:val="005D49DF"/>
    <w:rsid w:val="005E03C6"/>
    <w:rsid w:val="005E5E74"/>
    <w:rsid w:val="005E604E"/>
    <w:rsid w:val="005F1FB2"/>
    <w:rsid w:val="0060427D"/>
    <w:rsid w:val="00606641"/>
    <w:rsid w:val="0060699E"/>
    <w:rsid w:val="00607310"/>
    <w:rsid w:val="00611CB0"/>
    <w:rsid w:val="00612738"/>
    <w:rsid w:val="006144B3"/>
    <w:rsid w:val="00616F4C"/>
    <w:rsid w:val="00617D63"/>
    <w:rsid w:val="00623497"/>
    <w:rsid w:val="006235A9"/>
    <w:rsid w:val="00623A6D"/>
    <w:rsid w:val="00631466"/>
    <w:rsid w:val="00631717"/>
    <w:rsid w:val="00632458"/>
    <w:rsid w:val="00640278"/>
    <w:rsid w:val="006423C6"/>
    <w:rsid w:val="006437CC"/>
    <w:rsid w:val="00646320"/>
    <w:rsid w:val="00647818"/>
    <w:rsid w:val="00651C7E"/>
    <w:rsid w:val="00652300"/>
    <w:rsid w:val="006527BF"/>
    <w:rsid w:val="006567B9"/>
    <w:rsid w:val="006575B5"/>
    <w:rsid w:val="00660E7E"/>
    <w:rsid w:val="00663341"/>
    <w:rsid w:val="00672632"/>
    <w:rsid w:val="00674682"/>
    <w:rsid w:val="00676A65"/>
    <w:rsid w:val="0067785B"/>
    <w:rsid w:val="00681A45"/>
    <w:rsid w:val="00682BBB"/>
    <w:rsid w:val="006837D2"/>
    <w:rsid w:val="00683C42"/>
    <w:rsid w:val="00684826"/>
    <w:rsid w:val="00686B69"/>
    <w:rsid w:val="006871B9"/>
    <w:rsid w:val="00690C31"/>
    <w:rsid w:val="006950C1"/>
    <w:rsid w:val="00695536"/>
    <w:rsid w:val="006A11EF"/>
    <w:rsid w:val="006A13F4"/>
    <w:rsid w:val="006A30E2"/>
    <w:rsid w:val="006A6085"/>
    <w:rsid w:val="006B2386"/>
    <w:rsid w:val="006B6A86"/>
    <w:rsid w:val="006B768E"/>
    <w:rsid w:val="006B7EB8"/>
    <w:rsid w:val="006C37A3"/>
    <w:rsid w:val="006C408D"/>
    <w:rsid w:val="006C4591"/>
    <w:rsid w:val="006C572F"/>
    <w:rsid w:val="006C7A9D"/>
    <w:rsid w:val="006D11A6"/>
    <w:rsid w:val="006E02FE"/>
    <w:rsid w:val="006E07AA"/>
    <w:rsid w:val="006E1121"/>
    <w:rsid w:val="006E221E"/>
    <w:rsid w:val="006E2357"/>
    <w:rsid w:val="006F310C"/>
    <w:rsid w:val="006F58F9"/>
    <w:rsid w:val="006F61F6"/>
    <w:rsid w:val="007024BC"/>
    <w:rsid w:val="007031D1"/>
    <w:rsid w:val="00707F42"/>
    <w:rsid w:val="00715013"/>
    <w:rsid w:val="00722457"/>
    <w:rsid w:val="00723A3A"/>
    <w:rsid w:val="007243CD"/>
    <w:rsid w:val="00725DA4"/>
    <w:rsid w:val="00726D6E"/>
    <w:rsid w:val="007270B6"/>
    <w:rsid w:val="00727833"/>
    <w:rsid w:val="007326D4"/>
    <w:rsid w:val="007330E3"/>
    <w:rsid w:val="00734860"/>
    <w:rsid w:val="00737026"/>
    <w:rsid w:val="0074098A"/>
    <w:rsid w:val="00740B86"/>
    <w:rsid w:val="007518BA"/>
    <w:rsid w:val="00756264"/>
    <w:rsid w:val="0076163D"/>
    <w:rsid w:val="007668A2"/>
    <w:rsid w:val="00772816"/>
    <w:rsid w:val="00774AD2"/>
    <w:rsid w:val="00776488"/>
    <w:rsid w:val="00776C17"/>
    <w:rsid w:val="00780839"/>
    <w:rsid w:val="00781593"/>
    <w:rsid w:val="00781928"/>
    <w:rsid w:val="007841FC"/>
    <w:rsid w:val="007853A8"/>
    <w:rsid w:val="007860C0"/>
    <w:rsid w:val="007864D6"/>
    <w:rsid w:val="00794B7C"/>
    <w:rsid w:val="007A1804"/>
    <w:rsid w:val="007A432B"/>
    <w:rsid w:val="007A476E"/>
    <w:rsid w:val="007A5D05"/>
    <w:rsid w:val="007B017E"/>
    <w:rsid w:val="007B1BDA"/>
    <w:rsid w:val="007B3970"/>
    <w:rsid w:val="007C03DB"/>
    <w:rsid w:val="007C4788"/>
    <w:rsid w:val="007C66B8"/>
    <w:rsid w:val="007D102F"/>
    <w:rsid w:val="007D22B1"/>
    <w:rsid w:val="007D341B"/>
    <w:rsid w:val="007D3E10"/>
    <w:rsid w:val="007D7466"/>
    <w:rsid w:val="007E6325"/>
    <w:rsid w:val="007E77A9"/>
    <w:rsid w:val="007F105A"/>
    <w:rsid w:val="007F2975"/>
    <w:rsid w:val="007F3A25"/>
    <w:rsid w:val="007F56CD"/>
    <w:rsid w:val="00801E58"/>
    <w:rsid w:val="00810D50"/>
    <w:rsid w:val="008128BA"/>
    <w:rsid w:val="0081363A"/>
    <w:rsid w:val="00817435"/>
    <w:rsid w:val="00817588"/>
    <w:rsid w:val="00820BF6"/>
    <w:rsid w:val="008213D2"/>
    <w:rsid w:val="0082292F"/>
    <w:rsid w:val="008247CC"/>
    <w:rsid w:val="00827A6D"/>
    <w:rsid w:val="0083050E"/>
    <w:rsid w:val="00832731"/>
    <w:rsid w:val="008336D4"/>
    <w:rsid w:val="00834347"/>
    <w:rsid w:val="00834976"/>
    <w:rsid w:val="00835665"/>
    <w:rsid w:val="008419DF"/>
    <w:rsid w:val="00842FE8"/>
    <w:rsid w:val="00843CE1"/>
    <w:rsid w:val="00852B82"/>
    <w:rsid w:val="008557A4"/>
    <w:rsid w:val="008566B5"/>
    <w:rsid w:val="008620CE"/>
    <w:rsid w:val="0086260D"/>
    <w:rsid w:val="0086284C"/>
    <w:rsid w:val="00863948"/>
    <w:rsid w:val="008672C3"/>
    <w:rsid w:val="00872F16"/>
    <w:rsid w:val="00873A59"/>
    <w:rsid w:val="00876E0A"/>
    <w:rsid w:val="00877480"/>
    <w:rsid w:val="0088358E"/>
    <w:rsid w:val="00884D74"/>
    <w:rsid w:val="008851BC"/>
    <w:rsid w:val="008872A2"/>
    <w:rsid w:val="008920B4"/>
    <w:rsid w:val="008930E1"/>
    <w:rsid w:val="00895B4B"/>
    <w:rsid w:val="008A017D"/>
    <w:rsid w:val="008A52AE"/>
    <w:rsid w:val="008B14AB"/>
    <w:rsid w:val="008B18E2"/>
    <w:rsid w:val="008B3E9A"/>
    <w:rsid w:val="008B500B"/>
    <w:rsid w:val="008B7145"/>
    <w:rsid w:val="008D321B"/>
    <w:rsid w:val="008D6CBA"/>
    <w:rsid w:val="008E0505"/>
    <w:rsid w:val="008E0D48"/>
    <w:rsid w:val="008E1174"/>
    <w:rsid w:val="008E678E"/>
    <w:rsid w:val="008E7C8E"/>
    <w:rsid w:val="008F10E2"/>
    <w:rsid w:val="00903782"/>
    <w:rsid w:val="009108C5"/>
    <w:rsid w:val="00910B1E"/>
    <w:rsid w:val="00911C83"/>
    <w:rsid w:val="009147CB"/>
    <w:rsid w:val="00915F3D"/>
    <w:rsid w:val="00921C1B"/>
    <w:rsid w:val="00921EAD"/>
    <w:rsid w:val="00927679"/>
    <w:rsid w:val="00944538"/>
    <w:rsid w:val="00945043"/>
    <w:rsid w:val="0094593D"/>
    <w:rsid w:val="0094614E"/>
    <w:rsid w:val="00952E5E"/>
    <w:rsid w:val="00953227"/>
    <w:rsid w:val="00953362"/>
    <w:rsid w:val="00953B22"/>
    <w:rsid w:val="00956A70"/>
    <w:rsid w:val="0095728D"/>
    <w:rsid w:val="00960B51"/>
    <w:rsid w:val="00963ECB"/>
    <w:rsid w:val="00967D6F"/>
    <w:rsid w:val="0097144C"/>
    <w:rsid w:val="0097269B"/>
    <w:rsid w:val="009759B2"/>
    <w:rsid w:val="0098009A"/>
    <w:rsid w:val="00980394"/>
    <w:rsid w:val="00985FD1"/>
    <w:rsid w:val="00986196"/>
    <w:rsid w:val="0099309B"/>
    <w:rsid w:val="009969C3"/>
    <w:rsid w:val="009A123B"/>
    <w:rsid w:val="009A1240"/>
    <w:rsid w:val="009A672F"/>
    <w:rsid w:val="009A6C1F"/>
    <w:rsid w:val="009A7A02"/>
    <w:rsid w:val="009A7C70"/>
    <w:rsid w:val="009A7FF4"/>
    <w:rsid w:val="009B1738"/>
    <w:rsid w:val="009B5FF3"/>
    <w:rsid w:val="009C1975"/>
    <w:rsid w:val="009C207D"/>
    <w:rsid w:val="009C743A"/>
    <w:rsid w:val="009C7EA8"/>
    <w:rsid w:val="009D02EA"/>
    <w:rsid w:val="009D0AF1"/>
    <w:rsid w:val="009E089C"/>
    <w:rsid w:val="009E1072"/>
    <w:rsid w:val="009E1CE4"/>
    <w:rsid w:val="009E3076"/>
    <w:rsid w:val="009E3110"/>
    <w:rsid w:val="009E6F52"/>
    <w:rsid w:val="009F0E61"/>
    <w:rsid w:val="009F2506"/>
    <w:rsid w:val="00A11F60"/>
    <w:rsid w:val="00A12284"/>
    <w:rsid w:val="00A13E74"/>
    <w:rsid w:val="00A14729"/>
    <w:rsid w:val="00A22745"/>
    <w:rsid w:val="00A230D3"/>
    <w:rsid w:val="00A2585D"/>
    <w:rsid w:val="00A27611"/>
    <w:rsid w:val="00A3039E"/>
    <w:rsid w:val="00A33DE2"/>
    <w:rsid w:val="00A35365"/>
    <w:rsid w:val="00A403FF"/>
    <w:rsid w:val="00A50045"/>
    <w:rsid w:val="00A51E08"/>
    <w:rsid w:val="00A5572D"/>
    <w:rsid w:val="00A56277"/>
    <w:rsid w:val="00A57455"/>
    <w:rsid w:val="00A62541"/>
    <w:rsid w:val="00A62787"/>
    <w:rsid w:val="00A644D6"/>
    <w:rsid w:val="00A65010"/>
    <w:rsid w:val="00A71D99"/>
    <w:rsid w:val="00A7420C"/>
    <w:rsid w:val="00A773FB"/>
    <w:rsid w:val="00A81263"/>
    <w:rsid w:val="00A837CE"/>
    <w:rsid w:val="00A8577A"/>
    <w:rsid w:val="00A909D6"/>
    <w:rsid w:val="00A9147B"/>
    <w:rsid w:val="00A96BBB"/>
    <w:rsid w:val="00A96BDB"/>
    <w:rsid w:val="00A97E41"/>
    <w:rsid w:val="00AA0D85"/>
    <w:rsid w:val="00AB2D84"/>
    <w:rsid w:val="00AB4752"/>
    <w:rsid w:val="00AB6D90"/>
    <w:rsid w:val="00AB75BC"/>
    <w:rsid w:val="00AC0533"/>
    <w:rsid w:val="00AC51E2"/>
    <w:rsid w:val="00AC71B8"/>
    <w:rsid w:val="00AC72E5"/>
    <w:rsid w:val="00AC7745"/>
    <w:rsid w:val="00AD0AE2"/>
    <w:rsid w:val="00AD1A3F"/>
    <w:rsid w:val="00AD2134"/>
    <w:rsid w:val="00AD410B"/>
    <w:rsid w:val="00AE0641"/>
    <w:rsid w:val="00AE2D99"/>
    <w:rsid w:val="00AE38B2"/>
    <w:rsid w:val="00AF04B1"/>
    <w:rsid w:val="00AF09DF"/>
    <w:rsid w:val="00AF321C"/>
    <w:rsid w:val="00AF3C92"/>
    <w:rsid w:val="00AF4B72"/>
    <w:rsid w:val="00AF6454"/>
    <w:rsid w:val="00AF7A6F"/>
    <w:rsid w:val="00AF7FC7"/>
    <w:rsid w:val="00B01A99"/>
    <w:rsid w:val="00B07F83"/>
    <w:rsid w:val="00B1222C"/>
    <w:rsid w:val="00B13AA4"/>
    <w:rsid w:val="00B14C4E"/>
    <w:rsid w:val="00B16506"/>
    <w:rsid w:val="00B17DC6"/>
    <w:rsid w:val="00B21163"/>
    <w:rsid w:val="00B214D7"/>
    <w:rsid w:val="00B248EB"/>
    <w:rsid w:val="00B25249"/>
    <w:rsid w:val="00B27D74"/>
    <w:rsid w:val="00B307B1"/>
    <w:rsid w:val="00B37678"/>
    <w:rsid w:val="00B40005"/>
    <w:rsid w:val="00B52EC6"/>
    <w:rsid w:val="00B55A68"/>
    <w:rsid w:val="00B60061"/>
    <w:rsid w:val="00B62758"/>
    <w:rsid w:val="00B6380C"/>
    <w:rsid w:val="00B675CB"/>
    <w:rsid w:val="00B675DE"/>
    <w:rsid w:val="00B704FA"/>
    <w:rsid w:val="00B71EBD"/>
    <w:rsid w:val="00B72103"/>
    <w:rsid w:val="00B724CE"/>
    <w:rsid w:val="00B74B6B"/>
    <w:rsid w:val="00B75A6A"/>
    <w:rsid w:val="00B82B66"/>
    <w:rsid w:val="00B833BD"/>
    <w:rsid w:val="00B849B9"/>
    <w:rsid w:val="00B87206"/>
    <w:rsid w:val="00B960FD"/>
    <w:rsid w:val="00BA0A2F"/>
    <w:rsid w:val="00BA19C9"/>
    <w:rsid w:val="00BA457F"/>
    <w:rsid w:val="00BB455A"/>
    <w:rsid w:val="00BC1A36"/>
    <w:rsid w:val="00BC2578"/>
    <w:rsid w:val="00BC3D53"/>
    <w:rsid w:val="00BC3EC8"/>
    <w:rsid w:val="00BC589D"/>
    <w:rsid w:val="00BC77B9"/>
    <w:rsid w:val="00BD1343"/>
    <w:rsid w:val="00BD493E"/>
    <w:rsid w:val="00BD660E"/>
    <w:rsid w:val="00BD744D"/>
    <w:rsid w:val="00BE0E76"/>
    <w:rsid w:val="00BE16DB"/>
    <w:rsid w:val="00BE2F2A"/>
    <w:rsid w:val="00BE392D"/>
    <w:rsid w:val="00BE49F3"/>
    <w:rsid w:val="00BF0045"/>
    <w:rsid w:val="00BF73F6"/>
    <w:rsid w:val="00C022C2"/>
    <w:rsid w:val="00C02A44"/>
    <w:rsid w:val="00C04D9E"/>
    <w:rsid w:val="00C0547C"/>
    <w:rsid w:val="00C0586F"/>
    <w:rsid w:val="00C05C86"/>
    <w:rsid w:val="00C10C9F"/>
    <w:rsid w:val="00C12E58"/>
    <w:rsid w:val="00C15ED5"/>
    <w:rsid w:val="00C20D87"/>
    <w:rsid w:val="00C20FB2"/>
    <w:rsid w:val="00C23440"/>
    <w:rsid w:val="00C304D5"/>
    <w:rsid w:val="00C31D4B"/>
    <w:rsid w:val="00C32B52"/>
    <w:rsid w:val="00C34DDA"/>
    <w:rsid w:val="00C3537D"/>
    <w:rsid w:val="00C363C4"/>
    <w:rsid w:val="00C363D3"/>
    <w:rsid w:val="00C36400"/>
    <w:rsid w:val="00C36F80"/>
    <w:rsid w:val="00C40CD0"/>
    <w:rsid w:val="00C40F65"/>
    <w:rsid w:val="00C432DC"/>
    <w:rsid w:val="00C5105B"/>
    <w:rsid w:val="00C53FDB"/>
    <w:rsid w:val="00C54FE1"/>
    <w:rsid w:val="00C55232"/>
    <w:rsid w:val="00C647E5"/>
    <w:rsid w:val="00C6558E"/>
    <w:rsid w:val="00C65DA3"/>
    <w:rsid w:val="00C741D5"/>
    <w:rsid w:val="00C820E9"/>
    <w:rsid w:val="00C82245"/>
    <w:rsid w:val="00C864C7"/>
    <w:rsid w:val="00C903AF"/>
    <w:rsid w:val="00C91199"/>
    <w:rsid w:val="00C9127E"/>
    <w:rsid w:val="00C925E2"/>
    <w:rsid w:val="00C92A8A"/>
    <w:rsid w:val="00C9534A"/>
    <w:rsid w:val="00CA0F66"/>
    <w:rsid w:val="00CA0F6D"/>
    <w:rsid w:val="00CA6C0B"/>
    <w:rsid w:val="00CB3330"/>
    <w:rsid w:val="00CB4F83"/>
    <w:rsid w:val="00CB6B9A"/>
    <w:rsid w:val="00CC1093"/>
    <w:rsid w:val="00CC15CC"/>
    <w:rsid w:val="00CC753D"/>
    <w:rsid w:val="00CC75F4"/>
    <w:rsid w:val="00CD2257"/>
    <w:rsid w:val="00CD7AAA"/>
    <w:rsid w:val="00CF0EBE"/>
    <w:rsid w:val="00CF3CF5"/>
    <w:rsid w:val="00CF6850"/>
    <w:rsid w:val="00CF7AA1"/>
    <w:rsid w:val="00D01EE2"/>
    <w:rsid w:val="00D02CB4"/>
    <w:rsid w:val="00D06465"/>
    <w:rsid w:val="00D112E2"/>
    <w:rsid w:val="00D146BC"/>
    <w:rsid w:val="00D15AC7"/>
    <w:rsid w:val="00D1698E"/>
    <w:rsid w:val="00D2108D"/>
    <w:rsid w:val="00D2440A"/>
    <w:rsid w:val="00D26844"/>
    <w:rsid w:val="00D27CA0"/>
    <w:rsid w:val="00D4141F"/>
    <w:rsid w:val="00D43FF1"/>
    <w:rsid w:val="00D46DD8"/>
    <w:rsid w:val="00D47ACB"/>
    <w:rsid w:val="00D51EAD"/>
    <w:rsid w:val="00D52B3B"/>
    <w:rsid w:val="00D5369D"/>
    <w:rsid w:val="00D60ED4"/>
    <w:rsid w:val="00D619AE"/>
    <w:rsid w:val="00D64F30"/>
    <w:rsid w:val="00D70FD2"/>
    <w:rsid w:val="00D71B92"/>
    <w:rsid w:val="00D73D69"/>
    <w:rsid w:val="00D74DAB"/>
    <w:rsid w:val="00D771FE"/>
    <w:rsid w:val="00D83E5D"/>
    <w:rsid w:val="00D84F31"/>
    <w:rsid w:val="00D851DA"/>
    <w:rsid w:val="00D872FA"/>
    <w:rsid w:val="00D90568"/>
    <w:rsid w:val="00D9154D"/>
    <w:rsid w:val="00D915F4"/>
    <w:rsid w:val="00D93167"/>
    <w:rsid w:val="00D94851"/>
    <w:rsid w:val="00D94D58"/>
    <w:rsid w:val="00D97527"/>
    <w:rsid w:val="00D97B75"/>
    <w:rsid w:val="00D97EBC"/>
    <w:rsid w:val="00DA079E"/>
    <w:rsid w:val="00DA1E67"/>
    <w:rsid w:val="00DA4F77"/>
    <w:rsid w:val="00DA5858"/>
    <w:rsid w:val="00DB0458"/>
    <w:rsid w:val="00DB222B"/>
    <w:rsid w:val="00DB2868"/>
    <w:rsid w:val="00DB6546"/>
    <w:rsid w:val="00DC031D"/>
    <w:rsid w:val="00DC21CE"/>
    <w:rsid w:val="00DC3B05"/>
    <w:rsid w:val="00DC4E67"/>
    <w:rsid w:val="00DC6EBC"/>
    <w:rsid w:val="00DC79CD"/>
    <w:rsid w:val="00DD00F5"/>
    <w:rsid w:val="00DD147B"/>
    <w:rsid w:val="00DD366D"/>
    <w:rsid w:val="00DD61AC"/>
    <w:rsid w:val="00DE078F"/>
    <w:rsid w:val="00DE19D9"/>
    <w:rsid w:val="00DE429A"/>
    <w:rsid w:val="00DF32A2"/>
    <w:rsid w:val="00DF5461"/>
    <w:rsid w:val="00DF73EF"/>
    <w:rsid w:val="00E036C8"/>
    <w:rsid w:val="00E04499"/>
    <w:rsid w:val="00E04CE6"/>
    <w:rsid w:val="00E10297"/>
    <w:rsid w:val="00E111A4"/>
    <w:rsid w:val="00E12FA3"/>
    <w:rsid w:val="00E13879"/>
    <w:rsid w:val="00E14DB5"/>
    <w:rsid w:val="00E1556F"/>
    <w:rsid w:val="00E1630D"/>
    <w:rsid w:val="00E16943"/>
    <w:rsid w:val="00E17AE8"/>
    <w:rsid w:val="00E17EAD"/>
    <w:rsid w:val="00E232E7"/>
    <w:rsid w:val="00E23B32"/>
    <w:rsid w:val="00E253EE"/>
    <w:rsid w:val="00E2586D"/>
    <w:rsid w:val="00E2686D"/>
    <w:rsid w:val="00E30DFC"/>
    <w:rsid w:val="00E30EE5"/>
    <w:rsid w:val="00E316D9"/>
    <w:rsid w:val="00E34EB6"/>
    <w:rsid w:val="00E3677F"/>
    <w:rsid w:val="00E42B6A"/>
    <w:rsid w:val="00E4399D"/>
    <w:rsid w:val="00E44741"/>
    <w:rsid w:val="00E45E5A"/>
    <w:rsid w:val="00E4620F"/>
    <w:rsid w:val="00E54E75"/>
    <w:rsid w:val="00E55393"/>
    <w:rsid w:val="00E5643E"/>
    <w:rsid w:val="00E5720B"/>
    <w:rsid w:val="00E622B2"/>
    <w:rsid w:val="00E7199F"/>
    <w:rsid w:val="00E7400E"/>
    <w:rsid w:val="00E8141D"/>
    <w:rsid w:val="00E83B4F"/>
    <w:rsid w:val="00E84AFB"/>
    <w:rsid w:val="00E856DA"/>
    <w:rsid w:val="00E86F07"/>
    <w:rsid w:val="00E87611"/>
    <w:rsid w:val="00E90F47"/>
    <w:rsid w:val="00E92773"/>
    <w:rsid w:val="00E9418E"/>
    <w:rsid w:val="00E96913"/>
    <w:rsid w:val="00EA097E"/>
    <w:rsid w:val="00EA0D28"/>
    <w:rsid w:val="00EA12F0"/>
    <w:rsid w:val="00EA2148"/>
    <w:rsid w:val="00EB1F06"/>
    <w:rsid w:val="00EB2A8A"/>
    <w:rsid w:val="00EB7E37"/>
    <w:rsid w:val="00EC3FF2"/>
    <w:rsid w:val="00EC72BC"/>
    <w:rsid w:val="00ED0720"/>
    <w:rsid w:val="00ED2A1B"/>
    <w:rsid w:val="00EE0413"/>
    <w:rsid w:val="00EE0973"/>
    <w:rsid w:val="00EF4827"/>
    <w:rsid w:val="00EF4C9C"/>
    <w:rsid w:val="00EF5E48"/>
    <w:rsid w:val="00F0240A"/>
    <w:rsid w:val="00F06F96"/>
    <w:rsid w:val="00F07150"/>
    <w:rsid w:val="00F1005D"/>
    <w:rsid w:val="00F121C1"/>
    <w:rsid w:val="00F20247"/>
    <w:rsid w:val="00F25594"/>
    <w:rsid w:val="00F25745"/>
    <w:rsid w:val="00F2764C"/>
    <w:rsid w:val="00F31348"/>
    <w:rsid w:val="00F32BA7"/>
    <w:rsid w:val="00F32FED"/>
    <w:rsid w:val="00F40355"/>
    <w:rsid w:val="00F404F9"/>
    <w:rsid w:val="00F421BF"/>
    <w:rsid w:val="00F4262A"/>
    <w:rsid w:val="00F44F5D"/>
    <w:rsid w:val="00F6163C"/>
    <w:rsid w:val="00F6458D"/>
    <w:rsid w:val="00F65EC8"/>
    <w:rsid w:val="00F672B0"/>
    <w:rsid w:val="00F72723"/>
    <w:rsid w:val="00F87130"/>
    <w:rsid w:val="00F917C6"/>
    <w:rsid w:val="00F91A2C"/>
    <w:rsid w:val="00F93A07"/>
    <w:rsid w:val="00F94637"/>
    <w:rsid w:val="00F953AA"/>
    <w:rsid w:val="00F96938"/>
    <w:rsid w:val="00FA095C"/>
    <w:rsid w:val="00FA35FE"/>
    <w:rsid w:val="00FB30C6"/>
    <w:rsid w:val="00FC0A1B"/>
    <w:rsid w:val="00FC0DD8"/>
    <w:rsid w:val="00FC5390"/>
    <w:rsid w:val="00FC5EB6"/>
    <w:rsid w:val="00FC78BD"/>
    <w:rsid w:val="00FC7BF7"/>
    <w:rsid w:val="00FC7E53"/>
    <w:rsid w:val="00FD7D84"/>
    <w:rsid w:val="00FD7EDC"/>
    <w:rsid w:val="00FE2ED4"/>
    <w:rsid w:val="00FE41FD"/>
    <w:rsid w:val="00FE54AD"/>
    <w:rsid w:val="00FE74F1"/>
    <w:rsid w:val="00FF0335"/>
    <w:rsid w:val="00FF132F"/>
    <w:rsid w:val="00FF54D4"/>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10"/>
    <w:qFormat/>
    <w:rsid w:val="008872A2"/>
    <w:pPr>
      <w:jc w:val="center"/>
    </w:pPr>
    <w:rPr>
      <w:rFonts w:ascii="Arial" w:hAnsi="Arial"/>
      <w:b/>
      <w:i/>
      <w:sz w:val="24"/>
    </w:rPr>
  </w:style>
  <w:style w:type="character" w:customStyle="1" w:styleId="TtuloCar">
    <w:name w:val="Título Car"/>
    <w:basedOn w:val="Fuentedeprrafopredeter"/>
    <w:link w:val="Ttulo"/>
    <w:uiPriority w:val="10"/>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99"/>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paragraph" w:customStyle="1" w:styleId="Default">
    <w:name w:val="Default"/>
    <w:rsid w:val="00471941"/>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rsid w:val="007C4788"/>
    <w:rPr>
      <w:sz w:val="16"/>
      <w:szCs w:val="16"/>
    </w:rPr>
  </w:style>
  <w:style w:type="paragraph" w:styleId="Textocomentario">
    <w:name w:val="annotation text"/>
    <w:basedOn w:val="Normal"/>
    <w:link w:val="TextocomentarioCar"/>
    <w:uiPriority w:val="99"/>
    <w:rsid w:val="007C4788"/>
  </w:style>
  <w:style w:type="character" w:customStyle="1" w:styleId="TextocomentarioCar">
    <w:name w:val="Texto comentario Car"/>
    <w:basedOn w:val="Fuentedeprrafopredeter"/>
    <w:link w:val="Textocomentario"/>
    <w:uiPriority w:val="99"/>
    <w:rsid w:val="007C4788"/>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7C4788"/>
    <w:rPr>
      <w:b/>
      <w:bCs/>
    </w:rPr>
  </w:style>
  <w:style w:type="character" w:customStyle="1" w:styleId="AsuntodelcomentarioCar">
    <w:name w:val="Asunto del comentario Car"/>
    <w:basedOn w:val="TextocomentarioCar"/>
    <w:link w:val="Asuntodelcomentario"/>
    <w:uiPriority w:val="99"/>
    <w:rsid w:val="007C4788"/>
    <w:rPr>
      <w:rFonts w:ascii="Times New Roman" w:hAnsi="Times New Roman" w:cs="Times New Roman"/>
      <w:b/>
      <w:bCs/>
      <w:sz w:val="20"/>
      <w:szCs w:val="20"/>
      <w:lang w:val="es-ES" w:eastAsia="es-ES"/>
    </w:rPr>
  </w:style>
  <w:style w:type="character" w:styleId="Hipervnculo">
    <w:name w:val="Hyperlink"/>
    <w:basedOn w:val="Fuentedeprrafopredeter"/>
    <w:uiPriority w:val="99"/>
    <w:rsid w:val="005B48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10"/>
    <w:qFormat/>
    <w:rsid w:val="008872A2"/>
    <w:pPr>
      <w:jc w:val="center"/>
    </w:pPr>
    <w:rPr>
      <w:rFonts w:ascii="Arial" w:hAnsi="Arial"/>
      <w:b/>
      <w:i/>
      <w:sz w:val="24"/>
    </w:rPr>
  </w:style>
  <w:style w:type="character" w:customStyle="1" w:styleId="TtuloCar">
    <w:name w:val="Título Car"/>
    <w:basedOn w:val="Fuentedeprrafopredeter"/>
    <w:link w:val="Ttulo"/>
    <w:uiPriority w:val="10"/>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99"/>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paragraph" w:customStyle="1" w:styleId="Default">
    <w:name w:val="Default"/>
    <w:rsid w:val="00471941"/>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rsid w:val="007C4788"/>
    <w:rPr>
      <w:sz w:val="16"/>
      <w:szCs w:val="16"/>
    </w:rPr>
  </w:style>
  <w:style w:type="paragraph" w:styleId="Textocomentario">
    <w:name w:val="annotation text"/>
    <w:basedOn w:val="Normal"/>
    <w:link w:val="TextocomentarioCar"/>
    <w:uiPriority w:val="99"/>
    <w:rsid w:val="007C4788"/>
  </w:style>
  <w:style w:type="character" w:customStyle="1" w:styleId="TextocomentarioCar">
    <w:name w:val="Texto comentario Car"/>
    <w:basedOn w:val="Fuentedeprrafopredeter"/>
    <w:link w:val="Textocomentario"/>
    <w:uiPriority w:val="99"/>
    <w:rsid w:val="007C4788"/>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7C4788"/>
    <w:rPr>
      <w:b/>
      <w:bCs/>
    </w:rPr>
  </w:style>
  <w:style w:type="character" w:customStyle="1" w:styleId="AsuntodelcomentarioCar">
    <w:name w:val="Asunto del comentario Car"/>
    <w:basedOn w:val="TextocomentarioCar"/>
    <w:link w:val="Asuntodelcomentario"/>
    <w:uiPriority w:val="99"/>
    <w:rsid w:val="007C4788"/>
    <w:rPr>
      <w:rFonts w:ascii="Times New Roman" w:hAnsi="Times New Roman" w:cs="Times New Roman"/>
      <w:b/>
      <w:bCs/>
      <w:sz w:val="20"/>
      <w:szCs w:val="20"/>
      <w:lang w:val="es-ES" w:eastAsia="es-ES"/>
    </w:rPr>
  </w:style>
  <w:style w:type="character" w:styleId="Hipervnculo">
    <w:name w:val="Hyperlink"/>
    <w:basedOn w:val="Fuentedeprrafopredeter"/>
    <w:uiPriority w:val="99"/>
    <w:rsid w:val="005B48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60411">
      <w:bodyDiv w:val="1"/>
      <w:marLeft w:val="0"/>
      <w:marRight w:val="0"/>
      <w:marTop w:val="0"/>
      <w:marBottom w:val="0"/>
      <w:divBdr>
        <w:top w:val="none" w:sz="0" w:space="0" w:color="auto"/>
        <w:left w:val="none" w:sz="0" w:space="0" w:color="auto"/>
        <w:bottom w:val="none" w:sz="0" w:space="0" w:color="auto"/>
        <w:right w:val="none" w:sz="0" w:space="0" w:color="auto"/>
      </w:divBdr>
      <w:divsChild>
        <w:div w:id="282463058">
          <w:marLeft w:val="0"/>
          <w:marRight w:val="0"/>
          <w:marTop w:val="0"/>
          <w:marBottom w:val="0"/>
          <w:divBdr>
            <w:top w:val="none" w:sz="0" w:space="0" w:color="auto"/>
            <w:left w:val="none" w:sz="0" w:space="0" w:color="auto"/>
            <w:bottom w:val="none" w:sz="0" w:space="0" w:color="auto"/>
            <w:right w:val="none" w:sz="0" w:space="0" w:color="auto"/>
          </w:divBdr>
        </w:div>
        <w:div w:id="1605840602">
          <w:marLeft w:val="0"/>
          <w:marRight w:val="0"/>
          <w:marTop w:val="0"/>
          <w:marBottom w:val="0"/>
          <w:divBdr>
            <w:top w:val="none" w:sz="0" w:space="0" w:color="auto"/>
            <w:left w:val="none" w:sz="0" w:space="0" w:color="auto"/>
            <w:bottom w:val="none" w:sz="0" w:space="0" w:color="auto"/>
            <w:right w:val="none" w:sz="0" w:space="0" w:color="auto"/>
          </w:divBdr>
        </w:div>
        <w:div w:id="2007126593">
          <w:marLeft w:val="0"/>
          <w:marRight w:val="0"/>
          <w:marTop w:val="0"/>
          <w:marBottom w:val="0"/>
          <w:divBdr>
            <w:top w:val="none" w:sz="0" w:space="0" w:color="auto"/>
            <w:left w:val="none" w:sz="0" w:space="0" w:color="auto"/>
            <w:bottom w:val="none" w:sz="0" w:space="0" w:color="auto"/>
            <w:right w:val="none" w:sz="0" w:space="0" w:color="auto"/>
          </w:divBdr>
        </w:div>
      </w:divsChild>
    </w:div>
    <w:div w:id="1152260101">
      <w:bodyDiv w:val="1"/>
      <w:marLeft w:val="0"/>
      <w:marRight w:val="0"/>
      <w:marTop w:val="0"/>
      <w:marBottom w:val="0"/>
      <w:divBdr>
        <w:top w:val="none" w:sz="0" w:space="0" w:color="auto"/>
        <w:left w:val="none" w:sz="0" w:space="0" w:color="auto"/>
        <w:bottom w:val="none" w:sz="0" w:space="0" w:color="auto"/>
        <w:right w:val="none" w:sz="0" w:space="0" w:color="auto"/>
      </w:divBdr>
    </w:div>
    <w:div w:id="1636719597">
      <w:bodyDiv w:val="1"/>
      <w:marLeft w:val="0"/>
      <w:marRight w:val="0"/>
      <w:marTop w:val="0"/>
      <w:marBottom w:val="0"/>
      <w:divBdr>
        <w:top w:val="none" w:sz="0" w:space="0" w:color="auto"/>
        <w:left w:val="none" w:sz="0" w:space="0" w:color="auto"/>
        <w:bottom w:val="none" w:sz="0" w:space="0" w:color="auto"/>
        <w:right w:val="none" w:sz="0" w:space="0" w:color="auto"/>
      </w:divBdr>
    </w:div>
    <w:div w:id="1731997869">
      <w:bodyDiv w:val="1"/>
      <w:marLeft w:val="0"/>
      <w:marRight w:val="0"/>
      <w:marTop w:val="0"/>
      <w:marBottom w:val="0"/>
      <w:divBdr>
        <w:top w:val="none" w:sz="0" w:space="0" w:color="auto"/>
        <w:left w:val="none" w:sz="0" w:space="0" w:color="auto"/>
        <w:bottom w:val="none" w:sz="0" w:space="0" w:color="auto"/>
        <w:right w:val="none" w:sz="0" w:space="0" w:color="auto"/>
      </w:divBdr>
      <w:divsChild>
        <w:div w:id="564224548">
          <w:marLeft w:val="0"/>
          <w:marRight w:val="0"/>
          <w:marTop w:val="0"/>
          <w:marBottom w:val="0"/>
          <w:divBdr>
            <w:top w:val="none" w:sz="0" w:space="0" w:color="auto"/>
            <w:left w:val="none" w:sz="0" w:space="0" w:color="auto"/>
            <w:bottom w:val="none" w:sz="0" w:space="0" w:color="auto"/>
            <w:right w:val="none" w:sz="0" w:space="0" w:color="auto"/>
          </w:divBdr>
        </w:div>
        <w:div w:id="603153768">
          <w:marLeft w:val="0"/>
          <w:marRight w:val="0"/>
          <w:marTop w:val="0"/>
          <w:marBottom w:val="0"/>
          <w:divBdr>
            <w:top w:val="none" w:sz="0" w:space="0" w:color="auto"/>
            <w:left w:val="none" w:sz="0" w:space="0" w:color="auto"/>
            <w:bottom w:val="none" w:sz="0" w:space="0" w:color="auto"/>
            <w:right w:val="none" w:sz="0" w:space="0" w:color="auto"/>
          </w:divBdr>
        </w:div>
        <w:div w:id="1633249926">
          <w:marLeft w:val="0"/>
          <w:marRight w:val="0"/>
          <w:marTop w:val="0"/>
          <w:marBottom w:val="0"/>
          <w:divBdr>
            <w:top w:val="none" w:sz="0" w:space="0" w:color="auto"/>
            <w:left w:val="none" w:sz="0" w:space="0" w:color="auto"/>
            <w:bottom w:val="none" w:sz="0" w:space="0" w:color="auto"/>
            <w:right w:val="none" w:sz="0" w:space="0" w:color="auto"/>
          </w:divBdr>
        </w:div>
        <w:div w:id="870000419">
          <w:marLeft w:val="0"/>
          <w:marRight w:val="0"/>
          <w:marTop w:val="0"/>
          <w:marBottom w:val="0"/>
          <w:divBdr>
            <w:top w:val="none" w:sz="0" w:space="0" w:color="auto"/>
            <w:left w:val="none" w:sz="0" w:space="0" w:color="auto"/>
            <w:bottom w:val="none" w:sz="0" w:space="0" w:color="auto"/>
            <w:right w:val="none" w:sz="0" w:space="0" w:color="auto"/>
          </w:divBdr>
        </w:div>
        <w:div w:id="2267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rocesojudicial.ramajudicial.gov.co/Justicia/Seguridad/Login.aspx?ReturnUrl=%2fJusticia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D9F41-FFA6-40EA-922C-50979DED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2307</Words>
  <Characters>12690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ALONSO</cp:lastModifiedBy>
  <cp:revision>34</cp:revision>
  <cp:lastPrinted>2020-02-12T18:45:00Z</cp:lastPrinted>
  <dcterms:created xsi:type="dcterms:W3CDTF">2020-02-10T19:30:00Z</dcterms:created>
  <dcterms:modified xsi:type="dcterms:W3CDTF">2020-03-26T16:48:00Z</dcterms:modified>
</cp:coreProperties>
</file>