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46E3B" w14:textId="77777777" w:rsidR="000D79CB" w:rsidRPr="000D79CB" w:rsidRDefault="000D79CB" w:rsidP="000D79C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eastAsia="fr-FR"/>
        </w:rPr>
      </w:pPr>
      <w:r w:rsidRPr="000D79CB">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4D459D9B" w14:textId="77777777" w:rsidR="000D79CB" w:rsidRPr="000D79CB" w:rsidRDefault="000D79CB" w:rsidP="000D79CB">
      <w:pPr>
        <w:jc w:val="both"/>
        <w:rPr>
          <w:rFonts w:ascii="Arial" w:hAnsi="Arial" w:cs="Arial"/>
        </w:rPr>
      </w:pPr>
    </w:p>
    <w:p w14:paraId="2C4C11E3" w14:textId="6827929F" w:rsidR="000D79CB" w:rsidRPr="000D79CB" w:rsidRDefault="000D79CB" w:rsidP="000D79CB">
      <w:pPr>
        <w:jc w:val="both"/>
        <w:rPr>
          <w:rFonts w:ascii="Arial" w:hAnsi="Arial" w:cs="Arial"/>
        </w:rPr>
      </w:pPr>
      <w:r w:rsidRPr="000D79CB">
        <w:rPr>
          <w:rFonts w:ascii="Arial" w:hAnsi="Arial" w:cs="Arial"/>
        </w:rPr>
        <w:t>Asunto</w:t>
      </w:r>
      <w:r w:rsidRPr="000D79CB">
        <w:rPr>
          <w:rFonts w:ascii="Arial" w:hAnsi="Arial" w:cs="Arial"/>
        </w:rPr>
        <w:tab/>
      </w:r>
      <w:r w:rsidRPr="000D79CB">
        <w:rPr>
          <w:rFonts w:ascii="Arial" w:hAnsi="Arial" w:cs="Arial"/>
        </w:rPr>
        <w:tab/>
      </w:r>
      <w:r w:rsidRPr="000D79CB">
        <w:rPr>
          <w:rFonts w:ascii="Arial" w:hAnsi="Arial" w:cs="Arial"/>
        </w:rPr>
        <w:tab/>
        <w:t>: Apelación sentencia- Declara desierto</w:t>
      </w:r>
    </w:p>
    <w:p w14:paraId="7D56FC04" w14:textId="77777777" w:rsidR="000D79CB" w:rsidRPr="000D79CB" w:rsidRDefault="000D79CB" w:rsidP="000D79CB">
      <w:pPr>
        <w:jc w:val="both"/>
        <w:rPr>
          <w:rFonts w:ascii="Arial" w:hAnsi="Arial" w:cs="Arial"/>
        </w:rPr>
      </w:pPr>
      <w:r w:rsidRPr="000D79CB">
        <w:rPr>
          <w:rFonts w:ascii="Arial" w:hAnsi="Arial" w:cs="Arial"/>
        </w:rPr>
        <w:t>Proceso</w:t>
      </w:r>
      <w:r w:rsidRPr="000D79CB">
        <w:rPr>
          <w:rFonts w:ascii="Arial" w:hAnsi="Arial" w:cs="Arial"/>
        </w:rPr>
        <w:tab/>
      </w:r>
      <w:r w:rsidRPr="000D79CB">
        <w:rPr>
          <w:rFonts w:ascii="Arial" w:hAnsi="Arial" w:cs="Arial"/>
        </w:rPr>
        <w:tab/>
        <w:t xml:space="preserve">: Verbal – Unión marital de hecho </w:t>
      </w:r>
    </w:p>
    <w:p w14:paraId="439067FA" w14:textId="77777777" w:rsidR="000D79CB" w:rsidRPr="000D79CB" w:rsidRDefault="000D79CB" w:rsidP="000D79CB">
      <w:pPr>
        <w:jc w:val="both"/>
        <w:rPr>
          <w:rFonts w:ascii="Arial" w:hAnsi="Arial" w:cs="Arial"/>
        </w:rPr>
      </w:pPr>
      <w:r w:rsidRPr="000D79CB">
        <w:rPr>
          <w:rFonts w:ascii="Arial" w:hAnsi="Arial" w:cs="Arial"/>
        </w:rPr>
        <w:t>Demandante</w:t>
      </w:r>
      <w:r w:rsidRPr="000D79CB">
        <w:rPr>
          <w:rFonts w:ascii="Arial" w:hAnsi="Arial" w:cs="Arial"/>
        </w:rPr>
        <w:tab/>
      </w:r>
      <w:r w:rsidRPr="000D79CB">
        <w:rPr>
          <w:rFonts w:ascii="Arial" w:hAnsi="Arial" w:cs="Arial"/>
        </w:rPr>
        <w:tab/>
        <w:t>: Marta Deisy Loaiza Vélez</w:t>
      </w:r>
    </w:p>
    <w:p w14:paraId="179AA193" w14:textId="23935BAB" w:rsidR="000D79CB" w:rsidRPr="000D79CB" w:rsidRDefault="000D79CB" w:rsidP="000D79CB">
      <w:pPr>
        <w:jc w:val="both"/>
        <w:rPr>
          <w:rFonts w:ascii="Arial" w:hAnsi="Arial" w:cs="Arial"/>
        </w:rPr>
      </w:pPr>
      <w:r w:rsidRPr="000D79CB">
        <w:rPr>
          <w:rFonts w:ascii="Arial" w:hAnsi="Arial" w:cs="Arial"/>
        </w:rPr>
        <w:t>Demandados</w:t>
      </w:r>
      <w:r w:rsidRPr="000D79CB">
        <w:rPr>
          <w:rFonts w:ascii="Arial" w:hAnsi="Arial" w:cs="Arial"/>
        </w:rPr>
        <w:tab/>
      </w:r>
      <w:r w:rsidRPr="000D79CB">
        <w:rPr>
          <w:rFonts w:ascii="Arial" w:hAnsi="Arial" w:cs="Arial"/>
        </w:rPr>
        <w:tab/>
        <w:t>: Jerónimo Aguirre Loaiza y otros</w:t>
      </w:r>
    </w:p>
    <w:p w14:paraId="22353A81" w14:textId="77777777" w:rsidR="000D79CB" w:rsidRPr="000D79CB" w:rsidRDefault="000D79CB" w:rsidP="000D79CB">
      <w:pPr>
        <w:jc w:val="both"/>
        <w:rPr>
          <w:rFonts w:ascii="Arial" w:hAnsi="Arial" w:cs="Arial"/>
        </w:rPr>
      </w:pPr>
      <w:r w:rsidRPr="000D79CB">
        <w:rPr>
          <w:rFonts w:ascii="Arial" w:hAnsi="Arial" w:cs="Arial"/>
        </w:rPr>
        <w:t>Procedencia</w:t>
      </w:r>
      <w:r w:rsidRPr="000D79CB">
        <w:rPr>
          <w:rFonts w:ascii="Arial" w:hAnsi="Arial" w:cs="Arial"/>
        </w:rPr>
        <w:tab/>
      </w:r>
      <w:r w:rsidRPr="000D79CB">
        <w:rPr>
          <w:rFonts w:ascii="Arial" w:hAnsi="Arial" w:cs="Arial"/>
        </w:rPr>
        <w:tab/>
        <w:t>: Juzgado Cuarto de Familia de Pereira</w:t>
      </w:r>
    </w:p>
    <w:p w14:paraId="6F121FE2" w14:textId="77777777" w:rsidR="000D79CB" w:rsidRPr="000D79CB" w:rsidRDefault="000D79CB" w:rsidP="000D79CB">
      <w:pPr>
        <w:jc w:val="both"/>
        <w:rPr>
          <w:rFonts w:ascii="Arial" w:hAnsi="Arial" w:cs="Arial"/>
        </w:rPr>
      </w:pPr>
      <w:r w:rsidRPr="000D79CB">
        <w:rPr>
          <w:rFonts w:ascii="Arial" w:hAnsi="Arial" w:cs="Arial"/>
        </w:rPr>
        <w:t>Radicación</w:t>
      </w:r>
      <w:r w:rsidRPr="000D79CB">
        <w:rPr>
          <w:rFonts w:ascii="Arial" w:hAnsi="Arial" w:cs="Arial"/>
        </w:rPr>
        <w:tab/>
      </w:r>
      <w:r w:rsidRPr="000D79CB">
        <w:rPr>
          <w:rFonts w:ascii="Arial" w:hAnsi="Arial" w:cs="Arial"/>
        </w:rPr>
        <w:tab/>
        <w:t>: 66001-31-10-2018-00232-02</w:t>
      </w:r>
    </w:p>
    <w:p w14:paraId="02BC2ACA" w14:textId="2CAAB7B5" w:rsidR="000D79CB" w:rsidRPr="000D79CB" w:rsidRDefault="000D79CB" w:rsidP="000D79CB">
      <w:pPr>
        <w:jc w:val="both"/>
        <w:rPr>
          <w:rFonts w:ascii="Arial" w:hAnsi="Arial" w:cs="Arial"/>
        </w:rPr>
      </w:pPr>
      <w:proofErr w:type="spellStart"/>
      <w:r w:rsidRPr="000D79CB">
        <w:rPr>
          <w:rFonts w:ascii="Arial" w:hAnsi="Arial" w:cs="Arial"/>
        </w:rPr>
        <w:t>Mag</w:t>
      </w:r>
      <w:proofErr w:type="spellEnd"/>
      <w:r w:rsidRPr="000D79CB">
        <w:rPr>
          <w:rFonts w:ascii="Arial" w:hAnsi="Arial" w:cs="Arial"/>
        </w:rPr>
        <w:t>.</w:t>
      </w:r>
      <w:r w:rsidR="00FF3669">
        <w:rPr>
          <w:rFonts w:ascii="Arial" w:hAnsi="Arial" w:cs="Arial"/>
        </w:rPr>
        <w:t xml:space="preserve"> </w:t>
      </w:r>
      <w:r w:rsidRPr="000D79CB">
        <w:rPr>
          <w:rFonts w:ascii="Arial" w:hAnsi="Arial" w:cs="Arial"/>
        </w:rPr>
        <w:t>Sustanciador</w:t>
      </w:r>
      <w:r w:rsidRPr="000D79CB">
        <w:rPr>
          <w:rFonts w:ascii="Arial" w:hAnsi="Arial" w:cs="Arial"/>
        </w:rPr>
        <w:tab/>
        <w:t xml:space="preserve">: </w:t>
      </w:r>
      <w:proofErr w:type="spellStart"/>
      <w:r w:rsidRPr="000D79CB">
        <w:rPr>
          <w:rFonts w:ascii="Arial" w:hAnsi="Arial" w:cs="Arial"/>
        </w:rPr>
        <w:t>DUBERNEY</w:t>
      </w:r>
      <w:proofErr w:type="spellEnd"/>
      <w:r w:rsidRPr="000D79CB">
        <w:rPr>
          <w:rFonts w:ascii="Arial" w:hAnsi="Arial" w:cs="Arial"/>
        </w:rPr>
        <w:t xml:space="preserve"> GRISALES HERRERA</w:t>
      </w:r>
    </w:p>
    <w:p w14:paraId="07C234F1" w14:textId="77777777" w:rsidR="000D79CB" w:rsidRPr="000D79CB" w:rsidRDefault="000D79CB" w:rsidP="000D79CB">
      <w:pPr>
        <w:jc w:val="both"/>
        <w:rPr>
          <w:rFonts w:ascii="Arial" w:hAnsi="Arial" w:cs="Arial"/>
        </w:rPr>
      </w:pPr>
    </w:p>
    <w:p w14:paraId="4075C5D0" w14:textId="0A7932A1" w:rsidR="000D79CB" w:rsidRPr="000D79CB" w:rsidRDefault="000D79CB" w:rsidP="000D79CB">
      <w:pPr>
        <w:jc w:val="both"/>
        <w:rPr>
          <w:rFonts w:ascii="Arial" w:hAnsi="Arial" w:cs="Arial"/>
          <w:b/>
          <w:bCs/>
          <w:iCs/>
          <w:lang w:eastAsia="fr-FR"/>
        </w:rPr>
      </w:pPr>
      <w:r w:rsidRPr="000D79CB">
        <w:rPr>
          <w:rFonts w:ascii="Arial" w:hAnsi="Arial" w:cs="Arial"/>
          <w:b/>
          <w:bCs/>
          <w:iCs/>
          <w:u w:val="single"/>
          <w:lang w:eastAsia="fr-FR"/>
        </w:rPr>
        <w:t>TEMAS:</w:t>
      </w:r>
      <w:r w:rsidRPr="000D79CB">
        <w:rPr>
          <w:rFonts w:ascii="Arial" w:hAnsi="Arial" w:cs="Arial"/>
          <w:b/>
          <w:bCs/>
          <w:iCs/>
          <w:lang w:eastAsia="fr-FR"/>
        </w:rPr>
        <w:tab/>
      </w:r>
      <w:r w:rsidR="004A0C80">
        <w:rPr>
          <w:rFonts w:ascii="Arial" w:hAnsi="Arial" w:cs="Arial"/>
          <w:b/>
          <w:bCs/>
          <w:iCs/>
          <w:lang w:eastAsia="fr-FR"/>
        </w:rPr>
        <w:t xml:space="preserve">RECURSO DE APELACIÓN / PRESUPUESTOS / LEGITIMACIÓN, PROCEDENCIA, OPORTUNIDAD Y SUSTENTACIÓN / </w:t>
      </w:r>
      <w:r w:rsidR="004A0C80">
        <w:rPr>
          <w:rFonts w:ascii="Arial" w:hAnsi="Arial" w:cs="Arial"/>
          <w:b/>
        </w:rPr>
        <w:t xml:space="preserve">ESTA ÚLTIMA EXIGE </w:t>
      </w:r>
      <w:r w:rsidRPr="000D79CB">
        <w:rPr>
          <w:rFonts w:ascii="Arial" w:hAnsi="Arial" w:cs="Arial"/>
          <w:b/>
        </w:rPr>
        <w:t>REPAROS CONCRETOS</w:t>
      </w:r>
      <w:r w:rsidR="004A0C80">
        <w:rPr>
          <w:rFonts w:ascii="Arial" w:hAnsi="Arial" w:cs="Arial"/>
          <w:b/>
        </w:rPr>
        <w:t xml:space="preserve"> Y SERIOS </w:t>
      </w:r>
      <w:r w:rsidRPr="000D79CB">
        <w:rPr>
          <w:rFonts w:ascii="Arial" w:hAnsi="Arial" w:cs="Arial"/>
          <w:b/>
          <w:bCs/>
          <w:iCs/>
          <w:lang w:eastAsia="fr-FR"/>
        </w:rPr>
        <w:t xml:space="preserve">/ </w:t>
      </w:r>
      <w:r w:rsidR="00F70ECF">
        <w:rPr>
          <w:rFonts w:ascii="Arial" w:hAnsi="Arial" w:cs="Arial"/>
          <w:b/>
          <w:bCs/>
          <w:iCs/>
          <w:lang w:eastAsia="fr-FR"/>
        </w:rPr>
        <w:t>E IMPUGNAR DE MANERA CONCRETA LA PROVIDENCIA IMPUGNADA / INADMISIBILIDAD DE REMITIRSE A ALEGACIONES O MANIFESTACIONES ANTERIORES.</w:t>
      </w:r>
    </w:p>
    <w:p w14:paraId="0132993E" w14:textId="77777777" w:rsidR="000D79CB" w:rsidRPr="000D79CB" w:rsidRDefault="000D79CB" w:rsidP="000D79CB">
      <w:pPr>
        <w:jc w:val="both"/>
        <w:rPr>
          <w:rFonts w:ascii="Arial" w:hAnsi="Arial" w:cs="Arial"/>
        </w:rPr>
      </w:pPr>
    </w:p>
    <w:p w14:paraId="3F8304D9" w14:textId="72F4FC64" w:rsidR="004A0C80" w:rsidRPr="004A0C80" w:rsidRDefault="004A0C80" w:rsidP="004A0C80">
      <w:pPr>
        <w:jc w:val="both"/>
        <w:rPr>
          <w:rFonts w:ascii="Arial" w:hAnsi="Arial" w:cs="Arial"/>
        </w:rPr>
      </w:pPr>
      <w:r w:rsidRPr="004A0C80">
        <w:rPr>
          <w:rFonts w:ascii="Arial" w:hAnsi="Arial" w:cs="Arial"/>
        </w:rPr>
        <w:t>Desde la óptica procesal, en presencia de los recursos, deben siempre concurrir los llamados presupuestos de viabilidad o trámite o condiciones para tener la posibilidad de recurrir, al decir de la doctrina procesal nacional, a efectos de examinar el tema de apelación.</w:t>
      </w:r>
    </w:p>
    <w:p w14:paraId="205DDDC3" w14:textId="77777777" w:rsidR="004A0C80" w:rsidRPr="004A0C80" w:rsidRDefault="004A0C80" w:rsidP="004A0C80">
      <w:pPr>
        <w:jc w:val="both"/>
        <w:rPr>
          <w:rFonts w:ascii="Arial" w:hAnsi="Arial" w:cs="Arial"/>
        </w:rPr>
      </w:pPr>
    </w:p>
    <w:p w14:paraId="0D2D9E2B" w14:textId="76756B4E" w:rsidR="000D79CB" w:rsidRPr="000D79CB" w:rsidRDefault="004A0C80" w:rsidP="004A0C80">
      <w:pPr>
        <w:jc w:val="both"/>
        <w:rPr>
          <w:rFonts w:ascii="Arial" w:hAnsi="Arial" w:cs="Arial"/>
        </w:rPr>
      </w:pPr>
      <w:r w:rsidRPr="004A0C80">
        <w:rPr>
          <w:rFonts w:ascii="Arial" w:hAnsi="Arial" w:cs="Arial"/>
        </w:rPr>
        <w:t>Esos presupuestos son una serie de exigencias normativas formales que permiten su trámite y aseguran su decisión.</w:t>
      </w:r>
      <w:r>
        <w:rPr>
          <w:rFonts w:ascii="Arial" w:hAnsi="Arial" w:cs="Arial"/>
        </w:rPr>
        <w:t xml:space="preserve"> (…)</w:t>
      </w:r>
    </w:p>
    <w:p w14:paraId="2A198568" w14:textId="77777777" w:rsidR="000D79CB" w:rsidRPr="000D79CB" w:rsidRDefault="000D79CB" w:rsidP="000D79CB">
      <w:pPr>
        <w:jc w:val="both"/>
        <w:rPr>
          <w:rFonts w:ascii="Arial" w:hAnsi="Arial" w:cs="Arial"/>
        </w:rPr>
      </w:pPr>
    </w:p>
    <w:p w14:paraId="301FA516" w14:textId="211193BD" w:rsidR="000D79CB" w:rsidRPr="000D79CB" w:rsidRDefault="004A0C80" w:rsidP="000D79CB">
      <w:pPr>
        <w:jc w:val="both"/>
        <w:rPr>
          <w:rFonts w:ascii="Arial" w:hAnsi="Arial" w:cs="Arial"/>
        </w:rPr>
      </w:pPr>
      <w:r w:rsidRPr="004A0C80">
        <w:rPr>
          <w:rFonts w:ascii="Arial" w:hAnsi="Arial" w:cs="Arial"/>
        </w:rPr>
        <w:t>Ellos son legitimación, oportunidad, procedencia y cargas procesales (Sustentación, expedición de copias, etc.), los tres primeros implican la inadmisibilidad del recurso mientras que, el cuarto, provoca su deserción, tal como acota la doctrina patria</w:t>
      </w:r>
      <w:r>
        <w:rPr>
          <w:rFonts w:ascii="Arial" w:hAnsi="Arial" w:cs="Arial"/>
        </w:rPr>
        <w:t>. (…)</w:t>
      </w:r>
    </w:p>
    <w:p w14:paraId="490D04F6" w14:textId="77777777" w:rsidR="000D79CB" w:rsidRDefault="000D79CB" w:rsidP="000D79CB">
      <w:pPr>
        <w:jc w:val="both"/>
        <w:rPr>
          <w:rFonts w:ascii="Arial" w:hAnsi="Arial" w:cs="Arial"/>
        </w:rPr>
      </w:pPr>
    </w:p>
    <w:p w14:paraId="348007DD" w14:textId="62DA31D9" w:rsidR="004A0C80" w:rsidRDefault="004A0C80" w:rsidP="004A0C80">
      <w:pPr>
        <w:jc w:val="both"/>
        <w:rPr>
          <w:rFonts w:ascii="Arial" w:hAnsi="Arial" w:cs="Arial"/>
        </w:rPr>
      </w:pPr>
      <w:r w:rsidRPr="004A0C80">
        <w:rPr>
          <w:rFonts w:ascii="Arial" w:hAnsi="Arial" w:cs="Arial"/>
        </w:rPr>
        <w:t>La sustentación del recurso</w:t>
      </w:r>
      <w:r>
        <w:rPr>
          <w:rFonts w:ascii="Arial" w:hAnsi="Arial" w:cs="Arial"/>
        </w:rPr>
        <w:t xml:space="preserve">.  </w:t>
      </w:r>
      <w:r w:rsidRPr="004A0C80">
        <w:rPr>
          <w:rFonts w:ascii="Arial" w:hAnsi="Arial" w:cs="Arial"/>
        </w:rPr>
        <w:t>Se entiende como la exposición de las razones y fundamentos al juez de porqué la “(…) providencia está errada, con el fin de que proceda a modificarla o revocarla, por cuanto es evidente que si el juez no tiene esa base, no le es dable entrar a resolver (…)”</w:t>
      </w:r>
    </w:p>
    <w:p w14:paraId="67B74D50" w14:textId="77777777" w:rsidR="004A0C80" w:rsidRDefault="004A0C80" w:rsidP="004A0C80">
      <w:pPr>
        <w:jc w:val="both"/>
        <w:rPr>
          <w:rFonts w:ascii="Arial" w:hAnsi="Arial" w:cs="Arial"/>
        </w:rPr>
      </w:pPr>
    </w:p>
    <w:p w14:paraId="2EBA7231" w14:textId="45357E89" w:rsidR="004A0C80" w:rsidRDefault="004A0C80" w:rsidP="000D79CB">
      <w:pPr>
        <w:jc w:val="both"/>
        <w:rPr>
          <w:rFonts w:ascii="Arial" w:hAnsi="Arial" w:cs="Arial"/>
        </w:rPr>
      </w:pPr>
      <w:r w:rsidRPr="004A0C80">
        <w:rPr>
          <w:rFonts w:ascii="Arial" w:hAnsi="Arial" w:cs="Arial"/>
        </w:rPr>
        <w:t>El recurso de apelación no es simplemente una manifestación aislada de disconformidad por parte de los intervinientes ante una decisión que afecta sus intereses, en realidad, equivale a una labor seria y juiciosa que implica el estudio de aquellos puntos sobre los cuales se discrepa, para luego refutarlos o controvertirlos fundadamente</w:t>
      </w:r>
      <w:r>
        <w:rPr>
          <w:rFonts w:ascii="Arial" w:hAnsi="Arial" w:cs="Arial"/>
        </w:rPr>
        <w:t>…</w:t>
      </w:r>
    </w:p>
    <w:p w14:paraId="41BB9186" w14:textId="77777777" w:rsidR="004A0C80" w:rsidRPr="000D79CB" w:rsidRDefault="004A0C80" w:rsidP="000D79CB">
      <w:pPr>
        <w:jc w:val="both"/>
        <w:rPr>
          <w:rFonts w:ascii="Arial" w:hAnsi="Arial" w:cs="Arial"/>
        </w:rPr>
      </w:pPr>
    </w:p>
    <w:p w14:paraId="368DC815" w14:textId="77777777" w:rsidR="004A0C80" w:rsidRPr="004A0C80" w:rsidRDefault="004A0C80" w:rsidP="004A0C80">
      <w:pPr>
        <w:jc w:val="both"/>
        <w:rPr>
          <w:rFonts w:ascii="Arial" w:hAnsi="Arial" w:cs="Arial"/>
        </w:rPr>
      </w:pPr>
      <w:r w:rsidRPr="004A0C80">
        <w:rPr>
          <w:rFonts w:ascii="Arial" w:hAnsi="Arial" w:cs="Arial"/>
        </w:rPr>
        <w:t>La parte recurrente guardó silencio y apenas hasta el 08-06-2020, allegó a esta Corporación memorial en el que dijo atenerse a lo dicho en las alegaciones y en las oportunidades anteriores, esto es, 21-06-2019 y 15-10-2019.</w:t>
      </w:r>
    </w:p>
    <w:p w14:paraId="7841AA03" w14:textId="77777777" w:rsidR="004A0C80" w:rsidRPr="004A0C80" w:rsidRDefault="004A0C80" w:rsidP="004A0C80">
      <w:pPr>
        <w:jc w:val="both"/>
        <w:rPr>
          <w:rFonts w:ascii="Arial" w:hAnsi="Arial" w:cs="Arial"/>
        </w:rPr>
      </w:pPr>
    </w:p>
    <w:p w14:paraId="138429E6" w14:textId="0A2433DF" w:rsidR="000D79CB" w:rsidRDefault="004A0C80" w:rsidP="004A0C80">
      <w:pPr>
        <w:jc w:val="both"/>
        <w:rPr>
          <w:rFonts w:ascii="Arial" w:hAnsi="Arial" w:cs="Arial"/>
        </w:rPr>
      </w:pPr>
      <w:r w:rsidRPr="004A0C80">
        <w:rPr>
          <w:rFonts w:ascii="Arial" w:hAnsi="Arial" w:cs="Arial"/>
        </w:rPr>
        <w:t>Aún si acaso pudiera superarse la evidente extemporaneidad, para estimarse tal memorial “</w:t>
      </w:r>
      <w:proofErr w:type="spellStart"/>
      <w:r w:rsidRPr="004A0C80">
        <w:rPr>
          <w:rFonts w:ascii="Arial" w:hAnsi="Arial" w:cs="Arial"/>
        </w:rPr>
        <w:t>sustentatorio</w:t>
      </w:r>
      <w:proofErr w:type="spellEnd"/>
      <w:r w:rsidRPr="004A0C80">
        <w:rPr>
          <w:rFonts w:ascii="Arial" w:hAnsi="Arial" w:cs="Arial"/>
        </w:rPr>
        <w:t>” (¿?), cabe igual predicar su fracaso porque la impugnación debe tener por diana la sentencia, a partir de la motivación de esa pieza procesal, ha de discurrir la alzada. ¿Cómo atacar la argumentación un acto decisorio, por anticipado, pretermisión de sus razones?</w:t>
      </w:r>
    </w:p>
    <w:p w14:paraId="29E6B260" w14:textId="77777777" w:rsidR="004A0C80" w:rsidRDefault="004A0C80" w:rsidP="004A0C80">
      <w:pPr>
        <w:jc w:val="both"/>
        <w:rPr>
          <w:rFonts w:ascii="Arial" w:hAnsi="Arial" w:cs="Arial"/>
        </w:rPr>
      </w:pPr>
    </w:p>
    <w:p w14:paraId="1255E7D7" w14:textId="77777777" w:rsidR="004A0C80" w:rsidRPr="000D79CB" w:rsidRDefault="004A0C80" w:rsidP="004A0C80">
      <w:pPr>
        <w:jc w:val="both"/>
        <w:rPr>
          <w:rFonts w:ascii="Arial" w:hAnsi="Arial" w:cs="Arial"/>
        </w:rPr>
      </w:pPr>
    </w:p>
    <w:p w14:paraId="50481427" w14:textId="77777777" w:rsidR="000D79CB" w:rsidRPr="000D79CB" w:rsidRDefault="000D79CB" w:rsidP="000D79CB">
      <w:pPr>
        <w:jc w:val="both"/>
        <w:rPr>
          <w:rFonts w:ascii="Arial" w:hAnsi="Arial" w:cs="Arial"/>
        </w:rPr>
      </w:pPr>
    </w:p>
    <w:p w14:paraId="5A7AD849" w14:textId="77777777" w:rsidR="000D79CB" w:rsidRPr="000D79CB" w:rsidRDefault="000D79CB" w:rsidP="000D79CB">
      <w:pPr>
        <w:widowControl w:val="0"/>
        <w:autoSpaceDE w:val="0"/>
        <w:autoSpaceDN w:val="0"/>
        <w:adjustRightInd w:val="0"/>
        <w:spacing w:line="288" w:lineRule="auto"/>
        <w:jc w:val="center"/>
        <w:rPr>
          <w:rFonts w:ascii="Georgia" w:hAnsi="Georgia" w:cs="Arial"/>
          <w:w w:val="140"/>
          <w:sz w:val="14"/>
          <w:szCs w:val="14"/>
        </w:rPr>
      </w:pPr>
      <w:r w:rsidRPr="000D79CB">
        <w:rPr>
          <w:rFonts w:ascii="Georgia" w:hAnsi="Georgia" w:cs="Courier New"/>
          <w:noProof/>
          <w:sz w:val="24"/>
          <w:szCs w:val="24"/>
        </w:rPr>
        <w:drawing>
          <wp:inline distT="0" distB="0" distL="0" distR="0" wp14:anchorId="0C83A808" wp14:editId="31D1E132">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14:paraId="35C850E5" w14:textId="77777777" w:rsidR="000D79CB" w:rsidRPr="000D79CB" w:rsidRDefault="000D79CB" w:rsidP="004A0C80">
      <w:pPr>
        <w:widowControl w:val="0"/>
        <w:autoSpaceDE w:val="0"/>
        <w:autoSpaceDN w:val="0"/>
        <w:adjustRightInd w:val="0"/>
        <w:spacing w:line="300" w:lineRule="auto"/>
        <w:jc w:val="center"/>
        <w:rPr>
          <w:rFonts w:ascii="Georgia" w:hAnsi="Georgia" w:cs="Arial"/>
          <w:b/>
          <w:w w:val="140"/>
          <w:sz w:val="14"/>
          <w:szCs w:val="14"/>
        </w:rPr>
      </w:pPr>
      <w:r w:rsidRPr="000D79CB">
        <w:rPr>
          <w:rFonts w:ascii="Georgia" w:hAnsi="Georgia" w:cs="Arial"/>
          <w:b/>
          <w:w w:val="140"/>
          <w:sz w:val="14"/>
          <w:szCs w:val="14"/>
        </w:rPr>
        <w:t>REPUBLICA DE COLOMBIA</w:t>
      </w:r>
    </w:p>
    <w:p w14:paraId="60D43C01" w14:textId="77777777" w:rsidR="000D79CB" w:rsidRPr="000D79CB" w:rsidRDefault="000D79CB" w:rsidP="004A0C80">
      <w:pPr>
        <w:widowControl w:val="0"/>
        <w:tabs>
          <w:tab w:val="center" w:pos="4987"/>
          <w:tab w:val="left" w:pos="8449"/>
        </w:tabs>
        <w:autoSpaceDE w:val="0"/>
        <w:autoSpaceDN w:val="0"/>
        <w:adjustRightInd w:val="0"/>
        <w:spacing w:line="300" w:lineRule="auto"/>
        <w:jc w:val="center"/>
        <w:rPr>
          <w:rFonts w:ascii="Georgia" w:hAnsi="Georgia" w:cs="Arial"/>
          <w:b/>
          <w:w w:val="140"/>
          <w:sz w:val="24"/>
          <w:szCs w:val="24"/>
        </w:rPr>
      </w:pPr>
      <w:r w:rsidRPr="000D79CB">
        <w:rPr>
          <w:rFonts w:ascii="Georgia" w:hAnsi="Georgia" w:cs="Arial"/>
          <w:b/>
          <w:w w:val="140"/>
          <w:sz w:val="14"/>
          <w:szCs w:val="14"/>
        </w:rPr>
        <w:t>RAMA JUDICIAL DEL PODER PÚBLICO</w:t>
      </w:r>
    </w:p>
    <w:p w14:paraId="490ED1E6" w14:textId="77777777" w:rsidR="000D79CB" w:rsidRPr="000D79CB" w:rsidRDefault="000D79CB" w:rsidP="004A0C80">
      <w:pPr>
        <w:widowControl w:val="0"/>
        <w:autoSpaceDE w:val="0"/>
        <w:autoSpaceDN w:val="0"/>
        <w:adjustRightInd w:val="0"/>
        <w:spacing w:line="300" w:lineRule="auto"/>
        <w:jc w:val="center"/>
        <w:rPr>
          <w:rFonts w:ascii="Georgia" w:hAnsi="Georgia" w:cs="Arial"/>
          <w:b/>
          <w:w w:val="140"/>
          <w:sz w:val="16"/>
          <w:szCs w:val="16"/>
        </w:rPr>
      </w:pPr>
      <w:r w:rsidRPr="000D79CB">
        <w:rPr>
          <w:rFonts w:ascii="Georgia" w:hAnsi="Georgia" w:cs="Arial"/>
          <w:b/>
          <w:w w:val="140"/>
          <w:sz w:val="18"/>
          <w:szCs w:val="18"/>
        </w:rPr>
        <w:t>T</w:t>
      </w:r>
      <w:r w:rsidRPr="000D79CB">
        <w:rPr>
          <w:rFonts w:ascii="Georgia" w:hAnsi="Georgia" w:cs="Arial"/>
          <w:b/>
          <w:w w:val="140"/>
          <w:sz w:val="16"/>
          <w:szCs w:val="16"/>
        </w:rPr>
        <w:t>RIBUNAL</w:t>
      </w:r>
      <w:r w:rsidRPr="000D79CB">
        <w:rPr>
          <w:rFonts w:ascii="Georgia" w:hAnsi="Georgia" w:cs="Arial"/>
          <w:b/>
          <w:w w:val="140"/>
          <w:sz w:val="18"/>
          <w:szCs w:val="18"/>
        </w:rPr>
        <w:t xml:space="preserve"> S</w:t>
      </w:r>
      <w:r w:rsidRPr="000D79CB">
        <w:rPr>
          <w:rFonts w:ascii="Georgia" w:hAnsi="Georgia" w:cs="Arial"/>
          <w:b/>
          <w:w w:val="140"/>
          <w:sz w:val="16"/>
          <w:szCs w:val="16"/>
        </w:rPr>
        <w:t xml:space="preserve">UPERIOR DEL </w:t>
      </w:r>
      <w:r w:rsidRPr="000D79CB">
        <w:rPr>
          <w:rFonts w:ascii="Georgia" w:hAnsi="Georgia" w:cs="Arial"/>
          <w:b/>
          <w:w w:val="140"/>
          <w:sz w:val="18"/>
          <w:szCs w:val="18"/>
        </w:rPr>
        <w:t>D</w:t>
      </w:r>
      <w:r w:rsidRPr="000D79CB">
        <w:rPr>
          <w:rFonts w:ascii="Georgia" w:hAnsi="Georgia" w:cs="Arial"/>
          <w:b/>
          <w:w w:val="140"/>
          <w:sz w:val="16"/>
          <w:szCs w:val="16"/>
        </w:rPr>
        <w:t>ISTRITO</w:t>
      </w:r>
      <w:r w:rsidRPr="000D79CB">
        <w:rPr>
          <w:rFonts w:ascii="Georgia" w:hAnsi="Georgia" w:cs="Arial"/>
          <w:b/>
          <w:w w:val="140"/>
          <w:sz w:val="18"/>
          <w:szCs w:val="18"/>
        </w:rPr>
        <w:t xml:space="preserve"> J</w:t>
      </w:r>
      <w:r w:rsidRPr="000D79CB">
        <w:rPr>
          <w:rFonts w:ascii="Georgia" w:hAnsi="Georgia" w:cs="Arial"/>
          <w:b/>
          <w:w w:val="140"/>
          <w:sz w:val="16"/>
          <w:szCs w:val="16"/>
        </w:rPr>
        <w:t xml:space="preserve">UDICIAL </w:t>
      </w:r>
    </w:p>
    <w:p w14:paraId="58972EBC" w14:textId="77777777" w:rsidR="000D79CB" w:rsidRPr="000D79CB" w:rsidRDefault="000D79CB" w:rsidP="004A0C80">
      <w:pPr>
        <w:widowControl w:val="0"/>
        <w:autoSpaceDE w:val="0"/>
        <w:autoSpaceDN w:val="0"/>
        <w:adjustRightInd w:val="0"/>
        <w:spacing w:line="300" w:lineRule="auto"/>
        <w:jc w:val="center"/>
        <w:rPr>
          <w:rFonts w:ascii="Georgia" w:hAnsi="Georgia" w:cs="Arial"/>
          <w:b/>
          <w:w w:val="140"/>
          <w:sz w:val="16"/>
          <w:szCs w:val="16"/>
        </w:rPr>
      </w:pPr>
      <w:r w:rsidRPr="000D79CB">
        <w:rPr>
          <w:rFonts w:ascii="Georgia" w:hAnsi="Georgia" w:cs="Arial"/>
          <w:b/>
          <w:w w:val="140"/>
          <w:sz w:val="18"/>
          <w:szCs w:val="16"/>
        </w:rPr>
        <w:t>S</w:t>
      </w:r>
      <w:r w:rsidRPr="000D79CB">
        <w:rPr>
          <w:rFonts w:ascii="Georgia" w:hAnsi="Georgia" w:cs="Arial"/>
          <w:b/>
          <w:w w:val="140"/>
          <w:sz w:val="16"/>
          <w:szCs w:val="14"/>
        </w:rPr>
        <w:t xml:space="preserve">ALA </w:t>
      </w:r>
      <w:r w:rsidRPr="000D79CB">
        <w:rPr>
          <w:rFonts w:ascii="Georgia" w:hAnsi="Georgia" w:cs="Arial"/>
          <w:b/>
          <w:w w:val="140"/>
          <w:sz w:val="18"/>
          <w:szCs w:val="16"/>
        </w:rPr>
        <w:t>U</w:t>
      </w:r>
      <w:r w:rsidRPr="000D79CB">
        <w:rPr>
          <w:rFonts w:ascii="Georgia" w:hAnsi="Georgia" w:cs="Arial"/>
          <w:b/>
          <w:w w:val="140"/>
          <w:sz w:val="16"/>
          <w:szCs w:val="16"/>
        </w:rPr>
        <w:t xml:space="preserve">NITARIA </w:t>
      </w:r>
      <w:r w:rsidRPr="000D79CB">
        <w:rPr>
          <w:rFonts w:ascii="Georgia" w:hAnsi="Georgia" w:cs="Arial"/>
          <w:b/>
          <w:w w:val="140"/>
          <w:sz w:val="18"/>
          <w:szCs w:val="16"/>
        </w:rPr>
        <w:t>C</w:t>
      </w:r>
      <w:r w:rsidRPr="000D79CB">
        <w:rPr>
          <w:rFonts w:ascii="Georgia" w:hAnsi="Georgia" w:cs="Arial"/>
          <w:b/>
          <w:w w:val="140"/>
          <w:sz w:val="16"/>
          <w:szCs w:val="16"/>
        </w:rPr>
        <w:t xml:space="preserve">IVIL </w:t>
      </w:r>
      <w:r w:rsidRPr="000D79CB">
        <w:rPr>
          <w:rFonts w:ascii="Georgia" w:hAnsi="Georgia" w:cs="Arial"/>
          <w:b/>
          <w:w w:val="140"/>
          <w:sz w:val="14"/>
          <w:szCs w:val="14"/>
        </w:rPr>
        <w:t xml:space="preserve">– </w:t>
      </w:r>
      <w:r w:rsidRPr="000D79CB">
        <w:rPr>
          <w:rFonts w:ascii="Georgia" w:hAnsi="Georgia" w:cs="Arial"/>
          <w:b/>
          <w:w w:val="140"/>
          <w:sz w:val="18"/>
          <w:szCs w:val="16"/>
        </w:rPr>
        <w:t>F</w:t>
      </w:r>
      <w:r w:rsidRPr="000D79CB">
        <w:rPr>
          <w:rFonts w:ascii="Georgia" w:hAnsi="Georgia" w:cs="Arial"/>
          <w:b/>
          <w:w w:val="140"/>
          <w:sz w:val="16"/>
          <w:szCs w:val="16"/>
        </w:rPr>
        <w:t xml:space="preserve">AMILIA – </w:t>
      </w:r>
      <w:r w:rsidRPr="000D79CB">
        <w:rPr>
          <w:rFonts w:ascii="Georgia" w:hAnsi="Georgia" w:cs="Arial"/>
          <w:b/>
          <w:w w:val="140"/>
          <w:sz w:val="18"/>
          <w:szCs w:val="16"/>
        </w:rPr>
        <w:t>D</w:t>
      </w:r>
      <w:r w:rsidRPr="000D79CB">
        <w:rPr>
          <w:rFonts w:ascii="Georgia" w:hAnsi="Georgia" w:cs="Arial"/>
          <w:b/>
          <w:w w:val="140"/>
          <w:sz w:val="16"/>
          <w:szCs w:val="16"/>
        </w:rPr>
        <w:t xml:space="preserve">ISTRITO DE </w:t>
      </w:r>
      <w:r w:rsidRPr="000D79CB">
        <w:rPr>
          <w:rFonts w:ascii="Georgia" w:hAnsi="Georgia" w:cs="Arial"/>
          <w:b/>
          <w:w w:val="140"/>
          <w:sz w:val="18"/>
          <w:szCs w:val="16"/>
        </w:rPr>
        <w:t>P</w:t>
      </w:r>
      <w:r w:rsidRPr="000D79CB">
        <w:rPr>
          <w:rFonts w:ascii="Georgia" w:hAnsi="Georgia" w:cs="Arial"/>
          <w:b/>
          <w:w w:val="140"/>
          <w:sz w:val="16"/>
          <w:szCs w:val="16"/>
        </w:rPr>
        <w:t>EREIRA</w:t>
      </w:r>
    </w:p>
    <w:p w14:paraId="3AE8B565" w14:textId="77777777" w:rsidR="000D79CB" w:rsidRPr="000D79CB" w:rsidRDefault="000D79CB" w:rsidP="004A0C80">
      <w:pPr>
        <w:widowControl w:val="0"/>
        <w:autoSpaceDE w:val="0"/>
        <w:autoSpaceDN w:val="0"/>
        <w:adjustRightInd w:val="0"/>
        <w:spacing w:line="300" w:lineRule="auto"/>
        <w:jc w:val="center"/>
        <w:rPr>
          <w:rFonts w:ascii="Georgia" w:hAnsi="Georgia" w:cs="Arial"/>
          <w:b/>
          <w:w w:val="140"/>
          <w:sz w:val="16"/>
          <w:szCs w:val="16"/>
        </w:rPr>
      </w:pPr>
      <w:r w:rsidRPr="000D79CB">
        <w:rPr>
          <w:rFonts w:ascii="Georgia" w:hAnsi="Georgia" w:cs="Arial"/>
          <w:b/>
          <w:w w:val="140"/>
          <w:sz w:val="18"/>
          <w:szCs w:val="18"/>
        </w:rPr>
        <w:t>D</w:t>
      </w:r>
      <w:r w:rsidRPr="000D79CB">
        <w:rPr>
          <w:rFonts w:ascii="Georgia" w:hAnsi="Georgia" w:cs="Arial"/>
          <w:b/>
          <w:w w:val="140"/>
          <w:sz w:val="16"/>
          <w:szCs w:val="16"/>
        </w:rPr>
        <w:t xml:space="preserve">EPARTAMENTO </w:t>
      </w:r>
      <w:r w:rsidRPr="000D79CB">
        <w:rPr>
          <w:rFonts w:ascii="Georgia" w:hAnsi="Georgia" w:cs="Arial"/>
          <w:b/>
          <w:w w:val="140"/>
          <w:sz w:val="18"/>
          <w:szCs w:val="18"/>
        </w:rPr>
        <w:t>D</w:t>
      </w:r>
      <w:r w:rsidRPr="000D79CB">
        <w:rPr>
          <w:rFonts w:ascii="Georgia" w:hAnsi="Georgia" w:cs="Arial"/>
          <w:b/>
          <w:w w:val="140"/>
          <w:sz w:val="16"/>
          <w:szCs w:val="16"/>
        </w:rPr>
        <w:t xml:space="preserve">EL </w:t>
      </w:r>
      <w:r w:rsidRPr="000D79CB">
        <w:rPr>
          <w:rFonts w:ascii="Georgia" w:hAnsi="Georgia" w:cs="Arial"/>
          <w:b/>
          <w:w w:val="140"/>
          <w:sz w:val="18"/>
          <w:szCs w:val="18"/>
        </w:rPr>
        <w:t>R</w:t>
      </w:r>
      <w:r w:rsidRPr="000D79CB">
        <w:rPr>
          <w:rFonts w:ascii="Georgia" w:hAnsi="Georgia" w:cs="Arial"/>
          <w:b/>
          <w:w w:val="140"/>
          <w:sz w:val="16"/>
          <w:szCs w:val="16"/>
        </w:rPr>
        <w:t>ISARALDA</w:t>
      </w:r>
    </w:p>
    <w:p w14:paraId="2FCE00EA" w14:textId="77777777" w:rsidR="00045CE3" w:rsidRPr="000D79CB" w:rsidRDefault="00045CE3" w:rsidP="004A0C80">
      <w:pPr>
        <w:spacing w:line="300" w:lineRule="auto"/>
        <w:jc w:val="center"/>
        <w:rPr>
          <w:rFonts w:ascii="Georgia" w:hAnsi="Georgia" w:cs="Arial"/>
          <w:b/>
          <w:bCs/>
          <w:sz w:val="24"/>
          <w:szCs w:val="24"/>
        </w:rPr>
      </w:pPr>
    </w:p>
    <w:p w14:paraId="2FCE00F3" w14:textId="77777777" w:rsidR="00AD10DB" w:rsidRPr="000D79CB" w:rsidRDefault="00AD10DB" w:rsidP="004A0C80">
      <w:pPr>
        <w:pBdr>
          <w:bottom w:val="double" w:sz="6" w:space="1" w:color="auto"/>
        </w:pBdr>
        <w:spacing w:line="300" w:lineRule="auto"/>
        <w:rPr>
          <w:rFonts w:ascii="Georgia" w:hAnsi="Georgia" w:cs="Arial"/>
          <w:sz w:val="24"/>
          <w:szCs w:val="24"/>
        </w:rPr>
      </w:pPr>
    </w:p>
    <w:p w14:paraId="2FCE00F4" w14:textId="77777777" w:rsidR="00AD10DB" w:rsidRPr="000D79CB" w:rsidRDefault="00AD10DB" w:rsidP="004A0C80">
      <w:pPr>
        <w:spacing w:line="300" w:lineRule="auto"/>
        <w:jc w:val="center"/>
        <w:rPr>
          <w:rFonts w:ascii="Georgia" w:hAnsi="Georgia" w:cs="Arial"/>
          <w:sz w:val="24"/>
          <w:szCs w:val="24"/>
        </w:rPr>
      </w:pPr>
    </w:p>
    <w:p w14:paraId="2FCE00F5" w14:textId="50ABEC24" w:rsidR="00AD10DB" w:rsidRPr="000D79CB" w:rsidRDefault="000D32D1" w:rsidP="004A0C80">
      <w:pPr>
        <w:spacing w:line="300" w:lineRule="auto"/>
        <w:jc w:val="center"/>
        <w:rPr>
          <w:rFonts w:ascii="Georgia" w:hAnsi="Georgia" w:cs="Arial"/>
          <w:smallCaps/>
          <w:sz w:val="24"/>
          <w:szCs w:val="24"/>
        </w:rPr>
      </w:pPr>
      <w:r w:rsidRPr="000D79CB">
        <w:rPr>
          <w:rFonts w:ascii="Georgia" w:hAnsi="Georgia" w:cs="Arial"/>
          <w:smallCaps/>
          <w:sz w:val="24"/>
          <w:szCs w:val="24"/>
        </w:rPr>
        <w:t xml:space="preserve">Dieciséis </w:t>
      </w:r>
      <w:r w:rsidR="00AD10DB" w:rsidRPr="000D79CB">
        <w:rPr>
          <w:rFonts w:ascii="Georgia" w:hAnsi="Georgia" w:cs="Arial"/>
          <w:smallCaps/>
          <w:sz w:val="24"/>
          <w:szCs w:val="24"/>
        </w:rPr>
        <w:t>(</w:t>
      </w:r>
      <w:r w:rsidRPr="000D79CB">
        <w:rPr>
          <w:rFonts w:ascii="Georgia" w:hAnsi="Georgia" w:cs="Arial"/>
          <w:smallCaps/>
          <w:sz w:val="24"/>
          <w:szCs w:val="24"/>
        </w:rPr>
        <w:t>1</w:t>
      </w:r>
      <w:r w:rsidR="003D5B0A" w:rsidRPr="000D79CB">
        <w:rPr>
          <w:rFonts w:ascii="Georgia" w:hAnsi="Georgia" w:cs="Arial"/>
          <w:smallCaps/>
          <w:sz w:val="24"/>
          <w:szCs w:val="24"/>
        </w:rPr>
        <w:t>6</w:t>
      </w:r>
      <w:r w:rsidR="00AD10DB" w:rsidRPr="000D79CB">
        <w:rPr>
          <w:rFonts w:ascii="Georgia" w:hAnsi="Georgia" w:cs="Arial"/>
          <w:smallCaps/>
          <w:sz w:val="24"/>
          <w:szCs w:val="24"/>
        </w:rPr>
        <w:t xml:space="preserve">) de </w:t>
      </w:r>
      <w:r w:rsidRPr="000D79CB">
        <w:rPr>
          <w:rFonts w:ascii="Georgia" w:hAnsi="Georgia" w:cs="Arial"/>
          <w:smallCaps/>
          <w:sz w:val="24"/>
          <w:szCs w:val="24"/>
        </w:rPr>
        <w:t>junio</w:t>
      </w:r>
      <w:r w:rsidR="00D31830" w:rsidRPr="000D79CB">
        <w:rPr>
          <w:rFonts w:ascii="Georgia" w:hAnsi="Georgia" w:cs="Arial"/>
          <w:smallCaps/>
          <w:sz w:val="24"/>
          <w:szCs w:val="24"/>
        </w:rPr>
        <w:t xml:space="preserve"> </w:t>
      </w:r>
      <w:r w:rsidR="00AD10DB" w:rsidRPr="000D79CB">
        <w:rPr>
          <w:rFonts w:ascii="Georgia" w:hAnsi="Georgia" w:cs="Arial"/>
          <w:smallCaps/>
          <w:sz w:val="24"/>
          <w:szCs w:val="24"/>
        </w:rPr>
        <w:t xml:space="preserve">de dos mil </w:t>
      </w:r>
      <w:r w:rsidRPr="000D79CB">
        <w:rPr>
          <w:rFonts w:ascii="Georgia" w:hAnsi="Georgia" w:cs="Arial"/>
          <w:smallCaps/>
          <w:sz w:val="24"/>
          <w:szCs w:val="24"/>
        </w:rPr>
        <w:t>veinte</w:t>
      </w:r>
      <w:r w:rsidR="00607759" w:rsidRPr="000D79CB">
        <w:rPr>
          <w:rFonts w:ascii="Georgia" w:hAnsi="Georgia" w:cs="Arial"/>
          <w:smallCaps/>
          <w:sz w:val="24"/>
          <w:szCs w:val="24"/>
        </w:rPr>
        <w:t xml:space="preserve"> </w:t>
      </w:r>
      <w:r w:rsidR="00AD10DB" w:rsidRPr="000D79CB">
        <w:rPr>
          <w:rFonts w:ascii="Georgia" w:hAnsi="Georgia" w:cs="Arial"/>
          <w:smallCaps/>
          <w:sz w:val="24"/>
          <w:szCs w:val="24"/>
        </w:rPr>
        <w:t>(20</w:t>
      </w:r>
      <w:r w:rsidRPr="000D79CB">
        <w:rPr>
          <w:rFonts w:ascii="Georgia" w:hAnsi="Georgia" w:cs="Arial"/>
          <w:smallCaps/>
          <w:sz w:val="24"/>
          <w:szCs w:val="24"/>
        </w:rPr>
        <w:t>20</w:t>
      </w:r>
      <w:r w:rsidR="00AD10DB" w:rsidRPr="000D79CB">
        <w:rPr>
          <w:rFonts w:ascii="Georgia" w:hAnsi="Georgia" w:cs="Arial"/>
          <w:smallCaps/>
          <w:sz w:val="24"/>
          <w:szCs w:val="24"/>
        </w:rPr>
        <w:t>).</w:t>
      </w:r>
    </w:p>
    <w:p w14:paraId="2FCE00F7" w14:textId="77777777" w:rsidR="00920096" w:rsidRPr="000D79CB" w:rsidRDefault="00920096" w:rsidP="004A0C80">
      <w:pPr>
        <w:spacing w:line="300" w:lineRule="auto"/>
        <w:jc w:val="both"/>
        <w:rPr>
          <w:rFonts w:ascii="Georgia" w:hAnsi="Georgia" w:cs="Arial"/>
          <w:sz w:val="24"/>
          <w:szCs w:val="24"/>
        </w:rPr>
      </w:pPr>
    </w:p>
    <w:p w14:paraId="2FCE00F8" w14:textId="43126C70" w:rsidR="007F0E1D" w:rsidRPr="000D79CB" w:rsidRDefault="008A62B8" w:rsidP="004A0C80">
      <w:pPr>
        <w:pStyle w:val="Sinespaciado"/>
        <w:widowControl/>
        <w:numPr>
          <w:ilvl w:val="0"/>
          <w:numId w:val="8"/>
        </w:numPr>
        <w:autoSpaceDE/>
        <w:autoSpaceDN/>
        <w:adjustRightInd/>
        <w:spacing w:line="300" w:lineRule="auto"/>
        <w:jc w:val="both"/>
        <w:rPr>
          <w:rFonts w:ascii="Georgia" w:hAnsi="Georgia" w:cs="Arial"/>
          <w:b/>
          <w:bCs/>
          <w:smallCaps/>
        </w:rPr>
      </w:pPr>
      <w:r w:rsidRPr="000D79CB">
        <w:rPr>
          <w:rFonts w:ascii="Georgia" w:hAnsi="Georgia" w:cs="Arial"/>
          <w:b/>
          <w:bCs/>
          <w:smallCaps/>
        </w:rPr>
        <w:t>el asunto por decidir</w:t>
      </w:r>
    </w:p>
    <w:p w14:paraId="2FCE00F9" w14:textId="77777777" w:rsidR="007F0E1D" w:rsidRPr="000D79CB" w:rsidRDefault="007F0E1D" w:rsidP="004A0C80">
      <w:pPr>
        <w:pStyle w:val="Ttulo"/>
        <w:spacing w:line="300" w:lineRule="auto"/>
        <w:jc w:val="left"/>
        <w:rPr>
          <w:rFonts w:ascii="Georgia" w:hAnsi="Georgia"/>
          <w:b w:val="0"/>
          <w:bCs/>
          <w:i w:val="0"/>
          <w:iCs/>
          <w:spacing w:val="-3"/>
          <w:szCs w:val="24"/>
        </w:rPr>
      </w:pPr>
    </w:p>
    <w:p w14:paraId="2FCE00FA" w14:textId="7AAA05FC" w:rsidR="007F0E1D" w:rsidRPr="000D79CB" w:rsidRDefault="007F0E1D" w:rsidP="004A0C80">
      <w:pPr>
        <w:spacing w:line="300" w:lineRule="auto"/>
        <w:jc w:val="both"/>
        <w:rPr>
          <w:rFonts w:ascii="Georgia" w:hAnsi="Georgia" w:cs="Arial"/>
          <w:sz w:val="24"/>
          <w:szCs w:val="24"/>
        </w:rPr>
      </w:pPr>
      <w:r w:rsidRPr="000D79CB">
        <w:rPr>
          <w:rFonts w:ascii="Georgia" w:hAnsi="Georgia" w:cs="Arial"/>
          <w:sz w:val="24"/>
          <w:szCs w:val="24"/>
        </w:rPr>
        <w:lastRenderedPageBreak/>
        <w:t xml:space="preserve">La verificación de los supuestos de viabilidad del recurso ordinario de apelación propuesto por la parte demandante, contra </w:t>
      </w:r>
      <w:r w:rsidR="00920096" w:rsidRPr="000D79CB">
        <w:rPr>
          <w:rFonts w:ascii="Georgia" w:hAnsi="Georgia" w:cs="Arial"/>
          <w:sz w:val="24"/>
          <w:szCs w:val="24"/>
        </w:rPr>
        <w:t xml:space="preserve">el fallo </w:t>
      </w:r>
      <w:r w:rsidR="0013682E" w:rsidRPr="000D79CB">
        <w:rPr>
          <w:rFonts w:ascii="Georgia" w:hAnsi="Georgia" w:cs="Arial"/>
          <w:sz w:val="24"/>
          <w:szCs w:val="24"/>
        </w:rPr>
        <w:t xml:space="preserve">proferido el </w:t>
      </w:r>
      <w:r w:rsidR="00EB1BE8" w:rsidRPr="000D79CB">
        <w:rPr>
          <w:rFonts w:ascii="Georgia" w:hAnsi="Georgia" w:cs="Arial"/>
          <w:sz w:val="24"/>
          <w:szCs w:val="24"/>
        </w:rPr>
        <w:t>05-03-2020</w:t>
      </w:r>
      <w:r w:rsidRPr="000D79CB">
        <w:rPr>
          <w:rFonts w:ascii="Georgia" w:hAnsi="Georgia" w:cs="Arial"/>
          <w:sz w:val="24"/>
          <w:szCs w:val="24"/>
        </w:rPr>
        <w:t xml:space="preserve"> que de</w:t>
      </w:r>
      <w:r w:rsidR="00920096" w:rsidRPr="000D79CB">
        <w:rPr>
          <w:rFonts w:ascii="Georgia" w:hAnsi="Georgia" w:cs="Arial"/>
          <w:sz w:val="24"/>
          <w:szCs w:val="24"/>
        </w:rPr>
        <w:t>sestimó las pretensiones de la demanda</w:t>
      </w:r>
      <w:r w:rsidRPr="000D79CB">
        <w:rPr>
          <w:rFonts w:ascii="Georgia" w:hAnsi="Georgia" w:cs="Arial"/>
          <w:sz w:val="24"/>
          <w:szCs w:val="24"/>
        </w:rPr>
        <w:t>, previas las apreciaciones jurídicas que enseguida se plantean.</w:t>
      </w:r>
    </w:p>
    <w:p w14:paraId="2FCE00FC" w14:textId="77777777" w:rsidR="007F0E1D" w:rsidRPr="000D79CB" w:rsidRDefault="007F0E1D" w:rsidP="004A0C80">
      <w:pPr>
        <w:pStyle w:val="Sinespaciado"/>
        <w:widowControl/>
        <w:autoSpaceDE/>
        <w:autoSpaceDN/>
        <w:adjustRightInd/>
        <w:spacing w:line="300" w:lineRule="auto"/>
        <w:jc w:val="both"/>
        <w:rPr>
          <w:rFonts w:ascii="Georgia" w:hAnsi="Georgia" w:cs="Arial"/>
        </w:rPr>
      </w:pPr>
    </w:p>
    <w:p w14:paraId="2FCE00FD" w14:textId="0A9C8E10" w:rsidR="007F0E1D" w:rsidRPr="000D79CB" w:rsidRDefault="00EB1BE8" w:rsidP="004A0C80">
      <w:pPr>
        <w:pStyle w:val="Sinespaciado"/>
        <w:numPr>
          <w:ilvl w:val="0"/>
          <w:numId w:val="8"/>
        </w:numPr>
        <w:spacing w:line="300" w:lineRule="auto"/>
        <w:jc w:val="both"/>
        <w:rPr>
          <w:rFonts w:ascii="Georgia" w:hAnsi="Georgia" w:cs="Arial"/>
          <w:b/>
          <w:bCs/>
          <w:smallCaps/>
        </w:rPr>
      </w:pPr>
      <w:r w:rsidRPr="000D79CB">
        <w:rPr>
          <w:rFonts w:ascii="Georgia" w:hAnsi="Georgia" w:cs="Arial"/>
          <w:b/>
          <w:bCs/>
          <w:smallCaps/>
        </w:rPr>
        <w:t>las estimaciones jurídicas para decidir</w:t>
      </w:r>
    </w:p>
    <w:p w14:paraId="2FCE00FE" w14:textId="77777777" w:rsidR="007F0E1D" w:rsidRPr="000D79CB" w:rsidRDefault="007F0E1D" w:rsidP="004A0C80">
      <w:pPr>
        <w:spacing w:line="300" w:lineRule="auto"/>
        <w:jc w:val="both"/>
        <w:rPr>
          <w:rFonts w:ascii="Georgia" w:hAnsi="Georgia" w:cs="Arial"/>
          <w:sz w:val="24"/>
          <w:szCs w:val="24"/>
        </w:rPr>
      </w:pPr>
    </w:p>
    <w:p w14:paraId="2FCE00FF" w14:textId="45AFA217" w:rsidR="007F0E1D" w:rsidRPr="000D79CB" w:rsidRDefault="007F0E1D" w:rsidP="004A0C80">
      <w:pPr>
        <w:pStyle w:val="Sinespaciado"/>
        <w:widowControl/>
        <w:autoSpaceDE/>
        <w:autoSpaceDN/>
        <w:adjustRightInd/>
        <w:spacing w:line="300" w:lineRule="auto"/>
        <w:ind w:left="360" w:hanging="360"/>
        <w:jc w:val="both"/>
        <w:rPr>
          <w:rFonts w:ascii="Georgia" w:hAnsi="Georgia" w:cs="Arial"/>
          <w:smallCaps/>
          <w:sz w:val="28"/>
        </w:rPr>
      </w:pPr>
      <w:r w:rsidRPr="000D79CB">
        <w:rPr>
          <w:rFonts w:ascii="Georgia" w:hAnsi="Georgia" w:cs="Arial"/>
          <w:smallCaps/>
          <w:sz w:val="28"/>
        </w:rPr>
        <w:t xml:space="preserve">2.1. </w:t>
      </w:r>
      <w:r w:rsidR="008048F8" w:rsidRPr="000D79CB">
        <w:rPr>
          <w:rFonts w:ascii="Georgia" w:hAnsi="Georgia" w:cs="Arial"/>
          <w:sz w:val="28"/>
        </w:rPr>
        <w:t>La viabilidad de los recursos</w:t>
      </w:r>
    </w:p>
    <w:p w14:paraId="2FCE0100" w14:textId="77777777" w:rsidR="007F0E1D" w:rsidRPr="000D79CB" w:rsidRDefault="007F0E1D" w:rsidP="004A0C80">
      <w:pPr>
        <w:spacing w:line="300" w:lineRule="auto"/>
        <w:jc w:val="both"/>
        <w:rPr>
          <w:rFonts w:ascii="Georgia" w:hAnsi="Georgia" w:cs="Arial"/>
          <w:sz w:val="24"/>
          <w:szCs w:val="24"/>
        </w:rPr>
      </w:pPr>
    </w:p>
    <w:p w14:paraId="7B173032" w14:textId="77777777" w:rsidR="00EC3ED3" w:rsidRPr="000D79CB" w:rsidRDefault="00EC3ED3" w:rsidP="004A0C80">
      <w:pPr>
        <w:pStyle w:val="Textopredeterminado"/>
        <w:spacing w:line="300" w:lineRule="auto"/>
        <w:jc w:val="both"/>
        <w:textAlignment w:val="baseline"/>
        <w:rPr>
          <w:rFonts w:ascii="Georgia" w:hAnsi="Georgia" w:cs="Arial"/>
          <w:color w:val="auto"/>
          <w:szCs w:val="24"/>
        </w:rPr>
      </w:pPr>
      <w:r w:rsidRPr="000D79CB">
        <w:rPr>
          <w:rFonts w:ascii="Georgia" w:hAnsi="Georgia" w:cs="Arial"/>
          <w:color w:val="auto"/>
          <w:spacing w:val="-3"/>
          <w:szCs w:val="24"/>
        </w:rPr>
        <w:t>D</w:t>
      </w:r>
      <w:r w:rsidRPr="000D79CB">
        <w:rPr>
          <w:rFonts w:ascii="Georgia" w:hAnsi="Georgia" w:cs="Arial"/>
          <w:color w:val="auto"/>
          <w:szCs w:val="24"/>
        </w:rPr>
        <w:t xml:space="preserve">esde la óptica procesal, en presencia de los recursos, deben siempre concurrir los llamados presupuestos de viabilidad o trámite o </w:t>
      </w:r>
      <w:r w:rsidRPr="000D79CB">
        <w:rPr>
          <w:rFonts w:ascii="Georgia" w:hAnsi="Georgia" w:cs="Arial"/>
          <w:i/>
          <w:color w:val="auto"/>
          <w:szCs w:val="24"/>
        </w:rPr>
        <w:t>condiciones para tener la posibilidad de recurrir</w:t>
      </w:r>
      <w:r w:rsidRPr="000D79CB">
        <w:rPr>
          <w:rStyle w:val="Refdenotaalpie"/>
          <w:rFonts w:ascii="Georgia" w:hAnsi="Georgia"/>
          <w:i/>
          <w:color w:val="auto"/>
          <w:szCs w:val="24"/>
        </w:rPr>
        <w:footnoteReference w:id="1"/>
      </w:r>
      <w:r w:rsidRPr="000D79CB">
        <w:rPr>
          <w:rFonts w:ascii="Georgia" w:hAnsi="Georgia" w:cs="Arial"/>
          <w:color w:val="auto"/>
          <w:szCs w:val="24"/>
        </w:rPr>
        <w:t>, al decir de la doctrina procesal nacional</w:t>
      </w:r>
      <w:r w:rsidRPr="000D79CB">
        <w:rPr>
          <w:rFonts w:ascii="Georgia" w:hAnsi="Georgia" w:cs="Arial"/>
          <w:color w:val="auto"/>
          <w:szCs w:val="24"/>
          <w:vertAlign w:val="superscript"/>
        </w:rPr>
        <w:footnoteReference w:id="2"/>
      </w:r>
      <w:r w:rsidRPr="000D79CB">
        <w:rPr>
          <w:rFonts w:ascii="Georgia" w:hAnsi="Georgia" w:cs="Arial"/>
          <w:color w:val="auto"/>
          <w:szCs w:val="24"/>
          <w:vertAlign w:val="superscript"/>
        </w:rPr>
        <w:t>-</w:t>
      </w:r>
      <w:r w:rsidRPr="000D79CB">
        <w:rPr>
          <w:rFonts w:ascii="Georgia" w:hAnsi="Georgia" w:cs="Arial"/>
          <w:color w:val="auto"/>
          <w:szCs w:val="24"/>
          <w:vertAlign w:val="superscript"/>
        </w:rPr>
        <w:footnoteReference w:id="3"/>
      </w:r>
      <w:r w:rsidRPr="000D79CB">
        <w:rPr>
          <w:rFonts w:ascii="Georgia" w:hAnsi="Georgia" w:cs="Arial"/>
          <w:color w:val="auto"/>
          <w:szCs w:val="24"/>
        </w:rPr>
        <w:t>, a efectos de examinar el tema de apelación.</w:t>
      </w:r>
    </w:p>
    <w:p w14:paraId="5BB90E09" w14:textId="77777777" w:rsidR="000D79CB" w:rsidRPr="000D79CB" w:rsidRDefault="000D79CB" w:rsidP="004A0C80">
      <w:pPr>
        <w:pStyle w:val="Textopredeterminado"/>
        <w:spacing w:line="300" w:lineRule="auto"/>
        <w:jc w:val="both"/>
        <w:textAlignment w:val="baseline"/>
        <w:rPr>
          <w:rFonts w:ascii="Georgia" w:hAnsi="Georgia" w:cs="Arial"/>
          <w:color w:val="auto"/>
          <w:szCs w:val="24"/>
        </w:rPr>
      </w:pPr>
    </w:p>
    <w:p w14:paraId="0E642F3A" w14:textId="655C450F" w:rsidR="00EC3ED3" w:rsidRPr="000D79CB" w:rsidRDefault="00EC3ED3" w:rsidP="004A0C80">
      <w:pPr>
        <w:pStyle w:val="Sinespaciado"/>
        <w:spacing w:line="300" w:lineRule="auto"/>
        <w:jc w:val="both"/>
        <w:rPr>
          <w:rFonts w:ascii="Georgia" w:hAnsi="Georgia" w:cs="Arial"/>
        </w:rPr>
      </w:pPr>
      <w:r w:rsidRPr="000D79CB">
        <w:rPr>
          <w:rFonts w:ascii="Georgia" w:hAnsi="Georgia" w:cs="Arial"/>
        </w:rPr>
        <w:t>Esos presupuestos son una serie de exigencias normativas formales que permiten su trámite y aseguran su decisión.  Así lo anota el maestro López B.: “</w:t>
      </w:r>
      <w:r w:rsidRPr="000D79CB">
        <w:rPr>
          <w:rFonts w:ascii="Georgia" w:hAnsi="Georgia" w:cs="Arial"/>
          <w:i/>
          <w:sz w:val="22"/>
        </w:rPr>
        <w:t>En todo caso sin estar reunidos los requisitos de viabilidad del recurso jamás se podrá tener éxito en el mismo por constituir un precedente necesario para decidirlo.</w:t>
      </w:r>
      <w:r w:rsidRPr="000D79CB">
        <w:rPr>
          <w:rFonts w:ascii="Georgia" w:hAnsi="Georgia" w:cs="Arial"/>
          <w:sz w:val="22"/>
        </w:rPr>
        <w:t>”</w:t>
      </w:r>
      <w:r w:rsidRPr="000D79CB">
        <w:rPr>
          <w:rFonts w:ascii="Georgia" w:hAnsi="Georgia" w:cs="Arial"/>
          <w:sz w:val="22"/>
          <w:vertAlign w:val="superscript"/>
        </w:rPr>
        <w:footnoteReference w:id="4"/>
      </w:r>
      <w:r w:rsidRPr="000D79CB">
        <w:rPr>
          <w:rFonts w:ascii="Georgia" w:hAnsi="Georgia" w:cs="Arial"/>
          <w:sz w:val="22"/>
        </w:rPr>
        <w:t>.  Y lo explica el profesor Rojas G. en su obra: “</w:t>
      </w:r>
      <w:r w:rsidRPr="000D79CB">
        <w:rPr>
          <w:rFonts w:ascii="Georgia" w:hAnsi="Georgia" w:cs="Arial"/>
          <w:i/>
          <w:sz w:val="22"/>
        </w:rPr>
        <w:t>(…) para que la impugnación pueda ser tramitada hasta establecer si debe prosperar han de cumplirse unos precisos requisitos.  En ausencia de ellos no debe dársele curso a la impugnación, o el trámite queda trunco, si ya se inició</w:t>
      </w:r>
      <w:r w:rsidRPr="000D79CB">
        <w:rPr>
          <w:rFonts w:ascii="Georgia" w:hAnsi="Georgia" w:cs="Arial"/>
        </w:rPr>
        <w:t>”</w:t>
      </w:r>
      <w:r w:rsidRPr="000D79CB">
        <w:rPr>
          <w:rStyle w:val="Refdenotaalpie"/>
          <w:rFonts w:ascii="Georgia" w:hAnsi="Georgia" w:cs="Arial"/>
        </w:rPr>
        <w:t xml:space="preserve"> </w:t>
      </w:r>
      <w:r w:rsidRPr="000D79CB">
        <w:rPr>
          <w:rStyle w:val="Refdenotaalpie"/>
          <w:rFonts w:ascii="Georgia" w:hAnsi="Georgia" w:cs="Arial"/>
        </w:rPr>
        <w:footnoteReference w:id="5"/>
      </w:r>
      <w:r w:rsidRPr="000D79CB">
        <w:rPr>
          <w:rFonts w:ascii="Georgia" w:hAnsi="Georgia" w:cs="Arial"/>
        </w:rPr>
        <w:t>.</w:t>
      </w:r>
    </w:p>
    <w:p w14:paraId="34748D34" w14:textId="77777777" w:rsidR="00EC3ED3" w:rsidRPr="000D79CB" w:rsidRDefault="00EC3ED3" w:rsidP="004A0C80">
      <w:pPr>
        <w:pStyle w:val="Sinespaciado"/>
        <w:spacing w:line="300" w:lineRule="auto"/>
        <w:jc w:val="both"/>
        <w:rPr>
          <w:rFonts w:ascii="Georgia" w:hAnsi="Georgia" w:cs="Arial"/>
        </w:rPr>
      </w:pPr>
    </w:p>
    <w:p w14:paraId="7659C227" w14:textId="77777777" w:rsidR="00EC3ED3" w:rsidRPr="000D79CB" w:rsidRDefault="00EC3ED3" w:rsidP="004A0C80">
      <w:pPr>
        <w:pStyle w:val="Sinespaciado"/>
        <w:spacing w:line="300" w:lineRule="auto"/>
        <w:jc w:val="both"/>
        <w:rPr>
          <w:rFonts w:ascii="Georgia" w:hAnsi="Georgia" w:cs="Arial"/>
          <w:i/>
          <w:shd w:val="clear" w:color="auto" w:fill="FFFFFF"/>
        </w:rPr>
      </w:pPr>
      <w:r w:rsidRPr="000D79CB">
        <w:rPr>
          <w:rFonts w:ascii="Georgia" w:hAnsi="Georgia" w:cs="Arial"/>
        </w:rPr>
        <w:t>Tales requisitos son concurrentes y necesarios, ausente uno se malogra el estudio de la impugnación. La misma CSJ así lo ha enseñado: “</w:t>
      </w:r>
      <w:r w:rsidRPr="000D79CB">
        <w:rPr>
          <w:rFonts w:ascii="Georgia" w:hAnsi="Georgia" w:cs="Arial"/>
          <w:i/>
          <w:sz w:val="22"/>
        </w:rPr>
        <w:t xml:space="preserve">(…) al recibir el expediente, dentro del examen preliminar que le corresponde hacer (C. de </w:t>
      </w:r>
      <w:proofErr w:type="spellStart"/>
      <w:r w:rsidRPr="000D79CB">
        <w:rPr>
          <w:rFonts w:ascii="Georgia" w:hAnsi="Georgia" w:cs="Arial"/>
          <w:i/>
          <w:sz w:val="22"/>
        </w:rPr>
        <w:t>P.C</w:t>
      </w:r>
      <w:proofErr w:type="spellEnd"/>
      <w:r w:rsidRPr="000D79CB">
        <w:rPr>
          <w:rFonts w:ascii="Georgia" w:hAnsi="Georgia" w:cs="Arial"/>
          <w:i/>
          <w:sz w:val="22"/>
        </w:rPr>
        <w:t xml:space="preserve">., </w:t>
      </w:r>
      <w:proofErr w:type="spellStart"/>
      <w:r w:rsidRPr="000D79CB">
        <w:rPr>
          <w:rFonts w:ascii="Georgia" w:hAnsi="Georgia" w:cs="Arial"/>
          <w:i/>
          <w:sz w:val="22"/>
        </w:rPr>
        <w:t>art.358</w:t>
      </w:r>
      <w:proofErr w:type="spellEnd"/>
      <w:r w:rsidRPr="000D79CB">
        <w:rPr>
          <w:rFonts w:ascii="Georgia" w:hAnsi="Georgia" w:cs="Arial"/>
          <w:i/>
          <w:sz w:val="22"/>
        </w:rPr>
        <w:t>),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0D79CB">
        <w:rPr>
          <w:rFonts w:ascii="Georgia" w:hAnsi="Georgia" w:cs="Arial"/>
        </w:rPr>
        <w:t>”</w:t>
      </w:r>
      <w:r w:rsidRPr="000D79CB">
        <w:rPr>
          <w:rStyle w:val="Refdenotaalpie"/>
          <w:rFonts w:ascii="Georgia" w:hAnsi="Georgia"/>
        </w:rPr>
        <w:footnoteReference w:id="6"/>
      </w:r>
      <w:r w:rsidRPr="000D79CB">
        <w:rPr>
          <w:rFonts w:ascii="Georgia" w:hAnsi="Georgia" w:cs="Arial"/>
        </w:rPr>
        <w:t>. Y en decisión más próxima (2017)</w:t>
      </w:r>
      <w:r w:rsidRPr="000D79CB">
        <w:rPr>
          <w:rStyle w:val="Refdenotaalpie"/>
          <w:rFonts w:ascii="Georgia" w:hAnsi="Georgia"/>
        </w:rPr>
        <w:footnoteReference w:id="7"/>
      </w:r>
      <w:r w:rsidRPr="000D79CB">
        <w:rPr>
          <w:rFonts w:ascii="Georgia" w:hAnsi="Georgia" w:cs="Arial"/>
        </w:rPr>
        <w:t xml:space="preserve"> recordó: “</w:t>
      </w:r>
      <w:r w:rsidRPr="000D79CB">
        <w:rPr>
          <w:rFonts w:ascii="Georgia" w:hAnsi="Georgia" w:cs="Arial"/>
          <w:sz w:val="22"/>
        </w:rPr>
        <w:t xml:space="preserve">(…) </w:t>
      </w:r>
      <w:r w:rsidRPr="000D79CB">
        <w:rPr>
          <w:rFonts w:ascii="Georgia" w:hAnsi="Georgia" w:cs="Arial"/>
          <w:i/>
          <w:spacing w:val="-4"/>
          <w:sz w:val="22"/>
        </w:rPr>
        <w:t xml:space="preserve">Por supuesto que, era facultad del superior realizar el análisis preliminar para la «admisión» de la alzada, y conforme a la regla cuarta del canon 325 del </w:t>
      </w:r>
      <w:proofErr w:type="spellStart"/>
      <w:r w:rsidRPr="000D79CB">
        <w:rPr>
          <w:rFonts w:ascii="Georgia" w:hAnsi="Georgia" w:cs="Arial"/>
          <w:i/>
          <w:spacing w:val="-4"/>
          <w:sz w:val="22"/>
        </w:rPr>
        <w:t>C.G.P</w:t>
      </w:r>
      <w:proofErr w:type="spellEnd"/>
      <w:r w:rsidRPr="000D79CB">
        <w:rPr>
          <w:rFonts w:ascii="Georgia" w:hAnsi="Georgia" w:cs="Arial"/>
          <w:i/>
          <w:spacing w:val="-4"/>
          <w:sz w:val="22"/>
        </w:rPr>
        <w:t>.</w:t>
      </w:r>
      <w:r w:rsidRPr="000D79CB">
        <w:rPr>
          <w:rFonts w:ascii="Georgia" w:hAnsi="Georgia" w:cs="Arial"/>
          <w:spacing w:val="-4"/>
          <w:sz w:val="22"/>
        </w:rPr>
        <w:t xml:space="preserve"> </w:t>
      </w:r>
      <w:r w:rsidRPr="000D79CB">
        <w:rPr>
          <w:rFonts w:ascii="Georgia" w:hAnsi="Georgia" w:cs="Arial"/>
          <w:i/>
          <w:sz w:val="22"/>
          <w:shd w:val="clear" w:color="auto" w:fill="FFFFFF"/>
        </w:rPr>
        <w:t xml:space="preserve"> (…)</w:t>
      </w:r>
      <w:r w:rsidRPr="000D79CB">
        <w:rPr>
          <w:rFonts w:ascii="Georgia" w:hAnsi="Georgia" w:cs="Arial"/>
          <w:i/>
          <w:shd w:val="clear" w:color="auto" w:fill="FFFFFF"/>
        </w:rPr>
        <w:t>”.</w:t>
      </w:r>
    </w:p>
    <w:p w14:paraId="6C7A5032" w14:textId="77777777" w:rsidR="00EC3ED3" w:rsidRPr="000D79CB" w:rsidRDefault="00EC3ED3" w:rsidP="004A0C80">
      <w:pPr>
        <w:pStyle w:val="Sinespaciado"/>
        <w:spacing w:line="300" w:lineRule="auto"/>
        <w:ind w:left="567"/>
        <w:jc w:val="both"/>
        <w:rPr>
          <w:rFonts w:ascii="Georgia" w:hAnsi="Georgia"/>
          <w:i/>
          <w:shd w:val="clear" w:color="auto" w:fill="FFFFFF"/>
        </w:rPr>
      </w:pPr>
    </w:p>
    <w:p w14:paraId="2FCE0106" w14:textId="2B637C16" w:rsidR="00A70B4D" w:rsidRPr="000D79CB" w:rsidRDefault="00EC3ED3" w:rsidP="004A0C80">
      <w:pPr>
        <w:pStyle w:val="Sinespaciado"/>
        <w:spacing w:line="300" w:lineRule="auto"/>
        <w:jc w:val="both"/>
        <w:rPr>
          <w:rFonts w:ascii="Georgia" w:hAnsi="Georgia" w:cs="Arial"/>
        </w:rPr>
      </w:pPr>
      <w:r w:rsidRPr="000D79CB">
        <w:rPr>
          <w:rFonts w:ascii="Georgia" w:hAnsi="Georgia" w:cs="Arial"/>
        </w:rPr>
        <w:t>Ellos son legitimación, oportunidad, procedencia y cargas procesales (Sustentación, expedición de copias, etc.), los tres primeros implican la inadmisibilidad del recurso mientras que, el cuarto, provoca su deserción, tal como acota la doctrina patria</w:t>
      </w:r>
      <w:r w:rsidRPr="000D79CB">
        <w:rPr>
          <w:rStyle w:val="Refdenotaalpie"/>
          <w:rFonts w:ascii="Georgia" w:hAnsi="Georgia"/>
        </w:rPr>
        <w:footnoteReference w:id="8"/>
      </w:r>
      <w:r w:rsidRPr="000D79CB">
        <w:rPr>
          <w:rFonts w:ascii="Georgia" w:hAnsi="Georgia" w:cs="Arial"/>
          <w:vertAlign w:val="superscript"/>
        </w:rPr>
        <w:t>-</w:t>
      </w:r>
      <w:r w:rsidRPr="000D79CB">
        <w:rPr>
          <w:rStyle w:val="Refdenotaalpie"/>
          <w:rFonts w:ascii="Georgia" w:hAnsi="Georgia"/>
        </w:rPr>
        <w:footnoteReference w:id="9"/>
      </w:r>
      <w:r w:rsidRPr="000D79CB">
        <w:rPr>
          <w:rFonts w:ascii="Georgia" w:hAnsi="Georgia" w:cs="Arial"/>
        </w:rPr>
        <w:t>.</w:t>
      </w:r>
    </w:p>
    <w:p w14:paraId="2FCE0108" w14:textId="77777777" w:rsidR="007F0E1D" w:rsidRPr="000D79CB" w:rsidRDefault="007F0E1D" w:rsidP="004A0C80">
      <w:pPr>
        <w:pStyle w:val="Sinespaciado"/>
        <w:spacing w:line="300" w:lineRule="auto"/>
        <w:jc w:val="both"/>
        <w:rPr>
          <w:rFonts w:ascii="Georgia" w:hAnsi="Georgia" w:cs="Arial"/>
        </w:rPr>
      </w:pPr>
    </w:p>
    <w:p w14:paraId="2FCE0109" w14:textId="3C3C6C7C" w:rsidR="00B75C6A" w:rsidRPr="000D79CB" w:rsidRDefault="007F0E1D" w:rsidP="004A0C80">
      <w:pPr>
        <w:spacing w:line="300" w:lineRule="auto"/>
        <w:jc w:val="both"/>
        <w:rPr>
          <w:rFonts w:ascii="Georgia" w:hAnsi="Georgia" w:cs="Arial"/>
          <w:sz w:val="24"/>
          <w:szCs w:val="24"/>
        </w:rPr>
      </w:pPr>
      <w:r w:rsidRPr="000D79CB">
        <w:rPr>
          <w:rFonts w:ascii="Georgia" w:hAnsi="Georgia" w:cs="Arial"/>
          <w:sz w:val="24"/>
          <w:szCs w:val="24"/>
        </w:rPr>
        <w:lastRenderedPageBreak/>
        <w:t xml:space="preserve">Frente a los tres primeros el estudio se </w:t>
      </w:r>
      <w:r w:rsidR="0084781D" w:rsidRPr="000D79CB">
        <w:rPr>
          <w:rFonts w:ascii="Georgia" w:hAnsi="Georgia" w:cs="Arial"/>
          <w:sz w:val="24"/>
          <w:szCs w:val="24"/>
        </w:rPr>
        <w:t>da</w:t>
      </w:r>
      <w:r w:rsidR="0062131C" w:rsidRPr="000D79CB">
        <w:rPr>
          <w:rFonts w:ascii="Georgia" w:hAnsi="Georgia" w:cs="Arial"/>
          <w:sz w:val="24"/>
          <w:szCs w:val="24"/>
        </w:rPr>
        <w:t xml:space="preserve"> por s</w:t>
      </w:r>
      <w:r w:rsidRPr="000D79CB">
        <w:rPr>
          <w:rFonts w:ascii="Georgia" w:hAnsi="Georgia" w:cs="Arial"/>
          <w:sz w:val="24"/>
          <w:szCs w:val="24"/>
        </w:rPr>
        <w:t>uperado</w:t>
      </w:r>
      <w:r w:rsidR="0062131C" w:rsidRPr="000D79CB">
        <w:rPr>
          <w:rFonts w:ascii="Georgia" w:hAnsi="Georgia" w:cs="Arial"/>
          <w:sz w:val="24"/>
          <w:szCs w:val="24"/>
        </w:rPr>
        <w:t>,</w:t>
      </w:r>
      <w:r w:rsidR="0084781D" w:rsidRPr="000D79CB">
        <w:rPr>
          <w:rFonts w:ascii="Georgia" w:hAnsi="Georgia" w:cs="Arial"/>
          <w:sz w:val="24"/>
          <w:szCs w:val="24"/>
        </w:rPr>
        <w:t xml:space="preserve"> dado que:</w:t>
      </w:r>
      <w:r w:rsidRPr="000D79CB">
        <w:rPr>
          <w:rFonts w:ascii="Georgia" w:hAnsi="Georgia" w:cs="Arial"/>
          <w:sz w:val="24"/>
          <w:szCs w:val="24"/>
        </w:rPr>
        <w:t xml:space="preserve"> </w:t>
      </w:r>
      <w:r w:rsidR="0084781D" w:rsidRPr="000D79CB">
        <w:rPr>
          <w:rFonts w:ascii="Georgia" w:hAnsi="Georgia" w:cs="Arial"/>
          <w:sz w:val="24"/>
          <w:szCs w:val="24"/>
        </w:rPr>
        <w:t xml:space="preserve">(i) Hay legitimación </w:t>
      </w:r>
      <w:r w:rsidR="001E7DAD" w:rsidRPr="000D79CB">
        <w:rPr>
          <w:rFonts w:ascii="Georgia" w:hAnsi="Georgia" w:cs="Arial"/>
          <w:sz w:val="24"/>
          <w:szCs w:val="24"/>
        </w:rPr>
        <w:t xml:space="preserve">o interés </w:t>
      </w:r>
      <w:r w:rsidR="0084781D" w:rsidRPr="000D79CB">
        <w:rPr>
          <w:rFonts w:ascii="Georgia" w:hAnsi="Georgia" w:cs="Arial"/>
          <w:sz w:val="24"/>
          <w:szCs w:val="24"/>
        </w:rPr>
        <w:t xml:space="preserve">en la parte actora, que recurre; (ii) La providencia atacada es susceptible de apelación (Artículo 321, CGP); y (iii) Fue oportuna la alzada, según se extrae de la grabación de la audiencia. </w:t>
      </w:r>
      <w:r w:rsidR="00B75C6A" w:rsidRPr="000D79CB">
        <w:rPr>
          <w:rFonts w:ascii="Georgia" w:hAnsi="Georgia" w:cs="Arial"/>
          <w:sz w:val="24"/>
          <w:szCs w:val="24"/>
        </w:rPr>
        <w:t xml:space="preserve">Ahora el examen se centrará en la </w:t>
      </w:r>
      <w:r w:rsidR="00B75C6A" w:rsidRPr="000D79CB">
        <w:rPr>
          <w:rFonts w:ascii="Georgia" w:hAnsi="Georgia" w:cs="Arial"/>
          <w:sz w:val="24"/>
          <w:szCs w:val="24"/>
          <w:u w:val="single"/>
        </w:rPr>
        <w:t>sustentación</w:t>
      </w:r>
      <w:r w:rsidR="00B75C6A" w:rsidRPr="000D79CB">
        <w:rPr>
          <w:rFonts w:ascii="Georgia" w:hAnsi="Georgia" w:cs="Arial"/>
          <w:sz w:val="24"/>
          <w:szCs w:val="24"/>
        </w:rPr>
        <w:t xml:space="preserve">, como </w:t>
      </w:r>
      <w:r w:rsidR="00A70B4D" w:rsidRPr="000D79CB">
        <w:rPr>
          <w:rFonts w:ascii="Georgia" w:hAnsi="Georgia" w:cs="Arial"/>
          <w:sz w:val="24"/>
          <w:szCs w:val="24"/>
        </w:rPr>
        <w:t xml:space="preserve">carga procesal </w:t>
      </w:r>
      <w:r w:rsidR="00B75C6A" w:rsidRPr="000D79CB">
        <w:rPr>
          <w:rFonts w:ascii="Georgia" w:hAnsi="Georgia" w:cs="Arial"/>
          <w:sz w:val="24"/>
          <w:szCs w:val="24"/>
        </w:rPr>
        <w:t>que se echa de menos, tal como pasará a explicarse.</w:t>
      </w:r>
    </w:p>
    <w:p w14:paraId="2FCE010A" w14:textId="77777777" w:rsidR="0084781D" w:rsidRPr="000D79CB" w:rsidRDefault="0084781D" w:rsidP="004A0C80">
      <w:pPr>
        <w:spacing w:line="300" w:lineRule="auto"/>
        <w:jc w:val="both"/>
        <w:rPr>
          <w:rFonts w:ascii="Georgia" w:hAnsi="Georgia" w:cs="Arial"/>
          <w:sz w:val="24"/>
          <w:szCs w:val="24"/>
        </w:rPr>
      </w:pPr>
    </w:p>
    <w:p w14:paraId="2FCE010B" w14:textId="474A717C" w:rsidR="00477144" w:rsidRPr="000D79CB" w:rsidRDefault="008048F8" w:rsidP="004A0C80">
      <w:pPr>
        <w:pStyle w:val="Sinespaciado"/>
        <w:widowControl/>
        <w:autoSpaceDE/>
        <w:autoSpaceDN/>
        <w:adjustRightInd/>
        <w:spacing w:line="300" w:lineRule="auto"/>
        <w:ind w:left="360" w:hanging="360"/>
        <w:jc w:val="both"/>
        <w:rPr>
          <w:rFonts w:ascii="Georgia" w:hAnsi="Georgia" w:cs="Arial"/>
          <w:smallCaps/>
          <w:sz w:val="28"/>
        </w:rPr>
      </w:pPr>
      <w:r w:rsidRPr="000D79CB">
        <w:rPr>
          <w:rFonts w:ascii="Georgia" w:hAnsi="Georgia" w:cs="Arial"/>
          <w:sz w:val="28"/>
        </w:rPr>
        <w:t xml:space="preserve">2.2. </w:t>
      </w:r>
      <w:r w:rsidR="00477144" w:rsidRPr="000D79CB">
        <w:rPr>
          <w:rFonts w:ascii="Georgia" w:hAnsi="Georgia" w:cs="Arial"/>
          <w:sz w:val="28"/>
        </w:rPr>
        <w:t>La sustentación</w:t>
      </w:r>
      <w:r w:rsidR="001E7DAD" w:rsidRPr="000D79CB">
        <w:rPr>
          <w:rFonts w:ascii="Georgia" w:hAnsi="Georgia" w:cs="Arial"/>
          <w:sz w:val="28"/>
        </w:rPr>
        <w:t xml:space="preserve"> del recurso</w:t>
      </w:r>
    </w:p>
    <w:p w14:paraId="2FCE010C" w14:textId="6C7D27DF" w:rsidR="00477144" w:rsidRPr="000D79CB" w:rsidRDefault="00477144" w:rsidP="004A0C80">
      <w:pPr>
        <w:spacing w:line="300" w:lineRule="auto"/>
        <w:jc w:val="both"/>
        <w:rPr>
          <w:rFonts w:ascii="Georgia" w:hAnsi="Georgia" w:cs="Arial"/>
          <w:sz w:val="24"/>
          <w:szCs w:val="24"/>
        </w:rPr>
      </w:pPr>
    </w:p>
    <w:p w14:paraId="09B7C6C4" w14:textId="188772EB" w:rsidR="004E272C" w:rsidRPr="000D79CB" w:rsidRDefault="004E272C" w:rsidP="004A0C80">
      <w:pPr>
        <w:spacing w:line="300" w:lineRule="auto"/>
        <w:contextualSpacing/>
        <w:jc w:val="both"/>
        <w:rPr>
          <w:rFonts w:ascii="Georgia" w:hAnsi="Georgia" w:cs="Arial"/>
          <w:sz w:val="24"/>
          <w:szCs w:val="24"/>
        </w:rPr>
      </w:pPr>
      <w:r w:rsidRPr="000D79CB">
        <w:rPr>
          <w:rFonts w:ascii="Georgia" w:hAnsi="Georgia" w:cs="Arial"/>
          <w:sz w:val="24"/>
          <w:szCs w:val="24"/>
        </w:rPr>
        <w:t xml:space="preserve">Se entiende como la exposición de las razones y fundamentos al juez de porqué la </w:t>
      </w:r>
      <w:r w:rsidRPr="000D79CB">
        <w:rPr>
          <w:rFonts w:ascii="Georgia" w:hAnsi="Georgia" w:cs="Arial"/>
          <w:i/>
          <w:iCs/>
          <w:sz w:val="24"/>
          <w:szCs w:val="24"/>
        </w:rPr>
        <w:t>“</w:t>
      </w:r>
      <w:r w:rsidRPr="000D79CB">
        <w:rPr>
          <w:rFonts w:ascii="Georgia" w:hAnsi="Georgia" w:cs="Arial"/>
          <w:i/>
          <w:iCs/>
          <w:sz w:val="22"/>
          <w:szCs w:val="24"/>
        </w:rPr>
        <w:t>(…) providencia está errada, con el fin de que proceda a modificarla o revocarla, por cuanto es evidente que si el juez no tiene esa base, no le es dable entrar a resolver (…)</w:t>
      </w:r>
      <w:r w:rsidRPr="000D79CB">
        <w:rPr>
          <w:rFonts w:ascii="Georgia" w:hAnsi="Georgia" w:cs="Arial"/>
          <w:i/>
          <w:iCs/>
          <w:sz w:val="24"/>
          <w:szCs w:val="24"/>
        </w:rPr>
        <w:t>”</w:t>
      </w:r>
      <w:r w:rsidRPr="000D79CB">
        <w:rPr>
          <w:rFonts w:ascii="Georgia" w:hAnsi="Georgia"/>
          <w:sz w:val="24"/>
          <w:szCs w:val="24"/>
          <w:vertAlign w:val="superscript"/>
        </w:rPr>
        <w:footnoteReference w:id="10"/>
      </w:r>
      <w:r w:rsidRPr="000D79CB">
        <w:rPr>
          <w:rFonts w:ascii="Georgia" w:hAnsi="Georgia" w:cs="Arial"/>
          <w:sz w:val="24"/>
          <w:szCs w:val="24"/>
        </w:rPr>
        <w:t xml:space="preserve">.  Es que no basta el mero deseo de la parte de recurrir una determinada providencia, sino que debe indicar los motivos de su inconformidad debidamente fundamentada.  </w:t>
      </w:r>
    </w:p>
    <w:p w14:paraId="6A5103E6" w14:textId="77777777" w:rsidR="004E272C" w:rsidRPr="000D79CB" w:rsidRDefault="004E272C" w:rsidP="004A0C80">
      <w:pPr>
        <w:pStyle w:val="Sinespaciado"/>
        <w:spacing w:line="300" w:lineRule="auto"/>
        <w:jc w:val="both"/>
        <w:rPr>
          <w:rFonts w:ascii="Georgia" w:hAnsi="Georgia" w:cs="Arial"/>
        </w:rPr>
      </w:pPr>
    </w:p>
    <w:p w14:paraId="410F7F52" w14:textId="1FD24FD4" w:rsidR="004E272C" w:rsidRPr="000D79CB" w:rsidRDefault="004E272C" w:rsidP="004A0C80">
      <w:pPr>
        <w:pStyle w:val="Sinespaciado"/>
        <w:spacing w:line="300" w:lineRule="auto"/>
        <w:jc w:val="both"/>
        <w:rPr>
          <w:rFonts w:ascii="Georgia" w:hAnsi="Georgia" w:cs="Arial"/>
        </w:rPr>
      </w:pPr>
      <w:r w:rsidRPr="000D79CB">
        <w:rPr>
          <w:rFonts w:ascii="Georgia" w:hAnsi="Georgia" w:cs="Arial"/>
        </w:rPr>
        <w:t>Comenta, en la misma línea de pensamiento, el profesor Rojas G.</w:t>
      </w:r>
      <w:r w:rsidRPr="000D79CB">
        <w:rPr>
          <w:rStyle w:val="Refdenotaalpie"/>
          <w:rFonts w:ascii="Georgia" w:hAnsi="Georgia" w:cs="Arial"/>
        </w:rPr>
        <w:footnoteReference w:id="11"/>
      </w:r>
      <w:r w:rsidRPr="000D79CB">
        <w:rPr>
          <w:rFonts w:ascii="Georgia" w:hAnsi="Georgia" w:cs="Arial"/>
        </w:rPr>
        <w:t>.: “</w:t>
      </w:r>
      <w:r w:rsidRPr="000D79CB">
        <w:rPr>
          <w:rFonts w:ascii="Georgia" w:hAnsi="Georgia" w:cs="Arial"/>
          <w:i/>
          <w:iCs/>
          <w:sz w:val="22"/>
        </w:rPr>
        <w:t xml:space="preserve">Si el individuo se siente injustamente lesionado como consecuencia de la decisión judicial, habrá de tener por lo menos una razón seria para considerarlo así.  </w:t>
      </w:r>
      <w:r w:rsidRPr="000D79CB">
        <w:rPr>
          <w:rFonts w:ascii="Georgia" w:hAnsi="Georgia" w:cs="Arial"/>
          <w:i/>
          <w:iCs/>
          <w:sz w:val="22"/>
          <w:u w:val="single"/>
        </w:rPr>
        <w:t>Para que fundadamente pueda esperar que la justicia se corrija removiendo los errores que la determinan, tendrá que explicar siquiera el motivo de su inconformidad</w:t>
      </w:r>
      <w:r w:rsidRPr="000D79CB">
        <w:rPr>
          <w:rFonts w:ascii="Georgia" w:hAnsi="Georgia" w:cs="Arial"/>
        </w:rPr>
        <w:t>” (Subrayado ajeno al original).</w:t>
      </w:r>
    </w:p>
    <w:p w14:paraId="0A9454CB" w14:textId="77777777" w:rsidR="004E272C" w:rsidRPr="000D79CB" w:rsidRDefault="004E272C" w:rsidP="004A0C80">
      <w:pPr>
        <w:pStyle w:val="Sinespaciado"/>
        <w:spacing w:line="300" w:lineRule="auto"/>
        <w:jc w:val="both"/>
        <w:rPr>
          <w:rFonts w:ascii="Georgia" w:hAnsi="Georgia" w:cs="Arial"/>
        </w:rPr>
      </w:pPr>
    </w:p>
    <w:p w14:paraId="7785A7B7" w14:textId="3E83491B" w:rsidR="004E272C" w:rsidRPr="000D79CB" w:rsidRDefault="004E272C" w:rsidP="004A0C80">
      <w:pPr>
        <w:spacing w:line="300" w:lineRule="auto"/>
        <w:jc w:val="both"/>
        <w:rPr>
          <w:rFonts w:ascii="Georgia" w:hAnsi="Georgia" w:cs="Arial"/>
          <w:sz w:val="24"/>
          <w:szCs w:val="24"/>
        </w:rPr>
      </w:pPr>
      <w:r w:rsidRPr="000D79CB">
        <w:rPr>
          <w:rFonts w:ascii="Georgia" w:hAnsi="Georgia" w:cs="Arial"/>
          <w:sz w:val="24"/>
          <w:szCs w:val="24"/>
        </w:rPr>
        <w:t>Oportunas aquí las palabras de la doctrina judicial del órgano de cierre de la especialidad</w:t>
      </w:r>
      <w:r w:rsidRPr="000D79CB">
        <w:rPr>
          <w:rStyle w:val="Refdenotaalpie"/>
          <w:rFonts w:ascii="Georgia" w:hAnsi="Georgia"/>
          <w:sz w:val="24"/>
          <w:szCs w:val="24"/>
        </w:rPr>
        <w:footnoteReference w:id="12"/>
      </w:r>
      <w:r w:rsidRPr="000D79CB">
        <w:rPr>
          <w:rFonts w:ascii="Georgia" w:hAnsi="Georgia" w:cs="Arial"/>
          <w:sz w:val="24"/>
          <w:szCs w:val="24"/>
        </w:rPr>
        <w:t>, que tiene dicho inveteradamente, por demás, que:</w:t>
      </w:r>
    </w:p>
    <w:p w14:paraId="4D987836" w14:textId="77777777" w:rsidR="004E272C" w:rsidRPr="000D79CB" w:rsidRDefault="004E272C" w:rsidP="004A0C80">
      <w:pPr>
        <w:spacing w:line="300" w:lineRule="auto"/>
        <w:jc w:val="both"/>
        <w:rPr>
          <w:rFonts w:ascii="Georgia" w:hAnsi="Georgia" w:cs="Arial"/>
          <w:sz w:val="24"/>
          <w:szCs w:val="24"/>
        </w:rPr>
      </w:pPr>
    </w:p>
    <w:p w14:paraId="5D800B9E" w14:textId="77777777" w:rsidR="004E272C" w:rsidRPr="000D79CB" w:rsidRDefault="004E272C" w:rsidP="000D79CB">
      <w:pPr>
        <w:pStyle w:val="Textoindependienteprimerasangra"/>
        <w:ind w:left="426" w:right="418" w:firstLine="0"/>
        <w:jc w:val="both"/>
        <w:rPr>
          <w:rFonts w:ascii="Georgia" w:hAnsi="Georgia"/>
          <w:kern w:val="2"/>
          <w:sz w:val="22"/>
        </w:rPr>
      </w:pPr>
      <w:r w:rsidRPr="000D79CB">
        <w:rPr>
          <w:rFonts w:ascii="Georgia" w:hAnsi="Georgia"/>
          <w:kern w:val="2"/>
          <w:sz w:val="22"/>
        </w:rPr>
        <w:t>4.4.1. Recurrir y sustentar por vía de apelación no significa hacer formulaciones genéricas o panorámicas</w:t>
      </w:r>
      <w:r w:rsidRPr="000D79CB">
        <w:rPr>
          <w:rStyle w:val="Refdenotaalpie"/>
          <w:rFonts w:ascii="Georgia" w:hAnsi="Georgia"/>
          <w:kern w:val="2"/>
          <w:sz w:val="22"/>
        </w:rPr>
        <w:footnoteReference w:id="13"/>
      </w:r>
      <w:r w:rsidRPr="000D79CB">
        <w:rPr>
          <w:rFonts w:ascii="Georgia" w:hAnsi="Georgia"/>
          <w:kern w:val="2"/>
          <w:sz w:val="22"/>
        </w:rPr>
        <w:t>, más bien supone:</w:t>
      </w:r>
    </w:p>
    <w:p w14:paraId="0DF07080" w14:textId="77777777" w:rsidR="008048F8" w:rsidRPr="000D79CB" w:rsidRDefault="008048F8" w:rsidP="000D79CB">
      <w:pPr>
        <w:pStyle w:val="Textoindependienteprimerasangra"/>
        <w:ind w:left="426" w:right="418" w:firstLine="0"/>
        <w:jc w:val="both"/>
        <w:rPr>
          <w:rFonts w:ascii="Georgia" w:hAnsi="Georgia"/>
          <w:kern w:val="2"/>
          <w:sz w:val="22"/>
        </w:rPr>
      </w:pPr>
    </w:p>
    <w:p w14:paraId="144A9B38" w14:textId="77777777" w:rsidR="004E272C" w:rsidRPr="000D79CB" w:rsidRDefault="004E272C" w:rsidP="000D79CB">
      <w:pPr>
        <w:pStyle w:val="Textoindependienteprimerasangra"/>
        <w:ind w:left="426" w:right="418" w:firstLine="0"/>
        <w:jc w:val="both"/>
        <w:rPr>
          <w:rFonts w:ascii="Georgia" w:hAnsi="Georgia"/>
          <w:kern w:val="2"/>
          <w:sz w:val="22"/>
        </w:rPr>
      </w:pPr>
      <w:r w:rsidRPr="000D79CB">
        <w:rPr>
          <w:rFonts w:ascii="Georgia" w:hAnsi="Georgia"/>
          <w:kern w:val="2"/>
          <w:sz w:val="22"/>
        </w:rPr>
        <w:tab/>
        <w:t>1. Explicar clara y coherentemente las causas por las cuales debe corregirse una providencia. Es sustentar y manifestar las razones fácticas, probatorias y jurídicas de discrepancia con la decisión impugnada.</w:t>
      </w:r>
    </w:p>
    <w:p w14:paraId="0D317FA0" w14:textId="77777777" w:rsidR="004E272C" w:rsidRPr="000D79CB" w:rsidRDefault="004E272C" w:rsidP="000D79CB">
      <w:pPr>
        <w:pStyle w:val="Textoindependienteprimerasangra"/>
        <w:ind w:left="426" w:right="418" w:firstLine="0"/>
        <w:jc w:val="both"/>
        <w:rPr>
          <w:rFonts w:ascii="Georgia" w:hAnsi="Georgia"/>
          <w:kern w:val="2"/>
          <w:sz w:val="22"/>
        </w:rPr>
      </w:pPr>
    </w:p>
    <w:p w14:paraId="3EF9CD28" w14:textId="77777777" w:rsidR="004E272C" w:rsidRDefault="004E272C" w:rsidP="000D79CB">
      <w:pPr>
        <w:pStyle w:val="Textoindependienteprimerasangra"/>
        <w:ind w:left="426" w:right="418" w:firstLine="0"/>
        <w:jc w:val="both"/>
        <w:rPr>
          <w:rFonts w:ascii="Georgia" w:hAnsi="Georgia"/>
          <w:kern w:val="2"/>
          <w:sz w:val="22"/>
        </w:rPr>
      </w:pPr>
      <w:r w:rsidRPr="000D79CB">
        <w:rPr>
          <w:rFonts w:ascii="Georgia" w:hAnsi="Georgia"/>
          <w:kern w:val="2"/>
          <w:sz w:val="22"/>
        </w:rPr>
        <w:tab/>
        <w:t>2. Demostrar los desaciertos de la decisión para examinarla, y por tanto, el apelante debe formular los cargos concretos, y cuestionar las razones de la decisión o de los segmentos específicos que deben enmendarse, porque aquello que no sea objeto del recurso, no puede ser materia de decisión, salvo las autorizaciones legales necesarias y forzosas (art. 357 del C. de P. C., y 328 del C. G. del P.).</w:t>
      </w:r>
    </w:p>
    <w:p w14:paraId="2C565BB8" w14:textId="77777777" w:rsidR="00FF3669" w:rsidRPr="000D79CB" w:rsidRDefault="00FF3669" w:rsidP="000D79CB">
      <w:pPr>
        <w:pStyle w:val="Textoindependienteprimerasangra"/>
        <w:ind w:left="426" w:right="418" w:firstLine="0"/>
        <w:jc w:val="both"/>
        <w:rPr>
          <w:rFonts w:ascii="Georgia" w:hAnsi="Georgia"/>
          <w:kern w:val="2"/>
          <w:sz w:val="22"/>
        </w:rPr>
      </w:pPr>
    </w:p>
    <w:p w14:paraId="0B3A00D2" w14:textId="77777777" w:rsidR="004E272C" w:rsidRPr="000D79CB" w:rsidRDefault="004E272C" w:rsidP="000D79CB">
      <w:pPr>
        <w:pStyle w:val="Textoindependienteprimerasangra"/>
        <w:ind w:left="426" w:right="418" w:firstLine="0"/>
        <w:jc w:val="both"/>
        <w:rPr>
          <w:rFonts w:ascii="Georgia" w:hAnsi="Georgia"/>
          <w:kern w:val="2"/>
          <w:sz w:val="22"/>
        </w:rPr>
      </w:pPr>
      <w:r w:rsidRPr="000D79CB">
        <w:rPr>
          <w:rFonts w:ascii="Georgia" w:hAnsi="Georgia"/>
          <w:kern w:val="2"/>
          <w:sz w:val="22"/>
        </w:rPr>
        <w:tab/>
        <w:t xml:space="preserve">3. </w:t>
      </w:r>
      <w:r w:rsidRPr="000D79CB">
        <w:rPr>
          <w:rFonts w:ascii="Georgia" w:hAnsi="Georgia"/>
          <w:kern w:val="2"/>
          <w:sz w:val="22"/>
          <w:u w:val="single"/>
        </w:rPr>
        <w:t>Apelar no es ensayar argumentos disímiles o marginales que nada tengan que ver con lo decidido en la providencia impugnada.</w:t>
      </w:r>
    </w:p>
    <w:p w14:paraId="4B3E3548" w14:textId="77777777" w:rsidR="004E272C" w:rsidRPr="000D79CB" w:rsidRDefault="004E272C" w:rsidP="000D79CB">
      <w:pPr>
        <w:pStyle w:val="Textoindependienteprimerasangra"/>
        <w:ind w:left="426" w:right="418" w:firstLine="0"/>
        <w:jc w:val="both"/>
        <w:rPr>
          <w:rFonts w:ascii="Georgia" w:hAnsi="Georgia"/>
          <w:kern w:val="2"/>
          <w:sz w:val="22"/>
        </w:rPr>
      </w:pPr>
    </w:p>
    <w:p w14:paraId="2C8EDF74" w14:textId="77777777" w:rsidR="004E272C" w:rsidRPr="000D79CB" w:rsidRDefault="004E272C" w:rsidP="000D79CB">
      <w:pPr>
        <w:pStyle w:val="Textoindependienteprimerasangra"/>
        <w:ind w:left="426" w:right="418" w:firstLine="0"/>
        <w:jc w:val="both"/>
        <w:rPr>
          <w:rFonts w:ascii="Georgia" w:hAnsi="Georgia"/>
          <w:kern w:val="2"/>
          <w:sz w:val="22"/>
        </w:rPr>
      </w:pPr>
      <w:r w:rsidRPr="000D79CB">
        <w:rPr>
          <w:rFonts w:ascii="Georgia" w:hAnsi="Georgia"/>
          <w:kern w:val="2"/>
          <w:sz w:val="22"/>
        </w:rPr>
        <w:tab/>
        <w:t>4. Tampoco es repetir lo ya argumentado en una petición que ha sido resuelta de manera contraria, sin atacar los fundamentos de la decisión, ni es mucho menos, remitirse a lo expresado con antelación a la providencia que se decide.</w:t>
      </w:r>
    </w:p>
    <w:p w14:paraId="001F25E2" w14:textId="77777777" w:rsidR="004E272C" w:rsidRPr="000D79CB" w:rsidRDefault="004E272C" w:rsidP="000D79CB">
      <w:pPr>
        <w:pStyle w:val="Textoindependienteprimerasangra"/>
        <w:ind w:left="426" w:right="418" w:firstLine="0"/>
        <w:jc w:val="both"/>
        <w:rPr>
          <w:rFonts w:ascii="Georgia" w:hAnsi="Georgia"/>
          <w:kern w:val="2"/>
          <w:sz w:val="22"/>
        </w:rPr>
      </w:pPr>
    </w:p>
    <w:p w14:paraId="45FD002E" w14:textId="77777777" w:rsidR="004E272C" w:rsidRPr="000D79CB" w:rsidRDefault="004E272C" w:rsidP="000D79CB">
      <w:pPr>
        <w:pStyle w:val="Sinespaciado"/>
        <w:ind w:left="426" w:right="418"/>
        <w:jc w:val="both"/>
        <w:rPr>
          <w:rFonts w:ascii="Georgia" w:hAnsi="Georgia" w:cs="Arial"/>
          <w:sz w:val="22"/>
        </w:rPr>
      </w:pPr>
      <w:r w:rsidRPr="000D79CB">
        <w:rPr>
          <w:rFonts w:ascii="Georgia" w:hAnsi="Georgia"/>
          <w:kern w:val="2"/>
          <w:sz w:val="22"/>
        </w:rPr>
        <w:t xml:space="preserve">5. Es hacer explícitos los argumentos de disentimiento y de confutación, denunciando las equivocaciones, </w:t>
      </w:r>
      <w:r w:rsidRPr="000D79CB">
        <w:rPr>
          <w:rFonts w:ascii="Georgia" w:hAnsi="Georgia"/>
          <w:smallCaps/>
          <w:kern w:val="2"/>
          <w:sz w:val="22"/>
        </w:rPr>
        <w:t xml:space="preserve">porque son éstos, y no otros, los aspectos que delimitan la competencia y fijan el marco del examen y del pronunciamiento </w:t>
      </w:r>
      <w:r w:rsidRPr="000D79CB">
        <w:rPr>
          <w:rFonts w:ascii="Georgia" w:hAnsi="Georgia"/>
          <w:smallCaps/>
          <w:kern w:val="2"/>
          <w:sz w:val="22"/>
        </w:rPr>
        <w:lastRenderedPageBreak/>
        <w:t xml:space="preserve">de la cuestión debatida. </w:t>
      </w:r>
      <w:r w:rsidRPr="000D79CB">
        <w:rPr>
          <w:rFonts w:ascii="Georgia" w:hAnsi="Georgia"/>
          <w:kern w:val="2"/>
          <w:sz w:val="22"/>
        </w:rPr>
        <w:t xml:space="preserve">Las </w:t>
      </w:r>
      <w:proofErr w:type="spellStart"/>
      <w:r w:rsidRPr="000D79CB">
        <w:rPr>
          <w:rFonts w:ascii="Georgia" w:hAnsi="Georgia"/>
          <w:kern w:val="2"/>
          <w:sz w:val="22"/>
        </w:rPr>
        <w:t>Sublíneas</w:t>
      </w:r>
      <w:proofErr w:type="spellEnd"/>
      <w:r w:rsidRPr="000D79CB">
        <w:rPr>
          <w:rFonts w:ascii="Georgia" w:hAnsi="Georgia"/>
          <w:kern w:val="2"/>
          <w:sz w:val="22"/>
        </w:rPr>
        <w:t xml:space="preserve"> y las versalitas son de este escrito.</w:t>
      </w:r>
    </w:p>
    <w:p w14:paraId="15FCBD95" w14:textId="77777777" w:rsidR="004E272C" w:rsidRPr="000D79CB" w:rsidRDefault="004E272C" w:rsidP="004A0C80">
      <w:pPr>
        <w:pStyle w:val="Sinespaciado"/>
        <w:spacing w:line="300" w:lineRule="auto"/>
        <w:jc w:val="both"/>
        <w:rPr>
          <w:rFonts w:ascii="Georgia" w:hAnsi="Georgia" w:cs="Arial"/>
        </w:rPr>
      </w:pPr>
    </w:p>
    <w:p w14:paraId="1C01A8F7" w14:textId="77777777" w:rsidR="004E272C" w:rsidRPr="000D79CB" w:rsidRDefault="004E272C" w:rsidP="004A0C80">
      <w:pPr>
        <w:pStyle w:val="Sinespaciado"/>
        <w:spacing w:line="300" w:lineRule="auto"/>
        <w:jc w:val="both"/>
        <w:rPr>
          <w:rFonts w:ascii="Georgia" w:hAnsi="Georgia" w:cs="Arial"/>
        </w:rPr>
      </w:pPr>
      <w:r w:rsidRPr="000D79CB">
        <w:rPr>
          <w:rFonts w:ascii="Georgia" w:hAnsi="Georgia" w:cs="Arial"/>
        </w:rPr>
        <w:t xml:space="preserve">El recurso de apelación no es simplemente una manifestación aislada de disconformidad por parte de los intervinientes ante una decisión que afecta sus intereses, en realidad, equivale a una labor seria y juiciosa que implica el estudio de aquellos puntos sobre los cuales se discrepa, para luego refutarlos o controvertirlos fundadamente, teniendo en cuenta que la gestión de la segunda instancia, en últimas, es la de auscultar en los argumentos de la impugnación para concluir, si según los motivos expuestos allí, le asiste razón o no. </w:t>
      </w:r>
    </w:p>
    <w:p w14:paraId="06BBC92D" w14:textId="77777777" w:rsidR="004E272C" w:rsidRPr="000D79CB" w:rsidRDefault="004E272C" w:rsidP="004A0C80">
      <w:pPr>
        <w:pStyle w:val="Sinespaciado"/>
        <w:spacing w:line="300" w:lineRule="auto"/>
        <w:jc w:val="both"/>
        <w:rPr>
          <w:rFonts w:ascii="Georgia" w:hAnsi="Georgia" w:cs="Arial"/>
        </w:rPr>
      </w:pPr>
    </w:p>
    <w:p w14:paraId="6D2174B9" w14:textId="77777777" w:rsidR="004E272C" w:rsidRPr="000D79CB" w:rsidRDefault="004E272C" w:rsidP="004A0C80">
      <w:pPr>
        <w:pStyle w:val="Sinespaciado"/>
        <w:spacing w:line="300" w:lineRule="auto"/>
        <w:jc w:val="both"/>
        <w:rPr>
          <w:rFonts w:ascii="Georgia" w:hAnsi="Georgia" w:cs="Arial"/>
        </w:rPr>
      </w:pPr>
      <w:r w:rsidRPr="000D79CB">
        <w:rPr>
          <w:rFonts w:ascii="Georgia" w:hAnsi="Georgia" w:cs="Arial"/>
        </w:rPr>
        <w:t>Sobre el tema se ha ocupado la misma CC</w:t>
      </w:r>
      <w:r w:rsidRPr="000D79CB">
        <w:rPr>
          <w:rFonts w:ascii="Georgia" w:hAnsi="Georgia" w:cs="Arial"/>
          <w:vertAlign w:val="superscript"/>
        </w:rPr>
        <w:footnoteReference w:id="14"/>
      </w:r>
      <w:r w:rsidRPr="000D79CB">
        <w:rPr>
          <w:rFonts w:ascii="Georgia" w:hAnsi="Georgia" w:cs="Arial"/>
        </w:rPr>
        <w:t xml:space="preserve"> y la Sala de Casación Civil de la Corte Suprema de Justicia</w:t>
      </w:r>
      <w:r w:rsidRPr="000D79CB">
        <w:rPr>
          <w:rStyle w:val="Refdenotaalpie"/>
          <w:rFonts w:ascii="Georgia" w:hAnsi="Georgia" w:cs="Arial"/>
        </w:rPr>
        <w:footnoteReference w:id="15"/>
      </w:r>
      <w:r w:rsidRPr="000D79CB">
        <w:rPr>
          <w:rFonts w:ascii="Georgia" w:hAnsi="Georgia" w:cs="Arial"/>
        </w:rPr>
        <w:t>, desde antaño ha precisado que el requisito de la sustentación para que se torne admisible, impone al recurrente precisar con razones claras y puntuales su descontento, en este sentido explicó: “</w:t>
      </w:r>
      <w:r w:rsidRPr="000D79CB">
        <w:rPr>
          <w:rFonts w:ascii="Georgia" w:hAnsi="Georgia" w:cs="Arial"/>
          <w:i/>
          <w:sz w:val="22"/>
        </w:rPr>
        <w:t>(…) El impugnante se limita simplemente a calificar la providencia recurrida de (…) puesto que aquellos calificativos y estas expresiones, justamente por su vaguedad e imprecisión no expresan, pero ni siquiera implícitamente, las razones o motivos de la inconformidad del apelante con las deducciones lógica-jurídicas a que llegó el juez en su proveído impugnado (…)</w:t>
      </w:r>
      <w:r w:rsidRPr="000D79CB">
        <w:rPr>
          <w:rFonts w:ascii="Georgia" w:hAnsi="Georgia" w:cs="Arial"/>
          <w:i/>
        </w:rPr>
        <w:t>”.</w:t>
      </w:r>
      <w:r w:rsidRPr="000D79CB">
        <w:rPr>
          <w:rFonts w:ascii="Georgia" w:hAnsi="Georgia" w:cs="Arial"/>
        </w:rPr>
        <w:t xml:space="preserve"> </w:t>
      </w:r>
    </w:p>
    <w:p w14:paraId="3787D1F2" w14:textId="77777777" w:rsidR="004E272C" w:rsidRPr="000D79CB" w:rsidRDefault="004E272C" w:rsidP="004A0C80">
      <w:pPr>
        <w:pStyle w:val="NormalWeb"/>
        <w:spacing w:before="0" w:beforeAutospacing="0" w:after="0" w:afterAutospacing="0" w:line="300" w:lineRule="auto"/>
        <w:jc w:val="both"/>
        <w:rPr>
          <w:rFonts w:ascii="Georgia" w:hAnsi="Georgia" w:cs="Arial"/>
        </w:rPr>
      </w:pPr>
    </w:p>
    <w:p w14:paraId="708E0AC0" w14:textId="77777777" w:rsidR="004E272C" w:rsidRPr="000D79CB" w:rsidRDefault="004E272C" w:rsidP="004A0C80">
      <w:pPr>
        <w:pStyle w:val="Sinespaciado"/>
        <w:spacing w:line="300" w:lineRule="auto"/>
        <w:jc w:val="both"/>
        <w:rPr>
          <w:rFonts w:ascii="Georgia" w:hAnsi="Georgia" w:cs="Arial"/>
        </w:rPr>
      </w:pPr>
      <w:r w:rsidRPr="000D79CB">
        <w:rPr>
          <w:rFonts w:ascii="Georgia" w:hAnsi="Georgia" w:cs="Arial"/>
        </w:rPr>
        <w:t xml:space="preserve">Todo lo dicho se acentúa mucho más ahora con la adopción de la apelación restrictiva o pretensión </w:t>
      </w:r>
      <w:proofErr w:type="spellStart"/>
      <w:r w:rsidRPr="000D79CB">
        <w:rPr>
          <w:rFonts w:ascii="Georgia" w:hAnsi="Georgia" w:cs="Arial"/>
        </w:rPr>
        <w:t>impugnaticia</w:t>
      </w:r>
      <w:proofErr w:type="spellEnd"/>
      <w:r w:rsidRPr="000D79CB">
        <w:rPr>
          <w:rFonts w:ascii="Georgia" w:hAnsi="Georgia" w:cs="Arial"/>
        </w:rPr>
        <w:t>, en el sistema del CGP.</w:t>
      </w:r>
    </w:p>
    <w:p w14:paraId="624D49C3" w14:textId="77777777" w:rsidR="000D79CB" w:rsidRPr="000D79CB" w:rsidRDefault="000D79CB" w:rsidP="004A0C80">
      <w:pPr>
        <w:pStyle w:val="Sinespaciado"/>
        <w:spacing w:line="300" w:lineRule="auto"/>
        <w:jc w:val="both"/>
        <w:rPr>
          <w:rFonts w:ascii="Georgia" w:hAnsi="Georgia" w:cs="Arial"/>
        </w:rPr>
      </w:pPr>
    </w:p>
    <w:p w14:paraId="2FCE0117" w14:textId="71785E41" w:rsidR="00477144" w:rsidRPr="000D79CB" w:rsidRDefault="008048F8" w:rsidP="004A0C80">
      <w:pPr>
        <w:pStyle w:val="Sinespaciado"/>
        <w:widowControl/>
        <w:autoSpaceDE/>
        <w:autoSpaceDN/>
        <w:adjustRightInd/>
        <w:spacing w:line="300" w:lineRule="auto"/>
        <w:ind w:left="360" w:hanging="360"/>
        <w:jc w:val="both"/>
        <w:rPr>
          <w:rFonts w:ascii="Georgia" w:hAnsi="Georgia" w:cs="Arial"/>
          <w:smallCaps/>
          <w:sz w:val="28"/>
        </w:rPr>
      </w:pPr>
      <w:r w:rsidRPr="000D79CB">
        <w:rPr>
          <w:rFonts w:ascii="Georgia" w:hAnsi="Georgia" w:cs="Arial"/>
          <w:smallCaps/>
          <w:sz w:val="28"/>
        </w:rPr>
        <w:t>2.3. L</w:t>
      </w:r>
      <w:r w:rsidR="00BB4347" w:rsidRPr="000D79CB">
        <w:rPr>
          <w:rFonts w:ascii="Georgia" w:hAnsi="Georgia" w:cs="Arial"/>
          <w:sz w:val="28"/>
        </w:rPr>
        <w:t xml:space="preserve">a sustentación en vigencia del </w:t>
      </w:r>
      <w:r w:rsidRPr="000D79CB">
        <w:rPr>
          <w:rFonts w:ascii="Georgia" w:hAnsi="Georgia" w:cs="Arial"/>
          <w:sz w:val="28"/>
        </w:rPr>
        <w:t>Código General del Proceso</w:t>
      </w:r>
    </w:p>
    <w:p w14:paraId="2FCE0118" w14:textId="77777777" w:rsidR="00477144" w:rsidRPr="000D79CB" w:rsidRDefault="00477144" w:rsidP="004A0C80">
      <w:pPr>
        <w:pStyle w:val="Sinespaciado"/>
        <w:tabs>
          <w:tab w:val="left" w:pos="709"/>
        </w:tabs>
        <w:spacing w:line="300" w:lineRule="auto"/>
        <w:ind w:right="567"/>
        <w:jc w:val="both"/>
        <w:rPr>
          <w:rFonts w:ascii="Georgia" w:hAnsi="Georgia" w:cs="Arial"/>
        </w:rPr>
      </w:pPr>
    </w:p>
    <w:p w14:paraId="2FCE0119" w14:textId="45B6BDD9" w:rsidR="00477144" w:rsidRPr="000D79CB" w:rsidRDefault="00477144" w:rsidP="004A0C80">
      <w:pPr>
        <w:spacing w:line="300" w:lineRule="auto"/>
        <w:jc w:val="both"/>
        <w:rPr>
          <w:rFonts w:ascii="Georgia" w:hAnsi="Georgia" w:cs="Arial"/>
          <w:i/>
          <w:sz w:val="24"/>
          <w:szCs w:val="24"/>
        </w:rPr>
      </w:pPr>
      <w:r w:rsidRPr="000D79CB">
        <w:rPr>
          <w:rFonts w:ascii="Georgia" w:hAnsi="Georgia" w:cs="Arial"/>
          <w:sz w:val="24"/>
          <w:szCs w:val="24"/>
        </w:rPr>
        <w:t xml:space="preserve">Esa normativa estipula en el artículo 322 que: </w:t>
      </w:r>
      <w:r w:rsidRPr="000D79CB">
        <w:rPr>
          <w:rFonts w:ascii="Georgia" w:hAnsi="Georgia" w:cs="Arial"/>
          <w:i/>
          <w:sz w:val="24"/>
          <w:szCs w:val="24"/>
        </w:rPr>
        <w:t>“</w:t>
      </w:r>
      <w:r w:rsidRPr="000D79CB">
        <w:rPr>
          <w:rFonts w:ascii="Georgia" w:hAnsi="Georgia" w:cs="Arial"/>
          <w:i/>
          <w:sz w:val="22"/>
          <w:szCs w:val="24"/>
        </w:rPr>
        <w:t>(…) Cuando se apele una sentencia, el apelante, al momento de interponer el recurso en la audiencia si hubiera sido proferida en ella, o dentro de los tres (3) días siguientes a su finalización o a la notificación de la que hubiere sido dictada por fuera de audiencia, deberá precisar, de manera breve, los reparos concretos que le hace a la decisión, sobre los cuales versará la sustentación que hará ante el superior</w:t>
      </w:r>
      <w:r w:rsidR="00C11794" w:rsidRPr="000D79CB">
        <w:rPr>
          <w:rFonts w:ascii="Georgia" w:hAnsi="Georgia" w:cs="Arial"/>
          <w:i/>
          <w:sz w:val="22"/>
          <w:szCs w:val="24"/>
        </w:rPr>
        <w:t>(</w:t>
      </w:r>
      <w:r w:rsidRPr="000D79CB">
        <w:rPr>
          <w:rFonts w:ascii="Georgia" w:hAnsi="Georgia" w:cs="Arial"/>
          <w:i/>
          <w:sz w:val="22"/>
          <w:szCs w:val="24"/>
        </w:rPr>
        <w:t>…</w:t>
      </w:r>
      <w:r w:rsidR="00C11794" w:rsidRPr="000D79CB">
        <w:rPr>
          <w:rFonts w:ascii="Georgia" w:hAnsi="Georgia" w:cs="Arial"/>
          <w:i/>
          <w:sz w:val="22"/>
          <w:szCs w:val="24"/>
        </w:rPr>
        <w:t>)</w:t>
      </w:r>
      <w:r w:rsidRPr="000D79CB">
        <w:rPr>
          <w:rFonts w:ascii="Georgia" w:hAnsi="Georgia" w:cs="Arial"/>
          <w:i/>
          <w:sz w:val="24"/>
          <w:szCs w:val="24"/>
        </w:rPr>
        <w:t xml:space="preserve">”. </w:t>
      </w:r>
      <w:r w:rsidRPr="000D79CB">
        <w:rPr>
          <w:rFonts w:ascii="Georgia" w:hAnsi="Georgia" w:cs="Arial"/>
          <w:sz w:val="24"/>
          <w:szCs w:val="24"/>
        </w:rPr>
        <w:t>Y enseguida refiere que</w:t>
      </w:r>
      <w:r w:rsidR="002D6B5B" w:rsidRPr="000D79CB">
        <w:rPr>
          <w:rFonts w:ascii="Georgia" w:hAnsi="Georgia" w:cs="Arial"/>
          <w:sz w:val="24"/>
          <w:szCs w:val="24"/>
        </w:rPr>
        <w:t>,</w:t>
      </w:r>
      <w:r w:rsidRPr="000D79CB">
        <w:rPr>
          <w:rFonts w:ascii="Georgia" w:hAnsi="Georgia" w:cs="Arial"/>
          <w:sz w:val="24"/>
          <w:szCs w:val="24"/>
        </w:rPr>
        <w:t xml:space="preserve"> ante la falta de esos reparos, el juez de primera instancia debe declarar desierto el recurso</w:t>
      </w:r>
      <w:r w:rsidR="00F16444" w:rsidRPr="000D79CB">
        <w:rPr>
          <w:rFonts w:ascii="Georgia" w:hAnsi="Georgia" w:cs="Arial"/>
          <w:sz w:val="24"/>
          <w:szCs w:val="24"/>
        </w:rPr>
        <w:t>,</w:t>
      </w:r>
      <w:r w:rsidRPr="000D79CB">
        <w:rPr>
          <w:rFonts w:ascii="Georgia" w:hAnsi="Georgia" w:cs="Arial"/>
          <w:sz w:val="24"/>
          <w:szCs w:val="24"/>
        </w:rPr>
        <w:t xml:space="preserve"> </w:t>
      </w:r>
      <w:r w:rsidR="00F16444" w:rsidRPr="000D79CB">
        <w:rPr>
          <w:rFonts w:ascii="Georgia" w:hAnsi="Georgia" w:cs="Arial"/>
          <w:sz w:val="24"/>
          <w:szCs w:val="24"/>
        </w:rPr>
        <w:t xml:space="preserve">así como cuando </w:t>
      </w:r>
      <w:r w:rsidRPr="000D79CB">
        <w:rPr>
          <w:rFonts w:ascii="Georgia" w:hAnsi="Georgia" w:cs="Arial"/>
          <w:sz w:val="24"/>
          <w:szCs w:val="24"/>
        </w:rPr>
        <w:t xml:space="preserve">no fuere sustentado ante el superior. </w:t>
      </w:r>
      <w:r w:rsidRPr="000D79CB">
        <w:rPr>
          <w:rFonts w:ascii="Georgia" w:hAnsi="Georgia" w:cs="Arial"/>
          <w:i/>
          <w:sz w:val="24"/>
          <w:szCs w:val="24"/>
        </w:rPr>
        <w:t xml:space="preserve"> </w:t>
      </w:r>
    </w:p>
    <w:p w14:paraId="2FCE011A" w14:textId="77777777" w:rsidR="00426B02" w:rsidRPr="000D79CB" w:rsidRDefault="00426B02" w:rsidP="004A0C80">
      <w:pPr>
        <w:spacing w:line="300" w:lineRule="auto"/>
        <w:jc w:val="both"/>
        <w:rPr>
          <w:rFonts w:ascii="Georgia" w:hAnsi="Georgia"/>
          <w:sz w:val="24"/>
          <w:szCs w:val="24"/>
        </w:rPr>
      </w:pPr>
    </w:p>
    <w:p w14:paraId="2FCE011B" w14:textId="68539D75" w:rsidR="00E31D06" w:rsidRPr="000D79CB" w:rsidRDefault="00F725BA" w:rsidP="004A0C80">
      <w:pPr>
        <w:spacing w:line="300" w:lineRule="auto"/>
        <w:jc w:val="both"/>
        <w:rPr>
          <w:rFonts w:ascii="Georgia" w:hAnsi="Georgia" w:cs="Arial"/>
          <w:sz w:val="24"/>
          <w:szCs w:val="24"/>
        </w:rPr>
      </w:pPr>
      <w:r w:rsidRPr="000D79CB">
        <w:rPr>
          <w:rFonts w:ascii="Georgia" w:hAnsi="Georgia" w:cs="Arial"/>
          <w:sz w:val="24"/>
          <w:szCs w:val="24"/>
        </w:rPr>
        <w:t xml:space="preserve">Acorde con lo anterior, fácil se </w:t>
      </w:r>
      <w:r w:rsidR="00426B02" w:rsidRPr="000D79CB">
        <w:rPr>
          <w:rFonts w:ascii="Georgia" w:hAnsi="Georgia" w:cs="Arial"/>
          <w:sz w:val="24"/>
          <w:szCs w:val="24"/>
        </w:rPr>
        <w:t xml:space="preserve">concluye que ese estatuto procesal consagró una </w:t>
      </w:r>
      <w:r w:rsidR="00477144" w:rsidRPr="000D79CB">
        <w:rPr>
          <w:rFonts w:ascii="Georgia" w:hAnsi="Georgia" w:cs="Arial"/>
          <w:sz w:val="24"/>
          <w:szCs w:val="24"/>
        </w:rPr>
        <w:t>nueva forma de</w:t>
      </w:r>
      <w:r w:rsidR="00426B02" w:rsidRPr="000D79CB">
        <w:rPr>
          <w:rFonts w:ascii="Georgia" w:hAnsi="Georgia" w:cs="Arial"/>
          <w:sz w:val="24"/>
          <w:szCs w:val="24"/>
        </w:rPr>
        <w:t xml:space="preserve"> sustentar el recurso porque hay </w:t>
      </w:r>
      <w:r w:rsidR="00477144" w:rsidRPr="000D79CB">
        <w:rPr>
          <w:rFonts w:ascii="Georgia" w:hAnsi="Georgia" w:cs="Arial"/>
          <w:sz w:val="24"/>
          <w:szCs w:val="24"/>
        </w:rPr>
        <w:t xml:space="preserve">dos estadios diferenciados para </w:t>
      </w:r>
      <w:r w:rsidR="00426B02" w:rsidRPr="000D79CB">
        <w:rPr>
          <w:rFonts w:ascii="Georgia" w:hAnsi="Georgia" w:cs="Arial"/>
          <w:sz w:val="24"/>
          <w:szCs w:val="24"/>
        </w:rPr>
        <w:t>ese efecto</w:t>
      </w:r>
      <w:r w:rsidR="008C0972" w:rsidRPr="000D79CB">
        <w:rPr>
          <w:rStyle w:val="Refdenotaalpie"/>
          <w:rFonts w:ascii="Georgia" w:hAnsi="Georgia"/>
          <w:sz w:val="24"/>
          <w:szCs w:val="24"/>
        </w:rPr>
        <w:footnoteReference w:id="16"/>
      </w:r>
      <w:r w:rsidR="00805077" w:rsidRPr="000D79CB">
        <w:rPr>
          <w:rFonts w:ascii="Georgia" w:hAnsi="Georgia" w:cs="Arial"/>
          <w:sz w:val="24"/>
          <w:szCs w:val="24"/>
          <w:vertAlign w:val="superscript"/>
        </w:rPr>
        <w:t>-</w:t>
      </w:r>
      <w:r w:rsidR="00805077" w:rsidRPr="000D79CB">
        <w:rPr>
          <w:rStyle w:val="Refdenotaalpie"/>
          <w:rFonts w:ascii="Georgia" w:hAnsi="Georgia"/>
          <w:sz w:val="24"/>
          <w:szCs w:val="24"/>
        </w:rPr>
        <w:footnoteReference w:id="17"/>
      </w:r>
      <w:r w:rsidR="00805077" w:rsidRPr="000D79CB">
        <w:rPr>
          <w:rFonts w:ascii="Georgia" w:hAnsi="Georgia" w:cs="Arial"/>
          <w:sz w:val="24"/>
          <w:szCs w:val="24"/>
          <w:vertAlign w:val="superscript"/>
        </w:rPr>
        <w:t>-</w:t>
      </w:r>
      <w:r w:rsidR="00805077" w:rsidRPr="000D79CB">
        <w:rPr>
          <w:rStyle w:val="Refdenotaalpie"/>
          <w:rFonts w:ascii="Georgia" w:hAnsi="Georgia"/>
          <w:sz w:val="24"/>
          <w:szCs w:val="24"/>
        </w:rPr>
        <w:footnoteReference w:id="18"/>
      </w:r>
      <w:r w:rsidR="00426B02" w:rsidRPr="000D79CB">
        <w:rPr>
          <w:rFonts w:ascii="Georgia" w:hAnsi="Georgia" w:cs="Arial"/>
          <w:sz w:val="24"/>
          <w:szCs w:val="24"/>
        </w:rPr>
        <w:t xml:space="preserve">, </w:t>
      </w:r>
      <w:r w:rsidR="008048F8" w:rsidRPr="000D79CB">
        <w:rPr>
          <w:rFonts w:ascii="Georgia" w:hAnsi="Georgia" w:cs="Arial"/>
          <w:b/>
          <w:sz w:val="24"/>
          <w:szCs w:val="24"/>
        </w:rPr>
        <w:t>(i)</w:t>
      </w:r>
      <w:r w:rsidR="008048F8" w:rsidRPr="000D79CB">
        <w:rPr>
          <w:rFonts w:ascii="Georgia" w:hAnsi="Georgia" w:cs="Arial"/>
          <w:sz w:val="24"/>
          <w:szCs w:val="24"/>
        </w:rPr>
        <w:t xml:space="preserve"> </w:t>
      </w:r>
      <w:r w:rsidR="00426B02" w:rsidRPr="000D79CB">
        <w:rPr>
          <w:rFonts w:ascii="Georgia" w:hAnsi="Georgia" w:cs="Arial"/>
          <w:sz w:val="24"/>
          <w:szCs w:val="24"/>
        </w:rPr>
        <w:t xml:space="preserve">el primero </w:t>
      </w:r>
      <w:r w:rsidR="00477144" w:rsidRPr="000D79CB">
        <w:rPr>
          <w:rFonts w:ascii="Georgia" w:hAnsi="Georgia" w:cs="Arial"/>
          <w:sz w:val="24"/>
          <w:szCs w:val="24"/>
        </w:rPr>
        <w:t>ante el juez de primer grado, pues allí comienza el ejercicio</w:t>
      </w:r>
      <w:r w:rsidR="008048F8" w:rsidRPr="000D79CB">
        <w:rPr>
          <w:rFonts w:ascii="Georgia" w:hAnsi="Georgia" w:cs="Arial"/>
          <w:sz w:val="24"/>
          <w:szCs w:val="24"/>
        </w:rPr>
        <w:t xml:space="preserve">, con señalamiento de </w:t>
      </w:r>
      <w:r w:rsidR="00477144" w:rsidRPr="000D79CB">
        <w:rPr>
          <w:rFonts w:ascii="Georgia" w:hAnsi="Georgia" w:cs="Arial"/>
          <w:sz w:val="24"/>
          <w:szCs w:val="24"/>
          <w:u w:val="single"/>
        </w:rPr>
        <w:t>los reparos concretos que la parte tiene contra lo resuelto</w:t>
      </w:r>
      <w:r w:rsidR="00477144" w:rsidRPr="000D79CB">
        <w:rPr>
          <w:rFonts w:ascii="Georgia" w:hAnsi="Georgia" w:cs="Arial"/>
          <w:sz w:val="24"/>
          <w:szCs w:val="24"/>
        </w:rPr>
        <w:t>; y</w:t>
      </w:r>
      <w:r w:rsidR="00426B02" w:rsidRPr="000D79CB">
        <w:rPr>
          <w:rFonts w:ascii="Georgia" w:hAnsi="Georgia" w:cs="Arial"/>
          <w:sz w:val="24"/>
          <w:szCs w:val="24"/>
        </w:rPr>
        <w:t>,</w:t>
      </w:r>
      <w:r w:rsidR="00477144" w:rsidRPr="000D79CB">
        <w:rPr>
          <w:rFonts w:ascii="Georgia" w:hAnsi="Georgia" w:cs="Arial"/>
          <w:sz w:val="24"/>
          <w:szCs w:val="24"/>
        </w:rPr>
        <w:t xml:space="preserve"> </w:t>
      </w:r>
      <w:r w:rsidR="008048F8" w:rsidRPr="000D79CB">
        <w:rPr>
          <w:rFonts w:ascii="Georgia" w:hAnsi="Georgia" w:cs="Arial"/>
          <w:b/>
          <w:sz w:val="24"/>
          <w:szCs w:val="24"/>
        </w:rPr>
        <w:t>(ii)</w:t>
      </w:r>
      <w:r w:rsidR="008048F8" w:rsidRPr="000D79CB">
        <w:rPr>
          <w:rFonts w:ascii="Georgia" w:hAnsi="Georgia" w:cs="Arial"/>
          <w:sz w:val="24"/>
          <w:szCs w:val="24"/>
        </w:rPr>
        <w:t xml:space="preserve"> </w:t>
      </w:r>
      <w:r w:rsidR="00477144" w:rsidRPr="000D79CB">
        <w:rPr>
          <w:rFonts w:ascii="Georgia" w:hAnsi="Georgia" w:cs="Arial"/>
          <w:sz w:val="24"/>
          <w:szCs w:val="24"/>
        </w:rPr>
        <w:t>el segundo ante el superior, dentro de la audiencia que se programe</w:t>
      </w:r>
      <w:r w:rsidR="00426B02" w:rsidRPr="000D79CB">
        <w:rPr>
          <w:rFonts w:ascii="Georgia" w:hAnsi="Georgia" w:cs="Arial"/>
          <w:sz w:val="24"/>
          <w:szCs w:val="24"/>
        </w:rPr>
        <w:t xml:space="preserve"> para sustentar</w:t>
      </w:r>
      <w:r w:rsidR="00477144" w:rsidRPr="000D79CB">
        <w:rPr>
          <w:rFonts w:ascii="Georgia" w:hAnsi="Georgia" w:cs="Arial"/>
          <w:sz w:val="24"/>
          <w:szCs w:val="24"/>
        </w:rPr>
        <w:t>, en la que no se podrá ir más allá de lo que fue propuesto ante el inferior</w:t>
      </w:r>
      <w:r w:rsidR="00805077" w:rsidRPr="000D79CB">
        <w:rPr>
          <w:rFonts w:ascii="Georgia" w:hAnsi="Georgia" w:cs="Arial"/>
          <w:sz w:val="24"/>
          <w:szCs w:val="24"/>
        </w:rPr>
        <w:t xml:space="preserve"> (Artículo 327, </w:t>
      </w:r>
      <w:r w:rsidR="00805077" w:rsidRPr="000D79CB">
        <w:rPr>
          <w:rFonts w:ascii="Georgia" w:hAnsi="Georgia" w:cs="Arial"/>
          <w:sz w:val="24"/>
          <w:szCs w:val="24"/>
        </w:rPr>
        <w:lastRenderedPageBreak/>
        <w:t>CGP)</w:t>
      </w:r>
      <w:r w:rsidR="00477144" w:rsidRPr="000D79CB">
        <w:rPr>
          <w:rFonts w:ascii="Georgia" w:hAnsi="Georgia" w:cs="Arial"/>
          <w:sz w:val="24"/>
          <w:szCs w:val="24"/>
        </w:rPr>
        <w:t xml:space="preserve">. </w:t>
      </w:r>
      <w:r w:rsidR="005240C5" w:rsidRPr="000D79CB">
        <w:rPr>
          <w:rFonts w:ascii="Georgia" w:hAnsi="Georgia" w:cs="Arial"/>
          <w:sz w:val="24"/>
          <w:szCs w:val="24"/>
        </w:rPr>
        <w:t>En este punto, r</w:t>
      </w:r>
      <w:r w:rsidR="00E31D06" w:rsidRPr="000D79CB">
        <w:rPr>
          <w:rFonts w:ascii="Georgia" w:hAnsi="Georgia" w:cs="Arial"/>
          <w:sz w:val="24"/>
          <w:szCs w:val="24"/>
        </w:rPr>
        <w:t>esulta útil recordar</w:t>
      </w:r>
      <w:r w:rsidR="005240C5" w:rsidRPr="000D79CB">
        <w:rPr>
          <w:rFonts w:ascii="Georgia" w:hAnsi="Georgia" w:cs="Arial"/>
          <w:sz w:val="24"/>
          <w:szCs w:val="24"/>
        </w:rPr>
        <w:t>,</w:t>
      </w:r>
      <w:r w:rsidR="00E31D06" w:rsidRPr="000D79CB">
        <w:rPr>
          <w:rFonts w:ascii="Georgia" w:hAnsi="Georgia" w:cs="Arial"/>
          <w:sz w:val="24"/>
          <w:szCs w:val="24"/>
        </w:rPr>
        <w:t xml:space="preserve"> lo dicho </w:t>
      </w:r>
      <w:r w:rsidR="005240C5" w:rsidRPr="000D79CB">
        <w:rPr>
          <w:rFonts w:ascii="Georgia" w:hAnsi="Georgia" w:cs="Arial"/>
          <w:sz w:val="24"/>
          <w:szCs w:val="24"/>
        </w:rPr>
        <w:t xml:space="preserve">frente al tema </w:t>
      </w:r>
      <w:r w:rsidR="00E31D06" w:rsidRPr="000D79CB">
        <w:rPr>
          <w:rFonts w:ascii="Georgia" w:hAnsi="Georgia" w:cs="Arial"/>
          <w:sz w:val="24"/>
          <w:szCs w:val="24"/>
        </w:rPr>
        <w:t>por el profesor Rojas Gómez</w:t>
      </w:r>
      <w:r w:rsidR="00E31D06" w:rsidRPr="000D79CB">
        <w:rPr>
          <w:rStyle w:val="Refdenotaalpie"/>
          <w:rFonts w:ascii="Georgia" w:hAnsi="Georgia" w:cs="Arial"/>
          <w:sz w:val="24"/>
          <w:szCs w:val="24"/>
        </w:rPr>
        <w:footnoteReference w:id="19"/>
      </w:r>
      <w:r w:rsidR="008048F8" w:rsidRPr="000D79CB">
        <w:rPr>
          <w:rFonts w:ascii="Georgia" w:hAnsi="Georgia" w:cs="Arial"/>
          <w:sz w:val="24"/>
          <w:szCs w:val="24"/>
        </w:rPr>
        <w:t>:</w:t>
      </w:r>
    </w:p>
    <w:p w14:paraId="2FCE011C" w14:textId="77777777" w:rsidR="00BC50F4" w:rsidRPr="000D79CB" w:rsidRDefault="00BC50F4" w:rsidP="004A0C80">
      <w:pPr>
        <w:pStyle w:val="Sinespaciado"/>
        <w:spacing w:line="300" w:lineRule="auto"/>
        <w:jc w:val="both"/>
        <w:rPr>
          <w:rFonts w:ascii="Georgia" w:hAnsi="Georgia" w:cs="Arial"/>
        </w:rPr>
      </w:pPr>
    </w:p>
    <w:p w14:paraId="2FCE011D" w14:textId="77777777" w:rsidR="00BC50F4" w:rsidRPr="000D79CB" w:rsidRDefault="00BC50F4" w:rsidP="000D79CB">
      <w:pPr>
        <w:pStyle w:val="Sinespaciado"/>
        <w:ind w:left="567" w:right="418"/>
        <w:jc w:val="both"/>
        <w:rPr>
          <w:rFonts w:ascii="Georgia" w:hAnsi="Georgia" w:cs="Arial"/>
          <w:sz w:val="22"/>
        </w:rPr>
      </w:pPr>
      <w:r w:rsidRPr="000D79CB">
        <w:rPr>
          <w:rFonts w:ascii="Georgia" w:hAnsi="Georgia" w:cs="Arial"/>
          <w:sz w:val="22"/>
        </w:rPr>
        <w:t xml:space="preserve">Cuando se trate de </w:t>
      </w:r>
      <w:r w:rsidRPr="000D79CB">
        <w:rPr>
          <w:rFonts w:ascii="Georgia" w:hAnsi="Georgia" w:cs="Arial"/>
          <w:sz w:val="22"/>
          <w:u w:val="single"/>
        </w:rPr>
        <w:t>apelación de la sentencia la sustentación</w:t>
      </w:r>
      <w:r w:rsidRPr="000D79CB">
        <w:rPr>
          <w:rFonts w:ascii="Georgia" w:hAnsi="Georgia" w:cs="Arial"/>
          <w:sz w:val="22"/>
        </w:rPr>
        <w:t xml:space="preserve"> se debe realizar mediante </w:t>
      </w:r>
      <w:r w:rsidRPr="000D79CB">
        <w:rPr>
          <w:rFonts w:ascii="Georgia" w:hAnsi="Georgia" w:cs="Arial"/>
          <w:sz w:val="22"/>
          <w:u w:val="single"/>
        </w:rPr>
        <w:t>dos actos en momentos distintos</w:t>
      </w:r>
      <w:r w:rsidRPr="000D79CB">
        <w:rPr>
          <w:rFonts w:ascii="Georgia" w:hAnsi="Georgia" w:cs="Arial"/>
          <w:sz w:val="22"/>
        </w:rPr>
        <w:t>, así:</w:t>
      </w:r>
    </w:p>
    <w:p w14:paraId="2FCE011E" w14:textId="77777777" w:rsidR="008C0972" w:rsidRPr="000D79CB" w:rsidRDefault="008C0972" w:rsidP="000D79CB">
      <w:pPr>
        <w:pStyle w:val="Sinespaciado"/>
        <w:ind w:left="567" w:right="418"/>
        <w:jc w:val="both"/>
        <w:rPr>
          <w:rFonts w:ascii="Georgia" w:hAnsi="Georgia" w:cs="Arial"/>
          <w:sz w:val="22"/>
        </w:rPr>
      </w:pPr>
    </w:p>
    <w:p w14:paraId="2FCE011F" w14:textId="77777777" w:rsidR="00BC50F4" w:rsidRPr="000D79CB" w:rsidRDefault="00373580" w:rsidP="000D79CB">
      <w:pPr>
        <w:pStyle w:val="Sinespaciado"/>
        <w:numPr>
          <w:ilvl w:val="0"/>
          <w:numId w:val="10"/>
        </w:numPr>
        <w:ind w:right="418"/>
        <w:jc w:val="both"/>
        <w:rPr>
          <w:rFonts w:ascii="Georgia" w:hAnsi="Georgia" w:cs="Arial"/>
          <w:sz w:val="22"/>
        </w:rPr>
      </w:pPr>
      <w:r w:rsidRPr="000D79CB">
        <w:rPr>
          <w:rFonts w:ascii="Georgia" w:hAnsi="Georgia" w:cs="Arial"/>
          <w:sz w:val="22"/>
        </w:rPr>
        <w:t xml:space="preserve"> </w:t>
      </w:r>
      <w:r w:rsidR="00BC50F4" w:rsidRPr="000D79CB">
        <w:rPr>
          <w:rFonts w:ascii="Georgia" w:hAnsi="Georgia" w:cs="Arial"/>
          <w:sz w:val="22"/>
        </w:rPr>
        <w:t xml:space="preserve">La precisión breve de </w:t>
      </w:r>
      <w:r w:rsidR="00BC50F4" w:rsidRPr="000D79CB">
        <w:rPr>
          <w:rFonts w:ascii="Georgia" w:hAnsi="Georgia" w:cs="Arial"/>
          <w:sz w:val="22"/>
          <w:u w:val="single"/>
        </w:rPr>
        <w:t>los reparos</w:t>
      </w:r>
      <w:r w:rsidR="00BC50F4" w:rsidRPr="000D79CB">
        <w:rPr>
          <w:rFonts w:ascii="Georgia" w:hAnsi="Georgia" w:cs="Arial"/>
          <w:sz w:val="22"/>
        </w:rPr>
        <w:t xml:space="preserve"> contra el fallo. Se trata de enunciar ante el juez de primera instancia las razones por las que se cuestiona la providencia. De ser pronunciada en audiencia, los reparos pueden hacerse allí mismo en el momento de interponer el recurso, o por escrito presentado dentro de los tres día (Sic) siguientes. Pero s</w:t>
      </w:r>
      <w:r w:rsidR="00D51ACF" w:rsidRPr="000D79CB">
        <w:rPr>
          <w:rFonts w:ascii="Georgia" w:hAnsi="Georgia" w:cs="Arial"/>
          <w:sz w:val="22"/>
        </w:rPr>
        <w:t>i</w:t>
      </w:r>
      <w:r w:rsidR="00BC50F4" w:rsidRPr="000D79CB">
        <w:rPr>
          <w:rFonts w:ascii="Georgia" w:hAnsi="Georgia" w:cs="Arial"/>
          <w:sz w:val="22"/>
        </w:rPr>
        <w:t xml:space="preserve"> la sentencia se profiere fuera de audiencia, aquellos tienen que formularse por escrito dentro del mismo plazo (CGP, art. 321-2).</w:t>
      </w:r>
    </w:p>
    <w:p w14:paraId="2FCE0120" w14:textId="77777777" w:rsidR="00373580" w:rsidRPr="000D79CB" w:rsidRDefault="00373580" w:rsidP="000D79CB">
      <w:pPr>
        <w:pStyle w:val="Sinespaciado"/>
        <w:ind w:left="567" w:right="418"/>
        <w:jc w:val="both"/>
        <w:rPr>
          <w:rFonts w:ascii="Georgia" w:hAnsi="Georgia" w:cs="Arial"/>
          <w:sz w:val="22"/>
        </w:rPr>
      </w:pPr>
    </w:p>
    <w:p w14:paraId="2FCE0121" w14:textId="77777777" w:rsidR="00BC50F4" w:rsidRPr="000D79CB" w:rsidRDefault="00BC50F4" w:rsidP="000D79CB">
      <w:pPr>
        <w:pStyle w:val="Sinespaciado"/>
        <w:ind w:left="567" w:right="418"/>
        <w:jc w:val="both"/>
        <w:rPr>
          <w:rFonts w:ascii="Georgia" w:hAnsi="Georgia" w:cs="Arial"/>
          <w:sz w:val="22"/>
        </w:rPr>
      </w:pPr>
      <w:r w:rsidRPr="000D79CB">
        <w:rPr>
          <w:rFonts w:ascii="Georgia" w:hAnsi="Georgia" w:cs="Arial"/>
          <w:sz w:val="22"/>
        </w:rPr>
        <w:t xml:space="preserve">2. </w:t>
      </w:r>
      <w:r w:rsidRPr="000D79CB">
        <w:rPr>
          <w:rFonts w:ascii="Georgia" w:hAnsi="Georgia" w:cs="Arial"/>
          <w:sz w:val="22"/>
          <w:u w:val="single"/>
        </w:rPr>
        <w:t>La sustentación propiamente dicha</w:t>
      </w:r>
      <w:r w:rsidRPr="000D79CB">
        <w:rPr>
          <w:rFonts w:ascii="Georgia" w:hAnsi="Georgia" w:cs="Arial"/>
          <w:sz w:val="22"/>
        </w:rPr>
        <w:t>. Consiste en el alegato que debe hacer el apelante ante el juez de segunda instancia (</w:t>
      </w:r>
      <w:proofErr w:type="spellStart"/>
      <w:r w:rsidRPr="000D79CB">
        <w:rPr>
          <w:rFonts w:ascii="Georgia" w:hAnsi="Georgia" w:cs="Arial"/>
          <w:sz w:val="22"/>
        </w:rPr>
        <w:t>CGP</w:t>
      </w:r>
      <w:proofErr w:type="spellEnd"/>
      <w:r w:rsidRPr="000D79CB">
        <w:rPr>
          <w:rFonts w:ascii="Georgia" w:hAnsi="Georgia" w:cs="Arial"/>
          <w:sz w:val="22"/>
        </w:rPr>
        <w:t xml:space="preserve">, </w:t>
      </w:r>
      <w:proofErr w:type="spellStart"/>
      <w:r w:rsidRPr="000D79CB">
        <w:rPr>
          <w:rFonts w:ascii="Georgia" w:hAnsi="Georgia" w:cs="Arial"/>
          <w:sz w:val="22"/>
        </w:rPr>
        <w:t>art.327</w:t>
      </w:r>
      <w:proofErr w:type="spellEnd"/>
      <w:r w:rsidRPr="000D79CB">
        <w:rPr>
          <w:rFonts w:ascii="Georgia" w:hAnsi="Georgia" w:cs="Arial"/>
          <w:sz w:val="22"/>
        </w:rPr>
        <w:t>-2), con exposición detallada y concreta de los reparos expresados ante el juez de primera, y sin la posibilidad de formular nuevos cue</w:t>
      </w:r>
      <w:r w:rsidR="00373580" w:rsidRPr="000D79CB">
        <w:rPr>
          <w:rFonts w:ascii="Georgia" w:hAnsi="Georgia" w:cs="Arial"/>
          <w:sz w:val="22"/>
        </w:rPr>
        <w:t>stionamientos (</w:t>
      </w:r>
      <w:proofErr w:type="spellStart"/>
      <w:r w:rsidR="00373580" w:rsidRPr="000D79CB">
        <w:rPr>
          <w:rFonts w:ascii="Georgia" w:hAnsi="Georgia" w:cs="Arial"/>
          <w:sz w:val="22"/>
        </w:rPr>
        <w:t>CGP</w:t>
      </w:r>
      <w:proofErr w:type="spellEnd"/>
      <w:r w:rsidR="00373580" w:rsidRPr="000D79CB">
        <w:rPr>
          <w:rFonts w:ascii="Georgia" w:hAnsi="Georgia" w:cs="Arial"/>
          <w:sz w:val="22"/>
        </w:rPr>
        <w:t xml:space="preserve">, </w:t>
      </w:r>
      <w:proofErr w:type="spellStart"/>
      <w:r w:rsidR="00373580" w:rsidRPr="000D79CB">
        <w:rPr>
          <w:rFonts w:ascii="Georgia" w:hAnsi="Georgia" w:cs="Arial"/>
          <w:sz w:val="22"/>
        </w:rPr>
        <w:t>art.327</w:t>
      </w:r>
      <w:proofErr w:type="spellEnd"/>
      <w:r w:rsidR="00373580" w:rsidRPr="000D79CB">
        <w:rPr>
          <w:rFonts w:ascii="Georgia" w:hAnsi="Georgia" w:cs="Arial"/>
          <w:sz w:val="22"/>
        </w:rPr>
        <w:t>-3).</w:t>
      </w:r>
    </w:p>
    <w:p w14:paraId="2FCE0122" w14:textId="77777777" w:rsidR="00373580" w:rsidRPr="000D79CB" w:rsidRDefault="00373580" w:rsidP="000D79CB">
      <w:pPr>
        <w:pStyle w:val="Sinespaciado"/>
        <w:ind w:left="567" w:right="418"/>
        <w:jc w:val="both"/>
        <w:rPr>
          <w:rFonts w:ascii="Georgia" w:hAnsi="Georgia" w:cs="Arial"/>
          <w:sz w:val="22"/>
        </w:rPr>
      </w:pPr>
    </w:p>
    <w:p w14:paraId="2FCE0123" w14:textId="77777777" w:rsidR="00BC50F4" w:rsidRPr="000D79CB" w:rsidRDefault="00BC50F4" w:rsidP="000D79CB">
      <w:pPr>
        <w:pStyle w:val="Sinespaciado"/>
        <w:ind w:left="567" w:right="418"/>
        <w:jc w:val="both"/>
        <w:rPr>
          <w:rFonts w:ascii="Georgia" w:hAnsi="Georgia" w:cs="Arial"/>
          <w:sz w:val="22"/>
        </w:rPr>
      </w:pPr>
      <w:r w:rsidRPr="000D79CB">
        <w:rPr>
          <w:rFonts w:ascii="Georgia" w:hAnsi="Georgia" w:cs="Arial"/>
          <w:sz w:val="22"/>
        </w:rPr>
        <w:t>Omitir cualquiera de los dos actos que integran la sustentación de la apelación interpuesta contra la sentencia obliga al juez a declarar desierto el recurso. Si lo que se omite es el primer acto</w:t>
      </w:r>
      <w:r w:rsidR="00115557" w:rsidRPr="000D79CB">
        <w:rPr>
          <w:rFonts w:ascii="Georgia" w:hAnsi="Georgia" w:cs="Arial"/>
          <w:sz w:val="22"/>
        </w:rPr>
        <w:t xml:space="preserve">, la </w:t>
      </w:r>
      <w:r w:rsidR="00115557" w:rsidRPr="000D79CB">
        <w:rPr>
          <w:rFonts w:ascii="Georgia" w:hAnsi="Georgia" w:cs="Arial"/>
          <w:sz w:val="22"/>
          <w:u w:val="single"/>
        </w:rPr>
        <w:t>deserción</w:t>
      </w:r>
      <w:r w:rsidR="00115557" w:rsidRPr="000D79CB">
        <w:rPr>
          <w:rFonts w:ascii="Georgia" w:hAnsi="Georgia" w:cs="Arial"/>
          <w:sz w:val="22"/>
        </w:rPr>
        <w:t xml:space="preserve"> debe ser declarada por el juez de primera instancia; de omitirse el segundo, corresponde al superior declararla (</w:t>
      </w:r>
      <w:proofErr w:type="spellStart"/>
      <w:r w:rsidR="00115557" w:rsidRPr="000D79CB">
        <w:rPr>
          <w:rFonts w:ascii="Georgia" w:hAnsi="Georgia" w:cs="Arial"/>
          <w:sz w:val="22"/>
        </w:rPr>
        <w:t>CGP</w:t>
      </w:r>
      <w:proofErr w:type="spellEnd"/>
      <w:r w:rsidR="00115557" w:rsidRPr="000D79CB">
        <w:rPr>
          <w:rFonts w:ascii="Georgia" w:hAnsi="Georgia" w:cs="Arial"/>
          <w:sz w:val="22"/>
        </w:rPr>
        <w:t xml:space="preserve">, </w:t>
      </w:r>
      <w:proofErr w:type="spellStart"/>
      <w:r w:rsidR="00115557" w:rsidRPr="000D79CB">
        <w:rPr>
          <w:rFonts w:ascii="Georgia" w:hAnsi="Georgia" w:cs="Arial"/>
          <w:sz w:val="22"/>
        </w:rPr>
        <w:t>art.322</w:t>
      </w:r>
      <w:proofErr w:type="spellEnd"/>
      <w:r w:rsidR="00115557" w:rsidRPr="000D79CB">
        <w:rPr>
          <w:rFonts w:ascii="Georgia" w:hAnsi="Georgia" w:cs="Arial"/>
          <w:sz w:val="22"/>
        </w:rPr>
        <w:t xml:space="preserve">-4). </w:t>
      </w:r>
      <w:r w:rsidR="00683BF7" w:rsidRPr="000D79CB">
        <w:rPr>
          <w:rFonts w:ascii="Georgia" w:hAnsi="Georgia" w:cs="Arial"/>
          <w:sz w:val="22"/>
        </w:rPr>
        <w:t>(</w:t>
      </w:r>
      <w:proofErr w:type="spellStart"/>
      <w:r w:rsidR="00683BF7" w:rsidRPr="000D79CB">
        <w:rPr>
          <w:rFonts w:ascii="Georgia" w:hAnsi="Georgia" w:cs="Arial"/>
          <w:sz w:val="22"/>
        </w:rPr>
        <w:t>Sublínea</w:t>
      </w:r>
      <w:proofErr w:type="spellEnd"/>
      <w:r w:rsidR="00683BF7" w:rsidRPr="000D79CB">
        <w:rPr>
          <w:rFonts w:ascii="Georgia" w:hAnsi="Georgia" w:cs="Arial"/>
          <w:sz w:val="22"/>
        </w:rPr>
        <w:t xml:space="preserve"> fuera de texto).</w:t>
      </w:r>
    </w:p>
    <w:p w14:paraId="2FCE0124" w14:textId="77777777" w:rsidR="00672364" w:rsidRPr="000D79CB" w:rsidRDefault="00672364" w:rsidP="004A0C80">
      <w:pPr>
        <w:pStyle w:val="Sinespaciado"/>
        <w:spacing w:line="300" w:lineRule="auto"/>
        <w:ind w:right="567"/>
        <w:jc w:val="both"/>
        <w:rPr>
          <w:rFonts w:ascii="Georgia" w:hAnsi="Georgia" w:cs="Arial"/>
        </w:rPr>
      </w:pPr>
    </w:p>
    <w:p w14:paraId="2FCE0125" w14:textId="223B584A" w:rsidR="00C11794" w:rsidRPr="000D79CB" w:rsidRDefault="00C11794" w:rsidP="004A0C80">
      <w:pPr>
        <w:pStyle w:val="Sinespaciado"/>
        <w:spacing w:line="300" w:lineRule="auto"/>
        <w:jc w:val="both"/>
        <w:rPr>
          <w:rFonts w:ascii="Georgia" w:hAnsi="Georgia" w:cs="Arial"/>
        </w:rPr>
      </w:pPr>
      <w:r w:rsidRPr="000D79CB">
        <w:rPr>
          <w:rFonts w:ascii="Georgia" w:hAnsi="Georgia" w:cs="Arial"/>
        </w:rPr>
        <w:t>La posición de declarar desierto el recurso ante la falta de reparos concretos</w:t>
      </w:r>
      <w:r w:rsidR="008048F8" w:rsidRPr="000D79CB">
        <w:rPr>
          <w:rFonts w:ascii="Georgia" w:hAnsi="Georgia" w:cs="Arial"/>
        </w:rPr>
        <w:t xml:space="preserve"> es tesis plausible en la doctrina procesalista</w:t>
      </w:r>
      <w:r w:rsidRPr="000D79CB">
        <w:rPr>
          <w:rStyle w:val="Refdenotaalpie"/>
          <w:rFonts w:ascii="Georgia" w:hAnsi="Georgia"/>
        </w:rPr>
        <w:footnoteReference w:id="20"/>
      </w:r>
      <w:r w:rsidR="008048F8" w:rsidRPr="000D79CB">
        <w:rPr>
          <w:rFonts w:ascii="Georgia" w:hAnsi="Georgia" w:cs="Arial"/>
        </w:rPr>
        <w:t>,</w:t>
      </w:r>
      <w:r w:rsidR="00FF3669">
        <w:rPr>
          <w:rFonts w:ascii="Georgia" w:hAnsi="Georgia" w:cs="Arial"/>
        </w:rPr>
        <w:t xml:space="preserve"> </w:t>
      </w:r>
      <w:r w:rsidRPr="000D79CB">
        <w:rPr>
          <w:rFonts w:ascii="Georgia" w:hAnsi="Georgia" w:cs="Arial"/>
        </w:rPr>
        <w:t>y adoptada por una de las Salas de la especialidad</w:t>
      </w:r>
      <w:r w:rsidRPr="000D79CB">
        <w:rPr>
          <w:rStyle w:val="Refdenotaalpie"/>
          <w:rFonts w:ascii="Georgia" w:hAnsi="Georgia" w:cs="Arial"/>
        </w:rPr>
        <w:footnoteReference w:id="21"/>
      </w:r>
      <w:r w:rsidR="008048F8" w:rsidRPr="000D79CB">
        <w:rPr>
          <w:rFonts w:ascii="Georgia" w:hAnsi="Georgia" w:cs="Arial"/>
        </w:rPr>
        <w:t xml:space="preserve">, rectificando su postura anterior, donde </w:t>
      </w:r>
      <w:r w:rsidRPr="000D79CB">
        <w:rPr>
          <w:rFonts w:ascii="Georgia" w:hAnsi="Georgia" w:cs="Arial"/>
        </w:rPr>
        <w:t xml:space="preserve">había </w:t>
      </w:r>
      <w:r w:rsidR="008048F8" w:rsidRPr="000D79CB">
        <w:rPr>
          <w:rFonts w:ascii="Georgia" w:hAnsi="Georgia" w:cs="Arial"/>
        </w:rPr>
        <w:t xml:space="preserve">declarado </w:t>
      </w:r>
      <w:r w:rsidRPr="000D79CB">
        <w:rPr>
          <w:rFonts w:ascii="Georgia" w:hAnsi="Georgia" w:cs="Arial"/>
        </w:rPr>
        <w:t>la inadmisibilidad</w:t>
      </w:r>
      <w:r w:rsidRPr="000D79CB">
        <w:rPr>
          <w:rStyle w:val="Refdenotaalpie"/>
          <w:rFonts w:ascii="Georgia" w:hAnsi="Georgia"/>
        </w:rPr>
        <w:footnoteReference w:id="22"/>
      </w:r>
      <w:r w:rsidRPr="000D79CB">
        <w:rPr>
          <w:rFonts w:ascii="Georgia" w:hAnsi="Georgia" w:cs="Arial"/>
        </w:rPr>
        <w:t>.</w:t>
      </w:r>
    </w:p>
    <w:p w14:paraId="2FCE0127" w14:textId="77777777" w:rsidR="00A115B4" w:rsidRPr="000D79CB" w:rsidRDefault="00A115B4" w:rsidP="004A0C80">
      <w:pPr>
        <w:pStyle w:val="Sinespaciado"/>
        <w:spacing w:line="300" w:lineRule="auto"/>
        <w:jc w:val="both"/>
        <w:rPr>
          <w:rFonts w:ascii="Georgia" w:hAnsi="Georgia" w:cs="Arial"/>
        </w:rPr>
      </w:pPr>
    </w:p>
    <w:p w14:paraId="2FCE0128" w14:textId="7C89CAB5" w:rsidR="007F0E1D" w:rsidRPr="000D79CB" w:rsidRDefault="00E877FC" w:rsidP="004A0C80">
      <w:pPr>
        <w:pStyle w:val="Sinespaciado"/>
        <w:numPr>
          <w:ilvl w:val="0"/>
          <w:numId w:val="8"/>
        </w:numPr>
        <w:spacing w:line="300" w:lineRule="auto"/>
        <w:jc w:val="both"/>
        <w:rPr>
          <w:rFonts w:ascii="Georgia" w:hAnsi="Georgia" w:cs="Arial"/>
          <w:b/>
          <w:bCs/>
          <w:smallCaps/>
          <w:sz w:val="28"/>
        </w:rPr>
      </w:pPr>
      <w:r w:rsidRPr="000D79CB">
        <w:rPr>
          <w:rFonts w:ascii="Georgia" w:hAnsi="Georgia" w:cs="Arial"/>
          <w:b/>
          <w:bCs/>
          <w:smallCaps/>
          <w:sz w:val="28"/>
        </w:rPr>
        <w:t>el caso concreto que se analiza</w:t>
      </w:r>
    </w:p>
    <w:p w14:paraId="2FCE0129" w14:textId="77777777" w:rsidR="007F0E1D" w:rsidRPr="000D79CB" w:rsidRDefault="007F0E1D" w:rsidP="004A0C80">
      <w:pPr>
        <w:pStyle w:val="Sinespaciado"/>
        <w:spacing w:line="300" w:lineRule="auto"/>
        <w:jc w:val="both"/>
        <w:rPr>
          <w:rFonts w:ascii="Georgia" w:hAnsi="Georgia" w:cs="Arial"/>
        </w:rPr>
      </w:pPr>
    </w:p>
    <w:p w14:paraId="2FCE012A" w14:textId="79A69262" w:rsidR="0066530A" w:rsidRPr="000D79CB" w:rsidRDefault="007F0E1D" w:rsidP="004A0C80">
      <w:pPr>
        <w:pStyle w:val="Sinespaciado"/>
        <w:spacing w:line="300" w:lineRule="auto"/>
        <w:jc w:val="both"/>
        <w:rPr>
          <w:rFonts w:ascii="Georgia" w:hAnsi="Georgia" w:cs="Arial"/>
        </w:rPr>
      </w:pPr>
      <w:r w:rsidRPr="000D79CB">
        <w:rPr>
          <w:rFonts w:ascii="Georgia" w:hAnsi="Georgia" w:cs="Arial"/>
        </w:rPr>
        <w:t>La parte actora en prime</w:t>
      </w:r>
      <w:r w:rsidR="00920096" w:rsidRPr="000D79CB">
        <w:rPr>
          <w:rFonts w:ascii="Georgia" w:hAnsi="Georgia" w:cs="Arial"/>
        </w:rPr>
        <w:t>r</w:t>
      </w:r>
      <w:r w:rsidRPr="000D79CB">
        <w:rPr>
          <w:rFonts w:ascii="Georgia" w:hAnsi="Georgia" w:cs="Arial"/>
        </w:rPr>
        <w:t>a instancia expresó</w:t>
      </w:r>
      <w:r w:rsidR="0006282A" w:rsidRPr="000D79CB">
        <w:rPr>
          <w:rFonts w:ascii="Georgia" w:hAnsi="Georgia" w:cs="Arial"/>
        </w:rPr>
        <w:t>:</w:t>
      </w:r>
      <w:r w:rsidRPr="000D79CB">
        <w:rPr>
          <w:rFonts w:ascii="Georgia" w:hAnsi="Georgia" w:cs="Arial"/>
        </w:rPr>
        <w:t xml:space="preserve"> </w:t>
      </w:r>
      <w:r w:rsidRPr="000D79CB">
        <w:rPr>
          <w:rFonts w:ascii="Georgia" w:hAnsi="Georgia" w:cs="Arial"/>
          <w:i/>
        </w:rPr>
        <w:t>“</w:t>
      </w:r>
      <w:r w:rsidRPr="000D79CB">
        <w:rPr>
          <w:rFonts w:ascii="Georgia" w:hAnsi="Georgia" w:cs="Arial"/>
          <w:i/>
          <w:sz w:val="22"/>
        </w:rPr>
        <w:t xml:space="preserve">(…) </w:t>
      </w:r>
      <w:r w:rsidR="00D00582" w:rsidRPr="000D79CB">
        <w:rPr>
          <w:rFonts w:ascii="Georgia" w:hAnsi="Georgia" w:cs="Arial"/>
          <w:i/>
          <w:sz w:val="22"/>
        </w:rPr>
        <w:t>interpongo ante</w:t>
      </w:r>
      <w:r w:rsidR="0016461C" w:rsidRPr="000D79CB">
        <w:rPr>
          <w:rFonts w:ascii="Georgia" w:hAnsi="Georgia" w:cs="Arial"/>
          <w:i/>
          <w:sz w:val="22"/>
        </w:rPr>
        <w:t xml:space="preserve"> la decisión que ha tomado el despacho, recurso de apelación, el cual sustentaré en su debido momento</w:t>
      </w:r>
      <w:r w:rsidR="00457EBA" w:rsidRPr="000D79CB">
        <w:rPr>
          <w:rFonts w:ascii="Georgia" w:hAnsi="Georgia" w:cs="Arial"/>
          <w:i/>
          <w:sz w:val="22"/>
        </w:rPr>
        <w:t xml:space="preserve"> </w:t>
      </w:r>
      <w:r w:rsidR="0066530A" w:rsidRPr="000D79CB">
        <w:rPr>
          <w:rFonts w:ascii="Georgia" w:hAnsi="Georgia" w:cs="Arial"/>
          <w:i/>
          <w:sz w:val="22"/>
        </w:rPr>
        <w:t>(…)</w:t>
      </w:r>
      <w:r w:rsidRPr="000D79CB">
        <w:rPr>
          <w:rFonts w:ascii="Georgia" w:hAnsi="Georgia" w:cs="Arial"/>
          <w:i/>
        </w:rPr>
        <w:t>”</w:t>
      </w:r>
      <w:r w:rsidR="0068721F" w:rsidRPr="000D79CB">
        <w:rPr>
          <w:rFonts w:ascii="Georgia" w:hAnsi="Georgia" w:cs="Arial"/>
        </w:rPr>
        <w:t xml:space="preserve"> (</w:t>
      </w:r>
      <w:r w:rsidR="0066530A" w:rsidRPr="000D79CB">
        <w:rPr>
          <w:rFonts w:ascii="Georgia" w:hAnsi="Georgia" w:cs="Arial"/>
        </w:rPr>
        <w:t>Tiempo 00:</w:t>
      </w:r>
      <w:r w:rsidR="00457EBA" w:rsidRPr="000D79CB">
        <w:rPr>
          <w:rFonts w:ascii="Georgia" w:hAnsi="Georgia" w:cs="Arial"/>
        </w:rPr>
        <w:t>34</w:t>
      </w:r>
      <w:r w:rsidR="0066530A" w:rsidRPr="000D79CB">
        <w:rPr>
          <w:rFonts w:ascii="Georgia" w:hAnsi="Georgia" w:cs="Arial"/>
        </w:rPr>
        <w:t>:</w:t>
      </w:r>
      <w:r w:rsidR="00457EBA" w:rsidRPr="000D79CB">
        <w:rPr>
          <w:rFonts w:ascii="Georgia" w:hAnsi="Georgia" w:cs="Arial"/>
        </w:rPr>
        <w:t>5</w:t>
      </w:r>
      <w:r w:rsidR="00F17870" w:rsidRPr="000D79CB">
        <w:rPr>
          <w:rFonts w:ascii="Georgia" w:hAnsi="Georgia" w:cs="Arial"/>
        </w:rPr>
        <w:t>5</w:t>
      </w:r>
      <w:r w:rsidR="0066530A" w:rsidRPr="000D79CB">
        <w:rPr>
          <w:rFonts w:ascii="Georgia" w:hAnsi="Georgia" w:cs="Arial"/>
        </w:rPr>
        <w:t xml:space="preserve"> y 00:</w:t>
      </w:r>
      <w:r w:rsidR="00F17870" w:rsidRPr="000D79CB">
        <w:rPr>
          <w:rFonts w:ascii="Georgia" w:hAnsi="Georgia" w:cs="Arial"/>
        </w:rPr>
        <w:t>35</w:t>
      </w:r>
      <w:r w:rsidR="0066530A" w:rsidRPr="000D79CB">
        <w:rPr>
          <w:rFonts w:ascii="Georgia" w:hAnsi="Georgia" w:cs="Arial"/>
        </w:rPr>
        <w:t>:</w:t>
      </w:r>
      <w:r w:rsidR="00F17870" w:rsidRPr="000D79CB">
        <w:rPr>
          <w:rFonts w:ascii="Georgia" w:hAnsi="Georgia" w:cs="Arial"/>
        </w:rPr>
        <w:t>03</w:t>
      </w:r>
      <w:r w:rsidR="0066530A" w:rsidRPr="000D79CB">
        <w:rPr>
          <w:rFonts w:ascii="Georgia" w:hAnsi="Georgia" w:cs="Arial"/>
        </w:rPr>
        <w:t>, registro de audio de la audiencia</w:t>
      </w:r>
      <w:r w:rsidR="00F17870" w:rsidRPr="000D79CB">
        <w:rPr>
          <w:rFonts w:ascii="Georgia" w:hAnsi="Georgia" w:cs="Arial"/>
        </w:rPr>
        <w:t xml:space="preserve"> de 05-03-2020</w:t>
      </w:r>
      <w:r w:rsidR="0066530A" w:rsidRPr="000D79CB">
        <w:rPr>
          <w:rFonts w:ascii="Georgia" w:hAnsi="Georgia" w:cs="Arial"/>
        </w:rPr>
        <w:t>)</w:t>
      </w:r>
      <w:r w:rsidRPr="000D79CB">
        <w:rPr>
          <w:rFonts w:ascii="Georgia" w:hAnsi="Georgia" w:cs="Arial"/>
        </w:rPr>
        <w:t xml:space="preserve">. </w:t>
      </w:r>
      <w:r w:rsidR="00D84F1D" w:rsidRPr="000D79CB">
        <w:rPr>
          <w:rFonts w:ascii="Georgia" w:hAnsi="Georgia" w:cs="Arial"/>
        </w:rPr>
        <w:t xml:space="preserve">Enseguida, el juez concedió el recurso </w:t>
      </w:r>
      <w:r w:rsidR="00974512" w:rsidRPr="000D79CB">
        <w:rPr>
          <w:rFonts w:ascii="Georgia" w:hAnsi="Georgia" w:cs="Arial"/>
        </w:rPr>
        <w:t>y añadió que la</w:t>
      </w:r>
      <w:r w:rsidR="00911D5B" w:rsidRPr="000D79CB">
        <w:rPr>
          <w:rFonts w:ascii="Georgia" w:hAnsi="Georgia" w:cs="Arial"/>
        </w:rPr>
        <w:t xml:space="preserve"> actuación se</w:t>
      </w:r>
      <w:r w:rsidR="008D0CA3" w:rsidRPr="000D79CB">
        <w:rPr>
          <w:rFonts w:ascii="Georgia" w:hAnsi="Georgia" w:cs="Arial"/>
        </w:rPr>
        <w:t xml:space="preserve"> remitiría </w:t>
      </w:r>
      <w:r w:rsidR="008D0CA3" w:rsidRPr="000D79CB">
        <w:rPr>
          <w:rFonts w:ascii="Georgia" w:hAnsi="Georgia" w:cs="Arial"/>
          <w:u w:val="single"/>
        </w:rPr>
        <w:t>oportunamente</w:t>
      </w:r>
      <w:r w:rsidR="00974512" w:rsidRPr="000D79CB">
        <w:rPr>
          <w:rFonts w:ascii="Georgia" w:hAnsi="Georgia" w:cs="Arial"/>
        </w:rPr>
        <w:t xml:space="preserve"> </w:t>
      </w:r>
      <w:r w:rsidR="0066530A" w:rsidRPr="000D79CB">
        <w:rPr>
          <w:rFonts w:ascii="Georgia" w:hAnsi="Georgia" w:cs="Arial"/>
        </w:rPr>
        <w:t>(Tiempo 00:</w:t>
      </w:r>
      <w:r w:rsidR="009D37EC" w:rsidRPr="000D79CB">
        <w:rPr>
          <w:rFonts w:ascii="Georgia" w:hAnsi="Georgia" w:cs="Arial"/>
        </w:rPr>
        <w:t>35</w:t>
      </w:r>
      <w:r w:rsidR="0066530A" w:rsidRPr="000D79CB">
        <w:rPr>
          <w:rFonts w:ascii="Georgia" w:hAnsi="Georgia" w:cs="Arial"/>
        </w:rPr>
        <w:t>:</w:t>
      </w:r>
      <w:r w:rsidR="009D37EC" w:rsidRPr="000D79CB">
        <w:rPr>
          <w:rFonts w:ascii="Georgia" w:hAnsi="Georgia" w:cs="Arial"/>
        </w:rPr>
        <w:t>19 a 00:35:</w:t>
      </w:r>
      <w:r w:rsidR="00974512" w:rsidRPr="000D79CB">
        <w:rPr>
          <w:rFonts w:ascii="Georgia" w:hAnsi="Georgia" w:cs="Arial"/>
        </w:rPr>
        <w:t>35</w:t>
      </w:r>
      <w:r w:rsidR="0066530A" w:rsidRPr="000D79CB">
        <w:rPr>
          <w:rFonts w:ascii="Georgia" w:hAnsi="Georgia" w:cs="Arial"/>
        </w:rPr>
        <w:t>, registro de audio de la audiencia)</w:t>
      </w:r>
      <w:r w:rsidR="00DD3357" w:rsidRPr="000D79CB">
        <w:rPr>
          <w:rFonts w:ascii="Georgia" w:hAnsi="Georgia" w:cs="Arial"/>
        </w:rPr>
        <w:t>.</w:t>
      </w:r>
    </w:p>
    <w:p w14:paraId="064AB59D" w14:textId="7B25ECD2" w:rsidR="006E78FE" w:rsidRPr="000D79CB" w:rsidRDefault="006E78FE" w:rsidP="004A0C80">
      <w:pPr>
        <w:pStyle w:val="Sinespaciado"/>
        <w:spacing w:line="300" w:lineRule="auto"/>
        <w:jc w:val="both"/>
        <w:rPr>
          <w:rFonts w:ascii="Georgia" w:hAnsi="Georgia" w:cs="Arial"/>
        </w:rPr>
      </w:pPr>
    </w:p>
    <w:p w14:paraId="0310E92D" w14:textId="7851692A" w:rsidR="007F7C6C" w:rsidRPr="000D79CB" w:rsidRDefault="006E78FE" w:rsidP="004A0C80">
      <w:pPr>
        <w:pStyle w:val="Sinespaciado"/>
        <w:spacing w:line="300" w:lineRule="auto"/>
        <w:jc w:val="both"/>
        <w:rPr>
          <w:rFonts w:ascii="Georgia" w:hAnsi="Georgia" w:cs="Arial"/>
        </w:rPr>
      </w:pPr>
      <w:r w:rsidRPr="000D79CB">
        <w:rPr>
          <w:rFonts w:ascii="Georgia" w:hAnsi="Georgia" w:cs="Arial"/>
        </w:rPr>
        <w:t xml:space="preserve">La parte recurrente </w:t>
      </w:r>
      <w:r w:rsidR="00ED71EF" w:rsidRPr="000D79CB">
        <w:rPr>
          <w:rFonts w:ascii="Georgia" w:hAnsi="Georgia" w:cs="Arial"/>
        </w:rPr>
        <w:t xml:space="preserve">guardó silencio y </w:t>
      </w:r>
      <w:r w:rsidR="0014529A" w:rsidRPr="000D79CB">
        <w:rPr>
          <w:rFonts w:ascii="Georgia" w:hAnsi="Georgia" w:cs="Arial"/>
          <w:u w:val="single"/>
        </w:rPr>
        <w:t>apenas</w:t>
      </w:r>
      <w:r w:rsidR="00ED71EF" w:rsidRPr="000D79CB">
        <w:rPr>
          <w:rFonts w:ascii="Georgia" w:hAnsi="Georgia" w:cs="Arial"/>
        </w:rPr>
        <w:t xml:space="preserve"> hasta el 08-06-2020, allegó a esta Corpora</w:t>
      </w:r>
      <w:r w:rsidR="00940717" w:rsidRPr="000D79CB">
        <w:rPr>
          <w:rFonts w:ascii="Georgia" w:hAnsi="Georgia" w:cs="Arial"/>
        </w:rPr>
        <w:t xml:space="preserve">ción </w:t>
      </w:r>
      <w:r w:rsidR="00894925" w:rsidRPr="000D79CB">
        <w:rPr>
          <w:rFonts w:ascii="Georgia" w:hAnsi="Georgia" w:cs="Arial"/>
        </w:rPr>
        <w:t>memorial en el que dijo atenerse a lo dicho en</w:t>
      </w:r>
      <w:r w:rsidR="006E7C40" w:rsidRPr="000D79CB">
        <w:rPr>
          <w:rFonts w:ascii="Georgia" w:hAnsi="Georgia" w:cs="Arial"/>
        </w:rPr>
        <w:t xml:space="preserve"> las alegaciones </w:t>
      </w:r>
      <w:r w:rsidR="003336E2" w:rsidRPr="000D79CB">
        <w:rPr>
          <w:rFonts w:ascii="Georgia" w:hAnsi="Georgia" w:cs="Arial"/>
        </w:rPr>
        <w:t xml:space="preserve">y en las </w:t>
      </w:r>
      <w:r w:rsidR="005F1C85" w:rsidRPr="000D79CB">
        <w:rPr>
          <w:rFonts w:ascii="Georgia" w:hAnsi="Georgia" w:cs="Arial"/>
        </w:rPr>
        <w:t>oportunidades anteriores, esto es</w:t>
      </w:r>
      <w:r w:rsidR="00465E7A" w:rsidRPr="000D79CB">
        <w:rPr>
          <w:rFonts w:ascii="Georgia" w:hAnsi="Georgia" w:cs="Arial"/>
        </w:rPr>
        <w:t xml:space="preserve">, </w:t>
      </w:r>
      <w:r w:rsidR="00BF4945" w:rsidRPr="000D79CB">
        <w:rPr>
          <w:rFonts w:ascii="Georgia" w:hAnsi="Georgia" w:cs="Arial"/>
        </w:rPr>
        <w:t>21-06-2019 y 15-10-2019</w:t>
      </w:r>
      <w:r w:rsidR="0014529A" w:rsidRPr="000D79CB">
        <w:rPr>
          <w:rFonts w:ascii="Georgia" w:hAnsi="Georgia" w:cs="Arial"/>
        </w:rPr>
        <w:t>.</w:t>
      </w:r>
    </w:p>
    <w:p w14:paraId="0F09716F" w14:textId="77777777" w:rsidR="007F7C6C" w:rsidRPr="000D79CB" w:rsidRDefault="007F7C6C" w:rsidP="004A0C80">
      <w:pPr>
        <w:pStyle w:val="Sinespaciado"/>
        <w:spacing w:line="300" w:lineRule="auto"/>
        <w:jc w:val="both"/>
        <w:rPr>
          <w:rFonts w:ascii="Georgia" w:hAnsi="Georgia" w:cs="Arial"/>
        </w:rPr>
      </w:pPr>
    </w:p>
    <w:p w14:paraId="78FB3B9B" w14:textId="22448DDD" w:rsidR="006E78FE" w:rsidRPr="000D79CB" w:rsidRDefault="0014529A" w:rsidP="004A0C80">
      <w:pPr>
        <w:pStyle w:val="Sinespaciado"/>
        <w:spacing w:line="300" w:lineRule="auto"/>
        <w:jc w:val="both"/>
        <w:rPr>
          <w:rFonts w:ascii="Georgia" w:hAnsi="Georgia" w:cs="Arial"/>
        </w:rPr>
      </w:pPr>
      <w:r w:rsidRPr="000D79CB">
        <w:rPr>
          <w:rFonts w:ascii="Georgia" w:hAnsi="Georgia" w:cs="Arial"/>
        </w:rPr>
        <w:t>Aún si acaso pudiera superarse la evidente extemporaneidad, para estimarse tal memorial</w:t>
      </w:r>
      <w:r w:rsidR="007F7C6C" w:rsidRPr="000D79CB">
        <w:rPr>
          <w:rFonts w:ascii="Georgia" w:hAnsi="Georgia" w:cs="Arial"/>
        </w:rPr>
        <w:t xml:space="preserve"> “</w:t>
      </w:r>
      <w:proofErr w:type="spellStart"/>
      <w:r w:rsidR="007F7C6C" w:rsidRPr="000D79CB">
        <w:rPr>
          <w:rFonts w:ascii="Georgia" w:hAnsi="Georgia" w:cs="Arial"/>
          <w:i/>
        </w:rPr>
        <w:t>sustentatorio</w:t>
      </w:r>
      <w:proofErr w:type="spellEnd"/>
      <w:r w:rsidR="007F7C6C" w:rsidRPr="000D79CB">
        <w:rPr>
          <w:rFonts w:ascii="Georgia" w:hAnsi="Georgia" w:cs="Arial"/>
        </w:rPr>
        <w:t>” (¿?)</w:t>
      </w:r>
      <w:r w:rsidRPr="000D79CB">
        <w:rPr>
          <w:rFonts w:ascii="Georgia" w:hAnsi="Georgia" w:cs="Arial"/>
        </w:rPr>
        <w:t>, cabe igual predicar su fracaso porque la impugnación debe tener por diana la sentencia, a partir de la motivación de esa pieza procesal, ha de discurrir la alzada. ¿Cómo atacar la argumentación un acto decisorio, por anticipado, pretermisión de sus razones?</w:t>
      </w:r>
    </w:p>
    <w:p w14:paraId="4CD0A1CC" w14:textId="77777777" w:rsidR="00942490" w:rsidRPr="000D79CB" w:rsidRDefault="00942490" w:rsidP="004A0C80">
      <w:pPr>
        <w:pStyle w:val="Sinespaciado"/>
        <w:spacing w:line="300" w:lineRule="auto"/>
        <w:jc w:val="both"/>
        <w:rPr>
          <w:rFonts w:ascii="Georgia" w:hAnsi="Georgia" w:cs="Arial"/>
        </w:rPr>
      </w:pPr>
    </w:p>
    <w:p w14:paraId="459B844E" w14:textId="4750ED29" w:rsidR="009A7A51" w:rsidRPr="000D79CB" w:rsidRDefault="00CE5FD6" w:rsidP="004A0C80">
      <w:pPr>
        <w:pStyle w:val="Sinespaciado"/>
        <w:spacing w:line="300" w:lineRule="auto"/>
        <w:jc w:val="both"/>
        <w:rPr>
          <w:rFonts w:ascii="Georgia" w:hAnsi="Georgia" w:cs="Arial"/>
        </w:rPr>
      </w:pPr>
      <w:r w:rsidRPr="000D79CB">
        <w:rPr>
          <w:rFonts w:ascii="Georgia" w:hAnsi="Georgia" w:cs="Arial"/>
        </w:rPr>
        <w:lastRenderedPageBreak/>
        <w:t>Puestas,</w:t>
      </w:r>
      <w:r w:rsidR="007F0E1D" w:rsidRPr="000D79CB">
        <w:rPr>
          <w:rFonts w:ascii="Georgia" w:hAnsi="Georgia" w:cs="Arial"/>
        </w:rPr>
        <w:t xml:space="preserve"> así las cosas, se muestra evidente que en manera alguna se </w:t>
      </w:r>
      <w:r w:rsidR="00DD3357" w:rsidRPr="000D79CB">
        <w:rPr>
          <w:rFonts w:ascii="Georgia" w:hAnsi="Georgia" w:cs="Arial"/>
        </w:rPr>
        <w:t>formula</w:t>
      </w:r>
      <w:r w:rsidR="00942490" w:rsidRPr="000D79CB">
        <w:rPr>
          <w:rFonts w:ascii="Georgia" w:hAnsi="Georgia" w:cs="Arial"/>
        </w:rPr>
        <w:t xml:space="preserve">ron, oportunamente, </w:t>
      </w:r>
      <w:r w:rsidR="006E7C40" w:rsidRPr="000D79CB">
        <w:rPr>
          <w:rFonts w:ascii="Georgia" w:hAnsi="Georgia" w:cs="Arial"/>
        </w:rPr>
        <w:t xml:space="preserve">los </w:t>
      </w:r>
      <w:r w:rsidR="00DD3357" w:rsidRPr="000D79CB">
        <w:rPr>
          <w:rFonts w:ascii="Georgia" w:hAnsi="Georgia" w:cs="Arial"/>
        </w:rPr>
        <w:t>reparo</w:t>
      </w:r>
      <w:r w:rsidR="006E7C40" w:rsidRPr="000D79CB">
        <w:rPr>
          <w:rFonts w:ascii="Georgia" w:hAnsi="Georgia" w:cs="Arial"/>
        </w:rPr>
        <w:t>s</w:t>
      </w:r>
      <w:r w:rsidR="00DD3357" w:rsidRPr="000D79CB">
        <w:rPr>
          <w:rFonts w:ascii="Georgia" w:hAnsi="Georgia" w:cs="Arial"/>
        </w:rPr>
        <w:t xml:space="preserve"> contra </w:t>
      </w:r>
      <w:r w:rsidR="007F0E1D" w:rsidRPr="000D79CB">
        <w:rPr>
          <w:rFonts w:ascii="Georgia" w:hAnsi="Georgia" w:cs="Arial"/>
        </w:rPr>
        <w:t xml:space="preserve">la </w:t>
      </w:r>
      <w:r w:rsidR="0062131C" w:rsidRPr="000D79CB">
        <w:rPr>
          <w:rFonts w:ascii="Georgia" w:hAnsi="Georgia" w:cs="Arial"/>
        </w:rPr>
        <w:t xml:space="preserve">providencia </w:t>
      </w:r>
      <w:r w:rsidR="007F0E1D" w:rsidRPr="000D79CB">
        <w:rPr>
          <w:rFonts w:ascii="Georgia" w:hAnsi="Georgia" w:cs="Arial"/>
        </w:rPr>
        <w:t xml:space="preserve">adoptada por </w:t>
      </w:r>
      <w:r w:rsidR="00DD3357" w:rsidRPr="000D79CB">
        <w:rPr>
          <w:rFonts w:ascii="Georgia" w:hAnsi="Georgia" w:cs="Arial"/>
        </w:rPr>
        <w:t>e</w:t>
      </w:r>
      <w:r w:rsidR="007F0E1D" w:rsidRPr="000D79CB">
        <w:rPr>
          <w:rFonts w:ascii="Georgia" w:hAnsi="Georgia" w:cs="Arial"/>
        </w:rPr>
        <w:t xml:space="preserve">l </w:t>
      </w:r>
      <w:r w:rsidR="0062131C" w:rsidRPr="000D79CB">
        <w:rPr>
          <w:rFonts w:ascii="Georgia" w:hAnsi="Georgia" w:cs="Arial"/>
        </w:rPr>
        <w:t xml:space="preserve">juez </w:t>
      </w:r>
      <w:r w:rsidR="007F0E1D" w:rsidRPr="000D79CB">
        <w:rPr>
          <w:rFonts w:ascii="Georgia" w:hAnsi="Georgia" w:cs="Arial"/>
        </w:rPr>
        <w:t>de primer grado, de tal manera que se pueda adentrar esta Superioridad en el análisis pertinente.</w:t>
      </w:r>
      <w:r w:rsidR="00DA743D" w:rsidRPr="000D79CB">
        <w:rPr>
          <w:rFonts w:ascii="Georgia" w:hAnsi="Georgia" w:cs="Arial"/>
        </w:rPr>
        <w:t xml:space="preserve"> </w:t>
      </w:r>
    </w:p>
    <w:p w14:paraId="09CC2440" w14:textId="77777777" w:rsidR="009A7A51" w:rsidRPr="000D79CB" w:rsidRDefault="009A7A51" w:rsidP="004A0C80">
      <w:pPr>
        <w:pStyle w:val="Sinespaciado"/>
        <w:spacing w:line="300" w:lineRule="auto"/>
        <w:jc w:val="both"/>
        <w:rPr>
          <w:rFonts w:ascii="Georgia" w:hAnsi="Georgia" w:cs="Arial"/>
        </w:rPr>
      </w:pPr>
    </w:p>
    <w:p w14:paraId="2FCE012D" w14:textId="4A139E33" w:rsidR="007F0E1D" w:rsidRPr="000D79CB" w:rsidRDefault="00C054FF" w:rsidP="004A0C80">
      <w:pPr>
        <w:pStyle w:val="Sinespaciado"/>
        <w:spacing w:line="300" w:lineRule="auto"/>
        <w:jc w:val="both"/>
        <w:rPr>
          <w:rFonts w:ascii="Georgia" w:hAnsi="Georgia" w:cs="Arial"/>
          <w:u w:val="single"/>
        </w:rPr>
      </w:pPr>
      <w:r w:rsidRPr="000D79CB">
        <w:rPr>
          <w:rFonts w:ascii="Georgia" w:hAnsi="Georgia" w:cs="Arial"/>
        </w:rPr>
        <w:t>Válido</w:t>
      </w:r>
      <w:r w:rsidR="007F0E1D" w:rsidRPr="000D79CB">
        <w:rPr>
          <w:rFonts w:ascii="Georgia" w:hAnsi="Georgia" w:cs="Arial"/>
        </w:rPr>
        <w:t xml:space="preserve"> traer la</w:t>
      </w:r>
      <w:r w:rsidR="00F72D6D" w:rsidRPr="000D79CB">
        <w:rPr>
          <w:rFonts w:ascii="Georgia" w:hAnsi="Georgia" w:cs="Arial"/>
        </w:rPr>
        <w:t>s</w:t>
      </w:r>
      <w:r w:rsidR="007F0E1D" w:rsidRPr="000D79CB">
        <w:rPr>
          <w:rFonts w:ascii="Georgia" w:hAnsi="Georgia" w:cs="Arial"/>
        </w:rPr>
        <w:t xml:space="preserve"> palabras del citado profesor Rojas Gómez</w:t>
      </w:r>
      <w:r w:rsidR="007F0E1D" w:rsidRPr="000D79CB">
        <w:rPr>
          <w:rStyle w:val="Refdenotaalpie"/>
          <w:rFonts w:ascii="Georgia" w:hAnsi="Georgia" w:cs="Arial"/>
        </w:rPr>
        <w:footnoteReference w:id="23"/>
      </w:r>
      <w:r w:rsidR="007F0E1D" w:rsidRPr="000D79CB">
        <w:rPr>
          <w:rFonts w:ascii="Georgia" w:hAnsi="Georgia" w:cs="Arial"/>
        </w:rPr>
        <w:t>: “</w:t>
      </w:r>
      <w:r w:rsidR="007F0E1D" w:rsidRPr="000D79CB">
        <w:rPr>
          <w:rFonts w:ascii="Georgia" w:hAnsi="Georgia" w:cs="Arial"/>
          <w:i/>
          <w:iCs/>
          <w:sz w:val="22"/>
        </w:rPr>
        <w:t xml:space="preserve">Si el pronunciamiento judicial es producto de una actividad que se supone responsable y seria, quien se atreva a cuestionarlo debe mostrar siquiera la misma seriedad en sus </w:t>
      </w:r>
      <w:r w:rsidR="007F0E1D" w:rsidRPr="000D79CB">
        <w:rPr>
          <w:rFonts w:ascii="Georgia" w:hAnsi="Georgia" w:cs="Arial"/>
          <w:i/>
          <w:iCs/>
          <w:sz w:val="22"/>
          <w:u w:val="single"/>
        </w:rPr>
        <w:t>reparos</w:t>
      </w:r>
      <w:r w:rsidR="007F0E1D" w:rsidRPr="000D79CB">
        <w:rPr>
          <w:rFonts w:ascii="Georgia" w:hAnsi="Georgia" w:cs="Arial"/>
          <w:i/>
          <w:iCs/>
          <w:sz w:val="22"/>
        </w:rPr>
        <w:t>, lo cual solo puede constatarse si hay una adecuada fundamentación</w:t>
      </w:r>
      <w:r w:rsidR="007F0E1D" w:rsidRPr="000D79CB">
        <w:rPr>
          <w:rFonts w:ascii="Georgia" w:hAnsi="Georgia" w:cs="Arial"/>
        </w:rPr>
        <w:t>”.</w:t>
      </w:r>
      <w:r w:rsidR="00D00D7D" w:rsidRPr="000D79CB">
        <w:rPr>
          <w:rFonts w:ascii="Georgia" w:hAnsi="Georgia" w:cs="Arial"/>
        </w:rPr>
        <w:t xml:space="preserve"> </w:t>
      </w:r>
      <w:r w:rsidR="00373580" w:rsidRPr="000D79CB">
        <w:rPr>
          <w:rFonts w:ascii="Georgia" w:hAnsi="Georgia" w:cs="Arial"/>
        </w:rPr>
        <w:t xml:space="preserve">Así las cosas, </w:t>
      </w:r>
      <w:r w:rsidR="007F0E1D" w:rsidRPr="000D79CB">
        <w:rPr>
          <w:rFonts w:ascii="Georgia" w:hAnsi="Georgia" w:cs="Arial"/>
        </w:rPr>
        <w:t>se echa</w:t>
      </w:r>
      <w:r w:rsidR="00DD3357" w:rsidRPr="000D79CB">
        <w:rPr>
          <w:rFonts w:ascii="Georgia" w:hAnsi="Georgia" w:cs="Arial"/>
        </w:rPr>
        <w:t xml:space="preserve"> de menos el primer acto de la sustentación </w:t>
      </w:r>
      <w:r w:rsidR="00D00D7D" w:rsidRPr="000D79CB">
        <w:rPr>
          <w:rFonts w:ascii="Georgia" w:hAnsi="Georgia" w:cs="Arial"/>
        </w:rPr>
        <w:t>que es una exigencia del CGP y, se itera, provoca la declaratoria de deserción</w:t>
      </w:r>
      <w:r w:rsidR="00125A53" w:rsidRPr="000D79CB">
        <w:rPr>
          <w:rFonts w:ascii="Georgia" w:hAnsi="Georgia" w:cs="Arial"/>
        </w:rPr>
        <w:t xml:space="preserve">, puesto que lo que se debe hacer en </w:t>
      </w:r>
      <w:bookmarkStart w:id="0" w:name="_GoBack"/>
      <w:bookmarkEnd w:id="0"/>
      <w:r w:rsidR="00125A53" w:rsidRPr="000D79CB">
        <w:rPr>
          <w:rFonts w:ascii="Georgia" w:hAnsi="Georgia" w:cs="Arial"/>
        </w:rPr>
        <w:t xml:space="preserve">sede de impugnación </w:t>
      </w:r>
      <w:r w:rsidR="00125A53" w:rsidRPr="000D79CB">
        <w:rPr>
          <w:rFonts w:ascii="Georgia" w:hAnsi="Georgia" w:cs="Arial"/>
          <w:i/>
        </w:rPr>
        <w:t xml:space="preserve">es cuestionar los motivos probatorios normativos y jurisprudenciales </w:t>
      </w:r>
      <w:r w:rsidR="00125A53" w:rsidRPr="000D79CB">
        <w:rPr>
          <w:rFonts w:ascii="Georgia" w:hAnsi="Georgia" w:cs="Arial"/>
          <w:i/>
          <w:u w:val="single"/>
        </w:rPr>
        <w:t>usados en la decisión atacada.</w:t>
      </w:r>
    </w:p>
    <w:p w14:paraId="2FCE012F" w14:textId="77777777" w:rsidR="0068721F" w:rsidRPr="000D79CB" w:rsidRDefault="0068721F" w:rsidP="004A0C80">
      <w:pPr>
        <w:pStyle w:val="Sinespaciado"/>
        <w:spacing w:line="300" w:lineRule="auto"/>
        <w:jc w:val="both"/>
        <w:rPr>
          <w:rFonts w:ascii="Georgia" w:hAnsi="Georgia" w:cs="Arial"/>
        </w:rPr>
      </w:pPr>
    </w:p>
    <w:p w14:paraId="2FCE0130" w14:textId="73F98CFF" w:rsidR="007F0E1D" w:rsidRPr="000D79CB" w:rsidRDefault="00E877FC" w:rsidP="004A0C80">
      <w:pPr>
        <w:pStyle w:val="Textopredeterminado"/>
        <w:numPr>
          <w:ilvl w:val="0"/>
          <w:numId w:val="8"/>
        </w:numPr>
        <w:spacing w:line="300" w:lineRule="auto"/>
        <w:jc w:val="both"/>
        <w:textAlignment w:val="baseline"/>
        <w:rPr>
          <w:rFonts w:ascii="Georgia" w:hAnsi="Georgia" w:cs="Arial"/>
          <w:b/>
          <w:bCs/>
          <w:smallCaps/>
          <w:color w:val="auto"/>
          <w:sz w:val="28"/>
          <w:szCs w:val="24"/>
        </w:rPr>
      </w:pPr>
      <w:r w:rsidRPr="000D79CB">
        <w:rPr>
          <w:rFonts w:ascii="Georgia" w:hAnsi="Georgia" w:cs="Arial"/>
          <w:b/>
          <w:bCs/>
          <w:smallCaps/>
          <w:color w:val="auto"/>
          <w:sz w:val="28"/>
          <w:szCs w:val="24"/>
        </w:rPr>
        <w:t>las decisiones finales</w:t>
      </w:r>
    </w:p>
    <w:p w14:paraId="2FCE0131" w14:textId="77777777" w:rsidR="00C11794" w:rsidRPr="000D79CB" w:rsidRDefault="00C11794" w:rsidP="004A0C80">
      <w:pPr>
        <w:pStyle w:val="Textopredeterminado"/>
        <w:spacing w:line="300" w:lineRule="auto"/>
        <w:ind w:left="360"/>
        <w:jc w:val="both"/>
        <w:textAlignment w:val="baseline"/>
        <w:rPr>
          <w:rFonts w:ascii="Georgia" w:hAnsi="Georgia" w:cs="Arial"/>
          <w:color w:val="auto"/>
          <w:szCs w:val="24"/>
        </w:rPr>
      </w:pPr>
    </w:p>
    <w:p w14:paraId="2FCE0132" w14:textId="71CD612F" w:rsidR="007F0E1D" w:rsidRPr="000D79CB" w:rsidRDefault="007F0E1D" w:rsidP="004A0C80">
      <w:pPr>
        <w:pStyle w:val="Textoindependiente"/>
        <w:spacing w:line="300" w:lineRule="auto"/>
        <w:ind w:right="51"/>
        <w:rPr>
          <w:rFonts w:ascii="Georgia" w:hAnsi="Georgia" w:cs="Arial"/>
          <w:szCs w:val="24"/>
          <w:lang w:val="es-ES"/>
        </w:rPr>
      </w:pPr>
      <w:r w:rsidRPr="000D79CB">
        <w:rPr>
          <w:rFonts w:ascii="Georgia" w:hAnsi="Georgia" w:cs="Arial"/>
          <w:szCs w:val="24"/>
          <w:lang w:val="es-ES"/>
        </w:rPr>
        <w:t xml:space="preserve">En armonía con las premisas expuestas, se declarará </w:t>
      </w:r>
      <w:r w:rsidR="0062131C" w:rsidRPr="000D79CB">
        <w:rPr>
          <w:rFonts w:ascii="Georgia" w:hAnsi="Georgia" w:cs="Arial"/>
          <w:szCs w:val="24"/>
          <w:lang w:val="es-ES"/>
        </w:rPr>
        <w:t>desierto el recurso</w:t>
      </w:r>
      <w:r w:rsidR="0068721F" w:rsidRPr="000D79CB">
        <w:rPr>
          <w:rFonts w:ascii="Georgia" w:hAnsi="Georgia" w:cs="Arial"/>
          <w:szCs w:val="24"/>
          <w:lang w:val="es-ES"/>
        </w:rPr>
        <w:t>,</w:t>
      </w:r>
      <w:r w:rsidR="0062131C" w:rsidRPr="000D79CB">
        <w:rPr>
          <w:rFonts w:ascii="Georgia" w:hAnsi="Georgia" w:cs="Arial"/>
          <w:szCs w:val="24"/>
          <w:lang w:val="es-ES"/>
        </w:rPr>
        <w:t xml:space="preserve"> </w:t>
      </w:r>
      <w:r w:rsidRPr="000D79CB">
        <w:rPr>
          <w:rFonts w:ascii="Georgia" w:hAnsi="Georgia" w:cs="Arial"/>
          <w:szCs w:val="24"/>
          <w:lang w:val="es-ES"/>
        </w:rPr>
        <w:t xml:space="preserve">por ausencia de </w:t>
      </w:r>
      <w:r w:rsidR="00DD3357" w:rsidRPr="000D79CB">
        <w:rPr>
          <w:rFonts w:ascii="Georgia" w:hAnsi="Georgia" w:cs="Arial"/>
          <w:szCs w:val="24"/>
          <w:lang w:val="es-ES"/>
        </w:rPr>
        <w:t xml:space="preserve">la formulación </w:t>
      </w:r>
      <w:r w:rsidR="00DA743D" w:rsidRPr="000D79CB">
        <w:rPr>
          <w:rFonts w:ascii="Georgia" w:hAnsi="Georgia" w:cs="Arial"/>
          <w:szCs w:val="24"/>
          <w:lang w:val="es-ES"/>
        </w:rPr>
        <w:t xml:space="preserve">total </w:t>
      </w:r>
      <w:r w:rsidR="00DD3357" w:rsidRPr="000D79CB">
        <w:rPr>
          <w:rFonts w:ascii="Georgia" w:hAnsi="Georgia" w:cs="Arial"/>
          <w:szCs w:val="24"/>
          <w:lang w:val="es-ES"/>
        </w:rPr>
        <w:t>de reparos</w:t>
      </w:r>
      <w:r w:rsidRPr="000D79CB">
        <w:rPr>
          <w:rFonts w:ascii="Georgia" w:hAnsi="Georgia" w:cs="Arial"/>
          <w:szCs w:val="24"/>
          <w:lang w:val="es-ES"/>
        </w:rPr>
        <w:t>, interpuest</w:t>
      </w:r>
      <w:r w:rsidR="0068721F" w:rsidRPr="000D79CB">
        <w:rPr>
          <w:rFonts w:ascii="Georgia" w:hAnsi="Georgia" w:cs="Arial"/>
          <w:szCs w:val="24"/>
          <w:lang w:val="es-ES"/>
        </w:rPr>
        <w:t>o</w:t>
      </w:r>
      <w:r w:rsidRPr="000D79CB">
        <w:rPr>
          <w:rFonts w:ascii="Georgia" w:hAnsi="Georgia" w:cs="Arial"/>
          <w:szCs w:val="24"/>
          <w:lang w:val="es-ES"/>
        </w:rPr>
        <w:t xml:space="preserve"> contra </w:t>
      </w:r>
      <w:r w:rsidR="0062131C" w:rsidRPr="000D79CB">
        <w:rPr>
          <w:rFonts w:ascii="Georgia" w:hAnsi="Georgia" w:cs="Arial"/>
          <w:szCs w:val="24"/>
          <w:lang w:val="es-ES"/>
        </w:rPr>
        <w:t xml:space="preserve">la </w:t>
      </w:r>
      <w:r w:rsidR="00920096" w:rsidRPr="000D79CB">
        <w:rPr>
          <w:rFonts w:ascii="Georgia" w:hAnsi="Georgia" w:cs="Arial"/>
          <w:szCs w:val="24"/>
          <w:lang w:val="es-ES"/>
        </w:rPr>
        <w:t>sentencia de primer grado</w:t>
      </w:r>
      <w:r w:rsidR="0062131C" w:rsidRPr="000D79CB">
        <w:rPr>
          <w:rFonts w:ascii="Georgia" w:hAnsi="Georgia" w:cs="Arial"/>
          <w:szCs w:val="24"/>
          <w:lang w:val="es-ES"/>
        </w:rPr>
        <w:t xml:space="preserve"> </w:t>
      </w:r>
      <w:r w:rsidR="00920096" w:rsidRPr="000D79CB">
        <w:rPr>
          <w:rFonts w:ascii="Georgia" w:hAnsi="Georgia" w:cs="Arial"/>
          <w:szCs w:val="24"/>
          <w:lang w:val="es-ES"/>
        </w:rPr>
        <w:t>que desestimó las pretensiones de la demanda</w:t>
      </w:r>
      <w:r w:rsidR="0062131C" w:rsidRPr="000D79CB">
        <w:rPr>
          <w:rFonts w:ascii="Georgia" w:hAnsi="Georgia" w:cs="Arial"/>
          <w:szCs w:val="24"/>
          <w:lang w:val="es-ES"/>
        </w:rPr>
        <w:t>, en la ac</w:t>
      </w:r>
      <w:r w:rsidR="00190742" w:rsidRPr="000D79CB">
        <w:rPr>
          <w:rFonts w:ascii="Georgia" w:hAnsi="Georgia" w:cs="Arial"/>
          <w:szCs w:val="24"/>
          <w:lang w:val="es-ES"/>
        </w:rPr>
        <w:t xml:space="preserve">tuación </w:t>
      </w:r>
      <w:r w:rsidRPr="000D79CB">
        <w:rPr>
          <w:rFonts w:ascii="Georgia" w:hAnsi="Georgia" w:cs="Arial"/>
          <w:szCs w:val="24"/>
          <w:lang w:val="es-ES"/>
        </w:rPr>
        <w:t>ya referenciada.</w:t>
      </w:r>
    </w:p>
    <w:p w14:paraId="2FCE0133" w14:textId="77777777" w:rsidR="007F0E1D" w:rsidRPr="000D79CB" w:rsidRDefault="007F0E1D" w:rsidP="004A0C80">
      <w:pPr>
        <w:autoSpaceDE w:val="0"/>
        <w:autoSpaceDN w:val="0"/>
        <w:adjustRightInd w:val="0"/>
        <w:spacing w:line="300" w:lineRule="auto"/>
        <w:jc w:val="both"/>
        <w:rPr>
          <w:rFonts w:ascii="Georgia" w:hAnsi="Georgia" w:cs="Arial"/>
          <w:sz w:val="24"/>
          <w:szCs w:val="24"/>
        </w:rPr>
      </w:pPr>
    </w:p>
    <w:p w14:paraId="2FCE0134" w14:textId="77777777" w:rsidR="007F0E1D" w:rsidRPr="000D79CB" w:rsidRDefault="007F0E1D" w:rsidP="004A0C80">
      <w:pPr>
        <w:autoSpaceDE w:val="0"/>
        <w:autoSpaceDN w:val="0"/>
        <w:adjustRightInd w:val="0"/>
        <w:spacing w:line="300" w:lineRule="auto"/>
        <w:jc w:val="both"/>
        <w:rPr>
          <w:rFonts w:ascii="Georgia" w:hAnsi="Georgia" w:cs="Arial"/>
          <w:sz w:val="24"/>
          <w:szCs w:val="24"/>
        </w:rPr>
      </w:pPr>
      <w:r w:rsidRPr="000D79CB">
        <w:rPr>
          <w:rFonts w:ascii="Georgia" w:hAnsi="Georgia" w:cs="Arial"/>
          <w:sz w:val="24"/>
          <w:szCs w:val="24"/>
        </w:rPr>
        <w:t xml:space="preserve">Considerando suficientes los argumentos expuestos en esta providencia, el </w:t>
      </w:r>
      <w:r w:rsidRPr="000D79CB">
        <w:rPr>
          <w:rFonts w:ascii="Georgia" w:hAnsi="Georgia" w:cs="Arial"/>
          <w:b/>
          <w:bCs/>
          <w:smallCaps/>
          <w:sz w:val="24"/>
          <w:szCs w:val="24"/>
        </w:rPr>
        <w:t xml:space="preserve">Tribunal Superior del Distrito Judicial de Pereira, en Sala </w:t>
      </w:r>
      <w:r w:rsidR="00917983" w:rsidRPr="000D79CB">
        <w:rPr>
          <w:rFonts w:ascii="Georgia" w:hAnsi="Georgia" w:cs="Arial"/>
          <w:b/>
          <w:bCs/>
          <w:smallCaps/>
          <w:sz w:val="24"/>
          <w:szCs w:val="24"/>
        </w:rPr>
        <w:t>U</w:t>
      </w:r>
      <w:r w:rsidRPr="000D79CB">
        <w:rPr>
          <w:rFonts w:ascii="Georgia" w:hAnsi="Georgia" w:cs="Arial"/>
          <w:b/>
          <w:bCs/>
          <w:smallCaps/>
          <w:sz w:val="24"/>
          <w:szCs w:val="24"/>
        </w:rPr>
        <w:t>nitaria</w:t>
      </w:r>
      <w:r w:rsidRPr="000D79CB">
        <w:rPr>
          <w:rFonts w:ascii="Georgia" w:hAnsi="Georgia" w:cs="Arial"/>
          <w:sz w:val="24"/>
          <w:szCs w:val="24"/>
        </w:rPr>
        <w:t>,</w:t>
      </w:r>
    </w:p>
    <w:p w14:paraId="2B2B2A0C" w14:textId="77777777" w:rsidR="000D79CB" w:rsidRPr="000D79CB" w:rsidRDefault="000D79CB" w:rsidP="004A0C80">
      <w:pPr>
        <w:autoSpaceDE w:val="0"/>
        <w:autoSpaceDN w:val="0"/>
        <w:adjustRightInd w:val="0"/>
        <w:spacing w:line="300" w:lineRule="auto"/>
        <w:jc w:val="both"/>
        <w:rPr>
          <w:rFonts w:ascii="Georgia" w:hAnsi="Georgia" w:cs="Arial"/>
          <w:sz w:val="24"/>
          <w:szCs w:val="24"/>
        </w:rPr>
      </w:pPr>
    </w:p>
    <w:p w14:paraId="2FCE0136" w14:textId="77777777" w:rsidR="007F0E1D" w:rsidRPr="000D79CB" w:rsidRDefault="007F0E1D" w:rsidP="004A0C80">
      <w:pPr>
        <w:pStyle w:val="Sinespaciado"/>
        <w:spacing w:line="300" w:lineRule="auto"/>
        <w:jc w:val="center"/>
        <w:rPr>
          <w:rFonts w:ascii="Georgia" w:hAnsi="Georgia" w:cs="Arial"/>
          <w:b/>
          <w:bCs/>
        </w:rPr>
      </w:pPr>
      <w:r w:rsidRPr="000D79CB">
        <w:rPr>
          <w:rFonts w:ascii="Georgia" w:hAnsi="Georgia" w:cs="Arial"/>
          <w:b/>
          <w:bCs/>
        </w:rPr>
        <w:t>R E S U E L V E,</w:t>
      </w:r>
    </w:p>
    <w:p w14:paraId="2FCE0137" w14:textId="77777777" w:rsidR="007F0E1D" w:rsidRPr="000D79CB" w:rsidRDefault="007F0E1D" w:rsidP="004A0C80">
      <w:pPr>
        <w:pStyle w:val="Sinespaciado"/>
        <w:spacing w:line="300" w:lineRule="auto"/>
        <w:jc w:val="center"/>
        <w:rPr>
          <w:rFonts w:ascii="Georgia" w:hAnsi="Georgia" w:cs="Arial"/>
        </w:rPr>
      </w:pPr>
    </w:p>
    <w:p w14:paraId="2FCE0138" w14:textId="7326DE3D" w:rsidR="007F0E1D" w:rsidRPr="000D79CB" w:rsidRDefault="007F0E1D" w:rsidP="004A0C80">
      <w:pPr>
        <w:pStyle w:val="Textopredeterminado"/>
        <w:numPr>
          <w:ilvl w:val="0"/>
          <w:numId w:val="9"/>
        </w:numPr>
        <w:spacing w:line="300" w:lineRule="auto"/>
        <w:jc w:val="both"/>
        <w:textAlignment w:val="baseline"/>
        <w:rPr>
          <w:rFonts w:ascii="Georgia" w:hAnsi="Georgia" w:cs="Arial"/>
          <w:color w:val="auto"/>
          <w:szCs w:val="24"/>
        </w:rPr>
      </w:pPr>
      <w:r w:rsidRPr="000D79CB">
        <w:rPr>
          <w:rFonts w:ascii="Georgia" w:hAnsi="Georgia" w:cs="Arial"/>
          <w:b/>
          <w:bCs/>
          <w:color w:val="auto"/>
          <w:szCs w:val="24"/>
        </w:rPr>
        <w:t>DECLARAR</w:t>
      </w:r>
      <w:r w:rsidRPr="000D79CB">
        <w:rPr>
          <w:rFonts w:ascii="Georgia" w:hAnsi="Georgia" w:cs="Arial"/>
          <w:color w:val="auto"/>
          <w:szCs w:val="24"/>
        </w:rPr>
        <w:t xml:space="preserve"> </w:t>
      </w:r>
      <w:r w:rsidR="0062131C" w:rsidRPr="000D79CB">
        <w:rPr>
          <w:rFonts w:ascii="Georgia" w:hAnsi="Georgia" w:cs="Arial"/>
          <w:color w:val="auto"/>
          <w:szCs w:val="24"/>
        </w:rPr>
        <w:t xml:space="preserve">desierto </w:t>
      </w:r>
      <w:r w:rsidRPr="000D79CB">
        <w:rPr>
          <w:rFonts w:ascii="Georgia" w:hAnsi="Georgia" w:cs="Arial"/>
          <w:color w:val="auto"/>
          <w:szCs w:val="24"/>
        </w:rPr>
        <w:t>el recurso de apelación formulado por la parte</w:t>
      </w:r>
      <w:r w:rsidR="00920096" w:rsidRPr="000D79CB">
        <w:rPr>
          <w:rFonts w:ascii="Georgia" w:hAnsi="Georgia" w:cs="Arial"/>
          <w:color w:val="auto"/>
          <w:szCs w:val="24"/>
        </w:rPr>
        <w:t xml:space="preserve"> actora </w:t>
      </w:r>
      <w:r w:rsidRPr="000D79CB">
        <w:rPr>
          <w:rFonts w:ascii="Georgia" w:hAnsi="Georgia" w:cs="Arial"/>
          <w:color w:val="auto"/>
          <w:szCs w:val="24"/>
        </w:rPr>
        <w:t xml:space="preserve">contra la </w:t>
      </w:r>
      <w:r w:rsidR="00FF5395" w:rsidRPr="000D79CB">
        <w:rPr>
          <w:rFonts w:ascii="Georgia" w:hAnsi="Georgia" w:cs="Arial"/>
          <w:color w:val="auto"/>
          <w:szCs w:val="24"/>
        </w:rPr>
        <w:t xml:space="preserve">providencia </w:t>
      </w:r>
      <w:r w:rsidRPr="000D79CB">
        <w:rPr>
          <w:rFonts w:ascii="Georgia" w:hAnsi="Georgia" w:cs="Arial"/>
          <w:color w:val="auto"/>
          <w:szCs w:val="24"/>
        </w:rPr>
        <w:t xml:space="preserve">del </w:t>
      </w:r>
      <w:r w:rsidR="00CA0DF9" w:rsidRPr="000D79CB">
        <w:rPr>
          <w:rFonts w:ascii="Georgia" w:hAnsi="Georgia" w:cs="Arial"/>
          <w:color w:val="auto"/>
          <w:szCs w:val="24"/>
        </w:rPr>
        <w:t>05-03-2020</w:t>
      </w:r>
      <w:r w:rsidRPr="000D79CB">
        <w:rPr>
          <w:rFonts w:ascii="Georgia" w:hAnsi="Georgia" w:cs="Arial"/>
          <w:color w:val="auto"/>
          <w:szCs w:val="24"/>
        </w:rPr>
        <w:t xml:space="preserve">, </w:t>
      </w:r>
      <w:r w:rsidR="00DD3357" w:rsidRPr="000D79CB">
        <w:rPr>
          <w:rFonts w:ascii="Georgia" w:hAnsi="Georgia" w:cs="Arial"/>
          <w:color w:val="auto"/>
          <w:szCs w:val="24"/>
        </w:rPr>
        <w:t xml:space="preserve">ante </w:t>
      </w:r>
      <w:r w:rsidRPr="000D79CB">
        <w:rPr>
          <w:rFonts w:ascii="Georgia" w:hAnsi="Georgia" w:cs="Arial"/>
          <w:color w:val="auto"/>
          <w:szCs w:val="24"/>
        </w:rPr>
        <w:t xml:space="preserve">falta de </w:t>
      </w:r>
      <w:r w:rsidR="00DD3357" w:rsidRPr="000D79CB">
        <w:rPr>
          <w:rFonts w:ascii="Georgia" w:hAnsi="Georgia" w:cs="Arial"/>
          <w:color w:val="auto"/>
          <w:szCs w:val="24"/>
        </w:rPr>
        <w:t>enunciación de los reparos</w:t>
      </w:r>
      <w:r w:rsidRPr="000D79CB">
        <w:rPr>
          <w:rFonts w:ascii="Georgia" w:hAnsi="Georgia" w:cs="Arial"/>
          <w:color w:val="auto"/>
          <w:szCs w:val="24"/>
        </w:rPr>
        <w:t>.</w:t>
      </w:r>
    </w:p>
    <w:p w14:paraId="2FCE0139" w14:textId="77777777" w:rsidR="007F0E1D" w:rsidRPr="000D79CB" w:rsidRDefault="007F0E1D" w:rsidP="004A0C80">
      <w:pPr>
        <w:spacing w:line="300" w:lineRule="auto"/>
        <w:ind w:left="360"/>
        <w:rPr>
          <w:rFonts w:ascii="Georgia" w:hAnsi="Georgia" w:cs="Arial"/>
          <w:sz w:val="24"/>
          <w:szCs w:val="24"/>
        </w:rPr>
      </w:pPr>
    </w:p>
    <w:p w14:paraId="2FCE013A" w14:textId="3528C14C" w:rsidR="007F0E1D" w:rsidRPr="000D79CB" w:rsidRDefault="007F0E1D" w:rsidP="004A0C80">
      <w:pPr>
        <w:pStyle w:val="Textopredeterminado"/>
        <w:numPr>
          <w:ilvl w:val="0"/>
          <w:numId w:val="9"/>
        </w:numPr>
        <w:spacing w:line="300" w:lineRule="auto"/>
        <w:jc w:val="both"/>
        <w:textAlignment w:val="baseline"/>
        <w:rPr>
          <w:rFonts w:ascii="Georgia" w:hAnsi="Georgia" w:cs="Arial"/>
          <w:color w:val="auto"/>
          <w:szCs w:val="24"/>
        </w:rPr>
      </w:pPr>
      <w:r w:rsidRPr="000D79CB">
        <w:rPr>
          <w:rFonts w:ascii="Georgia" w:hAnsi="Georgia" w:cs="Arial"/>
          <w:b/>
          <w:bCs/>
          <w:color w:val="auto"/>
          <w:szCs w:val="24"/>
        </w:rPr>
        <w:t>DEVOLVER</w:t>
      </w:r>
      <w:r w:rsidRPr="000D79CB">
        <w:rPr>
          <w:rFonts w:ascii="Georgia" w:hAnsi="Georgia" w:cs="Arial"/>
          <w:color w:val="auto"/>
          <w:szCs w:val="24"/>
        </w:rPr>
        <w:t xml:space="preserve"> el expediente al </w:t>
      </w:r>
      <w:r w:rsidR="00DD3357" w:rsidRPr="000D79CB">
        <w:rPr>
          <w:rFonts w:ascii="Georgia" w:hAnsi="Georgia" w:cs="Arial"/>
          <w:color w:val="auto"/>
          <w:szCs w:val="24"/>
        </w:rPr>
        <w:t>Juzgado</w:t>
      </w:r>
      <w:r w:rsidR="00E877FC" w:rsidRPr="000D79CB">
        <w:rPr>
          <w:rFonts w:ascii="Georgia" w:hAnsi="Georgia" w:cs="Arial"/>
          <w:color w:val="auto"/>
          <w:szCs w:val="24"/>
        </w:rPr>
        <w:t xml:space="preserve"> Cuarto de Familia de Pereira, R</w:t>
      </w:r>
      <w:r w:rsidR="00816F51" w:rsidRPr="000D79CB">
        <w:rPr>
          <w:rFonts w:ascii="Georgia" w:hAnsi="Georgia" w:cs="Arial"/>
          <w:color w:val="auto"/>
          <w:szCs w:val="24"/>
        </w:rPr>
        <w:t>.</w:t>
      </w:r>
    </w:p>
    <w:p w14:paraId="2FCE013B" w14:textId="77777777" w:rsidR="00AD10DB" w:rsidRPr="000D79CB" w:rsidRDefault="00AD10DB" w:rsidP="004A0C80">
      <w:pPr>
        <w:suppressAutoHyphens/>
        <w:spacing w:line="300" w:lineRule="auto"/>
        <w:jc w:val="both"/>
        <w:rPr>
          <w:rFonts w:ascii="Georgia" w:hAnsi="Georgia" w:cs="Arial"/>
          <w:spacing w:val="-3"/>
          <w:sz w:val="24"/>
          <w:szCs w:val="24"/>
        </w:rPr>
      </w:pPr>
    </w:p>
    <w:p w14:paraId="3F437E0A" w14:textId="77777777" w:rsidR="000D79CB" w:rsidRPr="000D79CB" w:rsidRDefault="000D79CB" w:rsidP="004A0C80">
      <w:pPr>
        <w:spacing w:line="300" w:lineRule="auto"/>
        <w:jc w:val="center"/>
        <w:rPr>
          <w:rFonts w:ascii="Georgia" w:hAnsi="Georgia" w:cs="Arial"/>
          <w:smallCaps/>
          <w:sz w:val="24"/>
          <w:szCs w:val="24"/>
        </w:rPr>
      </w:pPr>
      <w:r w:rsidRPr="000D79CB">
        <w:rPr>
          <w:rFonts w:ascii="Georgia" w:hAnsi="Georgia" w:cs="Arial"/>
          <w:smallCaps/>
          <w:sz w:val="24"/>
          <w:szCs w:val="24"/>
        </w:rPr>
        <w:t>Notifíquese,</w:t>
      </w:r>
    </w:p>
    <w:p w14:paraId="1B472E76" w14:textId="77777777" w:rsidR="000D79CB" w:rsidRPr="000D79CB" w:rsidRDefault="000D79CB" w:rsidP="004A0C80">
      <w:pPr>
        <w:spacing w:line="300" w:lineRule="auto"/>
        <w:jc w:val="center"/>
        <w:rPr>
          <w:rFonts w:ascii="Georgia" w:hAnsi="Georgia" w:cs="Arial"/>
          <w:sz w:val="24"/>
          <w:szCs w:val="24"/>
        </w:rPr>
      </w:pPr>
    </w:p>
    <w:p w14:paraId="14CE1CC4" w14:textId="77777777" w:rsidR="000D79CB" w:rsidRPr="000D79CB" w:rsidRDefault="000D79CB" w:rsidP="004A0C80">
      <w:pPr>
        <w:spacing w:line="300" w:lineRule="auto"/>
        <w:jc w:val="center"/>
        <w:rPr>
          <w:rFonts w:ascii="Georgia" w:hAnsi="Georgia" w:cs="Arial"/>
          <w:sz w:val="24"/>
          <w:szCs w:val="24"/>
        </w:rPr>
      </w:pPr>
    </w:p>
    <w:p w14:paraId="42325203" w14:textId="77777777" w:rsidR="000D79CB" w:rsidRPr="000D79CB" w:rsidRDefault="000D79CB" w:rsidP="004A0C80">
      <w:pPr>
        <w:spacing w:line="300" w:lineRule="auto"/>
        <w:jc w:val="center"/>
        <w:rPr>
          <w:rFonts w:ascii="Georgia" w:hAnsi="Georgia" w:cs="Arial"/>
          <w:sz w:val="24"/>
          <w:szCs w:val="24"/>
        </w:rPr>
      </w:pPr>
    </w:p>
    <w:p w14:paraId="1F810985" w14:textId="77777777" w:rsidR="000D79CB" w:rsidRPr="000D79CB" w:rsidRDefault="000D79CB" w:rsidP="004A0C80">
      <w:pPr>
        <w:overflowPunct w:val="0"/>
        <w:autoSpaceDE w:val="0"/>
        <w:autoSpaceDN w:val="0"/>
        <w:adjustRightInd w:val="0"/>
        <w:spacing w:line="300" w:lineRule="auto"/>
        <w:jc w:val="center"/>
        <w:rPr>
          <w:rFonts w:ascii="Georgia" w:hAnsi="Georgia" w:cs="Arial"/>
          <w:b/>
          <w:caps/>
          <w:color w:val="000000"/>
          <w:spacing w:val="20"/>
          <w:w w:val="150"/>
          <w:sz w:val="22"/>
          <w:szCs w:val="24"/>
        </w:rPr>
      </w:pPr>
      <w:proofErr w:type="spellStart"/>
      <w:r w:rsidRPr="000D79CB">
        <w:rPr>
          <w:rFonts w:ascii="Georgia" w:hAnsi="Georgia" w:cs="Arial"/>
          <w:b/>
          <w:caps/>
          <w:color w:val="000000"/>
          <w:spacing w:val="20"/>
          <w:w w:val="150"/>
          <w:sz w:val="22"/>
          <w:szCs w:val="24"/>
        </w:rPr>
        <w:t>DUBERNEY</w:t>
      </w:r>
      <w:proofErr w:type="spellEnd"/>
      <w:r w:rsidRPr="000D79CB">
        <w:rPr>
          <w:rFonts w:ascii="Georgia" w:hAnsi="Georgia" w:cs="Arial"/>
          <w:b/>
          <w:caps/>
          <w:color w:val="000000"/>
          <w:spacing w:val="20"/>
          <w:w w:val="150"/>
          <w:sz w:val="22"/>
          <w:szCs w:val="24"/>
        </w:rPr>
        <w:t xml:space="preserve"> GRISALES HERRERA</w:t>
      </w:r>
    </w:p>
    <w:p w14:paraId="2FCE0143" w14:textId="06733951" w:rsidR="001D622F" w:rsidRPr="000D79CB" w:rsidRDefault="000D79CB" w:rsidP="004A0C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00" w:lineRule="auto"/>
        <w:jc w:val="center"/>
        <w:textAlignment w:val="baseline"/>
        <w:rPr>
          <w:rFonts w:ascii="Georgia" w:hAnsi="Georgia" w:cs="Estrangelo Edessa"/>
          <w:bCs/>
          <w:spacing w:val="-3"/>
          <w:sz w:val="22"/>
          <w:szCs w:val="24"/>
        </w:rPr>
      </w:pPr>
      <w:r w:rsidRPr="000D79CB">
        <w:rPr>
          <w:rFonts w:ascii="Georgia" w:hAnsi="Georgia" w:cs="Arial"/>
          <w:caps/>
          <w:spacing w:val="20"/>
          <w:w w:val="150"/>
          <w:sz w:val="22"/>
          <w:szCs w:val="24"/>
        </w:rPr>
        <w:t>M A G I S T R A D O</w:t>
      </w:r>
    </w:p>
    <w:sectPr w:rsidR="001D622F" w:rsidRPr="000D79CB" w:rsidSect="000D79CB">
      <w:headerReference w:type="default" r:id="rId13"/>
      <w:footerReference w:type="default" r:id="rId14"/>
      <w:pgSz w:w="12240" w:h="18720" w:code="12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67856" w14:textId="77777777" w:rsidR="00092870" w:rsidRDefault="00092870" w:rsidP="009A1240">
      <w:r>
        <w:separator/>
      </w:r>
    </w:p>
  </w:endnote>
  <w:endnote w:type="continuationSeparator" w:id="0">
    <w:p w14:paraId="582972AF" w14:textId="77777777" w:rsidR="00092870" w:rsidRDefault="00092870"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E014F" w14:textId="77777777"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14:paraId="2FCE0150" w14:textId="77777777" w:rsidR="00045CE3" w:rsidRDefault="00045CE3" w:rsidP="00045CE3">
    <w:pPr>
      <w:pStyle w:val="Piedepgina"/>
      <w:spacing w:line="360" w:lineRule="auto"/>
      <w:jc w:val="right"/>
      <w:rPr>
        <w:rFonts w:ascii="Arial" w:hAnsi="Arial" w:cs="Arial"/>
        <w:spacing w:val="20"/>
        <w:w w:val="200"/>
        <w:sz w:val="14"/>
        <w:szCs w:val="10"/>
        <w:lang w:val="es-CO"/>
      </w:rPr>
    </w:pPr>
  </w:p>
  <w:p w14:paraId="2FCE0151" w14:textId="77777777" w:rsidR="003C5098" w:rsidRPr="000D79CB" w:rsidRDefault="003C5098" w:rsidP="003C5098">
    <w:pPr>
      <w:pStyle w:val="Piedepgina"/>
      <w:spacing w:line="360" w:lineRule="auto"/>
      <w:jc w:val="right"/>
      <w:rPr>
        <w:rFonts w:ascii="Arial" w:hAnsi="Arial" w:cs="Arial"/>
        <w:spacing w:val="20"/>
        <w:w w:val="200"/>
        <w:sz w:val="10"/>
        <w:szCs w:val="10"/>
      </w:rPr>
    </w:pPr>
    <w:r w:rsidRPr="000D79CB">
      <w:rPr>
        <w:rFonts w:ascii="Arial" w:hAnsi="Arial" w:cs="Arial"/>
        <w:spacing w:val="20"/>
        <w:w w:val="200"/>
        <w:sz w:val="14"/>
        <w:szCs w:val="14"/>
      </w:rPr>
      <w:t>T</w:t>
    </w:r>
    <w:r w:rsidRPr="000D79CB">
      <w:rPr>
        <w:rFonts w:ascii="Arial" w:hAnsi="Arial" w:cs="Arial"/>
        <w:spacing w:val="20"/>
        <w:w w:val="200"/>
        <w:sz w:val="10"/>
        <w:szCs w:val="10"/>
      </w:rPr>
      <w:t xml:space="preserve">RIBUNAL </w:t>
    </w:r>
    <w:r w:rsidRPr="000D79CB">
      <w:rPr>
        <w:rFonts w:ascii="Arial" w:hAnsi="Arial" w:cs="Arial"/>
        <w:spacing w:val="20"/>
        <w:w w:val="200"/>
        <w:sz w:val="14"/>
        <w:szCs w:val="14"/>
      </w:rPr>
      <w:t>S</w:t>
    </w:r>
    <w:r w:rsidRPr="000D79CB">
      <w:rPr>
        <w:rFonts w:ascii="Arial" w:hAnsi="Arial" w:cs="Arial"/>
        <w:spacing w:val="20"/>
        <w:w w:val="200"/>
        <w:sz w:val="10"/>
        <w:szCs w:val="10"/>
      </w:rPr>
      <w:t xml:space="preserve">UPERIOR DE </w:t>
    </w:r>
    <w:r w:rsidRPr="000D79CB">
      <w:rPr>
        <w:rFonts w:ascii="Arial" w:hAnsi="Arial" w:cs="Arial"/>
        <w:spacing w:val="20"/>
        <w:w w:val="200"/>
        <w:sz w:val="14"/>
        <w:szCs w:val="14"/>
      </w:rPr>
      <w:t>P</w:t>
    </w:r>
    <w:r w:rsidRPr="000D79CB">
      <w:rPr>
        <w:rFonts w:ascii="Arial" w:hAnsi="Arial" w:cs="Arial"/>
        <w:spacing w:val="20"/>
        <w:w w:val="200"/>
        <w:sz w:val="10"/>
        <w:szCs w:val="10"/>
      </w:rPr>
      <w:t>EREIRA</w:t>
    </w:r>
  </w:p>
  <w:p w14:paraId="2FCE0152" w14:textId="77777777" w:rsidR="00045CE3" w:rsidRPr="000D79CB" w:rsidRDefault="00045CE3" w:rsidP="00045CE3">
    <w:pPr>
      <w:pStyle w:val="Piedepgina"/>
      <w:jc w:val="right"/>
    </w:pPr>
    <w:r w:rsidRPr="000D79CB">
      <w:rPr>
        <w:rFonts w:ascii="Arial" w:hAnsi="Arial" w:cs="Arial"/>
        <w:spacing w:val="20"/>
        <w:w w:val="200"/>
        <w:sz w:val="10"/>
        <w:szCs w:val="10"/>
        <w:lang w:val="es-CO"/>
      </w:rPr>
      <w:t>M</w:t>
    </w:r>
    <w:r w:rsidR="00D851DA" w:rsidRPr="000D79CB">
      <w:rPr>
        <w:rFonts w:ascii="Arial" w:hAnsi="Arial" w:cs="Arial"/>
        <w:spacing w:val="20"/>
        <w:w w:val="200"/>
        <w:sz w:val="10"/>
        <w:szCs w:val="10"/>
        <w:lang w:val="es-CO"/>
      </w:rPr>
      <w:t>S</w:t>
    </w:r>
    <w:r w:rsidRPr="000D79CB">
      <w:rPr>
        <w:rFonts w:ascii="Arial" w:hAnsi="Arial" w:cs="Arial"/>
        <w:spacing w:val="20"/>
        <w:w w:val="200"/>
        <w:sz w:val="10"/>
        <w:szCs w:val="10"/>
        <w:lang w:val="es-CO"/>
      </w:rPr>
      <w:t xml:space="preserve"> </w:t>
    </w:r>
    <w:r w:rsidRPr="000D79CB">
      <w:rPr>
        <w:rFonts w:ascii="Arial" w:hAnsi="Arial" w:cs="Arial"/>
        <w:spacing w:val="20"/>
        <w:w w:val="200"/>
        <w:sz w:val="12"/>
        <w:szCs w:val="10"/>
        <w:lang w:val="es-CO"/>
      </w:rPr>
      <w:t>D</w:t>
    </w:r>
    <w:r w:rsidRPr="000D79CB">
      <w:rPr>
        <w:rFonts w:ascii="Arial" w:hAnsi="Arial" w:cs="Arial"/>
        <w:spacing w:val="20"/>
        <w:w w:val="200"/>
        <w:sz w:val="8"/>
        <w:szCs w:val="10"/>
        <w:lang w:val="es-CO"/>
      </w:rPr>
      <w:t>UBERNEY</w:t>
    </w:r>
    <w:r w:rsidRPr="000D79CB">
      <w:rPr>
        <w:rFonts w:ascii="Arial" w:hAnsi="Arial" w:cs="Arial"/>
        <w:spacing w:val="20"/>
        <w:w w:val="200"/>
        <w:sz w:val="10"/>
        <w:szCs w:val="10"/>
        <w:lang w:val="es-CO"/>
      </w:rPr>
      <w:t xml:space="preserve"> </w:t>
    </w:r>
    <w:r w:rsidRPr="000D79CB">
      <w:rPr>
        <w:rFonts w:ascii="Arial" w:hAnsi="Arial" w:cs="Arial"/>
        <w:spacing w:val="20"/>
        <w:w w:val="200"/>
        <w:sz w:val="12"/>
        <w:szCs w:val="10"/>
        <w:lang w:val="es-CO"/>
      </w:rPr>
      <w:t>G</w:t>
    </w:r>
    <w:r w:rsidRPr="000D79CB">
      <w:rPr>
        <w:rFonts w:ascii="Arial" w:hAnsi="Arial" w:cs="Arial"/>
        <w:spacing w:val="20"/>
        <w:w w:val="200"/>
        <w:sz w:val="8"/>
        <w:szCs w:val="10"/>
        <w:lang w:val="es-CO"/>
      </w:rPr>
      <w:t>RISALES</w:t>
    </w:r>
    <w:r w:rsidRPr="000D79CB">
      <w:rPr>
        <w:rFonts w:ascii="Arial" w:hAnsi="Arial" w:cs="Arial"/>
        <w:spacing w:val="20"/>
        <w:w w:val="200"/>
        <w:sz w:val="10"/>
        <w:szCs w:val="10"/>
        <w:lang w:val="es-CO"/>
      </w:rPr>
      <w:t xml:space="preserve"> </w:t>
    </w:r>
    <w:r w:rsidRPr="000D79CB">
      <w:rPr>
        <w:rFonts w:ascii="Arial" w:hAnsi="Arial" w:cs="Arial"/>
        <w:spacing w:val="20"/>
        <w:w w:val="200"/>
        <w:sz w:val="12"/>
        <w:szCs w:val="10"/>
        <w:lang w:val="es-CO"/>
      </w:rPr>
      <w:t>H</w:t>
    </w:r>
    <w:r w:rsidRPr="000D79CB">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56A08" w14:textId="77777777" w:rsidR="00092870" w:rsidRDefault="00092870" w:rsidP="009A1240">
      <w:r>
        <w:separator/>
      </w:r>
    </w:p>
  </w:footnote>
  <w:footnote w:type="continuationSeparator" w:id="0">
    <w:p w14:paraId="278371AE" w14:textId="77777777" w:rsidR="00092870" w:rsidRDefault="00092870" w:rsidP="009A1240">
      <w:r>
        <w:continuationSeparator/>
      </w:r>
    </w:p>
  </w:footnote>
  <w:footnote w:id="1">
    <w:p w14:paraId="229C1D74" w14:textId="77777777" w:rsidR="00EC3ED3" w:rsidRPr="000D79CB" w:rsidRDefault="00EC3ED3" w:rsidP="000D79CB">
      <w:pPr>
        <w:pStyle w:val="Textonotapie"/>
        <w:jc w:val="both"/>
        <w:rPr>
          <w:rFonts w:ascii="Century" w:hAnsi="Century"/>
          <w:sz w:val="18"/>
          <w:szCs w:val="22"/>
          <w:lang w:val="es-CO"/>
        </w:rPr>
      </w:pPr>
      <w:r w:rsidRPr="000D79CB">
        <w:rPr>
          <w:rStyle w:val="Refdenotaalpie"/>
          <w:rFonts w:ascii="Century" w:hAnsi="Century"/>
          <w:sz w:val="18"/>
          <w:szCs w:val="22"/>
        </w:rPr>
        <w:footnoteRef/>
      </w:r>
      <w:r w:rsidRPr="000D79CB">
        <w:rPr>
          <w:rFonts w:ascii="Century" w:hAnsi="Century"/>
          <w:sz w:val="18"/>
          <w:szCs w:val="22"/>
        </w:rPr>
        <w:t xml:space="preserve"> </w:t>
      </w:r>
      <w:r w:rsidRPr="000D79CB">
        <w:rPr>
          <w:rFonts w:ascii="Century" w:hAnsi="Century"/>
          <w:sz w:val="18"/>
          <w:szCs w:val="22"/>
          <w:lang w:val="es-CO"/>
        </w:rPr>
        <w:t>ESCOBAR V. Édgar G. Los recursos en el Código General del Proceso. Librería jurídica Sánchez R. Ltda. 2015, p.37.</w:t>
      </w:r>
    </w:p>
  </w:footnote>
  <w:footnote w:id="2">
    <w:p w14:paraId="5A22AD3A" w14:textId="77777777" w:rsidR="00EC3ED3" w:rsidRPr="000D79CB" w:rsidRDefault="00EC3ED3" w:rsidP="000D79CB">
      <w:pPr>
        <w:pStyle w:val="Textonotapie"/>
        <w:jc w:val="both"/>
        <w:rPr>
          <w:rFonts w:ascii="Century" w:hAnsi="Century"/>
          <w:sz w:val="18"/>
          <w:szCs w:val="22"/>
        </w:rPr>
      </w:pPr>
      <w:r w:rsidRPr="000D79CB">
        <w:rPr>
          <w:rFonts w:ascii="Century" w:hAnsi="Century"/>
          <w:sz w:val="18"/>
          <w:szCs w:val="22"/>
          <w:vertAlign w:val="superscript"/>
        </w:rPr>
        <w:footnoteRef/>
      </w:r>
      <w:r w:rsidRPr="000D79CB">
        <w:rPr>
          <w:rFonts w:ascii="Century" w:hAnsi="Century"/>
          <w:sz w:val="18"/>
          <w:szCs w:val="22"/>
        </w:rPr>
        <w:t xml:space="preserve"> </w:t>
      </w:r>
      <w:r w:rsidRPr="000D79CB">
        <w:rPr>
          <w:rFonts w:ascii="Century" w:hAnsi="Century"/>
          <w:sz w:val="18"/>
          <w:szCs w:val="22"/>
          <w:lang w:val="es-CO"/>
        </w:rPr>
        <w:t>LÓPEZ B., Hernán F. Código General del Proceso, parte general, Bogotá DC, Dupre editores, 2016, p.769-776</w:t>
      </w:r>
      <w:r w:rsidRPr="000D79CB">
        <w:rPr>
          <w:rFonts w:ascii="Century" w:hAnsi="Century"/>
          <w:sz w:val="18"/>
          <w:szCs w:val="22"/>
        </w:rPr>
        <w:t>.</w:t>
      </w:r>
    </w:p>
  </w:footnote>
  <w:footnote w:id="3">
    <w:p w14:paraId="7F5C6BD9" w14:textId="77777777" w:rsidR="00EC3ED3" w:rsidRPr="000D79CB" w:rsidRDefault="00EC3ED3" w:rsidP="000D79CB">
      <w:pPr>
        <w:pStyle w:val="Textonotapie"/>
        <w:jc w:val="both"/>
        <w:rPr>
          <w:rFonts w:ascii="Century" w:hAnsi="Century"/>
          <w:sz w:val="18"/>
          <w:szCs w:val="22"/>
        </w:rPr>
      </w:pPr>
      <w:r w:rsidRPr="000D79CB">
        <w:rPr>
          <w:rFonts w:ascii="Century" w:hAnsi="Century"/>
          <w:sz w:val="18"/>
          <w:szCs w:val="22"/>
          <w:vertAlign w:val="superscript"/>
        </w:rPr>
        <w:footnoteRef/>
      </w:r>
      <w:r w:rsidRPr="000D79CB">
        <w:rPr>
          <w:rFonts w:ascii="Century" w:hAnsi="Century"/>
          <w:sz w:val="18"/>
          <w:szCs w:val="22"/>
        </w:rPr>
        <w:t xml:space="preserve"> PARRA Q., Jairo. Derecho procesal civil, tomo I, Santafé de Bogotá D.C., Temis, 1992, p.276.</w:t>
      </w:r>
    </w:p>
  </w:footnote>
  <w:footnote w:id="4">
    <w:p w14:paraId="17A2659C" w14:textId="77777777" w:rsidR="00EC3ED3" w:rsidRPr="000D79CB" w:rsidRDefault="00EC3ED3" w:rsidP="000D79CB">
      <w:pPr>
        <w:pStyle w:val="Sinespaciado"/>
        <w:jc w:val="both"/>
        <w:rPr>
          <w:rFonts w:ascii="Century" w:hAnsi="Century"/>
          <w:sz w:val="18"/>
          <w:szCs w:val="22"/>
        </w:rPr>
      </w:pPr>
      <w:r w:rsidRPr="000D79CB">
        <w:rPr>
          <w:rFonts w:ascii="Century" w:hAnsi="Century"/>
          <w:sz w:val="18"/>
          <w:szCs w:val="22"/>
          <w:vertAlign w:val="superscript"/>
        </w:rPr>
        <w:footnoteRef/>
      </w:r>
      <w:r w:rsidRPr="000D79CB">
        <w:rPr>
          <w:rFonts w:ascii="Century" w:hAnsi="Century"/>
          <w:sz w:val="18"/>
          <w:szCs w:val="22"/>
        </w:rPr>
        <w:t xml:space="preserve"> </w:t>
      </w:r>
      <w:r w:rsidRPr="000D79CB">
        <w:rPr>
          <w:rFonts w:ascii="Century" w:hAnsi="Century"/>
          <w:sz w:val="18"/>
          <w:szCs w:val="22"/>
          <w:lang w:val="es-CO"/>
        </w:rPr>
        <w:t xml:space="preserve">LÓPEZ B., Hernán F. </w:t>
      </w:r>
      <w:r w:rsidRPr="000D79CB">
        <w:rPr>
          <w:rFonts w:ascii="Century" w:hAnsi="Century"/>
          <w:sz w:val="18"/>
          <w:szCs w:val="22"/>
        </w:rPr>
        <w:t>Ob. cit., p.769.</w:t>
      </w:r>
    </w:p>
  </w:footnote>
  <w:footnote w:id="5">
    <w:p w14:paraId="4C20DC3A" w14:textId="77777777" w:rsidR="00EC3ED3" w:rsidRPr="000D79CB" w:rsidRDefault="00EC3ED3" w:rsidP="000D79CB">
      <w:pPr>
        <w:pStyle w:val="Textonotapie"/>
        <w:jc w:val="both"/>
        <w:rPr>
          <w:rFonts w:ascii="Century" w:hAnsi="Century"/>
          <w:sz w:val="18"/>
          <w:szCs w:val="22"/>
          <w:lang w:val="es-CO"/>
        </w:rPr>
      </w:pPr>
      <w:r w:rsidRPr="000D79CB">
        <w:rPr>
          <w:rStyle w:val="Refdenotaalpie"/>
          <w:rFonts w:ascii="Century" w:hAnsi="Century"/>
          <w:sz w:val="18"/>
          <w:szCs w:val="22"/>
        </w:rPr>
        <w:footnoteRef/>
      </w:r>
      <w:r w:rsidRPr="000D79CB">
        <w:rPr>
          <w:rFonts w:ascii="Century" w:hAnsi="Century"/>
          <w:sz w:val="18"/>
          <w:szCs w:val="22"/>
        </w:rPr>
        <w:t xml:space="preserve"> </w:t>
      </w:r>
      <w:r w:rsidRPr="000D79CB">
        <w:rPr>
          <w:rFonts w:ascii="Century" w:hAnsi="Century"/>
          <w:sz w:val="18"/>
          <w:szCs w:val="22"/>
          <w:lang w:val="es-CO"/>
        </w:rPr>
        <w:t>ROJAS G., Miguel E. Lecciones de derecho procesal, procedimiento civil, tomo II, ESAJU, 2017, 6ª edición, Bogotá, p.429.</w:t>
      </w:r>
    </w:p>
  </w:footnote>
  <w:footnote w:id="6">
    <w:p w14:paraId="23AD6CA5" w14:textId="77777777" w:rsidR="00EC3ED3" w:rsidRPr="000D79CB" w:rsidRDefault="00EC3ED3" w:rsidP="000D79CB">
      <w:pPr>
        <w:pStyle w:val="Textonotapie"/>
        <w:jc w:val="both"/>
        <w:rPr>
          <w:rFonts w:ascii="Century" w:hAnsi="Century"/>
          <w:sz w:val="18"/>
          <w:szCs w:val="22"/>
          <w:lang w:val="es-CO"/>
        </w:rPr>
      </w:pPr>
      <w:r w:rsidRPr="000D79CB">
        <w:rPr>
          <w:rStyle w:val="Refdenotaalpie"/>
          <w:rFonts w:ascii="Century" w:hAnsi="Century"/>
          <w:sz w:val="18"/>
          <w:szCs w:val="22"/>
        </w:rPr>
        <w:footnoteRef/>
      </w:r>
      <w:r w:rsidRPr="000D79CB">
        <w:rPr>
          <w:rFonts w:ascii="Century" w:hAnsi="Century"/>
          <w:sz w:val="18"/>
          <w:szCs w:val="22"/>
        </w:rPr>
        <w:t xml:space="preserve"> </w:t>
      </w:r>
      <w:r w:rsidRPr="000D79CB">
        <w:rPr>
          <w:rFonts w:ascii="Century" w:hAnsi="Century"/>
          <w:sz w:val="18"/>
          <w:szCs w:val="22"/>
          <w:lang w:val="es-CO"/>
        </w:rPr>
        <w:t>CSJ. Sala Civil. Sentencia del 17-09-1992; MP: Ospina B.</w:t>
      </w:r>
    </w:p>
  </w:footnote>
  <w:footnote w:id="7">
    <w:p w14:paraId="4F2DCC09" w14:textId="77777777" w:rsidR="00EC3ED3" w:rsidRPr="000D79CB" w:rsidRDefault="00EC3ED3" w:rsidP="000D79CB">
      <w:pPr>
        <w:pStyle w:val="Textonotapie"/>
        <w:jc w:val="both"/>
        <w:rPr>
          <w:rFonts w:ascii="Century" w:hAnsi="Century"/>
          <w:sz w:val="18"/>
          <w:szCs w:val="22"/>
          <w:lang w:val="es-CO"/>
        </w:rPr>
      </w:pPr>
      <w:r w:rsidRPr="000D79CB">
        <w:rPr>
          <w:rStyle w:val="Refdenotaalpie"/>
          <w:rFonts w:ascii="Century" w:hAnsi="Century"/>
          <w:sz w:val="18"/>
          <w:szCs w:val="22"/>
        </w:rPr>
        <w:footnoteRef/>
      </w:r>
      <w:r w:rsidRPr="000D79CB">
        <w:rPr>
          <w:rFonts w:ascii="Century" w:hAnsi="Century"/>
          <w:sz w:val="18"/>
          <w:szCs w:val="22"/>
        </w:rPr>
        <w:t xml:space="preserve"> </w:t>
      </w:r>
      <w:r w:rsidRPr="000D79CB">
        <w:rPr>
          <w:rFonts w:ascii="Century" w:hAnsi="Century"/>
          <w:sz w:val="18"/>
          <w:szCs w:val="22"/>
          <w:lang w:val="es-CO"/>
        </w:rPr>
        <w:t>CSJ. STC12737-2017.</w:t>
      </w:r>
    </w:p>
  </w:footnote>
  <w:footnote w:id="8">
    <w:p w14:paraId="2AF943CC" w14:textId="77777777" w:rsidR="00EC3ED3" w:rsidRPr="000D79CB" w:rsidRDefault="00EC3ED3" w:rsidP="000D79CB">
      <w:pPr>
        <w:pStyle w:val="Textonotapie"/>
        <w:jc w:val="both"/>
        <w:rPr>
          <w:rFonts w:ascii="Century" w:hAnsi="Century"/>
          <w:sz w:val="18"/>
          <w:szCs w:val="22"/>
          <w:lang w:val="es-CO"/>
        </w:rPr>
      </w:pPr>
      <w:r w:rsidRPr="000D79CB">
        <w:rPr>
          <w:rStyle w:val="Refdenotaalpie"/>
          <w:rFonts w:ascii="Century" w:hAnsi="Century"/>
          <w:sz w:val="18"/>
          <w:szCs w:val="22"/>
        </w:rPr>
        <w:footnoteRef/>
      </w:r>
      <w:r w:rsidRPr="000D79CB">
        <w:rPr>
          <w:rFonts w:ascii="Century" w:hAnsi="Century"/>
          <w:sz w:val="18"/>
          <w:szCs w:val="22"/>
        </w:rPr>
        <w:t xml:space="preserve"> </w:t>
      </w:r>
      <w:r w:rsidRPr="000D79CB">
        <w:rPr>
          <w:rFonts w:ascii="Century" w:hAnsi="Century"/>
          <w:sz w:val="18"/>
          <w:szCs w:val="22"/>
          <w:lang w:val="es-CO"/>
        </w:rPr>
        <w:t>LÓPEZ B., Hernán F.</w:t>
      </w:r>
      <w:r w:rsidRPr="000D79CB">
        <w:rPr>
          <w:rFonts w:ascii="Century" w:hAnsi="Century"/>
          <w:sz w:val="18"/>
          <w:szCs w:val="22"/>
        </w:rPr>
        <w:t xml:space="preserve"> Ob. cit., p.776.</w:t>
      </w:r>
    </w:p>
  </w:footnote>
  <w:footnote w:id="9">
    <w:p w14:paraId="37AAAA5F" w14:textId="77777777" w:rsidR="00EC3ED3" w:rsidRPr="000D79CB" w:rsidRDefault="00EC3ED3" w:rsidP="000D79CB">
      <w:pPr>
        <w:pStyle w:val="Textonotapie"/>
        <w:jc w:val="both"/>
        <w:rPr>
          <w:rFonts w:ascii="Century" w:hAnsi="Century"/>
          <w:sz w:val="18"/>
          <w:szCs w:val="22"/>
          <w:lang w:val="es-CO"/>
        </w:rPr>
      </w:pPr>
      <w:r w:rsidRPr="000D79CB">
        <w:rPr>
          <w:rStyle w:val="Refdenotaalpie"/>
          <w:rFonts w:ascii="Century" w:hAnsi="Century"/>
          <w:sz w:val="18"/>
          <w:szCs w:val="22"/>
        </w:rPr>
        <w:footnoteRef/>
      </w:r>
      <w:r w:rsidRPr="000D79CB">
        <w:rPr>
          <w:rFonts w:ascii="Century" w:hAnsi="Century"/>
          <w:sz w:val="18"/>
          <w:szCs w:val="22"/>
        </w:rPr>
        <w:t xml:space="preserve"> </w:t>
      </w:r>
      <w:r w:rsidRPr="000D79CB">
        <w:rPr>
          <w:rFonts w:ascii="Century" w:hAnsi="Century"/>
          <w:sz w:val="18"/>
          <w:szCs w:val="22"/>
          <w:lang w:val="es-CO"/>
        </w:rPr>
        <w:t>ROJAS G., Miguel E. Código General del Proceso comentado, ESAJU, 2017, Bogotá DC, p.511.</w:t>
      </w:r>
    </w:p>
  </w:footnote>
  <w:footnote w:id="10">
    <w:p w14:paraId="143F5FCA" w14:textId="77777777" w:rsidR="004E272C" w:rsidRPr="000D79CB" w:rsidRDefault="004E272C" w:rsidP="000D79CB">
      <w:pPr>
        <w:pStyle w:val="Sinespaciado"/>
        <w:jc w:val="both"/>
        <w:rPr>
          <w:rFonts w:ascii="Century" w:hAnsi="Century"/>
          <w:sz w:val="18"/>
          <w:szCs w:val="22"/>
        </w:rPr>
      </w:pPr>
      <w:r w:rsidRPr="000D79CB">
        <w:rPr>
          <w:rFonts w:ascii="Century" w:hAnsi="Century"/>
          <w:sz w:val="18"/>
          <w:szCs w:val="22"/>
          <w:vertAlign w:val="superscript"/>
        </w:rPr>
        <w:footnoteRef/>
      </w:r>
      <w:r w:rsidRPr="000D79CB">
        <w:rPr>
          <w:rFonts w:ascii="Century" w:hAnsi="Century"/>
          <w:sz w:val="18"/>
          <w:szCs w:val="22"/>
        </w:rPr>
        <w:t xml:space="preserve"> </w:t>
      </w:r>
      <w:r w:rsidRPr="000D79CB">
        <w:rPr>
          <w:rFonts w:ascii="Century" w:hAnsi="Century"/>
          <w:sz w:val="18"/>
          <w:szCs w:val="22"/>
          <w:lang w:val="es-CO"/>
        </w:rPr>
        <w:t>LÓPEZ B., Hernán F.</w:t>
      </w:r>
      <w:r w:rsidRPr="000D79CB">
        <w:rPr>
          <w:rFonts w:ascii="Century" w:hAnsi="Century"/>
          <w:sz w:val="18"/>
          <w:szCs w:val="22"/>
        </w:rPr>
        <w:t xml:space="preserve"> Ob. cit., p.778.</w:t>
      </w:r>
    </w:p>
  </w:footnote>
  <w:footnote w:id="11">
    <w:p w14:paraId="5E4A7B8F" w14:textId="77777777" w:rsidR="004E272C" w:rsidRPr="000D79CB" w:rsidRDefault="004E272C" w:rsidP="000D79CB">
      <w:pPr>
        <w:pStyle w:val="Textonotapie"/>
        <w:jc w:val="both"/>
        <w:rPr>
          <w:rFonts w:ascii="Century" w:hAnsi="Century"/>
          <w:sz w:val="18"/>
          <w:szCs w:val="22"/>
        </w:rPr>
      </w:pPr>
      <w:r w:rsidRPr="000D79CB">
        <w:rPr>
          <w:rStyle w:val="Refdenotaalpie"/>
          <w:rFonts w:ascii="Century" w:hAnsi="Century"/>
          <w:sz w:val="18"/>
          <w:szCs w:val="22"/>
        </w:rPr>
        <w:footnoteRef/>
      </w:r>
      <w:r w:rsidRPr="000D79CB">
        <w:rPr>
          <w:rFonts w:ascii="Century" w:hAnsi="Century"/>
          <w:sz w:val="18"/>
          <w:szCs w:val="22"/>
        </w:rPr>
        <w:t xml:space="preserve"> </w:t>
      </w:r>
      <w:r w:rsidRPr="000D79CB">
        <w:rPr>
          <w:rFonts w:ascii="Century" w:hAnsi="Century"/>
          <w:sz w:val="18"/>
          <w:szCs w:val="22"/>
          <w:lang w:val="es-CO"/>
        </w:rPr>
        <w:t>ROJAS G., Miguel E.</w:t>
      </w:r>
      <w:r w:rsidRPr="000D79CB">
        <w:rPr>
          <w:rFonts w:ascii="Century" w:hAnsi="Century"/>
          <w:sz w:val="18"/>
          <w:szCs w:val="22"/>
        </w:rPr>
        <w:t xml:space="preserve"> Lecciones de derecho procesal, Teoría del proceso, tomo I, </w:t>
      </w:r>
      <w:r w:rsidRPr="000D79CB">
        <w:rPr>
          <w:rFonts w:ascii="Century" w:hAnsi="Century"/>
          <w:sz w:val="18"/>
          <w:szCs w:val="22"/>
          <w:lang w:val="es-CO"/>
        </w:rPr>
        <w:t>ESAJU</w:t>
      </w:r>
      <w:r w:rsidRPr="000D79CB">
        <w:rPr>
          <w:rFonts w:ascii="Century" w:hAnsi="Century"/>
          <w:sz w:val="18"/>
          <w:szCs w:val="22"/>
        </w:rPr>
        <w:t>, 3ª edición, 2013, Bogotá DC, p.204.</w:t>
      </w:r>
    </w:p>
  </w:footnote>
  <w:footnote w:id="12">
    <w:p w14:paraId="6A72F91C" w14:textId="77777777" w:rsidR="004E272C" w:rsidRPr="000D79CB" w:rsidRDefault="004E272C" w:rsidP="000D79CB">
      <w:pPr>
        <w:pStyle w:val="Textonotapie"/>
        <w:jc w:val="both"/>
        <w:rPr>
          <w:rFonts w:ascii="Century" w:hAnsi="Century"/>
          <w:sz w:val="18"/>
          <w:szCs w:val="22"/>
        </w:rPr>
      </w:pPr>
      <w:r w:rsidRPr="000D79CB">
        <w:rPr>
          <w:rStyle w:val="Refdenotaalpie"/>
          <w:rFonts w:ascii="Century" w:hAnsi="Century"/>
          <w:sz w:val="18"/>
          <w:szCs w:val="22"/>
        </w:rPr>
        <w:footnoteRef/>
      </w:r>
      <w:r w:rsidRPr="000D79CB">
        <w:rPr>
          <w:rFonts w:ascii="Century" w:hAnsi="Century"/>
          <w:sz w:val="18"/>
          <w:szCs w:val="22"/>
        </w:rPr>
        <w:t xml:space="preserve"> CSJ. SC-10223-2014.</w:t>
      </w:r>
    </w:p>
  </w:footnote>
  <w:footnote w:id="13">
    <w:p w14:paraId="57CB910B" w14:textId="77777777" w:rsidR="004E272C" w:rsidRPr="000D79CB" w:rsidRDefault="004E272C" w:rsidP="000D79CB">
      <w:pPr>
        <w:pStyle w:val="Textonotapie"/>
        <w:jc w:val="both"/>
        <w:rPr>
          <w:rFonts w:ascii="Century" w:hAnsi="Century"/>
          <w:sz w:val="18"/>
          <w:szCs w:val="22"/>
        </w:rPr>
      </w:pPr>
      <w:r w:rsidRPr="000D79CB">
        <w:rPr>
          <w:rStyle w:val="Refdenotaalpie"/>
          <w:rFonts w:ascii="Century" w:hAnsi="Century"/>
          <w:sz w:val="18"/>
          <w:szCs w:val="22"/>
        </w:rPr>
        <w:footnoteRef/>
      </w:r>
      <w:r w:rsidRPr="000D79CB">
        <w:rPr>
          <w:rFonts w:ascii="Century" w:hAnsi="Century"/>
          <w:sz w:val="18"/>
          <w:szCs w:val="22"/>
        </w:rPr>
        <w:t xml:space="preserve"> CC. C-365 de 18 de agosto de 1994; C-165 de 17 de marzo de 1999, expediente D-2188.</w:t>
      </w:r>
    </w:p>
  </w:footnote>
  <w:footnote w:id="14">
    <w:p w14:paraId="37884616" w14:textId="77777777" w:rsidR="004E272C" w:rsidRPr="000D79CB" w:rsidRDefault="004E272C" w:rsidP="000D79CB">
      <w:pPr>
        <w:pStyle w:val="Textonotapie"/>
        <w:jc w:val="both"/>
        <w:rPr>
          <w:rFonts w:ascii="Century" w:hAnsi="Century"/>
          <w:sz w:val="18"/>
          <w:szCs w:val="22"/>
        </w:rPr>
      </w:pPr>
      <w:r w:rsidRPr="000D79CB">
        <w:rPr>
          <w:rFonts w:ascii="Century" w:hAnsi="Century"/>
          <w:sz w:val="18"/>
          <w:szCs w:val="22"/>
          <w:vertAlign w:val="superscript"/>
        </w:rPr>
        <w:footnoteRef/>
      </w:r>
      <w:r w:rsidRPr="000D79CB">
        <w:rPr>
          <w:rFonts w:ascii="Century" w:hAnsi="Century"/>
          <w:sz w:val="18"/>
          <w:szCs w:val="22"/>
          <w:lang w:val="es-CO"/>
        </w:rPr>
        <w:t xml:space="preserve"> CC. Sentencia C-365 de 1994. </w:t>
      </w:r>
    </w:p>
  </w:footnote>
  <w:footnote w:id="15">
    <w:p w14:paraId="01F593D6" w14:textId="77777777" w:rsidR="004E272C" w:rsidRPr="000D79CB" w:rsidRDefault="004E272C" w:rsidP="000D79CB">
      <w:pPr>
        <w:pStyle w:val="Textonotapie"/>
        <w:jc w:val="both"/>
        <w:rPr>
          <w:rFonts w:ascii="Century" w:hAnsi="Century"/>
          <w:sz w:val="18"/>
          <w:szCs w:val="22"/>
        </w:rPr>
      </w:pPr>
      <w:r w:rsidRPr="000D79CB">
        <w:rPr>
          <w:rStyle w:val="Refdenotaalpie"/>
          <w:rFonts w:ascii="Century" w:hAnsi="Century" w:cs="Calibri"/>
          <w:sz w:val="18"/>
          <w:szCs w:val="22"/>
        </w:rPr>
        <w:footnoteRef/>
      </w:r>
      <w:r w:rsidRPr="000D79CB">
        <w:rPr>
          <w:rFonts w:ascii="Century" w:hAnsi="Century" w:cs="Calibri"/>
          <w:sz w:val="18"/>
          <w:szCs w:val="22"/>
        </w:rPr>
        <w:t xml:space="preserve"> CSJ, Sala Civil. Auto del 30-08-1984; MP: Murcia B.</w:t>
      </w:r>
    </w:p>
  </w:footnote>
  <w:footnote w:id="16">
    <w:p w14:paraId="2FCE015C" w14:textId="3146A6F7" w:rsidR="008C0972" w:rsidRPr="000D79CB" w:rsidRDefault="008C0972" w:rsidP="000D79CB">
      <w:pPr>
        <w:pStyle w:val="Textonotapie"/>
        <w:jc w:val="both"/>
        <w:rPr>
          <w:rFonts w:ascii="Century" w:hAnsi="Century"/>
          <w:sz w:val="18"/>
          <w:szCs w:val="22"/>
          <w:lang w:val="es-CO"/>
        </w:rPr>
      </w:pPr>
      <w:r w:rsidRPr="000D79CB">
        <w:rPr>
          <w:rStyle w:val="Refdenotaalpie"/>
          <w:rFonts w:ascii="Century" w:hAnsi="Century"/>
          <w:sz w:val="18"/>
          <w:szCs w:val="22"/>
        </w:rPr>
        <w:footnoteRef/>
      </w:r>
      <w:r w:rsidRPr="000D79CB">
        <w:rPr>
          <w:rFonts w:ascii="Century" w:hAnsi="Century"/>
          <w:sz w:val="18"/>
          <w:szCs w:val="22"/>
        </w:rPr>
        <w:t xml:space="preserve"> </w:t>
      </w:r>
      <w:r w:rsidR="00A75803" w:rsidRPr="000D79CB">
        <w:rPr>
          <w:rFonts w:ascii="Century" w:hAnsi="Century"/>
          <w:sz w:val="18"/>
          <w:szCs w:val="22"/>
          <w:lang w:val="es-CO"/>
        </w:rPr>
        <w:t>ESCOBAR V. Édgar G.</w:t>
      </w:r>
      <w:r w:rsidR="00805077" w:rsidRPr="000D79CB">
        <w:rPr>
          <w:rFonts w:ascii="Century" w:hAnsi="Century"/>
          <w:sz w:val="18"/>
          <w:szCs w:val="22"/>
        </w:rPr>
        <w:t xml:space="preserve"> </w:t>
      </w:r>
      <w:r w:rsidR="00A75803" w:rsidRPr="000D79CB">
        <w:rPr>
          <w:rFonts w:ascii="Century" w:hAnsi="Century"/>
          <w:sz w:val="18"/>
          <w:szCs w:val="22"/>
        </w:rPr>
        <w:t>Ob. cit.</w:t>
      </w:r>
      <w:r w:rsidR="00805077" w:rsidRPr="000D79CB">
        <w:rPr>
          <w:rFonts w:ascii="Century" w:hAnsi="Century"/>
          <w:sz w:val="18"/>
          <w:szCs w:val="22"/>
        </w:rPr>
        <w:t>, p.75.</w:t>
      </w:r>
    </w:p>
  </w:footnote>
  <w:footnote w:id="17">
    <w:p w14:paraId="2FCE015D" w14:textId="12A35D21" w:rsidR="00805077" w:rsidRPr="000D79CB" w:rsidRDefault="00805077" w:rsidP="000D79CB">
      <w:pPr>
        <w:pStyle w:val="Textonotapie"/>
        <w:jc w:val="both"/>
        <w:rPr>
          <w:rFonts w:ascii="Century" w:hAnsi="Century"/>
          <w:sz w:val="18"/>
          <w:szCs w:val="22"/>
          <w:lang w:val="es-CO"/>
        </w:rPr>
      </w:pPr>
      <w:r w:rsidRPr="000D79CB">
        <w:rPr>
          <w:rStyle w:val="Refdenotaalpie"/>
          <w:rFonts w:ascii="Century" w:hAnsi="Century"/>
          <w:sz w:val="18"/>
          <w:szCs w:val="22"/>
        </w:rPr>
        <w:footnoteRef/>
      </w:r>
      <w:r w:rsidRPr="000D79CB">
        <w:rPr>
          <w:rFonts w:ascii="Century" w:hAnsi="Century"/>
          <w:sz w:val="18"/>
          <w:szCs w:val="22"/>
        </w:rPr>
        <w:t xml:space="preserve"> </w:t>
      </w:r>
      <w:r w:rsidR="00E67A74" w:rsidRPr="000D79CB">
        <w:rPr>
          <w:rFonts w:ascii="Century" w:hAnsi="Century"/>
          <w:sz w:val="18"/>
          <w:szCs w:val="22"/>
          <w:lang w:val="es-CO"/>
        </w:rPr>
        <w:t>ROJAS G., Miguel E. Lecciones de derecho procesal, procedimiento civil, tomo II, ESAJU, 2017, 6ª edición, Bogotá, p.</w:t>
      </w:r>
      <w:r w:rsidRPr="000D79CB">
        <w:rPr>
          <w:rFonts w:ascii="Century" w:hAnsi="Century" w:cs="Calibri"/>
          <w:sz w:val="18"/>
          <w:szCs w:val="22"/>
        </w:rPr>
        <w:t>353.</w:t>
      </w:r>
    </w:p>
  </w:footnote>
  <w:footnote w:id="18">
    <w:p w14:paraId="2FCE015E" w14:textId="15090141" w:rsidR="00805077" w:rsidRPr="000D79CB" w:rsidRDefault="00805077" w:rsidP="000D79CB">
      <w:pPr>
        <w:pStyle w:val="Textonotapie"/>
        <w:jc w:val="both"/>
        <w:rPr>
          <w:rFonts w:ascii="Century" w:hAnsi="Century"/>
          <w:sz w:val="18"/>
          <w:szCs w:val="22"/>
          <w:lang w:val="es-CO"/>
        </w:rPr>
      </w:pPr>
      <w:r w:rsidRPr="000D79CB">
        <w:rPr>
          <w:rStyle w:val="Refdenotaalpie"/>
          <w:rFonts w:ascii="Century" w:hAnsi="Century"/>
          <w:sz w:val="18"/>
          <w:szCs w:val="22"/>
        </w:rPr>
        <w:footnoteRef/>
      </w:r>
      <w:r w:rsidRPr="000D79CB">
        <w:rPr>
          <w:rFonts w:ascii="Century" w:hAnsi="Century"/>
          <w:sz w:val="18"/>
          <w:szCs w:val="22"/>
        </w:rPr>
        <w:t xml:space="preserve"> PELÁEZ H</w:t>
      </w:r>
      <w:r w:rsidR="00E67A74" w:rsidRPr="000D79CB">
        <w:rPr>
          <w:rFonts w:ascii="Century" w:hAnsi="Century"/>
          <w:sz w:val="18"/>
          <w:szCs w:val="22"/>
        </w:rPr>
        <w:t>.</w:t>
      </w:r>
      <w:r w:rsidRPr="000D79CB">
        <w:rPr>
          <w:rFonts w:ascii="Century" w:hAnsi="Century"/>
          <w:sz w:val="18"/>
          <w:szCs w:val="22"/>
        </w:rPr>
        <w:t xml:space="preserve">, </w:t>
      </w:r>
      <w:r w:rsidR="00373580" w:rsidRPr="000D79CB">
        <w:rPr>
          <w:rFonts w:ascii="Century" w:hAnsi="Century"/>
          <w:sz w:val="18"/>
          <w:szCs w:val="22"/>
        </w:rPr>
        <w:t>Ramón A. La oralidad en el proceso civil, Ediciones Nueva Jurídica, 2ª edición, 2015, Bogotá DC, P.71.</w:t>
      </w:r>
    </w:p>
  </w:footnote>
  <w:footnote w:id="19">
    <w:p w14:paraId="2FCE015F" w14:textId="0B715578" w:rsidR="00E31D06" w:rsidRPr="000D79CB" w:rsidRDefault="00E31D06" w:rsidP="000D79CB">
      <w:pPr>
        <w:pStyle w:val="Textonotapie"/>
        <w:jc w:val="both"/>
        <w:rPr>
          <w:rFonts w:ascii="Century" w:hAnsi="Century"/>
          <w:sz w:val="18"/>
          <w:szCs w:val="22"/>
        </w:rPr>
      </w:pPr>
      <w:r w:rsidRPr="000D79CB">
        <w:rPr>
          <w:rStyle w:val="Refdenotaalpie"/>
          <w:rFonts w:ascii="Century" w:hAnsi="Century" w:cs="Calibri"/>
          <w:sz w:val="18"/>
          <w:szCs w:val="22"/>
        </w:rPr>
        <w:footnoteRef/>
      </w:r>
      <w:r w:rsidRPr="000D79CB">
        <w:rPr>
          <w:rFonts w:ascii="Century" w:hAnsi="Century" w:cs="Calibri"/>
          <w:sz w:val="18"/>
          <w:szCs w:val="22"/>
        </w:rPr>
        <w:t xml:space="preserve"> </w:t>
      </w:r>
      <w:r w:rsidR="00E67A74" w:rsidRPr="000D79CB">
        <w:rPr>
          <w:rFonts w:ascii="Century" w:hAnsi="Century"/>
          <w:sz w:val="18"/>
          <w:szCs w:val="22"/>
          <w:lang w:val="es-CO"/>
        </w:rPr>
        <w:t>ROJAS G., Miguel E.</w:t>
      </w:r>
      <w:r w:rsidR="001448A9" w:rsidRPr="000D79CB">
        <w:rPr>
          <w:rFonts w:ascii="Century" w:hAnsi="Century"/>
          <w:sz w:val="18"/>
          <w:szCs w:val="22"/>
          <w:lang w:val="es-CO"/>
        </w:rPr>
        <w:t xml:space="preserve"> Ob. cit., </w:t>
      </w:r>
      <w:r w:rsidRPr="000D79CB">
        <w:rPr>
          <w:rFonts w:ascii="Century" w:hAnsi="Century" w:cs="Calibri"/>
          <w:sz w:val="18"/>
          <w:szCs w:val="22"/>
        </w:rPr>
        <w:t>p.</w:t>
      </w:r>
      <w:r w:rsidR="00115557" w:rsidRPr="000D79CB">
        <w:rPr>
          <w:rFonts w:ascii="Century" w:hAnsi="Century" w:cs="Calibri"/>
          <w:sz w:val="18"/>
          <w:szCs w:val="22"/>
        </w:rPr>
        <w:t>353</w:t>
      </w:r>
      <w:r w:rsidRPr="000D79CB">
        <w:rPr>
          <w:rFonts w:ascii="Century" w:hAnsi="Century" w:cs="Calibri"/>
          <w:sz w:val="18"/>
          <w:szCs w:val="22"/>
        </w:rPr>
        <w:t>.</w:t>
      </w:r>
    </w:p>
  </w:footnote>
  <w:footnote w:id="20">
    <w:p w14:paraId="2FCE0160" w14:textId="5489335F" w:rsidR="00C11794" w:rsidRPr="000D79CB" w:rsidRDefault="00C11794" w:rsidP="000D79CB">
      <w:pPr>
        <w:pStyle w:val="Textonotapie"/>
        <w:jc w:val="both"/>
        <w:rPr>
          <w:rFonts w:ascii="Century" w:hAnsi="Century"/>
          <w:sz w:val="18"/>
          <w:szCs w:val="22"/>
          <w:lang w:val="es-CO"/>
        </w:rPr>
      </w:pPr>
      <w:r w:rsidRPr="000D79CB">
        <w:rPr>
          <w:rStyle w:val="Refdenotaalpie"/>
          <w:rFonts w:ascii="Century" w:hAnsi="Century"/>
          <w:sz w:val="18"/>
          <w:szCs w:val="22"/>
        </w:rPr>
        <w:footnoteRef/>
      </w:r>
      <w:r w:rsidRPr="000D79CB">
        <w:rPr>
          <w:rFonts w:ascii="Century" w:hAnsi="Century"/>
          <w:sz w:val="18"/>
          <w:szCs w:val="22"/>
        </w:rPr>
        <w:t xml:space="preserve"> </w:t>
      </w:r>
      <w:r w:rsidR="001448A9" w:rsidRPr="000D79CB">
        <w:rPr>
          <w:rFonts w:ascii="Century" w:hAnsi="Century"/>
          <w:sz w:val="18"/>
          <w:szCs w:val="22"/>
          <w:lang w:val="es-CO"/>
        </w:rPr>
        <w:t>LÓPEZ B., Hernán F.</w:t>
      </w:r>
      <w:r w:rsidR="001448A9" w:rsidRPr="000D79CB">
        <w:rPr>
          <w:rFonts w:ascii="Century" w:hAnsi="Century"/>
          <w:sz w:val="18"/>
          <w:szCs w:val="22"/>
        </w:rPr>
        <w:t xml:space="preserve"> Ob. cit., </w:t>
      </w:r>
      <w:r w:rsidRPr="000D79CB">
        <w:rPr>
          <w:rFonts w:ascii="Century" w:hAnsi="Century" w:cs="Calibri"/>
          <w:sz w:val="18"/>
          <w:szCs w:val="22"/>
        </w:rPr>
        <w:t>p.801.</w:t>
      </w:r>
    </w:p>
  </w:footnote>
  <w:footnote w:id="21">
    <w:p w14:paraId="2FCE0161" w14:textId="3A54B9A8" w:rsidR="00C11794" w:rsidRPr="000D79CB" w:rsidRDefault="00C11794" w:rsidP="000D79CB">
      <w:pPr>
        <w:pStyle w:val="Textonotapie"/>
        <w:jc w:val="both"/>
        <w:rPr>
          <w:rFonts w:ascii="Century" w:hAnsi="Century"/>
          <w:sz w:val="18"/>
          <w:szCs w:val="22"/>
          <w:lang w:val="es-CO"/>
        </w:rPr>
      </w:pPr>
      <w:r w:rsidRPr="000D79CB">
        <w:rPr>
          <w:rStyle w:val="Refdenotaalpie"/>
          <w:rFonts w:ascii="Century" w:hAnsi="Century"/>
          <w:sz w:val="18"/>
          <w:szCs w:val="22"/>
        </w:rPr>
        <w:footnoteRef/>
      </w:r>
      <w:r w:rsidRPr="000D79CB">
        <w:rPr>
          <w:rFonts w:ascii="Century" w:hAnsi="Century"/>
          <w:sz w:val="18"/>
          <w:szCs w:val="22"/>
        </w:rPr>
        <w:t xml:space="preserve"> </w:t>
      </w:r>
      <w:r w:rsidRPr="000D79CB">
        <w:rPr>
          <w:rFonts w:ascii="Century" w:hAnsi="Century" w:cs="Calibri"/>
          <w:sz w:val="18"/>
          <w:szCs w:val="22"/>
          <w:lang w:val="es-CO"/>
        </w:rPr>
        <w:t>T</w:t>
      </w:r>
      <w:r w:rsidR="009A7A51" w:rsidRPr="000D79CB">
        <w:rPr>
          <w:rFonts w:ascii="Century" w:hAnsi="Century" w:cs="Calibri"/>
          <w:sz w:val="18"/>
          <w:szCs w:val="22"/>
          <w:lang w:val="es-CO"/>
        </w:rPr>
        <w:t>S</w:t>
      </w:r>
      <w:r w:rsidRPr="000D79CB">
        <w:rPr>
          <w:rFonts w:ascii="Century" w:hAnsi="Century" w:cs="Calibri"/>
          <w:sz w:val="18"/>
          <w:szCs w:val="22"/>
          <w:lang w:val="es-CO"/>
        </w:rPr>
        <w:t>P, Sala Civil – Familia. Providencia del</w:t>
      </w:r>
      <w:r w:rsidRPr="000D79CB">
        <w:rPr>
          <w:rFonts w:ascii="Century" w:hAnsi="Century" w:cs="Calibri"/>
          <w:sz w:val="18"/>
          <w:szCs w:val="22"/>
        </w:rPr>
        <w:t xml:space="preserve"> 13-04-2016; MS: Saraza </w:t>
      </w:r>
      <w:r w:rsidR="00FA3FDD" w:rsidRPr="000D79CB">
        <w:rPr>
          <w:rFonts w:ascii="Century" w:hAnsi="Century" w:cs="Calibri"/>
          <w:sz w:val="18"/>
          <w:szCs w:val="22"/>
        </w:rPr>
        <w:t xml:space="preserve">N., </w:t>
      </w:r>
      <w:r w:rsidRPr="000D79CB">
        <w:rPr>
          <w:rFonts w:ascii="Century" w:hAnsi="Century" w:cs="Calibri"/>
          <w:sz w:val="18"/>
          <w:szCs w:val="22"/>
        </w:rPr>
        <w:t>N</w:t>
      </w:r>
      <w:r w:rsidR="00FA3FDD" w:rsidRPr="000D79CB">
        <w:rPr>
          <w:rFonts w:ascii="Century" w:hAnsi="Century" w:cs="Calibri"/>
          <w:sz w:val="18"/>
          <w:szCs w:val="22"/>
        </w:rPr>
        <w:t>o</w:t>
      </w:r>
      <w:r w:rsidR="009A7A51" w:rsidRPr="000D79CB">
        <w:rPr>
          <w:rFonts w:ascii="Century" w:hAnsi="Century" w:cs="Calibri"/>
          <w:sz w:val="18"/>
          <w:szCs w:val="22"/>
        </w:rPr>
        <w:t>.</w:t>
      </w:r>
      <w:r w:rsidRPr="000D79CB">
        <w:rPr>
          <w:rFonts w:ascii="Century" w:hAnsi="Century" w:cs="Calibri"/>
          <w:sz w:val="18"/>
          <w:szCs w:val="22"/>
        </w:rPr>
        <w:t>2015-00783-01.</w:t>
      </w:r>
    </w:p>
  </w:footnote>
  <w:footnote w:id="22">
    <w:p w14:paraId="2FCE0162" w14:textId="49EE9039" w:rsidR="00C11794" w:rsidRPr="000D79CB" w:rsidRDefault="00C11794" w:rsidP="000D79CB">
      <w:pPr>
        <w:pStyle w:val="Textonotapie"/>
        <w:jc w:val="both"/>
        <w:rPr>
          <w:rFonts w:ascii="Century" w:hAnsi="Century"/>
          <w:sz w:val="18"/>
          <w:szCs w:val="22"/>
          <w:lang w:val="es-CO"/>
        </w:rPr>
      </w:pPr>
      <w:r w:rsidRPr="000D79CB">
        <w:rPr>
          <w:rStyle w:val="Refdenotaalpie"/>
          <w:rFonts w:ascii="Century" w:hAnsi="Century"/>
          <w:sz w:val="18"/>
          <w:szCs w:val="22"/>
        </w:rPr>
        <w:footnoteRef/>
      </w:r>
      <w:r w:rsidRPr="000D79CB">
        <w:rPr>
          <w:rFonts w:ascii="Century" w:hAnsi="Century"/>
          <w:sz w:val="18"/>
          <w:szCs w:val="22"/>
        </w:rPr>
        <w:t xml:space="preserve"> </w:t>
      </w:r>
      <w:r w:rsidR="00FA3FDD" w:rsidRPr="000D79CB">
        <w:rPr>
          <w:rFonts w:ascii="Century" w:hAnsi="Century" w:cs="Calibri"/>
          <w:sz w:val="18"/>
          <w:szCs w:val="22"/>
          <w:lang w:val="es-CO"/>
        </w:rPr>
        <w:t xml:space="preserve">TSP, Sala Civil – Familia. </w:t>
      </w:r>
      <w:r w:rsidRPr="000D79CB">
        <w:rPr>
          <w:rFonts w:ascii="Century" w:hAnsi="Century" w:cs="Calibri"/>
          <w:sz w:val="18"/>
          <w:szCs w:val="22"/>
          <w:lang w:val="es-CO"/>
        </w:rPr>
        <w:t xml:space="preserve"> Providencia del</w:t>
      </w:r>
      <w:r w:rsidRPr="000D79CB">
        <w:rPr>
          <w:rFonts w:ascii="Century" w:hAnsi="Century" w:cs="Calibri"/>
          <w:sz w:val="18"/>
          <w:szCs w:val="22"/>
        </w:rPr>
        <w:t xml:space="preserve"> 28-03-2016; MS: </w:t>
      </w:r>
      <w:r w:rsidR="00FA3FDD" w:rsidRPr="000D79CB">
        <w:rPr>
          <w:rFonts w:ascii="Century" w:hAnsi="Century" w:cs="Calibri"/>
          <w:sz w:val="18"/>
          <w:szCs w:val="22"/>
        </w:rPr>
        <w:t>Saraza N.</w:t>
      </w:r>
      <w:r w:rsidRPr="000D79CB">
        <w:rPr>
          <w:rFonts w:ascii="Century" w:hAnsi="Century" w:cs="Calibri"/>
          <w:sz w:val="18"/>
          <w:szCs w:val="22"/>
        </w:rPr>
        <w:t xml:space="preserve">, </w:t>
      </w:r>
      <w:r w:rsidR="00FA3FDD" w:rsidRPr="000D79CB">
        <w:rPr>
          <w:rFonts w:ascii="Century" w:hAnsi="Century" w:cs="Calibri"/>
          <w:sz w:val="18"/>
          <w:szCs w:val="22"/>
        </w:rPr>
        <w:t>N</w:t>
      </w:r>
      <w:r w:rsidRPr="000D79CB">
        <w:rPr>
          <w:rFonts w:ascii="Century" w:hAnsi="Century" w:cs="Calibri"/>
          <w:sz w:val="18"/>
          <w:szCs w:val="22"/>
        </w:rPr>
        <w:t>o.2015-00026-01.</w:t>
      </w:r>
    </w:p>
  </w:footnote>
  <w:footnote w:id="23">
    <w:p w14:paraId="2FCE0163" w14:textId="7C07F876" w:rsidR="007F0E1D" w:rsidRPr="000D79CB" w:rsidRDefault="007F0E1D" w:rsidP="000D79CB">
      <w:pPr>
        <w:pStyle w:val="Textonotapie"/>
        <w:jc w:val="both"/>
        <w:rPr>
          <w:rFonts w:asciiTheme="minorHAnsi" w:hAnsiTheme="minorHAnsi"/>
          <w:sz w:val="16"/>
        </w:rPr>
      </w:pPr>
      <w:r w:rsidRPr="000D79CB">
        <w:rPr>
          <w:rStyle w:val="Refdenotaalpie"/>
          <w:rFonts w:ascii="Century" w:hAnsi="Century" w:cs="Calibri"/>
          <w:sz w:val="18"/>
          <w:szCs w:val="22"/>
        </w:rPr>
        <w:footnoteRef/>
      </w:r>
      <w:r w:rsidRPr="000D79CB">
        <w:rPr>
          <w:rFonts w:ascii="Century" w:hAnsi="Century" w:cs="Calibri"/>
          <w:sz w:val="18"/>
          <w:szCs w:val="22"/>
        </w:rPr>
        <w:t xml:space="preserve"> </w:t>
      </w:r>
      <w:r w:rsidR="00816F51" w:rsidRPr="000D79CB">
        <w:rPr>
          <w:rFonts w:ascii="Century" w:hAnsi="Century"/>
          <w:sz w:val="18"/>
          <w:szCs w:val="22"/>
          <w:lang w:val="es-CO"/>
        </w:rPr>
        <w:t>ROJAS G., Miguel E</w:t>
      </w:r>
      <w:r w:rsidRPr="000D79CB">
        <w:rPr>
          <w:rFonts w:ascii="Century" w:hAnsi="Century" w:cs="Calibri"/>
          <w:sz w:val="18"/>
          <w:szCs w:val="22"/>
        </w:rPr>
        <w:t xml:space="preserve">. </w:t>
      </w:r>
      <w:r w:rsidR="00AC45F1" w:rsidRPr="000D79CB">
        <w:rPr>
          <w:rFonts w:ascii="Century" w:hAnsi="Century" w:cs="Calibri"/>
          <w:sz w:val="18"/>
          <w:szCs w:val="22"/>
        </w:rPr>
        <w:t>Ob</w:t>
      </w:r>
      <w:r w:rsidRPr="000D79CB">
        <w:rPr>
          <w:rFonts w:ascii="Century" w:hAnsi="Century" w:cs="Calibri"/>
          <w:sz w:val="18"/>
          <w:szCs w:val="22"/>
        </w:rPr>
        <w:t>. cit., p.209.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E014C" w14:textId="77777777" w:rsidR="00045CE3" w:rsidRPr="000D79CB" w:rsidRDefault="00045CE3" w:rsidP="00045CE3">
    <w:pPr>
      <w:pStyle w:val="Encabezado"/>
      <w:pBdr>
        <w:bottom w:val="single" w:sz="4" w:space="1" w:color="D9D9D9" w:themeColor="background1" w:themeShade="D9"/>
      </w:pBdr>
      <w:jc w:val="right"/>
      <w:rPr>
        <w:rFonts w:ascii="Century" w:hAnsi="Century" w:cs="Calibri"/>
        <w:bCs/>
        <w:sz w:val="18"/>
        <w:szCs w:val="18"/>
      </w:rPr>
    </w:pPr>
    <w:r w:rsidRPr="000D79CB">
      <w:rPr>
        <w:rFonts w:ascii="Century" w:hAnsi="Century" w:cs="Calibri"/>
        <w:spacing w:val="60"/>
        <w:sz w:val="18"/>
        <w:szCs w:val="18"/>
      </w:rPr>
      <w:t>Página</w:t>
    </w:r>
    <w:r w:rsidRPr="000D79CB">
      <w:rPr>
        <w:rFonts w:ascii="Century" w:hAnsi="Century" w:cs="Calibri"/>
        <w:sz w:val="18"/>
        <w:szCs w:val="18"/>
      </w:rPr>
      <w:t xml:space="preserve"> | </w:t>
    </w:r>
    <w:r w:rsidRPr="000D79CB">
      <w:rPr>
        <w:rFonts w:ascii="Century" w:hAnsi="Century" w:cs="Calibri"/>
        <w:sz w:val="18"/>
        <w:szCs w:val="18"/>
      </w:rPr>
      <w:fldChar w:fldCharType="begin"/>
    </w:r>
    <w:r w:rsidRPr="000D79CB">
      <w:rPr>
        <w:rFonts w:ascii="Century" w:hAnsi="Century" w:cs="Calibri"/>
        <w:sz w:val="18"/>
        <w:szCs w:val="18"/>
      </w:rPr>
      <w:instrText>PAGE   \* MERGEFORMAT</w:instrText>
    </w:r>
    <w:r w:rsidRPr="000D79CB">
      <w:rPr>
        <w:rFonts w:ascii="Century" w:hAnsi="Century" w:cs="Calibri"/>
        <w:sz w:val="18"/>
        <w:szCs w:val="18"/>
      </w:rPr>
      <w:fldChar w:fldCharType="separate"/>
    </w:r>
    <w:r w:rsidR="00FF3669" w:rsidRPr="00FF3669">
      <w:rPr>
        <w:rFonts w:ascii="Century" w:hAnsi="Century" w:cs="Calibri"/>
        <w:bCs/>
        <w:noProof/>
        <w:sz w:val="18"/>
        <w:szCs w:val="18"/>
      </w:rPr>
      <w:t>6</w:t>
    </w:r>
    <w:r w:rsidRPr="000D79CB">
      <w:rPr>
        <w:rFonts w:ascii="Century" w:hAnsi="Century" w:cs="Calibri"/>
        <w:sz w:val="18"/>
        <w:szCs w:val="18"/>
      </w:rPr>
      <w:fldChar w:fldCharType="end"/>
    </w:r>
  </w:p>
  <w:p w14:paraId="2FCE014E" w14:textId="0CC27F2F" w:rsidR="008D321B" w:rsidRPr="000D79CB" w:rsidRDefault="00045CE3" w:rsidP="00045CE3">
    <w:pPr>
      <w:pStyle w:val="Encabezado"/>
      <w:rPr>
        <w:rFonts w:ascii="Century" w:hAnsi="Century" w:cs="Iskoola Pota"/>
        <w:i/>
        <w:sz w:val="18"/>
        <w:szCs w:val="18"/>
        <w:lang w:val="es-CO"/>
      </w:rPr>
    </w:pPr>
    <w:r w:rsidRPr="000D79CB">
      <w:rPr>
        <w:rFonts w:ascii="Century" w:hAnsi="Century" w:cs="Iskoola Pota"/>
        <w:i/>
        <w:sz w:val="18"/>
        <w:szCs w:val="18"/>
        <w:lang w:val="es-CO"/>
      </w:rPr>
      <w:t>EXPEDIENTE No.</w:t>
    </w:r>
    <w:r w:rsidR="000D79CB" w:rsidRPr="000D79CB">
      <w:rPr>
        <w:rFonts w:ascii="Century" w:hAnsi="Century" w:cs="Iskoola Pota"/>
        <w:i/>
        <w:sz w:val="18"/>
        <w:szCs w:val="18"/>
        <w:lang w:val="es-CO"/>
      </w:rPr>
      <w:t xml:space="preserve"> </w:t>
    </w:r>
    <w:r w:rsidRPr="000D79CB">
      <w:rPr>
        <w:rFonts w:ascii="Century" w:hAnsi="Century" w:cs="Iskoola Pota"/>
        <w:i/>
        <w:sz w:val="18"/>
        <w:szCs w:val="18"/>
        <w:lang w:val="es-CO"/>
      </w:rPr>
      <w:t>20</w:t>
    </w:r>
    <w:r w:rsidR="00383C21" w:rsidRPr="000D79CB">
      <w:rPr>
        <w:rFonts w:ascii="Century" w:hAnsi="Century" w:cs="Iskoola Pota"/>
        <w:i/>
        <w:sz w:val="18"/>
        <w:szCs w:val="18"/>
        <w:lang w:val="es-CO"/>
      </w:rPr>
      <w:t>1</w:t>
    </w:r>
    <w:r w:rsidR="00DB0EAD" w:rsidRPr="000D79CB">
      <w:rPr>
        <w:rFonts w:ascii="Century" w:hAnsi="Century" w:cs="Iskoola Pota"/>
        <w:i/>
        <w:sz w:val="18"/>
        <w:szCs w:val="18"/>
        <w:lang w:val="es-CO"/>
      </w:rPr>
      <w:t>8</w:t>
    </w:r>
    <w:r w:rsidRPr="000D79CB">
      <w:rPr>
        <w:rFonts w:ascii="Century" w:hAnsi="Century" w:cs="Iskoola Pota"/>
        <w:i/>
        <w:sz w:val="18"/>
        <w:szCs w:val="18"/>
        <w:lang w:val="es-CO"/>
      </w:rPr>
      <w:t>-0</w:t>
    </w:r>
    <w:r w:rsidR="0093651C" w:rsidRPr="000D79CB">
      <w:rPr>
        <w:rFonts w:ascii="Century" w:hAnsi="Century" w:cs="Iskoola Pota"/>
        <w:i/>
        <w:sz w:val="18"/>
        <w:szCs w:val="18"/>
        <w:lang w:val="es-CO"/>
      </w:rPr>
      <w:t>0</w:t>
    </w:r>
    <w:r w:rsidR="00DB0EAD" w:rsidRPr="000D79CB">
      <w:rPr>
        <w:rFonts w:ascii="Century" w:hAnsi="Century" w:cs="Iskoola Pota"/>
        <w:i/>
        <w:sz w:val="18"/>
        <w:szCs w:val="18"/>
        <w:lang w:val="es-CO"/>
      </w:rPr>
      <w:t>232</w:t>
    </w:r>
    <w:r w:rsidRPr="000D79CB">
      <w:rPr>
        <w:rFonts w:ascii="Century" w:hAnsi="Century" w:cs="Iskoola Pota"/>
        <w:i/>
        <w:sz w:val="18"/>
        <w:szCs w:val="18"/>
        <w:lang w:val="es-CO"/>
      </w:rPr>
      <w:t>-0</w:t>
    </w:r>
    <w:r w:rsidR="00DB0EAD" w:rsidRPr="000D79CB">
      <w:rPr>
        <w:rFonts w:ascii="Century" w:hAnsi="Century" w:cs="Iskoola Pota"/>
        <w:i/>
        <w:sz w:val="18"/>
        <w:szCs w:val="18"/>
        <w:lang w:val="es-CO"/>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D5D"/>
    <w:multiLevelType w:val="multilevel"/>
    <w:tmpl w:val="1F66F8B0"/>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23907D87"/>
    <w:multiLevelType w:val="hybridMultilevel"/>
    <w:tmpl w:val="A4F25EC2"/>
    <w:lvl w:ilvl="0" w:tplc="E74CF6CC">
      <w:start w:val="1"/>
      <w:numFmt w:val="decimal"/>
      <w:suff w:val="nothing"/>
      <w:lvlText w:val="%1."/>
      <w:lvlJc w:val="left"/>
      <w:pPr>
        <w:ind w:left="567" w:firstLine="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9"/>
  </w:num>
  <w:num w:numId="2">
    <w:abstractNumId w:val="7"/>
  </w:num>
  <w:num w:numId="3">
    <w:abstractNumId w:val="11"/>
  </w:num>
  <w:num w:numId="4">
    <w:abstractNumId w:val="10"/>
  </w:num>
  <w:num w:numId="5">
    <w:abstractNumId w:val="6"/>
  </w:num>
  <w:num w:numId="6">
    <w:abstractNumId w:val="3"/>
  </w:num>
  <w:num w:numId="7">
    <w:abstractNumId w:val="8"/>
  </w:num>
  <w:num w:numId="8">
    <w:abstractNumId w:val="4"/>
  </w:num>
  <w:num w:numId="9">
    <w:abstractNumId w:val="2"/>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2"/>
    <w:rsid w:val="0000570F"/>
    <w:rsid w:val="000111C6"/>
    <w:rsid w:val="000124CA"/>
    <w:rsid w:val="0001641C"/>
    <w:rsid w:val="00032991"/>
    <w:rsid w:val="00045CE3"/>
    <w:rsid w:val="00050E52"/>
    <w:rsid w:val="000521D3"/>
    <w:rsid w:val="00057617"/>
    <w:rsid w:val="00057B5C"/>
    <w:rsid w:val="00060A66"/>
    <w:rsid w:val="00061786"/>
    <w:rsid w:val="0006282A"/>
    <w:rsid w:val="00063444"/>
    <w:rsid w:val="00063E12"/>
    <w:rsid w:val="00092870"/>
    <w:rsid w:val="00094BEA"/>
    <w:rsid w:val="000979F2"/>
    <w:rsid w:val="000A3198"/>
    <w:rsid w:val="000B2C44"/>
    <w:rsid w:val="000B4877"/>
    <w:rsid w:val="000C36C4"/>
    <w:rsid w:val="000D03C3"/>
    <w:rsid w:val="000D106C"/>
    <w:rsid w:val="000D1C67"/>
    <w:rsid w:val="000D32D1"/>
    <w:rsid w:val="000D4106"/>
    <w:rsid w:val="000D51C5"/>
    <w:rsid w:val="000D579D"/>
    <w:rsid w:val="000D70EB"/>
    <w:rsid w:val="000D79CB"/>
    <w:rsid w:val="000E1102"/>
    <w:rsid w:val="000F08E0"/>
    <w:rsid w:val="000F16E3"/>
    <w:rsid w:val="000F1B66"/>
    <w:rsid w:val="000F3C01"/>
    <w:rsid w:val="000F6932"/>
    <w:rsid w:val="000F6CA9"/>
    <w:rsid w:val="00107E1A"/>
    <w:rsid w:val="00112D32"/>
    <w:rsid w:val="001130D4"/>
    <w:rsid w:val="00114608"/>
    <w:rsid w:val="00114FEE"/>
    <w:rsid w:val="00115557"/>
    <w:rsid w:val="00117C9A"/>
    <w:rsid w:val="0012018F"/>
    <w:rsid w:val="00121881"/>
    <w:rsid w:val="00122CE4"/>
    <w:rsid w:val="00124BCD"/>
    <w:rsid w:val="00125A53"/>
    <w:rsid w:val="00132BE5"/>
    <w:rsid w:val="0013682E"/>
    <w:rsid w:val="00137E27"/>
    <w:rsid w:val="001403D4"/>
    <w:rsid w:val="00141432"/>
    <w:rsid w:val="001446B1"/>
    <w:rsid w:val="001448A9"/>
    <w:rsid w:val="0014529A"/>
    <w:rsid w:val="001452E0"/>
    <w:rsid w:val="00157865"/>
    <w:rsid w:val="0016461C"/>
    <w:rsid w:val="00166D57"/>
    <w:rsid w:val="00171058"/>
    <w:rsid w:val="0017105E"/>
    <w:rsid w:val="00190036"/>
    <w:rsid w:val="00190742"/>
    <w:rsid w:val="001A46C4"/>
    <w:rsid w:val="001A565D"/>
    <w:rsid w:val="001A688F"/>
    <w:rsid w:val="001B2496"/>
    <w:rsid w:val="001B3230"/>
    <w:rsid w:val="001B4583"/>
    <w:rsid w:val="001B4B9B"/>
    <w:rsid w:val="001C36DF"/>
    <w:rsid w:val="001C3F97"/>
    <w:rsid w:val="001C51D4"/>
    <w:rsid w:val="001C5578"/>
    <w:rsid w:val="001C5598"/>
    <w:rsid w:val="001D0AA3"/>
    <w:rsid w:val="001D60DE"/>
    <w:rsid w:val="001D622F"/>
    <w:rsid w:val="001D7953"/>
    <w:rsid w:val="001D7E85"/>
    <w:rsid w:val="001E18FB"/>
    <w:rsid w:val="001E57DE"/>
    <w:rsid w:val="001E7DAD"/>
    <w:rsid w:val="001F53B6"/>
    <w:rsid w:val="00201848"/>
    <w:rsid w:val="00202312"/>
    <w:rsid w:val="00207C51"/>
    <w:rsid w:val="0021075B"/>
    <w:rsid w:val="00216AE8"/>
    <w:rsid w:val="00227FA6"/>
    <w:rsid w:val="00230208"/>
    <w:rsid w:val="00231A7F"/>
    <w:rsid w:val="0023681D"/>
    <w:rsid w:val="00236A9B"/>
    <w:rsid w:val="0023704F"/>
    <w:rsid w:val="00237B2C"/>
    <w:rsid w:val="00237BF5"/>
    <w:rsid w:val="002419D4"/>
    <w:rsid w:val="00243379"/>
    <w:rsid w:val="0024455A"/>
    <w:rsid w:val="0025722D"/>
    <w:rsid w:val="00257943"/>
    <w:rsid w:val="002579E7"/>
    <w:rsid w:val="00257B1F"/>
    <w:rsid w:val="002711FB"/>
    <w:rsid w:val="0027637D"/>
    <w:rsid w:val="00280589"/>
    <w:rsid w:val="002825A8"/>
    <w:rsid w:val="002860D6"/>
    <w:rsid w:val="002873EC"/>
    <w:rsid w:val="002912F2"/>
    <w:rsid w:val="002937E5"/>
    <w:rsid w:val="00297096"/>
    <w:rsid w:val="002A0A88"/>
    <w:rsid w:val="002A18D8"/>
    <w:rsid w:val="002A59AF"/>
    <w:rsid w:val="002B513B"/>
    <w:rsid w:val="002C4195"/>
    <w:rsid w:val="002C7A37"/>
    <w:rsid w:val="002D4917"/>
    <w:rsid w:val="002D605B"/>
    <w:rsid w:val="002D6B5B"/>
    <w:rsid w:val="002E0BA3"/>
    <w:rsid w:val="002E21FB"/>
    <w:rsid w:val="002E5263"/>
    <w:rsid w:val="002E562C"/>
    <w:rsid w:val="002F4DF5"/>
    <w:rsid w:val="002F7410"/>
    <w:rsid w:val="003013A2"/>
    <w:rsid w:val="00301E59"/>
    <w:rsid w:val="00305C99"/>
    <w:rsid w:val="00310EAB"/>
    <w:rsid w:val="00323447"/>
    <w:rsid w:val="0033124D"/>
    <w:rsid w:val="003319C7"/>
    <w:rsid w:val="003336C3"/>
    <w:rsid w:val="003336E2"/>
    <w:rsid w:val="00342E88"/>
    <w:rsid w:val="00344BF2"/>
    <w:rsid w:val="003458B9"/>
    <w:rsid w:val="00352931"/>
    <w:rsid w:val="00360576"/>
    <w:rsid w:val="00360BE3"/>
    <w:rsid w:val="00360F2F"/>
    <w:rsid w:val="00363D70"/>
    <w:rsid w:val="00370D1D"/>
    <w:rsid w:val="00373580"/>
    <w:rsid w:val="0038158A"/>
    <w:rsid w:val="00383C21"/>
    <w:rsid w:val="00384791"/>
    <w:rsid w:val="00386111"/>
    <w:rsid w:val="00392869"/>
    <w:rsid w:val="00392F07"/>
    <w:rsid w:val="00393DD3"/>
    <w:rsid w:val="003972DC"/>
    <w:rsid w:val="003A1A5B"/>
    <w:rsid w:val="003B19D8"/>
    <w:rsid w:val="003B3E79"/>
    <w:rsid w:val="003B445E"/>
    <w:rsid w:val="003B469C"/>
    <w:rsid w:val="003C5098"/>
    <w:rsid w:val="003C658A"/>
    <w:rsid w:val="003C77D5"/>
    <w:rsid w:val="003D081D"/>
    <w:rsid w:val="003D5B0A"/>
    <w:rsid w:val="003D67D8"/>
    <w:rsid w:val="003D6C3D"/>
    <w:rsid w:val="003E236C"/>
    <w:rsid w:val="003E3CF7"/>
    <w:rsid w:val="003E4533"/>
    <w:rsid w:val="003E5ED3"/>
    <w:rsid w:val="003F3AD2"/>
    <w:rsid w:val="003F66A6"/>
    <w:rsid w:val="00400B90"/>
    <w:rsid w:val="00402132"/>
    <w:rsid w:val="00403F27"/>
    <w:rsid w:val="004100F7"/>
    <w:rsid w:val="00411AC5"/>
    <w:rsid w:val="00414421"/>
    <w:rsid w:val="00417EB4"/>
    <w:rsid w:val="00426B02"/>
    <w:rsid w:val="00427BE4"/>
    <w:rsid w:val="004335C7"/>
    <w:rsid w:val="00436669"/>
    <w:rsid w:val="00455DE9"/>
    <w:rsid w:val="00457EBA"/>
    <w:rsid w:val="004614E4"/>
    <w:rsid w:val="00461F2C"/>
    <w:rsid w:val="00465107"/>
    <w:rsid w:val="00465E7A"/>
    <w:rsid w:val="00471F25"/>
    <w:rsid w:val="0047275E"/>
    <w:rsid w:val="00477144"/>
    <w:rsid w:val="00481A0C"/>
    <w:rsid w:val="00482924"/>
    <w:rsid w:val="004848E7"/>
    <w:rsid w:val="0048492D"/>
    <w:rsid w:val="0049754F"/>
    <w:rsid w:val="004A0C80"/>
    <w:rsid w:val="004A7C24"/>
    <w:rsid w:val="004B6BF7"/>
    <w:rsid w:val="004C319B"/>
    <w:rsid w:val="004C7B8D"/>
    <w:rsid w:val="004D2AE2"/>
    <w:rsid w:val="004E1CAC"/>
    <w:rsid w:val="004E1EF9"/>
    <w:rsid w:val="004E2173"/>
    <w:rsid w:val="004E272C"/>
    <w:rsid w:val="004E528F"/>
    <w:rsid w:val="004E6A80"/>
    <w:rsid w:val="004F229E"/>
    <w:rsid w:val="004F25AC"/>
    <w:rsid w:val="004F537C"/>
    <w:rsid w:val="004F7160"/>
    <w:rsid w:val="00500A43"/>
    <w:rsid w:val="00500DC5"/>
    <w:rsid w:val="005022A7"/>
    <w:rsid w:val="005035D2"/>
    <w:rsid w:val="00515B6B"/>
    <w:rsid w:val="005204C6"/>
    <w:rsid w:val="00520B47"/>
    <w:rsid w:val="0052398B"/>
    <w:rsid w:val="005240C5"/>
    <w:rsid w:val="00526F65"/>
    <w:rsid w:val="0053073B"/>
    <w:rsid w:val="00541B8C"/>
    <w:rsid w:val="0054427C"/>
    <w:rsid w:val="0055115B"/>
    <w:rsid w:val="00564C16"/>
    <w:rsid w:val="0056570B"/>
    <w:rsid w:val="00570A9B"/>
    <w:rsid w:val="00570C60"/>
    <w:rsid w:val="00572804"/>
    <w:rsid w:val="005768FC"/>
    <w:rsid w:val="00582F12"/>
    <w:rsid w:val="0058709F"/>
    <w:rsid w:val="00587231"/>
    <w:rsid w:val="005938D9"/>
    <w:rsid w:val="00597D74"/>
    <w:rsid w:val="005B781D"/>
    <w:rsid w:val="005C3D57"/>
    <w:rsid w:val="005C4919"/>
    <w:rsid w:val="005D0B8F"/>
    <w:rsid w:val="005D0C4E"/>
    <w:rsid w:val="005D39F3"/>
    <w:rsid w:val="005D49DF"/>
    <w:rsid w:val="005E03C6"/>
    <w:rsid w:val="005E5BDF"/>
    <w:rsid w:val="005E604E"/>
    <w:rsid w:val="005F1C85"/>
    <w:rsid w:val="005F1FB2"/>
    <w:rsid w:val="0060427D"/>
    <w:rsid w:val="00607310"/>
    <w:rsid w:val="00607759"/>
    <w:rsid w:val="00611CB0"/>
    <w:rsid w:val="006144B3"/>
    <w:rsid w:val="00617D63"/>
    <w:rsid w:val="0062131C"/>
    <w:rsid w:val="00623497"/>
    <w:rsid w:val="006235A9"/>
    <w:rsid w:val="00623A6D"/>
    <w:rsid w:val="00631466"/>
    <w:rsid w:val="00651C7E"/>
    <w:rsid w:val="006527BF"/>
    <w:rsid w:val="0065726A"/>
    <w:rsid w:val="00660E7E"/>
    <w:rsid w:val="00662D36"/>
    <w:rsid w:val="00663341"/>
    <w:rsid w:val="0066530A"/>
    <w:rsid w:val="00672364"/>
    <w:rsid w:val="00672632"/>
    <w:rsid w:val="0067785B"/>
    <w:rsid w:val="00681A45"/>
    <w:rsid w:val="00682BBB"/>
    <w:rsid w:val="006837D2"/>
    <w:rsid w:val="00683BF7"/>
    <w:rsid w:val="00686B69"/>
    <w:rsid w:val="0068721F"/>
    <w:rsid w:val="006950C1"/>
    <w:rsid w:val="00695536"/>
    <w:rsid w:val="006A11EF"/>
    <w:rsid w:val="006A30E2"/>
    <w:rsid w:val="006A6085"/>
    <w:rsid w:val="006B2386"/>
    <w:rsid w:val="006B3338"/>
    <w:rsid w:val="006B768E"/>
    <w:rsid w:val="006B7EB8"/>
    <w:rsid w:val="006C408D"/>
    <w:rsid w:val="006C572F"/>
    <w:rsid w:val="006D7DA7"/>
    <w:rsid w:val="006E1121"/>
    <w:rsid w:val="006E221E"/>
    <w:rsid w:val="006E78FE"/>
    <w:rsid w:val="006E7C40"/>
    <w:rsid w:val="006F310C"/>
    <w:rsid w:val="006F58F9"/>
    <w:rsid w:val="006F61F6"/>
    <w:rsid w:val="007031D1"/>
    <w:rsid w:val="00707F42"/>
    <w:rsid w:val="00715013"/>
    <w:rsid w:val="00725DA4"/>
    <w:rsid w:val="00726D6E"/>
    <w:rsid w:val="00727833"/>
    <w:rsid w:val="007326D4"/>
    <w:rsid w:val="007330E3"/>
    <w:rsid w:val="00734860"/>
    <w:rsid w:val="00737026"/>
    <w:rsid w:val="00740B86"/>
    <w:rsid w:val="0076163D"/>
    <w:rsid w:val="007668A2"/>
    <w:rsid w:val="00774AD2"/>
    <w:rsid w:val="00776C17"/>
    <w:rsid w:val="00780839"/>
    <w:rsid w:val="00781593"/>
    <w:rsid w:val="00781928"/>
    <w:rsid w:val="007841FC"/>
    <w:rsid w:val="007853A8"/>
    <w:rsid w:val="007860C0"/>
    <w:rsid w:val="00786922"/>
    <w:rsid w:val="007A1804"/>
    <w:rsid w:val="007A4427"/>
    <w:rsid w:val="007A476E"/>
    <w:rsid w:val="007A486A"/>
    <w:rsid w:val="007B4698"/>
    <w:rsid w:val="007C03DB"/>
    <w:rsid w:val="007C66B8"/>
    <w:rsid w:val="007D102F"/>
    <w:rsid w:val="007D341B"/>
    <w:rsid w:val="007D7466"/>
    <w:rsid w:val="007F0E1D"/>
    <w:rsid w:val="007F105A"/>
    <w:rsid w:val="007F2975"/>
    <w:rsid w:val="007F3A25"/>
    <w:rsid w:val="007F7C6C"/>
    <w:rsid w:val="008048F8"/>
    <w:rsid w:val="00805077"/>
    <w:rsid w:val="00810D50"/>
    <w:rsid w:val="0081363A"/>
    <w:rsid w:val="00816F51"/>
    <w:rsid w:val="00820BF6"/>
    <w:rsid w:val="0082292F"/>
    <w:rsid w:val="00825EA0"/>
    <w:rsid w:val="00827A6D"/>
    <w:rsid w:val="0083050E"/>
    <w:rsid w:val="00832731"/>
    <w:rsid w:val="00834347"/>
    <w:rsid w:val="00834976"/>
    <w:rsid w:val="0084781D"/>
    <w:rsid w:val="008557A4"/>
    <w:rsid w:val="00855928"/>
    <w:rsid w:val="0086284C"/>
    <w:rsid w:val="00863948"/>
    <w:rsid w:val="008741FB"/>
    <w:rsid w:val="00876E0A"/>
    <w:rsid w:val="00884D74"/>
    <w:rsid w:val="00886EF0"/>
    <w:rsid w:val="008872A2"/>
    <w:rsid w:val="008920B4"/>
    <w:rsid w:val="008930E1"/>
    <w:rsid w:val="00894925"/>
    <w:rsid w:val="008A62B8"/>
    <w:rsid w:val="008B14AB"/>
    <w:rsid w:val="008B18E2"/>
    <w:rsid w:val="008B2AF1"/>
    <w:rsid w:val="008B3E9A"/>
    <w:rsid w:val="008B500B"/>
    <w:rsid w:val="008B7145"/>
    <w:rsid w:val="008C0972"/>
    <w:rsid w:val="008D0CA3"/>
    <w:rsid w:val="008D321B"/>
    <w:rsid w:val="008E0505"/>
    <w:rsid w:val="008E0D48"/>
    <w:rsid w:val="008E1174"/>
    <w:rsid w:val="008E6B3F"/>
    <w:rsid w:val="008F7C36"/>
    <w:rsid w:val="00903782"/>
    <w:rsid w:val="00910B1E"/>
    <w:rsid w:val="00911C83"/>
    <w:rsid w:val="00911D5B"/>
    <w:rsid w:val="009147CB"/>
    <w:rsid w:val="009151F5"/>
    <w:rsid w:val="00917983"/>
    <w:rsid w:val="00920096"/>
    <w:rsid w:val="00921C1B"/>
    <w:rsid w:val="00930830"/>
    <w:rsid w:val="0093651C"/>
    <w:rsid w:val="00940717"/>
    <w:rsid w:val="00942490"/>
    <w:rsid w:val="00944538"/>
    <w:rsid w:val="0094614E"/>
    <w:rsid w:val="009507A7"/>
    <w:rsid w:val="00952E5E"/>
    <w:rsid w:val="00953227"/>
    <w:rsid w:val="00953B22"/>
    <w:rsid w:val="00956A70"/>
    <w:rsid w:val="0095728D"/>
    <w:rsid w:val="00963ECB"/>
    <w:rsid w:val="00967D6F"/>
    <w:rsid w:val="00974512"/>
    <w:rsid w:val="009759B2"/>
    <w:rsid w:val="00985FD1"/>
    <w:rsid w:val="0099309B"/>
    <w:rsid w:val="009969C3"/>
    <w:rsid w:val="009A1240"/>
    <w:rsid w:val="009A6C1F"/>
    <w:rsid w:val="009A7A02"/>
    <w:rsid w:val="009A7A51"/>
    <w:rsid w:val="009B54C5"/>
    <w:rsid w:val="009C1975"/>
    <w:rsid w:val="009C207D"/>
    <w:rsid w:val="009C5DFB"/>
    <w:rsid w:val="009D37EC"/>
    <w:rsid w:val="009D3CA9"/>
    <w:rsid w:val="009D5343"/>
    <w:rsid w:val="009D6B88"/>
    <w:rsid w:val="009E1072"/>
    <w:rsid w:val="009E3076"/>
    <w:rsid w:val="009E3110"/>
    <w:rsid w:val="009F0E61"/>
    <w:rsid w:val="009F2506"/>
    <w:rsid w:val="00A03EFF"/>
    <w:rsid w:val="00A044AC"/>
    <w:rsid w:val="00A115B4"/>
    <w:rsid w:val="00A11F60"/>
    <w:rsid w:val="00A12284"/>
    <w:rsid w:val="00A13BDD"/>
    <w:rsid w:val="00A22745"/>
    <w:rsid w:val="00A230D3"/>
    <w:rsid w:val="00A2585D"/>
    <w:rsid w:val="00A3039E"/>
    <w:rsid w:val="00A35365"/>
    <w:rsid w:val="00A36B5B"/>
    <w:rsid w:val="00A42D01"/>
    <w:rsid w:val="00A51E08"/>
    <w:rsid w:val="00A5572D"/>
    <w:rsid w:val="00A56277"/>
    <w:rsid w:val="00A57455"/>
    <w:rsid w:val="00A62541"/>
    <w:rsid w:val="00A62787"/>
    <w:rsid w:val="00A63699"/>
    <w:rsid w:val="00A644D6"/>
    <w:rsid w:val="00A70B4D"/>
    <w:rsid w:val="00A71D99"/>
    <w:rsid w:val="00A7420C"/>
    <w:rsid w:val="00A748DF"/>
    <w:rsid w:val="00A75803"/>
    <w:rsid w:val="00A81263"/>
    <w:rsid w:val="00A837CE"/>
    <w:rsid w:val="00A85597"/>
    <w:rsid w:val="00A90902"/>
    <w:rsid w:val="00A909D6"/>
    <w:rsid w:val="00A96BBB"/>
    <w:rsid w:val="00A97BC3"/>
    <w:rsid w:val="00A97E41"/>
    <w:rsid w:val="00AA0D85"/>
    <w:rsid w:val="00AB2D84"/>
    <w:rsid w:val="00AB6D90"/>
    <w:rsid w:val="00AC0533"/>
    <w:rsid w:val="00AC45F1"/>
    <w:rsid w:val="00AC51E2"/>
    <w:rsid w:val="00AC71B8"/>
    <w:rsid w:val="00AC72E5"/>
    <w:rsid w:val="00AD10DB"/>
    <w:rsid w:val="00AD1A3F"/>
    <w:rsid w:val="00AD410B"/>
    <w:rsid w:val="00AD6D47"/>
    <w:rsid w:val="00AE0641"/>
    <w:rsid w:val="00AE38B2"/>
    <w:rsid w:val="00AF09DF"/>
    <w:rsid w:val="00AF4B72"/>
    <w:rsid w:val="00AF69AF"/>
    <w:rsid w:val="00AF7A6F"/>
    <w:rsid w:val="00B01A99"/>
    <w:rsid w:val="00B07E4B"/>
    <w:rsid w:val="00B21163"/>
    <w:rsid w:val="00B214D7"/>
    <w:rsid w:val="00B25249"/>
    <w:rsid w:val="00B27D74"/>
    <w:rsid w:val="00B307B1"/>
    <w:rsid w:val="00B33AA0"/>
    <w:rsid w:val="00B37678"/>
    <w:rsid w:val="00B46FFD"/>
    <w:rsid w:val="00B47EB6"/>
    <w:rsid w:val="00B50C23"/>
    <w:rsid w:val="00B52EC6"/>
    <w:rsid w:val="00B55A68"/>
    <w:rsid w:val="00B60061"/>
    <w:rsid w:val="00B62758"/>
    <w:rsid w:val="00B6380C"/>
    <w:rsid w:val="00B675CB"/>
    <w:rsid w:val="00B71EBD"/>
    <w:rsid w:val="00B724CE"/>
    <w:rsid w:val="00B74B6B"/>
    <w:rsid w:val="00B75A6A"/>
    <w:rsid w:val="00B75C6A"/>
    <w:rsid w:val="00B83D51"/>
    <w:rsid w:val="00B849B9"/>
    <w:rsid w:val="00B87206"/>
    <w:rsid w:val="00B960FD"/>
    <w:rsid w:val="00BA0A2F"/>
    <w:rsid w:val="00BA1BAD"/>
    <w:rsid w:val="00BA3EF6"/>
    <w:rsid w:val="00BA457F"/>
    <w:rsid w:val="00BB4347"/>
    <w:rsid w:val="00BB455A"/>
    <w:rsid w:val="00BC1A36"/>
    <w:rsid w:val="00BC2578"/>
    <w:rsid w:val="00BC3D53"/>
    <w:rsid w:val="00BC3EC8"/>
    <w:rsid w:val="00BC50F4"/>
    <w:rsid w:val="00BC589D"/>
    <w:rsid w:val="00BC77B9"/>
    <w:rsid w:val="00BD1343"/>
    <w:rsid w:val="00BD744D"/>
    <w:rsid w:val="00BE0E76"/>
    <w:rsid w:val="00BE16DB"/>
    <w:rsid w:val="00BE2F2A"/>
    <w:rsid w:val="00BE49F3"/>
    <w:rsid w:val="00BF0045"/>
    <w:rsid w:val="00BF4945"/>
    <w:rsid w:val="00BF73F6"/>
    <w:rsid w:val="00C022C2"/>
    <w:rsid w:val="00C02A44"/>
    <w:rsid w:val="00C04D9E"/>
    <w:rsid w:val="00C0547C"/>
    <w:rsid w:val="00C054FF"/>
    <w:rsid w:val="00C0586F"/>
    <w:rsid w:val="00C05C86"/>
    <w:rsid w:val="00C11794"/>
    <w:rsid w:val="00C12E58"/>
    <w:rsid w:val="00C15ED5"/>
    <w:rsid w:val="00C20FB2"/>
    <w:rsid w:val="00C23440"/>
    <w:rsid w:val="00C303BC"/>
    <w:rsid w:val="00C31C0A"/>
    <w:rsid w:val="00C31D4B"/>
    <w:rsid w:val="00C32B52"/>
    <w:rsid w:val="00C34DDA"/>
    <w:rsid w:val="00C363C4"/>
    <w:rsid w:val="00C363D3"/>
    <w:rsid w:val="00C36400"/>
    <w:rsid w:val="00C36F80"/>
    <w:rsid w:val="00C40CD0"/>
    <w:rsid w:val="00C54FE1"/>
    <w:rsid w:val="00C608FF"/>
    <w:rsid w:val="00C63F40"/>
    <w:rsid w:val="00C642BC"/>
    <w:rsid w:val="00C647E5"/>
    <w:rsid w:val="00C64C6C"/>
    <w:rsid w:val="00C65DA3"/>
    <w:rsid w:val="00C741D5"/>
    <w:rsid w:val="00C820E9"/>
    <w:rsid w:val="00C82245"/>
    <w:rsid w:val="00C832B8"/>
    <w:rsid w:val="00C903AF"/>
    <w:rsid w:val="00C91199"/>
    <w:rsid w:val="00C9127E"/>
    <w:rsid w:val="00C9534A"/>
    <w:rsid w:val="00CA0DF9"/>
    <w:rsid w:val="00CA0F66"/>
    <w:rsid w:val="00CA6C0B"/>
    <w:rsid w:val="00CB6B9A"/>
    <w:rsid w:val="00CB7B32"/>
    <w:rsid w:val="00CC1093"/>
    <w:rsid w:val="00CC15CC"/>
    <w:rsid w:val="00CC75F4"/>
    <w:rsid w:val="00CD2257"/>
    <w:rsid w:val="00CD7AAA"/>
    <w:rsid w:val="00CE5FD6"/>
    <w:rsid w:val="00CF0EBE"/>
    <w:rsid w:val="00CF3CF5"/>
    <w:rsid w:val="00CF4567"/>
    <w:rsid w:val="00CF6850"/>
    <w:rsid w:val="00CF7AA1"/>
    <w:rsid w:val="00D00582"/>
    <w:rsid w:val="00D00D7D"/>
    <w:rsid w:val="00D02CB4"/>
    <w:rsid w:val="00D06465"/>
    <w:rsid w:val="00D112E2"/>
    <w:rsid w:val="00D1698E"/>
    <w:rsid w:val="00D16F22"/>
    <w:rsid w:val="00D204D6"/>
    <w:rsid w:val="00D2108D"/>
    <w:rsid w:val="00D2440A"/>
    <w:rsid w:val="00D26844"/>
    <w:rsid w:val="00D31830"/>
    <w:rsid w:val="00D4141F"/>
    <w:rsid w:val="00D4441E"/>
    <w:rsid w:val="00D46DD8"/>
    <w:rsid w:val="00D47ACB"/>
    <w:rsid w:val="00D51ACF"/>
    <w:rsid w:val="00D51EAD"/>
    <w:rsid w:val="00D5369D"/>
    <w:rsid w:val="00D619AE"/>
    <w:rsid w:val="00D644E2"/>
    <w:rsid w:val="00D671C9"/>
    <w:rsid w:val="00D70FD2"/>
    <w:rsid w:val="00D71B92"/>
    <w:rsid w:val="00D71ECD"/>
    <w:rsid w:val="00D73D69"/>
    <w:rsid w:val="00D83E5D"/>
    <w:rsid w:val="00D84F1D"/>
    <w:rsid w:val="00D84F31"/>
    <w:rsid w:val="00D851DA"/>
    <w:rsid w:val="00D85B05"/>
    <w:rsid w:val="00D9154D"/>
    <w:rsid w:val="00D915F4"/>
    <w:rsid w:val="00D93167"/>
    <w:rsid w:val="00D94D58"/>
    <w:rsid w:val="00D97527"/>
    <w:rsid w:val="00D97B75"/>
    <w:rsid w:val="00DA079E"/>
    <w:rsid w:val="00DA1E67"/>
    <w:rsid w:val="00DA5858"/>
    <w:rsid w:val="00DA743D"/>
    <w:rsid w:val="00DB0458"/>
    <w:rsid w:val="00DB0EAD"/>
    <w:rsid w:val="00DB222B"/>
    <w:rsid w:val="00DB2868"/>
    <w:rsid w:val="00DC031D"/>
    <w:rsid w:val="00DC21CE"/>
    <w:rsid w:val="00DC3B05"/>
    <w:rsid w:val="00DC4E67"/>
    <w:rsid w:val="00DD00F5"/>
    <w:rsid w:val="00DD3308"/>
    <w:rsid w:val="00DD3357"/>
    <w:rsid w:val="00DD366D"/>
    <w:rsid w:val="00DE078F"/>
    <w:rsid w:val="00DE19D9"/>
    <w:rsid w:val="00DE429A"/>
    <w:rsid w:val="00DE6399"/>
    <w:rsid w:val="00DE7F75"/>
    <w:rsid w:val="00DF5461"/>
    <w:rsid w:val="00DF73EF"/>
    <w:rsid w:val="00E036C8"/>
    <w:rsid w:val="00E04130"/>
    <w:rsid w:val="00E04CE6"/>
    <w:rsid w:val="00E10297"/>
    <w:rsid w:val="00E13879"/>
    <w:rsid w:val="00E14DB5"/>
    <w:rsid w:val="00E16943"/>
    <w:rsid w:val="00E23B32"/>
    <w:rsid w:val="00E253EE"/>
    <w:rsid w:val="00E2686D"/>
    <w:rsid w:val="00E316D9"/>
    <w:rsid w:val="00E31D06"/>
    <w:rsid w:val="00E34EB6"/>
    <w:rsid w:val="00E42B6A"/>
    <w:rsid w:val="00E4399D"/>
    <w:rsid w:val="00E44741"/>
    <w:rsid w:val="00E45AE0"/>
    <w:rsid w:val="00E54E75"/>
    <w:rsid w:val="00E55393"/>
    <w:rsid w:val="00E5643E"/>
    <w:rsid w:val="00E5720B"/>
    <w:rsid w:val="00E642EC"/>
    <w:rsid w:val="00E67289"/>
    <w:rsid w:val="00E67A74"/>
    <w:rsid w:val="00E7400E"/>
    <w:rsid w:val="00E8141D"/>
    <w:rsid w:val="00E856DA"/>
    <w:rsid w:val="00E86F07"/>
    <w:rsid w:val="00E87611"/>
    <w:rsid w:val="00E877FC"/>
    <w:rsid w:val="00E87D43"/>
    <w:rsid w:val="00E92773"/>
    <w:rsid w:val="00E9418E"/>
    <w:rsid w:val="00E96913"/>
    <w:rsid w:val="00EA00D7"/>
    <w:rsid w:val="00EA12F0"/>
    <w:rsid w:val="00EA40EA"/>
    <w:rsid w:val="00EB1A07"/>
    <w:rsid w:val="00EB1BE8"/>
    <w:rsid w:val="00EB1F06"/>
    <w:rsid w:val="00EB2A8A"/>
    <w:rsid w:val="00EB6A5C"/>
    <w:rsid w:val="00EB7E37"/>
    <w:rsid w:val="00EC1479"/>
    <w:rsid w:val="00EC3ED3"/>
    <w:rsid w:val="00EC3FF2"/>
    <w:rsid w:val="00ED0720"/>
    <w:rsid w:val="00ED71EF"/>
    <w:rsid w:val="00EE0413"/>
    <w:rsid w:val="00EE0973"/>
    <w:rsid w:val="00EF4827"/>
    <w:rsid w:val="00F0240A"/>
    <w:rsid w:val="00F121C1"/>
    <w:rsid w:val="00F16444"/>
    <w:rsid w:val="00F17870"/>
    <w:rsid w:val="00F20247"/>
    <w:rsid w:val="00F25594"/>
    <w:rsid w:val="00F31348"/>
    <w:rsid w:val="00F32BA7"/>
    <w:rsid w:val="00F404F9"/>
    <w:rsid w:val="00F6163C"/>
    <w:rsid w:val="00F6458D"/>
    <w:rsid w:val="00F65EC8"/>
    <w:rsid w:val="00F70ECF"/>
    <w:rsid w:val="00F725BA"/>
    <w:rsid w:val="00F72723"/>
    <w:rsid w:val="00F72D6D"/>
    <w:rsid w:val="00F737B3"/>
    <w:rsid w:val="00F900EC"/>
    <w:rsid w:val="00F91A2C"/>
    <w:rsid w:val="00F94637"/>
    <w:rsid w:val="00F96938"/>
    <w:rsid w:val="00F97CD6"/>
    <w:rsid w:val="00FA35FE"/>
    <w:rsid w:val="00FA3FDD"/>
    <w:rsid w:val="00FA68F2"/>
    <w:rsid w:val="00FB1492"/>
    <w:rsid w:val="00FB30C6"/>
    <w:rsid w:val="00FC0A1B"/>
    <w:rsid w:val="00FC0DD8"/>
    <w:rsid w:val="00FC5390"/>
    <w:rsid w:val="00FC5EB6"/>
    <w:rsid w:val="00FC7BF7"/>
    <w:rsid w:val="00FD42B2"/>
    <w:rsid w:val="00FD7D84"/>
    <w:rsid w:val="00FD7EDC"/>
    <w:rsid w:val="00FE41FD"/>
    <w:rsid w:val="00FE74F1"/>
    <w:rsid w:val="00FF132F"/>
    <w:rsid w:val="00FF3669"/>
    <w:rsid w:val="00FF5395"/>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E00E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7F0E1D"/>
    <w:rPr>
      <w:rFonts w:ascii="Courier New" w:hAnsi="Courier New" w:cs="Courier New"/>
      <w:sz w:val="22"/>
      <w:szCs w:val="22"/>
      <w:lang w:val="es-ES" w:eastAsia="es-ES"/>
    </w:rPr>
  </w:style>
  <w:style w:type="character" w:styleId="Refdecomentario">
    <w:name w:val="annotation reference"/>
    <w:basedOn w:val="Fuentedeprrafopredeter"/>
    <w:uiPriority w:val="99"/>
    <w:rsid w:val="00E04130"/>
    <w:rPr>
      <w:sz w:val="16"/>
      <w:szCs w:val="16"/>
    </w:rPr>
  </w:style>
  <w:style w:type="paragraph" w:styleId="Textocomentario">
    <w:name w:val="annotation text"/>
    <w:basedOn w:val="Normal"/>
    <w:link w:val="TextocomentarioCar"/>
    <w:uiPriority w:val="99"/>
    <w:rsid w:val="00E04130"/>
  </w:style>
  <w:style w:type="character" w:customStyle="1" w:styleId="TextocomentarioCar">
    <w:name w:val="Texto comentario Car"/>
    <w:basedOn w:val="Fuentedeprrafopredeter"/>
    <w:link w:val="Textocomentario"/>
    <w:uiPriority w:val="99"/>
    <w:rsid w:val="00E04130"/>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E04130"/>
    <w:rPr>
      <w:b/>
      <w:bCs/>
    </w:rPr>
  </w:style>
  <w:style w:type="character" w:customStyle="1" w:styleId="AsuntodelcomentarioCar">
    <w:name w:val="Asunto del comentario Car"/>
    <w:basedOn w:val="TextocomentarioCar"/>
    <w:link w:val="Asuntodelcomentario"/>
    <w:uiPriority w:val="99"/>
    <w:rsid w:val="00E04130"/>
    <w:rPr>
      <w:rFonts w:ascii="Times New Roman" w:hAnsi="Times New Roman" w:cs="Times New Roman"/>
      <w:b/>
      <w:bCs/>
      <w:sz w:val="20"/>
      <w:szCs w:val="20"/>
      <w:lang w:val="es-ES" w:eastAsia="es-ES"/>
    </w:rPr>
  </w:style>
  <w:style w:type="paragraph" w:styleId="NormalWeb">
    <w:name w:val="Normal (Web)"/>
    <w:basedOn w:val="Normal"/>
    <w:uiPriority w:val="99"/>
    <w:unhideWhenUsed/>
    <w:rsid w:val="004E272C"/>
    <w:pPr>
      <w:spacing w:before="100" w:beforeAutospacing="1" w:after="100" w:afterAutospacing="1"/>
    </w:pPr>
    <w:rPr>
      <w:sz w:val="24"/>
      <w:szCs w:val="24"/>
    </w:rPr>
  </w:style>
  <w:style w:type="paragraph" w:styleId="Textoindependienteprimerasangra">
    <w:name w:val="Body Text First Indent"/>
    <w:basedOn w:val="Textoindependiente"/>
    <w:link w:val="TextoindependienteprimerasangraCar"/>
    <w:uiPriority w:val="99"/>
    <w:semiHidden/>
    <w:unhideWhenUsed/>
    <w:rsid w:val="004E272C"/>
    <w:p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ind w:firstLine="360"/>
      <w:jc w:val="left"/>
      <w:textAlignment w:val="auto"/>
    </w:pPr>
    <w:rPr>
      <w:rFonts w:ascii="Times New Roman" w:hAnsi="Times New Roman"/>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semiHidden/>
    <w:rsid w:val="004E272C"/>
    <w:rPr>
      <w:rFonts w:ascii="Times New Roman" w:hAnsi="Times New Roman" w:cs="Times New Roman"/>
      <w:spacing w:val="-3"/>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7F0E1D"/>
    <w:rPr>
      <w:rFonts w:ascii="Courier New" w:hAnsi="Courier New" w:cs="Courier New"/>
      <w:sz w:val="22"/>
      <w:szCs w:val="22"/>
      <w:lang w:val="es-ES" w:eastAsia="es-ES"/>
    </w:rPr>
  </w:style>
  <w:style w:type="character" w:styleId="Refdecomentario">
    <w:name w:val="annotation reference"/>
    <w:basedOn w:val="Fuentedeprrafopredeter"/>
    <w:uiPriority w:val="99"/>
    <w:rsid w:val="00E04130"/>
    <w:rPr>
      <w:sz w:val="16"/>
      <w:szCs w:val="16"/>
    </w:rPr>
  </w:style>
  <w:style w:type="paragraph" w:styleId="Textocomentario">
    <w:name w:val="annotation text"/>
    <w:basedOn w:val="Normal"/>
    <w:link w:val="TextocomentarioCar"/>
    <w:uiPriority w:val="99"/>
    <w:rsid w:val="00E04130"/>
  </w:style>
  <w:style w:type="character" w:customStyle="1" w:styleId="TextocomentarioCar">
    <w:name w:val="Texto comentario Car"/>
    <w:basedOn w:val="Fuentedeprrafopredeter"/>
    <w:link w:val="Textocomentario"/>
    <w:uiPriority w:val="99"/>
    <w:rsid w:val="00E04130"/>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E04130"/>
    <w:rPr>
      <w:b/>
      <w:bCs/>
    </w:rPr>
  </w:style>
  <w:style w:type="character" w:customStyle="1" w:styleId="AsuntodelcomentarioCar">
    <w:name w:val="Asunto del comentario Car"/>
    <w:basedOn w:val="TextocomentarioCar"/>
    <w:link w:val="Asuntodelcomentario"/>
    <w:uiPriority w:val="99"/>
    <w:rsid w:val="00E04130"/>
    <w:rPr>
      <w:rFonts w:ascii="Times New Roman" w:hAnsi="Times New Roman" w:cs="Times New Roman"/>
      <w:b/>
      <w:bCs/>
      <w:sz w:val="20"/>
      <w:szCs w:val="20"/>
      <w:lang w:val="es-ES" w:eastAsia="es-ES"/>
    </w:rPr>
  </w:style>
  <w:style w:type="paragraph" w:styleId="NormalWeb">
    <w:name w:val="Normal (Web)"/>
    <w:basedOn w:val="Normal"/>
    <w:uiPriority w:val="99"/>
    <w:unhideWhenUsed/>
    <w:rsid w:val="004E272C"/>
    <w:pPr>
      <w:spacing w:before="100" w:beforeAutospacing="1" w:after="100" w:afterAutospacing="1"/>
    </w:pPr>
    <w:rPr>
      <w:sz w:val="24"/>
      <w:szCs w:val="24"/>
    </w:rPr>
  </w:style>
  <w:style w:type="paragraph" w:styleId="Textoindependienteprimerasangra">
    <w:name w:val="Body Text First Indent"/>
    <w:basedOn w:val="Textoindependiente"/>
    <w:link w:val="TextoindependienteprimerasangraCar"/>
    <w:uiPriority w:val="99"/>
    <w:semiHidden/>
    <w:unhideWhenUsed/>
    <w:rsid w:val="004E272C"/>
    <w:p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ind w:firstLine="360"/>
      <w:jc w:val="left"/>
      <w:textAlignment w:val="auto"/>
    </w:pPr>
    <w:rPr>
      <w:rFonts w:ascii="Times New Roman" w:hAnsi="Times New Roman"/>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semiHidden/>
    <w:rsid w:val="004E272C"/>
    <w:rPr>
      <w:rFonts w:ascii="Times New Roman" w:hAnsi="Times New Roman" w:cs="Times New Roman"/>
      <w:spacing w:val="-3"/>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BA44-FDA4-40DB-8FEE-E846F6AB850A}">
  <ds:schemaRefs>
    <ds:schemaRef ds:uri="http://schemas.microsoft.com/sharepoint/v3/contenttype/forms"/>
  </ds:schemaRefs>
</ds:datastoreItem>
</file>

<file path=customXml/itemProps2.xml><?xml version="1.0" encoding="utf-8"?>
<ds:datastoreItem xmlns:ds="http://schemas.openxmlformats.org/officeDocument/2006/customXml" ds:itemID="{55563114-D3C5-4F01-B253-C364A9745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4CC51-54DD-4658-BB77-F1BE65C806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AC6ACF-766C-4732-B3C2-28D4D443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2286</Words>
  <Characters>12575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ALONSO</cp:lastModifiedBy>
  <cp:revision>6</cp:revision>
  <cp:lastPrinted>2020-06-16T15:23:00Z</cp:lastPrinted>
  <dcterms:created xsi:type="dcterms:W3CDTF">2020-06-16T15:21:00Z</dcterms:created>
  <dcterms:modified xsi:type="dcterms:W3CDTF">2020-08-13T13:14:00Z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