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BFA09" w14:textId="77777777" w:rsidR="004A2377" w:rsidRPr="004A2377" w:rsidRDefault="004A2377" w:rsidP="004A2377">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GoBack"/>
      <w:bookmarkEnd w:id="0"/>
      <w:r w:rsidRPr="004A2377">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523E8EF" w14:textId="77777777" w:rsidR="004A2377" w:rsidRPr="004A2377" w:rsidRDefault="004A2377" w:rsidP="004A2377">
      <w:pPr>
        <w:overflowPunct/>
        <w:autoSpaceDE/>
        <w:autoSpaceDN/>
        <w:adjustRightInd/>
        <w:jc w:val="both"/>
        <w:textAlignment w:val="auto"/>
        <w:rPr>
          <w:rFonts w:ascii="Arial" w:hAnsi="Arial" w:cs="Arial"/>
          <w:lang w:val="es-419"/>
        </w:rPr>
      </w:pPr>
    </w:p>
    <w:p w14:paraId="7DAC0578" w14:textId="28C0B6F4" w:rsidR="004A2377" w:rsidRPr="004A2377" w:rsidRDefault="004A2377" w:rsidP="004A2377">
      <w:pPr>
        <w:overflowPunct/>
        <w:autoSpaceDE/>
        <w:autoSpaceDN/>
        <w:adjustRightInd/>
        <w:jc w:val="both"/>
        <w:textAlignment w:val="auto"/>
        <w:rPr>
          <w:rFonts w:ascii="Arial" w:hAnsi="Arial" w:cs="Arial"/>
          <w:b/>
          <w:bCs/>
          <w:iCs/>
          <w:lang w:val="es-419" w:eastAsia="fr-FR"/>
        </w:rPr>
      </w:pPr>
      <w:r w:rsidRPr="004A2377">
        <w:rPr>
          <w:rFonts w:ascii="Arial" w:hAnsi="Arial" w:cs="Arial"/>
          <w:b/>
          <w:bCs/>
          <w:iCs/>
          <w:u w:val="single"/>
          <w:lang w:val="es-419" w:eastAsia="fr-FR"/>
        </w:rPr>
        <w:t>TEMAS:</w:t>
      </w:r>
      <w:r w:rsidRPr="004A2377">
        <w:rPr>
          <w:rFonts w:ascii="Arial" w:hAnsi="Arial" w:cs="Arial"/>
          <w:b/>
          <w:bCs/>
          <w:iCs/>
          <w:lang w:val="es-419" w:eastAsia="fr-FR"/>
        </w:rPr>
        <w:tab/>
      </w:r>
      <w:r>
        <w:rPr>
          <w:rFonts w:ascii="Arial" w:hAnsi="Arial" w:cs="Arial"/>
          <w:b/>
          <w:bCs/>
          <w:iCs/>
          <w:lang w:val="es-419" w:eastAsia="fr-FR"/>
        </w:rPr>
        <w:t xml:space="preserve">DEBIDO PROCESO / TUTELA CONTRA ACTUACIONES JUDICIALES / REQUISITOS DE PROCEDIBILIDAD </w:t>
      </w:r>
      <w:r w:rsidRPr="004A2377">
        <w:rPr>
          <w:rFonts w:ascii="Arial" w:hAnsi="Arial" w:cs="Arial"/>
          <w:b/>
          <w:bCs/>
          <w:iCs/>
          <w:lang w:val="es-419" w:eastAsia="fr-FR"/>
        </w:rPr>
        <w:t xml:space="preserve">/ </w:t>
      </w:r>
      <w:r>
        <w:rPr>
          <w:rFonts w:ascii="Arial" w:hAnsi="Arial" w:cs="Arial"/>
          <w:b/>
          <w:bCs/>
          <w:iCs/>
          <w:lang w:val="es-419" w:eastAsia="fr-FR"/>
        </w:rPr>
        <w:t>INEXISTENCIA FÁCTICA / LOS HECHOS ALEGADOS SON FALSOS.</w:t>
      </w:r>
    </w:p>
    <w:p w14:paraId="4B5AB51E" w14:textId="77777777" w:rsidR="004A2377" w:rsidRPr="004A2377" w:rsidRDefault="004A2377" w:rsidP="004A2377">
      <w:pPr>
        <w:overflowPunct/>
        <w:autoSpaceDE/>
        <w:autoSpaceDN/>
        <w:adjustRightInd/>
        <w:jc w:val="both"/>
        <w:textAlignment w:val="auto"/>
        <w:rPr>
          <w:rFonts w:ascii="Arial" w:hAnsi="Arial" w:cs="Arial"/>
          <w:lang w:val="es-419"/>
        </w:rPr>
      </w:pPr>
    </w:p>
    <w:p w14:paraId="71E328B8" w14:textId="4B81C494" w:rsidR="004A2377" w:rsidRPr="004A2377" w:rsidRDefault="004A2377" w:rsidP="004A2377">
      <w:pPr>
        <w:overflowPunct/>
        <w:autoSpaceDE/>
        <w:autoSpaceDN/>
        <w:adjustRightInd/>
        <w:jc w:val="both"/>
        <w:textAlignment w:val="auto"/>
        <w:rPr>
          <w:rFonts w:ascii="Arial" w:hAnsi="Arial" w:cs="Arial"/>
          <w:lang w:val="es-419"/>
        </w:rPr>
      </w:pPr>
      <w:r w:rsidRPr="004A2377">
        <w:rPr>
          <w:rFonts w:ascii="Arial" w:hAnsi="Arial" w:cs="Arial"/>
          <w:lang w:val="es-419"/>
        </w:rPr>
        <w:t>Acude en esta oportunidad el señor Arias Idárraga, en procura de la protección de su derecho fundamental al debido proceso bajo la premisa principal de que el Juzgado no digitaliza de manera completa las acciones populares que trajo a colación, y con el propósito de que conceda los recursos de apelación que él formuló.</w:t>
      </w:r>
      <w:r>
        <w:rPr>
          <w:rFonts w:ascii="Arial" w:hAnsi="Arial" w:cs="Arial"/>
          <w:lang w:val="es-419"/>
        </w:rPr>
        <w:t xml:space="preserve"> (…)</w:t>
      </w:r>
    </w:p>
    <w:p w14:paraId="329E1F78" w14:textId="77777777" w:rsidR="004A2377" w:rsidRPr="004A2377" w:rsidRDefault="004A2377" w:rsidP="004A2377">
      <w:pPr>
        <w:overflowPunct/>
        <w:autoSpaceDE/>
        <w:autoSpaceDN/>
        <w:adjustRightInd/>
        <w:jc w:val="both"/>
        <w:textAlignment w:val="auto"/>
        <w:rPr>
          <w:rFonts w:ascii="Arial" w:hAnsi="Arial" w:cs="Arial"/>
          <w:lang w:val="es-419"/>
        </w:rPr>
      </w:pPr>
    </w:p>
    <w:p w14:paraId="772A058C" w14:textId="276699E1" w:rsidR="004A2377" w:rsidRPr="004A2377" w:rsidRDefault="004A2377" w:rsidP="004A2377">
      <w:pPr>
        <w:overflowPunct/>
        <w:autoSpaceDE/>
        <w:autoSpaceDN/>
        <w:adjustRightInd/>
        <w:jc w:val="both"/>
        <w:textAlignment w:val="auto"/>
        <w:rPr>
          <w:rFonts w:ascii="Arial" w:hAnsi="Arial" w:cs="Arial"/>
          <w:lang w:val="es-419"/>
        </w:rPr>
      </w:pPr>
      <w:r w:rsidRPr="004A2377">
        <w:rPr>
          <w:rFonts w:ascii="Arial" w:hAnsi="Arial" w:cs="Arial"/>
          <w:lang w:val="es-419"/>
        </w:rPr>
        <w:t>Reiteradamente se ha expuesto que a pesar de la inexequibilidad de las normas que en el Decreto 2591 de 1991 preveían la acción de tutela contra las decisiones de los jueces,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w:t>
      </w:r>
      <w:r>
        <w:rPr>
          <w:rFonts w:ascii="Arial" w:hAnsi="Arial" w:cs="Arial"/>
          <w:lang w:val="es-419"/>
        </w:rPr>
        <w:t>…</w:t>
      </w:r>
    </w:p>
    <w:p w14:paraId="2223CC97" w14:textId="77777777" w:rsidR="004A2377" w:rsidRPr="004A2377" w:rsidRDefault="004A2377" w:rsidP="004A2377">
      <w:pPr>
        <w:overflowPunct/>
        <w:autoSpaceDE/>
        <w:autoSpaceDN/>
        <w:adjustRightInd/>
        <w:jc w:val="both"/>
        <w:textAlignment w:val="auto"/>
        <w:rPr>
          <w:rFonts w:ascii="Arial" w:hAnsi="Arial" w:cs="Arial"/>
          <w:lang w:val="es-ES"/>
        </w:rPr>
      </w:pPr>
    </w:p>
    <w:p w14:paraId="28C20A0E" w14:textId="2D1DBDCC" w:rsidR="004A2377" w:rsidRPr="004A2377" w:rsidRDefault="004A2377" w:rsidP="004A2377">
      <w:pPr>
        <w:overflowPunct/>
        <w:autoSpaceDE/>
        <w:autoSpaceDN/>
        <w:adjustRightInd/>
        <w:jc w:val="both"/>
        <w:textAlignment w:val="auto"/>
        <w:rPr>
          <w:rFonts w:ascii="Arial" w:hAnsi="Arial" w:cs="Arial"/>
          <w:lang w:val="es-ES"/>
        </w:rPr>
      </w:pPr>
      <w:r>
        <w:rPr>
          <w:rFonts w:ascii="Arial" w:hAnsi="Arial" w:cs="Arial"/>
          <w:lang w:val="es-ES"/>
        </w:rPr>
        <w:t xml:space="preserve">… </w:t>
      </w:r>
      <w:r w:rsidRPr="004A2377">
        <w:rPr>
          <w:rFonts w:ascii="Arial" w:hAnsi="Arial" w:cs="Arial"/>
          <w:lang w:val="es-ES"/>
        </w:rPr>
        <w:t>se confirma al explorar los expedientes que remitió la accionada, de entrada, ve la Sala la improcedencia de la demanda, comoquiera que son falsas las quejas del accionante.</w:t>
      </w:r>
    </w:p>
    <w:p w14:paraId="37088138" w14:textId="77777777" w:rsidR="004A2377" w:rsidRPr="004A2377" w:rsidRDefault="004A2377" w:rsidP="004A2377">
      <w:pPr>
        <w:overflowPunct/>
        <w:autoSpaceDE/>
        <w:autoSpaceDN/>
        <w:adjustRightInd/>
        <w:jc w:val="both"/>
        <w:textAlignment w:val="auto"/>
        <w:rPr>
          <w:rFonts w:ascii="Arial" w:hAnsi="Arial" w:cs="Arial"/>
          <w:lang w:val="es-ES"/>
        </w:rPr>
      </w:pPr>
    </w:p>
    <w:p w14:paraId="5C521BC8" w14:textId="194FEBED" w:rsidR="004A2377" w:rsidRPr="004A2377" w:rsidRDefault="004A2377" w:rsidP="004A2377">
      <w:pPr>
        <w:overflowPunct/>
        <w:autoSpaceDE/>
        <w:autoSpaceDN/>
        <w:adjustRightInd/>
        <w:jc w:val="both"/>
        <w:textAlignment w:val="auto"/>
        <w:rPr>
          <w:rFonts w:ascii="Arial" w:hAnsi="Arial" w:cs="Arial"/>
          <w:lang w:val="es-ES"/>
        </w:rPr>
      </w:pPr>
      <w:r w:rsidRPr="004A2377">
        <w:rPr>
          <w:rFonts w:ascii="Arial" w:hAnsi="Arial" w:cs="Arial"/>
          <w:lang w:val="es-ES"/>
        </w:rPr>
        <w:t>En efecto, aquí el accionante solicita que se concedan los recursos de apelación dentro de las citadas acciones populares, sin embargo, en dos de ellas, ni siquiera se ha proferido sentencia, y en las tres que ya se emitió el fallo, se concedieron los recursos desde el 31 de agosto del 2020, es decir, antes de que se f</w:t>
      </w:r>
      <w:r>
        <w:rPr>
          <w:rFonts w:ascii="Arial" w:hAnsi="Arial" w:cs="Arial"/>
          <w:lang w:val="es-ES"/>
        </w:rPr>
        <w:t>ormulara esta acción de tutela</w:t>
      </w:r>
      <w:proofErr w:type="gramStart"/>
      <w:r>
        <w:rPr>
          <w:rFonts w:ascii="Arial" w:hAnsi="Arial" w:cs="Arial"/>
          <w:lang w:val="es-ES"/>
        </w:rPr>
        <w:t>.(</w:t>
      </w:r>
      <w:proofErr w:type="gramEnd"/>
      <w:r>
        <w:rPr>
          <w:rFonts w:ascii="Arial" w:hAnsi="Arial" w:cs="Arial"/>
          <w:lang w:val="es-ES"/>
        </w:rPr>
        <w:t>…)</w:t>
      </w:r>
    </w:p>
    <w:p w14:paraId="5500AAB6" w14:textId="77777777" w:rsidR="004A2377" w:rsidRPr="004A2377" w:rsidRDefault="004A2377" w:rsidP="004A2377">
      <w:pPr>
        <w:overflowPunct/>
        <w:autoSpaceDE/>
        <w:autoSpaceDN/>
        <w:adjustRightInd/>
        <w:jc w:val="both"/>
        <w:textAlignment w:val="auto"/>
        <w:rPr>
          <w:rFonts w:ascii="Arial" w:hAnsi="Arial" w:cs="Arial"/>
          <w:lang w:val="es-ES"/>
        </w:rPr>
      </w:pPr>
    </w:p>
    <w:p w14:paraId="526C72BA" w14:textId="1E7C65BA" w:rsidR="004A2377" w:rsidRPr="004A2377" w:rsidRDefault="004A2377" w:rsidP="004A2377">
      <w:pPr>
        <w:overflowPunct/>
        <w:autoSpaceDE/>
        <w:autoSpaceDN/>
        <w:adjustRightInd/>
        <w:jc w:val="both"/>
        <w:textAlignment w:val="auto"/>
        <w:rPr>
          <w:rFonts w:ascii="Arial" w:hAnsi="Arial" w:cs="Arial"/>
          <w:lang w:val="es-ES"/>
        </w:rPr>
      </w:pPr>
      <w:r w:rsidRPr="004A2377">
        <w:rPr>
          <w:rFonts w:ascii="Arial" w:hAnsi="Arial" w:cs="Arial"/>
          <w:lang w:val="es-ES"/>
        </w:rPr>
        <w:t>Y es improcedente el amparo, porque tienen dicho la Corte Constitucional, y la Sala de Casación Civil de la Corte Suprema de Justicia, como también esta Corporación, que “(…) la improcedencia por falta de acción u omisión (de una acción de tutela) ocurre cuando: (i) No hay petición o se resolvió antes de presentar el amparo; y, (ii) La decisión cuestionada es inexistente. Criterio que aplica en amparos contra despachos judiciales.”</w:t>
      </w:r>
    </w:p>
    <w:p w14:paraId="257A3A6A" w14:textId="77777777" w:rsidR="004A2377" w:rsidRPr="004A2377" w:rsidRDefault="004A2377" w:rsidP="004A2377">
      <w:pPr>
        <w:overflowPunct/>
        <w:autoSpaceDE/>
        <w:autoSpaceDN/>
        <w:adjustRightInd/>
        <w:jc w:val="both"/>
        <w:textAlignment w:val="auto"/>
        <w:rPr>
          <w:rFonts w:ascii="Arial" w:hAnsi="Arial" w:cs="Arial"/>
          <w:lang w:val="es-ES"/>
        </w:rPr>
      </w:pPr>
    </w:p>
    <w:p w14:paraId="5D1FBD1D" w14:textId="77777777" w:rsidR="004A2377" w:rsidRPr="004A2377" w:rsidRDefault="004A2377" w:rsidP="004A2377">
      <w:pPr>
        <w:overflowPunct/>
        <w:autoSpaceDE/>
        <w:autoSpaceDN/>
        <w:adjustRightInd/>
        <w:jc w:val="both"/>
        <w:textAlignment w:val="auto"/>
        <w:rPr>
          <w:rFonts w:ascii="Arial" w:hAnsi="Arial" w:cs="Arial"/>
          <w:lang w:val="es-ES"/>
        </w:rPr>
      </w:pPr>
    </w:p>
    <w:p w14:paraId="25A6DBC0" w14:textId="77777777" w:rsidR="004A2377" w:rsidRPr="004A2377" w:rsidRDefault="004A2377" w:rsidP="004A2377">
      <w:pPr>
        <w:overflowPunct/>
        <w:autoSpaceDE/>
        <w:autoSpaceDN/>
        <w:adjustRightInd/>
        <w:jc w:val="both"/>
        <w:textAlignment w:val="auto"/>
        <w:rPr>
          <w:rFonts w:ascii="Arial" w:hAnsi="Arial" w:cs="Arial"/>
          <w:lang w:val="es-ES"/>
        </w:rPr>
      </w:pPr>
    </w:p>
    <w:p w14:paraId="57A77BAA" w14:textId="298AA2E1" w:rsidR="00CD73E5" w:rsidRPr="004A2377" w:rsidRDefault="5FC52665" w:rsidP="004A2377">
      <w:pPr>
        <w:spacing w:line="276" w:lineRule="auto"/>
        <w:ind w:firstLine="2835"/>
        <w:jc w:val="both"/>
        <w:rPr>
          <w:rFonts w:ascii="Gadugi" w:hAnsi="Gadugi"/>
          <w:b/>
          <w:bCs/>
          <w:sz w:val="24"/>
          <w:szCs w:val="24"/>
        </w:rPr>
      </w:pPr>
      <w:r w:rsidRPr="004A2377">
        <w:rPr>
          <w:rFonts w:ascii="Gadugi" w:hAnsi="Gadugi"/>
          <w:b/>
          <w:bCs/>
          <w:sz w:val="24"/>
          <w:szCs w:val="24"/>
        </w:rPr>
        <w:t>T</w:t>
      </w:r>
      <w:r w:rsidR="00CD73E5" w:rsidRPr="004A2377">
        <w:rPr>
          <w:rFonts w:ascii="Gadugi" w:hAnsi="Gadugi"/>
          <w:b/>
          <w:bCs/>
          <w:sz w:val="24"/>
          <w:szCs w:val="24"/>
        </w:rPr>
        <w:t xml:space="preserve">RIBUNAL SUPERIOR DEL DISTRITO JUDICIAL </w:t>
      </w:r>
    </w:p>
    <w:p w14:paraId="57A77BAB" w14:textId="28868A23" w:rsidR="00CD73E5" w:rsidRPr="004A2377" w:rsidRDefault="00CD73E5" w:rsidP="004A2377">
      <w:pPr>
        <w:spacing w:line="276" w:lineRule="auto"/>
        <w:ind w:firstLine="2835"/>
        <w:jc w:val="both"/>
        <w:rPr>
          <w:rFonts w:ascii="Gadugi" w:hAnsi="Gadugi"/>
          <w:b/>
          <w:sz w:val="24"/>
          <w:szCs w:val="24"/>
        </w:rPr>
      </w:pPr>
      <w:r w:rsidRPr="004A2377">
        <w:rPr>
          <w:rFonts w:ascii="Gadugi" w:hAnsi="Gadugi"/>
          <w:b/>
          <w:sz w:val="24"/>
          <w:szCs w:val="24"/>
        </w:rPr>
        <w:t xml:space="preserve">  </w:t>
      </w:r>
      <w:r w:rsidR="00F20792" w:rsidRPr="004A2377">
        <w:rPr>
          <w:rFonts w:ascii="Gadugi" w:hAnsi="Gadugi"/>
          <w:b/>
          <w:sz w:val="24"/>
          <w:szCs w:val="24"/>
        </w:rPr>
        <w:t xml:space="preserve">  </w:t>
      </w:r>
      <w:r w:rsidRPr="004A2377">
        <w:rPr>
          <w:rFonts w:ascii="Gadugi" w:hAnsi="Gadugi"/>
          <w:b/>
          <w:sz w:val="24"/>
          <w:szCs w:val="24"/>
        </w:rPr>
        <w:t xml:space="preserve">   </w:t>
      </w:r>
      <w:r w:rsidR="00571B70" w:rsidRPr="004A2377">
        <w:rPr>
          <w:rFonts w:ascii="Gadugi" w:hAnsi="Gadugi"/>
          <w:b/>
          <w:sz w:val="24"/>
          <w:szCs w:val="24"/>
        </w:rPr>
        <w:t xml:space="preserve">  </w:t>
      </w:r>
      <w:r w:rsidRPr="004A2377">
        <w:rPr>
          <w:rFonts w:ascii="Gadugi" w:hAnsi="Gadugi"/>
          <w:b/>
          <w:sz w:val="24"/>
          <w:szCs w:val="24"/>
        </w:rPr>
        <w:t xml:space="preserve">SALA DE DECISIÓN CIVIL FAMILIA </w:t>
      </w:r>
    </w:p>
    <w:p w14:paraId="57A77BAC" w14:textId="77777777" w:rsidR="00496CF1" w:rsidRPr="004A2377" w:rsidRDefault="00496CF1" w:rsidP="004A2377">
      <w:pPr>
        <w:spacing w:line="276" w:lineRule="auto"/>
        <w:ind w:firstLine="2835"/>
        <w:jc w:val="both"/>
        <w:rPr>
          <w:rFonts w:ascii="Gadugi" w:hAnsi="Gadugi"/>
          <w:sz w:val="24"/>
          <w:szCs w:val="24"/>
        </w:rPr>
      </w:pPr>
    </w:p>
    <w:p w14:paraId="57A77BAD" w14:textId="77777777" w:rsidR="00285265" w:rsidRPr="004A2377" w:rsidRDefault="00285265" w:rsidP="004A2377">
      <w:pPr>
        <w:spacing w:line="276" w:lineRule="auto"/>
        <w:ind w:firstLine="2835"/>
        <w:jc w:val="both"/>
        <w:rPr>
          <w:rFonts w:ascii="Gadugi" w:hAnsi="Gadugi"/>
          <w:sz w:val="24"/>
          <w:szCs w:val="24"/>
        </w:rPr>
      </w:pPr>
    </w:p>
    <w:p w14:paraId="57A77BAE" w14:textId="77777777" w:rsidR="00CD73E5" w:rsidRPr="004A2377" w:rsidRDefault="00CD73E5" w:rsidP="004A2377">
      <w:pPr>
        <w:spacing w:line="276" w:lineRule="auto"/>
        <w:ind w:firstLine="2835"/>
        <w:jc w:val="both"/>
        <w:rPr>
          <w:rFonts w:ascii="Gadugi" w:hAnsi="Gadugi"/>
          <w:sz w:val="24"/>
          <w:szCs w:val="24"/>
        </w:rPr>
      </w:pPr>
      <w:r w:rsidRPr="004A2377">
        <w:rPr>
          <w:rFonts w:ascii="Gadugi" w:hAnsi="Gadugi"/>
          <w:sz w:val="24"/>
          <w:szCs w:val="24"/>
        </w:rPr>
        <w:t>Magistrado: Jaime Alberto Saraza Naranjo</w:t>
      </w:r>
    </w:p>
    <w:p w14:paraId="57A77BAF" w14:textId="1026C2D5" w:rsidR="00CD73E5" w:rsidRPr="004A2377" w:rsidRDefault="00CD73E5" w:rsidP="004A2377">
      <w:pPr>
        <w:spacing w:line="276" w:lineRule="auto"/>
        <w:ind w:firstLine="2835"/>
        <w:jc w:val="both"/>
        <w:rPr>
          <w:rFonts w:ascii="Gadugi" w:hAnsi="Gadugi"/>
          <w:sz w:val="24"/>
          <w:szCs w:val="24"/>
        </w:rPr>
      </w:pPr>
      <w:r w:rsidRPr="004A2377">
        <w:rPr>
          <w:rFonts w:ascii="Gadugi" w:hAnsi="Gadugi"/>
          <w:sz w:val="24"/>
          <w:szCs w:val="24"/>
        </w:rPr>
        <w:t>Pereira,</w:t>
      </w:r>
      <w:r w:rsidR="00AE3EF6" w:rsidRPr="004A2377">
        <w:rPr>
          <w:rFonts w:ascii="Gadugi" w:hAnsi="Gadugi"/>
          <w:sz w:val="24"/>
          <w:szCs w:val="24"/>
        </w:rPr>
        <w:t xml:space="preserve"> septiembre treinta del dos mil veinte</w:t>
      </w:r>
      <w:r w:rsidR="005F1C24" w:rsidRPr="004A2377">
        <w:rPr>
          <w:rFonts w:ascii="Gadugi" w:hAnsi="Gadugi"/>
          <w:sz w:val="24"/>
          <w:szCs w:val="24"/>
        </w:rPr>
        <w:t xml:space="preserve"> </w:t>
      </w:r>
      <w:r w:rsidR="000E1642" w:rsidRPr="004A2377">
        <w:rPr>
          <w:rFonts w:ascii="Gadugi" w:hAnsi="Gadugi"/>
          <w:sz w:val="24"/>
          <w:szCs w:val="24"/>
        </w:rPr>
        <w:t xml:space="preserve"> </w:t>
      </w:r>
      <w:r w:rsidR="00A734BF" w:rsidRPr="004A2377">
        <w:rPr>
          <w:rFonts w:ascii="Gadugi" w:hAnsi="Gadugi"/>
          <w:sz w:val="24"/>
          <w:szCs w:val="24"/>
        </w:rPr>
        <w:t xml:space="preserve"> </w:t>
      </w:r>
      <w:r w:rsidR="00A8400C" w:rsidRPr="004A2377">
        <w:rPr>
          <w:rFonts w:ascii="Gadugi" w:hAnsi="Gadugi"/>
          <w:sz w:val="24"/>
          <w:szCs w:val="24"/>
        </w:rPr>
        <w:t xml:space="preserve"> </w:t>
      </w:r>
      <w:r w:rsidR="00B632F4" w:rsidRPr="004A2377">
        <w:rPr>
          <w:rFonts w:ascii="Gadugi" w:hAnsi="Gadugi"/>
          <w:sz w:val="24"/>
          <w:szCs w:val="24"/>
        </w:rPr>
        <w:t xml:space="preserve"> </w:t>
      </w:r>
      <w:r w:rsidRPr="004A2377">
        <w:rPr>
          <w:rFonts w:ascii="Gadugi" w:hAnsi="Gadugi"/>
          <w:sz w:val="24"/>
          <w:szCs w:val="24"/>
        </w:rPr>
        <w:t xml:space="preserve"> </w:t>
      </w:r>
    </w:p>
    <w:p w14:paraId="57A77BB0" w14:textId="1E84AA25" w:rsidR="003538FF" w:rsidRPr="004A2377" w:rsidRDefault="00CD73E5" w:rsidP="004A2377">
      <w:pPr>
        <w:spacing w:line="276" w:lineRule="auto"/>
        <w:ind w:firstLine="2835"/>
        <w:jc w:val="both"/>
        <w:rPr>
          <w:rFonts w:ascii="Gadugi" w:hAnsi="Gadugi"/>
          <w:sz w:val="24"/>
          <w:szCs w:val="24"/>
        </w:rPr>
      </w:pPr>
      <w:r w:rsidRPr="004A2377">
        <w:rPr>
          <w:rFonts w:ascii="Gadugi" w:hAnsi="Gadugi"/>
          <w:sz w:val="24"/>
          <w:szCs w:val="24"/>
        </w:rPr>
        <w:t>Expediente</w:t>
      </w:r>
      <w:r w:rsidR="000E1642" w:rsidRPr="004A2377">
        <w:rPr>
          <w:rFonts w:ascii="Gadugi" w:hAnsi="Gadugi"/>
          <w:sz w:val="24"/>
          <w:szCs w:val="24"/>
        </w:rPr>
        <w:t>: 66001-22-13-000-2020-00154</w:t>
      </w:r>
      <w:r w:rsidRPr="004A2377">
        <w:rPr>
          <w:rFonts w:ascii="Gadugi" w:hAnsi="Gadugi"/>
          <w:sz w:val="24"/>
          <w:szCs w:val="24"/>
        </w:rPr>
        <w:t>-00</w:t>
      </w:r>
    </w:p>
    <w:p w14:paraId="57A77BB1" w14:textId="267D0094" w:rsidR="00CD73E5" w:rsidRPr="004A2377" w:rsidRDefault="00CD73E5" w:rsidP="004A2377">
      <w:pPr>
        <w:spacing w:line="276" w:lineRule="auto"/>
        <w:ind w:firstLine="2835"/>
        <w:jc w:val="both"/>
        <w:rPr>
          <w:rFonts w:ascii="Gadugi" w:hAnsi="Gadugi"/>
          <w:sz w:val="24"/>
          <w:szCs w:val="24"/>
        </w:rPr>
      </w:pPr>
      <w:r w:rsidRPr="004A2377">
        <w:rPr>
          <w:rFonts w:ascii="Gadugi" w:hAnsi="Gadugi"/>
          <w:sz w:val="24"/>
          <w:szCs w:val="24"/>
        </w:rPr>
        <w:t>Acta N°</w:t>
      </w:r>
      <w:r w:rsidR="00AE3EF6" w:rsidRPr="004A2377">
        <w:rPr>
          <w:rFonts w:ascii="Gadugi" w:hAnsi="Gadugi"/>
          <w:sz w:val="24"/>
          <w:szCs w:val="24"/>
        </w:rPr>
        <w:t xml:space="preserve"> 335 del 30 de septiembre del 2020</w:t>
      </w:r>
      <w:r w:rsidR="005F1C24" w:rsidRPr="004A2377">
        <w:rPr>
          <w:rFonts w:ascii="Gadugi" w:hAnsi="Gadugi"/>
          <w:sz w:val="24"/>
          <w:szCs w:val="24"/>
        </w:rPr>
        <w:t xml:space="preserve"> </w:t>
      </w:r>
    </w:p>
    <w:p w14:paraId="57A77BB2" w14:textId="77777777" w:rsidR="00285265" w:rsidRPr="004A2377" w:rsidRDefault="00285265" w:rsidP="004A2377">
      <w:pPr>
        <w:spacing w:line="276" w:lineRule="auto"/>
        <w:ind w:firstLine="2835"/>
        <w:jc w:val="both"/>
        <w:rPr>
          <w:rFonts w:ascii="Gadugi" w:hAnsi="Gadugi"/>
          <w:sz w:val="24"/>
          <w:szCs w:val="24"/>
        </w:rPr>
      </w:pPr>
    </w:p>
    <w:p w14:paraId="57A77BB3" w14:textId="77777777" w:rsidR="0035768F" w:rsidRPr="004A2377" w:rsidRDefault="0035768F" w:rsidP="004A2377">
      <w:pPr>
        <w:spacing w:line="276" w:lineRule="auto"/>
        <w:ind w:firstLine="2835"/>
        <w:jc w:val="both"/>
        <w:rPr>
          <w:rFonts w:ascii="Gadugi" w:hAnsi="Gadugi"/>
          <w:sz w:val="24"/>
          <w:szCs w:val="24"/>
        </w:rPr>
      </w:pPr>
    </w:p>
    <w:p w14:paraId="57A77BB4" w14:textId="5C1DC34C" w:rsidR="00B632F4" w:rsidRPr="004A2377" w:rsidRDefault="00CD73E5" w:rsidP="004A2377">
      <w:pPr>
        <w:spacing w:line="276" w:lineRule="auto"/>
        <w:ind w:firstLine="2835"/>
        <w:jc w:val="both"/>
        <w:rPr>
          <w:rFonts w:ascii="Gadugi" w:hAnsi="Gadugi" w:cs="Century Gothic"/>
          <w:sz w:val="24"/>
          <w:szCs w:val="24"/>
        </w:rPr>
      </w:pPr>
      <w:r w:rsidRPr="004A2377">
        <w:rPr>
          <w:rFonts w:ascii="Gadugi" w:hAnsi="Gadugi" w:cs="Century Gothic"/>
          <w:sz w:val="24"/>
          <w:szCs w:val="24"/>
        </w:rPr>
        <w:t>Decide la Sala la</w:t>
      </w:r>
      <w:r w:rsidR="00654459" w:rsidRPr="004A2377">
        <w:rPr>
          <w:rFonts w:ascii="Gadugi" w:hAnsi="Gadugi" w:cs="Century Gothic"/>
          <w:sz w:val="24"/>
          <w:szCs w:val="24"/>
        </w:rPr>
        <w:t xml:space="preserve"> acción</w:t>
      </w:r>
      <w:r w:rsidRPr="004A2377">
        <w:rPr>
          <w:rFonts w:ascii="Gadugi" w:hAnsi="Gadugi" w:cs="Century Gothic"/>
          <w:sz w:val="24"/>
          <w:szCs w:val="24"/>
        </w:rPr>
        <w:t xml:space="preserve"> de tutela </w:t>
      </w:r>
      <w:r w:rsidR="006B3724" w:rsidRPr="004A2377">
        <w:rPr>
          <w:rFonts w:ascii="Gadugi" w:hAnsi="Gadugi" w:cs="Century Gothic"/>
          <w:sz w:val="24"/>
          <w:szCs w:val="24"/>
        </w:rPr>
        <w:t xml:space="preserve">de la referencia </w:t>
      </w:r>
      <w:r w:rsidRPr="004A2377">
        <w:rPr>
          <w:rFonts w:ascii="Gadugi" w:hAnsi="Gadugi" w:cs="Century Gothic"/>
          <w:sz w:val="24"/>
          <w:szCs w:val="24"/>
        </w:rPr>
        <w:t>promovida</w:t>
      </w:r>
      <w:r w:rsidR="006B3724" w:rsidRPr="004A2377">
        <w:rPr>
          <w:rFonts w:ascii="Gadugi" w:hAnsi="Gadugi" w:cs="Century Gothic"/>
          <w:sz w:val="24"/>
          <w:szCs w:val="24"/>
        </w:rPr>
        <w:t xml:space="preserve"> por</w:t>
      </w:r>
      <w:r w:rsidRPr="004A2377">
        <w:rPr>
          <w:rFonts w:ascii="Gadugi" w:hAnsi="Gadugi" w:cs="Century Gothic"/>
          <w:sz w:val="24"/>
          <w:szCs w:val="24"/>
        </w:rPr>
        <w:t xml:space="preserve"> </w:t>
      </w:r>
      <w:r w:rsidR="00313F89" w:rsidRPr="004A2377">
        <w:rPr>
          <w:rFonts w:ascii="Gadugi" w:hAnsi="Gadugi" w:cs="Century Gothic"/>
          <w:b/>
          <w:bCs/>
          <w:sz w:val="24"/>
          <w:szCs w:val="24"/>
        </w:rPr>
        <w:t xml:space="preserve">Javier Elías Arias </w:t>
      </w:r>
      <w:proofErr w:type="spellStart"/>
      <w:r w:rsidR="00313F89" w:rsidRPr="004A2377">
        <w:rPr>
          <w:rFonts w:ascii="Gadugi" w:hAnsi="Gadugi" w:cs="Century Gothic"/>
          <w:b/>
          <w:bCs/>
          <w:sz w:val="24"/>
          <w:szCs w:val="24"/>
        </w:rPr>
        <w:t>Idárraga</w:t>
      </w:r>
      <w:proofErr w:type="spellEnd"/>
      <w:r w:rsidR="00E41FFB" w:rsidRPr="004A2377">
        <w:rPr>
          <w:rFonts w:ascii="Gadugi" w:hAnsi="Gadugi" w:cs="Century Gothic"/>
          <w:b/>
          <w:bCs/>
          <w:sz w:val="24"/>
          <w:szCs w:val="24"/>
        </w:rPr>
        <w:t xml:space="preserve">, </w:t>
      </w:r>
      <w:r w:rsidR="00E41FFB" w:rsidRPr="004A2377">
        <w:rPr>
          <w:rFonts w:ascii="Gadugi" w:hAnsi="Gadugi" w:cs="Century Gothic"/>
          <w:sz w:val="24"/>
          <w:szCs w:val="24"/>
        </w:rPr>
        <w:t xml:space="preserve">en procura de la protección de su derecho fundamental al debido proceso, </w:t>
      </w:r>
      <w:r w:rsidRPr="004A2377">
        <w:rPr>
          <w:rFonts w:ascii="Gadugi" w:hAnsi="Gadugi" w:cs="Century Gothic"/>
          <w:sz w:val="24"/>
          <w:szCs w:val="24"/>
        </w:rPr>
        <w:t xml:space="preserve">contra el </w:t>
      </w:r>
      <w:r w:rsidR="00AC7344" w:rsidRPr="004A2377">
        <w:rPr>
          <w:rFonts w:ascii="Gadugi" w:hAnsi="Gadugi" w:cs="Century Gothic"/>
          <w:b/>
          <w:bCs/>
          <w:sz w:val="24"/>
          <w:szCs w:val="24"/>
        </w:rPr>
        <w:t xml:space="preserve">Juzgado </w:t>
      </w:r>
      <w:r w:rsidR="000E1642" w:rsidRPr="004A2377">
        <w:rPr>
          <w:rFonts w:ascii="Gadugi" w:hAnsi="Gadugi" w:cs="Century Gothic"/>
          <w:b/>
          <w:bCs/>
          <w:sz w:val="24"/>
          <w:szCs w:val="24"/>
        </w:rPr>
        <w:t>Quinto</w:t>
      </w:r>
      <w:r w:rsidR="00313F89" w:rsidRPr="004A2377">
        <w:rPr>
          <w:rFonts w:ascii="Gadugi" w:hAnsi="Gadugi" w:cs="Century Gothic"/>
          <w:b/>
          <w:bCs/>
          <w:sz w:val="24"/>
          <w:szCs w:val="24"/>
        </w:rPr>
        <w:t xml:space="preserve"> </w:t>
      </w:r>
      <w:r w:rsidR="006B3724" w:rsidRPr="004A2377">
        <w:rPr>
          <w:rFonts w:ascii="Gadugi" w:hAnsi="Gadugi" w:cs="Century Gothic"/>
          <w:b/>
          <w:bCs/>
          <w:sz w:val="24"/>
          <w:szCs w:val="24"/>
        </w:rPr>
        <w:t xml:space="preserve">Civil del Circuito de </w:t>
      </w:r>
      <w:r w:rsidR="00313F89" w:rsidRPr="004A2377">
        <w:rPr>
          <w:rFonts w:ascii="Gadugi" w:hAnsi="Gadugi" w:cs="Century Gothic"/>
          <w:b/>
          <w:bCs/>
          <w:sz w:val="24"/>
          <w:szCs w:val="24"/>
        </w:rPr>
        <w:t>Pereira</w:t>
      </w:r>
      <w:r w:rsidR="00B632F4" w:rsidRPr="004A2377">
        <w:rPr>
          <w:rFonts w:ascii="Gadugi" w:hAnsi="Gadugi" w:cs="Century Gothic"/>
          <w:b/>
          <w:bCs/>
          <w:sz w:val="24"/>
          <w:szCs w:val="24"/>
        </w:rPr>
        <w:t xml:space="preserve">, </w:t>
      </w:r>
      <w:r w:rsidR="00B632F4" w:rsidRPr="004A2377">
        <w:rPr>
          <w:rFonts w:ascii="Gadugi" w:hAnsi="Gadugi" w:cs="Century Gothic"/>
          <w:sz w:val="24"/>
          <w:szCs w:val="24"/>
        </w:rPr>
        <w:t>a la que</w:t>
      </w:r>
      <w:r w:rsidR="00B632F4" w:rsidRPr="004A2377">
        <w:rPr>
          <w:rFonts w:ascii="Gadugi" w:hAnsi="Gadugi" w:cs="Century Gothic"/>
          <w:color w:val="00B050"/>
          <w:sz w:val="24"/>
          <w:szCs w:val="24"/>
        </w:rPr>
        <w:t xml:space="preserve"> </w:t>
      </w:r>
      <w:r w:rsidR="00B632F4" w:rsidRPr="004A2377">
        <w:rPr>
          <w:rFonts w:ascii="Gadugi" w:hAnsi="Gadugi" w:cs="Century Gothic"/>
          <w:sz w:val="24"/>
          <w:szCs w:val="24"/>
        </w:rPr>
        <w:t>fueron</w:t>
      </w:r>
      <w:r w:rsidR="00AE3EF6" w:rsidRPr="004A2377">
        <w:rPr>
          <w:rFonts w:ascii="Gadugi" w:hAnsi="Gadugi" w:cs="Century Gothic"/>
          <w:sz w:val="24"/>
          <w:szCs w:val="24"/>
        </w:rPr>
        <w:t xml:space="preserve"> vinculados</w:t>
      </w:r>
      <w:r w:rsidR="00B632F4" w:rsidRPr="004A2377">
        <w:rPr>
          <w:rFonts w:ascii="Gadugi" w:hAnsi="Gadugi" w:cs="Century Gothic"/>
          <w:sz w:val="24"/>
          <w:szCs w:val="24"/>
        </w:rPr>
        <w:t xml:space="preserve"> los </w:t>
      </w:r>
      <w:r w:rsidR="006F2F50" w:rsidRPr="004A2377">
        <w:rPr>
          <w:rFonts w:ascii="Gadugi" w:hAnsi="Gadugi" w:cs="Century Gothic"/>
          <w:b/>
          <w:bCs/>
          <w:sz w:val="24"/>
          <w:szCs w:val="24"/>
        </w:rPr>
        <w:t xml:space="preserve">demás </w:t>
      </w:r>
      <w:r w:rsidR="00B632F4" w:rsidRPr="004A2377">
        <w:rPr>
          <w:rFonts w:ascii="Gadugi" w:hAnsi="Gadugi" w:cs="Century Gothic"/>
          <w:b/>
          <w:bCs/>
          <w:sz w:val="24"/>
          <w:szCs w:val="24"/>
        </w:rPr>
        <w:t>intervinientes</w:t>
      </w:r>
      <w:r w:rsidR="00B632F4" w:rsidRPr="004A2377">
        <w:rPr>
          <w:rFonts w:ascii="Gadugi" w:hAnsi="Gadugi" w:cs="Century Gothic"/>
          <w:sz w:val="24"/>
          <w:szCs w:val="24"/>
        </w:rPr>
        <w:t xml:space="preserve"> en la</w:t>
      </w:r>
      <w:r w:rsidR="000E1642" w:rsidRPr="004A2377">
        <w:rPr>
          <w:rFonts w:ascii="Gadugi" w:hAnsi="Gadugi" w:cs="Century Gothic"/>
          <w:sz w:val="24"/>
          <w:szCs w:val="24"/>
        </w:rPr>
        <w:t>s acciones</w:t>
      </w:r>
      <w:r w:rsidR="00B632F4" w:rsidRPr="004A2377">
        <w:rPr>
          <w:rFonts w:ascii="Gadugi" w:hAnsi="Gadugi" w:cs="Century Gothic"/>
          <w:sz w:val="24"/>
          <w:szCs w:val="24"/>
        </w:rPr>
        <w:t xml:space="preserve"> popular</w:t>
      </w:r>
      <w:r w:rsidR="000E1642" w:rsidRPr="004A2377">
        <w:rPr>
          <w:rFonts w:ascii="Gadugi" w:hAnsi="Gadugi" w:cs="Century Gothic"/>
          <w:sz w:val="24"/>
          <w:szCs w:val="24"/>
        </w:rPr>
        <w:t>es</w:t>
      </w:r>
      <w:r w:rsidR="00B632F4" w:rsidRPr="004A2377">
        <w:rPr>
          <w:rFonts w:ascii="Gadugi" w:hAnsi="Gadugi" w:cs="Century Gothic"/>
          <w:sz w:val="24"/>
          <w:szCs w:val="24"/>
        </w:rPr>
        <w:t xml:space="preserve"> con radicado</w:t>
      </w:r>
      <w:r w:rsidR="000E1642" w:rsidRPr="004A2377">
        <w:rPr>
          <w:rFonts w:ascii="Gadugi" w:hAnsi="Gadugi" w:cs="Century Gothic"/>
          <w:sz w:val="24"/>
          <w:szCs w:val="24"/>
        </w:rPr>
        <w:t xml:space="preserve"> </w:t>
      </w:r>
      <w:r w:rsidR="000E1642" w:rsidRPr="004A2377">
        <w:rPr>
          <w:rFonts w:ascii="Gadugi" w:hAnsi="Gadugi" w:cs="Century Gothic"/>
          <w:b/>
          <w:bCs/>
          <w:i/>
          <w:iCs/>
          <w:sz w:val="24"/>
          <w:szCs w:val="24"/>
        </w:rPr>
        <w:t xml:space="preserve">“2019-166”, “2019-167”, “2019-181”, “2019-182” y “2019-189”, </w:t>
      </w:r>
      <w:r w:rsidR="000E1642" w:rsidRPr="004A2377">
        <w:rPr>
          <w:rFonts w:ascii="Gadugi" w:hAnsi="Gadugi" w:cs="Century Gothic"/>
          <w:sz w:val="24"/>
          <w:szCs w:val="24"/>
        </w:rPr>
        <w:t>que se tramitan en el Juzgado accionado.</w:t>
      </w:r>
    </w:p>
    <w:p w14:paraId="57A77BB5" w14:textId="1E5D0515" w:rsidR="00B01CB1" w:rsidRPr="004A2377" w:rsidRDefault="00E41FFB" w:rsidP="004A2377">
      <w:pPr>
        <w:spacing w:line="276" w:lineRule="auto"/>
        <w:jc w:val="both"/>
        <w:rPr>
          <w:rFonts w:ascii="Gadugi" w:hAnsi="Gadugi"/>
          <w:b/>
          <w:sz w:val="24"/>
          <w:szCs w:val="24"/>
          <w:lang w:val="es-MX"/>
        </w:rPr>
      </w:pPr>
      <w:r w:rsidRPr="004A2377">
        <w:rPr>
          <w:rFonts w:ascii="Gadugi" w:hAnsi="Gadugi"/>
          <w:b/>
          <w:sz w:val="24"/>
          <w:szCs w:val="24"/>
          <w:lang w:val="es-MX"/>
        </w:rPr>
        <w:tab/>
      </w:r>
      <w:r w:rsidRPr="004A2377">
        <w:rPr>
          <w:rFonts w:ascii="Gadugi" w:hAnsi="Gadugi"/>
          <w:b/>
          <w:sz w:val="24"/>
          <w:szCs w:val="24"/>
          <w:lang w:val="es-MX"/>
        </w:rPr>
        <w:tab/>
      </w:r>
      <w:r w:rsidRPr="004A2377">
        <w:rPr>
          <w:rFonts w:ascii="Gadugi" w:hAnsi="Gadugi"/>
          <w:b/>
          <w:sz w:val="24"/>
          <w:szCs w:val="24"/>
          <w:lang w:val="es-MX"/>
        </w:rPr>
        <w:tab/>
      </w:r>
      <w:r w:rsidRPr="004A2377">
        <w:rPr>
          <w:rFonts w:ascii="Gadugi" w:hAnsi="Gadugi"/>
          <w:b/>
          <w:sz w:val="24"/>
          <w:szCs w:val="24"/>
          <w:lang w:val="es-MX"/>
        </w:rPr>
        <w:tab/>
      </w:r>
    </w:p>
    <w:p w14:paraId="57A77BB6" w14:textId="4B9FBDA0" w:rsidR="00B632F4" w:rsidRPr="004A2377" w:rsidRDefault="00E41FFB" w:rsidP="004A2377">
      <w:pPr>
        <w:spacing w:line="276" w:lineRule="auto"/>
        <w:jc w:val="both"/>
        <w:rPr>
          <w:rFonts w:ascii="Gadugi" w:hAnsi="Gadugi"/>
          <w:b/>
          <w:sz w:val="24"/>
          <w:szCs w:val="24"/>
          <w:lang w:val="es-MX"/>
        </w:rPr>
      </w:pPr>
      <w:r w:rsidRPr="004A2377">
        <w:rPr>
          <w:rFonts w:ascii="Gadugi" w:hAnsi="Gadugi"/>
          <w:b/>
          <w:sz w:val="24"/>
          <w:szCs w:val="24"/>
          <w:lang w:val="es-MX"/>
        </w:rPr>
        <w:tab/>
      </w:r>
      <w:r w:rsidRPr="004A2377">
        <w:rPr>
          <w:rFonts w:ascii="Gadugi" w:hAnsi="Gadugi"/>
          <w:b/>
          <w:sz w:val="24"/>
          <w:szCs w:val="24"/>
          <w:lang w:val="es-MX"/>
        </w:rPr>
        <w:tab/>
      </w:r>
      <w:r w:rsidRPr="004A2377">
        <w:rPr>
          <w:rFonts w:ascii="Gadugi" w:hAnsi="Gadugi"/>
          <w:b/>
          <w:sz w:val="24"/>
          <w:szCs w:val="24"/>
          <w:lang w:val="es-MX"/>
        </w:rPr>
        <w:tab/>
      </w:r>
      <w:r w:rsidRPr="004A2377">
        <w:rPr>
          <w:rFonts w:ascii="Gadugi" w:hAnsi="Gadugi"/>
          <w:b/>
          <w:sz w:val="24"/>
          <w:szCs w:val="24"/>
          <w:lang w:val="es-MX"/>
        </w:rPr>
        <w:tab/>
      </w:r>
    </w:p>
    <w:p w14:paraId="57A77BB7" w14:textId="77777777" w:rsidR="00CD73E5" w:rsidRPr="004A2377" w:rsidRDefault="00CD73E5" w:rsidP="004A2377">
      <w:pPr>
        <w:pStyle w:val="Ttulo4"/>
        <w:spacing w:line="276" w:lineRule="auto"/>
        <w:rPr>
          <w:rFonts w:ascii="Gadugi" w:hAnsi="Gadugi"/>
          <w:b/>
          <w:sz w:val="24"/>
          <w:szCs w:val="24"/>
        </w:rPr>
      </w:pPr>
      <w:r w:rsidRPr="004A2377">
        <w:rPr>
          <w:rFonts w:ascii="Gadugi" w:hAnsi="Gadugi"/>
          <w:b/>
          <w:sz w:val="24"/>
          <w:szCs w:val="24"/>
        </w:rPr>
        <w:t>ANTECEDENTES</w:t>
      </w:r>
    </w:p>
    <w:p w14:paraId="57A77BB8" w14:textId="77777777" w:rsidR="00CD73E5" w:rsidRPr="004A2377" w:rsidRDefault="00CD73E5" w:rsidP="004A2377">
      <w:pPr>
        <w:spacing w:line="276" w:lineRule="auto"/>
        <w:ind w:firstLine="2835"/>
        <w:jc w:val="both"/>
        <w:rPr>
          <w:rFonts w:ascii="Gadugi" w:hAnsi="Gadugi" w:cs="Century Gothic"/>
          <w:sz w:val="24"/>
          <w:szCs w:val="24"/>
        </w:rPr>
      </w:pPr>
    </w:p>
    <w:p w14:paraId="57A77BBB" w14:textId="77777777" w:rsidR="006B3724" w:rsidRPr="004A2377" w:rsidRDefault="006B3724" w:rsidP="004A2377">
      <w:pPr>
        <w:pStyle w:val="Textoindependiente21"/>
        <w:spacing w:line="276" w:lineRule="auto"/>
        <w:rPr>
          <w:rFonts w:ascii="Gadugi" w:hAnsi="Gadugi" w:cs="Century Gothic"/>
          <w:szCs w:val="24"/>
        </w:rPr>
      </w:pPr>
    </w:p>
    <w:p w14:paraId="27890B33" w14:textId="640487B9" w:rsidR="000E1642" w:rsidRPr="004A2377" w:rsidRDefault="00CD73E5" w:rsidP="004A2377">
      <w:pPr>
        <w:spacing w:line="276" w:lineRule="auto"/>
        <w:jc w:val="both"/>
        <w:rPr>
          <w:rFonts w:ascii="Gadugi" w:hAnsi="Gadugi" w:cs="Century Gothic"/>
          <w:sz w:val="24"/>
          <w:szCs w:val="24"/>
        </w:rPr>
      </w:pPr>
      <w:r w:rsidRPr="004A2377">
        <w:rPr>
          <w:rFonts w:ascii="Gadugi" w:hAnsi="Gadugi" w:cs="Century Gothic"/>
          <w:sz w:val="24"/>
          <w:szCs w:val="24"/>
        </w:rPr>
        <w:t xml:space="preserve"> </w:t>
      </w:r>
      <w:r w:rsidRPr="004A2377">
        <w:rPr>
          <w:rFonts w:ascii="Gadugi" w:hAnsi="Gadugi" w:cs="Century Gothic"/>
          <w:sz w:val="24"/>
          <w:szCs w:val="24"/>
        </w:rPr>
        <w:tab/>
      </w:r>
      <w:r w:rsidRPr="004A2377">
        <w:rPr>
          <w:rFonts w:ascii="Gadugi" w:hAnsi="Gadugi" w:cs="Century Gothic"/>
          <w:sz w:val="24"/>
          <w:szCs w:val="24"/>
        </w:rPr>
        <w:tab/>
      </w:r>
      <w:r w:rsidRPr="004A2377">
        <w:rPr>
          <w:rFonts w:ascii="Gadugi" w:hAnsi="Gadugi" w:cs="Century Gothic"/>
          <w:sz w:val="24"/>
          <w:szCs w:val="24"/>
        </w:rPr>
        <w:tab/>
      </w:r>
      <w:r w:rsidRPr="004A2377">
        <w:rPr>
          <w:rFonts w:ascii="Gadugi" w:hAnsi="Gadugi" w:cs="Century Gothic"/>
          <w:sz w:val="24"/>
          <w:szCs w:val="24"/>
        </w:rPr>
        <w:tab/>
      </w:r>
      <w:r w:rsidR="00F1637D" w:rsidRPr="004A2377">
        <w:rPr>
          <w:rFonts w:ascii="Gadugi" w:hAnsi="Gadugi" w:cs="Century Gothic"/>
          <w:sz w:val="24"/>
          <w:szCs w:val="24"/>
        </w:rPr>
        <w:t>Narr</w:t>
      </w:r>
      <w:r w:rsidR="00147AF4" w:rsidRPr="004A2377">
        <w:rPr>
          <w:rFonts w:ascii="Gadugi" w:hAnsi="Gadugi" w:cs="Century Gothic"/>
          <w:sz w:val="24"/>
          <w:szCs w:val="24"/>
        </w:rPr>
        <w:t>ó</w:t>
      </w:r>
      <w:r w:rsidR="00E41FFB" w:rsidRPr="004A2377">
        <w:rPr>
          <w:rFonts w:ascii="Gadugi" w:hAnsi="Gadugi" w:cs="Century Gothic"/>
          <w:sz w:val="24"/>
          <w:szCs w:val="24"/>
        </w:rPr>
        <w:t xml:space="preserve"> que </w:t>
      </w:r>
      <w:r w:rsidR="002D1F05" w:rsidRPr="004A2377">
        <w:rPr>
          <w:rFonts w:ascii="Gadugi" w:hAnsi="Gadugi" w:cs="Century Gothic"/>
          <w:sz w:val="24"/>
          <w:szCs w:val="24"/>
        </w:rPr>
        <w:t xml:space="preserve">el </w:t>
      </w:r>
      <w:r w:rsidR="000E1642" w:rsidRPr="004A2377">
        <w:rPr>
          <w:rFonts w:ascii="Gadugi" w:hAnsi="Gadugi" w:cs="Century Gothic"/>
          <w:sz w:val="24"/>
          <w:szCs w:val="24"/>
        </w:rPr>
        <w:t xml:space="preserve">Juzgado accionado digitalizó y le envió el link de las referidas acciones populares, sin embargo, no hizo lo mismo con sus apelaciones.  </w:t>
      </w:r>
    </w:p>
    <w:p w14:paraId="57A77BBD" w14:textId="77777777" w:rsidR="00DA1D30" w:rsidRPr="004A2377" w:rsidRDefault="00DA1D30" w:rsidP="004A2377">
      <w:pPr>
        <w:spacing w:line="276" w:lineRule="auto"/>
        <w:jc w:val="both"/>
        <w:rPr>
          <w:rFonts w:ascii="Gadugi" w:hAnsi="Gadugi" w:cs="Century Gothic"/>
          <w:sz w:val="24"/>
          <w:szCs w:val="24"/>
        </w:rPr>
      </w:pPr>
    </w:p>
    <w:p w14:paraId="308031DB" w14:textId="07496EA9" w:rsidR="000E1642" w:rsidRPr="004A2377" w:rsidRDefault="00DA1D30" w:rsidP="004A2377">
      <w:pPr>
        <w:spacing w:line="276" w:lineRule="auto"/>
        <w:jc w:val="both"/>
        <w:rPr>
          <w:rFonts w:ascii="Gadugi" w:hAnsi="Gadugi" w:cs="Century Gothic"/>
          <w:sz w:val="24"/>
          <w:szCs w:val="24"/>
        </w:rPr>
      </w:pPr>
      <w:r w:rsidRPr="004A2377">
        <w:rPr>
          <w:rFonts w:ascii="Gadugi" w:hAnsi="Gadugi" w:cs="Century Gothic"/>
          <w:sz w:val="24"/>
          <w:szCs w:val="24"/>
        </w:rPr>
        <w:tab/>
      </w:r>
      <w:r w:rsidRPr="004A2377">
        <w:rPr>
          <w:rFonts w:ascii="Gadugi" w:hAnsi="Gadugi" w:cs="Century Gothic"/>
          <w:sz w:val="24"/>
          <w:szCs w:val="24"/>
        </w:rPr>
        <w:tab/>
      </w:r>
      <w:r w:rsidRPr="004A2377">
        <w:rPr>
          <w:rFonts w:ascii="Gadugi" w:hAnsi="Gadugi" w:cs="Century Gothic"/>
          <w:sz w:val="24"/>
          <w:szCs w:val="24"/>
        </w:rPr>
        <w:tab/>
      </w:r>
      <w:r w:rsidRPr="004A2377">
        <w:rPr>
          <w:rFonts w:ascii="Gadugi" w:hAnsi="Gadugi" w:cs="Century Gothic"/>
          <w:sz w:val="24"/>
          <w:szCs w:val="24"/>
        </w:rPr>
        <w:tab/>
        <w:t xml:space="preserve">Pidió, entonces, </w:t>
      </w:r>
      <w:r w:rsidR="006F2F50" w:rsidRPr="004A2377">
        <w:rPr>
          <w:rFonts w:ascii="Gadugi" w:hAnsi="Gadugi" w:cs="Century Gothic"/>
          <w:sz w:val="24"/>
          <w:szCs w:val="24"/>
        </w:rPr>
        <w:t>que se le ordene a la funcionaria accionada</w:t>
      </w:r>
      <w:r w:rsidR="002D1F05" w:rsidRPr="004A2377">
        <w:rPr>
          <w:rFonts w:ascii="Gadugi" w:hAnsi="Gadugi" w:cs="Century Gothic"/>
          <w:sz w:val="24"/>
          <w:szCs w:val="24"/>
        </w:rPr>
        <w:t xml:space="preserve"> </w:t>
      </w:r>
      <w:r w:rsidR="000E1642" w:rsidRPr="004A2377">
        <w:rPr>
          <w:rFonts w:ascii="Gadugi" w:hAnsi="Gadugi" w:cs="Century Gothic"/>
          <w:sz w:val="24"/>
          <w:szCs w:val="24"/>
        </w:rPr>
        <w:t>digitalizar las acciones populares con sus respectivas apelaciones, y conceder las alzadas.</w:t>
      </w:r>
      <w:r w:rsidR="00473E62" w:rsidRPr="004A2377">
        <w:rPr>
          <w:rStyle w:val="Refdenotaalpie"/>
          <w:rFonts w:ascii="Gadugi" w:hAnsi="Gadugi"/>
          <w:sz w:val="24"/>
          <w:szCs w:val="24"/>
        </w:rPr>
        <w:footnoteReference w:id="1"/>
      </w:r>
      <w:r w:rsidR="000E1642" w:rsidRPr="004A2377">
        <w:rPr>
          <w:rFonts w:ascii="Gadugi" w:hAnsi="Gadugi" w:cs="Century Gothic"/>
          <w:sz w:val="24"/>
          <w:szCs w:val="24"/>
        </w:rPr>
        <w:t xml:space="preserve"> </w:t>
      </w:r>
    </w:p>
    <w:p w14:paraId="5719F501" w14:textId="77777777" w:rsidR="00005B50" w:rsidRPr="004A2377" w:rsidRDefault="00005B50" w:rsidP="004A2377">
      <w:pPr>
        <w:spacing w:line="276" w:lineRule="auto"/>
        <w:jc w:val="both"/>
        <w:rPr>
          <w:rFonts w:ascii="Gadugi" w:hAnsi="Gadugi" w:cs="Century Gothic"/>
          <w:sz w:val="24"/>
          <w:szCs w:val="24"/>
        </w:rPr>
      </w:pPr>
    </w:p>
    <w:p w14:paraId="33C1BB1D" w14:textId="21F5D2E8" w:rsidR="000E1642" w:rsidRPr="004A2377" w:rsidRDefault="00CE68E9" w:rsidP="004A2377">
      <w:pPr>
        <w:spacing w:line="276" w:lineRule="auto"/>
        <w:jc w:val="both"/>
        <w:rPr>
          <w:rFonts w:ascii="Gadugi" w:hAnsi="Gadugi" w:cs="Century Gothic"/>
          <w:sz w:val="24"/>
          <w:szCs w:val="24"/>
        </w:rPr>
      </w:pPr>
      <w:r w:rsidRPr="004A2377">
        <w:rPr>
          <w:rFonts w:ascii="Gadugi" w:hAnsi="Gadugi" w:cs="Century Gothic"/>
          <w:sz w:val="24"/>
          <w:szCs w:val="24"/>
        </w:rPr>
        <w:tab/>
      </w:r>
      <w:r w:rsidRPr="004A2377">
        <w:rPr>
          <w:rFonts w:ascii="Gadugi" w:hAnsi="Gadugi" w:cs="Century Gothic"/>
          <w:sz w:val="24"/>
          <w:szCs w:val="24"/>
        </w:rPr>
        <w:tab/>
      </w:r>
      <w:r w:rsidRPr="004A2377">
        <w:rPr>
          <w:rFonts w:ascii="Gadugi" w:hAnsi="Gadugi" w:cs="Century Gothic"/>
          <w:sz w:val="24"/>
          <w:szCs w:val="24"/>
        </w:rPr>
        <w:tab/>
      </w:r>
      <w:r w:rsidRPr="004A2377">
        <w:rPr>
          <w:rFonts w:ascii="Gadugi" w:hAnsi="Gadugi" w:cs="Century Gothic"/>
          <w:sz w:val="24"/>
          <w:szCs w:val="24"/>
        </w:rPr>
        <w:tab/>
      </w:r>
      <w:r w:rsidR="000E1642" w:rsidRPr="004A2377">
        <w:rPr>
          <w:rFonts w:ascii="Gadugi" w:hAnsi="Gadugi" w:cs="Century Gothic"/>
          <w:sz w:val="24"/>
          <w:szCs w:val="24"/>
        </w:rPr>
        <w:t xml:space="preserve">Luego de que se aceptara un impedimento formulado por el magistrado </w:t>
      </w:r>
      <w:proofErr w:type="spellStart"/>
      <w:r w:rsidR="000E1642" w:rsidRPr="004A2377">
        <w:rPr>
          <w:rFonts w:ascii="Gadugi" w:hAnsi="Gadugi" w:cs="Century Gothic"/>
          <w:sz w:val="24"/>
          <w:szCs w:val="24"/>
        </w:rPr>
        <w:t>Edder</w:t>
      </w:r>
      <w:proofErr w:type="spellEnd"/>
      <w:r w:rsidR="000E1642" w:rsidRPr="004A2377">
        <w:rPr>
          <w:rFonts w:ascii="Gadugi" w:hAnsi="Gadugi" w:cs="Century Gothic"/>
          <w:sz w:val="24"/>
          <w:szCs w:val="24"/>
        </w:rPr>
        <w:t xml:space="preserve"> Jimmy Sánchez </w:t>
      </w:r>
      <w:proofErr w:type="spellStart"/>
      <w:r w:rsidR="000E1642" w:rsidRPr="004A2377">
        <w:rPr>
          <w:rFonts w:ascii="Gadugi" w:hAnsi="Gadugi" w:cs="Century Gothic"/>
          <w:sz w:val="24"/>
          <w:szCs w:val="24"/>
        </w:rPr>
        <w:t>Calambás</w:t>
      </w:r>
      <w:proofErr w:type="spellEnd"/>
      <w:r w:rsidR="000E1642" w:rsidRPr="004A2377">
        <w:rPr>
          <w:rFonts w:ascii="Gadugi" w:hAnsi="Gadugi" w:cs="Century Gothic"/>
          <w:sz w:val="24"/>
          <w:szCs w:val="24"/>
        </w:rPr>
        <w:t>, con auto del 17 de septiembre, se dio trámite a la demanda, con las vinculaciones ya referidas.</w:t>
      </w:r>
      <w:r w:rsidR="00473E62" w:rsidRPr="004A2377">
        <w:rPr>
          <w:rStyle w:val="Refdenotaalpie"/>
          <w:rFonts w:ascii="Gadugi" w:hAnsi="Gadugi"/>
          <w:sz w:val="24"/>
          <w:szCs w:val="24"/>
        </w:rPr>
        <w:footnoteReference w:id="2"/>
      </w:r>
      <w:r w:rsidR="000E1642" w:rsidRPr="004A2377">
        <w:rPr>
          <w:rFonts w:ascii="Gadugi" w:hAnsi="Gadugi" w:cs="Century Gothic"/>
          <w:sz w:val="24"/>
          <w:szCs w:val="24"/>
        </w:rPr>
        <w:t xml:space="preserve"> </w:t>
      </w:r>
    </w:p>
    <w:p w14:paraId="6F9BC63D" w14:textId="3D486B1B" w:rsidR="00FA0A60" w:rsidRPr="004A2377" w:rsidRDefault="00FA0A60" w:rsidP="004A2377">
      <w:pPr>
        <w:spacing w:line="276" w:lineRule="auto"/>
        <w:jc w:val="both"/>
        <w:rPr>
          <w:rFonts w:ascii="Gadugi" w:hAnsi="Gadugi" w:cs="Century Gothic"/>
          <w:sz w:val="24"/>
          <w:szCs w:val="24"/>
        </w:rPr>
      </w:pPr>
    </w:p>
    <w:p w14:paraId="7B301C26" w14:textId="64EF2F62" w:rsidR="000E1642" w:rsidRPr="004A2377" w:rsidRDefault="000E1642" w:rsidP="004A2377">
      <w:pPr>
        <w:spacing w:line="276" w:lineRule="auto"/>
        <w:jc w:val="both"/>
        <w:rPr>
          <w:rFonts w:ascii="Gadugi" w:hAnsi="Gadugi" w:cs="Century Gothic"/>
          <w:sz w:val="24"/>
          <w:szCs w:val="24"/>
        </w:rPr>
      </w:pPr>
      <w:r w:rsidRPr="004A2377">
        <w:rPr>
          <w:rFonts w:ascii="Gadugi" w:hAnsi="Gadugi" w:cs="Century Gothic"/>
          <w:sz w:val="24"/>
          <w:szCs w:val="24"/>
        </w:rPr>
        <w:tab/>
      </w:r>
      <w:r w:rsidRPr="004A2377">
        <w:rPr>
          <w:rFonts w:ascii="Gadugi" w:hAnsi="Gadugi" w:cs="Century Gothic"/>
          <w:sz w:val="24"/>
          <w:szCs w:val="24"/>
        </w:rPr>
        <w:tab/>
      </w:r>
      <w:r w:rsidRPr="004A2377">
        <w:rPr>
          <w:rFonts w:ascii="Gadugi" w:hAnsi="Gadugi" w:cs="Century Gothic"/>
          <w:sz w:val="24"/>
          <w:szCs w:val="24"/>
        </w:rPr>
        <w:tab/>
      </w:r>
      <w:r w:rsidRPr="004A2377">
        <w:rPr>
          <w:rFonts w:ascii="Gadugi" w:hAnsi="Gadugi" w:cs="Century Gothic"/>
          <w:sz w:val="24"/>
          <w:szCs w:val="24"/>
        </w:rPr>
        <w:tab/>
        <w:t xml:space="preserve">El juzgado accionado </w:t>
      </w:r>
      <w:r w:rsidR="008945D1" w:rsidRPr="004A2377">
        <w:rPr>
          <w:rFonts w:ascii="Gadugi" w:hAnsi="Gadugi" w:cs="Century Gothic"/>
          <w:sz w:val="24"/>
          <w:szCs w:val="24"/>
        </w:rPr>
        <w:t>allegó varios escritos explicando con detalle lo ocurrido en las acciones populares, sobre los cuales se ahondará, más adelante.</w:t>
      </w:r>
      <w:r w:rsidR="00473E62" w:rsidRPr="004A2377">
        <w:rPr>
          <w:rStyle w:val="Refdenotaalpie"/>
          <w:rFonts w:ascii="Gadugi" w:hAnsi="Gadugi"/>
          <w:sz w:val="24"/>
          <w:szCs w:val="24"/>
        </w:rPr>
        <w:footnoteReference w:id="3"/>
      </w:r>
    </w:p>
    <w:p w14:paraId="5F2A3B6F" w14:textId="656C8EBE" w:rsidR="008945D1" w:rsidRPr="004A2377" w:rsidRDefault="008945D1" w:rsidP="004A2377">
      <w:pPr>
        <w:spacing w:line="276" w:lineRule="auto"/>
        <w:jc w:val="both"/>
        <w:rPr>
          <w:rFonts w:ascii="Gadugi" w:hAnsi="Gadugi" w:cs="Century Gothic"/>
          <w:sz w:val="24"/>
          <w:szCs w:val="24"/>
        </w:rPr>
      </w:pPr>
    </w:p>
    <w:p w14:paraId="08080D8D" w14:textId="77777777" w:rsidR="00473E62" w:rsidRPr="004A2377" w:rsidRDefault="008945D1" w:rsidP="004A2377">
      <w:pPr>
        <w:spacing w:line="276" w:lineRule="auto"/>
        <w:jc w:val="both"/>
        <w:rPr>
          <w:rFonts w:ascii="Gadugi" w:hAnsi="Gadugi" w:cs="Century Gothic"/>
          <w:sz w:val="24"/>
          <w:szCs w:val="24"/>
        </w:rPr>
      </w:pPr>
      <w:r w:rsidRPr="004A2377">
        <w:rPr>
          <w:rFonts w:ascii="Gadugi" w:hAnsi="Gadugi" w:cs="Century Gothic"/>
          <w:sz w:val="24"/>
          <w:szCs w:val="24"/>
        </w:rPr>
        <w:tab/>
      </w:r>
      <w:r w:rsidRPr="004A2377">
        <w:rPr>
          <w:rFonts w:ascii="Gadugi" w:hAnsi="Gadugi" w:cs="Century Gothic"/>
          <w:sz w:val="24"/>
          <w:szCs w:val="24"/>
        </w:rPr>
        <w:tab/>
      </w:r>
      <w:r w:rsidRPr="004A2377">
        <w:rPr>
          <w:rFonts w:ascii="Gadugi" w:hAnsi="Gadugi" w:cs="Century Gothic"/>
          <w:sz w:val="24"/>
          <w:szCs w:val="24"/>
        </w:rPr>
        <w:tab/>
      </w:r>
      <w:r w:rsidRPr="004A2377">
        <w:rPr>
          <w:rFonts w:ascii="Gadugi" w:hAnsi="Gadugi" w:cs="Century Gothic"/>
          <w:sz w:val="24"/>
          <w:szCs w:val="24"/>
        </w:rPr>
        <w:tab/>
        <w:t>La Defensoría del Pueblo de Risaralda adujo que no es el organismo competente para dar solución la problemática que plantea el accionante.</w:t>
      </w:r>
      <w:r w:rsidR="00473E62" w:rsidRPr="004A2377">
        <w:rPr>
          <w:rStyle w:val="Refdenotaalpie"/>
          <w:rFonts w:ascii="Gadugi" w:hAnsi="Gadugi"/>
          <w:sz w:val="24"/>
          <w:szCs w:val="24"/>
        </w:rPr>
        <w:footnoteReference w:id="4"/>
      </w:r>
      <w:r w:rsidR="00473E62" w:rsidRPr="004A2377">
        <w:rPr>
          <w:rFonts w:ascii="Gadugi" w:hAnsi="Gadugi" w:cs="Century Gothic"/>
          <w:sz w:val="24"/>
          <w:szCs w:val="24"/>
        </w:rPr>
        <w:t xml:space="preserve"> </w:t>
      </w:r>
    </w:p>
    <w:p w14:paraId="10DF5CD3" w14:textId="32DC7DDC" w:rsidR="00473E62" w:rsidRPr="004A2377" w:rsidRDefault="00473E62" w:rsidP="004A2377">
      <w:pPr>
        <w:spacing w:line="276" w:lineRule="auto"/>
        <w:jc w:val="both"/>
        <w:rPr>
          <w:rFonts w:ascii="Gadugi" w:hAnsi="Gadugi" w:cs="Century Gothic"/>
          <w:sz w:val="24"/>
          <w:szCs w:val="24"/>
        </w:rPr>
      </w:pPr>
    </w:p>
    <w:p w14:paraId="730A3B14" w14:textId="71488F0B" w:rsidR="008945D1" w:rsidRPr="004A2377" w:rsidRDefault="00473E62" w:rsidP="004A2377">
      <w:pPr>
        <w:spacing w:line="276" w:lineRule="auto"/>
        <w:jc w:val="both"/>
        <w:rPr>
          <w:rFonts w:ascii="Gadugi" w:hAnsi="Gadugi" w:cs="Century Gothic"/>
          <w:sz w:val="24"/>
          <w:szCs w:val="24"/>
        </w:rPr>
      </w:pPr>
      <w:r w:rsidRPr="004A2377">
        <w:rPr>
          <w:rFonts w:ascii="Gadugi" w:hAnsi="Gadugi" w:cs="Century Gothic"/>
          <w:sz w:val="24"/>
          <w:szCs w:val="24"/>
        </w:rPr>
        <w:tab/>
      </w:r>
      <w:r w:rsidRPr="004A2377">
        <w:rPr>
          <w:rFonts w:ascii="Gadugi" w:hAnsi="Gadugi" w:cs="Century Gothic"/>
          <w:sz w:val="24"/>
          <w:szCs w:val="24"/>
        </w:rPr>
        <w:tab/>
      </w:r>
      <w:r w:rsidRPr="004A2377">
        <w:rPr>
          <w:rFonts w:ascii="Gadugi" w:hAnsi="Gadugi" w:cs="Century Gothic"/>
          <w:sz w:val="24"/>
          <w:szCs w:val="24"/>
        </w:rPr>
        <w:tab/>
      </w:r>
      <w:r w:rsidRPr="004A2377">
        <w:rPr>
          <w:rFonts w:ascii="Gadugi" w:hAnsi="Gadugi" w:cs="Century Gothic"/>
          <w:sz w:val="24"/>
          <w:szCs w:val="24"/>
        </w:rPr>
        <w:tab/>
      </w:r>
      <w:r w:rsidR="002A5C2A" w:rsidRPr="004A2377">
        <w:rPr>
          <w:rFonts w:ascii="Gadugi" w:hAnsi="Gadugi" w:cs="Century Gothic"/>
          <w:sz w:val="24"/>
          <w:szCs w:val="24"/>
        </w:rPr>
        <w:t>Confiar Cooperativa Financiera, en similares términos, dijo que carecía de competencia para pronunciarse respecto de las quejas del actor.</w:t>
      </w:r>
      <w:r w:rsidRPr="004A2377">
        <w:rPr>
          <w:rStyle w:val="Refdenotaalpie"/>
          <w:rFonts w:ascii="Gadugi" w:hAnsi="Gadugi"/>
          <w:sz w:val="24"/>
          <w:szCs w:val="24"/>
        </w:rPr>
        <w:footnoteReference w:id="5"/>
      </w:r>
      <w:r w:rsidR="002A5C2A" w:rsidRPr="004A2377">
        <w:rPr>
          <w:rFonts w:ascii="Gadugi" w:hAnsi="Gadugi" w:cs="Century Gothic"/>
          <w:sz w:val="24"/>
          <w:szCs w:val="24"/>
        </w:rPr>
        <w:t xml:space="preserve"> </w:t>
      </w:r>
    </w:p>
    <w:p w14:paraId="57A77BCB" w14:textId="4E2903E9" w:rsidR="00DF5E59" w:rsidRPr="004A2377" w:rsidRDefault="008945D1" w:rsidP="004A2377">
      <w:pPr>
        <w:spacing w:line="276" w:lineRule="auto"/>
        <w:jc w:val="both"/>
        <w:rPr>
          <w:rFonts w:ascii="Gadugi" w:hAnsi="Gadugi" w:cs="Arial"/>
          <w:b/>
          <w:sz w:val="24"/>
          <w:szCs w:val="24"/>
        </w:rPr>
      </w:pPr>
      <w:r w:rsidRPr="004A2377">
        <w:rPr>
          <w:rFonts w:ascii="Gadugi" w:hAnsi="Gadugi" w:cs="Century Gothic"/>
          <w:sz w:val="24"/>
          <w:szCs w:val="24"/>
        </w:rPr>
        <w:tab/>
      </w:r>
      <w:r w:rsidRPr="004A2377">
        <w:rPr>
          <w:rFonts w:ascii="Gadugi" w:hAnsi="Gadugi" w:cs="Century Gothic"/>
          <w:sz w:val="24"/>
          <w:szCs w:val="24"/>
        </w:rPr>
        <w:tab/>
      </w:r>
      <w:r w:rsidRPr="004A2377">
        <w:rPr>
          <w:rFonts w:ascii="Gadugi" w:hAnsi="Gadugi" w:cs="Century Gothic"/>
          <w:sz w:val="24"/>
          <w:szCs w:val="24"/>
        </w:rPr>
        <w:tab/>
      </w:r>
    </w:p>
    <w:p w14:paraId="1D1EA7B9" w14:textId="77777777" w:rsidR="005F1C24" w:rsidRPr="004A2377" w:rsidRDefault="005F1C24" w:rsidP="004A2377">
      <w:pPr>
        <w:pStyle w:val="Textoindependiente22"/>
        <w:spacing w:line="276" w:lineRule="auto"/>
        <w:ind w:firstLine="0"/>
        <w:rPr>
          <w:rFonts w:ascii="Gadugi" w:hAnsi="Gadugi" w:cs="Arial"/>
          <w:b/>
          <w:szCs w:val="24"/>
        </w:rPr>
      </w:pPr>
    </w:p>
    <w:p w14:paraId="57A77BCD" w14:textId="65EC30AB" w:rsidR="00DF5E59" w:rsidRPr="004A2377" w:rsidRDefault="0056018F" w:rsidP="004A2377">
      <w:pPr>
        <w:pStyle w:val="Textoindependiente22"/>
        <w:spacing w:line="276" w:lineRule="auto"/>
        <w:ind w:firstLine="0"/>
        <w:rPr>
          <w:rFonts w:ascii="Gadugi" w:hAnsi="Gadugi" w:cs="Arial"/>
          <w:b/>
          <w:szCs w:val="24"/>
        </w:rPr>
      </w:pPr>
      <w:r w:rsidRPr="004A2377">
        <w:rPr>
          <w:rFonts w:ascii="Gadugi" w:hAnsi="Gadugi" w:cs="Arial"/>
          <w:b/>
          <w:szCs w:val="24"/>
        </w:rPr>
        <w:tab/>
      </w:r>
      <w:r w:rsidRPr="004A2377">
        <w:rPr>
          <w:rFonts w:ascii="Gadugi" w:hAnsi="Gadugi" w:cs="Arial"/>
          <w:b/>
          <w:szCs w:val="24"/>
        </w:rPr>
        <w:tab/>
      </w:r>
      <w:r w:rsidRPr="004A2377">
        <w:rPr>
          <w:rFonts w:ascii="Gadugi" w:hAnsi="Gadugi" w:cs="Arial"/>
          <w:b/>
          <w:szCs w:val="24"/>
        </w:rPr>
        <w:tab/>
      </w:r>
      <w:r w:rsidRPr="004A2377">
        <w:rPr>
          <w:rFonts w:ascii="Gadugi" w:hAnsi="Gadugi" w:cs="Arial"/>
          <w:b/>
          <w:szCs w:val="24"/>
        </w:rPr>
        <w:tab/>
      </w:r>
      <w:r w:rsidR="00DF5E59" w:rsidRPr="004A2377">
        <w:rPr>
          <w:rFonts w:ascii="Gadugi" w:hAnsi="Gadugi" w:cs="Arial"/>
          <w:b/>
          <w:szCs w:val="24"/>
        </w:rPr>
        <w:t>CONSIDERACIONES</w:t>
      </w:r>
    </w:p>
    <w:p w14:paraId="57A77BCE" w14:textId="77777777" w:rsidR="00DF5E59" w:rsidRPr="004A2377" w:rsidRDefault="00DF5E59" w:rsidP="004A2377">
      <w:pPr>
        <w:pStyle w:val="Textoindependiente22"/>
        <w:spacing w:line="276" w:lineRule="auto"/>
        <w:rPr>
          <w:rFonts w:ascii="Gadugi" w:hAnsi="Gadugi"/>
          <w:szCs w:val="24"/>
        </w:rPr>
      </w:pPr>
    </w:p>
    <w:p w14:paraId="57A77BCF" w14:textId="77777777" w:rsidR="0035768F" w:rsidRPr="004A2377" w:rsidRDefault="0035768F" w:rsidP="004A2377">
      <w:pPr>
        <w:pStyle w:val="Textoindependiente22"/>
        <w:spacing w:line="276" w:lineRule="auto"/>
        <w:rPr>
          <w:rFonts w:ascii="Gadugi" w:hAnsi="Gadugi"/>
          <w:szCs w:val="24"/>
        </w:rPr>
      </w:pPr>
    </w:p>
    <w:p w14:paraId="57A77BD0" w14:textId="4CCE4B01" w:rsidR="00DF5E59" w:rsidRPr="004A2377" w:rsidRDefault="00DF5E59" w:rsidP="004A2377">
      <w:pPr>
        <w:pStyle w:val="Textoindependiente22"/>
        <w:spacing w:line="276" w:lineRule="auto"/>
        <w:rPr>
          <w:rFonts w:ascii="Gadugi" w:hAnsi="Gadugi"/>
          <w:szCs w:val="24"/>
        </w:rPr>
      </w:pPr>
      <w:r w:rsidRPr="004A2377">
        <w:rPr>
          <w:rFonts w:ascii="Gadugi" w:hAnsi="Gadugi"/>
          <w:szCs w:val="24"/>
        </w:rPr>
        <w:t>La acción de tutela se constituye en un medio ágil y expedito</w:t>
      </w:r>
      <w:r w:rsidR="00A026AD" w:rsidRPr="004A2377">
        <w:rPr>
          <w:rFonts w:ascii="Gadugi" w:hAnsi="Gadugi"/>
          <w:szCs w:val="24"/>
        </w:rPr>
        <w:t xml:space="preserve"> </w:t>
      </w:r>
      <w:r w:rsidRPr="004A2377">
        <w:rPr>
          <w:rFonts w:ascii="Gadugi" w:hAnsi="Gadugi"/>
          <w:szCs w:val="24"/>
        </w:rPr>
        <w:t>para que toda persona pueda reclamar ante los jueces, en cualquier momento y lugar, la protección de sus derechos fundamentales, si ellos son vulnerados o amenazados por la acción o la omisión de una autoridad pública y, en determinados casos, por particulares.</w:t>
      </w:r>
    </w:p>
    <w:p w14:paraId="57A77BD1" w14:textId="77777777" w:rsidR="00DF5E59" w:rsidRPr="004A2377" w:rsidRDefault="00DF5E59" w:rsidP="004A2377">
      <w:pPr>
        <w:spacing w:line="276" w:lineRule="auto"/>
        <w:ind w:firstLine="2835"/>
        <w:jc w:val="both"/>
        <w:rPr>
          <w:rFonts w:ascii="Gadugi" w:hAnsi="Gadugi"/>
          <w:sz w:val="24"/>
          <w:szCs w:val="24"/>
        </w:rPr>
      </w:pPr>
      <w:r w:rsidRPr="004A2377">
        <w:rPr>
          <w:rFonts w:ascii="Gadugi" w:hAnsi="Gadugi"/>
          <w:sz w:val="24"/>
          <w:szCs w:val="24"/>
        </w:rPr>
        <w:t xml:space="preserve">  </w:t>
      </w:r>
      <w:r w:rsidRPr="004A2377">
        <w:rPr>
          <w:rFonts w:ascii="Gadugi" w:hAnsi="Gadugi"/>
          <w:sz w:val="24"/>
          <w:szCs w:val="24"/>
        </w:rPr>
        <w:tab/>
      </w:r>
      <w:r w:rsidRPr="004A2377">
        <w:rPr>
          <w:rFonts w:ascii="Gadugi" w:hAnsi="Gadugi"/>
          <w:sz w:val="24"/>
          <w:szCs w:val="24"/>
        </w:rPr>
        <w:tab/>
      </w:r>
      <w:r w:rsidRPr="004A2377">
        <w:rPr>
          <w:rFonts w:ascii="Gadugi" w:hAnsi="Gadugi"/>
          <w:sz w:val="24"/>
          <w:szCs w:val="24"/>
        </w:rPr>
        <w:tab/>
      </w:r>
    </w:p>
    <w:p w14:paraId="5E595AD6" w14:textId="52457167" w:rsidR="002A5C2A" w:rsidRPr="004A2377" w:rsidRDefault="00DF5E59" w:rsidP="004A2377">
      <w:pPr>
        <w:spacing w:line="276" w:lineRule="auto"/>
        <w:ind w:firstLine="2835"/>
        <w:jc w:val="both"/>
        <w:rPr>
          <w:rFonts w:ascii="Gadugi" w:hAnsi="Gadugi"/>
          <w:sz w:val="24"/>
          <w:szCs w:val="24"/>
        </w:rPr>
      </w:pPr>
      <w:r w:rsidRPr="004A2377">
        <w:rPr>
          <w:rFonts w:ascii="Gadugi" w:hAnsi="Gadugi"/>
          <w:sz w:val="24"/>
          <w:szCs w:val="24"/>
        </w:rPr>
        <w:t xml:space="preserve">Acude en esta oportunidad el </w:t>
      </w:r>
      <w:r w:rsidR="004A2C5A" w:rsidRPr="004A2377">
        <w:rPr>
          <w:rFonts w:ascii="Gadugi" w:hAnsi="Gadugi"/>
          <w:sz w:val="24"/>
          <w:szCs w:val="24"/>
        </w:rPr>
        <w:t xml:space="preserve">señor Arias </w:t>
      </w:r>
      <w:proofErr w:type="spellStart"/>
      <w:r w:rsidR="004A2C5A" w:rsidRPr="004A2377">
        <w:rPr>
          <w:rFonts w:ascii="Gadugi" w:hAnsi="Gadugi"/>
          <w:sz w:val="24"/>
          <w:szCs w:val="24"/>
        </w:rPr>
        <w:t>Idárraga</w:t>
      </w:r>
      <w:proofErr w:type="spellEnd"/>
      <w:r w:rsidRPr="004A2377">
        <w:rPr>
          <w:rFonts w:ascii="Gadugi" w:hAnsi="Gadugi"/>
          <w:sz w:val="24"/>
          <w:szCs w:val="24"/>
        </w:rPr>
        <w:t>, en procura de la protección de su derecho fundamental al debido proceso</w:t>
      </w:r>
      <w:r w:rsidR="001B3777" w:rsidRPr="004A2377">
        <w:rPr>
          <w:rFonts w:ascii="Gadugi" w:hAnsi="Gadugi"/>
          <w:sz w:val="24"/>
          <w:szCs w:val="24"/>
        </w:rPr>
        <w:t xml:space="preserve"> </w:t>
      </w:r>
      <w:r w:rsidR="00FA0A60" w:rsidRPr="004A2377">
        <w:rPr>
          <w:rFonts w:ascii="Gadugi" w:hAnsi="Gadugi"/>
          <w:sz w:val="24"/>
          <w:szCs w:val="24"/>
        </w:rPr>
        <w:t>bajo la premisa principal de que</w:t>
      </w:r>
      <w:r w:rsidR="002A5C2A" w:rsidRPr="004A2377">
        <w:rPr>
          <w:rFonts w:ascii="Gadugi" w:hAnsi="Gadugi"/>
          <w:sz w:val="24"/>
          <w:szCs w:val="24"/>
        </w:rPr>
        <w:t xml:space="preserve"> el Juzgado no digitaliza de manera completa las acciones </w:t>
      </w:r>
      <w:r w:rsidR="002A5C2A" w:rsidRPr="004A2377">
        <w:rPr>
          <w:rFonts w:ascii="Gadugi" w:hAnsi="Gadugi"/>
          <w:sz w:val="24"/>
          <w:szCs w:val="24"/>
        </w:rPr>
        <w:lastRenderedPageBreak/>
        <w:t>populares que trajo a colación, y con el propósito de que conceda los recursos de apelación que él formuló.</w:t>
      </w:r>
    </w:p>
    <w:p w14:paraId="0C0F46DD" w14:textId="7FF222BF" w:rsidR="00561C0C" w:rsidRPr="004A2377" w:rsidRDefault="00561C0C" w:rsidP="004A2377">
      <w:pPr>
        <w:shd w:val="clear" w:color="auto" w:fill="FFFFFF"/>
        <w:spacing w:line="276" w:lineRule="auto"/>
        <w:jc w:val="both"/>
        <w:rPr>
          <w:rFonts w:ascii="Gadugi" w:hAnsi="Gadugi" w:cs="Century Gothic"/>
          <w:sz w:val="24"/>
          <w:szCs w:val="24"/>
        </w:rPr>
      </w:pPr>
    </w:p>
    <w:p w14:paraId="3A44817A" w14:textId="10FE5B3B" w:rsidR="00A210FF" w:rsidRPr="004A2377" w:rsidRDefault="00FA0A60" w:rsidP="004A2377">
      <w:pPr>
        <w:spacing w:line="276" w:lineRule="auto"/>
        <w:ind w:firstLine="2835"/>
        <w:jc w:val="both"/>
        <w:rPr>
          <w:rFonts w:ascii="Gadugi" w:hAnsi="Gadugi" w:cs="Century Gothic"/>
          <w:sz w:val="24"/>
          <w:szCs w:val="24"/>
        </w:rPr>
      </w:pPr>
      <w:r w:rsidRPr="004A2377">
        <w:rPr>
          <w:rFonts w:ascii="Gadugi" w:hAnsi="Gadugi" w:cs="Arial"/>
          <w:sz w:val="24"/>
          <w:szCs w:val="24"/>
        </w:rPr>
        <w:t xml:space="preserve">La legitimación por activa es clara, pues el accionante es </w:t>
      </w:r>
      <w:r w:rsidR="002A5C2A" w:rsidRPr="004A2377">
        <w:rPr>
          <w:rFonts w:ascii="Gadugi" w:hAnsi="Gadugi" w:cs="Arial"/>
          <w:sz w:val="24"/>
          <w:szCs w:val="24"/>
        </w:rPr>
        <w:t>demandante en los</w:t>
      </w:r>
      <w:r w:rsidRPr="004A2377">
        <w:rPr>
          <w:rFonts w:ascii="Gadugi" w:hAnsi="Gadugi" w:cs="Arial"/>
          <w:sz w:val="24"/>
          <w:szCs w:val="24"/>
        </w:rPr>
        <w:t xml:space="preserve"> proceso</w:t>
      </w:r>
      <w:r w:rsidR="002A5C2A" w:rsidRPr="004A2377">
        <w:rPr>
          <w:rFonts w:ascii="Gadugi" w:hAnsi="Gadugi" w:cs="Arial"/>
          <w:sz w:val="24"/>
          <w:szCs w:val="24"/>
        </w:rPr>
        <w:t>s en los</w:t>
      </w:r>
      <w:r w:rsidRPr="004A2377">
        <w:rPr>
          <w:rFonts w:ascii="Gadugi" w:hAnsi="Gadugi" w:cs="Arial"/>
          <w:sz w:val="24"/>
          <w:szCs w:val="24"/>
        </w:rPr>
        <w:t xml:space="preserve"> que, según afirma, se violentaron sus garantías fundamentales; también lo es por pasiva, ya que en el Juzgado accionado se tramita la acción popular que se pone bajo el análisis del juez constitucional; </w:t>
      </w:r>
      <w:r w:rsidR="00A210FF" w:rsidRPr="004A2377">
        <w:rPr>
          <w:rFonts w:ascii="Gadugi" w:hAnsi="Gadugi" w:cs="Arial"/>
          <w:sz w:val="24"/>
          <w:szCs w:val="24"/>
        </w:rPr>
        <w:t xml:space="preserve">además, en calidad de terceros, pueden los vinculados comparecer a este caso, pues intervienen en la acción popular contra la que se dirige esta demanda. </w:t>
      </w:r>
    </w:p>
    <w:p w14:paraId="1E81F044" w14:textId="77777777" w:rsidR="00A210FF" w:rsidRPr="004A2377" w:rsidRDefault="00A210FF" w:rsidP="004A2377">
      <w:pPr>
        <w:shd w:val="clear" w:color="auto" w:fill="FFFFFF"/>
        <w:spacing w:line="276" w:lineRule="auto"/>
        <w:jc w:val="both"/>
        <w:rPr>
          <w:rFonts w:ascii="Gadugi" w:hAnsi="Gadugi" w:cs="Century Gothic"/>
          <w:sz w:val="24"/>
          <w:szCs w:val="24"/>
        </w:rPr>
      </w:pPr>
    </w:p>
    <w:p w14:paraId="57A77BD4" w14:textId="1F04892D" w:rsidR="004F2A55" w:rsidRPr="004A2377" w:rsidRDefault="00DF5E59" w:rsidP="004A2377">
      <w:pPr>
        <w:shd w:val="clear" w:color="auto" w:fill="FFFFFF"/>
        <w:spacing w:line="276" w:lineRule="auto"/>
        <w:jc w:val="both"/>
        <w:rPr>
          <w:rFonts w:ascii="Gadugi" w:hAnsi="Gadugi" w:cs="Arial"/>
          <w:sz w:val="24"/>
          <w:szCs w:val="24"/>
        </w:rPr>
      </w:pPr>
      <w:r w:rsidRPr="004A2377">
        <w:rPr>
          <w:rFonts w:ascii="Gadugi" w:hAnsi="Gadugi" w:cs="Century Gothic"/>
          <w:sz w:val="24"/>
          <w:szCs w:val="24"/>
        </w:rPr>
        <w:tab/>
      </w:r>
      <w:r w:rsidRPr="004A2377">
        <w:rPr>
          <w:rFonts w:ascii="Gadugi" w:hAnsi="Gadugi" w:cs="Century Gothic"/>
          <w:sz w:val="24"/>
          <w:szCs w:val="24"/>
        </w:rPr>
        <w:tab/>
      </w:r>
      <w:r w:rsidRPr="004A2377">
        <w:rPr>
          <w:rFonts w:ascii="Gadugi" w:hAnsi="Gadugi" w:cs="Century Gothic"/>
          <w:sz w:val="24"/>
          <w:szCs w:val="24"/>
        </w:rPr>
        <w:tab/>
      </w:r>
      <w:r w:rsidRPr="004A2377">
        <w:rPr>
          <w:rFonts w:ascii="Gadugi" w:hAnsi="Gadugi" w:cs="Century Gothic"/>
          <w:sz w:val="24"/>
          <w:szCs w:val="24"/>
        </w:rPr>
        <w:tab/>
      </w:r>
      <w:r w:rsidR="004F2A55" w:rsidRPr="004A2377">
        <w:rPr>
          <w:rFonts w:ascii="Gadugi" w:hAnsi="Gadugi" w:cs="Arial"/>
          <w:sz w:val="24"/>
          <w:szCs w:val="24"/>
        </w:rPr>
        <w:t xml:space="preserve">Reiteradamente se ha expuesto que a pesar de la </w:t>
      </w:r>
      <w:proofErr w:type="spellStart"/>
      <w:r w:rsidR="004F2A55" w:rsidRPr="004A2377">
        <w:rPr>
          <w:rFonts w:ascii="Gadugi" w:hAnsi="Gadugi" w:cs="Arial"/>
          <w:sz w:val="24"/>
          <w:szCs w:val="24"/>
        </w:rPr>
        <w:t>inexequibilidad</w:t>
      </w:r>
      <w:proofErr w:type="spellEnd"/>
      <w:r w:rsidR="004F2A55" w:rsidRPr="004A2377">
        <w:rPr>
          <w:rFonts w:ascii="Gadugi" w:hAnsi="Gadugi" w:cs="Arial"/>
          <w:sz w:val="24"/>
          <w:szCs w:val="24"/>
        </w:rPr>
        <w:t xml:space="preserve"> de las normas que en el Decreto 2591 de 1991 preveían la acción de tutela contra las decisiones de los jueces,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 en múltiples ocasiones. Así, por ejemplo, en las sentencias SU-222 de 2016, </w:t>
      </w:r>
      <w:proofErr w:type="spellStart"/>
      <w:r w:rsidR="004F2A55" w:rsidRPr="004A2377">
        <w:rPr>
          <w:rFonts w:ascii="Gadugi" w:hAnsi="Gadugi" w:cs="Arial"/>
          <w:sz w:val="24"/>
          <w:szCs w:val="24"/>
        </w:rPr>
        <w:t>SU573</w:t>
      </w:r>
      <w:proofErr w:type="spellEnd"/>
      <w:r w:rsidR="004F2A55" w:rsidRPr="004A2377">
        <w:rPr>
          <w:rFonts w:ascii="Gadugi" w:hAnsi="Gadugi" w:cs="Arial"/>
          <w:sz w:val="24"/>
          <w:szCs w:val="24"/>
        </w:rPr>
        <w:t xml:space="preserve"> de 2017 y </w:t>
      </w:r>
      <w:proofErr w:type="spellStart"/>
      <w:r w:rsidR="004F2A55" w:rsidRPr="004A2377">
        <w:rPr>
          <w:rFonts w:ascii="Gadugi" w:hAnsi="Gadugi" w:cs="Arial"/>
          <w:sz w:val="24"/>
          <w:szCs w:val="24"/>
        </w:rPr>
        <w:t>SU004</w:t>
      </w:r>
      <w:proofErr w:type="spellEnd"/>
      <w:r w:rsidR="004F2A55" w:rsidRPr="004A2377">
        <w:rPr>
          <w:rFonts w:ascii="Gadugi" w:hAnsi="Gadugi" w:cs="Arial"/>
          <w:sz w:val="24"/>
          <w:szCs w:val="24"/>
        </w:rPr>
        <w:t xml:space="preserve"> de 2018, reiteradas en múltiples providencias, entre las recientes, las sentencias  T-049-19, T-075-19, T-008-20, T-053-20, todas aludiendo a la C-590 de 2005, recordó que las primeras obedecen a (i)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 Y en cuanto a las segundas, es decir, las causales específicas, se compendian en los defectos (i) orgánico, (ii) sustantivo, (iii) procedimental o fáctico; (iv) error inducido; (v) decisión sin motivación; (vi) desconocimiento del precedente constitucional; y (vii) violación directa a la constitución.</w:t>
      </w:r>
    </w:p>
    <w:p w14:paraId="79D6E1EA" w14:textId="6AF155BE" w:rsidR="004A2C5A" w:rsidRPr="004A2377" w:rsidRDefault="004A2C5A" w:rsidP="004A2377">
      <w:pPr>
        <w:spacing w:line="276" w:lineRule="auto"/>
        <w:jc w:val="both"/>
        <w:rPr>
          <w:rFonts w:ascii="Gadugi" w:hAnsi="Gadugi"/>
          <w:sz w:val="24"/>
          <w:szCs w:val="24"/>
        </w:rPr>
      </w:pPr>
    </w:p>
    <w:p w14:paraId="47734F49" w14:textId="14B8D4BE" w:rsidR="002A5C2A" w:rsidRPr="004A2377" w:rsidRDefault="002A5C2A" w:rsidP="004A2377">
      <w:pPr>
        <w:spacing w:line="276" w:lineRule="auto"/>
        <w:jc w:val="both"/>
        <w:rPr>
          <w:rFonts w:ascii="Gadugi" w:hAnsi="Gadugi"/>
          <w:sz w:val="24"/>
          <w:szCs w:val="24"/>
        </w:rPr>
      </w:pPr>
      <w:r w:rsidRPr="004A2377">
        <w:rPr>
          <w:rFonts w:ascii="Gadugi" w:hAnsi="Gadugi"/>
          <w:sz w:val="24"/>
          <w:szCs w:val="24"/>
        </w:rPr>
        <w:tab/>
      </w:r>
      <w:r w:rsidRPr="004A2377">
        <w:rPr>
          <w:rFonts w:ascii="Gadugi" w:hAnsi="Gadugi"/>
          <w:sz w:val="24"/>
          <w:szCs w:val="24"/>
        </w:rPr>
        <w:tab/>
      </w:r>
      <w:r w:rsidRPr="004A2377">
        <w:rPr>
          <w:rFonts w:ascii="Gadugi" w:hAnsi="Gadugi"/>
          <w:sz w:val="24"/>
          <w:szCs w:val="24"/>
        </w:rPr>
        <w:tab/>
      </w:r>
      <w:r w:rsidRPr="004A2377">
        <w:rPr>
          <w:rFonts w:ascii="Gadugi" w:hAnsi="Gadugi"/>
          <w:sz w:val="24"/>
          <w:szCs w:val="24"/>
        </w:rPr>
        <w:tab/>
        <w:t xml:space="preserve">Según los escritos de contestación del Juzgado accionado se vienen produciendo las siguientes actuaciones relevantes en las acciones populares. </w:t>
      </w:r>
    </w:p>
    <w:p w14:paraId="11C62A5C" w14:textId="537056AF" w:rsidR="002A5C2A" w:rsidRPr="004A2377" w:rsidRDefault="002A5C2A" w:rsidP="004A2377">
      <w:pPr>
        <w:spacing w:line="276" w:lineRule="auto"/>
        <w:jc w:val="both"/>
        <w:rPr>
          <w:rFonts w:ascii="Gadugi" w:hAnsi="Gadugi"/>
          <w:sz w:val="24"/>
          <w:szCs w:val="24"/>
        </w:rPr>
      </w:pPr>
    </w:p>
    <w:p w14:paraId="17BA6B57" w14:textId="2CA38419" w:rsidR="002A5C2A" w:rsidRPr="004A2377" w:rsidRDefault="002A5C2A" w:rsidP="004A2377">
      <w:pPr>
        <w:spacing w:line="276" w:lineRule="auto"/>
        <w:jc w:val="both"/>
        <w:rPr>
          <w:rFonts w:ascii="Gadugi" w:hAnsi="Gadugi"/>
          <w:sz w:val="24"/>
          <w:szCs w:val="24"/>
        </w:rPr>
      </w:pPr>
      <w:r w:rsidRPr="004A2377">
        <w:rPr>
          <w:rFonts w:ascii="Gadugi" w:hAnsi="Gadugi"/>
          <w:sz w:val="24"/>
          <w:szCs w:val="24"/>
        </w:rPr>
        <w:tab/>
      </w:r>
      <w:r w:rsidRPr="004A2377">
        <w:rPr>
          <w:rFonts w:ascii="Gadugi" w:hAnsi="Gadugi"/>
          <w:sz w:val="24"/>
          <w:szCs w:val="24"/>
        </w:rPr>
        <w:tab/>
      </w:r>
      <w:r w:rsidRPr="004A2377">
        <w:rPr>
          <w:rFonts w:ascii="Gadugi" w:hAnsi="Gadugi"/>
          <w:sz w:val="24"/>
          <w:szCs w:val="24"/>
        </w:rPr>
        <w:tab/>
      </w:r>
      <w:r w:rsidRPr="004A2377">
        <w:rPr>
          <w:rFonts w:ascii="Gadugi" w:hAnsi="Gadugi"/>
          <w:sz w:val="24"/>
          <w:szCs w:val="24"/>
        </w:rPr>
        <w:tab/>
        <w:t>2019-00189-00</w:t>
      </w:r>
      <w:r w:rsidR="00094753" w:rsidRPr="004A2377">
        <w:rPr>
          <w:rFonts w:ascii="Gadugi" w:hAnsi="Gadugi"/>
          <w:sz w:val="24"/>
          <w:szCs w:val="24"/>
        </w:rPr>
        <w:t xml:space="preserve"> y 2019-00182-00</w:t>
      </w:r>
      <w:r w:rsidR="001409BD" w:rsidRPr="004A2377">
        <w:rPr>
          <w:rStyle w:val="Refdenotaalpie"/>
          <w:rFonts w:ascii="Gadugi" w:hAnsi="Gadugi"/>
          <w:sz w:val="24"/>
          <w:szCs w:val="24"/>
        </w:rPr>
        <w:footnoteReference w:id="6"/>
      </w:r>
      <w:r w:rsidRPr="004A2377">
        <w:rPr>
          <w:rFonts w:ascii="Gadugi" w:hAnsi="Gadugi"/>
          <w:sz w:val="24"/>
          <w:szCs w:val="24"/>
        </w:rPr>
        <w:t xml:space="preserve">: </w:t>
      </w:r>
      <w:r w:rsidR="001409BD" w:rsidRPr="004A2377">
        <w:rPr>
          <w:rFonts w:ascii="Gadugi" w:hAnsi="Gadugi"/>
          <w:sz w:val="24"/>
          <w:szCs w:val="24"/>
        </w:rPr>
        <w:t>n</w:t>
      </w:r>
      <w:r w:rsidR="00094753" w:rsidRPr="004A2377">
        <w:rPr>
          <w:rFonts w:ascii="Gadugi" w:hAnsi="Gadugi"/>
          <w:sz w:val="24"/>
          <w:szCs w:val="24"/>
        </w:rPr>
        <w:t>o se han proferido las sentencias, con lo cual, tampoco se han formulado recursos contra ellas.</w:t>
      </w:r>
    </w:p>
    <w:p w14:paraId="2899C2CD" w14:textId="53AB7C4A" w:rsidR="00094753" w:rsidRPr="004A2377" w:rsidRDefault="00094753" w:rsidP="004A2377">
      <w:pPr>
        <w:spacing w:line="276" w:lineRule="auto"/>
        <w:jc w:val="both"/>
        <w:rPr>
          <w:rFonts w:ascii="Gadugi" w:hAnsi="Gadugi"/>
          <w:sz w:val="24"/>
          <w:szCs w:val="24"/>
        </w:rPr>
      </w:pPr>
    </w:p>
    <w:p w14:paraId="74CC160B" w14:textId="508339D6" w:rsidR="00094753" w:rsidRPr="004A2377" w:rsidRDefault="00094753" w:rsidP="004A2377">
      <w:pPr>
        <w:spacing w:line="276" w:lineRule="auto"/>
        <w:jc w:val="both"/>
        <w:rPr>
          <w:rFonts w:ascii="Gadugi" w:hAnsi="Gadugi"/>
          <w:sz w:val="24"/>
          <w:szCs w:val="24"/>
        </w:rPr>
      </w:pPr>
      <w:r w:rsidRPr="004A2377">
        <w:rPr>
          <w:rFonts w:ascii="Gadugi" w:hAnsi="Gadugi"/>
          <w:sz w:val="24"/>
          <w:szCs w:val="24"/>
        </w:rPr>
        <w:tab/>
      </w:r>
      <w:r w:rsidRPr="004A2377">
        <w:rPr>
          <w:rFonts w:ascii="Gadugi" w:hAnsi="Gadugi"/>
          <w:sz w:val="24"/>
          <w:szCs w:val="24"/>
        </w:rPr>
        <w:tab/>
      </w:r>
      <w:r w:rsidRPr="004A2377">
        <w:rPr>
          <w:rFonts w:ascii="Gadugi" w:hAnsi="Gadugi"/>
          <w:sz w:val="24"/>
          <w:szCs w:val="24"/>
        </w:rPr>
        <w:tab/>
      </w:r>
      <w:r w:rsidRPr="004A2377">
        <w:rPr>
          <w:rFonts w:ascii="Gadugi" w:hAnsi="Gadugi"/>
          <w:sz w:val="24"/>
          <w:szCs w:val="24"/>
        </w:rPr>
        <w:tab/>
        <w:t>2019-00181-00, 2019-00167-00 y 2019-00166-00: El 13 de julio se emitieron los fallos de primer grado, el 31 de agosto se concedieron las apelaciones, formuladas por el accionante. En la fecha, los expedientes están pendientes de ser remitidos a esta Corporación.</w:t>
      </w:r>
    </w:p>
    <w:p w14:paraId="554E9EC8" w14:textId="4B2A7D0E" w:rsidR="00094753" w:rsidRPr="004A2377" w:rsidRDefault="00094753" w:rsidP="004A2377">
      <w:pPr>
        <w:spacing w:line="276" w:lineRule="auto"/>
        <w:jc w:val="both"/>
        <w:rPr>
          <w:rFonts w:ascii="Gadugi" w:hAnsi="Gadugi"/>
          <w:sz w:val="24"/>
          <w:szCs w:val="24"/>
        </w:rPr>
      </w:pPr>
    </w:p>
    <w:p w14:paraId="380C6E0F" w14:textId="5D051340" w:rsidR="00094753" w:rsidRPr="004A2377" w:rsidRDefault="00094753" w:rsidP="004A2377">
      <w:pPr>
        <w:spacing w:line="276" w:lineRule="auto"/>
        <w:jc w:val="both"/>
        <w:rPr>
          <w:rFonts w:ascii="Gadugi" w:hAnsi="Gadugi"/>
          <w:sz w:val="24"/>
          <w:szCs w:val="24"/>
        </w:rPr>
      </w:pPr>
      <w:r w:rsidRPr="004A2377">
        <w:rPr>
          <w:rFonts w:ascii="Gadugi" w:hAnsi="Gadugi"/>
          <w:sz w:val="24"/>
          <w:szCs w:val="24"/>
        </w:rPr>
        <w:tab/>
      </w:r>
      <w:r w:rsidRPr="004A2377">
        <w:rPr>
          <w:rFonts w:ascii="Gadugi" w:hAnsi="Gadugi"/>
          <w:sz w:val="24"/>
          <w:szCs w:val="24"/>
        </w:rPr>
        <w:tab/>
      </w:r>
      <w:r w:rsidRPr="004A2377">
        <w:rPr>
          <w:rFonts w:ascii="Gadugi" w:hAnsi="Gadugi"/>
          <w:sz w:val="24"/>
          <w:szCs w:val="24"/>
        </w:rPr>
        <w:tab/>
      </w:r>
      <w:r w:rsidRPr="004A2377">
        <w:rPr>
          <w:rFonts w:ascii="Gadugi" w:hAnsi="Gadugi"/>
          <w:sz w:val="24"/>
          <w:szCs w:val="24"/>
        </w:rPr>
        <w:tab/>
        <w:t>Adicionalmente</w:t>
      </w:r>
      <w:r w:rsidR="00B27787" w:rsidRPr="004A2377">
        <w:rPr>
          <w:rFonts w:ascii="Gadugi" w:hAnsi="Gadugi"/>
          <w:sz w:val="24"/>
          <w:szCs w:val="24"/>
        </w:rPr>
        <w:t xml:space="preserve"> </w:t>
      </w:r>
      <w:r w:rsidR="00473E62" w:rsidRPr="004A2377">
        <w:rPr>
          <w:rFonts w:ascii="Gadugi" w:hAnsi="Gadugi"/>
          <w:sz w:val="24"/>
          <w:szCs w:val="24"/>
        </w:rPr>
        <w:t>puso de presente</w:t>
      </w:r>
      <w:r w:rsidRPr="004A2377">
        <w:rPr>
          <w:rFonts w:ascii="Gadugi" w:hAnsi="Gadugi"/>
          <w:sz w:val="24"/>
          <w:szCs w:val="24"/>
        </w:rPr>
        <w:t xml:space="preserve"> que, </w:t>
      </w:r>
      <w:r w:rsidR="00B27787" w:rsidRPr="004A2377">
        <w:rPr>
          <w:rFonts w:ascii="Gadugi" w:hAnsi="Gadugi"/>
          <w:sz w:val="24"/>
          <w:szCs w:val="24"/>
        </w:rPr>
        <w:t>por medio de la s</w:t>
      </w:r>
      <w:r w:rsidRPr="004A2377">
        <w:rPr>
          <w:rFonts w:ascii="Gadugi" w:hAnsi="Gadugi"/>
          <w:sz w:val="24"/>
          <w:szCs w:val="24"/>
        </w:rPr>
        <w:t>ecretaría</w:t>
      </w:r>
      <w:r w:rsidR="00B27787" w:rsidRPr="004A2377">
        <w:rPr>
          <w:rFonts w:ascii="Gadugi" w:hAnsi="Gadugi"/>
          <w:sz w:val="24"/>
          <w:szCs w:val="24"/>
        </w:rPr>
        <w:t xml:space="preserve"> del juzgado</w:t>
      </w:r>
      <w:r w:rsidRPr="004A2377">
        <w:rPr>
          <w:rFonts w:ascii="Gadugi" w:hAnsi="Gadugi"/>
          <w:sz w:val="24"/>
          <w:szCs w:val="24"/>
        </w:rPr>
        <w:t xml:space="preserve">, al accionante se le ha dado acceso sin restricciones a cada uno de los procesos, </w:t>
      </w:r>
      <w:r w:rsidR="00B27787" w:rsidRPr="004A2377">
        <w:rPr>
          <w:rFonts w:ascii="Gadugi" w:hAnsi="Gadugi"/>
          <w:sz w:val="24"/>
          <w:szCs w:val="24"/>
        </w:rPr>
        <w:t xml:space="preserve">mediante los vínculos que lo llevan a ellos, los que se le han remitido a su correo electrónico los días 14 de julio y 10 de agosto del 2020. </w:t>
      </w:r>
    </w:p>
    <w:p w14:paraId="5450ACE8" w14:textId="77777777" w:rsidR="00B27787" w:rsidRPr="004A2377" w:rsidRDefault="00B27787" w:rsidP="004A2377">
      <w:pPr>
        <w:spacing w:line="276" w:lineRule="auto"/>
        <w:jc w:val="both"/>
        <w:rPr>
          <w:rFonts w:ascii="Gadugi" w:hAnsi="Gadugi"/>
          <w:sz w:val="24"/>
          <w:szCs w:val="24"/>
        </w:rPr>
      </w:pPr>
    </w:p>
    <w:p w14:paraId="5735781D" w14:textId="7F5B20FB" w:rsidR="002154CE" w:rsidRPr="004A2377" w:rsidRDefault="00B27787" w:rsidP="004A2377">
      <w:pPr>
        <w:spacing w:line="276" w:lineRule="auto"/>
        <w:jc w:val="both"/>
        <w:rPr>
          <w:rFonts w:ascii="Gadugi" w:hAnsi="Gadugi"/>
          <w:sz w:val="24"/>
          <w:szCs w:val="24"/>
        </w:rPr>
      </w:pPr>
      <w:r w:rsidRPr="004A2377">
        <w:rPr>
          <w:rFonts w:ascii="Gadugi" w:hAnsi="Gadugi"/>
          <w:sz w:val="24"/>
          <w:szCs w:val="24"/>
        </w:rPr>
        <w:tab/>
      </w:r>
      <w:r w:rsidRPr="004A2377">
        <w:rPr>
          <w:rFonts w:ascii="Gadugi" w:hAnsi="Gadugi"/>
          <w:sz w:val="24"/>
          <w:szCs w:val="24"/>
        </w:rPr>
        <w:tab/>
      </w:r>
      <w:r w:rsidRPr="004A2377">
        <w:rPr>
          <w:rFonts w:ascii="Gadugi" w:hAnsi="Gadugi"/>
          <w:sz w:val="24"/>
          <w:szCs w:val="24"/>
        </w:rPr>
        <w:tab/>
      </w:r>
      <w:r w:rsidRPr="004A2377">
        <w:rPr>
          <w:rFonts w:ascii="Gadugi" w:hAnsi="Gadugi"/>
          <w:sz w:val="24"/>
          <w:szCs w:val="24"/>
        </w:rPr>
        <w:tab/>
        <w:t>Frente esa información, que se confirma al explorar los expedientes que remiti</w:t>
      </w:r>
      <w:r w:rsidR="002154CE" w:rsidRPr="004A2377">
        <w:rPr>
          <w:rFonts w:ascii="Gadugi" w:hAnsi="Gadugi"/>
          <w:sz w:val="24"/>
          <w:szCs w:val="24"/>
        </w:rPr>
        <w:t>ó la accionada, de entrada, ve la Sala la improcedencia de la demanda, comoquiera que son falsas las quejas del accionante.</w:t>
      </w:r>
    </w:p>
    <w:p w14:paraId="74A7C4A4" w14:textId="03AADD05" w:rsidR="002154CE" w:rsidRPr="004A2377" w:rsidRDefault="002154CE" w:rsidP="004A2377">
      <w:pPr>
        <w:spacing w:line="276" w:lineRule="auto"/>
        <w:jc w:val="both"/>
        <w:rPr>
          <w:rFonts w:ascii="Gadugi" w:hAnsi="Gadugi"/>
          <w:sz w:val="24"/>
          <w:szCs w:val="24"/>
        </w:rPr>
      </w:pPr>
    </w:p>
    <w:p w14:paraId="5FF752ED" w14:textId="77777777" w:rsidR="00473E62" w:rsidRPr="004A2377" w:rsidRDefault="002154CE" w:rsidP="004A2377">
      <w:pPr>
        <w:spacing w:line="276" w:lineRule="auto"/>
        <w:jc w:val="both"/>
        <w:rPr>
          <w:rFonts w:ascii="Gadugi" w:hAnsi="Gadugi"/>
          <w:sz w:val="24"/>
          <w:szCs w:val="24"/>
        </w:rPr>
      </w:pPr>
      <w:r w:rsidRPr="004A2377">
        <w:rPr>
          <w:rFonts w:ascii="Gadugi" w:hAnsi="Gadugi"/>
          <w:sz w:val="24"/>
          <w:szCs w:val="24"/>
        </w:rPr>
        <w:tab/>
      </w:r>
      <w:r w:rsidRPr="004A2377">
        <w:rPr>
          <w:rFonts w:ascii="Gadugi" w:hAnsi="Gadugi"/>
          <w:sz w:val="24"/>
          <w:szCs w:val="24"/>
        </w:rPr>
        <w:tab/>
      </w:r>
      <w:r w:rsidRPr="004A2377">
        <w:rPr>
          <w:rFonts w:ascii="Gadugi" w:hAnsi="Gadugi"/>
          <w:sz w:val="24"/>
          <w:szCs w:val="24"/>
        </w:rPr>
        <w:tab/>
      </w:r>
      <w:r w:rsidRPr="004A2377">
        <w:rPr>
          <w:rFonts w:ascii="Gadugi" w:hAnsi="Gadugi"/>
          <w:sz w:val="24"/>
          <w:szCs w:val="24"/>
        </w:rPr>
        <w:tab/>
        <w:t xml:space="preserve">En efecto, </w:t>
      </w:r>
      <w:r w:rsidR="001D1ADD" w:rsidRPr="004A2377">
        <w:rPr>
          <w:rFonts w:ascii="Gadugi" w:hAnsi="Gadugi"/>
          <w:sz w:val="24"/>
          <w:szCs w:val="24"/>
        </w:rPr>
        <w:t>aquí el accionante solicita que se concedan los recursos de apelación dentro de las citadas acciones populares, sin embargo, en dos de ellas, ni siquiera se ha proferido sentencia, y en las tres que ya se emitió el fallo, se concedi</w:t>
      </w:r>
      <w:r w:rsidR="00CC77A6" w:rsidRPr="004A2377">
        <w:rPr>
          <w:rFonts w:ascii="Gadugi" w:hAnsi="Gadugi"/>
          <w:sz w:val="24"/>
          <w:szCs w:val="24"/>
        </w:rPr>
        <w:t>eron los recursos</w:t>
      </w:r>
      <w:r w:rsidR="001D1ADD" w:rsidRPr="004A2377">
        <w:rPr>
          <w:rFonts w:ascii="Gadugi" w:hAnsi="Gadugi"/>
          <w:sz w:val="24"/>
          <w:szCs w:val="24"/>
        </w:rPr>
        <w:t xml:space="preserve"> desde el 31 de agosto del 2020</w:t>
      </w:r>
      <w:r w:rsidR="0099342B" w:rsidRPr="004A2377">
        <w:rPr>
          <w:rStyle w:val="Refdenotaalpie"/>
          <w:rFonts w:ascii="Gadugi" w:hAnsi="Gadugi"/>
          <w:sz w:val="24"/>
          <w:szCs w:val="24"/>
        </w:rPr>
        <w:footnoteReference w:id="7"/>
      </w:r>
      <w:r w:rsidR="001D1ADD" w:rsidRPr="004A2377">
        <w:rPr>
          <w:rFonts w:ascii="Gadugi" w:hAnsi="Gadugi"/>
          <w:sz w:val="24"/>
          <w:szCs w:val="24"/>
        </w:rPr>
        <w:t>, es decir, antes de que se formulara esta acci</w:t>
      </w:r>
      <w:r w:rsidR="00CC77A6" w:rsidRPr="004A2377">
        <w:rPr>
          <w:rFonts w:ascii="Gadugi" w:hAnsi="Gadugi"/>
          <w:sz w:val="24"/>
          <w:szCs w:val="24"/>
        </w:rPr>
        <w:t xml:space="preserve">ón de tutela. </w:t>
      </w:r>
    </w:p>
    <w:p w14:paraId="5BCBAA54" w14:textId="7BFE883D" w:rsidR="00473E62" w:rsidRPr="004A2377" w:rsidRDefault="00473E62" w:rsidP="004A2377">
      <w:pPr>
        <w:spacing w:line="276" w:lineRule="auto"/>
        <w:jc w:val="both"/>
        <w:rPr>
          <w:rFonts w:ascii="Gadugi" w:hAnsi="Gadugi"/>
          <w:sz w:val="24"/>
          <w:szCs w:val="24"/>
        </w:rPr>
      </w:pPr>
    </w:p>
    <w:p w14:paraId="661F92EF" w14:textId="588654E4" w:rsidR="001409BD" w:rsidRPr="004A2377" w:rsidRDefault="00473E62" w:rsidP="004A2377">
      <w:pPr>
        <w:spacing w:line="276" w:lineRule="auto"/>
        <w:jc w:val="both"/>
        <w:rPr>
          <w:rFonts w:ascii="Gadugi" w:hAnsi="Gadugi"/>
          <w:sz w:val="24"/>
          <w:szCs w:val="24"/>
        </w:rPr>
      </w:pPr>
      <w:r w:rsidRPr="004A2377">
        <w:rPr>
          <w:rFonts w:ascii="Gadugi" w:hAnsi="Gadugi"/>
          <w:sz w:val="24"/>
          <w:szCs w:val="24"/>
        </w:rPr>
        <w:tab/>
      </w:r>
      <w:r w:rsidRPr="004A2377">
        <w:rPr>
          <w:rFonts w:ascii="Gadugi" w:hAnsi="Gadugi"/>
          <w:sz w:val="24"/>
          <w:szCs w:val="24"/>
        </w:rPr>
        <w:tab/>
      </w:r>
      <w:r w:rsidRPr="004A2377">
        <w:rPr>
          <w:rFonts w:ascii="Gadugi" w:hAnsi="Gadugi"/>
          <w:sz w:val="24"/>
          <w:szCs w:val="24"/>
        </w:rPr>
        <w:tab/>
      </w:r>
      <w:r w:rsidRPr="004A2377">
        <w:rPr>
          <w:rFonts w:ascii="Gadugi" w:hAnsi="Gadugi"/>
          <w:sz w:val="24"/>
          <w:szCs w:val="24"/>
        </w:rPr>
        <w:tab/>
        <w:t xml:space="preserve">Asimismo, </w:t>
      </w:r>
      <w:r w:rsidR="001409BD" w:rsidRPr="004A2377">
        <w:rPr>
          <w:rFonts w:ascii="Gadugi" w:hAnsi="Gadugi"/>
          <w:sz w:val="24"/>
          <w:szCs w:val="24"/>
        </w:rPr>
        <w:t xml:space="preserve">es improcedente la pretensión que tiende a que se digitalicen los procesos, porque según acreditó el juzgado accionado, distinto a lo que afirma el accionante, si se le ha permitido acceder a la totalidad de las actuaciones que se han producido en esos casos. </w:t>
      </w:r>
    </w:p>
    <w:p w14:paraId="33FBACDC" w14:textId="77777777" w:rsidR="001409BD" w:rsidRPr="004A2377" w:rsidRDefault="001409BD" w:rsidP="004A2377">
      <w:pPr>
        <w:shd w:val="clear" w:color="auto" w:fill="FFFFFF"/>
        <w:spacing w:line="276" w:lineRule="auto"/>
        <w:jc w:val="both"/>
        <w:rPr>
          <w:rFonts w:ascii="Gadugi" w:hAnsi="Gadugi"/>
          <w:sz w:val="24"/>
          <w:szCs w:val="24"/>
        </w:rPr>
      </w:pPr>
    </w:p>
    <w:p w14:paraId="0CA70DE8" w14:textId="0118DC22" w:rsidR="00D80191" w:rsidRPr="004A2377" w:rsidRDefault="00D80191" w:rsidP="004A2377">
      <w:pPr>
        <w:shd w:val="clear" w:color="auto" w:fill="FFFFFF"/>
        <w:spacing w:line="276" w:lineRule="auto"/>
        <w:jc w:val="both"/>
        <w:rPr>
          <w:rFonts w:ascii="Gadugi" w:hAnsi="Gadugi"/>
          <w:sz w:val="24"/>
          <w:szCs w:val="24"/>
        </w:rPr>
      </w:pPr>
      <w:r w:rsidRPr="004A2377">
        <w:rPr>
          <w:rFonts w:ascii="Gadugi" w:hAnsi="Gadugi"/>
          <w:sz w:val="24"/>
          <w:szCs w:val="24"/>
        </w:rPr>
        <w:tab/>
      </w:r>
      <w:r w:rsidRPr="004A2377">
        <w:rPr>
          <w:rFonts w:ascii="Gadugi" w:hAnsi="Gadugi"/>
          <w:sz w:val="24"/>
          <w:szCs w:val="24"/>
        </w:rPr>
        <w:tab/>
      </w:r>
      <w:r w:rsidRPr="004A2377">
        <w:rPr>
          <w:rFonts w:ascii="Gadugi" w:hAnsi="Gadugi"/>
          <w:sz w:val="24"/>
          <w:szCs w:val="24"/>
        </w:rPr>
        <w:tab/>
      </w:r>
      <w:r w:rsidRPr="004A2377">
        <w:rPr>
          <w:rFonts w:ascii="Gadugi" w:hAnsi="Gadugi"/>
          <w:sz w:val="24"/>
          <w:szCs w:val="24"/>
        </w:rPr>
        <w:tab/>
      </w:r>
      <w:r w:rsidR="000313F7" w:rsidRPr="004A2377">
        <w:rPr>
          <w:rFonts w:ascii="Gadugi" w:hAnsi="Gadugi"/>
          <w:sz w:val="24"/>
          <w:szCs w:val="24"/>
        </w:rPr>
        <w:t>Y es improcedente el amparo,</w:t>
      </w:r>
      <w:r w:rsidR="00513A36" w:rsidRPr="004A2377">
        <w:rPr>
          <w:rFonts w:ascii="Gadugi" w:hAnsi="Gadugi"/>
          <w:sz w:val="24"/>
          <w:szCs w:val="24"/>
        </w:rPr>
        <w:t xml:space="preserve"> </w:t>
      </w:r>
      <w:r w:rsidRPr="004A2377">
        <w:rPr>
          <w:rFonts w:ascii="Gadugi" w:hAnsi="Gadugi"/>
          <w:sz w:val="24"/>
          <w:szCs w:val="24"/>
        </w:rPr>
        <w:t xml:space="preserve">porque </w:t>
      </w:r>
      <w:r w:rsidR="00513A36" w:rsidRPr="004A2377">
        <w:rPr>
          <w:rFonts w:ascii="Gadugi" w:hAnsi="Gadugi"/>
          <w:sz w:val="24"/>
          <w:szCs w:val="24"/>
        </w:rPr>
        <w:t>tiene</w:t>
      </w:r>
      <w:r w:rsidR="00571B70" w:rsidRPr="004A2377">
        <w:rPr>
          <w:rFonts w:ascii="Gadugi" w:hAnsi="Gadugi"/>
          <w:sz w:val="24"/>
          <w:szCs w:val="24"/>
        </w:rPr>
        <w:t>n</w:t>
      </w:r>
      <w:r w:rsidR="00513A36" w:rsidRPr="004A2377">
        <w:rPr>
          <w:rFonts w:ascii="Gadugi" w:hAnsi="Gadugi"/>
          <w:sz w:val="24"/>
          <w:szCs w:val="24"/>
        </w:rPr>
        <w:t xml:space="preserve"> dicho la Corte Constitucional</w:t>
      </w:r>
      <w:r w:rsidR="00513A36" w:rsidRPr="004A2377">
        <w:rPr>
          <w:rStyle w:val="Refdenotaalpie"/>
          <w:rFonts w:ascii="Gadugi" w:hAnsi="Gadugi"/>
          <w:sz w:val="24"/>
          <w:szCs w:val="24"/>
        </w:rPr>
        <w:footnoteReference w:id="8"/>
      </w:r>
      <w:r w:rsidR="00513A36" w:rsidRPr="004A2377">
        <w:rPr>
          <w:rFonts w:ascii="Gadugi" w:hAnsi="Gadugi"/>
          <w:sz w:val="24"/>
          <w:szCs w:val="24"/>
        </w:rPr>
        <w:t>,</w:t>
      </w:r>
      <w:r w:rsidR="00571B70" w:rsidRPr="004A2377">
        <w:rPr>
          <w:rFonts w:ascii="Gadugi" w:hAnsi="Gadugi"/>
          <w:sz w:val="24"/>
          <w:szCs w:val="24"/>
        </w:rPr>
        <w:t xml:space="preserve"> y </w:t>
      </w:r>
      <w:r w:rsidR="00513A36" w:rsidRPr="004A2377">
        <w:rPr>
          <w:rFonts w:ascii="Gadugi" w:hAnsi="Gadugi"/>
          <w:sz w:val="24"/>
          <w:szCs w:val="24"/>
        </w:rPr>
        <w:t>la Sala de Casación Civil de la Corte Suprema de Justicia</w:t>
      </w:r>
      <w:r w:rsidR="00513A36" w:rsidRPr="004A2377">
        <w:rPr>
          <w:rStyle w:val="Refdenotaalpie"/>
          <w:rFonts w:ascii="Gadugi" w:hAnsi="Gadugi"/>
          <w:sz w:val="24"/>
          <w:szCs w:val="24"/>
        </w:rPr>
        <w:footnoteReference w:id="9"/>
      </w:r>
      <w:r w:rsidR="00513A36" w:rsidRPr="004A2377">
        <w:rPr>
          <w:rFonts w:ascii="Gadugi" w:hAnsi="Gadugi"/>
          <w:sz w:val="24"/>
          <w:szCs w:val="24"/>
        </w:rPr>
        <w:t xml:space="preserve">, </w:t>
      </w:r>
      <w:r w:rsidR="00571B70" w:rsidRPr="004A2377">
        <w:rPr>
          <w:rFonts w:ascii="Gadugi" w:hAnsi="Gadugi"/>
          <w:sz w:val="24"/>
          <w:szCs w:val="24"/>
        </w:rPr>
        <w:t xml:space="preserve">como también esta </w:t>
      </w:r>
      <w:r w:rsidR="00513A36" w:rsidRPr="004A2377">
        <w:rPr>
          <w:rFonts w:ascii="Gadugi" w:hAnsi="Gadugi"/>
          <w:sz w:val="24"/>
          <w:szCs w:val="24"/>
        </w:rPr>
        <w:t>Corporación</w:t>
      </w:r>
      <w:r w:rsidR="005311DF" w:rsidRPr="004A2377">
        <w:rPr>
          <w:rStyle w:val="Refdenotaalpie"/>
          <w:rFonts w:ascii="Gadugi" w:hAnsi="Gadugi"/>
          <w:sz w:val="24"/>
          <w:szCs w:val="24"/>
        </w:rPr>
        <w:footnoteReference w:id="10"/>
      </w:r>
      <w:r w:rsidR="00513A36" w:rsidRPr="004A2377">
        <w:rPr>
          <w:rFonts w:ascii="Gadugi" w:hAnsi="Gadugi"/>
          <w:sz w:val="24"/>
          <w:szCs w:val="24"/>
        </w:rPr>
        <w:t xml:space="preserve">, que </w:t>
      </w:r>
      <w:r w:rsidR="00513A36" w:rsidRPr="004A2377">
        <w:rPr>
          <w:rFonts w:ascii="Gadugi" w:hAnsi="Gadugi"/>
          <w:i/>
          <w:sz w:val="24"/>
          <w:szCs w:val="24"/>
        </w:rPr>
        <w:t>“</w:t>
      </w:r>
      <w:r w:rsidR="00513A36" w:rsidRPr="004A2377">
        <w:rPr>
          <w:rFonts w:ascii="Gadugi" w:hAnsi="Gadugi"/>
          <w:i/>
          <w:sz w:val="22"/>
          <w:szCs w:val="24"/>
        </w:rPr>
        <w:t xml:space="preserve">(…) la improcedencia por falta de acción u omisión </w:t>
      </w:r>
      <w:r w:rsidR="00513A36" w:rsidRPr="004A2377">
        <w:rPr>
          <w:rFonts w:ascii="Gadugi" w:hAnsi="Gadugi"/>
          <w:sz w:val="22"/>
          <w:szCs w:val="24"/>
        </w:rPr>
        <w:t xml:space="preserve">(de una acción de tutela) </w:t>
      </w:r>
      <w:r w:rsidR="00513A36" w:rsidRPr="004A2377">
        <w:rPr>
          <w:rFonts w:ascii="Gadugi" w:hAnsi="Gadugi"/>
          <w:i/>
          <w:sz w:val="22"/>
          <w:szCs w:val="24"/>
        </w:rPr>
        <w:t xml:space="preserve">ocurre cuando: (i) No hay petición o </w:t>
      </w:r>
      <w:r w:rsidR="00513A36" w:rsidRPr="004A2377">
        <w:rPr>
          <w:rFonts w:ascii="Gadugi" w:hAnsi="Gadugi"/>
          <w:i/>
          <w:sz w:val="22"/>
          <w:szCs w:val="24"/>
          <w:u w:val="single"/>
        </w:rPr>
        <w:t>se resolvió antes de presentar el amparo</w:t>
      </w:r>
      <w:r w:rsidR="00513A36" w:rsidRPr="004A2377">
        <w:rPr>
          <w:rFonts w:ascii="Gadugi" w:hAnsi="Gadugi"/>
          <w:i/>
          <w:sz w:val="22"/>
          <w:szCs w:val="24"/>
        </w:rPr>
        <w:t xml:space="preserve">; y, (ii) </w:t>
      </w:r>
      <w:r w:rsidR="00513A36" w:rsidRPr="004A2377">
        <w:rPr>
          <w:rFonts w:ascii="Gadugi" w:hAnsi="Gadugi"/>
          <w:i/>
          <w:sz w:val="22"/>
          <w:szCs w:val="24"/>
          <w:u w:val="single"/>
        </w:rPr>
        <w:t>La decisión cuestionada es inexistente</w:t>
      </w:r>
      <w:r w:rsidR="00513A36" w:rsidRPr="004A2377">
        <w:rPr>
          <w:rFonts w:ascii="Gadugi" w:hAnsi="Gadugi"/>
          <w:i/>
          <w:sz w:val="22"/>
          <w:szCs w:val="24"/>
        </w:rPr>
        <w:t>. Criterio que aplica en amparos contra despachos judiciales</w:t>
      </w:r>
      <w:r w:rsidR="00513A36" w:rsidRPr="004A2377">
        <w:rPr>
          <w:rFonts w:ascii="Gadugi" w:hAnsi="Gadugi"/>
          <w:i/>
          <w:sz w:val="24"/>
          <w:szCs w:val="24"/>
        </w:rPr>
        <w:t>.”</w:t>
      </w:r>
      <w:r w:rsidR="005311DF" w:rsidRPr="004A2377">
        <w:rPr>
          <w:rStyle w:val="Refdenotaalpie"/>
          <w:rFonts w:ascii="Gadugi" w:hAnsi="Gadugi"/>
          <w:i/>
          <w:sz w:val="24"/>
          <w:szCs w:val="24"/>
        </w:rPr>
        <w:footnoteReference w:id="11"/>
      </w:r>
      <w:r w:rsidR="00473E62" w:rsidRPr="004A2377">
        <w:rPr>
          <w:rFonts w:ascii="Gadugi" w:hAnsi="Gadugi"/>
          <w:i/>
          <w:sz w:val="24"/>
          <w:szCs w:val="24"/>
        </w:rPr>
        <w:t xml:space="preserve"> </w:t>
      </w:r>
      <w:r w:rsidR="00473E62" w:rsidRPr="004A2377">
        <w:rPr>
          <w:rFonts w:ascii="Gadugi" w:hAnsi="Gadugi"/>
          <w:sz w:val="24"/>
          <w:szCs w:val="24"/>
        </w:rPr>
        <w:t>(Se destaca).</w:t>
      </w:r>
    </w:p>
    <w:p w14:paraId="4EBA2170" w14:textId="2BCD4FE2" w:rsidR="00513A36" w:rsidRPr="004A2377" w:rsidRDefault="00513A36" w:rsidP="004A2377">
      <w:pPr>
        <w:shd w:val="clear" w:color="auto" w:fill="FFFFFF"/>
        <w:spacing w:line="276" w:lineRule="auto"/>
        <w:jc w:val="both"/>
        <w:rPr>
          <w:rFonts w:ascii="Gadugi" w:hAnsi="Gadugi"/>
          <w:sz w:val="24"/>
          <w:szCs w:val="24"/>
          <w:lang w:val="es-MX"/>
        </w:rPr>
      </w:pPr>
    </w:p>
    <w:p w14:paraId="7E7E646B" w14:textId="77777777" w:rsidR="001409BD" w:rsidRPr="004A2377" w:rsidRDefault="001409BD" w:rsidP="004A2377">
      <w:pPr>
        <w:shd w:val="clear" w:color="auto" w:fill="FFFFFF"/>
        <w:spacing w:line="276" w:lineRule="auto"/>
        <w:jc w:val="both"/>
        <w:rPr>
          <w:rFonts w:ascii="Gadugi" w:hAnsi="Gadugi"/>
          <w:sz w:val="24"/>
          <w:szCs w:val="24"/>
          <w:lang w:val="es-MX"/>
        </w:rPr>
      </w:pPr>
    </w:p>
    <w:p w14:paraId="57A77BE1" w14:textId="77777777" w:rsidR="00DF5E59" w:rsidRPr="004A2377" w:rsidRDefault="00DF5E59" w:rsidP="004A2377">
      <w:pPr>
        <w:shd w:val="clear" w:color="auto" w:fill="FFFFFF"/>
        <w:spacing w:line="276" w:lineRule="auto"/>
        <w:jc w:val="both"/>
        <w:rPr>
          <w:rFonts w:ascii="Gadugi" w:hAnsi="Gadugi" w:cs="Arial"/>
          <w:b/>
          <w:sz w:val="24"/>
          <w:szCs w:val="24"/>
        </w:rPr>
      </w:pPr>
      <w:r w:rsidRPr="004A2377">
        <w:rPr>
          <w:rFonts w:ascii="Gadugi" w:hAnsi="Gadugi"/>
          <w:sz w:val="24"/>
          <w:szCs w:val="24"/>
          <w:lang w:val="es-MX"/>
        </w:rPr>
        <w:tab/>
      </w:r>
      <w:r w:rsidRPr="004A2377">
        <w:rPr>
          <w:rFonts w:ascii="Gadugi" w:hAnsi="Gadugi"/>
          <w:sz w:val="24"/>
          <w:szCs w:val="24"/>
          <w:lang w:val="es-MX"/>
        </w:rPr>
        <w:tab/>
      </w:r>
      <w:r w:rsidRPr="004A2377">
        <w:rPr>
          <w:rFonts w:ascii="Gadugi" w:hAnsi="Gadugi"/>
          <w:sz w:val="24"/>
          <w:szCs w:val="24"/>
          <w:lang w:val="es-MX"/>
        </w:rPr>
        <w:tab/>
      </w:r>
      <w:r w:rsidRPr="004A2377">
        <w:rPr>
          <w:rFonts w:ascii="Gadugi" w:hAnsi="Gadugi"/>
          <w:sz w:val="24"/>
          <w:szCs w:val="24"/>
          <w:lang w:val="es-MX"/>
        </w:rPr>
        <w:tab/>
      </w:r>
      <w:r w:rsidRPr="004A2377">
        <w:rPr>
          <w:rFonts w:ascii="Gadugi" w:hAnsi="Gadugi" w:cs="Arial"/>
          <w:b/>
          <w:sz w:val="24"/>
          <w:szCs w:val="24"/>
        </w:rPr>
        <w:t>DECISIÓN</w:t>
      </w:r>
    </w:p>
    <w:p w14:paraId="57A77BE2" w14:textId="77777777" w:rsidR="00DF5E59" w:rsidRPr="004A2377" w:rsidRDefault="00DF5E59" w:rsidP="004A2377">
      <w:pPr>
        <w:spacing w:line="276" w:lineRule="auto"/>
        <w:jc w:val="both"/>
        <w:rPr>
          <w:rFonts w:ascii="Gadugi" w:hAnsi="Gadugi"/>
          <w:sz w:val="24"/>
          <w:szCs w:val="24"/>
        </w:rPr>
      </w:pPr>
      <w:r w:rsidRPr="004A2377">
        <w:rPr>
          <w:rFonts w:ascii="Gadugi" w:hAnsi="Gadugi"/>
          <w:sz w:val="24"/>
          <w:szCs w:val="24"/>
        </w:rPr>
        <w:t xml:space="preserve">  </w:t>
      </w:r>
      <w:r w:rsidRPr="004A2377">
        <w:rPr>
          <w:rFonts w:ascii="Gadugi" w:hAnsi="Gadugi"/>
          <w:sz w:val="24"/>
          <w:szCs w:val="24"/>
        </w:rPr>
        <w:tab/>
      </w:r>
      <w:r w:rsidRPr="004A2377">
        <w:rPr>
          <w:rFonts w:ascii="Gadugi" w:hAnsi="Gadugi"/>
          <w:sz w:val="24"/>
          <w:szCs w:val="24"/>
        </w:rPr>
        <w:tab/>
      </w:r>
      <w:r w:rsidRPr="004A2377">
        <w:rPr>
          <w:rFonts w:ascii="Gadugi" w:hAnsi="Gadugi"/>
          <w:sz w:val="24"/>
          <w:szCs w:val="24"/>
        </w:rPr>
        <w:tab/>
      </w:r>
      <w:r w:rsidRPr="004A2377">
        <w:rPr>
          <w:rFonts w:ascii="Gadugi" w:hAnsi="Gadugi"/>
          <w:sz w:val="24"/>
          <w:szCs w:val="24"/>
        </w:rPr>
        <w:tab/>
      </w:r>
    </w:p>
    <w:p w14:paraId="57A77BE3" w14:textId="77777777" w:rsidR="00D1609F" w:rsidRPr="004A2377" w:rsidRDefault="00D1609F" w:rsidP="004A2377">
      <w:pPr>
        <w:spacing w:line="276" w:lineRule="auto"/>
        <w:jc w:val="both"/>
        <w:rPr>
          <w:rFonts w:ascii="Gadugi" w:hAnsi="Gadugi"/>
          <w:sz w:val="24"/>
          <w:szCs w:val="24"/>
        </w:rPr>
      </w:pPr>
    </w:p>
    <w:p w14:paraId="6D8B3702" w14:textId="77777777" w:rsidR="00473E62" w:rsidRPr="004A2377" w:rsidRDefault="00DF5E59" w:rsidP="004A2377">
      <w:pPr>
        <w:spacing w:line="276" w:lineRule="auto"/>
        <w:ind w:firstLine="2835"/>
        <w:jc w:val="both"/>
        <w:rPr>
          <w:rFonts w:ascii="Gadugi" w:hAnsi="Gadugi" w:cs="Century Gothic"/>
          <w:sz w:val="24"/>
          <w:szCs w:val="24"/>
        </w:rPr>
      </w:pPr>
      <w:r w:rsidRPr="004A2377">
        <w:rPr>
          <w:rFonts w:ascii="Gadugi" w:hAnsi="Gadugi" w:cs="Arial"/>
          <w:sz w:val="24"/>
          <w:szCs w:val="24"/>
        </w:rPr>
        <w:lastRenderedPageBreak/>
        <w:t xml:space="preserve">En armonía con lo dicho, la Sala Civil Familia del Tribunal Superior de Pereira, administrando justicia en nombre de la República y por autoridad de la Ley, </w:t>
      </w:r>
      <w:r w:rsidRPr="004A2377">
        <w:rPr>
          <w:rFonts w:ascii="Gadugi" w:hAnsi="Gadugi" w:cs="Arial"/>
          <w:b/>
          <w:sz w:val="24"/>
          <w:szCs w:val="24"/>
        </w:rPr>
        <w:t>DECLARA IMPROCEDENTE</w:t>
      </w:r>
      <w:r w:rsidRPr="004A2377">
        <w:rPr>
          <w:rFonts w:ascii="Gadugi" w:hAnsi="Gadugi" w:cs="Arial"/>
          <w:sz w:val="24"/>
          <w:szCs w:val="24"/>
        </w:rPr>
        <w:t xml:space="preserve"> el amparo impetrado por</w:t>
      </w:r>
      <w:r w:rsidRPr="004A2377">
        <w:rPr>
          <w:rFonts w:ascii="Gadugi" w:hAnsi="Gadugi" w:cs="Century Gothic"/>
          <w:b/>
          <w:sz w:val="24"/>
          <w:szCs w:val="24"/>
        </w:rPr>
        <w:t xml:space="preserve"> </w:t>
      </w:r>
      <w:r w:rsidR="00473E62" w:rsidRPr="004A2377">
        <w:rPr>
          <w:rFonts w:ascii="Gadugi" w:hAnsi="Gadugi" w:cs="Century Gothic"/>
          <w:b/>
          <w:bCs/>
          <w:sz w:val="24"/>
          <w:szCs w:val="24"/>
        </w:rPr>
        <w:t xml:space="preserve">Javier Elías Arias </w:t>
      </w:r>
      <w:proofErr w:type="spellStart"/>
      <w:r w:rsidR="00473E62" w:rsidRPr="004A2377">
        <w:rPr>
          <w:rFonts w:ascii="Gadugi" w:hAnsi="Gadugi" w:cs="Century Gothic"/>
          <w:b/>
          <w:bCs/>
          <w:sz w:val="24"/>
          <w:szCs w:val="24"/>
        </w:rPr>
        <w:t>Idárraga</w:t>
      </w:r>
      <w:proofErr w:type="spellEnd"/>
      <w:r w:rsidR="00473E62" w:rsidRPr="004A2377">
        <w:rPr>
          <w:rFonts w:ascii="Gadugi" w:hAnsi="Gadugi" w:cs="Century Gothic"/>
          <w:b/>
          <w:bCs/>
          <w:sz w:val="24"/>
          <w:szCs w:val="24"/>
        </w:rPr>
        <w:t xml:space="preserve">, </w:t>
      </w:r>
      <w:r w:rsidR="00473E62" w:rsidRPr="004A2377">
        <w:rPr>
          <w:rFonts w:ascii="Gadugi" w:hAnsi="Gadugi" w:cs="Century Gothic"/>
          <w:bCs/>
          <w:sz w:val="24"/>
          <w:szCs w:val="24"/>
        </w:rPr>
        <w:t xml:space="preserve">en procura de la protección de su derecho fundamental al debido proceso, </w:t>
      </w:r>
      <w:r w:rsidR="00473E62" w:rsidRPr="004A2377">
        <w:rPr>
          <w:rFonts w:ascii="Gadugi" w:hAnsi="Gadugi" w:cs="Century Gothic"/>
          <w:sz w:val="24"/>
          <w:szCs w:val="24"/>
        </w:rPr>
        <w:t xml:space="preserve">contra el </w:t>
      </w:r>
      <w:r w:rsidR="00473E62" w:rsidRPr="004A2377">
        <w:rPr>
          <w:rFonts w:ascii="Gadugi" w:hAnsi="Gadugi" w:cs="Century Gothic"/>
          <w:b/>
          <w:bCs/>
          <w:sz w:val="24"/>
          <w:szCs w:val="24"/>
        </w:rPr>
        <w:t xml:space="preserve">Juzgado Quinto Civil del Circuito de Pereira, </w:t>
      </w:r>
      <w:r w:rsidR="00473E62" w:rsidRPr="004A2377">
        <w:rPr>
          <w:rFonts w:ascii="Gadugi" w:hAnsi="Gadugi" w:cs="Century Gothic"/>
          <w:sz w:val="24"/>
          <w:szCs w:val="24"/>
        </w:rPr>
        <w:t xml:space="preserve">a la que fueron los </w:t>
      </w:r>
      <w:r w:rsidR="00473E62" w:rsidRPr="004A2377">
        <w:rPr>
          <w:rFonts w:ascii="Gadugi" w:hAnsi="Gadugi" w:cs="Century Gothic"/>
          <w:b/>
          <w:sz w:val="24"/>
          <w:szCs w:val="24"/>
        </w:rPr>
        <w:t>demás intervinientes</w:t>
      </w:r>
      <w:r w:rsidR="00473E62" w:rsidRPr="004A2377">
        <w:rPr>
          <w:rFonts w:ascii="Gadugi" w:hAnsi="Gadugi" w:cs="Century Gothic"/>
          <w:sz w:val="24"/>
          <w:szCs w:val="24"/>
        </w:rPr>
        <w:t xml:space="preserve"> en las acciones populares con radicado </w:t>
      </w:r>
      <w:r w:rsidR="00473E62" w:rsidRPr="004A2377">
        <w:rPr>
          <w:rFonts w:ascii="Gadugi" w:hAnsi="Gadugi" w:cs="Century Gothic"/>
          <w:b/>
          <w:i/>
          <w:sz w:val="24"/>
          <w:szCs w:val="24"/>
        </w:rPr>
        <w:t xml:space="preserve">“2019-166”, “2019-167”, “2019-181”, “2019-182” y “2019-189”, </w:t>
      </w:r>
      <w:r w:rsidR="00473E62" w:rsidRPr="004A2377">
        <w:rPr>
          <w:rFonts w:ascii="Gadugi" w:hAnsi="Gadugi" w:cs="Century Gothic"/>
          <w:sz w:val="24"/>
          <w:szCs w:val="24"/>
        </w:rPr>
        <w:t>que se tramitan en el Juzgado accionado.</w:t>
      </w:r>
    </w:p>
    <w:p w14:paraId="57A77BE5" w14:textId="4363FA6E" w:rsidR="00DF5E59" w:rsidRPr="004A2377" w:rsidRDefault="00DF5E59" w:rsidP="004A2377">
      <w:pPr>
        <w:spacing w:line="276" w:lineRule="auto"/>
        <w:ind w:firstLine="2835"/>
        <w:jc w:val="both"/>
        <w:rPr>
          <w:rFonts w:ascii="Gadugi" w:eastAsia="Dotum" w:hAnsi="Gadugi"/>
          <w:sz w:val="24"/>
          <w:szCs w:val="24"/>
        </w:rPr>
      </w:pPr>
      <w:r w:rsidRPr="004A2377">
        <w:rPr>
          <w:rFonts w:ascii="Gadugi" w:eastAsia="Dotum" w:hAnsi="Gadugi"/>
          <w:sz w:val="24"/>
          <w:szCs w:val="24"/>
        </w:rPr>
        <w:tab/>
      </w:r>
      <w:r w:rsidRPr="004A2377">
        <w:rPr>
          <w:rFonts w:ascii="Gadugi" w:eastAsia="Dotum" w:hAnsi="Gadugi"/>
          <w:sz w:val="24"/>
          <w:szCs w:val="24"/>
        </w:rPr>
        <w:tab/>
      </w:r>
    </w:p>
    <w:p w14:paraId="57A77BE8" w14:textId="7EC70053" w:rsidR="00DF5E59" w:rsidRPr="004A2377" w:rsidRDefault="00DF5E59" w:rsidP="004A2377">
      <w:pPr>
        <w:spacing w:line="276" w:lineRule="auto"/>
        <w:jc w:val="both"/>
        <w:rPr>
          <w:rFonts w:ascii="Gadugi" w:hAnsi="Gadugi" w:cs="Arial"/>
          <w:sz w:val="24"/>
          <w:szCs w:val="24"/>
        </w:rPr>
      </w:pPr>
      <w:r w:rsidRPr="004A2377">
        <w:rPr>
          <w:rFonts w:ascii="Gadugi" w:eastAsia="Dotum" w:hAnsi="Gadugi"/>
          <w:sz w:val="24"/>
          <w:szCs w:val="24"/>
        </w:rPr>
        <w:tab/>
      </w:r>
      <w:r w:rsidRPr="004A2377">
        <w:rPr>
          <w:rFonts w:ascii="Gadugi" w:eastAsia="Dotum" w:hAnsi="Gadugi"/>
          <w:sz w:val="24"/>
          <w:szCs w:val="24"/>
        </w:rPr>
        <w:tab/>
      </w:r>
      <w:r w:rsidRPr="004A2377">
        <w:rPr>
          <w:rFonts w:ascii="Gadugi" w:eastAsia="Dotum" w:hAnsi="Gadugi"/>
          <w:sz w:val="24"/>
          <w:szCs w:val="24"/>
        </w:rPr>
        <w:tab/>
      </w:r>
      <w:r w:rsidRPr="004A2377">
        <w:rPr>
          <w:rFonts w:ascii="Gadugi" w:eastAsia="Dotum" w:hAnsi="Gadugi"/>
          <w:sz w:val="24"/>
          <w:szCs w:val="24"/>
        </w:rPr>
        <w:tab/>
      </w:r>
      <w:r w:rsidRPr="004A2377">
        <w:rPr>
          <w:rFonts w:ascii="Gadugi" w:hAnsi="Gadugi" w:cs="Arial"/>
          <w:sz w:val="24"/>
          <w:szCs w:val="24"/>
        </w:rPr>
        <w:t xml:space="preserve">Notifíquese la decisión a las partes en la forma prevista en el artículo 5º del Decreto 306 de 1992, y si no es impugnada remítase a la Corte Constitucional para su eventual revisión. A su regreso, archívese el expediente. </w:t>
      </w:r>
    </w:p>
    <w:p w14:paraId="57A77BE9" w14:textId="77777777" w:rsidR="00DF5E59" w:rsidRPr="004A2377" w:rsidRDefault="00DF5E59" w:rsidP="004A2377">
      <w:pPr>
        <w:spacing w:line="276" w:lineRule="auto"/>
        <w:ind w:firstLine="2835"/>
        <w:jc w:val="both"/>
        <w:rPr>
          <w:rFonts w:ascii="Gadugi" w:hAnsi="Gadugi" w:cs="Arial"/>
          <w:sz w:val="24"/>
          <w:szCs w:val="24"/>
        </w:rPr>
      </w:pPr>
    </w:p>
    <w:p w14:paraId="74DA5E19" w14:textId="77777777" w:rsidR="004A2377" w:rsidRPr="004A2377" w:rsidRDefault="004A2377" w:rsidP="004A2377">
      <w:pPr>
        <w:spacing w:line="276" w:lineRule="auto"/>
        <w:ind w:firstLine="2835"/>
        <w:jc w:val="both"/>
        <w:rPr>
          <w:rFonts w:ascii="Gadugi" w:hAnsi="Gadugi" w:cs="Adobe Devanagari"/>
          <w:bCs/>
          <w:sz w:val="24"/>
          <w:szCs w:val="24"/>
          <w:lang w:val="es-419"/>
        </w:rPr>
      </w:pPr>
      <w:r w:rsidRPr="004A2377">
        <w:rPr>
          <w:rFonts w:ascii="Gadugi" w:hAnsi="Gadugi" w:cs="Adobe Devanagari"/>
          <w:bCs/>
          <w:sz w:val="24"/>
          <w:szCs w:val="24"/>
          <w:lang w:val="es-419"/>
        </w:rPr>
        <w:t>Los Magistrados,</w:t>
      </w:r>
    </w:p>
    <w:p w14:paraId="7858CDC1" w14:textId="77777777" w:rsidR="004A2377" w:rsidRPr="004A2377" w:rsidRDefault="004A2377" w:rsidP="004A2377">
      <w:pPr>
        <w:tabs>
          <w:tab w:val="left" w:pos="284"/>
          <w:tab w:val="left" w:pos="426"/>
        </w:tabs>
        <w:overflowPunct/>
        <w:autoSpaceDE/>
        <w:autoSpaceDN/>
        <w:adjustRightInd/>
        <w:spacing w:line="276" w:lineRule="auto"/>
        <w:jc w:val="both"/>
        <w:textAlignment w:val="auto"/>
        <w:rPr>
          <w:rFonts w:ascii="Gadugi" w:eastAsia="Calibri" w:hAnsi="Gadugi" w:cs="Century Gothic"/>
          <w:sz w:val="24"/>
          <w:szCs w:val="24"/>
          <w:lang w:val="es-419" w:eastAsia="en-US"/>
        </w:rPr>
      </w:pPr>
    </w:p>
    <w:p w14:paraId="01DA5BE1" w14:textId="77777777" w:rsidR="004A2377" w:rsidRPr="004A2377" w:rsidRDefault="004A2377" w:rsidP="004A2377">
      <w:pPr>
        <w:tabs>
          <w:tab w:val="left" w:pos="284"/>
          <w:tab w:val="left" w:pos="426"/>
        </w:tabs>
        <w:overflowPunct/>
        <w:autoSpaceDE/>
        <w:autoSpaceDN/>
        <w:adjustRightInd/>
        <w:spacing w:line="276" w:lineRule="auto"/>
        <w:jc w:val="both"/>
        <w:textAlignment w:val="auto"/>
        <w:rPr>
          <w:rFonts w:ascii="Gadugi" w:eastAsia="Calibri" w:hAnsi="Gadugi" w:cs="Century Gothic"/>
          <w:sz w:val="24"/>
          <w:szCs w:val="24"/>
          <w:lang w:val="es-419" w:eastAsia="en-US"/>
        </w:rPr>
      </w:pPr>
    </w:p>
    <w:p w14:paraId="31037678" w14:textId="77777777" w:rsidR="004A2377" w:rsidRPr="004A2377" w:rsidRDefault="004A2377" w:rsidP="004A2377">
      <w:pPr>
        <w:spacing w:line="276" w:lineRule="auto"/>
        <w:ind w:firstLine="2835"/>
        <w:jc w:val="both"/>
        <w:rPr>
          <w:rFonts w:ascii="Gadugi" w:hAnsi="Gadugi" w:cs="Adobe Devanagari"/>
          <w:b/>
          <w:bCs/>
          <w:sz w:val="24"/>
          <w:szCs w:val="24"/>
          <w:lang w:val="es-419"/>
        </w:rPr>
      </w:pPr>
      <w:r w:rsidRPr="004A2377">
        <w:rPr>
          <w:rFonts w:ascii="Gadugi" w:hAnsi="Gadugi" w:cs="Adobe Devanagari"/>
          <w:b/>
          <w:bCs/>
          <w:sz w:val="24"/>
          <w:szCs w:val="24"/>
          <w:lang w:val="es-419"/>
        </w:rPr>
        <w:t>JAIME ALBERTO SARAZA NARANJO</w:t>
      </w:r>
    </w:p>
    <w:p w14:paraId="6CE4A81E" w14:textId="77777777" w:rsidR="004A2377" w:rsidRPr="004A2377" w:rsidRDefault="004A2377" w:rsidP="004A2377">
      <w:pPr>
        <w:spacing w:line="276" w:lineRule="auto"/>
        <w:ind w:firstLine="2835"/>
        <w:jc w:val="both"/>
        <w:rPr>
          <w:rFonts w:ascii="Gadugi" w:hAnsi="Gadugi" w:cs="Adobe Devanagari"/>
          <w:bCs/>
          <w:sz w:val="24"/>
          <w:szCs w:val="24"/>
          <w:lang w:val="es-419"/>
        </w:rPr>
      </w:pPr>
    </w:p>
    <w:p w14:paraId="1B128588" w14:textId="77777777" w:rsidR="004A2377" w:rsidRPr="004A2377" w:rsidRDefault="004A2377" w:rsidP="004A2377">
      <w:pPr>
        <w:spacing w:line="276" w:lineRule="auto"/>
        <w:ind w:firstLine="2835"/>
        <w:jc w:val="both"/>
        <w:rPr>
          <w:rFonts w:ascii="Gadugi" w:hAnsi="Gadugi" w:cs="Adobe Devanagari"/>
          <w:bCs/>
          <w:sz w:val="24"/>
          <w:szCs w:val="24"/>
          <w:lang w:val="es-419"/>
        </w:rPr>
      </w:pPr>
    </w:p>
    <w:p w14:paraId="309964FC" w14:textId="77777777" w:rsidR="004A2377" w:rsidRPr="004A2377" w:rsidRDefault="004A2377" w:rsidP="004A2377">
      <w:pPr>
        <w:spacing w:line="276" w:lineRule="auto"/>
        <w:ind w:firstLine="2835"/>
        <w:jc w:val="both"/>
        <w:rPr>
          <w:rFonts w:ascii="Gadugi" w:hAnsi="Gadugi" w:cs="Adobe Devanagari"/>
          <w:b/>
          <w:bCs/>
          <w:sz w:val="24"/>
          <w:szCs w:val="24"/>
          <w:lang w:val="es-419"/>
        </w:rPr>
      </w:pPr>
      <w:r w:rsidRPr="004A2377">
        <w:rPr>
          <w:rFonts w:ascii="Gadugi" w:hAnsi="Gadugi" w:cs="Adobe Devanagari"/>
          <w:b/>
          <w:bCs/>
          <w:sz w:val="24"/>
          <w:szCs w:val="24"/>
          <w:lang w:val="es-419"/>
        </w:rPr>
        <w:t>CLAUDIA MARÍA ARCILA RÍOS</w:t>
      </w:r>
    </w:p>
    <w:p w14:paraId="07C3E254" w14:textId="77777777" w:rsidR="004A2377" w:rsidRPr="004A2377" w:rsidRDefault="004A2377" w:rsidP="004A2377">
      <w:pPr>
        <w:spacing w:line="276" w:lineRule="auto"/>
        <w:ind w:firstLine="2835"/>
        <w:jc w:val="both"/>
        <w:rPr>
          <w:rFonts w:ascii="Gadugi" w:hAnsi="Gadugi" w:cs="Adobe Devanagari"/>
          <w:bCs/>
          <w:sz w:val="24"/>
          <w:szCs w:val="24"/>
          <w:lang w:val="es-419"/>
        </w:rPr>
      </w:pPr>
    </w:p>
    <w:p w14:paraId="00CE6EA3" w14:textId="77777777" w:rsidR="004A2377" w:rsidRPr="004A2377" w:rsidRDefault="004A2377" w:rsidP="004A2377">
      <w:pPr>
        <w:spacing w:line="276" w:lineRule="auto"/>
        <w:ind w:firstLine="2835"/>
        <w:jc w:val="both"/>
        <w:rPr>
          <w:rFonts w:ascii="Gadugi" w:hAnsi="Gadugi" w:cs="Adobe Devanagari"/>
          <w:bCs/>
          <w:sz w:val="24"/>
          <w:szCs w:val="24"/>
          <w:lang w:val="es-419"/>
        </w:rPr>
      </w:pPr>
    </w:p>
    <w:p w14:paraId="57A77BF4" w14:textId="134451C8" w:rsidR="00AC5562" w:rsidRPr="004A2377" w:rsidRDefault="004A2377" w:rsidP="004A2377">
      <w:pPr>
        <w:spacing w:line="276" w:lineRule="auto"/>
        <w:ind w:firstLine="2835"/>
        <w:jc w:val="both"/>
        <w:rPr>
          <w:rFonts w:ascii="Gadugi" w:hAnsi="Gadugi" w:cs="Adobe Devanagari"/>
          <w:b/>
          <w:bCs/>
          <w:sz w:val="24"/>
          <w:szCs w:val="24"/>
          <w:lang w:val="es-419"/>
        </w:rPr>
      </w:pPr>
      <w:r w:rsidRPr="004A2377">
        <w:rPr>
          <w:rFonts w:ascii="Gadugi" w:hAnsi="Gadugi" w:cs="Adobe Devanagari"/>
          <w:b/>
          <w:bCs/>
          <w:sz w:val="24"/>
          <w:szCs w:val="24"/>
          <w:lang w:val="es-419"/>
        </w:rPr>
        <w:t>DUBERNEY GRISALES HERRERA</w:t>
      </w:r>
    </w:p>
    <w:sectPr w:rsidR="00AC5562" w:rsidRPr="004A2377" w:rsidSect="004A2377">
      <w:headerReference w:type="default" r:id="rId11"/>
      <w:footerReference w:type="default" r:id="rId12"/>
      <w:pgSz w:w="12242" w:h="18722" w:code="258"/>
      <w:pgMar w:top="1928" w:right="1361" w:bottom="1361" w:left="1928"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B962F09" w16cex:dateUtc="2020-09-30T16:09:47.215Z"/>
</w16cex:commentsExtensible>
</file>

<file path=word/commentsIds.xml><?xml version="1.0" encoding="utf-8"?>
<w16cid:commentsIds xmlns:mc="http://schemas.openxmlformats.org/markup-compatibility/2006" xmlns:w16cid="http://schemas.microsoft.com/office/word/2016/wordml/cid" mc:Ignorable="w16cid">
  <w16cid:commentId w16cid:paraId="20085457" w16cid:durableId="4B962F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614D4" w14:textId="77777777" w:rsidR="00464AF3" w:rsidRDefault="00464AF3" w:rsidP="00CD73E5">
      <w:r>
        <w:separator/>
      </w:r>
    </w:p>
  </w:endnote>
  <w:endnote w:type="continuationSeparator" w:id="0">
    <w:p w14:paraId="14F18A7B" w14:textId="77777777" w:rsidR="00464AF3" w:rsidRDefault="00464AF3"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Adobe Devanagari">
    <w:panose1 w:val="00000000000000000000"/>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77BFA" w14:textId="354B1E2D" w:rsidR="00436A51" w:rsidRDefault="00436A51">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A2377">
      <w:rPr>
        <w:rStyle w:val="Nmerodepgina"/>
        <w:noProof/>
      </w:rPr>
      <w:t>2</w:t>
    </w:r>
    <w:r>
      <w:rPr>
        <w:rStyle w:val="Nmerodepgina"/>
      </w:rPr>
      <w:fldChar w:fldCharType="end"/>
    </w:r>
  </w:p>
  <w:p w14:paraId="57A77BFB" w14:textId="77777777" w:rsidR="00436A51" w:rsidRDefault="00436A5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180A6" w14:textId="77777777" w:rsidR="00464AF3" w:rsidRDefault="00464AF3" w:rsidP="00CD73E5">
      <w:r>
        <w:separator/>
      </w:r>
    </w:p>
  </w:footnote>
  <w:footnote w:type="continuationSeparator" w:id="0">
    <w:p w14:paraId="631FF8E2" w14:textId="77777777" w:rsidR="00464AF3" w:rsidRDefault="00464AF3" w:rsidP="00CD73E5">
      <w:r>
        <w:continuationSeparator/>
      </w:r>
    </w:p>
  </w:footnote>
  <w:footnote w:id="1">
    <w:p w14:paraId="27270AE2" w14:textId="058FDE80" w:rsidR="00473E62" w:rsidRPr="004A2377" w:rsidRDefault="00473E62">
      <w:pPr>
        <w:pStyle w:val="Textonotapie"/>
        <w:rPr>
          <w:rFonts w:ascii="Agency FB" w:hAnsi="Agency FB"/>
        </w:rPr>
      </w:pPr>
      <w:r w:rsidRPr="004A2377">
        <w:rPr>
          <w:rStyle w:val="Refdenotaalpie"/>
          <w:rFonts w:ascii="Agency FB" w:hAnsi="Agency FB"/>
        </w:rPr>
        <w:footnoteRef/>
      </w:r>
      <w:r w:rsidRPr="004A2377">
        <w:rPr>
          <w:rFonts w:ascii="Agency FB" w:hAnsi="Agency FB"/>
        </w:rPr>
        <w:t xml:space="preserve"> Archivo 02.</w:t>
      </w:r>
    </w:p>
  </w:footnote>
  <w:footnote w:id="2">
    <w:p w14:paraId="6EA8E280" w14:textId="5AA90A72" w:rsidR="00473E62" w:rsidRPr="004A2377" w:rsidRDefault="00473E62">
      <w:pPr>
        <w:pStyle w:val="Textonotapie"/>
        <w:rPr>
          <w:rFonts w:ascii="Agency FB" w:hAnsi="Agency FB"/>
        </w:rPr>
      </w:pPr>
      <w:r w:rsidRPr="004A2377">
        <w:rPr>
          <w:rStyle w:val="Refdenotaalpie"/>
          <w:rFonts w:ascii="Agency FB" w:hAnsi="Agency FB"/>
        </w:rPr>
        <w:footnoteRef/>
      </w:r>
      <w:r w:rsidRPr="004A2377">
        <w:rPr>
          <w:rFonts w:ascii="Agency FB" w:hAnsi="Agency FB"/>
        </w:rPr>
        <w:t xml:space="preserve"> Archivo 08.</w:t>
      </w:r>
    </w:p>
  </w:footnote>
  <w:footnote w:id="3">
    <w:p w14:paraId="46F9BA30" w14:textId="6B996427" w:rsidR="00473E62" w:rsidRPr="004A2377" w:rsidRDefault="00473E62">
      <w:pPr>
        <w:pStyle w:val="Textonotapie"/>
        <w:rPr>
          <w:rFonts w:ascii="Agency FB" w:hAnsi="Agency FB"/>
        </w:rPr>
      </w:pPr>
      <w:r w:rsidRPr="004A2377">
        <w:rPr>
          <w:rStyle w:val="Refdenotaalpie"/>
          <w:rFonts w:ascii="Agency FB" w:hAnsi="Agency FB"/>
        </w:rPr>
        <w:footnoteRef/>
      </w:r>
      <w:r w:rsidRPr="004A2377">
        <w:rPr>
          <w:rFonts w:ascii="Agency FB" w:hAnsi="Agency FB"/>
        </w:rPr>
        <w:t xml:space="preserve"> Archivos 09, 10, 11, 12 y 13.</w:t>
      </w:r>
    </w:p>
  </w:footnote>
  <w:footnote w:id="4">
    <w:p w14:paraId="60D64353" w14:textId="079B235F" w:rsidR="00473E62" w:rsidRPr="004A2377" w:rsidRDefault="00473E62">
      <w:pPr>
        <w:pStyle w:val="Textonotapie"/>
        <w:rPr>
          <w:rFonts w:ascii="Agency FB" w:hAnsi="Agency FB"/>
        </w:rPr>
      </w:pPr>
      <w:r w:rsidRPr="004A2377">
        <w:rPr>
          <w:rStyle w:val="Refdenotaalpie"/>
          <w:rFonts w:ascii="Agency FB" w:hAnsi="Agency FB"/>
        </w:rPr>
        <w:footnoteRef/>
      </w:r>
      <w:r w:rsidRPr="004A2377">
        <w:rPr>
          <w:rFonts w:ascii="Agency FB" w:hAnsi="Agency FB"/>
        </w:rPr>
        <w:t xml:space="preserve"> Archivo 15.</w:t>
      </w:r>
    </w:p>
  </w:footnote>
  <w:footnote w:id="5">
    <w:p w14:paraId="07A48EA3" w14:textId="11EA4FA4" w:rsidR="00473E62" w:rsidRPr="004A2377" w:rsidRDefault="00473E62">
      <w:pPr>
        <w:pStyle w:val="Textonotapie"/>
        <w:rPr>
          <w:rFonts w:ascii="Agency FB" w:hAnsi="Agency FB"/>
        </w:rPr>
      </w:pPr>
      <w:r w:rsidRPr="004A2377">
        <w:rPr>
          <w:rStyle w:val="Refdenotaalpie"/>
          <w:rFonts w:ascii="Agency FB" w:hAnsi="Agency FB"/>
        </w:rPr>
        <w:footnoteRef/>
      </w:r>
      <w:r w:rsidRPr="004A2377">
        <w:rPr>
          <w:rFonts w:ascii="Agency FB" w:hAnsi="Agency FB"/>
        </w:rPr>
        <w:t xml:space="preserve"> Archivo 16.</w:t>
      </w:r>
    </w:p>
  </w:footnote>
  <w:footnote w:id="6">
    <w:p w14:paraId="1E8937C2" w14:textId="21AF8586" w:rsidR="001409BD" w:rsidRPr="004A2377" w:rsidRDefault="001409BD">
      <w:pPr>
        <w:pStyle w:val="Textonotapie"/>
        <w:rPr>
          <w:rFonts w:ascii="Agency FB" w:hAnsi="Agency FB"/>
        </w:rPr>
      </w:pPr>
      <w:r w:rsidRPr="004A2377">
        <w:rPr>
          <w:rStyle w:val="Refdenotaalpie"/>
          <w:rFonts w:ascii="Agency FB" w:hAnsi="Agency FB"/>
        </w:rPr>
        <w:footnoteRef/>
      </w:r>
      <w:r w:rsidRPr="004A2377">
        <w:rPr>
          <w:rFonts w:ascii="Agency FB" w:hAnsi="Agency FB"/>
        </w:rPr>
        <w:t xml:space="preserve"> </w:t>
      </w:r>
      <w:r w:rsidR="000313F7" w:rsidRPr="004A2377">
        <w:rPr>
          <w:rFonts w:ascii="Agency FB" w:hAnsi="Agency FB"/>
        </w:rPr>
        <w:t>Archivos 03 y 04, expedientes acciones populares.</w:t>
      </w:r>
    </w:p>
  </w:footnote>
  <w:footnote w:id="7">
    <w:p w14:paraId="5A7C7A81" w14:textId="3015FC14" w:rsidR="0099342B" w:rsidRPr="004A2377" w:rsidRDefault="0099342B" w:rsidP="0099342B">
      <w:pPr>
        <w:pStyle w:val="Textonotapie"/>
        <w:rPr>
          <w:rFonts w:ascii="Agency FB" w:hAnsi="Agency FB"/>
        </w:rPr>
      </w:pPr>
      <w:r w:rsidRPr="004A2377">
        <w:rPr>
          <w:rStyle w:val="Refdenotaalpie"/>
          <w:rFonts w:ascii="Agency FB" w:hAnsi="Agency FB"/>
        </w:rPr>
        <w:footnoteRef/>
      </w:r>
      <w:r w:rsidRPr="004A2377">
        <w:rPr>
          <w:rFonts w:ascii="Agency FB" w:hAnsi="Agency FB"/>
        </w:rPr>
        <w:t xml:space="preserve"> </w:t>
      </w:r>
      <w:r w:rsidRPr="004A2377">
        <w:rPr>
          <w:rFonts w:ascii="Agency FB" w:hAnsi="Agency FB"/>
          <w:lang w:val="es-MX"/>
        </w:rPr>
        <w:t>Pág. 187 C. Principal acción popular 2019-00181-00, Pág. 95 C. Principal acción popular 2019-00167-00 y</w:t>
      </w:r>
      <w:r w:rsidR="000313F7" w:rsidRPr="004A2377">
        <w:rPr>
          <w:rFonts w:ascii="Agency FB" w:hAnsi="Agency FB"/>
          <w:lang w:val="es-MX"/>
        </w:rPr>
        <w:t xml:space="preserve"> </w:t>
      </w:r>
      <w:r w:rsidR="00623173" w:rsidRPr="004A2377">
        <w:rPr>
          <w:rFonts w:ascii="Agency FB" w:hAnsi="Agency FB"/>
          <w:lang w:val="es-MX"/>
        </w:rPr>
        <w:t>Archivo 21, Expediente acción popular 2019-00166-00</w:t>
      </w:r>
    </w:p>
  </w:footnote>
  <w:footnote w:id="8">
    <w:p w14:paraId="415E5C8D" w14:textId="1356D480" w:rsidR="00513A36" w:rsidRPr="004A2377" w:rsidRDefault="00513A36">
      <w:pPr>
        <w:pStyle w:val="Textonotapie"/>
        <w:rPr>
          <w:rFonts w:ascii="Agency FB" w:hAnsi="Agency FB"/>
        </w:rPr>
      </w:pPr>
      <w:r w:rsidRPr="004A2377">
        <w:rPr>
          <w:rStyle w:val="Refdenotaalpie"/>
          <w:rFonts w:ascii="Agency FB" w:hAnsi="Agency FB"/>
        </w:rPr>
        <w:footnoteRef/>
      </w:r>
      <w:r w:rsidRPr="004A2377">
        <w:rPr>
          <w:rFonts w:ascii="Agency FB" w:hAnsi="Agency FB"/>
        </w:rPr>
        <w:t xml:space="preserve"> CC. T-230 de 2014, reitera las SU-975 de 2003 y T-883 de 2008</w:t>
      </w:r>
    </w:p>
  </w:footnote>
  <w:footnote w:id="9">
    <w:p w14:paraId="77440E5A" w14:textId="38F3C9AE" w:rsidR="00513A36" w:rsidRPr="004A2377" w:rsidRDefault="00513A36">
      <w:pPr>
        <w:pStyle w:val="Textonotapie"/>
        <w:rPr>
          <w:rFonts w:ascii="Agency FB" w:hAnsi="Agency FB"/>
        </w:rPr>
      </w:pPr>
      <w:r w:rsidRPr="004A2377">
        <w:rPr>
          <w:rStyle w:val="Refdenotaalpie"/>
          <w:rFonts w:ascii="Agency FB" w:hAnsi="Agency FB"/>
        </w:rPr>
        <w:footnoteRef/>
      </w:r>
      <w:r w:rsidRPr="004A2377">
        <w:rPr>
          <w:rFonts w:ascii="Agency FB" w:hAnsi="Agency FB"/>
        </w:rPr>
        <w:t xml:space="preserve"> CSJ. </w:t>
      </w:r>
      <w:proofErr w:type="spellStart"/>
      <w:r w:rsidRPr="004A2377">
        <w:rPr>
          <w:rFonts w:ascii="Agency FB" w:hAnsi="Agency FB"/>
        </w:rPr>
        <w:t>STC12717</w:t>
      </w:r>
      <w:proofErr w:type="spellEnd"/>
      <w:r w:rsidRPr="004A2377">
        <w:rPr>
          <w:rFonts w:ascii="Agency FB" w:hAnsi="Agency FB"/>
        </w:rPr>
        <w:t xml:space="preserve">-2019 y </w:t>
      </w:r>
      <w:proofErr w:type="spellStart"/>
      <w:r w:rsidRPr="004A2377">
        <w:rPr>
          <w:rFonts w:ascii="Agency FB" w:hAnsi="Agency FB"/>
        </w:rPr>
        <w:t>STC13358</w:t>
      </w:r>
      <w:proofErr w:type="spellEnd"/>
      <w:r w:rsidRPr="004A2377">
        <w:rPr>
          <w:rFonts w:ascii="Agency FB" w:hAnsi="Agency FB"/>
        </w:rPr>
        <w:t>-2019.</w:t>
      </w:r>
    </w:p>
  </w:footnote>
  <w:footnote w:id="10">
    <w:p w14:paraId="0E00E88B" w14:textId="0ADE86A2" w:rsidR="005311DF" w:rsidRPr="004A2377" w:rsidRDefault="005311DF">
      <w:pPr>
        <w:pStyle w:val="Textonotapie"/>
        <w:rPr>
          <w:rFonts w:ascii="Agency FB" w:hAnsi="Agency FB"/>
        </w:rPr>
      </w:pPr>
      <w:r w:rsidRPr="004A2377">
        <w:rPr>
          <w:rStyle w:val="Refdenotaalpie"/>
          <w:rFonts w:ascii="Agency FB" w:hAnsi="Agency FB"/>
        </w:rPr>
        <w:footnoteRef/>
      </w:r>
      <w:r w:rsidRPr="004A2377">
        <w:rPr>
          <w:rFonts w:ascii="Agency FB" w:hAnsi="Agency FB"/>
        </w:rPr>
        <w:t xml:space="preserve"> </w:t>
      </w:r>
      <w:proofErr w:type="spellStart"/>
      <w:r w:rsidRPr="004A2377">
        <w:rPr>
          <w:rFonts w:ascii="Agency FB" w:hAnsi="Agency FB"/>
        </w:rPr>
        <w:t>TSP</w:t>
      </w:r>
      <w:proofErr w:type="spellEnd"/>
      <w:r w:rsidRPr="004A2377">
        <w:rPr>
          <w:rFonts w:ascii="Agency FB" w:hAnsi="Agency FB"/>
        </w:rPr>
        <w:t xml:space="preserve">, </w:t>
      </w:r>
      <w:proofErr w:type="spellStart"/>
      <w:r w:rsidRPr="004A2377">
        <w:rPr>
          <w:rFonts w:ascii="Agency FB" w:hAnsi="Agency FB"/>
        </w:rPr>
        <w:t>SCF</w:t>
      </w:r>
      <w:proofErr w:type="spellEnd"/>
      <w:r w:rsidRPr="004A2377">
        <w:rPr>
          <w:rFonts w:ascii="Agency FB" w:hAnsi="Agency FB"/>
        </w:rPr>
        <w:t xml:space="preserve">. Sentencia 25/09/20 Rad. 66001-22-13-000-2020-00129-00, </w:t>
      </w:r>
      <w:proofErr w:type="spellStart"/>
      <w:r w:rsidRPr="004A2377">
        <w:rPr>
          <w:rFonts w:ascii="Agency FB" w:hAnsi="Agency FB"/>
        </w:rPr>
        <w:t>M.P</w:t>
      </w:r>
      <w:proofErr w:type="spellEnd"/>
      <w:r w:rsidRPr="004A2377">
        <w:rPr>
          <w:rFonts w:ascii="Agency FB" w:hAnsi="Agency FB"/>
        </w:rPr>
        <w:t xml:space="preserve">. </w:t>
      </w:r>
      <w:proofErr w:type="spellStart"/>
      <w:r w:rsidRPr="004A2377">
        <w:rPr>
          <w:rFonts w:ascii="Agency FB" w:hAnsi="Agency FB"/>
        </w:rPr>
        <w:t>Duberney</w:t>
      </w:r>
      <w:proofErr w:type="spellEnd"/>
      <w:r w:rsidRPr="004A2377">
        <w:rPr>
          <w:rFonts w:ascii="Agency FB" w:hAnsi="Agency FB"/>
        </w:rPr>
        <w:t xml:space="preserve"> Grisales Herrera.</w:t>
      </w:r>
    </w:p>
  </w:footnote>
  <w:footnote w:id="11">
    <w:p w14:paraId="38FFA864" w14:textId="41242B8C" w:rsidR="005311DF" w:rsidRPr="00473E62" w:rsidRDefault="005311DF">
      <w:pPr>
        <w:pStyle w:val="Textonotapie"/>
        <w:rPr>
          <w:rFonts w:ascii="Agency FB" w:hAnsi="Agency FB"/>
          <w:sz w:val="26"/>
          <w:szCs w:val="26"/>
        </w:rPr>
      </w:pPr>
      <w:r w:rsidRPr="004A2377">
        <w:rPr>
          <w:rStyle w:val="Refdenotaalpie"/>
          <w:rFonts w:ascii="Agency FB" w:hAnsi="Agency FB"/>
        </w:rPr>
        <w:footnoteRef/>
      </w:r>
      <w:r w:rsidRPr="004A2377">
        <w:rPr>
          <w:rFonts w:ascii="Agency FB" w:hAnsi="Agency FB"/>
        </w:rPr>
        <w:t xml:space="preserve"> 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77BF9" w14:textId="77777777" w:rsidR="00436A51" w:rsidRDefault="00436A51" w:rsidP="00A54986">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3E5"/>
    <w:rsid w:val="00005B50"/>
    <w:rsid w:val="000313F7"/>
    <w:rsid w:val="000334CF"/>
    <w:rsid w:val="00042088"/>
    <w:rsid w:val="00065074"/>
    <w:rsid w:val="00094753"/>
    <w:rsid w:val="00095C04"/>
    <w:rsid w:val="000B6EBC"/>
    <w:rsid w:val="000C0169"/>
    <w:rsid w:val="000C2955"/>
    <w:rsid w:val="000E1642"/>
    <w:rsid w:val="000F189F"/>
    <w:rsid w:val="000F5B38"/>
    <w:rsid w:val="0010676D"/>
    <w:rsid w:val="00121845"/>
    <w:rsid w:val="00122A4C"/>
    <w:rsid w:val="00123442"/>
    <w:rsid w:val="001247B9"/>
    <w:rsid w:val="001355B9"/>
    <w:rsid w:val="001409BD"/>
    <w:rsid w:val="00144607"/>
    <w:rsid w:val="00147AF4"/>
    <w:rsid w:val="0017328F"/>
    <w:rsid w:val="00190582"/>
    <w:rsid w:val="001920FD"/>
    <w:rsid w:val="001924A5"/>
    <w:rsid w:val="001A46A3"/>
    <w:rsid w:val="001A6E73"/>
    <w:rsid w:val="001B3777"/>
    <w:rsid w:val="001C1144"/>
    <w:rsid w:val="001C401E"/>
    <w:rsid w:val="001C4FAC"/>
    <w:rsid w:val="001C62C3"/>
    <w:rsid w:val="001D1ADD"/>
    <w:rsid w:val="001E0739"/>
    <w:rsid w:val="001E1A7B"/>
    <w:rsid w:val="001E6B2D"/>
    <w:rsid w:val="002154CE"/>
    <w:rsid w:val="00227E21"/>
    <w:rsid w:val="002452B5"/>
    <w:rsid w:val="00254CA3"/>
    <w:rsid w:val="00254ECB"/>
    <w:rsid w:val="00266981"/>
    <w:rsid w:val="00285265"/>
    <w:rsid w:val="002A13BB"/>
    <w:rsid w:val="002A5C2A"/>
    <w:rsid w:val="002B2D36"/>
    <w:rsid w:val="002C4C8A"/>
    <w:rsid w:val="002D1F05"/>
    <w:rsid w:val="002D2DB6"/>
    <w:rsid w:val="002E0E95"/>
    <w:rsid w:val="00300E4C"/>
    <w:rsid w:val="0030149B"/>
    <w:rsid w:val="003049BB"/>
    <w:rsid w:val="003127B8"/>
    <w:rsid w:val="00313F89"/>
    <w:rsid w:val="003538FF"/>
    <w:rsid w:val="0035768F"/>
    <w:rsid w:val="00385FFE"/>
    <w:rsid w:val="00387AE2"/>
    <w:rsid w:val="00395A55"/>
    <w:rsid w:val="003969EA"/>
    <w:rsid w:val="003B1101"/>
    <w:rsid w:val="003C422B"/>
    <w:rsid w:val="003D5AB5"/>
    <w:rsid w:val="003E5B22"/>
    <w:rsid w:val="0040594D"/>
    <w:rsid w:val="00407377"/>
    <w:rsid w:val="00424BF8"/>
    <w:rsid w:val="00436A51"/>
    <w:rsid w:val="00464AF3"/>
    <w:rsid w:val="004659D1"/>
    <w:rsid w:val="00473E62"/>
    <w:rsid w:val="00486C68"/>
    <w:rsid w:val="00496CF1"/>
    <w:rsid w:val="004A2377"/>
    <w:rsid w:val="004A2C5A"/>
    <w:rsid w:val="004A6EA8"/>
    <w:rsid w:val="004D526F"/>
    <w:rsid w:val="004E35A9"/>
    <w:rsid w:val="004F2A55"/>
    <w:rsid w:val="00513A36"/>
    <w:rsid w:val="00514505"/>
    <w:rsid w:val="00526F23"/>
    <w:rsid w:val="005311DF"/>
    <w:rsid w:val="005519D6"/>
    <w:rsid w:val="005570D7"/>
    <w:rsid w:val="0056018F"/>
    <w:rsid w:val="00561C0C"/>
    <w:rsid w:val="00571B70"/>
    <w:rsid w:val="005729AD"/>
    <w:rsid w:val="005930DD"/>
    <w:rsid w:val="005A1133"/>
    <w:rsid w:val="005A7048"/>
    <w:rsid w:val="005B3B79"/>
    <w:rsid w:val="005B4AFA"/>
    <w:rsid w:val="005D5FC7"/>
    <w:rsid w:val="005D6060"/>
    <w:rsid w:val="005E2B2E"/>
    <w:rsid w:val="005F1C24"/>
    <w:rsid w:val="005F308F"/>
    <w:rsid w:val="006039FA"/>
    <w:rsid w:val="00610BDF"/>
    <w:rsid w:val="006143D6"/>
    <w:rsid w:val="00623173"/>
    <w:rsid w:val="006264E5"/>
    <w:rsid w:val="00654459"/>
    <w:rsid w:val="00682FC9"/>
    <w:rsid w:val="00686973"/>
    <w:rsid w:val="006A212D"/>
    <w:rsid w:val="006B16B9"/>
    <w:rsid w:val="006B3724"/>
    <w:rsid w:val="006C4696"/>
    <w:rsid w:val="006C5346"/>
    <w:rsid w:val="006C57D3"/>
    <w:rsid w:val="006C7A26"/>
    <w:rsid w:val="006F2F50"/>
    <w:rsid w:val="006F640A"/>
    <w:rsid w:val="006F7900"/>
    <w:rsid w:val="00713293"/>
    <w:rsid w:val="007227F4"/>
    <w:rsid w:val="00726021"/>
    <w:rsid w:val="00772119"/>
    <w:rsid w:val="00772A5D"/>
    <w:rsid w:val="0079179A"/>
    <w:rsid w:val="007A1BFF"/>
    <w:rsid w:val="007B3A0F"/>
    <w:rsid w:val="007B47FE"/>
    <w:rsid w:val="007D0DB4"/>
    <w:rsid w:val="007E7826"/>
    <w:rsid w:val="00813B3F"/>
    <w:rsid w:val="00834573"/>
    <w:rsid w:val="00850350"/>
    <w:rsid w:val="00850B1A"/>
    <w:rsid w:val="00864C42"/>
    <w:rsid w:val="008718AA"/>
    <w:rsid w:val="008945D1"/>
    <w:rsid w:val="0089683B"/>
    <w:rsid w:val="008A0096"/>
    <w:rsid w:val="008C2D90"/>
    <w:rsid w:val="008C590D"/>
    <w:rsid w:val="008D5404"/>
    <w:rsid w:val="008D5A2B"/>
    <w:rsid w:val="009022F5"/>
    <w:rsid w:val="00943FF1"/>
    <w:rsid w:val="00965768"/>
    <w:rsid w:val="00966586"/>
    <w:rsid w:val="0098768B"/>
    <w:rsid w:val="009878F9"/>
    <w:rsid w:val="0099342B"/>
    <w:rsid w:val="009A2618"/>
    <w:rsid w:val="009B4568"/>
    <w:rsid w:val="009C75F4"/>
    <w:rsid w:val="009D0F3B"/>
    <w:rsid w:val="009D23F0"/>
    <w:rsid w:val="009D4C7B"/>
    <w:rsid w:val="009D5349"/>
    <w:rsid w:val="009E0FD8"/>
    <w:rsid w:val="009E4741"/>
    <w:rsid w:val="00A006BB"/>
    <w:rsid w:val="00A026AD"/>
    <w:rsid w:val="00A0360C"/>
    <w:rsid w:val="00A14545"/>
    <w:rsid w:val="00A16252"/>
    <w:rsid w:val="00A210FF"/>
    <w:rsid w:val="00A219F4"/>
    <w:rsid w:val="00A27193"/>
    <w:rsid w:val="00A33F4E"/>
    <w:rsid w:val="00A35114"/>
    <w:rsid w:val="00A37894"/>
    <w:rsid w:val="00A4037B"/>
    <w:rsid w:val="00A42D85"/>
    <w:rsid w:val="00A54986"/>
    <w:rsid w:val="00A734BF"/>
    <w:rsid w:val="00A80E46"/>
    <w:rsid w:val="00A8218F"/>
    <w:rsid w:val="00A8400C"/>
    <w:rsid w:val="00AA76D0"/>
    <w:rsid w:val="00AC4FDF"/>
    <w:rsid w:val="00AC5562"/>
    <w:rsid w:val="00AC5EE5"/>
    <w:rsid w:val="00AC7344"/>
    <w:rsid w:val="00AD5A79"/>
    <w:rsid w:val="00AE3EF6"/>
    <w:rsid w:val="00AE6090"/>
    <w:rsid w:val="00AF4AD3"/>
    <w:rsid w:val="00AF5B39"/>
    <w:rsid w:val="00B009FB"/>
    <w:rsid w:val="00B01CB1"/>
    <w:rsid w:val="00B02BE9"/>
    <w:rsid w:val="00B27787"/>
    <w:rsid w:val="00B34201"/>
    <w:rsid w:val="00B40BCA"/>
    <w:rsid w:val="00B42B6E"/>
    <w:rsid w:val="00B519AC"/>
    <w:rsid w:val="00B632F4"/>
    <w:rsid w:val="00BB71E2"/>
    <w:rsid w:val="00BC3321"/>
    <w:rsid w:val="00BE3D4C"/>
    <w:rsid w:val="00BF426C"/>
    <w:rsid w:val="00C1466B"/>
    <w:rsid w:val="00C46A3A"/>
    <w:rsid w:val="00C54BA0"/>
    <w:rsid w:val="00C71F28"/>
    <w:rsid w:val="00C805F6"/>
    <w:rsid w:val="00C82097"/>
    <w:rsid w:val="00C8238C"/>
    <w:rsid w:val="00CB75FF"/>
    <w:rsid w:val="00CB7F71"/>
    <w:rsid w:val="00CC77A6"/>
    <w:rsid w:val="00CD34E9"/>
    <w:rsid w:val="00CD73E5"/>
    <w:rsid w:val="00CE68E9"/>
    <w:rsid w:val="00CE6F06"/>
    <w:rsid w:val="00CF7999"/>
    <w:rsid w:val="00D07982"/>
    <w:rsid w:val="00D1609F"/>
    <w:rsid w:val="00D16A63"/>
    <w:rsid w:val="00D325A2"/>
    <w:rsid w:val="00D46456"/>
    <w:rsid w:val="00D622C1"/>
    <w:rsid w:val="00D80191"/>
    <w:rsid w:val="00D8186A"/>
    <w:rsid w:val="00D842EC"/>
    <w:rsid w:val="00DA007F"/>
    <w:rsid w:val="00DA1D30"/>
    <w:rsid w:val="00DB285E"/>
    <w:rsid w:val="00DB2B97"/>
    <w:rsid w:val="00DD7802"/>
    <w:rsid w:val="00DE700F"/>
    <w:rsid w:val="00DF5E59"/>
    <w:rsid w:val="00DF6578"/>
    <w:rsid w:val="00E00E45"/>
    <w:rsid w:val="00E03443"/>
    <w:rsid w:val="00E03D5E"/>
    <w:rsid w:val="00E040C3"/>
    <w:rsid w:val="00E31BED"/>
    <w:rsid w:val="00E41FFB"/>
    <w:rsid w:val="00E451B1"/>
    <w:rsid w:val="00E6002C"/>
    <w:rsid w:val="00E60AAF"/>
    <w:rsid w:val="00E64FFE"/>
    <w:rsid w:val="00EE3EC5"/>
    <w:rsid w:val="00EE4976"/>
    <w:rsid w:val="00F111E5"/>
    <w:rsid w:val="00F1637D"/>
    <w:rsid w:val="00F20792"/>
    <w:rsid w:val="00F20A47"/>
    <w:rsid w:val="00F34452"/>
    <w:rsid w:val="00F44381"/>
    <w:rsid w:val="00F52C02"/>
    <w:rsid w:val="00F611DC"/>
    <w:rsid w:val="00F66464"/>
    <w:rsid w:val="00F90CD5"/>
    <w:rsid w:val="00F94193"/>
    <w:rsid w:val="00FA0A60"/>
    <w:rsid w:val="00FA26BE"/>
    <w:rsid w:val="00FB7F2B"/>
    <w:rsid w:val="00FC513B"/>
    <w:rsid w:val="00FD6F14"/>
    <w:rsid w:val="00FF0520"/>
    <w:rsid w:val="00FF5E79"/>
    <w:rsid w:val="07F7A324"/>
    <w:rsid w:val="0A3D1F3B"/>
    <w:rsid w:val="0C86AFFB"/>
    <w:rsid w:val="0DFED7A1"/>
    <w:rsid w:val="13ED5414"/>
    <w:rsid w:val="174FF54E"/>
    <w:rsid w:val="195CFAB1"/>
    <w:rsid w:val="1DBF4477"/>
    <w:rsid w:val="1DCF5A43"/>
    <w:rsid w:val="20BAC840"/>
    <w:rsid w:val="25E8F9B0"/>
    <w:rsid w:val="287C8EA9"/>
    <w:rsid w:val="2D073117"/>
    <w:rsid w:val="2D852232"/>
    <w:rsid w:val="3229A62B"/>
    <w:rsid w:val="337765E1"/>
    <w:rsid w:val="35EEF382"/>
    <w:rsid w:val="361D9C18"/>
    <w:rsid w:val="38EFA0A3"/>
    <w:rsid w:val="3A1A74EC"/>
    <w:rsid w:val="3CA199E9"/>
    <w:rsid w:val="42B66760"/>
    <w:rsid w:val="4336642D"/>
    <w:rsid w:val="4E0EA874"/>
    <w:rsid w:val="5896A87F"/>
    <w:rsid w:val="5B8212CB"/>
    <w:rsid w:val="5D85E7AE"/>
    <w:rsid w:val="5FC52665"/>
    <w:rsid w:val="612CD55A"/>
    <w:rsid w:val="6604C714"/>
    <w:rsid w:val="666592FF"/>
    <w:rsid w:val="6D9C0BD4"/>
    <w:rsid w:val="6DB0CA03"/>
    <w:rsid w:val="6FA94340"/>
    <w:rsid w:val="75C5775E"/>
    <w:rsid w:val="76B94AB4"/>
    <w:rsid w:val="79F31C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7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E5"/>
    <w:pPr>
      <w:overflowPunct w:val="0"/>
      <w:autoSpaceDE w:val="0"/>
      <w:autoSpaceDN w:val="0"/>
      <w:adjustRightInd w:val="0"/>
      <w:textAlignment w:val="baseline"/>
    </w:pPr>
    <w:rPr>
      <w:rFonts w:ascii="Times New Roman" w:eastAsia="Times New Roman" w:hAnsi="Times New Roman"/>
      <w:lang w:eastAsia="es-ES"/>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uiPriority w:val="99"/>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uiPriority w:val="99"/>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rPr>
      <w:rFonts w:ascii="Times New Roman" w:eastAsia="Times New Roman" w:hAnsi="Times New Roman"/>
      <w:sz w:val="24"/>
      <w:szCs w:val="24"/>
      <w:lang w:val="es-ES" w:eastAsia="es-ES"/>
    </w:rPr>
  </w:style>
  <w:style w:type="paragraph" w:customStyle="1" w:styleId="Sinespaciado2">
    <w:name w:val="Sin espaciado2"/>
    <w:rsid w:val="00CD73E5"/>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rPr>
      <w:rFonts w:ascii="Times New Roman" w:eastAsia="Times New Roman" w:hAnsi="Times New Roman"/>
      <w:sz w:val="24"/>
      <w:szCs w:val="24"/>
      <w:lang w:val="es-ES" w:eastAsia="es-ES"/>
    </w:rPr>
  </w:style>
  <w:style w:type="paragraph" w:customStyle="1" w:styleId="Sinespaciado4">
    <w:name w:val="Sin espaciado4"/>
    <w:rsid w:val="00042088"/>
    <w:rPr>
      <w:rFonts w:ascii="Times New Roman" w:eastAsia="Times New Roman" w:hAnsi="Times New Roman"/>
      <w:sz w:val="24"/>
      <w:szCs w:val="24"/>
      <w:lang w:val="es-ES" w:eastAsia="es-ES"/>
    </w:rPr>
  </w:style>
  <w:style w:type="paragraph" w:customStyle="1" w:styleId="Textoindependiente22">
    <w:name w:val="Texto independiente 22"/>
    <w:basedOn w:val="Normal"/>
    <w:rsid w:val="00DF5E59"/>
    <w:pPr>
      <w:overflowPunct/>
      <w:autoSpaceDE/>
      <w:autoSpaceDN/>
      <w:adjustRightInd/>
      <w:spacing w:line="336" w:lineRule="auto"/>
      <w:ind w:firstLine="2835"/>
      <w:jc w:val="both"/>
      <w:textAlignment w:val="auto"/>
    </w:pPr>
    <w:rPr>
      <w:rFonts w:ascii="Verdana" w:hAnsi="Verdana"/>
      <w:sz w:val="24"/>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link w:val="Textocomentario"/>
    <w:uiPriority w:val="99"/>
    <w:semiHidden/>
    <w:rPr>
      <w:rFonts w:ascii="Times New Roman" w:eastAsia="Times New Roman" w:hAnsi="Times New Roman"/>
      <w:lang w:eastAsia="es-ES"/>
    </w:rPr>
  </w:style>
  <w:style w:type="character" w:styleId="Refdecomentario">
    <w:name w:val="annotation reference"/>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E5"/>
    <w:pPr>
      <w:overflowPunct w:val="0"/>
      <w:autoSpaceDE w:val="0"/>
      <w:autoSpaceDN w:val="0"/>
      <w:adjustRightInd w:val="0"/>
      <w:textAlignment w:val="baseline"/>
    </w:pPr>
    <w:rPr>
      <w:rFonts w:ascii="Times New Roman" w:eastAsia="Times New Roman" w:hAnsi="Times New Roman"/>
      <w:lang w:eastAsia="es-ES"/>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uiPriority w:val="99"/>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uiPriority w:val="99"/>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rPr>
      <w:rFonts w:ascii="Times New Roman" w:eastAsia="Times New Roman" w:hAnsi="Times New Roman"/>
      <w:sz w:val="24"/>
      <w:szCs w:val="24"/>
      <w:lang w:val="es-ES" w:eastAsia="es-ES"/>
    </w:rPr>
  </w:style>
  <w:style w:type="paragraph" w:customStyle="1" w:styleId="Sinespaciado2">
    <w:name w:val="Sin espaciado2"/>
    <w:rsid w:val="00CD73E5"/>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rPr>
      <w:rFonts w:ascii="Times New Roman" w:eastAsia="Times New Roman" w:hAnsi="Times New Roman"/>
      <w:sz w:val="24"/>
      <w:szCs w:val="24"/>
      <w:lang w:val="es-ES" w:eastAsia="es-ES"/>
    </w:rPr>
  </w:style>
  <w:style w:type="paragraph" w:customStyle="1" w:styleId="Sinespaciado4">
    <w:name w:val="Sin espaciado4"/>
    <w:rsid w:val="00042088"/>
    <w:rPr>
      <w:rFonts w:ascii="Times New Roman" w:eastAsia="Times New Roman" w:hAnsi="Times New Roman"/>
      <w:sz w:val="24"/>
      <w:szCs w:val="24"/>
      <w:lang w:val="es-ES" w:eastAsia="es-ES"/>
    </w:rPr>
  </w:style>
  <w:style w:type="paragraph" w:customStyle="1" w:styleId="Textoindependiente22">
    <w:name w:val="Texto independiente 22"/>
    <w:basedOn w:val="Normal"/>
    <w:rsid w:val="00DF5E59"/>
    <w:pPr>
      <w:overflowPunct/>
      <w:autoSpaceDE/>
      <w:autoSpaceDN/>
      <w:adjustRightInd/>
      <w:spacing w:line="336" w:lineRule="auto"/>
      <w:ind w:firstLine="2835"/>
      <w:jc w:val="both"/>
      <w:textAlignment w:val="auto"/>
    </w:pPr>
    <w:rPr>
      <w:rFonts w:ascii="Verdana" w:hAnsi="Verdana"/>
      <w:sz w:val="24"/>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link w:val="Textocomentario"/>
    <w:uiPriority w:val="99"/>
    <w:semiHidden/>
    <w:rPr>
      <w:rFonts w:ascii="Times New Roman" w:eastAsia="Times New Roman" w:hAnsi="Times New Roman"/>
      <w:lang w:eastAsia="es-ES"/>
    </w:rPr>
  </w:style>
  <w:style w:type="character" w:styleId="Refdecomentario">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4236">
      <w:bodyDiv w:val="1"/>
      <w:marLeft w:val="0"/>
      <w:marRight w:val="0"/>
      <w:marTop w:val="0"/>
      <w:marBottom w:val="0"/>
      <w:divBdr>
        <w:top w:val="none" w:sz="0" w:space="0" w:color="auto"/>
        <w:left w:val="none" w:sz="0" w:space="0" w:color="auto"/>
        <w:bottom w:val="none" w:sz="0" w:space="0" w:color="auto"/>
        <w:right w:val="none" w:sz="0" w:space="0" w:color="auto"/>
      </w:divBdr>
    </w:div>
    <w:div w:id="1206454873">
      <w:bodyDiv w:val="1"/>
      <w:marLeft w:val="0"/>
      <w:marRight w:val="0"/>
      <w:marTop w:val="0"/>
      <w:marBottom w:val="0"/>
      <w:divBdr>
        <w:top w:val="none" w:sz="0" w:space="0" w:color="auto"/>
        <w:left w:val="none" w:sz="0" w:space="0" w:color="auto"/>
        <w:bottom w:val="none" w:sz="0" w:space="0" w:color="auto"/>
        <w:right w:val="none" w:sz="0" w:space="0" w:color="auto"/>
      </w:divBdr>
    </w:div>
    <w:div w:id="19354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9252547dacc248de"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0aa687f3ae87440b"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2" ma:contentTypeDescription="Crear nuevo documento." ma:contentTypeScope="" ma:versionID="5b45e9ee6de4cc320005d51c829937b7">
  <xsd:schema xmlns:xsd="http://www.w3.org/2001/XMLSchema" xmlns:xs="http://www.w3.org/2001/XMLSchema" xmlns:p="http://schemas.microsoft.com/office/2006/metadata/properties" xmlns:ns2="f4e7b1d2-d9d8-4be6-a468-264bc75ebb9f" targetNamespace="http://schemas.microsoft.com/office/2006/metadata/properties" ma:root="true" ma:fieldsID="a329bce7563094cbde8fae6344fc5862" ns2:_="">
    <xsd:import namespace="f4e7b1d2-d9d8-4be6-a468-264bc75ebb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FB5E8-1722-41F1-BC90-FF71BBC16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40D871-C539-4D5F-A266-2DB0B8256964}">
  <ds:schemaRefs>
    <ds:schemaRef ds:uri="http://schemas.microsoft.com/sharepoint/v3/contenttype/forms"/>
  </ds:schemaRefs>
</ds:datastoreItem>
</file>

<file path=customXml/itemProps3.xml><?xml version="1.0" encoding="utf-8"?>
<ds:datastoreItem xmlns:ds="http://schemas.openxmlformats.org/officeDocument/2006/customXml" ds:itemID="{34BF004A-B9D8-4507-A2B8-311718AC8F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5DD38D-0DD2-4869-AF38-9DDA65F9E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1522</Words>
  <Characters>8372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Barrera Hurtado</dc:creator>
  <cp:lastModifiedBy>ALONSO</cp:lastModifiedBy>
  <cp:revision>3</cp:revision>
  <cp:lastPrinted>2020-08-27T13:06:00Z</cp:lastPrinted>
  <dcterms:created xsi:type="dcterms:W3CDTF">2020-10-01T16:27:00Z</dcterms:created>
  <dcterms:modified xsi:type="dcterms:W3CDTF">2020-11-01T00:21:00Z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