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A3FD8" w14:textId="77777777" w:rsidR="006F3839" w:rsidRPr="006F3839" w:rsidRDefault="006F3839" w:rsidP="006F383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6F383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9F032E9" w14:textId="77777777" w:rsidR="006F3839" w:rsidRPr="006F3839" w:rsidRDefault="006F3839" w:rsidP="006F3839">
      <w:pPr>
        <w:jc w:val="both"/>
        <w:rPr>
          <w:rFonts w:ascii="Arial" w:hAnsi="Arial" w:cs="Arial"/>
          <w:sz w:val="20"/>
          <w:lang w:val="es-419"/>
        </w:rPr>
      </w:pPr>
    </w:p>
    <w:p w14:paraId="09EC903D" w14:textId="77777777" w:rsidR="004B19BF" w:rsidRPr="004B19BF" w:rsidRDefault="004B19BF" w:rsidP="004B19BF">
      <w:pPr>
        <w:jc w:val="both"/>
        <w:rPr>
          <w:rFonts w:ascii="Arial" w:hAnsi="Arial" w:cs="Arial"/>
          <w:b/>
          <w:bCs/>
          <w:iCs/>
          <w:sz w:val="20"/>
          <w:lang w:val="es-419" w:eastAsia="fr-FR"/>
        </w:rPr>
      </w:pPr>
      <w:r w:rsidRPr="004B19BF">
        <w:rPr>
          <w:rFonts w:ascii="Arial" w:hAnsi="Arial" w:cs="Arial"/>
          <w:b/>
          <w:bCs/>
          <w:iCs/>
          <w:sz w:val="20"/>
          <w:u w:val="single"/>
          <w:lang w:val="es-419" w:eastAsia="fr-FR"/>
        </w:rPr>
        <w:t>TEMAS:</w:t>
      </w:r>
      <w:r w:rsidRPr="004B19BF">
        <w:rPr>
          <w:rFonts w:ascii="Arial" w:hAnsi="Arial" w:cs="Arial"/>
          <w:b/>
          <w:bCs/>
          <w:iCs/>
          <w:sz w:val="20"/>
          <w:lang w:val="es-419" w:eastAsia="fr-FR"/>
        </w:rPr>
        <w:tab/>
      </w:r>
      <w:r w:rsidRPr="004B19BF">
        <w:rPr>
          <w:rFonts w:ascii="Arial" w:hAnsi="Arial" w:cs="Arial"/>
          <w:b/>
          <w:sz w:val="20"/>
          <w:lang w:val="es-419"/>
        </w:rPr>
        <w:t>INEFICACIA TRASLADO DE RÉGIMEN PENSIONAL / DEBER DE INFORMACIÓN DE LAS AFP / ES CARGA DE LA ENTIDAD DEMOSTRAR QUE CUMPLIÓ DICHA OBLIGACIÓN / VALOR PROBATORIO DEL FORMULARIO DE AFILIACIÓN / NO VALIDA POR SÍ SOLO EL TRASLADO.</w:t>
      </w:r>
    </w:p>
    <w:p w14:paraId="5366253D" w14:textId="77777777" w:rsidR="004B19BF" w:rsidRPr="004B19BF" w:rsidRDefault="004B19BF" w:rsidP="004B19BF">
      <w:pPr>
        <w:jc w:val="both"/>
        <w:rPr>
          <w:rFonts w:ascii="Arial" w:hAnsi="Arial" w:cs="Arial"/>
          <w:sz w:val="20"/>
          <w:lang w:val="es-419"/>
        </w:rPr>
      </w:pPr>
    </w:p>
    <w:p w14:paraId="10AF6E07" w14:textId="77777777" w:rsidR="004B19BF" w:rsidRPr="004B19BF" w:rsidRDefault="004B19BF" w:rsidP="004B19BF">
      <w:pPr>
        <w:jc w:val="both"/>
        <w:rPr>
          <w:rFonts w:ascii="Arial" w:hAnsi="Arial" w:cs="Arial"/>
          <w:sz w:val="20"/>
          <w:lang w:val="es-419"/>
        </w:rPr>
      </w:pPr>
      <w:r w:rsidRPr="004B19BF">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351CC65B" w14:textId="77777777" w:rsidR="004B19BF" w:rsidRPr="004B19BF" w:rsidRDefault="004B19BF" w:rsidP="004B19BF">
      <w:pPr>
        <w:jc w:val="both"/>
        <w:rPr>
          <w:rFonts w:ascii="Arial" w:hAnsi="Arial" w:cs="Arial"/>
          <w:sz w:val="20"/>
          <w:lang w:val="es-419"/>
        </w:rPr>
      </w:pPr>
    </w:p>
    <w:p w14:paraId="2BF2534C" w14:textId="77777777" w:rsidR="004B19BF" w:rsidRPr="004B19BF" w:rsidRDefault="004B19BF" w:rsidP="004B19BF">
      <w:pPr>
        <w:jc w:val="both"/>
        <w:rPr>
          <w:rFonts w:ascii="Arial" w:hAnsi="Arial" w:cs="Arial"/>
          <w:sz w:val="20"/>
          <w:lang w:val="es-419"/>
        </w:rPr>
      </w:pPr>
      <w:r w:rsidRPr="004B19BF">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0A7253F8" w14:textId="77777777" w:rsidR="004B19BF" w:rsidRPr="004B19BF" w:rsidRDefault="004B19BF" w:rsidP="004B19BF">
      <w:pPr>
        <w:jc w:val="both"/>
        <w:rPr>
          <w:rFonts w:ascii="Arial" w:hAnsi="Arial" w:cs="Arial"/>
          <w:sz w:val="20"/>
          <w:lang w:val="es-419"/>
        </w:rPr>
      </w:pPr>
    </w:p>
    <w:p w14:paraId="5F0BFDE6" w14:textId="6DE27D39" w:rsidR="004B19BF" w:rsidRPr="004B19BF" w:rsidRDefault="004B19BF" w:rsidP="004B19BF">
      <w:pPr>
        <w:jc w:val="both"/>
        <w:rPr>
          <w:rFonts w:ascii="Arial" w:hAnsi="Arial" w:cs="Arial"/>
          <w:sz w:val="20"/>
          <w:lang w:val="es-419"/>
        </w:rPr>
      </w:pPr>
      <w:r w:rsidRPr="004B19BF">
        <w:rPr>
          <w:rFonts w:ascii="Arial" w:hAnsi="Arial" w:cs="Arial"/>
          <w:sz w:val="20"/>
          <w:lang w:val="es-419"/>
        </w:rPr>
        <w:t>“…</w:t>
      </w:r>
      <w:r>
        <w:rPr>
          <w:rFonts w:ascii="Arial" w:hAnsi="Arial" w:cs="Arial"/>
          <w:sz w:val="20"/>
          <w:lang w:val="es-419"/>
        </w:rPr>
        <w:t xml:space="preserve"> </w:t>
      </w:r>
      <w:r w:rsidRPr="004B19BF">
        <w:rPr>
          <w:rFonts w:ascii="Arial" w:hAnsi="Arial" w:cs="Arial"/>
          <w:sz w:val="20"/>
          <w:lang w:val="es-419"/>
        </w:rPr>
        <w:t>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A185238" w14:textId="77777777" w:rsidR="004B19BF" w:rsidRPr="004B19BF" w:rsidRDefault="004B19BF" w:rsidP="004B19BF">
      <w:pPr>
        <w:jc w:val="both"/>
        <w:rPr>
          <w:rFonts w:ascii="Arial" w:hAnsi="Arial" w:cs="Arial"/>
          <w:sz w:val="20"/>
          <w:lang w:val="es-419"/>
        </w:rPr>
      </w:pPr>
    </w:p>
    <w:p w14:paraId="42171D3D" w14:textId="77777777" w:rsidR="004B19BF" w:rsidRPr="004B19BF" w:rsidRDefault="004B19BF" w:rsidP="004B19BF">
      <w:pPr>
        <w:jc w:val="both"/>
        <w:rPr>
          <w:rFonts w:ascii="Arial" w:hAnsi="Arial" w:cs="Arial"/>
          <w:sz w:val="20"/>
          <w:lang w:val="es-419"/>
        </w:rPr>
      </w:pPr>
      <w:r w:rsidRPr="004B19BF">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0BC98069" w14:textId="77777777" w:rsidR="004B19BF" w:rsidRPr="004B19BF" w:rsidRDefault="004B19BF" w:rsidP="004B19BF">
      <w:pPr>
        <w:jc w:val="both"/>
        <w:rPr>
          <w:rFonts w:ascii="Arial" w:hAnsi="Arial" w:cs="Arial"/>
          <w:sz w:val="20"/>
          <w:lang w:val="es-419"/>
        </w:rPr>
      </w:pPr>
    </w:p>
    <w:p w14:paraId="4C4FE80D" w14:textId="77777777" w:rsidR="004B19BF" w:rsidRPr="004B19BF" w:rsidRDefault="004B19BF" w:rsidP="004B19BF">
      <w:pPr>
        <w:jc w:val="both"/>
        <w:rPr>
          <w:rFonts w:ascii="Arial" w:hAnsi="Arial" w:cs="Arial"/>
          <w:sz w:val="20"/>
          <w:lang w:val="es-419"/>
        </w:rPr>
      </w:pPr>
      <w:r w:rsidRPr="004B19BF">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086257F" w14:textId="77777777" w:rsidR="004B19BF" w:rsidRPr="004B19BF" w:rsidRDefault="004B19BF" w:rsidP="004B19BF">
      <w:pPr>
        <w:jc w:val="both"/>
        <w:rPr>
          <w:rFonts w:ascii="Arial" w:hAnsi="Arial" w:cs="Arial"/>
          <w:sz w:val="20"/>
          <w:lang w:val="es-419"/>
        </w:rPr>
      </w:pPr>
    </w:p>
    <w:p w14:paraId="25594CC2" w14:textId="0462D0DB" w:rsidR="004B19BF" w:rsidRPr="004B19BF" w:rsidRDefault="004B19BF" w:rsidP="004B19BF">
      <w:pPr>
        <w:jc w:val="both"/>
        <w:rPr>
          <w:rFonts w:ascii="Arial" w:hAnsi="Arial" w:cs="Arial"/>
          <w:sz w:val="20"/>
          <w:lang w:val="es-ES"/>
        </w:rPr>
      </w:pPr>
      <w:r w:rsidRPr="004B19BF">
        <w:rPr>
          <w:rFonts w:ascii="Arial" w:hAnsi="Arial" w:cs="Arial"/>
          <w:sz w:val="20"/>
          <w:lang w:val="es-ES"/>
        </w:rPr>
        <w:t>… el órgano de cierre de esta jurisdicción ha creado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A.F.P.</w:t>
      </w:r>
    </w:p>
    <w:p w14:paraId="71096A9D" w14:textId="77777777" w:rsidR="006F3839" w:rsidRPr="006F3839" w:rsidRDefault="006F3839" w:rsidP="006F3839">
      <w:pPr>
        <w:jc w:val="both"/>
        <w:rPr>
          <w:rFonts w:ascii="Arial" w:hAnsi="Arial" w:cs="Arial"/>
          <w:sz w:val="20"/>
          <w:lang w:val="es-ES"/>
        </w:rPr>
      </w:pPr>
    </w:p>
    <w:p w14:paraId="114C0AF7" w14:textId="77777777" w:rsidR="006F3839" w:rsidRPr="006F3839" w:rsidRDefault="006F3839" w:rsidP="006F3839">
      <w:pPr>
        <w:jc w:val="both"/>
        <w:rPr>
          <w:rFonts w:ascii="Arial" w:hAnsi="Arial" w:cs="Arial"/>
          <w:sz w:val="20"/>
          <w:lang w:val="es-ES"/>
        </w:rPr>
      </w:pPr>
    </w:p>
    <w:p w14:paraId="2D4D5802" w14:textId="77777777" w:rsidR="006F3839" w:rsidRPr="006F3839" w:rsidRDefault="006F3839" w:rsidP="006F3839">
      <w:pPr>
        <w:jc w:val="both"/>
        <w:rPr>
          <w:rFonts w:ascii="Arial" w:hAnsi="Arial" w:cs="Arial"/>
          <w:sz w:val="20"/>
          <w:lang w:val="es-ES"/>
        </w:rPr>
      </w:pPr>
    </w:p>
    <w:p w14:paraId="59107495" w14:textId="77777777" w:rsidR="006F3839" w:rsidRPr="006F3839" w:rsidRDefault="006F3839" w:rsidP="006F3839">
      <w:pPr>
        <w:tabs>
          <w:tab w:val="center" w:pos="4252"/>
          <w:tab w:val="right" w:pos="8504"/>
        </w:tabs>
        <w:spacing w:line="276" w:lineRule="auto"/>
        <w:ind w:right="-7"/>
        <w:jc w:val="center"/>
        <w:rPr>
          <w:rFonts w:ascii="Arial" w:hAnsi="Arial" w:cs="Arial"/>
          <w:b/>
          <w:bCs/>
          <w:spacing w:val="12"/>
          <w:szCs w:val="24"/>
        </w:rPr>
      </w:pPr>
      <w:r w:rsidRPr="006F3839">
        <w:rPr>
          <w:rFonts w:ascii="Arial" w:hAnsi="Arial" w:cs="Arial"/>
          <w:b/>
          <w:bCs/>
          <w:spacing w:val="12"/>
          <w:szCs w:val="24"/>
        </w:rPr>
        <w:t>TRIBUNAL SUPERIOR DEL DISTRITO</w:t>
      </w:r>
    </w:p>
    <w:p w14:paraId="67556A64" w14:textId="77777777" w:rsidR="006F3839" w:rsidRPr="006F3839" w:rsidRDefault="006F3839" w:rsidP="006F3839">
      <w:pPr>
        <w:tabs>
          <w:tab w:val="center" w:pos="4252"/>
          <w:tab w:val="right" w:pos="8504"/>
        </w:tabs>
        <w:spacing w:line="276" w:lineRule="auto"/>
        <w:ind w:right="-7"/>
        <w:jc w:val="center"/>
        <w:rPr>
          <w:rFonts w:ascii="Arial" w:hAnsi="Arial" w:cs="Arial"/>
          <w:b/>
          <w:bCs/>
          <w:spacing w:val="12"/>
          <w:szCs w:val="24"/>
        </w:rPr>
      </w:pPr>
      <w:r w:rsidRPr="006F3839">
        <w:rPr>
          <w:rFonts w:ascii="Arial" w:hAnsi="Arial" w:cs="Arial"/>
          <w:b/>
          <w:bCs/>
          <w:spacing w:val="12"/>
          <w:szCs w:val="24"/>
        </w:rPr>
        <w:object w:dxaOrig="3090" w:dyaOrig="3285" w14:anchorId="514B8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11" o:title=""/>
          </v:shape>
          <o:OLEObject Type="Embed" ProgID="PBrush" ShapeID="_x0000_i1025" DrawAspect="Content" ObjectID="_1663589870" r:id="rId12"/>
        </w:object>
      </w:r>
    </w:p>
    <w:p w14:paraId="52DF7E9B" w14:textId="77777777" w:rsidR="006F3839" w:rsidRPr="006F3839" w:rsidRDefault="006F3839" w:rsidP="006F3839">
      <w:pPr>
        <w:tabs>
          <w:tab w:val="center" w:pos="4252"/>
          <w:tab w:val="right" w:pos="8504"/>
        </w:tabs>
        <w:spacing w:line="276" w:lineRule="auto"/>
        <w:ind w:right="-7"/>
        <w:jc w:val="center"/>
        <w:rPr>
          <w:rFonts w:ascii="Arial" w:hAnsi="Arial" w:cs="Arial"/>
          <w:b/>
          <w:bCs/>
          <w:spacing w:val="12"/>
          <w:szCs w:val="24"/>
        </w:rPr>
      </w:pPr>
      <w:r w:rsidRPr="006F3839">
        <w:rPr>
          <w:rFonts w:ascii="Arial" w:hAnsi="Arial" w:cs="Arial"/>
          <w:b/>
          <w:bCs/>
          <w:spacing w:val="12"/>
          <w:szCs w:val="24"/>
        </w:rPr>
        <w:t>PEREIRA RISARALDA</w:t>
      </w:r>
    </w:p>
    <w:p w14:paraId="6308D8F2" w14:textId="77777777" w:rsidR="006F3839" w:rsidRPr="006F3839" w:rsidRDefault="006F3839" w:rsidP="006F3839">
      <w:pPr>
        <w:tabs>
          <w:tab w:val="center" w:pos="4252"/>
          <w:tab w:val="right" w:pos="8504"/>
        </w:tabs>
        <w:spacing w:line="276" w:lineRule="auto"/>
        <w:ind w:right="-7"/>
        <w:jc w:val="center"/>
        <w:rPr>
          <w:rFonts w:ascii="Arial" w:hAnsi="Arial" w:cs="Arial"/>
          <w:spacing w:val="12"/>
          <w:szCs w:val="24"/>
        </w:rPr>
      </w:pPr>
    </w:p>
    <w:p w14:paraId="6577B78B" w14:textId="77777777" w:rsidR="006F3839" w:rsidRPr="006F3839" w:rsidRDefault="006F3839" w:rsidP="006F3839">
      <w:pPr>
        <w:spacing w:line="276" w:lineRule="auto"/>
        <w:jc w:val="center"/>
        <w:rPr>
          <w:rFonts w:ascii="Arial" w:hAnsi="Arial" w:cs="Arial"/>
          <w:spacing w:val="12"/>
          <w:szCs w:val="24"/>
        </w:rPr>
      </w:pPr>
      <w:r w:rsidRPr="006F3839">
        <w:rPr>
          <w:rFonts w:ascii="Arial" w:hAnsi="Arial" w:cs="Arial"/>
          <w:spacing w:val="12"/>
          <w:szCs w:val="24"/>
        </w:rPr>
        <w:t>Magistrada Ponente</w:t>
      </w:r>
    </w:p>
    <w:p w14:paraId="3CC94476" w14:textId="77777777" w:rsidR="006F3839" w:rsidRPr="006F3839" w:rsidRDefault="006F3839" w:rsidP="006F3839">
      <w:pPr>
        <w:spacing w:line="276" w:lineRule="auto"/>
        <w:jc w:val="center"/>
        <w:rPr>
          <w:rFonts w:ascii="Arial" w:hAnsi="Arial" w:cs="Arial"/>
          <w:b/>
          <w:bCs/>
          <w:spacing w:val="12"/>
          <w:szCs w:val="24"/>
        </w:rPr>
      </w:pPr>
      <w:r w:rsidRPr="006F3839">
        <w:rPr>
          <w:rFonts w:ascii="Arial" w:hAnsi="Arial" w:cs="Arial"/>
          <w:b/>
          <w:bCs/>
          <w:spacing w:val="12"/>
          <w:szCs w:val="24"/>
        </w:rPr>
        <w:t>ALEJANDRA MARÍA HENAO PALACIO</w:t>
      </w:r>
    </w:p>
    <w:p w14:paraId="10542B1A" w14:textId="77777777" w:rsidR="006F3839" w:rsidRPr="006F3839" w:rsidRDefault="006F3839" w:rsidP="006F3839">
      <w:pPr>
        <w:spacing w:line="276" w:lineRule="auto"/>
        <w:jc w:val="both"/>
        <w:rPr>
          <w:rFonts w:ascii="Arial" w:hAnsi="Arial" w:cs="Arial"/>
          <w:spacing w:val="12"/>
          <w:szCs w:val="24"/>
        </w:rPr>
      </w:pPr>
    </w:p>
    <w:tbl>
      <w:tblPr>
        <w:tblStyle w:val="Tablaconcuadrcula"/>
        <w:tblW w:w="0" w:type="auto"/>
        <w:tblInd w:w="799" w:type="dxa"/>
        <w:tblLook w:val="04A0" w:firstRow="1" w:lastRow="0" w:firstColumn="1" w:lastColumn="0" w:noHBand="0" w:noVBand="1"/>
      </w:tblPr>
      <w:tblGrid>
        <w:gridCol w:w="2127"/>
        <w:gridCol w:w="5103"/>
      </w:tblGrid>
      <w:tr w:rsidR="006F3839" w:rsidRPr="006F3839" w14:paraId="0AFFD7B3" w14:textId="77777777" w:rsidTr="3A671D18">
        <w:tc>
          <w:tcPr>
            <w:tcW w:w="2127" w:type="dxa"/>
          </w:tcPr>
          <w:p w14:paraId="278A0C24" w14:textId="77777777" w:rsidR="00492994" w:rsidRPr="006F3839" w:rsidRDefault="00492994" w:rsidP="006F3839">
            <w:pPr>
              <w:jc w:val="both"/>
              <w:rPr>
                <w:rFonts w:ascii="Arial" w:hAnsi="Arial" w:cs="Arial"/>
                <w:spacing w:val="12"/>
                <w:sz w:val="22"/>
                <w:szCs w:val="24"/>
              </w:rPr>
            </w:pPr>
            <w:r w:rsidRPr="006F3839">
              <w:rPr>
                <w:rFonts w:ascii="Arial" w:hAnsi="Arial" w:cs="Arial"/>
                <w:spacing w:val="12"/>
                <w:sz w:val="22"/>
                <w:szCs w:val="24"/>
              </w:rPr>
              <w:t>Demandante:</w:t>
            </w:r>
          </w:p>
        </w:tc>
        <w:tc>
          <w:tcPr>
            <w:tcW w:w="5103" w:type="dxa"/>
          </w:tcPr>
          <w:p w14:paraId="760077C6" w14:textId="6BB5B598" w:rsidR="00492994" w:rsidRPr="006F3839" w:rsidRDefault="006F3839" w:rsidP="006F3839">
            <w:pPr>
              <w:jc w:val="both"/>
              <w:rPr>
                <w:rFonts w:ascii="Arial" w:hAnsi="Arial" w:cs="Arial"/>
                <w:spacing w:val="12"/>
                <w:sz w:val="22"/>
                <w:szCs w:val="24"/>
              </w:rPr>
            </w:pPr>
            <w:r w:rsidRPr="006F3839">
              <w:rPr>
                <w:rFonts w:ascii="Arial" w:hAnsi="Arial" w:cs="Arial"/>
                <w:spacing w:val="12"/>
                <w:sz w:val="22"/>
                <w:szCs w:val="24"/>
              </w:rPr>
              <w:t xml:space="preserve">Mónica </w:t>
            </w:r>
            <w:proofErr w:type="spellStart"/>
            <w:r w:rsidRPr="006F3839">
              <w:rPr>
                <w:rFonts w:ascii="Arial" w:hAnsi="Arial" w:cs="Arial"/>
                <w:spacing w:val="12"/>
                <w:sz w:val="22"/>
                <w:szCs w:val="24"/>
              </w:rPr>
              <w:t>Orfilia</w:t>
            </w:r>
            <w:proofErr w:type="spellEnd"/>
            <w:r w:rsidRPr="006F3839">
              <w:rPr>
                <w:rFonts w:ascii="Arial" w:hAnsi="Arial" w:cs="Arial"/>
                <w:spacing w:val="12"/>
                <w:sz w:val="22"/>
                <w:szCs w:val="24"/>
              </w:rPr>
              <w:t xml:space="preserve"> Gómez Marín  </w:t>
            </w:r>
          </w:p>
        </w:tc>
      </w:tr>
      <w:tr w:rsidR="006F3839" w:rsidRPr="006F3839" w14:paraId="59A32F62" w14:textId="77777777" w:rsidTr="3A671D18">
        <w:tc>
          <w:tcPr>
            <w:tcW w:w="2127" w:type="dxa"/>
          </w:tcPr>
          <w:p w14:paraId="1402AFBE" w14:textId="77777777" w:rsidR="00492994" w:rsidRPr="006F3839" w:rsidRDefault="00492994" w:rsidP="006F3839">
            <w:pPr>
              <w:jc w:val="both"/>
              <w:rPr>
                <w:rFonts w:ascii="Arial" w:hAnsi="Arial" w:cs="Arial"/>
                <w:spacing w:val="12"/>
                <w:sz w:val="22"/>
                <w:szCs w:val="24"/>
              </w:rPr>
            </w:pPr>
            <w:r w:rsidRPr="006F3839">
              <w:rPr>
                <w:rFonts w:ascii="Arial" w:hAnsi="Arial" w:cs="Arial"/>
                <w:spacing w:val="12"/>
                <w:sz w:val="22"/>
                <w:szCs w:val="24"/>
              </w:rPr>
              <w:t>Demandado:</w:t>
            </w:r>
          </w:p>
        </w:tc>
        <w:tc>
          <w:tcPr>
            <w:tcW w:w="5103" w:type="dxa"/>
          </w:tcPr>
          <w:p w14:paraId="461CCAF7" w14:textId="07277B53" w:rsidR="00492994" w:rsidRPr="006F3839" w:rsidRDefault="004E3BDB" w:rsidP="006F3839">
            <w:pPr>
              <w:ind w:left="-142"/>
              <w:jc w:val="both"/>
              <w:rPr>
                <w:rFonts w:ascii="Arial" w:hAnsi="Arial" w:cs="Arial"/>
                <w:spacing w:val="12"/>
                <w:sz w:val="22"/>
                <w:szCs w:val="24"/>
              </w:rPr>
            </w:pPr>
            <w:r w:rsidRPr="006F3839">
              <w:rPr>
                <w:rFonts w:ascii="Arial" w:hAnsi="Arial" w:cs="Arial"/>
                <w:spacing w:val="12"/>
                <w:sz w:val="22"/>
                <w:szCs w:val="24"/>
              </w:rPr>
              <w:t xml:space="preserve">  </w:t>
            </w:r>
            <w:r w:rsidR="006F3839" w:rsidRPr="006F3839">
              <w:rPr>
                <w:rFonts w:ascii="Arial" w:hAnsi="Arial" w:cs="Arial"/>
                <w:spacing w:val="12"/>
                <w:sz w:val="22"/>
                <w:szCs w:val="24"/>
              </w:rPr>
              <w:t xml:space="preserve">Porvenir </w:t>
            </w:r>
            <w:r w:rsidRPr="006F3839">
              <w:rPr>
                <w:rFonts w:ascii="Arial" w:hAnsi="Arial" w:cs="Arial"/>
                <w:spacing w:val="12"/>
                <w:sz w:val="22"/>
                <w:szCs w:val="24"/>
              </w:rPr>
              <w:t xml:space="preserve">S.A. </w:t>
            </w:r>
            <w:r w:rsidR="006F3839" w:rsidRPr="006F3839">
              <w:rPr>
                <w:rFonts w:ascii="Arial" w:hAnsi="Arial" w:cs="Arial"/>
                <w:spacing w:val="12"/>
                <w:sz w:val="22"/>
                <w:szCs w:val="24"/>
              </w:rPr>
              <w:t xml:space="preserve">y Colpensiones </w:t>
            </w:r>
          </w:p>
        </w:tc>
      </w:tr>
      <w:tr w:rsidR="006F3839" w:rsidRPr="006F3839" w14:paraId="14F9DDA8" w14:textId="77777777" w:rsidTr="3A671D18">
        <w:tc>
          <w:tcPr>
            <w:tcW w:w="2127" w:type="dxa"/>
          </w:tcPr>
          <w:p w14:paraId="645DB1A5" w14:textId="77777777" w:rsidR="00492994" w:rsidRPr="006F3839" w:rsidRDefault="00492994" w:rsidP="006F3839">
            <w:pPr>
              <w:jc w:val="both"/>
              <w:rPr>
                <w:rFonts w:ascii="Arial" w:hAnsi="Arial" w:cs="Arial"/>
                <w:spacing w:val="12"/>
                <w:sz w:val="22"/>
                <w:szCs w:val="24"/>
              </w:rPr>
            </w:pPr>
            <w:r w:rsidRPr="006F3839">
              <w:rPr>
                <w:rFonts w:ascii="Arial" w:hAnsi="Arial" w:cs="Arial"/>
                <w:spacing w:val="12"/>
                <w:sz w:val="22"/>
                <w:szCs w:val="24"/>
              </w:rPr>
              <w:t>Radicación No.</w:t>
            </w:r>
          </w:p>
        </w:tc>
        <w:tc>
          <w:tcPr>
            <w:tcW w:w="5103" w:type="dxa"/>
          </w:tcPr>
          <w:p w14:paraId="7974E81F" w14:textId="11FA5767" w:rsidR="00492994" w:rsidRPr="006F3839" w:rsidRDefault="00492994" w:rsidP="006F3839">
            <w:pPr>
              <w:ind w:left="-142"/>
              <w:jc w:val="both"/>
              <w:rPr>
                <w:rFonts w:ascii="Arial" w:hAnsi="Arial" w:cs="Arial"/>
                <w:spacing w:val="12"/>
                <w:sz w:val="22"/>
                <w:szCs w:val="24"/>
              </w:rPr>
            </w:pPr>
            <w:r w:rsidRPr="006F3839">
              <w:rPr>
                <w:rFonts w:ascii="Arial" w:hAnsi="Arial" w:cs="Arial"/>
                <w:spacing w:val="12"/>
                <w:sz w:val="22"/>
                <w:szCs w:val="24"/>
              </w:rPr>
              <w:t xml:space="preserve"> </w:t>
            </w:r>
            <w:r w:rsidR="004E3BDB" w:rsidRPr="006F3839">
              <w:rPr>
                <w:rFonts w:ascii="Arial" w:hAnsi="Arial" w:cs="Arial"/>
                <w:spacing w:val="12"/>
                <w:sz w:val="22"/>
                <w:szCs w:val="24"/>
              </w:rPr>
              <w:t xml:space="preserve"> </w:t>
            </w:r>
            <w:r w:rsidRPr="006F3839">
              <w:rPr>
                <w:rFonts w:ascii="Arial" w:hAnsi="Arial" w:cs="Arial"/>
                <w:spacing w:val="12"/>
                <w:sz w:val="22"/>
                <w:szCs w:val="24"/>
              </w:rPr>
              <w:t>66001–31-05-004-2018-00225-01</w:t>
            </w:r>
          </w:p>
        </w:tc>
      </w:tr>
      <w:tr w:rsidR="006F3839" w:rsidRPr="006F3839" w14:paraId="15C2BC25" w14:textId="77777777" w:rsidTr="3A671D18">
        <w:tc>
          <w:tcPr>
            <w:tcW w:w="2127" w:type="dxa"/>
          </w:tcPr>
          <w:p w14:paraId="50B93B30" w14:textId="77777777" w:rsidR="00492994" w:rsidRPr="006F3839" w:rsidRDefault="00492994" w:rsidP="006F3839">
            <w:pPr>
              <w:jc w:val="both"/>
              <w:rPr>
                <w:rFonts w:ascii="Arial" w:hAnsi="Arial" w:cs="Arial"/>
                <w:spacing w:val="12"/>
                <w:sz w:val="22"/>
                <w:szCs w:val="24"/>
              </w:rPr>
            </w:pPr>
            <w:r w:rsidRPr="006F3839">
              <w:rPr>
                <w:rFonts w:ascii="Arial" w:hAnsi="Arial" w:cs="Arial"/>
                <w:spacing w:val="12"/>
                <w:sz w:val="22"/>
                <w:szCs w:val="24"/>
              </w:rPr>
              <w:t>Juzgado origen:</w:t>
            </w:r>
          </w:p>
        </w:tc>
        <w:tc>
          <w:tcPr>
            <w:tcW w:w="5103" w:type="dxa"/>
          </w:tcPr>
          <w:p w14:paraId="6D209360" w14:textId="77777777" w:rsidR="00492994" w:rsidRPr="006F3839" w:rsidRDefault="00492994" w:rsidP="006F3839">
            <w:pPr>
              <w:jc w:val="both"/>
              <w:rPr>
                <w:rFonts w:ascii="Arial" w:hAnsi="Arial" w:cs="Arial"/>
                <w:spacing w:val="12"/>
                <w:sz w:val="22"/>
                <w:szCs w:val="24"/>
              </w:rPr>
            </w:pPr>
            <w:r w:rsidRPr="006F3839">
              <w:rPr>
                <w:rFonts w:ascii="Arial" w:hAnsi="Arial" w:cs="Arial"/>
                <w:spacing w:val="12"/>
                <w:sz w:val="22"/>
                <w:szCs w:val="24"/>
              </w:rPr>
              <w:t>Cuarto Laboral del Circuito de Pereira</w:t>
            </w:r>
          </w:p>
        </w:tc>
      </w:tr>
      <w:tr w:rsidR="006F3839" w:rsidRPr="006F3839" w14:paraId="782AF22A" w14:textId="77777777" w:rsidTr="3A671D18">
        <w:tc>
          <w:tcPr>
            <w:tcW w:w="2127" w:type="dxa"/>
          </w:tcPr>
          <w:p w14:paraId="6AB88B11" w14:textId="77777777" w:rsidR="00492994" w:rsidRPr="006F3839" w:rsidRDefault="00492994" w:rsidP="006F3839">
            <w:pPr>
              <w:jc w:val="both"/>
              <w:rPr>
                <w:rFonts w:ascii="Arial" w:hAnsi="Arial" w:cs="Arial"/>
                <w:spacing w:val="12"/>
                <w:sz w:val="22"/>
                <w:szCs w:val="24"/>
              </w:rPr>
            </w:pPr>
            <w:r w:rsidRPr="006F3839">
              <w:rPr>
                <w:rFonts w:ascii="Arial" w:hAnsi="Arial" w:cs="Arial"/>
                <w:spacing w:val="12"/>
                <w:sz w:val="22"/>
                <w:szCs w:val="24"/>
              </w:rPr>
              <w:t>Tipo de proceso:</w:t>
            </w:r>
          </w:p>
        </w:tc>
        <w:tc>
          <w:tcPr>
            <w:tcW w:w="5103" w:type="dxa"/>
          </w:tcPr>
          <w:p w14:paraId="44BBEAC9" w14:textId="77777777" w:rsidR="00492994" w:rsidRPr="006F3839" w:rsidRDefault="00492994" w:rsidP="006F3839">
            <w:pPr>
              <w:jc w:val="both"/>
              <w:rPr>
                <w:rFonts w:ascii="Arial" w:hAnsi="Arial" w:cs="Arial"/>
                <w:spacing w:val="12"/>
                <w:sz w:val="22"/>
                <w:szCs w:val="24"/>
              </w:rPr>
            </w:pPr>
            <w:r w:rsidRPr="006F3839">
              <w:rPr>
                <w:rFonts w:ascii="Arial" w:hAnsi="Arial" w:cs="Arial"/>
                <w:spacing w:val="12"/>
                <w:sz w:val="22"/>
                <w:szCs w:val="24"/>
              </w:rPr>
              <w:t xml:space="preserve">Ordinario Laboral </w:t>
            </w:r>
          </w:p>
        </w:tc>
      </w:tr>
      <w:tr w:rsidR="006F3839" w:rsidRPr="006F3839" w14:paraId="57C56A1E" w14:textId="77777777" w:rsidTr="3A671D18">
        <w:tc>
          <w:tcPr>
            <w:tcW w:w="2127" w:type="dxa"/>
          </w:tcPr>
          <w:p w14:paraId="22992A99" w14:textId="77777777" w:rsidR="00492994" w:rsidRPr="006F3839" w:rsidRDefault="00492994" w:rsidP="006F3839">
            <w:pPr>
              <w:jc w:val="both"/>
              <w:rPr>
                <w:rFonts w:ascii="Arial" w:hAnsi="Arial" w:cs="Arial"/>
                <w:spacing w:val="12"/>
                <w:sz w:val="22"/>
                <w:szCs w:val="24"/>
              </w:rPr>
            </w:pPr>
            <w:r w:rsidRPr="006F3839">
              <w:rPr>
                <w:rFonts w:ascii="Arial" w:hAnsi="Arial" w:cs="Arial"/>
                <w:spacing w:val="12"/>
                <w:sz w:val="22"/>
                <w:szCs w:val="24"/>
              </w:rPr>
              <w:t>Providencia:</w:t>
            </w:r>
          </w:p>
        </w:tc>
        <w:tc>
          <w:tcPr>
            <w:tcW w:w="5103" w:type="dxa"/>
          </w:tcPr>
          <w:p w14:paraId="6903F470" w14:textId="5753C56B" w:rsidR="00492994" w:rsidRPr="006F3839" w:rsidRDefault="00492994" w:rsidP="006F3839">
            <w:pPr>
              <w:jc w:val="both"/>
              <w:rPr>
                <w:rFonts w:ascii="Arial" w:hAnsi="Arial" w:cs="Arial"/>
                <w:spacing w:val="12"/>
                <w:sz w:val="22"/>
                <w:szCs w:val="24"/>
              </w:rPr>
            </w:pPr>
            <w:r w:rsidRPr="006F3839">
              <w:rPr>
                <w:rFonts w:ascii="Arial" w:hAnsi="Arial" w:cs="Arial"/>
                <w:spacing w:val="12"/>
                <w:sz w:val="22"/>
                <w:szCs w:val="24"/>
              </w:rPr>
              <w:t xml:space="preserve">Sentencia </w:t>
            </w:r>
            <w:r w:rsidR="004E3BDB" w:rsidRPr="006F3839">
              <w:rPr>
                <w:rFonts w:ascii="Arial" w:hAnsi="Arial" w:cs="Arial"/>
                <w:spacing w:val="12"/>
                <w:sz w:val="22"/>
                <w:szCs w:val="24"/>
              </w:rPr>
              <w:t>de agosto</w:t>
            </w:r>
            <w:r w:rsidRPr="006F3839">
              <w:rPr>
                <w:rFonts w:ascii="Arial" w:hAnsi="Arial" w:cs="Arial"/>
                <w:spacing w:val="12"/>
                <w:sz w:val="22"/>
                <w:szCs w:val="24"/>
              </w:rPr>
              <w:t xml:space="preserve"> de 2020 </w:t>
            </w:r>
          </w:p>
        </w:tc>
      </w:tr>
      <w:tr w:rsidR="006F3839" w:rsidRPr="006F3839" w14:paraId="3FFEE48D" w14:textId="77777777" w:rsidTr="3A671D18">
        <w:trPr>
          <w:trHeight w:val="77"/>
        </w:trPr>
        <w:tc>
          <w:tcPr>
            <w:tcW w:w="2127" w:type="dxa"/>
          </w:tcPr>
          <w:p w14:paraId="4B84DD49" w14:textId="77777777" w:rsidR="00492994" w:rsidRPr="006F3839" w:rsidRDefault="00492994" w:rsidP="006F3839">
            <w:pPr>
              <w:jc w:val="both"/>
              <w:rPr>
                <w:rFonts w:ascii="Arial" w:hAnsi="Arial" w:cs="Arial"/>
                <w:spacing w:val="12"/>
                <w:sz w:val="22"/>
                <w:szCs w:val="24"/>
              </w:rPr>
            </w:pPr>
            <w:r w:rsidRPr="006F3839">
              <w:rPr>
                <w:rFonts w:ascii="Arial" w:hAnsi="Arial" w:cs="Arial"/>
                <w:spacing w:val="12"/>
                <w:sz w:val="22"/>
                <w:szCs w:val="24"/>
              </w:rPr>
              <w:t>Decisión:</w:t>
            </w:r>
          </w:p>
        </w:tc>
        <w:tc>
          <w:tcPr>
            <w:tcW w:w="5103" w:type="dxa"/>
          </w:tcPr>
          <w:p w14:paraId="432A11EF" w14:textId="77777777" w:rsidR="00492994" w:rsidRPr="006F3839" w:rsidRDefault="00492994" w:rsidP="006F3839">
            <w:pPr>
              <w:jc w:val="both"/>
              <w:rPr>
                <w:rFonts w:ascii="Arial" w:hAnsi="Arial" w:cs="Arial"/>
                <w:spacing w:val="12"/>
                <w:sz w:val="22"/>
                <w:szCs w:val="24"/>
              </w:rPr>
            </w:pPr>
            <w:r w:rsidRPr="006F3839">
              <w:rPr>
                <w:rFonts w:ascii="Arial" w:hAnsi="Arial" w:cs="Arial"/>
                <w:spacing w:val="12"/>
                <w:sz w:val="22"/>
                <w:szCs w:val="24"/>
              </w:rPr>
              <w:t>CONFIRMA Y ADICIONA.</w:t>
            </w:r>
          </w:p>
        </w:tc>
      </w:tr>
    </w:tbl>
    <w:p w14:paraId="3092D030" w14:textId="6C5F9BD7" w:rsidR="00492994" w:rsidRPr="006F3839" w:rsidRDefault="00492994" w:rsidP="006F3839">
      <w:pPr>
        <w:spacing w:line="276" w:lineRule="auto"/>
        <w:rPr>
          <w:rFonts w:ascii="Arial" w:hAnsi="Arial" w:cs="Arial"/>
          <w:spacing w:val="12"/>
          <w:szCs w:val="24"/>
        </w:rPr>
      </w:pPr>
    </w:p>
    <w:p w14:paraId="2AEA77E0" w14:textId="77777777" w:rsidR="004E3BDB" w:rsidRPr="006F3839" w:rsidRDefault="004E3BDB" w:rsidP="006F3839">
      <w:pPr>
        <w:pStyle w:val="Sinespaciado"/>
        <w:spacing w:line="276" w:lineRule="auto"/>
        <w:rPr>
          <w:rFonts w:ascii="Arial" w:hAnsi="Arial" w:cs="Arial"/>
          <w:szCs w:val="24"/>
        </w:rPr>
      </w:pPr>
    </w:p>
    <w:p w14:paraId="69368A2C" w14:textId="77777777" w:rsidR="004E3BDB" w:rsidRPr="006F3839" w:rsidRDefault="01E49F9D" w:rsidP="006F3839">
      <w:pPr>
        <w:pStyle w:val="Sinespaciado"/>
        <w:spacing w:line="276" w:lineRule="auto"/>
        <w:jc w:val="center"/>
        <w:rPr>
          <w:rFonts w:ascii="Arial" w:hAnsi="Arial" w:cs="Arial"/>
          <w:spacing w:val="6"/>
          <w:szCs w:val="24"/>
        </w:rPr>
      </w:pPr>
      <w:r w:rsidRPr="006F3839">
        <w:rPr>
          <w:rFonts w:ascii="Arial" w:hAnsi="Arial" w:cs="Arial"/>
          <w:spacing w:val="6"/>
          <w:szCs w:val="24"/>
        </w:rPr>
        <w:t>Registro del proyecto:</w:t>
      </w:r>
      <w:r w:rsidR="0AE6E31E" w:rsidRPr="006F3839">
        <w:rPr>
          <w:rFonts w:ascii="Arial" w:hAnsi="Arial" w:cs="Arial"/>
          <w:spacing w:val="6"/>
          <w:szCs w:val="24"/>
        </w:rPr>
        <w:t xml:space="preserve"> trece </w:t>
      </w:r>
      <w:r w:rsidRPr="006F3839">
        <w:rPr>
          <w:rFonts w:ascii="Arial" w:hAnsi="Arial" w:cs="Arial"/>
          <w:spacing w:val="6"/>
          <w:szCs w:val="24"/>
        </w:rPr>
        <w:t>(</w:t>
      </w:r>
      <w:r w:rsidR="33268A62" w:rsidRPr="006F3839">
        <w:rPr>
          <w:rFonts w:ascii="Arial" w:hAnsi="Arial" w:cs="Arial"/>
          <w:spacing w:val="6"/>
          <w:szCs w:val="24"/>
        </w:rPr>
        <w:t>13</w:t>
      </w:r>
      <w:r w:rsidRPr="006F3839">
        <w:rPr>
          <w:rFonts w:ascii="Arial" w:hAnsi="Arial" w:cs="Arial"/>
          <w:spacing w:val="6"/>
          <w:szCs w:val="24"/>
        </w:rPr>
        <w:t>) de agosto de dos mil veinte (2020)</w:t>
      </w:r>
    </w:p>
    <w:p w14:paraId="167879F5" w14:textId="00376BFD" w:rsidR="00492994" w:rsidRDefault="00492994" w:rsidP="006F3839">
      <w:pPr>
        <w:pStyle w:val="Sinespaciado"/>
        <w:spacing w:line="276" w:lineRule="auto"/>
        <w:jc w:val="center"/>
        <w:rPr>
          <w:rFonts w:ascii="Arial" w:hAnsi="Arial" w:cs="Arial"/>
          <w:spacing w:val="6"/>
          <w:szCs w:val="24"/>
        </w:rPr>
      </w:pPr>
      <w:r w:rsidRPr="006F3839">
        <w:rPr>
          <w:rFonts w:ascii="Arial" w:hAnsi="Arial" w:cs="Arial"/>
          <w:spacing w:val="6"/>
          <w:szCs w:val="24"/>
        </w:rPr>
        <w:t xml:space="preserve"> Acta </w:t>
      </w:r>
      <w:r w:rsidR="7B0A9CA5" w:rsidRPr="006F3839">
        <w:rPr>
          <w:rFonts w:ascii="Arial" w:hAnsi="Arial" w:cs="Arial"/>
          <w:spacing w:val="6"/>
          <w:szCs w:val="24"/>
        </w:rPr>
        <w:t xml:space="preserve">de discusión </w:t>
      </w:r>
      <w:r w:rsidR="36EC1C8B" w:rsidRPr="006F3839">
        <w:rPr>
          <w:rFonts w:ascii="Arial" w:hAnsi="Arial" w:cs="Arial"/>
          <w:spacing w:val="6"/>
          <w:szCs w:val="24"/>
        </w:rPr>
        <w:t>No.</w:t>
      </w:r>
      <w:r w:rsidR="0A6BDF9C" w:rsidRPr="006F3839">
        <w:rPr>
          <w:rFonts w:ascii="Arial" w:hAnsi="Arial" w:cs="Arial"/>
          <w:spacing w:val="6"/>
          <w:szCs w:val="24"/>
        </w:rPr>
        <w:t>115</w:t>
      </w:r>
      <w:r w:rsidRPr="006F3839">
        <w:rPr>
          <w:rFonts w:ascii="Arial" w:hAnsi="Arial" w:cs="Arial"/>
          <w:spacing w:val="6"/>
          <w:szCs w:val="24"/>
        </w:rPr>
        <w:t xml:space="preserve"> de</w:t>
      </w:r>
      <w:r w:rsidR="5B787C81" w:rsidRPr="006F3839">
        <w:rPr>
          <w:rFonts w:ascii="Arial" w:hAnsi="Arial" w:cs="Arial"/>
          <w:spacing w:val="6"/>
          <w:szCs w:val="24"/>
        </w:rPr>
        <w:t>l</w:t>
      </w:r>
      <w:r w:rsidRPr="006F3839">
        <w:rPr>
          <w:rFonts w:ascii="Arial" w:hAnsi="Arial" w:cs="Arial"/>
          <w:spacing w:val="6"/>
          <w:szCs w:val="24"/>
        </w:rPr>
        <w:t xml:space="preserve"> </w:t>
      </w:r>
      <w:r w:rsidR="004E3BDB" w:rsidRPr="006F3839">
        <w:rPr>
          <w:rFonts w:ascii="Arial" w:hAnsi="Arial" w:cs="Arial"/>
          <w:spacing w:val="6"/>
          <w:szCs w:val="24"/>
        </w:rPr>
        <w:t>18 de agosto de 2020</w:t>
      </w:r>
    </w:p>
    <w:p w14:paraId="10B2DFE5" w14:textId="77777777" w:rsidR="006F3839" w:rsidRPr="006F3839" w:rsidRDefault="006F3839" w:rsidP="006F3839">
      <w:pPr>
        <w:pStyle w:val="Sinespaciado"/>
        <w:spacing w:line="276" w:lineRule="auto"/>
        <w:jc w:val="center"/>
        <w:rPr>
          <w:rFonts w:ascii="Arial" w:hAnsi="Arial" w:cs="Arial"/>
          <w:spacing w:val="6"/>
          <w:szCs w:val="24"/>
        </w:rPr>
      </w:pPr>
    </w:p>
    <w:p w14:paraId="65D728CD" w14:textId="0DD1FE43" w:rsidR="69958FF8" w:rsidRPr="006F3839" w:rsidRDefault="69958FF8" w:rsidP="006F3839">
      <w:pPr>
        <w:spacing w:line="276" w:lineRule="auto"/>
        <w:jc w:val="center"/>
        <w:rPr>
          <w:rFonts w:ascii="Arial" w:hAnsi="Arial" w:cs="Arial"/>
          <w:spacing w:val="6"/>
          <w:szCs w:val="24"/>
        </w:rPr>
      </w:pPr>
      <w:r w:rsidRPr="006F3839">
        <w:rPr>
          <w:rFonts w:ascii="Arial" w:hAnsi="Arial" w:cs="Arial"/>
          <w:spacing w:val="6"/>
          <w:szCs w:val="24"/>
        </w:rPr>
        <w:t xml:space="preserve">Pereira, Risaralda, </w:t>
      </w:r>
      <w:r w:rsidR="78315E04" w:rsidRPr="006F3839">
        <w:rPr>
          <w:rFonts w:ascii="Arial" w:hAnsi="Arial" w:cs="Arial"/>
          <w:spacing w:val="6"/>
          <w:szCs w:val="24"/>
        </w:rPr>
        <w:t xml:space="preserve">veinticuatro </w:t>
      </w:r>
      <w:r w:rsidRPr="006F3839">
        <w:rPr>
          <w:rFonts w:ascii="Arial" w:hAnsi="Arial" w:cs="Arial"/>
          <w:spacing w:val="6"/>
          <w:szCs w:val="24"/>
        </w:rPr>
        <w:t>(</w:t>
      </w:r>
      <w:r w:rsidR="26F2E2AA" w:rsidRPr="006F3839">
        <w:rPr>
          <w:rFonts w:ascii="Arial" w:hAnsi="Arial" w:cs="Arial"/>
          <w:spacing w:val="6"/>
          <w:szCs w:val="24"/>
        </w:rPr>
        <w:t>2</w:t>
      </w:r>
      <w:r w:rsidR="4642113A" w:rsidRPr="006F3839">
        <w:rPr>
          <w:rFonts w:ascii="Arial" w:hAnsi="Arial" w:cs="Arial"/>
          <w:spacing w:val="6"/>
          <w:szCs w:val="24"/>
        </w:rPr>
        <w:t>4</w:t>
      </w:r>
      <w:r w:rsidRPr="006F3839">
        <w:rPr>
          <w:rFonts w:ascii="Arial" w:hAnsi="Arial" w:cs="Arial"/>
          <w:spacing w:val="6"/>
          <w:szCs w:val="24"/>
        </w:rPr>
        <w:t>) de Agosto de dos mil veinte (2020)</w:t>
      </w:r>
    </w:p>
    <w:p w14:paraId="70C3F9BC" w14:textId="3E6E2DF1" w:rsidR="62CA77F4" w:rsidRPr="006F3839" w:rsidRDefault="62CA77F4" w:rsidP="006F3839">
      <w:pPr>
        <w:spacing w:line="276" w:lineRule="auto"/>
        <w:jc w:val="center"/>
        <w:rPr>
          <w:rFonts w:ascii="Arial" w:hAnsi="Arial" w:cs="Arial"/>
          <w:spacing w:val="6"/>
          <w:szCs w:val="24"/>
        </w:rPr>
      </w:pPr>
    </w:p>
    <w:p w14:paraId="6DC75843" w14:textId="68F484B5" w:rsidR="62CA77F4" w:rsidRPr="006F3839" w:rsidRDefault="62CA77F4" w:rsidP="006F3839">
      <w:pPr>
        <w:spacing w:line="276" w:lineRule="auto"/>
        <w:jc w:val="center"/>
        <w:rPr>
          <w:rFonts w:ascii="Arial" w:hAnsi="Arial" w:cs="Arial"/>
          <w:szCs w:val="24"/>
        </w:rPr>
      </w:pPr>
    </w:p>
    <w:p w14:paraId="3033526A" w14:textId="7A5092F1" w:rsidR="00492994" w:rsidRPr="006F3839" w:rsidRDefault="003B04FA" w:rsidP="006F3839">
      <w:pPr>
        <w:spacing w:line="276" w:lineRule="auto"/>
        <w:jc w:val="both"/>
        <w:rPr>
          <w:rFonts w:ascii="Arial" w:hAnsi="Arial" w:cs="Arial"/>
          <w:spacing w:val="6"/>
          <w:szCs w:val="24"/>
        </w:rPr>
      </w:pPr>
      <w:r w:rsidRPr="006F3839">
        <w:rPr>
          <w:rFonts w:ascii="Arial" w:hAnsi="Arial" w:cs="Arial"/>
          <w:spacing w:val="6"/>
          <w:szCs w:val="24"/>
        </w:rPr>
        <w:t>Con el fin de dar cumplimiento al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6F3839">
        <w:rPr>
          <w:rFonts w:ascii="Arial" w:hAnsi="Arial" w:cs="Arial"/>
          <w:b/>
          <w:bCs/>
          <w:spacing w:val="6"/>
          <w:szCs w:val="24"/>
        </w:rPr>
        <w:t>ALEJANDRA MARÍA HENAO PALACIO </w:t>
      </w:r>
      <w:r w:rsidRPr="006F3839">
        <w:rPr>
          <w:rFonts w:ascii="Arial" w:hAnsi="Arial" w:cs="Arial"/>
          <w:spacing w:val="6"/>
          <w:szCs w:val="24"/>
        </w:rPr>
        <w:t>(ponente)</w:t>
      </w:r>
      <w:r w:rsidRPr="006F3839">
        <w:rPr>
          <w:rFonts w:ascii="Arial" w:hAnsi="Arial" w:cs="Arial"/>
          <w:b/>
          <w:bCs/>
          <w:spacing w:val="6"/>
          <w:szCs w:val="24"/>
        </w:rPr>
        <w:t> ANA LUCÍA CAICEDO CALDERÓN Y OLGA LUCÍA HOYOS SEPÚLVEDA</w:t>
      </w:r>
      <w:r w:rsidRPr="006F3839">
        <w:rPr>
          <w:rFonts w:ascii="Arial" w:hAnsi="Arial" w:cs="Arial"/>
          <w:spacing w:val="6"/>
          <w:szCs w:val="24"/>
        </w:rPr>
        <w:t>,</w:t>
      </w:r>
      <w:r w:rsidRPr="006F3839">
        <w:rPr>
          <w:rStyle w:val="normaltextrun"/>
          <w:rFonts w:ascii="Arial" w:hAnsi="Arial" w:cs="Arial"/>
          <w:spacing w:val="6"/>
          <w:szCs w:val="24"/>
          <w:lang w:val="es-ES"/>
        </w:rPr>
        <w:t xml:space="preserve">  </w:t>
      </w:r>
      <w:r w:rsidR="05CE5B2A" w:rsidRPr="006F3839">
        <w:rPr>
          <w:rStyle w:val="normaltextrun"/>
          <w:rFonts w:ascii="Arial" w:hAnsi="Arial" w:cs="Arial"/>
          <w:spacing w:val="6"/>
          <w:szCs w:val="24"/>
          <w:lang w:val="es-ES"/>
        </w:rPr>
        <w:t>a p</w:t>
      </w:r>
      <w:proofErr w:type="spellStart"/>
      <w:r w:rsidRPr="006F3839">
        <w:rPr>
          <w:rFonts w:ascii="Arial" w:hAnsi="Arial" w:cs="Arial"/>
          <w:spacing w:val="6"/>
          <w:szCs w:val="24"/>
        </w:rPr>
        <w:t>roferir</w:t>
      </w:r>
      <w:proofErr w:type="spellEnd"/>
      <w:r w:rsidRPr="006F3839">
        <w:rPr>
          <w:rFonts w:ascii="Arial" w:hAnsi="Arial" w:cs="Arial"/>
          <w:spacing w:val="6"/>
          <w:szCs w:val="24"/>
        </w:rPr>
        <w:t xml:space="preserve"> decisión de instancia y </w:t>
      </w:r>
      <w:r w:rsidR="00492994" w:rsidRPr="006F3839">
        <w:rPr>
          <w:rFonts w:ascii="Arial" w:hAnsi="Arial" w:cs="Arial"/>
          <w:spacing w:val="6"/>
          <w:szCs w:val="24"/>
        </w:rPr>
        <w:t xml:space="preserve">resolver los recursos de apelación que interpusieron las </w:t>
      </w:r>
      <w:proofErr w:type="spellStart"/>
      <w:r w:rsidR="00492994" w:rsidRPr="006F3839">
        <w:rPr>
          <w:rFonts w:ascii="Arial" w:hAnsi="Arial" w:cs="Arial"/>
          <w:spacing w:val="6"/>
          <w:szCs w:val="24"/>
        </w:rPr>
        <w:t>co</w:t>
      </w:r>
      <w:proofErr w:type="spellEnd"/>
      <w:r w:rsidR="00492994" w:rsidRPr="006F3839">
        <w:rPr>
          <w:rFonts w:ascii="Arial" w:hAnsi="Arial" w:cs="Arial"/>
          <w:spacing w:val="6"/>
          <w:szCs w:val="24"/>
        </w:rPr>
        <w:t xml:space="preserve"> demandadas contra la sentencia proferida el 12 de julio de 2019 por el Juzgado Cuarto Laboral del Circuito de Pereira, así como el grado jurisdiccional de Consulta, dentro del proceso ordinario laboral </w:t>
      </w:r>
      <w:r w:rsidRPr="006F3839">
        <w:rPr>
          <w:rFonts w:ascii="Arial" w:hAnsi="Arial" w:cs="Arial"/>
          <w:spacing w:val="6"/>
          <w:szCs w:val="24"/>
        </w:rPr>
        <w:t>de la referencia.</w:t>
      </w:r>
    </w:p>
    <w:p w14:paraId="3BED8320" w14:textId="77777777" w:rsidR="00492994" w:rsidRPr="006F3839" w:rsidRDefault="00492994" w:rsidP="006F3839">
      <w:pPr>
        <w:pStyle w:val="Sinespaciado"/>
        <w:spacing w:line="276" w:lineRule="auto"/>
        <w:rPr>
          <w:rFonts w:ascii="Arial" w:hAnsi="Arial" w:cs="Arial"/>
          <w:spacing w:val="12"/>
          <w:szCs w:val="24"/>
        </w:rPr>
      </w:pPr>
      <w:r w:rsidRPr="006F3839">
        <w:rPr>
          <w:rFonts w:ascii="Arial" w:hAnsi="Arial" w:cs="Arial"/>
          <w:spacing w:val="12"/>
          <w:szCs w:val="24"/>
        </w:rPr>
        <w:t> </w:t>
      </w:r>
    </w:p>
    <w:p w14:paraId="09FB9DE6" w14:textId="73A7D573" w:rsidR="00492994" w:rsidRPr="006F3839" w:rsidRDefault="691E6D7B" w:rsidP="006F3839">
      <w:pPr>
        <w:tabs>
          <w:tab w:val="left" w:pos="-720"/>
        </w:tabs>
        <w:suppressAutoHyphens/>
        <w:spacing w:line="276" w:lineRule="auto"/>
        <w:ind w:firstLine="708"/>
        <w:jc w:val="both"/>
        <w:rPr>
          <w:rFonts w:ascii="Arial" w:eastAsia="Arial Narrow" w:hAnsi="Arial" w:cs="Arial"/>
          <w:spacing w:val="6"/>
          <w:szCs w:val="24"/>
          <w:lang w:val="es-ES"/>
        </w:rPr>
      </w:pPr>
      <w:r w:rsidRPr="006F3839">
        <w:rPr>
          <w:rFonts w:ascii="Arial" w:eastAsia="Arial Narrow" w:hAnsi="Arial" w:cs="Arial"/>
          <w:b/>
          <w:bCs/>
          <w:spacing w:val="6"/>
          <w:szCs w:val="24"/>
          <w:lang w:val="es-ES"/>
        </w:rPr>
        <w:t>Cuestión previa</w:t>
      </w:r>
    </w:p>
    <w:p w14:paraId="4B0E9A8B" w14:textId="61DA3127" w:rsidR="00492994" w:rsidRPr="006F3839" w:rsidRDefault="00492994" w:rsidP="006F3839">
      <w:pPr>
        <w:tabs>
          <w:tab w:val="left" w:pos="-720"/>
        </w:tabs>
        <w:suppressAutoHyphens/>
        <w:spacing w:line="276" w:lineRule="auto"/>
        <w:rPr>
          <w:rFonts w:ascii="Arial" w:hAnsi="Arial" w:cs="Arial"/>
          <w:spacing w:val="6"/>
          <w:szCs w:val="24"/>
          <w:lang w:val="es-ES"/>
        </w:rPr>
      </w:pPr>
    </w:p>
    <w:p w14:paraId="267C02BA" w14:textId="47B31225" w:rsidR="00492994" w:rsidRPr="006F3839" w:rsidRDefault="004B19BF" w:rsidP="006F3839">
      <w:pPr>
        <w:tabs>
          <w:tab w:val="left" w:pos="-720"/>
        </w:tabs>
        <w:suppressAutoHyphens/>
        <w:spacing w:line="276" w:lineRule="auto"/>
        <w:jc w:val="both"/>
        <w:rPr>
          <w:rFonts w:ascii="Arial" w:hAnsi="Arial" w:cs="Arial"/>
          <w:spacing w:val="6"/>
          <w:szCs w:val="24"/>
        </w:rPr>
      </w:pPr>
      <w:r>
        <w:rPr>
          <w:rFonts w:ascii="Arial" w:eastAsia="Arial Narrow" w:hAnsi="Arial" w:cs="Arial"/>
          <w:spacing w:val="6"/>
          <w:szCs w:val="24"/>
          <w:lang w:val="es-ES"/>
        </w:rPr>
        <w:t>(…)</w:t>
      </w:r>
    </w:p>
    <w:p w14:paraId="0523C00D" w14:textId="73E848A9" w:rsidR="3A671D18" w:rsidRPr="006F3839" w:rsidRDefault="3A671D18" w:rsidP="006F3839">
      <w:pPr>
        <w:pStyle w:val="Sinespaciado"/>
        <w:spacing w:line="276" w:lineRule="auto"/>
        <w:rPr>
          <w:rFonts w:ascii="Arial" w:hAnsi="Arial" w:cs="Arial"/>
          <w:szCs w:val="24"/>
        </w:rPr>
      </w:pPr>
    </w:p>
    <w:p w14:paraId="21CC3B91" w14:textId="77777777" w:rsidR="00492994" w:rsidRPr="006F3839" w:rsidRDefault="00492994" w:rsidP="006F3839">
      <w:pPr>
        <w:tabs>
          <w:tab w:val="left" w:pos="-720"/>
        </w:tabs>
        <w:suppressAutoHyphens/>
        <w:spacing w:line="276" w:lineRule="auto"/>
        <w:jc w:val="both"/>
        <w:rPr>
          <w:rFonts w:ascii="Arial" w:hAnsi="Arial" w:cs="Arial"/>
          <w:spacing w:val="12"/>
          <w:szCs w:val="24"/>
        </w:rPr>
      </w:pPr>
      <w:r w:rsidRPr="006F3839">
        <w:rPr>
          <w:rFonts w:ascii="Arial" w:hAnsi="Arial" w:cs="Arial"/>
          <w:spacing w:val="6"/>
          <w:szCs w:val="24"/>
        </w:rPr>
        <w:t>Previamente se revisó, discutió y aprobó el proyecto elaborado</w:t>
      </w:r>
      <w:r w:rsidRPr="006F3839">
        <w:rPr>
          <w:rFonts w:ascii="Arial" w:hAnsi="Arial" w:cs="Arial"/>
          <w:spacing w:val="12"/>
          <w:szCs w:val="24"/>
        </w:rPr>
        <w:t xml:space="preserve"> por la Magistrada ponente el cual alude a la siguiente: </w:t>
      </w:r>
    </w:p>
    <w:p w14:paraId="3315F475" w14:textId="77777777" w:rsidR="00492994" w:rsidRPr="006F3839" w:rsidRDefault="00492994" w:rsidP="006F3839">
      <w:pPr>
        <w:pStyle w:val="Sinespaciado"/>
        <w:spacing w:line="276" w:lineRule="auto"/>
        <w:rPr>
          <w:rFonts w:ascii="Arial" w:hAnsi="Arial" w:cs="Arial"/>
          <w:spacing w:val="12"/>
          <w:szCs w:val="24"/>
        </w:rPr>
      </w:pPr>
    </w:p>
    <w:p w14:paraId="6C4FEA9E" w14:textId="77777777" w:rsidR="00492994" w:rsidRDefault="00492994" w:rsidP="006F3839">
      <w:pPr>
        <w:spacing w:line="276" w:lineRule="auto"/>
        <w:jc w:val="center"/>
        <w:rPr>
          <w:rFonts w:ascii="Arial" w:hAnsi="Arial" w:cs="Arial"/>
          <w:b/>
          <w:bCs/>
          <w:spacing w:val="6"/>
          <w:szCs w:val="24"/>
        </w:rPr>
      </w:pPr>
      <w:r w:rsidRPr="006F3839">
        <w:rPr>
          <w:rFonts w:ascii="Arial" w:hAnsi="Arial" w:cs="Arial"/>
          <w:b/>
          <w:bCs/>
          <w:spacing w:val="6"/>
          <w:szCs w:val="24"/>
        </w:rPr>
        <w:t>SENTENCIA</w:t>
      </w:r>
    </w:p>
    <w:p w14:paraId="39440545" w14:textId="77777777" w:rsidR="006F3839" w:rsidRPr="006F3839" w:rsidRDefault="006F3839" w:rsidP="006F3839">
      <w:pPr>
        <w:spacing w:line="276" w:lineRule="auto"/>
        <w:jc w:val="center"/>
        <w:rPr>
          <w:rFonts w:ascii="Arial" w:hAnsi="Arial" w:cs="Arial"/>
          <w:b/>
          <w:bCs/>
          <w:spacing w:val="6"/>
          <w:szCs w:val="24"/>
        </w:rPr>
      </w:pPr>
    </w:p>
    <w:p w14:paraId="50E89F7E" w14:textId="77777777" w:rsidR="00492994" w:rsidRPr="006F3839" w:rsidRDefault="00492994" w:rsidP="006F3839">
      <w:pPr>
        <w:pStyle w:val="Prrafodelista"/>
        <w:numPr>
          <w:ilvl w:val="0"/>
          <w:numId w:val="1"/>
        </w:numPr>
        <w:spacing w:line="276" w:lineRule="auto"/>
        <w:ind w:left="709" w:hanging="425"/>
        <w:rPr>
          <w:rFonts w:ascii="Arial" w:hAnsi="Arial" w:cs="Arial"/>
          <w:b/>
          <w:bCs/>
          <w:spacing w:val="6"/>
          <w:szCs w:val="24"/>
        </w:rPr>
      </w:pPr>
      <w:r w:rsidRPr="006F3839">
        <w:rPr>
          <w:rFonts w:ascii="Arial" w:hAnsi="Arial" w:cs="Arial"/>
          <w:b/>
          <w:bCs/>
          <w:spacing w:val="6"/>
          <w:szCs w:val="24"/>
        </w:rPr>
        <w:t xml:space="preserve">ANTECEDENTES </w:t>
      </w:r>
    </w:p>
    <w:p w14:paraId="073B746D" w14:textId="77777777" w:rsidR="00492994" w:rsidRPr="006F3839" w:rsidRDefault="00492994" w:rsidP="006F3839">
      <w:pPr>
        <w:pStyle w:val="Sinespaciado"/>
        <w:spacing w:line="276" w:lineRule="auto"/>
        <w:rPr>
          <w:rFonts w:ascii="Arial" w:hAnsi="Arial" w:cs="Arial"/>
          <w:b/>
          <w:bCs/>
          <w:spacing w:val="6"/>
          <w:szCs w:val="24"/>
        </w:rPr>
      </w:pPr>
    </w:p>
    <w:p w14:paraId="0EEE304C" w14:textId="3B2A26A2" w:rsidR="00492994" w:rsidRPr="006F3839" w:rsidRDefault="00492994" w:rsidP="006F3839">
      <w:pPr>
        <w:pStyle w:val="Prrafodelista"/>
        <w:numPr>
          <w:ilvl w:val="1"/>
          <w:numId w:val="2"/>
        </w:numPr>
        <w:spacing w:line="276" w:lineRule="auto"/>
        <w:rPr>
          <w:rFonts w:ascii="Arial" w:hAnsi="Arial" w:cs="Arial"/>
          <w:b/>
          <w:bCs/>
          <w:spacing w:val="6"/>
          <w:szCs w:val="24"/>
        </w:rPr>
      </w:pPr>
      <w:r w:rsidRPr="006F3839">
        <w:rPr>
          <w:rFonts w:ascii="Arial" w:hAnsi="Arial" w:cs="Arial"/>
          <w:b/>
          <w:bCs/>
          <w:spacing w:val="6"/>
          <w:szCs w:val="24"/>
        </w:rPr>
        <w:t>Demanda</w:t>
      </w:r>
    </w:p>
    <w:p w14:paraId="62BF9E03" w14:textId="77777777" w:rsidR="00492994" w:rsidRPr="006F3839" w:rsidRDefault="00492994" w:rsidP="006F3839">
      <w:pPr>
        <w:pStyle w:val="Sinespaciado"/>
        <w:spacing w:line="276" w:lineRule="auto"/>
        <w:rPr>
          <w:rFonts w:ascii="Arial" w:hAnsi="Arial" w:cs="Arial"/>
          <w:spacing w:val="6"/>
          <w:szCs w:val="24"/>
        </w:rPr>
      </w:pPr>
    </w:p>
    <w:p w14:paraId="6C1DC117" w14:textId="5490E501" w:rsidR="00492994" w:rsidRPr="006F3839" w:rsidRDefault="00492994" w:rsidP="006F3839">
      <w:pPr>
        <w:spacing w:line="276" w:lineRule="auto"/>
        <w:ind w:firstLine="708"/>
        <w:jc w:val="both"/>
        <w:rPr>
          <w:rFonts w:ascii="Arial" w:hAnsi="Arial" w:cs="Arial"/>
          <w:spacing w:val="6"/>
          <w:szCs w:val="24"/>
        </w:rPr>
      </w:pPr>
      <w:r w:rsidRPr="006F3839">
        <w:rPr>
          <w:rFonts w:ascii="Arial" w:hAnsi="Arial" w:cs="Arial"/>
          <w:spacing w:val="6"/>
          <w:szCs w:val="24"/>
        </w:rPr>
        <w:t>Pretende la demandante que la justicia ordinaria laboral declare la nulidad o ineficacia del traslado del régimen de prima media con prestación definida al régimen de ahorro individual con solidaridad efectuado el 13 de julio de 1995 a través de la A</w:t>
      </w:r>
      <w:r w:rsidR="003B04FA" w:rsidRPr="006F3839">
        <w:rPr>
          <w:rFonts w:ascii="Arial" w:hAnsi="Arial" w:cs="Arial"/>
          <w:spacing w:val="6"/>
          <w:szCs w:val="24"/>
        </w:rPr>
        <w:t>.</w:t>
      </w:r>
      <w:r w:rsidRPr="006F3839">
        <w:rPr>
          <w:rFonts w:ascii="Arial" w:hAnsi="Arial" w:cs="Arial"/>
          <w:spacing w:val="6"/>
          <w:szCs w:val="24"/>
        </w:rPr>
        <w:t>F</w:t>
      </w:r>
      <w:r w:rsidR="003B04FA" w:rsidRPr="006F3839">
        <w:rPr>
          <w:rFonts w:ascii="Arial" w:hAnsi="Arial" w:cs="Arial"/>
          <w:spacing w:val="6"/>
          <w:szCs w:val="24"/>
        </w:rPr>
        <w:t>.</w:t>
      </w:r>
      <w:r w:rsidRPr="006F3839">
        <w:rPr>
          <w:rFonts w:ascii="Arial" w:hAnsi="Arial" w:cs="Arial"/>
          <w:spacing w:val="6"/>
          <w:szCs w:val="24"/>
        </w:rPr>
        <w:t>P Porvenir S.A., y con base en ello, aspira que se le ordene a esta</w:t>
      </w:r>
      <w:r w:rsidR="00310861" w:rsidRPr="006F3839">
        <w:rPr>
          <w:rFonts w:ascii="Arial" w:hAnsi="Arial" w:cs="Arial"/>
          <w:spacing w:val="6"/>
          <w:szCs w:val="24"/>
        </w:rPr>
        <w:t xml:space="preserve"> entidad privada</w:t>
      </w:r>
      <w:r w:rsidRPr="006F3839">
        <w:rPr>
          <w:rFonts w:ascii="Arial" w:hAnsi="Arial" w:cs="Arial"/>
          <w:spacing w:val="6"/>
          <w:szCs w:val="24"/>
        </w:rPr>
        <w:t xml:space="preserve"> a trasladar con destino a Colpensiones todos los valores recibidos con ocasión de la afiliación</w:t>
      </w:r>
      <w:r w:rsidR="00310861" w:rsidRPr="006F3839">
        <w:rPr>
          <w:rFonts w:ascii="Arial" w:hAnsi="Arial" w:cs="Arial"/>
          <w:spacing w:val="6"/>
          <w:szCs w:val="24"/>
        </w:rPr>
        <w:t xml:space="preserve"> y a pagar la diferencia existente entre los aportes pensionales en uno y otro régimen. A </w:t>
      </w:r>
      <w:r w:rsidRPr="006F3839">
        <w:rPr>
          <w:rFonts w:ascii="Arial" w:hAnsi="Arial" w:cs="Arial"/>
          <w:spacing w:val="6"/>
          <w:szCs w:val="24"/>
        </w:rPr>
        <w:t>Colpensiones a recibir dichos dineros y a mantener vigente la afiliación</w:t>
      </w:r>
      <w:r w:rsidR="00310861" w:rsidRPr="006F3839">
        <w:rPr>
          <w:rFonts w:ascii="Arial" w:hAnsi="Arial" w:cs="Arial"/>
          <w:spacing w:val="6"/>
          <w:szCs w:val="24"/>
        </w:rPr>
        <w:t>. F</w:t>
      </w:r>
      <w:r w:rsidRPr="006F3839">
        <w:rPr>
          <w:rFonts w:ascii="Arial" w:hAnsi="Arial" w:cs="Arial"/>
          <w:spacing w:val="6"/>
          <w:szCs w:val="24"/>
        </w:rPr>
        <w:t>inalmente, que se condene a la parte pasiva a pagar las costas del proceso a su favor.</w:t>
      </w:r>
    </w:p>
    <w:p w14:paraId="4C856DB1" w14:textId="77777777" w:rsidR="00492994" w:rsidRPr="006F3839" w:rsidRDefault="00492994" w:rsidP="006F3839">
      <w:pPr>
        <w:pStyle w:val="Sinespaciado"/>
        <w:spacing w:line="276" w:lineRule="auto"/>
        <w:rPr>
          <w:rFonts w:ascii="Arial" w:hAnsi="Arial" w:cs="Arial"/>
          <w:spacing w:val="6"/>
          <w:szCs w:val="24"/>
        </w:rPr>
      </w:pPr>
      <w:r w:rsidRPr="006F3839">
        <w:rPr>
          <w:rFonts w:ascii="Arial" w:hAnsi="Arial" w:cs="Arial"/>
          <w:spacing w:val="6"/>
          <w:szCs w:val="24"/>
        </w:rPr>
        <w:lastRenderedPageBreak/>
        <w:tab/>
      </w:r>
    </w:p>
    <w:p w14:paraId="35CDED27" w14:textId="08D1AD69" w:rsidR="00310861" w:rsidRPr="006F3839" w:rsidRDefault="00492994" w:rsidP="006F3839">
      <w:pPr>
        <w:spacing w:line="276" w:lineRule="auto"/>
        <w:ind w:firstLine="708"/>
        <w:jc w:val="both"/>
        <w:rPr>
          <w:rFonts w:ascii="Arial" w:hAnsi="Arial" w:cs="Arial"/>
          <w:spacing w:val="6"/>
          <w:szCs w:val="24"/>
        </w:rPr>
      </w:pPr>
      <w:r w:rsidRPr="006F3839">
        <w:rPr>
          <w:rFonts w:ascii="Arial" w:hAnsi="Arial" w:cs="Arial"/>
          <w:spacing w:val="6"/>
          <w:szCs w:val="24"/>
        </w:rPr>
        <w:t>Como sustento de sus pretensiones expuso</w:t>
      </w:r>
      <w:r w:rsidR="003B04FA" w:rsidRPr="006F3839">
        <w:rPr>
          <w:rFonts w:ascii="Arial" w:hAnsi="Arial" w:cs="Arial"/>
          <w:spacing w:val="6"/>
          <w:szCs w:val="24"/>
        </w:rPr>
        <w:t xml:space="preserve">, en síntesis, </w:t>
      </w:r>
      <w:r w:rsidRPr="006F3839">
        <w:rPr>
          <w:rFonts w:ascii="Arial" w:hAnsi="Arial" w:cs="Arial"/>
          <w:spacing w:val="6"/>
          <w:szCs w:val="24"/>
        </w:rPr>
        <w:t xml:space="preserve"> que </w:t>
      </w:r>
      <w:r w:rsidR="00310861" w:rsidRPr="006F3839">
        <w:rPr>
          <w:rFonts w:ascii="Arial" w:hAnsi="Arial" w:cs="Arial"/>
          <w:spacing w:val="6"/>
          <w:szCs w:val="24"/>
        </w:rPr>
        <w:t>nació el 30 de julio de 1965; que el 19 de febrero de 1986 se afilió a</w:t>
      </w:r>
      <w:r w:rsidRPr="006F3839">
        <w:rPr>
          <w:rFonts w:ascii="Arial" w:hAnsi="Arial" w:cs="Arial"/>
          <w:spacing w:val="6"/>
          <w:szCs w:val="24"/>
        </w:rPr>
        <w:t>l Régimen de Prima Media con Prestación Definida administrado en ese entonces por el Instituto de Segu</w:t>
      </w:r>
      <w:r w:rsidR="00310861" w:rsidRPr="006F3839">
        <w:rPr>
          <w:rFonts w:ascii="Arial" w:hAnsi="Arial" w:cs="Arial"/>
          <w:spacing w:val="6"/>
          <w:szCs w:val="24"/>
        </w:rPr>
        <w:t xml:space="preserve">ros Sociales –I.S.S.; que el 13 de julio del 1995 suscribió formulario de afiliación con la AFP Colpatria hoy Porvenir S.A., trasladándose al Régimen de Ahorro Individual con Solidaridad; que para dicha calenda contaba con 78.86 semanas cotizadas; que no recibió por parte del asesor comercial de dicha entidad privada una correcta asesoría e información adecuada, suficiente, clara y comprensible sobre las consecuencias del traslado, que le permitieran tomar una decisión consciente. </w:t>
      </w:r>
      <w:r w:rsidR="003B04FA" w:rsidRPr="006F3839">
        <w:rPr>
          <w:rFonts w:ascii="Arial" w:hAnsi="Arial" w:cs="Arial"/>
          <w:spacing w:val="6"/>
          <w:szCs w:val="24"/>
        </w:rPr>
        <w:t xml:space="preserve">Narró </w:t>
      </w:r>
      <w:r w:rsidR="00310861" w:rsidRPr="006F3839">
        <w:rPr>
          <w:rFonts w:ascii="Arial" w:hAnsi="Arial" w:cs="Arial"/>
          <w:spacing w:val="6"/>
          <w:szCs w:val="24"/>
        </w:rPr>
        <w:t>que el 11 el diciembre de 2017 solicitó a la A</w:t>
      </w:r>
      <w:r w:rsidR="003B04FA" w:rsidRPr="006F3839">
        <w:rPr>
          <w:rFonts w:ascii="Arial" w:hAnsi="Arial" w:cs="Arial"/>
          <w:spacing w:val="6"/>
          <w:szCs w:val="24"/>
        </w:rPr>
        <w:t>.</w:t>
      </w:r>
      <w:r w:rsidR="00310861" w:rsidRPr="006F3839">
        <w:rPr>
          <w:rFonts w:ascii="Arial" w:hAnsi="Arial" w:cs="Arial"/>
          <w:spacing w:val="6"/>
          <w:szCs w:val="24"/>
        </w:rPr>
        <w:t>F</w:t>
      </w:r>
      <w:r w:rsidR="003B04FA" w:rsidRPr="006F3839">
        <w:rPr>
          <w:rFonts w:ascii="Arial" w:hAnsi="Arial" w:cs="Arial"/>
          <w:spacing w:val="6"/>
          <w:szCs w:val="24"/>
        </w:rPr>
        <w:t>.</w:t>
      </w:r>
      <w:r w:rsidR="00310861" w:rsidRPr="006F3839">
        <w:rPr>
          <w:rFonts w:ascii="Arial" w:hAnsi="Arial" w:cs="Arial"/>
          <w:spacing w:val="6"/>
          <w:szCs w:val="24"/>
        </w:rPr>
        <w:t xml:space="preserve">P Porvenir la nulidad de su afiliación, empero que, vía mail le indicaron que no era procedente; que el 12 de enero de 2018 solicitó a Colpensiones el traslado de régimen pensional, sin que a la fecha haya dado respuesta de fondo. </w:t>
      </w:r>
    </w:p>
    <w:p w14:paraId="380FC071" w14:textId="77777777" w:rsidR="00310861" w:rsidRPr="006F3839" w:rsidRDefault="00310861" w:rsidP="006F3839">
      <w:pPr>
        <w:spacing w:line="276" w:lineRule="auto"/>
        <w:ind w:firstLine="708"/>
        <w:jc w:val="both"/>
        <w:rPr>
          <w:rFonts w:ascii="Arial" w:hAnsi="Arial" w:cs="Arial"/>
          <w:spacing w:val="6"/>
          <w:szCs w:val="24"/>
        </w:rPr>
      </w:pPr>
    </w:p>
    <w:p w14:paraId="4F568FA2" w14:textId="77777777" w:rsidR="00492994" w:rsidRPr="006F3839" w:rsidRDefault="00310861" w:rsidP="006F3839">
      <w:pPr>
        <w:spacing w:line="276" w:lineRule="auto"/>
        <w:ind w:firstLine="708"/>
        <w:jc w:val="both"/>
        <w:rPr>
          <w:rFonts w:ascii="Arial" w:hAnsi="Arial" w:cs="Arial"/>
          <w:b/>
          <w:bCs/>
          <w:spacing w:val="6"/>
          <w:szCs w:val="24"/>
        </w:rPr>
      </w:pPr>
      <w:r w:rsidRPr="006F3839">
        <w:rPr>
          <w:rFonts w:ascii="Arial" w:hAnsi="Arial" w:cs="Arial"/>
          <w:b/>
          <w:bCs/>
          <w:spacing w:val="6"/>
          <w:szCs w:val="24"/>
        </w:rPr>
        <w:t xml:space="preserve"> </w:t>
      </w:r>
      <w:r w:rsidR="00492994" w:rsidRPr="006F3839">
        <w:rPr>
          <w:rFonts w:ascii="Arial" w:hAnsi="Arial" w:cs="Arial"/>
          <w:b/>
          <w:bCs/>
          <w:spacing w:val="6"/>
          <w:szCs w:val="24"/>
        </w:rPr>
        <w:t xml:space="preserve">1.2.     Respuesta a la demanda. </w:t>
      </w:r>
    </w:p>
    <w:p w14:paraId="46D118DC" w14:textId="77777777" w:rsidR="00492994" w:rsidRPr="006F3839" w:rsidRDefault="00492994" w:rsidP="006F3839">
      <w:pPr>
        <w:pStyle w:val="Sinespaciado"/>
        <w:spacing w:line="276" w:lineRule="auto"/>
        <w:rPr>
          <w:rFonts w:ascii="Arial" w:hAnsi="Arial" w:cs="Arial"/>
          <w:b/>
          <w:bCs/>
          <w:spacing w:val="6"/>
          <w:szCs w:val="24"/>
        </w:rPr>
      </w:pPr>
    </w:p>
    <w:p w14:paraId="5EB3960C" w14:textId="77777777" w:rsidR="00492994" w:rsidRPr="006F3839" w:rsidRDefault="00492994" w:rsidP="006F3839">
      <w:pPr>
        <w:spacing w:line="276" w:lineRule="auto"/>
        <w:ind w:firstLine="708"/>
        <w:jc w:val="both"/>
        <w:rPr>
          <w:rFonts w:ascii="Arial" w:hAnsi="Arial" w:cs="Arial"/>
          <w:b/>
          <w:bCs/>
          <w:spacing w:val="6"/>
          <w:szCs w:val="24"/>
        </w:rPr>
      </w:pPr>
      <w:r w:rsidRPr="006F3839">
        <w:rPr>
          <w:rFonts w:ascii="Arial" w:hAnsi="Arial" w:cs="Arial"/>
          <w:b/>
          <w:bCs/>
          <w:spacing w:val="6"/>
          <w:szCs w:val="24"/>
        </w:rPr>
        <w:t>1.2.1.   COLPENSIONES.</w:t>
      </w:r>
    </w:p>
    <w:p w14:paraId="2A903A4E" w14:textId="77777777" w:rsidR="00492994" w:rsidRPr="006F3839" w:rsidRDefault="00492994" w:rsidP="006F3839">
      <w:pPr>
        <w:pStyle w:val="Sinespaciado"/>
        <w:spacing w:line="276" w:lineRule="auto"/>
        <w:rPr>
          <w:rFonts w:ascii="Arial" w:hAnsi="Arial" w:cs="Arial"/>
          <w:spacing w:val="6"/>
          <w:szCs w:val="24"/>
        </w:rPr>
      </w:pPr>
    </w:p>
    <w:p w14:paraId="7A19840B" w14:textId="43C9888A" w:rsidR="00492994" w:rsidRPr="006F3839" w:rsidRDefault="00492994" w:rsidP="006F3839">
      <w:pPr>
        <w:spacing w:line="276" w:lineRule="auto"/>
        <w:ind w:firstLine="708"/>
        <w:jc w:val="both"/>
        <w:rPr>
          <w:rFonts w:ascii="Arial" w:hAnsi="Arial" w:cs="Arial"/>
          <w:spacing w:val="6"/>
          <w:szCs w:val="24"/>
        </w:rPr>
      </w:pPr>
      <w:r w:rsidRPr="006F3839">
        <w:rPr>
          <w:rFonts w:ascii="Arial" w:hAnsi="Arial" w:cs="Arial"/>
          <w:spacing w:val="6"/>
          <w:szCs w:val="24"/>
        </w:rPr>
        <w:t>Dentro del término de ley, la Administradora Colombiana de Pensiones contestó a través de su portavoz judicial, aceptando la fecha</w:t>
      </w:r>
      <w:r w:rsidR="004D40A0" w:rsidRPr="006F3839">
        <w:rPr>
          <w:rFonts w:ascii="Arial" w:hAnsi="Arial" w:cs="Arial"/>
          <w:spacing w:val="6"/>
          <w:szCs w:val="24"/>
        </w:rPr>
        <w:t xml:space="preserve"> nacimiento y</w:t>
      </w:r>
      <w:r w:rsidRPr="006F3839">
        <w:rPr>
          <w:rFonts w:ascii="Arial" w:hAnsi="Arial" w:cs="Arial"/>
          <w:spacing w:val="6"/>
          <w:szCs w:val="24"/>
        </w:rPr>
        <w:t xml:space="preserve"> de afiliación al Régimen de Prima Media con Prestación, su traslado al Régimen de Ahorro Individual con Solidaridad y, la respuesta desfavorable a la solicitud de retorno. Respecto a los demás hechos dijo que le constaban. Se opuso a las pretensiones de la Litis, </w:t>
      </w:r>
      <w:r w:rsidR="004D40A0" w:rsidRPr="006F3839">
        <w:rPr>
          <w:rFonts w:ascii="Arial" w:hAnsi="Arial" w:cs="Arial"/>
          <w:spacing w:val="6"/>
          <w:szCs w:val="24"/>
        </w:rPr>
        <w:t xml:space="preserve">arguyendo que la afiliación al </w:t>
      </w:r>
      <w:r w:rsidR="003B04FA" w:rsidRPr="006F3839">
        <w:rPr>
          <w:rFonts w:ascii="Arial" w:hAnsi="Arial" w:cs="Arial"/>
          <w:spacing w:val="6"/>
          <w:szCs w:val="24"/>
        </w:rPr>
        <w:t>Régimen de Ahorro Individual</w:t>
      </w:r>
      <w:r w:rsidR="004D40A0" w:rsidRPr="006F3839">
        <w:rPr>
          <w:rFonts w:ascii="Arial" w:hAnsi="Arial" w:cs="Arial"/>
          <w:spacing w:val="6"/>
          <w:szCs w:val="24"/>
        </w:rPr>
        <w:t xml:space="preserve"> se hizo conforme a derecho. Enlistó </w:t>
      </w:r>
      <w:r w:rsidRPr="006F3839">
        <w:rPr>
          <w:rFonts w:ascii="Arial" w:hAnsi="Arial" w:cs="Arial"/>
          <w:spacing w:val="6"/>
          <w:szCs w:val="24"/>
        </w:rPr>
        <w:t xml:space="preserve">en su defensa como medios exceptivos los que denominó “Inexistencia de la obligación”, </w:t>
      </w:r>
      <w:r w:rsidR="004D40A0" w:rsidRPr="006F3839">
        <w:rPr>
          <w:rFonts w:ascii="Arial" w:hAnsi="Arial" w:cs="Arial"/>
          <w:spacing w:val="6"/>
          <w:szCs w:val="24"/>
        </w:rPr>
        <w:t>“Imposibilidad jurídica para reconocer y pagar derechos por fuera del ordenamiento legal”, “Buena fe</w:t>
      </w:r>
      <w:r w:rsidRPr="006F3839">
        <w:rPr>
          <w:rFonts w:ascii="Arial" w:hAnsi="Arial" w:cs="Arial"/>
          <w:spacing w:val="6"/>
          <w:szCs w:val="24"/>
        </w:rPr>
        <w:t>”</w:t>
      </w:r>
      <w:r w:rsidR="004D40A0" w:rsidRPr="006F3839">
        <w:rPr>
          <w:rFonts w:ascii="Arial" w:hAnsi="Arial" w:cs="Arial"/>
          <w:spacing w:val="6"/>
          <w:szCs w:val="24"/>
        </w:rPr>
        <w:t xml:space="preserve"> e “Imposibilidad jurídica de condena en costas”</w:t>
      </w:r>
      <w:r w:rsidRPr="006F3839">
        <w:rPr>
          <w:rFonts w:ascii="Arial" w:hAnsi="Arial" w:cs="Arial"/>
          <w:spacing w:val="6"/>
          <w:szCs w:val="24"/>
        </w:rPr>
        <w:t>, ver fls.</w:t>
      </w:r>
      <w:r w:rsidR="004D40A0" w:rsidRPr="006F3839">
        <w:rPr>
          <w:rFonts w:ascii="Arial" w:hAnsi="Arial" w:cs="Arial"/>
          <w:spacing w:val="6"/>
          <w:szCs w:val="24"/>
        </w:rPr>
        <w:t>79 a 86</w:t>
      </w:r>
      <w:r w:rsidRPr="006F3839">
        <w:rPr>
          <w:rFonts w:ascii="Arial" w:hAnsi="Arial" w:cs="Arial"/>
          <w:spacing w:val="6"/>
          <w:szCs w:val="24"/>
        </w:rPr>
        <w:t>.</w:t>
      </w:r>
    </w:p>
    <w:p w14:paraId="3FEBA5AA" w14:textId="77777777" w:rsidR="00492994" w:rsidRPr="006F3839" w:rsidRDefault="00492994" w:rsidP="006F3839">
      <w:pPr>
        <w:pStyle w:val="Sinespaciado"/>
        <w:spacing w:line="276" w:lineRule="auto"/>
        <w:rPr>
          <w:rFonts w:ascii="Arial" w:hAnsi="Arial" w:cs="Arial"/>
          <w:spacing w:val="6"/>
          <w:szCs w:val="24"/>
        </w:rPr>
      </w:pPr>
    </w:p>
    <w:p w14:paraId="4E3F3469" w14:textId="77777777" w:rsidR="00492994" w:rsidRPr="006F3839" w:rsidRDefault="00492994" w:rsidP="006F3839">
      <w:pPr>
        <w:spacing w:line="276" w:lineRule="auto"/>
        <w:ind w:firstLine="708"/>
        <w:jc w:val="both"/>
        <w:rPr>
          <w:rFonts w:ascii="Arial" w:hAnsi="Arial" w:cs="Arial"/>
          <w:b/>
          <w:bCs/>
          <w:spacing w:val="6"/>
          <w:szCs w:val="24"/>
        </w:rPr>
      </w:pPr>
      <w:r w:rsidRPr="006F3839">
        <w:rPr>
          <w:rFonts w:ascii="Arial" w:hAnsi="Arial" w:cs="Arial"/>
          <w:b/>
          <w:bCs/>
          <w:spacing w:val="6"/>
          <w:szCs w:val="24"/>
        </w:rPr>
        <w:t xml:space="preserve">1.2.2.  A.F.P. </w:t>
      </w:r>
      <w:r w:rsidR="004D40A0" w:rsidRPr="006F3839">
        <w:rPr>
          <w:rFonts w:ascii="Arial" w:hAnsi="Arial" w:cs="Arial"/>
          <w:b/>
          <w:bCs/>
          <w:spacing w:val="6"/>
          <w:szCs w:val="24"/>
        </w:rPr>
        <w:t xml:space="preserve">PORVENIR </w:t>
      </w:r>
      <w:r w:rsidRPr="006F3839">
        <w:rPr>
          <w:rFonts w:ascii="Arial" w:hAnsi="Arial" w:cs="Arial"/>
          <w:b/>
          <w:bCs/>
          <w:spacing w:val="6"/>
          <w:szCs w:val="24"/>
        </w:rPr>
        <w:t>S.A.</w:t>
      </w:r>
    </w:p>
    <w:p w14:paraId="69CA8F30" w14:textId="77777777" w:rsidR="00492994" w:rsidRPr="006F3839" w:rsidRDefault="00492994" w:rsidP="006F3839">
      <w:pPr>
        <w:pStyle w:val="Sinespaciado"/>
        <w:spacing w:line="276" w:lineRule="auto"/>
        <w:rPr>
          <w:rFonts w:ascii="Arial" w:hAnsi="Arial" w:cs="Arial"/>
          <w:spacing w:val="6"/>
          <w:szCs w:val="24"/>
        </w:rPr>
      </w:pPr>
    </w:p>
    <w:p w14:paraId="1AE4059F" w14:textId="65F3B63F" w:rsidR="00492994" w:rsidRPr="006F3839" w:rsidRDefault="003B04FA" w:rsidP="006F3839">
      <w:pPr>
        <w:spacing w:line="276" w:lineRule="auto"/>
        <w:ind w:firstLine="708"/>
        <w:jc w:val="both"/>
        <w:rPr>
          <w:rFonts w:ascii="Arial" w:hAnsi="Arial" w:cs="Arial"/>
          <w:spacing w:val="6"/>
          <w:szCs w:val="24"/>
        </w:rPr>
      </w:pPr>
      <w:r w:rsidRPr="006F3839">
        <w:rPr>
          <w:rFonts w:ascii="Arial" w:hAnsi="Arial" w:cs="Arial"/>
          <w:spacing w:val="6"/>
          <w:szCs w:val="24"/>
        </w:rPr>
        <w:t>Dicha Administradora de Fondos de Pensiones</w:t>
      </w:r>
      <w:r w:rsidR="00492994" w:rsidRPr="006F3839">
        <w:rPr>
          <w:rFonts w:ascii="Arial" w:hAnsi="Arial" w:cs="Arial"/>
          <w:spacing w:val="6"/>
          <w:szCs w:val="24"/>
        </w:rPr>
        <w:t xml:space="preserve">, aceptó </w:t>
      </w:r>
      <w:r w:rsidR="00E7725D" w:rsidRPr="006F3839">
        <w:rPr>
          <w:rFonts w:ascii="Arial" w:hAnsi="Arial" w:cs="Arial"/>
          <w:spacing w:val="6"/>
          <w:szCs w:val="24"/>
        </w:rPr>
        <w:t xml:space="preserve">igualmente la fecha de natalicio de la demandante, </w:t>
      </w:r>
      <w:r w:rsidR="00492994" w:rsidRPr="006F3839">
        <w:rPr>
          <w:rFonts w:ascii="Arial" w:hAnsi="Arial" w:cs="Arial"/>
          <w:spacing w:val="6"/>
          <w:szCs w:val="24"/>
        </w:rPr>
        <w:t>la afiliación a dicho régimen y, l</w:t>
      </w:r>
      <w:r w:rsidR="00E7725D" w:rsidRPr="006F3839">
        <w:rPr>
          <w:rFonts w:ascii="Arial" w:hAnsi="Arial" w:cs="Arial"/>
          <w:spacing w:val="6"/>
          <w:szCs w:val="24"/>
        </w:rPr>
        <w:t xml:space="preserve">a respuesta desfavorable a la solicitud de traslado. </w:t>
      </w:r>
      <w:r w:rsidR="00492994" w:rsidRPr="006F3839">
        <w:rPr>
          <w:rFonts w:ascii="Arial" w:hAnsi="Arial" w:cs="Arial"/>
          <w:spacing w:val="6"/>
          <w:szCs w:val="24"/>
        </w:rPr>
        <w:t xml:space="preserve">Frente a los demás supuestos expresó que no eran ciertos o que no le constaban. Se opuso a las pretensiones y </w:t>
      </w:r>
      <w:r w:rsidR="00E7725D" w:rsidRPr="006F3839">
        <w:rPr>
          <w:rFonts w:ascii="Arial" w:hAnsi="Arial" w:cs="Arial"/>
          <w:spacing w:val="6"/>
          <w:szCs w:val="24"/>
        </w:rPr>
        <w:t xml:space="preserve">en su defensa </w:t>
      </w:r>
      <w:r w:rsidR="00492994" w:rsidRPr="006F3839">
        <w:rPr>
          <w:rFonts w:ascii="Arial" w:hAnsi="Arial" w:cs="Arial"/>
          <w:spacing w:val="6"/>
          <w:szCs w:val="24"/>
        </w:rPr>
        <w:t>formuló como excepciones</w:t>
      </w:r>
      <w:r w:rsidR="00E7725D" w:rsidRPr="006F3839">
        <w:rPr>
          <w:rFonts w:ascii="Arial" w:hAnsi="Arial" w:cs="Arial"/>
          <w:spacing w:val="6"/>
          <w:szCs w:val="24"/>
        </w:rPr>
        <w:t xml:space="preserve"> de mérito</w:t>
      </w:r>
      <w:r w:rsidR="00492994" w:rsidRPr="006F3839">
        <w:rPr>
          <w:rFonts w:ascii="Arial" w:hAnsi="Arial" w:cs="Arial"/>
          <w:spacing w:val="6"/>
          <w:szCs w:val="24"/>
        </w:rPr>
        <w:t xml:space="preserve"> </w:t>
      </w:r>
      <w:r w:rsidR="00E7725D" w:rsidRPr="006F3839">
        <w:rPr>
          <w:rFonts w:ascii="Arial" w:hAnsi="Arial" w:cs="Arial"/>
          <w:spacing w:val="6"/>
          <w:szCs w:val="24"/>
        </w:rPr>
        <w:t>las de</w:t>
      </w:r>
      <w:r w:rsidR="00492994" w:rsidRPr="006F3839">
        <w:rPr>
          <w:rFonts w:ascii="Arial" w:hAnsi="Arial" w:cs="Arial"/>
          <w:spacing w:val="6"/>
          <w:szCs w:val="24"/>
        </w:rPr>
        <w:t xml:space="preserve"> </w:t>
      </w:r>
      <w:r w:rsidR="00E7725D" w:rsidRPr="006F3839">
        <w:rPr>
          <w:rFonts w:ascii="Arial" w:hAnsi="Arial" w:cs="Arial"/>
          <w:spacing w:val="6"/>
          <w:szCs w:val="24"/>
        </w:rPr>
        <w:t xml:space="preserve">“Prescripción”, “Buena fe”, “Compensación”, “Exoneración de condena en costas”, “”Inexistencia de la obligación”, “Falta de causa para pedir”, “Falta de legitimación en la causa y/o ausencia de personería sustantiva por pasiva”, “Inexistencia de la fuente de la obligación”, “Inexistencia de la causa por inexistencia de la oportunidad”, “Ausencia de perjuicios morales y materiales irrogados” y “Afectación de la estabilidad financiera del sistema en caso de acceder al traslado”, </w:t>
      </w:r>
      <w:r w:rsidR="00492994" w:rsidRPr="006F3839">
        <w:rPr>
          <w:rFonts w:ascii="Arial" w:hAnsi="Arial" w:cs="Arial"/>
          <w:spacing w:val="6"/>
          <w:szCs w:val="24"/>
        </w:rPr>
        <w:t>ver fls.</w:t>
      </w:r>
      <w:r w:rsidR="00E7725D" w:rsidRPr="006F3839">
        <w:rPr>
          <w:rFonts w:ascii="Arial" w:hAnsi="Arial" w:cs="Arial"/>
          <w:spacing w:val="6"/>
          <w:szCs w:val="24"/>
        </w:rPr>
        <w:t xml:space="preserve">104 a 144. </w:t>
      </w:r>
    </w:p>
    <w:p w14:paraId="079A7ECE" w14:textId="25C29AC5" w:rsidR="55356DDC" w:rsidRPr="006F3839" w:rsidRDefault="55356DDC" w:rsidP="006F3839">
      <w:pPr>
        <w:spacing w:line="276" w:lineRule="auto"/>
        <w:ind w:firstLine="708"/>
        <w:jc w:val="both"/>
        <w:rPr>
          <w:rFonts w:ascii="Arial" w:hAnsi="Arial" w:cs="Arial"/>
          <w:spacing w:val="6"/>
          <w:szCs w:val="24"/>
        </w:rPr>
      </w:pPr>
    </w:p>
    <w:p w14:paraId="167F26E8" w14:textId="494D2D3C" w:rsidR="00492994" w:rsidRPr="006F3839" w:rsidRDefault="7CE07410" w:rsidP="006F3839">
      <w:pPr>
        <w:pStyle w:val="Prrafodelista"/>
        <w:numPr>
          <w:ilvl w:val="0"/>
          <w:numId w:val="1"/>
        </w:numPr>
        <w:spacing w:line="276" w:lineRule="auto"/>
        <w:jc w:val="both"/>
        <w:rPr>
          <w:rFonts w:ascii="Arial" w:eastAsiaTheme="minorEastAsia" w:hAnsi="Arial" w:cs="Arial"/>
          <w:b/>
          <w:bCs/>
          <w:spacing w:val="6"/>
          <w:szCs w:val="24"/>
        </w:rPr>
      </w:pPr>
      <w:r w:rsidRPr="006F3839">
        <w:rPr>
          <w:rFonts w:ascii="Arial" w:hAnsi="Arial" w:cs="Arial"/>
          <w:b/>
          <w:bCs/>
          <w:spacing w:val="6"/>
          <w:szCs w:val="24"/>
        </w:rPr>
        <w:t>S</w:t>
      </w:r>
      <w:r w:rsidR="00492994" w:rsidRPr="006F3839">
        <w:rPr>
          <w:rFonts w:ascii="Arial" w:hAnsi="Arial" w:cs="Arial"/>
          <w:b/>
          <w:bCs/>
          <w:spacing w:val="6"/>
          <w:szCs w:val="24"/>
        </w:rPr>
        <w:t>ENTENCIA DE PRIMERA INSTANCIA</w:t>
      </w:r>
    </w:p>
    <w:p w14:paraId="27045EDC" w14:textId="77777777" w:rsidR="00492994" w:rsidRPr="006F3839" w:rsidRDefault="00492994" w:rsidP="006F3839">
      <w:pPr>
        <w:pStyle w:val="Sinespaciado"/>
        <w:spacing w:line="276" w:lineRule="auto"/>
        <w:rPr>
          <w:rFonts w:ascii="Arial" w:hAnsi="Arial" w:cs="Arial"/>
          <w:spacing w:val="6"/>
          <w:szCs w:val="24"/>
        </w:rPr>
      </w:pPr>
    </w:p>
    <w:p w14:paraId="6DB7E9D2" w14:textId="099A2386" w:rsidR="0061157D" w:rsidRPr="006F3839" w:rsidRDefault="00C06E04" w:rsidP="006F3839">
      <w:pPr>
        <w:spacing w:line="276" w:lineRule="auto"/>
        <w:ind w:firstLine="709"/>
        <w:jc w:val="both"/>
        <w:rPr>
          <w:rFonts w:ascii="Arial" w:hAnsi="Arial" w:cs="Arial"/>
          <w:spacing w:val="6"/>
          <w:szCs w:val="24"/>
        </w:rPr>
      </w:pPr>
      <w:r w:rsidRPr="006F3839">
        <w:rPr>
          <w:rFonts w:ascii="Arial" w:hAnsi="Arial" w:cs="Arial"/>
          <w:spacing w:val="6"/>
          <w:szCs w:val="24"/>
        </w:rPr>
        <w:lastRenderedPageBreak/>
        <w:t xml:space="preserve">El </w:t>
      </w:r>
      <w:r w:rsidR="00492994" w:rsidRPr="006F3839">
        <w:rPr>
          <w:rFonts w:ascii="Arial" w:hAnsi="Arial" w:cs="Arial"/>
          <w:spacing w:val="6"/>
          <w:szCs w:val="24"/>
        </w:rPr>
        <w:t xml:space="preserve">juzgado de conocimiento puso fin a la primera instancia mediante sentencia dictada el </w:t>
      </w:r>
      <w:r w:rsidRPr="006F3839">
        <w:rPr>
          <w:rFonts w:ascii="Arial" w:hAnsi="Arial" w:cs="Arial"/>
          <w:spacing w:val="6"/>
          <w:szCs w:val="24"/>
        </w:rPr>
        <w:t>12 de julio d</w:t>
      </w:r>
      <w:r w:rsidR="00492994" w:rsidRPr="006F3839">
        <w:rPr>
          <w:rFonts w:ascii="Arial" w:hAnsi="Arial" w:cs="Arial"/>
          <w:spacing w:val="6"/>
          <w:szCs w:val="24"/>
        </w:rPr>
        <w:t>e 2019, en la que declaró la ineficacia del traslado del régimen de prima media con prestación definida al régimen de ahorro individual con solidaridad efectuado por la demandante el 1</w:t>
      </w:r>
      <w:r w:rsidRPr="006F3839">
        <w:rPr>
          <w:rFonts w:ascii="Arial" w:hAnsi="Arial" w:cs="Arial"/>
          <w:spacing w:val="6"/>
          <w:szCs w:val="24"/>
        </w:rPr>
        <w:t>3</w:t>
      </w:r>
      <w:r w:rsidR="00492994" w:rsidRPr="006F3839">
        <w:rPr>
          <w:rFonts w:ascii="Arial" w:hAnsi="Arial" w:cs="Arial"/>
          <w:spacing w:val="6"/>
          <w:szCs w:val="24"/>
        </w:rPr>
        <w:t xml:space="preserve"> de julio de </w:t>
      </w:r>
      <w:r w:rsidRPr="006F3839">
        <w:rPr>
          <w:rFonts w:ascii="Arial" w:hAnsi="Arial" w:cs="Arial"/>
          <w:spacing w:val="6"/>
          <w:szCs w:val="24"/>
        </w:rPr>
        <w:t>1995</w:t>
      </w:r>
      <w:r w:rsidR="00492994" w:rsidRPr="006F3839">
        <w:rPr>
          <w:rFonts w:ascii="Arial" w:hAnsi="Arial" w:cs="Arial"/>
          <w:spacing w:val="6"/>
          <w:szCs w:val="24"/>
        </w:rPr>
        <w:t xml:space="preserve"> a través de la afiliación inicial a la A.F.P </w:t>
      </w:r>
      <w:r w:rsidRPr="006F3839">
        <w:rPr>
          <w:rFonts w:ascii="Arial" w:hAnsi="Arial" w:cs="Arial"/>
          <w:spacing w:val="6"/>
          <w:szCs w:val="24"/>
        </w:rPr>
        <w:t xml:space="preserve">Colpatria hoy Porvenir S.A. Consecuente con ello, </w:t>
      </w:r>
      <w:r w:rsidR="00D66FDA" w:rsidRPr="006F3839">
        <w:rPr>
          <w:rFonts w:ascii="Arial" w:hAnsi="Arial" w:cs="Arial"/>
          <w:spacing w:val="6"/>
          <w:szCs w:val="24"/>
        </w:rPr>
        <w:t xml:space="preserve">le ordenó a dicho fondo privado </w:t>
      </w:r>
      <w:r w:rsidR="00492994" w:rsidRPr="006F3839">
        <w:rPr>
          <w:rFonts w:ascii="Arial" w:hAnsi="Arial" w:cs="Arial"/>
          <w:spacing w:val="6"/>
          <w:szCs w:val="24"/>
        </w:rPr>
        <w:t xml:space="preserve">que proceda a trasladar todos los </w:t>
      </w:r>
      <w:r w:rsidR="00D66FDA" w:rsidRPr="006F3839">
        <w:rPr>
          <w:rFonts w:ascii="Arial" w:hAnsi="Arial" w:cs="Arial"/>
          <w:spacing w:val="6"/>
          <w:szCs w:val="24"/>
        </w:rPr>
        <w:t>saldos, cotizaciones,</w:t>
      </w:r>
      <w:r w:rsidR="0061157D" w:rsidRPr="006F3839">
        <w:rPr>
          <w:rFonts w:ascii="Arial" w:hAnsi="Arial" w:cs="Arial"/>
          <w:spacing w:val="6"/>
          <w:szCs w:val="24"/>
        </w:rPr>
        <w:t xml:space="preserve"> bonos pensionales, sumas adicionales junto con sus respectivos frutos e intereses con destino a Colpensiones, y a esta entidad a aceptar</w:t>
      </w:r>
      <w:r w:rsidR="004F6D0A" w:rsidRPr="006F3839">
        <w:rPr>
          <w:rFonts w:ascii="Arial" w:hAnsi="Arial" w:cs="Arial"/>
          <w:spacing w:val="6"/>
          <w:szCs w:val="24"/>
        </w:rPr>
        <w:t xml:space="preserve"> sin dilaciones el </w:t>
      </w:r>
      <w:r w:rsidR="0061157D" w:rsidRPr="006F3839">
        <w:rPr>
          <w:rFonts w:ascii="Arial" w:hAnsi="Arial" w:cs="Arial"/>
          <w:spacing w:val="6"/>
          <w:szCs w:val="24"/>
        </w:rPr>
        <w:t>retorno</w:t>
      </w:r>
      <w:r w:rsidR="004F6D0A" w:rsidRPr="006F3839">
        <w:rPr>
          <w:rFonts w:ascii="Arial" w:hAnsi="Arial" w:cs="Arial"/>
          <w:spacing w:val="6"/>
          <w:szCs w:val="24"/>
        </w:rPr>
        <w:t xml:space="preserve"> de la demandante al régimen de prima media con prestación </w:t>
      </w:r>
      <w:r w:rsidR="002E7FF3" w:rsidRPr="006F3839">
        <w:rPr>
          <w:rFonts w:ascii="Arial" w:hAnsi="Arial" w:cs="Arial"/>
          <w:spacing w:val="6"/>
          <w:szCs w:val="24"/>
        </w:rPr>
        <w:t>definida, sin solución de continuidad desde el momento en que se afilió a este régimen. Desestimó las excepciones propuestas y condenó en costas procesales a Porvenir S.A</w:t>
      </w:r>
      <w:r w:rsidR="0061157D" w:rsidRPr="006F3839">
        <w:rPr>
          <w:rFonts w:ascii="Arial" w:hAnsi="Arial" w:cs="Arial"/>
          <w:spacing w:val="6"/>
          <w:szCs w:val="24"/>
        </w:rPr>
        <w:t xml:space="preserve"> en favor de la demandante, en un 100% de las causadas.</w:t>
      </w:r>
    </w:p>
    <w:p w14:paraId="3352C8C1" w14:textId="77777777" w:rsidR="003B04FA" w:rsidRPr="006F3839" w:rsidRDefault="003B04FA" w:rsidP="006F3839">
      <w:pPr>
        <w:spacing w:line="276" w:lineRule="auto"/>
        <w:ind w:firstLine="709"/>
        <w:jc w:val="both"/>
        <w:rPr>
          <w:rFonts w:ascii="Arial" w:hAnsi="Arial" w:cs="Arial"/>
          <w:spacing w:val="6"/>
          <w:szCs w:val="24"/>
        </w:rPr>
      </w:pPr>
    </w:p>
    <w:p w14:paraId="57926A77" w14:textId="77777777" w:rsidR="004E3BDB" w:rsidRPr="006F3839" w:rsidRDefault="00492994" w:rsidP="006F3839">
      <w:pPr>
        <w:spacing w:line="276" w:lineRule="auto"/>
        <w:ind w:firstLine="709"/>
        <w:jc w:val="both"/>
        <w:rPr>
          <w:rFonts w:ascii="Arial" w:hAnsi="Arial" w:cs="Arial"/>
          <w:spacing w:val="6"/>
          <w:szCs w:val="24"/>
        </w:rPr>
      </w:pPr>
      <w:r w:rsidRPr="006F3839">
        <w:rPr>
          <w:rFonts w:ascii="Arial" w:hAnsi="Arial" w:cs="Arial"/>
          <w:spacing w:val="6"/>
          <w:szCs w:val="24"/>
        </w:rPr>
        <w:t xml:space="preserve">Para arribar a esa determinación, </w:t>
      </w:r>
      <w:r w:rsidR="00A04F21" w:rsidRPr="006F3839">
        <w:rPr>
          <w:rFonts w:ascii="Arial" w:hAnsi="Arial" w:cs="Arial"/>
          <w:spacing w:val="6"/>
          <w:szCs w:val="24"/>
        </w:rPr>
        <w:t xml:space="preserve">estimó con base en las pruebas arrimadas al plenario que Porvenir S.A. no acreditó el cumplimiento del deber </w:t>
      </w:r>
      <w:r w:rsidR="005E3E12" w:rsidRPr="006F3839">
        <w:rPr>
          <w:rFonts w:ascii="Arial" w:hAnsi="Arial" w:cs="Arial"/>
          <w:spacing w:val="6"/>
          <w:szCs w:val="24"/>
        </w:rPr>
        <w:t>de b</w:t>
      </w:r>
      <w:r w:rsidR="003B04FA" w:rsidRPr="006F3839">
        <w:rPr>
          <w:rFonts w:ascii="Arial" w:hAnsi="Arial" w:cs="Arial"/>
          <w:spacing w:val="6"/>
          <w:szCs w:val="24"/>
        </w:rPr>
        <w:t>u</w:t>
      </w:r>
      <w:r w:rsidR="005E3E12" w:rsidRPr="006F3839">
        <w:rPr>
          <w:rFonts w:ascii="Arial" w:hAnsi="Arial" w:cs="Arial"/>
          <w:spacing w:val="6"/>
          <w:szCs w:val="24"/>
        </w:rPr>
        <w:t xml:space="preserve">en consejo de </w:t>
      </w:r>
      <w:r w:rsidR="00A04F21" w:rsidRPr="006F3839">
        <w:rPr>
          <w:rFonts w:ascii="Arial" w:hAnsi="Arial" w:cs="Arial"/>
          <w:spacing w:val="6"/>
          <w:szCs w:val="24"/>
        </w:rPr>
        <w:t>información sobre las consecuencias propias del traslado de régimen, conforme lo tiene sentado la jurisprudencia</w:t>
      </w:r>
      <w:r w:rsidR="003B04FA" w:rsidRPr="006F3839">
        <w:rPr>
          <w:rFonts w:ascii="Arial" w:hAnsi="Arial" w:cs="Arial"/>
          <w:spacing w:val="6"/>
          <w:szCs w:val="24"/>
        </w:rPr>
        <w:t xml:space="preserve"> nacional</w:t>
      </w:r>
      <w:r w:rsidR="00A04F21" w:rsidRPr="006F3839">
        <w:rPr>
          <w:rFonts w:ascii="Arial" w:hAnsi="Arial" w:cs="Arial"/>
          <w:spacing w:val="6"/>
          <w:szCs w:val="24"/>
        </w:rPr>
        <w:t xml:space="preserve">, </w:t>
      </w:r>
      <w:r w:rsidR="005E3E12" w:rsidRPr="006F3839">
        <w:rPr>
          <w:rFonts w:ascii="Arial" w:hAnsi="Arial" w:cs="Arial"/>
          <w:spacing w:val="6"/>
          <w:szCs w:val="24"/>
        </w:rPr>
        <w:t>y</w:t>
      </w:r>
      <w:r w:rsidR="003B04FA" w:rsidRPr="006F3839">
        <w:rPr>
          <w:rFonts w:ascii="Arial" w:hAnsi="Arial" w:cs="Arial"/>
          <w:spacing w:val="6"/>
          <w:szCs w:val="24"/>
        </w:rPr>
        <w:t xml:space="preserve"> que,</w:t>
      </w:r>
      <w:r w:rsidR="005E3E12" w:rsidRPr="006F3839">
        <w:rPr>
          <w:rFonts w:ascii="Arial" w:hAnsi="Arial" w:cs="Arial"/>
          <w:spacing w:val="6"/>
          <w:szCs w:val="24"/>
        </w:rPr>
        <w:t xml:space="preserve"> tal como lo indicó la demandante en su interrogatorio de parte, se trató de una información generalizada que incluyó únicamente las ventajas o beneficios de trasladarse.</w:t>
      </w:r>
    </w:p>
    <w:p w14:paraId="739CEEC0" w14:textId="77777777" w:rsidR="004E3BDB" w:rsidRPr="006F3839" w:rsidRDefault="004E3BDB" w:rsidP="006F3839">
      <w:pPr>
        <w:spacing w:line="276" w:lineRule="auto"/>
        <w:ind w:firstLine="709"/>
        <w:jc w:val="both"/>
        <w:rPr>
          <w:rFonts w:ascii="Arial" w:hAnsi="Arial" w:cs="Arial"/>
          <w:spacing w:val="6"/>
          <w:szCs w:val="24"/>
        </w:rPr>
      </w:pPr>
    </w:p>
    <w:p w14:paraId="43921D91" w14:textId="668039ED" w:rsidR="00492994" w:rsidRPr="006F3839" w:rsidRDefault="005E3E12" w:rsidP="006F3839">
      <w:pPr>
        <w:spacing w:line="276" w:lineRule="auto"/>
        <w:ind w:firstLine="709"/>
        <w:jc w:val="both"/>
        <w:rPr>
          <w:rFonts w:ascii="Arial" w:hAnsi="Arial" w:cs="Arial"/>
          <w:spacing w:val="6"/>
          <w:szCs w:val="24"/>
        </w:rPr>
      </w:pPr>
      <w:r w:rsidRPr="006F3839">
        <w:rPr>
          <w:rFonts w:ascii="Arial" w:hAnsi="Arial" w:cs="Arial"/>
          <w:spacing w:val="6"/>
          <w:szCs w:val="24"/>
        </w:rPr>
        <w:t xml:space="preserve"> Por lo anterior, concluyó </w:t>
      </w:r>
      <w:r w:rsidR="004E3BDB" w:rsidRPr="006F3839">
        <w:rPr>
          <w:rFonts w:ascii="Arial" w:hAnsi="Arial" w:cs="Arial"/>
          <w:spacing w:val="6"/>
          <w:szCs w:val="24"/>
        </w:rPr>
        <w:t>que,</w:t>
      </w:r>
      <w:r w:rsidRPr="006F3839">
        <w:rPr>
          <w:rFonts w:ascii="Arial" w:hAnsi="Arial" w:cs="Arial"/>
          <w:spacing w:val="6"/>
          <w:szCs w:val="24"/>
        </w:rPr>
        <w:t xml:space="preserve"> habiendo incumplido la entidad demandada con la carga de la prueba impuesta, la decisión de traslado no estuvo precedida de la comprensión suficiente y menos del real consentimiento informado para aceptarla. </w:t>
      </w:r>
    </w:p>
    <w:p w14:paraId="069491E5" w14:textId="77777777" w:rsidR="004E3BDB" w:rsidRPr="006F3839" w:rsidRDefault="004E3BDB" w:rsidP="006F3839">
      <w:pPr>
        <w:spacing w:line="276" w:lineRule="auto"/>
        <w:ind w:firstLine="709"/>
        <w:jc w:val="both"/>
        <w:rPr>
          <w:rFonts w:ascii="Arial" w:hAnsi="Arial" w:cs="Arial"/>
          <w:spacing w:val="6"/>
          <w:szCs w:val="24"/>
        </w:rPr>
      </w:pPr>
    </w:p>
    <w:p w14:paraId="289C24B2" w14:textId="77777777" w:rsidR="00492994" w:rsidRPr="006F3839" w:rsidRDefault="00492994" w:rsidP="006F3839">
      <w:pPr>
        <w:pStyle w:val="Prrafodelista"/>
        <w:numPr>
          <w:ilvl w:val="0"/>
          <w:numId w:val="1"/>
        </w:numPr>
        <w:spacing w:line="276" w:lineRule="auto"/>
        <w:jc w:val="both"/>
        <w:rPr>
          <w:rFonts w:ascii="Arial" w:hAnsi="Arial" w:cs="Arial"/>
          <w:b/>
          <w:bCs/>
          <w:spacing w:val="6"/>
          <w:szCs w:val="24"/>
        </w:rPr>
      </w:pPr>
      <w:r w:rsidRPr="006F3839">
        <w:rPr>
          <w:rFonts w:ascii="Arial" w:hAnsi="Arial" w:cs="Arial"/>
          <w:b/>
          <w:bCs/>
          <w:spacing w:val="6"/>
          <w:szCs w:val="24"/>
        </w:rPr>
        <w:t>RECURSO DE APELACIÓN</w:t>
      </w:r>
    </w:p>
    <w:p w14:paraId="09388F44" w14:textId="77777777" w:rsidR="00492994" w:rsidRPr="006F3839" w:rsidRDefault="00492994" w:rsidP="006F3839">
      <w:pPr>
        <w:pStyle w:val="Sinespaciado"/>
        <w:spacing w:line="276" w:lineRule="auto"/>
        <w:rPr>
          <w:rFonts w:ascii="Arial" w:hAnsi="Arial" w:cs="Arial"/>
          <w:spacing w:val="6"/>
          <w:szCs w:val="24"/>
        </w:rPr>
      </w:pPr>
    </w:p>
    <w:p w14:paraId="59DCEBEF" w14:textId="77777777" w:rsidR="004720D3" w:rsidRPr="006F3839" w:rsidRDefault="004720D3" w:rsidP="006F3839">
      <w:pPr>
        <w:spacing w:line="276" w:lineRule="auto"/>
        <w:ind w:firstLine="567"/>
        <w:jc w:val="both"/>
        <w:rPr>
          <w:rFonts w:ascii="Arial" w:hAnsi="Arial" w:cs="Arial"/>
          <w:spacing w:val="6"/>
          <w:szCs w:val="24"/>
        </w:rPr>
      </w:pPr>
      <w:r w:rsidRPr="006F3839">
        <w:rPr>
          <w:rFonts w:ascii="Arial" w:hAnsi="Arial" w:cs="Arial"/>
          <w:spacing w:val="6"/>
          <w:szCs w:val="24"/>
        </w:rPr>
        <w:t xml:space="preserve">Inconformes con la decisión, las entidades que conforman la parte pasiva interpusieron recurso de apelación en los siguientes términos: </w:t>
      </w:r>
    </w:p>
    <w:p w14:paraId="0B540D90" w14:textId="77777777" w:rsidR="004720D3" w:rsidRPr="006F3839" w:rsidRDefault="004720D3" w:rsidP="006F3839">
      <w:pPr>
        <w:spacing w:line="276" w:lineRule="auto"/>
        <w:ind w:firstLine="567"/>
        <w:jc w:val="both"/>
        <w:rPr>
          <w:rFonts w:ascii="Arial" w:hAnsi="Arial" w:cs="Arial"/>
          <w:spacing w:val="6"/>
          <w:szCs w:val="24"/>
        </w:rPr>
      </w:pPr>
    </w:p>
    <w:p w14:paraId="329909B5" w14:textId="5F4B87F0" w:rsidR="004720D3" w:rsidRPr="006F3839" w:rsidRDefault="004720D3" w:rsidP="006F3839">
      <w:pPr>
        <w:spacing w:line="276" w:lineRule="auto"/>
        <w:ind w:firstLine="567"/>
        <w:jc w:val="both"/>
        <w:rPr>
          <w:rFonts w:ascii="Arial" w:hAnsi="Arial" w:cs="Arial"/>
          <w:spacing w:val="6"/>
          <w:szCs w:val="24"/>
        </w:rPr>
      </w:pPr>
      <w:r w:rsidRPr="006F3839">
        <w:rPr>
          <w:rFonts w:ascii="Arial" w:hAnsi="Arial" w:cs="Arial"/>
          <w:b/>
          <w:bCs/>
          <w:spacing w:val="6"/>
          <w:szCs w:val="24"/>
        </w:rPr>
        <w:t xml:space="preserve">La Administradora Colombiana de Pensiones </w:t>
      </w:r>
      <w:r w:rsidR="003B04FA" w:rsidRPr="006F3839">
        <w:rPr>
          <w:rFonts w:ascii="Arial" w:hAnsi="Arial" w:cs="Arial"/>
          <w:b/>
          <w:bCs/>
          <w:spacing w:val="6"/>
          <w:szCs w:val="24"/>
        </w:rPr>
        <w:t>-</w:t>
      </w:r>
      <w:r w:rsidRPr="006F3839">
        <w:rPr>
          <w:rFonts w:ascii="Arial" w:hAnsi="Arial" w:cs="Arial"/>
          <w:b/>
          <w:bCs/>
          <w:spacing w:val="6"/>
          <w:szCs w:val="24"/>
        </w:rPr>
        <w:t>Colpensiones</w:t>
      </w:r>
      <w:r w:rsidR="003B04FA" w:rsidRPr="006F3839">
        <w:rPr>
          <w:rFonts w:ascii="Arial" w:hAnsi="Arial" w:cs="Arial"/>
          <w:b/>
          <w:bCs/>
          <w:spacing w:val="6"/>
          <w:szCs w:val="24"/>
        </w:rPr>
        <w:t>-</w:t>
      </w:r>
      <w:r w:rsidRPr="006F3839">
        <w:rPr>
          <w:rFonts w:ascii="Arial" w:hAnsi="Arial" w:cs="Arial"/>
          <w:spacing w:val="6"/>
          <w:szCs w:val="24"/>
        </w:rPr>
        <w:t xml:space="preserve"> indicó que la carga de la prueba en este tipo de asuntos corresponde a la demandante, </w:t>
      </w:r>
      <w:r w:rsidR="004E3BDB" w:rsidRPr="006F3839">
        <w:rPr>
          <w:rFonts w:ascii="Arial" w:hAnsi="Arial" w:cs="Arial"/>
          <w:spacing w:val="6"/>
          <w:szCs w:val="24"/>
        </w:rPr>
        <w:t>quien,</w:t>
      </w:r>
      <w:r w:rsidRPr="006F3839">
        <w:rPr>
          <w:rFonts w:ascii="Arial" w:hAnsi="Arial" w:cs="Arial"/>
          <w:spacing w:val="6"/>
          <w:szCs w:val="24"/>
        </w:rPr>
        <w:t xml:space="preserve"> a su juicio, dentro de la Litis no probó que fue llevada o inducida a error al momento de efectuar el traslado de régimen pensional, por lo que ha de entenderse que este se llevó a cabo conforme a derecho y de buena fe, sin que la entidad esté obligada a soportar este tipo de decisiones judiciales. </w:t>
      </w:r>
      <w:r w:rsidR="00492994" w:rsidRPr="006F3839">
        <w:rPr>
          <w:rFonts w:ascii="Arial" w:hAnsi="Arial" w:cs="Arial"/>
          <w:spacing w:val="6"/>
          <w:szCs w:val="24"/>
        </w:rPr>
        <w:t xml:space="preserve"> </w:t>
      </w:r>
    </w:p>
    <w:p w14:paraId="341627AA" w14:textId="77777777" w:rsidR="004720D3" w:rsidRPr="006F3839" w:rsidRDefault="004720D3" w:rsidP="006F3839">
      <w:pPr>
        <w:spacing w:line="276" w:lineRule="auto"/>
        <w:ind w:firstLine="567"/>
        <w:jc w:val="both"/>
        <w:rPr>
          <w:rFonts w:ascii="Arial" w:hAnsi="Arial" w:cs="Arial"/>
          <w:spacing w:val="6"/>
          <w:szCs w:val="24"/>
        </w:rPr>
      </w:pPr>
    </w:p>
    <w:p w14:paraId="50FC8677" w14:textId="6B6F2AFB" w:rsidR="00492994" w:rsidRPr="006F3839" w:rsidRDefault="003B04FA" w:rsidP="006F3839">
      <w:pPr>
        <w:spacing w:line="276" w:lineRule="auto"/>
        <w:ind w:firstLine="567"/>
        <w:jc w:val="both"/>
        <w:rPr>
          <w:rFonts w:ascii="Arial" w:hAnsi="Arial" w:cs="Arial"/>
          <w:spacing w:val="6"/>
          <w:szCs w:val="24"/>
        </w:rPr>
      </w:pPr>
      <w:r w:rsidRPr="006F3839">
        <w:rPr>
          <w:rFonts w:ascii="Arial" w:hAnsi="Arial" w:cs="Arial"/>
          <w:b/>
          <w:bCs/>
          <w:spacing w:val="6"/>
          <w:szCs w:val="24"/>
        </w:rPr>
        <w:t>L</w:t>
      </w:r>
      <w:r w:rsidR="004720D3" w:rsidRPr="006F3839">
        <w:rPr>
          <w:rFonts w:ascii="Arial" w:hAnsi="Arial" w:cs="Arial"/>
          <w:b/>
          <w:bCs/>
          <w:spacing w:val="6"/>
          <w:szCs w:val="24"/>
        </w:rPr>
        <w:t>a A</w:t>
      </w:r>
      <w:r w:rsidRPr="006F3839">
        <w:rPr>
          <w:rFonts w:ascii="Arial" w:hAnsi="Arial" w:cs="Arial"/>
          <w:b/>
          <w:bCs/>
          <w:spacing w:val="6"/>
          <w:szCs w:val="24"/>
        </w:rPr>
        <w:t>.</w:t>
      </w:r>
      <w:r w:rsidR="004720D3" w:rsidRPr="006F3839">
        <w:rPr>
          <w:rFonts w:ascii="Arial" w:hAnsi="Arial" w:cs="Arial"/>
          <w:b/>
          <w:bCs/>
          <w:spacing w:val="6"/>
          <w:szCs w:val="24"/>
        </w:rPr>
        <w:t>F</w:t>
      </w:r>
      <w:r w:rsidRPr="006F3839">
        <w:rPr>
          <w:rFonts w:ascii="Arial" w:hAnsi="Arial" w:cs="Arial"/>
          <w:b/>
          <w:bCs/>
          <w:spacing w:val="6"/>
          <w:szCs w:val="24"/>
        </w:rPr>
        <w:t>.</w:t>
      </w:r>
      <w:r w:rsidR="004720D3" w:rsidRPr="006F3839">
        <w:rPr>
          <w:rFonts w:ascii="Arial" w:hAnsi="Arial" w:cs="Arial"/>
          <w:b/>
          <w:bCs/>
          <w:spacing w:val="6"/>
          <w:szCs w:val="24"/>
        </w:rPr>
        <w:t>P</w:t>
      </w:r>
      <w:r w:rsidRPr="006F3839">
        <w:rPr>
          <w:rFonts w:ascii="Arial" w:hAnsi="Arial" w:cs="Arial"/>
          <w:b/>
          <w:bCs/>
          <w:spacing w:val="6"/>
          <w:szCs w:val="24"/>
        </w:rPr>
        <w:t>.</w:t>
      </w:r>
      <w:r w:rsidR="004720D3" w:rsidRPr="006F3839">
        <w:rPr>
          <w:rFonts w:ascii="Arial" w:hAnsi="Arial" w:cs="Arial"/>
          <w:b/>
          <w:bCs/>
          <w:spacing w:val="6"/>
          <w:szCs w:val="24"/>
        </w:rPr>
        <w:t xml:space="preserve"> Porvenir S.A</w:t>
      </w:r>
      <w:r w:rsidR="004720D3" w:rsidRPr="006F3839">
        <w:rPr>
          <w:rFonts w:ascii="Arial" w:hAnsi="Arial" w:cs="Arial"/>
          <w:spacing w:val="6"/>
          <w:szCs w:val="24"/>
        </w:rPr>
        <w:t>.</w:t>
      </w:r>
      <w:r w:rsidRPr="006F3839">
        <w:rPr>
          <w:rFonts w:ascii="Arial" w:hAnsi="Arial" w:cs="Arial"/>
          <w:spacing w:val="6"/>
          <w:szCs w:val="24"/>
        </w:rPr>
        <w:t>,</w:t>
      </w:r>
      <w:r w:rsidR="00492994" w:rsidRPr="006F3839">
        <w:rPr>
          <w:rFonts w:ascii="Arial" w:hAnsi="Arial" w:cs="Arial"/>
          <w:spacing w:val="6"/>
          <w:szCs w:val="24"/>
        </w:rPr>
        <w:t xml:space="preserve"> </w:t>
      </w:r>
      <w:r w:rsidR="004720D3" w:rsidRPr="006F3839">
        <w:rPr>
          <w:rFonts w:ascii="Arial" w:hAnsi="Arial" w:cs="Arial"/>
          <w:spacing w:val="6"/>
          <w:szCs w:val="24"/>
        </w:rPr>
        <w:t>indicó que</w:t>
      </w:r>
      <w:r w:rsidR="007A18E1" w:rsidRPr="006F3839">
        <w:rPr>
          <w:rFonts w:ascii="Arial" w:hAnsi="Arial" w:cs="Arial"/>
          <w:spacing w:val="6"/>
          <w:szCs w:val="24"/>
        </w:rPr>
        <w:t xml:space="preserve"> de conformidad con el material probatorio recopilado en el proceso, se acreditó que la vinculación de la demandante a la entidad fue valida, licita y ajustada a derecho, </w:t>
      </w:r>
      <w:r w:rsidR="00CB345B" w:rsidRPr="006F3839">
        <w:rPr>
          <w:rFonts w:ascii="Arial" w:hAnsi="Arial" w:cs="Arial"/>
          <w:spacing w:val="6"/>
          <w:szCs w:val="24"/>
        </w:rPr>
        <w:t xml:space="preserve">puesto que se le brindó la información suficiente, detallada y completa para el traslado de régimen siendo la demandante totalmente consciente de las consecuencias que acarreaba de dicho acto jurídico, siendo prueba de ello, el permanecer afiliada al </w:t>
      </w:r>
      <w:r w:rsidRPr="006F3839">
        <w:rPr>
          <w:rFonts w:ascii="Arial" w:hAnsi="Arial" w:cs="Arial"/>
          <w:spacing w:val="6"/>
          <w:szCs w:val="24"/>
        </w:rPr>
        <w:t>Régimen de Ahorro Individual</w:t>
      </w:r>
      <w:r w:rsidR="00CB345B" w:rsidRPr="006F3839">
        <w:rPr>
          <w:rFonts w:ascii="Arial" w:hAnsi="Arial" w:cs="Arial"/>
          <w:spacing w:val="6"/>
          <w:szCs w:val="24"/>
        </w:rPr>
        <w:t xml:space="preserve"> durante 24 años, nunca haber solicitado información adicional o hacer uso del derecho de retracto. Aduce que no existió inducción a error y que por ende la selección del régimen pensional fue </w:t>
      </w:r>
      <w:r w:rsidR="004E3BDB" w:rsidRPr="006F3839">
        <w:rPr>
          <w:rFonts w:ascii="Arial" w:hAnsi="Arial" w:cs="Arial"/>
          <w:spacing w:val="6"/>
          <w:szCs w:val="24"/>
        </w:rPr>
        <w:t>realizada</w:t>
      </w:r>
      <w:r w:rsidR="00CB345B" w:rsidRPr="006F3839">
        <w:rPr>
          <w:rFonts w:ascii="Arial" w:hAnsi="Arial" w:cs="Arial"/>
          <w:spacing w:val="6"/>
          <w:szCs w:val="24"/>
        </w:rPr>
        <w:t xml:space="preserve"> de forma libre y voluntaria, siendo tardía o extemporánea cualquier </w:t>
      </w:r>
      <w:r w:rsidR="00CB345B" w:rsidRPr="006F3839">
        <w:rPr>
          <w:rFonts w:ascii="Arial" w:hAnsi="Arial" w:cs="Arial"/>
          <w:spacing w:val="6"/>
          <w:szCs w:val="24"/>
        </w:rPr>
        <w:lastRenderedPageBreak/>
        <w:t xml:space="preserve">acción que </w:t>
      </w:r>
      <w:r w:rsidR="004E3BDB" w:rsidRPr="006F3839">
        <w:rPr>
          <w:rFonts w:ascii="Arial" w:hAnsi="Arial" w:cs="Arial"/>
          <w:spacing w:val="6"/>
          <w:szCs w:val="24"/>
        </w:rPr>
        <w:t>pretende retrotraer</w:t>
      </w:r>
      <w:r w:rsidR="00CB345B" w:rsidRPr="006F3839">
        <w:rPr>
          <w:rFonts w:ascii="Arial" w:hAnsi="Arial" w:cs="Arial"/>
          <w:spacing w:val="6"/>
          <w:szCs w:val="24"/>
        </w:rPr>
        <w:t xml:space="preserve"> la oportunidad, máxime cuando la demandante no es beneficiaria del régimen de transición ni cumple con los requisitos legales para retornar. </w:t>
      </w:r>
      <w:r w:rsidR="004720D3" w:rsidRPr="006F3839">
        <w:rPr>
          <w:rFonts w:ascii="Arial" w:hAnsi="Arial" w:cs="Arial"/>
          <w:spacing w:val="6"/>
          <w:szCs w:val="24"/>
        </w:rPr>
        <w:t xml:space="preserve"> </w:t>
      </w:r>
    </w:p>
    <w:p w14:paraId="02BF57AE" w14:textId="77777777" w:rsidR="00CB345B" w:rsidRPr="006F3839" w:rsidRDefault="00CB345B" w:rsidP="006F3839">
      <w:pPr>
        <w:spacing w:line="276" w:lineRule="auto"/>
        <w:ind w:firstLine="567"/>
        <w:jc w:val="both"/>
        <w:rPr>
          <w:rFonts w:ascii="Arial" w:hAnsi="Arial" w:cs="Arial"/>
          <w:spacing w:val="6"/>
          <w:szCs w:val="24"/>
        </w:rPr>
      </w:pPr>
    </w:p>
    <w:p w14:paraId="01935687" w14:textId="77777777" w:rsidR="00492994" w:rsidRPr="006F3839" w:rsidRDefault="00492994" w:rsidP="006F3839">
      <w:pPr>
        <w:autoSpaceDE w:val="0"/>
        <w:autoSpaceDN w:val="0"/>
        <w:adjustRightInd w:val="0"/>
        <w:spacing w:line="276" w:lineRule="auto"/>
        <w:ind w:firstLine="360"/>
        <w:jc w:val="both"/>
        <w:rPr>
          <w:rFonts w:ascii="Arial" w:hAnsi="Arial" w:cs="Arial"/>
          <w:spacing w:val="6"/>
          <w:szCs w:val="24"/>
        </w:rPr>
      </w:pPr>
      <w:r w:rsidRPr="006F3839">
        <w:rPr>
          <w:rFonts w:ascii="Arial" w:hAnsi="Arial" w:cs="Arial"/>
          <w:spacing w:val="6"/>
          <w:szCs w:val="24"/>
        </w:rPr>
        <w:t xml:space="preserve">De otro lado, en cumplimiento del precepto contenido en el artículo 69 del Código Procesal del Trabajo y de la Seguridad Social, teniendo en cuenta que la sentencia fue adversa al ente territorial accionado, se dispone desatar el grado jurisdiccional de Consulta. </w:t>
      </w:r>
    </w:p>
    <w:p w14:paraId="0C6B21E2" w14:textId="77777777" w:rsidR="00492994" w:rsidRPr="006F3839" w:rsidRDefault="00492994" w:rsidP="006F3839">
      <w:pPr>
        <w:pStyle w:val="Sinespaciado"/>
        <w:spacing w:line="276" w:lineRule="auto"/>
        <w:rPr>
          <w:rFonts w:ascii="Arial" w:hAnsi="Arial" w:cs="Arial"/>
          <w:b/>
          <w:bCs/>
          <w:spacing w:val="6"/>
          <w:szCs w:val="24"/>
        </w:rPr>
      </w:pPr>
    </w:p>
    <w:p w14:paraId="04FFA55B" w14:textId="77777777" w:rsidR="00492994" w:rsidRPr="006F3839" w:rsidRDefault="00492994" w:rsidP="006F3839">
      <w:pPr>
        <w:pStyle w:val="Prrafodelista"/>
        <w:numPr>
          <w:ilvl w:val="0"/>
          <w:numId w:val="1"/>
        </w:numPr>
        <w:autoSpaceDE w:val="0"/>
        <w:autoSpaceDN w:val="0"/>
        <w:adjustRightInd w:val="0"/>
        <w:spacing w:line="276" w:lineRule="auto"/>
        <w:jc w:val="both"/>
        <w:rPr>
          <w:rFonts w:ascii="Arial" w:hAnsi="Arial" w:cs="Arial"/>
          <w:b/>
          <w:bCs/>
          <w:spacing w:val="6"/>
          <w:szCs w:val="24"/>
        </w:rPr>
      </w:pPr>
      <w:r w:rsidRPr="006F3839">
        <w:rPr>
          <w:rFonts w:ascii="Arial" w:hAnsi="Arial" w:cs="Arial"/>
          <w:b/>
          <w:bCs/>
          <w:spacing w:val="6"/>
          <w:szCs w:val="24"/>
        </w:rPr>
        <w:t xml:space="preserve">ALEGATOS DE INSTANCIA </w:t>
      </w:r>
    </w:p>
    <w:p w14:paraId="4868DEA4" w14:textId="33818517" w:rsidR="5CD4DCE7" w:rsidRPr="006F3839" w:rsidRDefault="5CD4DCE7" w:rsidP="006F3839">
      <w:pPr>
        <w:spacing w:line="276" w:lineRule="auto"/>
        <w:ind w:left="284"/>
        <w:jc w:val="both"/>
        <w:rPr>
          <w:rFonts w:ascii="Arial" w:hAnsi="Arial" w:cs="Arial"/>
          <w:b/>
          <w:bCs/>
          <w:spacing w:val="6"/>
          <w:szCs w:val="24"/>
        </w:rPr>
      </w:pPr>
    </w:p>
    <w:p w14:paraId="4A94F4BB" w14:textId="00BBC667" w:rsidR="7C0D3258" w:rsidRPr="006F3839" w:rsidRDefault="7C0D3258" w:rsidP="006F3839">
      <w:pPr>
        <w:spacing w:line="276" w:lineRule="auto"/>
        <w:jc w:val="both"/>
        <w:rPr>
          <w:rFonts w:ascii="Arial" w:eastAsia="Arial Narrow" w:hAnsi="Arial" w:cs="Arial"/>
          <w:spacing w:val="6"/>
          <w:szCs w:val="24"/>
          <w:lang w:val="es-ES"/>
        </w:rPr>
      </w:pPr>
      <w:r w:rsidRPr="006F3839">
        <w:rPr>
          <w:rFonts w:ascii="Arial" w:eastAsia="Arial Narrow" w:hAnsi="Arial" w:cs="Arial"/>
          <w:spacing w:val="6"/>
          <w:szCs w:val="24"/>
          <w:lang w:val="es-ES"/>
        </w:rPr>
        <w:t>Dentro del término otorgado a las partes para descorrer el traslado, tanto el demandante como Colpensiones allegaron por escrito sus alegatos de conclusión, los cuales en síntesis refleja los puntos debatidos al interior de la Sala, por lo que se procede a decidir de fondo previa las siguientes:  </w:t>
      </w:r>
    </w:p>
    <w:p w14:paraId="1EB33857" w14:textId="77777777" w:rsidR="00492994" w:rsidRPr="006F3839" w:rsidRDefault="00492994" w:rsidP="006F3839">
      <w:pPr>
        <w:spacing w:line="276" w:lineRule="auto"/>
        <w:jc w:val="both"/>
        <w:rPr>
          <w:rFonts w:ascii="Arial" w:hAnsi="Arial" w:cs="Arial"/>
          <w:spacing w:val="6"/>
          <w:szCs w:val="24"/>
        </w:rPr>
      </w:pPr>
    </w:p>
    <w:p w14:paraId="5C85317A" w14:textId="77777777" w:rsidR="00492994" w:rsidRPr="006F3839" w:rsidRDefault="00492994" w:rsidP="006F3839">
      <w:pPr>
        <w:pStyle w:val="Prrafodelista"/>
        <w:numPr>
          <w:ilvl w:val="0"/>
          <w:numId w:val="1"/>
        </w:numPr>
        <w:spacing w:line="276" w:lineRule="auto"/>
        <w:jc w:val="both"/>
        <w:rPr>
          <w:rFonts w:ascii="Arial" w:hAnsi="Arial" w:cs="Arial"/>
          <w:b/>
          <w:bCs/>
          <w:spacing w:val="6"/>
          <w:szCs w:val="24"/>
        </w:rPr>
      </w:pPr>
      <w:r w:rsidRPr="006F3839">
        <w:rPr>
          <w:rFonts w:ascii="Arial" w:hAnsi="Arial" w:cs="Arial"/>
          <w:b/>
          <w:bCs/>
          <w:spacing w:val="6"/>
          <w:szCs w:val="24"/>
        </w:rPr>
        <w:t xml:space="preserve">CONSIDERACIONES </w:t>
      </w:r>
    </w:p>
    <w:p w14:paraId="7CC80748" w14:textId="77777777" w:rsidR="00492994" w:rsidRPr="006F3839" w:rsidRDefault="00492994" w:rsidP="006F3839">
      <w:pPr>
        <w:pStyle w:val="Sinespaciado"/>
        <w:spacing w:line="276" w:lineRule="auto"/>
        <w:rPr>
          <w:rFonts w:ascii="Arial" w:hAnsi="Arial" w:cs="Arial"/>
          <w:spacing w:val="6"/>
          <w:szCs w:val="24"/>
        </w:rPr>
      </w:pPr>
    </w:p>
    <w:p w14:paraId="20CC5FED" w14:textId="77777777" w:rsidR="00492994" w:rsidRPr="006F3839" w:rsidRDefault="00492994" w:rsidP="006F3839">
      <w:pPr>
        <w:pStyle w:val="Prrafodelista"/>
        <w:spacing w:line="276" w:lineRule="auto"/>
        <w:ind w:left="709"/>
        <w:jc w:val="both"/>
        <w:rPr>
          <w:rFonts w:ascii="Arial" w:hAnsi="Arial" w:cs="Arial"/>
          <w:b/>
          <w:bCs/>
          <w:spacing w:val="6"/>
          <w:szCs w:val="24"/>
        </w:rPr>
      </w:pPr>
      <w:r w:rsidRPr="006F3839">
        <w:rPr>
          <w:rFonts w:ascii="Arial" w:hAnsi="Arial" w:cs="Arial"/>
          <w:b/>
          <w:bCs/>
          <w:spacing w:val="6"/>
          <w:szCs w:val="24"/>
        </w:rPr>
        <w:t xml:space="preserve">5.1. Presupuestos Procesales. </w:t>
      </w:r>
    </w:p>
    <w:p w14:paraId="5B88C9DB" w14:textId="77777777" w:rsidR="00492994" w:rsidRPr="006F3839" w:rsidRDefault="00492994" w:rsidP="006F3839">
      <w:pPr>
        <w:pStyle w:val="Sinespaciado"/>
        <w:spacing w:line="276" w:lineRule="auto"/>
        <w:rPr>
          <w:rFonts w:ascii="Arial" w:hAnsi="Arial" w:cs="Arial"/>
          <w:spacing w:val="6"/>
          <w:szCs w:val="24"/>
        </w:rPr>
      </w:pPr>
    </w:p>
    <w:p w14:paraId="29B4D0B2" w14:textId="77777777" w:rsidR="00492994" w:rsidRPr="006F3839" w:rsidRDefault="00492994" w:rsidP="006F3839">
      <w:pPr>
        <w:spacing w:line="276" w:lineRule="auto"/>
        <w:ind w:firstLine="708"/>
        <w:jc w:val="both"/>
        <w:rPr>
          <w:rFonts w:ascii="Arial" w:hAnsi="Arial" w:cs="Arial"/>
          <w:spacing w:val="6"/>
          <w:szCs w:val="24"/>
        </w:rPr>
      </w:pPr>
      <w:r w:rsidRPr="006F3839">
        <w:rPr>
          <w:rFonts w:ascii="Arial" w:hAnsi="Arial" w:cs="Arial"/>
          <w:spacing w:val="6"/>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18B6F2FD" w14:textId="77777777" w:rsidR="00492994" w:rsidRPr="006F3839" w:rsidRDefault="00492994" w:rsidP="006F3839">
      <w:pPr>
        <w:spacing w:line="276" w:lineRule="auto"/>
        <w:ind w:firstLine="708"/>
        <w:jc w:val="both"/>
        <w:rPr>
          <w:rFonts w:ascii="Arial" w:hAnsi="Arial" w:cs="Arial"/>
          <w:b/>
          <w:bCs/>
          <w:spacing w:val="6"/>
          <w:szCs w:val="24"/>
        </w:rPr>
      </w:pPr>
    </w:p>
    <w:p w14:paraId="3D94A1D6" w14:textId="77777777" w:rsidR="00492994" w:rsidRPr="006F3839" w:rsidRDefault="00492994" w:rsidP="006F3839">
      <w:pPr>
        <w:spacing w:line="276" w:lineRule="auto"/>
        <w:ind w:firstLine="708"/>
        <w:jc w:val="both"/>
        <w:rPr>
          <w:rFonts w:ascii="Arial" w:hAnsi="Arial" w:cs="Arial"/>
          <w:b/>
          <w:bCs/>
          <w:spacing w:val="6"/>
          <w:szCs w:val="24"/>
        </w:rPr>
      </w:pPr>
      <w:r w:rsidRPr="006F3839">
        <w:rPr>
          <w:rFonts w:ascii="Arial" w:hAnsi="Arial" w:cs="Arial"/>
          <w:b/>
          <w:bCs/>
          <w:spacing w:val="6"/>
          <w:szCs w:val="24"/>
        </w:rPr>
        <w:t>5.2. Problemas jurídicos por resolver.</w:t>
      </w:r>
    </w:p>
    <w:p w14:paraId="0A1164FD" w14:textId="77777777" w:rsidR="00492994" w:rsidRPr="006F3839" w:rsidRDefault="00492994" w:rsidP="006F3839">
      <w:pPr>
        <w:pStyle w:val="Sinespaciado"/>
        <w:spacing w:line="276" w:lineRule="auto"/>
        <w:rPr>
          <w:rFonts w:ascii="Arial" w:hAnsi="Arial" w:cs="Arial"/>
          <w:spacing w:val="6"/>
          <w:szCs w:val="24"/>
        </w:rPr>
      </w:pPr>
    </w:p>
    <w:p w14:paraId="585BF402" w14:textId="7B83BCF4" w:rsidR="00492994" w:rsidRPr="006F3839" w:rsidRDefault="00492994" w:rsidP="006F3839">
      <w:pPr>
        <w:shd w:val="clear" w:color="auto" w:fill="FFFFFF" w:themeFill="background1"/>
        <w:tabs>
          <w:tab w:val="left" w:pos="709"/>
        </w:tabs>
        <w:spacing w:line="276" w:lineRule="auto"/>
        <w:jc w:val="both"/>
        <w:rPr>
          <w:rFonts w:ascii="Arial" w:hAnsi="Arial" w:cs="Arial"/>
          <w:spacing w:val="6"/>
          <w:szCs w:val="24"/>
        </w:rPr>
      </w:pPr>
      <w:r w:rsidRPr="006F3839">
        <w:rPr>
          <w:rFonts w:ascii="Arial" w:hAnsi="Arial" w:cs="Arial"/>
          <w:spacing w:val="6"/>
          <w:szCs w:val="24"/>
        </w:rPr>
        <w:tab/>
        <w:t xml:space="preserve">De conformidad con los puntos de apelación de la sentencia de primera instancia y el grado jurisdiccional de consulta que opera en favor de Colpensiones, se encuentra que los problemas jurídicos a resolver se circunscriben a determinar </w:t>
      </w:r>
      <w:r w:rsidRPr="006F3839">
        <w:rPr>
          <w:rFonts w:ascii="Arial" w:hAnsi="Arial" w:cs="Arial"/>
          <w:b/>
          <w:bCs/>
          <w:i/>
          <w:iCs/>
          <w:spacing w:val="6"/>
          <w:szCs w:val="24"/>
        </w:rPr>
        <w:t>(i)</w:t>
      </w:r>
      <w:r w:rsidRPr="006F3839">
        <w:rPr>
          <w:rFonts w:ascii="Arial" w:hAnsi="Arial" w:cs="Arial"/>
          <w:spacing w:val="6"/>
          <w:szCs w:val="24"/>
        </w:rPr>
        <w:t xml:space="preserve"> cuáles son los deberes probatorios que asisten a las partes cuando está en discusión la eficacia del traslado entre regímenes pensionales. En ese orden</w:t>
      </w:r>
      <w:r w:rsidRPr="006F3839">
        <w:rPr>
          <w:rFonts w:ascii="Arial" w:hAnsi="Arial" w:cs="Arial"/>
          <w:b/>
          <w:bCs/>
          <w:i/>
          <w:iCs/>
          <w:spacing w:val="6"/>
          <w:szCs w:val="24"/>
        </w:rPr>
        <w:t>, (ii)</w:t>
      </w:r>
      <w:r w:rsidRPr="006F3839">
        <w:rPr>
          <w:rFonts w:ascii="Arial" w:hAnsi="Arial" w:cs="Arial"/>
          <w:spacing w:val="6"/>
          <w:szCs w:val="24"/>
        </w:rPr>
        <w:t xml:space="preserve"> establecer si el material probatorio recopilado permite concluir que la demandante recibió la información que se requiere en este tipo de asuntos y </w:t>
      </w:r>
      <w:r w:rsidRPr="006F3839">
        <w:rPr>
          <w:rFonts w:ascii="Arial" w:hAnsi="Arial" w:cs="Arial"/>
          <w:b/>
          <w:bCs/>
          <w:i/>
          <w:iCs/>
          <w:spacing w:val="6"/>
          <w:szCs w:val="24"/>
        </w:rPr>
        <w:t>(i</w:t>
      </w:r>
      <w:r w:rsidR="6D19BE93" w:rsidRPr="006F3839">
        <w:rPr>
          <w:rFonts w:ascii="Arial" w:hAnsi="Arial" w:cs="Arial"/>
          <w:b/>
          <w:bCs/>
          <w:i/>
          <w:iCs/>
          <w:spacing w:val="6"/>
          <w:szCs w:val="24"/>
        </w:rPr>
        <w:t>ii</w:t>
      </w:r>
      <w:r w:rsidRPr="006F3839">
        <w:rPr>
          <w:rFonts w:ascii="Arial" w:hAnsi="Arial" w:cs="Arial"/>
          <w:b/>
          <w:bCs/>
          <w:i/>
          <w:iCs/>
          <w:spacing w:val="6"/>
          <w:szCs w:val="24"/>
        </w:rPr>
        <w:t>)</w:t>
      </w:r>
      <w:r w:rsidRPr="006F3839">
        <w:rPr>
          <w:rFonts w:ascii="Arial" w:hAnsi="Arial" w:cs="Arial"/>
          <w:spacing w:val="6"/>
          <w:szCs w:val="24"/>
        </w:rPr>
        <w:t xml:space="preserve"> si es procedente exonerar del pago de costas procesales a la AFP Porvenir S.A.</w:t>
      </w:r>
    </w:p>
    <w:p w14:paraId="5AACD01C" w14:textId="77777777" w:rsidR="00492994" w:rsidRPr="006F3839" w:rsidRDefault="00492994" w:rsidP="006F3839">
      <w:pPr>
        <w:shd w:val="clear" w:color="auto" w:fill="FFFFFF" w:themeFill="background1"/>
        <w:tabs>
          <w:tab w:val="left" w:pos="5197"/>
        </w:tabs>
        <w:spacing w:line="276" w:lineRule="auto"/>
        <w:jc w:val="both"/>
        <w:rPr>
          <w:rFonts w:ascii="Arial" w:hAnsi="Arial" w:cs="Arial"/>
          <w:spacing w:val="6"/>
          <w:szCs w:val="24"/>
        </w:rPr>
      </w:pPr>
    </w:p>
    <w:p w14:paraId="32B8A4C7" w14:textId="77777777" w:rsidR="00492994" w:rsidRPr="006F3839" w:rsidRDefault="00492994" w:rsidP="006F3839">
      <w:pPr>
        <w:shd w:val="clear" w:color="auto" w:fill="FFFFFF" w:themeFill="background1"/>
        <w:tabs>
          <w:tab w:val="left" w:pos="709"/>
        </w:tabs>
        <w:spacing w:line="276" w:lineRule="auto"/>
        <w:jc w:val="both"/>
        <w:rPr>
          <w:rFonts w:ascii="Arial" w:hAnsi="Arial" w:cs="Arial"/>
          <w:b/>
          <w:bCs/>
          <w:spacing w:val="6"/>
          <w:szCs w:val="24"/>
        </w:rPr>
      </w:pPr>
      <w:r w:rsidRPr="006F3839">
        <w:rPr>
          <w:rFonts w:ascii="Arial" w:hAnsi="Arial" w:cs="Arial"/>
          <w:b/>
          <w:bCs/>
          <w:spacing w:val="6"/>
          <w:szCs w:val="24"/>
        </w:rPr>
        <w:tab/>
        <w:t>5.3. Desenvolvimiento de la problemática planteada</w:t>
      </w:r>
    </w:p>
    <w:p w14:paraId="709641A1" w14:textId="77777777" w:rsidR="00492994" w:rsidRPr="006F3839" w:rsidRDefault="00492994" w:rsidP="006F3839">
      <w:pPr>
        <w:pStyle w:val="Sinespaciado"/>
        <w:spacing w:line="276" w:lineRule="auto"/>
        <w:rPr>
          <w:rFonts w:ascii="Arial" w:hAnsi="Arial" w:cs="Arial"/>
          <w:spacing w:val="6"/>
          <w:szCs w:val="24"/>
        </w:rPr>
      </w:pPr>
    </w:p>
    <w:p w14:paraId="4F60A770" w14:textId="77777777" w:rsidR="00492994" w:rsidRPr="006F3839" w:rsidRDefault="00492994" w:rsidP="006F3839">
      <w:pPr>
        <w:spacing w:line="276" w:lineRule="auto"/>
        <w:ind w:firstLine="708"/>
        <w:jc w:val="both"/>
        <w:rPr>
          <w:rFonts w:ascii="Arial" w:hAnsi="Arial" w:cs="Arial"/>
          <w:spacing w:val="6"/>
          <w:szCs w:val="24"/>
        </w:rPr>
      </w:pPr>
      <w:r w:rsidRPr="006F3839">
        <w:rPr>
          <w:rFonts w:ascii="Arial" w:hAnsi="Arial" w:cs="Arial"/>
          <w:spacing w:val="6"/>
          <w:szCs w:val="24"/>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w:t>
      </w:r>
      <w:r w:rsidRPr="006F3839">
        <w:rPr>
          <w:rFonts w:ascii="Arial" w:hAnsi="Arial" w:cs="Arial"/>
          <w:b/>
          <w:bCs/>
          <w:spacing w:val="6"/>
          <w:szCs w:val="24"/>
        </w:rPr>
        <w:t>31.989 de 2008, 33.083 y 31.314</w:t>
      </w:r>
      <w:r w:rsidRPr="006F3839">
        <w:rPr>
          <w:rFonts w:ascii="Arial" w:hAnsi="Arial" w:cs="Arial"/>
          <w:spacing w:val="6"/>
          <w:szCs w:val="24"/>
        </w:rPr>
        <w:t xml:space="preserve">, ambas de 2011. El </w:t>
      </w:r>
      <w:r w:rsidRPr="006F3839">
        <w:rPr>
          <w:rFonts w:ascii="Arial" w:hAnsi="Arial" w:cs="Arial"/>
          <w:i/>
          <w:iCs/>
          <w:spacing w:val="6"/>
          <w:szCs w:val="24"/>
        </w:rPr>
        <w:t>corpus argumentativo</w:t>
      </w:r>
      <w:r w:rsidRPr="006F3839">
        <w:rPr>
          <w:rFonts w:ascii="Arial" w:hAnsi="Arial" w:cs="Arial"/>
          <w:spacing w:val="6"/>
          <w:szCs w:val="24"/>
        </w:rPr>
        <w:t xml:space="preserve">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w:t>
      </w:r>
      <w:r w:rsidRPr="006F3839">
        <w:rPr>
          <w:rFonts w:ascii="Arial" w:hAnsi="Arial" w:cs="Arial"/>
          <w:spacing w:val="6"/>
          <w:szCs w:val="24"/>
        </w:rPr>
        <w:lastRenderedPageBreak/>
        <w:t xml:space="preserve">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4A044788" w14:textId="77777777" w:rsidR="00492994" w:rsidRPr="006F3839" w:rsidRDefault="00492994" w:rsidP="006F3839">
      <w:pPr>
        <w:spacing w:line="276" w:lineRule="auto"/>
        <w:ind w:firstLine="708"/>
        <w:jc w:val="both"/>
        <w:rPr>
          <w:rFonts w:ascii="Arial" w:hAnsi="Arial" w:cs="Arial"/>
          <w:spacing w:val="6"/>
          <w:szCs w:val="24"/>
        </w:rPr>
      </w:pPr>
    </w:p>
    <w:p w14:paraId="21391010" w14:textId="1B246D0D" w:rsidR="00492994" w:rsidRPr="006F3839" w:rsidRDefault="00492994" w:rsidP="006F3839">
      <w:pPr>
        <w:spacing w:line="276" w:lineRule="auto"/>
        <w:ind w:firstLine="708"/>
        <w:jc w:val="both"/>
        <w:rPr>
          <w:rFonts w:ascii="Arial" w:hAnsi="Arial" w:cs="Arial"/>
          <w:spacing w:val="6"/>
          <w:szCs w:val="24"/>
        </w:rPr>
      </w:pPr>
      <w:r w:rsidRPr="006F3839">
        <w:rPr>
          <w:rFonts w:ascii="Arial" w:hAnsi="Arial" w:cs="Arial"/>
          <w:spacing w:val="6"/>
          <w:szCs w:val="24"/>
        </w:rPr>
        <w:t>De igual manera, atendiendo a las consecuencias que la Sala Laboral ha derivado de la ineficacia de los traslados al Régimen de Ahorro Individual, resulta claro que el Alto Tribunal ha optado</w:t>
      </w:r>
      <w:r w:rsidR="008D153F" w:rsidRPr="006F3839">
        <w:rPr>
          <w:rFonts w:ascii="Arial" w:hAnsi="Arial" w:cs="Arial"/>
          <w:spacing w:val="6"/>
          <w:szCs w:val="24"/>
        </w:rPr>
        <w:t xml:space="preserve"> -</w:t>
      </w:r>
      <w:r w:rsidRPr="006F3839">
        <w:rPr>
          <w:rFonts w:ascii="Arial" w:hAnsi="Arial" w:cs="Arial"/>
          <w:spacing w:val="6"/>
          <w:szCs w:val="24"/>
        </w:rPr>
        <w:t xml:space="preserve"> con inmodificable persistencia</w:t>
      </w:r>
      <w:r w:rsidR="008D153F" w:rsidRPr="006F3839">
        <w:rPr>
          <w:rFonts w:ascii="Arial" w:hAnsi="Arial" w:cs="Arial"/>
          <w:spacing w:val="6"/>
          <w:szCs w:val="24"/>
        </w:rPr>
        <w:t xml:space="preserve"> -</w:t>
      </w:r>
      <w:r w:rsidRPr="006F3839">
        <w:rPr>
          <w:rFonts w:ascii="Arial" w:hAnsi="Arial" w:cs="Arial"/>
          <w:spacing w:val="6"/>
          <w:szCs w:val="24"/>
        </w:rPr>
        <w:t xml:space="preserve"> por la vía de la ineficacia por inexistencia del acto jurídico, en este caso, por la ausencia total de consentimiento al momento de la afiliación o del traslado, siendo ese consentimiento un elemento de la esencia del negocio.</w:t>
      </w:r>
    </w:p>
    <w:p w14:paraId="2529FF9E" w14:textId="77777777" w:rsidR="00492994" w:rsidRPr="006F3839" w:rsidRDefault="00492994" w:rsidP="006F3839">
      <w:pPr>
        <w:spacing w:line="276" w:lineRule="auto"/>
        <w:jc w:val="both"/>
        <w:rPr>
          <w:rFonts w:ascii="Arial" w:hAnsi="Arial" w:cs="Arial"/>
          <w:spacing w:val="6"/>
          <w:szCs w:val="24"/>
        </w:rPr>
      </w:pPr>
    </w:p>
    <w:p w14:paraId="57402704" w14:textId="27911800" w:rsidR="00492994" w:rsidRPr="006F3839" w:rsidRDefault="00492994" w:rsidP="006F3839">
      <w:pPr>
        <w:spacing w:line="276" w:lineRule="auto"/>
        <w:ind w:firstLine="708"/>
        <w:jc w:val="both"/>
        <w:rPr>
          <w:rFonts w:ascii="Arial" w:hAnsi="Arial" w:cs="Arial"/>
          <w:spacing w:val="6"/>
          <w:szCs w:val="24"/>
        </w:rPr>
      </w:pPr>
      <w:r w:rsidRPr="006F3839">
        <w:rPr>
          <w:rFonts w:ascii="Arial" w:hAnsi="Arial" w:cs="Arial"/>
          <w:spacing w:val="6"/>
          <w:szCs w:val="24"/>
        </w:rPr>
        <w:t>Frente al punto</w:t>
      </w:r>
      <w:r w:rsidR="003B04FA" w:rsidRPr="006F3839">
        <w:rPr>
          <w:rFonts w:ascii="Arial" w:hAnsi="Arial" w:cs="Arial"/>
          <w:spacing w:val="6"/>
          <w:szCs w:val="24"/>
        </w:rPr>
        <w:t>,</w:t>
      </w:r>
      <w:r w:rsidRPr="006F3839">
        <w:rPr>
          <w:rFonts w:ascii="Arial" w:hAnsi="Arial" w:cs="Arial"/>
          <w:spacing w:val="6"/>
          <w:szCs w:val="24"/>
        </w:rPr>
        <w:t xml:space="preserve">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tampoco han llegado los doctrinantes; no obstante, en punto al abordaje del tema a través de la ineficacia, debe decirse que la jurisprudencia del trabajo sí se ha explayado en razones para explicar, de un lado que </w:t>
      </w:r>
      <w:r w:rsidRPr="006F3839">
        <w:rPr>
          <w:rFonts w:ascii="Arial" w:hAnsi="Arial" w:cs="Arial"/>
          <w:i/>
          <w:iCs/>
          <w:spacing w:val="6"/>
          <w:szCs w:val="24"/>
        </w:rPr>
        <w:t>(i)</w:t>
      </w:r>
      <w:r w:rsidRPr="006F3839">
        <w:rPr>
          <w:rFonts w:ascii="Arial" w:hAnsi="Arial" w:cs="Arial"/>
          <w:spacing w:val="6"/>
          <w:szCs w:val="24"/>
        </w:rPr>
        <w:t xml:space="preserve"> la vía adecuada sí es la de la ineficacia y del otro, </w:t>
      </w:r>
      <w:r w:rsidRPr="006F3839">
        <w:rPr>
          <w:rFonts w:ascii="Arial" w:hAnsi="Arial" w:cs="Arial"/>
          <w:i/>
          <w:iCs/>
          <w:spacing w:val="6"/>
          <w:szCs w:val="24"/>
        </w:rPr>
        <w:t>(ii</w:t>
      </w:r>
      <w:r w:rsidRPr="006F3839">
        <w:rPr>
          <w:rFonts w:ascii="Arial" w:hAnsi="Arial" w:cs="Arial"/>
          <w:spacing w:val="6"/>
          <w:szCs w:val="24"/>
        </w:rPr>
        <w:t>)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w:t>
      </w:r>
    </w:p>
    <w:p w14:paraId="53259D64" w14:textId="77777777" w:rsidR="00492994" w:rsidRPr="006F3839" w:rsidRDefault="00492994" w:rsidP="006F3839">
      <w:pPr>
        <w:spacing w:line="276" w:lineRule="auto"/>
        <w:jc w:val="both"/>
        <w:rPr>
          <w:rFonts w:ascii="Arial" w:hAnsi="Arial" w:cs="Arial"/>
          <w:spacing w:val="6"/>
          <w:szCs w:val="24"/>
        </w:rPr>
      </w:pPr>
    </w:p>
    <w:p w14:paraId="6513F678" w14:textId="6953DC26" w:rsidR="00492994" w:rsidRPr="006F3839" w:rsidRDefault="00492994" w:rsidP="006F3839">
      <w:pPr>
        <w:spacing w:line="276" w:lineRule="auto"/>
        <w:ind w:firstLine="708"/>
        <w:jc w:val="both"/>
        <w:rPr>
          <w:rFonts w:ascii="Arial" w:hAnsi="Arial" w:cs="Arial"/>
          <w:spacing w:val="6"/>
          <w:szCs w:val="24"/>
        </w:rPr>
      </w:pPr>
      <w:r w:rsidRPr="006F3839">
        <w:rPr>
          <w:rFonts w:ascii="Arial" w:hAnsi="Arial" w:cs="Arial"/>
          <w:spacing w:val="6"/>
          <w:szCs w:val="24"/>
        </w:rPr>
        <w:t>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sentencia del 8 de mayo de 2019, (</w:t>
      </w:r>
      <w:r w:rsidRPr="006F3839">
        <w:rPr>
          <w:rFonts w:ascii="Arial" w:hAnsi="Arial" w:cs="Arial"/>
          <w:b/>
          <w:bCs/>
          <w:spacing w:val="6"/>
          <w:szCs w:val="24"/>
        </w:rPr>
        <w:t>SL1688-2019, Rad. 68838</w:t>
      </w:r>
      <w:r w:rsidRPr="006F3839">
        <w:rPr>
          <w:rFonts w:ascii="Arial" w:hAnsi="Arial" w:cs="Arial"/>
          <w:spacing w:val="6"/>
          <w:szCs w:val="24"/>
        </w:rPr>
        <w:t xml:space="preserve">),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régimen, la carga de la prueba, los alcances de la ineficacia y las reasesorías que se realizan con posterioridad al traslado inicial, entre otros. </w:t>
      </w:r>
    </w:p>
    <w:p w14:paraId="49E33E13" w14:textId="77777777" w:rsidR="00492994" w:rsidRPr="006F3839" w:rsidRDefault="00492994" w:rsidP="006F3839">
      <w:pPr>
        <w:spacing w:line="276" w:lineRule="auto"/>
        <w:jc w:val="both"/>
        <w:rPr>
          <w:rFonts w:ascii="Arial" w:hAnsi="Arial" w:cs="Arial"/>
          <w:spacing w:val="6"/>
          <w:szCs w:val="24"/>
        </w:rPr>
      </w:pPr>
    </w:p>
    <w:p w14:paraId="2DD128A2" w14:textId="77777777" w:rsidR="00492994" w:rsidRPr="006F3839" w:rsidRDefault="00492994" w:rsidP="006F3839">
      <w:pPr>
        <w:spacing w:line="276" w:lineRule="auto"/>
        <w:ind w:firstLine="705"/>
        <w:jc w:val="both"/>
        <w:rPr>
          <w:rFonts w:ascii="Arial" w:hAnsi="Arial" w:cs="Arial"/>
          <w:spacing w:val="6"/>
          <w:szCs w:val="24"/>
        </w:rPr>
      </w:pPr>
      <w:r w:rsidRPr="006F3839">
        <w:rPr>
          <w:rFonts w:ascii="Arial" w:hAnsi="Arial" w:cs="Arial"/>
          <w:b/>
          <w:bCs/>
          <w:spacing w:val="6"/>
          <w:szCs w:val="24"/>
        </w:rPr>
        <w:t>a)</w:t>
      </w:r>
      <w:r w:rsidRPr="006F3839">
        <w:rPr>
          <w:rFonts w:ascii="Arial" w:hAnsi="Arial" w:cs="Arial"/>
          <w:spacing w:val="6"/>
          <w:szCs w:val="24"/>
        </w:rPr>
        <w:t xml:space="preserve"> Sobre el deber de información, en ésta quedó dicho:</w:t>
      </w:r>
    </w:p>
    <w:p w14:paraId="4C109E80" w14:textId="77777777" w:rsidR="00492994" w:rsidRPr="006F3839" w:rsidRDefault="00492994" w:rsidP="006F3839">
      <w:pPr>
        <w:spacing w:line="276" w:lineRule="auto"/>
        <w:jc w:val="both"/>
        <w:rPr>
          <w:rFonts w:ascii="Arial" w:hAnsi="Arial" w:cs="Arial"/>
          <w:spacing w:val="12"/>
          <w:szCs w:val="24"/>
        </w:rPr>
      </w:pPr>
      <w:r w:rsidRPr="006F3839">
        <w:rPr>
          <w:rFonts w:ascii="Arial" w:hAnsi="Arial" w:cs="Arial"/>
          <w:spacing w:val="12"/>
          <w:szCs w:val="24"/>
        </w:rPr>
        <w:t xml:space="preserve"> </w:t>
      </w:r>
    </w:p>
    <w:p w14:paraId="0E478492" w14:textId="77777777" w:rsidR="006F3839" w:rsidRPr="006F3839" w:rsidRDefault="006F3839"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“El anterior recuento sobre la evolución normativa del deber de información a cargo de las administradoras de pensiones podría, a grandes rasgos, sintetizarse así: </w:t>
      </w:r>
    </w:p>
    <w:p w14:paraId="68B588F6" w14:textId="77777777" w:rsidR="006F3839" w:rsidRPr="006F3839" w:rsidRDefault="006F3839" w:rsidP="006F3839">
      <w:pPr>
        <w:ind w:left="426" w:right="420"/>
        <w:jc w:val="both"/>
        <w:rPr>
          <w:rFonts w:ascii="Arial" w:hAnsi="Arial" w:cs="Arial"/>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6F3839" w:rsidRPr="006F3839" w14:paraId="00BAEAAE"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75440DA" w14:textId="77777777" w:rsidR="006F3839" w:rsidRPr="006F3839" w:rsidRDefault="006F3839" w:rsidP="006F3839">
            <w:pPr>
              <w:spacing w:line="276" w:lineRule="auto"/>
              <w:jc w:val="both"/>
              <w:textAlignment w:val="baseline"/>
              <w:rPr>
                <w:rFonts w:ascii="Arial" w:hAnsi="Arial" w:cs="Arial"/>
                <w:sz w:val="20"/>
                <w:szCs w:val="24"/>
                <w:lang w:val="es-ES"/>
              </w:rPr>
            </w:pPr>
            <w:r w:rsidRPr="006F3839">
              <w:rPr>
                <w:rFonts w:ascii="Arial" w:hAnsi="Arial" w:cs="Arial"/>
                <w:b/>
                <w:bCs/>
                <w:i/>
                <w:iCs/>
                <w:sz w:val="20"/>
                <w:szCs w:val="24"/>
                <w:lang w:val="es-CO"/>
              </w:rPr>
              <w:t xml:space="preserve">Etapa </w:t>
            </w:r>
            <w:r w:rsidRPr="006F3839">
              <w:rPr>
                <w:rFonts w:ascii="Arial" w:hAnsi="Arial" w:cs="Arial"/>
                <w:b/>
                <w:bCs/>
                <w:i/>
                <w:iCs/>
                <w:sz w:val="20"/>
                <w:szCs w:val="24"/>
                <w:lang w:val="es-CO"/>
              </w:rPr>
              <w:lastRenderedPageBreak/>
              <w:t>acumulativa</w:t>
            </w:r>
            <w:r w:rsidRPr="006F3839">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648ABDC" w14:textId="77777777" w:rsidR="006F3839" w:rsidRPr="006F3839" w:rsidRDefault="006F3839" w:rsidP="006F3839">
            <w:pPr>
              <w:spacing w:line="276" w:lineRule="auto"/>
              <w:jc w:val="both"/>
              <w:textAlignment w:val="baseline"/>
              <w:rPr>
                <w:rFonts w:ascii="Arial" w:hAnsi="Arial" w:cs="Arial"/>
                <w:sz w:val="20"/>
                <w:szCs w:val="24"/>
                <w:lang w:val="es-ES"/>
              </w:rPr>
            </w:pPr>
            <w:r w:rsidRPr="006F3839">
              <w:rPr>
                <w:rFonts w:ascii="Arial" w:hAnsi="Arial" w:cs="Arial"/>
                <w:b/>
                <w:bCs/>
                <w:i/>
                <w:iCs/>
                <w:sz w:val="20"/>
                <w:szCs w:val="24"/>
                <w:lang w:val="es-CO"/>
              </w:rPr>
              <w:lastRenderedPageBreak/>
              <w:t xml:space="preserve">Normas que obligan a las </w:t>
            </w:r>
            <w:r w:rsidRPr="006F3839">
              <w:rPr>
                <w:rFonts w:ascii="Arial" w:hAnsi="Arial" w:cs="Arial"/>
                <w:b/>
                <w:bCs/>
                <w:i/>
                <w:iCs/>
                <w:sz w:val="20"/>
                <w:szCs w:val="24"/>
                <w:lang w:val="es-CO"/>
              </w:rPr>
              <w:lastRenderedPageBreak/>
              <w:t>administradoras de pensiones a dar información</w:t>
            </w:r>
            <w:r w:rsidRPr="006F3839">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CF5E764" w14:textId="77777777" w:rsidR="006F3839" w:rsidRPr="006F3839" w:rsidRDefault="006F3839" w:rsidP="006F3839">
            <w:pPr>
              <w:spacing w:line="276" w:lineRule="auto"/>
              <w:jc w:val="both"/>
              <w:textAlignment w:val="baseline"/>
              <w:rPr>
                <w:rFonts w:ascii="Arial" w:hAnsi="Arial" w:cs="Arial"/>
                <w:sz w:val="20"/>
                <w:szCs w:val="24"/>
                <w:lang w:val="es-ES"/>
              </w:rPr>
            </w:pPr>
            <w:r w:rsidRPr="006F3839">
              <w:rPr>
                <w:rFonts w:ascii="Arial" w:hAnsi="Arial" w:cs="Arial"/>
                <w:b/>
                <w:bCs/>
                <w:i/>
                <w:iCs/>
                <w:sz w:val="20"/>
                <w:szCs w:val="24"/>
                <w:lang w:val="es-CO"/>
              </w:rPr>
              <w:lastRenderedPageBreak/>
              <w:t xml:space="preserve">Contenido mínimo y alcance del </w:t>
            </w:r>
            <w:r w:rsidRPr="006F3839">
              <w:rPr>
                <w:rFonts w:ascii="Arial" w:hAnsi="Arial" w:cs="Arial"/>
                <w:b/>
                <w:bCs/>
                <w:i/>
                <w:iCs/>
                <w:sz w:val="20"/>
                <w:szCs w:val="24"/>
                <w:lang w:val="es-CO"/>
              </w:rPr>
              <w:lastRenderedPageBreak/>
              <w:t>deber de información</w:t>
            </w:r>
            <w:r w:rsidRPr="006F3839">
              <w:rPr>
                <w:rFonts w:ascii="Arial" w:hAnsi="Arial" w:cs="Arial"/>
                <w:sz w:val="20"/>
                <w:szCs w:val="24"/>
                <w:lang w:val="es-ES"/>
              </w:rPr>
              <w:t> </w:t>
            </w:r>
          </w:p>
        </w:tc>
      </w:tr>
      <w:tr w:rsidR="006F3839" w:rsidRPr="006F3839" w14:paraId="2F0D3A11"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DC9D8B9" w14:textId="77777777" w:rsidR="006F3839" w:rsidRPr="006F3839" w:rsidRDefault="006F3839" w:rsidP="006F3839">
            <w:pPr>
              <w:spacing w:line="276" w:lineRule="auto"/>
              <w:jc w:val="both"/>
              <w:textAlignment w:val="baseline"/>
              <w:rPr>
                <w:rFonts w:ascii="Arial" w:hAnsi="Arial" w:cs="Arial"/>
                <w:sz w:val="20"/>
                <w:szCs w:val="24"/>
                <w:lang w:val="es-ES"/>
              </w:rPr>
            </w:pPr>
            <w:r w:rsidRPr="006F3839">
              <w:rPr>
                <w:rFonts w:ascii="Arial" w:hAnsi="Arial" w:cs="Arial"/>
                <w:i/>
                <w:iCs/>
                <w:sz w:val="20"/>
                <w:szCs w:val="24"/>
                <w:lang w:val="es-CO"/>
              </w:rPr>
              <w:lastRenderedPageBreak/>
              <w:t>Deber de información </w:t>
            </w:r>
            <w:r w:rsidRPr="006F3839">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38BFDEF" w14:textId="77777777" w:rsidR="006F3839" w:rsidRPr="006F3839" w:rsidRDefault="006F3839" w:rsidP="006F3839">
            <w:pPr>
              <w:spacing w:line="276" w:lineRule="auto"/>
              <w:jc w:val="both"/>
              <w:textAlignment w:val="baseline"/>
              <w:rPr>
                <w:rFonts w:ascii="Arial" w:hAnsi="Arial" w:cs="Arial"/>
                <w:sz w:val="20"/>
                <w:szCs w:val="24"/>
                <w:lang w:val="es-ES"/>
              </w:rPr>
            </w:pPr>
            <w:r w:rsidRPr="006F3839">
              <w:rPr>
                <w:rFonts w:ascii="Arial" w:hAnsi="Arial" w:cs="Arial"/>
                <w:i/>
                <w:iCs/>
                <w:sz w:val="20"/>
                <w:szCs w:val="24"/>
                <w:lang w:val="es-CO"/>
              </w:rPr>
              <w:t>Arts. 13 literal b), 271 y 272 de la Ley 100 de 1993</w:t>
            </w:r>
            <w:r w:rsidRPr="006F3839">
              <w:rPr>
                <w:rFonts w:ascii="Arial" w:hAnsi="Arial" w:cs="Arial"/>
                <w:sz w:val="20"/>
                <w:szCs w:val="24"/>
                <w:lang w:val="es-ES"/>
              </w:rPr>
              <w:t> </w:t>
            </w:r>
          </w:p>
          <w:p w14:paraId="0C999F2B" w14:textId="77777777" w:rsidR="006F3839" w:rsidRPr="006F3839" w:rsidRDefault="006F3839" w:rsidP="006F3839">
            <w:pPr>
              <w:spacing w:line="276" w:lineRule="auto"/>
              <w:jc w:val="both"/>
              <w:textAlignment w:val="baseline"/>
              <w:rPr>
                <w:rFonts w:ascii="Arial" w:hAnsi="Arial" w:cs="Arial"/>
                <w:sz w:val="20"/>
                <w:szCs w:val="24"/>
                <w:lang w:val="es-ES"/>
              </w:rPr>
            </w:pPr>
            <w:r w:rsidRPr="006F3839">
              <w:rPr>
                <w:rFonts w:ascii="Arial" w:hAnsi="Arial" w:cs="Arial"/>
                <w:i/>
                <w:iCs/>
                <w:sz w:val="20"/>
                <w:szCs w:val="24"/>
                <w:lang w:val="es-ES"/>
              </w:rPr>
              <w:t>Art. 97, numeral 1 del Decreto 663 de 1993, modificado por el artículo 23 de la Ley 797 de 2003</w:t>
            </w:r>
            <w:r w:rsidRPr="006F3839">
              <w:rPr>
                <w:rFonts w:ascii="Arial" w:hAnsi="Arial" w:cs="Arial"/>
                <w:sz w:val="20"/>
                <w:szCs w:val="24"/>
                <w:lang w:val="es-ES"/>
              </w:rPr>
              <w:t> </w:t>
            </w:r>
          </w:p>
          <w:p w14:paraId="7C7BEE9D" w14:textId="77777777" w:rsidR="006F3839" w:rsidRPr="006F3839" w:rsidRDefault="006F3839" w:rsidP="006F3839">
            <w:pPr>
              <w:spacing w:line="276" w:lineRule="auto"/>
              <w:jc w:val="both"/>
              <w:textAlignment w:val="baseline"/>
              <w:rPr>
                <w:rFonts w:ascii="Arial" w:hAnsi="Arial" w:cs="Arial"/>
                <w:sz w:val="20"/>
                <w:szCs w:val="24"/>
                <w:lang w:val="es-ES"/>
              </w:rPr>
            </w:pPr>
            <w:r w:rsidRPr="006F3839">
              <w:rPr>
                <w:rFonts w:ascii="Arial" w:hAnsi="Arial" w:cs="Arial"/>
                <w:i/>
                <w:iCs/>
                <w:sz w:val="20"/>
                <w:szCs w:val="24"/>
                <w:lang w:val="es-ES"/>
              </w:rPr>
              <w:t>Disposiciones constitucionales relativas al derecho a la información, no menoscabo de derechos laborales y autonomía personal</w:t>
            </w:r>
            <w:r w:rsidRPr="006F3839">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397DED81" w14:textId="77777777" w:rsidR="006F3839" w:rsidRPr="006F3839" w:rsidRDefault="006F3839" w:rsidP="006F3839">
            <w:pPr>
              <w:spacing w:line="276" w:lineRule="auto"/>
              <w:jc w:val="both"/>
              <w:textAlignment w:val="baseline"/>
              <w:rPr>
                <w:rFonts w:ascii="Arial" w:hAnsi="Arial" w:cs="Arial"/>
                <w:sz w:val="20"/>
                <w:szCs w:val="24"/>
                <w:lang w:val="es-ES"/>
              </w:rPr>
            </w:pPr>
            <w:r w:rsidRPr="006F3839">
              <w:rPr>
                <w:rFonts w:ascii="Arial" w:hAnsi="Arial" w:cs="Arial"/>
                <w:i/>
                <w:iCs/>
                <w:sz w:val="20"/>
                <w:szCs w:val="24"/>
                <w:lang w:val="es-CO"/>
              </w:rPr>
              <w:t>Ilustración de las características, condiciones, acceso, efectos y riesgos de cada uno de los regímenes pensionales, lo que incluye dar a conocer la existencia de un régimen de transición y la eventual pérdida de beneficios pensionales</w:t>
            </w:r>
            <w:r w:rsidRPr="006F3839">
              <w:rPr>
                <w:rFonts w:ascii="Arial" w:hAnsi="Arial" w:cs="Arial"/>
                <w:sz w:val="20"/>
                <w:szCs w:val="24"/>
                <w:lang w:val="es-ES"/>
              </w:rPr>
              <w:t> </w:t>
            </w:r>
          </w:p>
        </w:tc>
      </w:tr>
      <w:tr w:rsidR="006F3839" w:rsidRPr="006F3839" w14:paraId="24F3F5AD"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9796D9A" w14:textId="77777777" w:rsidR="006F3839" w:rsidRPr="006F3839" w:rsidRDefault="006F3839" w:rsidP="006F3839">
            <w:pPr>
              <w:spacing w:line="276" w:lineRule="auto"/>
              <w:jc w:val="both"/>
              <w:textAlignment w:val="baseline"/>
              <w:rPr>
                <w:rFonts w:ascii="Arial" w:hAnsi="Arial" w:cs="Arial"/>
                <w:sz w:val="20"/>
                <w:szCs w:val="24"/>
                <w:lang w:val="es-ES"/>
              </w:rPr>
            </w:pPr>
            <w:r w:rsidRPr="006F3839">
              <w:rPr>
                <w:rFonts w:ascii="Arial" w:hAnsi="Arial" w:cs="Arial"/>
                <w:i/>
                <w:iCs/>
                <w:sz w:val="20"/>
                <w:szCs w:val="24"/>
                <w:lang w:val="es-CO"/>
              </w:rPr>
              <w:t>Deber de información, asesoría y buen consejo</w:t>
            </w:r>
            <w:r w:rsidRPr="006F3839">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26E751A" w14:textId="77777777" w:rsidR="006F3839" w:rsidRPr="006F3839" w:rsidRDefault="006F3839" w:rsidP="006F3839">
            <w:pPr>
              <w:spacing w:line="276" w:lineRule="auto"/>
              <w:jc w:val="both"/>
              <w:textAlignment w:val="baseline"/>
              <w:rPr>
                <w:rFonts w:ascii="Arial" w:hAnsi="Arial" w:cs="Arial"/>
                <w:sz w:val="20"/>
                <w:szCs w:val="24"/>
                <w:lang w:val="es-ES"/>
              </w:rPr>
            </w:pPr>
            <w:r w:rsidRPr="006F3839">
              <w:rPr>
                <w:rFonts w:ascii="Arial" w:hAnsi="Arial" w:cs="Arial"/>
                <w:i/>
                <w:iCs/>
                <w:sz w:val="20"/>
                <w:szCs w:val="24"/>
                <w:lang w:val="es-CO"/>
              </w:rPr>
              <w:t>Artículo 3, literal c) de la Ley 1328 de 2009</w:t>
            </w:r>
            <w:r w:rsidRPr="006F3839">
              <w:rPr>
                <w:rFonts w:ascii="Arial" w:hAnsi="Arial" w:cs="Arial"/>
                <w:sz w:val="20"/>
                <w:szCs w:val="24"/>
                <w:lang w:val="es-ES"/>
              </w:rPr>
              <w:t> </w:t>
            </w:r>
          </w:p>
          <w:p w14:paraId="528F3D36" w14:textId="77777777" w:rsidR="006F3839" w:rsidRPr="006F3839" w:rsidRDefault="006F3839" w:rsidP="006F3839">
            <w:pPr>
              <w:spacing w:line="276" w:lineRule="auto"/>
              <w:jc w:val="both"/>
              <w:textAlignment w:val="baseline"/>
              <w:rPr>
                <w:rFonts w:ascii="Arial" w:hAnsi="Arial" w:cs="Arial"/>
                <w:sz w:val="20"/>
                <w:szCs w:val="24"/>
                <w:lang w:val="es-ES"/>
              </w:rPr>
            </w:pPr>
            <w:r w:rsidRPr="006F3839">
              <w:rPr>
                <w:rFonts w:ascii="Arial" w:hAnsi="Arial" w:cs="Arial"/>
                <w:i/>
                <w:iCs/>
                <w:sz w:val="20"/>
                <w:szCs w:val="24"/>
                <w:lang w:val="es-CO"/>
              </w:rPr>
              <w:t>Decreto 2241 de 2010</w:t>
            </w:r>
            <w:r w:rsidRPr="006F3839">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C2C277E" w14:textId="77777777" w:rsidR="006F3839" w:rsidRPr="006F3839" w:rsidRDefault="006F3839" w:rsidP="006F3839">
            <w:pPr>
              <w:spacing w:line="276" w:lineRule="auto"/>
              <w:jc w:val="both"/>
              <w:textAlignment w:val="baseline"/>
              <w:rPr>
                <w:rFonts w:ascii="Arial" w:hAnsi="Arial" w:cs="Arial"/>
                <w:sz w:val="20"/>
                <w:szCs w:val="24"/>
                <w:lang w:val="es-ES"/>
              </w:rPr>
            </w:pPr>
            <w:r w:rsidRPr="006F3839">
              <w:rPr>
                <w:rFonts w:ascii="Arial" w:hAnsi="Arial" w:cs="Arial"/>
                <w:i/>
                <w:iCs/>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6F3839">
              <w:rPr>
                <w:rFonts w:ascii="Arial" w:hAnsi="Arial" w:cs="Arial"/>
                <w:sz w:val="20"/>
                <w:szCs w:val="24"/>
                <w:lang w:val="es-ES"/>
              </w:rPr>
              <w:t> </w:t>
            </w:r>
          </w:p>
        </w:tc>
      </w:tr>
      <w:tr w:rsidR="006F3839" w:rsidRPr="006F3839" w14:paraId="01DFFCB4"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E24ACB7" w14:textId="77777777" w:rsidR="006F3839" w:rsidRPr="006F3839" w:rsidRDefault="006F3839" w:rsidP="006F3839">
            <w:pPr>
              <w:spacing w:line="276" w:lineRule="auto"/>
              <w:jc w:val="both"/>
              <w:textAlignment w:val="baseline"/>
              <w:rPr>
                <w:rFonts w:ascii="Arial" w:hAnsi="Arial" w:cs="Arial"/>
                <w:sz w:val="20"/>
                <w:szCs w:val="24"/>
                <w:lang w:val="es-ES"/>
              </w:rPr>
            </w:pPr>
            <w:r w:rsidRPr="006F3839">
              <w:rPr>
                <w:rFonts w:ascii="Arial" w:hAnsi="Arial" w:cs="Arial"/>
                <w:i/>
                <w:iCs/>
                <w:sz w:val="20"/>
                <w:szCs w:val="24"/>
                <w:lang w:val="es-CO"/>
              </w:rPr>
              <w:t>Deber de información, asesoría, buen consejo y doble asesoría. </w:t>
            </w:r>
            <w:r w:rsidRPr="006F3839">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002AB2B" w14:textId="77777777" w:rsidR="006F3839" w:rsidRPr="006F3839" w:rsidRDefault="006F3839" w:rsidP="006F3839">
            <w:pPr>
              <w:spacing w:line="276" w:lineRule="auto"/>
              <w:jc w:val="both"/>
              <w:textAlignment w:val="baseline"/>
              <w:rPr>
                <w:rFonts w:ascii="Arial" w:hAnsi="Arial" w:cs="Arial"/>
                <w:sz w:val="20"/>
                <w:szCs w:val="24"/>
                <w:lang w:val="es-ES"/>
              </w:rPr>
            </w:pPr>
            <w:r w:rsidRPr="006F3839">
              <w:rPr>
                <w:rFonts w:ascii="Arial" w:hAnsi="Arial" w:cs="Arial"/>
                <w:i/>
                <w:iCs/>
                <w:sz w:val="20"/>
                <w:szCs w:val="24"/>
                <w:lang w:val="es-CO"/>
              </w:rPr>
              <w:t>Ley 1748 de 2014</w:t>
            </w:r>
            <w:r w:rsidRPr="006F3839">
              <w:rPr>
                <w:rFonts w:ascii="Arial" w:hAnsi="Arial" w:cs="Arial"/>
                <w:sz w:val="20"/>
                <w:szCs w:val="24"/>
                <w:lang w:val="es-ES"/>
              </w:rPr>
              <w:t> </w:t>
            </w:r>
          </w:p>
          <w:p w14:paraId="216D5D6D" w14:textId="77777777" w:rsidR="006F3839" w:rsidRPr="006F3839" w:rsidRDefault="006F3839" w:rsidP="006F3839">
            <w:pPr>
              <w:spacing w:line="276" w:lineRule="auto"/>
              <w:jc w:val="both"/>
              <w:textAlignment w:val="baseline"/>
              <w:rPr>
                <w:rFonts w:ascii="Arial" w:hAnsi="Arial" w:cs="Arial"/>
                <w:sz w:val="20"/>
                <w:szCs w:val="24"/>
                <w:lang w:val="es-ES"/>
              </w:rPr>
            </w:pPr>
            <w:r w:rsidRPr="006F3839">
              <w:rPr>
                <w:rFonts w:ascii="Arial" w:hAnsi="Arial" w:cs="Arial"/>
                <w:i/>
                <w:iCs/>
                <w:sz w:val="20"/>
                <w:szCs w:val="24"/>
                <w:lang w:val="es-CO"/>
              </w:rPr>
              <w:t>Artículo 3 del Decreto 2071 de 2015</w:t>
            </w:r>
            <w:r w:rsidRPr="006F3839">
              <w:rPr>
                <w:rFonts w:ascii="Arial" w:hAnsi="Arial" w:cs="Arial"/>
                <w:sz w:val="20"/>
                <w:szCs w:val="24"/>
                <w:lang w:val="es-ES"/>
              </w:rPr>
              <w:t> </w:t>
            </w:r>
          </w:p>
          <w:p w14:paraId="7BA5D90A" w14:textId="77777777" w:rsidR="006F3839" w:rsidRPr="006F3839" w:rsidRDefault="006F3839" w:rsidP="006F3839">
            <w:pPr>
              <w:spacing w:line="276" w:lineRule="auto"/>
              <w:jc w:val="both"/>
              <w:textAlignment w:val="baseline"/>
              <w:rPr>
                <w:rFonts w:ascii="Arial" w:hAnsi="Arial" w:cs="Arial"/>
                <w:sz w:val="20"/>
                <w:szCs w:val="24"/>
                <w:lang w:val="es-ES"/>
              </w:rPr>
            </w:pPr>
            <w:r w:rsidRPr="006F3839">
              <w:rPr>
                <w:rFonts w:ascii="Arial" w:hAnsi="Arial" w:cs="Arial"/>
                <w:i/>
                <w:iCs/>
                <w:sz w:val="20"/>
                <w:szCs w:val="24"/>
                <w:lang w:val="es-CO"/>
              </w:rPr>
              <w:t>Circular Externa n. 016 de 2016</w:t>
            </w:r>
            <w:r w:rsidRPr="006F3839">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2484488D" w14:textId="77777777" w:rsidR="006F3839" w:rsidRPr="006F3839" w:rsidRDefault="006F3839" w:rsidP="006F3839">
            <w:pPr>
              <w:spacing w:line="276" w:lineRule="auto"/>
              <w:jc w:val="both"/>
              <w:textAlignment w:val="baseline"/>
              <w:rPr>
                <w:rFonts w:ascii="Arial" w:hAnsi="Arial" w:cs="Arial"/>
                <w:sz w:val="20"/>
                <w:szCs w:val="24"/>
                <w:lang w:val="es-ES"/>
              </w:rPr>
            </w:pPr>
            <w:r w:rsidRPr="006F3839">
              <w:rPr>
                <w:rFonts w:ascii="Arial" w:hAnsi="Arial" w:cs="Arial"/>
                <w:i/>
                <w:iCs/>
                <w:sz w:val="20"/>
                <w:szCs w:val="24"/>
                <w:lang w:val="es-CO"/>
              </w:rPr>
              <w:t>Junto con lo anterior, lleva inmerso el derecho a obtener asesoría de los representantes de ambos regímenes pensionales.</w:t>
            </w:r>
            <w:r w:rsidRPr="006F3839">
              <w:rPr>
                <w:rFonts w:ascii="Arial" w:hAnsi="Arial" w:cs="Arial"/>
                <w:sz w:val="20"/>
                <w:szCs w:val="24"/>
                <w:lang w:val="es-ES"/>
              </w:rPr>
              <w:t> </w:t>
            </w:r>
          </w:p>
        </w:tc>
      </w:tr>
    </w:tbl>
    <w:p w14:paraId="08EE30B4" w14:textId="77777777" w:rsidR="006F3839" w:rsidRPr="006F3839" w:rsidRDefault="006F3839" w:rsidP="006F3839">
      <w:pPr>
        <w:ind w:left="426" w:right="420"/>
        <w:jc w:val="both"/>
        <w:rPr>
          <w:rFonts w:ascii="Arial" w:hAnsi="Arial" w:cs="Arial"/>
          <w:i/>
          <w:iCs/>
          <w:spacing w:val="12"/>
          <w:sz w:val="22"/>
          <w:szCs w:val="24"/>
        </w:rPr>
      </w:pPr>
    </w:p>
    <w:p w14:paraId="34CF1C6C" w14:textId="77777777" w:rsidR="006F3839" w:rsidRPr="006F3839" w:rsidRDefault="006F3839"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1.4 Conclusión: La constatación del deber de información es ineludible.</w:t>
      </w:r>
    </w:p>
    <w:p w14:paraId="08821A18" w14:textId="77777777" w:rsidR="006F3839" w:rsidRPr="006F3839" w:rsidRDefault="006F3839" w:rsidP="006F3839">
      <w:pPr>
        <w:ind w:left="426" w:right="420"/>
        <w:jc w:val="both"/>
        <w:rPr>
          <w:rFonts w:ascii="Arial" w:hAnsi="Arial" w:cs="Arial"/>
          <w:i/>
          <w:iCs/>
          <w:spacing w:val="12"/>
          <w:sz w:val="22"/>
          <w:szCs w:val="24"/>
        </w:rPr>
      </w:pPr>
    </w:p>
    <w:p w14:paraId="022FBE29" w14:textId="77777777" w:rsidR="006F3839" w:rsidRPr="006F3839" w:rsidRDefault="006F3839"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7C9EE5E6" w14:textId="77777777" w:rsidR="006F3839" w:rsidRPr="006F3839" w:rsidRDefault="006F3839" w:rsidP="006F3839">
      <w:pPr>
        <w:ind w:left="426" w:right="420"/>
        <w:jc w:val="both"/>
        <w:rPr>
          <w:rFonts w:ascii="Arial" w:hAnsi="Arial" w:cs="Arial"/>
          <w:i/>
          <w:iCs/>
          <w:spacing w:val="12"/>
          <w:sz w:val="22"/>
          <w:szCs w:val="24"/>
        </w:rPr>
      </w:pPr>
    </w:p>
    <w:p w14:paraId="76E69730" w14:textId="77777777" w:rsidR="006F3839" w:rsidRPr="006F3839" w:rsidRDefault="006F3839"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0742F185" w14:textId="77777777" w:rsidR="006F3839" w:rsidRPr="006F3839" w:rsidRDefault="006F3839" w:rsidP="006F3839">
      <w:pPr>
        <w:ind w:left="426" w:right="420"/>
        <w:jc w:val="both"/>
        <w:rPr>
          <w:rFonts w:ascii="Arial" w:hAnsi="Arial" w:cs="Arial"/>
          <w:i/>
          <w:iCs/>
          <w:spacing w:val="12"/>
          <w:sz w:val="22"/>
          <w:szCs w:val="24"/>
        </w:rPr>
      </w:pPr>
    </w:p>
    <w:p w14:paraId="2E383024" w14:textId="77777777" w:rsidR="006F3839" w:rsidRPr="006F3839" w:rsidRDefault="006F3839"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59FD8B3E" w14:textId="77777777" w:rsidR="00492994" w:rsidRPr="006F3839" w:rsidRDefault="00492994" w:rsidP="006F3839">
      <w:pPr>
        <w:pStyle w:val="paragraph"/>
        <w:spacing w:before="0" w:beforeAutospacing="0" w:after="0" w:afterAutospacing="0" w:line="276" w:lineRule="auto"/>
        <w:ind w:firstLine="555"/>
        <w:jc w:val="both"/>
        <w:textAlignment w:val="baseline"/>
        <w:rPr>
          <w:rFonts w:ascii="Arial" w:hAnsi="Arial" w:cs="Arial"/>
          <w:spacing w:val="6"/>
        </w:rPr>
      </w:pPr>
    </w:p>
    <w:p w14:paraId="6ED3A874" w14:textId="77777777" w:rsidR="00492994" w:rsidRPr="006F3839" w:rsidRDefault="00492994" w:rsidP="006F3839">
      <w:pPr>
        <w:pStyle w:val="Sinespaciado"/>
        <w:spacing w:line="276" w:lineRule="auto"/>
        <w:ind w:firstLine="708"/>
        <w:jc w:val="both"/>
        <w:rPr>
          <w:rFonts w:ascii="Arial" w:hAnsi="Arial" w:cs="Arial"/>
          <w:spacing w:val="6"/>
          <w:szCs w:val="24"/>
        </w:rPr>
      </w:pPr>
      <w:r w:rsidRPr="006F3839">
        <w:rPr>
          <w:rFonts w:ascii="Arial" w:hAnsi="Arial" w:cs="Arial"/>
          <w:spacing w:val="6"/>
          <w:szCs w:val="24"/>
        </w:rPr>
        <w:lastRenderedPageBreak/>
        <w:t xml:space="preserve">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w:t>
      </w:r>
      <w:r w:rsidR="00FB30A9" w:rsidRPr="006F3839">
        <w:rPr>
          <w:rFonts w:ascii="Arial" w:hAnsi="Arial" w:cs="Arial"/>
          <w:spacing w:val="6"/>
          <w:szCs w:val="24"/>
        </w:rPr>
        <w:t xml:space="preserve">y </w:t>
      </w:r>
      <w:r w:rsidRPr="006F3839">
        <w:rPr>
          <w:rFonts w:ascii="Arial" w:hAnsi="Arial" w:cs="Arial"/>
          <w:spacing w:val="6"/>
          <w:szCs w:val="24"/>
        </w:rPr>
        <w:t>que a las enunciadas se suman la Ley 795 de 2003 por medio de  la cual se ajustan algunas normas del Estatuto Orgánico Financiero, el Decreto 2241 de 2010, entre otras, expedidos con posterioridad a la ocurrencia del traslado que ocupa la atención de la Sala.</w:t>
      </w:r>
    </w:p>
    <w:p w14:paraId="17B29A9C" w14:textId="7105C35F" w:rsidR="00492994" w:rsidRPr="006F3839" w:rsidRDefault="00492994" w:rsidP="006F3839">
      <w:pPr>
        <w:pStyle w:val="paragraph"/>
        <w:spacing w:before="0" w:beforeAutospacing="0" w:after="0" w:afterAutospacing="0" w:line="276" w:lineRule="auto"/>
        <w:ind w:firstLine="555"/>
        <w:jc w:val="both"/>
        <w:textAlignment w:val="baseline"/>
        <w:rPr>
          <w:rFonts w:ascii="Arial" w:hAnsi="Arial" w:cs="Arial"/>
          <w:spacing w:val="6"/>
        </w:rPr>
      </w:pPr>
      <w:r w:rsidRPr="006F3839">
        <w:rPr>
          <w:rFonts w:ascii="Arial" w:hAnsi="Arial" w:cs="Arial"/>
          <w:spacing w:val="6"/>
        </w:rPr>
        <w:t xml:space="preserve"> </w:t>
      </w:r>
    </w:p>
    <w:p w14:paraId="39E221F2" w14:textId="51319DB5" w:rsidR="00492994" w:rsidRPr="006F3839" w:rsidRDefault="00492994" w:rsidP="006F3839">
      <w:pPr>
        <w:spacing w:line="276" w:lineRule="auto"/>
        <w:ind w:firstLine="708"/>
        <w:jc w:val="both"/>
        <w:rPr>
          <w:rFonts w:ascii="Arial" w:hAnsi="Arial" w:cs="Arial"/>
          <w:spacing w:val="6"/>
          <w:szCs w:val="24"/>
        </w:rPr>
      </w:pPr>
      <w:r w:rsidRPr="006F3839">
        <w:rPr>
          <w:rFonts w:ascii="Arial" w:hAnsi="Arial" w:cs="Arial"/>
          <w:b/>
          <w:bCs/>
          <w:spacing w:val="6"/>
          <w:szCs w:val="24"/>
        </w:rPr>
        <w:t>b)</w:t>
      </w:r>
      <w:r w:rsidRPr="006F3839">
        <w:rPr>
          <w:rFonts w:ascii="Arial" w:hAnsi="Arial" w:cs="Arial"/>
          <w:spacing w:val="6"/>
          <w:szCs w:val="24"/>
        </w:rPr>
        <w:t xml:space="preserve"> </w:t>
      </w:r>
      <w:r w:rsidRPr="006F3839">
        <w:rPr>
          <w:rFonts w:ascii="Arial" w:hAnsi="Arial" w:cs="Arial"/>
          <w:spacing w:val="6"/>
          <w:szCs w:val="24"/>
        </w:rPr>
        <w:tab/>
        <w:t xml:space="preserve">En cuanto a las consecuencias de las constancias que se registran en los formularios de afiliación o traslado, en la ya referida SL1688-2019, Rad. 68838 la Corte dijo: </w:t>
      </w:r>
    </w:p>
    <w:p w14:paraId="333D217F" w14:textId="77777777" w:rsidR="00492994" w:rsidRPr="006F3839" w:rsidRDefault="00492994" w:rsidP="006F3839">
      <w:pPr>
        <w:spacing w:line="276" w:lineRule="auto"/>
        <w:ind w:firstLine="720"/>
        <w:jc w:val="both"/>
        <w:rPr>
          <w:rFonts w:ascii="Arial" w:hAnsi="Arial" w:cs="Arial"/>
          <w:spacing w:val="12"/>
          <w:szCs w:val="24"/>
        </w:rPr>
      </w:pPr>
      <w:r w:rsidRPr="006F3839">
        <w:rPr>
          <w:rFonts w:ascii="Arial" w:hAnsi="Arial" w:cs="Arial"/>
          <w:spacing w:val="12"/>
          <w:szCs w:val="24"/>
        </w:rPr>
        <w:t xml:space="preserve"> </w:t>
      </w:r>
    </w:p>
    <w:p w14:paraId="4B3AE425" w14:textId="75FECE07" w:rsidR="00492994" w:rsidRPr="006F3839" w:rsidRDefault="008D153F"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w:t>
      </w:r>
      <w:r w:rsidR="00492994" w:rsidRPr="006F3839">
        <w:rPr>
          <w:rFonts w:ascii="Arial" w:hAnsi="Arial" w:cs="Arial"/>
          <w:i/>
          <w:iCs/>
          <w:spacing w:val="12"/>
          <w:sz w:val="22"/>
          <w:szCs w:val="24"/>
        </w:rPr>
        <w:t>2. El simple consentimiento vertido en el formulario de afiliación es insuficiente. Necesidad de un consentimiento informado</w:t>
      </w:r>
    </w:p>
    <w:p w14:paraId="2D4F4592"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p>
    <w:p w14:paraId="552CBB9E"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Para el Tribunal el consentimiento informado no es predicable del acto jurídico de traslado, pues basta la consignación en el </w:t>
      </w:r>
      <w:proofErr w:type="spellStart"/>
      <w:r w:rsidRPr="006F3839">
        <w:rPr>
          <w:rFonts w:ascii="Arial" w:hAnsi="Arial" w:cs="Arial"/>
          <w:i/>
          <w:iCs/>
          <w:spacing w:val="12"/>
          <w:sz w:val="22"/>
          <w:szCs w:val="24"/>
        </w:rPr>
        <w:t>form</w:t>
      </w:r>
      <w:proofErr w:type="spellEnd"/>
      <w:r w:rsidRPr="006F3839">
        <w:rPr>
          <w:rFonts w:ascii="Arial" w:hAnsi="Arial" w:cs="Arial"/>
          <w:i/>
          <w:iCs/>
          <w:spacing w:val="12"/>
          <w:sz w:val="22"/>
          <w:szCs w:val="24"/>
        </w:rPr>
        <w:tab/>
      </w:r>
      <w:proofErr w:type="spellStart"/>
      <w:r w:rsidRPr="006F3839">
        <w:rPr>
          <w:rFonts w:ascii="Arial" w:hAnsi="Arial" w:cs="Arial"/>
          <w:i/>
          <w:iCs/>
          <w:spacing w:val="12"/>
          <w:sz w:val="22"/>
          <w:szCs w:val="24"/>
        </w:rPr>
        <w:t>ulario</w:t>
      </w:r>
      <w:proofErr w:type="spellEnd"/>
      <w:r w:rsidRPr="006F3839">
        <w:rPr>
          <w:rFonts w:ascii="Arial" w:hAnsi="Arial" w:cs="Arial"/>
          <w:i/>
          <w:iCs/>
          <w:spacing w:val="12"/>
          <w:sz w:val="22"/>
          <w:szCs w:val="24"/>
        </w:rPr>
        <w:t xml:space="preserve"> de que la afiliación se hizo de manera libre y voluntaria.</w:t>
      </w:r>
    </w:p>
    <w:p w14:paraId="3026847A"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p>
    <w:p w14:paraId="50B4FB42"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La Sala considera desacertada esta tesis, en la medida que la firma del formulario, al igual que las afirmaciones consignadas en los formatos preimpresos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4A1802FE"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p>
    <w:p w14:paraId="1637B952"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Sobre el particular, en la sentencia CSJ SI. 19447-2017 la Sala explicó:</w:t>
      </w:r>
    </w:p>
    <w:p w14:paraId="72CD399B"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p>
    <w:p w14:paraId="4627DFB3"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p>
    <w:p w14:paraId="02BDC18E"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p>
    <w:p w14:paraId="44B70ACD"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w:t>
      </w:r>
      <w:r w:rsidRPr="006F3839">
        <w:rPr>
          <w:rFonts w:ascii="Arial" w:hAnsi="Arial" w:cs="Arial"/>
          <w:i/>
          <w:iCs/>
          <w:spacing w:val="12"/>
          <w:sz w:val="22"/>
          <w:szCs w:val="24"/>
        </w:rPr>
        <w:lastRenderedPageBreak/>
        <w:t xml:space="preserve">aspecto que soslayó el juzgador al definir la controversia, pues halló suficiente una firma en un formulario </w:t>
      </w:r>
    </w:p>
    <w:p w14:paraId="3D262661"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p>
    <w:p w14:paraId="7B9B21CA"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p>
    <w:p w14:paraId="096C3853"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17B97809"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p>
    <w:p w14:paraId="413EA75E" w14:textId="15A3B231"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1BA7A089"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p>
    <w:p w14:paraId="08C66404"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601F198B" w14:textId="7A42F2A7" w:rsidR="00492994" w:rsidRPr="006F3839" w:rsidRDefault="00492994" w:rsidP="006F3839">
      <w:pPr>
        <w:spacing w:line="276" w:lineRule="auto"/>
        <w:jc w:val="both"/>
        <w:rPr>
          <w:rFonts w:ascii="Arial" w:hAnsi="Arial" w:cs="Arial"/>
          <w:spacing w:val="12"/>
          <w:szCs w:val="24"/>
        </w:rPr>
      </w:pPr>
      <w:r w:rsidRPr="006F3839">
        <w:rPr>
          <w:rFonts w:ascii="Arial" w:hAnsi="Arial" w:cs="Arial"/>
          <w:spacing w:val="12"/>
          <w:szCs w:val="24"/>
        </w:rPr>
        <w:t xml:space="preserve">  </w:t>
      </w:r>
    </w:p>
    <w:p w14:paraId="2423E38E" w14:textId="77777777" w:rsidR="00492994" w:rsidRPr="006F3839" w:rsidRDefault="00492994" w:rsidP="006F3839">
      <w:pPr>
        <w:spacing w:line="276" w:lineRule="auto"/>
        <w:ind w:firstLine="708"/>
        <w:jc w:val="both"/>
        <w:rPr>
          <w:rFonts w:ascii="Arial" w:hAnsi="Arial" w:cs="Arial"/>
          <w:spacing w:val="6"/>
          <w:szCs w:val="24"/>
        </w:rPr>
      </w:pPr>
      <w:r w:rsidRPr="006F3839">
        <w:rPr>
          <w:rFonts w:ascii="Arial" w:hAnsi="Arial" w:cs="Arial"/>
          <w:b/>
          <w:bCs/>
          <w:spacing w:val="6"/>
          <w:szCs w:val="24"/>
        </w:rPr>
        <w:t xml:space="preserve">c) </w:t>
      </w:r>
      <w:r w:rsidRPr="006F3839">
        <w:rPr>
          <w:rFonts w:ascii="Arial" w:hAnsi="Arial" w:cs="Arial"/>
          <w:b/>
          <w:bCs/>
          <w:spacing w:val="6"/>
          <w:szCs w:val="24"/>
        </w:rPr>
        <w:tab/>
      </w:r>
      <w:r w:rsidRPr="006F3839">
        <w:rPr>
          <w:rFonts w:ascii="Arial" w:hAnsi="Arial" w:cs="Arial"/>
          <w:spacing w:val="6"/>
          <w:szCs w:val="24"/>
        </w:rPr>
        <w:t>En cuanto a la carga de la prueba: También procesalmente, la Corte realiza un enfoque especialísimo, pues invierte la carga de la prueba respecto a ese debido asesoramiento. En la sentencia con radicado 68.838 de 2019 ya mencionada, lo explícita así:</w:t>
      </w:r>
    </w:p>
    <w:p w14:paraId="0FDD944F" w14:textId="77777777" w:rsidR="00492994" w:rsidRPr="006F3839" w:rsidRDefault="00492994" w:rsidP="006F3839">
      <w:pPr>
        <w:spacing w:line="276" w:lineRule="auto"/>
        <w:jc w:val="both"/>
        <w:rPr>
          <w:rFonts w:ascii="Arial" w:hAnsi="Arial" w:cs="Arial"/>
          <w:spacing w:val="6"/>
          <w:szCs w:val="24"/>
        </w:rPr>
      </w:pPr>
    </w:p>
    <w:p w14:paraId="428F4662"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D8BF379" w14:textId="77777777" w:rsidR="00492994" w:rsidRPr="006F3839" w:rsidRDefault="00492994" w:rsidP="006F3839">
      <w:pPr>
        <w:ind w:left="426" w:right="420"/>
        <w:jc w:val="both"/>
        <w:rPr>
          <w:rFonts w:ascii="Arial" w:hAnsi="Arial" w:cs="Arial"/>
          <w:i/>
          <w:iCs/>
          <w:spacing w:val="12"/>
          <w:sz w:val="22"/>
          <w:szCs w:val="24"/>
        </w:rPr>
      </w:pPr>
    </w:p>
    <w:p w14:paraId="4D082294"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4C235564"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p>
    <w:p w14:paraId="028FBE11"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5F7B3265" w14:textId="77777777" w:rsidR="00492994" w:rsidRPr="006F3839" w:rsidRDefault="00492994" w:rsidP="006F3839">
      <w:pPr>
        <w:spacing w:line="276" w:lineRule="auto"/>
        <w:jc w:val="both"/>
        <w:rPr>
          <w:rFonts w:ascii="Arial" w:hAnsi="Arial" w:cs="Arial"/>
          <w:spacing w:val="12"/>
          <w:szCs w:val="24"/>
        </w:rPr>
      </w:pPr>
    </w:p>
    <w:p w14:paraId="55F35119" w14:textId="4BC551F6" w:rsidR="00492994" w:rsidRPr="006F3839" w:rsidRDefault="00492994" w:rsidP="006F3839">
      <w:pPr>
        <w:spacing w:line="276" w:lineRule="auto"/>
        <w:ind w:firstLine="708"/>
        <w:jc w:val="both"/>
        <w:rPr>
          <w:rFonts w:ascii="Arial" w:hAnsi="Arial" w:cs="Arial"/>
          <w:bCs/>
          <w:spacing w:val="6"/>
          <w:szCs w:val="24"/>
        </w:rPr>
      </w:pPr>
      <w:r w:rsidRPr="006F3839">
        <w:rPr>
          <w:rFonts w:ascii="Arial" w:hAnsi="Arial" w:cs="Arial"/>
          <w:b/>
          <w:bCs/>
          <w:spacing w:val="6"/>
          <w:szCs w:val="24"/>
        </w:rPr>
        <w:t xml:space="preserve"> d) </w:t>
      </w:r>
      <w:r w:rsidRPr="006F3839">
        <w:rPr>
          <w:rFonts w:ascii="Arial" w:hAnsi="Arial" w:cs="Arial"/>
          <w:b/>
          <w:bCs/>
          <w:spacing w:val="6"/>
          <w:szCs w:val="24"/>
        </w:rPr>
        <w:tab/>
      </w:r>
      <w:r w:rsidRPr="006F3839">
        <w:rPr>
          <w:rFonts w:ascii="Arial" w:hAnsi="Arial" w:cs="Arial"/>
          <w:bCs/>
          <w:spacing w:val="6"/>
          <w:szCs w:val="24"/>
        </w:rPr>
        <w:t>En cuanto al alcance de la ausencia del deber de información y de los nulos efectos que pueden generar las reasesorías posteriores, quedó dicho:</w:t>
      </w:r>
    </w:p>
    <w:p w14:paraId="727B040C" w14:textId="77777777" w:rsidR="00492994" w:rsidRPr="006F3839" w:rsidRDefault="00492994" w:rsidP="006F3839">
      <w:pPr>
        <w:spacing w:line="276" w:lineRule="auto"/>
        <w:jc w:val="both"/>
        <w:rPr>
          <w:rFonts w:ascii="Arial" w:hAnsi="Arial" w:cs="Arial"/>
          <w:spacing w:val="12"/>
          <w:szCs w:val="24"/>
        </w:rPr>
      </w:pPr>
      <w:r w:rsidRPr="006F3839">
        <w:rPr>
          <w:rFonts w:ascii="Arial" w:hAnsi="Arial" w:cs="Arial"/>
          <w:spacing w:val="12"/>
          <w:szCs w:val="24"/>
        </w:rPr>
        <w:t xml:space="preserve">  </w:t>
      </w:r>
    </w:p>
    <w:p w14:paraId="745723A3" w14:textId="79B3CE13" w:rsidR="00492994" w:rsidRPr="006F3839" w:rsidRDefault="008D153F"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w:t>
      </w:r>
      <w:r w:rsidR="00492994" w:rsidRPr="006F3839">
        <w:rPr>
          <w:rFonts w:ascii="Arial" w:hAnsi="Arial" w:cs="Arial"/>
          <w:i/>
          <w:iCs/>
          <w:spacing w:val="12"/>
          <w:sz w:val="22"/>
          <w:szCs w:val="24"/>
        </w:rPr>
        <w:t>Lo anterior, se repite, sin importar si se tiene o no un derecho consolidado, se tiene o no un beneficio transicional, o si está próximo o no a pensionarse, dado que la violación del deber de información se predica frente a la validez del acto jurídico de traslado, considerado en sí mismo. Esto, desde luego, teniendo en cuenta las particularidades de cada asunto.</w:t>
      </w:r>
    </w:p>
    <w:p w14:paraId="4DFF17FB"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p>
    <w:p w14:paraId="4E47C416"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p>
    <w:p w14:paraId="323A59E8"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Ahora, si bien la AFP brindó a la actora una reasesoría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397F1ED"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p>
    <w:p w14:paraId="7728C000"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En primer término, porque el traslado al RAIS implicó la pérdida de los beneficios derivados de la transición al no contar la demandante con 15 años de cotización o servicios a 1. 0 de abril de 1994. Es decir, así se hubiese trasladado la demandante al día siguiente de la reasesoría, de todas formas ya había perdido la transición.</w:t>
      </w:r>
    </w:p>
    <w:p w14:paraId="715AB4F6"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p>
    <w:p w14:paraId="3FDD3009"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388AE0D"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p>
    <w:p w14:paraId="4D89E7F6" w14:textId="2B0B9022"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Por otro lado, no es de recibo el planteo de Protección S.A., cuando sostiene que una vez realizó la reasesoría,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r w:rsidR="008D153F" w:rsidRPr="006F3839">
        <w:rPr>
          <w:rFonts w:ascii="Arial" w:hAnsi="Arial" w:cs="Arial"/>
          <w:i/>
          <w:iCs/>
          <w:spacing w:val="12"/>
          <w:sz w:val="22"/>
          <w:szCs w:val="24"/>
        </w:rPr>
        <w:t>”</w:t>
      </w:r>
    </w:p>
    <w:p w14:paraId="3E94ADE5" w14:textId="77777777" w:rsidR="00492994" w:rsidRPr="006F3839" w:rsidRDefault="00492994" w:rsidP="006F3839">
      <w:pPr>
        <w:spacing w:line="276" w:lineRule="auto"/>
        <w:ind w:left="567" w:right="567"/>
        <w:jc w:val="both"/>
        <w:rPr>
          <w:rFonts w:ascii="Arial" w:hAnsi="Arial" w:cs="Arial"/>
          <w:spacing w:val="6"/>
          <w:szCs w:val="24"/>
        </w:rPr>
      </w:pPr>
    </w:p>
    <w:p w14:paraId="525A3F6C" w14:textId="760BA0E6" w:rsidR="00492994" w:rsidRPr="006F3839" w:rsidRDefault="5DF76DA2" w:rsidP="006F3839">
      <w:pPr>
        <w:spacing w:line="276" w:lineRule="auto"/>
        <w:ind w:firstLine="708"/>
        <w:jc w:val="both"/>
        <w:rPr>
          <w:rFonts w:ascii="Arial" w:hAnsi="Arial" w:cs="Arial"/>
          <w:spacing w:val="6"/>
          <w:szCs w:val="24"/>
        </w:rPr>
      </w:pPr>
      <w:r w:rsidRPr="006F3839">
        <w:rPr>
          <w:rFonts w:ascii="Arial" w:hAnsi="Arial" w:cs="Arial"/>
          <w:spacing w:val="6"/>
          <w:szCs w:val="24"/>
        </w:rPr>
        <w:t xml:space="preserve">Como puede </w:t>
      </w:r>
      <w:r w:rsidR="004E3BDB" w:rsidRPr="006F3839">
        <w:rPr>
          <w:rFonts w:ascii="Arial" w:hAnsi="Arial" w:cs="Arial"/>
          <w:spacing w:val="6"/>
          <w:szCs w:val="24"/>
        </w:rPr>
        <w:t>verse</w:t>
      </w:r>
      <w:r w:rsidRPr="006F3839">
        <w:rPr>
          <w:rFonts w:ascii="Arial" w:hAnsi="Arial" w:cs="Arial"/>
          <w:spacing w:val="6"/>
          <w:szCs w:val="24"/>
        </w:rPr>
        <w:t xml:space="preserve"> el órgano de cierre de esta jurisdicción ha creado una férrea postura en torno a </w:t>
      </w:r>
      <w:r w:rsidR="60C4EC9B" w:rsidRPr="006F3839">
        <w:rPr>
          <w:rFonts w:ascii="Arial" w:hAnsi="Arial" w:cs="Arial"/>
          <w:spacing w:val="6"/>
          <w:szCs w:val="24"/>
        </w:rPr>
        <w:t xml:space="preserve">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A.F.P. </w:t>
      </w:r>
    </w:p>
    <w:p w14:paraId="0A29E45B" w14:textId="77777777" w:rsidR="00492994" w:rsidRPr="006F3839" w:rsidRDefault="00492994" w:rsidP="006F3839">
      <w:pPr>
        <w:pStyle w:val="Sinespaciado"/>
        <w:spacing w:line="276" w:lineRule="auto"/>
        <w:rPr>
          <w:rFonts w:ascii="Arial" w:hAnsi="Arial" w:cs="Arial"/>
          <w:spacing w:val="6"/>
          <w:szCs w:val="24"/>
        </w:rPr>
      </w:pPr>
    </w:p>
    <w:p w14:paraId="5DFDAE44" w14:textId="77777777" w:rsidR="00492994" w:rsidRPr="006F3839" w:rsidRDefault="00492994" w:rsidP="006F3839">
      <w:pPr>
        <w:spacing w:line="276" w:lineRule="auto"/>
        <w:ind w:firstLine="708"/>
        <w:jc w:val="both"/>
        <w:rPr>
          <w:rFonts w:ascii="Arial" w:hAnsi="Arial" w:cs="Arial"/>
          <w:b/>
          <w:bCs/>
          <w:spacing w:val="6"/>
          <w:szCs w:val="24"/>
        </w:rPr>
      </w:pPr>
      <w:r w:rsidRPr="006F3839">
        <w:rPr>
          <w:rFonts w:ascii="Arial" w:hAnsi="Arial" w:cs="Arial"/>
          <w:b/>
          <w:bCs/>
          <w:spacing w:val="6"/>
          <w:szCs w:val="24"/>
        </w:rPr>
        <w:t>5.4.</w:t>
      </w:r>
      <w:r w:rsidRPr="006F3839">
        <w:rPr>
          <w:rFonts w:ascii="Arial" w:hAnsi="Arial" w:cs="Arial"/>
          <w:b/>
          <w:bCs/>
          <w:spacing w:val="6"/>
          <w:szCs w:val="24"/>
        </w:rPr>
        <w:tab/>
        <w:t>Caso concreto</w:t>
      </w:r>
    </w:p>
    <w:p w14:paraId="68134C87" w14:textId="77777777" w:rsidR="00492994" w:rsidRPr="006F3839" w:rsidRDefault="00492994" w:rsidP="006F3839">
      <w:pPr>
        <w:pStyle w:val="Sinespaciado"/>
        <w:spacing w:line="276" w:lineRule="auto"/>
        <w:rPr>
          <w:rFonts w:ascii="Arial" w:hAnsi="Arial" w:cs="Arial"/>
          <w:spacing w:val="6"/>
          <w:szCs w:val="24"/>
        </w:rPr>
      </w:pPr>
    </w:p>
    <w:p w14:paraId="476BD17A" w14:textId="33A960E4" w:rsidR="00492994" w:rsidRPr="006F3839" w:rsidRDefault="00492994" w:rsidP="006F3839">
      <w:pPr>
        <w:spacing w:line="276" w:lineRule="auto"/>
        <w:ind w:firstLine="708"/>
        <w:jc w:val="both"/>
        <w:rPr>
          <w:rFonts w:ascii="Arial" w:hAnsi="Arial" w:cs="Arial"/>
          <w:spacing w:val="6"/>
          <w:szCs w:val="24"/>
        </w:rPr>
      </w:pPr>
      <w:r w:rsidRPr="006F3839">
        <w:rPr>
          <w:rFonts w:ascii="Arial" w:hAnsi="Arial" w:cs="Arial"/>
          <w:spacing w:val="6"/>
          <w:szCs w:val="24"/>
        </w:rPr>
        <w:t xml:space="preserve">Fuera de toda discusión, por existir plena prueba de ello, está que </w:t>
      </w:r>
      <w:r w:rsidRPr="006F3839">
        <w:rPr>
          <w:rFonts w:ascii="Arial" w:hAnsi="Arial" w:cs="Arial"/>
          <w:i/>
          <w:iCs/>
          <w:spacing w:val="6"/>
          <w:szCs w:val="24"/>
        </w:rPr>
        <w:t>(i)</w:t>
      </w:r>
      <w:r w:rsidRPr="006F3839">
        <w:rPr>
          <w:rFonts w:ascii="Arial" w:hAnsi="Arial" w:cs="Arial"/>
          <w:spacing w:val="6"/>
          <w:szCs w:val="24"/>
        </w:rPr>
        <w:t xml:space="preserve"> la demandante nació el </w:t>
      </w:r>
      <w:r w:rsidR="00FB30A9" w:rsidRPr="006F3839">
        <w:rPr>
          <w:rFonts w:ascii="Arial" w:hAnsi="Arial" w:cs="Arial"/>
          <w:spacing w:val="6"/>
          <w:szCs w:val="24"/>
        </w:rPr>
        <w:t>30 de julio de 1965</w:t>
      </w:r>
      <w:r w:rsidRPr="006F3839">
        <w:rPr>
          <w:rFonts w:ascii="Arial" w:hAnsi="Arial" w:cs="Arial"/>
          <w:spacing w:val="6"/>
          <w:szCs w:val="24"/>
        </w:rPr>
        <w:t xml:space="preserve"> (</w:t>
      </w:r>
      <w:proofErr w:type="spellStart"/>
      <w:r w:rsidRPr="006F3839">
        <w:rPr>
          <w:rFonts w:ascii="Arial" w:hAnsi="Arial" w:cs="Arial"/>
          <w:spacing w:val="6"/>
          <w:szCs w:val="24"/>
        </w:rPr>
        <w:t>fl</w:t>
      </w:r>
      <w:proofErr w:type="spellEnd"/>
      <w:r w:rsidRPr="006F3839">
        <w:rPr>
          <w:rFonts w:ascii="Arial" w:hAnsi="Arial" w:cs="Arial"/>
          <w:spacing w:val="6"/>
          <w:szCs w:val="24"/>
        </w:rPr>
        <w:t>.</w:t>
      </w:r>
      <w:r w:rsidR="006E7D93">
        <w:rPr>
          <w:rFonts w:ascii="Arial" w:hAnsi="Arial" w:cs="Arial"/>
          <w:spacing w:val="6"/>
          <w:szCs w:val="24"/>
        </w:rPr>
        <w:t xml:space="preserve"> </w:t>
      </w:r>
      <w:r w:rsidR="00FB30A9" w:rsidRPr="006F3839">
        <w:rPr>
          <w:rFonts w:ascii="Arial" w:hAnsi="Arial" w:cs="Arial"/>
          <w:spacing w:val="6"/>
          <w:szCs w:val="24"/>
        </w:rPr>
        <w:t>34</w:t>
      </w:r>
      <w:r w:rsidRPr="006F3839">
        <w:rPr>
          <w:rFonts w:ascii="Arial" w:hAnsi="Arial" w:cs="Arial"/>
          <w:spacing w:val="6"/>
          <w:szCs w:val="24"/>
        </w:rPr>
        <w:t xml:space="preserve">); </w:t>
      </w:r>
      <w:r w:rsidRPr="006F3839">
        <w:rPr>
          <w:rFonts w:ascii="Arial" w:hAnsi="Arial" w:cs="Arial"/>
          <w:i/>
          <w:iCs/>
          <w:spacing w:val="6"/>
          <w:szCs w:val="24"/>
        </w:rPr>
        <w:t>(ii)</w:t>
      </w:r>
      <w:r w:rsidRPr="006F3839">
        <w:rPr>
          <w:rFonts w:ascii="Arial" w:hAnsi="Arial" w:cs="Arial"/>
          <w:spacing w:val="6"/>
          <w:szCs w:val="24"/>
        </w:rPr>
        <w:t xml:space="preserve"> que estando afiliada al </w:t>
      </w:r>
      <w:proofErr w:type="spellStart"/>
      <w:r w:rsidRPr="006F3839">
        <w:rPr>
          <w:rFonts w:ascii="Arial" w:hAnsi="Arial" w:cs="Arial"/>
          <w:spacing w:val="6"/>
          <w:szCs w:val="24"/>
        </w:rPr>
        <w:t>ISS</w:t>
      </w:r>
      <w:proofErr w:type="spellEnd"/>
      <w:r w:rsidRPr="006F3839">
        <w:rPr>
          <w:rFonts w:ascii="Arial" w:hAnsi="Arial" w:cs="Arial"/>
          <w:spacing w:val="6"/>
          <w:szCs w:val="24"/>
        </w:rPr>
        <w:t xml:space="preserve"> (hoy Colpensiones), el 1</w:t>
      </w:r>
      <w:r w:rsidR="00FB30A9" w:rsidRPr="006F3839">
        <w:rPr>
          <w:rFonts w:ascii="Arial" w:hAnsi="Arial" w:cs="Arial"/>
          <w:spacing w:val="6"/>
          <w:szCs w:val="24"/>
        </w:rPr>
        <w:t>3 de julio de 1995</w:t>
      </w:r>
      <w:r w:rsidRPr="006F3839">
        <w:rPr>
          <w:rFonts w:ascii="Arial" w:hAnsi="Arial" w:cs="Arial"/>
          <w:spacing w:val="6"/>
          <w:szCs w:val="24"/>
        </w:rPr>
        <w:t xml:space="preserve"> se trasladó a</w:t>
      </w:r>
      <w:r w:rsidR="006E7D93">
        <w:rPr>
          <w:rFonts w:ascii="Arial" w:hAnsi="Arial" w:cs="Arial"/>
          <w:spacing w:val="6"/>
          <w:szCs w:val="24"/>
        </w:rPr>
        <w:t>l  Régimen de Ahorro Individual</w:t>
      </w:r>
      <w:bookmarkStart w:id="0" w:name="_GoBack"/>
      <w:bookmarkEnd w:id="0"/>
      <w:r w:rsidRPr="006F3839">
        <w:rPr>
          <w:rFonts w:ascii="Arial" w:hAnsi="Arial" w:cs="Arial"/>
          <w:spacing w:val="6"/>
          <w:szCs w:val="24"/>
        </w:rPr>
        <w:t xml:space="preserve"> a través de la afiliación a la A</w:t>
      </w:r>
      <w:r w:rsidR="00FB30A9" w:rsidRPr="006F3839">
        <w:rPr>
          <w:rFonts w:ascii="Arial" w:hAnsi="Arial" w:cs="Arial"/>
          <w:spacing w:val="6"/>
          <w:szCs w:val="24"/>
        </w:rPr>
        <w:t>dministradora de Pensiones y Cesantías Colpatria</w:t>
      </w:r>
      <w:r w:rsidRPr="006F3839">
        <w:rPr>
          <w:rFonts w:ascii="Arial" w:hAnsi="Arial" w:cs="Arial"/>
          <w:spacing w:val="6"/>
          <w:szCs w:val="24"/>
        </w:rPr>
        <w:t xml:space="preserve">, </w:t>
      </w:r>
      <w:r w:rsidR="00523911" w:rsidRPr="006F3839">
        <w:rPr>
          <w:rFonts w:ascii="Arial" w:hAnsi="Arial" w:cs="Arial"/>
          <w:spacing w:val="6"/>
          <w:szCs w:val="24"/>
        </w:rPr>
        <w:t xml:space="preserve">quien posteriormente se fusionó con la AFP Horizonte quien a su vez fue absorbida por la Sociedad Administradora de Fondo de Pensiones Porvenir S.A. </w:t>
      </w:r>
      <w:r w:rsidRPr="006F3839">
        <w:rPr>
          <w:rFonts w:ascii="Arial" w:hAnsi="Arial" w:cs="Arial"/>
          <w:spacing w:val="6"/>
          <w:szCs w:val="24"/>
        </w:rPr>
        <w:t>(</w:t>
      </w:r>
      <w:proofErr w:type="spellStart"/>
      <w:r w:rsidRPr="006F3839">
        <w:rPr>
          <w:rFonts w:ascii="Arial" w:hAnsi="Arial" w:cs="Arial"/>
          <w:spacing w:val="6"/>
          <w:szCs w:val="24"/>
        </w:rPr>
        <w:t>fl</w:t>
      </w:r>
      <w:proofErr w:type="spellEnd"/>
      <w:r w:rsidRPr="006F3839">
        <w:rPr>
          <w:rFonts w:ascii="Arial" w:hAnsi="Arial" w:cs="Arial"/>
          <w:spacing w:val="6"/>
          <w:szCs w:val="24"/>
        </w:rPr>
        <w:t>.</w:t>
      </w:r>
      <w:r w:rsidR="006E7D93">
        <w:rPr>
          <w:rFonts w:ascii="Arial" w:hAnsi="Arial" w:cs="Arial"/>
          <w:spacing w:val="6"/>
          <w:szCs w:val="24"/>
        </w:rPr>
        <w:t xml:space="preserve"> </w:t>
      </w:r>
      <w:r w:rsidRPr="006F3839">
        <w:rPr>
          <w:rFonts w:ascii="Arial" w:hAnsi="Arial" w:cs="Arial"/>
          <w:spacing w:val="6"/>
          <w:szCs w:val="24"/>
        </w:rPr>
        <w:t>45</w:t>
      </w:r>
      <w:r w:rsidR="00523911" w:rsidRPr="006F3839">
        <w:rPr>
          <w:rFonts w:ascii="Arial" w:hAnsi="Arial" w:cs="Arial"/>
          <w:spacing w:val="6"/>
          <w:szCs w:val="24"/>
        </w:rPr>
        <w:t xml:space="preserve"> y 149</w:t>
      </w:r>
      <w:r w:rsidRPr="006F3839">
        <w:rPr>
          <w:rFonts w:ascii="Arial" w:hAnsi="Arial" w:cs="Arial"/>
          <w:spacing w:val="6"/>
          <w:szCs w:val="24"/>
        </w:rPr>
        <w:t xml:space="preserve">); y </w:t>
      </w:r>
      <w:r w:rsidRPr="006F3839">
        <w:rPr>
          <w:rFonts w:ascii="Arial" w:hAnsi="Arial" w:cs="Arial"/>
          <w:i/>
          <w:iCs/>
          <w:spacing w:val="6"/>
          <w:szCs w:val="24"/>
        </w:rPr>
        <w:t>(i</w:t>
      </w:r>
      <w:r w:rsidR="00FB30A9" w:rsidRPr="006F3839">
        <w:rPr>
          <w:rFonts w:ascii="Arial" w:hAnsi="Arial" w:cs="Arial"/>
          <w:i/>
          <w:iCs/>
          <w:spacing w:val="6"/>
          <w:szCs w:val="24"/>
        </w:rPr>
        <w:t>ii</w:t>
      </w:r>
      <w:r w:rsidRPr="006F3839">
        <w:rPr>
          <w:rFonts w:ascii="Arial" w:hAnsi="Arial" w:cs="Arial"/>
          <w:i/>
          <w:iCs/>
          <w:spacing w:val="6"/>
          <w:szCs w:val="24"/>
        </w:rPr>
        <w:t>)</w:t>
      </w:r>
      <w:r w:rsidRPr="006F3839">
        <w:rPr>
          <w:rFonts w:ascii="Arial" w:hAnsi="Arial" w:cs="Arial"/>
          <w:spacing w:val="6"/>
          <w:szCs w:val="24"/>
        </w:rPr>
        <w:t xml:space="preserve"> que al </w:t>
      </w:r>
      <w:r w:rsidR="00D96212" w:rsidRPr="006F3839">
        <w:rPr>
          <w:rFonts w:ascii="Arial" w:hAnsi="Arial" w:cs="Arial"/>
          <w:spacing w:val="6"/>
          <w:szCs w:val="24"/>
        </w:rPr>
        <w:t xml:space="preserve">21 de diciembre </w:t>
      </w:r>
      <w:r w:rsidRPr="006F3839">
        <w:rPr>
          <w:rFonts w:ascii="Arial" w:hAnsi="Arial" w:cs="Arial"/>
          <w:spacing w:val="6"/>
          <w:szCs w:val="24"/>
        </w:rPr>
        <w:t xml:space="preserve">de 2017 reportaba </w:t>
      </w:r>
      <w:r w:rsidR="00D96212" w:rsidRPr="006F3839">
        <w:rPr>
          <w:rFonts w:ascii="Arial" w:hAnsi="Arial" w:cs="Arial"/>
          <w:spacing w:val="6"/>
          <w:szCs w:val="24"/>
        </w:rPr>
        <w:t>880 semanas de</w:t>
      </w:r>
      <w:r w:rsidRPr="006F3839">
        <w:rPr>
          <w:rFonts w:ascii="Arial" w:hAnsi="Arial" w:cs="Arial"/>
          <w:spacing w:val="6"/>
          <w:szCs w:val="24"/>
        </w:rPr>
        <w:t xml:space="preserve"> aportes al sistema pensional, entre cotizaciones al Régimen de Prima Media y el R</w:t>
      </w:r>
      <w:r w:rsidR="00D96212" w:rsidRPr="006F3839">
        <w:rPr>
          <w:rFonts w:ascii="Arial" w:hAnsi="Arial" w:cs="Arial"/>
          <w:spacing w:val="6"/>
          <w:szCs w:val="24"/>
        </w:rPr>
        <w:t>égimen de ahorro Individual (</w:t>
      </w:r>
      <w:proofErr w:type="spellStart"/>
      <w:r w:rsidR="00D96212" w:rsidRPr="006F3839">
        <w:rPr>
          <w:rFonts w:ascii="Arial" w:hAnsi="Arial" w:cs="Arial"/>
          <w:spacing w:val="6"/>
          <w:szCs w:val="24"/>
        </w:rPr>
        <w:t>fl</w:t>
      </w:r>
      <w:proofErr w:type="spellEnd"/>
      <w:r w:rsidR="00D96212" w:rsidRPr="006F3839">
        <w:rPr>
          <w:rFonts w:ascii="Arial" w:hAnsi="Arial" w:cs="Arial"/>
          <w:spacing w:val="6"/>
          <w:szCs w:val="24"/>
        </w:rPr>
        <w:t>.</w:t>
      </w:r>
      <w:r w:rsidR="006E7D93">
        <w:rPr>
          <w:rFonts w:ascii="Arial" w:hAnsi="Arial" w:cs="Arial"/>
          <w:spacing w:val="6"/>
          <w:szCs w:val="24"/>
        </w:rPr>
        <w:t xml:space="preserve"> </w:t>
      </w:r>
      <w:r w:rsidR="00D96212" w:rsidRPr="006F3839">
        <w:rPr>
          <w:rFonts w:ascii="Arial" w:hAnsi="Arial" w:cs="Arial"/>
          <w:spacing w:val="6"/>
          <w:szCs w:val="24"/>
        </w:rPr>
        <w:t>39</w:t>
      </w:r>
      <w:r w:rsidRPr="006F3839">
        <w:rPr>
          <w:rFonts w:ascii="Arial" w:hAnsi="Arial" w:cs="Arial"/>
          <w:spacing w:val="6"/>
          <w:szCs w:val="24"/>
        </w:rPr>
        <w:t>).</w:t>
      </w:r>
    </w:p>
    <w:p w14:paraId="0E500785" w14:textId="77777777" w:rsidR="00492994" w:rsidRPr="006F3839" w:rsidRDefault="00492994" w:rsidP="006F3839">
      <w:pPr>
        <w:spacing w:line="276" w:lineRule="auto"/>
        <w:jc w:val="both"/>
        <w:rPr>
          <w:rFonts w:ascii="Arial" w:hAnsi="Arial" w:cs="Arial"/>
          <w:spacing w:val="6"/>
          <w:szCs w:val="24"/>
        </w:rPr>
      </w:pPr>
    </w:p>
    <w:p w14:paraId="2F3D36C2" w14:textId="77777777" w:rsidR="00492994" w:rsidRPr="006F3839" w:rsidRDefault="00492994" w:rsidP="006F3839">
      <w:pPr>
        <w:pStyle w:val="Sinespaciado"/>
        <w:spacing w:line="276" w:lineRule="auto"/>
        <w:ind w:firstLine="708"/>
        <w:jc w:val="both"/>
        <w:rPr>
          <w:rFonts w:ascii="Arial" w:hAnsi="Arial" w:cs="Arial"/>
          <w:spacing w:val="6"/>
          <w:szCs w:val="24"/>
        </w:rPr>
      </w:pPr>
      <w:r w:rsidRPr="006F3839">
        <w:rPr>
          <w:rFonts w:ascii="Arial" w:hAnsi="Arial" w:cs="Arial"/>
          <w:spacing w:val="6"/>
          <w:szCs w:val="24"/>
        </w:rPr>
        <w:t>Conviene precisar que la A-quo para motivar su decisión, adujo en síntesis que la Administradora de pensiones Porvenir S.A. no demostró haber proporcionado a la demandante una información completa y adecuada que le permitiera tomar una decisión libre y voluntaria para el traslado de régimen pensional.</w:t>
      </w:r>
    </w:p>
    <w:p w14:paraId="5A6A8837" w14:textId="77777777" w:rsidR="00492994" w:rsidRPr="006F3839" w:rsidRDefault="00492994" w:rsidP="006F3839">
      <w:pPr>
        <w:pStyle w:val="Sinespaciado"/>
        <w:spacing w:line="276" w:lineRule="auto"/>
        <w:rPr>
          <w:rFonts w:ascii="Arial" w:hAnsi="Arial" w:cs="Arial"/>
          <w:spacing w:val="6"/>
          <w:szCs w:val="24"/>
        </w:rPr>
      </w:pPr>
    </w:p>
    <w:p w14:paraId="43F89AB8" w14:textId="1E59AFCA" w:rsidR="00492994" w:rsidRPr="006F3839" w:rsidRDefault="00492994" w:rsidP="006F3839">
      <w:pPr>
        <w:pStyle w:val="Sinespaciado"/>
        <w:spacing w:line="276" w:lineRule="auto"/>
        <w:ind w:firstLine="708"/>
        <w:jc w:val="both"/>
        <w:rPr>
          <w:rFonts w:ascii="Arial" w:hAnsi="Arial" w:cs="Arial"/>
          <w:spacing w:val="6"/>
          <w:szCs w:val="24"/>
        </w:rPr>
      </w:pPr>
      <w:r w:rsidRPr="006F3839">
        <w:rPr>
          <w:rFonts w:ascii="Arial" w:hAnsi="Arial" w:cs="Arial"/>
          <w:spacing w:val="6"/>
          <w:szCs w:val="24"/>
        </w:rPr>
        <w:t xml:space="preserve">En el recurso de alzada, </w:t>
      </w:r>
      <w:r w:rsidR="00D96212" w:rsidRPr="006F3839">
        <w:rPr>
          <w:rFonts w:ascii="Arial" w:hAnsi="Arial" w:cs="Arial"/>
          <w:spacing w:val="6"/>
          <w:szCs w:val="24"/>
        </w:rPr>
        <w:t xml:space="preserve">esa </w:t>
      </w:r>
      <w:r w:rsidRPr="006F3839">
        <w:rPr>
          <w:rFonts w:ascii="Arial" w:hAnsi="Arial" w:cs="Arial"/>
          <w:spacing w:val="6"/>
          <w:szCs w:val="24"/>
        </w:rPr>
        <w:t xml:space="preserve">entidad recurrente cuestiona </w:t>
      </w:r>
      <w:r w:rsidR="00D96212" w:rsidRPr="006F3839">
        <w:rPr>
          <w:rFonts w:ascii="Arial" w:hAnsi="Arial" w:cs="Arial"/>
          <w:spacing w:val="6"/>
          <w:szCs w:val="24"/>
        </w:rPr>
        <w:t xml:space="preserve">en síntesis </w:t>
      </w:r>
      <w:r w:rsidRPr="006F3839">
        <w:rPr>
          <w:rFonts w:ascii="Arial" w:hAnsi="Arial" w:cs="Arial"/>
          <w:spacing w:val="6"/>
          <w:szCs w:val="24"/>
        </w:rPr>
        <w:t xml:space="preserve">el razonamiento de la falladora de primera instancia, </w:t>
      </w:r>
      <w:r w:rsidR="004E3BDB" w:rsidRPr="006F3839">
        <w:rPr>
          <w:rFonts w:ascii="Arial" w:hAnsi="Arial" w:cs="Arial"/>
          <w:spacing w:val="6"/>
          <w:szCs w:val="24"/>
        </w:rPr>
        <w:t>argumentando,</w:t>
      </w:r>
      <w:r w:rsidR="00D96212" w:rsidRPr="006F3839">
        <w:rPr>
          <w:rFonts w:ascii="Arial" w:hAnsi="Arial" w:cs="Arial"/>
          <w:spacing w:val="6"/>
          <w:szCs w:val="24"/>
        </w:rPr>
        <w:t xml:space="preserve"> por el contrario, que </w:t>
      </w:r>
      <w:r w:rsidRPr="006F3839">
        <w:rPr>
          <w:rFonts w:ascii="Arial" w:hAnsi="Arial" w:cs="Arial"/>
          <w:spacing w:val="6"/>
          <w:szCs w:val="24"/>
        </w:rPr>
        <w:t xml:space="preserve">sí </w:t>
      </w:r>
      <w:r w:rsidR="00D96212" w:rsidRPr="006F3839">
        <w:rPr>
          <w:rFonts w:ascii="Arial" w:hAnsi="Arial" w:cs="Arial"/>
          <w:spacing w:val="6"/>
          <w:szCs w:val="24"/>
        </w:rPr>
        <w:t>se le brindó</w:t>
      </w:r>
      <w:r w:rsidRPr="006F3839">
        <w:rPr>
          <w:rFonts w:ascii="Arial" w:hAnsi="Arial" w:cs="Arial"/>
          <w:spacing w:val="6"/>
          <w:szCs w:val="24"/>
        </w:rPr>
        <w:t xml:space="preserve"> información</w:t>
      </w:r>
      <w:r w:rsidR="00D96212" w:rsidRPr="006F3839">
        <w:rPr>
          <w:rFonts w:ascii="Arial" w:hAnsi="Arial" w:cs="Arial"/>
          <w:spacing w:val="6"/>
          <w:szCs w:val="24"/>
        </w:rPr>
        <w:t xml:space="preserve"> suficiente, detallada y completa para el traslado de régimen, por lo que la demandante fue consciente de las consecuencias que acarreaba el mismo, seleccionando en forma libre y voluntaria el </w:t>
      </w:r>
      <w:r w:rsidR="008D153F" w:rsidRPr="006F3839">
        <w:rPr>
          <w:rFonts w:ascii="Arial" w:hAnsi="Arial" w:cs="Arial"/>
          <w:spacing w:val="6"/>
          <w:szCs w:val="24"/>
        </w:rPr>
        <w:t>Régimen de Ahorro Individual,</w:t>
      </w:r>
      <w:r w:rsidR="00D96212" w:rsidRPr="006F3839">
        <w:rPr>
          <w:rFonts w:ascii="Arial" w:hAnsi="Arial" w:cs="Arial"/>
          <w:spacing w:val="6"/>
          <w:szCs w:val="24"/>
        </w:rPr>
        <w:t xml:space="preserve"> según lo acreditan las pruebas recopiladas en la actuación. Aduce además que la demandante </w:t>
      </w:r>
      <w:r w:rsidR="00D96212" w:rsidRPr="006F3839">
        <w:rPr>
          <w:rFonts w:ascii="Arial" w:hAnsi="Arial" w:cs="Arial"/>
          <w:i/>
          <w:iCs/>
          <w:spacing w:val="6"/>
          <w:szCs w:val="24"/>
        </w:rPr>
        <w:t>no es beneficiaria del régimen de transición</w:t>
      </w:r>
      <w:r w:rsidR="00D96212" w:rsidRPr="006F3839">
        <w:rPr>
          <w:rFonts w:ascii="Arial" w:hAnsi="Arial" w:cs="Arial"/>
          <w:spacing w:val="6"/>
          <w:szCs w:val="24"/>
        </w:rPr>
        <w:t xml:space="preserve"> y tampoco cumple con los requisitos legales que le permitan retornar al R</w:t>
      </w:r>
      <w:r w:rsidR="008D153F" w:rsidRPr="006F3839">
        <w:rPr>
          <w:rFonts w:ascii="Arial" w:hAnsi="Arial" w:cs="Arial"/>
          <w:spacing w:val="6"/>
          <w:szCs w:val="24"/>
        </w:rPr>
        <w:t>égimen de Prima Media</w:t>
      </w:r>
      <w:r w:rsidR="00D96212" w:rsidRPr="006F3839">
        <w:rPr>
          <w:rFonts w:ascii="Arial" w:hAnsi="Arial" w:cs="Arial"/>
          <w:spacing w:val="6"/>
          <w:szCs w:val="24"/>
        </w:rPr>
        <w:t xml:space="preserve">, amén de que nunca existió inducción a error por parte de la entidad. </w:t>
      </w:r>
    </w:p>
    <w:p w14:paraId="33545E89" w14:textId="77777777" w:rsidR="00D96212" w:rsidRPr="006F3839" w:rsidRDefault="00D96212" w:rsidP="006F3839">
      <w:pPr>
        <w:pStyle w:val="Sinespaciado"/>
        <w:spacing w:line="276" w:lineRule="auto"/>
        <w:ind w:firstLine="708"/>
        <w:jc w:val="both"/>
        <w:rPr>
          <w:rFonts w:ascii="Arial" w:hAnsi="Arial" w:cs="Arial"/>
          <w:spacing w:val="6"/>
          <w:szCs w:val="24"/>
        </w:rPr>
      </w:pPr>
    </w:p>
    <w:p w14:paraId="46BB7181" w14:textId="416C5455" w:rsidR="00D96212" w:rsidRPr="006F3839" w:rsidRDefault="00D96212" w:rsidP="006F3839">
      <w:pPr>
        <w:pStyle w:val="Sinespaciado"/>
        <w:spacing w:line="276" w:lineRule="auto"/>
        <w:ind w:firstLine="708"/>
        <w:jc w:val="both"/>
        <w:rPr>
          <w:rFonts w:ascii="Arial" w:hAnsi="Arial" w:cs="Arial"/>
          <w:spacing w:val="6"/>
          <w:szCs w:val="24"/>
        </w:rPr>
      </w:pPr>
      <w:r w:rsidRPr="006F3839">
        <w:rPr>
          <w:rFonts w:ascii="Arial" w:hAnsi="Arial" w:cs="Arial"/>
          <w:spacing w:val="6"/>
          <w:szCs w:val="24"/>
        </w:rPr>
        <w:t xml:space="preserve">Por su parte, Colpensiones alega en síntesis que la demandante era quien tenía la carga de probar el engaño o inducción a error que alega en la demanda, por lo </w:t>
      </w:r>
      <w:r w:rsidR="004E3BDB" w:rsidRPr="006F3839">
        <w:rPr>
          <w:rFonts w:ascii="Arial" w:hAnsi="Arial" w:cs="Arial"/>
          <w:spacing w:val="6"/>
          <w:szCs w:val="24"/>
        </w:rPr>
        <w:t>que,</w:t>
      </w:r>
      <w:r w:rsidRPr="006F3839">
        <w:rPr>
          <w:rFonts w:ascii="Arial" w:hAnsi="Arial" w:cs="Arial"/>
          <w:spacing w:val="6"/>
          <w:szCs w:val="24"/>
        </w:rPr>
        <w:t xml:space="preserve"> al no haberlo hecho, la afiliación que perpetuó el traslado debe entenderse valida y ajustada a derecho. </w:t>
      </w:r>
    </w:p>
    <w:p w14:paraId="1FFE437F" w14:textId="77777777" w:rsidR="00705FD8" w:rsidRPr="006F3839" w:rsidRDefault="00705FD8" w:rsidP="006F3839">
      <w:pPr>
        <w:pStyle w:val="Sinespaciado"/>
        <w:spacing w:line="276" w:lineRule="auto"/>
        <w:ind w:firstLine="708"/>
        <w:jc w:val="both"/>
        <w:rPr>
          <w:rFonts w:ascii="Arial" w:hAnsi="Arial" w:cs="Arial"/>
          <w:spacing w:val="6"/>
          <w:szCs w:val="24"/>
        </w:rPr>
      </w:pPr>
    </w:p>
    <w:p w14:paraId="45E4F433" w14:textId="77777777" w:rsidR="006F3839" w:rsidRDefault="008D153F" w:rsidP="006F3839">
      <w:pPr>
        <w:pStyle w:val="Sinespaciado"/>
        <w:spacing w:line="276" w:lineRule="auto"/>
        <w:ind w:firstLine="708"/>
        <w:jc w:val="both"/>
        <w:rPr>
          <w:rFonts w:ascii="Arial" w:hAnsi="Arial" w:cs="Arial"/>
          <w:spacing w:val="6"/>
          <w:szCs w:val="24"/>
        </w:rPr>
      </w:pPr>
      <w:r w:rsidRPr="006F3839">
        <w:rPr>
          <w:rFonts w:ascii="Arial" w:hAnsi="Arial" w:cs="Arial"/>
          <w:spacing w:val="6"/>
          <w:szCs w:val="24"/>
        </w:rPr>
        <w:t xml:space="preserve">Pues bien. </w:t>
      </w:r>
      <w:r w:rsidR="00D96212" w:rsidRPr="006F3839">
        <w:rPr>
          <w:rFonts w:ascii="Arial" w:hAnsi="Arial" w:cs="Arial"/>
          <w:spacing w:val="6"/>
          <w:szCs w:val="24"/>
        </w:rPr>
        <w:t>Analizado</w:t>
      </w:r>
      <w:r w:rsidR="00492994" w:rsidRPr="006F3839">
        <w:rPr>
          <w:rFonts w:ascii="Arial" w:hAnsi="Arial" w:cs="Arial"/>
          <w:spacing w:val="6"/>
          <w:szCs w:val="24"/>
        </w:rPr>
        <w:t xml:space="preserve"> el caudal probatorio se encuentra que la A.F.P </w:t>
      </w:r>
      <w:r w:rsidR="00D96212" w:rsidRPr="006F3839">
        <w:rPr>
          <w:rFonts w:ascii="Arial" w:hAnsi="Arial" w:cs="Arial"/>
          <w:spacing w:val="6"/>
          <w:szCs w:val="24"/>
        </w:rPr>
        <w:t xml:space="preserve">Colpatria hoy </w:t>
      </w:r>
      <w:r w:rsidR="00492994" w:rsidRPr="006F3839">
        <w:rPr>
          <w:rFonts w:ascii="Arial" w:hAnsi="Arial" w:cs="Arial"/>
          <w:spacing w:val="6"/>
          <w:szCs w:val="24"/>
        </w:rPr>
        <w:t xml:space="preserve">Porvenir S.A., buscó demostrar su diligencia y cuidado con pruebas de naturaleza documental y con la declaración de parte de la demandante. Respecto de las primeras ha de decirse que constan en los folios </w:t>
      </w:r>
      <w:r w:rsidR="00D96212" w:rsidRPr="006F3839">
        <w:rPr>
          <w:rFonts w:ascii="Arial" w:hAnsi="Arial" w:cs="Arial"/>
          <w:spacing w:val="6"/>
          <w:szCs w:val="24"/>
        </w:rPr>
        <w:t>145 a 200</w:t>
      </w:r>
      <w:r w:rsidR="00492994" w:rsidRPr="006F3839">
        <w:rPr>
          <w:rFonts w:ascii="Arial" w:hAnsi="Arial" w:cs="Arial"/>
          <w:spacing w:val="6"/>
          <w:szCs w:val="24"/>
        </w:rPr>
        <w:t>, consistentes entre otros, en el formulario de afiliación</w:t>
      </w:r>
      <w:r w:rsidR="00D96212" w:rsidRPr="006F3839">
        <w:rPr>
          <w:rFonts w:ascii="Arial" w:hAnsi="Arial" w:cs="Arial"/>
          <w:spacing w:val="6"/>
          <w:szCs w:val="24"/>
        </w:rPr>
        <w:t xml:space="preserve"> suscrito en el año 1995</w:t>
      </w:r>
      <w:r w:rsidR="00492994" w:rsidRPr="006F3839">
        <w:rPr>
          <w:rFonts w:ascii="Arial" w:hAnsi="Arial" w:cs="Arial"/>
          <w:spacing w:val="6"/>
          <w:szCs w:val="24"/>
        </w:rPr>
        <w:t xml:space="preserve">, </w:t>
      </w:r>
      <w:r w:rsidR="007F1E14" w:rsidRPr="006F3839">
        <w:rPr>
          <w:rFonts w:ascii="Arial" w:hAnsi="Arial" w:cs="Arial"/>
          <w:spacing w:val="6"/>
          <w:szCs w:val="24"/>
        </w:rPr>
        <w:t>el historial de vinculaciones de Asofondos, la historia laboral para bono pensional, el resumen de historia laboral y el consolidado, la relación histórica de</w:t>
      </w:r>
      <w:r w:rsidR="00705FD8" w:rsidRPr="006F3839">
        <w:rPr>
          <w:rFonts w:ascii="Arial" w:hAnsi="Arial" w:cs="Arial"/>
          <w:spacing w:val="6"/>
          <w:szCs w:val="24"/>
        </w:rPr>
        <w:t xml:space="preserve"> movimientos y de aportes a Porvenir SA., el simulador pensional efectuado el 21 de diciembre de 2017, las distintas peticiones presentadas por la afiliada y su respectiva respuesta y, sendos  comunicados de prensa.</w:t>
      </w:r>
    </w:p>
    <w:p w14:paraId="6AC2D6E6" w14:textId="7B792177" w:rsidR="00492994" w:rsidRPr="006F3839" w:rsidRDefault="00705FD8" w:rsidP="006F3839">
      <w:pPr>
        <w:pStyle w:val="Sinespaciado"/>
        <w:spacing w:line="276" w:lineRule="auto"/>
        <w:ind w:firstLine="708"/>
        <w:jc w:val="both"/>
        <w:rPr>
          <w:rFonts w:ascii="Arial" w:hAnsi="Arial" w:cs="Arial"/>
          <w:spacing w:val="6"/>
          <w:szCs w:val="24"/>
        </w:rPr>
      </w:pPr>
      <w:r w:rsidRPr="006F3839">
        <w:rPr>
          <w:rFonts w:ascii="Arial" w:hAnsi="Arial" w:cs="Arial"/>
          <w:spacing w:val="6"/>
          <w:szCs w:val="24"/>
        </w:rPr>
        <w:t xml:space="preserve"> </w:t>
      </w:r>
    </w:p>
    <w:p w14:paraId="4FBB19CF" w14:textId="77777777" w:rsidR="00492994" w:rsidRPr="006F3839" w:rsidRDefault="00492994" w:rsidP="006F3839">
      <w:pPr>
        <w:shd w:val="clear" w:color="auto" w:fill="FFFFFF" w:themeFill="background1"/>
        <w:spacing w:line="276" w:lineRule="auto"/>
        <w:ind w:firstLine="708"/>
        <w:jc w:val="both"/>
        <w:rPr>
          <w:rFonts w:ascii="Arial" w:hAnsi="Arial" w:cs="Arial"/>
          <w:spacing w:val="6"/>
          <w:szCs w:val="24"/>
        </w:rPr>
      </w:pPr>
      <w:r w:rsidRPr="006F3839">
        <w:rPr>
          <w:rFonts w:ascii="Arial" w:hAnsi="Arial" w:cs="Arial"/>
          <w:spacing w:val="6"/>
          <w:szCs w:val="24"/>
        </w:rPr>
        <w:t xml:space="preserve">Revisados tales documentos, se considera que los mismos no evidencian ningún tipo de información clara, suficiente y objetiva para tomar una decisión libre, consciente y voluntaria, con el debido conocimiento de las consecuencias del traslado, con la información de los pros y los contras, como le correspondía </w:t>
      </w:r>
      <w:r w:rsidRPr="006F3839">
        <w:rPr>
          <w:rFonts w:ascii="Arial" w:hAnsi="Arial" w:cs="Arial"/>
          <w:spacing w:val="6"/>
          <w:szCs w:val="24"/>
        </w:rPr>
        <w:lastRenderedPageBreak/>
        <w:t>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w:t>
      </w:r>
    </w:p>
    <w:p w14:paraId="57D9F563" w14:textId="77777777" w:rsidR="00492994" w:rsidRPr="006F3839" w:rsidRDefault="00492994" w:rsidP="006F3839">
      <w:pPr>
        <w:pStyle w:val="Sinespaciado"/>
        <w:spacing w:line="276" w:lineRule="auto"/>
        <w:rPr>
          <w:rFonts w:ascii="Arial" w:hAnsi="Arial" w:cs="Arial"/>
          <w:spacing w:val="6"/>
          <w:szCs w:val="24"/>
        </w:rPr>
      </w:pPr>
    </w:p>
    <w:p w14:paraId="5FA7B2FA" w14:textId="77777777" w:rsidR="00492994" w:rsidRPr="006F3839" w:rsidRDefault="00492994" w:rsidP="006F3839">
      <w:pPr>
        <w:spacing w:line="276" w:lineRule="auto"/>
        <w:ind w:firstLine="643"/>
        <w:jc w:val="both"/>
        <w:rPr>
          <w:rFonts w:ascii="Arial" w:hAnsi="Arial" w:cs="Arial"/>
          <w:spacing w:val="6"/>
          <w:szCs w:val="24"/>
        </w:rPr>
      </w:pPr>
      <w:r w:rsidRPr="006F3839">
        <w:rPr>
          <w:rFonts w:ascii="Arial" w:hAnsi="Arial" w:cs="Arial"/>
          <w:spacing w:val="6"/>
          <w:szCs w:val="24"/>
        </w:rPr>
        <w:t xml:space="preserve">De otra parte,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dicho documento no acredita que efectivamente el acto de traslado estuvo precedido de la ilustración suficiente a la afiliada,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 </w:t>
      </w:r>
    </w:p>
    <w:p w14:paraId="3F89FCC2" w14:textId="77777777" w:rsidR="00492994" w:rsidRPr="006F3839" w:rsidRDefault="00492994" w:rsidP="006F3839">
      <w:pPr>
        <w:spacing w:line="276" w:lineRule="auto"/>
        <w:ind w:firstLine="643"/>
        <w:jc w:val="both"/>
        <w:rPr>
          <w:rFonts w:ascii="Arial" w:hAnsi="Arial" w:cs="Arial"/>
          <w:spacing w:val="6"/>
          <w:szCs w:val="24"/>
        </w:rPr>
      </w:pPr>
    </w:p>
    <w:p w14:paraId="390A8B85" w14:textId="32992309" w:rsidR="525C5947" w:rsidRDefault="00705FD8" w:rsidP="006F3839">
      <w:pPr>
        <w:spacing w:line="276" w:lineRule="auto"/>
        <w:ind w:firstLine="708"/>
        <w:jc w:val="both"/>
        <w:rPr>
          <w:rFonts w:ascii="Arial" w:hAnsi="Arial" w:cs="Arial"/>
          <w:spacing w:val="6"/>
          <w:szCs w:val="24"/>
        </w:rPr>
      </w:pPr>
      <w:r w:rsidRPr="006F3839">
        <w:rPr>
          <w:rFonts w:ascii="Arial" w:hAnsi="Arial" w:cs="Arial"/>
          <w:spacing w:val="6"/>
          <w:szCs w:val="24"/>
        </w:rPr>
        <w:t xml:space="preserve">Tampoco </w:t>
      </w:r>
      <w:r w:rsidR="009C0257" w:rsidRPr="006F3839">
        <w:rPr>
          <w:rFonts w:ascii="Arial" w:hAnsi="Arial" w:cs="Arial"/>
          <w:spacing w:val="6"/>
          <w:szCs w:val="24"/>
        </w:rPr>
        <w:t xml:space="preserve">se desprende algo distinto de la </w:t>
      </w:r>
      <w:r w:rsidRPr="006F3839">
        <w:rPr>
          <w:rFonts w:ascii="Arial" w:hAnsi="Arial" w:cs="Arial"/>
          <w:spacing w:val="6"/>
          <w:szCs w:val="24"/>
        </w:rPr>
        <w:t xml:space="preserve">declaración de parte rendida por la </w:t>
      </w:r>
      <w:r w:rsidR="009C0257" w:rsidRPr="006F3839">
        <w:rPr>
          <w:rFonts w:ascii="Arial" w:hAnsi="Arial" w:cs="Arial"/>
          <w:spacing w:val="6"/>
          <w:szCs w:val="24"/>
        </w:rPr>
        <w:t>activa</w:t>
      </w:r>
      <w:r w:rsidRPr="006F3839">
        <w:rPr>
          <w:rFonts w:ascii="Arial" w:hAnsi="Arial" w:cs="Arial"/>
          <w:spacing w:val="6"/>
          <w:szCs w:val="24"/>
        </w:rPr>
        <w:t xml:space="preserve">, puesto que al analizar la referida </w:t>
      </w:r>
      <w:r w:rsidR="009C0257" w:rsidRPr="006F3839">
        <w:rPr>
          <w:rFonts w:ascii="Arial" w:hAnsi="Arial" w:cs="Arial"/>
          <w:spacing w:val="6"/>
          <w:szCs w:val="24"/>
        </w:rPr>
        <w:t xml:space="preserve">prueba, lo que la demandante </w:t>
      </w:r>
      <w:r w:rsidRPr="006F3839">
        <w:rPr>
          <w:rFonts w:ascii="Arial" w:hAnsi="Arial" w:cs="Arial"/>
          <w:spacing w:val="6"/>
          <w:szCs w:val="24"/>
        </w:rPr>
        <w:t xml:space="preserve">manifestó </w:t>
      </w:r>
      <w:r w:rsidR="009C0257" w:rsidRPr="006F3839">
        <w:rPr>
          <w:rFonts w:ascii="Arial" w:hAnsi="Arial" w:cs="Arial"/>
          <w:spacing w:val="6"/>
          <w:szCs w:val="24"/>
        </w:rPr>
        <w:t xml:space="preserve">básicamente fue </w:t>
      </w:r>
      <w:r w:rsidRPr="006F3839">
        <w:rPr>
          <w:rFonts w:ascii="Arial" w:hAnsi="Arial" w:cs="Arial"/>
          <w:spacing w:val="6"/>
          <w:szCs w:val="24"/>
        </w:rPr>
        <w:t xml:space="preserve">que para el momento del traslado fue reunida </w:t>
      </w:r>
      <w:r w:rsidR="00861C61" w:rsidRPr="006F3839">
        <w:rPr>
          <w:rFonts w:ascii="Arial" w:hAnsi="Arial" w:cs="Arial"/>
          <w:spacing w:val="6"/>
          <w:szCs w:val="24"/>
        </w:rPr>
        <w:t xml:space="preserve">con el resto del personal </w:t>
      </w:r>
      <w:r w:rsidRPr="006F3839">
        <w:rPr>
          <w:rFonts w:ascii="Arial" w:hAnsi="Arial" w:cs="Arial"/>
          <w:spacing w:val="6"/>
          <w:szCs w:val="24"/>
        </w:rPr>
        <w:t>en</w:t>
      </w:r>
      <w:r w:rsidR="00861C61" w:rsidRPr="006F3839">
        <w:rPr>
          <w:rFonts w:ascii="Arial" w:hAnsi="Arial" w:cs="Arial"/>
          <w:spacing w:val="6"/>
          <w:szCs w:val="24"/>
        </w:rPr>
        <w:t xml:space="preserve"> las instalaciones d</w:t>
      </w:r>
      <w:r w:rsidRPr="006F3839">
        <w:rPr>
          <w:rFonts w:ascii="Arial" w:hAnsi="Arial" w:cs="Arial"/>
          <w:spacing w:val="6"/>
          <w:szCs w:val="24"/>
        </w:rPr>
        <w:t xml:space="preserve">el Consejo de la Alcaldía Municipal de Caloto, Cauca donde </w:t>
      </w:r>
      <w:r w:rsidR="00861C61" w:rsidRPr="006F3839">
        <w:rPr>
          <w:rFonts w:ascii="Arial" w:hAnsi="Arial" w:cs="Arial"/>
          <w:spacing w:val="6"/>
          <w:szCs w:val="24"/>
        </w:rPr>
        <w:t xml:space="preserve">ella </w:t>
      </w:r>
      <w:r w:rsidRPr="006F3839">
        <w:rPr>
          <w:rFonts w:ascii="Arial" w:hAnsi="Arial" w:cs="Arial"/>
          <w:spacing w:val="6"/>
          <w:szCs w:val="24"/>
        </w:rPr>
        <w:t>laboraba</w:t>
      </w:r>
      <w:r w:rsidR="009C0257" w:rsidRPr="006F3839">
        <w:rPr>
          <w:rFonts w:ascii="Arial" w:hAnsi="Arial" w:cs="Arial"/>
          <w:spacing w:val="6"/>
          <w:szCs w:val="24"/>
        </w:rPr>
        <w:t xml:space="preserve">; que allí </w:t>
      </w:r>
      <w:r w:rsidR="00861C61" w:rsidRPr="006F3839">
        <w:rPr>
          <w:rFonts w:ascii="Arial" w:hAnsi="Arial" w:cs="Arial"/>
          <w:spacing w:val="6"/>
          <w:szCs w:val="24"/>
        </w:rPr>
        <w:t xml:space="preserve">dos asesores de la entidad les informaron de manera generalizada que era importante que tomaran la decisión de trasladarse de régimen ya que el Instituto de Seguros Sociales iba a desaparecer y debían asegurar un futuro. Refiere que les explicaron sobre los beneficios que iban a tener en caso de aceptar el traslado, y posteriormente se acercaron a cada uno de los puestos de trabajo para recoger la </w:t>
      </w:r>
      <w:r w:rsidR="009C0257" w:rsidRPr="006F3839">
        <w:rPr>
          <w:rFonts w:ascii="Arial" w:hAnsi="Arial" w:cs="Arial"/>
          <w:spacing w:val="6"/>
          <w:szCs w:val="24"/>
        </w:rPr>
        <w:t>información</w:t>
      </w:r>
      <w:r w:rsidR="00861C61" w:rsidRPr="006F3839">
        <w:rPr>
          <w:rFonts w:ascii="Arial" w:hAnsi="Arial" w:cs="Arial"/>
          <w:spacing w:val="6"/>
          <w:szCs w:val="24"/>
        </w:rPr>
        <w:t xml:space="preserve"> y diligenciar los formularios de afiliación. Indica que la asesoría nunca fue personalizada, que nunca les dieron a conocer las desventajas, riesgos y consecuencias jurídicas, pues solo “</w:t>
      </w:r>
      <w:r w:rsidR="00861C61" w:rsidRPr="006F3839">
        <w:rPr>
          <w:rFonts w:ascii="Arial" w:hAnsi="Arial" w:cs="Arial"/>
          <w:spacing w:val="6"/>
          <w:sz w:val="22"/>
          <w:szCs w:val="24"/>
        </w:rPr>
        <w:t>contaron la parte bu</w:t>
      </w:r>
      <w:r w:rsidR="006F3839" w:rsidRPr="006F3839">
        <w:rPr>
          <w:rFonts w:ascii="Arial" w:hAnsi="Arial" w:cs="Arial"/>
          <w:spacing w:val="6"/>
          <w:sz w:val="22"/>
          <w:szCs w:val="24"/>
        </w:rPr>
        <w:t>ena para que uno se enamorara</w:t>
      </w:r>
      <w:r w:rsidR="006F3839">
        <w:rPr>
          <w:rFonts w:ascii="Arial" w:hAnsi="Arial" w:cs="Arial"/>
          <w:spacing w:val="6"/>
          <w:szCs w:val="24"/>
        </w:rPr>
        <w:t>”.</w:t>
      </w:r>
    </w:p>
    <w:p w14:paraId="37E1EA09" w14:textId="77777777" w:rsidR="006F3839" w:rsidRPr="006F3839" w:rsidRDefault="006F3839" w:rsidP="006F3839">
      <w:pPr>
        <w:spacing w:line="276" w:lineRule="auto"/>
        <w:ind w:firstLine="708"/>
        <w:jc w:val="both"/>
        <w:rPr>
          <w:rFonts w:ascii="Arial" w:hAnsi="Arial" w:cs="Arial"/>
          <w:spacing w:val="6"/>
          <w:szCs w:val="24"/>
        </w:rPr>
      </w:pPr>
    </w:p>
    <w:p w14:paraId="4156EE94" w14:textId="3763C91E" w:rsidR="009C0257" w:rsidRPr="006F3839" w:rsidRDefault="009C0257" w:rsidP="006F3839">
      <w:pPr>
        <w:spacing w:line="276" w:lineRule="auto"/>
        <w:ind w:firstLine="708"/>
        <w:jc w:val="both"/>
        <w:rPr>
          <w:rFonts w:ascii="Arial" w:hAnsi="Arial" w:cs="Arial"/>
          <w:spacing w:val="6"/>
          <w:szCs w:val="24"/>
        </w:rPr>
      </w:pPr>
      <w:r w:rsidRPr="006F3839">
        <w:rPr>
          <w:rFonts w:ascii="Arial" w:hAnsi="Arial" w:cs="Arial"/>
          <w:spacing w:val="6"/>
          <w:szCs w:val="24"/>
        </w:rPr>
        <w:t>De tales manifestaciones, las cuales coinciden con los hechos planteados en el libelo introductor del proceso, a juicio de la Sala no es posible  colegir que la demandante recibió información suficiente, clara y completa de las consecuencias jurídicas, ventajas y desventajas que acarrearía el traslado de régimen pensional, pues nótese que únicamente se le puso de presente un panorama de ventajas objetivas dentro del Régimen de Ahorro Individual, entre ellas, la más llamativa para formalizar el traslado, la obtención de una mesada pensional superior a la que reconocería el Régimen administrado por el entonces I.S.S., situación que no se acompasa a la realidad, pues conforme a la proyección efectuada en el año 2017 por el fondo privado accionado, la mesada que la demandante recibiría a los 60 años de edad en el R.A.I.S sería del equivalente a un salario mínimo, al paso que, de haber permanecido en el Régimen de Prima Media habría alcanzado la suma de $2´272.400 (fl.188 a 191).</w:t>
      </w:r>
      <w:r w:rsidR="664DAF3D" w:rsidRPr="006F3839">
        <w:rPr>
          <w:rFonts w:ascii="Arial" w:hAnsi="Arial" w:cs="Arial"/>
          <w:spacing w:val="6"/>
          <w:szCs w:val="24"/>
        </w:rPr>
        <w:t xml:space="preserve"> </w:t>
      </w:r>
    </w:p>
    <w:p w14:paraId="3F0B8001" w14:textId="77777777" w:rsidR="009C0257" w:rsidRPr="006F3839" w:rsidRDefault="009C0257" w:rsidP="006F3839">
      <w:pPr>
        <w:spacing w:line="276" w:lineRule="auto"/>
        <w:ind w:firstLine="708"/>
        <w:jc w:val="both"/>
        <w:rPr>
          <w:rFonts w:ascii="Arial" w:hAnsi="Arial" w:cs="Arial"/>
          <w:spacing w:val="6"/>
          <w:szCs w:val="24"/>
        </w:rPr>
      </w:pPr>
    </w:p>
    <w:p w14:paraId="373A70D8" w14:textId="779C247B" w:rsidR="009C0257" w:rsidRPr="006F3839" w:rsidRDefault="61071391" w:rsidP="006F3839">
      <w:pPr>
        <w:spacing w:line="276" w:lineRule="auto"/>
        <w:ind w:firstLine="708"/>
        <w:jc w:val="both"/>
        <w:rPr>
          <w:rFonts w:ascii="Arial" w:hAnsi="Arial" w:cs="Arial"/>
          <w:spacing w:val="6"/>
          <w:szCs w:val="24"/>
        </w:rPr>
      </w:pPr>
      <w:r w:rsidRPr="006F3839">
        <w:rPr>
          <w:rFonts w:ascii="Arial" w:hAnsi="Arial" w:cs="Arial"/>
          <w:spacing w:val="6"/>
          <w:szCs w:val="24"/>
        </w:rPr>
        <w:lastRenderedPageBreak/>
        <w:t xml:space="preserve">Adicional a lo anterior, </w:t>
      </w:r>
      <w:r w:rsidR="009C0257" w:rsidRPr="006F3839">
        <w:rPr>
          <w:rFonts w:ascii="Arial" w:hAnsi="Arial" w:cs="Arial"/>
          <w:spacing w:val="6"/>
          <w:szCs w:val="24"/>
        </w:rPr>
        <w:t>se considera que lo dicho por la demandante no tiene tampoco la virtualidad de medir si la entidad cumplió o no con el deber de información a su cargo, máxime cuando en la misma demanda la parte alega la falta al deber de información de manera clara, suficiente y completa por parte de la entidad privada, de modo que, es al operador judicial a quien le corresponde determinar con base en el material probatorio que al respecto allegue la administradora de pensiones, si la información fue o no suficiente, tal cual lo exige la jurisprudencia a la cual se ha hecho alusión, consistente en que la entidad debe documentar el tipo de información que brinda al afiliado(a) y conservarla en sus archivos (Sentencia SL1452, radicado 68852, 3 de abril de 2019). </w:t>
      </w:r>
    </w:p>
    <w:p w14:paraId="5807D713" w14:textId="77777777" w:rsidR="00492994" w:rsidRPr="006F3839" w:rsidRDefault="00492994" w:rsidP="006F3839">
      <w:pPr>
        <w:spacing w:line="276" w:lineRule="auto"/>
        <w:jc w:val="both"/>
        <w:rPr>
          <w:rFonts w:ascii="Arial" w:hAnsi="Arial" w:cs="Arial"/>
          <w:spacing w:val="6"/>
          <w:szCs w:val="24"/>
        </w:rPr>
      </w:pPr>
      <w:r w:rsidRPr="006F3839">
        <w:rPr>
          <w:rFonts w:ascii="Arial" w:hAnsi="Arial" w:cs="Arial"/>
          <w:spacing w:val="6"/>
          <w:szCs w:val="24"/>
        </w:rPr>
        <w:tab/>
      </w:r>
    </w:p>
    <w:p w14:paraId="0ECCF871" w14:textId="524C5896" w:rsidR="05C30095" w:rsidRPr="006F3839" w:rsidRDefault="05C30095" w:rsidP="006F3839">
      <w:pPr>
        <w:spacing w:line="276" w:lineRule="auto"/>
        <w:ind w:firstLine="708"/>
        <w:jc w:val="both"/>
        <w:rPr>
          <w:rFonts w:ascii="Arial" w:eastAsia="Arial Narrow" w:hAnsi="Arial" w:cs="Arial"/>
          <w:spacing w:val="6"/>
          <w:szCs w:val="24"/>
          <w:lang w:val="es-ES"/>
        </w:rPr>
      </w:pPr>
      <w:r w:rsidRPr="006F3839">
        <w:rPr>
          <w:rFonts w:ascii="Arial" w:eastAsia="Arial Narrow" w:hAnsi="Arial" w:cs="Arial"/>
          <w:spacing w:val="6"/>
          <w:szCs w:val="24"/>
          <w:lang w:val="es-ES"/>
        </w:rPr>
        <w:t xml:space="preserve">En relación con el ataque de la alzada,  encaminado a cuestionar la procedencia de la ineficacia del acto jurídico de traslado, con el argumento de </w:t>
      </w:r>
      <w:r w:rsidRPr="006F3839">
        <w:rPr>
          <w:rFonts w:ascii="Arial" w:eastAsia="Arial Narrow" w:hAnsi="Arial" w:cs="Arial"/>
          <w:b/>
          <w:bCs/>
          <w:spacing w:val="6"/>
          <w:szCs w:val="24"/>
          <w:lang w:val="es-ES"/>
        </w:rPr>
        <w:t>no ser la demandante beneficiaria del régimen de transición estatuido en el artículo 36 de la Ley 100 de 1993</w:t>
      </w:r>
      <w:r w:rsidRPr="006F3839">
        <w:rPr>
          <w:rFonts w:ascii="Arial" w:eastAsia="Arial Narrow" w:hAnsi="Arial" w:cs="Arial"/>
          <w:spacing w:val="6"/>
          <w:szCs w:val="24"/>
          <w:lang w:val="es-ES"/>
        </w:rPr>
        <w:t xml:space="preserve"> antes de la migración de régimen pensional, baste decirse desde ya, que el mismo no está llamado a prosperar pues tal circunstancia no es un prerrequisito para la prosperidad de la súplica de ineficacia, tal como lo ha explicado el órgano de cierre de nuestra especialidad laboral, en múltiples pronunciamientos tanto en sede ordinaria como de tutela, al precisar que, en todos los casos, la migración de un régimen a otro debe estar precedida de una decisión informada que le permita al afiliado hacer la selección más apropiada a su plan de vida.</w:t>
      </w:r>
    </w:p>
    <w:p w14:paraId="288BBC91" w14:textId="2D8C24E5" w:rsidR="05C30095" w:rsidRPr="006F3839" w:rsidRDefault="05C30095" w:rsidP="006F3839">
      <w:pPr>
        <w:spacing w:line="276" w:lineRule="auto"/>
        <w:ind w:firstLine="708"/>
        <w:jc w:val="both"/>
        <w:rPr>
          <w:rFonts w:ascii="Arial" w:eastAsia="Arial Narrow" w:hAnsi="Arial" w:cs="Arial"/>
          <w:spacing w:val="6"/>
          <w:szCs w:val="24"/>
          <w:lang w:val="es-ES"/>
        </w:rPr>
      </w:pPr>
      <w:r w:rsidRPr="006F3839">
        <w:rPr>
          <w:rFonts w:ascii="Arial" w:eastAsia="Arial Narrow" w:hAnsi="Arial" w:cs="Arial"/>
          <w:spacing w:val="6"/>
          <w:szCs w:val="24"/>
          <w:lang w:val="es-ES"/>
        </w:rPr>
        <w:t xml:space="preserve"> </w:t>
      </w:r>
    </w:p>
    <w:p w14:paraId="408668B5" w14:textId="3F38C919" w:rsidR="05C30095" w:rsidRPr="006F3839" w:rsidRDefault="05C30095" w:rsidP="006F3839">
      <w:pPr>
        <w:spacing w:line="276" w:lineRule="auto"/>
        <w:jc w:val="both"/>
        <w:rPr>
          <w:rFonts w:ascii="Arial" w:eastAsia="Arial Narrow" w:hAnsi="Arial" w:cs="Arial"/>
          <w:spacing w:val="6"/>
          <w:szCs w:val="24"/>
          <w:lang w:val="es-ES"/>
        </w:rPr>
      </w:pPr>
      <w:r w:rsidRPr="006F3839">
        <w:rPr>
          <w:rFonts w:ascii="Arial" w:eastAsia="Arial Narrow" w:hAnsi="Arial" w:cs="Arial"/>
          <w:spacing w:val="6"/>
          <w:szCs w:val="24"/>
          <w:lang w:val="es-ES"/>
        </w:rPr>
        <w:t xml:space="preserve">Para el efecto de lo que aquí se afirma, baste con mencionar las sentencias SL4964/18, 14 noviembre de 2018, radicación 54814 y la sentencia de tutela </w:t>
      </w:r>
      <w:r w:rsidR="6F04DD5F" w:rsidRPr="006F3839">
        <w:rPr>
          <w:rFonts w:ascii="Arial" w:eastAsia="Arial Narrow" w:hAnsi="Arial" w:cs="Arial"/>
          <w:spacing w:val="6"/>
          <w:szCs w:val="24"/>
          <w:lang w:val="es-ES"/>
        </w:rPr>
        <w:t>STL3196 del 18 de marzo de 2020, radicación 57458</w:t>
      </w:r>
      <w:r w:rsidRPr="006F3839">
        <w:rPr>
          <w:rFonts w:ascii="Arial" w:eastAsia="Arial Narrow" w:hAnsi="Arial" w:cs="Arial"/>
          <w:spacing w:val="6"/>
          <w:szCs w:val="24"/>
          <w:lang w:val="es-ES"/>
        </w:rPr>
        <w:t xml:space="preserve"> ésta última en la que al resolver una acción de tutela interpuesta contra de una de las Salas de Decisión Laboral este Tribunal, la alta Corporación dejó clara su postura respecto al tema, al señalar que:</w:t>
      </w:r>
    </w:p>
    <w:p w14:paraId="37D71205" w14:textId="034AC4CD" w:rsidR="05C30095" w:rsidRPr="006F3839" w:rsidRDefault="05C30095" w:rsidP="006F3839">
      <w:pPr>
        <w:spacing w:line="276" w:lineRule="auto"/>
        <w:jc w:val="both"/>
        <w:rPr>
          <w:rFonts w:ascii="Arial" w:eastAsia="Arial Narrow" w:hAnsi="Arial" w:cs="Arial"/>
          <w:spacing w:val="6"/>
          <w:szCs w:val="24"/>
          <w:lang w:val="es-ES"/>
        </w:rPr>
      </w:pPr>
      <w:r w:rsidRPr="006F3839">
        <w:rPr>
          <w:rFonts w:ascii="Arial" w:eastAsia="Arial Narrow" w:hAnsi="Arial" w:cs="Arial"/>
          <w:spacing w:val="6"/>
          <w:szCs w:val="24"/>
          <w:lang w:val="es-ES"/>
        </w:rPr>
        <w:t xml:space="preserve"> </w:t>
      </w:r>
    </w:p>
    <w:p w14:paraId="79B9BCEF" w14:textId="1BBADF48" w:rsidR="05C30095" w:rsidRPr="006F3839" w:rsidRDefault="05C30095"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“Es extraño que el Tribunal afirme que la ineficacia del traslado de régimen pensional solo se predique respecto a los afiliados del régimen de transición. </w:t>
      </w:r>
      <w:r w:rsidRPr="006F3839">
        <w:rPr>
          <w:rFonts w:ascii="Arial" w:hAnsi="Arial" w:cs="Arial"/>
          <w:b/>
          <w:i/>
          <w:iCs/>
          <w:spacing w:val="12"/>
          <w:sz w:val="22"/>
          <w:szCs w:val="24"/>
        </w:rPr>
        <w:t>Ello por cuanto la Corte no ha condicionado su jurisprudencia a que el afiliado demuestre ser beneficiario del régimen de transición, ni tampoco tendría justificación constitucional otorgar tal derecho a un grupo de afiliados en desmedro de otros</w:t>
      </w:r>
      <w:r w:rsidRPr="006F3839">
        <w:rPr>
          <w:rFonts w:ascii="Arial" w:hAnsi="Arial" w:cs="Arial"/>
          <w:i/>
          <w:iCs/>
          <w:spacing w:val="12"/>
          <w:sz w:val="22"/>
          <w:szCs w:val="24"/>
        </w:rPr>
        <w:t xml:space="preserve">.  </w:t>
      </w:r>
    </w:p>
    <w:p w14:paraId="55FA1E72" w14:textId="4CD83CAF" w:rsidR="05C30095" w:rsidRPr="006F3839" w:rsidRDefault="05C30095"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p>
    <w:p w14:paraId="5B2D6E15" w14:textId="7DB9EE62" w:rsidR="05C30095" w:rsidRPr="006F3839" w:rsidRDefault="05C30095"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En efecto, la regla jurisprudencial identificable en sentencias CSJ SL 31989, 9 sep. 2008, CSJ SL 31314, 9 sep. 2008, CSJ SL 33083, 22 nov. 2011, CSJ SL12136-2014 y CSJ SL19447-2017, es que las administradoras de fondos de pensiones deben suministrar al afiliado información clara, cierta, comprensible y oportuna de las características, condiciones, beneficios, diferencias, riesgos y consecuencias del cambio de régimen pensional y, además, que en estos procesos opera una inversión de la carga de la prueba en favor del afiliado. </w:t>
      </w:r>
      <w:r w:rsidRPr="006F3839">
        <w:rPr>
          <w:rFonts w:ascii="Arial" w:hAnsi="Arial" w:cs="Arial"/>
          <w:b/>
          <w:i/>
          <w:iCs/>
          <w:spacing w:val="12"/>
          <w:sz w:val="22"/>
          <w:szCs w:val="24"/>
        </w:rPr>
        <w:t>En ninguna de ellas se afirma o se insinúa que solo aplique a los beneficiarios del régimen de transición</w:t>
      </w:r>
      <w:r w:rsidRPr="006F3839">
        <w:rPr>
          <w:rFonts w:ascii="Arial" w:hAnsi="Arial" w:cs="Arial"/>
          <w:i/>
          <w:iCs/>
          <w:spacing w:val="12"/>
          <w:sz w:val="22"/>
          <w:szCs w:val="24"/>
        </w:rPr>
        <w:t xml:space="preserve">, de manera que el Tribunal accionado omitió aplicar tal precedente y, con ello, lesionó los derechos pensionales de la demandante».” (Negrillas del texto original).   </w:t>
      </w:r>
    </w:p>
    <w:p w14:paraId="01775FE1" w14:textId="2F08C413" w:rsidR="05C30095" w:rsidRPr="006F3839" w:rsidRDefault="05C30095" w:rsidP="006F3839">
      <w:pPr>
        <w:spacing w:line="276" w:lineRule="auto"/>
        <w:ind w:firstLine="708"/>
        <w:jc w:val="both"/>
        <w:rPr>
          <w:rFonts w:ascii="Arial" w:eastAsia="Arial Narrow" w:hAnsi="Arial" w:cs="Arial"/>
          <w:spacing w:val="6"/>
          <w:szCs w:val="24"/>
          <w:lang w:val="es-ES"/>
        </w:rPr>
      </w:pPr>
      <w:r w:rsidRPr="006F3839">
        <w:rPr>
          <w:rFonts w:ascii="Arial" w:eastAsia="Arial Narrow" w:hAnsi="Arial" w:cs="Arial"/>
          <w:spacing w:val="6"/>
          <w:szCs w:val="24"/>
          <w:lang w:val="es-ES"/>
        </w:rPr>
        <w:t xml:space="preserve"> </w:t>
      </w:r>
    </w:p>
    <w:p w14:paraId="3FD2CE1E" w14:textId="77777777" w:rsidR="00492994" w:rsidRPr="006F3839" w:rsidRDefault="00492994" w:rsidP="006F3839">
      <w:pPr>
        <w:pStyle w:val="Textoindependiente"/>
        <w:spacing w:line="276" w:lineRule="auto"/>
        <w:ind w:firstLine="708"/>
        <w:rPr>
          <w:rFonts w:cs="Arial"/>
          <w:spacing w:val="6"/>
          <w:sz w:val="24"/>
          <w:szCs w:val="24"/>
        </w:rPr>
      </w:pPr>
      <w:r w:rsidRPr="006F3839">
        <w:rPr>
          <w:rFonts w:cs="Arial"/>
          <w:spacing w:val="6"/>
          <w:sz w:val="24"/>
          <w:szCs w:val="24"/>
        </w:rPr>
        <w:lastRenderedPageBreak/>
        <w:t>En ese orden,  la Sala comparte los argumentos utilizados por el A Quo, en aras a fulminar la declaración de ineficacia del traslado de régimen pensional, pues como se dijo basta la mera ausencia de información a la afiliada, clara, precisa y completa, para que se produzca la irregularidad del acto de cambio de régimen pensional, situación que fue exactamente la que ocurrió en el presente caso; por ello no queda la menor duda que, en este caso, al no haberse arrimado al proceso prueba idónea y completa de la información que  le debió brindar la A.F.P. POR</w:t>
      </w:r>
      <w:r w:rsidR="0082388A" w:rsidRPr="006F3839">
        <w:rPr>
          <w:rFonts w:cs="Arial"/>
          <w:spacing w:val="6"/>
          <w:sz w:val="24"/>
          <w:szCs w:val="24"/>
        </w:rPr>
        <w:t>V</w:t>
      </w:r>
      <w:r w:rsidRPr="006F3839">
        <w:rPr>
          <w:rFonts w:cs="Arial"/>
          <w:spacing w:val="6"/>
          <w:sz w:val="24"/>
          <w:szCs w:val="24"/>
        </w:rPr>
        <w:t xml:space="preserve">ENIR S.A., a la demandante en el traslado que esta realizó en julio de </w:t>
      </w:r>
      <w:r w:rsidR="0082388A" w:rsidRPr="006F3839">
        <w:rPr>
          <w:rFonts w:cs="Arial"/>
          <w:spacing w:val="6"/>
          <w:sz w:val="24"/>
          <w:szCs w:val="24"/>
        </w:rPr>
        <w:t>1995</w:t>
      </w:r>
      <w:r w:rsidRPr="006F3839">
        <w:rPr>
          <w:rFonts w:cs="Arial"/>
          <w:spacing w:val="6"/>
          <w:sz w:val="24"/>
          <w:szCs w:val="24"/>
        </w:rPr>
        <w:t xml:space="preserve"> -  carga probatoria que co</w:t>
      </w:r>
      <w:r w:rsidR="009C0257" w:rsidRPr="006F3839">
        <w:rPr>
          <w:rFonts w:cs="Arial"/>
          <w:spacing w:val="6"/>
          <w:sz w:val="24"/>
          <w:szCs w:val="24"/>
        </w:rPr>
        <w:t xml:space="preserve">mo quedó visto era de la AFP - </w:t>
      </w:r>
      <w:r w:rsidRPr="006F3839">
        <w:rPr>
          <w:rFonts w:cs="Arial"/>
          <w:spacing w:val="6"/>
          <w:sz w:val="24"/>
          <w:szCs w:val="24"/>
        </w:rPr>
        <w:t xml:space="preserve">, la consecuencia no puede ser otra diferente a la de declarar ineficaz tal acto y, por tanto, tener como vinculación válida la que tenía la demandante con el Régimen de Prima Media con Prestación definida.    </w:t>
      </w:r>
    </w:p>
    <w:p w14:paraId="153A230D" w14:textId="77777777" w:rsidR="00492994" w:rsidRPr="006F3839" w:rsidRDefault="00492994" w:rsidP="006F3839">
      <w:pPr>
        <w:pStyle w:val="Textoindependiente"/>
        <w:spacing w:line="276" w:lineRule="auto"/>
        <w:ind w:firstLine="708"/>
        <w:rPr>
          <w:rFonts w:cs="Arial"/>
          <w:spacing w:val="6"/>
          <w:sz w:val="24"/>
          <w:szCs w:val="24"/>
        </w:rPr>
      </w:pPr>
    </w:p>
    <w:p w14:paraId="4AD4C5F1" w14:textId="3A2B7D31" w:rsidR="00492994" w:rsidRPr="006F3839" w:rsidRDefault="00F97E87" w:rsidP="006F3839">
      <w:pPr>
        <w:pStyle w:val="Textoindependiente"/>
        <w:spacing w:line="276" w:lineRule="auto"/>
        <w:ind w:firstLine="708"/>
        <w:rPr>
          <w:rFonts w:cs="Arial"/>
          <w:spacing w:val="6"/>
          <w:sz w:val="24"/>
          <w:szCs w:val="24"/>
        </w:rPr>
      </w:pPr>
      <w:r w:rsidRPr="006F3839">
        <w:rPr>
          <w:rFonts w:cs="Arial"/>
          <w:spacing w:val="6"/>
          <w:sz w:val="24"/>
          <w:szCs w:val="24"/>
        </w:rPr>
        <w:t xml:space="preserve">Lo anterior, en suma conlleva </w:t>
      </w:r>
      <w:r w:rsidR="00492994" w:rsidRPr="006F3839">
        <w:rPr>
          <w:rFonts w:cs="Arial"/>
          <w:spacing w:val="6"/>
          <w:sz w:val="24"/>
          <w:szCs w:val="24"/>
        </w:rPr>
        <w:t xml:space="preserve">entonces a que las partes deben ser restituidas al estado anterior (art. 1746 del CCC), esto es, que la afiliación de la demandante con Colpensiones, no solo nunca sufrió alteración alguna, sino que la entidad demandada que actualmente maneja su cuenta de ahorro individual, esto es, </w:t>
      </w:r>
      <w:r w:rsidR="009C0257" w:rsidRPr="006F3839">
        <w:rPr>
          <w:rFonts w:cs="Arial"/>
          <w:spacing w:val="6"/>
          <w:sz w:val="24"/>
          <w:szCs w:val="24"/>
        </w:rPr>
        <w:t>P</w:t>
      </w:r>
      <w:r w:rsidR="24570BF9" w:rsidRPr="006F3839">
        <w:rPr>
          <w:rFonts w:cs="Arial"/>
          <w:spacing w:val="6"/>
          <w:sz w:val="24"/>
          <w:szCs w:val="24"/>
        </w:rPr>
        <w:t xml:space="preserve">ORVENIR </w:t>
      </w:r>
      <w:r w:rsidR="009C0257" w:rsidRPr="006F3839">
        <w:rPr>
          <w:rFonts w:cs="Arial"/>
          <w:spacing w:val="6"/>
          <w:sz w:val="24"/>
          <w:szCs w:val="24"/>
        </w:rPr>
        <w:t xml:space="preserve"> </w:t>
      </w:r>
      <w:r w:rsidR="00492994" w:rsidRPr="006F3839">
        <w:rPr>
          <w:rFonts w:cs="Arial"/>
          <w:spacing w:val="6"/>
          <w:sz w:val="24"/>
          <w:szCs w:val="24"/>
        </w:rPr>
        <w:t>S.A., debe devolver a la administradora del Régimen de Prima Media – Colpensiones, todas las cotizaciones, con sus rendimientos,</w:t>
      </w:r>
      <w:r w:rsidR="113F499E" w:rsidRPr="006F3839">
        <w:rPr>
          <w:rFonts w:cs="Arial"/>
          <w:spacing w:val="6"/>
          <w:sz w:val="24"/>
          <w:szCs w:val="24"/>
        </w:rPr>
        <w:t xml:space="preserve"> frutos e intereses, tal cual lo dispuso la sentenciadora de primer grado. </w:t>
      </w:r>
    </w:p>
    <w:p w14:paraId="7DEB171C" w14:textId="44C9720E" w:rsidR="00492994" w:rsidRPr="006F3839" w:rsidRDefault="00492994" w:rsidP="006F3839">
      <w:pPr>
        <w:pStyle w:val="Textoindependiente"/>
        <w:spacing w:line="276" w:lineRule="auto"/>
        <w:ind w:firstLine="708"/>
        <w:rPr>
          <w:rFonts w:cs="Arial"/>
          <w:spacing w:val="6"/>
          <w:sz w:val="24"/>
          <w:szCs w:val="24"/>
        </w:rPr>
      </w:pPr>
    </w:p>
    <w:p w14:paraId="2FF29942" w14:textId="48856444" w:rsidR="00492994" w:rsidRPr="006F3839" w:rsidRDefault="113F499E" w:rsidP="006F3839">
      <w:pPr>
        <w:pStyle w:val="Textoindependiente"/>
        <w:spacing w:line="276" w:lineRule="auto"/>
        <w:ind w:firstLine="708"/>
        <w:rPr>
          <w:rFonts w:eastAsia="Arial Narrow" w:cs="Arial"/>
          <w:spacing w:val="6"/>
          <w:sz w:val="24"/>
          <w:szCs w:val="24"/>
          <w:lang w:val="es-ES"/>
        </w:rPr>
      </w:pPr>
      <w:r w:rsidRPr="006F3839">
        <w:rPr>
          <w:rFonts w:eastAsia="Arial Narrow" w:cs="Arial"/>
          <w:spacing w:val="6"/>
          <w:sz w:val="24"/>
          <w:szCs w:val="24"/>
          <w:lang w:val="es-ES"/>
        </w:rPr>
        <w:t>No obstante, en virtud del grado jurisdiccional de consulta que opera en favor de Colpensiones, se hace necesario MODIFICAR la sentencia en orden a complementar los rubros que el fondo privado debe remitir a Colpensiones, motivo por el que se le ordenará a la AFP PORVENIR S.A., incluir además del capital acumulado en la cuenta de ahorro individual de la afiliada, sus respectivos rendimientos, bonos pensionales, saldos adicionales, frutos e intereses, así como los gastos de administración (incluyendo lo correspondiente a seguros previsionales y otros), las sumas que retuvo para el fondo de garantía de pensión mínima y las  y comisiones cobradas durante el lapso en que estuvo vigente la afiliación de la demandante,</w:t>
      </w:r>
      <w:r w:rsidR="3F1AFB4E" w:rsidRPr="006F3839">
        <w:rPr>
          <w:rFonts w:eastAsia="Arial Narrow" w:cs="Arial"/>
          <w:spacing w:val="6"/>
          <w:sz w:val="24"/>
          <w:szCs w:val="24"/>
          <w:lang w:val="es-ES"/>
        </w:rPr>
        <w:t xml:space="preserve"> </w:t>
      </w:r>
      <w:r w:rsidRPr="006F3839">
        <w:rPr>
          <w:rFonts w:eastAsia="Arial Narrow" w:cs="Arial"/>
          <w:spacing w:val="6"/>
          <w:sz w:val="24"/>
          <w:szCs w:val="24"/>
          <w:lang w:val="es-ES"/>
        </w:rPr>
        <w:t>con cargo a sus propios recursos tal como lo ha reiterado la Sala de Casación Laboral de la Corte Suprema en sentencias SL1421 y  SL 1688, ambas de 2019.</w:t>
      </w:r>
    </w:p>
    <w:p w14:paraId="5ED52D48" w14:textId="4ED15B60" w:rsidR="00492994" w:rsidRPr="006F3839" w:rsidRDefault="00492994" w:rsidP="006F3839">
      <w:pPr>
        <w:pStyle w:val="Textoindependiente"/>
        <w:spacing w:line="276" w:lineRule="auto"/>
        <w:ind w:firstLine="708"/>
        <w:rPr>
          <w:rFonts w:cs="Arial"/>
          <w:spacing w:val="6"/>
          <w:sz w:val="24"/>
          <w:szCs w:val="24"/>
        </w:rPr>
      </w:pPr>
      <w:r w:rsidRPr="006F3839">
        <w:rPr>
          <w:rFonts w:cs="Arial"/>
          <w:spacing w:val="6"/>
          <w:sz w:val="24"/>
          <w:szCs w:val="24"/>
        </w:rPr>
        <w:t xml:space="preserve"> </w:t>
      </w:r>
    </w:p>
    <w:p w14:paraId="725F6E81" w14:textId="77777777" w:rsidR="00492994" w:rsidRPr="006F3839" w:rsidRDefault="00492994" w:rsidP="006F3839">
      <w:pPr>
        <w:pStyle w:val="Textoindependiente"/>
        <w:spacing w:line="276" w:lineRule="auto"/>
        <w:ind w:firstLine="708"/>
        <w:rPr>
          <w:rFonts w:cs="Arial"/>
          <w:spacing w:val="6"/>
          <w:sz w:val="24"/>
          <w:szCs w:val="24"/>
        </w:rPr>
      </w:pPr>
      <w:r w:rsidRPr="006F3839">
        <w:rPr>
          <w:rFonts w:cs="Arial"/>
          <w:spacing w:val="6"/>
          <w:sz w:val="24"/>
          <w:szCs w:val="24"/>
        </w:rPr>
        <w:t xml:space="preserve">Ratifica lo anterior, y en especial sobre los gastos de administración, lo que sostiene la Sala de Casación Laboral de la H. Corte Suprema en la sentencia SL1421-2019, Rad. 56174 en la cual se dice lo siguiente: </w:t>
      </w:r>
    </w:p>
    <w:p w14:paraId="521F4153" w14:textId="77777777" w:rsidR="00492994" w:rsidRPr="006F3839" w:rsidRDefault="00492994" w:rsidP="006F3839">
      <w:pPr>
        <w:spacing w:line="276" w:lineRule="auto"/>
        <w:jc w:val="both"/>
        <w:rPr>
          <w:rFonts w:ascii="Arial" w:hAnsi="Arial" w:cs="Arial"/>
          <w:spacing w:val="6"/>
          <w:szCs w:val="24"/>
        </w:rPr>
      </w:pPr>
      <w:r w:rsidRPr="006F3839">
        <w:rPr>
          <w:rFonts w:ascii="Arial" w:hAnsi="Arial" w:cs="Arial"/>
          <w:spacing w:val="6"/>
          <w:szCs w:val="24"/>
        </w:rPr>
        <w:t xml:space="preserve"> </w:t>
      </w:r>
    </w:p>
    <w:p w14:paraId="1419EDBD" w14:textId="5E65DE81"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r w:rsidR="008D153F" w:rsidRPr="006F3839">
        <w:rPr>
          <w:rFonts w:ascii="Arial" w:hAnsi="Arial" w:cs="Arial"/>
          <w:i/>
          <w:iCs/>
          <w:spacing w:val="12"/>
          <w:sz w:val="22"/>
          <w:szCs w:val="24"/>
        </w:rPr>
        <w:t>“</w:t>
      </w:r>
      <w:r w:rsidRPr="006F3839">
        <w:rPr>
          <w:rFonts w:ascii="Arial" w:hAnsi="Arial" w:cs="Arial"/>
          <w:i/>
          <w:iCs/>
          <w:spacing w:val="12"/>
          <w:sz w:val="22"/>
          <w:szCs w:val="24"/>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SL17595-2017 y </w:t>
      </w:r>
      <w:r w:rsidRPr="006F3839">
        <w:rPr>
          <w:rFonts w:ascii="Arial" w:hAnsi="Arial" w:cs="Arial"/>
          <w:i/>
          <w:iCs/>
          <w:spacing w:val="12"/>
          <w:sz w:val="22"/>
          <w:szCs w:val="24"/>
        </w:rPr>
        <w:lastRenderedPageBreak/>
        <w:t>CSJSL4989-2018, donde se rememoró la CSJ SL, 8 sep. 2008, rad. 31989...”</w:t>
      </w:r>
    </w:p>
    <w:p w14:paraId="41C2244E" w14:textId="77777777" w:rsidR="00492994" w:rsidRPr="006F3839" w:rsidRDefault="00492994" w:rsidP="006F3839">
      <w:pPr>
        <w:spacing w:line="276" w:lineRule="auto"/>
        <w:jc w:val="both"/>
        <w:rPr>
          <w:rFonts w:ascii="Arial" w:hAnsi="Arial" w:cs="Arial"/>
          <w:spacing w:val="6"/>
          <w:szCs w:val="24"/>
        </w:rPr>
      </w:pPr>
    </w:p>
    <w:p w14:paraId="795B082B" w14:textId="4CDBE000" w:rsidR="008D153F" w:rsidRPr="006F3839" w:rsidRDefault="00F97E87" w:rsidP="006F3839">
      <w:pPr>
        <w:pStyle w:val="Sinespaciado"/>
        <w:spacing w:line="276" w:lineRule="auto"/>
        <w:ind w:firstLine="708"/>
        <w:jc w:val="both"/>
        <w:rPr>
          <w:rFonts w:ascii="Arial" w:hAnsi="Arial" w:cs="Arial"/>
          <w:spacing w:val="6"/>
          <w:szCs w:val="24"/>
        </w:rPr>
      </w:pPr>
      <w:r w:rsidRPr="006F3839">
        <w:rPr>
          <w:rFonts w:ascii="Arial" w:hAnsi="Arial" w:cs="Arial"/>
          <w:spacing w:val="6"/>
          <w:szCs w:val="24"/>
        </w:rPr>
        <w:t>Tal decisión no cambia por el hecho de no haber pertenecido la demandante al régimen de transición antes de la migración de régimen pensional, como lo alegan ambas apelantes, si se tienen en cuenta que conforme a los argumentos esbozados precedentemente, la eficacia del traslado es un aspecto que se analiza de manera independiente de si se tenía o no un beneficio transicional; pues debe hacerse desde la óptica del cumplimiento o no de las obligaciones propias de las A.F.P., respecto a la posibilidad de los usuarios de adoptar una decisión debida y suficientemente informada. (Ver entre otras, sentencia SL4964/18, 14 noviembre de 2018, radicación 54814). </w:t>
      </w:r>
    </w:p>
    <w:p w14:paraId="7190DBCE" w14:textId="7DA3E57D" w:rsidR="00492994" w:rsidRPr="006F3839" w:rsidRDefault="00492994" w:rsidP="006F3839">
      <w:pPr>
        <w:pStyle w:val="Textoindependiente"/>
        <w:tabs>
          <w:tab w:val="left" w:pos="7904"/>
        </w:tabs>
        <w:spacing w:line="276" w:lineRule="auto"/>
        <w:ind w:firstLine="708"/>
        <w:rPr>
          <w:rFonts w:cs="Arial"/>
          <w:spacing w:val="6"/>
          <w:sz w:val="24"/>
          <w:szCs w:val="24"/>
        </w:rPr>
      </w:pPr>
    </w:p>
    <w:p w14:paraId="7FC7BDEE" w14:textId="2A2D33B2" w:rsidR="00492994" w:rsidRPr="006F3839" w:rsidRDefault="00492994" w:rsidP="006F3839">
      <w:pPr>
        <w:spacing w:line="276" w:lineRule="auto"/>
        <w:ind w:firstLine="708"/>
        <w:jc w:val="both"/>
        <w:rPr>
          <w:rFonts w:ascii="Arial" w:hAnsi="Arial" w:cs="Arial"/>
          <w:spacing w:val="6"/>
          <w:szCs w:val="24"/>
        </w:rPr>
      </w:pPr>
      <w:r w:rsidRPr="006F3839">
        <w:rPr>
          <w:rFonts w:ascii="Arial" w:hAnsi="Arial" w:cs="Arial"/>
          <w:spacing w:val="6"/>
          <w:szCs w:val="24"/>
        </w:rPr>
        <w:t xml:space="preserve">Frente a las excepciones propuestas, estuvo bien que no se declararan probadas: unas por no envolver hechos extintivos o modificativos de los derechos reconocidos, entre ellas inexistencia de la obligación, imposibilidad de condena en costas y buena fe; y otras, como la de prescripción, por estar comprometido un derecho pensional, que como bien lo ha dicho la jurisprudencia laboral, no puede verse afectado por este medio exceptivo. En la sentencia inicialmente citada, se anotó:  </w:t>
      </w:r>
    </w:p>
    <w:p w14:paraId="2CCE62F3" w14:textId="77777777" w:rsidR="00492994" w:rsidRPr="006F3839" w:rsidRDefault="00492994" w:rsidP="006F3839">
      <w:pPr>
        <w:spacing w:line="276" w:lineRule="auto"/>
        <w:ind w:left="1416"/>
        <w:jc w:val="both"/>
        <w:rPr>
          <w:rFonts w:ascii="Arial" w:hAnsi="Arial" w:cs="Arial"/>
          <w:spacing w:val="6"/>
          <w:szCs w:val="24"/>
        </w:rPr>
      </w:pPr>
    </w:p>
    <w:p w14:paraId="04B6D820"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Conforme lo explicado, los afiliados al sistema general de pensiones pueden solicitar, en cualquier tiempo, que se declare la ineficacia del traslado entre regímenes pensionales y, por esa vía, que se reconozca a cuál de los dos regímenes pensionales (RPMPD o RAIS) se encuentran afiliados. Lo expuesto no es algo nuevo en la jurisprudencia del trabajo, pues incluso desde la sentencia CSJ SL795-2013 ya la Corte había adoctrinado que «el asegurado está legitimado para interponer, en cualquier tiempo, reclamos relacionados con la afiliación, las cotizaciones, el ingreso base de cotización y todos aquellos componentes de la pensión». </w:t>
      </w:r>
    </w:p>
    <w:p w14:paraId="758E00EA"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 xml:space="preserve"> </w:t>
      </w:r>
    </w:p>
    <w:p w14:paraId="63C6012C" w14:textId="77777777" w:rsidR="00492994" w:rsidRPr="006F3839" w:rsidRDefault="00492994" w:rsidP="006F3839">
      <w:pPr>
        <w:ind w:left="426" w:right="420"/>
        <w:jc w:val="both"/>
        <w:rPr>
          <w:rFonts w:ascii="Arial" w:hAnsi="Arial" w:cs="Arial"/>
          <w:i/>
          <w:iCs/>
          <w:spacing w:val="12"/>
          <w:sz w:val="22"/>
          <w:szCs w:val="24"/>
        </w:rPr>
      </w:pPr>
      <w:r w:rsidRPr="006F3839">
        <w:rPr>
          <w:rFonts w:ascii="Arial" w:hAnsi="Arial" w:cs="Arial"/>
          <w:i/>
          <w:iCs/>
          <w:spacing w:val="12"/>
          <w:sz w:val="22"/>
          <w:szCs w:val="24"/>
        </w:rPr>
        <w:t>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SL8544-2016)”.</w:t>
      </w:r>
    </w:p>
    <w:p w14:paraId="1D7D498B" w14:textId="77777777" w:rsidR="00492994" w:rsidRPr="006F3839" w:rsidRDefault="00492994" w:rsidP="006F3839">
      <w:pPr>
        <w:shd w:val="clear" w:color="auto" w:fill="FFFFFF" w:themeFill="background1"/>
        <w:spacing w:line="276" w:lineRule="auto"/>
        <w:jc w:val="both"/>
        <w:rPr>
          <w:rFonts w:ascii="Arial" w:hAnsi="Arial" w:cs="Arial"/>
          <w:spacing w:val="6"/>
          <w:szCs w:val="24"/>
        </w:rPr>
      </w:pPr>
    </w:p>
    <w:p w14:paraId="6A7B2027" w14:textId="77777777" w:rsidR="00492994" w:rsidRPr="006F3839" w:rsidRDefault="00492994" w:rsidP="006F3839">
      <w:pPr>
        <w:shd w:val="clear" w:color="auto" w:fill="FFFFFF" w:themeFill="background1"/>
        <w:spacing w:line="276" w:lineRule="auto"/>
        <w:ind w:firstLine="708"/>
        <w:jc w:val="both"/>
        <w:rPr>
          <w:rFonts w:ascii="Arial" w:hAnsi="Arial" w:cs="Arial"/>
          <w:spacing w:val="6"/>
          <w:szCs w:val="24"/>
        </w:rPr>
      </w:pPr>
      <w:r w:rsidRPr="006F3839">
        <w:rPr>
          <w:rFonts w:ascii="Arial" w:hAnsi="Arial" w:cs="Arial"/>
          <w:spacing w:val="6"/>
          <w:szCs w:val="24"/>
        </w:rPr>
        <w:t>Con lo anterior, quedan resueltos los puntos de inconformidad de</w:t>
      </w:r>
      <w:r w:rsidR="000D1160" w:rsidRPr="006F3839">
        <w:rPr>
          <w:rFonts w:ascii="Arial" w:hAnsi="Arial" w:cs="Arial"/>
          <w:spacing w:val="6"/>
          <w:szCs w:val="24"/>
        </w:rPr>
        <w:t xml:space="preserve"> las recurrentes </w:t>
      </w:r>
      <w:r w:rsidRPr="006F3839">
        <w:rPr>
          <w:rFonts w:ascii="Arial" w:hAnsi="Arial" w:cs="Arial"/>
          <w:spacing w:val="6"/>
          <w:szCs w:val="24"/>
        </w:rPr>
        <w:t xml:space="preserve">y el grado jurisdiccional de consulta a favor de Colpensiones. </w:t>
      </w:r>
    </w:p>
    <w:p w14:paraId="108D5D06" w14:textId="77777777" w:rsidR="00492994" w:rsidRPr="006F3839" w:rsidRDefault="00492994" w:rsidP="006F3839">
      <w:pPr>
        <w:shd w:val="clear" w:color="auto" w:fill="FFFFFF" w:themeFill="background1"/>
        <w:spacing w:line="276" w:lineRule="auto"/>
        <w:ind w:firstLine="708"/>
        <w:jc w:val="both"/>
        <w:rPr>
          <w:rFonts w:ascii="Arial" w:hAnsi="Arial" w:cs="Arial"/>
          <w:spacing w:val="6"/>
          <w:szCs w:val="24"/>
        </w:rPr>
      </w:pPr>
    </w:p>
    <w:p w14:paraId="1A367564" w14:textId="77777777" w:rsidR="00492994" w:rsidRPr="006F3839" w:rsidRDefault="00492994" w:rsidP="006F3839">
      <w:pPr>
        <w:pStyle w:val="Textoindependiente31"/>
        <w:spacing w:line="276" w:lineRule="auto"/>
        <w:ind w:firstLine="708"/>
        <w:rPr>
          <w:rFonts w:cs="Arial"/>
          <w:spacing w:val="6"/>
          <w:sz w:val="24"/>
          <w:szCs w:val="24"/>
        </w:rPr>
      </w:pPr>
      <w:r w:rsidRPr="006F3839">
        <w:rPr>
          <w:rFonts w:cs="Arial"/>
          <w:spacing w:val="6"/>
          <w:sz w:val="24"/>
          <w:szCs w:val="24"/>
        </w:rPr>
        <w:t>Las costas en esta sede estarán a cargo de Porvenir</w:t>
      </w:r>
      <w:r w:rsidR="000D1160" w:rsidRPr="006F3839">
        <w:rPr>
          <w:rFonts w:cs="Arial"/>
          <w:spacing w:val="6"/>
          <w:sz w:val="24"/>
          <w:szCs w:val="24"/>
        </w:rPr>
        <w:t xml:space="preserve"> S.A</w:t>
      </w:r>
      <w:r w:rsidRPr="006F3839">
        <w:rPr>
          <w:rFonts w:cs="Arial"/>
          <w:spacing w:val="6"/>
          <w:sz w:val="24"/>
          <w:szCs w:val="24"/>
        </w:rPr>
        <w:t xml:space="preserve">. </w:t>
      </w:r>
    </w:p>
    <w:p w14:paraId="3642385F" w14:textId="77777777" w:rsidR="00492994" w:rsidRPr="006F3839" w:rsidRDefault="00492994" w:rsidP="006F3839">
      <w:pPr>
        <w:pStyle w:val="Sinespaciado"/>
        <w:spacing w:line="276" w:lineRule="auto"/>
        <w:rPr>
          <w:rFonts w:ascii="Arial" w:hAnsi="Arial" w:cs="Arial"/>
          <w:spacing w:val="6"/>
          <w:szCs w:val="24"/>
        </w:rPr>
      </w:pPr>
    </w:p>
    <w:p w14:paraId="3F4EBB93" w14:textId="77777777" w:rsidR="00492994" w:rsidRPr="006F3839" w:rsidRDefault="00492994" w:rsidP="006F3839">
      <w:pPr>
        <w:pStyle w:val="Textoindependiente31"/>
        <w:numPr>
          <w:ilvl w:val="0"/>
          <w:numId w:val="1"/>
        </w:numPr>
        <w:spacing w:line="276" w:lineRule="auto"/>
        <w:rPr>
          <w:rFonts w:cs="Arial"/>
          <w:b/>
          <w:bCs/>
          <w:spacing w:val="6"/>
          <w:sz w:val="24"/>
          <w:szCs w:val="24"/>
        </w:rPr>
      </w:pPr>
      <w:r w:rsidRPr="006F3839">
        <w:rPr>
          <w:rFonts w:cs="Arial"/>
          <w:b/>
          <w:bCs/>
          <w:spacing w:val="6"/>
          <w:sz w:val="24"/>
          <w:szCs w:val="24"/>
        </w:rPr>
        <w:t>DECISIÓN</w:t>
      </w:r>
    </w:p>
    <w:p w14:paraId="4A7EC41A" w14:textId="77777777" w:rsidR="00492994" w:rsidRPr="006F3839" w:rsidRDefault="00492994" w:rsidP="006F3839">
      <w:pPr>
        <w:pStyle w:val="Textoindependiente31"/>
        <w:spacing w:line="276" w:lineRule="auto"/>
        <w:ind w:left="1004"/>
        <w:rPr>
          <w:rFonts w:cs="Arial"/>
          <w:spacing w:val="6"/>
          <w:sz w:val="24"/>
          <w:szCs w:val="24"/>
        </w:rPr>
      </w:pPr>
    </w:p>
    <w:p w14:paraId="7C360125" w14:textId="77777777" w:rsidR="00492994" w:rsidRPr="006F3839" w:rsidRDefault="00492994" w:rsidP="006F3839">
      <w:pPr>
        <w:pStyle w:val="Textoindependiente31"/>
        <w:spacing w:line="276" w:lineRule="auto"/>
        <w:rPr>
          <w:rFonts w:cs="Arial"/>
          <w:spacing w:val="6"/>
          <w:sz w:val="24"/>
          <w:szCs w:val="24"/>
        </w:rPr>
      </w:pPr>
      <w:r w:rsidRPr="006F3839">
        <w:rPr>
          <w:rFonts w:cs="Arial"/>
          <w:spacing w:val="6"/>
          <w:sz w:val="24"/>
          <w:szCs w:val="24"/>
        </w:rPr>
        <w:lastRenderedPageBreak/>
        <w:t>En mérito de lo expuesto, el Tribunal Superior del Distrito Judicial de Pereira - Risaralda, Sala Cuarta de Decisión Laboral, administrando justicia en nombre de la República y por autoridad de la ley,</w:t>
      </w:r>
    </w:p>
    <w:p w14:paraId="3ED6D144" w14:textId="77777777" w:rsidR="00492994" w:rsidRPr="006F3839" w:rsidRDefault="00492994" w:rsidP="006F3839">
      <w:pPr>
        <w:pStyle w:val="Sinespaciado"/>
        <w:spacing w:line="276" w:lineRule="auto"/>
        <w:rPr>
          <w:rFonts w:ascii="Arial" w:hAnsi="Arial" w:cs="Arial"/>
          <w:b/>
          <w:bCs/>
          <w:spacing w:val="6"/>
          <w:szCs w:val="24"/>
        </w:rPr>
      </w:pPr>
    </w:p>
    <w:p w14:paraId="5226FC09" w14:textId="77777777" w:rsidR="00492994" w:rsidRPr="006F3839" w:rsidRDefault="00492994" w:rsidP="006F3839">
      <w:pPr>
        <w:pStyle w:val="Sinespaciado"/>
        <w:tabs>
          <w:tab w:val="left" w:pos="3143"/>
        </w:tabs>
        <w:spacing w:line="276" w:lineRule="auto"/>
        <w:jc w:val="center"/>
        <w:rPr>
          <w:rFonts w:ascii="Arial" w:hAnsi="Arial" w:cs="Arial"/>
          <w:b/>
          <w:bCs/>
          <w:spacing w:val="6"/>
          <w:szCs w:val="24"/>
        </w:rPr>
      </w:pPr>
      <w:r w:rsidRPr="006F3839">
        <w:rPr>
          <w:rFonts w:ascii="Arial" w:hAnsi="Arial" w:cs="Arial"/>
          <w:b/>
          <w:bCs/>
          <w:spacing w:val="6"/>
          <w:szCs w:val="24"/>
        </w:rPr>
        <w:t>RESUELVE:</w:t>
      </w:r>
    </w:p>
    <w:p w14:paraId="5B645973" w14:textId="77777777" w:rsidR="00492994" w:rsidRPr="006F3839" w:rsidRDefault="00492994" w:rsidP="006F3839">
      <w:pPr>
        <w:pStyle w:val="Sinespaciado"/>
        <w:spacing w:line="276" w:lineRule="auto"/>
        <w:rPr>
          <w:rFonts w:ascii="Arial" w:hAnsi="Arial" w:cs="Arial"/>
          <w:spacing w:val="6"/>
          <w:szCs w:val="24"/>
        </w:rPr>
      </w:pPr>
    </w:p>
    <w:p w14:paraId="33C8757B" w14:textId="466E5C1F" w:rsidR="00492994" w:rsidRPr="006F3839" w:rsidRDefault="00492994" w:rsidP="006F3839">
      <w:pPr>
        <w:spacing w:line="276" w:lineRule="auto"/>
        <w:jc w:val="both"/>
        <w:rPr>
          <w:rFonts w:ascii="Arial" w:hAnsi="Arial" w:cs="Arial"/>
          <w:spacing w:val="6"/>
          <w:szCs w:val="24"/>
        </w:rPr>
      </w:pPr>
      <w:r w:rsidRPr="006F3839">
        <w:rPr>
          <w:rFonts w:ascii="Arial" w:hAnsi="Arial" w:cs="Arial"/>
          <w:b/>
          <w:bCs/>
          <w:spacing w:val="6"/>
          <w:szCs w:val="24"/>
        </w:rPr>
        <w:t xml:space="preserve">PRIMERO: </w:t>
      </w:r>
      <w:r w:rsidR="70D9CED5" w:rsidRPr="006F3839">
        <w:rPr>
          <w:rFonts w:ascii="Arial" w:hAnsi="Arial" w:cs="Arial"/>
          <w:b/>
          <w:bCs/>
          <w:spacing w:val="6"/>
          <w:szCs w:val="24"/>
        </w:rPr>
        <w:t xml:space="preserve">MODIFICAR </w:t>
      </w:r>
      <w:r w:rsidR="000D1160" w:rsidRPr="006F3839">
        <w:rPr>
          <w:rFonts w:ascii="Arial" w:hAnsi="Arial" w:cs="Arial"/>
          <w:spacing w:val="6"/>
          <w:szCs w:val="24"/>
        </w:rPr>
        <w:t>el ordinal 2</w:t>
      </w:r>
      <w:r w:rsidRPr="006F3839">
        <w:rPr>
          <w:rFonts w:ascii="Arial" w:hAnsi="Arial" w:cs="Arial"/>
          <w:spacing w:val="6"/>
          <w:szCs w:val="24"/>
        </w:rPr>
        <w:t xml:space="preserve">º de la sentencia proferida el </w:t>
      </w:r>
      <w:r w:rsidR="000D1160" w:rsidRPr="006F3839">
        <w:rPr>
          <w:rFonts w:ascii="Arial" w:hAnsi="Arial" w:cs="Arial"/>
          <w:spacing w:val="6"/>
          <w:szCs w:val="24"/>
        </w:rPr>
        <w:t>12 de julio de 2</w:t>
      </w:r>
      <w:r w:rsidRPr="006F3839">
        <w:rPr>
          <w:rFonts w:ascii="Arial" w:hAnsi="Arial" w:cs="Arial"/>
          <w:spacing w:val="6"/>
          <w:szCs w:val="24"/>
        </w:rPr>
        <w:t xml:space="preserve">019 por el Juzgado </w:t>
      </w:r>
      <w:r w:rsidR="000D1160" w:rsidRPr="006F3839">
        <w:rPr>
          <w:rFonts w:ascii="Arial" w:hAnsi="Arial" w:cs="Arial"/>
          <w:spacing w:val="6"/>
          <w:szCs w:val="24"/>
        </w:rPr>
        <w:t>Cuarto</w:t>
      </w:r>
      <w:r w:rsidRPr="006F3839">
        <w:rPr>
          <w:rFonts w:ascii="Arial" w:hAnsi="Arial" w:cs="Arial"/>
          <w:spacing w:val="6"/>
          <w:szCs w:val="24"/>
        </w:rPr>
        <w:t xml:space="preserve"> Laboral del Circuito de esta ciudad, dentro del proceso de la referencia, en el sentido de </w:t>
      </w:r>
      <w:r w:rsidRPr="006F3839">
        <w:rPr>
          <w:rFonts w:ascii="Arial" w:hAnsi="Arial" w:cs="Arial"/>
          <w:b/>
          <w:bCs/>
          <w:spacing w:val="6"/>
          <w:szCs w:val="24"/>
        </w:rPr>
        <w:t xml:space="preserve">ORDENAR A LA A.F.P </w:t>
      </w:r>
      <w:r w:rsidR="000D1160" w:rsidRPr="006F3839">
        <w:rPr>
          <w:rFonts w:ascii="Arial" w:hAnsi="Arial" w:cs="Arial"/>
          <w:b/>
          <w:bCs/>
          <w:spacing w:val="6"/>
          <w:szCs w:val="24"/>
        </w:rPr>
        <w:t xml:space="preserve">PORVENIR </w:t>
      </w:r>
      <w:r w:rsidRPr="006F3839">
        <w:rPr>
          <w:rFonts w:ascii="Arial" w:hAnsi="Arial" w:cs="Arial"/>
          <w:b/>
          <w:bCs/>
          <w:spacing w:val="6"/>
          <w:szCs w:val="24"/>
        </w:rPr>
        <w:t>S.A</w:t>
      </w:r>
      <w:r w:rsidR="008D153F" w:rsidRPr="006F3839">
        <w:rPr>
          <w:rFonts w:ascii="Arial" w:hAnsi="Arial" w:cs="Arial"/>
          <w:b/>
          <w:bCs/>
          <w:spacing w:val="6"/>
          <w:szCs w:val="24"/>
        </w:rPr>
        <w:t>.,</w:t>
      </w:r>
      <w:r w:rsidR="000D1160" w:rsidRPr="006F3839">
        <w:rPr>
          <w:rFonts w:ascii="Arial" w:hAnsi="Arial" w:cs="Arial"/>
          <w:b/>
          <w:bCs/>
          <w:spacing w:val="6"/>
          <w:szCs w:val="24"/>
        </w:rPr>
        <w:t xml:space="preserve"> </w:t>
      </w:r>
      <w:r w:rsidRPr="006F3839">
        <w:rPr>
          <w:rFonts w:ascii="Arial" w:hAnsi="Arial" w:cs="Arial"/>
          <w:spacing w:val="6"/>
          <w:szCs w:val="24"/>
        </w:rPr>
        <w:t xml:space="preserve">trasladar con destino a Colpensiones, la totalidad del capital acumulado en la  cuenta de ahorro individual de la actora, con sus respectivos rendimientos, bonos pensionales, saldos, frutos, intereses y además, incluyendo los gastos de administración </w:t>
      </w:r>
      <w:r w:rsidR="3EC04011" w:rsidRPr="006F3839">
        <w:rPr>
          <w:rFonts w:ascii="Arial" w:eastAsia="Arial Narrow" w:hAnsi="Arial" w:cs="Arial"/>
          <w:spacing w:val="6"/>
          <w:szCs w:val="24"/>
          <w:lang w:val="es-ES"/>
        </w:rPr>
        <w:t>(incluyendo lo correspondiente a seguros previsionales y otros), las sumas que retuvo para el fondo de garantía de pensión mínima y las comisiones cobradas durante el lapso en que estuvo vigente la afiliación de la demandante, con cargo a sus propios recursos</w:t>
      </w:r>
      <w:r w:rsidR="3EC04011" w:rsidRPr="006F3839">
        <w:rPr>
          <w:rFonts w:ascii="Arial" w:hAnsi="Arial" w:cs="Arial"/>
          <w:spacing w:val="6"/>
          <w:szCs w:val="24"/>
        </w:rPr>
        <w:t xml:space="preserve"> </w:t>
      </w:r>
      <w:r w:rsidRPr="006F3839">
        <w:rPr>
          <w:rFonts w:ascii="Arial" w:hAnsi="Arial" w:cs="Arial"/>
          <w:spacing w:val="6"/>
          <w:szCs w:val="24"/>
        </w:rPr>
        <w:t>y las comisiones cobradas con cargo a sus propios recursos, y debidamente indexados</w:t>
      </w:r>
      <w:r w:rsidR="02D2892F" w:rsidRPr="006F3839">
        <w:rPr>
          <w:rFonts w:ascii="Arial" w:hAnsi="Arial" w:cs="Arial"/>
          <w:spacing w:val="6"/>
          <w:szCs w:val="24"/>
        </w:rPr>
        <w:t>, conforme se expuso en la parte motiva de esta sentencia</w:t>
      </w:r>
      <w:r w:rsidRPr="006F3839">
        <w:rPr>
          <w:rFonts w:ascii="Arial" w:hAnsi="Arial" w:cs="Arial"/>
          <w:spacing w:val="6"/>
          <w:szCs w:val="24"/>
        </w:rPr>
        <w:t>.</w:t>
      </w:r>
    </w:p>
    <w:p w14:paraId="2C4FCE52" w14:textId="77777777" w:rsidR="00492994" w:rsidRPr="006F3839" w:rsidRDefault="00492994" w:rsidP="006F3839">
      <w:pPr>
        <w:pStyle w:val="Textoindependiente31"/>
        <w:tabs>
          <w:tab w:val="left" w:pos="4860"/>
        </w:tabs>
        <w:spacing w:line="276" w:lineRule="auto"/>
        <w:rPr>
          <w:rFonts w:cs="Arial"/>
          <w:spacing w:val="6"/>
          <w:sz w:val="24"/>
          <w:szCs w:val="24"/>
        </w:rPr>
      </w:pPr>
    </w:p>
    <w:p w14:paraId="0CAAE314" w14:textId="23250962" w:rsidR="00492994" w:rsidRPr="006F3839" w:rsidRDefault="000D1160" w:rsidP="006F3839">
      <w:pPr>
        <w:pStyle w:val="Sinespaciado"/>
        <w:spacing w:line="276" w:lineRule="auto"/>
        <w:rPr>
          <w:rFonts w:ascii="Arial" w:hAnsi="Arial" w:cs="Arial"/>
          <w:spacing w:val="6"/>
          <w:szCs w:val="24"/>
        </w:rPr>
      </w:pPr>
      <w:r w:rsidRPr="006F3839">
        <w:rPr>
          <w:rFonts w:ascii="Arial" w:hAnsi="Arial" w:cs="Arial"/>
          <w:b/>
          <w:bCs/>
          <w:spacing w:val="6"/>
          <w:szCs w:val="24"/>
        </w:rPr>
        <w:t>SEGUNDO</w:t>
      </w:r>
      <w:r w:rsidR="00492994" w:rsidRPr="006F3839">
        <w:rPr>
          <w:rFonts w:ascii="Arial" w:hAnsi="Arial" w:cs="Arial"/>
          <w:b/>
          <w:bCs/>
          <w:spacing w:val="6"/>
          <w:szCs w:val="24"/>
        </w:rPr>
        <w:t>: CONFIRMAR</w:t>
      </w:r>
      <w:r w:rsidR="00492994" w:rsidRPr="006F3839">
        <w:rPr>
          <w:rFonts w:ascii="Arial" w:hAnsi="Arial" w:cs="Arial"/>
          <w:spacing w:val="6"/>
          <w:szCs w:val="24"/>
        </w:rPr>
        <w:t xml:space="preserve"> en todo lo demás</w:t>
      </w:r>
      <w:r w:rsidR="00492994" w:rsidRPr="006F3839">
        <w:rPr>
          <w:rFonts w:ascii="Arial" w:hAnsi="Arial" w:cs="Arial"/>
          <w:spacing w:val="6"/>
          <w:szCs w:val="24"/>
        </w:rPr>
        <w:tab/>
      </w:r>
    </w:p>
    <w:p w14:paraId="12D62E17" w14:textId="77777777" w:rsidR="00492994" w:rsidRPr="006F3839" w:rsidRDefault="00492994" w:rsidP="006F3839">
      <w:pPr>
        <w:pStyle w:val="Sinespaciado"/>
        <w:spacing w:line="276" w:lineRule="auto"/>
        <w:rPr>
          <w:rFonts w:ascii="Arial" w:hAnsi="Arial" w:cs="Arial"/>
          <w:spacing w:val="6"/>
          <w:szCs w:val="24"/>
        </w:rPr>
      </w:pPr>
      <w:r w:rsidRPr="006F3839">
        <w:rPr>
          <w:rFonts w:ascii="Arial" w:hAnsi="Arial" w:cs="Arial"/>
          <w:spacing w:val="6"/>
          <w:szCs w:val="24"/>
        </w:rPr>
        <w:t> </w:t>
      </w:r>
    </w:p>
    <w:p w14:paraId="138296B7" w14:textId="77777777" w:rsidR="00492994" w:rsidRPr="006F3839" w:rsidRDefault="000D1160" w:rsidP="006F3839">
      <w:pPr>
        <w:pStyle w:val="Textoindependiente31"/>
        <w:spacing w:line="276" w:lineRule="auto"/>
        <w:rPr>
          <w:rFonts w:cs="Arial"/>
          <w:spacing w:val="6"/>
          <w:sz w:val="24"/>
          <w:szCs w:val="24"/>
        </w:rPr>
      </w:pPr>
      <w:r w:rsidRPr="006F3839">
        <w:rPr>
          <w:rFonts w:cs="Arial"/>
          <w:b/>
          <w:bCs/>
          <w:spacing w:val="6"/>
          <w:sz w:val="24"/>
          <w:szCs w:val="24"/>
        </w:rPr>
        <w:t>TERCERO</w:t>
      </w:r>
      <w:r w:rsidR="00492994" w:rsidRPr="006F3839">
        <w:rPr>
          <w:rFonts w:cs="Arial"/>
          <w:b/>
          <w:bCs/>
          <w:spacing w:val="6"/>
          <w:sz w:val="24"/>
          <w:szCs w:val="24"/>
        </w:rPr>
        <w:t>:</w:t>
      </w:r>
      <w:r w:rsidR="00492994" w:rsidRPr="006F3839">
        <w:rPr>
          <w:rFonts w:cs="Arial"/>
          <w:spacing w:val="6"/>
          <w:sz w:val="24"/>
          <w:szCs w:val="24"/>
        </w:rPr>
        <w:t xml:space="preserve"> Costas en esta instancia a cargo de Porvenir S.A.</w:t>
      </w:r>
    </w:p>
    <w:p w14:paraId="13DCA813" w14:textId="77777777" w:rsidR="00492994" w:rsidRPr="006F3839" w:rsidRDefault="00492994" w:rsidP="006F3839">
      <w:pPr>
        <w:pStyle w:val="Sinespaciado"/>
        <w:spacing w:line="276" w:lineRule="auto"/>
        <w:rPr>
          <w:rFonts w:ascii="Arial" w:hAnsi="Arial" w:cs="Arial"/>
          <w:spacing w:val="6"/>
          <w:szCs w:val="24"/>
        </w:rPr>
      </w:pPr>
    </w:p>
    <w:p w14:paraId="18974A7B" w14:textId="17443EDE" w:rsidR="00492994" w:rsidRPr="006F3839" w:rsidRDefault="00492994" w:rsidP="006F3839">
      <w:pPr>
        <w:shd w:val="clear" w:color="auto" w:fill="FFFFFF" w:themeFill="background1"/>
        <w:spacing w:line="276" w:lineRule="auto"/>
        <w:jc w:val="both"/>
        <w:rPr>
          <w:rFonts w:ascii="Arial" w:hAnsi="Arial" w:cs="Arial"/>
          <w:spacing w:val="6"/>
          <w:szCs w:val="24"/>
        </w:rPr>
      </w:pPr>
      <w:r w:rsidRPr="006F3839">
        <w:rPr>
          <w:rFonts w:ascii="Arial" w:hAnsi="Arial" w:cs="Arial"/>
          <w:spacing w:val="6"/>
          <w:szCs w:val="24"/>
        </w:rPr>
        <w:t>La anterior decisión queda notificada en estados.</w:t>
      </w:r>
    </w:p>
    <w:p w14:paraId="7F1104C1" w14:textId="77777777" w:rsidR="00492994" w:rsidRPr="006F3839" w:rsidRDefault="00492994" w:rsidP="006F3839">
      <w:pPr>
        <w:pStyle w:val="Sinespaciado"/>
        <w:tabs>
          <w:tab w:val="left" w:pos="2918"/>
        </w:tabs>
        <w:spacing w:line="276" w:lineRule="auto"/>
        <w:rPr>
          <w:rFonts w:ascii="Arial" w:hAnsi="Arial" w:cs="Arial"/>
          <w:spacing w:val="6"/>
          <w:szCs w:val="24"/>
        </w:rPr>
      </w:pPr>
    </w:p>
    <w:p w14:paraId="47043414" w14:textId="77777777" w:rsidR="006F3839" w:rsidRPr="006F3839" w:rsidRDefault="006F3839" w:rsidP="006F3839">
      <w:pPr>
        <w:spacing w:line="276" w:lineRule="auto"/>
        <w:rPr>
          <w:rFonts w:ascii="Arial" w:hAnsi="Arial" w:cs="Arial"/>
          <w:spacing w:val="6"/>
          <w:szCs w:val="24"/>
        </w:rPr>
      </w:pPr>
      <w:r w:rsidRPr="006F3839">
        <w:rPr>
          <w:rFonts w:ascii="Arial" w:hAnsi="Arial" w:cs="Arial"/>
          <w:spacing w:val="6"/>
          <w:szCs w:val="24"/>
        </w:rPr>
        <w:t xml:space="preserve">Los integrantes de la Sala, </w:t>
      </w:r>
    </w:p>
    <w:p w14:paraId="074ECBCB" w14:textId="77777777" w:rsidR="006F3839" w:rsidRPr="006F3839" w:rsidRDefault="006F3839" w:rsidP="006F3839">
      <w:pPr>
        <w:spacing w:line="276" w:lineRule="auto"/>
        <w:jc w:val="both"/>
        <w:rPr>
          <w:rFonts w:ascii="Arial" w:hAnsi="Arial" w:cs="Arial"/>
          <w:szCs w:val="24"/>
        </w:rPr>
      </w:pPr>
    </w:p>
    <w:p w14:paraId="74ECED21" w14:textId="77777777" w:rsidR="006F3839" w:rsidRPr="006F3839" w:rsidRDefault="006F3839" w:rsidP="006F3839">
      <w:pPr>
        <w:spacing w:line="276" w:lineRule="auto"/>
        <w:jc w:val="both"/>
        <w:rPr>
          <w:rFonts w:ascii="Arial" w:hAnsi="Arial" w:cs="Arial"/>
          <w:szCs w:val="24"/>
        </w:rPr>
      </w:pPr>
    </w:p>
    <w:p w14:paraId="405208A5" w14:textId="77777777" w:rsidR="006F3839" w:rsidRPr="006F3839" w:rsidRDefault="006F3839" w:rsidP="006F3839">
      <w:pPr>
        <w:spacing w:line="276" w:lineRule="auto"/>
        <w:jc w:val="both"/>
        <w:rPr>
          <w:rFonts w:ascii="Arial" w:hAnsi="Arial" w:cs="Arial"/>
          <w:szCs w:val="24"/>
        </w:rPr>
      </w:pPr>
    </w:p>
    <w:p w14:paraId="26226CF2" w14:textId="77777777" w:rsidR="006F3839" w:rsidRPr="006F3839" w:rsidRDefault="006F3839" w:rsidP="006F3839">
      <w:pPr>
        <w:spacing w:line="276" w:lineRule="auto"/>
        <w:jc w:val="both"/>
        <w:rPr>
          <w:rFonts w:ascii="Arial" w:hAnsi="Arial" w:cs="Arial"/>
          <w:szCs w:val="24"/>
        </w:rPr>
      </w:pPr>
    </w:p>
    <w:p w14:paraId="11BA52F0" w14:textId="77777777" w:rsidR="006F3839" w:rsidRPr="006F3839" w:rsidRDefault="006F3839" w:rsidP="006F3839">
      <w:pPr>
        <w:spacing w:line="276" w:lineRule="auto"/>
        <w:jc w:val="center"/>
        <w:rPr>
          <w:rFonts w:ascii="Arial" w:hAnsi="Arial" w:cs="Arial"/>
          <w:b/>
          <w:bCs/>
          <w:iCs/>
          <w:szCs w:val="24"/>
          <w:lang w:val="es-ES"/>
        </w:rPr>
      </w:pPr>
      <w:r w:rsidRPr="006F3839">
        <w:rPr>
          <w:rFonts w:ascii="Arial" w:hAnsi="Arial" w:cs="Arial"/>
          <w:b/>
          <w:bCs/>
          <w:iCs/>
          <w:szCs w:val="24"/>
          <w:lang w:val="es-ES"/>
        </w:rPr>
        <w:t>ALEJANDRA MARÍA HENAO PALACIO</w:t>
      </w:r>
    </w:p>
    <w:p w14:paraId="340C7E8E" w14:textId="77777777" w:rsidR="006F3839" w:rsidRPr="006F3839" w:rsidRDefault="006F3839" w:rsidP="006F3839">
      <w:pPr>
        <w:spacing w:line="276" w:lineRule="auto"/>
        <w:jc w:val="center"/>
        <w:rPr>
          <w:rFonts w:ascii="Arial" w:hAnsi="Arial" w:cs="Arial"/>
          <w:bCs/>
          <w:iCs/>
          <w:szCs w:val="24"/>
          <w:lang w:val="es-ES"/>
        </w:rPr>
      </w:pPr>
      <w:r w:rsidRPr="006F3839">
        <w:rPr>
          <w:rFonts w:ascii="Arial" w:hAnsi="Arial" w:cs="Arial"/>
          <w:bCs/>
          <w:iCs/>
          <w:szCs w:val="24"/>
          <w:lang w:val="es-ES"/>
        </w:rPr>
        <w:t>Magistrada Ponente</w:t>
      </w:r>
    </w:p>
    <w:p w14:paraId="5E5FDE5B" w14:textId="77777777" w:rsidR="006F3839" w:rsidRPr="006F3839" w:rsidRDefault="006F3839" w:rsidP="006F3839">
      <w:pPr>
        <w:spacing w:line="276" w:lineRule="auto"/>
        <w:jc w:val="both"/>
        <w:rPr>
          <w:rFonts w:ascii="Arial" w:hAnsi="Arial" w:cs="Arial"/>
          <w:szCs w:val="24"/>
        </w:rPr>
      </w:pPr>
    </w:p>
    <w:p w14:paraId="1EE241EC" w14:textId="77777777" w:rsidR="006F3839" w:rsidRPr="006F3839" w:rsidRDefault="006F3839" w:rsidP="006F3839">
      <w:pPr>
        <w:spacing w:line="276" w:lineRule="auto"/>
        <w:jc w:val="both"/>
        <w:rPr>
          <w:rFonts w:ascii="Arial" w:hAnsi="Arial" w:cs="Arial"/>
          <w:szCs w:val="24"/>
        </w:rPr>
      </w:pPr>
    </w:p>
    <w:p w14:paraId="6907ADAF" w14:textId="77777777" w:rsidR="006F3839" w:rsidRPr="006F3839" w:rsidRDefault="006F3839" w:rsidP="006F3839">
      <w:pPr>
        <w:spacing w:line="276" w:lineRule="auto"/>
        <w:jc w:val="both"/>
        <w:rPr>
          <w:rFonts w:ascii="Arial" w:hAnsi="Arial" w:cs="Arial"/>
          <w:szCs w:val="24"/>
        </w:rPr>
      </w:pPr>
    </w:p>
    <w:p w14:paraId="669F0031" w14:textId="77777777" w:rsidR="006F3839" w:rsidRPr="006F3839" w:rsidRDefault="006F3839" w:rsidP="006F3839">
      <w:pPr>
        <w:spacing w:line="276" w:lineRule="auto"/>
        <w:jc w:val="both"/>
        <w:rPr>
          <w:rFonts w:ascii="Arial" w:hAnsi="Arial" w:cs="Arial"/>
          <w:szCs w:val="24"/>
        </w:rPr>
      </w:pPr>
    </w:p>
    <w:p w14:paraId="7CD74E09" w14:textId="77777777" w:rsidR="006F3839" w:rsidRPr="006F3839" w:rsidRDefault="006F3839" w:rsidP="006F3839">
      <w:pPr>
        <w:spacing w:line="276" w:lineRule="auto"/>
        <w:jc w:val="both"/>
        <w:rPr>
          <w:rFonts w:ascii="Arial" w:hAnsi="Arial" w:cs="Arial"/>
          <w:b/>
          <w:bCs/>
          <w:iCs/>
          <w:szCs w:val="24"/>
          <w:lang w:val="es-ES"/>
        </w:rPr>
      </w:pPr>
      <w:r w:rsidRPr="006F3839">
        <w:rPr>
          <w:rFonts w:ascii="Arial" w:hAnsi="Arial" w:cs="Arial"/>
          <w:b/>
          <w:bCs/>
          <w:iCs/>
          <w:szCs w:val="24"/>
          <w:lang w:val="es-ES"/>
        </w:rPr>
        <w:t>ANA LUCÍA CAICEDO CALDERÓN</w:t>
      </w:r>
      <w:r w:rsidRPr="006F3839">
        <w:rPr>
          <w:rFonts w:ascii="Arial" w:hAnsi="Arial" w:cs="Arial"/>
          <w:b/>
          <w:bCs/>
          <w:iCs/>
          <w:szCs w:val="24"/>
          <w:lang w:val="es-ES"/>
        </w:rPr>
        <w:tab/>
        <w:t xml:space="preserve">      OLGA LUCIA HOYOS SEPÚLVEDA</w:t>
      </w:r>
    </w:p>
    <w:p w14:paraId="6AD9A13C" w14:textId="77777777" w:rsidR="006F3839" w:rsidRPr="006F3839" w:rsidRDefault="006F3839" w:rsidP="006F3839">
      <w:pPr>
        <w:spacing w:line="276" w:lineRule="auto"/>
        <w:jc w:val="both"/>
        <w:rPr>
          <w:rFonts w:ascii="Arial" w:hAnsi="Arial" w:cs="Arial"/>
          <w:bCs/>
          <w:iCs/>
          <w:szCs w:val="24"/>
          <w:lang w:val="es-ES"/>
        </w:rPr>
      </w:pPr>
      <w:r w:rsidRPr="006F3839">
        <w:rPr>
          <w:rFonts w:ascii="Arial" w:hAnsi="Arial" w:cs="Arial"/>
          <w:bCs/>
          <w:iCs/>
          <w:szCs w:val="24"/>
          <w:lang w:val="es-ES"/>
        </w:rPr>
        <w:t xml:space="preserve">                Magistrada</w:t>
      </w:r>
      <w:r w:rsidRPr="006F3839">
        <w:rPr>
          <w:rFonts w:ascii="Arial" w:hAnsi="Arial" w:cs="Arial"/>
          <w:bCs/>
          <w:iCs/>
          <w:szCs w:val="24"/>
          <w:lang w:val="es-ES"/>
        </w:rPr>
        <w:tab/>
      </w:r>
      <w:r w:rsidRPr="006F3839">
        <w:rPr>
          <w:rFonts w:ascii="Arial" w:hAnsi="Arial" w:cs="Arial"/>
          <w:bCs/>
          <w:iCs/>
          <w:szCs w:val="24"/>
          <w:lang w:val="es-ES"/>
        </w:rPr>
        <w:tab/>
      </w:r>
      <w:r w:rsidRPr="006F3839">
        <w:rPr>
          <w:rFonts w:ascii="Arial" w:hAnsi="Arial" w:cs="Arial"/>
          <w:bCs/>
          <w:iCs/>
          <w:szCs w:val="24"/>
          <w:lang w:val="es-ES"/>
        </w:rPr>
        <w:tab/>
      </w:r>
      <w:r w:rsidRPr="006F3839">
        <w:rPr>
          <w:rFonts w:ascii="Arial" w:hAnsi="Arial" w:cs="Arial"/>
          <w:bCs/>
          <w:iCs/>
          <w:szCs w:val="24"/>
          <w:lang w:val="es-ES"/>
        </w:rPr>
        <w:tab/>
      </w:r>
      <w:r w:rsidRPr="006F3839">
        <w:rPr>
          <w:rFonts w:ascii="Arial" w:hAnsi="Arial" w:cs="Arial"/>
          <w:bCs/>
          <w:iCs/>
          <w:szCs w:val="24"/>
          <w:lang w:val="es-ES"/>
        </w:rPr>
        <w:tab/>
        <w:t xml:space="preserve">      Magistrada</w:t>
      </w:r>
    </w:p>
    <w:p w14:paraId="508A15F7" w14:textId="6152F098" w:rsidR="00D96212" w:rsidRPr="006F3839" w:rsidRDefault="006F3839" w:rsidP="006F3839">
      <w:pPr>
        <w:spacing w:line="276" w:lineRule="auto"/>
        <w:rPr>
          <w:rFonts w:ascii="Arial" w:hAnsi="Arial" w:cs="Arial"/>
          <w:szCs w:val="24"/>
        </w:rPr>
      </w:pPr>
      <w:r w:rsidRPr="006F3839">
        <w:rPr>
          <w:rFonts w:ascii="Arial" w:hAnsi="Arial" w:cs="Arial"/>
          <w:szCs w:val="24"/>
        </w:rPr>
        <w:tab/>
      </w:r>
      <w:r w:rsidRPr="006F3839">
        <w:rPr>
          <w:rFonts w:ascii="Arial" w:hAnsi="Arial" w:cs="Arial"/>
          <w:szCs w:val="24"/>
        </w:rPr>
        <w:tab/>
      </w:r>
      <w:r w:rsidRPr="006F3839">
        <w:rPr>
          <w:rFonts w:ascii="Arial" w:hAnsi="Arial" w:cs="Arial"/>
          <w:szCs w:val="24"/>
        </w:rPr>
        <w:tab/>
      </w:r>
      <w:r w:rsidRPr="006F3839">
        <w:rPr>
          <w:rFonts w:ascii="Arial" w:hAnsi="Arial" w:cs="Arial"/>
          <w:szCs w:val="24"/>
        </w:rPr>
        <w:tab/>
      </w:r>
      <w:r w:rsidRPr="006F3839">
        <w:rPr>
          <w:rFonts w:ascii="Arial" w:hAnsi="Arial" w:cs="Arial"/>
          <w:szCs w:val="24"/>
        </w:rPr>
        <w:tab/>
      </w:r>
      <w:r w:rsidRPr="006F3839">
        <w:rPr>
          <w:rFonts w:ascii="Arial" w:hAnsi="Arial" w:cs="Arial"/>
          <w:szCs w:val="24"/>
        </w:rPr>
        <w:tab/>
      </w:r>
      <w:r w:rsidRPr="006F3839">
        <w:rPr>
          <w:rFonts w:ascii="Arial" w:hAnsi="Arial" w:cs="Arial"/>
          <w:szCs w:val="24"/>
        </w:rPr>
        <w:tab/>
      </w:r>
      <w:r w:rsidRPr="006F3839">
        <w:rPr>
          <w:rFonts w:ascii="Arial" w:hAnsi="Arial" w:cs="Arial"/>
          <w:szCs w:val="24"/>
        </w:rPr>
        <w:tab/>
      </w:r>
      <w:r w:rsidRPr="006F3839">
        <w:rPr>
          <w:rFonts w:ascii="Arial" w:hAnsi="Arial" w:cs="Arial"/>
          <w:bCs/>
          <w:iCs/>
          <w:szCs w:val="24"/>
          <w:lang w:val="es-ES"/>
        </w:rPr>
        <w:t xml:space="preserve">      Aclara voto</w:t>
      </w:r>
    </w:p>
    <w:sectPr w:rsidR="00D96212" w:rsidRPr="006F3839" w:rsidSect="004B19BF">
      <w:headerReference w:type="default" r:id="rId13"/>
      <w:pgSz w:w="12242" w:h="18722" w:code="258"/>
      <w:pgMar w:top="1985" w:right="1304" w:bottom="1418"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682254" w16cex:dateUtc="2020-08-20T13:31:34.12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90587" w14:textId="77777777" w:rsidR="00B62118" w:rsidRDefault="00B62118" w:rsidP="00492994">
      <w:r>
        <w:separator/>
      </w:r>
    </w:p>
  </w:endnote>
  <w:endnote w:type="continuationSeparator" w:id="0">
    <w:p w14:paraId="11CCE70A" w14:textId="77777777" w:rsidR="00B62118" w:rsidRDefault="00B62118" w:rsidP="0049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E8F78" w14:textId="77777777" w:rsidR="00B62118" w:rsidRDefault="00B62118" w:rsidP="00492994">
      <w:r>
        <w:separator/>
      </w:r>
    </w:p>
  </w:footnote>
  <w:footnote w:type="continuationSeparator" w:id="0">
    <w:p w14:paraId="1146986F" w14:textId="77777777" w:rsidR="00B62118" w:rsidRDefault="00B62118" w:rsidP="00492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2AFD4" w14:textId="77777777" w:rsidR="00D96212" w:rsidRPr="006F3839" w:rsidRDefault="00D96212" w:rsidP="006F3839">
    <w:pPr>
      <w:pStyle w:val="Ttulo2"/>
      <w:tabs>
        <w:tab w:val="right" w:pos="8931"/>
      </w:tabs>
      <w:ind w:right="-92"/>
      <w:jc w:val="both"/>
      <w:rPr>
        <w:rFonts w:ascii="Arial" w:hAnsi="Arial" w:cs="Arial"/>
        <w:bCs/>
        <w:color w:val="000000" w:themeColor="text1"/>
        <w:sz w:val="18"/>
        <w:szCs w:val="18"/>
      </w:rPr>
    </w:pPr>
    <w:r w:rsidRPr="006F3839">
      <w:rPr>
        <w:rFonts w:ascii="Arial" w:hAnsi="Arial" w:cs="Arial"/>
        <w:color w:val="000000" w:themeColor="text1"/>
        <w:sz w:val="18"/>
        <w:szCs w:val="18"/>
      </w:rPr>
      <w:t xml:space="preserve">Radicación No. </w:t>
    </w:r>
    <w:r w:rsidRPr="006F3839">
      <w:rPr>
        <w:rFonts w:ascii="Arial" w:hAnsi="Arial" w:cs="Arial"/>
        <w:bCs/>
        <w:color w:val="000000" w:themeColor="text1"/>
        <w:sz w:val="18"/>
        <w:szCs w:val="18"/>
      </w:rPr>
      <w:t>66001–31-05–004-2018-00225-01</w:t>
    </w:r>
  </w:p>
  <w:p w14:paraId="30CF3A43" w14:textId="4221784E" w:rsidR="00D96212" w:rsidRPr="006F3839" w:rsidRDefault="00D96212" w:rsidP="006F3839">
    <w:pPr>
      <w:pStyle w:val="Ttulo2"/>
      <w:tabs>
        <w:tab w:val="right" w:pos="8931"/>
      </w:tabs>
      <w:ind w:right="-92"/>
      <w:jc w:val="both"/>
      <w:rPr>
        <w:rFonts w:ascii="Arial" w:hAnsi="Arial" w:cs="Arial"/>
        <w:color w:val="000000" w:themeColor="text1"/>
        <w:sz w:val="18"/>
        <w:szCs w:val="18"/>
        <w:lang w:val="es-ES"/>
      </w:rPr>
    </w:pPr>
    <w:r w:rsidRPr="006F3839">
      <w:rPr>
        <w:rFonts w:ascii="Arial" w:hAnsi="Arial" w:cs="Arial"/>
        <w:bCs/>
        <w:color w:val="000000" w:themeColor="text1"/>
        <w:sz w:val="18"/>
        <w:szCs w:val="18"/>
      </w:rPr>
      <w:t>Mónica Orfilia Gómez Marín vs Colpensiones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1160C"/>
    <w:multiLevelType w:val="multilevel"/>
    <w:tmpl w:val="E0328086"/>
    <w:lvl w:ilvl="0">
      <w:start w:val="1"/>
      <w:numFmt w:val="upperRoman"/>
      <w:lvlText w:val="%1."/>
      <w:lvlJc w:val="left"/>
      <w:pPr>
        <w:ind w:left="1004" w:hanging="720"/>
      </w:pPr>
      <w:rPr>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abstractNum w:abstractNumId="1">
    <w:nsid w:val="5B18643B"/>
    <w:multiLevelType w:val="multilevel"/>
    <w:tmpl w:val="0298F7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94"/>
    <w:rsid w:val="000D1160"/>
    <w:rsid w:val="002E7FF3"/>
    <w:rsid w:val="00310861"/>
    <w:rsid w:val="00336BB8"/>
    <w:rsid w:val="003B04FA"/>
    <w:rsid w:val="00437C0C"/>
    <w:rsid w:val="004720D3"/>
    <w:rsid w:val="00492994"/>
    <w:rsid w:val="004B19BF"/>
    <w:rsid w:val="004D40A0"/>
    <w:rsid w:val="004E3BDB"/>
    <w:rsid w:val="004F6D0A"/>
    <w:rsid w:val="00523911"/>
    <w:rsid w:val="00545913"/>
    <w:rsid w:val="00571F22"/>
    <w:rsid w:val="005C5332"/>
    <w:rsid w:val="005E3E12"/>
    <w:rsid w:val="0061157D"/>
    <w:rsid w:val="0061273A"/>
    <w:rsid w:val="006B1D27"/>
    <w:rsid w:val="006E7D93"/>
    <w:rsid w:val="006F3839"/>
    <w:rsid w:val="00705FD8"/>
    <w:rsid w:val="007A18E1"/>
    <w:rsid w:val="007F1E14"/>
    <w:rsid w:val="0082388A"/>
    <w:rsid w:val="00861C61"/>
    <w:rsid w:val="008D153F"/>
    <w:rsid w:val="009212C0"/>
    <w:rsid w:val="00951FF7"/>
    <w:rsid w:val="009755E8"/>
    <w:rsid w:val="009C0257"/>
    <w:rsid w:val="00A04F21"/>
    <w:rsid w:val="00A334AA"/>
    <w:rsid w:val="00A56DD8"/>
    <w:rsid w:val="00A66004"/>
    <w:rsid w:val="00B62118"/>
    <w:rsid w:val="00BC781E"/>
    <w:rsid w:val="00C06E04"/>
    <w:rsid w:val="00CB345B"/>
    <w:rsid w:val="00CE2E22"/>
    <w:rsid w:val="00D66FDA"/>
    <w:rsid w:val="00D96212"/>
    <w:rsid w:val="00DE28AD"/>
    <w:rsid w:val="00E221A9"/>
    <w:rsid w:val="00E7725D"/>
    <w:rsid w:val="00E807A5"/>
    <w:rsid w:val="00F97E87"/>
    <w:rsid w:val="00FB30A9"/>
    <w:rsid w:val="01E49F9D"/>
    <w:rsid w:val="02D2892F"/>
    <w:rsid w:val="03CB98F6"/>
    <w:rsid w:val="052282D1"/>
    <w:rsid w:val="05C30095"/>
    <w:rsid w:val="05CE5B2A"/>
    <w:rsid w:val="068D843E"/>
    <w:rsid w:val="09EECE59"/>
    <w:rsid w:val="0A6BDF9C"/>
    <w:rsid w:val="0AD344CC"/>
    <w:rsid w:val="0AE6E31E"/>
    <w:rsid w:val="0DCA5479"/>
    <w:rsid w:val="0DEE5E64"/>
    <w:rsid w:val="0E93AE63"/>
    <w:rsid w:val="113F499E"/>
    <w:rsid w:val="1319D66A"/>
    <w:rsid w:val="138C13D7"/>
    <w:rsid w:val="13E78A22"/>
    <w:rsid w:val="14EA9431"/>
    <w:rsid w:val="19D0CEE9"/>
    <w:rsid w:val="1A2E008C"/>
    <w:rsid w:val="1BC94508"/>
    <w:rsid w:val="1C79B213"/>
    <w:rsid w:val="1ECF2E4C"/>
    <w:rsid w:val="1F515B80"/>
    <w:rsid w:val="210ABFA0"/>
    <w:rsid w:val="24570BF9"/>
    <w:rsid w:val="26F2E2AA"/>
    <w:rsid w:val="293C2B43"/>
    <w:rsid w:val="2C3CBF66"/>
    <w:rsid w:val="302A77A1"/>
    <w:rsid w:val="31650FFC"/>
    <w:rsid w:val="33268A62"/>
    <w:rsid w:val="3573435E"/>
    <w:rsid w:val="35B23650"/>
    <w:rsid w:val="36EC1C8B"/>
    <w:rsid w:val="37214698"/>
    <w:rsid w:val="38CB5BC8"/>
    <w:rsid w:val="3A671D18"/>
    <w:rsid w:val="3A6E5111"/>
    <w:rsid w:val="3A7C287F"/>
    <w:rsid w:val="3BB8AA6B"/>
    <w:rsid w:val="3EC04011"/>
    <w:rsid w:val="3F1AFB4E"/>
    <w:rsid w:val="4063A0DD"/>
    <w:rsid w:val="412C99E2"/>
    <w:rsid w:val="4214C378"/>
    <w:rsid w:val="42E5A8BD"/>
    <w:rsid w:val="455A0F97"/>
    <w:rsid w:val="4642113A"/>
    <w:rsid w:val="46A32593"/>
    <w:rsid w:val="46AF0DBD"/>
    <w:rsid w:val="48491B0F"/>
    <w:rsid w:val="4860A601"/>
    <w:rsid w:val="48613027"/>
    <w:rsid w:val="4B3EA207"/>
    <w:rsid w:val="4C30C997"/>
    <w:rsid w:val="4E097E81"/>
    <w:rsid w:val="4E200669"/>
    <w:rsid w:val="4E54BA38"/>
    <w:rsid w:val="4EFB7DAA"/>
    <w:rsid w:val="5022F9B8"/>
    <w:rsid w:val="51921B72"/>
    <w:rsid w:val="525C5947"/>
    <w:rsid w:val="55356DDC"/>
    <w:rsid w:val="56061E77"/>
    <w:rsid w:val="56221EA5"/>
    <w:rsid w:val="562D15B8"/>
    <w:rsid w:val="56C8CB4D"/>
    <w:rsid w:val="586371A4"/>
    <w:rsid w:val="5B41AE11"/>
    <w:rsid w:val="5B787C81"/>
    <w:rsid w:val="5CD4DCE7"/>
    <w:rsid w:val="5CE4CA26"/>
    <w:rsid w:val="5D41F6B2"/>
    <w:rsid w:val="5DF76DA2"/>
    <w:rsid w:val="60771322"/>
    <w:rsid w:val="60C4EC9B"/>
    <w:rsid w:val="61071391"/>
    <w:rsid w:val="62CA77F4"/>
    <w:rsid w:val="6382417B"/>
    <w:rsid w:val="655B6ABC"/>
    <w:rsid w:val="6571CAB2"/>
    <w:rsid w:val="664DAF3D"/>
    <w:rsid w:val="68C480AA"/>
    <w:rsid w:val="691E6D7B"/>
    <w:rsid w:val="69958FF8"/>
    <w:rsid w:val="6B9C8903"/>
    <w:rsid w:val="6B9DD5FC"/>
    <w:rsid w:val="6D19BE93"/>
    <w:rsid w:val="6EA84766"/>
    <w:rsid w:val="6F04DD5F"/>
    <w:rsid w:val="6FA3EB51"/>
    <w:rsid w:val="6FD19E40"/>
    <w:rsid w:val="70D9CED5"/>
    <w:rsid w:val="71DEBE21"/>
    <w:rsid w:val="7241D38D"/>
    <w:rsid w:val="730D23BF"/>
    <w:rsid w:val="76980030"/>
    <w:rsid w:val="76A5C6EF"/>
    <w:rsid w:val="77F9D810"/>
    <w:rsid w:val="78315E04"/>
    <w:rsid w:val="7B0A9CA5"/>
    <w:rsid w:val="7C0D3258"/>
    <w:rsid w:val="7C6D410B"/>
    <w:rsid w:val="7CE07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94"/>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4929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929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2994"/>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492994"/>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492994"/>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492994"/>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492994"/>
    <w:rPr>
      <w:rFonts w:ascii="Arial Narrow" w:eastAsia="Times New Roman" w:hAnsi="Arial Narrow" w:cs="Arial"/>
      <w:b/>
      <w:sz w:val="24"/>
      <w:szCs w:val="24"/>
      <w:lang w:eastAsia="es-ES"/>
    </w:rPr>
  </w:style>
  <w:style w:type="table" w:styleId="Tablaconcuadrcula">
    <w:name w:val="Table Grid"/>
    <w:basedOn w:val="Tablanormal"/>
    <w:uiPriority w:val="39"/>
    <w:rsid w:val="0049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492994"/>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492994"/>
    <w:pPr>
      <w:tabs>
        <w:tab w:val="center" w:pos="4252"/>
        <w:tab w:val="right" w:pos="8504"/>
      </w:tabs>
    </w:pPr>
  </w:style>
  <w:style w:type="character" w:customStyle="1" w:styleId="EncabezadoCar">
    <w:name w:val="Encabezado Car"/>
    <w:basedOn w:val="Fuentedeprrafopredeter"/>
    <w:link w:val="Encabezado"/>
    <w:uiPriority w:val="99"/>
    <w:rsid w:val="00492994"/>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492994"/>
    <w:pPr>
      <w:ind w:left="720"/>
      <w:contextualSpacing/>
    </w:pPr>
  </w:style>
  <w:style w:type="character" w:customStyle="1" w:styleId="normaltextrun">
    <w:name w:val="normaltextrun"/>
    <w:basedOn w:val="Fuentedeprrafopredeter"/>
    <w:rsid w:val="00492994"/>
  </w:style>
  <w:style w:type="paragraph" w:styleId="Textoindependiente">
    <w:name w:val="Body Text"/>
    <w:basedOn w:val="Normal"/>
    <w:link w:val="TextoindependienteCar"/>
    <w:rsid w:val="00492994"/>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492994"/>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492994"/>
    <w:pPr>
      <w:spacing w:line="360" w:lineRule="auto"/>
      <w:jc w:val="both"/>
    </w:pPr>
    <w:rPr>
      <w:rFonts w:ascii="Arial" w:hAnsi="Arial"/>
      <w:sz w:val="28"/>
    </w:rPr>
  </w:style>
  <w:style w:type="paragraph" w:customStyle="1" w:styleId="paragraph">
    <w:name w:val="paragraph"/>
    <w:basedOn w:val="Normal"/>
    <w:rsid w:val="00492994"/>
    <w:pPr>
      <w:spacing w:before="100" w:beforeAutospacing="1" w:after="100" w:afterAutospacing="1"/>
    </w:pPr>
    <w:rPr>
      <w:szCs w:val="24"/>
      <w:lang w:val="es-ES"/>
    </w:rPr>
  </w:style>
  <w:style w:type="paragraph" w:styleId="Piedepgina">
    <w:name w:val="footer"/>
    <w:basedOn w:val="Normal"/>
    <w:link w:val="PiedepginaCar"/>
    <w:uiPriority w:val="99"/>
    <w:unhideWhenUsed/>
    <w:rsid w:val="00492994"/>
    <w:pPr>
      <w:tabs>
        <w:tab w:val="center" w:pos="4252"/>
        <w:tab w:val="right" w:pos="8504"/>
      </w:tabs>
    </w:pPr>
  </w:style>
  <w:style w:type="character" w:customStyle="1" w:styleId="PiedepginaCar">
    <w:name w:val="Pie de página Car"/>
    <w:basedOn w:val="Fuentedeprrafopredeter"/>
    <w:link w:val="Piedepgina"/>
    <w:uiPriority w:val="99"/>
    <w:rsid w:val="00492994"/>
    <w:rPr>
      <w:rFonts w:ascii="Times New Roman" w:eastAsia="Times New Roman" w:hAnsi="Times New Roman" w:cs="Times New Roman"/>
      <w:sz w:val="24"/>
      <w:szCs w:val="20"/>
      <w:lang w:val="es-ES_tradnl" w:eastAsia="es-ES"/>
    </w:rPr>
  </w:style>
  <w:style w:type="character" w:customStyle="1" w:styleId="eop">
    <w:name w:val="eop"/>
    <w:basedOn w:val="Fuentedeprrafopredeter"/>
    <w:rsid w:val="009C0257"/>
  </w:style>
  <w:style w:type="paragraph" w:styleId="Textodeglobo">
    <w:name w:val="Balloon Text"/>
    <w:basedOn w:val="Normal"/>
    <w:link w:val="TextodegloboCar"/>
    <w:uiPriority w:val="99"/>
    <w:semiHidden/>
    <w:unhideWhenUsed/>
    <w:rsid w:val="003B04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04F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545913"/>
    <w:rPr>
      <w:sz w:val="16"/>
      <w:szCs w:val="16"/>
    </w:rPr>
  </w:style>
  <w:style w:type="paragraph" w:styleId="Textocomentario">
    <w:name w:val="annotation text"/>
    <w:basedOn w:val="Normal"/>
    <w:link w:val="TextocomentarioCar"/>
    <w:uiPriority w:val="99"/>
    <w:semiHidden/>
    <w:unhideWhenUsed/>
    <w:rsid w:val="00545913"/>
    <w:rPr>
      <w:sz w:val="20"/>
    </w:rPr>
  </w:style>
  <w:style w:type="character" w:customStyle="1" w:styleId="TextocomentarioCar">
    <w:name w:val="Texto comentario Car"/>
    <w:basedOn w:val="Fuentedeprrafopredeter"/>
    <w:link w:val="Textocomentario"/>
    <w:uiPriority w:val="99"/>
    <w:semiHidden/>
    <w:rsid w:val="00545913"/>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45913"/>
    <w:rPr>
      <w:b/>
      <w:bCs/>
    </w:rPr>
  </w:style>
  <w:style w:type="character" w:customStyle="1" w:styleId="AsuntodelcomentarioCar">
    <w:name w:val="Asunto del comentario Car"/>
    <w:basedOn w:val="TextocomentarioCar"/>
    <w:link w:val="Asuntodelcomentario"/>
    <w:uiPriority w:val="99"/>
    <w:semiHidden/>
    <w:rsid w:val="00545913"/>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94"/>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4929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929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2994"/>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492994"/>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492994"/>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492994"/>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492994"/>
    <w:rPr>
      <w:rFonts w:ascii="Arial Narrow" w:eastAsia="Times New Roman" w:hAnsi="Arial Narrow" w:cs="Arial"/>
      <w:b/>
      <w:sz w:val="24"/>
      <w:szCs w:val="24"/>
      <w:lang w:eastAsia="es-ES"/>
    </w:rPr>
  </w:style>
  <w:style w:type="table" w:styleId="Tablaconcuadrcula">
    <w:name w:val="Table Grid"/>
    <w:basedOn w:val="Tablanormal"/>
    <w:uiPriority w:val="39"/>
    <w:rsid w:val="0049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492994"/>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492994"/>
    <w:pPr>
      <w:tabs>
        <w:tab w:val="center" w:pos="4252"/>
        <w:tab w:val="right" w:pos="8504"/>
      </w:tabs>
    </w:pPr>
  </w:style>
  <w:style w:type="character" w:customStyle="1" w:styleId="EncabezadoCar">
    <w:name w:val="Encabezado Car"/>
    <w:basedOn w:val="Fuentedeprrafopredeter"/>
    <w:link w:val="Encabezado"/>
    <w:uiPriority w:val="99"/>
    <w:rsid w:val="00492994"/>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492994"/>
    <w:pPr>
      <w:ind w:left="720"/>
      <w:contextualSpacing/>
    </w:pPr>
  </w:style>
  <w:style w:type="character" w:customStyle="1" w:styleId="normaltextrun">
    <w:name w:val="normaltextrun"/>
    <w:basedOn w:val="Fuentedeprrafopredeter"/>
    <w:rsid w:val="00492994"/>
  </w:style>
  <w:style w:type="paragraph" w:styleId="Textoindependiente">
    <w:name w:val="Body Text"/>
    <w:basedOn w:val="Normal"/>
    <w:link w:val="TextoindependienteCar"/>
    <w:rsid w:val="00492994"/>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492994"/>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492994"/>
    <w:pPr>
      <w:spacing w:line="360" w:lineRule="auto"/>
      <w:jc w:val="both"/>
    </w:pPr>
    <w:rPr>
      <w:rFonts w:ascii="Arial" w:hAnsi="Arial"/>
      <w:sz w:val="28"/>
    </w:rPr>
  </w:style>
  <w:style w:type="paragraph" w:customStyle="1" w:styleId="paragraph">
    <w:name w:val="paragraph"/>
    <w:basedOn w:val="Normal"/>
    <w:rsid w:val="00492994"/>
    <w:pPr>
      <w:spacing w:before="100" w:beforeAutospacing="1" w:after="100" w:afterAutospacing="1"/>
    </w:pPr>
    <w:rPr>
      <w:szCs w:val="24"/>
      <w:lang w:val="es-ES"/>
    </w:rPr>
  </w:style>
  <w:style w:type="paragraph" w:styleId="Piedepgina">
    <w:name w:val="footer"/>
    <w:basedOn w:val="Normal"/>
    <w:link w:val="PiedepginaCar"/>
    <w:uiPriority w:val="99"/>
    <w:unhideWhenUsed/>
    <w:rsid w:val="00492994"/>
    <w:pPr>
      <w:tabs>
        <w:tab w:val="center" w:pos="4252"/>
        <w:tab w:val="right" w:pos="8504"/>
      </w:tabs>
    </w:pPr>
  </w:style>
  <w:style w:type="character" w:customStyle="1" w:styleId="PiedepginaCar">
    <w:name w:val="Pie de página Car"/>
    <w:basedOn w:val="Fuentedeprrafopredeter"/>
    <w:link w:val="Piedepgina"/>
    <w:uiPriority w:val="99"/>
    <w:rsid w:val="00492994"/>
    <w:rPr>
      <w:rFonts w:ascii="Times New Roman" w:eastAsia="Times New Roman" w:hAnsi="Times New Roman" w:cs="Times New Roman"/>
      <w:sz w:val="24"/>
      <w:szCs w:val="20"/>
      <w:lang w:val="es-ES_tradnl" w:eastAsia="es-ES"/>
    </w:rPr>
  </w:style>
  <w:style w:type="character" w:customStyle="1" w:styleId="eop">
    <w:name w:val="eop"/>
    <w:basedOn w:val="Fuentedeprrafopredeter"/>
    <w:rsid w:val="009C0257"/>
  </w:style>
  <w:style w:type="paragraph" w:styleId="Textodeglobo">
    <w:name w:val="Balloon Text"/>
    <w:basedOn w:val="Normal"/>
    <w:link w:val="TextodegloboCar"/>
    <w:uiPriority w:val="99"/>
    <w:semiHidden/>
    <w:unhideWhenUsed/>
    <w:rsid w:val="003B04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04F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545913"/>
    <w:rPr>
      <w:sz w:val="16"/>
      <w:szCs w:val="16"/>
    </w:rPr>
  </w:style>
  <w:style w:type="paragraph" w:styleId="Textocomentario">
    <w:name w:val="annotation text"/>
    <w:basedOn w:val="Normal"/>
    <w:link w:val="TextocomentarioCar"/>
    <w:uiPriority w:val="99"/>
    <w:semiHidden/>
    <w:unhideWhenUsed/>
    <w:rsid w:val="00545913"/>
    <w:rPr>
      <w:sz w:val="20"/>
    </w:rPr>
  </w:style>
  <w:style w:type="character" w:customStyle="1" w:styleId="TextocomentarioCar">
    <w:name w:val="Texto comentario Car"/>
    <w:basedOn w:val="Fuentedeprrafopredeter"/>
    <w:link w:val="Textocomentario"/>
    <w:uiPriority w:val="99"/>
    <w:semiHidden/>
    <w:rsid w:val="00545913"/>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45913"/>
    <w:rPr>
      <w:b/>
      <w:bCs/>
    </w:rPr>
  </w:style>
  <w:style w:type="character" w:customStyle="1" w:styleId="AsuntodelcomentarioCar">
    <w:name w:val="Asunto del comentario Car"/>
    <w:basedOn w:val="TextocomentarioCar"/>
    <w:link w:val="Asuntodelcomentario"/>
    <w:uiPriority w:val="99"/>
    <w:semiHidden/>
    <w:rsid w:val="00545913"/>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1729e7895a874365"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BA8FB-B5EF-47C2-A17A-7928B1F7A686}">
  <ds:schemaRefs>
    <ds:schemaRef ds:uri="http://schemas.microsoft.com/sharepoint/v3/contenttype/forms"/>
  </ds:schemaRefs>
</ds:datastoreItem>
</file>

<file path=customXml/itemProps2.xml><?xml version="1.0" encoding="utf-8"?>
<ds:datastoreItem xmlns:ds="http://schemas.openxmlformats.org/officeDocument/2006/customXml" ds:itemID="{25E4AF59-7954-40AC-9A63-8BC0CF9F2E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8569C1-BD6E-4E4E-B2D5-E9E37140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7334</Words>
  <Characters>40341</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5</cp:revision>
  <dcterms:created xsi:type="dcterms:W3CDTF">2020-08-24T13:01:00Z</dcterms:created>
  <dcterms:modified xsi:type="dcterms:W3CDTF">2020-10-07T20:31:00Z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