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4499" w14:textId="77777777" w:rsidR="00130A70" w:rsidRPr="00130A70" w:rsidRDefault="00130A70" w:rsidP="00130A7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130A7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9B62C4" w14:textId="77777777" w:rsidR="00130A70" w:rsidRPr="00130A70" w:rsidRDefault="00130A70" w:rsidP="00130A70">
      <w:pPr>
        <w:jc w:val="both"/>
        <w:rPr>
          <w:rFonts w:ascii="Arial" w:hAnsi="Arial" w:cs="Arial"/>
          <w:sz w:val="20"/>
          <w:lang w:val="es-419"/>
        </w:rPr>
      </w:pPr>
    </w:p>
    <w:p w14:paraId="7E8A2201" w14:textId="77777777" w:rsidR="00B23CB4" w:rsidRPr="00B23CB4" w:rsidRDefault="00B23CB4" w:rsidP="00B23CB4">
      <w:pPr>
        <w:jc w:val="both"/>
        <w:rPr>
          <w:rFonts w:ascii="Arial" w:hAnsi="Arial" w:cs="Arial"/>
          <w:b/>
          <w:bCs/>
          <w:iCs/>
          <w:sz w:val="20"/>
          <w:lang w:val="es-419" w:eastAsia="fr-FR"/>
        </w:rPr>
      </w:pPr>
      <w:r w:rsidRPr="00B23CB4">
        <w:rPr>
          <w:rFonts w:ascii="Arial" w:hAnsi="Arial" w:cs="Arial"/>
          <w:b/>
          <w:bCs/>
          <w:iCs/>
          <w:sz w:val="20"/>
          <w:u w:val="single"/>
          <w:lang w:val="es-419" w:eastAsia="fr-FR"/>
        </w:rPr>
        <w:t>TEMAS:</w:t>
      </w:r>
      <w:r w:rsidRPr="00B23CB4">
        <w:rPr>
          <w:rFonts w:ascii="Arial" w:hAnsi="Arial" w:cs="Arial"/>
          <w:b/>
          <w:bCs/>
          <w:iCs/>
          <w:sz w:val="20"/>
          <w:lang w:val="es-419" w:eastAsia="fr-FR"/>
        </w:rPr>
        <w:tab/>
      </w:r>
      <w:r w:rsidRPr="00B23CB4">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14478118" w14:textId="77777777" w:rsidR="00B23CB4" w:rsidRPr="00B23CB4" w:rsidRDefault="00B23CB4" w:rsidP="00B23CB4">
      <w:pPr>
        <w:jc w:val="both"/>
        <w:rPr>
          <w:rFonts w:ascii="Arial" w:hAnsi="Arial" w:cs="Arial"/>
          <w:sz w:val="20"/>
          <w:lang w:val="es-419"/>
        </w:rPr>
      </w:pPr>
    </w:p>
    <w:p w14:paraId="16302B98" w14:textId="77777777" w:rsidR="00B23CB4" w:rsidRPr="00B23CB4" w:rsidRDefault="00B23CB4" w:rsidP="00B23CB4">
      <w:pPr>
        <w:jc w:val="both"/>
        <w:rPr>
          <w:rFonts w:ascii="Arial" w:hAnsi="Arial" w:cs="Arial"/>
          <w:sz w:val="20"/>
          <w:lang w:val="es-419"/>
        </w:rPr>
      </w:pPr>
      <w:r w:rsidRPr="00B23CB4">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510530B2" w14:textId="77777777" w:rsidR="00B23CB4" w:rsidRPr="00B23CB4" w:rsidRDefault="00B23CB4" w:rsidP="00B23CB4">
      <w:pPr>
        <w:jc w:val="both"/>
        <w:rPr>
          <w:rFonts w:ascii="Arial" w:hAnsi="Arial" w:cs="Arial"/>
          <w:sz w:val="20"/>
          <w:lang w:val="es-419"/>
        </w:rPr>
      </w:pPr>
    </w:p>
    <w:p w14:paraId="4F2A0BA2" w14:textId="77777777" w:rsidR="00B23CB4" w:rsidRPr="00B23CB4" w:rsidRDefault="00B23CB4" w:rsidP="00B23CB4">
      <w:pPr>
        <w:jc w:val="both"/>
        <w:rPr>
          <w:rFonts w:ascii="Arial" w:hAnsi="Arial" w:cs="Arial"/>
          <w:sz w:val="20"/>
          <w:lang w:val="es-419"/>
        </w:rPr>
      </w:pPr>
      <w:r w:rsidRPr="00B23CB4">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1B0D2011" w14:textId="77777777" w:rsidR="00B23CB4" w:rsidRPr="00B23CB4" w:rsidRDefault="00B23CB4" w:rsidP="00B23CB4">
      <w:pPr>
        <w:jc w:val="both"/>
        <w:rPr>
          <w:rFonts w:ascii="Arial" w:hAnsi="Arial" w:cs="Arial"/>
          <w:sz w:val="20"/>
          <w:lang w:val="es-419"/>
        </w:rPr>
      </w:pPr>
    </w:p>
    <w:p w14:paraId="6193FA53" w14:textId="71684778" w:rsidR="00B23CB4" w:rsidRPr="00B23CB4" w:rsidRDefault="00B23CB4" w:rsidP="00B23CB4">
      <w:pPr>
        <w:jc w:val="both"/>
        <w:rPr>
          <w:rFonts w:ascii="Arial" w:hAnsi="Arial" w:cs="Arial"/>
          <w:sz w:val="20"/>
          <w:lang w:val="es-419"/>
        </w:rPr>
      </w:pPr>
      <w:r w:rsidRPr="00B23CB4">
        <w:rPr>
          <w:rFonts w:ascii="Arial" w:hAnsi="Arial" w:cs="Arial"/>
          <w:sz w:val="20"/>
          <w:lang w:val="es-419"/>
        </w:rPr>
        <w:t>“…</w:t>
      </w:r>
      <w:r>
        <w:rPr>
          <w:rFonts w:ascii="Arial" w:hAnsi="Arial" w:cs="Arial"/>
          <w:sz w:val="20"/>
          <w:lang w:val="es-419"/>
        </w:rPr>
        <w:t xml:space="preserve"> </w:t>
      </w:r>
      <w:r w:rsidRPr="00B23CB4">
        <w:rPr>
          <w:rFonts w:ascii="Arial" w:hAnsi="Arial" w:cs="Arial"/>
          <w:sz w:val="20"/>
          <w:lang w:val="es-419"/>
        </w:rPr>
        <w:t>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4F72D4E" w14:textId="77777777" w:rsidR="00B23CB4" w:rsidRPr="00B23CB4" w:rsidRDefault="00B23CB4" w:rsidP="00B23CB4">
      <w:pPr>
        <w:jc w:val="both"/>
        <w:rPr>
          <w:rFonts w:ascii="Arial" w:hAnsi="Arial" w:cs="Arial"/>
          <w:sz w:val="20"/>
          <w:lang w:val="es-419"/>
        </w:rPr>
      </w:pPr>
    </w:p>
    <w:p w14:paraId="1991B313" w14:textId="77777777" w:rsidR="00B23CB4" w:rsidRPr="00B23CB4" w:rsidRDefault="00B23CB4" w:rsidP="00B23CB4">
      <w:pPr>
        <w:jc w:val="both"/>
        <w:rPr>
          <w:rFonts w:ascii="Arial" w:hAnsi="Arial" w:cs="Arial"/>
          <w:sz w:val="20"/>
          <w:lang w:val="es-419"/>
        </w:rPr>
      </w:pPr>
      <w:r w:rsidRPr="00B23CB4">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058F9A0D" w14:textId="77777777" w:rsidR="00B23CB4" w:rsidRPr="00B23CB4" w:rsidRDefault="00B23CB4" w:rsidP="00B23CB4">
      <w:pPr>
        <w:jc w:val="both"/>
        <w:rPr>
          <w:rFonts w:ascii="Arial" w:hAnsi="Arial" w:cs="Arial"/>
          <w:sz w:val="20"/>
          <w:lang w:val="es-419"/>
        </w:rPr>
      </w:pPr>
    </w:p>
    <w:p w14:paraId="71159666" w14:textId="77777777" w:rsidR="00B23CB4" w:rsidRPr="00B23CB4" w:rsidRDefault="00B23CB4" w:rsidP="00B23CB4">
      <w:pPr>
        <w:jc w:val="both"/>
        <w:rPr>
          <w:rFonts w:ascii="Arial" w:hAnsi="Arial" w:cs="Arial"/>
          <w:sz w:val="20"/>
          <w:lang w:val="es-419"/>
        </w:rPr>
      </w:pPr>
      <w:r w:rsidRPr="00B23CB4">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437B14D" w14:textId="77777777" w:rsidR="00B23CB4" w:rsidRPr="00B23CB4" w:rsidRDefault="00B23CB4" w:rsidP="00B23CB4">
      <w:pPr>
        <w:jc w:val="both"/>
        <w:rPr>
          <w:rFonts w:ascii="Arial" w:hAnsi="Arial" w:cs="Arial"/>
          <w:sz w:val="20"/>
          <w:lang w:val="es-419"/>
        </w:rPr>
      </w:pPr>
    </w:p>
    <w:p w14:paraId="4799C6B1" w14:textId="77777777" w:rsidR="00B23CB4" w:rsidRPr="00B23CB4" w:rsidRDefault="00B23CB4" w:rsidP="00B23CB4">
      <w:pPr>
        <w:jc w:val="both"/>
        <w:rPr>
          <w:rFonts w:ascii="Arial" w:hAnsi="Arial" w:cs="Arial"/>
          <w:sz w:val="20"/>
          <w:lang w:val="es-ES"/>
        </w:rPr>
      </w:pPr>
      <w:r w:rsidRPr="00B23CB4">
        <w:rPr>
          <w:rFonts w:ascii="Arial" w:hAnsi="Arial" w:cs="Arial"/>
          <w:sz w:val="20"/>
          <w:lang w:val="es-ES"/>
        </w:rPr>
        <w:t xml:space="preserv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B23CB4">
        <w:rPr>
          <w:rFonts w:ascii="Arial" w:hAnsi="Arial" w:cs="Arial"/>
          <w:sz w:val="20"/>
          <w:lang w:val="es-ES"/>
        </w:rPr>
        <w:t>A.F.P</w:t>
      </w:r>
      <w:proofErr w:type="spellEnd"/>
      <w:r w:rsidRPr="00B23CB4">
        <w:rPr>
          <w:rFonts w:ascii="Arial" w:hAnsi="Arial" w:cs="Arial"/>
          <w:sz w:val="20"/>
          <w:lang w:val="es-ES"/>
        </w:rPr>
        <w:t>, que devendrá en la ineficacia del traslado de régimen pensional.</w:t>
      </w:r>
    </w:p>
    <w:p w14:paraId="6B5BBA58" w14:textId="77777777" w:rsidR="00130A70" w:rsidRPr="00130A70" w:rsidRDefault="00130A70" w:rsidP="00130A70">
      <w:pPr>
        <w:jc w:val="both"/>
        <w:rPr>
          <w:rFonts w:ascii="Arial" w:hAnsi="Arial" w:cs="Arial"/>
          <w:sz w:val="20"/>
          <w:lang w:val="es-ES"/>
        </w:rPr>
      </w:pPr>
    </w:p>
    <w:p w14:paraId="3908A879" w14:textId="77777777" w:rsidR="00130A70" w:rsidRPr="00130A70" w:rsidRDefault="00130A70" w:rsidP="00130A70">
      <w:pPr>
        <w:jc w:val="both"/>
        <w:rPr>
          <w:rFonts w:ascii="Arial" w:hAnsi="Arial" w:cs="Arial"/>
          <w:sz w:val="20"/>
          <w:lang w:val="es-ES"/>
        </w:rPr>
      </w:pPr>
    </w:p>
    <w:p w14:paraId="1C33F004" w14:textId="77777777" w:rsidR="00130A70" w:rsidRPr="00130A70" w:rsidRDefault="00130A70" w:rsidP="00130A70">
      <w:pPr>
        <w:jc w:val="both"/>
        <w:rPr>
          <w:rFonts w:ascii="Arial" w:hAnsi="Arial" w:cs="Arial"/>
          <w:sz w:val="20"/>
          <w:lang w:val="es-ES"/>
        </w:rPr>
      </w:pPr>
    </w:p>
    <w:p w14:paraId="3E525D3A" w14:textId="77777777" w:rsidR="00130A70" w:rsidRPr="00B23CB4" w:rsidRDefault="00130A70" w:rsidP="00130A70">
      <w:pPr>
        <w:tabs>
          <w:tab w:val="center" w:pos="4252"/>
          <w:tab w:val="right" w:pos="8504"/>
        </w:tabs>
        <w:spacing w:line="276" w:lineRule="auto"/>
        <w:ind w:right="-7"/>
        <w:jc w:val="center"/>
        <w:rPr>
          <w:rFonts w:ascii="Arial" w:hAnsi="Arial" w:cs="Arial"/>
          <w:b/>
          <w:bCs/>
          <w:spacing w:val="2"/>
          <w:szCs w:val="24"/>
        </w:rPr>
      </w:pPr>
      <w:r w:rsidRPr="00B23CB4">
        <w:rPr>
          <w:rFonts w:ascii="Arial" w:hAnsi="Arial" w:cs="Arial"/>
          <w:b/>
          <w:bCs/>
          <w:spacing w:val="2"/>
          <w:szCs w:val="24"/>
        </w:rPr>
        <w:t>TRIBUNAL SUPERIOR DEL DISTRITO</w:t>
      </w:r>
    </w:p>
    <w:p w14:paraId="78CF516F" w14:textId="77777777" w:rsidR="00130A70" w:rsidRPr="00B23CB4" w:rsidRDefault="00130A70" w:rsidP="00130A70">
      <w:pPr>
        <w:tabs>
          <w:tab w:val="center" w:pos="4252"/>
          <w:tab w:val="right" w:pos="8504"/>
        </w:tabs>
        <w:spacing w:line="276" w:lineRule="auto"/>
        <w:ind w:right="-7"/>
        <w:jc w:val="center"/>
        <w:rPr>
          <w:rFonts w:ascii="Arial" w:hAnsi="Arial" w:cs="Arial"/>
          <w:b/>
          <w:bCs/>
          <w:spacing w:val="2"/>
          <w:szCs w:val="24"/>
        </w:rPr>
      </w:pPr>
      <w:r w:rsidRPr="00B23CB4">
        <w:rPr>
          <w:rFonts w:ascii="Arial" w:hAnsi="Arial" w:cs="Arial"/>
          <w:b/>
          <w:bCs/>
          <w:spacing w:val="2"/>
          <w:szCs w:val="24"/>
        </w:rPr>
        <w:object w:dxaOrig="3090" w:dyaOrig="3285" w14:anchorId="4769B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1" o:title=""/>
          </v:shape>
          <o:OLEObject Type="Embed" ProgID="PBrush" ShapeID="_x0000_i1025" DrawAspect="Content" ObjectID="_1663589947" r:id="rId12"/>
        </w:object>
      </w:r>
    </w:p>
    <w:p w14:paraId="44740796" w14:textId="77777777" w:rsidR="00130A70" w:rsidRPr="00B23CB4" w:rsidRDefault="00130A70" w:rsidP="00130A70">
      <w:pPr>
        <w:tabs>
          <w:tab w:val="center" w:pos="4252"/>
          <w:tab w:val="right" w:pos="8504"/>
        </w:tabs>
        <w:spacing w:line="276" w:lineRule="auto"/>
        <w:ind w:right="-7"/>
        <w:jc w:val="center"/>
        <w:rPr>
          <w:rFonts w:ascii="Arial" w:hAnsi="Arial" w:cs="Arial"/>
          <w:b/>
          <w:bCs/>
          <w:spacing w:val="2"/>
          <w:szCs w:val="24"/>
        </w:rPr>
      </w:pPr>
      <w:r w:rsidRPr="00B23CB4">
        <w:rPr>
          <w:rFonts w:ascii="Arial" w:hAnsi="Arial" w:cs="Arial"/>
          <w:b/>
          <w:bCs/>
          <w:spacing w:val="2"/>
          <w:szCs w:val="24"/>
        </w:rPr>
        <w:t>PEREIRA RISARALDA</w:t>
      </w:r>
    </w:p>
    <w:p w14:paraId="3253CD80" w14:textId="77777777" w:rsidR="00130A70" w:rsidRPr="00B23CB4" w:rsidRDefault="00130A70" w:rsidP="00130A70">
      <w:pPr>
        <w:tabs>
          <w:tab w:val="center" w:pos="4252"/>
          <w:tab w:val="right" w:pos="8504"/>
        </w:tabs>
        <w:spacing w:line="276" w:lineRule="auto"/>
        <w:ind w:right="-7"/>
        <w:jc w:val="center"/>
        <w:rPr>
          <w:rFonts w:ascii="Arial" w:hAnsi="Arial" w:cs="Arial"/>
          <w:spacing w:val="2"/>
          <w:szCs w:val="24"/>
        </w:rPr>
      </w:pPr>
    </w:p>
    <w:p w14:paraId="53FF7054" w14:textId="77777777" w:rsidR="00130A70" w:rsidRPr="00B23CB4" w:rsidRDefault="00130A70" w:rsidP="00130A70">
      <w:pPr>
        <w:spacing w:line="276" w:lineRule="auto"/>
        <w:jc w:val="center"/>
        <w:rPr>
          <w:rFonts w:ascii="Arial" w:hAnsi="Arial" w:cs="Arial"/>
          <w:spacing w:val="2"/>
          <w:szCs w:val="24"/>
        </w:rPr>
      </w:pPr>
      <w:r w:rsidRPr="00B23CB4">
        <w:rPr>
          <w:rFonts w:ascii="Arial" w:hAnsi="Arial" w:cs="Arial"/>
          <w:spacing w:val="2"/>
          <w:szCs w:val="24"/>
        </w:rPr>
        <w:t>Magistrada Ponente</w:t>
      </w:r>
    </w:p>
    <w:p w14:paraId="098535A3" w14:textId="77777777" w:rsidR="00130A70" w:rsidRPr="00B23CB4" w:rsidRDefault="00130A70" w:rsidP="00130A70">
      <w:pPr>
        <w:spacing w:line="276" w:lineRule="auto"/>
        <w:jc w:val="center"/>
        <w:rPr>
          <w:rFonts w:ascii="Arial" w:hAnsi="Arial" w:cs="Arial"/>
          <w:b/>
          <w:bCs/>
          <w:spacing w:val="2"/>
          <w:szCs w:val="24"/>
        </w:rPr>
      </w:pPr>
      <w:r w:rsidRPr="00B23CB4">
        <w:rPr>
          <w:rFonts w:ascii="Arial" w:hAnsi="Arial" w:cs="Arial"/>
          <w:b/>
          <w:bCs/>
          <w:spacing w:val="2"/>
          <w:szCs w:val="24"/>
        </w:rPr>
        <w:t>ALEJANDRA MARÍA HENAO PALACIO</w:t>
      </w:r>
    </w:p>
    <w:p w14:paraId="56677000" w14:textId="77777777" w:rsidR="00130A70" w:rsidRPr="00B23CB4" w:rsidRDefault="00130A70" w:rsidP="00130A70">
      <w:pPr>
        <w:spacing w:line="276" w:lineRule="auto"/>
        <w:jc w:val="both"/>
        <w:rPr>
          <w:rFonts w:ascii="Arial" w:hAnsi="Arial" w:cs="Arial"/>
          <w:spacing w:val="2"/>
          <w:szCs w:val="24"/>
        </w:rPr>
      </w:pPr>
    </w:p>
    <w:tbl>
      <w:tblPr>
        <w:tblStyle w:val="Tablaconcuadrcula"/>
        <w:tblW w:w="0" w:type="auto"/>
        <w:tblInd w:w="799" w:type="dxa"/>
        <w:tblLook w:val="04A0" w:firstRow="1" w:lastRow="0" w:firstColumn="1" w:lastColumn="0" w:noHBand="0" w:noVBand="1"/>
      </w:tblPr>
      <w:tblGrid>
        <w:gridCol w:w="2127"/>
        <w:gridCol w:w="5103"/>
      </w:tblGrid>
      <w:tr w:rsidR="00130A70" w:rsidRPr="00B23CB4" w14:paraId="108300B2" w14:textId="77777777" w:rsidTr="559ECABD">
        <w:tc>
          <w:tcPr>
            <w:tcW w:w="2127" w:type="dxa"/>
          </w:tcPr>
          <w:p w14:paraId="65007287" w14:textId="77777777"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Demandante:</w:t>
            </w:r>
          </w:p>
        </w:tc>
        <w:tc>
          <w:tcPr>
            <w:tcW w:w="5103" w:type="dxa"/>
          </w:tcPr>
          <w:p w14:paraId="5D368B18" w14:textId="7662C5DC" w:rsidR="003B3197" w:rsidRPr="00B23CB4" w:rsidRDefault="00130A70" w:rsidP="00130A70">
            <w:pPr>
              <w:pStyle w:val="Sinespaciado"/>
              <w:jc w:val="both"/>
              <w:rPr>
                <w:rFonts w:ascii="Arial" w:hAnsi="Arial" w:cs="Arial"/>
                <w:spacing w:val="2"/>
                <w:sz w:val="22"/>
                <w:szCs w:val="24"/>
              </w:rPr>
            </w:pPr>
            <w:r w:rsidRPr="00B23CB4">
              <w:rPr>
                <w:rFonts w:ascii="Arial" w:hAnsi="Arial" w:cs="Arial"/>
                <w:spacing w:val="2"/>
                <w:sz w:val="22"/>
                <w:szCs w:val="24"/>
              </w:rPr>
              <w:t>Luz Marina Pérez Espinoza</w:t>
            </w:r>
          </w:p>
        </w:tc>
      </w:tr>
      <w:tr w:rsidR="00130A70" w:rsidRPr="00B23CB4" w14:paraId="5C87F45A" w14:textId="77777777" w:rsidTr="559ECABD">
        <w:tc>
          <w:tcPr>
            <w:tcW w:w="2127" w:type="dxa"/>
          </w:tcPr>
          <w:p w14:paraId="0CBE7280" w14:textId="77777777"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Demandado:</w:t>
            </w:r>
          </w:p>
        </w:tc>
        <w:tc>
          <w:tcPr>
            <w:tcW w:w="5103" w:type="dxa"/>
          </w:tcPr>
          <w:p w14:paraId="013B5712" w14:textId="3DDEF6B5" w:rsidR="003B3197" w:rsidRPr="00B23CB4" w:rsidRDefault="00130A70" w:rsidP="00130A70">
            <w:pPr>
              <w:pStyle w:val="Sinespaciado"/>
              <w:jc w:val="both"/>
              <w:rPr>
                <w:rFonts w:ascii="Arial" w:hAnsi="Arial" w:cs="Arial"/>
                <w:spacing w:val="2"/>
                <w:sz w:val="22"/>
                <w:szCs w:val="24"/>
              </w:rPr>
            </w:pPr>
            <w:r w:rsidRPr="00B23CB4">
              <w:rPr>
                <w:rFonts w:ascii="Arial" w:hAnsi="Arial" w:cs="Arial"/>
                <w:spacing w:val="2"/>
                <w:sz w:val="22"/>
                <w:szCs w:val="24"/>
              </w:rPr>
              <w:t xml:space="preserve">Protección </w:t>
            </w:r>
            <w:r w:rsidR="4653F458" w:rsidRPr="00B23CB4">
              <w:rPr>
                <w:rFonts w:ascii="Arial" w:hAnsi="Arial" w:cs="Arial"/>
                <w:spacing w:val="2"/>
                <w:sz w:val="22"/>
                <w:szCs w:val="24"/>
              </w:rPr>
              <w:t xml:space="preserve">S.A. </w:t>
            </w:r>
            <w:r w:rsidRPr="00B23CB4">
              <w:rPr>
                <w:rFonts w:ascii="Arial" w:hAnsi="Arial" w:cs="Arial"/>
                <w:spacing w:val="2"/>
                <w:sz w:val="22"/>
                <w:szCs w:val="24"/>
              </w:rPr>
              <w:t xml:space="preserve">y Colpensiones </w:t>
            </w:r>
          </w:p>
        </w:tc>
      </w:tr>
      <w:tr w:rsidR="00130A70" w:rsidRPr="00B23CB4" w14:paraId="40433AA0" w14:textId="77777777" w:rsidTr="559ECABD">
        <w:tc>
          <w:tcPr>
            <w:tcW w:w="2127" w:type="dxa"/>
          </w:tcPr>
          <w:p w14:paraId="66B5FDFB" w14:textId="77777777"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Radicación No.</w:t>
            </w:r>
          </w:p>
        </w:tc>
        <w:tc>
          <w:tcPr>
            <w:tcW w:w="5103" w:type="dxa"/>
          </w:tcPr>
          <w:p w14:paraId="6EDD70F4" w14:textId="364B9BCA"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66001–31-05-004-2018-00230-01</w:t>
            </w:r>
          </w:p>
        </w:tc>
      </w:tr>
      <w:tr w:rsidR="00130A70" w:rsidRPr="00B23CB4" w14:paraId="22703F24" w14:textId="77777777" w:rsidTr="559ECABD">
        <w:tc>
          <w:tcPr>
            <w:tcW w:w="2127" w:type="dxa"/>
          </w:tcPr>
          <w:p w14:paraId="6E2CDADF" w14:textId="77777777"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Juzgado origen:</w:t>
            </w:r>
          </w:p>
        </w:tc>
        <w:tc>
          <w:tcPr>
            <w:tcW w:w="5103" w:type="dxa"/>
          </w:tcPr>
          <w:p w14:paraId="49D5998B" w14:textId="77777777"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Cuarto Laboral del Circuito de Pereira</w:t>
            </w:r>
          </w:p>
        </w:tc>
      </w:tr>
      <w:tr w:rsidR="00130A70" w:rsidRPr="00B23CB4" w14:paraId="062A30EE" w14:textId="77777777" w:rsidTr="559ECABD">
        <w:tc>
          <w:tcPr>
            <w:tcW w:w="2127" w:type="dxa"/>
          </w:tcPr>
          <w:p w14:paraId="47331328" w14:textId="77777777"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Tipo de proceso:</w:t>
            </w:r>
          </w:p>
        </w:tc>
        <w:tc>
          <w:tcPr>
            <w:tcW w:w="5103" w:type="dxa"/>
          </w:tcPr>
          <w:p w14:paraId="0D72BF86" w14:textId="77777777"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 xml:space="preserve">Ordinario Laboral </w:t>
            </w:r>
          </w:p>
        </w:tc>
      </w:tr>
      <w:tr w:rsidR="00130A70" w:rsidRPr="00B23CB4" w14:paraId="56A372FE" w14:textId="77777777" w:rsidTr="559ECABD">
        <w:tc>
          <w:tcPr>
            <w:tcW w:w="2127" w:type="dxa"/>
          </w:tcPr>
          <w:p w14:paraId="1BA3C53F" w14:textId="77777777"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Providencia:</w:t>
            </w:r>
          </w:p>
        </w:tc>
        <w:tc>
          <w:tcPr>
            <w:tcW w:w="5103" w:type="dxa"/>
          </w:tcPr>
          <w:p w14:paraId="74D2D0DC" w14:textId="6A9ECD45" w:rsidR="003B3197" w:rsidRPr="00B23CB4" w:rsidRDefault="4653F458" w:rsidP="00130A70">
            <w:pPr>
              <w:pStyle w:val="Sinespaciado"/>
              <w:jc w:val="both"/>
              <w:rPr>
                <w:rFonts w:ascii="Arial" w:hAnsi="Arial" w:cs="Arial"/>
                <w:spacing w:val="2"/>
                <w:sz w:val="22"/>
                <w:szCs w:val="24"/>
              </w:rPr>
            </w:pPr>
            <w:r w:rsidRPr="00B23CB4">
              <w:rPr>
                <w:rFonts w:ascii="Arial" w:hAnsi="Arial" w:cs="Arial"/>
                <w:spacing w:val="2"/>
                <w:sz w:val="22"/>
                <w:szCs w:val="24"/>
              </w:rPr>
              <w:t xml:space="preserve">Sentencia de </w:t>
            </w:r>
            <w:r w:rsidR="1E89AD65" w:rsidRPr="00B23CB4">
              <w:rPr>
                <w:rFonts w:ascii="Arial" w:hAnsi="Arial" w:cs="Arial"/>
                <w:spacing w:val="2"/>
                <w:sz w:val="22"/>
                <w:szCs w:val="24"/>
              </w:rPr>
              <w:t>segunda instancia</w:t>
            </w:r>
            <w:r w:rsidRPr="00B23CB4">
              <w:rPr>
                <w:rFonts w:ascii="Arial" w:hAnsi="Arial" w:cs="Arial"/>
                <w:spacing w:val="2"/>
                <w:sz w:val="22"/>
                <w:szCs w:val="24"/>
              </w:rPr>
              <w:t xml:space="preserve"> </w:t>
            </w:r>
          </w:p>
        </w:tc>
      </w:tr>
      <w:tr w:rsidR="00130A70" w:rsidRPr="00B23CB4" w14:paraId="484DF4EF" w14:textId="77777777" w:rsidTr="559ECABD">
        <w:trPr>
          <w:trHeight w:val="77"/>
        </w:trPr>
        <w:tc>
          <w:tcPr>
            <w:tcW w:w="2127" w:type="dxa"/>
          </w:tcPr>
          <w:p w14:paraId="577F69D7" w14:textId="77777777" w:rsidR="003B3197" w:rsidRPr="00B23CB4" w:rsidRDefault="4653F458" w:rsidP="00130A70">
            <w:pPr>
              <w:pStyle w:val="Sinespaciado"/>
              <w:jc w:val="both"/>
              <w:rPr>
                <w:rFonts w:ascii="Arial" w:hAnsi="Arial" w:cs="Arial"/>
                <w:bCs/>
                <w:spacing w:val="2"/>
                <w:sz w:val="22"/>
                <w:szCs w:val="24"/>
              </w:rPr>
            </w:pPr>
            <w:r w:rsidRPr="00B23CB4">
              <w:rPr>
                <w:rFonts w:ascii="Arial" w:hAnsi="Arial" w:cs="Arial"/>
                <w:bCs/>
                <w:spacing w:val="2"/>
                <w:sz w:val="22"/>
                <w:szCs w:val="24"/>
              </w:rPr>
              <w:t>Decisión:</w:t>
            </w:r>
          </w:p>
        </w:tc>
        <w:tc>
          <w:tcPr>
            <w:tcW w:w="5103" w:type="dxa"/>
          </w:tcPr>
          <w:p w14:paraId="4E0C48B4" w14:textId="77777777" w:rsidR="003B3197" w:rsidRPr="00B23CB4" w:rsidRDefault="4653F458" w:rsidP="00130A70">
            <w:pPr>
              <w:pStyle w:val="Sinespaciado"/>
              <w:jc w:val="both"/>
              <w:rPr>
                <w:rFonts w:ascii="Arial" w:hAnsi="Arial" w:cs="Arial"/>
                <w:bCs/>
                <w:spacing w:val="2"/>
                <w:sz w:val="22"/>
                <w:szCs w:val="24"/>
              </w:rPr>
            </w:pPr>
            <w:r w:rsidRPr="00B23CB4">
              <w:rPr>
                <w:rFonts w:ascii="Arial" w:hAnsi="Arial" w:cs="Arial"/>
                <w:bCs/>
                <w:spacing w:val="2"/>
                <w:sz w:val="22"/>
                <w:szCs w:val="24"/>
              </w:rPr>
              <w:t>CONFIRMA Y ADICIONA</w:t>
            </w:r>
          </w:p>
        </w:tc>
      </w:tr>
    </w:tbl>
    <w:p w14:paraId="74C9EBCF" w14:textId="76FD3E95" w:rsidR="3DAA36AC" w:rsidRPr="00B23CB4" w:rsidRDefault="3DAA36AC" w:rsidP="00130A70">
      <w:pPr>
        <w:spacing w:line="276" w:lineRule="auto"/>
        <w:rPr>
          <w:rFonts w:ascii="Arial" w:hAnsi="Arial" w:cs="Arial"/>
          <w:spacing w:val="2"/>
          <w:szCs w:val="24"/>
        </w:rPr>
      </w:pPr>
    </w:p>
    <w:p w14:paraId="1AC1DADC" w14:textId="3D586D57" w:rsidR="776FAC31" w:rsidRPr="00B23CB4" w:rsidRDefault="776FAC31" w:rsidP="00130A70">
      <w:pPr>
        <w:spacing w:line="276" w:lineRule="auto"/>
        <w:rPr>
          <w:rFonts w:ascii="Arial" w:hAnsi="Arial" w:cs="Arial"/>
          <w:spacing w:val="2"/>
          <w:szCs w:val="24"/>
        </w:rPr>
      </w:pPr>
    </w:p>
    <w:p w14:paraId="6C8FEACB" w14:textId="5DFB2048" w:rsidR="003B3197" w:rsidRPr="00B23CB4" w:rsidRDefault="4653F458" w:rsidP="00130A70">
      <w:pPr>
        <w:pStyle w:val="Sinespaciado"/>
        <w:spacing w:line="276" w:lineRule="auto"/>
        <w:ind w:firstLine="708"/>
        <w:jc w:val="center"/>
        <w:rPr>
          <w:rFonts w:ascii="Arial" w:hAnsi="Arial" w:cs="Arial"/>
          <w:spacing w:val="2"/>
          <w:szCs w:val="24"/>
        </w:rPr>
      </w:pPr>
      <w:bookmarkStart w:id="0" w:name="_Hlk49413732"/>
      <w:r w:rsidRPr="00B23CB4">
        <w:rPr>
          <w:rFonts w:ascii="Arial" w:hAnsi="Arial" w:cs="Arial"/>
          <w:spacing w:val="2"/>
          <w:szCs w:val="24"/>
        </w:rPr>
        <w:t xml:space="preserve">Registro del proyecto, </w:t>
      </w:r>
      <w:r w:rsidR="0C91EE96" w:rsidRPr="00B23CB4">
        <w:rPr>
          <w:rFonts w:ascii="Arial" w:hAnsi="Arial" w:cs="Arial"/>
          <w:spacing w:val="2"/>
          <w:szCs w:val="24"/>
        </w:rPr>
        <w:t xml:space="preserve">veinte </w:t>
      </w:r>
      <w:r w:rsidRPr="00B23CB4">
        <w:rPr>
          <w:rFonts w:ascii="Arial" w:hAnsi="Arial" w:cs="Arial"/>
          <w:spacing w:val="2"/>
          <w:szCs w:val="24"/>
        </w:rPr>
        <w:t>(</w:t>
      </w:r>
      <w:r w:rsidR="579677CB" w:rsidRPr="00B23CB4">
        <w:rPr>
          <w:rFonts w:ascii="Arial" w:hAnsi="Arial" w:cs="Arial"/>
          <w:spacing w:val="2"/>
          <w:szCs w:val="24"/>
        </w:rPr>
        <w:t>20</w:t>
      </w:r>
      <w:r w:rsidRPr="00B23CB4">
        <w:rPr>
          <w:rFonts w:ascii="Arial" w:hAnsi="Arial" w:cs="Arial"/>
          <w:spacing w:val="2"/>
          <w:szCs w:val="24"/>
        </w:rPr>
        <w:t>) de agosto de dos mil veinte (2020).</w:t>
      </w:r>
    </w:p>
    <w:p w14:paraId="682F5BBD" w14:textId="50C8AFDF" w:rsidR="003B3197" w:rsidRPr="00B23CB4" w:rsidRDefault="4653F458" w:rsidP="00130A70">
      <w:pPr>
        <w:pStyle w:val="Sinespaciado"/>
        <w:spacing w:line="276" w:lineRule="auto"/>
        <w:ind w:firstLine="708"/>
        <w:jc w:val="center"/>
        <w:rPr>
          <w:rFonts w:ascii="Arial" w:hAnsi="Arial" w:cs="Arial"/>
          <w:spacing w:val="2"/>
          <w:szCs w:val="24"/>
        </w:rPr>
      </w:pPr>
      <w:r w:rsidRPr="00B23CB4">
        <w:rPr>
          <w:rFonts w:ascii="Arial" w:hAnsi="Arial" w:cs="Arial"/>
          <w:spacing w:val="2"/>
          <w:szCs w:val="24"/>
        </w:rPr>
        <w:t xml:space="preserve">Acta de discusión número </w:t>
      </w:r>
      <w:r w:rsidR="00E26483" w:rsidRPr="00B23CB4">
        <w:rPr>
          <w:rFonts w:ascii="Arial" w:hAnsi="Arial" w:cs="Arial"/>
          <w:spacing w:val="2"/>
          <w:szCs w:val="24"/>
        </w:rPr>
        <w:t>119</w:t>
      </w:r>
      <w:r w:rsidRPr="00B23CB4">
        <w:rPr>
          <w:rFonts w:ascii="Arial" w:hAnsi="Arial" w:cs="Arial"/>
          <w:spacing w:val="2"/>
          <w:szCs w:val="24"/>
        </w:rPr>
        <w:t xml:space="preserve"> de </w:t>
      </w:r>
      <w:r w:rsidR="00E26483" w:rsidRPr="00B23CB4">
        <w:rPr>
          <w:rFonts w:ascii="Arial" w:hAnsi="Arial" w:cs="Arial"/>
          <w:spacing w:val="2"/>
          <w:szCs w:val="24"/>
        </w:rPr>
        <w:t>25</w:t>
      </w:r>
      <w:r w:rsidRPr="00B23CB4">
        <w:rPr>
          <w:rFonts w:ascii="Arial" w:hAnsi="Arial" w:cs="Arial"/>
          <w:spacing w:val="2"/>
          <w:szCs w:val="24"/>
        </w:rPr>
        <w:t>-08-2020</w:t>
      </w:r>
    </w:p>
    <w:p w14:paraId="48B3608F" w14:textId="77777777" w:rsidR="00754E51" w:rsidRPr="00B23CB4" w:rsidRDefault="00754E51" w:rsidP="00130A70">
      <w:pPr>
        <w:pStyle w:val="Sinespaciado"/>
        <w:spacing w:line="276" w:lineRule="auto"/>
        <w:ind w:firstLine="708"/>
        <w:jc w:val="center"/>
        <w:rPr>
          <w:rFonts w:ascii="Arial" w:hAnsi="Arial" w:cs="Arial"/>
          <w:spacing w:val="2"/>
          <w:szCs w:val="24"/>
        </w:rPr>
      </w:pPr>
    </w:p>
    <w:p w14:paraId="41B4C43C" w14:textId="0AC69360" w:rsidR="003B3197" w:rsidRPr="00B23CB4" w:rsidRDefault="4653F458" w:rsidP="00130A70">
      <w:pPr>
        <w:pStyle w:val="Sinespaciado"/>
        <w:spacing w:line="276" w:lineRule="auto"/>
        <w:ind w:firstLine="708"/>
        <w:jc w:val="center"/>
        <w:rPr>
          <w:rFonts w:ascii="Arial" w:hAnsi="Arial" w:cs="Arial"/>
          <w:spacing w:val="2"/>
          <w:szCs w:val="24"/>
        </w:rPr>
      </w:pPr>
      <w:r w:rsidRPr="00B23CB4">
        <w:rPr>
          <w:rFonts w:ascii="Arial" w:hAnsi="Arial" w:cs="Arial"/>
          <w:spacing w:val="2"/>
          <w:szCs w:val="24"/>
        </w:rPr>
        <w:t xml:space="preserve">Pereira, Risaralda, </w:t>
      </w:r>
      <w:r w:rsidR="1FC0C152" w:rsidRPr="00B23CB4">
        <w:rPr>
          <w:rFonts w:ascii="Arial" w:hAnsi="Arial" w:cs="Arial"/>
          <w:spacing w:val="2"/>
          <w:szCs w:val="24"/>
        </w:rPr>
        <w:t xml:space="preserve">treinta y uno </w:t>
      </w:r>
      <w:r w:rsidRPr="00B23CB4">
        <w:rPr>
          <w:rFonts w:ascii="Arial" w:hAnsi="Arial" w:cs="Arial"/>
          <w:spacing w:val="2"/>
          <w:szCs w:val="24"/>
        </w:rPr>
        <w:t>(</w:t>
      </w:r>
      <w:r w:rsidR="14862725" w:rsidRPr="00B23CB4">
        <w:rPr>
          <w:rFonts w:ascii="Arial" w:hAnsi="Arial" w:cs="Arial"/>
          <w:spacing w:val="2"/>
          <w:szCs w:val="24"/>
        </w:rPr>
        <w:t>31</w:t>
      </w:r>
      <w:r w:rsidRPr="00B23CB4">
        <w:rPr>
          <w:rFonts w:ascii="Arial" w:hAnsi="Arial" w:cs="Arial"/>
          <w:spacing w:val="2"/>
          <w:szCs w:val="24"/>
        </w:rPr>
        <w:t>) de agosto de dos mil veinte (2020)</w:t>
      </w:r>
    </w:p>
    <w:bookmarkEnd w:id="0"/>
    <w:p w14:paraId="4ED91839"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56EF6FEC" w14:textId="542C68E9" w:rsidR="003B3197" w:rsidRPr="00B23CB4" w:rsidRDefault="4653F458" w:rsidP="00130A70">
      <w:pPr>
        <w:pStyle w:val="Sinespaciado"/>
        <w:spacing w:line="276" w:lineRule="auto"/>
        <w:jc w:val="both"/>
        <w:rPr>
          <w:rFonts w:ascii="Arial" w:hAnsi="Arial" w:cs="Arial"/>
          <w:spacing w:val="2"/>
          <w:szCs w:val="24"/>
        </w:rPr>
      </w:pPr>
      <w:r w:rsidRPr="00B23CB4">
        <w:rPr>
          <w:rFonts w:ascii="Arial" w:hAnsi="Arial" w:cs="Arial"/>
          <w:spacing w:val="2"/>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B23CB4">
        <w:rPr>
          <w:rFonts w:ascii="Arial" w:hAnsi="Arial" w:cs="Arial"/>
          <w:b/>
          <w:bCs/>
          <w:spacing w:val="2"/>
          <w:szCs w:val="24"/>
        </w:rPr>
        <w:t>ALEJANDRA MARÍA HENAO PALACIO</w:t>
      </w:r>
      <w:r w:rsidRPr="00B23CB4">
        <w:rPr>
          <w:rFonts w:ascii="Arial" w:hAnsi="Arial" w:cs="Arial"/>
          <w:spacing w:val="2"/>
          <w:szCs w:val="24"/>
        </w:rPr>
        <w:t xml:space="preserve">, </w:t>
      </w:r>
      <w:r w:rsidR="1E89AD65" w:rsidRPr="00B23CB4">
        <w:rPr>
          <w:rFonts w:ascii="Arial" w:hAnsi="Arial" w:cs="Arial"/>
          <w:b/>
          <w:bCs/>
          <w:spacing w:val="2"/>
          <w:szCs w:val="24"/>
        </w:rPr>
        <w:t>(p</w:t>
      </w:r>
      <w:r w:rsidRPr="00B23CB4">
        <w:rPr>
          <w:rFonts w:ascii="Arial" w:hAnsi="Arial" w:cs="Arial"/>
          <w:b/>
          <w:bCs/>
          <w:spacing w:val="2"/>
          <w:szCs w:val="24"/>
        </w:rPr>
        <w:t>onente</w:t>
      </w:r>
      <w:r w:rsidR="1E89AD65" w:rsidRPr="00B23CB4">
        <w:rPr>
          <w:rFonts w:ascii="Arial" w:hAnsi="Arial" w:cs="Arial"/>
          <w:b/>
          <w:bCs/>
          <w:spacing w:val="2"/>
          <w:szCs w:val="24"/>
        </w:rPr>
        <w:t>)</w:t>
      </w:r>
      <w:r w:rsidRPr="00B23CB4">
        <w:rPr>
          <w:rFonts w:ascii="Arial" w:hAnsi="Arial" w:cs="Arial"/>
          <w:b/>
          <w:bCs/>
          <w:spacing w:val="2"/>
          <w:szCs w:val="24"/>
        </w:rPr>
        <w:t>,</w:t>
      </w:r>
      <w:r w:rsidRPr="00B23CB4">
        <w:rPr>
          <w:rFonts w:ascii="Arial" w:hAnsi="Arial" w:cs="Arial"/>
          <w:spacing w:val="2"/>
          <w:szCs w:val="24"/>
        </w:rPr>
        <w:t xml:space="preserve">  </w:t>
      </w:r>
      <w:r w:rsidRPr="00B23CB4">
        <w:rPr>
          <w:rFonts w:ascii="Arial" w:hAnsi="Arial" w:cs="Arial"/>
          <w:b/>
          <w:bCs/>
          <w:spacing w:val="2"/>
          <w:szCs w:val="24"/>
        </w:rPr>
        <w:t>ANA LUCÍA CAICEDO CALDERÓN y OLGA LUCÍA HOYOS SEPÚLVEDA</w:t>
      </w:r>
      <w:r w:rsidRPr="00B23CB4">
        <w:rPr>
          <w:rFonts w:ascii="Arial" w:hAnsi="Arial" w:cs="Arial"/>
          <w:spacing w:val="2"/>
          <w:szCs w:val="24"/>
        </w:rPr>
        <w:t xml:space="preserve"> a resolver los recursos de apelación interpuestos por las codemandadas, así como el grado jurisdiccional de consulta en favor de Colpensiones,  contra la sentencia proferida el 5 de agosto de 2019 por el Juzgado Cuarto Laboral del Circuito de Pereira, dentro del proceso ordinario laboral </w:t>
      </w:r>
      <w:r w:rsidR="1E89AD65" w:rsidRPr="00B23CB4">
        <w:rPr>
          <w:rFonts w:ascii="Arial" w:hAnsi="Arial" w:cs="Arial"/>
          <w:spacing w:val="2"/>
          <w:szCs w:val="24"/>
        </w:rPr>
        <w:t>de la referencia.</w:t>
      </w:r>
    </w:p>
    <w:p w14:paraId="335AA4AC" w14:textId="362BF628" w:rsidR="559ECABD" w:rsidRPr="00B23CB4" w:rsidRDefault="559ECABD" w:rsidP="00130A70">
      <w:pPr>
        <w:pStyle w:val="Sinespaciado"/>
        <w:spacing w:line="276" w:lineRule="auto"/>
        <w:jc w:val="both"/>
        <w:rPr>
          <w:rFonts w:ascii="Arial" w:hAnsi="Arial" w:cs="Arial"/>
          <w:spacing w:val="2"/>
          <w:szCs w:val="24"/>
        </w:rPr>
      </w:pPr>
    </w:p>
    <w:p w14:paraId="38897C28" w14:textId="3932BB70" w:rsidR="23B1B62C" w:rsidRPr="00B23CB4" w:rsidRDefault="23B1B62C" w:rsidP="00754E51">
      <w:pPr>
        <w:spacing w:line="276" w:lineRule="auto"/>
        <w:ind w:firstLine="708"/>
        <w:jc w:val="both"/>
        <w:rPr>
          <w:rFonts w:ascii="Arial" w:eastAsia="Arial Narrow" w:hAnsi="Arial" w:cs="Arial"/>
          <w:spacing w:val="2"/>
          <w:szCs w:val="24"/>
          <w:lang w:val="es-ES"/>
        </w:rPr>
      </w:pPr>
      <w:r w:rsidRPr="00B23CB4">
        <w:rPr>
          <w:rFonts w:ascii="Arial" w:eastAsia="Arial Narrow" w:hAnsi="Arial" w:cs="Arial"/>
          <w:b/>
          <w:bCs/>
          <w:spacing w:val="2"/>
          <w:szCs w:val="24"/>
          <w:lang w:val="es-ES"/>
        </w:rPr>
        <w:t xml:space="preserve">Cuestión previa </w:t>
      </w:r>
    </w:p>
    <w:p w14:paraId="5C7C4BDB" w14:textId="49077B45" w:rsidR="559ECABD" w:rsidRPr="00B23CB4" w:rsidRDefault="559ECABD" w:rsidP="00130A70">
      <w:pPr>
        <w:pStyle w:val="Sinespaciado"/>
        <w:spacing w:line="276" w:lineRule="auto"/>
        <w:rPr>
          <w:rStyle w:val="normaltextrun"/>
          <w:rFonts w:ascii="Arial" w:eastAsia="Arial Narrow" w:hAnsi="Arial" w:cs="Arial"/>
          <w:spacing w:val="2"/>
          <w:szCs w:val="24"/>
          <w:lang w:val="es-ES"/>
        </w:rPr>
      </w:pPr>
    </w:p>
    <w:p w14:paraId="56E79E3B" w14:textId="03A0D342" w:rsidR="23B1B62C" w:rsidRPr="00B23CB4" w:rsidRDefault="00B23CB4" w:rsidP="00754E51">
      <w:pPr>
        <w:spacing w:line="276" w:lineRule="auto"/>
        <w:ind w:firstLine="708"/>
        <w:jc w:val="both"/>
        <w:rPr>
          <w:rStyle w:val="normaltextrun"/>
          <w:rFonts w:ascii="Arial" w:eastAsia="Arial Narrow" w:hAnsi="Arial" w:cs="Arial"/>
          <w:spacing w:val="2"/>
          <w:szCs w:val="24"/>
          <w:lang w:val="es-ES"/>
        </w:rPr>
      </w:pPr>
      <w:r w:rsidRPr="00B23CB4">
        <w:rPr>
          <w:rStyle w:val="normaltextrun"/>
          <w:rFonts w:ascii="Arial" w:eastAsia="Arial Narrow" w:hAnsi="Arial" w:cs="Arial"/>
          <w:spacing w:val="2"/>
          <w:szCs w:val="24"/>
          <w:lang w:val="es-ES"/>
        </w:rPr>
        <w:t>(…)</w:t>
      </w:r>
    </w:p>
    <w:p w14:paraId="46C18358" w14:textId="77777777" w:rsidR="005A323F" w:rsidRPr="00B23CB4" w:rsidRDefault="005A323F" w:rsidP="00130A70">
      <w:pPr>
        <w:pStyle w:val="Sinespaciado"/>
        <w:spacing w:line="276" w:lineRule="auto"/>
        <w:rPr>
          <w:rFonts w:ascii="Arial" w:hAnsi="Arial" w:cs="Arial"/>
          <w:spacing w:val="2"/>
          <w:szCs w:val="24"/>
        </w:rPr>
      </w:pPr>
    </w:p>
    <w:p w14:paraId="3AA599A2" w14:textId="77777777"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 xml:space="preserve">Previamente se revisó, discutió y aprobó el proyecto elaborado por la Magistrada ponente el cual alude a la siguiente: </w:t>
      </w:r>
    </w:p>
    <w:p w14:paraId="42D4CEF7" w14:textId="77777777" w:rsidR="0052698B" w:rsidRPr="00B23CB4" w:rsidRDefault="0052698B" w:rsidP="00130A70">
      <w:pPr>
        <w:pStyle w:val="Sinespaciado"/>
        <w:spacing w:line="276" w:lineRule="auto"/>
        <w:ind w:left="2124" w:firstLine="708"/>
        <w:jc w:val="both"/>
        <w:rPr>
          <w:rFonts w:ascii="Arial" w:hAnsi="Arial" w:cs="Arial"/>
          <w:b/>
          <w:bCs/>
          <w:spacing w:val="2"/>
          <w:szCs w:val="24"/>
        </w:rPr>
      </w:pPr>
    </w:p>
    <w:p w14:paraId="71130550" w14:textId="0BC5EAFE" w:rsidR="003B3197" w:rsidRPr="00B23CB4" w:rsidRDefault="4653F458" w:rsidP="00130A70">
      <w:pPr>
        <w:pStyle w:val="Sinespaciado"/>
        <w:spacing w:line="276" w:lineRule="auto"/>
        <w:ind w:left="2832" w:firstLine="708"/>
        <w:jc w:val="both"/>
        <w:rPr>
          <w:rFonts w:ascii="Arial" w:hAnsi="Arial" w:cs="Arial"/>
          <w:b/>
          <w:bCs/>
          <w:spacing w:val="2"/>
          <w:szCs w:val="24"/>
        </w:rPr>
      </w:pPr>
      <w:r w:rsidRPr="00B23CB4">
        <w:rPr>
          <w:rFonts w:ascii="Arial" w:hAnsi="Arial" w:cs="Arial"/>
          <w:b/>
          <w:bCs/>
          <w:spacing w:val="2"/>
          <w:szCs w:val="24"/>
        </w:rPr>
        <w:t>SENTENCIA</w:t>
      </w:r>
    </w:p>
    <w:p w14:paraId="6011DC1D" w14:textId="77777777" w:rsidR="0052698B" w:rsidRPr="00B23CB4" w:rsidRDefault="0052698B" w:rsidP="00130A70">
      <w:pPr>
        <w:pStyle w:val="Sinespaciado"/>
        <w:spacing w:line="276" w:lineRule="auto"/>
        <w:ind w:firstLine="708"/>
        <w:jc w:val="both"/>
        <w:rPr>
          <w:rFonts w:ascii="Arial" w:hAnsi="Arial" w:cs="Arial"/>
          <w:spacing w:val="2"/>
          <w:szCs w:val="24"/>
        </w:rPr>
      </w:pPr>
    </w:p>
    <w:p w14:paraId="01BFC162" w14:textId="40D35BAB" w:rsidR="003B3197" w:rsidRPr="00B23CB4" w:rsidRDefault="4653F458" w:rsidP="00130A70">
      <w:pPr>
        <w:pStyle w:val="Sinespaciado"/>
        <w:numPr>
          <w:ilvl w:val="0"/>
          <w:numId w:val="2"/>
        </w:numPr>
        <w:spacing w:line="276" w:lineRule="auto"/>
        <w:jc w:val="both"/>
        <w:rPr>
          <w:rFonts w:ascii="Arial" w:hAnsi="Arial" w:cs="Arial"/>
          <w:b/>
          <w:bCs/>
          <w:spacing w:val="2"/>
          <w:szCs w:val="24"/>
        </w:rPr>
      </w:pPr>
      <w:r w:rsidRPr="00B23CB4">
        <w:rPr>
          <w:rFonts w:ascii="Arial" w:hAnsi="Arial" w:cs="Arial"/>
          <w:b/>
          <w:bCs/>
          <w:spacing w:val="2"/>
          <w:szCs w:val="24"/>
        </w:rPr>
        <w:t xml:space="preserve">ANTECEDENTES </w:t>
      </w:r>
    </w:p>
    <w:p w14:paraId="346A6EB2" w14:textId="77777777" w:rsidR="003B3197" w:rsidRPr="00B23CB4" w:rsidRDefault="003B3197" w:rsidP="00130A70">
      <w:pPr>
        <w:pStyle w:val="Sinespaciado"/>
        <w:spacing w:line="276" w:lineRule="auto"/>
        <w:rPr>
          <w:rFonts w:ascii="Arial" w:hAnsi="Arial" w:cs="Arial"/>
          <w:spacing w:val="2"/>
          <w:szCs w:val="24"/>
        </w:rPr>
      </w:pPr>
    </w:p>
    <w:p w14:paraId="72256EF1" w14:textId="67538FF0" w:rsidR="003B3197" w:rsidRPr="00B23CB4" w:rsidRDefault="388A8733" w:rsidP="00130A70">
      <w:pPr>
        <w:pStyle w:val="Sinespaciado"/>
        <w:spacing w:line="276" w:lineRule="auto"/>
        <w:ind w:firstLine="708"/>
        <w:jc w:val="both"/>
        <w:rPr>
          <w:rFonts w:ascii="Arial" w:hAnsi="Arial" w:cs="Arial"/>
          <w:b/>
          <w:bCs/>
          <w:spacing w:val="2"/>
          <w:szCs w:val="24"/>
        </w:rPr>
      </w:pPr>
      <w:r w:rsidRPr="00B23CB4">
        <w:rPr>
          <w:rFonts w:ascii="Arial" w:hAnsi="Arial" w:cs="Arial"/>
          <w:b/>
          <w:bCs/>
          <w:spacing w:val="2"/>
          <w:szCs w:val="24"/>
        </w:rPr>
        <w:t>1.1</w:t>
      </w:r>
      <w:r w:rsidR="0052698B" w:rsidRPr="00B23CB4">
        <w:rPr>
          <w:rFonts w:ascii="Arial" w:hAnsi="Arial" w:cs="Arial"/>
          <w:b/>
          <w:bCs/>
          <w:spacing w:val="2"/>
          <w:szCs w:val="24"/>
        </w:rPr>
        <w:tab/>
      </w:r>
      <w:r w:rsidR="4653F458" w:rsidRPr="00B23CB4">
        <w:rPr>
          <w:rFonts w:ascii="Arial" w:hAnsi="Arial" w:cs="Arial"/>
          <w:b/>
          <w:bCs/>
          <w:spacing w:val="2"/>
          <w:szCs w:val="24"/>
        </w:rPr>
        <w:t>Demanda</w:t>
      </w:r>
    </w:p>
    <w:p w14:paraId="211E00F3" w14:textId="77777777" w:rsidR="003B3197" w:rsidRPr="00B23CB4" w:rsidRDefault="003B3197" w:rsidP="00130A70">
      <w:pPr>
        <w:pStyle w:val="Sinespaciado"/>
        <w:spacing w:line="276" w:lineRule="auto"/>
        <w:rPr>
          <w:rFonts w:ascii="Arial" w:hAnsi="Arial" w:cs="Arial"/>
          <w:spacing w:val="2"/>
          <w:szCs w:val="24"/>
        </w:rPr>
      </w:pPr>
    </w:p>
    <w:p w14:paraId="17172540" w14:textId="3180EFD9"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 xml:space="preserve">Pretende la demandante que la justicia ordinaria laboral declare (i) la ineficacia del traslado efectuado por la demandante del régimen de prima media con prestación definida al régimen de ahorro individual con solidaridad, y (ii) la vigencia de la afiliación al régimen de prima media con prestación definida. Consecuente con ello, aspira que se ordene a </w:t>
      </w:r>
      <w:r w:rsidR="6580B828" w:rsidRPr="00B23CB4">
        <w:rPr>
          <w:rFonts w:ascii="Arial" w:hAnsi="Arial" w:cs="Arial"/>
          <w:spacing w:val="2"/>
          <w:szCs w:val="24"/>
        </w:rPr>
        <w:t xml:space="preserve">Colpensiones a aceptar su retorno al régimen de prima media con prestación definida, y al fondo accionado a devolver </w:t>
      </w:r>
      <w:r w:rsidRPr="00B23CB4">
        <w:rPr>
          <w:rFonts w:ascii="Arial" w:hAnsi="Arial" w:cs="Arial"/>
          <w:spacing w:val="2"/>
          <w:szCs w:val="24"/>
        </w:rPr>
        <w:t xml:space="preserve">la totalidad de los aportes recibidos, junto con sus rendimientos y cuotas de administración. </w:t>
      </w:r>
      <w:r w:rsidR="6580B828" w:rsidRPr="00B23CB4">
        <w:rPr>
          <w:rFonts w:ascii="Arial" w:hAnsi="Arial" w:cs="Arial"/>
          <w:spacing w:val="2"/>
          <w:szCs w:val="24"/>
        </w:rPr>
        <w:t xml:space="preserve">Pide además que se condene en costas procesales a las demandadas y a todo lo demás que resulte probado en virtud de las facultades ultra y extra </w:t>
      </w:r>
      <w:proofErr w:type="spellStart"/>
      <w:r w:rsidR="6580B828" w:rsidRPr="00B23CB4">
        <w:rPr>
          <w:rFonts w:ascii="Arial" w:hAnsi="Arial" w:cs="Arial"/>
          <w:spacing w:val="2"/>
          <w:szCs w:val="24"/>
        </w:rPr>
        <w:t>petita</w:t>
      </w:r>
      <w:proofErr w:type="spellEnd"/>
      <w:r w:rsidR="6580B828" w:rsidRPr="00B23CB4">
        <w:rPr>
          <w:rFonts w:ascii="Arial" w:hAnsi="Arial" w:cs="Arial"/>
          <w:spacing w:val="2"/>
          <w:szCs w:val="24"/>
        </w:rPr>
        <w:t xml:space="preserve">. </w:t>
      </w:r>
    </w:p>
    <w:p w14:paraId="6DFCB9DA" w14:textId="77777777" w:rsidR="00EA0855" w:rsidRPr="00B23CB4" w:rsidRDefault="00EA0855" w:rsidP="00130A70">
      <w:pPr>
        <w:pStyle w:val="Sinespaciado"/>
        <w:spacing w:line="276" w:lineRule="auto"/>
        <w:ind w:firstLine="708"/>
        <w:jc w:val="both"/>
        <w:rPr>
          <w:rFonts w:ascii="Arial" w:hAnsi="Arial" w:cs="Arial"/>
          <w:spacing w:val="2"/>
          <w:szCs w:val="24"/>
        </w:rPr>
      </w:pPr>
    </w:p>
    <w:p w14:paraId="1372C37A" w14:textId="4E2498AF" w:rsidR="00EA0855"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lastRenderedPageBreak/>
        <w:t>Como sustento de sus pretensiones expuso</w:t>
      </w:r>
      <w:r w:rsidR="4E43C8E4" w:rsidRPr="00B23CB4">
        <w:rPr>
          <w:rFonts w:ascii="Arial" w:hAnsi="Arial" w:cs="Arial"/>
          <w:spacing w:val="2"/>
          <w:szCs w:val="24"/>
        </w:rPr>
        <w:t>,</w:t>
      </w:r>
      <w:r w:rsidRPr="00B23CB4">
        <w:rPr>
          <w:rFonts w:ascii="Arial" w:hAnsi="Arial" w:cs="Arial"/>
          <w:spacing w:val="2"/>
          <w:szCs w:val="24"/>
        </w:rPr>
        <w:t xml:space="preserve"> </w:t>
      </w:r>
      <w:r w:rsidR="6580B828" w:rsidRPr="00B23CB4">
        <w:rPr>
          <w:rFonts w:ascii="Arial" w:hAnsi="Arial" w:cs="Arial"/>
          <w:spacing w:val="2"/>
          <w:szCs w:val="24"/>
        </w:rPr>
        <w:t xml:space="preserve">en síntesis </w:t>
      </w:r>
      <w:r w:rsidRPr="00B23CB4">
        <w:rPr>
          <w:rFonts w:ascii="Arial" w:hAnsi="Arial" w:cs="Arial"/>
          <w:spacing w:val="2"/>
          <w:szCs w:val="24"/>
        </w:rPr>
        <w:t xml:space="preserve">que nació el 1 de </w:t>
      </w:r>
      <w:r w:rsidR="6580B828" w:rsidRPr="00B23CB4">
        <w:rPr>
          <w:rFonts w:ascii="Arial" w:hAnsi="Arial" w:cs="Arial"/>
          <w:spacing w:val="2"/>
          <w:szCs w:val="24"/>
        </w:rPr>
        <w:t>septiembre de 1961</w:t>
      </w:r>
      <w:r w:rsidRPr="00B23CB4">
        <w:rPr>
          <w:rFonts w:ascii="Arial" w:hAnsi="Arial" w:cs="Arial"/>
          <w:spacing w:val="2"/>
          <w:szCs w:val="24"/>
        </w:rPr>
        <w:t xml:space="preserve">; que </w:t>
      </w:r>
      <w:r w:rsidR="6580B828" w:rsidRPr="00B23CB4">
        <w:rPr>
          <w:rFonts w:ascii="Arial" w:hAnsi="Arial" w:cs="Arial"/>
          <w:spacing w:val="2"/>
          <w:szCs w:val="24"/>
        </w:rPr>
        <w:t xml:space="preserve">estuvo afiliada al Instituto de Seguros Sociales desde el 03/03/1986 hasta el 21/07/1997, pues el día siguiente se afilió a la AFP Protección S.A.; que las razones que motivaron su traslado fueron las esbozadas por el asesor, que consistieron básicamente en que el ISS iba a desaparecer y que en el fondo privado se podía pensionar en cualquier tiempo y no era necesario el cumplimiento de la edad; que nunca recibió una asesoría integral que contemplara las diferencias </w:t>
      </w:r>
      <w:r w:rsidR="0B1473D2" w:rsidRPr="00B23CB4">
        <w:rPr>
          <w:rFonts w:ascii="Arial" w:hAnsi="Arial" w:cs="Arial"/>
          <w:spacing w:val="2"/>
          <w:szCs w:val="24"/>
        </w:rPr>
        <w:t>y ventajas en</w:t>
      </w:r>
      <w:r w:rsidR="6580B828" w:rsidRPr="00B23CB4">
        <w:rPr>
          <w:rFonts w:ascii="Arial" w:hAnsi="Arial" w:cs="Arial"/>
          <w:spacing w:val="2"/>
          <w:szCs w:val="24"/>
        </w:rPr>
        <w:t xml:space="preserve"> uno y otro régimen, las </w:t>
      </w:r>
      <w:r w:rsidR="0B1473D2" w:rsidRPr="00B23CB4">
        <w:rPr>
          <w:rFonts w:ascii="Arial" w:hAnsi="Arial" w:cs="Arial"/>
          <w:spacing w:val="2"/>
          <w:szCs w:val="24"/>
        </w:rPr>
        <w:t>consecuencias</w:t>
      </w:r>
      <w:r w:rsidR="6580B828" w:rsidRPr="00B23CB4">
        <w:rPr>
          <w:rFonts w:ascii="Arial" w:hAnsi="Arial" w:cs="Arial"/>
          <w:spacing w:val="2"/>
          <w:szCs w:val="24"/>
        </w:rPr>
        <w:t xml:space="preserve"> jurídicas y económicas que le acarrearía el traslado, los riesgos del mismo, </w:t>
      </w:r>
      <w:r w:rsidR="0B1473D2" w:rsidRPr="00B23CB4">
        <w:rPr>
          <w:rFonts w:ascii="Arial" w:hAnsi="Arial" w:cs="Arial"/>
          <w:spacing w:val="2"/>
          <w:szCs w:val="24"/>
        </w:rPr>
        <w:t>las proyecciones comparativas sobre el monto de la pensión, entre otros aspectos.</w:t>
      </w:r>
    </w:p>
    <w:p w14:paraId="34C1ECB9" w14:textId="77777777" w:rsidR="00CC36A2" w:rsidRPr="00B23CB4" w:rsidRDefault="00CC36A2" w:rsidP="00130A70">
      <w:pPr>
        <w:pStyle w:val="Sinespaciado"/>
        <w:spacing w:line="276" w:lineRule="auto"/>
        <w:ind w:firstLine="708"/>
        <w:jc w:val="both"/>
        <w:rPr>
          <w:rFonts w:ascii="Arial" w:hAnsi="Arial" w:cs="Arial"/>
          <w:spacing w:val="2"/>
          <w:szCs w:val="24"/>
        </w:rPr>
      </w:pPr>
    </w:p>
    <w:p w14:paraId="0EA3410A" w14:textId="3E50B9D8" w:rsidR="00CC36A2" w:rsidRPr="00B23CB4" w:rsidRDefault="0B1473D2"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Refiere que en el mes de octubre de 2017 buscó asesoría externa en aras de que se le informara la diferencia económica de la pensión en ambos regímenes; que el 18 de diciembre de ese mismo año solicitó a Colpensiones su retorno al</w:t>
      </w:r>
      <w:r w:rsidR="4E43C8E4" w:rsidRPr="00B23CB4">
        <w:rPr>
          <w:rFonts w:ascii="Arial" w:hAnsi="Arial" w:cs="Arial"/>
          <w:spacing w:val="2"/>
          <w:szCs w:val="24"/>
        </w:rPr>
        <w:t xml:space="preserve"> régimen de prima media</w:t>
      </w:r>
      <w:r w:rsidRPr="00B23CB4">
        <w:rPr>
          <w:rFonts w:ascii="Arial" w:hAnsi="Arial" w:cs="Arial"/>
          <w:spacing w:val="2"/>
          <w:szCs w:val="24"/>
        </w:rPr>
        <w:t xml:space="preserve">, misma que se resolvió como improcedente; que presentó derecho de petición ante la AFP Protección S.A., requiriendo su desafiliación por ineficacia del traslado de régimen, sin que a la fecha haya recibido respuesta de fondo. </w:t>
      </w:r>
    </w:p>
    <w:p w14:paraId="2802C938"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0DEE1FBF" w14:textId="77777777" w:rsidR="003B3197" w:rsidRPr="00B23CB4" w:rsidRDefault="4653F458" w:rsidP="00130A70">
      <w:pPr>
        <w:pStyle w:val="Sinespaciado"/>
        <w:spacing w:line="276" w:lineRule="auto"/>
        <w:ind w:firstLine="708"/>
        <w:jc w:val="both"/>
        <w:rPr>
          <w:rFonts w:ascii="Arial" w:hAnsi="Arial" w:cs="Arial"/>
          <w:b/>
          <w:bCs/>
          <w:spacing w:val="2"/>
          <w:szCs w:val="24"/>
        </w:rPr>
      </w:pPr>
      <w:r w:rsidRPr="00B23CB4">
        <w:rPr>
          <w:rFonts w:ascii="Arial" w:hAnsi="Arial" w:cs="Arial"/>
          <w:b/>
          <w:bCs/>
          <w:spacing w:val="2"/>
          <w:szCs w:val="24"/>
        </w:rPr>
        <w:t xml:space="preserve"> 1.2.     Respuesta a la demanda. </w:t>
      </w:r>
    </w:p>
    <w:p w14:paraId="034490EC" w14:textId="77777777" w:rsidR="003B3197" w:rsidRPr="00B23CB4" w:rsidRDefault="003B3197" w:rsidP="00130A70">
      <w:pPr>
        <w:pStyle w:val="Sinespaciado"/>
        <w:spacing w:line="276" w:lineRule="auto"/>
        <w:ind w:firstLine="708"/>
        <w:jc w:val="both"/>
        <w:rPr>
          <w:rFonts w:ascii="Arial" w:hAnsi="Arial" w:cs="Arial"/>
          <w:b/>
          <w:bCs/>
          <w:spacing w:val="2"/>
          <w:szCs w:val="24"/>
        </w:rPr>
      </w:pPr>
    </w:p>
    <w:p w14:paraId="7878597D" w14:textId="77777777" w:rsidR="003B3197" w:rsidRPr="00B23CB4" w:rsidRDefault="4653F458" w:rsidP="00130A70">
      <w:pPr>
        <w:pStyle w:val="Sinespaciado"/>
        <w:spacing w:line="276" w:lineRule="auto"/>
        <w:ind w:firstLine="708"/>
        <w:jc w:val="both"/>
        <w:rPr>
          <w:rFonts w:ascii="Arial" w:hAnsi="Arial" w:cs="Arial"/>
          <w:b/>
          <w:bCs/>
          <w:spacing w:val="2"/>
          <w:szCs w:val="24"/>
        </w:rPr>
      </w:pPr>
      <w:r w:rsidRPr="00B23CB4">
        <w:rPr>
          <w:rFonts w:ascii="Arial" w:hAnsi="Arial" w:cs="Arial"/>
          <w:b/>
          <w:bCs/>
          <w:spacing w:val="2"/>
          <w:szCs w:val="24"/>
        </w:rPr>
        <w:t>1.2.1.   COLPENSIONES.</w:t>
      </w:r>
    </w:p>
    <w:p w14:paraId="3C0E139D"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03133A8A" w14:textId="4C7B19AA"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Dentro del término de ley</w:t>
      </w:r>
      <w:r w:rsidR="4E43C8E4" w:rsidRPr="00B23CB4">
        <w:rPr>
          <w:rFonts w:ascii="Arial" w:hAnsi="Arial" w:cs="Arial"/>
          <w:spacing w:val="2"/>
          <w:szCs w:val="24"/>
        </w:rPr>
        <w:t xml:space="preserve"> y </w:t>
      </w:r>
      <w:r w:rsidRPr="00B23CB4">
        <w:rPr>
          <w:rFonts w:ascii="Arial" w:hAnsi="Arial" w:cs="Arial"/>
          <w:spacing w:val="2"/>
          <w:szCs w:val="24"/>
        </w:rPr>
        <w:t>a través de portavoz judicial, acept</w:t>
      </w:r>
      <w:r w:rsidR="4E43C8E4" w:rsidRPr="00B23CB4">
        <w:rPr>
          <w:rFonts w:ascii="Arial" w:hAnsi="Arial" w:cs="Arial"/>
          <w:spacing w:val="2"/>
          <w:szCs w:val="24"/>
        </w:rPr>
        <w:t>ó</w:t>
      </w:r>
      <w:r w:rsidRPr="00B23CB4">
        <w:rPr>
          <w:rFonts w:ascii="Arial" w:hAnsi="Arial" w:cs="Arial"/>
          <w:spacing w:val="2"/>
          <w:szCs w:val="24"/>
        </w:rPr>
        <w:t xml:space="preserve"> los hechos relativos a la fecha de natalicio de la demandante</w:t>
      </w:r>
      <w:r w:rsidR="4833095F" w:rsidRPr="00B23CB4">
        <w:rPr>
          <w:rFonts w:ascii="Arial" w:hAnsi="Arial" w:cs="Arial"/>
          <w:spacing w:val="2"/>
          <w:szCs w:val="24"/>
        </w:rPr>
        <w:t xml:space="preserve">, los periodos cotizados, la fecha de afiliación al ISS, la solicitud de retorno y su </w:t>
      </w:r>
      <w:r w:rsidRPr="00B23CB4">
        <w:rPr>
          <w:rFonts w:ascii="Arial" w:hAnsi="Arial" w:cs="Arial"/>
          <w:spacing w:val="2"/>
          <w:szCs w:val="24"/>
        </w:rPr>
        <w:t>respuesta desfavorable. Respecto a los demás hechos dijo que le constaban. Se opuso a la prosperidad de las</w:t>
      </w:r>
      <w:r w:rsidR="4833095F" w:rsidRPr="00B23CB4">
        <w:rPr>
          <w:rFonts w:ascii="Arial" w:hAnsi="Arial" w:cs="Arial"/>
          <w:spacing w:val="2"/>
          <w:szCs w:val="24"/>
        </w:rPr>
        <w:t xml:space="preserve"> pretensiones</w:t>
      </w:r>
      <w:r w:rsidRPr="00B23CB4">
        <w:rPr>
          <w:rFonts w:ascii="Arial" w:hAnsi="Arial" w:cs="Arial"/>
          <w:spacing w:val="2"/>
          <w:szCs w:val="24"/>
        </w:rPr>
        <w:t xml:space="preserve">, </w:t>
      </w:r>
      <w:r w:rsidR="4E43C8E4" w:rsidRPr="00B23CB4">
        <w:rPr>
          <w:rFonts w:ascii="Arial" w:hAnsi="Arial" w:cs="Arial"/>
          <w:spacing w:val="2"/>
          <w:szCs w:val="24"/>
        </w:rPr>
        <w:t>y e</w:t>
      </w:r>
      <w:r w:rsidRPr="00B23CB4">
        <w:rPr>
          <w:rFonts w:ascii="Arial" w:hAnsi="Arial" w:cs="Arial"/>
          <w:spacing w:val="2"/>
          <w:szCs w:val="24"/>
        </w:rPr>
        <w:t>nlistó en su defensa como medios exceptivos los que denominó “Inexistencia de la obligación”, “</w:t>
      </w:r>
      <w:r w:rsidR="00E26483" w:rsidRPr="00B23CB4">
        <w:rPr>
          <w:rFonts w:ascii="Arial" w:hAnsi="Arial" w:cs="Arial"/>
          <w:spacing w:val="2"/>
          <w:szCs w:val="24"/>
        </w:rPr>
        <w:t>Imposibilidad para</w:t>
      </w:r>
      <w:r w:rsidRPr="00B23CB4">
        <w:rPr>
          <w:rFonts w:ascii="Arial" w:hAnsi="Arial" w:cs="Arial"/>
          <w:spacing w:val="2"/>
          <w:szCs w:val="24"/>
        </w:rPr>
        <w:t xml:space="preserve"> reconocer y pagar derechos por fuera del ordenamiento legal”, “buena fe”</w:t>
      </w:r>
      <w:r w:rsidR="4833095F" w:rsidRPr="00B23CB4">
        <w:rPr>
          <w:rFonts w:ascii="Arial" w:hAnsi="Arial" w:cs="Arial"/>
          <w:spacing w:val="2"/>
          <w:szCs w:val="24"/>
        </w:rPr>
        <w:t>,</w:t>
      </w:r>
      <w:r w:rsidRPr="00B23CB4">
        <w:rPr>
          <w:rFonts w:ascii="Arial" w:hAnsi="Arial" w:cs="Arial"/>
          <w:spacing w:val="2"/>
          <w:szCs w:val="24"/>
        </w:rPr>
        <w:t xml:space="preserve"> “impos</w:t>
      </w:r>
      <w:r w:rsidR="4833095F" w:rsidRPr="00B23CB4">
        <w:rPr>
          <w:rFonts w:ascii="Arial" w:hAnsi="Arial" w:cs="Arial"/>
          <w:spacing w:val="2"/>
          <w:szCs w:val="24"/>
        </w:rPr>
        <w:t xml:space="preserve">ibilidad de condena en costas” y “Prescripción”, </w:t>
      </w:r>
      <w:r w:rsidRPr="00B23CB4">
        <w:rPr>
          <w:rFonts w:ascii="Arial" w:hAnsi="Arial" w:cs="Arial"/>
          <w:spacing w:val="2"/>
          <w:szCs w:val="24"/>
        </w:rPr>
        <w:t xml:space="preserve">ver folios </w:t>
      </w:r>
      <w:r w:rsidR="4833095F" w:rsidRPr="00B23CB4">
        <w:rPr>
          <w:rFonts w:ascii="Arial" w:hAnsi="Arial" w:cs="Arial"/>
          <w:spacing w:val="2"/>
          <w:szCs w:val="24"/>
        </w:rPr>
        <w:t xml:space="preserve">103 a 116. </w:t>
      </w:r>
    </w:p>
    <w:p w14:paraId="13B98512"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4F32BB36" w14:textId="77777777" w:rsidR="003B3197" w:rsidRPr="00B23CB4" w:rsidRDefault="4653F458" w:rsidP="00130A70">
      <w:pPr>
        <w:pStyle w:val="Sinespaciado"/>
        <w:spacing w:line="276" w:lineRule="auto"/>
        <w:ind w:firstLine="708"/>
        <w:jc w:val="both"/>
        <w:rPr>
          <w:rFonts w:ascii="Arial" w:hAnsi="Arial" w:cs="Arial"/>
          <w:b/>
          <w:bCs/>
          <w:spacing w:val="2"/>
          <w:szCs w:val="24"/>
        </w:rPr>
      </w:pPr>
      <w:r w:rsidRPr="00B23CB4">
        <w:rPr>
          <w:rFonts w:ascii="Arial" w:hAnsi="Arial" w:cs="Arial"/>
          <w:b/>
          <w:bCs/>
          <w:spacing w:val="2"/>
          <w:szCs w:val="24"/>
        </w:rPr>
        <w:t>1.2.2.  A.F.P. PROTECCIÓN S.A.</w:t>
      </w:r>
    </w:p>
    <w:p w14:paraId="6844F5E2"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3899D530" w14:textId="71CA86C3" w:rsidR="003B3197" w:rsidRPr="00B23CB4" w:rsidRDefault="4E43C8E4"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A</w:t>
      </w:r>
      <w:r w:rsidR="4653F458" w:rsidRPr="00B23CB4">
        <w:rPr>
          <w:rFonts w:ascii="Arial" w:hAnsi="Arial" w:cs="Arial"/>
          <w:spacing w:val="2"/>
          <w:szCs w:val="24"/>
        </w:rPr>
        <w:t xml:space="preserve">ceptó igualmente la fecha de natalicio de la actora, la suscripción del formulario de afiliación al RAIS, </w:t>
      </w:r>
      <w:r w:rsidR="4833095F" w:rsidRPr="00B23CB4">
        <w:rPr>
          <w:rFonts w:ascii="Arial" w:hAnsi="Arial" w:cs="Arial"/>
          <w:spacing w:val="2"/>
          <w:szCs w:val="24"/>
        </w:rPr>
        <w:t>advirtiendo que se hizo con la A</w:t>
      </w:r>
      <w:r w:rsidRPr="00B23CB4">
        <w:rPr>
          <w:rFonts w:ascii="Arial" w:hAnsi="Arial" w:cs="Arial"/>
          <w:spacing w:val="2"/>
          <w:szCs w:val="24"/>
        </w:rPr>
        <w:t>.</w:t>
      </w:r>
      <w:r w:rsidR="4833095F" w:rsidRPr="00B23CB4">
        <w:rPr>
          <w:rFonts w:ascii="Arial" w:hAnsi="Arial" w:cs="Arial"/>
          <w:spacing w:val="2"/>
          <w:szCs w:val="24"/>
        </w:rPr>
        <w:t>F</w:t>
      </w:r>
      <w:r w:rsidRPr="00B23CB4">
        <w:rPr>
          <w:rFonts w:ascii="Arial" w:hAnsi="Arial" w:cs="Arial"/>
          <w:spacing w:val="2"/>
          <w:szCs w:val="24"/>
        </w:rPr>
        <w:t>.</w:t>
      </w:r>
      <w:r w:rsidR="4833095F" w:rsidRPr="00B23CB4">
        <w:rPr>
          <w:rFonts w:ascii="Arial" w:hAnsi="Arial" w:cs="Arial"/>
          <w:spacing w:val="2"/>
          <w:szCs w:val="24"/>
        </w:rPr>
        <w:t>P Colmena, y la</w:t>
      </w:r>
      <w:r w:rsidRPr="00B23CB4">
        <w:rPr>
          <w:rFonts w:ascii="Arial" w:hAnsi="Arial" w:cs="Arial"/>
          <w:spacing w:val="2"/>
          <w:szCs w:val="24"/>
        </w:rPr>
        <w:t>s</w:t>
      </w:r>
      <w:r w:rsidR="4833095F" w:rsidRPr="00B23CB4">
        <w:rPr>
          <w:rFonts w:ascii="Arial" w:hAnsi="Arial" w:cs="Arial"/>
          <w:spacing w:val="2"/>
          <w:szCs w:val="24"/>
        </w:rPr>
        <w:t xml:space="preserve"> petici</w:t>
      </w:r>
      <w:r w:rsidRPr="00B23CB4">
        <w:rPr>
          <w:rFonts w:ascii="Arial" w:hAnsi="Arial" w:cs="Arial"/>
          <w:spacing w:val="2"/>
          <w:szCs w:val="24"/>
        </w:rPr>
        <w:t>ones</w:t>
      </w:r>
      <w:r w:rsidR="4833095F" w:rsidRPr="00B23CB4">
        <w:rPr>
          <w:rFonts w:ascii="Arial" w:hAnsi="Arial" w:cs="Arial"/>
          <w:spacing w:val="2"/>
          <w:szCs w:val="24"/>
        </w:rPr>
        <w:t xml:space="preserve"> presentadas por la actora.</w:t>
      </w:r>
      <w:r w:rsidR="4653F458" w:rsidRPr="00B23CB4">
        <w:rPr>
          <w:rFonts w:ascii="Arial" w:hAnsi="Arial" w:cs="Arial"/>
          <w:spacing w:val="2"/>
          <w:szCs w:val="24"/>
        </w:rPr>
        <w:t xml:space="preserve"> Frente a los demás supuestos de hecho expresó que no eran ciertos o </w:t>
      </w:r>
      <w:r w:rsidR="4833095F" w:rsidRPr="00B23CB4">
        <w:rPr>
          <w:rFonts w:ascii="Arial" w:hAnsi="Arial" w:cs="Arial"/>
          <w:spacing w:val="2"/>
          <w:szCs w:val="24"/>
        </w:rPr>
        <w:t xml:space="preserve">que </w:t>
      </w:r>
      <w:r w:rsidR="4653F458" w:rsidRPr="00B23CB4">
        <w:rPr>
          <w:rFonts w:ascii="Arial" w:hAnsi="Arial" w:cs="Arial"/>
          <w:spacing w:val="2"/>
          <w:szCs w:val="24"/>
        </w:rPr>
        <w:t>no le constaban. Se opuso a la prosperidad de las pretensiones y en su defensa formuló como excepciones de fondo las de “Prescripción”,</w:t>
      </w:r>
      <w:r w:rsidR="4833095F" w:rsidRPr="00B23CB4">
        <w:rPr>
          <w:rFonts w:ascii="Arial" w:hAnsi="Arial" w:cs="Arial"/>
          <w:spacing w:val="2"/>
          <w:szCs w:val="24"/>
        </w:rPr>
        <w:t xml:space="preserve"> “Buena fe”, “Compensación”, “Exoneración de condena en costas”, “Inexistencia de la obligación”, “Falta de causa para pedir”, “Falta de legitimación en la causa y/o ausencia de personería sustantiva por pasiva”,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w:t>
      </w:r>
      <w:r w:rsidR="4653F458" w:rsidRPr="00B23CB4">
        <w:rPr>
          <w:rFonts w:ascii="Arial" w:hAnsi="Arial" w:cs="Arial"/>
          <w:spacing w:val="2"/>
          <w:szCs w:val="24"/>
        </w:rPr>
        <w:t>ver fls.1</w:t>
      </w:r>
      <w:r w:rsidR="4833095F" w:rsidRPr="00B23CB4">
        <w:rPr>
          <w:rFonts w:ascii="Arial" w:hAnsi="Arial" w:cs="Arial"/>
          <w:spacing w:val="2"/>
          <w:szCs w:val="24"/>
        </w:rPr>
        <w:t xml:space="preserve">29 a 172. </w:t>
      </w:r>
    </w:p>
    <w:p w14:paraId="00947679"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5A919FE0" w14:textId="25FECEEB" w:rsidR="003B3197" w:rsidRPr="00B23CB4" w:rsidRDefault="4653F458" w:rsidP="00130A70">
      <w:pPr>
        <w:pStyle w:val="Sinespaciado"/>
        <w:numPr>
          <w:ilvl w:val="0"/>
          <w:numId w:val="2"/>
        </w:numPr>
        <w:spacing w:line="276" w:lineRule="auto"/>
        <w:jc w:val="both"/>
        <w:rPr>
          <w:rFonts w:ascii="Arial" w:hAnsi="Arial" w:cs="Arial"/>
          <w:b/>
          <w:bCs/>
          <w:spacing w:val="2"/>
          <w:szCs w:val="24"/>
        </w:rPr>
      </w:pPr>
      <w:r w:rsidRPr="00B23CB4">
        <w:rPr>
          <w:rFonts w:ascii="Arial" w:hAnsi="Arial" w:cs="Arial"/>
          <w:b/>
          <w:bCs/>
          <w:spacing w:val="2"/>
          <w:szCs w:val="24"/>
        </w:rPr>
        <w:t>SENTENCIA DE PRIMERA INSTANCIA</w:t>
      </w:r>
    </w:p>
    <w:p w14:paraId="1FAF3CC1"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20BA7808" w14:textId="3E88DB3A"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lastRenderedPageBreak/>
        <w:t>El juzgado de conocimiento puso fin a la primera instancia</w:t>
      </w:r>
      <w:r w:rsidR="4833095F" w:rsidRPr="00B23CB4">
        <w:rPr>
          <w:rFonts w:ascii="Arial" w:hAnsi="Arial" w:cs="Arial"/>
          <w:spacing w:val="2"/>
          <w:szCs w:val="24"/>
        </w:rPr>
        <w:t xml:space="preserve"> mediante sentencia dictada el 5 </w:t>
      </w:r>
      <w:r w:rsidRPr="00B23CB4">
        <w:rPr>
          <w:rFonts w:ascii="Arial" w:hAnsi="Arial" w:cs="Arial"/>
          <w:spacing w:val="2"/>
          <w:szCs w:val="24"/>
        </w:rPr>
        <w:t xml:space="preserve">de agosto de 2019, en la que accedió a las pretensiones de la demanda, por lo que </w:t>
      </w:r>
      <w:r w:rsidRPr="00B23CB4">
        <w:rPr>
          <w:rFonts w:ascii="Arial" w:hAnsi="Arial" w:cs="Arial"/>
          <w:b/>
          <w:bCs/>
          <w:spacing w:val="2"/>
          <w:szCs w:val="24"/>
        </w:rPr>
        <w:t>declaró la ineficacia del traslado</w:t>
      </w:r>
      <w:r w:rsidRPr="00B23CB4">
        <w:rPr>
          <w:rFonts w:ascii="Arial" w:hAnsi="Arial" w:cs="Arial"/>
          <w:spacing w:val="2"/>
          <w:szCs w:val="24"/>
        </w:rPr>
        <w:t xml:space="preserve"> </w:t>
      </w:r>
      <w:r w:rsidR="09441D1F" w:rsidRPr="00B23CB4">
        <w:rPr>
          <w:rFonts w:ascii="Arial" w:hAnsi="Arial" w:cs="Arial"/>
          <w:spacing w:val="2"/>
          <w:szCs w:val="24"/>
        </w:rPr>
        <w:t>q</w:t>
      </w:r>
      <w:r w:rsidRPr="00B23CB4">
        <w:rPr>
          <w:rFonts w:ascii="Arial" w:hAnsi="Arial" w:cs="Arial"/>
          <w:spacing w:val="2"/>
          <w:szCs w:val="24"/>
        </w:rPr>
        <w:t>ue la demandante efectuó al régimen de ahorro indi</w:t>
      </w:r>
      <w:r w:rsidR="09441D1F" w:rsidRPr="00B23CB4">
        <w:rPr>
          <w:rFonts w:ascii="Arial" w:hAnsi="Arial" w:cs="Arial"/>
          <w:spacing w:val="2"/>
          <w:szCs w:val="24"/>
        </w:rPr>
        <w:t xml:space="preserve">vidual con solidaridad el día 22 de julio de 1997 a través de la AFP Protección, entendiéndose con ello, la inexistencia del contrato de afiliación celebrado entre la actora y el fondo privado. En consecuencia, condenó a la AFP Protección a trasladar los saldos, cotizaciones, bonos pensionales, sumas adicionales, junto con sus respectivos frutos e intereses y cuotas de administración a la Administradora Colombiana de Pensiones Colpensiones, a quien ordenó aceptar sin dilaciones el traslado de la accionante sin solución de continuidad desde el momento en que se afilió a este último régimen. Declaró </w:t>
      </w:r>
      <w:r w:rsidRPr="00B23CB4">
        <w:rPr>
          <w:rFonts w:ascii="Arial" w:hAnsi="Arial" w:cs="Arial"/>
          <w:spacing w:val="2"/>
          <w:szCs w:val="24"/>
        </w:rPr>
        <w:t xml:space="preserve">no probados los medios exceptivos propuestos por las </w:t>
      </w:r>
      <w:r w:rsidR="4E43C8E4" w:rsidRPr="00B23CB4">
        <w:rPr>
          <w:rFonts w:ascii="Arial" w:hAnsi="Arial" w:cs="Arial"/>
          <w:spacing w:val="2"/>
          <w:szCs w:val="24"/>
        </w:rPr>
        <w:t>opositoras y</w:t>
      </w:r>
      <w:r w:rsidRPr="00B23CB4">
        <w:rPr>
          <w:rFonts w:ascii="Arial" w:hAnsi="Arial" w:cs="Arial"/>
          <w:spacing w:val="2"/>
          <w:szCs w:val="24"/>
        </w:rPr>
        <w:t xml:space="preserve"> </w:t>
      </w:r>
      <w:r w:rsidR="09441D1F" w:rsidRPr="00B23CB4">
        <w:rPr>
          <w:rFonts w:ascii="Arial" w:hAnsi="Arial" w:cs="Arial"/>
          <w:spacing w:val="2"/>
          <w:szCs w:val="24"/>
        </w:rPr>
        <w:t xml:space="preserve">condenó en costas procesales a la AFP Protección S.A. y </w:t>
      </w:r>
      <w:r w:rsidRPr="00B23CB4">
        <w:rPr>
          <w:rFonts w:ascii="Arial" w:hAnsi="Arial" w:cs="Arial"/>
          <w:spacing w:val="2"/>
          <w:szCs w:val="24"/>
        </w:rPr>
        <w:t xml:space="preserve">a favor de la parte actora en un </w:t>
      </w:r>
      <w:r w:rsidR="09441D1F" w:rsidRPr="00B23CB4">
        <w:rPr>
          <w:rFonts w:ascii="Arial" w:hAnsi="Arial" w:cs="Arial"/>
          <w:spacing w:val="2"/>
          <w:szCs w:val="24"/>
        </w:rPr>
        <w:t>100</w:t>
      </w:r>
      <w:r w:rsidRPr="00B23CB4">
        <w:rPr>
          <w:rFonts w:ascii="Arial" w:hAnsi="Arial" w:cs="Arial"/>
          <w:spacing w:val="2"/>
          <w:szCs w:val="24"/>
        </w:rPr>
        <w:t>% de las causadas.</w:t>
      </w:r>
    </w:p>
    <w:p w14:paraId="2C9B7C10"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63F32B48" w14:textId="1F8712AA"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 xml:space="preserve">Para arribar a esa determinación, estimó </w:t>
      </w:r>
      <w:r w:rsidR="0A288AFD" w:rsidRPr="00B23CB4">
        <w:rPr>
          <w:rFonts w:ascii="Arial" w:hAnsi="Arial" w:cs="Arial"/>
          <w:spacing w:val="2"/>
          <w:szCs w:val="24"/>
        </w:rPr>
        <w:t xml:space="preserve">que PROTECCIÓN S.A., entidad que tenía la carga de la prueba según las previsiones del artículo 1604 del Código Civil, </w:t>
      </w:r>
      <w:r w:rsidR="4E43C8E4" w:rsidRPr="00B23CB4">
        <w:rPr>
          <w:rFonts w:ascii="Arial" w:hAnsi="Arial" w:cs="Arial"/>
          <w:spacing w:val="2"/>
          <w:szCs w:val="24"/>
        </w:rPr>
        <w:t xml:space="preserve">pero que la entidad </w:t>
      </w:r>
      <w:r w:rsidRPr="00B23CB4">
        <w:rPr>
          <w:rFonts w:ascii="Arial" w:hAnsi="Arial" w:cs="Arial"/>
          <w:spacing w:val="2"/>
          <w:szCs w:val="24"/>
        </w:rPr>
        <w:t>no acreditó</w:t>
      </w:r>
      <w:r w:rsidR="0A288AFD" w:rsidRPr="00B23CB4">
        <w:rPr>
          <w:rFonts w:ascii="Arial" w:hAnsi="Arial" w:cs="Arial"/>
          <w:spacing w:val="2"/>
          <w:szCs w:val="24"/>
        </w:rPr>
        <w:t xml:space="preserve"> el cumplimiento del deber de información necesaria y de bu</w:t>
      </w:r>
      <w:r w:rsidRPr="00B23CB4">
        <w:rPr>
          <w:rFonts w:ascii="Arial" w:hAnsi="Arial" w:cs="Arial"/>
          <w:spacing w:val="2"/>
          <w:szCs w:val="24"/>
        </w:rPr>
        <w:t>en consejo sobre las consecuencias propias del traslado de régimen, pues del contenido del formulario de afiliación no se desprende que hubiese suministrado información suficiente, veraz y completa a la demandante para efectuar</w:t>
      </w:r>
      <w:r w:rsidR="0A288AFD" w:rsidRPr="00B23CB4">
        <w:rPr>
          <w:rFonts w:ascii="Arial" w:hAnsi="Arial" w:cs="Arial"/>
          <w:spacing w:val="2"/>
          <w:szCs w:val="24"/>
        </w:rPr>
        <w:t xml:space="preserve"> el cambio de régimen pensional, y </w:t>
      </w:r>
      <w:r w:rsidR="7A7297C0" w:rsidRPr="00B23CB4">
        <w:rPr>
          <w:rFonts w:ascii="Arial" w:hAnsi="Arial" w:cs="Arial"/>
          <w:spacing w:val="2"/>
          <w:szCs w:val="24"/>
        </w:rPr>
        <w:t xml:space="preserve">aunque en el interrogatorio que esta </w:t>
      </w:r>
      <w:r w:rsidR="0A288AFD" w:rsidRPr="00B23CB4">
        <w:rPr>
          <w:rFonts w:ascii="Arial" w:hAnsi="Arial" w:cs="Arial"/>
          <w:spacing w:val="2"/>
          <w:szCs w:val="24"/>
        </w:rPr>
        <w:t xml:space="preserve">absolvió confesó haber recibido </w:t>
      </w:r>
      <w:r w:rsidR="7A7297C0" w:rsidRPr="00B23CB4">
        <w:rPr>
          <w:rFonts w:ascii="Arial" w:hAnsi="Arial" w:cs="Arial"/>
          <w:spacing w:val="2"/>
          <w:szCs w:val="24"/>
        </w:rPr>
        <w:t xml:space="preserve">cierta </w:t>
      </w:r>
      <w:r w:rsidR="0A288AFD" w:rsidRPr="00B23CB4">
        <w:rPr>
          <w:rFonts w:ascii="Arial" w:hAnsi="Arial" w:cs="Arial"/>
          <w:spacing w:val="2"/>
          <w:szCs w:val="24"/>
        </w:rPr>
        <w:t>información, l</w:t>
      </w:r>
      <w:r w:rsidR="7A7297C0" w:rsidRPr="00B23CB4">
        <w:rPr>
          <w:rFonts w:ascii="Arial" w:hAnsi="Arial" w:cs="Arial"/>
          <w:spacing w:val="2"/>
          <w:szCs w:val="24"/>
        </w:rPr>
        <w:t>o cierto es que fue parcializada, pues sólo c</w:t>
      </w:r>
      <w:r w:rsidR="0A288AFD" w:rsidRPr="00B23CB4">
        <w:rPr>
          <w:rFonts w:ascii="Arial" w:hAnsi="Arial" w:cs="Arial"/>
          <w:spacing w:val="2"/>
          <w:szCs w:val="24"/>
        </w:rPr>
        <w:t>ontempló las ventajas del traslado.</w:t>
      </w:r>
      <w:r w:rsidRPr="00B23CB4">
        <w:rPr>
          <w:rFonts w:ascii="Arial" w:hAnsi="Arial" w:cs="Arial"/>
          <w:spacing w:val="2"/>
          <w:szCs w:val="24"/>
        </w:rPr>
        <w:t xml:space="preserve"> Por lo anterior, concluyó que la decisión de traslado no estuvo precedida de la comprensión suficiente y menos del real consentimiento informado para aceptarla. </w:t>
      </w:r>
    </w:p>
    <w:p w14:paraId="02D04F36" w14:textId="77777777" w:rsidR="003B3197" w:rsidRPr="00B23CB4" w:rsidRDefault="003B3197" w:rsidP="00130A70">
      <w:pPr>
        <w:pStyle w:val="Sinespaciado"/>
        <w:spacing w:line="276" w:lineRule="auto"/>
        <w:ind w:firstLine="708"/>
        <w:jc w:val="both"/>
        <w:rPr>
          <w:rFonts w:ascii="Arial" w:hAnsi="Arial" w:cs="Arial"/>
          <w:b/>
          <w:bCs/>
          <w:spacing w:val="2"/>
          <w:szCs w:val="24"/>
        </w:rPr>
      </w:pPr>
    </w:p>
    <w:p w14:paraId="0C7B8D3B" w14:textId="74464386" w:rsidR="003B3197" w:rsidRPr="00B23CB4" w:rsidRDefault="4653F458" w:rsidP="00130A70">
      <w:pPr>
        <w:pStyle w:val="Sinespaciado"/>
        <w:numPr>
          <w:ilvl w:val="0"/>
          <w:numId w:val="2"/>
        </w:numPr>
        <w:spacing w:line="276" w:lineRule="auto"/>
        <w:jc w:val="both"/>
        <w:rPr>
          <w:rFonts w:ascii="Arial" w:hAnsi="Arial" w:cs="Arial"/>
          <w:b/>
          <w:bCs/>
          <w:spacing w:val="2"/>
          <w:szCs w:val="24"/>
        </w:rPr>
      </w:pPr>
      <w:r w:rsidRPr="00B23CB4">
        <w:rPr>
          <w:rFonts w:ascii="Arial" w:hAnsi="Arial" w:cs="Arial"/>
          <w:b/>
          <w:bCs/>
          <w:spacing w:val="2"/>
          <w:szCs w:val="24"/>
        </w:rPr>
        <w:t>RECURSO DE APELACIÓN</w:t>
      </w:r>
    </w:p>
    <w:p w14:paraId="7AE5D644"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5E59EAA0" w14:textId="22F87A79" w:rsidR="006F376A" w:rsidRPr="00B23CB4" w:rsidRDefault="1699F006"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Inconforme c</w:t>
      </w:r>
      <w:r w:rsidR="41851D54" w:rsidRPr="00B23CB4">
        <w:rPr>
          <w:rFonts w:ascii="Arial" w:hAnsi="Arial" w:cs="Arial"/>
          <w:spacing w:val="2"/>
          <w:szCs w:val="24"/>
        </w:rPr>
        <w:t xml:space="preserve">on lo de decidido, </w:t>
      </w:r>
      <w:r w:rsidR="41851D54" w:rsidRPr="00B23CB4">
        <w:rPr>
          <w:rFonts w:ascii="Arial" w:hAnsi="Arial" w:cs="Arial"/>
          <w:b/>
          <w:bCs/>
          <w:spacing w:val="2"/>
          <w:szCs w:val="24"/>
        </w:rPr>
        <w:t>la AFP Protección S.A</w:t>
      </w:r>
      <w:r w:rsidR="41851D54" w:rsidRPr="00B23CB4">
        <w:rPr>
          <w:rFonts w:ascii="Arial" w:hAnsi="Arial" w:cs="Arial"/>
          <w:spacing w:val="2"/>
          <w:szCs w:val="24"/>
        </w:rPr>
        <w:t>. interpuso recurso de apelación</w:t>
      </w:r>
      <w:r w:rsidR="35D75159" w:rsidRPr="00B23CB4">
        <w:rPr>
          <w:rFonts w:ascii="Arial" w:hAnsi="Arial" w:cs="Arial"/>
          <w:spacing w:val="2"/>
          <w:szCs w:val="24"/>
        </w:rPr>
        <w:t xml:space="preserve"> en orden a que se revoque</w:t>
      </w:r>
      <w:r w:rsidR="20C4BD48" w:rsidRPr="00B23CB4">
        <w:rPr>
          <w:rFonts w:ascii="Arial" w:hAnsi="Arial" w:cs="Arial"/>
          <w:spacing w:val="2"/>
          <w:szCs w:val="24"/>
        </w:rPr>
        <w:t xml:space="preserve"> y se le absuelva de las pretensiones</w:t>
      </w:r>
      <w:r w:rsidR="41851D54" w:rsidRPr="00B23CB4">
        <w:rPr>
          <w:rFonts w:ascii="Arial" w:hAnsi="Arial" w:cs="Arial"/>
          <w:spacing w:val="2"/>
          <w:szCs w:val="24"/>
        </w:rPr>
        <w:t xml:space="preserve">, </w:t>
      </w:r>
      <w:r w:rsidR="4E43C8E4" w:rsidRPr="00B23CB4">
        <w:rPr>
          <w:rFonts w:ascii="Arial" w:hAnsi="Arial" w:cs="Arial"/>
          <w:spacing w:val="2"/>
          <w:szCs w:val="24"/>
        </w:rPr>
        <w:t xml:space="preserve">argumentando que con </w:t>
      </w:r>
      <w:r w:rsidR="392594E6" w:rsidRPr="00B23CB4">
        <w:rPr>
          <w:rFonts w:ascii="Arial" w:hAnsi="Arial" w:cs="Arial"/>
          <w:spacing w:val="2"/>
          <w:szCs w:val="24"/>
        </w:rPr>
        <w:t xml:space="preserve">las pruebas </w:t>
      </w:r>
      <w:r w:rsidR="4E43C8E4" w:rsidRPr="00B23CB4">
        <w:rPr>
          <w:rFonts w:ascii="Arial" w:hAnsi="Arial" w:cs="Arial"/>
          <w:spacing w:val="2"/>
          <w:szCs w:val="24"/>
        </w:rPr>
        <w:t>recaudadas</w:t>
      </w:r>
      <w:r w:rsidR="41851D54" w:rsidRPr="00B23CB4">
        <w:rPr>
          <w:rFonts w:ascii="Arial" w:hAnsi="Arial" w:cs="Arial"/>
          <w:spacing w:val="2"/>
          <w:szCs w:val="24"/>
        </w:rPr>
        <w:t xml:space="preserve"> se acreditó que la vinculación</w:t>
      </w:r>
      <w:r w:rsidR="392594E6" w:rsidRPr="00B23CB4">
        <w:rPr>
          <w:rFonts w:ascii="Arial" w:hAnsi="Arial" w:cs="Arial"/>
          <w:spacing w:val="2"/>
          <w:szCs w:val="24"/>
        </w:rPr>
        <w:t xml:space="preserve"> de la demandante</w:t>
      </w:r>
      <w:r w:rsidR="41851D54" w:rsidRPr="00B23CB4">
        <w:rPr>
          <w:rFonts w:ascii="Arial" w:hAnsi="Arial" w:cs="Arial"/>
          <w:spacing w:val="2"/>
          <w:szCs w:val="24"/>
        </w:rPr>
        <w:t xml:space="preserve"> al </w:t>
      </w:r>
      <w:r w:rsidR="4E43C8E4" w:rsidRPr="00B23CB4">
        <w:rPr>
          <w:rFonts w:ascii="Arial" w:hAnsi="Arial" w:cs="Arial"/>
          <w:spacing w:val="2"/>
          <w:szCs w:val="24"/>
        </w:rPr>
        <w:t xml:space="preserve"> régimen de ahorro individual </w:t>
      </w:r>
      <w:r w:rsidR="1CE5F9F1" w:rsidRPr="00B23CB4">
        <w:rPr>
          <w:rFonts w:ascii="Arial" w:hAnsi="Arial" w:cs="Arial"/>
          <w:spacing w:val="2"/>
          <w:szCs w:val="24"/>
        </w:rPr>
        <w:t>fu</w:t>
      </w:r>
      <w:r w:rsidR="41851D54" w:rsidRPr="00B23CB4">
        <w:rPr>
          <w:rFonts w:ascii="Arial" w:hAnsi="Arial" w:cs="Arial"/>
          <w:spacing w:val="2"/>
          <w:szCs w:val="24"/>
        </w:rPr>
        <w:t xml:space="preserve">e válida y eficaz, siendo la </w:t>
      </w:r>
      <w:r w:rsidR="392594E6" w:rsidRPr="00B23CB4">
        <w:rPr>
          <w:rFonts w:ascii="Arial" w:hAnsi="Arial" w:cs="Arial"/>
          <w:spacing w:val="2"/>
          <w:szCs w:val="24"/>
        </w:rPr>
        <w:t>afiliada</w:t>
      </w:r>
      <w:r w:rsidR="41851D54" w:rsidRPr="00B23CB4">
        <w:rPr>
          <w:rFonts w:ascii="Arial" w:hAnsi="Arial" w:cs="Arial"/>
          <w:spacing w:val="2"/>
          <w:szCs w:val="24"/>
        </w:rPr>
        <w:t xml:space="preserve"> totalmente consciente del acto y </w:t>
      </w:r>
      <w:r w:rsidR="35D75159" w:rsidRPr="00B23CB4">
        <w:rPr>
          <w:rFonts w:ascii="Arial" w:hAnsi="Arial" w:cs="Arial"/>
          <w:spacing w:val="2"/>
          <w:szCs w:val="24"/>
        </w:rPr>
        <w:t xml:space="preserve">de </w:t>
      </w:r>
      <w:r w:rsidR="41851D54" w:rsidRPr="00B23CB4">
        <w:rPr>
          <w:rFonts w:ascii="Arial" w:hAnsi="Arial" w:cs="Arial"/>
          <w:spacing w:val="2"/>
          <w:szCs w:val="24"/>
        </w:rPr>
        <w:t xml:space="preserve">las consecuencias jurídicas del </w:t>
      </w:r>
      <w:r w:rsidR="20C4BD48" w:rsidRPr="00B23CB4">
        <w:rPr>
          <w:rFonts w:ascii="Arial" w:hAnsi="Arial" w:cs="Arial"/>
          <w:spacing w:val="2"/>
          <w:szCs w:val="24"/>
        </w:rPr>
        <w:t>traslado</w:t>
      </w:r>
      <w:r w:rsidR="41851D54" w:rsidRPr="00B23CB4">
        <w:rPr>
          <w:rFonts w:ascii="Arial" w:hAnsi="Arial" w:cs="Arial"/>
          <w:spacing w:val="2"/>
          <w:szCs w:val="24"/>
        </w:rPr>
        <w:t xml:space="preserve">, </w:t>
      </w:r>
      <w:r w:rsidR="35D75159" w:rsidRPr="00B23CB4">
        <w:rPr>
          <w:rFonts w:ascii="Arial" w:hAnsi="Arial" w:cs="Arial"/>
          <w:spacing w:val="2"/>
          <w:szCs w:val="24"/>
        </w:rPr>
        <w:t xml:space="preserve">tal como </w:t>
      </w:r>
      <w:r w:rsidR="41851D54" w:rsidRPr="00B23CB4">
        <w:rPr>
          <w:rFonts w:ascii="Arial" w:hAnsi="Arial" w:cs="Arial"/>
          <w:spacing w:val="2"/>
          <w:szCs w:val="24"/>
        </w:rPr>
        <w:t>lo ratific</w:t>
      </w:r>
      <w:r w:rsidR="35D75159" w:rsidRPr="00B23CB4">
        <w:rPr>
          <w:rFonts w:ascii="Arial" w:hAnsi="Arial" w:cs="Arial"/>
          <w:spacing w:val="2"/>
          <w:szCs w:val="24"/>
        </w:rPr>
        <w:t>a el hecho de haber permanecido afiliada</w:t>
      </w:r>
      <w:r w:rsidR="41851D54" w:rsidRPr="00B23CB4">
        <w:rPr>
          <w:rFonts w:ascii="Arial" w:hAnsi="Arial" w:cs="Arial"/>
          <w:spacing w:val="2"/>
          <w:szCs w:val="24"/>
        </w:rPr>
        <w:t xml:space="preserve"> durante 22 años y </w:t>
      </w:r>
      <w:r w:rsidR="35D75159" w:rsidRPr="00B23CB4">
        <w:rPr>
          <w:rFonts w:ascii="Arial" w:hAnsi="Arial" w:cs="Arial"/>
          <w:spacing w:val="2"/>
          <w:szCs w:val="24"/>
        </w:rPr>
        <w:t xml:space="preserve">haberse </w:t>
      </w:r>
      <w:r w:rsidR="41851D54" w:rsidRPr="00B23CB4">
        <w:rPr>
          <w:rFonts w:ascii="Arial" w:hAnsi="Arial" w:cs="Arial"/>
          <w:spacing w:val="2"/>
          <w:szCs w:val="24"/>
        </w:rPr>
        <w:t>abstenido</w:t>
      </w:r>
      <w:r w:rsidR="35D75159" w:rsidRPr="00B23CB4">
        <w:rPr>
          <w:rFonts w:ascii="Arial" w:hAnsi="Arial" w:cs="Arial"/>
          <w:spacing w:val="2"/>
          <w:szCs w:val="24"/>
        </w:rPr>
        <w:t xml:space="preserve"> de solicitar su retorno </w:t>
      </w:r>
      <w:r w:rsidR="41851D54" w:rsidRPr="00B23CB4">
        <w:rPr>
          <w:rFonts w:ascii="Arial" w:hAnsi="Arial" w:cs="Arial"/>
          <w:spacing w:val="2"/>
          <w:szCs w:val="24"/>
        </w:rPr>
        <w:t>al ISS. Refiere que</w:t>
      </w:r>
      <w:r w:rsidR="392594E6" w:rsidRPr="00B23CB4">
        <w:rPr>
          <w:rFonts w:ascii="Arial" w:hAnsi="Arial" w:cs="Arial"/>
          <w:spacing w:val="2"/>
          <w:szCs w:val="24"/>
        </w:rPr>
        <w:t xml:space="preserve"> </w:t>
      </w:r>
      <w:r w:rsidR="41851D54" w:rsidRPr="00B23CB4">
        <w:rPr>
          <w:rFonts w:ascii="Arial" w:hAnsi="Arial" w:cs="Arial"/>
          <w:spacing w:val="2"/>
          <w:szCs w:val="24"/>
        </w:rPr>
        <w:t>no e</w:t>
      </w:r>
      <w:r w:rsidR="446D923E" w:rsidRPr="00B23CB4">
        <w:rPr>
          <w:rFonts w:ascii="Arial" w:hAnsi="Arial" w:cs="Arial"/>
          <w:spacing w:val="2"/>
          <w:szCs w:val="24"/>
        </w:rPr>
        <w:t>xistió inducción en error por</w:t>
      </w:r>
      <w:r w:rsidR="41851D54" w:rsidRPr="00B23CB4">
        <w:rPr>
          <w:rFonts w:ascii="Arial" w:hAnsi="Arial" w:cs="Arial"/>
          <w:spacing w:val="2"/>
          <w:szCs w:val="24"/>
        </w:rPr>
        <w:t xml:space="preserve"> parte del asesor comercial, </w:t>
      </w:r>
      <w:r w:rsidR="446D923E" w:rsidRPr="00B23CB4">
        <w:rPr>
          <w:rFonts w:ascii="Arial" w:hAnsi="Arial" w:cs="Arial"/>
          <w:spacing w:val="2"/>
          <w:szCs w:val="24"/>
        </w:rPr>
        <w:t xml:space="preserve">en </w:t>
      </w:r>
      <w:r w:rsidR="41851D54" w:rsidRPr="00B23CB4">
        <w:rPr>
          <w:rFonts w:ascii="Arial" w:hAnsi="Arial" w:cs="Arial"/>
          <w:spacing w:val="2"/>
          <w:szCs w:val="24"/>
        </w:rPr>
        <w:t>consideración a</w:t>
      </w:r>
      <w:r w:rsidR="446D923E" w:rsidRPr="00B23CB4">
        <w:rPr>
          <w:rFonts w:ascii="Arial" w:hAnsi="Arial" w:cs="Arial"/>
          <w:spacing w:val="2"/>
          <w:szCs w:val="24"/>
        </w:rPr>
        <w:t xml:space="preserve">l trascurso del </w:t>
      </w:r>
      <w:r w:rsidR="7CF32603" w:rsidRPr="00B23CB4">
        <w:rPr>
          <w:rFonts w:ascii="Arial" w:hAnsi="Arial" w:cs="Arial"/>
          <w:spacing w:val="2"/>
          <w:szCs w:val="24"/>
        </w:rPr>
        <w:t>tiempo y</w:t>
      </w:r>
      <w:r w:rsidR="392594E6" w:rsidRPr="00B23CB4">
        <w:rPr>
          <w:rFonts w:ascii="Arial" w:hAnsi="Arial" w:cs="Arial"/>
          <w:spacing w:val="2"/>
          <w:szCs w:val="24"/>
        </w:rPr>
        <w:t xml:space="preserve"> </w:t>
      </w:r>
      <w:r w:rsidR="7CF32603" w:rsidRPr="00B23CB4">
        <w:rPr>
          <w:rFonts w:ascii="Arial" w:hAnsi="Arial" w:cs="Arial"/>
          <w:spacing w:val="2"/>
          <w:szCs w:val="24"/>
        </w:rPr>
        <w:t>a</w:t>
      </w:r>
      <w:r w:rsidR="392594E6" w:rsidRPr="00B23CB4">
        <w:rPr>
          <w:rFonts w:ascii="Arial" w:hAnsi="Arial" w:cs="Arial"/>
          <w:spacing w:val="2"/>
          <w:szCs w:val="24"/>
        </w:rPr>
        <w:t xml:space="preserve"> que la afiliada no hizo uso del derecho de retracto</w:t>
      </w:r>
      <w:r w:rsidR="7CF32603" w:rsidRPr="00B23CB4">
        <w:rPr>
          <w:rFonts w:ascii="Arial" w:hAnsi="Arial" w:cs="Arial"/>
          <w:spacing w:val="2"/>
          <w:szCs w:val="24"/>
        </w:rPr>
        <w:t xml:space="preserve">, debiéndose tener en cuenta además que </w:t>
      </w:r>
      <w:r w:rsidR="392594E6" w:rsidRPr="00B23CB4">
        <w:rPr>
          <w:rFonts w:ascii="Arial" w:hAnsi="Arial" w:cs="Arial"/>
          <w:spacing w:val="2"/>
          <w:szCs w:val="24"/>
        </w:rPr>
        <w:t xml:space="preserve">ningún asesor comercial </w:t>
      </w:r>
      <w:r w:rsidR="35D75159" w:rsidRPr="00B23CB4">
        <w:rPr>
          <w:rFonts w:ascii="Arial" w:hAnsi="Arial" w:cs="Arial"/>
          <w:spacing w:val="2"/>
          <w:szCs w:val="24"/>
        </w:rPr>
        <w:t xml:space="preserve">está en </w:t>
      </w:r>
      <w:r w:rsidR="392594E6" w:rsidRPr="00B23CB4">
        <w:rPr>
          <w:rFonts w:ascii="Arial" w:hAnsi="Arial" w:cs="Arial"/>
          <w:spacing w:val="2"/>
          <w:szCs w:val="24"/>
        </w:rPr>
        <w:t xml:space="preserve">capacidad de precaver con antelación </w:t>
      </w:r>
      <w:r w:rsidR="18BF5887" w:rsidRPr="00B23CB4">
        <w:rPr>
          <w:rFonts w:ascii="Arial" w:hAnsi="Arial" w:cs="Arial"/>
          <w:spacing w:val="2"/>
          <w:szCs w:val="24"/>
        </w:rPr>
        <w:t xml:space="preserve">el comportamiento laboral y </w:t>
      </w:r>
      <w:r w:rsidR="392594E6" w:rsidRPr="00B23CB4">
        <w:rPr>
          <w:rFonts w:ascii="Arial" w:hAnsi="Arial" w:cs="Arial"/>
          <w:spacing w:val="2"/>
          <w:szCs w:val="24"/>
        </w:rPr>
        <w:t xml:space="preserve">la conformación familiar de sus afiliados para la época del traslado, de modo que, resultaba imposible </w:t>
      </w:r>
      <w:r w:rsidR="35D75159" w:rsidRPr="00B23CB4">
        <w:rPr>
          <w:rFonts w:ascii="Arial" w:hAnsi="Arial" w:cs="Arial"/>
          <w:spacing w:val="2"/>
          <w:szCs w:val="24"/>
        </w:rPr>
        <w:t>hacer una proyección de la mesada pensional. Por consiguiente, estima que la entidad cu</w:t>
      </w:r>
      <w:r w:rsidR="392594E6" w:rsidRPr="00B23CB4">
        <w:rPr>
          <w:rFonts w:ascii="Arial" w:hAnsi="Arial" w:cs="Arial"/>
          <w:spacing w:val="2"/>
          <w:szCs w:val="24"/>
        </w:rPr>
        <w:t xml:space="preserve">mplió con el deber de </w:t>
      </w:r>
      <w:r w:rsidR="35D75159" w:rsidRPr="00B23CB4">
        <w:rPr>
          <w:rFonts w:ascii="Arial" w:hAnsi="Arial" w:cs="Arial"/>
          <w:spacing w:val="2"/>
          <w:szCs w:val="24"/>
        </w:rPr>
        <w:t>información</w:t>
      </w:r>
      <w:r w:rsidR="392594E6" w:rsidRPr="00B23CB4">
        <w:rPr>
          <w:rFonts w:ascii="Arial" w:hAnsi="Arial" w:cs="Arial"/>
          <w:spacing w:val="2"/>
          <w:szCs w:val="24"/>
        </w:rPr>
        <w:t xml:space="preserve"> que</w:t>
      </w:r>
      <w:r w:rsidR="35D75159" w:rsidRPr="00B23CB4">
        <w:rPr>
          <w:rFonts w:ascii="Arial" w:hAnsi="Arial" w:cs="Arial"/>
          <w:spacing w:val="2"/>
          <w:szCs w:val="24"/>
        </w:rPr>
        <w:t xml:space="preserve"> le</w:t>
      </w:r>
      <w:r w:rsidR="392594E6" w:rsidRPr="00B23CB4">
        <w:rPr>
          <w:rFonts w:ascii="Arial" w:hAnsi="Arial" w:cs="Arial"/>
          <w:spacing w:val="2"/>
          <w:szCs w:val="24"/>
        </w:rPr>
        <w:t xml:space="preserve"> exigían las circunstancias, </w:t>
      </w:r>
      <w:r w:rsidR="5CCAA752" w:rsidRPr="00B23CB4">
        <w:rPr>
          <w:rFonts w:ascii="Arial" w:hAnsi="Arial" w:cs="Arial"/>
          <w:spacing w:val="2"/>
          <w:szCs w:val="24"/>
        </w:rPr>
        <w:t>y que no</w:t>
      </w:r>
      <w:r w:rsidR="392594E6" w:rsidRPr="00B23CB4">
        <w:rPr>
          <w:rFonts w:ascii="Arial" w:hAnsi="Arial" w:cs="Arial"/>
          <w:spacing w:val="2"/>
          <w:szCs w:val="24"/>
        </w:rPr>
        <w:t xml:space="preserve"> </w:t>
      </w:r>
      <w:r w:rsidR="35D75159" w:rsidRPr="00B23CB4">
        <w:rPr>
          <w:rFonts w:ascii="Arial" w:hAnsi="Arial" w:cs="Arial"/>
          <w:spacing w:val="2"/>
          <w:szCs w:val="24"/>
        </w:rPr>
        <w:t>existió</w:t>
      </w:r>
      <w:r w:rsidR="392594E6" w:rsidRPr="00B23CB4">
        <w:rPr>
          <w:rFonts w:ascii="Arial" w:hAnsi="Arial" w:cs="Arial"/>
          <w:spacing w:val="2"/>
          <w:szCs w:val="24"/>
        </w:rPr>
        <w:t xml:space="preserve"> ningún obstáculo ni vulneración de los derechos asistenciales de la demandante. </w:t>
      </w:r>
    </w:p>
    <w:p w14:paraId="3A8AD777" w14:textId="77777777" w:rsidR="00AF0BDC" w:rsidRPr="00B23CB4" w:rsidRDefault="00AF0BDC" w:rsidP="00130A70">
      <w:pPr>
        <w:pStyle w:val="Sinespaciado"/>
        <w:spacing w:line="276" w:lineRule="auto"/>
        <w:ind w:firstLine="708"/>
        <w:jc w:val="both"/>
        <w:rPr>
          <w:rFonts w:ascii="Arial" w:hAnsi="Arial" w:cs="Arial"/>
          <w:spacing w:val="2"/>
          <w:szCs w:val="24"/>
        </w:rPr>
      </w:pPr>
    </w:p>
    <w:p w14:paraId="7B78B3D0" w14:textId="2677AE0E" w:rsidR="00D05D1F" w:rsidRPr="00B23CB4" w:rsidRDefault="5CCAA752" w:rsidP="00130A70">
      <w:pPr>
        <w:pStyle w:val="Sinespaciado"/>
        <w:spacing w:line="276" w:lineRule="auto"/>
        <w:ind w:firstLine="708"/>
        <w:jc w:val="both"/>
        <w:rPr>
          <w:rFonts w:ascii="Arial" w:hAnsi="Arial" w:cs="Arial"/>
          <w:spacing w:val="2"/>
          <w:szCs w:val="24"/>
        </w:rPr>
      </w:pPr>
      <w:r w:rsidRPr="00B23CB4">
        <w:rPr>
          <w:rFonts w:ascii="Arial" w:hAnsi="Arial" w:cs="Arial"/>
          <w:b/>
          <w:bCs/>
          <w:spacing w:val="2"/>
          <w:szCs w:val="24"/>
        </w:rPr>
        <w:t xml:space="preserve">Colpensiones </w:t>
      </w:r>
      <w:r w:rsidRPr="00B23CB4">
        <w:rPr>
          <w:rFonts w:ascii="Arial" w:hAnsi="Arial" w:cs="Arial"/>
          <w:spacing w:val="2"/>
          <w:szCs w:val="24"/>
        </w:rPr>
        <w:t xml:space="preserve">por su parte, </w:t>
      </w:r>
      <w:r w:rsidR="1C3D768C" w:rsidRPr="00B23CB4">
        <w:rPr>
          <w:rFonts w:ascii="Arial" w:hAnsi="Arial" w:cs="Arial"/>
          <w:spacing w:val="2"/>
          <w:szCs w:val="24"/>
        </w:rPr>
        <w:t>para fundamentar su alzada, trajo</w:t>
      </w:r>
      <w:r w:rsidRPr="00B23CB4">
        <w:rPr>
          <w:rFonts w:ascii="Arial" w:hAnsi="Arial" w:cs="Arial"/>
          <w:spacing w:val="2"/>
          <w:szCs w:val="24"/>
        </w:rPr>
        <w:t xml:space="preserve"> a colación los pronunciamientos emitidos por </w:t>
      </w:r>
      <w:r w:rsidR="1CE5F9F1" w:rsidRPr="00B23CB4">
        <w:rPr>
          <w:rFonts w:ascii="Arial" w:hAnsi="Arial" w:cs="Arial"/>
          <w:spacing w:val="2"/>
          <w:szCs w:val="24"/>
        </w:rPr>
        <w:t xml:space="preserve">algunos integrantes de la </w:t>
      </w:r>
      <w:r w:rsidRPr="00B23CB4">
        <w:rPr>
          <w:rFonts w:ascii="Arial" w:hAnsi="Arial" w:cs="Arial"/>
          <w:spacing w:val="2"/>
          <w:szCs w:val="24"/>
        </w:rPr>
        <w:t xml:space="preserve"> Sala Laboral de este Tribunal, cuyos apartes citó textualmente p</w:t>
      </w:r>
      <w:r w:rsidR="4DC03B6B" w:rsidRPr="00B23CB4">
        <w:rPr>
          <w:rFonts w:ascii="Arial" w:hAnsi="Arial" w:cs="Arial"/>
          <w:spacing w:val="2"/>
          <w:szCs w:val="24"/>
        </w:rPr>
        <w:t xml:space="preserve">ara hacer mención que </w:t>
      </w:r>
      <w:r w:rsidRPr="00B23CB4">
        <w:rPr>
          <w:rFonts w:ascii="Arial" w:hAnsi="Arial" w:cs="Arial"/>
          <w:spacing w:val="2"/>
          <w:szCs w:val="24"/>
        </w:rPr>
        <w:t>la demandante no era beneficiaria régimen de transición</w:t>
      </w:r>
      <w:r w:rsidR="20C4BD48" w:rsidRPr="00B23CB4">
        <w:rPr>
          <w:rFonts w:ascii="Arial" w:hAnsi="Arial" w:cs="Arial"/>
          <w:spacing w:val="2"/>
          <w:szCs w:val="24"/>
        </w:rPr>
        <w:t xml:space="preserve"> antes del traslado, y que</w:t>
      </w:r>
      <w:r w:rsidR="1C3D768C" w:rsidRPr="00B23CB4">
        <w:rPr>
          <w:rFonts w:ascii="Arial" w:hAnsi="Arial" w:cs="Arial"/>
          <w:spacing w:val="2"/>
          <w:szCs w:val="24"/>
        </w:rPr>
        <w:t xml:space="preserve"> por ende</w:t>
      </w:r>
      <w:r w:rsidR="4DC03B6B" w:rsidRPr="00B23CB4">
        <w:rPr>
          <w:rFonts w:ascii="Arial" w:hAnsi="Arial" w:cs="Arial"/>
          <w:spacing w:val="2"/>
          <w:szCs w:val="24"/>
        </w:rPr>
        <w:t>, era a ella a quien</w:t>
      </w:r>
      <w:r w:rsidR="1C3D768C" w:rsidRPr="00B23CB4">
        <w:rPr>
          <w:rFonts w:ascii="Arial" w:hAnsi="Arial" w:cs="Arial"/>
          <w:spacing w:val="2"/>
          <w:szCs w:val="24"/>
        </w:rPr>
        <w:t xml:space="preserve"> le correspondía acreditar los supuestos de hecho alegados</w:t>
      </w:r>
      <w:r w:rsidR="4DC03B6B" w:rsidRPr="00B23CB4">
        <w:rPr>
          <w:rFonts w:ascii="Arial" w:hAnsi="Arial" w:cs="Arial"/>
          <w:spacing w:val="2"/>
          <w:szCs w:val="24"/>
        </w:rPr>
        <w:t xml:space="preserve"> en la </w:t>
      </w:r>
      <w:r w:rsidR="4DC03B6B" w:rsidRPr="00B23CB4">
        <w:rPr>
          <w:rFonts w:ascii="Arial" w:hAnsi="Arial" w:cs="Arial"/>
          <w:spacing w:val="2"/>
          <w:szCs w:val="24"/>
        </w:rPr>
        <w:lastRenderedPageBreak/>
        <w:t>demanda</w:t>
      </w:r>
      <w:r w:rsidR="1C3D768C" w:rsidRPr="00B23CB4">
        <w:rPr>
          <w:rFonts w:ascii="Arial" w:hAnsi="Arial" w:cs="Arial"/>
          <w:spacing w:val="2"/>
          <w:szCs w:val="24"/>
        </w:rPr>
        <w:t>; que la información que suministró el fondo privado al momento de perpetrar el traslado de régimen</w:t>
      </w:r>
      <w:r w:rsidR="4DC03B6B" w:rsidRPr="00B23CB4">
        <w:rPr>
          <w:rFonts w:ascii="Arial" w:hAnsi="Arial" w:cs="Arial"/>
          <w:spacing w:val="2"/>
          <w:szCs w:val="24"/>
        </w:rPr>
        <w:t xml:space="preserve">, a su juicio, </w:t>
      </w:r>
      <w:r w:rsidR="1C3D768C" w:rsidRPr="00B23CB4">
        <w:rPr>
          <w:rFonts w:ascii="Arial" w:hAnsi="Arial" w:cs="Arial"/>
          <w:spacing w:val="2"/>
          <w:szCs w:val="24"/>
        </w:rPr>
        <w:t>se avi</w:t>
      </w:r>
      <w:r w:rsidR="20C4BD48" w:rsidRPr="00B23CB4">
        <w:rPr>
          <w:rFonts w:ascii="Arial" w:hAnsi="Arial" w:cs="Arial"/>
          <w:spacing w:val="2"/>
          <w:szCs w:val="24"/>
        </w:rPr>
        <w:t>no</w:t>
      </w:r>
      <w:r w:rsidR="1C3D768C" w:rsidRPr="00B23CB4">
        <w:rPr>
          <w:rFonts w:ascii="Arial" w:hAnsi="Arial" w:cs="Arial"/>
          <w:spacing w:val="2"/>
          <w:szCs w:val="24"/>
        </w:rPr>
        <w:t xml:space="preserve"> a las exigencias </w:t>
      </w:r>
      <w:r w:rsidR="4DC03B6B" w:rsidRPr="00B23CB4">
        <w:rPr>
          <w:rFonts w:ascii="Arial" w:hAnsi="Arial" w:cs="Arial"/>
          <w:spacing w:val="2"/>
          <w:szCs w:val="24"/>
        </w:rPr>
        <w:t xml:space="preserve">y obligaciones contempladas en </w:t>
      </w:r>
      <w:r w:rsidR="1C3D768C" w:rsidRPr="00B23CB4">
        <w:rPr>
          <w:rFonts w:ascii="Arial" w:hAnsi="Arial" w:cs="Arial"/>
          <w:spacing w:val="2"/>
          <w:szCs w:val="24"/>
        </w:rPr>
        <w:t xml:space="preserve">la Ley 100 de 1993, </w:t>
      </w:r>
      <w:r w:rsidR="2E49B3EB" w:rsidRPr="00B23CB4">
        <w:rPr>
          <w:rFonts w:ascii="Arial" w:hAnsi="Arial" w:cs="Arial"/>
          <w:spacing w:val="2"/>
          <w:szCs w:val="24"/>
        </w:rPr>
        <w:t xml:space="preserve">vigente para la época </w:t>
      </w:r>
      <w:r w:rsidR="4DC03B6B" w:rsidRPr="00B23CB4">
        <w:rPr>
          <w:rFonts w:ascii="Arial" w:hAnsi="Arial" w:cs="Arial"/>
          <w:spacing w:val="2"/>
          <w:szCs w:val="24"/>
        </w:rPr>
        <w:t xml:space="preserve">del traslado y, por último, que debe </w:t>
      </w:r>
      <w:r w:rsidR="3ED3F7E9" w:rsidRPr="00B23CB4">
        <w:rPr>
          <w:rFonts w:ascii="Arial" w:hAnsi="Arial" w:cs="Arial"/>
          <w:spacing w:val="2"/>
          <w:szCs w:val="24"/>
        </w:rPr>
        <w:t xml:space="preserve">respetársele el </w:t>
      </w:r>
      <w:r w:rsidR="1C3D768C" w:rsidRPr="00B23CB4">
        <w:rPr>
          <w:rFonts w:ascii="Arial" w:hAnsi="Arial" w:cs="Arial"/>
          <w:spacing w:val="2"/>
          <w:szCs w:val="24"/>
        </w:rPr>
        <w:t>p</w:t>
      </w:r>
      <w:r w:rsidR="2E49B3EB" w:rsidRPr="00B23CB4">
        <w:rPr>
          <w:rFonts w:ascii="Arial" w:hAnsi="Arial" w:cs="Arial"/>
          <w:spacing w:val="2"/>
          <w:szCs w:val="24"/>
        </w:rPr>
        <w:t>rincipio de confianza legítima, por lo que solicita se</w:t>
      </w:r>
      <w:r w:rsidR="65EB25F1" w:rsidRPr="00B23CB4">
        <w:rPr>
          <w:rFonts w:ascii="Arial" w:hAnsi="Arial" w:cs="Arial"/>
          <w:spacing w:val="2"/>
          <w:szCs w:val="24"/>
        </w:rPr>
        <w:t xml:space="preserve"> </w:t>
      </w:r>
      <w:r w:rsidR="2E49B3EB" w:rsidRPr="00B23CB4">
        <w:rPr>
          <w:rFonts w:ascii="Arial" w:hAnsi="Arial" w:cs="Arial"/>
          <w:spacing w:val="2"/>
          <w:szCs w:val="24"/>
        </w:rPr>
        <w:t>revoque la sentencia apelada.</w:t>
      </w:r>
    </w:p>
    <w:p w14:paraId="60972C9E"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2297A58F" w14:textId="74CB7C2A"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 xml:space="preserve">De otro lado, en cumplimiento del precepto contenido en el artículo 69 del Código Procesal del Trabajo y de la Seguridad Social, teniendo en cuenta que la sentencia fue adversa al ente territorial accionado, se dispone desatar el grado jurisdiccional de </w:t>
      </w:r>
      <w:r w:rsidRPr="00B23CB4">
        <w:rPr>
          <w:rFonts w:ascii="Arial" w:hAnsi="Arial" w:cs="Arial"/>
          <w:b/>
          <w:bCs/>
          <w:spacing w:val="2"/>
          <w:szCs w:val="24"/>
        </w:rPr>
        <w:t>Consulta</w:t>
      </w:r>
      <w:r w:rsidRPr="00B23CB4">
        <w:rPr>
          <w:rFonts w:ascii="Arial" w:hAnsi="Arial" w:cs="Arial"/>
          <w:spacing w:val="2"/>
          <w:szCs w:val="24"/>
        </w:rPr>
        <w:t xml:space="preserve">. </w:t>
      </w:r>
    </w:p>
    <w:p w14:paraId="3F232C2B" w14:textId="77777777" w:rsidR="00582FF5" w:rsidRPr="00B23CB4" w:rsidRDefault="00582FF5" w:rsidP="00130A70">
      <w:pPr>
        <w:pStyle w:val="Sinespaciado"/>
        <w:spacing w:line="276" w:lineRule="auto"/>
        <w:ind w:firstLine="708"/>
        <w:jc w:val="both"/>
        <w:rPr>
          <w:rFonts w:ascii="Arial" w:hAnsi="Arial" w:cs="Arial"/>
          <w:b/>
          <w:bCs/>
          <w:spacing w:val="2"/>
          <w:szCs w:val="24"/>
        </w:rPr>
      </w:pPr>
    </w:p>
    <w:p w14:paraId="2EB7119A" w14:textId="0C771C71" w:rsidR="003B3197" w:rsidRPr="00B23CB4" w:rsidRDefault="4653F458" w:rsidP="00130A70">
      <w:pPr>
        <w:pStyle w:val="Sinespaciado"/>
        <w:numPr>
          <w:ilvl w:val="0"/>
          <w:numId w:val="2"/>
        </w:numPr>
        <w:spacing w:line="276" w:lineRule="auto"/>
        <w:jc w:val="both"/>
        <w:rPr>
          <w:rFonts w:ascii="Arial" w:hAnsi="Arial" w:cs="Arial"/>
          <w:b/>
          <w:bCs/>
          <w:spacing w:val="2"/>
          <w:szCs w:val="24"/>
        </w:rPr>
      </w:pPr>
      <w:r w:rsidRPr="00B23CB4">
        <w:rPr>
          <w:rFonts w:ascii="Arial" w:hAnsi="Arial" w:cs="Arial"/>
          <w:b/>
          <w:bCs/>
          <w:spacing w:val="2"/>
          <w:szCs w:val="24"/>
        </w:rPr>
        <w:t xml:space="preserve">ALEGATOS DE INSTANCIA </w:t>
      </w:r>
    </w:p>
    <w:p w14:paraId="402B12B1"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6600989B" w14:textId="21900ABE" w:rsidR="3B8C11EB" w:rsidRPr="00B23CB4" w:rsidRDefault="3B8C11EB" w:rsidP="00754E51">
      <w:pPr>
        <w:spacing w:line="276" w:lineRule="auto"/>
        <w:ind w:firstLine="708"/>
        <w:jc w:val="both"/>
        <w:rPr>
          <w:rFonts w:ascii="Arial" w:eastAsia="Arial Narrow" w:hAnsi="Arial" w:cs="Arial"/>
          <w:spacing w:val="2"/>
          <w:szCs w:val="24"/>
          <w:lang w:val="es-ES"/>
        </w:rPr>
      </w:pPr>
      <w:r w:rsidRPr="00B23CB4">
        <w:rPr>
          <w:rFonts w:ascii="Arial" w:eastAsia="Arial Narrow" w:hAnsi="Arial" w:cs="Arial"/>
          <w:spacing w:val="2"/>
          <w:szCs w:val="24"/>
          <w:lang w:val="es-ES"/>
        </w:rPr>
        <w:t>Dentro del término otorgado a las partes para descorrer el traslado, la parte activa y Colpensiones allegaron por escrito sus alegatos de conclusión, por lo que se procede a decidir de fondo previa las siguientes:  </w:t>
      </w:r>
    </w:p>
    <w:p w14:paraId="5F6AF3A0" w14:textId="77777777" w:rsidR="003B3197" w:rsidRPr="00B23CB4" w:rsidRDefault="003B3197" w:rsidP="00130A70">
      <w:pPr>
        <w:pStyle w:val="Sinespaciado"/>
        <w:spacing w:line="276" w:lineRule="auto"/>
        <w:ind w:firstLine="708"/>
        <w:jc w:val="both"/>
        <w:rPr>
          <w:rFonts w:ascii="Arial" w:hAnsi="Arial" w:cs="Arial"/>
          <w:b/>
          <w:bCs/>
          <w:spacing w:val="2"/>
          <w:szCs w:val="24"/>
        </w:rPr>
      </w:pPr>
    </w:p>
    <w:p w14:paraId="25112FF2" w14:textId="4A9E5B0F" w:rsidR="003B3197" w:rsidRPr="00B23CB4" w:rsidRDefault="4653F458" w:rsidP="00130A70">
      <w:pPr>
        <w:pStyle w:val="Sinespaciado"/>
        <w:numPr>
          <w:ilvl w:val="0"/>
          <w:numId w:val="2"/>
        </w:numPr>
        <w:spacing w:line="276" w:lineRule="auto"/>
        <w:jc w:val="both"/>
        <w:rPr>
          <w:rFonts w:ascii="Arial" w:hAnsi="Arial" w:cs="Arial"/>
          <w:b/>
          <w:bCs/>
          <w:spacing w:val="2"/>
          <w:szCs w:val="24"/>
        </w:rPr>
      </w:pPr>
      <w:r w:rsidRPr="00B23CB4">
        <w:rPr>
          <w:rFonts w:ascii="Arial" w:hAnsi="Arial" w:cs="Arial"/>
          <w:b/>
          <w:bCs/>
          <w:spacing w:val="2"/>
          <w:szCs w:val="24"/>
        </w:rPr>
        <w:t xml:space="preserve">CONSIDERACIONES </w:t>
      </w:r>
    </w:p>
    <w:p w14:paraId="1F692332" w14:textId="77777777" w:rsidR="003B3197" w:rsidRPr="00B23CB4" w:rsidRDefault="003B3197" w:rsidP="00130A70">
      <w:pPr>
        <w:pStyle w:val="Sinespaciado"/>
        <w:spacing w:line="276" w:lineRule="auto"/>
        <w:ind w:firstLine="708"/>
        <w:jc w:val="both"/>
        <w:rPr>
          <w:rFonts w:ascii="Arial" w:hAnsi="Arial" w:cs="Arial"/>
          <w:b/>
          <w:bCs/>
          <w:spacing w:val="2"/>
          <w:szCs w:val="24"/>
        </w:rPr>
      </w:pPr>
    </w:p>
    <w:p w14:paraId="1F77E532" w14:textId="77777777" w:rsidR="003B3197" w:rsidRPr="00B23CB4" w:rsidRDefault="4653F458" w:rsidP="00130A70">
      <w:pPr>
        <w:pStyle w:val="Sinespaciado"/>
        <w:spacing w:line="276" w:lineRule="auto"/>
        <w:ind w:firstLine="708"/>
        <w:jc w:val="both"/>
        <w:rPr>
          <w:rFonts w:ascii="Arial" w:hAnsi="Arial" w:cs="Arial"/>
          <w:b/>
          <w:bCs/>
          <w:spacing w:val="2"/>
          <w:szCs w:val="24"/>
        </w:rPr>
      </w:pPr>
      <w:r w:rsidRPr="00B23CB4">
        <w:rPr>
          <w:rFonts w:ascii="Arial" w:hAnsi="Arial" w:cs="Arial"/>
          <w:b/>
          <w:bCs/>
          <w:spacing w:val="2"/>
          <w:szCs w:val="24"/>
        </w:rPr>
        <w:t xml:space="preserve">5.1. Presupuestos Procesales. </w:t>
      </w:r>
    </w:p>
    <w:p w14:paraId="55A07333"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077042AC" w14:textId="77777777"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5C9C6B9B" w14:textId="77777777" w:rsidR="00754E51" w:rsidRPr="00B23CB4" w:rsidRDefault="00754E51" w:rsidP="00130A70">
      <w:pPr>
        <w:pStyle w:val="Sinespaciado"/>
        <w:spacing w:line="276" w:lineRule="auto"/>
        <w:ind w:firstLine="708"/>
        <w:jc w:val="both"/>
        <w:rPr>
          <w:rFonts w:ascii="Arial" w:hAnsi="Arial" w:cs="Arial"/>
          <w:spacing w:val="2"/>
          <w:szCs w:val="24"/>
        </w:rPr>
      </w:pPr>
    </w:p>
    <w:p w14:paraId="256C859E" w14:textId="77777777" w:rsidR="003B3197" w:rsidRPr="00B23CB4" w:rsidRDefault="4653F458" w:rsidP="00130A70">
      <w:pPr>
        <w:pStyle w:val="Sinespaciado"/>
        <w:spacing w:line="276" w:lineRule="auto"/>
        <w:ind w:firstLine="708"/>
        <w:jc w:val="both"/>
        <w:rPr>
          <w:rFonts w:ascii="Arial" w:hAnsi="Arial" w:cs="Arial"/>
          <w:b/>
          <w:bCs/>
          <w:spacing w:val="2"/>
          <w:szCs w:val="24"/>
        </w:rPr>
      </w:pPr>
      <w:r w:rsidRPr="00B23CB4">
        <w:rPr>
          <w:rFonts w:ascii="Arial" w:hAnsi="Arial" w:cs="Arial"/>
          <w:b/>
          <w:bCs/>
          <w:spacing w:val="2"/>
          <w:szCs w:val="24"/>
        </w:rPr>
        <w:t>5.2. Problemas jurídicos por resolver.</w:t>
      </w:r>
    </w:p>
    <w:p w14:paraId="4F4EBF36"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1B0A5908" w14:textId="10B93500"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De conformidad con los puntos de apelación de la sentencia de primera instancia y el grado de consulta, se encuentra que los problemas jurídicos a resolver se circunscriben a</w:t>
      </w:r>
      <w:r w:rsidRPr="00B23CB4">
        <w:rPr>
          <w:rFonts w:ascii="Arial" w:hAnsi="Arial" w:cs="Arial"/>
          <w:i/>
          <w:iCs/>
          <w:spacing w:val="2"/>
          <w:szCs w:val="24"/>
        </w:rPr>
        <w:t xml:space="preserve"> (i</w:t>
      </w:r>
      <w:r w:rsidRPr="00B23CB4">
        <w:rPr>
          <w:rFonts w:ascii="Arial" w:hAnsi="Arial" w:cs="Arial"/>
          <w:spacing w:val="2"/>
          <w:szCs w:val="24"/>
        </w:rPr>
        <w:t xml:space="preserve">) determinar cuáles son los deberes probatorios que asisten a las partes cuando está en discusión la eficacia del traslado entre regímenes pensionales. </w:t>
      </w:r>
      <w:r w:rsidR="1BBD6F0B" w:rsidRPr="00B23CB4">
        <w:rPr>
          <w:rFonts w:ascii="Arial" w:hAnsi="Arial" w:cs="Arial"/>
          <w:spacing w:val="2"/>
          <w:szCs w:val="24"/>
        </w:rPr>
        <w:t xml:space="preserve">En ese orden, </w:t>
      </w:r>
      <w:r w:rsidR="1BBD6F0B" w:rsidRPr="00B23CB4">
        <w:rPr>
          <w:rFonts w:ascii="Arial" w:hAnsi="Arial" w:cs="Arial"/>
          <w:i/>
          <w:iCs/>
          <w:spacing w:val="2"/>
          <w:szCs w:val="24"/>
        </w:rPr>
        <w:t>(ii)</w:t>
      </w:r>
      <w:r w:rsidR="1BBD6F0B" w:rsidRPr="00B23CB4">
        <w:rPr>
          <w:rFonts w:ascii="Arial" w:hAnsi="Arial" w:cs="Arial"/>
          <w:spacing w:val="2"/>
          <w:szCs w:val="24"/>
        </w:rPr>
        <w:t xml:space="preserve"> establecer si para que opere la inversión de la carga de la prueba en favor de la afiliada adquiere relevancia el hecho de que esta sea beneficiaria o no del régimen de transición pensional consagrado en el art. 36 de la Ley 100 de 1993; y </w:t>
      </w:r>
      <w:r w:rsidR="1BBD6F0B" w:rsidRPr="00B23CB4">
        <w:rPr>
          <w:rFonts w:ascii="Arial" w:hAnsi="Arial" w:cs="Arial"/>
          <w:i/>
          <w:iCs/>
          <w:spacing w:val="2"/>
          <w:szCs w:val="24"/>
        </w:rPr>
        <w:t>(</w:t>
      </w:r>
      <w:r w:rsidR="1CE5F9F1" w:rsidRPr="00B23CB4">
        <w:rPr>
          <w:rFonts w:ascii="Arial" w:hAnsi="Arial" w:cs="Arial"/>
          <w:i/>
          <w:iCs/>
          <w:spacing w:val="2"/>
          <w:szCs w:val="24"/>
        </w:rPr>
        <w:t>iii</w:t>
      </w:r>
      <w:r w:rsidR="1BBD6F0B" w:rsidRPr="00B23CB4">
        <w:rPr>
          <w:rFonts w:ascii="Arial" w:hAnsi="Arial" w:cs="Arial"/>
          <w:spacing w:val="2"/>
          <w:szCs w:val="24"/>
        </w:rPr>
        <w:t>)</w:t>
      </w:r>
      <w:r w:rsidR="00B54EDF" w:rsidRPr="00B23CB4">
        <w:rPr>
          <w:rFonts w:ascii="Arial" w:hAnsi="Arial" w:cs="Arial"/>
          <w:spacing w:val="2"/>
          <w:szCs w:val="24"/>
        </w:rPr>
        <w:t xml:space="preserve"> </w:t>
      </w:r>
      <w:r w:rsidR="2FF92FA5" w:rsidRPr="00B23CB4">
        <w:rPr>
          <w:rFonts w:ascii="Arial" w:hAnsi="Arial" w:cs="Arial"/>
          <w:spacing w:val="2"/>
          <w:szCs w:val="24"/>
        </w:rPr>
        <w:t>dilucidar</w:t>
      </w:r>
      <w:r w:rsidR="00E26483" w:rsidRPr="00B23CB4">
        <w:rPr>
          <w:rFonts w:ascii="Arial" w:hAnsi="Arial" w:cs="Arial"/>
          <w:spacing w:val="2"/>
          <w:szCs w:val="24"/>
        </w:rPr>
        <w:t xml:space="preserve"> </w:t>
      </w:r>
      <w:r w:rsidR="1BBD6F0B" w:rsidRPr="00B23CB4">
        <w:rPr>
          <w:rFonts w:ascii="Arial" w:hAnsi="Arial" w:cs="Arial"/>
          <w:spacing w:val="2"/>
          <w:szCs w:val="24"/>
        </w:rPr>
        <w:t>si al momento de traslado de régimen pensional a la actora se le suministró la información necesaria por parte del fondo de pensiones, para entender que el acto de traslado fue eficaz.</w:t>
      </w:r>
      <w:r w:rsidR="2DE5011D" w:rsidRPr="00B23CB4">
        <w:rPr>
          <w:rFonts w:ascii="Arial" w:hAnsi="Arial" w:cs="Arial"/>
          <w:spacing w:val="2"/>
          <w:szCs w:val="24"/>
        </w:rPr>
        <w:t xml:space="preserve"> Ya</w:t>
      </w:r>
      <w:r w:rsidR="1BBD6F0B" w:rsidRPr="00B23CB4">
        <w:rPr>
          <w:rFonts w:ascii="Arial" w:hAnsi="Arial" w:cs="Arial"/>
          <w:spacing w:val="2"/>
          <w:szCs w:val="24"/>
        </w:rPr>
        <w:t xml:space="preserve"> </w:t>
      </w:r>
      <w:r w:rsidR="2DE5011D" w:rsidRPr="00B23CB4">
        <w:rPr>
          <w:rFonts w:ascii="Arial" w:hAnsi="Arial" w:cs="Arial"/>
          <w:spacing w:val="2"/>
          <w:szCs w:val="24"/>
        </w:rPr>
        <w:t>en grado jurisdiccional de consulta se determinará (iv) si hay lugar a adicionar la providencia para complementar los rubros ordenados por la a-quo.</w:t>
      </w:r>
      <w:r w:rsidR="1BBD6F0B" w:rsidRPr="00B23CB4">
        <w:rPr>
          <w:rFonts w:ascii="Arial" w:hAnsi="Arial" w:cs="Arial"/>
          <w:spacing w:val="2"/>
          <w:szCs w:val="24"/>
        </w:rPr>
        <w:t xml:space="preserve"> </w:t>
      </w:r>
      <w:r w:rsidR="2DE5011D" w:rsidRPr="00B23CB4">
        <w:rPr>
          <w:rFonts w:ascii="Arial" w:hAnsi="Arial" w:cs="Arial"/>
          <w:spacing w:val="2"/>
          <w:szCs w:val="24"/>
        </w:rPr>
        <w:t xml:space="preserve"> </w:t>
      </w:r>
    </w:p>
    <w:p w14:paraId="77063649"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445D7911" w14:textId="77777777" w:rsidR="003B3197" w:rsidRPr="00B23CB4" w:rsidRDefault="003B3197" w:rsidP="00130A70">
      <w:pPr>
        <w:pStyle w:val="Sinespaciado"/>
        <w:spacing w:line="276" w:lineRule="auto"/>
        <w:ind w:firstLine="708"/>
        <w:jc w:val="both"/>
        <w:rPr>
          <w:rFonts w:ascii="Arial" w:hAnsi="Arial" w:cs="Arial"/>
          <w:b/>
          <w:bCs/>
          <w:spacing w:val="2"/>
          <w:szCs w:val="24"/>
        </w:rPr>
      </w:pPr>
      <w:r w:rsidRPr="00B23CB4">
        <w:rPr>
          <w:rFonts w:ascii="Arial" w:hAnsi="Arial" w:cs="Arial"/>
          <w:spacing w:val="2"/>
          <w:szCs w:val="24"/>
        </w:rPr>
        <w:tab/>
      </w:r>
      <w:r w:rsidR="4653F458" w:rsidRPr="00B23CB4">
        <w:rPr>
          <w:rFonts w:ascii="Arial" w:hAnsi="Arial" w:cs="Arial"/>
          <w:b/>
          <w:bCs/>
          <w:spacing w:val="2"/>
          <w:szCs w:val="24"/>
        </w:rPr>
        <w:t>5.3. Desenvolvimiento de la problemática planteada</w:t>
      </w:r>
    </w:p>
    <w:p w14:paraId="50FA6667"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31376678" w14:textId="13338D6F" w:rsidR="003B3197" w:rsidRPr="00B23CB4" w:rsidRDefault="4653F458" w:rsidP="00130A70">
      <w:pPr>
        <w:pStyle w:val="Sinespaciado"/>
        <w:spacing w:line="276" w:lineRule="auto"/>
        <w:jc w:val="both"/>
        <w:rPr>
          <w:rFonts w:ascii="Arial" w:hAnsi="Arial" w:cs="Arial"/>
          <w:spacing w:val="2"/>
          <w:szCs w:val="24"/>
        </w:rPr>
      </w:pPr>
      <w:r w:rsidRPr="00B23CB4">
        <w:rPr>
          <w:rFonts w:ascii="Arial" w:hAnsi="Arial" w:cs="Arial"/>
          <w:spacing w:val="2"/>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B23CB4">
        <w:rPr>
          <w:rFonts w:ascii="Arial" w:hAnsi="Arial" w:cs="Arial"/>
          <w:i/>
          <w:iCs/>
          <w:spacing w:val="2"/>
          <w:szCs w:val="24"/>
        </w:rPr>
        <w:t>corpus argumentativo</w:t>
      </w:r>
      <w:r w:rsidRPr="00B23CB4">
        <w:rPr>
          <w:rFonts w:ascii="Arial" w:hAnsi="Arial" w:cs="Arial"/>
          <w:spacing w:val="2"/>
          <w:szCs w:val="24"/>
        </w:rPr>
        <w:t xml:space="preserve"> construido a partir de estas sentencias, ha señalado que es atribuible a la entidad administradora de pensiones privada </w:t>
      </w:r>
      <w:r w:rsidRPr="00B23CB4">
        <w:rPr>
          <w:rFonts w:ascii="Arial" w:hAnsi="Arial" w:cs="Arial"/>
          <w:spacing w:val="2"/>
          <w:szCs w:val="24"/>
        </w:rPr>
        <w:lastRenderedPageBreak/>
        <w:t xml:space="preserve">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w:t>
      </w:r>
      <w:r w:rsidR="00754E51" w:rsidRPr="00B23CB4">
        <w:rPr>
          <w:rFonts w:ascii="Arial" w:hAnsi="Arial" w:cs="Arial"/>
          <w:spacing w:val="2"/>
          <w:szCs w:val="24"/>
        </w:rPr>
        <w:t>traslados de régimen pensional.</w:t>
      </w:r>
    </w:p>
    <w:p w14:paraId="3BC59D30" w14:textId="77777777" w:rsidR="00754E51" w:rsidRPr="00B23CB4" w:rsidRDefault="00754E51" w:rsidP="00130A70">
      <w:pPr>
        <w:pStyle w:val="Sinespaciado"/>
        <w:spacing w:line="276" w:lineRule="auto"/>
        <w:jc w:val="both"/>
        <w:rPr>
          <w:rFonts w:ascii="Arial" w:hAnsi="Arial" w:cs="Arial"/>
          <w:spacing w:val="2"/>
          <w:szCs w:val="24"/>
        </w:rPr>
      </w:pPr>
    </w:p>
    <w:p w14:paraId="2BC7C180" w14:textId="77777777"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w:t>
      </w:r>
    </w:p>
    <w:p w14:paraId="2957190D"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0D68E17D" w14:textId="7101F9B7"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Frente al punto</w:t>
      </w:r>
      <w:r w:rsidR="1CE5F9F1" w:rsidRPr="00B23CB4">
        <w:rPr>
          <w:rFonts w:ascii="Arial" w:hAnsi="Arial" w:cs="Arial"/>
          <w:spacing w:val="2"/>
          <w:szCs w:val="24"/>
        </w:rPr>
        <w:t>,</w:t>
      </w:r>
      <w:r w:rsidRPr="00B23CB4">
        <w:rPr>
          <w:rFonts w:ascii="Arial" w:hAnsi="Arial" w:cs="Arial"/>
          <w:spacing w:val="2"/>
          <w:szCs w:val="24"/>
        </w:rPr>
        <w:t xml:space="preserve">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0B9F431E"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77DE8D0B" w14:textId="16B574F3"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B23CB4">
        <w:rPr>
          <w:rFonts w:ascii="Arial" w:hAnsi="Arial" w:cs="Arial"/>
          <w:b/>
          <w:bCs/>
          <w:spacing w:val="2"/>
          <w:szCs w:val="24"/>
        </w:rPr>
        <w:t>sentencia del 8 de mayo de 2019, (SL1688-2019, Rad. 68838)</w:t>
      </w:r>
      <w:r w:rsidRPr="00B23CB4">
        <w:rPr>
          <w:rFonts w:ascii="Arial" w:hAnsi="Arial" w:cs="Arial"/>
          <w:spacing w:val="2"/>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reasesorías que se realizan con posterioridad al traslado inicial, entre otros. </w:t>
      </w:r>
    </w:p>
    <w:p w14:paraId="2FD5D336" w14:textId="77777777" w:rsidR="003B3197" w:rsidRPr="00B23CB4" w:rsidRDefault="003B3197" w:rsidP="00130A70">
      <w:pPr>
        <w:pStyle w:val="Sinespaciado"/>
        <w:spacing w:line="276" w:lineRule="auto"/>
        <w:ind w:firstLine="708"/>
        <w:jc w:val="both"/>
        <w:rPr>
          <w:rFonts w:ascii="Arial" w:hAnsi="Arial" w:cs="Arial"/>
          <w:spacing w:val="2"/>
          <w:szCs w:val="24"/>
        </w:rPr>
      </w:pPr>
    </w:p>
    <w:p w14:paraId="39148DF8" w14:textId="77777777" w:rsidR="003B3197" w:rsidRPr="00B23CB4" w:rsidRDefault="4653F458" w:rsidP="00130A70">
      <w:pPr>
        <w:pStyle w:val="Sinespaciado"/>
        <w:spacing w:line="276" w:lineRule="auto"/>
        <w:ind w:firstLine="708"/>
        <w:jc w:val="both"/>
        <w:rPr>
          <w:rFonts w:ascii="Arial" w:hAnsi="Arial" w:cs="Arial"/>
          <w:spacing w:val="2"/>
          <w:szCs w:val="24"/>
        </w:rPr>
      </w:pPr>
      <w:r w:rsidRPr="00B23CB4">
        <w:rPr>
          <w:rFonts w:ascii="Arial" w:hAnsi="Arial" w:cs="Arial"/>
          <w:b/>
          <w:bCs/>
          <w:spacing w:val="2"/>
          <w:szCs w:val="24"/>
        </w:rPr>
        <w:t>a) Sobre el deber de información,</w:t>
      </w:r>
      <w:r w:rsidRPr="00B23CB4">
        <w:rPr>
          <w:rFonts w:ascii="Arial" w:hAnsi="Arial" w:cs="Arial"/>
          <w:spacing w:val="2"/>
          <w:szCs w:val="24"/>
        </w:rPr>
        <w:t xml:space="preserve"> en ésta quedó dicho:</w:t>
      </w:r>
    </w:p>
    <w:p w14:paraId="64972448" w14:textId="77777777" w:rsidR="003B3197" w:rsidRPr="00B23CB4" w:rsidRDefault="4653F458" w:rsidP="00130A70">
      <w:pPr>
        <w:spacing w:line="276" w:lineRule="auto"/>
        <w:jc w:val="both"/>
        <w:rPr>
          <w:rFonts w:ascii="Arial" w:hAnsi="Arial" w:cs="Arial"/>
          <w:spacing w:val="2"/>
          <w:szCs w:val="24"/>
        </w:rPr>
      </w:pPr>
      <w:r w:rsidRPr="00B23CB4">
        <w:rPr>
          <w:rFonts w:ascii="Arial" w:eastAsia="Arial Narrow" w:hAnsi="Arial" w:cs="Arial"/>
          <w:spacing w:val="2"/>
          <w:szCs w:val="24"/>
          <w:lang w:val="es"/>
        </w:rPr>
        <w:t xml:space="preserve"> </w:t>
      </w:r>
    </w:p>
    <w:p w14:paraId="77896473" w14:textId="77777777" w:rsidR="00754E51" w:rsidRPr="00B23CB4" w:rsidRDefault="00754E51"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“El anterior recuento sobre la evolución normativa del deber de información a cargo de las administradoras de pensiones podría, a grandes rasgos, sintetizarse así: </w:t>
      </w:r>
    </w:p>
    <w:p w14:paraId="6CDF7A2C" w14:textId="77777777" w:rsidR="00754E51" w:rsidRPr="00B23CB4" w:rsidRDefault="00754E51" w:rsidP="00754E51">
      <w:pPr>
        <w:ind w:left="426" w:right="420"/>
        <w:jc w:val="both"/>
        <w:rPr>
          <w:rFonts w:ascii="Arial" w:hAnsi="Arial" w:cs="Arial"/>
          <w:spacing w:val="2"/>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754E51" w:rsidRPr="00B23CB4" w14:paraId="60187121"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45EE77D"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b/>
                <w:bCs/>
                <w:i/>
                <w:iCs/>
                <w:spacing w:val="2"/>
                <w:sz w:val="20"/>
                <w:szCs w:val="24"/>
                <w:lang w:val="es-CO"/>
              </w:rPr>
              <w:t>Etapa acumulativa</w:t>
            </w:r>
            <w:r w:rsidRPr="00B23CB4">
              <w:rPr>
                <w:rFonts w:ascii="Arial" w:hAnsi="Arial" w:cs="Arial"/>
                <w:spacing w:val="2"/>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E389D7"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b/>
                <w:bCs/>
                <w:i/>
                <w:iCs/>
                <w:spacing w:val="2"/>
                <w:sz w:val="20"/>
                <w:szCs w:val="24"/>
                <w:lang w:val="es-CO"/>
              </w:rPr>
              <w:t>Normas que obligan a las administradoras de pensiones a dar información</w:t>
            </w:r>
            <w:r w:rsidRPr="00B23CB4">
              <w:rPr>
                <w:rFonts w:ascii="Arial" w:hAnsi="Arial" w:cs="Arial"/>
                <w:spacing w:val="2"/>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F2BD85E"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b/>
                <w:bCs/>
                <w:i/>
                <w:iCs/>
                <w:spacing w:val="2"/>
                <w:sz w:val="20"/>
                <w:szCs w:val="24"/>
                <w:lang w:val="es-CO"/>
              </w:rPr>
              <w:t>Contenido mínimo y alcance del deber de información</w:t>
            </w:r>
            <w:r w:rsidRPr="00B23CB4">
              <w:rPr>
                <w:rFonts w:ascii="Arial" w:hAnsi="Arial" w:cs="Arial"/>
                <w:spacing w:val="2"/>
                <w:sz w:val="20"/>
                <w:szCs w:val="24"/>
                <w:lang w:val="es-ES"/>
              </w:rPr>
              <w:t> </w:t>
            </w:r>
          </w:p>
        </w:tc>
      </w:tr>
      <w:tr w:rsidR="00754E51" w:rsidRPr="00B23CB4" w14:paraId="2D0A32AB"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4B8D6CE"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Deber de información </w:t>
            </w:r>
            <w:r w:rsidRPr="00B23CB4">
              <w:rPr>
                <w:rFonts w:ascii="Arial" w:hAnsi="Arial" w:cs="Arial"/>
                <w:spacing w:val="2"/>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215722D"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Arts. 13 literal b), 271 y 272 de la Ley 100 de 1993</w:t>
            </w:r>
            <w:r w:rsidRPr="00B23CB4">
              <w:rPr>
                <w:rFonts w:ascii="Arial" w:hAnsi="Arial" w:cs="Arial"/>
                <w:spacing w:val="2"/>
                <w:sz w:val="20"/>
                <w:szCs w:val="24"/>
                <w:lang w:val="es-ES"/>
              </w:rPr>
              <w:t> </w:t>
            </w:r>
          </w:p>
          <w:p w14:paraId="6BCA2447"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ES"/>
              </w:rPr>
              <w:t>Art. 97, numeral 1 del Decreto 663 de 1993, modificado por el artículo 23 de la Ley 797 de 2003</w:t>
            </w:r>
            <w:r w:rsidRPr="00B23CB4">
              <w:rPr>
                <w:rFonts w:ascii="Arial" w:hAnsi="Arial" w:cs="Arial"/>
                <w:spacing w:val="2"/>
                <w:sz w:val="20"/>
                <w:szCs w:val="24"/>
                <w:lang w:val="es-ES"/>
              </w:rPr>
              <w:t> </w:t>
            </w:r>
          </w:p>
          <w:p w14:paraId="44DEA244"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ES"/>
              </w:rPr>
              <w:t>Disposiciones constitucionales relativas al derecho a la información, no menoscabo de derechos laborales y autonomía personal</w:t>
            </w:r>
            <w:r w:rsidRPr="00B23CB4">
              <w:rPr>
                <w:rFonts w:ascii="Arial" w:hAnsi="Arial" w:cs="Arial"/>
                <w:spacing w:val="2"/>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C03E8E4"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B23CB4">
              <w:rPr>
                <w:rFonts w:ascii="Arial" w:hAnsi="Arial" w:cs="Arial"/>
                <w:spacing w:val="2"/>
                <w:sz w:val="20"/>
                <w:szCs w:val="24"/>
                <w:lang w:val="es-ES"/>
              </w:rPr>
              <w:t> </w:t>
            </w:r>
          </w:p>
        </w:tc>
      </w:tr>
      <w:tr w:rsidR="00754E51" w:rsidRPr="00B23CB4" w14:paraId="615CA6B5"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B469AAA"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Deber de información, asesoría y buen consejo</w:t>
            </w:r>
            <w:r w:rsidRPr="00B23CB4">
              <w:rPr>
                <w:rFonts w:ascii="Arial" w:hAnsi="Arial" w:cs="Arial"/>
                <w:spacing w:val="2"/>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EA87613"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Artículo 3, literal c) de la Ley 1328 de 2009</w:t>
            </w:r>
            <w:r w:rsidRPr="00B23CB4">
              <w:rPr>
                <w:rFonts w:ascii="Arial" w:hAnsi="Arial" w:cs="Arial"/>
                <w:spacing w:val="2"/>
                <w:sz w:val="20"/>
                <w:szCs w:val="24"/>
                <w:lang w:val="es-ES"/>
              </w:rPr>
              <w:t> </w:t>
            </w:r>
          </w:p>
          <w:p w14:paraId="7FC69CBA"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Decreto 2241 de 2010</w:t>
            </w:r>
            <w:r w:rsidRPr="00B23CB4">
              <w:rPr>
                <w:rFonts w:ascii="Arial" w:hAnsi="Arial" w:cs="Arial"/>
                <w:spacing w:val="2"/>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1778602"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B23CB4">
              <w:rPr>
                <w:rFonts w:ascii="Arial" w:hAnsi="Arial" w:cs="Arial"/>
                <w:spacing w:val="2"/>
                <w:sz w:val="20"/>
                <w:szCs w:val="24"/>
                <w:lang w:val="es-ES"/>
              </w:rPr>
              <w:t> </w:t>
            </w:r>
          </w:p>
        </w:tc>
      </w:tr>
      <w:tr w:rsidR="00754E51" w:rsidRPr="00B23CB4" w14:paraId="4E73F369"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A745F7F"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Deber de información, asesoría, buen consejo y doble asesoría. </w:t>
            </w:r>
            <w:r w:rsidRPr="00B23CB4">
              <w:rPr>
                <w:rFonts w:ascii="Arial" w:hAnsi="Arial" w:cs="Arial"/>
                <w:spacing w:val="2"/>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D80661A"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Ley 1748 de 2014</w:t>
            </w:r>
            <w:r w:rsidRPr="00B23CB4">
              <w:rPr>
                <w:rFonts w:ascii="Arial" w:hAnsi="Arial" w:cs="Arial"/>
                <w:spacing w:val="2"/>
                <w:sz w:val="20"/>
                <w:szCs w:val="24"/>
                <w:lang w:val="es-ES"/>
              </w:rPr>
              <w:t> </w:t>
            </w:r>
          </w:p>
          <w:p w14:paraId="61D9BA8D"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Artículo 3 del Decreto 2071 de 2015</w:t>
            </w:r>
            <w:r w:rsidRPr="00B23CB4">
              <w:rPr>
                <w:rFonts w:ascii="Arial" w:hAnsi="Arial" w:cs="Arial"/>
                <w:spacing w:val="2"/>
                <w:sz w:val="20"/>
                <w:szCs w:val="24"/>
                <w:lang w:val="es-ES"/>
              </w:rPr>
              <w:t> </w:t>
            </w:r>
          </w:p>
          <w:p w14:paraId="78D69B85"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Circular Externa n. 016 de 2016</w:t>
            </w:r>
            <w:r w:rsidRPr="00B23CB4">
              <w:rPr>
                <w:rFonts w:ascii="Arial" w:hAnsi="Arial" w:cs="Arial"/>
                <w:spacing w:val="2"/>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C193786" w14:textId="77777777" w:rsidR="00754E51" w:rsidRPr="00B23CB4" w:rsidRDefault="00754E51" w:rsidP="00754E51">
            <w:pPr>
              <w:spacing w:line="276" w:lineRule="auto"/>
              <w:jc w:val="both"/>
              <w:textAlignment w:val="baseline"/>
              <w:rPr>
                <w:rFonts w:ascii="Arial" w:hAnsi="Arial" w:cs="Arial"/>
                <w:spacing w:val="2"/>
                <w:sz w:val="20"/>
                <w:szCs w:val="24"/>
                <w:lang w:val="es-ES"/>
              </w:rPr>
            </w:pPr>
            <w:r w:rsidRPr="00B23CB4">
              <w:rPr>
                <w:rFonts w:ascii="Arial" w:hAnsi="Arial" w:cs="Arial"/>
                <w:i/>
                <w:iCs/>
                <w:spacing w:val="2"/>
                <w:sz w:val="20"/>
                <w:szCs w:val="24"/>
                <w:lang w:val="es-CO"/>
              </w:rPr>
              <w:t>Junto con lo anterior, lleva inmerso el derecho a obtener asesoría de los representantes de ambos regímenes pensionales.</w:t>
            </w:r>
            <w:r w:rsidRPr="00B23CB4">
              <w:rPr>
                <w:rFonts w:ascii="Arial" w:hAnsi="Arial" w:cs="Arial"/>
                <w:spacing w:val="2"/>
                <w:sz w:val="20"/>
                <w:szCs w:val="24"/>
                <w:lang w:val="es-ES"/>
              </w:rPr>
              <w:t> </w:t>
            </w:r>
          </w:p>
        </w:tc>
      </w:tr>
    </w:tbl>
    <w:p w14:paraId="514DD3EB" w14:textId="77777777" w:rsidR="00754E51" w:rsidRPr="00B23CB4" w:rsidRDefault="00754E51" w:rsidP="00754E51">
      <w:pPr>
        <w:ind w:left="426" w:right="420"/>
        <w:jc w:val="both"/>
        <w:rPr>
          <w:rFonts w:ascii="Arial" w:hAnsi="Arial" w:cs="Arial"/>
          <w:i/>
          <w:iCs/>
          <w:spacing w:val="2"/>
          <w:sz w:val="22"/>
          <w:szCs w:val="24"/>
        </w:rPr>
      </w:pPr>
    </w:p>
    <w:p w14:paraId="31C7B0DE" w14:textId="77777777" w:rsidR="00754E51" w:rsidRPr="00B23CB4" w:rsidRDefault="00754E51"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1.4 Conclusión: La constatación del deber de información es ineludible.</w:t>
      </w:r>
    </w:p>
    <w:p w14:paraId="54D90DF6" w14:textId="77777777" w:rsidR="00754E51" w:rsidRPr="00B23CB4" w:rsidRDefault="00754E51" w:rsidP="00754E51">
      <w:pPr>
        <w:ind w:left="426" w:right="420"/>
        <w:jc w:val="both"/>
        <w:rPr>
          <w:rFonts w:ascii="Arial" w:hAnsi="Arial" w:cs="Arial"/>
          <w:i/>
          <w:iCs/>
          <w:spacing w:val="2"/>
          <w:sz w:val="22"/>
          <w:szCs w:val="24"/>
        </w:rPr>
      </w:pPr>
    </w:p>
    <w:p w14:paraId="25F983FD" w14:textId="77777777" w:rsidR="00754E51" w:rsidRPr="00B23CB4" w:rsidRDefault="00754E51"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704950C8" w14:textId="77777777" w:rsidR="00754E51" w:rsidRPr="00B23CB4" w:rsidRDefault="00754E51" w:rsidP="00754E51">
      <w:pPr>
        <w:ind w:left="426" w:right="420"/>
        <w:jc w:val="both"/>
        <w:rPr>
          <w:rFonts w:ascii="Arial" w:hAnsi="Arial" w:cs="Arial"/>
          <w:i/>
          <w:iCs/>
          <w:spacing w:val="2"/>
          <w:sz w:val="22"/>
          <w:szCs w:val="24"/>
        </w:rPr>
      </w:pPr>
    </w:p>
    <w:p w14:paraId="47ACFA9F" w14:textId="77777777" w:rsidR="00754E51" w:rsidRPr="00B23CB4" w:rsidRDefault="00754E51"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52178A3D" w14:textId="77777777" w:rsidR="00754E51" w:rsidRPr="00B23CB4" w:rsidRDefault="00754E51" w:rsidP="00754E51">
      <w:pPr>
        <w:ind w:left="426" w:right="420"/>
        <w:jc w:val="both"/>
        <w:rPr>
          <w:rFonts w:ascii="Arial" w:hAnsi="Arial" w:cs="Arial"/>
          <w:i/>
          <w:iCs/>
          <w:spacing w:val="2"/>
          <w:sz w:val="22"/>
          <w:szCs w:val="24"/>
        </w:rPr>
      </w:pPr>
    </w:p>
    <w:p w14:paraId="6C1F3640" w14:textId="77777777" w:rsidR="00754E51" w:rsidRPr="00B23CB4" w:rsidRDefault="00754E51"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18B1F6C8" w14:textId="77777777" w:rsidR="003B3197" w:rsidRPr="00B23CB4" w:rsidRDefault="4653F458" w:rsidP="00130A70">
      <w:pPr>
        <w:spacing w:line="276" w:lineRule="auto"/>
        <w:jc w:val="both"/>
        <w:rPr>
          <w:rFonts w:ascii="Arial" w:hAnsi="Arial" w:cs="Arial"/>
          <w:spacing w:val="2"/>
          <w:szCs w:val="24"/>
        </w:rPr>
      </w:pPr>
      <w:r w:rsidRPr="00B23CB4">
        <w:rPr>
          <w:rFonts w:ascii="Arial" w:eastAsia="Arial Narrow" w:hAnsi="Arial" w:cs="Arial"/>
          <w:spacing w:val="2"/>
          <w:szCs w:val="24"/>
          <w:lang w:val="es"/>
        </w:rPr>
        <w:t xml:space="preserve"> </w:t>
      </w:r>
    </w:p>
    <w:p w14:paraId="65749889" w14:textId="77777777" w:rsidR="00B54907" w:rsidRPr="00B23CB4" w:rsidRDefault="22DE3FD5"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lastRenderedPageBreak/>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450C9E67" w14:textId="77777777" w:rsidR="00B54907" w:rsidRPr="00B23CB4" w:rsidRDefault="00B54907" w:rsidP="00130A70">
      <w:pPr>
        <w:pStyle w:val="Sinespaciado"/>
        <w:spacing w:line="276" w:lineRule="auto"/>
        <w:ind w:firstLine="708"/>
        <w:jc w:val="both"/>
        <w:rPr>
          <w:rFonts w:ascii="Arial" w:hAnsi="Arial" w:cs="Arial"/>
          <w:spacing w:val="2"/>
          <w:szCs w:val="24"/>
        </w:rPr>
      </w:pPr>
    </w:p>
    <w:p w14:paraId="1025BF12" w14:textId="57AA1C9C" w:rsidR="00B54907" w:rsidRPr="00B23CB4" w:rsidRDefault="22DE3FD5" w:rsidP="00130A70">
      <w:pPr>
        <w:pStyle w:val="paragraph"/>
        <w:spacing w:before="0" w:beforeAutospacing="0" w:after="0" w:afterAutospacing="0" w:line="276" w:lineRule="auto"/>
        <w:ind w:firstLine="555"/>
        <w:jc w:val="both"/>
        <w:textAlignment w:val="baseline"/>
        <w:rPr>
          <w:rFonts w:ascii="Arial" w:hAnsi="Arial" w:cs="Arial"/>
          <w:spacing w:val="2"/>
        </w:rPr>
      </w:pPr>
      <w:r w:rsidRPr="00B23CB4">
        <w:rPr>
          <w:rFonts w:ascii="Arial" w:hAnsi="Arial" w:cs="Arial"/>
          <w:b/>
          <w:bCs/>
          <w:spacing w:val="2"/>
        </w:rPr>
        <w:t xml:space="preserve"> b) </w:t>
      </w:r>
      <w:r w:rsidR="00B54907" w:rsidRPr="00B23CB4">
        <w:rPr>
          <w:rFonts w:ascii="Arial" w:hAnsi="Arial" w:cs="Arial"/>
          <w:b/>
          <w:bCs/>
          <w:spacing w:val="2"/>
          <w:lang w:val="es-ES_tradnl"/>
        </w:rPr>
        <w:tab/>
      </w:r>
      <w:r w:rsidRPr="00B23CB4">
        <w:rPr>
          <w:rFonts w:ascii="Arial" w:hAnsi="Arial" w:cs="Arial"/>
          <w:b/>
          <w:bCs/>
          <w:spacing w:val="2"/>
        </w:rPr>
        <w:t>En cuanto a las consecuencias de las constancias que se registran en los formularios de afiliación o traslado,</w:t>
      </w:r>
      <w:r w:rsidRPr="00B23CB4">
        <w:rPr>
          <w:rFonts w:ascii="Arial" w:hAnsi="Arial" w:cs="Arial"/>
          <w:spacing w:val="2"/>
        </w:rPr>
        <w:t xml:space="preserve"> la ya referida SL1688-2019, Rad. 68838 explicó: </w:t>
      </w:r>
    </w:p>
    <w:p w14:paraId="131FCD5D" w14:textId="77777777" w:rsidR="00B54907" w:rsidRPr="00B23CB4" w:rsidRDefault="22DE3FD5" w:rsidP="00130A70">
      <w:pPr>
        <w:spacing w:line="276" w:lineRule="auto"/>
        <w:ind w:firstLine="720"/>
        <w:jc w:val="both"/>
        <w:rPr>
          <w:rFonts w:ascii="Arial" w:hAnsi="Arial" w:cs="Arial"/>
          <w:spacing w:val="2"/>
          <w:szCs w:val="24"/>
        </w:rPr>
      </w:pPr>
      <w:r w:rsidRPr="00B23CB4">
        <w:rPr>
          <w:rFonts w:ascii="Arial" w:eastAsia="Arial Narrow" w:hAnsi="Arial" w:cs="Arial"/>
          <w:spacing w:val="2"/>
          <w:szCs w:val="24"/>
          <w:lang w:val="es"/>
        </w:rPr>
        <w:t xml:space="preserve"> </w:t>
      </w:r>
    </w:p>
    <w:p w14:paraId="461628A0"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2. </w:t>
      </w:r>
      <w:r w:rsidRPr="00B23CB4">
        <w:rPr>
          <w:rFonts w:ascii="Arial" w:hAnsi="Arial" w:cs="Arial"/>
          <w:b/>
          <w:i/>
          <w:iCs/>
          <w:spacing w:val="2"/>
          <w:sz w:val="22"/>
          <w:szCs w:val="24"/>
        </w:rPr>
        <w:t>El simple consentimiento vertido en el formulario de afiliación es insuficiente. Necesidad de un consentimiento informado</w:t>
      </w:r>
    </w:p>
    <w:p w14:paraId="5B2152AC"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286D7471"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Para el Tribunal el consentimiento informado no es predicable del acto jurídico de traslado, pues basta la consignación en el formulario de que la afiliación se hizo de manera libre y voluntaria.</w:t>
      </w:r>
    </w:p>
    <w:p w14:paraId="0A18D25E"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754B2647"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La Sala considera desacertada esta tesis, en la medida que la firma del formulario, al igual que las afirmaciones consignadas en los formatos preimpresos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5F087298"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62211459"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Sobre el particular, en la sentencia CSJ SI. 19447-2017 la Sala explicó:</w:t>
      </w:r>
    </w:p>
    <w:p w14:paraId="2A168016"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3C3C9918"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7BCA0408"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1009B0B4"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5ECC9E5D"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6AE43FBB"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516DE2FE" w14:textId="77777777" w:rsidR="00B54907" w:rsidRPr="00B23CB4" w:rsidRDefault="22DE3FD5" w:rsidP="00130A70">
      <w:pPr>
        <w:pStyle w:val="Sinespaciado"/>
        <w:spacing w:line="276" w:lineRule="auto"/>
        <w:ind w:firstLine="708"/>
        <w:jc w:val="both"/>
        <w:rPr>
          <w:rFonts w:ascii="Arial" w:hAnsi="Arial" w:cs="Arial"/>
          <w:spacing w:val="2"/>
          <w:szCs w:val="24"/>
        </w:rPr>
      </w:pPr>
      <w:r w:rsidRPr="00B23CB4">
        <w:rPr>
          <w:rFonts w:ascii="Arial" w:eastAsia="Arial Narrow" w:hAnsi="Arial" w:cs="Arial"/>
          <w:spacing w:val="2"/>
          <w:szCs w:val="24"/>
          <w:lang w:val="es"/>
        </w:rPr>
        <w:t xml:space="preserve"> </w:t>
      </w:r>
    </w:p>
    <w:p w14:paraId="37D16531" w14:textId="4A545D8D" w:rsidR="00B54907" w:rsidRPr="00B23CB4" w:rsidRDefault="22DE3FD5"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 xml:space="preserve"> </w:t>
      </w:r>
      <w:r w:rsidRPr="00B23CB4">
        <w:rPr>
          <w:rFonts w:ascii="Arial" w:hAnsi="Arial" w:cs="Arial"/>
          <w:b/>
          <w:bCs/>
          <w:spacing w:val="2"/>
          <w:szCs w:val="24"/>
        </w:rPr>
        <w:t xml:space="preserve">c) </w:t>
      </w:r>
      <w:r w:rsidR="00B54907" w:rsidRPr="00B23CB4">
        <w:rPr>
          <w:rFonts w:ascii="Arial" w:hAnsi="Arial" w:cs="Arial"/>
          <w:b/>
          <w:bCs/>
          <w:spacing w:val="2"/>
          <w:szCs w:val="24"/>
        </w:rPr>
        <w:tab/>
      </w:r>
      <w:r w:rsidRPr="00B23CB4">
        <w:rPr>
          <w:rFonts w:ascii="Arial" w:hAnsi="Arial" w:cs="Arial"/>
          <w:b/>
          <w:bCs/>
          <w:spacing w:val="2"/>
          <w:szCs w:val="24"/>
        </w:rPr>
        <w:t>En cuanto a la carga de la prueba:</w:t>
      </w:r>
      <w:r w:rsidRPr="00B23CB4">
        <w:rPr>
          <w:rFonts w:ascii="Arial" w:hAnsi="Arial" w:cs="Arial"/>
          <w:spacing w:val="2"/>
          <w:szCs w:val="24"/>
        </w:rPr>
        <w:t xml:space="preserve"> También procesalmente, la Corte realiza un enfoque especialísimo, pues invierte la carga de la prueba respecto a ese debido asesoramiento. En la sentencia con radicado 68.838 de 2019 ya mencionada, lo explícita así:</w:t>
      </w:r>
    </w:p>
    <w:p w14:paraId="7723DA8B" w14:textId="77777777" w:rsidR="00B54907" w:rsidRPr="00B23CB4" w:rsidRDefault="00B54907" w:rsidP="00130A70">
      <w:pPr>
        <w:spacing w:line="276" w:lineRule="auto"/>
        <w:jc w:val="both"/>
        <w:rPr>
          <w:rFonts w:ascii="Arial" w:eastAsia="Arial Narrow" w:hAnsi="Arial" w:cs="Arial"/>
          <w:i/>
          <w:iCs/>
          <w:spacing w:val="2"/>
          <w:szCs w:val="24"/>
          <w:lang w:val="es"/>
        </w:rPr>
      </w:pPr>
    </w:p>
    <w:p w14:paraId="35840D38"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w:t>
      </w:r>
      <w:r w:rsidRPr="00B23CB4">
        <w:rPr>
          <w:rFonts w:ascii="Arial" w:hAnsi="Arial" w:cs="Arial"/>
          <w:i/>
          <w:iCs/>
          <w:spacing w:val="2"/>
          <w:sz w:val="22"/>
          <w:szCs w:val="24"/>
        </w:rPr>
        <w:lastRenderedPageBreak/>
        <w:t>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5FBE799" w14:textId="77777777" w:rsidR="00B54907" w:rsidRPr="00B23CB4" w:rsidRDefault="00B54907" w:rsidP="00754E51">
      <w:pPr>
        <w:ind w:left="426" w:right="420"/>
        <w:jc w:val="both"/>
        <w:rPr>
          <w:rFonts w:ascii="Arial" w:hAnsi="Arial" w:cs="Arial"/>
          <w:i/>
          <w:iCs/>
          <w:spacing w:val="2"/>
          <w:sz w:val="22"/>
          <w:szCs w:val="24"/>
        </w:rPr>
      </w:pPr>
    </w:p>
    <w:p w14:paraId="4BF0B2A5"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C024A84"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2EF19D58"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062E0852" w14:textId="77777777" w:rsidR="00B54907" w:rsidRPr="00B23CB4" w:rsidRDefault="00B54907" w:rsidP="00130A70">
      <w:pPr>
        <w:spacing w:line="276" w:lineRule="auto"/>
        <w:jc w:val="both"/>
        <w:rPr>
          <w:rFonts w:ascii="Arial" w:eastAsia="Arial Narrow" w:hAnsi="Arial" w:cs="Arial"/>
          <w:spacing w:val="2"/>
          <w:szCs w:val="24"/>
          <w:lang w:val="es"/>
        </w:rPr>
      </w:pPr>
    </w:p>
    <w:p w14:paraId="5AA67541" w14:textId="77777777" w:rsidR="00B54907" w:rsidRPr="00B23CB4" w:rsidRDefault="22DE3FD5" w:rsidP="00130A70">
      <w:pPr>
        <w:spacing w:line="276" w:lineRule="auto"/>
        <w:ind w:firstLine="708"/>
        <w:jc w:val="both"/>
        <w:rPr>
          <w:rFonts w:ascii="Arial" w:hAnsi="Arial" w:cs="Arial"/>
          <w:spacing w:val="2"/>
          <w:szCs w:val="24"/>
        </w:rPr>
      </w:pPr>
      <w:r w:rsidRPr="00B23CB4">
        <w:rPr>
          <w:rFonts w:ascii="Arial" w:hAnsi="Arial" w:cs="Arial"/>
          <w:b/>
          <w:bCs/>
          <w:spacing w:val="2"/>
          <w:szCs w:val="24"/>
        </w:rPr>
        <w:t xml:space="preserve">d) </w:t>
      </w:r>
      <w:r w:rsidR="00B54907" w:rsidRPr="00B23CB4">
        <w:rPr>
          <w:rFonts w:ascii="Arial" w:hAnsi="Arial" w:cs="Arial"/>
          <w:b/>
          <w:bCs/>
          <w:spacing w:val="2"/>
          <w:szCs w:val="24"/>
        </w:rPr>
        <w:tab/>
      </w:r>
      <w:r w:rsidRPr="00B23CB4">
        <w:rPr>
          <w:rFonts w:ascii="Arial" w:hAnsi="Arial" w:cs="Arial"/>
          <w:b/>
          <w:bCs/>
          <w:spacing w:val="2"/>
          <w:szCs w:val="24"/>
        </w:rPr>
        <w:t>En cuanto al alcance de la ausencia del deber de información y de los nulos efectos que pueden generar las reasesorías posteriores</w:t>
      </w:r>
      <w:r w:rsidRPr="00B23CB4">
        <w:rPr>
          <w:rFonts w:ascii="Arial" w:hAnsi="Arial" w:cs="Arial"/>
          <w:spacing w:val="2"/>
          <w:szCs w:val="24"/>
        </w:rPr>
        <w:t>, quedó dicho en la sentencia SL1688-2019, Rad. 68838, la cual se viene citando in-extenso que:</w:t>
      </w:r>
    </w:p>
    <w:p w14:paraId="3EED2B09" w14:textId="77777777" w:rsidR="00B54907" w:rsidRPr="00B23CB4" w:rsidRDefault="22DE3FD5" w:rsidP="00130A70">
      <w:pPr>
        <w:pStyle w:val="Sinespaciado"/>
        <w:spacing w:line="276" w:lineRule="auto"/>
        <w:rPr>
          <w:rFonts w:ascii="Arial" w:hAnsi="Arial" w:cs="Arial"/>
          <w:spacing w:val="2"/>
          <w:szCs w:val="24"/>
        </w:rPr>
      </w:pPr>
      <w:r w:rsidRPr="00B23CB4">
        <w:rPr>
          <w:rFonts w:ascii="Arial" w:eastAsia="Arial Narrow" w:hAnsi="Arial" w:cs="Arial"/>
          <w:spacing w:val="2"/>
          <w:szCs w:val="24"/>
          <w:lang w:val="es"/>
        </w:rPr>
        <w:t xml:space="preserve">  </w:t>
      </w:r>
    </w:p>
    <w:p w14:paraId="2B98CBBE"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Ahora, si bien la AFP brindó a la actora una reasesoría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FCCF8D7"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15730828"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En primer término, porque el traslado al RAIS implicó la pérdida de los beneficios derivados de la transición al no contar la demandante con 15 años de cotización o servicios a 1. 0 de abril de 1994. Es decir, así se hubiese trasladado la demandante al día siguiente de la reasesoría, de todas formas ya había perdido la transición.</w:t>
      </w:r>
    </w:p>
    <w:p w14:paraId="790C94E9"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72B99931"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536D207"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33243FAB" w14:textId="77777777" w:rsidR="00B54907" w:rsidRPr="00B23CB4" w:rsidRDefault="22DE3FD5"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Por otro lado, no es de recibo el planteo de Protección S.A., cuando sostiene que una vez realizó la reasesoría,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w:t>
      </w:r>
      <w:r w:rsidRPr="00B23CB4">
        <w:rPr>
          <w:rFonts w:ascii="Arial" w:hAnsi="Arial" w:cs="Arial"/>
          <w:i/>
          <w:iCs/>
          <w:spacing w:val="2"/>
          <w:sz w:val="22"/>
          <w:szCs w:val="24"/>
        </w:rPr>
        <w:lastRenderedPageBreak/>
        <w:t>demás, este lapso es razonable, pues dada la relevancia de esta determinación, era natural que la accionante se tomara un tiempo de reflexión, buscara información y consejo profesional para, finalmente, adoptar su elección.</w:t>
      </w:r>
    </w:p>
    <w:p w14:paraId="10AB56E5" w14:textId="77777777" w:rsidR="00B54907" w:rsidRPr="00B23CB4" w:rsidRDefault="00B54907" w:rsidP="00130A70">
      <w:pPr>
        <w:spacing w:line="276" w:lineRule="auto"/>
        <w:ind w:firstLine="708"/>
        <w:jc w:val="both"/>
        <w:rPr>
          <w:rFonts w:ascii="Arial" w:hAnsi="Arial" w:cs="Arial"/>
          <w:spacing w:val="2"/>
          <w:szCs w:val="24"/>
        </w:rPr>
      </w:pPr>
    </w:p>
    <w:p w14:paraId="18314584" w14:textId="77777777" w:rsidR="00B54907" w:rsidRPr="00B23CB4" w:rsidRDefault="22DE3FD5" w:rsidP="00130A70">
      <w:pPr>
        <w:spacing w:line="276" w:lineRule="auto"/>
        <w:jc w:val="both"/>
        <w:rPr>
          <w:rFonts w:ascii="Arial" w:hAnsi="Arial" w:cs="Arial"/>
          <w:spacing w:val="2"/>
          <w:szCs w:val="24"/>
        </w:rPr>
      </w:pPr>
      <w:r w:rsidRPr="00B23CB4">
        <w:rPr>
          <w:rFonts w:ascii="Arial" w:hAnsi="Arial" w:cs="Arial"/>
          <w:spacing w:val="2"/>
          <w:szCs w:val="24"/>
        </w:rPr>
        <w:t>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540AEE55" w14:textId="77777777" w:rsidR="003B3197" w:rsidRPr="00B23CB4" w:rsidRDefault="003B3197" w:rsidP="00130A70">
      <w:pPr>
        <w:spacing w:line="276" w:lineRule="auto"/>
        <w:ind w:firstLine="708"/>
        <w:jc w:val="both"/>
        <w:rPr>
          <w:rFonts w:ascii="Arial" w:hAnsi="Arial" w:cs="Arial"/>
          <w:spacing w:val="2"/>
          <w:szCs w:val="24"/>
        </w:rPr>
      </w:pPr>
    </w:p>
    <w:p w14:paraId="42662020" w14:textId="77777777" w:rsidR="003B3197" w:rsidRPr="00B23CB4" w:rsidRDefault="4653F458" w:rsidP="00130A70">
      <w:pPr>
        <w:pStyle w:val="Sinespaciado"/>
        <w:spacing w:line="276" w:lineRule="auto"/>
        <w:ind w:firstLine="708"/>
        <w:rPr>
          <w:rFonts w:ascii="Arial" w:hAnsi="Arial" w:cs="Arial"/>
          <w:b/>
          <w:bCs/>
          <w:spacing w:val="2"/>
          <w:szCs w:val="24"/>
        </w:rPr>
      </w:pPr>
      <w:r w:rsidRPr="00B23CB4">
        <w:rPr>
          <w:rFonts w:ascii="Arial" w:hAnsi="Arial" w:cs="Arial"/>
          <w:b/>
          <w:bCs/>
          <w:spacing w:val="2"/>
          <w:szCs w:val="24"/>
        </w:rPr>
        <w:t>5.4.</w:t>
      </w:r>
      <w:r w:rsidR="003B3197" w:rsidRPr="00B23CB4">
        <w:rPr>
          <w:rFonts w:ascii="Arial" w:hAnsi="Arial" w:cs="Arial"/>
          <w:b/>
          <w:bCs/>
          <w:spacing w:val="2"/>
          <w:szCs w:val="24"/>
        </w:rPr>
        <w:tab/>
      </w:r>
      <w:r w:rsidRPr="00B23CB4">
        <w:rPr>
          <w:rFonts w:ascii="Arial" w:hAnsi="Arial" w:cs="Arial"/>
          <w:b/>
          <w:bCs/>
          <w:spacing w:val="2"/>
          <w:szCs w:val="24"/>
        </w:rPr>
        <w:t>Caso concreto</w:t>
      </w:r>
    </w:p>
    <w:p w14:paraId="62EB3F05" w14:textId="77777777" w:rsidR="003B3197" w:rsidRPr="00B23CB4" w:rsidRDefault="003B3197" w:rsidP="00130A70">
      <w:pPr>
        <w:pStyle w:val="Sinespaciado"/>
        <w:spacing w:line="276" w:lineRule="auto"/>
        <w:rPr>
          <w:rFonts w:ascii="Arial" w:hAnsi="Arial" w:cs="Arial"/>
          <w:spacing w:val="2"/>
          <w:szCs w:val="24"/>
        </w:rPr>
      </w:pPr>
    </w:p>
    <w:p w14:paraId="75DD8305" w14:textId="7910799A" w:rsidR="003B3197" w:rsidRPr="00B23CB4" w:rsidRDefault="4653F458" w:rsidP="00130A70">
      <w:pPr>
        <w:spacing w:line="276" w:lineRule="auto"/>
        <w:ind w:firstLine="708"/>
        <w:jc w:val="both"/>
        <w:rPr>
          <w:rFonts w:ascii="Arial" w:hAnsi="Arial" w:cs="Arial"/>
          <w:spacing w:val="2"/>
          <w:szCs w:val="24"/>
        </w:rPr>
      </w:pPr>
      <w:r w:rsidRPr="00B23CB4">
        <w:rPr>
          <w:rFonts w:ascii="Arial" w:hAnsi="Arial" w:cs="Arial"/>
          <w:spacing w:val="2"/>
          <w:szCs w:val="24"/>
        </w:rPr>
        <w:t xml:space="preserve">Fuera de toda discusión, por existir plena prueba de ello, está que (i) la demandante nació el 1° de </w:t>
      </w:r>
      <w:r w:rsidR="51B8AD6A" w:rsidRPr="00B23CB4">
        <w:rPr>
          <w:rFonts w:ascii="Arial" w:hAnsi="Arial" w:cs="Arial"/>
          <w:spacing w:val="2"/>
          <w:szCs w:val="24"/>
        </w:rPr>
        <w:t>septiembre de 1961</w:t>
      </w:r>
      <w:r w:rsidRPr="00B23CB4">
        <w:rPr>
          <w:rFonts w:ascii="Arial" w:hAnsi="Arial" w:cs="Arial"/>
          <w:spacing w:val="2"/>
          <w:szCs w:val="24"/>
        </w:rPr>
        <w:t xml:space="preserve"> (</w:t>
      </w:r>
      <w:proofErr w:type="spellStart"/>
      <w:r w:rsidRPr="00B23CB4">
        <w:rPr>
          <w:rFonts w:ascii="Arial" w:hAnsi="Arial" w:cs="Arial"/>
          <w:spacing w:val="2"/>
          <w:szCs w:val="24"/>
        </w:rPr>
        <w:t>fl</w:t>
      </w:r>
      <w:proofErr w:type="spellEnd"/>
      <w:r w:rsidRPr="00B23CB4">
        <w:rPr>
          <w:rFonts w:ascii="Arial" w:hAnsi="Arial" w:cs="Arial"/>
          <w:spacing w:val="2"/>
          <w:szCs w:val="24"/>
        </w:rPr>
        <w:t>.</w:t>
      </w:r>
      <w:r w:rsidR="00477157">
        <w:rPr>
          <w:rFonts w:ascii="Arial" w:hAnsi="Arial" w:cs="Arial"/>
          <w:spacing w:val="2"/>
          <w:szCs w:val="24"/>
        </w:rPr>
        <w:t xml:space="preserve"> </w:t>
      </w:r>
      <w:r w:rsidRPr="00B23CB4">
        <w:rPr>
          <w:rFonts w:ascii="Arial" w:hAnsi="Arial" w:cs="Arial"/>
          <w:spacing w:val="2"/>
          <w:szCs w:val="24"/>
        </w:rPr>
        <w:t>3</w:t>
      </w:r>
      <w:r w:rsidR="51B8AD6A" w:rsidRPr="00B23CB4">
        <w:rPr>
          <w:rFonts w:ascii="Arial" w:hAnsi="Arial" w:cs="Arial"/>
          <w:spacing w:val="2"/>
          <w:szCs w:val="24"/>
        </w:rPr>
        <w:t>1</w:t>
      </w:r>
      <w:r w:rsidRPr="00B23CB4">
        <w:rPr>
          <w:rFonts w:ascii="Arial" w:hAnsi="Arial" w:cs="Arial"/>
          <w:spacing w:val="2"/>
          <w:szCs w:val="24"/>
        </w:rPr>
        <w:t>); (ii)</w:t>
      </w:r>
      <w:r w:rsidR="770A2E25" w:rsidRPr="00B23CB4">
        <w:rPr>
          <w:rFonts w:ascii="Arial" w:hAnsi="Arial" w:cs="Arial"/>
          <w:spacing w:val="2"/>
          <w:szCs w:val="24"/>
        </w:rPr>
        <w:t xml:space="preserve"> que el 3 de marzo de 1986 </w:t>
      </w:r>
      <w:r w:rsidRPr="00B23CB4">
        <w:rPr>
          <w:rFonts w:ascii="Arial" w:hAnsi="Arial" w:cs="Arial"/>
          <w:spacing w:val="2"/>
          <w:szCs w:val="24"/>
        </w:rPr>
        <w:t xml:space="preserve">se afilió al Instituto de Seguros Sociales (hoy Colpensiones) y que el </w:t>
      </w:r>
      <w:r w:rsidR="770A2E25" w:rsidRPr="00B23CB4">
        <w:rPr>
          <w:rFonts w:ascii="Arial" w:hAnsi="Arial" w:cs="Arial"/>
          <w:spacing w:val="2"/>
          <w:szCs w:val="24"/>
        </w:rPr>
        <w:t xml:space="preserve">22 de julio de 1997 </w:t>
      </w:r>
      <w:r w:rsidRPr="00B23CB4">
        <w:rPr>
          <w:rFonts w:ascii="Arial" w:hAnsi="Arial" w:cs="Arial"/>
          <w:spacing w:val="2"/>
          <w:szCs w:val="24"/>
        </w:rPr>
        <w:t xml:space="preserve">suscribió formulario de afiliación con </w:t>
      </w:r>
      <w:r w:rsidR="44F99A0D" w:rsidRPr="00B23CB4">
        <w:rPr>
          <w:rFonts w:ascii="Arial" w:hAnsi="Arial" w:cs="Arial"/>
          <w:spacing w:val="2"/>
          <w:szCs w:val="24"/>
        </w:rPr>
        <w:t>Colmena AIG Pe</w:t>
      </w:r>
      <w:r w:rsidR="770A2E25" w:rsidRPr="00B23CB4">
        <w:rPr>
          <w:rFonts w:ascii="Arial" w:hAnsi="Arial" w:cs="Arial"/>
          <w:spacing w:val="2"/>
          <w:szCs w:val="24"/>
        </w:rPr>
        <w:t>nsiones y Cesantías</w:t>
      </w:r>
      <w:r w:rsidR="1BB70504" w:rsidRPr="00B23CB4">
        <w:rPr>
          <w:rFonts w:ascii="Arial" w:hAnsi="Arial" w:cs="Arial"/>
          <w:spacing w:val="2"/>
          <w:szCs w:val="24"/>
        </w:rPr>
        <w:t xml:space="preserve"> hoy Protección S.A.</w:t>
      </w:r>
      <w:r w:rsidRPr="00B23CB4">
        <w:rPr>
          <w:rFonts w:ascii="Arial" w:hAnsi="Arial" w:cs="Arial"/>
          <w:spacing w:val="2"/>
          <w:szCs w:val="24"/>
        </w:rPr>
        <w:t xml:space="preserve">, trasladándose </w:t>
      </w:r>
      <w:r w:rsidR="00477157">
        <w:rPr>
          <w:rFonts w:ascii="Arial" w:hAnsi="Arial" w:cs="Arial"/>
          <w:spacing w:val="2"/>
          <w:szCs w:val="24"/>
        </w:rPr>
        <w:t>con ello al</w:t>
      </w:r>
      <w:bookmarkStart w:id="1" w:name="_GoBack"/>
      <w:bookmarkEnd w:id="1"/>
      <w:r w:rsidRPr="00B23CB4">
        <w:rPr>
          <w:rFonts w:ascii="Arial" w:hAnsi="Arial" w:cs="Arial"/>
          <w:spacing w:val="2"/>
          <w:szCs w:val="24"/>
        </w:rPr>
        <w:t xml:space="preserve"> Régimen de Ahorro Individual</w:t>
      </w:r>
      <w:r w:rsidR="770A2E25" w:rsidRPr="00B23CB4">
        <w:rPr>
          <w:rFonts w:ascii="Arial" w:hAnsi="Arial" w:cs="Arial"/>
          <w:spacing w:val="2"/>
          <w:szCs w:val="24"/>
        </w:rPr>
        <w:t xml:space="preserve"> (</w:t>
      </w:r>
      <w:proofErr w:type="spellStart"/>
      <w:r w:rsidR="770A2E25" w:rsidRPr="00B23CB4">
        <w:rPr>
          <w:rFonts w:ascii="Arial" w:hAnsi="Arial" w:cs="Arial"/>
          <w:spacing w:val="2"/>
          <w:szCs w:val="24"/>
        </w:rPr>
        <w:t>fl</w:t>
      </w:r>
      <w:proofErr w:type="spellEnd"/>
      <w:r w:rsidR="770A2E25" w:rsidRPr="00B23CB4">
        <w:rPr>
          <w:rFonts w:ascii="Arial" w:hAnsi="Arial" w:cs="Arial"/>
          <w:spacing w:val="2"/>
          <w:szCs w:val="24"/>
        </w:rPr>
        <w:t>.</w:t>
      </w:r>
      <w:r w:rsidR="00477157">
        <w:rPr>
          <w:rFonts w:ascii="Arial" w:hAnsi="Arial" w:cs="Arial"/>
          <w:spacing w:val="2"/>
          <w:szCs w:val="24"/>
        </w:rPr>
        <w:t xml:space="preserve"> </w:t>
      </w:r>
      <w:r w:rsidR="42117FFF" w:rsidRPr="00B23CB4">
        <w:rPr>
          <w:rFonts w:ascii="Arial" w:hAnsi="Arial" w:cs="Arial"/>
          <w:spacing w:val="2"/>
          <w:szCs w:val="24"/>
        </w:rPr>
        <w:t xml:space="preserve">173 </w:t>
      </w:r>
      <w:r w:rsidRPr="00B23CB4">
        <w:rPr>
          <w:rFonts w:ascii="Arial" w:hAnsi="Arial" w:cs="Arial"/>
          <w:spacing w:val="2"/>
          <w:szCs w:val="24"/>
        </w:rPr>
        <w:t xml:space="preserve">y </w:t>
      </w:r>
      <w:proofErr w:type="spellStart"/>
      <w:r w:rsidRPr="00B23CB4">
        <w:rPr>
          <w:rFonts w:ascii="Arial" w:hAnsi="Arial" w:cs="Arial"/>
          <w:spacing w:val="2"/>
          <w:szCs w:val="24"/>
        </w:rPr>
        <w:t>ss</w:t>
      </w:r>
      <w:proofErr w:type="spellEnd"/>
      <w:r w:rsidRPr="00B23CB4">
        <w:rPr>
          <w:rFonts w:ascii="Arial" w:hAnsi="Arial" w:cs="Arial"/>
          <w:spacing w:val="2"/>
          <w:szCs w:val="24"/>
        </w:rPr>
        <w:t xml:space="preserve">) y (iii) que al </w:t>
      </w:r>
      <w:r w:rsidR="42117FFF" w:rsidRPr="00B23CB4">
        <w:rPr>
          <w:rFonts w:ascii="Arial" w:hAnsi="Arial" w:cs="Arial"/>
          <w:spacing w:val="2"/>
          <w:szCs w:val="24"/>
        </w:rPr>
        <w:t xml:space="preserve">27 de agosto de 2018 reportaba </w:t>
      </w:r>
      <w:r w:rsidRPr="00B23CB4">
        <w:rPr>
          <w:rFonts w:ascii="Arial" w:hAnsi="Arial" w:cs="Arial"/>
          <w:spacing w:val="2"/>
          <w:szCs w:val="24"/>
        </w:rPr>
        <w:t>un total de</w:t>
      </w:r>
      <w:r w:rsidR="42117FFF" w:rsidRPr="00B23CB4">
        <w:rPr>
          <w:rFonts w:ascii="Arial" w:hAnsi="Arial" w:cs="Arial"/>
          <w:spacing w:val="2"/>
          <w:szCs w:val="24"/>
        </w:rPr>
        <w:t xml:space="preserve"> 1507,58 </w:t>
      </w:r>
      <w:r w:rsidRPr="00B23CB4">
        <w:rPr>
          <w:rFonts w:ascii="Arial" w:hAnsi="Arial" w:cs="Arial"/>
          <w:spacing w:val="2"/>
          <w:szCs w:val="24"/>
        </w:rPr>
        <w:t>semanas de aportes al sistema pensional, entre cotizaciones al Régimen de Prima Media y el Régimen de ahorro Individual (</w:t>
      </w:r>
      <w:proofErr w:type="spellStart"/>
      <w:r w:rsidRPr="00B23CB4">
        <w:rPr>
          <w:rFonts w:ascii="Arial" w:hAnsi="Arial" w:cs="Arial"/>
          <w:spacing w:val="2"/>
          <w:szCs w:val="24"/>
        </w:rPr>
        <w:t>fl</w:t>
      </w:r>
      <w:proofErr w:type="spellEnd"/>
      <w:r w:rsidRPr="00B23CB4">
        <w:rPr>
          <w:rFonts w:ascii="Arial" w:hAnsi="Arial" w:cs="Arial"/>
          <w:spacing w:val="2"/>
          <w:szCs w:val="24"/>
        </w:rPr>
        <w:t>.</w:t>
      </w:r>
      <w:r w:rsidR="00477157">
        <w:rPr>
          <w:rFonts w:ascii="Arial" w:hAnsi="Arial" w:cs="Arial"/>
          <w:spacing w:val="2"/>
          <w:szCs w:val="24"/>
        </w:rPr>
        <w:t xml:space="preserve"> </w:t>
      </w:r>
      <w:r w:rsidR="42117FFF" w:rsidRPr="00B23CB4">
        <w:rPr>
          <w:rFonts w:ascii="Arial" w:hAnsi="Arial" w:cs="Arial"/>
          <w:spacing w:val="2"/>
          <w:szCs w:val="24"/>
        </w:rPr>
        <w:t>178</w:t>
      </w:r>
      <w:r w:rsidRPr="00B23CB4">
        <w:rPr>
          <w:rFonts w:ascii="Arial" w:hAnsi="Arial" w:cs="Arial"/>
          <w:spacing w:val="2"/>
          <w:szCs w:val="24"/>
        </w:rPr>
        <w:t>).</w:t>
      </w:r>
    </w:p>
    <w:p w14:paraId="4DF85FB6" w14:textId="77777777" w:rsidR="00D55738" w:rsidRPr="00B23CB4" w:rsidRDefault="00D55738" w:rsidP="00130A70">
      <w:pPr>
        <w:spacing w:line="276" w:lineRule="auto"/>
        <w:ind w:firstLine="708"/>
        <w:jc w:val="both"/>
        <w:rPr>
          <w:rFonts w:ascii="Arial" w:hAnsi="Arial" w:cs="Arial"/>
          <w:spacing w:val="2"/>
          <w:szCs w:val="24"/>
        </w:rPr>
      </w:pPr>
    </w:p>
    <w:p w14:paraId="4ED743A6" w14:textId="22DC8799" w:rsidR="00BC7B25" w:rsidRPr="00B23CB4" w:rsidRDefault="51B1FD19"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 xml:space="preserve">Conviene </w:t>
      </w:r>
      <w:r w:rsidR="207CC4AB" w:rsidRPr="00B23CB4">
        <w:rPr>
          <w:rFonts w:ascii="Arial" w:hAnsi="Arial" w:cs="Arial"/>
          <w:spacing w:val="2"/>
          <w:szCs w:val="24"/>
        </w:rPr>
        <w:t xml:space="preserve">recordar </w:t>
      </w:r>
      <w:r w:rsidRPr="00B23CB4">
        <w:rPr>
          <w:rFonts w:ascii="Arial" w:hAnsi="Arial" w:cs="Arial"/>
          <w:spacing w:val="2"/>
          <w:szCs w:val="24"/>
        </w:rPr>
        <w:t xml:space="preserve">que para motivar su decisión, la A-quo adujo en síntesis que </w:t>
      </w:r>
      <w:r w:rsidR="1BB70504" w:rsidRPr="00B23CB4">
        <w:rPr>
          <w:rFonts w:ascii="Arial" w:hAnsi="Arial" w:cs="Arial"/>
          <w:spacing w:val="2"/>
          <w:szCs w:val="24"/>
        </w:rPr>
        <w:t>la AFP Protección S.A.</w:t>
      </w:r>
      <w:r w:rsidRPr="00B23CB4">
        <w:rPr>
          <w:rFonts w:ascii="Arial" w:hAnsi="Arial" w:cs="Arial"/>
          <w:spacing w:val="2"/>
          <w:szCs w:val="24"/>
        </w:rPr>
        <w:t xml:space="preserve">, </w:t>
      </w:r>
      <w:r w:rsidR="1BB70504" w:rsidRPr="00B23CB4">
        <w:rPr>
          <w:rFonts w:ascii="Arial" w:hAnsi="Arial" w:cs="Arial"/>
          <w:spacing w:val="2"/>
          <w:szCs w:val="24"/>
        </w:rPr>
        <w:t>entidad en quien recaía la carga de la prueba</w:t>
      </w:r>
      <w:r w:rsidRPr="00B23CB4">
        <w:rPr>
          <w:rFonts w:ascii="Arial" w:hAnsi="Arial" w:cs="Arial"/>
          <w:spacing w:val="2"/>
          <w:szCs w:val="24"/>
        </w:rPr>
        <w:t xml:space="preserve"> -</w:t>
      </w:r>
      <w:r w:rsidR="1BB70504" w:rsidRPr="00B23CB4">
        <w:rPr>
          <w:rFonts w:ascii="Arial" w:hAnsi="Arial" w:cs="Arial"/>
          <w:spacing w:val="2"/>
          <w:szCs w:val="24"/>
        </w:rPr>
        <w:t xml:space="preserve"> </w:t>
      </w:r>
      <w:r w:rsidRPr="00B23CB4">
        <w:rPr>
          <w:rFonts w:ascii="Arial" w:hAnsi="Arial" w:cs="Arial"/>
          <w:spacing w:val="2"/>
          <w:szCs w:val="24"/>
        </w:rPr>
        <w:t>no demostró haber proporcionado a la demandante una información completa y adecuada que le permitiera tomar una decisión libre y voluntaria.</w:t>
      </w:r>
    </w:p>
    <w:p w14:paraId="334B10D8" w14:textId="77777777" w:rsidR="00BC7B25" w:rsidRPr="00B23CB4" w:rsidRDefault="00BC7B25" w:rsidP="00130A70">
      <w:pPr>
        <w:pStyle w:val="Sinespaciado"/>
        <w:spacing w:line="276" w:lineRule="auto"/>
        <w:ind w:firstLine="708"/>
        <w:jc w:val="both"/>
        <w:rPr>
          <w:rFonts w:ascii="Arial" w:hAnsi="Arial" w:cs="Arial"/>
          <w:spacing w:val="2"/>
          <w:szCs w:val="24"/>
        </w:rPr>
      </w:pPr>
    </w:p>
    <w:p w14:paraId="41FC981C" w14:textId="296B147C" w:rsidR="00CD039F" w:rsidRPr="00B23CB4" w:rsidRDefault="1BBD6F0B"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 xml:space="preserve">En el recurso de alzada, la </w:t>
      </w:r>
      <w:proofErr w:type="spellStart"/>
      <w:r w:rsidRPr="00B23CB4">
        <w:rPr>
          <w:rFonts w:ascii="Arial" w:hAnsi="Arial" w:cs="Arial"/>
          <w:spacing w:val="2"/>
          <w:szCs w:val="24"/>
        </w:rPr>
        <w:t>co</w:t>
      </w:r>
      <w:proofErr w:type="spellEnd"/>
      <w:r w:rsidRPr="00B23CB4">
        <w:rPr>
          <w:rFonts w:ascii="Arial" w:hAnsi="Arial" w:cs="Arial"/>
          <w:spacing w:val="2"/>
          <w:szCs w:val="24"/>
        </w:rPr>
        <w:t xml:space="preserve"> demandada Colpensiones </w:t>
      </w:r>
      <w:r w:rsidR="6203B11F" w:rsidRPr="00B23CB4">
        <w:rPr>
          <w:rFonts w:ascii="Arial" w:hAnsi="Arial" w:cs="Arial"/>
          <w:spacing w:val="2"/>
          <w:szCs w:val="24"/>
        </w:rPr>
        <w:t>cuestionó</w:t>
      </w:r>
      <w:r w:rsidRPr="00B23CB4">
        <w:rPr>
          <w:rFonts w:ascii="Arial" w:hAnsi="Arial" w:cs="Arial"/>
          <w:spacing w:val="2"/>
          <w:szCs w:val="24"/>
        </w:rPr>
        <w:t xml:space="preserve"> </w:t>
      </w:r>
      <w:r w:rsidR="28EFD39F" w:rsidRPr="00B23CB4">
        <w:rPr>
          <w:rFonts w:ascii="Arial" w:hAnsi="Arial" w:cs="Arial"/>
          <w:spacing w:val="2"/>
          <w:szCs w:val="24"/>
        </w:rPr>
        <w:t>dicho razonamiento</w:t>
      </w:r>
      <w:r w:rsidRPr="00B23CB4">
        <w:rPr>
          <w:rFonts w:ascii="Arial" w:hAnsi="Arial" w:cs="Arial"/>
          <w:spacing w:val="2"/>
          <w:szCs w:val="24"/>
        </w:rPr>
        <w:t xml:space="preserve">, </w:t>
      </w:r>
      <w:r w:rsidR="6203B11F" w:rsidRPr="00B23CB4">
        <w:rPr>
          <w:rFonts w:ascii="Arial" w:hAnsi="Arial" w:cs="Arial"/>
          <w:spacing w:val="2"/>
          <w:szCs w:val="24"/>
        </w:rPr>
        <w:t xml:space="preserve">entre otros, </w:t>
      </w:r>
      <w:r w:rsidRPr="00B23CB4">
        <w:rPr>
          <w:rFonts w:ascii="Arial" w:hAnsi="Arial" w:cs="Arial"/>
          <w:spacing w:val="2"/>
          <w:szCs w:val="24"/>
        </w:rPr>
        <w:t xml:space="preserve">al considerar que la demandante es quien tiene la carga de probar el engaño o inducción a error que alega en la demanda, </w:t>
      </w:r>
      <w:r w:rsidR="28EFD39F" w:rsidRPr="00B23CB4">
        <w:rPr>
          <w:rFonts w:ascii="Arial" w:hAnsi="Arial" w:cs="Arial"/>
          <w:spacing w:val="2"/>
          <w:szCs w:val="24"/>
        </w:rPr>
        <w:t xml:space="preserve">pues no era beneficiaria del régimen de transición al momento del traslado de régimen, </w:t>
      </w:r>
      <w:r w:rsidRPr="00B23CB4">
        <w:rPr>
          <w:rFonts w:ascii="Arial" w:hAnsi="Arial" w:cs="Arial"/>
          <w:spacing w:val="2"/>
          <w:szCs w:val="24"/>
        </w:rPr>
        <w:t>circunstancia que a su j</w:t>
      </w:r>
      <w:r w:rsidR="28EFD39F" w:rsidRPr="00B23CB4">
        <w:rPr>
          <w:rFonts w:ascii="Arial" w:hAnsi="Arial" w:cs="Arial"/>
          <w:spacing w:val="2"/>
          <w:szCs w:val="24"/>
        </w:rPr>
        <w:t xml:space="preserve">uicio, </w:t>
      </w:r>
      <w:r w:rsidRPr="00B23CB4">
        <w:rPr>
          <w:rFonts w:ascii="Arial" w:hAnsi="Arial" w:cs="Arial"/>
          <w:spacing w:val="2"/>
          <w:szCs w:val="24"/>
        </w:rPr>
        <w:t xml:space="preserve">no se probó puesto que </w:t>
      </w:r>
      <w:r w:rsidR="28EFD39F" w:rsidRPr="00B23CB4">
        <w:rPr>
          <w:rFonts w:ascii="Arial" w:hAnsi="Arial" w:cs="Arial"/>
          <w:spacing w:val="2"/>
          <w:szCs w:val="24"/>
        </w:rPr>
        <w:t xml:space="preserve">aquella </w:t>
      </w:r>
      <w:r w:rsidRPr="00B23CB4">
        <w:rPr>
          <w:rFonts w:ascii="Arial" w:hAnsi="Arial" w:cs="Arial"/>
          <w:spacing w:val="2"/>
          <w:szCs w:val="24"/>
        </w:rPr>
        <w:t xml:space="preserve">se limitó a indicar las particularidades del régimen de ahorro individual y decir que el </w:t>
      </w:r>
      <w:r w:rsidR="6203B11F" w:rsidRPr="00B23CB4">
        <w:rPr>
          <w:rFonts w:ascii="Arial" w:hAnsi="Arial" w:cs="Arial"/>
          <w:spacing w:val="2"/>
          <w:szCs w:val="24"/>
        </w:rPr>
        <w:t>Instituto de Seguros Sociales se</w:t>
      </w:r>
      <w:r w:rsidRPr="00B23CB4">
        <w:rPr>
          <w:rFonts w:ascii="Arial" w:hAnsi="Arial" w:cs="Arial"/>
          <w:spacing w:val="2"/>
          <w:szCs w:val="24"/>
        </w:rPr>
        <w:t xml:space="preserve"> iba a acabar. </w:t>
      </w:r>
    </w:p>
    <w:p w14:paraId="78AF2BE2" w14:textId="7F5B6205" w:rsidR="52B31FC5" w:rsidRPr="00B23CB4" w:rsidRDefault="52B31FC5" w:rsidP="00130A70">
      <w:pPr>
        <w:pStyle w:val="Sinespaciado"/>
        <w:spacing w:line="276" w:lineRule="auto"/>
        <w:ind w:firstLine="708"/>
        <w:jc w:val="both"/>
        <w:rPr>
          <w:rFonts w:ascii="Arial" w:hAnsi="Arial" w:cs="Arial"/>
          <w:spacing w:val="2"/>
          <w:szCs w:val="24"/>
        </w:rPr>
      </w:pPr>
    </w:p>
    <w:p w14:paraId="318A840B" w14:textId="014AC22A" w:rsidR="003B3197" w:rsidRPr="00B23CB4" w:rsidRDefault="1BBD6F0B"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Para resolver</w:t>
      </w:r>
      <w:r w:rsidR="51B1FD19" w:rsidRPr="00B23CB4">
        <w:rPr>
          <w:rFonts w:ascii="Arial" w:hAnsi="Arial" w:cs="Arial"/>
          <w:spacing w:val="2"/>
          <w:szCs w:val="24"/>
        </w:rPr>
        <w:t xml:space="preserve">, se revisa el material probatorio, encontrando que la administradora de fondos de pensiones </w:t>
      </w:r>
      <w:r w:rsidR="4653F458" w:rsidRPr="00B23CB4">
        <w:rPr>
          <w:rFonts w:ascii="Arial" w:hAnsi="Arial" w:cs="Arial"/>
          <w:spacing w:val="2"/>
          <w:szCs w:val="24"/>
        </w:rPr>
        <w:t>P</w:t>
      </w:r>
      <w:r w:rsidR="51B1FD19" w:rsidRPr="00B23CB4">
        <w:rPr>
          <w:rFonts w:ascii="Arial" w:hAnsi="Arial" w:cs="Arial"/>
          <w:spacing w:val="2"/>
          <w:szCs w:val="24"/>
        </w:rPr>
        <w:t>ROTECCIÓN S</w:t>
      </w:r>
      <w:r w:rsidR="4653F458" w:rsidRPr="00B23CB4">
        <w:rPr>
          <w:rFonts w:ascii="Arial" w:hAnsi="Arial" w:cs="Arial"/>
          <w:spacing w:val="2"/>
          <w:szCs w:val="24"/>
        </w:rPr>
        <w:t xml:space="preserve">.A., buscó demostrar su diligencia y cuidado con pruebas de naturaleza documental y con la declaración de parte de la demandante. Respecto de las primeras ha de decirse que constan en los folios </w:t>
      </w:r>
      <w:r w:rsidR="44F99A0D" w:rsidRPr="00B23CB4">
        <w:rPr>
          <w:rFonts w:ascii="Arial" w:hAnsi="Arial" w:cs="Arial"/>
          <w:spacing w:val="2"/>
          <w:szCs w:val="24"/>
        </w:rPr>
        <w:t>173</w:t>
      </w:r>
      <w:r w:rsidR="4653F458" w:rsidRPr="00B23CB4">
        <w:rPr>
          <w:rFonts w:ascii="Arial" w:hAnsi="Arial" w:cs="Arial"/>
          <w:spacing w:val="2"/>
          <w:szCs w:val="24"/>
        </w:rPr>
        <w:t xml:space="preserve"> a 1</w:t>
      </w:r>
      <w:r w:rsidR="44F99A0D" w:rsidRPr="00B23CB4">
        <w:rPr>
          <w:rFonts w:ascii="Arial" w:hAnsi="Arial" w:cs="Arial"/>
          <w:spacing w:val="2"/>
          <w:szCs w:val="24"/>
        </w:rPr>
        <w:t>99</w:t>
      </w:r>
      <w:r w:rsidR="4653F458" w:rsidRPr="00B23CB4">
        <w:rPr>
          <w:rFonts w:ascii="Arial" w:hAnsi="Arial" w:cs="Arial"/>
          <w:spacing w:val="2"/>
          <w:szCs w:val="24"/>
        </w:rPr>
        <w:t xml:space="preserve">, consistentes entre otros en el </w:t>
      </w:r>
      <w:r w:rsidR="44F99A0D" w:rsidRPr="00B23CB4">
        <w:rPr>
          <w:rFonts w:ascii="Arial" w:hAnsi="Arial" w:cs="Arial"/>
          <w:spacing w:val="2"/>
          <w:szCs w:val="24"/>
        </w:rPr>
        <w:t xml:space="preserve">formato de </w:t>
      </w:r>
      <w:r w:rsidR="6B3FD391" w:rsidRPr="00B23CB4">
        <w:rPr>
          <w:rFonts w:ascii="Arial" w:hAnsi="Arial" w:cs="Arial"/>
          <w:spacing w:val="2"/>
          <w:szCs w:val="24"/>
        </w:rPr>
        <w:t>afiliación</w:t>
      </w:r>
      <w:r w:rsidR="44F99A0D" w:rsidRPr="00B23CB4">
        <w:rPr>
          <w:rFonts w:ascii="Arial" w:hAnsi="Arial" w:cs="Arial"/>
          <w:spacing w:val="2"/>
          <w:szCs w:val="24"/>
        </w:rPr>
        <w:t xml:space="preserve"> </w:t>
      </w:r>
      <w:r w:rsidR="51B1FD19" w:rsidRPr="00B23CB4">
        <w:rPr>
          <w:rFonts w:ascii="Arial" w:hAnsi="Arial" w:cs="Arial"/>
          <w:spacing w:val="2"/>
          <w:szCs w:val="24"/>
        </w:rPr>
        <w:t xml:space="preserve">inicial a </w:t>
      </w:r>
      <w:r w:rsidR="6B3FD391" w:rsidRPr="00B23CB4">
        <w:rPr>
          <w:rFonts w:ascii="Arial" w:hAnsi="Arial" w:cs="Arial"/>
          <w:spacing w:val="2"/>
          <w:szCs w:val="24"/>
        </w:rPr>
        <w:t xml:space="preserve">Colmena AIG, certificación de afiliación, </w:t>
      </w:r>
      <w:r w:rsidR="4653F458" w:rsidRPr="00B23CB4">
        <w:rPr>
          <w:rFonts w:ascii="Arial" w:hAnsi="Arial" w:cs="Arial"/>
          <w:spacing w:val="2"/>
          <w:szCs w:val="24"/>
        </w:rPr>
        <w:t xml:space="preserve">historial de vinculaciones, el </w:t>
      </w:r>
      <w:r w:rsidR="6B3FD391" w:rsidRPr="00B23CB4">
        <w:rPr>
          <w:rFonts w:ascii="Arial" w:hAnsi="Arial" w:cs="Arial"/>
          <w:spacing w:val="2"/>
          <w:szCs w:val="24"/>
        </w:rPr>
        <w:t xml:space="preserve">resumen e información de historia laboral, el histórico de aportes, las peticiones presentadas por la afiliada y sus respectivas respuestas y sendos comunicados de prensa.  </w:t>
      </w:r>
    </w:p>
    <w:p w14:paraId="29F85710" w14:textId="77777777" w:rsidR="00AC7832" w:rsidRPr="00B23CB4" w:rsidRDefault="00AC7832" w:rsidP="00130A70">
      <w:pPr>
        <w:pStyle w:val="Sinespaciado"/>
        <w:spacing w:line="276" w:lineRule="auto"/>
        <w:ind w:firstLine="708"/>
        <w:jc w:val="both"/>
        <w:rPr>
          <w:rFonts w:ascii="Arial" w:hAnsi="Arial" w:cs="Arial"/>
          <w:spacing w:val="2"/>
          <w:szCs w:val="24"/>
        </w:rPr>
      </w:pPr>
    </w:p>
    <w:p w14:paraId="4D287939" w14:textId="77777777" w:rsidR="006735D5" w:rsidRPr="00B23CB4" w:rsidRDefault="470BC1A9" w:rsidP="00130A70">
      <w:pPr>
        <w:shd w:val="clear" w:color="auto" w:fill="FFFFFF" w:themeFill="background1"/>
        <w:spacing w:line="276" w:lineRule="auto"/>
        <w:ind w:firstLine="708"/>
        <w:jc w:val="both"/>
        <w:rPr>
          <w:rFonts w:ascii="Arial" w:hAnsi="Arial" w:cs="Arial"/>
          <w:spacing w:val="2"/>
          <w:szCs w:val="24"/>
        </w:rPr>
      </w:pPr>
      <w:r w:rsidRPr="00B23CB4">
        <w:rPr>
          <w:rFonts w:ascii="Arial" w:hAnsi="Arial" w:cs="Arial"/>
          <w:spacing w:val="2"/>
          <w:szCs w:val="24"/>
        </w:rPr>
        <w:t xml:space="preserve">Revisados tales documentos, se concluye que los mismos no evidencian ningún tipo de información clara, suficiente y objetiva para tomar una decisión libre, </w:t>
      </w:r>
      <w:r w:rsidRPr="00B23CB4">
        <w:rPr>
          <w:rFonts w:ascii="Arial" w:hAnsi="Arial" w:cs="Arial"/>
          <w:spacing w:val="2"/>
          <w:szCs w:val="24"/>
        </w:rPr>
        <w:lastRenderedPageBreak/>
        <w:t xml:space="preserve">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 </w:t>
      </w:r>
    </w:p>
    <w:p w14:paraId="6877A7E1" w14:textId="77777777" w:rsidR="003B3197" w:rsidRPr="00B23CB4" w:rsidRDefault="003B3197" w:rsidP="00130A70">
      <w:pPr>
        <w:pStyle w:val="Sinespaciado"/>
        <w:spacing w:line="276" w:lineRule="auto"/>
        <w:rPr>
          <w:rFonts w:ascii="Arial" w:hAnsi="Arial" w:cs="Arial"/>
          <w:spacing w:val="2"/>
          <w:szCs w:val="24"/>
        </w:rPr>
      </w:pPr>
    </w:p>
    <w:p w14:paraId="517060EB" w14:textId="77777777" w:rsidR="003B3197" w:rsidRPr="00B23CB4" w:rsidRDefault="4653F458" w:rsidP="00130A70">
      <w:pPr>
        <w:spacing w:line="276" w:lineRule="auto"/>
        <w:ind w:firstLine="643"/>
        <w:jc w:val="both"/>
        <w:rPr>
          <w:rFonts w:ascii="Arial" w:hAnsi="Arial" w:cs="Arial"/>
          <w:spacing w:val="2"/>
          <w:szCs w:val="24"/>
        </w:rPr>
      </w:pPr>
      <w:r w:rsidRPr="00B23CB4">
        <w:rPr>
          <w:rFonts w:ascii="Arial" w:hAnsi="Arial" w:cs="Arial"/>
          <w:spacing w:val="2"/>
          <w:szCs w:val="24"/>
        </w:rPr>
        <w:t xml:space="preserve">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 (a), que se le informó sobre las condiciones de acceso, ventajas y desventajas de cada uno de los regímenes pensionales, así como de las consecuencias </w:t>
      </w:r>
      <w:r w:rsidR="0C642BB4" w:rsidRPr="00B23CB4">
        <w:rPr>
          <w:rFonts w:ascii="Arial" w:hAnsi="Arial" w:cs="Arial"/>
          <w:spacing w:val="2"/>
          <w:szCs w:val="24"/>
        </w:rPr>
        <w:t xml:space="preserve">jurídicas </w:t>
      </w:r>
      <w:r w:rsidRPr="00B23CB4">
        <w:rPr>
          <w:rFonts w:ascii="Arial" w:hAnsi="Arial" w:cs="Arial"/>
          <w:spacing w:val="2"/>
          <w:szCs w:val="24"/>
        </w:rPr>
        <w:t xml:space="preserve">del traslado, pues la leyenda de haberse efectuado la selección de manera libre, espontánea y sin presiones, es apenas una enunciación genérica. </w:t>
      </w:r>
    </w:p>
    <w:p w14:paraId="5F42ECB6" w14:textId="77777777" w:rsidR="003B3197" w:rsidRPr="00B23CB4" w:rsidRDefault="003B3197" w:rsidP="00130A70">
      <w:pPr>
        <w:spacing w:line="276" w:lineRule="auto"/>
        <w:ind w:firstLine="643"/>
        <w:jc w:val="both"/>
        <w:rPr>
          <w:rFonts w:ascii="Arial" w:hAnsi="Arial" w:cs="Arial"/>
          <w:spacing w:val="2"/>
          <w:szCs w:val="24"/>
        </w:rPr>
      </w:pPr>
    </w:p>
    <w:p w14:paraId="2609E7CC" w14:textId="1A792287" w:rsidR="00BA47A3" w:rsidRPr="00B23CB4" w:rsidRDefault="3B5287AA" w:rsidP="00130A70">
      <w:pPr>
        <w:spacing w:line="276" w:lineRule="auto"/>
        <w:ind w:firstLine="708"/>
        <w:jc w:val="both"/>
        <w:rPr>
          <w:rFonts w:ascii="Arial" w:hAnsi="Arial" w:cs="Arial"/>
          <w:spacing w:val="2"/>
          <w:szCs w:val="24"/>
        </w:rPr>
      </w:pPr>
      <w:r w:rsidRPr="00B23CB4">
        <w:rPr>
          <w:rFonts w:ascii="Arial" w:hAnsi="Arial" w:cs="Arial"/>
          <w:spacing w:val="2"/>
          <w:szCs w:val="24"/>
        </w:rPr>
        <w:t xml:space="preserve">Aunado a lo anterior, </w:t>
      </w:r>
      <w:r w:rsidR="4653F458" w:rsidRPr="00B23CB4">
        <w:rPr>
          <w:rFonts w:ascii="Arial" w:hAnsi="Arial" w:cs="Arial"/>
          <w:spacing w:val="2"/>
          <w:szCs w:val="24"/>
        </w:rPr>
        <w:t>del interrogatorio de parte rendido por la demandante, no se desprende una situación distinta</w:t>
      </w:r>
      <w:r w:rsidRPr="00B23CB4">
        <w:rPr>
          <w:rFonts w:ascii="Arial" w:hAnsi="Arial" w:cs="Arial"/>
          <w:spacing w:val="2"/>
          <w:szCs w:val="24"/>
        </w:rPr>
        <w:t xml:space="preserve">, pues,  aunque la gestora reconoció que recibió alguna información por parte de la administradora de pensiones durante el acto de traslado, se considera que  sus dichos no tienen la virtualidad de medir si la entidad cumplió o no con el deber de información a su cargo, nótese que la información que afirmó se le brindó fue  genérica y parcializada,  evidenciándose la omisión de asesoría sobre las condiciones que debían cumplirse para acceder a las características que le habrían sido presentadas como ventajas de los fondos privados de pensiones, por lo que de ninguno de sus dichos se puede extractar confesión que beneficie al demandado, máxime cuando desde  la misma demanda la parte alega la falta al deber de información de manera clara, suficiente y completa por parte de la entidad privada, por lo que, es al operador judicial a quien le corresponde determinar con base en el material probatorio que al respecto allegue la administradora de pensiones, si la información fue o no suficiente, tal cual lo exige la jurisprudencia, consistente en que la entidad debe documentar el tipo de información que brinda al afiliado(a) y </w:t>
      </w:r>
      <w:r w:rsidRPr="00B23CB4">
        <w:rPr>
          <w:rFonts w:ascii="Arial" w:hAnsi="Arial" w:cs="Arial"/>
          <w:b/>
          <w:bCs/>
          <w:spacing w:val="2"/>
          <w:szCs w:val="24"/>
        </w:rPr>
        <w:t>conservarla en sus archivos</w:t>
      </w:r>
      <w:r w:rsidRPr="00B23CB4">
        <w:rPr>
          <w:rFonts w:ascii="Arial" w:hAnsi="Arial" w:cs="Arial"/>
          <w:spacing w:val="2"/>
          <w:szCs w:val="24"/>
        </w:rPr>
        <w:t> (Sentencia SL1452, radicado 68852, 3 de abril de 2019). </w:t>
      </w:r>
    </w:p>
    <w:p w14:paraId="4B28C26C" w14:textId="77777777" w:rsidR="00BA47A3" w:rsidRPr="00B23CB4" w:rsidRDefault="00BA47A3" w:rsidP="00130A70">
      <w:pPr>
        <w:pStyle w:val="Textoindependiente"/>
        <w:spacing w:line="276" w:lineRule="auto"/>
        <w:ind w:firstLine="708"/>
        <w:rPr>
          <w:rFonts w:cs="Arial"/>
          <w:spacing w:val="2"/>
          <w:sz w:val="24"/>
          <w:szCs w:val="24"/>
        </w:rPr>
      </w:pPr>
    </w:p>
    <w:p w14:paraId="342E429A" w14:textId="77777777" w:rsidR="00BA47A3" w:rsidRPr="00B23CB4" w:rsidRDefault="3B5287AA"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 xml:space="preserve">En relación con el ataque de la alzada,  encaminado a cuestionar la procedencia de la ineficacia del acto jurídico de traslado, con el argumento de </w:t>
      </w:r>
      <w:r w:rsidRPr="00B23CB4">
        <w:rPr>
          <w:rFonts w:ascii="Arial" w:hAnsi="Arial" w:cs="Arial"/>
          <w:b/>
          <w:bCs/>
          <w:spacing w:val="2"/>
          <w:szCs w:val="24"/>
        </w:rPr>
        <w:t>no ser la demandante beneficiaria del régimen de transición estatuido en el artículo 36 de la Ley 100 de 1993</w:t>
      </w:r>
      <w:r w:rsidRPr="00B23CB4">
        <w:rPr>
          <w:rFonts w:ascii="Arial" w:hAnsi="Arial" w:cs="Arial"/>
          <w:spacing w:val="2"/>
          <w:szCs w:val="24"/>
        </w:rPr>
        <w:t xml:space="preserve"> antes de la migración de régimen pensional, baste decirse desde ya, que el mismo no está llamado a prosperar pues tal circunstancia no es un prerrequisito para la prosperidad de la súplica de ineficacia, tal como lo ha explicado el órgano de cierre de nuestra especialidad laboral, en múltiples pronunciamientos tanto en sede ordinaria como de tutela, al precisar que, en todos los casos, la migración de un régimen a otro debe estar precedida de una decisión informada que le permita al afiliado hacer la selección más apropiada a su plan de vida.</w:t>
      </w:r>
    </w:p>
    <w:p w14:paraId="6DBDD234" w14:textId="77777777" w:rsidR="00BA47A3" w:rsidRPr="00B23CB4" w:rsidRDefault="00BA47A3" w:rsidP="00130A70">
      <w:pPr>
        <w:pStyle w:val="Sinespaciado"/>
        <w:spacing w:line="276" w:lineRule="auto"/>
        <w:ind w:firstLine="708"/>
        <w:jc w:val="both"/>
        <w:rPr>
          <w:rFonts w:ascii="Arial" w:hAnsi="Arial" w:cs="Arial"/>
          <w:spacing w:val="2"/>
          <w:szCs w:val="24"/>
        </w:rPr>
      </w:pPr>
    </w:p>
    <w:p w14:paraId="263600F0" w14:textId="2C0786F9" w:rsidR="00BA47A3" w:rsidRPr="00B23CB4" w:rsidRDefault="3B5287AA" w:rsidP="00130A70">
      <w:pPr>
        <w:spacing w:line="276" w:lineRule="auto"/>
        <w:jc w:val="both"/>
        <w:rPr>
          <w:rFonts w:ascii="Arial" w:hAnsi="Arial" w:cs="Arial"/>
          <w:spacing w:val="2"/>
          <w:szCs w:val="24"/>
        </w:rPr>
      </w:pPr>
      <w:r w:rsidRPr="00B23CB4">
        <w:rPr>
          <w:rFonts w:ascii="Arial" w:hAnsi="Arial" w:cs="Arial"/>
          <w:spacing w:val="2"/>
          <w:szCs w:val="24"/>
        </w:rPr>
        <w:lastRenderedPageBreak/>
        <w:t xml:space="preserve">Para el efecto de lo que aquí se afirma, baste con mencionar las sentencias SL4964/18, 14 noviembre de 2018, radicación 54814 y la sentencia de tutela </w:t>
      </w:r>
      <w:proofErr w:type="spellStart"/>
      <w:r w:rsidRPr="00B23CB4">
        <w:rPr>
          <w:rFonts w:ascii="Arial" w:hAnsi="Arial" w:cs="Arial"/>
          <w:spacing w:val="2"/>
          <w:szCs w:val="24"/>
        </w:rPr>
        <w:t>rdo</w:t>
      </w:r>
      <w:proofErr w:type="spellEnd"/>
      <w:r w:rsidRPr="00B23CB4">
        <w:rPr>
          <w:rFonts w:ascii="Arial" w:hAnsi="Arial" w:cs="Arial"/>
          <w:spacing w:val="2"/>
          <w:szCs w:val="24"/>
        </w:rPr>
        <w:t xml:space="preserve"> </w:t>
      </w:r>
      <w:proofErr w:type="spellStart"/>
      <w:r w:rsidR="30834F63" w:rsidRPr="00B23CB4">
        <w:rPr>
          <w:rFonts w:ascii="Arial" w:eastAsia="Arial Narrow" w:hAnsi="Arial" w:cs="Arial"/>
          <w:spacing w:val="2"/>
          <w:szCs w:val="24"/>
          <w:lang w:val="es-ES"/>
        </w:rPr>
        <w:t>STL3196</w:t>
      </w:r>
      <w:proofErr w:type="spellEnd"/>
      <w:r w:rsidR="30834F63" w:rsidRPr="00B23CB4">
        <w:rPr>
          <w:rFonts w:ascii="Arial" w:eastAsia="Arial Narrow" w:hAnsi="Arial" w:cs="Arial"/>
          <w:spacing w:val="2"/>
          <w:szCs w:val="24"/>
          <w:lang w:val="es-ES"/>
        </w:rPr>
        <w:t xml:space="preserve"> del 18 de marzo de 2020, radicación 57458, </w:t>
      </w:r>
      <w:r w:rsidRPr="00B23CB4">
        <w:rPr>
          <w:rFonts w:ascii="Arial" w:hAnsi="Arial" w:cs="Arial"/>
          <w:spacing w:val="2"/>
          <w:szCs w:val="24"/>
        </w:rPr>
        <w:t>ésta última en la que al resolver una acción de tutela interpuesta contra de una de las Salas de Decisión Laboral este Tribunal, la alta Corporación dejó clara su postura respecto al tema, al señalar que:</w:t>
      </w:r>
    </w:p>
    <w:p w14:paraId="00CECE55" w14:textId="77777777" w:rsidR="00BA47A3" w:rsidRPr="00B23CB4" w:rsidRDefault="3B5287AA" w:rsidP="00130A70">
      <w:pPr>
        <w:spacing w:line="276" w:lineRule="auto"/>
        <w:jc w:val="both"/>
        <w:rPr>
          <w:rFonts w:ascii="Arial" w:hAnsi="Arial" w:cs="Arial"/>
          <w:spacing w:val="2"/>
          <w:szCs w:val="24"/>
        </w:rPr>
      </w:pPr>
      <w:r w:rsidRPr="00B23CB4">
        <w:rPr>
          <w:rFonts w:ascii="Arial" w:hAnsi="Arial" w:cs="Arial"/>
          <w:spacing w:val="2"/>
          <w:szCs w:val="24"/>
        </w:rPr>
        <w:t> </w:t>
      </w:r>
    </w:p>
    <w:p w14:paraId="18CE4FE0" w14:textId="77777777" w:rsidR="00BA47A3" w:rsidRPr="00B23CB4" w:rsidRDefault="3B5287AA"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“Es extraño que el Tribunal afirme que la ineficacia del traslado de régimen pensional solo se predique respecto a los afiliados del régimen de transición. </w:t>
      </w:r>
      <w:r w:rsidRPr="00B23CB4">
        <w:rPr>
          <w:rFonts w:ascii="Arial" w:hAnsi="Arial" w:cs="Arial"/>
          <w:b/>
          <w:i/>
          <w:iCs/>
          <w:spacing w:val="2"/>
          <w:sz w:val="22"/>
          <w:szCs w:val="24"/>
        </w:rPr>
        <w:t>Ello por cuanto la Corte no ha condicionado su jurisprudencia a que el afiliado demuestre ser beneficiario del régimen de transición, ni tampoco tendría justificación constitucional otorgar tal derecho a un grupo de afiliados en desmedro de otros</w:t>
      </w:r>
      <w:r w:rsidRPr="00B23CB4">
        <w:rPr>
          <w:rFonts w:ascii="Arial" w:hAnsi="Arial" w:cs="Arial"/>
          <w:i/>
          <w:iCs/>
          <w:spacing w:val="2"/>
          <w:sz w:val="22"/>
          <w:szCs w:val="24"/>
        </w:rPr>
        <w:t>.  </w:t>
      </w:r>
    </w:p>
    <w:p w14:paraId="3DDAF24F" w14:textId="77777777" w:rsidR="00BA47A3" w:rsidRPr="00B23CB4" w:rsidRDefault="3B5287AA"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w:t>
      </w:r>
    </w:p>
    <w:p w14:paraId="138E8CF1" w14:textId="77777777" w:rsidR="00BA47A3" w:rsidRPr="00B23CB4" w:rsidRDefault="3B5287AA"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En efecto, la regla jurisprudencial identificable en sentencias CSJ SL 31989, 9 sep. 2008, CSJ SL 31314, 9 sep. 2008, CSJ SL 33083, 22 nov. 2011, CSJ SL12136-2014 y CSJ SL19447-2017, es que las administradoras de fondos de pensiones deben suministrar al afiliado información clara, cierta, comprensible y oportuna de las características, condiciones, beneficios, diferencias, riesgos y consecuencias del cambio de régimen pensional y, además, que en estos procesos opera una inversión de la carga de la prueba en favor del afiliado. </w:t>
      </w:r>
      <w:r w:rsidRPr="00B23CB4">
        <w:rPr>
          <w:rFonts w:ascii="Arial" w:hAnsi="Arial" w:cs="Arial"/>
          <w:b/>
          <w:i/>
          <w:iCs/>
          <w:spacing w:val="2"/>
          <w:sz w:val="22"/>
          <w:szCs w:val="24"/>
        </w:rPr>
        <w:t>En ninguna de ellas se afirma o se insinúa que solo aplique a los beneficiarios del régimen de transición</w:t>
      </w:r>
      <w:r w:rsidRPr="00B23CB4">
        <w:rPr>
          <w:rFonts w:ascii="Arial" w:hAnsi="Arial" w:cs="Arial"/>
          <w:i/>
          <w:iCs/>
          <w:spacing w:val="2"/>
          <w:sz w:val="22"/>
          <w:szCs w:val="24"/>
        </w:rPr>
        <w:t xml:space="preserve">, de manera que el Tribunal accionado omitió aplicar tal precedente y, con ello, lesionó los derechos pensionales de la demandante».” (Negrillas del texto original).   </w:t>
      </w:r>
    </w:p>
    <w:p w14:paraId="5EC1B93D" w14:textId="77777777" w:rsidR="00BA47A3" w:rsidRPr="00B23CB4" w:rsidRDefault="00BA47A3" w:rsidP="00130A70">
      <w:pPr>
        <w:pStyle w:val="Sinespaciado"/>
        <w:spacing w:line="276" w:lineRule="auto"/>
        <w:ind w:firstLine="708"/>
        <w:jc w:val="both"/>
        <w:rPr>
          <w:rFonts w:ascii="Arial" w:hAnsi="Arial" w:cs="Arial"/>
          <w:spacing w:val="2"/>
          <w:szCs w:val="24"/>
        </w:rPr>
      </w:pPr>
    </w:p>
    <w:p w14:paraId="48EC4222" w14:textId="045BC737" w:rsidR="00BA47A3" w:rsidRPr="00B23CB4" w:rsidRDefault="3B5287AA"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En síntesis, en nada varía el análisis y resultas del proceso el hecho que la demandante sea o no beneficiaria del régimen de transición pensional pues lo determinante a esclarecer en el asunto, es determinar si el traslado de régimen pensional estuvo o no ajustado a los principios que gobiernan el Estatuto de la Seguridad Social y a las reglas de libertad de escogencia.</w:t>
      </w:r>
    </w:p>
    <w:p w14:paraId="2AB1FE8D" w14:textId="77777777" w:rsidR="00BA47A3" w:rsidRPr="00B23CB4" w:rsidRDefault="00BA47A3" w:rsidP="00130A70">
      <w:pPr>
        <w:pStyle w:val="Sinespaciado"/>
        <w:spacing w:line="276" w:lineRule="auto"/>
        <w:rPr>
          <w:rFonts w:ascii="Arial" w:hAnsi="Arial" w:cs="Arial"/>
          <w:spacing w:val="2"/>
          <w:szCs w:val="24"/>
        </w:rPr>
      </w:pPr>
    </w:p>
    <w:p w14:paraId="6B4C606C" w14:textId="7F1B061B" w:rsidR="00BA47A3" w:rsidRPr="00B23CB4" w:rsidRDefault="3B5287AA" w:rsidP="00130A70">
      <w:pPr>
        <w:pStyle w:val="Sinespaciado"/>
        <w:spacing w:line="276" w:lineRule="auto"/>
        <w:ind w:firstLine="708"/>
        <w:jc w:val="both"/>
        <w:rPr>
          <w:rFonts w:ascii="Arial" w:hAnsi="Arial" w:cs="Arial"/>
          <w:spacing w:val="2"/>
          <w:szCs w:val="24"/>
        </w:rPr>
      </w:pPr>
      <w:r w:rsidRPr="00B23CB4">
        <w:rPr>
          <w:rFonts w:ascii="Arial" w:hAnsi="Arial" w:cs="Arial"/>
          <w:spacing w:val="2"/>
          <w:szCs w:val="24"/>
        </w:rPr>
        <w:t>Acorde con lo hasta aquí expuesto, no es mucho lo que debe agregarse al fallo venido en apelación</w:t>
      </w:r>
      <w:r w:rsidR="2D1CFBE8" w:rsidRPr="00B23CB4">
        <w:rPr>
          <w:rFonts w:ascii="Arial" w:hAnsi="Arial" w:cs="Arial"/>
          <w:spacing w:val="2"/>
          <w:szCs w:val="24"/>
        </w:rPr>
        <w:t>,</w:t>
      </w:r>
      <w:r w:rsidRPr="00B23CB4">
        <w:rPr>
          <w:rFonts w:ascii="Arial" w:hAnsi="Arial" w:cs="Arial"/>
          <w:spacing w:val="2"/>
          <w:szCs w:val="24"/>
        </w:rPr>
        <w:t xml:space="preserve"> en tanto que la Sala comparte los argumentos  de los que se valió el  a-quo, en aras a fulminar la declaración de ineficacia del traslado de régimen pensional, pues al no haberse arrimado al proceso prueba idónea y completa de la información que  le debió brindar la A.F.P. P</w:t>
      </w:r>
      <w:r w:rsidR="2D1CFBE8" w:rsidRPr="00B23CB4">
        <w:rPr>
          <w:rFonts w:ascii="Arial" w:hAnsi="Arial" w:cs="Arial"/>
          <w:spacing w:val="2"/>
          <w:szCs w:val="24"/>
        </w:rPr>
        <w:t>ROTECCION</w:t>
      </w:r>
      <w:r w:rsidRPr="00B23CB4">
        <w:rPr>
          <w:rFonts w:ascii="Arial" w:hAnsi="Arial" w:cs="Arial"/>
          <w:spacing w:val="2"/>
          <w:szCs w:val="24"/>
        </w:rPr>
        <w:t xml:space="preserve">, a la demandante en el traslado que esta realizó </w:t>
      </w:r>
      <w:r w:rsidR="2D1CFBE8" w:rsidRPr="00B23CB4">
        <w:rPr>
          <w:rFonts w:ascii="Arial" w:hAnsi="Arial" w:cs="Arial"/>
          <w:spacing w:val="2"/>
          <w:szCs w:val="24"/>
        </w:rPr>
        <w:t xml:space="preserve">el 22 de julio de 1997 </w:t>
      </w:r>
      <w:r w:rsidRPr="00B23CB4">
        <w:rPr>
          <w:rFonts w:ascii="Arial" w:hAnsi="Arial" w:cs="Arial"/>
          <w:spacing w:val="2"/>
          <w:szCs w:val="24"/>
        </w:rPr>
        <w:t xml:space="preserve">-, </w:t>
      </w:r>
      <w:r w:rsidRPr="00B23CB4">
        <w:rPr>
          <w:rFonts w:ascii="Arial" w:hAnsi="Arial" w:cs="Arial"/>
          <w:b/>
          <w:bCs/>
          <w:spacing w:val="2"/>
          <w:szCs w:val="24"/>
        </w:rPr>
        <w:t>la consecuencia no puede ser otra diferente a la de declarar ineficaz tal acto</w:t>
      </w:r>
      <w:r w:rsidRPr="00B23CB4">
        <w:rPr>
          <w:rFonts w:ascii="Arial" w:hAnsi="Arial" w:cs="Arial"/>
          <w:spacing w:val="2"/>
          <w:szCs w:val="24"/>
        </w:rPr>
        <w:t xml:space="preserve"> y, por tanto, tener como vinculación válida la que tenía la demandante con el Régimen de Prima Media con Prestación definida.</w:t>
      </w:r>
    </w:p>
    <w:p w14:paraId="516D8FC6" w14:textId="77777777" w:rsidR="00BA47A3" w:rsidRPr="00B23CB4" w:rsidRDefault="00BA47A3" w:rsidP="00130A70">
      <w:pPr>
        <w:pStyle w:val="Textoindependiente"/>
        <w:spacing w:line="276" w:lineRule="auto"/>
        <w:ind w:firstLine="708"/>
        <w:rPr>
          <w:rFonts w:cs="Arial"/>
          <w:spacing w:val="2"/>
          <w:sz w:val="24"/>
          <w:szCs w:val="24"/>
        </w:rPr>
      </w:pPr>
    </w:p>
    <w:p w14:paraId="14504057" w14:textId="1603BF59" w:rsidR="003B3197" w:rsidRPr="00B23CB4" w:rsidRDefault="4653F458" w:rsidP="00130A70">
      <w:pPr>
        <w:pStyle w:val="Textoindependiente"/>
        <w:spacing w:line="276" w:lineRule="auto"/>
        <w:ind w:firstLine="708"/>
        <w:rPr>
          <w:rFonts w:cs="Arial"/>
          <w:spacing w:val="2"/>
          <w:sz w:val="24"/>
          <w:szCs w:val="24"/>
        </w:rPr>
      </w:pPr>
      <w:r w:rsidRPr="00B23CB4">
        <w:rPr>
          <w:rFonts w:cs="Arial"/>
          <w:spacing w:val="2"/>
          <w:sz w:val="24"/>
          <w:szCs w:val="24"/>
        </w:rPr>
        <w:t>Lo anterior, en suma conlleva entonces a que las partes deben ser restituidas al estado anterior (art. 1746 del CCC), esto es, que la afiliación de la demandante con Colpensiones, no solo nunca sufrió alteración alguna, sino que la entidad demandada que actualmente maneja su cuenta de ahorro individual, esto es, PROTECCIÓN  S.A., debe devolver a la administradora del Régimen de Prima Media – Colpensiones, todas las cotizaciones, con sus rendimientos,</w:t>
      </w:r>
      <w:r w:rsidR="4D265673" w:rsidRPr="00B23CB4">
        <w:rPr>
          <w:rFonts w:cs="Arial"/>
          <w:spacing w:val="2"/>
          <w:sz w:val="24"/>
          <w:szCs w:val="24"/>
        </w:rPr>
        <w:t xml:space="preserve"> bonos pensionales, frutos e </w:t>
      </w:r>
      <w:r w:rsidR="00E26483" w:rsidRPr="00B23CB4">
        <w:rPr>
          <w:rFonts w:cs="Arial"/>
          <w:spacing w:val="2"/>
          <w:sz w:val="24"/>
          <w:szCs w:val="24"/>
        </w:rPr>
        <w:t>intereses</w:t>
      </w:r>
      <w:r w:rsidR="4D265673" w:rsidRPr="00B23CB4">
        <w:rPr>
          <w:rFonts w:cs="Arial"/>
          <w:spacing w:val="2"/>
          <w:sz w:val="24"/>
          <w:szCs w:val="24"/>
        </w:rPr>
        <w:t xml:space="preserve">, tal cual lo estimó la sentenciadora de primer grado. </w:t>
      </w:r>
    </w:p>
    <w:p w14:paraId="7E8F7B36" w14:textId="1B2F9339" w:rsidR="003B3197" w:rsidRPr="00B23CB4" w:rsidRDefault="003B3197" w:rsidP="00130A70">
      <w:pPr>
        <w:pStyle w:val="Textoindependiente"/>
        <w:spacing w:line="276" w:lineRule="auto"/>
        <w:ind w:firstLine="708"/>
        <w:rPr>
          <w:rFonts w:cs="Arial"/>
          <w:spacing w:val="2"/>
          <w:sz w:val="24"/>
          <w:szCs w:val="24"/>
        </w:rPr>
      </w:pPr>
    </w:p>
    <w:p w14:paraId="49219793" w14:textId="3B141267" w:rsidR="003B3197" w:rsidRPr="00B23CB4" w:rsidRDefault="4D265673" w:rsidP="00130A70">
      <w:pPr>
        <w:pStyle w:val="Textoindependiente"/>
        <w:spacing w:line="276" w:lineRule="auto"/>
        <w:ind w:firstLine="708"/>
        <w:rPr>
          <w:rFonts w:eastAsia="Arial Narrow" w:cs="Arial"/>
          <w:spacing w:val="2"/>
          <w:sz w:val="24"/>
          <w:szCs w:val="24"/>
          <w:lang w:val="es-ES"/>
        </w:rPr>
      </w:pPr>
      <w:r w:rsidRPr="00B23CB4">
        <w:rPr>
          <w:rFonts w:eastAsia="Arial Narrow" w:cs="Arial"/>
          <w:spacing w:val="2"/>
          <w:sz w:val="24"/>
          <w:szCs w:val="24"/>
          <w:lang w:val="es-ES"/>
        </w:rPr>
        <w:t xml:space="preserve">No obstante, en virtud del grado jurisdiccional de consulta que opera en favor de Colpensiones, se hace necesario MODIFICAR la sentencia en orden a </w:t>
      </w:r>
      <w:r w:rsidRPr="00B23CB4">
        <w:rPr>
          <w:rFonts w:eastAsia="Arial Narrow" w:cs="Arial"/>
          <w:spacing w:val="2"/>
          <w:sz w:val="24"/>
          <w:szCs w:val="24"/>
          <w:lang w:val="es-ES"/>
        </w:rPr>
        <w:lastRenderedPageBreak/>
        <w:t>complementar los rubros que el fondo privado debe remitir a Colpensiones, motivo por el que se le ordenará a PROTECCIÓN S.A., incluir además del capital acumulado en la cuenta de ahorro individual de la afiliada, junto con sus respectivos rendimientos, bonos pensionales, saldos adicionales, frutos e intereses, los</w:t>
      </w:r>
      <w:r w:rsidR="4653F458" w:rsidRPr="00B23CB4">
        <w:rPr>
          <w:rFonts w:cs="Arial"/>
          <w:spacing w:val="2"/>
          <w:sz w:val="24"/>
          <w:szCs w:val="24"/>
        </w:rPr>
        <w:t xml:space="preserve"> gastos de administración (incluyendo lo correspondiente a seguros previsionales, entre otros) y las sumas de dinero que retiene para el fondo de garantía de pensión mínima, </w:t>
      </w:r>
      <w:r w:rsidR="30633CE4" w:rsidRPr="00B23CB4">
        <w:rPr>
          <w:rFonts w:eastAsia="Arial Narrow" w:cs="Arial"/>
          <w:spacing w:val="2"/>
          <w:sz w:val="24"/>
          <w:szCs w:val="24"/>
          <w:lang w:val="es-ES"/>
        </w:rPr>
        <w:t>y las comisiones cobradas durante el lapso en que estuvo vigente la afiliación de la demandante, con cargo a sus propios recursos tal como lo ha reiterado la Sala de Casación Laboral de la Corte Suprema en sentencias SL1421 y SL 1688, ambas de 2019.</w:t>
      </w:r>
    </w:p>
    <w:p w14:paraId="3FE6D8BD" w14:textId="799FC36A" w:rsidR="003B3197" w:rsidRPr="00B23CB4" w:rsidRDefault="003B3197" w:rsidP="00130A70">
      <w:pPr>
        <w:pStyle w:val="Textoindependiente"/>
        <w:spacing w:line="276" w:lineRule="auto"/>
        <w:ind w:firstLine="708"/>
        <w:rPr>
          <w:rFonts w:eastAsia="Arial Narrow" w:cs="Arial"/>
          <w:spacing w:val="2"/>
          <w:sz w:val="24"/>
          <w:szCs w:val="24"/>
          <w:lang w:val="es-ES"/>
        </w:rPr>
      </w:pPr>
    </w:p>
    <w:p w14:paraId="55543F98" w14:textId="6112FA0A" w:rsidR="003B3197" w:rsidRPr="00B23CB4" w:rsidRDefault="4653F458" w:rsidP="00130A70">
      <w:pPr>
        <w:pStyle w:val="Textoindependiente"/>
        <w:spacing w:line="276" w:lineRule="auto"/>
        <w:ind w:firstLine="708"/>
        <w:rPr>
          <w:rFonts w:cs="Arial"/>
          <w:spacing w:val="2"/>
          <w:sz w:val="24"/>
          <w:szCs w:val="24"/>
        </w:rPr>
      </w:pPr>
      <w:r w:rsidRPr="00B23CB4">
        <w:rPr>
          <w:rFonts w:cs="Arial"/>
          <w:spacing w:val="2"/>
          <w:sz w:val="24"/>
          <w:szCs w:val="24"/>
        </w:rPr>
        <w:t xml:space="preserve">Ratifica lo anterior, y en especial sobre los gastos de administración, lo que sostiene la Sala de Casación Laboral de la H. Corte Suprema en la sentencia SL1421-2019, Rad. 56174 en la cual se dice lo siguiente: </w:t>
      </w:r>
    </w:p>
    <w:p w14:paraId="5EDEAC9F" w14:textId="77777777" w:rsidR="00E26483" w:rsidRPr="00B23CB4" w:rsidRDefault="00E26483" w:rsidP="00130A70">
      <w:pPr>
        <w:spacing w:line="276" w:lineRule="auto"/>
        <w:ind w:left="708"/>
        <w:jc w:val="both"/>
        <w:rPr>
          <w:rFonts w:ascii="Arial" w:hAnsi="Arial" w:cs="Arial"/>
          <w:spacing w:val="2"/>
          <w:szCs w:val="24"/>
        </w:rPr>
      </w:pPr>
    </w:p>
    <w:p w14:paraId="72DFC403" w14:textId="4BB0F61E" w:rsidR="003B3197" w:rsidRPr="00B23CB4" w:rsidRDefault="4653F458"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w:t>
      </w:r>
      <w:proofErr w:type="gramStart"/>
      <w:r w:rsidRPr="00B23CB4">
        <w:rPr>
          <w:rFonts w:ascii="Arial" w:hAnsi="Arial" w:cs="Arial"/>
          <w:i/>
          <w:iCs/>
          <w:spacing w:val="2"/>
          <w:sz w:val="22"/>
          <w:szCs w:val="24"/>
        </w:rPr>
        <w:t>31989 ...”</w:t>
      </w:r>
      <w:proofErr w:type="gramEnd"/>
    </w:p>
    <w:p w14:paraId="306EE704" w14:textId="77777777" w:rsidR="002F1D35" w:rsidRPr="00B23CB4" w:rsidRDefault="002F1D35" w:rsidP="00130A70">
      <w:pPr>
        <w:pStyle w:val="Textoindependiente"/>
        <w:spacing w:line="276" w:lineRule="auto"/>
        <w:rPr>
          <w:rFonts w:cs="Arial"/>
          <w:spacing w:val="2"/>
          <w:sz w:val="24"/>
          <w:szCs w:val="24"/>
        </w:rPr>
      </w:pPr>
    </w:p>
    <w:p w14:paraId="64FAB61D" w14:textId="069CE2AF" w:rsidR="003B3197" w:rsidRPr="00B23CB4" w:rsidRDefault="4653F458" w:rsidP="00130A70">
      <w:pPr>
        <w:pStyle w:val="Textoindependiente"/>
        <w:spacing w:line="276" w:lineRule="auto"/>
        <w:rPr>
          <w:rFonts w:cs="Arial"/>
          <w:spacing w:val="2"/>
          <w:sz w:val="24"/>
          <w:szCs w:val="24"/>
        </w:rPr>
      </w:pPr>
      <w:r w:rsidRPr="00B23CB4">
        <w:rPr>
          <w:rFonts w:cs="Arial"/>
          <w:b/>
          <w:bCs/>
          <w:spacing w:val="2"/>
          <w:sz w:val="24"/>
          <w:szCs w:val="24"/>
        </w:rPr>
        <w:t>Frente a las excepciones propuestas</w:t>
      </w:r>
      <w:r w:rsidRPr="00B23CB4">
        <w:rPr>
          <w:rFonts w:cs="Arial"/>
          <w:spacing w:val="2"/>
          <w:sz w:val="24"/>
          <w:szCs w:val="24"/>
        </w:rPr>
        <w:t xml:space="preserve">,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p>
    <w:p w14:paraId="01295A7E" w14:textId="77777777" w:rsidR="003B3197" w:rsidRPr="00B23CB4" w:rsidRDefault="003B3197" w:rsidP="00130A70">
      <w:pPr>
        <w:spacing w:line="276" w:lineRule="auto"/>
        <w:jc w:val="both"/>
        <w:rPr>
          <w:rFonts w:ascii="Arial" w:hAnsi="Arial" w:cs="Arial"/>
          <w:spacing w:val="2"/>
          <w:szCs w:val="24"/>
        </w:rPr>
      </w:pPr>
    </w:p>
    <w:p w14:paraId="2A815317" w14:textId="77777777" w:rsidR="003B3197" w:rsidRPr="00B23CB4" w:rsidRDefault="4653F458"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Conforme lo explicado, los afiliados al sistema general de pensiones pueden solicitar, en cualquier tiempo, que se declare la ineficacia del traslado entre regímenes pensionales y, por esa vía, que se reconozca a cuál de los dos regímenes pensionales (RPMPD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14:paraId="3E5D5F7D" w14:textId="77777777" w:rsidR="003B3197" w:rsidRPr="00B23CB4" w:rsidRDefault="4653F458"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 xml:space="preserve"> </w:t>
      </w:r>
    </w:p>
    <w:p w14:paraId="1F25245A" w14:textId="77777777" w:rsidR="003B3197" w:rsidRPr="00B23CB4" w:rsidRDefault="4653F458" w:rsidP="00754E51">
      <w:pPr>
        <w:ind w:left="426" w:right="420"/>
        <w:jc w:val="both"/>
        <w:rPr>
          <w:rFonts w:ascii="Arial" w:hAnsi="Arial" w:cs="Arial"/>
          <w:i/>
          <w:iCs/>
          <w:spacing w:val="2"/>
          <w:sz w:val="22"/>
          <w:szCs w:val="24"/>
        </w:rPr>
      </w:pPr>
      <w:r w:rsidRPr="00B23CB4">
        <w:rPr>
          <w:rFonts w:ascii="Arial" w:hAnsi="Arial" w:cs="Arial"/>
          <w:i/>
          <w:iCs/>
          <w:spacing w:val="2"/>
          <w:sz w:val="22"/>
          <w:szCs w:val="24"/>
        </w:rPr>
        <w:t>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SL8544-2016)”.</w:t>
      </w:r>
    </w:p>
    <w:p w14:paraId="6EF05C12" w14:textId="77777777" w:rsidR="003B3197" w:rsidRPr="00B23CB4" w:rsidRDefault="4653F458" w:rsidP="00130A70">
      <w:pPr>
        <w:spacing w:line="276" w:lineRule="auto"/>
        <w:jc w:val="both"/>
        <w:rPr>
          <w:rFonts w:ascii="Arial" w:hAnsi="Arial" w:cs="Arial"/>
          <w:spacing w:val="2"/>
          <w:szCs w:val="24"/>
        </w:rPr>
      </w:pPr>
      <w:r w:rsidRPr="00B23CB4">
        <w:rPr>
          <w:rFonts w:ascii="Arial" w:hAnsi="Arial" w:cs="Arial"/>
          <w:spacing w:val="2"/>
          <w:szCs w:val="24"/>
        </w:rPr>
        <w:lastRenderedPageBreak/>
        <w:t xml:space="preserve"> </w:t>
      </w:r>
    </w:p>
    <w:p w14:paraId="16091467" w14:textId="6BD329EA" w:rsidR="003B3197" w:rsidRPr="00B23CB4" w:rsidRDefault="4653F458" w:rsidP="00130A70">
      <w:pPr>
        <w:shd w:val="clear" w:color="auto" w:fill="FFFFFF" w:themeFill="background1"/>
        <w:spacing w:line="276" w:lineRule="auto"/>
        <w:ind w:firstLine="708"/>
        <w:jc w:val="both"/>
        <w:rPr>
          <w:rFonts w:ascii="Arial" w:hAnsi="Arial" w:cs="Arial"/>
          <w:spacing w:val="2"/>
          <w:szCs w:val="24"/>
        </w:rPr>
      </w:pPr>
      <w:r w:rsidRPr="00B23CB4">
        <w:rPr>
          <w:rFonts w:ascii="Arial" w:hAnsi="Arial" w:cs="Arial"/>
          <w:spacing w:val="2"/>
          <w:szCs w:val="24"/>
        </w:rPr>
        <w:t xml:space="preserve">Con lo anterior, queda </w:t>
      </w:r>
      <w:proofErr w:type="gramStart"/>
      <w:r w:rsidRPr="00B23CB4">
        <w:rPr>
          <w:rFonts w:ascii="Arial" w:hAnsi="Arial" w:cs="Arial"/>
          <w:spacing w:val="2"/>
          <w:szCs w:val="24"/>
        </w:rPr>
        <w:t>resuelta</w:t>
      </w:r>
      <w:proofErr w:type="gramEnd"/>
      <w:r w:rsidRPr="00B23CB4">
        <w:rPr>
          <w:rFonts w:ascii="Arial" w:hAnsi="Arial" w:cs="Arial"/>
          <w:spacing w:val="2"/>
          <w:szCs w:val="24"/>
        </w:rPr>
        <w:t xml:space="preserve"> en su integridad el punto de inconformidad </w:t>
      </w:r>
      <w:r w:rsidR="00E26483" w:rsidRPr="00B23CB4">
        <w:rPr>
          <w:rFonts w:ascii="Arial" w:hAnsi="Arial" w:cs="Arial"/>
          <w:spacing w:val="2"/>
          <w:szCs w:val="24"/>
        </w:rPr>
        <w:t>propuesto,</w:t>
      </w:r>
      <w:r w:rsidRPr="00B23CB4">
        <w:rPr>
          <w:rFonts w:ascii="Arial" w:hAnsi="Arial" w:cs="Arial"/>
          <w:spacing w:val="2"/>
          <w:szCs w:val="24"/>
        </w:rPr>
        <w:t xml:space="preserve"> así como el grado jurisdiccional de consulta.</w:t>
      </w:r>
    </w:p>
    <w:p w14:paraId="7560829D" w14:textId="77777777" w:rsidR="003B3197" w:rsidRPr="00B23CB4" w:rsidRDefault="003B3197" w:rsidP="00130A70">
      <w:pPr>
        <w:shd w:val="clear" w:color="auto" w:fill="FFFFFF" w:themeFill="background1"/>
        <w:spacing w:line="276" w:lineRule="auto"/>
        <w:ind w:firstLine="708"/>
        <w:jc w:val="both"/>
        <w:rPr>
          <w:rFonts w:ascii="Arial" w:hAnsi="Arial" w:cs="Arial"/>
          <w:spacing w:val="2"/>
          <w:szCs w:val="24"/>
        </w:rPr>
      </w:pPr>
    </w:p>
    <w:p w14:paraId="127FC104" w14:textId="03A800BC" w:rsidR="003B3197" w:rsidRPr="00B23CB4" w:rsidRDefault="4653F458" w:rsidP="00130A70">
      <w:pPr>
        <w:pStyle w:val="Textoindependiente31"/>
        <w:spacing w:line="276" w:lineRule="auto"/>
        <w:ind w:firstLine="708"/>
        <w:rPr>
          <w:rFonts w:cs="Arial"/>
          <w:spacing w:val="2"/>
          <w:sz w:val="24"/>
          <w:szCs w:val="24"/>
        </w:rPr>
      </w:pPr>
      <w:r w:rsidRPr="00B23CB4">
        <w:rPr>
          <w:rFonts w:cs="Arial"/>
          <w:spacing w:val="2"/>
          <w:sz w:val="24"/>
          <w:szCs w:val="24"/>
        </w:rPr>
        <w:t xml:space="preserve">Costas en </w:t>
      </w:r>
      <w:r w:rsidR="1ADA0AF9" w:rsidRPr="00B23CB4">
        <w:rPr>
          <w:rFonts w:cs="Arial"/>
          <w:spacing w:val="2"/>
          <w:sz w:val="24"/>
          <w:szCs w:val="24"/>
        </w:rPr>
        <w:t xml:space="preserve">esta instancia </w:t>
      </w:r>
      <w:r w:rsidRPr="00B23CB4">
        <w:rPr>
          <w:rFonts w:cs="Arial"/>
          <w:spacing w:val="2"/>
          <w:sz w:val="24"/>
          <w:szCs w:val="24"/>
        </w:rPr>
        <w:t>a cargo de</w:t>
      </w:r>
      <w:r w:rsidR="2030F0AB" w:rsidRPr="00B23CB4">
        <w:rPr>
          <w:rFonts w:cs="Arial"/>
          <w:spacing w:val="2"/>
          <w:sz w:val="24"/>
          <w:szCs w:val="24"/>
        </w:rPr>
        <w:t xml:space="preserve"> la AFP Protección S.A. </w:t>
      </w:r>
      <w:r w:rsidR="069FFB73" w:rsidRPr="00B23CB4">
        <w:rPr>
          <w:rFonts w:cs="Arial"/>
          <w:spacing w:val="2"/>
          <w:sz w:val="24"/>
          <w:szCs w:val="24"/>
        </w:rPr>
        <w:t>y</w:t>
      </w:r>
      <w:r w:rsidRPr="00B23CB4">
        <w:rPr>
          <w:rFonts w:cs="Arial"/>
          <w:spacing w:val="2"/>
          <w:sz w:val="24"/>
          <w:szCs w:val="24"/>
        </w:rPr>
        <w:t xml:space="preserve"> en favor de la parte activa</w:t>
      </w:r>
      <w:r w:rsidR="2030F0AB" w:rsidRPr="00B23CB4">
        <w:rPr>
          <w:rFonts w:cs="Arial"/>
          <w:spacing w:val="2"/>
          <w:sz w:val="24"/>
          <w:szCs w:val="24"/>
        </w:rPr>
        <w:t xml:space="preserve">, dada la </w:t>
      </w:r>
      <w:proofErr w:type="spellStart"/>
      <w:r w:rsidR="3258BF54" w:rsidRPr="00B23CB4">
        <w:rPr>
          <w:rFonts w:cs="Arial"/>
          <w:spacing w:val="2"/>
          <w:sz w:val="24"/>
          <w:szCs w:val="24"/>
        </w:rPr>
        <w:t>im</w:t>
      </w:r>
      <w:r w:rsidR="2030F0AB" w:rsidRPr="00B23CB4">
        <w:rPr>
          <w:rFonts w:cs="Arial"/>
          <w:spacing w:val="2"/>
          <w:sz w:val="24"/>
          <w:szCs w:val="24"/>
        </w:rPr>
        <w:t>prosperidad</w:t>
      </w:r>
      <w:proofErr w:type="spellEnd"/>
      <w:r w:rsidR="2030F0AB" w:rsidRPr="00B23CB4">
        <w:rPr>
          <w:rFonts w:cs="Arial"/>
          <w:spacing w:val="2"/>
          <w:sz w:val="24"/>
          <w:szCs w:val="24"/>
        </w:rPr>
        <w:t xml:space="preserve"> de</w:t>
      </w:r>
      <w:r w:rsidR="579DCD33" w:rsidRPr="00B23CB4">
        <w:rPr>
          <w:rFonts w:cs="Arial"/>
          <w:spacing w:val="2"/>
          <w:sz w:val="24"/>
          <w:szCs w:val="24"/>
        </w:rPr>
        <w:t xml:space="preserve">l </w:t>
      </w:r>
      <w:r w:rsidR="1ADA0AF9" w:rsidRPr="00B23CB4">
        <w:rPr>
          <w:rFonts w:cs="Arial"/>
          <w:spacing w:val="2"/>
          <w:sz w:val="24"/>
          <w:szCs w:val="24"/>
        </w:rPr>
        <w:t xml:space="preserve"> recurso de</w:t>
      </w:r>
      <w:r w:rsidR="2030F0AB" w:rsidRPr="00B23CB4">
        <w:rPr>
          <w:rFonts w:cs="Arial"/>
          <w:spacing w:val="2"/>
          <w:sz w:val="24"/>
          <w:szCs w:val="24"/>
        </w:rPr>
        <w:t xml:space="preserve"> </w:t>
      </w:r>
      <w:r w:rsidRPr="00B23CB4">
        <w:rPr>
          <w:rFonts w:cs="Arial"/>
          <w:spacing w:val="2"/>
          <w:sz w:val="24"/>
          <w:szCs w:val="24"/>
        </w:rPr>
        <w:t xml:space="preserve">alzada.  </w:t>
      </w:r>
    </w:p>
    <w:p w14:paraId="407D1119" w14:textId="77777777" w:rsidR="003B3197" w:rsidRPr="00B23CB4" w:rsidRDefault="003B3197" w:rsidP="00130A70">
      <w:pPr>
        <w:spacing w:line="276" w:lineRule="auto"/>
        <w:ind w:firstLine="567"/>
        <w:jc w:val="both"/>
        <w:rPr>
          <w:rFonts w:ascii="Arial" w:hAnsi="Arial" w:cs="Arial"/>
          <w:spacing w:val="2"/>
          <w:szCs w:val="24"/>
        </w:rPr>
      </w:pPr>
    </w:p>
    <w:p w14:paraId="1905B930" w14:textId="06F5A1E8" w:rsidR="003B3197" w:rsidRPr="00B23CB4" w:rsidRDefault="4653F458" w:rsidP="00130A70">
      <w:pPr>
        <w:pStyle w:val="Textoindependiente31"/>
        <w:numPr>
          <w:ilvl w:val="0"/>
          <w:numId w:val="2"/>
        </w:numPr>
        <w:spacing w:line="276" w:lineRule="auto"/>
        <w:rPr>
          <w:rFonts w:cs="Arial"/>
          <w:b/>
          <w:bCs/>
          <w:spacing w:val="2"/>
          <w:sz w:val="24"/>
          <w:szCs w:val="24"/>
        </w:rPr>
      </w:pPr>
      <w:r w:rsidRPr="00B23CB4">
        <w:rPr>
          <w:rFonts w:cs="Arial"/>
          <w:b/>
          <w:bCs/>
          <w:spacing w:val="2"/>
          <w:sz w:val="24"/>
          <w:szCs w:val="24"/>
        </w:rPr>
        <w:t>DECISIÓN</w:t>
      </w:r>
    </w:p>
    <w:p w14:paraId="0B9E1665" w14:textId="77777777" w:rsidR="003B3197" w:rsidRPr="00B23CB4" w:rsidRDefault="003B3197" w:rsidP="00130A70">
      <w:pPr>
        <w:pStyle w:val="Textoindependiente31"/>
        <w:spacing w:line="276" w:lineRule="auto"/>
        <w:ind w:left="1004"/>
        <w:rPr>
          <w:rFonts w:cs="Arial"/>
          <w:spacing w:val="2"/>
          <w:sz w:val="24"/>
          <w:szCs w:val="24"/>
        </w:rPr>
      </w:pPr>
    </w:p>
    <w:p w14:paraId="4ACDDDC2" w14:textId="1850E46D" w:rsidR="003B3197" w:rsidRPr="00B23CB4" w:rsidRDefault="4653F458" w:rsidP="00130A70">
      <w:pPr>
        <w:pStyle w:val="Textoindependiente31"/>
        <w:spacing w:line="276" w:lineRule="auto"/>
        <w:rPr>
          <w:rFonts w:cs="Arial"/>
          <w:spacing w:val="2"/>
          <w:sz w:val="24"/>
          <w:szCs w:val="24"/>
        </w:rPr>
      </w:pPr>
      <w:r w:rsidRPr="00B23CB4">
        <w:rPr>
          <w:rFonts w:cs="Arial"/>
          <w:spacing w:val="2"/>
          <w:sz w:val="24"/>
          <w:szCs w:val="24"/>
        </w:rPr>
        <w:t>En mérito de lo expuesto, el Tribunal Superior del Distrito Judicial de Pereira - Risaralda, Sala Cuarta de Decisión Laboral, administrando justicia en nombre de la República y por autoridad de la ley,</w:t>
      </w:r>
    </w:p>
    <w:p w14:paraId="56C136BD" w14:textId="77777777" w:rsidR="003B3197" w:rsidRPr="00B23CB4" w:rsidRDefault="003B3197" w:rsidP="00130A70">
      <w:pPr>
        <w:pStyle w:val="Sinespaciado"/>
        <w:spacing w:line="276" w:lineRule="auto"/>
        <w:rPr>
          <w:rFonts w:ascii="Arial" w:hAnsi="Arial" w:cs="Arial"/>
          <w:spacing w:val="2"/>
          <w:szCs w:val="24"/>
        </w:rPr>
      </w:pPr>
    </w:p>
    <w:p w14:paraId="4D5DD3A4" w14:textId="77777777" w:rsidR="003B3197" w:rsidRPr="00B23CB4" w:rsidRDefault="4653F458" w:rsidP="00130A70">
      <w:pPr>
        <w:pStyle w:val="Sinespaciado"/>
        <w:tabs>
          <w:tab w:val="left" w:pos="3143"/>
        </w:tabs>
        <w:spacing w:line="276" w:lineRule="auto"/>
        <w:jc w:val="center"/>
        <w:rPr>
          <w:rFonts w:ascii="Arial" w:hAnsi="Arial" w:cs="Arial"/>
          <w:b/>
          <w:bCs/>
          <w:spacing w:val="2"/>
          <w:szCs w:val="24"/>
        </w:rPr>
      </w:pPr>
      <w:r w:rsidRPr="00B23CB4">
        <w:rPr>
          <w:rFonts w:ascii="Arial" w:hAnsi="Arial" w:cs="Arial"/>
          <w:b/>
          <w:bCs/>
          <w:spacing w:val="2"/>
          <w:szCs w:val="24"/>
        </w:rPr>
        <w:t>RESUELVE:</w:t>
      </w:r>
    </w:p>
    <w:p w14:paraId="76078208" w14:textId="77777777" w:rsidR="003B3197" w:rsidRPr="00B23CB4" w:rsidRDefault="003B3197" w:rsidP="00130A70">
      <w:pPr>
        <w:pStyle w:val="Sinespaciado"/>
        <w:spacing w:line="276" w:lineRule="auto"/>
        <w:rPr>
          <w:rFonts w:ascii="Arial" w:hAnsi="Arial" w:cs="Arial"/>
          <w:spacing w:val="2"/>
          <w:szCs w:val="24"/>
        </w:rPr>
      </w:pPr>
    </w:p>
    <w:p w14:paraId="191468D7" w14:textId="11F0EB9B" w:rsidR="003B3197" w:rsidRPr="00B23CB4" w:rsidRDefault="4653F458" w:rsidP="00130A70">
      <w:pPr>
        <w:spacing w:line="276" w:lineRule="auto"/>
        <w:jc w:val="both"/>
        <w:rPr>
          <w:rFonts w:ascii="Arial" w:hAnsi="Arial" w:cs="Arial"/>
          <w:spacing w:val="2"/>
          <w:szCs w:val="24"/>
        </w:rPr>
      </w:pPr>
      <w:r w:rsidRPr="00B23CB4">
        <w:rPr>
          <w:rFonts w:ascii="Arial" w:hAnsi="Arial" w:cs="Arial"/>
          <w:b/>
          <w:bCs/>
          <w:spacing w:val="2"/>
          <w:szCs w:val="24"/>
        </w:rPr>
        <w:t xml:space="preserve">PRIMERO: </w:t>
      </w:r>
      <w:r w:rsidR="003B3197" w:rsidRPr="00B23CB4">
        <w:rPr>
          <w:rFonts w:ascii="Arial" w:hAnsi="Arial" w:cs="Arial"/>
          <w:b/>
          <w:bCs/>
          <w:spacing w:val="2"/>
          <w:szCs w:val="24"/>
        </w:rPr>
        <w:tab/>
      </w:r>
      <w:r w:rsidR="3F05425A" w:rsidRPr="00B23CB4">
        <w:rPr>
          <w:rFonts w:ascii="Arial" w:hAnsi="Arial" w:cs="Arial"/>
          <w:b/>
          <w:bCs/>
          <w:spacing w:val="2"/>
          <w:szCs w:val="24"/>
        </w:rPr>
        <w:t>MODIFICAR</w:t>
      </w:r>
      <w:r w:rsidR="3F05425A" w:rsidRPr="00B23CB4">
        <w:rPr>
          <w:rFonts w:ascii="Arial" w:hAnsi="Arial" w:cs="Arial"/>
          <w:spacing w:val="2"/>
          <w:szCs w:val="24"/>
        </w:rPr>
        <w:t xml:space="preserve"> </w:t>
      </w:r>
      <w:r w:rsidRPr="00B23CB4">
        <w:rPr>
          <w:rFonts w:ascii="Arial" w:hAnsi="Arial" w:cs="Arial"/>
          <w:spacing w:val="2"/>
          <w:szCs w:val="24"/>
        </w:rPr>
        <w:t xml:space="preserve"> el ordinal 2º de la sentencia proferida el </w:t>
      </w:r>
      <w:r w:rsidR="2030F0AB" w:rsidRPr="00B23CB4">
        <w:rPr>
          <w:rFonts w:ascii="Arial" w:hAnsi="Arial" w:cs="Arial"/>
          <w:spacing w:val="2"/>
          <w:szCs w:val="24"/>
        </w:rPr>
        <w:t xml:space="preserve">5 </w:t>
      </w:r>
      <w:r w:rsidRPr="00B23CB4">
        <w:rPr>
          <w:rFonts w:ascii="Arial" w:hAnsi="Arial" w:cs="Arial"/>
          <w:spacing w:val="2"/>
          <w:szCs w:val="24"/>
        </w:rPr>
        <w:t xml:space="preserve">de agosto de 2019 por el Juzgado </w:t>
      </w:r>
      <w:r w:rsidR="2030F0AB" w:rsidRPr="00B23CB4">
        <w:rPr>
          <w:rFonts w:ascii="Arial" w:hAnsi="Arial" w:cs="Arial"/>
          <w:spacing w:val="2"/>
          <w:szCs w:val="24"/>
        </w:rPr>
        <w:t>Cuarto</w:t>
      </w:r>
      <w:r w:rsidRPr="00B23CB4">
        <w:rPr>
          <w:rFonts w:ascii="Arial" w:hAnsi="Arial" w:cs="Arial"/>
          <w:spacing w:val="2"/>
          <w:szCs w:val="24"/>
        </w:rPr>
        <w:t xml:space="preserve"> Laboral del Circuito de esta ciudad, dentro del proceso de la referencia, en el sentido de </w:t>
      </w:r>
      <w:r w:rsidRPr="00B23CB4">
        <w:rPr>
          <w:rFonts w:ascii="Arial" w:hAnsi="Arial" w:cs="Arial"/>
          <w:b/>
          <w:bCs/>
          <w:spacing w:val="2"/>
          <w:szCs w:val="24"/>
        </w:rPr>
        <w:t>ORDENAR A LA A.F.P PROTECCIÓN S.A.,</w:t>
      </w:r>
      <w:r w:rsidRPr="00B23CB4">
        <w:rPr>
          <w:rFonts w:ascii="Arial" w:hAnsi="Arial" w:cs="Arial"/>
          <w:spacing w:val="2"/>
          <w:szCs w:val="24"/>
        </w:rPr>
        <w:t xml:space="preserve"> trasladar</w:t>
      </w:r>
      <w:r w:rsidR="3F05425A" w:rsidRPr="00B23CB4">
        <w:rPr>
          <w:rFonts w:ascii="Arial" w:hAnsi="Arial" w:cs="Arial"/>
          <w:spacing w:val="2"/>
          <w:szCs w:val="24"/>
        </w:rPr>
        <w:t xml:space="preserve"> con destino a </w:t>
      </w:r>
      <w:r w:rsidR="3F05425A" w:rsidRPr="00B23CB4">
        <w:rPr>
          <w:rFonts w:ascii="Arial" w:hAnsi="Arial" w:cs="Arial"/>
          <w:b/>
          <w:bCs/>
          <w:spacing w:val="2"/>
          <w:szCs w:val="24"/>
        </w:rPr>
        <w:t>COLPENSIONES</w:t>
      </w:r>
      <w:r w:rsidRPr="00B23CB4">
        <w:rPr>
          <w:rFonts w:ascii="Arial" w:hAnsi="Arial" w:cs="Arial"/>
          <w:spacing w:val="2"/>
          <w:szCs w:val="24"/>
        </w:rPr>
        <w:t xml:space="preserve">  </w:t>
      </w:r>
      <w:r w:rsidR="214E3D85" w:rsidRPr="00B23CB4">
        <w:rPr>
          <w:rFonts w:ascii="Arial" w:hAnsi="Arial" w:cs="Arial"/>
          <w:spacing w:val="2"/>
          <w:szCs w:val="24"/>
        </w:rPr>
        <w:t xml:space="preserve">además de </w:t>
      </w:r>
      <w:r w:rsidRPr="00B23CB4">
        <w:rPr>
          <w:rFonts w:ascii="Arial" w:hAnsi="Arial" w:cs="Arial"/>
          <w:spacing w:val="2"/>
          <w:szCs w:val="24"/>
        </w:rPr>
        <w:t xml:space="preserve">la totalidad del capital acumulado en la  cuenta de ahorro individual de la demandante, </w:t>
      </w:r>
      <w:r w:rsidR="01D038D0" w:rsidRPr="00B23CB4">
        <w:rPr>
          <w:rFonts w:ascii="Arial" w:hAnsi="Arial" w:cs="Arial"/>
          <w:spacing w:val="2"/>
          <w:szCs w:val="24"/>
        </w:rPr>
        <w:t xml:space="preserve">junto </w:t>
      </w:r>
      <w:r w:rsidRPr="00B23CB4">
        <w:rPr>
          <w:rFonts w:ascii="Arial" w:hAnsi="Arial" w:cs="Arial"/>
          <w:spacing w:val="2"/>
          <w:szCs w:val="24"/>
        </w:rPr>
        <w:t>con sus respectivos rendimientos, bonos pensionales, saldos, frutos, intereses</w:t>
      </w:r>
      <w:r w:rsidR="58939818" w:rsidRPr="00B23CB4">
        <w:rPr>
          <w:rFonts w:ascii="Arial" w:hAnsi="Arial" w:cs="Arial"/>
          <w:spacing w:val="2"/>
          <w:szCs w:val="24"/>
        </w:rPr>
        <w:t xml:space="preserve">, los </w:t>
      </w:r>
      <w:r w:rsidRPr="00B23CB4">
        <w:rPr>
          <w:rFonts w:ascii="Arial" w:hAnsi="Arial" w:cs="Arial"/>
          <w:spacing w:val="2"/>
          <w:szCs w:val="24"/>
        </w:rPr>
        <w:t xml:space="preserve">gastos de administración </w:t>
      </w:r>
      <w:r w:rsidR="33D69865" w:rsidRPr="00B23CB4">
        <w:rPr>
          <w:rFonts w:ascii="Arial" w:eastAsia="Arial Narrow" w:hAnsi="Arial" w:cs="Arial"/>
          <w:spacing w:val="2"/>
          <w:szCs w:val="24"/>
          <w:lang w:val="es-ES"/>
        </w:rPr>
        <w:t xml:space="preserve">(incluyendo lo correspondiente a seguros previsionales y otros), las sumas que retuvo para el fondo de garantía de pensión mínima </w:t>
      </w:r>
      <w:r w:rsidRPr="00B23CB4">
        <w:rPr>
          <w:rFonts w:ascii="Arial" w:hAnsi="Arial" w:cs="Arial"/>
          <w:spacing w:val="2"/>
          <w:szCs w:val="24"/>
        </w:rPr>
        <w:t xml:space="preserve">y las comisiones cobradas con cargo a sus propios recursos, y debidamente indexados, con destino a la Administradora Colombiana de Pensiones Colpensiones.  </w:t>
      </w:r>
    </w:p>
    <w:p w14:paraId="3F06C45E" w14:textId="77777777" w:rsidR="003B3197" w:rsidRPr="00B23CB4" w:rsidRDefault="003B3197" w:rsidP="00130A70">
      <w:pPr>
        <w:tabs>
          <w:tab w:val="left" w:pos="709"/>
        </w:tabs>
        <w:spacing w:line="276" w:lineRule="auto"/>
        <w:jc w:val="both"/>
        <w:rPr>
          <w:rFonts w:ascii="Arial" w:hAnsi="Arial" w:cs="Arial"/>
          <w:spacing w:val="2"/>
          <w:szCs w:val="24"/>
        </w:rPr>
      </w:pPr>
    </w:p>
    <w:p w14:paraId="01A80FD6" w14:textId="555A397E" w:rsidR="003B3197" w:rsidRPr="00B23CB4" w:rsidRDefault="4653F458" w:rsidP="00130A70">
      <w:pPr>
        <w:pStyle w:val="Textoindependiente31"/>
        <w:tabs>
          <w:tab w:val="left" w:pos="709"/>
        </w:tabs>
        <w:spacing w:line="276" w:lineRule="auto"/>
        <w:rPr>
          <w:rFonts w:cs="Arial"/>
          <w:spacing w:val="2"/>
          <w:sz w:val="24"/>
          <w:szCs w:val="24"/>
        </w:rPr>
      </w:pPr>
      <w:r w:rsidRPr="00B23CB4">
        <w:rPr>
          <w:rFonts w:cs="Arial"/>
          <w:b/>
          <w:bCs/>
          <w:spacing w:val="2"/>
          <w:sz w:val="24"/>
          <w:szCs w:val="24"/>
        </w:rPr>
        <w:t>SEGUNDO. CONFIRMAR</w:t>
      </w:r>
      <w:r w:rsidRPr="00B23CB4">
        <w:rPr>
          <w:rFonts w:cs="Arial"/>
          <w:spacing w:val="2"/>
          <w:sz w:val="24"/>
          <w:szCs w:val="24"/>
        </w:rPr>
        <w:t xml:space="preserve"> </w:t>
      </w:r>
      <w:r w:rsidR="3F05425A" w:rsidRPr="00B23CB4">
        <w:rPr>
          <w:rFonts w:cs="Arial"/>
          <w:spacing w:val="2"/>
          <w:sz w:val="24"/>
          <w:szCs w:val="24"/>
        </w:rPr>
        <w:t>en t</w:t>
      </w:r>
      <w:r w:rsidRPr="00B23CB4">
        <w:rPr>
          <w:rFonts w:cs="Arial"/>
          <w:spacing w:val="2"/>
          <w:sz w:val="24"/>
          <w:szCs w:val="24"/>
        </w:rPr>
        <w:t xml:space="preserve">odo lo demás.  </w:t>
      </w:r>
    </w:p>
    <w:p w14:paraId="2774355F" w14:textId="77777777" w:rsidR="003B3197" w:rsidRPr="00B23CB4" w:rsidRDefault="003B3197" w:rsidP="00130A70">
      <w:pPr>
        <w:pStyle w:val="Textoindependiente31"/>
        <w:tabs>
          <w:tab w:val="left" w:pos="709"/>
        </w:tabs>
        <w:spacing w:line="276" w:lineRule="auto"/>
        <w:rPr>
          <w:rFonts w:cs="Arial"/>
          <w:spacing w:val="2"/>
          <w:sz w:val="24"/>
          <w:szCs w:val="24"/>
        </w:rPr>
      </w:pPr>
    </w:p>
    <w:p w14:paraId="303052EF" w14:textId="4A726377" w:rsidR="003B3197" w:rsidRPr="00B23CB4" w:rsidRDefault="4653F458" w:rsidP="00130A70">
      <w:pPr>
        <w:pStyle w:val="Textoindependiente31"/>
        <w:tabs>
          <w:tab w:val="left" w:pos="709"/>
        </w:tabs>
        <w:spacing w:line="276" w:lineRule="auto"/>
        <w:rPr>
          <w:rFonts w:cs="Arial"/>
          <w:spacing w:val="2"/>
          <w:sz w:val="24"/>
          <w:szCs w:val="24"/>
        </w:rPr>
      </w:pPr>
      <w:r w:rsidRPr="00B23CB4">
        <w:rPr>
          <w:rFonts w:cs="Arial"/>
          <w:b/>
          <w:bCs/>
          <w:spacing w:val="2"/>
          <w:sz w:val="24"/>
          <w:szCs w:val="24"/>
        </w:rPr>
        <w:t>TERCERO. C</w:t>
      </w:r>
      <w:r w:rsidR="3F05425A" w:rsidRPr="00B23CB4">
        <w:rPr>
          <w:rFonts w:cs="Arial"/>
          <w:b/>
          <w:bCs/>
          <w:spacing w:val="2"/>
          <w:sz w:val="24"/>
          <w:szCs w:val="24"/>
        </w:rPr>
        <w:t>OSTAS</w:t>
      </w:r>
      <w:r w:rsidRPr="00B23CB4">
        <w:rPr>
          <w:rFonts w:cs="Arial"/>
          <w:spacing w:val="2"/>
          <w:sz w:val="24"/>
          <w:szCs w:val="24"/>
        </w:rPr>
        <w:t xml:space="preserve"> en esta instancia a cargo de </w:t>
      </w:r>
      <w:r w:rsidR="2030F0AB" w:rsidRPr="00B23CB4">
        <w:rPr>
          <w:rFonts w:cs="Arial"/>
          <w:spacing w:val="2"/>
          <w:sz w:val="24"/>
          <w:szCs w:val="24"/>
        </w:rPr>
        <w:t xml:space="preserve">la AFP Protección S.A. </w:t>
      </w:r>
      <w:r w:rsidRPr="00B23CB4">
        <w:rPr>
          <w:rFonts w:cs="Arial"/>
          <w:spacing w:val="2"/>
          <w:sz w:val="24"/>
          <w:szCs w:val="24"/>
        </w:rPr>
        <w:t xml:space="preserve">y en favor de la demandante. </w:t>
      </w:r>
    </w:p>
    <w:p w14:paraId="48EA5C80" w14:textId="77777777" w:rsidR="003B3197" w:rsidRPr="00B23CB4" w:rsidRDefault="003B3197" w:rsidP="00130A70">
      <w:pPr>
        <w:pStyle w:val="Sinespaciado"/>
        <w:spacing w:line="276" w:lineRule="auto"/>
        <w:rPr>
          <w:rFonts w:ascii="Arial" w:hAnsi="Arial" w:cs="Arial"/>
          <w:spacing w:val="2"/>
          <w:szCs w:val="24"/>
        </w:rPr>
      </w:pPr>
    </w:p>
    <w:p w14:paraId="61EB6923" w14:textId="6B288190" w:rsidR="003B3197" w:rsidRPr="00B23CB4" w:rsidRDefault="00B23CB4" w:rsidP="00130A70">
      <w:pPr>
        <w:pStyle w:val="Sinespaciado"/>
        <w:tabs>
          <w:tab w:val="left" w:pos="2918"/>
        </w:tabs>
        <w:spacing w:line="276" w:lineRule="auto"/>
        <w:rPr>
          <w:rFonts w:ascii="Arial" w:hAnsi="Arial" w:cs="Arial"/>
          <w:spacing w:val="2"/>
          <w:szCs w:val="24"/>
        </w:rPr>
      </w:pPr>
      <w:r>
        <w:rPr>
          <w:rFonts w:ascii="Arial" w:hAnsi="Arial" w:cs="Arial"/>
          <w:spacing w:val="2"/>
          <w:szCs w:val="24"/>
        </w:rPr>
        <w:t>Notifíquese y cúmplase</w:t>
      </w:r>
    </w:p>
    <w:p w14:paraId="1F2D4294" w14:textId="77777777" w:rsidR="003B3197" w:rsidRPr="00B23CB4" w:rsidRDefault="003B3197" w:rsidP="00130A70">
      <w:pPr>
        <w:pStyle w:val="Sinespaciado"/>
        <w:tabs>
          <w:tab w:val="left" w:pos="2918"/>
        </w:tabs>
        <w:spacing w:line="276" w:lineRule="auto"/>
        <w:rPr>
          <w:rFonts w:ascii="Arial" w:hAnsi="Arial" w:cs="Arial"/>
          <w:spacing w:val="2"/>
          <w:szCs w:val="24"/>
        </w:rPr>
      </w:pPr>
    </w:p>
    <w:p w14:paraId="6241A2B0" w14:textId="77777777" w:rsidR="00130A70" w:rsidRPr="00B23CB4" w:rsidRDefault="00130A70" w:rsidP="00130A70">
      <w:pPr>
        <w:spacing w:line="276" w:lineRule="auto"/>
        <w:rPr>
          <w:rFonts w:ascii="Arial" w:hAnsi="Arial" w:cs="Arial"/>
          <w:spacing w:val="2"/>
          <w:szCs w:val="24"/>
        </w:rPr>
      </w:pPr>
      <w:r w:rsidRPr="00B23CB4">
        <w:rPr>
          <w:rFonts w:ascii="Arial" w:hAnsi="Arial" w:cs="Arial"/>
          <w:spacing w:val="2"/>
          <w:szCs w:val="24"/>
        </w:rPr>
        <w:t xml:space="preserve">Los integrantes de la Sala, </w:t>
      </w:r>
    </w:p>
    <w:p w14:paraId="0B0B34C0" w14:textId="77777777" w:rsidR="00130A70" w:rsidRPr="00B23CB4" w:rsidRDefault="00130A70" w:rsidP="00130A70">
      <w:pPr>
        <w:spacing w:line="276" w:lineRule="auto"/>
        <w:jc w:val="both"/>
        <w:rPr>
          <w:rFonts w:ascii="Arial" w:hAnsi="Arial" w:cs="Arial"/>
          <w:spacing w:val="2"/>
          <w:szCs w:val="24"/>
        </w:rPr>
      </w:pPr>
    </w:p>
    <w:p w14:paraId="5E57CB39" w14:textId="77777777" w:rsidR="00130A70" w:rsidRPr="00B23CB4" w:rsidRDefault="00130A70" w:rsidP="00130A70">
      <w:pPr>
        <w:spacing w:line="276" w:lineRule="auto"/>
        <w:jc w:val="both"/>
        <w:rPr>
          <w:rFonts w:ascii="Arial" w:hAnsi="Arial" w:cs="Arial"/>
          <w:spacing w:val="2"/>
          <w:szCs w:val="24"/>
        </w:rPr>
      </w:pPr>
    </w:p>
    <w:p w14:paraId="691C38F9" w14:textId="77777777" w:rsidR="00130A70" w:rsidRPr="00B23CB4" w:rsidRDefault="00130A70" w:rsidP="00130A70">
      <w:pPr>
        <w:spacing w:line="276" w:lineRule="auto"/>
        <w:jc w:val="both"/>
        <w:rPr>
          <w:rFonts w:ascii="Arial" w:hAnsi="Arial" w:cs="Arial"/>
          <w:spacing w:val="2"/>
          <w:szCs w:val="24"/>
        </w:rPr>
      </w:pPr>
    </w:p>
    <w:p w14:paraId="7AC29E8A" w14:textId="77777777" w:rsidR="00130A70" w:rsidRPr="00B23CB4" w:rsidRDefault="00130A70" w:rsidP="00130A70">
      <w:pPr>
        <w:spacing w:line="276" w:lineRule="auto"/>
        <w:jc w:val="center"/>
        <w:rPr>
          <w:rFonts w:ascii="Arial" w:hAnsi="Arial" w:cs="Arial"/>
          <w:b/>
          <w:bCs/>
          <w:iCs/>
          <w:spacing w:val="2"/>
          <w:szCs w:val="24"/>
          <w:lang w:val="es-ES"/>
        </w:rPr>
      </w:pPr>
      <w:r w:rsidRPr="00B23CB4">
        <w:rPr>
          <w:rFonts w:ascii="Arial" w:hAnsi="Arial" w:cs="Arial"/>
          <w:b/>
          <w:bCs/>
          <w:iCs/>
          <w:spacing w:val="2"/>
          <w:szCs w:val="24"/>
          <w:lang w:val="es-ES"/>
        </w:rPr>
        <w:t>ALEJANDRA MARÍA HENAO PALACIO</w:t>
      </w:r>
    </w:p>
    <w:p w14:paraId="17491E87" w14:textId="77777777" w:rsidR="00130A70" w:rsidRPr="00B23CB4" w:rsidRDefault="00130A70" w:rsidP="00130A70">
      <w:pPr>
        <w:spacing w:line="276" w:lineRule="auto"/>
        <w:jc w:val="center"/>
        <w:rPr>
          <w:rFonts w:ascii="Arial" w:hAnsi="Arial" w:cs="Arial"/>
          <w:bCs/>
          <w:iCs/>
          <w:spacing w:val="2"/>
          <w:szCs w:val="24"/>
          <w:lang w:val="es-ES"/>
        </w:rPr>
      </w:pPr>
      <w:r w:rsidRPr="00B23CB4">
        <w:rPr>
          <w:rFonts w:ascii="Arial" w:hAnsi="Arial" w:cs="Arial"/>
          <w:bCs/>
          <w:iCs/>
          <w:spacing w:val="2"/>
          <w:szCs w:val="24"/>
          <w:lang w:val="es-ES"/>
        </w:rPr>
        <w:t>Magistrada Ponente</w:t>
      </w:r>
    </w:p>
    <w:p w14:paraId="6B24E766" w14:textId="77777777" w:rsidR="00130A70" w:rsidRPr="00B23CB4" w:rsidRDefault="00130A70" w:rsidP="00130A70">
      <w:pPr>
        <w:spacing w:line="276" w:lineRule="auto"/>
        <w:jc w:val="both"/>
        <w:rPr>
          <w:rFonts w:ascii="Arial" w:hAnsi="Arial" w:cs="Arial"/>
          <w:spacing w:val="2"/>
          <w:szCs w:val="24"/>
        </w:rPr>
      </w:pPr>
    </w:p>
    <w:p w14:paraId="01CE2367" w14:textId="77777777" w:rsidR="00130A70" w:rsidRPr="00B23CB4" w:rsidRDefault="00130A70" w:rsidP="00130A70">
      <w:pPr>
        <w:spacing w:line="276" w:lineRule="auto"/>
        <w:jc w:val="both"/>
        <w:rPr>
          <w:rFonts w:ascii="Arial" w:hAnsi="Arial" w:cs="Arial"/>
          <w:spacing w:val="2"/>
          <w:szCs w:val="24"/>
        </w:rPr>
      </w:pPr>
    </w:p>
    <w:p w14:paraId="58B0FD0A" w14:textId="77777777" w:rsidR="00130A70" w:rsidRPr="00B23CB4" w:rsidRDefault="00130A70" w:rsidP="00130A70">
      <w:pPr>
        <w:spacing w:line="276" w:lineRule="auto"/>
        <w:jc w:val="both"/>
        <w:rPr>
          <w:rFonts w:ascii="Arial" w:hAnsi="Arial" w:cs="Arial"/>
          <w:spacing w:val="2"/>
          <w:szCs w:val="24"/>
        </w:rPr>
      </w:pPr>
    </w:p>
    <w:p w14:paraId="18E83E0E" w14:textId="77777777" w:rsidR="00130A70" w:rsidRPr="00B23CB4" w:rsidRDefault="00130A70" w:rsidP="00130A70">
      <w:pPr>
        <w:spacing w:line="276" w:lineRule="auto"/>
        <w:jc w:val="both"/>
        <w:rPr>
          <w:rFonts w:ascii="Arial" w:hAnsi="Arial" w:cs="Arial"/>
          <w:b/>
          <w:bCs/>
          <w:iCs/>
          <w:spacing w:val="2"/>
          <w:szCs w:val="24"/>
          <w:lang w:val="es-ES"/>
        </w:rPr>
      </w:pPr>
      <w:r w:rsidRPr="00B23CB4">
        <w:rPr>
          <w:rFonts w:ascii="Arial" w:hAnsi="Arial" w:cs="Arial"/>
          <w:b/>
          <w:bCs/>
          <w:iCs/>
          <w:spacing w:val="2"/>
          <w:szCs w:val="24"/>
          <w:lang w:val="es-ES"/>
        </w:rPr>
        <w:t>ANA LUCÍA CAICEDO CALDERÓN</w:t>
      </w:r>
      <w:r w:rsidRPr="00B23CB4">
        <w:rPr>
          <w:rFonts w:ascii="Arial" w:hAnsi="Arial" w:cs="Arial"/>
          <w:b/>
          <w:bCs/>
          <w:iCs/>
          <w:spacing w:val="2"/>
          <w:szCs w:val="24"/>
          <w:lang w:val="es-ES"/>
        </w:rPr>
        <w:tab/>
        <w:t xml:space="preserve">      OLGA LUCIA HOYOS SEPÚLVEDA</w:t>
      </w:r>
    </w:p>
    <w:p w14:paraId="20A15543" w14:textId="77777777" w:rsidR="00130A70" w:rsidRPr="00B23CB4" w:rsidRDefault="00130A70" w:rsidP="00130A70">
      <w:pPr>
        <w:spacing w:line="276" w:lineRule="auto"/>
        <w:jc w:val="both"/>
        <w:rPr>
          <w:rFonts w:ascii="Arial" w:hAnsi="Arial" w:cs="Arial"/>
          <w:bCs/>
          <w:iCs/>
          <w:spacing w:val="2"/>
          <w:szCs w:val="24"/>
          <w:lang w:val="es-ES"/>
        </w:rPr>
      </w:pPr>
      <w:r w:rsidRPr="00B23CB4">
        <w:rPr>
          <w:rFonts w:ascii="Arial" w:hAnsi="Arial" w:cs="Arial"/>
          <w:bCs/>
          <w:iCs/>
          <w:spacing w:val="2"/>
          <w:szCs w:val="24"/>
          <w:lang w:val="es-ES"/>
        </w:rPr>
        <w:t xml:space="preserve">                Magistrada</w:t>
      </w:r>
      <w:r w:rsidRPr="00B23CB4">
        <w:rPr>
          <w:rFonts w:ascii="Arial" w:hAnsi="Arial" w:cs="Arial"/>
          <w:bCs/>
          <w:iCs/>
          <w:spacing w:val="2"/>
          <w:szCs w:val="24"/>
          <w:lang w:val="es-ES"/>
        </w:rPr>
        <w:tab/>
      </w:r>
      <w:r w:rsidRPr="00B23CB4">
        <w:rPr>
          <w:rFonts w:ascii="Arial" w:hAnsi="Arial" w:cs="Arial"/>
          <w:bCs/>
          <w:iCs/>
          <w:spacing w:val="2"/>
          <w:szCs w:val="24"/>
          <w:lang w:val="es-ES"/>
        </w:rPr>
        <w:tab/>
      </w:r>
      <w:r w:rsidRPr="00B23CB4">
        <w:rPr>
          <w:rFonts w:ascii="Arial" w:hAnsi="Arial" w:cs="Arial"/>
          <w:bCs/>
          <w:iCs/>
          <w:spacing w:val="2"/>
          <w:szCs w:val="24"/>
          <w:lang w:val="es-ES"/>
        </w:rPr>
        <w:tab/>
      </w:r>
      <w:r w:rsidRPr="00B23CB4">
        <w:rPr>
          <w:rFonts w:ascii="Arial" w:hAnsi="Arial" w:cs="Arial"/>
          <w:bCs/>
          <w:iCs/>
          <w:spacing w:val="2"/>
          <w:szCs w:val="24"/>
          <w:lang w:val="es-ES"/>
        </w:rPr>
        <w:tab/>
      </w:r>
      <w:r w:rsidRPr="00B23CB4">
        <w:rPr>
          <w:rFonts w:ascii="Arial" w:hAnsi="Arial" w:cs="Arial"/>
          <w:bCs/>
          <w:iCs/>
          <w:spacing w:val="2"/>
          <w:szCs w:val="24"/>
          <w:lang w:val="es-ES"/>
        </w:rPr>
        <w:tab/>
        <w:t xml:space="preserve">      Magistrada</w:t>
      </w:r>
    </w:p>
    <w:p w14:paraId="13A079BB" w14:textId="14CD67A9" w:rsidR="00E9624C" w:rsidRPr="00B23CB4" w:rsidRDefault="00130A70" w:rsidP="00130A70">
      <w:pPr>
        <w:spacing w:line="276" w:lineRule="auto"/>
        <w:rPr>
          <w:rFonts w:ascii="Arial" w:hAnsi="Arial" w:cs="Arial"/>
          <w:spacing w:val="2"/>
          <w:szCs w:val="24"/>
        </w:rPr>
      </w:pPr>
      <w:r w:rsidRPr="00B23CB4">
        <w:rPr>
          <w:rFonts w:ascii="Arial" w:hAnsi="Arial" w:cs="Arial"/>
          <w:spacing w:val="2"/>
          <w:szCs w:val="24"/>
        </w:rPr>
        <w:tab/>
      </w:r>
      <w:r w:rsidRPr="00B23CB4">
        <w:rPr>
          <w:rFonts w:ascii="Arial" w:hAnsi="Arial" w:cs="Arial"/>
          <w:spacing w:val="2"/>
          <w:szCs w:val="24"/>
        </w:rPr>
        <w:tab/>
      </w:r>
      <w:r w:rsidRPr="00B23CB4">
        <w:rPr>
          <w:rFonts w:ascii="Arial" w:hAnsi="Arial" w:cs="Arial"/>
          <w:spacing w:val="2"/>
          <w:szCs w:val="24"/>
        </w:rPr>
        <w:tab/>
      </w:r>
      <w:r w:rsidRPr="00B23CB4">
        <w:rPr>
          <w:rFonts w:ascii="Arial" w:hAnsi="Arial" w:cs="Arial"/>
          <w:spacing w:val="2"/>
          <w:szCs w:val="24"/>
        </w:rPr>
        <w:tab/>
      </w:r>
      <w:r w:rsidRPr="00B23CB4">
        <w:rPr>
          <w:rFonts w:ascii="Arial" w:hAnsi="Arial" w:cs="Arial"/>
          <w:spacing w:val="2"/>
          <w:szCs w:val="24"/>
        </w:rPr>
        <w:tab/>
      </w:r>
      <w:r w:rsidRPr="00B23CB4">
        <w:rPr>
          <w:rFonts w:ascii="Arial" w:hAnsi="Arial" w:cs="Arial"/>
          <w:spacing w:val="2"/>
          <w:szCs w:val="24"/>
        </w:rPr>
        <w:tab/>
      </w:r>
      <w:r w:rsidRPr="00B23CB4">
        <w:rPr>
          <w:rFonts w:ascii="Arial" w:hAnsi="Arial" w:cs="Arial"/>
          <w:spacing w:val="2"/>
          <w:szCs w:val="24"/>
        </w:rPr>
        <w:tab/>
      </w:r>
      <w:r w:rsidRPr="00B23CB4">
        <w:rPr>
          <w:rFonts w:ascii="Arial" w:hAnsi="Arial" w:cs="Arial"/>
          <w:spacing w:val="2"/>
          <w:szCs w:val="24"/>
        </w:rPr>
        <w:tab/>
      </w:r>
      <w:r w:rsidRPr="00B23CB4">
        <w:rPr>
          <w:rFonts w:ascii="Arial" w:hAnsi="Arial" w:cs="Arial"/>
          <w:bCs/>
          <w:iCs/>
          <w:spacing w:val="2"/>
          <w:szCs w:val="24"/>
          <w:lang w:val="es-ES"/>
        </w:rPr>
        <w:t xml:space="preserve">      Aclara voto</w:t>
      </w:r>
    </w:p>
    <w:sectPr w:rsidR="00E9624C" w:rsidRPr="00B23CB4" w:rsidSect="00130A70">
      <w:head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0A9325" w16cex:dateUtc="2020-08-25T13:31:35.824Z"/>
  <w16cex:commentExtensible w16cex:durableId="4CBCF764" w16cex:dateUtc="2020-08-25T14:57:00.26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94A7E" w14:textId="77777777" w:rsidR="005C1348" w:rsidRDefault="005C1348" w:rsidP="003B3197">
      <w:r>
        <w:separator/>
      </w:r>
    </w:p>
  </w:endnote>
  <w:endnote w:type="continuationSeparator" w:id="0">
    <w:p w14:paraId="056FB160" w14:textId="77777777" w:rsidR="005C1348" w:rsidRDefault="005C1348" w:rsidP="003B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51EB1" w14:textId="77777777" w:rsidR="005C1348" w:rsidRDefault="005C1348" w:rsidP="003B3197">
      <w:r>
        <w:separator/>
      </w:r>
    </w:p>
  </w:footnote>
  <w:footnote w:type="continuationSeparator" w:id="0">
    <w:p w14:paraId="51BA6ED6" w14:textId="77777777" w:rsidR="005C1348" w:rsidRDefault="005C1348" w:rsidP="003B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D8821" w14:textId="77777777" w:rsidR="00017EA3" w:rsidRPr="00130A70" w:rsidRDefault="00E025CA" w:rsidP="00130A70">
    <w:pPr>
      <w:pStyle w:val="Ttulo2"/>
      <w:tabs>
        <w:tab w:val="right" w:pos="8931"/>
      </w:tabs>
      <w:ind w:right="-92"/>
      <w:jc w:val="both"/>
      <w:rPr>
        <w:rFonts w:ascii="Arial" w:hAnsi="Arial" w:cs="Arial"/>
        <w:bCs/>
        <w:color w:val="000000" w:themeColor="text1"/>
        <w:sz w:val="18"/>
        <w:szCs w:val="18"/>
      </w:rPr>
    </w:pPr>
    <w:r w:rsidRPr="00130A70">
      <w:rPr>
        <w:rFonts w:ascii="Arial" w:hAnsi="Arial" w:cs="Arial"/>
        <w:color w:val="000000" w:themeColor="text1"/>
        <w:sz w:val="18"/>
        <w:szCs w:val="18"/>
      </w:rPr>
      <w:t xml:space="preserve">Radicación No. </w:t>
    </w:r>
    <w:r w:rsidRPr="00130A70">
      <w:rPr>
        <w:rFonts w:ascii="Arial" w:hAnsi="Arial" w:cs="Arial"/>
        <w:bCs/>
        <w:color w:val="000000" w:themeColor="text1"/>
        <w:sz w:val="18"/>
        <w:szCs w:val="18"/>
      </w:rPr>
      <w:t>66001–31-05–005-2018-00</w:t>
    </w:r>
    <w:r w:rsidR="003B3197" w:rsidRPr="00130A70">
      <w:rPr>
        <w:rFonts w:ascii="Arial" w:hAnsi="Arial" w:cs="Arial"/>
        <w:bCs/>
        <w:color w:val="000000" w:themeColor="text1"/>
        <w:sz w:val="18"/>
        <w:szCs w:val="18"/>
      </w:rPr>
      <w:t>230</w:t>
    </w:r>
    <w:r w:rsidRPr="00130A70">
      <w:rPr>
        <w:rFonts w:ascii="Arial" w:hAnsi="Arial" w:cs="Arial"/>
        <w:bCs/>
        <w:color w:val="000000" w:themeColor="text1"/>
        <w:sz w:val="18"/>
        <w:szCs w:val="18"/>
      </w:rPr>
      <w:t>-01</w:t>
    </w:r>
  </w:p>
  <w:p w14:paraId="2448D769" w14:textId="3E2689BA" w:rsidR="00017EA3" w:rsidRPr="00130A70" w:rsidRDefault="003B3197" w:rsidP="00130A70">
    <w:pPr>
      <w:pStyle w:val="Ttulo2"/>
      <w:tabs>
        <w:tab w:val="right" w:pos="8931"/>
      </w:tabs>
      <w:ind w:right="-92"/>
      <w:jc w:val="both"/>
      <w:rPr>
        <w:rFonts w:ascii="Arial" w:hAnsi="Arial" w:cs="Arial"/>
        <w:color w:val="000000" w:themeColor="text1"/>
        <w:sz w:val="18"/>
        <w:szCs w:val="18"/>
        <w:lang w:val="es-ES"/>
      </w:rPr>
    </w:pPr>
    <w:r w:rsidRPr="00130A70">
      <w:rPr>
        <w:rFonts w:ascii="Arial" w:hAnsi="Arial" w:cs="Arial"/>
        <w:bCs/>
        <w:color w:val="000000" w:themeColor="text1"/>
        <w:sz w:val="18"/>
        <w:szCs w:val="18"/>
      </w:rPr>
      <w:t xml:space="preserve">Luz Marina Pérez Espinoza </w:t>
    </w:r>
    <w:r w:rsidR="00E025CA" w:rsidRPr="00130A70">
      <w:rPr>
        <w:rFonts w:ascii="Arial" w:hAnsi="Arial" w:cs="Arial"/>
        <w:bCs/>
        <w:color w:val="000000" w:themeColor="text1"/>
        <w:sz w:val="18"/>
        <w:szCs w:val="18"/>
      </w:rPr>
      <w:t>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3EF"/>
    <w:multiLevelType w:val="hybridMultilevel"/>
    <w:tmpl w:val="BB845236"/>
    <w:lvl w:ilvl="0" w:tplc="6382D494">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97"/>
    <w:rsid w:val="00042D0B"/>
    <w:rsid w:val="000F2178"/>
    <w:rsid w:val="0011135E"/>
    <w:rsid w:val="0011256C"/>
    <w:rsid w:val="00130A70"/>
    <w:rsid w:val="0016600B"/>
    <w:rsid w:val="001754E4"/>
    <w:rsid w:val="001D24A1"/>
    <w:rsid w:val="002506EE"/>
    <w:rsid w:val="00253F61"/>
    <w:rsid w:val="0028796D"/>
    <w:rsid w:val="002A7F7B"/>
    <w:rsid w:val="002C3DA7"/>
    <w:rsid w:val="002F1D35"/>
    <w:rsid w:val="00336BB8"/>
    <w:rsid w:val="00346AE9"/>
    <w:rsid w:val="00347970"/>
    <w:rsid w:val="0036516C"/>
    <w:rsid w:val="00373948"/>
    <w:rsid w:val="003B3197"/>
    <w:rsid w:val="003B51E5"/>
    <w:rsid w:val="003C1EB7"/>
    <w:rsid w:val="003D74DC"/>
    <w:rsid w:val="00402F70"/>
    <w:rsid w:val="00437C0C"/>
    <w:rsid w:val="00477157"/>
    <w:rsid w:val="0052698B"/>
    <w:rsid w:val="00535967"/>
    <w:rsid w:val="00571F22"/>
    <w:rsid w:val="00582FF5"/>
    <w:rsid w:val="00597EBD"/>
    <w:rsid w:val="005A323F"/>
    <w:rsid w:val="005C1348"/>
    <w:rsid w:val="006735D5"/>
    <w:rsid w:val="006E4804"/>
    <w:rsid w:val="006F376A"/>
    <w:rsid w:val="00715CC4"/>
    <w:rsid w:val="00724D1D"/>
    <w:rsid w:val="00751E65"/>
    <w:rsid w:val="00754E51"/>
    <w:rsid w:val="007704CC"/>
    <w:rsid w:val="00787EE0"/>
    <w:rsid w:val="007A43D9"/>
    <w:rsid w:val="0080144F"/>
    <w:rsid w:val="00810E00"/>
    <w:rsid w:val="00833B3F"/>
    <w:rsid w:val="008655CF"/>
    <w:rsid w:val="008725FC"/>
    <w:rsid w:val="00951FF7"/>
    <w:rsid w:val="00976FD3"/>
    <w:rsid w:val="00993790"/>
    <w:rsid w:val="009D7275"/>
    <w:rsid w:val="009F3AAA"/>
    <w:rsid w:val="00A47A17"/>
    <w:rsid w:val="00A66C4D"/>
    <w:rsid w:val="00A67366"/>
    <w:rsid w:val="00AA0390"/>
    <w:rsid w:val="00AB669A"/>
    <w:rsid w:val="00AC07C4"/>
    <w:rsid w:val="00AC203F"/>
    <w:rsid w:val="00AC7832"/>
    <w:rsid w:val="00AF0BDC"/>
    <w:rsid w:val="00B04159"/>
    <w:rsid w:val="00B176D1"/>
    <w:rsid w:val="00B17B04"/>
    <w:rsid w:val="00B23CB4"/>
    <w:rsid w:val="00B54907"/>
    <w:rsid w:val="00B54EDF"/>
    <w:rsid w:val="00B70A9C"/>
    <w:rsid w:val="00BA47A3"/>
    <w:rsid w:val="00BC7B25"/>
    <w:rsid w:val="00BD6B8E"/>
    <w:rsid w:val="00C22404"/>
    <w:rsid w:val="00C7776A"/>
    <w:rsid w:val="00CC2B75"/>
    <w:rsid w:val="00CC36A2"/>
    <w:rsid w:val="00CD039F"/>
    <w:rsid w:val="00D05D1F"/>
    <w:rsid w:val="00D311FD"/>
    <w:rsid w:val="00D5246D"/>
    <w:rsid w:val="00D55738"/>
    <w:rsid w:val="00DA6315"/>
    <w:rsid w:val="00DB01FE"/>
    <w:rsid w:val="00E025CA"/>
    <w:rsid w:val="00E26483"/>
    <w:rsid w:val="00E5493E"/>
    <w:rsid w:val="00E6466C"/>
    <w:rsid w:val="00E703E0"/>
    <w:rsid w:val="00E90C55"/>
    <w:rsid w:val="00E9624C"/>
    <w:rsid w:val="00EA0855"/>
    <w:rsid w:val="00EA4799"/>
    <w:rsid w:val="00EC273A"/>
    <w:rsid w:val="00EF090B"/>
    <w:rsid w:val="00EF4D5B"/>
    <w:rsid w:val="00F30482"/>
    <w:rsid w:val="00F564C7"/>
    <w:rsid w:val="00F73BBE"/>
    <w:rsid w:val="00FC38DB"/>
    <w:rsid w:val="00FE1478"/>
    <w:rsid w:val="01D038D0"/>
    <w:rsid w:val="04DA0B27"/>
    <w:rsid w:val="069FFB73"/>
    <w:rsid w:val="0842890B"/>
    <w:rsid w:val="09441D1F"/>
    <w:rsid w:val="0A288AFD"/>
    <w:rsid w:val="0ABA96C5"/>
    <w:rsid w:val="0B1473D2"/>
    <w:rsid w:val="0C434990"/>
    <w:rsid w:val="0C58D290"/>
    <w:rsid w:val="0C63E671"/>
    <w:rsid w:val="0C642BB4"/>
    <w:rsid w:val="0C91EE96"/>
    <w:rsid w:val="0D1B529D"/>
    <w:rsid w:val="0DFE47F6"/>
    <w:rsid w:val="0F3CA282"/>
    <w:rsid w:val="0F4217EC"/>
    <w:rsid w:val="118E1A2F"/>
    <w:rsid w:val="13019C40"/>
    <w:rsid w:val="14862725"/>
    <w:rsid w:val="15C8F1FA"/>
    <w:rsid w:val="1699F006"/>
    <w:rsid w:val="18BF5887"/>
    <w:rsid w:val="193017FD"/>
    <w:rsid w:val="1A0779DF"/>
    <w:rsid w:val="1ADA0AF9"/>
    <w:rsid w:val="1B721F16"/>
    <w:rsid w:val="1BB70504"/>
    <w:rsid w:val="1BBD6F0B"/>
    <w:rsid w:val="1C3D768C"/>
    <w:rsid w:val="1CA5DBC0"/>
    <w:rsid w:val="1CC06D5B"/>
    <w:rsid w:val="1CE5F9F1"/>
    <w:rsid w:val="1E584740"/>
    <w:rsid w:val="1E89AD65"/>
    <w:rsid w:val="1EAD43BA"/>
    <w:rsid w:val="1FB1A61C"/>
    <w:rsid w:val="1FC0C152"/>
    <w:rsid w:val="1FEF6FE4"/>
    <w:rsid w:val="2030F0AB"/>
    <w:rsid w:val="207CC4AB"/>
    <w:rsid w:val="20C4BD48"/>
    <w:rsid w:val="214B9866"/>
    <w:rsid w:val="214E3D85"/>
    <w:rsid w:val="22C1DD70"/>
    <w:rsid w:val="22DE3FD5"/>
    <w:rsid w:val="23B1B62C"/>
    <w:rsid w:val="25127FE3"/>
    <w:rsid w:val="25382766"/>
    <w:rsid w:val="25EDE0F3"/>
    <w:rsid w:val="26415315"/>
    <w:rsid w:val="264A7154"/>
    <w:rsid w:val="276B9843"/>
    <w:rsid w:val="283BACB2"/>
    <w:rsid w:val="28EFD39F"/>
    <w:rsid w:val="2B1E6D91"/>
    <w:rsid w:val="2D1CFBE8"/>
    <w:rsid w:val="2DE5011D"/>
    <w:rsid w:val="2E04180E"/>
    <w:rsid w:val="2E0F6E1F"/>
    <w:rsid w:val="2E49B3EB"/>
    <w:rsid w:val="2FF92FA5"/>
    <w:rsid w:val="30633CE4"/>
    <w:rsid w:val="30834F63"/>
    <w:rsid w:val="31B4D3F0"/>
    <w:rsid w:val="3258BF54"/>
    <w:rsid w:val="3323E77C"/>
    <w:rsid w:val="33D69865"/>
    <w:rsid w:val="35D75159"/>
    <w:rsid w:val="36F3866D"/>
    <w:rsid w:val="376DF357"/>
    <w:rsid w:val="37927DE8"/>
    <w:rsid w:val="37BD70EE"/>
    <w:rsid w:val="38386CE3"/>
    <w:rsid w:val="388A8733"/>
    <w:rsid w:val="392594E6"/>
    <w:rsid w:val="3B5287AA"/>
    <w:rsid w:val="3B8C11EB"/>
    <w:rsid w:val="3B9F5B9F"/>
    <w:rsid w:val="3DAA36AC"/>
    <w:rsid w:val="3ED3F7E9"/>
    <w:rsid w:val="3F05425A"/>
    <w:rsid w:val="40A75212"/>
    <w:rsid w:val="41851D54"/>
    <w:rsid w:val="42117FFF"/>
    <w:rsid w:val="42BE0B6E"/>
    <w:rsid w:val="43FF9798"/>
    <w:rsid w:val="4404EB48"/>
    <w:rsid w:val="446D923E"/>
    <w:rsid w:val="44F99A0D"/>
    <w:rsid w:val="44FCC6E3"/>
    <w:rsid w:val="458BA413"/>
    <w:rsid w:val="45C4E70E"/>
    <w:rsid w:val="4653F458"/>
    <w:rsid w:val="470BC1A9"/>
    <w:rsid w:val="4833095F"/>
    <w:rsid w:val="488603DA"/>
    <w:rsid w:val="49B029DA"/>
    <w:rsid w:val="4C9FF374"/>
    <w:rsid w:val="4CDCA3B0"/>
    <w:rsid w:val="4D265673"/>
    <w:rsid w:val="4DC03B6B"/>
    <w:rsid w:val="4E43C8E4"/>
    <w:rsid w:val="4EB2A57D"/>
    <w:rsid w:val="5064518E"/>
    <w:rsid w:val="51B1FD19"/>
    <w:rsid w:val="51B8AD6A"/>
    <w:rsid w:val="52B31FC5"/>
    <w:rsid w:val="54128BC3"/>
    <w:rsid w:val="559ECABD"/>
    <w:rsid w:val="55F3C570"/>
    <w:rsid w:val="579677CB"/>
    <w:rsid w:val="579DCD33"/>
    <w:rsid w:val="58939818"/>
    <w:rsid w:val="5A011B55"/>
    <w:rsid w:val="5B61AAA4"/>
    <w:rsid w:val="5BBEBD82"/>
    <w:rsid w:val="5CCAA752"/>
    <w:rsid w:val="61552A39"/>
    <w:rsid w:val="6203B11F"/>
    <w:rsid w:val="6580B828"/>
    <w:rsid w:val="65EB25F1"/>
    <w:rsid w:val="6B3FD391"/>
    <w:rsid w:val="6DE65583"/>
    <w:rsid w:val="6DF4278A"/>
    <w:rsid w:val="6E1B876A"/>
    <w:rsid w:val="704028EE"/>
    <w:rsid w:val="70461D5D"/>
    <w:rsid w:val="7283E1C7"/>
    <w:rsid w:val="74260F84"/>
    <w:rsid w:val="74BB67A7"/>
    <w:rsid w:val="74CA8AF8"/>
    <w:rsid w:val="76AA0B2C"/>
    <w:rsid w:val="76C42E56"/>
    <w:rsid w:val="770A2E25"/>
    <w:rsid w:val="776FAC31"/>
    <w:rsid w:val="77DDE5CA"/>
    <w:rsid w:val="78C7E5B6"/>
    <w:rsid w:val="7A7297C0"/>
    <w:rsid w:val="7CF32603"/>
    <w:rsid w:val="7D6E6852"/>
    <w:rsid w:val="7D86E593"/>
    <w:rsid w:val="7E08651B"/>
    <w:rsid w:val="7E592404"/>
    <w:rsid w:val="7EDBB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9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B31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B31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3197"/>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3B3197"/>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3B3197"/>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3B3197"/>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3B3197"/>
    <w:rPr>
      <w:rFonts w:ascii="Arial Narrow" w:eastAsia="Times New Roman" w:hAnsi="Arial Narrow" w:cs="Arial"/>
      <w:b/>
      <w:sz w:val="24"/>
      <w:szCs w:val="24"/>
      <w:lang w:eastAsia="es-ES"/>
    </w:rPr>
  </w:style>
  <w:style w:type="table" w:styleId="Tablaconcuadrcula">
    <w:name w:val="Table Grid"/>
    <w:basedOn w:val="Tablanormal"/>
    <w:uiPriority w:val="39"/>
    <w:rsid w:val="003B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3B3197"/>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3B3197"/>
    <w:pPr>
      <w:tabs>
        <w:tab w:val="center" w:pos="4252"/>
        <w:tab w:val="right" w:pos="8504"/>
      </w:tabs>
    </w:pPr>
  </w:style>
  <w:style w:type="character" w:customStyle="1" w:styleId="EncabezadoCar">
    <w:name w:val="Encabezado Car"/>
    <w:basedOn w:val="Fuentedeprrafopredeter"/>
    <w:link w:val="Encabezado"/>
    <w:uiPriority w:val="99"/>
    <w:rsid w:val="003B3197"/>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3B3197"/>
    <w:pPr>
      <w:ind w:left="720"/>
      <w:contextualSpacing/>
    </w:pPr>
  </w:style>
  <w:style w:type="character" w:customStyle="1" w:styleId="normaltextrun">
    <w:name w:val="normaltextrun"/>
    <w:basedOn w:val="Fuentedeprrafopredeter"/>
    <w:rsid w:val="003B3197"/>
  </w:style>
  <w:style w:type="paragraph" w:styleId="Textoindependiente">
    <w:name w:val="Body Text"/>
    <w:basedOn w:val="Normal"/>
    <w:link w:val="TextoindependienteCar"/>
    <w:rsid w:val="003B3197"/>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3B3197"/>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3B3197"/>
    <w:pPr>
      <w:spacing w:line="360" w:lineRule="auto"/>
      <w:jc w:val="both"/>
    </w:pPr>
    <w:rPr>
      <w:rFonts w:ascii="Arial" w:hAnsi="Arial"/>
      <w:sz w:val="28"/>
    </w:rPr>
  </w:style>
  <w:style w:type="paragraph" w:customStyle="1" w:styleId="paragraph">
    <w:name w:val="paragraph"/>
    <w:basedOn w:val="Normal"/>
    <w:rsid w:val="003B3197"/>
    <w:pPr>
      <w:spacing w:before="100" w:beforeAutospacing="1" w:after="100" w:afterAutospacing="1"/>
    </w:pPr>
    <w:rPr>
      <w:szCs w:val="24"/>
      <w:lang w:val="es-ES"/>
    </w:rPr>
  </w:style>
  <w:style w:type="character" w:customStyle="1" w:styleId="eop">
    <w:name w:val="eop"/>
    <w:basedOn w:val="Fuentedeprrafopredeter"/>
    <w:rsid w:val="003B3197"/>
  </w:style>
  <w:style w:type="paragraph" w:styleId="NormalWeb">
    <w:name w:val="Normal (Web)"/>
    <w:basedOn w:val="Normal"/>
    <w:uiPriority w:val="99"/>
    <w:unhideWhenUsed/>
    <w:rsid w:val="003B3197"/>
    <w:pPr>
      <w:spacing w:before="100" w:beforeAutospacing="1" w:after="100" w:afterAutospacing="1"/>
    </w:pPr>
    <w:rPr>
      <w:szCs w:val="24"/>
      <w:lang w:val="es-ES"/>
    </w:rPr>
  </w:style>
  <w:style w:type="paragraph" w:styleId="Piedepgina">
    <w:name w:val="footer"/>
    <w:basedOn w:val="Normal"/>
    <w:link w:val="PiedepginaCar"/>
    <w:uiPriority w:val="99"/>
    <w:unhideWhenUsed/>
    <w:rsid w:val="003B3197"/>
    <w:pPr>
      <w:tabs>
        <w:tab w:val="center" w:pos="4252"/>
        <w:tab w:val="right" w:pos="8504"/>
      </w:tabs>
    </w:pPr>
  </w:style>
  <w:style w:type="character" w:customStyle="1" w:styleId="PiedepginaCar">
    <w:name w:val="Pie de página Car"/>
    <w:basedOn w:val="Fuentedeprrafopredeter"/>
    <w:link w:val="Piedepgina"/>
    <w:uiPriority w:val="99"/>
    <w:rsid w:val="003B3197"/>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05D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D1F"/>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B70A9C"/>
    <w:rPr>
      <w:sz w:val="16"/>
      <w:szCs w:val="16"/>
    </w:rPr>
  </w:style>
  <w:style w:type="paragraph" w:styleId="Textocomentario">
    <w:name w:val="annotation text"/>
    <w:basedOn w:val="Normal"/>
    <w:link w:val="TextocomentarioCar"/>
    <w:uiPriority w:val="99"/>
    <w:semiHidden/>
    <w:unhideWhenUsed/>
    <w:rsid w:val="00B70A9C"/>
    <w:rPr>
      <w:sz w:val="20"/>
    </w:rPr>
  </w:style>
  <w:style w:type="character" w:customStyle="1" w:styleId="TextocomentarioCar">
    <w:name w:val="Texto comentario Car"/>
    <w:basedOn w:val="Fuentedeprrafopredeter"/>
    <w:link w:val="Textocomentario"/>
    <w:uiPriority w:val="99"/>
    <w:semiHidden/>
    <w:rsid w:val="00B70A9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70A9C"/>
    <w:rPr>
      <w:b/>
      <w:bCs/>
    </w:rPr>
  </w:style>
  <w:style w:type="character" w:customStyle="1" w:styleId="AsuntodelcomentarioCar">
    <w:name w:val="Asunto del comentario Car"/>
    <w:basedOn w:val="TextocomentarioCar"/>
    <w:link w:val="Asuntodelcomentario"/>
    <w:uiPriority w:val="99"/>
    <w:semiHidden/>
    <w:rsid w:val="00B70A9C"/>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9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B31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B31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3197"/>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3B3197"/>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3B3197"/>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3B3197"/>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3B3197"/>
    <w:rPr>
      <w:rFonts w:ascii="Arial Narrow" w:eastAsia="Times New Roman" w:hAnsi="Arial Narrow" w:cs="Arial"/>
      <w:b/>
      <w:sz w:val="24"/>
      <w:szCs w:val="24"/>
      <w:lang w:eastAsia="es-ES"/>
    </w:rPr>
  </w:style>
  <w:style w:type="table" w:styleId="Tablaconcuadrcula">
    <w:name w:val="Table Grid"/>
    <w:basedOn w:val="Tablanormal"/>
    <w:uiPriority w:val="39"/>
    <w:rsid w:val="003B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3B3197"/>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3B3197"/>
    <w:pPr>
      <w:tabs>
        <w:tab w:val="center" w:pos="4252"/>
        <w:tab w:val="right" w:pos="8504"/>
      </w:tabs>
    </w:pPr>
  </w:style>
  <w:style w:type="character" w:customStyle="1" w:styleId="EncabezadoCar">
    <w:name w:val="Encabezado Car"/>
    <w:basedOn w:val="Fuentedeprrafopredeter"/>
    <w:link w:val="Encabezado"/>
    <w:uiPriority w:val="99"/>
    <w:rsid w:val="003B3197"/>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3B3197"/>
    <w:pPr>
      <w:ind w:left="720"/>
      <w:contextualSpacing/>
    </w:pPr>
  </w:style>
  <w:style w:type="character" w:customStyle="1" w:styleId="normaltextrun">
    <w:name w:val="normaltextrun"/>
    <w:basedOn w:val="Fuentedeprrafopredeter"/>
    <w:rsid w:val="003B3197"/>
  </w:style>
  <w:style w:type="paragraph" w:styleId="Textoindependiente">
    <w:name w:val="Body Text"/>
    <w:basedOn w:val="Normal"/>
    <w:link w:val="TextoindependienteCar"/>
    <w:rsid w:val="003B3197"/>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3B3197"/>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3B3197"/>
    <w:pPr>
      <w:spacing w:line="360" w:lineRule="auto"/>
      <w:jc w:val="both"/>
    </w:pPr>
    <w:rPr>
      <w:rFonts w:ascii="Arial" w:hAnsi="Arial"/>
      <w:sz w:val="28"/>
    </w:rPr>
  </w:style>
  <w:style w:type="paragraph" w:customStyle="1" w:styleId="paragraph">
    <w:name w:val="paragraph"/>
    <w:basedOn w:val="Normal"/>
    <w:rsid w:val="003B3197"/>
    <w:pPr>
      <w:spacing w:before="100" w:beforeAutospacing="1" w:after="100" w:afterAutospacing="1"/>
    </w:pPr>
    <w:rPr>
      <w:szCs w:val="24"/>
      <w:lang w:val="es-ES"/>
    </w:rPr>
  </w:style>
  <w:style w:type="character" w:customStyle="1" w:styleId="eop">
    <w:name w:val="eop"/>
    <w:basedOn w:val="Fuentedeprrafopredeter"/>
    <w:rsid w:val="003B3197"/>
  </w:style>
  <w:style w:type="paragraph" w:styleId="NormalWeb">
    <w:name w:val="Normal (Web)"/>
    <w:basedOn w:val="Normal"/>
    <w:uiPriority w:val="99"/>
    <w:unhideWhenUsed/>
    <w:rsid w:val="003B3197"/>
    <w:pPr>
      <w:spacing w:before="100" w:beforeAutospacing="1" w:after="100" w:afterAutospacing="1"/>
    </w:pPr>
    <w:rPr>
      <w:szCs w:val="24"/>
      <w:lang w:val="es-ES"/>
    </w:rPr>
  </w:style>
  <w:style w:type="paragraph" w:styleId="Piedepgina">
    <w:name w:val="footer"/>
    <w:basedOn w:val="Normal"/>
    <w:link w:val="PiedepginaCar"/>
    <w:uiPriority w:val="99"/>
    <w:unhideWhenUsed/>
    <w:rsid w:val="003B3197"/>
    <w:pPr>
      <w:tabs>
        <w:tab w:val="center" w:pos="4252"/>
        <w:tab w:val="right" w:pos="8504"/>
      </w:tabs>
    </w:pPr>
  </w:style>
  <w:style w:type="character" w:customStyle="1" w:styleId="PiedepginaCar">
    <w:name w:val="Pie de página Car"/>
    <w:basedOn w:val="Fuentedeprrafopredeter"/>
    <w:link w:val="Piedepgina"/>
    <w:uiPriority w:val="99"/>
    <w:rsid w:val="003B3197"/>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05D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D1F"/>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B70A9C"/>
    <w:rPr>
      <w:sz w:val="16"/>
      <w:szCs w:val="16"/>
    </w:rPr>
  </w:style>
  <w:style w:type="paragraph" w:styleId="Textocomentario">
    <w:name w:val="annotation text"/>
    <w:basedOn w:val="Normal"/>
    <w:link w:val="TextocomentarioCar"/>
    <w:uiPriority w:val="99"/>
    <w:semiHidden/>
    <w:unhideWhenUsed/>
    <w:rsid w:val="00B70A9C"/>
    <w:rPr>
      <w:sz w:val="20"/>
    </w:rPr>
  </w:style>
  <w:style w:type="character" w:customStyle="1" w:styleId="TextocomentarioCar">
    <w:name w:val="Texto comentario Car"/>
    <w:basedOn w:val="Fuentedeprrafopredeter"/>
    <w:link w:val="Textocomentario"/>
    <w:uiPriority w:val="99"/>
    <w:semiHidden/>
    <w:rsid w:val="00B70A9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70A9C"/>
    <w:rPr>
      <w:b/>
      <w:bCs/>
    </w:rPr>
  </w:style>
  <w:style w:type="character" w:customStyle="1" w:styleId="AsuntodelcomentarioCar">
    <w:name w:val="Asunto del comentario Car"/>
    <w:basedOn w:val="TextocomentarioCar"/>
    <w:link w:val="Asuntodelcomentario"/>
    <w:uiPriority w:val="99"/>
    <w:semiHidden/>
    <w:rsid w:val="00B70A9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7c49dfb035a94054"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11C83-F6EB-4279-8E69-BEF0C5A5AECD}">
  <ds:schemaRefs>
    <ds:schemaRef ds:uri="http://schemas.microsoft.com/sharepoint/v3/contenttype/forms"/>
  </ds:schemaRefs>
</ds:datastoreItem>
</file>

<file path=customXml/itemProps2.xml><?xml version="1.0" encoding="utf-8"?>
<ds:datastoreItem xmlns:ds="http://schemas.openxmlformats.org/officeDocument/2006/customXml" ds:itemID="{03B7270D-B364-45E9-834B-26B0EE53C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6B8401-53AC-47F6-BE6A-F8291F5D0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6795</Words>
  <Characters>37377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cp:lastPrinted>2020-07-24T14:20:00Z</cp:lastPrinted>
  <dcterms:created xsi:type="dcterms:W3CDTF">2020-08-27T14:49:00Z</dcterms:created>
  <dcterms:modified xsi:type="dcterms:W3CDTF">2020-10-07T20:32:00Z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