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DE" w:rsidRPr="00D61CDE" w:rsidRDefault="00D61CDE" w:rsidP="00D61CDE">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bidi="ar-SA"/>
        </w:rPr>
      </w:pPr>
      <w:r w:rsidRPr="00D61CDE">
        <w:rPr>
          <w:rFonts w:ascii="Arial" w:eastAsia="Times New Roman" w:hAnsi="Arial" w:cs="Arial"/>
          <w:color w:val="FF0000"/>
          <w:spacing w:val="-2"/>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D61CDE" w:rsidRPr="00D61CDE" w:rsidRDefault="00D61CDE" w:rsidP="00D61CDE">
      <w:pPr>
        <w:widowControl/>
        <w:autoSpaceDE/>
        <w:autoSpaceDN/>
        <w:jc w:val="both"/>
        <w:rPr>
          <w:rFonts w:ascii="Arial" w:eastAsia="Times New Roman" w:hAnsi="Arial" w:cs="Arial"/>
          <w:sz w:val="20"/>
          <w:szCs w:val="20"/>
          <w:lang w:val="es-419" w:bidi="ar-SA"/>
        </w:rPr>
      </w:pPr>
    </w:p>
    <w:p w:rsidR="00D61CDE" w:rsidRPr="00D61CDE" w:rsidRDefault="00D61CDE" w:rsidP="00D61CDE">
      <w:pPr>
        <w:widowControl/>
        <w:autoSpaceDE/>
        <w:autoSpaceDN/>
        <w:jc w:val="both"/>
        <w:rPr>
          <w:rFonts w:ascii="Arial" w:eastAsia="Times New Roman" w:hAnsi="Arial" w:cs="Arial"/>
          <w:b/>
          <w:bCs/>
          <w:iCs/>
          <w:sz w:val="20"/>
          <w:szCs w:val="20"/>
          <w:lang w:val="es-419" w:eastAsia="fr-FR" w:bidi="ar-SA"/>
        </w:rPr>
      </w:pPr>
      <w:r w:rsidRPr="00D61CDE">
        <w:rPr>
          <w:rFonts w:ascii="Arial" w:eastAsia="Times New Roman" w:hAnsi="Arial" w:cs="Arial"/>
          <w:b/>
          <w:bCs/>
          <w:iCs/>
          <w:sz w:val="20"/>
          <w:szCs w:val="20"/>
          <w:u w:val="single"/>
          <w:lang w:val="es-419" w:eastAsia="fr-FR" w:bidi="ar-SA"/>
        </w:rPr>
        <w:t>TEMAS:</w:t>
      </w:r>
      <w:r w:rsidRPr="00D61CDE">
        <w:rPr>
          <w:rFonts w:ascii="Arial" w:eastAsia="Times New Roman" w:hAnsi="Arial" w:cs="Arial"/>
          <w:b/>
          <w:bCs/>
          <w:iCs/>
          <w:sz w:val="20"/>
          <w:szCs w:val="20"/>
          <w:lang w:val="es-419" w:eastAsia="fr-FR" w:bidi="ar-SA"/>
        </w:rPr>
        <w:tab/>
      </w:r>
      <w:r w:rsidRPr="00D61CDE">
        <w:rPr>
          <w:rFonts w:ascii="Arial" w:eastAsia="Times New Roman" w:hAnsi="Arial" w:cs="Arial"/>
          <w:b/>
          <w:sz w:val="20"/>
          <w:szCs w:val="20"/>
          <w:lang w:val="es-419" w:bidi="ar-SA"/>
        </w:rPr>
        <w:t>INEFICACIA TRASLADO DE RÉGIMEN PENSIONAL / DEBER DE INFORMACIÓN DE LAS AFP / ES CARGA DE LA ENTIDAD DEMOSTRAR QUE CUMPLIÓ DICHA OBLIGACIÓN / VALOR PROBATORIO DEL FORMULARIO DE AFILIACIÓN / NO VALIDA POR SÍ SOLO EL TRASLADO.</w:t>
      </w:r>
    </w:p>
    <w:p w:rsidR="00D61CDE" w:rsidRPr="00D61CDE" w:rsidRDefault="00D61CDE" w:rsidP="00D61CDE">
      <w:pPr>
        <w:widowControl/>
        <w:autoSpaceDE/>
        <w:autoSpaceDN/>
        <w:jc w:val="both"/>
        <w:rPr>
          <w:rFonts w:ascii="Arial" w:eastAsia="Times New Roman" w:hAnsi="Arial" w:cs="Arial"/>
          <w:sz w:val="20"/>
          <w:szCs w:val="20"/>
          <w:lang w:val="es-419" w:bidi="ar-SA"/>
        </w:rPr>
      </w:pPr>
    </w:p>
    <w:p w:rsidR="00D61CDE" w:rsidRPr="00D61CDE" w:rsidRDefault="00D61CDE" w:rsidP="00D61CDE">
      <w:pPr>
        <w:widowControl/>
        <w:autoSpaceDE/>
        <w:autoSpaceDN/>
        <w:jc w:val="both"/>
        <w:rPr>
          <w:rFonts w:ascii="Arial" w:eastAsia="Times New Roman" w:hAnsi="Arial" w:cs="Arial"/>
          <w:sz w:val="20"/>
          <w:szCs w:val="20"/>
          <w:lang w:val="es-419" w:bidi="ar-SA"/>
        </w:rPr>
      </w:pPr>
      <w:r w:rsidRPr="00D61CDE">
        <w:rPr>
          <w:rFonts w:ascii="Arial" w:eastAsia="Times New Roman" w:hAnsi="Arial" w:cs="Arial"/>
          <w:sz w:val="20"/>
          <w:szCs w:val="20"/>
          <w:lang w:val="es-419" w:bidi="ar-SA"/>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rsidR="00D61CDE" w:rsidRPr="00D61CDE" w:rsidRDefault="00D61CDE" w:rsidP="00D61CDE">
      <w:pPr>
        <w:widowControl/>
        <w:autoSpaceDE/>
        <w:autoSpaceDN/>
        <w:jc w:val="both"/>
        <w:rPr>
          <w:rFonts w:ascii="Arial" w:eastAsia="Times New Roman" w:hAnsi="Arial" w:cs="Arial"/>
          <w:sz w:val="20"/>
          <w:szCs w:val="20"/>
          <w:lang w:val="es-419" w:bidi="ar-SA"/>
        </w:rPr>
      </w:pPr>
    </w:p>
    <w:p w:rsidR="00D61CDE" w:rsidRPr="00D61CDE" w:rsidRDefault="00D61CDE" w:rsidP="00D61CDE">
      <w:pPr>
        <w:widowControl/>
        <w:autoSpaceDE/>
        <w:autoSpaceDN/>
        <w:jc w:val="both"/>
        <w:rPr>
          <w:rFonts w:ascii="Arial" w:eastAsia="Times New Roman" w:hAnsi="Arial" w:cs="Arial"/>
          <w:sz w:val="20"/>
          <w:szCs w:val="20"/>
          <w:lang w:val="es-419" w:bidi="ar-SA"/>
        </w:rPr>
      </w:pPr>
      <w:r w:rsidRPr="00D61CDE">
        <w:rPr>
          <w:rFonts w:ascii="Arial" w:eastAsia="Times New Roman" w:hAnsi="Arial" w:cs="Arial"/>
          <w:sz w:val="20"/>
          <w:szCs w:val="20"/>
          <w:lang w:val="es-419" w:bidi="ar-SA"/>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rsidR="00D61CDE" w:rsidRPr="00D61CDE" w:rsidRDefault="00D61CDE" w:rsidP="00D61CDE">
      <w:pPr>
        <w:widowControl/>
        <w:autoSpaceDE/>
        <w:autoSpaceDN/>
        <w:jc w:val="both"/>
        <w:rPr>
          <w:rFonts w:ascii="Arial" w:eastAsia="Times New Roman" w:hAnsi="Arial" w:cs="Arial"/>
          <w:sz w:val="20"/>
          <w:szCs w:val="20"/>
          <w:lang w:val="es-419" w:bidi="ar-SA"/>
        </w:rPr>
      </w:pPr>
    </w:p>
    <w:p w:rsidR="00D61CDE" w:rsidRPr="00D61CDE" w:rsidRDefault="00D61CDE" w:rsidP="00D61CDE">
      <w:pPr>
        <w:widowControl/>
        <w:autoSpaceDE/>
        <w:autoSpaceDN/>
        <w:jc w:val="both"/>
        <w:rPr>
          <w:rFonts w:ascii="Arial" w:eastAsia="Times New Roman" w:hAnsi="Arial" w:cs="Arial"/>
          <w:sz w:val="20"/>
          <w:szCs w:val="20"/>
          <w:lang w:val="es-419" w:bidi="ar-SA"/>
        </w:rPr>
      </w:pPr>
      <w:r w:rsidRPr="00D61CDE">
        <w:rPr>
          <w:rFonts w:ascii="Arial" w:eastAsia="Times New Roman" w:hAnsi="Arial" w:cs="Arial"/>
          <w:sz w:val="20"/>
          <w:szCs w:val="20"/>
          <w:lang w:val="es-419" w:bidi="ar-SA"/>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rsidR="00D61CDE" w:rsidRPr="00D61CDE" w:rsidRDefault="00D61CDE" w:rsidP="00D61CDE">
      <w:pPr>
        <w:widowControl/>
        <w:autoSpaceDE/>
        <w:autoSpaceDN/>
        <w:jc w:val="both"/>
        <w:rPr>
          <w:rFonts w:ascii="Arial" w:eastAsia="Times New Roman" w:hAnsi="Arial" w:cs="Arial"/>
          <w:sz w:val="20"/>
          <w:szCs w:val="20"/>
          <w:lang w:val="es-419" w:bidi="ar-SA"/>
        </w:rPr>
      </w:pPr>
    </w:p>
    <w:p w:rsidR="00D61CDE" w:rsidRPr="00D61CDE" w:rsidRDefault="00D61CDE" w:rsidP="00D61CDE">
      <w:pPr>
        <w:widowControl/>
        <w:autoSpaceDE/>
        <w:autoSpaceDN/>
        <w:jc w:val="both"/>
        <w:rPr>
          <w:rFonts w:ascii="Arial" w:eastAsia="Times New Roman" w:hAnsi="Arial" w:cs="Arial"/>
          <w:sz w:val="20"/>
          <w:szCs w:val="20"/>
          <w:lang w:val="es-419" w:bidi="ar-SA"/>
        </w:rPr>
      </w:pPr>
      <w:r w:rsidRPr="00D61CDE">
        <w:rPr>
          <w:rFonts w:ascii="Arial" w:eastAsia="Times New Roman" w:hAnsi="Arial" w:cs="Arial"/>
          <w:sz w:val="20"/>
          <w:szCs w:val="20"/>
          <w:lang w:val="es-419" w:bidi="ar-SA"/>
        </w:rPr>
        <w:t>… También procesalmente, la Corte realiza un enfoque especialísimo, pues invierte la carga de la prueba respecto a ese debido asesoramiento. En la sentencia con radicado 68.838 de 2019 ya mencionada, lo explícita así:</w:t>
      </w:r>
    </w:p>
    <w:p w:rsidR="00D61CDE" w:rsidRPr="00D61CDE" w:rsidRDefault="00D61CDE" w:rsidP="00D61CDE">
      <w:pPr>
        <w:widowControl/>
        <w:autoSpaceDE/>
        <w:autoSpaceDN/>
        <w:jc w:val="both"/>
        <w:rPr>
          <w:rFonts w:ascii="Arial" w:eastAsia="Times New Roman" w:hAnsi="Arial" w:cs="Arial"/>
          <w:sz w:val="20"/>
          <w:szCs w:val="20"/>
          <w:lang w:val="es-419" w:bidi="ar-SA"/>
        </w:rPr>
      </w:pPr>
    </w:p>
    <w:p w:rsidR="00D61CDE" w:rsidRPr="00D61CDE" w:rsidRDefault="00D61CDE" w:rsidP="00D61CDE">
      <w:pPr>
        <w:widowControl/>
        <w:autoSpaceDE/>
        <w:autoSpaceDN/>
        <w:jc w:val="both"/>
        <w:rPr>
          <w:rFonts w:ascii="Arial" w:eastAsia="Times New Roman" w:hAnsi="Arial" w:cs="Arial"/>
          <w:sz w:val="20"/>
          <w:szCs w:val="20"/>
          <w:lang w:val="es-419" w:bidi="ar-SA"/>
        </w:rPr>
      </w:pPr>
      <w:r w:rsidRPr="00D61CDE">
        <w:rPr>
          <w:rFonts w:ascii="Arial" w:eastAsia="Times New Roman" w:hAnsi="Arial" w:cs="Arial"/>
          <w:sz w:val="20"/>
          <w:szCs w:val="20"/>
          <w:lang w:val="es-419" w:bidi="ar-SA"/>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D61CDE" w:rsidRPr="00D61CDE" w:rsidRDefault="00D61CDE" w:rsidP="00D61CDE">
      <w:pPr>
        <w:widowControl/>
        <w:autoSpaceDE/>
        <w:autoSpaceDN/>
        <w:jc w:val="both"/>
        <w:rPr>
          <w:rFonts w:ascii="Arial" w:eastAsia="Times New Roman" w:hAnsi="Arial" w:cs="Arial"/>
          <w:sz w:val="20"/>
          <w:szCs w:val="20"/>
          <w:lang w:val="es-419" w:bidi="ar-SA"/>
        </w:rPr>
      </w:pPr>
    </w:p>
    <w:p w:rsidR="00D61CDE" w:rsidRPr="00D61CDE" w:rsidRDefault="00D61CDE" w:rsidP="00D61CDE">
      <w:pPr>
        <w:widowControl/>
        <w:autoSpaceDE/>
        <w:autoSpaceDN/>
        <w:jc w:val="both"/>
        <w:rPr>
          <w:rFonts w:ascii="Arial" w:eastAsia="Times New Roman" w:hAnsi="Arial" w:cs="Arial"/>
          <w:sz w:val="20"/>
          <w:szCs w:val="20"/>
          <w:lang w:bidi="ar-SA"/>
        </w:rPr>
      </w:pPr>
      <w:r w:rsidRPr="00D61CDE">
        <w:rPr>
          <w:rFonts w:ascii="Arial" w:eastAsia="Times New Roman" w:hAnsi="Arial" w:cs="Arial"/>
          <w:sz w:val="20"/>
          <w:szCs w:val="20"/>
          <w:lang w:bidi="ar-SA"/>
        </w:rPr>
        <w:t xml:space="preserve">… </w:t>
      </w:r>
      <w:r w:rsidR="00106339" w:rsidRPr="00106339">
        <w:rPr>
          <w:rFonts w:ascii="Arial" w:eastAsia="Times New Roman" w:hAnsi="Arial" w:cs="Arial"/>
          <w:sz w:val="20"/>
          <w:szCs w:val="20"/>
          <w:lang w:bidi="ar-SA"/>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106339" w:rsidRPr="00106339">
        <w:rPr>
          <w:rFonts w:ascii="Arial" w:eastAsia="Times New Roman" w:hAnsi="Arial" w:cs="Arial"/>
          <w:sz w:val="20"/>
          <w:szCs w:val="20"/>
          <w:lang w:bidi="ar-SA"/>
        </w:rPr>
        <w:t>A.F.P</w:t>
      </w:r>
      <w:proofErr w:type="spellEnd"/>
      <w:r w:rsidR="00106339" w:rsidRPr="00106339">
        <w:rPr>
          <w:rFonts w:ascii="Arial" w:eastAsia="Times New Roman" w:hAnsi="Arial" w:cs="Arial"/>
          <w:sz w:val="20"/>
          <w:szCs w:val="20"/>
          <w:lang w:bidi="ar-SA"/>
        </w:rPr>
        <w:t>, que devendrá en la ineficacia del traslado de régimen pensional.</w:t>
      </w:r>
    </w:p>
    <w:p w:rsidR="00D61CDE" w:rsidRPr="00D61CDE" w:rsidRDefault="00D61CDE" w:rsidP="00D61CDE">
      <w:pPr>
        <w:widowControl/>
        <w:autoSpaceDE/>
        <w:autoSpaceDN/>
        <w:jc w:val="both"/>
        <w:rPr>
          <w:rFonts w:ascii="Arial" w:eastAsia="Times New Roman" w:hAnsi="Arial" w:cs="Arial"/>
          <w:sz w:val="20"/>
          <w:szCs w:val="20"/>
          <w:lang w:bidi="ar-SA"/>
        </w:rPr>
      </w:pPr>
    </w:p>
    <w:p w:rsidR="00D61CDE" w:rsidRPr="00D61CDE" w:rsidRDefault="00D61CDE" w:rsidP="00D61CDE">
      <w:pPr>
        <w:widowControl/>
        <w:autoSpaceDE/>
        <w:autoSpaceDN/>
        <w:jc w:val="both"/>
        <w:rPr>
          <w:rFonts w:ascii="Arial" w:eastAsia="Times New Roman" w:hAnsi="Arial" w:cs="Arial"/>
          <w:sz w:val="20"/>
          <w:szCs w:val="20"/>
          <w:lang w:bidi="ar-SA"/>
        </w:rPr>
      </w:pPr>
    </w:p>
    <w:p w:rsidR="00D61CDE" w:rsidRPr="00D61CDE" w:rsidRDefault="00D61CDE" w:rsidP="00D61CDE">
      <w:pPr>
        <w:widowControl/>
        <w:autoSpaceDE/>
        <w:autoSpaceDN/>
        <w:jc w:val="both"/>
        <w:rPr>
          <w:rFonts w:ascii="Arial" w:eastAsia="Times New Roman" w:hAnsi="Arial" w:cs="Arial"/>
          <w:sz w:val="20"/>
          <w:szCs w:val="20"/>
          <w:lang w:bidi="ar-SA"/>
        </w:rPr>
      </w:pPr>
    </w:p>
    <w:p w:rsidR="00D70503" w:rsidRPr="001A211A" w:rsidRDefault="002A5D1B" w:rsidP="001A211A">
      <w:pPr>
        <w:pStyle w:val="Ttulo1"/>
        <w:spacing w:line="276" w:lineRule="auto"/>
        <w:ind w:right="1091"/>
        <w:jc w:val="center"/>
        <w:rPr>
          <w:rFonts w:ascii="Arial" w:hAnsi="Arial" w:cs="Arial"/>
          <w:sz w:val="24"/>
          <w:szCs w:val="24"/>
        </w:rPr>
      </w:pPr>
      <w:r w:rsidRPr="001A211A">
        <w:rPr>
          <w:rFonts w:ascii="Arial" w:hAnsi="Arial" w:cs="Arial"/>
          <w:sz w:val="24"/>
          <w:szCs w:val="24"/>
        </w:rPr>
        <w:t>REPÚBLICA DE COLOMBIA</w:t>
      </w:r>
    </w:p>
    <w:p w:rsidR="00D70503" w:rsidRPr="001A211A" w:rsidRDefault="002A5D1B" w:rsidP="001A211A">
      <w:pPr>
        <w:pStyle w:val="Textoindependiente"/>
        <w:spacing w:line="276" w:lineRule="auto"/>
        <w:rPr>
          <w:rFonts w:ascii="Arial" w:hAnsi="Arial" w:cs="Arial"/>
          <w:b/>
          <w:sz w:val="24"/>
          <w:szCs w:val="24"/>
        </w:rPr>
      </w:pPr>
      <w:r w:rsidRPr="001A211A">
        <w:rPr>
          <w:rFonts w:ascii="Arial" w:hAnsi="Arial" w:cs="Arial"/>
          <w:noProof/>
          <w:sz w:val="24"/>
          <w:szCs w:val="24"/>
          <w:lang w:bidi="ar-SA"/>
        </w:rPr>
        <w:drawing>
          <wp:anchor distT="0" distB="0" distL="0" distR="0" simplePos="0" relativeHeight="251658240" behindDoc="0" locked="0" layoutInCell="1" allowOverlap="1" wp14:anchorId="4196C314" wp14:editId="4FC6B859">
            <wp:simplePos x="0" y="0"/>
            <wp:positionH relativeFrom="page">
              <wp:posOffset>3477596</wp:posOffset>
            </wp:positionH>
            <wp:positionV relativeFrom="paragraph">
              <wp:posOffset>109033</wp:posOffset>
            </wp:positionV>
            <wp:extent cx="801114" cy="804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01114" cy="804100"/>
                    </a:xfrm>
                    <a:prstGeom prst="rect">
                      <a:avLst/>
                    </a:prstGeom>
                  </pic:spPr>
                </pic:pic>
              </a:graphicData>
            </a:graphic>
          </wp:anchor>
        </w:drawing>
      </w:r>
    </w:p>
    <w:p w:rsidR="001A211A" w:rsidRDefault="002A5D1B" w:rsidP="001A211A">
      <w:pPr>
        <w:spacing w:line="276" w:lineRule="auto"/>
        <w:ind w:right="-5"/>
        <w:jc w:val="center"/>
        <w:rPr>
          <w:rFonts w:ascii="Arial" w:hAnsi="Arial" w:cs="Arial"/>
          <w:b/>
          <w:spacing w:val="12"/>
          <w:sz w:val="24"/>
          <w:szCs w:val="24"/>
        </w:rPr>
      </w:pPr>
      <w:r w:rsidRPr="001A211A">
        <w:rPr>
          <w:rFonts w:ascii="Arial" w:hAnsi="Arial" w:cs="Arial"/>
          <w:b/>
          <w:spacing w:val="10"/>
          <w:sz w:val="24"/>
          <w:szCs w:val="24"/>
        </w:rPr>
        <w:t xml:space="preserve">TRIBUNAL SUPERIOR </w:t>
      </w:r>
      <w:r w:rsidRPr="001A211A">
        <w:rPr>
          <w:rFonts w:ascii="Arial" w:hAnsi="Arial" w:cs="Arial"/>
          <w:b/>
          <w:spacing w:val="6"/>
          <w:sz w:val="24"/>
          <w:szCs w:val="24"/>
        </w:rPr>
        <w:t xml:space="preserve">DE </w:t>
      </w:r>
      <w:r w:rsidRPr="001A211A">
        <w:rPr>
          <w:rFonts w:ascii="Arial" w:hAnsi="Arial" w:cs="Arial"/>
          <w:b/>
          <w:spacing w:val="10"/>
          <w:sz w:val="24"/>
          <w:szCs w:val="24"/>
        </w:rPr>
        <w:t xml:space="preserve">DISTRITO JUDICIAL </w:t>
      </w:r>
      <w:r w:rsidR="001A211A">
        <w:rPr>
          <w:rFonts w:ascii="Arial" w:hAnsi="Arial" w:cs="Arial"/>
          <w:b/>
          <w:spacing w:val="6"/>
          <w:sz w:val="24"/>
          <w:szCs w:val="24"/>
        </w:rPr>
        <w:t xml:space="preserve">DE </w:t>
      </w:r>
      <w:r w:rsidRPr="001A211A">
        <w:rPr>
          <w:rFonts w:ascii="Arial" w:hAnsi="Arial" w:cs="Arial"/>
          <w:b/>
          <w:spacing w:val="12"/>
          <w:sz w:val="24"/>
          <w:szCs w:val="24"/>
        </w:rPr>
        <w:t>P</w:t>
      </w:r>
      <w:r w:rsidR="001A211A">
        <w:rPr>
          <w:rFonts w:ascii="Arial" w:hAnsi="Arial" w:cs="Arial"/>
          <w:b/>
          <w:spacing w:val="12"/>
          <w:sz w:val="24"/>
          <w:szCs w:val="24"/>
        </w:rPr>
        <w:t>EREIRA</w:t>
      </w:r>
    </w:p>
    <w:p w:rsidR="00D70503" w:rsidRPr="001A211A" w:rsidRDefault="002A5D1B" w:rsidP="001A211A">
      <w:pPr>
        <w:spacing w:line="276" w:lineRule="auto"/>
        <w:ind w:left="944" w:right="1088"/>
        <w:jc w:val="center"/>
        <w:rPr>
          <w:rFonts w:ascii="Arial" w:hAnsi="Arial" w:cs="Arial"/>
          <w:b/>
          <w:sz w:val="24"/>
          <w:szCs w:val="24"/>
        </w:rPr>
      </w:pPr>
      <w:r w:rsidRPr="001A211A">
        <w:rPr>
          <w:rFonts w:ascii="Arial" w:hAnsi="Arial" w:cs="Arial"/>
          <w:b/>
          <w:spacing w:val="9"/>
          <w:sz w:val="24"/>
          <w:szCs w:val="24"/>
        </w:rPr>
        <w:t xml:space="preserve">SALA </w:t>
      </w:r>
      <w:r w:rsidRPr="001A211A">
        <w:rPr>
          <w:rFonts w:ascii="Arial" w:hAnsi="Arial" w:cs="Arial"/>
          <w:b/>
          <w:spacing w:val="10"/>
          <w:sz w:val="24"/>
          <w:szCs w:val="24"/>
        </w:rPr>
        <w:t xml:space="preserve">CUARTA </w:t>
      </w:r>
      <w:r w:rsidRPr="001A211A">
        <w:rPr>
          <w:rFonts w:ascii="Arial" w:hAnsi="Arial" w:cs="Arial"/>
          <w:b/>
          <w:spacing w:val="6"/>
          <w:sz w:val="24"/>
          <w:szCs w:val="24"/>
        </w:rPr>
        <w:t xml:space="preserve">DE </w:t>
      </w:r>
      <w:r w:rsidRPr="001A211A">
        <w:rPr>
          <w:rFonts w:ascii="Arial" w:hAnsi="Arial" w:cs="Arial"/>
          <w:b/>
          <w:spacing w:val="10"/>
          <w:sz w:val="24"/>
          <w:szCs w:val="24"/>
        </w:rPr>
        <w:t>DECISIÓN</w:t>
      </w:r>
      <w:r w:rsidRPr="001A211A">
        <w:rPr>
          <w:rFonts w:ascii="Arial" w:hAnsi="Arial" w:cs="Arial"/>
          <w:b/>
          <w:spacing w:val="66"/>
          <w:sz w:val="24"/>
          <w:szCs w:val="24"/>
        </w:rPr>
        <w:t xml:space="preserve"> </w:t>
      </w:r>
      <w:r w:rsidRPr="001A211A">
        <w:rPr>
          <w:rFonts w:ascii="Arial" w:hAnsi="Arial" w:cs="Arial"/>
          <w:b/>
          <w:spacing w:val="12"/>
          <w:sz w:val="24"/>
          <w:szCs w:val="24"/>
        </w:rPr>
        <w:t>LABORAL</w:t>
      </w:r>
    </w:p>
    <w:p w:rsidR="00D70503" w:rsidRPr="001A211A" w:rsidRDefault="00D70503" w:rsidP="001A211A">
      <w:pPr>
        <w:pStyle w:val="Textoindependiente"/>
        <w:spacing w:line="276" w:lineRule="auto"/>
        <w:rPr>
          <w:rFonts w:ascii="Arial" w:hAnsi="Arial" w:cs="Arial"/>
          <w:b/>
          <w:sz w:val="24"/>
          <w:szCs w:val="24"/>
        </w:rPr>
      </w:pPr>
    </w:p>
    <w:p w:rsidR="00D70503" w:rsidRPr="001A211A" w:rsidRDefault="002A5D1B" w:rsidP="001A211A">
      <w:pPr>
        <w:pStyle w:val="Textoindependiente"/>
        <w:spacing w:line="276" w:lineRule="auto"/>
        <w:ind w:left="938" w:right="1091"/>
        <w:jc w:val="center"/>
        <w:rPr>
          <w:rFonts w:ascii="Arial" w:hAnsi="Arial" w:cs="Arial"/>
          <w:sz w:val="24"/>
          <w:szCs w:val="24"/>
        </w:rPr>
      </w:pPr>
      <w:r w:rsidRPr="001A211A">
        <w:rPr>
          <w:rFonts w:ascii="Arial" w:hAnsi="Arial" w:cs="Arial"/>
          <w:sz w:val="24"/>
          <w:szCs w:val="24"/>
        </w:rPr>
        <w:t xml:space="preserve">Magistrada </w:t>
      </w:r>
      <w:r w:rsidR="00D61CDE" w:rsidRPr="001A211A">
        <w:rPr>
          <w:rFonts w:ascii="Arial" w:hAnsi="Arial" w:cs="Arial"/>
          <w:sz w:val="24"/>
          <w:szCs w:val="24"/>
        </w:rPr>
        <w:t>Ponente</w:t>
      </w:r>
      <w:r w:rsidRPr="001A211A">
        <w:rPr>
          <w:rFonts w:ascii="Arial" w:hAnsi="Arial" w:cs="Arial"/>
          <w:sz w:val="24"/>
          <w:szCs w:val="24"/>
        </w:rPr>
        <w:t>:</w:t>
      </w:r>
    </w:p>
    <w:p w:rsidR="00D70503" w:rsidRPr="001A211A" w:rsidRDefault="002A5D1B" w:rsidP="001A211A">
      <w:pPr>
        <w:pStyle w:val="Ttulo1"/>
        <w:spacing w:line="276" w:lineRule="auto"/>
        <w:ind w:right="1091"/>
        <w:jc w:val="center"/>
        <w:rPr>
          <w:rFonts w:ascii="Arial" w:hAnsi="Arial" w:cs="Arial"/>
          <w:sz w:val="24"/>
          <w:szCs w:val="24"/>
        </w:rPr>
      </w:pPr>
      <w:r w:rsidRPr="001A211A">
        <w:rPr>
          <w:rFonts w:ascii="Arial" w:hAnsi="Arial" w:cs="Arial"/>
          <w:sz w:val="24"/>
          <w:szCs w:val="24"/>
        </w:rPr>
        <w:t>ALEJANDRA MARÍA HENAO PALACIO</w:t>
      </w:r>
    </w:p>
    <w:p w:rsidR="00D70503" w:rsidRPr="001A211A" w:rsidRDefault="00D70503" w:rsidP="001A211A">
      <w:pPr>
        <w:pStyle w:val="Textoindependiente"/>
        <w:spacing w:line="276" w:lineRule="auto"/>
        <w:rPr>
          <w:rFonts w:ascii="Arial" w:hAnsi="Arial" w:cs="Arial"/>
          <w:b/>
          <w:sz w:val="24"/>
          <w:szCs w:val="24"/>
        </w:rPr>
      </w:pPr>
    </w:p>
    <w:p w:rsidR="00D70503" w:rsidRPr="001A211A" w:rsidRDefault="00D70503" w:rsidP="001A211A">
      <w:pPr>
        <w:pStyle w:val="Textoindependiente"/>
        <w:spacing w:line="276" w:lineRule="auto"/>
        <w:rPr>
          <w:rFonts w:ascii="Arial" w:hAnsi="Arial" w:cs="Arial"/>
          <w:b/>
          <w:sz w:val="24"/>
          <w:szCs w:val="24"/>
        </w:rPr>
      </w:pPr>
    </w:p>
    <w:tbl>
      <w:tblPr>
        <w:tblStyle w:val="TableNormal"/>
        <w:tblW w:w="0" w:type="auto"/>
        <w:tblInd w:w="7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6"/>
        <w:gridCol w:w="5529"/>
      </w:tblGrid>
      <w:tr w:rsidR="001A211A" w:rsidRPr="001A211A" w:rsidTr="001A211A">
        <w:trPr>
          <w:trHeight w:val="223"/>
        </w:trPr>
        <w:tc>
          <w:tcPr>
            <w:tcW w:w="2126" w:type="dxa"/>
          </w:tcPr>
          <w:p w:rsidR="00D70503" w:rsidRPr="001A211A" w:rsidRDefault="002A5D1B" w:rsidP="001A211A">
            <w:pPr>
              <w:pStyle w:val="TableParagraph"/>
              <w:rPr>
                <w:rFonts w:ascii="Arial" w:hAnsi="Arial" w:cs="Arial"/>
                <w:szCs w:val="24"/>
              </w:rPr>
            </w:pPr>
            <w:r w:rsidRPr="001A211A">
              <w:rPr>
                <w:rFonts w:ascii="Arial" w:hAnsi="Arial" w:cs="Arial"/>
                <w:szCs w:val="24"/>
              </w:rPr>
              <w:t>Demandante:</w:t>
            </w:r>
          </w:p>
        </w:tc>
        <w:tc>
          <w:tcPr>
            <w:tcW w:w="5529" w:type="dxa"/>
          </w:tcPr>
          <w:p w:rsidR="00D70503" w:rsidRPr="001A211A" w:rsidRDefault="001A211A" w:rsidP="001A211A">
            <w:pPr>
              <w:pStyle w:val="TableParagraph"/>
              <w:rPr>
                <w:rFonts w:ascii="Arial" w:hAnsi="Arial" w:cs="Arial"/>
                <w:szCs w:val="24"/>
              </w:rPr>
            </w:pPr>
            <w:r w:rsidRPr="001A211A">
              <w:rPr>
                <w:rFonts w:ascii="Arial" w:hAnsi="Arial" w:cs="Arial"/>
                <w:szCs w:val="24"/>
              </w:rPr>
              <w:t xml:space="preserve">Pedro </w:t>
            </w:r>
            <w:proofErr w:type="spellStart"/>
            <w:r w:rsidRPr="001A211A">
              <w:rPr>
                <w:rFonts w:ascii="Arial" w:hAnsi="Arial" w:cs="Arial"/>
                <w:szCs w:val="24"/>
              </w:rPr>
              <w:t>Ome</w:t>
            </w:r>
            <w:proofErr w:type="spellEnd"/>
            <w:r w:rsidRPr="001A211A">
              <w:rPr>
                <w:rFonts w:ascii="Arial" w:hAnsi="Arial" w:cs="Arial"/>
                <w:szCs w:val="24"/>
              </w:rPr>
              <w:t xml:space="preserve"> Suárez</w:t>
            </w:r>
          </w:p>
        </w:tc>
      </w:tr>
      <w:tr w:rsidR="001A211A" w:rsidRPr="001A211A" w:rsidTr="001A211A">
        <w:trPr>
          <w:trHeight w:val="285"/>
        </w:trPr>
        <w:tc>
          <w:tcPr>
            <w:tcW w:w="2126" w:type="dxa"/>
          </w:tcPr>
          <w:p w:rsidR="00D70503" w:rsidRPr="001A211A" w:rsidRDefault="002A5D1B" w:rsidP="001A211A">
            <w:pPr>
              <w:pStyle w:val="TableParagraph"/>
              <w:rPr>
                <w:rFonts w:ascii="Arial" w:hAnsi="Arial" w:cs="Arial"/>
                <w:szCs w:val="24"/>
              </w:rPr>
            </w:pPr>
            <w:r w:rsidRPr="001A211A">
              <w:rPr>
                <w:rFonts w:ascii="Arial" w:hAnsi="Arial" w:cs="Arial"/>
                <w:szCs w:val="24"/>
              </w:rPr>
              <w:t>Demandado:</w:t>
            </w:r>
          </w:p>
        </w:tc>
        <w:tc>
          <w:tcPr>
            <w:tcW w:w="5529" w:type="dxa"/>
          </w:tcPr>
          <w:p w:rsidR="00D70503" w:rsidRPr="001A211A" w:rsidRDefault="001A211A" w:rsidP="001A211A">
            <w:pPr>
              <w:pStyle w:val="TableParagraph"/>
              <w:rPr>
                <w:rFonts w:ascii="Arial" w:hAnsi="Arial" w:cs="Arial"/>
                <w:szCs w:val="24"/>
              </w:rPr>
            </w:pPr>
            <w:r w:rsidRPr="001A211A">
              <w:rPr>
                <w:rFonts w:ascii="Arial" w:hAnsi="Arial" w:cs="Arial"/>
                <w:szCs w:val="24"/>
              </w:rPr>
              <w:t>Colpensiones</w:t>
            </w:r>
            <w:r w:rsidR="002A5D1B" w:rsidRPr="001A211A">
              <w:rPr>
                <w:rFonts w:ascii="Arial" w:hAnsi="Arial" w:cs="Arial"/>
                <w:szCs w:val="24"/>
              </w:rPr>
              <w:t xml:space="preserve">, </w:t>
            </w:r>
            <w:r w:rsidRPr="001A211A">
              <w:rPr>
                <w:rFonts w:ascii="Arial" w:hAnsi="Arial" w:cs="Arial"/>
                <w:szCs w:val="24"/>
              </w:rPr>
              <w:t>Porvenir y Old Mutual</w:t>
            </w:r>
          </w:p>
        </w:tc>
      </w:tr>
      <w:tr w:rsidR="001A211A" w:rsidRPr="001A211A" w:rsidTr="001A211A">
        <w:trPr>
          <w:trHeight w:val="275"/>
        </w:trPr>
        <w:tc>
          <w:tcPr>
            <w:tcW w:w="2126" w:type="dxa"/>
          </w:tcPr>
          <w:p w:rsidR="00D70503" w:rsidRPr="001A211A" w:rsidRDefault="002A5D1B" w:rsidP="001A211A">
            <w:pPr>
              <w:pStyle w:val="TableParagraph"/>
              <w:rPr>
                <w:rFonts w:ascii="Arial" w:hAnsi="Arial" w:cs="Arial"/>
                <w:szCs w:val="24"/>
              </w:rPr>
            </w:pPr>
            <w:r w:rsidRPr="001A211A">
              <w:rPr>
                <w:rFonts w:ascii="Arial" w:hAnsi="Arial" w:cs="Arial"/>
                <w:szCs w:val="24"/>
              </w:rPr>
              <w:t>Radicación No.</w:t>
            </w:r>
          </w:p>
        </w:tc>
        <w:tc>
          <w:tcPr>
            <w:tcW w:w="5529" w:type="dxa"/>
          </w:tcPr>
          <w:p w:rsidR="00D70503" w:rsidRPr="001A211A" w:rsidRDefault="002A5D1B" w:rsidP="001A211A">
            <w:pPr>
              <w:pStyle w:val="TableParagraph"/>
              <w:rPr>
                <w:rFonts w:ascii="Arial" w:hAnsi="Arial" w:cs="Arial"/>
                <w:szCs w:val="24"/>
              </w:rPr>
            </w:pPr>
            <w:r w:rsidRPr="001A211A">
              <w:rPr>
                <w:rFonts w:ascii="Arial" w:hAnsi="Arial" w:cs="Arial"/>
                <w:szCs w:val="24"/>
              </w:rPr>
              <w:t>66001–31-05-003-2018-00072-01</w:t>
            </w:r>
          </w:p>
        </w:tc>
      </w:tr>
      <w:tr w:rsidR="001A211A" w:rsidRPr="001A211A" w:rsidTr="001A211A">
        <w:trPr>
          <w:trHeight w:val="265"/>
        </w:trPr>
        <w:tc>
          <w:tcPr>
            <w:tcW w:w="2126" w:type="dxa"/>
          </w:tcPr>
          <w:p w:rsidR="00D70503" w:rsidRPr="001A211A" w:rsidRDefault="002A5D1B" w:rsidP="001A211A">
            <w:pPr>
              <w:pStyle w:val="TableParagraph"/>
              <w:rPr>
                <w:rFonts w:ascii="Arial" w:hAnsi="Arial" w:cs="Arial"/>
                <w:szCs w:val="24"/>
              </w:rPr>
            </w:pPr>
            <w:r w:rsidRPr="001A211A">
              <w:rPr>
                <w:rFonts w:ascii="Arial" w:hAnsi="Arial" w:cs="Arial"/>
                <w:szCs w:val="24"/>
              </w:rPr>
              <w:t>Juzgado origen:</w:t>
            </w:r>
          </w:p>
        </w:tc>
        <w:tc>
          <w:tcPr>
            <w:tcW w:w="5529" w:type="dxa"/>
          </w:tcPr>
          <w:p w:rsidR="00D70503" w:rsidRPr="001A211A" w:rsidRDefault="001A211A" w:rsidP="001A211A">
            <w:pPr>
              <w:pStyle w:val="TableParagraph"/>
              <w:rPr>
                <w:rFonts w:ascii="Arial" w:hAnsi="Arial" w:cs="Arial"/>
                <w:szCs w:val="24"/>
              </w:rPr>
            </w:pPr>
            <w:r w:rsidRPr="001A211A">
              <w:rPr>
                <w:rFonts w:ascii="Arial" w:hAnsi="Arial" w:cs="Arial"/>
                <w:szCs w:val="24"/>
              </w:rPr>
              <w:t>Tercero Laboral del Circuito de Pereira</w:t>
            </w:r>
          </w:p>
        </w:tc>
      </w:tr>
      <w:tr w:rsidR="001A211A" w:rsidRPr="001A211A" w:rsidTr="001A211A">
        <w:trPr>
          <w:trHeight w:val="283"/>
        </w:trPr>
        <w:tc>
          <w:tcPr>
            <w:tcW w:w="2126" w:type="dxa"/>
          </w:tcPr>
          <w:p w:rsidR="00D70503" w:rsidRPr="001A211A" w:rsidRDefault="002A5D1B" w:rsidP="001A211A">
            <w:pPr>
              <w:pStyle w:val="TableParagraph"/>
              <w:rPr>
                <w:rFonts w:ascii="Arial" w:hAnsi="Arial" w:cs="Arial"/>
                <w:szCs w:val="24"/>
              </w:rPr>
            </w:pPr>
            <w:r w:rsidRPr="001A211A">
              <w:rPr>
                <w:rFonts w:ascii="Arial" w:hAnsi="Arial" w:cs="Arial"/>
                <w:szCs w:val="24"/>
              </w:rPr>
              <w:t>Tipo de proceso:</w:t>
            </w:r>
          </w:p>
        </w:tc>
        <w:tc>
          <w:tcPr>
            <w:tcW w:w="5529" w:type="dxa"/>
          </w:tcPr>
          <w:p w:rsidR="00D70503" w:rsidRPr="001A211A" w:rsidRDefault="001A211A" w:rsidP="001A211A">
            <w:pPr>
              <w:pStyle w:val="TableParagraph"/>
              <w:rPr>
                <w:rFonts w:ascii="Arial" w:hAnsi="Arial" w:cs="Arial"/>
                <w:szCs w:val="24"/>
              </w:rPr>
            </w:pPr>
            <w:r w:rsidRPr="001A211A">
              <w:rPr>
                <w:rFonts w:ascii="Arial" w:hAnsi="Arial" w:cs="Arial"/>
                <w:szCs w:val="24"/>
              </w:rPr>
              <w:t>Ordinario Laboral</w:t>
            </w:r>
          </w:p>
        </w:tc>
      </w:tr>
      <w:tr w:rsidR="001A211A" w:rsidRPr="001A211A" w:rsidTr="001A211A">
        <w:trPr>
          <w:trHeight w:val="273"/>
        </w:trPr>
        <w:tc>
          <w:tcPr>
            <w:tcW w:w="2126" w:type="dxa"/>
          </w:tcPr>
          <w:p w:rsidR="00D70503" w:rsidRPr="001A211A" w:rsidRDefault="002A5D1B" w:rsidP="001A211A">
            <w:pPr>
              <w:pStyle w:val="TableParagraph"/>
              <w:rPr>
                <w:rFonts w:ascii="Arial" w:hAnsi="Arial" w:cs="Arial"/>
                <w:szCs w:val="24"/>
              </w:rPr>
            </w:pPr>
            <w:r w:rsidRPr="001A211A">
              <w:rPr>
                <w:rFonts w:ascii="Arial" w:hAnsi="Arial" w:cs="Arial"/>
                <w:szCs w:val="24"/>
              </w:rPr>
              <w:t>Providencia:</w:t>
            </w:r>
          </w:p>
        </w:tc>
        <w:tc>
          <w:tcPr>
            <w:tcW w:w="5529" w:type="dxa"/>
          </w:tcPr>
          <w:p w:rsidR="00D70503" w:rsidRPr="001A211A" w:rsidRDefault="001A211A" w:rsidP="001A211A">
            <w:pPr>
              <w:pStyle w:val="TableParagraph"/>
              <w:rPr>
                <w:rFonts w:ascii="Arial" w:hAnsi="Arial" w:cs="Arial"/>
                <w:szCs w:val="24"/>
              </w:rPr>
            </w:pPr>
            <w:r w:rsidRPr="001A211A">
              <w:rPr>
                <w:rFonts w:ascii="Arial" w:hAnsi="Arial" w:cs="Arial"/>
                <w:szCs w:val="24"/>
              </w:rPr>
              <w:t>Sentencia</w:t>
            </w:r>
          </w:p>
        </w:tc>
      </w:tr>
      <w:tr w:rsidR="001A211A" w:rsidRPr="001A211A" w:rsidTr="001A211A">
        <w:trPr>
          <w:trHeight w:val="263"/>
        </w:trPr>
        <w:tc>
          <w:tcPr>
            <w:tcW w:w="2126" w:type="dxa"/>
          </w:tcPr>
          <w:p w:rsidR="00D70503" w:rsidRPr="001A211A" w:rsidRDefault="002A5D1B" w:rsidP="001A211A">
            <w:pPr>
              <w:pStyle w:val="TableParagraph"/>
              <w:rPr>
                <w:rFonts w:ascii="Arial" w:hAnsi="Arial" w:cs="Arial"/>
                <w:szCs w:val="24"/>
              </w:rPr>
            </w:pPr>
            <w:r w:rsidRPr="001A211A">
              <w:rPr>
                <w:rFonts w:ascii="Arial" w:hAnsi="Arial" w:cs="Arial"/>
                <w:szCs w:val="24"/>
              </w:rPr>
              <w:t>Decisión:</w:t>
            </w:r>
          </w:p>
        </w:tc>
        <w:tc>
          <w:tcPr>
            <w:tcW w:w="5529" w:type="dxa"/>
          </w:tcPr>
          <w:p w:rsidR="00D70503" w:rsidRPr="001A211A" w:rsidRDefault="002A5D1B" w:rsidP="001A211A">
            <w:pPr>
              <w:pStyle w:val="TableParagraph"/>
              <w:rPr>
                <w:rFonts w:ascii="Arial" w:hAnsi="Arial" w:cs="Arial"/>
                <w:b/>
                <w:szCs w:val="24"/>
              </w:rPr>
            </w:pPr>
            <w:r w:rsidRPr="001A211A">
              <w:rPr>
                <w:rFonts w:ascii="Arial" w:hAnsi="Arial" w:cs="Arial"/>
                <w:b/>
                <w:szCs w:val="24"/>
              </w:rPr>
              <w:t>CONFIRMA Y ADICIONA</w:t>
            </w:r>
          </w:p>
        </w:tc>
      </w:tr>
    </w:tbl>
    <w:p w:rsidR="00D70503" w:rsidRPr="001A211A" w:rsidRDefault="00D70503" w:rsidP="001A211A">
      <w:pPr>
        <w:pStyle w:val="Textoindependiente"/>
        <w:spacing w:line="276" w:lineRule="auto"/>
        <w:rPr>
          <w:rFonts w:ascii="Arial" w:hAnsi="Arial" w:cs="Arial"/>
          <w:b/>
          <w:sz w:val="24"/>
          <w:szCs w:val="24"/>
        </w:rPr>
      </w:pPr>
    </w:p>
    <w:p w:rsidR="00B42913" w:rsidRDefault="002A5D1B" w:rsidP="00B42913">
      <w:pPr>
        <w:pStyle w:val="Textoindependiente"/>
        <w:spacing w:line="276" w:lineRule="auto"/>
        <w:ind w:right="-5"/>
        <w:jc w:val="center"/>
        <w:rPr>
          <w:rFonts w:ascii="Arial" w:hAnsi="Arial" w:cs="Arial"/>
          <w:spacing w:val="4"/>
          <w:sz w:val="24"/>
          <w:szCs w:val="24"/>
        </w:rPr>
      </w:pPr>
      <w:r w:rsidRPr="00D61CDE">
        <w:rPr>
          <w:rFonts w:ascii="Arial" w:hAnsi="Arial" w:cs="Arial"/>
          <w:spacing w:val="4"/>
          <w:sz w:val="24"/>
          <w:szCs w:val="24"/>
        </w:rPr>
        <w:t>Registro del proyecto: tres (03) de sept</w:t>
      </w:r>
      <w:r w:rsidR="00B42913">
        <w:rPr>
          <w:rFonts w:ascii="Arial" w:hAnsi="Arial" w:cs="Arial"/>
          <w:spacing w:val="4"/>
          <w:sz w:val="24"/>
          <w:szCs w:val="24"/>
        </w:rPr>
        <w:t>iembre de dos mil veinte (2020)</w:t>
      </w:r>
    </w:p>
    <w:p w:rsidR="00D70503" w:rsidRPr="00D61CDE" w:rsidRDefault="002A5D1B" w:rsidP="00B42913">
      <w:pPr>
        <w:pStyle w:val="Textoindependiente"/>
        <w:spacing w:line="276" w:lineRule="auto"/>
        <w:ind w:right="-5"/>
        <w:jc w:val="center"/>
        <w:rPr>
          <w:rFonts w:ascii="Arial" w:hAnsi="Arial" w:cs="Arial"/>
          <w:spacing w:val="4"/>
          <w:sz w:val="24"/>
          <w:szCs w:val="24"/>
        </w:rPr>
      </w:pPr>
      <w:r w:rsidRPr="00D61CDE">
        <w:rPr>
          <w:rFonts w:ascii="Arial" w:hAnsi="Arial" w:cs="Arial"/>
          <w:spacing w:val="4"/>
          <w:sz w:val="24"/>
          <w:szCs w:val="24"/>
        </w:rPr>
        <w:t>Acta de discusión No. 127 del 08 de septiembre de 2020</w:t>
      </w:r>
    </w:p>
    <w:p w:rsidR="001A211A" w:rsidRPr="00D61CDE" w:rsidRDefault="001A211A" w:rsidP="001A211A">
      <w:pPr>
        <w:pStyle w:val="Textoindependiente"/>
        <w:spacing w:line="276" w:lineRule="auto"/>
        <w:ind w:left="944" w:right="1091"/>
        <w:jc w:val="center"/>
        <w:rPr>
          <w:rFonts w:ascii="Arial" w:hAnsi="Arial" w:cs="Arial"/>
          <w:spacing w:val="4"/>
          <w:sz w:val="24"/>
          <w:szCs w:val="24"/>
        </w:rPr>
      </w:pPr>
    </w:p>
    <w:p w:rsidR="00D70503" w:rsidRPr="00D61CDE" w:rsidRDefault="002A5D1B" w:rsidP="00B42913">
      <w:pPr>
        <w:pStyle w:val="Textoindependiente"/>
        <w:spacing w:line="276" w:lineRule="auto"/>
        <w:ind w:right="-5"/>
        <w:jc w:val="center"/>
        <w:rPr>
          <w:rFonts w:ascii="Arial" w:hAnsi="Arial" w:cs="Arial"/>
          <w:spacing w:val="4"/>
          <w:sz w:val="24"/>
          <w:szCs w:val="24"/>
        </w:rPr>
      </w:pPr>
      <w:r w:rsidRPr="00D61CDE">
        <w:rPr>
          <w:rFonts w:ascii="Arial" w:hAnsi="Arial" w:cs="Arial"/>
          <w:spacing w:val="4"/>
          <w:sz w:val="24"/>
          <w:szCs w:val="24"/>
        </w:rPr>
        <w:t>Pereira, Risaralda, catorce (14) de septiembre de dos mil veinte (2020)</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De conformidad con el numeral 1º</w:t>
      </w:r>
      <w:r w:rsidR="00012C70" w:rsidRPr="00D61CDE">
        <w:rPr>
          <w:rFonts w:ascii="Arial" w:hAnsi="Arial" w:cs="Arial"/>
          <w:spacing w:val="4"/>
          <w:sz w:val="24"/>
          <w:szCs w:val="24"/>
        </w:rPr>
        <w:t xml:space="preserve"> </w:t>
      </w:r>
      <w:r w:rsidRPr="00D61CDE">
        <w:rPr>
          <w:rFonts w:ascii="Arial" w:hAnsi="Arial" w:cs="Arial"/>
          <w:spacing w:val="4"/>
          <w:sz w:val="24"/>
          <w:szCs w:val="24"/>
        </w:rPr>
        <w:t>del</w:t>
      </w:r>
      <w:r w:rsidR="00012C70" w:rsidRPr="00D61CDE">
        <w:rPr>
          <w:rFonts w:ascii="Arial" w:hAnsi="Arial" w:cs="Arial"/>
          <w:spacing w:val="4"/>
          <w:sz w:val="24"/>
          <w:szCs w:val="24"/>
        </w:rPr>
        <w:t xml:space="preserve"> </w:t>
      </w:r>
      <w:r w:rsidRPr="00D61CDE">
        <w:rPr>
          <w:rFonts w:ascii="Arial" w:hAnsi="Arial" w:cs="Arial"/>
          <w:spacing w:val="4"/>
          <w:sz w:val="24"/>
          <w:szCs w:val="24"/>
        </w:rPr>
        <w:t>artículo 15</w:t>
      </w:r>
      <w:r w:rsidR="00012C70" w:rsidRPr="00D61CDE">
        <w:rPr>
          <w:rFonts w:ascii="Arial" w:hAnsi="Arial" w:cs="Arial"/>
          <w:spacing w:val="4"/>
          <w:sz w:val="24"/>
          <w:szCs w:val="24"/>
        </w:rPr>
        <w:t xml:space="preserve"> </w:t>
      </w:r>
      <w:r w:rsidRPr="00D61CDE">
        <w:rPr>
          <w:rFonts w:ascii="Arial" w:hAnsi="Arial" w:cs="Arial"/>
          <w:spacing w:val="4"/>
          <w:sz w:val="24"/>
          <w:szCs w:val="24"/>
        </w:rPr>
        <w:t>del</w:t>
      </w:r>
      <w:r w:rsidR="00012C70" w:rsidRPr="00D61CDE">
        <w:rPr>
          <w:rFonts w:ascii="Arial" w:hAnsi="Arial" w:cs="Arial"/>
          <w:spacing w:val="4"/>
          <w:sz w:val="24"/>
          <w:szCs w:val="24"/>
        </w:rPr>
        <w:t xml:space="preserve"> </w:t>
      </w:r>
      <w:r w:rsidRPr="00D61CDE">
        <w:rPr>
          <w:rFonts w:ascii="Arial" w:hAnsi="Arial" w:cs="Arial"/>
          <w:spacing w:val="4"/>
          <w:sz w:val="24"/>
          <w:szCs w:val="24"/>
        </w:rPr>
        <w:t>Decreto</w:t>
      </w:r>
      <w:r w:rsidR="00012C70" w:rsidRPr="00D61CDE">
        <w:rPr>
          <w:rFonts w:ascii="Arial" w:hAnsi="Arial" w:cs="Arial"/>
          <w:spacing w:val="4"/>
          <w:sz w:val="24"/>
          <w:szCs w:val="24"/>
        </w:rPr>
        <w:t xml:space="preserve"> </w:t>
      </w:r>
      <w:r w:rsidRPr="00D61CDE">
        <w:rPr>
          <w:rFonts w:ascii="Arial" w:hAnsi="Arial" w:cs="Arial"/>
          <w:spacing w:val="4"/>
          <w:sz w:val="24"/>
          <w:szCs w:val="24"/>
        </w:rPr>
        <w:t>806</w:t>
      </w:r>
      <w:r w:rsidR="00012C70" w:rsidRPr="00D61CDE">
        <w:rPr>
          <w:rFonts w:ascii="Arial" w:hAnsi="Arial" w:cs="Arial"/>
          <w:spacing w:val="4"/>
          <w:sz w:val="24"/>
          <w:szCs w:val="24"/>
        </w:rPr>
        <w:t xml:space="preserve"> </w:t>
      </w:r>
      <w:r w:rsidRPr="00D61CDE">
        <w:rPr>
          <w:rFonts w:ascii="Arial" w:hAnsi="Arial" w:cs="Arial"/>
          <w:spacing w:val="4"/>
          <w:sz w:val="24"/>
          <w:szCs w:val="24"/>
        </w:rPr>
        <w:t>del 04 de junio de 2020, según el cual las sentencias de segunda instancia en materia laboral deben proferirse de manera escrita, procede la Sala Cuarta de Decisión Laboral del Tribunal Superior de Pereira, integrada por las</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magistradas </w:t>
      </w:r>
      <w:r w:rsidRPr="00D61CDE">
        <w:rPr>
          <w:rFonts w:ascii="Arial" w:hAnsi="Arial" w:cs="Arial"/>
          <w:b/>
          <w:spacing w:val="4"/>
          <w:sz w:val="24"/>
          <w:szCs w:val="24"/>
        </w:rPr>
        <w:t xml:space="preserve">ALEJANDRA MARÍA HENAO PALACIO (ponente), ANA LUCÍA CAICEDO CALDERÓN </w:t>
      </w:r>
      <w:r w:rsidRPr="00D61CDE">
        <w:rPr>
          <w:rFonts w:ascii="Arial" w:hAnsi="Arial" w:cs="Arial"/>
          <w:spacing w:val="4"/>
          <w:sz w:val="24"/>
          <w:szCs w:val="24"/>
        </w:rPr>
        <w:t xml:space="preserve">y </w:t>
      </w:r>
      <w:r w:rsidRPr="00D61CDE">
        <w:rPr>
          <w:rFonts w:ascii="Arial" w:hAnsi="Arial" w:cs="Arial"/>
          <w:b/>
          <w:spacing w:val="4"/>
          <w:sz w:val="24"/>
          <w:szCs w:val="24"/>
        </w:rPr>
        <w:t xml:space="preserve">OLGA LUCÍA HOYOS SEPÚLVEDA, </w:t>
      </w:r>
      <w:r w:rsidRPr="00D61CDE">
        <w:rPr>
          <w:rFonts w:ascii="Arial" w:hAnsi="Arial" w:cs="Arial"/>
          <w:spacing w:val="4"/>
          <w:sz w:val="24"/>
          <w:szCs w:val="24"/>
        </w:rPr>
        <w:t>a resolver el</w:t>
      </w:r>
      <w:r w:rsidR="00012C70" w:rsidRPr="00D61CDE">
        <w:rPr>
          <w:rFonts w:ascii="Arial" w:hAnsi="Arial" w:cs="Arial"/>
          <w:spacing w:val="4"/>
          <w:sz w:val="24"/>
          <w:szCs w:val="24"/>
        </w:rPr>
        <w:t xml:space="preserve"> </w:t>
      </w:r>
      <w:r w:rsidRPr="00D61CDE">
        <w:rPr>
          <w:rFonts w:ascii="Arial" w:hAnsi="Arial" w:cs="Arial"/>
          <w:spacing w:val="4"/>
          <w:sz w:val="24"/>
          <w:szCs w:val="24"/>
        </w:rPr>
        <w:t>recursos de apelación contra la sentencia proferida el 07 de junio de 2019 por el Juzgado Tercero Laboral del Circuito de</w:t>
      </w:r>
      <w:r w:rsidR="00012C70" w:rsidRPr="00D61CDE">
        <w:rPr>
          <w:rFonts w:ascii="Arial" w:hAnsi="Arial" w:cs="Arial"/>
          <w:spacing w:val="4"/>
          <w:sz w:val="24"/>
          <w:szCs w:val="24"/>
        </w:rPr>
        <w:t xml:space="preserve"> </w:t>
      </w:r>
      <w:r w:rsidRPr="00D61CDE">
        <w:rPr>
          <w:rFonts w:ascii="Arial" w:hAnsi="Arial" w:cs="Arial"/>
          <w:spacing w:val="4"/>
          <w:sz w:val="24"/>
          <w:szCs w:val="24"/>
        </w:rPr>
        <w:t>Pereira, así como el</w:t>
      </w:r>
      <w:r w:rsidR="00012C70" w:rsidRPr="00D61CDE">
        <w:rPr>
          <w:rFonts w:ascii="Arial" w:hAnsi="Arial" w:cs="Arial"/>
          <w:spacing w:val="4"/>
          <w:sz w:val="24"/>
          <w:szCs w:val="24"/>
        </w:rPr>
        <w:t xml:space="preserve"> </w:t>
      </w:r>
      <w:r w:rsidRPr="00D61CDE">
        <w:rPr>
          <w:rFonts w:ascii="Arial" w:hAnsi="Arial" w:cs="Arial"/>
          <w:spacing w:val="4"/>
          <w:sz w:val="24"/>
          <w:szCs w:val="24"/>
        </w:rPr>
        <w:t>grado jurisdiccional de consulta dentro del proceso ordinario laboral de la referencia.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1A211A"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92"/>
        <w:jc w:val="both"/>
        <w:rPr>
          <w:rFonts w:ascii="Arial" w:hAnsi="Arial" w:cs="Arial"/>
          <w:spacing w:val="4"/>
          <w:sz w:val="24"/>
          <w:szCs w:val="24"/>
        </w:rPr>
      </w:pPr>
      <w:r w:rsidRPr="00D61CDE">
        <w:rPr>
          <w:rFonts w:ascii="Arial" w:hAnsi="Arial" w:cs="Arial"/>
          <w:spacing w:val="4"/>
          <w:sz w:val="24"/>
          <w:szCs w:val="24"/>
        </w:rPr>
        <w:t>Previamente se revisó, discutió y aprobó el</w:t>
      </w:r>
      <w:r w:rsidR="00012C70" w:rsidRPr="00D61CDE">
        <w:rPr>
          <w:rFonts w:ascii="Arial" w:hAnsi="Arial" w:cs="Arial"/>
          <w:spacing w:val="4"/>
          <w:sz w:val="24"/>
          <w:szCs w:val="24"/>
        </w:rPr>
        <w:t xml:space="preserve"> </w:t>
      </w:r>
      <w:r w:rsidRPr="00D61CDE">
        <w:rPr>
          <w:rFonts w:ascii="Arial" w:hAnsi="Arial" w:cs="Arial"/>
          <w:spacing w:val="4"/>
          <w:sz w:val="24"/>
          <w:szCs w:val="24"/>
        </w:rPr>
        <w:t>proyecto elaborado por la Magistrada ponente el cual alude a la siguiente:</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spacing w:line="276" w:lineRule="auto"/>
        <w:ind w:left="937" w:right="1091"/>
        <w:jc w:val="center"/>
        <w:rPr>
          <w:rFonts w:ascii="Arial" w:hAnsi="Arial" w:cs="Arial"/>
          <w:spacing w:val="4"/>
          <w:sz w:val="24"/>
          <w:szCs w:val="24"/>
        </w:rPr>
      </w:pPr>
      <w:r w:rsidRPr="00D61CDE">
        <w:rPr>
          <w:rFonts w:ascii="Arial" w:hAnsi="Arial" w:cs="Arial"/>
          <w:spacing w:val="4"/>
          <w:sz w:val="24"/>
          <w:szCs w:val="24"/>
        </w:rPr>
        <w:t>SENTENCIA</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Prrafodelista"/>
        <w:numPr>
          <w:ilvl w:val="0"/>
          <w:numId w:val="4"/>
        </w:numPr>
        <w:tabs>
          <w:tab w:val="left" w:pos="1151"/>
        </w:tabs>
        <w:spacing w:line="276" w:lineRule="auto"/>
        <w:rPr>
          <w:rFonts w:ascii="Arial" w:hAnsi="Arial" w:cs="Arial"/>
          <w:b/>
          <w:spacing w:val="4"/>
          <w:sz w:val="24"/>
          <w:szCs w:val="24"/>
        </w:rPr>
      </w:pPr>
      <w:r w:rsidRPr="00D61CDE">
        <w:rPr>
          <w:rFonts w:ascii="Arial" w:hAnsi="Arial" w:cs="Arial"/>
          <w:b/>
          <w:spacing w:val="4"/>
          <w:sz w:val="24"/>
          <w:szCs w:val="24"/>
        </w:rPr>
        <w:t>ANTECEDENTES</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Prrafodelista"/>
        <w:numPr>
          <w:ilvl w:val="1"/>
          <w:numId w:val="3"/>
        </w:numPr>
        <w:tabs>
          <w:tab w:val="left" w:pos="1430"/>
        </w:tabs>
        <w:spacing w:line="276" w:lineRule="auto"/>
        <w:rPr>
          <w:rFonts w:ascii="Arial" w:hAnsi="Arial" w:cs="Arial"/>
          <w:b/>
          <w:spacing w:val="4"/>
          <w:sz w:val="24"/>
          <w:szCs w:val="24"/>
        </w:rPr>
      </w:pPr>
      <w:r w:rsidRPr="00D61CDE">
        <w:rPr>
          <w:rFonts w:ascii="Arial" w:hAnsi="Arial" w:cs="Arial"/>
          <w:b/>
          <w:spacing w:val="4"/>
          <w:sz w:val="24"/>
          <w:szCs w:val="24"/>
        </w:rPr>
        <w:t>Demanda</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1" w:firstLine="708"/>
        <w:jc w:val="both"/>
        <w:rPr>
          <w:rFonts w:ascii="Arial" w:hAnsi="Arial" w:cs="Arial"/>
          <w:spacing w:val="4"/>
          <w:sz w:val="24"/>
          <w:szCs w:val="24"/>
        </w:rPr>
      </w:pPr>
      <w:r w:rsidRPr="00D61CDE">
        <w:rPr>
          <w:rFonts w:ascii="Arial" w:hAnsi="Arial" w:cs="Arial"/>
          <w:spacing w:val="4"/>
          <w:sz w:val="24"/>
          <w:szCs w:val="24"/>
        </w:rPr>
        <w:t>Pretende el demandante que la justicia ordinaria laboral declare la nulidad del traslado que hizo del régimen de prima media con prestación definida al régimen de ahorro individual con solidaridad a través de Porvenir y del cambio de administradora que hizo con posterioridad a Old Mutual. En consecuencia, aspira a que se declare válidamente afiliado a Colpensiones, que se condene a Old Mutual a trasladar a esta entidad las cotizaciones percibidas con los rendimientos correspondientes y que se ordene a Porvenir</w:t>
      </w:r>
      <w:r w:rsidR="00012C70" w:rsidRPr="00D61CDE">
        <w:rPr>
          <w:rFonts w:ascii="Arial" w:hAnsi="Arial" w:cs="Arial"/>
          <w:spacing w:val="4"/>
          <w:sz w:val="24"/>
          <w:szCs w:val="24"/>
        </w:rPr>
        <w:t xml:space="preserve"> </w:t>
      </w:r>
      <w:r w:rsidRPr="00D61CDE">
        <w:rPr>
          <w:rFonts w:ascii="Arial" w:hAnsi="Arial" w:cs="Arial"/>
          <w:spacing w:val="4"/>
          <w:sz w:val="24"/>
          <w:szCs w:val="24"/>
        </w:rPr>
        <w:t>el pago de las costas del proceso.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lastRenderedPageBreak/>
        <w:t>Como sustento de sus pretensiones, expuso que inició su vida laboral el 24 de febrero de 1983; que a partir de ese momento se afilió al Instituto de</w:t>
      </w:r>
      <w:r w:rsidR="001A211A" w:rsidRPr="00D61CDE">
        <w:rPr>
          <w:rFonts w:ascii="Arial" w:hAnsi="Arial" w:cs="Arial"/>
          <w:spacing w:val="4"/>
          <w:sz w:val="24"/>
          <w:szCs w:val="24"/>
        </w:rPr>
        <w:t xml:space="preserve"> </w:t>
      </w:r>
      <w:r w:rsidRPr="00D61CDE">
        <w:rPr>
          <w:rFonts w:ascii="Arial" w:hAnsi="Arial" w:cs="Arial"/>
          <w:spacing w:val="4"/>
          <w:sz w:val="24"/>
          <w:szCs w:val="24"/>
        </w:rPr>
        <w:t xml:space="preserve">Seguros Sociales – </w:t>
      </w:r>
      <w:proofErr w:type="spellStart"/>
      <w:r w:rsidRPr="00D61CDE">
        <w:rPr>
          <w:rFonts w:ascii="Arial" w:hAnsi="Arial" w:cs="Arial"/>
          <w:spacing w:val="4"/>
          <w:sz w:val="24"/>
          <w:szCs w:val="24"/>
        </w:rPr>
        <w:t>ISS</w:t>
      </w:r>
      <w:proofErr w:type="spellEnd"/>
      <w:r w:rsidRPr="00D61CDE">
        <w:rPr>
          <w:rFonts w:ascii="Arial" w:hAnsi="Arial" w:cs="Arial"/>
          <w:spacing w:val="4"/>
          <w:sz w:val="24"/>
          <w:szCs w:val="24"/>
        </w:rPr>
        <w:t xml:space="preserve">; que en septiembre de 1995 empezó a trabajar en Porvenir; que debido a la presión de su empleador, en noviembre de 1998 se trasladó al régimen de ahorro individual con solidaridad a través de esa entidad; y que a pesar de trabajar en ese fondo pensional, no recibió un verdadero asesoramiento para el traslado, pues solo le fue indicado que el </w:t>
      </w:r>
      <w:proofErr w:type="spellStart"/>
      <w:r w:rsidRPr="00D61CDE">
        <w:rPr>
          <w:rFonts w:ascii="Arial" w:hAnsi="Arial" w:cs="Arial"/>
          <w:spacing w:val="4"/>
          <w:sz w:val="24"/>
          <w:szCs w:val="24"/>
        </w:rPr>
        <w:t>ISS</w:t>
      </w:r>
      <w:proofErr w:type="spellEnd"/>
      <w:r w:rsidRPr="00D61CDE">
        <w:rPr>
          <w:rFonts w:ascii="Arial" w:hAnsi="Arial" w:cs="Arial"/>
          <w:spacing w:val="4"/>
          <w:sz w:val="24"/>
          <w:szCs w:val="24"/>
        </w:rPr>
        <w:t xml:space="preserve"> estaba próximo a desaparecer; que de no tener beneficiarios, en el régimen de prima media sus aportes se perderían, mientras que en ahorro individual podían heredarse hasta el quinto grado de consanguinidad; y que en caso de no querer pensionarse, podía solicitar la devolución del capital ahorrado y del bono pensional. De otro lado, señaló que Porvenir omitió advertirle que la posibilidad de heredar la pensión estaba condicionada a la modalidad de retiro programado, hacerle una proyección pensional e indicarla que el plazo para cambiar de régimen vencía cuando cumpliera 52 años.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Terminando, adujo que con base en los mismos argumentos se trasladó a Old Mutual en el mes de febrero de 2007, una vez finalizó su vínculo laboral con Porvenir; que Old Mutual no le informó sobre la posibilidad de trasladarse antes del límite temporal fijado en la ley; que en dicho fondo el valor de su mesada, al cumplir 62 años, sería equivalente al mínimo legal; que la prestación por vejez en el régimen de prima media sería de $1.140.423; y que el 14 de diciembre de 2017, Colpensiones</w:t>
      </w:r>
      <w:r w:rsidR="00012C70" w:rsidRPr="00D61CDE">
        <w:rPr>
          <w:rFonts w:ascii="Arial" w:hAnsi="Arial" w:cs="Arial"/>
          <w:spacing w:val="4"/>
          <w:sz w:val="24"/>
          <w:szCs w:val="24"/>
        </w:rPr>
        <w:t xml:space="preserve"> </w:t>
      </w:r>
      <w:r w:rsidRPr="00D61CDE">
        <w:rPr>
          <w:rFonts w:ascii="Arial" w:hAnsi="Arial" w:cs="Arial"/>
          <w:spacing w:val="4"/>
          <w:sz w:val="24"/>
          <w:szCs w:val="24"/>
        </w:rPr>
        <w:t>le negó la solicitud de vinculación</w:t>
      </w:r>
      <w:r w:rsidR="00012C70" w:rsidRPr="00D61CDE">
        <w:rPr>
          <w:rFonts w:ascii="Arial" w:hAnsi="Arial" w:cs="Arial"/>
          <w:spacing w:val="4"/>
          <w:sz w:val="24"/>
          <w:szCs w:val="24"/>
        </w:rPr>
        <w:t xml:space="preserve"> </w:t>
      </w:r>
      <w:r w:rsidRPr="00D61CDE">
        <w:rPr>
          <w:rFonts w:ascii="Arial" w:hAnsi="Arial" w:cs="Arial"/>
          <w:spacing w:val="4"/>
          <w:sz w:val="24"/>
          <w:szCs w:val="24"/>
        </w:rPr>
        <w:t>al régimen que administra, por encontrarse a menos de 10 años de la edad exigida para la pensión de vejez.</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1"/>
          <w:numId w:val="3"/>
        </w:numPr>
        <w:tabs>
          <w:tab w:val="left" w:pos="1582"/>
          <w:tab w:val="left" w:pos="1583"/>
        </w:tabs>
        <w:spacing w:line="276" w:lineRule="auto"/>
        <w:ind w:left="1582" w:hanging="736"/>
        <w:rPr>
          <w:rFonts w:ascii="Arial" w:hAnsi="Arial" w:cs="Arial"/>
          <w:spacing w:val="4"/>
          <w:sz w:val="24"/>
          <w:szCs w:val="24"/>
        </w:rPr>
      </w:pPr>
      <w:r w:rsidRPr="00D61CDE">
        <w:rPr>
          <w:rFonts w:ascii="Arial" w:hAnsi="Arial" w:cs="Arial"/>
          <w:spacing w:val="4"/>
          <w:sz w:val="24"/>
          <w:szCs w:val="24"/>
        </w:rPr>
        <w:t>Respuesta a la demanda</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Prrafodelista"/>
        <w:numPr>
          <w:ilvl w:val="2"/>
          <w:numId w:val="3"/>
        </w:numPr>
        <w:tabs>
          <w:tab w:val="left" w:pos="1721"/>
          <w:tab w:val="left" w:pos="1722"/>
        </w:tabs>
        <w:spacing w:line="276" w:lineRule="auto"/>
        <w:rPr>
          <w:rFonts w:ascii="Arial" w:hAnsi="Arial" w:cs="Arial"/>
          <w:b/>
          <w:spacing w:val="4"/>
          <w:sz w:val="24"/>
          <w:szCs w:val="24"/>
        </w:rPr>
      </w:pPr>
      <w:r w:rsidRPr="00D61CDE">
        <w:rPr>
          <w:rFonts w:ascii="Arial" w:hAnsi="Arial" w:cs="Arial"/>
          <w:b/>
          <w:spacing w:val="4"/>
          <w:sz w:val="24"/>
          <w:szCs w:val="24"/>
        </w:rPr>
        <w:t>Colpensiones</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1" w:firstLine="708"/>
        <w:jc w:val="both"/>
        <w:rPr>
          <w:rFonts w:ascii="Arial" w:hAnsi="Arial" w:cs="Arial"/>
          <w:spacing w:val="4"/>
          <w:sz w:val="24"/>
          <w:szCs w:val="24"/>
        </w:rPr>
      </w:pPr>
      <w:r w:rsidRPr="00D61CDE">
        <w:rPr>
          <w:rFonts w:ascii="Arial" w:hAnsi="Arial" w:cs="Arial"/>
          <w:spacing w:val="4"/>
          <w:sz w:val="24"/>
          <w:szCs w:val="24"/>
        </w:rPr>
        <w:t>La Administradora Colombiana de Pensiones – Colpensiones, se opuso a las pretensiones de la demanda señalando que la afiliación al régimen de ahorro individual tiene plena validez y que las razones aducidas para negar el retorno al de prima media se encuentran establecidas en la ley.</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2" w:firstLine="708"/>
        <w:jc w:val="both"/>
        <w:rPr>
          <w:rFonts w:ascii="Arial" w:hAnsi="Arial" w:cs="Arial"/>
          <w:spacing w:val="4"/>
          <w:sz w:val="24"/>
          <w:szCs w:val="24"/>
        </w:rPr>
      </w:pPr>
      <w:r w:rsidRPr="00D61CDE">
        <w:rPr>
          <w:rFonts w:ascii="Arial" w:hAnsi="Arial" w:cs="Arial"/>
          <w:spacing w:val="4"/>
          <w:sz w:val="24"/>
          <w:szCs w:val="24"/>
        </w:rPr>
        <w:t>Al pronunciarse sobre los hechos, indicó ser cierto que el demandante fue su afiliado y que resolvió desfavorablemente la solicitud de vinculación que</w:t>
      </w:r>
    </w:p>
    <w:p w:rsidR="00D70503" w:rsidRPr="00D61CDE" w:rsidRDefault="002A5D1B" w:rsidP="001A211A">
      <w:pPr>
        <w:pStyle w:val="Textoindependiente"/>
        <w:spacing w:line="276" w:lineRule="auto"/>
        <w:ind w:left="139" w:right="292"/>
        <w:jc w:val="both"/>
        <w:rPr>
          <w:rFonts w:ascii="Arial" w:hAnsi="Arial" w:cs="Arial"/>
          <w:spacing w:val="4"/>
          <w:sz w:val="24"/>
          <w:szCs w:val="24"/>
        </w:rPr>
      </w:pPr>
      <w:proofErr w:type="gramStart"/>
      <w:r w:rsidRPr="00D61CDE">
        <w:rPr>
          <w:rFonts w:ascii="Arial" w:hAnsi="Arial" w:cs="Arial"/>
          <w:spacing w:val="4"/>
          <w:sz w:val="24"/>
          <w:szCs w:val="24"/>
        </w:rPr>
        <w:t>le</w:t>
      </w:r>
      <w:proofErr w:type="gramEnd"/>
      <w:r w:rsidRPr="00D61CDE">
        <w:rPr>
          <w:rFonts w:ascii="Arial" w:hAnsi="Arial" w:cs="Arial"/>
          <w:spacing w:val="4"/>
          <w:sz w:val="24"/>
          <w:szCs w:val="24"/>
        </w:rPr>
        <w:t xml:space="preserve"> formuló después. Dijo desconocer los supuestos fácticos restantes y en su defensa, postuló las excepciones de “INEXISTENCIA DE LA OBLIGACIÓN DEMANDADA” y “PRESCRIPCIÓN” (</w:t>
      </w:r>
      <w:proofErr w:type="spellStart"/>
      <w:r w:rsidRPr="00D61CDE">
        <w:rPr>
          <w:rFonts w:ascii="Arial" w:hAnsi="Arial" w:cs="Arial"/>
          <w:spacing w:val="4"/>
          <w:sz w:val="24"/>
          <w:szCs w:val="24"/>
        </w:rPr>
        <w:t>fols</w:t>
      </w:r>
      <w:proofErr w:type="spellEnd"/>
      <w:r w:rsidRPr="00D61CDE">
        <w:rPr>
          <w:rFonts w:ascii="Arial" w:hAnsi="Arial" w:cs="Arial"/>
          <w:spacing w:val="4"/>
          <w:sz w:val="24"/>
          <w:szCs w:val="24"/>
        </w:rPr>
        <w:t>. 85 a 90).</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2"/>
          <w:numId w:val="3"/>
        </w:numPr>
        <w:tabs>
          <w:tab w:val="left" w:pos="1721"/>
          <w:tab w:val="left" w:pos="1722"/>
        </w:tabs>
        <w:spacing w:line="276" w:lineRule="auto"/>
        <w:rPr>
          <w:rFonts w:ascii="Arial" w:hAnsi="Arial" w:cs="Arial"/>
          <w:spacing w:val="4"/>
          <w:sz w:val="24"/>
          <w:szCs w:val="24"/>
        </w:rPr>
      </w:pPr>
      <w:proofErr w:type="spellStart"/>
      <w:r w:rsidRPr="00D61CDE">
        <w:rPr>
          <w:rFonts w:ascii="Arial" w:hAnsi="Arial" w:cs="Arial"/>
          <w:spacing w:val="4"/>
          <w:sz w:val="24"/>
          <w:szCs w:val="24"/>
        </w:rPr>
        <w:t>A.F.P</w:t>
      </w:r>
      <w:proofErr w:type="spellEnd"/>
      <w:r w:rsidRPr="00D61CDE">
        <w:rPr>
          <w:rFonts w:ascii="Arial" w:hAnsi="Arial" w:cs="Arial"/>
          <w:spacing w:val="4"/>
          <w:sz w:val="24"/>
          <w:szCs w:val="24"/>
        </w:rPr>
        <w:t xml:space="preserve"> Old Mutual</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Se opuso a los pedimentos del gestor, mencionando que el traslado de régimen pensional se ejecutó a través de Porvenir con apego al ordenamiento, que el vicio que eventualmente pudo haber existido quedó subsanado por el paso del tiempo, que los traslados de régimen pensional </w:t>
      </w:r>
      <w:r w:rsidRPr="00D61CDE">
        <w:rPr>
          <w:rFonts w:ascii="Arial" w:hAnsi="Arial" w:cs="Arial"/>
          <w:spacing w:val="4"/>
          <w:sz w:val="24"/>
          <w:szCs w:val="24"/>
        </w:rPr>
        <w:lastRenderedPageBreak/>
        <w:t>deben respetar la restricción temporal del artículo 13 de la Ley 100 de 1993, modificado por la Ley 797 de 2003, y que el accionante no es beneficiario del régimen de transición.</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8" w:firstLine="708"/>
        <w:jc w:val="both"/>
        <w:rPr>
          <w:rFonts w:ascii="Arial" w:hAnsi="Arial" w:cs="Arial"/>
          <w:spacing w:val="4"/>
          <w:sz w:val="24"/>
          <w:szCs w:val="24"/>
        </w:rPr>
      </w:pPr>
      <w:r w:rsidRPr="00D61CDE">
        <w:rPr>
          <w:rFonts w:ascii="Arial" w:hAnsi="Arial" w:cs="Arial"/>
          <w:spacing w:val="4"/>
          <w:sz w:val="24"/>
          <w:szCs w:val="24"/>
        </w:rPr>
        <w:t xml:space="preserve">Al referirse a los hechos, aceptó que el actor estuvo afiliado al </w:t>
      </w:r>
      <w:proofErr w:type="spellStart"/>
      <w:r w:rsidRPr="00D61CDE">
        <w:rPr>
          <w:rFonts w:ascii="Arial" w:hAnsi="Arial" w:cs="Arial"/>
          <w:spacing w:val="4"/>
          <w:sz w:val="24"/>
          <w:szCs w:val="24"/>
        </w:rPr>
        <w:t>ISS</w:t>
      </w:r>
      <w:proofErr w:type="spellEnd"/>
      <w:r w:rsidRPr="00D61CDE">
        <w:rPr>
          <w:rFonts w:ascii="Arial" w:hAnsi="Arial" w:cs="Arial"/>
          <w:spacing w:val="4"/>
          <w:sz w:val="24"/>
          <w:szCs w:val="24"/>
        </w:rPr>
        <w:t xml:space="preserve"> y que actualmente está vinculado a Old Mutual. Negó que no le hubiere brindado información completa, veraz y oportuna acerca del régimen de ahorro individual y señaló desconocer las demás situaciones expuestas.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Como instrumento para desvanecer pretensiones, presentó como excepciones perentorias las de “VALIDEZ DE LA AFILIACIÓN A OLD MUTUAL E INEXISTENCIA DE VICIOS EN EL CONSENTIMIENTO”, “SANEAMIENTO DE LA SUPUESTA NULIDAD RELATIVA”, “PRESCRIPCIÓN”, “BUENA FE” e “INNOMINADA o GENÉRICA” (</w:t>
      </w:r>
      <w:proofErr w:type="spellStart"/>
      <w:r w:rsidRPr="00D61CDE">
        <w:rPr>
          <w:rFonts w:ascii="Arial" w:hAnsi="Arial" w:cs="Arial"/>
          <w:spacing w:val="4"/>
          <w:sz w:val="24"/>
          <w:szCs w:val="24"/>
        </w:rPr>
        <w:t>fols</w:t>
      </w:r>
      <w:proofErr w:type="spellEnd"/>
      <w:r w:rsidRPr="00D61CDE">
        <w:rPr>
          <w:rFonts w:ascii="Arial" w:hAnsi="Arial" w:cs="Arial"/>
          <w:spacing w:val="4"/>
          <w:sz w:val="24"/>
          <w:szCs w:val="24"/>
        </w:rPr>
        <w:t>. 112 a 130).</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2"/>
          <w:numId w:val="3"/>
        </w:numPr>
        <w:tabs>
          <w:tab w:val="left" w:pos="1646"/>
        </w:tabs>
        <w:spacing w:line="276" w:lineRule="auto"/>
        <w:ind w:left="1645" w:hanging="799"/>
        <w:rPr>
          <w:rFonts w:ascii="Arial" w:hAnsi="Arial" w:cs="Arial"/>
          <w:spacing w:val="4"/>
          <w:sz w:val="24"/>
          <w:szCs w:val="24"/>
        </w:rPr>
      </w:pPr>
      <w:r w:rsidRPr="00D61CDE">
        <w:rPr>
          <w:rFonts w:ascii="Arial" w:hAnsi="Arial" w:cs="Arial"/>
          <w:spacing w:val="4"/>
          <w:sz w:val="24"/>
          <w:szCs w:val="24"/>
        </w:rPr>
        <w:t>Porvenir</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A su turno afirmó, que los hechos esgrimidos por el actor no eran ciertos o no le constaban; se opuso a las solicitudes de la demanda aduciendo que la afiliación del accionante fue libre y voluntaria, que como asesor comercial de Porvenir él conocía a la perfección el sistema pensiones y que en el evento de existir alguna nulidad, la misma quedó saneada por el transcurrir del tiempo.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8" w:firstLine="708"/>
        <w:jc w:val="both"/>
        <w:rPr>
          <w:rFonts w:ascii="Arial" w:hAnsi="Arial" w:cs="Arial"/>
          <w:spacing w:val="4"/>
          <w:sz w:val="24"/>
          <w:szCs w:val="24"/>
        </w:rPr>
      </w:pPr>
      <w:r w:rsidRPr="00D61CDE">
        <w:rPr>
          <w:rFonts w:ascii="Arial" w:hAnsi="Arial" w:cs="Arial"/>
          <w:spacing w:val="4"/>
          <w:sz w:val="24"/>
          <w:szCs w:val="24"/>
        </w:rPr>
        <w:t>En su defensa, como excepciones de fondo invocó las de “</w:t>
      </w:r>
      <w:r w:rsidR="00D61CDE" w:rsidRPr="00D61CDE">
        <w:rPr>
          <w:rFonts w:ascii="Arial" w:hAnsi="Arial" w:cs="Arial"/>
          <w:spacing w:val="4"/>
          <w:sz w:val="24"/>
          <w:szCs w:val="24"/>
        </w:rPr>
        <w:t xml:space="preserve">validez de la afiliación al </w:t>
      </w:r>
      <w:proofErr w:type="spellStart"/>
      <w:r w:rsidR="00D61CDE" w:rsidRPr="00D61CDE">
        <w:rPr>
          <w:rFonts w:ascii="Arial" w:hAnsi="Arial" w:cs="Arial"/>
          <w:spacing w:val="4"/>
          <w:sz w:val="24"/>
          <w:szCs w:val="24"/>
        </w:rPr>
        <w:t>rais</w:t>
      </w:r>
      <w:proofErr w:type="spellEnd"/>
      <w:r w:rsidR="00D61CDE" w:rsidRPr="00D61CDE">
        <w:rPr>
          <w:rFonts w:ascii="Arial" w:hAnsi="Arial" w:cs="Arial"/>
          <w:spacing w:val="4"/>
          <w:sz w:val="24"/>
          <w:szCs w:val="24"/>
        </w:rPr>
        <w:t xml:space="preserve"> e inexistencia de vicios en el consentimiento”, “saneamiento de la supuesta nulidad relativa”, “pago”, “compensación”, “prescripción”, “buena fe” e “innominada o genérica” (f</w:t>
      </w:r>
      <w:r w:rsidRPr="00D61CDE">
        <w:rPr>
          <w:rFonts w:ascii="Arial" w:hAnsi="Arial" w:cs="Arial"/>
          <w:spacing w:val="4"/>
          <w:sz w:val="24"/>
          <w:szCs w:val="24"/>
        </w:rPr>
        <w:t>s. 199 a 218).</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0"/>
          <w:numId w:val="4"/>
        </w:numPr>
        <w:tabs>
          <w:tab w:val="left" w:pos="1151"/>
        </w:tabs>
        <w:spacing w:line="276" w:lineRule="auto"/>
        <w:rPr>
          <w:rFonts w:ascii="Arial" w:hAnsi="Arial" w:cs="Arial"/>
          <w:spacing w:val="4"/>
          <w:sz w:val="24"/>
          <w:szCs w:val="24"/>
        </w:rPr>
      </w:pPr>
      <w:r w:rsidRPr="00D61CDE">
        <w:rPr>
          <w:rFonts w:ascii="Arial" w:hAnsi="Arial" w:cs="Arial"/>
          <w:spacing w:val="4"/>
          <w:sz w:val="24"/>
          <w:szCs w:val="24"/>
        </w:rPr>
        <w:t>SENTENCIA DE PRIMERA INSTANCIA</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77" w:firstLine="708"/>
        <w:jc w:val="both"/>
        <w:rPr>
          <w:rFonts w:ascii="Arial" w:hAnsi="Arial" w:cs="Arial"/>
          <w:spacing w:val="4"/>
          <w:sz w:val="24"/>
          <w:szCs w:val="24"/>
        </w:rPr>
      </w:pPr>
      <w:r w:rsidRPr="00D61CDE">
        <w:rPr>
          <w:rFonts w:ascii="Arial" w:hAnsi="Arial" w:cs="Arial"/>
          <w:spacing w:val="4"/>
          <w:sz w:val="24"/>
          <w:szCs w:val="24"/>
        </w:rPr>
        <w:t xml:space="preserve">El juzgado de conocimiento puso fin a la primera instancia mediante sentencia dictada el 07 de junio de 2019, en la cual, previa declaración de la ineficacia del traslado realizado por el demandante, el 12 de noviembre de 1998, al régimen de ahorro individual con solidaridad, dispuso que </w:t>
      </w:r>
      <w:proofErr w:type="gramStart"/>
      <w:r w:rsidRPr="00D61CDE">
        <w:rPr>
          <w:rFonts w:ascii="Arial" w:hAnsi="Arial" w:cs="Arial"/>
          <w:spacing w:val="4"/>
          <w:sz w:val="24"/>
          <w:szCs w:val="24"/>
        </w:rPr>
        <w:t>estaba</w:t>
      </w:r>
      <w:proofErr w:type="gramEnd"/>
      <w:r w:rsidRPr="00D61CDE">
        <w:rPr>
          <w:rFonts w:ascii="Arial" w:hAnsi="Arial" w:cs="Arial"/>
          <w:spacing w:val="4"/>
          <w:sz w:val="24"/>
          <w:szCs w:val="24"/>
        </w:rPr>
        <w:t xml:space="preserve"> debidamente vinculado al régimen de prima media con prestación definida.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En consecuencia, le ordenó a Old Mutual que trasladara a Colpensiones de manera inmediata todos los saldos disponibles en la cuenta del demandante y a ésta administradora, que activara la afiliación en la entidad y actualizara la información correspondiente en la historia laboral del accionante. Declaró no probadas las excepciones propuestas por las demandas y condenó en costas</w:t>
      </w:r>
      <w:r w:rsidR="00012C70" w:rsidRPr="00D61CDE">
        <w:rPr>
          <w:rFonts w:ascii="Arial" w:hAnsi="Arial" w:cs="Arial"/>
          <w:spacing w:val="4"/>
          <w:sz w:val="24"/>
          <w:szCs w:val="24"/>
        </w:rPr>
        <w:t xml:space="preserve"> </w:t>
      </w:r>
      <w:r w:rsidRPr="00D61CDE">
        <w:rPr>
          <w:rFonts w:ascii="Arial" w:hAnsi="Arial" w:cs="Arial"/>
          <w:spacing w:val="4"/>
          <w:sz w:val="24"/>
          <w:szCs w:val="24"/>
        </w:rPr>
        <w:t>a Porvenir, en favor de la activa, en un 100%.</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1" w:firstLine="708"/>
        <w:jc w:val="both"/>
        <w:rPr>
          <w:rFonts w:ascii="Arial" w:hAnsi="Arial" w:cs="Arial"/>
          <w:spacing w:val="4"/>
          <w:sz w:val="24"/>
          <w:szCs w:val="24"/>
        </w:rPr>
      </w:pPr>
      <w:r w:rsidRPr="00D61CDE">
        <w:rPr>
          <w:rFonts w:ascii="Arial" w:hAnsi="Arial" w:cs="Arial"/>
          <w:spacing w:val="4"/>
          <w:sz w:val="24"/>
          <w:szCs w:val="24"/>
        </w:rPr>
        <w:t xml:space="preserve">Para arribar a esas determinaciones, precisó que de acuerdo con la demanda, la solicitud de ineficacia se centraba en dos aspectos; por un lado, en la ausencia de información clara, completa y comprensible sobre los </w:t>
      </w:r>
      <w:r w:rsidRPr="00D61CDE">
        <w:rPr>
          <w:rFonts w:ascii="Arial" w:hAnsi="Arial" w:cs="Arial"/>
          <w:spacing w:val="4"/>
          <w:sz w:val="24"/>
          <w:szCs w:val="24"/>
        </w:rPr>
        <w:lastRenderedPageBreak/>
        <w:t>regímenes pensionales, y por el otro, en la presión o el constreñimiento ejercido por su empleador, el fondo de pensiones Porvenir.</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El primero de los anteriores supuestos, lo desestimó argumentado que durante el interrogatorio de parte el actor mostró tener conocimiento sobre el sistema general de pensiones, al</w:t>
      </w:r>
      <w:r w:rsidR="00012C70" w:rsidRPr="00D61CDE">
        <w:rPr>
          <w:rFonts w:ascii="Arial" w:hAnsi="Arial" w:cs="Arial"/>
          <w:spacing w:val="4"/>
          <w:sz w:val="24"/>
          <w:szCs w:val="24"/>
        </w:rPr>
        <w:t xml:space="preserve"> </w:t>
      </w:r>
      <w:r w:rsidRPr="00D61CDE">
        <w:rPr>
          <w:rFonts w:ascii="Arial" w:hAnsi="Arial" w:cs="Arial"/>
          <w:spacing w:val="4"/>
          <w:sz w:val="24"/>
          <w:szCs w:val="24"/>
        </w:rPr>
        <w:t>tiempo que reconoció que era ‘asesor comercial’ de Porvenir, que la entidad lo capacitaba en la materia y que el acto de traslado se dio luego de tres años de estar laborando en la entidad.</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En cuanto a la segunda hipótesis, del mismo interrogatorio, resaltó la versión expuesta por el demandante, según la cual, se afilió a Porvenir para conservar su empleo en la entidad, pues su jefe, aseveró que si no estaba dispuesto a pertenecer al fondo, tampoco debía trabajar en él y por lo tanto,</w:t>
      </w:r>
      <w:r w:rsidR="000E5E66" w:rsidRPr="00D61CDE">
        <w:rPr>
          <w:rFonts w:ascii="Arial" w:hAnsi="Arial" w:cs="Arial"/>
          <w:spacing w:val="4"/>
          <w:sz w:val="24"/>
          <w:szCs w:val="24"/>
        </w:rPr>
        <w:t xml:space="preserve"> </w:t>
      </w:r>
      <w:r w:rsidRPr="00D61CDE">
        <w:rPr>
          <w:rFonts w:ascii="Arial" w:hAnsi="Arial" w:cs="Arial"/>
          <w:spacing w:val="4"/>
          <w:sz w:val="24"/>
          <w:szCs w:val="24"/>
        </w:rPr>
        <w:t>debía afiliarse, so pena de no poder continuar en el trabajo. De estas manifestaciones, infirió que el cambio de régimen no fue un acto voluntario; seguidamente, acotó que Porvenir no desplegó ninguna actividad para demostrar que la permanencia en el empleo no fue condicionada a la afiliación o que no hubiere tenido influencia en ella; y concluyó, que así las cosas, el traslado fue ineficaz.</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Consecuentemente, por ser el fondo en el que se encuentra afiliado el actor en la actualidad, indicó que Old Mutual debía trasladar los saldos a Colpensiones y para finalizar, estableció que las costas procesales quedarían a cargo de Porvenir en un 100% como responsable de los hechos que condujeron a la ineficacia del traslado.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0"/>
          <w:numId w:val="4"/>
        </w:numPr>
        <w:tabs>
          <w:tab w:val="left" w:pos="1227"/>
        </w:tabs>
        <w:spacing w:line="276" w:lineRule="auto"/>
        <w:ind w:left="1226" w:hanging="380"/>
        <w:rPr>
          <w:rFonts w:ascii="Arial" w:hAnsi="Arial" w:cs="Arial"/>
          <w:spacing w:val="4"/>
          <w:sz w:val="24"/>
          <w:szCs w:val="24"/>
        </w:rPr>
      </w:pPr>
      <w:r w:rsidRPr="00D61CDE">
        <w:rPr>
          <w:rFonts w:ascii="Arial" w:hAnsi="Arial" w:cs="Arial"/>
          <w:spacing w:val="4"/>
          <w:sz w:val="24"/>
          <w:szCs w:val="24"/>
        </w:rPr>
        <w:t>RECURSO DE APELACIÓN</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Inconforme con la decisión, la sociedad </w:t>
      </w:r>
      <w:r w:rsidRPr="00D61CDE">
        <w:rPr>
          <w:rFonts w:ascii="Arial" w:hAnsi="Arial" w:cs="Arial"/>
          <w:b/>
          <w:spacing w:val="4"/>
          <w:sz w:val="24"/>
          <w:szCs w:val="24"/>
        </w:rPr>
        <w:t>Porvenir S.A</w:t>
      </w:r>
      <w:r w:rsidRPr="00D61CDE">
        <w:rPr>
          <w:rFonts w:ascii="Arial" w:hAnsi="Arial" w:cs="Arial"/>
          <w:spacing w:val="4"/>
          <w:sz w:val="24"/>
          <w:szCs w:val="24"/>
        </w:rPr>
        <w:t>. se alzó contra la sentencia discutiendo lo resuelto en torno al acto de traslado de régimen pensional y a la condena en costas que le fue impuesta.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En ese orden, destacó que la sentencia concluyó que satisfizo el deber de información y que, fundada la declaratoria de ineficacia en la existencia de un presunto constreñimiento que se le atribuye como empleador, tal postulado se encuentra totalmente desprovisto de respaldo probatorio, por cuanto, el medio de prueba considerado para el efecto, este es, el interrogatorio de parte absuelto por el mismo demandante, únicamente puede valorarse en lo que le resulta adverso.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Aunado a ello, mencionó que los formularios suscritos por el actor, daban cuenta cierta de que el traslado fue libre y voluntario; que lo mismo se desprende del interrogatorio de parte; y que existen diferentes elementos que indican que fue su voluntad pertenecer al régimen de ahorro individual.</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En cuanto a la carga de la prueba, apuntó que si bien jurisprudencialmente se</w:t>
      </w:r>
      <w:r w:rsidR="00012C70" w:rsidRPr="00D61CDE">
        <w:rPr>
          <w:rFonts w:ascii="Arial" w:hAnsi="Arial" w:cs="Arial"/>
          <w:spacing w:val="4"/>
          <w:sz w:val="24"/>
          <w:szCs w:val="24"/>
        </w:rPr>
        <w:t xml:space="preserve"> </w:t>
      </w:r>
      <w:r w:rsidRPr="00D61CDE">
        <w:rPr>
          <w:rFonts w:ascii="Arial" w:hAnsi="Arial" w:cs="Arial"/>
          <w:spacing w:val="4"/>
          <w:sz w:val="24"/>
          <w:szCs w:val="24"/>
        </w:rPr>
        <w:t>ha</w:t>
      </w:r>
      <w:r w:rsidR="00012C70" w:rsidRPr="00D61CDE">
        <w:rPr>
          <w:rFonts w:ascii="Arial" w:hAnsi="Arial" w:cs="Arial"/>
          <w:spacing w:val="4"/>
          <w:sz w:val="24"/>
          <w:szCs w:val="24"/>
        </w:rPr>
        <w:t xml:space="preserve"> </w:t>
      </w:r>
      <w:r w:rsidRPr="00D61CDE">
        <w:rPr>
          <w:rFonts w:ascii="Arial" w:hAnsi="Arial" w:cs="Arial"/>
          <w:spacing w:val="4"/>
          <w:sz w:val="24"/>
          <w:szCs w:val="24"/>
        </w:rPr>
        <w:t>establecido que a las administradoras</w:t>
      </w:r>
      <w:r w:rsidR="00012C70" w:rsidRPr="00D61CDE">
        <w:rPr>
          <w:rFonts w:ascii="Arial" w:hAnsi="Arial" w:cs="Arial"/>
          <w:spacing w:val="4"/>
          <w:sz w:val="24"/>
          <w:szCs w:val="24"/>
        </w:rPr>
        <w:t xml:space="preserve"> </w:t>
      </w:r>
      <w:r w:rsidRPr="00D61CDE">
        <w:rPr>
          <w:rFonts w:ascii="Arial" w:hAnsi="Arial" w:cs="Arial"/>
          <w:spacing w:val="4"/>
          <w:sz w:val="24"/>
          <w:szCs w:val="24"/>
        </w:rPr>
        <w:t>de pensiones les compete probar el cumplimiento del deber de información; no</w:t>
      </w:r>
      <w:r w:rsidR="001A211A" w:rsidRPr="00D61CDE">
        <w:rPr>
          <w:rFonts w:ascii="Arial" w:hAnsi="Arial" w:cs="Arial"/>
          <w:spacing w:val="4"/>
          <w:sz w:val="24"/>
          <w:szCs w:val="24"/>
        </w:rPr>
        <w:t xml:space="preserve"> </w:t>
      </w:r>
      <w:r w:rsidRPr="00D61CDE">
        <w:rPr>
          <w:rFonts w:ascii="Arial" w:hAnsi="Arial" w:cs="Arial"/>
          <w:spacing w:val="4"/>
          <w:sz w:val="24"/>
          <w:szCs w:val="24"/>
        </w:rPr>
        <w:lastRenderedPageBreak/>
        <w:t>ocurre lo mismo frente a la hipótesis de constreñimiento, fuerza o</w:t>
      </w:r>
      <w:r w:rsidR="00012C70" w:rsidRPr="00D61CDE">
        <w:rPr>
          <w:rFonts w:ascii="Arial" w:hAnsi="Arial" w:cs="Arial"/>
          <w:spacing w:val="4"/>
          <w:sz w:val="24"/>
          <w:szCs w:val="24"/>
        </w:rPr>
        <w:t xml:space="preserve"> </w:t>
      </w:r>
      <w:r w:rsidRPr="00D61CDE">
        <w:rPr>
          <w:rFonts w:ascii="Arial" w:hAnsi="Arial" w:cs="Arial"/>
          <w:spacing w:val="4"/>
          <w:sz w:val="24"/>
          <w:szCs w:val="24"/>
        </w:rPr>
        <w:t>dolo pues, en estos casos, tal peso debe ser asumido por quien lo alega y concretamente en el sub lite, por el demandante.</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Finalmente, para discutir la condena en costas, adujo que no son procedentes por haber obrado con apego estricto a la ley.</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0"/>
          <w:numId w:val="4"/>
        </w:numPr>
        <w:tabs>
          <w:tab w:val="left" w:pos="1240"/>
        </w:tabs>
        <w:spacing w:line="276" w:lineRule="auto"/>
        <w:ind w:left="1239" w:hanging="393"/>
        <w:rPr>
          <w:rFonts w:ascii="Arial" w:hAnsi="Arial" w:cs="Arial"/>
          <w:spacing w:val="4"/>
          <w:sz w:val="24"/>
          <w:szCs w:val="24"/>
        </w:rPr>
      </w:pPr>
      <w:r w:rsidRPr="00D61CDE">
        <w:rPr>
          <w:rFonts w:ascii="Arial" w:hAnsi="Arial" w:cs="Arial"/>
          <w:spacing w:val="4"/>
          <w:sz w:val="24"/>
          <w:szCs w:val="24"/>
        </w:rPr>
        <w:t>ALEGATOS DE INSTANCIA</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Dentro del término otorgado para descorrer el traslado, Colpensiones, Porvenir S.A. y Pedro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allegaron por escrito los alegatos de conclusión, que en síntesis reflejan los puntos debatidos por los integrantes</w:t>
      </w:r>
      <w:r w:rsidR="00012C70" w:rsidRPr="00D61CDE">
        <w:rPr>
          <w:rFonts w:ascii="Arial" w:hAnsi="Arial" w:cs="Arial"/>
          <w:spacing w:val="4"/>
          <w:sz w:val="24"/>
          <w:szCs w:val="24"/>
        </w:rPr>
        <w:t xml:space="preserve"> </w:t>
      </w:r>
      <w:r w:rsidRPr="00D61CDE">
        <w:rPr>
          <w:rFonts w:ascii="Arial" w:hAnsi="Arial" w:cs="Arial"/>
          <w:spacing w:val="4"/>
          <w:sz w:val="24"/>
          <w:szCs w:val="24"/>
        </w:rPr>
        <w:t>de la Sala.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0"/>
          <w:numId w:val="4"/>
        </w:numPr>
        <w:tabs>
          <w:tab w:val="left" w:pos="1240"/>
        </w:tabs>
        <w:spacing w:line="276" w:lineRule="auto"/>
        <w:ind w:left="1239" w:hanging="393"/>
        <w:rPr>
          <w:rFonts w:ascii="Arial" w:hAnsi="Arial" w:cs="Arial"/>
          <w:spacing w:val="4"/>
          <w:sz w:val="24"/>
          <w:szCs w:val="24"/>
        </w:rPr>
      </w:pPr>
      <w:r w:rsidRPr="00D61CDE">
        <w:rPr>
          <w:rFonts w:ascii="Arial" w:hAnsi="Arial" w:cs="Arial"/>
          <w:spacing w:val="4"/>
          <w:sz w:val="24"/>
          <w:szCs w:val="24"/>
        </w:rPr>
        <w:t>CONSIDERACIONES</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Prrafodelista"/>
        <w:numPr>
          <w:ilvl w:val="1"/>
          <w:numId w:val="2"/>
        </w:numPr>
        <w:tabs>
          <w:tab w:val="left" w:pos="1355"/>
        </w:tabs>
        <w:spacing w:line="276" w:lineRule="auto"/>
        <w:rPr>
          <w:rFonts w:ascii="Arial" w:hAnsi="Arial" w:cs="Arial"/>
          <w:b/>
          <w:spacing w:val="4"/>
          <w:sz w:val="24"/>
          <w:szCs w:val="24"/>
        </w:rPr>
      </w:pPr>
      <w:r w:rsidRPr="00D61CDE">
        <w:rPr>
          <w:rFonts w:ascii="Arial" w:hAnsi="Arial" w:cs="Arial"/>
          <w:b/>
          <w:spacing w:val="4"/>
          <w:sz w:val="24"/>
          <w:szCs w:val="24"/>
        </w:rPr>
        <w:t>Presupuestos Procesales.</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w:t>
      </w:r>
      <w:r w:rsidR="00012C70" w:rsidRPr="00D61CDE">
        <w:rPr>
          <w:rFonts w:ascii="Arial" w:hAnsi="Arial" w:cs="Arial"/>
          <w:spacing w:val="4"/>
          <w:sz w:val="24"/>
          <w:szCs w:val="24"/>
        </w:rPr>
        <w:t xml:space="preserve"> </w:t>
      </w:r>
      <w:r w:rsidRPr="00D61CDE">
        <w:rPr>
          <w:rFonts w:ascii="Arial" w:hAnsi="Arial" w:cs="Arial"/>
          <w:spacing w:val="4"/>
          <w:sz w:val="24"/>
          <w:szCs w:val="24"/>
        </w:rPr>
        <w:t>nulidad que invaliden lo actuado.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1"/>
          <w:numId w:val="2"/>
        </w:numPr>
        <w:tabs>
          <w:tab w:val="left" w:pos="1355"/>
        </w:tabs>
        <w:spacing w:line="276" w:lineRule="auto"/>
        <w:rPr>
          <w:rFonts w:ascii="Arial" w:hAnsi="Arial" w:cs="Arial"/>
          <w:spacing w:val="4"/>
          <w:sz w:val="24"/>
          <w:szCs w:val="24"/>
        </w:rPr>
      </w:pPr>
      <w:r w:rsidRPr="00D61CDE">
        <w:rPr>
          <w:rFonts w:ascii="Arial" w:hAnsi="Arial" w:cs="Arial"/>
          <w:spacing w:val="4"/>
          <w:sz w:val="24"/>
          <w:szCs w:val="24"/>
        </w:rPr>
        <w:t>Problemas jurídicos por resolver.</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De conformidad con los puntos de apelación de la sentencia de primera instancia y el grado jurisdiccional de</w:t>
      </w:r>
      <w:r w:rsidR="00012C70" w:rsidRPr="00D61CDE">
        <w:rPr>
          <w:rFonts w:ascii="Arial" w:hAnsi="Arial" w:cs="Arial"/>
          <w:spacing w:val="4"/>
          <w:sz w:val="24"/>
          <w:szCs w:val="24"/>
        </w:rPr>
        <w:t xml:space="preserve"> </w:t>
      </w:r>
      <w:r w:rsidRPr="00D61CDE">
        <w:rPr>
          <w:rFonts w:ascii="Arial" w:hAnsi="Arial" w:cs="Arial"/>
          <w:spacing w:val="4"/>
          <w:sz w:val="24"/>
          <w:szCs w:val="24"/>
        </w:rPr>
        <w:t>consulta que opera en</w:t>
      </w:r>
      <w:r w:rsidR="00012C70" w:rsidRPr="00D61CDE">
        <w:rPr>
          <w:rFonts w:ascii="Arial" w:hAnsi="Arial" w:cs="Arial"/>
          <w:spacing w:val="4"/>
          <w:sz w:val="24"/>
          <w:szCs w:val="24"/>
        </w:rPr>
        <w:t xml:space="preserve"> </w:t>
      </w:r>
      <w:r w:rsidRPr="00D61CDE">
        <w:rPr>
          <w:rFonts w:ascii="Arial" w:hAnsi="Arial" w:cs="Arial"/>
          <w:spacing w:val="4"/>
          <w:sz w:val="24"/>
          <w:szCs w:val="24"/>
        </w:rPr>
        <w:t>favor de Colpensiones, se encuentra que los problemas jurídicos a resolver se</w:t>
      </w:r>
      <w:r w:rsidR="00012C70" w:rsidRPr="00D61CDE">
        <w:rPr>
          <w:rFonts w:ascii="Arial" w:hAnsi="Arial" w:cs="Arial"/>
          <w:spacing w:val="4"/>
          <w:sz w:val="24"/>
          <w:szCs w:val="24"/>
        </w:rPr>
        <w:t xml:space="preserve"> </w:t>
      </w:r>
      <w:r w:rsidRPr="00D61CDE">
        <w:rPr>
          <w:rFonts w:ascii="Arial" w:hAnsi="Arial" w:cs="Arial"/>
          <w:spacing w:val="4"/>
          <w:sz w:val="24"/>
          <w:szCs w:val="24"/>
        </w:rPr>
        <w:t>circunscriben a determinar (i) cuáles son los deberes probatorios que asisten</w:t>
      </w:r>
      <w:r w:rsidR="00012C70" w:rsidRPr="00D61CDE">
        <w:rPr>
          <w:rFonts w:ascii="Arial" w:hAnsi="Arial" w:cs="Arial"/>
          <w:spacing w:val="4"/>
          <w:sz w:val="24"/>
          <w:szCs w:val="24"/>
        </w:rPr>
        <w:t xml:space="preserve"> </w:t>
      </w:r>
      <w:r w:rsidRPr="00D61CDE">
        <w:rPr>
          <w:rFonts w:ascii="Arial" w:hAnsi="Arial" w:cs="Arial"/>
          <w:spacing w:val="4"/>
          <w:sz w:val="24"/>
          <w:szCs w:val="24"/>
        </w:rPr>
        <w:t>a las partes cuando está en discusión la eficacia del traslado entre regímenes pensionales, (ii) si el</w:t>
      </w:r>
      <w:r w:rsidR="00012C70" w:rsidRPr="00D61CDE">
        <w:rPr>
          <w:rFonts w:ascii="Arial" w:hAnsi="Arial" w:cs="Arial"/>
          <w:spacing w:val="4"/>
          <w:sz w:val="24"/>
          <w:szCs w:val="24"/>
        </w:rPr>
        <w:t xml:space="preserve"> </w:t>
      </w:r>
      <w:r w:rsidRPr="00D61CDE">
        <w:rPr>
          <w:rFonts w:ascii="Arial" w:hAnsi="Arial" w:cs="Arial"/>
          <w:spacing w:val="4"/>
          <w:sz w:val="24"/>
          <w:szCs w:val="24"/>
        </w:rPr>
        <w:t>traslado de</w:t>
      </w:r>
      <w:r w:rsidR="00012C70" w:rsidRPr="00D61CDE">
        <w:rPr>
          <w:rFonts w:ascii="Arial" w:hAnsi="Arial" w:cs="Arial"/>
          <w:spacing w:val="4"/>
          <w:sz w:val="24"/>
          <w:szCs w:val="24"/>
        </w:rPr>
        <w:t xml:space="preserve"> </w:t>
      </w:r>
      <w:r w:rsidRPr="00D61CDE">
        <w:rPr>
          <w:rFonts w:ascii="Arial" w:hAnsi="Arial" w:cs="Arial"/>
          <w:spacing w:val="4"/>
          <w:sz w:val="24"/>
          <w:szCs w:val="24"/>
        </w:rPr>
        <w:t>régimen pensional realizado por el demandante es o no ineficaz, y en caso de serlo, (iii) si el movimiento del actor dentro del régimen de ahorro individual convalida la mutación del régimen pensional, (iv) cuáles son los efectos de ello, en particular, si además del capital</w:t>
      </w:r>
      <w:r w:rsidR="000E5E66" w:rsidRPr="00D61CDE">
        <w:rPr>
          <w:rFonts w:ascii="Arial" w:hAnsi="Arial" w:cs="Arial"/>
          <w:spacing w:val="4"/>
          <w:sz w:val="24"/>
          <w:szCs w:val="24"/>
        </w:rPr>
        <w:t xml:space="preserve"> </w:t>
      </w:r>
      <w:r w:rsidRPr="00D61CDE">
        <w:rPr>
          <w:rFonts w:ascii="Arial" w:hAnsi="Arial" w:cs="Arial"/>
          <w:spacing w:val="4"/>
          <w:sz w:val="24"/>
          <w:szCs w:val="24"/>
        </w:rPr>
        <w:t>acumulado en la cuenta de ahorro individual existen otros conceptos que deban ser devueltos por las AFP demandadas o valores cancelados por el demandante durante el periodo que estuvo afiliado a cada una de ellas que deban ser reintegrados y (v) si es procedente exonerar a Porvenir de la condena en costas que se le impuso.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En ese orden, en lo pertinente, inicialmente se analizarán los elementos que configuran en el marco normativo que debe observarse en los actos de traslado de régimen pensional y posteriormente se</w:t>
      </w:r>
      <w:r w:rsidR="00012C70" w:rsidRPr="00D61CDE">
        <w:rPr>
          <w:rFonts w:ascii="Arial" w:hAnsi="Arial" w:cs="Arial"/>
          <w:spacing w:val="4"/>
          <w:sz w:val="24"/>
          <w:szCs w:val="24"/>
        </w:rPr>
        <w:t xml:space="preserve"> </w:t>
      </w:r>
      <w:r w:rsidRPr="00D61CDE">
        <w:rPr>
          <w:rFonts w:ascii="Arial" w:hAnsi="Arial" w:cs="Arial"/>
          <w:spacing w:val="4"/>
          <w:sz w:val="24"/>
          <w:szCs w:val="24"/>
        </w:rPr>
        <w:t>descenderá al</w:t>
      </w:r>
      <w:r w:rsidR="00012C70" w:rsidRPr="00D61CDE">
        <w:rPr>
          <w:rFonts w:ascii="Arial" w:hAnsi="Arial" w:cs="Arial"/>
          <w:spacing w:val="4"/>
          <w:sz w:val="24"/>
          <w:szCs w:val="24"/>
        </w:rPr>
        <w:t xml:space="preserve"> </w:t>
      </w:r>
      <w:r w:rsidRPr="00D61CDE">
        <w:rPr>
          <w:rFonts w:ascii="Arial" w:hAnsi="Arial" w:cs="Arial"/>
          <w:spacing w:val="4"/>
          <w:sz w:val="24"/>
          <w:szCs w:val="24"/>
        </w:rPr>
        <w:t>caso concreto para resolver la problemática planteada.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1"/>
          <w:numId w:val="2"/>
        </w:numPr>
        <w:tabs>
          <w:tab w:val="left" w:pos="1355"/>
        </w:tabs>
        <w:spacing w:line="276" w:lineRule="auto"/>
        <w:rPr>
          <w:rFonts w:ascii="Arial" w:hAnsi="Arial" w:cs="Arial"/>
          <w:spacing w:val="4"/>
          <w:sz w:val="24"/>
          <w:szCs w:val="24"/>
        </w:rPr>
      </w:pPr>
      <w:r w:rsidRPr="00D61CDE">
        <w:rPr>
          <w:rFonts w:ascii="Arial" w:hAnsi="Arial" w:cs="Arial"/>
          <w:spacing w:val="4"/>
          <w:sz w:val="24"/>
          <w:szCs w:val="24"/>
        </w:rPr>
        <w:t>Desenvolvimiento de la problemática planteada</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lastRenderedPageBreak/>
        <w:t>Con la finalidad de proteger a la población frente a las contingencias de vejez, invalidez y muerte, el sistema de seguridad social adoptado a través de la Ley 100 de 1993 estableció un complejo esquema mixto y excluyente de protección pensional, en el</w:t>
      </w:r>
      <w:r w:rsidR="00012C70" w:rsidRPr="00D61CDE">
        <w:rPr>
          <w:rFonts w:ascii="Arial" w:hAnsi="Arial" w:cs="Arial"/>
          <w:spacing w:val="4"/>
          <w:sz w:val="24"/>
          <w:szCs w:val="24"/>
        </w:rPr>
        <w:t xml:space="preserve"> </w:t>
      </w:r>
      <w:r w:rsidRPr="00D61CDE">
        <w:rPr>
          <w:rFonts w:ascii="Arial" w:hAnsi="Arial" w:cs="Arial"/>
          <w:spacing w:val="4"/>
          <w:sz w:val="24"/>
          <w:szCs w:val="24"/>
        </w:rPr>
        <w:t>cual, bajo las reglas de</w:t>
      </w:r>
      <w:r w:rsidR="00012C70" w:rsidRPr="00D61CDE">
        <w:rPr>
          <w:rFonts w:ascii="Arial" w:hAnsi="Arial" w:cs="Arial"/>
          <w:spacing w:val="4"/>
          <w:sz w:val="24"/>
          <w:szCs w:val="24"/>
        </w:rPr>
        <w:t xml:space="preserve"> </w:t>
      </w:r>
      <w:r w:rsidRPr="00D61CDE">
        <w:rPr>
          <w:rFonts w:ascii="Arial" w:hAnsi="Arial" w:cs="Arial"/>
          <w:spacing w:val="4"/>
          <w:sz w:val="24"/>
          <w:szCs w:val="24"/>
        </w:rPr>
        <w:t>libre competencia, coexisten dos regímenes: el Régimen Solidario de Prima Media con Prestación Definida (RPM), actualmente administrado por Colpensiones, y el Régimen de Ahorro Individual con Solidaridad (</w:t>
      </w:r>
      <w:proofErr w:type="spellStart"/>
      <w:r w:rsidRPr="00D61CDE">
        <w:rPr>
          <w:rFonts w:ascii="Arial" w:hAnsi="Arial" w:cs="Arial"/>
          <w:spacing w:val="4"/>
          <w:sz w:val="24"/>
          <w:szCs w:val="24"/>
        </w:rPr>
        <w:t>RAIS</w:t>
      </w:r>
      <w:proofErr w:type="spellEnd"/>
      <w:r w:rsidRPr="00D61CDE">
        <w:rPr>
          <w:rFonts w:ascii="Arial" w:hAnsi="Arial" w:cs="Arial"/>
          <w:spacing w:val="4"/>
          <w:sz w:val="24"/>
          <w:szCs w:val="24"/>
        </w:rPr>
        <w:t>), administrado por diferentes sociedades administradoras de fondos de pensiones (AFP).</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8" w:firstLine="708"/>
        <w:jc w:val="both"/>
        <w:rPr>
          <w:rFonts w:ascii="Arial" w:hAnsi="Arial" w:cs="Arial"/>
          <w:spacing w:val="4"/>
          <w:sz w:val="24"/>
          <w:szCs w:val="24"/>
        </w:rPr>
      </w:pPr>
      <w:r w:rsidRPr="00D61CDE">
        <w:rPr>
          <w:rFonts w:ascii="Arial" w:hAnsi="Arial" w:cs="Arial"/>
          <w:spacing w:val="4"/>
          <w:sz w:val="24"/>
          <w:szCs w:val="24"/>
        </w:rPr>
        <w:t>En este marco, de acuerdo con el literal b) del artículo 13 de la ley referida, los consumidores del sistema de pensiones tienen la opción de elegir “libre y voluntariamente” el régimen que mejor le convenga. Libertad que,</w:t>
      </w:r>
      <w:r w:rsidR="00012C70" w:rsidRPr="00D61CDE">
        <w:rPr>
          <w:rFonts w:ascii="Arial" w:hAnsi="Arial" w:cs="Arial"/>
          <w:spacing w:val="4"/>
          <w:sz w:val="24"/>
          <w:szCs w:val="24"/>
        </w:rPr>
        <w:t xml:space="preserve"> </w:t>
      </w:r>
      <w:r w:rsidRPr="00D61CDE">
        <w:rPr>
          <w:rFonts w:ascii="Arial" w:hAnsi="Arial" w:cs="Arial"/>
          <w:spacing w:val="4"/>
          <w:sz w:val="24"/>
          <w:szCs w:val="24"/>
        </w:rPr>
        <w:t>como derecho de quien debe o decide afiliarse, se encuentra protegida en éste mismo canon y en el artículo 271 ibíd., previniendo que el empleador o cualquier persona natural o jurídica que desconozca, impida o atente contra el derecho de selección de organismos e instituciones de seguridad social, puede ser objeto de sanciones, “la afiliación respectiva quedará sin efecto y podrá realizarse nuevamente en forma libre y espontánea por parte del trabajador”.</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1" w:firstLine="708"/>
        <w:jc w:val="both"/>
        <w:rPr>
          <w:rFonts w:ascii="Arial" w:hAnsi="Arial" w:cs="Arial"/>
          <w:spacing w:val="4"/>
          <w:sz w:val="24"/>
          <w:szCs w:val="24"/>
        </w:rPr>
      </w:pPr>
      <w:r w:rsidRPr="00D61CDE">
        <w:rPr>
          <w:rFonts w:ascii="Arial" w:hAnsi="Arial" w:cs="Arial"/>
          <w:spacing w:val="4"/>
          <w:sz w:val="24"/>
          <w:szCs w:val="24"/>
        </w:rPr>
        <w:t xml:space="preserve">En esa misma </w:t>
      </w:r>
      <w:proofErr w:type="spellStart"/>
      <w:r w:rsidRPr="00D61CDE">
        <w:rPr>
          <w:rFonts w:ascii="Arial" w:hAnsi="Arial" w:cs="Arial"/>
          <w:spacing w:val="4"/>
          <w:sz w:val="24"/>
          <w:szCs w:val="24"/>
        </w:rPr>
        <w:t>linea</w:t>
      </w:r>
      <w:proofErr w:type="spellEnd"/>
      <w:r w:rsidRPr="00D61CDE">
        <w:rPr>
          <w:rFonts w:ascii="Arial" w:hAnsi="Arial" w:cs="Arial"/>
          <w:spacing w:val="4"/>
          <w:sz w:val="24"/>
          <w:szCs w:val="24"/>
        </w:rPr>
        <w:t>, la jurisprudencia del trabajo ha entendido que la expresión libre y voluntaria del literal b), artículo 13 de la Ley 100 de 1993, necesariamente presupone conocimiento, lo cual solo es posible alcanzar cuando se saben a plenitud las consecuencias de una decisión de esta índole.</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t>En este punto, es del caso recordar que el asunto relativo al tema de traslado entre regímenes pensionales, ha sido abordado por la</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Sala de Casación Laboral de la Corte Suprema de Justicia en múltiples ocasiones, forjando una tesis al respecto, a partir de las sentencias con radicación No. 31.989 de 2008, 33.083 y 31.314, ambas de 2011. El </w:t>
      </w:r>
      <w:r w:rsidRPr="00D61CDE">
        <w:rPr>
          <w:rFonts w:ascii="Arial" w:hAnsi="Arial" w:cs="Arial"/>
          <w:i/>
          <w:spacing w:val="4"/>
          <w:sz w:val="24"/>
          <w:szCs w:val="24"/>
        </w:rPr>
        <w:t xml:space="preserve">corpus argumentativo </w:t>
      </w:r>
      <w:r w:rsidRPr="00D61CDE">
        <w:rPr>
          <w:rFonts w:ascii="Arial" w:hAnsi="Arial" w:cs="Arial"/>
          <w:spacing w:val="4"/>
          <w:sz w:val="24"/>
          <w:szCs w:val="24"/>
        </w:rPr>
        <w:t>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t>De igual manera, atendiendo a las consecuencias que la Sala Laboral ha derivado de la ineficacia de los traslados al Régimen de Ahorro Individual, resulta claro que el Alto Tribunal ha optado, con inmodificable persistencia,</w:t>
      </w:r>
      <w:r w:rsidR="00012C70" w:rsidRPr="00D61CDE">
        <w:rPr>
          <w:rFonts w:ascii="Arial" w:hAnsi="Arial" w:cs="Arial"/>
          <w:spacing w:val="4"/>
          <w:sz w:val="24"/>
          <w:szCs w:val="24"/>
        </w:rPr>
        <w:t xml:space="preserve"> </w:t>
      </w:r>
      <w:r w:rsidRPr="00D61CDE">
        <w:rPr>
          <w:rFonts w:ascii="Arial" w:hAnsi="Arial" w:cs="Arial"/>
          <w:spacing w:val="4"/>
          <w:sz w:val="24"/>
          <w:szCs w:val="24"/>
        </w:rPr>
        <w:t>por la vía de la ineficacia por inexistencia del acto jurídico, en este caso, por</w:t>
      </w:r>
      <w:r w:rsidR="00012C70" w:rsidRPr="00D61CDE">
        <w:rPr>
          <w:rFonts w:ascii="Arial" w:hAnsi="Arial" w:cs="Arial"/>
          <w:spacing w:val="4"/>
          <w:sz w:val="24"/>
          <w:szCs w:val="24"/>
        </w:rPr>
        <w:t xml:space="preserve"> </w:t>
      </w:r>
      <w:r w:rsidRPr="00D61CDE">
        <w:rPr>
          <w:rFonts w:ascii="Arial" w:hAnsi="Arial" w:cs="Arial"/>
          <w:spacing w:val="4"/>
          <w:sz w:val="24"/>
          <w:szCs w:val="24"/>
        </w:rPr>
        <w:t>la ausencia total de consentimiento al momento de la afiliación o del traslado, siendo ese consentimiento un elemento de la esencia del negocio.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7" w:firstLine="708"/>
        <w:jc w:val="both"/>
        <w:rPr>
          <w:rFonts w:ascii="Arial" w:hAnsi="Arial" w:cs="Arial"/>
          <w:spacing w:val="4"/>
          <w:sz w:val="24"/>
          <w:szCs w:val="24"/>
        </w:rPr>
      </w:pPr>
      <w:r w:rsidRPr="00D61CDE">
        <w:rPr>
          <w:rFonts w:ascii="Arial" w:hAnsi="Arial" w:cs="Arial"/>
          <w:spacing w:val="4"/>
          <w:sz w:val="24"/>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w:t>
      </w:r>
      <w:r w:rsidR="00012C70" w:rsidRPr="00D61CDE">
        <w:rPr>
          <w:rFonts w:ascii="Arial" w:hAnsi="Arial" w:cs="Arial"/>
          <w:spacing w:val="4"/>
          <w:sz w:val="24"/>
          <w:szCs w:val="24"/>
        </w:rPr>
        <w:t xml:space="preserve"> </w:t>
      </w:r>
      <w:r w:rsidRPr="00D61CDE">
        <w:rPr>
          <w:rFonts w:ascii="Arial" w:hAnsi="Arial" w:cs="Arial"/>
          <w:spacing w:val="4"/>
          <w:sz w:val="24"/>
          <w:szCs w:val="24"/>
        </w:rPr>
        <w:t>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radicado 68838 de mayo de 2019).</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sentencia del 8 de mayo de 2019, </w:t>
      </w:r>
      <w:r w:rsidRPr="00D61CDE">
        <w:rPr>
          <w:rFonts w:ascii="Arial" w:hAnsi="Arial" w:cs="Arial"/>
          <w:b/>
          <w:spacing w:val="4"/>
          <w:sz w:val="24"/>
          <w:szCs w:val="24"/>
        </w:rPr>
        <w:t>(</w:t>
      </w:r>
      <w:proofErr w:type="spellStart"/>
      <w:r w:rsidRPr="00D61CDE">
        <w:rPr>
          <w:rFonts w:ascii="Arial" w:hAnsi="Arial" w:cs="Arial"/>
          <w:b/>
          <w:spacing w:val="4"/>
          <w:sz w:val="24"/>
          <w:szCs w:val="24"/>
        </w:rPr>
        <w:t>SL1688</w:t>
      </w:r>
      <w:proofErr w:type="spellEnd"/>
      <w:r w:rsidRPr="00D61CDE">
        <w:rPr>
          <w:rFonts w:ascii="Arial" w:hAnsi="Arial" w:cs="Arial"/>
          <w:b/>
          <w:spacing w:val="4"/>
          <w:sz w:val="24"/>
          <w:szCs w:val="24"/>
        </w:rPr>
        <w:t xml:space="preserve">-2019, Rad. 68838), </w:t>
      </w:r>
      <w:r w:rsidRPr="00D61CDE">
        <w:rPr>
          <w:rFonts w:ascii="Arial" w:hAnsi="Arial" w:cs="Arial"/>
          <w:spacing w:val="4"/>
          <w:sz w:val="24"/>
          <w:szCs w:val="24"/>
        </w:rPr>
        <w:t xml:space="preserve">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D61CDE">
        <w:rPr>
          <w:rFonts w:ascii="Arial" w:hAnsi="Arial" w:cs="Arial"/>
          <w:spacing w:val="4"/>
          <w:sz w:val="24"/>
          <w:szCs w:val="24"/>
        </w:rPr>
        <w:t>reasesorías</w:t>
      </w:r>
      <w:proofErr w:type="spellEnd"/>
      <w:r w:rsidRPr="00D61CDE">
        <w:rPr>
          <w:rFonts w:ascii="Arial" w:hAnsi="Arial" w:cs="Arial"/>
          <w:spacing w:val="4"/>
          <w:sz w:val="24"/>
          <w:szCs w:val="24"/>
        </w:rPr>
        <w:t xml:space="preserve"> que se realizan con posterioridad al traslado inicial, entre otros.</w:t>
      </w:r>
    </w:p>
    <w:p w:rsidR="00D70503" w:rsidRPr="00D61CDE" w:rsidRDefault="00D70503" w:rsidP="001A211A">
      <w:pPr>
        <w:pStyle w:val="Textoindependiente"/>
        <w:spacing w:line="276" w:lineRule="auto"/>
        <w:rPr>
          <w:rFonts w:ascii="Arial" w:hAnsi="Arial" w:cs="Arial"/>
          <w:spacing w:val="4"/>
          <w:sz w:val="24"/>
          <w:szCs w:val="24"/>
        </w:rPr>
      </w:pPr>
    </w:p>
    <w:p w:rsidR="001A211A" w:rsidRPr="00D61CDE" w:rsidRDefault="001A211A" w:rsidP="001A211A">
      <w:pPr>
        <w:widowControl/>
        <w:autoSpaceDE/>
        <w:autoSpaceDN/>
        <w:spacing w:line="276" w:lineRule="auto"/>
        <w:jc w:val="both"/>
        <w:rPr>
          <w:rFonts w:ascii="Arial" w:eastAsia="Times New Roman" w:hAnsi="Arial" w:cs="Arial"/>
          <w:spacing w:val="4"/>
          <w:sz w:val="24"/>
          <w:szCs w:val="24"/>
          <w:lang w:val="es-ES_tradnl" w:bidi="ar-SA"/>
        </w:rPr>
      </w:pPr>
      <w:r w:rsidRPr="00D61CDE">
        <w:rPr>
          <w:rFonts w:ascii="Arial" w:eastAsia="Times New Roman" w:hAnsi="Arial" w:cs="Arial"/>
          <w:spacing w:val="4"/>
          <w:sz w:val="24"/>
          <w:szCs w:val="24"/>
          <w:lang w:val="es-ES_tradnl" w:bidi="ar-SA"/>
        </w:rPr>
        <w:t>a) Sobre el deber de información, en ésta quedó dicho:</w:t>
      </w:r>
    </w:p>
    <w:p w:rsidR="001A211A" w:rsidRPr="00D61CDE" w:rsidRDefault="001A211A" w:rsidP="001A211A">
      <w:pPr>
        <w:widowControl/>
        <w:autoSpaceDE/>
        <w:autoSpaceDN/>
        <w:spacing w:line="276" w:lineRule="auto"/>
        <w:jc w:val="both"/>
        <w:rPr>
          <w:rFonts w:ascii="Arial" w:eastAsia="Times New Roman" w:hAnsi="Arial" w:cs="Arial"/>
          <w:spacing w:val="4"/>
          <w:sz w:val="24"/>
          <w:szCs w:val="24"/>
          <w:lang w:val="es-ES_tradnl" w:bidi="ar-SA"/>
        </w:rPr>
      </w:pPr>
      <w:r w:rsidRPr="00D61CDE">
        <w:rPr>
          <w:rFonts w:ascii="Arial" w:hAnsi="Arial" w:cs="Arial"/>
          <w:spacing w:val="4"/>
          <w:sz w:val="24"/>
          <w:szCs w:val="24"/>
          <w:lang w:val="es"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“El anterior recuento sobre la evolución normativa del deber de información a cargo de las administradoras de pensiones podría, a grandes rasgos, sintetizarse así: </w:t>
      </w:r>
    </w:p>
    <w:p w:rsidR="001A211A" w:rsidRPr="00D61CDE" w:rsidRDefault="001A211A" w:rsidP="001A211A">
      <w:pPr>
        <w:widowControl/>
        <w:autoSpaceDE/>
        <w:autoSpaceDN/>
        <w:ind w:left="426" w:right="420"/>
        <w:jc w:val="both"/>
        <w:rPr>
          <w:rFonts w:ascii="Arial" w:eastAsia="Times New Roman" w:hAnsi="Arial" w:cs="Arial"/>
          <w:spacing w:val="4"/>
          <w:szCs w:val="24"/>
          <w:lang w:val="es-ES_tradnl" w:bidi="ar-SA"/>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1A211A" w:rsidRPr="00D61CDE"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b/>
                <w:bCs/>
                <w:i/>
                <w:iCs/>
                <w:spacing w:val="4"/>
                <w:sz w:val="20"/>
                <w:szCs w:val="24"/>
                <w:lang w:val="es-CO" w:bidi="ar-SA"/>
              </w:rPr>
              <w:t>Etapa acumulativa</w:t>
            </w:r>
            <w:r w:rsidRPr="00D61CDE">
              <w:rPr>
                <w:rFonts w:ascii="Arial" w:eastAsia="Times New Roman" w:hAnsi="Arial" w:cs="Arial"/>
                <w:spacing w:val="4"/>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b/>
                <w:bCs/>
                <w:i/>
                <w:iCs/>
                <w:spacing w:val="4"/>
                <w:sz w:val="20"/>
                <w:szCs w:val="24"/>
                <w:lang w:val="es-CO" w:bidi="ar-SA"/>
              </w:rPr>
              <w:t>Normas que obligan a las administradoras de pensiones a dar información</w:t>
            </w:r>
            <w:r w:rsidRPr="00D61CDE">
              <w:rPr>
                <w:rFonts w:ascii="Arial" w:eastAsia="Times New Roman" w:hAnsi="Arial" w:cs="Arial"/>
                <w:spacing w:val="4"/>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b/>
                <w:bCs/>
                <w:i/>
                <w:iCs/>
                <w:spacing w:val="4"/>
                <w:sz w:val="20"/>
                <w:szCs w:val="24"/>
                <w:lang w:val="es-CO" w:bidi="ar-SA"/>
              </w:rPr>
              <w:t>Contenido mínimo y alcance del deber de información</w:t>
            </w:r>
            <w:r w:rsidRPr="00D61CDE">
              <w:rPr>
                <w:rFonts w:ascii="Arial" w:eastAsia="Times New Roman" w:hAnsi="Arial" w:cs="Arial"/>
                <w:spacing w:val="4"/>
                <w:sz w:val="20"/>
                <w:szCs w:val="24"/>
                <w:lang w:bidi="ar-SA"/>
              </w:rPr>
              <w:t> </w:t>
            </w:r>
          </w:p>
        </w:tc>
      </w:tr>
      <w:tr w:rsidR="001A211A" w:rsidRPr="00D61CDE"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Deber de información </w:t>
            </w:r>
            <w:r w:rsidRPr="00D61CDE">
              <w:rPr>
                <w:rFonts w:ascii="Arial" w:eastAsia="Times New Roman" w:hAnsi="Arial" w:cs="Arial"/>
                <w:spacing w:val="4"/>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Arts. 13 literal b), 271 y 272 de la Ley 100 de 1993</w:t>
            </w:r>
            <w:r w:rsidRPr="00D61CDE">
              <w:rPr>
                <w:rFonts w:ascii="Arial" w:eastAsia="Times New Roman" w:hAnsi="Arial" w:cs="Arial"/>
                <w:spacing w:val="4"/>
                <w:sz w:val="20"/>
                <w:szCs w:val="24"/>
                <w:lang w:bidi="ar-SA"/>
              </w:rPr>
              <w:t> </w:t>
            </w:r>
          </w:p>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bidi="ar-SA"/>
              </w:rPr>
              <w:t>Art. 97, numeral 1 del Decreto 663 de 1993, modificado por el artículo 23 de la Ley 797 de 2003</w:t>
            </w:r>
            <w:r w:rsidRPr="00D61CDE">
              <w:rPr>
                <w:rFonts w:ascii="Arial" w:eastAsia="Times New Roman" w:hAnsi="Arial" w:cs="Arial"/>
                <w:spacing w:val="4"/>
                <w:sz w:val="20"/>
                <w:szCs w:val="24"/>
                <w:lang w:bidi="ar-SA"/>
              </w:rPr>
              <w:t> </w:t>
            </w:r>
          </w:p>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bidi="ar-SA"/>
              </w:rPr>
              <w:t>Disposiciones constitucionales relativas al derecho a la información, no menoscabo de derechos laborales y autonomía personal</w:t>
            </w:r>
            <w:r w:rsidRPr="00D61CDE">
              <w:rPr>
                <w:rFonts w:ascii="Arial" w:eastAsia="Times New Roman" w:hAnsi="Arial" w:cs="Arial"/>
                <w:spacing w:val="4"/>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Ilustración de las características, condiciones, acceso, efectos y riesgos de cada uno de los regímenes pensionales, lo que incluye dar a conocer la existencia de un régimen de transición y la eventual pérdida de beneficios pensionales</w:t>
            </w:r>
            <w:r w:rsidRPr="00D61CDE">
              <w:rPr>
                <w:rFonts w:ascii="Arial" w:eastAsia="Times New Roman" w:hAnsi="Arial" w:cs="Arial"/>
                <w:spacing w:val="4"/>
                <w:sz w:val="20"/>
                <w:szCs w:val="24"/>
                <w:lang w:bidi="ar-SA"/>
              </w:rPr>
              <w:t> </w:t>
            </w:r>
          </w:p>
        </w:tc>
      </w:tr>
      <w:tr w:rsidR="001A211A" w:rsidRPr="00D61CDE"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 xml:space="preserve">Deber de información, </w:t>
            </w:r>
            <w:r w:rsidRPr="00D61CDE">
              <w:rPr>
                <w:rFonts w:ascii="Arial" w:eastAsia="Times New Roman" w:hAnsi="Arial" w:cs="Arial"/>
                <w:i/>
                <w:iCs/>
                <w:spacing w:val="4"/>
                <w:sz w:val="20"/>
                <w:szCs w:val="24"/>
                <w:lang w:val="es-CO" w:bidi="ar-SA"/>
              </w:rPr>
              <w:lastRenderedPageBreak/>
              <w:t>asesoría y buen consejo</w:t>
            </w:r>
            <w:r w:rsidRPr="00D61CDE">
              <w:rPr>
                <w:rFonts w:ascii="Arial" w:eastAsia="Times New Roman" w:hAnsi="Arial" w:cs="Arial"/>
                <w:spacing w:val="4"/>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lastRenderedPageBreak/>
              <w:t>Artículo 3, literal c) de la Ley 1328 de 2009</w:t>
            </w:r>
            <w:r w:rsidRPr="00D61CDE">
              <w:rPr>
                <w:rFonts w:ascii="Arial" w:eastAsia="Times New Roman" w:hAnsi="Arial" w:cs="Arial"/>
                <w:spacing w:val="4"/>
                <w:sz w:val="20"/>
                <w:szCs w:val="24"/>
                <w:lang w:bidi="ar-SA"/>
              </w:rPr>
              <w:t> </w:t>
            </w:r>
          </w:p>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lastRenderedPageBreak/>
              <w:t>Decreto 2241 de 2010</w:t>
            </w:r>
            <w:r w:rsidRPr="00D61CDE">
              <w:rPr>
                <w:rFonts w:ascii="Arial" w:eastAsia="Times New Roman" w:hAnsi="Arial" w:cs="Arial"/>
                <w:spacing w:val="4"/>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lastRenderedPageBreak/>
              <w:t xml:space="preserve">Implica el análisis previo, calificado y global  de los antecedentes del afiliado </w:t>
            </w:r>
            <w:r w:rsidRPr="00D61CDE">
              <w:rPr>
                <w:rFonts w:ascii="Arial" w:eastAsia="Times New Roman" w:hAnsi="Arial" w:cs="Arial"/>
                <w:i/>
                <w:iCs/>
                <w:spacing w:val="4"/>
                <w:sz w:val="20"/>
                <w:szCs w:val="24"/>
                <w:lang w:val="es-CO" w:bidi="ar-SA"/>
              </w:rPr>
              <w:lastRenderedPageBreak/>
              <w:t>y los pormenores de los regímenes pensionales, a fin de que el asesor o promotor pueda emitir un consejo, sugerencia o recomendación al afiliado acerca de lo que más le conviene y, por tanto, lo que podría perjudicarle</w:t>
            </w:r>
            <w:r w:rsidRPr="00D61CDE">
              <w:rPr>
                <w:rFonts w:ascii="Arial" w:eastAsia="Times New Roman" w:hAnsi="Arial" w:cs="Arial"/>
                <w:spacing w:val="4"/>
                <w:sz w:val="20"/>
                <w:szCs w:val="24"/>
                <w:lang w:bidi="ar-SA"/>
              </w:rPr>
              <w:t> </w:t>
            </w:r>
          </w:p>
        </w:tc>
      </w:tr>
      <w:tr w:rsidR="001A211A" w:rsidRPr="00D61CDE"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lastRenderedPageBreak/>
              <w:t>Deber de información, asesoría, buen consejo y doble asesoría. </w:t>
            </w:r>
            <w:r w:rsidRPr="00D61CDE">
              <w:rPr>
                <w:rFonts w:ascii="Arial" w:eastAsia="Times New Roman" w:hAnsi="Arial" w:cs="Arial"/>
                <w:spacing w:val="4"/>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Ley 1748 de 2014</w:t>
            </w:r>
            <w:r w:rsidRPr="00D61CDE">
              <w:rPr>
                <w:rFonts w:ascii="Arial" w:eastAsia="Times New Roman" w:hAnsi="Arial" w:cs="Arial"/>
                <w:spacing w:val="4"/>
                <w:sz w:val="20"/>
                <w:szCs w:val="24"/>
                <w:lang w:bidi="ar-SA"/>
              </w:rPr>
              <w:t> </w:t>
            </w:r>
          </w:p>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Artículo 3 del Decreto 2071 de 2015</w:t>
            </w:r>
            <w:r w:rsidRPr="00D61CDE">
              <w:rPr>
                <w:rFonts w:ascii="Arial" w:eastAsia="Times New Roman" w:hAnsi="Arial" w:cs="Arial"/>
                <w:spacing w:val="4"/>
                <w:sz w:val="20"/>
                <w:szCs w:val="24"/>
                <w:lang w:bidi="ar-SA"/>
              </w:rPr>
              <w:t> </w:t>
            </w:r>
          </w:p>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Circular Externa n. 016 de 2016</w:t>
            </w:r>
            <w:r w:rsidRPr="00D61CDE">
              <w:rPr>
                <w:rFonts w:ascii="Arial" w:eastAsia="Times New Roman" w:hAnsi="Arial" w:cs="Arial"/>
                <w:spacing w:val="4"/>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1A211A" w:rsidRPr="00D61CDE" w:rsidRDefault="001A211A" w:rsidP="001A211A">
            <w:pPr>
              <w:widowControl/>
              <w:autoSpaceDE/>
              <w:autoSpaceDN/>
              <w:spacing w:line="276" w:lineRule="auto"/>
              <w:jc w:val="both"/>
              <w:textAlignment w:val="baseline"/>
              <w:rPr>
                <w:rFonts w:ascii="Arial" w:eastAsia="Times New Roman" w:hAnsi="Arial" w:cs="Arial"/>
                <w:spacing w:val="4"/>
                <w:sz w:val="20"/>
                <w:szCs w:val="24"/>
                <w:lang w:bidi="ar-SA"/>
              </w:rPr>
            </w:pPr>
            <w:r w:rsidRPr="00D61CDE">
              <w:rPr>
                <w:rFonts w:ascii="Arial" w:eastAsia="Times New Roman" w:hAnsi="Arial" w:cs="Arial"/>
                <w:i/>
                <w:iCs/>
                <w:spacing w:val="4"/>
                <w:sz w:val="20"/>
                <w:szCs w:val="24"/>
                <w:lang w:val="es-CO" w:bidi="ar-SA"/>
              </w:rPr>
              <w:t>Junto con lo anterior, lleva inmerso el derecho a obtener asesoría de los representantes de ambos regímenes pensionales.</w:t>
            </w:r>
            <w:r w:rsidRPr="00D61CDE">
              <w:rPr>
                <w:rFonts w:ascii="Arial" w:eastAsia="Times New Roman" w:hAnsi="Arial" w:cs="Arial"/>
                <w:spacing w:val="4"/>
                <w:sz w:val="20"/>
                <w:szCs w:val="24"/>
                <w:lang w:bidi="ar-SA"/>
              </w:rPr>
              <w:t> </w:t>
            </w:r>
          </w:p>
        </w:tc>
      </w:tr>
    </w:tbl>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1.4 Conclusión: La constatación del deber de información es ineludible.</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rsidR="001A211A" w:rsidRPr="00D61CDE" w:rsidRDefault="001A211A" w:rsidP="001A211A">
      <w:pPr>
        <w:widowControl/>
        <w:autoSpaceDE/>
        <w:autoSpaceDN/>
        <w:spacing w:line="276" w:lineRule="auto"/>
        <w:jc w:val="both"/>
        <w:rPr>
          <w:rFonts w:ascii="Arial" w:eastAsia="Times New Roman" w:hAnsi="Arial" w:cs="Arial"/>
          <w:spacing w:val="4"/>
          <w:sz w:val="24"/>
          <w:szCs w:val="24"/>
          <w:lang w:val="es-ES_tradnl" w:bidi="ar-SA"/>
        </w:rPr>
      </w:pPr>
      <w:r w:rsidRPr="00D61CDE">
        <w:rPr>
          <w:rFonts w:ascii="Arial" w:hAnsi="Arial" w:cs="Arial"/>
          <w:spacing w:val="4"/>
          <w:sz w:val="24"/>
          <w:szCs w:val="24"/>
          <w:lang w:val="es" w:bidi="ar-SA"/>
        </w:rPr>
        <w:t xml:space="preserve"> </w:t>
      </w:r>
    </w:p>
    <w:p w:rsidR="001A211A" w:rsidRPr="00D61CDE" w:rsidRDefault="001A211A" w:rsidP="001A211A">
      <w:pPr>
        <w:widowControl/>
        <w:autoSpaceDE/>
        <w:autoSpaceDN/>
        <w:spacing w:line="276" w:lineRule="auto"/>
        <w:jc w:val="both"/>
        <w:rPr>
          <w:rFonts w:ascii="Arial" w:eastAsia="Times New Roman" w:hAnsi="Arial" w:cs="Arial"/>
          <w:spacing w:val="4"/>
          <w:sz w:val="24"/>
          <w:szCs w:val="24"/>
          <w:lang w:val="es-ES_tradnl" w:bidi="ar-SA"/>
        </w:rPr>
      </w:pPr>
      <w:bookmarkStart w:id="0" w:name="_Hlk46831651"/>
      <w:r w:rsidRPr="00D61CDE">
        <w:rPr>
          <w:rFonts w:ascii="Arial" w:eastAsia="Times New Roman" w:hAnsi="Arial" w:cs="Arial"/>
          <w:spacing w:val="4"/>
          <w:sz w:val="24"/>
          <w:szCs w:val="24"/>
          <w:lang w:val="es-ES_tradnl" w:bidi="ar-SA"/>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rsidR="001A211A" w:rsidRPr="00D61CDE" w:rsidRDefault="001A211A" w:rsidP="001A211A">
      <w:pPr>
        <w:widowControl/>
        <w:autoSpaceDE/>
        <w:autoSpaceDN/>
        <w:spacing w:line="276" w:lineRule="auto"/>
        <w:ind w:firstLine="708"/>
        <w:jc w:val="both"/>
        <w:rPr>
          <w:rFonts w:ascii="Arial" w:eastAsia="Times New Roman" w:hAnsi="Arial" w:cs="Arial"/>
          <w:spacing w:val="4"/>
          <w:sz w:val="24"/>
          <w:szCs w:val="24"/>
          <w:lang w:val="es-ES_tradnl" w:bidi="ar-SA"/>
        </w:rPr>
      </w:pPr>
    </w:p>
    <w:p w:rsidR="001A211A" w:rsidRPr="00D61CDE" w:rsidRDefault="001A211A" w:rsidP="001A211A">
      <w:pPr>
        <w:widowControl/>
        <w:autoSpaceDE/>
        <w:autoSpaceDN/>
        <w:spacing w:line="276" w:lineRule="auto"/>
        <w:ind w:firstLine="555"/>
        <w:jc w:val="both"/>
        <w:textAlignment w:val="baseline"/>
        <w:rPr>
          <w:rFonts w:ascii="Arial" w:eastAsia="Times New Roman" w:hAnsi="Arial" w:cs="Arial"/>
          <w:spacing w:val="4"/>
          <w:sz w:val="24"/>
          <w:szCs w:val="24"/>
          <w:lang w:val="es-ES_tradnl" w:bidi="ar-SA"/>
        </w:rPr>
      </w:pPr>
      <w:r w:rsidRPr="00D61CDE">
        <w:rPr>
          <w:rFonts w:ascii="Arial" w:eastAsia="Times New Roman" w:hAnsi="Arial" w:cs="Arial"/>
          <w:b/>
          <w:bCs/>
          <w:spacing w:val="4"/>
          <w:sz w:val="24"/>
          <w:szCs w:val="24"/>
          <w:lang w:val="es-ES_tradnl" w:bidi="ar-SA"/>
        </w:rPr>
        <w:t xml:space="preserve"> b) </w:t>
      </w:r>
      <w:r w:rsidRPr="00D61CDE">
        <w:rPr>
          <w:rFonts w:ascii="Arial" w:eastAsia="Times New Roman" w:hAnsi="Arial" w:cs="Arial"/>
          <w:b/>
          <w:bCs/>
          <w:spacing w:val="4"/>
          <w:sz w:val="24"/>
          <w:szCs w:val="24"/>
          <w:lang w:val="es-ES_tradnl" w:bidi="ar-SA"/>
        </w:rPr>
        <w:tab/>
        <w:t xml:space="preserve">En cuanto a las consecuencias de las constancias que se registran en los formularios de afiliación o traslado, </w:t>
      </w:r>
      <w:r w:rsidRPr="00D61CDE">
        <w:rPr>
          <w:rFonts w:ascii="Arial" w:eastAsia="Times New Roman" w:hAnsi="Arial" w:cs="Arial"/>
          <w:spacing w:val="4"/>
          <w:sz w:val="24"/>
          <w:szCs w:val="24"/>
          <w:lang w:val="es-ES_tradnl" w:bidi="ar-SA"/>
        </w:rPr>
        <w:t xml:space="preserve">la ya referida </w:t>
      </w:r>
      <w:proofErr w:type="spellStart"/>
      <w:r w:rsidRPr="00D61CDE">
        <w:rPr>
          <w:rFonts w:ascii="Arial" w:eastAsia="Times New Roman" w:hAnsi="Arial" w:cs="Arial"/>
          <w:spacing w:val="4"/>
          <w:sz w:val="24"/>
          <w:szCs w:val="24"/>
          <w:lang w:val="es-ES_tradnl" w:bidi="ar-SA"/>
        </w:rPr>
        <w:t>SL1688</w:t>
      </w:r>
      <w:proofErr w:type="spellEnd"/>
      <w:r w:rsidRPr="00D61CDE">
        <w:rPr>
          <w:rFonts w:ascii="Arial" w:eastAsia="Times New Roman" w:hAnsi="Arial" w:cs="Arial"/>
          <w:spacing w:val="4"/>
          <w:sz w:val="24"/>
          <w:szCs w:val="24"/>
          <w:lang w:val="es-ES_tradnl" w:bidi="ar-SA"/>
        </w:rPr>
        <w:t xml:space="preserve">-2019, Rad. 68838 explicó: </w:t>
      </w:r>
    </w:p>
    <w:p w:rsidR="001A211A" w:rsidRPr="00D61CDE" w:rsidRDefault="001A211A" w:rsidP="001A211A">
      <w:pPr>
        <w:widowControl/>
        <w:autoSpaceDE/>
        <w:autoSpaceDN/>
        <w:spacing w:line="276" w:lineRule="auto"/>
        <w:ind w:firstLine="720"/>
        <w:jc w:val="both"/>
        <w:rPr>
          <w:rFonts w:ascii="Arial" w:eastAsia="Times New Roman" w:hAnsi="Arial" w:cs="Arial"/>
          <w:spacing w:val="4"/>
          <w:sz w:val="24"/>
          <w:szCs w:val="24"/>
          <w:lang w:val="es-ES_tradnl" w:bidi="ar-SA"/>
        </w:rPr>
      </w:pPr>
      <w:r w:rsidRPr="00D61CDE">
        <w:rPr>
          <w:rFonts w:ascii="Arial" w:hAnsi="Arial" w:cs="Arial"/>
          <w:spacing w:val="4"/>
          <w:sz w:val="24"/>
          <w:szCs w:val="24"/>
          <w:lang w:val="es"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2. </w:t>
      </w:r>
      <w:r w:rsidRPr="00D61CDE">
        <w:rPr>
          <w:rFonts w:ascii="Arial" w:eastAsia="Times New Roman" w:hAnsi="Arial" w:cs="Arial"/>
          <w:b/>
          <w:i/>
          <w:iCs/>
          <w:spacing w:val="4"/>
          <w:szCs w:val="24"/>
          <w:lang w:val="es-ES_tradnl" w:bidi="ar-SA"/>
        </w:rPr>
        <w:t>El simple consentimiento vertido en el formulario de afiliación es insuficiente. Necesidad de un consentimiento informado</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lastRenderedPageBreak/>
        <w:t>Para el Tribunal el consentimiento informado no es predicable del acto jurídico de traslado, pues basta la consignación en el formulario de que la afiliación se hizo de manera libre y voluntaria.</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La Sala considera desacertada esta tesis, en la medida que la firma del formulario, al igual que las afirmaciones consignadas en los formatos </w:t>
      </w:r>
      <w:proofErr w:type="spellStart"/>
      <w:r w:rsidRPr="00D61CDE">
        <w:rPr>
          <w:rFonts w:ascii="Arial" w:eastAsia="Times New Roman" w:hAnsi="Arial" w:cs="Arial"/>
          <w:i/>
          <w:iCs/>
          <w:spacing w:val="4"/>
          <w:szCs w:val="24"/>
          <w:lang w:val="es-ES_tradnl" w:bidi="ar-SA"/>
        </w:rPr>
        <w:t>preimpresos</w:t>
      </w:r>
      <w:proofErr w:type="spellEnd"/>
      <w:r w:rsidRPr="00D61CDE">
        <w:rPr>
          <w:rFonts w:ascii="Arial" w:eastAsia="Times New Roman" w:hAnsi="Arial" w:cs="Arial"/>
          <w:i/>
          <w:iCs/>
          <w:spacing w:val="4"/>
          <w:szCs w:val="24"/>
          <w:lang w:val="es-ES_tradnl" w:bidi="ar-SA"/>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Sobre el particular, en la sentencia CSJ SI. 19447-2017 la Sala explicó:</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rsidR="001A211A" w:rsidRPr="00D61CDE" w:rsidRDefault="001A211A" w:rsidP="001A211A">
      <w:pPr>
        <w:widowControl/>
        <w:autoSpaceDE/>
        <w:autoSpaceDN/>
        <w:spacing w:line="276" w:lineRule="auto"/>
        <w:ind w:firstLine="708"/>
        <w:jc w:val="both"/>
        <w:rPr>
          <w:rFonts w:ascii="Arial" w:eastAsia="Times New Roman" w:hAnsi="Arial" w:cs="Arial"/>
          <w:spacing w:val="4"/>
          <w:sz w:val="24"/>
          <w:szCs w:val="24"/>
          <w:lang w:val="es-ES_tradnl" w:bidi="ar-SA"/>
        </w:rPr>
      </w:pPr>
      <w:r w:rsidRPr="00D61CDE">
        <w:rPr>
          <w:rFonts w:ascii="Arial" w:hAnsi="Arial" w:cs="Arial"/>
          <w:spacing w:val="4"/>
          <w:sz w:val="24"/>
          <w:szCs w:val="24"/>
          <w:lang w:val="es" w:bidi="ar-SA"/>
        </w:rPr>
        <w:t xml:space="preserve"> </w:t>
      </w:r>
      <w:r w:rsidRPr="00D61CDE">
        <w:rPr>
          <w:rFonts w:ascii="Arial" w:eastAsia="Times New Roman" w:hAnsi="Arial" w:cs="Arial"/>
          <w:spacing w:val="4"/>
          <w:sz w:val="24"/>
          <w:szCs w:val="24"/>
          <w:lang w:val="es-ES_tradnl" w:bidi="ar-SA"/>
        </w:rPr>
        <w:t xml:space="preserve"> </w:t>
      </w:r>
    </w:p>
    <w:p w:rsidR="001A211A" w:rsidRPr="00D61CDE" w:rsidRDefault="001A211A" w:rsidP="001A211A">
      <w:pPr>
        <w:widowControl/>
        <w:autoSpaceDE/>
        <w:autoSpaceDN/>
        <w:spacing w:line="276" w:lineRule="auto"/>
        <w:ind w:firstLine="708"/>
        <w:jc w:val="both"/>
        <w:rPr>
          <w:rFonts w:ascii="Arial" w:eastAsia="Times New Roman" w:hAnsi="Arial" w:cs="Arial"/>
          <w:spacing w:val="4"/>
          <w:sz w:val="24"/>
          <w:szCs w:val="24"/>
          <w:lang w:val="es-ES_tradnl" w:bidi="ar-SA"/>
        </w:rPr>
      </w:pPr>
      <w:r w:rsidRPr="00D61CDE">
        <w:rPr>
          <w:rFonts w:ascii="Arial" w:eastAsia="Times New Roman" w:hAnsi="Arial" w:cs="Arial"/>
          <w:b/>
          <w:bCs/>
          <w:spacing w:val="4"/>
          <w:sz w:val="24"/>
          <w:szCs w:val="24"/>
          <w:lang w:val="es-ES_tradnl" w:bidi="ar-SA"/>
        </w:rPr>
        <w:t xml:space="preserve">c) </w:t>
      </w:r>
      <w:r w:rsidRPr="00D61CDE">
        <w:rPr>
          <w:rFonts w:ascii="Arial" w:eastAsia="Times New Roman" w:hAnsi="Arial" w:cs="Arial"/>
          <w:b/>
          <w:bCs/>
          <w:spacing w:val="4"/>
          <w:sz w:val="24"/>
          <w:szCs w:val="24"/>
          <w:lang w:val="es-ES_tradnl" w:bidi="ar-SA"/>
        </w:rPr>
        <w:tab/>
        <w:t>En cuanto a la carga de la prueba:</w:t>
      </w:r>
      <w:r w:rsidRPr="00D61CDE">
        <w:rPr>
          <w:rFonts w:ascii="Arial" w:eastAsia="Times New Roman" w:hAnsi="Arial" w:cs="Arial"/>
          <w:spacing w:val="4"/>
          <w:sz w:val="24"/>
          <w:szCs w:val="24"/>
          <w:lang w:val="es-ES_tradnl" w:bidi="ar-SA"/>
        </w:rPr>
        <w:t xml:space="preserve"> También procesalmente, la Corte realiza un enfoque especialísimo, pues invierte la carga de la prueba respecto a ese debido asesoramiento. En la sentencia con radicado 68.838 de 2019 ya mencionada, lo explícita así:</w:t>
      </w:r>
    </w:p>
    <w:p w:rsidR="001A211A" w:rsidRPr="00D61CDE" w:rsidRDefault="001A211A" w:rsidP="001A211A">
      <w:pPr>
        <w:widowControl/>
        <w:autoSpaceDE/>
        <w:autoSpaceDN/>
        <w:spacing w:line="276" w:lineRule="auto"/>
        <w:jc w:val="both"/>
        <w:rPr>
          <w:rFonts w:ascii="Arial" w:hAnsi="Arial" w:cs="Arial"/>
          <w:i/>
          <w:spacing w:val="4"/>
          <w:sz w:val="24"/>
          <w:szCs w:val="24"/>
          <w:lang w:val="es" w:bidi="ar-SA"/>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rsidR="001A211A" w:rsidRPr="00D61CDE" w:rsidRDefault="001A211A" w:rsidP="001A211A">
      <w:pPr>
        <w:widowControl/>
        <w:autoSpaceDE/>
        <w:autoSpaceDN/>
        <w:spacing w:line="276" w:lineRule="auto"/>
        <w:jc w:val="both"/>
        <w:rPr>
          <w:rFonts w:ascii="Arial" w:hAnsi="Arial" w:cs="Arial"/>
          <w:spacing w:val="4"/>
          <w:sz w:val="24"/>
          <w:szCs w:val="24"/>
          <w:lang w:val="es" w:bidi="ar-SA"/>
        </w:rPr>
      </w:pPr>
    </w:p>
    <w:p w:rsidR="001A211A" w:rsidRPr="00D61CDE" w:rsidRDefault="001A211A" w:rsidP="001A211A">
      <w:pPr>
        <w:widowControl/>
        <w:autoSpaceDE/>
        <w:autoSpaceDN/>
        <w:spacing w:line="276" w:lineRule="auto"/>
        <w:ind w:firstLine="708"/>
        <w:jc w:val="both"/>
        <w:rPr>
          <w:rFonts w:ascii="Arial" w:eastAsia="Times New Roman" w:hAnsi="Arial" w:cs="Arial"/>
          <w:spacing w:val="4"/>
          <w:sz w:val="24"/>
          <w:szCs w:val="24"/>
          <w:lang w:val="es-ES_tradnl" w:bidi="ar-SA"/>
        </w:rPr>
      </w:pPr>
      <w:r w:rsidRPr="00D61CDE">
        <w:rPr>
          <w:rFonts w:ascii="Arial" w:eastAsia="Times New Roman" w:hAnsi="Arial" w:cs="Arial"/>
          <w:b/>
          <w:bCs/>
          <w:spacing w:val="4"/>
          <w:sz w:val="24"/>
          <w:szCs w:val="24"/>
          <w:lang w:val="es-ES_tradnl" w:bidi="ar-SA"/>
        </w:rPr>
        <w:t xml:space="preserve">d) </w:t>
      </w:r>
      <w:r w:rsidRPr="00D61CDE">
        <w:rPr>
          <w:rFonts w:ascii="Arial" w:eastAsia="Times New Roman" w:hAnsi="Arial" w:cs="Arial"/>
          <w:b/>
          <w:bCs/>
          <w:spacing w:val="4"/>
          <w:sz w:val="24"/>
          <w:szCs w:val="24"/>
          <w:lang w:val="es-ES_tradnl" w:bidi="ar-SA"/>
        </w:rPr>
        <w:tab/>
        <w:t xml:space="preserve">En cuanto al alcance de la ausencia del deber de información y de los nulos efectos que pueden generar las </w:t>
      </w:r>
      <w:proofErr w:type="spellStart"/>
      <w:r w:rsidRPr="00D61CDE">
        <w:rPr>
          <w:rFonts w:ascii="Arial" w:eastAsia="Times New Roman" w:hAnsi="Arial" w:cs="Arial"/>
          <w:b/>
          <w:bCs/>
          <w:spacing w:val="4"/>
          <w:sz w:val="24"/>
          <w:szCs w:val="24"/>
          <w:lang w:val="es-ES_tradnl" w:bidi="ar-SA"/>
        </w:rPr>
        <w:t>reasesorías</w:t>
      </w:r>
      <w:proofErr w:type="spellEnd"/>
      <w:r w:rsidRPr="00D61CDE">
        <w:rPr>
          <w:rFonts w:ascii="Arial" w:eastAsia="Times New Roman" w:hAnsi="Arial" w:cs="Arial"/>
          <w:b/>
          <w:bCs/>
          <w:spacing w:val="4"/>
          <w:sz w:val="24"/>
          <w:szCs w:val="24"/>
          <w:lang w:val="es-ES_tradnl" w:bidi="ar-SA"/>
        </w:rPr>
        <w:t xml:space="preserve"> posteriores</w:t>
      </w:r>
      <w:r w:rsidRPr="00D61CDE">
        <w:rPr>
          <w:rFonts w:ascii="Arial" w:eastAsia="Times New Roman" w:hAnsi="Arial" w:cs="Arial"/>
          <w:spacing w:val="4"/>
          <w:sz w:val="24"/>
          <w:szCs w:val="24"/>
          <w:lang w:val="es-ES_tradnl" w:bidi="ar-SA"/>
        </w:rPr>
        <w:t>, quedó dicho en la sentencia </w:t>
      </w:r>
      <w:proofErr w:type="spellStart"/>
      <w:r w:rsidRPr="00D61CDE">
        <w:rPr>
          <w:rFonts w:ascii="Arial" w:eastAsia="Times New Roman" w:hAnsi="Arial" w:cs="Arial"/>
          <w:spacing w:val="4"/>
          <w:sz w:val="24"/>
          <w:szCs w:val="24"/>
          <w:lang w:val="es-ES_tradnl" w:bidi="ar-SA"/>
        </w:rPr>
        <w:t>SL1688</w:t>
      </w:r>
      <w:proofErr w:type="spellEnd"/>
      <w:r w:rsidRPr="00D61CDE">
        <w:rPr>
          <w:rFonts w:ascii="Arial" w:eastAsia="Times New Roman" w:hAnsi="Arial" w:cs="Arial"/>
          <w:spacing w:val="4"/>
          <w:sz w:val="24"/>
          <w:szCs w:val="24"/>
          <w:lang w:val="es-ES_tradnl" w:bidi="ar-SA"/>
        </w:rPr>
        <w:t>-2019, Rad. 68838, la cual se viene citando in-extenso que:</w:t>
      </w:r>
    </w:p>
    <w:p w:rsidR="001A211A" w:rsidRPr="00D61CDE" w:rsidRDefault="001A211A" w:rsidP="001A211A">
      <w:pPr>
        <w:widowControl/>
        <w:autoSpaceDE/>
        <w:autoSpaceDN/>
        <w:spacing w:line="276" w:lineRule="auto"/>
        <w:rPr>
          <w:rFonts w:ascii="Arial" w:eastAsia="Times New Roman" w:hAnsi="Arial" w:cs="Arial"/>
          <w:spacing w:val="4"/>
          <w:sz w:val="24"/>
          <w:szCs w:val="24"/>
          <w:lang w:val="es-ES_tradnl" w:bidi="ar-SA"/>
        </w:rPr>
      </w:pPr>
      <w:r w:rsidRPr="00D61CDE">
        <w:rPr>
          <w:rFonts w:ascii="Arial" w:hAnsi="Arial" w:cs="Arial"/>
          <w:spacing w:val="4"/>
          <w:sz w:val="24"/>
          <w:szCs w:val="24"/>
          <w:lang w:val="es"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Ahora, si bien la AFP brindó a la actora una </w:t>
      </w:r>
      <w:proofErr w:type="spellStart"/>
      <w:r w:rsidRPr="00D61CDE">
        <w:rPr>
          <w:rFonts w:ascii="Arial" w:eastAsia="Times New Roman" w:hAnsi="Arial" w:cs="Arial"/>
          <w:i/>
          <w:iCs/>
          <w:spacing w:val="4"/>
          <w:szCs w:val="24"/>
          <w:lang w:val="es-ES_tradnl" w:bidi="ar-SA"/>
        </w:rPr>
        <w:t>reasesoría</w:t>
      </w:r>
      <w:proofErr w:type="spellEnd"/>
      <w:r w:rsidRPr="00D61CDE">
        <w:rPr>
          <w:rFonts w:ascii="Arial" w:eastAsia="Times New Roman" w:hAnsi="Arial" w:cs="Arial"/>
          <w:i/>
          <w:iCs/>
          <w:spacing w:val="4"/>
          <w:szCs w:val="24"/>
          <w:lang w:val="es-ES_tradnl" w:bidi="ar-SA"/>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En primer término, porque el traslado al </w:t>
      </w:r>
      <w:proofErr w:type="spellStart"/>
      <w:r w:rsidRPr="00D61CDE">
        <w:rPr>
          <w:rFonts w:ascii="Arial" w:eastAsia="Times New Roman" w:hAnsi="Arial" w:cs="Arial"/>
          <w:i/>
          <w:iCs/>
          <w:spacing w:val="4"/>
          <w:szCs w:val="24"/>
          <w:lang w:val="es-ES_tradnl" w:bidi="ar-SA"/>
        </w:rPr>
        <w:t>RAIS</w:t>
      </w:r>
      <w:proofErr w:type="spellEnd"/>
      <w:r w:rsidRPr="00D61CDE">
        <w:rPr>
          <w:rFonts w:ascii="Arial" w:eastAsia="Times New Roman" w:hAnsi="Arial" w:cs="Arial"/>
          <w:i/>
          <w:iCs/>
          <w:spacing w:val="4"/>
          <w:szCs w:val="24"/>
          <w:lang w:val="es-ES_tradnl" w:bidi="ar-SA"/>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D61CDE">
        <w:rPr>
          <w:rFonts w:ascii="Arial" w:eastAsia="Times New Roman" w:hAnsi="Arial" w:cs="Arial"/>
          <w:i/>
          <w:iCs/>
          <w:spacing w:val="4"/>
          <w:szCs w:val="24"/>
          <w:lang w:val="es-ES_tradnl" w:bidi="ar-SA"/>
        </w:rPr>
        <w:t>reasesoría</w:t>
      </w:r>
      <w:proofErr w:type="spellEnd"/>
      <w:r w:rsidRPr="00D61CDE">
        <w:rPr>
          <w:rFonts w:ascii="Arial" w:eastAsia="Times New Roman" w:hAnsi="Arial" w:cs="Arial"/>
          <w:i/>
          <w:iCs/>
          <w:spacing w:val="4"/>
          <w:szCs w:val="24"/>
          <w:lang w:val="es-ES_tradnl" w:bidi="ar-SA"/>
        </w:rPr>
        <w:t>, de todas formas ya había perdido la transición.</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Por otro lado, no es de recibo el planteo de Protección S.A., cuando sostiene que una vez realizó la </w:t>
      </w:r>
      <w:proofErr w:type="spellStart"/>
      <w:r w:rsidRPr="00D61CDE">
        <w:rPr>
          <w:rFonts w:ascii="Arial" w:eastAsia="Times New Roman" w:hAnsi="Arial" w:cs="Arial"/>
          <w:i/>
          <w:iCs/>
          <w:spacing w:val="4"/>
          <w:szCs w:val="24"/>
          <w:lang w:val="es-ES_tradnl" w:bidi="ar-SA"/>
        </w:rPr>
        <w:t>reasesoría</w:t>
      </w:r>
      <w:proofErr w:type="spellEnd"/>
      <w:r w:rsidRPr="00D61CDE">
        <w:rPr>
          <w:rFonts w:ascii="Arial" w:eastAsia="Times New Roman" w:hAnsi="Arial" w:cs="Arial"/>
          <w:i/>
          <w:iCs/>
          <w:spacing w:val="4"/>
          <w:szCs w:val="24"/>
          <w:lang w:val="es-ES_tradnl" w:bidi="ar-SA"/>
        </w:rPr>
        <w:t xml:space="preserve">, Myriam Arroyave Henao no mostró interés en la ineficacia de la vinculación al </w:t>
      </w:r>
      <w:proofErr w:type="spellStart"/>
      <w:r w:rsidRPr="00D61CDE">
        <w:rPr>
          <w:rFonts w:ascii="Arial" w:eastAsia="Times New Roman" w:hAnsi="Arial" w:cs="Arial"/>
          <w:i/>
          <w:iCs/>
          <w:spacing w:val="4"/>
          <w:szCs w:val="24"/>
          <w:lang w:val="es-ES_tradnl" w:bidi="ar-SA"/>
        </w:rPr>
        <w:t>RAIS</w:t>
      </w:r>
      <w:proofErr w:type="spellEnd"/>
      <w:r w:rsidRPr="00D61CDE">
        <w:rPr>
          <w:rFonts w:ascii="Arial" w:eastAsia="Times New Roman" w:hAnsi="Arial" w:cs="Arial"/>
          <w:i/>
          <w:iCs/>
          <w:spacing w:val="4"/>
          <w:szCs w:val="24"/>
          <w:lang w:val="es-ES_tradnl" w:bidi="ar-SA"/>
        </w:rPr>
        <w:t xml:space="preserve">, al conservar su status de afiliada durante un tiempo, Se dice lo anterior ya que la sugerencia de Protección S.A. de regresar al </w:t>
      </w:r>
      <w:proofErr w:type="spellStart"/>
      <w:r w:rsidRPr="00D61CDE">
        <w:rPr>
          <w:rFonts w:ascii="Arial" w:eastAsia="Times New Roman" w:hAnsi="Arial" w:cs="Arial"/>
          <w:i/>
          <w:iCs/>
          <w:spacing w:val="4"/>
          <w:szCs w:val="24"/>
          <w:lang w:val="es-ES_tradnl" w:bidi="ar-SA"/>
        </w:rPr>
        <w:t>RPMPD</w:t>
      </w:r>
      <w:proofErr w:type="spellEnd"/>
      <w:r w:rsidRPr="00D61CDE">
        <w:rPr>
          <w:rFonts w:ascii="Arial" w:eastAsia="Times New Roman" w:hAnsi="Arial" w:cs="Arial"/>
          <w:i/>
          <w:iCs/>
          <w:spacing w:val="4"/>
          <w:szCs w:val="24"/>
          <w:lang w:val="es-ES_tradnl" w:bidi="ar-SA"/>
        </w:rPr>
        <w:t xml:space="preserve">, se produjo el 26 de noviembre de 2003, y el formulario para la nueva afiliación al </w:t>
      </w:r>
      <w:proofErr w:type="spellStart"/>
      <w:r w:rsidRPr="00D61CDE">
        <w:rPr>
          <w:rFonts w:ascii="Arial" w:eastAsia="Times New Roman" w:hAnsi="Arial" w:cs="Arial"/>
          <w:i/>
          <w:iCs/>
          <w:spacing w:val="4"/>
          <w:szCs w:val="24"/>
          <w:lang w:val="es-ES_tradnl" w:bidi="ar-SA"/>
        </w:rPr>
        <w:t>ISS</w:t>
      </w:r>
      <w:proofErr w:type="spellEnd"/>
      <w:r w:rsidRPr="00D61CDE">
        <w:rPr>
          <w:rFonts w:ascii="Arial" w:eastAsia="Times New Roman" w:hAnsi="Arial" w:cs="Arial"/>
          <w:i/>
          <w:iCs/>
          <w:spacing w:val="4"/>
          <w:szCs w:val="24"/>
          <w:lang w:val="es-ES_tradnl" w:bidi="ar-SA"/>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rsidR="001A211A" w:rsidRPr="00D61CDE" w:rsidRDefault="001A211A" w:rsidP="001A211A">
      <w:pPr>
        <w:widowControl/>
        <w:autoSpaceDE/>
        <w:autoSpaceDN/>
        <w:spacing w:line="276" w:lineRule="auto"/>
        <w:ind w:firstLine="708"/>
        <w:jc w:val="both"/>
        <w:rPr>
          <w:rFonts w:ascii="Arial" w:eastAsia="Times New Roman" w:hAnsi="Arial" w:cs="Arial"/>
          <w:spacing w:val="4"/>
          <w:sz w:val="24"/>
          <w:szCs w:val="24"/>
          <w:lang w:val="es-ES_tradnl" w:bidi="ar-SA"/>
        </w:rPr>
      </w:pPr>
    </w:p>
    <w:p w:rsidR="001A211A" w:rsidRPr="00D61CDE" w:rsidRDefault="001A211A" w:rsidP="001A211A">
      <w:pPr>
        <w:widowControl/>
        <w:autoSpaceDE/>
        <w:autoSpaceDN/>
        <w:spacing w:line="276" w:lineRule="auto"/>
        <w:jc w:val="both"/>
        <w:rPr>
          <w:rFonts w:ascii="Arial" w:eastAsia="Times New Roman" w:hAnsi="Arial" w:cs="Arial"/>
          <w:spacing w:val="4"/>
          <w:sz w:val="24"/>
          <w:szCs w:val="24"/>
          <w:lang w:val="es-ES_tradnl" w:bidi="ar-SA"/>
        </w:rPr>
      </w:pPr>
      <w:r w:rsidRPr="00D61CDE">
        <w:rPr>
          <w:rFonts w:ascii="Arial" w:eastAsia="Times New Roman" w:hAnsi="Arial" w:cs="Arial"/>
          <w:spacing w:val="4"/>
          <w:sz w:val="24"/>
          <w:szCs w:val="24"/>
          <w:lang w:val="es-ES_tradnl" w:bidi="ar-SA"/>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D61CDE">
        <w:rPr>
          <w:rFonts w:ascii="Arial" w:eastAsia="Times New Roman" w:hAnsi="Arial" w:cs="Arial"/>
          <w:spacing w:val="4"/>
          <w:sz w:val="24"/>
          <w:szCs w:val="24"/>
          <w:lang w:val="es-ES_tradnl" w:bidi="ar-SA"/>
        </w:rPr>
        <w:t>A.F.P</w:t>
      </w:r>
      <w:proofErr w:type="spellEnd"/>
      <w:r w:rsidRPr="00D61CDE">
        <w:rPr>
          <w:rFonts w:ascii="Arial" w:eastAsia="Times New Roman" w:hAnsi="Arial" w:cs="Arial"/>
          <w:spacing w:val="4"/>
          <w:sz w:val="24"/>
          <w:szCs w:val="24"/>
          <w:lang w:val="es-ES_tradnl" w:bidi="ar-SA"/>
        </w:rPr>
        <w:t>, que devendrá en la ineficacia del traslado de régimen pensional.</w:t>
      </w:r>
    </w:p>
    <w:bookmarkEnd w:id="0"/>
    <w:p w:rsidR="00D70503" w:rsidRPr="00D61CDE" w:rsidRDefault="00D70503" w:rsidP="001A211A">
      <w:pPr>
        <w:pStyle w:val="Textoindependiente"/>
        <w:spacing w:line="276" w:lineRule="auto"/>
        <w:rPr>
          <w:rFonts w:ascii="Arial" w:hAnsi="Arial" w:cs="Arial"/>
          <w:spacing w:val="4"/>
          <w:sz w:val="24"/>
          <w:szCs w:val="24"/>
          <w:lang w:val="es-ES_tradnl"/>
        </w:rPr>
      </w:pPr>
    </w:p>
    <w:p w:rsidR="00D70503" w:rsidRPr="00D61CDE" w:rsidRDefault="002A5D1B" w:rsidP="001A211A">
      <w:pPr>
        <w:pStyle w:val="Ttulo1"/>
        <w:numPr>
          <w:ilvl w:val="1"/>
          <w:numId w:val="2"/>
        </w:numPr>
        <w:tabs>
          <w:tab w:val="left" w:pos="1555"/>
          <w:tab w:val="left" w:pos="1556"/>
        </w:tabs>
        <w:spacing w:line="276" w:lineRule="auto"/>
        <w:ind w:left="1555" w:hanging="709"/>
        <w:rPr>
          <w:rFonts w:ascii="Arial" w:hAnsi="Arial" w:cs="Arial"/>
          <w:spacing w:val="4"/>
          <w:sz w:val="24"/>
          <w:szCs w:val="24"/>
        </w:rPr>
      </w:pPr>
      <w:r w:rsidRPr="00D61CDE">
        <w:rPr>
          <w:rFonts w:ascii="Arial" w:hAnsi="Arial" w:cs="Arial"/>
          <w:spacing w:val="4"/>
          <w:sz w:val="24"/>
          <w:szCs w:val="24"/>
        </w:rPr>
        <w:t>Caso concreto</w:t>
      </w:r>
    </w:p>
    <w:p w:rsidR="000E5E66" w:rsidRPr="00D61CDE" w:rsidRDefault="000E5E66" w:rsidP="001A211A">
      <w:pPr>
        <w:pStyle w:val="Ttulo1"/>
        <w:tabs>
          <w:tab w:val="left" w:pos="1555"/>
          <w:tab w:val="left" w:pos="1556"/>
        </w:tabs>
        <w:spacing w:line="276" w:lineRule="auto"/>
        <w:ind w:left="1555"/>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Fuera de toda discusión, por existir plena prueba de ello, está que (i) el demandante nació el 09 de septiembre de 1959 (fol. 33); (ii) que se afilió al</w:t>
      </w:r>
      <w:r w:rsidR="00012C70" w:rsidRPr="00D61CDE">
        <w:rPr>
          <w:rFonts w:ascii="Arial" w:hAnsi="Arial" w:cs="Arial"/>
          <w:spacing w:val="4"/>
          <w:sz w:val="24"/>
          <w:szCs w:val="24"/>
        </w:rPr>
        <w:t xml:space="preserve"> </w:t>
      </w:r>
      <w:proofErr w:type="spellStart"/>
      <w:r w:rsidRPr="00D61CDE">
        <w:rPr>
          <w:rFonts w:ascii="Arial" w:hAnsi="Arial" w:cs="Arial"/>
          <w:spacing w:val="4"/>
          <w:sz w:val="24"/>
          <w:szCs w:val="24"/>
        </w:rPr>
        <w:t>ISS</w:t>
      </w:r>
      <w:proofErr w:type="spellEnd"/>
      <w:r w:rsidRPr="00D61CDE">
        <w:rPr>
          <w:rFonts w:ascii="Arial" w:hAnsi="Arial" w:cs="Arial"/>
          <w:spacing w:val="4"/>
          <w:sz w:val="24"/>
          <w:szCs w:val="24"/>
        </w:rPr>
        <w:t xml:space="preserve"> (hoy Colpensiones) el 24 de febrero de 1983 (fol. 185); (iii) que con fecha de suscripción del 12 de noviembre de 1998 y de efectividad el 01 de enero de 1999, se trasladó al Régimen de Ahorro Individual a través de la afiliación a la</w:t>
      </w:r>
      <w:r w:rsidR="000E5E66" w:rsidRPr="00D61CDE">
        <w:rPr>
          <w:rFonts w:ascii="Arial" w:hAnsi="Arial" w:cs="Arial"/>
          <w:spacing w:val="4"/>
          <w:sz w:val="24"/>
          <w:szCs w:val="24"/>
        </w:rPr>
        <w:t xml:space="preserve"> </w:t>
      </w:r>
      <w:proofErr w:type="spellStart"/>
      <w:r w:rsidRPr="00D61CDE">
        <w:rPr>
          <w:rFonts w:ascii="Arial" w:hAnsi="Arial" w:cs="Arial"/>
          <w:spacing w:val="4"/>
          <w:sz w:val="24"/>
          <w:szCs w:val="24"/>
        </w:rPr>
        <w:t>A.F.P</w:t>
      </w:r>
      <w:proofErr w:type="spellEnd"/>
      <w:r w:rsidRPr="00D61CDE">
        <w:rPr>
          <w:rFonts w:ascii="Arial" w:hAnsi="Arial" w:cs="Arial"/>
          <w:spacing w:val="4"/>
          <w:sz w:val="24"/>
          <w:szCs w:val="24"/>
        </w:rPr>
        <w:t>. Porvenir (</w:t>
      </w:r>
      <w:proofErr w:type="spellStart"/>
      <w:r w:rsidRPr="00D61CDE">
        <w:rPr>
          <w:rFonts w:ascii="Arial" w:hAnsi="Arial" w:cs="Arial"/>
          <w:spacing w:val="4"/>
          <w:sz w:val="24"/>
          <w:szCs w:val="24"/>
        </w:rPr>
        <w:t>fols</w:t>
      </w:r>
      <w:proofErr w:type="spellEnd"/>
      <w:r w:rsidRPr="00D61CDE">
        <w:rPr>
          <w:rFonts w:ascii="Arial" w:hAnsi="Arial" w:cs="Arial"/>
          <w:spacing w:val="4"/>
          <w:sz w:val="24"/>
          <w:szCs w:val="24"/>
        </w:rPr>
        <w:t xml:space="preserve">. 57 y 256); y (iv) que el 05 de enero de 2007 suscribió afiliación a la </w:t>
      </w:r>
      <w:proofErr w:type="spellStart"/>
      <w:r w:rsidRPr="00D61CDE">
        <w:rPr>
          <w:rFonts w:ascii="Arial" w:hAnsi="Arial" w:cs="Arial"/>
          <w:spacing w:val="4"/>
          <w:sz w:val="24"/>
          <w:szCs w:val="24"/>
        </w:rPr>
        <w:t>A.F.P</w:t>
      </w:r>
      <w:proofErr w:type="spellEnd"/>
      <w:r w:rsidRPr="00D61CDE">
        <w:rPr>
          <w:rFonts w:ascii="Arial" w:hAnsi="Arial" w:cs="Arial"/>
          <w:spacing w:val="4"/>
          <w:sz w:val="24"/>
          <w:szCs w:val="24"/>
        </w:rPr>
        <w:t xml:space="preserve">. </w:t>
      </w:r>
      <w:proofErr w:type="spellStart"/>
      <w:r w:rsidRPr="00D61CDE">
        <w:rPr>
          <w:rFonts w:ascii="Arial" w:hAnsi="Arial" w:cs="Arial"/>
          <w:spacing w:val="4"/>
          <w:sz w:val="24"/>
          <w:szCs w:val="24"/>
        </w:rPr>
        <w:t>Skandia</w:t>
      </w:r>
      <w:proofErr w:type="spellEnd"/>
      <w:r w:rsidRPr="00D61CDE">
        <w:rPr>
          <w:rFonts w:ascii="Arial" w:hAnsi="Arial" w:cs="Arial"/>
          <w:spacing w:val="4"/>
          <w:sz w:val="24"/>
          <w:szCs w:val="24"/>
        </w:rPr>
        <w:t xml:space="preserve"> (hoy Old Mutual) que se hizo efectiva el 01 de marzo de ese mismo año (</w:t>
      </w:r>
      <w:proofErr w:type="spellStart"/>
      <w:r w:rsidRPr="00D61CDE">
        <w:rPr>
          <w:rFonts w:ascii="Arial" w:hAnsi="Arial" w:cs="Arial"/>
          <w:spacing w:val="4"/>
          <w:sz w:val="24"/>
          <w:szCs w:val="24"/>
        </w:rPr>
        <w:t>fols</w:t>
      </w:r>
      <w:proofErr w:type="spellEnd"/>
      <w:r w:rsidRPr="00D61CDE">
        <w:rPr>
          <w:rFonts w:ascii="Arial" w:hAnsi="Arial" w:cs="Arial"/>
          <w:spacing w:val="4"/>
          <w:sz w:val="24"/>
          <w:szCs w:val="24"/>
        </w:rPr>
        <w:t>. 38, 141 y 255).</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Como se mencionó, la</w:t>
      </w:r>
      <w:r w:rsidR="00012C70" w:rsidRPr="00D61CDE">
        <w:rPr>
          <w:rFonts w:ascii="Arial" w:hAnsi="Arial" w:cs="Arial"/>
          <w:spacing w:val="4"/>
          <w:sz w:val="24"/>
          <w:szCs w:val="24"/>
        </w:rPr>
        <w:t xml:space="preserve"> </w:t>
      </w:r>
      <w:r w:rsidRPr="00D61CDE">
        <w:rPr>
          <w:rFonts w:ascii="Arial" w:hAnsi="Arial" w:cs="Arial"/>
          <w:spacing w:val="4"/>
          <w:sz w:val="24"/>
          <w:szCs w:val="24"/>
        </w:rPr>
        <w:t>sentenciadora de</w:t>
      </w:r>
      <w:r w:rsidR="00012C70" w:rsidRPr="00D61CDE">
        <w:rPr>
          <w:rFonts w:ascii="Arial" w:hAnsi="Arial" w:cs="Arial"/>
          <w:spacing w:val="4"/>
          <w:sz w:val="24"/>
          <w:szCs w:val="24"/>
        </w:rPr>
        <w:t xml:space="preserve"> </w:t>
      </w:r>
      <w:r w:rsidRPr="00D61CDE">
        <w:rPr>
          <w:rFonts w:ascii="Arial" w:hAnsi="Arial" w:cs="Arial"/>
          <w:spacing w:val="4"/>
          <w:sz w:val="24"/>
          <w:szCs w:val="24"/>
        </w:rPr>
        <w:t>primera instancia declaró ineficaz el traslado suscrito el</w:t>
      </w:r>
      <w:r w:rsidR="00012C70" w:rsidRPr="00D61CDE">
        <w:rPr>
          <w:rFonts w:ascii="Arial" w:hAnsi="Arial" w:cs="Arial"/>
          <w:spacing w:val="4"/>
          <w:sz w:val="24"/>
          <w:szCs w:val="24"/>
        </w:rPr>
        <w:t xml:space="preserve"> </w:t>
      </w:r>
      <w:r w:rsidRPr="00D61CDE">
        <w:rPr>
          <w:rFonts w:ascii="Arial" w:hAnsi="Arial" w:cs="Arial"/>
          <w:spacing w:val="4"/>
          <w:sz w:val="24"/>
          <w:szCs w:val="24"/>
        </w:rPr>
        <w:t>12</w:t>
      </w:r>
      <w:r w:rsidR="00012C70" w:rsidRPr="00D61CDE">
        <w:rPr>
          <w:rFonts w:ascii="Arial" w:hAnsi="Arial" w:cs="Arial"/>
          <w:spacing w:val="4"/>
          <w:sz w:val="24"/>
          <w:szCs w:val="24"/>
        </w:rPr>
        <w:t xml:space="preserve"> </w:t>
      </w:r>
      <w:r w:rsidRPr="00D61CDE">
        <w:rPr>
          <w:rFonts w:ascii="Arial" w:hAnsi="Arial" w:cs="Arial"/>
          <w:spacing w:val="4"/>
          <w:sz w:val="24"/>
          <w:szCs w:val="24"/>
        </w:rPr>
        <w:t>de</w:t>
      </w:r>
      <w:r w:rsidR="00012C70" w:rsidRPr="00D61CDE">
        <w:rPr>
          <w:rFonts w:ascii="Arial" w:hAnsi="Arial" w:cs="Arial"/>
          <w:spacing w:val="4"/>
          <w:sz w:val="24"/>
          <w:szCs w:val="24"/>
        </w:rPr>
        <w:t xml:space="preserve"> </w:t>
      </w:r>
      <w:r w:rsidRPr="00D61CDE">
        <w:rPr>
          <w:rFonts w:ascii="Arial" w:hAnsi="Arial" w:cs="Arial"/>
          <w:spacing w:val="4"/>
          <w:sz w:val="24"/>
          <w:szCs w:val="24"/>
        </w:rPr>
        <w:t>noviembre de</w:t>
      </w:r>
      <w:r w:rsidR="00012C70" w:rsidRPr="00D61CDE">
        <w:rPr>
          <w:rFonts w:ascii="Arial" w:hAnsi="Arial" w:cs="Arial"/>
          <w:spacing w:val="4"/>
          <w:sz w:val="24"/>
          <w:szCs w:val="24"/>
        </w:rPr>
        <w:t xml:space="preserve"> </w:t>
      </w:r>
      <w:r w:rsidRPr="00D61CDE">
        <w:rPr>
          <w:rFonts w:ascii="Arial" w:hAnsi="Arial" w:cs="Arial"/>
          <w:spacing w:val="4"/>
          <w:sz w:val="24"/>
          <w:szCs w:val="24"/>
        </w:rPr>
        <w:t>1998. En</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síntesis, concediendo credibilidad a la versión postulada por el actor, consistente en que Porvenir, fondo que era su empleador, lo presionó para que </w:t>
      </w:r>
      <w:proofErr w:type="gramStart"/>
      <w:r w:rsidRPr="00D61CDE">
        <w:rPr>
          <w:rFonts w:ascii="Arial" w:hAnsi="Arial" w:cs="Arial"/>
          <w:spacing w:val="4"/>
          <w:sz w:val="24"/>
          <w:szCs w:val="24"/>
        </w:rPr>
        <w:t>hacerlo</w:t>
      </w:r>
      <w:proofErr w:type="gramEnd"/>
      <w:r w:rsidRPr="00D61CDE">
        <w:rPr>
          <w:rFonts w:ascii="Arial" w:hAnsi="Arial" w:cs="Arial"/>
          <w:spacing w:val="4"/>
          <w:sz w:val="24"/>
          <w:szCs w:val="24"/>
        </w:rPr>
        <w:t xml:space="preserve"> y exponiendo que, dentro del proceso, esta entidad no desplegó ninguna actividad probatoria dirigida a demostrar que no hubo tal constreñimiento.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Este razonamiento es cuestionado por Porvenir señalando que no es responsable de carga probatoria que se le atribuye; que la valoración de las afirmaciones del accionante no se</w:t>
      </w:r>
      <w:r w:rsidR="00012C70" w:rsidRPr="00D61CDE">
        <w:rPr>
          <w:rFonts w:ascii="Arial" w:hAnsi="Arial" w:cs="Arial"/>
          <w:spacing w:val="4"/>
          <w:sz w:val="24"/>
          <w:szCs w:val="24"/>
        </w:rPr>
        <w:t xml:space="preserve"> </w:t>
      </w:r>
      <w:r w:rsidRPr="00D61CDE">
        <w:rPr>
          <w:rFonts w:ascii="Arial" w:hAnsi="Arial" w:cs="Arial"/>
          <w:spacing w:val="4"/>
          <w:sz w:val="24"/>
          <w:szCs w:val="24"/>
        </w:rPr>
        <w:t>ajusta a las reglas para el</w:t>
      </w:r>
      <w:r w:rsidR="00012C70" w:rsidRPr="00D61CDE">
        <w:rPr>
          <w:rFonts w:ascii="Arial" w:hAnsi="Arial" w:cs="Arial"/>
          <w:spacing w:val="4"/>
          <w:sz w:val="24"/>
          <w:szCs w:val="24"/>
        </w:rPr>
        <w:t xml:space="preserve"> </w:t>
      </w:r>
      <w:r w:rsidRPr="00D61CDE">
        <w:rPr>
          <w:rFonts w:ascii="Arial" w:hAnsi="Arial" w:cs="Arial"/>
          <w:spacing w:val="4"/>
          <w:sz w:val="24"/>
          <w:szCs w:val="24"/>
        </w:rPr>
        <w:t>análisis probatorio; que no existe prueba del supuesto de hecho en el que se funda a</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 la sentencia; y que, contrario a lo concluido, del examen de las probanzas emerge que la voluntad del demandante estuvo dirigida vincularse y permanecer en el régimen de ahorro individual.</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8" w:firstLine="708"/>
        <w:jc w:val="both"/>
        <w:rPr>
          <w:rFonts w:ascii="Arial" w:hAnsi="Arial" w:cs="Arial"/>
          <w:spacing w:val="4"/>
          <w:sz w:val="24"/>
          <w:szCs w:val="24"/>
        </w:rPr>
      </w:pPr>
      <w:r w:rsidRPr="00D61CDE">
        <w:rPr>
          <w:rFonts w:ascii="Arial" w:hAnsi="Arial" w:cs="Arial"/>
          <w:spacing w:val="4"/>
          <w:sz w:val="24"/>
          <w:szCs w:val="24"/>
        </w:rPr>
        <w:t xml:space="preserve">Empezando con lo relativo a la carga probatoria, le asiste razón a Porvenir cuando discute que se le castigue por no haber desplegado algún tipo de actividad tendiente a demostrar que no presionó a Pedro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El razonamiento la a-quo en este aspecto, desconoce que de acuerdo con el artículo 167 del </w:t>
      </w:r>
      <w:proofErr w:type="spellStart"/>
      <w:r w:rsidRPr="00D61CDE">
        <w:rPr>
          <w:rFonts w:ascii="Arial" w:hAnsi="Arial" w:cs="Arial"/>
          <w:spacing w:val="4"/>
          <w:sz w:val="24"/>
          <w:szCs w:val="24"/>
        </w:rPr>
        <w:t>C.G.P</w:t>
      </w:r>
      <w:proofErr w:type="spellEnd"/>
      <w:r w:rsidRPr="00D61CDE">
        <w:rPr>
          <w:rFonts w:ascii="Arial" w:hAnsi="Arial" w:cs="Arial"/>
          <w:spacing w:val="4"/>
          <w:sz w:val="24"/>
          <w:szCs w:val="24"/>
        </w:rPr>
        <w:t>., quien alega la ocurrencia de un supuesto de hecho, está en la obligación de probarlo; de modo que, siendo el actor el que adujo haber sido compelido por su empleador para afiliarse a Porvenir, ha debido hacer uso de los recursos probatorios a su alcance para demostrarlo.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1" w:firstLine="708"/>
        <w:jc w:val="both"/>
        <w:rPr>
          <w:rFonts w:ascii="Arial" w:hAnsi="Arial" w:cs="Arial"/>
          <w:spacing w:val="4"/>
          <w:sz w:val="24"/>
          <w:szCs w:val="24"/>
        </w:rPr>
      </w:pPr>
      <w:r w:rsidRPr="00D61CDE">
        <w:rPr>
          <w:rFonts w:ascii="Arial" w:hAnsi="Arial" w:cs="Arial"/>
          <w:spacing w:val="4"/>
          <w:sz w:val="24"/>
          <w:szCs w:val="24"/>
        </w:rPr>
        <w:t>No se desconoce que de acuerdo con el mismo artículo, según las particularidades del caso, el juez se encuentra facultado para distribuir la carga probatoria y al decretar las pruebas, pudo haberla impuesto en cabeza de</w:t>
      </w:r>
      <w:r w:rsidR="000E5E66" w:rsidRPr="00D61CDE">
        <w:rPr>
          <w:rFonts w:ascii="Arial" w:hAnsi="Arial" w:cs="Arial"/>
          <w:spacing w:val="4"/>
          <w:sz w:val="24"/>
          <w:szCs w:val="24"/>
        </w:rPr>
        <w:t xml:space="preserve"> </w:t>
      </w:r>
      <w:r w:rsidRPr="00D61CDE">
        <w:rPr>
          <w:rFonts w:ascii="Arial" w:hAnsi="Arial" w:cs="Arial"/>
          <w:spacing w:val="4"/>
          <w:sz w:val="24"/>
          <w:szCs w:val="24"/>
        </w:rPr>
        <w:t>Porvenir; sin embargo, ello no aconteció y por lo</w:t>
      </w:r>
      <w:r w:rsidR="00012C70" w:rsidRPr="00D61CDE">
        <w:rPr>
          <w:rFonts w:ascii="Arial" w:hAnsi="Arial" w:cs="Arial"/>
          <w:spacing w:val="4"/>
          <w:sz w:val="24"/>
          <w:szCs w:val="24"/>
        </w:rPr>
        <w:t xml:space="preserve"> </w:t>
      </w:r>
      <w:r w:rsidRPr="00D61CDE">
        <w:rPr>
          <w:rFonts w:ascii="Arial" w:hAnsi="Arial" w:cs="Arial"/>
          <w:spacing w:val="4"/>
          <w:sz w:val="24"/>
          <w:szCs w:val="24"/>
        </w:rPr>
        <w:t>mismo, inviable resulta que tal consideración sea empleada como fundamento para adoptar una decisión en su contra.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Sin perjuicio de lo anterior, debe notarse que la premisa de «no haber presionado, constreñido o compelido al señor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es una negación indefinida, cuya demostración comporta y carga desproporcionada</w:t>
      </w:r>
      <w:r w:rsidR="00012C70" w:rsidRPr="00D61CDE">
        <w:rPr>
          <w:rFonts w:ascii="Arial" w:hAnsi="Arial" w:cs="Arial"/>
          <w:spacing w:val="4"/>
          <w:sz w:val="24"/>
          <w:szCs w:val="24"/>
        </w:rPr>
        <w:t xml:space="preserve"> </w:t>
      </w:r>
      <w:r w:rsidRPr="00D61CDE">
        <w:rPr>
          <w:rFonts w:ascii="Arial" w:hAnsi="Arial" w:cs="Arial"/>
          <w:spacing w:val="4"/>
          <w:sz w:val="24"/>
          <w:szCs w:val="24"/>
        </w:rPr>
        <w:t>que además desconoce el inciso final de la norma precitada, según la cual, está relevada de prueba.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Tampoco luce acertada la forma como fue valorado el interrogatorio de parte del demandante y concretamente, el alcance dado a las </w:t>
      </w:r>
      <w:r w:rsidRPr="00D61CDE">
        <w:rPr>
          <w:rFonts w:ascii="Arial" w:hAnsi="Arial" w:cs="Arial"/>
          <w:spacing w:val="4"/>
          <w:sz w:val="24"/>
          <w:szCs w:val="24"/>
        </w:rPr>
        <w:lastRenderedPageBreak/>
        <w:t xml:space="preserve">manifestaciones del actor sobre las presiones a las que lo habría sometido por Porvenir pues, aunque el inciso final del artículo 191 del </w:t>
      </w:r>
      <w:proofErr w:type="spellStart"/>
      <w:r w:rsidRPr="00D61CDE">
        <w:rPr>
          <w:rFonts w:ascii="Arial" w:hAnsi="Arial" w:cs="Arial"/>
          <w:spacing w:val="4"/>
          <w:sz w:val="24"/>
          <w:szCs w:val="24"/>
        </w:rPr>
        <w:t>C.G.P</w:t>
      </w:r>
      <w:proofErr w:type="spellEnd"/>
      <w:r w:rsidRPr="00D61CDE">
        <w:rPr>
          <w:rFonts w:ascii="Arial" w:hAnsi="Arial" w:cs="Arial"/>
          <w:spacing w:val="4"/>
          <w:sz w:val="24"/>
          <w:szCs w:val="24"/>
        </w:rPr>
        <w:t xml:space="preserve">. admite la valoración de las simples declaraciones de parte y ello es armónico con el artículo 61 del </w:t>
      </w:r>
      <w:proofErr w:type="spellStart"/>
      <w:r w:rsidRPr="00D61CDE">
        <w:rPr>
          <w:rFonts w:ascii="Arial" w:hAnsi="Arial" w:cs="Arial"/>
          <w:spacing w:val="4"/>
          <w:sz w:val="24"/>
          <w:szCs w:val="24"/>
        </w:rPr>
        <w:t>C.P.T.S.S</w:t>
      </w:r>
      <w:proofErr w:type="spellEnd"/>
      <w:r w:rsidRPr="00D61CDE">
        <w:rPr>
          <w:rFonts w:ascii="Arial" w:hAnsi="Arial" w:cs="Arial"/>
          <w:spacing w:val="4"/>
          <w:sz w:val="24"/>
          <w:szCs w:val="24"/>
        </w:rPr>
        <w:t>., ningún razonamiento se expuso para justificar porqué se dio credibilidad a tal supuesto y desconoció flagrantemente el principio conforme</w:t>
      </w:r>
      <w:r w:rsidR="00012C70" w:rsidRPr="00D61CDE">
        <w:rPr>
          <w:rFonts w:ascii="Arial" w:hAnsi="Arial" w:cs="Arial"/>
          <w:spacing w:val="4"/>
          <w:sz w:val="24"/>
          <w:szCs w:val="24"/>
        </w:rPr>
        <w:t xml:space="preserve"> </w:t>
      </w:r>
      <w:r w:rsidRPr="00D61CDE">
        <w:rPr>
          <w:rFonts w:ascii="Arial" w:hAnsi="Arial" w:cs="Arial"/>
          <w:spacing w:val="4"/>
          <w:sz w:val="24"/>
          <w:szCs w:val="24"/>
        </w:rPr>
        <w:t>al cual a nadie le es lícito crearse su propia prueba.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En </w:t>
      </w:r>
      <w:proofErr w:type="spellStart"/>
      <w:r w:rsidRPr="00D61CDE">
        <w:rPr>
          <w:rFonts w:ascii="Arial" w:hAnsi="Arial" w:cs="Arial"/>
          <w:spacing w:val="4"/>
          <w:sz w:val="24"/>
          <w:szCs w:val="24"/>
        </w:rPr>
        <w:t>linea</w:t>
      </w:r>
      <w:proofErr w:type="spellEnd"/>
      <w:r w:rsidRPr="00D61CDE">
        <w:rPr>
          <w:rFonts w:ascii="Arial" w:hAnsi="Arial" w:cs="Arial"/>
          <w:spacing w:val="4"/>
          <w:sz w:val="24"/>
          <w:szCs w:val="24"/>
        </w:rPr>
        <w:t xml:space="preserve"> con lo anterior, es menester advertir que en el plenario no existe prueba y ni siquiera un indicio de que Porvenir hubiere condicionado la permanencia del señor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a que se afiliara al fondo o empleado alguna otra forma de coacción. De modo que, a pesar de la gravedad de la acusación, ningún valor puede tener dentro del presente proceso.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5" w:firstLine="708"/>
        <w:jc w:val="both"/>
        <w:rPr>
          <w:rFonts w:ascii="Arial" w:hAnsi="Arial" w:cs="Arial"/>
          <w:spacing w:val="4"/>
          <w:sz w:val="24"/>
          <w:szCs w:val="24"/>
        </w:rPr>
      </w:pPr>
      <w:r w:rsidRPr="00D61CDE">
        <w:rPr>
          <w:rFonts w:ascii="Arial" w:hAnsi="Arial" w:cs="Arial"/>
          <w:spacing w:val="4"/>
          <w:sz w:val="24"/>
          <w:szCs w:val="24"/>
        </w:rPr>
        <w:t>Así las cosas, es claro que el argumento fundamental de la sentencia apelada no puede admitirse como válido para declarar la ineficacia del traslado de régimen pensional y sin este, en</w:t>
      </w:r>
      <w:r w:rsidR="00012C70" w:rsidRPr="00D61CDE">
        <w:rPr>
          <w:rFonts w:ascii="Arial" w:hAnsi="Arial" w:cs="Arial"/>
          <w:spacing w:val="4"/>
          <w:sz w:val="24"/>
          <w:szCs w:val="24"/>
        </w:rPr>
        <w:t xml:space="preserve"> </w:t>
      </w:r>
      <w:r w:rsidRPr="00D61CDE">
        <w:rPr>
          <w:rFonts w:ascii="Arial" w:hAnsi="Arial" w:cs="Arial"/>
          <w:spacing w:val="4"/>
          <w:sz w:val="24"/>
          <w:szCs w:val="24"/>
        </w:rPr>
        <w:t>principio, lo</w:t>
      </w:r>
      <w:r w:rsidR="00012C70" w:rsidRPr="00D61CDE">
        <w:rPr>
          <w:rFonts w:ascii="Arial" w:hAnsi="Arial" w:cs="Arial"/>
          <w:spacing w:val="4"/>
          <w:sz w:val="24"/>
          <w:szCs w:val="24"/>
        </w:rPr>
        <w:t xml:space="preserve"> </w:t>
      </w:r>
      <w:r w:rsidRPr="00D61CDE">
        <w:rPr>
          <w:rFonts w:ascii="Arial" w:hAnsi="Arial" w:cs="Arial"/>
          <w:spacing w:val="4"/>
          <w:sz w:val="24"/>
          <w:szCs w:val="24"/>
        </w:rPr>
        <w:t>procedente sería su revocatoria. Allende, advirtiendo que contrario a lo dicho en la alzada, del examen de las probanzas no emerge que el traslado revisado hubiese sido un acto libre y voluntario del demandante y que “el juez de segundo grado no está atado a los razonamientos jurídicos y fácticos que hubiere plasmado su inferior, pudiendo arribar a la misma conclusión del primero con</w:t>
      </w:r>
      <w:r w:rsidR="00012C70" w:rsidRPr="00D61CDE">
        <w:rPr>
          <w:rFonts w:ascii="Arial" w:hAnsi="Arial" w:cs="Arial"/>
          <w:spacing w:val="4"/>
          <w:sz w:val="24"/>
          <w:szCs w:val="24"/>
        </w:rPr>
        <w:t xml:space="preserve"> </w:t>
      </w:r>
      <w:r w:rsidRPr="00D61CDE">
        <w:rPr>
          <w:rFonts w:ascii="Arial" w:hAnsi="Arial" w:cs="Arial"/>
          <w:spacing w:val="4"/>
          <w:sz w:val="24"/>
          <w:szCs w:val="24"/>
        </w:rPr>
        <w:t>fundamento en consideraciones aún distintas a las que aquél para tal efecto adoptó” (CSJ</w:t>
      </w:r>
      <w:r w:rsidR="000E5E66" w:rsidRPr="00D61CDE">
        <w:rPr>
          <w:rFonts w:ascii="Arial" w:hAnsi="Arial" w:cs="Arial"/>
          <w:spacing w:val="4"/>
          <w:sz w:val="24"/>
          <w:szCs w:val="24"/>
        </w:rPr>
        <w:t xml:space="preserve"> </w:t>
      </w:r>
      <w:proofErr w:type="spellStart"/>
      <w:r w:rsidRPr="00D61CDE">
        <w:rPr>
          <w:rFonts w:ascii="Arial" w:hAnsi="Arial" w:cs="Arial"/>
          <w:spacing w:val="4"/>
          <w:sz w:val="24"/>
          <w:szCs w:val="24"/>
        </w:rPr>
        <w:t>SL</w:t>
      </w:r>
      <w:proofErr w:type="spellEnd"/>
      <w:r w:rsidRPr="00D61CDE">
        <w:rPr>
          <w:rFonts w:ascii="Arial" w:hAnsi="Arial" w:cs="Arial"/>
          <w:spacing w:val="4"/>
          <w:sz w:val="24"/>
          <w:szCs w:val="24"/>
        </w:rPr>
        <w:t>, 30 ago. 2000, rad. 13813), por las razones que continuación se presentan, la decisión será confirmada.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Recapitulando, el otro supuesto fáctico invocado por el demandante para sustentar sus pretensiones, consistió en que no recibió la asesoría adecuada para trasladarse de régimen pensional. Postulado que fue descartado en la decisión de primera instancia, por considerar que durante el interrogatorio de parte el actor mostró conocer el sistema general de pensiones, aceptó que fue ‘asesor comercial’ de Porvenir, reconoció que recibía capacitaciones en la materia y que el acto de traslado se dio después de tres años de estar laborando en la entidad.</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Pues bien, revisado acuciosamente el interrogatorio de parte rendido por Pedro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se encuentran diversas situaciones que conducen a una conclusión totalmente opuesta.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En primer lugar, de los asertos del actor no es factible inferir que conociera el sistema general de pensiones, pues como se indicó en el recuento normativo, este se compone por dos regímenes y las preguntas realizadas por Porvenir y por Old Mutual estuvieron orientadas principalmente a indagar lo conocido sobre del régimen de ahorro individual con solidaridad. La única pregunta concreta que se le hizo sobre el régimen de prima media, fue cuando se le consultó por lo que era “régimen de transición”, y si bien lo explicó acertadamente, con más o menos precisión, con eso no puede darse por descontado que conociera las demás características del mismo, las condiciones acceso o sus riesgos.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lastRenderedPageBreak/>
        <w:t>De otra parte, aunque el demandante también acertó al enlistar algunas características del régimen de ahorro individual con solidaridad, como son que en éste los afiliados tienen una cuenta propia, que los dineros de la cuenta generan rendimientos, que el valor de la prestación depende del capital y que se puede obtener una pensión anticipada, también aclaró que no sabía lo que esto significaba en la realidad, que la información fue superficial, suministrada con una finalidad netamente comercial para que, como asesor, hiciera dinero afiliando masivamente a los trabajadores y que nunca se le brindó una</w:t>
      </w:r>
      <w:r w:rsidR="000E5E66" w:rsidRPr="00D61CDE">
        <w:rPr>
          <w:rFonts w:ascii="Arial" w:hAnsi="Arial" w:cs="Arial"/>
          <w:spacing w:val="4"/>
          <w:sz w:val="24"/>
          <w:szCs w:val="24"/>
        </w:rPr>
        <w:t xml:space="preserve"> </w:t>
      </w:r>
      <w:r w:rsidRPr="00D61CDE">
        <w:rPr>
          <w:rFonts w:ascii="Arial" w:hAnsi="Arial" w:cs="Arial"/>
          <w:spacing w:val="4"/>
          <w:sz w:val="24"/>
          <w:szCs w:val="24"/>
        </w:rPr>
        <w:t>herramienta que le permitiera aterrizar tales posibilidades en un caso concreto, ni se le dijo cuáles eran las condiciones en términos económicos para lograr una pensión, su monto o cómo .</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Por consiguiente, mal puede concluirse que el demandante conocía el sistema de pensiones, pues a lo sumo, puede afirmarse que sabía algunos aspectos del régimen de ahorro individual y según lo probado, lo que era el régimen de transición, pero no el régimen de prima, ni sus condiciones de acceso o las implicaciones del cambio.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En segundo lugar, aunque es cierto que el señor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aceptó</w:t>
      </w:r>
      <w:r w:rsidR="00012C70" w:rsidRPr="00D61CDE">
        <w:rPr>
          <w:rFonts w:ascii="Arial" w:hAnsi="Arial" w:cs="Arial"/>
          <w:spacing w:val="4"/>
          <w:sz w:val="24"/>
          <w:szCs w:val="24"/>
        </w:rPr>
        <w:t xml:space="preserve"> </w:t>
      </w:r>
      <w:r w:rsidRPr="00D61CDE">
        <w:rPr>
          <w:rFonts w:ascii="Arial" w:hAnsi="Arial" w:cs="Arial"/>
          <w:spacing w:val="4"/>
          <w:sz w:val="24"/>
          <w:szCs w:val="24"/>
        </w:rPr>
        <w:t>que era asesor comercial de Porvenir cuando se afilió a</w:t>
      </w:r>
      <w:r w:rsidR="00012C70" w:rsidRPr="00D61CDE">
        <w:rPr>
          <w:rFonts w:ascii="Arial" w:hAnsi="Arial" w:cs="Arial"/>
          <w:spacing w:val="4"/>
          <w:sz w:val="24"/>
          <w:szCs w:val="24"/>
        </w:rPr>
        <w:t xml:space="preserve"> </w:t>
      </w:r>
      <w:r w:rsidRPr="00D61CDE">
        <w:rPr>
          <w:rFonts w:ascii="Arial" w:hAnsi="Arial" w:cs="Arial"/>
          <w:spacing w:val="4"/>
          <w:sz w:val="24"/>
          <w:szCs w:val="24"/>
        </w:rPr>
        <w:t>esa</w:t>
      </w:r>
      <w:r w:rsidR="00012C70" w:rsidRPr="00D61CDE">
        <w:rPr>
          <w:rFonts w:ascii="Arial" w:hAnsi="Arial" w:cs="Arial"/>
          <w:spacing w:val="4"/>
          <w:sz w:val="24"/>
          <w:szCs w:val="24"/>
        </w:rPr>
        <w:t xml:space="preserve"> </w:t>
      </w:r>
      <w:r w:rsidRPr="00D61CDE">
        <w:rPr>
          <w:rFonts w:ascii="Arial" w:hAnsi="Arial" w:cs="Arial"/>
          <w:spacing w:val="4"/>
          <w:sz w:val="24"/>
          <w:szCs w:val="24"/>
        </w:rPr>
        <w:t>misma entidad, no debe perderse de vista que esta circunstancia no releva al fondo de las obligaciones que le asisten frente a él, en materia de información como consumidor o usuario del sistema de pensiones. Así como tampoco implica que él tuviere o hubiere recibido la información idónea para adoptar una decisión que pueda pregonarse libre y voluntaria, máxime si se tiene en cuenta la complejidad y especialidad de la materia.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Y en tercer lugar, también se tiene que el actor reconoció que como asesor comercial de Porvenir recibía capacitaciones del fondo y que el traslado fue después de los 3 años de estar laborando; pero como la confesión no es divisible y debe aceptarse con las aclaraciones, modificaciones y explicaciones que se hagan (art. 196 </w:t>
      </w:r>
      <w:proofErr w:type="spellStart"/>
      <w:r w:rsidRPr="00D61CDE">
        <w:rPr>
          <w:rFonts w:ascii="Arial" w:hAnsi="Arial" w:cs="Arial"/>
          <w:spacing w:val="4"/>
          <w:sz w:val="24"/>
          <w:szCs w:val="24"/>
        </w:rPr>
        <w:t>C.G.P</w:t>
      </w:r>
      <w:proofErr w:type="spellEnd"/>
      <w:r w:rsidRPr="00D61CDE">
        <w:rPr>
          <w:rFonts w:ascii="Arial" w:hAnsi="Arial" w:cs="Arial"/>
          <w:spacing w:val="4"/>
          <w:sz w:val="24"/>
          <w:szCs w:val="24"/>
        </w:rPr>
        <w:t>.), no puede obviarse que -como se anticipó- al respecto apuntó que la información recibida no fue profunda, ni completa (con los pros y contras de ambos regímenes), tanto así, que nunca tuvo certeza de lo que implicaban uno u otro, dónde era que le convenía estar afiliado y que asesoraba sin tener los conocimientos.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Conteste con lo anterior se encuentra que, aunque al preguntársele por algunos términos propios del sistema de pensiones, el</w:t>
      </w:r>
      <w:r w:rsidR="00012C70" w:rsidRPr="00D61CDE">
        <w:rPr>
          <w:rFonts w:ascii="Arial" w:hAnsi="Arial" w:cs="Arial"/>
          <w:spacing w:val="4"/>
          <w:sz w:val="24"/>
          <w:szCs w:val="24"/>
        </w:rPr>
        <w:t xml:space="preserve"> </w:t>
      </w:r>
      <w:r w:rsidRPr="00D61CDE">
        <w:rPr>
          <w:rFonts w:ascii="Arial" w:hAnsi="Arial" w:cs="Arial"/>
          <w:spacing w:val="4"/>
          <w:sz w:val="24"/>
          <w:szCs w:val="24"/>
        </w:rPr>
        <w:t>demandante dijo conocerlos e incluso se atrevió a explicarlos mostrando cierto grado de seguridad; lo que en</w:t>
      </w:r>
      <w:r w:rsidR="00012C70" w:rsidRPr="00D61CDE">
        <w:rPr>
          <w:rFonts w:ascii="Arial" w:hAnsi="Arial" w:cs="Arial"/>
          <w:spacing w:val="4"/>
          <w:sz w:val="24"/>
          <w:szCs w:val="24"/>
        </w:rPr>
        <w:t xml:space="preserve"> </w:t>
      </w:r>
      <w:r w:rsidRPr="00D61CDE">
        <w:rPr>
          <w:rFonts w:ascii="Arial" w:hAnsi="Arial" w:cs="Arial"/>
          <w:spacing w:val="4"/>
          <w:sz w:val="24"/>
          <w:szCs w:val="24"/>
        </w:rPr>
        <w:t>verdad pasó, fue que puso en</w:t>
      </w:r>
      <w:r w:rsidR="00012C70" w:rsidRPr="00D61CDE">
        <w:rPr>
          <w:rFonts w:ascii="Arial" w:hAnsi="Arial" w:cs="Arial"/>
          <w:spacing w:val="4"/>
          <w:sz w:val="24"/>
          <w:szCs w:val="24"/>
        </w:rPr>
        <w:t xml:space="preserve"> </w:t>
      </w:r>
      <w:r w:rsidRPr="00D61CDE">
        <w:rPr>
          <w:rFonts w:ascii="Arial" w:hAnsi="Arial" w:cs="Arial"/>
          <w:spacing w:val="4"/>
          <w:sz w:val="24"/>
          <w:szCs w:val="24"/>
        </w:rPr>
        <w:t>evidencia su</w:t>
      </w:r>
      <w:r w:rsidR="00012C70" w:rsidRPr="00D61CDE">
        <w:rPr>
          <w:rFonts w:ascii="Arial" w:hAnsi="Arial" w:cs="Arial"/>
          <w:spacing w:val="4"/>
          <w:sz w:val="24"/>
          <w:szCs w:val="24"/>
        </w:rPr>
        <w:t xml:space="preserve"> </w:t>
      </w:r>
      <w:r w:rsidRPr="00D61CDE">
        <w:rPr>
          <w:rFonts w:ascii="Arial" w:hAnsi="Arial" w:cs="Arial"/>
          <w:spacing w:val="4"/>
          <w:sz w:val="24"/>
          <w:szCs w:val="24"/>
        </w:rPr>
        <w:t>desconocimiento en el tema, pese a haber laborado entre 1994 y 2005 en</w:t>
      </w:r>
    </w:p>
    <w:p w:rsidR="00D70503" w:rsidRPr="00D61CDE" w:rsidRDefault="002A5D1B" w:rsidP="001A211A">
      <w:pPr>
        <w:pStyle w:val="Textoindependiente"/>
        <w:spacing w:line="276" w:lineRule="auto"/>
        <w:ind w:left="139" w:right="374"/>
        <w:rPr>
          <w:rFonts w:ascii="Arial" w:hAnsi="Arial" w:cs="Arial"/>
          <w:spacing w:val="4"/>
          <w:sz w:val="24"/>
          <w:szCs w:val="24"/>
        </w:rPr>
      </w:pPr>
      <w:r w:rsidRPr="00D61CDE">
        <w:rPr>
          <w:rFonts w:ascii="Arial" w:hAnsi="Arial" w:cs="Arial"/>
          <w:spacing w:val="4"/>
          <w:sz w:val="24"/>
          <w:szCs w:val="24"/>
        </w:rPr>
        <w:t xml:space="preserve">Porvenir y otros años más con una intermediaria de seguros que ofertaba las afiliaciones de </w:t>
      </w:r>
      <w:proofErr w:type="spellStart"/>
      <w:r w:rsidRPr="00D61CDE">
        <w:rPr>
          <w:rFonts w:ascii="Arial" w:hAnsi="Arial" w:cs="Arial"/>
          <w:spacing w:val="4"/>
          <w:sz w:val="24"/>
          <w:szCs w:val="24"/>
        </w:rPr>
        <w:t>Skandia</w:t>
      </w:r>
      <w:proofErr w:type="spellEnd"/>
      <w:r w:rsidRPr="00D61CDE">
        <w:rPr>
          <w:rFonts w:ascii="Arial" w:hAnsi="Arial" w:cs="Arial"/>
          <w:spacing w:val="4"/>
          <w:sz w:val="24"/>
          <w:szCs w:val="24"/>
        </w:rPr>
        <w:t>.</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2" w:firstLine="708"/>
        <w:jc w:val="both"/>
        <w:rPr>
          <w:rFonts w:ascii="Arial" w:hAnsi="Arial" w:cs="Arial"/>
          <w:spacing w:val="4"/>
          <w:sz w:val="24"/>
          <w:szCs w:val="24"/>
        </w:rPr>
      </w:pPr>
      <w:r w:rsidRPr="00D61CDE">
        <w:rPr>
          <w:rFonts w:ascii="Arial" w:hAnsi="Arial" w:cs="Arial"/>
          <w:spacing w:val="4"/>
          <w:sz w:val="24"/>
          <w:szCs w:val="24"/>
        </w:rPr>
        <w:t xml:space="preserve">Para ejemplificar lo anterior, basta considerar que el señor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confunde un cálculo actuarial con una proyección pensional; que alude a la renta vitalicia como una modalidad de pensión exclusiva de Colpensiones; o </w:t>
      </w:r>
      <w:r w:rsidRPr="00D61CDE">
        <w:rPr>
          <w:rFonts w:ascii="Arial" w:hAnsi="Arial" w:cs="Arial"/>
          <w:spacing w:val="4"/>
          <w:sz w:val="24"/>
          <w:szCs w:val="24"/>
        </w:rPr>
        <w:lastRenderedPageBreak/>
        <w:t>que explica la pensión de retiro programado como la que dan durante un tiempo por tener menos de 500 millones ahorrados.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En resumen hasta aquí, el interrogatorio de parte absuelto por Pedro </w:t>
      </w:r>
      <w:proofErr w:type="spellStart"/>
      <w:r w:rsidRPr="00D61CDE">
        <w:rPr>
          <w:rFonts w:ascii="Arial" w:hAnsi="Arial" w:cs="Arial"/>
          <w:spacing w:val="4"/>
          <w:sz w:val="24"/>
          <w:szCs w:val="24"/>
        </w:rPr>
        <w:t>Ome</w:t>
      </w:r>
      <w:proofErr w:type="spellEnd"/>
      <w:r w:rsidRPr="00D61CDE">
        <w:rPr>
          <w:rFonts w:ascii="Arial" w:hAnsi="Arial" w:cs="Arial"/>
          <w:spacing w:val="4"/>
          <w:sz w:val="24"/>
          <w:szCs w:val="24"/>
        </w:rPr>
        <w:t xml:space="preserve"> Suárez no prueba que al momento de suscribir la solicitud de traslado de régimen pensional, él tuviere conocimiento cierto, completo y suficiente sobre las características, condiciones, acceso, efectos y riesgos de cada uno de los regímenes pensionales.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2" w:firstLine="708"/>
        <w:jc w:val="both"/>
        <w:rPr>
          <w:rFonts w:ascii="Arial" w:hAnsi="Arial" w:cs="Arial"/>
          <w:spacing w:val="4"/>
          <w:sz w:val="24"/>
          <w:szCs w:val="24"/>
        </w:rPr>
      </w:pPr>
      <w:r w:rsidRPr="00D61CDE">
        <w:rPr>
          <w:rFonts w:ascii="Arial" w:hAnsi="Arial" w:cs="Arial"/>
          <w:spacing w:val="4"/>
          <w:sz w:val="24"/>
          <w:szCs w:val="24"/>
        </w:rPr>
        <w:t xml:space="preserve">Zanjado lo anterior, al revisar las restantes probanzas allegadas por Porvenir para probar el cumplimiento del deber de información, ha de decirse que son de tipo documental y consisten, entre otros, en unas copias del formulario de afiliación, reportes de cotizaciones, una certificación de afiliación y la consulta de afiliación del demandante en el </w:t>
      </w:r>
      <w:proofErr w:type="spellStart"/>
      <w:r w:rsidRPr="00D61CDE">
        <w:rPr>
          <w:rFonts w:ascii="Arial" w:hAnsi="Arial" w:cs="Arial"/>
          <w:spacing w:val="4"/>
          <w:sz w:val="24"/>
          <w:szCs w:val="24"/>
        </w:rPr>
        <w:t>SIAFP</w:t>
      </w:r>
      <w:proofErr w:type="spellEnd"/>
      <w:r w:rsidRPr="00D61CDE">
        <w:rPr>
          <w:rFonts w:ascii="Arial" w:hAnsi="Arial" w:cs="Arial"/>
          <w:spacing w:val="4"/>
          <w:sz w:val="24"/>
          <w:szCs w:val="24"/>
        </w:rPr>
        <w:t xml:space="preserve"> (</w:t>
      </w:r>
      <w:proofErr w:type="spellStart"/>
      <w:r w:rsidRPr="00D61CDE">
        <w:rPr>
          <w:rFonts w:ascii="Arial" w:hAnsi="Arial" w:cs="Arial"/>
          <w:spacing w:val="4"/>
          <w:sz w:val="24"/>
          <w:szCs w:val="24"/>
        </w:rPr>
        <w:t>fols</w:t>
      </w:r>
      <w:proofErr w:type="spellEnd"/>
      <w:r w:rsidRPr="00D61CDE">
        <w:rPr>
          <w:rFonts w:ascii="Arial" w:hAnsi="Arial" w:cs="Arial"/>
          <w:spacing w:val="4"/>
          <w:sz w:val="24"/>
          <w:szCs w:val="24"/>
        </w:rPr>
        <w:t>. 219 a 256)</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Examinados tales documentos, se considera que los mismos no</w:t>
      </w:r>
      <w:r w:rsidR="00012C70" w:rsidRPr="00D61CDE">
        <w:rPr>
          <w:rFonts w:ascii="Arial" w:hAnsi="Arial" w:cs="Arial"/>
          <w:spacing w:val="4"/>
          <w:sz w:val="24"/>
          <w:szCs w:val="24"/>
        </w:rPr>
        <w:t xml:space="preserve"> </w:t>
      </w:r>
      <w:r w:rsidRPr="00D61CDE">
        <w:rPr>
          <w:rFonts w:ascii="Arial" w:hAnsi="Arial" w:cs="Arial"/>
          <w:spacing w:val="4"/>
          <w:sz w:val="24"/>
          <w:szCs w:val="24"/>
        </w:rPr>
        <w:t>evidencian ningún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1" w:firstLine="708"/>
        <w:jc w:val="both"/>
        <w:rPr>
          <w:rFonts w:ascii="Arial" w:hAnsi="Arial" w:cs="Arial"/>
          <w:spacing w:val="4"/>
          <w:sz w:val="24"/>
          <w:szCs w:val="24"/>
        </w:rPr>
      </w:pPr>
      <w:r w:rsidRPr="00D61CDE">
        <w:rPr>
          <w:rFonts w:ascii="Arial" w:hAnsi="Arial" w:cs="Arial"/>
          <w:spacing w:val="4"/>
          <w:sz w:val="24"/>
          <w:szCs w:val="24"/>
        </w:rPr>
        <w:t>De otra parte, como se dijo, la simple firma del formulario de afiliación</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 al igual que las afirmaciones consignadas en los formatos pre-impresos, son insuficientes para dar por demostrado el deber de</w:t>
      </w:r>
      <w:r w:rsidR="00012C70" w:rsidRPr="00D61CDE">
        <w:rPr>
          <w:rFonts w:ascii="Arial" w:hAnsi="Arial" w:cs="Arial"/>
          <w:spacing w:val="4"/>
          <w:sz w:val="24"/>
          <w:szCs w:val="24"/>
        </w:rPr>
        <w:t xml:space="preserve"> </w:t>
      </w:r>
      <w:r w:rsidRPr="00D61CDE">
        <w:rPr>
          <w:rFonts w:ascii="Arial" w:hAnsi="Arial" w:cs="Arial"/>
          <w:spacing w:val="4"/>
          <w:sz w:val="24"/>
          <w:szCs w:val="24"/>
        </w:rPr>
        <w:t>información. Esos formalismos, a lo sumo, acreditan un consentimiento sin vicios, pero no una decisión debidamente informada, habida consideración</w:t>
      </w:r>
      <w:r w:rsidR="00012C70" w:rsidRPr="00D61CDE">
        <w:rPr>
          <w:rFonts w:ascii="Arial" w:hAnsi="Arial" w:cs="Arial"/>
          <w:spacing w:val="4"/>
          <w:sz w:val="24"/>
          <w:szCs w:val="24"/>
        </w:rPr>
        <w:t xml:space="preserve"> </w:t>
      </w:r>
      <w:r w:rsidRPr="00D61CDE">
        <w:rPr>
          <w:rFonts w:ascii="Arial" w:hAnsi="Arial" w:cs="Arial"/>
          <w:spacing w:val="4"/>
          <w:sz w:val="24"/>
          <w:szCs w:val="24"/>
        </w:rPr>
        <w:t>de que dicho</w:t>
      </w:r>
      <w:r w:rsidR="00012C70" w:rsidRPr="00D61CDE">
        <w:rPr>
          <w:rFonts w:ascii="Arial" w:hAnsi="Arial" w:cs="Arial"/>
          <w:spacing w:val="4"/>
          <w:sz w:val="24"/>
          <w:szCs w:val="24"/>
        </w:rPr>
        <w:t xml:space="preserve"> </w:t>
      </w:r>
      <w:r w:rsidRPr="00D61CDE">
        <w:rPr>
          <w:rFonts w:ascii="Arial" w:hAnsi="Arial" w:cs="Arial"/>
          <w:spacing w:val="4"/>
          <w:sz w:val="24"/>
          <w:szCs w:val="24"/>
        </w:rPr>
        <w:t>documento no acredita que efectivamente el acto de traslado estuvo precedido de la ilustración suficiente a la afiliada,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6" w:firstLine="708"/>
        <w:jc w:val="both"/>
        <w:rPr>
          <w:rFonts w:ascii="Arial" w:hAnsi="Arial" w:cs="Arial"/>
          <w:spacing w:val="4"/>
          <w:sz w:val="24"/>
          <w:szCs w:val="24"/>
        </w:rPr>
      </w:pPr>
      <w:r w:rsidRPr="00D61CDE">
        <w:rPr>
          <w:rFonts w:ascii="Arial" w:hAnsi="Arial" w:cs="Arial"/>
          <w:spacing w:val="4"/>
          <w:sz w:val="24"/>
          <w:szCs w:val="24"/>
        </w:rPr>
        <w:t>En ese orden, con fundamento en</w:t>
      </w:r>
      <w:r w:rsidR="00012C70" w:rsidRPr="00D61CDE">
        <w:rPr>
          <w:rFonts w:ascii="Arial" w:hAnsi="Arial" w:cs="Arial"/>
          <w:spacing w:val="4"/>
          <w:sz w:val="24"/>
          <w:szCs w:val="24"/>
        </w:rPr>
        <w:t xml:space="preserve"> </w:t>
      </w:r>
      <w:r w:rsidRPr="00D61CDE">
        <w:rPr>
          <w:rFonts w:ascii="Arial" w:hAnsi="Arial" w:cs="Arial"/>
          <w:spacing w:val="4"/>
          <w:sz w:val="24"/>
          <w:szCs w:val="24"/>
        </w:rPr>
        <w:t>razones distintas, esta Sala arriba a</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la misma decisión adoptada por la jueza A Quo, de fulminar la declaración de ineficacia del traslado de régimen pensional, pues como se dijo basta la mera ausencia de información a la afiliada, clara, precisa y completa, para que se produzca la irregularidad del acto de cambio de régimen pensional, situación que fue exactamente la que ocurrió en el presente caso; por ello no queda la menor duda que, en este caso, al no haberse arrimado al proceso prueba idónea y completa de la información que le debió brindar la </w:t>
      </w:r>
      <w:proofErr w:type="spellStart"/>
      <w:r w:rsidRPr="00D61CDE">
        <w:rPr>
          <w:rFonts w:ascii="Arial" w:hAnsi="Arial" w:cs="Arial"/>
          <w:spacing w:val="4"/>
          <w:sz w:val="24"/>
          <w:szCs w:val="24"/>
        </w:rPr>
        <w:t>A.F.P</w:t>
      </w:r>
      <w:proofErr w:type="spellEnd"/>
      <w:r w:rsidRPr="00D61CDE">
        <w:rPr>
          <w:rFonts w:ascii="Arial" w:hAnsi="Arial" w:cs="Arial"/>
          <w:spacing w:val="4"/>
          <w:sz w:val="24"/>
          <w:szCs w:val="24"/>
        </w:rPr>
        <w:t xml:space="preserve">. Porvenir al demandante en el traslado que este realizó en noviembre de 1998 - carga probatoria que como quedó visto era de la AFP - , la consecuencia no puede ser otra diferente a la de declarar ineficaz tal acto y, por tanto, tener como </w:t>
      </w:r>
      <w:r w:rsidRPr="00D61CDE">
        <w:rPr>
          <w:rFonts w:ascii="Arial" w:hAnsi="Arial" w:cs="Arial"/>
          <w:spacing w:val="4"/>
          <w:sz w:val="24"/>
          <w:szCs w:val="24"/>
        </w:rPr>
        <w:lastRenderedPageBreak/>
        <w:t>vinculación válida la que tenía la demandante con el Régimen de Prima Media con Prestación definida.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t xml:space="preserve">Igual situación se predica respecto de la AFP </w:t>
      </w:r>
      <w:proofErr w:type="spellStart"/>
      <w:r w:rsidRPr="00D61CDE">
        <w:rPr>
          <w:rFonts w:ascii="Arial" w:hAnsi="Arial" w:cs="Arial"/>
          <w:spacing w:val="4"/>
          <w:sz w:val="24"/>
          <w:szCs w:val="24"/>
        </w:rPr>
        <w:t>Skandia</w:t>
      </w:r>
      <w:proofErr w:type="spellEnd"/>
      <w:r w:rsidRPr="00D61CDE">
        <w:rPr>
          <w:rFonts w:ascii="Arial" w:hAnsi="Arial" w:cs="Arial"/>
          <w:spacing w:val="4"/>
          <w:sz w:val="24"/>
          <w:szCs w:val="24"/>
        </w:rPr>
        <w:t>, hoy Old Mutual, quien tampoco acreditó que al momento de la afiliación a esa entidad, le brindara a la activa la información relacionada con las ventajas y desventajas que existen en cada uno de los regímenes pensionales, las proyecciones relativas a la mesada pensional, la incidencia de las fluctuaciones del mercado en el valor de esta, la densidad mínima de cotizaciones, la edad en la que podría eventualmente disfrutar de la prestación pensional o de la</w:t>
      </w:r>
      <w:r w:rsidR="00012C70" w:rsidRPr="00D61CDE">
        <w:rPr>
          <w:rFonts w:ascii="Arial" w:hAnsi="Arial" w:cs="Arial"/>
          <w:spacing w:val="4"/>
          <w:sz w:val="24"/>
          <w:szCs w:val="24"/>
        </w:rPr>
        <w:t xml:space="preserve"> </w:t>
      </w:r>
      <w:r w:rsidRPr="00D61CDE">
        <w:rPr>
          <w:rFonts w:ascii="Arial" w:hAnsi="Arial" w:cs="Arial"/>
          <w:spacing w:val="4"/>
          <w:sz w:val="24"/>
          <w:szCs w:val="24"/>
        </w:rPr>
        <w:t>posibilidad de hacer uso de la facultad de retracto.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Esto que se dice conlleva entonces a que las cosas deben ser restituidas al estado anterior (art. 1746 del CCC), esto es, que la</w:t>
      </w:r>
      <w:r w:rsidR="00012C70" w:rsidRPr="00D61CDE">
        <w:rPr>
          <w:rFonts w:ascii="Arial" w:hAnsi="Arial" w:cs="Arial"/>
          <w:spacing w:val="4"/>
          <w:sz w:val="24"/>
          <w:szCs w:val="24"/>
        </w:rPr>
        <w:t xml:space="preserve"> </w:t>
      </w:r>
      <w:r w:rsidRPr="00D61CDE">
        <w:rPr>
          <w:rFonts w:ascii="Arial" w:hAnsi="Arial" w:cs="Arial"/>
          <w:spacing w:val="4"/>
          <w:sz w:val="24"/>
          <w:szCs w:val="24"/>
        </w:rPr>
        <w:t>afiliación de</w:t>
      </w:r>
      <w:r w:rsidR="00012C70" w:rsidRPr="00D61CDE">
        <w:rPr>
          <w:rFonts w:ascii="Arial" w:hAnsi="Arial" w:cs="Arial"/>
          <w:spacing w:val="4"/>
          <w:sz w:val="24"/>
          <w:szCs w:val="24"/>
        </w:rPr>
        <w:t xml:space="preserve"> </w:t>
      </w:r>
      <w:r w:rsidRPr="00D61CDE">
        <w:rPr>
          <w:rFonts w:ascii="Arial" w:hAnsi="Arial" w:cs="Arial"/>
          <w:spacing w:val="4"/>
          <w:sz w:val="24"/>
          <w:szCs w:val="24"/>
        </w:rPr>
        <w:t>la demandante con Colpensiones, no solo nunca sufrió alteración alguna, sino que la entidad demandada que actualmente maneja su cuenta de ahorro individual, esto es, Old Mutual S.A., debe devolver a la administradora del Régimen de Prima Media – Colpensiones, todas las cotizaciones, con sus</w:t>
      </w:r>
      <w:r w:rsidR="000E5E66" w:rsidRPr="00D61CDE">
        <w:rPr>
          <w:rFonts w:ascii="Arial" w:hAnsi="Arial" w:cs="Arial"/>
          <w:spacing w:val="4"/>
          <w:sz w:val="24"/>
          <w:szCs w:val="24"/>
        </w:rPr>
        <w:t xml:space="preserve"> </w:t>
      </w:r>
      <w:r w:rsidRPr="00D61CDE">
        <w:rPr>
          <w:rFonts w:ascii="Arial" w:hAnsi="Arial" w:cs="Arial"/>
          <w:spacing w:val="4"/>
          <w:sz w:val="24"/>
          <w:szCs w:val="24"/>
        </w:rPr>
        <w:t>rendimientos, gastos de administración (incluyendo lo</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correspondiente a seguros previsionales, entre otros) y las sumas de dinero que retiene para el fondo de garantía de pensión mínima, y Colpensiones a recibirlos. Ratifica lo anterior, y en especial sobre los gastos de administración, lo que sostiene la Sala de Casación Laboral </w:t>
      </w:r>
      <w:proofErr w:type="gramStart"/>
      <w:r w:rsidRPr="00D61CDE">
        <w:rPr>
          <w:rFonts w:ascii="Arial" w:hAnsi="Arial" w:cs="Arial"/>
          <w:spacing w:val="4"/>
          <w:sz w:val="24"/>
          <w:szCs w:val="24"/>
        </w:rPr>
        <w:t>de la</w:t>
      </w:r>
      <w:proofErr w:type="gramEnd"/>
      <w:r w:rsidRPr="00D61CDE">
        <w:rPr>
          <w:rFonts w:ascii="Arial" w:hAnsi="Arial" w:cs="Arial"/>
          <w:spacing w:val="4"/>
          <w:sz w:val="24"/>
          <w:szCs w:val="24"/>
        </w:rPr>
        <w:t xml:space="preserve"> H. Corte Suprema en la sentencia </w:t>
      </w:r>
      <w:proofErr w:type="spellStart"/>
      <w:r w:rsidRPr="00D61CDE">
        <w:rPr>
          <w:rFonts w:ascii="Arial" w:hAnsi="Arial" w:cs="Arial"/>
          <w:b/>
          <w:spacing w:val="4"/>
          <w:sz w:val="24"/>
          <w:szCs w:val="24"/>
        </w:rPr>
        <w:t>SL1421</w:t>
      </w:r>
      <w:proofErr w:type="spellEnd"/>
      <w:r w:rsidRPr="00D61CDE">
        <w:rPr>
          <w:rFonts w:ascii="Arial" w:hAnsi="Arial" w:cs="Arial"/>
          <w:b/>
          <w:spacing w:val="4"/>
          <w:sz w:val="24"/>
          <w:szCs w:val="24"/>
        </w:rPr>
        <w:t xml:space="preserve">- 2019, Rad. 56174 </w:t>
      </w:r>
      <w:r w:rsidRPr="00D61CDE">
        <w:rPr>
          <w:rFonts w:ascii="Arial" w:hAnsi="Arial" w:cs="Arial"/>
          <w:spacing w:val="4"/>
          <w:sz w:val="24"/>
          <w:szCs w:val="24"/>
        </w:rPr>
        <w:t>en la cual se dice lo siguiente:</w:t>
      </w:r>
    </w:p>
    <w:p w:rsidR="00D70503" w:rsidRPr="00D61CDE" w:rsidRDefault="00D70503" w:rsidP="001A211A">
      <w:pPr>
        <w:pStyle w:val="Textoindependiente"/>
        <w:spacing w:line="276" w:lineRule="auto"/>
        <w:rPr>
          <w:rFonts w:ascii="Arial" w:hAnsi="Arial" w:cs="Arial"/>
          <w:spacing w:val="4"/>
          <w:sz w:val="24"/>
          <w:szCs w:val="24"/>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D61CDE">
        <w:rPr>
          <w:rFonts w:ascii="Arial" w:eastAsia="Times New Roman" w:hAnsi="Arial" w:cs="Arial"/>
          <w:i/>
          <w:iCs/>
          <w:spacing w:val="4"/>
          <w:szCs w:val="24"/>
          <w:lang w:val="es-ES_tradnl" w:bidi="ar-SA"/>
        </w:rPr>
        <w:t>SL17595</w:t>
      </w:r>
      <w:proofErr w:type="spellEnd"/>
      <w:r w:rsidRPr="00D61CDE">
        <w:rPr>
          <w:rFonts w:ascii="Arial" w:eastAsia="Times New Roman" w:hAnsi="Arial" w:cs="Arial"/>
          <w:i/>
          <w:iCs/>
          <w:spacing w:val="4"/>
          <w:szCs w:val="24"/>
          <w:lang w:val="es-ES_tradnl" w:bidi="ar-SA"/>
        </w:rPr>
        <w:t xml:space="preserve">-2017 y </w:t>
      </w:r>
      <w:proofErr w:type="spellStart"/>
      <w:r w:rsidRPr="00D61CDE">
        <w:rPr>
          <w:rFonts w:ascii="Arial" w:eastAsia="Times New Roman" w:hAnsi="Arial" w:cs="Arial"/>
          <w:i/>
          <w:iCs/>
          <w:spacing w:val="4"/>
          <w:szCs w:val="24"/>
          <w:lang w:val="es-ES_tradnl" w:bidi="ar-SA"/>
        </w:rPr>
        <w:t>CSJSL4989</w:t>
      </w:r>
      <w:proofErr w:type="spellEnd"/>
      <w:r w:rsidRPr="00D61CDE">
        <w:rPr>
          <w:rFonts w:ascii="Arial" w:eastAsia="Times New Roman" w:hAnsi="Arial" w:cs="Arial"/>
          <w:i/>
          <w:iCs/>
          <w:spacing w:val="4"/>
          <w:szCs w:val="24"/>
          <w:lang w:val="es-ES_tradnl" w:bidi="ar-SA"/>
        </w:rPr>
        <w:t xml:space="preserve">-2018, donde se rememoró la CSJ </w:t>
      </w:r>
      <w:proofErr w:type="spellStart"/>
      <w:r w:rsidRPr="00D61CDE">
        <w:rPr>
          <w:rFonts w:ascii="Arial" w:eastAsia="Times New Roman" w:hAnsi="Arial" w:cs="Arial"/>
          <w:i/>
          <w:iCs/>
          <w:spacing w:val="4"/>
          <w:szCs w:val="24"/>
          <w:lang w:val="es-ES_tradnl" w:bidi="ar-SA"/>
        </w:rPr>
        <w:t>SL</w:t>
      </w:r>
      <w:proofErr w:type="spellEnd"/>
      <w:r w:rsidRPr="00D61CDE">
        <w:rPr>
          <w:rFonts w:ascii="Arial" w:eastAsia="Times New Roman" w:hAnsi="Arial" w:cs="Arial"/>
          <w:i/>
          <w:iCs/>
          <w:spacing w:val="4"/>
          <w:szCs w:val="24"/>
          <w:lang w:val="es-ES_tradnl" w:bidi="ar-SA"/>
        </w:rPr>
        <w:t>, 8 sep. 2008, rad. 31989...”</w:t>
      </w:r>
    </w:p>
    <w:p w:rsidR="00D70503" w:rsidRPr="00D61CDE" w:rsidRDefault="00D70503" w:rsidP="001A211A">
      <w:pPr>
        <w:pStyle w:val="Textoindependiente"/>
        <w:spacing w:line="276" w:lineRule="auto"/>
        <w:rPr>
          <w:rFonts w:ascii="Arial" w:hAnsi="Arial" w:cs="Arial"/>
          <w:i/>
          <w:spacing w:val="4"/>
          <w:sz w:val="24"/>
          <w:szCs w:val="24"/>
        </w:rPr>
      </w:pPr>
    </w:p>
    <w:p w:rsidR="00D70503"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t xml:space="preserve">Con base en lo anterior, se </w:t>
      </w:r>
      <w:r w:rsidRPr="00D61CDE">
        <w:rPr>
          <w:rFonts w:ascii="Arial" w:hAnsi="Arial" w:cs="Arial"/>
          <w:b/>
          <w:spacing w:val="4"/>
          <w:sz w:val="24"/>
          <w:szCs w:val="24"/>
        </w:rPr>
        <w:t xml:space="preserve">CONFIRMARÁ </w:t>
      </w:r>
      <w:r w:rsidRPr="00D61CDE">
        <w:rPr>
          <w:rFonts w:ascii="Arial" w:hAnsi="Arial" w:cs="Arial"/>
          <w:spacing w:val="4"/>
          <w:sz w:val="24"/>
          <w:szCs w:val="24"/>
        </w:rPr>
        <w:t xml:space="preserve">la sentencia apelada y se dispondrá en virtud del grado jurisdiccional de consulta que opera en favor de Colpensiones, </w:t>
      </w:r>
      <w:r w:rsidRPr="00D61CDE">
        <w:rPr>
          <w:rFonts w:ascii="Arial" w:hAnsi="Arial" w:cs="Arial"/>
          <w:b/>
          <w:spacing w:val="4"/>
          <w:sz w:val="24"/>
          <w:szCs w:val="24"/>
        </w:rPr>
        <w:t>ADICIONARLA</w:t>
      </w:r>
      <w:r w:rsidRPr="00D61CDE">
        <w:rPr>
          <w:rFonts w:ascii="Arial" w:hAnsi="Arial" w:cs="Arial"/>
          <w:spacing w:val="4"/>
          <w:sz w:val="24"/>
          <w:szCs w:val="24"/>
        </w:rPr>
        <w:t xml:space="preserve">, para ordenarle a </w:t>
      </w:r>
      <w:r w:rsidRPr="00D61CDE">
        <w:rPr>
          <w:rFonts w:ascii="Arial" w:hAnsi="Arial" w:cs="Arial"/>
          <w:b/>
          <w:spacing w:val="4"/>
          <w:sz w:val="24"/>
          <w:szCs w:val="24"/>
        </w:rPr>
        <w:t xml:space="preserve">la </w:t>
      </w:r>
      <w:proofErr w:type="spellStart"/>
      <w:r w:rsidRPr="00D61CDE">
        <w:rPr>
          <w:rFonts w:ascii="Arial" w:hAnsi="Arial" w:cs="Arial"/>
          <w:b/>
          <w:spacing w:val="4"/>
          <w:sz w:val="24"/>
          <w:szCs w:val="24"/>
        </w:rPr>
        <w:t>A.F.P</w:t>
      </w:r>
      <w:proofErr w:type="spellEnd"/>
      <w:r w:rsidRPr="00D61CDE">
        <w:rPr>
          <w:rFonts w:ascii="Arial" w:hAnsi="Arial" w:cs="Arial"/>
          <w:b/>
          <w:spacing w:val="4"/>
          <w:sz w:val="24"/>
          <w:szCs w:val="24"/>
        </w:rPr>
        <w:t>. Old Mutual S.A</w:t>
      </w:r>
      <w:r w:rsidRPr="00D61CDE">
        <w:rPr>
          <w:rFonts w:ascii="Arial" w:hAnsi="Arial" w:cs="Arial"/>
          <w:spacing w:val="4"/>
          <w:sz w:val="24"/>
          <w:szCs w:val="24"/>
        </w:rPr>
        <w:t>., que traslade todas las cotizaciones, con sus rendimientos, saldos, bonos pensionales, sumas adicionales (incluyendo lo correspondiente a seguros previsionales, entre otros) y las sumas de dinero que retiene para el fondo de garantía de pensión mínima, los gastos de</w:t>
      </w:r>
      <w:r w:rsidR="00012C70" w:rsidRPr="00D61CDE">
        <w:rPr>
          <w:rFonts w:ascii="Arial" w:hAnsi="Arial" w:cs="Arial"/>
          <w:spacing w:val="4"/>
          <w:sz w:val="24"/>
          <w:szCs w:val="24"/>
        </w:rPr>
        <w:t xml:space="preserve"> </w:t>
      </w:r>
      <w:r w:rsidRPr="00D61CDE">
        <w:rPr>
          <w:rFonts w:ascii="Arial" w:hAnsi="Arial" w:cs="Arial"/>
          <w:spacing w:val="4"/>
          <w:sz w:val="24"/>
          <w:szCs w:val="24"/>
        </w:rPr>
        <w:t>administración y comisiones cobrados durante el lapso en</w:t>
      </w:r>
      <w:r w:rsidR="00012C70" w:rsidRPr="00D61CDE">
        <w:rPr>
          <w:rFonts w:ascii="Arial" w:hAnsi="Arial" w:cs="Arial"/>
          <w:spacing w:val="4"/>
          <w:sz w:val="24"/>
          <w:szCs w:val="24"/>
        </w:rPr>
        <w:t xml:space="preserve"> </w:t>
      </w:r>
      <w:r w:rsidRPr="00D61CDE">
        <w:rPr>
          <w:rFonts w:ascii="Arial" w:hAnsi="Arial" w:cs="Arial"/>
          <w:spacing w:val="4"/>
          <w:sz w:val="24"/>
          <w:szCs w:val="24"/>
        </w:rPr>
        <w:t>que estuvo vigente la</w:t>
      </w:r>
      <w:r w:rsidR="00012C70" w:rsidRPr="00D61CDE">
        <w:rPr>
          <w:rFonts w:ascii="Arial" w:hAnsi="Arial" w:cs="Arial"/>
          <w:spacing w:val="4"/>
          <w:sz w:val="24"/>
          <w:szCs w:val="24"/>
        </w:rPr>
        <w:t xml:space="preserve"> </w:t>
      </w:r>
      <w:r w:rsidRPr="00D61CDE">
        <w:rPr>
          <w:rFonts w:ascii="Arial" w:hAnsi="Arial" w:cs="Arial"/>
          <w:spacing w:val="4"/>
          <w:sz w:val="24"/>
          <w:szCs w:val="24"/>
        </w:rPr>
        <w:t>afiliación de</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la demandante, con cargo a sus propios recursos y, remitirlos a Colpensiones debidamente indexados, tal como lo ha reiterado la Sala de Casación Laboral de la Corte Suprema en sentencias </w:t>
      </w:r>
      <w:proofErr w:type="spellStart"/>
      <w:r w:rsidRPr="00D61CDE">
        <w:rPr>
          <w:rFonts w:ascii="Arial" w:hAnsi="Arial" w:cs="Arial"/>
          <w:b/>
          <w:spacing w:val="4"/>
          <w:sz w:val="24"/>
          <w:szCs w:val="24"/>
        </w:rPr>
        <w:t>SL1421</w:t>
      </w:r>
      <w:proofErr w:type="spellEnd"/>
      <w:r w:rsidRPr="00D61CDE">
        <w:rPr>
          <w:rFonts w:ascii="Arial" w:hAnsi="Arial" w:cs="Arial"/>
          <w:b/>
          <w:spacing w:val="4"/>
          <w:sz w:val="24"/>
          <w:szCs w:val="24"/>
        </w:rPr>
        <w:t xml:space="preserve"> y </w:t>
      </w:r>
      <w:proofErr w:type="spellStart"/>
      <w:r w:rsidRPr="00D61CDE">
        <w:rPr>
          <w:rFonts w:ascii="Arial" w:hAnsi="Arial" w:cs="Arial"/>
          <w:b/>
          <w:spacing w:val="4"/>
          <w:sz w:val="24"/>
          <w:szCs w:val="24"/>
        </w:rPr>
        <w:t>SL</w:t>
      </w:r>
      <w:proofErr w:type="spellEnd"/>
      <w:r w:rsidRPr="00D61CDE">
        <w:rPr>
          <w:rFonts w:ascii="Arial" w:hAnsi="Arial" w:cs="Arial"/>
          <w:b/>
          <w:spacing w:val="4"/>
          <w:sz w:val="24"/>
          <w:szCs w:val="24"/>
        </w:rPr>
        <w:t xml:space="preserve"> 1688, ambas de 2019</w:t>
      </w:r>
      <w:r w:rsidRPr="00D61CDE">
        <w:rPr>
          <w:rFonts w:ascii="Arial" w:hAnsi="Arial" w:cs="Arial"/>
          <w:spacing w:val="4"/>
          <w:sz w:val="24"/>
          <w:szCs w:val="24"/>
        </w:rPr>
        <w:t>.</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Igualmente, </w:t>
      </w:r>
      <w:r w:rsidRPr="00D61CDE">
        <w:rPr>
          <w:rFonts w:ascii="Arial" w:hAnsi="Arial" w:cs="Arial"/>
          <w:b/>
          <w:spacing w:val="4"/>
          <w:sz w:val="24"/>
          <w:szCs w:val="24"/>
        </w:rPr>
        <w:t>SE ADICIONARÁ</w:t>
      </w:r>
      <w:r w:rsidRPr="00D61CDE">
        <w:rPr>
          <w:rFonts w:ascii="Arial" w:hAnsi="Arial" w:cs="Arial"/>
          <w:spacing w:val="4"/>
          <w:sz w:val="24"/>
          <w:szCs w:val="24"/>
        </w:rPr>
        <w:t xml:space="preserve">, para que </w:t>
      </w:r>
      <w:r w:rsidRPr="00D61CDE">
        <w:rPr>
          <w:rFonts w:ascii="Arial" w:hAnsi="Arial" w:cs="Arial"/>
          <w:b/>
          <w:spacing w:val="4"/>
          <w:sz w:val="24"/>
          <w:szCs w:val="24"/>
        </w:rPr>
        <w:t xml:space="preserve">la AFP Porvenir S.A., </w:t>
      </w:r>
      <w:r w:rsidRPr="00D61CDE">
        <w:rPr>
          <w:rFonts w:ascii="Arial" w:hAnsi="Arial" w:cs="Arial"/>
          <w:spacing w:val="4"/>
          <w:sz w:val="24"/>
          <w:szCs w:val="24"/>
        </w:rPr>
        <w:t xml:space="preserve">traslade con cargo a sus propios recursos, los valores correspondientes a </w:t>
      </w:r>
      <w:r w:rsidRPr="00D61CDE">
        <w:rPr>
          <w:rFonts w:ascii="Arial" w:hAnsi="Arial" w:cs="Arial"/>
          <w:spacing w:val="4"/>
          <w:sz w:val="24"/>
          <w:szCs w:val="24"/>
        </w:rPr>
        <w:lastRenderedPageBreak/>
        <w:t>gastos de administración, seguros previsionales y comisiones que fueron cobrados durante el lapso de</w:t>
      </w:r>
      <w:r w:rsidR="00012C70" w:rsidRPr="00D61CDE">
        <w:rPr>
          <w:rFonts w:ascii="Arial" w:hAnsi="Arial" w:cs="Arial"/>
          <w:spacing w:val="4"/>
          <w:sz w:val="24"/>
          <w:szCs w:val="24"/>
        </w:rPr>
        <w:t xml:space="preserve"> </w:t>
      </w:r>
      <w:r w:rsidRPr="00D61CDE">
        <w:rPr>
          <w:rFonts w:ascii="Arial" w:hAnsi="Arial" w:cs="Arial"/>
          <w:spacing w:val="4"/>
          <w:sz w:val="24"/>
          <w:szCs w:val="24"/>
        </w:rPr>
        <w:t>afiliación de</w:t>
      </w:r>
      <w:r w:rsidR="00012C70" w:rsidRPr="00D61CDE">
        <w:rPr>
          <w:rFonts w:ascii="Arial" w:hAnsi="Arial" w:cs="Arial"/>
          <w:spacing w:val="4"/>
          <w:sz w:val="24"/>
          <w:szCs w:val="24"/>
        </w:rPr>
        <w:t xml:space="preserve"> </w:t>
      </w:r>
      <w:r w:rsidRPr="00D61CDE">
        <w:rPr>
          <w:rFonts w:ascii="Arial" w:hAnsi="Arial" w:cs="Arial"/>
          <w:spacing w:val="4"/>
          <w:sz w:val="24"/>
          <w:szCs w:val="24"/>
        </w:rPr>
        <w:t>la</w:t>
      </w:r>
      <w:r w:rsidR="00012C70" w:rsidRPr="00D61CDE">
        <w:rPr>
          <w:rFonts w:ascii="Arial" w:hAnsi="Arial" w:cs="Arial"/>
          <w:spacing w:val="4"/>
          <w:sz w:val="24"/>
          <w:szCs w:val="24"/>
        </w:rPr>
        <w:t xml:space="preserve"> </w:t>
      </w:r>
      <w:r w:rsidRPr="00D61CDE">
        <w:rPr>
          <w:rFonts w:ascii="Arial" w:hAnsi="Arial" w:cs="Arial"/>
          <w:spacing w:val="4"/>
          <w:sz w:val="24"/>
          <w:szCs w:val="24"/>
        </w:rPr>
        <w:t>demandante a dichas entidades, debidamente indexados.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Frente a las excepciones propuestas por Colpensiones, estuvo bien que no se declararan probadas por no envolver hechos extintivos o</w:t>
      </w:r>
      <w:r w:rsidR="00012C70" w:rsidRPr="00D61CDE">
        <w:rPr>
          <w:rFonts w:ascii="Arial" w:hAnsi="Arial" w:cs="Arial"/>
          <w:spacing w:val="4"/>
          <w:sz w:val="24"/>
          <w:szCs w:val="24"/>
        </w:rPr>
        <w:t xml:space="preserve"> </w:t>
      </w:r>
      <w:r w:rsidRPr="00D61CDE">
        <w:rPr>
          <w:rFonts w:ascii="Arial" w:hAnsi="Arial" w:cs="Arial"/>
          <w:spacing w:val="4"/>
          <w:sz w:val="24"/>
          <w:szCs w:val="24"/>
        </w:rPr>
        <w:t>modificativos de los derechos reconocidos, como ocurre con la</w:t>
      </w:r>
      <w:r w:rsidR="00012C70" w:rsidRPr="00D61CDE">
        <w:rPr>
          <w:rFonts w:ascii="Arial" w:hAnsi="Arial" w:cs="Arial"/>
          <w:spacing w:val="4"/>
          <w:sz w:val="24"/>
          <w:szCs w:val="24"/>
        </w:rPr>
        <w:t xml:space="preserve"> </w:t>
      </w:r>
      <w:r w:rsidRPr="00D61CDE">
        <w:rPr>
          <w:rFonts w:ascii="Arial" w:hAnsi="Arial" w:cs="Arial"/>
          <w:spacing w:val="4"/>
          <w:sz w:val="24"/>
          <w:szCs w:val="24"/>
        </w:rPr>
        <w:t>de</w:t>
      </w:r>
      <w:r w:rsidR="00012C70" w:rsidRPr="00D61CDE">
        <w:rPr>
          <w:rFonts w:ascii="Arial" w:hAnsi="Arial" w:cs="Arial"/>
          <w:spacing w:val="4"/>
          <w:sz w:val="24"/>
          <w:szCs w:val="24"/>
        </w:rPr>
        <w:t xml:space="preserve"> </w:t>
      </w:r>
      <w:r w:rsidRPr="00D61CDE">
        <w:rPr>
          <w:rFonts w:ascii="Arial" w:hAnsi="Arial" w:cs="Arial"/>
          <w:spacing w:val="4"/>
          <w:sz w:val="24"/>
          <w:szCs w:val="24"/>
        </w:rPr>
        <w:t>inexistencia de la</w:t>
      </w:r>
      <w:r w:rsidR="000E5E66" w:rsidRPr="00D61CDE">
        <w:rPr>
          <w:rFonts w:ascii="Arial" w:hAnsi="Arial" w:cs="Arial"/>
          <w:spacing w:val="4"/>
          <w:sz w:val="24"/>
          <w:szCs w:val="24"/>
        </w:rPr>
        <w:t xml:space="preserve"> </w:t>
      </w:r>
      <w:r w:rsidRPr="00D61CDE">
        <w:rPr>
          <w:rFonts w:ascii="Arial" w:hAnsi="Arial" w:cs="Arial"/>
          <w:spacing w:val="4"/>
          <w:sz w:val="24"/>
          <w:szCs w:val="24"/>
        </w:rPr>
        <w:t>obligación, y en cuanto a la de prescripción, ha de decirse que por estar comprometido un</w:t>
      </w:r>
      <w:r w:rsidR="00012C70" w:rsidRPr="00D61CDE">
        <w:rPr>
          <w:rFonts w:ascii="Arial" w:hAnsi="Arial" w:cs="Arial"/>
          <w:spacing w:val="4"/>
          <w:sz w:val="24"/>
          <w:szCs w:val="24"/>
        </w:rPr>
        <w:t xml:space="preserve"> </w:t>
      </w:r>
      <w:r w:rsidRPr="00D61CDE">
        <w:rPr>
          <w:rFonts w:ascii="Arial" w:hAnsi="Arial" w:cs="Arial"/>
          <w:spacing w:val="4"/>
          <w:sz w:val="24"/>
          <w:szCs w:val="24"/>
        </w:rPr>
        <w:t>derecho pensional, que como bien lo</w:t>
      </w:r>
      <w:r w:rsidR="00012C70" w:rsidRPr="00D61CDE">
        <w:rPr>
          <w:rFonts w:ascii="Arial" w:hAnsi="Arial" w:cs="Arial"/>
          <w:spacing w:val="4"/>
          <w:sz w:val="24"/>
          <w:szCs w:val="24"/>
        </w:rPr>
        <w:t xml:space="preserve"> </w:t>
      </w:r>
      <w:r w:rsidRPr="00D61CDE">
        <w:rPr>
          <w:rFonts w:ascii="Arial" w:hAnsi="Arial" w:cs="Arial"/>
          <w:spacing w:val="4"/>
          <w:sz w:val="24"/>
          <w:szCs w:val="24"/>
        </w:rPr>
        <w:t>ha</w:t>
      </w:r>
      <w:r w:rsidR="00012C70" w:rsidRPr="00D61CDE">
        <w:rPr>
          <w:rFonts w:ascii="Arial" w:hAnsi="Arial" w:cs="Arial"/>
          <w:spacing w:val="4"/>
          <w:sz w:val="24"/>
          <w:szCs w:val="24"/>
        </w:rPr>
        <w:t xml:space="preserve"> </w:t>
      </w:r>
      <w:r w:rsidRPr="00D61CDE">
        <w:rPr>
          <w:rFonts w:ascii="Arial" w:hAnsi="Arial" w:cs="Arial"/>
          <w:spacing w:val="4"/>
          <w:sz w:val="24"/>
          <w:szCs w:val="24"/>
        </w:rPr>
        <w:t>dicho la jurisprudencia laboral, no puede verse afectado por este medio exceptivo, la misma tampoco prospera. En la sentencia inicialmente citada, se anotó:</w:t>
      </w:r>
    </w:p>
    <w:p w:rsidR="001A211A" w:rsidRPr="00D61CDE" w:rsidRDefault="001A211A" w:rsidP="001A211A">
      <w:pPr>
        <w:pStyle w:val="Textoindependiente"/>
        <w:spacing w:line="276" w:lineRule="auto"/>
        <w:ind w:left="139" w:right="280" w:firstLine="708"/>
        <w:jc w:val="both"/>
        <w:rPr>
          <w:rFonts w:ascii="Arial" w:hAnsi="Arial" w:cs="Arial"/>
          <w:spacing w:val="4"/>
          <w:sz w:val="24"/>
          <w:szCs w:val="24"/>
        </w:rPr>
      </w:pP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D61CDE">
        <w:rPr>
          <w:rFonts w:ascii="Arial" w:eastAsia="Times New Roman" w:hAnsi="Arial" w:cs="Arial"/>
          <w:i/>
          <w:iCs/>
          <w:spacing w:val="4"/>
          <w:szCs w:val="24"/>
          <w:lang w:val="es-ES_tradnl" w:bidi="ar-SA"/>
        </w:rPr>
        <w:t>RPMPD</w:t>
      </w:r>
      <w:proofErr w:type="spellEnd"/>
      <w:r w:rsidRPr="00D61CDE">
        <w:rPr>
          <w:rFonts w:ascii="Arial" w:eastAsia="Times New Roman" w:hAnsi="Arial" w:cs="Arial"/>
          <w:i/>
          <w:iCs/>
          <w:spacing w:val="4"/>
          <w:szCs w:val="24"/>
          <w:lang w:val="es-ES_tradnl" w:bidi="ar-SA"/>
        </w:rPr>
        <w:t xml:space="preserve"> o </w:t>
      </w:r>
      <w:proofErr w:type="spellStart"/>
      <w:r w:rsidRPr="00D61CDE">
        <w:rPr>
          <w:rFonts w:ascii="Arial" w:eastAsia="Times New Roman" w:hAnsi="Arial" w:cs="Arial"/>
          <w:i/>
          <w:iCs/>
          <w:spacing w:val="4"/>
          <w:szCs w:val="24"/>
          <w:lang w:val="es-ES_tradnl" w:bidi="ar-SA"/>
        </w:rPr>
        <w:t>RAIS</w:t>
      </w:r>
      <w:proofErr w:type="spellEnd"/>
      <w:r w:rsidRPr="00D61CDE">
        <w:rPr>
          <w:rFonts w:ascii="Arial" w:eastAsia="Times New Roman" w:hAnsi="Arial" w:cs="Arial"/>
          <w:i/>
          <w:iCs/>
          <w:spacing w:val="4"/>
          <w:szCs w:val="24"/>
          <w:lang w:val="es-ES_tradnl" w:bidi="ar-SA"/>
        </w:rPr>
        <w:t xml:space="preserve">) se encuentran afiliados. Lo expuesto no es algo nuevo en la jurisprudencia del trabajo, pues incluso desde la sentencia CSJ </w:t>
      </w:r>
      <w:proofErr w:type="spellStart"/>
      <w:r w:rsidRPr="00D61CDE">
        <w:rPr>
          <w:rFonts w:ascii="Arial" w:eastAsia="Times New Roman" w:hAnsi="Arial" w:cs="Arial"/>
          <w:i/>
          <w:iCs/>
          <w:spacing w:val="4"/>
          <w:szCs w:val="24"/>
          <w:lang w:val="es-ES_tradnl" w:bidi="ar-SA"/>
        </w:rPr>
        <w:t>SL795</w:t>
      </w:r>
      <w:proofErr w:type="spellEnd"/>
      <w:r w:rsidRPr="00D61CDE">
        <w:rPr>
          <w:rFonts w:ascii="Arial" w:eastAsia="Times New Roman" w:hAnsi="Arial" w:cs="Arial"/>
          <w:i/>
          <w:iCs/>
          <w:spacing w:val="4"/>
          <w:szCs w:val="24"/>
          <w:lang w:val="es-ES_tradnl" w:bidi="ar-SA"/>
        </w:rPr>
        <w:t xml:space="preserve">-2013 ya la Corte había adoctrinado que «el asegurado está legitimado para interponer, en cualquier tiempo, reclamos relacionados con la afiliación, las cotizaciones, el ingreso base de cotización y todos aquellos componentes de la pensión».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 </w:t>
      </w:r>
    </w:p>
    <w:p w:rsidR="001A211A" w:rsidRPr="00D61CDE" w:rsidRDefault="001A211A" w:rsidP="001A211A">
      <w:pPr>
        <w:widowControl/>
        <w:autoSpaceDE/>
        <w:autoSpaceDN/>
        <w:ind w:left="426" w:right="420"/>
        <w:jc w:val="both"/>
        <w:rPr>
          <w:rFonts w:ascii="Arial" w:eastAsia="Times New Roman" w:hAnsi="Arial" w:cs="Arial"/>
          <w:i/>
          <w:iCs/>
          <w:spacing w:val="4"/>
          <w:szCs w:val="24"/>
          <w:lang w:val="es-ES_tradnl" w:bidi="ar-SA"/>
        </w:rPr>
      </w:pPr>
      <w:r w:rsidRPr="00D61CDE">
        <w:rPr>
          <w:rFonts w:ascii="Arial" w:eastAsia="Times New Roman" w:hAnsi="Arial" w:cs="Arial"/>
          <w:i/>
          <w:iCs/>
          <w:spacing w:val="4"/>
          <w:szCs w:val="24"/>
          <w:lang w:val="es-ES_tradnl" w:bidi="ar-SA"/>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D61CDE">
        <w:rPr>
          <w:rFonts w:ascii="Arial" w:eastAsia="Times New Roman" w:hAnsi="Arial" w:cs="Arial"/>
          <w:i/>
          <w:iCs/>
          <w:spacing w:val="4"/>
          <w:szCs w:val="24"/>
          <w:lang w:val="es-ES_tradnl" w:bidi="ar-SA"/>
        </w:rPr>
        <w:t>SL8544</w:t>
      </w:r>
      <w:proofErr w:type="spellEnd"/>
      <w:r w:rsidRPr="00D61CDE">
        <w:rPr>
          <w:rFonts w:ascii="Arial" w:eastAsia="Times New Roman" w:hAnsi="Arial" w:cs="Arial"/>
          <w:i/>
          <w:iCs/>
          <w:spacing w:val="4"/>
          <w:szCs w:val="24"/>
          <w:lang w:val="es-ES_tradnl" w:bidi="ar-SA"/>
        </w:rPr>
        <w:t>-2016)”.</w:t>
      </w:r>
    </w:p>
    <w:p w:rsidR="00D70503" w:rsidRPr="00D61CDE" w:rsidRDefault="00D70503" w:rsidP="001A211A">
      <w:pPr>
        <w:pStyle w:val="Textoindependiente"/>
        <w:spacing w:line="276" w:lineRule="auto"/>
        <w:rPr>
          <w:rFonts w:ascii="Arial" w:hAnsi="Arial" w:cs="Arial"/>
          <w:spacing w:val="4"/>
          <w:sz w:val="24"/>
          <w:szCs w:val="24"/>
          <w:lang w:val="es-ES_tradnl"/>
        </w:rPr>
      </w:pPr>
      <w:bookmarkStart w:id="1" w:name="_GoBack"/>
      <w:bookmarkEnd w:id="1"/>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spacing w:val="4"/>
          <w:sz w:val="24"/>
          <w:szCs w:val="24"/>
        </w:rPr>
        <w:t xml:space="preserve">Por último, en relación con la condena en costas procesales de las que se duele la </w:t>
      </w:r>
      <w:proofErr w:type="spellStart"/>
      <w:r w:rsidRPr="00D61CDE">
        <w:rPr>
          <w:rFonts w:ascii="Arial" w:hAnsi="Arial" w:cs="Arial"/>
          <w:spacing w:val="4"/>
          <w:sz w:val="24"/>
          <w:szCs w:val="24"/>
        </w:rPr>
        <w:t>A.F.P</w:t>
      </w:r>
      <w:proofErr w:type="spellEnd"/>
      <w:r w:rsidRPr="00D61CDE">
        <w:rPr>
          <w:rFonts w:ascii="Arial" w:hAnsi="Arial" w:cs="Arial"/>
          <w:spacing w:val="4"/>
          <w:sz w:val="24"/>
          <w:szCs w:val="24"/>
        </w:rPr>
        <w:t>. Porvenir, la Sala considera que si había lugar a su imposición, como lo dedujo la A-quo, por cuanto la declaratoria de ineficacia del traslado del régimen tiene su fuente en su conducta indebida por faltar al deber de información al momento de efectuar el traslado de régimen pensional del demandante. Por ende, no hay lugar a exonerar del pago de las costas del proceso de primer grado a esa entidad recurrente, por lo que también se CONFIRMARÁ este punto de la sentencia apelada.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1" w:firstLine="708"/>
        <w:jc w:val="both"/>
        <w:rPr>
          <w:rFonts w:ascii="Arial" w:hAnsi="Arial" w:cs="Arial"/>
          <w:spacing w:val="4"/>
          <w:sz w:val="24"/>
          <w:szCs w:val="24"/>
        </w:rPr>
      </w:pPr>
      <w:r w:rsidRPr="00D61CDE">
        <w:rPr>
          <w:rFonts w:ascii="Arial" w:hAnsi="Arial" w:cs="Arial"/>
          <w:spacing w:val="4"/>
          <w:sz w:val="24"/>
          <w:szCs w:val="24"/>
        </w:rPr>
        <w:t>Con lo anterior, quedan resueltos los puntos de inconformidad de la recurrente y el grado jurisdiccional de consulta a favor de Colpensiones.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93" w:firstLine="708"/>
        <w:jc w:val="both"/>
        <w:rPr>
          <w:rFonts w:ascii="Arial" w:hAnsi="Arial" w:cs="Arial"/>
          <w:spacing w:val="4"/>
          <w:sz w:val="24"/>
          <w:szCs w:val="24"/>
        </w:rPr>
      </w:pPr>
      <w:r w:rsidRPr="00D61CDE">
        <w:rPr>
          <w:rFonts w:ascii="Arial" w:hAnsi="Arial" w:cs="Arial"/>
          <w:spacing w:val="4"/>
          <w:sz w:val="24"/>
          <w:szCs w:val="24"/>
        </w:rPr>
        <w:t xml:space="preserve">Costas en esta instancia a cargo de la </w:t>
      </w:r>
      <w:proofErr w:type="spellStart"/>
      <w:r w:rsidRPr="00D61CDE">
        <w:rPr>
          <w:rFonts w:ascii="Arial" w:hAnsi="Arial" w:cs="Arial"/>
          <w:spacing w:val="4"/>
          <w:sz w:val="24"/>
          <w:szCs w:val="24"/>
        </w:rPr>
        <w:t>A.F.P</w:t>
      </w:r>
      <w:proofErr w:type="spellEnd"/>
      <w:r w:rsidRPr="00D61CDE">
        <w:rPr>
          <w:rFonts w:ascii="Arial" w:hAnsi="Arial" w:cs="Arial"/>
          <w:spacing w:val="4"/>
          <w:sz w:val="24"/>
          <w:szCs w:val="24"/>
        </w:rPr>
        <w:t xml:space="preserve"> Porvenir S.A., por ser vencida en juicio.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tulo1"/>
        <w:numPr>
          <w:ilvl w:val="0"/>
          <w:numId w:val="4"/>
        </w:numPr>
        <w:tabs>
          <w:tab w:val="left" w:pos="1555"/>
          <w:tab w:val="left" w:pos="1556"/>
        </w:tabs>
        <w:spacing w:line="276" w:lineRule="auto"/>
        <w:ind w:left="1555" w:hanging="709"/>
        <w:rPr>
          <w:rFonts w:ascii="Arial" w:hAnsi="Arial" w:cs="Arial"/>
          <w:spacing w:val="4"/>
          <w:sz w:val="24"/>
          <w:szCs w:val="24"/>
        </w:rPr>
      </w:pPr>
      <w:r w:rsidRPr="00D61CDE">
        <w:rPr>
          <w:rFonts w:ascii="Arial" w:hAnsi="Arial" w:cs="Arial"/>
          <w:spacing w:val="4"/>
          <w:sz w:val="24"/>
          <w:szCs w:val="24"/>
        </w:rPr>
        <w:t>DECISIÓN</w:t>
      </w:r>
    </w:p>
    <w:p w:rsidR="00D70503" w:rsidRPr="00D61CDE" w:rsidRDefault="00D70503" w:rsidP="001A211A">
      <w:pPr>
        <w:pStyle w:val="Textoindependiente"/>
        <w:spacing w:line="276" w:lineRule="auto"/>
        <w:rPr>
          <w:rFonts w:ascii="Arial" w:hAnsi="Arial" w:cs="Arial"/>
          <w:b/>
          <w:spacing w:val="4"/>
          <w:sz w:val="24"/>
          <w:szCs w:val="24"/>
        </w:rPr>
      </w:pPr>
    </w:p>
    <w:p w:rsidR="000E5E66" w:rsidRPr="00D61CDE" w:rsidRDefault="002A5D1B" w:rsidP="001A211A">
      <w:pPr>
        <w:pStyle w:val="Textoindependiente"/>
        <w:spacing w:line="276" w:lineRule="auto"/>
        <w:ind w:left="139" w:right="279" w:firstLine="708"/>
        <w:jc w:val="both"/>
        <w:rPr>
          <w:rFonts w:ascii="Arial" w:hAnsi="Arial" w:cs="Arial"/>
          <w:spacing w:val="4"/>
          <w:sz w:val="24"/>
          <w:szCs w:val="24"/>
        </w:rPr>
      </w:pPr>
      <w:r w:rsidRPr="00D61CDE">
        <w:rPr>
          <w:rFonts w:ascii="Arial" w:hAnsi="Arial" w:cs="Arial"/>
          <w:spacing w:val="4"/>
          <w:sz w:val="24"/>
          <w:szCs w:val="24"/>
        </w:rPr>
        <w:t>En mérito de lo expuesto, el Tribunal Superior del Distrito Judicial de Pereira - Risaralda, Sala Cuarta de Decisión Laboral, administrando justicia en nombre de la República y por autoridad de la ley,</w:t>
      </w:r>
    </w:p>
    <w:p w:rsidR="000E5E66" w:rsidRPr="00D61CDE" w:rsidRDefault="000E5E66" w:rsidP="001A211A">
      <w:pPr>
        <w:pStyle w:val="Textoindependiente"/>
        <w:spacing w:line="276" w:lineRule="auto"/>
        <w:ind w:left="139" w:right="279" w:firstLine="708"/>
        <w:jc w:val="both"/>
        <w:rPr>
          <w:rFonts w:ascii="Arial" w:hAnsi="Arial" w:cs="Arial"/>
          <w:spacing w:val="4"/>
          <w:sz w:val="24"/>
          <w:szCs w:val="24"/>
        </w:rPr>
      </w:pPr>
    </w:p>
    <w:p w:rsidR="00D70503" w:rsidRPr="00D61CDE" w:rsidRDefault="002A5D1B" w:rsidP="001A211A">
      <w:pPr>
        <w:pStyle w:val="Ttulo1"/>
        <w:spacing w:line="276" w:lineRule="auto"/>
        <w:ind w:left="937" w:right="1091"/>
        <w:jc w:val="center"/>
        <w:rPr>
          <w:rFonts w:ascii="Arial" w:hAnsi="Arial" w:cs="Arial"/>
          <w:spacing w:val="4"/>
          <w:sz w:val="24"/>
          <w:szCs w:val="24"/>
        </w:rPr>
      </w:pPr>
      <w:r w:rsidRPr="00D61CDE">
        <w:rPr>
          <w:rFonts w:ascii="Arial" w:hAnsi="Arial" w:cs="Arial"/>
          <w:spacing w:val="4"/>
          <w:sz w:val="24"/>
          <w:szCs w:val="24"/>
        </w:rPr>
        <w:t>RESUELVE:</w:t>
      </w:r>
    </w:p>
    <w:p w:rsidR="00D70503" w:rsidRPr="00D61CDE" w:rsidRDefault="00D70503" w:rsidP="001A211A">
      <w:pPr>
        <w:pStyle w:val="Textoindependiente"/>
        <w:spacing w:line="276" w:lineRule="auto"/>
        <w:rPr>
          <w:rFonts w:ascii="Arial" w:hAnsi="Arial" w:cs="Arial"/>
          <w:b/>
          <w:spacing w:val="4"/>
          <w:sz w:val="24"/>
          <w:szCs w:val="24"/>
        </w:rPr>
      </w:pPr>
    </w:p>
    <w:p w:rsidR="00D70503" w:rsidRPr="00D61CDE" w:rsidRDefault="002A5D1B" w:rsidP="001A211A">
      <w:pPr>
        <w:spacing w:line="276" w:lineRule="auto"/>
        <w:ind w:left="139" w:right="280" w:firstLine="708"/>
        <w:jc w:val="both"/>
        <w:rPr>
          <w:rFonts w:ascii="Arial" w:hAnsi="Arial" w:cs="Arial"/>
          <w:b/>
          <w:spacing w:val="4"/>
          <w:sz w:val="24"/>
          <w:szCs w:val="24"/>
        </w:rPr>
      </w:pPr>
      <w:r w:rsidRPr="00D61CDE">
        <w:rPr>
          <w:rFonts w:ascii="Arial" w:hAnsi="Arial" w:cs="Arial"/>
          <w:b/>
          <w:spacing w:val="4"/>
          <w:sz w:val="24"/>
          <w:szCs w:val="24"/>
        </w:rPr>
        <w:t xml:space="preserve">PRIMERO: ADICIONAR el ordinal 3º </w:t>
      </w:r>
      <w:r w:rsidRPr="00D61CDE">
        <w:rPr>
          <w:rFonts w:ascii="Arial" w:hAnsi="Arial" w:cs="Arial"/>
          <w:spacing w:val="4"/>
          <w:sz w:val="24"/>
          <w:szCs w:val="24"/>
        </w:rPr>
        <w:t xml:space="preserve">de la sentencia proferida el 07 de junio de 2019 por el Juzgado Tercero Laboral del Circuito de esta ciudad, dentro del proceso de la referencia, en el sentido de: (i) </w:t>
      </w:r>
      <w:r w:rsidRPr="00D61CDE">
        <w:rPr>
          <w:rFonts w:ascii="Arial" w:hAnsi="Arial" w:cs="Arial"/>
          <w:b/>
          <w:spacing w:val="4"/>
          <w:sz w:val="24"/>
          <w:szCs w:val="24"/>
        </w:rPr>
        <w:t>ORDENAR A LA</w:t>
      </w:r>
      <w:r w:rsidR="000E5E66" w:rsidRPr="00D61CDE">
        <w:rPr>
          <w:rFonts w:ascii="Arial" w:hAnsi="Arial" w:cs="Arial"/>
          <w:b/>
          <w:spacing w:val="4"/>
          <w:sz w:val="24"/>
          <w:szCs w:val="24"/>
        </w:rPr>
        <w:t xml:space="preserve"> </w:t>
      </w:r>
      <w:proofErr w:type="spellStart"/>
      <w:r w:rsidRPr="00D61CDE">
        <w:rPr>
          <w:rFonts w:ascii="Arial" w:hAnsi="Arial" w:cs="Arial"/>
          <w:b/>
          <w:spacing w:val="4"/>
          <w:sz w:val="24"/>
          <w:szCs w:val="24"/>
        </w:rPr>
        <w:t>A.F.P</w:t>
      </w:r>
      <w:proofErr w:type="spellEnd"/>
      <w:r w:rsidRPr="00D61CDE">
        <w:rPr>
          <w:rFonts w:ascii="Arial" w:hAnsi="Arial" w:cs="Arial"/>
          <w:b/>
          <w:spacing w:val="4"/>
          <w:sz w:val="24"/>
          <w:szCs w:val="24"/>
        </w:rPr>
        <w:t xml:space="preserve"> OLD MUTUAL S.A., </w:t>
      </w:r>
      <w:r w:rsidRPr="00D61CDE">
        <w:rPr>
          <w:rFonts w:ascii="Arial" w:hAnsi="Arial" w:cs="Arial"/>
          <w:spacing w:val="4"/>
          <w:sz w:val="24"/>
          <w:szCs w:val="24"/>
        </w:rPr>
        <w:t>trasladar con destino a Colpensiones, la totalidad del capital acumulado en la cuenta de ahorro individual de la actora, con sus respectivos rendimientos, bonos pensionales, saldos, frutos, intereses y además, incluyendo los gastos de administración, seguros previsionales, las sumas de dinero que retiene para el fondo de garantía de pensión mínima y</w:t>
      </w:r>
      <w:r w:rsidR="00012C70" w:rsidRPr="00D61CDE">
        <w:rPr>
          <w:rFonts w:ascii="Arial" w:hAnsi="Arial" w:cs="Arial"/>
          <w:spacing w:val="4"/>
          <w:sz w:val="24"/>
          <w:szCs w:val="24"/>
        </w:rPr>
        <w:t xml:space="preserve"> </w:t>
      </w:r>
      <w:r w:rsidRPr="00D61CDE">
        <w:rPr>
          <w:rFonts w:ascii="Arial" w:hAnsi="Arial" w:cs="Arial"/>
          <w:spacing w:val="4"/>
          <w:sz w:val="24"/>
          <w:szCs w:val="24"/>
        </w:rPr>
        <w:t xml:space="preserve"> las comisiones cobradas con cargo a sus propios recursos, y debidamente indexados. </w:t>
      </w:r>
      <w:r w:rsidRPr="00D61CDE">
        <w:rPr>
          <w:rFonts w:ascii="Arial" w:hAnsi="Arial" w:cs="Arial"/>
          <w:b/>
          <w:spacing w:val="4"/>
          <w:sz w:val="24"/>
          <w:szCs w:val="24"/>
        </w:rPr>
        <w:t xml:space="preserve">(ii) ORDENAR A LA </w:t>
      </w:r>
      <w:proofErr w:type="spellStart"/>
      <w:r w:rsidRPr="00D61CDE">
        <w:rPr>
          <w:rFonts w:ascii="Arial" w:hAnsi="Arial" w:cs="Arial"/>
          <w:b/>
          <w:spacing w:val="4"/>
          <w:sz w:val="24"/>
          <w:szCs w:val="24"/>
        </w:rPr>
        <w:t>A.F.P</w:t>
      </w:r>
      <w:proofErr w:type="spellEnd"/>
      <w:r w:rsidRPr="00D61CDE">
        <w:rPr>
          <w:rFonts w:ascii="Arial" w:hAnsi="Arial" w:cs="Arial"/>
          <w:b/>
          <w:spacing w:val="4"/>
          <w:sz w:val="24"/>
          <w:szCs w:val="24"/>
        </w:rPr>
        <w:t xml:space="preserve"> PORVENIR S.A., </w:t>
      </w:r>
      <w:r w:rsidRPr="00D61CDE">
        <w:rPr>
          <w:rFonts w:ascii="Arial" w:hAnsi="Arial" w:cs="Arial"/>
          <w:spacing w:val="4"/>
          <w:sz w:val="24"/>
          <w:szCs w:val="24"/>
        </w:rPr>
        <w:t>trasladar con destino</w:t>
      </w:r>
      <w:r w:rsidR="00012C70" w:rsidRPr="00D61CDE">
        <w:rPr>
          <w:rFonts w:ascii="Arial" w:hAnsi="Arial" w:cs="Arial"/>
          <w:spacing w:val="4"/>
          <w:sz w:val="24"/>
          <w:szCs w:val="24"/>
        </w:rPr>
        <w:t xml:space="preserve"> </w:t>
      </w:r>
      <w:r w:rsidRPr="00D61CDE">
        <w:rPr>
          <w:rFonts w:ascii="Arial" w:hAnsi="Arial" w:cs="Arial"/>
          <w:spacing w:val="4"/>
          <w:sz w:val="24"/>
          <w:szCs w:val="24"/>
        </w:rPr>
        <w:t>a Colpensiones la totalidad de los valores correspondientes a gastos de administración, seguros previsionales, las sumas de dinero que retiene para el fondo de garantía de pensión mínima y comisiones que fueron cobrados durante el lapso de afiliación de la demandante a esas entidades, con cargo a sus propios recursos y, debidamente indexados, conforme las consideraciones vertidas en esta sentencia.</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tabs>
          <w:tab w:val="left" w:pos="2408"/>
        </w:tabs>
        <w:spacing w:line="276" w:lineRule="auto"/>
        <w:ind w:left="848"/>
        <w:rPr>
          <w:rFonts w:ascii="Arial" w:hAnsi="Arial" w:cs="Arial"/>
          <w:spacing w:val="4"/>
          <w:sz w:val="24"/>
          <w:szCs w:val="24"/>
        </w:rPr>
      </w:pPr>
      <w:r w:rsidRPr="00D61CDE">
        <w:rPr>
          <w:rFonts w:ascii="Arial" w:hAnsi="Arial" w:cs="Arial"/>
          <w:b/>
          <w:spacing w:val="4"/>
          <w:sz w:val="24"/>
          <w:szCs w:val="24"/>
        </w:rPr>
        <w:t>SEGUNDO:</w:t>
      </w:r>
      <w:r w:rsidRPr="00D61CDE">
        <w:rPr>
          <w:rFonts w:ascii="Arial" w:hAnsi="Arial" w:cs="Arial"/>
          <w:b/>
          <w:spacing w:val="4"/>
          <w:sz w:val="24"/>
          <w:szCs w:val="24"/>
        </w:rPr>
        <w:tab/>
        <w:t xml:space="preserve">CONFIRMAR </w:t>
      </w:r>
      <w:r w:rsidRPr="00D61CDE">
        <w:rPr>
          <w:rFonts w:ascii="Arial" w:hAnsi="Arial" w:cs="Arial"/>
          <w:spacing w:val="4"/>
          <w:sz w:val="24"/>
          <w:szCs w:val="24"/>
        </w:rPr>
        <w:t>en todo lo demás</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139" w:right="280" w:firstLine="708"/>
        <w:jc w:val="both"/>
        <w:rPr>
          <w:rFonts w:ascii="Arial" w:hAnsi="Arial" w:cs="Arial"/>
          <w:spacing w:val="4"/>
          <w:sz w:val="24"/>
          <w:szCs w:val="24"/>
        </w:rPr>
      </w:pPr>
      <w:r w:rsidRPr="00D61CDE">
        <w:rPr>
          <w:rFonts w:ascii="Arial" w:hAnsi="Arial" w:cs="Arial"/>
          <w:b/>
          <w:spacing w:val="4"/>
          <w:sz w:val="24"/>
          <w:szCs w:val="24"/>
        </w:rPr>
        <w:t xml:space="preserve">TERCERO: COSTAS </w:t>
      </w:r>
      <w:r w:rsidRPr="00D61CDE">
        <w:rPr>
          <w:rFonts w:ascii="Arial" w:hAnsi="Arial" w:cs="Arial"/>
          <w:spacing w:val="4"/>
          <w:sz w:val="24"/>
          <w:szCs w:val="24"/>
        </w:rPr>
        <w:t>en esta instancia a cargo de la AFP Porvenir S.A. por ser vencida en juicio.</w:t>
      </w:r>
    </w:p>
    <w:p w:rsidR="00D70503" w:rsidRPr="00D61CDE" w:rsidRDefault="00D70503" w:rsidP="001A211A">
      <w:pPr>
        <w:pStyle w:val="Textoindependiente"/>
        <w:spacing w:line="276" w:lineRule="auto"/>
        <w:rPr>
          <w:rFonts w:ascii="Arial" w:hAnsi="Arial" w:cs="Arial"/>
          <w:spacing w:val="4"/>
          <w:sz w:val="24"/>
          <w:szCs w:val="24"/>
        </w:rPr>
      </w:pPr>
    </w:p>
    <w:p w:rsidR="00D70503" w:rsidRPr="00D61CDE" w:rsidRDefault="002A5D1B" w:rsidP="001A211A">
      <w:pPr>
        <w:pStyle w:val="Textoindependiente"/>
        <w:spacing w:line="276" w:lineRule="auto"/>
        <w:ind w:left="847"/>
        <w:rPr>
          <w:rFonts w:ascii="Arial" w:hAnsi="Arial" w:cs="Arial"/>
          <w:spacing w:val="4"/>
          <w:sz w:val="24"/>
          <w:szCs w:val="24"/>
        </w:rPr>
      </w:pPr>
      <w:r w:rsidRPr="00D61CDE">
        <w:rPr>
          <w:rFonts w:ascii="Arial" w:hAnsi="Arial" w:cs="Arial"/>
          <w:spacing w:val="4"/>
          <w:sz w:val="24"/>
          <w:szCs w:val="24"/>
        </w:rPr>
        <w:t>La anterior decisión queda notificada en estados</w:t>
      </w:r>
    </w:p>
    <w:p w:rsidR="001A211A" w:rsidRPr="001A211A" w:rsidRDefault="001A211A" w:rsidP="001A211A">
      <w:pPr>
        <w:widowControl/>
        <w:autoSpaceDE/>
        <w:autoSpaceDN/>
        <w:spacing w:line="276" w:lineRule="auto"/>
        <w:jc w:val="both"/>
        <w:rPr>
          <w:rFonts w:ascii="Arial" w:eastAsia="Times New Roman" w:hAnsi="Arial" w:cs="Arial"/>
          <w:sz w:val="24"/>
          <w:szCs w:val="24"/>
          <w:lang w:val="es-ES_tradnl" w:bidi="ar-SA"/>
        </w:rPr>
      </w:pPr>
    </w:p>
    <w:p w:rsidR="001A211A" w:rsidRPr="001A211A" w:rsidRDefault="001A211A" w:rsidP="001A211A">
      <w:pPr>
        <w:widowControl/>
        <w:autoSpaceDE/>
        <w:autoSpaceDN/>
        <w:spacing w:line="276" w:lineRule="auto"/>
        <w:jc w:val="both"/>
        <w:rPr>
          <w:rFonts w:ascii="Arial" w:eastAsia="Times New Roman" w:hAnsi="Arial" w:cs="Arial"/>
          <w:sz w:val="24"/>
          <w:szCs w:val="24"/>
          <w:lang w:val="es-ES_tradnl" w:bidi="ar-SA"/>
        </w:rPr>
      </w:pPr>
    </w:p>
    <w:p w:rsidR="001A211A" w:rsidRPr="001A211A" w:rsidRDefault="001A211A" w:rsidP="001A211A">
      <w:pPr>
        <w:widowControl/>
        <w:autoSpaceDE/>
        <w:autoSpaceDN/>
        <w:spacing w:line="276" w:lineRule="auto"/>
        <w:jc w:val="both"/>
        <w:rPr>
          <w:rFonts w:ascii="Arial" w:eastAsia="Times New Roman" w:hAnsi="Arial" w:cs="Arial"/>
          <w:sz w:val="24"/>
          <w:szCs w:val="24"/>
          <w:lang w:val="es-ES_tradnl" w:bidi="ar-SA"/>
        </w:rPr>
      </w:pPr>
    </w:p>
    <w:p w:rsidR="001A211A" w:rsidRPr="001A211A" w:rsidRDefault="001A211A" w:rsidP="001A211A">
      <w:pPr>
        <w:widowControl/>
        <w:autoSpaceDE/>
        <w:autoSpaceDN/>
        <w:spacing w:line="276" w:lineRule="auto"/>
        <w:jc w:val="center"/>
        <w:rPr>
          <w:rFonts w:ascii="Arial" w:eastAsia="Times New Roman" w:hAnsi="Arial" w:cs="Arial"/>
          <w:b/>
          <w:bCs/>
          <w:iCs/>
          <w:sz w:val="24"/>
          <w:szCs w:val="24"/>
          <w:lang w:bidi="ar-SA"/>
        </w:rPr>
      </w:pPr>
      <w:r w:rsidRPr="001A211A">
        <w:rPr>
          <w:rFonts w:ascii="Arial" w:eastAsia="Times New Roman" w:hAnsi="Arial" w:cs="Arial"/>
          <w:b/>
          <w:bCs/>
          <w:iCs/>
          <w:sz w:val="24"/>
          <w:szCs w:val="24"/>
          <w:lang w:bidi="ar-SA"/>
        </w:rPr>
        <w:t>ALEJANDRA MARÍA HENAO PALACIO</w:t>
      </w:r>
    </w:p>
    <w:p w:rsidR="001A211A" w:rsidRPr="001A211A" w:rsidRDefault="001A211A" w:rsidP="001A211A">
      <w:pPr>
        <w:widowControl/>
        <w:autoSpaceDE/>
        <w:autoSpaceDN/>
        <w:spacing w:line="276" w:lineRule="auto"/>
        <w:jc w:val="center"/>
        <w:rPr>
          <w:rFonts w:ascii="Arial" w:eastAsia="Times New Roman" w:hAnsi="Arial" w:cs="Arial"/>
          <w:bCs/>
          <w:iCs/>
          <w:sz w:val="24"/>
          <w:szCs w:val="24"/>
          <w:lang w:bidi="ar-SA"/>
        </w:rPr>
      </w:pPr>
      <w:r w:rsidRPr="001A211A">
        <w:rPr>
          <w:rFonts w:ascii="Arial" w:eastAsia="Times New Roman" w:hAnsi="Arial" w:cs="Arial"/>
          <w:bCs/>
          <w:iCs/>
          <w:sz w:val="24"/>
          <w:szCs w:val="24"/>
          <w:lang w:bidi="ar-SA"/>
        </w:rPr>
        <w:t>Magistrada Ponente</w:t>
      </w:r>
    </w:p>
    <w:p w:rsidR="001A211A" w:rsidRPr="001A211A" w:rsidRDefault="001A211A" w:rsidP="001A211A">
      <w:pPr>
        <w:widowControl/>
        <w:autoSpaceDE/>
        <w:autoSpaceDN/>
        <w:spacing w:line="276" w:lineRule="auto"/>
        <w:jc w:val="both"/>
        <w:rPr>
          <w:rFonts w:ascii="Arial" w:eastAsia="Times New Roman" w:hAnsi="Arial" w:cs="Arial"/>
          <w:sz w:val="24"/>
          <w:szCs w:val="24"/>
          <w:lang w:val="es-ES_tradnl" w:bidi="ar-SA"/>
        </w:rPr>
      </w:pPr>
    </w:p>
    <w:p w:rsidR="001A211A" w:rsidRPr="001A211A" w:rsidRDefault="001A211A" w:rsidP="001A211A">
      <w:pPr>
        <w:widowControl/>
        <w:autoSpaceDE/>
        <w:autoSpaceDN/>
        <w:spacing w:line="276" w:lineRule="auto"/>
        <w:jc w:val="both"/>
        <w:rPr>
          <w:rFonts w:ascii="Arial" w:eastAsia="Times New Roman" w:hAnsi="Arial" w:cs="Arial"/>
          <w:sz w:val="24"/>
          <w:szCs w:val="24"/>
          <w:lang w:val="es-ES_tradnl" w:bidi="ar-SA"/>
        </w:rPr>
      </w:pPr>
    </w:p>
    <w:p w:rsidR="001A211A" w:rsidRPr="001A211A" w:rsidRDefault="001A211A" w:rsidP="001A211A">
      <w:pPr>
        <w:widowControl/>
        <w:autoSpaceDE/>
        <w:autoSpaceDN/>
        <w:spacing w:line="276" w:lineRule="auto"/>
        <w:jc w:val="both"/>
        <w:rPr>
          <w:rFonts w:ascii="Arial" w:eastAsia="Times New Roman" w:hAnsi="Arial" w:cs="Arial"/>
          <w:sz w:val="24"/>
          <w:szCs w:val="24"/>
          <w:lang w:val="es-ES_tradnl" w:bidi="ar-SA"/>
        </w:rPr>
      </w:pPr>
    </w:p>
    <w:p w:rsidR="001A211A" w:rsidRPr="001A211A" w:rsidRDefault="001A211A" w:rsidP="001A211A">
      <w:pPr>
        <w:widowControl/>
        <w:autoSpaceDE/>
        <w:autoSpaceDN/>
        <w:spacing w:line="276" w:lineRule="auto"/>
        <w:jc w:val="both"/>
        <w:rPr>
          <w:rFonts w:ascii="Arial" w:eastAsia="Times New Roman" w:hAnsi="Arial" w:cs="Arial"/>
          <w:b/>
          <w:bCs/>
          <w:iCs/>
          <w:sz w:val="24"/>
          <w:szCs w:val="24"/>
          <w:lang w:bidi="ar-SA"/>
        </w:rPr>
      </w:pPr>
      <w:r w:rsidRPr="001A211A">
        <w:rPr>
          <w:rFonts w:ascii="Arial" w:eastAsia="Times New Roman" w:hAnsi="Arial" w:cs="Arial"/>
          <w:b/>
          <w:bCs/>
          <w:iCs/>
          <w:sz w:val="24"/>
          <w:szCs w:val="24"/>
          <w:lang w:bidi="ar-SA"/>
        </w:rPr>
        <w:t>ANA LUCÍA CAICEDO CALDERÓN</w:t>
      </w:r>
      <w:r w:rsidRPr="001A211A">
        <w:rPr>
          <w:rFonts w:ascii="Arial" w:eastAsia="Times New Roman" w:hAnsi="Arial" w:cs="Arial"/>
          <w:b/>
          <w:bCs/>
          <w:iCs/>
          <w:sz w:val="24"/>
          <w:szCs w:val="24"/>
          <w:lang w:bidi="ar-SA"/>
        </w:rPr>
        <w:tab/>
        <w:t xml:space="preserve">      OLGA LUCIA HOYOS SEPÚLVEDA</w:t>
      </w:r>
    </w:p>
    <w:p w:rsidR="001A211A" w:rsidRPr="001A211A" w:rsidRDefault="001A211A" w:rsidP="001A211A">
      <w:pPr>
        <w:widowControl/>
        <w:autoSpaceDE/>
        <w:autoSpaceDN/>
        <w:spacing w:line="276" w:lineRule="auto"/>
        <w:jc w:val="both"/>
        <w:rPr>
          <w:rFonts w:ascii="Arial" w:eastAsia="Times New Roman" w:hAnsi="Arial" w:cs="Arial"/>
          <w:bCs/>
          <w:iCs/>
          <w:sz w:val="24"/>
          <w:szCs w:val="24"/>
          <w:lang w:bidi="ar-SA"/>
        </w:rPr>
      </w:pPr>
      <w:r w:rsidRPr="001A211A">
        <w:rPr>
          <w:rFonts w:ascii="Arial" w:eastAsia="Times New Roman" w:hAnsi="Arial" w:cs="Arial"/>
          <w:bCs/>
          <w:iCs/>
          <w:sz w:val="24"/>
          <w:szCs w:val="24"/>
          <w:lang w:bidi="ar-SA"/>
        </w:rPr>
        <w:t xml:space="preserve">                Magistrada</w:t>
      </w:r>
      <w:r w:rsidRPr="001A211A">
        <w:rPr>
          <w:rFonts w:ascii="Arial" w:eastAsia="Times New Roman" w:hAnsi="Arial" w:cs="Arial"/>
          <w:bCs/>
          <w:iCs/>
          <w:sz w:val="24"/>
          <w:szCs w:val="24"/>
          <w:lang w:bidi="ar-SA"/>
        </w:rPr>
        <w:tab/>
      </w:r>
      <w:r w:rsidRPr="001A211A">
        <w:rPr>
          <w:rFonts w:ascii="Arial" w:eastAsia="Times New Roman" w:hAnsi="Arial" w:cs="Arial"/>
          <w:bCs/>
          <w:iCs/>
          <w:sz w:val="24"/>
          <w:szCs w:val="24"/>
          <w:lang w:bidi="ar-SA"/>
        </w:rPr>
        <w:tab/>
      </w:r>
      <w:r w:rsidRPr="001A211A">
        <w:rPr>
          <w:rFonts w:ascii="Arial" w:eastAsia="Times New Roman" w:hAnsi="Arial" w:cs="Arial"/>
          <w:bCs/>
          <w:iCs/>
          <w:sz w:val="24"/>
          <w:szCs w:val="24"/>
          <w:lang w:bidi="ar-SA"/>
        </w:rPr>
        <w:tab/>
      </w:r>
      <w:r w:rsidRPr="001A211A">
        <w:rPr>
          <w:rFonts w:ascii="Arial" w:eastAsia="Times New Roman" w:hAnsi="Arial" w:cs="Arial"/>
          <w:bCs/>
          <w:iCs/>
          <w:sz w:val="24"/>
          <w:szCs w:val="24"/>
          <w:lang w:bidi="ar-SA"/>
        </w:rPr>
        <w:tab/>
      </w:r>
      <w:r w:rsidRPr="001A211A">
        <w:rPr>
          <w:rFonts w:ascii="Arial" w:eastAsia="Times New Roman" w:hAnsi="Arial" w:cs="Arial"/>
          <w:bCs/>
          <w:iCs/>
          <w:sz w:val="24"/>
          <w:szCs w:val="24"/>
          <w:lang w:bidi="ar-SA"/>
        </w:rPr>
        <w:tab/>
        <w:t xml:space="preserve">      </w:t>
      </w:r>
      <w:proofErr w:type="spellStart"/>
      <w:r w:rsidRPr="001A211A">
        <w:rPr>
          <w:rFonts w:ascii="Arial" w:eastAsia="Times New Roman" w:hAnsi="Arial" w:cs="Arial"/>
          <w:bCs/>
          <w:iCs/>
          <w:sz w:val="24"/>
          <w:szCs w:val="24"/>
          <w:lang w:bidi="ar-SA"/>
        </w:rPr>
        <w:t>Magistrada</w:t>
      </w:r>
      <w:proofErr w:type="spellEnd"/>
    </w:p>
    <w:p w:rsidR="00D70503" w:rsidRPr="001A211A" w:rsidRDefault="001A211A" w:rsidP="001A211A">
      <w:pPr>
        <w:pStyle w:val="Textoindependiente"/>
        <w:spacing w:line="276" w:lineRule="auto"/>
        <w:ind w:left="5789" w:right="1091"/>
        <w:rPr>
          <w:rFonts w:ascii="Arial" w:hAnsi="Arial" w:cs="Arial"/>
          <w:sz w:val="24"/>
          <w:szCs w:val="24"/>
        </w:rPr>
      </w:pPr>
      <w:r w:rsidRPr="001A211A">
        <w:rPr>
          <w:rFonts w:ascii="Arial" w:eastAsia="Times New Roman" w:hAnsi="Arial" w:cs="Arial"/>
          <w:bCs/>
          <w:iCs/>
          <w:sz w:val="24"/>
          <w:szCs w:val="24"/>
          <w:lang w:bidi="ar-SA"/>
        </w:rPr>
        <w:t xml:space="preserve">      </w:t>
      </w:r>
      <w:r>
        <w:rPr>
          <w:rFonts w:ascii="Arial" w:hAnsi="Arial" w:cs="Arial"/>
          <w:sz w:val="24"/>
          <w:szCs w:val="24"/>
        </w:rPr>
        <w:t>Aclara voto</w:t>
      </w:r>
    </w:p>
    <w:sectPr w:rsidR="00D70503" w:rsidRPr="001A211A" w:rsidSect="001A211A">
      <w:headerReference w:type="default" r:id="rId9"/>
      <w:footerReference w:type="default" r:id="rId10"/>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FC" w:rsidRDefault="00B254FC">
      <w:r>
        <w:separator/>
      </w:r>
    </w:p>
  </w:endnote>
  <w:endnote w:type="continuationSeparator" w:id="0">
    <w:p w:rsidR="00B254FC" w:rsidRDefault="00B2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03" w:rsidRDefault="00B254FC">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13.05pt;margin-top:958.15pt;width:16pt;height:15.3pt;z-index:-252186624;mso-wrap-style:square;mso-wrap-edited:f;mso-width-percent:0;mso-height-percent:0;mso-position-horizontal-relative:page;mso-position-vertical-relative:page;mso-width-percent:0;mso-height-percent:0;v-text-anchor:top" filled="f" stroked="f">
          <v:textbox style="mso-next-textbox:#_x0000_s2049" inset="0,0,0,0">
            <w:txbxContent>
              <w:p w:rsidR="00D70503" w:rsidRDefault="002A5D1B">
                <w:pPr>
                  <w:spacing w:before="10"/>
                  <w:ind w:left="40"/>
                  <w:rPr>
                    <w:rFonts w:ascii="Times New Roman"/>
                    <w:sz w:val="24"/>
                  </w:rPr>
                </w:pPr>
                <w:r>
                  <w:fldChar w:fldCharType="begin"/>
                </w:r>
                <w:r>
                  <w:rPr>
                    <w:rFonts w:ascii="Times New Roman"/>
                    <w:color w:val="595959"/>
                    <w:sz w:val="24"/>
                  </w:rPr>
                  <w:instrText xml:space="preserve"> PAGE </w:instrText>
                </w:r>
                <w:r>
                  <w:fldChar w:fldCharType="separate"/>
                </w:r>
                <w:r w:rsidR="00106339">
                  <w:rPr>
                    <w:rFonts w:ascii="Times New Roman"/>
                    <w:noProof/>
                    <w:color w:val="595959"/>
                    <w:sz w:val="24"/>
                  </w:rPr>
                  <w:t>17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FC" w:rsidRDefault="00B254FC">
      <w:r>
        <w:separator/>
      </w:r>
    </w:p>
  </w:footnote>
  <w:footnote w:type="continuationSeparator" w:id="0">
    <w:p w:rsidR="00B254FC" w:rsidRDefault="00B2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03" w:rsidRDefault="00B254FC">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83.95pt;margin-top:36.05pt;width:212.9pt;height:24.95pt;z-index:-252187648;mso-wrap-edited:f;mso-height-percent:0;mso-position-horizontal-relative:page;mso-position-vertical-relative:page;mso-height-percent:0;v-text-anchor:top" filled="f" stroked="f">
          <v:textbox style="mso-next-textbox:#_x0000_s2050" inset="0,0,0,0">
            <w:txbxContent>
              <w:p w:rsidR="00D70503" w:rsidRPr="001A211A" w:rsidRDefault="002A5D1B" w:rsidP="001A211A">
                <w:pPr>
                  <w:ind w:left="20"/>
                  <w:rPr>
                    <w:rFonts w:ascii="Arial" w:hAnsi="Arial" w:cs="Arial"/>
                    <w:sz w:val="18"/>
                  </w:rPr>
                </w:pPr>
                <w:r w:rsidRPr="001A211A">
                  <w:rPr>
                    <w:rFonts w:ascii="Arial" w:hAnsi="Arial" w:cs="Arial"/>
                    <w:color w:val="595959"/>
                    <w:sz w:val="18"/>
                  </w:rPr>
                  <w:t>Radicación No. 66001–31-05–003-2018-00072-01</w:t>
                </w:r>
              </w:p>
              <w:p w:rsidR="00D70503" w:rsidRPr="001A211A" w:rsidRDefault="002A5D1B" w:rsidP="001A211A">
                <w:pPr>
                  <w:ind w:left="20"/>
                  <w:rPr>
                    <w:rFonts w:ascii="Arial" w:hAnsi="Arial" w:cs="Arial"/>
                    <w:sz w:val="18"/>
                  </w:rPr>
                </w:pPr>
                <w:r w:rsidRPr="001A211A">
                  <w:rPr>
                    <w:rFonts w:ascii="Arial" w:hAnsi="Arial" w:cs="Arial"/>
                    <w:color w:val="595959"/>
                    <w:sz w:val="18"/>
                  </w:rPr>
                  <w:t xml:space="preserve">Pedro </w:t>
                </w:r>
                <w:proofErr w:type="spellStart"/>
                <w:r w:rsidRPr="001A211A">
                  <w:rPr>
                    <w:rFonts w:ascii="Arial" w:hAnsi="Arial" w:cs="Arial"/>
                    <w:color w:val="595959"/>
                    <w:sz w:val="18"/>
                  </w:rPr>
                  <w:t>Ome</w:t>
                </w:r>
                <w:proofErr w:type="spellEnd"/>
                <w:r w:rsidRPr="001A211A">
                  <w:rPr>
                    <w:rFonts w:ascii="Arial" w:hAnsi="Arial" w:cs="Arial"/>
                    <w:color w:val="595959"/>
                    <w:sz w:val="18"/>
                  </w:rPr>
                  <w:t xml:space="preserve"> Suárez vs </w:t>
                </w:r>
                <w:r w:rsidRPr="001A211A">
                  <w:rPr>
                    <w:rFonts w:ascii="Arial" w:hAnsi="Arial" w:cs="Arial"/>
                    <w:color w:val="595959"/>
                    <w:sz w:val="18"/>
                    <w:szCs w:val="18"/>
                  </w:rPr>
                  <w:t>Colpensiones</w:t>
                </w:r>
                <w:r w:rsidRPr="001A211A">
                  <w:rPr>
                    <w:rFonts w:ascii="Arial" w:hAnsi="Arial" w:cs="Arial"/>
                    <w:color w:val="595959"/>
                    <w:sz w:val="18"/>
                  </w:rPr>
                  <w:t xml:space="preserve"> y otros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2287"/>
    <w:multiLevelType w:val="multilevel"/>
    <w:tmpl w:val="7D802D56"/>
    <w:lvl w:ilvl="0">
      <w:start w:val="5"/>
      <w:numFmt w:val="decimal"/>
      <w:lvlText w:val="%1"/>
      <w:lvlJc w:val="left"/>
      <w:pPr>
        <w:ind w:left="1354" w:hanging="508"/>
      </w:pPr>
      <w:rPr>
        <w:rFonts w:hint="default"/>
        <w:lang w:val="es-ES" w:eastAsia="es-ES" w:bidi="es-ES"/>
      </w:rPr>
    </w:lvl>
    <w:lvl w:ilvl="1">
      <w:start w:val="1"/>
      <w:numFmt w:val="decimal"/>
      <w:lvlText w:val="%1.%2."/>
      <w:lvlJc w:val="left"/>
      <w:pPr>
        <w:ind w:left="1354" w:hanging="508"/>
      </w:pPr>
      <w:rPr>
        <w:rFonts w:ascii="Arial Narrow" w:eastAsia="Arial Narrow" w:hAnsi="Arial Narrow" w:cs="Arial Narrow" w:hint="default"/>
        <w:b/>
        <w:bCs/>
        <w:color w:val="auto"/>
        <w:spacing w:val="0"/>
        <w:w w:val="99"/>
        <w:sz w:val="28"/>
        <w:szCs w:val="28"/>
        <w:lang w:val="es-ES" w:eastAsia="es-ES" w:bidi="es-ES"/>
      </w:rPr>
    </w:lvl>
    <w:lvl w:ilvl="2">
      <w:numFmt w:val="bullet"/>
      <w:lvlText w:val="•"/>
      <w:lvlJc w:val="left"/>
      <w:pPr>
        <w:ind w:left="2940" w:hanging="508"/>
      </w:pPr>
      <w:rPr>
        <w:rFonts w:hint="default"/>
        <w:lang w:val="es-ES" w:eastAsia="es-ES" w:bidi="es-ES"/>
      </w:rPr>
    </w:lvl>
    <w:lvl w:ilvl="3">
      <w:numFmt w:val="bullet"/>
      <w:lvlText w:val="•"/>
      <w:lvlJc w:val="left"/>
      <w:pPr>
        <w:ind w:left="3730" w:hanging="508"/>
      </w:pPr>
      <w:rPr>
        <w:rFonts w:hint="default"/>
        <w:lang w:val="es-ES" w:eastAsia="es-ES" w:bidi="es-ES"/>
      </w:rPr>
    </w:lvl>
    <w:lvl w:ilvl="4">
      <w:numFmt w:val="bullet"/>
      <w:lvlText w:val="•"/>
      <w:lvlJc w:val="left"/>
      <w:pPr>
        <w:ind w:left="4520" w:hanging="508"/>
      </w:pPr>
      <w:rPr>
        <w:rFonts w:hint="default"/>
        <w:lang w:val="es-ES" w:eastAsia="es-ES" w:bidi="es-ES"/>
      </w:rPr>
    </w:lvl>
    <w:lvl w:ilvl="5">
      <w:numFmt w:val="bullet"/>
      <w:lvlText w:val="•"/>
      <w:lvlJc w:val="left"/>
      <w:pPr>
        <w:ind w:left="5310" w:hanging="508"/>
      </w:pPr>
      <w:rPr>
        <w:rFonts w:hint="default"/>
        <w:lang w:val="es-ES" w:eastAsia="es-ES" w:bidi="es-ES"/>
      </w:rPr>
    </w:lvl>
    <w:lvl w:ilvl="6">
      <w:numFmt w:val="bullet"/>
      <w:lvlText w:val="•"/>
      <w:lvlJc w:val="left"/>
      <w:pPr>
        <w:ind w:left="6100" w:hanging="508"/>
      </w:pPr>
      <w:rPr>
        <w:rFonts w:hint="default"/>
        <w:lang w:val="es-ES" w:eastAsia="es-ES" w:bidi="es-ES"/>
      </w:rPr>
    </w:lvl>
    <w:lvl w:ilvl="7">
      <w:numFmt w:val="bullet"/>
      <w:lvlText w:val="•"/>
      <w:lvlJc w:val="left"/>
      <w:pPr>
        <w:ind w:left="6890" w:hanging="508"/>
      </w:pPr>
      <w:rPr>
        <w:rFonts w:hint="default"/>
        <w:lang w:val="es-ES" w:eastAsia="es-ES" w:bidi="es-ES"/>
      </w:rPr>
    </w:lvl>
    <w:lvl w:ilvl="8">
      <w:numFmt w:val="bullet"/>
      <w:lvlText w:val="•"/>
      <w:lvlJc w:val="left"/>
      <w:pPr>
        <w:ind w:left="7680" w:hanging="508"/>
      </w:pPr>
      <w:rPr>
        <w:rFonts w:hint="default"/>
        <w:lang w:val="es-ES" w:eastAsia="es-ES" w:bidi="es-ES"/>
      </w:rPr>
    </w:lvl>
  </w:abstractNum>
  <w:abstractNum w:abstractNumId="1">
    <w:nsid w:val="54532D46"/>
    <w:multiLevelType w:val="hybridMultilevel"/>
    <w:tmpl w:val="184697C2"/>
    <w:lvl w:ilvl="0" w:tplc="90F6A9DE">
      <w:start w:val="1"/>
      <w:numFmt w:val="lowerLetter"/>
      <w:lvlText w:val="%1)"/>
      <w:lvlJc w:val="left"/>
      <w:pPr>
        <w:ind w:left="1148" w:hanging="305"/>
      </w:pPr>
      <w:rPr>
        <w:rFonts w:ascii="Arial Narrow" w:eastAsia="Arial Narrow" w:hAnsi="Arial Narrow" w:cs="Arial Narrow" w:hint="default"/>
        <w:b/>
        <w:bCs/>
        <w:color w:val="595959"/>
        <w:spacing w:val="0"/>
        <w:w w:val="99"/>
        <w:sz w:val="28"/>
        <w:szCs w:val="28"/>
        <w:lang w:val="es-ES" w:eastAsia="es-ES" w:bidi="es-ES"/>
      </w:rPr>
    </w:lvl>
    <w:lvl w:ilvl="1" w:tplc="3592AD8E">
      <w:numFmt w:val="bullet"/>
      <w:lvlText w:val="•"/>
      <w:lvlJc w:val="left"/>
      <w:pPr>
        <w:ind w:left="1952" w:hanging="305"/>
      </w:pPr>
      <w:rPr>
        <w:rFonts w:hint="default"/>
        <w:lang w:val="es-ES" w:eastAsia="es-ES" w:bidi="es-ES"/>
      </w:rPr>
    </w:lvl>
    <w:lvl w:ilvl="2" w:tplc="AD96FAD6">
      <w:numFmt w:val="bullet"/>
      <w:lvlText w:val="•"/>
      <w:lvlJc w:val="left"/>
      <w:pPr>
        <w:ind w:left="2764" w:hanging="305"/>
      </w:pPr>
      <w:rPr>
        <w:rFonts w:hint="default"/>
        <w:lang w:val="es-ES" w:eastAsia="es-ES" w:bidi="es-ES"/>
      </w:rPr>
    </w:lvl>
    <w:lvl w:ilvl="3" w:tplc="6BE25A04">
      <w:numFmt w:val="bullet"/>
      <w:lvlText w:val="•"/>
      <w:lvlJc w:val="left"/>
      <w:pPr>
        <w:ind w:left="3576" w:hanging="305"/>
      </w:pPr>
      <w:rPr>
        <w:rFonts w:hint="default"/>
        <w:lang w:val="es-ES" w:eastAsia="es-ES" w:bidi="es-ES"/>
      </w:rPr>
    </w:lvl>
    <w:lvl w:ilvl="4" w:tplc="B1627AB4">
      <w:numFmt w:val="bullet"/>
      <w:lvlText w:val="•"/>
      <w:lvlJc w:val="left"/>
      <w:pPr>
        <w:ind w:left="4388" w:hanging="305"/>
      </w:pPr>
      <w:rPr>
        <w:rFonts w:hint="default"/>
        <w:lang w:val="es-ES" w:eastAsia="es-ES" w:bidi="es-ES"/>
      </w:rPr>
    </w:lvl>
    <w:lvl w:ilvl="5" w:tplc="AD96DDD4">
      <w:numFmt w:val="bullet"/>
      <w:lvlText w:val="•"/>
      <w:lvlJc w:val="left"/>
      <w:pPr>
        <w:ind w:left="5200" w:hanging="305"/>
      </w:pPr>
      <w:rPr>
        <w:rFonts w:hint="default"/>
        <w:lang w:val="es-ES" w:eastAsia="es-ES" w:bidi="es-ES"/>
      </w:rPr>
    </w:lvl>
    <w:lvl w:ilvl="6" w:tplc="969C674A">
      <w:numFmt w:val="bullet"/>
      <w:lvlText w:val="•"/>
      <w:lvlJc w:val="left"/>
      <w:pPr>
        <w:ind w:left="6012" w:hanging="305"/>
      </w:pPr>
      <w:rPr>
        <w:rFonts w:hint="default"/>
        <w:lang w:val="es-ES" w:eastAsia="es-ES" w:bidi="es-ES"/>
      </w:rPr>
    </w:lvl>
    <w:lvl w:ilvl="7" w:tplc="E5D481F6">
      <w:numFmt w:val="bullet"/>
      <w:lvlText w:val="•"/>
      <w:lvlJc w:val="left"/>
      <w:pPr>
        <w:ind w:left="6824" w:hanging="305"/>
      </w:pPr>
      <w:rPr>
        <w:rFonts w:hint="default"/>
        <w:lang w:val="es-ES" w:eastAsia="es-ES" w:bidi="es-ES"/>
      </w:rPr>
    </w:lvl>
    <w:lvl w:ilvl="8" w:tplc="23943F72">
      <w:numFmt w:val="bullet"/>
      <w:lvlText w:val="•"/>
      <w:lvlJc w:val="left"/>
      <w:pPr>
        <w:ind w:left="7636" w:hanging="305"/>
      </w:pPr>
      <w:rPr>
        <w:rFonts w:hint="default"/>
        <w:lang w:val="es-ES" w:eastAsia="es-ES" w:bidi="es-ES"/>
      </w:rPr>
    </w:lvl>
  </w:abstractNum>
  <w:abstractNum w:abstractNumId="2">
    <w:nsid w:val="5D037A63"/>
    <w:multiLevelType w:val="hybridMultilevel"/>
    <w:tmpl w:val="5C98B9B6"/>
    <w:lvl w:ilvl="0" w:tplc="2FA07EDE">
      <w:start w:val="1"/>
      <w:numFmt w:val="upperRoman"/>
      <w:lvlText w:val="%1."/>
      <w:lvlJc w:val="left"/>
      <w:pPr>
        <w:ind w:left="1150" w:hanging="304"/>
      </w:pPr>
      <w:rPr>
        <w:rFonts w:ascii="Arial Narrow" w:eastAsia="Arial Narrow" w:hAnsi="Arial Narrow" w:cs="Arial Narrow" w:hint="default"/>
        <w:b/>
        <w:bCs/>
        <w:color w:val="auto"/>
        <w:spacing w:val="0"/>
        <w:w w:val="99"/>
        <w:sz w:val="28"/>
        <w:szCs w:val="28"/>
        <w:lang w:val="es-ES" w:eastAsia="es-ES" w:bidi="es-ES"/>
      </w:rPr>
    </w:lvl>
    <w:lvl w:ilvl="1" w:tplc="D0ECA114">
      <w:numFmt w:val="bullet"/>
      <w:lvlText w:val="•"/>
      <w:lvlJc w:val="left"/>
      <w:pPr>
        <w:ind w:left="1970" w:hanging="304"/>
      </w:pPr>
      <w:rPr>
        <w:rFonts w:hint="default"/>
        <w:lang w:val="es-ES" w:eastAsia="es-ES" w:bidi="es-ES"/>
      </w:rPr>
    </w:lvl>
    <w:lvl w:ilvl="2" w:tplc="0710328C">
      <w:numFmt w:val="bullet"/>
      <w:lvlText w:val="•"/>
      <w:lvlJc w:val="left"/>
      <w:pPr>
        <w:ind w:left="2780" w:hanging="304"/>
      </w:pPr>
      <w:rPr>
        <w:rFonts w:hint="default"/>
        <w:lang w:val="es-ES" w:eastAsia="es-ES" w:bidi="es-ES"/>
      </w:rPr>
    </w:lvl>
    <w:lvl w:ilvl="3" w:tplc="9B160D90">
      <w:numFmt w:val="bullet"/>
      <w:lvlText w:val="•"/>
      <w:lvlJc w:val="left"/>
      <w:pPr>
        <w:ind w:left="3590" w:hanging="304"/>
      </w:pPr>
      <w:rPr>
        <w:rFonts w:hint="default"/>
        <w:lang w:val="es-ES" w:eastAsia="es-ES" w:bidi="es-ES"/>
      </w:rPr>
    </w:lvl>
    <w:lvl w:ilvl="4" w:tplc="D2A8F9F4">
      <w:numFmt w:val="bullet"/>
      <w:lvlText w:val="•"/>
      <w:lvlJc w:val="left"/>
      <w:pPr>
        <w:ind w:left="4400" w:hanging="304"/>
      </w:pPr>
      <w:rPr>
        <w:rFonts w:hint="default"/>
        <w:lang w:val="es-ES" w:eastAsia="es-ES" w:bidi="es-ES"/>
      </w:rPr>
    </w:lvl>
    <w:lvl w:ilvl="5" w:tplc="B792F148">
      <w:numFmt w:val="bullet"/>
      <w:lvlText w:val="•"/>
      <w:lvlJc w:val="left"/>
      <w:pPr>
        <w:ind w:left="5210" w:hanging="304"/>
      </w:pPr>
      <w:rPr>
        <w:rFonts w:hint="default"/>
        <w:lang w:val="es-ES" w:eastAsia="es-ES" w:bidi="es-ES"/>
      </w:rPr>
    </w:lvl>
    <w:lvl w:ilvl="6" w:tplc="0F741F6C">
      <w:numFmt w:val="bullet"/>
      <w:lvlText w:val="•"/>
      <w:lvlJc w:val="left"/>
      <w:pPr>
        <w:ind w:left="6020" w:hanging="304"/>
      </w:pPr>
      <w:rPr>
        <w:rFonts w:hint="default"/>
        <w:lang w:val="es-ES" w:eastAsia="es-ES" w:bidi="es-ES"/>
      </w:rPr>
    </w:lvl>
    <w:lvl w:ilvl="7" w:tplc="E7623FD6">
      <w:numFmt w:val="bullet"/>
      <w:lvlText w:val="•"/>
      <w:lvlJc w:val="left"/>
      <w:pPr>
        <w:ind w:left="6830" w:hanging="304"/>
      </w:pPr>
      <w:rPr>
        <w:rFonts w:hint="default"/>
        <w:lang w:val="es-ES" w:eastAsia="es-ES" w:bidi="es-ES"/>
      </w:rPr>
    </w:lvl>
    <w:lvl w:ilvl="8" w:tplc="4DCCFE12">
      <w:numFmt w:val="bullet"/>
      <w:lvlText w:val="•"/>
      <w:lvlJc w:val="left"/>
      <w:pPr>
        <w:ind w:left="7640" w:hanging="304"/>
      </w:pPr>
      <w:rPr>
        <w:rFonts w:hint="default"/>
        <w:lang w:val="es-ES" w:eastAsia="es-ES" w:bidi="es-ES"/>
      </w:rPr>
    </w:lvl>
  </w:abstractNum>
  <w:abstractNum w:abstractNumId="3">
    <w:nsid w:val="71F46F6E"/>
    <w:multiLevelType w:val="multilevel"/>
    <w:tmpl w:val="FF1A30C4"/>
    <w:lvl w:ilvl="0">
      <w:start w:val="1"/>
      <w:numFmt w:val="decimal"/>
      <w:lvlText w:val="%1"/>
      <w:lvlJc w:val="left"/>
      <w:pPr>
        <w:ind w:left="1430" w:hanging="583"/>
      </w:pPr>
      <w:rPr>
        <w:rFonts w:hint="default"/>
        <w:lang w:val="es-ES" w:eastAsia="es-ES" w:bidi="es-ES"/>
      </w:rPr>
    </w:lvl>
    <w:lvl w:ilvl="1">
      <w:start w:val="1"/>
      <w:numFmt w:val="decimal"/>
      <w:lvlText w:val="%1.%2."/>
      <w:lvlJc w:val="left"/>
      <w:pPr>
        <w:ind w:left="1430" w:hanging="583"/>
      </w:pPr>
      <w:rPr>
        <w:rFonts w:ascii="Arial Narrow" w:eastAsia="Arial Narrow" w:hAnsi="Arial Narrow" w:cs="Arial Narrow" w:hint="default"/>
        <w:b/>
        <w:bCs/>
        <w:color w:val="auto"/>
        <w:spacing w:val="0"/>
        <w:w w:val="99"/>
        <w:sz w:val="28"/>
        <w:szCs w:val="28"/>
        <w:lang w:val="es-ES" w:eastAsia="es-ES" w:bidi="es-ES"/>
      </w:rPr>
    </w:lvl>
    <w:lvl w:ilvl="2">
      <w:start w:val="1"/>
      <w:numFmt w:val="decimal"/>
      <w:lvlText w:val="%1.%2.%3."/>
      <w:lvlJc w:val="left"/>
      <w:pPr>
        <w:ind w:left="1721" w:hanging="875"/>
      </w:pPr>
      <w:rPr>
        <w:rFonts w:ascii="Arial Narrow" w:eastAsia="Arial Narrow" w:hAnsi="Arial Narrow" w:cs="Arial Narrow" w:hint="default"/>
        <w:b/>
        <w:bCs/>
        <w:color w:val="auto"/>
        <w:spacing w:val="0"/>
        <w:w w:val="99"/>
        <w:sz w:val="28"/>
        <w:szCs w:val="28"/>
        <w:lang w:val="es-ES" w:eastAsia="es-ES" w:bidi="es-ES"/>
      </w:rPr>
    </w:lvl>
    <w:lvl w:ilvl="3">
      <w:numFmt w:val="bullet"/>
      <w:lvlText w:val="•"/>
      <w:lvlJc w:val="left"/>
      <w:pPr>
        <w:ind w:left="3395" w:hanging="875"/>
      </w:pPr>
      <w:rPr>
        <w:rFonts w:hint="default"/>
        <w:lang w:val="es-ES" w:eastAsia="es-ES" w:bidi="es-ES"/>
      </w:rPr>
    </w:lvl>
    <w:lvl w:ilvl="4">
      <w:numFmt w:val="bullet"/>
      <w:lvlText w:val="•"/>
      <w:lvlJc w:val="left"/>
      <w:pPr>
        <w:ind w:left="4233" w:hanging="875"/>
      </w:pPr>
      <w:rPr>
        <w:rFonts w:hint="default"/>
        <w:lang w:val="es-ES" w:eastAsia="es-ES" w:bidi="es-ES"/>
      </w:rPr>
    </w:lvl>
    <w:lvl w:ilvl="5">
      <w:numFmt w:val="bullet"/>
      <w:lvlText w:val="•"/>
      <w:lvlJc w:val="left"/>
      <w:pPr>
        <w:ind w:left="5071" w:hanging="875"/>
      </w:pPr>
      <w:rPr>
        <w:rFonts w:hint="default"/>
        <w:lang w:val="es-ES" w:eastAsia="es-ES" w:bidi="es-ES"/>
      </w:rPr>
    </w:lvl>
    <w:lvl w:ilvl="6">
      <w:numFmt w:val="bullet"/>
      <w:lvlText w:val="•"/>
      <w:lvlJc w:val="left"/>
      <w:pPr>
        <w:ind w:left="5908" w:hanging="875"/>
      </w:pPr>
      <w:rPr>
        <w:rFonts w:hint="default"/>
        <w:lang w:val="es-ES" w:eastAsia="es-ES" w:bidi="es-ES"/>
      </w:rPr>
    </w:lvl>
    <w:lvl w:ilvl="7">
      <w:numFmt w:val="bullet"/>
      <w:lvlText w:val="•"/>
      <w:lvlJc w:val="left"/>
      <w:pPr>
        <w:ind w:left="6746" w:hanging="875"/>
      </w:pPr>
      <w:rPr>
        <w:rFonts w:hint="default"/>
        <w:lang w:val="es-ES" w:eastAsia="es-ES" w:bidi="es-ES"/>
      </w:rPr>
    </w:lvl>
    <w:lvl w:ilvl="8">
      <w:numFmt w:val="bullet"/>
      <w:lvlText w:val="•"/>
      <w:lvlJc w:val="left"/>
      <w:pPr>
        <w:ind w:left="7584" w:hanging="875"/>
      </w:pPr>
      <w:rPr>
        <w:rFonts w:hint="default"/>
        <w:lang w:val="es-ES" w:eastAsia="es-ES" w:bidi="es-E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70503"/>
    <w:rsid w:val="00012C70"/>
    <w:rsid w:val="000E5E66"/>
    <w:rsid w:val="00106339"/>
    <w:rsid w:val="00150581"/>
    <w:rsid w:val="001A211A"/>
    <w:rsid w:val="002A5D1B"/>
    <w:rsid w:val="0066493A"/>
    <w:rsid w:val="00786F0B"/>
    <w:rsid w:val="00875F73"/>
    <w:rsid w:val="00950DEE"/>
    <w:rsid w:val="00B254FC"/>
    <w:rsid w:val="00B42913"/>
    <w:rsid w:val="00CD203F"/>
    <w:rsid w:val="00D61CDE"/>
    <w:rsid w:val="00D705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es-ES" w:eastAsia="es-ES" w:bidi="es-ES"/>
    </w:rPr>
  </w:style>
  <w:style w:type="paragraph" w:styleId="Ttulo1">
    <w:name w:val="heading 1"/>
    <w:basedOn w:val="Normal"/>
    <w:uiPriority w:val="9"/>
    <w:qFormat/>
    <w:pPr>
      <w:ind w:left="938"/>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39" w:hanging="508"/>
    </w:pPr>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1A211A"/>
    <w:pPr>
      <w:tabs>
        <w:tab w:val="center" w:pos="4252"/>
        <w:tab w:val="right" w:pos="8504"/>
      </w:tabs>
    </w:pPr>
  </w:style>
  <w:style w:type="character" w:customStyle="1" w:styleId="EncabezadoCar">
    <w:name w:val="Encabezado Car"/>
    <w:basedOn w:val="Fuentedeprrafopredeter"/>
    <w:link w:val="Encabezado"/>
    <w:uiPriority w:val="99"/>
    <w:rsid w:val="001A211A"/>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1A211A"/>
    <w:pPr>
      <w:tabs>
        <w:tab w:val="center" w:pos="4252"/>
        <w:tab w:val="right" w:pos="8504"/>
      </w:tabs>
    </w:pPr>
  </w:style>
  <w:style w:type="character" w:customStyle="1" w:styleId="PiedepginaCar">
    <w:name w:val="Pie de página Car"/>
    <w:basedOn w:val="Fuentedeprrafopredeter"/>
    <w:link w:val="Piedepgina"/>
    <w:rsid w:val="001A211A"/>
    <w:rPr>
      <w:rFonts w:ascii="Arial Narrow" w:eastAsia="Arial Narrow" w:hAnsi="Arial Narrow" w:cs="Arial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8097</Words>
  <Characters>44535</Characters>
  <Application>Microsoft Office Word</Application>
  <DocSecurity>0</DocSecurity>
  <Lines>371</Lines>
  <Paragraphs>105</Paragraphs>
  <ScaleCrop>false</ScaleCrop>
  <Company/>
  <LinksUpToDate>false</LinksUpToDate>
  <CharactersWithSpaces>52527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ALONSO</cp:lastModifiedBy>
  <cp:revision>8</cp:revision>
  <dcterms:created xsi:type="dcterms:W3CDTF">2020-10-20T12:54:00Z</dcterms:created>
  <dcterms:modified xsi:type="dcterms:W3CDTF">2020-11-05T17:43:00Z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Word</vt:lpwstr>
  </property>
  <property fmtid="{D5CDD505-2E9C-101B-9397-08002B2CF9AE}" pid="4" name="LastSaved">
    <vt:filetime>2020-10-20T00:00:00Z</vt:filetime>
  </property>
</Properties>
</file>