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9F399" w14:textId="77777777" w:rsidR="002B3E14" w:rsidRPr="002B3E14" w:rsidRDefault="002B3E14" w:rsidP="002B3E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B3E1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030236" w14:textId="77777777" w:rsidR="002B3E14" w:rsidRPr="002B3E14" w:rsidRDefault="002B3E14" w:rsidP="002B3E14">
      <w:pPr>
        <w:jc w:val="both"/>
        <w:rPr>
          <w:rFonts w:ascii="Arial" w:hAnsi="Arial" w:cs="Arial"/>
          <w:sz w:val="20"/>
          <w:lang w:val="es-419"/>
        </w:rPr>
      </w:pPr>
    </w:p>
    <w:p w14:paraId="633559C6" w14:textId="5406654A" w:rsidR="008214AD" w:rsidRPr="008214AD" w:rsidRDefault="008214AD" w:rsidP="008214AD">
      <w:pPr>
        <w:jc w:val="both"/>
        <w:rPr>
          <w:rFonts w:ascii="Arial" w:hAnsi="Arial" w:cs="Arial"/>
          <w:b/>
          <w:bCs/>
          <w:iCs/>
          <w:sz w:val="20"/>
          <w:lang w:val="es-419" w:eastAsia="fr-FR"/>
        </w:rPr>
      </w:pPr>
      <w:r w:rsidRPr="008214AD">
        <w:rPr>
          <w:rFonts w:ascii="Arial" w:hAnsi="Arial" w:cs="Arial"/>
          <w:b/>
          <w:bCs/>
          <w:iCs/>
          <w:sz w:val="20"/>
          <w:u w:val="single"/>
          <w:lang w:val="es-419" w:eastAsia="fr-FR"/>
        </w:rPr>
        <w:t>TEMAS:</w:t>
      </w:r>
      <w:r w:rsidRPr="008214AD">
        <w:rPr>
          <w:rFonts w:ascii="Arial" w:hAnsi="Arial" w:cs="Arial"/>
          <w:b/>
          <w:bCs/>
          <w:iCs/>
          <w:sz w:val="20"/>
          <w:lang w:val="es-419" w:eastAsia="fr-FR"/>
        </w:rPr>
        <w:tab/>
      </w:r>
      <w:r w:rsidRPr="008214AD">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10C1E27D" w14:textId="77777777" w:rsidR="008214AD" w:rsidRPr="008214AD" w:rsidRDefault="008214AD" w:rsidP="008214AD">
      <w:pPr>
        <w:jc w:val="both"/>
        <w:rPr>
          <w:rFonts w:ascii="Arial" w:hAnsi="Arial" w:cs="Arial"/>
          <w:sz w:val="20"/>
          <w:lang w:val="es-419"/>
        </w:rPr>
      </w:pPr>
    </w:p>
    <w:p w14:paraId="791A9BEA" w14:textId="77777777" w:rsidR="008214AD" w:rsidRPr="008214AD" w:rsidRDefault="008214AD" w:rsidP="008214AD">
      <w:pPr>
        <w:jc w:val="both"/>
        <w:rPr>
          <w:rFonts w:ascii="Arial" w:hAnsi="Arial" w:cs="Arial"/>
          <w:sz w:val="20"/>
          <w:lang w:val="es-419"/>
        </w:rPr>
      </w:pPr>
      <w:r w:rsidRPr="008214AD">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0CDC5D4B" w14:textId="77777777" w:rsidR="008214AD" w:rsidRPr="008214AD" w:rsidRDefault="008214AD" w:rsidP="008214AD">
      <w:pPr>
        <w:jc w:val="both"/>
        <w:rPr>
          <w:rFonts w:ascii="Arial" w:hAnsi="Arial" w:cs="Arial"/>
          <w:sz w:val="20"/>
          <w:lang w:val="es-419"/>
        </w:rPr>
      </w:pPr>
    </w:p>
    <w:p w14:paraId="7CF3AE54" w14:textId="77777777" w:rsidR="008214AD" w:rsidRPr="008214AD" w:rsidRDefault="008214AD" w:rsidP="008214AD">
      <w:pPr>
        <w:jc w:val="both"/>
        <w:rPr>
          <w:rFonts w:ascii="Arial" w:hAnsi="Arial" w:cs="Arial"/>
          <w:sz w:val="20"/>
          <w:lang w:val="es-419"/>
        </w:rPr>
      </w:pPr>
      <w:r w:rsidRPr="008214AD">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2B73D38A" w14:textId="77777777" w:rsidR="008214AD" w:rsidRPr="008214AD" w:rsidRDefault="008214AD" w:rsidP="008214AD">
      <w:pPr>
        <w:jc w:val="both"/>
        <w:rPr>
          <w:rFonts w:ascii="Arial" w:hAnsi="Arial" w:cs="Arial"/>
          <w:sz w:val="20"/>
          <w:lang w:val="es-419"/>
        </w:rPr>
      </w:pPr>
    </w:p>
    <w:p w14:paraId="158714E6" w14:textId="77777777" w:rsidR="008214AD" w:rsidRPr="008214AD" w:rsidRDefault="008214AD" w:rsidP="008214AD">
      <w:pPr>
        <w:jc w:val="both"/>
        <w:rPr>
          <w:rFonts w:ascii="Arial" w:hAnsi="Arial" w:cs="Arial"/>
          <w:sz w:val="20"/>
          <w:lang w:val="es-419"/>
        </w:rPr>
      </w:pPr>
      <w:r w:rsidRPr="008214AD">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A398522" w14:textId="77777777" w:rsidR="008214AD" w:rsidRPr="008214AD" w:rsidRDefault="008214AD" w:rsidP="008214AD">
      <w:pPr>
        <w:jc w:val="both"/>
        <w:rPr>
          <w:rFonts w:ascii="Arial" w:hAnsi="Arial" w:cs="Arial"/>
          <w:sz w:val="20"/>
          <w:lang w:val="es-419"/>
        </w:rPr>
      </w:pPr>
    </w:p>
    <w:p w14:paraId="0BB5516E" w14:textId="77777777" w:rsidR="008214AD" w:rsidRPr="008214AD" w:rsidRDefault="008214AD" w:rsidP="008214AD">
      <w:pPr>
        <w:jc w:val="both"/>
        <w:rPr>
          <w:rFonts w:ascii="Arial" w:hAnsi="Arial" w:cs="Arial"/>
          <w:sz w:val="20"/>
          <w:lang w:val="es-419"/>
        </w:rPr>
      </w:pPr>
      <w:r w:rsidRPr="008214AD">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4601A7FA" w14:textId="77777777" w:rsidR="008214AD" w:rsidRPr="008214AD" w:rsidRDefault="008214AD" w:rsidP="008214AD">
      <w:pPr>
        <w:jc w:val="both"/>
        <w:rPr>
          <w:rFonts w:ascii="Arial" w:hAnsi="Arial" w:cs="Arial"/>
          <w:sz w:val="20"/>
          <w:lang w:val="es-419"/>
        </w:rPr>
      </w:pPr>
    </w:p>
    <w:p w14:paraId="4895F271" w14:textId="77777777" w:rsidR="008214AD" w:rsidRPr="008214AD" w:rsidRDefault="008214AD" w:rsidP="008214AD">
      <w:pPr>
        <w:jc w:val="both"/>
        <w:rPr>
          <w:rFonts w:ascii="Arial" w:hAnsi="Arial" w:cs="Arial"/>
          <w:sz w:val="20"/>
          <w:lang w:val="es-419"/>
        </w:rPr>
      </w:pPr>
      <w:r w:rsidRPr="008214AD">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B82C3F9" w14:textId="77777777" w:rsidR="008214AD" w:rsidRPr="008214AD" w:rsidRDefault="008214AD" w:rsidP="008214AD">
      <w:pPr>
        <w:jc w:val="both"/>
        <w:rPr>
          <w:rFonts w:ascii="Arial" w:hAnsi="Arial" w:cs="Arial"/>
          <w:sz w:val="20"/>
          <w:lang w:val="es-419"/>
        </w:rPr>
      </w:pPr>
    </w:p>
    <w:p w14:paraId="22A50904" w14:textId="7A06054D" w:rsidR="008214AD" w:rsidRPr="008214AD" w:rsidRDefault="008214AD" w:rsidP="008214AD">
      <w:pPr>
        <w:jc w:val="both"/>
        <w:rPr>
          <w:rFonts w:ascii="Arial" w:hAnsi="Arial" w:cs="Arial"/>
          <w:sz w:val="20"/>
          <w:lang w:val="es-ES"/>
        </w:rPr>
      </w:pPr>
      <w:r w:rsidRPr="008214AD">
        <w:rPr>
          <w:rFonts w:ascii="Arial" w:hAnsi="Arial" w:cs="Arial"/>
          <w:sz w:val="20"/>
          <w:lang w:val="es-ES"/>
        </w:rPr>
        <w:t xml:space="preserve">… </w:t>
      </w:r>
      <w:r w:rsidR="00F12D54" w:rsidRPr="00F12D54">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F12D54" w:rsidRPr="00F12D54">
        <w:rPr>
          <w:rFonts w:ascii="Arial" w:hAnsi="Arial" w:cs="Arial"/>
          <w:sz w:val="20"/>
          <w:lang w:val="es-ES"/>
        </w:rPr>
        <w:t>A.F.P</w:t>
      </w:r>
      <w:proofErr w:type="spellEnd"/>
      <w:r w:rsidR="00F12D54" w:rsidRPr="00F12D54">
        <w:rPr>
          <w:rFonts w:ascii="Arial" w:hAnsi="Arial" w:cs="Arial"/>
          <w:sz w:val="20"/>
          <w:lang w:val="es-ES"/>
        </w:rPr>
        <w:t>, que devendrá en la ineficacia del traslado de régimen pensional.</w:t>
      </w:r>
    </w:p>
    <w:p w14:paraId="3057A4F6" w14:textId="77777777" w:rsidR="008214AD" w:rsidRPr="008214AD" w:rsidRDefault="008214AD" w:rsidP="008214AD">
      <w:pPr>
        <w:jc w:val="both"/>
        <w:rPr>
          <w:rFonts w:ascii="Arial" w:hAnsi="Arial" w:cs="Arial"/>
          <w:sz w:val="20"/>
          <w:lang w:val="es-ES"/>
        </w:rPr>
      </w:pPr>
    </w:p>
    <w:p w14:paraId="2D604849" w14:textId="77777777" w:rsidR="008214AD" w:rsidRPr="008214AD" w:rsidRDefault="008214AD" w:rsidP="008214AD">
      <w:pPr>
        <w:jc w:val="both"/>
        <w:rPr>
          <w:rFonts w:ascii="Arial" w:hAnsi="Arial" w:cs="Arial"/>
          <w:sz w:val="20"/>
          <w:lang w:val="es-ES"/>
        </w:rPr>
      </w:pPr>
    </w:p>
    <w:p w14:paraId="61C1E6F8" w14:textId="77777777" w:rsidR="008214AD" w:rsidRPr="008214AD" w:rsidRDefault="008214AD" w:rsidP="008214AD">
      <w:pPr>
        <w:jc w:val="both"/>
        <w:rPr>
          <w:rFonts w:ascii="Arial" w:hAnsi="Arial" w:cs="Arial"/>
          <w:sz w:val="20"/>
          <w:lang w:val="es-ES"/>
        </w:rPr>
      </w:pPr>
    </w:p>
    <w:p w14:paraId="3020502C" w14:textId="77777777" w:rsidR="00AE5132" w:rsidRPr="002B3E14" w:rsidRDefault="00AE5132" w:rsidP="002B3E14">
      <w:pPr>
        <w:pStyle w:val="Sinespaciado"/>
        <w:spacing w:line="276" w:lineRule="auto"/>
        <w:ind w:firstLine="708"/>
        <w:jc w:val="center"/>
        <w:rPr>
          <w:rFonts w:ascii="Arial" w:hAnsi="Arial" w:cs="Arial"/>
          <w:b/>
          <w:bCs/>
          <w:spacing w:val="12"/>
          <w:szCs w:val="24"/>
        </w:rPr>
      </w:pPr>
      <w:r w:rsidRPr="002B3E14">
        <w:rPr>
          <w:rFonts w:ascii="Arial" w:hAnsi="Arial" w:cs="Arial"/>
          <w:b/>
          <w:bCs/>
          <w:spacing w:val="12"/>
          <w:szCs w:val="24"/>
        </w:rPr>
        <w:t>REPÚBLICA DE COLOMBIA</w:t>
      </w:r>
    </w:p>
    <w:p w14:paraId="62B07CA7" w14:textId="77777777" w:rsidR="00AE5132" w:rsidRPr="002B3E14" w:rsidRDefault="00AE5132" w:rsidP="002B3E14">
      <w:pPr>
        <w:pStyle w:val="Sinespaciado"/>
        <w:spacing w:line="276" w:lineRule="auto"/>
        <w:ind w:firstLine="708"/>
        <w:jc w:val="center"/>
        <w:rPr>
          <w:rFonts w:ascii="Arial" w:hAnsi="Arial" w:cs="Arial"/>
          <w:b/>
          <w:bCs/>
          <w:spacing w:val="12"/>
          <w:szCs w:val="24"/>
        </w:rPr>
      </w:pPr>
      <w:r w:rsidRPr="002B3E14">
        <w:rPr>
          <w:rFonts w:ascii="Arial" w:hAnsi="Arial" w:cs="Arial"/>
          <w:b/>
          <w:bCs/>
          <w:spacing w:val="12"/>
          <w:szCs w:val="24"/>
        </w:rPr>
        <w:object w:dxaOrig="2289" w:dyaOrig="1470" w14:anchorId="6AC47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4.55pt" o:ole="" fillcolor="window">
            <v:imagedata r:id="rId11" o:title=""/>
          </v:shape>
          <o:OLEObject Type="Embed" ProgID="Word.Picture.8" ShapeID="_x0000_i1025" DrawAspect="Content" ObjectID="_1666084537" r:id="rId12"/>
        </w:object>
      </w:r>
    </w:p>
    <w:p w14:paraId="27AAF640" w14:textId="77777777" w:rsidR="00AE5132" w:rsidRPr="002B3E14" w:rsidRDefault="00AE5132" w:rsidP="002B3E14">
      <w:pPr>
        <w:pStyle w:val="Sinespaciado"/>
        <w:spacing w:line="276" w:lineRule="auto"/>
        <w:ind w:firstLine="708"/>
        <w:jc w:val="center"/>
        <w:rPr>
          <w:rFonts w:ascii="Arial" w:hAnsi="Arial" w:cs="Arial"/>
          <w:b/>
          <w:bCs/>
          <w:spacing w:val="12"/>
          <w:szCs w:val="24"/>
        </w:rPr>
      </w:pPr>
      <w:r w:rsidRPr="002B3E14">
        <w:rPr>
          <w:rFonts w:ascii="Arial" w:hAnsi="Arial" w:cs="Arial"/>
          <w:b/>
          <w:bCs/>
          <w:spacing w:val="12"/>
          <w:szCs w:val="24"/>
        </w:rPr>
        <w:t>TRIBUNAL SUPERIOR DE DISTRITO JUDICIAL DE PEREIRA</w:t>
      </w:r>
    </w:p>
    <w:p w14:paraId="64B5B816" w14:textId="77777777" w:rsidR="00AE5132" w:rsidRPr="002B3E14" w:rsidRDefault="00AE5132" w:rsidP="002B3E14">
      <w:pPr>
        <w:pStyle w:val="Sinespaciado"/>
        <w:spacing w:line="276" w:lineRule="auto"/>
        <w:ind w:firstLine="708"/>
        <w:jc w:val="center"/>
        <w:rPr>
          <w:rFonts w:ascii="Arial" w:hAnsi="Arial" w:cs="Arial"/>
          <w:b/>
          <w:bCs/>
          <w:spacing w:val="12"/>
          <w:szCs w:val="24"/>
        </w:rPr>
      </w:pPr>
      <w:r w:rsidRPr="002B3E14">
        <w:rPr>
          <w:rFonts w:ascii="Arial" w:hAnsi="Arial" w:cs="Arial"/>
          <w:b/>
          <w:bCs/>
          <w:spacing w:val="12"/>
          <w:szCs w:val="24"/>
        </w:rPr>
        <w:t>SALA CUARTA DE DECISIÓN LABORAL</w:t>
      </w:r>
    </w:p>
    <w:p w14:paraId="2A63FEBB" w14:textId="77777777" w:rsidR="00AE5132" w:rsidRPr="002B3E14" w:rsidRDefault="00AE5132" w:rsidP="002B3E14">
      <w:pPr>
        <w:pStyle w:val="Sinespaciado"/>
        <w:spacing w:line="276" w:lineRule="auto"/>
        <w:ind w:firstLine="708"/>
        <w:jc w:val="center"/>
        <w:rPr>
          <w:rFonts w:ascii="Arial" w:hAnsi="Arial" w:cs="Arial"/>
          <w:spacing w:val="12"/>
          <w:szCs w:val="24"/>
        </w:rPr>
      </w:pPr>
    </w:p>
    <w:p w14:paraId="5930247F" w14:textId="07FAB49B" w:rsidR="00AE5132" w:rsidRPr="002B3E14" w:rsidRDefault="002B3E14" w:rsidP="002B3E14">
      <w:pPr>
        <w:pStyle w:val="Sinespaciado"/>
        <w:spacing w:line="276" w:lineRule="auto"/>
        <w:ind w:firstLine="708"/>
        <w:jc w:val="center"/>
        <w:rPr>
          <w:rFonts w:ascii="Arial" w:hAnsi="Arial" w:cs="Arial"/>
          <w:spacing w:val="12"/>
          <w:szCs w:val="24"/>
        </w:rPr>
      </w:pPr>
      <w:r w:rsidRPr="002B3E14">
        <w:rPr>
          <w:rFonts w:ascii="Arial" w:hAnsi="Arial" w:cs="Arial"/>
          <w:spacing w:val="12"/>
          <w:szCs w:val="24"/>
        </w:rPr>
        <w:t>Magistrada Ponente</w:t>
      </w:r>
      <w:r w:rsidR="00AE5132" w:rsidRPr="002B3E14">
        <w:rPr>
          <w:rFonts w:ascii="Arial" w:hAnsi="Arial" w:cs="Arial"/>
          <w:spacing w:val="12"/>
          <w:szCs w:val="24"/>
        </w:rPr>
        <w:t xml:space="preserve">: </w:t>
      </w:r>
    </w:p>
    <w:p w14:paraId="26F510CD" w14:textId="77777777" w:rsidR="00AE5132" w:rsidRPr="002B3E14" w:rsidRDefault="00AE5132" w:rsidP="002B3E14">
      <w:pPr>
        <w:pStyle w:val="Sinespaciado"/>
        <w:spacing w:line="276" w:lineRule="auto"/>
        <w:ind w:firstLine="708"/>
        <w:jc w:val="center"/>
        <w:rPr>
          <w:rFonts w:ascii="Arial" w:hAnsi="Arial" w:cs="Arial"/>
          <w:b/>
          <w:bCs/>
          <w:spacing w:val="12"/>
          <w:szCs w:val="24"/>
        </w:rPr>
      </w:pPr>
      <w:r w:rsidRPr="002B3E14">
        <w:rPr>
          <w:rFonts w:ascii="Arial" w:hAnsi="Arial" w:cs="Arial"/>
          <w:b/>
          <w:bCs/>
          <w:spacing w:val="12"/>
          <w:szCs w:val="24"/>
        </w:rPr>
        <w:lastRenderedPageBreak/>
        <w:t>ALEJANDRA MARÍA HENAO PALACIO</w:t>
      </w:r>
    </w:p>
    <w:p w14:paraId="22925B32" w14:textId="77777777" w:rsidR="00AE5132" w:rsidRPr="002B3E14" w:rsidRDefault="00AE5132" w:rsidP="002B3E14">
      <w:pPr>
        <w:pStyle w:val="Sinespaciado"/>
        <w:spacing w:line="276" w:lineRule="auto"/>
        <w:ind w:firstLine="708"/>
        <w:jc w:val="both"/>
        <w:rPr>
          <w:rFonts w:ascii="Arial" w:hAnsi="Arial" w:cs="Arial"/>
          <w:spacing w:val="12"/>
          <w:szCs w:val="24"/>
        </w:rPr>
      </w:pPr>
    </w:p>
    <w:tbl>
      <w:tblPr>
        <w:tblStyle w:val="Tablaconcuadrcula"/>
        <w:tblW w:w="8127" w:type="dxa"/>
        <w:tblInd w:w="799" w:type="dxa"/>
        <w:tblLook w:val="04A0" w:firstRow="1" w:lastRow="0" w:firstColumn="1" w:lastColumn="0" w:noHBand="0" w:noVBand="1"/>
      </w:tblPr>
      <w:tblGrid>
        <w:gridCol w:w="2144"/>
        <w:gridCol w:w="5983"/>
      </w:tblGrid>
      <w:tr w:rsidR="002B3E14" w:rsidRPr="002B3E14" w14:paraId="6E75E3E6" w14:textId="77777777" w:rsidTr="002B3E14">
        <w:tc>
          <w:tcPr>
            <w:tcW w:w="2144" w:type="dxa"/>
          </w:tcPr>
          <w:p w14:paraId="63C15505"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Demandante:</w:t>
            </w:r>
          </w:p>
        </w:tc>
        <w:tc>
          <w:tcPr>
            <w:tcW w:w="5983" w:type="dxa"/>
          </w:tcPr>
          <w:p w14:paraId="0AE78214"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 xml:space="preserve">HILDA INES GONZÁLEZ FLORIAN    </w:t>
            </w:r>
          </w:p>
        </w:tc>
      </w:tr>
      <w:tr w:rsidR="002B3E14" w:rsidRPr="002B3E14" w14:paraId="22DC5363" w14:textId="77777777" w:rsidTr="002B3E14">
        <w:tc>
          <w:tcPr>
            <w:tcW w:w="2144" w:type="dxa"/>
          </w:tcPr>
          <w:p w14:paraId="3BB4D5F5"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Demandado:</w:t>
            </w:r>
          </w:p>
        </w:tc>
        <w:tc>
          <w:tcPr>
            <w:tcW w:w="5983" w:type="dxa"/>
          </w:tcPr>
          <w:p w14:paraId="2380E4F5" w14:textId="659E5407" w:rsidR="00AE5132" w:rsidRPr="002B3E14" w:rsidRDefault="002B3E14" w:rsidP="002B3E14">
            <w:pPr>
              <w:pStyle w:val="Sinespaciado"/>
              <w:jc w:val="both"/>
              <w:rPr>
                <w:rFonts w:ascii="Arial" w:hAnsi="Arial" w:cs="Arial"/>
                <w:spacing w:val="12"/>
                <w:sz w:val="22"/>
                <w:szCs w:val="24"/>
              </w:rPr>
            </w:pPr>
            <w:r w:rsidRPr="002B3E14">
              <w:rPr>
                <w:rFonts w:ascii="Arial" w:hAnsi="Arial" w:cs="Arial"/>
                <w:spacing w:val="12"/>
                <w:sz w:val="22"/>
                <w:szCs w:val="24"/>
              </w:rPr>
              <w:t xml:space="preserve">Protección </w:t>
            </w:r>
            <w:r w:rsidR="00AE5132" w:rsidRPr="002B3E14">
              <w:rPr>
                <w:rFonts w:ascii="Arial" w:hAnsi="Arial" w:cs="Arial"/>
                <w:spacing w:val="12"/>
                <w:sz w:val="22"/>
                <w:szCs w:val="24"/>
              </w:rPr>
              <w:t xml:space="preserve">S.A., </w:t>
            </w:r>
            <w:proofErr w:type="spellStart"/>
            <w:r w:rsidRPr="002B3E14">
              <w:rPr>
                <w:rFonts w:ascii="Arial" w:hAnsi="Arial" w:cs="Arial"/>
                <w:spacing w:val="12"/>
                <w:sz w:val="22"/>
                <w:szCs w:val="24"/>
              </w:rPr>
              <w:t>Colfondos</w:t>
            </w:r>
            <w:proofErr w:type="spellEnd"/>
            <w:r w:rsidRPr="002B3E14">
              <w:rPr>
                <w:rFonts w:ascii="Arial" w:hAnsi="Arial" w:cs="Arial"/>
                <w:spacing w:val="12"/>
                <w:sz w:val="22"/>
                <w:szCs w:val="24"/>
              </w:rPr>
              <w:t xml:space="preserve"> </w:t>
            </w:r>
            <w:r w:rsidR="00AE5132" w:rsidRPr="002B3E14">
              <w:rPr>
                <w:rFonts w:ascii="Arial" w:hAnsi="Arial" w:cs="Arial"/>
                <w:spacing w:val="12"/>
                <w:sz w:val="22"/>
                <w:szCs w:val="24"/>
              </w:rPr>
              <w:t xml:space="preserve">S.A. Y </w:t>
            </w:r>
            <w:r w:rsidRPr="002B3E14">
              <w:rPr>
                <w:rFonts w:ascii="Arial" w:hAnsi="Arial" w:cs="Arial"/>
                <w:spacing w:val="12"/>
                <w:sz w:val="22"/>
                <w:szCs w:val="24"/>
              </w:rPr>
              <w:t xml:space="preserve">Porvenir </w:t>
            </w:r>
            <w:r w:rsidR="00AE5132" w:rsidRPr="002B3E14">
              <w:rPr>
                <w:rFonts w:ascii="Arial" w:hAnsi="Arial" w:cs="Arial"/>
                <w:spacing w:val="12"/>
                <w:sz w:val="22"/>
                <w:szCs w:val="24"/>
              </w:rPr>
              <w:t xml:space="preserve">S.A. Y </w:t>
            </w:r>
            <w:r w:rsidRPr="002B3E14">
              <w:rPr>
                <w:rFonts w:ascii="Arial" w:hAnsi="Arial" w:cs="Arial"/>
                <w:spacing w:val="12"/>
                <w:sz w:val="22"/>
                <w:szCs w:val="24"/>
              </w:rPr>
              <w:t xml:space="preserve">Colpensiones </w:t>
            </w:r>
          </w:p>
        </w:tc>
      </w:tr>
      <w:tr w:rsidR="002B3E14" w:rsidRPr="002B3E14" w14:paraId="70D6F492" w14:textId="77777777" w:rsidTr="002B3E14">
        <w:tc>
          <w:tcPr>
            <w:tcW w:w="2144" w:type="dxa"/>
          </w:tcPr>
          <w:p w14:paraId="7977C245"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Radicación No.</w:t>
            </w:r>
          </w:p>
        </w:tc>
        <w:tc>
          <w:tcPr>
            <w:tcW w:w="5983" w:type="dxa"/>
          </w:tcPr>
          <w:p w14:paraId="0264D1F2"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66001–31-05-004-2018-00522-01</w:t>
            </w:r>
          </w:p>
        </w:tc>
      </w:tr>
      <w:tr w:rsidR="002B3E14" w:rsidRPr="002B3E14" w14:paraId="2712D585" w14:textId="77777777" w:rsidTr="002B3E14">
        <w:tc>
          <w:tcPr>
            <w:tcW w:w="2144" w:type="dxa"/>
          </w:tcPr>
          <w:p w14:paraId="01718612"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Juzgado origen:</w:t>
            </w:r>
          </w:p>
        </w:tc>
        <w:tc>
          <w:tcPr>
            <w:tcW w:w="5983" w:type="dxa"/>
          </w:tcPr>
          <w:p w14:paraId="7B3122D9"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Cuarto Laboral del Circuito de Pereira</w:t>
            </w:r>
          </w:p>
        </w:tc>
      </w:tr>
      <w:tr w:rsidR="002B3E14" w:rsidRPr="002B3E14" w14:paraId="4BB58830" w14:textId="77777777" w:rsidTr="002B3E14">
        <w:tc>
          <w:tcPr>
            <w:tcW w:w="2144" w:type="dxa"/>
          </w:tcPr>
          <w:p w14:paraId="189629E8"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Tipo de proceso:</w:t>
            </w:r>
          </w:p>
        </w:tc>
        <w:tc>
          <w:tcPr>
            <w:tcW w:w="5983" w:type="dxa"/>
          </w:tcPr>
          <w:p w14:paraId="53D273E9"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 xml:space="preserve">Ordinario Laboral </w:t>
            </w:r>
          </w:p>
        </w:tc>
      </w:tr>
      <w:tr w:rsidR="002B3E14" w:rsidRPr="002B3E14" w14:paraId="5BC80C19" w14:textId="77777777" w:rsidTr="002B3E14">
        <w:tc>
          <w:tcPr>
            <w:tcW w:w="2144" w:type="dxa"/>
          </w:tcPr>
          <w:p w14:paraId="0E366B6A"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Providencia:</w:t>
            </w:r>
          </w:p>
        </w:tc>
        <w:tc>
          <w:tcPr>
            <w:tcW w:w="5983" w:type="dxa"/>
          </w:tcPr>
          <w:p w14:paraId="58C36A0B" w14:textId="77777777" w:rsidR="00AE5132" w:rsidRPr="002B3E14" w:rsidRDefault="00AE5132" w:rsidP="002B3E14">
            <w:pPr>
              <w:pStyle w:val="Sinespaciado"/>
              <w:jc w:val="both"/>
              <w:rPr>
                <w:rFonts w:ascii="Arial" w:hAnsi="Arial" w:cs="Arial"/>
                <w:spacing w:val="12"/>
                <w:sz w:val="22"/>
                <w:szCs w:val="24"/>
              </w:rPr>
            </w:pPr>
            <w:r w:rsidRPr="002B3E14">
              <w:rPr>
                <w:rFonts w:ascii="Arial" w:hAnsi="Arial" w:cs="Arial"/>
                <w:spacing w:val="12"/>
                <w:sz w:val="22"/>
                <w:szCs w:val="24"/>
              </w:rPr>
              <w:t xml:space="preserve">Sentencia de segunda instancia </w:t>
            </w:r>
          </w:p>
        </w:tc>
      </w:tr>
      <w:tr w:rsidR="002B3E14" w:rsidRPr="002B3E14" w14:paraId="31BD608F" w14:textId="77777777" w:rsidTr="002B3E14">
        <w:trPr>
          <w:trHeight w:val="77"/>
        </w:trPr>
        <w:tc>
          <w:tcPr>
            <w:tcW w:w="2144" w:type="dxa"/>
          </w:tcPr>
          <w:p w14:paraId="24850EB3" w14:textId="77777777" w:rsidR="00AE5132" w:rsidRPr="002B3E14" w:rsidRDefault="00AE5132" w:rsidP="002B3E14">
            <w:pPr>
              <w:pStyle w:val="Sinespaciado"/>
              <w:jc w:val="both"/>
              <w:rPr>
                <w:rFonts w:ascii="Arial" w:hAnsi="Arial" w:cs="Arial"/>
                <w:b/>
                <w:bCs/>
                <w:spacing w:val="12"/>
                <w:sz w:val="22"/>
                <w:szCs w:val="24"/>
              </w:rPr>
            </w:pPr>
            <w:r w:rsidRPr="002B3E14">
              <w:rPr>
                <w:rFonts w:ascii="Arial" w:hAnsi="Arial" w:cs="Arial"/>
                <w:b/>
                <w:bCs/>
                <w:spacing w:val="12"/>
                <w:sz w:val="22"/>
                <w:szCs w:val="24"/>
              </w:rPr>
              <w:t>Decisión:</w:t>
            </w:r>
          </w:p>
        </w:tc>
        <w:tc>
          <w:tcPr>
            <w:tcW w:w="5983" w:type="dxa"/>
          </w:tcPr>
          <w:p w14:paraId="1F91A6EC" w14:textId="1818B56A" w:rsidR="00AE5132" w:rsidRPr="002B3E14" w:rsidRDefault="000C31BE" w:rsidP="002B3E14">
            <w:pPr>
              <w:pStyle w:val="Sinespaciado"/>
              <w:jc w:val="both"/>
              <w:rPr>
                <w:rFonts w:ascii="Arial" w:hAnsi="Arial" w:cs="Arial"/>
                <w:b/>
                <w:bCs/>
                <w:spacing w:val="12"/>
                <w:sz w:val="22"/>
                <w:szCs w:val="24"/>
              </w:rPr>
            </w:pPr>
            <w:r w:rsidRPr="002B3E14">
              <w:rPr>
                <w:rFonts w:ascii="Arial" w:hAnsi="Arial" w:cs="Arial"/>
                <w:b/>
                <w:bCs/>
                <w:spacing w:val="12"/>
                <w:sz w:val="22"/>
                <w:szCs w:val="24"/>
              </w:rPr>
              <w:t>MODIFICA Y ADICIONA</w:t>
            </w:r>
          </w:p>
        </w:tc>
      </w:tr>
    </w:tbl>
    <w:p w14:paraId="297D9678" w14:textId="77777777" w:rsidR="00C923FD" w:rsidRPr="002B3E14" w:rsidRDefault="00C923FD" w:rsidP="002B3E14">
      <w:pPr>
        <w:pStyle w:val="Sinespaciado"/>
        <w:spacing w:line="276" w:lineRule="auto"/>
        <w:rPr>
          <w:rFonts w:ascii="Arial" w:hAnsi="Arial" w:cs="Arial"/>
          <w:spacing w:val="6"/>
          <w:szCs w:val="24"/>
        </w:rPr>
      </w:pPr>
    </w:p>
    <w:p w14:paraId="7E21EB4D" w14:textId="5F740247" w:rsidR="00AE5132" w:rsidRPr="002B3E14" w:rsidRDefault="00C923FD" w:rsidP="002B3E14">
      <w:pPr>
        <w:pStyle w:val="Sinespaciado"/>
        <w:spacing w:line="276" w:lineRule="auto"/>
        <w:jc w:val="center"/>
        <w:rPr>
          <w:rFonts w:ascii="Arial" w:hAnsi="Arial" w:cs="Arial"/>
          <w:szCs w:val="24"/>
        </w:rPr>
      </w:pPr>
      <w:r w:rsidRPr="002B3E14">
        <w:rPr>
          <w:rFonts w:ascii="Arial" w:hAnsi="Arial" w:cs="Arial"/>
          <w:spacing w:val="6"/>
          <w:szCs w:val="24"/>
        </w:rPr>
        <w:t xml:space="preserve">        </w:t>
      </w:r>
      <w:r w:rsidR="00AE5132" w:rsidRPr="002B3E14">
        <w:rPr>
          <w:rFonts w:ascii="Arial" w:hAnsi="Arial" w:cs="Arial"/>
          <w:szCs w:val="24"/>
        </w:rPr>
        <w:t>Registro del proyecto,</w:t>
      </w:r>
      <w:r w:rsidR="0EE21D92" w:rsidRPr="002B3E14">
        <w:rPr>
          <w:rFonts w:ascii="Arial" w:hAnsi="Arial" w:cs="Arial"/>
          <w:szCs w:val="24"/>
        </w:rPr>
        <w:t xml:space="preserve"> diez</w:t>
      </w:r>
      <w:r w:rsidR="00AE5132" w:rsidRPr="002B3E14">
        <w:rPr>
          <w:rFonts w:ascii="Arial" w:hAnsi="Arial" w:cs="Arial"/>
          <w:szCs w:val="24"/>
        </w:rPr>
        <w:t xml:space="preserve"> (</w:t>
      </w:r>
      <w:r w:rsidR="45EDFE8C" w:rsidRPr="002B3E14">
        <w:rPr>
          <w:rFonts w:ascii="Arial" w:hAnsi="Arial" w:cs="Arial"/>
          <w:szCs w:val="24"/>
        </w:rPr>
        <w:t>10</w:t>
      </w:r>
      <w:r w:rsidR="00AE5132" w:rsidRPr="002B3E14">
        <w:rPr>
          <w:rFonts w:ascii="Arial" w:hAnsi="Arial" w:cs="Arial"/>
          <w:szCs w:val="24"/>
        </w:rPr>
        <w:t>) de septiembre de dos mil veinte (2020).</w:t>
      </w:r>
    </w:p>
    <w:p w14:paraId="764CE86C" w14:textId="69FA6E0B" w:rsidR="00AE5132" w:rsidRDefault="00AE5132" w:rsidP="002B3E14">
      <w:pPr>
        <w:pStyle w:val="Sinespaciado"/>
        <w:spacing w:line="276" w:lineRule="auto"/>
        <w:ind w:firstLine="708"/>
        <w:jc w:val="center"/>
        <w:rPr>
          <w:rFonts w:ascii="Arial" w:hAnsi="Arial" w:cs="Arial"/>
          <w:szCs w:val="24"/>
        </w:rPr>
      </w:pPr>
      <w:r w:rsidRPr="002B3E14">
        <w:rPr>
          <w:rFonts w:ascii="Arial" w:hAnsi="Arial" w:cs="Arial"/>
          <w:szCs w:val="24"/>
        </w:rPr>
        <w:t xml:space="preserve">Acta de discusión número </w:t>
      </w:r>
      <w:r w:rsidR="00630102">
        <w:rPr>
          <w:rFonts w:ascii="Arial" w:hAnsi="Arial" w:cs="Arial"/>
          <w:szCs w:val="24"/>
        </w:rPr>
        <w:t>131</w:t>
      </w:r>
      <w:r w:rsidRPr="002B3E14">
        <w:rPr>
          <w:rFonts w:ascii="Arial" w:hAnsi="Arial" w:cs="Arial"/>
          <w:szCs w:val="24"/>
        </w:rPr>
        <w:t xml:space="preserve"> de </w:t>
      </w:r>
      <w:r w:rsidR="3E5A02A1" w:rsidRPr="002B3E14">
        <w:rPr>
          <w:rFonts w:ascii="Arial" w:hAnsi="Arial" w:cs="Arial"/>
          <w:szCs w:val="24"/>
        </w:rPr>
        <w:t>15</w:t>
      </w:r>
      <w:r w:rsidRPr="002B3E14">
        <w:rPr>
          <w:rFonts w:ascii="Arial" w:hAnsi="Arial" w:cs="Arial"/>
          <w:szCs w:val="24"/>
        </w:rPr>
        <w:t>-09-2020</w:t>
      </w:r>
    </w:p>
    <w:p w14:paraId="060A862F" w14:textId="77777777" w:rsidR="002B3E14" w:rsidRPr="002B3E14" w:rsidRDefault="002B3E14" w:rsidP="002B3E14">
      <w:pPr>
        <w:pStyle w:val="Sinespaciado"/>
        <w:spacing w:line="276" w:lineRule="auto"/>
        <w:ind w:firstLine="708"/>
        <w:jc w:val="center"/>
        <w:rPr>
          <w:rFonts w:ascii="Arial" w:hAnsi="Arial" w:cs="Arial"/>
          <w:szCs w:val="24"/>
        </w:rPr>
      </w:pPr>
    </w:p>
    <w:p w14:paraId="7F7D7662" w14:textId="38EC61E3" w:rsidR="00AE5132" w:rsidRPr="002B3E14" w:rsidRDefault="00AE5132" w:rsidP="002B3E14">
      <w:pPr>
        <w:pStyle w:val="Sinespaciado"/>
        <w:spacing w:line="276" w:lineRule="auto"/>
        <w:ind w:firstLine="708"/>
        <w:jc w:val="center"/>
        <w:rPr>
          <w:rFonts w:ascii="Arial" w:hAnsi="Arial" w:cs="Arial"/>
          <w:szCs w:val="24"/>
        </w:rPr>
      </w:pPr>
      <w:r w:rsidRPr="002B3E14">
        <w:rPr>
          <w:rFonts w:ascii="Arial" w:hAnsi="Arial" w:cs="Arial"/>
          <w:szCs w:val="24"/>
        </w:rPr>
        <w:t xml:space="preserve">Pereira, Risaralda, </w:t>
      </w:r>
      <w:r w:rsidR="00C923FD" w:rsidRPr="002B3E14">
        <w:rPr>
          <w:rFonts w:ascii="Arial" w:hAnsi="Arial" w:cs="Arial"/>
          <w:szCs w:val="24"/>
        </w:rPr>
        <w:t xml:space="preserve">veintiuno </w:t>
      </w:r>
      <w:r w:rsidRPr="002B3E14">
        <w:rPr>
          <w:rFonts w:ascii="Arial" w:hAnsi="Arial" w:cs="Arial"/>
          <w:szCs w:val="24"/>
        </w:rPr>
        <w:t>(</w:t>
      </w:r>
      <w:r w:rsidR="00C923FD" w:rsidRPr="002B3E14">
        <w:rPr>
          <w:rFonts w:ascii="Arial" w:hAnsi="Arial" w:cs="Arial"/>
          <w:szCs w:val="24"/>
        </w:rPr>
        <w:t>21</w:t>
      </w:r>
      <w:r w:rsidRPr="002B3E14">
        <w:rPr>
          <w:rFonts w:ascii="Arial" w:hAnsi="Arial" w:cs="Arial"/>
          <w:szCs w:val="24"/>
        </w:rPr>
        <w:t>) de septiembre de dos mil veinte (2020)</w:t>
      </w:r>
    </w:p>
    <w:p w14:paraId="0B339740"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553E1949" w14:textId="77777777" w:rsidR="00AE5132" w:rsidRPr="002B3E14" w:rsidRDefault="00AE5132" w:rsidP="002B3E14">
      <w:pPr>
        <w:pStyle w:val="Sinespaciado"/>
        <w:spacing w:line="276" w:lineRule="auto"/>
        <w:jc w:val="both"/>
        <w:rPr>
          <w:rFonts w:ascii="Arial" w:hAnsi="Arial" w:cs="Arial"/>
          <w:spacing w:val="6"/>
          <w:szCs w:val="24"/>
        </w:rPr>
      </w:pPr>
      <w:r w:rsidRPr="002B3E14">
        <w:rPr>
          <w:rFonts w:ascii="Arial" w:hAnsi="Arial" w:cs="Arial"/>
          <w:spacing w:val="6"/>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2B3E14">
        <w:rPr>
          <w:rFonts w:ascii="Arial" w:hAnsi="Arial" w:cs="Arial"/>
          <w:b/>
          <w:bCs/>
          <w:spacing w:val="6"/>
          <w:szCs w:val="24"/>
        </w:rPr>
        <w:t>ALEJANDRA MARÍA HENAO PALACIO</w:t>
      </w:r>
      <w:r w:rsidRPr="002B3E14">
        <w:rPr>
          <w:rFonts w:ascii="Arial" w:hAnsi="Arial" w:cs="Arial"/>
          <w:spacing w:val="6"/>
          <w:szCs w:val="24"/>
        </w:rPr>
        <w:t xml:space="preserve">, </w:t>
      </w:r>
      <w:r w:rsidRPr="002B3E14">
        <w:rPr>
          <w:rFonts w:ascii="Arial" w:hAnsi="Arial" w:cs="Arial"/>
          <w:b/>
          <w:bCs/>
          <w:spacing w:val="6"/>
          <w:szCs w:val="24"/>
        </w:rPr>
        <w:t>(ponente),</w:t>
      </w:r>
      <w:r w:rsidRPr="002B3E14">
        <w:rPr>
          <w:rFonts w:ascii="Arial" w:hAnsi="Arial" w:cs="Arial"/>
          <w:spacing w:val="6"/>
          <w:szCs w:val="24"/>
        </w:rPr>
        <w:t xml:space="preserve">  </w:t>
      </w:r>
      <w:r w:rsidRPr="002B3E14">
        <w:rPr>
          <w:rFonts w:ascii="Arial" w:hAnsi="Arial" w:cs="Arial"/>
          <w:b/>
          <w:bCs/>
          <w:spacing w:val="6"/>
          <w:szCs w:val="24"/>
        </w:rPr>
        <w:t>ANA LUCÍA CAICEDO CALDERÓN y OLGA LUCÍA HOYOS SEPÚLVEDA</w:t>
      </w:r>
      <w:r w:rsidRPr="002B3E14">
        <w:rPr>
          <w:rFonts w:ascii="Arial" w:hAnsi="Arial" w:cs="Arial"/>
          <w:spacing w:val="6"/>
          <w:szCs w:val="24"/>
        </w:rPr>
        <w:t xml:space="preserve"> a resolver los recursos de apelación interpuestos por las codemandadas, así como el grado jurisdiccional de consulta en favor de Colpensiones,  contra la sentencia proferida el 26 de septiembre de 2019 por el Juzgado Cuarto Laboral del Circuito de Pereira, dentro del proceso ordinario laboral de la referencia.</w:t>
      </w:r>
    </w:p>
    <w:p w14:paraId="4A5CF7B6" w14:textId="77777777" w:rsidR="00AE5132" w:rsidRPr="002B3E14" w:rsidRDefault="00AE5132" w:rsidP="002B3E14">
      <w:pPr>
        <w:pStyle w:val="Sinespaciado"/>
        <w:spacing w:line="276" w:lineRule="auto"/>
        <w:jc w:val="both"/>
        <w:rPr>
          <w:rFonts w:ascii="Arial" w:hAnsi="Arial" w:cs="Arial"/>
          <w:spacing w:val="6"/>
          <w:szCs w:val="24"/>
        </w:rPr>
      </w:pPr>
    </w:p>
    <w:p w14:paraId="6B97D40F" w14:textId="77777777" w:rsidR="00AE5132" w:rsidRPr="002B3E14" w:rsidRDefault="00AE5132" w:rsidP="002B3E14">
      <w:pPr>
        <w:spacing w:line="276" w:lineRule="auto"/>
        <w:ind w:firstLine="708"/>
        <w:jc w:val="both"/>
        <w:rPr>
          <w:rFonts w:ascii="Arial" w:eastAsia="Arial Narrow" w:hAnsi="Arial" w:cs="Arial"/>
          <w:spacing w:val="6"/>
          <w:szCs w:val="24"/>
          <w:lang w:val="es-ES"/>
        </w:rPr>
      </w:pPr>
      <w:r w:rsidRPr="002B3E14">
        <w:rPr>
          <w:rFonts w:ascii="Arial" w:eastAsia="Arial Narrow" w:hAnsi="Arial" w:cs="Arial"/>
          <w:b/>
          <w:bCs/>
          <w:spacing w:val="6"/>
          <w:szCs w:val="24"/>
          <w:lang w:val="es-ES"/>
        </w:rPr>
        <w:t xml:space="preserve">Cuestión previa </w:t>
      </w:r>
    </w:p>
    <w:p w14:paraId="3AAF4693" w14:textId="77777777" w:rsidR="00AE5132" w:rsidRPr="002B3E14" w:rsidRDefault="00AE5132" w:rsidP="002B3E14">
      <w:pPr>
        <w:pStyle w:val="Sinespaciado"/>
        <w:spacing w:line="276" w:lineRule="auto"/>
        <w:rPr>
          <w:rStyle w:val="normaltextrun"/>
          <w:rFonts w:ascii="Arial" w:eastAsia="Arial Narrow" w:hAnsi="Arial" w:cs="Arial"/>
          <w:szCs w:val="24"/>
        </w:rPr>
      </w:pPr>
    </w:p>
    <w:p w14:paraId="71334A71" w14:textId="2FC45A34" w:rsidR="00AE5132" w:rsidRPr="002B3E14" w:rsidRDefault="002B3E14" w:rsidP="002B3E14">
      <w:pPr>
        <w:spacing w:after="160" w:line="276" w:lineRule="auto"/>
        <w:ind w:firstLine="708"/>
        <w:jc w:val="both"/>
        <w:rPr>
          <w:rStyle w:val="normaltextrun"/>
          <w:rFonts w:ascii="Arial" w:eastAsia="Arial Narrow" w:hAnsi="Arial" w:cs="Arial"/>
          <w:spacing w:val="6"/>
          <w:szCs w:val="24"/>
          <w:lang w:val="es-ES"/>
        </w:rPr>
      </w:pPr>
      <w:r>
        <w:rPr>
          <w:rStyle w:val="normaltextrun"/>
          <w:rFonts w:ascii="Arial" w:eastAsia="Arial Narrow" w:hAnsi="Arial" w:cs="Arial"/>
          <w:spacing w:val="6"/>
          <w:szCs w:val="24"/>
          <w:lang w:val="es-ES"/>
        </w:rPr>
        <w:t>(…)</w:t>
      </w:r>
    </w:p>
    <w:p w14:paraId="0721EA94" w14:textId="77777777" w:rsidR="00AE5132" w:rsidRPr="002B3E14" w:rsidRDefault="00AE5132" w:rsidP="002B3E14">
      <w:pPr>
        <w:pStyle w:val="Sinespaciado"/>
        <w:spacing w:line="276" w:lineRule="auto"/>
        <w:jc w:val="both"/>
        <w:rPr>
          <w:rFonts w:ascii="Arial" w:hAnsi="Arial" w:cs="Arial"/>
          <w:spacing w:val="6"/>
          <w:szCs w:val="24"/>
        </w:rPr>
      </w:pPr>
    </w:p>
    <w:p w14:paraId="3B30EE7B" w14:textId="77777777"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Previamente se revisó, discutió y aprobó el proyecto elaborado por la Magistrada ponente el cual alude a la siguiente: </w:t>
      </w:r>
    </w:p>
    <w:p w14:paraId="5F39BFCB" w14:textId="77777777" w:rsidR="00AE5132" w:rsidRPr="002B3E14" w:rsidRDefault="00AE5132" w:rsidP="002B3E14">
      <w:pPr>
        <w:pStyle w:val="Sinespaciado"/>
        <w:spacing w:line="276" w:lineRule="auto"/>
        <w:rPr>
          <w:rFonts w:ascii="Arial" w:hAnsi="Arial" w:cs="Arial"/>
          <w:szCs w:val="24"/>
        </w:rPr>
      </w:pPr>
    </w:p>
    <w:p w14:paraId="457FCA27" w14:textId="77777777" w:rsidR="00AE5132" w:rsidRPr="002B3E14" w:rsidRDefault="00AE5132" w:rsidP="002B3E14">
      <w:pPr>
        <w:pStyle w:val="Sinespaciado"/>
        <w:spacing w:line="276" w:lineRule="auto"/>
        <w:ind w:left="2832" w:firstLine="708"/>
        <w:jc w:val="both"/>
        <w:rPr>
          <w:rFonts w:ascii="Arial" w:hAnsi="Arial" w:cs="Arial"/>
          <w:b/>
          <w:bCs/>
          <w:spacing w:val="6"/>
          <w:szCs w:val="24"/>
        </w:rPr>
      </w:pPr>
      <w:r w:rsidRPr="002B3E14">
        <w:rPr>
          <w:rFonts w:ascii="Arial" w:hAnsi="Arial" w:cs="Arial"/>
          <w:b/>
          <w:bCs/>
          <w:spacing w:val="6"/>
          <w:szCs w:val="24"/>
        </w:rPr>
        <w:t>SENTENCIA</w:t>
      </w:r>
    </w:p>
    <w:p w14:paraId="527B1A3A"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57A9F7AA" w14:textId="77777777" w:rsidR="00AE5132" w:rsidRPr="002B3E14" w:rsidRDefault="00AE5132" w:rsidP="002B3E14">
      <w:pPr>
        <w:pStyle w:val="Sinespaciado"/>
        <w:numPr>
          <w:ilvl w:val="0"/>
          <w:numId w:val="1"/>
        </w:numPr>
        <w:spacing w:line="276" w:lineRule="auto"/>
        <w:jc w:val="both"/>
        <w:rPr>
          <w:rFonts w:ascii="Arial" w:hAnsi="Arial" w:cs="Arial"/>
          <w:b/>
          <w:bCs/>
          <w:spacing w:val="6"/>
          <w:szCs w:val="24"/>
        </w:rPr>
      </w:pPr>
      <w:r w:rsidRPr="002B3E14">
        <w:rPr>
          <w:rFonts w:ascii="Arial" w:hAnsi="Arial" w:cs="Arial"/>
          <w:b/>
          <w:bCs/>
          <w:spacing w:val="6"/>
          <w:szCs w:val="24"/>
        </w:rPr>
        <w:t xml:space="preserve">ANTECEDENTES </w:t>
      </w:r>
    </w:p>
    <w:p w14:paraId="2E8F115F" w14:textId="77777777" w:rsidR="00AE5132" w:rsidRPr="002B3E14" w:rsidRDefault="00AE5132" w:rsidP="002B3E14">
      <w:pPr>
        <w:pStyle w:val="Sinespaciado"/>
        <w:spacing w:line="276" w:lineRule="auto"/>
        <w:rPr>
          <w:rFonts w:ascii="Arial" w:hAnsi="Arial" w:cs="Arial"/>
          <w:szCs w:val="24"/>
        </w:rPr>
      </w:pPr>
    </w:p>
    <w:p w14:paraId="419A3078"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1.1</w:t>
      </w:r>
      <w:r w:rsidRPr="002B3E14">
        <w:rPr>
          <w:rFonts w:ascii="Arial" w:hAnsi="Arial" w:cs="Arial"/>
          <w:b/>
          <w:bCs/>
          <w:spacing w:val="6"/>
          <w:szCs w:val="24"/>
        </w:rPr>
        <w:tab/>
        <w:t>Demanda</w:t>
      </w:r>
    </w:p>
    <w:p w14:paraId="534245F5" w14:textId="77777777" w:rsidR="00AE5132" w:rsidRPr="002B3E14" w:rsidRDefault="00AE5132" w:rsidP="002B3E14">
      <w:pPr>
        <w:pStyle w:val="Sinespaciado"/>
        <w:spacing w:line="276" w:lineRule="auto"/>
        <w:rPr>
          <w:rFonts w:ascii="Arial" w:hAnsi="Arial" w:cs="Arial"/>
          <w:szCs w:val="24"/>
        </w:rPr>
      </w:pPr>
    </w:p>
    <w:p w14:paraId="3082A418" w14:textId="77777777"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Pretende la demandante que la justicia ordinaria laboral declare </w:t>
      </w:r>
      <w:r w:rsidR="000F0A24" w:rsidRPr="002B3E14">
        <w:rPr>
          <w:rFonts w:ascii="Arial" w:hAnsi="Arial" w:cs="Arial"/>
          <w:spacing w:val="6"/>
          <w:szCs w:val="24"/>
        </w:rPr>
        <w:t xml:space="preserve">la nulidad </w:t>
      </w:r>
      <w:r w:rsidRPr="002B3E14">
        <w:rPr>
          <w:rFonts w:ascii="Arial" w:hAnsi="Arial" w:cs="Arial"/>
          <w:spacing w:val="6"/>
          <w:szCs w:val="24"/>
        </w:rPr>
        <w:t xml:space="preserve">del traslado efectuado por la demandante del régimen de prima media con prestación definida al régimen de ahorro individual con solidaridad, y </w:t>
      </w:r>
      <w:r w:rsidR="00EB7FFD" w:rsidRPr="002B3E14">
        <w:rPr>
          <w:rFonts w:ascii="Arial" w:hAnsi="Arial" w:cs="Arial"/>
          <w:spacing w:val="6"/>
          <w:szCs w:val="24"/>
        </w:rPr>
        <w:t xml:space="preserve">efectuado a través de la AFP Colfondos S.A., así como las afiliaciones posteriores, y en consecuencia, pide que </w:t>
      </w:r>
      <w:r w:rsidRPr="002B3E14">
        <w:rPr>
          <w:rFonts w:ascii="Arial" w:hAnsi="Arial" w:cs="Arial"/>
          <w:spacing w:val="6"/>
          <w:szCs w:val="24"/>
        </w:rPr>
        <w:t>se ordene</w:t>
      </w:r>
      <w:r w:rsidR="00EB7FFD" w:rsidRPr="002B3E14">
        <w:rPr>
          <w:rFonts w:ascii="Arial" w:hAnsi="Arial" w:cs="Arial"/>
          <w:spacing w:val="6"/>
          <w:szCs w:val="24"/>
        </w:rPr>
        <w:t xml:space="preserve"> (i) a la Administradora Colombiana de Pensiones </w:t>
      </w:r>
      <w:r w:rsidRPr="002B3E14">
        <w:rPr>
          <w:rFonts w:ascii="Arial" w:hAnsi="Arial" w:cs="Arial"/>
          <w:spacing w:val="6"/>
          <w:szCs w:val="24"/>
        </w:rPr>
        <w:t xml:space="preserve">Colpensiones a </w:t>
      </w:r>
      <w:r w:rsidR="00EB7FFD" w:rsidRPr="002B3E14">
        <w:rPr>
          <w:rFonts w:ascii="Arial" w:hAnsi="Arial" w:cs="Arial"/>
          <w:spacing w:val="6"/>
          <w:szCs w:val="24"/>
        </w:rPr>
        <w:t xml:space="preserve">recibirla nuevamente como afiliada cotizante, (ii) a la AFP Protección S.A. a liberarla de sus bases de datos y hacer el respectivo traslado de sus cotizaciones al </w:t>
      </w:r>
      <w:r w:rsidRPr="002B3E14">
        <w:rPr>
          <w:rFonts w:ascii="Arial" w:hAnsi="Arial" w:cs="Arial"/>
          <w:spacing w:val="6"/>
          <w:szCs w:val="24"/>
        </w:rPr>
        <w:t>régimen de prima media con prestación definida, y</w:t>
      </w:r>
      <w:r w:rsidR="00EB7FFD" w:rsidRPr="002B3E14">
        <w:rPr>
          <w:rFonts w:ascii="Arial" w:hAnsi="Arial" w:cs="Arial"/>
          <w:spacing w:val="6"/>
          <w:szCs w:val="24"/>
        </w:rPr>
        <w:t xml:space="preserve"> (iii) a las </w:t>
      </w:r>
      <w:proofErr w:type="spellStart"/>
      <w:r w:rsidR="00EB7FFD" w:rsidRPr="002B3E14">
        <w:rPr>
          <w:rFonts w:ascii="Arial" w:hAnsi="Arial" w:cs="Arial"/>
          <w:spacing w:val="6"/>
          <w:szCs w:val="24"/>
        </w:rPr>
        <w:t>AFP´S</w:t>
      </w:r>
      <w:proofErr w:type="spellEnd"/>
      <w:r w:rsidR="00EB7FFD" w:rsidRPr="002B3E14">
        <w:rPr>
          <w:rFonts w:ascii="Arial" w:hAnsi="Arial" w:cs="Arial"/>
          <w:spacing w:val="6"/>
          <w:szCs w:val="24"/>
        </w:rPr>
        <w:t xml:space="preserve"> accionadas a cancelar las costas del proceso a su favor. </w:t>
      </w:r>
    </w:p>
    <w:p w14:paraId="4172CC5B" w14:textId="140FA584" w:rsidR="4D054AA1" w:rsidRPr="002B3E14" w:rsidRDefault="4D054AA1" w:rsidP="002B3E14">
      <w:pPr>
        <w:pStyle w:val="Sinespaciado"/>
        <w:spacing w:line="276" w:lineRule="auto"/>
        <w:ind w:firstLine="708"/>
        <w:jc w:val="both"/>
        <w:rPr>
          <w:rFonts w:ascii="Arial" w:hAnsi="Arial" w:cs="Arial"/>
          <w:szCs w:val="24"/>
        </w:rPr>
      </w:pPr>
    </w:p>
    <w:p w14:paraId="424A8030" w14:textId="7593FD33"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Como sustento de sus pretensiones expuso en síntesis que nació el </w:t>
      </w:r>
      <w:r w:rsidR="00EB7FFD" w:rsidRPr="002B3E14">
        <w:rPr>
          <w:rFonts w:ascii="Arial" w:hAnsi="Arial" w:cs="Arial"/>
          <w:spacing w:val="6"/>
          <w:szCs w:val="24"/>
        </w:rPr>
        <w:t xml:space="preserve">29 de mayo de 1959; </w:t>
      </w:r>
      <w:r w:rsidRPr="002B3E14">
        <w:rPr>
          <w:rFonts w:ascii="Arial" w:hAnsi="Arial" w:cs="Arial"/>
          <w:spacing w:val="6"/>
          <w:szCs w:val="24"/>
        </w:rPr>
        <w:t xml:space="preserve">que </w:t>
      </w:r>
      <w:r w:rsidR="00EB7FFD" w:rsidRPr="002B3E14">
        <w:rPr>
          <w:rFonts w:ascii="Arial" w:hAnsi="Arial" w:cs="Arial"/>
          <w:spacing w:val="6"/>
          <w:szCs w:val="24"/>
        </w:rPr>
        <w:t>estuvo</w:t>
      </w:r>
      <w:r w:rsidRPr="002B3E14">
        <w:rPr>
          <w:rFonts w:ascii="Arial" w:hAnsi="Arial" w:cs="Arial"/>
          <w:spacing w:val="6"/>
          <w:szCs w:val="24"/>
        </w:rPr>
        <w:t xml:space="preserve"> afiliada a</w:t>
      </w:r>
      <w:r w:rsidR="00291481" w:rsidRPr="002B3E14">
        <w:rPr>
          <w:rFonts w:ascii="Arial" w:hAnsi="Arial" w:cs="Arial"/>
          <w:spacing w:val="6"/>
          <w:szCs w:val="24"/>
        </w:rPr>
        <w:t xml:space="preserve">l régimen de prima media con prestación definida, realizando cotizaciones hasta el mes de septiembre de 1998, </w:t>
      </w:r>
      <w:r w:rsidR="007C3445" w:rsidRPr="002B3E14">
        <w:rPr>
          <w:rFonts w:ascii="Arial" w:hAnsi="Arial" w:cs="Arial"/>
          <w:spacing w:val="6"/>
          <w:szCs w:val="24"/>
        </w:rPr>
        <w:t>que</w:t>
      </w:r>
      <w:r w:rsidR="00291481" w:rsidRPr="002B3E14">
        <w:rPr>
          <w:rFonts w:ascii="Arial" w:hAnsi="Arial" w:cs="Arial"/>
          <w:spacing w:val="6"/>
          <w:szCs w:val="24"/>
        </w:rPr>
        <w:t xml:space="preserve"> a mediados de ese mes suscribió formulario de afiliación con la AFP Colfondos S.A., sin embargo, no recibió asesoría alguna acerca de las implicaciones que tendría el traslado; que dicha entidad le manifestó en documento 180918-000225 que no reposa en su poder ningún soporte de la asesoría para la época del traslado, </w:t>
      </w:r>
      <w:r w:rsidR="00947FE2" w:rsidRPr="002B3E14">
        <w:rPr>
          <w:rFonts w:ascii="Arial" w:hAnsi="Arial" w:cs="Arial"/>
          <w:spacing w:val="6"/>
          <w:szCs w:val="24"/>
        </w:rPr>
        <w:t xml:space="preserve">pues todo se hacía en forma verbal, </w:t>
      </w:r>
      <w:r w:rsidR="00291481" w:rsidRPr="002B3E14">
        <w:rPr>
          <w:rFonts w:ascii="Arial" w:hAnsi="Arial" w:cs="Arial"/>
          <w:spacing w:val="6"/>
          <w:szCs w:val="24"/>
        </w:rPr>
        <w:t>salvo el formulario de afiliación</w:t>
      </w:r>
      <w:r w:rsidR="00947FE2" w:rsidRPr="002B3E14">
        <w:rPr>
          <w:rFonts w:ascii="Arial" w:hAnsi="Arial" w:cs="Arial"/>
          <w:spacing w:val="6"/>
          <w:szCs w:val="24"/>
        </w:rPr>
        <w:t xml:space="preserve"> el cual firmó de manera libre y voluntaria</w:t>
      </w:r>
      <w:r w:rsidR="00291481" w:rsidRPr="002B3E14">
        <w:rPr>
          <w:rFonts w:ascii="Arial" w:hAnsi="Arial" w:cs="Arial"/>
          <w:spacing w:val="6"/>
          <w:szCs w:val="24"/>
        </w:rPr>
        <w:t xml:space="preserve">; que el 16 de julio de 1999 se trasladó a la AFP Colpatria hoy Porvenir S.A., y el 21 de julio del 2000 a la AFP Protección  S.A., entidades que en ningún momento ofrecieron algún tipo de asesoramiento. Por último, aduce que el 2 de agosto de 2018 Colpensiones negó la solicitud de retorno al régimen de prima media, aludiendo que se encuentra a diez años o menos del requisito de tiempo para pensión. </w:t>
      </w:r>
    </w:p>
    <w:p w14:paraId="3F248AE7"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77F1951C"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 xml:space="preserve"> 1.2.     Respuesta a la demanda. </w:t>
      </w:r>
    </w:p>
    <w:p w14:paraId="09F2412C"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2DBADAF9"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1.2.1.   COLPENSIONES.</w:t>
      </w:r>
    </w:p>
    <w:p w14:paraId="746F5FD1"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6FBBBB33" w14:textId="77777777"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Dentro del término de ley y a través de portavoz judicial, aceptó los hechos relativos a la fecha de natalicio de la demandante, </w:t>
      </w:r>
      <w:r w:rsidR="00947FE2" w:rsidRPr="002B3E14">
        <w:rPr>
          <w:rFonts w:ascii="Arial" w:hAnsi="Arial" w:cs="Arial"/>
          <w:spacing w:val="6"/>
          <w:szCs w:val="24"/>
        </w:rPr>
        <w:t xml:space="preserve">su traslado de régimen a través de Colfondos S.A., el documento emitido por esta entidad respecto de la asesoría verbal, la suscripción de los formularios de afiliación con los distintos fondos privados, y la respuesta que le brindó ante la solicitud de retorno al RPMPD.  </w:t>
      </w:r>
      <w:r w:rsidRPr="002B3E14">
        <w:rPr>
          <w:rFonts w:ascii="Arial" w:hAnsi="Arial" w:cs="Arial"/>
          <w:spacing w:val="6"/>
          <w:szCs w:val="24"/>
        </w:rPr>
        <w:t>Respecto a los demás hechos dijo que le constaban</w:t>
      </w:r>
      <w:r w:rsidR="00947FE2" w:rsidRPr="002B3E14">
        <w:rPr>
          <w:rFonts w:ascii="Arial" w:hAnsi="Arial" w:cs="Arial"/>
          <w:spacing w:val="6"/>
          <w:szCs w:val="24"/>
        </w:rPr>
        <w:t xml:space="preserve"> o que no constituían hechos</w:t>
      </w:r>
      <w:r w:rsidRPr="002B3E14">
        <w:rPr>
          <w:rFonts w:ascii="Arial" w:hAnsi="Arial" w:cs="Arial"/>
          <w:spacing w:val="6"/>
          <w:szCs w:val="24"/>
        </w:rPr>
        <w:t>. Se opuso a la prosperidad de las pretensiones, y enlistó en su defensa como medios exceptivos</w:t>
      </w:r>
      <w:r w:rsidR="00947FE2" w:rsidRPr="002B3E14">
        <w:rPr>
          <w:rFonts w:ascii="Arial" w:hAnsi="Arial" w:cs="Arial"/>
          <w:spacing w:val="6"/>
          <w:szCs w:val="24"/>
        </w:rPr>
        <w:t xml:space="preserve"> de fondo</w:t>
      </w:r>
      <w:r w:rsidRPr="002B3E14">
        <w:rPr>
          <w:rFonts w:ascii="Arial" w:hAnsi="Arial" w:cs="Arial"/>
          <w:spacing w:val="6"/>
          <w:szCs w:val="24"/>
        </w:rPr>
        <w:t xml:space="preserve"> los que denominó “Inexistencia de la obligación”, “Imposibilidad para reconocer y pagar derechos por fuera del ordenamiento legal”, “</w:t>
      </w:r>
      <w:r w:rsidR="00947FE2" w:rsidRPr="002B3E14">
        <w:rPr>
          <w:rFonts w:ascii="Arial" w:hAnsi="Arial" w:cs="Arial"/>
          <w:spacing w:val="6"/>
          <w:szCs w:val="24"/>
        </w:rPr>
        <w:t>B</w:t>
      </w:r>
      <w:r w:rsidRPr="002B3E14">
        <w:rPr>
          <w:rFonts w:ascii="Arial" w:hAnsi="Arial" w:cs="Arial"/>
          <w:spacing w:val="6"/>
          <w:szCs w:val="24"/>
        </w:rPr>
        <w:t>uena fe”</w:t>
      </w:r>
      <w:r w:rsidR="00947FE2" w:rsidRPr="002B3E14">
        <w:rPr>
          <w:rFonts w:ascii="Arial" w:hAnsi="Arial" w:cs="Arial"/>
          <w:spacing w:val="6"/>
          <w:szCs w:val="24"/>
        </w:rPr>
        <w:t xml:space="preserve"> e</w:t>
      </w:r>
      <w:r w:rsidRPr="002B3E14">
        <w:rPr>
          <w:rFonts w:ascii="Arial" w:hAnsi="Arial" w:cs="Arial"/>
          <w:spacing w:val="6"/>
          <w:szCs w:val="24"/>
        </w:rPr>
        <w:t xml:space="preserve"> “</w:t>
      </w:r>
      <w:r w:rsidR="00947FE2" w:rsidRPr="002B3E14">
        <w:rPr>
          <w:rFonts w:ascii="Arial" w:hAnsi="Arial" w:cs="Arial"/>
          <w:spacing w:val="6"/>
          <w:szCs w:val="24"/>
        </w:rPr>
        <w:t>I</w:t>
      </w:r>
      <w:r w:rsidRPr="002B3E14">
        <w:rPr>
          <w:rFonts w:ascii="Arial" w:hAnsi="Arial" w:cs="Arial"/>
          <w:spacing w:val="6"/>
          <w:szCs w:val="24"/>
        </w:rPr>
        <w:t xml:space="preserve">mposibilidad de condena en costas”, ver folios </w:t>
      </w:r>
      <w:r w:rsidR="00947FE2" w:rsidRPr="002B3E14">
        <w:rPr>
          <w:rFonts w:ascii="Arial" w:hAnsi="Arial" w:cs="Arial"/>
          <w:spacing w:val="6"/>
          <w:szCs w:val="24"/>
        </w:rPr>
        <w:t xml:space="preserve">140 a 149. </w:t>
      </w:r>
      <w:r w:rsidRPr="002B3E14">
        <w:rPr>
          <w:rFonts w:ascii="Arial" w:hAnsi="Arial" w:cs="Arial"/>
          <w:spacing w:val="6"/>
          <w:szCs w:val="24"/>
        </w:rPr>
        <w:t xml:space="preserve"> </w:t>
      </w:r>
    </w:p>
    <w:p w14:paraId="1009917C"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5A1F028F"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1.2.2.  A.F.P. P</w:t>
      </w:r>
      <w:r w:rsidR="00947FE2" w:rsidRPr="002B3E14">
        <w:rPr>
          <w:rFonts w:ascii="Arial" w:hAnsi="Arial" w:cs="Arial"/>
          <w:b/>
          <w:bCs/>
          <w:spacing w:val="6"/>
          <w:szCs w:val="24"/>
        </w:rPr>
        <w:t xml:space="preserve">ORVENIR </w:t>
      </w:r>
      <w:r w:rsidRPr="002B3E14">
        <w:rPr>
          <w:rFonts w:ascii="Arial" w:hAnsi="Arial" w:cs="Arial"/>
          <w:b/>
          <w:bCs/>
          <w:spacing w:val="6"/>
          <w:szCs w:val="24"/>
        </w:rPr>
        <w:t>S.A.</w:t>
      </w:r>
    </w:p>
    <w:p w14:paraId="72B210D9" w14:textId="77777777" w:rsidR="00AE5132" w:rsidRPr="002B3E14" w:rsidRDefault="00AE5132" w:rsidP="002B3E14">
      <w:pPr>
        <w:pStyle w:val="Sinespaciado"/>
        <w:spacing w:line="276" w:lineRule="auto"/>
        <w:rPr>
          <w:rFonts w:ascii="Arial" w:hAnsi="Arial" w:cs="Arial"/>
          <w:szCs w:val="24"/>
        </w:rPr>
      </w:pPr>
    </w:p>
    <w:p w14:paraId="343D3A10" w14:textId="77777777" w:rsidR="008D2703" w:rsidRPr="002B3E14" w:rsidRDefault="00947FE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Se pronunció a través de su vocera judicial, aceptando el traslado de régimen pensional</w:t>
      </w:r>
      <w:r w:rsidR="008D2703" w:rsidRPr="002B3E14">
        <w:rPr>
          <w:rFonts w:ascii="Arial" w:hAnsi="Arial" w:cs="Arial"/>
          <w:spacing w:val="6"/>
          <w:szCs w:val="24"/>
        </w:rPr>
        <w:t xml:space="preserve"> de la actora y su traslado a la AFP Protección. </w:t>
      </w:r>
      <w:r w:rsidR="00AE5132" w:rsidRPr="002B3E14">
        <w:rPr>
          <w:rFonts w:ascii="Arial" w:hAnsi="Arial" w:cs="Arial"/>
          <w:spacing w:val="6"/>
          <w:szCs w:val="24"/>
        </w:rPr>
        <w:t xml:space="preserve">Frente a los demás supuestos de hecho expresó que no eran ciertos o que no le constaban. Se opuso a la prosperidad de las pretensiones y en su defensa formuló como excepciones de fondo las de </w:t>
      </w:r>
      <w:r w:rsidR="008D2703" w:rsidRPr="002B3E14">
        <w:rPr>
          <w:rFonts w:ascii="Arial" w:hAnsi="Arial" w:cs="Arial"/>
          <w:spacing w:val="6"/>
          <w:szCs w:val="24"/>
        </w:rPr>
        <w:t xml:space="preserve">“Validez de la afiliación al RAIS e inexistencia de vicios en el consentimiento”, “Saneamiento de la supuesta nulidad relativa”, “Pago”, “Compensación”, “Prescripción”, y “Buena fe”, </w:t>
      </w:r>
      <w:r w:rsidR="00AE5132" w:rsidRPr="002B3E14">
        <w:rPr>
          <w:rFonts w:ascii="Arial" w:hAnsi="Arial" w:cs="Arial"/>
          <w:spacing w:val="6"/>
          <w:szCs w:val="24"/>
        </w:rPr>
        <w:t>ver fls.1</w:t>
      </w:r>
      <w:r w:rsidR="008D2703" w:rsidRPr="002B3E14">
        <w:rPr>
          <w:rFonts w:ascii="Arial" w:hAnsi="Arial" w:cs="Arial"/>
          <w:spacing w:val="6"/>
          <w:szCs w:val="24"/>
        </w:rPr>
        <w:t xml:space="preserve">62 a 180. </w:t>
      </w:r>
    </w:p>
    <w:p w14:paraId="2BE93A93" w14:textId="77777777" w:rsidR="008D2703" w:rsidRPr="002B3E14" w:rsidRDefault="008D2703" w:rsidP="002B3E14">
      <w:pPr>
        <w:pStyle w:val="Sinespaciado"/>
        <w:spacing w:line="276" w:lineRule="auto"/>
        <w:ind w:firstLine="708"/>
        <w:jc w:val="both"/>
        <w:rPr>
          <w:rFonts w:ascii="Arial" w:hAnsi="Arial" w:cs="Arial"/>
          <w:spacing w:val="6"/>
          <w:szCs w:val="24"/>
        </w:rPr>
      </w:pPr>
    </w:p>
    <w:p w14:paraId="2D78ED2C" w14:textId="77777777" w:rsidR="008D2703"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spacing w:val="6"/>
          <w:szCs w:val="24"/>
        </w:rPr>
        <w:t xml:space="preserve"> </w:t>
      </w:r>
      <w:r w:rsidR="008D2703" w:rsidRPr="002B3E14">
        <w:rPr>
          <w:rFonts w:ascii="Arial" w:hAnsi="Arial" w:cs="Arial"/>
          <w:b/>
          <w:bCs/>
          <w:spacing w:val="6"/>
          <w:szCs w:val="24"/>
        </w:rPr>
        <w:t>1.2.3.  A.F.P. PROTECCIÓN S.A.</w:t>
      </w:r>
    </w:p>
    <w:p w14:paraId="132F8DAC"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225ACD69" w14:textId="77777777" w:rsidR="008D2703" w:rsidRPr="002B3E14" w:rsidRDefault="008D2703"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A través de su vocera judicial, aceptó la afiliación de la demandante al régimen de prima media y su posterior traslado al régimen de ahorro individual, su posterior afiliación a la AFP Protección</w:t>
      </w:r>
      <w:r w:rsidR="0060018D" w:rsidRPr="002B3E14">
        <w:rPr>
          <w:rFonts w:ascii="Arial" w:hAnsi="Arial" w:cs="Arial"/>
          <w:spacing w:val="6"/>
          <w:szCs w:val="24"/>
        </w:rPr>
        <w:t xml:space="preserve">. </w:t>
      </w:r>
      <w:r w:rsidRPr="002B3E14">
        <w:rPr>
          <w:rFonts w:ascii="Arial" w:hAnsi="Arial" w:cs="Arial"/>
          <w:spacing w:val="6"/>
          <w:szCs w:val="24"/>
        </w:rPr>
        <w:t>Frente a los demás expresó que no eran ciertos</w:t>
      </w:r>
      <w:r w:rsidR="001D2A0D" w:rsidRPr="002B3E14">
        <w:rPr>
          <w:rFonts w:ascii="Arial" w:hAnsi="Arial" w:cs="Arial"/>
          <w:spacing w:val="6"/>
          <w:szCs w:val="24"/>
        </w:rPr>
        <w:t xml:space="preserve">, </w:t>
      </w:r>
      <w:r w:rsidRPr="002B3E14">
        <w:rPr>
          <w:rFonts w:ascii="Arial" w:hAnsi="Arial" w:cs="Arial"/>
          <w:spacing w:val="6"/>
          <w:szCs w:val="24"/>
        </w:rPr>
        <w:t>no le constaban</w:t>
      </w:r>
      <w:r w:rsidR="001D2A0D" w:rsidRPr="002B3E14">
        <w:rPr>
          <w:rFonts w:ascii="Arial" w:hAnsi="Arial" w:cs="Arial"/>
          <w:spacing w:val="6"/>
          <w:szCs w:val="24"/>
        </w:rPr>
        <w:t xml:space="preserve"> no constituyen supuestos fácticos</w:t>
      </w:r>
      <w:r w:rsidRPr="002B3E14">
        <w:rPr>
          <w:rFonts w:ascii="Arial" w:hAnsi="Arial" w:cs="Arial"/>
          <w:spacing w:val="6"/>
          <w:szCs w:val="24"/>
        </w:rPr>
        <w:t xml:space="preserve">. Se opuso a la prosperidad de las pretensiones y en su defensa formuló como excepciones de </w:t>
      </w:r>
      <w:r w:rsidRPr="002B3E14">
        <w:rPr>
          <w:rFonts w:ascii="Arial" w:hAnsi="Arial" w:cs="Arial"/>
          <w:spacing w:val="6"/>
          <w:szCs w:val="24"/>
        </w:rPr>
        <w:lastRenderedPageBreak/>
        <w:t>fondo las de “Validez de la afiliación al RAIS e inexistencia de vicios en el consentimiento”, “Saneamiento de la supuesta nulidad relativa”</w:t>
      </w:r>
      <w:r w:rsidR="001D2A0D" w:rsidRPr="002B3E14">
        <w:rPr>
          <w:rFonts w:ascii="Arial" w:hAnsi="Arial" w:cs="Arial"/>
          <w:spacing w:val="6"/>
          <w:szCs w:val="24"/>
        </w:rPr>
        <w:t xml:space="preserve">, </w:t>
      </w:r>
      <w:r w:rsidRPr="002B3E14">
        <w:rPr>
          <w:rFonts w:ascii="Arial" w:hAnsi="Arial" w:cs="Arial"/>
          <w:spacing w:val="6"/>
          <w:szCs w:val="24"/>
        </w:rPr>
        <w:t>“Prescripción”, y “Buena fe”, ver fls.1</w:t>
      </w:r>
      <w:r w:rsidR="001D2A0D" w:rsidRPr="002B3E14">
        <w:rPr>
          <w:rFonts w:ascii="Arial" w:hAnsi="Arial" w:cs="Arial"/>
          <w:spacing w:val="6"/>
          <w:szCs w:val="24"/>
        </w:rPr>
        <w:t xml:space="preserve">99 </w:t>
      </w:r>
      <w:r w:rsidRPr="002B3E14">
        <w:rPr>
          <w:rFonts w:ascii="Arial" w:hAnsi="Arial" w:cs="Arial"/>
          <w:spacing w:val="6"/>
          <w:szCs w:val="24"/>
        </w:rPr>
        <w:t xml:space="preserve">a </w:t>
      </w:r>
      <w:r w:rsidR="001D2A0D" w:rsidRPr="002B3E14">
        <w:rPr>
          <w:rFonts w:ascii="Arial" w:hAnsi="Arial" w:cs="Arial"/>
          <w:spacing w:val="6"/>
          <w:szCs w:val="24"/>
        </w:rPr>
        <w:t>216</w:t>
      </w:r>
      <w:r w:rsidRPr="002B3E14">
        <w:rPr>
          <w:rFonts w:ascii="Arial" w:hAnsi="Arial" w:cs="Arial"/>
          <w:spacing w:val="6"/>
          <w:szCs w:val="24"/>
        </w:rPr>
        <w:t xml:space="preserve">. </w:t>
      </w:r>
    </w:p>
    <w:p w14:paraId="10870B64" w14:textId="77777777" w:rsidR="001D2A0D" w:rsidRPr="002B3E14" w:rsidRDefault="001D2A0D" w:rsidP="002B3E14">
      <w:pPr>
        <w:pStyle w:val="Sinespaciado"/>
        <w:spacing w:line="276" w:lineRule="auto"/>
        <w:ind w:firstLine="708"/>
        <w:jc w:val="both"/>
        <w:rPr>
          <w:rFonts w:ascii="Arial" w:hAnsi="Arial" w:cs="Arial"/>
          <w:spacing w:val="6"/>
          <w:szCs w:val="24"/>
        </w:rPr>
      </w:pPr>
    </w:p>
    <w:p w14:paraId="27CCB16E" w14:textId="77777777" w:rsidR="001D2A0D" w:rsidRPr="002B3E14" w:rsidRDefault="001D2A0D" w:rsidP="002B3E14">
      <w:pPr>
        <w:pStyle w:val="Sinespaciado"/>
        <w:numPr>
          <w:ilvl w:val="2"/>
          <w:numId w:val="1"/>
        </w:numPr>
        <w:spacing w:line="276" w:lineRule="auto"/>
        <w:jc w:val="both"/>
        <w:rPr>
          <w:rFonts w:ascii="Arial" w:hAnsi="Arial" w:cs="Arial"/>
          <w:b/>
          <w:bCs/>
          <w:spacing w:val="6"/>
          <w:szCs w:val="24"/>
        </w:rPr>
      </w:pPr>
      <w:r w:rsidRPr="002B3E14">
        <w:rPr>
          <w:rFonts w:ascii="Arial" w:hAnsi="Arial" w:cs="Arial"/>
          <w:b/>
          <w:bCs/>
          <w:spacing w:val="6"/>
          <w:szCs w:val="24"/>
        </w:rPr>
        <w:t>COLFONDOS S.A. PENSIONES Y CESANTIAS</w:t>
      </w:r>
    </w:p>
    <w:p w14:paraId="72BF81FB" w14:textId="77777777" w:rsidR="001D2A0D" w:rsidRPr="002B3E14" w:rsidRDefault="001D2A0D" w:rsidP="002B3E14">
      <w:pPr>
        <w:pStyle w:val="Sinespaciado"/>
        <w:spacing w:line="276" w:lineRule="auto"/>
        <w:ind w:left="1458"/>
        <w:jc w:val="both"/>
        <w:rPr>
          <w:rFonts w:ascii="Arial" w:hAnsi="Arial" w:cs="Arial"/>
          <w:b/>
          <w:bCs/>
          <w:spacing w:val="6"/>
          <w:szCs w:val="24"/>
        </w:rPr>
      </w:pPr>
    </w:p>
    <w:p w14:paraId="37EA5CCA" w14:textId="77777777" w:rsidR="001D2A0D" w:rsidRPr="002B3E14" w:rsidRDefault="001D2A0D" w:rsidP="002B3E14">
      <w:pPr>
        <w:pStyle w:val="Sinespaciado"/>
        <w:spacing w:line="276" w:lineRule="auto"/>
        <w:ind w:left="142" w:firstLine="566"/>
        <w:jc w:val="both"/>
        <w:rPr>
          <w:rFonts w:ascii="Arial" w:hAnsi="Arial" w:cs="Arial"/>
          <w:bCs/>
          <w:spacing w:val="6"/>
          <w:szCs w:val="24"/>
        </w:rPr>
      </w:pPr>
      <w:r w:rsidRPr="002B3E14">
        <w:rPr>
          <w:rFonts w:ascii="Arial" w:hAnsi="Arial" w:cs="Arial"/>
          <w:bCs/>
          <w:spacing w:val="6"/>
          <w:szCs w:val="24"/>
        </w:rPr>
        <w:t xml:space="preserve">Por intermedio de apoderado judicial, contestó la demanda en la que aceptó los hechos relativos a la suscripción del formulario de afiliación con la entidad y la respuesta brindada a través de la comunicación fechada el 9 de octubre de 2018. Respecto a los demás hechos indicó no ser ciertos, no constarle o no constituir un supuesto fáctico como tal. Se opuso igualmente a la prosperidad de las pretensiones de la gestora de la litis, y en su defensa formuló como excepciones las mismas invocadas por su par procesal Porvenir S.A., ver folios 257 a 275. </w:t>
      </w:r>
    </w:p>
    <w:p w14:paraId="718158CA" w14:textId="77777777" w:rsidR="00AE5132" w:rsidRPr="002B3E14" w:rsidRDefault="00AE5132" w:rsidP="002B3E14">
      <w:pPr>
        <w:pStyle w:val="Sinespaciado"/>
        <w:spacing w:line="276" w:lineRule="auto"/>
        <w:jc w:val="both"/>
        <w:rPr>
          <w:rFonts w:ascii="Arial" w:hAnsi="Arial" w:cs="Arial"/>
          <w:spacing w:val="6"/>
          <w:szCs w:val="24"/>
        </w:rPr>
      </w:pPr>
    </w:p>
    <w:p w14:paraId="0A383772" w14:textId="77777777" w:rsidR="00AE5132" w:rsidRPr="002B3E14" w:rsidRDefault="00AE5132" w:rsidP="002B3E14">
      <w:pPr>
        <w:pStyle w:val="Sinespaciado"/>
        <w:numPr>
          <w:ilvl w:val="0"/>
          <w:numId w:val="1"/>
        </w:numPr>
        <w:spacing w:line="276" w:lineRule="auto"/>
        <w:jc w:val="both"/>
        <w:rPr>
          <w:rFonts w:ascii="Arial" w:hAnsi="Arial" w:cs="Arial"/>
          <w:b/>
          <w:bCs/>
          <w:spacing w:val="6"/>
          <w:szCs w:val="24"/>
        </w:rPr>
      </w:pPr>
      <w:r w:rsidRPr="002B3E14">
        <w:rPr>
          <w:rFonts w:ascii="Arial" w:hAnsi="Arial" w:cs="Arial"/>
          <w:b/>
          <w:bCs/>
          <w:spacing w:val="6"/>
          <w:szCs w:val="24"/>
        </w:rPr>
        <w:t>SENTENCIA DE PRIMERA INSTANCIA</w:t>
      </w:r>
    </w:p>
    <w:p w14:paraId="29B3BFD8"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309D38F6" w14:textId="2EB9ABB1" w:rsidR="00036F9C"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El juzgado de conocimiento puso fin a la primera instancia mediante sentencia dictada el</w:t>
      </w:r>
      <w:r w:rsidR="00AF7AD8" w:rsidRPr="002B3E14">
        <w:rPr>
          <w:rFonts w:ascii="Arial" w:hAnsi="Arial" w:cs="Arial"/>
          <w:spacing w:val="6"/>
          <w:szCs w:val="24"/>
        </w:rPr>
        <w:t xml:space="preserve"> 26 de septiembre de 2019</w:t>
      </w:r>
      <w:r w:rsidRPr="002B3E14">
        <w:rPr>
          <w:rFonts w:ascii="Arial" w:hAnsi="Arial" w:cs="Arial"/>
          <w:spacing w:val="6"/>
          <w:szCs w:val="24"/>
        </w:rPr>
        <w:t xml:space="preserve">, en la que accedió a las pretensiones de la demanda, </w:t>
      </w:r>
      <w:r w:rsidR="00003545" w:rsidRPr="002B3E14">
        <w:rPr>
          <w:rFonts w:ascii="Arial" w:hAnsi="Arial" w:cs="Arial"/>
          <w:spacing w:val="6"/>
          <w:szCs w:val="24"/>
        </w:rPr>
        <w:t xml:space="preserve">por cuanto </w:t>
      </w:r>
      <w:r w:rsidRPr="002B3E14">
        <w:rPr>
          <w:rFonts w:ascii="Arial" w:hAnsi="Arial" w:cs="Arial"/>
          <w:bCs/>
          <w:spacing w:val="6"/>
          <w:szCs w:val="24"/>
        </w:rPr>
        <w:t>declaró la ineficacia del traslado</w:t>
      </w:r>
      <w:r w:rsidRPr="002B3E14">
        <w:rPr>
          <w:rFonts w:ascii="Arial" w:hAnsi="Arial" w:cs="Arial"/>
          <w:spacing w:val="6"/>
          <w:szCs w:val="24"/>
        </w:rPr>
        <w:t xml:space="preserve"> que la demandante efectuó al régimen de ahorro individual con solidaridad el día </w:t>
      </w:r>
      <w:r w:rsidR="00003545" w:rsidRPr="002B3E14">
        <w:rPr>
          <w:rFonts w:ascii="Arial" w:hAnsi="Arial" w:cs="Arial"/>
          <w:spacing w:val="6"/>
          <w:szCs w:val="24"/>
        </w:rPr>
        <w:t>15 de septiembre de 1998</w:t>
      </w:r>
      <w:r w:rsidRPr="002B3E14">
        <w:rPr>
          <w:rFonts w:ascii="Arial" w:hAnsi="Arial" w:cs="Arial"/>
          <w:spacing w:val="6"/>
          <w:szCs w:val="24"/>
        </w:rPr>
        <w:t xml:space="preserve"> a través de la AFP </w:t>
      </w:r>
      <w:r w:rsidR="00003545" w:rsidRPr="002B3E14">
        <w:rPr>
          <w:rFonts w:ascii="Arial" w:hAnsi="Arial" w:cs="Arial"/>
          <w:spacing w:val="6"/>
          <w:szCs w:val="24"/>
        </w:rPr>
        <w:t xml:space="preserve">Colfondos S.A. </w:t>
      </w:r>
      <w:r w:rsidRPr="002B3E14">
        <w:rPr>
          <w:rFonts w:ascii="Arial" w:hAnsi="Arial" w:cs="Arial"/>
          <w:spacing w:val="6"/>
          <w:szCs w:val="24"/>
        </w:rPr>
        <w:t>En consecuencia, condenó a la AFP Protección</w:t>
      </w:r>
      <w:r w:rsidR="00003545" w:rsidRPr="002B3E14">
        <w:rPr>
          <w:rFonts w:ascii="Arial" w:hAnsi="Arial" w:cs="Arial"/>
          <w:spacing w:val="6"/>
          <w:szCs w:val="24"/>
        </w:rPr>
        <w:t xml:space="preserve">, entidad a la cual se encuentra actualmente afiliada la demandante, </w:t>
      </w:r>
      <w:r w:rsidRPr="002B3E14">
        <w:rPr>
          <w:rFonts w:ascii="Arial" w:hAnsi="Arial" w:cs="Arial"/>
          <w:spacing w:val="6"/>
          <w:szCs w:val="24"/>
        </w:rPr>
        <w:t>a trasladar los saldos, cotizaciones, bonos pensionales, sumas adicionales, junto con sus respectivos frutos e intereses y cuotas de administración a la Administradora Colombiana de Pensiones Colpensiones, a quien ordenó</w:t>
      </w:r>
      <w:r w:rsidR="00003545" w:rsidRPr="002B3E14">
        <w:rPr>
          <w:rFonts w:ascii="Arial" w:hAnsi="Arial" w:cs="Arial"/>
          <w:spacing w:val="6"/>
          <w:szCs w:val="24"/>
        </w:rPr>
        <w:t xml:space="preserve"> además</w:t>
      </w:r>
      <w:r w:rsidRPr="002B3E14">
        <w:rPr>
          <w:rFonts w:ascii="Arial" w:hAnsi="Arial" w:cs="Arial"/>
          <w:spacing w:val="6"/>
          <w:szCs w:val="24"/>
        </w:rPr>
        <w:t xml:space="preserve"> aceptar sin dilaciones el traslado de la accionante sin solución de continuidad desde el momento en que se afilió a</w:t>
      </w:r>
      <w:r w:rsidR="00003545" w:rsidRPr="002B3E14">
        <w:rPr>
          <w:rFonts w:ascii="Arial" w:hAnsi="Arial" w:cs="Arial"/>
          <w:spacing w:val="6"/>
          <w:szCs w:val="24"/>
        </w:rPr>
        <w:t>l régimen de prima media con prestación definida</w:t>
      </w:r>
      <w:r w:rsidRPr="002B3E14">
        <w:rPr>
          <w:rFonts w:ascii="Arial" w:hAnsi="Arial" w:cs="Arial"/>
          <w:spacing w:val="6"/>
          <w:szCs w:val="24"/>
        </w:rPr>
        <w:t xml:space="preserve">. Declaró no probados los medios exceptivos propuestos por las opositoras y condenó en costas procesales a </w:t>
      </w:r>
      <w:r w:rsidR="00003545" w:rsidRPr="002B3E14">
        <w:rPr>
          <w:rFonts w:ascii="Arial" w:hAnsi="Arial" w:cs="Arial"/>
          <w:spacing w:val="6"/>
          <w:szCs w:val="24"/>
        </w:rPr>
        <w:t>Colfondos</w:t>
      </w:r>
      <w:r w:rsidRPr="002B3E14">
        <w:rPr>
          <w:rFonts w:ascii="Arial" w:hAnsi="Arial" w:cs="Arial"/>
          <w:spacing w:val="6"/>
          <w:szCs w:val="24"/>
        </w:rPr>
        <w:t xml:space="preserve"> S.A. y a favor de la parte actora en un 100% de las causadas</w:t>
      </w:r>
      <w:r w:rsidR="00036F9C" w:rsidRPr="002B3E14">
        <w:rPr>
          <w:rFonts w:ascii="Arial" w:hAnsi="Arial" w:cs="Arial"/>
          <w:spacing w:val="6"/>
          <w:szCs w:val="24"/>
        </w:rPr>
        <w:t>.</w:t>
      </w:r>
    </w:p>
    <w:p w14:paraId="444C84E5" w14:textId="77777777" w:rsidR="00036F9C" w:rsidRPr="002B3E14" w:rsidRDefault="00036F9C" w:rsidP="002B3E14">
      <w:pPr>
        <w:spacing w:line="276" w:lineRule="auto"/>
        <w:jc w:val="both"/>
        <w:textAlignment w:val="baseline"/>
        <w:rPr>
          <w:rFonts w:ascii="Arial" w:hAnsi="Arial" w:cs="Arial"/>
          <w:szCs w:val="24"/>
          <w:lang w:val="es-CO" w:eastAsia="es-CO"/>
        </w:rPr>
      </w:pPr>
      <w:r w:rsidRPr="002B3E14">
        <w:rPr>
          <w:rFonts w:ascii="Arial" w:hAnsi="Arial" w:cs="Arial"/>
          <w:szCs w:val="24"/>
          <w:lang w:val="es-CO" w:eastAsia="es-CO"/>
        </w:rPr>
        <w:t> </w:t>
      </w:r>
    </w:p>
    <w:p w14:paraId="0A8D442F" w14:textId="03C3CE0D" w:rsidR="00AE5132" w:rsidRPr="002B3E14" w:rsidRDefault="00036F9C" w:rsidP="002B3E14">
      <w:pPr>
        <w:spacing w:line="276" w:lineRule="auto"/>
        <w:ind w:firstLine="708"/>
        <w:jc w:val="both"/>
        <w:textAlignment w:val="baseline"/>
        <w:rPr>
          <w:rFonts w:ascii="Arial" w:hAnsi="Arial" w:cs="Arial"/>
          <w:spacing w:val="6"/>
          <w:szCs w:val="24"/>
        </w:rPr>
      </w:pPr>
      <w:r w:rsidRPr="002B3E14">
        <w:rPr>
          <w:rFonts w:ascii="Arial" w:hAnsi="Arial" w:cs="Arial"/>
          <w:spacing w:val="6"/>
          <w:szCs w:val="24"/>
          <w:lang w:val="es-ES" w:eastAsia="es-CO"/>
        </w:rPr>
        <w:t>Para arribar a esas</w:t>
      </w:r>
      <w:r w:rsidR="002B3E14">
        <w:rPr>
          <w:rFonts w:ascii="Arial" w:hAnsi="Arial" w:cs="Arial"/>
          <w:spacing w:val="6"/>
          <w:szCs w:val="24"/>
          <w:lang w:val="es-ES" w:eastAsia="es-CO"/>
        </w:rPr>
        <w:t xml:space="preserve"> </w:t>
      </w:r>
      <w:r w:rsidRPr="002B3E14">
        <w:rPr>
          <w:rFonts w:ascii="Arial" w:hAnsi="Arial" w:cs="Arial"/>
          <w:spacing w:val="6"/>
          <w:szCs w:val="24"/>
          <w:lang w:val="es-ES" w:eastAsia="es-CO"/>
        </w:rPr>
        <w:t>determinaciones,</w:t>
      </w:r>
      <w:r w:rsidR="002B3E14">
        <w:rPr>
          <w:rFonts w:ascii="Arial" w:hAnsi="Arial" w:cs="Arial"/>
          <w:spacing w:val="6"/>
          <w:szCs w:val="24"/>
          <w:lang w:val="es-ES" w:eastAsia="es-CO"/>
        </w:rPr>
        <w:t xml:space="preserve"> </w:t>
      </w:r>
      <w:r w:rsidRPr="002B3E14">
        <w:rPr>
          <w:rFonts w:ascii="Arial" w:hAnsi="Arial" w:cs="Arial"/>
          <w:spacing w:val="6"/>
          <w:szCs w:val="24"/>
          <w:lang w:val="es-ES" w:eastAsia="es-CO"/>
        </w:rPr>
        <w:t>la</w:t>
      </w:r>
      <w:r w:rsidR="002B3E14">
        <w:rPr>
          <w:rFonts w:ascii="Arial" w:hAnsi="Arial" w:cs="Arial"/>
          <w:spacing w:val="6"/>
          <w:szCs w:val="24"/>
          <w:lang w:val="es-ES" w:eastAsia="es-CO"/>
        </w:rPr>
        <w:t xml:space="preserve"> </w:t>
      </w:r>
      <w:r w:rsidRPr="002B3E14">
        <w:rPr>
          <w:rFonts w:ascii="Arial" w:hAnsi="Arial" w:cs="Arial"/>
          <w:i/>
          <w:iCs/>
          <w:spacing w:val="6"/>
          <w:szCs w:val="24"/>
          <w:lang w:val="es-ES" w:eastAsia="es-CO"/>
        </w:rPr>
        <w:t>a-quo</w:t>
      </w:r>
      <w:r w:rsidR="002B3E14">
        <w:rPr>
          <w:rFonts w:ascii="Arial" w:hAnsi="Arial" w:cs="Arial"/>
          <w:i/>
          <w:iCs/>
          <w:spacing w:val="6"/>
          <w:szCs w:val="24"/>
          <w:lang w:val="es-ES" w:eastAsia="es-CO"/>
        </w:rPr>
        <w:t xml:space="preserve"> </w:t>
      </w:r>
      <w:r w:rsidRPr="002B3E14">
        <w:rPr>
          <w:rFonts w:ascii="Arial" w:hAnsi="Arial" w:cs="Arial"/>
          <w:spacing w:val="6"/>
          <w:szCs w:val="24"/>
          <w:lang w:val="es-ES" w:eastAsia="es-CO"/>
        </w:rPr>
        <w:t>argumentó,</w:t>
      </w:r>
      <w:r w:rsidR="002B3E14">
        <w:rPr>
          <w:rFonts w:ascii="Arial" w:hAnsi="Arial" w:cs="Arial"/>
          <w:spacing w:val="6"/>
          <w:szCs w:val="24"/>
          <w:lang w:val="es-ES" w:eastAsia="es-CO"/>
        </w:rPr>
        <w:t xml:space="preserve"> </w:t>
      </w:r>
      <w:r w:rsidRPr="002B3E14">
        <w:rPr>
          <w:rFonts w:ascii="Arial" w:hAnsi="Arial" w:cs="Arial"/>
          <w:spacing w:val="6"/>
          <w:szCs w:val="24"/>
          <w:lang w:val="es-ES" w:eastAsia="es-CO"/>
        </w:rPr>
        <w:t>en síntesis,</w:t>
      </w:r>
      <w:r w:rsidR="002B3E14">
        <w:rPr>
          <w:rFonts w:ascii="Arial" w:hAnsi="Arial" w:cs="Arial"/>
          <w:spacing w:val="6"/>
          <w:szCs w:val="24"/>
          <w:lang w:val="es-ES" w:eastAsia="es-CO"/>
        </w:rPr>
        <w:t xml:space="preserve"> </w:t>
      </w:r>
      <w:r w:rsidRPr="002B3E14">
        <w:rPr>
          <w:rFonts w:ascii="Arial" w:hAnsi="Arial" w:cs="Arial"/>
          <w:spacing w:val="6"/>
          <w:szCs w:val="24"/>
          <w:lang w:val="es-ES" w:eastAsia="es-CO"/>
        </w:rPr>
        <w:t>que</w:t>
      </w:r>
      <w:r w:rsidR="002B3E14">
        <w:rPr>
          <w:rFonts w:ascii="Arial" w:hAnsi="Arial" w:cs="Arial"/>
          <w:spacing w:val="6"/>
          <w:szCs w:val="24"/>
          <w:lang w:val="es-ES" w:eastAsia="es-CO"/>
        </w:rPr>
        <w:t xml:space="preserve"> </w:t>
      </w:r>
      <w:r w:rsidRPr="002B3E14">
        <w:rPr>
          <w:rFonts w:ascii="Arial" w:hAnsi="Arial" w:cs="Arial"/>
          <w:spacing w:val="6"/>
          <w:szCs w:val="24"/>
          <w:lang w:val="es-ES" w:eastAsia="es-CO"/>
        </w:rPr>
        <w:t xml:space="preserve">el traslado de régimen pensional realizado </w:t>
      </w:r>
      <w:r w:rsidR="0082066F" w:rsidRPr="002B3E14">
        <w:rPr>
          <w:rFonts w:ascii="Arial" w:hAnsi="Arial" w:cs="Arial"/>
          <w:spacing w:val="6"/>
          <w:szCs w:val="24"/>
          <w:lang w:val="es-ES" w:eastAsia="es-CO"/>
        </w:rPr>
        <w:t>por la demandante</w:t>
      </w:r>
      <w:r w:rsidRPr="002B3E14">
        <w:rPr>
          <w:rFonts w:ascii="Arial" w:hAnsi="Arial" w:cs="Arial"/>
          <w:spacing w:val="6"/>
          <w:szCs w:val="24"/>
          <w:lang w:val="es-ES" w:eastAsia="es-CO"/>
        </w:rPr>
        <w:t xml:space="preserve"> fue ineficaz porque Colfondos</w:t>
      </w:r>
      <w:r w:rsidR="0082066F" w:rsidRPr="002B3E14">
        <w:rPr>
          <w:rFonts w:ascii="Arial" w:hAnsi="Arial" w:cs="Arial"/>
          <w:spacing w:val="6"/>
          <w:szCs w:val="24"/>
          <w:lang w:val="es-ES" w:eastAsia="es-CO"/>
        </w:rPr>
        <w:t xml:space="preserve">, en los términos del artículo 1604 del Código Civil, </w:t>
      </w:r>
      <w:r w:rsidRPr="002B3E14">
        <w:rPr>
          <w:rFonts w:ascii="Arial" w:hAnsi="Arial" w:cs="Arial"/>
          <w:spacing w:val="6"/>
          <w:szCs w:val="24"/>
          <w:lang w:val="es-ES" w:eastAsia="es-CO"/>
        </w:rPr>
        <w:t>no demostró haber cumplido con el deber de informar a</w:t>
      </w:r>
      <w:r w:rsidR="0082066F" w:rsidRPr="002B3E14">
        <w:rPr>
          <w:rFonts w:ascii="Arial" w:hAnsi="Arial" w:cs="Arial"/>
          <w:spacing w:val="6"/>
          <w:szCs w:val="24"/>
          <w:lang w:val="es-ES" w:eastAsia="es-CO"/>
        </w:rPr>
        <w:t xml:space="preserve"> la</w:t>
      </w:r>
      <w:r w:rsidRPr="002B3E14">
        <w:rPr>
          <w:rFonts w:ascii="Arial" w:hAnsi="Arial" w:cs="Arial"/>
          <w:spacing w:val="6"/>
          <w:szCs w:val="24"/>
          <w:lang w:val="es-ES" w:eastAsia="es-CO"/>
        </w:rPr>
        <w:t xml:space="preserve"> accionante de manera clara, comprensible y suficiente sobre las características de ambos regímenes, sus condiciones de acceso y los efectos de ello, de modo que </w:t>
      </w:r>
      <w:r w:rsidR="0082066F" w:rsidRPr="002B3E14">
        <w:rPr>
          <w:rFonts w:ascii="Arial" w:hAnsi="Arial" w:cs="Arial"/>
          <w:spacing w:val="6"/>
          <w:szCs w:val="24"/>
          <w:lang w:val="es-ES" w:eastAsia="es-CO"/>
        </w:rPr>
        <w:t>ella</w:t>
      </w:r>
      <w:r w:rsidRPr="002B3E14">
        <w:rPr>
          <w:rFonts w:ascii="Arial" w:hAnsi="Arial" w:cs="Arial"/>
          <w:spacing w:val="6"/>
          <w:szCs w:val="24"/>
          <w:lang w:val="es-ES" w:eastAsia="es-CO"/>
        </w:rPr>
        <w:t xml:space="preserve"> pudiere otorgar su consentimiento de manera consciente y libre</w:t>
      </w:r>
      <w:r w:rsidR="0082066F" w:rsidRPr="002B3E14">
        <w:rPr>
          <w:rFonts w:ascii="Arial" w:hAnsi="Arial" w:cs="Arial"/>
          <w:spacing w:val="6"/>
          <w:szCs w:val="24"/>
          <w:lang w:val="es-ES" w:eastAsia="es-CO"/>
        </w:rPr>
        <w:t xml:space="preserve">, sin que de la suscripción del </w:t>
      </w:r>
      <w:r w:rsidR="00AE5132" w:rsidRPr="002B3E14">
        <w:rPr>
          <w:rFonts w:ascii="Arial" w:hAnsi="Arial" w:cs="Arial"/>
          <w:spacing w:val="6"/>
          <w:szCs w:val="24"/>
        </w:rPr>
        <w:t>formulario de afiliación</w:t>
      </w:r>
      <w:r w:rsidR="0082066F" w:rsidRPr="002B3E14">
        <w:rPr>
          <w:rFonts w:ascii="Arial" w:hAnsi="Arial" w:cs="Arial"/>
          <w:spacing w:val="6"/>
          <w:szCs w:val="24"/>
        </w:rPr>
        <w:t xml:space="preserve"> y de la re</w:t>
      </w:r>
      <w:r w:rsidR="00B706DD" w:rsidRPr="002B3E14">
        <w:rPr>
          <w:rFonts w:ascii="Arial" w:hAnsi="Arial" w:cs="Arial"/>
          <w:spacing w:val="6"/>
          <w:szCs w:val="24"/>
        </w:rPr>
        <w:t>-asesoría</w:t>
      </w:r>
      <w:r w:rsidR="0082066F" w:rsidRPr="002B3E14">
        <w:rPr>
          <w:rFonts w:ascii="Arial" w:hAnsi="Arial" w:cs="Arial"/>
          <w:spacing w:val="6"/>
          <w:szCs w:val="24"/>
        </w:rPr>
        <w:t xml:space="preserve"> que le brindó Protección, </w:t>
      </w:r>
      <w:r w:rsidR="00AE5132" w:rsidRPr="002B3E14">
        <w:rPr>
          <w:rFonts w:ascii="Arial" w:hAnsi="Arial" w:cs="Arial"/>
          <w:spacing w:val="6"/>
          <w:szCs w:val="24"/>
        </w:rPr>
        <w:t>se desprend</w:t>
      </w:r>
      <w:r w:rsidR="0082066F" w:rsidRPr="002B3E14">
        <w:rPr>
          <w:rFonts w:ascii="Arial" w:hAnsi="Arial" w:cs="Arial"/>
          <w:spacing w:val="6"/>
          <w:szCs w:val="24"/>
        </w:rPr>
        <w:t>a</w:t>
      </w:r>
      <w:r w:rsidR="00AE5132" w:rsidRPr="002B3E14">
        <w:rPr>
          <w:rFonts w:ascii="Arial" w:hAnsi="Arial" w:cs="Arial"/>
          <w:spacing w:val="6"/>
          <w:szCs w:val="24"/>
        </w:rPr>
        <w:t xml:space="preserve"> que </w:t>
      </w:r>
      <w:r w:rsidR="0082066F" w:rsidRPr="002B3E14">
        <w:rPr>
          <w:rFonts w:ascii="Arial" w:hAnsi="Arial" w:cs="Arial"/>
          <w:spacing w:val="6"/>
          <w:szCs w:val="24"/>
        </w:rPr>
        <w:t>recibió</w:t>
      </w:r>
      <w:r w:rsidR="00AE5132" w:rsidRPr="002B3E14">
        <w:rPr>
          <w:rFonts w:ascii="Arial" w:hAnsi="Arial" w:cs="Arial"/>
          <w:spacing w:val="6"/>
          <w:szCs w:val="24"/>
        </w:rPr>
        <w:t xml:space="preserve"> información suficiente, veraz y completa para efectuar el cambio de régimen pensional, y aunque en el interrogatorio que esta absolvió confesó haber recibido cierta información, lo cierto es que fue parcializada, </w:t>
      </w:r>
      <w:r w:rsidR="0082066F" w:rsidRPr="002B3E14">
        <w:rPr>
          <w:rFonts w:ascii="Arial" w:hAnsi="Arial" w:cs="Arial"/>
          <w:spacing w:val="6"/>
          <w:szCs w:val="24"/>
        </w:rPr>
        <w:t>y</w:t>
      </w:r>
      <w:r w:rsidR="00AE5132" w:rsidRPr="002B3E14">
        <w:rPr>
          <w:rFonts w:ascii="Arial" w:hAnsi="Arial" w:cs="Arial"/>
          <w:spacing w:val="6"/>
          <w:szCs w:val="24"/>
        </w:rPr>
        <w:t xml:space="preserve"> sólo contempló las ventajas del traslado</w:t>
      </w:r>
      <w:r w:rsidR="0082066F" w:rsidRPr="002B3E14">
        <w:rPr>
          <w:rFonts w:ascii="Arial" w:hAnsi="Arial" w:cs="Arial"/>
          <w:spacing w:val="6"/>
          <w:szCs w:val="24"/>
        </w:rPr>
        <w:t xml:space="preserve"> de régimen</w:t>
      </w:r>
      <w:r w:rsidR="00AE5132" w:rsidRPr="002B3E14">
        <w:rPr>
          <w:rFonts w:ascii="Arial" w:hAnsi="Arial" w:cs="Arial"/>
          <w:spacing w:val="6"/>
          <w:szCs w:val="24"/>
        </w:rPr>
        <w:t>.</w:t>
      </w:r>
    </w:p>
    <w:p w14:paraId="687D69C8"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2E500C07" w14:textId="77777777" w:rsidR="00AE5132" w:rsidRPr="002B3E14" w:rsidRDefault="00AE5132" w:rsidP="002B3E14">
      <w:pPr>
        <w:pStyle w:val="Sinespaciado"/>
        <w:numPr>
          <w:ilvl w:val="0"/>
          <w:numId w:val="1"/>
        </w:numPr>
        <w:spacing w:line="276" w:lineRule="auto"/>
        <w:jc w:val="both"/>
        <w:rPr>
          <w:rFonts w:ascii="Arial" w:hAnsi="Arial" w:cs="Arial"/>
          <w:b/>
          <w:bCs/>
          <w:spacing w:val="6"/>
          <w:szCs w:val="24"/>
        </w:rPr>
      </w:pPr>
      <w:r w:rsidRPr="002B3E14">
        <w:rPr>
          <w:rFonts w:ascii="Arial" w:hAnsi="Arial" w:cs="Arial"/>
          <w:b/>
          <w:bCs/>
          <w:spacing w:val="6"/>
          <w:szCs w:val="24"/>
        </w:rPr>
        <w:t>RECURSO DE APELACIÓN</w:t>
      </w:r>
    </w:p>
    <w:p w14:paraId="4FEA315F"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6674F8A1" w14:textId="6D7F91EB" w:rsidR="00003545"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Inconforme con lo de decidido, </w:t>
      </w:r>
      <w:r w:rsidRPr="002B3E14">
        <w:rPr>
          <w:rFonts w:ascii="Arial" w:hAnsi="Arial" w:cs="Arial"/>
          <w:bCs/>
          <w:spacing w:val="6"/>
          <w:szCs w:val="24"/>
        </w:rPr>
        <w:t>la AFP Protección S.A</w:t>
      </w:r>
      <w:r w:rsidRPr="002B3E14">
        <w:rPr>
          <w:rFonts w:ascii="Arial" w:hAnsi="Arial" w:cs="Arial"/>
          <w:spacing w:val="6"/>
          <w:szCs w:val="24"/>
        </w:rPr>
        <w:t xml:space="preserve">. </w:t>
      </w:r>
      <w:r w:rsidR="00003545" w:rsidRPr="002B3E14">
        <w:rPr>
          <w:rFonts w:ascii="Arial" w:hAnsi="Arial" w:cs="Arial"/>
          <w:spacing w:val="6"/>
          <w:szCs w:val="24"/>
        </w:rPr>
        <w:t>y la Administradora Colombiana de Pensiones Colpensiones interpusieron el</w:t>
      </w:r>
      <w:r w:rsidRPr="002B3E14">
        <w:rPr>
          <w:rFonts w:ascii="Arial" w:hAnsi="Arial" w:cs="Arial"/>
          <w:spacing w:val="6"/>
          <w:szCs w:val="24"/>
        </w:rPr>
        <w:t xml:space="preserve"> recurso de apelación</w:t>
      </w:r>
      <w:r w:rsidR="00120186" w:rsidRPr="002B3E14">
        <w:rPr>
          <w:rFonts w:ascii="Arial" w:hAnsi="Arial" w:cs="Arial"/>
          <w:spacing w:val="6"/>
          <w:szCs w:val="24"/>
        </w:rPr>
        <w:t>.</w:t>
      </w:r>
    </w:p>
    <w:p w14:paraId="520DE22D" w14:textId="77777777" w:rsidR="000C31BE" w:rsidRPr="002B3E14" w:rsidRDefault="000C31BE" w:rsidP="002B3E14">
      <w:pPr>
        <w:pStyle w:val="Sinespaciado"/>
        <w:spacing w:line="276" w:lineRule="auto"/>
        <w:ind w:firstLine="708"/>
        <w:jc w:val="both"/>
        <w:rPr>
          <w:rFonts w:ascii="Arial" w:hAnsi="Arial" w:cs="Arial"/>
          <w:spacing w:val="6"/>
          <w:szCs w:val="24"/>
        </w:rPr>
      </w:pPr>
    </w:p>
    <w:p w14:paraId="6CFBB9A1" w14:textId="1C44A4D0" w:rsidR="00082253" w:rsidRDefault="00003545"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La primera indicó en síntesis que </w:t>
      </w:r>
      <w:r w:rsidR="000E2E24" w:rsidRPr="002B3E14">
        <w:rPr>
          <w:rFonts w:ascii="Arial" w:hAnsi="Arial" w:cs="Arial"/>
          <w:spacing w:val="6"/>
          <w:szCs w:val="24"/>
        </w:rPr>
        <w:t xml:space="preserve">su inconformidad radica en la orden de devolución de las </w:t>
      </w:r>
      <w:r w:rsidR="00082253" w:rsidRPr="002B3E14">
        <w:rPr>
          <w:rFonts w:ascii="Arial" w:hAnsi="Arial" w:cs="Arial"/>
          <w:spacing w:val="6"/>
          <w:szCs w:val="24"/>
        </w:rPr>
        <w:t xml:space="preserve">cuotas de administración, </w:t>
      </w:r>
      <w:r w:rsidR="000E2E24" w:rsidRPr="002B3E14">
        <w:rPr>
          <w:rFonts w:ascii="Arial" w:hAnsi="Arial" w:cs="Arial"/>
          <w:spacing w:val="6"/>
          <w:szCs w:val="24"/>
        </w:rPr>
        <w:t xml:space="preserve">puesto la entidad administró </w:t>
      </w:r>
      <w:r w:rsidR="00082253" w:rsidRPr="002B3E14">
        <w:rPr>
          <w:rFonts w:ascii="Arial" w:hAnsi="Arial" w:cs="Arial"/>
          <w:spacing w:val="6"/>
          <w:szCs w:val="24"/>
        </w:rPr>
        <w:t>en forma juiciosa y responsable</w:t>
      </w:r>
      <w:r w:rsidR="000E2E24" w:rsidRPr="002B3E14">
        <w:rPr>
          <w:rFonts w:ascii="Arial" w:hAnsi="Arial" w:cs="Arial"/>
          <w:spacing w:val="6"/>
          <w:szCs w:val="24"/>
        </w:rPr>
        <w:t xml:space="preserve"> el dinero ahorrado en la cuenta por alrededor de 19 años</w:t>
      </w:r>
      <w:r w:rsidR="00120186" w:rsidRPr="002B3E14">
        <w:rPr>
          <w:rFonts w:ascii="Arial" w:hAnsi="Arial" w:cs="Arial"/>
          <w:spacing w:val="6"/>
          <w:szCs w:val="24"/>
        </w:rPr>
        <w:t xml:space="preserve">, </w:t>
      </w:r>
      <w:r w:rsidR="00082253" w:rsidRPr="002B3E14">
        <w:rPr>
          <w:rFonts w:ascii="Arial" w:hAnsi="Arial" w:cs="Arial"/>
          <w:spacing w:val="6"/>
          <w:szCs w:val="24"/>
        </w:rPr>
        <w:t xml:space="preserve">logrando obtener unos </w:t>
      </w:r>
      <w:r w:rsidR="00B706DD" w:rsidRPr="002B3E14">
        <w:rPr>
          <w:rFonts w:ascii="Arial" w:hAnsi="Arial" w:cs="Arial"/>
          <w:spacing w:val="6"/>
          <w:szCs w:val="24"/>
        </w:rPr>
        <w:t>rendimientos</w:t>
      </w:r>
      <w:r w:rsidR="00082253" w:rsidRPr="002B3E14">
        <w:rPr>
          <w:rFonts w:ascii="Arial" w:hAnsi="Arial" w:cs="Arial"/>
          <w:spacing w:val="6"/>
          <w:szCs w:val="24"/>
        </w:rPr>
        <w:t xml:space="preserve"> o frutos superiores incluso al valor de las cotizaciones </w:t>
      </w:r>
      <w:r w:rsidR="00120186" w:rsidRPr="002B3E14">
        <w:rPr>
          <w:rFonts w:ascii="Arial" w:hAnsi="Arial" w:cs="Arial"/>
          <w:spacing w:val="6"/>
          <w:szCs w:val="24"/>
        </w:rPr>
        <w:t xml:space="preserve">realizadas, por lo que considera que </w:t>
      </w:r>
      <w:r w:rsidR="00082253" w:rsidRPr="002B3E14">
        <w:rPr>
          <w:rFonts w:ascii="Arial" w:hAnsi="Arial" w:cs="Arial"/>
          <w:spacing w:val="6"/>
          <w:szCs w:val="24"/>
        </w:rPr>
        <w:t>es apenas justo que esos gastos permanezcan e</w:t>
      </w:r>
      <w:r w:rsidR="00B706DD" w:rsidRPr="002B3E14">
        <w:rPr>
          <w:rFonts w:ascii="Arial" w:hAnsi="Arial" w:cs="Arial"/>
          <w:spacing w:val="6"/>
          <w:szCs w:val="24"/>
        </w:rPr>
        <w:t>n el</w:t>
      </w:r>
      <w:r w:rsidR="002B3E14">
        <w:rPr>
          <w:rFonts w:ascii="Arial" w:hAnsi="Arial" w:cs="Arial"/>
          <w:spacing w:val="6"/>
          <w:szCs w:val="24"/>
        </w:rPr>
        <w:t xml:space="preserve"> patrimonio de su representada.</w:t>
      </w:r>
    </w:p>
    <w:p w14:paraId="10737524" w14:textId="77777777" w:rsidR="002B3E14" w:rsidRPr="002B3E14" w:rsidRDefault="002B3E14" w:rsidP="002B3E14">
      <w:pPr>
        <w:pStyle w:val="Sinespaciado"/>
        <w:spacing w:line="276" w:lineRule="auto"/>
        <w:ind w:firstLine="708"/>
        <w:jc w:val="both"/>
        <w:rPr>
          <w:rFonts w:ascii="Arial" w:hAnsi="Arial" w:cs="Arial"/>
          <w:spacing w:val="6"/>
          <w:szCs w:val="24"/>
        </w:rPr>
      </w:pPr>
    </w:p>
    <w:p w14:paraId="2FEA0DF8" w14:textId="0B07D1E0" w:rsidR="00003545" w:rsidRPr="002B3E14" w:rsidRDefault="00B706DD"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Colpensiones</w:t>
      </w:r>
      <w:r w:rsidR="00120186" w:rsidRPr="002B3E14">
        <w:rPr>
          <w:rFonts w:ascii="Arial" w:hAnsi="Arial" w:cs="Arial"/>
          <w:spacing w:val="6"/>
          <w:szCs w:val="24"/>
        </w:rPr>
        <w:t xml:space="preserve">, por su parte, indicó que </w:t>
      </w:r>
      <w:r w:rsidRPr="002B3E14">
        <w:rPr>
          <w:rFonts w:ascii="Arial" w:hAnsi="Arial" w:cs="Arial"/>
          <w:spacing w:val="6"/>
          <w:szCs w:val="24"/>
        </w:rPr>
        <w:t xml:space="preserve">debe comparecer a este tipo de procesos a la espera de lo que resulte probado en el mismo, por lo que solicita se condene a Colfondos </w:t>
      </w:r>
      <w:r w:rsidR="00120186" w:rsidRPr="002B3E14">
        <w:rPr>
          <w:rFonts w:ascii="Arial" w:hAnsi="Arial" w:cs="Arial"/>
          <w:spacing w:val="6"/>
          <w:szCs w:val="24"/>
        </w:rPr>
        <w:t xml:space="preserve">a pagar costas procesales a su favor. </w:t>
      </w:r>
    </w:p>
    <w:p w14:paraId="1E82937D"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1260F80E" w14:textId="77777777" w:rsidR="00AE5132" w:rsidRPr="002B3E14" w:rsidRDefault="00AE5132" w:rsidP="002B3E14">
      <w:pPr>
        <w:pStyle w:val="Sinespaciado"/>
        <w:numPr>
          <w:ilvl w:val="0"/>
          <w:numId w:val="1"/>
        </w:numPr>
        <w:spacing w:line="276" w:lineRule="auto"/>
        <w:jc w:val="both"/>
        <w:rPr>
          <w:rFonts w:ascii="Arial" w:hAnsi="Arial" w:cs="Arial"/>
          <w:b/>
          <w:bCs/>
          <w:spacing w:val="6"/>
          <w:szCs w:val="24"/>
        </w:rPr>
      </w:pPr>
      <w:r w:rsidRPr="002B3E14">
        <w:rPr>
          <w:rFonts w:ascii="Arial" w:hAnsi="Arial" w:cs="Arial"/>
          <w:b/>
          <w:bCs/>
          <w:spacing w:val="6"/>
          <w:szCs w:val="24"/>
        </w:rPr>
        <w:t xml:space="preserve">ALEGATOS DE INSTANCIA </w:t>
      </w:r>
    </w:p>
    <w:p w14:paraId="2D18FC2A"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328EB13F" w14:textId="7EB38865" w:rsidR="00AE5132" w:rsidRPr="002B3E14" w:rsidRDefault="00AE5132" w:rsidP="002B3E14">
      <w:pPr>
        <w:spacing w:line="276" w:lineRule="auto"/>
        <w:ind w:firstLine="708"/>
        <w:jc w:val="both"/>
        <w:rPr>
          <w:rFonts w:ascii="Arial" w:eastAsia="Arial Narrow" w:hAnsi="Arial" w:cs="Arial"/>
          <w:spacing w:val="6"/>
          <w:szCs w:val="24"/>
          <w:lang w:val="es-ES"/>
        </w:rPr>
      </w:pPr>
      <w:r w:rsidRPr="002B3E14">
        <w:rPr>
          <w:rFonts w:ascii="Arial" w:eastAsia="Arial Narrow" w:hAnsi="Arial" w:cs="Arial"/>
          <w:spacing w:val="6"/>
          <w:szCs w:val="24"/>
          <w:lang w:val="es-ES"/>
        </w:rPr>
        <w:t>Dentro del término otorgado a las partes para descorrer el traslado,</w:t>
      </w:r>
      <w:r w:rsidR="000C31BE" w:rsidRPr="002B3E14">
        <w:rPr>
          <w:rFonts w:ascii="Arial" w:eastAsia="Arial Narrow" w:hAnsi="Arial" w:cs="Arial"/>
          <w:spacing w:val="6"/>
          <w:szCs w:val="24"/>
          <w:lang w:val="es-ES"/>
        </w:rPr>
        <w:t xml:space="preserve"> todas </w:t>
      </w:r>
      <w:r w:rsidRPr="002B3E14">
        <w:rPr>
          <w:rFonts w:ascii="Arial" w:eastAsia="Arial Narrow" w:hAnsi="Arial" w:cs="Arial"/>
          <w:spacing w:val="6"/>
          <w:szCs w:val="24"/>
          <w:lang w:val="es-ES"/>
        </w:rPr>
        <w:t>allegaron por escrito sus alegatos de conclusión, por lo que se procede a decidir de fondo previa las siguientes:  </w:t>
      </w:r>
    </w:p>
    <w:p w14:paraId="27329D7F"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5BD0E248" w14:textId="77777777" w:rsidR="00AE5132" w:rsidRPr="002B3E14" w:rsidRDefault="00AE5132" w:rsidP="002B3E14">
      <w:pPr>
        <w:pStyle w:val="Sinespaciado"/>
        <w:numPr>
          <w:ilvl w:val="0"/>
          <w:numId w:val="1"/>
        </w:numPr>
        <w:spacing w:line="276" w:lineRule="auto"/>
        <w:jc w:val="both"/>
        <w:rPr>
          <w:rFonts w:ascii="Arial" w:hAnsi="Arial" w:cs="Arial"/>
          <w:b/>
          <w:bCs/>
          <w:spacing w:val="6"/>
          <w:szCs w:val="24"/>
        </w:rPr>
      </w:pPr>
      <w:r w:rsidRPr="002B3E14">
        <w:rPr>
          <w:rFonts w:ascii="Arial" w:hAnsi="Arial" w:cs="Arial"/>
          <w:b/>
          <w:bCs/>
          <w:spacing w:val="6"/>
          <w:szCs w:val="24"/>
        </w:rPr>
        <w:t xml:space="preserve">CONSIDERACIONES </w:t>
      </w:r>
    </w:p>
    <w:p w14:paraId="7785D97E"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64F5A1D8"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 xml:space="preserve">5.1. Presupuestos Procesales. </w:t>
      </w:r>
    </w:p>
    <w:p w14:paraId="3E4ECB0A" w14:textId="77777777" w:rsidR="00AE5132" w:rsidRPr="002B3E14" w:rsidRDefault="00AE5132" w:rsidP="002B3E14">
      <w:pPr>
        <w:pStyle w:val="Sinespaciado"/>
        <w:spacing w:line="276" w:lineRule="auto"/>
        <w:rPr>
          <w:rFonts w:ascii="Arial" w:hAnsi="Arial" w:cs="Arial"/>
          <w:szCs w:val="24"/>
        </w:rPr>
      </w:pPr>
    </w:p>
    <w:p w14:paraId="6FD003DD" w14:textId="77777777"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1A312F32" w14:textId="77777777" w:rsidR="00AE5132" w:rsidRPr="002B3E14" w:rsidRDefault="00AE5132" w:rsidP="002B3E14">
      <w:pPr>
        <w:pStyle w:val="Sinespaciado"/>
        <w:spacing w:line="276" w:lineRule="auto"/>
        <w:ind w:firstLine="708"/>
        <w:jc w:val="both"/>
        <w:rPr>
          <w:rFonts w:ascii="Arial" w:hAnsi="Arial" w:cs="Arial"/>
          <w:b/>
          <w:bCs/>
          <w:spacing w:val="6"/>
          <w:szCs w:val="24"/>
        </w:rPr>
      </w:pPr>
    </w:p>
    <w:p w14:paraId="6BEC5905" w14:textId="77777777"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5.2. Problemas jurídicos por resolver.</w:t>
      </w:r>
    </w:p>
    <w:p w14:paraId="651FF612" w14:textId="77777777" w:rsidR="00AE5132" w:rsidRPr="002B3E14" w:rsidRDefault="00AE5132" w:rsidP="002B3E14">
      <w:pPr>
        <w:pStyle w:val="Sinespaciado"/>
        <w:spacing w:line="276" w:lineRule="auto"/>
        <w:rPr>
          <w:rFonts w:ascii="Arial" w:hAnsi="Arial" w:cs="Arial"/>
          <w:szCs w:val="24"/>
        </w:rPr>
      </w:pPr>
    </w:p>
    <w:p w14:paraId="3A853DE6" w14:textId="500057AB" w:rsidR="00C923FD" w:rsidRPr="002B3E14" w:rsidRDefault="00AE5132" w:rsidP="002B3E14">
      <w:pPr>
        <w:pStyle w:val="Sinespaciado"/>
        <w:spacing w:line="276" w:lineRule="auto"/>
        <w:ind w:firstLine="708"/>
        <w:jc w:val="both"/>
        <w:rPr>
          <w:rFonts w:ascii="Arial" w:eastAsia="Arial Narrow" w:hAnsi="Arial" w:cs="Arial"/>
          <w:szCs w:val="24"/>
          <w:lang w:val="es-ES"/>
        </w:rPr>
      </w:pPr>
      <w:r w:rsidRPr="002B3E14">
        <w:rPr>
          <w:rFonts w:ascii="Arial" w:hAnsi="Arial" w:cs="Arial"/>
          <w:spacing w:val="6"/>
          <w:szCs w:val="24"/>
        </w:rPr>
        <w:t>De conformidad con los puntos de apelación de la sentencia de primera instancia y el grado de consulta, se encuentra que los problemas jurídicos a resolver se circunscriben a</w:t>
      </w:r>
      <w:r w:rsidRPr="002B3E14">
        <w:rPr>
          <w:rFonts w:ascii="Arial" w:hAnsi="Arial" w:cs="Arial"/>
          <w:i/>
          <w:iCs/>
          <w:spacing w:val="6"/>
          <w:szCs w:val="24"/>
        </w:rPr>
        <w:t xml:space="preserve"> (i</w:t>
      </w:r>
      <w:r w:rsidRPr="002B3E14">
        <w:rPr>
          <w:rFonts w:ascii="Arial" w:hAnsi="Arial" w:cs="Arial"/>
          <w:spacing w:val="6"/>
          <w:szCs w:val="24"/>
        </w:rPr>
        <w:t xml:space="preserve">) determinar cuáles son los deberes probatorios que asisten a las partes cuando está en discusión la eficacia del traslado entre regímenes pensionales. En ese orden, </w:t>
      </w:r>
      <w:r w:rsidRPr="002B3E14">
        <w:rPr>
          <w:rFonts w:ascii="Arial" w:hAnsi="Arial" w:cs="Arial"/>
          <w:i/>
          <w:iCs/>
          <w:spacing w:val="6"/>
          <w:szCs w:val="24"/>
        </w:rPr>
        <w:t>(ii)</w:t>
      </w:r>
      <w:r w:rsidR="00120186" w:rsidRPr="002B3E14">
        <w:rPr>
          <w:rFonts w:ascii="Arial" w:hAnsi="Arial" w:cs="Arial"/>
          <w:spacing w:val="6"/>
          <w:szCs w:val="24"/>
        </w:rPr>
        <w:t xml:space="preserve"> </w:t>
      </w:r>
      <w:r w:rsidRPr="002B3E14">
        <w:rPr>
          <w:rFonts w:ascii="Arial" w:hAnsi="Arial" w:cs="Arial"/>
          <w:spacing w:val="6"/>
          <w:szCs w:val="24"/>
        </w:rPr>
        <w:t>dilucidar  si al momento de traslado de régimen pensional a la actora se le suministró la información necesaria por parte del fondo de pensiones,  para entender que el acto de traslado fue eficaz</w:t>
      </w:r>
      <w:r w:rsidR="00120186" w:rsidRPr="002B3E14">
        <w:rPr>
          <w:rFonts w:ascii="Arial" w:hAnsi="Arial" w:cs="Arial"/>
          <w:spacing w:val="6"/>
          <w:szCs w:val="24"/>
        </w:rPr>
        <w:t xml:space="preserve">; </w:t>
      </w:r>
      <w:r w:rsidR="601973BA" w:rsidRPr="002B3E14">
        <w:rPr>
          <w:rFonts w:ascii="Arial" w:hAnsi="Arial" w:cs="Arial"/>
          <w:szCs w:val="24"/>
        </w:rPr>
        <w:t xml:space="preserve">En caso negativo, </w:t>
      </w:r>
      <w:r w:rsidRPr="002B3E14">
        <w:rPr>
          <w:rFonts w:ascii="Arial" w:hAnsi="Arial" w:cs="Arial"/>
          <w:i/>
          <w:iCs/>
          <w:spacing w:val="6"/>
          <w:szCs w:val="24"/>
        </w:rPr>
        <w:t>(i</w:t>
      </w:r>
      <w:r w:rsidR="000C31BE" w:rsidRPr="002B3E14">
        <w:rPr>
          <w:rFonts w:ascii="Arial" w:hAnsi="Arial" w:cs="Arial"/>
          <w:i/>
          <w:iCs/>
          <w:spacing w:val="6"/>
          <w:szCs w:val="24"/>
        </w:rPr>
        <w:t>ii</w:t>
      </w:r>
      <w:r w:rsidRPr="002B3E14">
        <w:rPr>
          <w:rFonts w:ascii="Arial" w:hAnsi="Arial" w:cs="Arial"/>
          <w:i/>
          <w:iCs/>
          <w:spacing w:val="6"/>
          <w:szCs w:val="24"/>
        </w:rPr>
        <w:t>)</w:t>
      </w:r>
      <w:r w:rsidR="62E22633" w:rsidRPr="002B3E14">
        <w:rPr>
          <w:rFonts w:ascii="Arial" w:hAnsi="Arial" w:cs="Arial"/>
          <w:szCs w:val="24"/>
        </w:rPr>
        <w:t xml:space="preserve"> determinar si la migración del afiliado dentro del RAIS convalida </w:t>
      </w:r>
      <w:r w:rsidRPr="002B3E14">
        <w:rPr>
          <w:rFonts w:ascii="Arial" w:hAnsi="Arial" w:cs="Arial"/>
          <w:spacing w:val="6"/>
          <w:szCs w:val="24"/>
        </w:rPr>
        <w:t xml:space="preserve"> </w:t>
      </w:r>
      <w:r w:rsidR="3CE6F7E4" w:rsidRPr="002B3E14">
        <w:rPr>
          <w:rFonts w:ascii="Arial" w:hAnsi="Arial" w:cs="Arial"/>
          <w:szCs w:val="24"/>
        </w:rPr>
        <w:t>el traslado inicial efectuado al interior de</w:t>
      </w:r>
      <w:r w:rsidR="6E37ECA8" w:rsidRPr="002B3E14">
        <w:rPr>
          <w:rFonts w:ascii="Arial" w:hAnsi="Arial" w:cs="Arial"/>
          <w:szCs w:val="24"/>
        </w:rPr>
        <w:t xml:space="preserve">l mismo; </w:t>
      </w:r>
      <w:r w:rsidR="6E37ECA8" w:rsidRPr="002B3E14">
        <w:rPr>
          <w:rFonts w:ascii="Arial" w:hAnsi="Arial" w:cs="Arial"/>
          <w:i/>
          <w:iCs/>
          <w:szCs w:val="24"/>
        </w:rPr>
        <w:t xml:space="preserve">(iv) </w:t>
      </w:r>
      <w:r w:rsidR="00120186" w:rsidRPr="002B3E14">
        <w:rPr>
          <w:rFonts w:ascii="Arial" w:hAnsi="Arial" w:cs="Arial"/>
          <w:spacing w:val="6"/>
          <w:szCs w:val="24"/>
        </w:rPr>
        <w:t>determinar si es procedente que la AFP Protección S.A.</w:t>
      </w:r>
      <w:r w:rsidR="007C3445" w:rsidRPr="002B3E14">
        <w:rPr>
          <w:rFonts w:ascii="Arial" w:hAnsi="Arial" w:cs="Arial"/>
          <w:spacing w:val="6"/>
          <w:szCs w:val="24"/>
        </w:rPr>
        <w:t>, devuelva de su propio peculio lo</w:t>
      </w:r>
      <w:r w:rsidR="00120186" w:rsidRPr="002B3E14">
        <w:rPr>
          <w:rFonts w:ascii="Arial" w:hAnsi="Arial" w:cs="Arial"/>
          <w:spacing w:val="6"/>
          <w:szCs w:val="24"/>
        </w:rPr>
        <w:t>s gastos de administración que cobró durante el tiempo en que la demandante</w:t>
      </w:r>
      <w:r w:rsidR="002B3E14">
        <w:rPr>
          <w:rFonts w:ascii="Arial" w:hAnsi="Arial" w:cs="Arial"/>
          <w:spacing w:val="6"/>
          <w:szCs w:val="24"/>
        </w:rPr>
        <w:t xml:space="preserve"> estuvo afiliada a esa entidad;</w:t>
      </w:r>
      <w:r w:rsidR="00120186" w:rsidRPr="002B3E14">
        <w:rPr>
          <w:rFonts w:ascii="Arial" w:hAnsi="Arial" w:cs="Arial"/>
          <w:spacing w:val="6"/>
          <w:szCs w:val="24"/>
        </w:rPr>
        <w:t xml:space="preserve"> y (v)</w:t>
      </w:r>
      <w:r w:rsidR="007C3445" w:rsidRPr="002B3E14">
        <w:rPr>
          <w:rFonts w:ascii="Arial" w:hAnsi="Arial" w:cs="Arial"/>
          <w:spacing w:val="6"/>
          <w:szCs w:val="24"/>
        </w:rPr>
        <w:t xml:space="preserve"> determinar </w:t>
      </w:r>
      <w:r w:rsidR="00120186" w:rsidRPr="002B3E14">
        <w:rPr>
          <w:rFonts w:ascii="Arial" w:hAnsi="Arial" w:cs="Arial"/>
          <w:spacing w:val="6"/>
          <w:szCs w:val="24"/>
        </w:rPr>
        <w:t xml:space="preserve">si </w:t>
      </w:r>
      <w:r w:rsidR="00744963" w:rsidRPr="002B3E14">
        <w:rPr>
          <w:rFonts w:ascii="Arial" w:hAnsi="Arial" w:cs="Arial"/>
          <w:spacing w:val="6"/>
          <w:szCs w:val="24"/>
        </w:rPr>
        <w:t>es procedente la condena en costas a Colfondos S.A. en favor de</w:t>
      </w:r>
      <w:r w:rsidR="00E415E8" w:rsidRPr="002B3E14">
        <w:rPr>
          <w:rFonts w:ascii="Arial" w:hAnsi="Arial" w:cs="Arial"/>
          <w:spacing w:val="6"/>
          <w:szCs w:val="24"/>
        </w:rPr>
        <w:t xml:space="preserve"> Colpensiones.  </w:t>
      </w:r>
      <w:r w:rsidR="33CA0D1E" w:rsidRPr="002B3E14">
        <w:rPr>
          <w:rFonts w:ascii="Arial" w:hAnsi="Arial" w:cs="Arial"/>
          <w:szCs w:val="24"/>
        </w:rPr>
        <w:t>Ya en grado jurisdiccional de consulta se analizará si ha</w:t>
      </w:r>
      <w:r w:rsidR="33CA0D1E" w:rsidRPr="002B3E14">
        <w:rPr>
          <w:rFonts w:ascii="Arial" w:eastAsia="Arial Narrow" w:hAnsi="Arial" w:cs="Arial"/>
          <w:szCs w:val="24"/>
        </w:rPr>
        <w:t xml:space="preserve">y lugar a </w:t>
      </w:r>
      <w:r w:rsidR="33CA0D1E" w:rsidRPr="002B3E14">
        <w:rPr>
          <w:rFonts w:ascii="Arial" w:eastAsia="Arial Narrow" w:hAnsi="Arial" w:cs="Arial"/>
          <w:szCs w:val="24"/>
          <w:lang w:val="es-ES"/>
        </w:rPr>
        <w:t>o</w:t>
      </w:r>
      <w:r w:rsidR="22E34DE8" w:rsidRPr="002B3E14">
        <w:rPr>
          <w:rFonts w:ascii="Arial" w:eastAsia="Arial Narrow" w:hAnsi="Arial" w:cs="Arial"/>
          <w:szCs w:val="24"/>
          <w:lang w:val="es-ES"/>
        </w:rPr>
        <w:t>r</w:t>
      </w:r>
      <w:r w:rsidR="33CA0D1E" w:rsidRPr="002B3E14">
        <w:rPr>
          <w:rFonts w:ascii="Arial" w:eastAsia="Arial Narrow" w:hAnsi="Arial" w:cs="Arial"/>
          <w:szCs w:val="24"/>
          <w:lang w:val="es-ES"/>
        </w:rPr>
        <w:t xml:space="preserve">denar a las AFP Colfondos S.A. y Porvenir </w:t>
      </w:r>
      <w:r w:rsidR="0766D630" w:rsidRPr="002B3E14">
        <w:rPr>
          <w:rFonts w:ascii="Arial" w:eastAsia="Arial Narrow" w:hAnsi="Arial" w:cs="Arial"/>
          <w:szCs w:val="24"/>
          <w:lang w:val="es-ES"/>
        </w:rPr>
        <w:t>a</w:t>
      </w:r>
      <w:r w:rsidR="33CA0D1E" w:rsidRPr="002B3E14">
        <w:rPr>
          <w:rFonts w:ascii="Arial" w:eastAsia="Arial Narrow" w:hAnsi="Arial" w:cs="Arial"/>
          <w:szCs w:val="24"/>
          <w:lang w:val="es-ES"/>
        </w:rPr>
        <w:t xml:space="preserve"> restituir algún valor cancelado por la parte demandante durante el periodo en que estuvo afiliada en </w:t>
      </w:r>
      <w:r w:rsidR="07AA2D58" w:rsidRPr="002B3E14">
        <w:rPr>
          <w:rFonts w:ascii="Arial" w:eastAsia="Arial Narrow" w:hAnsi="Arial" w:cs="Arial"/>
          <w:szCs w:val="24"/>
          <w:lang w:val="es-ES"/>
        </w:rPr>
        <w:t>esas entidades.</w:t>
      </w:r>
    </w:p>
    <w:p w14:paraId="52CA9F74" w14:textId="77777777" w:rsidR="00C923FD" w:rsidRPr="002B3E14" w:rsidRDefault="00C923FD" w:rsidP="002B3E14">
      <w:pPr>
        <w:pStyle w:val="Sinespaciado"/>
        <w:spacing w:line="276" w:lineRule="auto"/>
        <w:ind w:firstLine="708"/>
        <w:jc w:val="both"/>
        <w:rPr>
          <w:rFonts w:ascii="Arial" w:hAnsi="Arial" w:cs="Arial"/>
          <w:b/>
          <w:bCs/>
          <w:spacing w:val="6"/>
          <w:szCs w:val="24"/>
        </w:rPr>
      </w:pPr>
    </w:p>
    <w:p w14:paraId="79C7FCBC" w14:textId="24A46BDC" w:rsidR="00AE5132" w:rsidRPr="002B3E14" w:rsidRDefault="00AE5132" w:rsidP="002B3E14">
      <w:pPr>
        <w:pStyle w:val="Sinespaciado"/>
        <w:spacing w:line="276" w:lineRule="auto"/>
        <w:ind w:firstLine="708"/>
        <w:jc w:val="both"/>
        <w:rPr>
          <w:rFonts w:ascii="Arial" w:hAnsi="Arial" w:cs="Arial"/>
          <w:b/>
          <w:bCs/>
          <w:spacing w:val="6"/>
          <w:szCs w:val="24"/>
        </w:rPr>
      </w:pPr>
      <w:r w:rsidRPr="002B3E14">
        <w:rPr>
          <w:rFonts w:ascii="Arial" w:hAnsi="Arial" w:cs="Arial"/>
          <w:b/>
          <w:bCs/>
          <w:spacing w:val="6"/>
          <w:szCs w:val="24"/>
        </w:rPr>
        <w:t>5.3. Desenvolvimiento de la problemática planteada</w:t>
      </w:r>
    </w:p>
    <w:p w14:paraId="0837A7CB"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5A2CD503" w14:textId="77777777" w:rsidR="00AE5132" w:rsidRPr="002B3E14" w:rsidRDefault="00AE5132" w:rsidP="002B3E14">
      <w:pPr>
        <w:pStyle w:val="Sinespaciado"/>
        <w:spacing w:line="276" w:lineRule="auto"/>
        <w:jc w:val="both"/>
        <w:rPr>
          <w:rFonts w:ascii="Arial" w:hAnsi="Arial" w:cs="Arial"/>
          <w:spacing w:val="6"/>
          <w:szCs w:val="24"/>
        </w:rPr>
      </w:pPr>
      <w:r w:rsidRPr="002B3E14">
        <w:rPr>
          <w:rFonts w:ascii="Arial" w:hAnsi="Arial" w:cs="Arial"/>
          <w:spacing w:val="6"/>
          <w:szCs w:val="24"/>
        </w:rPr>
        <w:lastRenderedPageBreak/>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2B3E14">
        <w:rPr>
          <w:rFonts w:ascii="Arial" w:hAnsi="Arial" w:cs="Arial"/>
          <w:i/>
          <w:iCs/>
          <w:spacing w:val="6"/>
          <w:szCs w:val="24"/>
        </w:rPr>
        <w:t>corpus argumentativo</w:t>
      </w:r>
      <w:r w:rsidRPr="002B3E14">
        <w:rPr>
          <w:rFonts w:ascii="Arial" w:hAnsi="Arial" w:cs="Arial"/>
          <w:spacing w:val="6"/>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04F4ABC3"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396DF8E2" w14:textId="477A2D0F"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351F7ECD" w14:textId="77777777" w:rsidR="007C3445" w:rsidRPr="002B3E14" w:rsidRDefault="007C3445" w:rsidP="002B3E14">
      <w:pPr>
        <w:pStyle w:val="Sinespaciado"/>
        <w:spacing w:line="276" w:lineRule="auto"/>
        <w:ind w:firstLine="708"/>
        <w:jc w:val="both"/>
        <w:rPr>
          <w:rFonts w:ascii="Arial" w:hAnsi="Arial" w:cs="Arial"/>
          <w:spacing w:val="6"/>
          <w:szCs w:val="24"/>
        </w:rPr>
      </w:pPr>
    </w:p>
    <w:p w14:paraId="3A5B7B5E" w14:textId="77777777"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6298AA4D"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15CA2E0F" w14:textId="03708243"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2B3E14">
        <w:rPr>
          <w:rFonts w:ascii="Arial" w:hAnsi="Arial" w:cs="Arial"/>
          <w:b/>
          <w:bCs/>
          <w:spacing w:val="6"/>
          <w:szCs w:val="24"/>
        </w:rPr>
        <w:t>sentencia del 8 de mayo de 2019, (SL1688-2019, Rad. 68838)</w:t>
      </w:r>
      <w:r w:rsidRPr="002B3E14">
        <w:rPr>
          <w:rFonts w:ascii="Arial" w:hAnsi="Arial" w:cs="Arial"/>
          <w:spacing w:val="6"/>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w:t>
      </w:r>
      <w:r w:rsidRPr="002B3E14">
        <w:rPr>
          <w:rFonts w:ascii="Arial" w:hAnsi="Arial" w:cs="Arial"/>
          <w:spacing w:val="6"/>
          <w:szCs w:val="24"/>
        </w:rPr>
        <w:lastRenderedPageBreak/>
        <w:t xml:space="preserve">traslado de régimen, la carga de la prueba, los alcances de la ineficacia y las </w:t>
      </w:r>
      <w:proofErr w:type="spellStart"/>
      <w:r w:rsidRPr="002B3E14">
        <w:rPr>
          <w:rFonts w:ascii="Arial" w:hAnsi="Arial" w:cs="Arial"/>
          <w:spacing w:val="6"/>
          <w:szCs w:val="24"/>
        </w:rPr>
        <w:t>reasesorías</w:t>
      </w:r>
      <w:proofErr w:type="spellEnd"/>
      <w:r w:rsidRPr="002B3E14">
        <w:rPr>
          <w:rFonts w:ascii="Arial" w:hAnsi="Arial" w:cs="Arial"/>
          <w:spacing w:val="6"/>
          <w:szCs w:val="24"/>
        </w:rPr>
        <w:t xml:space="preserve"> que se realizan con posterioridad al traslado inicial, entre otros. </w:t>
      </w:r>
    </w:p>
    <w:p w14:paraId="0855A003" w14:textId="77777777" w:rsidR="00AE5132" w:rsidRPr="002B3E14" w:rsidRDefault="00AE5132" w:rsidP="002B3E14">
      <w:pPr>
        <w:pStyle w:val="Sinespaciado"/>
        <w:spacing w:line="276" w:lineRule="auto"/>
        <w:ind w:firstLine="708"/>
        <w:jc w:val="both"/>
        <w:rPr>
          <w:rFonts w:ascii="Arial" w:hAnsi="Arial" w:cs="Arial"/>
          <w:spacing w:val="6"/>
          <w:szCs w:val="24"/>
        </w:rPr>
      </w:pPr>
    </w:p>
    <w:p w14:paraId="6E36C3FF" w14:textId="77777777" w:rsidR="002B3E14" w:rsidRPr="002B3E14" w:rsidRDefault="002B3E14" w:rsidP="002B3E14">
      <w:pPr>
        <w:spacing w:line="276" w:lineRule="auto"/>
        <w:jc w:val="both"/>
        <w:rPr>
          <w:rFonts w:ascii="Arial" w:hAnsi="Arial" w:cs="Arial"/>
          <w:spacing w:val="6"/>
          <w:szCs w:val="24"/>
        </w:rPr>
      </w:pPr>
      <w:r w:rsidRPr="002B3E14">
        <w:rPr>
          <w:rFonts w:ascii="Arial" w:hAnsi="Arial" w:cs="Arial"/>
          <w:spacing w:val="6"/>
          <w:szCs w:val="24"/>
        </w:rPr>
        <w:t>a) Sobre el deber de información, en ésta quedó dicho:</w:t>
      </w:r>
    </w:p>
    <w:p w14:paraId="460A0021" w14:textId="77777777" w:rsidR="002B3E14" w:rsidRPr="002B3E14" w:rsidRDefault="002B3E14" w:rsidP="002B3E14">
      <w:pPr>
        <w:spacing w:line="276" w:lineRule="auto"/>
        <w:jc w:val="both"/>
        <w:rPr>
          <w:rFonts w:ascii="Arial" w:hAnsi="Arial" w:cs="Arial"/>
          <w:spacing w:val="6"/>
          <w:szCs w:val="24"/>
        </w:rPr>
      </w:pPr>
      <w:r w:rsidRPr="002B3E14">
        <w:rPr>
          <w:rFonts w:ascii="Arial" w:eastAsia="Arial Narrow" w:hAnsi="Arial" w:cs="Arial"/>
          <w:spacing w:val="6"/>
          <w:szCs w:val="24"/>
          <w:lang w:val="es"/>
        </w:rPr>
        <w:t xml:space="preserve"> </w:t>
      </w:r>
    </w:p>
    <w:p w14:paraId="08B3BA73"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720473B0" w14:textId="77777777" w:rsidR="002B3E14" w:rsidRPr="002B3E14" w:rsidRDefault="002B3E14" w:rsidP="002B3E14">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2B3E14" w:rsidRPr="002B3E14" w14:paraId="25311FDE"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FD723B2"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b/>
                <w:bCs/>
                <w:i/>
                <w:iCs/>
                <w:spacing w:val="6"/>
                <w:sz w:val="20"/>
                <w:szCs w:val="24"/>
                <w:lang w:val="es-CO"/>
              </w:rPr>
              <w:t>Etapa acumulativa</w:t>
            </w:r>
            <w:r w:rsidRPr="002B3E14">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B8127C6"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b/>
                <w:bCs/>
                <w:i/>
                <w:iCs/>
                <w:spacing w:val="6"/>
                <w:sz w:val="20"/>
                <w:szCs w:val="24"/>
                <w:lang w:val="es-CO"/>
              </w:rPr>
              <w:t>Normas que obligan a las administradoras de pensiones a dar información</w:t>
            </w:r>
            <w:r w:rsidRPr="002B3E14">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4DFB50A"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b/>
                <w:bCs/>
                <w:i/>
                <w:iCs/>
                <w:spacing w:val="6"/>
                <w:sz w:val="20"/>
                <w:szCs w:val="24"/>
                <w:lang w:val="es-CO"/>
              </w:rPr>
              <w:t>Contenido mínimo y alcance del deber de información</w:t>
            </w:r>
            <w:r w:rsidRPr="002B3E14">
              <w:rPr>
                <w:rFonts w:ascii="Arial" w:hAnsi="Arial" w:cs="Arial"/>
                <w:spacing w:val="6"/>
                <w:sz w:val="20"/>
                <w:szCs w:val="24"/>
                <w:lang w:val="es-ES"/>
              </w:rPr>
              <w:t> </w:t>
            </w:r>
          </w:p>
        </w:tc>
      </w:tr>
      <w:tr w:rsidR="002B3E14" w:rsidRPr="002B3E14" w14:paraId="7DD3F954"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A05C51"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Deber de información </w:t>
            </w:r>
            <w:r w:rsidRPr="002B3E14">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B027301"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Arts. 13 literal b), 271 y 272 de la Ley 100 de 1993</w:t>
            </w:r>
            <w:r w:rsidRPr="002B3E14">
              <w:rPr>
                <w:rFonts w:ascii="Arial" w:hAnsi="Arial" w:cs="Arial"/>
                <w:spacing w:val="6"/>
                <w:sz w:val="20"/>
                <w:szCs w:val="24"/>
                <w:lang w:val="es-ES"/>
              </w:rPr>
              <w:t> </w:t>
            </w:r>
          </w:p>
          <w:p w14:paraId="5802D690"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ES"/>
              </w:rPr>
              <w:t>Art. 97, numeral 1 del Decreto 663 de 1993, modificado por el artículo 23 de la Ley 797 de 2003</w:t>
            </w:r>
            <w:r w:rsidRPr="002B3E14">
              <w:rPr>
                <w:rFonts w:ascii="Arial" w:hAnsi="Arial" w:cs="Arial"/>
                <w:spacing w:val="6"/>
                <w:sz w:val="20"/>
                <w:szCs w:val="24"/>
                <w:lang w:val="es-ES"/>
              </w:rPr>
              <w:t> </w:t>
            </w:r>
          </w:p>
          <w:p w14:paraId="7FEE2D0C"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ES"/>
              </w:rPr>
              <w:t>Disposiciones constitucionales relativas al derecho a la información, no menoscabo de derechos laborales y autonomía personal</w:t>
            </w:r>
            <w:r w:rsidRPr="002B3E14">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F432449"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2B3E14">
              <w:rPr>
                <w:rFonts w:ascii="Arial" w:hAnsi="Arial" w:cs="Arial"/>
                <w:spacing w:val="6"/>
                <w:sz w:val="20"/>
                <w:szCs w:val="24"/>
                <w:lang w:val="es-ES"/>
              </w:rPr>
              <w:t> </w:t>
            </w:r>
          </w:p>
        </w:tc>
      </w:tr>
      <w:tr w:rsidR="002B3E14" w:rsidRPr="002B3E14" w14:paraId="4A0F9E24"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811129C"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Deber de información, asesoría y buen consejo</w:t>
            </w:r>
            <w:r w:rsidRPr="002B3E14">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203D7B1"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Artículo 3, literal c) de la Ley 1328 de 2009</w:t>
            </w:r>
            <w:r w:rsidRPr="002B3E14">
              <w:rPr>
                <w:rFonts w:ascii="Arial" w:hAnsi="Arial" w:cs="Arial"/>
                <w:spacing w:val="6"/>
                <w:sz w:val="20"/>
                <w:szCs w:val="24"/>
                <w:lang w:val="es-ES"/>
              </w:rPr>
              <w:t> </w:t>
            </w:r>
          </w:p>
          <w:p w14:paraId="78768627"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Decreto 2241 de 2010</w:t>
            </w:r>
            <w:r w:rsidRPr="002B3E14">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60572BC"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B3E14">
              <w:rPr>
                <w:rFonts w:ascii="Arial" w:hAnsi="Arial" w:cs="Arial"/>
                <w:spacing w:val="6"/>
                <w:sz w:val="20"/>
                <w:szCs w:val="24"/>
                <w:lang w:val="es-ES"/>
              </w:rPr>
              <w:t> </w:t>
            </w:r>
          </w:p>
        </w:tc>
      </w:tr>
      <w:tr w:rsidR="002B3E14" w:rsidRPr="002B3E14" w14:paraId="14CB8D69"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432B10E"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Deber de información, asesoría, buen consejo y doble asesoría. </w:t>
            </w:r>
            <w:r w:rsidRPr="002B3E14">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7BF4818"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Ley 1748 de 2014</w:t>
            </w:r>
            <w:r w:rsidRPr="002B3E14">
              <w:rPr>
                <w:rFonts w:ascii="Arial" w:hAnsi="Arial" w:cs="Arial"/>
                <w:spacing w:val="6"/>
                <w:sz w:val="20"/>
                <w:szCs w:val="24"/>
                <w:lang w:val="es-ES"/>
              </w:rPr>
              <w:t> </w:t>
            </w:r>
          </w:p>
          <w:p w14:paraId="403D8AAC"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Artículo 3 del Decreto 2071 de 2015</w:t>
            </w:r>
            <w:r w:rsidRPr="002B3E14">
              <w:rPr>
                <w:rFonts w:ascii="Arial" w:hAnsi="Arial" w:cs="Arial"/>
                <w:spacing w:val="6"/>
                <w:sz w:val="20"/>
                <w:szCs w:val="24"/>
                <w:lang w:val="es-ES"/>
              </w:rPr>
              <w:t> </w:t>
            </w:r>
          </w:p>
          <w:p w14:paraId="13FDCD0B"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Circular Externa n. 016 de 2016</w:t>
            </w:r>
            <w:r w:rsidRPr="002B3E14">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AAFC956" w14:textId="77777777" w:rsidR="002B3E14" w:rsidRPr="002B3E14" w:rsidRDefault="002B3E14" w:rsidP="002B3E14">
            <w:pPr>
              <w:spacing w:line="276" w:lineRule="auto"/>
              <w:jc w:val="both"/>
              <w:textAlignment w:val="baseline"/>
              <w:rPr>
                <w:rFonts w:ascii="Arial" w:hAnsi="Arial" w:cs="Arial"/>
                <w:spacing w:val="6"/>
                <w:sz w:val="20"/>
                <w:szCs w:val="24"/>
                <w:lang w:val="es-ES"/>
              </w:rPr>
            </w:pPr>
            <w:r w:rsidRPr="002B3E14">
              <w:rPr>
                <w:rFonts w:ascii="Arial" w:hAnsi="Arial" w:cs="Arial"/>
                <w:i/>
                <w:iCs/>
                <w:spacing w:val="6"/>
                <w:sz w:val="20"/>
                <w:szCs w:val="24"/>
                <w:lang w:val="es-CO"/>
              </w:rPr>
              <w:t>Junto con lo anterior, lleva inmerso el derecho a obtener asesoría de los representantes de ambos regímenes pensionales.</w:t>
            </w:r>
            <w:r w:rsidRPr="002B3E14">
              <w:rPr>
                <w:rFonts w:ascii="Arial" w:hAnsi="Arial" w:cs="Arial"/>
                <w:spacing w:val="6"/>
                <w:sz w:val="20"/>
                <w:szCs w:val="24"/>
                <w:lang w:val="es-ES"/>
              </w:rPr>
              <w:t> </w:t>
            </w:r>
          </w:p>
        </w:tc>
      </w:tr>
    </w:tbl>
    <w:p w14:paraId="5FFCAC37" w14:textId="77777777" w:rsidR="002B3E14" w:rsidRPr="002B3E14" w:rsidRDefault="002B3E14" w:rsidP="002B3E14">
      <w:pPr>
        <w:ind w:left="426" w:right="420"/>
        <w:jc w:val="both"/>
        <w:rPr>
          <w:rFonts w:ascii="Arial" w:hAnsi="Arial" w:cs="Arial"/>
          <w:i/>
          <w:iCs/>
          <w:spacing w:val="6"/>
          <w:sz w:val="22"/>
          <w:szCs w:val="24"/>
        </w:rPr>
      </w:pPr>
    </w:p>
    <w:p w14:paraId="7B67A739"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1.4 Conclusión: La constatación del deber de información es ineludible.</w:t>
      </w:r>
    </w:p>
    <w:p w14:paraId="52872F77" w14:textId="77777777" w:rsidR="002B3E14" w:rsidRPr="002B3E14" w:rsidRDefault="002B3E14" w:rsidP="002B3E14">
      <w:pPr>
        <w:ind w:left="426" w:right="420"/>
        <w:jc w:val="both"/>
        <w:rPr>
          <w:rFonts w:ascii="Arial" w:hAnsi="Arial" w:cs="Arial"/>
          <w:i/>
          <w:iCs/>
          <w:spacing w:val="6"/>
          <w:sz w:val="22"/>
          <w:szCs w:val="24"/>
        </w:rPr>
      </w:pPr>
    </w:p>
    <w:p w14:paraId="2734C884"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2EFD3317" w14:textId="77777777" w:rsidR="002B3E14" w:rsidRPr="002B3E14" w:rsidRDefault="002B3E14" w:rsidP="002B3E14">
      <w:pPr>
        <w:ind w:left="426" w:right="420"/>
        <w:jc w:val="both"/>
        <w:rPr>
          <w:rFonts w:ascii="Arial" w:hAnsi="Arial" w:cs="Arial"/>
          <w:i/>
          <w:iCs/>
          <w:spacing w:val="6"/>
          <w:sz w:val="22"/>
          <w:szCs w:val="24"/>
        </w:rPr>
      </w:pPr>
    </w:p>
    <w:p w14:paraId="429DC99B"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w:t>
      </w:r>
      <w:r w:rsidRPr="002B3E14">
        <w:rPr>
          <w:rFonts w:ascii="Arial" w:hAnsi="Arial" w:cs="Arial"/>
          <w:i/>
          <w:iCs/>
          <w:spacing w:val="6"/>
          <w:sz w:val="22"/>
          <w:szCs w:val="24"/>
        </w:rPr>
        <w:lastRenderedPageBreak/>
        <w:t>la esencia de las actividades desarrolladas por las administradoras de fondos de pensiones, según se explicó ampliamente.</w:t>
      </w:r>
    </w:p>
    <w:p w14:paraId="3A4C0764" w14:textId="77777777" w:rsidR="002B3E14" w:rsidRPr="002B3E14" w:rsidRDefault="002B3E14" w:rsidP="002B3E14">
      <w:pPr>
        <w:ind w:left="426" w:right="420"/>
        <w:jc w:val="both"/>
        <w:rPr>
          <w:rFonts w:ascii="Arial" w:hAnsi="Arial" w:cs="Arial"/>
          <w:i/>
          <w:iCs/>
          <w:spacing w:val="6"/>
          <w:sz w:val="22"/>
          <w:szCs w:val="24"/>
        </w:rPr>
      </w:pPr>
    </w:p>
    <w:p w14:paraId="11C45721"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344F51A0" w14:textId="77777777" w:rsidR="002B3E14" w:rsidRPr="002B3E14" w:rsidRDefault="002B3E14" w:rsidP="002B3E14">
      <w:pPr>
        <w:spacing w:line="276" w:lineRule="auto"/>
        <w:jc w:val="both"/>
        <w:rPr>
          <w:rFonts w:ascii="Arial" w:hAnsi="Arial" w:cs="Arial"/>
          <w:spacing w:val="6"/>
          <w:szCs w:val="24"/>
        </w:rPr>
      </w:pPr>
      <w:r w:rsidRPr="002B3E14">
        <w:rPr>
          <w:rFonts w:ascii="Arial" w:eastAsia="Arial Narrow" w:hAnsi="Arial" w:cs="Arial"/>
          <w:spacing w:val="6"/>
          <w:szCs w:val="24"/>
          <w:lang w:val="es"/>
        </w:rPr>
        <w:t xml:space="preserve"> </w:t>
      </w:r>
    </w:p>
    <w:p w14:paraId="61FB2949" w14:textId="77777777" w:rsidR="002B3E14" w:rsidRPr="002B3E14" w:rsidRDefault="002B3E14" w:rsidP="002B3E14">
      <w:pPr>
        <w:spacing w:line="276" w:lineRule="auto"/>
        <w:jc w:val="both"/>
        <w:rPr>
          <w:rFonts w:ascii="Arial" w:hAnsi="Arial" w:cs="Arial"/>
          <w:spacing w:val="6"/>
          <w:szCs w:val="24"/>
        </w:rPr>
      </w:pPr>
      <w:bookmarkStart w:id="0" w:name="_Hlk46831651"/>
      <w:r w:rsidRPr="002B3E14">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7B6BBE44" w14:textId="77777777" w:rsidR="002B3E14" w:rsidRPr="002B3E14" w:rsidRDefault="002B3E14" w:rsidP="002B3E14">
      <w:pPr>
        <w:spacing w:line="276" w:lineRule="auto"/>
        <w:ind w:firstLine="708"/>
        <w:jc w:val="both"/>
        <w:rPr>
          <w:rFonts w:ascii="Arial" w:hAnsi="Arial" w:cs="Arial"/>
          <w:spacing w:val="6"/>
          <w:szCs w:val="24"/>
        </w:rPr>
      </w:pPr>
    </w:p>
    <w:p w14:paraId="6F6F345B" w14:textId="77777777" w:rsidR="002B3E14" w:rsidRPr="002B3E14" w:rsidRDefault="002B3E14" w:rsidP="002B3E14">
      <w:pPr>
        <w:spacing w:line="276" w:lineRule="auto"/>
        <w:ind w:firstLine="555"/>
        <w:jc w:val="both"/>
        <w:textAlignment w:val="baseline"/>
        <w:rPr>
          <w:rFonts w:ascii="Arial" w:hAnsi="Arial" w:cs="Arial"/>
          <w:spacing w:val="6"/>
          <w:szCs w:val="24"/>
        </w:rPr>
      </w:pPr>
      <w:r w:rsidRPr="002B3E14">
        <w:rPr>
          <w:rFonts w:ascii="Arial" w:hAnsi="Arial" w:cs="Arial"/>
          <w:b/>
          <w:bCs/>
          <w:spacing w:val="6"/>
          <w:szCs w:val="24"/>
        </w:rPr>
        <w:t xml:space="preserve"> b) </w:t>
      </w:r>
      <w:r w:rsidRPr="002B3E14">
        <w:rPr>
          <w:rFonts w:ascii="Arial" w:hAnsi="Arial" w:cs="Arial"/>
          <w:b/>
          <w:bCs/>
          <w:spacing w:val="6"/>
          <w:szCs w:val="24"/>
        </w:rPr>
        <w:tab/>
        <w:t xml:space="preserve">En cuanto a las consecuencias de las constancias que se registran en los formularios de afiliación o traslado, </w:t>
      </w:r>
      <w:r w:rsidRPr="002B3E14">
        <w:rPr>
          <w:rFonts w:ascii="Arial" w:hAnsi="Arial" w:cs="Arial"/>
          <w:spacing w:val="6"/>
          <w:szCs w:val="24"/>
        </w:rPr>
        <w:t xml:space="preserve">la ya referida </w:t>
      </w:r>
      <w:proofErr w:type="spellStart"/>
      <w:r w:rsidRPr="002B3E14">
        <w:rPr>
          <w:rFonts w:ascii="Arial" w:hAnsi="Arial" w:cs="Arial"/>
          <w:spacing w:val="6"/>
          <w:szCs w:val="24"/>
        </w:rPr>
        <w:t>SL1688</w:t>
      </w:r>
      <w:proofErr w:type="spellEnd"/>
      <w:r w:rsidRPr="002B3E14">
        <w:rPr>
          <w:rFonts w:ascii="Arial" w:hAnsi="Arial" w:cs="Arial"/>
          <w:spacing w:val="6"/>
          <w:szCs w:val="24"/>
        </w:rPr>
        <w:t xml:space="preserve">-2019, Rad. 68838 explicó: </w:t>
      </w:r>
    </w:p>
    <w:p w14:paraId="1838786E" w14:textId="77777777" w:rsidR="002B3E14" w:rsidRPr="002B3E14" w:rsidRDefault="002B3E14" w:rsidP="002B3E14">
      <w:pPr>
        <w:spacing w:line="276" w:lineRule="auto"/>
        <w:ind w:firstLine="720"/>
        <w:jc w:val="both"/>
        <w:rPr>
          <w:rFonts w:ascii="Arial" w:hAnsi="Arial" w:cs="Arial"/>
          <w:spacing w:val="6"/>
          <w:szCs w:val="24"/>
        </w:rPr>
      </w:pPr>
      <w:r w:rsidRPr="002B3E14">
        <w:rPr>
          <w:rFonts w:ascii="Arial" w:eastAsia="Arial Narrow" w:hAnsi="Arial" w:cs="Arial"/>
          <w:spacing w:val="6"/>
          <w:szCs w:val="24"/>
          <w:lang w:val="es"/>
        </w:rPr>
        <w:t xml:space="preserve"> </w:t>
      </w:r>
    </w:p>
    <w:p w14:paraId="4970C0B1"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2. </w:t>
      </w:r>
      <w:r w:rsidRPr="002B3E14">
        <w:rPr>
          <w:rFonts w:ascii="Arial" w:hAnsi="Arial" w:cs="Arial"/>
          <w:b/>
          <w:i/>
          <w:iCs/>
          <w:spacing w:val="6"/>
          <w:sz w:val="22"/>
          <w:szCs w:val="24"/>
        </w:rPr>
        <w:t>El simple consentimiento vertido en el formulario de afiliación es insuficiente. Necesidad de un consentimiento informado</w:t>
      </w:r>
    </w:p>
    <w:p w14:paraId="059D3101"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7A6D99A6"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59AC6E8A"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47197A13"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La Sala considera desacertada esta tesis, en la medida que la firma del formulario, al igual que las afirmaciones consignadas en los formatos </w:t>
      </w:r>
      <w:proofErr w:type="spellStart"/>
      <w:r w:rsidRPr="002B3E14">
        <w:rPr>
          <w:rFonts w:ascii="Arial" w:hAnsi="Arial" w:cs="Arial"/>
          <w:i/>
          <w:iCs/>
          <w:spacing w:val="6"/>
          <w:sz w:val="22"/>
          <w:szCs w:val="24"/>
        </w:rPr>
        <w:t>preimpresos</w:t>
      </w:r>
      <w:proofErr w:type="spellEnd"/>
      <w:r w:rsidRPr="002B3E14">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376D11DB"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6E52C810"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Sobre el particular, en la sentencia CSJ SI. 19447-2017 la Sala explicó:</w:t>
      </w:r>
    </w:p>
    <w:p w14:paraId="78D1EEEB"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28C796CC"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0BF0D978"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31D37D67"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197EA3B9"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2A5BB8BD"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lastRenderedPageBreak/>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1BCAFDE8" w14:textId="77777777" w:rsidR="002B3E14" w:rsidRPr="002B3E14" w:rsidRDefault="002B3E14" w:rsidP="002B3E14">
      <w:pPr>
        <w:spacing w:line="276" w:lineRule="auto"/>
        <w:ind w:firstLine="708"/>
        <w:jc w:val="both"/>
        <w:rPr>
          <w:rFonts w:ascii="Arial" w:hAnsi="Arial" w:cs="Arial"/>
          <w:spacing w:val="6"/>
          <w:szCs w:val="24"/>
        </w:rPr>
      </w:pPr>
      <w:r w:rsidRPr="002B3E14">
        <w:rPr>
          <w:rFonts w:ascii="Arial" w:eastAsia="Arial Narrow" w:hAnsi="Arial" w:cs="Arial"/>
          <w:spacing w:val="6"/>
          <w:szCs w:val="24"/>
          <w:lang w:val="es"/>
        </w:rPr>
        <w:t xml:space="preserve"> </w:t>
      </w:r>
      <w:r w:rsidRPr="002B3E14">
        <w:rPr>
          <w:rFonts w:ascii="Arial" w:hAnsi="Arial" w:cs="Arial"/>
          <w:spacing w:val="6"/>
          <w:szCs w:val="24"/>
        </w:rPr>
        <w:t xml:space="preserve"> </w:t>
      </w:r>
    </w:p>
    <w:p w14:paraId="557B7F8D" w14:textId="77777777" w:rsidR="002B3E14" w:rsidRPr="002B3E14" w:rsidRDefault="002B3E14" w:rsidP="002B3E14">
      <w:pPr>
        <w:spacing w:line="276" w:lineRule="auto"/>
        <w:ind w:firstLine="708"/>
        <w:jc w:val="both"/>
        <w:rPr>
          <w:rFonts w:ascii="Arial" w:hAnsi="Arial" w:cs="Arial"/>
          <w:spacing w:val="6"/>
          <w:szCs w:val="24"/>
        </w:rPr>
      </w:pPr>
      <w:r w:rsidRPr="002B3E14">
        <w:rPr>
          <w:rFonts w:ascii="Arial" w:hAnsi="Arial" w:cs="Arial"/>
          <w:b/>
          <w:bCs/>
          <w:spacing w:val="6"/>
          <w:szCs w:val="24"/>
        </w:rPr>
        <w:t xml:space="preserve">c) </w:t>
      </w:r>
      <w:r w:rsidRPr="002B3E14">
        <w:rPr>
          <w:rFonts w:ascii="Arial" w:hAnsi="Arial" w:cs="Arial"/>
          <w:b/>
          <w:bCs/>
          <w:spacing w:val="6"/>
          <w:szCs w:val="24"/>
        </w:rPr>
        <w:tab/>
        <w:t>En cuanto a la carga de la prueba:</w:t>
      </w:r>
      <w:r w:rsidRPr="002B3E14">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7DD92EFE" w14:textId="77777777" w:rsidR="002B3E14" w:rsidRPr="002B3E14" w:rsidRDefault="002B3E14" w:rsidP="002B3E14">
      <w:pPr>
        <w:spacing w:line="276" w:lineRule="auto"/>
        <w:jc w:val="both"/>
        <w:rPr>
          <w:rFonts w:ascii="Arial" w:eastAsia="Arial Narrow" w:hAnsi="Arial" w:cs="Arial"/>
          <w:i/>
          <w:spacing w:val="6"/>
          <w:szCs w:val="24"/>
          <w:lang w:val="es"/>
        </w:rPr>
      </w:pPr>
    </w:p>
    <w:p w14:paraId="0FECC043"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89872BB" w14:textId="77777777" w:rsidR="002B3E14" w:rsidRPr="002B3E14" w:rsidRDefault="002B3E14" w:rsidP="002B3E14">
      <w:pPr>
        <w:ind w:left="426" w:right="420"/>
        <w:jc w:val="both"/>
        <w:rPr>
          <w:rFonts w:ascii="Arial" w:hAnsi="Arial" w:cs="Arial"/>
          <w:i/>
          <w:iCs/>
          <w:spacing w:val="6"/>
          <w:sz w:val="22"/>
          <w:szCs w:val="24"/>
        </w:rPr>
      </w:pPr>
    </w:p>
    <w:p w14:paraId="5B761FBD"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DAC6B27"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3A979AAC"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5159AB7" w14:textId="77777777" w:rsidR="002B3E14" w:rsidRPr="002B3E14" w:rsidRDefault="002B3E14" w:rsidP="002B3E14">
      <w:pPr>
        <w:spacing w:line="276" w:lineRule="auto"/>
        <w:jc w:val="both"/>
        <w:rPr>
          <w:rFonts w:ascii="Arial" w:eastAsia="Arial Narrow" w:hAnsi="Arial" w:cs="Arial"/>
          <w:spacing w:val="6"/>
          <w:szCs w:val="24"/>
          <w:lang w:val="es"/>
        </w:rPr>
      </w:pPr>
    </w:p>
    <w:p w14:paraId="08DD3D58" w14:textId="77777777" w:rsidR="002B3E14" w:rsidRPr="002B3E14" w:rsidRDefault="002B3E14" w:rsidP="002B3E14">
      <w:pPr>
        <w:spacing w:line="276" w:lineRule="auto"/>
        <w:ind w:firstLine="708"/>
        <w:jc w:val="both"/>
        <w:rPr>
          <w:rFonts w:ascii="Arial" w:hAnsi="Arial" w:cs="Arial"/>
          <w:spacing w:val="6"/>
          <w:szCs w:val="24"/>
        </w:rPr>
      </w:pPr>
      <w:r w:rsidRPr="002B3E14">
        <w:rPr>
          <w:rFonts w:ascii="Arial" w:hAnsi="Arial" w:cs="Arial"/>
          <w:b/>
          <w:bCs/>
          <w:spacing w:val="6"/>
          <w:szCs w:val="24"/>
        </w:rPr>
        <w:t xml:space="preserve">d) </w:t>
      </w:r>
      <w:r w:rsidRPr="002B3E14">
        <w:rPr>
          <w:rFonts w:ascii="Arial" w:hAnsi="Arial" w:cs="Arial"/>
          <w:b/>
          <w:bCs/>
          <w:spacing w:val="6"/>
          <w:szCs w:val="24"/>
        </w:rPr>
        <w:tab/>
        <w:t xml:space="preserve">En cuanto al alcance de la ausencia del deber de información y de los nulos efectos que pueden generar las </w:t>
      </w:r>
      <w:proofErr w:type="spellStart"/>
      <w:r w:rsidRPr="002B3E14">
        <w:rPr>
          <w:rFonts w:ascii="Arial" w:hAnsi="Arial" w:cs="Arial"/>
          <w:b/>
          <w:bCs/>
          <w:spacing w:val="6"/>
          <w:szCs w:val="24"/>
        </w:rPr>
        <w:t>reasesorías</w:t>
      </w:r>
      <w:proofErr w:type="spellEnd"/>
      <w:r w:rsidRPr="002B3E14">
        <w:rPr>
          <w:rFonts w:ascii="Arial" w:hAnsi="Arial" w:cs="Arial"/>
          <w:b/>
          <w:bCs/>
          <w:spacing w:val="6"/>
          <w:szCs w:val="24"/>
        </w:rPr>
        <w:t xml:space="preserve"> posteriores</w:t>
      </w:r>
      <w:r w:rsidRPr="002B3E14">
        <w:rPr>
          <w:rFonts w:ascii="Arial" w:hAnsi="Arial" w:cs="Arial"/>
          <w:spacing w:val="6"/>
          <w:szCs w:val="24"/>
        </w:rPr>
        <w:t>, quedó dicho en la sentencia </w:t>
      </w:r>
      <w:proofErr w:type="spellStart"/>
      <w:r w:rsidRPr="002B3E14">
        <w:rPr>
          <w:rFonts w:ascii="Arial" w:hAnsi="Arial" w:cs="Arial"/>
          <w:spacing w:val="6"/>
          <w:szCs w:val="24"/>
        </w:rPr>
        <w:t>SL1688</w:t>
      </w:r>
      <w:proofErr w:type="spellEnd"/>
      <w:r w:rsidRPr="002B3E14">
        <w:rPr>
          <w:rFonts w:ascii="Arial" w:hAnsi="Arial" w:cs="Arial"/>
          <w:spacing w:val="6"/>
          <w:szCs w:val="24"/>
        </w:rPr>
        <w:t>-2019, Rad. 68838, la cual se viene citando in-extenso que:</w:t>
      </w:r>
    </w:p>
    <w:p w14:paraId="2A870ACC" w14:textId="77777777" w:rsidR="002B3E14" w:rsidRPr="002B3E14" w:rsidRDefault="002B3E14" w:rsidP="002B3E14">
      <w:pPr>
        <w:spacing w:line="276" w:lineRule="auto"/>
        <w:rPr>
          <w:rFonts w:ascii="Arial" w:hAnsi="Arial" w:cs="Arial"/>
          <w:spacing w:val="6"/>
          <w:szCs w:val="24"/>
        </w:rPr>
      </w:pPr>
      <w:r w:rsidRPr="002B3E14">
        <w:rPr>
          <w:rFonts w:ascii="Arial" w:eastAsia="Arial Narrow" w:hAnsi="Arial" w:cs="Arial"/>
          <w:spacing w:val="6"/>
          <w:szCs w:val="24"/>
          <w:lang w:val="es"/>
        </w:rPr>
        <w:t xml:space="preserve">  </w:t>
      </w:r>
    </w:p>
    <w:p w14:paraId="19B605EF"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Ahora, si bien la AFP brindó a la actora una </w:t>
      </w:r>
      <w:proofErr w:type="spellStart"/>
      <w:r w:rsidRPr="002B3E14">
        <w:rPr>
          <w:rFonts w:ascii="Arial" w:hAnsi="Arial" w:cs="Arial"/>
          <w:i/>
          <w:iCs/>
          <w:spacing w:val="6"/>
          <w:sz w:val="22"/>
          <w:szCs w:val="24"/>
        </w:rPr>
        <w:t>reasesoría</w:t>
      </w:r>
      <w:proofErr w:type="spellEnd"/>
      <w:r w:rsidRPr="002B3E14">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70E62C9"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7DF0A55D"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En primer término, porque el traslado al </w:t>
      </w:r>
      <w:proofErr w:type="spellStart"/>
      <w:r w:rsidRPr="002B3E14">
        <w:rPr>
          <w:rFonts w:ascii="Arial" w:hAnsi="Arial" w:cs="Arial"/>
          <w:i/>
          <w:iCs/>
          <w:spacing w:val="6"/>
          <w:sz w:val="22"/>
          <w:szCs w:val="24"/>
        </w:rPr>
        <w:t>RAIS</w:t>
      </w:r>
      <w:proofErr w:type="spellEnd"/>
      <w:r w:rsidRPr="002B3E14">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2B3E14">
        <w:rPr>
          <w:rFonts w:ascii="Arial" w:hAnsi="Arial" w:cs="Arial"/>
          <w:i/>
          <w:iCs/>
          <w:spacing w:val="6"/>
          <w:sz w:val="22"/>
          <w:szCs w:val="24"/>
        </w:rPr>
        <w:t>reasesoría</w:t>
      </w:r>
      <w:proofErr w:type="spellEnd"/>
      <w:r w:rsidRPr="002B3E14">
        <w:rPr>
          <w:rFonts w:ascii="Arial" w:hAnsi="Arial" w:cs="Arial"/>
          <w:i/>
          <w:iCs/>
          <w:spacing w:val="6"/>
          <w:sz w:val="22"/>
          <w:szCs w:val="24"/>
        </w:rPr>
        <w:t>, de todas formas ya había perdido la transición.</w:t>
      </w:r>
    </w:p>
    <w:p w14:paraId="1404D3CE"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183E326C"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lastRenderedPageBreak/>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5210FA2"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00618EC0"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Por otro lado, no es de recibo el planteo de Protección S.A., cuando sostiene que una vez realizó la </w:t>
      </w:r>
      <w:proofErr w:type="spellStart"/>
      <w:r w:rsidRPr="002B3E14">
        <w:rPr>
          <w:rFonts w:ascii="Arial" w:hAnsi="Arial" w:cs="Arial"/>
          <w:i/>
          <w:iCs/>
          <w:spacing w:val="6"/>
          <w:sz w:val="22"/>
          <w:szCs w:val="24"/>
        </w:rPr>
        <w:t>reasesoría</w:t>
      </w:r>
      <w:proofErr w:type="spellEnd"/>
      <w:r w:rsidRPr="002B3E14">
        <w:rPr>
          <w:rFonts w:ascii="Arial" w:hAnsi="Arial" w:cs="Arial"/>
          <w:i/>
          <w:iCs/>
          <w:spacing w:val="6"/>
          <w:sz w:val="22"/>
          <w:szCs w:val="24"/>
        </w:rPr>
        <w:t xml:space="preserve">, Myriam Arroyave Henao no mostró interés en la ineficacia de la vinculación al </w:t>
      </w:r>
      <w:proofErr w:type="spellStart"/>
      <w:r w:rsidRPr="002B3E14">
        <w:rPr>
          <w:rFonts w:ascii="Arial" w:hAnsi="Arial" w:cs="Arial"/>
          <w:i/>
          <w:iCs/>
          <w:spacing w:val="6"/>
          <w:sz w:val="22"/>
          <w:szCs w:val="24"/>
        </w:rPr>
        <w:t>RAIS</w:t>
      </w:r>
      <w:proofErr w:type="spellEnd"/>
      <w:r w:rsidRPr="002B3E14">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2B3E14">
        <w:rPr>
          <w:rFonts w:ascii="Arial" w:hAnsi="Arial" w:cs="Arial"/>
          <w:i/>
          <w:iCs/>
          <w:spacing w:val="6"/>
          <w:sz w:val="22"/>
          <w:szCs w:val="24"/>
        </w:rPr>
        <w:t>RPMPD</w:t>
      </w:r>
      <w:proofErr w:type="spellEnd"/>
      <w:r w:rsidRPr="002B3E14">
        <w:rPr>
          <w:rFonts w:ascii="Arial" w:hAnsi="Arial" w:cs="Arial"/>
          <w:i/>
          <w:iCs/>
          <w:spacing w:val="6"/>
          <w:sz w:val="22"/>
          <w:szCs w:val="24"/>
        </w:rPr>
        <w:t xml:space="preserve">, se produjo el 26 de noviembre de 2003, y el formulario para la nueva afiliación al </w:t>
      </w:r>
      <w:proofErr w:type="spellStart"/>
      <w:r w:rsidRPr="002B3E14">
        <w:rPr>
          <w:rFonts w:ascii="Arial" w:hAnsi="Arial" w:cs="Arial"/>
          <w:i/>
          <w:iCs/>
          <w:spacing w:val="6"/>
          <w:sz w:val="22"/>
          <w:szCs w:val="24"/>
        </w:rPr>
        <w:t>ISS</w:t>
      </w:r>
      <w:proofErr w:type="spellEnd"/>
      <w:r w:rsidRPr="002B3E14">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9AE0782" w14:textId="77777777" w:rsidR="002B3E14" w:rsidRPr="002B3E14" w:rsidRDefault="002B3E14" w:rsidP="002B3E14">
      <w:pPr>
        <w:spacing w:line="276" w:lineRule="auto"/>
        <w:ind w:firstLine="708"/>
        <w:jc w:val="both"/>
        <w:rPr>
          <w:rFonts w:ascii="Arial" w:hAnsi="Arial" w:cs="Arial"/>
          <w:spacing w:val="6"/>
          <w:szCs w:val="24"/>
        </w:rPr>
      </w:pPr>
    </w:p>
    <w:p w14:paraId="6462E310" w14:textId="77777777" w:rsidR="002B3E14" w:rsidRPr="002B3E14" w:rsidRDefault="002B3E14" w:rsidP="002B3E14">
      <w:pPr>
        <w:spacing w:line="276" w:lineRule="auto"/>
        <w:jc w:val="both"/>
        <w:rPr>
          <w:rFonts w:ascii="Arial" w:hAnsi="Arial" w:cs="Arial"/>
          <w:spacing w:val="6"/>
          <w:szCs w:val="24"/>
        </w:rPr>
      </w:pPr>
      <w:r w:rsidRPr="002B3E14">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2B3E14">
        <w:rPr>
          <w:rFonts w:ascii="Arial" w:hAnsi="Arial" w:cs="Arial"/>
          <w:spacing w:val="6"/>
          <w:szCs w:val="24"/>
        </w:rPr>
        <w:t>A.F.P</w:t>
      </w:r>
      <w:proofErr w:type="spellEnd"/>
      <w:r w:rsidRPr="002B3E14">
        <w:rPr>
          <w:rFonts w:ascii="Arial" w:hAnsi="Arial" w:cs="Arial"/>
          <w:spacing w:val="6"/>
          <w:szCs w:val="24"/>
        </w:rPr>
        <w:t>, que devendrá en la ineficacia del traslado de régimen pensional.</w:t>
      </w:r>
    </w:p>
    <w:bookmarkEnd w:id="0"/>
    <w:p w14:paraId="57F813B0" w14:textId="77777777" w:rsidR="00AE5132" w:rsidRPr="002B3E14" w:rsidRDefault="00AE5132" w:rsidP="002B3E14">
      <w:pPr>
        <w:spacing w:line="276" w:lineRule="auto"/>
        <w:ind w:firstLine="708"/>
        <w:jc w:val="both"/>
        <w:rPr>
          <w:rFonts w:ascii="Arial" w:hAnsi="Arial" w:cs="Arial"/>
          <w:spacing w:val="6"/>
          <w:szCs w:val="24"/>
        </w:rPr>
      </w:pPr>
    </w:p>
    <w:p w14:paraId="63181B4F" w14:textId="77777777" w:rsidR="00AE5132" w:rsidRPr="002B3E14" w:rsidRDefault="00AE5132" w:rsidP="002B3E14">
      <w:pPr>
        <w:pStyle w:val="Sinespaciado"/>
        <w:spacing w:line="276" w:lineRule="auto"/>
        <w:ind w:firstLine="708"/>
        <w:rPr>
          <w:rFonts w:ascii="Arial" w:hAnsi="Arial" w:cs="Arial"/>
          <w:b/>
          <w:bCs/>
          <w:spacing w:val="6"/>
          <w:szCs w:val="24"/>
        </w:rPr>
      </w:pPr>
      <w:r w:rsidRPr="002B3E14">
        <w:rPr>
          <w:rFonts w:ascii="Arial" w:hAnsi="Arial" w:cs="Arial"/>
          <w:b/>
          <w:bCs/>
          <w:spacing w:val="6"/>
          <w:szCs w:val="24"/>
        </w:rPr>
        <w:t>5.4.</w:t>
      </w:r>
      <w:r w:rsidRPr="002B3E14">
        <w:rPr>
          <w:rFonts w:ascii="Arial" w:hAnsi="Arial" w:cs="Arial"/>
          <w:b/>
          <w:bCs/>
          <w:spacing w:val="6"/>
          <w:szCs w:val="24"/>
        </w:rPr>
        <w:tab/>
        <w:t>Caso concreto</w:t>
      </w:r>
    </w:p>
    <w:p w14:paraId="2EDC8469" w14:textId="77777777" w:rsidR="00AE5132" w:rsidRPr="002B3E14" w:rsidRDefault="00AE5132" w:rsidP="002B3E14">
      <w:pPr>
        <w:pStyle w:val="Sinespaciado"/>
        <w:spacing w:line="276" w:lineRule="auto"/>
        <w:rPr>
          <w:rFonts w:ascii="Arial" w:hAnsi="Arial" w:cs="Arial"/>
          <w:spacing w:val="6"/>
          <w:szCs w:val="24"/>
        </w:rPr>
      </w:pPr>
    </w:p>
    <w:p w14:paraId="5CD07A66" w14:textId="0BAABCAA" w:rsidR="00AE5132" w:rsidRPr="002B3E14" w:rsidRDefault="00AE5132" w:rsidP="002B3E14">
      <w:pPr>
        <w:spacing w:line="276" w:lineRule="auto"/>
        <w:ind w:firstLine="708"/>
        <w:jc w:val="both"/>
        <w:rPr>
          <w:rFonts w:ascii="Arial" w:hAnsi="Arial" w:cs="Arial"/>
          <w:spacing w:val="6"/>
          <w:szCs w:val="24"/>
        </w:rPr>
      </w:pPr>
      <w:r w:rsidRPr="002B3E14">
        <w:rPr>
          <w:rFonts w:ascii="Arial" w:hAnsi="Arial" w:cs="Arial"/>
          <w:spacing w:val="6"/>
          <w:szCs w:val="24"/>
        </w:rPr>
        <w:t xml:space="preserve">Fuera de toda discusión, por existir plena prueba de ello, está que (i) la demandante nació el </w:t>
      </w:r>
      <w:r w:rsidR="00E639DA" w:rsidRPr="002B3E14">
        <w:rPr>
          <w:rFonts w:ascii="Arial" w:hAnsi="Arial" w:cs="Arial"/>
          <w:spacing w:val="6"/>
          <w:szCs w:val="24"/>
        </w:rPr>
        <w:t>29 de mayo de 1959</w:t>
      </w:r>
      <w:r w:rsidRPr="002B3E14">
        <w:rPr>
          <w:rFonts w:ascii="Arial" w:hAnsi="Arial" w:cs="Arial"/>
          <w:spacing w:val="6"/>
          <w:szCs w:val="24"/>
        </w:rPr>
        <w:t xml:space="preserve"> (</w:t>
      </w:r>
      <w:proofErr w:type="spellStart"/>
      <w:r w:rsidRPr="002B3E14">
        <w:rPr>
          <w:rFonts w:ascii="Arial" w:hAnsi="Arial" w:cs="Arial"/>
          <w:spacing w:val="6"/>
          <w:szCs w:val="24"/>
        </w:rPr>
        <w:t>fl</w:t>
      </w:r>
      <w:r w:rsidR="00E639DA" w:rsidRPr="002B3E14">
        <w:rPr>
          <w:rFonts w:ascii="Arial" w:hAnsi="Arial" w:cs="Arial"/>
          <w:spacing w:val="6"/>
          <w:szCs w:val="24"/>
        </w:rPr>
        <w:t>.24</w:t>
      </w:r>
      <w:proofErr w:type="spellEnd"/>
      <w:r w:rsidRPr="002B3E14">
        <w:rPr>
          <w:rFonts w:ascii="Arial" w:hAnsi="Arial" w:cs="Arial"/>
          <w:spacing w:val="6"/>
          <w:szCs w:val="24"/>
        </w:rPr>
        <w:t xml:space="preserve">); (ii) que </w:t>
      </w:r>
      <w:r w:rsidR="00971455" w:rsidRPr="002B3E14">
        <w:rPr>
          <w:rFonts w:ascii="Arial" w:hAnsi="Arial" w:cs="Arial"/>
          <w:spacing w:val="6"/>
          <w:szCs w:val="24"/>
        </w:rPr>
        <w:t>se encontraba afiliada</w:t>
      </w:r>
      <w:r w:rsidRPr="002B3E14">
        <w:rPr>
          <w:rFonts w:ascii="Arial" w:hAnsi="Arial" w:cs="Arial"/>
          <w:spacing w:val="6"/>
          <w:szCs w:val="24"/>
        </w:rPr>
        <w:t xml:space="preserve"> al Instituto de Seguros Sociales (hoy Colpensiones) y que el </w:t>
      </w:r>
      <w:r w:rsidR="00971455" w:rsidRPr="002B3E14">
        <w:rPr>
          <w:rFonts w:ascii="Arial" w:hAnsi="Arial" w:cs="Arial"/>
          <w:spacing w:val="6"/>
          <w:szCs w:val="24"/>
        </w:rPr>
        <w:t xml:space="preserve">15 de septiembre de 1998 </w:t>
      </w:r>
      <w:r w:rsidRPr="002B3E14">
        <w:rPr>
          <w:rFonts w:ascii="Arial" w:hAnsi="Arial" w:cs="Arial"/>
          <w:spacing w:val="6"/>
          <w:szCs w:val="24"/>
        </w:rPr>
        <w:t xml:space="preserve">suscribió formulario de afiliación con </w:t>
      </w:r>
      <w:r w:rsidR="00971455" w:rsidRPr="002B3E14">
        <w:rPr>
          <w:rFonts w:ascii="Arial" w:hAnsi="Arial" w:cs="Arial"/>
          <w:spacing w:val="6"/>
          <w:szCs w:val="24"/>
        </w:rPr>
        <w:t>Colfondos S.A. Pensiones y Cesantías</w:t>
      </w:r>
      <w:r w:rsidRPr="002B3E14">
        <w:rPr>
          <w:rFonts w:ascii="Arial" w:hAnsi="Arial" w:cs="Arial"/>
          <w:spacing w:val="6"/>
          <w:szCs w:val="24"/>
        </w:rPr>
        <w:t>, trasladándose con ello al  Régimen de Ahorro Individual (</w:t>
      </w:r>
      <w:proofErr w:type="spellStart"/>
      <w:r w:rsidRPr="002B3E14">
        <w:rPr>
          <w:rFonts w:ascii="Arial" w:hAnsi="Arial" w:cs="Arial"/>
          <w:spacing w:val="6"/>
          <w:szCs w:val="24"/>
        </w:rPr>
        <w:t>fl.</w:t>
      </w:r>
      <w:r w:rsidR="00971455" w:rsidRPr="002B3E14">
        <w:rPr>
          <w:rFonts w:ascii="Arial" w:hAnsi="Arial" w:cs="Arial"/>
          <w:spacing w:val="6"/>
          <w:szCs w:val="24"/>
        </w:rPr>
        <w:t>276</w:t>
      </w:r>
      <w:proofErr w:type="spellEnd"/>
      <w:r w:rsidRPr="002B3E14">
        <w:rPr>
          <w:rFonts w:ascii="Arial" w:hAnsi="Arial" w:cs="Arial"/>
          <w:spacing w:val="6"/>
          <w:szCs w:val="24"/>
        </w:rPr>
        <w:t>)</w:t>
      </w:r>
      <w:r w:rsidR="489BCBFE" w:rsidRPr="002B3E14">
        <w:rPr>
          <w:rFonts w:ascii="Arial" w:hAnsi="Arial" w:cs="Arial"/>
          <w:spacing w:val="6"/>
          <w:szCs w:val="24"/>
        </w:rPr>
        <w:t xml:space="preserve">; </w:t>
      </w:r>
      <w:r w:rsidR="001F2DE7" w:rsidRPr="002B3E14">
        <w:rPr>
          <w:rFonts w:ascii="Arial" w:hAnsi="Arial" w:cs="Arial"/>
          <w:spacing w:val="6"/>
          <w:szCs w:val="24"/>
        </w:rPr>
        <w:t xml:space="preserve"> (iii) </w:t>
      </w:r>
      <w:r w:rsidRPr="002B3E14">
        <w:rPr>
          <w:rFonts w:ascii="Arial" w:hAnsi="Arial" w:cs="Arial"/>
          <w:spacing w:val="6"/>
          <w:szCs w:val="24"/>
        </w:rPr>
        <w:t xml:space="preserve">que </w:t>
      </w:r>
      <w:r w:rsidR="2FF3335B" w:rsidRPr="002B3E14">
        <w:rPr>
          <w:rFonts w:ascii="Arial" w:hAnsi="Arial" w:cs="Arial"/>
          <w:spacing w:val="6"/>
          <w:szCs w:val="24"/>
        </w:rPr>
        <w:t>el 15 de julio de 1999 s</w:t>
      </w:r>
      <w:r w:rsidR="0946699A" w:rsidRPr="002B3E14">
        <w:rPr>
          <w:rFonts w:ascii="Arial" w:hAnsi="Arial" w:cs="Arial"/>
          <w:spacing w:val="6"/>
          <w:szCs w:val="24"/>
        </w:rPr>
        <w:t xml:space="preserve">uscribió formulario de afiliación con Colpatria </w:t>
      </w:r>
      <w:r w:rsidR="2FF3335B" w:rsidRPr="002B3E14">
        <w:rPr>
          <w:rFonts w:ascii="Arial" w:hAnsi="Arial" w:cs="Arial"/>
          <w:spacing w:val="6"/>
          <w:szCs w:val="24"/>
        </w:rPr>
        <w:t xml:space="preserve">Pensiones y Cesantías </w:t>
      </w:r>
      <w:r w:rsidR="7F306AAB" w:rsidRPr="002B3E14">
        <w:rPr>
          <w:rFonts w:ascii="Arial" w:hAnsi="Arial" w:cs="Arial"/>
          <w:spacing w:val="6"/>
          <w:szCs w:val="24"/>
        </w:rPr>
        <w:t xml:space="preserve">la cual fue </w:t>
      </w:r>
      <w:r w:rsidR="00C923FD" w:rsidRPr="002B3E14">
        <w:rPr>
          <w:rFonts w:ascii="Arial" w:hAnsi="Arial" w:cs="Arial"/>
          <w:spacing w:val="6"/>
          <w:szCs w:val="24"/>
        </w:rPr>
        <w:t>absorbida</w:t>
      </w:r>
      <w:r w:rsidR="7F306AAB" w:rsidRPr="002B3E14">
        <w:rPr>
          <w:rFonts w:ascii="Arial" w:hAnsi="Arial" w:cs="Arial"/>
          <w:spacing w:val="6"/>
          <w:szCs w:val="24"/>
        </w:rPr>
        <w:t xml:space="preserve"> por la AFP Horizonte hoy Porvenir S.A.</w:t>
      </w:r>
      <w:r w:rsidR="28C3908D" w:rsidRPr="002B3E14">
        <w:rPr>
          <w:rFonts w:ascii="Arial" w:hAnsi="Arial" w:cs="Arial"/>
          <w:spacing w:val="6"/>
          <w:szCs w:val="24"/>
        </w:rPr>
        <w:t xml:space="preserve"> (</w:t>
      </w:r>
      <w:proofErr w:type="spellStart"/>
      <w:r w:rsidR="28C3908D" w:rsidRPr="002B3E14">
        <w:rPr>
          <w:rFonts w:ascii="Arial" w:hAnsi="Arial" w:cs="Arial"/>
          <w:spacing w:val="6"/>
          <w:szCs w:val="24"/>
        </w:rPr>
        <w:t>fl.66</w:t>
      </w:r>
      <w:proofErr w:type="spellEnd"/>
      <w:r w:rsidR="28C3908D" w:rsidRPr="002B3E14">
        <w:rPr>
          <w:rFonts w:ascii="Arial" w:hAnsi="Arial" w:cs="Arial"/>
          <w:spacing w:val="6"/>
          <w:szCs w:val="24"/>
        </w:rPr>
        <w:t>)</w:t>
      </w:r>
      <w:r w:rsidR="7F306AAB" w:rsidRPr="002B3E14">
        <w:rPr>
          <w:rFonts w:ascii="Arial" w:hAnsi="Arial" w:cs="Arial"/>
          <w:spacing w:val="6"/>
          <w:szCs w:val="24"/>
        </w:rPr>
        <w:t>; (iv)</w:t>
      </w:r>
      <w:r w:rsidR="3E19D9E7" w:rsidRPr="002B3E14">
        <w:rPr>
          <w:rFonts w:ascii="Arial" w:hAnsi="Arial" w:cs="Arial"/>
          <w:spacing w:val="6"/>
          <w:szCs w:val="24"/>
        </w:rPr>
        <w:t xml:space="preserve"> que el 1 de septiembre de 2000 se trasladó a la AFP Protección S.A., entidad en la cual permanece afiliada actualmente (fl.51); y (v)</w:t>
      </w:r>
      <w:r w:rsidR="67260328" w:rsidRPr="002B3E14">
        <w:rPr>
          <w:rFonts w:ascii="Arial" w:hAnsi="Arial" w:cs="Arial"/>
          <w:spacing w:val="6"/>
          <w:szCs w:val="24"/>
        </w:rPr>
        <w:t xml:space="preserve"> que</w:t>
      </w:r>
      <w:r w:rsidR="7F306AAB" w:rsidRPr="002B3E14">
        <w:rPr>
          <w:rFonts w:ascii="Arial" w:hAnsi="Arial" w:cs="Arial"/>
          <w:spacing w:val="6"/>
          <w:szCs w:val="24"/>
        </w:rPr>
        <w:t xml:space="preserve"> </w:t>
      </w:r>
      <w:r w:rsidRPr="002B3E14">
        <w:rPr>
          <w:rFonts w:ascii="Arial" w:hAnsi="Arial" w:cs="Arial"/>
          <w:spacing w:val="6"/>
          <w:szCs w:val="24"/>
        </w:rPr>
        <w:t>al</w:t>
      </w:r>
      <w:r w:rsidR="00971455" w:rsidRPr="002B3E14">
        <w:rPr>
          <w:rFonts w:ascii="Arial" w:hAnsi="Arial" w:cs="Arial"/>
          <w:spacing w:val="6"/>
          <w:szCs w:val="24"/>
        </w:rPr>
        <w:t xml:space="preserve"> 7 de febrero de 2019</w:t>
      </w:r>
      <w:r w:rsidRPr="002B3E14">
        <w:rPr>
          <w:rFonts w:ascii="Arial" w:hAnsi="Arial" w:cs="Arial"/>
          <w:spacing w:val="6"/>
          <w:szCs w:val="24"/>
        </w:rPr>
        <w:t xml:space="preserve"> reportaba un total de 1</w:t>
      </w:r>
      <w:r w:rsidR="00971455" w:rsidRPr="002B3E14">
        <w:rPr>
          <w:rFonts w:ascii="Arial" w:hAnsi="Arial" w:cs="Arial"/>
          <w:spacing w:val="6"/>
          <w:szCs w:val="24"/>
        </w:rPr>
        <w:t>.961,57</w:t>
      </w:r>
      <w:r w:rsidRPr="002B3E14">
        <w:rPr>
          <w:rFonts w:ascii="Arial" w:hAnsi="Arial" w:cs="Arial"/>
          <w:spacing w:val="6"/>
          <w:szCs w:val="24"/>
        </w:rPr>
        <w:t xml:space="preserve"> semanas de aportes al sistema pensional, entre cotizaciones </w:t>
      </w:r>
      <w:r w:rsidR="583C8DDE" w:rsidRPr="002B3E14">
        <w:rPr>
          <w:rFonts w:ascii="Arial" w:hAnsi="Arial" w:cs="Arial"/>
          <w:spacing w:val="6"/>
          <w:szCs w:val="24"/>
        </w:rPr>
        <w:t xml:space="preserve">realizadas </w:t>
      </w:r>
      <w:r w:rsidRPr="002B3E14">
        <w:rPr>
          <w:rFonts w:ascii="Arial" w:hAnsi="Arial" w:cs="Arial"/>
          <w:spacing w:val="6"/>
          <w:szCs w:val="24"/>
        </w:rPr>
        <w:t>al Régimen de Prima Media y el Régimen de ahorro Individual (fl.</w:t>
      </w:r>
      <w:r w:rsidR="00971455" w:rsidRPr="002B3E14">
        <w:rPr>
          <w:rFonts w:ascii="Arial" w:hAnsi="Arial" w:cs="Arial"/>
          <w:spacing w:val="6"/>
          <w:szCs w:val="24"/>
        </w:rPr>
        <w:t>222</w:t>
      </w:r>
      <w:r w:rsidRPr="002B3E14">
        <w:rPr>
          <w:rFonts w:ascii="Arial" w:hAnsi="Arial" w:cs="Arial"/>
          <w:spacing w:val="6"/>
          <w:szCs w:val="24"/>
        </w:rPr>
        <w:t>).</w:t>
      </w:r>
    </w:p>
    <w:p w14:paraId="44F4751E" w14:textId="77777777" w:rsidR="00AE5132" w:rsidRPr="002B3E14" w:rsidRDefault="00AE5132" w:rsidP="002B3E14">
      <w:pPr>
        <w:spacing w:line="276" w:lineRule="auto"/>
        <w:ind w:firstLine="708"/>
        <w:jc w:val="both"/>
        <w:rPr>
          <w:rFonts w:ascii="Arial" w:hAnsi="Arial" w:cs="Arial"/>
          <w:spacing w:val="6"/>
          <w:szCs w:val="24"/>
        </w:rPr>
      </w:pPr>
    </w:p>
    <w:p w14:paraId="713DE679" w14:textId="00CA391B"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 xml:space="preserve">Conviene recordar </w:t>
      </w:r>
      <w:r w:rsidR="00971455" w:rsidRPr="002B3E14">
        <w:rPr>
          <w:rFonts w:ascii="Arial" w:hAnsi="Arial" w:cs="Arial"/>
          <w:spacing w:val="6"/>
          <w:szCs w:val="24"/>
        </w:rPr>
        <w:t>que,</w:t>
      </w:r>
      <w:r w:rsidRPr="002B3E14">
        <w:rPr>
          <w:rFonts w:ascii="Arial" w:hAnsi="Arial" w:cs="Arial"/>
          <w:spacing w:val="6"/>
          <w:szCs w:val="24"/>
        </w:rPr>
        <w:t xml:space="preserve"> para motivar su decisión, la A-quo adujo en síntesis que </w:t>
      </w:r>
      <w:r w:rsidR="00971455" w:rsidRPr="002B3E14">
        <w:rPr>
          <w:rFonts w:ascii="Arial" w:hAnsi="Arial" w:cs="Arial"/>
          <w:spacing w:val="6"/>
          <w:szCs w:val="24"/>
        </w:rPr>
        <w:t xml:space="preserve">Colfondos </w:t>
      </w:r>
      <w:r w:rsidRPr="002B3E14">
        <w:rPr>
          <w:rFonts w:ascii="Arial" w:hAnsi="Arial" w:cs="Arial"/>
          <w:spacing w:val="6"/>
          <w:szCs w:val="24"/>
        </w:rPr>
        <w:t>S.A.</w:t>
      </w:r>
      <w:r w:rsidR="00971455" w:rsidRPr="002B3E14">
        <w:rPr>
          <w:rFonts w:ascii="Arial" w:hAnsi="Arial" w:cs="Arial"/>
          <w:spacing w:val="6"/>
          <w:szCs w:val="24"/>
        </w:rPr>
        <w:t>, e</w:t>
      </w:r>
      <w:r w:rsidRPr="002B3E14">
        <w:rPr>
          <w:rFonts w:ascii="Arial" w:hAnsi="Arial" w:cs="Arial"/>
          <w:spacing w:val="6"/>
          <w:szCs w:val="24"/>
        </w:rPr>
        <w:t>ntidad en quien recaía la carga de la prueba</w:t>
      </w:r>
      <w:r w:rsidR="00971455" w:rsidRPr="002B3E14">
        <w:rPr>
          <w:rFonts w:ascii="Arial" w:hAnsi="Arial" w:cs="Arial"/>
          <w:spacing w:val="6"/>
          <w:szCs w:val="24"/>
        </w:rPr>
        <w:t xml:space="preserve">, </w:t>
      </w:r>
      <w:r w:rsidRPr="002B3E14">
        <w:rPr>
          <w:rFonts w:ascii="Arial" w:hAnsi="Arial" w:cs="Arial"/>
          <w:spacing w:val="6"/>
          <w:szCs w:val="24"/>
        </w:rPr>
        <w:t>no demostró haber proporcionado a la demandante una información completa y adecuada que le permitiera tomar una decisión libre y voluntaria.</w:t>
      </w:r>
    </w:p>
    <w:p w14:paraId="61F266D6" w14:textId="77777777" w:rsidR="00AE5132" w:rsidRPr="002B3E14" w:rsidRDefault="00AE5132" w:rsidP="002B3E14">
      <w:pPr>
        <w:pStyle w:val="Sinespaciado"/>
        <w:spacing w:line="276" w:lineRule="auto"/>
        <w:jc w:val="both"/>
        <w:rPr>
          <w:rFonts w:ascii="Arial" w:hAnsi="Arial" w:cs="Arial"/>
          <w:spacing w:val="6"/>
          <w:szCs w:val="24"/>
        </w:rPr>
      </w:pPr>
    </w:p>
    <w:p w14:paraId="1D2A2CF7" w14:textId="4E9BDBD9" w:rsidR="00AE5132" w:rsidRDefault="007C3445"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lastRenderedPageBreak/>
        <w:t xml:space="preserve">Revisado el material probatorio se encuentra que </w:t>
      </w:r>
      <w:r w:rsidR="00AE5132" w:rsidRPr="002B3E14">
        <w:rPr>
          <w:rFonts w:ascii="Arial" w:hAnsi="Arial" w:cs="Arial"/>
          <w:spacing w:val="6"/>
          <w:szCs w:val="24"/>
        </w:rPr>
        <w:t xml:space="preserve">la administradora de fondos de pensiones </w:t>
      </w:r>
      <w:r w:rsidR="00971455" w:rsidRPr="002B3E14">
        <w:rPr>
          <w:rFonts w:ascii="Arial" w:hAnsi="Arial" w:cs="Arial"/>
          <w:spacing w:val="6"/>
          <w:szCs w:val="24"/>
        </w:rPr>
        <w:t xml:space="preserve">COLFONDOS </w:t>
      </w:r>
      <w:r w:rsidR="00AE5132" w:rsidRPr="002B3E14">
        <w:rPr>
          <w:rFonts w:ascii="Arial" w:hAnsi="Arial" w:cs="Arial"/>
          <w:spacing w:val="6"/>
          <w:szCs w:val="24"/>
        </w:rPr>
        <w:t xml:space="preserve">S.A., buscó demostrar su diligencia y cuidado con pruebas de naturaleza documental y con la declaración de parte de la demandante. Respecto de las primeras ha de decirse que constan en los folios </w:t>
      </w:r>
      <w:r w:rsidR="00971455" w:rsidRPr="002B3E14">
        <w:rPr>
          <w:rFonts w:ascii="Arial" w:hAnsi="Arial" w:cs="Arial"/>
          <w:spacing w:val="6"/>
          <w:szCs w:val="24"/>
        </w:rPr>
        <w:t>276</w:t>
      </w:r>
      <w:r w:rsidR="00AE5132" w:rsidRPr="002B3E14">
        <w:rPr>
          <w:rFonts w:ascii="Arial" w:hAnsi="Arial" w:cs="Arial"/>
          <w:spacing w:val="6"/>
          <w:szCs w:val="24"/>
        </w:rPr>
        <w:t xml:space="preserve"> a </w:t>
      </w:r>
      <w:r w:rsidR="00971455" w:rsidRPr="002B3E14">
        <w:rPr>
          <w:rFonts w:ascii="Arial" w:hAnsi="Arial" w:cs="Arial"/>
          <w:spacing w:val="6"/>
          <w:szCs w:val="24"/>
        </w:rPr>
        <w:t>280,</w:t>
      </w:r>
      <w:r w:rsidR="00AE5132" w:rsidRPr="002B3E14">
        <w:rPr>
          <w:rFonts w:ascii="Arial" w:hAnsi="Arial" w:cs="Arial"/>
          <w:spacing w:val="6"/>
          <w:szCs w:val="24"/>
        </w:rPr>
        <w:t xml:space="preserve"> consistentes en</w:t>
      </w:r>
      <w:r w:rsidR="00971455" w:rsidRPr="002B3E14">
        <w:rPr>
          <w:rFonts w:ascii="Arial" w:hAnsi="Arial" w:cs="Arial"/>
          <w:spacing w:val="6"/>
          <w:szCs w:val="24"/>
        </w:rPr>
        <w:t xml:space="preserve"> </w:t>
      </w:r>
      <w:r w:rsidR="00AE5132" w:rsidRPr="002B3E14">
        <w:rPr>
          <w:rFonts w:ascii="Arial" w:hAnsi="Arial" w:cs="Arial"/>
          <w:spacing w:val="6"/>
          <w:szCs w:val="24"/>
        </w:rPr>
        <w:t>el formato de afiliación</w:t>
      </w:r>
      <w:r w:rsidR="00971455" w:rsidRPr="002B3E14">
        <w:rPr>
          <w:rFonts w:ascii="Arial" w:hAnsi="Arial" w:cs="Arial"/>
          <w:spacing w:val="6"/>
          <w:szCs w:val="24"/>
        </w:rPr>
        <w:t xml:space="preserve"> a la entidad, el historial de vinculaciones, la certificación de afiliación y traslado de aportes a la AFP Colmena hoy Protección y,</w:t>
      </w:r>
      <w:r w:rsidR="002B3E14">
        <w:rPr>
          <w:rFonts w:ascii="Arial" w:hAnsi="Arial" w:cs="Arial"/>
          <w:spacing w:val="6"/>
          <w:szCs w:val="24"/>
        </w:rPr>
        <w:t xml:space="preserve"> el detalle histórico de pagos.</w:t>
      </w:r>
    </w:p>
    <w:p w14:paraId="4C4DEE1F" w14:textId="77777777" w:rsidR="002B3E14" w:rsidRPr="002B3E14" w:rsidRDefault="002B3E14" w:rsidP="002B3E14">
      <w:pPr>
        <w:pStyle w:val="Sinespaciado"/>
        <w:spacing w:line="276" w:lineRule="auto"/>
        <w:ind w:firstLine="708"/>
        <w:jc w:val="both"/>
        <w:rPr>
          <w:rFonts w:ascii="Arial" w:hAnsi="Arial" w:cs="Arial"/>
          <w:spacing w:val="6"/>
          <w:szCs w:val="24"/>
        </w:rPr>
      </w:pPr>
    </w:p>
    <w:p w14:paraId="760BC629" w14:textId="77777777" w:rsidR="00AE5132" w:rsidRPr="002B3E14" w:rsidRDefault="00AE5132" w:rsidP="002B3E14">
      <w:pPr>
        <w:shd w:val="clear" w:color="auto" w:fill="FFFFFF" w:themeFill="background1"/>
        <w:spacing w:line="276" w:lineRule="auto"/>
        <w:ind w:firstLine="708"/>
        <w:jc w:val="both"/>
        <w:rPr>
          <w:rFonts w:ascii="Arial" w:hAnsi="Arial" w:cs="Arial"/>
          <w:spacing w:val="6"/>
          <w:szCs w:val="24"/>
        </w:rPr>
      </w:pPr>
      <w:r w:rsidRPr="002B3E14">
        <w:rPr>
          <w:rFonts w:ascii="Arial" w:hAnsi="Arial" w:cs="Arial"/>
          <w:spacing w:val="6"/>
          <w:szCs w:val="24"/>
        </w:rPr>
        <w:t xml:space="preserve">Revisados tales documentos, se concluye que los mismos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p>
    <w:p w14:paraId="3CBE0935" w14:textId="77777777" w:rsidR="00AE5132" w:rsidRPr="002B3E14" w:rsidRDefault="00AE5132" w:rsidP="002B3E14">
      <w:pPr>
        <w:pStyle w:val="Sinespaciado"/>
        <w:spacing w:line="276" w:lineRule="auto"/>
        <w:rPr>
          <w:rFonts w:ascii="Arial" w:hAnsi="Arial" w:cs="Arial"/>
          <w:spacing w:val="6"/>
          <w:szCs w:val="24"/>
        </w:rPr>
      </w:pPr>
    </w:p>
    <w:p w14:paraId="617408E6" w14:textId="77777777" w:rsidR="00AE5132" w:rsidRPr="002B3E14" w:rsidRDefault="00AE5132" w:rsidP="002B3E14">
      <w:pPr>
        <w:spacing w:line="276" w:lineRule="auto"/>
        <w:ind w:firstLine="643"/>
        <w:jc w:val="both"/>
        <w:rPr>
          <w:rFonts w:ascii="Arial" w:hAnsi="Arial" w:cs="Arial"/>
          <w:spacing w:val="6"/>
          <w:szCs w:val="24"/>
        </w:rPr>
      </w:pPr>
      <w:r w:rsidRPr="002B3E14">
        <w:rPr>
          <w:rFonts w:ascii="Arial" w:hAnsi="Arial" w:cs="Arial"/>
          <w:spacing w:val="6"/>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(a), que se le informó sobre las condiciones de acceso, ventajas y desventajas de cada uno de los regímenes pensionales, así como de las consecuencias jurídicas del traslado, pues la leyenda de haberse efectuado la selección de manera libre, espontánea y sin presiones, es apenas una enunciación genérica. </w:t>
      </w:r>
    </w:p>
    <w:p w14:paraId="3B8646CE" w14:textId="77777777" w:rsidR="00AE5132" w:rsidRPr="002B3E14" w:rsidRDefault="00AE5132" w:rsidP="002B3E14">
      <w:pPr>
        <w:spacing w:line="276" w:lineRule="auto"/>
        <w:ind w:firstLine="643"/>
        <w:jc w:val="both"/>
        <w:rPr>
          <w:rFonts w:ascii="Arial" w:hAnsi="Arial" w:cs="Arial"/>
          <w:spacing w:val="6"/>
          <w:szCs w:val="24"/>
        </w:rPr>
      </w:pPr>
    </w:p>
    <w:p w14:paraId="632B52D3" w14:textId="38789557" w:rsidR="00AE5132" w:rsidRPr="002B3E14" w:rsidRDefault="00AE5132" w:rsidP="002B3E14">
      <w:pPr>
        <w:pStyle w:val="Sinespaciado"/>
        <w:spacing w:line="276" w:lineRule="auto"/>
        <w:jc w:val="both"/>
        <w:rPr>
          <w:rFonts w:ascii="Arial" w:hAnsi="Arial" w:cs="Arial"/>
          <w:spacing w:val="6"/>
          <w:szCs w:val="24"/>
        </w:rPr>
      </w:pPr>
      <w:r w:rsidRPr="002B3E14">
        <w:rPr>
          <w:rFonts w:ascii="Arial" w:hAnsi="Arial" w:cs="Arial"/>
          <w:spacing w:val="6"/>
          <w:szCs w:val="24"/>
        </w:rPr>
        <w:t>Aunado a lo anterior, del interrogatorio de parte rendido por la demandante, no se desprende una situación distinta, pues,  aunque la gestora reconoció que recibió alguna información por parte de la administradora de pensiones durante el acto de traslado, se considera que  sus dichos no tienen la virtualidad de medir si la entidad cumplió o no con el deber de información a su cargo</w:t>
      </w:r>
      <w:r w:rsidR="00A66B6C" w:rsidRPr="002B3E14">
        <w:rPr>
          <w:rFonts w:ascii="Arial" w:hAnsi="Arial" w:cs="Arial"/>
          <w:spacing w:val="6"/>
          <w:szCs w:val="24"/>
        </w:rPr>
        <w:t xml:space="preserve">; </w:t>
      </w:r>
      <w:r w:rsidRPr="002B3E14">
        <w:rPr>
          <w:rFonts w:ascii="Arial" w:hAnsi="Arial" w:cs="Arial"/>
          <w:spacing w:val="6"/>
          <w:szCs w:val="24"/>
        </w:rPr>
        <w:t xml:space="preserve">nótese que la información que afirmó se le brindó fue </w:t>
      </w:r>
      <w:r w:rsidR="00A66B6C" w:rsidRPr="002B3E14">
        <w:rPr>
          <w:rFonts w:ascii="Arial" w:hAnsi="Arial" w:cs="Arial"/>
          <w:spacing w:val="6"/>
          <w:szCs w:val="24"/>
        </w:rPr>
        <w:t>apenas</w:t>
      </w:r>
      <w:r w:rsidRPr="002B3E14">
        <w:rPr>
          <w:rFonts w:ascii="Arial" w:hAnsi="Arial" w:cs="Arial"/>
          <w:spacing w:val="6"/>
          <w:szCs w:val="24"/>
        </w:rPr>
        <w:t xml:space="preserve"> genérica y parcializada, evidenciándose la omisión de asesoría sobre las condiciones que debían cumplirse para acceder a las características que le habrían sido presentadas como ventajas de los fondos privados de pensiones, por lo que de ninguno de sus dichos se puede extractar confesión que beneficie al demandado, máxime cuando desde la misma demanda la parte alega la falta al deber de información de manera clara, suficiente y completa por parte de la entidad privada, por lo que, es al operador judicial a quien le corresponde determinar con base en el material probatorio que al respecto allegue la administradora de pensiones, si la información fue o no suficiente, tal cual lo exige la jurisprudencia, consistente en que la entidad debe documentar el tipo de información que brinda al afiliado(a) y conservarla en sus archivos (Sentencia SL1452, radicado 68852, 3 de abril de 2019). </w:t>
      </w:r>
    </w:p>
    <w:p w14:paraId="112E389B" w14:textId="77777777" w:rsidR="00AE5132" w:rsidRPr="002B3E14" w:rsidRDefault="00AE5132" w:rsidP="002B3E14">
      <w:pPr>
        <w:pStyle w:val="Textoindependiente"/>
        <w:spacing w:line="276" w:lineRule="auto"/>
        <w:ind w:firstLine="708"/>
        <w:rPr>
          <w:rFonts w:cs="Arial"/>
          <w:spacing w:val="6"/>
          <w:sz w:val="24"/>
          <w:szCs w:val="24"/>
        </w:rPr>
      </w:pPr>
    </w:p>
    <w:p w14:paraId="4681D9B4" w14:textId="71D750E0" w:rsidR="009754A7" w:rsidRPr="002B3E14" w:rsidRDefault="009754A7" w:rsidP="002B3E14">
      <w:pPr>
        <w:pStyle w:val="Textoindependiente"/>
        <w:spacing w:line="276" w:lineRule="auto"/>
        <w:ind w:firstLine="708"/>
        <w:rPr>
          <w:rFonts w:cs="Arial"/>
          <w:spacing w:val="6"/>
          <w:sz w:val="24"/>
          <w:szCs w:val="24"/>
          <w:lang w:eastAsia="en-US"/>
        </w:rPr>
      </w:pPr>
      <w:r w:rsidRPr="002B3E14">
        <w:rPr>
          <w:rFonts w:cs="Arial"/>
          <w:spacing w:val="6"/>
          <w:sz w:val="24"/>
          <w:szCs w:val="24"/>
          <w:lang w:eastAsia="en-US"/>
        </w:rPr>
        <w:lastRenderedPageBreak/>
        <w:t>Igual situación se predica respecto de las demás administradoras de fondo de pensiones demandadas</w:t>
      </w:r>
      <w:r w:rsidR="5403B86D" w:rsidRPr="002B3E14">
        <w:rPr>
          <w:rFonts w:cs="Arial"/>
          <w:spacing w:val="6"/>
          <w:sz w:val="24"/>
          <w:szCs w:val="24"/>
          <w:lang w:eastAsia="en-US"/>
        </w:rPr>
        <w:t xml:space="preserve"> - Protección S.A. y Porvenir S.A.-</w:t>
      </w:r>
      <w:r w:rsidRPr="002B3E14">
        <w:rPr>
          <w:rFonts w:cs="Arial"/>
          <w:spacing w:val="6"/>
          <w:sz w:val="24"/>
          <w:szCs w:val="24"/>
          <w:lang w:eastAsia="en-US"/>
        </w:rPr>
        <w:t xml:space="preserve"> quienes tampoco acreditaron que al momento de la afiliación a esa entidad, le brindaron a la demandante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 posibilidad de hacer uso de la facultad de retracto. </w:t>
      </w:r>
    </w:p>
    <w:p w14:paraId="6C8BD8A5" w14:textId="77777777" w:rsidR="00AE5132" w:rsidRPr="002B3E14" w:rsidRDefault="00AE5132" w:rsidP="002B3E14">
      <w:pPr>
        <w:pStyle w:val="Sinespaciado"/>
        <w:spacing w:line="276" w:lineRule="auto"/>
        <w:rPr>
          <w:rFonts w:ascii="Arial" w:hAnsi="Arial" w:cs="Arial"/>
          <w:spacing w:val="6"/>
          <w:szCs w:val="24"/>
        </w:rPr>
      </w:pPr>
    </w:p>
    <w:p w14:paraId="196F139F" w14:textId="7B2402A5" w:rsidR="004E459C" w:rsidRPr="002B3E14" w:rsidRDefault="00AE5132" w:rsidP="002B3E14">
      <w:pPr>
        <w:pStyle w:val="paragraph"/>
        <w:spacing w:before="0" w:beforeAutospacing="0" w:after="0" w:afterAutospacing="0" w:line="276" w:lineRule="auto"/>
        <w:ind w:firstLine="708"/>
        <w:jc w:val="both"/>
        <w:textAlignment w:val="baseline"/>
        <w:rPr>
          <w:rFonts w:ascii="Arial" w:hAnsi="Arial" w:cs="Arial"/>
          <w:spacing w:val="6"/>
        </w:rPr>
      </w:pPr>
      <w:r w:rsidRPr="002B3E14">
        <w:rPr>
          <w:rFonts w:ascii="Arial" w:hAnsi="Arial" w:cs="Arial"/>
          <w:spacing w:val="6"/>
        </w:rPr>
        <w:t xml:space="preserve">Acorde con lo hasta aquí expuesto, no es mucho lo que debe agregarse al fallo </w:t>
      </w:r>
      <w:r w:rsidR="009754A7" w:rsidRPr="002B3E14">
        <w:rPr>
          <w:rFonts w:ascii="Arial" w:hAnsi="Arial" w:cs="Arial"/>
          <w:spacing w:val="6"/>
        </w:rPr>
        <w:t>de primera grado</w:t>
      </w:r>
      <w:r w:rsidRPr="002B3E14">
        <w:rPr>
          <w:rFonts w:ascii="Arial" w:hAnsi="Arial" w:cs="Arial"/>
          <w:spacing w:val="6"/>
        </w:rPr>
        <w:t xml:space="preserve">, en tanto que la Sala comparte los argumentos  de los que se valió el  </w:t>
      </w:r>
      <w:r w:rsidRPr="002B3E14">
        <w:rPr>
          <w:rFonts w:ascii="Arial" w:hAnsi="Arial" w:cs="Arial"/>
          <w:i/>
          <w:spacing w:val="6"/>
        </w:rPr>
        <w:t>a-quo</w:t>
      </w:r>
      <w:r w:rsidRPr="002B3E14">
        <w:rPr>
          <w:rFonts w:ascii="Arial" w:hAnsi="Arial" w:cs="Arial"/>
          <w:spacing w:val="6"/>
        </w:rPr>
        <w:t xml:space="preserve">, en aras a fulminar la declaración de ineficacia del traslado de régimen pensional, pues al no haberse arrimado al proceso prueba idónea y completa de la información que le debió brindar la A.F.P. </w:t>
      </w:r>
      <w:r w:rsidR="009754A7" w:rsidRPr="002B3E14">
        <w:rPr>
          <w:rFonts w:ascii="Arial" w:hAnsi="Arial" w:cs="Arial"/>
          <w:spacing w:val="6"/>
        </w:rPr>
        <w:t>COLFONDOS</w:t>
      </w:r>
      <w:r w:rsidRPr="002B3E14">
        <w:rPr>
          <w:rFonts w:ascii="Arial" w:hAnsi="Arial" w:cs="Arial"/>
          <w:spacing w:val="6"/>
        </w:rPr>
        <w:t xml:space="preserve">, a la demandante en el traslado que esta realizó el </w:t>
      </w:r>
      <w:r w:rsidR="009754A7" w:rsidRPr="002B3E14">
        <w:rPr>
          <w:rFonts w:ascii="Arial" w:hAnsi="Arial" w:cs="Arial"/>
          <w:spacing w:val="6"/>
        </w:rPr>
        <w:t>15 de septiembre de 1998</w:t>
      </w:r>
      <w:r w:rsidRPr="002B3E14">
        <w:rPr>
          <w:rFonts w:ascii="Arial" w:hAnsi="Arial" w:cs="Arial"/>
          <w:spacing w:val="6"/>
        </w:rPr>
        <w:t xml:space="preserve"> -, </w:t>
      </w:r>
      <w:r w:rsidRPr="002B3E14">
        <w:rPr>
          <w:rFonts w:ascii="Arial" w:hAnsi="Arial" w:cs="Arial"/>
          <w:b/>
          <w:bCs/>
          <w:spacing w:val="6"/>
        </w:rPr>
        <w:t>la consecuencia no puede ser otra diferente a la de declarar ineficaz tal acto</w:t>
      </w:r>
      <w:r w:rsidRPr="002B3E14">
        <w:rPr>
          <w:rFonts w:ascii="Arial" w:hAnsi="Arial" w:cs="Arial"/>
          <w:spacing w:val="6"/>
        </w:rPr>
        <w:t xml:space="preserve"> y, por tanto, tener como vinculación válida la que tenía la demandante con el Régimen de Prima Media con Prestación definida</w:t>
      </w:r>
      <w:r w:rsidR="004E459C" w:rsidRPr="002B3E14">
        <w:rPr>
          <w:rFonts w:ascii="Arial" w:hAnsi="Arial" w:cs="Arial"/>
          <w:spacing w:val="6"/>
        </w:rPr>
        <w:t xml:space="preserve">, </w:t>
      </w:r>
      <w:r w:rsidR="004E459C" w:rsidRPr="002B3E14">
        <w:rPr>
          <w:rStyle w:val="normaltextrun"/>
          <w:rFonts w:ascii="Arial" w:eastAsiaTheme="majorEastAsia" w:hAnsi="Arial" w:cs="Arial"/>
          <w:spacing w:val="6"/>
        </w:rPr>
        <w:t>razones por las cuales </w:t>
      </w:r>
      <w:r w:rsidR="004E459C" w:rsidRPr="002B3E14">
        <w:rPr>
          <w:rStyle w:val="normaltextrun"/>
          <w:rFonts w:ascii="Arial" w:eastAsiaTheme="majorEastAsia" w:hAnsi="Arial" w:cs="Arial"/>
          <w:bCs/>
          <w:spacing w:val="6"/>
        </w:rPr>
        <w:t xml:space="preserve">se </w:t>
      </w:r>
      <w:r w:rsidR="004E459C" w:rsidRPr="002B3E14">
        <w:rPr>
          <w:rStyle w:val="normaltextrun"/>
          <w:rFonts w:ascii="Arial" w:eastAsiaTheme="majorEastAsia" w:hAnsi="Arial" w:cs="Arial"/>
          <w:b/>
          <w:bCs/>
          <w:spacing w:val="6"/>
        </w:rPr>
        <w:t>CONFIRMARÁ</w:t>
      </w:r>
      <w:r w:rsidR="004E459C" w:rsidRPr="002B3E14">
        <w:rPr>
          <w:rStyle w:val="normaltextrun"/>
          <w:rFonts w:ascii="Arial" w:eastAsiaTheme="majorEastAsia" w:hAnsi="Arial" w:cs="Arial"/>
          <w:spacing w:val="6"/>
        </w:rPr>
        <w:t> </w:t>
      </w:r>
      <w:r w:rsidR="0076033F" w:rsidRPr="002B3E14">
        <w:rPr>
          <w:rStyle w:val="normaltextrun"/>
          <w:rFonts w:ascii="Arial" w:eastAsiaTheme="majorEastAsia" w:hAnsi="Arial" w:cs="Arial"/>
          <w:spacing w:val="6"/>
        </w:rPr>
        <w:t>este punto del fallo</w:t>
      </w:r>
      <w:r w:rsidR="004E459C" w:rsidRPr="002B3E14">
        <w:rPr>
          <w:rStyle w:val="normaltextrun"/>
          <w:rFonts w:ascii="Arial" w:eastAsiaTheme="majorEastAsia" w:hAnsi="Arial" w:cs="Arial"/>
          <w:spacing w:val="6"/>
        </w:rPr>
        <w:t>.</w:t>
      </w:r>
      <w:r w:rsidR="004E459C" w:rsidRPr="002B3E14">
        <w:rPr>
          <w:rStyle w:val="eop"/>
          <w:rFonts w:ascii="Arial" w:hAnsi="Arial" w:cs="Arial"/>
          <w:spacing w:val="6"/>
        </w:rPr>
        <w:t> </w:t>
      </w:r>
    </w:p>
    <w:p w14:paraId="3045F706" w14:textId="748AD02B" w:rsidR="00AE5132" w:rsidRPr="002B3E14" w:rsidRDefault="00AE5132" w:rsidP="002B3E14">
      <w:pPr>
        <w:pStyle w:val="Sinespaciado"/>
        <w:spacing w:line="276" w:lineRule="auto"/>
        <w:ind w:firstLine="708"/>
        <w:jc w:val="both"/>
        <w:rPr>
          <w:rFonts w:ascii="Arial" w:hAnsi="Arial" w:cs="Arial"/>
          <w:spacing w:val="6"/>
          <w:szCs w:val="24"/>
        </w:rPr>
      </w:pPr>
      <w:r w:rsidRPr="002B3E14">
        <w:rPr>
          <w:rFonts w:ascii="Arial" w:hAnsi="Arial" w:cs="Arial"/>
          <w:spacing w:val="6"/>
          <w:szCs w:val="24"/>
        </w:rPr>
        <w:t>.</w:t>
      </w:r>
    </w:p>
    <w:p w14:paraId="07225C60" w14:textId="2F866C81" w:rsidR="00AE5132" w:rsidRPr="002B3E14" w:rsidRDefault="00AE5132" w:rsidP="002B3E14">
      <w:pPr>
        <w:pStyle w:val="Textoindependiente"/>
        <w:spacing w:line="276" w:lineRule="auto"/>
        <w:ind w:firstLine="708"/>
        <w:rPr>
          <w:rFonts w:cs="Arial"/>
          <w:spacing w:val="6"/>
          <w:sz w:val="24"/>
          <w:szCs w:val="24"/>
        </w:rPr>
      </w:pPr>
      <w:r w:rsidRPr="002B3E14">
        <w:rPr>
          <w:rFonts w:cs="Arial"/>
          <w:spacing w:val="6"/>
          <w:sz w:val="24"/>
          <w:szCs w:val="24"/>
        </w:rPr>
        <w:t xml:space="preserve">Lo anterior, en suma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PROTECCIÓN  S.A., debe devolver a la administradora del Régimen de Prima Media – Colpensiones, todas las cotizaciones, con sus rendimientos, bonos pensionales, frutos e </w:t>
      </w:r>
      <w:r w:rsidR="009754A7" w:rsidRPr="002B3E14">
        <w:rPr>
          <w:rFonts w:cs="Arial"/>
          <w:spacing w:val="6"/>
          <w:sz w:val="24"/>
          <w:szCs w:val="24"/>
        </w:rPr>
        <w:t>intereses</w:t>
      </w:r>
      <w:r w:rsidRPr="002B3E14">
        <w:rPr>
          <w:rFonts w:cs="Arial"/>
          <w:spacing w:val="6"/>
          <w:sz w:val="24"/>
          <w:szCs w:val="24"/>
        </w:rPr>
        <w:t xml:space="preserve">, </w:t>
      </w:r>
      <w:r w:rsidR="009754A7" w:rsidRPr="002B3E14">
        <w:rPr>
          <w:rFonts w:cs="Arial"/>
          <w:spacing w:val="6"/>
          <w:sz w:val="24"/>
          <w:szCs w:val="24"/>
        </w:rPr>
        <w:t xml:space="preserve">y gastos de administración, </w:t>
      </w:r>
      <w:r w:rsidRPr="002B3E14">
        <w:rPr>
          <w:rFonts w:cs="Arial"/>
          <w:spacing w:val="6"/>
          <w:sz w:val="24"/>
          <w:szCs w:val="24"/>
        </w:rPr>
        <w:t xml:space="preserve">tal cual lo estimó la sentenciadora de primer grado. </w:t>
      </w:r>
    </w:p>
    <w:p w14:paraId="52FD4E61" w14:textId="77777777" w:rsidR="0076033F" w:rsidRPr="002B3E14" w:rsidRDefault="0076033F" w:rsidP="002B3E14">
      <w:pPr>
        <w:pStyle w:val="Textoindependiente"/>
        <w:spacing w:line="276" w:lineRule="auto"/>
        <w:ind w:firstLine="708"/>
        <w:rPr>
          <w:rFonts w:cs="Arial"/>
          <w:spacing w:val="6"/>
          <w:sz w:val="24"/>
          <w:szCs w:val="24"/>
        </w:rPr>
      </w:pPr>
    </w:p>
    <w:p w14:paraId="23C88F22" w14:textId="7CD530EB" w:rsidR="0076033F" w:rsidRPr="002B3E14" w:rsidRDefault="0076033F" w:rsidP="002B3E14">
      <w:pPr>
        <w:pStyle w:val="paragraph"/>
        <w:spacing w:before="0" w:beforeAutospacing="0" w:after="0" w:afterAutospacing="0" w:line="276" w:lineRule="auto"/>
        <w:ind w:firstLine="705"/>
        <w:jc w:val="both"/>
        <w:textAlignment w:val="baseline"/>
        <w:rPr>
          <w:rFonts w:ascii="Arial" w:hAnsi="Arial" w:cs="Arial"/>
          <w:spacing w:val="6"/>
        </w:rPr>
      </w:pPr>
      <w:r w:rsidRPr="002B3E14">
        <w:rPr>
          <w:rStyle w:val="normaltextrun"/>
          <w:rFonts w:ascii="Arial" w:eastAsiaTheme="majorEastAsia" w:hAnsi="Arial" w:cs="Arial"/>
          <w:spacing w:val="6"/>
        </w:rPr>
        <w:t>Ratifica lo anterior, y en especial sobre los gastos de administración,</w:t>
      </w:r>
      <w:r w:rsidR="005701C6" w:rsidRPr="002B3E14">
        <w:rPr>
          <w:rStyle w:val="normaltextrun"/>
          <w:rFonts w:ascii="Arial" w:eastAsiaTheme="majorEastAsia" w:hAnsi="Arial" w:cs="Arial"/>
          <w:spacing w:val="6"/>
        </w:rPr>
        <w:t xml:space="preserve"> los cuales son punto concreto de la apelación de PROTECCIÓN S.A., </w:t>
      </w:r>
      <w:r w:rsidRPr="002B3E14">
        <w:rPr>
          <w:rStyle w:val="normaltextrun"/>
          <w:rFonts w:ascii="Arial" w:eastAsiaTheme="majorEastAsia" w:hAnsi="Arial" w:cs="Arial"/>
          <w:spacing w:val="6"/>
        </w:rPr>
        <w:t>lo que sostiene la Sala de Casación Laboral de la H. Corte Suprema en la sentencia SL1421-2019, Rad. 56174 en la cual se dice lo siguiente: </w:t>
      </w:r>
      <w:r w:rsidRPr="002B3E14">
        <w:rPr>
          <w:rStyle w:val="eop"/>
          <w:rFonts w:ascii="Arial" w:hAnsi="Arial" w:cs="Arial"/>
          <w:spacing w:val="6"/>
        </w:rPr>
        <w:t> </w:t>
      </w:r>
    </w:p>
    <w:p w14:paraId="6027C040" w14:textId="77777777" w:rsidR="0076033F" w:rsidRPr="002B3E14" w:rsidRDefault="0076033F" w:rsidP="002B3E14">
      <w:pPr>
        <w:pStyle w:val="paragraph"/>
        <w:spacing w:before="0" w:beforeAutospacing="0" w:after="0" w:afterAutospacing="0" w:line="276" w:lineRule="auto"/>
        <w:ind w:firstLine="705"/>
        <w:jc w:val="both"/>
        <w:textAlignment w:val="baseline"/>
        <w:rPr>
          <w:rFonts w:ascii="Arial" w:hAnsi="Arial" w:cs="Arial"/>
          <w:spacing w:val="6"/>
        </w:rPr>
      </w:pPr>
      <w:r w:rsidRPr="002B3E14">
        <w:rPr>
          <w:rStyle w:val="eop"/>
          <w:rFonts w:ascii="Arial" w:hAnsi="Arial" w:cs="Arial"/>
          <w:spacing w:val="6"/>
        </w:rPr>
        <w:t> </w:t>
      </w:r>
    </w:p>
    <w:p w14:paraId="7C601D9B"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2B3E14">
        <w:rPr>
          <w:rFonts w:ascii="Arial" w:hAnsi="Arial" w:cs="Arial"/>
          <w:i/>
          <w:iCs/>
          <w:spacing w:val="6"/>
          <w:sz w:val="22"/>
          <w:szCs w:val="24"/>
        </w:rPr>
        <w:t>SL17595</w:t>
      </w:r>
      <w:proofErr w:type="spellEnd"/>
      <w:r w:rsidRPr="002B3E14">
        <w:rPr>
          <w:rFonts w:ascii="Arial" w:hAnsi="Arial" w:cs="Arial"/>
          <w:i/>
          <w:iCs/>
          <w:spacing w:val="6"/>
          <w:sz w:val="22"/>
          <w:szCs w:val="24"/>
        </w:rPr>
        <w:t xml:space="preserve">-2017 y </w:t>
      </w:r>
      <w:proofErr w:type="spellStart"/>
      <w:r w:rsidRPr="002B3E14">
        <w:rPr>
          <w:rFonts w:ascii="Arial" w:hAnsi="Arial" w:cs="Arial"/>
          <w:i/>
          <w:iCs/>
          <w:spacing w:val="6"/>
          <w:sz w:val="22"/>
          <w:szCs w:val="24"/>
        </w:rPr>
        <w:t>CSJSL4989</w:t>
      </w:r>
      <w:proofErr w:type="spellEnd"/>
      <w:r w:rsidRPr="002B3E14">
        <w:rPr>
          <w:rFonts w:ascii="Arial" w:hAnsi="Arial" w:cs="Arial"/>
          <w:i/>
          <w:iCs/>
          <w:spacing w:val="6"/>
          <w:sz w:val="22"/>
          <w:szCs w:val="24"/>
        </w:rPr>
        <w:t xml:space="preserve">-2018, donde se rememoró la CSJ </w:t>
      </w:r>
      <w:proofErr w:type="spellStart"/>
      <w:r w:rsidRPr="002B3E14">
        <w:rPr>
          <w:rFonts w:ascii="Arial" w:hAnsi="Arial" w:cs="Arial"/>
          <w:i/>
          <w:iCs/>
          <w:spacing w:val="6"/>
          <w:sz w:val="22"/>
          <w:szCs w:val="24"/>
        </w:rPr>
        <w:t>SL</w:t>
      </w:r>
      <w:proofErr w:type="spellEnd"/>
      <w:r w:rsidRPr="002B3E14">
        <w:rPr>
          <w:rFonts w:ascii="Arial" w:hAnsi="Arial" w:cs="Arial"/>
          <w:i/>
          <w:iCs/>
          <w:spacing w:val="6"/>
          <w:sz w:val="22"/>
          <w:szCs w:val="24"/>
        </w:rPr>
        <w:t>, 8 sep. 2008, rad. 31989...”</w:t>
      </w:r>
    </w:p>
    <w:p w14:paraId="3B6F8998" w14:textId="64B50762" w:rsidR="0076033F" w:rsidRPr="002B3E14" w:rsidRDefault="0076033F" w:rsidP="002B3E14">
      <w:pPr>
        <w:pStyle w:val="paragraph"/>
        <w:spacing w:before="0" w:beforeAutospacing="0" w:after="0" w:afterAutospacing="0" w:line="276" w:lineRule="auto"/>
        <w:jc w:val="both"/>
        <w:textAlignment w:val="baseline"/>
        <w:rPr>
          <w:rFonts w:ascii="Arial" w:hAnsi="Arial" w:cs="Arial"/>
          <w:spacing w:val="6"/>
          <w:shd w:val="clear" w:color="auto" w:fill="FFFFFF"/>
        </w:rPr>
      </w:pPr>
      <w:r w:rsidRPr="002B3E14">
        <w:rPr>
          <w:rStyle w:val="eop"/>
          <w:rFonts w:ascii="Arial" w:hAnsi="Arial" w:cs="Arial"/>
          <w:spacing w:val="6"/>
        </w:rPr>
        <w:t> </w:t>
      </w:r>
    </w:p>
    <w:p w14:paraId="6BAE2381" w14:textId="69EFF00E" w:rsidR="0076033F" w:rsidRPr="002B3E14" w:rsidRDefault="0076033F" w:rsidP="002B3E14">
      <w:pPr>
        <w:pStyle w:val="paragraph"/>
        <w:spacing w:before="0" w:beforeAutospacing="0" w:after="0" w:afterAutospacing="0" w:line="276" w:lineRule="auto"/>
        <w:ind w:firstLine="705"/>
        <w:jc w:val="both"/>
        <w:textAlignment w:val="baseline"/>
        <w:rPr>
          <w:rStyle w:val="normaltextrun"/>
          <w:rFonts w:ascii="Arial" w:eastAsiaTheme="majorEastAsia" w:hAnsi="Arial" w:cs="Arial"/>
          <w:spacing w:val="6"/>
        </w:rPr>
      </w:pPr>
      <w:r w:rsidRPr="002B3E14">
        <w:rPr>
          <w:rFonts w:ascii="Arial" w:hAnsi="Arial" w:cs="Arial"/>
          <w:spacing w:val="6"/>
          <w:shd w:val="clear" w:color="auto" w:fill="FFFFFF"/>
        </w:rPr>
        <w:t xml:space="preserve">De modo que, el deber de devolver al sistema todos los valores que hubiere recibido el fondo de pensiones por cuenta de la afiliación de la demandante, tiene como fundamento la conducta indebida de la entidad en la </w:t>
      </w:r>
      <w:r w:rsidRPr="002B3E14">
        <w:rPr>
          <w:rFonts w:ascii="Arial" w:hAnsi="Arial" w:cs="Arial"/>
          <w:spacing w:val="6"/>
          <w:shd w:val="clear" w:color="auto" w:fill="FFFFFF"/>
        </w:rPr>
        <w:lastRenderedPageBreak/>
        <w:t xml:space="preserve">omisión al deber de información, cuya consecuencia genera la ineficacia del traslado, la cual priva de todo efecto el acto jurídico, debiendo entonces la administradora cubrir los deterioros sufridos por el bien administrado, con cargo de su propio patrimonio, siguiendo para el efecto las reglas del artículo 963 del C.C., tal como lo ha establecido firmemente la jurisprudencia de la Sala de Casación Laboral desde el </w:t>
      </w:r>
      <w:proofErr w:type="spellStart"/>
      <w:r w:rsidRPr="002B3E14">
        <w:rPr>
          <w:rFonts w:ascii="Arial" w:hAnsi="Arial" w:cs="Arial"/>
          <w:spacing w:val="6"/>
          <w:shd w:val="clear" w:color="auto" w:fill="FFFFFF"/>
        </w:rPr>
        <w:t>proferimiento</w:t>
      </w:r>
      <w:proofErr w:type="spellEnd"/>
      <w:r w:rsidRPr="002B3E14">
        <w:rPr>
          <w:rFonts w:ascii="Arial" w:hAnsi="Arial" w:cs="Arial"/>
          <w:spacing w:val="6"/>
          <w:shd w:val="clear" w:color="auto" w:fill="FFFFFF"/>
        </w:rPr>
        <w:t xml:space="preserve"> de la sentencia radicada 31989 de 2008. </w:t>
      </w:r>
      <w:r w:rsidR="0040186B" w:rsidRPr="002B3E14">
        <w:rPr>
          <w:rFonts w:ascii="Arial" w:hAnsi="Arial" w:cs="Arial"/>
          <w:spacing w:val="6"/>
          <w:shd w:val="clear" w:color="auto" w:fill="FFFFFF"/>
        </w:rPr>
        <w:t xml:space="preserve">Tal postura, </w:t>
      </w:r>
      <w:r w:rsidR="00116A83" w:rsidRPr="002B3E14">
        <w:rPr>
          <w:rFonts w:ascii="Arial" w:hAnsi="Arial" w:cs="Arial"/>
          <w:spacing w:val="6"/>
          <w:shd w:val="clear" w:color="auto" w:fill="FFFFFF"/>
        </w:rPr>
        <w:t>se hace extensiva</w:t>
      </w:r>
      <w:r w:rsidR="0040186B" w:rsidRPr="002B3E14">
        <w:rPr>
          <w:rFonts w:ascii="Arial" w:hAnsi="Arial" w:cs="Arial"/>
          <w:spacing w:val="6"/>
          <w:shd w:val="clear" w:color="auto" w:fill="FFFFFF"/>
        </w:rPr>
        <w:t xml:space="preserve"> incluso a las entidades administradoras de pensiones </w:t>
      </w:r>
      <w:r w:rsidR="005E0705" w:rsidRPr="002B3E14">
        <w:rPr>
          <w:rFonts w:ascii="Arial" w:hAnsi="Arial" w:cs="Arial"/>
          <w:spacing w:val="6"/>
          <w:shd w:val="clear" w:color="auto" w:fill="FFFFFF"/>
        </w:rPr>
        <w:t xml:space="preserve">a las cuales la afiliada migró al interior del </w:t>
      </w:r>
      <w:r w:rsidR="0040186B" w:rsidRPr="002B3E14">
        <w:rPr>
          <w:rFonts w:ascii="Arial" w:hAnsi="Arial" w:cs="Arial"/>
          <w:spacing w:val="6"/>
          <w:shd w:val="clear" w:color="auto" w:fill="FFFFFF"/>
        </w:rPr>
        <w:t>régimen de ahorro individual</w:t>
      </w:r>
      <w:r w:rsidR="005E0705" w:rsidRPr="002B3E14">
        <w:rPr>
          <w:rFonts w:ascii="Arial" w:hAnsi="Arial" w:cs="Arial"/>
          <w:spacing w:val="6"/>
          <w:shd w:val="clear" w:color="auto" w:fill="FFFFFF"/>
        </w:rPr>
        <w:t xml:space="preserve"> con solidaridad</w:t>
      </w:r>
      <w:r w:rsidR="0040186B" w:rsidRPr="002B3E14">
        <w:rPr>
          <w:rFonts w:ascii="Arial" w:hAnsi="Arial" w:cs="Arial"/>
          <w:spacing w:val="6"/>
          <w:shd w:val="clear" w:color="auto" w:fill="FFFFFF"/>
        </w:rPr>
        <w:t xml:space="preserve">, cuyo </w:t>
      </w:r>
      <w:r w:rsidR="005E0705" w:rsidRPr="002B3E14">
        <w:rPr>
          <w:rFonts w:ascii="Arial" w:hAnsi="Arial" w:cs="Arial"/>
          <w:spacing w:val="6"/>
          <w:shd w:val="clear" w:color="auto" w:fill="FFFFFF"/>
        </w:rPr>
        <w:t xml:space="preserve">cumplimiento al </w:t>
      </w:r>
      <w:r w:rsidR="0040186B" w:rsidRPr="002B3E14">
        <w:rPr>
          <w:rFonts w:ascii="Arial" w:hAnsi="Arial" w:cs="Arial"/>
          <w:spacing w:val="6"/>
          <w:shd w:val="clear" w:color="auto" w:fill="FFFFFF"/>
        </w:rPr>
        <w:t>deber de información también se echó de menos dentro del presente asunto</w:t>
      </w:r>
      <w:r w:rsidR="005701C6" w:rsidRPr="002B3E14">
        <w:rPr>
          <w:rFonts w:ascii="Arial" w:hAnsi="Arial" w:cs="Arial"/>
          <w:spacing w:val="6"/>
          <w:shd w:val="clear" w:color="auto" w:fill="FFFFFF"/>
        </w:rPr>
        <w:t xml:space="preserve">; </w:t>
      </w:r>
      <w:r w:rsidR="3AE7B7E4" w:rsidRPr="002B3E14">
        <w:rPr>
          <w:rFonts w:ascii="Arial" w:hAnsi="Arial" w:cs="Arial"/>
          <w:spacing w:val="6"/>
          <w:shd w:val="clear" w:color="auto" w:fill="FFFFFF"/>
        </w:rPr>
        <w:t>razones por</w:t>
      </w:r>
      <w:r w:rsidR="005701C6" w:rsidRPr="002B3E14">
        <w:rPr>
          <w:rFonts w:ascii="Arial" w:hAnsi="Arial" w:cs="Arial"/>
          <w:spacing w:val="6"/>
          <w:shd w:val="clear" w:color="auto" w:fill="FFFFFF"/>
        </w:rPr>
        <w:t xml:space="preserve"> las que </w:t>
      </w:r>
      <w:r w:rsidR="005701C6" w:rsidRPr="002B3E14">
        <w:rPr>
          <w:rStyle w:val="normaltextrun"/>
          <w:rFonts w:ascii="Arial" w:eastAsiaTheme="majorEastAsia" w:hAnsi="Arial" w:cs="Arial"/>
          <w:spacing w:val="6"/>
        </w:rPr>
        <w:t xml:space="preserve">no tiene vocación de prosperidad el recurso de alzada de PROTECCIÓN SA., </w:t>
      </w:r>
      <w:r w:rsidRPr="002B3E14">
        <w:rPr>
          <w:rStyle w:val="normaltextrun"/>
          <w:rFonts w:ascii="Arial" w:eastAsiaTheme="majorEastAsia" w:hAnsi="Arial" w:cs="Arial"/>
          <w:spacing w:val="6"/>
        </w:rPr>
        <w:t xml:space="preserve">con el cual pretendió exornarse de la devolución de </w:t>
      </w:r>
      <w:r w:rsidR="005E0705" w:rsidRPr="002B3E14">
        <w:rPr>
          <w:rStyle w:val="normaltextrun"/>
          <w:rFonts w:ascii="Arial" w:eastAsiaTheme="majorEastAsia" w:hAnsi="Arial" w:cs="Arial"/>
          <w:spacing w:val="6"/>
        </w:rPr>
        <w:t xml:space="preserve">los gastos de administración con destino a Colpensiones. </w:t>
      </w:r>
    </w:p>
    <w:p w14:paraId="38B9CA9C" w14:textId="4A9E84D5" w:rsidR="0076033F" w:rsidRPr="002B3E14" w:rsidRDefault="0076033F" w:rsidP="002B3E14">
      <w:pPr>
        <w:pStyle w:val="paragraph"/>
        <w:spacing w:before="0" w:beforeAutospacing="0" w:after="0" w:afterAutospacing="0" w:line="276" w:lineRule="auto"/>
        <w:jc w:val="both"/>
        <w:textAlignment w:val="baseline"/>
        <w:rPr>
          <w:rFonts w:ascii="Arial" w:hAnsi="Arial" w:cs="Arial"/>
          <w:spacing w:val="6"/>
          <w:shd w:val="clear" w:color="auto" w:fill="FFFFFF"/>
        </w:rPr>
      </w:pPr>
    </w:p>
    <w:p w14:paraId="3022F34F" w14:textId="2480883F" w:rsidR="0076033F" w:rsidRPr="002B3E14" w:rsidRDefault="0076033F" w:rsidP="002B3E14">
      <w:pPr>
        <w:pStyle w:val="paragraph"/>
        <w:spacing w:before="0" w:beforeAutospacing="0" w:after="0" w:afterAutospacing="0" w:line="276" w:lineRule="auto"/>
        <w:ind w:firstLine="708"/>
        <w:jc w:val="both"/>
        <w:textAlignment w:val="baseline"/>
        <w:rPr>
          <w:rStyle w:val="eop"/>
          <w:rFonts w:ascii="Arial" w:hAnsi="Arial" w:cs="Arial"/>
          <w:spacing w:val="6"/>
        </w:rPr>
      </w:pPr>
      <w:r w:rsidRPr="002B3E14">
        <w:rPr>
          <w:rStyle w:val="normaltextrun"/>
          <w:rFonts w:ascii="Arial" w:eastAsiaTheme="majorEastAsia" w:hAnsi="Arial" w:cs="Arial"/>
          <w:spacing w:val="6"/>
        </w:rPr>
        <w:t xml:space="preserve">Ahora bien, en virtud del grado jurisdiccional de Consulta que opera en favor de Colpensiones, se hace necesario </w:t>
      </w:r>
      <w:r w:rsidRPr="002B3E14">
        <w:rPr>
          <w:rStyle w:val="normaltextrun"/>
          <w:rFonts w:ascii="Arial" w:eastAsiaTheme="majorEastAsia" w:hAnsi="Arial" w:cs="Arial"/>
          <w:b/>
          <w:bCs/>
          <w:spacing w:val="6"/>
        </w:rPr>
        <w:t>MODIFICAR</w:t>
      </w:r>
      <w:r w:rsidRPr="002B3E14">
        <w:rPr>
          <w:rStyle w:val="normaltextrun"/>
          <w:rFonts w:ascii="Arial" w:eastAsiaTheme="majorEastAsia" w:hAnsi="Arial" w:cs="Arial"/>
          <w:spacing w:val="6"/>
        </w:rPr>
        <w:t> </w:t>
      </w:r>
      <w:r w:rsidR="53C14A4F" w:rsidRPr="002B3E14">
        <w:rPr>
          <w:rStyle w:val="normaltextrun"/>
          <w:rFonts w:ascii="Arial" w:eastAsiaTheme="majorEastAsia" w:hAnsi="Arial" w:cs="Arial"/>
          <w:spacing w:val="6"/>
        </w:rPr>
        <w:t xml:space="preserve"> </w:t>
      </w:r>
      <w:r w:rsidRPr="002B3E14">
        <w:rPr>
          <w:rStyle w:val="normaltextrun"/>
          <w:rFonts w:ascii="Arial" w:eastAsiaTheme="majorEastAsia" w:hAnsi="Arial" w:cs="Arial"/>
          <w:spacing w:val="6"/>
        </w:rPr>
        <w:t>la sentencia en orden a complementar los rubros que la AFP PROTECCIÓN S.A. debe remitir a Colpensiones, motivo por el que se le ordenará a dicho fondo que remita también las sumas adicionales (incluyendo lo correspondiente a seguros previsionales, entre otros) y las sumas de dinero que retiene para el fondo de garantía de pensión mínima, y comisiones cobradas durante el lapso en que estuvo vigente la afiliación de la demandante, debidamente indexados con cargo a sus propios recursos, tal como lo ha reiterado la Sala de Casación Laboral de la Corte Suprema en sentencias SL1421 y  SL 1688, ambas de 2019. </w:t>
      </w:r>
      <w:r w:rsidRPr="002B3E14">
        <w:rPr>
          <w:rStyle w:val="eop"/>
          <w:rFonts w:ascii="Arial" w:hAnsi="Arial" w:cs="Arial"/>
          <w:spacing w:val="6"/>
        </w:rPr>
        <w:t> </w:t>
      </w:r>
    </w:p>
    <w:p w14:paraId="71F7AAB5" w14:textId="77777777" w:rsidR="00C923FD" w:rsidRPr="002B3E14" w:rsidRDefault="00C923FD" w:rsidP="002B3E14">
      <w:pPr>
        <w:pStyle w:val="paragraph"/>
        <w:spacing w:before="0" w:beforeAutospacing="0" w:after="0" w:afterAutospacing="0" w:line="276" w:lineRule="auto"/>
        <w:ind w:firstLine="708"/>
        <w:jc w:val="both"/>
        <w:textAlignment w:val="baseline"/>
        <w:rPr>
          <w:rFonts w:ascii="Arial" w:hAnsi="Arial" w:cs="Arial"/>
          <w:spacing w:val="6"/>
        </w:rPr>
      </w:pPr>
    </w:p>
    <w:p w14:paraId="1338CAA2" w14:textId="7F9F143A" w:rsidR="001F2DE7" w:rsidRPr="002B3E14" w:rsidRDefault="0076033F" w:rsidP="002B3E14">
      <w:pPr>
        <w:spacing w:line="276" w:lineRule="auto"/>
        <w:ind w:firstLine="567"/>
        <w:jc w:val="both"/>
        <w:rPr>
          <w:rFonts w:ascii="Arial" w:hAnsi="Arial" w:cs="Arial"/>
          <w:spacing w:val="6"/>
          <w:szCs w:val="24"/>
          <w:shd w:val="clear" w:color="auto" w:fill="FFFFFF"/>
        </w:rPr>
      </w:pPr>
      <w:r w:rsidRPr="002B3E14">
        <w:rPr>
          <w:rFonts w:ascii="Arial" w:hAnsi="Arial" w:cs="Arial"/>
          <w:spacing w:val="6"/>
          <w:szCs w:val="24"/>
        </w:rPr>
        <w:tab/>
        <w:t xml:space="preserve">De otro lado, se hace necesario también </w:t>
      </w:r>
      <w:r w:rsidR="000C31BE" w:rsidRPr="002B3E14">
        <w:rPr>
          <w:rFonts w:ascii="Arial" w:hAnsi="Arial" w:cs="Arial"/>
          <w:b/>
          <w:bCs/>
          <w:spacing w:val="6"/>
          <w:szCs w:val="24"/>
        </w:rPr>
        <w:t>ADICIONAR</w:t>
      </w:r>
      <w:r w:rsidR="000C31BE" w:rsidRPr="002B3E14">
        <w:rPr>
          <w:rFonts w:ascii="Arial" w:hAnsi="Arial" w:cs="Arial"/>
          <w:spacing w:val="6"/>
          <w:szCs w:val="24"/>
        </w:rPr>
        <w:t xml:space="preserve"> </w:t>
      </w:r>
      <w:r w:rsidRPr="002B3E14">
        <w:rPr>
          <w:rFonts w:ascii="Arial" w:hAnsi="Arial" w:cs="Arial"/>
          <w:spacing w:val="6"/>
          <w:szCs w:val="24"/>
        </w:rPr>
        <w:t xml:space="preserve">la providencia, </w:t>
      </w:r>
      <w:r w:rsidRPr="002B3E14">
        <w:rPr>
          <w:rFonts w:ascii="Arial" w:hAnsi="Arial" w:cs="Arial"/>
          <w:spacing w:val="6"/>
          <w:szCs w:val="24"/>
          <w:shd w:val="clear" w:color="auto" w:fill="FFFFFF"/>
          <w:lang w:val="es-ES"/>
        </w:rPr>
        <w:t xml:space="preserve">para ordenar </w:t>
      </w:r>
      <w:r w:rsidRPr="002B3E14">
        <w:rPr>
          <w:rFonts w:ascii="Arial" w:hAnsi="Arial" w:cs="Arial"/>
          <w:spacing w:val="6"/>
          <w:szCs w:val="24"/>
          <w:shd w:val="clear" w:color="auto" w:fill="FFFFFF"/>
        </w:rPr>
        <w:t>a los demás fondos privados accionados</w:t>
      </w:r>
      <w:r w:rsidR="005701C6" w:rsidRPr="002B3E14">
        <w:rPr>
          <w:rFonts w:ascii="Arial" w:hAnsi="Arial" w:cs="Arial"/>
          <w:spacing w:val="6"/>
          <w:szCs w:val="24"/>
          <w:shd w:val="clear" w:color="auto" w:fill="FFFFFF"/>
        </w:rPr>
        <w:t>:</w:t>
      </w:r>
      <w:r w:rsidRPr="002B3E14">
        <w:rPr>
          <w:rFonts w:ascii="Arial" w:hAnsi="Arial" w:cs="Arial"/>
          <w:spacing w:val="6"/>
          <w:szCs w:val="24"/>
          <w:shd w:val="clear" w:color="auto" w:fill="FFFFFF"/>
        </w:rPr>
        <w:t xml:space="preserve"> COLFONDOS S.A. Pensiones y Cesantías S.A., y PORVENIR S.A., que procedan a devolver con cargo a sus propios recursos, los valores correspondientes a</w:t>
      </w:r>
      <w:r w:rsidRPr="002B3E14">
        <w:rPr>
          <w:rFonts w:ascii="Arial" w:hAnsi="Arial" w:cs="Arial"/>
          <w:b/>
          <w:bCs/>
          <w:spacing w:val="6"/>
          <w:szCs w:val="24"/>
          <w:shd w:val="clear" w:color="auto" w:fill="FFFFFF"/>
        </w:rPr>
        <w:t xml:space="preserve"> gastos de administración </w:t>
      </w:r>
      <w:r w:rsidR="1A1087A3" w:rsidRPr="002B3E14">
        <w:rPr>
          <w:rFonts w:ascii="Arial" w:hAnsi="Arial" w:cs="Arial"/>
          <w:b/>
          <w:bCs/>
          <w:spacing w:val="6"/>
          <w:szCs w:val="24"/>
          <w:shd w:val="clear" w:color="auto" w:fill="FFFFFF"/>
        </w:rPr>
        <w:t xml:space="preserve">(incluyendo lo correspondiente a seguros previsionales, entre otros) </w:t>
      </w:r>
      <w:r w:rsidRPr="002B3E14">
        <w:rPr>
          <w:rFonts w:ascii="Arial" w:hAnsi="Arial" w:cs="Arial"/>
          <w:b/>
          <w:bCs/>
          <w:spacing w:val="6"/>
          <w:szCs w:val="24"/>
          <w:shd w:val="clear" w:color="auto" w:fill="FFFFFF"/>
        </w:rPr>
        <w:t xml:space="preserve">y comisiones </w:t>
      </w:r>
      <w:r w:rsidRPr="002B3E14">
        <w:rPr>
          <w:rFonts w:ascii="Arial" w:hAnsi="Arial" w:cs="Arial"/>
          <w:spacing w:val="6"/>
          <w:szCs w:val="24"/>
          <w:shd w:val="clear" w:color="auto" w:fill="FFFFFF"/>
        </w:rPr>
        <w:t xml:space="preserve">que fueron cobrados durante el lapso de afiliación de la demandante a Colpensiones, debidamente </w:t>
      </w:r>
      <w:r w:rsidR="001F2DE7" w:rsidRPr="002B3E14">
        <w:rPr>
          <w:rFonts w:ascii="Arial" w:hAnsi="Arial" w:cs="Arial"/>
          <w:spacing w:val="6"/>
          <w:szCs w:val="24"/>
          <w:shd w:val="clear" w:color="auto" w:fill="FFFFFF"/>
        </w:rPr>
        <w:t>indexados.</w:t>
      </w:r>
    </w:p>
    <w:p w14:paraId="04C25956" w14:textId="77777777" w:rsidR="001F2DE7" w:rsidRPr="002B3E14" w:rsidRDefault="001F2DE7" w:rsidP="002B3E14">
      <w:pPr>
        <w:pStyle w:val="Textoindependiente"/>
        <w:spacing w:line="276" w:lineRule="auto"/>
        <w:rPr>
          <w:rFonts w:cs="Arial"/>
          <w:b/>
          <w:bCs/>
          <w:spacing w:val="6"/>
          <w:sz w:val="24"/>
          <w:szCs w:val="24"/>
        </w:rPr>
      </w:pPr>
    </w:p>
    <w:p w14:paraId="0485EBDD" w14:textId="1DC7DFBD" w:rsidR="00AE5132" w:rsidRPr="002B3E14" w:rsidRDefault="00AE5132" w:rsidP="002B3E14">
      <w:pPr>
        <w:pStyle w:val="Textoindependiente"/>
        <w:spacing w:line="276" w:lineRule="auto"/>
        <w:ind w:firstLine="567"/>
        <w:rPr>
          <w:rFonts w:cs="Arial"/>
          <w:spacing w:val="6"/>
          <w:sz w:val="24"/>
          <w:szCs w:val="24"/>
        </w:rPr>
      </w:pPr>
      <w:r w:rsidRPr="002B3E14">
        <w:rPr>
          <w:rFonts w:cs="Arial"/>
          <w:b/>
          <w:bCs/>
          <w:spacing w:val="6"/>
          <w:sz w:val="24"/>
          <w:szCs w:val="24"/>
        </w:rPr>
        <w:t>Frente a las excepciones propuestas</w:t>
      </w:r>
      <w:r w:rsidRPr="002B3E14">
        <w:rPr>
          <w:rFonts w:cs="Arial"/>
          <w:spacing w:val="6"/>
          <w:sz w:val="24"/>
          <w:szCs w:val="24"/>
        </w:rPr>
        <w:t xml:space="preserve">,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20B6399B" w14:textId="77777777" w:rsidR="00AE5132" w:rsidRPr="002B3E14" w:rsidRDefault="00AE5132" w:rsidP="002B3E14">
      <w:pPr>
        <w:spacing w:line="276" w:lineRule="auto"/>
        <w:jc w:val="both"/>
        <w:rPr>
          <w:rFonts w:ascii="Arial" w:hAnsi="Arial" w:cs="Arial"/>
          <w:spacing w:val="6"/>
          <w:szCs w:val="24"/>
        </w:rPr>
      </w:pPr>
    </w:p>
    <w:p w14:paraId="66ED3D78"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2B3E14">
        <w:rPr>
          <w:rFonts w:ascii="Arial" w:hAnsi="Arial" w:cs="Arial"/>
          <w:i/>
          <w:iCs/>
          <w:spacing w:val="6"/>
          <w:sz w:val="22"/>
          <w:szCs w:val="24"/>
        </w:rPr>
        <w:t>RPMPD</w:t>
      </w:r>
      <w:proofErr w:type="spellEnd"/>
      <w:r w:rsidRPr="002B3E14">
        <w:rPr>
          <w:rFonts w:ascii="Arial" w:hAnsi="Arial" w:cs="Arial"/>
          <w:i/>
          <w:iCs/>
          <w:spacing w:val="6"/>
          <w:sz w:val="22"/>
          <w:szCs w:val="24"/>
        </w:rPr>
        <w:t xml:space="preserve"> o </w:t>
      </w:r>
      <w:proofErr w:type="spellStart"/>
      <w:r w:rsidRPr="002B3E14">
        <w:rPr>
          <w:rFonts w:ascii="Arial" w:hAnsi="Arial" w:cs="Arial"/>
          <w:i/>
          <w:iCs/>
          <w:spacing w:val="6"/>
          <w:sz w:val="22"/>
          <w:szCs w:val="24"/>
        </w:rPr>
        <w:t>RAIS</w:t>
      </w:r>
      <w:proofErr w:type="spellEnd"/>
      <w:r w:rsidRPr="002B3E14">
        <w:rPr>
          <w:rFonts w:ascii="Arial" w:hAnsi="Arial" w:cs="Arial"/>
          <w:i/>
          <w:iCs/>
          <w:spacing w:val="6"/>
          <w:sz w:val="22"/>
          <w:szCs w:val="24"/>
        </w:rPr>
        <w:t xml:space="preserve">) se encuentran afiliados. Lo expuesto no es algo nuevo en la jurisprudencia del trabajo, pues incluso desde la sentencia CSJ </w:t>
      </w:r>
      <w:proofErr w:type="spellStart"/>
      <w:r w:rsidRPr="002B3E14">
        <w:rPr>
          <w:rFonts w:ascii="Arial" w:hAnsi="Arial" w:cs="Arial"/>
          <w:i/>
          <w:iCs/>
          <w:spacing w:val="6"/>
          <w:sz w:val="22"/>
          <w:szCs w:val="24"/>
        </w:rPr>
        <w:t>SL795</w:t>
      </w:r>
      <w:proofErr w:type="spellEnd"/>
      <w:r w:rsidRPr="002B3E14">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365C1FC7"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t xml:space="preserve"> </w:t>
      </w:r>
    </w:p>
    <w:p w14:paraId="073BE073" w14:textId="77777777" w:rsidR="002B3E14" w:rsidRPr="002B3E14" w:rsidRDefault="002B3E14" w:rsidP="002B3E14">
      <w:pPr>
        <w:ind w:left="426" w:right="420"/>
        <w:jc w:val="both"/>
        <w:rPr>
          <w:rFonts w:ascii="Arial" w:hAnsi="Arial" w:cs="Arial"/>
          <w:i/>
          <w:iCs/>
          <w:spacing w:val="6"/>
          <w:sz w:val="22"/>
          <w:szCs w:val="24"/>
        </w:rPr>
      </w:pPr>
      <w:r w:rsidRPr="002B3E14">
        <w:rPr>
          <w:rFonts w:ascii="Arial" w:hAnsi="Arial" w:cs="Arial"/>
          <w:i/>
          <w:iCs/>
          <w:spacing w:val="6"/>
          <w:sz w:val="22"/>
          <w:szCs w:val="24"/>
        </w:rPr>
        <w:lastRenderedPageBreak/>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2B3E14">
        <w:rPr>
          <w:rFonts w:ascii="Arial" w:hAnsi="Arial" w:cs="Arial"/>
          <w:i/>
          <w:iCs/>
          <w:spacing w:val="6"/>
          <w:sz w:val="22"/>
          <w:szCs w:val="24"/>
        </w:rPr>
        <w:t>SL8544</w:t>
      </w:r>
      <w:proofErr w:type="spellEnd"/>
      <w:r w:rsidRPr="002B3E14">
        <w:rPr>
          <w:rFonts w:ascii="Arial" w:hAnsi="Arial" w:cs="Arial"/>
          <w:i/>
          <w:iCs/>
          <w:spacing w:val="6"/>
          <w:sz w:val="22"/>
          <w:szCs w:val="24"/>
        </w:rPr>
        <w:t>-2016)”.</w:t>
      </w:r>
    </w:p>
    <w:p w14:paraId="72B3D870" w14:textId="29EA5A58" w:rsidR="00AE5132" w:rsidRPr="002B3E14" w:rsidRDefault="00AE5132" w:rsidP="002B3E14">
      <w:pPr>
        <w:spacing w:line="276" w:lineRule="auto"/>
        <w:jc w:val="both"/>
        <w:rPr>
          <w:rFonts w:ascii="Arial" w:hAnsi="Arial" w:cs="Arial"/>
          <w:spacing w:val="6"/>
          <w:szCs w:val="24"/>
        </w:rPr>
      </w:pPr>
      <w:r w:rsidRPr="002B3E14">
        <w:rPr>
          <w:rFonts w:ascii="Arial" w:hAnsi="Arial" w:cs="Arial"/>
          <w:spacing w:val="6"/>
          <w:szCs w:val="24"/>
        </w:rPr>
        <w:t xml:space="preserve"> </w:t>
      </w:r>
    </w:p>
    <w:p w14:paraId="61EE8273" w14:textId="7E5013B4" w:rsidR="0076033F" w:rsidRPr="002B3E14" w:rsidRDefault="0076033F" w:rsidP="002B3E14">
      <w:pPr>
        <w:pStyle w:val="paragraph"/>
        <w:shd w:val="clear" w:color="auto" w:fill="FFFFFF"/>
        <w:spacing w:before="0" w:beforeAutospacing="0" w:after="0" w:afterAutospacing="0" w:line="276" w:lineRule="auto"/>
        <w:ind w:firstLine="708"/>
        <w:jc w:val="both"/>
        <w:textAlignment w:val="baseline"/>
        <w:rPr>
          <w:rStyle w:val="normaltextrun"/>
          <w:rFonts w:ascii="Arial" w:eastAsiaTheme="majorEastAsia" w:hAnsi="Arial" w:cs="Arial"/>
          <w:spacing w:val="6"/>
        </w:rPr>
      </w:pPr>
      <w:r w:rsidRPr="002B3E14">
        <w:rPr>
          <w:rStyle w:val="normaltextrun"/>
          <w:rFonts w:ascii="Arial" w:eastAsiaTheme="majorEastAsia" w:hAnsi="Arial" w:cs="Arial"/>
          <w:spacing w:val="6"/>
        </w:rPr>
        <w:t xml:space="preserve">Finalmente, en relación </w:t>
      </w:r>
      <w:r w:rsidR="005E0705" w:rsidRPr="002B3E14">
        <w:rPr>
          <w:rStyle w:val="normaltextrun"/>
          <w:rFonts w:ascii="Arial" w:eastAsiaTheme="majorEastAsia" w:hAnsi="Arial" w:cs="Arial"/>
          <w:spacing w:val="6"/>
        </w:rPr>
        <w:t xml:space="preserve">la inconformidad de </w:t>
      </w:r>
      <w:r w:rsidRPr="002B3E14">
        <w:rPr>
          <w:rStyle w:val="normaltextrun"/>
          <w:rFonts w:ascii="Arial" w:eastAsiaTheme="majorEastAsia" w:hAnsi="Arial" w:cs="Arial"/>
          <w:spacing w:val="6"/>
        </w:rPr>
        <w:t>Colpensiones, encaminad</w:t>
      </w:r>
      <w:r w:rsidR="005E0705" w:rsidRPr="002B3E14">
        <w:rPr>
          <w:rStyle w:val="normaltextrun"/>
          <w:rFonts w:ascii="Arial" w:eastAsiaTheme="majorEastAsia" w:hAnsi="Arial" w:cs="Arial"/>
          <w:spacing w:val="6"/>
        </w:rPr>
        <w:t>a</w:t>
      </w:r>
      <w:r w:rsidRPr="002B3E14">
        <w:rPr>
          <w:rStyle w:val="normaltextrun"/>
          <w:rFonts w:ascii="Arial" w:eastAsiaTheme="majorEastAsia" w:hAnsi="Arial" w:cs="Arial"/>
          <w:spacing w:val="6"/>
        </w:rPr>
        <w:t xml:space="preserve"> a que se le haga partícipe de las costas procesales que le fueron impuestas a la AFP </w:t>
      </w:r>
      <w:r w:rsidR="0040186B" w:rsidRPr="002B3E14">
        <w:rPr>
          <w:rStyle w:val="normaltextrun"/>
          <w:rFonts w:ascii="Arial" w:eastAsiaTheme="majorEastAsia" w:hAnsi="Arial" w:cs="Arial"/>
          <w:spacing w:val="6"/>
        </w:rPr>
        <w:t>Colfondos</w:t>
      </w:r>
      <w:r w:rsidRPr="002B3E14">
        <w:rPr>
          <w:rStyle w:val="normaltextrun"/>
          <w:rFonts w:ascii="Arial" w:eastAsiaTheme="majorEastAsia" w:hAnsi="Arial" w:cs="Arial"/>
          <w:spacing w:val="6"/>
        </w:rPr>
        <w:t xml:space="preserve"> S.A., </w:t>
      </w:r>
      <w:r w:rsidR="0040186B" w:rsidRPr="002B3E14">
        <w:rPr>
          <w:rStyle w:val="normaltextrun"/>
          <w:rFonts w:ascii="Arial" w:eastAsiaTheme="majorEastAsia" w:hAnsi="Arial" w:cs="Arial"/>
          <w:spacing w:val="6"/>
        </w:rPr>
        <w:t>en razón a que</w:t>
      </w:r>
      <w:r w:rsidR="005E0705" w:rsidRPr="002B3E14">
        <w:rPr>
          <w:rStyle w:val="normaltextrun"/>
          <w:rFonts w:ascii="Arial" w:eastAsiaTheme="majorEastAsia" w:hAnsi="Arial" w:cs="Arial"/>
          <w:spacing w:val="6"/>
        </w:rPr>
        <w:t xml:space="preserve"> </w:t>
      </w:r>
      <w:r w:rsidR="0040186B" w:rsidRPr="002B3E14">
        <w:rPr>
          <w:rStyle w:val="normaltextrun"/>
          <w:rFonts w:ascii="Arial" w:eastAsiaTheme="majorEastAsia" w:hAnsi="Arial" w:cs="Arial"/>
          <w:spacing w:val="6"/>
        </w:rPr>
        <w:t xml:space="preserve">quedó </w:t>
      </w:r>
      <w:r w:rsidRPr="002B3E14">
        <w:rPr>
          <w:rStyle w:val="normaltextrun"/>
          <w:rFonts w:ascii="Arial" w:eastAsiaTheme="majorEastAsia" w:hAnsi="Arial" w:cs="Arial"/>
          <w:spacing w:val="6"/>
        </w:rPr>
        <w:t>obligada a asumir cualquier tipo de prestación económica</w:t>
      </w:r>
      <w:r w:rsidR="005E0705" w:rsidRPr="002B3E14">
        <w:rPr>
          <w:rStyle w:val="normaltextrun"/>
          <w:rFonts w:ascii="Arial" w:eastAsiaTheme="majorEastAsia" w:hAnsi="Arial" w:cs="Arial"/>
          <w:spacing w:val="6"/>
        </w:rPr>
        <w:t xml:space="preserve"> que surja en </w:t>
      </w:r>
      <w:r w:rsidRPr="002B3E14">
        <w:rPr>
          <w:rStyle w:val="normaltextrun"/>
          <w:rFonts w:ascii="Arial" w:eastAsiaTheme="majorEastAsia" w:hAnsi="Arial" w:cs="Arial"/>
          <w:spacing w:val="6"/>
        </w:rPr>
        <w:t xml:space="preserve"> favor de la demandante, la Sala dirá que tal solicitud es improcedente </w:t>
      </w:r>
      <w:r w:rsidR="0040186B" w:rsidRPr="002B3E14">
        <w:rPr>
          <w:rStyle w:val="normaltextrun"/>
          <w:rFonts w:ascii="Arial" w:eastAsiaTheme="majorEastAsia" w:hAnsi="Arial" w:cs="Arial"/>
          <w:spacing w:val="6"/>
        </w:rPr>
        <w:t>en la medida en</w:t>
      </w:r>
      <w:r w:rsidRPr="002B3E14">
        <w:rPr>
          <w:rStyle w:val="normaltextrun"/>
          <w:rFonts w:ascii="Arial" w:eastAsiaTheme="majorEastAsia" w:hAnsi="Arial" w:cs="Arial"/>
          <w:spacing w:val="6"/>
        </w:rPr>
        <w:t xml:space="preserve"> que las costas procesales constituyen una erogación económica en la </w:t>
      </w:r>
      <w:r w:rsidR="005E0705" w:rsidRPr="002B3E14">
        <w:rPr>
          <w:rStyle w:val="normaltextrun"/>
          <w:rFonts w:ascii="Arial" w:eastAsiaTheme="majorEastAsia" w:hAnsi="Arial" w:cs="Arial"/>
          <w:spacing w:val="6"/>
        </w:rPr>
        <w:t xml:space="preserve">que incurre la parte </w:t>
      </w:r>
      <w:r w:rsidRPr="002B3E14">
        <w:rPr>
          <w:rStyle w:val="normaltextrun"/>
          <w:rFonts w:ascii="Arial" w:eastAsiaTheme="majorEastAsia" w:hAnsi="Arial" w:cs="Arial"/>
          <w:spacing w:val="6"/>
        </w:rPr>
        <w:t>a lo largo del proceso</w:t>
      </w:r>
      <w:r w:rsidR="005E0705" w:rsidRPr="002B3E14">
        <w:rPr>
          <w:rStyle w:val="normaltextrun"/>
          <w:rFonts w:ascii="Arial" w:eastAsiaTheme="majorEastAsia" w:hAnsi="Arial" w:cs="Arial"/>
          <w:spacing w:val="6"/>
        </w:rPr>
        <w:t xml:space="preserve">, </w:t>
      </w:r>
      <w:r w:rsidRPr="002B3E14">
        <w:rPr>
          <w:rStyle w:val="normaltextrun"/>
          <w:rFonts w:ascii="Arial" w:eastAsiaTheme="majorEastAsia" w:hAnsi="Arial" w:cs="Arial"/>
          <w:spacing w:val="6"/>
        </w:rPr>
        <w:t>en aras de sacar avante la posición que detenta en el juicio</w:t>
      </w:r>
      <w:r w:rsidR="005E0705" w:rsidRPr="002B3E14">
        <w:rPr>
          <w:rStyle w:val="normaltextrun"/>
          <w:rFonts w:ascii="Arial" w:eastAsiaTheme="majorEastAsia" w:hAnsi="Arial" w:cs="Arial"/>
          <w:spacing w:val="6"/>
        </w:rPr>
        <w:t xml:space="preserve">; </w:t>
      </w:r>
      <w:r w:rsidRPr="002B3E14">
        <w:rPr>
          <w:rStyle w:val="normaltextrun"/>
          <w:rFonts w:ascii="Arial" w:eastAsiaTheme="majorEastAsia" w:hAnsi="Arial" w:cs="Arial"/>
          <w:spacing w:val="6"/>
        </w:rPr>
        <w:t>y en el presente asunto, desde el inicio del proceso, la posición asumida por Colpensiones fue oponerse a la totalidad de las pretensiones de la gestora de la Litis, arguyendo fundamentalmente que el acto jurídico por medio del cual esta se trasladó al RAIS se hizo conforme a derecho.</w:t>
      </w:r>
    </w:p>
    <w:p w14:paraId="160F6B91" w14:textId="77777777" w:rsidR="0076033F" w:rsidRPr="002B3E14" w:rsidRDefault="0076033F" w:rsidP="002B3E14">
      <w:pPr>
        <w:pStyle w:val="paragraph"/>
        <w:shd w:val="clear" w:color="auto" w:fill="FFFFFF"/>
        <w:spacing w:before="0" w:beforeAutospacing="0" w:after="0" w:afterAutospacing="0" w:line="276" w:lineRule="auto"/>
        <w:jc w:val="both"/>
        <w:textAlignment w:val="baseline"/>
        <w:rPr>
          <w:rStyle w:val="normaltextrun"/>
          <w:rFonts w:ascii="Arial" w:eastAsiaTheme="majorEastAsia" w:hAnsi="Arial" w:cs="Arial"/>
          <w:spacing w:val="6"/>
        </w:rPr>
      </w:pPr>
    </w:p>
    <w:p w14:paraId="10181552" w14:textId="35B206C8" w:rsidR="0076033F" w:rsidRPr="002B3E14" w:rsidRDefault="0076033F" w:rsidP="002B3E14">
      <w:pPr>
        <w:pStyle w:val="paragraph"/>
        <w:shd w:val="clear" w:color="auto" w:fill="FFFFFF"/>
        <w:spacing w:before="0" w:beforeAutospacing="0" w:after="0" w:afterAutospacing="0" w:line="276" w:lineRule="auto"/>
        <w:ind w:firstLine="708"/>
        <w:jc w:val="both"/>
        <w:textAlignment w:val="baseline"/>
        <w:rPr>
          <w:rFonts w:ascii="Arial" w:eastAsiaTheme="majorEastAsia" w:hAnsi="Arial" w:cs="Arial"/>
          <w:spacing w:val="6"/>
        </w:rPr>
      </w:pPr>
      <w:r w:rsidRPr="002B3E14">
        <w:rPr>
          <w:rStyle w:val="normaltextrun"/>
          <w:rFonts w:ascii="Arial" w:eastAsiaTheme="majorEastAsia" w:hAnsi="Arial" w:cs="Arial"/>
          <w:spacing w:val="6"/>
        </w:rPr>
        <w:t xml:space="preserve">Luego entonces, es precisamente esa conducta procesal la que impide que a su favor se generen costas, máxime que a pesar de haber resultado vencida en juicio, en los términos del artículo 365 del Código Procesal de Trabajo, la primera instancia se abstuvo de condenarla en costas debido a la apreciación </w:t>
      </w:r>
      <w:r w:rsidR="005E0705" w:rsidRPr="002B3E14">
        <w:rPr>
          <w:rStyle w:val="normaltextrun"/>
          <w:rFonts w:ascii="Arial" w:eastAsiaTheme="majorEastAsia" w:hAnsi="Arial" w:cs="Arial"/>
          <w:spacing w:val="6"/>
        </w:rPr>
        <w:t xml:space="preserve">que </w:t>
      </w:r>
      <w:r w:rsidRPr="002B3E14">
        <w:rPr>
          <w:rStyle w:val="normaltextrun"/>
          <w:rFonts w:ascii="Arial" w:eastAsiaTheme="majorEastAsia" w:hAnsi="Arial" w:cs="Arial"/>
          <w:spacing w:val="6"/>
        </w:rPr>
        <w:t>comparte esta Sala, según la cual l</w:t>
      </w:r>
      <w:r w:rsidR="005701C6" w:rsidRPr="002B3E14">
        <w:rPr>
          <w:rStyle w:val="normaltextrun"/>
          <w:rFonts w:ascii="Arial" w:eastAsiaTheme="majorEastAsia" w:hAnsi="Arial" w:cs="Arial"/>
          <w:spacing w:val="6"/>
        </w:rPr>
        <w:t>os efectos adversos de l</w:t>
      </w:r>
      <w:r w:rsidRPr="002B3E14">
        <w:rPr>
          <w:rStyle w:val="normaltextrun"/>
          <w:rFonts w:ascii="Arial" w:eastAsiaTheme="majorEastAsia" w:hAnsi="Arial" w:cs="Arial"/>
          <w:spacing w:val="6"/>
        </w:rPr>
        <w:t>a declaratoria de ineficacia no puede</w:t>
      </w:r>
      <w:r w:rsidR="005701C6" w:rsidRPr="002B3E14">
        <w:rPr>
          <w:rStyle w:val="normaltextrun"/>
          <w:rFonts w:ascii="Arial" w:eastAsiaTheme="majorEastAsia" w:hAnsi="Arial" w:cs="Arial"/>
          <w:spacing w:val="6"/>
        </w:rPr>
        <w:t>n</w:t>
      </w:r>
      <w:r w:rsidRPr="002B3E14">
        <w:rPr>
          <w:rStyle w:val="normaltextrun"/>
          <w:rFonts w:ascii="Arial" w:eastAsiaTheme="majorEastAsia" w:hAnsi="Arial" w:cs="Arial"/>
          <w:spacing w:val="6"/>
        </w:rPr>
        <w:t xml:space="preserve"> ser extendid</w:t>
      </w:r>
      <w:r w:rsidR="005701C6" w:rsidRPr="002B3E14">
        <w:rPr>
          <w:rStyle w:val="normaltextrun"/>
          <w:rFonts w:ascii="Arial" w:eastAsiaTheme="majorEastAsia" w:hAnsi="Arial" w:cs="Arial"/>
          <w:spacing w:val="6"/>
        </w:rPr>
        <w:t>os</w:t>
      </w:r>
      <w:r w:rsidRPr="002B3E14">
        <w:rPr>
          <w:rStyle w:val="normaltextrun"/>
          <w:rFonts w:ascii="Arial" w:eastAsiaTheme="majorEastAsia" w:hAnsi="Arial" w:cs="Arial"/>
          <w:spacing w:val="6"/>
        </w:rPr>
        <w:t xml:space="preserve"> a terceros,  siendo ese precisamente el motivo por el cual se ordenó al fondo privado accionado, devolver</w:t>
      </w:r>
      <w:r w:rsidR="005E0705" w:rsidRPr="002B3E14">
        <w:rPr>
          <w:rStyle w:val="normaltextrun"/>
          <w:rFonts w:ascii="Arial" w:eastAsiaTheme="majorEastAsia" w:hAnsi="Arial" w:cs="Arial"/>
          <w:spacing w:val="6"/>
        </w:rPr>
        <w:t xml:space="preserve">le a Colpensiones como administradora del </w:t>
      </w:r>
      <w:r w:rsidRPr="002B3E14">
        <w:rPr>
          <w:rStyle w:val="normaltextrun"/>
          <w:rFonts w:ascii="Arial" w:eastAsiaTheme="majorEastAsia" w:hAnsi="Arial" w:cs="Arial"/>
          <w:spacing w:val="6"/>
        </w:rPr>
        <w:t xml:space="preserve">régimen de prima media </w:t>
      </w:r>
      <w:r w:rsidR="005E0705" w:rsidRPr="002B3E14">
        <w:rPr>
          <w:rStyle w:val="normaltextrun"/>
          <w:rFonts w:ascii="Arial" w:eastAsiaTheme="majorEastAsia" w:hAnsi="Arial" w:cs="Arial"/>
          <w:spacing w:val="6"/>
        </w:rPr>
        <w:t>con prestación definida, t</w:t>
      </w:r>
      <w:r w:rsidRPr="002B3E14">
        <w:rPr>
          <w:rStyle w:val="normaltextrun"/>
          <w:rFonts w:ascii="Arial" w:eastAsiaTheme="majorEastAsia" w:hAnsi="Arial" w:cs="Arial"/>
          <w:spacing w:val="6"/>
        </w:rPr>
        <w:t xml:space="preserve">odos los rubros derivados de la afiliación de la actora, a efectos de </w:t>
      </w:r>
      <w:r w:rsidR="005E0705" w:rsidRPr="002B3E14">
        <w:rPr>
          <w:rStyle w:val="normaltextrun"/>
          <w:rFonts w:ascii="Arial" w:eastAsiaTheme="majorEastAsia" w:hAnsi="Arial" w:cs="Arial"/>
          <w:spacing w:val="6"/>
        </w:rPr>
        <w:t xml:space="preserve">que </w:t>
      </w:r>
      <w:r w:rsidRPr="002B3E14">
        <w:rPr>
          <w:rStyle w:val="normaltextrun"/>
          <w:rFonts w:ascii="Arial" w:eastAsiaTheme="majorEastAsia" w:hAnsi="Arial" w:cs="Arial"/>
          <w:spacing w:val="6"/>
        </w:rPr>
        <w:t>pueda responder por el financiamiento de cualquier prestación que a futuro se genere</w:t>
      </w:r>
      <w:r w:rsidR="005E0705" w:rsidRPr="002B3E14">
        <w:rPr>
          <w:rStyle w:val="normaltextrun"/>
          <w:rFonts w:ascii="Arial" w:eastAsiaTheme="majorEastAsia" w:hAnsi="Arial" w:cs="Arial"/>
          <w:spacing w:val="6"/>
        </w:rPr>
        <w:t>, a partir del momento en que le sean trasladados todos los recursos</w:t>
      </w:r>
      <w:r w:rsidRPr="002B3E14">
        <w:rPr>
          <w:rStyle w:val="normaltextrun"/>
          <w:rFonts w:ascii="Arial" w:eastAsiaTheme="majorEastAsia" w:hAnsi="Arial" w:cs="Arial"/>
          <w:spacing w:val="6"/>
        </w:rPr>
        <w:t>.</w:t>
      </w:r>
      <w:r w:rsidR="005E0705" w:rsidRPr="002B3E14">
        <w:rPr>
          <w:rStyle w:val="normaltextrun"/>
          <w:rFonts w:ascii="Arial" w:eastAsiaTheme="majorEastAsia" w:hAnsi="Arial" w:cs="Arial"/>
          <w:spacing w:val="6"/>
        </w:rPr>
        <w:t xml:space="preserve"> </w:t>
      </w:r>
      <w:r w:rsidRPr="002B3E14">
        <w:rPr>
          <w:rStyle w:val="normaltextrun"/>
          <w:rFonts w:ascii="Arial" w:eastAsiaTheme="majorEastAsia" w:hAnsi="Arial" w:cs="Arial"/>
          <w:spacing w:val="6"/>
        </w:rPr>
        <w:t xml:space="preserve">Por </w:t>
      </w:r>
      <w:r w:rsidR="005E0705" w:rsidRPr="002B3E14">
        <w:rPr>
          <w:rStyle w:val="normaltextrun"/>
          <w:rFonts w:ascii="Arial" w:eastAsiaTheme="majorEastAsia" w:hAnsi="Arial" w:cs="Arial"/>
          <w:spacing w:val="6"/>
        </w:rPr>
        <w:t>ende</w:t>
      </w:r>
      <w:r w:rsidRPr="002B3E14">
        <w:rPr>
          <w:rStyle w:val="normaltextrun"/>
          <w:rFonts w:ascii="Arial" w:eastAsiaTheme="majorEastAsia" w:hAnsi="Arial" w:cs="Arial"/>
          <w:spacing w:val="6"/>
        </w:rPr>
        <w:t xml:space="preserve">, no prospera </w:t>
      </w:r>
      <w:r w:rsidR="005E0705" w:rsidRPr="002B3E14">
        <w:rPr>
          <w:rStyle w:val="normaltextrun"/>
          <w:rFonts w:ascii="Arial" w:eastAsiaTheme="majorEastAsia" w:hAnsi="Arial" w:cs="Arial"/>
          <w:spacing w:val="6"/>
        </w:rPr>
        <w:t xml:space="preserve">la apelación interpuesta </w:t>
      </w:r>
      <w:r w:rsidRPr="002B3E14">
        <w:rPr>
          <w:rStyle w:val="normaltextrun"/>
          <w:rFonts w:ascii="Arial" w:eastAsiaTheme="majorEastAsia" w:hAnsi="Arial" w:cs="Arial"/>
          <w:spacing w:val="6"/>
        </w:rPr>
        <w:t xml:space="preserve">por Colpensiones.  </w:t>
      </w:r>
    </w:p>
    <w:p w14:paraId="1E98AB40" w14:textId="77777777" w:rsidR="0076033F" w:rsidRPr="002B3E14" w:rsidRDefault="0076033F" w:rsidP="002B3E14">
      <w:pPr>
        <w:spacing w:line="276" w:lineRule="auto"/>
        <w:jc w:val="both"/>
        <w:rPr>
          <w:rFonts w:ascii="Arial" w:hAnsi="Arial" w:cs="Arial"/>
          <w:spacing w:val="6"/>
          <w:szCs w:val="24"/>
        </w:rPr>
      </w:pPr>
    </w:p>
    <w:p w14:paraId="7883247D" w14:textId="5B8CB560" w:rsidR="00AE5132" w:rsidRPr="002B3E14" w:rsidRDefault="00AE5132" w:rsidP="002B3E14">
      <w:pPr>
        <w:shd w:val="clear" w:color="auto" w:fill="FFFFFF" w:themeFill="background1"/>
        <w:spacing w:line="276" w:lineRule="auto"/>
        <w:ind w:firstLine="708"/>
        <w:jc w:val="both"/>
        <w:rPr>
          <w:rFonts w:ascii="Arial" w:hAnsi="Arial" w:cs="Arial"/>
          <w:spacing w:val="6"/>
          <w:szCs w:val="24"/>
        </w:rPr>
      </w:pPr>
      <w:r w:rsidRPr="002B3E14">
        <w:rPr>
          <w:rFonts w:ascii="Arial" w:hAnsi="Arial" w:cs="Arial"/>
          <w:spacing w:val="6"/>
          <w:szCs w:val="24"/>
        </w:rPr>
        <w:t>Con lo anterior, queda</w:t>
      </w:r>
      <w:r w:rsidR="0040186B" w:rsidRPr="002B3E14">
        <w:rPr>
          <w:rFonts w:ascii="Arial" w:hAnsi="Arial" w:cs="Arial"/>
          <w:spacing w:val="6"/>
          <w:szCs w:val="24"/>
        </w:rPr>
        <w:t xml:space="preserve">n resueltos en su integridad los puntos de inconformidad propuestos, </w:t>
      </w:r>
      <w:r w:rsidRPr="002B3E14">
        <w:rPr>
          <w:rFonts w:ascii="Arial" w:hAnsi="Arial" w:cs="Arial"/>
          <w:spacing w:val="6"/>
          <w:szCs w:val="24"/>
        </w:rPr>
        <w:t>así como el grado jurisdiccional de consulta.</w:t>
      </w:r>
    </w:p>
    <w:p w14:paraId="5A1BCD83" w14:textId="77777777" w:rsidR="00AE5132" w:rsidRPr="002B3E14" w:rsidRDefault="00AE5132" w:rsidP="002B3E14">
      <w:pPr>
        <w:shd w:val="clear" w:color="auto" w:fill="FFFFFF" w:themeFill="background1"/>
        <w:spacing w:line="276" w:lineRule="auto"/>
        <w:ind w:firstLine="708"/>
        <w:jc w:val="both"/>
        <w:rPr>
          <w:rFonts w:ascii="Arial" w:hAnsi="Arial" w:cs="Arial"/>
          <w:spacing w:val="6"/>
          <w:szCs w:val="24"/>
        </w:rPr>
      </w:pPr>
    </w:p>
    <w:p w14:paraId="77A80F66" w14:textId="4B50C462" w:rsidR="00AE5132" w:rsidRPr="002B3E14" w:rsidRDefault="00AE5132" w:rsidP="002B3E14">
      <w:pPr>
        <w:pStyle w:val="Textoindependiente31"/>
        <w:spacing w:line="276" w:lineRule="auto"/>
        <w:ind w:firstLine="708"/>
        <w:rPr>
          <w:rFonts w:cs="Arial"/>
          <w:spacing w:val="6"/>
          <w:sz w:val="24"/>
          <w:szCs w:val="24"/>
        </w:rPr>
      </w:pPr>
      <w:r w:rsidRPr="002B3E14">
        <w:rPr>
          <w:rFonts w:cs="Arial"/>
          <w:spacing w:val="6"/>
          <w:sz w:val="24"/>
          <w:szCs w:val="24"/>
        </w:rPr>
        <w:t>Costas en esta instancia a cargo de la AFP Protección S.A.</w:t>
      </w:r>
      <w:r w:rsidR="0040186B" w:rsidRPr="002B3E14">
        <w:rPr>
          <w:rFonts w:cs="Arial"/>
          <w:spacing w:val="6"/>
          <w:sz w:val="24"/>
          <w:szCs w:val="24"/>
        </w:rPr>
        <w:t xml:space="preserve"> y</w:t>
      </w:r>
      <w:r w:rsidRPr="002B3E14">
        <w:rPr>
          <w:rFonts w:cs="Arial"/>
          <w:spacing w:val="6"/>
          <w:sz w:val="24"/>
          <w:szCs w:val="24"/>
        </w:rPr>
        <w:t xml:space="preserve"> en favor de la parte activa</w:t>
      </w:r>
      <w:r w:rsidR="0040186B" w:rsidRPr="002B3E14">
        <w:rPr>
          <w:rFonts w:cs="Arial"/>
          <w:spacing w:val="6"/>
          <w:sz w:val="24"/>
          <w:szCs w:val="24"/>
        </w:rPr>
        <w:t>.</w:t>
      </w:r>
    </w:p>
    <w:p w14:paraId="0563C314" w14:textId="77777777" w:rsidR="00AE5132" w:rsidRPr="002B3E14" w:rsidRDefault="00AE5132" w:rsidP="002B3E14">
      <w:pPr>
        <w:pStyle w:val="Sinespaciado"/>
        <w:spacing w:line="276" w:lineRule="auto"/>
        <w:rPr>
          <w:rFonts w:ascii="Arial" w:hAnsi="Arial" w:cs="Arial"/>
          <w:spacing w:val="6"/>
          <w:szCs w:val="24"/>
        </w:rPr>
      </w:pPr>
    </w:p>
    <w:p w14:paraId="5F3F9607" w14:textId="77777777" w:rsidR="00AE5132" w:rsidRPr="002B3E14" w:rsidRDefault="00AE5132" w:rsidP="002B3E14">
      <w:pPr>
        <w:spacing w:line="276" w:lineRule="auto"/>
        <w:ind w:firstLine="567"/>
        <w:jc w:val="both"/>
        <w:rPr>
          <w:rFonts w:ascii="Arial" w:hAnsi="Arial" w:cs="Arial"/>
          <w:spacing w:val="6"/>
          <w:szCs w:val="24"/>
        </w:rPr>
      </w:pPr>
    </w:p>
    <w:p w14:paraId="256B7A7D" w14:textId="77777777" w:rsidR="00AE5132" w:rsidRPr="002B3E14" w:rsidRDefault="00AE5132" w:rsidP="002B3E14">
      <w:pPr>
        <w:pStyle w:val="Textoindependiente31"/>
        <w:numPr>
          <w:ilvl w:val="0"/>
          <w:numId w:val="1"/>
        </w:numPr>
        <w:spacing w:line="276" w:lineRule="auto"/>
        <w:rPr>
          <w:rFonts w:cs="Arial"/>
          <w:b/>
          <w:bCs/>
          <w:spacing w:val="6"/>
          <w:sz w:val="24"/>
          <w:szCs w:val="24"/>
        </w:rPr>
      </w:pPr>
      <w:r w:rsidRPr="002B3E14">
        <w:rPr>
          <w:rFonts w:cs="Arial"/>
          <w:b/>
          <w:bCs/>
          <w:spacing w:val="6"/>
          <w:sz w:val="24"/>
          <w:szCs w:val="24"/>
        </w:rPr>
        <w:t>DECISIÓN</w:t>
      </w:r>
    </w:p>
    <w:p w14:paraId="2746CF20" w14:textId="77777777" w:rsidR="00AE5132" w:rsidRPr="002B3E14" w:rsidRDefault="00AE5132" w:rsidP="002B3E14">
      <w:pPr>
        <w:pStyle w:val="Sinespaciado"/>
        <w:spacing w:line="276" w:lineRule="auto"/>
        <w:rPr>
          <w:rFonts w:ascii="Arial" w:hAnsi="Arial" w:cs="Arial"/>
          <w:spacing w:val="6"/>
          <w:szCs w:val="24"/>
        </w:rPr>
      </w:pPr>
    </w:p>
    <w:p w14:paraId="3F60F776" w14:textId="139AF0B1" w:rsidR="000C31BE" w:rsidRPr="002B3E14" w:rsidRDefault="00AE5132" w:rsidP="002B3E14">
      <w:pPr>
        <w:pStyle w:val="Textoindependiente31"/>
        <w:spacing w:line="276" w:lineRule="auto"/>
        <w:ind w:firstLine="708"/>
        <w:rPr>
          <w:rFonts w:cs="Arial"/>
          <w:spacing w:val="6"/>
          <w:sz w:val="24"/>
          <w:szCs w:val="24"/>
        </w:rPr>
      </w:pPr>
      <w:r w:rsidRPr="002B3E14">
        <w:rPr>
          <w:rFonts w:cs="Arial"/>
          <w:spacing w:val="6"/>
          <w:sz w:val="24"/>
          <w:szCs w:val="24"/>
        </w:rPr>
        <w:t>En mérito de lo expuesto, el Tribunal Superior del Distrito Judicial de Pereira - Risaralda, Sala Cuarta de Decisión Laboral, administrando justicia en nombre de la República y por autoridad de la ley,</w:t>
      </w:r>
    </w:p>
    <w:p w14:paraId="3A106369" w14:textId="21C273F6" w:rsidR="00C923FD" w:rsidRPr="002B3E14" w:rsidRDefault="00C923FD" w:rsidP="002B3E14">
      <w:pPr>
        <w:pStyle w:val="Textoindependiente31"/>
        <w:spacing w:line="276" w:lineRule="auto"/>
        <w:ind w:firstLine="708"/>
        <w:rPr>
          <w:rFonts w:cs="Arial"/>
          <w:spacing w:val="6"/>
          <w:sz w:val="24"/>
          <w:szCs w:val="24"/>
        </w:rPr>
      </w:pPr>
    </w:p>
    <w:p w14:paraId="69F2F521" w14:textId="77777777" w:rsidR="00AE5132" w:rsidRPr="002B3E14" w:rsidRDefault="00AE5132" w:rsidP="002B3E14">
      <w:pPr>
        <w:pStyle w:val="Sinespaciado"/>
        <w:tabs>
          <w:tab w:val="left" w:pos="3143"/>
        </w:tabs>
        <w:spacing w:line="276" w:lineRule="auto"/>
        <w:jc w:val="center"/>
        <w:rPr>
          <w:rFonts w:ascii="Arial" w:hAnsi="Arial" w:cs="Arial"/>
          <w:b/>
          <w:bCs/>
          <w:spacing w:val="6"/>
          <w:szCs w:val="24"/>
        </w:rPr>
      </w:pPr>
      <w:r w:rsidRPr="002B3E14">
        <w:rPr>
          <w:rFonts w:ascii="Arial" w:hAnsi="Arial" w:cs="Arial"/>
          <w:b/>
          <w:bCs/>
          <w:spacing w:val="6"/>
          <w:szCs w:val="24"/>
        </w:rPr>
        <w:t>RESUELVE:</w:t>
      </w:r>
    </w:p>
    <w:p w14:paraId="71CCCBA1" w14:textId="77777777" w:rsidR="00AE5132" w:rsidRPr="002B3E14" w:rsidRDefault="00AE5132" w:rsidP="002B3E14">
      <w:pPr>
        <w:pStyle w:val="Sinespaciado"/>
        <w:spacing w:line="276" w:lineRule="auto"/>
        <w:rPr>
          <w:rFonts w:ascii="Arial" w:hAnsi="Arial" w:cs="Arial"/>
          <w:szCs w:val="24"/>
        </w:rPr>
      </w:pPr>
      <w:bookmarkStart w:id="1" w:name="_GoBack"/>
      <w:bookmarkEnd w:id="1"/>
    </w:p>
    <w:p w14:paraId="58ACCE4E" w14:textId="068BB940" w:rsidR="00AE5132" w:rsidRPr="002B3E14" w:rsidRDefault="00AE5132" w:rsidP="002B3E14">
      <w:pPr>
        <w:spacing w:line="276" w:lineRule="auto"/>
        <w:jc w:val="both"/>
        <w:rPr>
          <w:rFonts w:ascii="Arial" w:hAnsi="Arial" w:cs="Arial"/>
          <w:spacing w:val="6"/>
          <w:szCs w:val="24"/>
        </w:rPr>
      </w:pPr>
      <w:r w:rsidRPr="002B3E14">
        <w:rPr>
          <w:rFonts w:ascii="Arial" w:hAnsi="Arial" w:cs="Arial"/>
          <w:b/>
          <w:bCs/>
          <w:spacing w:val="6"/>
          <w:szCs w:val="24"/>
        </w:rPr>
        <w:lastRenderedPageBreak/>
        <w:t xml:space="preserve">PRIMERO: </w:t>
      </w:r>
      <w:r w:rsidRPr="002B3E14">
        <w:rPr>
          <w:rFonts w:ascii="Arial" w:hAnsi="Arial" w:cs="Arial"/>
          <w:b/>
          <w:bCs/>
          <w:spacing w:val="6"/>
          <w:szCs w:val="24"/>
        </w:rPr>
        <w:tab/>
        <w:t>MODIFICAR</w:t>
      </w:r>
      <w:r w:rsidRPr="002B3E14">
        <w:rPr>
          <w:rFonts w:ascii="Arial" w:hAnsi="Arial" w:cs="Arial"/>
          <w:spacing w:val="6"/>
          <w:szCs w:val="24"/>
        </w:rPr>
        <w:t xml:space="preserve">  el ordinal 2º de la sentencia proferida el </w:t>
      </w:r>
      <w:r w:rsidR="005E0705" w:rsidRPr="002B3E14">
        <w:rPr>
          <w:rFonts w:ascii="Arial" w:hAnsi="Arial" w:cs="Arial"/>
          <w:spacing w:val="6"/>
          <w:szCs w:val="24"/>
        </w:rPr>
        <w:t xml:space="preserve">26 de septiembre de </w:t>
      </w:r>
      <w:r w:rsidRPr="002B3E14">
        <w:rPr>
          <w:rFonts w:ascii="Arial" w:hAnsi="Arial" w:cs="Arial"/>
          <w:spacing w:val="6"/>
          <w:szCs w:val="24"/>
        </w:rPr>
        <w:t xml:space="preserve">2019 por el Juzgado Cuarto Laboral del Circuito de esta ciudad, dentro del proceso de la referencia, en el sentido de </w:t>
      </w:r>
      <w:r w:rsidRPr="002B3E14">
        <w:rPr>
          <w:rFonts w:ascii="Arial" w:hAnsi="Arial" w:cs="Arial"/>
          <w:b/>
          <w:bCs/>
          <w:spacing w:val="6"/>
          <w:szCs w:val="24"/>
        </w:rPr>
        <w:t>ORDENAR A LA A.F.P PROTECCIÓN S.A.,</w:t>
      </w:r>
      <w:r w:rsidRPr="002B3E14">
        <w:rPr>
          <w:rFonts w:ascii="Arial" w:hAnsi="Arial" w:cs="Arial"/>
          <w:spacing w:val="6"/>
          <w:szCs w:val="24"/>
        </w:rPr>
        <w:t xml:space="preserve"> trasladar con destino a </w:t>
      </w:r>
      <w:r w:rsidRPr="002B3E14">
        <w:rPr>
          <w:rFonts w:ascii="Arial" w:hAnsi="Arial" w:cs="Arial"/>
          <w:b/>
          <w:bCs/>
          <w:spacing w:val="6"/>
          <w:szCs w:val="24"/>
        </w:rPr>
        <w:t>COLPENSIONES</w:t>
      </w:r>
      <w:r w:rsidRPr="002B3E14">
        <w:rPr>
          <w:rFonts w:ascii="Arial" w:hAnsi="Arial" w:cs="Arial"/>
          <w:spacing w:val="6"/>
          <w:szCs w:val="24"/>
        </w:rPr>
        <w:t xml:space="preserve">  además de la totalidad del capital acumulado en la cuenta de ahorro individual de la demandante, junto con sus respectivos rendimientos, bonos pensionales, saldos, frutos, intereses, gastos de administración </w:t>
      </w:r>
      <w:r w:rsidRPr="002B3E14">
        <w:rPr>
          <w:rFonts w:ascii="Arial" w:eastAsia="Arial Narrow" w:hAnsi="Arial" w:cs="Arial"/>
          <w:spacing w:val="6"/>
          <w:szCs w:val="24"/>
          <w:lang w:val="es-ES"/>
        </w:rPr>
        <w:t xml:space="preserve">(incluyendo lo correspondiente a seguros previsionales y otros), las sumas que retuvo para el fondo de garantía de pensión mínima </w:t>
      </w:r>
      <w:r w:rsidRPr="002B3E14">
        <w:rPr>
          <w:rFonts w:ascii="Arial" w:hAnsi="Arial" w:cs="Arial"/>
          <w:spacing w:val="6"/>
          <w:szCs w:val="24"/>
        </w:rPr>
        <w:t xml:space="preserve">y las comisiones cobradas con cargo a sus propios recursos, y debidamente indexados, con destino a la Administradora Colombiana de Pensiones Colpensiones.  </w:t>
      </w:r>
    </w:p>
    <w:p w14:paraId="7873790C" w14:textId="77777777" w:rsidR="00AE5132" w:rsidRPr="002B3E14" w:rsidRDefault="00AE5132" w:rsidP="002B3E14">
      <w:pPr>
        <w:tabs>
          <w:tab w:val="left" w:pos="709"/>
        </w:tabs>
        <w:spacing w:line="276" w:lineRule="auto"/>
        <w:jc w:val="both"/>
        <w:rPr>
          <w:rFonts w:ascii="Arial" w:hAnsi="Arial" w:cs="Arial"/>
          <w:spacing w:val="6"/>
          <w:szCs w:val="24"/>
        </w:rPr>
      </w:pPr>
    </w:p>
    <w:p w14:paraId="0F483392" w14:textId="334238CD" w:rsidR="005E0705" w:rsidRPr="002B3E14" w:rsidRDefault="005E0705" w:rsidP="002B3E14">
      <w:pPr>
        <w:spacing w:line="276" w:lineRule="auto"/>
        <w:jc w:val="both"/>
        <w:rPr>
          <w:rFonts w:ascii="Arial" w:hAnsi="Arial" w:cs="Arial"/>
          <w:spacing w:val="6"/>
          <w:szCs w:val="24"/>
          <w:shd w:val="clear" w:color="auto" w:fill="FFFFFF"/>
        </w:rPr>
      </w:pPr>
      <w:r w:rsidRPr="002B3E14">
        <w:rPr>
          <w:rFonts w:ascii="Arial" w:hAnsi="Arial" w:cs="Arial"/>
          <w:b/>
          <w:bCs/>
          <w:spacing w:val="6"/>
          <w:szCs w:val="24"/>
        </w:rPr>
        <w:t xml:space="preserve">SEGUNDO: ADICIONAR </w:t>
      </w:r>
      <w:r w:rsidRPr="002B3E14">
        <w:rPr>
          <w:rFonts w:ascii="Arial" w:hAnsi="Arial" w:cs="Arial"/>
          <w:spacing w:val="6"/>
          <w:szCs w:val="24"/>
        </w:rPr>
        <w:t>la sentencia en comento en el sentido de</w:t>
      </w:r>
      <w:r w:rsidRPr="002B3E14">
        <w:rPr>
          <w:rFonts w:ascii="Arial" w:hAnsi="Arial" w:cs="Arial"/>
          <w:b/>
          <w:bCs/>
          <w:spacing w:val="6"/>
          <w:szCs w:val="24"/>
        </w:rPr>
        <w:t xml:space="preserve"> ORDENAR </w:t>
      </w:r>
      <w:r w:rsidRPr="002B3E14">
        <w:rPr>
          <w:rFonts w:ascii="Arial" w:hAnsi="Arial" w:cs="Arial"/>
          <w:spacing w:val="6"/>
          <w:szCs w:val="24"/>
        </w:rPr>
        <w:t>a las administradoras de fondo de pensiones y cesantías</w:t>
      </w:r>
      <w:r w:rsidRPr="002B3E14">
        <w:rPr>
          <w:rFonts w:ascii="Arial" w:hAnsi="Arial" w:cs="Arial"/>
          <w:b/>
          <w:bCs/>
          <w:spacing w:val="6"/>
          <w:szCs w:val="24"/>
        </w:rPr>
        <w:t xml:space="preserve"> </w:t>
      </w:r>
      <w:r w:rsidRPr="002B3E14">
        <w:rPr>
          <w:rFonts w:ascii="Arial" w:hAnsi="Arial" w:cs="Arial"/>
          <w:spacing w:val="6"/>
          <w:szCs w:val="24"/>
          <w:shd w:val="clear" w:color="auto" w:fill="FFFFFF"/>
        </w:rPr>
        <w:t>Colfondos S.A. Pensiones y Cesantías S.A. y Porvenir S.A., a devolver con cargo a sus propios recursos, los valores correspondientes a</w:t>
      </w:r>
      <w:r w:rsidRPr="002B3E14">
        <w:rPr>
          <w:rFonts w:ascii="Arial" w:hAnsi="Arial" w:cs="Arial"/>
          <w:b/>
          <w:bCs/>
          <w:spacing w:val="6"/>
          <w:szCs w:val="24"/>
          <w:shd w:val="clear" w:color="auto" w:fill="FFFFFF"/>
        </w:rPr>
        <w:t xml:space="preserve"> gastos de administración </w:t>
      </w:r>
      <w:r w:rsidR="4BC90614" w:rsidRPr="002B3E14">
        <w:rPr>
          <w:rFonts w:ascii="Arial" w:hAnsi="Arial" w:cs="Arial"/>
          <w:b/>
          <w:bCs/>
          <w:szCs w:val="24"/>
        </w:rPr>
        <w:t xml:space="preserve">(incluyendo lo correspondiente a seguros previsionales, entre otros) </w:t>
      </w:r>
      <w:r w:rsidRPr="002B3E14">
        <w:rPr>
          <w:rFonts w:ascii="Arial" w:hAnsi="Arial" w:cs="Arial"/>
          <w:b/>
          <w:bCs/>
          <w:spacing w:val="6"/>
          <w:szCs w:val="24"/>
          <w:shd w:val="clear" w:color="auto" w:fill="FFFFFF"/>
        </w:rPr>
        <w:t xml:space="preserve">y comisiones </w:t>
      </w:r>
      <w:r w:rsidRPr="002B3E14">
        <w:rPr>
          <w:rFonts w:ascii="Arial" w:hAnsi="Arial" w:cs="Arial"/>
          <w:spacing w:val="6"/>
          <w:szCs w:val="24"/>
          <w:shd w:val="clear" w:color="auto" w:fill="FFFFFF"/>
        </w:rPr>
        <w:t xml:space="preserve">que fueron cobrados durante el lapso de afiliación de la demandante a Colpensiones, debidamente </w:t>
      </w:r>
      <w:r w:rsidR="00C30325" w:rsidRPr="002B3E14">
        <w:rPr>
          <w:rFonts w:ascii="Arial" w:hAnsi="Arial" w:cs="Arial"/>
          <w:spacing w:val="6"/>
          <w:szCs w:val="24"/>
          <w:shd w:val="clear" w:color="auto" w:fill="FFFFFF"/>
        </w:rPr>
        <w:t>indexados.</w:t>
      </w:r>
    </w:p>
    <w:p w14:paraId="0E89CF31" w14:textId="77777777" w:rsidR="00C923FD" w:rsidRPr="002B3E14" w:rsidRDefault="00C923FD" w:rsidP="002B3E14">
      <w:pPr>
        <w:spacing w:line="276" w:lineRule="auto"/>
        <w:jc w:val="both"/>
        <w:rPr>
          <w:rFonts w:ascii="Arial" w:hAnsi="Arial" w:cs="Arial"/>
          <w:spacing w:val="6"/>
          <w:szCs w:val="24"/>
          <w:shd w:val="clear" w:color="auto" w:fill="FFFFFF"/>
        </w:rPr>
      </w:pPr>
    </w:p>
    <w:p w14:paraId="00F7C516" w14:textId="1435C196" w:rsidR="00AE5132" w:rsidRPr="002B3E14" w:rsidRDefault="005E0705" w:rsidP="002B3E14">
      <w:pPr>
        <w:pStyle w:val="Textoindependiente31"/>
        <w:tabs>
          <w:tab w:val="left" w:pos="709"/>
        </w:tabs>
        <w:spacing w:line="276" w:lineRule="auto"/>
        <w:rPr>
          <w:rFonts w:cs="Arial"/>
          <w:spacing w:val="6"/>
          <w:sz w:val="24"/>
          <w:szCs w:val="24"/>
        </w:rPr>
      </w:pPr>
      <w:r w:rsidRPr="002B3E14">
        <w:rPr>
          <w:rFonts w:cs="Arial"/>
          <w:b/>
          <w:bCs/>
          <w:spacing w:val="6"/>
          <w:sz w:val="24"/>
          <w:szCs w:val="24"/>
        </w:rPr>
        <w:t>TERCERO:</w:t>
      </w:r>
      <w:r w:rsidRPr="002B3E14">
        <w:rPr>
          <w:rFonts w:cs="Arial"/>
          <w:bCs/>
          <w:spacing w:val="6"/>
          <w:sz w:val="24"/>
          <w:szCs w:val="24"/>
        </w:rPr>
        <w:t xml:space="preserve"> </w:t>
      </w:r>
      <w:r w:rsidR="00AE5132" w:rsidRPr="002B3E14">
        <w:rPr>
          <w:rFonts w:cs="Arial"/>
          <w:b/>
          <w:bCs/>
          <w:spacing w:val="6"/>
          <w:sz w:val="24"/>
          <w:szCs w:val="24"/>
        </w:rPr>
        <w:t>CONFIRMAR</w:t>
      </w:r>
      <w:r w:rsidR="00AE5132" w:rsidRPr="002B3E14">
        <w:rPr>
          <w:rFonts w:cs="Arial"/>
          <w:spacing w:val="6"/>
          <w:sz w:val="24"/>
          <w:szCs w:val="24"/>
        </w:rPr>
        <w:t xml:space="preserve"> en todo lo demás.  </w:t>
      </w:r>
    </w:p>
    <w:p w14:paraId="3C509D0E" w14:textId="77777777" w:rsidR="00AE5132" w:rsidRPr="002B3E14" w:rsidRDefault="00AE5132" w:rsidP="002B3E14">
      <w:pPr>
        <w:pStyle w:val="Textoindependiente31"/>
        <w:tabs>
          <w:tab w:val="left" w:pos="709"/>
        </w:tabs>
        <w:spacing w:line="276" w:lineRule="auto"/>
        <w:rPr>
          <w:rFonts w:cs="Arial"/>
          <w:spacing w:val="6"/>
          <w:sz w:val="24"/>
          <w:szCs w:val="24"/>
        </w:rPr>
      </w:pPr>
    </w:p>
    <w:p w14:paraId="7BA60789" w14:textId="7FED3413" w:rsidR="00AE5132" w:rsidRPr="002B3E14" w:rsidRDefault="005E0705" w:rsidP="002B3E14">
      <w:pPr>
        <w:pStyle w:val="Textoindependiente31"/>
        <w:tabs>
          <w:tab w:val="left" w:pos="709"/>
        </w:tabs>
        <w:spacing w:line="276" w:lineRule="auto"/>
        <w:rPr>
          <w:rFonts w:cs="Arial"/>
          <w:spacing w:val="6"/>
          <w:sz w:val="24"/>
          <w:szCs w:val="24"/>
        </w:rPr>
      </w:pPr>
      <w:r w:rsidRPr="002B3E14">
        <w:rPr>
          <w:rFonts w:cs="Arial"/>
          <w:b/>
          <w:bCs/>
          <w:spacing w:val="6"/>
          <w:sz w:val="24"/>
          <w:szCs w:val="24"/>
        </w:rPr>
        <w:t>CUARTO:</w:t>
      </w:r>
      <w:r w:rsidR="00AE5132" w:rsidRPr="002B3E14">
        <w:rPr>
          <w:rFonts w:cs="Arial"/>
          <w:b/>
          <w:bCs/>
          <w:spacing w:val="6"/>
          <w:sz w:val="24"/>
          <w:szCs w:val="24"/>
        </w:rPr>
        <w:t xml:space="preserve"> COSTAS</w:t>
      </w:r>
      <w:r w:rsidR="00AE5132" w:rsidRPr="002B3E14">
        <w:rPr>
          <w:rFonts w:cs="Arial"/>
          <w:spacing w:val="6"/>
          <w:sz w:val="24"/>
          <w:szCs w:val="24"/>
        </w:rPr>
        <w:t xml:space="preserve"> en esta instancia a cargo de la AFP Protección S.A. y en favor de la demandante. </w:t>
      </w:r>
    </w:p>
    <w:p w14:paraId="2B7C1C31" w14:textId="77777777" w:rsidR="00AE5132" w:rsidRPr="002B3E14" w:rsidRDefault="00AE5132" w:rsidP="002B3E14">
      <w:pPr>
        <w:pStyle w:val="Sinespaciado"/>
        <w:spacing w:line="276" w:lineRule="auto"/>
        <w:rPr>
          <w:rFonts w:ascii="Arial" w:hAnsi="Arial" w:cs="Arial"/>
          <w:spacing w:val="6"/>
          <w:szCs w:val="24"/>
        </w:rPr>
      </w:pPr>
    </w:p>
    <w:p w14:paraId="53523C5F" w14:textId="77777777" w:rsidR="00AE5132" w:rsidRPr="002B3E14" w:rsidRDefault="00AE5132" w:rsidP="002B3E14">
      <w:pPr>
        <w:pStyle w:val="Sinespaciado"/>
        <w:tabs>
          <w:tab w:val="left" w:pos="2918"/>
        </w:tabs>
        <w:spacing w:line="276" w:lineRule="auto"/>
        <w:rPr>
          <w:rFonts w:ascii="Arial" w:hAnsi="Arial" w:cs="Arial"/>
          <w:spacing w:val="6"/>
          <w:szCs w:val="24"/>
        </w:rPr>
      </w:pPr>
      <w:r w:rsidRPr="002B3E14">
        <w:rPr>
          <w:rFonts w:ascii="Arial" w:hAnsi="Arial" w:cs="Arial"/>
          <w:spacing w:val="6"/>
          <w:szCs w:val="24"/>
        </w:rPr>
        <w:t xml:space="preserve">Notifíquese y cúmplase, </w:t>
      </w:r>
      <w:r w:rsidRPr="002B3E14">
        <w:rPr>
          <w:rFonts w:ascii="Arial" w:hAnsi="Arial" w:cs="Arial"/>
          <w:spacing w:val="6"/>
          <w:szCs w:val="24"/>
        </w:rPr>
        <w:tab/>
      </w:r>
    </w:p>
    <w:p w14:paraId="68835211" w14:textId="77777777" w:rsidR="002B3E14" w:rsidRPr="002B3E14" w:rsidRDefault="002B3E14" w:rsidP="002B3E14">
      <w:pPr>
        <w:spacing w:line="276" w:lineRule="auto"/>
        <w:jc w:val="both"/>
        <w:rPr>
          <w:rFonts w:ascii="Arial" w:hAnsi="Arial" w:cs="Arial"/>
          <w:szCs w:val="24"/>
        </w:rPr>
      </w:pPr>
    </w:p>
    <w:p w14:paraId="10F036B0" w14:textId="77777777" w:rsidR="002B3E14" w:rsidRPr="002B3E14" w:rsidRDefault="002B3E14" w:rsidP="002B3E14">
      <w:pPr>
        <w:spacing w:line="276" w:lineRule="auto"/>
        <w:jc w:val="both"/>
        <w:rPr>
          <w:rFonts w:ascii="Arial" w:hAnsi="Arial" w:cs="Arial"/>
          <w:szCs w:val="24"/>
        </w:rPr>
      </w:pPr>
    </w:p>
    <w:p w14:paraId="6A6EAF9D" w14:textId="77777777" w:rsidR="002B3E14" w:rsidRPr="002B3E14" w:rsidRDefault="002B3E14" w:rsidP="002B3E14">
      <w:pPr>
        <w:spacing w:line="276" w:lineRule="auto"/>
        <w:jc w:val="both"/>
        <w:rPr>
          <w:rFonts w:ascii="Arial" w:hAnsi="Arial" w:cs="Arial"/>
          <w:szCs w:val="24"/>
        </w:rPr>
      </w:pPr>
    </w:p>
    <w:p w14:paraId="33540449" w14:textId="77777777" w:rsidR="002B3E14" w:rsidRPr="002B3E14" w:rsidRDefault="002B3E14" w:rsidP="002B3E14">
      <w:pPr>
        <w:spacing w:line="276" w:lineRule="auto"/>
        <w:jc w:val="center"/>
        <w:rPr>
          <w:rFonts w:ascii="Arial" w:hAnsi="Arial" w:cs="Arial"/>
          <w:b/>
          <w:bCs/>
          <w:iCs/>
          <w:szCs w:val="24"/>
          <w:lang w:val="es-ES"/>
        </w:rPr>
      </w:pPr>
      <w:r w:rsidRPr="002B3E14">
        <w:rPr>
          <w:rFonts w:ascii="Arial" w:hAnsi="Arial" w:cs="Arial"/>
          <w:b/>
          <w:bCs/>
          <w:iCs/>
          <w:szCs w:val="24"/>
          <w:lang w:val="es-ES"/>
        </w:rPr>
        <w:t>ALEJANDRA MARÍA HENAO PALACIO</w:t>
      </w:r>
    </w:p>
    <w:p w14:paraId="39352DBA" w14:textId="77777777" w:rsidR="002B3E14" w:rsidRPr="002B3E14" w:rsidRDefault="002B3E14" w:rsidP="002B3E14">
      <w:pPr>
        <w:spacing w:line="276" w:lineRule="auto"/>
        <w:jc w:val="center"/>
        <w:rPr>
          <w:rFonts w:ascii="Arial" w:hAnsi="Arial" w:cs="Arial"/>
          <w:bCs/>
          <w:iCs/>
          <w:szCs w:val="24"/>
          <w:lang w:val="es-ES"/>
        </w:rPr>
      </w:pPr>
      <w:r w:rsidRPr="002B3E14">
        <w:rPr>
          <w:rFonts w:ascii="Arial" w:hAnsi="Arial" w:cs="Arial"/>
          <w:bCs/>
          <w:iCs/>
          <w:szCs w:val="24"/>
          <w:lang w:val="es-ES"/>
        </w:rPr>
        <w:t>Magistrada Ponente</w:t>
      </w:r>
    </w:p>
    <w:p w14:paraId="4827FDCE" w14:textId="77777777" w:rsidR="002B3E14" w:rsidRPr="002B3E14" w:rsidRDefault="002B3E14" w:rsidP="002B3E14">
      <w:pPr>
        <w:spacing w:line="276" w:lineRule="auto"/>
        <w:jc w:val="both"/>
        <w:rPr>
          <w:rFonts w:ascii="Arial" w:hAnsi="Arial" w:cs="Arial"/>
          <w:szCs w:val="24"/>
        </w:rPr>
      </w:pPr>
    </w:p>
    <w:p w14:paraId="41409B62" w14:textId="77777777" w:rsidR="002B3E14" w:rsidRPr="002B3E14" w:rsidRDefault="002B3E14" w:rsidP="002B3E14">
      <w:pPr>
        <w:spacing w:line="276" w:lineRule="auto"/>
        <w:jc w:val="both"/>
        <w:rPr>
          <w:rFonts w:ascii="Arial" w:hAnsi="Arial" w:cs="Arial"/>
          <w:szCs w:val="24"/>
        </w:rPr>
      </w:pPr>
    </w:p>
    <w:p w14:paraId="6695C661" w14:textId="77777777" w:rsidR="002B3E14" w:rsidRPr="002B3E14" w:rsidRDefault="002B3E14" w:rsidP="002B3E14">
      <w:pPr>
        <w:spacing w:line="276" w:lineRule="auto"/>
        <w:jc w:val="both"/>
        <w:rPr>
          <w:rFonts w:ascii="Arial" w:hAnsi="Arial" w:cs="Arial"/>
          <w:szCs w:val="24"/>
        </w:rPr>
      </w:pPr>
    </w:p>
    <w:p w14:paraId="1AE877E5" w14:textId="77777777" w:rsidR="002B3E14" w:rsidRPr="002B3E14" w:rsidRDefault="002B3E14" w:rsidP="002B3E14">
      <w:pPr>
        <w:spacing w:line="276" w:lineRule="auto"/>
        <w:jc w:val="both"/>
        <w:rPr>
          <w:rFonts w:ascii="Arial" w:hAnsi="Arial" w:cs="Arial"/>
          <w:b/>
          <w:bCs/>
          <w:iCs/>
          <w:szCs w:val="24"/>
          <w:lang w:val="es-ES"/>
        </w:rPr>
      </w:pPr>
      <w:r w:rsidRPr="002B3E14">
        <w:rPr>
          <w:rFonts w:ascii="Arial" w:hAnsi="Arial" w:cs="Arial"/>
          <w:b/>
          <w:bCs/>
          <w:iCs/>
          <w:szCs w:val="24"/>
          <w:lang w:val="es-ES"/>
        </w:rPr>
        <w:t>ANA LUCÍA CAICEDO CALDERÓN</w:t>
      </w:r>
      <w:r w:rsidRPr="002B3E14">
        <w:rPr>
          <w:rFonts w:ascii="Arial" w:hAnsi="Arial" w:cs="Arial"/>
          <w:b/>
          <w:bCs/>
          <w:iCs/>
          <w:szCs w:val="24"/>
          <w:lang w:val="es-ES"/>
        </w:rPr>
        <w:tab/>
        <w:t xml:space="preserve">      OLGA LUCIA HOYOS SEPÚLVEDA</w:t>
      </w:r>
    </w:p>
    <w:p w14:paraId="634C3AF2" w14:textId="77777777" w:rsidR="002B3E14" w:rsidRPr="002B3E14" w:rsidRDefault="002B3E14" w:rsidP="002B3E14">
      <w:pPr>
        <w:spacing w:line="276" w:lineRule="auto"/>
        <w:jc w:val="both"/>
        <w:rPr>
          <w:rFonts w:ascii="Arial" w:hAnsi="Arial" w:cs="Arial"/>
          <w:bCs/>
          <w:iCs/>
          <w:szCs w:val="24"/>
          <w:lang w:val="es-ES"/>
        </w:rPr>
      </w:pPr>
      <w:r w:rsidRPr="002B3E14">
        <w:rPr>
          <w:rFonts w:ascii="Arial" w:hAnsi="Arial" w:cs="Arial"/>
          <w:bCs/>
          <w:iCs/>
          <w:szCs w:val="24"/>
          <w:lang w:val="es-ES"/>
        </w:rPr>
        <w:t xml:space="preserve">                Magistrada</w:t>
      </w:r>
      <w:r w:rsidRPr="002B3E14">
        <w:rPr>
          <w:rFonts w:ascii="Arial" w:hAnsi="Arial" w:cs="Arial"/>
          <w:bCs/>
          <w:iCs/>
          <w:szCs w:val="24"/>
          <w:lang w:val="es-ES"/>
        </w:rPr>
        <w:tab/>
      </w:r>
      <w:r w:rsidRPr="002B3E14">
        <w:rPr>
          <w:rFonts w:ascii="Arial" w:hAnsi="Arial" w:cs="Arial"/>
          <w:bCs/>
          <w:iCs/>
          <w:szCs w:val="24"/>
          <w:lang w:val="es-ES"/>
        </w:rPr>
        <w:tab/>
      </w:r>
      <w:r w:rsidRPr="002B3E14">
        <w:rPr>
          <w:rFonts w:ascii="Arial" w:hAnsi="Arial" w:cs="Arial"/>
          <w:bCs/>
          <w:iCs/>
          <w:szCs w:val="24"/>
          <w:lang w:val="es-ES"/>
        </w:rPr>
        <w:tab/>
      </w:r>
      <w:r w:rsidRPr="002B3E14">
        <w:rPr>
          <w:rFonts w:ascii="Arial" w:hAnsi="Arial" w:cs="Arial"/>
          <w:bCs/>
          <w:iCs/>
          <w:szCs w:val="24"/>
          <w:lang w:val="es-ES"/>
        </w:rPr>
        <w:tab/>
      </w:r>
      <w:r w:rsidRPr="002B3E14">
        <w:rPr>
          <w:rFonts w:ascii="Arial" w:hAnsi="Arial" w:cs="Arial"/>
          <w:bCs/>
          <w:iCs/>
          <w:szCs w:val="24"/>
          <w:lang w:val="es-ES"/>
        </w:rPr>
        <w:tab/>
        <w:t xml:space="preserve">      </w:t>
      </w:r>
      <w:proofErr w:type="spellStart"/>
      <w:r w:rsidRPr="002B3E14">
        <w:rPr>
          <w:rFonts w:ascii="Arial" w:hAnsi="Arial" w:cs="Arial"/>
          <w:bCs/>
          <w:iCs/>
          <w:szCs w:val="24"/>
          <w:lang w:val="es-ES"/>
        </w:rPr>
        <w:t>Magistrada</w:t>
      </w:r>
      <w:proofErr w:type="spellEnd"/>
    </w:p>
    <w:p w14:paraId="5F65A20A" w14:textId="6F2C5A05" w:rsidR="00AE5132" w:rsidRPr="002B3E14" w:rsidRDefault="00C30325" w:rsidP="002B3E14">
      <w:pPr>
        <w:spacing w:line="276" w:lineRule="auto"/>
        <w:rPr>
          <w:rFonts w:ascii="Arial" w:hAnsi="Arial" w:cs="Arial"/>
          <w:szCs w:val="24"/>
        </w:rPr>
      </w:pPr>
      <w:r w:rsidRPr="002B3E14">
        <w:rPr>
          <w:rFonts w:ascii="Arial" w:hAnsi="Arial" w:cs="Arial"/>
          <w:spacing w:val="6"/>
          <w:szCs w:val="24"/>
        </w:rPr>
        <w:tab/>
      </w:r>
      <w:r w:rsidRPr="002B3E14">
        <w:rPr>
          <w:rFonts w:ascii="Arial" w:hAnsi="Arial" w:cs="Arial"/>
          <w:spacing w:val="6"/>
          <w:szCs w:val="24"/>
        </w:rPr>
        <w:tab/>
      </w:r>
      <w:r w:rsidRPr="002B3E14">
        <w:rPr>
          <w:rFonts w:ascii="Arial" w:hAnsi="Arial" w:cs="Arial"/>
          <w:spacing w:val="6"/>
          <w:szCs w:val="24"/>
        </w:rPr>
        <w:tab/>
      </w:r>
      <w:r w:rsidRPr="002B3E14">
        <w:rPr>
          <w:rFonts w:ascii="Arial" w:hAnsi="Arial" w:cs="Arial"/>
          <w:spacing w:val="6"/>
          <w:szCs w:val="24"/>
        </w:rPr>
        <w:tab/>
      </w:r>
      <w:r w:rsidRPr="002B3E14">
        <w:rPr>
          <w:rFonts w:ascii="Arial" w:hAnsi="Arial" w:cs="Arial"/>
          <w:spacing w:val="6"/>
          <w:szCs w:val="24"/>
        </w:rPr>
        <w:tab/>
      </w:r>
      <w:r w:rsidRPr="002B3E14">
        <w:rPr>
          <w:rFonts w:ascii="Arial" w:hAnsi="Arial" w:cs="Arial"/>
          <w:spacing w:val="6"/>
          <w:szCs w:val="24"/>
        </w:rPr>
        <w:tab/>
      </w:r>
      <w:r w:rsidRPr="002B3E14">
        <w:rPr>
          <w:rFonts w:ascii="Arial" w:hAnsi="Arial" w:cs="Arial"/>
          <w:spacing w:val="6"/>
          <w:szCs w:val="24"/>
        </w:rPr>
        <w:tab/>
      </w:r>
      <w:r w:rsidR="002B3E14" w:rsidRPr="002B3E14">
        <w:rPr>
          <w:rFonts w:ascii="Arial" w:hAnsi="Arial" w:cs="Arial"/>
          <w:bCs/>
          <w:iCs/>
          <w:szCs w:val="24"/>
          <w:lang w:val="es-ES"/>
        </w:rPr>
        <w:tab/>
        <w:t xml:space="preserve">      </w:t>
      </w:r>
      <w:r w:rsidRPr="002B3E14">
        <w:rPr>
          <w:rFonts w:ascii="Arial" w:hAnsi="Arial" w:cs="Arial"/>
          <w:spacing w:val="6"/>
          <w:szCs w:val="24"/>
        </w:rPr>
        <w:t>Aclara voto</w:t>
      </w:r>
    </w:p>
    <w:sectPr w:rsidR="00AE5132" w:rsidRPr="002B3E14" w:rsidSect="002B3E14">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33C9FB" w16cex:dateUtc="2020-09-14T20:46:59.903Z"/>
  <w16cex:commentExtensible w16cex:durableId="590D466F" w16cex:dateUtc="2020-09-16T15:03:50.80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F959" w14:textId="77777777" w:rsidR="00F73DA4" w:rsidRDefault="00F73DA4" w:rsidP="00AE5132">
      <w:r>
        <w:separator/>
      </w:r>
    </w:p>
  </w:endnote>
  <w:endnote w:type="continuationSeparator" w:id="0">
    <w:p w14:paraId="1B0227E8" w14:textId="77777777" w:rsidR="00F73DA4" w:rsidRDefault="00F73DA4" w:rsidP="00AE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6531B" w14:textId="77777777" w:rsidR="00F73DA4" w:rsidRDefault="00F73DA4" w:rsidP="00AE5132">
      <w:r>
        <w:separator/>
      </w:r>
    </w:p>
  </w:footnote>
  <w:footnote w:type="continuationSeparator" w:id="0">
    <w:p w14:paraId="136497C0" w14:textId="77777777" w:rsidR="00F73DA4" w:rsidRDefault="00F73DA4" w:rsidP="00AE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1FA6" w14:textId="77777777" w:rsidR="00036F9C" w:rsidRPr="002B3E14" w:rsidRDefault="00036F9C" w:rsidP="002B3E14">
    <w:pPr>
      <w:pStyle w:val="Ttulo2"/>
      <w:tabs>
        <w:tab w:val="right" w:pos="8931"/>
      </w:tabs>
      <w:spacing w:before="0"/>
      <w:ind w:right="-92"/>
      <w:rPr>
        <w:rFonts w:ascii="Arial" w:hAnsi="Arial" w:cs="Arial"/>
        <w:bCs/>
        <w:color w:val="000000" w:themeColor="text1"/>
        <w:sz w:val="18"/>
        <w:szCs w:val="18"/>
      </w:rPr>
    </w:pPr>
    <w:r w:rsidRPr="002B3E14">
      <w:rPr>
        <w:rFonts w:ascii="Arial" w:hAnsi="Arial" w:cs="Arial"/>
        <w:color w:val="000000" w:themeColor="text1"/>
        <w:sz w:val="18"/>
        <w:szCs w:val="18"/>
      </w:rPr>
      <w:t xml:space="preserve">Radicación No. </w:t>
    </w:r>
    <w:r w:rsidRPr="002B3E14">
      <w:rPr>
        <w:rFonts w:ascii="Arial" w:hAnsi="Arial" w:cs="Arial"/>
        <w:bCs/>
        <w:color w:val="000000" w:themeColor="text1"/>
        <w:sz w:val="18"/>
        <w:szCs w:val="18"/>
      </w:rPr>
      <w:t>66001–31-05–004-2018-00522-01</w:t>
    </w:r>
  </w:p>
  <w:p w14:paraId="5AC552B7" w14:textId="6934C87A" w:rsidR="00036F9C" w:rsidRPr="002B3E14" w:rsidRDefault="00036F9C" w:rsidP="002B3E14">
    <w:pPr>
      <w:pStyle w:val="Ttulo2"/>
      <w:tabs>
        <w:tab w:val="right" w:pos="8931"/>
      </w:tabs>
      <w:spacing w:before="0"/>
      <w:ind w:right="-92"/>
      <w:rPr>
        <w:rFonts w:ascii="Arial" w:hAnsi="Arial" w:cs="Arial"/>
        <w:color w:val="000000" w:themeColor="text1"/>
        <w:sz w:val="18"/>
        <w:szCs w:val="18"/>
        <w:lang w:val="es-ES"/>
      </w:rPr>
    </w:pPr>
    <w:r w:rsidRPr="002B3E14">
      <w:rPr>
        <w:rFonts w:ascii="Arial" w:hAnsi="Arial" w:cs="Arial"/>
        <w:bCs/>
        <w:color w:val="000000" w:themeColor="text1"/>
        <w:sz w:val="18"/>
        <w:szCs w:val="18"/>
      </w:rPr>
      <w:t>Hilda Inés González Florián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3EF"/>
    <w:multiLevelType w:val="multilevel"/>
    <w:tmpl w:val="BBFAE75A"/>
    <w:lvl w:ilvl="0">
      <w:start w:val="1"/>
      <w:numFmt w:val="upperRoman"/>
      <w:lvlText w:val="%1."/>
      <w:lvlJc w:val="left"/>
      <w:pPr>
        <w:ind w:left="1428" w:hanging="720"/>
      </w:pPr>
      <w:rPr>
        <w:rFonts w:hint="default"/>
      </w:rPr>
    </w:lvl>
    <w:lvl w:ilvl="1">
      <w:start w:val="2"/>
      <w:numFmt w:val="decimal"/>
      <w:lvlText w:val="%1.%2."/>
      <w:lvlJc w:val="left"/>
      <w:pPr>
        <w:ind w:left="1458" w:hanging="750"/>
      </w:pPr>
    </w:lvl>
    <w:lvl w:ilvl="2">
      <w:start w:val="3"/>
      <w:numFmt w:val="decimal"/>
      <w:lvlText w:val="%1.%2.%3."/>
      <w:lvlJc w:val="left"/>
      <w:pPr>
        <w:ind w:left="1458" w:hanging="750"/>
      </w:p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32"/>
    <w:rsid w:val="00003545"/>
    <w:rsid w:val="00036F9C"/>
    <w:rsid w:val="00082253"/>
    <w:rsid w:val="000C31BE"/>
    <w:rsid w:val="000E2E24"/>
    <w:rsid w:val="000F0A24"/>
    <w:rsid w:val="00116A83"/>
    <w:rsid w:val="00120186"/>
    <w:rsid w:val="00150669"/>
    <w:rsid w:val="001D2A0D"/>
    <w:rsid w:val="001F2DE7"/>
    <w:rsid w:val="00291481"/>
    <w:rsid w:val="002B3E14"/>
    <w:rsid w:val="00325030"/>
    <w:rsid w:val="003A61D3"/>
    <w:rsid w:val="0040186B"/>
    <w:rsid w:val="004E459C"/>
    <w:rsid w:val="005701C6"/>
    <w:rsid w:val="005E0705"/>
    <w:rsid w:val="0060018D"/>
    <w:rsid w:val="00630102"/>
    <w:rsid w:val="00643823"/>
    <w:rsid w:val="006D48C8"/>
    <w:rsid w:val="00744963"/>
    <w:rsid w:val="0076033F"/>
    <w:rsid w:val="007C3445"/>
    <w:rsid w:val="007F01DC"/>
    <w:rsid w:val="0082066F"/>
    <w:rsid w:val="008214AD"/>
    <w:rsid w:val="008D2703"/>
    <w:rsid w:val="008D5CA3"/>
    <w:rsid w:val="00947FE2"/>
    <w:rsid w:val="00971455"/>
    <w:rsid w:val="009754A7"/>
    <w:rsid w:val="00A41397"/>
    <w:rsid w:val="00A66B6C"/>
    <w:rsid w:val="00AE5132"/>
    <w:rsid w:val="00AF7AD8"/>
    <w:rsid w:val="00B02A05"/>
    <w:rsid w:val="00B47227"/>
    <w:rsid w:val="00B706DD"/>
    <w:rsid w:val="00C30325"/>
    <w:rsid w:val="00C44509"/>
    <w:rsid w:val="00C923FD"/>
    <w:rsid w:val="00CF20A9"/>
    <w:rsid w:val="00DE0B28"/>
    <w:rsid w:val="00E415E8"/>
    <w:rsid w:val="00E639DA"/>
    <w:rsid w:val="00EB7FFD"/>
    <w:rsid w:val="00F047DD"/>
    <w:rsid w:val="00F12D54"/>
    <w:rsid w:val="00F709AD"/>
    <w:rsid w:val="00F73DA4"/>
    <w:rsid w:val="00FC6DEF"/>
    <w:rsid w:val="0234FCAA"/>
    <w:rsid w:val="049A550A"/>
    <w:rsid w:val="04CEF167"/>
    <w:rsid w:val="07065E14"/>
    <w:rsid w:val="0750B35E"/>
    <w:rsid w:val="0766D630"/>
    <w:rsid w:val="07AA2D58"/>
    <w:rsid w:val="0946699A"/>
    <w:rsid w:val="0AAD40BB"/>
    <w:rsid w:val="0CE3E033"/>
    <w:rsid w:val="0D3A677A"/>
    <w:rsid w:val="0E6CB370"/>
    <w:rsid w:val="0EE21D92"/>
    <w:rsid w:val="163E3F15"/>
    <w:rsid w:val="1853E4A1"/>
    <w:rsid w:val="1A1087A3"/>
    <w:rsid w:val="1ADBB35E"/>
    <w:rsid w:val="1DAC9B2C"/>
    <w:rsid w:val="1DE11048"/>
    <w:rsid w:val="22AD8C52"/>
    <w:rsid w:val="22E34DE8"/>
    <w:rsid w:val="28C3908D"/>
    <w:rsid w:val="2FF3335B"/>
    <w:rsid w:val="33CA0D1E"/>
    <w:rsid w:val="34AD9A38"/>
    <w:rsid w:val="3A0B56DC"/>
    <w:rsid w:val="3AE7B7E4"/>
    <w:rsid w:val="3CE6F7E4"/>
    <w:rsid w:val="3E19D9E7"/>
    <w:rsid w:val="3E5A02A1"/>
    <w:rsid w:val="3E5D1D0B"/>
    <w:rsid w:val="3E8678B6"/>
    <w:rsid w:val="3EC92A41"/>
    <w:rsid w:val="42D4A4DF"/>
    <w:rsid w:val="4350EAAE"/>
    <w:rsid w:val="45EDFE8C"/>
    <w:rsid w:val="489BCBFE"/>
    <w:rsid w:val="4BC90614"/>
    <w:rsid w:val="4D054AA1"/>
    <w:rsid w:val="4E2BAA9C"/>
    <w:rsid w:val="4E959A4F"/>
    <w:rsid w:val="50337ECB"/>
    <w:rsid w:val="53C14A4F"/>
    <w:rsid w:val="5403B86D"/>
    <w:rsid w:val="56BC5F4B"/>
    <w:rsid w:val="573E8764"/>
    <w:rsid w:val="583C8DDE"/>
    <w:rsid w:val="5E5B7F19"/>
    <w:rsid w:val="601973BA"/>
    <w:rsid w:val="62E22633"/>
    <w:rsid w:val="67260328"/>
    <w:rsid w:val="6AD15F8B"/>
    <w:rsid w:val="6AEF97FC"/>
    <w:rsid w:val="6E37ECA8"/>
    <w:rsid w:val="70D8BD74"/>
    <w:rsid w:val="72CCD85C"/>
    <w:rsid w:val="79771A11"/>
    <w:rsid w:val="7E371C9C"/>
    <w:rsid w:val="7F306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3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AE51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5132"/>
    <w:rPr>
      <w:rFonts w:asciiTheme="majorHAnsi" w:eastAsiaTheme="majorEastAsia" w:hAnsiTheme="majorHAnsi" w:cstheme="majorBidi"/>
      <w:color w:val="2F5496" w:themeColor="accent1" w:themeShade="BF"/>
      <w:sz w:val="26"/>
      <w:szCs w:val="26"/>
      <w:lang w:val="es-ES_tradnl" w:eastAsia="es-ES"/>
    </w:rPr>
  </w:style>
  <w:style w:type="paragraph" w:styleId="Sinespaciado">
    <w:name w:val="No Spacing"/>
    <w:link w:val="SinespaciadoCar"/>
    <w:uiPriority w:val="1"/>
    <w:qFormat/>
    <w:rsid w:val="00AE5132"/>
    <w:pPr>
      <w:spacing w:after="0" w:line="240" w:lineRule="auto"/>
    </w:pPr>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AE51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AE5132"/>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E5132"/>
    <w:pPr>
      <w:tabs>
        <w:tab w:val="center" w:pos="4252"/>
        <w:tab w:val="right" w:pos="8504"/>
      </w:tabs>
    </w:pPr>
  </w:style>
  <w:style w:type="character" w:customStyle="1" w:styleId="EncabezadoCar">
    <w:name w:val="Encabezado Car"/>
    <w:basedOn w:val="Fuentedeprrafopredeter"/>
    <w:link w:val="Encabezado"/>
    <w:uiPriority w:val="99"/>
    <w:rsid w:val="00AE5132"/>
    <w:rPr>
      <w:rFonts w:ascii="Times New Roman" w:eastAsia="Times New Roman" w:hAnsi="Times New Roman" w:cs="Times New Roman"/>
      <w:sz w:val="24"/>
      <w:szCs w:val="20"/>
      <w:lang w:val="es-ES_tradnl" w:eastAsia="es-ES"/>
    </w:rPr>
  </w:style>
  <w:style w:type="character" w:customStyle="1" w:styleId="normaltextrun">
    <w:name w:val="normaltextrun"/>
    <w:basedOn w:val="Fuentedeprrafopredeter"/>
    <w:rsid w:val="00AE5132"/>
  </w:style>
  <w:style w:type="paragraph" w:styleId="Textoindependiente">
    <w:name w:val="Body Text"/>
    <w:basedOn w:val="Normal"/>
    <w:link w:val="TextoindependienteCar"/>
    <w:rsid w:val="00AE513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E513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AE5132"/>
    <w:pPr>
      <w:spacing w:line="360" w:lineRule="auto"/>
      <w:jc w:val="both"/>
    </w:pPr>
    <w:rPr>
      <w:rFonts w:ascii="Arial" w:hAnsi="Arial"/>
      <w:sz w:val="28"/>
    </w:rPr>
  </w:style>
  <w:style w:type="paragraph" w:customStyle="1" w:styleId="paragraph">
    <w:name w:val="paragraph"/>
    <w:basedOn w:val="Normal"/>
    <w:rsid w:val="00AE5132"/>
    <w:pPr>
      <w:spacing w:before="100" w:beforeAutospacing="1" w:after="100" w:afterAutospacing="1"/>
    </w:pPr>
    <w:rPr>
      <w:szCs w:val="24"/>
      <w:lang w:val="es-ES"/>
    </w:rPr>
  </w:style>
  <w:style w:type="character" w:styleId="Refdecomentario">
    <w:name w:val="annotation reference"/>
    <w:basedOn w:val="Fuentedeprrafopredeter"/>
    <w:uiPriority w:val="99"/>
    <w:semiHidden/>
    <w:unhideWhenUsed/>
    <w:rsid w:val="00AE5132"/>
    <w:rPr>
      <w:sz w:val="16"/>
      <w:szCs w:val="16"/>
    </w:rPr>
  </w:style>
  <w:style w:type="paragraph" w:styleId="Textocomentario">
    <w:name w:val="annotation text"/>
    <w:basedOn w:val="Normal"/>
    <w:link w:val="TextocomentarioCar"/>
    <w:uiPriority w:val="99"/>
    <w:semiHidden/>
    <w:unhideWhenUsed/>
    <w:rsid w:val="00AE5132"/>
    <w:rPr>
      <w:sz w:val="20"/>
    </w:rPr>
  </w:style>
  <w:style w:type="character" w:customStyle="1" w:styleId="TextocomentarioCar">
    <w:name w:val="Texto comentario Car"/>
    <w:basedOn w:val="Fuentedeprrafopredeter"/>
    <w:link w:val="Textocomentario"/>
    <w:uiPriority w:val="99"/>
    <w:semiHidden/>
    <w:rsid w:val="00AE513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E51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132"/>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AE5132"/>
    <w:pPr>
      <w:tabs>
        <w:tab w:val="center" w:pos="4419"/>
        <w:tab w:val="right" w:pos="8838"/>
      </w:tabs>
    </w:pPr>
  </w:style>
  <w:style w:type="character" w:customStyle="1" w:styleId="PiedepginaCar">
    <w:name w:val="Pie de página Car"/>
    <w:basedOn w:val="Fuentedeprrafopredeter"/>
    <w:link w:val="Piedepgina"/>
    <w:uiPriority w:val="99"/>
    <w:rsid w:val="00AE5132"/>
    <w:rPr>
      <w:rFonts w:ascii="Times New Roman" w:eastAsia="Times New Roman" w:hAnsi="Times New Roman" w:cs="Times New Roman"/>
      <w:sz w:val="24"/>
      <w:szCs w:val="20"/>
      <w:lang w:val="es-ES_tradnl" w:eastAsia="es-ES"/>
    </w:rPr>
  </w:style>
  <w:style w:type="character" w:customStyle="1" w:styleId="eop">
    <w:name w:val="eop"/>
    <w:basedOn w:val="Fuentedeprrafopredeter"/>
    <w:rsid w:val="00036F9C"/>
  </w:style>
  <w:style w:type="paragraph" w:styleId="Asuntodelcomentario">
    <w:name w:val="annotation subject"/>
    <w:basedOn w:val="Textocomentario"/>
    <w:next w:val="Textocomentario"/>
    <w:link w:val="AsuntodelcomentarioCar"/>
    <w:uiPriority w:val="99"/>
    <w:semiHidden/>
    <w:unhideWhenUsed/>
    <w:rsid w:val="006D48C8"/>
    <w:rPr>
      <w:b/>
      <w:bCs/>
    </w:rPr>
  </w:style>
  <w:style w:type="character" w:customStyle="1" w:styleId="AsuntodelcomentarioCar">
    <w:name w:val="Asunto del comentario Car"/>
    <w:basedOn w:val="TextocomentarioCar"/>
    <w:link w:val="Asuntodelcomentario"/>
    <w:uiPriority w:val="99"/>
    <w:semiHidden/>
    <w:rsid w:val="006D48C8"/>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3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unhideWhenUsed/>
    <w:qFormat/>
    <w:rsid w:val="00AE51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5132"/>
    <w:rPr>
      <w:rFonts w:asciiTheme="majorHAnsi" w:eastAsiaTheme="majorEastAsia" w:hAnsiTheme="majorHAnsi" w:cstheme="majorBidi"/>
      <w:color w:val="2F5496" w:themeColor="accent1" w:themeShade="BF"/>
      <w:sz w:val="26"/>
      <w:szCs w:val="26"/>
      <w:lang w:val="es-ES_tradnl" w:eastAsia="es-ES"/>
    </w:rPr>
  </w:style>
  <w:style w:type="paragraph" w:styleId="Sinespaciado">
    <w:name w:val="No Spacing"/>
    <w:link w:val="SinespaciadoCar"/>
    <w:uiPriority w:val="1"/>
    <w:qFormat/>
    <w:rsid w:val="00AE5132"/>
    <w:pPr>
      <w:spacing w:after="0" w:line="240" w:lineRule="auto"/>
    </w:pPr>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AE51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AE5132"/>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E5132"/>
    <w:pPr>
      <w:tabs>
        <w:tab w:val="center" w:pos="4252"/>
        <w:tab w:val="right" w:pos="8504"/>
      </w:tabs>
    </w:pPr>
  </w:style>
  <w:style w:type="character" w:customStyle="1" w:styleId="EncabezadoCar">
    <w:name w:val="Encabezado Car"/>
    <w:basedOn w:val="Fuentedeprrafopredeter"/>
    <w:link w:val="Encabezado"/>
    <w:uiPriority w:val="99"/>
    <w:rsid w:val="00AE5132"/>
    <w:rPr>
      <w:rFonts w:ascii="Times New Roman" w:eastAsia="Times New Roman" w:hAnsi="Times New Roman" w:cs="Times New Roman"/>
      <w:sz w:val="24"/>
      <w:szCs w:val="20"/>
      <w:lang w:val="es-ES_tradnl" w:eastAsia="es-ES"/>
    </w:rPr>
  </w:style>
  <w:style w:type="character" w:customStyle="1" w:styleId="normaltextrun">
    <w:name w:val="normaltextrun"/>
    <w:basedOn w:val="Fuentedeprrafopredeter"/>
    <w:rsid w:val="00AE5132"/>
  </w:style>
  <w:style w:type="paragraph" w:styleId="Textoindependiente">
    <w:name w:val="Body Text"/>
    <w:basedOn w:val="Normal"/>
    <w:link w:val="TextoindependienteCar"/>
    <w:rsid w:val="00AE513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E513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AE5132"/>
    <w:pPr>
      <w:spacing w:line="360" w:lineRule="auto"/>
      <w:jc w:val="both"/>
    </w:pPr>
    <w:rPr>
      <w:rFonts w:ascii="Arial" w:hAnsi="Arial"/>
      <w:sz w:val="28"/>
    </w:rPr>
  </w:style>
  <w:style w:type="paragraph" w:customStyle="1" w:styleId="paragraph">
    <w:name w:val="paragraph"/>
    <w:basedOn w:val="Normal"/>
    <w:rsid w:val="00AE5132"/>
    <w:pPr>
      <w:spacing w:before="100" w:beforeAutospacing="1" w:after="100" w:afterAutospacing="1"/>
    </w:pPr>
    <w:rPr>
      <w:szCs w:val="24"/>
      <w:lang w:val="es-ES"/>
    </w:rPr>
  </w:style>
  <w:style w:type="character" w:styleId="Refdecomentario">
    <w:name w:val="annotation reference"/>
    <w:basedOn w:val="Fuentedeprrafopredeter"/>
    <w:uiPriority w:val="99"/>
    <w:semiHidden/>
    <w:unhideWhenUsed/>
    <w:rsid w:val="00AE5132"/>
    <w:rPr>
      <w:sz w:val="16"/>
      <w:szCs w:val="16"/>
    </w:rPr>
  </w:style>
  <w:style w:type="paragraph" w:styleId="Textocomentario">
    <w:name w:val="annotation text"/>
    <w:basedOn w:val="Normal"/>
    <w:link w:val="TextocomentarioCar"/>
    <w:uiPriority w:val="99"/>
    <w:semiHidden/>
    <w:unhideWhenUsed/>
    <w:rsid w:val="00AE5132"/>
    <w:rPr>
      <w:sz w:val="20"/>
    </w:rPr>
  </w:style>
  <w:style w:type="character" w:customStyle="1" w:styleId="TextocomentarioCar">
    <w:name w:val="Texto comentario Car"/>
    <w:basedOn w:val="Fuentedeprrafopredeter"/>
    <w:link w:val="Textocomentario"/>
    <w:uiPriority w:val="99"/>
    <w:semiHidden/>
    <w:rsid w:val="00AE513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E51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132"/>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AE5132"/>
    <w:pPr>
      <w:tabs>
        <w:tab w:val="center" w:pos="4419"/>
        <w:tab w:val="right" w:pos="8838"/>
      </w:tabs>
    </w:pPr>
  </w:style>
  <w:style w:type="character" w:customStyle="1" w:styleId="PiedepginaCar">
    <w:name w:val="Pie de página Car"/>
    <w:basedOn w:val="Fuentedeprrafopredeter"/>
    <w:link w:val="Piedepgina"/>
    <w:uiPriority w:val="99"/>
    <w:rsid w:val="00AE5132"/>
    <w:rPr>
      <w:rFonts w:ascii="Times New Roman" w:eastAsia="Times New Roman" w:hAnsi="Times New Roman" w:cs="Times New Roman"/>
      <w:sz w:val="24"/>
      <w:szCs w:val="20"/>
      <w:lang w:val="es-ES_tradnl" w:eastAsia="es-ES"/>
    </w:rPr>
  </w:style>
  <w:style w:type="character" w:customStyle="1" w:styleId="eop">
    <w:name w:val="eop"/>
    <w:basedOn w:val="Fuentedeprrafopredeter"/>
    <w:rsid w:val="00036F9C"/>
  </w:style>
  <w:style w:type="paragraph" w:styleId="Asuntodelcomentario">
    <w:name w:val="annotation subject"/>
    <w:basedOn w:val="Textocomentario"/>
    <w:next w:val="Textocomentario"/>
    <w:link w:val="AsuntodelcomentarioCar"/>
    <w:uiPriority w:val="99"/>
    <w:semiHidden/>
    <w:unhideWhenUsed/>
    <w:rsid w:val="006D48C8"/>
    <w:rPr>
      <w:b/>
      <w:bCs/>
    </w:rPr>
  </w:style>
  <w:style w:type="character" w:customStyle="1" w:styleId="AsuntodelcomentarioCar">
    <w:name w:val="Asunto del comentario Car"/>
    <w:basedOn w:val="TextocomentarioCar"/>
    <w:link w:val="Asuntodelcomentario"/>
    <w:uiPriority w:val="99"/>
    <w:semiHidden/>
    <w:rsid w:val="006D48C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5412">
      <w:bodyDiv w:val="1"/>
      <w:marLeft w:val="0"/>
      <w:marRight w:val="0"/>
      <w:marTop w:val="0"/>
      <w:marBottom w:val="0"/>
      <w:divBdr>
        <w:top w:val="none" w:sz="0" w:space="0" w:color="auto"/>
        <w:left w:val="none" w:sz="0" w:space="0" w:color="auto"/>
        <w:bottom w:val="none" w:sz="0" w:space="0" w:color="auto"/>
        <w:right w:val="none" w:sz="0" w:space="0" w:color="auto"/>
      </w:divBdr>
      <w:divsChild>
        <w:div w:id="435446600">
          <w:marLeft w:val="0"/>
          <w:marRight w:val="0"/>
          <w:marTop w:val="0"/>
          <w:marBottom w:val="0"/>
          <w:divBdr>
            <w:top w:val="none" w:sz="0" w:space="0" w:color="auto"/>
            <w:left w:val="none" w:sz="0" w:space="0" w:color="auto"/>
            <w:bottom w:val="none" w:sz="0" w:space="0" w:color="auto"/>
            <w:right w:val="none" w:sz="0" w:space="0" w:color="auto"/>
          </w:divBdr>
        </w:div>
        <w:div w:id="175443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49df7c27f27646c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63081-B8C7-449B-B88E-3E3389E86413}">
  <ds:schemaRefs>
    <ds:schemaRef ds:uri="http://schemas.microsoft.com/sharepoint/v3/contenttype/forms"/>
  </ds:schemaRefs>
</ds:datastoreItem>
</file>

<file path=customXml/itemProps2.xml><?xml version="1.0" encoding="utf-8"?>
<ds:datastoreItem xmlns:ds="http://schemas.openxmlformats.org/officeDocument/2006/customXml" ds:itemID="{9656A84B-65C5-40B1-ACC6-B1A61FBC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34625-BA65-4F05-B48F-2F744E66C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6957</Words>
  <Characters>38267</Characters>
  <Application>Microsoft Office Word</Application>
  <DocSecurity>0</DocSecurity>
  <Lines>318</Lines>
  <Paragraphs>90</Paragraphs>
  <ScaleCrop>false</ScaleCrop>
  <Company>Rama Judicial</Company>
  <LinksUpToDate>false</LinksUpToDate>
  <CharactersWithSpaces>45134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19</cp:revision>
  <dcterms:created xsi:type="dcterms:W3CDTF">2020-08-28T19:37:00Z</dcterms:created>
  <dcterms:modified xsi:type="dcterms:W3CDTF">2020-11-05T17:29:00Z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