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DEC70" w14:textId="77777777" w:rsidR="0061676E" w:rsidRPr="0061676E" w:rsidRDefault="0061676E" w:rsidP="0061676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61676E">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9546293" w14:textId="77777777" w:rsidR="0061676E" w:rsidRPr="0061676E" w:rsidRDefault="0061676E" w:rsidP="0061676E">
      <w:pPr>
        <w:jc w:val="both"/>
        <w:rPr>
          <w:rFonts w:ascii="Arial" w:hAnsi="Arial" w:cs="Arial"/>
          <w:sz w:val="20"/>
          <w:szCs w:val="20"/>
          <w:lang w:val="es-419"/>
        </w:rPr>
      </w:pPr>
    </w:p>
    <w:p w14:paraId="75566BBA" w14:textId="77777777" w:rsidR="0061676E" w:rsidRPr="0061676E" w:rsidRDefault="0061676E" w:rsidP="0061676E">
      <w:pPr>
        <w:jc w:val="both"/>
        <w:rPr>
          <w:rFonts w:ascii="Arial" w:hAnsi="Arial" w:cs="Arial"/>
          <w:b/>
          <w:bCs/>
          <w:iCs/>
          <w:sz w:val="20"/>
          <w:szCs w:val="20"/>
          <w:lang w:val="es-419" w:eastAsia="fr-FR"/>
        </w:rPr>
      </w:pPr>
      <w:r w:rsidRPr="0061676E">
        <w:rPr>
          <w:rFonts w:ascii="Arial" w:hAnsi="Arial" w:cs="Arial"/>
          <w:b/>
          <w:bCs/>
          <w:iCs/>
          <w:sz w:val="20"/>
          <w:szCs w:val="20"/>
          <w:u w:val="single"/>
          <w:lang w:val="es-419" w:eastAsia="fr-FR"/>
        </w:rPr>
        <w:t>TEMAS:</w:t>
      </w:r>
      <w:r w:rsidRPr="0061676E">
        <w:rPr>
          <w:rFonts w:ascii="Arial" w:hAnsi="Arial" w:cs="Arial"/>
          <w:b/>
          <w:bCs/>
          <w:iCs/>
          <w:sz w:val="20"/>
          <w:szCs w:val="20"/>
          <w:lang w:val="es-419" w:eastAsia="fr-FR"/>
        </w:rPr>
        <w:tab/>
        <w:t xml:space="preserve">COSTAS PROCESALES / TÉRMINO DE PRESCRIPCIÓN / </w:t>
      </w:r>
      <w:r w:rsidRPr="0061676E">
        <w:rPr>
          <w:rFonts w:ascii="Arial" w:hAnsi="Arial" w:cs="Arial"/>
          <w:b/>
          <w:sz w:val="20"/>
          <w:szCs w:val="20"/>
          <w:lang w:val="es-419"/>
        </w:rPr>
        <w:t>SON 3 AÑOS Y NO CINCO / ARTÍCULO 2542 DEL CÓDIGO CIVIL / ES TAMBIÉN LA POSICIÓN DE LA SALA DE CASACIÓN LABORAL DE LA CORTE SUPREMA DE JUSTICIA.</w:t>
      </w:r>
    </w:p>
    <w:p w14:paraId="0F6FC5F8" w14:textId="77777777" w:rsidR="0061676E" w:rsidRPr="0061676E" w:rsidRDefault="0061676E" w:rsidP="0061676E">
      <w:pPr>
        <w:jc w:val="both"/>
        <w:rPr>
          <w:rFonts w:ascii="Arial" w:hAnsi="Arial" w:cs="Arial"/>
          <w:sz w:val="20"/>
          <w:szCs w:val="20"/>
          <w:lang w:val="es-419"/>
        </w:rPr>
      </w:pPr>
    </w:p>
    <w:p w14:paraId="4E0A7743" w14:textId="77777777" w:rsidR="0061676E" w:rsidRPr="0061676E" w:rsidRDefault="0061676E" w:rsidP="0061676E">
      <w:pPr>
        <w:jc w:val="both"/>
        <w:rPr>
          <w:rFonts w:ascii="Arial" w:hAnsi="Arial" w:cs="Arial"/>
          <w:sz w:val="20"/>
          <w:szCs w:val="20"/>
          <w:lang w:val="es-419"/>
        </w:rPr>
      </w:pPr>
      <w:r w:rsidRPr="0061676E">
        <w:rPr>
          <w:rFonts w:ascii="Arial" w:hAnsi="Arial" w:cs="Arial"/>
          <w:sz w:val="20"/>
          <w:szCs w:val="20"/>
          <w:lang w:val="es-419"/>
        </w:rPr>
        <w:t>Las costas procesales son las erogaciones económicas que comporta la atención de un proceso judicial.  Noción que incluye (i) las agencias en derecho, “que consisten en el valor que el juzgador le da al trabajo del profesional del derecho que ha triunfado en el proceso, cuyo pago le corresponde a la parte que resulte vencida judicialmente” (CSJ SL 1107-2019) y (ii) las expensas sufragadas durante el curso del proceso, que son los demás gastos…</w:t>
      </w:r>
    </w:p>
    <w:p w14:paraId="028E19B7" w14:textId="77777777" w:rsidR="0061676E" w:rsidRPr="0061676E" w:rsidRDefault="0061676E" w:rsidP="0061676E">
      <w:pPr>
        <w:jc w:val="both"/>
        <w:rPr>
          <w:rFonts w:ascii="Arial" w:hAnsi="Arial" w:cs="Arial"/>
          <w:sz w:val="20"/>
          <w:szCs w:val="20"/>
          <w:lang w:val="es-419"/>
        </w:rPr>
      </w:pPr>
    </w:p>
    <w:p w14:paraId="207D22D3" w14:textId="77777777" w:rsidR="0061676E" w:rsidRPr="0061676E" w:rsidRDefault="0061676E" w:rsidP="0061676E">
      <w:pPr>
        <w:jc w:val="both"/>
        <w:rPr>
          <w:rFonts w:ascii="Arial" w:hAnsi="Arial" w:cs="Arial"/>
          <w:sz w:val="20"/>
          <w:szCs w:val="20"/>
          <w:lang w:val="es-419"/>
        </w:rPr>
      </w:pPr>
      <w:r w:rsidRPr="0061676E">
        <w:rPr>
          <w:rFonts w:ascii="Arial" w:hAnsi="Arial" w:cs="Arial"/>
          <w:sz w:val="20"/>
          <w:szCs w:val="20"/>
          <w:lang w:val="es-419"/>
        </w:rPr>
        <w:t xml:space="preserve">En cuanto al término prescriptivo de las costas procesales, es preciso traer a colación que la Sala Laboral de la Corte Suprema de Justicia, en la sentencia STL11275 de 2016…, puso de presente el criterio vigente en la materia, señalando que: </w:t>
      </w:r>
    </w:p>
    <w:p w14:paraId="7BADCBF9" w14:textId="77777777" w:rsidR="0061676E" w:rsidRPr="0061676E" w:rsidRDefault="0061676E" w:rsidP="0061676E">
      <w:pPr>
        <w:jc w:val="both"/>
        <w:rPr>
          <w:rFonts w:ascii="Arial" w:hAnsi="Arial" w:cs="Arial"/>
          <w:sz w:val="20"/>
          <w:szCs w:val="20"/>
          <w:lang w:val="es-419"/>
        </w:rPr>
      </w:pPr>
    </w:p>
    <w:p w14:paraId="5576FFB3" w14:textId="77777777" w:rsidR="0061676E" w:rsidRPr="0061676E" w:rsidRDefault="0061676E" w:rsidP="0061676E">
      <w:pPr>
        <w:jc w:val="both"/>
        <w:rPr>
          <w:rFonts w:ascii="Arial" w:hAnsi="Arial" w:cs="Arial"/>
          <w:sz w:val="20"/>
          <w:szCs w:val="20"/>
          <w:lang w:val="es-419"/>
        </w:rPr>
      </w:pPr>
      <w:r w:rsidRPr="0061676E">
        <w:rPr>
          <w:rFonts w:ascii="Arial" w:hAnsi="Arial" w:cs="Arial"/>
          <w:sz w:val="20"/>
          <w:szCs w:val="20"/>
          <w:lang w:val="es-419"/>
        </w:rPr>
        <w:t>“Respecto a la prosperidad de la excepción de prescripción, se encuentra que el señor Acevedo Gutiérrez acudió a la jurisdicción laboral a reclamar a través de proceso ejecutivo a continuación de un ordinario, el reconocimiento y pago de las costas judiciales reconocidas dentro del citado proceso ordinario, por lo tanto debía darse aplicación a las normas que sobre prescripción regule el Código Procesal del Trabajo y de la Seguridad Social y dicho tema lo reglamenta el artículo 151 de esta disposición normativa cuando indica que “Las acciones que emanen de la leyes sociales prescribirán en tres años…”</w:t>
      </w:r>
    </w:p>
    <w:p w14:paraId="513C53C3" w14:textId="77777777" w:rsidR="0061676E" w:rsidRPr="0061676E" w:rsidRDefault="0061676E" w:rsidP="0061676E">
      <w:pPr>
        <w:jc w:val="both"/>
        <w:rPr>
          <w:rFonts w:ascii="Arial" w:hAnsi="Arial" w:cs="Arial"/>
          <w:sz w:val="20"/>
          <w:szCs w:val="20"/>
        </w:rPr>
      </w:pPr>
    </w:p>
    <w:p w14:paraId="12664299" w14:textId="77777777" w:rsidR="0061676E" w:rsidRPr="0061676E" w:rsidRDefault="0061676E" w:rsidP="0061676E">
      <w:pPr>
        <w:jc w:val="both"/>
        <w:rPr>
          <w:rFonts w:ascii="Arial" w:hAnsi="Arial" w:cs="Arial"/>
          <w:sz w:val="20"/>
          <w:szCs w:val="20"/>
        </w:rPr>
      </w:pPr>
      <w:r w:rsidRPr="0061676E">
        <w:rPr>
          <w:rFonts w:ascii="Arial" w:hAnsi="Arial" w:cs="Arial"/>
          <w:sz w:val="20"/>
          <w:szCs w:val="20"/>
        </w:rPr>
        <w:t xml:space="preserve">A su vez, desde el 30 de octubre de 2019 la Sala Laboral de éste Tribunal, abandonó el criterio según el cual, éste correspondía al lapso de cinco (5) años que establece el artículo 2536 del Código Civil y en su lugar, a tono con el precedente vertical, lineó que: </w:t>
      </w:r>
    </w:p>
    <w:p w14:paraId="7815AA7D" w14:textId="77777777" w:rsidR="0061676E" w:rsidRPr="0061676E" w:rsidRDefault="0061676E" w:rsidP="0061676E">
      <w:pPr>
        <w:jc w:val="both"/>
        <w:rPr>
          <w:rFonts w:ascii="Arial" w:hAnsi="Arial" w:cs="Arial"/>
          <w:sz w:val="20"/>
          <w:szCs w:val="20"/>
        </w:rPr>
      </w:pPr>
    </w:p>
    <w:p w14:paraId="723A857A" w14:textId="77777777" w:rsidR="0061676E" w:rsidRPr="0061676E" w:rsidRDefault="0061676E" w:rsidP="0061676E">
      <w:pPr>
        <w:jc w:val="both"/>
        <w:rPr>
          <w:rFonts w:ascii="Arial" w:hAnsi="Arial" w:cs="Arial"/>
          <w:sz w:val="20"/>
          <w:szCs w:val="20"/>
        </w:rPr>
      </w:pPr>
      <w:r w:rsidRPr="0061676E">
        <w:rPr>
          <w:rFonts w:ascii="Arial" w:hAnsi="Arial" w:cs="Arial"/>
          <w:sz w:val="20"/>
          <w:szCs w:val="20"/>
        </w:rPr>
        <w:t>“Si bien en las providencias emanadas de la Sala de Casación Laboral no se hace especial mención a los temas que ha señalado esta Sala de Decisión para concluir que las costas judiciales no son un derecho que emane del Código Sustantivo del Trabajo…, la Sala encuentra que nuestro sistema jurídico, de antaño, tiene prevista una prescripción especial para las acciones que emanen de los “gastos judiciales” y los “honorarios de los defensores”. En efecto, dispone el artículo 2542 del Código Civil:</w:t>
      </w:r>
    </w:p>
    <w:p w14:paraId="4A1F9421" w14:textId="77777777" w:rsidR="0061676E" w:rsidRPr="0061676E" w:rsidRDefault="0061676E" w:rsidP="0061676E">
      <w:pPr>
        <w:jc w:val="both"/>
        <w:rPr>
          <w:rFonts w:ascii="Arial" w:hAnsi="Arial" w:cs="Arial"/>
          <w:sz w:val="20"/>
          <w:szCs w:val="20"/>
        </w:rPr>
      </w:pPr>
    </w:p>
    <w:p w14:paraId="388284BD" w14:textId="77777777" w:rsidR="0061676E" w:rsidRPr="0061676E" w:rsidRDefault="0061676E" w:rsidP="0061676E">
      <w:pPr>
        <w:jc w:val="both"/>
        <w:rPr>
          <w:rFonts w:ascii="Arial" w:hAnsi="Arial" w:cs="Arial"/>
          <w:sz w:val="20"/>
          <w:szCs w:val="20"/>
        </w:rPr>
      </w:pPr>
      <w:r w:rsidRPr="0061676E">
        <w:rPr>
          <w:rFonts w:ascii="Arial" w:hAnsi="Arial" w:cs="Arial"/>
          <w:sz w:val="20"/>
          <w:szCs w:val="20"/>
        </w:rPr>
        <w:t>“Prescriben en tres años los gastos judiciales enumerados en el título VII, libro I del Código Judicial de la Unión, incluso los honorarios de los defensores…”.</w:t>
      </w:r>
    </w:p>
    <w:p w14:paraId="022B1CD5" w14:textId="77777777" w:rsidR="0061676E" w:rsidRPr="0061676E" w:rsidRDefault="0061676E" w:rsidP="0061676E">
      <w:pPr>
        <w:jc w:val="both"/>
        <w:rPr>
          <w:rFonts w:ascii="Arial" w:hAnsi="Arial" w:cs="Arial"/>
          <w:sz w:val="20"/>
          <w:szCs w:val="20"/>
        </w:rPr>
      </w:pPr>
    </w:p>
    <w:p w14:paraId="4AFDC682" w14:textId="77777777" w:rsidR="0061676E" w:rsidRPr="0061676E" w:rsidRDefault="0061676E" w:rsidP="0061676E">
      <w:pPr>
        <w:jc w:val="both"/>
        <w:rPr>
          <w:rFonts w:ascii="Arial" w:hAnsi="Arial" w:cs="Arial"/>
          <w:sz w:val="20"/>
          <w:szCs w:val="20"/>
        </w:rPr>
      </w:pPr>
    </w:p>
    <w:p w14:paraId="04B54CBD" w14:textId="77777777" w:rsidR="0061676E" w:rsidRPr="0061676E" w:rsidRDefault="0061676E" w:rsidP="0061676E">
      <w:pPr>
        <w:jc w:val="both"/>
        <w:rPr>
          <w:rFonts w:ascii="Arial" w:hAnsi="Arial" w:cs="Arial"/>
          <w:sz w:val="20"/>
          <w:szCs w:val="20"/>
        </w:rPr>
      </w:pPr>
    </w:p>
    <w:p w14:paraId="6E32A2C1" w14:textId="66C5F82D" w:rsidR="00DC48F2" w:rsidRPr="00644AEB" w:rsidRDefault="00DC48F2" w:rsidP="00644AEB">
      <w:pPr>
        <w:pStyle w:val="Ttulo"/>
        <w:spacing w:line="276" w:lineRule="auto"/>
        <w:rPr>
          <w:rFonts w:ascii="Arial" w:hAnsi="Arial"/>
          <w:bCs/>
          <w:spacing w:val="12"/>
          <w:lang w:val="es-ES_tradnl"/>
        </w:rPr>
      </w:pPr>
      <w:r w:rsidRPr="00644AEB">
        <w:rPr>
          <w:rFonts w:ascii="Arial" w:hAnsi="Arial"/>
          <w:bCs/>
          <w:spacing w:val="12"/>
          <w:lang w:val="es-ES_tradnl"/>
        </w:rPr>
        <w:t>REPÚBLICA DE COLOMBIA</w:t>
      </w:r>
    </w:p>
    <w:p w14:paraId="279ABD1A" w14:textId="77777777" w:rsidR="00DC48F2" w:rsidRPr="00644AEB" w:rsidRDefault="00C6280C" w:rsidP="00644AEB">
      <w:pPr>
        <w:tabs>
          <w:tab w:val="left" w:pos="3060"/>
        </w:tabs>
        <w:spacing w:line="276" w:lineRule="auto"/>
        <w:jc w:val="center"/>
        <w:rPr>
          <w:rFonts w:ascii="Arial" w:hAnsi="Arial" w:cs="Arial"/>
          <w:b/>
          <w:bCs/>
          <w:spacing w:val="12"/>
        </w:rPr>
      </w:pPr>
      <w:r w:rsidRPr="00644AEB">
        <w:rPr>
          <w:rFonts w:ascii="Arial" w:hAnsi="Arial" w:cs="Arial"/>
          <w:b/>
          <w:bCs/>
          <w:noProof/>
          <w:spacing w:val="12"/>
        </w:rPr>
        <w:object w:dxaOrig="2289" w:dyaOrig="1470" w14:anchorId="37CFD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55pt;height:65.9pt;mso-width-percent:0;mso-height-percent:0;mso-width-percent:0;mso-height-percent:0" o:ole="" fillcolor="window">
            <v:imagedata r:id="rId12" o:title=""/>
          </v:shape>
          <o:OLEObject Type="Embed" ProgID="Word.Picture.8" ShapeID="_x0000_i1025" DrawAspect="Content" ObjectID="_1666701311" r:id="rId13"/>
        </w:object>
      </w:r>
    </w:p>
    <w:p w14:paraId="76555300" w14:textId="77777777" w:rsidR="00DC48F2" w:rsidRPr="00644AEB" w:rsidRDefault="00DC48F2" w:rsidP="00644AEB">
      <w:pPr>
        <w:tabs>
          <w:tab w:val="left" w:pos="3060"/>
        </w:tabs>
        <w:spacing w:line="276" w:lineRule="auto"/>
        <w:jc w:val="center"/>
        <w:rPr>
          <w:rFonts w:ascii="Arial" w:hAnsi="Arial" w:cs="Arial"/>
          <w:b/>
          <w:bCs/>
          <w:spacing w:val="4"/>
        </w:rPr>
      </w:pPr>
      <w:r w:rsidRPr="00644AEB">
        <w:rPr>
          <w:rFonts w:ascii="Arial" w:hAnsi="Arial" w:cs="Arial"/>
          <w:b/>
          <w:bCs/>
          <w:spacing w:val="4"/>
        </w:rPr>
        <w:t>TRIBUNAL SUPERIOR DE DISTRITO JUDICIAL DE PEREIRA</w:t>
      </w:r>
    </w:p>
    <w:p w14:paraId="425E2EEC" w14:textId="77777777" w:rsidR="00DC48F2" w:rsidRPr="00644AEB" w:rsidRDefault="00DC48F2" w:rsidP="00644AEB">
      <w:pPr>
        <w:pStyle w:val="Ttulo1"/>
        <w:spacing w:before="0" w:line="276" w:lineRule="auto"/>
        <w:jc w:val="center"/>
        <w:rPr>
          <w:rFonts w:ascii="Arial" w:eastAsia="Times New Roman" w:hAnsi="Arial" w:cs="Arial"/>
          <w:b/>
          <w:bCs/>
          <w:color w:val="auto"/>
          <w:spacing w:val="4"/>
          <w:sz w:val="24"/>
          <w:szCs w:val="24"/>
        </w:rPr>
      </w:pPr>
      <w:r w:rsidRPr="00644AEB">
        <w:rPr>
          <w:rFonts w:ascii="Arial" w:eastAsia="Times New Roman" w:hAnsi="Arial" w:cs="Arial"/>
          <w:b/>
          <w:bCs/>
          <w:color w:val="auto"/>
          <w:spacing w:val="4"/>
          <w:sz w:val="24"/>
          <w:szCs w:val="24"/>
        </w:rPr>
        <w:t xml:space="preserve">SALA CUARTA DE DECISIÓN LABORAL </w:t>
      </w:r>
    </w:p>
    <w:p w14:paraId="323ADA65" w14:textId="77777777" w:rsidR="00DC48F2" w:rsidRPr="00644AEB" w:rsidRDefault="00DC48F2" w:rsidP="00644AEB">
      <w:pPr>
        <w:pStyle w:val="Sinespaciado"/>
        <w:spacing w:line="276" w:lineRule="auto"/>
        <w:rPr>
          <w:rFonts w:ascii="Arial" w:hAnsi="Arial" w:cs="Arial"/>
          <w:spacing w:val="4"/>
        </w:rPr>
      </w:pPr>
    </w:p>
    <w:p w14:paraId="16D9132F" w14:textId="52FEFC7F" w:rsidR="00DC48F2" w:rsidRPr="00644AEB" w:rsidRDefault="00644AEB" w:rsidP="00644AEB">
      <w:pPr>
        <w:spacing w:line="276" w:lineRule="auto"/>
        <w:jc w:val="center"/>
        <w:rPr>
          <w:rFonts w:ascii="Arial" w:hAnsi="Arial" w:cs="Arial"/>
          <w:spacing w:val="4"/>
        </w:rPr>
      </w:pPr>
      <w:r w:rsidRPr="00644AEB">
        <w:rPr>
          <w:rFonts w:ascii="Arial" w:hAnsi="Arial" w:cs="Arial"/>
          <w:spacing w:val="4"/>
        </w:rPr>
        <w:t>Magistrada Ponente</w:t>
      </w:r>
      <w:r w:rsidR="00DC48F2" w:rsidRPr="00644AEB">
        <w:rPr>
          <w:rFonts w:ascii="Arial" w:hAnsi="Arial" w:cs="Arial"/>
          <w:spacing w:val="4"/>
        </w:rPr>
        <w:t xml:space="preserve">: </w:t>
      </w:r>
    </w:p>
    <w:p w14:paraId="42C78390" w14:textId="77777777" w:rsidR="00DC48F2" w:rsidRPr="00644AEB" w:rsidRDefault="00DC48F2" w:rsidP="00644AEB">
      <w:pPr>
        <w:spacing w:line="276" w:lineRule="auto"/>
        <w:jc w:val="center"/>
        <w:rPr>
          <w:rFonts w:ascii="Arial" w:hAnsi="Arial" w:cs="Arial"/>
          <w:b/>
          <w:bCs/>
          <w:spacing w:val="4"/>
        </w:rPr>
      </w:pPr>
      <w:r w:rsidRPr="00644AEB">
        <w:rPr>
          <w:rFonts w:ascii="Arial" w:hAnsi="Arial" w:cs="Arial"/>
          <w:b/>
          <w:bCs/>
          <w:spacing w:val="4"/>
        </w:rPr>
        <w:t>ALEJANDRA MARÍA HENAO PALACIO</w:t>
      </w:r>
    </w:p>
    <w:p w14:paraId="7B0F0A3E" w14:textId="77777777" w:rsidR="00DC48F2" w:rsidRPr="00644AEB" w:rsidRDefault="00DC48F2" w:rsidP="00644AEB">
      <w:pPr>
        <w:pStyle w:val="Sinespaciado"/>
        <w:spacing w:line="276" w:lineRule="auto"/>
        <w:rPr>
          <w:rFonts w:ascii="Arial" w:hAnsi="Arial" w:cs="Arial"/>
          <w:spacing w:val="4"/>
        </w:rPr>
      </w:pPr>
    </w:p>
    <w:tbl>
      <w:tblPr>
        <w:tblStyle w:val="Tablaconcuadrcula"/>
        <w:tblW w:w="8505" w:type="dxa"/>
        <w:jc w:val="center"/>
        <w:tblLook w:val="04A0" w:firstRow="1" w:lastRow="0" w:firstColumn="1" w:lastColumn="0" w:noHBand="0" w:noVBand="1"/>
      </w:tblPr>
      <w:tblGrid>
        <w:gridCol w:w="2127"/>
        <w:gridCol w:w="6378"/>
      </w:tblGrid>
      <w:tr w:rsidR="00644AEB" w:rsidRPr="00644AEB" w14:paraId="6CEEDAE4" w14:textId="77777777" w:rsidTr="00DC48F2">
        <w:trPr>
          <w:jc w:val="center"/>
        </w:trPr>
        <w:tc>
          <w:tcPr>
            <w:tcW w:w="2127" w:type="dxa"/>
            <w:vAlign w:val="center"/>
          </w:tcPr>
          <w:p w14:paraId="0B08F20D" w14:textId="77777777" w:rsidR="00DC48F2" w:rsidRPr="00644AEB" w:rsidRDefault="00DC48F2" w:rsidP="00644AEB">
            <w:pPr>
              <w:rPr>
                <w:rFonts w:ascii="Arial" w:hAnsi="Arial" w:cs="Arial"/>
                <w:spacing w:val="4"/>
                <w:sz w:val="22"/>
              </w:rPr>
            </w:pPr>
            <w:r w:rsidRPr="00644AEB">
              <w:rPr>
                <w:rFonts w:ascii="Arial" w:hAnsi="Arial" w:cs="Arial"/>
                <w:spacing w:val="4"/>
                <w:sz w:val="22"/>
              </w:rPr>
              <w:t>Demandante:</w:t>
            </w:r>
          </w:p>
        </w:tc>
        <w:tc>
          <w:tcPr>
            <w:tcW w:w="6378" w:type="dxa"/>
          </w:tcPr>
          <w:p w14:paraId="713A8435" w14:textId="495B45F7" w:rsidR="00DC48F2" w:rsidRPr="00644AEB" w:rsidRDefault="00644AEB" w:rsidP="00644AEB">
            <w:pPr>
              <w:jc w:val="both"/>
              <w:rPr>
                <w:rFonts w:ascii="Arial" w:hAnsi="Arial" w:cs="Arial"/>
                <w:spacing w:val="4"/>
                <w:sz w:val="22"/>
              </w:rPr>
            </w:pPr>
            <w:r w:rsidRPr="00644AEB">
              <w:rPr>
                <w:rFonts w:ascii="Arial" w:hAnsi="Arial" w:cs="Arial"/>
                <w:spacing w:val="4"/>
                <w:sz w:val="22"/>
              </w:rPr>
              <w:t xml:space="preserve">Georgina Laverde Pérez </w:t>
            </w:r>
          </w:p>
        </w:tc>
      </w:tr>
      <w:tr w:rsidR="00644AEB" w:rsidRPr="00644AEB" w14:paraId="4111A5F3" w14:textId="77777777" w:rsidTr="00DC48F2">
        <w:trPr>
          <w:jc w:val="center"/>
        </w:trPr>
        <w:tc>
          <w:tcPr>
            <w:tcW w:w="2127" w:type="dxa"/>
            <w:vAlign w:val="center"/>
          </w:tcPr>
          <w:p w14:paraId="22503D90" w14:textId="77777777" w:rsidR="00DC48F2" w:rsidRPr="00644AEB" w:rsidRDefault="00DC48F2" w:rsidP="00644AEB">
            <w:pPr>
              <w:rPr>
                <w:rFonts w:ascii="Arial" w:hAnsi="Arial" w:cs="Arial"/>
                <w:spacing w:val="4"/>
                <w:sz w:val="22"/>
              </w:rPr>
            </w:pPr>
            <w:r w:rsidRPr="00644AEB">
              <w:rPr>
                <w:rFonts w:ascii="Arial" w:hAnsi="Arial" w:cs="Arial"/>
                <w:spacing w:val="4"/>
                <w:sz w:val="22"/>
              </w:rPr>
              <w:t>Demandado:</w:t>
            </w:r>
          </w:p>
        </w:tc>
        <w:tc>
          <w:tcPr>
            <w:tcW w:w="6378" w:type="dxa"/>
          </w:tcPr>
          <w:p w14:paraId="7B5683F7" w14:textId="00B9BAE3" w:rsidR="00DC48F2" w:rsidRPr="00644AEB" w:rsidRDefault="001F4783" w:rsidP="00644AEB">
            <w:pPr>
              <w:jc w:val="both"/>
              <w:rPr>
                <w:rFonts w:ascii="Arial" w:hAnsi="Arial" w:cs="Arial"/>
                <w:spacing w:val="4"/>
                <w:sz w:val="22"/>
              </w:rPr>
            </w:pPr>
            <w:r w:rsidRPr="00644AEB">
              <w:rPr>
                <w:rFonts w:ascii="Arial" w:hAnsi="Arial" w:cs="Arial"/>
                <w:spacing w:val="4"/>
                <w:sz w:val="22"/>
              </w:rPr>
              <w:t>COLPENSIONES</w:t>
            </w:r>
          </w:p>
        </w:tc>
      </w:tr>
      <w:tr w:rsidR="00644AEB" w:rsidRPr="00644AEB" w14:paraId="04EBDBDC" w14:textId="77777777" w:rsidTr="00DC48F2">
        <w:trPr>
          <w:jc w:val="center"/>
        </w:trPr>
        <w:tc>
          <w:tcPr>
            <w:tcW w:w="2127" w:type="dxa"/>
            <w:vAlign w:val="center"/>
          </w:tcPr>
          <w:p w14:paraId="5D1821A2" w14:textId="77777777" w:rsidR="00DC48F2" w:rsidRPr="00644AEB" w:rsidRDefault="00DC48F2" w:rsidP="00644AEB">
            <w:pPr>
              <w:rPr>
                <w:rFonts w:ascii="Arial" w:hAnsi="Arial" w:cs="Arial"/>
                <w:spacing w:val="4"/>
                <w:sz w:val="22"/>
              </w:rPr>
            </w:pPr>
            <w:r w:rsidRPr="00644AEB">
              <w:rPr>
                <w:rFonts w:ascii="Arial" w:hAnsi="Arial" w:cs="Arial"/>
                <w:spacing w:val="4"/>
                <w:sz w:val="22"/>
              </w:rPr>
              <w:t>Radicación No.</w:t>
            </w:r>
          </w:p>
        </w:tc>
        <w:tc>
          <w:tcPr>
            <w:tcW w:w="6378" w:type="dxa"/>
          </w:tcPr>
          <w:p w14:paraId="01CF3333" w14:textId="733E2629" w:rsidR="00DC48F2" w:rsidRPr="00644AEB" w:rsidRDefault="001F4783" w:rsidP="00644AEB">
            <w:pPr>
              <w:jc w:val="both"/>
              <w:rPr>
                <w:rFonts w:ascii="Arial" w:hAnsi="Arial" w:cs="Arial"/>
                <w:spacing w:val="4"/>
                <w:sz w:val="22"/>
              </w:rPr>
            </w:pPr>
            <w:r w:rsidRPr="00644AEB">
              <w:rPr>
                <w:rFonts w:ascii="Arial" w:hAnsi="Arial" w:cs="Arial"/>
                <w:spacing w:val="4"/>
                <w:sz w:val="22"/>
              </w:rPr>
              <w:t>66001-31-05-</w:t>
            </w:r>
            <w:r w:rsidR="00AD0555" w:rsidRPr="00644AEB">
              <w:rPr>
                <w:rFonts w:ascii="Arial" w:hAnsi="Arial" w:cs="Arial"/>
                <w:spacing w:val="4"/>
                <w:sz w:val="22"/>
              </w:rPr>
              <w:t>002-2007-00939</w:t>
            </w:r>
            <w:r w:rsidRPr="00644AEB">
              <w:rPr>
                <w:rFonts w:ascii="Arial" w:hAnsi="Arial" w:cs="Arial"/>
                <w:spacing w:val="4"/>
                <w:sz w:val="22"/>
              </w:rPr>
              <w:t>-02</w:t>
            </w:r>
          </w:p>
        </w:tc>
      </w:tr>
      <w:tr w:rsidR="00644AEB" w:rsidRPr="00644AEB" w14:paraId="07C15264" w14:textId="77777777" w:rsidTr="00DC48F2">
        <w:trPr>
          <w:jc w:val="center"/>
        </w:trPr>
        <w:tc>
          <w:tcPr>
            <w:tcW w:w="2127" w:type="dxa"/>
            <w:vAlign w:val="center"/>
          </w:tcPr>
          <w:p w14:paraId="675E4078" w14:textId="77777777" w:rsidR="00DC48F2" w:rsidRPr="00644AEB" w:rsidRDefault="00DC48F2" w:rsidP="00644AEB">
            <w:pPr>
              <w:rPr>
                <w:rFonts w:ascii="Arial" w:hAnsi="Arial" w:cs="Arial"/>
                <w:spacing w:val="4"/>
                <w:sz w:val="22"/>
              </w:rPr>
            </w:pPr>
            <w:r w:rsidRPr="00644AEB">
              <w:rPr>
                <w:rFonts w:ascii="Arial" w:hAnsi="Arial" w:cs="Arial"/>
                <w:spacing w:val="4"/>
                <w:sz w:val="22"/>
              </w:rPr>
              <w:t>Juzgado origen:</w:t>
            </w:r>
          </w:p>
        </w:tc>
        <w:tc>
          <w:tcPr>
            <w:tcW w:w="6378" w:type="dxa"/>
          </w:tcPr>
          <w:p w14:paraId="25DC193F" w14:textId="0F0DEE9C" w:rsidR="00DC48F2" w:rsidRPr="00644AEB" w:rsidRDefault="00644AEB" w:rsidP="00644AEB">
            <w:pPr>
              <w:jc w:val="both"/>
              <w:rPr>
                <w:rFonts w:ascii="Arial" w:hAnsi="Arial" w:cs="Arial"/>
                <w:spacing w:val="4"/>
                <w:sz w:val="22"/>
              </w:rPr>
            </w:pPr>
            <w:r w:rsidRPr="00644AEB">
              <w:rPr>
                <w:rFonts w:ascii="Arial" w:hAnsi="Arial" w:cs="Arial"/>
                <w:spacing w:val="4"/>
                <w:sz w:val="22"/>
              </w:rPr>
              <w:t xml:space="preserve">Segundo Laboral del Circuito de Pereira </w:t>
            </w:r>
          </w:p>
        </w:tc>
      </w:tr>
      <w:tr w:rsidR="00644AEB" w:rsidRPr="00644AEB" w14:paraId="62FBA624" w14:textId="77777777" w:rsidTr="00DC48F2">
        <w:trPr>
          <w:jc w:val="center"/>
        </w:trPr>
        <w:tc>
          <w:tcPr>
            <w:tcW w:w="2127" w:type="dxa"/>
            <w:vAlign w:val="center"/>
          </w:tcPr>
          <w:p w14:paraId="1E828B44" w14:textId="77777777" w:rsidR="00DC48F2" w:rsidRPr="00644AEB" w:rsidRDefault="00DC48F2" w:rsidP="00644AEB">
            <w:pPr>
              <w:rPr>
                <w:rFonts w:ascii="Arial" w:hAnsi="Arial" w:cs="Arial"/>
                <w:spacing w:val="4"/>
                <w:sz w:val="22"/>
              </w:rPr>
            </w:pPr>
            <w:r w:rsidRPr="00644AEB">
              <w:rPr>
                <w:rFonts w:ascii="Arial" w:hAnsi="Arial" w:cs="Arial"/>
                <w:spacing w:val="4"/>
                <w:sz w:val="22"/>
              </w:rPr>
              <w:t>Tipo de proceso:</w:t>
            </w:r>
          </w:p>
        </w:tc>
        <w:tc>
          <w:tcPr>
            <w:tcW w:w="6378" w:type="dxa"/>
          </w:tcPr>
          <w:p w14:paraId="11256761" w14:textId="4735DAB2" w:rsidR="00DC48F2" w:rsidRPr="00644AEB" w:rsidRDefault="00644AEB" w:rsidP="00644AEB">
            <w:pPr>
              <w:jc w:val="both"/>
              <w:rPr>
                <w:rFonts w:ascii="Arial" w:hAnsi="Arial" w:cs="Arial"/>
                <w:spacing w:val="4"/>
                <w:sz w:val="22"/>
              </w:rPr>
            </w:pPr>
            <w:r w:rsidRPr="00644AEB">
              <w:rPr>
                <w:rFonts w:ascii="Arial" w:hAnsi="Arial" w:cs="Arial"/>
                <w:spacing w:val="4"/>
                <w:sz w:val="22"/>
              </w:rPr>
              <w:t xml:space="preserve">Ejecutivo Laboral </w:t>
            </w:r>
          </w:p>
        </w:tc>
      </w:tr>
      <w:tr w:rsidR="00644AEB" w:rsidRPr="00644AEB" w14:paraId="6AB0E5EA" w14:textId="77777777" w:rsidTr="00DC48F2">
        <w:trPr>
          <w:jc w:val="center"/>
        </w:trPr>
        <w:tc>
          <w:tcPr>
            <w:tcW w:w="2127" w:type="dxa"/>
            <w:vAlign w:val="center"/>
          </w:tcPr>
          <w:p w14:paraId="6B218BDE" w14:textId="77777777" w:rsidR="00DC48F2" w:rsidRPr="00644AEB" w:rsidRDefault="00DC48F2" w:rsidP="00644AEB">
            <w:pPr>
              <w:rPr>
                <w:rFonts w:ascii="Arial" w:hAnsi="Arial" w:cs="Arial"/>
                <w:spacing w:val="4"/>
                <w:sz w:val="22"/>
              </w:rPr>
            </w:pPr>
            <w:r w:rsidRPr="00644AEB">
              <w:rPr>
                <w:rFonts w:ascii="Arial" w:hAnsi="Arial" w:cs="Arial"/>
                <w:spacing w:val="4"/>
                <w:sz w:val="22"/>
              </w:rPr>
              <w:t>Providencia:</w:t>
            </w:r>
          </w:p>
        </w:tc>
        <w:tc>
          <w:tcPr>
            <w:tcW w:w="6378" w:type="dxa"/>
          </w:tcPr>
          <w:p w14:paraId="00FFA6DC" w14:textId="0F829BF3" w:rsidR="00DC48F2" w:rsidRPr="00644AEB" w:rsidRDefault="00644AEB" w:rsidP="00644AEB">
            <w:pPr>
              <w:jc w:val="both"/>
              <w:rPr>
                <w:rFonts w:ascii="Arial" w:hAnsi="Arial" w:cs="Arial"/>
                <w:spacing w:val="4"/>
                <w:sz w:val="22"/>
              </w:rPr>
            </w:pPr>
            <w:r w:rsidRPr="00644AEB">
              <w:rPr>
                <w:rFonts w:ascii="Arial" w:hAnsi="Arial" w:cs="Arial"/>
                <w:spacing w:val="4"/>
                <w:sz w:val="22"/>
              </w:rPr>
              <w:t>Auto Interlocutorio</w:t>
            </w:r>
          </w:p>
        </w:tc>
      </w:tr>
      <w:tr w:rsidR="00DC7610" w:rsidRPr="00644AEB" w14:paraId="2DC22216" w14:textId="77777777" w:rsidTr="00DC48F2">
        <w:trPr>
          <w:trHeight w:val="77"/>
          <w:jc w:val="center"/>
        </w:trPr>
        <w:tc>
          <w:tcPr>
            <w:tcW w:w="2127" w:type="dxa"/>
            <w:vAlign w:val="center"/>
          </w:tcPr>
          <w:p w14:paraId="1F71315B" w14:textId="77777777" w:rsidR="00DC48F2" w:rsidRPr="00644AEB" w:rsidRDefault="00DC48F2" w:rsidP="00644AEB">
            <w:pPr>
              <w:rPr>
                <w:rFonts w:ascii="Arial" w:hAnsi="Arial" w:cs="Arial"/>
                <w:spacing w:val="4"/>
                <w:sz w:val="22"/>
              </w:rPr>
            </w:pPr>
            <w:r w:rsidRPr="00644AEB">
              <w:rPr>
                <w:rFonts w:ascii="Arial" w:hAnsi="Arial" w:cs="Arial"/>
                <w:spacing w:val="4"/>
                <w:sz w:val="22"/>
              </w:rPr>
              <w:t>Decisión:</w:t>
            </w:r>
          </w:p>
        </w:tc>
        <w:tc>
          <w:tcPr>
            <w:tcW w:w="6378" w:type="dxa"/>
          </w:tcPr>
          <w:p w14:paraId="547F2BDA" w14:textId="4BB5DBBC" w:rsidR="00DC48F2" w:rsidRPr="00644AEB" w:rsidRDefault="00AD0555" w:rsidP="00644AEB">
            <w:pPr>
              <w:jc w:val="both"/>
              <w:rPr>
                <w:rFonts w:ascii="Arial" w:hAnsi="Arial" w:cs="Arial"/>
                <w:b/>
                <w:bCs/>
                <w:spacing w:val="4"/>
                <w:sz w:val="22"/>
              </w:rPr>
            </w:pPr>
            <w:r w:rsidRPr="00644AEB">
              <w:rPr>
                <w:rFonts w:ascii="Arial" w:hAnsi="Arial" w:cs="Arial"/>
                <w:b/>
                <w:bCs/>
                <w:spacing w:val="4"/>
                <w:sz w:val="22"/>
              </w:rPr>
              <w:t>CONFIRMA</w:t>
            </w:r>
          </w:p>
        </w:tc>
      </w:tr>
    </w:tbl>
    <w:p w14:paraId="0BA2824F" w14:textId="77777777" w:rsidR="00DC48F2" w:rsidRPr="00644AEB" w:rsidRDefault="00DC48F2" w:rsidP="00644AEB">
      <w:pPr>
        <w:spacing w:line="276" w:lineRule="auto"/>
        <w:rPr>
          <w:rFonts w:ascii="Arial" w:hAnsi="Arial" w:cs="Arial"/>
          <w:spacing w:val="4"/>
        </w:rPr>
      </w:pPr>
    </w:p>
    <w:p w14:paraId="1CE01D3E" w14:textId="77777777" w:rsidR="007B635E" w:rsidRPr="00644AEB" w:rsidRDefault="007B635E" w:rsidP="00644AEB">
      <w:pPr>
        <w:spacing w:line="276" w:lineRule="auto"/>
        <w:jc w:val="center"/>
        <w:rPr>
          <w:rFonts w:ascii="Arial" w:hAnsi="Arial" w:cs="Arial"/>
          <w:spacing w:val="4"/>
        </w:rPr>
      </w:pPr>
      <w:r w:rsidRPr="00644AEB">
        <w:rPr>
          <w:rFonts w:ascii="Arial" w:hAnsi="Arial" w:cs="Arial"/>
          <w:spacing w:val="4"/>
        </w:rPr>
        <w:t>Registro del proyecto: quince (15) de octubre de 2020</w:t>
      </w:r>
    </w:p>
    <w:p w14:paraId="5CCE8CFE" w14:textId="77777777" w:rsidR="007B635E" w:rsidRDefault="007B635E" w:rsidP="00644AEB">
      <w:pPr>
        <w:spacing w:line="276" w:lineRule="auto"/>
        <w:jc w:val="center"/>
        <w:rPr>
          <w:rFonts w:ascii="Arial" w:hAnsi="Arial" w:cs="Arial"/>
          <w:spacing w:val="4"/>
        </w:rPr>
      </w:pPr>
      <w:r w:rsidRPr="00644AEB">
        <w:rPr>
          <w:rFonts w:ascii="Arial" w:hAnsi="Arial" w:cs="Arial"/>
          <w:spacing w:val="4"/>
        </w:rPr>
        <w:lastRenderedPageBreak/>
        <w:t>Acta de discusión No. 153 del veinte (20) de octubre de 2020</w:t>
      </w:r>
    </w:p>
    <w:p w14:paraId="20A56112" w14:textId="77777777" w:rsidR="00644AEB" w:rsidRPr="00644AEB" w:rsidRDefault="00644AEB" w:rsidP="00644AEB">
      <w:pPr>
        <w:spacing w:line="276" w:lineRule="auto"/>
        <w:jc w:val="center"/>
        <w:rPr>
          <w:rFonts w:ascii="Arial" w:hAnsi="Arial" w:cs="Arial"/>
          <w:spacing w:val="4"/>
        </w:rPr>
      </w:pPr>
    </w:p>
    <w:p w14:paraId="7B03D253" w14:textId="77777777" w:rsidR="007B635E" w:rsidRPr="00644AEB" w:rsidRDefault="007B635E" w:rsidP="00644AEB">
      <w:pPr>
        <w:spacing w:line="276" w:lineRule="auto"/>
        <w:jc w:val="center"/>
        <w:rPr>
          <w:rFonts w:ascii="Arial" w:hAnsi="Arial" w:cs="Arial"/>
          <w:spacing w:val="4"/>
        </w:rPr>
      </w:pPr>
      <w:r w:rsidRPr="00644AEB">
        <w:rPr>
          <w:rFonts w:ascii="Arial" w:hAnsi="Arial" w:cs="Arial"/>
          <w:spacing w:val="4"/>
        </w:rPr>
        <w:t>Pereira, Risaralda, veintiséis (26) de octubre de dos mil veinte (2020)</w:t>
      </w:r>
    </w:p>
    <w:p w14:paraId="522E90CE" w14:textId="77777777" w:rsidR="003945C2" w:rsidRPr="00644AEB" w:rsidRDefault="003945C2" w:rsidP="00644AEB">
      <w:pPr>
        <w:spacing w:line="276" w:lineRule="auto"/>
        <w:jc w:val="both"/>
        <w:rPr>
          <w:rFonts w:ascii="Arial" w:hAnsi="Arial" w:cs="Arial"/>
          <w:spacing w:val="4"/>
          <w:lang w:val="es-ES_tradnl"/>
        </w:rPr>
      </w:pPr>
    </w:p>
    <w:p w14:paraId="5F7610D7" w14:textId="0C7361B3" w:rsidR="003945C2" w:rsidRPr="00644AEB" w:rsidRDefault="003945C2" w:rsidP="00644AEB">
      <w:pPr>
        <w:spacing w:line="276" w:lineRule="auto"/>
        <w:jc w:val="both"/>
        <w:rPr>
          <w:rFonts w:ascii="Arial" w:hAnsi="Arial" w:cs="Arial"/>
          <w:spacing w:val="4"/>
        </w:rPr>
      </w:pPr>
      <w:r w:rsidRPr="00644AEB">
        <w:rPr>
          <w:rFonts w:ascii="Arial" w:hAnsi="Arial" w:cs="Arial"/>
          <w:spacing w:val="4"/>
        </w:rPr>
        <w:t>De conformidad con el numeral </w:t>
      </w:r>
      <w:r w:rsidR="00AD0555" w:rsidRPr="00644AEB">
        <w:rPr>
          <w:rFonts w:ascii="Arial" w:hAnsi="Arial" w:cs="Arial"/>
          <w:spacing w:val="4"/>
        </w:rPr>
        <w:t>2</w:t>
      </w:r>
      <w:r w:rsidRPr="00644AEB">
        <w:rPr>
          <w:rFonts w:ascii="Arial" w:hAnsi="Arial" w:cs="Arial"/>
          <w:spacing w:val="4"/>
        </w:rPr>
        <w:t xml:space="preserve">º del artículo 15 del Decreto 806 del 04 de junio de 2020, según el cual </w:t>
      </w:r>
      <w:r w:rsidR="00AD0555" w:rsidRPr="00644AEB">
        <w:rPr>
          <w:rFonts w:ascii="Arial" w:hAnsi="Arial" w:cs="Arial"/>
          <w:spacing w:val="4"/>
        </w:rPr>
        <w:t>los autos</w:t>
      </w:r>
      <w:r w:rsidRPr="00644AEB">
        <w:rPr>
          <w:rFonts w:ascii="Arial" w:hAnsi="Arial" w:cs="Arial"/>
          <w:spacing w:val="4"/>
        </w:rPr>
        <w:t> de segunda instancia en materia laboral deben</w:t>
      </w:r>
      <w:r w:rsidR="00AD0555" w:rsidRPr="00644AEB">
        <w:rPr>
          <w:rFonts w:ascii="Arial" w:hAnsi="Arial" w:cs="Arial"/>
          <w:spacing w:val="4"/>
        </w:rPr>
        <w:t xml:space="preserve"> </w:t>
      </w:r>
      <w:r w:rsidRPr="00644AEB">
        <w:rPr>
          <w:rFonts w:ascii="Arial" w:hAnsi="Arial" w:cs="Arial"/>
          <w:spacing w:val="4"/>
        </w:rPr>
        <w:t xml:space="preserve">proferirse de manera escrita, procede la Sala Cuarta de Decisión Laboral del Tribunal Superior de Pereira, integrada por las magistradas </w:t>
      </w:r>
      <w:r w:rsidRPr="00644AEB">
        <w:rPr>
          <w:rFonts w:ascii="Arial" w:hAnsi="Arial" w:cs="Arial"/>
          <w:b/>
          <w:bCs/>
          <w:spacing w:val="4"/>
        </w:rPr>
        <w:t xml:space="preserve">ALEJANDRA MARÍA HENAO PALACIO (ponente), ANA LUCÍA CAICEDO CALDERÓN </w:t>
      </w:r>
      <w:r w:rsidRPr="00644AEB">
        <w:rPr>
          <w:rFonts w:ascii="Arial" w:hAnsi="Arial" w:cs="Arial"/>
          <w:spacing w:val="4"/>
        </w:rPr>
        <w:t>y</w:t>
      </w:r>
      <w:r w:rsidRPr="00644AEB">
        <w:rPr>
          <w:rFonts w:ascii="Arial" w:hAnsi="Arial" w:cs="Arial"/>
          <w:b/>
          <w:bCs/>
          <w:spacing w:val="4"/>
        </w:rPr>
        <w:t xml:space="preserve"> OLGA LUCÍA HOYOS SEPÚLVEDA,</w:t>
      </w:r>
      <w:r w:rsidRPr="00644AEB">
        <w:rPr>
          <w:rFonts w:ascii="Arial" w:hAnsi="Arial" w:cs="Arial"/>
          <w:spacing w:val="4"/>
        </w:rPr>
        <w:t xml:space="preserve"> a decidir el recurso de apelación interpuesto por la parte ejecutada contra el auto proferido el </w:t>
      </w:r>
      <w:r w:rsidR="00AD0555" w:rsidRPr="00644AEB">
        <w:rPr>
          <w:rFonts w:ascii="Arial" w:hAnsi="Arial" w:cs="Arial"/>
          <w:spacing w:val="4"/>
        </w:rPr>
        <w:t>02 de diciembre de</w:t>
      </w:r>
      <w:r w:rsidR="006B0FB3" w:rsidRPr="00644AEB">
        <w:rPr>
          <w:rFonts w:ascii="Arial" w:hAnsi="Arial" w:cs="Arial"/>
          <w:spacing w:val="4"/>
        </w:rPr>
        <w:t xml:space="preserve"> 2019</w:t>
      </w:r>
      <w:r w:rsidRPr="00644AEB">
        <w:rPr>
          <w:rFonts w:ascii="Arial" w:hAnsi="Arial" w:cs="Arial"/>
          <w:spacing w:val="4"/>
        </w:rPr>
        <w:t xml:space="preserve"> por el Juzgado </w:t>
      </w:r>
      <w:r w:rsidR="00AD0555" w:rsidRPr="00644AEB">
        <w:rPr>
          <w:rFonts w:ascii="Arial" w:hAnsi="Arial" w:cs="Arial"/>
          <w:spacing w:val="4"/>
        </w:rPr>
        <w:t>Segundo Laboral</w:t>
      </w:r>
      <w:r w:rsidR="0003703E" w:rsidRPr="00644AEB">
        <w:rPr>
          <w:rFonts w:ascii="Arial" w:hAnsi="Arial" w:cs="Arial"/>
          <w:spacing w:val="4"/>
        </w:rPr>
        <w:t xml:space="preserve"> </w:t>
      </w:r>
      <w:r w:rsidRPr="00644AEB">
        <w:rPr>
          <w:rFonts w:ascii="Arial" w:hAnsi="Arial" w:cs="Arial"/>
          <w:spacing w:val="4"/>
        </w:rPr>
        <w:t xml:space="preserve">del Circuito de Pereira, a través del cual se resolvió declarar </w:t>
      </w:r>
      <w:r w:rsidR="0003703E" w:rsidRPr="00644AEB">
        <w:rPr>
          <w:rFonts w:ascii="Arial" w:hAnsi="Arial" w:cs="Arial"/>
          <w:spacing w:val="4"/>
        </w:rPr>
        <w:t xml:space="preserve">probada </w:t>
      </w:r>
      <w:r w:rsidRPr="00644AEB">
        <w:rPr>
          <w:rFonts w:ascii="Arial" w:hAnsi="Arial" w:cs="Arial"/>
          <w:spacing w:val="4"/>
        </w:rPr>
        <w:t xml:space="preserve">la excepción de prescripción propuesta por COLPENSIONES dentro del proceso ejecutivo laboral que en su promueve </w:t>
      </w:r>
      <w:r w:rsidR="0003703E" w:rsidRPr="00644AEB">
        <w:rPr>
          <w:rFonts w:ascii="Arial" w:hAnsi="Arial" w:cs="Arial"/>
          <w:spacing w:val="4"/>
        </w:rPr>
        <w:t>la señora</w:t>
      </w:r>
      <w:r w:rsidRPr="00644AEB">
        <w:rPr>
          <w:rFonts w:ascii="Arial" w:hAnsi="Arial" w:cs="Arial"/>
          <w:spacing w:val="4"/>
        </w:rPr>
        <w:t xml:space="preserve"> </w:t>
      </w:r>
      <w:r w:rsidR="00AD0555" w:rsidRPr="00644AEB">
        <w:rPr>
          <w:rFonts w:ascii="Arial" w:hAnsi="Arial" w:cs="Arial"/>
          <w:spacing w:val="4"/>
        </w:rPr>
        <w:t>GEORGINA LAVERDE PÉREZ</w:t>
      </w:r>
      <w:r w:rsidRPr="00644AEB">
        <w:rPr>
          <w:rFonts w:ascii="Arial" w:hAnsi="Arial" w:cs="Arial"/>
          <w:spacing w:val="4"/>
        </w:rPr>
        <w:t>.</w:t>
      </w:r>
    </w:p>
    <w:p w14:paraId="0FFAE618" w14:textId="77FA0CEA" w:rsidR="083AAA0F" w:rsidRPr="00644AEB" w:rsidRDefault="083AAA0F" w:rsidP="00644AEB">
      <w:pPr>
        <w:spacing w:line="276" w:lineRule="auto"/>
        <w:jc w:val="both"/>
        <w:rPr>
          <w:rFonts w:ascii="Arial" w:hAnsi="Arial" w:cs="Arial"/>
          <w:spacing w:val="4"/>
        </w:rPr>
      </w:pPr>
    </w:p>
    <w:p w14:paraId="39EE43C1" w14:textId="214F1031" w:rsidR="01E93A8F" w:rsidRPr="00644AEB" w:rsidRDefault="01E93A8F" w:rsidP="00644AEB">
      <w:pPr>
        <w:spacing w:line="276" w:lineRule="auto"/>
        <w:jc w:val="both"/>
        <w:rPr>
          <w:rFonts w:ascii="Arial" w:hAnsi="Arial" w:cs="Arial"/>
          <w:spacing w:val="4"/>
        </w:rPr>
      </w:pPr>
      <w:r w:rsidRPr="00644AEB">
        <w:rPr>
          <w:rFonts w:ascii="Arial" w:hAnsi="Arial" w:cs="Arial"/>
          <w:spacing w:val="4"/>
          <w:lang w:val="es"/>
        </w:rPr>
        <w:t>Se reconoce personería judicial a la abogada Paula Andrea Murillo Betancur, identificada con la C.C. No. 1.088.307.467 y portadora de la T.P. No. 305.746 del Consejo Superior de la Judicatura, para que obre en representación de la Administradora Colombiana de Pensiones “Colpensiones”, conforme a la sustitución del poder realizada por la sociedad Conciliatus S.A.S., según poder general conferido mediante la escritura pública nº 3367 del 02 de septiembre de 2019 de la Notaría Novena del Círculo de Bogotá.</w:t>
      </w:r>
    </w:p>
    <w:p w14:paraId="67AE8293" w14:textId="77777777" w:rsidR="001F4783" w:rsidRPr="00644AEB" w:rsidRDefault="001F4783" w:rsidP="00644AEB">
      <w:pPr>
        <w:spacing w:line="276" w:lineRule="auto"/>
        <w:ind w:firstLine="851"/>
        <w:jc w:val="both"/>
        <w:rPr>
          <w:rFonts w:ascii="Arial" w:hAnsi="Arial" w:cs="Arial"/>
          <w:spacing w:val="4"/>
        </w:rPr>
      </w:pPr>
    </w:p>
    <w:p w14:paraId="6A05A809" w14:textId="6B346585" w:rsidR="00886238" w:rsidRPr="00644AEB" w:rsidRDefault="003945C2" w:rsidP="00644AEB">
      <w:pPr>
        <w:pStyle w:val="Sinespaciado"/>
        <w:spacing w:line="276" w:lineRule="auto"/>
        <w:jc w:val="both"/>
        <w:rPr>
          <w:rFonts w:ascii="Arial" w:hAnsi="Arial" w:cs="Arial"/>
          <w:spacing w:val="4"/>
          <w:lang w:val="es-ES_tradnl"/>
        </w:rPr>
      </w:pPr>
      <w:r w:rsidRPr="00644AEB">
        <w:rPr>
          <w:rFonts w:ascii="Arial" w:hAnsi="Arial" w:cs="Arial"/>
          <w:spacing w:val="4"/>
          <w:lang w:val="es-ES_tradnl"/>
        </w:rPr>
        <w:t>Previamente se revisó, discutió y aprobó el proyecto elaborado por la Magistrada ponente el cual alude al siguiente:</w:t>
      </w:r>
    </w:p>
    <w:p w14:paraId="5427A0CB" w14:textId="0F5060CB" w:rsidR="003945C2" w:rsidRPr="00644AEB" w:rsidRDefault="003945C2" w:rsidP="00644AEB">
      <w:pPr>
        <w:pStyle w:val="Sinespaciado"/>
        <w:spacing w:line="276" w:lineRule="auto"/>
        <w:jc w:val="both"/>
        <w:rPr>
          <w:rFonts w:ascii="Arial" w:hAnsi="Arial" w:cs="Arial"/>
          <w:spacing w:val="4"/>
        </w:rPr>
      </w:pPr>
    </w:p>
    <w:p w14:paraId="199E0572" w14:textId="6BB75D4E" w:rsidR="003945C2" w:rsidRPr="00644AEB" w:rsidRDefault="003945C2" w:rsidP="00644AEB">
      <w:pPr>
        <w:pStyle w:val="Sinespaciado"/>
        <w:spacing w:line="276" w:lineRule="auto"/>
        <w:jc w:val="center"/>
        <w:rPr>
          <w:rFonts w:ascii="Arial" w:hAnsi="Arial" w:cs="Arial"/>
          <w:b/>
          <w:bCs/>
          <w:spacing w:val="4"/>
        </w:rPr>
      </w:pPr>
      <w:r w:rsidRPr="00644AEB">
        <w:rPr>
          <w:rFonts w:ascii="Arial" w:hAnsi="Arial" w:cs="Arial"/>
          <w:b/>
          <w:bCs/>
          <w:spacing w:val="4"/>
        </w:rPr>
        <w:t>AUTO</w:t>
      </w:r>
    </w:p>
    <w:p w14:paraId="1F719748" w14:textId="77777777" w:rsidR="003945C2" w:rsidRPr="00644AEB" w:rsidRDefault="003945C2" w:rsidP="00644AEB">
      <w:pPr>
        <w:pStyle w:val="Sinespaciado"/>
        <w:spacing w:line="276" w:lineRule="auto"/>
        <w:jc w:val="both"/>
        <w:rPr>
          <w:rFonts w:ascii="Arial" w:hAnsi="Arial" w:cs="Arial"/>
          <w:spacing w:val="4"/>
        </w:rPr>
      </w:pPr>
    </w:p>
    <w:p w14:paraId="20327C28" w14:textId="7D02EBE6" w:rsidR="005B573F" w:rsidRPr="00644AEB" w:rsidRDefault="001F4783" w:rsidP="00644AEB">
      <w:pPr>
        <w:spacing w:line="276" w:lineRule="auto"/>
        <w:ind w:firstLine="708"/>
        <w:rPr>
          <w:rFonts w:ascii="Arial" w:hAnsi="Arial" w:cs="Arial"/>
          <w:b/>
          <w:bCs/>
          <w:spacing w:val="4"/>
          <w:lang w:val="es-ES_tradnl"/>
        </w:rPr>
      </w:pPr>
      <w:r w:rsidRPr="00644AEB">
        <w:rPr>
          <w:rFonts w:ascii="Arial" w:hAnsi="Arial" w:cs="Arial"/>
          <w:b/>
          <w:bCs/>
          <w:spacing w:val="4"/>
          <w:lang w:val="es-ES_tradnl"/>
        </w:rPr>
        <w:t>I. ANTECEDENTES</w:t>
      </w:r>
    </w:p>
    <w:p w14:paraId="4C7B15F8" w14:textId="3D40CC47" w:rsidR="005B573F" w:rsidRPr="00644AEB" w:rsidRDefault="005B573F" w:rsidP="00644AEB">
      <w:pPr>
        <w:pStyle w:val="Sinespaciado"/>
        <w:spacing w:line="276" w:lineRule="auto"/>
        <w:ind w:firstLine="708"/>
        <w:jc w:val="both"/>
        <w:rPr>
          <w:rFonts w:ascii="Arial" w:hAnsi="Arial" w:cs="Arial"/>
          <w:spacing w:val="4"/>
          <w:lang w:val="es-ES_tradnl"/>
        </w:rPr>
      </w:pPr>
    </w:p>
    <w:p w14:paraId="037BC4C3" w14:textId="536F2D02" w:rsidR="00F51F5B" w:rsidRPr="00644AEB" w:rsidRDefault="005F7BAC" w:rsidP="00644AEB">
      <w:pPr>
        <w:pStyle w:val="Sinespaciado"/>
        <w:spacing w:line="276" w:lineRule="auto"/>
        <w:ind w:firstLine="708"/>
        <w:jc w:val="both"/>
        <w:rPr>
          <w:rFonts w:ascii="Arial" w:hAnsi="Arial" w:cs="Arial"/>
          <w:spacing w:val="4"/>
          <w:lang w:val="es-ES_tradnl"/>
        </w:rPr>
      </w:pPr>
      <w:r w:rsidRPr="00644AEB">
        <w:rPr>
          <w:rFonts w:ascii="Arial" w:hAnsi="Arial" w:cs="Arial"/>
          <w:spacing w:val="4"/>
          <w:lang w:val="es-ES_tradnl"/>
        </w:rPr>
        <w:t xml:space="preserve">El </w:t>
      </w:r>
      <w:r w:rsidR="00CF63D6" w:rsidRPr="00644AEB">
        <w:rPr>
          <w:rFonts w:ascii="Arial" w:hAnsi="Arial" w:cs="Arial"/>
          <w:spacing w:val="4"/>
          <w:lang w:val="es-ES_tradnl"/>
        </w:rPr>
        <w:t xml:space="preserve">19 </w:t>
      </w:r>
      <w:r w:rsidR="006E7AEA" w:rsidRPr="00644AEB">
        <w:rPr>
          <w:rFonts w:ascii="Arial" w:hAnsi="Arial" w:cs="Arial"/>
          <w:spacing w:val="4"/>
          <w:lang w:val="es-ES_tradnl"/>
        </w:rPr>
        <w:t>de noviembre de 201</w:t>
      </w:r>
      <w:r w:rsidR="00CF63D6" w:rsidRPr="00644AEB">
        <w:rPr>
          <w:rFonts w:ascii="Arial" w:hAnsi="Arial" w:cs="Arial"/>
          <w:spacing w:val="4"/>
          <w:lang w:val="es-ES_tradnl"/>
        </w:rPr>
        <w:t>5</w:t>
      </w:r>
      <w:r w:rsidRPr="00644AEB">
        <w:rPr>
          <w:rFonts w:ascii="Arial" w:hAnsi="Arial" w:cs="Arial"/>
          <w:spacing w:val="4"/>
          <w:lang w:val="es-ES_tradnl"/>
        </w:rPr>
        <w:t xml:space="preserve">, </w:t>
      </w:r>
      <w:r w:rsidR="0003703E" w:rsidRPr="00644AEB">
        <w:rPr>
          <w:rFonts w:ascii="Arial" w:hAnsi="Arial" w:cs="Arial"/>
          <w:spacing w:val="4"/>
          <w:lang w:val="es-ES_tradnl"/>
        </w:rPr>
        <w:t>la señora</w:t>
      </w:r>
      <w:r w:rsidRPr="00644AEB">
        <w:rPr>
          <w:rFonts w:ascii="Arial" w:hAnsi="Arial" w:cs="Arial"/>
          <w:spacing w:val="4"/>
          <w:lang w:val="es-ES_tradnl"/>
        </w:rPr>
        <w:t xml:space="preserve"> </w:t>
      </w:r>
      <w:r w:rsidR="00AD0555" w:rsidRPr="00644AEB">
        <w:rPr>
          <w:rFonts w:ascii="Arial" w:hAnsi="Arial" w:cs="Arial"/>
          <w:spacing w:val="4"/>
          <w:lang w:val="es-ES_tradnl"/>
        </w:rPr>
        <w:t>Georgina Laverde Pérez</w:t>
      </w:r>
      <w:r w:rsidR="00F51F5B" w:rsidRPr="00644AEB">
        <w:rPr>
          <w:rFonts w:ascii="Arial" w:hAnsi="Arial" w:cs="Arial"/>
          <w:spacing w:val="4"/>
          <w:lang w:val="es-ES_tradnl"/>
        </w:rPr>
        <w:t xml:space="preserve">, a través de apoderado judicial, presentó demanda ejecutiva laboral a continuación de ordinario en contra </w:t>
      </w:r>
      <w:r w:rsidRPr="00644AEB">
        <w:rPr>
          <w:rFonts w:ascii="Arial" w:hAnsi="Arial" w:cs="Arial"/>
          <w:spacing w:val="4"/>
          <w:lang w:val="es-ES_tradnl"/>
        </w:rPr>
        <w:t xml:space="preserve">de </w:t>
      </w:r>
      <w:r w:rsidR="005B573F" w:rsidRPr="00644AEB">
        <w:rPr>
          <w:rFonts w:ascii="Arial" w:hAnsi="Arial" w:cs="Arial"/>
          <w:spacing w:val="4"/>
          <w:lang w:val="es-ES_tradnl"/>
        </w:rPr>
        <w:t xml:space="preserve">la Administradora Colombiana de Pensiones </w:t>
      </w:r>
      <w:r w:rsidR="00CF63D6" w:rsidRPr="00644AEB">
        <w:rPr>
          <w:rFonts w:ascii="Arial" w:hAnsi="Arial" w:cs="Arial"/>
          <w:spacing w:val="4"/>
          <w:lang w:val="es-ES_tradnl"/>
        </w:rPr>
        <w:t>“</w:t>
      </w:r>
      <w:r w:rsidR="005B573F" w:rsidRPr="00644AEB">
        <w:rPr>
          <w:rFonts w:ascii="Arial" w:hAnsi="Arial" w:cs="Arial"/>
          <w:spacing w:val="4"/>
          <w:lang w:val="es-ES_tradnl"/>
        </w:rPr>
        <w:t>Colpensiones</w:t>
      </w:r>
      <w:r w:rsidR="00CF63D6" w:rsidRPr="00644AEB">
        <w:rPr>
          <w:rFonts w:ascii="Arial" w:hAnsi="Arial" w:cs="Arial"/>
          <w:spacing w:val="4"/>
          <w:lang w:val="es-ES_tradnl"/>
        </w:rPr>
        <w:t>”</w:t>
      </w:r>
      <w:r w:rsidR="005B573F" w:rsidRPr="00644AEB">
        <w:rPr>
          <w:rFonts w:ascii="Arial" w:hAnsi="Arial" w:cs="Arial"/>
          <w:spacing w:val="4"/>
          <w:lang w:val="es-ES_tradnl"/>
        </w:rPr>
        <w:t>, solicitando que</w:t>
      </w:r>
      <w:r w:rsidR="008061C0" w:rsidRPr="00644AEB">
        <w:rPr>
          <w:rFonts w:ascii="Arial" w:hAnsi="Arial" w:cs="Arial"/>
          <w:spacing w:val="4"/>
          <w:lang w:val="es-ES_tradnl"/>
        </w:rPr>
        <w:t>, con fundamento en la sentencia</w:t>
      </w:r>
      <w:r w:rsidR="00CF63D6" w:rsidRPr="00644AEB">
        <w:rPr>
          <w:rFonts w:ascii="Arial" w:hAnsi="Arial" w:cs="Arial"/>
          <w:spacing w:val="4"/>
          <w:lang w:val="es-ES_tradnl"/>
        </w:rPr>
        <w:t xml:space="preserve"> proferida el 13 de agosto de 2008 por el Juzgado Segundo Laboral del Circuito de Pereira, confirmada por este Tribunal en sentencia del 03 de diciembre de 2008 y no casada por la Sala Laboral de la Corte Suprema de Justicia en sentencia del 17 de abril de 2012, </w:t>
      </w:r>
      <w:r w:rsidR="006E7AEA" w:rsidRPr="00644AEB">
        <w:rPr>
          <w:rFonts w:ascii="Arial" w:hAnsi="Arial" w:cs="Arial"/>
          <w:spacing w:val="4"/>
          <w:lang w:val="es-ES_tradnl"/>
        </w:rPr>
        <w:t xml:space="preserve">en conjunto </w:t>
      </w:r>
      <w:r w:rsidR="008472A2" w:rsidRPr="00644AEB">
        <w:rPr>
          <w:rFonts w:ascii="Arial" w:hAnsi="Arial" w:cs="Arial"/>
          <w:spacing w:val="4"/>
          <w:lang w:val="es-ES_tradnl"/>
        </w:rPr>
        <w:t>con la liquidación de costas efectuada el 04 de septiembre de 2012 y aprobadas mediante auto del 24 de los mismos mes y año, se librara mandamiento de pago por valor de $9.067.200, correspondientes a las costas procesales</w:t>
      </w:r>
      <w:r w:rsidR="00BD0902" w:rsidRPr="00644AEB">
        <w:rPr>
          <w:rFonts w:ascii="Arial" w:hAnsi="Arial" w:cs="Arial"/>
          <w:spacing w:val="4"/>
          <w:lang w:val="es-ES_tradnl"/>
        </w:rPr>
        <w:t xml:space="preserve"> </w:t>
      </w:r>
      <w:r w:rsidR="00360756" w:rsidRPr="00644AEB">
        <w:rPr>
          <w:rFonts w:ascii="Arial" w:hAnsi="Arial" w:cs="Arial"/>
          <w:spacing w:val="4"/>
          <w:lang w:val="es-ES_tradnl"/>
        </w:rPr>
        <w:t xml:space="preserve">a las que se condenó a pagar al Instituto de Seguro Social </w:t>
      </w:r>
      <w:r w:rsidRPr="00644AEB">
        <w:rPr>
          <w:rFonts w:ascii="Arial" w:hAnsi="Arial" w:cs="Arial"/>
          <w:spacing w:val="4"/>
          <w:lang w:val="es-ES_tradnl"/>
        </w:rPr>
        <w:t xml:space="preserve">(fol. </w:t>
      </w:r>
      <w:r w:rsidR="008472A2" w:rsidRPr="00644AEB">
        <w:rPr>
          <w:rFonts w:ascii="Arial" w:hAnsi="Arial" w:cs="Arial"/>
          <w:spacing w:val="4"/>
          <w:lang w:val="es-ES_tradnl"/>
        </w:rPr>
        <w:t>175 a 178</w:t>
      </w:r>
      <w:r w:rsidR="006E7AEA" w:rsidRPr="00644AEB">
        <w:rPr>
          <w:rFonts w:ascii="Arial" w:hAnsi="Arial" w:cs="Arial"/>
          <w:spacing w:val="4"/>
          <w:lang w:val="es-ES_tradnl"/>
        </w:rPr>
        <w:t xml:space="preserve">, c. </w:t>
      </w:r>
      <w:r w:rsidR="008472A2" w:rsidRPr="00644AEB">
        <w:rPr>
          <w:rFonts w:ascii="Arial" w:hAnsi="Arial" w:cs="Arial"/>
          <w:spacing w:val="4"/>
          <w:lang w:val="es-ES_tradnl"/>
        </w:rPr>
        <w:t>1</w:t>
      </w:r>
      <w:r w:rsidRPr="00644AEB">
        <w:rPr>
          <w:rFonts w:ascii="Arial" w:hAnsi="Arial" w:cs="Arial"/>
          <w:spacing w:val="4"/>
          <w:lang w:val="es-ES_tradnl"/>
        </w:rPr>
        <w:t>)</w:t>
      </w:r>
      <w:r w:rsidR="00CA64F0" w:rsidRPr="00644AEB">
        <w:rPr>
          <w:rFonts w:ascii="Arial" w:hAnsi="Arial" w:cs="Arial"/>
          <w:spacing w:val="4"/>
          <w:lang w:val="es-ES_tradnl"/>
        </w:rPr>
        <w:t xml:space="preserve">. </w:t>
      </w:r>
    </w:p>
    <w:p w14:paraId="0C1F7F60" w14:textId="77777777" w:rsidR="00F51F5B" w:rsidRPr="00644AEB" w:rsidRDefault="00F51F5B" w:rsidP="00644AEB">
      <w:pPr>
        <w:pStyle w:val="Sinespaciado"/>
        <w:spacing w:line="276" w:lineRule="auto"/>
        <w:ind w:firstLine="708"/>
        <w:jc w:val="both"/>
        <w:rPr>
          <w:rFonts w:ascii="Arial" w:hAnsi="Arial" w:cs="Arial"/>
          <w:spacing w:val="4"/>
          <w:lang w:val="es-ES_tradnl"/>
        </w:rPr>
      </w:pPr>
    </w:p>
    <w:p w14:paraId="528D1879" w14:textId="6F87B316" w:rsidR="00DB7706" w:rsidRPr="00644AEB" w:rsidRDefault="005F7BAC" w:rsidP="00644AEB">
      <w:pPr>
        <w:pStyle w:val="Sinespaciado"/>
        <w:spacing w:line="276" w:lineRule="auto"/>
        <w:ind w:firstLine="708"/>
        <w:jc w:val="both"/>
        <w:rPr>
          <w:rFonts w:ascii="Arial" w:hAnsi="Arial" w:cs="Arial"/>
          <w:spacing w:val="4"/>
          <w:lang w:val="es-ES_tradnl"/>
        </w:rPr>
      </w:pPr>
      <w:r w:rsidRPr="00644AEB">
        <w:rPr>
          <w:rFonts w:ascii="Arial" w:hAnsi="Arial" w:cs="Arial"/>
          <w:spacing w:val="4"/>
          <w:lang w:val="es-ES_tradnl"/>
        </w:rPr>
        <w:t xml:space="preserve">En providencia del </w:t>
      </w:r>
      <w:r w:rsidR="008472A2" w:rsidRPr="00644AEB">
        <w:rPr>
          <w:rFonts w:ascii="Arial" w:hAnsi="Arial" w:cs="Arial"/>
          <w:spacing w:val="4"/>
          <w:lang w:val="es-ES_tradnl"/>
        </w:rPr>
        <w:t>13 de junio de 2016</w:t>
      </w:r>
      <w:r w:rsidRPr="00644AEB">
        <w:rPr>
          <w:rFonts w:ascii="Arial" w:hAnsi="Arial" w:cs="Arial"/>
          <w:spacing w:val="4"/>
          <w:lang w:val="es-ES_tradnl"/>
        </w:rPr>
        <w:t xml:space="preserve">, el Juzgado </w:t>
      </w:r>
      <w:r w:rsidR="00AD0555" w:rsidRPr="00644AEB">
        <w:rPr>
          <w:rFonts w:ascii="Arial" w:hAnsi="Arial" w:cs="Arial"/>
          <w:spacing w:val="4"/>
          <w:lang w:val="es-ES_tradnl"/>
        </w:rPr>
        <w:t>Segundo Laboral</w:t>
      </w:r>
      <w:r w:rsidR="00BD0902" w:rsidRPr="00644AEB">
        <w:rPr>
          <w:rFonts w:ascii="Arial" w:hAnsi="Arial" w:cs="Arial"/>
          <w:spacing w:val="4"/>
          <w:lang w:val="es-ES_tradnl"/>
        </w:rPr>
        <w:t xml:space="preserve"> </w:t>
      </w:r>
      <w:r w:rsidRPr="00644AEB">
        <w:rPr>
          <w:rFonts w:ascii="Arial" w:hAnsi="Arial" w:cs="Arial"/>
          <w:spacing w:val="4"/>
          <w:lang w:val="es-ES_tradnl"/>
        </w:rPr>
        <w:t>del Circuito de Pereira</w:t>
      </w:r>
      <w:r w:rsidR="00917FF3" w:rsidRPr="00644AEB">
        <w:rPr>
          <w:rFonts w:ascii="Arial" w:hAnsi="Arial" w:cs="Arial"/>
          <w:spacing w:val="4"/>
          <w:lang w:val="es-ES_tradnl"/>
        </w:rPr>
        <w:t xml:space="preserve"> efectuó accedió a lo deprecado por </w:t>
      </w:r>
      <w:r w:rsidR="00DB7706" w:rsidRPr="00644AEB">
        <w:rPr>
          <w:rFonts w:ascii="Arial" w:hAnsi="Arial" w:cs="Arial"/>
          <w:spacing w:val="4"/>
          <w:lang w:val="es-ES_tradnl"/>
        </w:rPr>
        <w:t>la</w:t>
      </w:r>
      <w:r w:rsidR="00917FF3" w:rsidRPr="00644AEB">
        <w:rPr>
          <w:rFonts w:ascii="Arial" w:hAnsi="Arial" w:cs="Arial"/>
          <w:spacing w:val="4"/>
          <w:lang w:val="es-ES_tradnl"/>
        </w:rPr>
        <w:t xml:space="preserve"> actor</w:t>
      </w:r>
      <w:r w:rsidR="00DB7706" w:rsidRPr="00644AEB">
        <w:rPr>
          <w:rFonts w:ascii="Arial" w:hAnsi="Arial" w:cs="Arial"/>
          <w:spacing w:val="4"/>
          <w:lang w:val="es-ES_tradnl"/>
        </w:rPr>
        <w:t>a</w:t>
      </w:r>
      <w:r w:rsidR="00BD0902" w:rsidRPr="00644AEB">
        <w:rPr>
          <w:rFonts w:ascii="Arial" w:hAnsi="Arial" w:cs="Arial"/>
          <w:spacing w:val="4"/>
          <w:lang w:val="es-ES_tradnl"/>
        </w:rPr>
        <w:t xml:space="preserve"> (fols.</w:t>
      </w:r>
      <w:r w:rsidR="008472A2" w:rsidRPr="00644AEB">
        <w:rPr>
          <w:rFonts w:ascii="Arial" w:hAnsi="Arial" w:cs="Arial"/>
          <w:spacing w:val="4"/>
          <w:lang w:val="es-ES_tradnl"/>
        </w:rPr>
        <w:t xml:space="preserve">196, </w:t>
      </w:r>
      <w:r w:rsidR="00DB7706" w:rsidRPr="00644AEB">
        <w:rPr>
          <w:rFonts w:ascii="Arial" w:hAnsi="Arial" w:cs="Arial"/>
          <w:spacing w:val="4"/>
          <w:lang w:val="es-ES_tradnl"/>
        </w:rPr>
        <w:t>ib.</w:t>
      </w:r>
      <w:r w:rsidR="00BD0902" w:rsidRPr="00644AEB">
        <w:rPr>
          <w:rFonts w:ascii="Arial" w:hAnsi="Arial" w:cs="Arial"/>
          <w:spacing w:val="4"/>
          <w:lang w:val="es-ES_tradnl"/>
        </w:rPr>
        <w:t>)</w:t>
      </w:r>
      <w:r w:rsidR="00DB7706" w:rsidRPr="00644AEB">
        <w:rPr>
          <w:rFonts w:ascii="Arial" w:hAnsi="Arial" w:cs="Arial"/>
          <w:spacing w:val="4"/>
          <w:lang w:val="es-ES_tradnl"/>
        </w:rPr>
        <w:t xml:space="preserve"> y previa solicitud que esta misma le formuló (fols. 197 y 198, ib.) en auto del 06 de septiembre de 2016, dispuso el embargo de las sumas que la demanda tuviere en diferentes cuentas de un mismo banco, hasta un monto de $12.000.000 (fol. 199, </w:t>
      </w:r>
      <w:r w:rsidR="00DB7706" w:rsidRPr="00644AEB">
        <w:rPr>
          <w:rFonts w:ascii="Arial" w:hAnsi="Arial" w:cs="Arial"/>
          <w:spacing w:val="4"/>
          <w:lang w:val="es-ES_tradnl"/>
        </w:rPr>
        <w:lastRenderedPageBreak/>
        <w:t>ib.).  Medida cautelar que fue levantada mediante auto del 29 de noviembre de 2017, atendiendo a la información brindada por la entidad bancaria sobre el carácter inembargable de los recursos sobre los cuales recaería (f</w:t>
      </w:r>
      <w:r w:rsidR="007B635E" w:rsidRPr="00644AEB">
        <w:rPr>
          <w:rFonts w:ascii="Arial" w:hAnsi="Arial" w:cs="Arial"/>
          <w:spacing w:val="4"/>
          <w:lang w:val="es-ES_tradnl"/>
        </w:rPr>
        <w:t>o</w:t>
      </w:r>
      <w:r w:rsidR="00DB7706" w:rsidRPr="00644AEB">
        <w:rPr>
          <w:rFonts w:ascii="Arial" w:hAnsi="Arial" w:cs="Arial"/>
          <w:spacing w:val="4"/>
          <w:lang w:val="es-ES_tradnl"/>
        </w:rPr>
        <w:t xml:space="preserve">l. 205 y 206, c. 2).  </w:t>
      </w:r>
    </w:p>
    <w:p w14:paraId="1EDC4F9C" w14:textId="04E6DF21" w:rsidR="00DB7706" w:rsidRPr="00644AEB" w:rsidRDefault="00DB7706" w:rsidP="00644AEB">
      <w:pPr>
        <w:pStyle w:val="Sinespaciado"/>
        <w:spacing w:line="276" w:lineRule="auto"/>
        <w:ind w:firstLine="708"/>
        <w:jc w:val="both"/>
        <w:rPr>
          <w:rFonts w:ascii="Arial" w:hAnsi="Arial" w:cs="Arial"/>
          <w:spacing w:val="4"/>
          <w:lang w:val="es-ES_tradnl"/>
        </w:rPr>
      </w:pPr>
    </w:p>
    <w:p w14:paraId="40F6FF73" w14:textId="24DA4999" w:rsidR="005F7BAC" w:rsidRPr="00644AEB" w:rsidRDefault="00DB7706" w:rsidP="00644AEB">
      <w:pPr>
        <w:pStyle w:val="Sinespaciado"/>
        <w:spacing w:line="276" w:lineRule="auto"/>
        <w:ind w:firstLine="708"/>
        <w:jc w:val="both"/>
        <w:rPr>
          <w:rFonts w:ascii="Arial" w:hAnsi="Arial" w:cs="Arial"/>
          <w:spacing w:val="4"/>
          <w:lang w:val="es-ES_tradnl"/>
        </w:rPr>
      </w:pPr>
      <w:r w:rsidRPr="00644AEB">
        <w:rPr>
          <w:rFonts w:ascii="Arial" w:hAnsi="Arial" w:cs="Arial"/>
          <w:spacing w:val="4"/>
          <w:lang w:val="es-ES_tradnl"/>
        </w:rPr>
        <w:t>En auto de 20 de febrero de 2018</w:t>
      </w:r>
      <w:r w:rsidR="00AA2CD4" w:rsidRPr="00644AEB">
        <w:rPr>
          <w:rFonts w:ascii="Arial" w:hAnsi="Arial" w:cs="Arial"/>
          <w:spacing w:val="4"/>
          <w:lang w:val="es-ES_tradnl"/>
        </w:rPr>
        <w:t xml:space="preserve"> (fol. 208, ib.)</w:t>
      </w:r>
      <w:r w:rsidRPr="00644AEB">
        <w:rPr>
          <w:rFonts w:ascii="Arial" w:hAnsi="Arial" w:cs="Arial"/>
          <w:spacing w:val="4"/>
          <w:lang w:val="es-ES_tradnl"/>
        </w:rPr>
        <w:t>, por solicitud de la ejecutante (fol. 207</w:t>
      </w:r>
      <w:r w:rsidR="00AA2CD4" w:rsidRPr="00644AEB">
        <w:rPr>
          <w:rFonts w:ascii="Arial" w:hAnsi="Arial" w:cs="Arial"/>
          <w:spacing w:val="4"/>
          <w:lang w:val="es-ES_tradnl"/>
        </w:rPr>
        <w:t>, ib.</w:t>
      </w:r>
      <w:r w:rsidRPr="00644AEB">
        <w:rPr>
          <w:rFonts w:ascii="Arial" w:hAnsi="Arial" w:cs="Arial"/>
          <w:spacing w:val="4"/>
          <w:lang w:val="es-ES_tradnl"/>
        </w:rPr>
        <w:t xml:space="preserve">), </w:t>
      </w:r>
      <w:r w:rsidR="00AA2CD4" w:rsidRPr="00644AEB">
        <w:rPr>
          <w:rFonts w:ascii="Arial" w:hAnsi="Arial" w:cs="Arial"/>
          <w:spacing w:val="4"/>
          <w:lang w:val="es-ES_tradnl"/>
        </w:rPr>
        <w:t>se dispuso el embargo de los remanentes que llegaren a resultar en otro proceso ejecutivo que se adelantaba en ese mismo despacho y una vez surtió efectos (fol. 209, ib.), se cumplió la notificación del mandamiento de pago a la ejecutada (fol. 215), quien oportunamente pr</w:t>
      </w:r>
      <w:r w:rsidR="0078041E" w:rsidRPr="00644AEB">
        <w:rPr>
          <w:rFonts w:ascii="Arial" w:hAnsi="Arial" w:cs="Arial"/>
          <w:spacing w:val="4"/>
          <w:lang w:val="es-ES_tradnl"/>
        </w:rPr>
        <w:t>opuso las excepciones de “prescripción</w:t>
      </w:r>
      <w:r w:rsidR="00AA2CD4" w:rsidRPr="00644AEB">
        <w:rPr>
          <w:rFonts w:ascii="Arial" w:hAnsi="Arial" w:cs="Arial"/>
          <w:spacing w:val="4"/>
          <w:lang w:val="es-ES_tradnl"/>
        </w:rPr>
        <w:t>”, “</w:t>
      </w:r>
      <w:r w:rsidR="0078041E" w:rsidRPr="00644AEB">
        <w:rPr>
          <w:rFonts w:ascii="Arial" w:hAnsi="Arial" w:cs="Arial"/>
          <w:spacing w:val="4"/>
          <w:lang w:val="es-ES_tradnl"/>
        </w:rPr>
        <w:t>inexigibilidad de la obligación</w:t>
      </w:r>
      <w:r w:rsidR="00AA2CD4" w:rsidRPr="00644AEB">
        <w:rPr>
          <w:rFonts w:ascii="Arial" w:hAnsi="Arial" w:cs="Arial"/>
          <w:spacing w:val="4"/>
          <w:lang w:val="es-ES_tradnl"/>
        </w:rPr>
        <w:t xml:space="preserve"> - costas</w:t>
      </w:r>
      <w:r w:rsidR="0078041E" w:rsidRPr="00644AEB">
        <w:rPr>
          <w:rFonts w:ascii="Arial" w:hAnsi="Arial" w:cs="Arial"/>
          <w:spacing w:val="4"/>
          <w:lang w:val="es-ES_tradnl"/>
        </w:rPr>
        <w:t>”,  “buena fe</w:t>
      </w:r>
      <w:r w:rsidR="00AA2CD4" w:rsidRPr="00644AEB">
        <w:rPr>
          <w:rFonts w:ascii="Arial" w:hAnsi="Arial" w:cs="Arial"/>
          <w:spacing w:val="4"/>
          <w:lang w:val="es-ES_tradnl"/>
        </w:rPr>
        <w:t xml:space="preserve"> de Colpensiones</w:t>
      </w:r>
      <w:r w:rsidR="0078041E" w:rsidRPr="00644AEB">
        <w:rPr>
          <w:rFonts w:ascii="Arial" w:hAnsi="Arial" w:cs="Arial"/>
          <w:spacing w:val="4"/>
          <w:lang w:val="es-ES_tradnl"/>
        </w:rPr>
        <w:t>”</w:t>
      </w:r>
      <w:r w:rsidR="008F4FD7" w:rsidRPr="00644AEB">
        <w:rPr>
          <w:rFonts w:ascii="Arial" w:hAnsi="Arial" w:cs="Arial"/>
          <w:spacing w:val="4"/>
          <w:lang w:val="es-ES_tradnl"/>
        </w:rPr>
        <w:t>, “compensación” y “cobro de lo no debido y pago total de la deuda”</w:t>
      </w:r>
      <w:r w:rsidR="0078041E" w:rsidRPr="00644AEB">
        <w:rPr>
          <w:rFonts w:ascii="Arial" w:hAnsi="Arial" w:cs="Arial"/>
          <w:spacing w:val="4"/>
          <w:lang w:val="es-ES_tradnl"/>
        </w:rPr>
        <w:t xml:space="preserve"> (fols. </w:t>
      </w:r>
      <w:r w:rsidR="008F4FD7" w:rsidRPr="00644AEB">
        <w:rPr>
          <w:rFonts w:ascii="Arial" w:hAnsi="Arial" w:cs="Arial"/>
          <w:spacing w:val="4"/>
          <w:lang w:val="es-ES_tradnl"/>
        </w:rPr>
        <w:t>220 a 228</w:t>
      </w:r>
      <w:r w:rsidR="0078041E" w:rsidRPr="00644AEB">
        <w:rPr>
          <w:rFonts w:ascii="Arial" w:hAnsi="Arial" w:cs="Arial"/>
          <w:spacing w:val="4"/>
          <w:lang w:val="es-ES_tradnl"/>
        </w:rPr>
        <w:t xml:space="preserve">). </w:t>
      </w:r>
    </w:p>
    <w:p w14:paraId="3BBDD74F" w14:textId="5A54B731" w:rsidR="00CA2D39" w:rsidRPr="00644AEB" w:rsidRDefault="00CA2D39" w:rsidP="00644AEB">
      <w:pPr>
        <w:pStyle w:val="Sinespaciado"/>
        <w:spacing w:line="276" w:lineRule="auto"/>
        <w:jc w:val="both"/>
        <w:rPr>
          <w:rFonts w:ascii="Arial" w:hAnsi="Arial" w:cs="Arial"/>
          <w:spacing w:val="4"/>
          <w:lang w:val="es-ES_tradnl"/>
        </w:rPr>
      </w:pPr>
    </w:p>
    <w:p w14:paraId="5AA75F40" w14:textId="058007B3" w:rsidR="00CA64F0" w:rsidRPr="00644AEB" w:rsidRDefault="00CA64F0" w:rsidP="00644AEB">
      <w:pPr>
        <w:pStyle w:val="Sinespaciado"/>
        <w:spacing w:line="276" w:lineRule="auto"/>
        <w:ind w:firstLine="708"/>
        <w:jc w:val="both"/>
        <w:rPr>
          <w:rFonts w:ascii="Arial" w:hAnsi="Arial" w:cs="Arial"/>
          <w:b/>
          <w:bCs/>
          <w:spacing w:val="4"/>
          <w:lang w:val="es-ES_tradnl"/>
        </w:rPr>
      </w:pPr>
      <w:r w:rsidRPr="00644AEB">
        <w:rPr>
          <w:rFonts w:ascii="Arial" w:hAnsi="Arial" w:cs="Arial"/>
          <w:b/>
          <w:bCs/>
          <w:spacing w:val="4"/>
          <w:lang w:val="es-ES_tradnl"/>
        </w:rPr>
        <w:t xml:space="preserve">II.  DECISIÓN DE EXCEPCIONES </w:t>
      </w:r>
    </w:p>
    <w:p w14:paraId="6A979957" w14:textId="77777777" w:rsidR="00CA64F0" w:rsidRPr="00644AEB" w:rsidRDefault="00CA64F0" w:rsidP="00644AEB">
      <w:pPr>
        <w:pStyle w:val="Sinespaciado"/>
        <w:spacing w:line="276" w:lineRule="auto"/>
        <w:ind w:firstLine="708"/>
        <w:jc w:val="both"/>
        <w:rPr>
          <w:rFonts w:ascii="Arial" w:hAnsi="Arial" w:cs="Arial"/>
          <w:spacing w:val="4"/>
          <w:lang w:val="es-ES_tradnl"/>
        </w:rPr>
      </w:pPr>
    </w:p>
    <w:p w14:paraId="7CF9C7CA" w14:textId="7EC047C7" w:rsidR="00CA2D39" w:rsidRPr="00644AEB" w:rsidRDefault="00392C0E" w:rsidP="00644AEB">
      <w:pPr>
        <w:pStyle w:val="Sinespaciado"/>
        <w:spacing w:line="276" w:lineRule="auto"/>
        <w:ind w:firstLine="708"/>
        <w:jc w:val="both"/>
        <w:rPr>
          <w:rFonts w:ascii="Arial" w:hAnsi="Arial" w:cs="Arial"/>
          <w:spacing w:val="4"/>
          <w:lang w:val="es-ES_tradnl"/>
        </w:rPr>
      </w:pPr>
      <w:r w:rsidRPr="00644AEB">
        <w:rPr>
          <w:rFonts w:ascii="Arial" w:hAnsi="Arial" w:cs="Arial"/>
          <w:spacing w:val="4"/>
          <w:lang w:val="es-ES_tradnl"/>
        </w:rPr>
        <w:t>E</w:t>
      </w:r>
      <w:r w:rsidR="00CA2D39" w:rsidRPr="00644AEB">
        <w:rPr>
          <w:rFonts w:ascii="Arial" w:hAnsi="Arial" w:cs="Arial"/>
          <w:spacing w:val="4"/>
          <w:lang w:val="es-ES_tradnl"/>
        </w:rPr>
        <w:t xml:space="preserve">n audiencia pública celebrada el </w:t>
      </w:r>
      <w:r w:rsidR="008F4FD7" w:rsidRPr="00644AEB">
        <w:rPr>
          <w:rFonts w:ascii="Arial" w:hAnsi="Arial" w:cs="Arial"/>
          <w:spacing w:val="4"/>
          <w:lang w:val="es-ES_tradnl"/>
        </w:rPr>
        <w:t>02 de diciembre de 2019</w:t>
      </w:r>
      <w:r w:rsidR="00CA2D39" w:rsidRPr="00644AEB">
        <w:rPr>
          <w:rFonts w:ascii="Arial" w:hAnsi="Arial" w:cs="Arial"/>
          <w:spacing w:val="4"/>
          <w:lang w:val="es-ES_tradnl"/>
        </w:rPr>
        <w:t>,</w:t>
      </w:r>
      <w:r w:rsidRPr="00644AEB">
        <w:rPr>
          <w:rFonts w:ascii="Arial" w:hAnsi="Arial" w:cs="Arial"/>
          <w:spacing w:val="4"/>
          <w:lang w:val="es-ES_tradnl"/>
        </w:rPr>
        <w:t xml:space="preserve"> el Juzgado</w:t>
      </w:r>
      <w:r w:rsidR="00CA2D39" w:rsidRPr="00644AEB">
        <w:rPr>
          <w:rFonts w:ascii="Arial" w:hAnsi="Arial" w:cs="Arial"/>
          <w:spacing w:val="4"/>
          <w:lang w:val="es-ES_tradnl"/>
        </w:rPr>
        <w:t xml:space="preserve"> declaró </w:t>
      </w:r>
      <w:r w:rsidR="00B42E66" w:rsidRPr="00644AEB">
        <w:rPr>
          <w:rFonts w:ascii="Arial" w:hAnsi="Arial" w:cs="Arial"/>
          <w:spacing w:val="4"/>
          <w:lang w:val="es-ES_tradnl"/>
        </w:rPr>
        <w:t>probada la excepción de prescripción propuesta por Colpensiones</w:t>
      </w:r>
      <w:r w:rsidR="008F4FD7" w:rsidRPr="00644AEB">
        <w:rPr>
          <w:rFonts w:ascii="Arial" w:hAnsi="Arial" w:cs="Arial"/>
          <w:spacing w:val="4"/>
          <w:lang w:val="es-ES_tradnl"/>
        </w:rPr>
        <w:t>,</w:t>
      </w:r>
      <w:r w:rsidR="00B42E66" w:rsidRPr="00644AEB">
        <w:rPr>
          <w:rFonts w:ascii="Arial" w:hAnsi="Arial" w:cs="Arial"/>
          <w:spacing w:val="4"/>
          <w:lang w:val="es-ES_tradnl"/>
        </w:rPr>
        <w:t xml:space="preserve"> condenó en costas procesales a la parte ejecutante en favor </w:t>
      </w:r>
      <w:r w:rsidR="000A01CF" w:rsidRPr="00644AEB">
        <w:rPr>
          <w:rFonts w:ascii="Arial" w:hAnsi="Arial" w:cs="Arial"/>
          <w:spacing w:val="4"/>
          <w:lang w:val="es-ES_tradnl"/>
        </w:rPr>
        <w:t>entidad de seguridad social accionada</w:t>
      </w:r>
      <w:r w:rsidR="008F4FD7" w:rsidRPr="00644AEB">
        <w:rPr>
          <w:rFonts w:ascii="Arial" w:hAnsi="Arial" w:cs="Arial"/>
          <w:spacing w:val="4"/>
          <w:lang w:val="es-ES_tradnl"/>
        </w:rPr>
        <w:t xml:space="preserve"> y ordenó el levantamiento de las medidas cautelares y la devolución del título judicial</w:t>
      </w:r>
      <w:r w:rsidR="000A01CF" w:rsidRPr="00644AEB">
        <w:rPr>
          <w:rFonts w:ascii="Arial" w:hAnsi="Arial" w:cs="Arial"/>
          <w:spacing w:val="4"/>
          <w:lang w:val="es-ES_tradnl"/>
        </w:rPr>
        <w:t xml:space="preserve"> </w:t>
      </w:r>
      <w:r w:rsidR="00CA2D39" w:rsidRPr="00644AEB">
        <w:rPr>
          <w:rFonts w:ascii="Arial" w:hAnsi="Arial" w:cs="Arial"/>
          <w:spacing w:val="4"/>
          <w:lang w:val="es-ES_tradnl"/>
        </w:rPr>
        <w:t>(fol</w:t>
      </w:r>
      <w:r w:rsidR="008F4FD7" w:rsidRPr="00644AEB">
        <w:rPr>
          <w:rFonts w:ascii="Arial" w:hAnsi="Arial" w:cs="Arial"/>
          <w:spacing w:val="4"/>
          <w:lang w:val="es-ES_tradnl"/>
        </w:rPr>
        <w:t>. 245</w:t>
      </w:r>
      <w:r w:rsidR="00CA2D39" w:rsidRPr="00644AEB">
        <w:rPr>
          <w:rFonts w:ascii="Arial" w:hAnsi="Arial" w:cs="Arial"/>
          <w:spacing w:val="4"/>
          <w:lang w:val="es-ES_tradnl"/>
        </w:rPr>
        <w:t xml:space="preserve">). </w:t>
      </w:r>
    </w:p>
    <w:p w14:paraId="15728546" w14:textId="77777777" w:rsidR="00CA2D39" w:rsidRPr="00644AEB" w:rsidRDefault="00CA2D39" w:rsidP="00644AEB">
      <w:pPr>
        <w:pStyle w:val="Sinespaciado"/>
        <w:spacing w:line="276" w:lineRule="auto"/>
        <w:ind w:firstLine="708"/>
        <w:jc w:val="both"/>
        <w:rPr>
          <w:rFonts w:ascii="Arial" w:hAnsi="Arial" w:cs="Arial"/>
          <w:spacing w:val="4"/>
          <w:lang w:val="es-ES_tradnl"/>
        </w:rPr>
      </w:pPr>
    </w:p>
    <w:p w14:paraId="27AB5407" w14:textId="78B6F194" w:rsidR="00A0632B" w:rsidRPr="00644AEB" w:rsidRDefault="006D0E0D" w:rsidP="00644AEB">
      <w:pPr>
        <w:pStyle w:val="Sinespaciado"/>
        <w:spacing w:line="276" w:lineRule="auto"/>
        <w:ind w:firstLine="708"/>
        <w:jc w:val="both"/>
        <w:rPr>
          <w:rFonts w:ascii="Arial" w:hAnsi="Arial" w:cs="Arial"/>
          <w:spacing w:val="4"/>
          <w:lang w:val="es-ES_tradnl"/>
        </w:rPr>
      </w:pPr>
      <w:r w:rsidRPr="00644AEB">
        <w:rPr>
          <w:rFonts w:ascii="Arial" w:hAnsi="Arial" w:cs="Arial"/>
          <w:spacing w:val="4"/>
          <w:lang w:val="es-ES_tradnl"/>
        </w:rPr>
        <w:t>Como fundamento de la decisión, en síntesis,</w:t>
      </w:r>
      <w:r w:rsidR="00A0632B" w:rsidRPr="00644AEB">
        <w:rPr>
          <w:rFonts w:ascii="Arial" w:hAnsi="Arial" w:cs="Arial"/>
          <w:spacing w:val="4"/>
          <w:lang w:val="es-ES_tradnl"/>
        </w:rPr>
        <w:t xml:space="preserve"> expuso que las obligaciones de “inexigibilidad de la obligación - costas”, “buena fe” y “cobro de lo no debido” son improcedentes porque tratándose de la ejecución de sentencias, únicamente son oponibles las excepciones consagradas en el artículo 442 del Código General del Proceso</w:t>
      </w:r>
      <w:r w:rsidR="00B7748E" w:rsidRPr="00644AEB">
        <w:rPr>
          <w:rFonts w:ascii="Arial" w:hAnsi="Arial" w:cs="Arial"/>
          <w:spacing w:val="4"/>
          <w:lang w:val="es-ES_tradnl"/>
        </w:rPr>
        <w:t>, que no las incluyen</w:t>
      </w:r>
      <w:r w:rsidR="00A0632B" w:rsidRPr="00644AEB">
        <w:rPr>
          <w:rFonts w:ascii="Arial" w:hAnsi="Arial" w:cs="Arial"/>
          <w:spacing w:val="4"/>
          <w:lang w:val="es-ES_tradnl"/>
        </w:rPr>
        <w:t xml:space="preserve">. </w:t>
      </w:r>
    </w:p>
    <w:p w14:paraId="4DE082C1" w14:textId="77777777" w:rsidR="00A0632B" w:rsidRPr="00644AEB" w:rsidRDefault="00A0632B" w:rsidP="00644AEB">
      <w:pPr>
        <w:pStyle w:val="Sinespaciado"/>
        <w:spacing w:line="276" w:lineRule="auto"/>
        <w:ind w:firstLine="708"/>
        <w:jc w:val="both"/>
        <w:rPr>
          <w:rFonts w:ascii="Arial" w:hAnsi="Arial" w:cs="Arial"/>
          <w:spacing w:val="4"/>
          <w:lang w:val="es-ES_tradnl"/>
        </w:rPr>
      </w:pPr>
    </w:p>
    <w:p w14:paraId="01F72C54" w14:textId="69E64E1C" w:rsidR="00A0632B" w:rsidRPr="00644AEB" w:rsidRDefault="00A0632B" w:rsidP="00644AEB">
      <w:pPr>
        <w:pStyle w:val="Sinespaciado"/>
        <w:spacing w:line="276" w:lineRule="auto"/>
        <w:ind w:firstLine="708"/>
        <w:jc w:val="both"/>
        <w:rPr>
          <w:rFonts w:ascii="Arial" w:hAnsi="Arial" w:cs="Arial"/>
          <w:spacing w:val="4"/>
          <w:lang w:val="es-ES_tradnl"/>
        </w:rPr>
      </w:pPr>
      <w:r w:rsidRPr="00644AEB">
        <w:rPr>
          <w:rFonts w:ascii="Arial" w:hAnsi="Arial" w:cs="Arial"/>
          <w:spacing w:val="4"/>
          <w:lang w:val="es-ES_tradnl"/>
        </w:rPr>
        <w:t xml:space="preserve">En cuanto a la excepción de prescripción, </w:t>
      </w:r>
      <w:r w:rsidR="00B7748E" w:rsidRPr="00644AEB">
        <w:rPr>
          <w:rFonts w:ascii="Arial" w:hAnsi="Arial" w:cs="Arial"/>
          <w:spacing w:val="4"/>
          <w:lang w:val="es-ES_tradnl"/>
        </w:rPr>
        <w:t>valiéndose de lo lineado por la Sala Primera de Decisión Laboral en sentencia de octubre de 2019 y en la sentencia CSJ STL6507-2019, señaló que el término prescriptivo para las costas procesales es de tres (3) años por lo que, en el particular, siendo exigibles desde el 24 de septiembre de 2012, culminaron el mismo día y mes de 2015, antes de que fuera presentada la solicitud de ejecución</w:t>
      </w:r>
      <w:r w:rsidR="00360756" w:rsidRPr="00644AEB">
        <w:rPr>
          <w:rFonts w:ascii="Arial" w:hAnsi="Arial" w:cs="Arial"/>
          <w:spacing w:val="4"/>
          <w:lang w:val="es-ES_tradnl"/>
        </w:rPr>
        <w:t xml:space="preserve"> (</w:t>
      </w:r>
      <w:r w:rsidR="00B7748E" w:rsidRPr="00644AEB">
        <w:rPr>
          <w:rFonts w:ascii="Arial" w:hAnsi="Arial" w:cs="Arial"/>
          <w:spacing w:val="4"/>
          <w:lang w:val="es-ES_tradnl"/>
        </w:rPr>
        <w:t>19 de noviembre de 2015</w:t>
      </w:r>
      <w:r w:rsidR="00360756" w:rsidRPr="00644AEB">
        <w:rPr>
          <w:rFonts w:ascii="Arial" w:hAnsi="Arial" w:cs="Arial"/>
          <w:spacing w:val="4"/>
          <w:lang w:val="es-ES_tradnl"/>
        </w:rPr>
        <w:t xml:space="preserve">). </w:t>
      </w:r>
    </w:p>
    <w:p w14:paraId="434F8A06" w14:textId="5D6ED9B3" w:rsidR="00360756" w:rsidRPr="00644AEB" w:rsidRDefault="00360756" w:rsidP="00644AEB">
      <w:pPr>
        <w:pStyle w:val="Sinespaciado"/>
        <w:spacing w:line="276" w:lineRule="auto"/>
        <w:ind w:firstLine="708"/>
        <w:jc w:val="both"/>
        <w:rPr>
          <w:rFonts w:ascii="Arial" w:hAnsi="Arial" w:cs="Arial"/>
          <w:spacing w:val="4"/>
          <w:lang w:val="es-ES_tradnl"/>
        </w:rPr>
      </w:pPr>
    </w:p>
    <w:p w14:paraId="00A299D9" w14:textId="04293EC5" w:rsidR="00360756" w:rsidRPr="00644AEB" w:rsidRDefault="00360756" w:rsidP="00644AEB">
      <w:pPr>
        <w:pStyle w:val="Sinespaciado"/>
        <w:spacing w:line="276" w:lineRule="auto"/>
        <w:ind w:firstLine="708"/>
        <w:jc w:val="both"/>
        <w:rPr>
          <w:rFonts w:ascii="Arial" w:hAnsi="Arial" w:cs="Arial"/>
          <w:spacing w:val="4"/>
          <w:lang w:val="es-ES_tradnl"/>
        </w:rPr>
      </w:pPr>
      <w:r w:rsidRPr="00644AEB">
        <w:rPr>
          <w:rFonts w:ascii="Arial" w:hAnsi="Arial" w:cs="Arial"/>
          <w:spacing w:val="4"/>
          <w:lang w:val="es-ES_tradnl"/>
        </w:rPr>
        <w:t xml:space="preserve">De acuerdo con lo anterior, concluyó que las costas procesales prescribieron y se relevó de estudiar las excepciones restantes. </w:t>
      </w:r>
    </w:p>
    <w:p w14:paraId="37A0F38E" w14:textId="74BB5A94" w:rsidR="00360756" w:rsidRPr="00644AEB" w:rsidRDefault="00360756" w:rsidP="00644AEB">
      <w:pPr>
        <w:pStyle w:val="Sinespaciado"/>
        <w:spacing w:line="276" w:lineRule="auto"/>
        <w:ind w:firstLine="708"/>
        <w:jc w:val="both"/>
        <w:rPr>
          <w:rFonts w:ascii="Arial" w:hAnsi="Arial" w:cs="Arial"/>
          <w:b/>
          <w:bCs/>
          <w:spacing w:val="4"/>
          <w:lang w:val="es-ES_tradnl"/>
        </w:rPr>
      </w:pPr>
    </w:p>
    <w:p w14:paraId="528EDB06" w14:textId="77777777" w:rsidR="00C3729E" w:rsidRPr="00644AEB" w:rsidRDefault="00C3729E" w:rsidP="00644AEB">
      <w:pPr>
        <w:pStyle w:val="Sinespaciado"/>
        <w:spacing w:line="276" w:lineRule="auto"/>
        <w:ind w:firstLine="708"/>
        <w:jc w:val="both"/>
        <w:rPr>
          <w:rFonts w:ascii="Arial" w:hAnsi="Arial" w:cs="Arial"/>
          <w:b/>
          <w:bCs/>
          <w:spacing w:val="4"/>
          <w:lang w:val="es-ES_tradnl"/>
        </w:rPr>
      </w:pPr>
    </w:p>
    <w:p w14:paraId="66B42C29" w14:textId="3D59C32A" w:rsidR="00CA64F0" w:rsidRPr="00644AEB" w:rsidRDefault="00CA64F0" w:rsidP="00644AEB">
      <w:pPr>
        <w:pStyle w:val="Sinespaciado"/>
        <w:spacing w:line="276" w:lineRule="auto"/>
        <w:ind w:firstLine="708"/>
        <w:jc w:val="both"/>
        <w:rPr>
          <w:rFonts w:ascii="Arial" w:hAnsi="Arial" w:cs="Arial"/>
          <w:b/>
          <w:bCs/>
          <w:spacing w:val="4"/>
          <w:lang w:val="es-ES_tradnl"/>
        </w:rPr>
      </w:pPr>
      <w:r w:rsidRPr="00644AEB">
        <w:rPr>
          <w:rFonts w:ascii="Arial" w:hAnsi="Arial" w:cs="Arial"/>
          <w:b/>
          <w:bCs/>
          <w:spacing w:val="4"/>
          <w:lang w:val="es-ES_tradnl"/>
        </w:rPr>
        <w:t xml:space="preserve">III.  RECURSO DE APELACIÓN </w:t>
      </w:r>
    </w:p>
    <w:p w14:paraId="43AF36AD" w14:textId="77777777" w:rsidR="00CA64F0" w:rsidRPr="00644AEB" w:rsidRDefault="00CA64F0" w:rsidP="00644AEB">
      <w:pPr>
        <w:pStyle w:val="Sinespaciado"/>
        <w:spacing w:line="276" w:lineRule="auto"/>
        <w:ind w:firstLine="708"/>
        <w:jc w:val="both"/>
        <w:rPr>
          <w:rFonts w:ascii="Arial" w:hAnsi="Arial" w:cs="Arial"/>
          <w:spacing w:val="4"/>
          <w:lang w:val="es-ES_tradnl"/>
        </w:rPr>
      </w:pPr>
    </w:p>
    <w:p w14:paraId="5B61AD3A" w14:textId="6FDFB870" w:rsidR="000316AE" w:rsidRPr="00644AEB" w:rsidRDefault="00CA2D39" w:rsidP="00644AEB">
      <w:pPr>
        <w:pStyle w:val="Sinespaciado"/>
        <w:spacing w:line="276" w:lineRule="auto"/>
        <w:ind w:firstLine="708"/>
        <w:jc w:val="both"/>
        <w:rPr>
          <w:rFonts w:ascii="Arial" w:hAnsi="Arial" w:cs="Arial"/>
          <w:spacing w:val="4"/>
          <w:lang w:val="es-ES_tradnl"/>
        </w:rPr>
      </w:pPr>
      <w:r w:rsidRPr="00644AEB">
        <w:rPr>
          <w:rFonts w:ascii="Arial" w:hAnsi="Arial" w:cs="Arial"/>
          <w:spacing w:val="4"/>
          <w:lang w:val="es-ES_tradnl"/>
        </w:rPr>
        <w:t xml:space="preserve">Contra tal determinación se alzó </w:t>
      </w:r>
      <w:r w:rsidR="00A0632B" w:rsidRPr="00644AEB">
        <w:rPr>
          <w:rFonts w:ascii="Arial" w:hAnsi="Arial" w:cs="Arial"/>
          <w:spacing w:val="4"/>
          <w:lang w:val="es-ES_tradnl"/>
        </w:rPr>
        <w:t>el</w:t>
      </w:r>
      <w:r w:rsidRPr="00644AEB">
        <w:rPr>
          <w:rFonts w:ascii="Arial" w:hAnsi="Arial" w:cs="Arial"/>
          <w:spacing w:val="4"/>
          <w:lang w:val="es-ES_tradnl"/>
        </w:rPr>
        <w:t xml:space="preserve"> vocer</w:t>
      </w:r>
      <w:r w:rsidR="00A0632B" w:rsidRPr="00644AEB">
        <w:rPr>
          <w:rFonts w:ascii="Arial" w:hAnsi="Arial" w:cs="Arial"/>
          <w:spacing w:val="4"/>
          <w:lang w:val="es-ES_tradnl"/>
        </w:rPr>
        <w:t>o</w:t>
      </w:r>
      <w:r w:rsidRPr="00644AEB">
        <w:rPr>
          <w:rFonts w:ascii="Arial" w:hAnsi="Arial" w:cs="Arial"/>
          <w:spacing w:val="4"/>
          <w:lang w:val="es-ES_tradnl"/>
        </w:rPr>
        <w:t xml:space="preserve"> judicial de </w:t>
      </w:r>
      <w:r w:rsidR="00310F80" w:rsidRPr="00644AEB">
        <w:rPr>
          <w:rFonts w:ascii="Arial" w:hAnsi="Arial" w:cs="Arial"/>
          <w:spacing w:val="4"/>
          <w:lang w:val="es-ES_tradnl"/>
        </w:rPr>
        <w:t>la parte ejecutante</w:t>
      </w:r>
      <w:r w:rsidR="00B65B92" w:rsidRPr="00644AEB">
        <w:rPr>
          <w:rFonts w:ascii="Arial" w:hAnsi="Arial" w:cs="Arial"/>
          <w:spacing w:val="4"/>
          <w:lang w:val="es-ES_tradnl"/>
        </w:rPr>
        <w:t>,</w:t>
      </w:r>
      <w:r w:rsidR="00820A08" w:rsidRPr="00644AEB">
        <w:rPr>
          <w:rFonts w:ascii="Arial" w:hAnsi="Arial" w:cs="Arial"/>
          <w:spacing w:val="4"/>
          <w:lang w:val="es-ES_tradnl"/>
        </w:rPr>
        <w:t xml:space="preserve"> argumentando que</w:t>
      </w:r>
      <w:r w:rsidR="00D27D09" w:rsidRPr="00644AEB">
        <w:rPr>
          <w:rFonts w:ascii="Arial" w:hAnsi="Arial" w:cs="Arial"/>
          <w:spacing w:val="4"/>
          <w:lang w:val="es-ES_tradnl"/>
        </w:rPr>
        <w:t xml:space="preserve"> obra en el proceso la copia de la acción de tutela que, presentada el </w:t>
      </w:r>
      <w:r w:rsidR="00B65B92" w:rsidRPr="00644AEB">
        <w:rPr>
          <w:rFonts w:ascii="Arial" w:hAnsi="Arial" w:cs="Arial"/>
          <w:spacing w:val="4"/>
          <w:lang w:val="es-ES_tradnl"/>
        </w:rPr>
        <w:t>30 de enero de 2013</w:t>
      </w:r>
      <w:r w:rsidR="00D27D09" w:rsidRPr="00644AEB">
        <w:rPr>
          <w:rFonts w:ascii="Arial" w:hAnsi="Arial" w:cs="Arial"/>
          <w:spacing w:val="4"/>
          <w:lang w:val="es-ES_tradnl"/>
        </w:rPr>
        <w:t xml:space="preserve"> reclamando el pago retroactivo de la pensión reconocida y las costas procesales</w:t>
      </w:r>
      <w:r w:rsidR="004075C2" w:rsidRPr="00644AEB">
        <w:rPr>
          <w:rFonts w:ascii="Arial" w:hAnsi="Arial" w:cs="Arial"/>
          <w:spacing w:val="4"/>
          <w:lang w:val="es-ES_tradnl"/>
        </w:rPr>
        <w:t xml:space="preserve"> (Juzgado 3º Laboral del Circuito, rad. Nº 2013-00056)</w:t>
      </w:r>
      <w:r w:rsidR="00D27D09" w:rsidRPr="00644AEB">
        <w:rPr>
          <w:rFonts w:ascii="Arial" w:hAnsi="Arial" w:cs="Arial"/>
          <w:spacing w:val="4"/>
          <w:lang w:val="es-ES_tradnl"/>
        </w:rPr>
        <w:t xml:space="preserve">, </w:t>
      </w:r>
      <w:r w:rsidR="000316AE" w:rsidRPr="00644AEB">
        <w:rPr>
          <w:rFonts w:ascii="Arial" w:hAnsi="Arial" w:cs="Arial"/>
          <w:spacing w:val="4"/>
          <w:lang w:val="es-ES_tradnl"/>
        </w:rPr>
        <w:t>interrumpió la prescripción</w:t>
      </w:r>
      <w:r w:rsidR="00706955" w:rsidRPr="00644AEB">
        <w:rPr>
          <w:rFonts w:ascii="Arial" w:hAnsi="Arial" w:cs="Arial"/>
          <w:spacing w:val="4"/>
          <w:lang w:val="es-ES_tradnl"/>
        </w:rPr>
        <w:t xml:space="preserve"> y desvirtúa que la solicitud del 19 de noviembre de 2015 se hubiere presentado cuando el término prescriptivo había fenecido. </w:t>
      </w:r>
    </w:p>
    <w:p w14:paraId="12CA70AE" w14:textId="4D754760" w:rsidR="001F4783" w:rsidRPr="00644AEB" w:rsidRDefault="001F4783" w:rsidP="00644AEB">
      <w:pPr>
        <w:pStyle w:val="Sinespaciado"/>
        <w:spacing w:line="276" w:lineRule="auto"/>
        <w:jc w:val="both"/>
        <w:rPr>
          <w:rFonts w:ascii="Arial" w:hAnsi="Arial" w:cs="Arial"/>
          <w:spacing w:val="4"/>
          <w:lang w:val="es-ES_tradnl"/>
        </w:rPr>
      </w:pPr>
    </w:p>
    <w:p w14:paraId="6E4ABAE9" w14:textId="290A33AA" w:rsidR="00742540" w:rsidRPr="00644AEB" w:rsidRDefault="001F4783" w:rsidP="00644AEB">
      <w:pPr>
        <w:pStyle w:val="Sinespaciado"/>
        <w:spacing w:line="276" w:lineRule="auto"/>
        <w:ind w:firstLine="708"/>
        <w:jc w:val="both"/>
        <w:rPr>
          <w:rFonts w:ascii="Arial" w:hAnsi="Arial" w:cs="Arial"/>
          <w:b/>
          <w:bCs/>
          <w:spacing w:val="4"/>
          <w:lang w:val="es-ES_tradnl"/>
        </w:rPr>
      </w:pPr>
      <w:r w:rsidRPr="00644AEB">
        <w:rPr>
          <w:rFonts w:ascii="Arial" w:hAnsi="Arial" w:cs="Arial"/>
          <w:b/>
          <w:bCs/>
          <w:spacing w:val="4"/>
          <w:lang w:val="es-ES_tradnl"/>
        </w:rPr>
        <w:lastRenderedPageBreak/>
        <w:t>I</w:t>
      </w:r>
      <w:r w:rsidR="00CA64F0" w:rsidRPr="00644AEB">
        <w:rPr>
          <w:rFonts w:ascii="Arial" w:hAnsi="Arial" w:cs="Arial"/>
          <w:b/>
          <w:bCs/>
          <w:spacing w:val="4"/>
          <w:lang w:val="es-ES_tradnl"/>
        </w:rPr>
        <w:t>V</w:t>
      </w:r>
      <w:r w:rsidRPr="00644AEB">
        <w:rPr>
          <w:rFonts w:ascii="Arial" w:hAnsi="Arial" w:cs="Arial"/>
          <w:b/>
          <w:bCs/>
          <w:spacing w:val="4"/>
          <w:lang w:val="es-ES_tradnl"/>
        </w:rPr>
        <w:t xml:space="preserve">. </w:t>
      </w:r>
      <w:r w:rsidR="00742540" w:rsidRPr="00644AEB">
        <w:rPr>
          <w:rFonts w:ascii="Arial" w:hAnsi="Arial" w:cs="Arial"/>
          <w:b/>
          <w:bCs/>
          <w:spacing w:val="4"/>
          <w:lang w:val="es-ES_tradnl"/>
        </w:rPr>
        <w:t>TRASLADO Y ALEGACIONES</w:t>
      </w:r>
    </w:p>
    <w:p w14:paraId="049F31CB" w14:textId="77777777" w:rsidR="00742540" w:rsidRPr="00644AEB" w:rsidRDefault="00742540" w:rsidP="00644AEB">
      <w:pPr>
        <w:pStyle w:val="Sinespaciado"/>
        <w:spacing w:line="276" w:lineRule="auto"/>
        <w:jc w:val="both"/>
        <w:rPr>
          <w:rFonts w:ascii="Arial" w:hAnsi="Arial" w:cs="Arial"/>
          <w:spacing w:val="4"/>
          <w:lang w:val="es-ES_tradnl"/>
        </w:rPr>
      </w:pPr>
    </w:p>
    <w:p w14:paraId="44A0B417" w14:textId="7CCAF13D" w:rsidR="00742540" w:rsidRPr="00644AEB" w:rsidRDefault="5E1ADEB1" w:rsidP="00644AEB">
      <w:pPr>
        <w:pStyle w:val="Sinespaciado"/>
        <w:spacing w:line="276" w:lineRule="auto"/>
        <w:ind w:firstLine="709"/>
        <w:jc w:val="both"/>
        <w:rPr>
          <w:rFonts w:ascii="Arial" w:hAnsi="Arial" w:cs="Arial"/>
          <w:spacing w:val="4"/>
        </w:rPr>
      </w:pPr>
      <w:r w:rsidRPr="00644AEB">
        <w:rPr>
          <w:rFonts w:ascii="Arial" w:hAnsi="Arial" w:cs="Arial"/>
          <w:spacing w:val="4"/>
        </w:rPr>
        <w:t>Dentro del término del traslado, las partes no hicieron uso de esta facultad, por lo que se pr</w:t>
      </w:r>
      <w:r w:rsidR="07F7AF8D" w:rsidRPr="00644AEB">
        <w:rPr>
          <w:rFonts w:ascii="Arial" w:hAnsi="Arial" w:cs="Arial"/>
          <w:spacing w:val="4"/>
        </w:rPr>
        <w:t xml:space="preserve">ocede a decidir lo que en derecho corresponde. </w:t>
      </w:r>
      <w:r w:rsidRPr="00644AEB">
        <w:rPr>
          <w:rFonts w:ascii="Arial" w:hAnsi="Arial" w:cs="Arial"/>
          <w:spacing w:val="4"/>
        </w:rPr>
        <w:t xml:space="preserve"> </w:t>
      </w:r>
    </w:p>
    <w:p w14:paraId="0BEABA05" w14:textId="77777777" w:rsidR="00C3729E" w:rsidRPr="00644AEB" w:rsidRDefault="00C3729E" w:rsidP="00644AEB">
      <w:pPr>
        <w:pStyle w:val="Sinespaciado"/>
        <w:spacing w:line="276" w:lineRule="auto"/>
        <w:rPr>
          <w:rFonts w:ascii="Arial" w:hAnsi="Arial" w:cs="Arial"/>
          <w:spacing w:val="4"/>
        </w:rPr>
      </w:pPr>
    </w:p>
    <w:p w14:paraId="621A2E85" w14:textId="7B3EA294" w:rsidR="000801D0" w:rsidRPr="00644AEB" w:rsidRDefault="00CA64F0" w:rsidP="00644AEB">
      <w:pPr>
        <w:pStyle w:val="Sinespaciado"/>
        <w:spacing w:line="276" w:lineRule="auto"/>
        <w:ind w:firstLine="708"/>
        <w:rPr>
          <w:rFonts w:ascii="Arial" w:hAnsi="Arial" w:cs="Arial"/>
          <w:b/>
          <w:bCs/>
          <w:spacing w:val="4"/>
          <w:lang w:val="es-ES_tradnl"/>
        </w:rPr>
      </w:pPr>
      <w:r w:rsidRPr="00644AEB">
        <w:rPr>
          <w:rFonts w:ascii="Arial" w:hAnsi="Arial" w:cs="Arial"/>
          <w:b/>
          <w:bCs/>
          <w:spacing w:val="4"/>
          <w:lang w:val="es-ES_tradnl"/>
        </w:rPr>
        <w:t>V</w:t>
      </w:r>
      <w:r w:rsidR="00886238" w:rsidRPr="00644AEB">
        <w:rPr>
          <w:rFonts w:ascii="Arial" w:hAnsi="Arial" w:cs="Arial"/>
          <w:b/>
          <w:bCs/>
          <w:spacing w:val="4"/>
          <w:lang w:val="es-ES_tradnl"/>
        </w:rPr>
        <w:t>. CONSIDERACIONES</w:t>
      </w:r>
    </w:p>
    <w:p w14:paraId="127E3AFD" w14:textId="0FA9BE26" w:rsidR="00A25497" w:rsidRPr="00644AEB" w:rsidRDefault="00A25497" w:rsidP="00644AEB">
      <w:pPr>
        <w:pStyle w:val="Sinespaciado"/>
        <w:spacing w:line="276" w:lineRule="auto"/>
        <w:ind w:firstLine="709"/>
        <w:rPr>
          <w:rFonts w:ascii="Arial" w:hAnsi="Arial" w:cs="Arial"/>
          <w:b/>
          <w:bCs/>
          <w:spacing w:val="4"/>
          <w:lang w:val="es-ES_tradnl"/>
        </w:rPr>
      </w:pPr>
    </w:p>
    <w:p w14:paraId="39C82B69" w14:textId="002EB28E" w:rsidR="008F410E" w:rsidRPr="00644AEB" w:rsidRDefault="008F410E" w:rsidP="00644AEB">
      <w:pPr>
        <w:pStyle w:val="Sinespaciado"/>
        <w:spacing w:line="276" w:lineRule="auto"/>
        <w:ind w:firstLine="709"/>
        <w:jc w:val="both"/>
        <w:rPr>
          <w:rFonts w:ascii="Arial" w:hAnsi="Arial" w:cs="Arial"/>
          <w:spacing w:val="4"/>
          <w:lang w:val="es-ES_tradnl"/>
        </w:rPr>
      </w:pPr>
      <w:r w:rsidRPr="00644AEB">
        <w:rPr>
          <w:rFonts w:ascii="Arial" w:hAnsi="Arial" w:cs="Arial"/>
          <w:spacing w:val="4"/>
          <w:lang w:val="es-ES_tradnl"/>
        </w:rPr>
        <w:t>De acuerdo con el recuento procesal efectuado, para resolver el recurso de apelación formulado por</w:t>
      </w:r>
      <w:r w:rsidR="0063119A" w:rsidRPr="00644AEB">
        <w:rPr>
          <w:rFonts w:ascii="Arial" w:hAnsi="Arial" w:cs="Arial"/>
          <w:spacing w:val="4"/>
          <w:lang w:val="es-ES_tradnl"/>
        </w:rPr>
        <w:t xml:space="preserve"> la señora</w:t>
      </w:r>
      <w:r w:rsidRPr="00644AEB">
        <w:rPr>
          <w:rFonts w:ascii="Arial" w:hAnsi="Arial" w:cs="Arial"/>
          <w:spacing w:val="4"/>
          <w:lang w:val="es-ES_tradnl"/>
        </w:rPr>
        <w:t xml:space="preserve"> </w:t>
      </w:r>
      <w:r w:rsidR="00AD0555" w:rsidRPr="00644AEB">
        <w:rPr>
          <w:rFonts w:ascii="Arial" w:hAnsi="Arial" w:cs="Arial"/>
          <w:spacing w:val="4"/>
          <w:lang w:val="es-ES_tradnl"/>
        </w:rPr>
        <w:t>Georgina Laverde Pérez</w:t>
      </w:r>
      <w:r w:rsidRPr="00644AEB">
        <w:rPr>
          <w:rFonts w:ascii="Arial" w:hAnsi="Arial" w:cs="Arial"/>
          <w:spacing w:val="4"/>
          <w:lang w:val="es-ES_tradnl"/>
        </w:rPr>
        <w:t>, es del caso determinar si</w:t>
      </w:r>
      <w:r w:rsidR="00664177" w:rsidRPr="00644AEB">
        <w:rPr>
          <w:rFonts w:ascii="Arial" w:hAnsi="Arial" w:cs="Arial"/>
          <w:spacing w:val="4"/>
          <w:lang w:val="es-ES_tradnl"/>
        </w:rPr>
        <w:t xml:space="preserve"> las costas procesales </w:t>
      </w:r>
      <w:r w:rsidR="005F302D" w:rsidRPr="00644AEB">
        <w:rPr>
          <w:rFonts w:ascii="Arial" w:hAnsi="Arial" w:cs="Arial"/>
          <w:spacing w:val="4"/>
          <w:lang w:val="es-ES_tradnl"/>
        </w:rPr>
        <w:t xml:space="preserve">que reclama se encuentran prescritas. </w:t>
      </w:r>
    </w:p>
    <w:p w14:paraId="69D5A4AC" w14:textId="0FE8EBDA" w:rsidR="008F410E" w:rsidRPr="00644AEB" w:rsidRDefault="008F410E" w:rsidP="00644AEB">
      <w:pPr>
        <w:pStyle w:val="Sinespaciado"/>
        <w:spacing w:line="276" w:lineRule="auto"/>
        <w:ind w:firstLine="709"/>
        <w:jc w:val="both"/>
        <w:rPr>
          <w:rFonts w:ascii="Arial" w:hAnsi="Arial" w:cs="Arial"/>
          <w:spacing w:val="4"/>
          <w:lang w:val="es-ES_tradnl"/>
        </w:rPr>
      </w:pPr>
    </w:p>
    <w:p w14:paraId="75ACD1C0" w14:textId="77777777" w:rsidR="00C3729E" w:rsidRPr="00644AEB" w:rsidRDefault="00C3729E" w:rsidP="00644AEB">
      <w:pPr>
        <w:pStyle w:val="Sinespaciado"/>
        <w:spacing w:line="276" w:lineRule="auto"/>
        <w:ind w:firstLine="709"/>
        <w:jc w:val="both"/>
        <w:rPr>
          <w:rFonts w:ascii="Arial" w:hAnsi="Arial" w:cs="Arial"/>
          <w:spacing w:val="4"/>
          <w:lang w:val="es-ES_tradnl"/>
        </w:rPr>
      </w:pPr>
    </w:p>
    <w:p w14:paraId="2B187C28" w14:textId="297ADBE4" w:rsidR="008F410E" w:rsidRPr="00644AEB" w:rsidRDefault="008F410E" w:rsidP="00644AEB">
      <w:pPr>
        <w:pStyle w:val="Sinespaciado"/>
        <w:spacing w:line="276" w:lineRule="auto"/>
        <w:ind w:firstLine="709"/>
        <w:jc w:val="both"/>
        <w:rPr>
          <w:rFonts w:ascii="Arial" w:hAnsi="Arial" w:cs="Arial"/>
          <w:b/>
          <w:bCs/>
          <w:spacing w:val="4"/>
          <w:lang w:val="es-ES_tradnl"/>
        </w:rPr>
      </w:pPr>
      <w:r w:rsidRPr="00644AEB">
        <w:rPr>
          <w:rFonts w:ascii="Arial" w:hAnsi="Arial" w:cs="Arial"/>
          <w:b/>
          <w:bCs/>
          <w:spacing w:val="4"/>
          <w:lang w:val="es-ES_tradnl"/>
        </w:rPr>
        <w:t xml:space="preserve">5.1.  </w:t>
      </w:r>
      <w:r w:rsidR="00496FDA" w:rsidRPr="00644AEB">
        <w:rPr>
          <w:rFonts w:ascii="Arial" w:hAnsi="Arial" w:cs="Arial"/>
          <w:b/>
          <w:bCs/>
          <w:spacing w:val="4"/>
          <w:lang w:val="es-ES_tradnl"/>
        </w:rPr>
        <w:t xml:space="preserve">Prescripción de </w:t>
      </w:r>
      <w:r w:rsidR="00E43DC1" w:rsidRPr="00644AEB">
        <w:rPr>
          <w:rFonts w:ascii="Arial" w:hAnsi="Arial" w:cs="Arial"/>
          <w:b/>
          <w:bCs/>
          <w:spacing w:val="4"/>
          <w:lang w:val="es-ES_tradnl"/>
        </w:rPr>
        <w:t xml:space="preserve">las </w:t>
      </w:r>
      <w:r w:rsidR="00496FDA" w:rsidRPr="00644AEB">
        <w:rPr>
          <w:rFonts w:ascii="Arial" w:hAnsi="Arial" w:cs="Arial"/>
          <w:b/>
          <w:bCs/>
          <w:spacing w:val="4"/>
          <w:lang w:val="es-ES_tradnl"/>
        </w:rPr>
        <w:t xml:space="preserve">costas procesales </w:t>
      </w:r>
      <w:r w:rsidRPr="00644AEB">
        <w:rPr>
          <w:rFonts w:ascii="Arial" w:hAnsi="Arial" w:cs="Arial"/>
          <w:b/>
          <w:bCs/>
          <w:spacing w:val="4"/>
          <w:lang w:val="es-ES_tradnl"/>
        </w:rPr>
        <w:t xml:space="preserve"> </w:t>
      </w:r>
    </w:p>
    <w:p w14:paraId="269012D0" w14:textId="4CA7CB21" w:rsidR="008F410E" w:rsidRPr="00644AEB" w:rsidRDefault="008F410E" w:rsidP="00644AEB">
      <w:pPr>
        <w:pStyle w:val="Sinespaciado"/>
        <w:spacing w:line="276" w:lineRule="auto"/>
        <w:ind w:firstLine="709"/>
        <w:jc w:val="both"/>
        <w:rPr>
          <w:rFonts w:ascii="Arial" w:hAnsi="Arial" w:cs="Arial"/>
          <w:b/>
          <w:bCs/>
          <w:spacing w:val="4"/>
          <w:lang w:val="es-ES_tradnl"/>
        </w:rPr>
      </w:pPr>
    </w:p>
    <w:p w14:paraId="17DD22F7" w14:textId="5F901D4A" w:rsidR="00AD49DD" w:rsidRPr="00644AEB" w:rsidRDefault="00316316" w:rsidP="00644AEB">
      <w:pPr>
        <w:pStyle w:val="Sinespaciado"/>
        <w:spacing w:line="276" w:lineRule="auto"/>
        <w:ind w:firstLine="709"/>
        <w:jc w:val="both"/>
        <w:rPr>
          <w:rFonts w:ascii="Arial" w:hAnsi="Arial" w:cs="Arial"/>
          <w:spacing w:val="4"/>
          <w:lang w:val="es-ES_tradnl"/>
        </w:rPr>
      </w:pPr>
      <w:r w:rsidRPr="00644AEB">
        <w:rPr>
          <w:rFonts w:ascii="Arial" w:hAnsi="Arial" w:cs="Arial"/>
          <w:spacing w:val="4"/>
          <w:lang w:val="es-ES_tradnl"/>
        </w:rPr>
        <w:t xml:space="preserve">Las costas procesales </w:t>
      </w:r>
      <w:r w:rsidR="0079792A" w:rsidRPr="00644AEB">
        <w:rPr>
          <w:rFonts w:ascii="Arial" w:hAnsi="Arial" w:cs="Arial"/>
          <w:spacing w:val="4"/>
          <w:lang w:val="es-ES_tradnl"/>
        </w:rPr>
        <w:t xml:space="preserve">son </w:t>
      </w:r>
      <w:r w:rsidR="000A59BE" w:rsidRPr="00644AEB">
        <w:rPr>
          <w:rFonts w:ascii="Arial" w:hAnsi="Arial" w:cs="Arial"/>
          <w:spacing w:val="4"/>
          <w:lang w:val="es-ES_tradnl"/>
        </w:rPr>
        <w:t>las erogaciones económicas que comporta la atención de un proceso judicial</w:t>
      </w:r>
      <w:r w:rsidR="00A44E4C" w:rsidRPr="00644AEB">
        <w:rPr>
          <w:rFonts w:ascii="Arial" w:hAnsi="Arial" w:cs="Arial"/>
          <w:spacing w:val="4"/>
          <w:lang w:val="es-ES_tradnl"/>
        </w:rPr>
        <w:t xml:space="preserve">. </w:t>
      </w:r>
      <w:r w:rsidR="000A59BE" w:rsidRPr="00644AEB">
        <w:rPr>
          <w:rFonts w:ascii="Arial" w:hAnsi="Arial" w:cs="Arial"/>
          <w:spacing w:val="4"/>
          <w:lang w:val="es-ES_tradnl"/>
        </w:rPr>
        <w:t xml:space="preserve"> </w:t>
      </w:r>
      <w:r w:rsidR="00A44E4C" w:rsidRPr="00644AEB">
        <w:rPr>
          <w:rFonts w:ascii="Arial" w:hAnsi="Arial" w:cs="Arial"/>
          <w:spacing w:val="4"/>
          <w:lang w:val="es-ES_tradnl"/>
        </w:rPr>
        <w:t>N</w:t>
      </w:r>
      <w:r w:rsidR="000A59BE" w:rsidRPr="00644AEB">
        <w:rPr>
          <w:rFonts w:ascii="Arial" w:hAnsi="Arial" w:cs="Arial"/>
          <w:spacing w:val="4"/>
          <w:lang w:val="es-ES_tradnl"/>
        </w:rPr>
        <w:t xml:space="preserve">oción que incluye </w:t>
      </w:r>
      <w:r w:rsidR="0094703F" w:rsidRPr="00644AEB">
        <w:rPr>
          <w:rFonts w:ascii="Arial" w:hAnsi="Arial" w:cs="Arial"/>
          <w:spacing w:val="4"/>
          <w:lang w:val="es-ES_tradnl"/>
        </w:rPr>
        <w:t>(i)</w:t>
      </w:r>
      <w:r w:rsidR="0022681C" w:rsidRPr="00644AEB">
        <w:rPr>
          <w:rFonts w:ascii="Arial" w:hAnsi="Arial" w:cs="Arial"/>
          <w:spacing w:val="4"/>
          <w:lang w:val="es-ES_tradnl"/>
        </w:rPr>
        <w:t xml:space="preserve"> </w:t>
      </w:r>
      <w:r w:rsidR="0022681C" w:rsidRPr="00644AEB">
        <w:rPr>
          <w:rFonts w:ascii="Arial" w:hAnsi="Arial" w:cs="Arial"/>
          <w:i/>
          <w:iCs/>
          <w:spacing w:val="4"/>
          <w:lang w:val="es-ES_tradnl"/>
        </w:rPr>
        <w:t>las agencias en derecho</w:t>
      </w:r>
      <w:r w:rsidR="0022681C" w:rsidRPr="00644AEB">
        <w:rPr>
          <w:rFonts w:ascii="Arial" w:hAnsi="Arial" w:cs="Arial"/>
          <w:spacing w:val="4"/>
          <w:lang w:val="es-ES_tradnl"/>
        </w:rPr>
        <w:t xml:space="preserve">, </w:t>
      </w:r>
      <w:r w:rsidR="0022681C" w:rsidRPr="00644AEB">
        <w:rPr>
          <w:rFonts w:ascii="Arial" w:hAnsi="Arial" w:cs="Arial"/>
          <w:i/>
          <w:iCs/>
          <w:spacing w:val="4"/>
          <w:lang w:val="es-ES_tradnl"/>
        </w:rPr>
        <w:t>“</w:t>
      </w:r>
      <w:r w:rsidR="0022681C" w:rsidRPr="00644AEB">
        <w:rPr>
          <w:rFonts w:ascii="Arial" w:hAnsi="Arial" w:cs="Arial"/>
          <w:i/>
          <w:iCs/>
          <w:spacing w:val="4"/>
          <w:sz w:val="22"/>
          <w:lang w:val="es-ES_tradnl"/>
        </w:rPr>
        <w:t>que consisten en el valor que el juzgador le da al trabajo del profesional del derecho que ha triunfado en el proceso, cuyo pago le corresponde a la parte que resulte vencida judicialmente</w:t>
      </w:r>
      <w:r w:rsidR="0022681C" w:rsidRPr="00644AEB">
        <w:rPr>
          <w:rFonts w:ascii="Arial" w:hAnsi="Arial" w:cs="Arial"/>
          <w:i/>
          <w:iCs/>
          <w:spacing w:val="4"/>
          <w:lang w:val="es-ES_tradnl"/>
        </w:rPr>
        <w:t xml:space="preserve">” </w:t>
      </w:r>
      <w:r w:rsidR="0022681C" w:rsidRPr="00644AEB">
        <w:rPr>
          <w:rFonts w:ascii="Arial" w:hAnsi="Arial" w:cs="Arial"/>
          <w:spacing w:val="4"/>
          <w:lang w:val="es-ES_tradnl"/>
        </w:rPr>
        <w:t xml:space="preserve">(CSJ SL 1107-2019) y </w:t>
      </w:r>
      <w:r w:rsidR="0040073B" w:rsidRPr="00644AEB">
        <w:rPr>
          <w:rFonts w:ascii="Arial" w:hAnsi="Arial" w:cs="Arial"/>
          <w:spacing w:val="4"/>
          <w:lang w:val="es-ES_tradnl"/>
        </w:rPr>
        <w:t xml:space="preserve">(ii) </w:t>
      </w:r>
      <w:r w:rsidR="000A59BE" w:rsidRPr="00644AEB">
        <w:rPr>
          <w:rFonts w:ascii="Arial" w:hAnsi="Arial" w:cs="Arial"/>
          <w:i/>
          <w:iCs/>
          <w:spacing w:val="4"/>
          <w:lang w:val="es-ES_tradnl"/>
        </w:rPr>
        <w:t>las expensas</w:t>
      </w:r>
      <w:r w:rsidR="00CC2E10" w:rsidRPr="00644AEB">
        <w:rPr>
          <w:rFonts w:ascii="Arial" w:hAnsi="Arial" w:cs="Arial"/>
          <w:i/>
          <w:iCs/>
          <w:spacing w:val="4"/>
          <w:lang w:val="es-ES_tradnl"/>
        </w:rPr>
        <w:t xml:space="preserve"> </w:t>
      </w:r>
      <w:r w:rsidR="0094703F" w:rsidRPr="00644AEB">
        <w:rPr>
          <w:rFonts w:ascii="Arial" w:hAnsi="Arial" w:cs="Arial"/>
          <w:spacing w:val="4"/>
          <w:lang w:val="es-ES_tradnl"/>
        </w:rPr>
        <w:t>sufragad</w:t>
      </w:r>
      <w:r w:rsidR="0040073B" w:rsidRPr="00644AEB">
        <w:rPr>
          <w:rFonts w:ascii="Arial" w:hAnsi="Arial" w:cs="Arial"/>
          <w:spacing w:val="4"/>
          <w:lang w:val="es-ES_tradnl"/>
        </w:rPr>
        <w:t>as</w:t>
      </w:r>
      <w:r w:rsidR="0094703F" w:rsidRPr="00644AEB">
        <w:rPr>
          <w:rFonts w:ascii="Arial" w:hAnsi="Arial" w:cs="Arial"/>
          <w:spacing w:val="4"/>
          <w:lang w:val="es-ES_tradnl"/>
        </w:rPr>
        <w:t xml:space="preserve"> durante el curso del proceso</w:t>
      </w:r>
      <w:r w:rsidR="0040073B" w:rsidRPr="00644AEB">
        <w:rPr>
          <w:rFonts w:ascii="Arial" w:hAnsi="Arial" w:cs="Arial"/>
          <w:spacing w:val="4"/>
          <w:lang w:val="es-ES_tradnl"/>
        </w:rPr>
        <w:t>, que son los demás gastos, tales como el valor de las notificaciones, aranceles</w:t>
      </w:r>
      <w:r w:rsidR="000C083D" w:rsidRPr="00644AEB">
        <w:rPr>
          <w:rFonts w:ascii="Arial" w:hAnsi="Arial" w:cs="Arial"/>
          <w:spacing w:val="4"/>
          <w:lang w:val="es-ES_tradnl"/>
        </w:rPr>
        <w:t>,</w:t>
      </w:r>
      <w:r w:rsidR="0040073B" w:rsidRPr="00644AEB">
        <w:rPr>
          <w:rFonts w:ascii="Arial" w:hAnsi="Arial" w:cs="Arial"/>
          <w:spacing w:val="4"/>
          <w:lang w:val="es-ES_tradnl"/>
        </w:rPr>
        <w:t xml:space="preserve"> honorarios de los auxiliares de la justicia, impuestos, pólizas, registros, etcétera (C.G.P. arts. 361 y ss.)</w:t>
      </w:r>
      <w:r w:rsidR="00AD49DD" w:rsidRPr="00644AEB">
        <w:rPr>
          <w:rFonts w:ascii="Arial" w:hAnsi="Arial" w:cs="Arial"/>
          <w:spacing w:val="4"/>
          <w:lang w:val="es-ES_tradnl"/>
        </w:rPr>
        <w:t xml:space="preserve"> De esta forma, se entiende que la condena en costas contiene una obligación procesal que se impone contra el patrimonio de la parte vencida y en beneficio del vencedor, a efectos reintegrar, al menos en parte, los gastos procesales en los que se ha visto obligado a incurrir.</w:t>
      </w:r>
    </w:p>
    <w:p w14:paraId="47A1304D" w14:textId="16E96DF4" w:rsidR="0094703F" w:rsidRPr="00644AEB" w:rsidRDefault="0094703F" w:rsidP="00644AEB">
      <w:pPr>
        <w:pStyle w:val="Sinespaciado"/>
        <w:spacing w:line="276" w:lineRule="auto"/>
        <w:ind w:firstLine="709"/>
        <w:jc w:val="both"/>
        <w:rPr>
          <w:rFonts w:ascii="Arial" w:hAnsi="Arial" w:cs="Arial"/>
          <w:spacing w:val="4"/>
          <w:lang w:val="es-ES_tradnl"/>
        </w:rPr>
      </w:pPr>
    </w:p>
    <w:p w14:paraId="0C035926" w14:textId="0316B456" w:rsidR="00874E1E" w:rsidRPr="00644AEB" w:rsidRDefault="004A4338" w:rsidP="00644AEB">
      <w:pPr>
        <w:pStyle w:val="Sinespaciado"/>
        <w:spacing w:line="276" w:lineRule="auto"/>
        <w:ind w:firstLine="709"/>
        <w:jc w:val="both"/>
        <w:rPr>
          <w:rFonts w:ascii="Arial" w:hAnsi="Arial" w:cs="Arial"/>
          <w:spacing w:val="4"/>
          <w:lang w:val="es-ES_tradnl"/>
        </w:rPr>
      </w:pPr>
      <w:r w:rsidRPr="00644AEB">
        <w:rPr>
          <w:rFonts w:ascii="Arial" w:hAnsi="Arial" w:cs="Arial"/>
          <w:spacing w:val="4"/>
          <w:lang w:val="es-ES_tradnl"/>
        </w:rPr>
        <w:t>E</w:t>
      </w:r>
      <w:r w:rsidR="0040073B" w:rsidRPr="00644AEB">
        <w:rPr>
          <w:rFonts w:ascii="Arial" w:hAnsi="Arial" w:cs="Arial"/>
          <w:spacing w:val="4"/>
          <w:lang w:val="es-ES_tradnl"/>
        </w:rPr>
        <w:t>n cuanto al término prescript</w:t>
      </w:r>
      <w:r w:rsidR="00E03D0D" w:rsidRPr="00644AEB">
        <w:rPr>
          <w:rFonts w:ascii="Arial" w:hAnsi="Arial" w:cs="Arial"/>
          <w:spacing w:val="4"/>
          <w:lang w:val="es-ES_tradnl"/>
        </w:rPr>
        <w:t>iv</w:t>
      </w:r>
      <w:r w:rsidR="0040073B" w:rsidRPr="00644AEB">
        <w:rPr>
          <w:rFonts w:ascii="Arial" w:hAnsi="Arial" w:cs="Arial"/>
          <w:spacing w:val="4"/>
          <w:lang w:val="es-ES_tradnl"/>
        </w:rPr>
        <w:t>o de las costas procesales,</w:t>
      </w:r>
      <w:r w:rsidR="00F53862" w:rsidRPr="00644AEB">
        <w:rPr>
          <w:rFonts w:ascii="Arial" w:hAnsi="Arial" w:cs="Arial"/>
          <w:spacing w:val="4"/>
          <w:lang w:val="es-ES_tradnl"/>
        </w:rPr>
        <w:t xml:space="preserve"> </w:t>
      </w:r>
      <w:r w:rsidR="005E7D54" w:rsidRPr="00644AEB">
        <w:rPr>
          <w:rFonts w:ascii="Arial" w:hAnsi="Arial" w:cs="Arial"/>
          <w:spacing w:val="4"/>
          <w:lang w:val="es-ES_tradnl"/>
        </w:rPr>
        <w:t>es preciso traer a colació</w:t>
      </w:r>
      <w:r w:rsidR="002715A0" w:rsidRPr="00644AEB">
        <w:rPr>
          <w:rFonts w:ascii="Arial" w:hAnsi="Arial" w:cs="Arial"/>
          <w:spacing w:val="4"/>
          <w:lang w:val="es-ES_tradnl"/>
        </w:rPr>
        <w:t>n que la Sala Laboral de la Corte Suprema de Justicia</w:t>
      </w:r>
      <w:r w:rsidR="00874E1E" w:rsidRPr="00644AEB">
        <w:rPr>
          <w:rFonts w:ascii="Arial" w:hAnsi="Arial" w:cs="Arial"/>
          <w:spacing w:val="4"/>
          <w:lang w:val="es-ES_tradnl"/>
        </w:rPr>
        <w:t xml:space="preserve">, </w:t>
      </w:r>
      <w:r w:rsidR="002715A0" w:rsidRPr="00644AEB">
        <w:rPr>
          <w:rFonts w:ascii="Arial" w:hAnsi="Arial" w:cs="Arial"/>
          <w:spacing w:val="4"/>
          <w:lang w:val="es-ES_tradnl"/>
        </w:rPr>
        <w:t xml:space="preserve">en la sentencia STL11275 de 2016, reiterada en las sentencias STL14542 de 2018 y STL7311, 7447, 14056 de 2019, </w:t>
      </w:r>
      <w:r w:rsidR="00874E1E" w:rsidRPr="00644AEB">
        <w:rPr>
          <w:rFonts w:ascii="Arial" w:hAnsi="Arial" w:cs="Arial"/>
          <w:spacing w:val="4"/>
          <w:lang w:val="es-ES_tradnl"/>
        </w:rPr>
        <w:t xml:space="preserve">puso de presente el criterio vigente en la materia, señalando que: </w:t>
      </w:r>
    </w:p>
    <w:p w14:paraId="0744FAF2" w14:textId="77777777" w:rsidR="002715A0" w:rsidRPr="00644AEB" w:rsidRDefault="002715A0" w:rsidP="00644AEB">
      <w:pPr>
        <w:pStyle w:val="Sinespaciado"/>
        <w:spacing w:line="276" w:lineRule="auto"/>
        <w:ind w:firstLine="709"/>
        <w:jc w:val="both"/>
        <w:rPr>
          <w:rFonts w:ascii="Arial" w:hAnsi="Arial" w:cs="Arial"/>
          <w:spacing w:val="4"/>
          <w:lang w:val="es-ES_tradnl"/>
        </w:rPr>
      </w:pPr>
    </w:p>
    <w:p w14:paraId="7C5BBADA" w14:textId="77777777" w:rsidR="002715A0" w:rsidRPr="00644AEB" w:rsidRDefault="002715A0" w:rsidP="00644AEB">
      <w:pPr>
        <w:pStyle w:val="Sinespaciado"/>
        <w:ind w:left="426" w:right="420" w:firstLine="1"/>
        <w:jc w:val="both"/>
        <w:rPr>
          <w:rFonts w:ascii="Arial" w:hAnsi="Arial" w:cs="Arial"/>
          <w:spacing w:val="4"/>
          <w:sz w:val="22"/>
          <w:lang w:val="es-ES_tradnl"/>
        </w:rPr>
      </w:pPr>
      <w:r w:rsidRPr="00644AEB">
        <w:rPr>
          <w:rFonts w:ascii="Arial" w:hAnsi="Arial" w:cs="Arial"/>
          <w:spacing w:val="4"/>
          <w:sz w:val="22"/>
          <w:lang w:val="es-ES_tradnl"/>
        </w:rPr>
        <w:t xml:space="preserve">“Respecto a la prosperidad de la excepción de prescripción, se encuentra que el señor Acevedo Gutiérrez  </w:t>
      </w:r>
      <w:r w:rsidRPr="00644AEB">
        <w:rPr>
          <w:rFonts w:ascii="Arial" w:hAnsi="Arial" w:cs="Arial"/>
          <w:spacing w:val="4"/>
          <w:sz w:val="22"/>
          <w:u w:val="single"/>
          <w:lang w:val="es-ES_tradnl"/>
        </w:rPr>
        <w:t>acudió a la jurisdicción laboral a reclamar a través de proceso ejecutivo a continuación de un ordinario, el reconocimiento y pago de las costas judiciales</w:t>
      </w:r>
      <w:r w:rsidRPr="00644AEB">
        <w:rPr>
          <w:rFonts w:ascii="Arial" w:hAnsi="Arial" w:cs="Arial"/>
          <w:spacing w:val="4"/>
          <w:sz w:val="22"/>
          <w:lang w:val="es-ES_tradnl"/>
        </w:rPr>
        <w:t xml:space="preserve"> reconocidas dentro del citado proceso ordinario, por lo tanto </w:t>
      </w:r>
      <w:r w:rsidRPr="00644AEB">
        <w:rPr>
          <w:rFonts w:ascii="Arial" w:hAnsi="Arial" w:cs="Arial"/>
          <w:spacing w:val="4"/>
          <w:sz w:val="22"/>
          <w:u w:val="single"/>
          <w:lang w:val="es-ES_tradnl"/>
        </w:rPr>
        <w:t>debía darse aplicación a las normas que sobre prescripción regule el Código Procesal del Trabajo y de la Seguridad Social y dicho tema lo reglamenta el artículo 151 de esta disposición normativa</w:t>
      </w:r>
      <w:r w:rsidRPr="00644AEB">
        <w:rPr>
          <w:rFonts w:ascii="Arial" w:hAnsi="Arial" w:cs="Arial"/>
          <w:spacing w:val="4"/>
          <w:sz w:val="22"/>
          <w:lang w:val="es-ES_tradnl"/>
        </w:rPr>
        <w:t xml:space="preserve"> cuando indica que “Las acciones que emanen de la leyes sociales prescribirán en tres años, que se contarán desde que la respectiva obligación se haya hecho exigible. El simple reclamo escrito (…) sobre un derecho o prestación debidamente determinado, interrumpirá la prescripción pero sólo por un lapso igual”.</w:t>
      </w:r>
    </w:p>
    <w:p w14:paraId="661C2C16" w14:textId="77777777" w:rsidR="002715A0" w:rsidRPr="00644AEB" w:rsidRDefault="002715A0" w:rsidP="00644AEB">
      <w:pPr>
        <w:pStyle w:val="Sinespaciado"/>
        <w:ind w:left="426" w:right="420" w:firstLine="709"/>
        <w:jc w:val="both"/>
        <w:rPr>
          <w:rFonts w:ascii="Arial" w:hAnsi="Arial" w:cs="Arial"/>
          <w:spacing w:val="4"/>
          <w:sz w:val="22"/>
          <w:lang w:val="es-ES_tradnl"/>
        </w:rPr>
      </w:pPr>
    </w:p>
    <w:p w14:paraId="61D44199" w14:textId="77777777" w:rsidR="002715A0" w:rsidRPr="00644AEB" w:rsidRDefault="002715A0" w:rsidP="00644AEB">
      <w:pPr>
        <w:pStyle w:val="Sinespaciado"/>
        <w:ind w:left="426" w:right="420" w:firstLine="1"/>
        <w:jc w:val="both"/>
        <w:rPr>
          <w:rFonts w:ascii="Arial" w:hAnsi="Arial" w:cs="Arial"/>
          <w:spacing w:val="4"/>
          <w:sz w:val="22"/>
          <w:lang w:val="es-ES_tradnl"/>
        </w:rPr>
      </w:pPr>
      <w:r w:rsidRPr="00644AEB">
        <w:rPr>
          <w:rFonts w:ascii="Arial" w:hAnsi="Arial" w:cs="Arial"/>
          <w:spacing w:val="4"/>
          <w:sz w:val="22"/>
          <w:lang w:val="es-ES_tradnl"/>
        </w:rPr>
        <w:t xml:space="preserve">Corolario de lo anterior, para esta Colegiatura no es de recibo el argumento exhibido por la Sala Laboral del Tribunal Superior de Medellín al considerar que en el asunto de marras, el fenómeno prescriptivo no había operado, ante la omisión de la ejecutada de emitir pronunciamiento relacionado con el escrito presentado el 19 de diciembre de 2011, mediante el cual se solicitó el pago de los conceptos reconocidos dentro del proceso ordinario laboral radicado No 2009-697 al igual que el pago de las costas procesales. </w:t>
      </w:r>
      <w:r w:rsidRPr="00644AEB">
        <w:rPr>
          <w:rFonts w:ascii="Arial" w:hAnsi="Arial" w:cs="Arial"/>
          <w:spacing w:val="4"/>
          <w:sz w:val="22"/>
          <w:u w:val="single"/>
          <w:lang w:val="es-ES_tradnl"/>
        </w:rPr>
        <w:t>No tuvo en cuenta el juez plural que no debía acudirse a las disposiciones referentes a la reclamación administrativa como requisito de procedibilidad</w:t>
      </w:r>
      <w:r w:rsidRPr="00644AEB">
        <w:rPr>
          <w:rFonts w:ascii="Arial" w:hAnsi="Arial" w:cs="Arial"/>
          <w:spacing w:val="4"/>
          <w:sz w:val="22"/>
          <w:lang w:val="es-ES_tradnl"/>
        </w:rPr>
        <w:t xml:space="preserve"> para las acciones contenciosas y </w:t>
      </w:r>
      <w:r w:rsidRPr="00644AEB">
        <w:rPr>
          <w:rFonts w:ascii="Arial" w:hAnsi="Arial" w:cs="Arial"/>
          <w:spacing w:val="4"/>
          <w:sz w:val="22"/>
          <w:lang w:val="es-ES_tradnl"/>
        </w:rPr>
        <w:lastRenderedPageBreak/>
        <w:t xml:space="preserve">que aluden a la suspensión del término prescriptivo hasta tanto se resuelva la solicitud o transcurrido un mes sin que haya pronunciamiento de la entidad sobre el derecho reclamado, </w:t>
      </w:r>
      <w:r w:rsidRPr="00644AEB">
        <w:rPr>
          <w:rFonts w:ascii="Arial" w:hAnsi="Arial" w:cs="Arial"/>
          <w:spacing w:val="4"/>
          <w:sz w:val="22"/>
          <w:u w:val="single"/>
          <w:lang w:val="es-ES_tradnl"/>
        </w:rPr>
        <w:t>pues en el presente asunto no hay discusión sobre la existencia de derecho alguno</w:t>
      </w:r>
      <w:r w:rsidRPr="00644AEB">
        <w:rPr>
          <w:rFonts w:ascii="Arial" w:hAnsi="Arial" w:cs="Arial"/>
          <w:spacing w:val="4"/>
          <w:sz w:val="22"/>
          <w:lang w:val="es-ES_tradnl"/>
        </w:rPr>
        <w:t xml:space="preserve"> por cuanto existió una obligación reconocida judicialmente el 27 de julio de 2011  la que a su vez quedó ejecutoriada el 21 de noviembre de esa anualidad (</w:t>
      </w:r>
      <w:proofErr w:type="spellStart"/>
      <w:r w:rsidRPr="00644AEB">
        <w:rPr>
          <w:rFonts w:ascii="Arial" w:hAnsi="Arial" w:cs="Arial"/>
          <w:spacing w:val="4"/>
          <w:sz w:val="22"/>
          <w:lang w:val="es-ES_tradnl"/>
        </w:rPr>
        <w:t>fl</w:t>
      </w:r>
      <w:proofErr w:type="spellEnd"/>
      <w:r w:rsidRPr="00644AEB">
        <w:rPr>
          <w:rFonts w:ascii="Arial" w:hAnsi="Arial" w:cs="Arial"/>
          <w:spacing w:val="4"/>
          <w:sz w:val="22"/>
          <w:lang w:val="es-ES_tradnl"/>
        </w:rPr>
        <w:t xml:space="preserve">. 74), </w:t>
      </w:r>
      <w:r w:rsidRPr="00644AEB">
        <w:rPr>
          <w:rFonts w:ascii="Arial" w:hAnsi="Arial" w:cs="Arial"/>
          <w:spacing w:val="4"/>
          <w:sz w:val="22"/>
          <w:u w:val="single"/>
          <w:lang w:val="es-ES_tradnl"/>
        </w:rPr>
        <w:t>debiendo entonces darse aplicación al contenido, en estricto rigor, del artículo 151 del estatuto procesal laboral que predica la prescripción trienal</w:t>
      </w:r>
      <w:r w:rsidRPr="00644AEB">
        <w:rPr>
          <w:rFonts w:ascii="Arial" w:hAnsi="Arial" w:cs="Arial"/>
          <w:spacing w:val="4"/>
          <w:sz w:val="22"/>
          <w:lang w:val="es-ES_tradnl"/>
        </w:rPr>
        <w:t>.”</w:t>
      </w:r>
    </w:p>
    <w:p w14:paraId="26E58338" w14:textId="77777777" w:rsidR="002715A0" w:rsidRPr="00644AEB" w:rsidRDefault="002715A0" w:rsidP="00644AEB">
      <w:pPr>
        <w:pStyle w:val="Sinespaciado"/>
        <w:spacing w:line="276" w:lineRule="auto"/>
        <w:ind w:firstLine="709"/>
        <w:jc w:val="both"/>
        <w:rPr>
          <w:rFonts w:ascii="Arial" w:hAnsi="Arial" w:cs="Arial"/>
          <w:spacing w:val="4"/>
          <w:lang w:val="es-ES_tradnl"/>
        </w:rPr>
      </w:pPr>
    </w:p>
    <w:p w14:paraId="479946F3" w14:textId="624A21E8" w:rsidR="003506D8" w:rsidRPr="00644AEB" w:rsidRDefault="003506D8" w:rsidP="00644AEB">
      <w:pPr>
        <w:pStyle w:val="Sinespaciado"/>
        <w:spacing w:line="276" w:lineRule="auto"/>
        <w:ind w:firstLine="709"/>
        <w:jc w:val="both"/>
        <w:rPr>
          <w:rFonts w:ascii="Arial" w:hAnsi="Arial" w:cs="Arial"/>
          <w:spacing w:val="4"/>
          <w:lang w:val="es-ES_tradnl"/>
        </w:rPr>
      </w:pPr>
      <w:r w:rsidRPr="00644AEB">
        <w:rPr>
          <w:rFonts w:ascii="Arial" w:hAnsi="Arial" w:cs="Arial"/>
          <w:spacing w:val="4"/>
          <w:lang w:val="es-ES_tradnl"/>
        </w:rPr>
        <w:t>A su vez, desde el 30 de octubre de 2019</w:t>
      </w:r>
      <w:r w:rsidRPr="00644AEB">
        <w:rPr>
          <w:rStyle w:val="Refdenotaalpie"/>
          <w:rFonts w:ascii="Arial" w:hAnsi="Arial" w:cs="Arial"/>
          <w:spacing w:val="4"/>
          <w:lang w:val="es-ES_tradnl"/>
        </w:rPr>
        <w:footnoteReference w:id="1"/>
      </w:r>
      <w:r w:rsidRPr="00644AEB">
        <w:rPr>
          <w:rFonts w:ascii="Arial" w:hAnsi="Arial" w:cs="Arial"/>
          <w:spacing w:val="4"/>
          <w:lang w:val="es-ES_tradnl"/>
        </w:rPr>
        <w:t xml:space="preserve"> la Sala Laboral de éste Tribunal, abandonó el criterio según el cual, éste correspondía al lapso de cinco (5) años que establece el artículo 2536 del Código Civil y en su lugar, </w:t>
      </w:r>
      <w:r w:rsidR="00C038F2" w:rsidRPr="00644AEB">
        <w:rPr>
          <w:rFonts w:ascii="Arial" w:hAnsi="Arial" w:cs="Arial"/>
          <w:spacing w:val="4"/>
          <w:lang w:val="es-ES_tradnl"/>
        </w:rPr>
        <w:t xml:space="preserve">a tono con el precedente vertical, </w:t>
      </w:r>
      <w:r w:rsidRPr="00644AEB">
        <w:rPr>
          <w:rFonts w:ascii="Arial" w:hAnsi="Arial" w:cs="Arial"/>
          <w:spacing w:val="4"/>
          <w:lang w:val="es-ES_tradnl"/>
        </w:rPr>
        <w:t xml:space="preserve">lineó que: </w:t>
      </w:r>
    </w:p>
    <w:p w14:paraId="5E43A6E0" w14:textId="77777777" w:rsidR="003506D8" w:rsidRPr="00644AEB" w:rsidRDefault="003506D8" w:rsidP="00644AEB">
      <w:pPr>
        <w:pStyle w:val="Sinespaciado"/>
        <w:spacing w:line="276" w:lineRule="auto"/>
        <w:ind w:firstLine="709"/>
        <w:jc w:val="both"/>
        <w:rPr>
          <w:rFonts w:ascii="Arial" w:hAnsi="Arial" w:cs="Arial"/>
          <w:spacing w:val="4"/>
          <w:lang w:val="es-ES_tradnl"/>
        </w:rPr>
      </w:pPr>
    </w:p>
    <w:p w14:paraId="369FEA25" w14:textId="77777777" w:rsidR="00644AEB" w:rsidRPr="00644AEB" w:rsidRDefault="00644AEB" w:rsidP="00644AEB">
      <w:pPr>
        <w:ind w:left="426" w:right="420" w:firstLine="1"/>
        <w:jc w:val="both"/>
        <w:rPr>
          <w:rFonts w:ascii="Arial" w:hAnsi="Arial" w:cs="Arial"/>
          <w:spacing w:val="4"/>
          <w:sz w:val="22"/>
          <w:lang w:val="es-ES_tradnl"/>
        </w:rPr>
      </w:pPr>
      <w:r w:rsidRPr="00644AEB">
        <w:rPr>
          <w:rFonts w:ascii="Arial" w:hAnsi="Arial" w:cs="Arial"/>
          <w:spacing w:val="4"/>
          <w:sz w:val="22"/>
          <w:lang w:val="es-ES_tradnl"/>
        </w:rPr>
        <w:t>“Si bien en las providencias emanadas de la Sala de Casación Laboral no se hace especial mención a los temas que ha señalado esta Sala de decisión para concluir que las costas judiciales no son un derecho que emane del Código Sustantivo del Trabajo ni tampoco constituyen un derecho social, al reestudiar el tema en búsqueda de argumentos que apoyen la línea trazada por el órgano de cierre de esta jurisdicción, la Sala encuentra que nuestro sistema jurídico, de antaño, tiene prevista una prescripción especial para las acciones que emanen de los “gastos judiciales” y los “honorarios de los defensores”. En efecto, dispone el artículo 2542 del Código Civil:</w:t>
      </w:r>
    </w:p>
    <w:p w14:paraId="2FE65167" w14:textId="77777777" w:rsidR="00644AEB" w:rsidRPr="00644AEB" w:rsidRDefault="00644AEB" w:rsidP="00644AEB">
      <w:pPr>
        <w:ind w:left="426" w:right="420" w:firstLine="1"/>
        <w:jc w:val="both"/>
        <w:rPr>
          <w:rFonts w:ascii="Arial" w:hAnsi="Arial" w:cs="Arial"/>
          <w:spacing w:val="4"/>
          <w:sz w:val="22"/>
          <w:lang w:val="es-ES_tradnl"/>
        </w:rPr>
      </w:pPr>
    </w:p>
    <w:p w14:paraId="31CDAC98" w14:textId="77777777" w:rsidR="00644AEB" w:rsidRPr="00644AEB" w:rsidRDefault="00644AEB" w:rsidP="00644AEB">
      <w:pPr>
        <w:ind w:left="851" w:right="845" w:firstLine="1"/>
        <w:jc w:val="both"/>
        <w:rPr>
          <w:rFonts w:ascii="Arial" w:hAnsi="Arial" w:cs="Arial"/>
          <w:spacing w:val="4"/>
          <w:sz w:val="22"/>
          <w:lang w:val="es-ES_tradnl"/>
        </w:rPr>
      </w:pPr>
      <w:r w:rsidRPr="00644AEB">
        <w:rPr>
          <w:rFonts w:ascii="Arial" w:hAnsi="Arial" w:cs="Arial"/>
          <w:spacing w:val="4"/>
          <w:sz w:val="22"/>
          <w:lang w:val="es-ES_tradnl"/>
        </w:rPr>
        <w:t xml:space="preserve">“Prescriben en tres años los gastos judiciales enumerados en el título VII, libro I del Código Judicial de la Unión, incluso los honorarios de los defensores; los médicos y cirujanos…”  </w:t>
      </w:r>
    </w:p>
    <w:p w14:paraId="3A630455" w14:textId="77777777" w:rsidR="00644AEB" w:rsidRPr="00644AEB" w:rsidRDefault="00644AEB" w:rsidP="00644AEB">
      <w:pPr>
        <w:ind w:left="426" w:right="420" w:firstLine="1"/>
        <w:jc w:val="both"/>
        <w:rPr>
          <w:rFonts w:ascii="Arial" w:hAnsi="Arial" w:cs="Arial"/>
          <w:spacing w:val="4"/>
          <w:sz w:val="22"/>
          <w:lang w:val="es-ES_tradnl"/>
        </w:rPr>
      </w:pPr>
    </w:p>
    <w:p w14:paraId="03AA04CD" w14:textId="77777777" w:rsidR="00644AEB" w:rsidRPr="00644AEB" w:rsidRDefault="00644AEB" w:rsidP="00644AEB">
      <w:pPr>
        <w:ind w:left="426" w:right="420" w:firstLine="1"/>
        <w:jc w:val="both"/>
        <w:rPr>
          <w:rFonts w:ascii="Arial" w:hAnsi="Arial" w:cs="Arial"/>
          <w:spacing w:val="4"/>
          <w:sz w:val="22"/>
          <w:lang w:val="es-ES_tradnl"/>
        </w:rPr>
      </w:pPr>
      <w:r w:rsidRPr="00644AEB">
        <w:rPr>
          <w:rFonts w:ascii="Arial" w:hAnsi="Arial" w:cs="Arial"/>
          <w:spacing w:val="4"/>
          <w:sz w:val="22"/>
          <w:lang w:val="es-ES_tradnl"/>
        </w:rPr>
        <w:t>Los gastos judiciales a que hace referencia la norma, en el código judicial –ley 105 de 1931- en su título XVI, en sus dos capítulos (arancel y costas) en cuanto a estas últimas, previó lo siguiente:</w:t>
      </w:r>
    </w:p>
    <w:p w14:paraId="2C86F0BC" w14:textId="77777777" w:rsidR="00644AEB" w:rsidRPr="00644AEB" w:rsidRDefault="00644AEB" w:rsidP="00644AEB">
      <w:pPr>
        <w:ind w:left="426" w:right="420" w:firstLine="1"/>
        <w:jc w:val="both"/>
        <w:rPr>
          <w:rFonts w:ascii="Arial" w:hAnsi="Arial" w:cs="Arial"/>
          <w:spacing w:val="4"/>
          <w:sz w:val="22"/>
          <w:lang w:val="es-ES_tradnl"/>
        </w:rPr>
      </w:pPr>
    </w:p>
    <w:p w14:paraId="4FCE21FB" w14:textId="77777777" w:rsidR="00644AEB" w:rsidRPr="00644AEB" w:rsidRDefault="00644AEB" w:rsidP="00644AEB">
      <w:pPr>
        <w:ind w:left="851" w:right="845" w:firstLine="1"/>
        <w:jc w:val="both"/>
        <w:rPr>
          <w:rFonts w:ascii="Arial" w:hAnsi="Arial" w:cs="Arial"/>
          <w:spacing w:val="4"/>
          <w:sz w:val="22"/>
          <w:lang w:val="es-ES_tradnl"/>
        </w:rPr>
      </w:pPr>
      <w:r w:rsidRPr="00644AEB">
        <w:rPr>
          <w:rFonts w:ascii="Arial" w:hAnsi="Arial" w:cs="Arial"/>
          <w:spacing w:val="4"/>
          <w:sz w:val="22"/>
          <w:lang w:val="es-ES_tradnl"/>
        </w:rPr>
        <w:t xml:space="preserve">ARTÍCULO 578.- En toda liquidación de costas se computa a cargo de la parte a quien se imponen: </w:t>
      </w:r>
    </w:p>
    <w:p w14:paraId="31FA712D" w14:textId="77777777" w:rsidR="00644AEB" w:rsidRPr="00644AEB" w:rsidRDefault="00644AEB" w:rsidP="00644AEB">
      <w:pPr>
        <w:ind w:left="851" w:right="845" w:firstLine="1"/>
        <w:jc w:val="both"/>
        <w:rPr>
          <w:rFonts w:ascii="Arial" w:hAnsi="Arial" w:cs="Arial"/>
          <w:spacing w:val="4"/>
          <w:sz w:val="22"/>
          <w:lang w:val="es-ES_tradnl"/>
        </w:rPr>
      </w:pPr>
      <w:r w:rsidRPr="00644AEB">
        <w:rPr>
          <w:rFonts w:ascii="Arial" w:hAnsi="Arial" w:cs="Arial"/>
          <w:spacing w:val="4"/>
          <w:sz w:val="22"/>
          <w:lang w:val="es-ES_tradnl"/>
        </w:rPr>
        <w:t xml:space="preserve">  </w:t>
      </w:r>
    </w:p>
    <w:p w14:paraId="6FD4A0C3" w14:textId="77777777" w:rsidR="00644AEB" w:rsidRPr="00644AEB" w:rsidRDefault="00644AEB" w:rsidP="00644AEB">
      <w:pPr>
        <w:ind w:left="851" w:right="845" w:firstLine="1"/>
        <w:jc w:val="both"/>
        <w:rPr>
          <w:rFonts w:ascii="Arial" w:hAnsi="Arial" w:cs="Arial"/>
          <w:spacing w:val="4"/>
          <w:sz w:val="22"/>
          <w:lang w:val="es-ES_tradnl"/>
        </w:rPr>
      </w:pPr>
      <w:r w:rsidRPr="00644AEB">
        <w:rPr>
          <w:rFonts w:ascii="Arial" w:hAnsi="Arial" w:cs="Arial"/>
          <w:spacing w:val="4"/>
          <w:sz w:val="22"/>
          <w:lang w:val="es-ES_tradnl"/>
        </w:rPr>
        <w:t xml:space="preserve">1°. El papel sellado y los portes de correo. </w:t>
      </w:r>
    </w:p>
    <w:p w14:paraId="4B285BBD" w14:textId="77777777" w:rsidR="00644AEB" w:rsidRPr="00644AEB" w:rsidRDefault="00644AEB" w:rsidP="00644AEB">
      <w:pPr>
        <w:ind w:left="851" w:right="845" w:firstLine="1"/>
        <w:jc w:val="both"/>
        <w:rPr>
          <w:rFonts w:ascii="Arial" w:hAnsi="Arial" w:cs="Arial"/>
          <w:spacing w:val="4"/>
          <w:sz w:val="22"/>
          <w:lang w:val="es-ES_tradnl"/>
        </w:rPr>
      </w:pPr>
      <w:r w:rsidRPr="00644AEB">
        <w:rPr>
          <w:rFonts w:ascii="Arial" w:hAnsi="Arial" w:cs="Arial"/>
          <w:spacing w:val="4"/>
          <w:sz w:val="22"/>
          <w:lang w:val="es-ES_tradnl"/>
        </w:rPr>
        <w:t xml:space="preserve">  </w:t>
      </w:r>
    </w:p>
    <w:p w14:paraId="66544816" w14:textId="77777777" w:rsidR="00644AEB" w:rsidRPr="00644AEB" w:rsidRDefault="00644AEB" w:rsidP="00644AEB">
      <w:pPr>
        <w:ind w:left="851" w:right="845" w:firstLine="1"/>
        <w:jc w:val="both"/>
        <w:rPr>
          <w:rFonts w:ascii="Arial" w:hAnsi="Arial" w:cs="Arial"/>
          <w:spacing w:val="4"/>
          <w:sz w:val="22"/>
          <w:lang w:val="es-ES_tradnl"/>
        </w:rPr>
      </w:pPr>
      <w:r w:rsidRPr="00644AEB">
        <w:rPr>
          <w:rFonts w:ascii="Arial" w:hAnsi="Arial" w:cs="Arial"/>
          <w:spacing w:val="4"/>
          <w:sz w:val="22"/>
          <w:lang w:val="es-ES_tradnl"/>
        </w:rPr>
        <w:t xml:space="preserve">2°. Los gastos judiciales de que se trata en el CAPITULO I de este TITULO y los demás que autorice la ley, o que por la naturaleza del negocio hayan sido indispensables; y </w:t>
      </w:r>
    </w:p>
    <w:p w14:paraId="4A5E5972" w14:textId="77777777" w:rsidR="00644AEB" w:rsidRPr="00644AEB" w:rsidRDefault="00644AEB" w:rsidP="00644AEB">
      <w:pPr>
        <w:ind w:left="851" w:right="845" w:firstLine="1"/>
        <w:jc w:val="both"/>
        <w:rPr>
          <w:rFonts w:ascii="Arial" w:hAnsi="Arial" w:cs="Arial"/>
          <w:spacing w:val="4"/>
          <w:sz w:val="22"/>
          <w:lang w:val="es-ES_tradnl"/>
        </w:rPr>
      </w:pPr>
      <w:r w:rsidRPr="00644AEB">
        <w:rPr>
          <w:rFonts w:ascii="Arial" w:hAnsi="Arial" w:cs="Arial"/>
          <w:spacing w:val="4"/>
          <w:sz w:val="22"/>
          <w:lang w:val="es-ES_tradnl"/>
        </w:rPr>
        <w:t xml:space="preserve">  </w:t>
      </w:r>
    </w:p>
    <w:p w14:paraId="209A4202" w14:textId="77777777" w:rsidR="00644AEB" w:rsidRPr="00644AEB" w:rsidRDefault="00644AEB" w:rsidP="00644AEB">
      <w:pPr>
        <w:ind w:left="851" w:right="845" w:firstLine="1"/>
        <w:jc w:val="both"/>
        <w:rPr>
          <w:rFonts w:ascii="Arial" w:hAnsi="Arial" w:cs="Arial"/>
          <w:spacing w:val="4"/>
          <w:sz w:val="22"/>
          <w:lang w:val="es-ES_tradnl"/>
        </w:rPr>
      </w:pPr>
      <w:r w:rsidRPr="00644AEB">
        <w:rPr>
          <w:rFonts w:ascii="Arial" w:hAnsi="Arial" w:cs="Arial"/>
          <w:spacing w:val="4"/>
          <w:sz w:val="22"/>
          <w:lang w:val="es-ES_tradnl"/>
        </w:rPr>
        <w:t xml:space="preserve">3°. Las diligencias, escritos o alegatos verbales de la parte favorecida o de su apoderado en el juicio, y la atención o vigilancia que le haya prestado al negocio. </w:t>
      </w:r>
    </w:p>
    <w:p w14:paraId="58E3072A" w14:textId="77777777" w:rsidR="00644AEB" w:rsidRPr="00644AEB" w:rsidRDefault="00644AEB" w:rsidP="00644AEB">
      <w:pPr>
        <w:ind w:left="426" w:right="420" w:firstLine="1"/>
        <w:jc w:val="both"/>
        <w:rPr>
          <w:rFonts w:ascii="Arial" w:hAnsi="Arial" w:cs="Arial"/>
          <w:spacing w:val="4"/>
          <w:sz w:val="22"/>
          <w:lang w:val="es-ES_tradnl"/>
        </w:rPr>
      </w:pPr>
    </w:p>
    <w:p w14:paraId="1896B831" w14:textId="77777777" w:rsidR="00644AEB" w:rsidRPr="00644AEB" w:rsidRDefault="00644AEB" w:rsidP="00644AEB">
      <w:pPr>
        <w:ind w:left="426" w:right="420" w:firstLine="1"/>
        <w:jc w:val="both"/>
        <w:rPr>
          <w:rFonts w:ascii="Arial" w:hAnsi="Arial" w:cs="Arial"/>
          <w:spacing w:val="4"/>
          <w:sz w:val="22"/>
          <w:lang w:val="es-ES_tradnl"/>
        </w:rPr>
      </w:pPr>
      <w:r w:rsidRPr="00644AEB">
        <w:rPr>
          <w:rFonts w:ascii="Arial" w:hAnsi="Arial" w:cs="Arial"/>
          <w:spacing w:val="4"/>
          <w:sz w:val="22"/>
          <w:lang w:val="es-ES_tradnl"/>
        </w:rPr>
        <w:t xml:space="preserve">Esos conceptos a su vez fueron desarrollados en el </w:t>
      </w:r>
      <w:proofErr w:type="spellStart"/>
      <w:r w:rsidRPr="00644AEB">
        <w:rPr>
          <w:rFonts w:ascii="Arial" w:hAnsi="Arial" w:cs="Arial"/>
          <w:spacing w:val="4"/>
          <w:sz w:val="22"/>
          <w:lang w:val="es-ES_tradnl"/>
        </w:rPr>
        <w:t>C.P.C</w:t>
      </w:r>
      <w:proofErr w:type="spellEnd"/>
      <w:r w:rsidRPr="00644AEB">
        <w:rPr>
          <w:rFonts w:ascii="Arial" w:hAnsi="Arial" w:cs="Arial"/>
          <w:spacing w:val="4"/>
          <w:sz w:val="22"/>
          <w:lang w:val="es-ES_tradnl"/>
        </w:rPr>
        <w:t xml:space="preserve">. de 1970 en los títulos XIX y XX bajo iguales denominaciones de expensas y costas y así se mantienen hasta la actualidad. </w:t>
      </w:r>
    </w:p>
    <w:p w14:paraId="6924F2C9" w14:textId="77777777" w:rsidR="00644AEB" w:rsidRPr="00644AEB" w:rsidRDefault="00644AEB" w:rsidP="00644AEB">
      <w:pPr>
        <w:ind w:left="426" w:right="420" w:firstLine="1"/>
        <w:jc w:val="both"/>
        <w:rPr>
          <w:rFonts w:ascii="Arial" w:hAnsi="Arial" w:cs="Arial"/>
          <w:spacing w:val="4"/>
          <w:sz w:val="22"/>
          <w:lang w:val="es-ES_tradnl"/>
        </w:rPr>
      </w:pPr>
    </w:p>
    <w:p w14:paraId="4982F1B2" w14:textId="77777777" w:rsidR="00644AEB" w:rsidRPr="00644AEB" w:rsidRDefault="00644AEB" w:rsidP="00644AEB">
      <w:pPr>
        <w:ind w:left="426" w:right="420" w:firstLine="1"/>
        <w:jc w:val="both"/>
        <w:rPr>
          <w:rFonts w:ascii="Arial" w:hAnsi="Arial" w:cs="Arial"/>
          <w:spacing w:val="4"/>
          <w:sz w:val="22"/>
          <w:lang w:val="es-ES_tradnl"/>
        </w:rPr>
      </w:pPr>
      <w:r w:rsidRPr="00644AEB">
        <w:rPr>
          <w:rFonts w:ascii="Arial" w:hAnsi="Arial" w:cs="Arial"/>
          <w:spacing w:val="4"/>
          <w:sz w:val="22"/>
          <w:lang w:val="es-ES_tradnl"/>
        </w:rPr>
        <w:t>Fácilmente puede notarse que lo que inicialmente se denominó gastos judiciales por el Código de la Unión, corresponde a lo que en la actualidad tenemos previsto como aranceles o expensas y costas</w:t>
      </w:r>
    </w:p>
    <w:p w14:paraId="3F7F09FD" w14:textId="77777777" w:rsidR="00644AEB" w:rsidRPr="00644AEB" w:rsidRDefault="00644AEB" w:rsidP="00644AEB">
      <w:pPr>
        <w:ind w:left="426" w:right="420" w:firstLine="1"/>
        <w:jc w:val="both"/>
        <w:rPr>
          <w:rFonts w:ascii="Arial" w:hAnsi="Arial" w:cs="Arial"/>
          <w:spacing w:val="4"/>
          <w:sz w:val="22"/>
          <w:lang w:val="es-ES_tradnl"/>
        </w:rPr>
      </w:pPr>
      <w:r w:rsidRPr="00644AEB">
        <w:rPr>
          <w:rFonts w:ascii="Arial" w:hAnsi="Arial" w:cs="Arial"/>
          <w:spacing w:val="4"/>
          <w:sz w:val="22"/>
          <w:lang w:val="es-ES_tradnl"/>
        </w:rPr>
        <w:t xml:space="preserve">  </w:t>
      </w:r>
    </w:p>
    <w:p w14:paraId="07AEFDF7" w14:textId="77777777" w:rsidR="00644AEB" w:rsidRPr="00644AEB" w:rsidRDefault="00644AEB" w:rsidP="00644AEB">
      <w:pPr>
        <w:ind w:left="426" w:right="420" w:firstLine="1"/>
        <w:jc w:val="both"/>
        <w:rPr>
          <w:rFonts w:ascii="Arial" w:hAnsi="Arial" w:cs="Arial"/>
          <w:spacing w:val="4"/>
          <w:sz w:val="22"/>
          <w:lang w:val="es-ES_tradnl"/>
        </w:rPr>
      </w:pPr>
      <w:r w:rsidRPr="00644AEB">
        <w:rPr>
          <w:rFonts w:ascii="Arial" w:hAnsi="Arial" w:cs="Arial"/>
          <w:spacing w:val="4"/>
          <w:sz w:val="22"/>
          <w:lang w:val="es-ES_tradnl"/>
        </w:rPr>
        <w:t xml:space="preserve">De allí que si bien la norma inicialmente citada (Art. 2542 C.C.) no se refiere a las “costas procesales” como las concebimos hoy en día, lo cierto es que de manera evidente hace referencia a dos ítems que se encuentran incluidos en dicho concepto: Los gastos judiciales y los honorarios de los defensores. Y </w:t>
      </w:r>
      <w:r w:rsidRPr="00644AEB">
        <w:rPr>
          <w:rFonts w:ascii="Arial" w:hAnsi="Arial" w:cs="Arial"/>
          <w:spacing w:val="4"/>
          <w:sz w:val="22"/>
          <w:lang w:val="es-ES_tradnl"/>
        </w:rPr>
        <w:lastRenderedPageBreak/>
        <w:t xml:space="preserve">aunque, pudiera alegarse que este último concepto solo se refiere al derecho de ese defensor a reclamar el valor de sus servicios a quien lo contrató para representarlo judicialmente, mas no hace referencia al valor que la parte vencida debe pagar a la otra por los honorarios del abogado que tuvo que contratar, lo cierto es que tal gasto es a la vez el que, bajo el concepto de agencias en derecho, se pretende resarcir al litigante que triunfa en el proceso. </w:t>
      </w:r>
    </w:p>
    <w:p w14:paraId="5F51920B" w14:textId="77777777" w:rsidR="00644AEB" w:rsidRPr="00644AEB" w:rsidRDefault="00644AEB" w:rsidP="00644AEB">
      <w:pPr>
        <w:ind w:left="426" w:right="420" w:firstLine="1"/>
        <w:jc w:val="both"/>
        <w:rPr>
          <w:rFonts w:ascii="Arial" w:hAnsi="Arial" w:cs="Arial"/>
          <w:spacing w:val="4"/>
          <w:sz w:val="22"/>
          <w:lang w:val="es-ES_tradnl"/>
        </w:rPr>
      </w:pPr>
    </w:p>
    <w:p w14:paraId="575C9B5E" w14:textId="77777777" w:rsidR="00644AEB" w:rsidRPr="00644AEB" w:rsidRDefault="00644AEB" w:rsidP="00644AEB">
      <w:pPr>
        <w:ind w:left="426" w:right="420" w:firstLine="1"/>
        <w:jc w:val="both"/>
        <w:rPr>
          <w:rFonts w:ascii="Arial" w:hAnsi="Arial" w:cs="Arial"/>
          <w:spacing w:val="4"/>
          <w:sz w:val="22"/>
          <w:lang w:val="es-ES_tradnl"/>
        </w:rPr>
      </w:pPr>
      <w:r w:rsidRPr="00644AEB">
        <w:rPr>
          <w:rFonts w:ascii="Arial" w:hAnsi="Arial" w:cs="Arial"/>
          <w:spacing w:val="4"/>
          <w:sz w:val="22"/>
          <w:lang w:val="es-ES_tradnl"/>
        </w:rPr>
        <w:t>De suerte que, si desde siempre la legislación ha considerado que tres años son suficientes para que se reclame el derecho de los gastos judiciales y los honorarios de los defensores y tales conceptos son en términos generales los que configuran nuestro actual concepto de costas, no se ve una razón de peso para pensar que éstas -las costas- deberían tener un término de prescripción más largo que aquellos.</w:t>
      </w:r>
    </w:p>
    <w:p w14:paraId="16C14A28" w14:textId="77777777" w:rsidR="00644AEB" w:rsidRPr="00644AEB" w:rsidRDefault="00644AEB" w:rsidP="00644AEB">
      <w:pPr>
        <w:ind w:left="426" w:right="420" w:firstLine="1"/>
        <w:jc w:val="both"/>
        <w:rPr>
          <w:rFonts w:ascii="Arial" w:hAnsi="Arial" w:cs="Arial"/>
          <w:spacing w:val="4"/>
          <w:sz w:val="22"/>
          <w:lang w:val="es-ES_tradnl"/>
        </w:rPr>
      </w:pPr>
    </w:p>
    <w:p w14:paraId="10468E51" w14:textId="77777777" w:rsidR="00644AEB" w:rsidRPr="00644AEB" w:rsidRDefault="00644AEB" w:rsidP="00644AEB">
      <w:pPr>
        <w:ind w:left="426" w:right="420" w:firstLine="1"/>
        <w:jc w:val="both"/>
        <w:rPr>
          <w:rFonts w:ascii="Arial" w:hAnsi="Arial" w:cs="Arial"/>
          <w:spacing w:val="4"/>
          <w:sz w:val="22"/>
          <w:lang w:val="es-ES_tradnl"/>
        </w:rPr>
      </w:pPr>
      <w:r w:rsidRPr="00644AEB">
        <w:rPr>
          <w:rFonts w:ascii="Arial" w:hAnsi="Arial" w:cs="Arial"/>
          <w:spacing w:val="4"/>
          <w:sz w:val="22"/>
          <w:lang w:val="es-ES_tradnl"/>
        </w:rPr>
        <w:t xml:space="preserve">Así las cosas, bajo los entendidos anteriores, a partir de la fecha esta Sala de decisión, por las razones expresadas, se acoge a la línea jurisprudencial de la Sala de Casación Laboral de la Corte Suprema de Justicia, en el sentido de tener como término de prescripción de las costas procesales el lapso de tres años contados desde la ejecutoria del auto que las aprueba.” </w:t>
      </w:r>
    </w:p>
    <w:p w14:paraId="399A4DCC" w14:textId="77777777" w:rsidR="003506D8" w:rsidRPr="00644AEB" w:rsidRDefault="003506D8" w:rsidP="00644AEB">
      <w:pPr>
        <w:pStyle w:val="Sinespaciado"/>
        <w:spacing w:line="276" w:lineRule="auto"/>
        <w:jc w:val="both"/>
        <w:rPr>
          <w:rFonts w:ascii="Arial" w:hAnsi="Arial" w:cs="Arial"/>
          <w:spacing w:val="4"/>
          <w:lang w:val="es-ES_tradnl"/>
        </w:rPr>
      </w:pPr>
    </w:p>
    <w:p w14:paraId="7E2C9989" w14:textId="45F2CBDA" w:rsidR="00496FDA" w:rsidRPr="00644AEB" w:rsidRDefault="000C083D" w:rsidP="00644AEB">
      <w:pPr>
        <w:pStyle w:val="Sinespaciado"/>
        <w:spacing w:line="276" w:lineRule="auto"/>
        <w:ind w:firstLine="709"/>
        <w:jc w:val="both"/>
        <w:rPr>
          <w:rFonts w:ascii="Arial" w:hAnsi="Arial" w:cs="Arial"/>
          <w:spacing w:val="4"/>
          <w:lang w:val="es-ES_tradnl"/>
        </w:rPr>
      </w:pPr>
      <w:r w:rsidRPr="00644AEB">
        <w:rPr>
          <w:rFonts w:ascii="Arial" w:hAnsi="Arial" w:cs="Arial"/>
          <w:spacing w:val="4"/>
          <w:lang w:val="es-ES_tradnl"/>
        </w:rPr>
        <w:t>Así las cosas, deviene de lo expuesto</w:t>
      </w:r>
      <w:r w:rsidR="00AD49DD" w:rsidRPr="00644AEB">
        <w:rPr>
          <w:rFonts w:ascii="Arial" w:hAnsi="Arial" w:cs="Arial"/>
          <w:spacing w:val="4"/>
          <w:lang w:val="es-ES_tradnl"/>
        </w:rPr>
        <w:t>,</w:t>
      </w:r>
      <w:r w:rsidRPr="00644AEB">
        <w:rPr>
          <w:rFonts w:ascii="Arial" w:hAnsi="Arial" w:cs="Arial"/>
          <w:spacing w:val="4"/>
          <w:lang w:val="es-ES_tradnl"/>
        </w:rPr>
        <w:t xml:space="preserve"> </w:t>
      </w:r>
      <w:r w:rsidR="00AD49DD" w:rsidRPr="00644AEB">
        <w:rPr>
          <w:rFonts w:ascii="Arial" w:hAnsi="Arial" w:cs="Arial"/>
          <w:spacing w:val="4"/>
          <w:lang w:val="es-ES_tradnl"/>
        </w:rPr>
        <w:t xml:space="preserve">en suma, </w:t>
      </w:r>
      <w:r w:rsidRPr="00644AEB">
        <w:rPr>
          <w:rFonts w:ascii="Arial" w:hAnsi="Arial" w:cs="Arial"/>
          <w:spacing w:val="4"/>
          <w:lang w:val="es-ES_tradnl"/>
        </w:rPr>
        <w:t xml:space="preserve">que el término de prescripción de las costas procesales: </w:t>
      </w:r>
      <w:r w:rsidRPr="00644AEB">
        <w:rPr>
          <w:rFonts w:ascii="Arial" w:hAnsi="Arial" w:cs="Arial"/>
          <w:b/>
          <w:bCs/>
          <w:i/>
          <w:iCs/>
          <w:spacing w:val="4"/>
          <w:lang w:val="es-ES_tradnl"/>
        </w:rPr>
        <w:t>(i)</w:t>
      </w:r>
      <w:r w:rsidRPr="00644AEB">
        <w:rPr>
          <w:rFonts w:ascii="Arial" w:hAnsi="Arial" w:cs="Arial"/>
          <w:spacing w:val="4"/>
          <w:lang w:val="es-ES_tradnl"/>
        </w:rPr>
        <w:t xml:space="preserve"> </w:t>
      </w:r>
      <w:r w:rsidR="00231EE4" w:rsidRPr="00644AEB">
        <w:rPr>
          <w:rFonts w:ascii="Arial" w:hAnsi="Arial" w:cs="Arial"/>
          <w:spacing w:val="4"/>
          <w:lang w:val="es-ES_tradnl"/>
        </w:rPr>
        <w:t>corresponde a un período tres (3) años contados desde el momento en que la respectiva obligación se hace exigible,</w:t>
      </w:r>
      <w:r w:rsidRPr="00644AEB">
        <w:rPr>
          <w:rFonts w:ascii="Arial" w:hAnsi="Arial" w:cs="Arial"/>
          <w:spacing w:val="4"/>
          <w:lang w:val="es-ES_tradnl"/>
        </w:rPr>
        <w:t xml:space="preserve"> </w:t>
      </w:r>
      <w:r w:rsidR="00231EE4" w:rsidRPr="00644AEB">
        <w:rPr>
          <w:rFonts w:ascii="Arial" w:hAnsi="Arial" w:cs="Arial"/>
          <w:b/>
          <w:bCs/>
          <w:i/>
          <w:iCs/>
          <w:spacing w:val="4"/>
          <w:lang w:val="es-ES_tradnl"/>
        </w:rPr>
        <w:t>(ii)</w:t>
      </w:r>
      <w:r w:rsidRPr="00644AEB">
        <w:rPr>
          <w:rFonts w:ascii="Arial" w:hAnsi="Arial" w:cs="Arial"/>
          <w:b/>
          <w:bCs/>
          <w:i/>
          <w:iCs/>
          <w:spacing w:val="4"/>
          <w:lang w:val="es-ES_tradnl"/>
        </w:rPr>
        <w:t xml:space="preserve"> </w:t>
      </w:r>
      <w:r w:rsidRPr="00644AEB">
        <w:rPr>
          <w:rFonts w:ascii="Arial" w:hAnsi="Arial" w:cs="Arial"/>
          <w:spacing w:val="4"/>
          <w:lang w:val="es-ES_tradnl"/>
        </w:rPr>
        <w:t>es</w:t>
      </w:r>
      <w:r w:rsidR="00231EE4" w:rsidRPr="00644AEB">
        <w:rPr>
          <w:rFonts w:ascii="Arial" w:hAnsi="Arial" w:cs="Arial"/>
          <w:b/>
          <w:bCs/>
          <w:i/>
          <w:iCs/>
          <w:spacing w:val="4"/>
          <w:lang w:val="es-ES_tradnl"/>
        </w:rPr>
        <w:t xml:space="preserve"> </w:t>
      </w:r>
      <w:r w:rsidR="00231EE4" w:rsidRPr="00644AEB">
        <w:rPr>
          <w:rFonts w:ascii="Arial" w:hAnsi="Arial" w:cs="Arial"/>
          <w:spacing w:val="4"/>
          <w:lang w:val="es-ES_tradnl"/>
        </w:rPr>
        <w:t>susceptible de ser interrumpido por una sola vez con el simple reclamo del acreedor</w:t>
      </w:r>
      <w:r w:rsidRPr="00644AEB">
        <w:rPr>
          <w:rFonts w:ascii="Arial" w:hAnsi="Arial" w:cs="Arial"/>
          <w:spacing w:val="4"/>
          <w:lang w:val="es-ES_tradnl"/>
        </w:rPr>
        <w:t xml:space="preserve"> y </w:t>
      </w:r>
      <w:r w:rsidR="00231EE4" w:rsidRPr="00644AEB">
        <w:rPr>
          <w:rFonts w:ascii="Arial" w:hAnsi="Arial" w:cs="Arial"/>
          <w:b/>
          <w:bCs/>
          <w:i/>
          <w:iCs/>
          <w:spacing w:val="4"/>
          <w:lang w:val="es-ES_tradnl"/>
        </w:rPr>
        <w:t xml:space="preserve">(iii) </w:t>
      </w:r>
      <w:r w:rsidRPr="00644AEB">
        <w:rPr>
          <w:rFonts w:ascii="Arial" w:hAnsi="Arial" w:cs="Arial"/>
          <w:spacing w:val="4"/>
          <w:lang w:val="es-ES_tradnl"/>
        </w:rPr>
        <w:t>en tal evento</w:t>
      </w:r>
      <w:r w:rsidR="00231EE4" w:rsidRPr="00644AEB">
        <w:rPr>
          <w:rFonts w:ascii="Arial" w:hAnsi="Arial" w:cs="Arial"/>
          <w:spacing w:val="4"/>
          <w:lang w:val="es-ES_tradnl"/>
        </w:rPr>
        <w:t>, el conteo del plazo extintivo</w:t>
      </w:r>
      <w:r w:rsidRPr="00644AEB">
        <w:rPr>
          <w:rFonts w:ascii="Arial" w:hAnsi="Arial" w:cs="Arial"/>
          <w:spacing w:val="4"/>
          <w:lang w:val="es-ES_tradnl"/>
        </w:rPr>
        <w:t xml:space="preserve"> reinicia </w:t>
      </w:r>
      <w:r w:rsidR="00AD49DD" w:rsidRPr="00644AEB">
        <w:rPr>
          <w:rFonts w:ascii="Arial" w:hAnsi="Arial" w:cs="Arial"/>
          <w:spacing w:val="4"/>
          <w:lang w:val="es-ES_tradnl"/>
        </w:rPr>
        <w:t>desde la presentación del cobro</w:t>
      </w:r>
      <w:r w:rsidR="00231EE4" w:rsidRPr="00644AEB">
        <w:rPr>
          <w:rFonts w:ascii="Arial" w:hAnsi="Arial" w:cs="Arial"/>
          <w:spacing w:val="4"/>
          <w:lang w:val="es-ES_tradnl"/>
        </w:rPr>
        <w:t xml:space="preserve">, sin que tenga cabida la suspensión dispuesta en las hipótesis del artículo 6 del C.P.T. y S.S., por cuanto se trata de un derecho existente reconocido en sede judicial.  </w:t>
      </w:r>
    </w:p>
    <w:p w14:paraId="4395229C" w14:textId="77777777" w:rsidR="00C3729E" w:rsidRPr="00644AEB" w:rsidRDefault="00C3729E" w:rsidP="00644AEB">
      <w:pPr>
        <w:pStyle w:val="Sinespaciado"/>
        <w:spacing w:line="276" w:lineRule="auto"/>
        <w:ind w:firstLine="709"/>
        <w:jc w:val="both"/>
        <w:rPr>
          <w:rFonts w:ascii="Arial" w:hAnsi="Arial" w:cs="Arial"/>
          <w:spacing w:val="4"/>
          <w:lang w:val="es-ES_tradnl"/>
        </w:rPr>
      </w:pPr>
    </w:p>
    <w:p w14:paraId="4E73BA26" w14:textId="3225615A" w:rsidR="00227232" w:rsidRPr="00644AEB" w:rsidRDefault="00610CB5" w:rsidP="00644AEB">
      <w:pPr>
        <w:pStyle w:val="Sinespaciado"/>
        <w:spacing w:line="276" w:lineRule="auto"/>
        <w:ind w:firstLine="709"/>
        <w:jc w:val="both"/>
        <w:rPr>
          <w:rFonts w:ascii="Arial" w:hAnsi="Arial" w:cs="Arial"/>
          <w:b/>
          <w:bCs/>
          <w:spacing w:val="4"/>
          <w:lang w:val="es-ES_tradnl"/>
        </w:rPr>
      </w:pPr>
      <w:r w:rsidRPr="00644AEB">
        <w:rPr>
          <w:rFonts w:ascii="Arial" w:hAnsi="Arial" w:cs="Arial"/>
          <w:b/>
          <w:bCs/>
          <w:spacing w:val="4"/>
          <w:lang w:val="es-ES_tradnl"/>
        </w:rPr>
        <w:t xml:space="preserve">5.2. </w:t>
      </w:r>
      <w:r w:rsidR="00E43DC1" w:rsidRPr="00644AEB">
        <w:rPr>
          <w:rFonts w:ascii="Arial" w:hAnsi="Arial" w:cs="Arial"/>
          <w:b/>
          <w:bCs/>
          <w:spacing w:val="4"/>
          <w:lang w:val="es-ES_tradnl"/>
        </w:rPr>
        <w:t xml:space="preserve">Caso concreto </w:t>
      </w:r>
    </w:p>
    <w:p w14:paraId="53B5AD27" w14:textId="77777777" w:rsidR="00452C6D" w:rsidRPr="00644AEB" w:rsidRDefault="00452C6D" w:rsidP="00644AEB">
      <w:pPr>
        <w:pStyle w:val="Sinespaciado"/>
        <w:spacing w:line="276" w:lineRule="auto"/>
        <w:ind w:firstLine="709"/>
        <w:jc w:val="both"/>
        <w:rPr>
          <w:rFonts w:ascii="Arial" w:hAnsi="Arial" w:cs="Arial"/>
          <w:spacing w:val="4"/>
          <w:lang w:val="es-ES_tradnl"/>
        </w:rPr>
      </w:pPr>
    </w:p>
    <w:p w14:paraId="392C1397" w14:textId="5E59C0BF" w:rsidR="00D554E1" w:rsidRPr="00644AEB" w:rsidRDefault="00D554E1" w:rsidP="00644AEB">
      <w:pPr>
        <w:pStyle w:val="Sinespaciado"/>
        <w:spacing w:line="276" w:lineRule="auto"/>
        <w:ind w:firstLine="709"/>
        <w:jc w:val="both"/>
        <w:rPr>
          <w:rFonts w:ascii="Arial" w:hAnsi="Arial" w:cs="Arial"/>
          <w:spacing w:val="4"/>
          <w:lang w:val="es-ES_tradnl"/>
        </w:rPr>
      </w:pPr>
      <w:r w:rsidRPr="00644AEB">
        <w:rPr>
          <w:rFonts w:ascii="Arial" w:hAnsi="Arial" w:cs="Arial"/>
          <w:spacing w:val="4"/>
          <w:lang w:val="es-ES_tradnl"/>
        </w:rPr>
        <w:t>Con la finalidad de brinda</w:t>
      </w:r>
      <w:r w:rsidR="006702BD" w:rsidRPr="00644AEB">
        <w:rPr>
          <w:rFonts w:ascii="Arial" w:hAnsi="Arial" w:cs="Arial"/>
          <w:spacing w:val="4"/>
          <w:lang w:val="es-ES_tradnl"/>
        </w:rPr>
        <w:t>r</w:t>
      </w:r>
      <w:r w:rsidRPr="00644AEB">
        <w:rPr>
          <w:rFonts w:ascii="Arial" w:hAnsi="Arial" w:cs="Arial"/>
          <w:spacing w:val="4"/>
          <w:lang w:val="es-ES_tradnl"/>
        </w:rPr>
        <w:t xml:space="preserve"> claridad a la decisión que se adoptará, es pertinente señalar que la documental aportada al proceso acredita que: </w:t>
      </w:r>
    </w:p>
    <w:p w14:paraId="32C997FF" w14:textId="737A7565" w:rsidR="003073AA" w:rsidRPr="00644AEB" w:rsidRDefault="003073AA" w:rsidP="00644AEB">
      <w:pPr>
        <w:pStyle w:val="Sinespaciado"/>
        <w:spacing w:line="276" w:lineRule="auto"/>
        <w:ind w:firstLine="709"/>
        <w:jc w:val="both"/>
        <w:rPr>
          <w:rFonts w:ascii="Arial" w:hAnsi="Arial" w:cs="Arial"/>
          <w:spacing w:val="4"/>
          <w:lang w:val="es-ES_tradnl"/>
        </w:rPr>
      </w:pPr>
    </w:p>
    <w:p w14:paraId="0D379301" w14:textId="4CF4BF35" w:rsidR="003073AA" w:rsidRPr="00644AEB" w:rsidRDefault="003073AA" w:rsidP="00644AEB">
      <w:pPr>
        <w:pStyle w:val="Sinespaciado"/>
        <w:numPr>
          <w:ilvl w:val="0"/>
          <w:numId w:val="8"/>
        </w:numPr>
        <w:spacing w:line="276" w:lineRule="auto"/>
        <w:ind w:left="1276" w:hanging="578"/>
        <w:jc w:val="both"/>
        <w:rPr>
          <w:rFonts w:ascii="Arial" w:hAnsi="Arial" w:cs="Arial"/>
          <w:b/>
          <w:bCs/>
          <w:spacing w:val="4"/>
          <w:lang w:val="es-ES_tradnl"/>
        </w:rPr>
      </w:pPr>
      <w:r w:rsidRPr="00644AEB">
        <w:rPr>
          <w:rFonts w:ascii="Arial" w:hAnsi="Arial" w:cs="Arial"/>
          <w:spacing w:val="4"/>
          <w:lang w:val="es-ES_tradnl"/>
        </w:rPr>
        <w:t>En sentencia del 13 de agosto de 2008 (fols. 65 a 73</w:t>
      </w:r>
      <w:r w:rsidR="00BC7437" w:rsidRPr="00644AEB">
        <w:rPr>
          <w:rFonts w:ascii="Arial" w:hAnsi="Arial" w:cs="Arial"/>
          <w:spacing w:val="4"/>
          <w:lang w:val="es-ES_tradnl"/>
        </w:rPr>
        <w:t>, c. 1</w:t>
      </w:r>
      <w:r w:rsidRPr="00644AEB">
        <w:rPr>
          <w:rFonts w:ascii="Arial" w:hAnsi="Arial" w:cs="Arial"/>
          <w:spacing w:val="4"/>
          <w:lang w:val="es-ES_tradnl"/>
        </w:rPr>
        <w:t>), confirmada 03 de diciembre de 2008 (fols. 96 a 105</w:t>
      </w:r>
      <w:r w:rsidR="00BC7437" w:rsidRPr="00644AEB">
        <w:rPr>
          <w:rFonts w:ascii="Arial" w:hAnsi="Arial" w:cs="Arial"/>
          <w:spacing w:val="4"/>
          <w:lang w:val="es-ES_tradnl"/>
        </w:rPr>
        <w:t>, ib.</w:t>
      </w:r>
      <w:r w:rsidRPr="00644AEB">
        <w:rPr>
          <w:rFonts w:ascii="Arial" w:hAnsi="Arial" w:cs="Arial"/>
          <w:spacing w:val="4"/>
          <w:lang w:val="es-ES_tradnl"/>
        </w:rPr>
        <w:t>) y no casada el 17 de abril de 2012 (fols. 144 a 158</w:t>
      </w:r>
      <w:r w:rsidR="00BC7437" w:rsidRPr="00644AEB">
        <w:rPr>
          <w:rFonts w:ascii="Arial" w:hAnsi="Arial" w:cs="Arial"/>
          <w:spacing w:val="4"/>
          <w:lang w:val="es-ES_tradnl"/>
        </w:rPr>
        <w:t>, ib.</w:t>
      </w:r>
      <w:r w:rsidRPr="00644AEB">
        <w:rPr>
          <w:rFonts w:ascii="Arial" w:hAnsi="Arial" w:cs="Arial"/>
          <w:spacing w:val="4"/>
          <w:lang w:val="es-ES_tradnl"/>
        </w:rPr>
        <w:t xml:space="preserve">), el Juzgado Segundo Laboral del Circuito de Pereira condenó a Instituto de Seguro Social al pago de las costas procesales en favor de Georgina Laverde Pérez. </w:t>
      </w:r>
    </w:p>
    <w:p w14:paraId="279F2106" w14:textId="77777777" w:rsidR="003073AA" w:rsidRPr="00644AEB" w:rsidRDefault="003073AA" w:rsidP="00644AEB">
      <w:pPr>
        <w:pStyle w:val="Sinespaciado"/>
        <w:spacing w:line="276" w:lineRule="auto"/>
        <w:ind w:left="1276" w:hanging="578"/>
        <w:jc w:val="both"/>
        <w:rPr>
          <w:rFonts w:ascii="Arial" w:hAnsi="Arial" w:cs="Arial"/>
          <w:b/>
          <w:bCs/>
          <w:spacing w:val="4"/>
          <w:lang w:val="es-ES_tradnl"/>
        </w:rPr>
      </w:pPr>
    </w:p>
    <w:p w14:paraId="1C1E23C3" w14:textId="08DF569B" w:rsidR="00BC7437" w:rsidRPr="00644AEB" w:rsidRDefault="00BC7437" w:rsidP="00644AEB">
      <w:pPr>
        <w:pStyle w:val="Sinespaciado"/>
        <w:numPr>
          <w:ilvl w:val="0"/>
          <w:numId w:val="8"/>
        </w:numPr>
        <w:spacing w:line="276" w:lineRule="auto"/>
        <w:ind w:left="1276" w:hanging="578"/>
        <w:jc w:val="both"/>
        <w:rPr>
          <w:rFonts w:ascii="Arial" w:hAnsi="Arial" w:cs="Arial"/>
          <w:b/>
          <w:bCs/>
          <w:spacing w:val="4"/>
          <w:lang w:val="es-ES_tradnl"/>
        </w:rPr>
      </w:pPr>
      <w:r w:rsidRPr="00644AEB">
        <w:rPr>
          <w:rFonts w:ascii="Arial" w:hAnsi="Arial" w:cs="Arial"/>
          <w:spacing w:val="4"/>
          <w:lang w:val="es-ES_tradnl"/>
        </w:rPr>
        <w:t>La liquidación de las costas procesales se efectuó el 12 de septiembre de 2012 (fol. 164, ib.) y sin objeción de las partes, fue aprobada en la suma de $9.067.200, mediante auto del 24 de septiembre de ese mismo</w:t>
      </w:r>
      <w:r w:rsidR="00E655A6" w:rsidRPr="00644AEB">
        <w:rPr>
          <w:rFonts w:ascii="Arial" w:hAnsi="Arial" w:cs="Arial"/>
          <w:spacing w:val="4"/>
          <w:lang w:val="es-ES_tradnl"/>
        </w:rPr>
        <w:t xml:space="preserve"> año, notificado por estado del día siguiente</w:t>
      </w:r>
      <w:r w:rsidRPr="00644AEB">
        <w:rPr>
          <w:rFonts w:ascii="Arial" w:hAnsi="Arial" w:cs="Arial"/>
          <w:spacing w:val="4"/>
          <w:lang w:val="es-ES_tradnl"/>
        </w:rPr>
        <w:t xml:space="preserve"> (fol. 166, ib.) </w:t>
      </w:r>
    </w:p>
    <w:p w14:paraId="4B4EC0B0" w14:textId="77777777" w:rsidR="00BC7437" w:rsidRPr="00644AEB" w:rsidRDefault="00BC7437" w:rsidP="00644AEB">
      <w:pPr>
        <w:pStyle w:val="Prrafodelista"/>
        <w:spacing w:line="276" w:lineRule="auto"/>
        <w:ind w:left="1276" w:hanging="578"/>
        <w:rPr>
          <w:rFonts w:ascii="Arial" w:hAnsi="Arial" w:cs="Arial"/>
          <w:spacing w:val="4"/>
          <w:lang w:val="es-ES_tradnl"/>
        </w:rPr>
      </w:pPr>
    </w:p>
    <w:p w14:paraId="7E01575A" w14:textId="79593B35" w:rsidR="003073AA" w:rsidRPr="00644AEB" w:rsidRDefault="00BC7437" w:rsidP="00644AEB">
      <w:pPr>
        <w:pStyle w:val="Sinespaciado"/>
        <w:numPr>
          <w:ilvl w:val="0"/>
          <w:numId w:val="8"/>
        </w:numPr>
        <w:spacing w:line="276" w:lineRule="auto"/>
        <w:ind w:left="1276" w:hanging="578"/>
        <w:jc w:val="both"/>
        <w:rPr>
          <w:rFonts w:ascii="Arial" w:hAnsi="Arial" w:cs="Arial"/>
          <w:b/>
          <w:bCs/>
          <w:spacing w:val="4"/>
          <w:lang w:val="es-ES_tradnl"/>
        </w:rPr>
      </w:pPr>
      <w:r w:rsidRPr="00644AEB">
        <w:rPr>
          <w:rFonts w:ascii="Arial" w:hAnsi="Arial" w:cs="Arial"/>
          <w:spacing w:val="4"/>
          <w:lang w:val="es-ES_tradnl"/>
        </w:rPr>
        <w:t xml:space="preserve"> El 27 de diciembre de 2012 (fol. 170), la actora presentó reclamación dirigida</w:t>
      </w:r>
      <w:r w:rsidR="006E694D" w:rsidRPr="00644AEB">
        <w:rPr>
          <w:rFonts w:ascii="Arial" w:hAnsi="Arial" w:cs="Arial"/>
          <w:spacing w:val="4"/>
          <w:lang w:val="es-ES_tradnl"/>
        </w:rPr>
        <w:t xml:space="preserve"> al</w:t>
      </w:r>
      <w:r w:rsidRPr="00644AEB">
        <w:rPr>
          <w:rFonts w:ascii="Arial" w:hAnsi="Arial" w:cs="Arial"/>
          <w:spacing w:val="4"/>
          <w:lang w:val="es-ES_tradnl"/>
        </w:rPr>
        <w:t xml:space="preserve"> “INSTITUTO DE SEGURO SOCIAL EN LIQUIDACIÓN - FIDUPREVISORA”</w:t>
      </w:r>
      <w:r w:rsidR="006E694D" w:rsidRPr="00644AEB">
        <w:rPr>
          <w:rFonts w:ascii="Arial" w:hAnsi="Arial" w:cs="Arial"/>
          <w:spacing w:val="4"/>
          <w:lang w:val="es-ES_tradnl"/>
        </w:rPr>
        <w:t xml:space="preserve">, solicitando el cumplimiento de la sentencia (pago de prestaciones y costas procesales) e invocando como fundamento, el aviso </w:t>
      </w:r>
      <w:proofErr w:type="spellStart"/>
      <w:r w:rsidR="006E694D" w:rsidRPr="00644AEB">
        <w:rPr>
          <w:rFonts w:ascii="Arial" w:hAnsi="Arial" w:cs="Arial"/>
          <w:spacing w:val="4"/>
          <w:lang w:val="es-ES_tradnl"/>
        </w:rPr>
        <w:t>emplazatorio</w:t>
      </w:r>
      <w:proofErr w:type="spellEnd"/>
      <w:r w:rsidR="006E694D" w:rsidRPr="00644AEB">
        <w:rPr>
          <w:rFonts w:ascii="Arial" w:hAnsi="Arial" w:cs="Arial"/>
          <w:spacing w:val="4"/>
          <w:lang w:val="es-ES_tradnl"/>
        </w:rPr>
        <w:t xml:space="preserve"> publicado para presentar reclamaciones en contra del Instituto de Seguros Sociales, conforme al Decreto 2013 del </w:t>
      </w:r>
      <w:r w:rsidR="006E694D" w:rsidRPr="00644AEB">
        <w:rPr>
          <w:rFonts w:ascii="Arial" w:hAnsi="Arial" w:cs="Arial"/>
          <w:spacing w:val="4"/>
          <w:lang w:val="es-ES_tradnl"/>
        </w:rPr>
        <w:lastRenderedPageBreak/>
        <w:t>28 de septiembre de 2012 que ordenó su liquidación y en el que se nombró como entidad liquidadora a la Fiduciaria La Previsora S.A.</w:t>
      </w:r>
      <w:r w:rsidR="0060758B" w:rsidRPr="00644AEB">
        <w:rPr>
          <w:rFonts w:ascii="Arial" w:hAnsi="Arial" w:cs="Arial"/>
          <w:spacing w:val="4"/>
          <w:lang w:val="es-ES_tradnl"/>
        </w:rPr>
        <w:t xml:space="preserve"> (fols. 171 a 173). </w:t>
      </w:r>
      <w:r w:rsidR="006E694D" w:rsidRPr="00644AEB">
        <w:rPr>
          <w:rFonts w:ascii="Arial" w:hAnsi="Arial" w:cs="Arial"/>
          <w:spacing w:val="4"/>
          <w:lang w:val="es-ES_tradnl"/>
        </w:rPr>
        <w:t xml:space="preserve"> </w:t>
      </w:r>
    </w:p>
    <w:p w14:paraId="0BB85CD1" w14:textId="77777777" w:rsidR="006E694D" w:rsidRPr="00644AEB" w:rsidRDefault="006E694D" w:rsidP="00644AEB">
      <w:pPr>
        <w:pStyle w:val="Prrafodelista"/>
        <w:spacing w:line="276" w:lineRule="auto"/>
        <w:ind w:left="1276" w:hanging="578"/>
        <w:rPr>
          <w:rFonts w:ascii="Arial" w:hAnsi="Arial" w:cs="Arial"/>
          <w:b/>
          <w:bCs/>
          <w:spacing w:val="4"/>
          <w:lang w:val="es-ES_tradnl"/>
        </w:rPr>
      </w:pPr>
    </w:p>
    <w:p w14:paraId="6BC8A6EA" w14:textId="206D5ED4" w:rsidR="006E694D" w:rsidRPr="00644AEB" w:rsidRDefault="006E694D" w:rsidP="00644AEB">
      <w:pPr>
        <w:pStyle w:val="Sinespaciado"/>
        <w:numPr>
          <w:ilvl w:val="0"/>
          <w:numId w:val="8"/>
        </w:numPr>
        <w:spacing w:line="276" w:lineRule="auto"/>
        <w:ind w:left="1276" w:hanging="578"/>
        <w:jc w:val="both"/>
        <w:rPr>
          <w:rFonts w:ascii="Arial" w:hAnsi="Arial" w:cs="Arial"/>
          <w:b/>
          <w:bCs/>
          <w:i/>
          <w:iCs/>
          <w:spacing w:val="4"/>
        </w:rPr>
      </w:pPr>
      <w:r w:rsidRPr="00644AEB">
        <w:rPr>
          <w:rFonts w:ascii="Arial" w:hAnsi="Arial" w:cs="Arial"/>
          <w:spacing w:val="4"/>
        </w:rPr>
        <w:t xml:space="preserve">El 18 de abril de 2013, la señora Laverde Pérez a través de apoderado dirigió escrito de la apoderada general </w:t>
      </w:r>
      <w:r w:rsidR="00D27D09" w:rsidRPr="00644AEB">
        <w:rPr>
          <w:rFonts w:ascii="Arial" w:hAnsi="Arial" w:cs="Arial"/>
          <w:spacing w:val="4"/>
        </w:rPr>
        <w:t xml:space="preserve">de la Fiduciaria La Previsora S.A., como entidad liquidadora del Instituto de Seguros Sociales, señalando interponer recurso de reposición en contra de la Resolución 0212 del 18 de febrero de 2013, </w:t>
      </w:r>
      <w:r w:rsidR="00D27D09" w:rsidRPr="00644AEB">
        <w:rPr>
          <w:rFonts w:ascii="Arial" w:hAnsi="Arial" w:cs="Arial"/>
          <w:i/>
          <w:iCs/>
          <w:spacing w:val="4"/>
        </w:rPr>
        <w:t>“por medio de la cual rechazaron el crédito de mi representado con base en la causal 24 que reza: “</w:t>
      </w:r>
      <w:r w:rsidR="00D27D09" w:rsidRPr="00644AEB">
        <w:rPr>
          <w:rFonts w:ascii="Arial" w:hAnsi="Arial" w:cs="Arial"/>
          <w:b/>
          <w:bCs/>
          <w:i/>
          <w:iCs/>
          <w:spacing w:val="4"/>
          <w:sz w:val="22"/>
        </w:rPr>
        <w:t>No se aportó sentencia, laudo arbitral, auto, acta de conciliación o acto administrativo que preste mérito ejecutivo…</w:t>
      </w:r>
      <w:r w:rsidR="00D27D09" w:rsidRPr="00644AEB">
        <w:rPr>
          <w:rFonts w:ascii="Arial" w:hAnsi="Arial" w:cs="Arial"/>
          <w:b/>
          <w:bCs/>
          <w:i/>
          <w:iCs/>
          <w:spacing w:val="4"/>
        </w:rPr>
        <w:t>”</w:t>
      </w:r>
      <w:r w:rsidR="0060758B" w:rsidRPr="00644AEB">
        <w:rPr>
          <w:rFonts w:ascii="Arial" w:hAnsi="Arial" w:cs="Arial"/>
          <w:b/>
          <w:bCs/>
          <w:i/>
          <w:iCs/>
          <w:spacing w:val="4"/>
        </w:rPr>
        <w:t xml:space="preserve"> </w:t>
      </w:r>
      <w:r w:rsidR="0060758B" w:rsidRPr="00644AEB">
        <w:rPr>
          <w:rFonts w:ascii="Arial" w:hAnsi="Arial" w:cs="Arial"/>
          <w:spacing w:val="4"/>
        </w:rPr>
        <w:t>(fol. 189 a 190)</w:t>
      </w:r>
      <w:r w:rsidR="00D27D09" w:rsidRPr="00644AEB">
        <w:rPr>
          <w:rFonts w:ascii="Arial" w:hAnsi="Arial" w:cs="Arial"/>
          <w:b/>
          <w:bCs/>
          <w:i/>
          <w:iCs/>
          <w:spacing w:val="4"/>
        </w:rPr>
        <w:t xml:space="preserve"> </w:t>
      </w:r>
    </w:p>
    <w:p w14:paraId="6AB8154E" w14:textId="77777777" w:rsidR="008B3C4A" w:rsidRPr="00644AEB" w:rsidRDefault="008B3C4A" w:rsidP="00644AEB">
      <w:pPr>
        <w:pStyle w:val="Prrafodelista"/>
        <w:spacing w:line="276" w:lineRule="auto"/>
        <w:rPr>
          <w:rFonts w:ascii="Arial" w:hAnsi="Arial" w:cs="Arial"/>
          <w:b/>
          <w:bCs/>
          <w:i/>
          <w:iCs/>
          <w:spacing w:val="4"/>
          <w:lang w:val="es-ES_tradnl"/>
        </w:rPr>
      </w:pPr>
    </w:p>
    <w:p w14:paraId="1EDBA0E4" w14:textId="761C27A5" w:rsidR="008B3C4A" w:rsidRPr="00644AEB" w:rsidRDefault="00852A66" w:rsidP="00644AEB">
      <w:pPr>
        <w:pStyle w:val="Sinespaciado"/>
        <w:numPr>
          <w:ilvl w:val="0"/>
          <w:numId w:val="8"/>
        </w:numPr>
        <w:spacing w:line="276" w:lineRule="auto"/>
        <w:ind w:left="1276" w:hanging="578"/>
        <w:jc w:val="both"/>
        <w:rPr>
          <w:rFonts w:ascii="Arial" w:hAnsi="Arial" w:cs="Arial"/>
          <w:b/>
          <w:bCs/>
          <w:i/>
          <w:iCs/>
          <w:spacing w:val="4"/>
          <w:lang w:val="es-ES_tradnl"/>
        </w:rPr>
      </w:pPr>
      <w:r w:rsidRPr="00644AEB">
        <w:rPr>
          <w:rFonts w:ascii="Arial" w:hAnsi="Arial" w:cs="Arial"/>
          <w:spacing w:val="4"/>
          <w:lang w:val="es-ES_tradnl"/>
        </w:rPr>
        <w:t xml:space="preserve">El 19 de noviembre de 2015, la parte demandante presentó solicitud de ejecución por las costas procesales (fols. 175 a 178). </w:t>
      </w:r>
    </w:p>
    <w:p w14:paraId="6E4831FB" w14:textId="77777777" w:rsidR="003073AA" w:rsidRPr="00644AEB" w:rsidRDefault="003073AA" w:rsidP="00644AEB">
      <w:pPr>
        <w:pStyle w:val="Sinespaciado"/>
        <w:spacing w:line="276" w:lineRule="auto"/>
        <w:ind w:firstLine="709"/>
        <w:jc w:val="both"/>
        <w:rPr>
          <w:rFonts w:ascii="Arial" w:hAnsi="Arial" w:cs="Arial"/>
          <w:spacing w:val="4"/>
          <w:lang w:val="es-ES_tradnl"/>
        </w:rPr>
      </w:pPr>
    </w:p>
    <w:p w14:paraId="021A99C4" w14:textId="685A7513" w:rsidR="00C877F0" w:rsidRPr="00644AEB" w:rsidRDefault="00B45BFC" w:rsidP="00644AEB">
      <w:pPr>
        <w:pStyle w:val="Sinespaciado"/>
        <w:spacing w:line="276" w:lineRule="auto"/>
        <w:ind w:firstLine="709"/>
        <w:jc w:val="both"/>
        <w:rPr>
          <w:rFonts w:ascii="Arial" w:hAnsi="Arial" w:cs="Arial"/>
          <w:spacing w:val="4"/>
        </w:rPr>
      </w:pPr>
      <w:r w:rsidRPr="00644AEB">
        <w:rPr>
          <w:rFonts w:ascii="Arial" w:hAnsi="Arial" w:cs="Arial"/>
          <w:spacing w:val="4"/>
        </w:rPr>
        <w:t>De acuerdo con lo anterior</w:t>
      </w:r>
      <w:r w:rsidR="00E655A6" w:rsidRPr="00644AEB">
        <w:rPr>
          <w:rFonts w:ascii="Arial" w:hAnsi="Arial" w:cs="Arial"/>
          <w:spacing w:val="4"/>
        </w:rPr>
        <w:t xml:space="preserve">, visto que la providencia de aprobación de la liquidación de costas sin objeciones se notificó por estado del 25 de septiembre de 2012, en principio, esta </w:t>
      </w:r>
      <w:r w:rsidR="00A61601" w:rsidRPr="00644AEB">
        <w:rPr>
          <w:rFonts w:ascii="Arial" w:hAnsi="Arial" w:cs="Arial"/>
          <w:spacing w:val="4"/>
        </w:rPr>
        <w:t>es la calenda que debe</w:t>
      </w:r>
      <w:r w:rsidR="00E655A6" w:rsidRPr="00644AEB">
        <w:rPr>
          <w:rFonts w:ascii="Arial" w:hAnsi="Arial" w:cs="Arial"/>
          <w:spacing w:val="4"/>
        </w:rPr>
        <w:t xml:space="preserve"> acogerse para el conteo término trienal requerido para que opere el fenómeno de la prescripción que, como se expuso, </w:t>
      </w:r>
      <w:r w:rsidR="00C877F0" w:rsidRPr="00644AEB">
        <w:rPr>
          <w:rFonts w:ascii="Arial" w:hAnsi="Arial" w:cs="Arial"/>
          <w:spacing w:val="4"/>
        </w:rPr>
        <w:t xml:space="preserve">puede ser interrumpido por una vez con el simple reclamo del acreedor al sujeto obligado. </w:t>
      </w:r>
    </w:p>
    <w:p w14:paraId="4875FBB2" w14:textId="7145BE7E" w:rsidR="00C877F0" w:rsidRPr="00644AEB" w:rsidRDefault="00C877F0" w:rsidP="00644AEB">
      <w:pPr>
        <w:pStyle w:val="Sinespaciado"/>
        <w:spacing w:line="276" w:lineRule="auto"/>
        <w:ind w:firstLine="709"/>
        <w:jc w:val="both"/>
        <w:rPr>
          <w:rFonts w:ascii="Arial" w:hAnsi="Arial" w:cs="Arial"/>
          <w:spacing w:val="4"/>
          <w:lang w:val="es-ES_tradnl"/>
        </w:rPr>
      </w:pPr>
    </w:p>
    <w:p w14:paraId="1BA9D805" w14:textId="64B45B44" w:rsidR="00C877F0" w:rsidRPr="00644AEB" w:rsidRDefault="008C0175" w:rsidP="00644AEB">
      <w:pPr>
        <w:pStyle w:val="Sinespaciado"/>
        <w:spacing w:line="276" w:lineRule="auto"/>
        <w:ind w:firstLine="709"/>
        <w:jc w:val="both"/>
        <w:rPr>
          <w:rFonts w:ascii="Arial" w:hAnsi="Arial" w:cs="Arial"/>
          <w:spacing w:val="4"/>
        </w:rPr>
      </w:pPr>
      <w:r w:rsidRPr="00644AEB">
        <w:rPr>
          <w:rFonts w:ascii="Arial" w:hAnsi="Arial" w:cs="Arial"/>
          <w:spacing w:val="4"/>
        </w:rPr>
        <w:t>En la alzada, la parte ejecutante manifestó haber interrumpido el término prescriptivo con la presentación de una acción de tutela el 30 de enero de 2013</w:t>
      </w:r>
      <w:r w:rsidR="004075C2" w:rsidRPr="00644AEB">
        <w:rPr>
          <w:rFonts w:ascii="Arial" w:hAnsi="Arial" w:cs="Arial"/>
          <w:spacing w:val="4"/>
        </w:rPr>
        <w:t>, en la que</w:t>
      </w:r>
      <w:r w:rsidRPr="00644AEB">
        <w:rPr>
          <w:rFonts w:ascii="Arial" w:hAnsi="Arial" w:cs="Arial"/>
          <w:spacing w:val="4"/>
        </w:rPr>
        <w:t xml:space="preserve"> solicit</w:t>
      </w:r>
      <w:r w:rsidR="004075C2" w:rsidRPr="00644AEB">
        <w:rPr>
          <w:rFonts w:ascii="Arial" w:hAnsi="Arial" w:cs="Arial"/>
          <w:spacing w:val="4"/>
        </w:rPr>
        <w:t>ó</w:t>
      </w:r>
      <w:r w:rsidRPr="00644AEB">
        <w:rPr>
          <w:rFonts w:ascii="Arial" w:hAnsi="Arial" w:cs="Arial"/>
          <w:spacing w:val="4"/>
        </w:rPr>
        <w:t xml:space="preserve"> el cumplimiento de la sentencia, incluida la cancelación de las costas procesales. Planteamiento que también se aprecia en la solicitud de ejecución a folio 176. Sin embargo, examinados uno a uno los 245 folios que conforman el expediente, brilla por su ausencia cualquier elemento que </w:t>
      </w:r>
      <w:r w:rsidR="000049AE" w:rsidRPr="00644AEB">
        <w:rPr>
          <w:rFonts w:ascii="Arial" w:hAnsi="Arial" w:cs="Arial"/>
          <w:spacing w:val="4"/>
        </w:rPr>
        <w:t>de cuenta</w:t>
      </w:r>
      <w:r w:rsidRPr="00644AEB">
        <w:rPr>
          <w:rFonts w:ascii="Arial" w:hAnsi="Arial" w:cs="Arial"/>
          <w:spacing w:val="4"/>
        </w:rPr>
        <w:t xml:space="preserve"> sobre la existencia de</w:t>
      </w:r>
      <w:r w:rsidR="004075C2" w:rsidRPr="00644AEB">
        <w:rPr>
          <w:rFonts w:ascii="Arial" w:hAnsi="Arial" w:cs="Arial"/>
          <w:spacing w:val="4"/>
        </w:rPr>
        <w:t xml:space="preserve"> dicho</w:t>
      </w:r>
      <w:r w:rsidRPr="00644AEB">
        <w:rPr>
          <w:rFonts w:ascii="Arial" w:hAnsi="Arial" w:cs="Arial"/>
          <w:spacing w:val="4"/>
        </w:rPr>
        <w:t xml:space="preserve"> trámite constitucional, </w:t>
      </w:r>
      <w:r w:rsidR="004075C2" w:rsidRPr="00644AEB">
        <w:rPr>
          <w:rFonts w:ascii="Arial" w:hAnsi="Arial" w:cs="Arial"/>
          <w:spacing w:val="4"/>
        </w:rPr>
        <w:t xml:space="preserve">presuntamente adelantado ante el Juzgado Tercero Laboral del Circuito de Pereira bajo el radicado nº 2013-00056-00. </w:t>
      </w:r>
    </w:p>
    <w:p w14:paraId="0FD83264" w14:textId="7411CDF6" w:rsidR="004075C2" w:rsidRPr="00644AEB" w:rsidRDefault="004075C2" w:rsidP="00644AEB">
      <w:pPr>
        <w:pStyle w:val="Sinespaciado"/>
        <w:spacing w:line="276" w:lineRule="auto"/>
        <w:ind w:firstLine="709"/>
        <w:jc w:val="both"/>
        <w:rPr>
          <w:rFonts w:ascii="Arial" w:hAnsi="Arial" w:cs="Arial"/>
          <w:spacing w:val="4"/>
          <w:lang w:val="es-ES_tradnl"/>
        </w:rPr>
      </w:pPr>
    </w:p>
    <w:p w14:paraId="6A1759F0" w14:textId="3139D213" w:rsidR="004075C2" w:rsidRPr="00644AEB" w:rsidRDefault="009D7163" w:rsidP="00644AEB">
      <w:pPr>
        <w:pStyle w:val="Sinespaciado"/>
        <w:spacing w:line="276" w:lineRule="auto"/>
        <w:ind w:firstLine="709"/>
        <w:jc w:val="both"/>
        <w:rPr>
          <w:rFonts w:ascii="Arial" w:hAnsi="Arial" w:cs="Arial"/>
          <w:spacing w:val="4"/>
        </w:rPr>
      </w:pPr>
      <w:r w:rsidRPr="00644AEB">
        <w:rPr>
          <w:rFonts w:ascii="Arial" w:hAnsi="Arial" w:cs="Arial"/>
          <w:spacing w:val="4"/>
        </w:rPr>
        <w:t>Tanto así, que ni siquiera se anunció como prueba o anexo al escrito de solicitud de ejecución</w:t>
      </w:r>
      <w:r w:rsidR="004F1D82" w:rsidRPr="00644AEB">
        <w:rPr>
          <w:rFonts w:ascii="Arial" w:hAnsi="Arial" w:cs="Arial"/>
          <w:spacing w:val="4"/>
        </w:rPr>
        <w:t xml:space="preserve"> (fol. 178</w:t>
      </w:r>
      <w:r w:rsidR="000049AE" w:rsidRPr="00644AEB">
        <w:rPr>
          <w:rFonts w:ascii="Arial" w:hAnsi="Arial" w:cs="Arial"/>
          <w:spacing w:val="4"/>
        </w:rPr>
        <w:t>), en el cual</w:t>
      </w:r>
      <w:r w:rsidR="004F1D82" w:rsidRPr="00644AEB">
        <w:rPr>
          <w:rFonts w:ascii="Arial" w:hAnsi="Arial" w:cs="Arial"/>
          <w:spacing w:val="4"/>
        </w:rPr>
        <w:t xml:space="preserve"> </w:t>
      </w:r>
      <w:r w:rsidRPr="00644AEB">
        <w:rPr>
          <w:rFonts w:ascii="Arial" w:hAnsi="Arial" w:cs="Arial"/>
          <w:spacing w:val="4"/>
        </w:rPr>
        <w:t>únicamente se relacionó la sentencia de primera instancia, la liquidación y aprobación de las costas procesales, la copia del formulario de reclamación presentado ante el ISS del 27 de diciembre de 2012 y la copia del recurso de reposición presentado ante el ISS el 18 de abril de 2013</w:t>
      </w:r>
      <w:r w:rsidR="004F1D82" w:rsidRPr="00644AEB">
        <w:rPr>
          <w:rFonts w:ascii="Arial" w:hAnsi="Arial" w:cs="Arial"/>
          <w:spacing w:val="4"/>
        </w:rPr>
        <w:t xml:space="preserve">, que son justamente los que se aprecian de folio 180 a 193 del cartulario. </w:t>
      </w:r>
    </w:p>
    <w:p w14:paraId="5EDD688E" w14:textId="6F00EBD2" w:rsidR="000049AE" w:rsidRPr="00644AEB" w:rsidRDefault="000049AE" w:rsidP="00644AEB">
      <w:pPr>
        <w:pStyle w:val="Sinespaciado"/>
        <w:spacing w:line="276" w:lineRule="auto"/>
        <w:ind w:firstLine="709"/>
        <w:jc w:val="both"/>
        <w:rPr>
          <w:rFonts w:ascii="Arial" w:hAnsi="Arial" w:cs="Arial"/>
          <w:spacing w:val="4"/>
          <w:lang w:val="es-ES_tradnl"/>
        </w:rPr>
      </w:pPr>
    </w:p>
    <w:p w14:paraId="4EAC3EAC" w14:textId="635C5E0D" w:rsidR="002F57E2" w:rsidRPr="00644AEB" w:rsidRDefault="000049AE" w:rsidP="00644AEB">
      <w:pPr>
        <w:pStyle w:val="Sinespaciado"/>
        <w:spacing w:line="276" w:lineRule="auto"/>
        <w:ind w:firstLine="709"/>
        <w:jc w:val="both"/>
        <w:rPr>
          <w:rFonts w:ascii="Arial" w:hAnsi="Arial" w:cs="Arial"/>
          <w:spacing w:val="4"/>
          <w:lang w:val="es-ES_tradnl"/>
        </w:rPr>
      </w:pPr>
      <w:r w:rsidRPr="00644AEB">
        <w:rPr>
          <w:rFonts w:ascii="Arial" w:hAnsi="Arial" w:cs="Arial"/>
          <w:spacing w:val="4"/>
          <w:lang w:val="es-ES_tradnl"/>
        </w:rPr>
        <w:t xml:space="preserve">Por lo tanto, dado que la afirmación del actor de haber presentado una acción de tutela en contra de Colpensiones se encuentra desprovista de respaldo probatorio, inviable resulta darle considerarla </w:t>
      </w:r>
      <w:r w:rsidR="002F57E2" w:rsidRPr="00644AEB">
        <w:rPr>
          <w:rFonts w:ascii="Arial" w:hAnsi="Arial" w:cs="Arial"/>
          <w:spacing w:val="4"/>
          <w:lang w:val="es-ES_tradnl"/>
        </w:rPr>
        <w:t>a afectos de establecer si en virtud de ello pudo interrumpirse el término prescriptivo</w:t>
      </w:r>
      <w:r w:rsidR="00DE1856" w:rsidRPr="00644AEB">
        <w:rPr>
          <w:rFonts w:ascii="Arial" w:hAnsi="Arial" w:cs="Arial"/>
          <w:spacing w:val="4"/>
          <w:lang w:val="es-ES_tradnl"/>
        </w:rPr>
        <w:t>, por lo que queda la Sala exonerada de examinar la viabilidad de la ejecución frente a una presunta interrupción de la prescripción con base en una eventual acción constitucional.</w:t>
      </w:r>
      <w:r w:rsidR="002F57E2" w:rsidRPr="00644AEB">
        <w:rPr>
          <w:rFonts w:ascii="Arial" w:hAnsi="Arial" w:cs="Arial"/>
          <w:spacing w:val="4"/>
          <w:lang w:val="es-ES_tradnl"/>
        </w:rPr>
        <w:t xml:space="preserve"> </w:t>
      </w:r>
    </w:p>
    <w:p w14:paraId="688765EC" w14:textId="77777777" w:rsidR="002F57E2" w:rsidRPr="00644AEB" w:rsidRDefault="002F57E2" w:rsidP="00644AEB">
      <w:pPr>
        <w:pStyle w:val="Sinespaciado"/>
        <w:spacing w:line="276" w:lineRule="auto"/>
        <w:ind w:firstLine="709"/>
        <w:jc w:val="both"/>
        <w:rPr>
          <w:rFonts w:ascii="Arial" w:hAnsi="Arial" w:cs="Arial"/>
          <w:spacing w:val="4"/>
          <w:lang w:val="es-ES_tradnl"/>
        </w:rPr>
      </w:pPr>
    </w:p>
    <w:p w14:paraId="28DB58C6" w14:textId="68E8031A" w:rsidR="00E61D7C" w:rsidRPr="00644AEB" w:rsidRDefault="00592DFB" w:rsidP="00644AEB">
      <w:pPr>
        <w:pStyle w:val="Sinespaciado"/>
        <w:spacing w:line="276" w:lineRule="auto"/>
        <w:ind w:firstLine="709"/>
        <w:jc w:val="both"/>
        <w:rPr>
          <w:rFonts w:ascii="Arial" w:hAnsi="Arial" w:cs="Arial"/>
          <w:spacing w:val="4"/>
        </w:rPr>
      </w:pPr>
      <w:r w:rsidRPr="00644AEB">
        <w:rPr>
          <w:rFonts w:ascii="Arial" w:hAnsi="Arial" w:cs="Arial"/>
          <w:spacing w:val="4"/>
        </w:rPr>
        <w:lastRenderedPageBreak/>
        <w:t xml:space="preserve">Ahora bien, </w:t>
      </w:r>
      <w:r w:rsidR="002F57E2" w:rsidRPr="00644AEB">
        <w:rPr>
          <w:rFonts w:ascii="Arial" w:hAnsi="Arial" w:cs="Arial"/>
          <w:spacing w:val="4"/>
        </w:rPr>
        <w:t>para interpretar adecuadamente en alcance de la solici</w:t>
      </w:r>
      <w:r w:rsidRPr="00644AEB">
        <w:rPr>
          <w:rFonts w:ascii="Arial" w:hAnsi="Arial" w:cs="Arial"/>
          <w:spacing w:val="4"/>
        </w:rPr>
        <w:t>tud</w:t>
      </w:r>
      <w:r w:rsidR="002F57E2" w:rsidRPr="00644AEB">
        <w:rPr>
          <w:rFonts w:ascii="Arial" w:hAnsi="Arial" w:cs="Arial"/>
          <w:spacing w:val="4"/>
        </w:rPr>
        <w:t xml:space="preserve"> presentada </w:t>
      </w:r>
      <w:r w:rsidRPr="00644AEB">
        <w:rPr>
          <w:rFonts w:ascii="Arial" w:hAnsi="Arial" w:cs="Arial"/>
          <w:spacing w:val="4"/>
        </w:rPr>
        <w:t>el 27 de diciembre de 2012</w:t>
      </w:r>
      <w:r w:rsidR="002F57E2" w:rsidRPr="00644AEB">
        <w:rPr>
          <w:rFonts w:ascii="Arial" w:hAnsi="Arial" w:cs="Arial"/>
          <w:spacing w:val="4"/>
        </w:rPr>
        <w:t xml:space="preserve"> por parte de la señora Laverde Pérez, conviene recordar que de acuerdo con el Decreto 2011 del 28 de septiembre de 2012, </w:t>
      </w:r>
      <w:r w:rsidR="00055513" w:rsidRPr="00644AEB">
        <w:rPr>
          <w:rFonts w:ascii="Arial" w:hAnsi="Arial" w:cs="Arial"/>
          <w:spacing w:val="4"/>
        </w:rPr>
        <w:t xml:space="preserve">la entidad administradora del régimen de prima media con prestación definida empezó a ser la Administradora Colombiana de Pensiones “Colpensiones”, entidad a la que se trasladaron todos los afiliados y pensionados del Instituto de Seguros Sociales (art. 2), así como todas las obligaciones con ellos (art. 3, </w:t>
      </w:r>
      <w:proofErr w:type="spellStart"/>
      <w:r w:rsidR="00055513" w:rsidRPr="00644AEB">
        <w:rPr>
          <w:rFonts w:ascii="Arial" w:hAnsi="Arial" w:cs="Arial"/>
          <w:spacing w:val="4"/>
        </w:rPr>
        <w:t>num</w:t>
      </w:r>
      <w:proofErr w:type="spellEnd"/>
      <w:r w:rsidR="00055513" w:rsidRPr="00644AEB">
        <w:rPr>
          <w:rFonts w:ascii="Arial" w:hAnsi="Arial" w:cs="Arial"/>
          <w:spacing w:val="4"/>
        </w:rPr>
        <w:t xml:space="preserve">. 3). </w:t>
      </w:r>
    </w:p>
    <w:p w14:paraId="70383D89" w14:textId="77777777" w:rsidR="00E61D7C" w:rsidRPr="00644AEB" w:rsidRDefault="00E61D7C" w:rsidP="00644AEB">
      <w:pPr>
        <w:pStyle w:val="Sinespaciado"/>
        <w:spacing w:line="276" w:lineRule="auto"/>
        <w:ind w:firstLine="709"/>
        <w:jc w:val="both"/>
        <w:rPr>
          <w:rFonts w:ascii="Arial" w:hAnsi="Arial" w:cs="Arial"/>
          <w:spacing w:val="4"/>
          <w:lang w:val="es-ES_tradnl"/>
        </w:rPr>
      </w:pPr>
    </w:p>
    <w:p w14:paraId="2CF549D3" w14:textId="753A54A9" w:rsidR="00DC15B9" w:rsidRPr="00644AEB" w:rsidRDefault="00055513" w:rsidP="00644AEB">
      <w:pPr>
        <w:pStyle w:val="Sinespaciado"/>
        <w:spacing w:line="276" w:lineRule="auto"/>
        <w:ind w:firstLine="709"/>
        <w:jc w:val="both"/>
        <w:rPr>
          <w:rFonts w:ascii="Arial" w:hAnsi="Arial" w:cs="Arial"/>
          <w:spacing w:val="4"/>
        </w:rPr>
      </w:pPr>
      <w:r w:rsidRPr="00644AEB">
        <w:rPr>
          <w:rFonts w:ascii="Arial" w:hAnsi="Arial" w:cs="Arial"/>
          <w:spacing w:val="4"/>
        </w:rPr>
        <w:t xml:space="preserve">El Instituto de Seguros Sociales, por su parte, de acuerdo con el Decreto 2013 del 28 de septiembre de 2012 fue suprimido, entró en liquidación </w:t>
      </w:r>
      <w:r w:rsidR="00DC15B9" w:rsidRPr="00644AEB">
        <w:rPr>
          <w:rFonts w:ascii="Arial" w:hAnsi="Arial" w:cs="Arial"/>
          <w:spacing w:val="4"/>
        </w:rPr>
        <w:t xml:space="preserve">a cargo de la Fiduciaria La Previsora S.A. y aunque conservó por el término de tres (3) meses con la obligación de atender procesos judiciales en curso derivados de su gestión como administradora del régimen de prima media con prestación definida (art. 35), el cumplimiento de las sentencias relacionadas con la función de administración del Régimen de Prima Media con Prestación Definida, </w:t>
      </w:r>
      <w:r w:rsidR="00D82549" w:rsidRPr="00644AEB">
        <w:rPr>
          <w:rFonts w:ascii="Arial" w:hAnsi="Arial" w:cs="Arial"/>
          <w:spacing w:val="4"/>
        </w:rPr>
        <w:t xml:space="preserve">de inmediato </w:t>
      </w:r>
      <w:r w:rsidR="00DC15B9" w:rsidRPr="00644AEB">
        <w:rPr>
          <w:rFonts w:ascii="Arial" w:hAnsi="Arial" w:cs="Arial"/>
          <w:spacing w:val="4"/>
        </w:rPr>
        <w:t>quedó a cargo de Colpensiones (arts. 3 y 35)</w:t>
      </w:r>
      <w:r w:rsidR="00D82549" w:rsidRPr="00644AEB">
        <w:rPr>
          <w:rFonts w:ascii="Arial" w:hAnsi="Arial" w:cs="Arial"/>
          <w:spacing w:val="4"/>
        </w:rPr>
        <w:t xml:space="preserve">. </w:t>
      </w:r>
    </w:p>
    <w:p w14:paraId="59CED25A" w14:textId="6E68A361" w:rsidR="00D82549" w:rsidRPr="00644AEB" w:rsidRDefault="00D82549" w:rsidP="00644AEB">
      <w:pPr>
        <w:pStyle w:val="Sinespaciado"/>
        <w:spacing w:line="276" w:lineRule="auto"/>
        <w:ind w:firstLine="709"/>
        <w:jc w:val="both"/>
        <w:rPr>
          <w:rFonts w:ascii="Arial" w:hAnsi="Arial" w:cs="Arial"/>
          <w:spacing w:val="4"/>
          <w:lang w:val="es-ES_tradnl"/>
        </w:rPr>
      </w:pPr>
    </w:p>
    <w:p w14:paraId="3F50B487" w14:textId="10D62080" w:rsidR="00D82549" w:rsidRPr="00644AEB" w:rsidRDefault="00D82549" w:rsidP="00644AEB">
      <w:pPr>
        <w:pStyle w:val="Sinespaciado"/>
        <w:spacing w:line="276" w:lineRule="auto"/>
        <w:ind w:firstLine="709"/>
        <w:jc w:val="both"/>
        <w:rPr>
          <w:rFonts w:ascii="Arial" w:hAnsi="Arial" w:cs="Arial"/>
          <w:spacing w:val="4"/>
        </w:rPr>
      </w:pPr>
      <w:r w:rsidRPr="00644AEB">
        <w:rPr>
          <w:rFonts w:ascii="Arial" w:hAnsi="Arial" w:cs="Arial"/>
          <w:spacing w:val="4"/>
        </w:rPr>
        <w:t xml:space="preserve">Deviene de los cánones en comento, que la reclamación presentada por el apoderado de la señora Laverde Pérez al liquidador del Instituto de Seguros Sociales el 27 de diciembre de 2012, para que en dicho trámite se reconocieran los créditos ordenados judicialmente, carece de vocación para interrumpir el término prescriptivo, habida cuenta que a ese momento la entidad no era administradora del régimen de prima media, ni tenía a su cargo el cumplimiento de sentencias relacionadas con ello. </w:t>
      </w:r>
    </w:p>
    <w:p w14:paraId="01A98B6C" w14:textId="60565532" w:rsidR="00D82549" w:rsidRPr="00644AEB" w:rsidRDefault="00D82549" w:rsidP="00644AEB">
      <w:pPr>
        <w:pStyle w:val="Sinespaciado"/>
        <w:spacing w:line="276" w:lineRule="auto"/>
        <w:ind w:firstLine="709"/>
        <w:jc w:val="both"/>
        <w:rPr>
          <w:rFonts w:ascii="Arial" w:hAnsi="Arial" w:cs="Arial"/>
          <w:spacing w:val="4"/>
          <w:lang w:val="es-ES_tradnl"/>
        </w:rPr>
      </w:pPr>
    </w:p>
    <w:p w14:paraId="05CD807F" w14:textId="1AA88504" w:rsidR="008B3C4A" w:rsidRPr="00644AEB" w:rsidRDefault="008B3C4A" w:rsidP="00644AEB">
      <w:pPr>
        <w:pStyle w:val="Sinespaciado"/>
        <w:spacing w:line="276" w:lineRule="auto"/>
        <w:ind w:firstLine="709"/>
        <w:jc w:val="both"/>
        <w:rPr>
          <w:rFonts w:ascii="Arial" w:hAnsi="Arial" w:cs="Arial"/>
          <w:spacing w:val="4"/>
        </w:rPr>
      </w:pPr>
      <w:r w:rsidRPr="00644AEB">
        <w:rPr>
          <w:rFonts w:ascii="Arial" w:hAnsi="Arial" w:cs="Arial"/>
          <w:spacing w:val="4"/>
        </w:rPr>
        <w:t xml:space="preserve">Para interrumpir la prescripción, era preciso que la parte actora elevara la reclamación correspondiente ante la entidad obligada a satisfacer la acreencia reconocida en sede judicial a su favor y esta, como se ha expuesto, no era una distinta a Colpensiones. Luego, como a pesar de actuar a través de un profesional en derecho, ello se cumplió respecto de una entidad totalmente diferente, en un trámite con reglas propias -como es el de la liquidación de una entidad estatal-, cuyas resultas son complemente desconocidas y a ajenas a este proceso, no queda camino distinto al de concluir que no hubo una solicitud oponible a la administradora del régimen de prima media, para considerar reiniciado el término trienal del que se ha venido hablando. </w:t>
      </w:r>
    </w:p>
    <w:p w14:paraId="73E48992" w14:textId="77777777" w:rsidR="008B3C4A" w:rsidRPr="00644AEB" w:rsidRDefault="008B3C4A" w:rsidP="00644AEB">
      <w:pPr>
        <w:pStyle w:val="Sinespaciado"/>
        <w:spacing w:line="276" w:lineRule="auto"/>
        <w:ind w:firstLine="709"/>
        <w:jc w:val="both"/>
        <w:rPr>
          <w:rFonts w:ascii="Arial" w:hAnsi="Arial" w:cs="Arial"/>
          <w:spacing w:val="4"/>
          <w:lang w:val="es-ES_tradnl"/>
        </w:rPr>
      </w:pPr>
    </w:p>
    <w:p w14:paraId="650D9E6B" w14:textId="2B5F90E3" w:rsidR="00852A66" w:rsidRPr="00644AEB" w:rsidRDefault="008B3C4A" w:rsidP="00644AEB">
      <w:pPr>
        <w:pStyle w:val="Sinespaciado"/>
        <w:spacing w:line="276" w:lineRule="auto"/>
        <w:ind w:firstLine="709"/>
        <w:jc w:val="both"/>
        <w:rPr>
          <w:rFonts w:ascii="Arial" w:hAnsi="Arial" w:cs="Arial"/>
          <w:spacing w:val="4"/>
          <w:lang w:val="es-ES_tradnl"/>
        </w:rPr>
      </w:pPr>
      <w:r w:rsidRPr="00644AEB">
        <w:rPr>
          <w:rFonts w:ascii="Arial" w:hAnsi="Arial" w:cs="Arial"/>
          <w:spacing w:val="4"/>
          <w:lang w:val="es-ES_tradnl"/>
        </w:rPr>
        <w:t xml:space="preserve"> Así las cosas, iterando que las costas se hicieron exigibles el 25 de septiembre de 2012, es claro que </w:t>
      </w:r>
      <w:r w:rsidR="00852A66" w:rsidRPr="00644AEB">
        <w:rPr>
          <w:rFonts w:ascii="Arial" w:hAnsi="Arial" w:cs="Arial"/>
          <w:spacing w:val="4"/>
          <w:lang w:val="es-ES_tradnl"/>
        </w:rPr>
        <w:t xml:space="preserve">el trámite de ejecución, que data del 19 de noviembre de 2015, se inició con posterioridad a la consolidación de la prescripción, la cual tuvo lugar el 25 de septiembre de 2015. </w:t>
      </w:r>
    </w:p>
    <w:p w14:paraId="190965C4" w14:textId="77777777" w:rsidR="00A23E6A" w:rsidRPr="00644AEB" w:rsidRDefault="00A23E6A" w:rsidP="00644AEB">
      <w:pPr>
        <w:spacing w:line="276" w:lineRule="auto"/>
        <w:ind w:firstLine="708"/>
        <w:jc w:val="both"/>
        <w:rPr>
          <w:rFonts w:ascii="Arial" w:hAnsi="Arial" w:cs="Arial"/>
          <w:spacing w:val="4"/>
          <w:lang w:val="es-ES_tradnl"/>
        </w:rPr>
      </w:pPr>
    </w:p>
    <w:p w14:paraId="29F46811" w14:textId="4CEF40CF" w:rsidR="00C26963" w:rsidRPr="00644AEB" w:rsidRDefault="00C26963" w:rsidP="00644AEB">
      <w:pPr>
        <w:spacing w:line="276" w:lineRule="auto"/>
        <w:ind w:firstLine="708"/>
        <w:jc w:val="both"/>
        <w:rPr>
          <w:rFonts w:ascii="Arial" w:hAnsi="Arial" w:cs="Arial"/>
          <w:spacing w:val="4"/>
          <w:lang w:val="es-ES_tradnl"/>
        </w:rPr>
      </w:pPr>
      <w:r w:rsidRPr="00644AEB">
        <w:rPr>
          <w:rFonts w:ascii="Arial" w:hAnsi="Arial" w:cs="Arial"/>
          <w:spacing w:val="4"/>
          <w:lang w:val="es-ES_tradnl"/>
        </w:rPr>
        <w:t xml:space="preserve">En </w:t>
      </w:r>
      <w:r w:rsidR="008D7150" w:rsidRPr="00644AEB">
        <w:rPr>
          <w:rFonts w:ascii="Arial" w:hAnsi="Arial" w:cs="Arial"/>
          <w:spacing w:val="4"/>
          <w:lang w:val="es-ES_tradnl"/>
        </w:rPr>
        <w:t>síntesis</w:t>
      </w:r>
      <w:r w:rsidRPr="00644AEB">
        <w:rPr>
          <w:rFonts w:ascii="Arial" w:hAnsi="Arial" w:cs="Arial"/>
          <w:spacing w:val="4"/>
          <w:lang w:val="es-ES_tradnl"/>
        </w:rPr>
        <w:t xml:space="preserve">, </w:t>
      </w:r>
      <w:r w:rsidR="008D7150" w:rsidRPr="00644AEB">
        <w:rPr>
          <w:rFonts w:ascii="Arial" w:hAnsi="Arial" w:cs="Arial"/>
          <w:spacing w:val="4"/>
          <w:lang w:val="es-ES_tradnl"/>
        </w:rPr>
        <w:t xml:space="preserve">por las razones aquí expuestas se confirmará el auto apelado y se condenará en costas a </w:t>
      </w:r>
      <w:r w:rsidR="00AD0555" w:rsidRPr="00644AEB">
        <w:rPr>
          <w:rFonts w:ascii="Arial" w:hAnsi="Arial" w:cs="Arial"/>
          <w:spacing w:val="4"/>
          <w:lang w:val="es-ES_tradnl"/>
        </w:rPr>
        <w:t>Georgina Laverde Pérez</w:t>
      </w:r>
      <w:r w:rsidR="008D7150" w:rsidRPr="00644AEB">
        <w:rPr>
          <w:rFonts w:ascii="Arial" w:hAnsi="Arial" w:cs="Arial"/>
          <w:spacing w:val="4"/>
          <w:lang w:val="es-ES_tradnl"/>
        </w:rPr>
        <w:t xml:space="preserve"> en favor de la Administradora Colombiana de Pensiones “Colpensiones”, por no haber salido avante en la alzada. </w:t>
      </w:r>
    </w:p>
    <w:p w14:paraId="6B699379" w14:textId="77777777" w:rsidR="00886238" w:rsidRPr="00644AEB" w:rsidRDefault="00886238" w:rsidP="00644AEB">
      <w:pPr>
        <w:pStyle w:val="Sinespaciado"/>
        <w:spacing w:line="276" w:lineRule="auto"/>
        <w:rPr>
          <w:rFonts w:ascii="Arial" w:hAnsi="Arial" w:cs="Arial"/>
          <w:spacing w:val="4"/>
          <w:lang w:val="es-ES_tradnl"/>
        </w:rPr>
      </w:pPr>
    </w:p>
    <w:p w14:paraId="3FE9F23F" w14:textId="77777777" w:rsidR="00886238" w:rsidRPr="00644AEB" w:rsidRDefault="00886238" w:rsidP="00644AEB">
      <w:pPr>
        <w:pStyle w:val="Sinespaciado"/>
        <w:spacing w:line="276" w:lineRule="auto"/>
        <w:rPr>
          <w:rFonts w:ascii="Arial" w:hAnsi="Arial" w:cs="Arial"/>
          <w:spacing w:val="4"/>
          <w:lang w:val="es-ES_tradnl"/>
        </w:rPr>
      </w:pPr>
    </w:p>
    <w:p w14:paraId="35CBCE14" w14:textId="77777777" w:rsidR="00886238" w:rsidRPr="00644AEB" w:rsidRDefault="00886238" w:rsidP="00644AEB">
      <w:pPr>
        <w:spacing w:line="276" w:lineRule="auto"/>
        <w:ind w:firstLine="708"/>
        <w:jc w:val="both"/>
        <w:rPr>
          <w:rFonts w:ascii="Arial" w:hAnsi="Arial" w:cs="Arial"/>
          <w:spacing w:val="4"/>
          <w:lang w:val="es-ES_tradnl"/>
        </w:rPr>
      </w:pPr>
      <w:r w:rsidRPr="00644AEB">
        <w:rPr>
          <w:rFonts w:ascii="Arial" w:hAnsi="Arial" w:cs="Arial"/>
          <w:spacing w:val="4"/>
          <w:lang w:val="es-ES_tradnl"/>
        </w:rPr>
        <w:lastRenderedPageBreak/>
        <w:t xml:space="preserve">En mérito de lo expuesto, la Sala 4ª Laboral del Tribunal Superior de Distrito Judicial de Pereira - Risaralda, </w:t>
      </w:r>
    </w:p>
    <w:p w14:paraId="1F72F646" w14:textId="77777777" w:rsidR="00886238" w:rsidRPr="00644AEB" w:rsidRDefault="00886238" w:rsidP="00644AEB">
      <w:pPr>
        <w:pStyle w:val="Sinespaciado"/>
        <w:spacing w:line="276" w:lineRule="auto"/>
        <w:rPr>
          <w:rFonts w:ascii="Arial" w:hAnsi="Arial" w:cs="Arial"/>
          <w:spacing w:val="4"/>
          <w:lang w:val="es-ES_tradnl"/>
        </w:rPr>
      </w:pPr>
    </w:p>
    <w:p w14:paraId="23A75B80" w14:textId="77777777" w:rsidR="00886238" w:rsidRPr="00644AEB" w:rsidRDefault="00886238" w:rsidP="00644AEB">
      <w:pPr>
        <w:spacing w:line="276" w:lineRule="auto"/>
        <w:jc w:val="center"/>
        <w:rPr>
          <w:rFonts w:ascii="Arial" w:hAnsi="Arial" w:cs="Arial"/>
          <w:b/>
          <w:bCs/>
          <w:spacing w:val="4"/>
          <w:lang w:val="es-ES_tradnl"/>
        </w:rPr>
      </w:pPr>
      <w:r w:rsidRPr="00644AEB">
        <w:rPr>
          <w:rFonts w:ascii="Arial" w:hAnsi="Arial" w:cs="Arial"/>
          <w:b/>
          <w:bCs/>
          <w:spacing w:val="4"/>
          <w:lang w:val="es-ES_tradnl"/>
        </w:rPr>
        <w:t>RESUELVE:</w:t>
      </w:r>
    </w:p>
    <w:p w14:paraId="08CE6F91" w14:textId="77777777" w:rsidR="00886238" w:rsidRPr="00644AEB" w:rsidRDefault="00886238" w:rsidP="00644AEB">
      <w:pPr>
        <w:pStyle w:val="Sinespaciado"/>
        <w:spacing w:line="276" w:lineRule="auto"/>
        <w:rPr>
          <w:rFonts w:ascii="Arial" w:hAnsi="Arial" w:cs="Arial"/>
          <w:spacing w:val="4"/>
          <w:lang w:val="es-ES_tradnl"/>
        </w:rPr>
      </w:pPr>
    </w:p>
    <w:p w14:paraId="0D928212" w14:textId="3A4D9B2B" w:rsidR="005E2DBA" w:rsidRPr="00644AEB" w:rsidRDefault="003508C6" w:rsidP="00644AEB">
      <w:pPr>
        <w:pStyle w:val="Prrafodelista"/>
        <w:tabs>
          <w:tab w:val="left" w:pos="851"/>
        </w:tabs>
        <w:spacing w:line="276" w:lineRule="auto"/>
        <w:ind w:left="0"/>
        <w:jc w:val="both"/>
        <w:rPr>
          <w:rFonts w:ascii="Arial" w:hAnsi="Arial" w:cs="Arial"/>
          <w:spacing w:val="4"/>
          <w:lang w:val="es-ES_tradnl"/>
        </w:rPr>
      </w:pPr>
      <w:r w:rsidRPr="00644AEB">
        <w:rPr>
          <w:rFonts w:ascii="Arial" w:hAnsi="Arial" w:cs="Arial"/>
          <w:b/>
          <w:bCs/>
          <w:spacing w:val="4"/>
          <w:lang w:val="es-ES_tradnl"/>
        </w:rPr>
        <w:tab/>
        <w:t xml:space="preserve">Primero: Confirmar </w:t>
      </w:r>
      <w:r w:rsidR="00886238" w:rsidRPr="00644AEB">
        <w:rPr>
          <w:rFonts w:ascii="Arial" w:hAnsi="Arial" w:cs="Arial"/>
          <w:spacing w:val="4"/>
          <w:lang w:val="es-ES_tradnl"/>
        </w:rPr>
        <w:t xml:space="preserve">el auto de </w:t>
      </w:r>
      <w:bookmarkStart w:id="0" w:name="_GoBack"/>
      <w:bookmarkEnd w:id="0"/>
      <w:r w:rsidR="008F4FD7" w:rsidRPr="00644AEB">
        <w:rPr>
          <w:rFonts w:ascii="Arial" w:hAnsi="Arial" w:cs="Arial"/>
          <w:spacing w:val="4"/>
          <w:lang w:val="es-ES_tradnl"/>
        </w:rPr>
        <w:t>2 de diciembre de 2019</w:t>
      </w:r>
      <w:r w:rsidRPr="00644AEB">
        <w:rPr>
          <w:rFonts w:ascii="Arial" w:hAnsi="Arial" w:cs="Arial"/>
          <w:spacing w:val="4"/>
          <w:lang w:val="es-ES_tradnl"/>
        </w:rPr>
        <w:t>,</w:t>
      </w:r>
      <w:r w:rsidR="005E2DBA" w:rsidRPr="00644AEB">
        <w:rPr>
          <w:rFonts w:ascii="Arial" w:hAnsi="Arial" w:cs="Arial"/>
          <w:spacing w:val="4"/>
          <w:lang w:val="es-ES_tradnl"/>
        </w:rPr>
        <w:t xml:space="preserve"> p</w:t>
      </w:r>
      <w:r w:rsidR="00886238" w:rsidRPr="00644AEB">
        <w:rPr>
          <w:rFonts w:ascii="Arial" w:hAnsi="Arial" w:cs="Arial"/>
          <w:spacing w:val="4"/>
          <w:lang w:val="es-ES_tradnl"/>
        </w:rPr>
        <w:t xml:space="preserve">roferido por el Juzgado </w:t>
      </w:r>
      <w:r w:rsidR="00AD0555" w:rsidRPr="00644AEB">
        <w:rPr>
          <w:rFonts w:ascii="Arial" w:hAnsi="Arial" w:cs="Arial"/>
          <w:spacing w:val="4"/>
          <w:lang w:val="es-ES_tradnl"/>
        </w:rPr>
        <w:t>Segundo Laboral</w:t>
      </w:r>
      <w:r w:rsidRPr="00644AEB">
        <w:rPr>
          <w:rFonts w:ascii="Arial" w:hAnsi="Arial" w:cs="Arial"/>
          <w:spacing w:val="4"/>
          <w:lang w:val="es-ES_tradnl"/>
        </w:rPr>
        <w:t xml:space="preserve"> </w:t>
      </w:r>
      <w:r w:rsidR="005E2DBA" w:rsidRPr="00644AEB">
        <w:rPr>
          <w:rFonts w:ascii="Arial" w:hAnsi="Arial" w:cs="Arial"/>
          <w:spacing w:val="4"/>
          <w:lang w:val="es-ES_tradnl"/>
        </w:rPr>
        <w:t>del Circuito de Pereira</w:t>
      </w:r>
      <w:r w:rsidR="00BE136D" w:rsidRPr="00644AEB">
        <w:rPr>
          <w:rFonts w:ascii="Arial" w:hAnsi="Arial" w:cs="Arial"/>
          <w:spacing w:val="4"/>
          <w:lang w:val="es-ES_tradnl"/>
        </w:rPr>
        <w:t xml:space="preserve">. </w:t>
      </w:r>
    </w:p>
    <w:p w14:paraId="089F8320" w14:textId="5603483B" w:rsidR="00FF6494" w:rsidRPr="00644AEB" w:rsidRDefault="00FF6494" w:rsidP="00644AEB">
      <w:pPr>
        <w:pStyle w:val="Prrafodelista"/>
        <w:tabs>
          <w:tab w:val="left" w:pos="851"/>
        </w:tabs>
        <w:spacing w:line="276" w:lineRule="auto"/>
        <w:ind w:left="0"/>
        <w:jc w:val="both"/>
        <w:rPr>
          <w:rFonts w:ascii="Arial" w:hAnsi="Arial" w:cs="Arial"/>
          <w:spacing w:val="4"/>
          <w:lang w:val="es-ES_tradnl"/>
        </w:rPr>
      </w:pPr>
    </w:p>
    <w:p w14:paraId="5187FA9B" w14:textId="4A567018" w:rsidR="00FF6494" w:rsidRPr="00644AEB" w:rsidRDefault="003508C6" w:rsidP="00644AEB">
      <w:pPr>
        <w:pStyle w:val="Prrafodelista"/>
        <w:tabs>
          <w:tab w:val="left" w:pos="851"/>
        </w:tabs>
        <w:spacing w:line="276" w:lineRule="auto"/>
        <w:ind w:left="0"/>
        <w:jc w:val="both"/>
        <w:rPr>
          <w:rFonts w:ascii="Arial" w:hAnsi="Arial" w:cs="Arial"/>
          <w:spacing w:val="4"/>
          <w:lang w:val="es-ES_tradnl"/>
        </w:rPr>
      </w:pPr>
      <w:r w:rsidRPr="00644AEB">
        <w:rPr>
          <w:rFonts w:ascii="Arial" w:hAnsi="Arial" w:cs="Arial"/>
          <w:b/>
          <w:bCs/>
          <w:spacing w:val="4"/>
          <w:lang w:val="es-ES_tradnl"/>
        </w:rPr>
        <w:tab/>
        <w:t xml:space="preserve">Segundo: Condenar </w:t>
      </w:r>
      <w:r w:rsidRPr="00644AEB">
        <w:rPr>
          <w:rFonts w:ascii="Arial" w:hAnsi="Arial" w:cs="Arial"/>
          <w:spacing w:val="4"/>
          <w:lang w:val="es-ES_tradnl"/>
        </w:rPr>
        <w:t xml:space="preserve">en costas a </w:t>
      </w:r>
      <w:r w:rsidR="00AD0555" w:rsidRPr="00644AEB">
        <w:rPr>
          <w:rFonts w:ascii="Arial" w:hAnsi="Arial" w:cs="Arial"/>
          <w:spacing w:val="4"/>
          <w:lang w:val="es-ES_tradnl"/>
        </w:rPr>
        <w:t>Georgina Laverde Pérez</w:t>
      </w:r>
      <w:r w:rsidRPr="00644AEB">
        <w:rPr>
          <w:rFonts w:ascii="Arial" w:hAnsi="Arial" w:cs="Arial"/>
          <w:spacing w:val="4"/>
          <w:lang w:val="es-ES_tradnl"/>
        </w:rPr>
        <w:t xml:space="preserve"> en favor de la Administradora Colombiana de Pensiones “Colpensiones”</w:t>
      </w:r>
      <w:r w:rsidR="00BE136D" w:rsidRPr="00644AEB">
        <w:rPr>
          <w:rFonts w:ascii="Arial" w:hAnsi="Arial" w:cs="Arial"/>
          <w:spacing w:val="4"/>
          <w:lang w:val="es-ES_tradnl"/>
        </w:rPr>
        <w:t xml:space="preserve">. </w:t>
      </w:r>
    </w:p>
    <w:p w14:paraId="08E7FF0E" w14:textId="77777777" w:rsidR="003508C6" w:rsidRPr="00644AEB" w:rsidRDefault="003508C6" w:rsidP="00644AEB">
      <w:pPr>
        <w:pStyle w:val="Sinespaciado"/>
        <w:spacing w:line="276" w:lineRule="auto"/>
        <w:jc w:val="center"/>
        <w:rPr>
          <w:rFonts w:ascii="Arial" w:hAnsi="Arial" w:cs="Arial"/>
          <w:b/>
          <w:bCs/>
          <w:spacing w:val="4"/>
          <w:lang w:val="es-ES_tradnl"/>
        </w:rPr>
      </w:pPr>
    </w:p>
    <w:p w14:paraId="1444E7D1" w14:textId="77777777" w:rsidR="007B635E" w:rsidRPr="00644AEB" w:rsidRDefault="007B635E" w:rsidP="00644AEB">
      <w:pPr>
        <w:pStyle w:val="Sinespaciado"/>
        <w:spacing w:line="276" w:lineRule="auto"/>
        <w:jc w:val="center"/>
        <w:rPr>
          <w:rFonts w:ascii="Arial" w:hAnsi="Arial" w:cs="Arial"/>
          <w:b/>
          <w:bCs/>
          <w:spacing w:val="4"/>
          <w:lang w:val="es-ES_tradnl"/>
        </w:rPr>
      </w:pPr>
      <w:r w:rsidRPr="00644AEB">
        <w:rPr>
          <w:rFonts w:ascii="Arial" w:hAnsi="Arial" w:cs="Arial"/>
          <w:b/>
          <w:bCs/>
          <w:spacing w:val="4"/>
          <w:lang w:val="es-ES_tradnl"/>
        </w:rPr>
        <w:t>COPIÉSE, NOTÍFIQUESE Y DEVUÉLVASE</w:t>
      </w:r>
    </w:p>
    <w:p w14:paraId="0A5C0044" w14:textId="77777777" w:rsidR="00644AEB" w:rsidRPr="00644AEB" w:rsidRDefault="00644AEB" w:rsidP="00644AEB">
      <w:pPr>
        <w:spacing w:line="276" w:lineRule="auto"/>
        <w:jc w:val="both"/>
        <w:rPr>
          <w:rFonts w:ascii="Arial" w:hAnsi="Arial" w:cs="Arial"/>
          <w:lang w:val="es-ES_tradnl"/>
        </w:rPr>
      </w:pPr>
    </w:p>
    <w:p w14:paraId="0682E48F" w14:textId="77777777" w:rsidR="00644AEB" w:rsidRPr="00644AEB" w:rsidRDefault="00644AEB" w:rsidP="00644AEB">
      <w:pPr>
        <w:spacing w:line="276" w:lineRule="auto"/>
        <w:jc w:val="both"/>
        <w:rPr>
          <w:rFonts w:ascii="Arial" w:hAnsi="Arial" w:cs="Arial"/>
          <w:lang w:val="es-ES_tradnl"/>
        </w:rPr>
      </w:pPr>
    </w:p>
    <w:p w14:paraId="6686E9BC" w14:textId="77777777" w:rsidR="00644AEB" w:rsidRPr="00644AEB" w:rsidRDefault="00644AEB" w:rsidP="00644AEB">
      <w:pPr>
        <w:spacing w:line="276" w:lineRule="auto"/>
        <w:jc w:val="both"/>
        <w:rPr>
          <w:rFonts w:ascii="Arial" w:hAnsi="Arial" w:cs="Arial"/>
          <w:lang w:val="es-ES_tradnl"/>
        </w:rPr>
      </w:pPr>
    </w:p>
    <w:p w14:paraId="60C1BC71" w14:textId="77777777" w:rsidR="00644AEB" w:rsidRPr="00644AEB" w:rsidRDefault="00644AEB" w:rsidP="00644AEB">
      <w:pPr>
        <w:spacing w:line="276" w:lineRule="auto"/>
        <w:jc w:val="center"/>
        <w:rPr>
          <w:rFonts w:ascii="Arial" w:hAnsi="Arial" w:cs="Arial"/>
          <w:b/>
          <w:bCs/>
          <w:iCs/>
        </w:rPr>
      </w:pPr>
      <w:r w:rsidRPr="00644AEB">
        <w:rPr>
          <w:rFonts w:ascii="Arial" w:hAnsi="Arial" w:cs="Arial"/>
          <w:b/>
          <w:bCs/>
          <w:iCs/>
        </w:rPr>
        <w:t>ALEJANDRA MARÍA HENAO PALACIO</w:t>
      </w:r>
    </w:p>
    <w:p w14:paraId="03673184" w14:textId="77777777" w:rsidR="00644AEB" w:rsidRPr="00644AEB" w:rsidRDefault="00644AEB" w:rsidP="00644AEB">
      <w:pPr>
        <w:spacing w:line="276" w:lineRule="auto"/>
        <w:jc w:val="center"/>
        <w:rPr>
          <w:rFonts w:ascii="Arial" w:hAnsi="Arial" w:cs="Arial"/>
          <w:bCs/>
          <w:iCs/>
        </w:rPr>
      </w:pPr>
      <w:r w:rsidRPr="00644AEB">
        <w:rPr>
          <w:rFonts w:ascii="Arial" w:hAnsi="Arial" w:cs="Arial"/>
          <w:bCs/>
          <w:iCs/>
        </w:rPr>
        <w:t>Magistrada Ponente</w:t>
      </w:r>
    </w:p>
    <w:p w14:paraId="28E34F19" w14:textId="77777777" w:rsidR="00644AEB" w:rsidRPr="00644AEB" w:rsidRDefault="00644AEB" w:rsidP="00644AEB">
      <w:pPr>
        <w:spacing w:line="276" w:lineRule="auto"/>
        <w:jc w:val="both"/>
        <w:rPr>
          <w:rFonts w:ascii="Arial" w:hAnsi="Arial" w:cs="Arial"/>
          <w:lang w:val="es-ES_tradnl"/>
        </w:rPr>
      </w:pPr>
    </w:p>
    <w:p w14:paraId="335E4A20" w14:textId="77777777" w:rsidR="00644AEB" w:rsidRPr="00644AEB" w:rsidRDefault="00644AEB" w:rsidP="00644AEB">
      <w:pPr>
        <w:spacing w:line="276" w:lineRule="auto"/>
        <w:jc w:val="both"/>
        <w:rPr>
          <w:rFonts w:ascii="Arial" w:hAnsi="Arial" w:cs="Arial"/>
          <w:lang w:val="es-ES_tradnl"/>
        </w:rPr>
      </w:pPr>
    </w:p>
    <w:p w14:paraId="434E7183" w14:textId="77777777" w:rsidR="00644AEB" w:rsidRPr="00644AEB" w:rsidRDefault="00644AEB" w:rsidP="00644AEB">
      <w:pPr>
        <w:spacing w:line="276" w:lineRule="auto"/>
        <w:jc w:val="both"/>
        <w:rPr>
          <w:rFonts w:ascii="Arial" w:hAnsi="Arial" w:cs="Arial"/>
          <w:lang w:val="es-ES_tradnl"/>
        </w:rPr>
      </w:pPr>
    </w:p>
    <w:p w14:paraId="336577CC" w14:textId="77777777" w:rsidR="00644AEB" w:rsidRPr="00644AEB" w:rsidRDefault="00644AEB" w:rsidP="00644AEB">
      <w:pPr>
        <w:spacing w:line="276" w:lineRule="auto"/>
        <w:jc w:val="both"/>
        <w:rPr>
          <w:rFonts w:ascii="Arial" w:hAnsi="Arial" w:cs="Arial"/>
          <w:b/>
          <w:bCs/>
          <w:iCs/>
        </w:rPr>
      </w:pPr>
      <w:r w:rsidRPr="00644AEB">
        <w:rPr>
          <w:rFonts w:ascii="Arial" w:hAnsi="Arial" w:cs="Arial"/>
          <w:b/>
          <w:bCs/>
          <w:iCs/>
        </w:rPr>
        <w:t>ANA LUCÍA CAICEDO CALDERÓN</w:t>
      </w:r>
      <w:r w:rsidRPr="00644AEB">
        <w:rPr>
          <w:rFonts w:ascii="Arial" w:hAnsi="Arial" w:cs="Arial"/>
          <w:b/>
          <w:bCs/>
          <w:iCs/>
        </w:rPr>
        <w:tab/>
        <w:t xml:space="preserve">      OLGA LUCIA HOYOS SEPÚLVEDA</w:t>
      </w:r>
    </w:p>
    <w:p w14:paraId="56B19258" w14:textId="77777777" w:rsidR="00644AEB" w:rsidRPr="00644AEB" w:rsidRDefault="00644AEB" w:rsidP="00644AEB">
      <w:pPr>
        <w:spacing w:line="276" w:lineRule="auto"/>
        <w:jc w:val="both"/>
        <w:rPr>
          <w:rFonts w:ascii="Arial" w:hAnsi="Arial" w:cs="Arial"/>
          <w:bCs/>
          <w:iCs/>
        </w:rPr>
      </w:pPr>
      <w:r w:rsidRPr="00644AEB">
        <w:rPr>
          <w:rFonts w:ascii="Arial" w:hAnsi="Arial" w:cs="Arial"/>
          <w:bCs/>
          <w:iCs/>
        </w:rPr>
        <w:t xml:space="preserve">                Magistrada</w:t>
      </w:r>
      <w:r w:rsidRPr="00644AEB">
        <w:rPr>
          <w:rFonts w:ascii="Arial" w:hAnsi="Arial" w:cs="Arial"/>
          <w:bCs/>
          <w:iCs/>
        </w:rPr>
        <w:tab/>
      </w:r>
      <w:r w:rsidRPr="00644AEB">
        <w:rPr>
          <w:rFonts w:ascii="Arial" w:hAnsi="Arial" w:cs="Arial"/>
          <w:bCs/>
          <w:iCs/>
        </w:rPr>
        <w:tab/>
      </w:r>
      <w:r w:rsidRPr="00644AEB">
        <w:rPr>
          <w:rFonts w:ascii="Arial" w:hAnsi="Arial" w:cs="Arial"/>
          <w:bCs/>
          <w:iCs/>
        </w:rPr>
        <w:tab/>
      </w:r>
      <w:r w:rsidRPr="00644AEB">
        <w:rPr>
          <w:rFonts w:ascii="Arial" w:hAnsi="Arial" w:cs="Arial"/>
          <w:bCs/>
          <w:iCs/>
        </w:rPr>
        <w:tab/>
      </w:r>
      <w:r w:rsidRPr="00644AEB">
        <w:rPr>
          <w:rFonts w:ascii="Arial" w:hAnsi="Arial" w:cs="Arial"/>
          <w:bCs/>
          <w:iCs/>
        </w:rPr>
        <w:tab/>
        <w:t xml:space="preserve">      </w:t>
      </w:r>
      <w:proofErr w:type="spellStart"/>
      <w:r w:rsidRPr="00644AEB">
        <w:rPr>
          <w:rFonts w:ascii="Arial" w:hAnsi="Arial" w:cs="Arial"/>
          <w:bCs/>
          <w:iCs/>
        </w:rPr>
        <w:t>Magistrada</w:t>
      </w:r>
      <w:proofErr w:type="spellEnd"/>
    </w:p>
    <w:p w14:paraId="4A0C04D8" w14:textId="5A130791" w:rsidR="30817A99" w:rsidRPr="00644AEB" w:rsidRDefault="00644AEB" w:rsidP="00644AEB">
      <w:pPr>
        <w:pStyle w:val="Sinespaciado"/>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Aclara voto</w:t>
      </w:r>
    </w:p>
    <w:sectPr w:rsidR="30817A99" w:rsidRPr="00644AEB" w:rsidSect="00644AEB">
      <w:headerReference w:type="even" r:id="rId14"/>
      <w:headerReference w:type="default" r:id="rId15"/>
      <w:footerReference w:type="even" r:id="rId16"/>
      <w:footerReference w:type="default" r:id="rId17"/>
      <w:headerReference w:type="first" r:id="rId18"/>
      <w:footerReference w:type="first" r:id="rId19"/>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EB4B0" w14:textId="77777777" w:rsidR="00F05AC8" w:rsidRDefault="00F05AC8" w:rsidP="00886238">
      <w:r>
        <w:separator/>
      </w:r>
    </w:p>
  </w:endnote>
  <w:endnote w:type="continuationSeparator" w:id="0">
    <w:p w14:paraId="6089BD76" w14:textId="77777777" w:rsidR="00F05AC8" w:rsidRDefault="00F05AC8" w:rsidP="0088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9D7163" w:rsidRDefault="009D7163" w:rsidP="00980D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E4B5B7" w14:textId="77777777" w:rsidR="009D7163" w:rsidRDefault="009D7163" w:rsidP="00980D6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BA1D" w14:textId="77777777" w:rsidR="009D7163" w:rsidRPr="00644AEB" w:rsidRDefault="009D7163" w:rsidP="00644AEB">
    <w:pPr>
      <w:framePr w:wrap="around" w:vAnchor="text" w:hAnchor="margin" w:xAlign="right" w:y="1"/>
      <w:jc w:val="both"/>
      <w:rPr>
        <w:rFonts w:ascii="Arial" w:hAnsi="Arial" w:cs="Arial"/>
        <w:bCs/>
        <w:sz w:val="18"/>
        <w:szCs w:val="18"/>
      </w:rPr>
    </w:pPr>
    <w:r w:rsidRPr="00644AEB">
      <w:rPr>
        <w:rFonts w:ascii="Arial" w:hAnsi="Arial" w:cs="Arial"/>
        <w:bCs/>
        <w:sz w:val="18"/>
        <w:szCs w:val="18"/>
      </w:rPr>
      <w:fldChar w:fldCharType="begin"/>
    </w:r>
    <w:r w:rsidRPr="00644AEB">
      <w:rPr>
        <w:rFonts w:ascii="Arial" w:hAnsi="Arial" w:cs="Arial"/>
        <w:bCs/>
        <w:sz w:val="18"/>
        <w:szCs w:val="18"/>
      </w:rPr>
      <w:instrText xml:space="preserve">PAGE  </w:instrText>
    </w:r>
    <w:r w:rsidRPr="00644AEB">
      <w:rPr>
        <w:rFonts w:ascii="Arial" w:hAnsi="Arial" w:cs="Arial"/>
        <w:bCs/>
        <w:sz w:val="18"/>
        <w:szCs w:val="18"/>
      </w:rPr>
      <w:fldChar w:fldCharType="separate"/>
    </w:r>
    <w:r w:rsidR="0061676E">
      <w:rPr>
        <w:rFonts w:ascii="Arial" w:hAnsi="Arial" w:cs="Arial"/>
        <w:bCs/>
        <w:noProof/>
        <w:sz w:val="18"/>
        <w:szCs w:val="18"/>
      </w:rPr>
      <w:t>7</w:t>
    </w:r>
    <w:r w:rsidRPr="00644AEB">
      <w:rPr>
        <w:rFonts w:ascii="Arial" w:hAnsi="Arial" w:cs="Arial"/>
        <w:bCs/>
        <w:sz w:val="18"/>
        <w:szCs w:val="18"/>
      </w:rPr>
      <w:fldChar w:fldCharType="end"/>
    </w:r>
  </w:p>
  <w:p w14:paraId="17AD93B2" w14:textId="77777777" w:rsidR="009D7163" w:rsidRDefault="009D7163" w:rsidP="00980D6C">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C11FD" w14:textId="77777777" w:rsidR="00644AEB" w:rsidRDefault="00644A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5756D" w14:textId="77777777" w:rsidR="00F05AC8" w:rsidRDefault="00F05AC8" w:rsidP="00886238">
      <w:r>
        <w:separator/>
      </w:r>
    </w:p>
  </w:footnote>
  <w:footnote w:type="continuationSeparator" w:id="0">
    <w:p w14:paraId="1432FFB5" w14:textId="77777777" w:rsidR="00F05AC8" w:rsidRDefault="00F05AC8" w:rsidP="00886238">
      <w:r>
        <w:continuationSeparator/>
      </w:r>
    </w:p>
  </w:footnote>
  <w:footnote w:id="1">
    <w:p w14:paraId="55028D5A" w14:textId="77777777" w:rsidR="009D7163" w:rsidRPr="00C31622" w:rsidRDefault="009D7163" w:rsidP="003506D8">
      <w:pPr>
        <w:pStyle w:val="Textonotapie"/>
        <w:jc w:val="both"/>
        <w:rPr>
          <w:rFonts w:ascii="Arial Narrow" w:hAnsi="Arial Narrow"/>
        </w:rPr>
      </w:pPr>
      <w:r w:rsidRPr="00C31622">
        <w:rPr>
          <w:rStyle w:val="Refdenotaalpie"/>
          <w:rFonts w:ascii="Arial Narrow" w:hAnsi="Arial Narrow"/>
          <w:color w:val="595959" w:themeColor="text1" w:themeTint="A6"/>
        </w:rPr>
        <w:footnoteRef/>
      </w:r>
      <w:r w:rsidRPr="00C31622">
        <w:rPr>
          <w:rFonts w:ascii="Arial Narrow" w:hAnsi="Arial Narrow"/>
          <w:color w:val="595959" w:themeColor="text1" w:themeTint="A6"/>
        </w:rPr>
        <w:t xml:space="preserve"> Tribunal Superior de Pereira, Sala de Decisión Laboral No. 3,</w:t>
      </w:r>
      <w:r>
        <w:rPr>
          <w:rFonts w:ascii="Arial Narrow" w:hAnsi="Arial Narrow"/>
          <w:color w:val="595959" w:themeColor="text1" w:themeTint="A6"/>
        </w:rPr>
        <w:t xml:space="preserve"> en proceso con radicación nº </w:t>
      </w:r>
      <w:r w:rsidRPr="00C31622">
        <w:rPr>
          <w:rFonts w:ascii="Arial Narrow" w:hAnsi="Arial Narrow"/>
          <w:color w:val="595959" w:themeColor="text1" w:themeTint="A6"/>
        </w:rPr>
        <w:t>66001-31-05-002-2010-01247-01</w:t>
      </w:r>
      <w:r>
        <w:rPr>
          <w:rFonts w:ascii="Arial Narrow" w:hAnsi="Arial Narrow"/>
          <w:color w:val="595959" w:themeColor="text1" w:themeTint="A6"/>
        </w:rPr>
        <w:t xml:space="preserve">, reiterada por la Sala Decisión Laboral No. 1, en proceso con radicación nº </w:t>
      </w:r>
      <w:r w:rsidRPr="00C31622">
        <w:rPr>
          <w:rFonts w:ascii="Arial Narrow" w:hAnsi="Arial Narrow"/>
          <w:color w:val="595959" w:themeColor="text1" w:themeTint="A6"/>
        </w:rPr>
        <w:t>66001-31-05-003-2012-00218-01</w:t>
      </w:r>
      <w:r>
        <w:rPr>
          <w:rFonts w:ascii="Arial Narrow" w:hAnsi="Arial Narrow"/>
          <w:color w:val="595959" w:themeColor="text1" w:themeTint="A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99B46" w14:textId="77777777" w:rsidR="00644AEB" w:rsidRDefault="00644AE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AF7BA" w14:textId="00A1E486" w:rsidR="009D7163" w:rsidRPr="00644AEB" w:rsidRDefault="009D7163" w:rsidP="00980D6C">
    <w:pPr>
      <w:jc w:val="both"/>
      <w:rPr>
        <w:rFonts w:ascii="Arial" w:hAnsi="Arial" w:cs="Arial"/>
        <w:bCs/>
        <w:sz w:val="18"/>
        <w:szCs w:val="18"/>
      </w:rPr>
    </w:pPr>
    <w:r w:rsidRPr="00644AEB">
      <w:rPr>
        <w:rFonts w:ascii="Arial" w:hAnsi="Arial" w:cs="Arial"/>
        <w:bCs/>
        <w:sz w:val="18"/>
        <w:szCs w:val="18"/>
      </w:rPr>
      <w:t>Radicación No: 66001-31-05-002-2007-00939-02</w:t>
    </w:r>
  </w:p>
  <w:p w14:paraId="3B7B4B86" w14:textId="176AFDA4" w:rsidR="009D7163" w:rsidRPr="00644AEB" w:rsidRDefault="009D7163" w:rsidP="00644AEB">
    <w:pPr>
      <w:jc w:val="both"/>
      <w:rPr>
        <w:rFonts w:ascii="Arial" w:hAnsi="Arial" w:cs="Arial"/>
        <w:bCs/>
        <w:sz w:val="18"/>
        <w:szCs w:val="18"/>
      </w:rPr>
    </w:pPr>
    <w:r w:rsidRPr="00644AEB">
      <w:rPr>
        <w:rFonts w:ascii="Arial" w:hAnsi="Arial" w:cs="Arial"/>
        <w:bCs/>
        <w:sz w:val="18"/>
        <w:szCs w:val="18"/>
      </w:rPr>
      <w:t xml:space="preserve">Georgina Laverde Pérez vs. Colpensiones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058BC" w14:textId="77777777" w:rsidR="00644AEB" w:rsidRDefault="00644A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4F86"/>
    <w:multiLevelType w:val="hybridMultilevel"/>
    <w:tmpl w:val="69BE33D6"/>
    <w:lvl w:ilvl="0" w:tplc="FB0C9718">
      <w:start w:val="1"/>
      <w:numFmt w:val="upperRoman"/>
      <w:lvlText w:val="%1."/>
      <w:lvlJc w:val="left"/>
      <w:pPr>
        <w:ind w:left="1620" w:hanging="720"/>
      </w:pPr>
      <w:rPr>
        <w:rFonts w:hint="default"/>
        <w:b/>
        <w:bCs w:val="0"/>
        <w:i w:val="0"/>
        <w:iCs/>
        <w:u w:val="none"/>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6876D4A"/>
    <w:multiLevelType w:val="multilevel"/>
    <w:tmpl w:val="23CA61DE"/>
    <w:lvl w:ilvl="0">
      <w:start w:val="1"/>
      <w:numFmt w:val="decimal"/>
      <w:lvlText w:val="%1."/>
      <w:lvlJc w:val="left"/>
      <w:pPr>
        <w:ind w:left="440" w:hanging="440"/>
      </w:pPr>
      <w:rPr>
        <w:rFonts w:hint="default"/>
      </w:rPr>
    </w:lvl>
    <w:lvl w:ilvl="1">
      <w:start w:val="1"/>
      <w:numFmt w:val="decimal"/>
      <w:lvlText w:val="%1.%2."/>
      <w:lvlJc w:val="left"/>
      <w:pPr>
        <w:ind w:left="1428" w:hanging="72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242F5174"/>
    <w:multiLevelType w:val="hybridMultilevel"/>
    <w:tmpl w:val="7106797E"/>
    <w:lvl w:ilvl="0" w:tplc="6F628D50">
      <w:start w:val="1"/>
      <w:numFmt w:val="decimal"/>
      <w:lvlText w:val="%1."/>
      <w:lvlJc w:val="left"/>
      <w:pPr>
        <w:ind w:left="1069" w:hanging="360"/>
      </w:pPr>
      <w:rPr>
        <w:rFonts w:hint="default"/>
        <w:b/>
        <w:bCs/>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3">
    <w:nsid w:val="329B151F"/>
    <w:multiLevelType w:val="hybridMultilevel"/>
    <w:tmpl w:val="D41485D4"/>
    <w:lvl w:ilvl="0" w:tplc="5F4EA1A6">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38457545"/>
    <w:multiLevelType w:val="multilevel"/>
    <w:tmpl w:val="AF1A2998"/>
    <w:lvl w:ilvl="0">
      <w:start w:val="1"/>
      <w:numFmt w:val="decimal"/>
      <w:lvlText w:val="%1."/>
      <w:lvlJc w:val="left"/>
      <w:pPr>
        <w:ind w:left="440" w:hanging="440"/>
      </w:pPr>
      <w:rPr>
        <w:rFonts w:hint="default"/>
      </w:rPr>
    </w:lvl>
    <w:lvl w:ilvl="1">
      <w:start w:val="1"/>
      <w:numFmt w:val="decimal"/>
      <w:lvlText w:val="%1.%2."/>
      <w:lvlJc w:val="left"/>
      <w:pPr>
        <w:ind w:left="1428" w:hanging="72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67BD7F7E"/>
    <w:multiLevelType w:val="hybridMultilevel"/>
    <w:tmpl w:val="CE5063B6"/>
    <w:lvl w:ilvl="0" w:tplc="5D420706">
      <w:start w:val="1"/>
      <w:numFmt w:val="low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6">
    <w:nsid w:val="6AFF066A"/>
    <w:multiLevelType w:val="hybridMultilevel"/>
    <w:tmpl w:val="44E468B0"/>
    <w:lvl w:ilvl="0" w:tplc="C0F04C96">
      <w:start w:val="1"/>
      <w:numFmt w:val="decimal"/>
      <w:lvlText w:val="%1."/>
      <w:lvlJc w:val="left"/>
      <w:pPr>
        <w:ind w:left="2484" w:hanging="360"/>
      </w:pPr>
      <w:rPr>
        <w:rFonts w:ascii="Arial Narrow" w:hAnsi="Arial Narrow" w:hint="default"/>
        <w:b w:val="0"/>
        <w:bCs/>
        <w:i w:val="0"/>
        <w:sz w:val="28"/>
        <w:szCs w:val="28"/>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7">
    <w:nsid w:val="7CC55D74"/>
    <w:multiLevelType w:val="hybridMultilevel"/>
    <w:tmpl w:val="24AC3DBC"/>
    <w:lvl w:ilvl="0" w:tplc="CC84A000">
      <w:start w:val="1"/>
      <w:numFmt w:val="lowerRoman"/>
      <w:lvlText w:val="(%1)"/>
      <w:lvlJc w:val="left"/>
      <w:pPr>
        <w:ind w:left="720" w:hanging="720"/>
      </w:pPr>
      <w:rPr>
        <w:rFonts w:hint="default"/>
        <w:i w:val="0"/>
        <w:iCs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38"/>
    <w:rsid w:val="00001F07"/>
    <w:rsid w:val="000049AE"/>
    <w:rsid w:val="00015159"/>
    <w:rsid w:val="000226F1"/>
    <w:rsid w:val="000316AE"/>
    <w:rsid w:val="00031AD5"/>
    <w:rsid w:val="0003703E"/>
    <w:rsid w:val="000437A7"/>
    <w:rsid w:val="00045788"/>
    <w:rsid w:val="00055513"/>
    <w:rsid w:val="0006026C"/>
    <w:rsid w:val="00073C2E"/>
    <w:rsid w:val="000801D0"/>
    <w:rsid w:val="000A01CF"/>
    <w:rsid w:val="000A59BE"/>
    <w:rsid w:val="000A6070"/>
    <w:rsid w:val="000B3CEB"/>
    <w:rsid w:val="000C083D"/>
    <w:rsid w:val="000C45BC"/>
    <w:rsid w:val="000C70CF"/>
    <w:rsid w:val="000D27A2"/>
    <w:rsid w:val="000D55DF"/>
    <w:rsid w:val="000E11C6"/>
    <w:rsid w:val="000E26CB"/>
    <w:rsid w:val="000F6937"/>
    <w:rsid w:val="0010028A"/>
    <w:rsid w:val="00110277"/>
    <w:rsid w:val="00110BE0"/>
    <w:rsid w:val="00114F8E"/>
    <w:rsid w:val="00150150"/>
    <w:rsid w:val="00166BC7"/>
    <w:rsid w:val="0017179F"/>
    <w:rsid w:val="00175CD7"/>
    <w:rsid w:val="00186C56"/>
    <w:rsid w:val="001B7E07"/>
    <w:rsid w:val="001C4D61"/>
    <w:rsid w:val="001C50DD"/>
    <w:rsid w:val="001C6A6A"/>
    <w:rsid w:val="001C6B6B"/>
    <w:rsid w:val="001F4783"/>
    <w:rsid w:val="0021674F"/>
    <w:rsid w:val="0022681C"/>
    <w:rsid w:val="00227232"/>
    <w:rsid w:val="00231EE4"/>
    <w:rsid w:val="00240B28"/>
    <w:rsid w:val="00265406"/>
    <w:rsid w:val="002715A0"/>
    <w:rsid w:val="002A0661"/>
    <w:rsid w:val="002B3DEB"/>
    <w:rsid w:val="002D23E2"/>
    <w:rsid w:val="002F57E2"/>
    <w:rsid w:val="00303465"/>
    <w:rsid w:val="003073AA"/>
    <w:rsid w:val="00310F80"/>
    <w:rsid w:val="003161B3"/>
    <w:rsid w:val="00316316"/>
    <w:rsid w:val="003506D8"/>
    <w:rsid w:val="003508C6"/>
    <w:rsid w:val="00356F14"/>
    <w:rsid w:val="00360756"/>
    <w:rsid w:val="003623B4"/>
    <w:rsid w:val="00365DE0"/>
    <w:rsid w:val="00372E49"/>
    <w:rsid w:val="00373EF6"/>
    <w:rsid w:val="00375E1F"/>
    <w:rsid w:val="0038071A"/>
    <w:rsid w:val="00381341"/>
    <w:rsid w:val="00383740"/>
    <w:rsid w:val="00392C0E"/>
    <w:rsid w:val="003945C2"/>
    <w:rsid w:val="003C51E4"/>
    <w:rsid w:val="003D0DF1"/>
    <w:rsid w:val="003E1D68"/>
    <w:rsid w:val="003E3D80"/>
    <w:rsid w:val="0040073B"/>
    <w:rsid w:val="0040589A"/>
    <w:rsid w:val="004075C2"/>
    <w:rsid w:val="00415433"/>
    <w:rsid w:val="00430706"/>
    <w:rsid w:val="00440F65"/>
    <w:rsid w:val="00452C6D"/>
    <w:rsid w:val="00474C95"/>
    <w:rsid w:val="00477B6B"/>
    <w:rsid w:val="00496FDA"/>
    <w:rsid w:val="004A4338"/>
    <w:rsid w:val="004C3BA2"/>
    <w:rsid w:val="004D7B16"/>
    <w:rsid w:val="004F1D82"/>
    <w:rsid w:val="004F4F0E"/>
    <w:rsid w:val="004F5262"/>
    <w:rsid w:val="00507F04"/>
    <w:rsid w:val="00532F70"/>
    <w:rsid w:val="005452BC"/>
    <w:rsid w:val="00550BC4"/>
    <w:rsid w:val="00580698"/>
    <w:rsid w:val="005842B2"/>
    <w:rsid w:val="00585849"/>
    <w:rsid w:val="00592DFB"/>
    <w:rsid w:val="005B573F"/>
    <w:rsid w:val="005B7EBB"/>
    <w:rsid w:val="005C5D2B"/>
    <w:rsid w:val="005D3DB3"/>
    <w:rsid w:val="005E2DBA"/>
    <w:rsid w:val="005E7D54"/>
    <w:rsid w:val="005F302D"/>
    <w:rsid w:val="005F7BAC"/>
    <w:rsid w:val="0060735C"/>
    <w:rsid w:val="0060758B"/>
    <w:rsid w:val="006077BE"/>
    <w:rsid w:val="00610CB5"/>
    <w:rsid w:val="006125C3"/>
    <w:rsid w:val="006141B3"/>
    <w:rsid w:val="0061676E"/>
    <w:rsid w:val="00622C21"/>
    <w:rsid w:val="0063119A"/>
    <w:rsid w:val="006317D8"/>
    <w:rsid w:val="0063466A"/>
    <w:rsid w:val="00634F7B"/>
    <w:rsid w:val="00634F96"/>
    <w:rsid w:val="0064291E"/>
    <w:rsid w:val="00644AEB"/>
    <w:rsid w:val="00664177"/>
    <w:rsid w:val="006702BD"/>
    <w:rsid w:val="00695712"/>
    <w:rsid w:val="006A0580"/>
    <w:rsid w:val="006B0F37"/>
    <w:rsid w:val="006B0FB3"/>
    <w:rsid w:val="006D0E0D"/>
    <w:rsid w:val="006D25CA"/>
    <w:rsid w:val="006E36A4"/>
    <w:rsid w:val="006E694D"/>
    <w:rsid w:val="006E7AEA"/>
    <w:rsid w:val="00700CEC"/>
    <w:rsid w:val="00706955"/>
    <w:rsid w:val="00742540"/>
    <w:rsid w:val="0078041E"/>
    <w:rsid w:val="0079729F"/>
    <w:rsid w:val="0079792A"/>
    <w:rsid w:val="007B3D5B"/>
    <w:rsid w:val="007B635E"/>
    <w:rsid w:val="007E696A"/>
    <w:rsid w:val="008061C0"/>
    <w:rsid w:val="00820A08"/>
    <w:rsid w:val="008217E0"/>
    <w:rsid w:val="00833B84"/>
    <w:rsid w:val="008472A2"/>
    <w:rsid w:val="00852A66"/>
    <w:rsid w:val="00860DE3"/>
    <w:rsid w:val="008612AC"/>
    <w:rsid w:val="00874E1E"/>
    <w:rsid w:val="00886238"/>
    <w:rsid w:val="008A2E5A"/>
    <w:rsid w:val="008B3C4A"/>
    <w:rsid w:val="008C0175"/>
    <w:rsid w:val="008D7150"/>
    <w:rsid w:val="008F081F"/>
    <w:rsid w:val="008F108F"/>
    <w:rsid w:val="008F333F"/>
    <w:rsid w:val="008F3672"/>
    <w:rsid w:val="008F410E"/>
    <w:rsid w:val="008F4FD7"/>
    <w:rsid w:val="00917FF3"/>
    <w:rsid w:val="009436F5"/>
    <w:rsid w:val="00946CCF"/>
    <w:rsid w:val="0094703F"/>
    <w:rsid w:val="0095410E"/>
    <w:rsid w:val="009648A4"/>
    <w:rsid w:val="0097077F"/>
    <w:rsid w:val="00980D6C"/>
    <w:rsid w:val="009D4DD7"/>
    <w:rsid w:val="009D7163"/>
    <w:rsid w:val="009F11D6"/>
    <w:rsid w:val="009F7E5A"/>
    <w:rsid w:val="00A02821"/>
    <w:rsid w:val="00A0632B"/>
    <w:rsid w:val="00A23E6A"/>
    <w:rsid w:val="00A25497"/>
    <w:rsid w:val="00A26131"/>
    <w:rsid w:val="00A44E4C"/>
    <w:rsid w:val="00A61601"/>
    <w:rsid w:val="00A65380"/>
    <w:rsid w:val="00A675BB"/>
    <w:rsid w:val="00A72DE0"/>
    <w:rsid w:val="00A8521E"/>
    <w:rsid w:val="00AA2CD4"/>
    <w:rsid w:val="00AC506F"/>
    <w:rsid w:val="00AD0555"/>
    <w:rsid w:val="00AD49DD"/>
    <w:rsid w:val="00AD7F6B"/>
    <w:rsid w:val="00AE5587"/>
    <w:rsid w:val="00AF0EE8"/>
    <w:rsid w:val="00AF3BDD"/>
    <w:rsid w:val="00B0228B"/>
    <w:rsid w:val="00B04219"/>
    <w:rsid w:val="00B37C37"/>
    <w:rsid w:val="00B42E66"/>
    <w:rsid w:val="00B45BFC"/>
    <w:rsid w:val="00B6092D"/>
    <w:rsid w:val="00B65B92"/>
    <w:rsid w:val="00B7748E"/>
    <w:rsid w:val="00B8629D"/>
    <w:rsid w:val="00B929FC"/>
    <w:rsid w:val="00B95EB0"/>
    <w:rsid w:val="00BC7437"/>
    <w:rsid w:val="00BD0902"/>
    <w:rsid w:val="00BD2C01"/>
    <w:rsid w:val="00BD4A93"/>
    <w:rsid w:val="00BE136D"/>
    <w:rsid w:val="00BE7485"/>
    <w:rsid w:val="00C038F2"/>
    <w:rsid w:val="00C26963"/>
    <w:rsid w:val="00C31622"/>
    <w:rsid w:val="00C3729E"/>
    <w:rsid w:val="00C56267"/>
    <w:rsid w:val="00C6280C"/>
    <w:rsid w:val="00C64778"/>
    <w:rsid w:val="00C71BCD"/>
    <w:rsid w:val="00C77EC4"/>
    <w:rsid w:val="00C83CC3"/>
    <w:rsid w:val="00C877F0"/>
    <w:rsid w:val="00C903D8"/>
    <w:rsid w:val="00C94B62"/>
    <w:rsid w:val="00CA2D39"/>
    <w:rsid w:val="00CA64F0"/>
    <w:rsid w:val="00CB05EB"/>
    <w:rsid w:val="00CC0E6E"/>
    <w:rsid w:val="00CC2E10"/>
    <w:rsid w:val="00CD725A"/>
    <w:rsid w:val="00CF63D6"/>
    <w:rsid w:val="00D022C1"/>
    <w:rsid w:val="00D17379"/>
    <w:rsid w:val="00D17477"/>
    <w:rsid w:val="00D17965"/>
    <w:rsid w:val="00D27D09"/>
    <w:rsid w:val="00D32037"/>
    <w:rsid w:val="00D554E1"/>
    <w:rsid w:val="00D55B26"/>
    <w:rsid w:val="00D60043"/>
    <w:rsid w:val="00D635D4"/>
    <w:rsid w:val="00D82549"/>
    <w:rsid w:val="00D9039F"/>
    <w:rsid w:val="00D93F31"/>
    <w:rsid w:val="00DA1B7F"/>
    <w:rsid w:val="00DB0B1A"/>
    <w:rsid w:val="00DB1BF0"/>
    <w:rsid w:val="00DB7706"/>
    <w:rsid w:val="00DC15B9"/>
    <w:rsid w:val="00DC48F2"/>
    <w:rsid w:val="00DC7610"/>
    <w:rsid w:val="00DD4F29"/>
    <w:rsid w:val="00DE1856"/>
    <w:rsid w:val="00E019AC"/>
    <w:rsid w:val="00E03D0D"/>
    <w:rsid w:val="00E20F38"/>
    <w:rsid w:val="00E2701E"/>
    <w:rsid w:val="00E36B80"/>
    <w:rsid w:val="00E43DC1"/>
    <w:rsid w:val="00E51DDD"/>
    <w:rsid w:val="00E61D7C"/>
    <w:rsid w:val="00E655A6"/>
    <w:rsid w:val="00E71B27"/>
    <w:rsid w:val="00E83165"/>
    <w:rsid w:val="00EC6511"/>
    <w:rsid w:val="00ED3446"/>
    <w:rsid w:val="00ED5C14"/>
    <w:rsid w:val="00EE307F"/>
    <w:rsid w:val="00EF50CC"/>
    <w:rsid w:val="00F01FA6"/>
    <w:rsid w:val="00F05AC8"/>
    <w:rsid w:val="00F17716"/>
    <w:rsid w:val="00F408CA"/>
    <w:rsid w:val="00F51F5B"/>
    <w:rsid w:val="00F53862"/>
    <w:rsid w:val="00F63D83"/>
    <w:rsid w:val="00F72773"/>
    <w:rsid w:val="00F77FCF"/>
    <w:rsid w:val="00F82486"/>
    <w:rsid w:val="00FA454E"/>
    <w:rsid w:val="00FA68A0"/>
    <w:rsid w:val="00FB32A6"/>
    <w:rsid w:val="00FC3583"/>
    <w:rsid w:val="00FE5689"/>
    <w:rsid w:val="00FE6FFB"/>
    <w:rsid w:val="00FE7F45"/>
    <w:rsid w:val="00FF6494"/>
    <w:rsid w:val="01E93A8F"/>
    <w:rsid w:val="02BE1330"/>
    <w:rsid w:val="03AE12F7"/>
    <w:rsid w:val="04DB6D83"/>
    <w:rsid w:val="07BDC276"/>
    <w:rsid w:val="07F7AF8D"/>
    <w:rsid w:val="083AAA0F"/>
    <w:rsid w:val="09BD6124"/>
    <w:rsid w:val="0FF003E4"/>
    <w:rsid w:val="16E1B098"/>
    <w:rsid w:val="17109B7D"/>
    <w:rsid w:val="1CBACFB2"/>
    <w:rsid w:val="1E9F2BFA"/>
    <w:rsid w:val="2180DDC8"/>
    <w:rsid w:val="24921F45"/>
    <w:rsid w:val="2674E363"/>
    <w:rsid w:val="2C5E6AE8"/>
    <w:rsid w:val="30817A99"/>
    <w:rsid w:val="322B9467"/>
    <w:rsid w:val="358DFDE1"/>
    <w:rsid w:val="454EAE09"/>
    <w:rsid w:val="45F6A77C"/>
    <w:rsid w:val="481AB34C"/>
    <w:rsid w:val="4A03D857"/>
    <w:rsid w:val="555DFD13"/>
    <w:rsid w:val="573107C9"/>
    <w:rsid w:val="58F9EA72"/>
    <w:rsid w:val="5E1ADEB1"/>
    <w:rsid w:val="5EB7BE1A"/>
    <w:rsid w:val="6A69E7DE"/>
    <w:rsid w:val="6CAFB9F5"/>
    <w:rsid w:val="6F363D3D"/>
    <w:rsid w:val="75F8CE3B"/>
    <w:rsid w:val="768A73C6"/>
    <w:rsid w:val="7E5422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23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DC48F2"/>
    <w:pPr>
      <w:keepNext/>
      <w:keepLines/>
      <w:spacing w:before="24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86238"/>
    <w:pPr>
      <w:tabs>
        <w:tab w:val="center" w:pos="4252"/>
        <w:tab w:val="right" w:pos="8504"/>
      </w:tabs>
    </w:pPr>
  </w:style>
  <w:style w:type="character" w:customStyle="1" w:styleId="EncabezadoCar">
    <w:name w:val="Encabezado Car"/>
    <w:basedOn w:val="Fuentedeprrafopredeter"/>
    <w:link w:val="Encabezado"/>
    <w:rsid w:val="00886238"/>
    <w:rPr>
      <w:rFonts w:ascii="Times New Roman" w:eastAsia="Times New Roman" w:hAnsi="Times New Roman" w:cs="Times New Roman"/>
      <w:sz w:val="24"/>
      <w:szCs w:val="24"/>
      <w:lang w:eastAsia="es-ES"/>
    </w:rPr>
  </w:style>
  <w:style w:type="paragraph" w:styleId="Piedepgina">
    <w:name w:val="footer"/>
    <w:basedOn w:val="Normal"/>
    <w:link w:val="PiedepginaCar"/>
    <w:rsid w:val="00886238"/>
    <w:pPr>
      <w:tabs>
        <w:tab w:val="center" w:pos="4252"/>
        <w:tab w:val="right" w:pos="8504"/>
      </w:tabs>
    </w:pPr>
  </w:style>
  <w:style w:type="character" w:customStyle="1" w:styleId="PiedepginaCar">
    <w:name w:val="Pie de página Car"/>
    <w:basedOn w:val="Fuentedeprrafopredeter"/>
    <w:link w:val="Piedepgina"/>
    <w:rsid w:val="00886238"/>
    <w:rPr>
      <w:rFonts w:ascii="Times New Roman" w:eastAsia="Times New Roman" w:hAnsi="Times New Roman" w:cs="Times New Roman"/>
      <w:sz w:val="24"/>
      <w:szCs w:val="24"/>
      <w:lang w:eastAsia="es-ES"/>
    </w:rPr>
  </w:style>
  <w:style w:type="character" w:styleId="Nmerodepgina">
    <w:name w:val="page number"/>
    <w:basedOn w:val="Fuentedeprrafopredeter"/>
    <w:rsid w:val="00886238"/>
  </w:style>
  <w:style w:type="paragraph" w:customStyle="1" w:styleId="Prrafodelista1">
    <w:name w:val="Párrafo de lista1"/>
    <w:basedOn w:val="Normal"/>
    <w:rsid w:val="0088623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886238"/>
    <w:pPr>
      <w:ind w:left="708"/>
    </w:pPr>
  </w:style>
  <w:style w:type="paragraph" w:styleId="Sinespaciado">
    <w:name w:val="No Spacing"/>
    <w:link w:val="SinespaciadoCar"/>
    <w:uiPriority w:val="1"/>
    <w:qFormat/>
    <w:rsid w:val="00886238"/>
    <w:pPr>
      <w:spacing w:after="0" w:line="240" w:lineRule="auto"/>
    </w:pPr>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742540"/>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742540"/>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unhideWhenUsed/>
    <w:rsid w:val="00A8521E"/>
    <w:pPr>
      <w:spacing w:after="120"/>
    </w:pPr>
    <w:rPr>
      <w:lang w:val="es-CO"/>
    </w:rPr>
  </w:style>
  <w:style w:type="character" w:customStyle="1" w:styleId="TextoindependienteCar">
    <w:name w:val="Texto independiente Car"/>
    <w:basedOn w:val="Fuentedeprrafopredeter"/>
    <w:link w:val="Textoindependiente"/>
    <w:uiPriority w:val="99"/>
    <w:rsid w:val="00A8521E"/>
    <w:rPr>
      <w:rFonts w:ascii="Times New Roman" w:eastAsia="Times New Roman" w:hAnsi="Times New Roman" w:cs="Times New Roman"/>
      <w:sz w:val="24"/>
      <w:szCs w:val="24"/>
      <w:lang w:val="es-CO" w:eastAsia="es-ES"/>
    </w:rPr>
  </w:style>
  <w:style w:type="paragraph" w:styleId="NormalWeb">
    <w:name w:val="Normal (Web)"/>
    <w:basedOn w:val="Normal"/>
    <w:uiPriority w:val="99"/>
    <w:semiHidden/>
    <w:unhideWhenUsed/>
    <w:rsid w:val="00B37C37"/>
    <w:pPr>
      <w:spacing w:before="100" w:beforeAutospacing="1" w:after="100" w:afterAutospacing="1"/>
    </w:pPr>
  </w:style>
  <w:style w:type="character" w:styleId="Textoennegrita">
    <w:name w:val="Strong"/>
    <w:basedOn w:val="Fuentedeprrafopredeter"/>
    <w:uiPriority w:val="22"/>
    <w:qFormat/>
    <w:rsid w:val="00B37C37"/>
    <w:rPr>
      <w:b/>
      <w:bCs/>
    </w:rPr>
  </w:style>
  <w:style w:type="character" w:customStyle="1" w:styleId="Ttulo1Car">
    <w:name w:val="Título 1 Car"/>
    <w:basedOn w:val="Fuentedeprrafopredeter"/>
    <w:link w:val="Ttulo1"/>
    <w:uiPriority w:val="9"/>
    <w:rsid w:val="00DC48F2"/>
    <w:rPr>
      <w:rFonts w:asciiTheme="majorHAnsi" w:eastAsiaTheme="majorEastAsia" w:hAnsiTheme="majorHAnsi" w:cstheme="majorBidi"/>
      <w:color w:val="2E74B5" w:themeColor="accent1" w:themeShade="BF"/>
      <w:sz w:val="32"/>
      <w:szCs w:val="32"/>
      <w:lang w:val="es-ES_tradnl" w:eastAsia="es-ES"/>
    </w:rPr>
  </w:style>
  <w:style w:type="paragraph" w:styleId="Ttulo">
    <w:name w:val="Title"/>
    <w:basedOn w:val="Normal"/>
    <w:link w:val="TtuloCar"/>
    <w:uiPriority w:val="99"/>
    <w:qFormat/>
    <w:rsid w:val="00DC48F2"/>
    <w:pPr>
      <w:spacing w:line="360" w:lineRule="auto"/>
      <w:jc w:val="center"/>
    </w:pPr>
    <w:rPr>
      <w:rFonts w:ascii="Arial Narrow" w:hAnsi="Arial Narrow" w:cs="Arial"/>
      <w:b/>
    </w:rPr>
  </w:style>
  <w:style w:type="character" w:customStyle="1" w:styleId="TtuloCar">
    <w:name w:val="Título Car"/>
    <w:basedOn w:val="Fuentedeprrafopredeter"/>
    <w:link w:val="Ttulo"/>
    <w:uiPriority w:val="99"/>
    <w:rsid w:val="00DC48F2"/>
    <w:rPr>
      <w:rFonts w:ascii="Arial Narrow" w:eastAsia="Times New Roman" w:hAnsi="Arial Narrow" w:cs="Arial"/>
      <w:b/>
      <w:sz w:val="24"/>
      <w:szCs w:val="24"/>
      <w:lang w:eastAsia="es-ES"/>
    </w:rPr>
  </w:style>
  <w:style w:type="table" w:styleId="Tablaconcuadrcula">
    <w:name w:val="Table Grid"/>
    <w:basedOn w:val="Tablanormal"/>
    <w:uiPriority w:val="39"/>
    <w:rsid w:val="00DC4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DC48F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161B3"/>
    <w:rPr>
      <w:sz w:val="18"/>
      <w:szCs w:val="18"/>
    </w:rPr>
  </w:style>
  <w:style w:type="character" w:customStyle="1" w:styleId="TextodegloboCar">
    <w:name w:val="Texto de globo Car"/>
    <w:basedOn w:val="Fuentedeprrafopredeter"/>
    <w:link w:val="Textodeglobo"/>
    <w:uiPriority w:val="99"/>
    <w:semiHidden/>
    <w:rsid w:val="003161B3"/>
    <w:rPr>
      <w:rFonts w:ascii="Times New Roman" w:eastAsia="Times New Roman" w:hAnsi="Times New Roman" w:cs="Times New Roman"/>
      <w:sz w:val="18"/>
      <w:szCs w:val="18"/>
      <w:lang w:eastAsia="es-ES"/>
    </w:rPr>
  </w:style>
  <w:style w:type="paragraph" w:styleId="Textonotapie">
    <w:name w:val="footnote text"/>
    <w:basedOn w:val="Normal"/>
    <w:link w:val="TextonotapieCar"/>
    <w:uiPriority w:val="99"/>
    <w:semiHidden/>
    <w:unhideWhenUsed/>
    <w:rsid w:val="00C31622"/>
    <w:rPr>
      <w:sz w:val="20"/>
      <w:szCs w:val="20"/>
    </w:rPr>
  </w:style>
  <w:style w:type="character" w:customStyle="1" w:styleId="TextonotapieCar">
    <w:name w:val="Texto nota pie Car"/>
    <w:basedOn w:val="Fuentedeprrafopredeter"/>
    <w:link w:val="Textonotapie"/>
    <w:uiPriority w:val="99"/>
    <w:semiHidden/>
    <w:rsid w:val="00C3162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C31622"/>
    <w:rPr>
      <w:vertAlign w:val="superscript"/>
    </w:rPr>
  </w:style>
  <w:style w:type="character" w:styleId="Refdecomentario">
    <w:name w:val="annotation reference"/>
    <w:basedOn w:val="Fuentedeprrafopredeter"/>
    <w:uiPriority w:val="99"/>
    <w:semiHidden/>
    <w:unhideWhenUsed/>
    <w:rsid w:val="006702BD"/>
    <w:rPr>
      <w:sz w:val="16"/>
      <w:szCs w:val="16"/>
    </w:rPr>
  </w:style>
  <w:style w:type="paragraph" w:styleId="Textocomentario">
    <w:name w:val="annotation text"/>
    <w:basedOn w:val="Normal"/>
    <w:link w:val="TextocomentarioCar"/>
    <w:uiPriority w:val="99"/>
    <w:semiHidden/>
    <w:unhideWhenUsed/>
    <w:rsid w:val="006702BD"/>
    <w:rPr>
      <w:sz w:val="20"/>
      <w:szCs w:val="20"/>
    </w:rPr>
  </w:style>
  <w:style w:type="character" w:customStyle="1" w:styleId="TextocomentarioCar">
    <w:name w:val="Texto comentario Car"/>
    <w:basedOn w:val="Fuentedeprrafopredeter"/>
    <w:link w:val="Textocomentario"/>
    <w:uiPriority w:val="99"/>
    <w:semiHidden/>
    <w:rsid w:val="006702B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702BD"/>
    <w:rPr>
      <w:b/>
      <w:bCs/>
    </w:rPr>
  </w:style>
  <w:style w:type="character" w:customStyle="1" w:styleId="AsuntodelcomentarioCar">
    <w:name w:val="Asunto del comentario Car"/>
    <w:basedOn w:val="TextocomentarioCar"/>
    <w:link w:val="Asuntodelcomentario"/>
    <w:uiPriority w:val="99"/>
    <w:semiHidden/>
    <w:rsid w:val="006702BD"/>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23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DC48F2"/>
    <w:pPr>
      <w:keepNext/>
      <w:keepLines/>
      <w:spacing w:before="24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86238"/>
    <w:pPr>
      <w:tabs>
        <w:tab w:val="center" w:pos="4252"/>
        <w:tab w:val="right" w:pos="8504"/>
      </w:tabs>
    </w:pPr>
  </w:style>
  <w:style w:type="character" w:customStyle="1" w:styleId="EncabezadoCar">
    <w:name w:val="Encabezado Car"/>
    <w:basedOn w:val="Fuentedeprrafopredeter"/>
    <w:link w:val="Encabezado"/>
    <w:rsid w:val="00886238"/>
    <w:rPr>
      <w:rFonts w:ascii="Times New Roman" w:eastAsia="Times New Roman" w:hAnsi="Times New Roman" w:cs="Times New Roman"/>
      <w:sz w:val="24"/>
      <w:szCs w:val="24"/>
      <w:lang w:eastAsia="es-ES"/>
    </w:rPr>
  </w:style>
  <w:style w:type="paragraph" w:styleId="Piedepgina">
    <w:name w:val="footer"/>
    <w:basedOn w:val="Normal"/>
    <w:link w:val="PiedepginaCar"/>
    <w:rsid w:val="00886238"/>
    <w:pPr>
      <w:tabs>
        <w:tab w:val="center" w:pos="4252"/>
        <w:tab w:val="right" w:pos="8504"/>
      </w:tabs>
    </w:pPr>
  </w:style>
  <w:style w:type="character" w:customStyle="1" w:styleId="PiedepginaCar">
    <w:name w:val="Pie de página Car"/>
    <w:basedOn w:val="Fuentedeprrafopredeter"/>
    <w:link w:val="Piedepgina"/>
    <w:rsid w:val="00886238"/>
    <w:rPr>
      <w:rFonts w:ascii="Times New Roman" w:eastAsia="Times New Roman" w:hAnsi="Times New Roman" w:cs="Times New Roman"/>
      <w:sz w:val="24"/>
      <w:szCs w:val="24"/>
      <w:lang w:eastAsia="es-ES"/>
    </w:rPr>
  </w:style>
  <w:style w:type="character" w:styleId="Nmerodepgina">
    <w:name w:val="page number"/>
    <w:basedOn w:val="Fuentedeprrafopredeter"/>
    <w:rsid w:val="00886238"/>
  </w:style>
  <w:style w:type="paragraph" w:customStyle="1" w:styleId="Prrafodelista1">
    <w:name w:val="Párrafo de lista1"/>
    <w:basedOn w:val="Normal"/>
    <w:rsid w:val="0088623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886238"/>
    <w:pPr>
      <w:ind w:left="708"/>
    </w:pPr>
  </w:style>
  <w:style w:type="paragraph" w:styleId="Sinespaciado">
    <w:name w:val="No Spacing"/>
    <w:link w:val="SinespaciadoCar"/>
    <w:uiPriority w:val="1"/>
    <w:qFormat/>
    <w:rsid w:val="00886238"/>
    <w:pPr>
      <w:spacing w:after="0" w:line="240" w:lineRule="auto"/>
    </w:pPr>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742540"/>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742540"/>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unhideWhenUsed/>
    <w:rsid w:val="00A8521E"/>
    <w:pPr>
      <w:spacing w:after="120"/>
    </w:pPr>
    <w:rPr>
      <w:lang w:val="es-CO"/>
    </w:rPr>
  </w:style>
  <w:style w:type="character" w:customStyle="1" w:styleId="TextoindependienteCar">
    <w:name w:val="Texto independiente Car"/>
    <w:basedOn w:val="Fuentedeprrafopredeter"/>
    <w:link w:val="Textoindependiente"/>
    <w:uiPriority w:val="99"/>
    <w:rsid w:val="00A8521E"/>
    <w:rPr>
      <w:rFonts w:ascii="Times New Roman" w:eastAsia="Times New Roman" w:hAnsi="Times New Roman" w:cs="Times New Roman"/>
      <w:sz w:val="24"/>
      <w:szCs w:val="24"/>
      <w:lang w:val="es-CO" w:eastAsia="es-ES"/>
    </w:rPr>
  </w:style>
  <w:style w:type="paragraph" w:styleId="NormalWeb">
    <w:name w:val="Normal (Web)"/>
    <w:basedOn w:val="Normal"/>
    <w:uiPriority w:val="99"/>
    <w:semiHidden/>
    <w:unhideWhenUsed/>
    <w:rsid w:val="00B37C37"/>
    <w:pPr>
      <w:spacing w:before="100" w:beforeAutospacing="1" w:after="100" w:afterAutospacing="1"/>
    </w:pPr>
  </w:style>
  <w:style w:type="character" w:styleId="Textoennegrita">
    <w:name w:val="Strong"/>
    <w:basedOn w:val="Fuentedeprrafopredeter"/>
    <w:uiPriority w:val="22"/>
    <w:qFormat/>
    <w:rsid w:val="00B37C37"/>
    <w:rPr>
      <w:b/>
      <w:bCs/>
    </w:rPr>
  </w:style>
  <w:style w:type="character" w:customStyle="1" w:styleId="Ttulo1Car">
    <w:name w:val="Título 1 Car"/>
    <w:basedOn w:val="Fuentedeprrafopredeter"/>
    <w:link w:val="Ttulo1"/>
    <w:uiPriority w:val="9"/>
    <w:rsid w:val="00DC48F2"/>
    <w:rPr>
      <w:rFonts w:asciiTheme="majorHAnsi" w:eastAsiaTheme="majorEastAsia" w:hAnsiTheme="majorHAnsi" w:cstheme="majorBidi"/>
      <w:color w:val="2E74B5" w:themeColor="accent1" w:themeShade="BF"/>
      <w:sz w:val="32"/>
      <w:szCs w:val="32"/>
      <w:lang w:val="es-ES_tradnl" w:eastAsia="es-ES"/>
    </w:rPr>
  </w:style>
  <w:style w:type="paragraph" w:styleId="Ttulo">
    <w:name w:val="Title"/>
    <w:basedOn w:val="Normal"/>
    <w:link w:val="TtuloCar"/>
    <w:uiPriority w:val="99"/>
    <w:qFormat/>
    <w:rsid w:val="00DC48F2"/>
    <w:pPr>
      <w:spacing w:line="360" w:lineRule="auto"/>
      <w:jc w:val="center"/>
    </w:pPr>
    <w:rPr>
      <w:rFonts w:ascii="Arial Narrow" w:hAnsi="Arial Narrow" w:cs="Arial"/>
      <w:b/>
    </w:rPr>
  </w:style>
  <w:style w:type="character" w:customStyle="1" w:styleId="TtuloCar">
    <w:name w:val="Título Car"/>
    <w:basedOn w:val="Fuentedeprrafopredeter"/>
    <w:link w:val="Ttulo"/>
    <w:uiPriority w:val="99"/>
    <w:rsid w:val="00DC48F2"/>
    <w:rPr>
      <w:rFonts w:ascii="Arial Narrow" w:eastAsia="Times New Roman" w:hAnsi="Arial Narrow" w:cs="Arial"/>
      <w:b/>
      <w:sz w:val="24"/>
      <w:szCs w:val="24"/>
      <w:lang w:eastAsia="es-ES"/>
    </w:rPr>
  </w:style>
  <w:style w:type="table" w:styleId="Tablaconcuadrcula">
    <w:name w:val="Table Grid"/>
    <w:basedOn w:val="Tablanormal"/>
    <w:uiPriority w:val="39"/>
    <w:rsid w:val="00DC4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DC48F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161B3"/>
    <w:rPr>
      <w:sz w:val="18"/>
      <w:szCs w:val="18"/>
    </w:rPr>
  </w:style>
  <w:style w:type="character" w:customStyle="1" w:styleId="TextodegloboCar">
    <w:name w:val="Texto de globo Car"/>
    <w:basedOn w:val="Fuentedeprrafopredeter"/>
    <w:link w:val="Textodeglobo"/>
    <w:uiPriority w:val="99"/>
    <w:semiHidden/>
    <w:rsid w:val="003161B3"/>
    <w:rPr>
      <w:rFonts w:ascii="Times New Roman" w:eastAsia="Times New Roman" w:hAnsi="Times New Roman" w:cs="Times New Roman"/>
      <w:sz w:val="18"/>
      <w:szCs w:val="18"/>
      <w:lang w:eastAsia="es-ES"/>
    </w:rPr>
  </w:style>
  <w:style w:type="paragraph" w:styleId="Textonotapie">
    <w:name w:val="footnote text"/>
    <w:basedOn w:val="Normal"/>
    <w:link w:val="TextonotapieCar"/>
    <w:uiPriority w:val="99"/>
    <w:semiHidden/>
    <w:unhideWhenUsed/>
    <w:rsid w:val="00C31622"/>
    <w:rPr>
      <w:sz w:val="20"/>
      <w:szCs w:val="20"/>
    </w:rPr>
  </w:style>
  <w:style w:type="character" w:customStyle="1" w:styleId="TextonotapieCar">
    <w:name w:val="Texto nota pie Car"/>
    <w:basedOn w:val="Fuentedeprrafopredeter"/>
    <w:link w:val="Textonotapie"/>
    <w:uiPriority w:val="99"/>
    <w:semiHidden/>
    <w:rsid w:val="00C3162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C31622"/>
    <w:rPr>
      <w:vertAlign w:val="superscript"/>
    </w:rPr>
  </w:style>
  <w:style w:type="character" w:styleId="Refdecomentario">
    <w:name w:val="annotation reference"/>
    <w:basedOn w:val="Fuentedeprrafopredeter"/>
    <w:uiPriority w:val="99"/>
    <w:semiHidden/>
    <w:unhideWhenUsed/>
    <w:rsid w:val="006702BD"/>
    <w:rPr>
      <w:sz w:val="16"/>
      <w:szCs w:val="16"/>
    </w:rPr>
  </w:style>
  <w:style w:type="paragraph" w:styleId="Textocomentario">
    <w:name w:val="annotation text"/>
    <w:basedOn w:val="Normal"/>
    <w:link w:val="TextocomentarioCar"/>
    <w:uiPriority w:val="99"/>
    <w:semiHidden/>
    <w:unhideWhenUsed/>
    <w:rsid w:val="006702BD"/>
    <w:rPr>
      <w:sz w:val="20"/>
      <w:szCs w:val="20"/>
    </w:rPr>
  </w:style>
  <w:style w:type="character" w:customStyle="1" w:styleId="TextocomentarioCar">
    <w:name w:val="Texto comentario Car"/>
    <w:basedOn w:val="Fuentedeprrafopredeter"/>
    <w:link w:val="Textocomentario"/>
    <w:uiPriority w:val="99"/>
    <w:semiHidden/>
    <w:rsid w:val="006702B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702BD"/>
    <w:rPr>
      <w:b/>
      <w:bCs/>
    </w:rPr>
  </w:style>
  <w:style w:type="character" w:customStyle="1" w:styleId="AsuntodelcomentarioCar">
    <w:name w:val="Asunto del comentario Car"/>
    <w:basedOn w:val="TextocomentarioCar"/>
    <w:link w:val="Asuntodelcomentario"/>
    <w:uiPriority w:val="99"/>
    <w:semiHidden/>
    <w:rsid w:val="006702BD"/>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25400">
      <w:bodyDiv w:val="1"/>
      <w:marLeft w:val="0"/>
      <w:marRight w:val="0"/>
      <w:marTop w:val="0"/>
      <w:marBottom w:val="0"/>
      <w:divBdr>
        <w:top w:val="none" w:sz="0" w:space="0" w:color="auto"/>
        <w:left w:val="none" w:sz="0" w:space="0" w:color="auto"/>
        <w:bottom w:val="none" w:sz="0" w:space="0" w:color="auto"/>
        <w:right w:val="none" w:sz="0" w:space="0" w:color="auto"/>
      </w:divBdr>
    </w:div>
    <w:div w:id="1160190505">
      <w:bodyDiv w:val="1"/>
      <w:marLeft w:val="0"/>
      <w:marRight w:val="0"/>
      <w:marTop w:val="0"/>
      <w:marBottom w:val="0"/>
      <w:divBdr>
        <w:top w:val="none" w:sz="0" w:space="0" w:color="auto"/>
        <w:left w:val="none" w:sz="0" w:space="0" w:color="auto"/>
        <w:bottom w:val="none" w:sz="0" w:space="0" w:color="auto"/>
        <w:right w:val="none" w:sz="0" w:space="0" w:color="auto"/>
      </w:divBdr>
    </w:div>
    <w:div w:id="1193037515">
      <w:bodyDiv w:val="1"/>
      <w:marLeft w:val="0"/>
      <w:marRight w:val="0"/>
      <w:marTop w:val="0"/>
      <w:marBottom w:val="0"/>
      <w:divBdr>
        <w:top w:val="none" w:sz="0" w:space="0" w:color="auto"/>
        <w:left w:val="none" w:sz="0" w:space="0" w:color="auto"/>
        <w:bottom w:val="none" w:sz="0" w:space="0" w:color="auto"/>
        <w:right w:val="none" w:sz="0" w:space="0" w:color="auto"/>
      </w:divBdr>
    </w:div>
    <w:div w:id="1763408453">
      <w:bodyDiv w:val="1"/>
      <w:marLeft w:val="0"/>
      <w:marRight w:val="0"/>
      <w:marTop w:val="0"/>
      <w:marBottom w:val="0"/>
      <w:divBdr>
        <w:top w:val="none" w:sz="0" w:space="0" w:color="auto"/>
        <w:left w:val="none" w:sz="0" w:space="0" w:color="auto"/>
        <w:bottom w:val="none" w:sz="0" w:space="0" w:color="auto"/>
        <w:right w:val="none" w:sz="0" w:space="0" w:color="auto"/>
      </w:divBdr>
    </w:div>
    <w:div w:id="191596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0D07A-41AC-4A08-8623-CA26DE3BE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743D32-F980-4A14-BD15-8E02819E47A1}">
  <ds:schemaRefs>
    <ds:schemaRef ds:uri="http://schemas.microsoft.com/sharepoint/v3/contenttype/forms"/>
  </ds:schemaRefs>
</ds:datastoreItem>
</file>

<file path=customXml/itemProps3.xml><?xml version="1.0" encoding="utf-8"?>
<ds:datastoreItem xmlns:ds="http://schemas.openxmlformats.org/officeDocument/2006/customXml" ds:itemID="{FE713DDC-75A8-43C2-BE9B-B160ED22EC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8EAEE-4B56-4EC2-88C9-BA5A41EB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3728</Words>
  <Characters>20510</Characters>
  <Application>Microsoft Office Word</Application>
  <DocSecurity>0</DocSecurity>
  <Lines>170</Lines>
  <Paragraphs>48</Paragraphs>
  <ScaleCrop>false</ScaleCrop>
  <Company/>
  <LinksUpToDate>false</LinksUpToDate>
  <CharactersWithSpaces>24190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ALONSO</cp:lastModifiedBy>
  <cp:revision>53</cp:revision>
  <cp:lastPrinted>2020-10-26T12:26:00Z</cp:lastPrinted>
  <dcterms:created xsi:type="dcterms:W3CDTF">2020-09-25T21:34:00Z</dcterms:created>
  <dcterms:modified xsi:type="dcterms:W3CDTF">2020-11-12T20:48:00Z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