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8D9D889" w14:textId="77777777" w:rsidR="006E2562" w:rsidRPr="006E2562" w:rsidRDefault="006E2562" w:rsidP="006E256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6E2562">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854D304" w14:textId="77777777" w:rsidR="006E2562" w:rsidRPr="006E2562" w:rsidRDefault="006E2562" w:rsidP="006E2562">
      <w:pPr>
        <w:jc w:val="both"/>
        <w:rPr>
          <w:rFonts w:ascii="Arial" w:hAnsi="Arial" w:cs="Arial"/>
          <w:sz w:val="20"/>
          <w:lang w:val="es-419"/>
        </w:rPr>
      </w:pPr>
    </w:p>
    <w:p w14:paraId="293012BA" w14:textId="35A70A0A" w:rsidR="006E2562" w:rsidRPr="006E2562" w:rsidRDefault="006E2562" w:rsidP="006E2562">
      <w:pPr>
        <w:jc w:val="both"/>
        <w:rPr>
          <w:rFonts w:ascii="Arial" w:hAnsi="Arial" w:cs="Arial"/>
          <w:b/>
          <w:bCs/>
          <w:iCs/>
          <w:sz w:val="20"/>
          <w:lang w:val="es-419" w:eastAsia="fr-FR"/>
        </w:rPr>
      </w:pPr>
      <w:r w:rsidRPr="006E2562">
        <w:rPr>
          <w:rFonts w:ascii="Arial" w:hAnsi="Arial" w:cs="Arial"/>
          <w:b/>
          <w:bCs/>
          <w:iCs/>
          <w:sz w:val="20"/>
          <w:u w:val="single"/>
          <w:lang w:val="es-419" w:eastAsia="fr-FR"/>
        </w:rPr>
        <w:t>TEMAS:</w:t>
      </w:r>
      <w:r w:rsidRPr="006E2562">
        <w:rPr>
          <w:rFonts w:ascii="Arial" w:hAnsi="Arial" w:cs="Arial"/>
          <w:b/>
          <w:bCs/>
          <w:iCs/>
          <w:sz w:val="20"/>
          <w:lang w:val="es-419" w:eastAsia="fr-FR"/>
        </w:rPr>
        <w:tab/>
      </w:r>
      <w:r w:rsidR="00CD6B0B">
        <w:rPr>
          <w:rFonts w:ascii="Arial" w:hAnsi="Arial" w:cs="Arial"/>
          <w:b/>
          <w:bCs/>
          <w:iCs/>
          <w:sz w:val="20"/>
          <w:lang w:val="es-419" w:eastAsia="fr-FR"/>
        </w:rPr>
        <w:t xml:space="preserve">NULIDAD PROCESAL / </w:t>
      </w:r>
      <w:r w:rsidR="007A2570">
        <w:rPr>
          <w:rFonts w:ascii="Arial" w:hAnsi="Arial" w:cs="Arial"/>
          <w:b/>
          <w:bCs/>
          <w:iCs/>
          <w:sz w:val="20"/>
          <w:lang w:val="es-419" w:eastAsia="fr-FR"/>
        </w:rPr>
        <w:t xml:space="preserve">INEFICIA DE TRASLADO DE RÉGIMEN PENSIONAL / </w:t>
      </w:r>
      <w:r w:rsidR="00263811">
        <w:rPr>
          <w:rFonts w:ascii="Arial" w:hAnsi="Arial" w:cs="Arial"/>
          <w:b/>
          <w:sz w:val="20"/>
          <w:lang w:val="es-419"/>
        </w:rPr>
        <w:t>POR FALTA DE INTEGRACIÓN DE LITISCONSORCIO NECESARIO</w:t>
      </w:r>
      <w:r w:rsidRPr="006E2562">
        <w:rPr>
          <w:rFonts w:ascii="Arial" w:hAnsi="Arial" w:cs="Arial"/>
          <w:b/>
          <w:bCs/>
          <w:iCs/>
          <w:sz w:val="20"/>
          <w:lang w:val="es-419" w:eastAsia="fr-FR"/>
        </w:rPr>
        <w:t xml:space="preserve"> / </w:t>
      </w:r>
      <w:r w:rsidR="00263811">
        <w:rPr>
          <w:rFonts w:ascii="Arial" w:hAnsi="Arial" w:cs="Arial"/>
          <w:b/>
          <w:bCs/>
          <w:iCs/>
          <w:sz w:val="20"/>
          <w:lang w:val="es-419" w:eastAsia="fr-FR"/>
        </w:rPr>
        <w:t>CUANDO EL DEMANDANTE SE TRASLADA DE UNA ADMINISTRADORA A OTRA EN EL RAIS.</w:t>
      </w:r>
    </w:p>
    <w:p w14:paraId="344B2DFB" w14:textId="77777777" w:rsidR="006E2562" w:rsidRPr="006E2562" w:rsidRDefault="006E2562" w:rsidP="006E2562">
      <w:pPr>
        <w:jc w:val="both"/>
        <w:rPr>
          <w:rFonts w:ascii="Arial" w:hAnsi="Arial" w:cs="Arial"/>
          <w:sz w:val="20"/>
          <w:lang w:val="es-419"/>
        </w:rPr>
      </w:pPr>
    </w:p>
    <w:p w14:paraId="1B3844BB" w14:textId="41253BF8" w:rsidR="007A2570" w:rsidRPr="007A2570" w:rsidRDefault="007A2570" w:rsidP="007A2570">
      <w:pPr>
        <w:jc w:val="both"/>
        <w:rPr>
          <w:rFonts w:ascii="Arial" w:hAnsi="Arial" w:cs="Arial"/>
          <w:sz w:val="20"/>
          <w:lang w:val="es-419"/>
        </w:rPr>
      </w:pPr>
      <w:r w:rsidRPr="007A2570">
        <w:rPr>
          <w:rFonts w:ascii="Arial" w:hAnsi="Arial" w:cs="Arial"/>
          <w:sz w:val="20"/>
          <w:lang w:val="es-419"/>
        </w:rPr>
        <w:t>Cumplido el procedimiento de rigor, sería del caso absolver el grado jurisdiccional de consulta y los recursos de apelación formulados</w:t>
      </w:r>
      <w:r>
        <w:rPr>
          <w:rFonts w:ascii="Arial" w:hAnsi="Arial" w:cs="Arial"/>
          <w:sz w:val="20"/>
          <w:lang w:val="es-419"/>
        </w:rPr>
        <w:t>…</w:t>
      </w:r>
      <w:r w:rsidRPr="007A2570">
        <w:rPr>
          <w:rFonts w:ascii="Arial" w:hAnsi="Arial" w:cs="Arial"/>
          <w:sz w:val="20"/>
          <w:lang w:val="es-419"/>
        </w:rPr>
        <w:t xml:space="preserve">, si no fuera porqué, una vez revisada la actuación procesal y las pruebas aportadas, se advierte que además de los sujetos procesales que en calidad de demandante y demandados comparecieron al proceso, debió integrarse como litisconsorte necesario por pasiva a </w:t>
      </w:r>
      <w:r>
        <w:rPr>
          <w:rFonts w:ascii="Arial" w:hAnsi="Arial" w:cs="Arial"/>
          <w:sz w:val="20"/>
          <w:lang w:val="es-419"/>
        </w:rPr>
        <w:t>…</w:t>
      </w:r>
      <w:r w:rsidRPr="007A2570">
        <w:rPr>
          <w:rFonts w:ascii="Arial" w:hAnsi="Arial" w:cs="Arial"/>
          <w:sz w:val="20"/>
          <w:lang w:val="es-419"/>
        </w:rPr>
        <w:t xml:space="preserve"> Porvenir S.A.</w:t>
      </w:r>
    </w:p>
    <w:p w14:paraId="58B17533" w14:textId="77777777" w:rsidR="007A2570" w:rsidRPr="007A2570" w:rsidRDefault="007A2570" w:rsidP="007A2570">
      <w:pPr>
        <w:jc w:val="both"/>
        <w:rPr>
          <w:rFonts w:ascii="Arial" w:hAnsi="Arial" w:cs="Arial"/>
          <w:sz w:val="20"/>
          <w:lang w:val="es-419"/>
        </w:rPr>
      </w:pPr>
      <w:bookmarkStart w:id="0" w:name="_GoBack"/>
      <w:bookmarkEnd w:id="0"/>
    </w:p>
    <w:p w14:paraId="2AEA195E" w14:textId="77777777" w:rsidR="007A2570" w:rsidRPr="007A2570" w:rsidRDefault="007A2570" w:rsidP="007A2570">
      <w:pPr>
        <w:jc w:val="both"/>
        <w:rPr>
          <w:rFonts w:ascii="Arial" w:hAnsi="Arial" w:cs="Arial"/>
          <w:sz w:val="20"/>
          <w:lang w:val="es-419"/>
        </w:rPr>
      </w:pPr>
      <w:r w:rsidRPr="007A2570">
        <w:rPr>
          <w:rFonts w:ascii="Arial" w:hAnsi="Arial" w:cs="Arial"/>
          <w:sz w:val="20"/>
          <w:lang w:val="es-419"/>
        </w:rPr>
        <w:t xml:space="preserve">En primer término, debe tenerse en cuenta que, como se ha decantado jurisprudencialmente y lo hizo la a quo en este caso; controversias como la que convoca este acto, obligan a examinar la ineficacia del traslado de régimen pensional y no la nulidad. </w:t>
      </w:r>
    </w:p>
    <w:p w14:paraId="71DBFDF1" w14:textId="77777777" w:rsidR="007A2570" w:rsidRPr="007A2570" w:rsidRDefault="007A2570" w:rsidP="007A2570">
      <w:pPr>
        <w:jc w:val="both"/>
        <w:rPr>
          <w:rFonts w:ascii="Arial" w:hAnsi="Arial" w:cs="Arial"/>
          <w:sz w:val="20"/>
          <w:lang w:val="es-419"/>
        </w:rPr>
      </w:pPr>
    </w:p>
    <w:p w14:paraId="432FC9CE" w14:textId="7D6DEE74" w:rsidR="006E2562" w:rsidRPr="006E2562" w:rsidRDefault="007A2570" w:rsidP="007A2570">
      <w:pPr>
        <w:jc w:val="both"/>
        <w:rPr>
          <w:rFonts w:ascii="Arial" w:hAnsi="Arial" w:cs="Arial"/>
          <w:sz w:val="20"/>
          <w:lang w:val="es-419"/>
        </w:rPr>
      </w:pPr>
      <w:r w:rsidRPr="007A2570">
        <w:rPr>
          <w:rFonts w:ascii="Arial" w:hAnsi="Arial" w:cs="Arial"/>
          <w:sz w:val="20"/>
          <w:lang w:val="es-419"/>
        </w:rPr>
        <w:t>En segundo lugar, debe tenerse en consideración que como también lo ha lineado la jurisprudencia del órgano de cierre de esta especialidad, una vez declarada la ineficacia, las partes, en lo posible, deben quedar en el estado en que se hallarían si no hubiese existido el acto de afiliación</w:t>
      </w:r>
      <w:r>
        <w:rPr>
          <w:rFonts w:ascii="Arial" w:hAnsi="Arial" w:cs="Arial"/>
          <w:sz w:val="20"/>
          <w:lang w:val="es-419"/>
        </w:rPr>
        <w:t>…</w:t>
      </w:r>
    </w:p>
    <w:p w14:paraId="1B5DB297" w14:textId="77777777" w:rsidR="006E2562" w:rsidRPr="006E2562" w:rsidRDefault="006E2562" w:rsidP="006E2562">
      <w:pPr>
        <w:jc w:val="both"/>
        <w:rPr>
          <w:rFonts w:ascii="Arial" w:hAnsi="Arial" w:cs="Arial"/>
          <w:sz w:val="20"/>
          <w:lang w:val="es-419"/>
        </w:rPr>
      </w:pPr>
    </w:p>
    <w:p w14:paraId="2DD5C69A" w14:textId="2030AEBE" w:rsidR="007A2570" w:rsidRPr="007A2570" w:rsidRDefault="007A2570" w:rsidP="007A2570">
      <w:pPr>
        <w:jc w:val="both"/>
        <w:rPr>
          <w:rFonts w:ascii="Arial" w:hAnsi="Arial" w:cs="Arial"/>
          <w:sz w:val="20"/>
          <w:lang w:val="es-419"/>
        </w:rPr>
      </w:pPr>
      <w:r>
        <w:rPr>
          <w:rFonts w:ascii="Arial" w:hAnsi="Arial" w:cs="Arial"/>
          <w:sz w:val="20"/>
          <w:lang w:val="es-419"/>
        </w:rPr>
        <w:t xml:space="preserve">… </w:t>
      </w:r>
      <w:r w:rsidRPr="007A2570">
        <w:rPr>
          <w:rFonts w:ascii="Arial" w:hAnsi="Arial" w:cs="Arial"/>
          <w:sz w:val="20"/>
          <w:lang w:val="es-419"/>
        </w:rPr>
        <w:t>cuando un afiliado del sistema de pensiones se traslada del régimen de prima media al de ahorro individual y estando en este, a su vez, se traslada entre administradoras; además de las entidades que participaron en el cambio de régimen, es preciso que al proceso concurran todas aquellas a las que hubiere pertenecido el afiliado con posterioridad al acto que se reputa ineficaz.</w:t>
      </w:r>
    </w:p>
    <w:p w14:paraId="7D30C78D" w14:textId="77777777" w:rsidR="007A2570" w:rsidRPr="007A2570" w:rsidRDefault="007A2570" w:rsidP="007A2570">
      <w:pPr>
        <w:jc w:val="both"/>
        <w:rPr>
          <w:rFonts w:ascii="Arial" w:hAnsi="Arial" w:cs="Arial"/>
          <w:sz w:val="20"/>
          <w:lang w:val="es-419"/>
        </w:rPr>
      </w:pPr>
    </w:p>
    <w:p w14:paraId="24A9BA0C" w14:textId="23B6252C" w:rsidR="006E2562" w:rsidRPr="006E2562" w:rsidRDefault="007A2570" w:rsidP="006E2562">
      <w:pPr>
        <w:jc w:val="both"/>
        <w:rPr>
          <w:rFonts w:ascii="Arial" w:hAnsi="Arial" w:cs="Arial"/>
          <w:sz w:val="20"/>
          <w:lang w:val="es-ES"/>
        </w:rPr>
      </w:pPr>
      <w:r w:rsidRPr="007A2570">
        <w:rPr>
          <w:rFonts w:ascii="Arial" w:hAnsi="Arial" w:cs="Arial"/>
          <w:sz w:val="20"/>
          <w:lang w:val="es-419"/>
        </w:rPr>
        <w:t>Ello es así, porque de prosperar la ineficacia, volver las cosas al estado anterior necesariamente implica determinar los efectos sobre los subsecuentes traslados efectuados dentro del RAIS y cada AFP tiene responsabilidades e intereses propios que no pueden considerarse debidamente representados sin su comparecencia; por cuanto, a pesar de que en el proceso los actos de una administradora</w:t>
      </w:r>
      <w:r>
        <w:rPr>
          <w:rFonts w:ascii="Arial" w:hAnsi="Arial" w:cs="Arial"/>
          <w:sz w:val="20"/>
          <w:lang w:val="es-419"/>
        </w:rPr>
        <w:t>…</w:t>
      </w:r>
    </w:p>
    <w:p w14:paraId="1E532133" w14:textId="77777777" w:rsidR="006E2562" w:rsidRPr="006E2562" w:rsidRDefault="006E2562" w:rsidP="006E2562">
      <w:pPr>
        <w:jc w:val="both"/>
        <w:rPr>
          <w:rFonts w:ascii="Arial" w:hAnsi="Arial" w:cs="Arial"/>
          <w:sz w:val="20"/>
          <w:lang w:val="es-ES"/>
        </w:rPr>
      </w:pPr>
    </w:p>
    <w:p w14:paraId="762D55E6" w14:textId="77777777" w:rsidR="006E2562" w:rsidRPr="006E2562" w:rsidRDefault="006E2562" w:rsidP="006E2562">
      <w:pPr>
        <w:jc w:val="both"/>
        <w:rPr>
          <w:rFonts w:ascii="Arial" w:hAnsi="Arial" w:cs="Arial"/>
          <w:sz w:val="20"/>
          <w:lang w:val="es-ES"/>
        </w:rPr>
      </w:pPr>
    </w:p>
    <w:p w14:paraId="4445577C" w14:textId="77777777" w:rsidR="006E2562" w:rsidRPr="006E2562" w:rsidRDefault="006E2562" w:rsidP="006E2562">
      <w:pPr>
        <w:jc w:val="both"/>
        <w:rPr>
          <w:rFonts w:ascii="Arial" w:hAnsi="Arial" w:cs="Arial"/>
          <w:sz w:val="20"/>
          <w:lang w:val="es-ES"/>
        </w:rPr>
      </w:pPr>
    </w:p>
    <w:p w14:paraId="29AE56EE" w14:textId="6FF5B4DC" w:rsidR="00116DDD" w:rsidRPr="006E2562" w:rsidRDefault="00116DDD" w:rsidP="006E2562">
      <w:pPr>
        <w:spacing w:line="276" w:lineRule="auto"/>
        <w:jc w:val="center"/>
        <w:rPr>
          <w:rFonts w:ascii="Arial" w:hAnsi="Arial" w:cs="Arial"/>
          <w:b/>
          <w:spacing w:val="6"/>
          <w:szCs w:val="24"/>
        </w:rPr>
      </w:pPr>
      <w:r w:rsidRPr="006E2562">
        <w:rPr>
          <w:rFonts w:ascii="Arial" w:hAnsi="Arial" w:cs="Arial"/>
          <w:b/>
          <w:spacing w:val="6"/>
          <w:szCs w:val="24"/>
        </w:rPr>
        <w:t>REPÚBLICA DE COLOMBIA</w:t>
      </w:r>
    </w:p>
    <w:p w14:paraId="2049A7B4" w14:textId="77777777" w:rsidR="00116DDD" w:rsidRPr="006E2562" w:rsidRDefault="00C90306" w:rsidP="006E2562">
      <w:pPr>
        <w:spacing w:line="276" w:lineRule="auto"/>
        <w:jc w:val="center"/>
        <w:rPr>
          <w:rFonts w:ascii="Arial" w:hAnsi="Arial" w:cs="Arial"/>
          <w:spacing w:val="6"/>
          <w:szCs w:val="24"/>
        </w:rPr>
      </w:pPr>
      <w:r w:rsidRPr="006E2562">
        <w:rPr>
          <w:rFonts w:ascii="Arial" w:hAnsi="Arial" w:cs="Arial"/>
          <w:noProof/>
          <w:spacing w:val="6"/>
          <w:szCs w:val="24"/>
        </w:rPr>
        <w:object w:dxaOrig="2289" w:dyaOrig="1470" w14:anchorId="0975B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55pt;height:65.2pt;mso-width-percent:0;mso-height-percent:0;mso-width-percent:0;mso-height-percent:0" o:ole="" fillcolor="window">
            <v:imagedata r:id="rId11" o:title=""/>
          </v:shape>
          <o:OLEObject Type="Embed" ProgID="Word.Picture.8" ShapeID="_x0000_i1025" DrawAspect="Content" ObjectID="_1666893086" r:id="rId12"/>
        </w:object>
      </w:r>
    </w:p>
    <w:p w14:paraId="44B3638E" w14:textId="77777777" w:rsidR="00116DDD" w:rsidRPr="006E2562" w:rsidRDefault="00116DDD" w:rsidP="006E2562">
      <w:pPr>
        <w:spacing w:line="276" w:lineRule="auto"/>
        <w:jc w:val="center"/>
        <w:rPr>
          <w:rFonts w:ascii="Arial" w:hAnsi="Arial" w:cs="Arial"/>
          <w:b/>
          <w:spacing w:val="6"/>
          <w:szCs w:val="24"/>
        </w:rPr>
      </w:pPr>
      <w:r w:rsidRPr="006E2562">
        <w:rPr>
          <w:rFonts w:ascii="Arial" w:hAnsi="Arial" w:cs="Arial"/>
          <w:b/>
          <w:spacing w:val="6"/>
          <w:szCs w:val="24"/>
        </w:rPr>
        <w:t>TRIBUNAL SUPERIOR DE DISTRITO JUDICIAL DE PEREIRA</w:t>
      </w:r>
    </w:p>
    <w:p w14:paraId="30FF1D26" w14:textId="2C8E7F89" w:rsidR="00116DDD" w:rsidRPr="006E2562" w:rsidRDefault="00116DDD" w:rsidP="006E2562">
      <w:pPr>
        <w:spacing w:line="276" w:lineRule="auto"/>
        <w:jc w:val="center"/>
        <w:rPr>
          <w:rFonts w:ascii="Arial" w:hAnsi="Arial" w:cs="Arial"/>
          <w:b/>
          <w:spacing w:val="6"/>
          <w:szCs w:val="24"/>
        </w:rPr>
      </w:pPr>
      <w:r w:rsidRPr="006E2562">
        <w:rPr>
          <w:rFonts w:ascii="Arial" w:hAnsi="Arial" w:cs="Arial"/>
          <w:b/>
          <w:spacing w:val="6"/>
          <w:szCs w:val="24"/>
        </w:rPr>
        <w:t>SALA CUARTA DE DECISIÓN LABORAL</w:t>
      </w:r>
    </w:p>
    <w:p w14:paraId="3311514E" w14:textId="77777777" w:rsidR="00761358" w:rsidRPr="006E2562" w:rsidRDefault="00761358" w:rsidP="006E2562">
      <w:pPr>
        <w:spacing w:line="276" w:lineRule="auto"/>
        <w:jc w:val="center"/>
        <w:rPr>
          <w:rFonts w:ascii="Arial" w:hAnsi="Arial" w:cs="Arial"/>
          <w:spacing w:val="6"/>
          <w:szCs w:val="24"/>
        </w:rPr>
      </w:pPr>
    </w:p>
    <w:p w14:paraId="577F8386" w14:textId="4F23E5D4" w:rsidR="006E2562" w:rsidRPr="006E2562" w:rsidRDefault="006E2562" w:rsidP="006E2562">
      <w:pPr>
        <w:spacing w:line="276" w:lineRule="auto"/>
        <w:jc w:val="center"/>
        <w:rPr>
          <w:rFonts w:ascii="Arial" w:hAnsi="Arial" w:cs="Arial"/>
          <w:spacing w:val="6"/>
          <w:szCs w:val="24"/>
        </w:rPr>
      </w:pPr>
      <w:r w:rsidRPr="006E2562">
        <w:rPr>
          <w:rFonts w:ascii="Arial" w:hAnsi="Arial" w:cs="Arial"/>
          <w:spacing w:val="6"/>
          <w:szCs w:val="24"/>
        </w:rPr>
        <w:t>Magistrada Ponente:</w:t>
      </w:r>
    </w:p>
    <w:p w14:paraId="20CE4292" w14:textId="3A68FBBF" w:rsidR="00116DDD" w:rsidRPr="006E2562" w:rsidRDefault="00116DDD" w:rsidP="006E2562">
      <w:pPr>
        <w:spacing w:line="276" w:lineRule="auto"/>
        <w:jc w:val="center"/>
        <w:rPr>
          <w:rFonts w:ascii="Arial" w:hAnsi="Arial" w:cs="Arial"/>
          <w:b/>
          <w:bCs/>
          <w:spacing w:val="6"/>
          <w:szCs w:val="24"/>
        </w:rPr>
      </w:pPr>
      <w:r w:rsidRPr="006E2562">
        <w:rPr>
          <w:rFonts w:ascii="Arial" w:hAnsi="Arial" w:cs="Arial"/>
          <w:b/>
          <w:bCs/>
          <w:spacing w:val="6"/>
          <w:szCs w:val="24"/>
        </w:rPr>
        <w:t>ALEJANDRA MARÍA HENAO PALACIO</w:t>
      </w:r>
    </w:p>
    <w:p w14:paraId="23DC9A81" w14:textId="77777777" w:rsidR="00116DDD" w:rsidRPr="006E2562" w:rsidRDefault="00116DDD" w:rsidP="006E2562">
      <w:pPr>
        <w:spacing w:line="276" w:lineRule="auto"/>
        <w:jc w:val="both"/>
        <w:rPr>
          <w:rFonts w:ascii="Arial" w:hAnsi="Arial" w:cs="Arial"/>
          <w:spacing w:val="6"/>
          <w:szCs w:val="24"/>
        </w:rPr>
      </w:pPr>
    </w:p>
    <w:tbl>
      <w:tblPr>
        <w:tblStyle w:val="Tablaconcuadrcula"/>
        <w:tblW w:w="8221" w:type="dxa"/>
        <w:tblInd w:w="5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68"/>
        <w:gridCol w:w="5953"/>
      </w:tblGrid>
      <w:tr w:rsidR="006E2562" w:rsidRPr="006E2562" w14:paraId="0F5144A0" w14:textId="77777777" w:rsidTr="006E2562">
        <w:tc>
          <w:tcPr>
            <w:tcW w:w="2268" w:type="dxa"/>
            <w:vAlign w:val="center"/>
          </w:tcPr>
          <w:p w14:paraId="61201AEE" w14:textId="77777777" w:rsidR="00116DDD" w:rsidRPr="006E2562" w:rsidRDefault="00116DDD" w:rsidP="006E2562">
            <w:pPr>
              <w:jc w:val="both"/>
              <w:rPr>
                <w:rFonts w:ascii="Arial" w:hAnsi="Arial" w:cs="Arial"/>
                <w:spacing w:val="6"/>
                <w:sz w:val="22"/>
                <w:szCs w:val="24"/>
              </w:rPr>
            </w:pPr>
            <w:r w:rsidRPr="006E2562">
              <w:rPr>
                <w:rFonts w:ascii="Arial" w:hAnsi="Arial" w:cs="Arial"/>
                <w:spacing w:val="6"/>
                <w:sz w:val="22"/>
                <w:szCs w:val="24"/>
              </w:rPr>
              <w:t>Demandante:</w:t>
            </w:r>
          </w:p>
        </w:tc>
        <w:tc>
          <w:tcPr>
            <w:tcW w:w="5953" w:type="dxa"/>
          </w:tcPr>
          <w:p w14:paraId="27B61506" w14:textId="0A1587E7" w:rsidR="00116DDD" w:rsidRPr="006E2562" w:rsidRDefault="006E2562" w:rsidP="006E2562">
            <w:pPr>
              <w:jc w:val="both"/>
              <w:rPr>
                <w:rFonts w:ascii="Arial" w:hAnsi="Arial" w:cs="Arial"/>
                <w:spacing w:val="6"/>
                <w:sz w:val="22"/>
                <w:szCs w:val="24"/>
              </w:rPr>
            </w:pPr>
            <w:r w:rsidRPr="006E2562">
              <w:rPr>
                <w:rFonts w:ascii="Arial" w:hAnsi="Arial" w:cs="Arial"/>
                <w:spacing w:val="6"/>
                <w:sz w:val="22"/>
                <w:szCs w:val="24"/>
              </w:rPr>
              <w:t xml:space="preserve">Carlos Enrique Torres Vásquez </w:t>
            </w:r>
          </w:p>
        </w:tc>
      </w:tr>
      <w:tr w:rsidR="006E2562" w:rsidRPr="006E2562" w14:paraId="07B44BDA" w14:textId="77777777" w:rsidTr="006E2562">
        <w:tc>
          <w:tcPr>
            <w:tcW w:w="2268" w:type="dxa"/>
            <w:vAlign w:val="center"/>
          </w:tcPr>
          <w:p w14:paraId="3BC25F81" w14:textId="77777777" w:rsidR="00116DDD" w:rsidRPr="006E2562" w:rsidRDefault="00116DDD" w:rsidP="006E2562">
            <w:pPr>
              <w:jc w:val="both"/>
              <w:rPr>
                <w:rFonts w:ascii="Arial" w:hAnsi="Arial" w:cs="Arial"/>
                <w:spacing w:val="6"/>
                <w:sz w:val="22"/>
                <w:szCs w:val="24"/>
              </w:rPr>
            </w:pPr>
            <w:r w:rsidRPr="006E2562">
              <w:rPr>
                <w:rFonts w:ascii="Arial" w:hAnsi="Arial" w:cs="Arial"/>
                <w:spacing w:val="6"/>
                <w:sz w:val="22"/>
                <w:szCs w:val="24"/>
              </w:rPr>
              <w:t>Demandado:</w:t>
            </w:r>
          </w:p>
        </w:tc>
        <w:tc>
          <w:tcPr>
            <w:tcW w:w="5953" w:type="dxa"/>
          </w:tcPr>
          <w:p w14:paraId="2AD6A63D" w14:textId="61B3615C" w:rsidR="00116DDD" w:rsidRPr="006E2562" w:rsidRDefault="006E2562" w:rsidP="006E2562">
            <w:pPr>
              <w:jc w:val="both"/>
              <w:rPr>
                <w:rFonts w:ascii="Arial" w:hAnsi="Arial" w:cs="Arial"/>
                <w:spacing w:val="6"/>
                <w:sz w:val="22"/>
                <w:szCs w:val="24"/>
              </w:rPr>
            </w:pPr>
            <w:r w:rsidRPr="006E2562">
              <w:rPr>
                <w:rFonts w:ascii="Arial" w:hAnsi="Arial" w:cs="Arial"/>
                <w:spacing w:val="6"/>
                <w:sz w:val="22"/>
                <w:szCs w:val="24"/>
              </w:rPr>
              <w:t xml:space="preserve">Colpensiones y </w:t>
            </w:r>
            <w:proofErr w:type="spellStart"/>
            <w:r w:rsidRPr="006E2562">
              <w:rPr>
                <w:rFonts w:ascii="Arial" w:hAnsi="Arial" w:cs="Arial"/>
                <w:spacing w:val="6"/>
                <w:sz w:val="22"/>
                <w:szCs w:val="24"/>
              </w:rPr>
              <w:t>Colfondos</w:t>
            </w:r>
            <w:proofErr w:type="spellEnd"/>
            <w:r w:rsidRPr="006E2562">
              <w:rPr>
                <w:rFonts w:ascii="Arial" w:hAnsi="Arial" w:cs="Arial"/>
                <w:spacing w:val="6"/>
                <w:sz w:val="22"/>
                <w:szCs w:val="24"/>
              </w:rPr>
              <w:t xml:space="preserve"> </w:t>
            </w:r>
          </w:p>
        </w:tc>
      </w:tr>
      <w:tr w:rsidR="006E2562" w:rsidRPr="006E2562" w14:paraId="757A1731" w14:textId="77777777" w:rsidTr="006E2562">
        <w:tc>
          <w:tcPr>
            <w:tcW w:w="2268" w:type="dxa"/>
            <w:vAlign w:val="center"/>
          </w:tcPr>
          <w:p w14:paraId="2ACEADEF" w14:textId="77777777" w:rsidR="00116DDD" w:rsidRPr="006E2562" w:rsidRDefault="00116DDD" w:rsidP="006E2562">
            <w:pPr>
              <w:jc w:val="both"/>
              <w:rPr>
                <w:rFonts w:ascii="Arial" w:hAnsi="Arial" w:cs="Arial"/>
                <w:spacing w:val="6"/>
                <w:sz w:val="22"/>
                <w:szCs w:val="24"/>
              </w:rPr>
            </w:pPr>
            <w:r w:rsidRPr="006E2562">
              <w:rPr>
                <w:rFonts w:ascii="Arial" w:hAnsi="Arial" w:cs="Arial"/>
                <w:spacing w:val="6"/>
                <w:sz w:val="22"/>
                <w:szCs w:val="24"/>
              </w:rPr>
              <w:t>Radicación No.</w:t>
            </w:r>
          </w:p>
        </w:tc>
        <w:tc>
          <w:tcPr>
            <w:tcW w:w="5953" w:type="dxa"/>
          </w:tcPr>
          <w:p w14:paraId="55F36517" w14:textId="0E82CCF2" w:rsidR="00116DDD" w:rsidRPr="006E2562" w:rsidRDefault="00BA3B1D" w:rsidP="006E2562">
            <w:pPr>
              <w:jc w:val="both"/>
              <w:rPr>
                <w:rFonts w:ascii="Arial" w:hAnsi="Arial" w:cs="Arial"/>
                <w:spacing w:val="6"/>
                <w:sz w:val="22"/>
                <w:szCs w:val="24"/>
              </w:rPr>
            </w:pPr>
            <w:r w:rsidRPr="006E2562">
              <w:rPr>
                <w:rFonts w:ascii="Arial" w:hAnsi="Arial" w:cs="Arial"/>
                <w:spacing w:val="6"/>
                <w:sz w:val="22"/>
                <w:szCs w:val="24"/>
              </w:rPr>
              <w:t>66001–31-05-</w:t>
            </w:r>
            <w:r w:rsidR="00644F7C" w:rsidRPr="006E2562">
              <w:rPr>
                <w:rFonts w:ascii="Arial" w:hAnsi="Arial" w:cs="Arial"/>
                <w:spacing w:val="6"/>
                <w:sz w:val="22"/>
                <w:szCs w:val="24"/>
              </w:rPr>
              <w:t>004-2017-00569</w:t>
            </w:r>
            <w:r w:rsidRPr="006E2562">
              <w:rPr>
                <w:rFonts w:ascii="Arial" w:hAnsi="Arial" w:cs="Arial"/>
                <w:spacing w:val="6"/>
                <w:sz w:val="22"/>
                <w:szCs w:val="24"/>
              </w:rPr>
              <w:t>-01</w:t>
            </w:r>
          </w:p>
        </w:tc>
      </w:tr>
      <w:tr w:rsidR="006E2562" w:rsidRPr="006E2562" w14:paraId="7007D3CE" w14:textId="77777777" w:rsidTr="006E2562">
        <w:tc>
          <w:tcPr>
            <w:tcW w:w="2268" w:type="dxa"/>
            <w:vAlign w:val="center"/>
          </w:tcPr>
          <w:p w14:paraId="67D8ABF5" w14:textId="77777777" w:rsidR="00116DDD" w:rsidRPr="006E2562" w:rsidRDefault="00116DDD" w:rsidP="006E2562">
            <w:pPr>
              <w:jc w:val="both"/>
              <w:rPr>
                <w:rFonts w:ascii="Arial" w:hAnsi="Arial" w:cs="Arial"/>
                <w:spacing w:val="6"/>
                <w:sz w:val="22"/>
                <w:szCs w:val="24"/>
              </w:rPr>
            </w:pPr>
            <w:r w:rsidRPr="006E2562">
              <w:rPr>
                <w:rFonts w:ascii="Arial" w:hAnsi="Arial" w:cs="Arial"/>
                <w:spacing w:val="6"/>
                <w:sz w:val="22"/>
                <w:szCs w:val="24"/>
              </w:rPr>
              <w:t>Juzgado origen:</w:t>
            </w:r>
          </w:p>
        </w:tc>
        <w:tc>
          <w:tcPr>
            <w:tcW w:w="5953" w:type="dxa"/>
          </w:tcPr>
          <w:p w14:paraId="7E49CB43" w14:textId="07C65C96" w:rsidR="00116DDD" w:rsidRPr="006E2562" w:rsidRDefault="006E2562" w:rsidP="006E2562">
            <w:pPr>
              <w:jc w:val="both"/>
              <w:rPr>
                <w:rFonts w:ascii="Arial" w:hAnsi="Arial" w:cs="Arial"/>
                <w:spacing w:val="6"/>
                <w:sz w:val="22"/>
                <w:szCs w:val="24"/>
              </w:rPr>
            </w:pPr>
            <w:r w:rsidRPr="006E2562">
              <w:rPr>
                <w:rFonts w:ascii="Arial" w:hAnsi="Arial" w:cs="Arial"/>
                <w:spacing w:val="6"/>
                <w:sz w:val="22"/>
                <w:szCs w:val="24"/>
              </w:rPr>
              <w:t>Cuarto Laboral del Circuito de Pereira</w:t>
            </w:r>
          </w:p>
        </w:tc>
      </w:tr>
      <w:tr w:rsidR="006E2562" w:rsidRPr="006E2562" w14:paraId="01338F0B" w14:textId="77777777" w:rsidTr="006E2562">
        <w:tc>
          <w:tcPr>
            <w:tcW w:w="2268" w:type="dxa"/>
            <w:vAlign w:val="center"/>
          </w:tcPr>
          <w:p w14:paraId="77557972" w14:textId="77777777" w:rsidR="00116DDD" w:rsidRPr="006E2562" w:rsidRDefault="00116DDD" w:rsidP="006E2562">
            <w:pPr>
              <w:jc w:val="both"/>
              <w:rPr>
                <w:rFonts w:ascii="Arial" w:hAnsi="Arial" w:cs="Arial"/>
                <w:spacing w:val="6"/>
                <w:sz w:val="22"/>
                <w:szCs w:val="24"/>
              </w:rPr>
            </w:pPr>
            <w:r w:rsidRPr="006E2562">
              <w:rPr>
                <w:rFonts w:ascii="Arial" w:hAnsi="Arial" w:cs="Arial"/>
                <w:spacing w:val="6"/>
                <w:sz w:val="22"/>
                <w:szCs w:val="24"/>
              </w:rPr>
              <w:t>Tipo de proceso:</w:t>
            </w:r>
          </w:p>
        </w:tc>
        <w:tc>
          <w:tcPr>
            <w:tcW w:w="5953" w:type="dxa"/>
          </w:tcPr>
          <w:p w14:paraId="2521151C" w14:textId="59787A3C" w:rsidR="00116DDD" w:rsidRPr="006E2562" w:rsidRDefault="006E2562" w:rsidP="006E2562">
            <w:pPr>
              <w:jc w:val="both"/>
              <w:rPr>
                <w:rFonts w:ascii="Arial" w:hAnsi="Arial" w:cs="Arial"/>
                <w:spacing w:val="6"/>
                <w:sz w:val="22"/>
                <w:szCs w:val="24"/>
              </w:rPr>
            </w:pPr>
            <w:r w:rsidRPr="006E2562">
              <w:rPr>
                <w:rFonts w:ascii="Arial" w:hAnsi="Arial" w:cs="Arial"/>
                <w:spacing w:val="6"/>
                <w:sz w:val="22"/>
                <w:szCs w:val="24"/>
              </w:rPr>
              <w:t xml:space="preserve">Ordinario Laboral </w:t>
            </w:r>
          </w:p>
        </w:tc>
      </w:tr>
      <w:tr w:rsidR="006E2562" w:rsidRPr="006E2562" w14:paraId="5195AF0E" w14:textId="77777777" w:rsidTr="006E2562">
        <w:tc>
          <w:tcPr>
            <w:tcW w:w="2268" w:type="dxa"/>
            <w:vAlign w:val="center"/>
          </w:tcPr>
          <w:p w14:paraId="3203517E" w14:textId="77777777" w:rsidR="00116DDD" w:rsidRPr="006E2562" w:rsidRDefault="00116DDD" w:rsidP="006E2562">
            <w:pPr>
              <w:jc w:val="both"/>
              <w:rPr>
                <w:rFonts w:ascii="Arial" w:hAnsi="Arial" w:cs="Arial"/>
                <w:spacing w:val="6"/>
                <w:sz w:val="22"/>
                <w:szCs w:val="24"/>
              </w:rPr>
            </w:pPr>
            <w:r w:rsidRPr="006E2562">
              <w:rPr>
                <w:rFonts w:ascii="Arial" w:hAnsi="Arial" w:cs="Arial"/>
                <w:spacing w:val="6"/>
                <w:sz w:val="22"/>
                <w:szCs w:val="24"/>
              </w:rPr>
              <w:t>Providencia:</w:t>
            </w:r>
          </w:p>
        </w:tc>
        <w:tc>
          <w:tcPr>
            <w:tcW w:w="5953" w:type="dxa"/>
          </w:tcPr>
          <w:p w14:paraId="445A26F7" w14:textId="4ADAC510" w:rsidR="00116DDD" w:rsidRPr="006E2562" w:rsidRDefault="006E2562" w:rsidP="006E2562">
            <w:pPr>
              <w:jc w:val="both"/>
              <w:rPr>
                <w:rFonts w:ascii="Arial" w:hAnsi="Arial" w:cs="Arial"/>
                <w:spacing w:val="6"/>
                <w:sz w:val="22"/>
                <w:szCs w:val="24"/>
              </w:rPr>
            </w:pPr>
            <w:r w:rsidRPr="006E2562">
              <w:rPr>
                <w:rFonts w:ascii="Arial" w:hAnsi="Arial" w:cs="Arial"/>
                <w:spacing w:val="6"/>
                <w:sz w:val="22"/>
                <w:szCs w:val="24"/>
              </w:rPr>
              <w:t xml:space="preserve">Auto Interlocutorio </w:t>
            </w:r>
          </w:p>
        </w:tc>
      </w:tr>
      <w:tr w:rsidR="006E2562" w:rsidRPr="006E2562" w14:paraId="3FB30203" w14:textId="77777777" w:rsidTr="006E2562">
        <w:trPr>
          <w:trHeight w:val="77"/>
        </w:trPr>
        <w:tc>
          <w:tcPr>
            <w:tcW w:w="2268" w:type="dxa"/>
            <w:vAlign w:val="center"/>
          </w:tcPr>
          <w:p w14:paraId="76697BA8" w14:textId="77777777" w:rsidR="00116DDD" w:rsidRPr="006E2562" w:rsidRDefault="00116DDD" w:rsidP="006E2562">
            <w:pPr>
              <w:jc w:val="both"/>
              <w:rPr>
                <w:rFonts w:ascii="Arial" w:hAnsi="Arial" w:cs="Arial"/>
                <w:spacing w:val="6"/>
                <w:sz w:val="22"/>
                <w:szCs w:val="24"/>
              </w:rPr>
            </w:pPr>
            <w:r w:rsidRPr="006E2562">
              <w:rPr>
                <w:rFonts w:ascii="Arial" w:hAnsi="Arial" w:cs="Arial"/>
                <w:spacing w:val="6"/>
                <w:sz w:val="22"/>
                <w:szCs w:val="24"/>
              </w:rPr>
              <w:t>Decisión:</w:t>
            </w:r>
          </w:p>
        </w:tc>
        <w:tc>
          <w:tcPr>
            <w:tcW w:w="5953" w:type="dxa"/>
          </w:tcPr>
          <w:p w14:paraId="47B9D87D" w14:textId="10AD9184" w:rsidR="00116DDD" w:rsidRPr="006E2562" w:rsidRDefault="00D87049" w:rsidP="006E2562">
            <w:pPr>
              <w:jc w:val="both"/>
              <w:rPr>
                <w:rFonts w:ascii="Arial" w:hAnsi="Arial" w:cs="Arial"/>
                <w:b/>
                <w:bCs/>
                <w:spacing w:val="6"/>
                <w:sz w:val="22"/>
                <w:szCs w:val="24"/>
              </w:rPr>
            </w:pPr>
            <w:r w:rsidRPr="006E2562">
              <w:rPr>
                <w:rFonts w:ascii="Arial" w:hAnsi="Arial" w:cs="Arial"/>
                <w:b/>
                <w:bCs/>
                <w:spacing w:val="6"/>
                <w:sz w:val="22"/>
                <w:szCs w:val="24"/>
              </w:rPr>
              <w:t>DECLARA NULIDAD</w:t>
            </w:r>
          </w:p>
        </w:tc>
      </w:tr>
    </w:tbl>
    <w:p w14:paraId="5160F552" w14:textId="77777777" w:rsidR="00116DDD" w:rsidRPr="006E2562" w:rsidRDefault="00116DDD" w:rsidP="006E2562">
      <w:pPr>
        <w:spacing w:line="276" w:lineRule="auto"/>
        <w:jc w:val="both"/>
        <w:rPr>
          <w:rFonts w:ascii="Arial" w:hAnsi="Arial" w:cs="Arial"/>
          <w:spacing w:val="6"/>
          <w:szCs w:val="24"/>
        </w:rPr>
      </w:pPr>
    </w:p>
    <w:p w14:paraId="79BC6782" w14:textId="77777777" w:rsidR="00C464E6" w:rsidRPr="00263811" w:rsidRDefault="00C464E6" w:rsidP="006E2562">
      <w:pPr>
        <w:spacing w:line="276" w:lineRule="auto"/>
        <w:jc w:val="center"/>
        <w:rPr>
          <w:rFonts w:ascii="Arial" w:hAnsi="Arial" w:cs="Arial"/>
          <w:spacing w:val="4"/>
          <w:szCs w:val="24"/>
        </w:rPr>
      </w:pPr>
      <w:r w:rsidRPr="00263811">
        <w:rPr>
          <w:rFonts w:ascii="Arial" w:hAnsi="Arial" w:cs="Arial"/>
          <w:spacing w:val="4"/>
          <w:szCs w:val="24"/>
        </w:rPr>
        <w:t>Registro del proyecto: veinticuatro (24) de septiembre de 2020</w:t>
      </w:r>
    </w:p>
    <w:p w14:paraId="4BDBF1BE" w14:textId="77777777" w:rsidR="00C464E6" w:rsidRPr="00263811" w:rsidRDefault="00C464E6" w:rsidP="006E2562">
      <w:pPr>
        <w:spacing w:line="276" w:lineRule="auto"/>
        <w:jc w:val="center"/>
        <w:rPr>
          <w:rFonts w:ascii="Arial" w:hAnsi="Arial" w:cs="Arial"/>
          <w:spacing w:val="4"/>
          <w:szCs w:val="24"/>
        </w:rPr>
      </w:pPr>
      <w:r w:rsidRPr="00263811">
        <w:rPr>
          <w:rFonts w:ascii="Arial" w:hAnsi="Arial" w:cs="Arial"/>
          <w:spacing w:val="4"/>
          <w:szCs w:val="24"/>
        </w:rPr>
        <w:t>Acta de discusión No. 140A del 29 de septiembre de 2020</w:t>
      </w:r>
    </w:p>
    <w:p w14:paraId="45C6D5D2" w14:textId="77777777" w:rsidR="006E2562" w:rsidRPr="00263811" w:rsidRDefault="006E2562" w:rsidP="006E2562">
      <w:pPr>
        <w:spacing w:line="276" w:lineRule="auto"/>
        <w:jc w:val="center"/>
        <w:rPr>
          <w:rFonts w:ascii="Arial" w:hAnsi="Arial" w:cs="Arial"/>
          <w:spacing w:val="4"/>
          <w:szCs w:val="24"/>
        </w:rPr>
      </w:pPr>
    </w:p>
    <w:p w14:paraId="4FD5E841" w14:textId="7805BF6A" w:rsidR="00C464E6" w:rsidRPr="00263811" w:rsidRDefault="00C464E6" w:rsidP="006E2562">
      <w:pPr>
        <w:spacing w:line="276" w:lineRule="auto"/>
        <w:jc w:val="center"/>
        <w:rPr>
          <w:rFonts w:ascii="Arial" w:hAnsi="Arial" w:cs="Arial"/>
          <w:spacing w:val="4"/>
          <w:szCs w:val="24"/>
        </w:rPr>
      </w:pPr>
      <w:r w:rsidRPr="00263811">
        <w:rPr>
          <w:rFonts w:ascii="Arial" w:hAnsi="Arial" w:cs="Arial"/>
          <w:spacing w:val="4"/>
          <w:szCs w:val="24"/>
        </w:rPr>
        <w:t>Pereira, Risaralda, cinco (5) de octubre de dos mil veinte (2020)</w:t>
      </w:r>
    </w:p>
    <w:p w14:paraId="0FB02887" w14:textId="77777777" w:rsidR="00116DDD" w:rsidRPr="00263811" w:rsidRDefault="00116DDD" w:rsidP="006E2562">
      <w:pPr>
        <w:spacing w:line="276" w:lineRule="auto"/>
        <w:jc w:val="both"/>
        <w:rPr>
          <w:rFonts w:ascii="Arial" w:hAnsi="Arial" w:cs="Arial"/>
          <w:spacing w:val="4"/>
          <w:szCs w:val="24"/>
        </w:rPr>
      </w:pPr>
    </w:p>
    <w:p w14:paraId="1A806ADD" w14:textId="1B7B92E6" w:rsidR="27CED039" w:rsidRPr="00263811" w:rsidRDefault="27CED039" w:rsidP="006E2562">
      <w:pPr>
        <w:spacing w:line="276" w:lineRule="auto"/>
        <w:jc w:val="both"/>
        <w:rPr>
          <w:rFonts w:ascii="Arial" w:hAnsi="Arial" w:cs="Arial"/>
          <w:spacing w:val="4"/>
          <w:szCs w:val="24"/>
        </w:rPr>
      </w:pPr>
      <w:r w:rsidRPr="00263811">
        <w:rPr>
          <w:rFonts w:ascii="Arial" w:hAnsi="Arial" w:cs="Arial"/>
          <w:spacing w:val="4"/>
          <w:szCs w:val="24"/>
        </w:rPr>
        <w:lastRenderedPageBreak/>
        <w:t>Sería del caso en el presente asunto proceder al estudio del recurso de apelación interpuesto contra la sentencia de primera instancia, si no fuera porque al realizar el examen preliminar que dispone el artículo 325 del Código General del Proceso, la Sala advierte una causal de nulidad insaneable que invalida todo lo actuado ante esta Corporación, pese a no haber sido alegada por ninguna de las partes, pero que en todo caso resulta preciso que sea declarada de oficio. </w:t>
      </w:r>
    </w:p>
    <w:p w14:paraId="27CE1B15" w14:textId="5E5DB2D3" w:rsidR="00116DDD" w:rsidRPr="00263811" w:rsidRDefault="00116DDD" w:rsidP="006E2562">
      <w:pPr>
        <w:spacing w:line="276" w:lineRule="auto"/>
        <w:jc w:val="both"/>
        <w:rPr>
          <w:rFonts w:ascii="Arial" w:hAnsi="Arial" w:cs="Arial"/>
          <w:spacing w:val="4"/>
          <w:szCs w:val="24"/>
        </w:rPr>
      </w:pPr>
      <w:r w:rsidRPr="00263811">
        <w:rPr>
          <w:rFonts w:ascii="Arial" w:hAnsi="Arial" w:cs="Arial"/>
          <w:spacing w:val="4"/>
          <w:szCs w:val="24"/>
        </w:rPr>
        <w:t> </w:t>
      </w:r>
    </w:p>
    <w:p w14:paraId="27597C94" w14:textId="1FBE8B42" w:rsidR="00B62BDD" w:rsidRPr="00263811" w:rsidRDefault="00B62BDD" w:rsidP="006E2562">
      <w:pPr>
        <w:spacing w:line="276" w:lineRule="auto"/>
        <w:jc w:val="both"/>
        <w:rPr>
          <w:rFonts w:ascii="Arial" w:hAnsi="Arial" w:cs="Arial"/>
          <w:spacing w:val="4"/>
          <w:szCs w:val="24"/>
        </w:rPr>
      </w:pPr>
      <w:r w:rsidRPr="00263811">
        <w:rPr>
          <w:rFonts w:ascii="Arial" w:hAnsi="Arial" w:cs="Arial"/>
          <w:spacing w:val="4"/>
          <w:szCs w:val="24"/>
        </w:rPr>
        <w:t xml:space="preserve">En los términos del memorial de sustitución otorgado por el abogado </w:t>
      </w:r>
      <w:r w:rsidR="00644F7C" w:rsidRPr="00263811">
        <w:rPr>
          <w:rFonts w:ascii="Arial" w:hAnsi="Arial" w:cs="Arial"/>
          <w:spacing w:val="4"/>
          <w:szCs w:val="24"/>
        </w:rPr>
        <w:t>José Octavio Zuluaga Rodríguez</w:t>
      </w:r>
      <w:r w:rsidRPr="00263811">
        <w:rPr>
          <w:rFonts w:ascii="Arial" w:hAnsi="Arial" w:cs="Arial"/>
          <w:spacing w:val="4"/>
          <w:szCs w:val="24"/>
        </w:rPr>
        <w:t xml:space="preserve">, identificado con la C.C. No. </w:t>
      </w:r>
      <w:r w:rsidR="00644F7C" w:rsidRPr="00263811">
        <w:rPr>
          <w:rFonts w:ascii="Arial" w:hAnsi="Arial" w:cs="Arial"/>
          <w:spacing w:val="4"/>
          <w:szCs w:val="24"/>
        </w:rPr>
        <w:t>79.266.852</w:t>
      </w:r>
      <w:r w:rsidRPr="00263811">
        <w:rPr>
          <w:rFonts w:ascii="Arial" w:hAnsi="Arial" w:cs="Arial"/>
          <w:spacing w:val="4"/>
          <w:szCs w:val="24"/>
        </w:rPr>
        <w:t xml:space="preserve"> de Bogotá y portador de la Tarjeta Profesional No. </w:t>
      </w:r>
      <w:r w:rsidR="00644F7C" w:rsidRPr="00263811">
        <w:rPr>
          <w:rFonts w:ascii="Arial" w:hAnsi="Arial" w:cs="Arial"/>
          <w:spacing w:val="4"/>
          <w:szCs w:val="24"/>
        </w:rPr>
        <w:t>98.660</w:t>
      </w:r>
      <w:r w:rsidRPr="00263811">
        <w:rPr>
          <w:rFonts w:ascii="Arial" w:hAnsi="Arial" w:cs="Arial"/>
          <w:spacing w:val="4"/>
          <w:szCs w:val="24"/>
        </w:rPr>
        <w:t xml:space="preserve"> del Consejo Superior de la Judicatura, se reconoce personería judicial a la abogada </w:t>
      </w:r>
      <w:r w:rsidR="00644F7C" w:rsidRPr="00263811">
        <w:rPr>
          <w:rFonts w:ascii="Arial" w:hAnsi="Arial" w:cs="Arial"/>
          <w:spacing w:val="4"/>
          <w:szCs w:val="24"/>
        </w:rPr>
        <w:t>Leidy Tatiana Correa Cardona</w:t>
      </w:r>
      <w:r w:rsidRPr="00263811">
        <w:rPr>
          <w:rFonts w:ascii="Arial" w:hAnsi="Arial" w:cs="Arial"/>
          <w:spacing w:val="4"/>
          <w:szCs w:val="24"/>
        </w:rPr>
        <w:t>, identificada con la C.C. No.</w:t>
      </w:r>
      <w:r w:rsidR="0041511C" w:rsidRPr="00263811">
        <w:rPr>
          <w:rFonts w:ascii="Arial" w:hAnsi="Arial" w:cs="Arial"/>
          <w:spacing w:val="4"/>
          <w:szCs w:val="24"/>
        </w:rPr>
        <w:t xml:space="preserve"> </w:t>
      </w:r>
      <w:r w:rsidR="00644F7C" w:rsidRPr="00263811">
        <w:rPr>
          <w:rFonts w:ascii="Arial" w:hAnsi="Arial" w:cs="Arial"/>
          <w:spacing w:val="4"/>
          <w:szCs w:val="24"/>
        </w:rPr>
        <w:t>1.088.292.104</w:t>
      </w:r>
      <w:r w:rsidRPr="00263811">
        <w:rPr>
          <w:rFonts w:ascii="Arial" w:hAnsi="Arial" w:cs="Arial"/>
          <w:spacing w:val="4"/>
          <w:szCs w:val="24"/>
        </w:rPr>
        <w:t xml:space="preserve"> de </w:t>
      </w:r>
      <w:r w:rsidR="00644F7C" w:rsidRPr="00263811">
        <w:rPr>
          <w:rFonts w:ascii="Arial" w:hAnsi="Arial" w:cs="Arial"/>
          <w:spacing w:val="4"/>
          <w:szCs w:val="24"/>
        </w:rPr>
        <w:t>Pereira</w:t>
      </w:r>
      <w:r w:rsidRPr="00263811">
        <w:rPr>
          <w:rFonts w:ascii="Arial" w:hAnsi="Arial" w:cs="Arial"/>
          <w:spacing w:val="4"/>
          <w:szCs w:val="24"/>
        </w:rPr>
        <w:t xml:space="preserve"> y portadora de la Tarjeta Profesional No. </w:t>
      </w:r>
      <w:r w:rsidR="00644F7C" w:rsidRPr="00263811">
        <w:rPr>
          <w:rFonts w:ascii="Arial" w:hAnsi="Arial" w:cs="Arial"/>
          <w:spacing w:val="4"/>
          <w:szCs w:val="24"/>
        </w:rPr>
        <w:t>288.369</w:t>
      </w:r>
      <w:r w:rsidR="0041511C" w:rsidRPr="00263811">
        <w:rPr>
          <w:rFonts w:ascii="Arial" w:hAnsi="Arial" w:cs="Arial"/>
          <w:spacing w:val="4"/>
          <w:szCs w:val="24"/>
        </w:rPr>
        <w:t xml:space="preserve"> </w:t>
      </w:r>
      <w:r w:rsidRPr="00263811">
        <w:rPr>
          <w:rFonts w:ascii="Arial" w:hAnsi="Arial" w:cs="Arial"/>
          <w:spacing w:val="4"/>
          <w:szCs w:val="24"/>
        </w:rPr>
        <w:t xml:space="preserve">del Consejo Superior de la Judicatura, para que obre en representación de la Administradora Colombiana de Pensiones – Colpensiones.  </w:t>
      </w:r>
    </w:p>
    <w:p w14:paraId="2F0D0E23" w14:textId="77777777" w:rsidR="00B62BDD" w:rsidRPr="00263811" w:rsidRDefault="00B62BDD" w:rsidP="006E2562">
      <w:pPr>
        <w:spacing w:line="276" w:lineRule="auto"/>
        <w:jc w:val="both"/>
        <w:rPr>
          <w:rFonts w:ascii="Arial" w:hAnsi="Arial" w:cs="Arial"/>
          <w:spacing w:val="4"/>
          <w:szCs w:val="24"/>
        </w:rPr>
      </w:pPr>
    </w:p>
    <w:p w14:paraId="22E41C6C" w14:textId="77777777" w:rsidR="00B62BDD" w:rsidRPr="00263811" w:rsidRDefault="00B62BDD" w:rsidP="006E2562">
      <w:pPr>
        <w:spacing w:line="276" w:lineRule="auto"/>
        <w:jc w:val="both"/>
        <w:rPr>
          <w:rFonts w:ascii="Arial" w:hAnsi="Arial" w:cs="Arial"/>
          <w:spacing w:val="4"/>
          <w:szCs w:val="24"/>
        </w:rPr>
      </w:pPr>
      <w:r w:rsidRPr="00263811">
        <w:rPr>
          <w:rFonts w:ascii="Arial" w:hAnsi="Arial" w:cs="Arial"/>
          <w:spacing w:val="4"/>
          <w:szCs w:val="24"/>
        </w:rPr>
        <w:t xml:space="preserve">Previamente se revisó, discutió y aprobó el proyecto elaborado por la Magistrada ponente el cual alude a la siguiente:  </w:t>
      </w:r>
    </w:p>
    <w:p w14:paraId="24232E8F" w14:textId="77777777" w:rsidR="00B62BDD" w:rsidRPr="00263811" w:rsidRDefault="00B62BDD" w:rsidP="006E2562">
      <w:pPr>
        <w:spacing w:line="276" w:lineRule="auto"/>
        <w:jc w:val="both"/>
        <w:rPr>
          <w:rFonts w:ascii="Arial" w:hAnsi="Arial" w:cs="Arial"/>
          <w:spacing w:val="4"/>
          <w:szCs w:val="24"/>
        </w:rPr>
      </w:pPr>
    </w:p>
    <w:p w14:paraId="1545182B" w14:textId="2ACFC95D" w:rsidR="00116DDD" w:rsidRPr="00263811" w:rsidRDefault="00162D9D" w:rsidP="006E2562">
      <w:pPr>
        <w:spacing w:line="276" w:lineRule="auto"/>
        <w:jc w:val="center"/>
        <w:rPr>
          <w:rFonts w:ascii="Arial" w:hAnsi="Arial" w:cs="Arial"/>
          <w:b/>
          <w:bCs/>
          <w:spacing w:val="4"/>
          <w:szCs w:val="24"/>
        </w:rPr>
      </w:pPr>
      <w:r w:rsidRPr="00263811">
        <w:rPr>
          <w:rFonts w:ascii="Arial" w:hAnsi="Arial" w:cs="Arial"/>
          <w:b/>
          <w:bCs/>
          <w:spacing w:val="4"/>
          <w:szCs w:val="24"/>
        </w:rPr>
        <w:t xml:space="preserve">I. </w:t>
      </w:r>
      <w:r w:rsidR="000E3124" w:rsidRPr="00263811">
        <w:rPr>
          <w:rFonts w:ascii="Arial" w:hAnsi="Arial" w:cs="Arial"/>
          <w:b/>
          <w:bCs/>
          <w:spacing w:val="4"/>
          <w:szCs w:val="24"/>
        </w:rPr>
        <w:t xml:space="preserve"> </w:t>
      </w:r>
      <w:r w:rsidRPr="00263811">
        <w:rPr>
          <w:rFonts w:ascii="Arial" w:hAnsi="Arial" w:cs="Arial"/>
          <w:b/>
          <w:bCs/>
          <w:spacing w:val="4"/>
          <w:szCs w:val="24"/>
        </w:rPr>
        <w:t xml:space="preserve"> </w:t>
      </w:r>
      <w:r w:rsidR="00116DDD" w:rsidRPr="00263811">
        <w:rPr>
          <w:rFonts w:ascii="Arial" w:hAnsi="Arial" w:cs="Arial"/>
          <w:b/>
          <w:bCs/>
          <w:spacing w:val="4"/>
          <w:szCs w:val="24"/>
        </w:rPr>
        <w:t>ANTECEDENTES</w:t>
      </w:r>
    </w:p>
    <w:p w14:paraId="16BCE51E" w14:textId="77777777" w:rsidR="00116DDD" w:rsidRPr="00263811" w:rsidRDefault="00116DDD" w:rsidP="006E2562">
      <w:pPr>
        <w:spacing w:line="276" w:lineRule="auto"/>
        <w:jc w:val="both"/>
        <w:rPr>
          <w:rFonts w:ascii="Arial" w:hAnsi="Arial" w:cs="Arial"/>
          <w:spacing w:val="4"/>
          <w:szCs w:val="24"/>
        </w:rPr>
      </w:pPr>
    </w:p>
    <w:p w14:paraId="67AE6BEA" w14:textId="41AD2777" w:rsidR="00116DDD" w:rsidRPr="00263811" w:rsidRDefault="00AD30D2" w:rsidP="006E2562">
      <w:pPr>
        <w:spacing w:line="276" w:lineRule="auto"/>
        <w:jc w:val="both"/>
        <w:rPr>
          <w:rFonts w:ascii="Arial" w:hAnsi="Arial" w:cs="Arial"/>
          <w:b/>
          <w:bCs/>
          <w:spacing w:val="4"/>
          <w:szCs w:val="24"/>
        </w:rPr>
      </w:pPr>
      <w:r w:rsidRPr="00263811">
        <w:rPr>
          <w:rFonts w:ascii="Arial" w:hAnsi="Arial" w:cs="Arial"/>
          <w:b/>
          <w:bCs/>
          <w:spacing w:val="4"/>
          <w:szCs w:val="24"/>
        </w:rPr>
        <w:t xml:space="preserve">1.1.   </w:t>
      </w:r>
      <w:r w:rsidR="000E3124" w:rsidRPr="00263811">
        <w:rPr>
          <w:rFonts w:ascii="Arial" w:hAnsi="Arial" w:cs="Arial"/>
          <w:b/>
          <w:bCs/>
          <w:spacing w:val="4"/>
          <w:szCs w:val="24"/>
        </w:rPr>
        <w:t xml:space="preserve"> </w:t>
      </w:r>
      <w:r w:rsidR="00116DDD" w:rsidRPr="00263811">
        <w:rPr>
          <w:rFonts w:ascii="Arial" w:hAnsi="Arial" w:cs="Arial"/>
          <w:b/>
          <w:bCs/>
          <w:spacing w:val="4"/>
          <w:szCs w:val="24"/>
        </w:rPr>
        <w:t>Demanda</w:t>
      </w:r>
    </w:p>
    <w:p w14:paraId="296EDCCE" w14:textId="77777777" w:rsidR="00116DDD" w:rsidRPr="00263811" w:rsidRDefault="00116DDD" w:rsidP="006E2562">
      <w:pPr>
        <w:spacing w:line="276" w:lineRule="auto"/>
        <w:jc w:val="both"/>
        <w:rPr>
          <w:rFonts w:ascii="Arial" w:hAnsi="Arial" w:cs="Arial"/>
          <w:spacing w:val="4"/>
          <w:szCs w:val="24"/>
        </w:rPr>
      </w:pPr>
    </w:p>
    <w:p w14:paraId="5C406593" w14:textId="74B24D9D" w:rsidR="0053721F" w:rsidRPr="00263811" w:rsidRDefault="00116DDD" w:rsidP="006E2562">
      <w:pPr>
        <w:spacing w:line="276" w:lineRule="auto"/>
        <w:jc w:val="both"/>
        <w:rPr>
          <w:rFonts w:ascii="Arial" w:hAnsi="Arial" w:cs="Arial"/>
          <w:spacing w:val="4"/>
          <w:szCs w:val="24"/>
        </w:rPr>
      </w:pPr>
      <w:r w:rsidRPr="00263811">
        <w:rPr>
          <w:rFonts w:ascii="Arial" w:hAnsi="Arial" w:cs="Arial"/>
          <w:spacing w:val="4"/>
          <w:szCs w:val="24"/>
        </w:rPr>
        <w:t xml:space="preserve">Pretende </w:t>
      </w:r>
      <w:r w:rsidR="004F349B" w:rsidRPr="00263811">
        <w:rPr>
          <w:rFonts w:ascii="Arial" w:hAnsi="Arial" w:cs="Arial"/>
          <w:spacing w:val="4"/>
          <w:szCs w:val="24"/>
        </w:rPr>
        <w:t>la</w:t>
      </w:r>
      <w:r w:rsidRPr="00263811">
        <w:rPr>
          <w:rFonts w:ascii="Arial" w:hAnsi="Arial" w:cs="Arial"/>
          <w:spacing w:val="4"/>
          <w:szCs w:val="24"/>
        </w:rPr>
        <w:t xml:space="preserve"> demandante que la justicia ordinaria laboral declare la nulidad</w:t>
      </w:r>
      <w:r w:rsidR="0053721F" w:rsidRPr="00263811">
        <w:rPr>
          <w:rFonts w:ascii="Arial" w:hAnsi="Arial" w:cs="Arial"/>
          <w:spacing w:val="4"/>
          <w:szCs w:val="24"/>
        </w:rPr>
        <w:t xml:space="preserve"> </w:t>
      </w:r>
      <w:r w:rsidRPr="00263811">
        <w:rPr>
          <w:rFonts w:ascii="Arial" w:hAnsi="Arial" w:cs="Arial"/>
          <w:spacing w:val="4"/>
          <w:szCs w:val="24"/>
        </w:rPr>
        <w:t xml:space="preserve">del traslado </w:t>
      </w:r>
      <w:r w:rsidR="00566F3D" w:rsidRPr="00263811">
        <w:rPr>
          <w:rFonts w:ascii="Arial" w:hAnsi="Arial" w:cs="Arial"/>
          <w:spacing w:val="4"/>
          <w:szCs w:val="24"/>
        </w:rPr>
        <w:t>efectuado el</w:t>
      </w:r>
      <w:r w:rsidR="00811C15" w:rsidRPr="00263811">
        <w:rPr>
          <w:rFonts w:ascii="Arial" w:hAnsi="Arial" w:cs="Arial"/>
          <w:spacing w:val="4"/>
          <w:szCs w:val="24"/>
        </w:rPr>
        <w:t xml:space="preserve"> “mes de febrero del año 2000” (sic)</w:t>
      </w:r>
      <w:r w:rsidR="00566F3D" w:rsidRPr="00263811">
        <w:rPr>
          <w:rFonts w:ascii="Arial" w:hAnsi="Arial" w:cs="Arial"/>
          <w:spacing w:val="4"/>
          <w:szCs w:val="24"/>
        </w:rPr>
        <w:t xml:space="preserve"> </w:t>
      </w:r>
      <w:r w:rsidRPr="00263811">
        <w:rPr>
          <w:rFonts w:ascii="Arial" w:hAnsi="Arial" w:cs="Arial"/>
          <w:spacing w:val="4"/>
          <w:szCs w:val="24"/>
        </w:rPr>
        <w:t>del régimen de prima media con prestación definida al régimen de ahorro individual con solidaridad</w:t>
      </w:r>
      <w:r w:rsidR="00566F3D" w:rsidRPr="00263811">
        <w:rPr>
          <w:rFonts w:ascii="Arial" w:hAnsi="Arial" w:cs="Arial"/>
          <w:spacing w:val="4"/>
          <w:szCs w:val="24"/>
        </w:rPr>
        <w:t>,</w:t>
      </w:r>
      <w:r w:rsidRPr="00263811">
        <w:rPr>
          <w:rFonts w:ascii="Arial" w:hAnsi="Arial" w:cs="Arial"/>
          <w:spacing w:val="4"/>
          <w:szCs w:val="24"/>
        </w:rPr>
        <w:t xml:space="preserve"> a través de la </w:t>
      </w:r>
      <w:r w:rsidR="0007029E" w:rsidRPr="00263811">
        <w:rPr>
          <w:rFonts w:ascii="Arial" w:hAnsi="Arial" w:cs="Arial"/>
          <w:spacing w:val="4"/>
          <w:szCs w:val="24"/>
        </w:rPr>
        <w:t>administradora de fondos de pensione</w:t>
      </w:r>
      <w:r w:rsidR="00B55D19" w:rsidRPr="00263811">
        <w:rPr>
          <w:rFonts w:ascii="Arial" w:hAnsi="Arial" w:cs="Arial"/>
          <w:spacing w:val="4"/>
          <w:szCs w:val="24"/>
        </w:rPr>
        <w:t>s</w:t>
      </w:r>
      <w:r w:rsidR="0007029E" w:rsidRPr="00263811">
        <w:rPr>
          <w:rFonts w:ascii="Arial" w:hAnsi="Arial" w:cs="Arial"/>
          <w:spacing w:val="4"/>
          <w:szCs w:val="24"/>
        </w:rPr>
        <w:t xml:space="preserve"> </w:t>
      </w:r>
      <w:r w:rsidR="001E64D9" w:rsidRPr="00263811">
        <w:rPr>
          <w:rFonts w:ascii="Arial" w:hAnsi="Arial" w:cs="Arial"/>
          <w:b/>
          <w:bCs/>
          <w:spacing w:val="4"/>
          <w:szCs w:val="24"/>
        </w:rPr>
        <w:t>COLFONDOS</w:t>
      </w:r>
      <w:r w:rsidR="00811C15" w:rsidRPr="00263811">
        <w:rPr>
          <w:rFonts w:ascii="Arial" w:hAnsi="Arial" w:cs="Arial"/>
          <w:b/>
          <w:bCs/>
          <w:spacing w:val="4"/>
          <w:szCs w:val="24"/>
        </w:rPr>
        <w:t>,</w:t>
      </w:r>
      <w:r w:rsidR="00811C15" w:rsidRPr="00263811">
        <w:rPr>
          <w:rFonts w:ascii="Arial" w:hAnsi="Arial" w:cs="Arial"/>
          <w:spacing w:val="4"/>
          <w:szCs w:val="24"/>
        </w:rPr>
        <w:t xml:space="preserve"> al igual que la validez y vigencia de la afiliación a </w:t>
      </w:r>
      <w:r w:rsidR="00811C15" w:rsidRPr="00263811">
        <w:rPr>
          <w:rFonts w:ascii="Arial" w:hAnsi="Arial" w:cs="Arial"/>
          <w:b/>
          <w:bCs/>
          <w:spacing w:val="4"/>
          <w:szCs w:val="24"/>
        </w:rPr>
        <w:t>COLPENSIONES.</w:t>
      </w:r>
      <w:r w:rsidR="00811C15" w:rsidRPr="00263811">
        <w:rPr>
          <w:rFonts w:ascii="Arial" w:hAnsi="Arial" w:cs="Arial"/>
          <w:spacing w:val="4"/>
          <w:szCs w:val="24"/>
        </w:rPr>
        <w:t xml:space="preserve"> </w:t>
      </w:r>
      <w:r w:rsidR="0053721F" w:rsidRPr="00263811">
        <w:rPr>
          <w:rFonts w:ascii="Arial" w:hAnsi="Arial" w:cs="Arial"/>
          <w:spacing w:val="4"/>
          <w:szCs w:val="24"/>
        </w:rPr>
        <w:t xml:space="preserve"> Consecuentemente, solicita que se condene a </w:t>
      </w:r>
      <w:r w:rsidR="00761358" w:rsidRPr="00263811">
        <w:rPr>
          <w:rFonts w:ascii="Arial" w:hAnsi="Arial" w:cs="Arial"/>
          <w:spacing w:val="4"/>
          <w:szCs w:val="24"/>
        </w:rPr>
        <w:t xml:space="preserve">la primera </w:t>
      </w:r>
      <w:r w:rsidR="0053721F" w:rsidRPr="00263811">
        <w:rPr>
          <w:rFonts w:ascii="Arial" w:hAnsi="Arial" w:cs="Arial"/>
          <w:spacing w:val="4"/>
          <w:szCs w:val="24"/>
        </w:rPr>
        <w:t xml:space="preserve">a trasladar a </w:t>
      </w:r>
      <w:r w:rsidR="00761358" w:rsidRPr="00263811">
        <w:rPr>
          <w:rFonts w:ascii="Arial" w:hAnsi="Arial" w:cs="Arial"/>
          <w:spacing w:val="4"/>
          <w:szCs w:val="24"/>
        </w:rPr>
        <w:t>la segunda,</w:t>
      </w:r>
      <w:r w:rsidR="0053721F" w:rsidRPr="00263811">
        <w:rPr>
          <w:rFonts w:ascii="Arial" w:hAnsi="Arial" w:cs="Arial"/>
          <w:spacing w:val="4"/>
          <w:szCs w:val="24"/>
        </w:rPr>
        <w:t xml:space="preserve"> todos los aportes recibidos</w:t>
      </w:r>
      <w:r w:rsidR="00671DAA" w:rsidRPr="00263811">
        <w:rPr>
          <w:rFonts w:ascii="Arial" w:hAnsi="Arial" w:cs="Arial"/>
          <w:spacing w:val="4"/>
          <w:szCs w:val="24"/>
        </w:rPr>
        <w:t>, con sus frutos e intereses,</w:t>
      </w:r>
      <w:r w:rsidR="0053721F" w:rsidRPr="00263811">
        <w:rPr>
          <w:rFonts w:ascii="Arial" w:hAnsi="Arial" w:cs="Arial"/>
          <w:spacing w:val="4"/>
          <w:szCs w:val="24"/>
        </w:rPr>
        <w:t xml:space="preserve"> y a ambas</w:t>
      </w:r>
      <w:r w:rsidR="00671DAA" w:rsidRPr="00263811">
        <w:rPr>
          <w:rFonts w:ascii="Arial" w:hAnsi="Arial" w:cs="Arial"/>
          <w:spacing w:val="4"/>
          <w:szCs w:val="24"/>
        </w:rPr>
        <w:t xml:space="preserve"> demandadas, al pago de las costas procesales. </w:t>
      </w:r>
      <w:r w:rsidR="0053721F" w:rsidRPr="00263811">
        <w:rPr>
          <w:rFonts w:ascii="Arial" w:hAnsi="Arial" w:cs="Arial"/>
          <w:spacing w:val="4"/>
          <w:szCs w:val="24"/>
        </w:rPr>
        <w:t xml:space="preserve"> </w:t>
      </w:r>
    </w:p>
    <w:p w14:paraId="7A53E396" w14:textId="622EFDA9" w:rsidR="00116DDD" w:rsidRPr="00263811" w:rsidRDefault="00116DDD" w:rsidP="006E2562">
      <w:pPr>
        <w:spacing w:line="276" w:lineRule="auto"/>
        <w:jc w:val="both"/>
        <w:rPr>
          <w:rFonts w:ascii="Arial" w:hAnsi="Arial" w:cs="Arial"/>
          <w:spacing w:val="4"/>
          <w:szCs w:val="24"/>
        </w:rPr>
      </w:pPr>
    </w:p>
    <w:p w14:paraId="3E1B5DD7" w14:textId="4E51EF38" w:rsidR="00671DAA" w:rsidRPr="00263811" w:rsidRDefault="00671DAA" w:rsidP="006E2562">
      <w:pPr>
        <w:spacing w:line="276" w:lineRule="auto"/>
        <w:jc w:val="both"/>
        <w:rPr>
          <w:rFonts w:ascii="Arial" w:hAnsi="Arial" w:cs="Arial"/>
          <w:spacing w:val="4"/>
          <w:szCs w:val="24"/>
        </w:rPr>
      </w:pPr>
      <w:r w:rsidRPr="00263811">
        <w:rPr>
          <w:rFonts w:ascii="Arial" w:hAnsi="Arial" w:cs="Arial"/>
          <w:spacing w:val="4"/>
          <w:szCs w:val="24"/>
        </w:rPr>
        <w:t>Como sustento de sus pretensiones expuso, en síntesis, que el 18 de febrero de 1980 se afilió al ISS (hoy Colpensiones); que e</w:t>
      </w:r>
      <w:r w:rsidR="00760BF2" w:rsidRPr="00263811">
        <w:rPr>
          <w:rFonts w:ascii="Arial" w:hAnsi="Arial" w:cs="Arial"/>
          <w:spacing w:val="4"/>
          <w:szCs w:val="24"/>
        </w:rPr>
        <w:t>n el mes de febrero de 1997 se</w:t>
      </w:r>
      <w:r w:rsidRPr="00263811">
        <w:rPr>
          <w:rFonts w:ascii="Arial" w:hAnsi="Arial" w:cs="Arial"/>
          <w:spacing w:val="4"/>
          <w:szCs w:val="24"/>
        </w:rPr>
        <w:t xml:space="preserve"> trasladó a PORVENIR; que en el acto de traslado le fue informado que debía hacerlo porque el ISS estaba próximo a desaparecer, que de no tener beneficiarios de ley</w:t>
      </w:r>
      <w:r w:rsidR="00760BF2" w:rsidRPr="00263811">
        <w:rPr>
          <w:rFonts w:ascii="Arial" w:hAnsi="Arial" w:cs="Arial"/>
          <w:spacing w:val="4"/>
          <w:szCs w:val="24"/>
        </w:rPr>
        <w:t>, en el régimen de prima media</w:t>
      </w:r>
      <w:r w:rsidRPr="00263811">
        <w:rPr>
          <w:rFonts w:ascii="Arial" w:hAnsi="Arial" w:cs="Arial"/>
          <w:spacing w:val="4"/>
          <w:szCs w:val="24"/>
        </w:rPr>
        <w:t xml:space="preserve"> se perdería la pensión, que en el régimen de ahorro individual podría pensionarse a más temprana edad con una mesada más alta, </w:t>
      </w:r>
      <w:r w:rsidR="00760BF2" w:rsidRPr="00263811">
        <w:rPr>
          <w:rFonts w:ascii="Arial" w:hAnsi="Arial" w:cs="Arial"/>
          <w:spacing w:val="4"/>
          <w:szCs w:val="24"/>
        </w:rPr>
        <w:t>que podía heredar la pensión</w:t>
      </w:r>
      <w:r w:rsidRPr="00263811">
        <w:rPr>
          <w:rFonts w:ascii="Arial" w:hAnsi="Arial" w:cs="Arial"/>
          <w:spacing w:val="4"/>
          <w:szCs w:val="24"/>
        </w:rPr>
        <w:t xml:space="preserve"> hasta el quinto grado de consanguinidad o solicitar la devolución del capital ahorrado en caso de no querer pensionarse; que en dicha oportunidad el fondo no le informó que la posibilidad de heredar la pensión únicamente operaba en la modalidad de retiro programado, que no se le hizo un comparativo de beneficios, consecuencias y proyecciones pensionales; y que no se le informó del plazo para retornar al régimen de prima media. </w:t>
      </w:r>
    </w:p>
    <w:p w14:paraId="09B23A16" w14:textId="77777777" w:rsidR="00E642FD" w:rsidRPr="00263811" w:rsidRDefault="00E642FD" w:rsidP="006E2562">
      <w:pPr>
        <w:spacing w:line="276" w:lineRule="auto"/>
        <w:jc w:val="both"/>
        <w:rPr>
          <w:rFonts w:ascii="Arial" w:hAnsi="Arial" w:cs="Arial"/>
          <w:spacing w:val="4"/>
          <w:szCs w:val="24"/>
        </w:rPr>
      </w:pPr>
    </w:p>
    <w:p w14:paraId="6CB92E2C" w14:textId="419D30BE" w:rsidR="00116DDD" w:rsidRPr="00263811" w:rsidRDefault="00116DDD" w:rsidP="006E2562">
      <w:pPr>
        <w:spacing w:line="276" w:lineRule="auto"/>
        <w:jc w:val="both"/>
        <w:rPr>
          <w:rFonts w:ascii="Arial" w:hAnsi="Arial" w:cs="Arial"/>
          <w:b/>
          <w:bCs/>
          <w:spacing w:val="4"/>
          <w:szCs w:val="24"/>
        </w:rPr>
      </w:pPr>
      <w:r w:rsidRPr="00263811">
        <w:rPr>
          <w:rFonts w:ascii="Arial" w:hAnsi="Arial" w:cs="Arial"/>
          <w:b/>
          <w:bCs/>
          <w:spacing w:val="4"/>
          <w:szCs w:val="24"/>
        </w:rPr>
        <w:t xml:space="preserve">1.2.    Respuesta a la demanda. </w:t>
      </w:r>
    </w:p>
    <w:p w14:paraId="172D3F47" w14:textId="77777777" w:rsidR="00116DDD" w:rsidRPr="00263811" w:rsidRDefault="00116DDD" w:rsidP="006E2562">
      <w:pPr>
        <w:spacing w:line="276" w:lineRule="auto"/>
        <w:jc w:val="both"/>
        <w:rPr>
          <w:rFonts w:ascii="Arial" w:hAnsi="Arial" w:cs="Arial"/>
          <w:spacing w:val="4"/>
          <w:szCs w:val="24"/>
        </w:rPr>
      </w:pPr>
    </w:p>
    <w:p w14:paraId="00034A5E" w14:textId="10449FF0" w:rsidR="00760BF2" w:rsidRPr="00263811" w:rsidRDefault="00760BF2" w:rsidP="006E2562">
      <w:pPr>
        <w:spacing w:line="276" w:lineRule="auto"/>
        <w:jc w:val="both"/>
        <w:rPr>
          <w:rFonts w:ascii="Arial" w:hAnsi="Arial" w:cs="Arial"/>
          <w:spacing w:val="4"/>
          <w:szCs w:val="24"/>
        </w:rPr>
      </w:pPr>
      <w:r w:rsidRPr="00263811">
        <w:rPr>
          <w:rFonts w:ascii="Arial" w:hAnsi="Arial" w:cs="Arial"/>
          <w:spacing w:val="4"/>
          <w:szCs w:val="24"/>
        </w:rPr>
        <w:t xml:space="preserve">Al dar contestación a la demanda, </w:t>
      </w:r>
      <w:r w:rsidRPr="00263811">
        <w:rPr>
          <w:rFonts w:ascii="Arial" w:hAnsi="Arial" w:cs="Arial"/>
          <w:b/>
          <w:bCs/>
          <w:spacing w:val="4"/>
          <w:szCs w:val="24"/>
        </w:rPr>
        <w:t>COLPENSIONES</w:t>
      </w:r>
      <w:r w:rsidRPr="00263811">
        <w:rPr>
          <w:rFonts w:ascii="Arial" w:hAnsi="Arial" w:cs="Arial"/>
          <w:spacing w:val="4"/>
          <w:szCs w:val="24"/>
        </w:rPr>
        <w:t xml:space="preserve"> aceptó los hechos relativo</w:t>
      </w:r>
      <w:r w:rsidR="00850CDA" w:rsidRPr="00263811">
        <w:rPr>
          <w:rFonts w:ascii="Arial" w:hAnsi="Arial" w:cs="Arial"/>
          <w:spacing w:val="4"/>
          <w:szCs w:val="24"/>
        </w:rPr>
        <w:t>s</w:t>
      </w:r>
      <w:r w:rsidRPr="00263811">
        <w:rPr>
          <w:rFonts w:ascii="Arial" w:hAnsi="Arial" w:cs="Arial"/>
          <w:spacing w:val="4"/>
          <w:szCs w:val="24"/>
        </w:rPr>
        <w:t xml:space="preserve"> </w:t>
      </w:r>
      <w:r w:rsidR="00850CDA" w:rsidRPr="00263811">
        <w:rPr>
          <w:rFonts w:ascii="Arial" w:hAnsi="Arial" w:cs="Arial"/>
          <w:spacing w:val="4"/>
          <w:szCs w:val="24"/>
        </w:rPr>
        <w:t xml:space="preserve">traslado de régimen pensional del demandante y a la comunicación fechada el 20 de noviembre de 2017 por COLFONDOS. Los demás supuestos fácticos los negó </w:t>
      </w:r>
      <w:r w:rsidR="00850CDA" w:rsidRPr="00263811">
        <w:rPr>
          <w:rFonts w:ascii="Arial" w:hAnsi="Arial" w:cs="Arial"/>
          <w:spacing w:val="4"/>
          <w:szCs w:val="24"/>
        </w:rPr>
        <w:lastRenderedPageBreak/>
        <w:t>o dijo que no le constaban. Se opuso a las pretensiones de la litis y en su defensa enlistó los medios exceptivos que denominó “</w:t>
      </w:r>
      <w:r w:rsidR="006E2562" w:rsidRPr="00263811">
        <w:rPr>
          <w:rFonts w:ascii="Arial" w:hAnsi="Arial" w:cs="Arial"/>
          <w:spacing w:val="4"/>
          <w:szCs w:val="24"/>
        </w:rPr>
        <w:t>inexistencia de la obligación”, “imposibilidad jurídica para reconocer y pagar derechos por fuera del ordenamiento legal”, “buena fe” e “imposibilidad de condena en costas</w:t>
      </w:r>
      <w:r w:rsidR="00850CDA" w:rsidRPr="00263811">
        <w:rPr>
          <w:rFonts w:ascii="Arial" w:hAnsi="Arial" w:cs="Arial"/>
          <w:spacing w:val="4"/>
          <w:szCs w:val="24"/>
        </w:rPr>
        <w:t>” (</w:t>
      </w:r>
      <w:proofErr w:type="spellStart"/>
      <w:r w:rsidR="00850CDA" w:rsidRPr="00263811">
        <w:rPr>
          <w:rFonts w:ascii="Arial" w:hAnsi="Arial" w:cs="Arial"/>
          <w:spacing w:val="4"/>
          <w:szCs w:val="24"/>
        </w:rPr>
        <w:t>fls</w:t>
      </w:r>
      <w:proofErr w:type="spellEnd"/>
      <w:r w:rsidR="00850CDA" w:rsidRPr="00263811">
        <w:rPr>
          <w:rFonts w:ascii="Arial" w:hAnsi="Arial" w:cs="Arial"/>
          <w:spacing w:val="4"/>
          <w:szCs w:val="24"/>
        </w:rPr>
        <w:t xml:space="preserve">. 92 a 97) </w:t>
      </w:r>
    </w:p>
    <w:p w14:paraId="110D0BE9" w14:textId="77777777" w:rsidR="00760BF2" w:rsidRPr="00263811" w:rsidRDefault="00760BF2" w:rsidP="006E2562">
      <w:pPr>
        <w:spacing w:line="276" w:lineRule="auto"/>
        <w:jc w:val="both"/>
        <w:rPr>
          <w:rFonts w:ascii="Arial" w:hAnsi="Arial" w:cs="Arial"/>
          <w:spacing w:val="4"/>
          <w:szCs w:val="24"/>
        </w:rPr>
      </w:pPr>
    </w:p>
    <w:p w14:paraId="2A9BDB85" w14:textId="6CA74EAD" w:rsidR="00116DDD" w:rsidRPr="00263811" w:rsidRDefault="00761358" w:rsidP="006E2562">
      <w:pPr>
        <w:spacing w:line="276" w:lineRule="auto"/>
        <w:jc w:val="both"/>
        <w:rPr>
          <w:rFonts w:ascii="Arial" w:hAnsi="Arial" w:cs="Arial"/>
          <w:spacing w:val="4"/>
          <w:szCs w:val="24"/>
        </w:rPr>
      </w:pPr>
      <w:r w:rsidRPr="00263811">
        <w:rPr>
          <w:rFonts w:ascii="Arial" w:hAnsi="Arial" w:cs="Arial"/>
          <w:spacing w:val="4"/>
          <w:szCs w:val="24"/>
        </w:rPr>
        <w:t xml:space="preserve">La </w:t>
      </w:r>
      <w:r w:rsidRPr="00263811">
        <w:rPr>
          <w:rFonts w:ascii="Arial" w:hAnsi="Arial" w:cs="Arial"/>
          <w:b/>
          <w:bCs/>
          <w:spacing w:val="4"/>
          <w:szCs w:val="24"/>
        </w:rPr>
        <w:t xml:space="preserve">A.F.P. </w:t>
      </w:r>
      <w:r w:rsidR="00850CDA" w:rsidRPr="00263811">
        <w:rPr>
          <w:rFonts w:ascii="Arial" w:hAnsi="Arial" w:cs="Arial"/>
          <w:b/>
          <w:bCs/>
          <w:spacing w:val="4"/>
          <w:szCs w:val="24"/>
        </w:rPr>
        <w:t>COLFONDOS</w:t>
      </w:r>
      <w:r w:rsidR="00850CDA" w:rsidRPr="00263811">
        <w:rPr>
          <w:rFonts w:ascii="Arial" w:hAnsi="Arial" w:cs="Arial"/>
          <w:spacing w:val="4"/>
          <w:szCs w:val="24"/>
        </w:rPr>
        <w:t xml:space="preserve"> a su turno, </w:t>
      </w:r>
      <w:r w:rsidR="00CE674D" w:rsidRPr="00263811">
        <w:rPr>
          <w:rFonts w:ascii="Arial" w:hAnsi="Arial" w:cs="Arial"/>
          <w:spacing w:val="4"/>
          <w:szCs w:val="24"/>
        </w:rPr>
        <w:t>respondió la demanda</w:t>
      </w:r>
      <w:r w:rsidR="00993BBF" w:rsidRPr="00263811">
        <w:rPr>
          <w:rFonts w:ascii="Arial" w:hAnsi="Arial" w:cs="Arial"/>
          <w:spacing w:val="4"/>
          <w:szCs w:val="24"/>
        </w:rPr>
        <w:t xml:space="preserve"> </w:t>
      </w:r>
      <w:r w:rsidR="00850CDA" w:rsidRPr="00263811">
        <w:rPr>
          <w:rFonts w:ascii="Arial" w:hAnsi="Arial" w:cs="Arial"/>
          <w:spacing w:val="4"/>
          <w:szCs w:val="24"/>
        </w:rPr>
        <w:t xml:space="preserve">negando </w:t>
      </w:r>
      <w:r w:rsidR="000E3124" w:rsidRPr="00263811">
        <w:rPr>
          <w:rFonts w:ascii="Arial" w:hAnsi="Arial" w:cs="Arial"/>
          <w:spacing w:val="4"/>
          <w:szCs w:val="24"/>
        </w:rPr>
        <w:t xml:space="preserve">la mayoría de los hechos postulados por el actor, a excepción de los </w:t>
      </w:r>
      <w:r w:rsidR="000F0B74" w:rsidRPr="00263811">
        <w:rPr>
          <w:rFonts w:ascii="Arial" w:hAnsi="Arial" w:cs="Arial"/>
          <w:spacing w:val="4"/>
          <w:szCs w:val="24"/>
        </w:rPr>
        <w:t xml:space="preserve">relativos </w:t>
      </w:r>
      <w:r w:rsidR="00927178" w:rsidRPr="00263811">
        <w:rPr>
          <w:rFonts w:ascii="Arial" w:hAnsi="Arial" w:cs="Arial"/>
          <w:spacing w:val="4"/>
          <w:szCs w:val="24"/>
        </w:rPr>
        <w:t xml:space="preserve">a la vinculación </w:t>
      </w:r>
      <w:r w:rsidR="00850CDA" w:rsidRPr="00263811">
        <w:rPr>
          <w:rFonts w:ascii="Arial" w:hAnsi="Arial" w:cs="Arial"/>
          <w:spacing w:val="4"/>
          <w:szCs w:val="24"/>
        </w:rPr>
        <w:t xml:space="preserve">del demandante </w:t>
      </w:r>
      <w:r w:rsidR="00927178" w:rsidRPr="00263811">
        <w:rPr>
          <w:rFonts w:ascii="Arial" w:hAnsi="Arial" w:cs="Arial"/>
          <w:spacing w:val="4"/>
          <w:szCs w:val="24"/>
        </w:rPr>
        <w:t xml:space="preserve">al ISS, </w:t>
      </w:r>
      <w:r w:rsidR="00850CDA" w:rsidRPr="00263811">
        <w:rPr>
          <w:rFonts w:ascii="Arial" w:hAnsi="Arial" w:cs="Arial"/>
          <w:spacing w:val="4"/>
          <w:szCs w:val="24"/>
        </w:rPr>
        <w:t>la afiliación actual a COLFONDOS y el valor del saldo en la cuenta individual a noviembre de 2017</w:t>
      </w:r>
      <w:r w:rsidR="000E3124" w:rsidRPr="00263811">
        <w:rPr>
          <w:rFonts w:ascii="Arial" w:hAnsi="Arial" w:cs="Arial"/>
          <w:spacing w:val="4"/>
          <w:szCs w:val="24"/>
        </w:rPr>
        <w:t>, los cuales admitió.  Manifestó su oposición a las pretensiones y como excepciones fondo formuló las de</w:t>
      </w:r>
      <w:r w:rsidR="00116DDD" w:rsidRPr="00263811">
        <w:rPr>
          <w:rFonts w:ascii="Arial" w:hAnsi="Arial" w:cs="Arial"/>
          <w:spacing w:val="4"/>
          <w:szCs w:val="24"/>
        </w:rPr>
        <w:t xml:space="preserve"> “</w:t>
      </w:r>
      <w:r w:rsidR="006E2562" w:rsidRPr="00263811">
        <w:rPr>
          <w:rFonts w:ascii="Arial" w:hAnsi="Arial" w:cs="Arial"/>
          <w:spacing w:val="4"/>
          <w:szCs w:val="24"/>
        </w:rPr>
        <w:t xml:space="preserve">validez de la afiliación al </w:t>
      </w:r>
      <w:proofErr w:type="spellStart"/>
      <w:r w:rsidR="006E2562" w:rsidRPr="00263811">
        <w:rPr>
          <w:rFonts w:ascii="Arial" w:hAnsi="Arial" w:cs="Arial"/>
          <w:spacing w:val="4"/>
          <w:szCs w:val="24"/>
        </w:rPr>
        <w:t>rais</w:t>
      </w:r>
      <w:proofErr w:type="spellEnd"/>
      <w:r w:rsidR="006E2562" w:rsidRPr="00263811">
        <w:rPr>
          <w:rFonts w:ascii="Arial" w:hAnsi="Arial" w:cs="Arial"/>
          <w:spacing w:val="4"/>
          <w:szCs w:val="24"/>
        </w:rPr>
        <w:t xml:space="preserve"> e inexistencia de vicios en el consentimiento”, “saneamiento de la supuesta nulidad relativa”, “prescripción” y “buena fe</w:t>
      </w:r>
      <w:r w:rsidR="00116DDD" w:rsidRPr="00263811">
        <w:rPr>
          <w:rFonts w:ascii="Arial" w:hAnsi="Arial" w:cs="Arial"/>
          <w:spacing w:val="4"/>
          <w:szCs w:val="24"/>
        </w:rPr>
        <w:t>”</w:t>
      </w:r>
      <w:r w:rsidR="008F2797" w:rsidRPr="00263811">
        <w:rPr>
          <w:rFonts w:ascii="Arial" w:hAnsi="Arial" w:cs="Arial"/>
          <w:spacing w:val="4"/>
          <w:szCs w:val="24"/>
        </w:rPr>
        <w:t xml:space="preserve"> (</w:t>
      </w:r>
      <w:proofErr w:type="spellStart"/>
      <w:r w:rsidR="008F2797" w:rsidRPr="00263811">
        <w:rPr>
          <w:rFonts w:ascii="Arial" w:hAnsi="Arial" w:cs="Arial"/>
          <w:spacing w:val="4"/>
          <w:szCs w:val="24"/>
        </w:rPr>
        <w:t>fls</w:t>
      </w:r>
      <w:proofErr w:type="spellEnd"/>
      <w:r w:rsidR="008F2797" w:rsidRPr="00263811">
        <w:rPr>
          <w:rFonts w:ascii="Arial" w:hAnsi="Arial" w:cs="Arial"/>
          <w:spacing w:val="4"/>
          <w:szCs w:val="24"/>
        </w:rPr>
        <w:t xml:space="preserve">. </w:t>
      </w:r>
      <w:r w:rsidR="000E3124" w:rsidRPr="00263811">
        <w:rPr>
          <w:rFonts w:ascii="Arial" w:hAnsi="Arial" w:cs="Arial"/>
          <w:spacing w:val="4"/>
          <w:szCs w:val="24"/>
        </w:rPr>
        <w:t>128 a 146</w:t>
      </w:r>
      <w:r w:rsidR="008F2797" w:rsidRPr="00263811">
        <w:rPr>
          <w:rFonts w:ascii="Arial" w:hAnsi="Arial" w:cs="Arial"/>
          <w:spacing w:val="4"/>
          <w:szCs w:val="24"/>
        </w:rPr>
        <w:t>)</w:t>
      </w:r>
      <w:r w:rsidR="00116DDD" w:rsidRPr="00263811">
        <w:rPr>
          <w:rFonts w:ascii="Arial" w:hAnsi="Arial" w:cs="Arial"/>
          <w:spacing w:val="4"/>
          <w:szCs w:val="24"/>
        </w:rPr>
        <w:t>.</w:t>
      </w:r>
    </w:p>
    <w:p w14:paraId="5BB165D0" w14:textId="77777777" w:rsidR="000E3124" w:rsidRPr="00263811" w:rsidRDefault="000E3124" w:rsidP="006E2562">
      <w:pPr>
        <w:spacing w:line="276" w:lineRule="auto"/>
        <w:jc w:val="both"/>
        <w:rPr>
          <w:rFonts w:ascii="Arial" w:hAnsi="Arial" w:cs="Arial"/>
          <w:spacing w:val="4"/>
          <w:szCs w:val="24"/>
        </w:rPr>
      </w:pPr>
    </w:p>
    <w:p w14:paraId="3F9BBABF" w14:textId="57F73445" w:rsidR="000E3124" w:rsidRPr="00263811" w:rsidRDefault="000E3124" w:rsidP="006E2562">
      <w:pPr>
        <w:spacing w:line="276" w:lineRule="auto"/>
        <w:jc w:val="both"/>
        <w:rPr>
          <w:rFonts w:ascii="Arial" w:hAnsi="Arial" w:cs="Arial"/>
          <w:b/>
          <w:bCs/>
          <w:spacing w:val="4"/>
          <w:szCs w:val="24"/>
        </w:rPr>
      </w:pPr>
      <w:r w:rsidRPr="00263811">
        <w:rPr>
          <w:rFonts w:ascii="Arial" w:hAnsi="Arial" w:cs="Arial"/>
          <w:b/>
          <w:bCs/>
          <w:spacing w:val="4"/>
          <w:szCs w:val="24"/>
        </w:rPr>
        <w:t>1.2.    Sentencia de primera instancia</w:t>
      </w:r>
    </w:p>
    <w:p w14:paraId="54581797" w14:textId="77777777" w:rsidR="000E3124" w:rsidRPr="00263811" w:rsidRDefault="000E3124" w:rsidP="006E2562">
      <w:pPr>
        <w:spacing w:line="276" w:lineRule="auto"/>
        <w:jc w:val="both"/>
        <w:rPr>
          <w:rFonts w:ascii="Arial" w:hAnsi="Arial" w:cs="Arial"/>
          <w:spacing w:val="4"/>
          <w:szCs w:val="24"/>
        </w:rPr>
      </w:pPr>
    </w:p>
    <w:p w14:paraId="37C9D9C9" w14:textId="69FC513E" w:rsidR="00012B99" w:rsidRPr="00263811" w:rsidRDefault="001C0C48" w:rsidP="006E2562">
      <w:pPr>
        <w:spacing w:line="276" w:lineRule="auto"/>
        <w:jc w:val="both"/>
        <w:rPr>
          <w:rFonts w:ascii="Arial" w:hAnsi="Arial" w:cs="Arial"/>
          <w:spacing w:val="4"/>
          <w:szCs w:val="24"/>
        </w:rPr>
      </w:pPr>
      <w:r w:rsidRPr="00263811">
        <w:rPr>
          <w:rFonts w:ascii="Arial" w:hAnsi="Arial" w:cs="Arial"/>
          <w:spacing w:val="4"/>
          <w:szCs w:val="24"/>
        </w:rPr>
        <w:t>El juzgado</w:t>
      </w:r>
      <w:r w:rsidR="00116DDD" w:rsidRPr="00263811">
        <w:rPr>
          <w:rFonts w:ascii="Arial" w:hAnsi="Arial" w:cs="Arial"/>
          <w:spacing w:val="4"/>
          <w:szCs w:val="24"/>
        </w:rPr>
        <w:t xml:space="preserve"> de conocimiento puso fin a la primera instancia mediante sentencia dictada el </w:t>
      </w:r>
      <w:r w:rsidR="00644F7C" w:rsidRPr="00263811">
        <w:rPr>
          <w:rFonts w:ascii="Arial" w:hAnsi="Arial" w:cs="Arial"/>
          <w:spacing w:val="4"/>
          <w:szCs w:val="24"/>
        </w:rPr>
        <w:t>02 de septiembre de 2019</w:t>
      </w:r>
      <w:r w:rsidR="00116DDD" w:rsidRPr="00263811">
        <w:rPr>
          <w:rFonts w:ascii="Arial" w:hAnsi="Arial" w:cs="Arial"/>
          <w:spacing w:val="4"/>
          <w:szCs w:val="24"/>
        </w:rPr>
        <w:t>, en la que declaró</w:t>
      </w:r>
      <w:r w:rsidR="007046D9" w:rsidRPr="00263811">
        <w:rPr>
          <w:rFonts w:ascii="Arial" w:hAnsi="Arial" w:cs="Arial"/>
          <w:spacing w:val="4"/>
          <w:szCs w:val="24"/>
        </w:rPr>
        <w:t xml:space="preserve"> la in</w:t>
      </w:r>
      <w:r w:rsidR="0040078C" w:rsidRPr="00263811">
        <w:rPr>
          <w:rFonts w:ascii="Arial" w:hAnsi="Arial" w:cs="Arial"/>
          <w:spacing w:val="4"/>
          <w:szCs w:val="24"/>
        </w:rPr>
        <w:t xml:space="preserve">eficacia del traslado de régimen pensional realizada </w:t>
      </w:r>
      <w:r w:rsidR="00012B99" w:rsidRPr="00263811">
        <w:rPr>
          <w:rFonts w:ascii="Arial" w:hAnsi="Arial" w:cs="Arial"/>
          <w:spacing w:val="4"/>
          <w:szCs w:val="24"/>
        </w:rPr>
        <w:t>por el demandante</w:t>
      </w:r>
      <w:r w:rsidR="0040078C" w:rsidRPr="00263811">
        <w:rPr>
          <w:rFonts w:ascii="Arial" w:hAnsi="Arial" w:cs="Arial"/>
          <w:spacing w:val="4"/>
          <w:szCs w:val="24"/>
        </w:rPr>
        <w:t>;</w:t>
      </w:r>
      <w:r w:rsidR="00012B99" w:rsidRPr="00263811">
        <w:rPr>
          <w:rFonts w:ascii="Arial" w:hAnsi="Arial" w:cs="Arial"/>
          <w:spacing w:val="4"/>
          <w:szCs w:val="24"/>
        </w:rPr>
        <w:t xml:space="preserve"> ordenó a </w:t>
      </w:r>
      <w:r w:rsidR="00012B99" w:rsidRPr="00263811">
        <w:rPr>
          <w:rFonts w:ascii="Arial" w:hAnsi="Arial" w:cs="Arial"/>
          <w:b/>
          <w:bCs/>
          <w:spacing w:val="4"/>
          <w:szCs w:val="24"/>
        </w:rPr>
        <w:t xml:space="preserve">COLFONDOS </w:t>
      </w:r>
      <w:r w:rsidR="00012B99" w:rsidRPr="00263811">
        <w:rPr>
          <w:rFonts w:ascii="Arial" w:hAnsi="Arial" w:cs="Arial"/>
          <w:spacing w:val="4"/>
          <w:szCs w:val="24"/>
        </w:rPr>
        <w:t>trasladar a</w:t>
      </w:r>
      <w:r w:rsidR="00012B99" w:rsidRPr="00263811">
        <w:rPr>
          <w:rFonts w:ascii="Arial" w:hAnsi="Arial" w:cs="Arial"/>
          <w:b/>
          <w:bCs/>
          <w:spacing w:val="4"/>
          <w:szCs w:val="24"/>
        </w:rPr>
        <w:t xml:space="preserve"> COLPENSIONES</w:t>
      </w:r>
      <w:r w:rsidR="00012B99" w:rsidRPr="00263811">
        <w:rPr>
          <w:rFonts w:ascii="Arial" w:hAnsi="Arial" w:cs="Arial"/>
          <w:spacing w:val="4"/>
          <w:szCs w:val="24"/>
        </w:rPr>
        <w:t xml:space="preserve"> los saldos, cotizaciones, bonos pensionales, sumas adicionales, junto con sus respectivos frutos e intereses y cuotas de administración; ordenó a COLPENSIONES aceptar el traslado del demandante sin solución de continuidad; desestimó las excepciones propuestas por los accionados; y condenó en costas procesales a COLFONDOS en un 100%. </w:t>
      </w:r>
    </w:p>
    <w:p w14:paraId="6982BAAA" w14:textId="77777777" w:rsidR="00734FBC" w:rsidRPr="00263811" w:rsidRDefault="00734FBC" w:rsidP="006E2562">
      <w:pPr>
        <w:spacing w:line="276" w:lineRule="auto"/>
        <w:jc w:val="center"/>
        <w:rPr>
          <w:rFonts w:ascii="Arial" w:hAnsi="Arial" w:cs="Arial"/>
          <w:b/>
          <w:bCs/>
          <w:spacing w:val="4"/>
          <w:szCs w:val="24"/>
        </w:rPr>
      </w:pPr>
    </w:p>
    <w:p w14:paraId="7C87C6CD" w14:textId="2FF445EB" w:rsidR="00116DDD" w:rsidRPr="00263811" w:rsidRDefault="00162D9D" w:rsidP="006E2562">
      <w:pPr>
        <w:spacing w:line="276" w:lineRule="auto"/>
        <w:jc w:val="center"/>
        <w:rPr>
          <w:rFonts w:ascii="Arial" w:hAnsi="Arial" w:cs="Arial"/>
          <w:b/>
          <w:bCs/>
          <w:spacing w:val="4"/>
          <w:szCs w:val="24"/>
        </w:rPr>
      </w:pPr>
      <w:r w:rsidRPr="00263811">
        <w:rPr>
          <w:rFonts w:ascii="Arial" w:hAnsi="Arial" w:cs="Arial"/>
          <w:b/>
          <w:bCs/>
          <w:spacing w:val="4"/>
          <w:szCs w:val="24"/>
        </w:rPr>
        <w:t xml:space="preserve">III. </w:t>
      </w:r>
      <w:r w:rsidR="00012B99" w:rsidRPr="00263811">
        <w:rPr>
          <w:rFonts w:ascii="Arial" w:hAnsi="Arial" w:cs="Arial"/>
          <w:b/>
          <w:bCs/>
          <w:spacing w:val="4"/>
          <w:szCs w:val="24"/>
        </w:rPr>
        <w:t>CONSIDERACIONES</w:t>
      </w:r>
    </w:p>
    <w:p w14:paraId="064C3F2F" w14:textId="36208F58" w:rsidR="005240A6" w:rsidRPr="00263811" w:rsidRDefault="005240A6" w:rsidP="006E2562">
      <w:pPr>
        <w:spacing w:line="276" w:lineRule="auto"/>
        <w:jc w:val="both"/>
        <w:rPr>
          <w:rFonts w:ascii="Arial" w:hAnsi="Arial" w:cs="Arial"/>
          <w:spacing w:val="4"/>
          <w:szCs w:val="24"/>
        </w:rPr>
      </w:pPr>
    </w:p>
    <w:p w14:paraId="1DB648D3" w14:textId="58194BDC" w:rsidR="00A97EA5" w:rsidRPr="00263811" w:rsidRDefault="00012B99" w:rsidP="006E2562">
      <w:pPr>
        <w:spacing w:line="276" w:lineRule="auto"/>
        <w:jc w:val="both"/>
        <w:rPr>
          <w:rFonts w:ascii="Arial" w:hAnsi="Arial" w:cs="Arial"/>
          <w:b/>
          <w:bCs/>
          <w:spacing w:val="4"/>
          <w:szCs w:val="24"/>
        </w:rPr>
      </w:pPr>
      <w:r w:rsidRPr="00263811">
        <w:rPr>
          <w:rFonts w:ascii="Arial" w:hAnsi="Arial" w:cs="Arial"/>
          <w:spacing w:val="4"/>
          <w:szCs w:val="24"/>
        </w:rPr>
        <w:t>Cumplido</w:t>
      </w:r>
      <w:r w:rsidR="00A97EA5" w:rsidRPr="00263811">
        <w:rPr>
          <w:rFonts w:ascii="Arial" w:hAnsi="Arial" w:cs="Arial"/>
          <w:spacing w:val="4"/>
          <w:szCs w:val="24"/>
        </w:rPr>
        <w:t xml:space="preserve"> el procedimiento de rigor, sería del caso </w:t>
      </w:r>
      <w:r w:rsidR="00BC637D" w:rsidRPr="00263811">
        <w:rPr>
          <w:rFonts w:ascii="Arial" w:hAnsi="Arial" w:cs="Arial"/>
          <w:spacing w:val="4"/>
          <w:szCs w:val="24"/>
        </w:rPr>
        <w:t xml:space="preserve">absolver el grado jurisdiccional de consulta y </w:t>
      </w:r>
      <w:r w:rsidR="00A97EA5" w:rsidRPr="00263811">
        <w:rPr>
          <w:rFonts w:ascii="Arial" w:hAnsi="Arial" w:cs="Arial"/>
          <w:spacing w:val="4"/>
          <w:szCs w:val="24"/>
        </w:rPr>
        <w:t xml:space="preserve">los recursos de apelación formulados por </w:t>
      </w:r>
      <w:r w:rsidR="00A97EA5" w:rsidRPr="00263811">
        <w:rPr>
          <w:rFonts w:ascii="Arial" w:hAnsi="Arial" w:cs="Arial"/>
          <w:b/>
          <w:bCs/>
          <w:spacing w:val="4"/>
          <w:szCs w:val="24"/>
        </w:rPr>
        <w:t>COLPENSIONES y COLFONDOS</w:t>
      </w:r>
      <w:r w:rsidR="00A97EA5" w:rsidRPr="00263811">
        <w:rPr>
          <w:rFonts w:ascii="Arial" w:hAnsi="Arial" w:cs="Arial"/>
          <w:spacing w:val="4"/>
          <w:szCs w:val="24"/>
        </w:rPr>
        <w:t xml:space="preserve"> contra la sentencia proferida el 02 de septiembre de 2019 por el Juzgado Cuarto Laboral del Circuito Laboral de Pereira, si no fuera porqu</w:t>
      </w:r>
      <w:r w:rsidR="00BC637D" w:rsidRPr="00263811">
        <w:rPr>
          <w:rFonts w:ascii="Arial" w:hAnsi="Arial" w:cs="Arial"/>
          <w:spacing w:val="4"/>
          <w:szCs w:val="24"/>
        </w:rPr>
        <w:t>é,</w:t>
      </w:r>
      <w:r w:rsidR="00A97EA5" w:rsidRPr="00263811">
        <w:rPr>
          <w:rFonts w:ascii="Arial" w:hAnsi="Arial" w:cs="Arial"/>
          <w:spacing w:val="4"/>
          <w:szCs w:val="24"/>
        </w:rPr>
        <w:t xml:space="preserve"> una vez revisada la actuación procesal y las pruebas aportadas, se advierte que</w:t>
      </w:r>
      <w:r w:rsidR="00BC637D" w:rsidRPr="00263811">
        <w:rPr>
          <w:rFonts w:ascii="Arial" w:hAnsi="Arial" w:cs="Arial"/>
          <w:spacing w:val="4"/>
          <w:szCs w:val="24"/>
        </w:rPr>
        <w:t xml:space="preserve"> </w:t>
      </w:r>
      <w:r w:rsidR="00A97EA5" w:rsidRPr="00263811">
        <w:rPr>
          <w:rFonts w:ascii="Arial" w:hAnsi="Arial" w:cs="Arial"/>
          <w:spacing w:val="4"/>
          <w:szCs w:val="24"/>
        </w:rPr>
        <w:t xml:space="preserve">además de los sujetos procesales que en calidad de demandante y demandados comparecieron al proceso, </w:t>
      </w:r>
      <w:r w:rsidR="00A97EA5" w:rsidRPr="00263811">
        <w:rPr>
          <w:rFonts w:ascii="Arial" w:hAnsi="Arial" w:cs="Arial"/>
          <w:b/>
          <w:bCs/>
          <w:spacing w:val="4"/>
          <w:szCs w:val="24"/>
        </w:rPr>
        <w:t>debió integrarse como litisconsorte necesario por pasiva a la SOCIEDAD ADMINISTRADORA DE FONDOS DE PENSIONES Y CESANTÍAS PORVENIR S.A.</w:t>
      </w:r>
    </w:p>
    <w:p w14:paraId="61ADAC24" w14:textId="2958A367" w:rsidR="00116DDD" w:rsidRPr="00263811" w:rsidRDefault="00116DDD" w:rsidP="006E2562">
      <w:pPr>
        <w:spacing w:line="276" w:lineRule="auto"/>
        <w:jc w:val="both"/>
        <w:rPr>
          <w:rFonts w:ascii="Arial" w:hAnsi="Arial" w:cs="Arial"/>
          <w:spacing w:val="4"/>
          <w:szCs w:val="24"/>
        </w:rPr>
      </w:pPr>
    </w:p>
    <w:p w14:paraId="66BECD1C" w14:textId="49E947BB" w:rsidR="00BC637D" w:rsidRPr="00263811" w:rsidRDefault="00BC637D" w:rsidP="006E2562">
      <w:pPr>
        <w:spacing w:line="276" w:lineRule="auto"/>
        <w:jc w:val="both"/>
        <w:textAlignment w:val="baseline"/>
        <w:rPr>
          <w:rFonts w:ascii="Arial" w:hAnsi="Arial" w:cs="Arial"/>
          <w:spacing w:val="4"/>
          <w:szCs w:val="24"/>
        </w:rPr>
      </w:pPr>
      <w:r w:rsidRPr="00263811">
        <w:rPr>
          <w:rFonts w:ascii="Arial" w:hAnsi="Arial" w:cs="Arial"/>
          <w:spacing w:val="4"/>
          <w:szCs w:val="24"/>
        </w:rPr>
        <w:t xml:space="preserve">En primer término, debe tenerse en cuenta que, como se ha decantado jurisprudencialmente y lo hizo la a quo en este caso; controversias como la que convoca este acto, obligan a examinar la ineficacia del traslado de régimen pensional y no la nulidad. </w:t>
      </w:r>
    </w:p>
    <w:p w14:paraId="40CFA11C" w14:textId="77777777" w:rsidR="00BC637D" w:rsidRPr="00263811" w:rsidRDefault="00BC637D" w:rsidP="006E2562">
      <w:pPr>
        <w:spacing w:line="276" w:lineRule="auto"/>
        <w:jc w:val="both"/>
        <w:textAlignment w:val="baseline"/>
        <w:rPr>
          <w:rFonts w:ascii="Arial" w:hAnsi="Arial" w:cs="Arial"/>
          <w:spacing w:val="4"/>
          <w:szCs w:val="24"/>
        </w:rPr>
      </w:pPr>
    </w:p>
    <w:p w14:paraId="78648543" w14:textId="6EA83CC6" w:rsidR="00BC637D" w:rsidRPr="00263811" w:rsidRDefault="00BC637D" w:rsidP="006E2562">
      <w:pPr>
        <w:spacing w:line="276" w:lineRule="auto"/>
        <w:jc w:val="both"/>
        <w:textAlignment w:val="baseline"/>
        <w:rPr>
          <w:rFonts w:ascii="Arial" w:hAnsi="Arial" w:cs="Arial"/>
          <w:spacing w:val="4"/>
          <w:szCs w:val="24"/>
        </w:rPr>
      </w:pPr>
      <w:r w:rsidRPr="00263811">
        <w:rPr>
          <w:rFonts w:ascii="Arial" w:hAnsi="Arial" w:cs="Arial"/>
          <w:spacing w:val="4"/>
          <w:szCs w:val="24"/>
        </w:rPr>
        <w:t>En segundo lugar, debe tenerse en consideración que como también lo ha lineado la jurisprudencia del órgano de cierre de esta especialidad, una vez declarada la ineficacia, las partes, en lo posible, deben quedar en el estado en que se hallarían si no hubiese existido el acto de afiliación. Así, en la sentencia SL3464 de 2019, que recoge la postura en la materia, fue explicado que:</w:t>
      </w:r>
    </w:p>
    <w:p w14:paraId="4359503A" w14:textId="77777777" w:rsidR="00BC637D" w:rsidRPr="00263811" w:rsidRDefault="00BC637D" w:rsidP="006E2562">
      <w:pPr>
        <w:spacing w:line="276" w:lineRule="auto"/>
        <w:jc w:val="both"/>
        <w:textAlignment w:val="baseline"/>
        <w:rPr>
          <w:rFonts w:ascii="Arial" w:hAnsi="Arial" w:cs="Arial"/>
          <w:spacing w:val="4"/>
          <w:szCs w:val="24"/>
        </w:rPr>
      </w:pPr>
    </w:p>
    <w:p w14:paraId="7BFE4EB2" w14:textId="2D1415C1" w:rsidR="00BC637D" w:rsidRPr="00263811" w:rsidRDefault="00BC637D" w:rsidP="006E2562">
      <w:pPr>
        <w:ind w:left="426" w:right="420"/>
        <w:jc w:val="both"/>
        <w:textAlignment w:val="baseline"/>
        <w:rPr>
          <w:rFonts w:ascii="Arial" w:hAnsi="Arial" w:cs="Arial"/>
          <w:spacing w:val="4"/>
          <w:sz w:val="22"/>
          <w:szCs w:val="24"/>
        </w:rPr>
      </w:pPr>
      <w:r w:rsidRPr="00263811">
        <w:rPr>
          <w:rFonts w:ascii="Arial" w:hAnsi="Arial" w:cs="Arial"/>
          <w:spacing w:val="4"/>
          <w:sz w:val="22"/>
          <w:szCs w:val="24"/>
        </w:rPr>
        <w:lastRenderedPageBreak/>
        <w:t>“</w:t>
      </w:r>
      <w:r w:rsidRPr="00263811">
        <w:rPr>
          <w:rFonts w:ascii="Arial" w:hAnsi="Arial" w:cs="Arial"/>
          <w:b/>
          <w:bCs/>
          <w:spacing w:val="4"/>
          <w:sz w:val="22"/>
          <w:szCs w:val="24"/>
        </w:rPr>
        <w:t>En la medida que la ineficacia del acto de cambio de régimen pensional supone negarle efecto al traslado, tal situación solo es posible bajo la ficción de que el mismo nunca ocurrió</w:t>
      </w:r>
      <w:r w:rsidRPr="00263811">
        <w:rPr>
          <w:rFonts w:ascii="Arial" w:hAnsi="Arial" w:cs="Arial"/>
          <w:spacing w:val="4"/>
          <w:sz w:val="22"/>
          <w:szCs w:val="24"/>
        </w:rPr>
        <w:t>. Luego si una persona estaba afiliada al régimen de prima media con prestación definida, ha de entenderse que nunca se cambió al sistema privado de pensiones, y si estuvo afiliado al régimen de ahorro individual con solidaridad, ha de darse por sentado que nunca se trasladó al sistema público administrado por Colpensiones. (CSJ SL 31989, 9 sep. 2008, CSJ SL4964-2018, CSJ SL4989-2018, CSJ SL1421-2019 y CSJSL1688-2019)”.</w:t>
      </w:r>
    </w:p>
    <w:p w14:paraId="3AEC3F86" w14:textId="77777777" w:rsidR="00BC637D" w:rsidRPr="00263811" w:rsidRDefault="00BC637D" w:rsidP="006E2562">
      <w:pPr>
        <w:spacing w:line="276" w:lineRule="auto"/>
        <w:jc w:val="both"/>
        <w:textAlignment w:val="baseline"/>
        <w:rPr>
          <w:rFonts w:ascii="Arial" w:hAnsi="Arial" w:cs="Arial"/>
          <w:spacing w:val="4"/>
          <w:szCs w:val="24"/>
        </w:rPr>
      </w:pPr>
    </w:p>
    <w:p w14:paraId="046A8B04" w14:textId="6F621E45" w:rsidR="00BB6F2B" w:rsidRPr="00263811" w:rsidRDefault="00BC637D" w:rsidP="006E2562">
      <w:pPr>
        <w:spacing w:line="276" w:lineRule="auto"/>
        <w:jc w:val="both"/>
        <w:textAlignment w:val="baseline"/>
        <w:rPr>
          <w:rFonts w:ascii="Arial" w:hAnsi="Arial" w:cs="Arial"/>
          <w:spacing w:val="4"/>
          <w:szCs w:val="24"/>
        </w:rPr>
      </w:pPr>
      <w:r w:rsidRPr="00263811">
        <w:rPr>
          <w:rFonts w:ascii="Arial" w:hAnsi="Arial" w:cs="Arial"/>
          <w:spacing w:val="4"/>
          <w:szCs w:val="24"/>
        </w:rPr>
        <w:t xml:space="preserve">Por lo tanto, </w:t>
      </w:r>
      <w:r w:rsidR="00BC3972" w:rsidRPr="00263811">
        <w:rPr>
          <w:rFonts w:ascii="Arial" w:hAnsi="Arial" w:cs="Arial"/>
          <w:spacing w:val="4"/>
          <w:szCs w:val="24"/>
        </w:rPr>
        <w:t>cuando un afiliado del sistema de pensiones se traslada del régimen de prima media al de ahorro individual y estando en este, a su vez, se traslada entre administradoras</w:t>
      </w:r>
      <w:r w:rsidR="00F87DB9" w:rsidRPr="00263811">
        <w:rPr>
          <w:rFonts w:ascii="Arial" w:hAnsi="Arial" w:cs="Arial"/>
          <w:spacing w:val="4"/>
          <w:szCs w:val="24"/>
        </w:rPr>
        <w:t>;</w:t>
      </w:r>
      <w:r w:rsidR="00BB6F2B" w:rsidRPr="00263811">
        <w:rPr>
          <w:rFonts w:ascii="Arial" w:hAnsi="Arial" w:cs="Arial"/>
          <w:spacing w:val="4"/>
          <w:szCs w:val="24"/>
        </w:rPr>
        <w:t xml:space="preserve"> además de las entidades que participaron en el cambio de régimen, es preciso que al proceso concurran todas aquellas a las que hubiere pertenecido el afiliado con posterioridad al acto que se reputa ineficaz.</w:t>
      </w:r>
    </w:p>
    <w:p w14:paraId="3D345F67" w14:textId="77777777" w:rsidR="00BB6F2B" w:rsidRPr="00263811" w:rsidRDefault="00BB6F2B" w:rsidP="006E2562">
      <w:pPr>
        <w:spacing w:line="276" w:lineRule="auto"/>
        <w:jc w:val="both"/>
        <w:textAlignment w:val="baseline"/>
        <w:rPr>
          <w:rFonts w:ascii="Arial" w:hAnsi="Arial" w:cs="Arial"/>
          <w:spacing w:val="4"/>
          <w:szCs w:val="24"/>
        </w:rPr>
      </w:pPr>
    </w:p>
    <w:p w14:paraId="2BEE1CF5" w14:textId="4C97D801" w:rsidR="00F87DB9" w:rsidRPr="00263811" w:rsidRDefault="00BB6F2B" w:rsidP="006E2562">
      <w:pPr>
        <w:spacing w:line="276" w:lineRule="auto"/>
        <w:jc w:val="both"/>
        <w:textAlignment w:val="baseline"/>
        <w:rPr>
          <w:rFonts w:ascii="Arial" w:hAnsi="Arial" w:cs="Arial"/>
          <w:spacing w:val="4"/>
          <w:szCs w:val="24"/>
        </w:rPr>
      </w:pPr>
      <w:r w:rsidRPr="00263811">
        <w:rPr>
          <w:rFonts w:ascii="Arial" w:hAnsi="Arial" w:cs="Arial"/>
          <w:spacing w:val="4"/>
          <w:szCs w:val="24"/>
        </w:rPr>
        <w:t xml:space="preserve">Ello es así, </w:t>
      </w:r>
      <w:r w:rsidR="00F87DB9" w:rsidRPr="00263811">
        <w:rPr>
          <w:rFonts w:ascii="Arial" w:hAnsi="Arial" w:cs="Arial"/>
          <w:spacing w:val="4"/>
          <w:szCs w:val="24"/>
        </w:rPr>
        <w:t xml:space="preserve">porque </w:t>
      </w:r>
      <w:r w:rsidR="170D6844" w:rsidRPr="00263811">
        <w:rPr>
          <w:rFonts w:ascii="Arial" w:hAnsi="Arial" w:cs="Arial"/>
          <w:spacing w:val="4"/>
          <w:szCs w:val="24"/>
        </w:rPr>
        <w:t>de prosperar la ineficacia, volver la</w:t>
      </w:r>
      <w:r w:rsidR="000F0DC8" w:rsidRPr="00263811">
        <w:rPr>
          <w:rFonts w:ascii="Arial" w:hAnsi="Arial" w:cs="Arial"/>
          <w:spacing w:val="4"/>
          <w:szCs w:val="24"/>
        </w:rPr>
        <w:t>s</w:t>
      </w:r>
      <w:r w:rsidR="170D6844" w:rsidRPr="00263811">
        <w:rPr>
          <w:rFonts w:ascii="Arial" w:hAnsi="Arial" w:cs="Arial"/>
          <w:spacing w:val="4"/>
          <w:szCs w:val="24"/>
        </w:rPr>
        <w:t xml:space="preserve"> cosas al estado anterior necesariamente implica determinar los efectos sobre los subsecuentes traslados efectuados dentro del RAIS </w:t>
      </w:r>
      <w:r w:rsidR="707E5F63" w:rsidRPr="00263811">
        <w:rPr>
          <w:rFonts w:ascii="Arial" w:hAnsi="Arial" w:cs="Arial"/>
          <w:spacing w:val="4"/>
          <w:szCs w:val="24"/>
        </w:rPr>
        <w:t xml:space="preserve">y </w:t>
      </w:r>
      <w:r w:rsidR="007F151F" w:rsidRPr="00263811">
        <w:rPr>
          <w:rFonts w:ascii="Arial" w:hAnsi="Arial" w:cs="Arial"/>
          <w:spacing w:val="4"/>
          <w:szCs w:val="24"/>
        </w:rPr>
        <w:t xml:space="preserve">cada AFP tiene </w:t>
      </w:r>
      <w:r w:rsidR="0B213565" w:rsidRPr="00263811">
        <w:rPr>
          <w:rFonts w:ascii="Arial" w:hAnsi="Arial" w:cs="Arial"/>
          <w:spacing w:val="4"/>
          <w:szCs w:val="24"/>
        </w:rPr>
        <w:t>responsabilidades</w:t>
      </w:r>
      <w:r w:rsidR="370C066B" w:rsidRPr="00263811">
        <w:rPr>
          <w:rFonts w:ascii="Arial" w:hAnsi="Arial" w:cs="Arial"/>
          <w:spacing w:val="4"/>
          <w:szCs w:val="24"/>
        </w:rPr>
        <w:t xml:space="preserve"> </w:t>
      </w:r>
      <w:r w:rsidR="53B32F66" w:rsidRPr="00263811">
        <w:rPr>
          <w:rFonts w:ascii="Arial" w:hAnsi="Arial" w:cs="Arial"/>
          <w:spacing w:val="4"/>
          <w:szCs w:val="24"/>
        </w:rPr>
        <w:t xml:space="preserve">e intereses propios </w:t>
      </w:r>
      <w:r w:rsidR="00BCC4EB" w:rsidRPr="00263811">
        <w:rPr>
          <w:rFonts w:ascii="Arial" w:hAnsi="Arial" w:cs="Arial"/>
          <w:spacing w:val="4"/>
          <w:szCs w:val="24"/>
        </w:rPr>
        <w:t>que no pueden considerarse</w:t>
      </w:r>
      <w:r w:rsidR="60AC1FF8" w:rsidRPr="00263811">
        <w:rPr>
          <w:rFonts w:ascii="Arial" w:hAnsi="Arial" w:cs="Arial"/>
          <w:spacing w:val="4"/>
          <w:szCs w:val="24"/>
        </w:rPr>
        <w:t xml:space="preserve"> debidamente</w:t>
      </w:r>
      <w:r w:rsidR="00BCC4EB" w:rsidRPr="00263811">
        <w:rPr>
          <w:rFonts w:ascii="Arial" w:hAnsi="Arial" w:cs="Arial"/>
          <w:spacing w:val="4"/>
          <w:szCs w:val="24"/>
        </w:rPr>
        <w:t xml:space="preserve"> representados </w:t>
      </w:r>
      <w:r w:rsidR="0BB32D3A" w:rsidRPr="00263811">
        <w:rPr>
          <w:rFonts w:ascii="Arial" w:hAnsi="Arial" w:cs="Arial"/>
          <w:spacing w:val="4"/>
          <w:szCs w:val="24"/>
        </w:rPr>
        <w:t>sin su comparecencia</w:t>
      </w:r>
      <w:r w:rsidR="2663107B" w:rsidRPr="00263811">
        <w:rPr>
          <w:rFonts w:ascii="Arial" w:hAnsi="Arial" w:cs="Arial"/>
          <w:spacing w:val="4"/>
          <w:szCs w:val="24"/>
        </w:rPr>
        <w:t>;</w:t>
      </w:r>
      <w:r w:rsidR="60B1BA8F" w:rsidRPr="00263811">
        <w:rPr>
          <w:rFonts w:ascii="Arial" w:hAnsi="Arial" w:cs="Arial"/>
          <w:spacing w:val="4"/>
          <w:szCs w:val="24"/>
        </w:rPr>
        <w:t xml:space="preserve"> </w:t>
      </w:r>
      <w:r w:rsidR="4EBEB171" w:rsidRPr="00263811">
        <w:rPr>
          <w:rFonts w:ascii="Arial" w:hAnsi="Arial" w:cs="Arial"/>
          <w:spacing w:val="4"/>
          <w:szCs w:val="24"/>
        </w:rPr>
        <w:t>por cuanto</w:t>
      </w:r>
      <w:r w:rsidR="70B10549" w:rsidRPr="00263811">
        <w:rPr>
          <w:rFonts w:ascii="Arial" w:hAnsi="Arial" w:cs="Arial"/>
          <w:spacing w:val="4"/>
          <w:szCs w:val="24"/>
        </w:rPr>
        <w:t>, a pesar de que en</w:t>
      </w:r>
      <w:r w:rsidR="007F151F" w:rsidRPr="00263811">
        <w:rPr>
          <w:rFonts w:ascii="Arial" w:hAnsi="Arial" w:cs="Arial"/>
          <w:spacing w:val="4"/>
          <w:szCs w:val="24"/>
        </w:rPr>
        <w:t xml:space="preserve"> el proceso </w:t>
      </w:r>
      <w:r w:rsidR="00F87DB9" w:rsidRPr="00263811">
        <w:rPr>
          <w:rFonts w:ascii="Arial" w:hAnsi="Arial" w:cs="Arial"/>
          <w:spacing w:val="4"/>
          <w:szCs w:val="24"/>
        </w:rPr>
        <w:t xml:space="preserve">los actos de </w:t>
      </w:r>
      <w:r w:rsidR="1955D278" w:rsidRPr="00263811">
        <w:rPr>
          <w:rFonts w:ascii="Arial" w:hAnsi="Arial" w:cs="Arial"/>
          <w:spacing w:val="4"/>
          <w:szCs w:val="24"/>
        </w:rPr>
        <w:t>una</w:t>
      </w:r>
      <w:r w:rsidR="00F87DB9" w:rsidRPr="00263811">
        <w:rPr>
          <w:rFonts w:ascii="Arial" w:hAnsi="Arial" w:cs="Arial"/>
          <w:spacing w:val="4"/>
          <w:szCs w:val="24"/>
        </w:rPr>
        <w:t xml:space="preserve"> </w:t>
      </w:r>
      <w:r w:rsidR="659B5843" w:rsidRPr="00263811">
        <w:rPr>
          <w:rFonts w:ascii="Arial" w:hAnsi="Arial" w:cs="Arial"/>
          <w:spacing w:val="4"/>
          <w:szCs w:val="24"/>
        </w:rPr>
        <w:t xml:space="preserve">administradora </w:t>
      </w:r>
      <w:r w:rsidR="6F270F49" w:rsidRPr="00263811">
        <w:rPr>
          <w:rFonts w:ascii="Arial" w:hAnsi="Arial" w:cs="Arial"/>
          <w:spacing w:val="4"/>
          <w:szCs w:val="24"/>
        </w:rPr>
        <w:t xml:space="preserve">pueden </w:t>
      </w:r>
      <w:r w:rsidR="00F87DB9" w:rsidRPr="00263811">
        <w:rPr>
          <w:rFonts w:ascii="Arial" w:hAnsi="Arial" w:cs="Arial"/>
          <w:spacing w:val="4"/>
          <w:szCs w:val="24"/>
        </w:rPr>
        <w:t>beneficiar</w:t>
      </w:r>
      <w:r w:rsidR="007F151F" w:rsidRPr="00263811">
        <w:rPr>
          <w:rFonts w:ascii="Arial" w:hAnsi="Arial" w:cs="Arial"/>
          <w:spacing w:val="4"/>
          <w:szCs w:val="24"/>
        </w:rPr>
        <w:t xml:space="preserve"> a otra</w:t>
      </w:r>
      <w:r w:rsidR="00F87DB9" w:rsidRPr="00263811">
        <w:rPr>
          <w:rFonts w:ascii="Arial" w:hAnsi="Arial" w:cs="Arial"/>
          <w:spacing w:val="4"/>
          <w:szCs w:val="24"/>
        </w:rPr>
        <w:t>, también</w:t>
      </w:r>
      <w:r w:rsidR="007F151F" w:rsidRPr="00263811">
        <w:rPr>
          <w:rFonts w:ascii="Arial" w:hAnsi="Arial" w:cs="Arial"/>
          <w:spacing w:val="4"/>
          <w:szCs w:val="24"/>
        </w:rPr>
        <w:t xml:space="preserve"> la</w:t>
      </w:r>
      <w:r w:rsidR="00F87DB9" w:rsidRPr="00263811">
        <w:rPr>
          <w:rFonts w:ascii="Arial" w:hAnsi="Arial" w:cs="Arial"/>
          <w:spacing w:val="4"/>
          <w:szCs w:val="24"/>
        </w:rPr>
        <w:t xml:space="preserve"> pueden perjudicar.  </w:t>
      </w:r>
      <w:r w:rsidR="00F87DB9" w:rsidRPr="00263811">
        <w:rPr>
          <w:rFonts w:ascii="Arial" w:hAnsi="Arial" w:cs="Arial"/>
          <w:b/>
          <w:bCs/>
          <w:spacing w:val="4"/>
          <w:szCs w:val="24"/>
        </w:rPr>
        <w:t>Entonces no se trata de un litisconsorcio facultativo</w:t>
      </w:r>
      <w:r w:rsidR="00F87DB9" w:rsidRPr="00263811">
        <w:rPr>
          <w:rFonts w:ascii="Arial" w:hAnsi="Arial" w:cs="Arial"/>
          <w:spacing w:val="4"/>
          <w:szCs w:val="24"/>
        </w:rPr>
        <w:t xml:space="preserve">. </w:t>
      </w:r>
    </w:p>
    <w:p w14:paraId="7F23D634" w14:textId="77777777" w:rsidR="00F87DB9" w:rsidRPr="00263811" w:rsidRDefault="00F87DB9" w:rsidP="006E2562">
      <w:pPr>
        <w:spacing w:line="276" w:lineRule="auto"/>
        <w:jc w:val="both"/>
        <w:textAlignment w:val="baseline"/>
        <w:rPr>
          <w:rFonts w:ascii="Arial" w:hAnsi="Arial" w:cs="Arial"/>
          <w:spacing w:val="4"/>
          <w:szCs w:val="24"/>
        </w:rPr>
      </w:pPr>
    </w:p>
    <w:p w14:paraId="5E95F0B7" w14:textId="190095DA" w:rsidR="00BB6F2B" w:rsidRPr="00263811" w:rsidRDefault="00F87DB9" w:rsidP="006E2562">
      <w:pPr>
        <w:spacing w:line="276" w:lineRule="auto"/>
        <w:jc w:val="both"/>
        <w:textAlignment w:val="baseline"/>
        <w:rPr>
          <w:rFonts w:ascii="Arial" w:hAnsi="Arial" w:cs="Arial"/>
          <w:b/>
          <w:bCs/>
          <w:spacing w:val="4"/>
          <w:szCs w:val="24"/>
        </w:rPr>
      </w:pPr>
      <w:r w:rsidRPr="00263811">
        <w:rPr>
          <w:rFonts w:ascii="Arial" w:hAnsi="Arial" w:cs="Arial"/>
          <w:spacing w:val="4"/>
          <w:szCs w:val="24"/>
        </w:rPr>
        <w:t xml:space="preserve">Continuando, </w:t>
      </w:r>
      <w:r w:rsidR="00BB6F2B" w:rsidRPr="00263811">
        <w:rPr>
          <w:rFonts w:ascii="Arial" w:hAnsi="Arial" w:cs="Arial"/>
          <w:spacing w:val="4"/>
          <w:szCs w:val="24"/>
        </w:rPr>
        <w:t>aunque pertenezcan a un mismo régimen, cada una de las AFP del RAIS es totalmente independiente de la otra, o lo que es igual para el caso, entre ellas no existe un vínculo legal o contractual que permita la extensión de los efectos de una sentencia concerniente a una relación jurídica que, como antecedente o presupuesto del acto en el que intervin</w:t>
      </w:r>
      <w:r w:rsidR="001B6C44" w:rsidRPr="00263811">
        <w:rPr>
          <w:rFonts w:ascii="Arial" w:hAnsi="Arial" w:cs="Arial"/>
          <w:spacing w:val="4"/>
          <w:szCs w:val="24"/>
        </w:rPr>
        <w:t>ier</w:t>
      </w:r>
      <w:r w:rsidR="00BB6F2B" w:rsidRPr="00263811">
        <w:rPr>
          <w:rFonts w:ascii="Arial" w:hAnsi="Arial" w:cs="Arial"/>
          <w:spacing w:val="4"/>
          <w:szCs w:val="24"/>
        </w:rPr>
        <w:t>o</w:t>
      </w:r>
      <w:r w:rsidR="001B6C44" w:rsidRPr="00263811">
        <w:rPr>
          <w:rFonts w:ascii="Arial" w:hAnsi="Arial" w:cs="Arial"/>
          <w:spacing w:val="4"/>
          <w:szCs w:val="24"/>
        </w:rPr>
        <w:t>n</w:t>
      </w:r>
      <w:r w:rsidR="00BB6F2B" w:rsidRPr="00263811">
        <w:rPr>
          <w:rFonts w:ascii="Arial" w:hAnsi="Arial" w:cs="Arial"/>
          <w:spacing w:val="4"/>
          <w:szCs w:val="24"/>
        </w:rPr>
        <w:t xml:space="preserve"> directamente, las compromete y</w:t>
      </w:r>
      <w:r w:rsidR="001B6C44" w:rsidRPr="00263811">
        <w:rPr>
          <w:rFonts w:ascii="Arial" w:hAnsi="Arial" w:cs="Arial"/>
          <w:spacing w:val="4"/>
          <w:szCs w:val="24"/>
        </w:rPr>
        <w:t xml:space="preserve"> les</w:t>
      </w:r>
      <w:r w:rsidR="00BB6F2B" w:rsidRPr="00263811">
        <w:rPr>
          <w:rFonts w:ascii="Arial" w:hAnsi="Arial" w:cs="Arial"/>
          <w:spacing w:val="4"/>
          <w:szCs w:val="24"/>
        </w:rPr>
        <w:t xml:space="preserve"> traslada sus </w:t>
      </w:r>
      <w:r w:rsidR="007F151F" w:rsidRPr="00263811">
        <w:rPr>
          <w:rFonts w:ascii="Arial" w:hAnsi="Arial" w:cs="Arial"/>
          <w:spacing w:val="4"/>
          <w:szCs w:val="24"/>
        </w:rPr>
        <w:t>consecuencias</w:t>
      </w:r>
      <w:r w:rsidR="00BB6F2B" w:rsidRPr="00263811">
        <w:rPr>
          <w:rFonts w:ascii="Arial" w:hAnsi="Arial" w:cs="Arial"/>
          <w:b/>
          <w:bCs/>
          <w:spacing w:val="4"/>
          <w:szCs w:val="24"/>
        </w:rPr>
        <w:t xml:space="preserve">. </w:t>
      </w:r>
      <w:r w:rsidRPr="00263811">
        <w:rPr>
          <w:rFonts w:ascii="Arial" w:hAnsi="Arial" w:cs="Arial"/>
          <w:b/>
          <w:bCs/>
          <w:spacing w:val="4"/>
          <w:szCs w:val="24"/>
        </w:rPr>
        <w:t xml:space="preserve">No son litisconsortes cuasi-necesarios. </w:t>
      </w:r>
    </w:p>
    <w:p w14:paraId="7D12CAE6" w14:textId="77777777" w:rsidR="00BB6F2B" w:rsidRPr="00263811" w:rsidRDefault="00BB6F2B" w:rsidP="006E2562">
      <w:pPr>
        <w:spacing w:line="276" w:lineRule="auto"/>
        <w:jc w:val="both"/>
        <w:textAlignment w:val="baseline"/>
        <w:rPr>
          <w:rFonts w:ascii="Arial" w:hAnsi="Arial" w:cs="Arial"/>
          <w:spacing w:val="4"/>
          <w:szCs w:val="24"/>
        </w:rPr>
      </w:pPr>
    </w:p>
    <w:p w14:paraId="3F281611" w14:textId="42980F3F" w:rsidR="00F87DB9" w:rsidRPr="00263811" w:rsidRDefault="001B6C44" w:rsidP="006E2562">
      <w:pPr>
        <w:spacing w:line="276" w:lineRule="auto"/>
        <w:jc w:val="both"/>
        <w:textAlignment w:val="baseline"/>
        <w:rPr>
          <w:rFonts w:ascii="Arial" w:hAnsi="Arial" w:cs="Arial"/>
          <w:b/>
          <w:bCs/>
          <w:spacing w:val="4"/>
          <w:szCs w:val="24"/>
        </w:rPr>
      </w:pPr>
      <w:r w:rsidRPr="00263811">
        <w:rPr>
          <w:rFonts w:ascii="Arial" w:hAnsi="Arial" w:cs="Arial"/>
          <w:spacing w:val="4"/>
          <w:szCs w:val="24"/>
        </w:rPr>
        <w:t>Es evidente que el caso</w:t>
      </w:r>
      <w:r w:rsidR="00BB6F2B" w:rsidRPr="00263811">
        <w:rPr>
          <w:rFonts w:ascii="Arial" w:hAnsi="Arial" w:cs="Arial"/>
          <w:spacing w:val="4"/>
          <w:szCs w:val="24"/>
        </w:rPr>
        <w:t xml:space="preserve"> exige </w:t>
      </w:r>
      <w:r w:rsidRPr="00263811">
        <w:rPr>
          <w:rFonts w:ascii="Arial" w:hAnsi="Arial" w:cs="Arial"/>
          <w:spacing w:val="4"/>
          <w:szCs w:val="24"/>
        </w:rPr>
        <w:t xml:space="preserve">una decisión uniforme y </w:t>
      </w:r>
      <w:r w:rsidR="00F87DB9" w:rsidRPr="00263811">
        <w:rPr>
          <w:rFonts w:ascii="Arial" w:hAnsi="Arial" w:cs="Arial"/>
          <w:spacing w:val="4"/>
          <w:szCs w:val="24"/>
        </w:rPr>
        <w:t>la comparecencia de todas las AFP a las que h</w:t>
      </w:r>
      <w:r w:rsidRPr="00263811">
        <w:rPr>
          <w:rFonts w:ascii="Arial" w:hAnsi="Arial" w:cs="Arial"/>
          <w:spacing w:val="4"/>
          <w:szCs w:val="24"/>
        </w:rPr>
        <w:t xml:space="preserve">a pertenecido un </w:t>
      </w:r>
      <w:r w:rsidR="00F87DB9" w:rsidRPr="00263811">
        <w:rPr>
          <w:rFonts w:ascii="Arial" w:hAnsi="Arial" w:cs="Arial"/>
          <w:spacing w:val="4"/>
          <w:szCs w:val="24"/>
        </w:rPr>
        <w:t xml:space="preserve">afiliado luego del cambio de régimen, pues todas están obligadas a soportar sus efectos </w:t>
      </w:r>
      <w:r w:rsidRPr="00263811">
        <w:rPr>
          <w:rFonts w:ascii="Arial" w:hAnsi="Arial" w:cs="Arial"/>
          <w:spacing w:val="4"/>
          <w:szCs w:val="24"/>
        </w:rPr>
        <w:t xml:space="preserve">y de otra forma, no existe posibilidad de que la decisión las vincule. </w:t>
      </w:r>
      <w:r w:rsidRPr="00263811">
        <w:rPr>
          <w:rFonts w:ascii="Arial" w:hAnsi="Arial" w:cs="Arial"/>
          <w:b/>
          <w:bCs/>
          <w:spacing w:val="4"/>
          <w:szCs w:val="24"/>
        </w:rPr>
        <w:t>Son litisconsortes necesarios.</w:t>
      </w:r>
    </w:p>
    <w:p w14:paraId="51781F83" w14:textId="65D4BC28" w:rsidR="00F87DB9" w:rsidRPr="00263811" w:rsidRDefault="00F87DB9" w:rsidP="006E2562">
      <w:pPr>
        <w:spacing w:line="276" w:lineRule="auto"/>
        <w:jc w:val="both"/>
        <w:textAlignment w:val="baseline"/>
        <w:rPr>
          <w:rFonts w:ascii="Arial" w:hAnsi="Arial" w:cs="Arial"/>
          <w:spacing w:val="4"/>
          <w:szCs w:val="24"/>
        </w:rPr>
      </w:pPr>
    </w:p>
    <w:p w14:paraId="547A5252" w14:textId="65AAD77D" w:rsidR="00DA7281" w:rsidRPr="00263811" w:rsidRDefault="001B6C44" w:rsidP="006E2562">
      <w:pPr>
        <w:spacing w:line="276" w:lineRule="auto"/>
        <w:jc w:val="both"/>
        <w:textAlignment w:val="baseline"/>
        <w:rPr>
          <w:rFonts w:ascii="Arial" w:hAnsi="Arial" w:cs="Arial"/>
          <w:spacing w:val="4"/>
          <w:szCs w:val="24"/>
        </w:rPr>
      </w:pPr>
      <w:r w:rsidRPr="00263811">
        <w:rPr>
          <w:rFonts w:ascii="Arial" w:hAnsi="Arial" w:cs="Arial"/>
          <w:spacing w:val="4"/>
          <w:szCs w:val="24"/>
        </w:rPr>
        <w:t>Admitir una situación distinta, además de desconocer las reglas que impone el artículo 6</w:t>
      </w:r>
      <w:r w:rsidR="00AD7BED" w:rsidRPr="00263811">
        <w:rPr>
          <w:rFonts w:ascii="Arial" w:hAnsi="Arial" w:cs="Arial"/>
          <w:spacing w:val="4"/>
          <w:szCs w:val="24"/>
        </w:rPr>
        <w:t>1</w:t>
      </w:r>
      <w:r w:rsidRPr="00263811">
        <w:rPr>
          <w:rFonts w:ascii="Arial" w:hAnsi="Arial" w:cs="Arial"/>
          <w:spacing w:val="4"/>
          <w:szCs w:val="24"/>
        </w:rPr>
        <w:t xml:space="preserve"> del C.G.P., sería contrario al imperativo de la tutela judicial efectiva</w:t>
      </w:r>
      <w:r w:rsidR="004C0DF9" w:rsidRPr="00263811">
        <w:rPr>
          <w:rFonts w:ascii="Arial" w:hAnsi="Arial" w:cs="Arial"/>
          <w:spacing w:val="4"/>
          <w:szCs w:val="24"/>
        </w:rPr>
        <w:t xml:space="preserve">.  Es cierto que para decidir </w:t>
      </w:r>
      <w:r w:rsidR="00DA7281" w:rsidRPr="00263811">
        <w:rPr>
          <w:rFonts w:ascii="Arial" w:hAnsi="Arial" w:cs="Arial"/>
          <w:spacing w:val="4"/>
          <w:szCs w:val="24"/>
        </w:rPr>
        <w:t xml:space="preserve">en estricto sentido sobre la eficacia o ineficacia del acto, basta con que en el proceso participen quienes intervinieron y observar las circunstancias bajo las cuales aquel se dio. Sin embargo, su mera declaración resulta inane y cae al vacío, cuando en casos como este, que involucra a terceros no vinculados al proceso, sus efectos no pueden serle extendidos. </w:t>
      </w:r>
    </w:p>
    <w:p w14:paraId="1AFB8656" w14:textId="77777777" w:rsidR="001B6C44" w:rsidRPr="00263811" w:rsidRDefault="001B6C44" w:rsidP="006E2562">
      <w:pPr>
        <w:spacing w:line="276" w:lineRule="auto"/>
        <w:jc w:val="both"/>
        <w:textAlignment w:val="baseline"/>
        <w:rPr>
          <w:rFonts w:ascii="Arial" w:hAnsi="Arial" w:cs="Arial"/>
          <w:spacing w:val="4"/>
          <w:szCs w:val="24"/>
        </w:rPr>
      </w:pPr>
    </w:p>
    <w:p w14:paraId="6E699E2E" w14:textId="399E9593" w:rsidR="000915C8" w:rsidRPr="00263811" w:rsidRDefault="002F61BF" w:rsidP="006E2562">
      <w:pPr>
        <w:spacing w:line="276" w:lineRule="auto"/>
        <w:jc w:val="both"/>
        <w:textAlignment w:val="baseline"/>
        <w:rPr>
          <w:rFonts w:ascii="Arial" w:hAnsi="Arial" w:cs="Arial"/>
          <w:spacing w:val="4"/>
          <w:szCs w:val="24"/>
        </w:rPr>
      </w:pPr>
      <w:r w:rsidRPr="00263811">
        <w:rPr>
          <w:rFonts w:ascii="Arial" w:hAnsi="Arial" w:cs="Arial"/>
          <w:spacing w:val="4"/>
          <w:szCs w:val="24"/>
        </w:rPr>
        <w:t>Al descender al particular</w:t>
      </w:r>
      <w:r w:rsidR="000915C8" w:rsidRPr="00263811">
        <w:rPr>
          <w:rFonts w:ascii="Arial" w:hAnsi="Arial" w:cs="Arial"/>
          <w:spacing w:val="4"/>
          <w:szCs w:val="24"/>
        </w:rPr>
        <w:t xml:space="preserve">, el histórico de afiliaciones que registra el señor </w:t>
      </w:r>
      <w:r w:rsidR="000915C8" w:rsidRPr="00263811">
        <w:rPr>
          <w:rFonts w:ascii="Arial" w:hAnsi="Arial" w:cs="Arial"/>
          <w:b/>
          <w:bCs/>
          <w:spacing w:val="4"/>
          <w:szCs w:val="24"/>
        </w:rPr>
        <w:t>CARLOS ENRIQUE TORRES VASQUEZ</w:t>
      </w:r>
      <w:r w:rsidR="000915C8" w:rsidRPr="00263811">
        <w:rPr>
          <w:rFonts w:ascii="Arial" w:hAnsi="Arial" w:cs="Arial"/>
          <w:spacing w:val="4"/>
          <w:szCs w:val="24"/>
        </w:rPr>
        <w:t xml:space="preserve"> en el SIAFP</w:t>
      </w:r>
      <w:r w:rsidRPr="00263811">
        <w:rPr>
          <w:rFonts w:ascii="Arial" w:hAnsi="Arial" w:cs="Arial"/>
          <w:spacing w:val="4"/>
          <w:szCs w:val="24"/>
        </w:rPr>
        <w:t xml:space="preserve"> (fol. 152)</w:t>
      </w:r>
      <w:r w:rsidR="000915C8" w:rsidRPr="00263811">
        <w:rPr>
          <w:rFonts w:ascii="Arial" w:hAnsi="Arial" w:cs="Arial"/>
          <w:spacing w:val="4"/>
          <w:szCs w:val="24"/>
        </w:rPr>
        <w:t xml:space="preserve">, da cuenta (i) que el 17 de diciembre de 1996 solicitó cambio de régimen pensional de </w:t>
      </w:r>
      <w:r w:rsidR="000915C8" w:rsidRPr="00263811">
        <w:rPr>
          <w:rFonts w:ascii="Arial" w:hAnsi="Arial" w:cs="Arial"/>
          <w:b/>
          <w:bCs/>
          <w:spacing w:val="4"/>
          <w:szCs w:val="24"/>
        </w:rPr>
        <w:t>COLPENSIONES a COLFONDOS</w:t>
      </w:r>
      <w:r w:rsidR="0089330A" w:rsidRPr="00263811">
        <w:rPr>
          <w:rFonts w:ascii="Arial" w:hAnsi="Arial" w:cs="Arial"/>
          <w:spacing w:val="4"/>
          <w:szCs w:val="24"/>
        </w:rPr>
        <w:t>, que se hizo efectivo el 01 de febrero de 1997</w:t>
      </w:r>
      <w:r w:rsidR="000915C8" w:rsidRPr="00263811">
        <w:rPr>
          <w:rFonts w:ascii="Arial" w:hAnsi="Arial" w:cs="Arial"/>
          <w:spacing w:val="4"/>
          <w:szCs w:val="24"/>
        </w:rPr>
        <w:t>, (ii) que el 14 de marzo de 2000 solicitó traslado entre AFP</w:t>
      </w:r>
      <w:r w:rsidR="00E57EEF" w:rsidRPr="00263811">
        <w:rPr>
          <w:rFonts w:ascii="Arial" w:hAnsi="Arial" w:cs="Arial"/>
          <w:spacing w:val="4"/>
          <w:szCs w:val="24"/>
        </w:rPr>
        <w:t>´S</w:t>
      </w:r>
      <w:r w:rsidR="000915C8" w:rsidRPr="00263811">
        <w:rPr>
          <w:rFonts w:ascii="Arial" w:hAnsi="Arial" w:cs="Arial"/>
          <w:spacing w:val="4"/>
          <w:szCs w:val="24"/>
        </w:rPr>
        <w:t xml:space="preserve"> de </w:t>
      </w:r>
      <w:r w:rsidR="000915C8" w:rsidRPr="00263811">
        <w:rPr>
          <w:rFonts w:ascii="Arial" w:hAnsi="Arial" w:cs="Arial"/>
          <w:b/>
          <w:bCs/>
          <w:spacing w:val="4"/>
          <w:szCs w:val="24"/>
        </w:rPr>
        <w:t>COLFO</w:t>
      </w:r>
      <w:r w:rsidR="0089330A" w:rsidRPr="00263811">
        <w:rPr>
          <w:rFonts w:ascii="Arial" w:hAnsi="Arial" w:cs="Arial"/>
          <w:b/>
          <w:bCs/>
          <w:spacing w:val="4"/>
          <w:szCs w:val="24"/>
        </w:rPr>
        <w:t>N</w:t>
      </w:r>
      <w:r w:rsidR="000915C8" w:rsidRPr="00263811">
        <w:rPr>
          <w:rFonts w:ascii="Arial" w:hAnsi="Arial" w:cs="Arial"/>
          <w:b/>
          <w:bCs/>
          <w:spacing w:val="4"/>
          <w:szCs w:val="24"/>
        </w:rPr>
        <w:t>DOS a COLPATRIA</w:t>
      </w:r>
      <w:r w:rsidR="000915C8" w:rsidRPr="00263811">
        <w:rPr>
          <w:rFonts w:ascii="Arial" w:hAnsi="Arial" w:cs="Arial"/>
          <w:spacing w:val="4"/>
          <w:szCs w:val="24"/>
        </w:rPr>
        <w:t>,</w:t>
      </w:r>
      <w:r w:rsidR="0089330A" w:rsidRPr="00263811">
        <w:rPr>
          <w:rFonts w:ascii="Arial" w:hAnsi="Arial" w:cs="Arial"/>
          <w:spacing w:val="4"/>
          <w:szCs w:val="24"/>
        </w:rPr>
        <w:t xml:space="preserve"> efectivo el 01 de mayo de 2000;</w:t>
      </w:r>
      <w:r w:rsidR="000915C8" w:rsidRPr="00263811">
        <w:rPr>
          <w:rFonts w:ascii="Arial" w:hAnsi="Arial" w:cs="Arial"/>
          <w:spacing w:val="4"/>
          <w:szCs w:val="24"/>
        </w:rPr>
        <w:t xml:space="preserve"> (iii) que </w:t>
      </w:r>
      <w:r w:rsidR="0089330A" w:rsidRPr="00263811">
        <w:rPr>
          <w:rFonts w:ascii="Arial" w:hAnsi="Arial" w:cs="Arial"/>
          <w:spacing w:val="4"/>
          <w:szCs w:val="24"/>
        </w:rPr>
        <w:t xml:space="preserve">la afiliación a COLPATRIA fue cedida por fusión a </w:t>
      </w:r>
      <w:r w:rsidR="0089330A" w:rsidRPr="00263811">
        <w:rPr>
          <w:rFonts w:ascii="Arial" w:hAnsi="Arial" w:cs="Arial"/>
          <w:b/>
          <w:bCs/>
          <w:spacing w:val="4"/>
          <w:szCs w:val="24"/>
        </w:rPr>
        <w:t>HORIZONTE</w:t>
      </w:r>
      <w:r w:rsidR="0089330A" w:rsidRPr="00263811">
        <w:rPr>
          <w:rFonts w:ascii="Arial" w:hAnsi="Arial" w:cs="Arial"/>
          <w:spacing w:val="4"/>
          <w:szCs w:val="24"/>
        </w:rPr>
        <w:t xml:space="preserve">; (iv) y que mediante solicitud del 27 de </w:t>
      </w:r>
      <w:r w:rsidR="0089330A" w:rsidRPr="00263811">
        <w:rPr>
          <w:rFonts w:ascii="Arial" w:hAnsi="Arial" w:cs="Arial"/>
          <w:spacing w:val="4"/>
          <w:szCs w:val="24"/>
        </w:rPr>
        <w:lastRenderedPageBreak/>
        <w:t>noviembre de 2008, el actor nuevamente se trasladó entre AFP</w:t>
      </w:r>
      <w:r w:rsidR="00E57EEF" w:rsidRPr="00263811">
        <w:rPr>
          <w:rFonts w:ascii="Arial" w:hAnsi="Arial" w:cs="Arial"/>
          <w:spacing w:val="4"/>
          <w:szCs w:val="24"/>
        </w:rPr>
        <w:t>´S</w:t>
      </w:r>
      <w:r w:rsidR="0089330A" w:rsidRPr="00263811">
        <w:rPr>
          <w:rFonts w:ascii="Arial" w:hAnsi="Arial" w:cs="Arial"/>
          <w:spacing w:val="4"/>
          <w:szCs w:val="24"/>
        </w:rPr>
        <w:t xml:space="preserve"> de </w:t>
      </w:r>
      <w:r w:rsidR="0089330A" w:rsidRPr="00263811">
        <w:rPr>
          <w:rFonts w:ascii="Arial" w:hAnsi="Arial" w:cs="Arial"/>
          <w:b/>
          <w:bCs/>
          <w:spacing w:val="4"/>
          <w:szCs w:val="24"/>
        </w:rPr>
        <w:t xml:space="preserve">HORIZONTE </w:t>
      </w:r>
      <w:r w:rsidR="004B6518" w:rsidRPr="00263811">
        <w:rPr>
          <w:rFonts w:ascii="Arial" w:hAnsi="Arial" w:cs="Arial"/>
          <w:b/>
          <w:bCs/>
          <w:spacing w:val="4"/>
          <w:szCs w:val="24"/>
        </w:rPr>
        <w:t xml:space="preserve">(hoy PORVENIR) </w:t>
      </w:r>
      <w:r w:rsidR="0089330A" w:rsidRPr="00263811">
        <w:rPr>
          <w:rFonts w:ascii="Arial" w:hAnsi="Arial" w:cs="Arial"/>
          <w:b/>
          <w:bCs/>
          <w:spacing w:val="4"/>
          <w:szCs w:val="24"/>
        </w:rPr>
        <w:t>a COLFONDOS</w:t>
      </w:r>
      <w:r w:rsidR="0089330A" w:rsidRPr="00263811">
        <w:rPr>
          <w:rFonts w:ascii="Arial" w:hAnsi="Arial" w:cs="Arial"/>
          <w:spacing w:val="4"/>
          <w:szCs w:val="24"/>
        </w:rPr>
        <w:t xml:space="preserve">, con efectividad al 01 de enero de 2009. </w:t>
      </w:r>
    </w:p>
    <w:p w14:paraId="0BF99695" w14:textId="01127952" w:rsidR="000915C8" w:rsidRPr="00263811" w:rsidRDefault="000915C8" w:rsidP="006E2562">
      <w:pPr>
        <w:spacing w:line="276" w:lineRule="auto"/>
        <w:jc w:val="both"/>
        <w:textAlignment w:val="baseline"/>
        <w:rPr>
          <w:rFonts w:ascii="Arial" w:hAnsi="Arial" w:cs="Arial"/>
          <w:spacing w:val="4"/>
          <w:szCs w:val="24"/>
        </w:rPr>
      </w:pPr>
    </w:p>
    <w:p w14:paraId="3CC4F231" w14:textId="22EBD531" w:rsidR="000915C8" w:rsidRPr="00263811" w:rsidRDefault="0089330A" w:rsidP="006E2562">
      <w:pPr>
        <w:spacing w:line="276" w:lineRule="auto"/>
        <w:jc w:val="both"/>
        <w:textAlignment w:val="baseline"/>
        <w:rPr>
          <w:rFonts w:ascii="Arial" w:hAnsi="Arial" w:cs="Arial"/>
          <w:spacing w:val="4"/>
          <w:szCs w:val="24"/>
        </w:rPr>
      </w:pPr>
      <w:r w:rsidRPr="00263811">
        <w:rPr>
          <w:rFonts w:ascii="Arial" w:hAnsi="Arial" w:cs="Arial"/>
          <w:spacing w:val="4"/>
          <w:szCs w:val="24"/>
        </w:rPr>
        <w:t xml:space="preserve">En armonía con lo anterior, COLFONDOS, en la comunicación del 20 de noviembre de 2017 </w:t>
      </w:r>
      <w:r w:rsidR="002F61BF" w:rsidRPr="00263811">
        <w:rPr>
          <w:rFonts w:ascii="Arial" w:hAnsi="Arial" w:cs="Arial"/>
          <w:spacing w:val="4"/>
          <w:szCs w:val="24"/>
        </w:rPr>
        <w:t xml:space="preserve">(fols. 34 a 37) </w:t>
      </w:r>
      <w:r w:rsidRPr="00263811">
        <w:rPr>
          <w:rFonts w:ascii="Arial" w:hAnsi="Arial" w:cs="Arial"/>
          <w:spacing w:val="4"/>
          <w:szCs w:val="24"/>
        </w:rPr>
        <w:t>menciona que al actor ha tenido dos vinculaciones con la entidad, la primera, como consecuencia de un traslado de régimen, vigente desde el 01 de febrero de 1997 hasta el 30 de abril de 2000, y la segunda, con efectividad del 01 de enero de 2009 y activa en la actualidad.</w:t>
      </w:r>
    </w:p>
    <w:p w14:paraId="7579C864" w14:textId="5C099757" w:rsidR="0089330A" w:rsidRPr="00263811" w:rsidRDefault="0089330A" w:rsidP="006E2562">
      <w:pPr>
        <w:spacing w:line="276" w:lineRule="auto"/>
        <w:jc w:val="both"/>
        <w:textAlignment w:val="baseline"/>
        <w:rPr>
          <w:rFonts w:ascii="Arial" w:hAnsi="Arial" w:cs="Arial"/>
          <w:spacing w:val="4"/>
          <w:szCs w:val="24"/>
        </w:rPr>
      </w:pPr>
    </w:p>
    <w:p w14:paraId="76FFDDE9" w14:textId="5663CEEE" w:rsidR="0089330A" w:rsidRPr="00263811" w:rsidRDefault="0089330A" w:rsidP="006E2562">
      <w:pPr>
        <w:spacing w:line="276" w:lineRule="auto"/>
        <w:jc w:val="both"/>
        <w:textAlignment w:val="baseline"/>
        <w:rPr>
          <w:rFonts w:ascii="Arial" w:hAnsi="Arial" w:cs="Arial"/>
          <w:spacing w:val="4"/>
          <w:szCs w:val="24"/>
        </w:rPr>
      </w:pPr>
      <w:r w:rsidRPr="00263811">
        <w:rPr>
          <w:rFonts w:ascii="Arial" w:hAnsi="Arial" w:cs="Arial"/>
          <w:spacing w:val="4"/>
          <w:szCs w:val="24"/>
        </w:rPr>
        <w:t>Asimismo, dicho fondo al proponer la excepción de “SANEAMIENTO DE LA SUPUESTA NULIDAD RELATIVA”, postul</w:t>
      </w:r>
      <w:r w:rsidR="004B6518" w:rsidRPr="00263811">
        <w:rPr>
          <w:rFonts w:ascii="Arial" w:hAnsi="Arial" w:cs="Arial"/>
          <w:spacing w:val="4"/>
          <w:szCs w:val="24"/>
        </w:rPr>
        <w:t>ó</w:t>
      </w:r>
      <w:r w:rsidRPr="00263811">
        <w:rPr>
          <w:rFonts w:ascii="Arial" w:hAnsi="Arial" w:cs="Arial"/>
          <w:spacing w:val="4"/>
          <w:szCs w:val="24"/>
        </w:rPr>
        <w:t xml:space="preserve"> que</w:t>
      </w:r>
      <w:r w:rsidR="004B6518" w:rsidRPr="00263811">
        <w:rPr>
          <w:rFonts w:ascii="Arial" w:hAnsi="Arial" w:cs="Arial"/>
          <w:spacing w:val="4"/>
          <w:szCs w:val="24"/>
        </w:rPr>
        <w:t xml:space="preserve"> de existir algún vicio en el acto de afiliación, el mismo quedó saneado por el paso del tiempo y con la afiliación del accionante a </w:t>
      </w:r>
      <w:r w:rsidR="004B6518" w:rsidRPr="00263811">
        <w:rPr>
          <w:rFonts w:ascii="Arial" w:hAnsi="Arial" w:cs="Arial"/>
          <w:b/>
          <w:bCs/>
          <w:spacing w:val="4"/>
          <w:szCs w:val="24"/>
        </w:rPr>
        <w:t>COLPATRIA (hoy PORVENIR).</w:t>
      </w:r>
    </w:p>
    <w:p w14:paraId="34FCB10F" w14:textId="44678E37" w:rsidR="0089330A" w:rsidRPr="00263811" w:rsidRDefault="0089330A" w:rsidP="006E2562">
      <w:pPr>
        <w:spacing w:line="276" w:lineRule="auto"/>
        <w:jc w:val="both"/>
        <w:textAlignment w:val="baseline"/>
        <w:rPr>
          <w:rFonts w:ascii="Arial" w:hAnsi="Arial" w:cs="Arial"/>
          <w:spacing w:val="4"/>
          <w:szCs w:val="24"/>
        </w:rPr>
      </w:pPr>
    </w:p>
    <w:p w14:paraId="51A6F1FB" w14:textId="3C43C36F" w:rsidR="002F61BF" w:rsidRPr="00263811" w:rsidRDefault="002F61BF" w:rsidP="006E2562">
      <w:pPr>
        <w:pStyle w:val="paragraph"/>
        <w:spacing w:before="0" w:beforeAutospacing="0" w:after="0" w:afterAutospacing="0" w:line="276" w:lineRule="auto"/>
        <w:jc w:val="both"/>
        <w:textAlignment w:val="baseline"/>
        <w:rPr>
          <w:rFonts w:ascii="Arial" w:hAnsi="Arial" w:cs="Arial"/>
          <w:spacing w:val="4"/>
          <w:lang w:val="es-ES_tradnl"/>
        </w:rPr>
      </w:pPr>
      <w:r w:rsidRPr="00263811">
        <w:rPr>
          <w:rFonts w:ascii="Arial" w:hAnsi="Arial" w:cs="Arial"/>
          <w:spacing w:val="4"/>
          <w:lang w:val="es-ES_tradnl"/>
        </w:rPr>
        <w:t xml:space="preserve">De lo precedente se puede advertir que </w:t>
      </w:r>
      <w:r w:rsidR="43E38A64" w:rsidRPr="00263811">
        <w:rPr>
          <w:rFonts w:ascii="Arial" w:hAnsi="Arial" w:cs="Arial"/>
          <w:spacing w:val="4"/>
          <w:lang w:val="es-ES_tradnl"/>
        </w:rPr>
        <w:t>la</w:t>
      </w:r>
      <w:r w:rsidRPr="00263811">
        <w:rPr>
          <w:rFonts w:ascii="Arial" w:hAnsi="Arial" w:cs="Arial"/>
          <w:spacing w:val="4"/>
          <w:lang w:val="es-ES_tradnl"/>
        </w:rPr>
        <w:t xml:space="preserve"> juez</w:t>
      </w:r>
      <w:r w:rsidR="2F496FB6" w:rsidRPr="00263811">
        <w:rPr>
          <w:rFonts w:ascii="Arial" w:hAnsi="Arial" w:cs="Arial"/>
          <w:spacing w:val="4"/>
          <w:lang w:val="es-ES_tradnl"/>
        </w:rPr>
        <w:t xml:space="preserve">a </w:t>
      </w:r>
      <w:r w:rsidRPr="00263811">
        <w:rPr>
          <w:rFonts w:ascii="Arial" w:hAnsi="Arial" w:cs="Arial"/>
          <w:spacing w:val="4"/>
          <w:lang w:val="es-ES_tradnl"/>
        </w:rPr>
        <w:t xml:space="preserve">de primera instancia, no obstante haber conocido de la existencia de la afiliación de la demandante </w:t>
      </w:r>
      <w:r w:rsidR="00AD7BED" w:rsidRPr="00263811">
        <w:rPr>
          <w:rFonts w:ascii="Arial" w:hAnsi="Arial" w:cs="Arial"/>
          <w:spacing w:val="4"/>
          <w:lang w:val="es-ES_tradnl"/>
        </w:rPr>
        <w:t xml:space="preserve">a COLPATRIA y HORIZONTE (hoy PORVENIR) entre 01 de mayo de 2000 y 31 de diciembre de 2008, </w:t>
      </w:r>
      <w:r w:rsidRPr="00263811">
        <w:rPr>
          <w:rFonts w:ascii="Arial" w:hAnsi="Arial" w:cs="Arial"/>
          <w:spacing w:val="4"/>
          <w:lang w:val="es-ES_tradnl"/>
        </w:rPr>
        <w:t>no lo vinculó a la presente litis y pese a ello,</w:t>
      </w:r>
      <w:r w:rsidR="00AD7BED" w:rsidRPr="00263811">
        <w:rPr>
          <w:rFonts w:ascii="Arial" w:hAnsi="Arial" w:cs="Arial"/>
          <w:spacing w:val="4"/>
          <w:lang w:val="es-ES_tradnl"/>
        </w:rPr>
        <w:t xml:space="preserve"> declaró la ineficacia del cambio de régimen pensional,</w:t>
      </w:r>
      <w:r w:rsidRPr="00263811">
        <w:rPr>
          <w:rFonts w:ascii="Arial" w:hAnsi="Arial" w:cs="Arial"/>
          <w:spacing w:val="4"/>
          <w:lang w:val="es-ES_tradnl"/>
        </w:rPr>
        <w:t> en abierto desconocimiento de las previsiones contenidas en el artículo 6</w:t>
      </w:r>
      <w:r w:rsidR="00AD7BED" w:rsidRPr="00263811">
        <w:rPr>
          <w:rFonts w:ascii="Arial" w:hAnsi="Arial" w:cs="Arial"/>
          <w:spacing w:val="4"/>
          <w:lang w:val="es-ES_tradnl"/>
        </w:rPr>
        <w:t>1</w:t>
      </w:r>
      <w:r w:rsidRPr="00263811">
        <w:rPr>
          <w:rFonts w:ascii="Arial" w:hAnsi="Arial" w:cs="Arial"/>
          <w:spacing w:val="4"/>
          <w:lang w:val="es-ES_tradnl"/>
        </w:rPr>
        <w:t xml:space="preserve"> del Código General del Proceso, según el cual:  </w:t>
      </w:r>
    </w:p>
    <w:p w14:paraId="0C9E1C27" w14:textId="77777777" w:rsidR="002F61BF" w:rsidRPr="00263811" w:rsidRDefault="002F61BF" w:rsidP="006E2562">
      <w:pPr>
        <w:pStyle w:val="paragraph"/>
        <w:spacing w:before="0" w:beforeAutospacing="0" w:after="0" w:afterAutospacing="0" w:line="276" w:lineRule="auto"/>
        <w:jc w:val="both"/>
        <w:textAlignment w:val="baseline"/>
        <w:rPr>
          <w:rFonts w:ascii="Arial" w:hAnsi="Arial" w:cs="Arial"/>
          <w:spacing w:val="4"/>
          <w:lang w:val="es-ES_tradnl"/>
        </w:rPr>
      </w:pPr>
      <w:r w:rsidRPr="00263811">
        <w:rPr>
          <w:rFonts w:ascii="Arial" w:hAnsi="Arial" w:cs="Arial"/>
          <w:spacing w:val="4"/>
          <w:lang w:val="es-ES_tradnl"/>
        </w:rPr>
        <w:t> </w:t>
      </w:r>
    </w:p>
    <w:p w14:paraId="28AAC236" w14:textId="77777777" w:rsidR="002F61BF" w:rsidRPr="00263811" w:rsidRDefault="002F61BF" w:rsidP="006E2562">
      <w:pPr>
        <w:pStyle w:val="paragraph"/>
        <w:spacing w:before="0" w:beforeAutospacing="0" w:after="0" w:afterAutospacing="0"/>
        <w:ind w:left="426" w:right="420"/>
        <w:jc w:val="both"/>
        <w:textAlignment w:val="baseline"/>
        <w:rPr>
          <w:rFonts w:ascii="Arial" w:eastAsia="Arial Narrow" w:hAnsi="Arial" w:cs="Arial"/>
          <w:spacing w:val="4"/>
          <w:sz w:val="22"/>
        </w:rPr>
      </w:pPr>
      <w:r w:rsidRPr="00263811">
        <w:rPr>
          <w:rFonts w:ascii="Arial" w:eastAsia="Arial Narrow" w:hAnsi="Arial" w:cs="Arial"/>
          <w:spacing w:val="4"/>
          <w:sz w:val="22"/>
        </w:rPr>
        <w:t>“Cuando el proceso verse sobre relaciones o actos jurídicos respecto de los cuales, por su naturaleza o por disposición legal, haya de resolverse de manera uniforme y no sea posible decidir de mérito sin la comparecencia de las personas que sean sujetos de tales relaciones o que intervinieron en dichos actos, la demanda deberá formularse por todas o dirigirse contra todas; si no se hiciere así, el juez, en el auto que admite la demanda, ordenará notificar y dar traslado de esta a quienes falten para integrar el contradictorio, en la forma y con el término de comparecencia dispuestos para el demandado. </w:t>
      </w:r>
    </w:p>
    <w:p w14:paraId="0A2C8472" w14:textId="595B5FAF" w:rsidR="002C2B0E" w:rsidRPr="00263811" w:rsidRDefault="002C2B0E" w:rsidP="006E2562">
      <w:pPr>
        <w:pStyle w:val="paragraph"/>
        <w:spacing w:before="0" w:beforeAutospacing="0" w:after="0" w:afterAutospacing="0" w:line="276" w:lineRule="auto"/>
        <w:jc w:val="both"/>
        <w:textAlignment w:val="baseline"/>
        <w:rPr>
          <w:rFonts w:ascii="Arial" w:hAnsi="Arial" w:cs="Arial"/>
          <w:spacing w:val="4"/>
          <w:lang w:val="es-ES_tradnl"/>
        </w:rPr>
      </w:pPr>
    </w:p>
    <w:p w14:paraId="4756E102" w14:textId="0EAD5B09" w:rsidR="002F61BF" w:rsidRPr="00263811" w:rsidRDefault="002F61BF" w:rsidP="006E2562">
      <w:pPr>
        <w:pStyle w:val="paragraph"/>
        <w:spacing w:before="0" w:beforeAutospacing="0" w:after="0" w:afterAutospacing="0" w:line="276" w:lineRule="auto"/>
        <w:jc w:val="both"/>
        <w:textAlignment w:val="baseline"/>
        <w:rPr>
          <w:rFonts w:ascii="Arial" w:hAnsi="Arial" w:cs="Arial"/>
          <w:spacing w:val="4"/>
          <w:lang w:val="es-ES_tradnl"/>
        </w:rPr>
      </w:pPr>
      <w:r w:rsidRPr="00263811">
        <w:rPr>
          <w:rFonts w:ascii="Arial" w:hAnsi="Arial" w:cs="Arial"/>
          <w:spacing w:val="4"/>
          <w:lang w:val="es-ES_tradnl"/>
        </w:rPr>
        <w:t>En ese contexto,</w:t>
      </w:r>
      <w:r w:rsidR="00AD7BED" w:rsidRPr="00263811">
        <w:rPr>
          <w:rFonts w:ascii="Arial" w:hAnsi="Arial" w:cs="Arial"/>
          <w:spacing w:val="4"/>
          <w:lang w:val="es-ES_tradnl"/>
        </w:rPr>
        <w:t xml:space="preserve"> </w:t>
      </w:r>
      <w:r w:rsidRPr="00263811">
        <w:rPr>
          <w:rFonts w:ascii="Arial" w:hAnsi="Arial" w:cs="Arial"/>
          <w:spacing w:val="4"/>
          <w:lang w:val="es-ES_tradnl"/>
        </w:rPr>
        <w:t xml:space="preserve">el proceso que concluyó con la sentencia del </w:t>
      </w:r>
      <w:r w:rsidR="00AD7BED" w:rsidRPr="00263811">
        <w:rPr>
          <w:rFonts w:ascii="Arial" w:hAnsi="Arial" w:cs="Arial"/>
          <w:spacing w:val="4"/>
          <w:lang w:val="es-ES_tradnl"/>
        </w:rPr>
        <w:t>2 de septiembre de 2019</w:t>
      </w:r>
      <w:r w:rsidRPr="00263811">
        <w:rPr>
          <w:rFonts w:ascii="Arial" w:hAnsi="Arial" w:cs="Arial"/>
          <w:spacing w:val="4"/>
          <w:lang w:val="es-ES_tradnl"/>
        </w:rPr>
        <w:t>,</w:t>
      </w:r>
      <w:r w:rsidR="00AD7BED" w:rsidRPr="00263811">
        <w:rPr>
          <w:rFonts w:ascii="Arial" w:hAnsi="Arial" w:cs="Arial"/>
          <w:spacing w:val="4"/>
          <w:lang w:val="es-ES_tradnl"/>
        </w:rPr>
        <w:t xml:space="preserve"> </w:t>
      </w:r>
      <w:r w:rsidRPr="00263811">
        <w:rPr>
          <w:rFonts w:ascii="Arial" w:hAnsi="Arial" w:cs="Arial"/>
          <w:spacing w:val="4"/>
          <w:lang w:val="es-ES_tradnl"/>
        </w:rPr>
        <w:t>comporta</w:t>
      </w:r>
      <w:r w:rsidR="00AD7BED" w:rsidRPr="00263811">
        <w:rPr>
          <w:rFonts w:ascii="Arial" w:hAnsi="Arial" w:cs="Arial"/>
          <w:spacing w:val="4"/>
          <w:lang w:val="es-ES_tradnl"/>
        </w:rPr>
        <w:t xml:space="preserve"> </w:t>
      </w:r>
      <w:r w:rsidRPr="00263811">
        <w:rPr>
          <w:rFonts w:ascii="Arial" w:hAnsi="Arial" w:cs="Arial"/>
          <w:spacing w:val="4"/>
          <w:lang w:val="es-ES_tradnl"/>
        </w:rPr>
        <w:t>una</w:t>
      </w:r>
      <w:r w:rsidR="00AD7BED" w:rsidRPr="00263811">
        <w:rPr>
          <w:rFonts w:ascii="Arial" w:hAnsi="Arial" w:cs="Arial"/>
          <w:spacing w:val="4"/>
          <w:lang w:val="es-ES_tradnl"/>
        </w:rPr>
        <w:t xml:space="preserve"> </w:t>
      </w:r>
      <w:r w:rsidRPr="00263811">
        <w:rPr>
          <w:rFonts w:ascii="Arial" w:hAnsi="Arial" w:cs="Arial"/>
          <w:spacing w:val="4"/>
          <w:lang w:val="es-ES_tradnl"/>
        </w:rPr>
        <w:t>clara</w:t>
      </w:r>
      <w:r w:rsidR="00AD7BED" w:rsidRPr="00263811">
        <w:rPr>
          <w:rFonts w:ascii="Arial" w:hAnsi="Arial" w:cs="Arial"/>
          <w:spacing w:val="4"/>
          <w:lang w:val="es-ES_tradnl"/>
        </w:rPr>
        <w:t xml:space="preserve"> </w:t>
      </w:r>
      <w:r w:rsidRPr="00263811">
        <w:rPr>
          <w:rFonts w:ascii="Arial" w:hAnsi="Arial" w:cs="Arial"/>
          <w:spacing w:val="4"/>
          <w:lang w:val="es-ES_tradnl"/>
        </w:rPr>
        <w:t>violación</w:t>
      </w:r>
      <w:r w:rsidR="00AD7BED" w:rsidRPr="00263811">
        <w:rPr>
          <w:rFonts w:ascii="Arial" w:hAnsi="Arial" w:cs="Arial"/>
          <w:spacing w:val="4"/>
          <w:lang w:val="es-ES_tradnl"/>
        </w:rPr>
        <w:t xml:space="preserve"> </w:t>
      </w:r>
      <w:r w:rsidRPr="00263811">
        <w:rPr>
          <w:rFonts w:ascii="Arial" w:hAnsi="Arial" w:cs="Arial"/>
          <w:spacing w:val="4"/>
          <w:lang w:val="es-ES_tradnl"/>
        </w:rPr>
        <w:t>de</w:t>
      </w:r>
      <w:r w:rsidR="00AD7BED" w:rsidRPr="00263811">
        <w:rPr>
          <w:rFonts w:ascii="Arial" w:hAnsi="Arial" w:cs="Arial"/>
          <w:spacing w:val="4"/>
          <w:lang w:val="es-ES_tradnl"/>
        </w:rPr>
        <w:t xml:space="preserve">l </w:t>
      </w:r>
      <w:r w:rsidRPr="00263811">
        <w:rPr>
          <w:rFonts w:ascii="Arial" w:hAnsi="Arial" w:cs="Arial"/>
          <w:spacing w:val="4"/>
          <w:lang w:val="es-ES_tradnl"/>
        </w:rPr>
        <w:t>derecho fundamental al debido proceso</w:t>
      </w:r>
      <w:r w:rsidR="00AD7BED" w:rsidRPr="00263811">
        <w:rPr>
          <w:rFonts w:ascii="Arial" w:hAnsi="Arial" w:cs="Arial"/>
          <w:spacing w:val="4"/>
          <w:lang w:val="es-ES_tradnl"/>
        </w:rPr>
        <w:t xml:space="preserve"> </w:t>
      </w:r>
      <w:r w:rsidRPr="00263811">
        <w:rPr>
          <w:rFonts w:ascii="Arial" w:hAnsi="Arial" w:cs="Arial"/>
          <w:spacing w:val="4"/>
          <w:lang w:val="es-ES_tradnl"/>
        </w:rPr>
        <w:t xml:space="preserve">consagrado en el artículo 29 de la Constitución Política, al pasar por alto el derecho a la defensa y contradicción de </w:t>
      </w:r>
      <w:r w:rsidR="00AD7BED" w:rsidRPr="00263811">
        <w:rPr>
          <w:rFonts w:ascii="Arial" w:hAnsi="Arial" w:cs="Arial"/>
          <w:spacing w:val="4"/>
          <w:lang w:val="es-ES_tradnl"/>
        </w:rPr>
        <w:t>la AFP afectada con la declaratoria de ineficacia</w:t>
      </w:r>
      <w:r w:rsidRPr="00263811">
        <w:rPr>
          <w:rFonts w:ascii="Arial" w:hAnsi="Arial" w:cs="Arial"/>
          <w:spacing w:val="4"/>
          <w:lang w:val="es-ES_tradnl"/>
        </w:rPr>
        <w:t>.   </w:t>
      </w:r>
    </w:p>
    <w:p w14:paraId="6B02E669" w14:textId="77777777" w:rsidR="002F61BF" w:rsidRPr="00263811" w:rsidRDefault="002F61BF" w:rsidP="006E2562">
      <w:pPr>
        <w:pStyle w:val="paragraph"/>
        <w:spacing w:before="0" w:beforeAutospacing="0" w:after="0" w:afterAutospacing="0" w:line="276" w:lineRule="auto"/>
        <w:jc w:val="both"/>
        <w:textAlignment w:val="baseline"/>
        <w:rPr>
          <w:rFonts w:ascii="Arial" w:hAnsi="Arial" w:cs="Arial"/>
          <w:spacing w:val="4"/>
          <w:lang w:val="es-ES_tradnl"/>
        </w:rPr>
      </w:pPr>
      <w:r w:rsidRPr="00263811">
        <w:rPr>
          <w:rFonts w:ascii="Arial" w:hAnsi="Arial" w:cs="Arial"/>
          <w:spacing w:val="4"/>
          <w:lang w:val="es-ES_tradnl"/>
        </w:rPr>
        <w:t> </w:t>
      </w:r>
    </w:p>
    <w:p w14:paraId="694E3E6E" w14:textId="77777777" w:rsidR="002F61BF" w:rsidRPr="00263811" w:rsidRDefault="002F61BF" w:rsidP="006E2562">
      <w:pPr>
        <w:pStyle w:val="paragraph"/>
        <w:spacing w:before="0" w:beforeAutospacing="0" w:after="0" w:afterAutospacing="0" w:line="276" w:lineRule="auto"/>
        <w:jc w:val="both"/>
        <w:textAlignment w:val="baseline"/>
        <w:rPr>
          <w:rFonts w:ascii="Arial" w:hAnsi="Arial" w:cs="Arial"/>
          <w:spacing w:val="4"/>
          <w:lang w:val="es-ES_tradnl"/>
        </w:rPr>
      </w:pPr>
      <w:r w:rsidRPr="00263811">
        <w:rPr>
          <w:rFonts w:ascii="Arial" w:hAnsi="Arial" w:cs="Arial"/>
          <w:spacing w:val="4"/>
          <w:lang w:val="es-ES_tradnl"/>
        </w:rPr>
        <w:t>De esta manera, se configuró supuesto normativo contemplado en el numeral 8 del artículo 133 del estatuto procesal general, según el cual, el proceso es nulo, en todo o en parte, cuando “</w:t>
      </w:r>
      <w:r w:rsidRPr="00263811">
        <w:rPr>
          <w:rFonts w:ascii="Arial" w:hAnsi="Arial" w:cs="Arial"/>
          <w:spacing w:val="4"/>
          <w:sz w:val="22"/>
          <w:lang w:val="es-ES_tradnl"/>
        </w:rPr>
        <w:t>no se practica en forma legal la notificación del auto admisorio de la demanda a personas determinadas, o el emplazamiento de las demás personas aunque sean indeterminadas, que deban ser citadas como partes</w:t>
      </w:r>
      <w:r w:rsidRPr="00263811">
        <w:rPr>
          <w:rFonts w:ascii="Arial" w:hAnsi="Arial" w:cs="Arial"/>
          <w:spacing w:val="4"/>
          <w:lang w:val="es-ES_tradnl"/>
        </w:rPr>
        <w:t>”.   </w:t>
      </w:r>
    </w:p>
    <w:p w14:paraId="79BDFE90" w14:textId="77777777" w:rsidR="002F61BF" w:rsidRPr="00263811" w:rsidRDefault="002F61BF" w:rsidP="006E2562">
      <w:pPr>
        <w:pStyle w:val="paragraph"/>
        <w:spacing w:before="0" w:beforeAutospacing="0" w:after="0" w:afterAutospacing="0" w:line="276" w:lineRule="auto"/>
        <w:jc w:val="both"/>
        <w:textAlignment w:val="baseline"/>
        <w:rPr>
          <w:rFonts w:ascii="Arial" w:hAnsi="Arial" w:cs="Arial"/>
          <w:spacing w:val="4"/>
          <w:lang w:val="es-ES_tradnl"/>
        </w:rPr>
      </w:pPr>
      <w:r w:rsidRPr="00263811">
        <w:rPr>
          <w:rFonts w:ascii="Arial" w:hAnsi="Arial" w:cs="Arial"/>
          <w:spacing w:val="4"/>
          <w:lang w:val="es-ES_tradnl"/>
        </w:rPr>
        <w:t> </w:t>
      </w:r>
    </w:p>
    <w:p w14:paraId="08DBDD24" w14:textId="77777777" w:rsidR="002F61BF" w:rsidRPr="00263811" w:rsidRDefault="002F61BF" w:rsidP="006E2562">
      <w:pPr>
        <w:pStyle w:val="paragraph"/>
        <w:spacing w:before="0" w:beforeAutospacing="0" w:after="0" w:afterAutospacing="0" w:line="276" w:lineRule="auto"/>
        <w:jc w:val="both"/>
        <w:textAlignment w:val="baseline"/>
        <w:rPr>
          <w:rFonts w:ascii="Arial" w:hAnsi="Arial" w:cs="Arial"/>
          <w:spacing w:val="4"/>
          <w:lang w:val="es-ES_tradnl"/>
        </w:rPr>
      </w:pPr>
      <w:r w:rsidRPr="00263811">
        <w:rPr>
          <w:rFonts w:ascii="Arial" w:hAnsi="Arial" w:cs="Arial"/>
          <w:spacing w:val="4"/>
          <w:lang w:val="es-ES_tradnl"/>
        </w:rPr>
        <w:t>Y en consecuencia, para remediarlo impera dar aplicación al inciso final del artículo 134 ibídem, conforme al cual, “</w:t>
      </w:r>
      <w:r w:rsidRPr="00263811">
        <w:rPr>
          <w:rFonts w:ascii="Arial" w:hAnsi="Arial" w:cs="Arial"/>
          <w:spacing w:val="4"/>
          <w:sz w:val="22"/>
          <w:lang w:val="es-ES_tradnl"/>
        </w:rPr>
        <w:t>[c]uando exista litisconsorcio necesario y se hubiere proferido sentencia, ésta se anulará y se integrará el contradictorio</w:t>
      </w:r>
      <w:r w:rsidRPr="00263811">
        <w:rPr>
          <w:rFonts w:ascii="Arial" w:hAnsi="Arial" w:cs="Arial"/>
          <w:spacing w:val="4"/>
          <w:lang w:val="es-ES_tradnl"/>
        </w:rPr>
        <w:t>.” </w:t>
      </w:r>
    </w:p>
    <w:p w14:paraId="75BF673F" w14:textId="77777777" w:rsidR="002F61BF" w:rsidRPr="00263811" w:rsidRDefault="002F61BF" w:rsidP="006E2562">
      <w:pPr>
        <w:pStyle w:val="paragraph"/>
        <w:spacing w:before="0" w:beforeAutospacing="0" w:after="0" w:afterAutospacing="0" w:line="276" w:lineRule="auto"/>
        <w:jc w:val="both"/>
        <w:textAlignment w:val="baseline"/>
        <w:rPr>
          <w:rFonts w:ascii="Arial" w:hAnsi="Arial" w:cs="Arial"/>
          <w:spacing w:val="4"/>
          <w:lang w:val="es-ES_tradnl"/>
        </w:rPr>
      </w:pPr>
      <w:r w:rsidRPr="00263811">
        <w:rPr>
          <w:rFonts w:ascii="Arial" w:hAnsi="Arial" w:cs="Arial"/>
          <w:spacing w:val="4"/>
          <w:lang w:val="es-ES_tradnl"/>
        </w:rPr>
        <w:t> </w:t>
      </w:r>
    </w:p>
    <w:p w14:paraId="4AE8CC6E" w14:textId="2B8A165A" w:rsidR="002F61BF" w:rsidRPr="00263811" w:rsidRDefault="002F61BF" w:rsidP="006E2562">
      <w:pPr>
        <w:pStyle w:val="paragraph"/>
        <w:spacing w:before="0" w:beforeAutospacing="0" w:after="0" w:afterAutospacing="0" w:line="276" w:lineRule="auto"/>
        <w:jc w:val="both"/>
        <w:textAlignment w:val="baseline"/>
        <w:rPr>
          <w:rFonts w:ascii="Arial" w:hAnsi="Arial" w:cs="Arial"/>
          <w:spacing w:val="4"/>
        </w:rPr>
      </w:pPr>
      <w:r w:rsidRPr="00263811">
        <w:rPr>
          <w:rFonts w:ascii="Arial" w:hAnsi="Arial" w:cs="Arial"/>
          <w:spacing w:val="4"/>
        </w:rPr>
        <w:t xml:space="preserve">Por todo lo expuesto, se declarará </w:t>
      </w:r>
      <w:r w:rsidRPr="00263811">
        <w:rPr>
          <w:rFonts w:ascii="Arial" w:hAnsi="Arial" w:cs="Arial"/>
          <w:b/>
          <w:bCs/>
          <w:spacing w:val="4"/>
        </w:rPr>
        <w:t>la nulidad de la sentencia</w:t>
      </w:r>
      <w:r w:rsidRPr="00263811">
        <w:rPr>
          <w:rFonts w:ascii="Arial" w:hAnsi="Arial" w:cs="Arial"/>
          <w:spacing w:val="4"/>
        </w:rPr>
        <w:t xml:space="preserve"> proferida el </w:t>
      </w:r>
      <w:r w:rsidR="00AD7BED" w:rsidRPr="00263811">
        <w:rPr>
          <w:rFonts w:ascii="Arial" w:hAnsi="Arial" w:cs="Arial"/>
          <w:spacing w:val="4"/>
        </w:rPr>
        <w:t>2 de septiembre de 2019</w:t>
      </w:r>
      <w:r w:rsidRPr="00263811">
        <w:rPr>
          <w:rFonts w:ascii="Arial" w:hAnsi="Arial" w:cs="Arial"/>
          <w:spacing w:val="4"/>
        </w:rPr>
        <w:t xml:space="preserve"> y </w:t>
      </w:r>
      <w:r w:rsidRPr="00263811">
        <w:rPr>
          <w:rFonts w:ascii="Arial" w:hAnsi="Arial" w:cs="Arial"/>
          <w:b/>
          <w:bCs/>
          <w:spacing w:val="4"/>
        </w:rPr>
        <w:t xml:space="preserve">se ordenará integrar al contradictorio, a </w:t>
      </w:r>
      <w:r w:rsidR="00AD7BED" w:rsidRPr="00263811">
        <w:rPr>
          <w:rFonts w:ascii="Arial" w:hAnsi="Arial" w:cs="Arial"/>
          <w:b/>
          <w:bCs/>
          <w:spacing w:val="4"/>
        </w:rPr>
        <w:t>la SOCIEDAD ADMINISTRADORA DE FONDOS DE PENSIONES Y CESANTÍA</w:t>
      </w:r>
      <w:r w:rsidR="4EAFFD02" w:rsidRPr="00263811">
        <w:rPr>
          <w:rFonts w:ascii="Arial" w:hAnsi="Arial" w:cs="Arial"/>
          <w:b/>
          <w:bCs/>
          <w:spacing w:val="4"/>
        </w:rPr>
        <w:t>S</w:t>
      </w:r>
      <w:r w:rsidR="00AD7BED" w:rsidRPr="00263811">
        <w:rPr>
          <w:rFonts w:ascii="Arial" w:hAnsi="Arial" w:cs="Arial"/>
          <w:b/>
          <w:bCs/>
          <w:spacing w:val="4"/>
        </w:rPr>
        <w:t xml:space="preserve"> PORVENIR S.A.</w:t>
      </w:r>
      <w:r w:rsidRPr="00263811">
        <w:rPr>
          <w:rFonts w:ascii="Arial" w:hAnsi="Arial" w:cs="Arial"/>
          <w:b/>
          <w:bCs/>
          <w:spacing w:val="4"/>
        </w:rPr>
        <w:t>,</w:t>
      </w:r>
      <w:r w:rsidRPr="00263811">
        <w:rPr>
          <w:rFonts w:ascii="Arial" w:hAnsi="Arial" w:cs="Arial"/>
          <w:spacing w:val="4"/>
        </w:rPr>
        <w:t xml:space="preserve"> respecto de quien deberán rehacerse las actuaciones de que tratan los artículos 7</w:t>
      </w:r>
      <w:r w:rsidR="00AD7BED" w:rsidRPr="00263811">
        <w:rPr>
          <w:rFonts w:ascii="Arial" w:hAnsi="Arial" w:cs="Arial"/>
          <w:spacing w:val="4"/>
        </w:rPr>
        <w:t>7</w:t>
      </w:r>
      <w:r w:rsidRPr="00263811">
        <w:rPr>
          <w:rFonts w:ascii="Arial" w:hAnsi="Arial" w:cs="Arial"/>
          <w:spacing w:val="4"/>
        </w:rPr>
        <w:t xml:space="preserve"> y </w:t>
      </w:r>
      <w:r w:rsidR="00AD7BED" w:rsidRPr="00263811">
        <w:rPr>
          <w:rFonts w:ascii="Arial" w:hAnsi="Arial" w:cs="Arial"/>
          <w:spacing w:val="4"/>
        </w:rPr>
        <w:t>80</w:t>
      </w:r>
      <w:r w:rsidRPr="00263811">
        <w:rPr>
          <w:rFonts w:ascii="Arial" w:hAnsi="Arial" w:cs="Arial"/>
          <w:spacing w:val="4"/>
        </w:rPr>
        <w:t xml:space="preserve"> del Código Procesal del Trabajo y de la Seguridad, esto es, </w:t>
      </w:r>
      <w:r w:rsidRPr="00263811">
        <w:rPr>
          <w:rFonts w:ascii="Arial" w:hAnsi="Arial" w:cs="Arial"/>
          <w:spacing w:val="4"/>
        </w:rPr>
        <w:lastRenderedPageBreak/>
        <w:t>quedando a salvo el trámite de rigor surtido en relación con</w:t>
      </w:r>
      <w:r w:rsidR="1F3CB4B5" w:rsidRPr="00263811">
        <w:rPr>
          <w:rFonts w:ascii="Arial" w:hAnsi="Arial" w:cs="Arial"/>
          <w:spacing w:val="4"/>
        </w:rPr>
        <w:t xml:space="preserve"> COLPENSIONES y COLFONDOS, </w:t>
      </w:r>
      <w:r w:rsidRPr="00263811">
        <w:rPr>
          <w:rFonts w:ascii="Arial" w:hAnsi="Arial" w:cs="Arial"/>
          <w:spacing w:val="4"/>
        </w:rPr>
        <w:t>recordando que la</w:t>
      </w:r>
      <w:r w:rsidR="00AD7BED" w:rsidRPr="00263811">
        <w:rPr>
          <w:rFonts w:ascii="Arial" w:hAnsi="Arial" w:cs="Arial"/>
          <w:spacing w:val="4"/>
        </w:rPr>
        <w:t>s</w:t>
      </w:r>
      <w:r w:rsidRPr="00263811">
        <w:rPr>
          <w:rFonts w:ascii="Arial" w:hAnsi="Arial" w:cs="Arial"/>
          <w:spacing w:val="4"/>
        </w:rPr>
        <w:t xml:space="preserve"> prueba legalmente aportada y recaudada en este proceso, conserva su validez y eficacia</w:t>
      </w:r>
      <w:r w:rsidR="00AD7BED" w:rsidRPr="00263811">
        <w:rPr>
          <w:rFonts w:ascii="Arial" w:hAnsi="Arial" w:cs="Arial"/>
          <w:spacing w:val="4"/>
        </w:rPr>
        <w:t>, sin perjuicio de los derechos de la vinculada</w:t>
      </w:r>
      <w:r w:rsidR="0A025486" w:rsidRPr="00263811">
        <w:rPr>
          <w:rFonts w:ascii="Arial" w:hAnsi="Arial" w:cs="Arial"/>
          <w:spacing w:val="4"/>
        </w:rPr>
        <w:t xml:space="preserve">. </w:t>
      </w:r>
    </w:p>
    <w:p w14:paraId="5FF76B34" w14:textId="77777777" w:rsidR="002F61BF" w:rsidRPr="00263811" w:rsidRDefault="002F61BF" w:rsidP="006E2562">
      <w:pPr>
        <w:pStyle w:val="paragraph"/>
        <w:spacing w:before="0" w:beforeAutospacing="0" w:after="0" w:afterAutospacing="0" w:line="276" w:lineRule="auto"/>
        <w:jc w:val="both"/>
        <w:textAlignment w:val="baseline"/>
        <w:rPr>
          <w:rFonts w:ascii="Arial" w:hAnsi="Arial" w:cs="Arial"/>
          <w:spacing w:val="4"/>
          <w:lang w:val="es-ES_tradnl"/>
        </w:rPr>
      </w:pPr>
      <w:r w:rsidRPr="00263811">
        <w:rPr>
          <w:rFonts w:ascii="Arial" w:hAnsi="Arial" w:cs="Arial"/>
          <w:spacing w:val="4"/>
          <w:lang w:val="es-ES_tradnl"/>
        </w:rPr>
        <w:t> </w:t>
      </w:r>
    </w:p>
    <w:p w14:paraId="31D8A287" w14:textId="77777777" w:rsidR="002F61BF" w:rsidRPr="00263811" w:rsidRDefault="002F61BF" w:rsidP="006E2562">
      <w:pPr>
        <w:pStyle w:val="paragraph"/>
        <w:spacing w:before="0" w:beforeAutospacing="0" w:after="0" w:afterAutospacing="0" w:line="276" w:lineRule="auto"/>
        <w:jc w:val="both"/>
        <w:textAlignment w:val="baseline"/>
        <w:rPr>
          <w:rFonts w:ascii="Arial" w:hAnsi="Arial" w:cs="Arial"/>
          <w:spacing w:val="4"/>
          <w:lang w:val="es-ES_tradnl"/>
        </w:rPr>
      </w:pPr>
      <w:r w:rsidRPr="00263811">
        <w:rPr>
          <w:rFonts w:ascii="Arial" w:hAnsi="Arial" w:cs="Arial"/>
          <w:spacing w:val="4"/>
          <w:lang w:val="es-ES_tradnl"/>
        </w:rPr>
        <w:t>En mérito de lo expuesto, el Tribunal Superior del Distrito Judicial de Pereira - Risaralda, Sala Cuarta de Decisión Laboral, administrando justicia en nombre de la República y por autoridad de la ley, </w:t>
      </w:r>
    </w:p>
    <w:p w14:paraId="5EDFD973" w14:textId="77777777" w:rsidR="002F61BF" w:rsidRPr="00263811" w:rsidRDefault="002F61BF" w:rsidP="006E2562">
      <w:pPr>
        <w:pStyle w:val="paragraph"/>
        <w:spacing w:before="0" w:beforeAutospacing="0" w:after="0" w:afterAutospacing="0" w:line="276" w:lineRule="auto"/>
        <w:jc w:val="both"/>
        <w:textAlignment w:val="baseline"/>
        <w:rPr>
          <w:rFonts w:ascii="Arial" w:hAnsi="Arial" w:cs="Arial"/>
          <w:b/>
          <w:bCs/>
          <w:spacing w:val="4"/>
          <w:lang w:val="es-ES_tradnl"/>
        </w:rPr>
      </w:pPr>
      <w:r w:rsidRPr="00263811">
        <w:rPr>
          <w:rFonts w:ascii="Arial" w:hAnsi="Arial" w:cs="Arial"/>
          <w:spacing w:val="4"/>
          <w:lang w:val="es-ES_tradnl"/>
        </w:rPr>
        <w:t> </w:t>
      </w:r>
    </w:p>
    <w:p w14:paraId="4CA60AC3" w14:textId="77777777" w:rsidR="002F61BF" w:rsidRPr="00263811" w:rsidRDefault="002F61BF" w:rsidP="006E2562">
      <w:pPr>
        <w:pStyle w:val="paragraph"/>
        <w:spacing w:before="0" w:beforeAutospacing="0" w:after="0" w:afterAutospacing="0" w:line="276" w:lineRule="auto"/>
        <w:jc w:val="center"/>
        <w:textAlignment w:val="baseline"/>
        <w:rPr>
          <w:rFonts w:ascii="Arial" w:hAnsi="Arial" w:cs="Arial"/>
          <w:b/>
          <w:bCs/>
          <w:spacing w:val="4"/>
          <w:lang w:val="es-ES_tradnl"/>
        </w:rPr>
      </w:pPr>
      <w:r w:rsidRPr="00263811">
        <w:rPr>
          <w:rFonts w:ascii="Arial" w:hAnsi="Arial" w:cs="Arial"/>
          <w:b/>
          <w:bCs/>
          <w:spacing w:val="4"/>
          <w:lang w:val="es-ES_tradnl"/>
        </w:rPr>
        <w:t>RESUELVE: </w:t>
      </w:r>
    </w:p>
    <w:p w14:paraId="18F7A998" w14:textId="77777777" w:rsidR="002F61BF" w:rsidRPr="00263811" w:rsidRDefault="002F61BF" w:rsidP="006E2562">
      <w:pPr>
        <w:pStyle w:val="paragraph"/>
        <w:spacing w:before="0" w:beforeAutospacing="0" w:after="0" w:afterAutospacing="0" w:line="276" w:lineRule="auto"/>
        <w:jc w:val="both"/>
        <w:textAlignment w:val="baseline"/>
        <w:rPr>
          <w:rFonts w:ascii="Arial" w:hAnsi="Arial" w:cs="Arial"/>
          <w:spacing w:val="4"/>
          <w:lang w:val="es-ES_tradnl"/>
        </w:rPr>
      </w:pPr>
      <w:r w:rsidRPr="00263811">
        <w:rPr>
          <w:rFonts w:ascii="Arial" w:hAnsi="Arial" w:cs="Arial"/>
          <w:spacing w:val="4"/>
          <w:lang w:val="es-ES_tradnl"/>
        </w:rPr>
        <w:t> </w:t>
      </w:r>
    </w:p>
    <w:p w14:paraId="7031DC05" w14:textId="78466AB6" w:rsidR="002F61BF" w:rsidRPr="00263811" w:rsidRDefault="002F61BF" w:rsidP="006E2562">
      <w:pPr>
        <w:pStyle w:val="paragraph"/>
        <w:spacing w:before="0" w:beforeAutospacing="0" w:after="0" w:afterAutospacing="0" w:line="276" w:lineRule="auto"/>
        <w:jc w:val="both"/>
        <w:textAlignment w:val="baseline"/>
        <w:rPr>
          <w:rFonts w:ascii="Arial" w:hAnsi="Arial" w:cs="Arial"/>
          <w:spacing w:val="4"/>
        </w:rPr>
      </w:pPr>
      <w:r w:rsidRPr="00263811">
        <w:rPr>
          <w:rFonts w:ascii="Arial" w:hAnsi="Arial" w:cs="Arial"/>
          <w:b/>
          <w:bCs/>
          <w:spacing w:val="4"/>
        </w:rPr>
        <w:t>PRIMERO: DECLARAR </w:t>
      </w:r>
      <w:r w:rsidR="00E57EEF" w:rsidRPr="00263811">
        <w:rPr>
          <w:rFonts w:ascii="Arial" w:hAnsi="Arial" w:cs="Arial"/>
          <w:b/>
          <w:bCs/>
          <w:spacing w:val="4"/>
        </w:rPr>
        <w:t>LA NULIDAD DE LA SENTENCIA</w:t>
      </w:r>
      <w:r w:rsidRPr="00263811">
        <w:rPr>
          <w:rFonts w:ascii="Arial" w:hAnsi="Arial" w:cs="Arial"/>
          <w:spacing w:val="4"/>
        </w:rPr>
        <w:t xml:space="preserve"> proferida el 0</w:t>
      </w:r>
      <w:r w:rsidR="002C2B0E" w:rsidRPr="00263811">
        <w:rPr>
          <w:rFonts w:ascii="Arial" w:hAnsi="Arial" w:cs="Arial"/>
          <w:spacing w:val="4"/>
        </w:rPr>
        <w:t>2</w:t>
      </w:r>
      <w:r w:rsidRPr="00263811">
        <w:rPr>
          <w:rFonts w:ascii="Arial" w:hAnsi="Arial" w:cs="Arial"/>
          <w:spacing w:val="4"/>
        </w:rPr>
        <w:t xml:space="preserve"> de </w:t>
      </w:r>
      <w:r w:rsidR="002C2B0E" w:rsidRPr="00263811">
        <w:rPr>
          <w:rFonts w:ascii="Arial" w:hAnsi="Arial" w:cs="Arial"/>
          <w:spacing w:val="4"/>
        </w:rPr>
        <w:t>septiembre</w:t>
      </w:r>
      <w:r w:rsidRPr="00263811">
        <w:rPr>
          <w:rFonts w:ascii="Arial" w:hAnsi="Arial" w:cs="Arial"/>
          <w:spacing w:val="4"/>
        </w:rPr>
        <w:t xml:space="preserve"> de 2019 por el Juzgado </w:t>
      </w:r>
      <w:r w:rsidR="002C2B0E" w:rsidRPr="00263811">
        <w:rPr>
          <w:rFonts w:ascii="Arial" w:hAnsi="Arial" w:cs="Arial"/>
          <w:spacing w:val="4"/>
        </w:rPr>
        <w:t xml:space="preserve">Cuarto Laboral del </w:t>
      </w:r>
      <w:r w:rsidRPr="00263811">
        <w:rPr>
          <w:rFonts w:ascii="Arial" w:hAnsi="Arial" w:cs="Arial"/>
          <w:spacing w:val="4"/>
        </w:rPr>
        <w:t xml:space="preserve">Circuito de </w:t>
      </w:r>
      <w:r w:rsidR="002C2B0E" w:rsidRPr="00263811">
        <w:rPr>
          <w:rFonts w:ascii="Arial" w:hAnsi="Arial" w:cs="Arial"/>
          <w:spacing w:val="4"/>
        </w:rPr>
        <w:t>Pereira</w:t>
      </w:r>
      <w:r w:rsidRPr="00263811">
        <w:rPr>
          <w:rFonts w:ascii="Arial" w:hAnsi="Arial" w:cs="Arial"/>
          <w:spacing w:val="4"/>
        </w:rPr>
        <w:t>, Risaralda, dentro del proceso ordinario laboral</w:t>
      </w:r>
      <w:r w:rsidR="002C2B0E" w:rsidRPr="00263811">
        <w:rPr>
          <w:rFonts w:ascii="Arial" w:hAnsi="Arial" w:cs="Arial"/>
          <w:spacing w:val="4"/>
        </w:rPr>
        <w:t xml:space="preserve"> promovido por </w:t>
      </w:r>
      <w:r w:rsidR="002C2B0E" w:rsidRPr="00263811">
        <w:rPr>
          <w:rFonts w:ascii="Arial" w:hAnsi="Arial" w:cs="Arial"/>
          <w:b/>
          <w:bCs/>
          <w:spacing w:val="4"/>
        </w:rPr>
        <w:t>CARLOS ENRIQUE TORRES VÁSQUEZ</w:t>
      </w:r>
      <w:r w:rsidR="002C2B0E" w:rsidRPr="00263811">
        <w:rPr>
          <w:rFonts w:ascii="Arial" w:hAnsi="Arial" w:cs="Arial"/>
          <w:spacing w:val="4"/>
        </w:rPr>
        <w:t xml:space="preserve"> en contra de la </w:t>
      </w:r>
      <w:r w:rsidR="002C2B0E" w:rsidRPr="00263811">
        <w:rPr>
          <w:rFonts w:ascii="Arial" w:hAnsi="Arial" w:cs="Arial"/>
          <w:b/>
          <w:bCs/>
          <w:spacing w:val="4"/>
        </w:rPr>
        <w:t xml:space="preserve">ADMINISTRADORA COLOMBIANA DE PENSIONES “COLPENSIONES” </w:t>
      </w:r>
      <w:r w:rsidR="002C2B0E" w:rsidRPr="00263811">
        <w:rPr>
          <w:rFonts w:ascii="Arial" w:hAnsi="Arial" w:cs="Arial"/>
          <w:spacing w:val="4"/>
        </w:rPr>
        <w:t xml:space="preserve">y de </w:t>
      </w:r>
      <w:r w:rsidR="002C2B0E" w:rsidRPr="00263811">
        <w:rPr>
          <w:rFonts w:ascii="Arial" w:hAnsi="Arial" w:cs="Arial"/>
          <w:b/>
          <w:bCs/>
          <w:spacing w:val="4"/>
        </w:rPr>
        <w:t>COLFONDOS S.A. PENSIONES Y CESANTÍAS “COLFONDOS”</w:t>
      </w:r>
      <w:r w:rsidR="00E57EEF" w:rsidRPr="00263811">
        <w:rPr>
          <w:rFonts w:ascii="Arial" w:hAnsi="Arial" w:cs="Arial"/>
          <w:b/>
          <w:bCs/>
          <w:spacing w:val="4"/>
        </w:rPr>
        <w:t xml:space="preserve"> </w:t>
      </w:r>
      <w:r w:rsidR="00E57EEF" w:rsidRPr="00263811">
        <w:rPr>
          <w:rFonts w:ascii="Arial" w:hAnsi="Arial" w:cs="Arial"/>
          <w:spacing w:val="4"/>
        </w:rPr>
        <w:t>por las razones expuestas en la parte motiva de esta decisión.</w:t>
      </w:r>
    </w:p>
    <w:p w14:paraId="43D2A7AC" w14:textId="77777777" w:rsidR="002F61BF" w:rsidRPr="00263811" w:rsidRDefault="002F61BF" w:rsidP="006E2562">
      <w:pPr>
        <w:pStyle w:val="paragraph"/>
        <w:spacing w:before="0" w:beforeAutospacing="0" w:after="0" w:afterAutospacing="0" w:line="276" w:lineRule="auto"/>
        <w:jc w:val="both"/>
        <w:textAlignment w:val="baseline"/>
        <w:rPr>
          <w:rFonts w:ascii="Arial" w:hAnsi="Arial" w:cs="Arial"/>
          <w:spacing w:val="4"/>
          <w:lang w:val="es-ES_tradnl"/>
        </w:rPr>
      </w:pPr>
      <w:r w:rsidRPr="00263811">
        <w:rPr>
          <w:rFonts w:ascii="Arial" w:hAnsi="Arial" w:cs="Arial"/>
          <w:spacing w:val="4"/>
          <w:lang w:val="es-ES_tradnl"/>
        </w:rPr>
        <w:t> </w:t>
      </w:r>
    </w:p>
    <w:p w14:paraId="03775511" w14:textId="2EC0479C" w:rsidR="002F61BF" w:rsidRPr="00263811" w:rsidRDefault="002F61BF" w:rsidP="006E2562">
      <w:pPr>
        <w:pStyle w:val="paragraph"/>
        <w:spacing w:before="0" w:beforeAutospacing="0" w:after="0" w:afterAutospacing="0" w:line="276" w:lineRule="auto"/>
        <w:jc w:val="both"/>
        <w:textAlignment w:val="baseline"/>
        <w:rPr>
          <w:rFonts w:ascii="Arial" w:hAnsi="Arial" w:cs="Arial"/>
          <w:spacing w:val="4"/>
        </w:rPr>
      </w:pPr>
      <w:r w:rsidRPr="00263811">
        <w:rPr>
          <w:rFonts w:ascii="Arial" w:hAnsi="Arial" w:cs="Arial"/>
          <w:b/>
          <w:bCs/>
          <w:spacing w:val="4"/>
        </w:rPr>
        <w:t>SEGUNDO:</w:t>
      </w:r>
      <w:r w:rsidR="002C2B0E" w:rsidRPr="00263811">
        <w:rPr>
          <w:rFonts w:ascii="Arial" w:hAnsi="Arial" w:cs="Arial"/>
          <w:b/>
          <w:bCs/>
          <w:spacing w:val="4"/>
        </w:rPr>
        <w:t xml:space="preserve"> </w:t>
      </w:r>
      <w:r w:rsidRPr="00263811">
        <w:rPr>
          <w:rFonts w:ascii="Arial" w:hAnsi="Arial" w:cs="Arial"/>
          <w:b/>
          <w:bCs/>
          <w:spacing w:val="4"/>
        </w:rPr>
        <w:t>ORDENAR</w:t>
      </w:r>
      <w:r w:rsidR="002C2B0E" w:rsidRPr="00263811">
        <w:rPr>
          <w:rFonts w:ascii="Arial" w:hAnsi="Arial" w:cs="Arial"/>
          <w:spacing w:val="4"/>
        </w:rPr>
        <w:t xml:space="preserve"> </w:t>
      </w:r>
      <w:r w:rsidRPr="00263811">
        <w:rPr>
          <w:rFonts w:ascii="Arial" w:hAnsi="Arial" w:cs="Arial"/>
          <w:spacing w:val="4"/>
        </w:rPr>
        <w:t>la vinculación de</w:t>
      </w:r>
      <w:r w:rsidR="002C2B0E" w:rsidRPr="00263811">
        <w:rPr>
          <w:rFonts w:ascii="Arial" w:hAnsi="Arial" w:cs="Arial"/>
          <w:spacing w:val="4"/>
        </w:rPr>
        <w:t xml:space="preserve"> la </w:t>
      </w:r>
      <w:r w:rsidR="002C2B0E" w:rsidRPr="00263811">
        <w:rPr>
          <w:rFonts w:ascii="Arial" w:hAnsi="Arial" w:cs="Arial"/>
          <w:b/>
          <w:bCs/>
          <w:spacing w:val="4"/>
        </w:rPr>
        <w:t>SOCIEDAD ADMINISTRADORA DE FONDOS DE PENSIONES Y CESANTÍA</w:t>
      </w:r>
      <w:r w:rsidR="00D845D0" w:rsidRPr="00263811">
        <w:rPr>
          <w:rFonts w:ascii="Arial" w:hAnsi="Arial" w:cs="Arial"/>
          <w:b/>
          <w:bCs/>
          <w:spacing w:val="4"/>
        </w:rPr>
        <w:t>S</w:t>
      </w:r>
      <w:r w:rsidR="002C2B0E" w:rsidRPr="00263811">
        <w:rPr>
          <w:rFonts w:ascii="Arial" w:hAnsi="Arial" w:cs="Arial"/>
          <w:b/>
          <w:bCs/>
          <w:spacing w:val="4"/>
        </w:rPr>
        <w:t xml:space="preserve"> PORVENIR S.A.</w:t>
      </w:r>
      <w:r w:rsidR="002C2B0E" w:rsidRPr="00263811">
        <w:rPr>
          <w:rFonts w:ascii="Arial" w:hAnsi="Arial" w:cs="Arial"/>
          <w:spacing w:val="4"/>
        </w:rPr>
        <w:t xml:space="preserve"> </w:t>
      </w:r>
      <w:r w:rsidRPr="00263811">
        <w:rPr>
          <w:rFonts w:ascii="Arial" w:hAnsi="Arial" w:cs="Arial"/>
          <w:spacing w:val="4"/>
        </w:rPr>
        <w:t>al presente proceso, como litisconsorte necesario por pasiva.</w:t>
      </w:r>
    </w:p>
    <w:p w14:paraId="14073004" w14:textId="77777777" w:rsidR="002F61BF" w:rsidRPr="00263811" w:rsidRDefault="002F61BF" w:rsidP="006E2562">
      <w:pPr>
        <w:pStyle w:val="paragraph"/>
        <w:spacing w:before="0" w:beforeAutospacing="0" w:after="0" w:afterAutospacing="0" w:line="276" w:lineRule="auto"/>
        <w:jc w:val="both"/>
        <w:textAlignment w:val="baseline"/>
        <w:rPr>
          <w:rFonts w:ascii="Arial" w:hAnsi="Arial" w:cs="Arial"/>
          <w:spacing w:val="4"/>
          <w:lang w:val="es-ES_tradnl"/>
        </w:rPr>
      </w:pPr>
      <w:r w:rsidRPr="00263811">
        <w:rPr>
          <w:rFonts w:ascii="Arial" w:hAnsi="Arial" w:cs="Arial"/>
          <w:spacing w:val="4"/>
          <w:lang w:val="es-ES_tradnl"/>
        </w:rPr>
        <w:t> </w:t>
      </w:r>
    </w:p>
    <w:p w14:paraId="72C9BDD3" w14:textId="587AECAB" w:rsidR="002F61BF" w:rsidRPr="00263811" w:rsidRDefault="002F61BF" w:rsidP="006E2562">
      <w:pPr>
        <w:pStyle w:val="paragraph"/>
        <w:spacing w:before="0" w:beforeAutospacing="0" w:after="0" w:afterAutospacing="0" w:line="276" w:lineRule="auto"/>
        <w:jc w:val="both"/>
        <w:textAlignment w:val="baseline"/>
        <w:rPr>
          <w:rFonts w:ascii="Arial" w:hAnsi="Arial" w:cs="Arial"/>
          <w:spacing w:val="4"/>
        </w:rPr>
      </w:pPr>
      <w:r w:rsidRPr="00263811">
        <w:rPr>
          <w:rFonts w:ascii="Arial" w:hAnsi="Arial" w:cs="Arial"/>
          <w:b/>
          <w:bCs/>
          <w:spacing w:val="4"/>
        </w:rPr>
        <w:t>TERCERO: ORDENAR</w:t>
      </w:r>
      <w:r w:rsidR="002C2B0E" w:rsidRPr="00263811">
        <w:rPr>
          <w:rFonts w:ascii="Arial" w:hAnsi="Arial" w:cs="Arial"/>
          <w:spacing w:val="4"/>
        </w:rPr>
        <w:t xml:space="preserve"> </w:t>
      </w:r>
      <w:r w:rsidRPr="00263811">
        <w:rPr>
          <w:rFonts w:ascii="Arial" w:hAnsi="Arial" w:cs="Arial"/>
          <w:spacing w:val="4"/>
        </w:rPr>
        <w:t xml:space="preserve">que las diligencias regresen al Juzgado de origen para que, </w:t>
      </w:r>
      <w:r w:rsidRPr="00263811">
        <w:rPr>
          <w:rFonts w:ascii="Arial" w:hAnsi="Arial" w:cs="Arial"/>
          <w:b/>
          <w:bCs/>
          <w:spacing w:val="4"/>
        </w:rPr>
        <w:t>únicamente respecto de</w:t>
      </w:r>
      <w:r w:rsidR="002C2B0E" w:rsidRPr="00263811">
        <w:rPr>
          <w:rFonts w:ascii="Arial" w:hAnsi="Arial" w:cs="Arial"/>
          <w:b/>
          <w:bCs/>
          <w:spacing w:val="4"/>
        </w:rPr>
        <w:t xml:space="preserve"> la SOCIEDAD ADMINISTRADORA DE FONDOS DE PENSIONES Y CESANTÍA</w:t>
      </w:r>
      <w:r w:rsidR="262FEF1E" w:rsidRPr="00263811">
        <w:rPr>
          <w:rFonts w:ascii="Arial" w:hAnsi="Arial" w:cs="Arial"/>
          <w:b/>
          <w:bCs/>
          <w:spacing w:val="4"/>
        </w:rPr>
        <w:t>S</w:t>
      </w:r>
      <w:r w:rsidR="002C2B0E" w:rsidRPr="00263811">
        <w:rPr>
          <w:rFonts w:ascii="Arial" w:hAnsi="Arial" w:cs="Arial"/>
          <w:b/>
          <w:bCs/>
          <w:spacing w:val="4"/>
        </w:rPr>
        <w:t xml:space="preserve"> PORVENIR S.A.</w:t>
      </w:r>
      <w:r w:rsidRPr="00263811">
        <w:rPr>
          <w:rFonts w:ascii="Arial" w:hAnsi="Arial" w:cs="Arial"/>
          <w:b/>
          <w:bCs/>
          <w:spacing w:val="4"/>
        </w:rPr>
        <w:t>,</w:t>
      </w:r>
      <w:r w:rsidRPr="00263811">
        <w:rPr>
          <w:rFonts w:ascii="Arial" w:hAnsi="Arial" w:cs="Arial"/>
          <w:spacing w:val="4"/>
        </w:rPr>
        <w:t> se rehagan las actuaciones de que tratan los artículos 7</w:t>
      </w:r>
      <w:r w:rsidR="002C2B0E" w:rsidRPr="00263811">
        <w:rPr>
          <w:rFonts w:ascii="Arial" w:hAnsi="Arial" w:cs="Arial"/>
          <w:spacing w:val="4"/>
        </w:rPr>
        <w:t>7</w:t>
      </w:r>
      <w:r w:rsidRPr="00263811">
        <w:rPr>
          <w:rFonts w:ascii="Arial" w:hAnsi="Arial" w:cs="Arial"/>
          <w:spacing w:val="4"/>
        </w:rPr>
        <w:t xml:space="preserve"> y </w:t>
      </w:r>
      <w:r w:rsidR="002C2B0E" w:rsidRPr="00263811">
        <w:rPr>
          <w:rFonts w:ascii="Arial" w:hAnsi="Arial" w:cs="Arial"/>
          <w:spacing w:val="4"/>
        </w:rPr>
        <w:t>80</w:t>
      </w:r>
      <w:r w:rsidRPr="00263811">
        <w:rPr>
          <w:rFonts w:ascii="Arial" w:hAnsi="Arial" w:cs="Arial"/>
          <w:spacing w:val="4"/>
        </w:rPr>
        <w:t xml:space="preserve"> del Código Procesal del Trabajo y de la Seguridad Social, esto es, quedando a salvo</w:t>
      </w:r>
      <w:r w:rsidR="539FC160" w:rsidRPr="00263811">
        <w:rPr>
          <w:rFonts w:ascii="Arial" w:hAnsi="Arial" w:cs="Arial"/>
          <w:spacing w:val="4"/>
        </w:rPr>
        <w:t xml:space="preserve"> </w:t>
      </w:r>
      <w:r w:rsidRPr="00263811">
        <w:rPr>
          <w:rFonts w:ascii="Arial" w:hAnsi="Arial" w:cs="Arial"/>
          <w:spacing w:val="4"/>
        </w:rPr>
        <w:t> el trámite de rigor surtido en relación con</w:t>
      </w:r>
      <w:r w:rsidR="002C2B0E" w:rsidRPr="00263811">
        <w:rPr>
          <w:rFonts w:ascii="Arial" w:hAnsi="Arial" w:cs="Arial"/>
          <w:spacing w:val="4"/>
        </w:rPr>
        <w:t xml:space="preserve"> COLPENSIONES y COLFONDOS </w:t>
      </w:r>
      <w:r w:rsidRPr="00263811">
        <w:rPr>
          <w:rFonts w:ascii="Arial" w:hAnsi="Arial" w:cs="Arial"/>
          <w:spacing w:val="4"/>
        </w:rPr>
        <w:t>y recordando que la prueba legalmente aportada y recaudada en este proceso, conserva su validez y eficacia</w:t>
      </w:r>
      <w:r w:rsidR="7F623A7B" w:rsidRPr="00263811">
        <w:rPr>
          <w:rFonts w:ascii="Arial" w:hAnsi="Arial" w:cs="Arial"/>
          <w:spacing w:val="4"/>
        </w:rPr>
        <w:t xml:space="preserve">, sin perjuicio de los derechos de la vinculada. </w:t>
      </w:r>
      <w:r w:rsidRPr="00263811">
        <w:rPr>
          <w:rFonts w:ascii="Arial" w:hAnsi="Arial" w:cs="Arial"/>
          <w:spacing w:val="4"/>
        </w:rPr>
        <w:t> </w:t>
      </w:r>
    </w:p>
    <w:p w14:paraId="40844695" w14:textId="77777777" w:rsidR="002F61BF" w:rsidRPr="00263811" w:rsidRDefault="002F61BF" w:rsidP="006E2562">
      <w:pPr>
        <w:pStyle w:val="paragraph"/>
        <w:spacing w:before="0" w:beforeAutospacing="0" w:after="0" w:afterAutospacing="0" w:line="276" w:lineRule="auto"/>
        <w:jc w:val="both"/>
        <w:textAlignment w:val="baseline"/>
        <w:rPr>
          <w:rFonts w:ascii="Arial" w:hAnsi="Arial" w:cs="Arial"/>
          <w:spacing w:val="4"/>
          <w:lang w:val="es-ES_tradnl"/>
        </w:rPr>
      </w:pPr>
      <w:r w:rsidRPr="00263811">
        <w:rPr>
          <w:rFonts w:ascii="Arial" w:hAnsi="Arial" w:cs="Arial"/>
          <w:spacing w:val="4"/>
          <w:lang w:val="es-ES_tradnl"/>
        </w:rPr>
        <w:t> </w:t>
      </w:r>
    </w:p>
    <w:p w14:paraId="2D949095" w14:textId="12321E0E" w:rsidR="002F61BF" w:rsidRPr="00263811" w:rsidRDefault="002F61BF" w:rsidP="006E2562">
      <w:pPr>
        <w:pStyle w:val="paragraph"/>
        <w:shd w:val="clear" w:color="auto" w:fill="FFFFFF"/>
        <w:spacing w:before="0" w:beforeAutospacing="0" w:after="0" w:afterAutospacing="0" w:line="276" w:lineRule="auto"/>
        <w:jc w:val="both"/>
        <w:textAlignment w:val="baseline"/>
        <w:rPr>
          <w:rFonts w:ascii="Arial" w:hAnsi="Arial" w:cs="Arial"/>
          <w:spacing w:val="4"/>
          <w:lang w:val="es-ES_tradnl"/>
        </w:rPr>
      </w:pPr>
      <w:r w:rsidRPr="00263811">
        <w:rPr>
          <w:rFonts w:ascii="Arial" w:hAnsi="Arial" w:cs="Arial"/>
          <w:spacing w:val="4"/>
          <w:lang w:val="es-ES_tradnl"/>
        </w:rPr>
        <w:t>La anterior decisión</w:t>
      </w:r>
      <w:r w:rsidR="002C2B0E" w:rsidRPr="00263811">
        <w:rPr>
          <w:rFonts w:ascii="Arial" w:hAnsi="Arial" w:cs="Arial"/>
          <w:spacing w:val="4"/>
          <w:lang w:val="es-ES_tradnl"/>
        </w:rPr>
        <w:t xml:space="preserve"> se</w:t>
      </w:r>
      <w:r w:rsidRPr="00263811">
        <w:rPr>
          <w:rFonts w:ascii="Arial" w:hAnsi="Arial" w:cs="Arial"/>
          <w:spacing w:val="4"/>
          <w:lang w:val="es-ES_tradnl"/>
        </w:rPr>
        <w:t xml:space="preserve"> notifica en estados. </w:t>
      </w:r>
    </w:p>
    <w:p w14:paraId="28CAF0C2" w14:textId="77777777" w:rsidR="006E2562" w:rsidRPr="006E2562" w:rsidRDefault="006E2562" w:rsidP="006E2562">
      <w:pPr>
        <w:spacing w:line="276" w:lineRule="auto"/>
        <w:jc w:val="both"/>
        <w:rPr>
          <w:rFonts w:ascii="Arial" w:hAnsi="Arial" w:cs="Arial"/>
          <w:szCs w:val="24"/>
        </w:rPr>
      </w:pPr>
    </w:p>
    <w:p w14:paraId="0C830A90" w14:textId="77777777" w:rsidR="006E2562" w:rsidRPr="006E2562" w:rsidRDefault="006E2562" w:rsidP="006E2562">
      <w:pPr>
        <w:spacing w:line="276" w:lineRule="auto"/>
        <w:jc w:val="both"/>
        <w:rPr>
          <w:rFonts w:ascii="Arial" w:hAnsi="Arial" w:cs="Arial"/>
          <w:szCs w:val="24"/>
        </w:rPr>
      </w:pPr>
    </w:p>
    <w:p w14:paraId="1A38EB41" w14:textId="77777777" w:rsidR="006E2562" w:rsidRPr="006E2562" w:rsidRDefault="006E2562" w:rsidP="006E2562">
      <w:pPr>
        <w:spacing w:line="276" w:lineRule="auto"/>
        <w:jc w:val="both"/>
        <w:rPr>
          <w:rFonts w:ascii="Arial" w:hAnsi="Arial" w:cs="Arial"/>
          <w:szCs w:val="24"/>
        </w:rPr>
      </w:pPr>
    </w:p>
    <w:p w14:paraId="14A5C989" w14:textId="77777777" w:rsidR="006E2562" w:rsidRPr="006E2562" w:rsidRDefault="006E2562" w:rsidP="006E2562">
      <w:pPr>
        <w:spacing w:line="276" w:lineRule="auto"/>
        <w:jc w:val="center"/>
        <w:rPr>
          <w:rFonts w:ascii="Arial" w:hAnsi="Arial" w:cs="Arial"/>
          <w:b/>
          <w:bCs/>
          <w:iCs/>
          <w:szCs w:val="24"/>
          <w:lang w:val="es-ES"/>
        </w:rPr>
      </w:pPr>
      <w:r w:rsidRPr="006E2562">
        <w:rPr>
          <w:rFonts w:ascii="Arial" w:hAnsi="Arial" w:cs="Arial"/>
          <w:b/>
          <w:bCs/>
          <w:iCs/>
          <w:szCs w:val="24"/>
          <w:lang w:val="es-ES"/>
        </w:rPr>
        <w:t>ALEJANDRA MARÍA HENAO PALACIO</w:t>
      </w:r>
    </w:p>
    <w:p w14:paraId="37314F58" w14:textId="77777777" w:rsidR="006E2562" w:rsidRPr="006E2562" w:rsidRDefault="006E2562" w:rsidP="006E2562">
      <w:pPr>
        <w:spacing w:line="276" w:lineRule="auto"/>
        <w:jc w:val="center"/>
        <w:rPr>
          <w:rFonts w:ascii="Arial" w:hAnsi="Arial" w:cs="Arial"/>
          <w:bCs/>
          <w:iCs/>
          <w:szCs w:val="24"/>
          <w:lang w:val="es-ES"/>
        </w:rPr>
      </w:pPr>
      <w:r w:rsidRPr="006E2562">
        <w:rPr>
          <w:rFonts w:ascii="Arial" w:hAnsi="Arial" w:cs="Arial"/>
          <w:bCs/>
          <w:iCs/>
          <w:szCs w:val="24"/>
          <w:lang w:val="es-ES"/>
        </w:rPr>
        <w:t>Magistrada Ponente</w:t>
      </w:r>
    </w:p>
    <w:p w14:paraId="79BDB87F" w14:textId="77777777" w:rsidR="006E2562" w:rsidRPr="006E2562" w:rsidRDefault="006E2562" w:rsidP="006E2562">
      <w:pPr>
        <w:spacing w:line="276" w:lineRule="auto"/>
        <w:jc w:val="both"/>
        <w:rPr>
          <w:rFonts w:ascii="Arial" w:hAnsi="Arial" w:cs="Arial"/>
          <w:szCs w:val="24"/>
        </w:rPr>
      </w:pPr>
    </w:p>
    <w:p w14:paraId="7E5BDA44" w14:textId="77777777" w:rsidR="006E2562" w:rsidRPr="006E2562" w:rsidRDefault="006E2562" w:rsidP="006E2562">
      <w:pPr>
        <w:spacing w:line="276" w:lineRule="auto"/>
        <w:jc w:val="both"/>
        <w:rPr>
          <w:rFonts w:ascii="Arial" w:hAnsi="Arial" w:cs="Arial"/>
          <w:szCs w:val="24"/>
        </w:rPr>
      </w:pPr>
    </w:p>
    <w:p w14:paraId="24D165E8" w14:textId="77777777" w:rsidR="006E2562" w:rsidRPr="006E2562" w:rsidRDefault="006E2562" w:rsidP="006E2562">
      <w:pPr>
        <w:spacing w:line="276" w:lineRule="auto"/>
        <w:jc w:val="both"/>
        <w:rPr>
          <w:rFonts w:ascii="Arial" w:hAnsi="Arial" w:cs="Arial"/>
          <w:szCs w:val="24"/>
        </w:rPr>
      </w:pPr>
    </w:p>
    <w:p w14:paraId="103F2ADC" w14:textId="77777777" w:rsidR="006E2562" w:rsidRPr="006E2562" w:rsidRDefault="006E2562" w:rsidP="006E2562">
      <w:pPr>
        <w:spacing w:line="276" w:lineRule="auto"/>
        <w:jc w:val="both"/>
        <w:rPr>
          <w:rFonts w:ascii="Arial" w:hAnsi="Arial" w:cs="Arial"/>
          <w:b/>
          <w:bCs/>
          <w:iCs/>
          <w:szCs w:val="24"/>
          <w:lang w:val="es-ES"/>
        </w:rPr>
      </w:pPr>
      <w:r w:rsidRPr="006E2562">
        <w:rPr>
          <w:rFonts w:ascii="Arial" w:hAnsi="Arial" w:cs="Arial"/>
          <w:b/>
          <w:bCs/>
          <w:iCs/>
          <w:szCs w:val="24"/>
          <w:lang w:val="es-ES"/>
        </w:rPr>
        <w:t>ANA LUCÍA CAICEDO CALDERÓN</w:t>
      </w:r>
      <w:r w:rsidRPr="006E2562">
        <w:rPr>
          <w:rFonts w:ascii="Arial" w:hAnsi="Arial" w:cs="Arial"/>
          <w:b/>
          <w:bCs/>
          <w:iCs/>
          <w:szCs w:val="24"/>
          <w:lang w:val="es-ES"/>
        </w:rPr>
        <w:tab/>
        <w:t xml:space="preserve">      OLGA LUCIA HOYOS SEPÚLVEDA</w:t>
      </w:r>
    </w:p>
    <w:p w14:paraId="7426A52A" w14:textId="7AF45C21" w:rsidR="00AD7BED" w:rsidRPr="006E2562" w:rsidRDefault="006E2562" w:rsidP="006E2562">
      <w:pPr>
        <w:spacing w:line="276" w:lineRule="auto"/>
        <w:jc w:val="both"/>
        <w:rPr>
          <w:rFonts w:ascii="Arial" w:hAnsi="Arial" w:cs="Arial"/>
          <w:bCs/>
          <w:iCs/>
          <w:szCs w:val="24"/>
          <w:lang w:val="es-ES"/>
        </w:rPr>
      </w:pPr>
      <w:r w:rsidRPr="006E2562">
        <w:rPr>
          <w:rFonts w:ascii="Arial" w:hAnsi="Arial" w:cs="Arial"/>
          <w:bCs/>
          <w:iCs/>
          <w:szCs w:val="24"/>
          <w:lang w:val="es-ES"/>
        </w:rPr>
        <w:t xml:space="preserve">                Magistrada</w:t>
      </w:r>
      <w:r w:rsidRPr="006E2562">
        <w:rPr>
          <w:rFonts w:ascii="Arial" w:hAnsi="Arial" w:cs="Arial"/>
          <w:bCs/>
          <w:iCs/>
          <w:szCs w:val="24"/>
          <w:lang w:val="es-ES"/>
        </w:rPr>
        <w:tab/>
      </w:r>
      <w:r w:rsidRPr="006E2562">
        <w:rPr>
          <w:rFonts w:ascii="Arial" w:hAnsi="Arial" w:cs="Arial"/>
          <w:bCs/>
          <w:iCs/>
          <w:szCs w:val="24"/>
          <w:lang w:val="es-ES"/>
        </w:rPr>
        <w:tab/>
      </w:r>
      <w:r w:rsidRPr="006E2562">
        <w:rPr>
          <w:rFonts w:ascii="Arial" w:hAnsi="Arial" w:cs="Arial"/>
          <w:bCs/>
          <w:iCs/>
          <w:szCs w:val="24"/>
          <w:lang w:val="es-ES"/>
        </w:rPr>
        <w:tab/>
      </w:r>
      <w:r w:rsidRPr="006E2562">
        <w:rPr>
          <w:rFonts w:ascii="Arial" w:hAnsi="Arial" w:cs="Arial"/>
          <w:bCs/>
          <w:iCs/>
          <w:szCs w:val="24"/>
          <w:lang w:val="es-ES"/>
        </w:rPr>
        <w:tab/>
      </w:r>
      <w:r w:rsidRPr="006E2562">
        <w:rPr>
          <w:rFonts w:ascii="Arial" w:hAnsi="Arial" w:cs="Arial"/>
          <w:bCs/>
          <w:iCs/>
          <w:szCs w:val="24"/>
          <w:lang w:val="es-ES"/>
        </w:rPr>
        <w:tab/>
        <w:t xml:space="preserve">      Magistrada</w:t>
      </w:r>
    </w:p>
    <w:sectPr w:rsidR="00AD7BED" w:rsidRPr="006E2562" w:rsidSect="00263811">
      <w:headerReference w:type="even" r:id="rId13"/>
      <w:headerReference w:type="default" r:id="rId14"/>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85562" w14:textId="77777777" w:rsidR="008105B4" w:rsidRDefault="008105B4" w:rsidP="00116DDD">
      <w:r>
        <w:separator/>
      </w:r>
    </w:p>
  </w:endnote>
  <w:endnote w:type="continuationSeparator" w:id="0">
    <w:p w14:paraId="61D4FF4D" w14:textId="77777777" w:rsidR="008105B4" w:rsidRDefault="008105B4" w:rsidP="0011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D6ACA" w14:textId="77777777" w:rsidR="008105B4" w:rsidRDefault="008105B4" w:rsidP="00116DDD">
      <w:r>
        <w:separator/>
      </w:r>
    </w:p>
  </w:footnote>
  <w:footnote w:type="continuationSeparator" w:id="0">
    <w:p w14:paraId="6D6B24F6" w14:textId="77777777" w:rsidR="008105B4" w:rsidRDefault="008105B4" w:rsidP="00116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399523694"/>
      <w:docPartObj>
        <w:docPartGallery w:val="Page Numbers (Top of Page)"/>
        <w:docPartUnique/>
      </w:docPartObj>
    </w:sdtPr>
    <w:sdtEndPr>
      <w:rPr>
        <w:rStyle w:val="Nmerodepgina"/>
      </w:rPr>
    </w:sdtEndPr>
    <w:sdtContent>
      <w:p w14:paraId="54007579" w14:textId="23D316A3" w:rsidR="00BC637D" w:rsidRDefault="00BC637D" w:rsidP="003B6D1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27D4A3D" w14:textId="77777777" w:rsidR="00BC637D" w:rsidRDefault="00BC637D" w:rsidP="000621E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612863764"/>
      <w:docPartObj>
        <w:docPartGallery w:val="Page Numbers (Top of Page)"/>
        <w:docPartUnique/>
      </w:docPartObj>
    </w:sdtPr>
    <w:sdtEndPr>
      <w:rPr>
        <w:rStyle w:val="Fuentedeprrafopredeter"/>
        <w:rFonts w:ascii="Arial" w:eastAsiaTheme="majorEastAsia" w:hAnsi="Arial" w:cs="Arial"/>
        <w:sz w:val="18"/>
        <w:szCs w:val="18"/>
      </w:rPr>
    </w:sdtEndPr>
    <w:sdtContent>
      <w:p w14:paraId="7C7AAEC2" w14:textId="24A02014" w:rsidR="00BC637D" w:rsidRPr="006E2562" w:rsidRDefault="00BC637D" w:rsidP="003B6D14">
        <w:pPr>
          <w:pStyle w:val="Encabezado"/>
          <w:framePr w:wrap="none" w:vAnchor="text" w:hAnchor="margin" w:xAlign="right" w:y="1"/>
          <w:rPr>
            <w:rFonts w:ascii="Arial" w:eastAsiaTheme="majorEastAsia" w:hAnsi="Arial" w:cs="Arial"/>
            <w:sz w:val="18"/>
            <w:szCs w:val="18"/>
          </w:rPr>
        </w:pPr>
        <w:r w:rsidRPr="006E2562">
          <w:rPr>
            <w:rFonts w:ascii="Arial" w:eastAsiaTheme="majorEastAsia" w:hAnsi="Arial" w:cs="Arial"/>
            <w:sz w:val="18"/>
            <w:szCs w:val="18"/>
          </w:rPr>
          <w:fldChar w:fldCharType="begin"/>
        </w:r>
        <w:r w:rsidRPr="006E2562">
          <w:rPr>
            <w:rFonts w:ascii="Arial" w:eastAsiaTheme="majorEastAsia" w:hAnsi="Arial" w:cs="Arial"/>
            <w:sz w:val="18"/>
            <w:szCs w:val="18"/>
          </w:rPr>
          <w:instrText xml:space="preserve"> PAGE </w:instrText>
        </w:r>
        <w:r w:rsidRPr="006E2562">
          <w:rPr>
            <w:rFonts w:ascii="Arial" w:eastAsiaTheme="majorEastAsia" w:hAnsi="Arial" w:cs="Arial"/>
            <w:sz w:val="18"/>
            <w:szCs w:val="18"/>
          </w:rPr>
          <w:fldChar w:fldCharType="separate"/>
        </w:r>
        <w:r w:rsidR="00CD6B0B">
          <w:rPr>
            <w:rFonts w:ascii="Arial" w:eastAsiaTheme="majorEastAsia" w:hAnsi="Arial" w:cs="Arial"/>
            <w:noProof/>
            <w:sz w:val="18"/>
            <w:szCs w:val="18"/>
          </w:rPr>
          <w:t>2</w:t>
        </w:r>
        <w:r w:rsidRPr="006E2562">
          <w:rPr>
            <w:rFonts w:ascii="Arial" w:eastAsiaTheme="majorEastAsia" w:hAnsi="Arial" w:cs="Arial"/>
            <w:sz w:val="18"/>
            <w:szCs w:val="18"/>
          </w:rPr>
          <w:fldChar w:fldCharType="end"/>
        </w:r>
      </w:p>
    </w:sdtContent>
  </w:sdt>
  <w:p w14:paraId="5C746383" w14:textId="6C7B76DD" w:rsidR="00BC637D" w:rsidRPr="006E2562" w:rsidRDefault="00BC637D" w:rsidP="006E2562">
    <w:pPr>
      <w:pStyle w:val="Ttulo2"/>
      <w:tabs>
        <w:tab w:val="right" w:pos="8931"/>
      </w:tabs>
      <w:spacing w:before="0"/>
      <w:ind w:right="360"/>
      <w:jc w:val="both"/>
      <w:rPr>
        <w:rFonts w:ascii="Arial" w:hAnsi="Arial" w:cs="Arial"/>
        <w:bCs/>
        <w:color w:val="auto"/>
        <w:sz w:val="18"/>
        <w:szCs w:val="18"/>
      </w:rPr>
    </w:pPr>
    <w:r w:rsidRPr="006E2562">
      <w:rPr>
        <w:rFonts w:ascii="Arial" w:hAnsi="Arial" w:cs="Arial"/>
        <w:color w:val="auto"/>
        <w:sz w:val="18"/>
        <w:szCs w:val="18"/>
      </w:rPr>
      <w:t xml:space="preserve">Radicación No. </w:t>
    </w:r>
    <w:r w:rsidRPr="006E2562">
      <w:rPr>
        <w:rFonts w:ascii="Arial" w:hAnsi="Arial" w:cs="Arial"/>
        <w:bCs/>
        <w:color w:val="auto"/>
        <w:sz w:val="18"/>
        <w:szCs w:val="18"/>
      </w:rPr>
      <w:t>66001–31-05–004-2017-00569-01</w:t>
    </w:r>
  </w:p>
  <w:p w14:paraId="2CCC734B" w14:textId="69822FCB" w:rsidR="00BC637D" w:rsidRPr="006E2562" w:rsidRDefault="00BC637D" w:rsidP="006E2562">
    <w:pPr>
      <w:pStyle w:val="Ttulo2"/>
      <w:tabs>
        <w:tab w:val="right" w:pos="8931"/>
      </w:tabs>
      <w:spacing w:before="0"/>
      <w:ind w:right="-92"/>
      <w:jc w:val="both"/>
      <w:rPr>
        <w:rFonts w:ascii="Arial" w:hAnsi="Arial" w:cs="Arial"/>
        <w:color w:val="auto"/>
        <w:sz w:val="18"/>
        <w:szCs w:val="18"/>
        <w:lang w:val="es-ES"/>
      </w:rPr>
    </w:pPr>
    <w:r w:rsidRPr="006E2562">
      <w:rPr>
        <w:rFonts w:ascii="Arial" w:hAnsi="Arial" w:cs="Arial"/>
        <w:bCs/>
        <w:color w:val="auto"/>
        <w:sz w:val="18"/>
        <w:szCs w:val="18"/>
      </w:rPr>
      <w:t xml:space="preserve">Carlos Enrique Torres Vásquez vs Colpensiones y otro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18A0"/>
    <w:multiLevelType w:val="multilevel"/>
    <w:tmpl w:val="E07A66CC"/>
    <w:lvl w:ilvl="0">
      <w:start w:val="1"/>
      <w:numFmt w:val="decimal"/>
      <w:lvlText w:val="%1."/>
      <w:lvlJc w:val="left"/>
      <w:pPr>
        <w:ind w:left="400" w:hanging="4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458A0535"/>
    <w:multiLevelType w:val="hybridMultilevel"/>
    <w:tmpl w:val="51E4F1DC"/>
    <w:lvl w:ilvl="0" w:tplc="18DC0E42">
      <w:start w:val="1"/>
      <w:numFmt w:val="decimal"/>
      <w:lvlText w:val="%1."/>
      <w:lvlJc w:val="left"/>
      <w:pPr>
        <w:ind w:left="2487" w:hanging="360"/>
      </w:pPr>
      <w:rPr>
        <w:rFonts w:hint="default"/>
        <w:sz w:val="28"/>
        <w:szCs w:val="28"/>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56A1160C"/>
    <w:multiLevelType w:val="multilevel"/>
    <w:tmpl w:val="BE2079A4"/>
    <w:lvl w:ilvl="0">
      <w:start w:val="1"/>
      <w:numFmt w:val="upperRoman"/>
      <w:lvlText w:val="%1."/>
      <w:lvlJc w:val="left"/>
      <w:pPr>
        <w:ind w:left="1004" w:hanging="720"/>
      </w:pPr>
      <w:rPr>
        <w:rFonts w:hint="default"/>
        <w:b/>
      </w:rPr>
    </w:lvl>
    <w:lvl w:ilvl="1">
      <w:start w:val="1"/>
      <w:numFmt w:val="decimal"/>
      <w:lvlText w:val="%1.%2."/>
      <w:lvlJc w:val="left"/>
      <w:pPr>
        <w:ind w:left="1429" w:hanging="720"/>
      </w:p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484"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DD"/>
    <w:rsid w:val="00005C5F"/>
    <w:rsid w:val="0000602E"/>
    <w:rsid w:val="0001031C"/>
    <w:rsid w:val="00012B99"/>
    <w:rsid w:val="00013F09"/>
    <w:rsid w:val="00025CD1"/>
    <w:rsid w:val="000269C3"/>
    <w:rsid w:val="00027135"/>
    <w:rsid w:val="00034AE9"/>
    <w:rsid w:val="00035211"/>
    <w:rsid w:val="00036361"/>
    <w:rsid w:val="00041D05"/>
    <w:rsid w:val="0004207F"/>
    <w:rsid w:val="0004389D"/>
    <w:rsid w:val="000468BD"/>
    <w:rsid w:val="00054421"/>
    <w:rsid w:val="00054C39"/>
    <w:rsid w:val="00057A86"/>
    <w:rsid w:val="000621E7"/>
    <w:rsid w:val="0007029E"/>
    <w:rsid w:val="000717F2"/>
    <w:rsid w:val="00077D68"/>
    <w:rsid w:val="00087767"/>
    <w:rsid w:val="000915C8"/>
    <w:rsid w:val="000961B0"/>
    <w:rsid w:val="00096E06"/>
    <w:rsid w:val="000B260A"/>
    <w:rsid w:val="000B2A06"/>
    <w:rsid w:val="000B5D27"/>
    <w:rsid w:val="000C5ABD"/>
    <w:rsid w:val="000D01B1"/>
    <w:rsid w:val="000D72A3"/>
    <w:rsid w:val="000E0383"/>
    <w:rsid w:val="000E3124"/>
    <w:rsid w:val="000E3F00"/>
    <w:rsid w:val="000F0B74"/>
    <w:rsid w:val="000F0DC8"/>
    <w:rsid w:val="001047EB"/>
    <w:rsid w:val="00116DDD"/>
    <w:rsid w:val="001201A3"/>
    <w:rsid w:val="00141E8F"/>
    <w:rsid w:val="00145060"/>
    <w:rsid w:val="00146B78"/>
    <w:rsid w:val="00150E34"/>
    <w:rsid w:val="00162D9D"/>
    <w:rsid w:val="0016517C"/>
    <w:rsid w:val="001750C9"/>
    <w:rsid w:val="00180522"/>
    <w:rsid w:val="00187B6C"/>
    <w:rsid w:val="001901D5"/>
    <w:rsid w:val="001943D6"/>
    <w:rsid w:val="001A0AA0"/>
    <w:rsid w:val="001A0E0C"/>
    <w:rsid w:val="001B04BC"/>
    <w:rsid w:val="001B6C44"/>
    <w:rsid w:val="001B7C8D"/>
    <w:rsid w:val="001C0C48"/>
    <w:rsid w:val="001D20B8"/>
    <w:rsid w:val="001D77E8"/>
    <w:rsid w:val="001E580D"/>
    <w:rsid w:val="001E64D9"/>
    <w:rsid w:val="001F104B"/>
    <w:rsid w:val="001F1090"/>
    <w:rsid w:val="001F5740"/>
    <w:rsid w:val="001F5F34"/>
    <w:rsid w:val="001F6FC6"/>
    <w:rsid w:val="00214A89"/>
    <w:rsid w:val="002217A7"/>
    <w:rsid w:val="00221E09"/>
    <w:rsid w:val="002338CD"/>
    <w:rsid w:val="002372EE"/>
    <w:rsid w:val="00247448"/>
    <w:rsid w:val="00260F33"/>
    <w:rsid w:val="00263811"/>
    <w:rsid w:val="002706F2"/>
    <w:rsid w:val="00276845"/>
    <w:rsid w:val="002777E9"/>
    <w:rsid w:val="00283FCF"/>
    <w:rsid w:val="002975D1"/>
    <w:rsid w:val="002A2FE1"/>
    <w:rsid w:val="002A4D32"/>
    <w:rsid w:val="002B0F4F"/>
    <w:rsid w:val="002B245D"/>
    <w:rsid w:val="002C2314"/>
    <w:rsid w:val="002C2B0E"/>
    <w:rsid w:val="002C2F2F"/>
    <w:rsid w:val="002C4502"/>
    <w:rsid w:val="002C545F"/>
    <w:rsid w:val="002C5A88"/>
    <w:rsid w:val="002C5D5C"/>
    <w:rsid w:val="002D4C89"/>
    <w:rsid w:val="002D5A09"/>
    <w:rsid w:val="002E1451"/>
    <w:rsid w:val="002E5F87"/>
    <w:rsid w:val="002E62B6"/>
    <w:rsid w:val="002F07C6"/>
    <w:rsid w:val="002F1483"/>
    <w:rsid w:val="002F3802"/>
    <w:rsid w:val="002F3A2F"/>
    <w:rsid w:val="002F57A1"/>
    <w:rsid w:val="002F61BF"/>
    <w:rsid w:val="002F6D5D"/>
    <w:rsid w:val="00303339"/>
    <w:rsid w:val="003044F3"/>
    <w:rsid w:val="00305245"/>
    <w:rsid w:val="00324964"/>
    <w:rsid w:val="003266C2"/>
    <w:rsid w:val="00336BB8"/>
    <w:rsid w:val="00343425"/>
    <w:rsid w:val="0034739A"/>
    <w:rsid w:val="003603DA"/>
    <w:rsid w:val="003625A4"/>
    <w:rsid w:val="0038540F"/>
    <w:rsid w:val="003946A4"/>
    <w:rsid w:val="00396C39"/>
    <w:rsid w:val="003A7B39"/>
    <w:rsid w:val="003B34B7"/>
    <w:rsid w:val="003B6D14"/>
    <w:rsid w:val="003F3DAE"/>
    <w:rsid w:val="003F4823"/>
    <w:rsid w:val="0040078C"/>
    <w:rsid w:val="004036BC"/>
    <w:rsid w:val="00403DBA"/>
    <w:rsid w:val="004062BC"/>
    <w:rsid w:val="0041008F"/>
    <w:rsid w:val="0041511C"/>
    <w:rsid w:val="004177B7"/>
    <w:rsid w:val="00425FCF"/>
    <w:rsid w:val="00436A8A"/>
    <w:rsid w:val="00450D91"/>
    <w:rsid w:val="00455725"/>
    <w:rsid w:val="004B19BC"/>
    <w:rsid w:val="004B41DA"/>
    <w:rsid w:val="004B6518"/>
    <w:rsid w:val="004BAAD8"/>
    <w:rsid w:val="004C0DF9"/>
    <w:rsid w:val="004C1C96"/>
    <w:rsid w:val="004C4407"/>
    <w:rsid w:val="004C4C28"/>
    <w:rsid w:val="004D5363"/>
    <w:rsid w:val="004D5D83"/>
    <w:rsid w:val="004E70BD"/>
    <w:rsid w:val="004E77B5"/>
    <w:rsid w:val="004F0BE3"/>
    <w:rsid w:val="004F2CFC"/>
    <w:rsid w:val="004F349B"/>
    <w:rsid w:val="005126AA"/>
    <w:rsid w:val="00523FE5"/>
    <w:rsid w:val="005240A6"/>
    <w:rsid w:val="005255D7"/>
    <w:rsid w:val="0053051C"/>
    <w:rsid w:val="0053721F"/>
    <w:rsid w:val="00547225"/>
    <w:rsid w:val="00553255"/>
    <w:rsid w:val="00554A9A"/>
    <w:rsid w:val="00560DE2"/>
    <w:rsid w:val="0056202B"/>
    <w:rsid w:val="00566F3D"/>
    <w:rsid w:val="00575AA7"/>
    <w:rsid w:val="00577170"/>
    <w:rsid w:val="005A7308"/>
    <w:rsid w:val="005B2182"/>
    <w:rsid w:val="005B6AB7"/>
    <w:rsid w:val="005C0D93"/>
    <w:rsid w:val="005C4E0B"/>
    <w:rsid w:val="005D13E8"/>
    <w:rsid w:val="005D692F"/>
    <w:rsid w:val="005E033D"/>
    <w:rsid w:val="005E4312"/>
    <w:rsid w:val="005E56F7"/>
    <w:rsid w:val="005F03D7"/>
    <w:rsid w:val="005F1C90"/>
    <w:rsid w:val="005F59B0"/>
    <w:rsid w:val="0061081E"/>
    <w:rsid w:val="00610E42"/>
    <w:rsid w:val="00615004"/>
    <w:rsid w:val="0062191A"/>
    <w:rsid w:val="006225CF"/>
    <w:rsid w:val="00644F7C"/>
    <w:rsid w:val="006509B7"/>
    <w:rsid w:val="006522D2"/>
    <w:rsid w:val="00653E07"/>
    <w:rsid w:val="006627A0"/>
    <w:rsid w:val="00667334"/>
    <w:rsid w:val="00671DAA"/>
    <w:rsid w:val="00677A60"/>
    <w:rsid w:val="0069028C"/>
    <w:rsid w:val="0069185A"/>
    <w:rsid w:val="00691C0E"/>
    <w:rsid w:val="0069394A"/>
    <w:rsid w:val="006A133A"/>
    <w:rsid w:val="006A2693"/>
    <w:rsid w:val="006C1510"/>
    <w:rsid w:val="006C3DF0"/>
    <w:rsid w:val="006C41D4"/>
    <w:rsid w:val="006C7DB4"/>
    <w:rsid w:val="006D17FB"/>
    <w:rsid w:val="006D7455"/>
    <w:rsid w:val="006E2562"/>
    <w:rsid w:val="006E6413"/>
    <w:rsid w:val="006E6606"/>
    <w:rsid w:val="006E7BAC"/>
    <w:rsid w:val="006F7F8B"/>
    <w:rsid w:val="0070072A"/>
    <w:rsid w:val="007046D9"/>
    <w:rsid w:val="00704BDA"/>
    <w:rsid w:val="00710308"/>
    <w:rsid w:val="0071215F"/>
    <w:rsid w:val="007201AC"/>
    <w:rsid w:val="00725306"/>
    <w:rsid w:val="00730E22"/>
    <w:rsid w:val="00732032"/>
    <w:rsid w:val="00732CBE"/>
    <w:rsid w:val="00734FBC"/>
    <w:rsid w:val="0073727F"/>
    <w:rsid w:val="007376FF"/>
    <w:rsid w:val="00743E0E"/>
    <w:rsid w:val="0075455C"/>
    <w:rsid w:val="00755D38"/>
    <w:rsid w:val="00760BF2"/>
    <w:rsid w:val="00761358"/>
    <w:rsid w:val="00766677"/>
    <w:rsid w:val="007729C7"/>
    <w:rsid w:val="007A1831"/>
    <w:rsid w:val="007A2570"/>
    <w:rsid w:val="007A501E"/>
    <w:rsid w:val="007B0D7B"/>
    <w:rsid w:val="007B6E9C"/>
    <w:rsid w:val="007B7476"/>
    <w:rsid w:val="007C74DC"/>
    <w:rsid w:val="007D359D"/>
    <w:rsid w:val="007E1B00"/>
    <w:rsid w:val="007EC78C"/>
    <w:rsid w:val="007F151F"/>
    <w:rsid w:val="007F5204"/>
    <w:rsid w:val="007F7008"/>
    <w:rsid w:val="007F7387"/>
    <w:rsid w:val="00810222"/>
    <w:rsid w:val="008105B4"/>
    <w:rsid w:val="00811981"/>
    <w:rsid w:val="00811C15"/>
    <w:rsid w:val="0081342B"/>
    <w:rsid w:val="0081D88F"/>
    <w:rsid w:val="00834CE9"/>
    <w:rsid w:val="00835ECB"/>
    <w:rsid w:val="0083707D"/>
    <w:rsid w:val="0083781D"/>
    <w:rsid w:val="00842FA0"/>
    <w:rsid w:val="008465CB"/>
    <w:rsid w:val="00850CDA"/>
    <w:rsid w:val="00851ED9"/>
    <w:rsid w:val="0085332B"/>
    <w:rsid w:val="008633D9"/>
    <w:rsid w:val="008719AC"/>
    <w:rsid w:val="008904C5"/>
    <w:rsid w:val="0089330A"/>
    <w:rsid w:val="00893D31"/>
    <w:rsid w:val="008A1D45"/>
    <w:rsid w:val="008A2D23"/>
    <w:rsid w:val="008A380A"/>
    <w:rsid w:val="008B0CFC"/>
    <w:rsid w:val="008B2016"/>
    <w:rsid w:val="008B2E61"/>
    <w:rsid w:val="008B3736"/>
    <w:rsid w:val="008C24C7"/>
    <w:rsid w:val="008C308C"/>
    <w:rsid w:val="008D5B85"/>
    <w:rsid w:val="008D62ED"/>
    <w:rsid w:val="008F2797"/>
    <w:rsid w:val="008F49FC"/>
    <w:rsid w:val="00902A6F"/>
    <w:rsid w:val="00907BF1"/>
    <w:rsid w:val="00907D77"/>
    <w:rsid w:val="00910666"/>
    <w:rsid w:val="00915137"/>
    <w:rsid w:val="00915C47"/>
    <w:rsid w:val="00924AFC"/>
    <w:rsid w:val="00927178"/>
    <w:rsid w:val="00934F31"/>
    <w:rsid w:val="00951FF7"/>
    <w:rsid w:val="00953809"/>
    <w:rsid w:val="00960CBE"/>
    <w:rsid w:val="00961D8F"/>
    <w:rsid w:val="00962072"/>
    <w:rsid w:val="0096625C"/>
    <w:rsid w:val="009679F6"/>
    <w:rsid w:val="00970163"/>
    <w:rsid w:val="0097379F"/>
    <w:rsid w:val="00974B25"/>
    <w:rsid w:val="00987515"/>
    <w:rsid w:val="00991D75"/>
    <w:rsid w:val="00993BBF"/>
    <w:rsid w:val="009946C9"/>
    <w:rsid w:val="00995CD9"/>
    <w:rsid w:val="009B5C4C"/>
    <w:rsid w:val="009C0B4D"/>
    <w:rsid w:val="009D20AB"/>
    <w:rsid w:val="009D2632"/>
    <w:rsid w:val="009D7370"/>
    <w:rsid w:val="009E4106"/>
    <w:rsid w:val="009E5F78"/>
    <w:rsid w:val="009F47B9"/>
    <w:rsid w:val="00A000C8"/>
    <w:rsid w:val="00A00A83"/>
    <w:rsid w:val="00A23D8C"/>
    <w:rsid w:val="00A25D2B"/>
    <w:rsid w:val="00A31182"/>
    <w:rsid w:val="00A32FC1"/>
    <w:rsid w:val="00A34C5F"/>
    <w:rsid w:val="00A451FD"/>
    <w:rsid w:val="00A47D97"/>
    <w:rsid w:val="00A548AB"/>
    <w:rsid w:val="00A57CFE"/>
    <w:rsid w:val="00A62C95"/>
    <w:rsid w:val="00A66210"/>
    <w:rsid w:val="00A77C1F"/>
    <w:rsid w:val="00A83448"/>
    <w:rsid w:val="00A97EA5"/>
    <w:rsid w:val="00AA117C"/>
    <w:rsid w:val="00AA3090"/>
    <w:rsid w:val="00AA5A32"/>
    <w:rsid w:val="00AA733E"/>
    <w:rsid w:val="00AB367A"/>
    <w:rsid w:val="00AB6173"/>
    <w:rsid w:val="00AB666A"/>
    <w:rsid w:val="00AD30D2"/>
    <w:rsid w:val="00AD7BED"/>
    <w:rsid w:val="00AE2717"/>
    <w:rsid w:val="00AE34EB"/>
    <w:rsid w:val="00AE76D1"/>
    <w:rsid w:val="00B014B0"/>
    <w:rsid w:val="00B0506D"/>
    <w:rsid w:val="00B222EA"/>
    <w:rsid w:val="00B24372"/>
    <w:rsid w:val="00B36A75"/>
    <w:rsid w:val="00B41037"/>
    <w:rsid w:val="00B55D19"/>
    <w:rsid w:val="00B57580"/>
    <w:rsid w:val="00B62BDD"/>
    <w:rsid w:val="00B64CE2"/>
    <w:rsid w:val="00B72020"/>
    <w:rsid w:val="00B734AC"/>
    <w:rsid w:val="00B945BD"/>
    <w:rsid w:val="00BA3B1D"/>
    <w:rsid w:val="00BA7161"/>
    <w:rsid w:val="00BB4775"/>
    <w:rsid w:val="00BB47F6"/>
    <w:rsid w:val="00BB6F2B"/>
    <w:rsid w:val="00BC170D"/>
    <w:rsid w:val="00BC3972"/>
    <w:rsid w:val="00BC5ADD"/>
    <w:rsid w:val="00BC637D"/>
    <w:rsid w:val="00BC67FA"/>
    <w:rsid w:val="00BCC4EB"/>
    <w:rsid w:val="00BD2308"/>
    <w:rsid w:val="00BD73C8"/>
    <w:rsid w:val="00C014DD"/>
    <w:rsid w:val="00C051F3"/>
    <w:rsid w:val="00C06447"/>
    <w:rsid w:val="00C2037E"/>
    <w:rsid w:val="00C2478B"/>
    <w:rsid w:val="00C31C09"/>
    <w:rsid w:val="00C40459"/>
    <w:rsid w:val="00C464E6"/>
    <w:rsid w:val="00C53D66"/>
    <w:rsid w:val="00C61F88"/>
    <w:rsid w:val="00C6246C"/>
    <w:rsid w:val="00C756B2"/>
    <w:rsid w:val="00C77603"/>
    <w:rsid w:val="00C81ADC"/>
    <w:rsid w:val="00C87DB7"/>
    <w:rsid w:val="00C90306"/>
    <w:rsid w:val="00C918E0"/>
    <w:rsid w:val="00C955D2"/>
    <w:rsid w:val="00C95843"/>
    <w:rsid w:val="00CA7390"/>
    <w:rsid w:val="00CAE0BD"/>
    <w:rsid w:val="00CB277F"/>
    <w:rsid w:val="00CC0051"/>
    <w:rsid w:val="00CD6712"/>
    <w:rsid w:val="00CD6B0B"/>
    <w:rsid w:val="00CE1571"/>
    <w:rsid w:val="00CE35BA"/>
    <w:rsid w:val="00CE674D"/>
    <w:rsid w:val="00CF355F"/>
    <w:rsid w:val="00D054FA"/>
    <w:rsid w:val="00D06A57"/>
    <w:rsid w:val="00D07898"/>
    <w:rsid w:val="00D12D50"/>
    <w:rsid w:val="00D14D1D"/>
    <w:rsid w:val="00D2184F"/>
    <w:rsid w:val="00D24040"/>
    <w:rsid w:val="00D26782"/>
    <w:rsid w:val="00D47ABB"/>
    <w:rsid w:val="00D51A0F"/>
    <w:rsid w:val="00D63580"/>
    <w:rsid w:val="00D64FE7"/>
    <w:rsid w:val="00D70A86"/>
    <w:rsid w:val="00D7268A"/>
    <w:rsid w:val="00D75DE2"/>
    <w:rsid w:val="00D825A2"/>
    <w:rsid w:val="00D845D0"/>
    <w:rsid w:val="00D87049"/>
    <w:rsid w:val="00D8712D"/>
    <w:rsid w:val="00D9036F"/>
    <w:rsid w:val="00DA7281"/>
    <w:rsid w:val="00DC1140"/>
    <w:rsid w:val="00DC3407"/>
    <w:rsid w:val="00DD133C"/>
    <w:rsid w:val="00DD5207"/>
    <w:rsid w:val="00DE72CE"/>
    <w:rsid w:val="00E00B1A"/>
    <w:rsid w:val="00E02E3D"/>
    <w:rsid w:val="00E13158"/>
    <w:rsid w:val="00E1724A"/>
    <w:rsid w:val="00E211C5"/>
    <w:rsid w:val="00E230A7"/>
    <w:rsid w:val="00E25D8A"/>
    <w:rsid w:val="00E272CC"/>
    <w:rsid w:val="00E27395"/>
    <w:rsid w:val="00E34252"/>
    <w:rsid w:val="00E4205F"/>
    <w:rsid w:val="00E423EA"/>
    <w:rsid w:val="00E57EEF"/>
    <w:rsid w:val="00E642FD"/>
    <w:rsid w:val="00E64B1A"/>
    <w:rsid w:val="00E65FE9"/>
    <w:rsid w:val="00E738BD"/>
    <w:rsid w:val="00E7591B"/>
    <w:rsid w:val="00E908B7"/>
    <w:rsid w:val="00E927D7"/>
    <w:rsid w:val="00E944DD"/>
    <w:rsid w:val="00EA1375"/>
    <w:rsid w:val="00EA351E"/>
    <w:rsid w:val="00EA54A4"/>
    <w:rsid w:val="00EB60A3"/>
    <w:rsid w:val="00EC6231"/>
    <w:rsid w:val="00EE47BA"/>
    <w:rsid w:val="00F112C0"/>
    <w:rsid w:val="00F210B4"/>
    <w:rsid w:val="00F3506A"/>
    <w:rsid w:val="00F67331"/>
    <w:rsid w:val="00F71333"/>
    <w:rsid w:val="00F7145D"/>
    <w:rsid w:val="00F72B32"/>
    <w:rsid w:val="00F828A3"/>
    <w:rsid w:val="00F82D2F"/>
    <w:rsid w:val="00F87DB9"/>
    <w:rsid w:val="00F91814"/>
    <w:rsid w:val="00F96395"/>
    <w:rsid w:val="00FA1734"/>
    <w:rsid w:val="00FB1A6C"/>
    <w:rsid w:val="00FC0F3A"/>
    <w:rsid w:val="00FC31DC"/>
    <w:rsid w:val="00FC431B"/>
    <w:rsid w:val="00FC53DE"/>
    <w:rsid w:val="00FD6FEB"/>
    <w:rsid w:val="00FE5F64"/>
    <w:rsid w:val="00FF29E6"/>
    <w:rsid w:val="00FF34D9"/>
    <w:rsid w:val="0171C036"/>
    <w:rsid w:val="017A93B0"/>
    <w:rsid w:val="01BCF9EE"/>
    <w:rsid w:val="03295BAE"/>
    <w:rsid w:val="041EC65C"/>
    <w:rsid w:val="0474164B"/>
    <w:rsid w:val="04903021"/>
    <w:rsid w:val="0498FDBD"/>
    <w:rsid w:val="04BA7B79"/>
    <w:rsid w:val="04DAEBA9"/>
    <w:rsid w:val="051213A4"/>
    <w:rsid w:val="05502A46"/>
    <w:rsid w:val="05584744"/>
    <w:rsid w:val="056248CC"/>
    <w:rsid w:val="057F739A"/>
    <w:rsid w:val="05AD927B"/>
    <w:rsid w:val="05B6187C"/>
    <w:rsid w:val="05BAE96C"/>
    <w:rsid w:val="06286D37"/>
    <w:rsid w:val="0647EFBA"/>
    <w:rsid w:val="066CA5B0"/>
    <w:rsid w:val="068EABDF"/>
    <w:rsid w:val="06A00075"/>
    <w:rsid w:val="06FE8044"/>
    <w:rsid w:val="071164B2"/>
    <w:rsid w:val="0712925C"/>
    <w:rsid w:val="072B0B5F"/>
    <w:rsid w:val="075E3D94"/>
    <w:rsid w:val="07B4B0E0"/>
    <w:rsid w:val="07E57316"/>
    <w:rsid w:val="0811145C"/>
    <w:rsid w:val="081250DE"/>
    <w:rsid w:val="08AC49DD"/>
    <w:rsid w:val="08BC5F23"/>
    <w:rsid w:val="08FAA83F"/>
    <w:rsid w:val="09519672"/>
    <w:rsid w:val="098BFE89"/>
    <w:rsid w:val="099A937F"/>
    <w:rsid w:val="09DC6DD8"/>
    <w:rsid w:val="09F5BD73"/>
    <w:rsid w:val="09FE8E8F"/>
    <w:rsid w:val="0A025486"/>
    <w:rsid w:val="0A141535"/>
    <w:rsid w:val="0A17B311"/>
    <w:rsid w:val="0AEA80A2"/>
    <w:rsid w:val="0B213565"/>
    <w:rsid w:val="0B32AA3C"/>
    <w:rsid w:val="0B84BFC1"/>
    <w:rsid w:val="0B8B1770"/>
    <w:rsid w:val="0B966F93"/>
    <w:rsid w:val="0BB32D3A"/>
    <w:rsid w:val="0BCACBBA"/>
    <w:rsid w:val="0C2D230B"/>
    <w:rsid w:val="0CF8F317"/>
    <w:rsid w:val="0D408ACF"/>
    <w:rsid w:val="0D96EF66"/>
    <w:rsid w:val="0E554822"/>
    <w:rsid w:val="0EDD3A03"/>
    <w:rsid w:val="0F0D1998"/>
    <w:rsid w:val="0F36D9D7"/>
    <w:rsid w:val="0F49689F"/>
    <w:rsid w:val="0F4A809B"/>
    <w:rsid w:val="0FA59F44"/>
    <w:rsid w:val="0FBDA9C4"/>
    <w:rsid w:val="0FBE1A6D"/>
    <w:rsid w:val="0FCD4547"/>
    <w:rsid w:val="0FFA19B4"/>
    <w:rsid w:val="10B062A7"/>
    <w:rsid w:val="10B59421"/>
    <w:rsid w:val="10FAB8C9"/>
    <w:rsid w:val="1120BB47"/>
    <w:rsid w:val="11B8DA97"/>
    <w:rsid w:val="11CECCB2"/>
    <w:rsid w:val="11CEE373"/>
    <w:rsid w:val="1228E8D8"/>
    <w:rsid w:val="128A9F7F"/>
    <w:rsid w:val="12A66F47"/>
    <w:rsid w:val="12B1EDC2"/>
    <w:rsid w:val="12F67CD0"/>
    <w:rsid w:val="1302A2E8"/>
    <w:rsid w:val="134CD461"/>
    <w:rsid w:val="135AC97D"/>
    <w:rsid w:val="139C05B9"/>
    <w:rsid w:val="139E0F14"/>
    <w:rsid w:val="13BA28CC"/>
    <w:rsid w:val="140D9CEC"/>
    <w:rsid w:val="1427682A"/>
    <w:rsid w:val="146B0756"/>
    <w:rsid w:val="146B4B3A"/>
    <w:rsid w:val="146E8893"/>
    <w:rsid w:val="1478AC7A"/>
    <w:rsid w:val="15F20FE6"/>
    <w:rsid w:val="1618CE29"/>
    <w:rsid w:val="161E2625"/>
    <w:rsid w:val="1649EB98"/>
    <w:rsid w:val="16B7ED86"/>
    <w:rsid w:val="170D6844"/>
    <w:rsid w:val="173BFDC8"/>
    <w:rsid w:val="175FC50F"/>
    <w:rsid w:val="17626D7A"/>
    <w:rsid w:val="17C0E485"/>
    <w:rsid w:val="181BA8BD"/>
    <w:rsid w:val="186A9761"/>
    <w:rsid w:val="187E07DF"/>
    <w:rsid w:val="18F4E42F"/>
    <w:rsid w:val="195372EA"/>
    <w:rsid w:val="1955D278"/>
    <w:rsid w:val="1A039C62"/>
    <w:rsid w:val="1A5DC61A"/>
    <w:rsid w:val="1A65AA6B"/>
    <w:rsid w:val="1A8009F2"/>
    <w:rsid w:val="1A8BFD83"/>
    <w:rsid w:val="1B3A362C"/>
    <w:rsid w:val="1B678FBC"/>
    <w:rsid w:val="1B6FDF75"/>
    <w:rsid w:val="1BC33948"/>
    <w:rsid w:val="1BC84C36"/>
    <w:rsid w:val="1BDFE1CD"/>
    <w:rsid w:val="1C82B5F3"/>
    <w:rsid w:val="1CF10864"/>
    <w:rsid w:val="1D2E1E0C"/>
    <w:rsid w:val="1DCC6EBE"/>
    <w:rsid w:val="1E32AF6C"/>
    <w:rsid w:val="1E8E46C7"/>
    <w:rsid w:val="1EA8B816"/>
    <w:rsid w:val="1F087591"/>
    <w:rsid w:val="1F3CB4B5"/>
    <w:rsid w:val="20A7F9E7"/>
    <w:rsid w:val="2140B6E4"/>
    <w:rsid w:val="215ABB69"/>
    <w:rsid w:val="21B5E626"/>
    <w:rsid w:val="21E7897B"/>
    <w:rsid w:val="22043ADF"/>
    <w:rsid w:val="22390FBC"/>
    <w:rsid w:val="2261327F"/>
    <w:rsid w:val="2276AA22"/>
    <w:rsid w:val="22830971"/>
    <w:rsid w:val="22C0F34E"/>
    <w:rsid w:val="22DF4C2A"/>
    <w:rsid w:val="22EEC1FD"/>
    <w:rsid w:val="236E0F15"/>
    <w:rsid w:val="23F5C80E"/>
    <w:rsid w:val="242725DB"/>
    <w:rsid w:val="2439730B"/>
    <w:rsid w:val="24442F18"/>
    <w:rsid w:val="24AF5375"/>
    <w:rsid w:val="2544A4A3"/>
    <w:rsid w:val="25B4E90E"/>
    <w:rsid w:val="2608DD60"/>
    <w:rsid w:val="262FEF1E"/>
    <w:rsid w:val="2663107B"/>
    <w:rsid w:val="26AD6574"/>
    <w:rsid w:val="26B561AF"/>
    <w:rsid w:val="26CD47D8"/>
    <w:rsid w:val="270C8245"/>
    <w:rsid w:val="27120F8A"/>
    <w:rsid w:val="2715F5F0"/>
    <w:rsid w:val="27291372"/>
    <w:rsid w:val="27B7B31D"/>
    <w:rsid w:val="27CED039"/>
    <w:rsid w:val="2803FF1F"/>
    <w:rsid w:val="2883A093"/>
    <w:rsid w:val="289B3240"/>
    <w:rsid w:val="28A3CC01"/>
    <w:rsid w:val="28B1ABE3"/>
    <w:rsid w:val="28B2F995"/>
    <w:rsid w:val="28D079FB"/>
    <w:rsid w:val="28DAD4AD"/>
    <w:rsid w:val="28E2AE4D"/>
    <w:rsid w:val="292A59D2"/>
    <w:rsid w:val="2934F6C1"/>
    <w:rsid w:val="29DCBF9C"/>
    <w:rsid w:val="29E4947E"/>
    <w:rsid w:val="2AA061B9"/>
    <w:rsid w:val="2AB65EDF"/>
    <w:rsid w:val="2AD0749E"/>
    <w:rsid w:val="2AF2CDD5"/>
    <w:rsid w:val="2B44873B"/>
    <w:rsid w:val="2B942AEB"/>
    <w:rsid w:val="2BCA85ED"/>
    <w:rsid w:val="2C427526"/>
    <w:rsid w:val="2C522E74"/>
    <w:rsid w:val="2CB23A6B"/>
    <w:rsid w:val="2CD67006"/>
    <w:rsid w:val="2D15068B"/>
    <w:rsid w:val="2D9D895C"/>
    <w:rsid w:val="2DA9A6BD"/>
    <w:rsid w:val="2DBE92FA"/>
    <w:rsid w:val="2DCC91B6"/>
    <w:rsid w:val="2E20587C"/>
    <w:rsid w:val="2F02D452"/>
    <w:rsid w:val="2F496FB6"/>
    <w:rsid w:val="2FAEEC7D"/>
    <w:rsid w:val="2FD8BA9E"/>
    <w:rsid w:val="2FD9A808"/>
    <w:rsid w:val="306DAD80"/>
    <w:rsid w:val="3116F476"/>
    <w:rsid w:val="315B2E71"/>
    <w:rsid w:val="31D2C196"/>
    <w:rsid w:val="3247021C"/>
    <w:rsid w:val="32B76713"/>
    <w:rsid w:val="32CBB9FD"/>
    <w:rsid w:val="33078593"/>
    <w:rsid w:val="33358EAF"/>
    <w:rsid w:val="3344554A"/>
    <w:rsid w:val="33572734"/>
    <w:rsid w:val="33C86E39"/>
    <w:rsid w:val="33D89E3D"/>
    <w:rsid w:val="3409F50C"/>
    <w:rsid w:val="342B0CBA"/>
    <w:rsid w:val="346712CE"/>
    <w:rsid w:val="34AE2A16"/>
    <w:rsid w:val="351A7DCF"/>
    <w:rsid w:val="3584A252"/>
    <w:rsid w:val="35987991"/>
    <w:rsid w:val="360F2DDA"/>
    <w:rsid w:val="36454667"/>
    <w:rsid w:val="36A8346F"/>
    <w:rsid w:val="36C3E76A"/>
    <w:rsid w:val="37021FC3"/>
    <w:rsid w:val="370C066B"/>
    <w:rsid w:val="37167604"/>
    <w:rsid w:val="3721408A"/>
    <w:rsid w:val="3728F722"/>
    <w:rsid w:val="37CD9FF9"/>
    <w:rsid w:val="385099B6"/>
    <w:rsid w:val="38B21454"/>
    <w:rsid w:val="38F7EC23"/>
    <w:rsid w:val="396958B8"/>
    <w:rsid w:val="39899B7C"/>
    <w:rsid w:val="39EFF326"/>
    <w:rsid w:val="3A125F7C"/>
    <w:rsid w:val="3A164978"/>
    <w:rsid w:val="3A1BE146"/>
    <w:rsid w:val="3A1DDD93"/>
    <w:rsid w:val="3A3ED68A"/>
    <w:rsid w:val="3A5CE3D6"/>
    <w:rsid w:val="3B4D69C3"/>
    <w:rsid w:val="3B6E0F19"/>
    <w:rsid w:val="3BB9453A"/>
    <w:rsid w:val="3BBC2C1B"/>
    <w:rsid w:val="3BC5D7BC"/>
    <w:rsid w:val="3C271FC1"/>
    <w:rsid w:val="3CE00BF4"/>
    <w:rsid w:val="3CFF7DD5"/>
    <w:rsid w:val="3D00280A"/>
    <w:rsid w:val="3D1A3EF5"/>
    <w:rsid w:val="3D1A771C"/>
    <w:rsid w:val="3D7611E4"/>
    <w:rsid w:val="3DB0FD7F"/>
    <w:rsid w:val="3DDF3A65"/>
    <w:rsid w:val="3E11E3C2"/>
    <w:rsid w:val="3E411918"/>
    <w:rsid w:val="3F2418CB"/>
    <w:rsid w:val="3F5DC2B5"/>
    <w:rsid w:val="4032C988"/>
    <w:rsid w:val="4032F0C6"/>
    <w:rsid w:val="406919D1"/>
    <w:rsid w:val="40AE814F"/>
    <w:rsid w:val="41030509"/>
    <w:rsid w:val="41233781"/>
    <w:rsid w:val="41554F40"/>
    <w:rsid w:val="41D38B9C"/>
    <w:rsid w:val="4240F4D2"/>
    <w:rsid w:val="4247B5B4"/>
    <w:rsid w:val="424E3C02"/>
    <w:rsid w:val="426024A7"/>
    <w:rsid w:val="426BDE2B"/>
    <w:rsid w:val="4271DB7F"/>
    <w:rsid w:val="42BE1260"/>
    <w:rsid w:val="42DDF9C5"/>
    <w:rsid w:val="42E9D4EA"/>
    <w:rsid w:val="43A3E884"/>
    <w:rsid w:val="43E38A64"/>
    <w:rsid w:val="43F005DB"/>
    <w:rsid w:val="453CF692"/>
    <w:rsid w:val="458A0184"/>
    <w:rsid w:val="45F8EC20"/>
    <w:rsid w:val="46012CE6"/>
    <w:rsid w:val="47070320"/>
    <w:rsid w:val="47B873FE"/>
    <w:rsid w:val="47F22395"/>
    <w:rsid w:val="48573BDB"/>
    <w:rsid w:val="48826658"/>
    <w:rsid w:val="48E765B0"/>
    <w:rsid w:val="49162428"/>
    <w:rsid w:val="49A1FF3A"/>
    <w:rsid w:val="49E1CCA0"/>
    <w:rsid w:val="4A765563"/>
    <w:rsid w:val="4AAFBE00"/>
    <w:rsid w:val="4B4C4D03"/>
    <w:rsid w:val="4B5948D3"/>
    <w:rsid w:val="4B8F29F6"/>
    <w:rsid w:val="4B9198E9"/>
    <w:rsid w:val="4BF348B0"/>
    <w:rsid w:val="4C203921"/>
    <w:rsid w:val="4C2DB80E"/>
    <w:rsid w:val="4C36B49E"/>
    <w:rsid w:val="4CA0BF62"/>
    <w:rsid w:val="4D461477"/>
    <w:rsid w:val="4DA059DA"/>
    <w:rsid w:val="4DE6EFDD"/>
    <w:rsid w:val="4E05DFF3"/>
    <w:rsid w:val="4E07F7FA"/>
    <w:rsid w:val="4E2A413D"/>
    <w:rsid w:val="4E6415DE"/>
    <w:rsid w:val="4E6A06B2"/>
    <w:rsid w:val="4EAFFD02"/>
    <w:rsid w:val="4EBEB171"/>
    <w:rsid w:val="4ED74FF8"/>
    <w:rsid w:val="4F05D3D5"/>
    <w:rsid w:val="4F78BED0"/>
    <w:rsid w:val="4F9856A8"/>
    <w:rsid w:val="503EC53F"/>
    <w:rsid w:val="508B0C3A"/>
    <w:rsid w:val="50940CC6"/>
    <w:rsid w:val="50D687C8"/>
    <w:rsid w:val="5100CFFA"/>
    <w:rsid w:val="510A7DB5"/>
    <w:rsid w:val="511669FC"/>
    <w:rsid w:val="51BF837F"/>
    <w:rsid w:val="52500979"/>
    <w:rsid w:val="5257CDD7"/>
    <w:rsid w:val="526FEDDE"/>
    <w:rsid w:val="532359D4"/>
    <w:rsid w:val="535D59EB"/>
    <w:rsid w:val="535F792C"/>
    <w:rsid w:val="539FC160"/>
    <w:rsid w:val="53B32F66"/>
    <w:rsid w:val="55449AB7"/>
    <w:rsid w:val="55525034"/>
    <w:rsid w:val="5553081D"/>
    <w:rsid w:val="55787C1F"/>
    <w:rsid w:val="557E9BB6"/>
    <w:rsid w:val="558AA3F0"/>
    <w:rsid w:val="559A8720"/>
    <w:rsid w:val="55B89931"/>
    <w:rsid w:val="56105909"/>
    <w:rsid w:val="56423160"/>
    <w:rsid w:val="565010FA"/>
    <w:rsid w:val="566CE310"/>
    <w:rsid w:val="56EEEEFB"/>
    <w:rsid w:val="572F9647"/>
    <w:rsid w:val="5792EF31"/>
    <w:rsid w:val="57D3A8E1"/>
    <w:rsid w:val="5877FB86"/>
    <w:rsid w:val="589A45D9"/>
    <w:rsid w:val="58D8FF7F"/>
    <w:rsid w:val="591F0FFF"/>
    <w:rsid w:val="5965E881"/>
    <w:rsid w:val="59772F91"/>
    <w:rsid w:val="599CDB15"/>
    <w:rsid w:val="59CF2C3F"/>
    <w:rsid w:val="59D3A040"/>
    <w:rsid w:val="59DACB67"/>
    <w:rsid w:val="5AA0356E"/>
    <w:rsid w:val="5ADB9C10"/>
    <w:rsid w:val="5B18FC82"/>
    <w:rsid w:val="5B41E7CA"/>
    <w:rsid w:val="5B929065"/>
    <w:rsid w:val="5C23412E"/>
    <w:rsid w:val="5C3E2FA5"/>
    <w:rsid w:val="5C66507E"/>
    <w:rsid w:val="5C719B61"/>
    <w:rsid w:val="5CC2AFE9"/>
    <w:rsid w:val="5CD55961"/>
    <w:rsid w:val="5CEF6E3F"/>
    <w:rsid w:val="5D1F03D3"/>
    <w:rsid w:val="5D821D92"/>
    <w:rsid w:val="5DF2C1DC"/>
    <w:rsid w:val="5E0E503D"/>
    <w:rsid w:val="5E4047DB"/>
    <w:rsid w:val="5E479D43"/>
    <w:rsid w:val="5E4C3861"/>
    <w:rsid w:val="5E67957A"/>
    <w:rsid w:val="5E9A7993"/>
    <w:rsid w:val="5EDF56F6"/>
    <w:rsid w:val="5F75C907"/>
    <w:rsid w:val="5FB9F80B"/>
    <w:rsid w:val="5FCCE2FA"/>
    <w:rsid w:val="60090A01"/>
    <w:rsid w:val="6063E6CC"/>
    <w:rsid w:val="606A1E73"/>
    <w:rsid w:val="60AC1FF8"/>
    <w:rsid w:val="60B1BA8F"/>
    <w:rsid w:val="60B9DA9F"/>
    <w:rsid w:val="60BB4A76"/>
    <w:rsid w:val="610C5C5B"/>
    <w:rsid w:val="6156FC4C"/>
    <w:rsid w:val="61A63F49"/>
    <w:rsid w:val="6207987D"/>
    <w:rsid w:val="6247035D"/>
    <w:rsid w:val="625DC13D"/>
    <w:rsid w:val="62C621EC"/>
    <w:rsid w:val="631D3F58"/>
    <w:rsid w:val="63983869"/>
    <w:rsid w:val="645A9B51"/>
    <w:rsid w:val="649D7610"/>
    <w:rsid w:val="64D3ECF0"/>
    <w:rsid w:val="65011414"/>
    <w:rsid w:val="65218180"/>
    <w:rsid w:val="657E4460"/>
    <w:rsid w:val="659B5843"/>
    <w:rsid w:val="65ABEA80"/>
    <w:rsid w:val="65CB1F1B"/>
    <w:rsid w:val="6614C781"/>
    <w:rsid w:val="66180E68"/>
    <w:rsid w:val="6621507F"/>
    <w:rsid w:val="6689C08A"/>
    <w:rsid w:val="66C106CC"/>
    <w:rsid w:val="66E05BDD"/>
    <w:rsid w:val="66F0941A"/>
    <w:rsid w:val="67B2E925"/>
    <w:rsid w:val="685E0E9A"/>
    <w:rsid w:val="689BD0B0"/>
    <w:rsid w:val="68C04853"/>
    <w:rsid w:val="68D786F3"/>
    <w:rsid w:val="695CD45A"/>
    <w:rsid w:val="69C2FB4A"/>
    <w:rsid w:val="69D94FEF"/>
    <w:rsid w:val="6A292663"/>
    <w:rsid w:val="6A4BB7EB"/>
    <w:rsid w:val="6AB17F8B"/>
    <w:rsid w:val="6ADC109C"/>
    <w:rsid w:val="6AF8B3BB"/>
    <w:rsid w:val="6B06B556"/>
    <w:rsid w:val="6B0C475A"/>
    <w:rsid w:val="6B360894"/>
    <w:rsid w:val="6C0906DC"/>
    <w:rsid w:val="6CDBE288"/>
    <w:rsid w:val="6D6CA00F"/>
    <w:rsid w:val="6DB33616"/>
    <w:rsid w:val="6DDD95F5"/>
    <w:rsid w:val="6E22F12C"/>
    <w:rsid w:val="6EDE9228"/>
    <w:rsid w:val="6F270F49"/>
    <w:rsid w:val="6F60C803"/>
    <w:rsid w:val="6F74BDAD"/>
    <w:rsid w:val="6F7A7054"/>
    <w:rsid w:val="6F7E97DE"/>
    <w:rsid w:val="707388F5"/>
    <w:rsid w:val="707E5F63"/>
    <w:rsid w:val="70B10549"/>
    <w:rsid w:val="70E5F4E3"/>
    <w:rsid w:val="7113AC07"/>
    <w:rsid w:val="71656B98"/>
    <w:rsid w:val="71AB4689"/>
    <w:rsid w:val="721094A0"/>
    <w:rsid w:val="721E5815"/>
    <w:rsid w:val="72293B46"/>
    <w:rsid w:val="72522354"/>
    <w:rsid w:val="72619654"/>
    <w:rsid w:val="73368081"/>
    <w:rsid w:val="73A3FA64"/>
    <w:rsid w:val="74015816"/>
    <w:rsid w:val="74457284"/>
    <w:rsid w:val="74C8AB41"/>
    <w:rsid w:val="74E86741"/>
    <w:rsid w:val="756424D0"/>
    <w:rsid w:val="75B00C7C"/>
    <w:rsid w:val="75D004E2"/>
    <w:rsid w:val="75F3F70B"/>
    <w:rsid w:val="75F89E9F"/>
    <w:rsid w:val="7617B631"/>
    <w:rsid w:val="764AF0FC"/>
    <w:rsid w:val="76606009"/>
    <w:rsid w:val="767A46EF"/>
    <w:rsid w:val="76BA87AD"/>
    <w:rsid w:val="777075A4"/>
    <w:rsid w:val="777F5F71"/>
    <w:rsid w:val="77D741BE"/>
    <w:rsid w:val="78B696B6"/>
    <w:rsid w:val="7917C705"/>
    <w:rsid w:val="793A0C00"/>
    <w:rsid w:val="795F05A9"/>
    <w:rsid w:val="79716DAC"/>
    <w:rsid w:val="799DEFC2"/>
    <w:rsid w:val="79BFFA16"/>
    <w:rsid w:val="79CFEECB"/>
    <w:rsid w:val="7A488B39"/>
    <w:rsid w:val="7A685AA7"/>
    <w:rsid w:val="7A8A520F"/>
    <w:rsid w:val="7A953A3E"/>
    <w:rsid w:val="7AB31619"/>
    <w:rsid w:val="7BABA27F"/>
    <w:rsid w:val="7C3B7501"/>
    <w:rsid w:val="7C8871B7"/>
    <w:rsid w:val="7D963FEA"/>
    <w:rsid w:val="7DBB1378"/>
    <w:rsid w:val="7DD397E9"/>
    <w:rsid w:val="7E155522"/>
    <w:rsid w:val="7EC01AB6"/>
    <w:rsid w:val="7F393E75"/>
    <w:rsid w:val="7F394B48"/>
    <w:rsid w:val="7F623A7B"/>
    <w:rsid w:val="7F9BA630"/>
    <w:rsid w:val="7FCE4C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16D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6D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DDD"/>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116DDD"/>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116DDD"/>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116DDD"/>
    <w:rPr>
      <w:rFonts w:ascii="Arial Narrow" w:eastAsia="Times New Roman" w:hAnsi="Arial Narrow" w:cs="Arial"/>
      <w:b/>
      <w:sz w:val="24"/>
      <w:szCs w:val="24"/>
      <w:lang w:eastAsia="es-ES"/>
    </w:rPr>
  </w:style>
  <w:style w:type="table" w:styleId="Tablaconcuadrcula">
    <w:name w:val="Table Grid"/>
    <w:basedOn w:val="Tablanormal"/>
    <w:uiPriority w:val="39"/>
    <w:rsid w:val="0011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116DDD"/>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116DDD"/>
    <w:pPr>
      <w:tabs>
        <w:tab w:val="center" w:pos="4252"/>
        <w:tab w:val="right" w:pos="8504"/>
      </w:tabs>
    </w:pPr>
  </w:style>
  <w:style w:type="character" w:customStyle="1" w:styleId="EncabezadoCar">
    <w:name w:val="Encabezado Car"/>
    <w:basedOn w:val="Fuentedeprrafopredeter"/>
    <w:link w:val="Encabezado"/>
    <w:uiPriority w:val="99"/>
    <w:rsid w:val="00116DD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16DDD"/>
    <w:pPr>
      <w:ind w:left="720"/>
      <w:contextualSpacing/>
    </w:pPr>
  </w:style>
  <w:style w:type="character" w:customStyle="1" w:styleId="normaltextrun">
    <w:name w:val="normaltextrun"/>
    <w:basedOn w:val="Fuentedeprrafopredeter"/>
    <w:rsid w:val="00116DDD"/>
  </w:style>
  <w:style w:type="paragraph" w:styleId="Textoindependiente">
    <w:name w:val="Body Text"/>
    <w:basedOn w:val="Normal"/>
    <w:link w:val="TextoindependienteCar"/>
    <w:rsid w:val="00116DD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116DDD"/>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16DD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116D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DDD"/>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116DDD"/>
    <w:pPr>
      <w:tabs>
        <w:tab w:val="center" w:pos="4252"/>
        <w:tab w:val="right" w:pos="8504"/>
      </w:tabs>
    </w:pPr>
  </w:style>
  <w:style w:type="character" w:customStyle="1" w:styleId="PiedepginaCar">
    <w:name w:val="Pie de página Car"/>
    <w:basedOn w:val="Fuentedeprrafopredeter"/>
    <w:link w:val="Piedepgina"/>
    <w:uiPriority w:val="99"/>
    <w:rsid w:val="00116DDD"/>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F112C0"/>
    <w:pPr>
      <w:spacing w:before="100" w:beforeAutospacing="1" w:after="100" w:afterAutospacing="1"/>
    </w:pPr>
    <w:rPr>
      <w:szCs w:val="24"/>
      <w:lang w:val="es-ES"/>
    </w:rPr>
  </w:style>
  <w:style w:type="character" w:customStyle="1" w:styleId="eop">
    <w:name w:val="eop"/>
    <w:basedOn w:val="Fuentedeprrafopredeter"/>
    <w:rsid w:val="00F112C0"/>
  </w:style>
  <w:style w:type="character" w:styleId="Refdecomentario">
    <w:name w:val="annotation reference"/>
    <w:basedOn w:val="Fuentedeprrafopredeter"/>
    <w:uiPriority w:val="99"/>
    <w:semiHidden/>
    <w:unhideWhenUsed/>
    <w:rsid w:val="008A380A"/>
    <w:rPr>
      <w:sz w:val="16"/>
      <w:szCs w:val="16"/>
    </w:rPr>
  </w:style>
  <w:style w:type="paragraph" w:styleId="Textocomentario">
    <w:name w:val="annotation text"/>
    <w:basedOn w:val="Normal"/>
    <w:link w:val="TextocomentarioCar"/>
    <w:uiPriority w:val="99"/>
    <w:semiHidden/>
    <w:unhideWhenUsed/>
    <w:rsid w:val="008A380A"/>
    <w:rPr>
      <w:sz w:val="20"/>
    </w:rPr>
  </w:style>
  <w:style w:type="character" w:customStyle="1" w:styleId="TextocomentarioCar">
    <w:name w:val="Texto comentario Car"/>
    <w:basedOn w:val="Fuentedeprrafopredeter"/>
    <w:link w:val="Textocomentario"/>
    <w:uiPriority w:val="99"/>
    <w:semiHidden/>
    <w:rsid w:val="008A380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A380A"/>
    <w:rPr>
      <w:b/>
      <w:bCs/>
    </w:rPr>
  </w:style>
  <w:style w:type="character" w:customStyle="1" w:styleId="AsuntodelcomentarioCar">
    <w:name w:val="Asunto del comentario Car"/>
    <w:basedOn w:val="TextocomentarioCar"/>
    <w:link w:val="Asuntodelcomentario"/>
    <w:uiPriority w:val="99"/>
    <w:semiHidden/>
    <w:rsid w:val="008A380A"/>
    <w:rPr>
      <w:rFonts w:ascii="Times New Roman" w:eastAsia="Times New Roman" w:hAnsi="Times New Roman" w:cs="Times New Roman"/>
      <w:b/>
      <w:bCs/>
      <w:sz w:val="20"/>
      <w:szCs w:val="20"/>
      <w:lang w:val="es-ES_tradnl" w:eastAsia="es-ES"/>
    </w:rPr>
  </w:style>
  <w:style w:type="character" w:styleId="Nmerodepgina">
    <w:name w:val="page number"/>
    <w:basedOn w:val="Fuentedeprrafopredeter"/>
    <w:uiPriority w:val="99"/>
    <w:semiHidden/>
    <w:unhideWhenUsed/>
    <w:rsid w:val="00062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16D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6D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DDD"/>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116DDD"/>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116DDD"/>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116DDD"/>
    <w:rPr>
      <w:rFonts w:ascii="Arial Narrow" w:eastAsia="Times New Roman" w:hAnsi="Arial Narrow" w:cs="Arial"/>
      <w:b/>
      <w:sz w:val="24"/>
      <w:szCs w:val="24"/>
      <w:lang w:eastAsia="es-ES"/>
    </w:rPr>
  </w:style>
  <w:style w:type="table" w:styleId="Tablaconcuadrcula">
    <w:name w:val="Table Grid"/>
    <w:basedOn w:val="Tablanormal"/>
    <w:uiPriority w:val="39"/>
    <w:rsid w:val="0011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116DDD"/>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116DDD"/>
    <w:pPr>
      <w:tabs>
        <w:tab w:val="center" w:pos="4252"/>
        <w:tab w:val="right" w:pos="8504"/>
      </w:tabs>
    </w:pPr>
  </w:style>
  <w:style w:type="character" w:customStyle="1" w:styleId="EncabezadoCar">
    <w:name w:val="Encabezado Car"/>
    <w:basedOn w:val="Fuentedeprrafopredeter"/>
    <w:link w:val="Encabezado"/>
    <w:uiPriority w:val="99"/>
    <w:rsid w:val="00116DD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16DDD"/>
    <w:pPr>
      <w:ind w:left="720"/>
      <w:contextualSpacing/>
    </w:pPr>
  </w:style>
  <w:style w:type="character" w:customStyle="1" w:styleId="normaltextrun">
    <w:name w:val="normaltextrun"/>
    <w:basedOn w:val="Fuentedeprrafopredeter"/>
    <w:rsid w:val="00116DDD"/>
  </w:style>
  <w:style w:type="paragraph" w:styleId="Textoindependiente">
    <w:name w:val="Body Text"/>
    <w:basedOn w:val="Normal"/>
    <w:link w:val="TextoindependienteCar"/>
    <w:rsid w:val="00116DD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116DDD"/>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16DD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116D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DDD"/>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116DDD"/>
    <w:pPr>
      <w:tabs>
        <w:tab w:val="center" w:pos="4252"/>
        <w:tab w:val="right" w:pos="8504"/>
      </w:tabs>
    </w:pPr>
  </w:style>
  <w:style w:type="character" w:customStyle="1" w:styleId="PiedepginaCar">
    <w:name w:val="Pie de página Car"/>
    <w:basedOn w:val="Fuentedeprrafopredeter"/>
    <w:link w:val="Piedepgina"/>
    <w:uiPriority w:val="99"/>
    <w:rsid w:val="00116DDD"/>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F112C0"/>
    <w:pPr>
      <w:spacing w:before="100" w:beforeAutospacing="1" w:after="100" w:afterAutospacing="1"/>
    </w:pPr>
    <w:rPr>
      <w:szCs w:val="24"/>
      <w:lang w:val="es-ES"/>
    </w:rPr>
  </w:style>
  <w:style w:type="character" w:customStyle="1" w:styleId="eop">
    <w:name w:val="eop"/>
    <w:basedOn w:val="Fuentedeprrafopredeter"/>
    <w:rsid w:val="00F112C0"/>
  </w:style>
  <w:style w:type="character" w:styleId="Refdecomentario">
    <w:name w:val="annotation reference"/>
    <w:basedOn w:val="Fuentedeprrafopredeter"/>
    <w:uiPriority w:val="99"/>
    <w:semiHidden/>
    <w:unhideWhenUsed/>
    <w:rsid w:val="008A380A"/>
    <w:rPr>
      <w:sz w:val="16"/>
      <w:szCs w:val="16"/>
    </w:rPr>
  </w:style>
  <w:style w:type="paragraph" w:styleId="Textocomentario">
    <w:name w:val="annotation text"/>
    <w:basedOn w:val="Normal"/>
    <w:link w:val="TextocomentarioCar"/>
    <w:uiPriority w:val="99"/>
    <w:semiHidden/>
    <w:unhideWhenUsed/>
    <w:rsid w:val="008A380A"/>
    <w:rPr>
      <w:sz w:val="20"/>
    </w:rPr>
  </w:style>
  <w:style w:type="character" w:customStyle="1" w:styleId="TextocomentarioCar">
    <w:name w:val="Texto comentario Car"/>
    <w:basedOn w:val="Fuentedeprrafopredeter"/>
    <w:link w:val="Textocomentario"/>
    <w:uiPriority w:val="99"/>
    <w:semiHidden/>
    <w:rsid w:val="008A380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A380A"/>
    <w:rPr>
      <w:b/>
      <w:bCs/>
    </w:rPr>
  </w:style>
  <w:style w:type="character" w:customStyle="1" w:styleId="AsuntodelcomentarioCar">
    <w:name w:val="Asunto del comentario Car"/>
    <w:basedOn w:val="TextocomentarioCar"/>
    <w:link w:val="Asuntodelcomentario"/>
    <w:uiPriority w:val="99"/>
    <w:semiHidden/>
    <w:rsid w:val="008A380A"/>
    <w:rPr>
      <w:rFonts w:ascii="Times New Roman" w:eastAsia="Times New Roman" w:hAnsi="Times New Roman" w:cs="Times New Roman"/>
      <w:b/>
      <w:bCs/>
      <w:sz w:val="20"/>
      <w:szCs w:val="20"/>
      <w:lang w:val="es-ES_tradnl" w:eastAsia="es-ES"/>
    </w:rPr>
  </w:style>
  <w:style w:type="character" w:styleId="Nmerodepgina">
    <w:name w:val="page number"/>
    <w:basedOn w:val="Fuentedeprrafopredeter"/>
    <w:uiPriority w:val="99"/>
    <w:semiHidden/>
    <w:unhideWhenUsed/>
    <w:rsid w:val="00062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0108">
      <w:bodyDiv w:val="1"/>
      <w:marLeft w:val="0"/>
      <w:marRight w:val="0"/>
      <w:marTop w:val="0"/>
      <w:marBottom w:val="0"/>
      <w:divBdr>
        <w:top w:val="none" w:sz="0" w:space="0" w:color="auto"/>
        <w:left w:val="none" w:sz="0" w:space="0" w:color="auto"/>
        <w:bottom w:val="none" w:sz="0" w:space="0" w:color="auto"/>
        <w:right w:val="none" w:sz="0" w:space="0" w:color="auto"/>
      </w:divBdr>
    </w:div>
    <w:div w:id="329991009">
      <w:bodyDiv w:val="1"/>
      <w:marLeft w:val="0"/>
      <w:marRight w:val="0"/>
      <w:marTop w:val="0"/>
      <w:marBottom w:val="0"/>
      <w:divBdr>
        <w:top w:val="none" w:sz="0" w:space="0" w:color="auto"/>
        <w:left w:val="none" w:sz="0" w:space="0" w:color="auto"/>
        <w:bottom w:val="none" w:sz="0" w:space="0" w:color="auto"/>
        <w:right w:val="none" w:sz="0" w:space="0" w:color="auto"/>
      </w:divBdr>
    </w:div>
    <w:div w:id="515274093">
      <w:bodyDiv w:val="1"/>
      <w:marLeft w:val="0"/>
      <w:marRight w:val="0"/>
      <w:marTop w:val="0"/>
      <w:marBottom w:val="0"/>
      <w:divBdr>
        <w:top w:val="none" w:sz="0" w:space="0" w:color="auto"/>
        <w:left w:val="none" w:sz="0" w:space="0" w:color="auto"/>
        <w:bottom w:val="none" w:sz="0" w:space="0" w:color="auto"/>
        <w:right w:val="none" w:sz="0" w:space="0" w:color="auto"/>
      </w:divBdr>
      <w:divsChild>
        <w:div w:id="2073195416">
          <w:marLeft w:val="0"/>
          <w:marRight w:val="0"/>
          <w:marTop w:val="0"/>
          <w:marBottom w:val="0"/>
          <w:divBdr>
            <w:top w:val="none" w:sz="0" w:space="0" w:color="auto"/>
            <w:left w:val="none" w:sz="0" w:space="0" w:color="auto"/>
            <w:bottom w:val="none" w:sz="0" w:space="0" w:color="auto"/>
            <w:right w:val="none" w:sz="0" w:space="0" w:color="auto"/>
          </w:divBdr>
        </w:div>
        <w:div w:id="980115903">
          <w:marLeft w:val="0"/>
          <w:marRight w:val="0"/>
          <w:marTop w:val="0"/>
          <w:marBottom w:val="0"/>
          <w:divBdr>
            <w:top w:val="none" w:sz="0" w:space="0" w:color="auto"/>
            <w:left w:val="none" w:sz="0" w:space="0" w:color="auto"/>
            <w:bottom w:val="none" w:sz="0" w:space="0" w:color="auto"/>
            <w:right w:val="none" w:sz="0" w:space="0" w:color="auto"/>
          </w:divBdr>
        </w:div>
        <w:div w:id="192303948">
          <w:marLeft w:val="0"/>
          <w:marRight w:val="0"/>
          <w:marTop w:val="0"/>
          <w:marBottom w:val="0"/>
          <w:divBdr>
            <w:top w:val="none" w:sz="0" w:space="0" w:color="auto"/>
            <w:left w:val="none" w:sz="0" w:space="0" w:color="auto"/>
            <w:bottom w:val="none" w:sz="0" w:space="0" w:color="auto"/>
            <w:right w:val="none" w:sz="0" w:space="0" w:color="auto"/>
          </w:divBdr>
        </w:div>
      </w:divsChild>
    </w:div>
    <w:div w:id="575363796">
      <w:bodyDiv w:val="1"/>
      <w:marLeft w:val="0"/>
      <w:marRight w:val="0"/>
      <w:marTop w:val="0"/>
      <w:marBottom w:val="0"/>
      <w:divBdr>
        <w:top w:val="none" w:sz="0" w:space="0" w:color="auto"/>
        <w:left w:val="none" w:sz="0" w:space="0" w:color="auto"/>
        <w:bottom w:val="none" w:sz="0" w:space="0" w:color="auto"/>
        <w:right w:val="none" w:sz="0" w:space="0" w:color="auto"/>
      </w:divBdr>
      <w:divsChild>
        <w:div w:id="1163744232">
          <w:marLeft w:val="0"/>
          <w:marRight w:val="0"/>
          <w:marTop w:val="0"/>
          <w:marBottom w:val="0"/>
          <w:divBdr>
            <w:top w:val="none" w:sz="0" w:space="0" w:color="auto"/>
            <w:left w:val="none" w:sz="0" w:space="0" w:color="auto"/>
            <w:bottom w:val="none" w:sz="0" w:space="0" w:color="auto"/>
            <w:right w:val="none" w:sz="0" w:space="0" w:color="auto"/>
          </w:divBdr>
        </w:div>
        <w:div w:id="33578621">
          <w:marLeft w:val="0"/>
          <w:marRight w:val="0"/>
          <w:marTop w:val="0"/>
          <w:marBottom w:val="0"/>
          <w:divBdr>
            <w:top w:val="none" w:sz="0" w:space="0" w:color="auto"/>
            <w:left w:val="none" w:sz="0" w:space="0" w:color="auto"/>
            <w:bottom w:val="none" w:sz="0" w:space="0" w:color="auto"/>
            <w:right w:val="none" w:sz="0" w:space="0" w:color="auto"/>
          </w:divBdr>
        </w:div>
        <w:div w:id="1970352983">
          <w:marLeft w:val="0"/>
          <w:marRight w:val="0"/>
          <w:marTop w:val="0"/>
          <w:marBottom w:val="0"/>
          <w:divBdr>
            <w:top w:val="none" w:sz="0" w:space="0" w:color="auto"/>
            <w:left w:val="none" w:sz="0" w:space="0" w:color="auto"/>
            <w:bottom w:val="none" w:sz="0" w:space="0" w:color="auto"/>
            <w:right w:val="none" w:sz="0" w:space="0" w:color="auto"/>
          </w:divBdr>
        </w:div>
      </w:divsChild>
    </w:div>
    <w:div w:id="605819237">
      <w:bodyDiv w:val="1"/>
      <w:marLeft w:val="0"/>
      <w:marRight w:val="0"/>
      <w:marTop w:val="0"/>
      <w:marBottom w:val="0"/>
      <w:divBdr>
        <w:top w:val="none" w:sz="0" w:space="0" w:color="auto"/>
        <w:left w:val="none" w:sz="0" w:space="0" w:color="auto"/>
        <w:bottom w:val="none" w:sz="0" w:space="0" w:color="auto"/>
        <w:right w:val="none" w:sz="0" w:space="0" w:color="auto"/>
      </w:divBdr>
    </w:div>
    <w:div w:id="810829323">
      <w:bodyDiv w:val="1"/>
      <w:marLeft w:val="0"/>
      <w:marRight w:val="0"/>
      <w:marTop w:val="0"/>
      <w:marBottom w:val="0"/>
      <w:divBdr>
        <w:top w:val="none" w:sz="0" w:space="0" w:color="auto"/>
        <w:left w:val="none" w:sz="0" w:space="0" w:color="auto"/>
        <w:bottom w:val="none" w:sz="0" w:space="0" w:color="auto"/>
        <w:right w:val="none" w:sz="0" w:space="0" w:color="auto"/>
      </w:divBdr>
    </w:div>
    <w:div w:id="956595189">
      <w:bodyDiv w:val="1"/>
      <w:marLeft w:val="0"/>
      <w:marRight w:val="0"/>
      <w:marTop w:val="0"/>
      <w:marBottom w:val="0"/>
      <w:divBdr>
        <w:top w:val="none" w:sz="0" w:space="0" w:color="auto"/>
        <w:left w:val="none" w:sz="0" w:space="0" w:color="auto"/>
        <w:bottom w:val="none" w:sz="0" w:space="0" w:color="auto"/>
        <w:right w:val="none" w:sz="0" w:space="0" w:color="auto"/>
      </w:divBdr>
      <w:divsChild>
        <w:div w:id="1688143023">
          <w:marLeft w:val="0"/>
          <w:marRight w:val="0"/>
          <w:marTop w:val="0"/>
          <w:marBottom w:val="0"/>
          <w:divBdr>
            <w:top w:val="none" w:sz="0" w:space="0" w:color="auto"/>
            <w:left w:val="none" w:sz="0" w:space="0" w:color="auto"/>
            <w:bottom w:val="none" w:sz="0" w:space="0" w:color="auto"/>
            <w:right w:val="none" w:sz="0" w:space="0" w:color="auto"/>
          </w:divBdr>
          <w:divsChild>
            <w:div w:id="1108499358">
              <w:marLeft w:val="0"/>
              <w:marRight w:val="0"/>
              <w:marTop w:val="0"/>
              <w:marBottom w:val="0"/>
              <w:divBdr>
                <w:top w:val="none" w:sz="0" w:space="0" w:color="auto"/>
                <w:left w:val="none" w:sz="0" w:space="0" w:color="auto"/>
                <w:bottom w:val="none" w:sz="0" w:space="0" w:color="auto"/>
                <w:right w:val="none" w:sz="0" w:space="0" w:color="auto"/>
              </w:divBdr>
              <w:divsChild>
                <w:div w:id="16711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0980">
      <w:bodyDiv w:val="1"/>
      <w:marLeft w:val="0"/>
      <w:marRight w:val="0"/>
      <w:marTop w:val="0"/>
      <w:marBottom w:val="0"/>
      <w:divBdr>
        <w:top w:val="none" w:sz="0" w:space="0" w:color="auto"/>
        <w:left w:val="none" w:sz="0" w:space="0" w:color="auto"/>
        <w:bottom w:val="none" w:sz="0" w:space="0" w:color="auto"/>
        <w:right w:val="none" w:sz="0" w:space="0" w:color="auto"/>
      </w:divBdr>
      <w:divsChild>
        <w:div w:id="1606041111">
          <w:marLeft w:val="0"/>
          <w:marRight w:val="0"/>
          <w:marTop w:val="0"/>
          <w:marBottom w:val="0"/>
          <w:divBdr>
            <w:top w:val="none" w:sz="0" w:space="0" w:color="auto"/>
            <w:left w:val="none" w:sz="0" w:space="0" w:color="auto"/>
            <w:bottom w:val="none" w:sz="0" w:space="0" w:color="auto"/>
            <w:right w:val="none" w:sz="0" w:space="0" w:color="auto"/>
          </w:divBdr>
        </w:div>
        <w:div w:id="471991929">
          <w:marLeft w:val="0"/>
          <w:marRight w:val="0"/>
          <w:marTop w:val="0"/>
          <w:marBottom w:val="0"/>
          <w:divBdr>
            <w:top w:val="none" w:sz="0" w:space="0" w:color="auto"/>
            <w:left w:val="none" w:sz="0" w:space="0" w:color="auto"/>
            <w:bottom w:val="none" w:sz="0" w:space="0" w:color="auto"/>
            <w:right w:val="none" w:sz="0" w:space="0" w:color="auto"/>
          </w:divBdr>
        </w:div>
        <w:div w:id="1622491887">
          <w:marLeft w:val="0"/>
          <w:marRight w:val="0"/>
          <w:marTop w:val="0"/>
          <w:marBottom w:val="0"/>
          <w:divBdr>
            <w:top w:val="none" w:sz="0" w:space="0" w:color="auto"/>
            <w:left w:val="none" w:sz="0" w:space="0" w:color="auto"/>
            <w:bottom w:val="none" w:sz="0" w:space="0" w:color="auto"/>
            <w:right w:val="none" w:sz="0" w:space="0" w:color="auto"/>
          </w:divBdr>
        </w:div>
        <w:div w:id="1552840006">
          <w:marLeft w:val="0"/>
          <w:marRight w:val="0"/>
          <w:marTop w:val="0"/>
          <w:marBottom w:val="0"/>
          <w:divBdr>
            <w:top w:val="none" w:sz="0" w:space="0" w:color="auto"/>
            <w:left w:val="none" w:sz="0" w:space="0" w:color="auto"/>
            <w:bottom w:val="none" w:sz="0" w:space="0" w:color="auto"/>
            <w:right w:val="none" w:sz="0" w:space="0" w:color="auto"/>
          </w:divBdr>
        </w:div>
        <w:div w:id="652298664">
          <w:marLeft w:val="0"/>
          <w:marRight w:val="0"/>
          <w:marTop w:val="0"/>
          <w:marBottom w:val="0"/>
          <w:divBdr>
            <w:top w:val="none" w:sz="0" w:space="0" w:color="auto"/>
            <w:left w:val="none" w:sz="0" w:space="0" w:color="auto"/>
            <w:bottom w:val="none" w:sz="0" w:space="0" w:color="auto"/>
            <w:right w:val="none" w:sz="0" w:space="0" w:color="auto"/>
          </w:divBdr>
        </w:div>
        <w:div w:id="1042562221">
          <w:marLeft w:val="0"/>
          <w:marRight w:val="0"/>
          <w:marTop w:val="0"/>
          <w:marBottom w:val="0"/>
          <w:divBdr>
            <w:top w:val="none" w:sz="0" w:space="0" w:color="auto"/>
            <w:left w:val="none" w:sz="0" w:space="0" w:color="auto"/>
            <w:bottom w:val="none" w:sz="0" w:space="0" w:color="auto"/>
            <w:right w:val="none" w:sz="0" w:space="0" w:color="auto"/>
          </w:divBdr>
        </w:div>
        <w:div w:id="1546412016">
          <w:marLeft w:val="0"/>
          <w:marRight w:val="0"/>
          <w:marTop w:val="0"/>
          <w:marBottom w:val="0"/>
          <w:divBdr>
            <w:top w:val="none" w:sz="0" w:space="0" w:color="auto"/>
            <w:left w:val="none" w:sz="0" w:space="0" w:color="auto"/>
            <w:bottom w:val="none" w:sz="0" w:space="0" w:color="auto"/>
            <w:right w:val="none" w:sz="0" w:space="0" w:color="auto"/>
          </w:divBdr>
        </w:div>
        <w:div w:id="298264580">
          <w:marLeft w:val="0"/>
          <w:marRight w:val="0"/>
          <w:marTop w:val="0"/>
          <w:marBottom w:val="0"/>
          <w:divBdr>
            <w:top w:val="none" w:sz="0" w:space="0" w:color="auto"/>
            <w:left w:val="none" w:sz="0" w:space="0" w:color="auto"/>
            <w:bottom w:val="none" w:sz="0" w:space="0" w:color="auto"/>
            <w:right w:val="none" w:sz="0" w:space="0" w:color="auto"/>
          </w:divBdr>
        </w:div>
        <w:div w:id="921523538">
          <w:marLeft w:val="0"/>
          <w:marRight w:val="0"/>
          <w:marTop w:val="0"/>
          <w:marBottom w:val="0"/>
          <w:divBdr>
            <w:top w:val="none" w:sz="0" w:space="0" w:color="auto"/>
            <w:left w:val="none" w:sz="0" w:space="0" w:color="auto"/>
            <w:bottom w:val="none" w:sz="0" w:space="0" w:color="auto"/>
            <w:right w:val="none" w:sz="0" w:space="0" w:color="auto"/>
          </w:divBdr>
        </w:div>
        <w:div w:id="1571697642">
          <w:marLeft w:val="0"/>
          <w:marRight w:val="0"/>
          <w:marTop w:val="0"/>
          <w:marBottom w:val="0"/>
          <w:divBdr>
            <w:top w:val="none" w:sz="0" w:space="0" w:color="auto"/>
            <w:left w:val="none" w:sz="0" w:space="0" w:color="auto"/>
            <w:bottom w:val="none" w:sz="0" w:space="0" w:color="auto"/>
            <w:right w:val="none" w:sz="0" w:space="0" w:color="auto"/>
          </w:divBdr>
        </w:div>
        <w:div w:id="1023704953">
          <w:marLeft w:val="0"/>
          <w:marRight w:val="0"/>
          <w:marTop w:val="0"/>
          <w:marBottom w:val="0"/>
          <w:divBdr>
            <w:top w:val="none" w:sz="0" w:space="0" w:color="auto"/>
            <w:left w:val="none" w:sz="0" w:space="0" w:color="auto"/>
            <w:bottom w:val="none" w:sz="0" w:space="0" w:color="auto"/>
            <w:right w:val="none" w:sz="0" w:space="0" w:color="auto"/>
          </w:divBdr>
        </w:div>
        <w:div w:id="1866483053">
          <w:marLeft w:val="0"/>
          <w:marRight w:val="0"/>
          <w:marTop w:val="0"/>
          <w:marBottom w:val="0"/>
          <w:divBdr>
            <w:top w:val="none" w:sz="0" w:space="0" w:color="auto"/>
            <w:left w:val="none" w:sz="0" w:space="0" w:color="auto"/>
            <w:bottom w:val="none" w:sz="0" w:space="0" w:color="auto"/>
            <w:right w:val="none" w:sz="0" w:space="0" w:color="auto"/>
          </w:divBdr>
        </w:div>
        <w:div w:id="362093265">
          <w:marLeft w:val="0"/>
          <w:marRight w:val="0"/>
          <w:marTop w:val="0"/>
          <w:marBottom w:val="0"/>
          <w:divBdr>
            <w:top w:val="none" w:sz="0" w:space="0" w:color="auto"/>
            <w:left w:val="none" w:sz="0" w:space="0" w:color="auto"/>
            <w:bottom w:val="none" w:sz="0" w:space="0" w:color="auto"/>
            <w:right w:val="none" w:sz="0" w:space="0" w:color="auto"/>
          </w:divBdr>
        </w:div>
        <w:div w:id="1194541347">
          <w:marLeft w:val="0"/>
          <w:marRight w:val="0"/>
          <w:marTop w:val="0"/>
          <w:marBottom w:val="0"/>
          <w:divBdr>
            <w:top w:val="none" w:sz="0" w:space="0" w:color="auto"/>
            <w:left w:val="none" w:sz="0" w:space="0" w:color="auto"/>
            <w:bottom w:val="none" w:sz="0" w:space="0" w:color="auto"/>
            <w:right w:val="none" w:sz="0" w:space="0" w:color="auto"/>
          </w:divBdr>
        </w:div>
        <w:div w:id="2019313375">
          <w:marLeft w:val="0"/>
          <w:marRight w:val="0"/>
          <w:marTop w:val="0"/>
          <w:marBottom w:val="0"/>
          <w:divBdr>
            <w:top w:val="none" w:sz="0" w:space="0" w:color="auto"/>
            <w:left w:val="none" w:sz="0" w:space="0" w:color="auto"/>
            <w:bottom w:val="none" w:sz="0" w:space="0" w:color="auto"/>
            <w:right w:val="none" w:sz="0" w:space="0" w:color="auto"/>
          </w:divBdr>
        </w:div>
        <w:div w:id="1663699720">
          <w:marLeft w:val="0"/>
          <w:marRight w:val="0"/>
          <w:marTop w:val="0"/>
          <w:marBottom w:val="0"/>
          <w:divBdr>
            <w:top w:val="none" w:sz="0" w:space="0" w:color="auto"/>
            <w:left w:val="none" w:sz="0" w:space="0" w:color="auto"/>
            <w:bottom w:val="none" w:sz="0" w:space="0" w:color="auto"/>
            <w:right w:val="none" w:sz="0" w:space="0" w:color="auto"/>
          </w:divBdr>
        </w:div>
        <w:div w:id="783693505">
          <w:marLeft w:val="0"/>
          <w:marRight w:val="0"/>
          <w:marTop w:val="0"/>
          <w:marBottom w:val="0"/>
          <w:divBdr>
            <w:top w:val="none" w:sz="0" w:space="0" w:color="auto"/>
            <w:left w:val="none" w:sz="0" w:space="0" w:color="auto"/>
            <w:bottom w:val="none" w:sz="0" w:space="0" w:color="auto"/>
            <w:right w:val="none" w:sz="0" w:space="0" w:color="auto"/>
          </w:divBdr>
        </w:div>
        <w:div w:id="831680680">
          <w:marLeft w:val="0"/>
          <w:marRight w:val="0"/>
          <w:marTop w:val="0"/>
          <w:marBottom w:val="0"/>
          <w:divBdr>
            <w:top w:val="none" w:sz="0" w:space="0" w:color="auto"/>
            <w:left w:val="none" w:sz="0" w:space="0" w:color="auto"/>
            <w:bottom w:val="none" w:sz="0" w:space="0" w:color="auto"/>
            <w:right w:val="none" w:sz="0" w:space="0" w:color="auto"/>
          </w:divBdr>
        </w:div>
        <w:div w:id="235012950">
          <w:marLeft w:val="0"/>
          <w:marRight w:val="0"/>
          <w:marTop w:val="0"/>
          <w:marBottom w:val="0"/>
          <w:divBdr>
            <w:top w:val="none" w:sz="0" w:space="0" w:color="auto"/>
            <w:left w:val="none" w:sz="0" w:space="0" w:color="auto"/>
            <w:bottom w:val="none" w:sz="0" w:space="0" w:color="auto"/>
            <w:right w:val="none" w:sz="0" w:space="0" w:color="auto"/>
          </w:divBdr>
        </w:div>
        <w:div w:id="100691419">
          <w:marLeft w:val="0"/>
          <w:marRight w:val="0"/>
          <w:marTop w:val="0"/>
          <w:marBottom w:val="0"/>
          <w:divBdr>
            <w:top w:val="none" w:sz="0" w:space="0" w:color="auto"/>
            <w:left w:val="none" w:sz="0" w:space="0" w:color="auto"/>
            <w:bottom w:val="none" w:sz="0" w:space="0" w:color="auto"/>
            <w:right w:val="none" w:sz="0" w:space="0" w:color="auto"/>
          </w:divBdr>
        </w:div>
        <w:div w:id="482548840">
          <w:marLeft w:val="0"/>
          <w:marRight w:val="0"/>
          <w:marTop w:val="0"/>
          <w:marBottom w:val="0"/>
          <w:divBdr>
            <w:top w:val="none" w:sz="0" w:space="0" w:color="auto"/>
            <w:left w:val="none" w:sz="0" w:space="0" w:color="auto"/>
            <w:bottom w:val="none" w:sz="0" w:space="0" w:color="auto"/>
            <w:right w:val="none" w:sz="0" w:space="0" w:color="auto"/>
          </w:divBdr>
        </w:div>
        <w:div w:id="1223635033">
          <w:marLeft w:val="0"/>
          <w:marRight w:val="0"/>
          <w:marTop w:val="0"/>
          <w:marBottom w:val="0"/>
          <w:divBdr>
            <w:top w:val="none" w:sz="0" w:space="0" w:color="auto"/>
            <w:left w:val="none" w:sz="0" w:space="0" w:color="auto"/>
            <w:bottom w:val="none" w:sz="0" w:space="0" w:color="auto"/>
            <w:right w:val="none" w:sz="0" w:space="0" w:color="auto"/>
          </w:divBdr>
        </w:div>
        <w:div w:id="1747649967">
          <w:marLeft w:val="0"/>
          <w:marRight w:val="0"/>
          <w:marTop w:val="0"/>
          <w:marBottom w:val="0"/>
          <w:divBdr>
            <w:top w:val="none" w:sz="0" w:space="0" w:color="auto"/>
            <w:left w:val="none" w:sz="0" w:space="0" w:color="auto"/>
            <w:bottom w:val="none" w:sz="0" w:space="0" w:color="auto"/>
            <w:right w:val="none" w:sz="0" w:space="0" w:color="auto"/>
          </w:divBdr>
        </w:div>
        <w:div w:id="456797945">
          <w:marLeft w:val="0"/>
          <w:marRight w:val="0"/>
          <w:marTop w:val="0"/>
          <w:marBottom w:val="0"/>
          <w:divBdr>
            <w:top w:val="none" w:sz="0" w:space="0" w:color="auto"/>
            <w:left w:val="none" w:sz="0" w:space="0" w:color="auto"/>
            <w:bottom w:val="none" w:sz="0" w:space="0" w:color="auto"/>
            <w:right w:val="none" w:sz="0" w:space="0" w:color="auto"/>
          </w:divBdr>
        </w:div>
        <w:div w:id="204561122">
          <w:marLeft w:val="0"/>
          <w:marRight w:val="0"/>
          <w:marTop w:val="0"/>
          <w:marBottom w:val="0"/>
          <w:divBdr>
            <w:top w:val="none" w:sz="0" w:space="0" w:color="auto"/>
            <w:left w:val="none" w:sz="0" w:space="0" w:color="auto"/>
            <w:bottom w:val="none" w:sz="0" w:space="0" w:color="auto"/>
            <w:right w:val="none" w:sz="0" w:space="0" w:color="auto"/>
          </w:divBdr>
        </w:div>
      </w:divsChild>
    </w:div>
    <w:div w:id="1538202438">
      <w:bodyDiv w:val="1"/>
      <w:marLeft w:val="0"/>
      <w:marRight w:val="0"/>
      <w:marTop w:val="0"/>
      <w:marBottom w:val="0"/>
      <w:divBdr>
        <w:top w:val="none" w:sz="0" w:space="0" w:color="auto"/>
        <w:left w:val="none" w:sz="0" w:space="0" w:color="auto"/>
        <w:bottom w:val="none" w:sz="0" w:space="0" w:color="auto"/>
        <w:right w:val="none" w:sz="0" w:space="0" w:color="auto"/>
      </w:divBdr>
      <w:divsChild>
        <w:div w:id="111637534">
          <w:marLeft w:val="0"/>
          <w:marRight w:val="0"/>
          <w:marTop w:val="0"/>
          <w:marBottom w:val="0"/>
          <w:divBdr>
            <w:top w:val="none" w:sz="0" w:space="0" w:color="auto"/>
            <w:left w:val="none" w:sz="0" w:space="0" w:color="auto"/>
            <w:bottom w:val="none" w:sz="0" w:space="0" w:color="auto"/>
            <w:right w:val="none" w:sz="0" w:space="0" w:color="auto"/>
          </w:divBdr>
          <w:divsChild>
            <w:div w:id="312224814">
              <w:marLeft w:val="0"/>
              <w:marRight w:val="0"/>
              <w:marTop w:val="0"/>
              <w:marBottom w:val="0"/>
              <w:divBdr>
                <w:top w:val="none" w:sz="0" w:space="0" w:color="auto"/>
                <w:left w:val="none" w:sz="0" w:space="0" w:color="auto"/>
                <w:bottom w:val="none" w:sz="0" w:space="0" w:color="auto"/>
                <w:right w:val="none" w:sz="0" w:space="0" w:color="auto"/>
              </w:divBdr>
              <w:divsChild>
                <w:div w:id="957880886">
                  <w:marLeft w:val="0"/>
                  <w:marRight w:val="0"/>
                  <w:marTop w:val="0"/>
                  <w:marBottom w:val="0"/>
                  <w:divBdr>
                    <w:top w:val="none" w:sz="0" w:space="0" w:color="auto"/>
                    <w:left w:val="none" w:sz="0" w:space="0" w:color="auto"/>
                    <w:bottom w:val="none" w:sz="0" w:space="0" w:color="auto"/>
                    <w:right w:val="none" w:sz="0" w:space="0" w:color="auto"/>
                  </w:divBdr>
                  <w:divsChild>
                    <w:div w:id="5693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6926">
      <w:bodyDiv w:val="1"/>
      <w:marLeft w:val="0"/>
      <w:marRight w:val="0"/>
      <w:marTop w:val="0"/>
      <w:marBottom w:val="0"/>
      <w:divBdr>
        <w:top w:val="none" w:sz="0" w:space="0" w:color="auto"/>
        <w:left w:val="none" w:sz="0" w:space="0" w:color="auto"/>
        <w:bottom w:val="none" w:sz="0" w:space="0" w:color="auto"/>
        <w:right w:val="none" w:sz="0" w:space="0" w:color="auto"/>
      </w:divBdr>
      <w:divsChild>
        <w:div w:id="413283564">
          <w:marLeft w:val="0"/>
          <w:marRight w:val="0"/>
          <w:marTop w:val="0"/>
          <w:marBottom w:val="0"/>
          <w:divBdr>
            <w:top w:val="none" w:sz="0" w:space="0" w:color="auto"/>
            <w:left w:val="none" w:sz="0" w:space="0" w:color="auto"/>
            <w:bottom w:val="none" w:sz="0" w:space="0" w:color="auto"/>
            <w:right w:val="none" w:sz="0" w:space="0" w:color="auto"/>
          </w:divBdr>
          <w:divsChild>
            <w:div w:id="783038265">
              <w:marLeft w:val="0"/>
              <w:marRight w:val="0"/>
              <w:marTop w:val="0"/>
              <w:marBottom w:val="0"/>
              <w:divBdr>
                <w:top w:val="none" w:sz="0" w:space="0" w:color="auto"/>
                <w:left w:val="none" w:sz="0" w:space="0" w:color="auto"/>
                <w:bottom w:val="none" w:sz="0" w:space="0" w:color="auto"/>
                <w:right w:val="none" w:sz="0" w:space="0" w:color="auto"/>
              </w:divBdr>
              <w:divsChild>
                <w:div w:id="1475247714">
                  <w:marLeft w:val="0"/>
                  <w:marRight w:val="0"/>
                  <w:marTop w:val="0"/>
                  <w:marBottom w:val="0"/>
                  <w:divBdr>
                    <w:top w:val="none" w:sz="0" w:space="0" w:color="auto"/>
                    <w:left w:val="none" w:sz="0" w:space="0" w:color="auto"/>
                    <w:bottom w:val="none" w:sz="0" w:space="0" w:color="auto"/>
                    <w:right w:val="none" w:sz="0" w:space="0" w:color="auto"/>
                  </w:divBdr>
                  <w:divsChild>
                    <w:div w:id="3720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54072">
      <w:bodyDiv w:val="1"/>
      <w:marLeft w:val="0"/>
      <w:marRight w:val="0"/>
      <w:marTop w:val="0"/>
      <w:marBottom w:val="0"/>
      <w:divBdr>
        <w:top w:val="none" w:sz="0" w:space="0" w:color="auto"/>
        <w:left w:val="none" w:sz="0" w:space="0" w:color="auto"/>
        <w:bottom w:val="none" w:sz="0" w:space="0" w:color="auto"/>
        <w:right w:val="none" w:sz="0" w:space="0" w:color="auto"/>
      </w:divBdr>
    </w:div>
    <w:div w:id="20526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2CFCD-D2EC-4014-ABC4-F7CD661690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74140E-2D34-4E5B-982C-F7083C271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5481CF-947F-4B54-95D8-A7B6F882A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2612</Words>
  <Characters>14367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14</cp:revision>
  <dcterms:created xsi:type="dcterms:W3CDTF">2020-08-31T16:18:00Z</dcterms:created>
  <dcterms:modified xsi:type="dcterms:W3CDTF">2020-11-15T02:03:00Z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