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C36" w:rsidRPr="002E5C36" w:rsidRDefault="002E5C36" w:rsidP="002E5C3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GoBack"/>
      <w:bookmarkEnd w:id="0"/>
      <w:r w:rsidRPr="002E5C3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E5C36" w:rsidRPr="002E5C36" w:rsidRDefault="002E5C36" w:rsidP="002E5C36">
      <w:pPr>
        <w:spacing w:after="0" w:line="240" w:lineRule="auto"/>
        <w:jc w:val="both"/>
        <w:rPr>
          <w:rFonts w:ascii="Arial" w:eastAsia="Times New Roman" w:hAnsi="Arial" w:cs="Arial"/>
          <w:sz w:val="20"/>
          <w:szCs w:val="20"/>
          <w:lang w:val="es-419" w:eastAsia="es-ES"/>
        </w:rPr>
      </w:pPr>
    </w:p>
    <w:p w:rsidR="002E5C36" w:rsidRPr="002E5C36" w:rsidRDefault="002E5C36" w:rsidP="002E5C36">
      <w:pPr>
        <w:spacing w:after="0" w:line="240" w:lineRule="auto"/>
        <w:jc w:val="both"/>
        <w:rPr>
          <w:rFonts w:ascii="Arial" w:eastAsia="Times New Roman" w:hAnsi="Arial" w:cs="Arial"/>
          <w:sz w:val="20"/>
          <w:szCs w:val="20"/>
          <w:lang w:val="es-419" w:eastAsia="es-ES"/>
        </w:rPr>
      </w:pPr>
      <w:r w:rsidRPr="002E5C36">
        <w:rPr>
          <w:rFonts w:ascii="Arial" w:eastAsia="Times New Roman" w:hAnsi="Arial" w:cs="Arial"/>
          <w:sz w:val="20"/>
          <w:szCs w:val="20"/>
          <w:lang w:val="es-419" w:eastAsia="es-ES"/>
        </w:rPr>
        <w:t>Providencia:</w:t>
      </w:r>
      <w:r w:rsidRPr="002E5C36">
        <w:rPr>
          <w:rFonts w:ascii="Arial" w:eastAsia="Times New Roman" w:hAnsi="Arial" w:cs="Arial"/>
          <w:sz w:val="20"/>
          <w:szCs w:val="20"/>
          <w:lang w:val="es-419" w:eastAsia="es-ES"/>
        </w:rPr>
        <w:tab/>
      </w:r>
      <w:r w:rsidRPr="002E5C36">
        <w:rPr>
          <w:rFonts w:ascii="Arial" w:eastAsia="Times New Roman" w:hAnsi="Arial" w:cs="Arial"/>
          <w:sz w:val="20"/>
          <w:szCs w:val="20"/>
          <w:lang w:val="es-419" w:eastAsia="es-ES"/>
        </w:rPr>
        <w:tab/>
        <w:t>Sentencia del 24 de enero de 2020</w:t>
      </w:r>
    </w:p>
    <w:p w:rsidR="002E5C36" w:rsidRPr="002E5C36" w:rsidRDefault="002E5C36" w:rsidP="002E5C36">
      <w:pPr>
        <w:spacing w:after="0" w:line="240" w:lineRule="auto"/>
        <w:jc w:val="both"/>
        <w:rPr>
          <w:rFonts w:ascii="Arial" w:eastAsia="Times New Roman" w:hAnsi="Arial" w:cs="Arial"/>
          <w:sz w:val="20"/>
          <w:szCs w:val="20"/>
          <w:lang w:val="es-419" w:eastAsia="es-ES"/>
        </w:rPr>
      </w:pPr>
      <w:r w:rsidRPr="002E5C36">
        <w:rPr>
          <w:rFonts w:ascii="Arial" w:eastAsia="Times New Roman" w:hAnsi="Arial" w:cs="Arial"/>
          <w:sz w:val="20"/>
          <w:szCs w:val="20"/>
          <w:lang w:val="es-419" w:eastAsia="es-ES"/>
        </w:rPr>
        <w:t>Radicación No.:</w:t>
      </w:r>
      <w:r w:rsidRPr="002E5C36">
        <w:rPr>
          <w:rFonts w:ascii="Arial" w:eastAsia="Times New Roman" w:hAnsi="Arial" w:cs="Arial"/>
          <w:sz w:val="20"/>
          <w:szCs w:val="20"/>
          <w:lang w:val="es-419" w:eastAsia="es-ES"/>
        </w:rPr>
        <w:tab/>
      </w:r>
      <w:r w:rsidRPr="002E5C36">
        <w:rPr>
          <w:rFonts w:ascii="Arial" w:eastAsia="Times New Roman" w:hAnsi="Arial" w:cs="Arial"/>
          <w:sz w:val="20"/>
          <w:szCs w:val="20"/>
          <w:lang w:val="es-419" w:eastAsia="es-ES"/>
        </w:rPr>
        <w:tab/>
        <w:t>66001-31-05-003-2019-00466-01</w:t>
      </w:r>
    </w:p>
    <w:p w:rsidR="002E5C36" w:rsidRPr="002E5C36" w:rsidRDefault="002E5C36" w:rsidP="002E5C36">
      <w:pPr>
        <w:spacing w:after="0" w:line="240" w:lineRule="auto"/>
        <w:jc w:val="both"/>
        <w:rPr>
          <w:rFonts w:ascii="Arial" w:eastAsia="Times New Roman" w:hAnsi="Arial" w:cs="Arial"/>
          <w:sz w:val="20"/>
          <w:szCs w:val="20"/>
          <w:lang w:val="es-419" w:eastAsia="es-ES"/>
        </w:rPr>
      </w:pPr>
      <w:r w:rsidRPr="002E5C36">
        <w:rPr>
          <w:rFonts w:ascii="Arial" w:eastAsia="Times New Roman" w:hAnsi="Arial" w:cs="Arial"/>
          <w:sz w:val="20"/>
          <w:szCs w:val="20"/>
          <w:lang w:val="es-419" w:eastAsia="es-ES"/>
        </w:rPr>
        <w:t>Proceso:</w:t>
      </w:r>
      <w:r w:rsidRPr="002E5C36">
        <w:rPr>
          <w:rFonts w:ascii="Arial" w:eastAsia="Times New Roman" w:hAnsi="Arial" w:cs="Arial"/>
          <w:sz w:val="20"/>
          <w:szCs w:val="20"/>
          <w:lang w:val="es-419" w:eastAsia="es-ES"/>
        </w:rPr>
        <w:tab/>
      </w:r>
      <w:r w:rsidRPr="002E5C36">
        <w:rPr>
          <w:rFonts w:ascii="Arial" w:eastAsia="Times New Roman" w:hAnsi="Arial" w:cs="Arial"/>
          <w:sz w:val="20"/>
          <w:szCs w:val="20"/>
          <w:lang w:val="es-419" w:eastAsia="es-ES"/>
        </w:rPr>
        <w:tab/>
        <w:t xml:space="preserve">Acción de tutela </w:t>
      </w:r>
    </w:p>
    <w:p w:rsidR="002E5C36" w:rsidRPr="002E5C36" w:rsidRDefault="002E5C36" w:rsidP="002E5C36">
      <w:pPr>
        <w:spacing w:after="0" w:line="240" w:lineRule="auto"/>
        <w:jc w:val="both"/>
        <w:rPr>
          <w:rFonts w:ascii="Arial" w:eastAsia="Times New Roman" w:hAnsi="Arial" w:cs="Arial"/>
          <w:sz w:val="20"/>
          <w:szCs w:val="20"/>
          <w:lang w:val="es-419" w:eastAsia="es-ES"/>
        </w:rPr>
      </w:pPr>
      <w:r w:rsidRPr="002E5C36">
        <w:rPr>
          <w:rFonts w:ascii="Arial" w:eastAsia="Times New Roman" w:hAnsi="Arial" w:cs="Arial"/>
          <w:sz w:val="20"/>
          <w:szCs w:val="20"/>
          <w:lang w:val="es-419" w:eastAsia="es-ES"/>
        </w:rPr>
        <w:t>Accionante:</w:t>
      </w:r>
      <w:r w:rsidRPr="002E5C36">
        <w:rPr>
          <w:rFonts w:ascii="Arial" w:eastAsia="Times New Roman" w:hAnsi="Arial" w:cs="Arial"/>
          <w:sz w:val="20"/>
          <w:szCs w:val="20"/>
          <w:lang w:val="es-419" w:eastAsia="es-ES"/>
        </w:rPr>
        <w:tab/>
      </w:r>
      <w:r w:rsidRPr="002E5C36">
        <w:rPr>
          <w:rFonts w:ascii="Arial" w:eastAsia="Times New Roman" w:hAnsi="Arial" w:cs="Arial"/>
          <w:sz w:val="20"/>
          <w:szCs w:val="20"/>
          <w:lang w:val="es-419" w:eastAsia="es-ES"/>
        </w:rPr>
        <w:tab/>
        <w:t>Bairon Aníbal Arboleda García</w:t>
      </w:r>
    </w:p>
    <w:p w:rsidR="002E5C36" w:rsidRPr="002E5C36" w:rsidRDefault="002E5C36" w:rsidP="002E5C36">
      <w:pPr>
        <w:spacing w:after="0" w:line="240" w:lineRule="auto"/>
        <w:jc w:val="both"/>
        <w:rPr>
          <w:rFonts w:ascii="Arial" w:eastAsia="Times New Roman" w:hAnsi="Arial" w:cs="Arial"/>
          <w:sz w:val="20"/>
          <w:szCs w:val="20"/>
          <w:lang w:val="es-419" w:eastAsia="es-ES"/>
        </w:rPr>
      </w:pPr>
      <w:r w:rsidRPr="002E5C36">
        <w:rPr>
          <w:rFonts w:ascii="Arial" w:eastAsia="Times New Roman" w:hAnsi="Arial" w:cs="Arial"/>
          <w:sz w:val="20"/>
          <w:szCs w:val="20"/>
          <w:lang w:val="es-419" w:eastAsia="es-ES"/>
        </w:rPr>
        <w:t>Accionado:</w:t>
      </w:r>
      <w:r w:rsidRPr="002E5C36">
        <w:rPr>
          <w:rFonts w:ascii="Arial" w:eastAsia="Times New Roman" w:hAnsi="Arial" w:cs="Arial"/>
          <w:sz w:val="20"/>
          <w:szCs w:val="20"/>
          <w:lang w:val="es-419" w:eastAsia="es-ES"/>
        </w:rPr>
        <w:tab/>
        <w:t xml:space="preserve">  </w:t>
      </w:r>
      <w:r w:rsidRPr="002E5C36">
        <w:rPr>
          <w:rFonts w:ascii="Arial" w:eastAsia="Times New Roman" w:hAnsi="Arial" w:cs="Arial"/>
          <w:sz w:val="20"/>
          <w:szCs w:val="20"/>
          <w:lang w:val="es-419" w:eastAsia="es-ES"/>
        </w:rPr>
        <w:tab/>
        <w:t>Administradora Colombiana de Pensiones - Colpensiones</w:t>
      </w:r>
    </w:p>
    <w:p w:rsidR="002E5C36" w:rsidRPr="002E5C36" w:rsidRDefault="002E5C36" w:rsidP="002E5C36">
      <w:pPr>
        <w:spacing w:after="0" w:line="240" w:lineRule="auto"/>
        <w:jc w:val="both"/>
        <w:rPr>
          <w:rFonts w:ascii="Arial" w:eastAsia="Times New Roman" w:hAnsi="Arial" w:cs="Arial"/>
          <w:sz w:val="20"/>
          <w:szCs w:val="20"/>
          <w:lang w:val="es-419" w:eastAsia="es-ES"/>
        </w:rPr>
      </w:pPr>
      <w:r w:rsidRPr="002E5C36">
        <w:rPr>
          <w:rFonts w:ascii="Arial" w:eastAsia="Times New Roman" w:hAnsi="Arial" w:cs="Arial"/>
          <w:sz w:val="20"/>
          <w:szCs w:val="20"/>
          <w:lang w:val="es-419" w:eastAsia="es-ES"/>
        </w:rPr>
        <w:t xml:space="preserve">Juzgado de origen: </w:t>
      </w:r>
      <w:r w:rsidRPr="002E5C36">
        <w:rPr>
          <w:rFonts w:ascii="Arial" w:eastAsia="Times New Roman" w:hAnsi="Arial" w:cs="Arial"/>
          <w:sz w:val="20"/>
          <w:szCs w:val="20"/>
          <w:lang w:val="es-419" w:eastAsia="es-ES"/>
        </w:rPr>
        <w:tab/>
        <w:t>Juzgado Tercero Laboral del Circuito de Pereira</w:t>
      </w:r>
    </w:p>
    <w:p w:rsidR="002E5C36" w:rsidRPr="002E5C36" w:rsidRDefault="002E5C36" w:rsidP="002E5C36">
      <w:pPr>
        <w:spacing w:after="0" w:line="240" w:lineRule="auto"/>
        <w:jc w:val="both"/>
        <w:rPr>
          <w:rFonts w:ascii="Arial" w:eastAsia="Times New Roman" w:hAnsi="Arial" w:cs="Arial"/>
          <w:sz w:val="20"/>
          <w:szCs w:val="20"/>
          <w:lang w:val="es-419" w:eastAsia="es-ES"/>
        </w:rPr>
      </w:pPr>
    </w:p>
    <w:p w:rsidR="002E5C36" w:rsidRPr="002E5C36" w:rsidRDefault="002E5C36" w:rsidP="002E5C36">
      <w:pPr>
        <w:spacing w:after="0" w:line="240" w:lineRule="auto"/>
        <w:jc w:val="both"/>
        <w:rPr>
          <w:rFonts w:ascii="Arial" w:eastAsia="Times New Roman" w:hAnsi="Arial" w:cs="Arial"/>
          <w:b/>
          <w:bCs/>
          <w:iCs/>
          <w:sz w:val="20"/>
          <w:szCs w:val="20"/>
          <w:lang w:val="es-419" w:eastAsia="fr-FR"/>
        </w:rPr>
      </w:pPr>
      <w:r w:rsidRPr="002E5C36">
        <w:rPr>
          <w:rFonts w:ascii="Arial" w:eastAsia="Times New Roman" w:hAnsi="Arial" w:cs="Arial"/>
          <w:b/>
          <w:bCs/>
          <w:iCs/>
          <w:sz w:val="20"/>
          <w:szCs w:val="20"/>
          <w:u w:val="single"/>
          <w:lang w:val="es-419" w:eastAsia="fr-FR"/>
        </w:rPr>
        <w:t>TEMAS:</w:t>
      </w:r>
      <w:r w:rsidRPr="002E5C36">
        <w:rPr>
          <w:rFonts w:ascii="Arial" w:eastAsia="Times New Roman" w:hAnsi="Arial" w:cs="Arial"/>
          <w:b/>
          <w:bCs/>
          <w:iCs/>
          <w:sz w:val="20"/>
          <w:szCs w:val="20"/>
          <w:lang w:val="es-419" w:eastAsia="fr-FR"/>
        </w:rPr>
        <w:tab/>
      </w:r>
      <w:r w:rsidR="00473693">
        <w:rPr>
          <w:rFonts w:ascii="Arial" w:eastAsia="Times New Roman" w:hAnsi="Arial" w:cs="Arial"/>
          <w:b/>
          <w:bCs/>
          <w:iCs/>
          <w:sz w:val="20"/>
          <w:szCs w:val="20"/>
          <w:lang w:val="es-CO" w:eastAsia="fr-FR"/>
        </w:rPr>
        <w:t xml:space="preserve">SEGURIDAD SOCIAL / RECONOCIMIENTO DE PENSIÓN DE INVALIDEZ / </w:t>
      </w:r>
      <w:r w:rsidRPr="002E5C36">
        <w:rPr>
          <w:rFonts w:ascii="Arial" w:eastAsia="Times New Roman" w:hAnsi="Arial" w:cs="Arial"/>
          <w:b/>
          <w:sz w:val="20"/>
          <w:szCs w:val="20"/>
          <w:lang w:val="es-419" w:eastAsia="es-ES"/>
        </w:rPr>
        <w:t xml:space="preserve">PROCEDENCIA EXCEPCIONAL DE LA ACCIÓN DE TUTELA </w:t>
      </w:r>
      <w:r w:rsidR="00A66406">
        <w:rPr>
          <w:rFonts w:ascii="Arial" w:eastAsia="Times New Roman" w:hAnsi="Arial" w:cs="Arial"/>
          <w:b/>
          <w:sz w:val="20"/>
          <w:szCs w:val="20"/>
          <w:lang w:val="es-CO" w:eastAsia="es-ES"/>
        </w:rPr>
        <w:t xml:space="preserve">/ </w:t>
      </w:r>
      <w:r w:rsidR="0087379C">
        <w:rPr>
          <w:rFonts w:ascii="Arial" w:eastAsia="Times New Roman" w:hAnsi="Arial" w:cs="Arial"/>
          <w:b/>
          <w:sz w:val="20"/>
          <w:szCs w:val="20"/>
          <w:lang w:val="es-CO" w:eastAsia="es-ES"/>
        </w:rPr>
        <w:t>CASO: ENFERMEDADES CONGÉNITAS, CRÓNICAS O DEGENERATIVAS / REQUISITOS / LAS COTIZACIONES DEBEN SER PRODUCTO DE UNA CAPACIDAD LABORAL RESIDUAL Y NO DE LA INTENCIÓN DE DEFRAUDAR AL SISTEMA.</w:t>
      </w:r>
    </w:p>
    <w:p w:rsidR="002E5C36" w:rsidRDefault="002E5C36" w:rsidP="002E5C36">
      <w:pPr>
        <w:spacing w:after="0" w:line="240" w:lineRule="auto"/>
        <w:jc w:val="both"/>
        <w:rPr>
          <w:rFonts w:ascii="Arial" w:eastAsia="Times New Roman" w:hAnsi="Arial" w:cs="Arial"/>
          <w:sz w:val="20"/>
          <w:szCs w:val="20"/>
          <w:lang w:val="es-419" w:eastAsia="es-ES"/>
        </w:rPr>
      </w:pPr>
    </w:p>
    <w:p w:rsidR="00DD36AF" w:rsidRDefault="003616BC" w:rsidP="002E5C36">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L</w:t>
      </w:r>
      <w:r w:rsidRPr="003616BC">
        <w:rPr>
          <w:rFonts w:ascii="Arial" w:eastAsia="Times New Roman" w:hAnsi="Arial" w:cs="Arial"/>
          <w:sz w:val="20"/>
          <w:szCs w:val="20"/>
          <w:lang w:val="es-419" w:eastAsia="es-ES"/>
        </w:rPr>
        <w:t xml:space="preserve">a Corte Constitucional ha manifestado que por regla general es improcedente </w:t>
      </w:r>
      <w:r>
        <w:rPr>
          <w:rFonts w:ascii="Arial" w:eastAsia="Times New Roman" w:hAnsi="Arial" w:cs="Arial"/>
          <w:sz w:val="20"/>
          <w:szCs w:val="20"/>
          <w:lang w:val="es-CO" w:eastAsia="es-ES"/>
        </w:rPr>
        <w:t xml:space="preserve">el </w:t>
      </w:r>
      <w:r w:rsidRPr="003616BC">
        <w:rPr>
          <w:rFonts w:ascii="Arial" w:eastAsia="Times New Roman" w:hAnsi="Arial" w:cs="Arial"/>
          <w:sz w:val="20"/>
          <w:szCs w:val="20"/>
          <w:lang w:val="es-419" w:eastAsia="es-ES"/>
        </w:rPr>
        <w:t>amparo cuando en el ordenamiento jurídico se encuentra estipulado un medio de defensa particular para redimir la controversia objeto de la acción, en virtud del principio de subsidiaridad de la tutela. No obstante, el Alto Tribunal en la Sentencia T-009 de 2019, Magistrada Ponente Gloria Stella Ortiz Delgado, reiteró su posición, en cuanto permitir la procedencia de la acción de tutela, excepcionalmente, para el reconocimiento de derechos pensionales, propiamente la pensión de invalidez, atendiendo factores tales como la edad, el estado de salud y las condiciones económicas</w:t>
      </w:r>
      <w:r>
        <w:rPr>
          <w:rFonts w:ascii="Arial" w:eastAsia="Times New Roman" w:hAnsi="Arial" w:cs="Arial"/>
          <w:sz w:val="20"/>
          <w:szCs w:val="20"/>
          <w:lang w:val="es-CO" w:eastAsia="es-ES"/>
        </w:rPr>
        <w:t xml:space="preserve">... </w:t>
      </w:r>
      <w:r w:rsidR="002E5C36" w:rsidRPr="002E5C36">
        <w:rPr>
          <w:rFonts w:ascii="Arial" w:eastAsia="Times New Roman" w:hAnsi="Arial" w:cs="Arial"/>
          <w:sz w:val="20"/>
          <w:szCs w:val="20"/>
          <w:lang w:val="es-419" w:eastAsia="es-ES"/>
        </w:rPr>
        <w:t>si acredita plenamente el cumplimiento de los requisitos para obtener la gracia pensional.</w:t>
      </w:r>
    </w:p>
    <w:p w:rsidR="00DD36AF" w:rsidRDefault="00DD36AF" w:rsidP="002E5C36">
      <w:pPr>
        <w:spacing w:after="0" w:line="240" w:lineRule="auto"/>
        <w:jc w:val="both"/>
        <w:rPr>
          <w:rFonts w:ascii="Arial" w:eastAsia="Times New Roman" w:hAnsi="Arial" w:cs="Arial"/>
          <w:sz w:val="20"/>
          <w:szCs w:val="20"/>
          <w:lang w:val="es-419" w:eastAsia="es-ES"/>
        </w:rPr>
      </w:pPr>
    </w:p>
    <w:p w:rsidR="002E5C36" w:rsidRDefault="00DD36AF" w:rsidP="002E5C36">
      <w:pPr>
        <w:spacing w:after="0" w:line="240" w:lineRule="auto"/>
        <w:jc w:val="both"/>
        <w:rPr>
          <w:rFonts w:ascii="Arial" w:eastAsia="Times New Roman" w:hAnsi="Arial" w:cs="Arial"/>
          <w:sz w:val="20"/>
          <w:szCs w:val="20"/>
          <w:lang w:val="es-CO" w:eastAsia="es-ES"/>
        </w:rPr>
      </w:pPr>
      <w:r w:rsidRPr="00DD36AF">
        <w:rPr>
          <w:rFonts w:ascii="Arial" w:eastAsia="Times New Roman" w:hAnsi="Arial" w:cs="Arial"/>
          <w:sz w:val="20"/>
          <w:szCs w:val="20"/>
          <w:lang w:val="es-CO" w:eastAsia="es-ES"/>
        </w:rPr>
        <w:t>No obstante en la providencia referenciada, el Alto Tribunal recordó que la condición de vulnerabilidad o de sujeto de especial protección constitucional del accionante por sí sola no basta para que proceda la acción en materia pensional</w:t>
      </w:r>
      <w:r w:rsidR="003616BC">
        <w:rPr>
          <w:rFonts w:ascii="Arial" w:eastAsia="Times New Roman" w:hAnsi="Arial" w:cs="Arial"/>
          <w:sz w:val="20"/>
          <w:szCs w:val="20"/>
          <w:lang w:val="es-CO" w:eastAsia="es-ES"/>
        </w:rPr>
        <w:t>…</w:t>
      </w:r>
    </w:p>
    <w:p w:rsidR="00DD36AF" w:rsidRPr="003616BC" w:rsidRDefault="00DD36AF" w:rsidP="002E5C36">
      <w:pPr>
        <w:spacing w:after="0" w:line="240" w:lineRule="auto"/>
        <w:jc w:val="both"/>
        <w:rPr>
          <w:rFonts w:ascii="Arial" w:eastAsia="Times New Roman" w:hAnsi="Arial" w:cs="Arial"/>
          <w:sz w:val="20"/>
          <w:szCs w:val="20"/>
          <w:lang w:val="es-CO" w:eastAsia="es-ES"/>
        </w:rPr>
      </w:pPr>
    </w:p>
    <w:p w:rsidR="002E5C36" w:rsidRPr="00EA6BAE" w:rsidRDefault="00EA6BAE" w:rsidP="002E5C36">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EA6BAE">
        <w:rPr>
          <w:rFonts w:ascii="Arial" w:eastAsia="Times New Roman" w:hAnsi="Arial" w:cs="Arial"/>
          <w:sz w:val="20"/>
          <w:szCs w:val="20"/>
          <w:lang w:val="es-419" w:eastAsia="es-ES"/>
        </w:rPr>
        <w:t>si bien en un principio el transcurso de un tiempo prolongado entre la interposición del amparo constitucional y los hechos que lo motivaron desatendería su finalidad y por ende la tornaría improcedente, lo cierto es que en el caso de derechos pensionales -garantías de contenido irrenunciable e imprescriptible-, al tener una relación estrecha con la garantía de la dignidad humana, la eventual vulneración permanece en el tiempo, siempre que se acredite que el accionante cuenta con los requisitos para acceder a la prestación y la misma le ha sido negada. En ese entendido puntualizó dos casos en los que debe flexibilizarse el análisis de la inmediatez</w:t>
      </w:r>
      <w:r>
        <w:rPr>
          <w:rFonts w:ascii="Arial" w:eastAsia="Times New Roman" w:hAnsi="Arial" w:cs="Arial"/>
          <w:sz w:val="20"/>
          <w:szCs w:val="20"/>
          <w:lang w:val="es-CO" w:eastAsia="es-ES"/>
        </w:rPr>
        <w:t>…</w:t>
      </w:r>
    </w:p>
    <w:p w:rsidR="003616BC" w:rsidRPr="002E5C36" w:rsidRDefault="003616BC" w:rsidP="002E5C36">
      <w:pPr>
        <w:spacing w:after="0" w:line="240" w:lineRule="auto"/>
        <w:jc w:val="both"/>
        <w:rPr>
          <w:rFonts w:ascii="Arial" w:eastAsia="Times New Roman" w:hAnsi="Arial" w:cs="Arial"/>
          <w:sz w:val="20"/>
          <w:szCs w:val="20"/>
          <w:lang w:val="es-419" w:eastAsia="es-ES"/>
        </w:rPr>
      </w:pPr>
    </w:p>
    <w:p w:rsidR="002E5C36" w:rsidRPr="007817C9" w:rsidRDefault="007817C9" w:rsidP="002E5C36">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7817C9">
        <w:rPr>
          <w:rFonts w:ascii="Arial" w:eastAsia="Times New Roman" w:hAnsi="Arial" w:cs="Arial"/>
          <w:sz w:val="20"/>
          <w:szCs w:val="20"/>
          <w:lang w:val="es-419" w:eastAsia="es-ES"/>
        </w:rPr>
        <w:t>la Corte Constitucional ha establecido que no puede realizarse un conteo mecánico de las 50 semanas cotizadas dentro de los 3 años anteriores a la estructuración, sino que tratándose de patologías congénitas, crónicas y/o degenerativas, es posible tener en cuenta la fecha de calificación de la invalidez o la fecha de la última cotización, al presumirse que hasta ese momento se conservó una fuerza de trabajo residual que le permitió ser laboralmente productivo. Lo anterior siempre que esté comprobado que las cotizaciones efectuadas responde a una efectiva prestación del servicio y no una intención de defraudar el sistema</w:t>
      </w:r>
      <w:r>
        <w:rPr>
          <w:rFonts w:ascii="Arial" w:eastAsia="Times New Roman" w:hAnsi="Arial" w:cs="Arial"/>
          <w:sz w:val="20"/>
          <w:szCs w:val="20"/>
          <w:lang w:val="es-CO" w:eastAsia="es-ES"/>
        </w:rPr>
        <w:t>…</w:t>
      </w:r>
    </w:p>
    <w:p w:rsidR="007817C9" w:rsidRDefault="007817C9" w:rsidP="002E5C36">
      <w:pPr>
        <w:spacing w:after="0" w:line="240" w:lineRule="auto"/>
        <w:jc w:val="both"/>
        <w:rPr>
          <w:rFonts w:ascii="Arial" w:eastAsia="Times New Roman" w:hAnsi="Arial" w:cs="Arial"/>
          <w:sz w:val="20"/>
          <w:szCs w:val="20"/>
          <w:lang w:val="es-419" w:eastAsia="es-ES"/>
        </w:rPr>
      </w:pPr>
    </w:p>
    <w:p w:rsidR="007817C9" w:rsidRPr="00473693" w:rsidRDefault="00473693" w:rsidP="00473693">
      <w:pPr>
        <w:spacing w:after="0" w:line="240" w:lineRule="auto"/>
        <w:jc w:val="both"/>
        <w:rPr>
          <w:rFonts w:ascii="Arial" w:eastAsia="Times New Roman" w:hAnsi="Arial" w:cs="Arial"/>
          <w:sz w:val="20"/>
          <w:szCs w:val="20"/>
          <w:lang w:val="es-CO" w:eastAsia="es-ES"/>
        </w:rPr>
      </w:pPr>
      <w:r w:rsidRPr="00473693">
        <w:rPr>
          <w:rFonts w:ascii="Arial" w:eastAsia="Times New Roman" w:hAnsi="Arial" w:cs="Arial"/>
          <w:sz w:val="20"/>
          <w:szCs w:val="20"/>
          <w:lang w:val="es-419" w:eastAsia="es-ES"/>
        </w:rPr>
        <w:t>Dicha afirmación</w:t>
      </w:r>
      <w:r>
        <w:rPr>
          <w:rFonts w:ascii="Arial" w:eastAsia="Times New Roman" w:hAnsi="Arial" w:cs="Arial"/>
          <w:sz w:val="20"/>
          <w:szCs w:val="20"/>
          <w:lang w:val="es-CO" w:eastAsia="es-ES"/>
        </w:rPr>
        <w:t xml:space="preserve"> (“</w:t>
      </w:r>
      <w:r w:rsidRPr="00473693">
        <w:rPr>
          <w:rFonts w:ascii="Arial" w:eastAsia="Times New Roman" w:hAnsi="Arial" w:cs="Arial"/>
          <w:sz w:val="20"/>
          <w:szCs w:val="20"/>
          <w:lang w:val="es-419" w:eastAsia="es-ES"/>
        </w:rPr>
        <w:t>Cotizaciones que fueron realizadas por la familia del accionante, con el fin de asegurarle un ingreso digno</w:t>
      </w:r>
      <w:r>
        <w:rPr>
          <w:rFonts w:ascii="Arial" w:eastAsia="Times New Roman" w:hAnsi="Arial" w:cs="Arial"/>
          <w:sz w:val="20"/>
          <w:szCs w:val="20"/>
          <w:lang w:val="es-CO" w:eastAsia="es-ES"/>
        </w:rPr>
        <w:t>”)</w:t>
      </w:r>
      <w:r w:rsidRPr="00473693">
        <w:rPr>
          <w:rFonts w:ascii="Arial" w:eastAsia="Times New Roman" w:hAnsi="Arial" w:cs="Arial"/>
          <w:sz w:val="20"/>
          <w:szCs w:val="20"/>
          <w:lang w:val="es-419" w:eastAsia="es-ES"/>
        </w:rPr>
        <w:t xml:space="preserve"> incorporada en el escrito introductorio basta para desvirtuar la presunción de que las semanas cotizadas al sistema pensional en efecto fueron realizadas en virtud de una fuerza de trabajo residual, pues la misma parte actora está aceptando que no ha trabajado y los aportes obedecen al deseo de su familia de obtener el reconocimiento pensional, situación que torna improcedente el reconocimiento</w:t>
      </w:r>
      <w:r>
        <w:rPr>
          <w:rFonts w:ascii="Arial" w:eastAsia="Times New Roman" w:hAnsi="Arial" w:cs="Arial"/>
          <w:sz w:val="20"/>
          <w:szCs w:val="20"/>
          <w:lang w:val="es-CO" w:eastAsia="es-ES"/>
        </w:rPr>
        <w:t>…</w:t>
      </w:r>
    </w:p>
    <w:p w:rsidR="002E5C36" w:rsidRPr="002E5C36" w:rsidRDefault="002E5C36" w:rsidP="002E5C36">
      <w:pPr>
        <w:spacing w:after="0" w:line="240" w:lineRule="auto"/>
        <w:jc w:val="both"/>
        <w:rPr>
          <w:rFonts w:ascii="Arial" w:eastAsia="Times New Roman" w:hAnsi="Arial" w:cs="Arial"/>
          <w:sz w:val="20"/>
          <w:szCs w:val="20"/>
          <w:lang w:eastAsia="es-ES"/>
        </w:rPr>
      </w:pPr>
    </w:p>
    <w:p w:rsidR="002E5C36" w:rsidRPr="002E5C36" w:rsidRDefault="002E5C36" w:rsidP="002E5C36">
      <w:pPr>
        <w:spacing w:after="0" w:line="240" w:lineRule="auto"/>
        <w:jc w:val="both"/>
        <w:rPr>
          <w:rFonts w:ascii="Arial" w:eastAsia="Times New Roman" w:hAnsi="Arial" w:cs="Arial"/>
          <w:sz w:val="20"/>
          <w:szCs w:val="20"/>
          <w:lang w:eastAsia="es-ES"/>
        </w:rPr>
      </w:pPr>
    </w:p>
    <w:p w:rsidR="002E5C36" w:rsidRPr="002E5C36" w:rsidRDefault="002E5C36" w:rsidP="002E5C36">
      <w:pPr>
        <w:spacing w:after="0" w:line="240" w:lineRule="auto"/>
        <w:jc w:val="both"/>
        <w:rPr>
          <w:rFonts w:ascii="Arial" w:eastAsia="Times New Roman" w:hAnsi="Arial" w:cs="Arial"/>
          <w:sz w:val="20"/>
          <w:szCs w:val="20"/>
          <w:lang w:eastAsia="es-ES"/>
        </w:rPr>
      </w:pPr>
    </w:p>
    <w:p w:rsidR="00935783" w:rsidRPr="0087379C" w:rsidRDefault="00935783" w:rsidP="002E5C36">
      <w:pPr>
        <w:keepNext/>
        <w:widowControl w:val="0"/>
        <w:autoSpaceDE w:val="0"/>
        <w:autoSpaceDN w:val="0"/>
        <w:adjustRightInd w:val="0"/>
        <w:spacing w:after="0" w:line="276" w:lineRule="auto"/>
        <w:jc w:val="center"/>
        <w:rPr>
          <w:rFonts w:ascii="Tahoma" w:hAnsi="Tahoma" w:cs="Tahoma"/>
          <w:b/>
          <w:bCs/>
          <w:spacing w:val="-4"/>
          <w:sz w:val="24"/>
          <w:szCs w:val="24"/>
        </w:rPr>
      </w:pPr>
      <w:r w:rsidRPr="0087379C">
        <w:rPr>
          <w:rFonts w:ascii="Tahoma" w:hAnsi="Tahoma" w:cs="Tahoma"/>
          <w:b/>
          <w:bCs/>
          <w:spacing w:val="-4"/>
          <w:sz w:val="24"/>
          <w:szCs w:val="24"/>
        </w:rPr>
        <w:t>TRIBUNAL SUPERIOR DEL DISTRITO JUDICIAL DE PEREIRA</w:t>
      </w:r>
    </w:p>
    <w:p w:rsidR="00BD3147" w:rsidRPr="0087379C" w:rsidRDefault="00935783" w:rsidP="002E5C36">
      <w:pPr>
        <w:keepNext/>
        <w:widowControl w:val="0"/>
        <w:autoSpaceDE w:val="0"/>
        <w:autoSpaceDN w:val="0"/>
        <w:adjustRightInd w:val="0"/>
        <w:spacing w:after="0" w:line="276" w:lineRule="auto"/>
        <w:jc w:val="center"/>
        <w:rPr>
          <w:rFonts w:ascii="Tahoma" w:hAnsi="Tahoma" w:cs="Tahoma"/>
          <w:b/>
          <w:bCs/>
          <w:spacing w:val="-4"/>
          <w:sz w:val="24"/>
          <w:szCs w:val="24"/>
        </w:rPr>
      </w:pPr>
      <w:r w:rsidRPr="0087379C">
        <w:rPr>
          <w:rFonts w:ascii="Tahoma" w:hAnsi="Tahoma" w:cs="Tahoma"/>
          <w:b/>
          <w:bCs/>
          <w:spacing w:val="-4"/>
          <w:sz w:val="24"/>
          <w:szCs w:val="24"/>
        </w:rPr>
        <w:t>SALA DE DECISIÓN LABORAL No. 1</w:t>
      </w:r>
    </w:p>
    <w:p w:rsidR="00935783" w:rsidRPr="0087379C" w:rsidRDefault="00935783" w:rsidP="002E5C36">
      <w:pPr>
        <w:pStyle w:val="Sinespaciado"/>
        <w:spacing w:line="276" w:lineRule="auto"/>
        <w:rPr>
          <w:rFonts w:ascii="Tahoma" w:hAnsi="Tahoma" w:cs="Tahoma"/>
          <w:spacing w:val="-4"/>
          <w:sz w:val="24"/>
          <w:szCs w:val="24"/>
        </w:rPr>
      </w:pPr>
    </w:p>
    <w:p w:rsidR="00935783" w:rsidRPr="0087379C" w:rsidRDefault="00935783" w:rsidP="002E5C36">
      <w:pPr>
        <w:autoSpaceDE w:val="0"/>
        <w:autoSpaceDN w:val="0"/>
        <w:adjustRightInd w:val="0"/>
        <w:spacing w:after="0" w:line="276" w:lineRule="auto"/>
        <w:jc w:val="center"/>
        <w:rPr>
          <w:rFonts w:ascii="Tahoma" w:hAnsi="Tahoma" w:cs="Tahoma"/>
          <w:b/>
          <w:bCs/>
          <w:spacing w:val="-4"/>
          <w:sz w:val="24"/>
          <w:szCs w:val="24"/>
        </w:rPr>
      </w:pPr>
      <w:r w:rsidRPr="0087379C">
        <w:rPr>
          <w:rFonts w:ascii="Tahoma" w:hAnsi="Tahoma" w:cs="Tahoma"/>
          <w:spacing w:val="-4"/>
          <w:sz w:val="24"/>
          <w:szCs w:val="24"/>
        </w:rPr>
        <w:t>Magistrada Ponente:</w:t>
      </w:r>
      <w:r w:rsidRPr="0087379C">
        <w:rPr>
          <w:rFonts w:ascii="Tahoma" w:hAnsi="Tahoma" w:cs="Tahoma"/>
          <w:b/>
          <w:bCs/>
          <w:spacing w:val="-4"/>
          <w:sz w:val="24"/>
          <w:szCs w:val="24"/>
        </w:rPr>
        <w:t xml:space="preserve"> Ana Lucía Caicedo Calderón</w:t>
      </w:r>
    </w:p>
    <w:p w:rsidR="00935783" w:rsidRPr="0087379C" w:rsidRDefault="00935783" w:rsidP="002E5C36">
      <w:pPr>
        <w:pStyle w:val="Sinespaciado"/>
        <w:spacing w:line="276" w:lineRule="auto"/>
        <w:rPr>
          <w:rFonts w:ascii="Tahoma" w:hAnsi="Tahoma" w:cs="Tahoma"/>
          <w:spacing w:val="-4"/>
          <w:sz w:val="24"/>
          <w:szCs w:val="24"/>
        </w:rPr>
      </w:pPr>
    </w:p>
    <w:p w:rsidR="00935783" w:rsidRPr="0087379C" w:rsidRDefault="00717844" w:rsidP="002E5C36">
      <w:pPr>
        <w:spacing w:after="0" w:line="276" w:lineRule="auto"/>
        <w:jc w:val="center"/>
        <w:rPr>
          <w:rFonts w:ascii="Tahoma" w:hAnsi="Tahoma" w:cs="Tahoma"/>
          <w:b/>
          <w:spacing w:val="-4"/>
          <w:sz w:val="24"/>
          <w:szCs w:val="24"/>
        </w:rPr>
      </w:pPr>
      <w:r w:rsidRPr="0087379C">
        <w:rPr>
          <w:rFonts w:ascii="Tahoma" w:hAnsi="Tahoma" w:cs="Tahoma"/>
          <w:b/>
          <w:spacing w:val="-4"/>
          <w:sz w:val="24"/>
          <w:szCs w:val="24"/>
        </w:rPr>
        <w:t>Acta No. __</w:t>
      </w:r>
    </w:p>
    <w:p w:rsidR="00935783" w:rsidRPr="0087379C" w:rsidRDefault="00935783" w:rsidP="002E5C36">
      <w:pPr>
        <w:spacing w:after="0" w:line="276" w:lineRule="auto"/>
        <w:jc w:val="center"/>
        <w:rPr>
          <w:rFonts w:ascii="Tahoma" w:hAnsi="Tahoma" w:cs="Tahoma"/>
          <w:b/>
          <w:spacing w:val="-4"/>
          <w:sz w:val="24"/>
          <w:szCs w:val="24"/>
        </w:rPr>
      </w:pPr>
      <w:r w:rsidRPr="0087379C">
        <w:rPr>
          <w:rFonts w:ascii="Tahoma" w:hAnsi="Tahoma" w:cs="Tahoma"/>
          <w:b/>
          <w:spacing w:val="-4"/>
          <w:sz w:val="24"/>
          <w:szCs w:val="24"/>
        </w:rPr>
        <w:t>(</w:t>
      </w:r>
      <w:r w:rsidR="00C36394" w:rsidRPr="0087379C">
        <w:rPr>
          <w:rFonts w:ascii="Tahoma" w:hAnsi="Tahoma" w:cs="Tahoma"/>
          <w:b/>
          <w:spacing w:val="-4"/>
          <w:sz w:val="24"/>
          <w:szCs w:val="24"/>
        </w:rPr>
        <w:t>Enero 24</w:t>
      </w:r>
      <w:r w:rsidR="00197D4B" w:rsidRPr="0087379C">
        <w:rPr>
          <w:rFonts w:ascii="Tahoma" w:hAnsi="Tahoma" w:cs="Tahoma"/>
          <w:b/>
          <w:spacing w:val="-4"/>
          <w:sz w:val="24"/>
          <w:szCs w:val="24"/>
        </w:rPr>
        <w:t xml:space="preserve"> de 2020</w:t>
      </w:r>
      <w:r w:rsidRPr="0087379C">
        <w:rPr>
          <w:rFonts w:ascii="Tahoma" w:hAnsi="Tahoma" w:cs="Tahoma"/>
          <w:b/>
          <w:spacing w:val="-4"/>
          <w:sz w:val="24"/>
          <w:szCs w:val="24"/>
        </w:rPr>
        <w:t>)</w:t>
      </w:r>
    </w:p>
    <w:p w:rsidR="00935783" w:rsidRPr="0087379C" w:rsidRDefault="00935783" w:rsidP="002E5C36">
      <w:pPr>
        <w:pStyle w:val="Sinespaciado"/>
        <w:spacing w:line="276" w:lineRule="auto"/>
        <w:rPr>
          <w:rFonts w:ascii="Tahoma" w:hAnsi="Tahoma" w:cs="Tahoma"/>
          <w:spacing w:val="-4"/>
          <w:sz w:val="24"/>
          <w:szCs w:val="24"/>
        </w:rPr>
      </w:pPr>
    </w:p>
    <w:p w:rsidR="000F7C73" w:rsidRPr="0087379C" w:rsidRDefault="00935783" w:rsidP="002E5C36">
      <w:pPr>
        <w:spacing w:after="0" w:line="276" w:lineRule="auto"/>
        <w:ind w:right="3" w:firstLine="708"/>
        <w:jc w:val="both"/>
        <w:rPr>
          <w:rFonts w:ascii="Tahoma" w:hAnsi="Tahoma" w:cs="Tahoma"/>
          <w:b/>
          <w:bCs/>
          <w:spacing w:val="-4"/>
          <w:sz w:val="24"/>
          <w:szCs w:val="24"/>
        </w:rPr>
      </w:pPr>
      <w:r w:rsidRPr="0087379C">
        <w:rPr>
          <w:rFonts w:ascii="Tahoma" w:hAnsi="Tahoma" w:cs="Tahoma"/>
          <w:iCs/>
          <w:spacing w:val="-4"/>
          <w:sz w:val="24"/>
          <w:szCs w:val="24"/>
        </w:rPr>
        <w:lastRenderedPageBreak/>
        <w:t>P</w:t>
      </w:r>
      <w:r w:rsidRPr="0087379C">
        <w:rPr>
          <w:rFonts w:ascii="Tahoma" w:hAnsi="Tahoma" w:cs="Tahoma"/>
          <w:spacing w:val="-4"/>
          <w:sz w:val="24"/>
          <w:szCs w:val="24"/>
        </w:rPr>
        <w:t>rocede la Judicatura a resolver la impugnación propues</w:t>
      </w:r>
      <w:r w:rsidR="0064332E" w:rsidRPr="0087379C">
        <w:rPr>
          <w:rFonts w:ascii="Tahoma" w:hAnsi="Tahoma" w:cs="Tahoma"/>
          <w:spacing w:val="-4"/>
          <w:sz w:val="24"/>
          <w:szCs w:val="24"/>
        </w:rPr>
        <w:t>ta contra el fallo proferido el</w:t>
      </w:r>
      <w:r w:rsidR="00541364" w:rsidRPr="0087379C">
        <w:rPr>
          <w:rFonts w:ascii="Tahoma" w:hAnsi="Tahoma" w:cs="Tahoma"/>
          <w:spacing w:val="-4"/>
          <w:sz w:val="24"/>
          <w:szCs w:val="24"/>
        </w:rPr>
        <w:t xml:space="preserve"> 5</w:t>
      </w:r>
      <w:r w:rsidR="004930E0" w:rsidRPr="0087379C">
        <w:rPr>
          <w:rFonts w:ascii="Tahoma" w:hAnsi="Tahoma" w:cs="Tahoma"/>
          <w:spacing w:val="-4"/>
          <w:sz w:val="24"/>
          <w:szCs w:val="24"/>
        </w:rPr>
        <w:t xml:space="preserve"> </w:t>
      </w:r>
      <w:r w:rsidR="002173B9" w:rsidRPr="0087379C">
        <w:rPr>
          <w:rFonts w:ascii="Tahoma" w:hAnsi="Tahoma" w:cs="Tahoma"/>
          <w:spacing w:val="-4"/>
          <w:sz w:val="24"/>
          <w:szCs w:val="24"/>
        </w:rPr>
        <w:t xml:space="preserve">de </w:t>
      </w:r>
      <w:r w:rsidR="00BD28A9" w:rsidRPr="0087379C">
        <w:rPr>
          <w:rFonts w:ascii="Tahoma" w:hAnsi="Tahoma" w:cs="Tahoma"/>
          <w:spacing w:val="-4"/>
          <w:sz w:val="24"/>
          <w:szCs w:val="24"/>
        </w:rPr>
        <w:t>noviembre</w:t>
      </w:r>
      <w:r w:rsidRPr="0087379C">
        <w:rPr>
          <w:rFonts w:ascii="Tahoma" w:hAnsi="Tahoma" w:cs="Tahoma"/>
          <w:spacing w:val="-4"/>
          <w:sz w:val="24"/>
          <w:szCs w:val="24"/>
        </w:rPr>
        <w:t xml:space="preserve"> </w:t>
      </w:r>
      <w:r w:rsidR="007955F0" w:rsidRPr="0087379C">
        <w:rPr>
          <w:rFonts w:ascii="Tahoma" w:hAnsi="Tahoma" w:cs="Tahoma"/>
          <w:spacing w:val="-4"/>
          <w:sz w:val="24"/>
          <w:szCs w:val="24"/>
        </w:rPr>
        <w:t>de 2019</w:t>
      </w:r>
      <w:r w:rsidRPr="0087379C">
        <w:rPr>
          <w:rFonts w:ascii="Tahoma" w:hAnsi="Tahoma" w:cs="Tahoma"/>
          <w:spacing w:val="-4"/>
          <w:sz w:val="24"/>
          <w:szCs w:val="24"/>
        </w:rPr>
        <w:t xml:space="preserve"> por el Juzgado</w:t>
      </w:r>
      <w:r w:rsidR="00541364" w:rsidRPr="0087379C">
        <w:rPr>
          <w:rFonts w:ascii="Tahoma" w:hAnsi="Tahoma" w:cs="Tahoma"/>
          <w:spacing w:val="-4"/>
          <w:sz w:val="24"/>
          <w:szCs w:val="24"/>
        </w:rPr>
        <w:t xml:space="preserve"> Tercero</w:t>
      </w:r>
      <w:r w:rsidRPr="0087379C">
        <w:rPr>
          <w:rFonts w:ascii="Tahoma" w:hAnsi="Tahoma" w:cs="Tahoma"/>
          <w:spacing w:val="-4"/>
          <w:sz w:val="24"/>
          <w:szCs w:val="24"/>
        </w:rPr>
        <w:t xml:space="preserve"> Laboral del Circuito de </w:t>
      </w:r>
      <w:r w:rsidR="002173B9" w:rsidRPr="0087379C">
        <w:rPr>
          <w:rFonts w:ascii="Tahoma" w:hAnsi="Tahoma" w:cs="Tahoma"/>
          <w:spacing w:val="-4"/>
          <w:sz w:val="24"/>
          <w:szCs w:val="24"/>
        </w:rPr>
        <w:t>Pereira</w:t>
      </w:r>
      <w:r w:rsidRPr="0087379C">
        <w:rPr>
          <w:rFonts w:ascii="Tahoma" w:hAnsi="Tahoma" w:cs="Tahoma"/>
          <w:spacing w:val="-4"/>
          <w:sz w:val="24"/>
          <w:szCs w:val="24"/>
        </w:rPr>
        <w:t>, dentro de la acción de tutela impetrada por</w:t>
      </w:r>
      <w:r w:rsidR="000E552F" w:rsidRPr="0087379C">
        <w:rPr>
          <w:rFonts w:ascii="Tahoma" w:hAnsi="Tahoma" w:cs="Tahoma"/>
          <w:spacing w:val="-4"/>
          <w:sz w:val="24"/>
          <w:szCs w:val="24"/>
        </w:rPr>
        <w:t xml:space="preserve"> el señor</w:t>
      </w:r>
      <w:r w:rsidR="000E552F" w:rsidRPr="0087379C">
        <w:rPr>
          <w:rFonts w:ascii="Tahoma" w:hAnsi="Tahoma" w:cs="Tahoma"/>
          <w:b/>
          <w:spacing w:val="-4"/>
          <w:sz w:val="24"/>
          <w:szCs w:val="24"/>
        </w:rPr>
        <w:t xml:space="preserve"> </w:t>
      </w:r>
      <w:proofErr w:type="spellStart"/>
      <w:r w:rsidR="00541364" w:rsidRPr="0087379C">
        <w:rPr>
          <w:rFonts w:ascii="Tahoma" w:hAnsi="Tahoma" w:cs="Tahoma"/>
          <w:b/>
          <w:spacing w:val="-4"/>
          <w:sz w:val="24"/>
          <w:szCs w:val="24"/>
        </w:rPr>
        <w:t>Bairon</w:t>
      </w:r>
      <w:proofErr w:type="spellEnd"/>
      <w:r w:rsidR="00541364" w:rsidRPr="0087379C">
        <w:rPr>
          <w:rFonts w:ascii="Tahoma" w:hAnsi="Tahoma" w:cs="Tahoma"/>
          <w:b/>
          <w:spacing w:val="-4"/>
          <w:sz w:val="24"/>
          <w:szCs w:val="24"/>
        </w:rPr>
        <w:t xml:space="preserve"> Aníbal Arboleda García</w:t>
      </w:r>
      <w:r w:rsidR="00DF03D8" w:rsidRPr="0087379C">
        <w:rPr>
          <w:rFonts w:ascii="Tahoma" w:hAnsi="Tahoma" w:cs="Tahoma"/>
          <w:b/>
          <w:spacing w:val="-4"/>
          <w:sz w:val="24"/>
          <w:szCs w:val="24"/>
        </w:rPr>
        <w:t xml:space="preserve">, </w:t>
      </w:r>
      <w:r w:rsidRPr="0087379C">
        <w:rPr>
          <w:rFonts w:ascii="Tahoma" w:hAnsi="Tahoma" w:cs="Tahoma"/>
          <w:spacing w:val="-4"/>
          <w:sz w:val="24"/>
          <w:szCs w:val="24"/>
        </w:rPr>
        <w:t xml:space="preserve">en </w:t>
      </w:r>
      <w:r w:rsidR="00E344B3" w:rsidRPr="0087379C">
        <w:rPr>
          <w:rFonts w:ascii="Tahoma" w:hAnsi="Tahoma" w:cs="Tahoma"/>
          <w:bCs/>
          <w:spacing w:val="-4"/>
          <w:sz w:val="24"/>
          <w:szCs w:val="24"/>
        </w:rPr>
        <w:t>contra d</w:t>
      </w:r>
      <w:r w:rsidR="00BD28A9" w:rsidRPr="0087379C">
        <w:rPr>
          <w:rFonts w:ascii="Tahoma" w:hAnsi="Tahoma" w:cs="Tahoma"/>
          <w:bCs/>
          <w:spacing w:val="-4"/>
          <w:sz w:val="24"/>
          <w:szCs w:val="24"/>
        </w:rPr>
        <w:t>e</w:t>
      </w:r>
      <w:r w:rsidR="00541364" w:rsidRPr="0087379C">
        <w:rPr>
          <w:rFonts w:ascii="Tahoma" w:hAnsi="Tahoma" w:cs="Tahoma"/>
          <w:bCs/>
          <w:spacing w:val="-4"/>
          <w:sz w:val="24"/>
          <w:szCs w:val="24"/>
        </w:rPr>
        <w:t xml:space="preserve"> </w:t>
      </w:r>
      <w:r w:rsidR="00BD28A9" w:rsidRPr="0087379C">
        <w:rPr>
          <w:rFonts w:ascii="Tahoma" w:hAnsi="Tahoma" w:cs="Tahoma"/>
          <w:bCs/>
          <w:spacing w:val="-4"/>
          <w:sz w:val="24"/>
          <w:szCs w:val="24"/>
        </w:rPr>
        <w:t>l</w:t>
      </w:r>
      <w:r w:rsidR="00541364" w:rsidRPr="0087379C">
        <w:rPr>
          <w:rFonts w:ascii="Tahoma" w:hAnsi="Tahoma" w:cs="Tahoma"/>
          <w:bCs/>
          <w:spacing w:val="-4"/>
          <w:sz w:val="24"/>
          <w:szCs w:val="24"/>
        </w:rPr>
        <w:t>a</w:t>
      </w:r>
      <w:r w:rsidR="00BD28A9" w:rsidRPr="0087379C">
        <w:rPr>
          <w:rFonts w:ascii="Tahoma" w:hAnsi="Tahoma" w:cs="Tahoma"/>
          <w:b/>
          <w:bCs/>
          <w:spacing w:val="-4"/>
          <w:sz w:val="24"/>
          <w:szCs w:val="24"/>
        </w:rPr>
        <w:t xml:space="preserve"> </w:t>
      </w:r>
      <w:r w:rsidR="00541364" w:rsidRPr="0087379C">
        <w:rPr>
          <w:rFonts w:ascii="Tahoma" w:hAnsi="Tahoma" w:cs="Tahoma"/>
          <w:b/>
          <w:bCs/>
          <w:spacing w:val="-4"/>
          <w:sz w:val="24"/>
          <w:szCs w:val="24"/>
        </w:rPr>
        <w:t xml:space="preserve">Administradora Colombiana de pensiones </w:t>
      </w:r>
      <w:r w:rsidR="00742055" w:rsidRPr="0087379C">
        <w:rPr>
          <w:rFonts w:ascii="Tahoma" w:hAnsi="Tahoma" w:cs="Tahoma"/>
          <w:b/>
          <w:bCs/>
          <w:spacing w:val="-4"/>
          <w:sz w:val="24"/>
          <w:szCs w:val="24"/>
        </w:rPr>
        <w:t>–</w:t>
      </w:r>
      <w:r w:rsidR="00541364" w:rsidRPr="0087379C">
        <w:rPr>
          <w:rFonts w:ascii="Tahoma" w:hAnsi="Tahoma" w:cs="Tahoma"/>
          <w:b/>
          <w:bCs/>
          <w:spacing w:val="-4"/>
          <w:sz w:val="24"/>
          <w:szCs w:val="24"/>
        </w:rPr>
        <w:t xml:space="preserve"> Colpensiones</w:t>
      </w:r>
      <w:r w:rsidR="005575A8" w:rsidRPr="0087379C">
        <w:rPr>
          <w:rFonts w:ascii="Tahoma" w:hAnsi="Tahoma" w:cs="Tahoma"/>
          <w:bCs/>
          <w:spacing w:val="-4"/>
          <w:sz w:val="24"/>
          <w:szCs w:val="24"/>
        </w:rPr>
        <w:t>,</w:t>
      </w:r>
      <w:r w:rsidRPr="0087379C">
        <w:rPr>
          <w:rFonts w:ascii="Tahoma" w:hAnsi="Tahoma" w:cs="Tahoma"/>
          <w:b/>
          <w:bCs/>
          <w:spacing w:val="-4"/>
          <w:sz w:val="24"/>
          <w:szCs w:val="24"/>
        </w:rPr>
        <w:t xml:space="preserve"> </w:t>
      </w:r>
      <w:r w:rsidRPr="0087379C">
        <w:rPr>
          <w:rFonts w:ascii="Tahoma" w:hAnsi="Tahoma" w:cs="Tahoma"/>
          <w:bCs/>
          <w:spacing w:val="-4"/>
          <w:sz w:val="24"/>
          <w:szCs w:val="24"/>
        </w:rPr>
        <w:t>por medio de la cual solicita que se ampar</w:t>
      </w:r>
      <w:r w:rsidR="004752E4" w:rsidRPr="0087379C">
        <w:rPr>
          <w:rFonts w:ascii="Tahoma" w:hAnsi="Tahoma" w:cs="Tahoma"/>
          <w:bCs/>
          <w:spacing w:val="-4"/>
          <w:sz w:val="24"/>
          <w:szCs w:val="24"/>
        </w:rPr>
        <w:t>e</w:t>
      </w:r>
      <w:r w:rsidR="000E552F" w:rsidRPr="0087379C">
        <w:rPr>
          <w:rFonts w:ascii="Tahoma" w:hAnsi="Tahoma" w:cs="Tahoma"/>
          <w:bCs/>
          <w:spacing w:val="-4"/>
          <w:sz w:val="24"/>
          <w:szCs w:val="24"/>
        </w:rPr>
        <w:t>n</w:t>
      </w:r>
      <w:r w:rsidRPr="0087379C">
        <w:rPr>
          <w:rFonts w:ascii="Tahoma" w:hAnsi="Tahoma" w:cs="Tahoma"/>
          <w:bCs/>
          <w:spacing w:val="-4"/>
          <w:sz w:val="24"/>
          <w:szCs w:val="24"/>
        </w:rPr>
        <w:t xml:space="preserve"> su</w:t>
      </w:r>
      <w:r w:rsidR="000E552F" w:rsidRPr="0087379C">
        <w:rPr>
          <w:rFonts w:ascii="Tahoma" w:hAnsi="Tahoma" w:cs="Tahoma"/>
          <w:bCs/>
          <w:spacing w:val="-4"/>
          <w:sz w:val="24"/>
          <w:szCs w:val="24"/>
        </w:rPr>
        <w:t>s</w:t>
      </w:r>
      <w:r w:rsidRPr="0087379C">
        <w:rPr>
          <w:rFonts w:ascii="Tahoma" w:hAnsi="Tahoma" w:cs="Tahoma"/>
          <w:bCs/>
          <w:spacing w:val="-4"/>
          <w:sz w:val="24"/>
          <w:szCs w:val="24"/>
        </w:rPr>
        <w:t xml:space="preserve"> derecho</w:t>
      </w:r>
      <w:r w:rsidR="000E552F" w:rsidRPr="0087379C">
        <w:rPr>
          <w:rFonts w:ascii="Tahoma" w:hAnsi="Tahoma" w:cs="Tahoma"/>
          <w:bCs/>
          <w:spacing w:val="-4"/>
          <w:sz w:val="24"/>
          <w:szCs w:val="24"/>
        </w:rPr>
        <w:t>s</w:t>
      </w:r>
      <w:r w:rsidR="004752E4" w:rsidRPr="0087379C">
        <w:rPr>
          <w:rFonts w:ascii="Tahoma" w:hAnsi="Tahoma" w:cs="Tahoma"/>
          <w:bCs/>
          <w:spacing w:val="-4"/>
          <w:sz w:val="24"/>
          <w:szCs w:val="24"/>
        </w:rPr>
        <w:t xml:space="preserve"> </w:t>
      </w:r>
      <w:r w:rsidR="00BD28A9" w:rsidRPr="0087379C">
        <w:rPr>
          <w:rFonts w:ascii="Tahoma" w:hAnsi="Tahoma" w:cs="Tahoma"/>
          <w:bCs/>
          <w:spacing w:val="-4"/>
          <w:sz w:val="24"/>
          <w:szCs w:val="24"/>
        </w:rPr>
        <w:t>fundamentales al</w:t>
      </w:r>
      <w:r w:rsidR="00541364" w:rsidRPr="0087379C">
        <w:rPr>
          <w:rFonts w:ascii="Tahoma" w:hAnsi="Tahoma" w:cs="Tahoma"/>
          <w:bCs/>
          <w:spacing w:val="-4"/>
          <w:sz w:val="24"/>
          <w:szCs w:val="24"/>
        </w:rPr>
        <w:t xml:space="preserve"> mínimo vital, seguridad social, vida en condiciones dignas e igualdad</w:t>
      </w:r>
      <w:r w:rsidR="00CE3471" w:rsidRPr="0087379C">
        <w:rPr>
          <w:rFonts w:ascii="Tahoma" w:hAnsi="Tahoma" w:cs="Tahoma"/>
          <w:bCs/>
          <w:spacing w:val="-4"/>
          <w:sz w:val="24"/>
          <w:szCs w:val="24"/>
        </w:rPr>
        <w:t>.</w:t>
      </w:r>
    </w:p>
    <w:p w:rsidR="00546DF5" w:rsidRPr="0087379C" w:rsidRDefault="00546DF5" w:rsidP="002E5C36">
      <w:pPr>
        <w:pStyle w:val="Sinespaciado"/>
        <w:spacing w:line="276" w:lineRule="auto"/>
        <w:rPr>
          <w:rFonts w:ascii="Tahoma" w:hAnsi="Tahoma" w:cs="Tahoma"/>
          <w:spacing w:val="-4"/>
          <w:sz w:val="24"/>
          <w:szCs w:val="24"/>
        </w:rPr>
      </w:pPr>
    </w:p>
    <w:p w:rsidR="00935783" w:rsidRPr="0087379C" w:rsidRDefault="00935783" w:rsidP="002E5C36">
      <w:pPr>
        <w:pStyle w:val="Ttulo4"/>
        <w:numPr>
          <w:ilvl w:val="0"/>
          <w:numId w:val="1"/>
        </w:numPr>
        <w:tabs>
          <w:tab w:val="clear" w:pos="1080"/>
          <w:tab w:val="left" w:pos="426"/>
        </w:tabs>
        <w:spacing w:line="276" w:lineRule="auto"/>
        <w:ind w:left="0" w:firstLine="0"/>
        <w:rPr>
          <w:rFonts w:ascii="Tahoma" w:hAnsi="Tahoma" w:cs="Tahoma"/>
          <w:spacing w:val="-4"/>
          <w:szCs w:val="24"/>
        </w:rPr>
      </w:pPr>
      <w:r w:rsidRPr="0087379C">
        <w:rPr>
          <w:rFonts w:ascii="Tahoma" w:hAnsi="Tahoma" w:cs="Tahoma"/>
          <w:spacing w:val="-4"/>
          <w:szCs w:val="24"/>
        </w:rPr>
        <w:t>La demanda</w:t>
      </w:r>
    </w:p>
    <w:p w:rsidR="00935783" w:rsidRPr="0087379C" w:rsidRDefault="00935783" w:rsidP="002E5C36">
      <w:pPr>
        <w:pStyle w:val="Sinespaciado"/>
        <w:spacing w:line="276" w:lineRule="auto"/>
        <w:rPr>
          <w:rFonts w:ascii="Tahoma" w:hAnsi="Tahoma" w:cs="Tahoma"/>
          <w:spacing w:val="-4"/>
          <w:sz w:val="24"/>
          <w:szCs w:val="24"/>
        </w:rPr>
      </w:pPr>
    </w:p>
    <w:p w:rsidR="00825E53" w:rsidRPr="0087379C" w:rsidRDefault="006275B1" w:rsidP="002E5C36">
      <w:pPr>
        <w:spacing w:after="0" w:line="276" w:lineRule="auto"/>
        <w:ind w:right="-187"/>
        <w:jc w:val="both"/>
        <w:rPr>
          <w:rFonts w:ascii="Tahoma" w:hAnsi="Tahoma" w:cs="Tahoma"/>
          <w:bCs/>
          <w:spacing w:val="-4"/>
          <w:sz w:val="24"/>
          <w:szCs w:val="24"/>
        </w:rPr>
      </w:pPr>
      <w:r w:rsidRPr="0087379C">
        <w:rPr>
          <w:rFonts w:ascii="Tahoma" w:hAnsi="Tahoma" w:cs="Tahoma"/>
          <w:spacing w:val="-4"/>
          <w:sz w:val="24"/>
          <w:szCs w:val="24"/>
        </w:rPr>
        <w:t xml:space="preserve">      </w:t>
      </w:r>
      <w:r w:rsidRPr="0087379C">
        <w:rPr>
          <w:rFonts w:ascii="Tahoma" w:hAnsi="Tahoma" w:cs="Tahoma"/>
          <w:spacing w:val="-4"/>
          <w:sz w:val="24"/>
          <w:szCs w:val="24"/>
        </w:rPr>
        <w:tab/>
        <w:t xml:space="preserve">El </w:t>
      </w:r>
      <w:r w:rsidR="00BF2DB7" w:rsidRPr="0087379C">
        <w:rPr>
          <w:rFonts w:ascii="Tahoma" w:hAnsi="Tahoma" w:cs="Tahoma"/>
          <w:spacing w:val="-4"/>
          <w:sz w:val="24"/>
          <w:szCs w:val="24"/>
        </w:rPr>
        <w:t>señor Arboleda García</w:t>
      </w:r>
      <w:r w:rsidR="00935783" w:rsidRPr="0087379C">
        <w:rPr>
          <w:rFonts w:ascii="Tahoma" w:hAnsi="Tahoma" w:cs="Tahoma"/>
          <w:spacing w:val="-4"/>
          <w:sz w:val="24"/>
          <w:szCs w:val="24"/>
        </w:rPr>
        <w:t xml:space="preserve"> solicita que se</w:t>
      </w:r>
      <w:r w:rsidR="005575A8" w:rsidRPr="0087379C">
        <w:rPr>
          <w:rFonts w:ascii="Tahoma" w:hAnsi="Tahoma" w:cs="Tahoma"/>
          <w:spacing w:val="-4"/>
          <w:sz w:val="24"/>
          <w:szCs w:val="24"/>
        </w:rPr>
        <w:t xml:space="preserve"> tutelen sus derechos </w:t>
      </w:r>
      <w:r w:rsidR="00825E53" w:rsidRPr="0087379C">
        <w:rPr>
          <w:rFonts w:ascii="Tahoma" w:hAnsi="Tahoma" w:cs="Tahoma"/>
          <w:bCs/>
          <w:spacing w:val="-4"/>
          <w:sz w:val="24"/>
          <w:szCs w:val="24"/>
        </w:rPr>
        <w:t xml:space="preserve">fundamentales al mínimo vital, seguridad social, vida en condiciones dignas e igualdad </w:t>
      </w:r>
      <w:r w:rsidR="0080141A" w:rsidRPr="0087379C">
        <w:rPr>
          <w:rFonts w:ascii="Tahoma" w:hAnsi="Tahoma" w:cs="Tahoma"/>
          <w:spacing w:val="-4"/>
          <w:sz w:val="24"/>
          <w:szCs w:val="24"/>
        </w:rPr>
        <w:t>y</w:t>
      </w:r>
      <w:r w:rsidR="00DF03D8" w:rsidRPr="0087379C">
        <w:rPr>
          <w:rFonts w:ascii="Tahoma" w:hAnsi="Tahoma" w:cs="Tahoma"/>
          <w:spacing w:val="-4"/>
          <w:sz w:val="24"/>
          <w:szCs w:val="24"/>
        </w:rPr>
        <w:t>, en consecuencia,</w:t>
      </w:r>
      <w:r w:rsidR="00EA3CA7" w:rsidRPr="0087379C">
        <w:rPr>
          <w:rFonts w:ascii="Tahoma" w:hAnsi="Tahoma" w:cs="Tahoma"/>
          <w:spacing w:val="-4"/>
          <w:sz w:val="24"/>
          <w:szCs w:val="24"/>
        </w:rPr>
        <w:t xml:space="preserve"> se le ordene a</w:t>
      </w:r>
      <w:r w:rsidR="00825E53" w:rsidRPr="0087379C">
        <w:rPr>
          <w:rFonts w:ascii="Tahoma" w:hAnsi="Tahoma" w:cs="Tahoma"/>
          <w:spacing w:val="-4"/>
          <w:sz w:val="24"/>
          <w:szCs w:val="24"/>
        </w:rPr>
        <w:t xml:space="preserve"> </w:t>
      </w:r>
      <w:r w:rsidR="00EA3CA7" w:rsidRPr="0087379C">
        <w:rPr>
          <w:rFonts w:ascii="Tahoma" w:hAnsi="Tahoma" w:cs="Tahoma"/>
          <w:spacing w:val="-4"/>
          <w:sz w:val="24"/>
          <w:szCs w:val="24"/>
        </w:rPr>
        <w:t>l</w:t>
      </w:r>
      <w:r w:rsidR="00825E53" w:rsidRPr="0087379C">
        <w:rPr>
          <w:rFonts w:ascii="Tahoma" w:hAnsi="Tahoma" w:cs="Tahoma"/>
          <w:spacing w:val="-4"/>
          <w:sz w:val="24"/>
          <w:szCs w:val="24"/>
        </w:rPr>
        <w:t>a</w:t>
      </w:r>
      <w:r w:rsidR="00EA3CA7" w:rsidRPr="0087379C">
        <w:rPr>
          <w:rFonts w:ascii="Tahoma" w:hAnsi="Tahoma" w:cs="Tahoma"/>
          <w:spacing w:val="-4"/>
          <w:sz w:val="24"/>
          <w:szCs w:val="24"/>
        </w:rPr>
        <w:t xml:space="preserve"> </w:t>
      </w:r>
      <w:r w:rsidR="00DF03D8" w:rsidRPr="0087379C">
        <w:rPr>
          <w:rFonts w:ascii="Tahoma" w:hAnsi="Tahoma" w:cs="Tahoma"/>
          <w:bCs/>
          <w:spacing w:val="-4"/>
          <w:sz w:val="24"/>
          <w:szCs w:val="24"/>
        </w:rPr>
        <w:t>Administradora Colombiana de P</w:t>
      </w:r>
      <w:r w:rsidR="00825E53" w:rsidRPr="0087379C">
        <w:rPr>
          <w:rFonts w:ascii="Tahoma" w:hAnsi="Tahoma" w:cs="Tahoma"/>
          <w:bCs/>
          <w:spacing w:val="-4"/>
          <w:sz w:val="24"/>
          <w:szCs w:val="24"/>
        </w:rPr>
        <w:t>ensiones – Colpensiones que en el término de 48 horas,</w:t>
      </w:r>
      <w:r w:rsidR="00DF03D8" w:rsidRPr="0087379C">
        <w:rPr>
          <w:rFonts w:ascii="Tahoma" w:hAnsi="Tahoma" w:cs="Tahoma"/>
          <w:bCs/>
          <w:spacing w:val="-4"/>
          <w:sz w:val="24"/>
          <w:szCs w:val="24"/>
        </w:rPr>
        <w:t xml:space="preserve"> proceda a reconocer y pagar a su favor </w:t>
      </w:r>
      <w:r w:rsidR="00825E53" w:rsidRPr="0087379C">
        <w:rPr>
          <w:rFonts w:ascii="Tahoma" w:hAnsi="Tahoma" w:cs="Tahoma"/>
          <w:bCs/>
          <w:spacing w:val="-4"/>
          <w:sz w:val="24"/>
          <w:szCs w:val="24"/>
        </w:rPr>
        <w:t>pensión de invalidez</w:t>
      </w:r>
      <w:r w:rsidR="00DF03D8" w:rsidRPr="0087379C">
        <w:rPr>
          <w:rFonts w:ascii="Tahoma" w:hAnsi="Tahoma" w:cs="Tahoma"/>
          <w:bCs/>
          <w:spacing w:val="-4"/>
          <w:sz w:val="24"/>
          <w:szCs w:val="24"/>
        </w:rPr>
        <w:t xml:space="preserve"> a partir del </w:t>
      </w:r>
      <w:r w:rsidR="00825E53" w:rsidRPr="0087379C">
        <w:rPr>
          <w:rFonts w:ascii="Tahoma" w:hAnsi="Tahoma" w:cs="Tahoma"/>
          <w:bCs/>
          <w:spacing w:val="-4"/>
          <w:sz w:val="24"/>
          <w:szCs w:val="24"/>
        </w:rPr>
        <w:t xml:space="preserve">30 de septiembre de 2019 o en su defecto, </w:t>
      </w:r>
      <w:r w:rsidR="00DF03D8" w:rsidRPr="0087379C">
        <w:rPr>
          <w:rFonts w:ascii="Tahoma" w:hAnsi="Tahoma" w:cs="Tahoma"/>
          <w:bCs/>
          <w:spacing w:val="-4"/>
          <w:sz w:val="24"/>
          <w:szCs w:val="24"/>
        </w:rPr>
        <w:t xml:space="preserve">desde </w:t>
      </w:r>
      <w:r w:rsidR="00DC3DC8" w:rsidRPr="0087379C">
        <w:rPr>
          <w:rFonts w:ascii="Tahoma" w:hAnsi="Tahoma" w:cs="Tahoma"/>
          <w:bCs/>
          <w:spacing w:val="-4"/>
          <w:sz w:val="24"/>
          <w:szCs w:val="24"/>
        </w:rPr>
        <w:t>el 26 de agosto de 2013</w:t>
      </w:r>
      <w:r w:rsidR="00825E53" w:rsidRPr="0087379C">
        <w:rPr>
          <w:rFonts w:ascii="Tahoma" w:hAnsi="Tahoma" w:cs="Tahoma"/>
          <w:bCs/>
          <w:spacing w:val="-4"/>
          <w:sz w:val="24"/>
          <w:szCs w:val="24"/>
        </w:rPr>
        <w:t xml:space="preserve"> </w:t>
      </w:r>
      <w:r w:rsidR="00DC3DC8" w:rsidRPr="0087379C">
        <w:rPr>
          <w:rFonts w:ascii="Tahoma" w:hAnsi="Tahoma" w:cs="Tahoma"/>
          <w:bCs/>
          <w:spacing w:val="-4"/>
          <w:sz w:val="24"/>
          <w:szCs w:val="24"/>
        </w:rPr>
        <w:t>-</w:t>
      </w:r>
      <w:r w:rsidR="00825E53" w:rsidRPr="0087379C">
        <w:rPr>
          <w:rFonts w:ascii="Tahoma" w:hAnsi="Tahoma" w:cs="Tahoma"/>
          <w:bCs/>
          <w:spacing w:val="-4"/>
          <w:sz w:val="24"/>
          <w:szCs w:val="24"/>
        </w:rPr>
        <w:t xml:space="preserve">fecha del dictamen de </w:t>
      </w:r>
      <w:r w:rsidR="00DC3DC8" w:rsidRPr="0087379C">
        <w:rPr>
          <w:rFonts w:ascii="Tahoma" w:hAnsi="Tahoma" w:cs="Tahoma"/>
          <w:bCs/>
          <w:spacing w:val="-4"/>
          <w:sz w:val="24"/>
          <w:szCs w:val="24"/>
        </w:rPr>
        <w:t>pérdida de capacidad laboral-</w:t>
      </w:r>
      <w:r w:rsidR="00825E53" w:rsidRPr="0087379C">
        <w:rPr>
          <w:rFonts w:ascii="Tahoma" w:hAnsi="Tahoma" w:cs="Tahoma"/>
          <w:bCs/>
          <w:spacing w:val="-4"/>
          <w:sz w:val="24"/>
          <w:szCs w:val="24"/>
        </w:rPr>
        <w:t xml:space="preserve">. </w:t>
      </w:r>
      <w:r w:rsidR="00DF03D8" w:rsidRPr="0087379C">
        <w:rPr>
          <w:rFonts w:ascii="Tahoma" w:hAnsi="Tahoma" w:cs="Tahoma"/>
          <w:bCs/>
          <w:spacing w:val="-4"/>
          <w:sz w:val="24"/>
          <w:szCs w:val="24"/>
        </w:rPr>
        <w:t>Subsidiariamente pretende que la orden se emita como mecanismo transitorio, mientras acude a la jurisdicción ordinaria en procura de una decisión definitiva sobre el reconocimiento pensional.</w:t>
      </w:r>
    </w:p>
    <w:p w:rsidR="00935783" w:rsidRPr="0087379C" w:rsidRDefault="000822E1" w:rsidP="002E5C36">
      <w:pPr>
        <w:spacing w:after="0" w:line="276" w:lineRule="auto"/>
        <w:ind w:right="-187"/>
        <w:jc w:val="both"/>
        <w:rPr>
          <w:rFonts w:ascii="Tahoma" w:hAnsi="Tahoma" w:cs="Tahoma"/>
          <w:spacing w:val="-4"/>
          <w:sz w:val="24"/>
          <w:szCs w:val="24"/>
        </w:rPr>
      </w:pPr>
      <w:r w:rsidRPr="0087379C">
        <w:rPr>
          <w:rFonts w:ascii="Tahoma" w:hAnsi="Tahoma" w:cs="Tahoma"/>
          <w:spacing w:val="-4"/>
          <w:sz w:val="24"/>
          <w:szCs w:val="24"/>
        </w:rPr>
        <w:t xml:space="preserve">                                                                                                                                      </w:t>
      </w:r>
    </w:p>
    <w:p w:rsidR="00A25578" w:rsidRPr="0087379C" w:rsidRDefault="00935783" w:rsidP="002E5C36">
      <w:pPr>
        <w:spacing w:after="0" w:line="276" w:lineRule="auto"/>
        <w:ind w:right="-187" w:firstLine="708"/>
        <w:jc w:val="both"/>
        <w:rPr>
          <w:rFonts w:ascii="Tahoma" w:hAnsi="Tahoma" w:cs="Tahoma"/>
          <w:spacing w:val="-4"/>
          <w:sz w:val="24"/>
          <w:szCs w:val="24"/>
        </w:rPr>
      </w:pPr>
      <w:r w:rsidRPr="0087379C">
        <w:rPr>
          <w:rFonts w:ascii="Tahoma" w:hAnsi="Tahoma" w:cs="Tahoma"/>
          <w:spacing w:val="-4"/>
          <w:sz w:val="24"/>
          <w:szCs w:val="24"/>
        </w:rPr>
        <w:t>Para</w:t>
      </w:r>
      <w:r w:rsidR="006275B1" w:rsidRPr="0087379C">
        <w:rPr>
          <w:rFonts w:ascii="Tahoma" w:hAnsi="Tahoma" w:cs="Tahoma"/>
          <w:spacing w:val="-4"/>
          <w:sz w:val="24"/>
          <w:szCs w:val="24"/>
        </w:rPr>
        <w:t xml:space="preserve"> fundar dichas pretensiones, </w:t>
      </w:r>
      <w:r w:rsidR="00ED3895" w:rsidRPr="0087379C">
        <w:rPr>
          <w:rFonts w:ascii="Tahoma" w:hAnsi="Tahoma" w:cs="Tahoma"/>
          <w:spacing w:val="-4"/>
          <w:sz w:val="24"/>
          <w:szCs w:val="24"/>
        </w:rPr>
        <w:t xml:space="preserve">manifestó que nació el 21 de mayo de 1965; que pertenece al régimen subsidiado en salud; que fue diagnosticado con </w:t>
      </w:r>
      <w:r w:rsidR="006F4CEE" w:rsidRPr="0087379C">
        <w:rPr>
          <w:rFonts w:ascii="Tahoma" w:hAnsi="Tahoma" w:cs="Tahoma"/>
          <w:spacing w:val="-4"/>
          <w:sz w:val="24"/>
          <w:szCs w:val="24"/>
        </w:rPr>
        <w:t xml:space="preserve">secuelas de síndrome </w:t>
      </w:r>
      <w:r w:rsidR="00F036E3" w:rsidRPr="0087379C">
        <w:rPr>
          <w:rFonts w:ascii="Tahoma" w:hAnsi="Tahoma" w:cs="Tahoma"/>
          <w:spacing w:val="-4"/>
          <w:sz w:val="24"/>
          <w:szCs w:val="24"/>
        </w:rPr>
        <w:t>d</w:t>
      </w:r>
      <w:r w:rsidR="006F4CEE" w:rsidRPr="0087379C">
        <w:rPr>
          <w:rFonts w:ascii="Tahoma" w:hAnsi="Tahoma" w:cs="Tahoma"/>
          <w:spacing w:val="-4"/>
          <w:sz w:val="24"/>
          <w:szCs w:val="24"/>
        </w:rPr>
        <w:t>e malformación congénita ocular, glucoma congénito, ceguera bilate</w:t>
      </w:r>
      <w:r w:rsidR="00ED3895" w:rsidRPr="0087379C">
        <w:rPr>
          <w:rFonts w:ascii="Tahoma" w:hAnsi="Tahoma" w:cs="Tahoma"/>
          <w:spacing w:val="-4"/>
          <w:sz w:val="24"/>
          <w:szCs w:val="24"/>
        </w:rPr>
        <w:t xml:space="preserve">ral, hipoacusia mixta bilateral y mastoiditis crónica; motivo por el cual le fue asignada una pérdida de capacidad laboral del </w:t>
      </w:r>
      <w:r w:rsidR="006F4CEE" w:rsidRPr="0087379C">
        <w:rPr>
          <w:rFonts w:ascii="Tahoma" w:hAnsi="Tahoma" w:cs="Tahoma"/>
          <w:spacing w:val="-4"/>
          <w:sz w:val="24"/>
          <w:szCs w:val="24"/>
        </w:rPr>
        <w:t xml:space="preserve">64.28% </w:t>
      </w:r>
      <w:r w:rsidR="00ED3895" w:rsidRPr="0087379C">
        <w:rPr>
          <w:rFonts w:ascii="Tahoma" w:hAnsi="Tahoma" w:cs="Tahoma"/>
          <w:spacing w:val="-4"/>
          <w:sz w:val="24"/>
          <w:szCs w:val="24"/>
        </w:rPr>
        <w:t xml:space="preserve">de origen común y </w:t>
      </w:r>
      <w:r w:rsidR="006F4CEE" w:rsidRPr="0087379C">
        <w:rPr>
          <w:rFonts w:ascii="Tahoma" w:hAnsi="Tahoma" w:cs="Tahoma"/>
          <w:spacing w:val="-4"/>
          <w:sz w:val="24"/>
          <w:szCs w:val="24"/>
        </w:rPr>
        <w:t xml:space="preserve">fecha de estructuración del 21 de mayo de 1956, mediante dictamen No. 201322097NN del 26 de agosto de 2013 proferido </w:t>
      </w:r>
      <w:r w:rsidR="00ED3895" w:rsidRPr="0087379C">
        <w:rPr>
          <w:rFonts w:ascii="Tahoma" w:hAnsi="Tahoma" w:cs="Tahoma"/>
          <w:spacing w:val="-4"/>
          <w:sz w:val="24"/>
          <w:szCs w:val="24"/>
        </w:rPr>
        <w:t xml:space="preserve">por </w:t>
      </w:r>
      <w:r w:rsidR="006F4CEE" w:rsidRPr="0087379C">
        <w:rPr>
          <w:rFonts w:ascii="Tahoma" w:hAnsi="Tahoma" w:cs="Tahoma"/>
          <w:spacing w:val="-4"/>
          <w:sz w:val="24"/>
          <w:szCs w:val="24"/>
        </w:rPr>
        <w:t>Colpensiones</w:t>
      </w:r>
      <w:r w:rsidR="00ED3895" w:rsidRPr="0087379C">
        <w:rPr>
          <w:rFonts w:ascii="Tahoma" w:hAnsi="Tahoma" w:cs="Tahoma"/>
          <w:spacing w:val="-4"/>
          <w:sz w:val="24"/>
          <w:szCs w:val="24"/>
        </w:rPr>
        <w:t>.</w:t>
      </w:r>
    </w:p>
    <w:p w:rsidR="00A25578" w:rsidRPr="0087379C" w:rsidRDefault="00A25578" w:rsidP="002E5C36">
      <w:pPr>
        <w:pStyle w:val="Sinespaciado"/>
        <w:spacing w:line="276" w:lineRule="auto"/>
        <w:rPr>
          <w:rFonts w:ascii="Tahoma" w:hAnsi="Tahoma" w:cs="Tahoma"/>
          <w:spacing w:val="-4"/>
          <w:sz w:val="24"/>
          <w:szCs w:val="24"/>
        </w:rPr>
      </w:pPr>
    </w:p>
    <w:p w:rsidR="0065623E" w:rsidRPr="0087379C" w:rsidRDefault="00ED3895" w:rsidP="002E5C36">
      <w:pPr>
        <w:spacing w:after="0" w:line="276" w:lineRule="auto"/>
        <w:ind w:right="-187" w:firstLine="708"/>
        <w:jc w:val="both"/>
        <w:rPr>
          <w:rFonts w:ascii="Tahoma" w:hAnsi="Tahoma" w:cs="Tahoma"/>
          <w:spacing w:val="-4"/>
          <w:sz w:val="24"/>
          <w:szCs w:val="24"/>
        </w:rPr>
      </w:pPr>
      <w:r w:rsidRPr="0087379C">
        <w:rPr>
          <w:rFonts w:ascii="Tahoma" w:hAnsi="Tahoma" w:cs="Tahoma"/>
          <w:spacing w:val="-4"/>
          <w:sz w:val="24"/>
          <w:szCs w:val="24"/>
        </w:rPr>
        <w:t xml:space="preserve">Afirmó que </w:t>
      </w:r>
      <w:r w:rsidR="006F4CEE" w:rsidRPr="0087379C">
        <w:rPr>
          <w:rFonts w:ascii="Tahoma" w:hAnsi="Tahoma" w:cs="Tahoma"/>
          <w:spacing w:val="-4"/>
          <w:sz w:val="24"/>
          <w:szCs w:val="24"/>
        </w:rPr>
        <w:t xml:space="preserve">se encuentra </w:t>
      </w:r>
      <w:r w:rsidRPr="0087379C">
        <w:rPr>
          <w:rFonts w:ascii="Tahoma" w:hAnsi="Tahoma" w:cs="Tahoma"/>
          <w:spacing w:val="-4"/>
          <w:sz w:val="24"/>
          <w:szCs w:val="24"/>
        </w:rPr>
        <w:t>a</w:t>
      </w:r>
      <w:r w:rsidR="006F4CEE" w:rsidRPr="0087379C">
        <w:rPr>
          <w:rFonts w:ascii="Tahoma" w:hAnsi="Tahoma" w:cs="Tahoma"/>
          <w:spacing w:val="-4"/>
          <w:sz w:val="24"/>
          <w:szCs w:val="24"/>
        </w:rPr>
        <w:t>filiado a Colpensiones desde el 1</w:t>
      </w:r>
      <w:r w:rsidR="00E53821" w:rsidRPr="0087379C">
        <w:rPr>
          <w:rFonts w:ascii="Tahoma" w:hAnsi="Tahoma" w:cs="Tahoma"/>
          <w:spacing w:val="-4"/>
          <w:sz w:val="24"/>
          <w:szCs w:val="24"/>
        </w:rPr>
        <w:t xml:space="preserve">º </w:t>
      </w:r>
      <w:r w:rsidR="006F4CEE" w:rsidRPr="0087379C">
        <w:rPr>
          <w:rFonts w:ascii="Tahoma" w:hAnsi="Tahoma" w:cs="Tahoma"/>
          <w:spacing w:val="-4"/>
          <w:sz w:val="24"/>
          <w:szCs w:val="24"/>
        </w:rPr>
        <w:t>de abril de 1998</w:t>
      </w:r>
      <w:r w:rsidRPr="0087379C">
        <w:rPr>
          <w:rFonts w:ascii="Tahoma" w:hAnsi="Tahoma" w:cs="Tahoma"/>
          <w:spacing w:val="-4"/>
          <w:sz w:val="24"/>
          <w:szCs w:val="24"/>
        </w:rPr>
        <w:t xml:space="preserve"> y en toda su vida ha cotizado un total</w:t>
      </w:r>
      <w:r w:rsidR="006F4CEE" w:rsidRPr="0087379C">
        <w:rPr>
          <w:rFonts w:ascii="Tahoma" w:hAnsi="Tahoma" w:cs="Tahoma"/>
          <w:spacing w:val="-4"/>
          <w:sz w:val="24"/>
          <w:szCs w:val="24"/>
        </w:rPr>
        <w:t xml:space="preserve"> de 905.57 semanas</w:t>
      </w:r>
      <w:r w:rsidRPr="0087379C">
        <w:rPr>
          <w:rFonts w:ascii="Tahoma" w:hAnsi="Tahoma" w:cs="Tahoma"/>
          <w:spacing w:val="-4"/>
          <w:sz w:val="24"/>
          <w:szCs w:val="24"/>
        </w:rPr>
        <w:t xml:space="preserve">, </w:t>
      </w:r>
      <w:r w:rsidR="00E53821" w:rsidRPr="0087379C">
        <w:rPr>
          <w:rFonts w:ascii="Tahoma" w:hAnsi="Tahoma" w:cs="Tahoma"/>
          <w:spacing w:val="-4"/>
          <w:sz w:val="24"/>
          <w:szCs w:val="24"/>
        </w:rPr>
        <w:t>las cuales fueron</w:t>
      </w:r>
      <w:r w:rsidRPr="0087379C">
        <w:rPr>
          <w:rFonts w:ascii="Tahoma" w:hAnsi="Tahoma" w:cs="Tahoma"/>
          <w:spacing w:val="-4"/>
          <w:sz w:val="24"/>
          <w:szCs w:val="24"/>
        </w:rPr>
        <w:t xml:space="preserve"> asumidas por su familia con la finalidad de asegurarle un</w:t>
      </w:r>
      <w:r w:rsidR="006F4CEE" w:rsidRPr="0087379C">
        <w:rPr>
          <w:rFonts w:ascii="Tahoma" w:hAnsi="Tahoma" w:cs="Tahoma"/>
          <w:spacing w:val="-4"/>
          <w:sz w:val="24"/>
          <w:szCs w:val="24"/>
        </w:rPr>
        <w:t xml:space="preserve"> ingreso digno</w:t>
      </w:r>
      <w:r w:rsidR="0065623E" w:rsidRPr="0087379C">
        <w:rPr>
          <w:rFonts w:ascii="Tahoma" w:hAnsi="Tahoma" w:cs="Tahoma"/>
          <w:spacing w:val="-4"/>
          <w:sz w:val="24"/>
          <w:szCs w:val="24"/>
        </w:rPr>
        <w:t>.</w:t>
      </w:r>
      <w:r w:rsidR="00B90DA2" w:rsidRPr="0087379C">
        <w:rPr>
          <w:rFonts w:ascii="Tahoma" w:hAnsi="Tahoma" w:cs="Tahoma"/>
          <w:spacing w:val="-4"/>
          <w:sz w:val="24"/>
          <w:szCs w:val="24"/>
        </w:rPr>
        <w:t xml:space="preserve"> </w:t>
      </w:r>
    </w:p>
    <w:p w:rsidR="00ED3895" w:rsidRPr="0087379C" w:rsidRDefault="00ED3895" w:rsidP="002E5C36">
      <w:pPr>
        <w:pStyle w:val="Sinespaciado"/>
        <w:spacing w:line="276" w:lineRule="auto"/>
        <w:rPr>
          <w:rFonts w:ascii="Tahoma" w:hAnsi="Tahoma" w:cs="Tahoma"/>
          <w:spacing w:val="-4"/>
          <w:sz w:val="24"/>
          <w:szCs w:val="24"/>
        </w:rPr>
      </w:pPr>
    </w:p>
    <w:p w:rsidR="006470FD" w:rsidRPr="0087379C" w:rsidRDefault="00ED3895" w:rsidP="002E5C36">
      <w:pPr>
        <w:spacing w:after="0" w:line="276" w:lineRule="auto"/>
        <w:ind w:right="-187" w:firstLine="708"/>
        <w:jc w:val="both"/>
        <w:rPr>
          <w:rFonts w:ascii="Tahoma" w:hAnsi="Tahoma" w:cs="Tahoma"/>
          <w:spacing w:val="-4"/>
          <w:sz w:val="24"/>
          <w:szCs w:val="24"/>
        </w:rPr>
      </w:pPr>
      <w:r w:rsidRPr="0087379C">
        <w:rPr>
          <w:rFonts w:ascii="Tahoma" w:hAnsi="Tahoma" w:cs="Tahoma"/>
          <w:spacing w:val="-4"/>
          <w:sz w:val="24"/>
          <w:szCs w:val="24"/>
        </w:rPr>
        <w:t xml:space="preserve">Agregó que solicitó ante Colpensiones el reconocimiento de la pensión de invalidez, misma que le fue negada mediante las resoluciones GNR 202531 del 05 de junio de 2014 y </w:t>
      </w:r>
      <w:r w:rsidR="006F4CEE" w:rsidRPr="0087379C">
        <w:rPr>
          <w:rFonts w:ascii="Tahoma" w:hAnsi="Tahoma" w:cs="Tahoma"/>
          <w:spacing w:val="-4"/>
          <w:sz w:val="24"/>
          <w:szCs w:val="24"/>
        </w:rPr>
        <w:t xml:space="preserve">VPR 15682 del 12 de septiembre de 2014, </w:t>
      </w:r>
      <w:r w:rsidRPr="0087379C">
        <w:rPr>
          <w:rFonts w:ascii="Tahoma" w:hAnsi="Tahoma" w:cs="Tahoma"/>
          <w:spacing w:val="-4"/>
          <w:sz w:val="24"/>
          <w:szCs w:val="24"/>
        </w:rPr>
        <w:t xml:space="preserve">bajo el argumento de que la fecha de estructuración data de un momento anterior a las cotizaciones efectuadas y por ende, es </w:t>
      </w:r>
      <w:r w:rsidR="00581DEF" w:rsidRPr="0087379C">
        <w:rPr>
          <w:rFonts w:ascii="Tahoma" w:hAnsi="Tahoma" w:cs="Tahoma"/>
          <w:spacing w:val="-4"/>
          <w:sz w:val="24"/>
          <w:szCs w:val="24"/>
        </w:rPr>
        <w:t>un riesgo no asegurable.</w:t>
      </w:r>
    </w:p>
    <w:p w:rsidR="00ED3895" w:rsidRPr="0087379C" w:rsidRDefault="00ED3895" w:rsidP="002E5C36">
      <w:pPr>
        <w:pStyle w:val="Sinespaciado"/>
        <w:spacing w:line="276" w:lineRule="auto"/>
        <w:rPr>
          <w:rFonts w:ascii="Tahoma" w:hAnsi="Tahoma" w:cs="Tahoma"/>
          <w:spacing w:val="-4"/>
          <w:sz w:val="24"/>
          <w:szCs w:val="24"/>
        </w:rPr>
      </w:pPr>
    </w:p>
    <w:p w:rsidR="00A71E28" w:rsidRPr="0087379C" w:rsidRDefault="006470FD" w:rsidP="002E5C36">
      <w:pPr>
        <w:spacing w:after="0" w:line="276" w:lineRule="auto"/>
        <w:ind w:right="-187" w:firstLine="708"/>
        <w:jc w:val="both"/>
        <w:rPr>
          <w:rFonts w:ascii="Tahoma" w:hAnsi="Tahoma" w:cs="Tahoma"/>
          <w:spacing w:val="-4"/>
          <w:sz w:val="24"/>
          <w:szCs w:val="24"/>
        </w:rPr>
      </w:pPr>
      <w:r w:rsidRPr="0087379C">
        <w:rPr>
          <w:rFonts w:ascii="Tahoma" w:hAnsi="Tahoma" w:cs="Tahoma"/>
          <w:spacing w:val="-4"/>
          <w:sz w:val="24"/>
          <w:szCs w:val="24"/>
        </w:rPr>
        <w:t xml:space="preserve">Señaló </w:t>
      </w:r>
      <w:r w:rsidR="00F036E3" w:rsidRPr="0087379C">
        <w:rPr>
          <w:rFonts w:ascii="Tahoma" w:hAnsi="Tahoma" w:cs="Tahoma"/>
          <w:spacing w:val="-4"/>
          <w:sz w:val="24"/>
          <w:szCs w:val="24"/>
        </w:rPr>
        <w:t>que, el 2</w:t>
      </w:r>
      <w:r w:rsidR="008777BF" w:rsidRPr="0087379C">
        <w:rPr>
          <w:rFonts w:ascii="Tahoma" w:hAnsi="Tahoma" w:cs="Tahoma"/>
          <w:spacing w:val="-4"/>
          <w:sz w:val="24"/>
          <w:szCs w:val="24"/>
        </w:rPr>
        <w:t xml:space="preserve"> </w:t>
      </w:r>
      <w:r w:rsidR="00F036E3" w:rsidRPr="0087379C">
        <w:rPr>
          <w:rFonts w:ascii="Tahoma" w:hAnsi="Tahoma" w:cs="Tahoma"/>
          <w:spacing w:val="-4"/>
          <w:sz w:val="24"/>
          <w:szCs w:val="24"/>
        </w:rPr>
        <w:t>de abril de 2019, asistió a cita de valoración de pérdi</w:t>
      </w:r>
      <w:r w:rsidR="00E53821" w:rsidRPr="0087379C">
        <w:rPr>
          <w:rFonts w:ascii="Tahoma" w:hAnsi="Tahoma" w:cs="Tahoma"/>
          <w:spacing w:val="-4"/>
          <w:sz w:val="24"/>
          <w:szCs w:val="24"/>
        </w:rPr>
        <w:t>da de capacidad laboral con el mé</w:t>
      </w:r>
      <w:r w:rsidR="00F036E3" w:rsidRPr="0087379C">
        <w:rPr>
          <w:rFonts w:ascii="Tahoma" w:hAnsi="Tahoma" w:cs="Tahoma"/>
          <w:spacing w:val="-4"/>
          <w:sz w:val="24"/>
          <w:szCs w:val="24"/>
        </w:rPr>
        <w:t xml:space="preserve">dico laboral de Colpensiones, y este mediante comunicado BZ2019-12729895 del 20 de septiembre de 2019 rechazó la calificación, argumentando que una vez efectuada la revisión </w:t>
      </w:r>
      <w:r w:rsidR="00B510AA" w:rsidRPr="0087379C">
        <w:rPr>
          <w:rFonts w:ascii="Tahoma" w:hAnsi="Tahoma" w:cs="Tahoma"/>
          <w:spacing w:val="-4"/>
          <w:sz w:val="24"/>
          <w:szCs w:val="24"/>
        </w:rPr>
        <w:t>documental</w:t>
      </w:r>
      <w:r w:rsidR="00F036E3" w:rsidRPr="0087379C">
        <w:rPr>
          <w:rFonts w:ascii="Tahoma" w:hAnsi="Tahoma" w:cs="Tahoma"/>
          <w:spacing w:val="-4"/>
          <w:sz w:val="24"/>
          <w:szCs w:val="24"/>
        </w:rPr>
        <w:t xml:space="preserve">, se evidenció que no era posible </w:t>
      </w:r>
      <w:r w:rsidR="00B510AA" w:rsidRPr="0087379C">
        <w:rPr>
          <w:rFonts w:ascii="Tahoma" w:hAnsi="Tahoma" w:cs="Tahoma"/>
          <w:spacing w:val="-4"/>
          <w:sz w:val="24"/>
          <w:szCs w:val="24"/>
        </w:rPr>
        <w:t>continuar</w:t>
      </w:r>
      <w:r w:rsidR="00F036E3" w:rsidRPr="0087379C">
        <w:rPr>
          <w:rFonts w:ascii="Tahoma" w:hAnsi="Tahoma" w:cs="Tahoma"/>
          <w:spacing w:val="-4"/>
          <w:sz w:val="24"/>
          <w:szCs w:val="24"/>
        </w:rPr>
        <w:t xml:space="preserve"> </w:t>
      </w:r>
      <w:r w:rsidR="00FD5A54" w:rsidRPr="0087379C">
        <w:rPr>
          <w:rFonts w:ascii="Tahoma" w:hAnsi="Tahoma" w:cs="Tahoma"/>
          <w:spacing w:val="-4"/>
          <w:sz w:val="24"/>
          <w:szCs w:val="24"/>
        </w:rPr>
        <w:t>con el proceso</w:t>
      </w:r>
      <w:r w:rsidR="00F036E3" w:rsidRPr="0087379C">
        <w:rPr>
          <w:rFonts w:ascii="Tahoma" w:hAnsi="Tahoma" w:cs="Tahoma"/>
          <w:spacing w:val="-4"/>
          <w:sz w:val="24"/>
          <w:szCs w:val="24"/>
        </w:rPr>
        <w:t xml:space="preserve">, por </w:t>
      </w:r>
      <w:r w:rsidR="00FD5A54" w:rsidRPr="0087379C">
        <w:rPr>
          <w:rFonts w:ascii="Tahoma" w:hAnsi="Tahoma" w:cs="Tahoma"/>
          <w:spacing w:val="-4"/>
          <w:sz w:val="24"/>
          <w:szCs w:val="24"/>
        </w:rPr>
        <w:t xml:space="preserve">cuanto </w:t>
      </w:r>
      <w:r w:rsidR="00F036E3" w:rsidRPr="0087379C">
        <w:rPr>
          <w:rFonts w:ascii="Tahoma" w:hAnsi="Tahoma" w:cs="Tahoma"/>
          <w:spacing w:val="-4"/>
          <w:sz w:val="24"/>
          <w:szCs w:val="24"/>
        </w:rPr>
        <w:t xml:space="preserve">ya contaba con </w:t>
      </w:r>
      <w:r w:rsidR="00FD5A54" w:rsidRPr="0087379C">
        <w:rPr>
          <w:rFonts w:ascii="Tahoma" w:hAnsi="Tahoma" w:cs="Tahoma"/>
          <w:spacing w:val="-4"/>
          <w:sz w:val="24"/>
          <w:szCs w:val="24"/>
        </w:rPr>
        <w:t xml:space="preserve">un dictamen previo que da cuenta de una </w:t>
      </w:r>
      <w:r w:rsidR="00B510AA" w:rsidRPr="0087379C">
        <w:rPr>
          <w:rFonts w:ascii="Tahoma" w:hAnsi="Tahoma" w:cs="Tahoma"/>
          <w:spacing w:val="-4"/>
          <w:sz w:val="24"/>
          <w:szCs w:val="24"/>
        </w:rPr>
        <w:t xml:space="preserve">patología </w:t>
      </w:r>
      <w:r w:rsidR="00FD5A54" w:rsidRPr="0087379C">
        <w:rPr>
          <w:rFonts w:ascii="Tahoma" w:hAnsi="Tahoma" w:cs="Tahoma"/>
          <w:spacing w:val="-4"/>
          <w:sz w:val="24"/>
          <w:szCs w:val="24"/>
        </w:rPr>
        <w:t>ir</w:t>
      </w:r>
      <w:r w:rsidR="00B510AA" w:rsidRPr="0087379C">
        <w:rPr>
          <w:rFonts w:ascii="Tahoma" w:hAnsi="Tahoma" w:cs="Tahoma"/>
          <w:spacing w:val="-4"/>
          <w:sz w:val="24"/>
          <w:szCs w:val="24"/>
        </w:rPr>
        <w:t>reversible.</w:t>
      </w:r>
    </w:p>
    <w:p w:rsidR="00F036E3" w:rsidRPr="0087379C" w:rsidRDefault="00F036E3" w:rsidP="002E5C36">
      <w:pPr>
        <w:pStyle w:val="Sinespaciado"/>
        <w:spacing w:line="276" w:lineRule="auto"/>
        <w:rPr>
          <w:rFonts w:ascii="Tahoma" w:hAnsi="Tahoma" w:cs="Tahoma"/>
          <w:spacing w:val="-4"/>
          <w:sz w:val="24"/>
          <w:szCs w:val="24"/>
          <w:highlight w:val="darkGray"/>
        </w:rPr>
      </w:pPr>
    </w:p>
    <w:p w:rsidR="004853B6" w:rsidRPr="0087379C" w:rsidRDefault="008777BF" w:rsidP="002E5C36">
      <w:pPr>
        <w:spacing w:after="0" w:line="276" w:lineRule="auto"/>
        <w:ind w:right="-187" w:firstLine="708"/>
        <w:jc w:val="both"/>
        <w:rPr>
          <w:rFonts w:ascii="Tahoma" w:hAnsi="Tahoma" w:cs="Tahoma"/>
          <w:spacing w:val="-4"/>
          <w:sz w:val="24"/>
          <w:szCs w:val="24"/>
        </w:rPr>
      </w:pPr>
      <w:r w:rsidRPr="0087379C">
        <w:rPr>
          <w:rFonts w:ascii="Tahoma" w:hAnsi="Tahoma" w:cs="Tahoma"/>
          <w:spacing w:val="-4"/>
          <w:sz w:val="24"/>
          <w:szCs w:val="24"/>
        </w:rPr>
        <w:t xml:space="preserve">Por último, </w:t>
      </w:r>
      <w:r w:rsidR="00E53821" w:rsidRPr="0087379C">
        <w:rPr>
          <w:rFonts w:ascii="Tahoma" w:hAnsi="Tahoma" w:cs="Tahoma"/>
          <w:spacing w:val="-4"/>
          <w:sz w:val="24"/>
          <w:szCs w:val="24"/>
        </w:rPr>
        <w:t>añadió</w:t>
      </w:r>
      <w:r w:rsidRPr="0087379C">
        <w:rPr>
          <w:rFonts w:ascii="Tahoma" w:hAnsi="Tahoma" w:cs="Tahoma"/>
          <w:spacing w:val="-4"/>
          <w:sz w:val="24"/>
          <w:szCs w:val="24"/>
        </w:rPr>
        <w:t xml:space="preserve"> que en la actualidad cuenta con cincuenta y cuatro años de edad, presenta</w:t>
      </w:r>
      <w:r w:rsidR="00FD5A54" w:rsidRPr="0087379C">
        <w:rPr>
          <w:rFonts w:ascii="Tahoma" w:hAnsi="Tahoma" w:cs="Tahoma"/>
          <w:spacing w:val="-4"/>
          <w:sz w:val="24"/>
          <w:szCs w:val="24"/>
        </w:rPr>
        <w:t xml:space="preserve"> múltiples quebrantos de salud y</w:t>
      </w:r>
      <w:r w:rsidR="002E12E0" w:rsidRPr="0087379C">
        <w:rPr>
          <w:rFonts w:ascii="Tahoma" w:hAnsi="Tahoma" w:cs="Tahoma"/>
          <w:spacing w:val="-4"/>
          <w:sz w:val="24"/>
          <w:szCs w:val="24"/>
        </w:rPr>
        <w:t>,</w:t>
      </w:r>
      <w:r w:rsidRPr="0087379C">
        <w:rPr>
          <w:rFonts w:ascii="Tahoma" w:hAnsi="Tahoma" w:cs="Tahoma"/>
          <w:spacing w:val="-4"/>
          <w:sz w:val="24"/>
          <w:szCs w:val="24"/>
        </w:rPr>
        <w:t xml:space="preserve"> </w:t>
      </w:r>
      <w:r w:rsidR="002E12E0" w:rsidRPr="0087379C">
        <w:rPr>
          <w:rFonts w:ascii="Tahoma" w:hAnsi="Tahoma" w:cs="Tahoma"/>
          <w:spacing w:val="-4"/>
          <w:sz w:val="24"/>
          <w:szCs w:val="24"/>
        </w:rPr>
        <w:t>se encuentra desprotegido económicamente, toda vez que</w:t>
      </w:r>
      <w:r w:rsidR="00FD5A54" w:rsidRPr="0087379C">
        <w:rPr>
          <w:rFonts w:ascii="Tahoma" w:hAnsi="Tahoma" w:cs="Tahoma"/>
          <w:spacing w:val="-4"/>
          <w:sz w:val="24"/>
          <w:szCs w:val="24"/>
        </w:rPr>
        <w:t xml:space="preserve"> las patologías que padece le impiden trabajar, </w:t>
      </w:r>
      <w:r w:rsidR="00E53821" w:rsidRPr="0087379C">
        <w:rPr>
          <w:rFonts w:ascii="Tahoma" w:hAnsi="Tahoma" w:cs="Tahoma"/>
          <w:spacing w:val="-4"/>
          <w:sz w:val="24"/>
          <w:szCs w:val="24"/>
        </w:rPr>
        <w:t>sobreviviendo</w:t>
      </w:r>
      <w:r w:rsidR="00FD5A54" w:rsidRPr="0087379C">
        <w:rPr>
          <w:rFonts w:ascii="Tahoma" w:hAnsi="Tahoma" w:cs="Tahoma"/>
          <w:spacing w:val="-4"/>
          <w:sz w:val="24"/>
          <w:szCs w:val="24"/>
        </w:rPr>
        <w:t xml:space="preserve"> por la </w:t>
      </w:r>
      <w:r w:rsidR="002E12E0" w:rsidRPr="0087379C">
        <w:rPr>
          <w:rFonts w:ascii="Tahoma" w:hAnsi="Tahoma" w:cs="Tahoma"/>
          <w:spacing w:val="-4"/>
          <w:sz w:val="24"/>
          <w:szCs w:val="24"/>
        </w:rPr>
        <w:t xml:space="preserve">ayuda </w:t>
      </w:r>
      <w:r w:rsidR="00FD5A54" w:rsidRPr="0087379C">
        <w:rPr>
          <w:rFonts w:ascii="Tahoma" w:hAnsi="Tahoma" w:cs="Tahoma"/>
          <w:spacing w:val="-4"/>
          <w:sz w:val="24"/>
          <w:szCs w:val="24"/>
        </w:rPr>
        <w:t>y caridad de</w:t>
      </w:r>
      <w:r w:rsidR="002E12E0" w:rsidRPr="0087379C">
        <w:rPr>
          <w:rFonts w:ascii="Tahoma" w:hAnsi="Tahoma" w:cs="Tahoma"/>
          <w:spacing w:val="-4"/>
          <w:sz w:val="24"/>
          <w:szCs w:val="24"/>
        </w:rPr>
        <w:t xml:space="preserve"> familiares y vecinos.</w:t>
      </w:r>
    </w:p>
    <w:p w:rsidR="008777BF" w:rsidRPr="0087379C" w:rsidRDefault="008777BF" w:rsidP="002E5C36">
      <w:pPr>
        <w:spacing w:after="0" w:line="276" w:lineRule="auto"/>
        <w:ind w:right="-187"/>
        <w:jc w:val="both"/>
        <w:rPr>
          <w:rFonts w:ascii="Tahoma" w:hAnsi="Tahoma" w:cs="Tahoma"/>
          <w:spacing w:val="-4"/>
          <w:sz w:val="24"/>
          <w:szCs w:val="24"/>
        </w:rPr>
      </w:pPr>
    </w:p>
    <w:p w:rsidR="00554CA3" w:rsidRPr="0087379C" w:rsidRDefault="005A50CC" w:rsidP="002E5C36">
      <w:pPr>
        <w:pStyle w:val="Ttulo4"/>
        <w:numPr>
          <w:ilvl w:val="0"/>
          <w:numId w:val="1"/>
        </w:numPr>
        <w:tabs>
          <w:tab w:val="clear" w:pos="1080"/>
        </w:tabs>
        <w:spacing w:line="276" w:lineRule="auto"/>
        <w:ind w:left="0" w:firstLine="0"/>
        <w:rPr>
          <w:rFonts w:ascii="Tahoma" w:hAnsi="Tahoma" w:cs="Tahoma"/>
          <w:spacing w:val="-4"/>
          <w:szCs w:val="24"/>
        </w:rPr>
      </w:pPr>
      <w:r w:rsidRPr="0087379C">
        <w:rPr>
          <w:rFonts w:ascii="Tahoma" w:hAnsi="Tahoma" w:cs="Tahoma"/>
          <w:spacing w:val="-4"/>
          <w:szCs w:val="24"/>
        </w:rPr>
        <w:lastRenderedPageBreak/>
        <w:t xml:space="preserve"> </w:t>
      </w:r>
      <w:r w:rsidR="00BB6BDF" w:rsidRPr="0087379C">
        <w:rPr>
          <w:rFonts w:ascii="Tahoma" w:hAnsi="Tahoma" w:cs="Tahoma"/>
          <w:spacing w:val="-4"/>
          <w:szCs w:val="24"/>
        </w:rPr>
        <w:t>Contestación de la demanda</w:t>
      </w:r>
    </w:p>
    <w:p w:rsidR="00C6077E" w:rsidRPr="0087379C" w:rsidRDefault="00C6077E" w:rsidP="002E5C36">
      <w:pPr>
        <w:pStyle w:val="Sinespaciado"/>
        <w:spacing w:line="276" w:lineRule="auto"/>
        <w:ind w:firstLine="708"/>
        <w:jc w:val="both"/>
        <w:rPr>
          <w:rFonts w:ascii="Tahoma" w:hAnsi="Tahoma" w:cs="Tahoma"/>
          <w:b/>
          <w:spacing w:val="-4"/>
          <w:sz w:val="24"/>
          <w:szCs w:val="24"/>
          <w:highlight w:val="yellow"/>
        </w:rPr>
      </w:pPr>
    </w:p>
    <w:p w:rsidR="00C6077E" w:rsidRPr="0087379C" w:rsidRDefault="001B4AFE" w:rsidP="002E5C36">
      <w:pPr>
        <w:pStyle w:val="Sinespaciado"/>
        <w:spacing w:line="276" w:lineRule="auto"/>
        <w:ind w:firstLine="708"/>
        <w:jc w:val="both"/>
        <w:rPr>
          <w:rFonts w:ascii="Tahoma" w:hAnsi="Tahoma" w:cs="Tahoma"/>
          <w:spacing w:val="-4"/>
          <w:sz w:val="24"/>
          <w:szCs w:val="24"/>
        </w:rPr>
      </w:pPr>
      <w:r w:rsidRPr="0087379C">
        <w:rPr>
          <w:rFonts w:ascii="Tahoma" w:hAnsi="Tahoma" w:cs="Tahoma"/>
          <w:spacing w:val="-4"/>
          <w:sz w:val="24"/>
          <w:szCs w:val="24"/>
        </w:rPr>
        <w:t>La</w:t>
      </w:r>
      <w:r w:rsidRPr="0087379C">
        <w:rPr>
          <w:rFonts w:ascii="Tahoma" w:hAnsi="Tahoma" w:cs="Tahoma"/>
          <w:b/>
          <w:spacing w:val="-4"/>
          <w:sz w:val="24"/>
          <w:szCs w:val="24"/>
        </w:rPr>
        <w:t xml:space="preserve"> Administradora Colombiana de pensiones – Colpensiones </w:t>
      </w:r>
      <w:r w:rsidRPr="0087379C">
        <w:rPr>
          <w:rFonts w:ascii="Tahoma" w:hAnsi="Tahoma" w:cs="Tahoma"/>
          <w:spacing w:val="-4"/>
          <w:sz w:val="24"/>
          <w:szCs w:val="24"/>
        </w:rPr>
        <w:t xml:space="preserve">señaló </w:t>
      </w:r>
      <w:r w:rsidR="001335EC" w:rsidRPr="0087379C">
        <w:rPr>
          <w:rFonts w:ascii="Tahoma" w:hAnsi="Tahoma" w:cs="Tahoma"/>
          <w:spacing w:val="-4"/>
          <w:sz w:val="24"/>
          <w:szCs w:val="24"/>
        </w:rPr>
        <w:t xml:space="preserve">que </w:t>
      </w:r>
      <w:r w:rsidRPr="0087379C">
        <w:rPr>
          <w:rFonts w:ascii="Tahoma" w:hAnsi="Tahoma" w:cs="Tahoma"/>
          <w:spacing w:val="-4"/>
          <w:sz w:val="24"/>
          <w:szCs w:val="24"/>
        </w:rPr>
        <w:t xml:space="preserve">mediante resolución GNR 202531 del 5 de junio de 2014 confirmada por la resolución VPB del 12 de septiembre de 2014 negó el reconocimiento de la pensión solicitada, por lo que si el accionante presenta desacuerdo debe agotar los procedimientos administrativos y judiciales dispuestos para tal fin y no la tutela, </w:t>
      </w:r>
      <w:r w:rsidR="00811A25" w:rsidRPr="0087379C">
        <w:rPr>
          <w:rFonts w:ascii="Tahoma" w:hAnsi="Tahoma" w:cs="Tahoma"/>
          <w:spacing w:val="-4"/>
          <w:sz w:val="24"/>
          <w:szCs w:val="24"/>
        </w:rPr>
        <w:t>pues esta no puede</w:t>
      </w:r>
      <w:r w:rsidRPr="0087379C">
        <w:rPr>
          <w:rFonts w:ascii="Tahoma" w:hAnsi="Tahoma" w:cs="Tahoma"/>
          <w:spacing w:val="-4"/>
          <w:sz w:val="24"/>
          <w:szCs w:val="24"/>
        </w:rPr>
        <w:t xml:space="preserve"> reemplazar las acciones ordinarias creadas por el legislador.</w:t>
      </w:r>
    </w:p>
    <w:p w:rsidR="001B4AFE" w:rsidRPr="0087379C" w:rsidRDefault="001B4AFE" w:rsidP="002E5C36">
      <w:pPr>
        <w:pStyle w:val="Sinespaciado"/>
        <w:spacing w:line="276" w:lineRule="auto"/>
        <w:rPr>
          <w:rFonts w:ascii="Tahoma" w:hAnsi="Tahoma" w:cs="Tahoma"/>
          <w:spacing w:val="-4"/>
          <w:sz w:val="24"/>
          <w:szCs w:val="24"/>
        </w:rPr>
      </w:pPr>
    </w:p>
    <w:p w:rsidR="001B4AFE" w:rsidRPr="0087379C" w:rsidRDefault="001B4AFE" w:rsidP="002E5C36">
      <w:pPr>
        <w:pStyle w:val="Sinespaciado"/>
        <w:spacing w:line="276" w:lineRule="auto"/>
        <w:ind w:firstLine="708"/>
        <w:jc w:val="both"/>
        <w:rPr>
          <w:rFonts w:ascii="Tahoma" w:hAnsi="Tahoma" w:cs="Tahoma"/>
          <w:spacing w:val="-4"/>
          <w:sz w:val="24"/>
          <w:szCs w:val="24"/>
        </w:rPr>
      </w:pPr>
      <w:r w:rsidRPr="0087379C">
        <w:rPr>
          <w:rFonts w:ascii="Tahoma" w:hAnsi="Tahoma" w:cs="Tahoma"/>
          <w:spacing w:val="-4"/>
          <w:sz w:val="24"/>
          <w:szCs w:val="24"/>
        </w:rPr>
        <w:t xml:space="preserve">En </w:t>
      </w:r>
      <w:r w:rsidR="00E842E8" w:rsidRPr="0087379C">
        <w:rPr>
          <w:rFonts w:ascii="Tahoma" w:hAnsi="Tahoma" w:cs="Tahoma"/>
          <w:spacing w:val="-4"/>
          <w:sz w:val="24"/>
          <w:szCs w:val="24"/>
        </w:rPr>
        <w:t>consecuencia</w:t>
      </w:r>
      <w:r w:rsidRPr="0087379C">
        <w:rPr>
          <w:rFonts w:ascii="Tahoma" w:hAnsi="Tahoma" w:cs="Tahoma"/>
          <w:spacing w:val="-4"/>
          <w:sz w:val="24"/>
          <w:szCs w:val="24"/>
        </w:rPr>
        <w:t>, peticiona que se declare la improcedencia de la acción, en la medida de que el señor Arboleda García cuenta con otro mecanismo de defensa</w:t>
      </w:r>
      <w:r w:rsidR="00E842E8" w:rsidRPr="0087379C">
        <w:rPr>
          <w:rFonts w:ascii="Tahoma" w:hAnsi="Tahoma" w:cs="Tahoma"/>
          <w:spacing w:val="-4"/>
          <w:sz w:val="24"/>
          <w:szCs w:val="24"/>
        </w:rPr>
        <w:t xml:space="preserve"> y no se presenta un perjuicio irremediable que justifique la excepción.</w:t>
      </w:r>
    </w:p>
    <w:p w:rsidR="00DA7127" w:rsidRPr="0087379C" w:rsidRDefault="00DA7127" w:rsidP="002E5C36">
      <w:pPr>
        <w:pStyle w:val="Sinespaciado"/>
        <w:spacing w:line="276" w:lineRule="auto"/>
        <w:rPr>
          <w:rFonts w:ascii="Tahoma" w:hAnsi="Tahoma" w:cs="Tahoma"/>
          <w:spacing w:val="-4"/>
          <w:sz w:val="24"/>
          <w:szCs w:val="24"/>
          <w:highlight w:val="yellow"/>
        </w:rPr>
      </w:pPr>
    </w:p>
    <w:p w:rsidR="00FD2846" w:rsidRPr="0087379C" w:rsidRDefault="004B097D" w:rsidP="002E5C36">
      <w:pPr>
        <w:pStyle w:val="Ttulo4"/>
        <w:numPr>
          <w:ilvl w:val="0"/>
          <w:numId w:val="1"/>
        </w:numPr>
        <w:spacing w:line="276" w:lineRule="auto"/>
        <w:rPr>
          <w:rFonts w:ascii="Tahoma" w:hAnsi="Tahoma" w:cs="Tahoma"/>
          <w:spacing w:val="-4"/>
          <w:szCs w:val="24"/>
        </w:rPr>
      </w:pPr>
      <w:r w:rsidRPr="0087379C">
        <w:rPr>
          <w:rFonts w:ascii="Tahoma" w:hAnsi="Tahoma" w:cs="Tahoma"/>
          <w:spacing w:val="-4"/>
          <w:szCs w:val="24"/>
        </w:rPr>
        <w:t>Providencia impugnada</w:t>
      </w:r>
    </w:p>
    <w:p w:rsidR="00FD2846" w:rsidRPr="0087379C" w:rsidRDefault="00FD2846" w:rsidP="002E5C36">
      <w:pPr>
        <w:pStyle w:val="Sinespaciado"/>
        <w:spacing w:line="276" w:lineRule="auto"/>
        <w:rPr>
          <w:rFonts w:ascii="Tahoma" w:hAnsi="Tahoma" w:cs="Tahoma"/>
          <w:spacing w:val="-4"/>
          <w:sz w:val="24"/>
          <w:szCs w:val="24"/>
        </w:rPr>
      </w:pPr>
    </w:p>
    <w:p w:rsidR="00DA7127" w:rsidRPr="0087379C" w:rsidRDefault="0005169A" w:rsidP="002E5C36">
      <w:pPr>
        <w:spacing w:after="0" w:line="276" w:lineRule="auto"/>
        <w:ind w:firstLine="708"/>
        <w:jc w:val="both"/>
        <w:rPr>
          <w:rFonts w:ascii="Tahoma" w:hAnsi="Tahoma" w:cs="Tahoma"/>
          <w:spacing w:val="-4"/>
          <w:sz w:val="24"/>
          <w:szCs w:val="24"/>
        </w:rPr>
      </w:pPr>
      <w:r w:rsidRPr="0087379C">
        <w:rPr>
          <w:rFonts w:ascii="Tahoma" w:hAnsi="Tahoma" w:cs="Tahoma"/>
          <w:spacing w:val="-4"/>
          <w:sz w:val="24"/>
          <w:szCs w:val="24"/>
        </w:rPr>
        <w:t>La Jueza de primer grad</w:t>
      </w:r>
      <w:r w:rsidR="00E8148F" w:rsidRPr="0087379C">
        <w:rPr>
          <w:rFonts w:ascii="Tahoma" w:hAnsi="Tahoma" w:cs="Tahoma"/>
          <w:spacing w:val="-4"/>
          <w:sz w:val="24"/>
          <w:szCs w:val="24"/>
        </w:rPr>
        <w:t xml:space="preserve">o </w:t>
      </w:r>
      <w:r w:rsidR="006B331E" w:rsidRPr="0087379C">
        <w:rPr>
          <w:rFonts w:ascii="Tahoma" w:hAnsi="Tahoma" w:cs="Tahoma"/>
          <w:spacing w:val="-4"/>
          <w:sz w:val="24"/>
          <w:szCs w:val="24"/>
        </w:rPr>
        <w:t>negó</w:t>
      </w:r>
      <w:r w:rsidR="00984B80" w:rsidRPr="0087379C">
        <w:rPr>
          <w:rFonts w:ascii="Tahoma" w:hAnsi="Tahoma" w:cs="Tahoma"/>
          <w:spacing w:val="-4"/>
          <w:sz w:val="24"/>
          <w:szCs w:val="24"/>
        </w:rPr>
        <w:t xml:space="preserve"> el amparo</w:t>
      </w:r>
      <w:r w:rsidR="00AD1BC0" w:rsidRPr="0087379C">
        <w:rPr>
          <w:rFonts w:ascii="Tahoma" w:hAnsi="Tahoma" w:cs="Tahoma"/>
          <w:spacing w:val="-4"/>
          <w:sz w:val="24"/>
          <w:szCs w:val="24"/>
        </w:rPr>
        <w:t xml:space="preserve"> c</w:t>
      </w:r>
      <w:r w:rsidR="00984B80" w:rsidRPr="0087379C">
        <w:rPr>
          <w:rFonts w:ascii="Tahoma" w:hAnsi="Tahoma" w:cs="Tahoma"/>
          <w:spacing w:val="-4"/>
          <w:sz w:val="24"/>
          <w:szCs w:val="24"/>
        </w:rPr>
        <w:t>onstituc</w:t>
      </w:r>
      <w:r w:rsidR="00DA7127" w:rsidRPr="0087379C">
        <w:rPr>
          <w:rFonts w:ascii="Tahoma" w:hAnsi="Tahoma" w:cs="Tahoma"/>
          <w:spacing w:val="-4"/>
          <w:sz w:val="24"/>
          <w:szCs w:val="24"/>
        </w:rPr>
        <w:t xml:space="preserve">ional invocado por el señor </w:t>
      </w:r>
      <w:proofErr w:type="spellStart"/>
      <w:r w:rsidR="00E842E8" w:rsidRPr="0087379C">
        <w:rPr>
          <w:rFonts w:ascii="Tahoma" w:hAnsi="Tahoma" w:cs="Tahoma"/>
          <w:spacing w:val="-4"/>
          <w:sz w:val="24"/>
          <w:szCs w:val="24"/>
        </w:rPr>
        <w:t>Bairon</w:t>
      </w:r>
      <w:proofErr w:type="spellEnd"/>
      <w:r w:rsidR="00E842E8" w:rsidRPr="0087379C">
        <w:rPr>
          <w:rFonts w:ascii="Tahoma" w:hAnsi="Tahoma" w:cs="Tahoma"/>
          <w:spacing w:val="-4"/>
          <w:sz w:val="24"/>
          <w:szCs w:val="24"/>
        </w:rPr>
        <w:t xml:space="preserve"> Aníbal Arboleda García</w:t>
      </w:r>
      <w:r w:rsidR="006B331E" w:rsidRPr="0087379C">
        <w:rPr>
          <w:rFonts w:ascii="Tahoma" w:hAnsi="Tahoma" w:cs="Tahoma"/>
          <w:spacing w:val="-4"/>
          <w:sz w:val="24"/>
          <w:szCs w:val="24"/>
        </w:rPr>
        <w:t xml:space="preserve"> </w:t>
      </w:r>
      <w:r w:rsidR="00DA7127" w:rsidRPr="0087379C">
        <w:rPr>
          <w:rFonts w:ascii="Tahoma" w:hAnsi="Tahoma" w:cs="Tahoma"/>
          <w:spacing w:val="-4"/>
          <w:sz w:val="24"/>
          <w:szCs w:val="24"/>
        </w:rPr>
        <w:t>en contra de</w:t>
      </w:r>
      <w:r w:rsidR="00E842E8" w:rsidRPr="0087379C">
        <w:rPr>
          <w:rFonts w:ascii="Tahoma" w:hAnsi="Tahoma" w:cs="Tahoma"/>
          <w:spacing w:val="-4"/>
          <w:sz w:val="24"/>
          <w:szCs w:val="24"/>
        </w:rPr>
        <w:t xml:space="preserve"> Colpensiones</w:t>
      </w:r>
      <w:r w:rsidR="00811A25" w:rsidRPr="0087379C">
        <w:rPr>
          <w:rFonts w:ascii="Tahoma" w:hAnsi="Tahoma" w:cs="Tahoma"/>
          <w:spacing w:val="-4"/>
          <w:sz w:val="24"/>
          <w:szCs w:val="24"/>
        </w:rPr>
        <w:t>.</w:t>
      </w:r>
    </w:p>
    <w:p w:rsidR="0005169A" w:rsidRPr="0087379C" w:rsidRDefault="0005169A" w:rsidP="002E5C36">
      <w:pPr>
        <w:spacing w:after="0" w:line="276" w:lineRule="auto"/>
        <w:ind w:firstLine="708"/>
        <w:jc w:val="both"/>
        <w:rPr>
          <w:rFonts w:ascii="Tahoma" w:hAnsi="Tahoma" w:cs="Tahoma"/>
          <w:spacing w:val="-4"/>
          <w:sz w:val="24"/>
          <w:szCs w:val="24"/>
        </w:rPr>
      </w:pPr>
    </w:p>
    <w:p w:rsidR="001B3C05" w:rsidRPr="0087379C" w:rsidRDefault="00935783" w:rsidP="002E5C36">
      <w:pPr>
        <w:spacing w:after="0" w:line="276" w:lineRule="auto"/>
        <w:ind w:firstLine="708"/>
        <w:jc w:val="both"/>
        <w:rPr>
          <w:rFonts w:ascii="Tahoma" w:hAnsi="Tahoma" w:cs="Tahoma"/>
          <w:spacing w:val="-4"/>
          <w:sz w:val="24"/>
          <w:szCs w:val="24"/>
        </w:rPr>
      </w:pPr>
      <w:r w:rsidRPr="0087379C">
        <w:rPr>
          <w:rFonts w:ascii="Tahoma" w:hAnsi="Tahoma" w:cs="Tahoma"/>
          <w:spacing w:val="-4"/>
          <w:sz w:val="24"/>
          <w:szCs w:val="24"/>
        </w:rPr>
        <w:t>P</w:t>
      </w:r>
      <w:r w:rsidR="00CF34FA" w:rsidRPr="0087379C">
        <w:rPr>
          <w:rFonts w:ascii="Tahoma" w:hAnsi="Tahoma" w:cs="Tahoma"/>
          <w:spacing w:val="-4"/>
          <w:sz w:val="24"/>
          <w:szCs w:val="24"/>
        </w:rPr>
        <w:t>ara llegar a tal conclusión</w:t>
      </w:r>
      <w:r w:rsidR="000263CE" w:rsidRPr="0087379C">
        <w:rPr>
          <w:rFonts w:ascii="Tahoma" w:hAnsi="Tahoma" w:cs="Tahoma"/>
          <w:spacing w:val="-4"/>
          <w:sz w:val="24"/>
          <w:szCs w:val="24"/>
        </w:rPr>
        <w:t>,</w:t>
      </w:r>
      <w:r w:rsidR="00CF34FA" w:rsidRPr="0087379C">
        <w:rPr>
          <w:rFonts w:ascii="Tahoma" w:hAnsi="Tahoma" w:cs="Tahoma"/>
          <w:spacing w:val="-4"/>
          <w:sz w:val="24"/>
          <w:szCs w:val="24"/>
        </w:rPr>
        <w:t xml:space="preserve"> la a</w:t>
      </w:r>
      <w:r w:rsidRPr="0087379C">
        <w:rPr>
          <w:rFonts w:ascii="Tahoma" w:hAnsi="Tahoma" w:cs="Tahoma"/>
          <w:spacing w:val="-4"/>
          <w:sz w:val="24"/>
          <w:szCs w:val="24"/>
        </w:rPr>
        <w:t xml:space="preserve">-quo argumentó que </w:t>
      </w:r>
      <w:r w:rsidR="00E842E8" w:rsidRPr="0087379C">
        <w:rPr>
          <w:rFonts w:ascii="Tahoma" w:hAnsi="Tahoma" w:cs="Tahoma"/>
          <w:spacing w:val="-4"/>
          <w:sz w:val="24"/>
          <w:szCs w:val="24"/>
        </w:rPr>
        <w:t>si bien el accionante es una persona de edad y con problemas de salud, lo que habilitaría el estudio de la procedencia de la pensión de invalidez, lo cierto es que en el proceso no se cumplen las condiciones para atender la acción de tutela, propiamente la inmediatez y subsidiariedad.</w:t>
      </w:r>
    </w:p>
    <w:p w:rsidR="00E842E8" w:rsidRPr="0087379C" w:rsidRDefault="00E842E8" w:rsidP="002E5C36">
      <w:pPr>
        <w:spacing w:after="0" w:line="276" w:lineRule="auto"/>
        <w:ind w:firstLine="708"/>
        <w:jc w:val="both"/>
        <w:rPr>
          <w:rFonts w:ascii="Tahoma" w:hAnsi="Tahoma" w:cs="Tahoma"/>
          <w:spacing w:val="-4"/>
          <w:sz w:val="24"/>
          <w:szCs w:val="24"/>
        </w:rPr>
      </w:pPr>
    </w:p>
    <w:p w:rsidR="00797214" w:rsidRPr="0087379C" w:rsidRDefault="00E842E8" w:rsidP="002E5C36">
      <w:pPr>
        <w:spacing w:after="0" w:line="276" w:lineRule="auto"/>
        <w:ind w:firstLine="708"/>
        <w:jc w:val="both"/>
        <w:rPr>
          <w:rFonts w:ascii="Tahoma" w:hAnsi="Tahoma" w:cs="Tahoma"/>
          <w:spacing w:val="-4"/>
          <w:sz w:val="24"/>
          <w:szCs w:val="24"/>
        </w:rPr>
      </w:pPr>
      <w:r w:rsidRPr="0087379C">
        <w:rPr>
          <w:rFonts w:ascii="Tahoma" w:hAnsi="Tahoma" w:cs="Tahoma"/>
          <w:spacing w:val="-4"/>
          <w:sz w:val="24"/>
          <w:szCs w:val="24"/>
        </w:rPr>
        <w:t>En cuanto a la inmediatez advirtió que la misma resulta desfasada toda vez que desde la calificación de pérdida de capacidad laboral, la solicitud pensional y el agotamiento de los recursos de la vía gubernativa han transcurrido 5 años, durante los cuales no se presentaron situaciones de caso fortuito o fuerza mayor que impidieran la posibilidad de acudir a la administración de justicia.</w:t>
      </w:r>
    </w:p>
    <w:p w:rsidR="00E842E8" w:rsidRPr="0087379C" w:rsidRDefault="00E842E8" w:rsidP="002E5C36">
      <w:pPr>
        <w:pStyle w:val="Sinespaciado"/>
        <w:spacing w:line="276" w:lineRule="auto"/>
        <w:rPr>
          <w:rFonts w:ascii="Tahoma" w:hAnsi="Tahoma" w:cs="Tahoma"/>
          <w:spacing w:val="-4"/>
          <w:sz w:val="24"/>
          <w:szCs w:val="24"/>
        </w:rPr>
      </w:pPr>
    </w:p>
    <w:p w:rsidR="001B3C05" w:rsidRPr="0087379C" w:rsidRDefault="00E8148F" w:rsidP="002E5C36">
      <w:pPr>
        <w:spacing w:after="0" w:line="276" w:lineRule="auto"/>
        <w:ind w:firstLine="708"/>
        <w:jc w:val="both"/>
        <w:rPr>
          <w:rFonts w:ascii="Tahoma" w:hAnsi="Tahoma" w:cs="Tahoma"/>
          <w:spacing w:val="-4"/>
          <w:sz w:val="24"/>
          <w:szCs w:val="24"/>
        </w:rPr>
      </w:pPr>
      <w:r w:rsidRPr="0087379C">
        <w:rPr>
          <w:rFonts w:ascii="Tahoma" w:hAnsi="Tahoma" w:cs="Tahoma"/>
          <w:spacing w:val="-4"/>
          <w:sz w:val="24"/>
          <w:szCs w:val="24"/>
        </w:rPr>
        <w:t>Precisó</w:t>
      </w:r>
      <w:r w:rsidR="00E842E8" w:rsidRPr="0087379C">
        <w:rPr>
          <w:rFonts w:ascii="Tahoma" w:hAnsi="Tahoma" w:cs="Tahoma"/>
          <w:spacing w:val="-4"/>
          <w:sz w:val="24"/>
          <w:szCs w:val="24"/>
        </w:rPr>
        <w:t xml:space="preserve"> que el accionante, pese a su estado de salud, continuó con su vida normal, retornó a la actividad laboral y continuó cotizando al sistema, por lo que no se aprecia un perjuicio irremediable que deba evitarse con la intervención constitucional en un caso que es propio de la justicia ordinaria laboral.</w:t>
      </w:r>
    </w:p>
    <w:p w:rsidR="000E5010" w:rsidRPr="0087379C" w:rsidRDefault="000E5010" w:rsidP="002E5C36">
      <w:pPr>
        <w:pStyle w:val="Sinespaciado"/>
        <w:spacing w:line="276" w:lineRule="auto"/>
        <w:rPr>
          <w:rFonts w:ascii="Tahoma" w:hAnsi="Tahoma" w:cs="Tahoma"/>
          <w:spacing w:val="-4"/>
          <w:sz w:val="24"/>
          <w:szCs w:val="24"/>
        </w:rPr>
      </w:pPr>
    </w:p>
    <w:p w:rsidR="00911722" w:rsidRPr="0087379C" w:rsidRDefault="00935783" w:rsidP="002E5C36">
      <w:pPr>
        <w:pStyle w:val="Ttulo4"/>
        <w:numPr>
          <w:ilvl w:val="0"/>
          <w:numId w:val="1"/>
        </w:numPr>
        <w:tabs>
          <w:tab w:val="clear" w:pos="1080"/>
          <w:tab w:val="left" w:pos="426"/>
        </w:tabs>
        <w:spacing w:line="276" w:lineRule="auto"/>
        <w:ind w:left="0" w:firstLine="0"/>
        <w:rPr>
          <w:rFonts w:ascii="Tahoma" w:hAnsi="Tahoma" w:cs="Tahoma"/>
          <w:spacing w:val="-4"/>
          <w:szCs w:val="24"/>
        </w:rPr>
      </w:pPr>
      <w:r w:rsidRPr="0087379C">
        <w:rPr>
          <w:rFonts w:ascii="Tahoma" w:hAnsi="Tahoma" w:cs="Tahoma"/>
          <w:spacing w:val="-4"/>
          <w:szCs w:val="24"/>
        </w:rPr>
        <w:t>Impugnación</w:t>
      </w:r>
    </w:p>
    <w:p w:rsidR="004752E4" w:rsidRPr="0087379C" w:rsidRDefault="004752E4" w:rsidP="002E5C36">
      <w:pPr>
        <w:pStyle w:val="Sinespaciado"/>
        <w:spacing w:line="276" w:lineRule="auto"/>
        <w:rPr>
          <w:rFonts w:ascii="Tahoma" w:hAnsi="Tahoma" w:cs="Tahoma"/>
          <w:spacing w:val="-4"/>
          <w:sz w:val="24"/>
          <w:szCs w:val="24"/>
          <w:lang w:eastAsia="es-ES"/>
        </w:rPr>
      </w:pPr>
    </w:p>
    <w:p w:rsidR="00BF2013" w:rsidRPr="0087379C" w:rsidRDefault="00343BC4" w:rsidP="002E5C36">
      <w:pPr>
        <w:pStyle w:val="Sinespaciado"/>
        <w:spacing w:line="276" w:lineRule="auto"/>
        <w:ind w:firstLine="705"/>
        <w:jc w:val="both"/>
        <w:rPr>
          <w:rFonts w:ascii="Tahoma" w:hAnsi="Tahoma" w:cs="Tahoma"/>
          <w:spacing w:val="-4"/>
          <w:sz w:val="24"/>
          <w:szCs w:val="24"/>
        </w:rPr>
      </w:pPr>
      <w:r w:rsidRPr="0087379C">
        <w:rPr>
          <w:rFonts w:ascii="Tahoma" w:hAnsi="Tahoma" w:cs="Tahoma"/>
          <w:spacing w:val="-4"/>
          <w:sz w:val="24"/>
          <w:szCs w:val="24"/>
        </w:rPr>
        <w:t xml:space="preserve">El señor </w:t>
      </w:r>
      <w:proofErr w:type="spellStart"/>
      <w:r w:rsidR="00E8148F" w:rsidRPr="0087379C">
        <w:rPr>
          <w:rFonts w:ascii="Tahoma" w:hAnsi="Tahoma" w:cs="Tahoma"/>
          <w:spacing w:val="-4"/>
          <w:sz w:val="24"/>
          <w:szCs w:val="24"/>
        </w:rPr>
        <w:t>Bairon</w:t>
      </w:r>
      <w:proofErr w:type="spellEnd"/>
      <w:r w:rsidR="00E8148F" w:rsidRPr="0087379C">
        <w:rPr>
          <w:rFonts w:ascii="Tahoma" w:hAnsi="Tahoma" w:cs="Tahoma"/>
          <w:spacing w:val="-4"/>
          <w:sz w:val="24"/>
          <w:szCs w:val="24"/>
        </w:rPr>
        <w:t xml:space="preserve"> Aníbal Arboleda García impugnó la decisión</w:t>
      </w:r>
      <w:r w:rsidR="00BF2013" w:rsidRPr="0087379C">
        <w:rPr>
          <w:rFonts w:ascii="Tahoma" w:hAnsi="Tahoma" w:cs="Tahoma"/>
          <w:spacing w:val="-4"/>
          <w:sz w:val="24"/>
          <w:szCs w:val="24"/>
        </w:rPr>
        <w:t xml:space="preserve"> precisando </w:t>
      </w:r>
      <w:r w:rsidR="00811A25" w:rsidRPr="0087379C">
        <w:rPr>
          <w:rFonts w:ascii="Tahoma" w:hAnsi="Tahoma" w:cs="Tahoma"/>
          <w:spacing w:val="-4"/>
          <w:sz w:val="24"/>
          <w:szCs w:val="24"/>
        </w:rPr>
        <w:t xml:space="preserve">que </w:t>
      </w:r>
      <w:r w:rsidR="00BF2013" w:rsidRPr="0087379C">
        <w:rPr>
          <w:rFonts w:ascii="Tahoma" w:hAnsi="Tahoma" w:cs="Tahoma"/>
          <w:spacing w:val="-4"/>
          <w:sz w:val="24"/>
          <w:szCs w:val="24"/>
        </w:rPr>
        <w:t xml:space="preserve">la Corte Constitucional, en los casos de negación de prestaciones pensionales, ha manifestado que además de las condiciones </w:t>
      </w:r>
      <w:r w:rsidR="00884638" w:rsidRPr="0087379C">
        <w:rPr>
          <w:rFonts w:ascii="Tahoma" w:hAnsi="Tahoma" w:cs="Tahoma"/>
          <w:spacing w:val="-4"/>
          <w:sz w:val="24"/>
          <w:szCs w:val="24"/>
        </w:rPr>
        <w:t>particular</w:t>
      </w:r>
      <w:r w:rsidR="00BF2013" w:rsidRPr="0087379C">
        <w:rPr>
          <w:rFonts w:ascii="Tahoma" w:hAnsi="Tahoma" w:cs="Tahoma"/>
          <w:spacing w:val="-4"/>
          <w:sz w:val="24"/>
          <w:szCs w:val="24"/>
        </w:rPr>
        <w:t xml:space="preserve"> de cada caso, debe observarse que el simple hecho de que el actor no se encuentre gozando de la prestación hace que la transgresión se torne de ejecuci</w:t>
      </w:r>
      <w:r w:rsidR="00884638" w:rsidRPr="0087379C">
        <w:rPr>
          <w:rFonts w:ascii="Tahoma" w:hAnsi="Tahoma" w:cs="Tahoma"/>
          <w:spacing w:val="-4"/>
          <w:sz w:val="24"/>
          <w:szCs w:val="24"/>
        </w:rPr>
        <w:t>ón permanente, además, que la jueza de primera instancia</w:t>
      </w:r>
      <w:r w:rsidR="00BF2013" w:rsidRPr="0087379C">
        <w:rPr>
          <w:rFonts w:ascii="Tahoma" w:hAnsi="Tahoma" w:cs="Tahoma"/>
          <w:spacing w:val="-4"/>
          <w:sz w:val="24"/>
          <w:szCs w:val="24"/>
        </w:rPr>
        <w:t xml:space="preserve"> no tuvo en cuenta que el 02 de abril de 2019 asistió a la valoración de pérdida de capacidad laboral en Colpensiones y que fue la administradora pensional la que rechazó continuar con el proceso.</w:t>
      </w:r>
    </w:p>
    <w:p w:rsidR="00BF2013" w:rsidRPr="0087379C" w:rsidRDefault="00BF2013" w:rsidP="002E5C36">
      <w:pPr>
        <w:pStyle w:val="Sinespaciado"/>
        <w:spacing w:line="276" w:lineRule="auto"/>
        <w:ind w:firstLine="705"/>
        <w:jc w:val="both"/>
        <w:rPr>
          <w:rFonts w:ascii="Tahoma" w:hAnsi="Tahoma" w:cs="Tahoma"/>
          <w:spacing w:val="-4"/>
          <w:sz w:val="24"/>
          <w:szCs w:val="24"/>
        </w:rPr>
      </w:pPr>
    </w:p>
    <w:p w:rsidR="00935783" w:rsidRPr="0087379C" w:rsidRDefault="00935783" w:rsidP="002E5C36">
      <w:pPr>
        <w:pStyle w:val="Ttulo4"/>
        <w:numPr>
          <w:ilvl w:val="0"/>
          <w:numId w:val="1"/>
        </w:numPr>
        <w:tabs>
          <w:tab w:val="left" w:pos="426"/>
        </w:tabs>
        <w:spacing w:line="276" w:lineRule="auto"/>
        <w:rPr>
          <w:rFonts w:ascii="Tahoma" w:hAnsi="Tahoma" w:cs="Tahoma"/>
          <w:spacing w:val="-4"/>
          <w:szCs w:val="24"/>
        </w:rPr>
      </w:pPr>
      <w:r w:rsidRPr="0087379C">
        <w:rPr>
          <w:rFonts w:ascii="Tahoma" w:hAnsi="Tahoma" w:cs="Tahoma"/>
          <w:spacing w:val="-4"/>
          <w:szCs w:val="24"/>
        </w:rPr>
        <w:lastRenderedPageBreak/>
        <w:t>Consideraciones</w:t>
      </w:r>
    </w:p>
    <w:p w:rsidR="00935783" w:rsidRPr="0087379C" w:rsidRDefault="00935783" w:rsidP="002E5C36">
      <w:pPr>
        <w:pStyle w:val="Prrafodelista"/>
        <w:tabs>
          <w:tab w:val="left" w:pos="1276"/>
        </w:tabs>
        <w:suppressAutoHyphens/>
        <w:spacing w:after="0" w:line="276" w:lineRule="auto"/>
        <w:jc w:val="both"/>
        <w:rPr>
          <w:rFonts w:ascii="Tahoma" w:hAnsi="Tahoma" w:cs="Tahoma"/>
          <w:b/>
          <w:spacing w:val="-4"/>
          <w:sz w:val="24"/>
          <w:szCs w:val="24"/>
        </w:rPr>
      </w:pPr>
    </w:p>
    <w:p w:rsidR="00935783" w:rsidRPr="0087379C" w:rsidRDefault="00327327" w:rsidP="002E5C36">
      <w:pPr>
        <w:pStyle w:val="Prrafodelista"/>
        <w:tabs>
          <w:tab w:val="left" w:pos="1276"/>
        </w:tabs>
        <w:suppressAutoHyphens/>
        <w:spacing w:after="0" w:line="276" w:lineRule="auto"/>
        <w:ind w:left="709"/>
        <w:jc w:val="both"/>
        <w:rPr>
          <w:rFonts w:ascii="Tahoma" w:hAnsi="Tahoma" w:cs="Tahoma"/>
          <w:b/>
          <w:spacing w:val="-4"/>
          <w:sz w:val="24"/>
          <w:szCs w:val="24"/>
        </w:rPr>
      </w:pPr>
      <w:r w:rsidRPr="0087379C">
        <w:rPr>
          <w:rFonts w:ascii="Tahoma" w:hAnsi="Tahoma" w:cs="Tahoma"/>
          <w:b/>
          <w:spacing w:val="-4"/>
          <w:sz w:val="24"/>
          <w:szCs w:val="24"/>
        </w:rPr>
        <w:t>5</w:t>
      </w:r>
      <w:r w:rsidR="00935783" w:rsidRPr="0087379C">
        <w:rPr>
          <w:rFonts w:ascii="Tahoma" w:hAnsi="Tahoma" w:cs="Tahoma"/>
          <w:b/>
          <w:spacing w:val="-4"/>
          <w:sz w:val="24"/>
          <w:szCs w:val="24"/>
        </w:rPr>
        <w:t>.1 Problema jurídico por resolver</w:t>
      </w:r>
    </w:p>
    <w:p w:rsidR="00394366" w:rsidRPr="0087379C" w:rsidRDefault="00394366" w:rsidP="002E5C36">
      <w:pPr>
        <w:spacing w:after="0" w:line="276" w:lineRule="auto"/>
        <w:jc w:val="both"/>
        <w:rPr>
          <w:rFonts w:ascii="Tahoma" w:hAnsi="Tahoma" w:cs="Tahoma"/>
          <w:b/>
          <w:spacing w:val="-4"/>
          <w:sz w:val="24"/>
          <w:szCs w:val="24"/>
        </w:rPr>
      </w:pPr>
    </w:p>
    <w:p w:rsidR="00394366" w:rsidRPr="0087379C" w:rsidRDefault="004115AD" w:rsidP="002E5C36">
      <w:pPr>
        <w:spacing w:after="0" w:line="276" w:lineRule="auto"/>
        <w:ind w:firstLine="708"/>
        <w:jc w:val="both"/>
        <w:rPr>
          <w:rFonts w:ascii="Tahoma" w:hAnsi="Tahoma" w:cs="Tahoma"/>
          <w:spacing w:val="-4"/>
          <w:sz w:val="24"/>
          <w:szCs w:val="24"/>
        </w:rPr>
      </w:pPr>
      <w:r w:rsidRPr="0087379C">
        <w:rPr>
          <w:rFonts w:ascii="Tahoma" w:hAnsi="Tahoma" w:cs="Tahoma"/>
          <w:spacing w:val="-4"/>
          <w:sz w:val="24"/>
          <w:szCs w:val="24"/>
        </w:rPr>
        <w:t>¿La acción de tutela es procedente para el reconocimiento de la pensión de invalidez? En caso afirmativo, ¿en el presente caso se cumplen los presupuestos para que proceda el amparo constitucional?</w:t>
      </w:r>
      <w:r w:rsidR="00811A25" w:rsidRPr="0087379C">
        <w:rPr>
          <w:rFonts w:ascii="Tahoma" w:hAnsi="Tahoma" w:cs="Tahoma"/>
          <w:spacing w:val="-4"/>
          <w:sz w:val="24"/>
          <w:szCs w:val="24"/>
        </w:rPr>
        <w:t>, ¿cumple el accionante con los requisitos para acceder a la prestación deprecada?</w:t>
      </w:r>
    </w:p>
    <w:p w:rsidR="004115AD" w:rsidRPr="0087379C" w:rsidRDefault="004115AD" w:rsidP="002E5C36">
      <w:pPr>
        <w:spacing w:after="0" w:line="276" w:lineRule="auto"/>
        <w:ind w:firstLine="708"/>
        <w:jc w:val="both"/>
        <w:rPr>
          <w:rFonts w:ascii="Tahoma" w:hAnsi="Tahoma" w:cs="Tahoma"/>
          <w:b/>
          <w:spacing w:val="-4"/>
          <w:sz w:val="24"/>
          <w:szCs w:val="24"/>
        </w:rPr>
      </w:pPr>
    </w:p>
    <w:p w:rsidR="000346A0" w:rsidRPr="0087379C" w:rsidRDefault="00B41B7C" w:rsidP="002E5C36">
      <w:pPr>
        <w:spacing w:after="0" w:line="276" w:lineRule="auto"/>
        <w:ind w:left="709"/>
        <w:jc w:val="both"/>
        <w:rPr>
          <w:rFonts w:ascii="Tahoma" w:hAnsi="Tahoma" w:cs="Tahoma"/>
          <w:bCs/>
          <w:spacing w:val="-4"/>
          <w:sz w:val="24"/>
          <w:szCs w:val="24"/>
        </w:rPr>
      </w:pPr>
      <w:r w:rsidRPr="0087379C">
        <w:rPr>
          <w:rFonts w:ascii="Tahoma" w:hAnsi="Tahoma" w:cs="Tahoma"/>
          <w:b/>
          <w:spacing w:val="-4"/>
          <w:sz w:val="24"/>
          <w:szCs w:val="24"/>
        </w:rPr>
        <w:t>5.</w:t>
      </w:r>
      <w:r w:rsidR="003C3AC5" w:rsidRPr="0087379C">
        <w:rPr>
          <w:rFonts w:ascii="Tahoma" w:hAnsi="Tahoma" w:cs="Tahoma"/>
          <w:b/>
          <w:spacing w:val="-4"/>
          <w:sz w:val="24"/>
          <w:szCs w:val="24"/>
        </w:rPr>
        <w:t>2</w:t>
      </w:r>
      <w:r w:rsidR="000346A0" w:rsidRPr="0087379C">
        <w:rPr>
          <w:rFonts w:ascii="Tahoma" w:hAnsi="Tahoma" w:cs="Tahoma"/>
          <w:b/>
          <w:bCs/>
          <w:spacing w:val="-4"/>
          <w:sz w:val="24"/>
          <w:szCs w:val="24"/>
        </w:rPr>
        <w:t xml:space="preserve"> </w:t>
      </w:r>
      <w:r w:rsidR="004115AD" w:rsidRPr="0087379C">
        <w:rPr>
          <w:rFonts w:ascii="Tahoma" w:hAnsi="Tahoma" w:cs="Tahoma"/>
          <w:b/>
          <w:bCs/>
          <w:spacing w:val="-4"/>
          <w:sz w:val="24"/>
          <w:szCs w:val="24"/>
        </w:rPr>
        <w:t>Procedencia excepcional de la acción de tutela para el reconocimiento y pago de la pensión de invalidez.</w:t>
      </w:r>
    </w:p>
    <w:p w:rsidR="00F35A43" w:rsidRPr="0087379C" w:rsidRDefault="00F35A43" w:rsidP="002E5C36">
      <w:pPr>
        <w:spacing w:after="0" w:line="276" w:lineRule="auto"/>
        <w:ind w:left="709"/>
        <w:jc w:val="both"/>
        <w:rPr>
          <w:rFonts w:ascii="Tahoma" w:hAnsi="Tahoma" w:cs="Tahoma"/>
          <w:i/>
          <w:spacing w:val="-4"/>
          <w:sz w:val="24"/>
          <w:szCs w:val="24"/>
          <w:lang w:val="es-CO"/>
        </w:rPr>
      </w:pPr>
    </w:p>
    <w:p w:rsidR="00CB02B0" w:rsidRPr="0087379C" w:rsidRDefault="00A420B3" w:rsidP="002E5C36">
      <w:pPr>
        <w:spacing w:after="0" w:line="276" w:lineRule="auto"/>
        <w:ind w:firstLine="708"/>
        <w:jc w:val="both"/>
        <w:rPr>
          <w:rFonts w:ascii="Tahoma" w:eastAsia="Calibri" w:hAnsi="Tahoma" w:cs="Tahoma"/>
          <w:spacing w:val="-4"/>
          <w:sz w:val="24"/>
          <w:szCs w:val="24"/>
        </w:rPr>
      </w:pPr>
      <w:r w:rsidRPr="0087379C">
        <w:rPr>
          <w:rFonts w:ascii="Tahoma" w:eastAsia="Calibri" w:hAnsi="Tahoma" w:cs="Tahoma"/>
          <w:spacing w:val="-4"/>
          <w:sz w:val="24"/>
          <w:szCs w:val="24"/>
        </w:rPr>
        <w:t>La Corte Constitucional ha manifestado que por regla general es improcedente el amparo cuando en el ordenamiento jurídico se encuentra estipulado un medio de defensa particular para redimir la controversia objeto de la acción, en virtud del principio de subsidiaridad de la tutela. No obstante, el Alto Tribunal en la Sentencia T-</w:t>
      </w:r>
      <w:r w:rsidR="00CB02B0" w:rsidRPr="0087379C">
        <w:rPr>
          <w:rFonts w:ascii="Tahoma" w:eastAsia="Calibri" w:hAnsi="Tahoma" w:cs="Tahoma"/>
          <w:spacing w:val="-4"/>
          <w:sz w:val="24"/>
          <w:szCs w:val="24"/>
        </w:rPr>
        <w:t>009 de 2019, Magistrada</w:t>
      </w:r>
      <w:r w:rsidRPr="0087379C">
        <w:rPr>
          <w:rFonts w:ascii="Tahoma" w:eastAsia="Calibri" w:hAnsi="Tahoma" w:cs="Tahoma"/>
          <w:spacing w:val="-4"/>
          <w:sz w:val="24"/>
          <w:szCs w:val="24"/>
        </w:rPr>
        <w:t xml:space="preserve"> Ponente </w:t>
      </w:r>
      <w:r w:rsidR="00CB02B0" w:rsidRPr="0087379C">
        <w:rPr>
          <w:rFonts w:ascii="Tahoma" w:eastAsia="Calibri" w:hAnsi="Tahoma" w:cs="Tahoma"/>
          <w:spacing w:val="-4"/>
          <w:sz w:val="24"/>
          <w:szCs w:val="24"/>
        </w:rPr>
        <w:t>Gloria Stella Ortiz Delgado</w:t>
      </w:r>
      <w:r w:rsidRPr="0087379C">
        <w:rPr>
          <w:rFonts w:ascii="Tahoma" w:eastAsia="Calibri" w:hAnsi="Tahoma" w:cs="Tahoma"/>
          <w:spacing w:val="-4"/>
          <w:sz w:val="24"/>
          <w:szCs w:val="24"/>
        </w:rPr>
        <w:t>, reiteró su posición, en cuanto permitir la procedencia de la acción de tutela, excepcionalmente, para el reconocimiento de derechos pensionales, propiamente la pensión de invalidez, atendiendo factores tales c</w:t>
      </w:r>
      <w:r w:rsidR="00CB02B0" w:rsidRPr="0087379C">
        <w:rPr>
          <w:rFonts w:ascii="Tahoma" w:eastAsia="Calibri" w:hAnsi="Tahoma" w:cs="Tahoma"/>
          <w:spacing w:val="-4"/>
          <w:sz w:val="24"/>
          <w:szCs w:val="24"/>
        </w:rPr>
        <w:t>omo la edad, el estado de salud y</w:t>
      </w:r>
      <w:r w:rsidRPr="0087379C">
        <w:rPr>
          <w:rFonts w:ascii="Tahoma" w:eastAsia="Calibri" w:hAnsi="Tahoma" w:cs="Tahoma"/>
          <w:spacing w:val="-4"/>
          <w:sz w:val="24"/>
          <w:szCs w:val="24"/>
        </w:rPr>
        <w:t xml:space="preserve"> las condiciones económicas, para determinar si exige del Estado una mayor protección, celeridad y diligencia en procura de salvaguardar sus derechos, no siendo oportuno someterlo a un proceso ordinario laboral, si acredita plenamente el cumplimiento de los requisitos para obtener la gracia pensional.</w:t>
      </w:r>
      <w:r w:rsidR="00CB02B0" w:rsidRPr="0087379C">
        <w:rPr>
          <w:rFonts w:ascii="Tahoma" w:eastAsia="Calibri" w:hAnsi="Tahoma" w:cs="Tahoma"/>
          <w:spacing w:val="-4"/>
          <w:sz w:val="24"/>
          <w:szCs w:val="24"/>
        </w:rPr>
        <w:t xml:space="preserve"> </w:t>
      </w:r>
    </w:p>
    <w:p w:rsidR="00CB02B0" w:rsidRPr="0087379C" w:rsidRDefault="00CB02B0" w:rsidP="002E5C36">
      <w:pPr>
        <w:spacing w:after="0" w:line="276" w:lineRule="auto"/>
        <w:ind w:firstLine="708"/>
        <w:jc w:val="both"/>
        <w:rPr>
          <w:rFonts w:ascii="Tahoma" w:eastAsia="Calibri" w:hAnsi="Tahoma" w:cs="Tahoma"/>
          <w:spacing w:val="-4"/>
          <w:sz w:val="24"/>
          <w:szCs w:val="24"/>
        </w:rPr>
      </w:pPr>
    </w:p>
    <w:p w:rsidR="00A420B3" w:rsidRPr="0087379C" w:rsidRDefault="00CB02B0" w:rsidP="002E5C36">
      <w:pPr>
        <w:spacing w:after="0" w:line="276" w:lineRule="auto"/>
        <w:ind w:firstLine="708"/>
        <w:jc w:val="both"/>
        <w:rPr>
          <w:rFonts w:ascii="Tahoma" w:eastAsia="Calibri" w:hAnsi="Tahoma" w:cs="Tahoma"/>
          <w:spacing w:val="-4"/>
          <w:sz w:val="24"/>
          <w:szCs w:val="24"/>
        </w:rPr>
      </w:pPr>
      <w:r w:rsidRPr="0087379C">
        <w:rPr>
          <w:rFonts w:ascii="Tahoma" w:eastAsia="Calibri" w:hAnsi="Tahoma" w:cs="Tahoma"/>
          <w:spacing w:val="-4"/>
          <w:sz w:val="24"/>
          <w:szCs w:val="24"/>
        </w:rPr>
        <w:t>No obstante en la providencia referenciada, el Alto Tribunal recordó que la condición de vulnerabilidad o de sujeto de especial protección constitucional del accionante por sí sola no basta para que proceda la acción en materia pensional, por lo qu</w:t>
      </w:r>
      <w:r w:rsidR="007F3523" w:rsidRPr="0087379C">
        <w:rPr>
          <w:rFonts w:ascii="Tahoma" w:eastAsia="Calibri" w:hAnsi="Tahoma" w:cs="Tahoma"/>
          <w:spacing w:val="-4"/>
          <w:sz w:val="24"/>
          <w:szCs w:val="24"/>
        </w:rPr>
        <w:t>e es necesario que se verifique</w:t>
      </w:r>
      <w:r w:rsidRPr="0087379C">
        <w:rPr>
          <w:rFonts w:ascii="Tahoma" w:eastAsia="Calibri" w:hAnsi="Tahoma" w:cs="Tahoma"/>
          <w:spacing w:val="-4"/>
          <w:sz w:val="24"/>
          <w:szCs w:val="24"/>
        </w:rPr>
        <w:t xml:space="preserve"> la </w:t>
      </w:r>
      <w:r w:rsidR="007F3523" w:rsidRPr="0087379C">
        <w:rPr>
          <w:rFonts w:ascii="Tahoma" w:eastAsia="Calibri" w:hAnsi="Tahoma" w:cs="Tahoma"/>
          <w:spacing w:val="-4"/>
          <w:sz w:val="24"/>
          <w:szCs w:val="24"/>
        </w:rPr>
        <w:t>concurrencia</w:t>
      </w:r>
      <w:r w:rsidRPr="0087379C">
        <w:rPr>
          <w:rFonts w:ascii="Tahoma" w:eastAsia="Calibri" w:hAnsi="Tahoma" w:cs="Tahoma"/>
          <w:spacing w:val="-4"/>
          <w:sz w:val="24"/>
          <w:szCs w:val="24"/>
        </w:rPr>
        <w:t xml:space="preserve"> de las siguientes reglas para saldar la subsidiaridad del amparo:</w:t>
      </w:r>
    </w:p>
    <w:p w:rsidR="00A420B3" w:rsidRPr="0087379C" w:rsidRDefault="00A420B3" w:rsidP="002E5C36">
      <w:pPr>
        <w:pStyle w:val="Sinespaciado"/>
        <w:spacing w:line="276" w:lineRule="auto"/>
        <w:rPr>
          <w:rFonts w:ascii="Tahoma" w:hAnsi="Tahoma" w:cs="Tahoma"/>
          <w:spacing w:val="-4"/>
          <w:sz w:val="24"/>
          <w:szCs w:val="24"/>
        </w:rPr>
      </w:pPr>
    </w:p>
    <w:p w:rsidR="00CB02B0" w:rsidRPr="0087379C" w:rsidRDefault="00742055" w:rsidP="00742055">
      <w:pPr>
        <w:spacing w:after="0" w:line="240" w:lineRule="auto"/>
        <w:ind w:left="426" w:right="418" w:firstLine="708"/>
        <w:jc w:val="both"/>
        <w:rPr>
          <w:rFonts w:ascii="Tahoma" w:hAnsi="Tahoma" w:cs="Tahoma"/>
          <w:i/>
          <w:spacing w:val="-4"/>
          <w:szCs w:val="24"/>
        </w:rPr>
      </w:pPr>
      <w:r w:rsidRPr="0087379C">
        <w:rPr>
          <w:rFonts w:ascii="Tahoma" w:hAnsi="Tahoma" w:cs="Tahoma"/>
          <w:i/>
          <w:spacing w:val="-4"/>
          <w:szCs w:val="24"/>
        </w:rPr>
        <w:t xml:space="preserve">“a. </w:t>
      </w:r>
      <w:r w:rsidR="00CB02B0" w:rsidRPr="0087379C">
        <w:rPr>
          <w:rFonts w:ascii="Tahoma" w:hAnsi="Tahoma" w:cs="Tahoma"/>
          <w:i/>
          <w:spacing w:val="-4"/>
          <w:szCs w:val="24"/>
        </w:rPr>
        <w:t>Que se trate de sujetos de especial protección constitucional.</w:t>
      </w:r>
    </w:p>
    <w:p w:rsidR="00CB02B0" w:rsidRPr="0087379C" w:rsidRDefault="00CB02B0" w:rsidP="00742055">
      <w:pPr>
        <w:spacing w:after="0" w:line="240" w:lineRule="auto"/>
        <w:ind w:left="426" w:right="418" w:firstLine="708"/>
        <w:jc w:val="both"/>
        <w:rPr>
          <w:rFonts w:ascii="Tahoma" w:hAnsi="Tahoma" w:cs="Tahoma"/>
          <w:i/>
          <w:spacing w:val="-4"/>
          <w:szCs w:val="24"/>
        </w:rPr>
      </w:pPr>
    </w:p>
    <w:p w:rsidR="00CB02B0" w:rsidRPr="0087379C" w:rsidRDefault="00CB02B0" w:rsidP="00742055">
      <w:pPr>
        <w:spacing w:after="0" w:line="240" w:lineRule="auto"/>
        <w:ind w:left="426" w:right="418" w:firstLine="708"/>
        <w:jc w:val="both"/>
        <w:rPr>
          <w:rFonts w:ascii="Tahoma" w:hAnsi="Tahoma" w:cs="Tahoma"/>
          <w:i/>
          <w:spacing w:val="-4"/>
          <w:szCs w:val="24"/>
        </w:rPr>
      </w:pPr>
      <w:r w:rsidRPr="0087379C">
        <w:rPr>
          <w:rFonts w:ascii="Tahoma" w:hAnsi="Tahoma" w:cs="Tahoma"/>
          <w:i/>
          <w:spacing w:val="-4"/>
          <w:szCs w:val="24"/>
        </w:rPr>
        <w:t>b. Que la falta de pago de la prestación o su disminución, genere un alto grado de afectación de los derechos fundamentales, en particular del derecho al mínimo vital.</w:t>
      </w:r>
    </w:p>
    <w:p w:rsidR="00CB02B0" w:rsidRPr="0087379C" w:rsidRDefault="00CB02B0" w:rsidP="00742055">
      <w:pPr>
        <w:spacing w:after="0" w:line="240" w:lineRule="auto"/>
        <w:ind w:left="426" w:right="418" w:firstLine="708"/>
        <w:jc w:val="both"/>
        <w:rPr>
          <w:rFonts w:ascii="Tahoma" w:hAnsi="Tahoma" w:cs="Tahoma"/>
          <w:i/>
          <w:spacing w:val="-4"/>
          <w:szCs w:val="24"/>
        </w:rPr>
      </w:pPr>
    </w:p>
    <w:p w:rsidR="00CB02B0" w:rsidRPr="0087379C" w:rsidRDefault="00CB02B0" w:rsidP="00742055">
      <w:pPr>
        <w:spacing w:after="0" w:line="240" w:lineRule="auto"/>
        <w:ind w:left="426" w:right="418" w:firstLine="708"/>
        <w:jc w:val="both"/>
        <w:rPr>
          <w:rFonts w:ascii="Tahoma" w:hAnsi="Tahoma" w:cs="Tahoma"/>
          <w:i/>
          <w:spacing w:val="-4"/>
          <w:szCs w:val="24"/>
        </w:rPr>
      </w:pPr>
      <w:r w:rsidRPr="0087379C">
        <w:rPr>
          <w:rFonts w:ascii="Tahoma" w:hAnsi="Tahoma" w:cs="Tahoma"/>
          <w:i/>
          <w:spacing w:val="-4"/>
          <w:szCs w:val="24"/>
        </w:rPr>
        <w:t>c. Que el accionante haya desplegado cierta actividad administrativa y judicial con el objetivo de que le sea reconocida la prestación reclamada.</w:t>
      </w:r>
    </w:p>
    <w:p w:rsidR="00CB02B0" w:rsidRPr="0087379C" w:rsidRDefault="00CB02B0" w:rsidP="00742055">
      <w:pPr>
        <w:spacing w:after="0" w:line="240" w:lineRule="auto"/>
        <w:ind w:left="426" w:right="418" w:firstLine="708"/>
        <w:jc w:val="both"/>
        <w:rPr>
          <w:rFonts w:ascii="Tahoma" w:hAnsi="Tahoma" w:cs="Tahoma"/>
          <w:i/>
          <w:spacing w:val="-4"/>
          <w:szCs w:val="24"/>
        </w:rPr>
      </w:pPr>
    </w:p>
    <w:p w:rsidR="00CB02B0" w:rsidRPr="0087379C" w:rsidRDefault="00CB02B0" w:rsidP="00742055">
      <w:pPr>
        <w:spacing w:after="0" w:line="240" w:lineRule="auto"/>
        <w:ind w:left="426" w:right="418" w:firstLine="708"/>
        <w:jc w:val="both"/>
        <w:rPr>
          <w:rFonts w:ascii="Tahoma" w:hAnsi="Tahoma" w:cs="Tahoma"/>
          <w:i/>
          <w:spacing w:val="-4"/>
          <w:szCs w:val="24"/>
        </w:rPr>
      </w:pPr>
      <w:r w:rsidRPr="0087379C">
        <w:rPr>
          <w:rFonts w:ascii="Tahoma" w:hAnsi="Tahoma" w:cs="Tahoma"/>
          <w:i/>
          <w:spacing w:val="-4"/>
          <w:szCs w:val="24"/>
        </w:rPr>
        <w:t xml:space="preserve">d. Que se acredite siquiera sumariamente, las razones por las cuales el medio judicial ordinario es ineficaz para lograr la protección inmediata de los derechos fundamentales presuntamente afectados.” </w:t>
      </w:r>
    </w:p>
    <w:p w:rsidR="00CB02B0" w:rsidRPr="0087379C" w:rsidRDefault="00CB02B0" w:rsidP="002E5C36">
      <w:pPr>
        <w:spacing w:after="0" w:line="276" w:lineRule="auto"/>
        <w:ind w:firstLine="708"/>
        <w:jc w:val="both"/>
        <w:rPr>
          <w:rFonts w:ascii="Tahoma" w:hAnsi="Tahoma" w:cs="Tahoma"/>
          <w:i/>
          <w:spacing w:val="-4"/>
          <w:sz w:val="24"/>
          <w:szCs w:val="24"/>
        </w:rPr>
      </w:pPr>
    </w:p>
    <w:p w:rsidR="00A420B3" w:rsidRPr="0087379C" w:rsidRDefault="00A420B3" w:rsidP="002E5C36">
      <w:pPr>
        <w:spacing w:after="0" w:line="276" w:lineRule="auto"/>
        <w:ind w:firstLine="708"/>
        <w:jc w:val="both"/>
        <w:rPr>
          <w:rFonts w:ascii="Tahoma" w:eastAsia="Calibri" w:hAnsi="Tahoma" w:cs="Tahoma"/>
          <w:spacing w:val="-4"/>
          <w:sz w:val="24"/>
          <w:szCs w:val="24"/>
        </w:rPr>
      </w:pPr>
      <w:r w:rsidRPr="0087379C">
        <w:rPr>
          <w:rFonts w:ascii="Tahoma" w:eastAsia="Calibri" w:hAnsi="Tahoma" w:cs="Tahoma"/>
          <w:spacing w:val="-4"/>
          <w:sz w:val="24"/>
          <w:szCs w:val="24"/>
        </w:rPr>
        <w:t>Ahora, la Corte Constitucional, de tiempo atrás ha establecido una postura clara sobre la aplicación del principio de inmediatez en el examen de procedibilidad de la Acción de Tutela, por ejemplo</w:t>
      </w:r>
      <w:r w:rsidR="0004349B" w:rsidRPr="0087379C">
        <w:rPr>
          <w:rFonts w:ascii="Tahoma" w:eastAsia="Calibri" w:hAnsi="Tahoma" w:cs="Tahoma"/>
          <w:spacing w:val="-4"/>
          <w:sz w:val="24"/>
          <w:szCs w:val="24"/>
        </w:rPr>
        <w:t xml:space="preserve"> en la providencia SU-588 de 2016 al estudiar la procedencia de la acción para obtener el reconocimiento de una pensión de invalidez, precisó que si bien en un principio el transcurso de un tiempo prolongado entre la interposición del amparo constitucional y los hechos que lo motivaron desatendería su finalidad y por ende la tornaría improcedente, lo cierto es que en el caso de derechos pensionales -garantías de </w:t>
      </w:r>
      <w:r w:rsidR="0004349B" w:rsidRPr="0087379C">
        <w:rPr>
          <w:rFonts w:ascii="Tahoma" w:eastAsia="Calibri" w:hAnsi="Tahoma" w:cs="Tahoma"/>
          <w:spacing w:val="-4"/>
          <w:sz w:val="24"/>
          <w:szCs w:val="24"/>
        </w:rPr>
        <w:lastRenderedPageBreak/>
        <w:t xml:space="preserve">contenido irrenunciable e imprescriptible-, al tener una relación estrecha con la garantía de </w:t>
      </w:r>
      <w:r w:rsidR="007F3523" w:rsidRPr="0087379C">
        <w:rPr>
          <w:rFonts w:ascii="Tahoma" w:eastAsia="Calibri" w:hAnsi="Tahoma" w:cs="Tahoma"/>
          <w:spacing w:val="-4"/>
          <w:sz w:val="24"/>
          <w:szCs w:val="24"/>
        </w:rPr>
        <w:t xml:space="preserve">la </w:t>
      </w:r>
      <w:r w:rsidR="0004349B" w:rsidRPr="0087379C">
        <w:rPr>
          <w:rFonts w:ascii="Tahoma" w:eastAsia="Calibri" w:hAnsi="Tahoma" w:cs="Tahoma"/>
          <w:spacing w:val="-4"/>
          <w:sz w:val="24"/>
          <w:szCs w:val="24"/>
        </w:rPr>
        <w:t>dignidad humana, la eventual vulneración permanece en el tiempo, siempre que se acredite que el accionante cuenta con los requisitos para acceder a la prestación</w:t>
      </w:r>
      <w:r w:rsidR="00BE385B" w:rsidRPr="0087379C">
        <w:rPr>
          <w:rFonts w:ascii="Tahoma" w:eastAsia="Calibri" w:hAnsi="Tahoma" w:cs="Tahoma"/>
          <w:spacing w:val="-4"/>
          <w:sz w:val="24"/>
          <w:szCs w:val="24"/>
        </w:rPr>
        <w:t xml:space="preserve"> y la misma le ha sido negada</w:t>
      </w:r>
      <w:r w:rsidR="0004349B" w:rsidRPr="0087379C">
        <w:rPr>
          <w:rFonts w:ascii="Tahoma" w:eastAsia="Calibri" w:hAnsi="Tahoma" w:cs="Tahoma"/>
          <w:spacing w:val="-4"/>
          <w:sz w:val="24"/>
          <w:szCs w:val="24"/>
        </w:rPr>
        <w:t>. En ese entendido puntualizó dos casos en los que debe flexibilizarse el análisis de la inmediatez, a saber:</w:t>
      </w:r>
    </w:p>
    <w:p w:rsidR="00A420B3" w:rsidRPr="0087379C" w:rsidRDefault="00A420B3" w:rsidP="002E5C36">
      <w:pPr>
        <w:pStyle w:val="Sinespaciado"/>
        <w:spacing w:line="276" w:lineRule="auto"/>
        <w:rPr>
          <w:rFonts w:ascii="Tahoma" w:hAnsi="Tahoma" w:cs="Tahoma"/>
          <w:spacing w:val="-4"/>
          <w:sz w:val="24"/>
          <w:szCs w:val="24"/>
        </w:rPr>
      </w:pPr>
    </w:p>
    <w:p w:rsidR="00A420B3" w:rsidRPr="0087379C" w:rsidRDefault="0004349B" w:rsidP="00963911">
      <w:pPr>
        <w:spacing w:after="0" w:line="240" w:lineRule="auto"/>
        <w:ind w:left="426" w:right="418"/>
        <w:jc w:val="both"/>
        <w:rPr>
          <w:rFonts w:ascii="Tahoma" w:hAnsi="Tahoma" w:cs="Tahoma"/>
          <w:i/>
          <w:spacing w:val="-4"/>
          <w:szCs w:val="24"/>
        </w:rPr>
      </w:pPr>
      <w:r w:rsidRPr="0087379C">
        <w:rPr>
          <w:rFonts w:ascii="Tahoma" w:hAnsi="Tahoma" w:cs="Tahoma"/>
          <w:i/>
          <w:spacing w:val="-4"/>
          <w:szCs w:val="24"/>
        </w:rPr>
        <w:t>“(i) Que se demuestre que la vulneración es permanente en el tiempo y que, pese a que el hecho que la originó por primera vez es muy antiguo respecto de la presentación de la tutela, la situación desfavorable del actor derivada del irrespeto por sus derechos, continúa y es actual.  Y (ii) que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Pr="0087379C">
        <w:rPr>
          <w:rFonts w:ascii="Tahoma" w:hAnsi="Tahoma" w:cs="Tahoma"/>
          <w:spacing w:val="-4"/>
          <w:szCs w:val="24"/>
        </w:rPr>
        <w:t>”</w:t>
      </w:r>
      <w:r w:rsidR="00BE385B" w:rsidRPr="0087379C">
        <w:rPr>
          <w:rStyle w:val="Refdenotaalpie"/>
          <w:rFonts w:ascii="Tahoma" w:hAnsi="Tahoma" w:cs="Tahoma"/>
          <w:i/>
          <w:spacing w:val="-4"/>
          <w:szCs w:val="24"/>
        </w:rPr>
        <w:footnoteReference w:id="1"/>
      </w:r>
      <w:r w:rsidRPr="0087379C">
        <w:rPr>
          <w:rFonts w:ascii="Tahoma" w:hAnsi="Tahoma" w:cs="Tahoma"/>
          <w:i/>
          <w:spacing w:val="-4"/>
          <w:szCs w:val="24"/>
        </w:rPr>
        <w:t xml:space="preserve">  </w:t>
      </w:r>
    </w:p>
    <w:p w:rsidR="0004349B" w:rsidRPr="0087379C" w:rsidRDefault="0004349B" w:rsidP="002E5C36">
      <w:pPr>
        <w:spacing w:after="0" w:line="276" w:lineRule="auto"/>
        <w:ind w:firstLine="709"/>
        <w:jc w:val="both"/>
        <w:rPr>
          <w:rFonts w:ascii="Tahoma" w:hAnsi="Tahoma" w:cs="Tahoma"/>
          <w:b/>
          <w:spacing w:val="-4"/>
          <w:sz w:val="24"/>
          <w:szCs w:val="24"/>
        </w:rPr>
      </w:pPr>
    </w:p>
    <w:p w:rsidR="00BE385B" w:rsidRPr="0087379C" w:rsidRDefault="00A420B3" w:rsidP="002E5C36">
      <w:pPr>
        <w:spacing w:after="0" w:line="276" w:lineRule="auto"/>
        <w:ind w:firstLine="709"/>
        <w:jc w:val="both"/>
        <w:rPr>
          <w:rFonts w:ascii="Tahoma" w:hAnsi="Tahoma" w:cs="Tahoma"/>
          <w:b/>
          <w:spacing w:val="-4"/>
          <w:sz w:val="24"/>
          <w:szCs w:val="24"/>
        </w:rPr>
      </w:pPr>
      <w:r w:rsidRPr="0087379C">
        <w:rPr>
          <w:rFonts w:ascii="Tahoma" w:hAnsi="Tahoma" w:cs="Tahoma"/>
          <w:b/>
          <w:spacing w:val="-4"/>
          <w:sz w:val="24"/>
          <w:szCs w:val="24"/>
        </w:rPr>
        <w:t xml:space="preserve">5.4 </w:t>
      </w:r>
      <w:r w:rsidR="007F3523" w:rsidRPr="0087379C">
        <w:rPr>
          <w:rFonts w:ascii="Tahoma" w:hAnsi="Tahoma" w:cs="Tahoma"/>
          <w:b/>
          <w:spacing w:val="-4"/>
          <w:sz w:val="24"/>
          <w:szCs w:val="24"/>
        </w:rPr>
        <w:t>De la pensión de invalidez y las reglas jurisprudenciales respecto de personas con enfermedades congénitas, crónicas y/o degenerativas.</w:t>
      </w:r>
    </w:p>
    <w:p w:rsidR="00BE385B" w:rsidRPr="0087379C" w:rsidRDefault="00BE385B" w:rsidP="002E5C36">
      <w:pPr>
        <w:spacing w:after="0" w:line="276" w:lineRule="auto"/>
        <w:ind w:firstLine="709"/>
        <w:jc w:val="both"/>
        <w:rPr>
          <w:rFonts w:ascii="Tahoma" w:hAnsi="Tahoma" w:cs="Tahoma"/>
          <w:b/>
          <w:spacing w:val="-4"/>
          <w:sz w:val="24"/>
          <w:szCs w:val="24"/>
        </w:rPr>
      </w:pPr>
    </w:p>
    <w:p w:rsidR="00D04039" w:rsidRPr="0087379C" w:rsidRDefault="007F3523" w:rsidP="002E5C36">
      <w:pPr>
        <w:spacing w:after="0" w:line="276" w:lineRule="auto"/>
        <w:ind w:firstLine="709"/>
        <w:jc w:val="both"/>
        <w:rPr>
          <w:rFonts w:ascii="Tahoma" w:eastAsia="Calibri" w:hAnsi="Tahoma" w:cs="Tahoma"/>
          <w:spacing w:val="-4"/>
          <w:sz w:val="24"/>
          <w:szCs w:val="24"/>
        </w:rPr>
      </w:pPr>
      <w:r w:rsidRPr="0087379C">
        <w:rPr>
          <w:rFonts w:ascii="Tahoma" w:eastAsia="Calibri" w:hAnsi="Tahoma" w:cs="Tahoma"/>
          <w:spacing w:val="-4"/>
          <w:sz w:val="24"/>
          <w:szCs w:val="24"/>
        </w:rPr>
        <w:t xml:space="preserve">La ley 100 de 1993, </w:t>
      </w:r>
      <w:r w:rsidR="00D04039" w:rsidRPr="0087379C">
        <w:rPr>
          <w:rFonts w:ascii="Tahoma" w:eastAsia="Calibri" w:hAnsi="Tahoma" w:cs="Tahoma"/>
          <w:spacing w:val="-4"/>
          <w:sz w:val="24"/>
          <w:szCs w:val="24"/>
        </w:rPr>
        <w:t>modificada por la ley 860 de 2003,</w:t>
      </w:r>
      <w:r w:rsidRPr="0087379C">
        <w:rPr>
          <w:rFonts w:ascii="Tahoma" w:eastAsia="Calibri" w:hAnsi="Tahoma" w:cs="Tahoma"/>
          <w:spacing w:val="-4"/>
          <w:sz w:val="24"/>
          <w:szCs w:val="24"/>
        </w:rPr>
        <w:t xml:space="preserve"> regula una prestación económica para aquellas personas que por presentar un estado de invalidez no puede</w:t>
      </w:r>
      <w:r w:rsidR="00D04039" w:rsidRPr="0087379C">
        <w:rPr>
          <w:rFonts w:ascii="Tahoma" w:eastAsia="Calibri" w:hAnsi="Tahoma" w:cs="Tahoma"/>
          <w:spacing w:val="-4"/>
          <w:sz w:val="24"/>
          <w:szCs w:val="24"/>
        </w:rPr>
        <w:t>n</w:t>
      </w:r>
      <w:r w:rsidRPr="0087379C">
        <w:rPr>
          <w:rFonts w:ascii="Tahoma" w:eastAsia="Calibri" w:hAnsi="Tahoma" w:cs="Tahoma"/>
          <w:spacing w:val="-4"/>
          <w:sz w:val="24"/>
          <w:szCs w:val="24"/>
        </w:rPr>
        <w:t xml:space="preserve"> prestar </w:t>
      </w:r>
      <w:r w:rsidR="00D04039" w:rsidRPr="0087379C">
        <w:rPr>
          <w:rFonts w:ascii="Tahoma" w:eastAsia="Calibri" w:hAnsi="Tahoma" w:cs="Tahoma"/>
          <w:spacing w:val="-4"/>
          <w:sz w:val="24"/>
          <w:szCs w:val="24"/>
        </w:rPr>
        <w:t>su fuerza de trabajo y con ello</w:t>
      </w:r>
      <w:r w:rsidRPr="0087379C">
        <w:rPr>
          <w:rFonts w:ascii="Tahoma" w:eastAsia="Calibri" w:hAnsi="Tahoma" w:cs="Tahoma"/>
          <w:spacing w:val="-4"/>
          <w:sz w:val="24"/>
          <w:szCs w:val="24"/>
        </w:rPr>
        <w:t xml:space="preserve"> devengar por sus propios medios su sustento. Es así que la referida norma establece dos  requisitos para acceder a la pensión de invalidez: i) tener una pérdida de capacidad laboral igual o superior al 50% y ii) contar con 50 semanas cotizadas en los 3 años anteriores a la fecha de estructuración.</w:t>
      </w:r>
    </w:p>
    <w:p w:rsidR="00D04039" w:rsidRPr="0087379C" w:rsidRDefault="00D04039" w:rsidP="002E5C36">
      <w:pPr>
        <w:pStyle w:val="Sinespaciado"/>
        <w:spacing w:line="276" w:lineRule="auto"/>
        <w:rPr>
          <w:rFonts w:ascii="Tahoma" w:hAnsi="Tahoma" w:cs="Tahoma"/>
          <w:spacing w:val="-4"/>
          <w:sz w:val="24"/>
          <w:szCs w:val="24"/>
        </w:rPr>
      </w:pPr>
    </w:p>
    <w:p w:rsidR="00D04039" w:rsidRPr="0087379C" w:rsidRDefault="00D04039" w:rsidP="002E5C36">
      <w:pPr>
        <w:spacing w:after="0" w:line="276" w:lineRule="auto"/>
        <w:ind w:firstLine="709"/>
        <w:jc w:val="both"/>
        <w:rPr>
          <w:rFonts w:ascii="Tahoma" w:eastAsia="Calibri" w:hAnsi="Tahoma" w:cs="Tahoma"/>
          <w:spacing w:val="-4"/>
          <w:sz w:val="24"/>
          <w:szCs w:val="24"/>
        </w:rPr>
      </w:pPr>
      <w:r w:rsidRPr="0087379C">
        <w:rPr>
          <w:rFonts w:ascii="Tahoma" w:eastAsia="Calibri" w:hAnsi="Tahoma" w:cs="Tahoma"/>
          <w:spacing w:val="-4"/>
          <w:sz w:val="24"/>
          <w:szCs w:val="24"/>
        </w:rPr>
        <w:t xml:space="preserve">No obstante, la norma en comento no contempla las circunstancias en las que se encuentran las personas que por padecer enfermedades congénitas, crónicas y/o degenerativas han sido calificadas con una pérdida de capacidad </w:t>
      </w:r>
      <w:r w:rsidR="00B741D0" w:rsidRPr="0087379C">
        <w:rPr>
          <w:rFonts w:ascii="Tahoma" w:eastAsia="Calibri" w:hAnsi="Tahoma" w:cs="Tahoma"/>
          <w:spacing w:val="-4"/>
          <w:sz w:val="24"/>
          <w:szCs w:val="24"/>
        </w:rPr>
        <w:t xml:space="preserve">igual o superior al 50% pero </w:t>
      </w:r>
      <w:r w:rsidRPr="0087379C">
        <w:rPr>
          <w:rFonts w:ascii="Tahoma" w:eastAsia="Calibri" w:hAnsi="Tahoma" w:cs="Tahoma"/>
          <w:spacing w:val="-4"/>
          <w:sz w:val="24"/>
          <w:szCs w:val="24"/>
        </w:rPr>
        <w:t xml:space="preserve">con fecha de estructuración </w:t>
      </w:r>
      <w:r w:rsidR="00B741D0" w:rsidRPr="0087379C">
        <w:rPr>
          <w:rFonts w:ascii="Tahoma" w:eastAsia="Calibri" w:hAnsi="Tahoma" w:cs="Tahoma"/>
          <w:spacing w:val="-4"/>
          <w:sz w:val="24"/>
          <w:szCs w:val="24"/>
        </w:rPr>
        <w:t>coincidente con el día de su nacimiento o con otra cercana a ese momento</w:t>
      </w:r>
      <w:r w:rsidRPr="0087379C">
        <w:rPr>
          <w:rFonts w:ascii="Tahoma" w:eastAsia="Calibri" w:hAnsi="Tahoma" w:cs="Tahoma"/>
          <w:spacing w:val="-4"/>
          <w:sz w:val="24"/>
          <w:szCs w:val="24"/>
        </w:rPr>
        <w:t>, lo que implica que las cotizaciones efectuadas con el fin de adquirir el derecho pensional son posteriores a la estructuración, es decir, no pueden cumplir con el requisito objetivo de 50 semanas.</w:t>
      </w:r>
    </w:p>
    <w:p w:rsidR="00D04039" w:rsidRPr="0087379C" w:rsidRDefault="00D04039" w:rsidP="002E5C36">
      <w:pPr>
        <w:pStyle w:val="Sinespaciado"/>
        <w:spacing w:line="276" w:lineRule="auto"/>
        <w:rPr>
          <w:rFonts w:ascii="Tahoma" w:hAnsi="Tahoma" w:cs="Tahoma"/>
          <w:spacing w:val="-4"/>
          <w:sz w:val="24"/>
          <w:szCs w:val="24"/>
        </w:rPr>
      </w:pPr>
    </w:p>
    <w:p w:rsidR="00A8598B" w:rsidRPr="0087379C" w:rsidRDefault="00D04039" w:rsidP="002E5C36">
      <w:pPr>
        <w:spacing w:after="0" w:line="276" w:lineRule="auto"/>
        <w:ind w:firstLine="709"/>
        <w:jc w:val="both"/>
        <w:rPr>
          <w:rFonts w:ascii="Tahoma" w:eastAsia="Calibri" w:hAnsi="Tahoma" w:cs="Tahoma"/>
          <w:spacing w:val="-4"/>
          <w:sz w:val="24"/>
          <w:szCs w:val="24"/>
        </w:rPr>
      </w:pPr>
      <w:r w:rsidRPr="0087379C">
        <w:rPr>
          <w:rFonts w:ascii="Tahoma" w:eastAsia="Calibri" w:hAnsi="Tahoma" w:cs="Tahoma"/>
          <w:spacing w:val="-4"/>
          <w:sz w:val="24"/>
          <w:szCs w:val="24"/>
        </w:rPr>
        <w:t>Precisamente en repuesta a dichos casos, la Corte Constitucional ha estab</w:t>
      </w:r>
      <w:r w:rsidR="008E0CD2" w:rsidRPr="0087379C">
        <w:rPr>
          <w:rFonts w:ascii="Tahoma" w:eastAsia="Calibri" w:hAnsi="Tahoma" w:cs="Tahoma"/>
          <w:spacing w:val="-4"/>
          <w:sz w:val="24"/>
          <w:szCs w:val="24"/>
        </w:rPr>
        <w:t xml:space="preserve">lecido </w:t>
      </w:r>
      <w:r w:rsidR="00A42F79" w:rsidRPr="0087379C">
        <w:rPr>
          <w:rFonts w:ascii="Tahoma" w:eastAsia="Calibri" w:hAnsi="Tahoma" w:cs="Tahoma"/>
          <w:spacing w:val="-4"/>
          <w:sz w:val="24"/>
          <w:szCs w:val="24"/>
        </w:rPr>
        <w:t>que no puede realizarse un conteo mecánico de las 50 semanas cotizadas dentro de los 3 años anteriores a la estructuración, sino que tratándose de patologías</w:t>
      </w:r>
      <w:r w:rsidR="00A8598B" w:rsidRPr="0087379C">
        <w:rPr>
          <w:rFonts w:ascii="Tahoma" w:eastAsia="Calibri" w:hAnsi="Tahoma" w:cs="Tahoma"/>
          <w:spacing w:val="-4"/>
          <w:sz w:val="24"/>
          <w:szCs w:val="24"/>
        </w:rPr>
        <w:t xml:space="preserve"> congénitas, </w:t>
      </w:r>
      <w:r w:rsidR="00A42F79" w:rsidRPr="0087379C">
        <w:rPr>
          <w:rFonts w:ascii="Tahoma" w:eastAsia="Calibri" w:hAnsi="Tahoma" w:cs="Tahoma"/>
          <w:spacing w:val="-4"/>
          <w:sz w:val="24"/>
          <w:szCs w:val="24"/>
        </w:rPr>
        <w:t>crónicas y/o degenerativas,</w:t>
      </w:r>
      <w:r w:rsidR="00A8598B" w:rsidRPr="0087379C">
        <w:rPr>
          <w:rFonts w:ascii="Tahoma" w:eastAsia="Calibri" w:hAnsi="Tahoma" w:cs="Tahoma"/>
          <w:spacing w:val="-4"/>
          <w:sz w:val="24"/>
          <w:szCs w:val="24"/>
        </w:rPr>
        <w:t xml:space="preserve"> es posible tener en cuenta la fecha de calificación de la invalidez o la fecha de la última cotización, al presumirse que hasta ese momento se conservó una fuerza de trabajo residual que le permitió ser laboralmente productivo. Lo anterior siempre que esté comprobado que las cotizaciones efectuadas responde a una efectiva prestación del servicio y no una intención de defraudar el sistema. Así lo concluyó la Corte Constitucional en la sentencia SU-588 del 2016. M.P. ALEJANDRO LINARES CANTILLO:</w:t>
      </w:r>
    </w:p>
    <w:p w:rsidR="00A8598B" w:rsidRPr="0087379C" w:rsidRDefault="00A8598B" w:rsidP="00963911">
      <w:pPr>
        <w:pStyle w:val="Sinespaciado"/>
        <w:spacing w:line="276" w:lineRule="auto"/>
        <w:rPr>
          <w:rFonts w:ascii="Tahoma" w:hAnsi="Tahoma" w:cs="Tahoma"/>
          <w:spacing w:val="-4"/>
          <w:sz w:val="24"/>
          <w:szCs w:val="24"/>
        </w:rPr>
      </w:pPr>
    </w:p>
    <w:p w:rsidR="00A8598B" w:rsidRPr="0087379C" w:rsidRDefault="00A8598B" w:rsidP="00963911">
      <w:pPr>
        <w:spacing w:after="0" w:line="240" w:lineRule="auto"/>
        <w:ind w:left="426" w:right="418"/>
        <w:jc w:val="both"/>
        <w:rPr>
          <w:rFonts w:ascii="Tahoma" w:hAnsi="Tahoma" w:cs="Tahoma"/>
          <w:i/>
          <w:spacing w:val="-4"/>
          <w:szCs w:val="24"/>
        </w:rPr>
      </w:pPr>
      <w:r w:rsidRPr="0087379C">
        <w:rPr>
          <w:rFonts w:ascii="Tahoma" w:hAnsi="Tahoma" w:cs="Tahoma"/>
          <w:i/>
          <w:spacing w:val="-4"/>
          <w:szCs w:val="24"/>
        </w:rPr>
        <w:t xml:space="preserve">“Es por eso que esta Corte ha establecido que, luego de determinar que la solicitud fue presentada por una persona con una enfermedad congénita, crónica y/o degenerativa, a las Administradoras de Fondos de Pensiones, les corresponde verificar que los pagos realizados después de la estructuración de la invalidez,  (i) hayan sido aportados en </w:t>
      </w:r>
      <w:r w:rsidRPr="0087379C">
        <w:rPr>
          <w:rFonts w:ascii="Tahoma" w:hAnsi="Tahoma" w:cs="Tahoma"/>
          <w:i/>
          <w:spacing w:val="-4"/>
          <w:szCs w:val="24"/>
        </w:rPr>
        <w:lastRenderedPageBreak/>
        <w:t>ejercicio de una efectiva y probada capacidad laboral residual del interesado y (ii) que éstos no se realizaron con el único fin de defraudar el Sistema de Seguridad Social.”</w:t>
      </w:r>
    </w:p>
    <w:p w:rsidR="00963911" w:rsidRPr="0087379C" w:rsidRDefault="00963911" w:rsidP="00963911">
      <w:pPr>
        <w:pStyle w:val="Sinespaciado"/>
        <w:spacing w:line="276" w:lineRule="auto"/>
        <w:rPr>
          <w:rFonts w:ascii="Tahoma" w:hAnsi="Tahoma" w:cs="Tahoma"/>
          <w:spacing w:val="-4"/>
          <w:sz w:val="24"/>
          <w:szCs w:val="24"/>
        </w:rPr>
      </w:pPr>
    </w:p>
    <w:p w:rsidR="00935783" w:rsidRPr="0087379C" w:rsidRDefault="00BE385B" w:rsidP="002E5C36">
      <w:pPr>
        <w:spacing w:after="0" w:line="276" w:lineRule="auto"/>
        <w:ind w:firstLine="709"/>
        <w:jc w:val="both"/>
        <w:rPr>
          <w:rFonts w:ascii="Tahoma" w:hAnsi="Tahoma" w:cs="Tahoma"/>
          <w:b/>
          <w:spacing w:val="-4"/>
          <w:sz w:val="24"/>
          <w:szCs w:val="24"/>
        </w:rPr>
      </w:pPr>
      <w:r w:rsidRPr="0087379C">
        <w:rPr>
          <w:rFonts w:ascii="Tahoma" w:hAnsi="Tahoma" w:cs="Tahoma"/>
          <w:b/>
          <w:spacing w:val="-4"/>
          <w:sz w:val="24"/>
          <w:szCs w:val="24"/>
        </w:rPr>
        <w:t xml:space="preserve">5.5 </w:t>
      </w:r>
      <w:r w:rsidR="00935783" w:rsidRPr="0087379C">
        <w:rPr>
          <w:rFonts w:ascii="Tahoma" w:hAnsi="Tahoma" w:cs="Tahoma"/>
          <w:b/>
          <w:spacing w:val="-4"/>
          <w:sz w:val="24"/>
          <w:szCs w:val="24"/>
        </w:rPr>
        <w:t>Caso concreto</w:t>
      </w:r>
    </w:p>
    <w:p w:rsidR="00935783" w:rsidRPr="0087379C" w:rsidRDefault="00935783" w:rsidP="00963911">
      <w:pPr>
        <w:pStyle w:val="Sinespaciado"/>
        <w:spacing w:line="276" w:lineRule="auto"/>
        <w:rPr>
          <w:rFonts w:ascii="Tahoma" w:hAnsi="Tahoma" w:cs="Tahoma"/>
          <w:spacing w:val="-4"/>
          <w:sz w:val="24"/>
          <w:szCs w:val="24"/>
        </w:rPr>
      </w:pPr>
    </w:p>
    <w:p w:rsidR="003A2A82" w:rsidRPr="0087379C" w:rsidRDefault="003A2A82" w:rsidP="002E5C36">
      <w:pPr>
        <w:spacing w:after="0" w:line="276" w:lineRule="auto"/>
        <w:ind w:firstLine="709"/>
        <w:jc w:val="both"/>
        <w:rPr>
          <w:rFonts w:ascii="Tahoma" w:eastAsia="Calibri" w:hAnsi="Tahoma" w:cs="Tahoma"/>
          <w:spacing w:val="-4"/>
          <w:sz w:val="24"/>
          <w:szCs w:val="24"/>
        </w:rPr>
      </w:pPr>
      <w:r w:rsidRPr="0087379C">
        <w:rPr>
          <w:rFonts w:ascii="Tahoma" w:eastAsia="Calibri" w:hAnsi="Tahoma" w:cs="Tahoma"/>
          <w:spacing w:val="-4"/>
          <w:sz w:val="24"/>
          <w:szCs w:val="24"/>
        </w:rPr>
        <w:t xml:space="preserve">Respecto a la procedencia de la acción de tutela, debe decirse que conforme a los pronunciamientos de la Corte Constitucional en principio, resulta procedente el amparo </w:t>
      </w:r>
      <w:r w:rsidR="00091F29" w:rsidRPr="0087379C">
        <w:rPr>
          <w:rFonts w:ascii="Tahoma" w:eastAsia="Calibri" w:hAnsi="Tahoma" w:cs="Tahoma"/>
          <w:spacing w:val="-4"/>
          <w:sz w:val="24"/>
          <w:szCs w:val="24"/>
        </w:rPr>
        <w:t>por las siguientes razones</w:t>
      </w:r>
      <w:r w:rsidRPr="0087379C">
        <w:rPr>
          <w:rFonts w:ascii="Tahoma" w:eastAsia="Calibri" w:hAnsi="Tahoma" w:cs="Tahoma"/>
          <w:spacing w:val="-4"/>
          <w:sz w:val="24"/>
          <w:szCs w:val="24"/>
        </w:rPr>
        <w:t xml:space="preserve">: i) el actor cuenta con un dictamen de pérdida de capacidad laboral de 64.28% lo que lo hace acreedor de una especial protección por parte del Estado; ii) la pensión deprecada se presenta como la única alternativa posible para que el accionante obtenga su sustento económico, por lo que, de comprobarse su derecho a acceder a la misma, la falta de pago le genera una vulneración a sus derechos fundamentales, especialmente </w:t>
      </w:r>
      <w:r w:rsidR="00EB7761" w:rsidRPr="0087379C">
        <w:rPr>
          <w:rFonts w:ascii="Tahoma" w:eastAsia="Calibri" w:hAnsi="Tahoma" w:cs="Tahoma"/>
          <w:spacing w:val="-4"/>
          <w:sz w:val="24"/>
          <w:szCs w:val="24"/>
        </w:rPr>
        <w:t>a</w:t>
      </w:r>
      <w:r w:rsidRPr="0087379C">
        <w:rPr>
          <w:rFonts w:ascii="Tahoma" w:eastAsia="Calibri" w:hAnsi="Tahoma" w:cs="Tahoma"/>
          <w:spacing w:val="-4"/>
          <w:sz w:val="24"/>
          <w:szCs w:val="24"/>
        </w:rPr>
        <w:t>l mínimo vita</w:t>
      </w:r>
      <w:r w:rsidR="00EB7761" w:rsidRPr="0087379C">
        <w:rPr>
          <w:rFonts w:ascii="Tahoma" w:eastAsia="Calibri" w:hAnsi="Tahoma" w:cs="Tahoma"/>
          <w:spacing w:val="-4"/>
          <w:sz w:val="24"/>
          <w:szCs w:val="24"/>
        </w:rPr>
        <w:t xml:space="preserve"> que se mantiene actualizada e inalterada a pesar del paso del tiempo</w:t>
      </w:r>
      <w:r w:rsidRPr="0087379C">
        <w:rPr>
          <w:rFonts w:ascii="Tahoma" w:eastAsia="Calibri" w:hAnsi="Tahoma" w:cs="Tahoma"/>
          <w:spacing w:val="-4"/>
          <w:sz w:val="24"/>
          <w:szCs w:val="24"/>
        </w:rPr>
        <w:t>; iii)</w:t>
      </w:r>
      <w:r w:rsidR="00EB7761" w:rsidRPr="0087379C">
        <w:rPr>
          <w:rFonts w:ascii="Tahoma" w:eastAsia="Calibri" w:hAnsi="Tahoma" w:cs="Tahoma"/>
          <w:spacing w:val="-4"/>
          <w:sz w:val="24"/>
          <w:szCs w:val="24"/>
        </w:rPr>
        <w:t xml:space="preserve"> está comprobado que el señor Aníbal Arboleda desplegó las actuaciones administrativas pertinentes con el fin de adquirir el reconocimiento pensional pues de ello dan cuenta las resoluciones GNR202513 del 05 de junio de 2014 (</w:t>
      </w:r>
      <w:proofErr w:type="spellStart"/>
      <w:r w:rsidR="00EB7761" w:rsidRPr="0087379C">
        <w:rPr>
          <w:rFonts w:ascii="Tahoma" w:eastAsia="Calibri" w:hAnsi="Tahoma" w:cs="Tahoma"/>
          <w:spacing w:val="-4"/>
          <w:sz w:val="24"/>
          <w:szCs w:val="24"/>
        </w:rPr>
        <w:t>fl</w:t>
      </w:r>
      <w:proofErr w:type="spellEnd"/>
      <w:r w:rsidR="00EB7761" w:rsidRPr="0087379C">
        <w:rPr>
          <w:rFonts w:ascii="Tahoma" w:eastAsia="Calibri" w:hAnsi="Tahoma" w:cs="Tahoma"/>
          <w:spacing w:val="-4"/>
          <w:sz w:val="24"/>
          <w:szCs w:val="24"/>
        </w:rPr>
        <w:t>. 47) y VPB15682 del 12 de septiembre de 2014 (</w:t>
      </w:r>
      <w:proofErr w:type="spellStart"/>
      <w:r w:rsidR="00EB7761" w:rsidRPr="0087379C">
        <w:rPr>
          <w:rFonts w:ascii="Tahoma" w:eastAsia="Calibri" w:hAnsi="Tahoma" w:cs="Tahoma"/>
          <w:spacing w:val="-4"/>
          <w:sz w:val="24"/>
          <w:szCs w:val="24"/>
        </w:rPr>
        <w:t>fl</w:t>
      </w:r>
      <w:proofErr w:type="spellEnd"/>
      <w:r w:rsidR="00EB7761" w:rsidRPr="0087379C">
        <w:rPr>
          <w:rFonts w:ascii="Tahoma" w:eastAsia="Calibri" w:hAnsi="Tahoma" w:cs="Tahoma"/>
          <w:spacing w:val="-4"/>
          <w:sz w:val="24"/>
          <w:szCs w:val="24"/>
        </w:rPr>
        <w:t xml:space="preserve">. 49); iv) la ineficacia del medio judicial ordinario se reporta ineficaz en el entendido de que </w:t>
      </w:r>
      <w:r w:rsidRPr="0087379C">
        <w:rPr>
          <w:rFonts w:ascii="Tahoma" w:eastAsia="Calibri" w:hAnsi="Tahoma" w:cs="Tahoma"/>
          <w:spacing w:val="-4"/>
          <w:sz w:val="24"/>
          <w:szCs w:val="24"/>
        </w:rPr>
        <w:t xml:space="preserve">resultaría en una carga mayor de la que está obligado a soportar, toda vez que no se encuentra en condiciones de laborar y por tanto devengar un salario, por lo que la pensión deprecada constituiría su única fuente de ingresos. </w:t>
      </w:r>
    </w:p>
    <w:p w:rsidR="00EB7761" w:rsidRPr="0087379C" w:rsidRDefault="00EB7761" w:rsidP="002E5C36">
      <w:pPr>
        <w:pStyle w:val="Sinespaciado"/>
        <w:spacing w:line="276" w:lineRule="auto"/>
        <w:rPr>
          <w:rFonts w:ascii="Tahoma" w:hAnsi="Tahoma" w:cs="Tahoma"/>
          <w:spacing w:val="-4"/>
          <w:sz w:val="24"/>
          <w:szCs w:val="24"/>
        </w:rPr>
      </w:pPr>
    </w:p>
    <w:p w:rsidR="003A2A82" w:rsidRPr="0087379C" w:rsidRDefault="003A2A82" w:rsidP="002E5C36">
      <w:pPr>
        <w:spacing w:after="0" w:line="276" w:lineRule="auto"/>
        <w:ind w:firstLine="709"/>
        <w:jc w:val="both"/>
        <w:rPr>
          <w:rFonts w:ascii="Tahoma" w:eastAsia="Calibri" w:hAnsi="Tahoma" w:cs="Tahoma"/>
          <w:spacing w:val="-4"/>
          <w:sz w:val="24"/>
          <w:szCs w:val="24"/>
        </w:rPr>
      </w:pPr>
      <w:r w:rsidRPr="0087379C">
        <w:rPr>
          <w:rFonts w:ascii="Tahoma" w:eastAsia="Calibri" w:hAnsi="Tahoma" w:cs="Tahoma"/>
          <w:spacing w:val="-4"/>
          <w:sz w:val="24"/>
          <w:szCs w:val="24"/>
        </w:rPr>
        <w:t>Así las cosas, teniendo claro que es posible</w:t>
      </w:r>
      <w:r w:rsidR="00EB7761" w:rsidRPr="0087379C">
        <w:rPr>
          <w:rFonts w:ascii="Tahoma" w:eastAsia="Calibri" w:hAnsi="Tahoma" w:cs="Tahoma"/>
          <w:spacing w:val="-4"/>
          <w:sz w:val="24"/>
          <w:szCs w:val="24"/>
        </w:rPr>
        <w:t xml:space="preserve"> para la Sala pronunciarse de fondo sobre el amparo deprecado,</w:t>
      </w:r>
      <w:r w:rsidRPr="0087379C">
        <w:rPr>
          <w:rFonts w:ascii="Tahoma" w:eastAsia="Calibri" w:hAnsi="Tahoma" w:cs="Tahoma"/>
          <w:spacing w:val="-4"/>
          <w:sz w:val="24"/>
          <w:szCs w:val="24"/>
        </w:rPr>
        <w:t xml:space="preserve"> en relación a las condiciones específicas del actor y en concordancia con la jurisprudencia del Alto Tribunal, la Sala verificará los requisitos contenidos en la Ley </w:t>
      </w:r>
      <w:r w:rsidR="00EB7761" w:rsidRPr="0087379C">
        <w:rPr>
          <w:rFonts w:ascii="Tahoma" w:eastAsia="Calibri" w:hAnsi="Tahoma" w:cs="Tahoma"/>
          <w:spacing w:val="-4"/>
          <w:sz w:val="24"/>
          <w:szCs w:val="24"/>
        </w:rPr>
        <w:t>100 de 1993</w:t>
      </w:r>
      <w:r w:rsidRPr="0087379C">
        <w:rPr>
          <w:rFonts w:ascii="Tahoma" w:eastAsia="Calibri" w:hAnsi="Tahoma" w:cs="Tahoma"/>
          <w:spacing w:val="-4"/>
          <w:sz w:val="24"/>
          <w:szCs w:val="24"/>
        </w:rPr>
        <w:t xml:space="preserve">, con las modificaciones introducidas por la ley </w:t>
      </w:r>
      <w:r w:rsidR="007F3A2A" w:rsidRPr="0087379C">
        <w:rPr>
          <w:rFonts w:ascii="Tahoma" w:eastAsia="Calibri" w:hAnsi="Tahoma" w:cs="Tahoma"/>
          <w:spacing w:val="-4"/>
          <w:sz w:val="24"/>
          <w:szCs w:val="24"/>
        </w:rPr>
        <w:t>860 de 2003</w:t>
      </w:r>
      <w:r w:rsidRPr="0087379C">
        <w:rPr>
          <w:rFonts w:ascii="Tahoma" w:eastAsia="Calibri" w:hAnsi="Tahoma" w:cs="Tahoma"/>
          <w:spacing w:val="-4"/>
          <w:sz w:val="24"/>
          <w:szCs w:val="24"/>
        </w:rPr>
        <w:t xml:space="preserve"> y el alcance que les ha otorgado la Corte Constitucional en la sentencia </w:t>
      </w:r>
      <w:r w:rsidR="007F3A2A" w:rsidRPr="0087379C">
        <w:rPr>
          <w:rFonts w:ascii="Tahoma" w:eastAsia="Calibri" w:hAnsi="Tahoma" w:cs="Tahoma"/>
          <w:spacing w:val="-4"/>
          <w:sz w:val="24"/>
          <w:szCs w:val="24"/>
        </w:rPr>
        <w:t xml:space="preserve">de unificación </w:t>
      </w:r>
      <w:r w:rsidRPr="0087379C">
        <w:rPr>
          <w:rFonts w:ascii="Tahoma" w:eastAsia="Calibri" w:hAnsi="Tahoma" w:cs="Tahoma"/>
          <w:spacing w:val="-4"/>
          <w:sz w:val="24"/>
          <w:szCs w:val="24"/>
        </w:rPr>
        <w:t>citada</w:t>
      </w:r>
      <w:r w:rsidR="007F3A2A" w:rsidRPr="0087379C">
        <w:rPr>
          <w:rFonts w:ascii="Tahoma" w:eastAsia="Calibri" w:hAnsi="Tahoma" w:cs="Tahoma"/>
          <w:spacing w:val="-4"/>
          <w:sz w:val="24"/>
          <w:szCs w:val="24"/>
        </w:rPr>
        <w:t xml:space="preserve">, </w:t>
      </w:r>
      <w:r w:rsidRPr="0087379C">
        <w:rPr>
          <w:rFonts w:ascii="Tahoma" w:eastAsia="Calibri" w:hAnsi="Tahoma" w:cs="Tahoma"/>
          <w:spacing w:val="-4"/>
          <w:sz w:val="24"/>
          <w:szCs w:val="24"/>
        </w:rPr>
        <w:t xml:space="preserve">para determinar si le asiste o no derecho al señor </w:t>
      </w:r>
      <w:r w:rsidR="007F3A2A" w:rsidRPr="0087379C">
        <w:rPr>
          <w:rFonts w:ascii="Tahoma" w:eastAsia="Calibri" w:hAnsi="Tahoma" w:cs="Tahoma"/>
          <w:spacing w:val="-4"/>
          <w:sz w:val="24"/>
          <w:szCs w:val="24"/>
        </w:rPr>
        <w:t xml:space="preserve">BAIRON ANIMAL ARBOLEDA de acceder a la pensión de invalidez por padecer una </w:t>
      </w:r>
      <w:r w:rsidR="00091F29" w:rsidRPr="0087379C">
        <w:rPr>
          <w:rFonts w:ascii="Tahoma" w:eastAsia="Calibri" w:hAnsi="Tahoma" w:cs="Tahoma"/>
          <w:spacing w:val="-4"/>
          <w:sz w:val="24"/>
          <w:szCs w:val="24"/>
        </w:rPr>
        <w:t xml:space="preserve">enfermedad </w:t>
      </w:r>
      <w:r w:rsidR="007F3A2A" w:rsidRPr="0087379C">
        <w:rPr>
          <w:rFonts w:ascii="Tahoma" w:eastAsia="Calibri" w:hAnsi="Tahoma" w:cs="Tahoma"/>
          <w:spacing w:val="-4"/>
          <w:sz w:val="24"/>
          <w:szCs w:val="24"/>
        </w:rPr>
        <w:t>congénita, crónica y/o degenerativa</w:t>
      </w:r>
      <w:r w:rsidRPr="0087379C">
        <w:rPr>
          <w:rFonts w:ascii="Tahoma" w:eastAsia="Calibri" w:hAnsi="Tahoma" w:cs="Tahoma"/>
          <w:spacing w:val="-4"/>
          <w:sz w:val="24"/>
          <w:szCs w:val="24"/>
        </w:rPr>
        <w:t>.</w:t>
      </w:r>
    </w:p>
    <w:p w:rsidR="007F3A2A" w:rsidRPr="0087379C" w:rsidRDefault="007F3A2A" w:rsidP="002E5C36">
      <w:pPr>
        <w:pStyle w:val="Sinespaciado"/>
        <w:spacing w:line="276" w:lineRule="auto"/>
        <w:rPr>
          <w:rFonts w:ascii="Tahoma" w:hAnsi="Tahoma" w:cs="Tahoma"/>
          <w:spacing w:val="-4"/>
          <w:sz w:val="24"/>
          <w:szCs w:val="24"/>
        </w:rPr>
      </w:pPr>
    </w:p>
    <w:p w:rsidR="007F3A2A" w:rsidRPr="0087379C" w:rsidRDefault="007F3A2A" w:rsidP="002E5C36">
      <w:pPr>
        <w:spacing w:after="0" w:line="276" w:lineRule="auto"/>
        <w:ind w:firstLine="709"/>
        <w:jc w:val="both"/>
        <w:rPr>
          <w:rFonts w:ascii="Tahoma" w:eastAsia="Calibri" w:hAnsi="Tahoma" w:cs="Tahoma"/>
          <w:spacing w:val="-4"/>
          <w:sz w:val="24"/>
          <w:szCs w:val="24"/>
        </w:rPr>
      </w:pPr>
      <w:r w:rsidRPr="0087379C">
        <w:rPr>
          <w:rFonts w:ascii="Tahoma" w:eastAsia="Calibri" w:hAnsi="Tahoma" w:cs="Tahoma"/>
          <w:spacing w:val="-4"/>
          <w:sz w:val="24"/>
          <w:szCs w:val="24"/>
        </w:rPr>
        <w:t>En ese entendido está fuera de toda discusión que el accionante fue calificado por Colpensiones el 26 de agosto de 2013 con una pérdida de capacidad laboral del 64.28%, estructurada el 21 de mayo de 1965 (</w:t>
      </w:r>
      <w:proofErr w:type="spellStart"/>
      <w:r w:rsidRPr="0087379C">
        <w:rPr>
          <w:rFonts w:ascii="Tahoma" w:eastAsia="Calibri" w:hAnsi="Tahoma" w:cs="Tahoma"/>
          <w:spacing w:val="-4"/>
          <w:sz w:val="24"/>
          <w:szCs w:val="24"/>
        </w:rPr>
        <w:t>fls</w:t>
      </w:r>
      <w:proofErr w:type="spellEnd"/>
      <w:r w:rsidRPr="0087379C">
        <w:rPr>
          <w:rFonts w:ascii="Tahoma" w:eastAsia="Calibri" w:hAnsi="Tahoma" w:cs="Tahoma"/>
          <w:spacing w:val="-4"/>
          <w:sz w:val="24"/>
          <w:szCs w:val="24"/>
        </w:rPr>
        <w:t>. 18 y 19), calenda que coincide con la de su nacimiento (</w:t>
      </w:r>
      <w:proofErr w:type="spellStart"/>
      <w:r w:rsidRPr="0087379C">
        <w:rPr>
          <w:rFonts w:ascii="Tahoma" w:eastAsia="Calibri" w:hAnsi="Tahoma" w:cs="Tahoma"/>
          <w:spacing w:val="-4"/>
          <w:sz w:val="24"/>
          <w:szCs w:val="24"/>
        </w:rPr>
        <w:t>fl</w:t>
      </w:r>
      <w:proofErr w:type="spellEnd"/>
      <w:r w:rsidRPr="0087379C">
        <w:rPr>
          <w:rFonts w:ascii="Tahoma" w:eastAsia="Calibri" w:hAnsi="Tahoma" w:cs="Tahoma"/>
          <w:spacing w:val="-4"/>
          <w:sz w:val="24"/>
          <w:szCs w:val="24"/>
        </w:rPr>
        <w:t>. 11). Asimismo est</w:t>
      </w:r>
      <w:r w:rsidR="00091F29" w:rsidRPr="0087379C">
        <w:rPr>
          <w:rFonts w:ascii="Tahoma" w:eastAsia="Calibri" w:hAnsi="Tahoma" w:cs="Tahoma"/>
          <w:spacing w:val="-4"/>
          <w:sz w:val="24"/>
          <w:szCs w:val="24"/>
        </w:rPr>
        <w:t>á acreditado que</w:t>
      </w:r>
      <w:r w:rsidRPr="0087379C">
        <w:rPr>
          <w:rFonts w:ascii="Tahoma" w:eastAsia="Calibri" w:hAnsi="Tahoma" w:cs="Tahoma"/>
          <w:spacing w:val="-4"/>
          <w:sz w:val="24"/>
          <w:szCs w:val="24"/>
        </w:rPr>
        <w:t>, ninguna de las semanas cotizadas por el actor antecede la estructuración de la invalidez, pues se itera, nació con las patologías que le dan origen: hipoacusia conductiva bilateral, mastoiditis crónica, glaucoma congénito y ceguera bilateral.</w:t>
      </w:r>
    </w:p>
    <w:p w:rsidR="007F3A2A" w:rsidRPr="0087379C" w:rsidRDefault="007F3A2A" w:rsidP="002E5C36">
      <w:pPr>
        <w:spacing w:after="0" w:line="276" w:lineRule="auto"/>
        <w:ind w:firstLine="709"/>
        <w:jc w:val="both"/>
        <w:rPr>
          <w:rFonts w:ascii="Tahoma" w:eastAsia="Calibri" w:hAnsi="Tahoma" w:cs="Tahoma"/>
          <w:spacing w:val="-4"/>
          <w:sz w:val="24"/>
          <w:szCs w:val="24"/>
        </w:rPr>
      </w:pPr>
    </w:p>
    <w:p w:rsidR="007F3A2A" w:rsidRPr="0087379C" w:rsidRDefault="007F3A2A" w:rsidP="002E5C36">
      <w:pPr>
        <w:spacing w:after="0" w:line="276" w:lineRule="auto"/>
        <w:ind w:firstLine="709"/>
        <w:jc w:val="both"/>
        <w:rPr>
          <w:rFonts w:ascii="Tahoma" w:eastAsia="Calibri" w:hAnsi="Tahoma" w:cs="Tahoma"/>
          <w:spacing w:val="-4"/>
          <w:sz w:val="24"/>
          <w:szCs w:val="24"/>
        </w:rPr>
      </w:pPr>
      <w:r w:rsidRPr="0087379C">
        <w:rPr>
          <w:rFonts w:ascii="Tahoma" w:eastAsia="Calibri" w:hAnsi="Tahoma" w:cs="Tahoma"/>
          <w:spacing w:val="-4"/>
          <w:sz w:val="24"/>
          <w:szCs w:val="24"/>
        </w:rPr>
        <w:t xml:space="preserve">En este punto, siguiendo el derrotero marcada por la Corte Constitucional, una vez determinado que la solicitud fue presentada por una persona que padece de una enfermedad congénita, crónica y/o degenerativa, </w:t>
      </w:r>
      <w:r w:rsidR="009F1171" w:rsidRPr="0087379C">
        <w:rPr>
          <w:rFonts w:ascii="Tahoma" w:eastAsia="Calibri" w:hAnsi="Tahoma" w:cs="Tahoma"/>
          <w:spacing w:val="-4"/>
          <w:sz w:val="24"/>
          <w:szCs w:val="24"/>
        </w:rPr>
        <w:t>resta</w:t>
      </w:r>
      <w:r w:rsidRPr="0087379C">
        <w:rPr>
          <w:rFonts w:ascii="Tahoma" w:eastAsia="Calibri" w:hAnsi="Tahoma" w:cs="Tahoma"/>
          <w:spacing w:val="-4"/>
          <w:sz w:val="24"/>
          <w:szCs w:val="24"/>
        </w:rPr>
        <w:t xml:space="preserve"> verificar </w:t>
      </w:r>
      <w:r w:rsidR="009F1171" w:rsidRPr="0087379C">
        <w:rPr>
          <w:rFonts w:ascii="Tahoma" w:eastAsia="Calibri" w:hAnsi="Tahoma" w:cs="Tahoma"/>
          <w:spacing w:val="-4"/>
          <w:sz w:val="24"/>
          <w:szCs w:val="24"/>
        </w:rPr>
        <w:t xml:space="preserve">si las cotizaciones efectuadas son fruto de una actividad laboral y no </w:t>
      </w:r>
      <w:r w:rsidRPr="0087379C">
        <w:rPr>
          <w:rFonts w:ascii="Tahoma" w:eastAsia="Calibri" w:hAnsi="Tahoma" w:cs="Tahoma"/>
          <w:spacing w:val="-4"/>
          <w:sz w:val="24"/>
          <w:szCs w:val="24"/>
        </w:rPr>
        <w:t>con el único fin de defraudar el Sistema de Seguridad Social</w:t>
      </w:r>
      <w:r w:rsidR="009F1171" w:rsidRPr="0087379C">
        <w:rPr>
          <w:rFonts w:ascii="Tahoma" w:eastAsia="Calibri" w:hAnsi="Tahoma" w:cs="Tahoma"/>
          <w:spacing w:val="-4"/>
          <w:sz w:val="24"/>
          <w:szCs w:val="24"/>
        </w:rPr>
        <w:t xml:space="preserve">, para lo cual basta con remitirnos al tenor literal de la acción de tutela, que en el hecho segundo informa: </w:t>
      </w:r>
      <w:r w:rsidR="009F1171" w:rsidRPr="0087379C">
        <w:rPr>
          <w:rFonts w:ascii="Tahoma" w:eastAsia="Calibri" w:hAnsi="Tahoma" w:cs="Tahoma"/>
          <w:i/>
          <w:spacing w:val="-4"/>
          <w:sz w:val="24"/>
          <w:szCs w:val="24"/>
        </w:rPr>
        <w:t>“</w:t>
      </w:r>
      <w:r w:rsidR="009F1171" w:rsidRPr="0087379C">
        <w:rPr>
          <w:rFonts w:ascii="Tahoma" w:eastAsia="Calibri" w:hAnsi="Tahoma" w:cs="Tahoma"/>
          <w:i/>
          <w:spacing w:val="-4"/>
          <w:szCs w:val="24"/>
        </w:rPr>
        <w:t xml:space="preserve">El señor BAIRON ANIBAL ARBOLEDA GARCÍA se encuentra afiliado al Instituto de Seguros Sociales hoy Administradora Colombiana de Pensiones desde el 1º de abril de 1998, para un total de 905.57 semanas cotizadas a la fecha. </w:t>
      </w:r>
      <w:r w:rsidR="009F1171" w:rsidRPr="0087379C">
        <w:rPr>
          <w:rFonts w:ascii="Tahoma" w:eastAsia="Calibri" w:hAnsi="Tahoma" w:cs="Tahoma"/>
          <w:b/>
          <w:i/>
          <w:spacing w:val="-4"/>
          <w:szCs w:val="24"/>
          <w:u w:val="single"/>
        </w:rPr>
        <w:t xml:space="preserve">Cotizaciones que fueron </w:t>
      </w:r>
      <w:r w:rsidR="009F1171" w:rsidRPr="0087379C">
        <w:rPr>
          <w:rFonts w:ascii="Tahoma" w:eastAsia="Calibri" w:hAnsi="Tahoma" w:cs="Tahoma"/>
          <w:b/>
          <w:i/>
          <w:spacing w:val="-4"/>
          <w:szCs w:val="24"/>
          <w:u w:val="single"/>
        </w:rPr>
        <w:lastRenderedPageBreak/>
        <w:t>realizadas por la familia del accionante, con el fin de asegurarle un ingreso digno</w:t>
      </w:r>
      <w:r w:rsidR="00963911" w:rsidRPr="0087379C">
        <w:rPr>
          <w:rFonts w:ascii="Tahoma" w:eastAsia="Calibri" w:hAnsi="Tahoma" w:cs="Tahoma"/>
          <w:spacing w:val="-4"/>
          <w:sz w:val="24"/>
          <w:szCs w:val="24"/>
        </w:rPr>
        <w:t>”.</w:t>
      </w:r>
      <w:r w:rsidR="009F1171" w:rsidRPr="0087379C">
        <w:rPr>
          <w:rFonts w:ascii="Tahoma" w:eastAsia="Calibri" w:hAnsi="Tahoma" w:cs="Tahoma"/>
          <w:spacing w:val="-4"/>
          <w:sz w:val="24"/>
          <w:szCs w:val="24"/>
        </w:rPr>
        <w:t xml:space="preserve"> (Negrilla fuera del texto).</w:t>
      </w:r>
    </w:p>
    <w:p w:rsidR="009F1171" w:rsidRPr="0087379C" w:rsidRDefault="009F1171" w:rsidP="002E5C36">
      <w:pPr>
        <w:pStyle w:val="Sinespaciado"/>
        <w:spacing w:line="276" w:lineRule="auto"/>
        <w:rPr>
          <w:rFonts w:ascii="Tahoma" w:hAnsi="Tahoma" w:cs="Tahoma"/>
          <w:spacing w:val="-4"/>
          <w:sz w:val="24"/>
          <w:szCs w:val="24"/>
        </w:rPr>
      </w:pPr>
    </w:p>
    <w:p w:rsidR="009F1171" w:rsidRPr="0087379C" w:rsidRDefault="009F1171" w:rsidP="002E5C36">
      <w:pPr>
        <w:spacing w:after="0" w:line="276" w:lineRule="auto"/>
        <w:ind w:firstLine="709"/>
        <w:jc w:val="both"/>
        <w:rPr>
          <w:rFonts w:ascii="Tahoma" w:eastAsia="Calibri" w:hAnsi="Tahoma" w:cs="Tahoma"/>
          <w:spacing w:val="-4"/>
          <w:sz w:val="24"/>
          <w:szCs w:val="24"/>
        </w:rPr>
      </w:pPr>
      <w:r w:rsidRPr="0087379C">
        <w:rPr>
          <w:rFonts w:ascii="Tahoma" w:eastAsia="Calibri" w:hAnsi="Tahoma" w:cs="Tahoma"/>
          <w:spacing w:val="-4"/>
          <w:sz w:val="24"/>
          <w:szCs w:val="24"/>
        </w:rPr>
        <w:t>Dicha afirmación incorporada en el escrito introductorio b</w:t>
      </w:r>
      <w:r w:rsidR="003A7CF5" w:rsidRPr="0087379C">
        <w:rPr>
          <w:rFonts w:ascii="Tahoma" w:eastAsia="Calibri" w:hAnsi="Tahoma" w:cs="Tahoma"/>
          <w:spacing w:val="-4"/>
          <w:sz w:val="24"/>
          <w:szCs w:val="24"/>
        </w:rPr>
        <w:t xml:space="preserve">asta para desvirtuar la presunción de que las semanas cotizadas al sistema pensional en efecto fueron realizadas en virtud de una fuerza de trabajo residual, pues la misma parte actora está aceptando que no ha trabajado y los aportes obedecen al deseo de su familia de obtener el reconocimiento pensional, situación que torna improcedente el reconocimiento pensional, en los términos precisos de la sentencia de unificación de la Corte Constitucional. </w:t>
      </w:r>
    </w:p>
    <w:p w:rsidR="003A7CF5" w:rsidRPr="0087379C" w:rsidRDefault="003A7CF5" w:rsidP="002E5C36">
      <w:pPr>
        <w:pStyle w:val="Sinespaciado"/>
        <w:spacing w:line="276" w:lineRule="auto"/>
        <w:rPr>
          <w:rFonts w:ascii="Tahoma" w:hAnsi="Tahoma" w:cs="Tahoma"/>
          <w:spacing w:val="-4"/>
          <w:sz w:val="24"/>
          <w:szCs w:val="24"/>
        </w:rPr>
      </w:pPr>
    </w:p>
    <w:p w:rsidR="0004349B" w:rsidRPr="0087379C" w:rsidRDefault="003A7CF5" w:rsidP="002E5C36">
      <w:pPr>
        <w:spacing w:after="0" w:line="276" w:lineRule="auto"/>
        <w:ind w:firstLine="709"/>
        <w:jc w:val="both"/>
        <w:rPr>
          <w:rFonts w:ascii="Tahoma" w:eastAsia="Calibri" w:hAnsi="Tahoma" w:cs="Tahoma"/>
          <w:spacing w:val="-4"/>
          <w:sz w:val="24"/>
          <w:szCs w:val="24"/>
        </w:rPr>
      </w:pPr>
      <w:r w:rsidRPr="0087379C">
        <w:rPr>
          <w:rFonts w:ascii="Tahoma" w:eastAsia="Calibri" w:hAnsi="Tahoma" w:cs="Tahoma"/>
          <w:spacing w:val="-4"/>
          <w:sz w:val="24"/>
          <w:szCs w:val="24"/>
        </w:rPr>
        <w:t>En ese orden de ideas, no queda otro camino que confirmar la sentencia impugnada, pero por razones diferentes a las expuestas en primera instancia, en el entendido que si bien el amparo constitucional es procedente, el accionante no reúne los requisitos que la jurisprudencia constitucional ha establecido para obtener la pensión de invalidez al padecer una enfermedad congénita, crónica y/o degenerativa, esto es, que las cotizaciones efectuadas con posterioridad a la estructuración obedezcan a una fuerza laboral residual que le permitió trabajar.</w:t>
      </w:r>
    </w:p>
    <w:p w:rsidR="0004349B" w:rsidRPr="0087379C" w:rsidRDefault="0004349B" w:rsidP="002E5C36">
      <w:pPr>
        <w:pStyle w:val="Sinespaciado"/>
        <w:spacing w:line="276" w:lineRule="auto"/>
        <w:rPr>
          <w:rFonts w:ascii="Tahoma" w:hAnsi="Tahoma" w:cs="Tahoma"/>
          <w:spacing w:val="-4"/>
          <w:sz w:val="24"/>
          <w:szCs w:val="24"/>
        </w:rPr>
      </w:pPr>
    </w:p>
    <w:p w:rsidR="005F171E" w:rsidRPr="0087379C" w:rsidRDefault="005F171E" w:rsidP="002E5C36">
      <w:pPr>
        <w:spacing w:after="0" w:line="276" w:lineRule="auto"/>
        <w:ind w:firstLine="708"/>
        <w:jc w:val="both"/>
        <w:rPr>
          <w:rFonts w:ascii="Tahoma" w:eastAsia="Calibri" w:hAnsi="Tahoma" w:cs="Tahoma"/>
          <w:spacing w:val="-4"/>
          <w:sz w:val="24"/>
          <w:szCs w:val="24"/>
          <w:lang w:eastAsia="es-CO"/>
        </w:rPr>
      </w:pPr>
      <w:r w:rsidRPr="0087379C">
        <w:rPr>
          <w:rFonts w:ascii="Tahoma" w:eastAsia="Calibri" w:hAnsi="Tahoma" w:cs="Tahoma"/>
          <w:spacing w:val="-4"/>
          <w:sz w:val="24"/>
          <w:szCs w:val="24"/>
          <w:lang w:eastAsia="es-CO"/>
        </w:rPr>
        <w:t xml:space="preserve">En mérito de lo expuesto, la </w:t>
      </w:r>
      <w:r w:rsidRPr="0087379C">
        <w:rPr>
          <w:rFonts w:ascii="Tahoma" w:eastAsia="Calibri" w:hAnsi="Tahoma" w:cs="Tahoma"/>
          <w:b/>
          <w:spacing w:val="-4"/>
          <w:sz w:val="24"/>
          <w:szCs w:val="24"/>
          <w:lang w:eastAsia="es-CO"/>
        </w:rPr>
        <w:t>Sala de Decisión Laboral Número 1 del Tribunal Superior del Distrito Judicial de Pereira</w:t>
      </w:r>
      <w:r w:rsidRPr="0087379C">
        <w:rPr>
          <w:rFonts w:ascii="Tahoma" w:eastAsia="Calibri" w:hAnsi="Tahoma" w:cs="Tahoma"/>
          <w:spacing w:val="-4"/>
          <w:sz w:val="24"/>
          <w:szCs w:val="24"/>
          <w:lang w:eastAsia="es-CO"/>
        </w:rPr>
        <w:t>, en nombre del Pueblo y por autoridad de la Constitución y la ley,</w:t>
      </w:r>
    </w:p>
    <w:p w:rsidR="005F171E" w:rsidRPr="0087379C" w:rsidRDefault="005F171E" w:rsidP="002E5C36">
      <w:pPr>
        <w:pStyle w:val="Sinespaciado"/>
        <w:spacing w:line="276" w:lineRule="auto"/>
        <w:rPr>
          <w:rFonts w:ascii="Tahoma" w:hAnsi="Tahoma" w:cs="Tahoma"/>
          <w:spacing w:val="-4"/>
          <w:sz w:val="24"/>
          <w:szCs w:val="24"/>
          <w:lang w:eastAsia="es-CO"/>
        </w:rPr>
      </w:pPr>
    </w:p>
    <w:p w:rsidR="005F171E" w:rsidRPr="0087379C" w:rsidRDefault="005F171E" w:rsidP="002E5C36">
      <w:pPr>
        <w:keepNext/>
        <w:spacing w:after="0" w:line="276" w:lineRule="auto"/>
        <w:jc w:val="center"/>
        <w:outlineLvl w:val="3"/>
        <w:rPr>
          <w:rFonts w:ascii="Tahoma" w:eastAsia="Times New Roman" w:hAnsi="Tahoma" w:cs="Tahoma"/>
          <w:b/>
          <w:bCs/>
          <w:spacing w:val="-4"/>
          <w:sz w:val="24"/>
          <w:szCs w:val="24"/>
          <w:lang w:eastAsia="es-ES"/>
        </w:rPr>
      </w:pPr>
      <w:r w:rsidRPr="0087379C">
        <w:rPr>
          <w:rFonts w:ascii="Tahoma" w:eastAsia="Times New Roman" w:hAnsi="Tahoma" w:cs="Tahoma"/>
          <w:b/>
          <w:bCs/>
          <w:spacing w:val="-4"/>
          <w:sz w:val="24"/>
          <w:szCs w:val="24"/>
          <w:lang w:eastAsia="es-ES"/>
        </w:rPr>
        <w:t>RESUELVE</w:t>
      </w:r>
    </w:p>
    <w:p w:rsidR="005F171E" w:rsidRPr="0087379C" w:rsidRDefault="005F171E" w:rsidP="002E5C36">
      <w:pPr>
        <w:spacing w:after="0" w:line="276" w:lineRule="auto"/>
        <w:ind w:firstLine="708"/>
        <w:jc w:val="both"/>
        <w:rPr>
          <w:rFonts w:ascii="Tahoma" w:eastAsia="Calibri" w:hAnsi="Tahoma" w:cs="Tahoma"/>
          <w:bCs/>
          <w:spacing w:val="-4"/>
          <w:sz w:val="24"/>
          <w:szCs w:val="24"/>
        </w:rPr>
      </w:pPr>
    </w:p>
    <w:p w:rsidR="005F171E" w:rsidRPr="0087379C" w:rsidRDefault="005F171E" w:rsidP="002E5C36">
      <w:pPr>
        <w:spacing w:after="0" w:line="276" w:lineRule="auto"/>
        <w:ind w:right="3" w:firstLine="708"/>
        <w:jc w:val="both"/>
        <w:rPr>
          <w:rFonts w:ascii="Tahoma" w:eastAsia="Calibri" w:hAnsi="Tahoma" w:cs="Tahoma"/>
          <w:bCs/>
          <w:spacing w:val="-4"/>
          <w:sz w:val="24"/>
          <w:szCs w:val="24"/>
        </w:rPr>
      </w:pPr>
      <w:r w:rsidRPr="0087379C">
        <w:rPr>
          <w:rFonts w:ascii="Tahoma" w:eastAsia="Calibri" w:hAnsi="Tahoma" w:cs="Tahoma"/>
          <w:b/>
          <w:bCs/>
          <w:spacing w:val="-4"/>
          <w:sz w:val="24"/>
          <w:szCs w:val="24"/>
        </w:rPr>
        <w:t>PRIMERO:</w:t>
      </w:r>
      <w:r w:rsidRPr="0087379C">
        <w:rPr>
          <w:rFonts w:ascii="Tahoma" w:eastAsia="Calibri" w:hAnsi="Tahoma" w:cs="Tahoma"/>
          <w:bCs/>
          <w:spacing w:val="-4"/>
          <w:sz w:val="24"/>
          <w:szCs w:val="24"/>
        </w:rPr>
        <w:t xml:space="preserve"> </w:t>
      </w:r>
      <w:r w:rsidRPr="0087379C">
        <w:rPr>
          <w:rFonts w:ascii="Tahoma" w:eastAsia="Calibri" w:hAnsi="Tahoma" w:cs="Tahoma"/>
          <w:b/>
          <w:bCs/>
          <w:spacing w:val="-4"/>
          <w:sz w:val="24"/>
          <w:szCs w:val="24"/>
        </w:rPr>
        <w:t>CONFIRMAR</w:t>
      </w:r>
      <w:r w:rsidRPr="0087379C">
        <w:rPr>
          <w:rFonts w:ascii="Tahoma" w:eastAsia="Calibri" w:hAnsi="Tahoma" w:cs="Tahoma"/>
          <w:bCs/>
          <w:spacing w:val="-4"/>
          <w:sz w:val="24"/>
          <w:szCs w:val="24"/>
        </w:rPr>
        <w:t xml:space="preserve"> la sentencia proferida el </w:t>
      </w:r>
      <w:r w:rsidR="00091F29" w:rsidRPr="0087379C">
        <w:rPr>
          <w:rFonts w:ascii="Tahoma" w:eastAsia="Calibri" w:hAnsi="Tahoma" w:cs="Tahoma"/>
          <w:bCs/>
          <w:spacing w:val="-4"/>
          <w:sz w:val="24"/>
          <w:szCs w:val="24"/>
        </w:rPr>
        <w:t>5 de noviembre</w:t>
      </w:r>
      <w:r w:rsidRPr="0087379C">
        <w:rPr>
          <w:rFonts w:ascii="Tahoma" w:eastAsia="Calibri" w:hAnsi="Tahoma" w:cs="Tahoma"/>
          <w:bCs/>
          <w:spacing w:val="-4"/>
          <w:sz w:val="24"/>
          <w:szCs w:val="24"/>
        </w:rPr>
        <w:t xml:space="preserve"> de 2019 por el Juzgado </w:t>
      </w:r>
      <w:r w:rsidR="009F1171" w:rsidRPr="0087379C">
        <w:rPr>
          <w:rFonts w:ascii="Tahoma" w:eastAsia="Calibri" w:hAnsi="Tahoma" w:cs="Tahoma"/>
          <w:bCs/>
          <w:spacing w:val="-4"/>
          <w:sz w:val="24"/>
          <w:szCs w:val="24"/>
        </w:rPr>
        <w:t xml:space="preserve">Tercero </w:t>
      </w:r>
      <w:r w:rsidRPr="0087379C">
        <w:rPr>
          <w:rFonts w:ascii="Tahoma" w:eastAsia="Calibri" w:hAnsi="Tahoma" w:cs="Tahoma"/>
          <w:bCs/>
          <w:spacing w:val="-4"/>
          <w:sz w:val="24"/>
          <w:szCs w:val="24"/>
        </w:rPr>
        <w:t xml:space="preserve">Laboral del Circuito de Pereira dentro de la acción de tutela interpuesta por el señor </w:t>
      </w:r>
      <w:proofErr w:type="spellStart"/>
      <w:r w:rsidR="009F1171" w:rsidRPr="0087379C">
        <w:rPr>
          <w:rFonts w:ascii="Tahoma" w:eastAsia="Calibri" w:hAnsi="Tahoma" w:cs="Tahoma"/>
          <w:bCs/>
          <w:spacing w:val="-4"/>
          <w:sz w:val="24"/>
          <w:szCs w:val="24"/>
        </w:rPr>
        <w:t>Bairon</w:t>
      </w:r>
      <w:proofErr w:type="spellEnd"/>
      <w:r w:rsidR="009F1171" w:rsidRPr="0087379C">
        <w:rPr>
          <w:rFonts w:ascii="Tahoma" w:eastAsia="Calibri" w:hAnsi="Tahoma" w:cs="Tahoma"/>
          <w:bCs/>
          <w:spacing w:val="-4"/>
          <w:sz w:val="24"/>
          <w:szCs w:val="24"/>
        </w:rPr>
        <w:t xml:space="preserve"> Aníbal Arboleda García</w:t>
      </w:r>
      <w:r w:rsidRPr="0087379C">
        <w:rPr>
          <w:rFonts w:ascii="Tahoma" w:eastAsia="Calibri" w:hAnsi="Tahoma" w:cs="Tahoma"/>
          <w:bCs/>
          <w:spacing w:val="-4"/>
          <w:sz w:val="24"/>
          <w:szCs w:val="24"/>
        </w:rPr>
        <w:t xml:space="preserve"> en contra </w:t>
      </w:r>
      <w:r w:rsidR="009F1171" w:rsidRPr="0087379C">
        <w:rPr>
          <w:rFonts w:ascii="Tahoma" w:eastAsia="Calibri" w:hAnsi="Tahoma" w:cs="Tahoma"/>
          <w:spacing w:val="-4"/>
          <w:sz w:val="24"/>
          <w:szCs w:val="24"/>
        </w:rPr>
        <w:t xml:space="preserve">de Colpensiones, </w:t>
      </w:r>
      <w:r w:rsidRPr="0087379C">
        <w:rPr>
          <w:rFonts w:ascii="Tahoma" w:eastAsia="Calibri" w:hAnsi="Tahoma" w:cs="Tahoma"/>
          <w:spacing w:val="-4"/>
          <w:sz w:val="24"/>
          <w:szCs w:val="24"/>
        </w:rPr>
        <w:t xml:space="preserve">por las razones expuestas en la parte motiva de esta sentencia.  </w:t>
      </w:r>
      <w:r w:rsidRPr="0087379C">
        <w:rPr>
          <w:rFonts w:ascii="Tahoma" w:eastAsia="Calibri" w:hAnsi="Tahoma" w:cs="Tahoma"/>
          <w:bCs/>
          <w:spacing w:val="-4"/>
          <w:sz w:val="24"/>
          <w:szCs w:val="24"/>
        </w:rPr>
        <w:t xml:space="preserve"> </w:t>
      </w:r>
    </w:p>
    <w:p w:rsidR="005F171E" w:rsidRPr="0087379C" w:rsidRDefault="005F171E" w:rsidP="002E5C36">
      <w:pPr>
        <w:spacing w:after="0" w:line="276" w:lineRule="auto"/>
        <w:ind w:right="3" w:firstLine="708"/>
        <w:jc w:val="both"/>
        <w:rPr>
          <w:rFonts w:ascii="Tahoma" w:eastAsia="Calibri" w:hAnsi="Tahoma" w:cs="Tahoma"/>
          <w:bCs/>
          <w:spacing w:val="-4"/>
          <w:sz w:val="24"/>
          <w:szCs w:val="24"/>
        </w:rPr>
      </w:pPr>
    </w:p>
    <w:p w:rsidR="005F171E" w:rsidRPr="0087379C" w:rsidRDefault="005F171E" w:rsidP="002E5C36">
      <w:pPr>
        <w:spacing w:after="0" w:line="276" w:lineRule="auto"/>
        <w:ind w:right="3" w:firstLine="708"/>
        <w:jc w:val="both"/>
        <w:rPr>
          <w:rFonts w:ascii="Tahoma" w:eastAsia="Calibri" w:hAnsi="Tahoma" w:cs="Tahoma"/>
          <w:bCs/>
          <w:spacing w:val="-4"/>
          <w:sz w:val="24"/>
          <w:szCs w:val="24"/>
        </w:rPr>
      </w:pPr>
      <w:r w:rsidRPr="0087379C">
        <w:rPr>
          <w:rFonts w:ascii="Tahoma" w:eastAsia="Calibri" w:hAnsi="Tahoma" w:cs="Tahoma"/>
          <w:b/>
          <w:bCs/>
          <w:spacing w:val="-4"/>
          <w:sz w:val="24"/>
          <w:szCs w:val="24"/>
        </w:rPr>
        <w:t xml:space="preserve">SEGUNDO: </w:t>
      </w:r>
      <w:r w:rsidRPr="0087379C">
        <w:rPr>
          <w:rFonts w:ascii="Tahoma" w:eastAsia="Calibri" w:hAnsi="Tahoma" w:cs="Tahoma"/>
          <w:bCs/>
          <w:spacing w:val="-4"/>
          <w:sz w:val="24"/>
          <w:szCs w:val="24"/>
        </w:rPr>
        <w:t>Notifíquese la decisión por el medio más eficaz</w:t>
      </w:r>
      <w:r w:rsidRPr="0087379C">
        <w:rPr>
          <w:rFonts w:ascii="Tahoma" w:eastAsia="Calibri" w:hAnsi="Tahoma" w:cs="Tahoma"/>
          <w:b/>
          <w:bCs/>
          <w:spacing w:val="-4"/>
          <w:sz w:val="24"/>
          <w:szCs w:val="24"/>
        </w:rPr>
        <w:t>.</w:t>
      </w:r>
    </w:p>
    <w:p w:rsidR="000F77AB" w:rsidRPr="0087379C" w:rsidRDefault="000F77AB" w:rsidP="002E5C36">
      <w:pPr>
        <w:pStyle w:val="Sinespaciado"/>
        <w:spacing w:line="276" w:lineRule="auto"/>
        <w:ind w:firstLine="708"/>
        <w:rPr>
          <w:rFonts w:ascii="Tahoma" w:hAnsi="Tahoma" w:cs="Tahoma"/>
          <w:spacing w:val="-4"/>
          <w:sz w:val="24"/>
          <w:szCs w:val="24"/>
        </w:rPr>
      </w:pPr>
    </w:p>
    <w:p w:rsidR="00E96A82" w:rsidRPr="0087379C" w:rsidRDefault="004402C0" w:rsidP="002E5C36">
      <w:pPr>
        <w:pStyle w:val="Sinespaciado"/>
        <w:spacing w:line="276" w:lineRule="auto"/>
        <w:ind w:firstLine="708"/>
        <w:jc w:val="both"/>
        <w:rPr>
          <w:rFonts w:ascii="Tahoma" w:hAnsi="Tahoma" w:cs="Tahoma"/>
          <w:b/>
          <w:iCs/>
          <w:spacing w:val="-4"/>
          <w:sz w:val="24"/>
          <w:szCs w:val="24"/>
        </w:rPr>
      </w:pPr>
      <w:r w:rsidRPr="0087379C">
        <w:rPr>
          <w:rFonts w:ascii="Tahoma" w:hAnsi="Tahoma" w:cs="Tahoma"/>
          <w:b/>
          <w:spacing w:val="-4"/>
          <w:sz w:val="24"/>
          <w:szCs w:val="24"/>
        </w:rPr>
        <w:t>TERCERO:</w:t>
      </w:r>
      <w:r w:rsidRPr="0087379C">
        <w:rPr>
          <w:rFonts w:ascii="Tahoma" w:hAnsi="Tahoma" w:cs="Tahoma"/>
          <w:spacing w:val="-4"/>
          <w:sz w:val="24"/>
          <w:szCs w:val="24"/>
        </w:rPr>
        <w:t xml:space="preserve"> </w:t>
      </w:r>
      <w:r w:rsidR="000F77AB" w:rsidRPr="0087379C">
        <w:rPr>
          <w:rFonts w:ascii="Tahoma" w:hAnsi="Tahoma" w:cs="Tahoma"/>
          <w:spacing w:val="-4"/>
          <w:sz w:val="24"/>
          <w:szCs w:val="24"/>
        </w:rPr>
        <w:t>Remítase el expediente a la Corte Constitucional para su eventual revisión, conforme al artícul</w:t>
      </w:r>
      <w:r w:rsidR="00E96A82" w:rsidRPr="0087379C">
        <w:rPr>
          <w:rFonts w:ascii="Tahoma" w:hAnsi="Tahoma" w:cs="Tahoma"/>
          <w:spacing w:val="-4"/>
          <w:sz w:val="24"/>
          <w:szCs w:val="24"/>
        </w:rPr>
        <w:t xml:space="preserve">o 31 del Decreto 2591 de 1991. </w:t>
      </w:r>
      <w:r w:rsidR="006E5023" w:rsidRPr="0087379C">
        <w:rPr>
          <w:rFonts w:ascii="Tahoma" w:hAnsi="Tahoma" w:cs="Tahoma"/>
          <w:b/>
          <w:iCs/>
          <w:spacing w:val="-4"/>
          <w:sz w:val="24"/>
          <w:szCs w:val="24"/>
        </w:rPr>
        <w:tab/>
      </w:r>
    </w:p>
    <w:p w:rsidR="00E96A82" w:rsidRPr="0087379C" w:rsidRDefault="00E96A82" w:rsidP="002E5C36">
      <w:pPr>
        <w:pStyle w:val="Sinespaciado"/>
        <w:spacing w:line="276" w:lineRule="auto"/>
        <w:ind w:firstLine="708"/>
        <w:jc w:val="both"/>
        <w:rPr>
          <w:rFonts w:ascii="Tahoma" w:hAnsi="Tahoma" w:cs="Tahoma"/>
          <w:b/>
          <w:iCs/>
          <w:spacing w:val="-4"/>
          <w:sz w:val="24"/>
          <w:szCs w:val="24"/>
        </w:rPr>
      </w:pPr>
    </w:p>
    <w:p w:rsidR="00D3179C" w:rsidRPr="0087379C" w:rsidRDefault="00D3179C" w:rsidP="002E5C36">
      <w:pPr>
        <w:pStyle w:val="Sinespaciado"/>
        <w:spacing w:line="276" w:lineRule="auto"/>
        <w:ind w:firstLine="708"/>
        <w:jc w:val="both"/>
        <w:rPr>
          <w:rFonts w:ascii="Tahoma" w:hAnsi="Tahoma" w:cs="Tahoma"/>
          <w:spacing w:val="-4"/>
          <w:sz w:val="24"/>
          <w:szCs w:val="24"/>
        </w:rPr>
      </w:pPr>
      <w:r w:rsidRPr="0087379C">
        <w:rPr>
          <w:rFonts w:ascii="Tahoma" w:hAnsi="Tahoma" w:cs="Tahoma"/>
          <w:spacing w:val="-4"/>
          <w:sz w:val="24"/>
          <w:szCs w:val="24"/>
        </w:rPr>
        <w:t xml:space="preserve">Notifíquese y Cúmplase </w:t>
      </w:r>
    </w:p>
    <w:p w:rsidR="00062A85" w:rsidRPr="0087379C" w:rsidRDefault="00062A85" w:rsidP="002E5C36">
      <w:pPr>
        <w:spacing w:after="0" w:line="276" w:lineRule="auto"/>
        <w:ind w:left="785"/>
        <w:jc w:val="both"/>
        <w:rPr>
          <w:rFonts w:ascii="Tahoma" w:hAnsi="Tahoma" w:cs="Tahoma"/>
          <w:spacing w:val="-4"/>
          <w:sz w:val="24"/>
          <w:szCs w:val="24"/>
        </w:rPr>
      </w:pPr>
    </w:p>
    <w:p w:rsidR="002E5C36" w:rsidRPr="0087379C" w:rsidRDefault="002E5C36" w:rsidP="002E5C36">
      <w:pPr>
        <w:spacing w:after="0" w:line="276" w:lineRule="auto"/>
        <w:ind w:firstLine="708"/>
        <w:jc w:val="both"/>
        <w:rPr>
          <w:rFonts w:ascii="Tahoma" w:hAnsi="Tahoma" w:cs="Tahoma"/>
          <w:spacing w:val="-4"/>
          <w:sz w:val="24"/>
          <w:szCs w:val="24"/>
        </w:rPr>
      </w:pPr>
      <w:r w:rsidRPr="0087379C">
        <w:rPr>
          <w:rFonts w:ascii="Tahoma" w:hAnsi="Tahoma" w:cs="Tahoma"/>
          <w:spacing w:val="-4"/>
          <w:sz w:val="24"/>
          <w:szCs w:val="24"/>
        </w:rPr>
        <w:t>La Magistrada ponente,</w:t>
      </w:r>
    </w:p>
    <w:p w:rsidR="002E5C36" w:rsidRPr="0087379C" w:rsidRDefault="002E5C36" w:rsidP="002E5C36">
      <w:pPr>
        <w:spacing w:after="0" w:line="276" w:lineRule="auto"/>
        <w:ind w:firstLine="709"/>
        <w:jc w:val="both"/>
        <w:rPr>
          <w:rFonts w:ascii="Tahoma" w:hAnsi="Tahoma" w:cs="Tahoma"/>
          <w:spacing w:val="-4"/>
          <w:sz w:val="24"/>
          <w:szCs w:val="24"/>
        </w:rPr>
      </w:pPr>
    </w:p>
    <w:p w:rsidR="002E5C36" w:rsidRPr="0087379C" w:rsidRDefault="002E5C36" w:rsidP="002E5C36">
      <w:pPr>
        <w:spacing w:after="0" w:line="276" w:lineRule="auto"/>
        <w:jc w:val="both"/>
        <w:rPr>
          <w:rFonts w:ascii="Tahoma" w:hAnsi="Tahoma" w:cs="Tahoma"/>
          <w:spacing w:val="-4"/>
          <w:sz w:val="24"/>
          <w:szCs w:val="24"/>
        </w:rPr>
      </w:pPr>
    </w:p>
    <w:p w:rsidR="002E5C36" w:rsidRPr="0087379C" w:rsidRDefault="002E5C36" w:rsidP="002E5C36">
      <w:pPr>
        <w:spacing w:after="0" w:line="276" w:lineRule="auto"/>
        <w:jc w:val="both"/>
        <w:rPr>
          <w:rFonts w:ascii="Tahoma" w:hAnsi="Tahoma" w:cs="Tahoma"/>
          <w:spacing w:val="-4"/>
          <w:sz w:val="24"/>
          <w:szCs w:val="24"/>
        </w:rPr>
      </w:pPr>
    </w:p>
    <w:p w:rsidR="002E5C36" w:rsidRPr="0087379C" w:rsidRDefault="002E5C36" w:rsidP="002E5C36">
      <w:pPr>
        <w:keepNext/>
        <w:keepLines/>
        <w:spacing w:after="0" w:line="276" w:lineRule="auto"/>
        <w:jc w:val="center"/>
        <w:outlineLvl w:val="2"/>
        <w:rPr>
          <w:rFonts w:ascii="Tahoma" w:eastAsiaTheme="majorEastAsia" w:hAnsi="Tahoma" w:cs="Tahoma"/>
          <w:b/>
          <w:bCs/>
          <w:spacing w:val="-4"/>
          <w:sz w:val="24"/>
          <w:szCs w:val="24"/>
        </w:rPr>
      </w:pPr>
      <w:r w:rsidRPr="0087379C">
        <w:rPr>
          <w:rFonts w:ascii="Tahoma" w:eastAsiaTheme="majorEastAsia" w:hAnsi="Tahoma" w:cs="Tahoma"/>
          <w:b/>
          <w:spacing w:val="-4"/>
          <w:sz w:val="24"/>
          <w:szCs w:val="24"/>
        </w:rPr>
        <w:t>ANA LUCÍA CAICEDO CALDERÓN</w:t>
      </w:r>
    </w:p>
    <w:p w:rsidR="002E5C36" w:rsidRPr="0087379C" w:rsidRDefault="002E5C36" w:rsidP="002E5C36">
      <w:pPr>
        <w:spacing w:after="0" w:line="276" w:lineRule="auto"/>
        <w:ind w:firstLine="709"/>
        <w:jc w:val="both"/>
        <w:rPr>
          <w:rFonts w:ascii="Tahoma" w:hAnsi="Tahoma" w:cs="Tahoma"/>
          <w:b/>
          <w:spacing w:val="-4"/>
          <w:sz w:val="24"/>
          <w:szCs w:val="24"/>
        </w:rPr>
      </w:pPr>
    </w:p>
    <w:p w:rsidR="002E5C36" w:rsidRPr="0087379C" w:rsidRDefault="002E5C36" w:rsidP="002E5C36">
      <w:pPr>
        <w:spacing w:after="0" w:line="276" w:lineRule="auto"/>
        <w:ind w:firstLine="709"/>
        <w:jc w:val="both"/>
        <w:rPr>
          <w:rFonts w:ascii="Tahoma" w:hAnsi="Tahoma" w:cs="Tahoma"/>
          <w:b/>
          <w:spacing w:val="-4"/>
          <w:sz w:val="24"/>
          <w:szCs w:val="24"/>
        </w:rPr>
      </w:pPr>
    </w:p>
    <w:p w:rsidR="002E5C36" w:rsidRPr="0087379C" w:rsidRDefault="002E5C36" w:rsidP="002E5C36">
      <w:pPr>
        <w:spacing w:after="0" w:line="276" w:lineRule="auto"/>
        <w:jc w:val="both"/>
        <w:rPr>
          <w:rFonts w:ascii="Tahoma" w:hAnsi="Tahoma" w:cs="Tahoma"/>
          <w:b/>
          <w:spacing w:val="-4"/>
          <w:sz w:val="24"/>
          <w:szCs w:val="24"/>
        </w:rPr>
      </w:pPr>
    </w:p>
    <w:p w:rsidR="002E5C36" w:rsidRPr="0087379C" w:rsidRDefault="002E5C36" w:rsidP="002E5C36">
      <w:pPr>
        <w:spacing w:after="0" w:line="276" w:lineRule="auto"/>
        <w:jc w:val="both"/>
        <w:rPr>
          <w:rFonts w:ascii="Tahoma" w:hAnsi="Tahoma" w:cs="Tahoma"/>
          <w:b/>
          <w:spacing w:val="-4"/>
          <w:sz w:val="24"/>
          <w:szCs w:val="24"/>
        </w:rPr>
      </w:pPr>
      <w:r w:rsidRPr="0087379C">
        <w:rPr>
          <w:rFonts w:ascii="Tahoma" w:hAnsi="Tahoma" w:cs="Tahoma"/>
          <w:b/>
          <w:spacing w:val="-4"/>
          <w:sz w:val="24"/>
          <w:szCs w:val="24"/>
        </w:rPr>
        <w:t>OLGA LUCÍA HOYOS SEPÚLVEDA</w:t>
      </w:r>
      <w:r w:rsidRPr="0087379C">
        <w:rPr>
          <w:rFonts w:ascii="Tahoma" w:hAnsi="Tahoma" w:cs="Tahoma"/>
          <w:b/>
          <w:spacing w:val="-4"/>
          <w:sz w:val="24"/>
          <w:szCs w:val="24"/>
        </w:rPr>
        <w:tab/>
      </w:r>
      <w:r w:rsidRPr="0087379C">
        <w:rPr>
          <w:rFonts w:ascii="Tahoma" w:hAnsi="Tahoma" w:cs="Tahoma"/>
          <w:b/>
          <w:spacing w:val="-4"/>
          <w:sz w:val="24"/>
          <w:szCs w:val="24"/>
        </w:rPr>
        <w:tab/>
        <w:t xml:space="preserve">    JULIO CÉSAR SALAZAR MUÑOZ</w:t>
      </w:r>
    </w:p>
    <w:p w:rsidR="00935783" w:rsidRPr="0087379C" w:rsidRDefault="002E5C36" w:rsidP="002E5C36">
      <w:pPr>
        <w:spacing w:after="0" w:line="276" w:lineRule="auto"/>
        <w:jc w:val="both"/>
        <w:rPr>
          <w:rFonts w:ascii="Tahoma" w:hAnsi="Tahoma" w:cs="Tahoma"/>
          <w:b/>
          <w:spacing w:val="-4"/>
          <w:sz w:val="24"/>
          <w:szCs w:val="24"/>
          <w:lang w:val="es-CO"/>
        </w:rPr>
      </w:pPr>
      <w:r w:rsidRPr="0087379C">
        <w:rPr>
          <w:rFonts w:ascii="Tahoma" w:hAnsi="Tahoma" w:cs="Tahoma"/>
          <w:spacing w:val="-4"/>
          <w:sz w:val="24"/>
          <w:szCs w:val="24"/>
        </w:rPr>
        <w:t>Magistrada</w:t>
      </w:r>
      <w:r w:rsidRPr="0087379C">
        <w:rPr>
          <w:rFonts w:ascii="Tahoma" w:hAnsi="Tahoma" w:cs="Tahoma"/>
          <w:spacing w:val="-4"/>
          <w:sz w:val="24"/>
          <w:szCs w:val="24"/>
        </w:rPr>
        <w:tab/>
      </w:r>
      <w:r w:rsidRPr="0087379C">
        <w:rPr>
          <w:rFonts w:ascii="Tahoma" w:hAnsi="Tahoma" w:cs="Tahoma"/>
          <w:spacing w:val="-4"/>
          <w:sz w:val="24"/>
          <w:szCs w:val="24"/>
        </w:rPr>
        <w:tab/>
      </w:r>
      <w:r w:rsidRPr="0087379C">
        <w:rPr>
          <w:rFonts w:ascii="Tahoma" w:hAnsi="Tahoma" w:cs="Tahoma"/>
          <w:spacing w:val="-4"/>
          <w:sz w:val="24"/>
          <w:szCs w:val="24"/>
        </w:rPr>
        <w:tab/>
      </w:r>
      <w:r w:rsidRPr="0087379C">
        <w:rPr>
          <w:rFonts w:ascii="Tahoma" w:hAnsi="Tahoma" w:cs="Tahoma"/>
          <w:spacing w:val="-4"/>
          <w:sz w:val="24"/>
          <w:szCs w:val="24"/>
        </w:rPr>
        <w:tab/>
      </w:r>
      <w:r w:rsidRPr="0087379C">
        <w:rPr>
          <w:rFonts w:ascii="Tahoma" w:hAnsi="Tahoma" w:cs="Tahoma"/>
          <w:spacing w:val="-4"/>
          <w:sz w:val="24"/>
          <w:szCs w:val="24"/>
        </w:rPr>
        <w:tab/>
      </w:r>
      <w:r w:rsidRPr="0087379C">
        <w:rPr>
          <w:rFonts w:ascii="Tahoma" w:hAnsi="Tahoma" w:cs="Tahoma"/>
          <w:spacing w:val="-4"/>
          <w:sz w:val="24"/>
          <w:szCs w:val="24"/>
        </w:rPr>
        <w:tab/>
      </w:r>
      <w:r w:rsidRPr="0087379C">
        <w:rPr>
          <w:rFonts w:ascii="Tahoma" w:hAnsi="Tahoma" w:cs="Tahoma"/>
          <w:b/>
          <w:spacing w:val="-4"/>
          <w:sz w:val="24"/>
          <w:szCs w:val="24"/>
        </w:rPr>
        <w:t xml:space="preserve">    </w:t>
      </w:r>
      <w:r w:rsidRPr="0087379C">
        <w:rPr>
          <w:rFonts w:ascii="Tahoma" w:hAnsi="Tahoma" w:cs="Tahoma"/>
          <w:spacing w:val="-4"/>
          <w:sz w:val="24"/>
          <w:szCs w:val="24"/>
        </w:rPr>
        <w:t>Magistrado</w:t>
      </w:r>
    </w:p>
    <w:sectPr w:rsidR="00935783" w:rsidRPr="0087379C" w:rsidSect="002E5C36">
      <w:headerReference w:type="default" r:id="rId8"/>
      <w:footerReference w:type="default" r:id="rId9"/>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4AE" w:rsidRDefault="00E124AE" w:rsidP="00D3179C">
      <w:pPr>
        <w:spacing w:after="0" w:line="240" w:lineRule="auto"/>
      </w:pPr>
      <w:r>
        <w:separator/>
      </w:r>
    </w:p>
  </w:endnote>
  <w:endnote w:type="continuationSeparator" w:id="0">
    <w:p w:rsidR="00E124AE" w:rsidRDefault="00E124AE" w:rsidP="00D3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742350"/>
      <w:docPartObj>
        <w:docPartGallery w:val="Page Numbers (Bottom of Page)"/>
        <w:docPartUnique/>
      </w:docPartObj>
    </w:sdtPr>
    <w:sdtEndPr>
      <w:rPr>
        <w:rFonts w:ascii="Arial" w:hAnsi="Arial" w:cs="Arial"/>
        <w:sz w:val="18"/>
        <w:szCs w:val="16"/>
      </w:rPr>
    </w:sdtEndPr>
    <w:sdtContent>
      <w:p w:rsidR="001B195F" w:rsidRPr="00742055" w:rsidRDefault="001B195F">
        <w:pPr>
          <w:pStyle w:val="Piedepgina"/>
          <w:jc w:val="right"/>
          <w:rPr>
            <w:rFonts w:ascii="Arial" w:hAnsi="Arial" w:cs="Arial"/>
            <w:sz w:val="18"/>
            <w:szCs w:val="16"/>
          </w:rPr>
        </w:pPr>
        <w:r w:rsidRPr="00742055">
          <w:rPr>
            <w:rFonts w:ascii="Arial" w:hAnsi="Arial" w:cs="Arial"/>
            <w:sz w:val="18"/>
            <w:szCs w:val="16"/>
          </w:rPr>
          <w:fldChar w:fldCharType="begin"/>
        </w:r>
        <w:r w:rsidRPr="00742055">
          <w:rPr>
            <w:rFonts w:ascii="Arial" w:hAnsi="Arial" w:cs="Arial"/>
            <w:sz w:val="18"/>
            <w:szCs w:val="16"/>
          </w:rPr>
          <w:instrText>PAGE   \* MERGEFORMAT</w:instrText>
        </w:r>
        <w:r w:rsidRPr="00742055">
          <w:rPr>
            <w:rFonts w:ascii="Arial" w:hAnsi="Arial" w:cs="Arial"/>
            <w:sz w:val="18"/>
            <w:szCs w:val="16"/>
          </w:rPr>
          <w:fldChar w:fldCharType="separate"/>
        </w:r>
        <w:r w:rsidR="0087379C">
          <w:rPr>
            <w:rFonts w:ascii="Arial" w:hAnsi="Arial" w:cs="Arial"/>
            <w:noProof/>
            <w:sz w:val="18"/>
            <w:szCs w:val="16"/>
          </w:rPr>
          <w:t>7</w:t>
        </w:r>
        <w:r w:rsidRPr="00742055">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4AE" w:rsidRDefault="00E124AE" w:rsidP="00D3179C">
      <w:pPr>
        <w:spacing w:after="0" w:line="240" w:lineRule="auto"/>
      </w:pPr>
      <w:r>
        <w:separator/>
      </w:r>
    </w:p>
  </w:footnote>
  <w:footnote w:type="continuationSeparator" w:id="0">
    <w:p w:rsidR="00E124AE" w:rsidRDefault="00E124AE" w:rsidP="00D3179C">
      <w:pPr>
        <w:spacing w:after="0" w:line="240" w:lineRule="auto"/>
      </w:pPr>
      <w:r>
        <w:continuationSeparator/>
      </w:r>
    </w:p>
  </w:footnote>
  <w:footnote w:id="1">
    <w:p w:rsidR="00BE385B" w:rsidRPr="00963911" w:rsidRDefault="00BE385B" w:rsidP="00963911">
      <w:pPr>
        <w:pStyle w:val="Textonotapie"/>
        <w:jc w:val="both"/>
        <w:rPr>
          <w:rFonts w:ascii="Arial" w:hAnsi="Arial" w:cs="Arial"/>
          <w:sz w:val="18"/>
          <w:lang w:val="es-CO"/>
        </w:rPr>
      </w:pPr>
      <w:r w:rsidRPr="00963911">
        <w:rPr>
          <w:rStyle w:val="Refdenotaalpie"/>
          <w:rFonts w:ascii="Arial" w:hAnsi="Arial" w:cs="Arial"/>
          <w:sz w:val="18"/>
        </w:rPr>
        <w:footnoteRef/>
      </w:r>
      <w:r w:rsidRPr="00963911">
        <w:rPr>
          <w:rFonts w:ascii="Arial" w:hAnsi="Arial" w:cs="Arial"/>
          <w:sz w:val="18"/>
        </w:rPr>
        <w:t xml:space="preserve"> </w:t>
      </w:r>
      <w:r w:rsidRPr="00963911">
        <w:rPr>
          <w:rFonts w:ascii="Arial" w:hAnsi="Arial" w:cs="Arial"/>
          <w:sz w:val="18"/>
          <w:lang w:val="es-CO"/>
        </w:rPr>
        <w:t>Corte Constitucional. SU-588 del 2016. M.P. ALEJANDRO LINARES CANTILLO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rPr>
      <w:id w:val="1268960927"/>
      <w:docPartObj>
        <w:docPartGallery w:val="Page Numbers (Top of Page)"/>
        <w:docPartUnique/>
      </w:docPartObj>
    </w:sdtPr>
    <w:sdtEndPr/>
    <w:sdtContent>
      <w:p w:rsidR="00A35A25" w:rsidRPr="00742055" w:rsidRDefault="00A35A25" w:rsidP="00742055">
        <w:pPr>
          <w:pStyle w:val="Sinespaciado"/>
          <w:jc w:val="both"/>
          <w:rPr>
            <w:rFonts w:ascii="Arial" w:hAnsi="Arial" w:cs="Arial"/>
            <w:sz w:val="18"/>
            <w:szCs w:val="16"/>
          </w:rPr>
        </w:pPr>
        <w:r w:rsidRPr="00742055">
          <w:rPr>
            <w:rFonts w:ascii="Arial" w:hAnsi="Arial" w:cs="Arial"/>
            <w:sz w:val="18"/>
            <w:szCs w:val="16"/>
          </w:rPr>
          <w:t>Radicación No.: 66001-31-05-003-2019-00466-01</w:t>
        </w:r>
      </w:p>
      <w:p w:rsidR="00A35A25" w:rsidRPr="00742055" w:rsidRDefault="00A35A25" w:rsidP="00742055">
        <w:pPr>
          <w:pStyle w:val="Sinespaciado"/>
          <w:jc w:val="both"/>
          <w:rPr>
            <w:rFonts w:ascii="Arial" w:hAnsi="Arial" w:cs="Arial"/>
            <w:sz w:val="18"/>
            <w:szCs w:val="16"/>
          </w:rPr>
        </w:pPr>
        <w:r w:rsidRPr="00742055">
          <w:rPr>
            <w:rFonts w:ascii="Arial" w:hAnsi="Arial" w:cs="Arial"/>
            <w:sz w:val="18"/>
            <w:szCs w:val="16"/>
          </w:rPr>
          <w:t>Accionante: Bairon Aníbal Arboleda García</w:t>
        </w:r>
      </w:p>
      <w:p w:rsidR="001B195F" w:rsidRPr="00742055" w:rsidRDefault="00A35A25" w:rsidP="00742055">
        <w:pPr>
          <w:pStyle w:val="Sinespaciado"/>
          <w:jc w:val="both"/>
          <w:rPr>
            <w:rFonts w:ascii="Arial" w:hAnsi="Arial" w:cs="Arial"/>
            <w:sz w:val="18"/>
            <w:szCs w:val="16"/>
          </w:rPr>
        </w:pPr>
        <w:r w:rsidRPr="00742055">
          <w:rPr>
            <w:rFonts w:ascii="Arial" w:hAnsi="Arial" w:cs="Arial"/>
            <w:sz w:val="18"/>
            <w:szCs w:val="16"/>
          </w:rPr>
          <w:t>Accionado: Administradora Colombiana de pensiones - Colpensiones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6D19"/>
    <w:multiLevelType w:val="multilevel"/>
    <w:tmpl w:val="32A2B8DE"/>
    <w:lvl w:ilvl="0">
      <w:start w:val="6"/>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2B1D1FF7"/>
    <w:multiLevelType w:val="multilevel"/>
    <w:tmpl w:val="EC0E5B32"/>
    <w:lvl w:ilvl="0">
      <w:start w:val="6"/>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2DEA1663"/>
    <w:multiLevelType w:val="multilevel"/>
    <w:tmpl w:val="0DF6FDE6"/>
    <w:lvl w:ilvl="0">
      <w:start w:val="6"/>
      <w:numFmt w:val="decimal"/>
      <w:lvlText w:val="%1"/>
      <w:lvlJc w:val="left"/>
      <w:pPr>
        <w:ind w:left="375" w:hanging="375"/>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3">
    <w:nsid w:val="31792D68"/>
    <w:multiLevelType w:val="multilevel"/>
    <w:tmpl w:val="39420C44"/>
    <w:lvl w:ilvl="0">
      <w:start w:val="5"/>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05A010C"/>
    <w:multiLevelType w:val="multilevel"/>
    <w:tmpl w:val="B7C0D57C"/>
    <w:lvl w:ilvl="0">
      <w:start w:val="5"/>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4233680D"/>
    <w:multiLevelType w:val="multilevel"/>
    <w:tmpl w:val="13D88344"/>
    <w:lvl w:ilvl="0">
      <w:start w:val="6"/>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4F4F616B"/>
    <w:multiLevelType w:val="multilevel"/>
    <w:tmpl w:val="28083494"/>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5BF2135C"/>
    <w:multiLevelType w:val="hybridMultilevel"/>
    <w:tmpl w:val="02805998"/>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6B0E3E54"/>
    <w:multiLevelType w:val="hybridMultilevel"/>
    <w:tmpl w:val="475AB868"/>
    <w:lvl w:ilvl="0" w:tplc="D8525F4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72B423D6"/>
    <w:multiLevelType w:val="hybridMultilevel"/>
    <w:tmpl w:val="4330F800"/>
    <w:lvl w:ilvl="0" w:tplc="BA9C6A7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78791CE3"/>
    <w:multiLevelType w:val="hybridMultilevel"/>
    <w:tmpl w:val="34949B76"/>
    <w:lvl w:ilvl="0" w:tplc="BD866CD8">
      <w:start w:val="1"/>
      <w:numFmt w:val="lowerLetter"/>
      <w:lvlText w:val="%1)"/>
      <w:lvlJc w:val="left"/>
      <w:pPr>
        <w:ind w:left="4600" w:hanging="360"/>
      </w:pPr>
      <w:rPr>
        <w:rFonts w:hint="default"/>
      </w:rPr>
    </w:lvl>
    <w:lvl w:ilvl="1" w:tplc="0C0A0019" w:tentative="1">
      <w:start w:val="1"/>
      <w:numFmt w:val="lowerLetter"/>
      <w:lvlText w:val="%2."/>
      <w:lvlJc w:val="left"/>
      <w:pPr>
        <w:ind w:left="5320" w:hanging="360"/>
      </w:pPr>
    </w:lvl>
    <w:lvl w:ilvl="2" w:tplc="0C0A001B" w:tentative="1">
      <w:start w:val="1"/>
      <w:numFmt w:val="lowerRoman"/>
      <w:lvlText w:val="%3."/>
      <w:lvlJc w:val="right"/>
      <w:pPr>
        <w:ind w:left="6040" w:hanging="180"/>
      </w:pPr>
    </w:lvl>
    <w:lvl w:ilvl="3" w:tplc="0C0A000F" w:tentative="1">
      <w:start w:val="1"/>
      <w:numFmt w:val="decimal"/>
      <w:lvlText w:val="%4."/>
      <w:lvlJc w:val="left"/>
      <w:pPr>
        <w:ind w:left="6760" w:hanging="360"/>
      </w:pPr>
    </w:lvl>
    <w:lvl w:ilvl="4" w:tplc="0C0A0019" w:tentative="1">
      <w:start w:val="1"/>
      <w:numFmt w:val="lowerLetter"/>
      <w:lvlText w:val="%5."/>
      <w:lvlJc w:val="left"/>
      <w:pPr>
        <w:ind w:left="7480" w:hanging="360"/>
      </w:pPr>
    </w:lvl>
    <w:lvl w:ilvl="5" w:tplc="0C0A001B" w:tentative="1">
      <w:start w:val="1"/>
      <w:numFmt w:val="lowerRoman"/>
      <w:lvlText w:val="%6."/>
      <w:lvlJc w:val="right"/>
      <w:pPr>
        <w:ind w:left="8200" w:hanging="180"/>
      </w:pPr>
    </w:lvl>
    <w:lvl w:ilvl="6" w:tplc="0C0A000F" w:tentative="1">
      <w:start w:val="1"/>
      <w:numFmt w:val="decimal"/>
      <w:lvlText w:val="%7."/>
      <w:lvlJc w:val="left"/>
      <w:pPr>
        <w:ind w:left="8920" w:hanging="360"/>
      </w:pPr>
    </w:lvl>
    <w:lvl w:ilvl="7" w:tplc="0C0A0019" w:tentative="1">
      <w:start w:val="1"/>
      <w:numFmt w:val="lowerLetter"/>
      <w:lvlText w:val="%8."/>
      <w:lvlJc w:val="left"/>
      <w:pPr>
        <w:ind w:left="9640" w:hanging="360"/>
      </w:pPr>
    </w:lvl>
    <w:lvl w:ilvl="8" w:tplc="0C0A001B" w:tentative="1">
      <w:start w:val="1"/>
      <w:numFmt w:val="lowerRoman"/>
      <w:lvlText w:val="%9."/>
      <w:lvlJc w:val="right"/>
      <w:pPr>
        <w:ind w:left="10360" w:hanging="180"/>
      </w:pPr>
    </w:lvl>
  </w:abstractNum>
  <w:num w:numId="1">
    <w:abstractNumId w:val="7"/>
  </w:num>
  <w:num w:numId="2">
    <w:abstractNumId w:val="9"/>
  </w:num>
  <w:num w:numId="3">
    <w:abstractNumId w:val="8"/>
  </w:num>
  <w:num w:numId="4">
    <w:abstractNumId w:val="4"/>
  </w:num>
  <w:num w:numId="5">
    <w:abstractNumId w:val="6"/>
  </w:num>
  <w:num w:numId="6">
    <w:abstractNumId w:val="3"/>
  </w:num>
  <w:num w:numId="7">
    <w:abstractNumId w:val="11"/>
  </w:num>
  <w:num w:numId="8">
    <w:abstractNumId w:val="1"/>
  </w:num>
  <w:num w:numId="9">
    <w:abstractNumId w:val="2"/>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83"/>
    <w:rsid w:val="0000107D"/>
    <w:rsid w:val="00010ACF"/>
    <w:rsid w:val="000262AB"/>
    <w:rsid w:val="000263CE"/>
    <w:rsid w:val="00027303"/>
    <w:rsid w:val="00032F43"/>
    <w:rsid w:val="000346A0"/>
    <w:rsid w:val="000347BA"/>
    <w:rsid w:val="000366B4"/>
    <w:rsid w:val="00040275"/>
    <w:rsid w:val="0004047B"/>
    <w:rsid w:val="00041939"/>
    <w:rsid w:val="0004349B"/>
    <w:rsid w:val="000451D5"/>
    <w:rsid w:val="00045789"/>
    <w:rsid w:val="000466FE"/>
    <w:rsid w:val="0005169A"/>
    <w:rsid w:val="00056BF3"/>
    <w:rsid w:val="0005718C"/>
    <w:rsid w:val="000578DA"/>
    <w:rsid w:val="00062A85"/>
    <w:rsid w:val="00063F22"/>
    <w:rsid w:val="0006616E"/>
    <w:rsid w:val="0006683C"/>
    <w:rsid w:val="00070E21"/>
    <w:rsid w:val="00070E54"/>
    <w:rsid w:val="00073FE8"/>
    <w:rsid w:val="00076203"/>
    <w:rsid w:val="00077E9F"/>
    <w:rsid w:val="0008106F"/>
    <w:rsid w:val="000822E1"/>
    <w:rsid w:val="00090268"/>
    <w:rsid w:val="00091B57"/>
    <w:rsid w:val="00091F29"/>
    <w:rsid w:val="0009622E"/>
    <w:rsid w:val="00096E4A"/>
    <w:rsid w:val="000A5821"/>
    <w:rsid w:val="000A70C2"/>
    <w:rsid w:val="000B27E2"/>
    <w:rsid w:val="000C189D"/>
    <w:rsid w:val="000C7293"/>
    <w:rsid w:val="000D00A2"/>
    <w:rsid w:val="000D0937"/>
    <w:rsid w:val="000D0D54"/>
    <w:rsid w:val="000D7F9B"/>
    <w:rsid w:val="000E26AF"/>
    <w:rsid w:val="000E5010"/>
    <w:rsid w:val="000E552F"/>
    <w:rsid w:val="000E75C7"/>
    <w:rsid w:val="000E7691"/>
    <w:rsid w:val="000F36CA"/>
    <w:rsid w:val="000F3E4B"/>
    <w:rsid w:val="000F4120"/>
    <w:rsid w:val="000F77AB"/>
    <w:rsid w:val="000F7C73"/>
    <w:rsid w:val="000F7CC2"/>
    <w:rsid w:val="00115368"/>
    <w:rsid w:val="00120AB3"/>
    <w:rsid w:val="001214C6"/>
    <w:rsid w:val="00126D51"/>
    <w:rsid w:val="00127691"/>
    <w:rsid w:val="0012771D"/>
    <w:rsid w:val="001335EC"/>
    <w:rsid w:val="00133D70"/>
    <w:rsid w:val="00135B26"/>
    <w:rsid w:val="001368A3"/>
    <w:rsid w:val="00144255"/>
    <w:rsid w:val="00150B40"/>
    <w:rsid w:val="00150E71"/>
    <w:rsid w:val="00151083"/>
    <w:rsid w:val="001609F5"/>
    <w:rsid w:val="00162415"/>
    <w:rsid w:val="00164084"/>
    <w:rsid w:val="0016516B"/>
    <w:rsid w:val="001657C9"/>
    <w:rsid w:val="001660D2"/>
    <w:rsid w:val="001701CF"/>
    <w:rsid w:val="0017089C"/>
    <w:rsid w:val="00173934"/>
    <w:rsid w:val="00174712"/>
    <w:rsid w:val="00174E83"/>
    <w:rsid w:val="001770B2"/>
    <w:rsid w:val="001777E5"/>
    <w:rsid w:val="0018357A"/>
    <w:rsid w:val="00185870"/>
    <w:rsid w:val="00193032"/>
    <w:rsid w:val="00194CB8"/>
    <w:rsid w:val="0019666B"/>
    <w:rsid w:val="0019717C"/>
    <w:rsid w:val="001978ED"/>
    <w:rsid w:val="00197D4B"/>
    <w:rsid w:val="001A1FCC"/>
    <w:rsid w:val="001A51F4"/>
    <w:rsid w:val="001B109E"/>
    <w:rsid w:val="001B1461"/>
    <w:rsid w:val="001B195F"/>
    <w:rsid w:val="001B1F57"/>
    <w:rsid w:val="001B3C05"/>
    <w:rsid w:val="001B4AFE"/>
    <w:rsid w:val="001B4B01"/>
    <w:rsid w:val="001B7CBB"/>
    <w:rsid w:val="001C2DB3"/>
    <w:rsid w:val="001D0015"/>
    <w:rsid w:val="001D3BAA"/>
    <w:rsid w:val="001D4B1A"/>
    <w:rsid w:val="001D624E"/>
    <w:rsid w:val="001D6C11"/>
    <w:rsid w:val="001E4F8F"/>
    <w:rsid w:val="001E6654"/>
    <w:rsid w:val="001F178B"/>
    <w:rsid w:val="001F1A5B"/>
    <w:rsid w:val="001F36C1"/>
    <w:rsid w:val="001F44F9"/>
    <w:rsid w:val="001F7144"/>
    <w:rsid w:val="0020137D"/>
    <w:rsid w:val="0020161D"/>
    <w:rsid w:val="002031BA"/>
    <w:rsid w:val="00203E92"/>
    <w:rsid w:val="00206C45"/>
    <w:rsid w:val="0021384D"/>
    <w:rsid w:val="00215E0D"/>
    <w:rsid w:val="002173B9"/>
    <w:rsid w:val="00221854"/>
    <w:rsid w:val="002309EE"/>
    <w:rsid w:val="00231B9E"/>
    <w:rsid w:val="002329B0"/>
    <w:rsid w:val="00233979"/>
    <w:rsid w:val="00235741"/>
    <w:rsid w:val="002371D5"/>
    <w:rsid w:val="00244300"/>
    <w:rsid w:val="00246CB1"/>
    <w:rsid w:val="002529BB"/>
    <w:rsid w:val="00255354"/>
    <w:rsid w:val="00257765"/>
    <w:rsid w:val="00260ABD"/>
    <w:rsid w:val="00263710"/>
    <w:rsid w:val="00264FF3"/>
    <w:rsid w:val="00266C06"/>
    <w:rsid w:val="00270875"/>
    <w:rsid w:val="00272F38"/>
    <w:rsid w:val="00273395"/>
    <w:rsid w:val="00280FCC"/>
    <w:rsid w:val="002841C8"/>
    <w:rsid w:val="00284EAF"/>
    <w:rsid w:val="002954FB"/>
    <w:rsid w:val="0029566A"/>
    <w:rsid w:val="00296B33"/>
    <w:rsid w:val="002A3C51"/>
    <w:rsid w:val="002A6126"/>
    <w:rsid w:val="002A758C"/>
    <w:rsid w:val="002B30FA"/>
    <w:rsid w:val="002B66A4"/>
    <w:rsid w:val="002C1818"/>
    <w:rsid w:val="002C232F"/>
    <w:rsid w:val="002C2786"/>
    <w:rsid w:val="002C3ABA"/>
    <w:rsid w:val="002D12BB"/>
    <w:rsid w:val="002D6273"/>
    <w:rsid w:val="002E0F49"/>
    <w:rsid w:val="002E0F93"/>
    <w:rsid w:val="002E12E0"/>
    <w:rsid w:val="002E1391"/>
    <w:rsid w:val="002E5C36"/>
    <w:rsid w:val="002F11F3"/>
    <w:rsid w:val="002F3711"/>
    <w:rsid w:val="002F3832"/>
    <w:rsid w:val="002F7376"/>
    <w:rsid w:val="002F7469"/>
    <w:rsid w:val="00300D7F"/>
    <w:rsid w:val="00304A85"/>
    <w:rsid w:val="00305465"/>
    <w:rsid w:val="00311F2B"/>
    <w:rsid w:val="00312DF6"/>
    <w:rsid w:val="003141DE"/>
    <w:rsid w:val="00314D3E"/>
    <w:rsid w:val="00317DD9"/>
    <w:rsid w:val="00317FAC"/>
    <w:rsid w:val="00321A9F"/>
    <w:rsid w:val="00322F57"/>
    <w:rsid w:val="00327327"/>
    <w:rsid w:val="00330629"/>
    <w:rsid w:val="00343BC4"/>
    <w:rsid w:val="0034627E"/>
    <w:rsid w:val="00357FC0"/>
    <w:rsid w:val="003616BC"/>
    <w:rsid w:val="00363958"/>
    <w:rsid w:val="00366468"/>
    <w:rsid w:val="00366C04"/>
    <w:rsid w:val="00371DC7"/>
    <w:rsid w:val="003729D5"/>
    <w:rsid w:val="00373170"/>
    <w:rsid w:val="0037429B"/>
    <w:rsid w:val="003768CB"/>
    <w:rsid w:val="00386403"/>
    <w:rsid w:val="003865FC"/>
    <w:rsid w:val="00386BBA"/>
    <w:rsid w:val="00394366"/>
    <w:rsid w:val="003966B9"/>
    <w:rsid w:val="003A0727"/>
    <w:rsid w:val="003A1E41"/>
    <w:rsid w:val="003A2202"/>
    <w:rsid w:val="003A2A82"/>
    <w:rsid w:val="003A5C5A"/>
    <w:rsid w:val="003A61B8"/>
    <w:rsid w:val="003A7A5C"/>
    <w:rsid w:val="003A7B39"/>
    <w:rsid w:val="003A7CF5"/>
    <w:rsid w:val="003B02C0"/>
    <w:rsid w:val="003B24EF"/>
    <w:rsid w:val="003B3594"/>
    <w:rsid w:val="003B4FBA"/>
    <w:rsid w:val="003B7843"/>
    <w:rsid w:val="003C0B7D"/>
    <w:rsid w:val="003C27DF"/>
    <w:rsid w:val="003C3AC5"/>
    <w:rsid w:val="003C7712"/>
    <w:rsid w:val="003D4127"/>
    <w:rsid w:val="003D48EF"/>
    <w:rsid w:val="003D5E45"/>
    <w:rsid w:val="003D7A91"/>
    <w:rsid w:val="003F0B12"/>
    <w:rsid w:val="003F5855"/>
    <w:rsid w:val="004004EE"/>
    <w:rsid w:val="00401739"/>
    <w:rsid w:val="004034C9"/>
    <w:rsid w:val="00410358"/>
    <w:rsid w:val="0041067D"/>
    <w:rsid w:val="004115AD"/>
    <w:rsid w:val="0041205C"/>
    <w:rsid w:val="00413652"/>
    <w:rsid w:val="00414A60"/>
    <w:rsid w:val="00416344"/>
    <w:rsid w:val="00420A84"/>
    <w:rsid w:val="00423D01"/>
    <w:rsid w:val="004267C5"/>
    <w:rsid w:val="00426804"/>
    <w:rsid w:val="00426C8B"/>
    <w:rsid w:val="00432F6A"/>
    <w:rsid w:val="004402C0"/>
    <w:rsid w:val="004421BB"/>
    <w:rsid w:val="00445AD5"/>
    <w:rsid w:val="00446B18"/>
    <w:rsid w:val="00447591"/>
    <w:rsid w:val="004478E0"/>
    <w:rsid w:val="0045204A"/>
    <w:rsid w:val="00461409"/>
    <w:rsid w:val="00465591"/>
    <w:rsid w:val="00465EF0"/>
    <w:rsid w:val="00467EC2"/>
    <w:rsid w:val="00470FD8"/>
    <w:rsid w:val="00473693"/>
    <w:rsid w:val="004752E4"/>
    <w:rsid w:val="00475FF8"/>
    <w:rsid w:val="004765A9"/>
    <w:rsid w:val="00481EA1"/>
    <w:rsid w:val="0048282D"/>
    <w:rsid w:val="00483DE0"/>
    <w:rsid w:val="004853B6"/>
    <w:rsid w:val="004930E0"/>
    <w:rsid w:val="00495165"/>
    <w:rsid w:val="004A5B0D"/>
    <w:rsid w:val="004A70E2"/>
    <w:rsid w:val="004B097D"/>
    <w:rsid w:val="004B2225"/>
    <w:rsid w:val="004C175A"/>
    <w:rsid w:val="004C4E44"/>
    <w:rsid w:val="004D4678"/>
    <w:rsid w:val="004D6A97"/>
    <w:rsid w:val="004E1C4D"/>
    <w:rsid w:val="004E6140"/>
    <w:rsid w:val="004F010E"/>
    <w:rsid w:val="004F0DF4"/>
    <w:rsid w:val="004F2EC2"/>
    <w:rsid w:val="004F3BCD"/>
    <w:rsid w:val="00500C06"/>
    <w:rsid w:val="00502650"/>
    <w:rsid w:val="00503A27"/>
    <w:rsid w:val="00503FFA"/>
    <w:rsid w:val="0050484C"/>
    <w:rsid w:val="00506208"/>
    <w:rsid w:val="00507240"/>
    <w:rsid w:val="00510490"/>
    <w:rsid w:val="00525B1F"/>
    <w:rsid w:val="00527B0F"/>
    <w:rsid w:val="00530404"/>
    <w:rsid w:val="005309C1"/>
    <w:rsid w:val="00533005"/>
    <w:rsid w:val="00537790"/>
    <w:rsid w:val="00541364"/>
    <w:rsid w:val="00542F52"/>
    <w:rsid w:val="00546DF5"/>
    <w:rsid w:val="00546E0D"/>
    <w:rsid w:val="005514CB"/>
    <w:rsid w:val="00554CA3"/>
    <w:rsid w:val="005575A8"/>
    <w:rsid w:val="0056027C"/>
    <w:rsid w:val="00565151"/>
    <w:rsid w:val="00566CCF"/>
    <w:rsid w:val="005673A2"/>
    <w:rsid w:val="00571EC6"/>
    <w:rsid w:val="00573B6E"/>
    <w:rsid w:val="005743AA"/>
    <w:rsid w:val="00581DEF"/>
    <w:rsid w:val="00583BF3"/>
    <w:rsid w:val="00585D97"/>
    <w:rsid w:val="00586B34"/>
    <w:rsid w:val="00587C80"/>
    <w:rsid w:val="00590758"/>
    <w:rsid w:val="00590B34"/>
    <w:rsid w:val="00593C27"/>
    <w:rsid w:val="00597D2F"/>
    <w:rsid w:val="005A4ED1"/>
    <w:rsid w:val="005A50CC"/>
    <w:rsid w:val="005B716D"/>
    <w:rsid w:val="005B7327"/>
    <w:rsid w:val="005C003E"/>
    <w:rsid w:val="005C607E"/>
    <w:rsid w:val="005C7CB8"/>
    <w:rsid w:val="005D39C5"/>
    <w:rsid w:val="005D5DF2"/>
    <w:rsid w:val="005D6485"/>
    <w:rsid w:val="005D6D27"/>
    <w:rsid w:val="005D72C5"/>
    <w:rsid w:val="005E252E"/>
    <w:rsid w:val="005E5274"/>
    <w:rsid w:val="005E6838"/>
    <w:rsid w:val="005E738C"/>
    <w:rsid w:val="005F0AC4"/>
    <w:rsid w:val="005F171E"/>
    <w:rsid w:val="005F1B4A"/>
    <w:rsid w:val="005F4662"/>
    <w:rsid w:val="005F5C6B"/>
    <w:rsid w:val="005F759B"/>
    <w:rsid w:val="00601E12"/>
    <w:rsid w:val="00602934"/>
    <w:rsid w:val="0060454A"/>
    <w:rsid w:val="0060488F"/>
    <w:rsid w:val="00606905"/>
    <w:rsid w:val="00606EFE"/>
    <w:rsid w:val="00606F53"/>
    <w:rsid w:val="0061453C"/>
    <w:rsid w:val="00622A52"/>
    <w:rsid w:val="006275B1"/>
    <w:rsid w:val="00631C4D"/>
    <w:rsid w:val="00634E03"/>
    <w:rsid w:val="00641AA9"/>
    <w:rsid w:val="0064263E"/>
    <w:rsid w:val="0064332E"/>
    <w:rsid w:val="006470FD"/>
    <w:rsid w:val="006471D7"/>
    <w:rsid w:val="00650B4F"/>
    <w:rsid w:val="006544E2"/>
    <w:rsid w:val="0065531C"/>
    <w:rsid w:val="0065623E"/>
    <w:rsid w:val="00662978"/>
    <w:rsid w:val="0066510D"/>
    <w:rsid w:val="0066512E"/>
    <w:rsid w:val="00666505"/>
    <w:rsid w:val="00676EFC"/>
    <w:rsid w:val="00684FF8"/>
    <w:rsid w:val="00687E0C"/>
    <w:rsid w:val="00691F27"/>
    <w:rsid w:val="00697CC9"/>
    <w:rsid w:val="00697E79"/>
    <w:rsid w:val="006A0B63"/>
    <w:rsid w:val="006A26F2"/>
    <w:rsid w:val="006A457E"/>
    <w:rsid w:val="006B10EE"/>
    <w:rsid w:val="006B1CCA"/>
    <w:rsid w:val="006B331E"/>
    <w:rsid w:val="006B352B"/>
    <w:rsid w:val="006B3644"/>
    <w:rsid w:val="006B5F6A"/>
    <w:rsid w:val="006C2933"/>
    <w:rsid w:val="006C2957"/>
    <w:rsid w:val="006C40CD"/>
    <w:rsid w:val="006C567D"/>
    <w:rsid w:val="006C5C77"/>
    <w:rsid w:val="006D1810"/>
    <w:rsid w:val="006D6783"/>
    <w:rsid w:val="006E1B19"/>
    <w:rsid w:val="006E5023"/>
    <w:rsid w:val="006E6B9B"/>
    <w:rsid w:val="006F4CEE"/>
    <w:rsid w:val="007011F0"/>
    <w:rsid w:val="00707091"/>
    <w:rsid w:val="007100DD"/>
    <w:rsid w:val="00713021"/>
    <w:rsid w:val="00716EF9"/>
    <w:rsid w:val="00717342"/>
    <w:rsid w:val="00717844"/>
    <w:rsid w:val="00723656"/>
    <w:rsid w:val="00730678"/>
    <w:rsid w:val="00731262"/>
    <w:rsid w:val="00733CD2"/>
    <w:rsid w:val="00742055"/>
    <w:rsid w:val="007429E6"/>
    <w:rsid w:val="00755099"/>
    <w:rsid w:val="00756C08"/>
    <w:rsid w:val="00760295"/>
    <w:rsid w:val="00760CD7"/>
    <w:rsid w:val="00761E1A"/>
    <w:rsid w:val="0076494E"/>
    <w:rsid w:val="00765C39"/>
    <w:rsid w:val="00767549"/>
    <w:rsid w:val="00770EF6"/>
    <w:rsid w:val="00774977"/>
    <w:rsid w:val="00775235"/>
    <w:rsid w:val="007761FA"/>
    <w:rsid w:val="00780B54"/>
    <w:rsid w:val="007817C9"/>
    <w:rsid w:val="007834A6"/>
    <w:rsid w:val="00785F1F"/>
    <w:rsid w:val="00786729"/>
    <w:rsid w:val="007913E3"/>
    <w:rsid w:val="007955F0"/>
    <w:rsid w:val="00797214"/>
    <w:rsid w:val="007A0612"/>
    <w:rsid w:val="007A18E3"/>
    <w:rsid w:val="007A1AA1"/>
    <w:rsid w:val="007A5F4D"/>
    <w:rsid w:val="007C1031"/>
    <w:rsid w:val="007C1839"/>
    <w:rsid w:val="007C2145"/>
    <w:rsid w:val="007C2724"/>
    <w:rsid w:val="007C345D"/>
    <w:rsid w:val="007D2168"/>
    <w:rsid w:val="007D2234"/>
    <w:rsid w:val="007D5AD3"/>
    <w:rsid w:val="007D659F"/>
    <w:rsid w:val="007F20A2"/>
    <w:rsid w:val="007F3523"/>
    <w:rsid w:val="007F3A2A"/>
    <w:rsid w:val="007F58B5"/>
    <w:rsid w:val="0080141A"/>
    <w:rsid w:val="00811606"/>
    <w:rsid w:val="00811A25"/>
    <w:rsid w:val="008132C8"/>
    <w:rsid w:val="00814761"/>
    <w:rsid w:val="00816322"/>
    <w:rsid w:val="00817292"/>
    <w:rsid w:val="00817469"/>
    <w:rsid w:val="00822415"/>
    <w:rsid w:val="00825DC7"/>
    <w:rsid w:val="00825E53"/>
    <w:rsid w:val="00826B06"/>
    <w:rsid w:val="00830034"/>
    <w:rsid w:val="008304AB"/>
    <w:rsid w:val="00833AD1"/>
    <w:rsid w:val="00836330"/>
    <w:rsid w:val="008363C1"/>
    <w:rsid w:val="00847A67"/>
    <w:rsid w:val="00855A14"/>
    <w:rsid w:val="008568DF"/>
    <w:rsid w:val="008609D9"/>
    <w:rsid w:val="0086130A"/>
    <w:rsid w:val="0086388D"/>
    <w:rsid w:val="00870086"/>
    <w:rsid w:val="00871ADB"/>
    <w:rsid w:val="0087379C"/>
    <w:rsid w:val="00873DE9"/>
    <w:rsid w:val="00874068"/>
    <w:rsid w:val="0087458C"/>
    <w:rsid w:val="00875595"/>
    <w:rsid w:val="008777BF"/>
    <w:rsid w:val="00880291"/>
    <w:rsid w:val="00883E8C"/>
    <w:rsid w:val="00884638"/>
    <w:rsid w:val="008915BA"/>
    <w:rsid w:val="00892F38"/>
    <w:rsid w:val="008934C6"/>
    <w:rsid w:val="008A171A"/>
    <w:rsid w:val="008B00CB"/>
    <w:rsid w:val="008B2035"/>
    <w:rsid w:val="008C1C58"/>
    <w:rsid w:val="008C236D"/>
    <w:rsid w:val="008C4939"/>
    <w:rsid w:val="008C5EBB"/>
    <w:rsid w:val="008C6A05"/>
    <w:rsid w:val="008C7E2B"/>
    <w:rsid w:val="008D0BF2"/>
    <w:rsid w:val="008D28D0"/>
    <w:rsid w:val="008E0CD2"/>
    <w:rsid w:val="008F0A92"/>
    <w:rsid w:val="008F21E5"/>
    <w:rsid w:val="008F4061"/>
    <w:rsid w:val="008F67D7"/>
    <w:rsid w:val="009013DD"/>
    <w:rsid w:val="00906B09"/>
    <w:rsid w:val="00911722"/>
    <w:rsid w:val="00913950"/>
    <w:rsid w:val="00915F81"/>
    <w:rsid w:val="00916180"/>
    <w:rsid w:val="00922292"/>
    <w:rsid w:val="00923487"/>
    <w:rsid w:val="00934103"/>
    <w:rsid w:val="00935783"/>
    <w:rsid w:val="0093786B"/>
    <w:rsid w:val="00937B8D"/>
    <w:rsid w:val="00940043"/>
    <w:rsid w:val="009449FB"/>
    <w:rsid w:val="00950794"/>
    <w:rsid w:val="00956B96"/>
    <w:rsid w:val="00963911"/>
    <w:rsid w:val="009659AA"/>
    <w:rsid w:val="00974245"/>
    <w:rsid w:val="00974C1F"/>
    <w:rsid w:val="009760D0"/>
    <w:rsid w:val="00984B80"/>
    <w:rsid w:val="00992F8C"/>
    <w:rsid w:val="009946CA"/>
    <w:rsid w:val="00997C57"/>
    <w:rsid w:val="009A066F"/>
    <w:rsid w:val="009B090B"/>
    <w:rsid w:val="009B2EC0"/>
    <w:rsid w:val="009B348C"/>
    <w:rsid w:val="009B5D93"/>
    <w:rsid w:val="009C3482"/>
    <w:rsid w:val="009C54F4"/>
    <w:rsid w:val="009C5B2A"/>
    <w:rsid w:val="009C7C06"/>
    <w:rsid w:val="009D24DA"/>
    <w:rsid w:val="009D2D11"/>
    <w:rsid w:val="009D6CF1"/>
    <w:rsid w:val="009E0F04"/>
    <w:rsid w:val="009E46F3"/>
    <w:rsid w:val="009E478F"/>
    <w:rsid w:val="009E62BE"/>
    <w:rsid w:val="009E74BF"/>
    <w:rsid w:val="009F1171"/>
    <w:rsid w:val="009F7733"/>
    <w:rsid w:val="00A0362F"/>
    <w:rsid w:val="00A07125"/>
    <w:rsid w:val="00A1101E"/>
    <w:rsid w:val="00A2197D"/>
    <w:rsid w:val="00A22709"/>
    <w:rsid w:val="00A25578"/>
    <w:rsid w:val="00A31F1B"/>
    <w:rsid w:val="00A35A25"/>
    <w:rsid w:val="00A41AB4"/>
    <w:rsid w:val="00A420B3"/>
    <w:rsid w:val="00A42F79"/>
    <w:rsid w:val="00A47B66"/>
    <w:rsid w:val="00A5556C"/>
    <w:rsid w:val="00A5662E"/>
    <w:rsid w:val="00A61403"/>
    <w:rsid w:val="00A66406"/>
    <w:rsid w:val="00A71E28"/>
    <w:rsid w:val="00A73B0A"/>
    <w:rsid w:val="00A81EDF"/>
    <w:rsid w:val="00A83559"/>
    <w:rsid w:val="00A83C39"/>
    <w:rsid w:val="00A8598B"/>
    <w:rsid w:val="00A86E32"/>
    <w:rsid w:val="00A904A4"/>
    <w:rsid w:val="00A96D38"/>
    <w:rsid w:val="00AA2DBE"/>
    <w:rsid w:val="00AA362B"/>
    <w:rsid w:val="00AA516C"/>
    <w:rsid w:val="00AA6E1C"/>
    <w:rsid w:val="00AB382E"/>
    <w:rsid w:val="00AB5DA8"/>
    <w:rsid w:val="00AC203A"/>
    <w:rsid w:val="00AC52A0"/>
    <w:rsid w:val="00AC5D3B"/>
    <w:rsid w:val="00AC6D92"/>
    <w:rsid w:val="00AD1BC0"/>
    <w:rsid w:val="00AD1BCB"/>
    <w:rsid w:val="00AD38A0"/>
    <w:rsid w:val="00AE0AF4"/>
    <w:rsid w:val="00AE0B1E"/>
    <w:rsid w:val="00AE10F9"/>
    <w:rsid w:val="00AF488C"/>
    <w:rsid w:val="00B00428"/>
    <w:rsid w:val="00B00D70"/>
    <w:rsid w:val="00B05788"/>
    <w:rsid w:val="00B1018C"/>
    <w:rsid w:val="00B11A19"/>
    <w:rsid w:val="00B13924"/>
    <w:rsid w:val="00B1396F"/>
    <w:rsid w:val="00B1451A"/>
    <w:rsid w:val="00B14C25"/>
    <w:rsid w:val="00B14E22"/>
    <w:rsid w:val="00B15937"/>
    <w:rsid w:val="00B16A81"/>
    <w:rsid w:val="00B20EC1"/>
    <w:rsid w:val="00B218B6"/>
    <w:rsid w:val="00B26246"/>
    <w:rsid w:val="00B3055F"/>
    <w:rsid w:val="00B32D51"/>
    <w:rsid w:val="00B343C1"/>
    <w:rsid w:val="00B41B7C"/>
    <w:rsid w:val="00B4390B"/>
    <w:rsid w:val="00B47B7D"/>
    <w:rsid w:val="00B47E35"/>
    <w:rsid w:val="00B50D32"/>
    <w:rsid w:val="00B510AA"/>
    <w:rsid w:val="00B53887"/>
    <w:rsid w:val="00B54C6B"/>
    <w:rsid w:val="00B55F8A"/>
    <w:rsid w:val="00B6317A"/>
    <w:rsid w:val="00B66975"/>
    <w:rsid w:val="00B738A0"/>
    <w:rsid w:val="00B741D0"/>
    <w:rsid w:val="00B749A9"/>
    <w:rsid w:val="00B87581"/>
    <w:rsid w:val="00B90DA2"/>
    <w:rsid w:val="00B93F53"/>
    <w:rsid w:val="00B9616C"/>
    <w:rsid w:val="00B96181"/>
    <w:rsid w:val="00B96F90"/>
    <w:rsid w:val="00BA48D7"/>
    <w:rsid w:val="00BB1A2E"/>
    <w:rsid w:val="00BB4F6A"/>
    <w:rsid w:val="00BB5858"/>
    <w:rsid w:val="00BB6BDF"/>
    <w:rsid w:val="00BB6D37"/>
    <w:rsid w:val="00BC2EEB"/>
    <w:rsid w:val="00BC5862"/>
    <w:rsid w:val="00BD28A9"/>
    <w:rsid w:val="00BD3147"/>
    <w:rsid w:val="00BD3458"/>
    <w:rsid w:val="00BD5788"/>
    <w:rsid w:val="00BD6A3E"/>
    <w:rsid w:val="00BD6FC4"/>
    <w:rsid w:val="00BD779C"/>
    <w:rsid w:val="00BE385B"/>
    <w:rsid w:val="00BE7171"/>
    <w:rsid w:val="00BE78C7"/>
    <w:rsid w:val="00BF2013"/>
    <w:rsid w:val="00BF2DB7"/>
    <w:rsid w:val="00BF448E"/>
    <w:rsid w:val="00BF5467"/>
    <w:rsid w:val="00BF7DC5"/>
    <w:rsid w:val="00C016D0"/>
    <w:rsid w:val="00C04C8B"/>
    <w:rsid w:val="00C04EF9"/>
    <w:rsid w:val="00C05466"/>
    <w:rsid w:val="00C1411C"/>
    <w:rsid w:val="00C20A56"/>
    <w:rsid w:val="00C23C8D"/>
    <w:rsid w:val="00C2568F"/>
    <w:rsid w:val="00C26973"/>
    <w:rsid w:val="00C31089"/>
    <w:rsid w:val="00C35F93"/>
    <w:rsid w:val="00C36394"/>
    <w:rsid w:val="00C36919"/>
    <w:rsid w:val="00C3693D"/>
    <w:rsid w:val="00C43A08"/>
    <w:rsid w:val="00C46657"/>
    <w:rsid w:val="00C51B84"/>
    <w:rsid w:val="00C56DC0"/>
    <w:rsid w:val="00C6077E"/>
    <w:rsid w:val="00C6324D"/>
    <w:rsid w:val="00C73133"/>
    <w:rsid w:val="00C7398F"/>
    <w:rsid w:val="00C742ED"/>
    <w:rsid w:val="00C77DEC"/>
    <w:rsid w:val="00C82892"/>
    <w:rsid w:val="00C8450B"/>
    <w:rsid w:val="00C86EFD"/>
    <w:rsid w:val="00C910EB"/>
    <w:rsid w:val="00C92CED"/>
    <w:rsid w:val="00C9405F"/>
    <w:rsid w:val="00CA7320"/>
    <w:rsid w:val="00CB02B0"/>
    <w:rsid w:val="00CB2E4C"/>
    <w:rsid w:val="00CB6624"/>
    <w:rsid w:val="00CB694A"/>
    <w:rsid w:val="00CC3A9C"/>
    <w:rsid w:val="00CC57CD"/>
    <w:rsid w:val="00CC7308"/>
    <w:rsid w:val="00CD626A"/>
    <w:rsid w:val="00CD62D6"/>
    <w:rsid w:val="00CD6665"/>
    <w:rsid w:val="00CD7276"/>
    <w:rsid w:val="00CE02FD"/>
    <w:rsid w:val="00CE332E"/>
    <w:rsid w:val="00CE3471"/>
    <w:rsid w:val="00CE5804"/>
    <w:rsid w:val="00CF34FA"/>
    <w:rsid w:val="00CF3895"/>
    <w:rsid w:val="00CF79F4"/>
    <w:rsid w:val="00D04039"/>
    <w:rsid w:val="00D062A8"/>
    <w:rsid w:val="00D07941"/>
    <w:rsid w:val="00D125B7"/>
    <w:rsid w:val="00D141D2"/>
    <w:rsid w:val="00D17F34"/>
    <w:rsid w:val="00D26CB3"/>
    <w:rsid w:val="00D3179C"/>
    <w:rsid w:val="00D36619"/>
    <w:rsid w:val="00D40D42"/>
    <w:rsid w:val="00D41570"/>
    <w:rsid w:val="00D41A0C"/>
    <w:rsid w:val="00D43400"/>
    <w:rsid w:val="00D43A72"/>
    <w:rsid w:val="00D45121"/>
    <w:rsid w:val="00D51353"/>
    <w:rsid w:val="00D5295E"/>
    <w:rsid w:val="00D55CC2"/>
    <w:rsid w:val="00D63C73"/>
    <w:rsid w:val="00D766A5"/>
    <w:rsid w:val="00D76DD4"/>
    <w:rsid w:val="00D778CD"/>
    <w:rsid w:val="00D80174"/>
    <w:rsid w:val="00D812C5"/>
    <w:rsid w:val="00D8274E"/>
    <w:rsid w:val="00D86F67"/>
    <w:rsid w:val="00D95B9E"/>
    <w:rsid w:val="00D97DDE"/>
    <w:rsid w:val="00DA28E0"/>
    <w:rsid w:val="00DA53B6"/>
    <w:rsid w:val="00DA6516"/>
    <w:rsid w:val="00DA6C41"/>
    <w:rsid w:val="00DA7127"/>
    <w:rsid w:val="00DB45D3"/>
    <w:rsid w:val="00DB4614"/>
    <w:rsid w:val="00DC3DC8"/>
    <w:rsid w:val="00DC3E15"/>
    <w:rsid w:val="00DD229F"/>
    <w:rsid w:val="00DD36AF"/>
    <w:rsid w:val="00DD6634"/>
    <w:rsid w:val="00DD7CED"/>
    <w:rsid w:val="00DE0204"/>
    <w:rsid w:val="00DE0219"/>
    <w:rsid w:val="00DE3349"/>
    <w:rsid w:val="00DE4EED"/>
    <w:rsid w:val="00DE6C2C"/>
    <w:rsid w:val="00DE756B"/>
    <w:rsid w:val="00DF03D8"/>
    <w:rsid w:val="00DF0C39"/>
    <w:rsid w:val="00DF13F6"/>
    <w:rsid w:val="00E0672B"/>
    <w:rsid w:val="00E06DBC"/>
    <w:rsid w:val="00E124AE"/>
    <w:rsid w:val="00E124FC"/>
    <w:rsid w:val="00E128CF"/>
    <w:rsid w:val="00E12E87"/>
    <w:rsid w:val="00E17C7A"/>
    <w:rsid w:val="00E262A2"/>
    <w:rsid w:val="00E26F53"/>
    <w:rsid w:val="00E31439"/>
    <w:rsid w:val="00E344B3"/>
    <w:rsid w:val="00E34A6C"/>
    <w:rsid w:val="00E41A76"/>
    <w:rsid w:val="00E45658"/>
    <w:rsid w:val="00E47083"/>
    <w:rsid w:val="00E50F42"/>
    <w:rsid w:val="00E53821"/>
    <w:rsid w:val="00E57C9C"/>
    <w:rsid w:val="00E6156F"/>
    <w:rsid w:val="00E625DE"/>
    <w:rsid w:val="00E679C4"/>
    <w:rsid w:val="00E72B2C"/>
    <w:rsid w:val="00E732CC"/>
    <w:rsid w:val="00E73DD6"/>
    <w:rsid w:val="00E73E05"/>
    <w:rsid w:val="00E764A2"/>
    <w:rsid w:val="00E8148F"/>
    <w:rsid w:val="00E82869"/>
    <w:rsid w:val="00E842E8"/>
    <w:rsid w:val="00E84FED"/>
    <w:rsid w:val="00E872E8"/>
    <w:rsid w:val="00E90CC3"/>
    <w:rsid w:val="00E9201E"/>
    <w:rsid w:val="00E94DAB"/>
    <w:rsid w:val="00E95D37"/>
    <w:rsid w:val="00E96A82"/>
    <w:rsid w:val="00E96B73"/>
    <w:rsid w:val="00EA29E0"/>
    <w:rsid w:val="00EA2BF0"/>
    <w:rsid w:val="00EA3CA7"/>
    <w:rsid w:val="00EA6BAE"/>
    <w:rsid w:val="00EB32E5"/>
    <w:rsid w:val="00EB4407"/>
    <w:rsid w:val="00EB49C5"/>
    <w:rsid w:val="00EB6CF8"/>
    <w:rsid w:val="00EB7761"/>
    <w:rsid w:val="00EC1974"/>
    <w:rsid w:val="00EC64EA"/>
    <w:rsid w:val="00EC712A"/>
    <w:rsid w:val="00ED3895"/>
    <w:rsid w:val="00EE13D5"/>
    <w:rsid w:val="00EF00B7"/>
    <w:rsid w:val="00EF1032"/>
    <w:rsid w:val="00EF30C9"/>
    <w:rsid w:val="00EF49B8"/>
    <w:rsid w:val="00EF5696"/>
    <w:rsid w:val="00EF7567"/>
    <w:rsid w:val="00F015D1"/>
    <w:rsid w:val="00F01835"/>
    <w:rsid w:val="00F01C91"/>
    <w:rsid w:val="00F036E3"/>
    <w:rsid w:val="00F03768"/>
    <w:rsid w:val="00F03E79"/>
    <w:rsid w:val="00F049A0"/>
    <w:rsid w:val="00F069FF"/>
    <w:rsid w:val="00F10F74"/>
    <w:rsid w:val="00F20417"/>
    <w:rsid w:val="00F2267B"/>
    <w:rsid w:val="00F264B4"/>
    <w:rsid w:val="00F335ED"/>
    <w:rsid w:val="00F33EFB"/>
    <w:rsid w:val="00F35A43"/>
    <w:rsid w:val="00F53305"/>
    <w:rsid w:val="00F57D01"/>
    <w:rsid w:val="00F62D11"/>
    <w:rsid w:val="00F74497"/>
    <w:rsid w:val="00F82203"/>
    <w:rsid w:val="00F83A2A"/>
    <w:rsid w:val="00F83E8E"/>
    <w:rsid w:val="00F8623F"/>
    <w:rsid w:val="00F873DB"/>
    <w:rsid w:val="00F94A23"/>
    <w:rsid w:val="00F971A4"/>
    <w:rsid w:val="00FA203C"/>
    <w:rsid w:val="00FA4A78"/>
    <w:rsid w:val="00FB0623"/>
    <w:rsid w:val="00FB3790"/>
    <w:rsid w:val="00FB65EA"/>
    <w:rsid w:val="00FC2F54"/>
    <w:rsid w:val="00FC4667"/>
    <w:rsid w:val="00FC4CD0"/>
    <w:rsid w:val="00FC645B"/>
    <w:rsid w:val="00FD10C0"/>
    <w:rsid w:val="00FD1E6F"/>
    <w:rsid w:val="00FD2846"/>
    <w:rsid w:val="00FD31DA"/>
    <w:rsid w:val="00FD4FDD"/>
    <w:rsid w:val="00FD5054"/>
    <w:rsid w:val="00FD5A54"/>
    <w:rsid w:val="00FE1069"/>
    <w:rsid w:val="00FE3E7A"/>
    <w:rsid w:val="00FE5B90"/>
    <w:rsid w:val="00FE7AC0"/>
    <w:rsid w:val="00FF1851"/>
    <w:rsid w:val="00FF5F71"/>
    <w:rsid w:val="00FF7C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A65AC3-178F-42C5-A9AA-32D347AC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E92"/>
  </w:style>
  <w:style w:type="paragraph" w:styleId="Ttulo3">
    <w:name w:val="heading 3"/>
    <w:basedOn w:val="Normal"/>
    <w:next w:val="Normal"/>
    <w:link w:val="Ttulo3Car"/>
    <w:uiPriority w:val="9"/>
    <w:semiHidden/>
    <w:unhideWhenUsed/>
    <w:qFormat/>
    <w:rsid w:val="002E5C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935783"/>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35783"/>
    <w:rPr>
      <w:rFonts w:ascii="Verdana" w:eastAsia="Times New Roman" w:hAnsi="Verdana" w:cs="Times New Roman"/>
      <w:b/>
      <w:bCs/>
      <w:sz w:val="24"/>
      <w:szCs w:val="20"/>
      <w:lang w:eastAsia="es-ES"/>
    </w:rPr>
  </w:style>
  <w:style w:type="paragraph" w:styleId="Sinespaciado">
    <w:name w:val="No Spacing"/>
    <w:link w:val="SinespaciadoCar"/>
    <w:uiPriority w:val="1"/>
    <w:qFormat/>
    <w:rsid w:val="00935783"/>
    <w:pPr>
      <w:spacing w:after="0" w:line="240" w:lineRule="auto"/>
    </w:pPr>
  </w:style>
  <w:style w:type="paragraph" w:styleId="Prrafodelista">
    <w:name w:val="List Paragraph"/>
    <w:basedOn w:val="Normal"/>
    <w:qFormat/>
    <w:rsid w:val="00935783"/>
    <w:pPr>
      <w:ind w:left="720"/>
      <w:contextualSpacing/>
    </w:pPr>
  </w:style>
  <w:style w:type="paragraph" w:styleId="Puesto">
    <w:name w:val="Title"/>
    <w:basedOn w:val="Normal"/>
    <w:link w:val="PuestoCar"/>
    <w:qFormat/>
    <w:rsid w:val="00935783"/>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935783"/>
    <w:rPr>
      <w:rFonts w:ascii="Arial" w:eastAsia="Times New Roman" w:hAnsi="Arial" w:cs="Arial"/>
      <w:b/>
      <w:sz w:val="24"/>
      <w:szCs w:val="24"/>
      <w:lang w:eastAsia="es-ES"/>
    </w:rPr>
  </w:style>
  <w:style w:type="paragraph" w:styleId="Encabezado">
    <w:name w:val="header"/>
    <w:basedOn w:val="Normal"/>
    <w:link w:val="EncabezadoCar"/>
    <w:uiPriority w:val="99"/>
    <w:unhideWhenUsed/>
    <w:rsid w:val="00D317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179C"/>
  </w:style>
  <w:style w:type="paragraph" w:styleId="Piedepgina">
    <w:name w:val="footer"/>
    <w:basedOn w:val="Normal"/>
    <w:link w:val="PiedepginaCar"/>
    <w:uiPriority w:val="99"/>
    <w:unhideWhenUsed/>
    <w:rsid w:val="00D317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179C"/>
  </w:style>
  <w:style w:type="paragraph" w:styleId="Textodeglobo">
    <w:name w:val="Balloon Text"/>
    <w:basedOn w:val="Normal"/>
    <w:link w:val="TextodegloboCar"/>
    <w:uiPriority w:val="99"/>
    <w:semiHidden/>
    <w:unhideWhenUsed/>
    <w:rsid w:val="009D24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24DA"/>
    <w:rPr>
      <w:rFonts w:ascii="Segoe UI" w:hAnsi="Segoe UI" w:cs="Segoe UI"/>
      <w:sz w:val="18"/>
      <w:szCs w:val="18"/>
    </w:rPr>
  </w:style>
  <w:style w:type="character" w:styleId="Nmerodelnea">
    <w:name w:val="line number"/>
    <w:basedOn w:val="Fuentedeprrafopredeter"/>
    <w:uiPriority w:val="99"/>
    <w:semiHidden/>
    <w:unhideWhenUsed/>
    <w:rsid w:val="001657C9"/>
  </w:style>
  <w:style w:type="paragraph" w:styleId="Textonotaalfinal">
    <w:name w:val="endnote text"/>
    <w:basedOn w:val="Normal"/>
    <w:link w:val="TextonotaalfinalCar"/>
    <w:uiPriority w:val="99"/>
    <w:semiHidden/>
    <w:unhideWhenUsed/>
    <w:rsid w:val="006A26F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A26F2"/>
    <w:rPr>
      <w:sz w:val="20"/>
      <w:szCs w:val="20"/>
    </w:rPr>
  </w:style>
  <w:style w:type="character" w:styleId="Refdenotaalfinal">
    <w:name w:val="endnote reference"/>
    <w:basedOn w:val="Fuentedeprrafopredeter"/>
    <w:uiPriority w:val="99"/>
    <w:semiHidden/>
    <w:unhideWhenUsed/>
    <w:rsid w:val="006A26F2"/>
    <w:rPr>
      <w:vertAlign w:val="superscript"/>
    </w:rPr>
  </w:style>
  <w:style w:type="paragraph" w:styleId="Textonotapie">
    <w:name w:val="footnote text"/>
    <w:basedOn w:val="Normal"/>
    <w:link w:val="TextonotapieCar"/>
    <w:uiPriority w:val="99"/>
    <w:semiHidden/>
    <w:unhideWhenUsed/>
    <w:rsid w:val="006A26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26F2"/>
    <w:rPr>
      <w:sz w:val="20"/>
      <w:szCs w:val="20"/>
    </w:rPr>
  </w:style>
  <w:style w:type="character" w:styleId="Refdenotaalpie">
    <w:name w:val="footnote reference"/>
    <w:basedOn w:val="Fuentedeprrafopredeter"/>
    <w:uiPriority w:val="99"/>
    <w:semiHidden/>
    <w:unhideWhenUsed/>
    <w:rsid w:val="006A26F2"/>
    <w:rPr>
      <w:vertAlign w:val="superscript"/>
    </w:rPr>
  </w:style>
  <w:style w:type="character" w:styleId="Hipervnculo">
    <w:name w:val="Hyperlink"/>
    <w:basedOn w:val="Fuentedeprrafopredeter"/>
    <w:uiPriority w:val="99"/>
    <w:unhideWhenUsed/>
    <w:rsid w:val="004A5B0D"/>
    <w:rPr>
      <w:color w:val="0563C1" w:themeColor="hyperlink"/>
      <w:u w:val="single"/>
    </w:rPr>
  </w:style>
  <w:style w:type="character" w:customStyle="1" w:styleId="SinespaciadoCar">
    <w:name w:val="Sin espaciado Car"/>
    <w:link w:val="Sinespaciado"/>
    <w:locked/>
    <w:rsid w:val="000F77AB"/>
  </w:style>
  <w:style w:type="paragraph" w:styleId="Lista2">
    <w:name w:val="List 2"/>
    <w:basedOn w:val="Normal"/>
    <w:uiPriority w:val="99"/>
    <w:unhideWhenUsed/>
    <w:rsid w:val="002F3711"/>
    <w:pPr>
      <w:ind w:left="566" w:hanging="283"/>
      <w:contextualSpacing/>
    </w:pPr>
  </w:style>
  <w:style w:type="paragraph" w:styleId="Lista3">
    <w:name w:val="List 3"/>
    <w:basedOn w:val="Normal"/>
    <w:uiPriority w:val="99"/>
    <w:unhideWhenUsed/>
    <w:rsid w:val="002F3711"/>
    <w:pPr>
      <w:ind w:left="849" w:hanging="283"/>
      <w:contextualSpacing/>
    </w:pPr>
  </w:style>
  <w:style w:type="paragraph" w:styleId="Saludo">
    <w:name w:val="Salutation"/>
    <w:basedOn w:val="Normal"/>
    <w:next w:val="Normal"/>
    <w:link w:val="SaludoCar"/>
    <w:uiPriority w:val="99"/>
    <w:unhideWhenUsed/>
    <w:rsid w:val="002F3711"/>
  </w:style>
  <w:style w:type="character" w:customStyle="1" w:styleId="SaludoCar">
    <w:name w:val="Saludo Car"/>
    <w:basedOn w:val="Fuentedeprrafopredeter"/>
    <w:link w:val="Saludo"/>
    <w:uiPriority w:val="99"/>
    <w:rsid w:val="002F3711"/>
  </w:style>
  <w:style w:type="paragraph" w:styleId="Cierre">
    <w:name w:val="Closing"/>
    <w:basedOn w:val="Normal"/>
    <w:link w:val="CierreCar"/>
    <w:uiPriority w:val="99"/>
    <w:unhideWhenUsed/>
    <w:rsid w:val="002F3711"/>
    <w:pPr>
      <w:spacing w:after="0" w:line="240" w:lineRule="auto"/>
      <w:ind w:left="4252"/>
    </w:pPr>
  </w:style>
  <w:style w:type="character" w:customStyle="1" w:styleId="CierreCar">
    <w:name w:val="Cierre Car"/>
    <w:basedOn w:val="Fuentedeprrafopredeter"/>
    <w:link w:val="Cierre"/>
    <w:uiPriority w:val="99"/>
    <w:rsid w:val="002F3711"/>
  </w:style>
  <w:style w:type="paragraph" w:styleId="Textoindependiente">
    <w:name w:val="Body Text"/>
    <w:basedOn w:val="Normal"/>
    <w:link w:val="TextoindependienteCar"/>
    <w:uiPriority w:val="99"/>
    <w:unhideWhenUsed/>
    <w:rsid w:val="002F3711"/>
    <w:pPr>
      <w:spacing w:after="120"/>
    </w:pPr>
  </w:style>
  <w:style w:type="character" w:customStyle="1" w:styleId="TextoindependienteCar">
    <w:name w:val="Texto independiente Car"/>
    <w:basedOn w:val="Fuentedeprrafopredeter"/>
    <w:link w:val="Textoindependiente"/>
    <w:uiPriority w:val="99"/>
    <w:rsid w:val="002F3711"/>
  </w:style>
  <w:style w:type="paragraph" w:styleId="Sangradetextonormal">
    <w:name w:val="Body Text Indent"/>
    <w:basedOn w:val="Normal"/>
    <w:link w:val="SangradetextonormalCar"/>
    <w:uiPriority w:val="99"/>
    <w:unhideWhenUsed/>
    <w:rsid w:val="002F3711"/>
    <w:pPr>
      <w:spacing w:after="120"/>
      <w:ind w:left="283"/>
    </w:pPr>
  </w:style>
  <w:style w:type="character" w:customStyle="1" w:styleId="SangradetextonormalCar">
    <w:name w:val="Sangría de texto normal Car"/>
    <w:basedOn w:val="Fuentedeprrafopredeter"/>
    <w:link w:val="Sangradetextonormal"/>
    <w:uiPriority w:val="99"/>
    <w:rsid w:val="002F3711"/>
  </w:style>
  <w:style w:type="paragraph" w:styleId="Subttulo">
    <w:name w:val="Subtitle"/>
    <w:basedOn w:val="Normal"/>
    <w:next w:val="Normal"/>
    <w:link w:val="SubttuloCar"/>
    <w:uiPriority w:val="11"/>
    <w:qFormat/>
    <w:rsid w:val="002F371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2F3711"/>
    <w:rPr>
      <w:rFonts w:asciiTheme="majorHAnsi" w:eastAsiaTheme="majorEastAsia" w:hAnsiTheme="majorHAnsi" w:cstheme="majorBidi"/>
      <w:i/>
      <w:iCs/>
      <w:color w:val="5B9BD5" w:themeColor="accent1"/>
      <w:spacing w:val="15"/>
      <w:sz w:val="24"/>
      <w:szCs w:val="24"/>
    </w:rPr>
  </w:style>
  <w:style w:type="paragraph" w:styleId="Textoindependienteprimerasangra">
    <w:name w:val="Body Text First Indent"/>
    <w:basedOn w:val="Textoindependiente"/>
    <w:link w:val="TextoindependienteprimerasangraCar"/>
    <w:uiPriority w:val="99"/>
    <w:unhideWhenUsed/>
    <w:rsid w:val="002F371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2F3711"/>
  </w:style>
  <w:style w:type="paragraph" w:styleId="Textoindependienteprimerasangra2">
    <w:name w:val="Body Text First Indent 2"/>
    <w:basedOn w:val="Sangradetextonormal"/>
    <w:link w:val="Textoindependienteprimerasangra2Car"/>
    <w:uiPriority w:val="99"/>
    <w:unhideWhenUsed/>
    <w:rsid w:val="002F3711"/>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F3711"/>
  </w:style>
  <w:style w:type="character" w:customStyle="1" w:styleId="Ttulo3Car">
    <w:name w:val="Título 3 Car"/>
    <w:basedOn w:val="Fuentedeprrafopredeter"/>
    <w:link w:val="Ttulo3"/>
    <w:uiPriority w:val="9"/>
    <w:semiHidden/>
    <w:rsid w:val="002E5C3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66780">
      <w:bodyDiv w:val="1"/>
      <w:marLeft w:val="0"/>
      <w:marRight w:val="0"/>
      <w:marTop w:val="0"/>
      <w:marBottom w:val="0"/>
      <w:divBdr>
        <w:top w:val="none" w:sz="0" w:space="0" w:color="auto"/>
        <w:left w:val="none" w:sz="0" w:space="0" w:color="auto"/>
        <w:bottom w:val="none" w:sz="0" w:space="0" w:color="auto"/>
        <w:right w:val="none" w:sz="0" w:space="0" w:color="auto"/>
      </w:divBdr>
    </w:div>
    <w:div w:id="517280718">
      <w:bodyDiv w:val="1"/>
      <w:marLeft w:val="0"/>
      <w:marRight w:val="0"/>
      <w:marTop w:val="0"/>
      <w:marBottom w:val="0"/>
      <w:divBdr>
        <w:top w:val="none" w:sz="0" w:space="0" w:color="auto"/>
        <w:left w:val="none" w:sz="0" w:space="0" w:color="auto"/>
        <w:bottom w:val="none" w:sz="0" w:space="0" w:color="auto"/>
        <w:right w:val="none" w:sz="0" w:space="0" w:color="auto"/>
      </w:divBdr>
    </w:div>
    <w:div w:id="518281271">
      <w:bodyDiv w:val="1"/>
      <w:marLeft w:val="0"/>
      <w:marRight w:val="0"/>
      <w:marTop w:val="0"/>
      <w:marBottom w:val="0"/>
      <w:divBdr>
        <w:top w:val="none" w:sz="0" w:space="0" w:color="auto"/>
        <w:left w:val="none" w:sz="0" w:space="0" w:color="auto"/>
        <w:bottom w:val="none" w:sz="0" w:space="0" w:color="auto"/>
        <w:right w:val="none" w:sz="0" w:space="0" w:color="auto"/>
      </w:divBdr>
    </w:div>
    <w:div w:id="654335797">
      <w:bodyDiv w:val="1"/>
      <w:marLeft w:val="0"/>
      <w:marRight w:val="0"/>
      <w:marTop w:val="0"/>
      <w:marBottom w:val="0"/>
      <w:divBdr>
        <w:top w:val="none" w:sz="0" w:space="0" w:color="auto"/>
        <w:left w:val="none" w:sz="0" w:space="0" w:color="auto"/>
        <w:bottom w:val="none" w:sz="0" w:space="0" w:color="auto"/>
        <w:right w:val="none" w:sz="0" w:space="0" w:color="auto"/>
      </w:divBdr>
    </w:div>
    <w:div w:id="906233591">
      <w:bodyDiv w:val="1"/>
      <w:marLeft w:val="0"/>
      <w:marRight w:val="0"/>
      <w:marTop w:val="0"/>
      <w:marBottom w:val="0"/>
      <w:divBdr>
        <w:top w:val="none" w:sz="0" w:space="0" w:color="auto"/>
        <w:left w:val="none" w:sz="0" w:space="0" w:color="auto"/>
        <w:bottom w:val="none" w:sz="0" w:space="0" w:color="auto"/>
        <w:right w:val="none" w:sz="0" w:space="0" w:color="auto"/>
      </w:divBdr>
    </w:div>
    <w:div w:id="1062563338">
      <w:bodyDiv w:val="1"/>
      <w:marLeft w:val="0"/>
      <w:marRight w:val="0"/>
      <w:marTop w:val="0"/>
      <w:marBottom w:val="0"/>
      <w:divBdr>
        <w:top w:val="none" w:sz="0" w:space="0" w:color="auto"/>
        <w:left w:val="none" w:sz="0" w:space="0" w:color="auto"/>
        <w:bottom w:val="none" w:sz="0" w:space="0" w:color="auto"/>
        <w:right w:val="none" w:sz="0" w:space="0" w:color="auto"/>
      </w:divBdr>
    </w:div>
    <w:div w:id="1103955269">
      <w:bodyDiv w:val="1"/>
      <w:marLeft w:val="0"/>
      <w:marRight w:val="0"/>
      <w:marTop w:val="0"/>
      <w:marBottom w:val="0"/>
      <w:divBdr>
        <w:top w:val="none" w:sz="0" w:space="0" w:color="auto"/>
        <w:left w:val="none" w:sz="0" w:space="0" w:color="auto"/>
        <w:bottom w:val="none" w:sz="0" w:space="0" w:color="auto"/>
        <w:right w:val="none" w:sz="0" w:space="0" w:color="auto"/>
      </w:divBdr>
    </w:div>
    <w:div w:id="1130168673">
      <w:bodyDiv w:val="1"/>
      <w:marLeft w:val="0"/>
      <w:marRight w:val="0"/>
      <w:marTop w:val="0"/>
      <w:marBottom w:val="0"/>
      <w:divBdr>
        <w:top w:val="none" w:sz="0" w:space="0" w:color="auto"/>
        <w:left w:val="none" w:sz="0" w:space="0" w:color="auto"/>
        <w:bottom w:val="none" w:sz="0" w:space="0" w:color="auto"/>
        <w:right w:val="none" w:sz="0" w:space="0" w:color="auto"/>
      </w:divBdr>
    </w:div>
    <w:div w:id="1915775608">
      <w:bodyDiv w:val="1"/>
      <w:marLeft w:val="0"/>
      <w:marRight w:val="0"/>
      <w:marTop w:val="0"/>
      <w:marBottom w:val="0"/>
      <w:divBdr>
        <w:top w:val="none" w:sz="0" w:space="0" w:color="auto"/>
        <w:left w:val="none" w:sz="0" w:space="0" w:color="auto"/>
        <w:bottom w:val="none" w:sz="0" w:space="0" w:color="auto"/>
        <w:right w:val="none" w:sz="0" w:space="0" w:color="auto"/>
      </w:divBdr>
    </w:div>
    <w:div w:id="20159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50CFC-E538-47F4-B537-AA0D5FE8B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Pages>
  <Words>3258</Words>
  <Characters>17920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Lucía Caicedo Calderon</dc:creator>
  <cp:lastModifiedBy>Henry Lora Rodriguez</cp:lastModifiedBy>
  <cp:revision>18</cp:revision>
  <cp:lastPrinted>2020-01-24T13:03:00Z</cp:lastPrinted>
  <dcterms:created xsi:type="dcterms:W3CDTF">2020-01-23T15:38:00Z</dcterms:created>
  <dcterms:modified xsi:type="dcterms:W3CDTF">2020-02-19T19:57:00Z</dcterms:modified>
</cp:coreProperties>
</file>