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89" w:rsidRPr="00C33789" w:rsidRDefault="00C33789" w:rsidP="00C3378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C3378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33789" w:rsidRPr="00C33789" w:rsidRDefault="00C33789" w:rsidP="00C33789">
      <w:pPr>
        <w:spacing w:line="240" w:lineRule="auto"/>
        <w:ind w:firstLine="0"/>
        <w:rPr>
          <w:rFonts w:ascii="Arial" w:eastAsia="Times New Roman" w:hAnsi="Arial" w:cs="Arial"/>
          <w:sz w:val="20"/>
          <w:szCs w:val="20"/>
          <w:lang w:val="es-419" w:eastAsia="es-ES"/>
        </w:rPr>
      </w:pPr>
    </w:p>
    <w:p w:rsidR="00C33789" w:rsidRPr="00C33789" w:rsidRDefault="00C33789" w:rsidP="00C33789">
      <w:pPr>
        <w:spacing w:line="240" w:lineRule="auto"/>
        <w:ind w:firstLine="0"/>
        <w:rPr>
          <w:rFonts w:ascii="Arial" w:eastAsia="Times New Roman" w:hAnsi="Arial" w:cs="Arial"/>
          <w:sz w:val="20"/>
          <w:szCs w:val="20"/>
          <w:lang w:val="es-419" w:eastAsia="es-ES"/>
        </w:rPr>
      </w:pPr>
      <w:r w:rsidRPr="00C33789">
        <w:rPr>
          <w:rFonts w:ascii="Arial" w:eastAsia="Times New Roman" w:hAnsi="Arial" w:cs="Arial"/>
          <w:sz w:val="20"/>
          <w:szCs w:val="20"/>
          <w:lang w:val="es-419" w:eastAsia="es-ES"/>
        </w:rPr>
        <w:t>Providencia</w:t>
      </w:r>
      <w:r w:rsidRPr="00C33789">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C33789">
        <w:rPr>
          <w:rFonts w:ascii="Arial" w:eastAsia="Times New Roman" w:hAnsi="Arial" w:cs="Arial"/>
          <w:sz w:val="20"/>
          <w:szCs w:val="20"/>
          <w:lang w:val="es-419" w:eastAsia="es-ES"/>
        </w:rPr>
        <w:t>Auto del 4 de febrero de 2020</w:t>
      </w:r>
    </w:p>
    <w:p w:rsidR="00C33789" w:rsidRPr="00C33789" w:rsidRDefault="00C33789" w:rsidP="00C33789">
      <w:pPr>
        <w:spacing w:line="240" w:lineRule="auto"/>
        <w:ind w:firstLine="0"/>
        <w:rPr>
          <w:rFonts w:ascii="Arial" w:eastAsia="Times New Roman" w:hAnsi="Arial" w:cs="Arial"/>
          <w:sz w:val="20"/>
          <w:szCs w:val="20"/>
          <w:lang w:val="es-419" w:eastAsia="es-ES"/>
        </w:rPr>
      </w:pPr>
      <w:r w:rsidRPr="00C33789">
        <w:rPr>
          <w:rFonts w:ascii="Arial" w:eastAsia="Times New Roman" w:hAnsi="Arial" w:cs="Arial"/>
          <w:sz w:val="20"/>
          <w:szCs w:val="20"/>
          <w:lang w:val="es-419" w:eastAsia="es-ES"/>
        </w:rPr>
        <w:t xml:space="preserve">Radicación No. </w:t>
      </w:r>
      <w:r w:rsidRPr="00C33789">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C33789">
        <w:rPr>
          <w:rFonts w:ascii="Arial" w:eastAsia="Times New Roman" w:hAnsi="Arial" w:cs="Arial"/>
          <w:sz w:val="20"/>
          <w:szCs w:val="20"/>
          <w:lang w:val="es-419" w:eastAsia="es-ES"/>
        </w:rPr>
        <w:t>66001-31-05-002-2018-00194-01</w:t>
      </w:r>
    </w:p>
    <w:p w:rsidR="00C33789" w:rsidRPr="00C33789" w:rsidRDefault="00C33789" w:rsidP="00C33789">
      <w:pPr>
        <w:spacing w:line="240" w:lineRule="auto"/>
        <w:ind w:firstLine="0"/>
        <w:rPr>
          <w:rFonts w:ascii="Arial" w:eastAsia="Times New Roman" w:hAnsi="Arial" w:cs="Arial"/>
          <w:sz w:val="20"/>
          <w:szCs w:val="20"/>
          <w:lang w:val="es-419" w:eastAsia="es-ES"/>
        </w:rPr>
      </w:pPr>
      <w:r w:rsidRPr="00C33789">
        <w:rPr>
          <w:rFonts w:ascii="Arial" w:eastAsia="Times New Roman" w:hAnsi="Arial" w:cs="Arial"/>
          <w:sz w:val="20"/>
          <w:szCs w:val="20"/>
          <w:lang w:val="es-419" w:eastAsia="es-ES"/>
        </w:rPr>
        <w:t>Proceso</w:t>
      </w:r>
      <w:r w:rsidRPr="00C33789">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C33789">
        <w:rPr>
          <w:rFonts w:ascii="Arial" w:eastAsia="Times New Roman" w:hAnsi="Arial" w:cs="Arial"/>
          <w:sz w:val="20"/>
          <w:szCs w:val="20"/>
          <w:lang w:val="es-419" w:eastAsia="es-ES"/>
        </w:rPr>
        <w:t>Ordinario Laboral</w:t>
      </w:r>
    </w:p>
    <w:p w:rsidR="00C33789" w:rsidRPr="00C33789" w:rsidRDefault="00C33789" w:rsidP="00C33789">
      <w:pPr>
        <w:spacing w:line="240" w:lineRule="auto"/>
        <w:ind w:firstLine="0"/>
        <w:rPr>
          <w:rFonts w:ascii="Arial" w:eastAsia="Times New Roman" w:hAnsi="Arial" w:cs="Arial"/>
          <w:sz w:val="20"/>
          <w:szCs w:val="20"/>
          <w:lang w:val="es-419" w:eastAsia="es-ES"/>
        </w:rPr>
      </w:pPr>
      <w:r w:rsidRPr="00C33789">
        <w:rPr>
          <w:rFonts w:ascii="Arial" w:eastAsia="Times New Roman" w:hAnsi="Arial" w:cs="Arial"/>
          <w:sz w:val="20"/>
          <w:szCs w:val="20"/>
          <w:lang w:val="es-419" w:eastAsia="es-ES"/>
        </w:rPr>
        <w:t>Demandante</w:t>
      </w:r>
      <w:r w:rsidRPr="00C33789">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C33789">
        <w:rPr>
          <w:rFonts w:ascii="Arial" w:eastAsia="Times New Roman" w:hAnsi="Arial" w:cs="Arial"/>
          <w:sz w:val="20"/>
          <w:szCs w:val="20"/>
          <w:lang w:val="es-419" w:eastAsia="es-ES"/>
        </w:rPr>
        <w:t xml:space="preserve">Nathalia Castrillón Murillo </w:t>
      </w:r>
    </w:p>
    <w:p w:rsidR="00C33789" w:rsidRPr="00C33789" w:rsidRDefault="00C33789" w:rsidP="00C33789">
      <w:pPr>
        <w:spacing w:line="240" w:lineRule="auto"/>
        <w:ind w:firstLine="0"/>
        <w:rPr>
          <w:rFonts w:ascii="Arial" w:eastAsia="Times New Roman" w:hAnsi="Arial" w:cs="Arial"/>
          <w:sz w:val="20"/>
          <w:szCs w:val="20"/>
          <w:lang w:val="es-419" w:eastAsia="es-ES"/>
        </w:rPr>
      </w:pPr>
      <w:r w:rsidRPr="00C33789">
        <w:rPr>
          <w:rFonts w:ascii="Arial" w:eastAsia="Times New Roman" w:hAnsi="Arial" w:cs="Arial"/>
          <w:sz w:val="20"/>
          <w:szCs w:val="20"/>
          <w:lang w:val="es-419" w:eastAsia="es-ES"/>
        </w:rPr>
        <w:t>Demandado</w:t>
      </w:r>
      <w:r w:rsidRPr="00C33789">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C33789">
        <w:rPr>
          <w:rFonts w:ascii="Arial" w:eastAsia="Times New Roman" w:hAnsi="Arial" w:cs="Arial"/>
          <w:sz w:val="20"/>
          <w:szCs w:val="20"/>
          <w:lang w:val="es-419" w:eastAsia="es-ES"/>
        </w:rPr>
        <w:t>Telemark Spain S.L.</w:t>
      </w:r>
    </w:p>
    <w:p w:rsidR="00C33789" w:rsidRPr="00C33789" w:rsidRDefault="00C33789" w:rsidP="00C33789">
      <w:pPr>
        <w:spacing w:line="240" w:lineRule="auto"/>
        <w:ind w:firstLine="0"/>
        <w:rPr>
          <w:rFonts w:ascii="Arial" w:eastAsia="Times New Roman" w:hAnsi="Arial" w:cs="Arial"/>
          <w:sz w:val="20"/>
          <w:szCs w:val="20"/>
          <w:lang w:val="es-419" w:eastAsia="es-ES"/>
        </w:rPr>
      </w:pPr>
      <w:r w:rsidRPr="00C33789">
        <w:rPr>
          <w:rFonts w:ascii="Arial" w:eastAsia="Times New Roman" w:hAnsi="Arial" w:cs="Arial"/>
          <w:sz w:val="20"/>
          <w:szCs w:val="20"/>
          <w:lang w:val="es-419" w:eastAsia="es-ES"/>
        </w:rPr>
        <w:t>Juzgado</w:t>
      </w:r>
      <w:r w:rsidRPr="00C33789">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C33789">
        <w:rPr>
          <w:rFonts w:ascii="Arial" w:eastAsia="Times New Roman" w:hAnsi="Arial" w:cs="Arial"/>
          <w:sz w:val="20"/>
          <w:szCs w:val="20"/>
          <w:lang w:val="es-419" w:eastAsia="es-ES"/>
        </w:rPr>
        <w:t>Segundo Laboral del Circuito de Pereira</w:t>
      </w:r>
    </w:p>
    <w:p w:rsidR="00C33789" w:rsidRPr="00C33789" w:rsidRDefault="00C33789" w:rsidP="00C33789">
      <w:pPr>
        <w:spacing w:line="240" w:lineRule="auto"/>
        <w:ind w:firstLine="0"/>
        <w:rPr>
          <w:rFonts w:ascii="Arial" w:eastAsia="Times New Roman" w:hAnsi="Arial" w:cs="Arial"/>
          <w:sz w:val="20"/>
          <w:szCs w:val="20"/>
          <w:lang w:val="es-419" w:eastAsia="es-ES"/>
        </w:rPr>
      </w:pPr>
    </w:p>
    <w:p w:rsidR="00503D48" w:rsidRPr="00A40DE7" w:rsidRDefault="00503D48" w:rsidP="00503D48">
      <w:pPr>
        <w:spacing w:line="240" w:lineRule="auto"/>
        <w:ind w:firstLine="0"/>
        <w:rPr>
          <w:rFonts w:ascii="Arial" w:eastAsia="Times New Roman" w:hAnsi="Arial" w:cs="Arial"/>
          <w:b/>
          <w:bCs/>
          <w:iCs/>
          <w:sz w:val="20"/>
          <w:szCs w:val="20"/>
          <w:lang w:val="es-CO" w:eastAsia="fr-FR"/>
        </w:rPr>
      </w:pPr>
      <w:r w:rsidRPr="00BB6025">
        <w:rPr>
          <w:rFonts w:ascii="Arial" w:eastAsia="Times New Roman" w:hAnsi="Arial" w:cs="Arial"/>
          <w:b/>
          <w:bCs/>
          <w:iCs/>
          <w:sz w:val="20"/>
          <w:szCs w:val="20"/>
          <w:u w:val="single"/>
          <w:lang w:val="es-419" w:eastAsia="fr-FR"/>
        </w:rPr>
        <w:t>TEMAS:</w:t>
      </w:r>
      <w:r w:rsidRPr="00BB6025">
        <w:rPr>
          <w:rFonts w:ascii="Arial" w:eastAsia="Times New Roman" w:hAnsi="Arial" w:cs="Arial"/>
          <w:b/>
          <w:bCs/>
          <w:iCs/>
          <w:sz w:val="20"/>
          <w:szCs w:val="20"/>
          <w:lang w:val="es-419" w:eastAsia="fr-FR"/>
        </w:rPr>
        <w:tab/>
      </w:r>
      <w:r>
        <w:rPr>
          <w:rFonts w:ascii="Arial" w:eastAsia="Times New Roman" w:hAnsi="Arial" w:cs="Arial"/>
          <w:b/>
          <w:bCs/>
          <w:iCs/>
          <w:sz w:val="20"/>
          <w:szCs w:val="20"/>
          <w:lang w:val="es-CO" w:eastAsia="fr-FR"/>
        </w:rPr>
        <w:t>RECURSO DE APELACIÓN / REQUISITOS  PARA SU CONCESIÓN /</w:t>
      </w:r>
      <w:r w:rsidRPr="00BB6025">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CO" w:eastAsia="fr-FR"/>
        </w:rPr>
        <w:t>CAPACIDAD PARA INTERPONERLO / EL ABOGADO DEBE TENER PODER DE LA PERSONA QUE RECURRE / PRECISIONES SOBRE LA NOTIFICACIÓN POR CONDUCTA CONCLUYENTE.</w:t>
      </w:r>
    </w:p>
    <w:p w:rsidR="00503D48" w:rsidRPr="00BB6025" w:rsidRDefault="00503D48" w:rsidP="00503D48">
      <w:pPr>
        <w:spacing w:line="240" w:lineRule="auto"/>
        <w:ind w:firstLine="0"/>
        <w:rPr>
          <w:rFonts w:ascii="Arial" w:eastAsia="Times New Roman" w:hAnsi="Arial" w:cs="Arial"/>
          <w:sz w:val="20"/>
          <w:szCs w:val="20"/>
          <w:lang w:val="es-419" w:eastAsia="es-ES"/>
        </w:rPr>
      </w:pPr>
    </w:p>
    <w:p w:rsidR="00503D48" w:rsidRDefault="00503D48" w:rsidP="00503D4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640B63">
        <w:rPr>
          <w:rFonts w:ascii="Arial" w:eastAsia="Times New Roman" w:hAnsi="Arial" w:cs="Arial"/>
          <w:sz w:val="20"/>
          <w:szCs w:val="20"/>
          <w:lang w:val="es-419" w:eastAsia="es-ES"/>
        </w:rPr>
        <w:t>en materia laboral para que se pueda conceder por el juez de primer nivel el recurso de apelación, luego admitirlo y decidirlo por el superior, es necesario que concurran los siguientes requisitos: a) capacidad para interponer el recurso, b) interés para recurrir; c) oportunidad, d) procedencia; e) sustentación y f) observancia de ciertas cargas procesales (artículos 15, literal b) num. 1; 65 y 66 del CPTSS).</w:t>
      </w:r>
    </w:p>
    <w:p w:rsidR="00503D48" w:rsidRDefault="00503D48" w:rsidP="00503D48">
      <w:pPr>
        <w:spacing w:line="240" w:lineRule="auto"/>
        <w:ind w:firstLine="0"/>
        <w:rPr>
          <w:rFonts w:ascii="Arial" w:eastAsia="Times New Roman" w:hAnsi="Arial" w:cs="Arial"/>
          <w:sz w:val="20"/>
          <w:szCs w:val="20"/>
          <w:lang w:val="es-419" w:eastAsia="es-ES"/>
        </w:rPr>
      </w:pPr>
    </w:p>
    <w:p w:rsidR="00503D48" w:rsidRPr="00640B63" w:rsidRDefault="00503D48" w:rsidP="00503D48">
      <w:pPr>
        <w:spacing w:line="240" w:lineRule="auto"/>
        <w:ind w:firstLine="0"/>
        <w:rPr>
          <w:rFonts w:ascii="Arial" w:eastAsia="Times New Roman" w:hAnsi="Arial" w:cs="Arial"/>
          <w:sz w:val="20"/>
          <w:szCs w:val="20"/>
          <w:lang w:val="es-CO" w:eastAsia="es-ES"/>
        </w:rPr>
      </w:pPr>
      <w:r w:rsidRPr="00D92B2A">
        <w:rPr>
          <w:rFonts w:ascii="Arial" w:eastAsia="Times New Roman" w:hAnsi="Arial" w:cs="Arial"/>
          <w:sz w:val="20"/>
          <w:szCs w:val="20"/>
          <w:lang w:val="es-CO" w:eastAsia="es-ES"/>
        </w:rPr>
        <w:t>De estos, se observa que para el caso de ahora se incumple con el primero, dado que la apoderada judicial que impugnó el auto que negó la nulidad por indebida representación y notificación</w:t>
      </w:r>
      <w:r>
        <w:rPr>
          <w:rFonts w:ascii="Arial" w:eastAsia="Times New Roman" w:hAnsi="Arial" w:cs="Arial"/>
          <w:sz w:val="20"/>
          <w:szCs w:val="20"/>
          <w:lang w:val="es-CO" w:eastAsia="es-ES"/>
        </w:rPr>
        <w:t>…</w:t>
      </w:r>
      <w:r w:rsidRPr="00D92B2A">
        <w:rPr>
          <w:rFonts w:ascii="Arial" w:eastAsia="Times New Roman" w:hAnsi="Arial" w:cs="Arial"/>
          <w:sz w:val="20"/>
          <w:szCs w:val="20"/>
          <w:lang w:val="es-CO" w:eastAsia="es-ES"/>
        </w:rPr>
        <w:t xml:space="preserve"> carece </w:t>
      </w:r>
      <w:proofErr w:type="gramStart"/>
      <w:r w:rsidRPr="00D92B2A">
        <w:rPr>
          <w:rFonts w:ascii="Arial" w:eastAsia="Times New Roman" w:hAnsi="Arial" w:cs="Arial"/>
          <w:sz w:val="20"/>
          <w:szCs w:val="20"/>
          <w:lang w:val="es-CO" w:eastAsia="es-ES"/>
        </w:rPr>
        <w:t>de</w:t>
      </w:r>
      <w:proofErr w:type="gramEnd"/>
      <w:r w:rsidRPr="00D92B2A">
        <w:rPr>
          <w:rFonts w:ascii="Arial" w:eastAsia="Times New Roman" w:hAnsi="Arial" w:cs="Arial"/>
          <w:sz w:val="20"/>
          <w:szCs w:val="20"/>
          <w:lang w:val="es-CO" w:eastAsia="es-ES"/>
        </w:rPr>
        <w:t xml:space="preserve"> poder para representar judicialmente a Telemark </w:t>
      </w:r>
      <w:proofErr w:type="spellStart"/>
      <w:r w:rsidRPr="00D92B2A">
        <w:rPr>
          <w:rFonts w:ascii="Arial" w:eastAsia="Times New Roman" w:hAnsi="Arial" w:cs="Arial"/>
          <w:sz w:val="20"/>
          <w:szCs w:val="20"/>
          <w:lang w:val="es-CO" w:eastAsia="es-ES"/>
        </w:rPr>
        <w:t>Spain</w:t>
      </w:r>
      <w:proofErr w:type="spellEnd"/>
      <w:r w:rsidRPr="00D92B2A">
        <w:rPr>
          <w:rFonts w:ascii="Arial" w:eastAsia="Times New Roman" w:hAnsi="Arial" w:cs="Arial"/>
          <w:sz w:val="20"/>
          <w:szCs w:val="20"/>
          <w:lang w:val="es-CO" w:eastAsia="es-ES"/>
        </w:rPr>
        <w:t xml:space="preserve"> </w:t>
      </w:r>
      <w:proofErr w:type="spellStart"/>
      <w:r w:rsidRPr="00D92B2A">
        <w:rPr>
          <w:rFonts w:ascii="Arial" w:eastAsia="Times New Roman" w:hAnsi="Arial" w:cs="Arial"/>
          <w:sz w:val="20"/>
          <w:szCs w:val="20"/>
          <w:lang w:val="es-CO" w:eastAsia="es-ES"/>
        </w:rPr>
        <w:t>SL</w:t>
      </w:r>
      <w:proofErr w:type="spellEnd"/>
      <w:r w:rsidRPr="00D92B2A">
        <w:rPr>
          <w:rFonts w:ascii="Arial" w:eastAsia="Times New Roman" w:hAnsi="Arial" w:cs="Arial"/>
          <w:sz w:val="20"/>
          <w:szCs w:val="20"/>
          <w:lang w:val="es-CO" w:eastAsia="es-ES"/>
        </w:rPr>
        <w:t>, que constituye la parte pasiva atendiendo lo expuesto en el proveído del 10/04/2019</w:t>
      </w:r>
      <w:r>
        <w:rPr>
          <w:rFonts w:ascii="Arial" w:eastAsia="Times New Roman" w:hAnsi="Arial" w:cs="Arial"/>
          <w:sz w:val="20"/>
          <w:szCs w:val="20"/>
          <w:lang w:val="es-CO" w:eastAsia="es-ES"/>
        </w:rPr>
        <w:t>…</w:t>
      </w:r>
      <w:r w:rsidRPr="00D92B2A">
        <w:rPr>
          <w:rFonts w:ascii="Arial" w:eastAsia="Times New Roman" w:hAnsi="Arial" w:cs="Arial"/>
          <w:sz w:val="20"/>
          <w:szCs w:val="20"/>
          <w:lang w:val="es-CO" w:eastAsia="es-ES"/>
        </w:rPr>
        <w:t xml:space="preserve">, si en cuenta se tiene que el único poder que esta recibió fue para defender los intereses de Telemark </w:t>
      </w:r>
      <w:proofErr w:type="spellStart"/>
      <w:r w:rsidRPr="00D92B2A">
        <w:rPr>
          <w:rFonts w:ascii="Arial" w:eastAsia="Times New Roman" w:hAnsi="Arial" w:cs="Arial"/>
          <w:sz w:val="20"/>
          <w:szCs w:val="20"/>
          <w:lang w:val="es-CO" w:eastAsia="es-ES"/>
        </w:rPr>
        <w:t>Spain</w:t>
      </w:r>
      <w:proofErr w:type="spellEnd"/>
      <w:r w:rsidRPr="00D92B2A">
        <w:rPr>
          <w:rFonts w:ascii="Arial" w:eastAsia="Times New Roman" w:hAnsi="Arial" w:cs="Arial"/>
          <w:sz w:val="20"/>
          <w:szCs w:val="20"/>
          <w:lang w:val="es-CO" w:eastAsia="es-ES"/>
        </w:rPr>
        <w:t xml:space="preserve"> </w:t>
      </w:r>
      <w:proofErr w:type="spellStart"/>
      <w:r w:rsidRPr="00D92B2A">
        <w:rPr>
          <w:rFonts w:ascii="Arial" w:eastAsia="Times New Roman" w:hAnsi="Arial" w:cs="Arial"/>
          <w:sz w:val="20"/>
          <w:szCs w:val="20"/>
          <w:lang w:val="es-CO" w:eastAsia="es-ES"/>
        </w:rPr>
        <w:t>SL</w:t>
      </w:r>
      <w:proofErr w:type="spellEnd"/>
      <w:r w:rsidRPr="00D92B2A">
        <w:rPr>
          <w:rFonts w:ascii="Arial" w:eastAsia="Times New Roman" w:hAnsi="Arial" w:cs="Arial"/>
          <w:sz w:val="20"/>
          <w:szCs w:val="20"/>
          <w:lang w:val="es-CO" w:eastAsia="es-ES"/>
        </w:rPr>
        <w:t xml:space="preserve"> Sucursal Colombia, contra quien se enfiló inicialmente la demanda</w:t>
      </w:r>
      <w:r>
        <w:rPr>
          <w:rFonts w:ascii="Arial" w:eastAsia="Times New Roman" w:hAnsi="Arial" w:cs="Arial"/>
          <w:sz w:val="20"/>
          <w:szCs w:val="20"/>
          <w:lang w:val="es-CO" w:eastAsia="es-ES"/>
        </w:rPr>
        <w:t>…</w:t>
      </w:r>
    </w:p>
    <w:p w:rsidR="00503D48" w:rsidRPr="00BB6025" w:rsidRDefault="00503D48" w:rsidP="00503D48">
      <w:pPr>
        <w:spacing w:line="240" w:lineRule="auto"/>
        <w:ind w:firstLine="0"/>
        <w:rPr>
          <w:rFonts w:ascii="Arial" w:eastAsia="Times New Roman" w:hAnsi="Arial" w:cs="Arial"/>
          <w:sz w:val="20"/>
          <w:szCs w:val="20"/>
          <w:lang w:val="es-419" w:eastAsia="es-ES"/>
        </w:rPr>
      </w:pPr>
    </w:p>
    <w:p w:rsidR="00503D48" w:rsidRDefault="00503D48" w:rsidP="00503D48">
      <w:pPr>
        <w:spacing w:line="240" w:lineRule="auto"/>
        <w:ind w:firstLine="0"/>
        <w:rPr>
          <w:rFonts w:ascii="Arial" w:eastAsia="Times New Roman" w:hAnsi="Arial" w:cs="Arial"/>
          <w:sz w:val="20"/>
          <w:szCs w:val="20"/>
          <w:lang w:val="es-419" w:eastAsia="es-ES"/>
        </w:rPr>
      </w:pPr>
      <w:r w:rsidRPr="00D56464">
        <w:rPr>
          <w:rFonts w:ascii="Arial" w:eastAsia="Times New Roman" w:hAnsi="Arial" w:cs="Arial"/>
          <w:sz w:val="20"/>
          <w:szCs w:val="20"/>
          <w:lang w:val="es-419" w:eastAsia="es-ES"/>
        </w:rPr>
        <w:t>Puestas de ese modo las cosas, faltando uno de los presupuestos de viabilidad para la procedencia del recurso de apelación elevado, se inadmitirá el recurso de apelación elevado contra el auto de 21/08/2019</w:t>
      </w:r>
      <w:r>
        <w:rPr>
          <w:rFonts w:ascii="Arial" w:eastAsia="Times New Roman" w:hAnsi="Arial" w:cs="Arial"/>
          <w:sz w:val="20"/>
          <w:szCs w:val="20"/>
          <w:lang w:val="es-CO" w:eastAsia="es-ES"/>
        </w:rPr>
        <w:t>…</w:t>
      </w:r>
      <w:r w:rsidRPr="00D56464">
        <w:rPr>
          <w:rFonts w:ascii="Arial" w:eastAsia="Times New Roman" w:hAnsi="Arial" w:cs="Arial"/>
          <w:sz w:val="20"/>
          <w:szCs w:val="20"/>
          <w:lang w:val="es-419" w:eastAsia="es-ES"/>
        </w:rPr>
        <w:t xml:space="preserve"> y devolver el expediente al juzgado de origen para lo pertinente.</w:t>
      </w:r>
    </w:p>
    <w:p w:rsidR="00503D48" w:rsidRDefault="00503D48" w:rsidP="00503D48">
      <w:pPr>
        <w:spacing w:line="240" w:lineRule="auto"/>
        <w:ind w:firstLine="0"/>
        <w:rPr>
          <w:rFonts w:ascii="Arial" w:eastAsia="Times New Roman" w:hAnsi="Arial" w:cs="Arial"/>
          <w:sz w:val="20"/>
          <w:szCs w:val="20"/>
          <w:lang w:val="es-419" w:eastAsia="es-ES"/>
        </w:rPr>
      </w:pPr>
    </w:p>
    <w:p w:rsidR="00503D48" w:rsidRPr="00D56464" w:rsidRDefault="00503D48" w:rsidP="00503D48">
      <w:pPr>
        <w:spacing w:line="240" w:lineRule="auto"/>
        <w:ind w:firstLine="0"/>
        <w:rPr>
          <w:rFonts w:ascii="Arial" w:eastAsia="Times New Roman" w:hAnsi="Arial" w:cs="Arial"/>
          <w:sz w:val="20"/>
          <w:szCs w:val="20"/>
          <w:lang w:val="es-419" w:eastAsia="es-ES"/>
        </w:rPr>
      </w:pPr>
      <w:r w:rsidRPr="00D56464">
        <w:rPr>
          <w:rFonts w:ascii="Arial" w:eastAsia="Times New Roman" w:hAnsi="Arial" w:cs="Arial"/>
          <w:sz w:val="20"/>
          <w:szCs w:val="20"/>
          <w:lang w:val="es-419" w:eastAsia="es-ES"/>
        </w:rPr>
        <w:t>Al margen de lo anterior, esta Colegiatura no puede dejar inadvertida la indebida interpretación de la a quo frente al art. 301 del C.G.P., aplicable al trámite laboral por reenvío del art. 145 del C.P.T. y de la S.S., que concierne a la notificación por conducta concluyente, todo ello para que ahora y en lo sucesivo adopte los correctivos del caso.</w:t>
      </w:r>
    </w:p>
    <w:p w:rsidR="00503D48" w:rsidRPr="00D56464" w:rsidRDefault="00503D48" w:rsidP="00503D48">
      <w:pPr>
        <w:spacing w:line="240" w:lineRule="auto"/>
        <w:ind w:firstLine="0"/>
        <w:rPr>
          <w:rFonts w:ascii="Arial" w:eastAsia="Times New Roman" w:hAnsi="Arial" w:cs="Arial"/>
          <w:sz w:val="20"/>
          <w:szCs w:val="20"/>
          <w:lang w:val="es-419" w:eastAsia="es-ES"/>
        </w:rPr>
      </w:pPr>
    </w:p>
    <w:p w:rsidR="00503D48" w:rsidRPr="004A60FE" w:rsidRDefault="00503D48" w:rsidP="00503D48">
      <w:pPr>
        <w:spacing w:line="240" w:lineRule="auto"/>
        <w:ind w:firstLine="0"/>
        <w:rPr>
          <w:rFonts w:ascii="Arial" w:eastAsia="Times New Roman" w:hAnsi="Arial" w:cs="Arial"/>
          <w:sz w:val="20"/>
          <w:szCs w:val="20"/>
          <w:lang w:val="es-CO" w:eastAsia="es-ES"/>
        </w:rPr>
      </w:pPr>
      <w:r w:rsidRPr="00D56464">
        <w:rPr>
          <w:rFonts w:ascii="Arial" w:eastAsia="Times New Roman" w:hAnsi="Arial" w:cs="Arial"/>
          <w:sz w:val="20"/>
          <w:szCs w:val="20"/>
          <w:lang w:val="es-419" w:eastAsia="es-ES"/>
        </w:rPr>
        <w:t>En efecto, el art. 301 ibídem contempla tres eventos, que de ocurrir, tienen como efecto dar por notificada a la parte demandada del auto admisorio de la demanda, entre otros; exigencias que no admiten modificación interpretativa o amaño explicativo, y mucho menos la construcción de indicios que a juicio del juzgador permitan a este inferir el conocimiento de la decisión por parte del demandado, pues rememórese la norma procesal se encuentra sellada por la taxatividad; de manera tal que, cualquier duda razonable que se genere frente a la ocurrencia literal del supuesto de hecho que contempla el citado art. 301 del C.G.P., imposibilita el surgimiento del efecto jurídico allí contemplado</w:t>
      </w:r>
      <w:r>
        <w:rPr>
          <w:rFonts w:ascii="Arial" w:eastAsia="Times New Roman" w:hAnsi="Arial" w:cs="Arial"/>
          <w:sz w:val="20"/>
          <w:szCs w:val="20"/>
          <w:lang w:val="es-CO" w:eastAsia="es-ES"/>
        </w:rPr>
        <w:t>…</w:t>
      </w:r>
    </w:p>
    <w:p w:rsidR="00C33789" w:rsidRPr="00C33789" w:rsidRDefault="00C33789" w:rsidP="00C33789">
      <w:pPr>
        <w:spacing w:line="240" w:lineRule="auto"/>
        <w:ind w:firstLine="0"/>
        <w:rPr>
          <w:rFonts w:ascii="Arial" w:eastAsia="Times New Roman" w:hAnsi="Arial" w:cs="Arial"/>
          <w:sz w:val="20"/>
          <w:szCs w:val="20"/>
          <w:lang w:eastAsia="es-ES"/>
        </w:rPr>
      </w:pPr>
    </w:p>
    <w:p w:rsidR="00FD7426" w:rsidRPr="00FD7426" w:rsidRDefault="00FD7426" w:rsidP="00FD7426">
      <w:pPr>
        <w:spacing w:line="240" w:lineRule="auto"/>
        <w:ind w:firstLine="0"/>
        <w:rPr>
          <w:rFonts w:ascii="Arial" w:eastAsia="Times New Roman" w:hAnsi="Arial" w:cs="Arial"/>
          <w:b/>
          <w:color w:val="FF0000"/>
          <w:sz w:val="20"/>
          <w:szCs w:val="20"/>
          <w:lang w:eastAsia="es-ES"/>
        </w:rPr>
      </w:pPr>
      <w:r w:rsidRPr="00FD7426">
        <w:rPr>
          <w:rFonts w:ascii="Arial" w:eastAsia="Times New Roman" w:hAnsi="Arial" w:cs="Arial"/>
          <w:b/>
          <w:color w:val="FF0000"/>
          <w:sz w:val="20"/>
          <w:szCs w:val="20"/>
          <w:lang w:eastAsia="es-ES"/>
        </w:rPr>
        <w:t>SALVAMENTO DE VOTO: DOCTORA ANA LUCÍA CAICEDO CALDERÓN</w:t>
      </w:r>
    </w:p>
    <w:p w:rsidR="00FD7426" w:rsidRPr="00FD7426" w:rsidRDefault="00FD7426" w:rsidP="00FD7426">
      <w:pPr>
        <w:spacing w:line="240" w:lineRule="auto"/>
        <w:ind w:firstLine="0"/>
        <w:rPr>
          <w:rFonts w:ascii="Arial" w:eastAsia="Times New Roman" w:hAnsi="Arial" w:cs="Arial"/>
          <w:sz w:val="20"/>
          <w:szCs w:val="20"/>
          <w:lang w:eastAsia="es-ES"/>
        </w:rPr>
      </w:pPr>
    </w:p>
    <w:p w:rsidR="00FD7426" w:rsidRPr="00FD7426" w:rsidRDefault="00FD7426" w:rsidP="00FD7426">
      <w:pPr>
        <w:spacing w:line="240" w:lineRule="auto"/>
        <w:ind w:firstLine="0"/>
        <w:rPr>
          <w:rFonts w:ascii="Arial" w:eastAsia="Times New Roman" w:hAnsi="Arial" w:cs="Arial"/>
          <w:sz w:val="20"/>
          <w:szCs w:val="20"/>
          <w:lang w:eastAsia="es-ES"/>
        </w:rPr>
      </w:pPr>
      <w:r w:rsidRPr="00FD7426">
        <w:rPr>
          <w:rFonts w:ascii="Arial" w:eastAsia="Times New Roman" w:hAnsi="Arial" w:cs="Arial"/>
          <w:sz w:val="20"/>
          <w:szCs w:val="20"/>
          <w:lang w:eastAsia="es-ES"/>
        </w:rPr>
        <w:t xml:space="preserve">Como quiera que mi proyecto </w:t>
      </w:r>
      <w:proofErr w:type="gramStart"/>
      <w:r w:rsidRPr="00FD7426">
        <w:rPr>
          <w:rFonts w:ascii="Arial" w:eastAsia="Times New Roman" w:hAnsi="Arial" w:cs="Arial"/>
          <w:sz w:val="20"/>
          <w:szCs w:val="20"/>
          <w:lang w:eastAsia="es-ES"/>
        </w:rPr>
        <w:t>fue</w:t>
      </w:r>
      <w:proofErr w:type="gramEnd"/>
      <w:r w:rsidRPr="00FD7426">
        <w:rPr>
          <w:rFonts w:ascii="Arial" w:eastAsia="Times New Roman" w:hAnsi="Arial" w:cs="Arial"/>
          <w:sz w:val="20"/>
          <w:szCs w:val="20"/>
          <w:lang w:eastAsia="es-ES"/>
        </w:rPr>
        <w:t xml:space="preserve"> derrotado por la mayoría de la Sala, mi salvamento se edifica sobre lo que en su oportunidad propuse respecto al caso en cuestión, relativo a decidir de fondo la alzada propuesta, refiriéndome en primer lugar al régimen de nulidades procesales en materia laboral y posteriormente a los efectos de la cosa juzgada…</w:t>
      </w:r>
    </w:p>
    <w:p w:rsidR="00FD7426" w:rsidRPr="00FD7426" w:rsidRDefault="00FD7426" w:rsidP="00FD7426">
      <w:pPr>
        <w:spacing w:line="240" w:lineRule="auto"/>
        <w:ind w:firstLine="0"/>
        <w:rPr>
          <w:rFonts w:ascii="Arial" w:eastAsia="Times New Roman" w:hAnsi="Arial" w:cs="Arial"/>
          <w:sz w:val="20"/>
          <w:szCs w:val="20"/>
          <w:lang w:eastAsia="es-ES"/>
        </w:rPr>
      </w:pPr>
    </w:p>
    <w:p w:rsidR="00FD7426" w:rsidRPr="00FD7426" w:rsidRDefault="00FD7426" w:rsidP="00FD7426">
      <w:pPr>
        <w:spacing w:line="240" w:lineRule="auto"/>
        <w:ind w:firstLine="0"/>
        <w:rPr>
          <w:rFonts w:ascii="Arial" w:eastAsia="Times New Roman" w:hAnsi="Arial" w:cs="Arial"/>
          <w:sz w:val="20"/>
          <w:szCs w:val="20"/>
          <w:lang w:eastAsia="es-ES"/>
        </w:rPr>
      </w:pPr>
      <w:r w:rsidRPr="00FD7426">
        <w:rPr>
          <w:rFonts w:ascii="Arial" w:eastAsia="Times New Roman" w:hAnsi="Arial" w:cs="Arial"/>
          <w:sz w:val="20"/>
          <w:szCs w:val="20"/>
          <w:lang w:eastAsia="es-ES"/>
        </w:rPr>
        <w:t xml:space="preserve">Llama la atención de la suscrita que la togada apelante plantea extensos argumentos frente a la imposibilidad de llevar a cabo la notificación por conducta concluyente de la sociedad Telemark </w:t>
      </w:r>
      <w:proofErr w:type="spellStart"/>
      <w:r w:rsidRPr="00FD7426">
        <w:rPr>
          <w:rFonts w:ascii="Arial" w:eastAsia="Times New Roman" w:hAnsi="Arial" w:cs="Arial"/>
          <w:sz w:val="20"/>
          <w:szCs w:val="20"/>
          <w:lang w:eastAsia="es-ES"/>
        </w:rPr>
        <w:t>Spain</w:t>
      </w:r>
      <w:proofErr w:type="spellEnd"/>
      <w:r w:rsidRPr="00FD7426">
        <w:rPr>
          <w:rFonts w:ascii="Arial" w:eastAsia="Times New Roman" w:hAnsi="Arial" w:cs="Arial"/>
          <w:sz w:val="20"/>
          <w:szCs w:val="20"/>
          <w:lang w:eastAsia="es-ES"/>
        </w:rPr>
        <w:t xml:space="preserve"> S.L., refiriendo que el señor Ernesto González Fernández no tiene la facultad para atender los intereses de Telemark </w:t>
      </w:r>
      <w:proofErr w:type="spellStart"/>
      <w:r w:rsidRPr="00FD7426">
        <w:rPr>
          <w:rFonts w:ascii="Arial" w:eastAsia="Times New Roman" w:hAnsi="Arial" w:cs="Arial"/>
          <w:sz w:val="20"/>
          <w:szCs w:val="20"/>
          <w:lang w:eastAsia="es-ES"/>
        </w:rPr>
        <w:t>Spain</w:t>
      </w:r>
      <w:proofErr w:type="spellEnd"/>
      <w:r w:rsidRPr="00FD7426">
        <w:rPr>
          <w:rFonts w:ascii="Arial" w:eastAsia="Times New Roman" w:hAnsi="Arial" w:cs="Arial"/>
          <w:sz w:val="20"/>
          <w:szCs w:val="20"/>
          <w:lang w:eastAsia="es-ES"/>
        </w:rPr>
        <w:t xml:space="preserve"> S.L., pero sea precisamente él quien le confiera el poder “en su calidad de apoderado de la sociedad extranjera TELEMARK </w:t>
      </w:r>
      <w:proofErr w:type="spellStart"/>
      <w:r w:rsidRPr="00FD7426">
        <w:rPr>
          <w:rFonts w:ascii="Arial" w:eastAsia="Times New Roman" w:hAnsi="Arial" w:cs="Arial"/>
          <w:sz w:val="20"/>
          <w:szCs w:val="20"/>
          <w:lang w:eastAsia="es-ES"/>
        </w:rPr>
        <w:t>SPAIN</w:t>
      </w:r>
      <w:proofErr w:type="spellEnd"/>
      <w:r w:rsidRPr="00FD7426">
        <w:rPr>
          <w:rFonts w:ascii="Arial" w:eastAsia="Times New Roman" w:hAnsi="Arial" w:cs="Arial"/>
          <w:sz w:val="20"/>
          <w:szCs w:val="20"/>
          <w:lang w:eastAsia="es-ES"/>
        </w:rPr>
        <w:t xml:space="preserve"> S.L. para la sucursal en Colombia denominada TELEMARK </w:t>
      </w:r>
      <w:proofErr w:type="spellStart"/>
      <w:r w:rsidRPr="00FD7426">
        <w:rPr>
          <w:rFonts w:ascii="Arial" w:eastAsia="Times New Roman" w:hAnsi="Arial" w:cs="Arial"/>
          <w:sz w:val="20"/>
          <w:szCs w:val="20"/>
          <w:lang w:eastAsia="es-ES"/>
        </w:rPr>
        <w:t>SPAIN</w:t>
      </w:r>
      <w:proofErr w:type="spellEnd"/>
      <w:r w:rsidRPr="00FD7426">
        <w:rPr>
          <w:rFonts w:ascii="Arial" w:eastAsia="Times New Roman" w:hAnsi="Arial" w:cs="Arial"/>
          <w:sz w:val="20"/>
          <w:szCs w:val="20"/>
          <w:lang w:eastAsia="es-ES"/>
        </w:rPr>
        <w:t xml:space="preserve"> S.L. SUCURSAL COLOMBIA </w:t>
      </w:r>
      <w:proofErr w:type="spellStart"/>
      <w:r w:rsidRPr="00FD7426">
        <w:rPr>
          <w:rFonts w:ascii="Arial" w:eastAsia="Times New Roman" w:hAnsi="Arial" w:cs="Arial"/>
          <w:sz w:val="20"/>
          <w:szCs w:val="20"/>
          <w:lang w:eastAsia="es-ES"/>
        </w:rPr>
        <w:t>Z.F.P.E</w:t>
      </w:r>
      <w:proofErr w:type="spellEnd"/>
      <w:r w:rsidRPr="00FD7426">
        <w:rPr>
          <w:rFonts w:ascii="Arial" w:eastAsia="Times New Roman" w:hAnsi="Arial" w:cs="Arial"/>
          <w:sz w:val="20"/>
          <w:szCs w:val="20"/>
          <w:lang w:eastAsia="es-ES"/>
        </w:rPr>
        <w:t>.” en virtud del cual contesta la demanda. (…)</w:t>
      </w:r>
    </w:p>
    <w:p w:rsidR="00FD7426" w:rsidRPr="00FD7426" w:rsidRDefault="00FD7426" w:rsidP="00FD7426">
      <w:pPr>
        <w:spacing w:line="240" w:lineRule="auto"/>
        <w:ind w:firstLine="0"/>
        <w:rPr>
          <w:rFonts w:ascii="Arial" w:eastAsia="Times New Roman" w:hAnsi="Arial" w:cs="Arial"/>
          <w:sz w:val="20"/>
          <w:szCs w:val="20"/>
          <w:lang w:eastAsia="es-ES"/>
        </w:rPr>
      </w:pPr>
    </w:p>
    <w:p w:rsidR="00FD7426" w:rsidRPr="00FD7426" w:rsidRDefault="00FD7426" w:rsidP="00FD7426">
      <w:pPr>
        <w:spacing w:line="240" w:lineRule="auto"/>
        <w:ind w:firstLine="0"/>
        <w:rPr>
          <w:rFonts w:ascii="Arial" w:eastAsia="Times New Roman" w:hAnsi="Arial" w:cs="Arial"/>
          <w:sz w:val="20"/>
          <w:szCs w:val="20"/>
          <w:lang w:eastAsia="es-ES"/>
        </w:rPr>
      </w:pPr>
      <w:r w:rsidRPr="00FD7426">
        <w:rPr>
          <w:rFonts w:ascii="Arial" w:eastAsia="Times New Roman" w:hAnsi="Arial" w:cs="Arial"/>
          <w:sz w:val="20"/>
          <w:szCs w:val="20"/>
          <w:lang w:eastAsia="es-ES"/>
        </w:rPr>
        <w:t xml:space="preserve">Ahora, si bien el proceder del despacho no se ajustó plenamente a lo estipulado en el artículo 301 del </w:t>
      </w:r>
      <w:proofErr w:type="spellStart"/>
      <w:r w:rsidRPr="00FD7426">
        <w:rPr>
          <w:rFonts w:ascii="Arial" w:eastAsia="Times New Roman" w:hAnsi="Arial" w:cs="Arial"/>
          <w:sz w:val="20"/>
          <w:szCs w:val="20"/>
          <w:lang w:eastAsia="es-ES"/>
        </w:rPr>
        <w:t>CGP</w:t>
      </w:r>
      <w:proofErr w:type="spellEnd"/>
      <w:r w:rsidRPr="00FD7426">
        <w:rPr>
          <w:rFonts w:ascii="Arial" w:eastAsia="Times New Roman" w:hAnsi="Arial" w:cs="Arial"/>
          <w:sz w:val="20"/>
          <w:szCs w:val="20"/>
          <w:lang w:eastAsia="es-ES"/>
        </w:rPr>
        <w:t xml:space="preserve"> para tener por notificada por conducta concluyente a la demandada en el mismo auto que tuvo como demandada a TELEMARK </w:t>
      </w:r>
      <w:proofErr w:type="spellStart"/>
      <w:r w:rsidRPr="00FD7426">
        <w:rPr>
          <w:rFonts w:ascii="Arial" w:eastAsia="Times New Roman" w:hAnsi="Arial" w:cs="Arial"/>
          <w:sz w:val="20"/>
          <w:szCs w:val="20"/>
          <w:lang w:eastAsia="es-ES"/>
        </w:rPr>
        <w:t>SPAIN</w:t>
      </w:r>
      <w:proofErr w:type="spellEnd"/>
      <w:r w:rsidRPr="00FD7426">
        <w:rPr>
          <w:rFonts w:ascii="Arial" w:eastAsia="Times New Roman" w:hAnsi="Arial" w:cs="Arial"/>
          <w:sz w:val="20"/>
          <w:szCs w:val="20"/>
          <w:lang w:eastAsia="es-ES"/>
        </w:rPr>
        <w:t xml:space="preserve"> S.L., los actos desplegados por la apoderada de esa sociedad con posterioridad a esa providencia… sólo dan muestra inequívoca del conocimiento del proceso laboral, por lo que en caso de haberse configurado las nulidades planteadas, al no haberse trasgredido en momento alguno el derecho de defensa de la sociedad que representa, se entiende que las mismas fueron saneadas.</w:t>
      </w:r>
    </w:p>
    <w:p w:rsidR="00C33789" w:rsidRDefault="00C33789" w:rsidP="00C33789">
      <w:pPr>
        <w:spacing w:line="240" w:lineRule="auto"/>
        <w:ind w:firstLine="0"/>
        <w:rPr>
          <w:rFonts w:ascii="Arial" w:eastAsia="Times New Roman" w:hAnsi="Arial" w:cs="Arial"/>
          <w:sz w:val="20"/>
          <w:szCs w:val="20"/>
          <w:lang w:eastAsia="es-ES"/>
        </w:rPr>
      </w:pPr>
    </w:p>
    <w:p w:rsidR="00FD7426" w:rsidRDefault="00FD7426" w:rsidP="00C33789">
      <w:pPr>
        <w:spacing w:line="240" w:lineRule="auto"/>
        <w:ind w:firstLine="0"/>
        <w:rPr>
          <w:rFonts w:ascii="Arial" w:eastAsia="Times New Roman" w:hAnsi="Arial" w:cs="Arial"/>
          <w:sz w:val="20"/>
          <w:szCs w:val="20"/>
          <w:lang w:eastAsia="es-ES"/>
        </w:rPr>
      </w:pPr>
    </w:p>
    <w:p w:rsidR="00FD7426" w:rsidRPr="00C33789" w:rsidRDefault="00FD7426" w:rsidP="00C33789">
      <w:pPr>
        <w:spacing w:line="240" w:lineRule="auto"/>
        <w:ind w:firstLine="0"/>
        <w:rPr>
          <w:rFonts w:ascii="Arial" w:eastAsia="Times New Roman" w:hAnsi="Arial" w:cs="Arial"/>
          <w:sz w:val="20"/>
          <w:szCs w:val="20"/>
          <w:lang w:eastAsia="es-ES"/>
        </w:rPr>
      </w:pPr>
    </w:p>
    <w:p w:rsidR="00C33789" w:rsidRPr="00C33789" w:rsidRDefault="00C33789" w:rsidP="00CD67E6">
      <w:pPr>
        <w:keepNext/>
        <w:keepLines/>
        <w:widowControl w:val="0"/>
        <w:tabs>
          <w:tab w:val="left" w:pos="708"/>
        </w:tabs>
        <w:spacing w:line="288" w:lineRule="auto"/>
        <w:ind w:firstLine="0"/>
        <w:jc w:val="center"/>
        <w:outlineLvl w:val="3"/>
        <w:rPr>
          <w:rFonts w:ascii="Tahoma" w:eastAsia="Times New Roman" w:hAnsi="Tahoma" w:cs="Tahoma"/>
          <w:b/>
          <w:bCs/>
          <w:iCs/>
          <w:sz w:val="24"/>
          <w:szCs w:val="24"/>
          <w:lang w:val="es-CO" w:eastAsia="es-MX"/>
        </w:rPr>
      </w:pPr>
      <w:r w:rsidRPr="00C33789">
        <w:rPr>
          <w:rFonts w:ascii="Tahoma" w:eastAsia="Times New Roman" w:hAnsi="Tahoma" w:cs="Tahoma"/>
          <w:b/>
          <w:bCs/>
          <w:iCs/>
          <w:sz w:val="24"/>
          <w:szCs w:val="24"/>
          <w:lang w:val="es-CO" w:eastAsia="es-MX"/>
        </w:rPr>
        <w:t>TRIBUNAL SUPERIOR DEL DISTRITO JUDICIAL DE PEREIRA</w:t>
      </w:r>
    </w:p>
    <w:p w:rsidR="00C33789" w:rsidRPr="00C33789" w:rsidRDefault="00C33789" w:rsidP="00CD67E6">
      <w:pPr>
        <w:keepNext/>
        <w:keepLines/>
        <w:widowControl w:val="0"/>
        <w:tabs>
          <w:tab w:val="left" w:pos="708"/>
        </w:tabs>
        <w:spacing w:line="288" w:lineRule="auto"/>
        <w:ind w:firstLine="0"/>
        <w:jc w:val="center"/>
        <w:outlineLvl w:val="3"/>
        <w:rPr>
          <w:rFonts w:ascii="Tahoma" w:eastAsia="Times New Roman" w:hAnsi="Tahoma" w:cs="Tahoma"/>
          <w:b/>
          <w:bCs/>
          <w:iCs/>
          <w:sz w:val="24"/>
          <w:szCs w:val="24"/>
          <w:lang w:val="es-CO" w:eastAsia="es-MX"/>
        </w:rPr>
      </w:pPr>
      <w:r w:rsidRPr="00C33789">
        <w:rPr>
          <w:rFonts w:ascii="Tahoma" w:eastAsia="Times New Roman" w:hAnsi="Tahoma" w:cs="Tahoma"/>
          <w:b/>
          <w:bCs/>
          <w:iCs/>
          <w:sz w:val="24"/>
          <w:szCs w:val="24"/>
          <w:lang w:val="es-CO" w:eastAsia="es-MX"/>
        </w:rPr>
        <w:t>SALA LABORAL</w:t>
      </w:r>
    </w:p>
    <w:p w:rsidR="00C33789" w:rsidRPr="00C33789" w:rsidRDefault="00C33789" w:rsidP="00CD67E6">
      <w:pPr>
        <w:spacing w:line="288" w:lineRule="auto"/>
        <w:rPr>
          <w:rFonts w:ascii="Tahoma" w:eastAsia="Calibri" w:hAnsi="Tahoma" w:cs="Tahoma"/>
          <w:sz w:val="24"/>
          <w:szCs w:val="24"/>
          <w:lang w:eastAsia="es-MX"/>
        </w:rPr>
      </w:pPr>
    </w:p>
    <w:p w:rsidR="00C33789" w:rsidRPr="00C33789" w:rsidRDefault="00C33789" w:rsidP="00CD67E6">
      <w:pPr>
        <w:spacing w:line="288" w:lineRule="auto"/>
        <w:ind w:firstLine="0"/>
        <w:jc w:val="center"/>
        <w:rPr>
          <w:rFonts w:ascii="Tahoma" w:eastAsia="Calibri" w:hAnsi="Tahoma" w:cs="Tahoma"/>
          <w:b/>
          <w:bCs/>
          <w:sz w:val="24"/>
          <w:szCs w:val="24"/>
        </w:rPr>
      </w:pPr>
      <w:r w:rsidRPr="00C33789">
        <w:rPr>
          <w:rFonts w:ascii="Tahoma" w:eastAsia="Calibri" w:hAnsi="Tahoma" w:cs="Tahoma"/>
          <w:bCs/>
          <w:sz w:val="24"/>
          <w:szCs w:val="24"/>
        </w:rPr>
        <w:t>Magistradas Ponentes:</w:t>
      </w:r>
      <w:r w:rsidRPr="00C33789">
        <w:rPr>
          <w:rFonts w:ascii="Tahoma" w:eastAsia="Calibri" w:hAnsi="Tahoma" w:cs="Tahoma"/>
          <w:b/>
          <w:bCs/>
          <w:sz w:val="24"/>
          <w:szCs w:val="24"/>
        </w:rPr>
        <w:t xml:space="preserve"> ANA LUCÍA CAICEDO CALDERÓN</w:t>
      </w:r>
    </w:p>
    <w:p w:rsidR="00C33789" w:rsidRPr="00C33789" w:rsidRDefault="00C33789" w:rsidP="00CD67E6">
      <w:pPr>
        <w:spacing w:line="288" w:lineRule="auto"/>
        <w:ind w:left="3540" w:firstLine="0"/>
        <w:rPr>
          <w:rFonts w:ascii="Tahoma" w:eastAsia="Calibri" w:hAnsi="Tahoma" w:cs="Tahoma"/>
          <w:b/>
          <w:bCs/>
          <w:sz w:val="24"/>
          <w:szCs w:val="24"/>
        </w:rPr>
      </w:pPr>
      <w:r w:rsidRPr="00C33789">
        <w:rPr>
          <w:rFonts w:ascii="Tahoma" w:eastAsia="Calibri" w:hAnsi="Tahoma" w:cs="Tahoma"/>
          <w:b/>
          <w:bCs/>
          <w:sz w:val="24"/>
          <w:szCs w:val="24"/>
        </w:rPr>
        <w:t xml:space="preserve">    OLGA LUCÍA HOYOS SEPÚLVEDA</w:t>
      </w:r>
    </w:p>
    <w:p w:rsidR="00C33789" w:rsidRPr="00C33789" w:rsidRDefault="00C33789" w:rsidP="00CD67E6">
      <w:pPr>
        <w:spacing w:line="288" w:lineRule="auto"/>
        <w:ind w:firstLine="0"/>
        <w:jc w:val="center"/>
        <w:rPr>
          <w:rFonts w:ascii="Tahoma" w:eastAsia="Calibri" w:hAnsi="Tahoma" w:cs="Tahoma"/>
          <w:b/>
          <w:sz w:val="24"/>
          <w:szCs w:val="24"/>
        </w:rPr>
      </w:pPr>
    </w:p>
    <w:p w:rsidR="00C33789" w:rsidRPr="00C33789" w:rsidRDefault="00C33789" w:rsidP="00CD67E6">
      <w:pPr>
        <w:spacing w:line="288" w:lineRule="auto"/>
        <w:ind w:firstLine="0"/>
        <w:jc w:val="center"/>
        <w:rPr>
          <w:rFonts w:ascii="Tahoma" w:eastAsia="Calibri" w:hAnsi="Tahoma" w:cs="Tahoma"/>
          <w:b/>
          <w:sz w:val="24"/>
          <w:szCs w:val="24"/>
        </w:rPr>
      </w:pPr>
      <w:r w:rsidRPr="00C33789">
        <w:rPr>
          <w:rFonts w:ascii="Tahoma" w:eastAsia="Calibri" w:hAnsi="Tahoma" w:cs="Tahoma"/>
          <w:b/>
          <w:sz w:val="24"/>
          <w:szCs w:val="24"/>
        </w:rPr>
        <w:t>ACTA No. __</w:t>
      </w:r>
    </w:p>
    <w:p w:rsidR="00FA45D4" w:rsidRPr="00C33789" w:rsidRDefault="00FA45D4" w:rsidP="00CD67E6">
      <w:pPr>
        <w:spacing w:line="288" w:lineRule="auto"/>
        <w:ind w:firstLine="0"/>
        <w:jc w:val="center"/>
        <w:rPr>
          <w:rFonts w:ascii="Tahoma" w:hAnsi="Tahoma" w:cs="Tahoma"/>
          <w:b/>
          <w:sz w:val="24"/>
          <w:szCs w:val="24"/>
        </w:rPr>
      </w:pPr>
      <w:r w:rsidRPr="00C33789">
        <w:rPr>
          <w:rFonts w:ascii="Tahoma" w:hAnsi="Tahoma" w:cs="Tahoma"/>
          <w:b/>
          <w:sz w:val="24"/>
          <w:szCs w:val="24"/>
        </w:rPr>
        <w:t>(</w:t>
      </w:r>
      <w:r w:rsidR="00433A4B" w:rsidRPr="00C33789">
        <w:rPr>
          <w:rFonts w:ascii="Tahoma" w:hAnsi="Tahoma" w:cs="Tahoma"/>
          <w:b/>
          <w:sz w:val="24"/>
          <w:szCs w:val="24"/>
        </w:rPr>
        <w:t>Febrero 04</w:t>
      </w:r>
      <w:r w:rsidR="00BB2105" w:rsidRPr="00C33789">
        <w:rPr>
          <w:rFonts w:ascii="Tahoma" w:hAnsi="Tahoma" w:cs="Tahoma"/>
          <w:b/>
          <w:sz w:val="24"/>
          <w:szCs w:val="24"/>
        </w:rPr>
        <w:t xml:space="preserve"> de 2020</w:t>
      </w:r>
      <w:r w:rsidRPr="00C33789">
        <w:rPr>
          <w:rFonts w:ascii="Tahoma" w:hAnsi="Tahoma" w:cs="Tahoma"/>
          <w:b/>
          <w:sz w:val="24"/>
          <w:szCs w:val="24"/>
        </w:rPr>
        <w:t>)</w:t>
      </w:r>
    </w:p>
    <w:p w:rsidR="00FA45D4" w:rsidRPr="00C33789" w:rsidRDefault="00FA45D4" w:rsidP="00CD67E6">
      <w:pPr>
        <w:spacing w:line="288" w:lineRule="auto"/>
        <w:rPr>
          <w:rFonts w:ascii="Tahoma" w:hAnsi="Tahoma" w:cs="Tahoma"/>
          <w:b/>
          <w:sz w:val="24"/>
          <w:szCs w:val="24"/>
        </w:rPr>
      </w:pPr>
      <w:r w:rsidRPr="00C33789">
        <w:rPr>
          <w:rFonts w:ascii="Tahoma" w:hAnsi="Tahoma" w:cs="Tahoma"/>
          <w:b/>
          <w:sz w:val="24"/>
          <w:szCs w:val="24"/>
        </w:rPr>
        <w:tab/>
      </w:r>
    </w:p>
    <w:p w:rsidR="00FA45D4" w:rsidRPr="00C33789" w:rsidRDefault="00FA45D4" w:rsidP="00CD67E6">
      <w:pPr>
        <w:widowControl w:val="0"/>
        <w:autoSpaceDE w:val="0"/>
        <w:autoSpaceDN w:val="0"/>
        <w:adjustRightInd w:val="0"/>
        <w:spacing w:line="288" w:lineRule="auto"/>
        <w:ind w:firstLine="708"/>
        <w:rPr>
          <w:rFonts w:ascii="Tahoma" w:hAnsi="Tahoma" w:cs="Tahoma"/>
          <w:spacing w:val="-2"/>
          <w:sz w:val="24"/>
          <w:szCs w:val="24"/>
        </w:rPr>
      </w:pPr>
      <w:r w:rsidRPr="00C33789">
        <w:rPr>
          <w:rFonts w:ascii="Tahoma" w:hAnsi="Tahoma" w:cs="Tahoma"/>
          <w:sz w:val="24"/>
          <w:szCs w:val="24"/>
        </w:rPr>
        <w:t xml:space="preserve">En la fecha, </w:t>
      </w:r>
      <w:r w:rsidRPr="00C33789">
        <w:rPr>
          <w:rFonts w:ascii="Tahoma" w:hAnsi="Tahoma" w:cs="Tahoma"/>
          <w:spacing w:val="-2"/>
          <w:sz w:val="24"/>
          <w:szCs w:val="24"/>
        </w:rPr>
        <w:t xml:space="preserve">la Sala No. 1 de Decisión Laboral del Tribunal Superior de Pereira procede a </w:t>
      </w:r>
      <w:r w:rsidRPr="00C33789">
        <w:rPr>
          <w:rFonts w:ascii="Tahoma" w:hAnsi="Tahoma" w:cs="Tahoma"/>
          <w:sz w:val="24"/>
          <w:szCs w:val="24"/>
        </w:rPr>
        <w:t xml:space="preserve">decidir el recurso de </w:t>
      </w:r>
      <w:r w:rsidRPr="00C33789">
        <w:rPr>
          <w:rFonts w:ascii="Tahoma" w:hAnsi="Tahoma" w:cs="Tahoma"/>
          <w:spacing w:val="-2"/>
          <w:sz w:val="24"/>
          <w:szCs w:val="24"/>
        </w:rPr>
        <w:t xml:space="preserve">apelación presentado </w:t>
      </w:r>
      <w:r w:rsidR="003A1AE3" w:rsidRPr="00C33789">
        <w:rPr>
          <w:rFonts w:ascii="Tahoma" w:hAnsi="Tahoma" w:cs="Tahoma"/>
          <w:spacing w:val="-2"/>
          <w:sz w:val="24"/>
          <w:szCs w:val="24"/>
        </w:rPr>
        <w:t xml:space="preserve">por la parte </w:t>
      </w:r>
      <w:r w:rsidR="00CF2A68" w:rsidRPr="00C33789">
        <w:rPr>
          <w:rFonts w:ascii="Tahoma" w:hAnsi="Tahoma" w:cs="Tahoma"/>
          <w:spacing w:val="-2"/>
          <w:sz w:val="24"/>
          <w:szCs w:val="24"/>
        </w:rPr>
        <w:t>demandada</w:t>
      </w:r>
      <w:r w:rsidR="003A1AE3" w:rsidRPr="00C33789">
        <w:rPr>
          <w:rFonts w:ascii="Tahoma" w:hAnsi="Tahoma" w:cs="Tahoma"/>
          <w:spacing w:val="-2"/>
          <w:sz w:val="24"/>
          <w:szCs w:val="24"/>
        </w:rPr>
        <w:t xml:space="preserve"> </w:t>
      </w:r>
      <w:r w:rsidRPr="00C33789">
        <w:rPr>
          <w:rFonts w:ascii="Tahoma" w:hAnsi="Tahoma" w:cs="Tahoma"/>
          <w:spacing w:val="-2"/>
          <w:sz w:val="24"/>
          <w:szCs w:val="24"/>
        </w:rPr>
        <w:t xml:space="preserve">en contra del auto del </w:t>
      </w:r>
      <w:r w:rsidR="007354AB" w:rsidRPr="00C33789">
        <w:rPr>
          <w:rFonts w:ascii="Tahoma" w:hAnsi="Tahoma" w:cs="Tahoma"/>
          <w:spacing w:val="-2"/>
          <w:sz w:val="24"/>
          <w:szCs w:val="24"/>
        </w:rPr>
        <w:t>2</w:t>
      </w:r>
      <w:r w:rsidR="00CF2A68" w:rsidRPr="00C33789">
        <w:rPr>
          <w:rFonts w:ascii="Tahoma" w:hAnsi="Tahoma" w:cs="Tahoma"/>
          <w:spacing w:val="-2"/>
          <w:sz w:val="24"/>
          <w:szCs w:val="24"/>
        </w:rPr>
        <w:t>1</w:t>
      </w:r>
      <w:r w:rsidR="007354AB" w:rsidRPr="00C33789">
        <w:rPr>
          <w:rFonts w:ascii="Tahoma" w:hAnsi="Tahoma" w:cs="Tahoma"/>
          <w:spacing w:val="-2"/>
          <w:sz w:val="24"/>
          <w:szCs w:val="24"/>
        </w:rPr>
        <w:t xml:space="preserve"> de </w:t>
      </w:r>
      <w:r w:rsidR="00CF2A68" w:rsidRPr="00C33789">
        <w:rPr>
          <w:rFonts w:ascii="Tahoma" w:hAnsi="Tahoma" w:cs="Tahoma"/>
          <w:spacing w:val="-2"/>
          <w:sz w:val="24"/>
          <w:szCs w:val="24"/>
        </w:rPr>
        <w:t xml:space="preserve">agosto </w:t>
      </w:r>
      <w:r w:rsidRPr="00C33789">
        <w:rPr>
          <w:rFonts w:ascii="Tahoma" w:hAnsi="Tahoma" w:cs="Tahoma"/>
          <w:sz w:val="24"/>
          <w:szCs w:val="24"/>
          <w:lang w:val="es-CO"/>
        </w:rPr>
        <w:t>de 2019</w:t>
      </w:r>
      <w:r w:rsidRPr="00C33789">
        <w:rPr>
          <w:rFonts w:ascii="Tahoma" w:hAnsi="Tahoma" w:cs="Tahoma"/>
          <w:spacing w:val="-2"/>
          <w:sz w:val="24"/>
          <w:szCs w:val="24"/>
        </w:rPr>
        <w:t xml:space="preserve">, por medio del cual el Juzgado </w:t>
      </w:r>
      <w:r w:rsidR="00CF2A68" w:rsidRPr="00C33789">
        <w:rPr>
          <w:rFonts w:ascii="Tahoma" w:hAnsi="Tahoma" w:cs="Tahoma"/>
          <w:spacing w:val="-2"/>
          <w:sz w:val="24"/>
          <w:szCs w:val="24"/>
        </w:rPr>
        <w:t>Segundo</w:t>
      </w:r>
      <w:r w:rsidR="007354AB" w:rsidRPr="00C33789">
        <w:rPr>
          <w:rFonts w:ascii="Tahoma" w:hAnsi="Tahoma" w:cs="Tahoma"/>
          <w:spacing w:val="-2"/>
          <w:sz w:val="24"/>
          <w:szCs w:val="24"/>
        </w:rPr>
        <w:t xml:space="preserve"> </w:t>
      </w:r>
      <w:r w:rsidRPr="00C33789">
        <w:rPr>
          <w:rFonts w:ascii="Tahoma" w:hAnsi="Tahoma" w:cs="Tahoma"/>
          <w:spacing w:val="-2"/>
          <w:sz w:val="24"/>
          <w:szCs w:val="24"/>
        </w:rPr>
        <w:t xml:space="preserve">Laboral del Circuito de Pereira </w:t>
      </w:r>
      <w:r w:rsidR="00CF2A68" w:rsidRPr="00C33789">
        <w:rPr>
          <w:rFonts w:ascii="Tahoma" w:hAnsi="Tahoma" w:cs="Tahoma"/>
          <w:spacing w:val="-2"/>
          <w:sz w:val="24"/>
          <w:szCs w:val="24"/>
        </w:rPr>
        <w:t>declaró no probadas las nulidades contempladas en los numerales 4º y 8º del artículo 133 del Código General del Proceso</w:t>
      </w:r>
      <w:r w:rsidRPr="00C33789">
        <w:rPr>
          <w:rFonts w:ascii="Tahoma" w:hAnsi="Tahoma" w:cs="Tahoma"/>
          <w:spacing w:val="-2"/>
          <w:sz w:val="24"/>
          <w:szCs w:val="24"/>
        </w:rPr>
        <w:t xml:space="preserve">. </w:t>
      </w:r>
      <w:r w:rsidRPr="00C33789">
        <w:rPr>
          <w:rFonts w:ascii="Tahoma" w:hAnsi="Tahoma" w:cs="Tahoma"/>
          <w:sz w:val="24"/>
          <w:szCs w:val="24"/>
          <w:lang w:val="es-ES_tradnl"/>
        </w:rPr>
        <w:t>En sesión previa que se hizo constar en la mencionada acta, la Sala discutió y aprobó</w:t>
      </w:r>
      <w:r w:rsidR="00BB2105" w:rsidRPr="00C33789">
        <w:rPr>
          <w:rFonts w:ascii="Tahoma" w:hAnsi="Tahoma" w:cs="Tahoma"/>
          <w:sz w:val="24"/>
          <w:szCs w:val="24"/>
          <w:lang w:val="es-ES_tradnl"/>
        </w:rPr>
        <w:t xml:space="preserve"> por mayoría</w:t>
      </w:r>
      <w:r w:rsidRPr="00C33789">
        <w:rPr>
          <w:rFonts w:ascii="Tahoma" w:hAnsi="Tahoma" w:cs="Tahoma"/>
          <w:sz w:val="24"/>
          <w:szCs w:val="24"/>
          <w:lang w:val="es-ES_tradnl"/>
        </w:rPr>
        <w:t xml:space="preserve"> el proyecto que alude al siguiente </w:t>
      </w:r>
      <w:r w:rsidRPr="00C33789">
        <w:rPr>
          <w:rFonts w:ascii="Tahoma" w:hAnsi="Tahoma" w:cs="Tahoma"/>
          <w:b/>
          <w:sz w:val="24"/>
          <w:szCs w:val="24"/>
          <w:lang w:val="es-ES_tradnl"/>
        </w:rPr>
        <w:t>auto interlocutorio</w:t>
      </w:r>
      <w:r w:rsidRPr="00C33789">
        <w:rPr>
          <w:rFonts w:ascii="Tahoma" w:hAnsi="Tahoma" w:cs="Tahoma"/>
          <w:sz w:val="24"/>
          <w:szCs w:val="24"/>
        </w:rPr>
        <w:t>:</w:t>
      </w:r>
    </w:p>
    <w:p w:rsidR="00FA45D4" w:rsidRPr="00C33789" w:rsidRDefault="00FA45D4" w:rsidP="00CD67E6">
      <w:pPr>
        <w:pStyle w:val="Sinespaciado"/>
        <w:spacing w:line="288" w:lineRule="auto"/>
        <w:rPr>
          <w:rFonts w:ascii="Tahoma" w:hAnsi="Tahoma" w:cs="Tahoma"/>
          <w:sz w:val="24"/>
          <w:szCs w:val="24"/>
          <w:lang w:val="es-CO"/>
        </w:rPr>
      </w:pPr>
      <w:r w:rsidRPr="00C33789">
        <w:rPr>
          <w:rFonts w:ascii="Tahoma" w:hAnsi="Tahoma" w:cs="Tahoma"/>
          <w:sz w:val="24"/>
          <w:szCs w:val="24"/>
          <w:lang w:val="es-CO"/>
        </w:rPr>
        <w:tab/>
      </w:r>
    </w:p>
    <w:p w:rsidR="00A31967" w:rsidRPr="00C33789" w:rsidRDefault="00A31967" w:rsidP="00CD67E6">
      <w:pPr>
        <w:spacing w:line="288" w:lineRule="auto"/>
        <w:ind w:firstLine="0"/>
        <w:jc w:val="center"/>
        <w:rPr>
          <w:rFonts w:ascii="Tahoma" w:hAnsi="Tahoma" w:cs="Tahoma"/>
          <w:b/>
          <w:sz w:val="24"/>
          <w:szCs w:val="24"/>
          <w:lang w:val="es-CO"/>
        </w:rPr>
      </w:pPr>
      <w:r w:rsidRPr="00C33789">
        <w:rPr>
          <w:rFonts w:ascii="Tahoma" w:hAnsi="Tahoma" w:cs="Tahoma"/>
          <w:b/>
          <w:sz w:val="24"/>
          <w:szCs w:val="24"/>
          <w:lang w:val="es-CO"/>
        </w:rPr>
        <w:t>I</w:t>
      </w:r>
      <w:r w:rsidR="00A50D81" w:rsidRPr="00C33789">
        <w:rPr>
          <w:rFonts w:ascii="Tahoma" w:hAnsi="Tahoma" w:cs="Tahoma"/>
          <w:b/>
          <w:sz w:val="24"/>
          <w:szCs w:val="24"/>
          <w:lang w:val="es-CO"/>
        </w:rPr>
        <w:t xml:space="preserve"> - </w:t>
      </w:r>
      <w:r w:rsidR="007C5BCB" w:rsidRPr="00C33789">
        <w:rPr>
          <w:rFonts w:ascii="Tahoma" w:hAnsi="Tahoma" w:cs="Tahoma"/>
          <w:b/>
          <w:sz w:val="24"/>
          <w:szCs w:val="24"/>
          <w:lang w:val="es-CO"/>
        </w:rPr>
        <w:t>Antecedentes</w:t>
      </w:r>
    </w:p>
    <w:p w:rsidR="00C35227" w:rsidRPr="00C33789" w:rsidRDefault="00C35227" w:rsidP="00CD67E6">
      <w:pPr>
        <w:pStyle w:val="Sinespaciado"/>
        <w:spacing w:line="288" w:lineRule="auto"/>
        <w:rPr>
          <w:rFonts w:ascii="Tahoma" w:hAnsi="Tahoma" w:cs="Tahoma"/>
          <w:sz w:val="24"/>
          <w:szCs w:val="24"/>
          <w:lang w:val="es-CO"/>
        </w:rPr>
      </w:pPr>
    </w:p>
    <w:p w:rsidR="00F26090" w:rsidRPr="00C33789" w:rsidRDefault="00F26090" w:rsidP="00CD67E6">
      <w:pPr>
        <w:spacing w:line="288" w:lineRule="auto"/>
        <w:jc w:val="left"/>
        <w:rPr>
          <w:rFonts w:ascii="Tahoma" w:hAnsi="Tahoma" w:cs="Tahoma"/>
          <w:b/>
          <w:bCs/>
          <w:sz w:val="24"/>
          <w:szCs w:val="24"/>
        </w:rPr>
      </w:pPr>
      <w:r w:rsidRPr="00C33789">
        <w:rPr>
          <w:rFonts w:ascii="Tahoma" w:hAnsi="Tahoma" w:cs="Tahoma"/>
          <w:b/>
          <w:bCs/>
          <w:sz w:val="24"/>
          <w:szCs w:val="24"/>
        </w:rPr>
        <w:t xml:space="preserve">1.1. Demanda y notificación del auto admisorio </w:t>
      </w:r>
    </w:p>
    <w:p w:rsidR="00F26090" w:rsidRPr="00C33789" w:rsidRDefault="00F26090" w:rsidP="00CD67E6">
      <w:pPr>
        <w:spacing w:line="288" w:lineRule="auto"/>
        <w:ind w:firstLine="708"/>
        <w:rPr>
          <w:rFonts w:ascii="Tahoma" w:hAnsi="Tahoma" w:cs="Tahoma"/>
          <w:sz w:val="24"/>
          <w:szCs w:val="24"/>
        </w:rPr>
      </w:pPr>
    </w:p>
    <w:p w:rsidR="007A1F38" w:rsidRPr="00C33789" w:rsidRDefault="007A1F38" w:rsidP="00CD67E6">
      <w:pPr>
        <w:spacing w:line="288" w:lineRule="auto"/>
        <w:ind w:firstLine="708"/>
        <w:rPr>
          <w:rFonts w:ascii="Tahoma" w:hAnsi="Tahoma" w:cs="Tahoma"/>
          <w:sz w:val="24"/>
          <w:szCs w:val="24"/>
        </w:rPr>
      </w:pPr>
      <w:r w:rsidRPr="00C33789">
        <w:rPr>
          <w:rFonts w:ascii="Tahoma" w:hAnsi="Tahoma" w:cs="Tahoma"/>
          <w:sz w:val="24"/>
          <w:szCs w:val="24"/>
        </w:rPr>
        <w:t xml:space="preserve">Para mejor proveer hay que decir que la demandante propuso demanda ordinaria contra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S.L. Sucursal Colombia Zona Franca Permanente Especial</w:t>
      </w:r>
      <w:r w:rsidRPr="00C33789">
        <w:rPr>
          <w:rFonts w:ascii="Tahoma" w:hAnsi="Tahoma" w:cs="Tahoma"/>
          <w:sz w:val="24"/>
          <w:szCs w:val="24"/>
          <w:lang w:val="es-ES_tradnl"/>
        </w:rPr>
        <w:t>,</w:t>
      </w:r>
      <w:r w:rsidRPr="00C33789">
        <w:rPr>
          <w:rFonts w:ascii="Tahoma" w:hAnsi="Tahoma" w:cs="Tahoma"/>
          <w:sz w:val="24"/>
          <w:szCs w:val="24"/>
        </w:rPr>
        <w:t xml:space="preserve"> para que se declare que “el bono de asistencia” constituyó factor salarial y, por ende, debió tenerse en cuenta para la liquidación de sus prestaciones sociales, vacaciones y cotizaciones a seguridad social. Por ello, procura que se condene a esa entidad a cancelar las diferencias dejadas de reconocer por la no inclusión del aludido bono, así como la indemnización moratoria estipulada en el artículo 65 del Código Sustantivo del Trabajo; lo que resulte probado ultra y extra </w:t>
      </w:r>
      <w:proofErr w:type="spellStart"/>
      <w:r w:rsidRPr="00C33789">
        <w:rPr>
          <w:rFonts w:ascii="Tahoma" w:hAnsi="Tahoma" w:cs="Tahoma"/>
          <w:sz w:val="24"/>
          <w:szCs w:val="24"/>
        </w:rPr>
        <w:t>petita</w:t>
      </w:r>
      <w:proofErr w:type="spellEnd"/>
      <w:r w:rsidRPr="00C33789">
        <w:rPr>
          <w:rFonts w:ascii="Tahoma" w:hAnsi="Tahoma" w:cs="Tahoma"/>
          <w:sz w:val="24"/>
          <w:szCs w:val="24"/>
        </w:rPr>
        <w:t xml:space="preserve"> y, las costas procesales. </w:t>
      </w:r>
    </w:p>
    <w:p w:rsidR="00816810" w:rsidRPr="00C33789" w:rsidRDefault="00816810" w:rsidP="00CD67E6">
      <w:pPr>
        <w:pStyle w:val="Sinespaciado"/>
        <w:spacing w:line="288" w:lineRule="auto"/>
        <w:rPr>
          <w:rFonts w:ascii="Tahoma" w:hAnsi="Tahoma" w:cs="Tahoma"/>
          <w:sz w:val="24"/>
          <w:szCs w:val="24"/>
        </w:rPr>
      </w:pPr>
    </w:p>
    <w:p w:rsidR="007842AB" w:rsidRPr="00C33789" w:rsidRDefault="00E71FAB" w:rsidP="00CD67E6">
      <w:pPr>
        <w:spacing w:line="288" w:lineRule="auto"/>
        <w:rPr>
          <w:rFonts w:ascii="Tahoma" w:hAnsi="Tahoma" w:cs="Tahoma"/>
          <w:sz w:val="24"/>
          <w:szCs w:val="24"/>
          <w:lang w:val="es-CO"/>
        </w:rPr>
      </w:pPr>
      <w:r w:rsidRPr="00C33789">
        <w:rPr>
          <w:rFonts w:ascii="Tahoma" w:hAnsi="Tahoma" w:cs="Tahoma"/>
          <w:sz w:val="24"/>
          <w:szCs w:val="24"/>
          <w:lang w:val="es-CO"/>
        </w:rPr>
        <w:t>La demanda se admitió en contra de la aludida empresa, atendiendo el certificado de existencia y representación allegado con la demanda y, una vez notificada, aquella presentó recurso de reposición en contra del auto admisorio aduciendo que al carecer de personería jurídica no podía ser demandada.</w:t>
      </w:r>
    </w:p>
    <w:p w:rsidR="00845BA5" w:rsidRPr="00C33789" w:rsidRDefault="00845BA5" w:rsidP="00CD67E6">
      <w:pPr>
        <w:pStyle w:val="Sinespaciado"/>
        <w:spacing w:line="288" w:lineRule="auto"/>
        <w:rPr>
          <w:rFonts w:ascii="Tahoma" w:hAnsi="Tahoma" w:cs="Tahoma"/>
          <w:sz w:val="24"/>
          <w:szCs w:val="24"/>
          <w:lang w:val="es-CO"/>
        </w:rPr>
      </w:pPr>
    </w:p>
    <w:p w:rsidR="00845BA5" w:rsidRPr="00C33789" w:rsidRDefault="00845BA5" w:rsidP="00CD67E6">
      <w:pPr>
        <w:spacing w:line="288" w:lineRule="auto"/>
        <w:rPr>
          <w:rFonts w:ascii="Tahoma" w:hAnsi="Tahoma" w:cs="Tahoma"/>
          <w:sz w:val="24"/>
          <w:szCs w:val="24"/>
          <w:lang w:val="es-CO"/>
        </w:rPr>
      </w:pPr>
      <w:r w:rsidRPr="00C33789">
        <w:rPr>
          <w:rFonts w:ascii="Tahoma" w:hAnsi="Tahoma" w:cs="Tahoma"/>
          <w:sz w:val="24"/>
          <w:szCs w:val="24"/>
          <w:lang w:val="es-CO"/>
        </w:rPr>
        <w:t>El juzgado de conocimiento despa</w:t>
      </w:r>
      <w:r w:rsidR="007A2656" w:rsidRPr="00C33789">
        <w:rPr>
          <w:rFonts w:ascii="Tahoma" w:hAnsi="Tahoma" w:cs="Tahoma"/>
          <w:sz w:val="24"/>
          <w:szCs w:val="24"/>
          <w:lang w:val="es-CO"/>
        </w:rPr>
        <w:t>chó desfavorablemente el</w:t>
      </w:r>
      <w:r w:rsidRPr="00C33789">
        <w:rPr>
          <w:rFonts w:ascii="Tahoma" w:hAnsi="Tahoma" w:cs="Tahoma"/>
          <w:sz w:val="24"/>
          <w:szCs w:val="24"/>
          <w:lang w:val="es-CO"/>
        </w:rPr>
        <w:t xml:space="preserve"> recurso bajo el argumento de que en las escrituras públicas por medio de las cuales se</w:t>
      </w:r>
      <w:r w:rsidR="00B573A2" w:rsidRPr="00C33789">
        <w:rPr>
          <w:rFonts w:ascii="Tahoma" w:hAnsi="Tahoma" w:cs="Tahoma"/>
          <w:sz w:val="24"/>
          <w:szCs w:val="24"/>
          <w:lang w:val="es-CO"/>
        </w:rPr>
        <w:t xml:space="preserve"> nombró a</w:t>
      </w:r>
      <w:r w:rsidR="009E67E1" w:rsidRPr="00C33789">
        <w:rPr>
          <w:rFonts w:ascii="Tahoma" w:hAnsi="Tahoma" w:cs="Tahoma"/>
          <w:sz w:val="24"/>
          <w:szCs w:val="24"/>
          <w:lang w:val="es-CO"/>
        </w:rPr>
        <w:t>l</w:t>
      </w:r>
      <w:r w:rsidR="00B573A2" w:rsidRPr="00C33789">
        <w:rPr>
          <w:rFonts w:ascii="Tahoma" w:hAnsi="Tahoma" w:cs="Tahoma"/>
          <w:sz w:val="24"/>
          <w:szCs w:val="24"/>
          <w:lang w:val="es-CO"/>
        </w:rPr>
        <w:t xml:space="preserve"> representante legal y al representante legal alterno </w:t>
      </w:r>
      <w:r w:rsidR="007A2656" w:rsidRPr="00C33789">
        <w:rPr>
          <w:rFonts w:ascii="Tahoma" w:hAnsi="Tahoma" w:cs="Tahoma"/>
          <w:sz w:val="24"/>
          <w:szCs w:val="24"/>
          <w:lang w:val="es-CO"/>
        </w:rPr>
        <w:t xml:space="preserve">de la demandada, </w:t>
      </w:r>
      <w:r w:rsidR="00B573A2" w:rsidRPr="00C33789">
        <w:rPr>
          <w:rFonts w:ascii="Tahoma" w:hAnsi="Tahoma" w:cs="Tahoma"/>
          <w:sz w:val="24"/>
          <w:szCs w:val="24"/>
          <w:lang w:val="es-CO"/>
        </w:rPr>
        <w:t>se estableció como facultades de ellos las de comparecer a juicio y contestar demandas con amplitud, de lo cual se extraía que tenía la connotación de persona jurídica y, por tanto, era sujeto de derechos y obligaciones</w:t>
      </w:r>
      <w:r w:rsidR="00882BE2" w:rsidRPr="00C33789">
        <w:rPr>
          <w:rFonts w:ascii="Tahoma" w:hAnsi="Tahoma" w:cs="Tahoma"/>
          <w:sz w:val="24"/>
          <w:szCs w:val="24"/>
          <w:lang w:val="es-CO"/>
        </w:rPr>
        <w:t xml:space="preserve">; lo anterior aunado al hecho de que el </w:t>
      </w:r>
      <w:r w:rsidR="00882BE2" w:rsidRPr="00C33789">
        <w:rPr>
          <w:rFonts w:ascii="Tahoma" w:hAnsi="Tahoma" w:cs="Tahoma"/>
          <w:sz w:val="24"/>
          <w:szCs w:val="24"/>
          <w:lang w:val="es-CO"/>
        </w:rPr>
        <w:lastRenderedPageBreak/>
        <w:t xml:space="preserve">representante legal confirió poder general al señor Ernesto González Fernández para ejercer amplias facultades de representación de la sucursal, persona que a su vez confirió </w:t>
      </w:r>
      <w:r w:rsidR="002316B4" w:rsidRPr="00C33789">
        <w:rPr>
          <w:rFonts w:ascii="Tahoma" w:hAnsi="Tahoma" w:cs="Tahoma"/>
          <w:sz w:val="24"/>
          <w:szCs w:val="24"/>
          <w:lang w:val="es-CO"/>
        </w:rPr>
        <w:t xml:space="preserve">poder </w:t>
      </w:r>
      <w:r w:rsidR="00882BE2" w:rsidRPr="00C33789">
        <w:rPr>
          <w:rFonts w:ascii="Tahoma" w:hAnsi="Tahoma" w:cs="Tahoma"/>
          <w:sz w:val="24"/>
          <w:szCs w:val="24"/>
          <w:lang w:val="es-CO"/>
        </w:rPr>
        <w:t>a la abogada que la representa judicialmente.</w:t>
      </w:r>
    </w:p>
    <w:p w:rsidR="00882BE2" w:rsidRPr="00C33789" w:rsidRDefault="00882BE2" w:rsidP="00CD67E6">
      <w:pPr>
        <w:pStyle w:val="Sinespaciado"/>
        <w:spacing w:line="288" w:lineRule="auto"/>
        <w:rPr>
          <w:rFonts w:ascii="Tahoma" w:hAnsi="Tahoma" w:cs="Tahoma"/>
          <w:sz w:val="24"/>
          <w:szCs w:val="24"/>
        </w:rPr>
      </w:pPr>
    </w:p>
    <w:p w:rsidR="00D114B1" w:rsidRPr="00C33789" w:rsidRDefault="00B53D88" w:rsidP="00CD67E6">
      <w:pPr>
        <w:spacing w:line="288" w:lineRule="auto"/>
        <w:rPr>
          <w:rFonts w:ascii="Tahoma" w:hAnsi="Tahoma" w:cs="Tahoma"/>
          <w:sz w:val="24"/>
          <w:szCs w:val="24"/>
          <w:lang w:val="es-CO"/>
        </w:rPr>
      </w:pPr>
      <w:r w:rsidRPr="00C33789">
        <w:rPr>
          <w:rFonts w:ascii="Tahoma" w:hAnsi="Tahoma" w:cs="Tahoma"/>
          <w:sz w:val="24"/>
          <w:szCs w:val="24"/>
          <w:lang w:val="es-CO"/>
        </w:rPr>
        <w:t xml:space="preserve">Posteriormente, antes de que se llevara a cabo la audiencia de que trata el artículo 77 del </w:t>
      </w:r>
      <w:proofErr w:type="spellStart"/>
      <w:r w:rsidRPr="00C33789">
        <w:rPr>
          <w:rFonts w:ascii="Tahoma" w:hAnsi="Tahoma" w:cs="Tahoma"/>
          <w:sz w:val="24"/>
          <w:szCs w:val="24"/>
          <w:lang w:val="es-CO"/>
        </w:rPr>
        <w:t>CPT</w:t>
      </w:r>
      <w:proofErr w:type="spellEnd"/>
      <w:r w:rsidRPr="00C33789">
        <w:rPr>
          <w:rFonts w:ascii="Tahoma" w:hAnsi="Tahoma" w:cs="Tahoma"/>
          <w:sz w:val="24"/>
          <w:szCs w:val="24"/>
          <w:lang w:val="es-CO"/>
        </w:rPr>
        <w:t xml:space="preserve"> y la S.S., el despacho profirió auto </w:t>
      </w:r>
      <w:r w:rsidR="007900C7" w:rsidRPr="00C33789">
        <w:rPr>
          <w:rFonts w:ascii="Tahoma" w:hAnsi="Tahoma" w:cs="Tahoma"/>
          <w:sz w:val="24"/>
          <w:szCs w:val="24"/>
          <w:lang w:val="es-CO"/>
        </w:rPr>
        <w:t xml:space="preserve">con el fin de sanear el procedimiento, para lo cual tuvo como parte demandada a la sociedad Telemark </w:t>
      </w:r>
      <w:proofErr w:type="spellStart"/>
      <w:r w:rsidR="007900C7" w:rsidRPr="00C33789">
        <w:rPr>
          <w:rFonts w:ascii="Tahoma" w:hAnsi="Tahoma" w:cs="Tahoma"/>
          <w:sz w:val="24"/>
          <w:szCs w:val="24"/>
          <w:lang w:val="es-CO"/>
        </w:rPr>
        <w:t>Spain</w:t>
      </w:r>
      <w:proofErr w:type="spellEnd"/>
      <w:r w:rsidR="007900C7" w:rsidRPr="00C33789">
        <w:rPr>
          <w:rFonts w:ascii="Tahoma" w:hAnsi="Tahoma" w:cs="Tahoma"/>
          <w:sz w:val="24"/>
          <w:szCs w:val="24"/>
          <w:lang w:val="es-CO"/>
        </w:rPr>
        <w:t xml:space="preserve"> S.L.</w:t>
      </w:r>
      <w:r w:rsidR="007A2656" w:rsidRPr="00C33789">
        <w:rPr>
          <w:rFonts w:ascii="Tahoma" w:hAnsi="Tahoma" w:cs="Tahoma"/>
          <w:sz w:val="24"/>
          <w:szCs w:val="24"/>
          <w:lang w:val="es-CO"/>
        </w:rPr>
        <w:t xml:space="preserve"> y </w:t>
      </w:r>
      <w:r w:rsidR="00BD3A9B" w:rsidRPr="00C33789">
        <w:rPr>
          <w:rFonts w:ascii="Tahoma" w:hAnsi="Tahoma" w:cs="Tahoma"/>
          <w:sz w:val="24"/>
          <w:szCs w:val="24"/>
          <w:lang w:val="es-CO"/>
        </w:rPr>
        <w:t>notificada por conducta concluyente</w:t>
      </w:r>
      <w:r w:rsidR="002316B4" w:rsidRPr="00C33789">
        <w:rPr>
          <w:rFonts w:ascii="Tahoma" w:hAnsi="Tahoma" w:cs="Tahoma"/>
          <w:sz w:val="24"/>
          <w:szCs w:val="24"/>
          <w:lang w:val="es-CO"/>
        </w:rPr>
        <w:t>, reconociendo</w:t>
      </w:r>
      <w:r w:rsidR="007900C7" w:rsidRPr="00C33789">
        <w:rPr>
          <w:rFonts w:ascii="Tahoma" w:hAnsi="Tahoma" w:cs="Tahoma"/>
          <w:sz w:val="24"/>
          <w:szCs w:val="24"/>
          <w:lang w:val="es-CO"/>
        </w:rPr>
        <w:t xml:space="preserve"> personería a la togada</w:t>
      </w:r>
      <w:r w:rsidR="00BD3A9B" w:rsidRPr="00C33789">
        <w:rPr>
          <w:rFonts w:ascii="Tahoma" w:hAnsi="Tahoma" w:cs="Tahoma"/>
          <w:sz w:val="24"/>
          <w:szCs w:val="24"/>
          <w:lang w:val="es-CO"/>
        </w:rPr>
        <w:t xml:space="preserve"> a </w:t>
      </w:r>
      <w:r w:rsidR="002316B4" w:rsidRPr="00C33789">
        <w:rPr>
          <w:rFonts w:ascii="Tahoma" w:hAnsi="Tahoma" w:cs="Tahoma"/>
          <w:sz w:val="24"/>
          <w:szCs w:val="24"/>
          <w:lang w:val="es-CO"/>
        </w:rPr>
        <w:t>quien ya se</w:t>
      </w:r>
      <w:r w:rsidR="00BD3A9B" w:rsidRPr="00C33789">
        <w:rPr>
          <w:rFonts w:ascii="Tahoma" w:hAnsi="Tahoma" w:cs="Tahoma"/>
          <w:sz w:val="24"/>
          <w:szCs w:val="24"/>
          <w:lang w:val="es-CO"/>
        </w:rPr>
        <w:t xml:space="preserve"> le había conferido poder</w:t>
      </w:r>
      <w:r w:rsidR="002316B4" w:rsidRPr="00C33789">
        <w:rPr>
          <w:rFonts w:ascii="Tahoma" w:hAnsi="Tahoma" w:cs="Tahoma"/>
          <w:sz w:val="24"/>
          <w:szCs w:val="24"/>
          <w:lang w:val="es-CO"/>
        </w:rPr>
        <w:t xml:space="preserve"> para tal efecto.</w:t>
      </w:r>
    </w:p>
    <w:p w:rsidR="00D114B1" w:rsidRPr="00C33789" w:rsidRDefault="00D114B1" w:rsidP="00CD67E6">
      <w:pPr>
        <w:pStyle w:val="Sinespaciado"/>
        <w:spacing w:line="288" w:lineRule="auto"/>
        <w:rPr>
          <w:rFonts w:ascii="Tahoma" w:hAnsi="Tahoma" w:cs="Tahoma"/>
          <w:sz w:val="24"/>
          <w:szCs w:val="24"/>
          <w:lang w:val="es-CO"/>
        </w:rPr>
      </w:pPr>
    </w:p>
    <w:p w:rsidR="00882BE2" w:rsidRPr="00C33789" w:rsidRDefault="00D114B1" w:rsidP="00CD67E6">
      <w:pPr>
        <w:spacing w:line="288" w:lineRule="auto"/>
        <w:rPr>
          <w:rFonts w:ascii="Tahoma" w:hAnsi="Tahoma" w:cs="Tahoma"/>
          <w:sz w:val="24"/>
          <w:szCs w:val="24"/>
          <w:lang w:val="es-CO"/>
        </w:rPr>
      </w:pPr>
      <w:r w:rsidRPr="00C33789">
        <w:rPr>
          <w:rFonts w:ascii="Tahoma" w:hAnsi="Tahoma" w:cs="Tahoma"/>
          <w:sz w:val="24"/>
          <w:szCs w:val="24"/>
          <w:lang w:val="es-CO"/>
        </w:rPr>
        <w:t>Para fundar tal determinación, la A-quo</w:t>
      </w:r>
      <w:r w:rsidR="00BD3A9B" w:rsidRPr="00C33789">
        <w:rPr>
          <w:rFonts w:ascii="Tahoma" w:hAnsi="Tahoma" w:cs="Tahoma"/>
          <w:sz w:val="24"/>
          <w:szCs w:val="24"/>
          <w:lang w:val="es-CO"/>
        </w:rPr>
        <w:t xml:space="preserve"> </w:t>
      </w:r>
      <w:r w:rsidR="00347F59" w:rsidRPr="00C33789">
        <w:rPr>
          <w:rFonts w:ascii="Tahoma" w:hAnsi="Tahoma" w:cs="Tahoma"/>
          <w:sz w:val="24"/>
          <w:szCs w:val="24"/>
          <w:lang w:val="es-CO"/>
        </w:rPr>
        <w:t>indicó que de conformidad con el pronunciamiento  reciente de esta Corporación</w:t>
      </w:r>
      <w:r w:rsidR="00E15ACC" w:rsidRPr="00C33789">
        <w:rPr>
          <w:rFonts w:ascii="Tahoma" w:hAnsi="Tahoma" w:cs="Tahoma"/>
          <w:sz w:val="24"/>
          <w:szCs w:val="24"/>
          <w:lang w:val="es-CO"/>
        </w:rPr>
        <w:t xml:space="preserve">, al ser la sucursal </w:t>
      </w:r>
      <w:r w:rsidR="00591CB5" w:rsidRPr="00C33789">
        <w:rPr>
          <w:rFonts w:ascii="Tahoma" w:hAnsi="Tahoma" w:cs="Tahoma"/>
          <w:sz w:val="24"/>
          <w:szCs w:val="24"/>
          <w:lang w:val="es-CO"/>
        </w:rPr>
        <w:t xml:space="preserve">demandada </w:t>
      </w:r>
      <w:r w:rsidR="00E15ACC" w:rsidRPr="00C33789">
        <w:rPr>
          <w:rFonts w:ascii="Tahoma" w:hAnsi="Tahoma" w:cs="Tahoma"/>
          <w:sz w:val="24"/>
          <w:szCs w:val="24"/>
          <w:lang w:val="es-CO"/>
        </w:rPr>
        <w:t>un establecimiento de comercio</w:t>
      </w:r>
      <w:r w:rsidR="007A2656" w:rsidRPr="00C33789">
        <w:rPr>
          <w:rFonts w:ascii="Tahoma" w:hAnsi="Tahoma" w:cs="Tahoma"/>
          <w:sz w:val="24"/>
          <w:szCs w:val="24"/>
          <w:lang w:val="es-CO"/>
        </w:rPr>
        <w:t xml:space="preserve">, no era </w:t>
      </w:r>
      <w:r w:rsidR="00E15ACC" w:rsidRPr="00C33789">
        <w:rPr>
          <w:rFonts w:ascii="Tahoma" w:hAnsi="Tahoma" w:cs="Tahoma"/>
          <w:sz w:val="24"/>
          <w:szCs w:val="24"/>
          <w:lang w:val="es-CO"/>
        </w:rPr>
        <w:t>sujeto de derechos y obligaciones</w:t>
      </w:r>
      <w:r w:rsidR="00591CB5" w:rsidRPr="00C33789">
        <w:rPr>
          <w:rFonts w:ascii="Tahoma" w:hAnsi="Tahoma" w:cs="Tahoma"/>
          <w:sz w:val="24"/>
          <w:szCs w:val="24"/>
          <w:lang w:val="es-CO"/>
        </w:rPr>
        <w:t xml:space="preserve">. Por lo tanto, como la sociedad española Telemark </w:t>
      </w:r>
      <w:proofErr w:type="spellStart"/>
      <w:r w:rsidR="00591CB5" w:rsidRPr="00C33789">
        <w:rPr>
          <w:rFonts w:ascii="Tahoma" w:hAnsi="Tahoma" w:cs="Tahoma"/>
          <w:sz w:val="24"/>
          <w:szCs w:val="24"/>
          <w:lang w:val="es-CO"/>
        </w:rPr>
        <w:t>Spain</w:t>
      </w:r>
      <w:proofErr w:type="spellEnd"/>
      <w:r w:rsidR="00591CB5" w:rsidRPr="00C33789">
        <w:rPr>
          <w:rFonts w:ascii="Tahoma" w:hAnsi="Tahoma" w:cs="Tahoma"/>
          <w:sz w:val="24"/>
          <w:szCs w:val="24"/>
          <w:lang w:val="es-CO"/>
        </w:rPr>
        <w:t xml:space="preserve"> S.L., cuya sede principal es en “</w:t>
      </w:r>
      <w:proofErr w:type="spellStart"/>
      <w:r w:rsidR="00591CB5" w:rsidRPr="00C33789">
        <w:rPr>
          <w:rFonts w:ascii="Tahoma" w:hAnsi="Tahoma" w:cs="Tahoma"/>
          <w:sz w:val="24"/>
          <w:szCs w:val="24"/>
          <w:lang w:val="es-CO"/>
        </w:rPr>
        <w:t>Onzonilla</w:t>
      </w:r>
      <w:proofErr w:type="spellEnd"/>
      <w:r w:rsidR="00591CB5" w:rsidRPr="00C33789">
        <w:rPr>
          <w:rFonts w:ascii="Tahoma" w:hAnsi="Tahoma" w:cs="Tahoma"/>
          <w:sz w:val="24"/>
          <w:szCs w:val="24"/>
          <w:lang w:val="es-CO"/>
        </w:rPr>
        <w:t xml:space="preserve">” (León), confirió poder </w:t>
      </w:r>
      <w:r w:rsidR="00BC6E9F" w:rsidRPr="00C33789">
        <w:rPr>
          <w:rFonts w:ascii="Tahoma" w:hAnsi="Tahoma" w:cs="Tahoma"/>
          <w:sz w:val="24"/>
          <w:szCs w:val="24"/>
          <w:lang w:val="es-CO"/>
        </w:rPr>
        <w:t>general al se</w:t>
      </w:r>
      <w:r w:rsidR="00591CB5" w:rsidRPr="00C33789">
        <w:rPr>
          <w:rFonts w:ascii="Tahoma" w:hAnsi="Tahoma" w:cs="Tahoma"/>
          <w:sz w:val="24"/>
          <w:szCs w:val="24"/>
          <w:lang w:val="es-CO"/>
        </w:rPr>
        <w:t xml:space="preserve">ñor Ernesto González Fernández para actuar en calidad de </w:t>
      </w:r>
      <w:r w:rsidR="00B8075A" w:rsidRPr="00C33789">
        <w:rPr>
          <w:rFonts w:ascii="Tahoma" w:hAnsi="Tahoma" w:cs="Tahoma"/>
          <w:sz w:val="24"/>
          <w:szCs w:val="24"/>
          <w:lang w:val="es-CO"/>
        </w:rPr>
        <w:t>apoderado general, única y exclusivamente respecto de la sucursal</w:t>
      </w:r>
      <w:r w:rsidR="00BC6E9F" w:rsidRPr="00C33789">
        <w:rPr>
          <w:rFonts w:ascii="Tahoma" w:hAnsi="Tahoma" w:cs="Tahoma"/>
          <w:sz w:val="24"/>
          <w:szCs w:val="24"/>
          <w:lang w:val="es-CO"/>
        </w:rPr>
        <w:t xml:space="preserve"> aquí demandada,</w:t>
      </w:r>
      <w:r w:rsidR="007A2656" w:rsidRPr="00C33789">
        <w:rPr>
          <w:rFonts w:ascii="Tahoma" w:hAnsi="Tahoma" w:cs="Tahoma"/>
          <w:sz w:val="24"/>
          <w:szCs w:val="24"/>
          <w:lang w:val="es-CO"/>
        </w:rPr>
        <w:t xml:space="preserve"> y que este a su vez </w:t>
      </w:r>
      <w:r w:rsidR="00B8075A" w:rsidRPr="00C33789">
        <w:rPr>
          <w:rFonts w:ascii="Tahoma" w:hAnsi="Tahoma" w:cs="Tahoma"/>
          <w:sz w:val="24"/>
          <w:szCs w:val="24"/>
          <w:lang w:val="es-CO"/>
        </w:rPr>
        <w:t>confirió poder general a una profesional del derecho</w:t>
      </w:r>
      <w:r w:rsidR="007A2656" w:rsidRPr="00C33789">
        <w:rPr>
          <w:rFonts w:ascii="Tahoma" w:hAnsi="Tahoma" w:cs="Tahoma"/>
          <w:sz w:val="24"/>
          <w:szCs w:val="24"/>
          <w:lang w:val="es-CO"/>
        </w:rPr>
        <w:t xml:space="preserve">, debiendo </w:t>
      </w:r>
      <w:r w:rsidR="00BC6E9F" w:rsidRPr="00C33789">
        <w:rPr>
          <w:rFonts w:ascii="Tahoma" w:hAnsi="Tahoma" w:cs="Tahoma"/>
          <w:sz w:val="24"/>
          <w:szCs w:val="24"/>
          <w:lang w:val="es-CO"/>
        </w:rPr>
        <w:t>tenerse notificada a la sociedad demandada por conducta concluyente.</w:t>
      </w:r>
    </w:p>
    <w:p w:rsidR="00F26090" w:rsidRPr="00C33789" w:rsidRDefault="00F26090" w:rsidP="00CD67E6">
      <w:pPr>
        <w:pStyle w:val="Sinespaciado"/>
        <w:spacing w:line="288" w:lineRule="auto"/>
        <w:rPr>
          <w:rFonts w:ascii="Tahoma" w:hAnsi="Tahoma" w:cs="Tahoma"/>
          <w:sz w:val="24"/>
          <w:szCs w:val="24"/>
          <w:lang w:val="es-CO"/>
        </w:rPr>
      </w:pPr>
    </w:p>
    <w:p w:rsidR="00BC6E9F" w:rsidRPr="00C33789" w:rsidRDefault="00BC6E9F" w:rsidP="00CD67E6">
      <w:pPr>
        <w:spacing w:line="288" w:lineRule="auto"/>
        <w:rPr>
          <w:rFonts w:ascii="Tahoma" w:hAnsi="Tahoma" w:cs="Tahoma"/>
          <w:sz w:val="24"/>
          <w:szCs w:val="24"/>
          <w:lang w:val="es-CO"/>
        </w:rPr>
      </w:pPr>
      <w:r w:rsidRPr="00C33789">
        <w:rPr>
          <w:rFonts w:ascii="Tahoma" w:hAnsi="Tahoma" w:cs="Tahoma"/>
          <w:sz w:val="24"/>
          <w:szCs w:val="24"/>
          <w:lang w:val="es-CO"/>
        </w:rPr>
        <w:t>Contra dicha de</w:t>
      </w:r>
      <w:r w:rsidR="00893810" w:rsidRPr="00C33789">
        <w:rPr>
          <w:rFonts w:ascii="Tahoma" w:hAnsi="Tahoma" w:cs="Tahoma"/>
          <w:sz w:val="24"/>
          <w:szCs w:val="24"/>
          <w:lang w:val="es-CO"/>
        </w:rPr>
        <w:t xml:space="preserve">cisión </w:t>
      </w:r>
      <w:r w:rsidRPr="00C33789">
        <w:rPr>
          <w:rFonts w:ascii="Tahoma" w:hAnsi="Tahoma" w:cs="Tahoma"/>
          <w:sz w:val="24"/>
          <w:szCs w:val="24"/>
          <w:lang w:val="es-CO"/>
        </w:rPr>
        <w:t xml:space="preserve">se interpuso recurso de reposición y en subsidio el de apelación, los cuales fueron despachados desfavorablemente; el primero al haberse presentado extemporáneamente y, el segundo, al no proceder </w:t>
      </w:r>
      <w:r w:rsidR="002C4FAB" w:rsidRPr="00C33789">
        <w:rPr>
          <w:rFonts w:ascii="Tahoma" w:hAnsi="Tahoma" w:cs="Tahoma"/>
          <w:sz w:val="24"/>
          <w:szCs w:val="24"/>
          <w:lang w:val="es-CO"/>
        </w:rPr>
        <w:t>la apelación contra la providencia atacada.</w:t>
      </w:r>
    </w:p>
    <w:p w:rsidR="00F26090" w:rsidRPr="00C33789" w:rsidRDefault="00F26090" w:rsidP="00CD67E6">
      <w:pPr>
        <w:spacing w:line="288" w:lineRule="auto"/>
        <w:rPr>
          <w:rFonts w:ascii="Tahoma" w:hAnsi="Tahoma" w:cs="Tahoma"/>
          <w:sz w:val="24"/>
          <w:szCs w:val="24"/>
          <w:lang w:val="es-CO"/>
        </w:rPr>
      </w:pPr>
    </w:p>
    <w:p w:rsidR="00F26090" w:rsidRPr="00C33789" w:rsidRDefault="00F26090" w:rsidP="00CD67E6">
      <w:pPr>
        <w:spacing w:line="288" w:lineRule="auto"/>
        <w:jc w:val="left"/>
        <w:rPr>
          <w:rFonts w:ascii="Tahoma" w:hAnsi="Tahoma" w:cs="Tahoma"/>
          <w:b/>
          <w:bCs/>
          <w:sz w:val="24"/>
          <w:szCs w:val="24"/>
        </w:rPr>
      </w:pPr>
      <w:r w:rsidRPr="00C33789">
        <w:rPr>
          <w:rFonts w:ascii="Tahoma" w:hAnsi="Tahoma" w:cs="Tahoma"/>
          <w:b/>
          <w:bCs/>
          <w:sz w:val="24"/>
          <w:szCs w:val="24"/>
        </w:rPr>
        <w:t>1.2. Fundamento de la nulidad alegada por la demandada</w:t>
      </w:r>
    </w:p>
    <w:p w:rsidR="002C4FAB" w:rsidRPr="00C33789" w:rsidRDefault="002C4FAB" w:rsidP="00CD67E6">
      <w:pPr>
        <w:pStyle w:val="Sinespaciado"/>
        <w:spacing w:line="288" w:lineRule="auto"/>
        <w:rPr>
          <w:rFonts w:ascii="Tahoma" w:hAnsi="Tahoma" w:cs="Tahoma"/>
          <w:sz w:val="24"/>
          <w:szCs w:val="24"/>
        </w:rPr>
      </w:pPr>
    </w:p>
    <w:p w:rsidR="002C4FAB" w:rsidRPr="00C33789" w:rsidRDefault="00F26090" w:rsidP="00CD67E6">
      <w:pPr>
        <w:spacing w:line="288" w:lineRule="auto"/>
        <w:rPr>
          <w:rFonts w:ascii="Tahoma" w:hAnsi="Tahoma" w:cs="Tahoma"/>
          <w:sz w:val="24"/>
          <w:szCs w:val="24"/>
          <w:lang w:val="es-CO"/>
        </w:rPr>
      </w:pPr>
      <w:r w:rsidRPr="00C33789">
        <w:rPr>
          <w:rFonts w:ascii="Tahoma" w:hAnsi="Tahoma" w:cs="Tahoma"/>
          <w:sz w:val="24"/>
          <w:szCs w:val="24"/>
          <w:lang w:val="es-CO"/>
        </w:rPr>
        <w:t>L</w:t>
      </w:r>
      <w:r w:rsidR="007F5EC8" w:rsidRPr="00C33789">
        <w:rPr>
          <w:rFonts w:ascii="Tahoma" w:hAnsi="Tahoma" w:cs="Tahoma"/>
          <w:sz w:val="24"/>
          <w:szCs w:val="24"/>
          <w:lang w:val="es-CO"/>
        </w:rPr>
        <w:t xml:space="preserve">a apoderada judicial de Telemark </w:t>
      </w:r>
      <w:proofErr w:type="spellStart"/>
      <w:r w:rsidR="007F5EC8" w:rsidRPr="00C33789">
        <w:rPr>
          <w:rFonts w:ascii="Tahoma" w:hAnsi="Tahoma" w:cs="Tahoma"/>
          <w:sz w:val="24"/>
          <w:szCs w:val="24"/>
          <w:lang w:val="es-CO"/>
        </w:rPr>
        <w:t>Spain</w:t>
      </w:r>
      <w:proofErr w:type="spellEnd"/>
      <w:r w:rsidR="007F5EC8" w:rsidRPr="00C33789">
        <w:rPr>
          <w:rFonts w:ascii="Tahoma" w:hAnsi="Tahoma" w:cs="Tahoma"/>
          <w:sz w:val="24"/>
          <w:szCs w:val="24"/>
          <w:lang w:val="es-CO"/>
        </w:rPr>
        <w:t xml:space="preserve"> S.L. solicitó que se decretara la nulidad del proceso a partir del auto que admitió la demanda</w:t>
      </w:r>
      <w:r w:rsidR="00F111B7" w:rsidRPr="00C33789">
        <w:rPr>
          <w:rFonts w:ascii="Tahoma" w:hAnsi="Tahoma" w:cs="Tahoma"/>
          <w:sz w:val="24"/>
          <w:szCs w:val="24"/>
          <w:lang w:val="es-CO"/>
        </w:rPr>
        <w:t xml:space="preserve"> y se ordenara la integración del litisconsorcio necesario con Telemark </w:t>
      </w:r>
      <w:proofErr w:type="spellStart"/>
      <w:r w:rsidR="00F111B7" w:rsidRPr="00C33789">
        <w:rPr>
          <w:rFonts w:ascii="Tahoma" w:hAnsi="Tahoma" w:cs="Tahoma"/>
          <w:sz w:val="24"/>
          <w:szCs w:val="24"/>
          <w:lang w:val="es-CO"/>
        </w:rPr>
        <w:t>Spain</w:t>
      </w:r>
      <w:proofErr w:type="spellEnd"/>
      <w:r w:rsidR="00F111B7" w:rsidRPr="00C33789">
        <w:rPr>
          <w:rFonts w:ascii="Tahoma" w:hAnsi="Tahoma" w:cs="Tahoma"/>
          <w:sz w:val="24"/>
          <w:szCs w:val="24"/>
          <w:lang w:val="es-CO"/>
        </w:rPr>
        <w:t xml:space="preserve"> S.L., la cual debía notificarse personalmente de acuerdo con las normas que regulan la materia.</w:t>
      </w:r>
    </w:p>
    <w:p w:rsidR="00893810" w:rsidRPr="00C33789" w:rsidRDefault="00893810" w:rsidP="00CD67E6">
      <w:pPr>
        <w:pStyle w:val="Sinespaciado"/>
        <w:spacing w:line="288" w:lineRule="auto"/>
        <w:rPr>
          <w:rFonts w:ascii="Tahoma" w:hAnsi="Tahoma" w:cs="Tahoma"/>
          <w:sz w:val="24"/>
          <w:szCs w:val="24"/>
        </w:rPr>
      </w:pPr>
    </w:p>
    <w:p w:rsidR="00893810" w:rsidRPr="00C33789" w:rsidRDefault="00893810" w:rsidP="00CD67E6">
      <w:pPr>
        <w:spacing w:line="288" w:lineRule="auto"/>
        <w:rPr>
          <w:rFonts w:ascii="Tahoma" w:hAnsi="Tahoma" w:cs="Tahoma"/>
          <w:sz w:val="24"/>
          <w:szCs w:val="24"/>
        </w:rPr>
      </w:pPr>
      <w:r w:rsidRPr="00C33789">
        <w:rPr>
          <w:rFonts w:ascii="Tahoma" w:hAnsi="Tahoma" w:cs="Tahoma"/>
          <w:sz w:val="24"/>
          <w:szCs w:val="24"/>
          <w:lang w:val="es-CO"/>
        </w:rPr>
        <w:t xml:space="preserve">Lo anterior por cuanto en ninguna oportunidad Telemark </w:t>
      </w:r>
      <w:proofErr w:type="spellStart"/>
      <w:r w:rsidRPr="00C33789">
        <w:rPr>
          <w:rFonts w:ascii="Tahoma" w:hAnsi="Tahoma" w:cs="Tahoma"/>
          <w:sz w:val="24"/>
          <w:szCs w:val="24"/>
          <w:lang w:val="es-CO"/>
        </w:rPr>
        <w:t>Spain</w:t>
      </w:r>
      <w:proofErr w:type="spellEnd"/>
      <w:r w:rsidRPr="00C33789">
        <w:rPr>
          <w:rFonts w:ascii="Tahoma" w:hAnsi="Tahoma" w:cs="Tahoma"/>
          <w:sz w:val="24"/>
          <w:szCs w:val="24"/>
          <w:lang w:val="es-CO"/>
        </w:rPr>
        <w:t xml:space="preserve"> S.L., como sociedad extranjera, ha manifestado de manera verbal o escrita el conocimiento de alguna providencia dictada en el proceso, ni ha constituido apoderado judicial, por lo que se configuraba la causal de nulidad enmarcada en el ordinal 8º del artículo 133 del </w:t>
      </w:r>
      <w:proofErr w:type="spellStart"/>
      <w:r w:rsidRPr="00C33789">
        <w:rPr>
          <w:rFonts w:ascii="Tahoma" w:hAnsi="Tahoma" w:cs="Tahoma"/>
          <w:sz w:val="24"/>
          <w:szCs w:val="24"/>
          <w:lang w:val="es-CO"/>
        </w:rPr>
        <w:t>C.G.P</w:t>
      </w:r>
      <w:proofErr w:type="spellEnd"/>
      <w:r w:rsidRPr="00C33789">
        <w:rPr>
          <w:rFonts w:ascii="Tahoma" w:hAnsi="Tahoma" w:cs="Tahoma"/>
          <w:sz w:val="24"/>
          <w:szCs w:val="24"/>
          <w:lang w:val="es-CO"/>
        </w:rPr>
        <w:t xml:space="preserve">., ello aunado al hecho de que </w:t>
      </w:r>
      <w:r w:rsidR="00621EB8" w:rsidRPr="00C33789">
        <w:rPr>
          <w:rFonts w:ascii="Tahoma" w:hAnsi="Tahoma" w:cs="Tahoma"/>
          <w:sz w:val="24"/>
          <w:szCs w:val="24"/>
          <w:lang w:val="es-CO"/>
        </w:rPr>
        <w:t xml:space="preserve">el apoderado de la demandante carecería de poder para actuar pues el que le fuera conferido por la actora fue que actuara en contra de </w:t>
      </w:r>
      <w:r w:rsidR="00621EB8" w:rsidRPr="00C33789">
        <w:rPr>
          <w:rFonts w:ascii="Tahoma" w:hAnsi="Tahoma" w:cs="Tahoma"/>
          <w:sz w:val="24"/>
          <w:szCs w:val="24"/>
        </w:rPr>
        <w:t xml:space="preserve">Telemark </w:t>
      </w:r>
      <w:proofErr w:type="spellStart"/>
      <w:r w:rsidR="00621EB8" w:rsidRPr="00C33789">
        <w:rPr>
          <w:rFonts w:ascii="Tahoma" w:hAnsi="Tahoma" w:cs="Tahoma"/>
          <w:sz w:val="24"/>
          <w:szCs w:val="24"/>
        </w:rPr>
        <w:t>Spain</w:t>
      </w:r>
      <w:proofErr w:type="spellEnd"/>
      <w:r w:rsidR="00621EB8" w:rsidRPr="00C33789">
        <w:rPr>
          <w:rFonts w:ascii="Tahoma" w:hAnsi="Tahoma" w:cs="Tahoma"/>
          <w:sz w:val="24"/>
          <w:szCs w:val="24"/>
        </w:rPr>
        <w:t xml:space="preserve"> S.L. Sucursal Colombia Zona Franca Permanente Especial y no contra Telemark </w:t>
      </w:r>
      <w:proofErr w:type="spellStart"/>
      <w:r w:rsidR="00621EB8" w:rsidRPr="00C33789">
        <w:rPr>
          <w:rFonts w:ascii="Tahoma" w:hAnsi="Tahoma" w:cs="Tahoma"/>
          <w:sz w:val="24"/>
          <w:szCs w:val="24"/>
        </w:rPr>
        <w:t>Spain</w:t>
      </w:r>
      <w:proofErr w:type="spellEnd"/>
      <w:r w:rsidR="009621B7" w:rsidRPr="00C33789">
        <w:rPr>
          <w:rFonts w:ascii="Tahoma" w:hAnsi="Tahoma" w:cs="Tahoma"/>
          <w:sz w:val="24"/>
          <w:szCs w:val="24"/>
        </w:rPr>
        <w:t xml:space="preserve"> S.L., por lo que también se configura</w:t>
      </w:r>
      <w:r w:rsidR="007D1842" w:rsidRPr="00C33789">
        <w:rPr>
          <w:rFonts w:ascii="Tahoma" w:hAnsi="Tahoma" w:cs="Tahoma"/>
          <w:sz w:val="24"/>
          <w:szCs w:val="24"/>
        </w:rPr>
        <w:t>ba</w:t>
      </w:r>
      <w:r w:rsidR="009621B7" w:rsidRPr="00C33789">
        <w:rPr>
          <w:rFonts w:ascii="Tahoma" w:hAnsi="Tahoma" w:cs="Tahoma"/>
          <w:sz w:val="24"/>
          <w:szCs w:val="24"/>
        </w:rPr>
        <w:t xml:space="preserve"> la causal de nulidad enmarcada en el</w:t>
      </w:r>
      <w:r w:rsidR="007D1842" w:rsidRPr="00C33789">
        <w:rPr>
          <w:rFonts w:ascii="Tahoma" w:hAnsi="Tahoma" w:cs="Tahoma"/>
          <w:sz w:val="24"/>
          <w:szCs w:val="24"/>
        </w:rPr>
        <w:t xml:space="preserve"> ordinal 4º del canon en mención.</w:t>
      </w:r>
    </w:p>
    <w:p w:rsidR="00F26090" w:rsidRPr="00C33789" w:rsidRDefault="00F26090" w:rsidP="00CD67E6">
      <w:pPr>
        <w:pStyle w:val="Sinespaciado"/>
        <w:spacing w:line="288" w:lineRule="auto"/>
        <w:rPr>
          <w:rFonts w:ascii="Tahoma" w:hAnsi="Tahoma" w:cs="Tahoma"/>
          <w:sz w:val="24"/>
          <w:szCs w:val="24"/>
        </w:rPr>
      </w:pPr>
    </w:p>
    <w:p w:rsidR="00F26090" w:rsidRPr="00C33789" w:rsidRDefault="00F26090" w:rsidP="00CD67E6">
      <w:pPr>
        <w:spacing w:line="288" w:lineRule="auto"/>
        <w:jc w:val="left"/>
        <w:rPr>
          <w:rFonts w:ascii="Tahoma" w:hAnsi="Tahoma" w:cs="Tahoma"/>
          <w:b/>
          <w:bCs/>
          <w:sz w:val="24"/>
          <w:szCs w:val="24"/>
        </w:rPr>
      </w:pPr>
      <w:r w:rsidRPr="00C33789">
        <w:rPr>
          <w:rFonts w:ascii="Tahoma" w:hAnsi="Tahoma" w:cs="Tahoma"/>
          <w:b/>
          <w:bCs/>
          <w:sz w:val="24"/>
          <w:szCs w:val="24"/>
        </w:rPr>
        <w:t>1.3. Decisión de la nulidad en primera instancia</w:t>
      </w:r>
    </w:p>
    <w:p w:rsidR="00F26090" w:rsidRPr="00C33789" w:rsidRDefault="00F26090" w:rsidP="00CD67E6">
      <w:pPr>
        <w:pStyle w:val="Sinespaciado"/>
        <w:spacing w:line="288" w:lineRule="auto"/>
        <w:rPr>
          <w:rFonts w:ascii="Tahoma" w:hAnsi="Tahoma" w:cs="Tahoma"/>
          <w:sz w:val="24"/>
          <w:szCs w:val="24"/>
        </w:rPr>
      </w:pPr>
    </w:p>
    <w:p w:rsidR="007D1842" w:rsidRPr="00C33789" w:rsidRDefault="007D1842" w:rsidP="00CD67E6">
      <w:pPr>
        <w:spacing w:line="288" w:lineRule="auto"/>
        <w:rPr>
          <w:rFonts w:ascii="Tahoma" w:hAnsi="Tahoma" w:cs="Tahoma"/>
          <w:sz w:val="24"/>
          <w:szCs w:val="24"/>
        </w:rPr>
      </w:pPr>
      <w:r w:rsidRPr="00C33789">
        <w:rPr>
          <w:rFonts w:ascii="Tahoma" w:hAnsi="Tahoma" w:cs="Tahoma"/>
          <w:sz w:val="24"/>
          <w:szCs w:val="24"/>
        </w:rPr>
        <w:lastRenderedPageBreak/>
        <w:t>Mediante el auto objeto de apelación el juzgado de conocimiento</w:t>
      </w:r>
      <w:r w:rsidR="000E747D" w:rsidRPr="00C33789">
        <w:rPr>
          <w:rFonts w:ascii="Tahoma" w:hAnsi="Tahoma" w:cs="Tahoma"/>
          <w:sz w:val="24"/>
          <w:szCs w:val="24"/>
        </w:rPr>
        <w:t xml:space="preserve"> declaró no probadas las nulidades solicitadas y ordenó continuar con el trámite del proceso. </w:t>
      </w:r>
    </w:p>
    <w:p w:rsidR="000E747D" w:rsidRPr="00C33789" w:rsidRDefault="000E747D" w:rsidP="00CD67E6">
      <w:pPr>
        <w:pStyle w:val="Sinespaciado"/>
        <w:spacing w:line="288" w:lineRule="auto"/>
        <w:rPr>
          <w:rFonts w:ascii="Tahoma" w:hAnsi="Tahoma" w:cs="Tahoma"/>
          <w:sz w:val="24"/>
          <w:szCs w:val="24"/>
        </w:rPr>
      </w:pPr>
    </w:p>
    <w:p w:rsidR="000E747D" w:rsidRPr="00C33789" w:rsidRDefault="000E747D" w:rsidP="00CD67E6">
      <w:pPr>
        <w:spacing w:line="288" w:lineRule="auto"/>
        <w:rPr>
          <w:rFonts w:ascii="Tahoma" w:hAnsi="Tahoma" w:cs="Tahoma"/>
          <w:sz w:val="24"/>
          <w:szCs w:val="24"/>
        </w:rPr>
      </w:pPr>
      <w:r w:rsidRPr="00C33789">
        <w:rPr>
          <w:rFonts w:ascii="Tahoma" w:hAnsi="Tahoma" w:cs="Tahoma"/>
          <w:sz w:val="24"/>
          <w:szCs w:val="24"/>
        </w:rPr>
        <w:t xml:space="preserve">Para llegar a tal determinación la Jueza de primer grado consideró que </w:t>
      </w:r>
      <w:r w:rsidR="00596F32" w:rsidRPr="00C33789">
        <w:rPr>
          <w:rFonts w:ascii="Tahoma" w:hAnsi="Tahoma" w:cs="Tahoma"/>
          <w:sz w:val="24"/>
          <w:szCs w:val="24"/>
        </w:rPr>
        <w:t xml:space="preserve">al existir prueba </w:t>
      </w:r>
      <w:r w:rsidR="00EB718B" w:rsidRPr="00C33789">
        <w:rPr>
          <w:rFonts w:ascii="Tahoma" w:hAnsi="Tahoma" w:cs="Tahoma"/>
          <w:sz w:val="24"/>
          <w:szCs w:val="24"/>
        </w:rPr>
        <w:t xml:space="preserve">en el plenario de que el señor Ernesto González Fernández funge en calidad de apoderado de la sociedad Telemark </w:t>
      </w:r>
      <w:proofErr w:type="spellStart"/>
      <w:r w:rsidR="00EB718B" w:rsidRPr="00C33789">
        <w:rPr>
          <w:rFonts w:ascii="Tahoma" w:hAnsi="Tahoma" w:cs="Tahoma"/>
          <w:sz w:val="24"/>
          <w:szCs w:val="24"/>
        </w:rPr>
        <w:t>Spain</w:t>
      </w:r>
      <w:proofErr w:type="spellEnd"/>
      <w:r w:rsidR="00EB718B" w:rsidRPr="00C33789">
        <w:rPr>
          <w:rFonts w:ascii="Tahoma" w:hAnsi="Tahoma" w:cs="Tahoma"/>
          <w:sz w:val="24"/>
          <w:szCs w:val="24"/>
        </w:rPr>
        <w:t xml:space="preserve"> S.L., únicamente respecto de Telemark </w:t>
      </w:r>
      <w:proofErr w:type="spellStart"/>
      <w:r w:rsidR="00EB718B" w:rsidRPr="00C33789">
        <w:rPr>
          <w:rFonts w:ascii="Tahoma" w:hAnsi="Tahoma" w:cs="Tahoma"/>
          <w:sz w:val="24"/>
          <w:szCs w:val="24"/>
        </w:rPr>
        <w:t>Spain</w:t>
      </w:r>
      <w:proofErr w:type="spellEnd"/>
      <w:r w:rsidR="00EB718B" w:rsidRPr="00C33789">
        <w:rPr>
          <w:rFonts w:ascii="Tahoma" w:hAnsi="Tahoma" w:cs="Tahoma"/>
          <w:sz w:val="24"/>
          <w:szCs w:val="24"/>
        </w:rPr>
        <w:t xml:space="preserve"> S.L. Sucursal Colombia Zona Franca Permanente Especial, </w:t>
      </w:r>
      <w:r w:rsidR="00F970ED" w:rsidRPr="00C33789">
        <w:rPr>
          <w:rFonts w:ascii="Tahoma" w:hAnsi="Tahoma" w:cs="Tahoma"/>
          <w:sz w:val="24"/>
          <w:szCs w:val="24"/>
        </w:rPr>
        <w:t>esto es, el establecimiento de comercio donde aduce la parte actora que prestó sus servicios, era procedente tenerla notificada a la sociedad matriz por conducta concluyente al encontrarse debidamente integrado al litigio su apoderado general, Ernesto González, quien según el poder conferido cuenta con la facultad de representar a la sociedad en juicios o controversias relacionados con los contratos de trabajo que se hayan ejecutado en la sucursal ubicada en este municipio.</w:t>
      </w:r>
    </w:p>
    <w:p w:rsidR="00F970ED" w:rsidRPr="00C33789" w:rsidRDefault="00F970ED" w:rsidP="00CD67E6">
      <w:pPr>
        <w:pStyle w:val="Sinespaciado"/>
        <w:spacing w:line="288" w:lineRule="auto"/>
        <w:rPr>
          <w:rFonts w:ascii="Tahoma" w:hAnsi="Tahoma" w:cs="Tahoma"/>
          <w:sz w:val="24"/>
          <w:szCs w:val="24"/>
        </w:rPr>
      </w:pPr>
    </w:p>
    <w:p w:rsidR="00F970ED" w:rsidRPr="00C33789" w:rsidRDefault="00F970ED" w:rsidP="00CD67E6">
      <w:pPr>
        <w:spacing w:line="288" w:lineRule="auto"/>
        <w:rPr>
          <w:rFonts w:ascii="Tahoma" w:hAnsi="Tahoma" w:cs="Tahoma"/>
          <w:sz w:val="24"/>
          <w:szCs w:val="24"/>
        </w:rPr>
      </w:pPr>
      <w:r w:rsidRPr="00C33789">
        <w:rPr>
          <w:rFonts w:ascii="Tahoma" w:hAnsi="Tahoma" w:cs="Tahoma"/>
          <w:sz w:val="24"/>
          <w:szCs w:val="24"/>
        </w:rPr>
        <w:t xml:space="preserve">Por último, indicó que no prosperaba la solicitud de nulidad relacionada con la falta de legitimación </w:t>
      </w:r>
      <w:r w:rsidR="007B6BBB" w:rsidRPr="00C33789">
        <w:rPr>
          <w:rFonts w:ascii="Tahoma" w:hAnsi="Tahoma" w:cs="Tahoma"/>
          <w:sz w:val="24"/>
          <w:szCs w:val="24"/>
        </w:rPr>
        <w:t>de la parte actora por no contar con poder</w:t>
      </w:r>
      <w:r w:rsidR="00401D5E" w:rsidRPr="00C33789">
        <w:rPr>
          <w:rFonts w:ascii="Tahoma" w:hAnsi="Tahoma" w:cs="Tahoma"/>
          <w:sz w:val="24"/>
          <w:szCs w:val="24"/>
        </w:rPr>
        <w:t xml:space="preserve"> para demandar a la sociedad Telemark </w:t>
      </w:r>
      <w:proofErr w:type="spellStart"/>
      <w:r w:rsidR="00401D5E" w:rsidRPr="00C33789">
        <w:rPr>
          <w:rFonts w:ascii="Tahoma" w:hAnsi="Tahoma" w:cs="Tahoma"/>
          <w:sz w:val="24"/>
          <w:szCs w:val="24"/>
        </w:rPr>
        <w:t>Spain</w:t>
      </w:r>
      <w:proofErr w:type="spellEnd"/>
      <w:r w:rsidR="00401D5E" w:rsidRPr="00C33789">
        <w:rPr>
          <w:rFonts w:ascii="Tahoma" w:hAnsi="Tahoma" w:cs="Tahoma"/>
          <w:sz w:val="24"/>
          <w:szCs w:val="24"/>
        </w:rPr>
        <w:t xml:space="preserve"> S.L., ya que esta sociedad fue tenida como demandada en razón a la medida de saneamiento realizada por el despacho.</w:t>
      </w:r>
    </w:p>
    <w:p w:rsidR="00433A4B" w:rsidRPr="00C33789" w:rsidRDefault="00433A4B" w:rsidP="00CD67E6">
      <w:pPr>
        <w:spacing w:line="288" w:lineRule="auto"/>
        <w:rPr>
          <w:rFonts w:ascii="Tahoma" w:hAnsi="Tahoma" w:cs="Tahoma"/>
          <w:sz w:val="24"/>
          <w:szCs w:val="24"/>
        </w:rPr>
      </w:pPr>
    </w:p>
    <w:p w:rsidR="00F26090" w:rsidRPr="00C33789" w:rsidRDefault="00F26090" w:rsidP="00CD67E6">
      <w:pPr>
        <w:spacing w:line="288" w:lineRule="auto"/>
        <w:jc w:val="left"/>
        <w:rPr>
          <w:rFonts w:ascii="Tahoma" w:hAnsi="Tahoma" w:cs="Tahoma"/>
          <w:sz w:val="24"/>
          <w:szCs w:val="24"/>
          <w:lang w:val="es-CO"/>
        </w:rPr>
      </w:pPr>
      <w:r w:rsidRPr="00C33789">
        <w:rPr>
          <w:rFonts w:ascii="Tahoma" w:hAnsi="Tahoma" w:cs="Tahoma"/>
          <w:b/>
          <w:bCs/>
          <w:sz w:val="24"/>
          <w:szCs w:val="24"/>
        </w:rPr>
        <w:t>1.4. Recurso de apelación</w:t>
      </w:r>
    </w:p>
    <w:p w:rsidR="00F5080E" w:rsidRPr="00C33789" w:rsidRDefault="00F5080E" w:rsidP="00CD67E6">
      <w:pPr>
        <w:pStyle w:val="Sinespaciado"/>
        <w:spacing w:line="288" w:lineRule="auto"/>
        <w:rPr>
          <w:rFonts w:ascii="Tahoma" w:hAnsi="Tahoma" w:cs="Tahoma"/>
          <w:sz w:val="24"/>
          <w:szCs w:val="24"/>
        </w:rPr>
      </w:pPr>
    </w:p>
    <w:p w:rsidR="00401D5E" w:rsidRPr="00C33789" w:rsidRDefault="00650E6F" w:rsidP="00CD67E6">
      <w:pPr>
        <w:spacing w:line="288" w:lineRule="auto"/>
        <w:rPr>
          <w:rFonts w:ascii="Tahoma" w:hAnsi="Tahoma" w:cs="Tahoma"/>
          <w:sz w:val="24"/>
          <w:szCs w:val="24"/>
          <w:lang w:val="es-CO"/>
        </w:rPr>
      </w:pPr>
      <w:r w:rsidRPr="00C33789">
        <w:rPr>
          <w:rFonts w:ascii="Tahoma" w:hAnsi="Tahoma" w:cs="Tahoma"/>
          <w:sz w:val="24"/>
          <w:szCs w:val="24"/>
          <w:lang w:val="es-CO"/>
        </w:rPr>
        <w:t xml:space="preserve">Contra esa decisión presentó recurso de </w:t>
      </w:r>
      <w:r w:rsidR="00401D5E" w:rsidRPr="00C33789">
        <w:rPr>
          <w:rFonts w:ascii="Tahoma" w:hAnsi="Tahoma" w:cs="Tahoma"/>
          <w:sz w:val="24"/>
          <w:szCs w:val="24"/>
          <w:lang w:val="es-CO"/>
        </w:rPr>
        <w:t xml:space="preserve">apelación la apoderada de </w:t>
      </w:r>
      <w:r w:rsidR="001E2848" w:rsidRPr="00C33789">
        <w:rPr>
          <w:rFonts w:ascii="Tahoma" w:hAnsi="Tahoma" w:cs="Tahoma"/>
          <w:sz w:val="24"/>
          <w:szCs w:val="24"/>
          <w:lang w:val="es-CO"/>
        </w:rPr>
        <w:t xml:space="preserve">la demandada, arguyendo que no era posible tener a su representada notificada por conducta concluyente en razón a que el poder conferido al señor Ernesto González Fernández se otorgó única y exclusivamente respecto de la sucursal, más respecto de Telemark </w:t>
      </w:r>
      <w:proofErr w:type="spellStart"/>
      <w:r w:rsidR="001E2848" w:rsidRPr="00C33789">
        <w:rPr>
          <w:rFonts w:ascii="Tahoma" w:hAnsi="Tahoma" w:cs="Tahoma"/>
          <w:sz w:val="24"/>
          <w:szCs w:val="24"/>
          <w:lang w:val="es-CO"/>
        </w:rPr>
        <w:t>Spain</w:t>
      </w:r>
      <w:proofErr w:type="spellEnd"/>
      <w:r w:rsidR="001E2848" w:rsidRPr="00C33789">
        <w:rPr>
          <w:rFonts w:ascii="Tahoma" w:hAnsi="Tahoma" w:cs="Tahoma"/>
          <w:sz w:val="24"/>
          <w:szCs w:val="24"/>
          <w:lang w:val="es-CO"/>
        </w:rPr>
        <w:t xml:space="preserve"> S.L., sociedad que además en momento alguno hizo manifestación verbal o escrita respecto del conocimiento de alguna providencia dictada en el proceso, por lo que se pasó por alto el precedente de esta Corporación, en el cual se ordenó la notificación personal de la sociedad</w:t>
      </w:r>
      <w:r w:rsidR="008205A7" w:rsidRPr="00C33789">
        <w:rPr>
          <w:rFonts w:ascii="Tahoma" w:hAnsi="Tahoma" w:cs="Tahoma"/>
          <w:sz w:val="24"/>
          <w:szCs w:val="24"/>
          <w:lang w:val="es-CO"/>
        </w:rPr>
        <w:t xml:space="preserve"> atendiendo lo dispuesto en los artículo 291 y 292 del Código General del Proceso.</w:t>
      </w:r>
    </w:p>
    <w:p w:rsidR="00CD43D5" w:rsidRPr="00C33789" w:rsidRDefault="00CD43D5" w:rsidP="00CD67E6">
      <w:pPr>
        <w:spacing w:line="288" w:lineRule="auto"/>
        <w:rPr>
          <w:rFonts w:ascii="Tahoma" w:hAnsi="Tahoma" w:cs="Tahoma"/>
          <w:sz w:val="24"/>
          <w:szCs w:val="24"/>
          <w:lang w:val="es-CO"/>
        </w:rPr>
      </w:pPr>
    </w:p>
    <w:p w:rsidR="00CD43D5" w:rsidRPr="00C33789" w:rsidRDefault="00CD43D5" w:rsidP="00CD67E6">
      <w:pPr>
        <w:spacing w:line="288" w:lineRule="auto"/>
        <w:ind w:firstLine="0"/>
        <w:jc w:val="center"/>
        <w:rPr>
          <w:rFonts w:ascii="Tahoma" w:hAnsi="Tahoma" w:cs="Tahoma"/>
          <w:b/>
          <w:sz w:val="24"/>
          <w:szCs w:val="24"/>
          <w:lang w:val="es-CO"/>
        </w:rPr>
      </w:pPr>
      <w:r w:rsidRPr="00C33789">
        <w:rPr>
          <w:rFonts w:ascii="Tahoma" w:hAnsi="Tahoma" w:cs="Tahoma"/>
          <w:b/>
          <w:sz w:val="24"/>
          <w:szCs w:val="24"/>
          <w:lang w:val="es-CO"/>
        </w:rPr>
        <w:t>CONSTANCIA</w:t>
      </w:r>
    </w:p>
    <w:p w:rsidR="00CD43D5" w:rsidRPr="00C33789" w:rsidRDefault="00CD43D5" w:rsidP="00CD67E6">
      <w:pPr>
        <w:spacing w:line="288" w:lineRule="auto"/>
        <w:jc w:val="center"/>
        <w:rPr>
          <w:rFonts w:ascii="Tahoma" w:hAnsi="Tahoma" w:cs="Tahoma"/>
          <w:b/>
          <w:sz w:val="24"/>
          <w:szCs w:val="24"/>
          <w:lang w:val="es-CO"/>
        </w:rPr>
      </w:pPr>
    </w:p>
    <w:p w:rsidR="00CD43D5" w:rsidRPr="00C33789" w:rsidRDefault="00CD43D5" w:rsidP="00CD67E6">
      <w:pPr>
        <w:spacing w:line="288" w:lineRule="auto"/>
        <w:rPr>
          <w:rFonts w:ascii="Tahoma" w:hAnsi="Tahoma" w:cs="Tahoma"/>
          <w:b/>
          <w:sz w:val="24"/>
          <w:szCs w:val="24"/>
          <w:lang w:val="es-CO"/>
        </w:rPr>
      </w:pPr>
      <w:r w:rsidRPr="00C33789">
        <w:rPr>
          <w:rFonts w:ascii="Tahoma" w:hAnsi="Tahoma" w:cs="Tahoma"/>
          <w:b/>
          <w:sz w:val="24"/>
          <w:szCs w:val="24"/>
          <w:lang w:val="es-CO"/>
        </w:rPr>
        <w:t>Se deja en el sentido de que no se avaló el proyecto inicialmente discutido, por lo que a continuación se presenta la tesis mayoritaria bajo la ponencia de la Dra. Olga Lucía Hoyos, a quien, por seguir en turno, le corresponde emitir</w:t>
      </w:r>
      <w:r w:rsidR="00F26090" w:rsidRPr="00C33789">
        <w:rPr>
          <w:rFonts w:ascii="Tahoma" w:hAnsi="Tahoma" w:cs="Tahoma"/>
          <w:b/>
          <w:sz w:val="24"/>
          <w:szCs w:val="24"/>
          <w:lang w:val="es-CO"/>
        </w:rPr>
        <w:t>la:</w:t>
      </w:r>
    </w:p>
    <w:p w:rsidR="00946B46" w:rsidRPr="00C33789" w:rsidRDefault="00FF34CF" w:rsidP="00CD67E6">
      <w:pPr>
        <w:spacing w:line="288" w:lineRule="auto"/>
        <w:rPr>
          <w:rFonts w:ascii="Tahoma" w:hAnsi="Tahoma" w:cs="Tahoma"/>
          <w:sz w:val="24"/>
          <w:szCs w:val="24"/>
          <w:lang w:val="es-CO"/>
        </w:rPr>
      </w:pPr>
      <w:r w:rsidRPr="00C33789">
        <w:rPr>
          <w:rFonts w:ascii="Tahoma" w:hAnsi="Tahoma" w:cs="Tahoma"/>
          <w:sz w:val="24"/>
          <w:szCs w:val="24"/>
          <w:lang w:val="es-CO"/>
        </w:rPr>
        <w:t xml:space="preserve"> </w:t>
      </w:r>
    </w:p>
    <w:p w:rsidR="00CD43D5" w:rsidRPr="00C33789" w:rsidRDefault="00F26090" w:rsidP="00CD67E6">
      <w:pPr>
        <w:pStyle w:val="Sinespaciado"/>
        <w:spacing w:line="288" w:lineRule="auto"/>
        <w:rPr>
          <w:rFonts w:ascii="Tahoma" w:hAnsi="Tahoma" w:cs="Tahoma"/>
          <w:sz w:val="24"/>
          <w:szCs w:val="24"/>
        </w:rPr>
      </w:pPr>
      <w:r w:rsidRPr="00C33789">
        <w:rPr>
          <w:rFonts w:ascii="Tahoma" w:hAnsi="Tahoma" w:cs="Tahoma"/>
          <w:b/>
          <w:sz w:val="24"/>
          <w:szCs w:val="24"/>
          <w:lang w:val="es-CO"/>
        </w:rPr>
        <w:t>1.</w:t>
      </w:r>
      <w:r w:rsidRPr="00C33789">
        <w:rPr>
          <w:rFonts w:ascii="Tahoma" w:hAnsi="Tahoma" w:cs="Tahoma"/>
          <w:sz w:val="24"/>
          <w:szCs w:val="24"/>
        </w:rPr>
        <w:t xml:space="preserve"> Efectuado</w:t>
      </w:r>
      <w:r w:rsidR="00CD43D5" w:rsidRPr="00C33789">
        <w:rPr>
          <w:rFonts w:ascii="Tahoma" w:hAnsi="Tahoma" w:cs="Tahoma"/>
          <w:sz w:val="24"/>
          <w:szCs w:val="24"/>
        </w:rPr>
        <w:t xml:space="preserve"> el examen preliminar respecto de la alzada formulada contra del auto proferido el 21 de agosto de 2019 por el Juzgado Segundo Laboral del Circuito de Pereira, se advierte que no se </w:t>
      </w:r>
      <w:r w:rsidR="00CD43D5" w:rsidRPr="00C33789">
        <w:rPr>
          <w:rFonts w:ascii="Tahoma" w:hAnsi="Tahoma" w:cs="Tahoma"/>
          <w:sz w:val="24"/>
          <w:szCs w:val="24"/>
          <w:lang w:val="es-CO"/>
        </w:rPr>
        <w:t>satisfacen</w:t>
      </w:r>
      <w:r w:rsidR="00CD43D5" w:rsidRPr="00C33789">
        <w:rPr>
          <w:rFonts w:ascii="Tahoma" w:hAnsi="Tahoma" w:cs="Tahoma"/>
          <w:sz w:val="24"/>
          <w:szCs w:val="24"/>
        </w:rPr>
        <w:t xml:space="preserve"> los presupuestos de viabilidad para impugnar una decisión, así llamados por la doctrina nacional. </w:t>
      </w:r>
      <w:r w:rsidR="00CD43D5" w:rsidRPr="00C33789">
        <w:rPr>
          <w:rFonts w:ascii="Tahoma" w:eastAsia="Calibri" w:hAnsi="Tahoma" w:cs="Tahoma"/>
          <w:sz w:val="24"/>
          <w:szCs w:val="24"/>
        </w:rPr>
        <w:t xml:space="preserve">  </w:t>
      </w:r>
    </w:p>
    <w:p w:rsidR="00CD43D5" w:rsidRPr="00C33789" w:rsidRDefault="00CD43D5" w:rsidP="00CD67E6">
      <w:pPr>
        <w:pStyle w:val="Sinespaciado"/>
        <w:spacing w:line="288" w:lineRule="auto"/>
        <w:rPr>
          <w:rFonts w:ascii="Tahoma" w:hAnsi="Tahoma" w:cs="Tahoma"/>
          <w:sz w:val="24"/>
          <w:szCs w:val="24"/>
        </w:rPr>
      </w:pPr>
    </w:p>
    <w:p w:rsidR="00CD43D5" w:rsidRPr="00C33789" w:rsidRDefault="00CD43D5" w:rsidP="00CD67E6">
      <w:pPr>
        <w:pStyle w:val="Sinespaciado"/>
        <w:spacing w:line="288" w:lineRule="auto"/>
        <w:rPr>
          <w:rFonts w:ascii="Tahoma" w:hAnsi="Tahoma" w:cs="Tahoma"/>
          <w:sz w:val="24"/>
          <w:szCs w:val="24"/>
        </w:rPr>
      </w:pPr>
      <w:r w:rsidRPr="00C33789">
        <w:rPr>
          <w:rFonts w:ascii="Tahoma" w:hAnsi="Tahoma" w:cs="Tahoma"/>
          <w:b/>
          <w:sz w:val="24"/>
          <w:szCs w:val="24"/>
        </w:rPr>
        <w:lastRenderedPageBreak/>
        <w:t>2.</w:t>
      </w:r>
      <w:r w:rsidRPr="00C33789">
        <w:rPr>
          <w:rFonts w:ascii="Tahoma" w:hAnsi="Tahoma" w:cs="Tahoma"/>
          <w:sz w:val="24"/>
          <w:szCs w:val="24"/>
        </w:rPr>
        <w:t xml:space="preserve"> Estos consisten en exigencias formales que satisfechas permiten tramitar los recursos; requisitos que son concurrentes, en tanto que al carecer de alguno de ellos, se impide la decisión de la impugnación.</w:t>
      </w:r>
    </w:p>
    <w:p w:rsidR="00CD43D5" w:rsidRPr="00C33789" w:rsidRDefault="00CD43D5" w:rsidP="00CD67E6">
      <w:pPr>
        <w:spacing w:line="288" w:lineRule="auto"/>
        <w:rPr>
          <w:rFonts w:ascii="Tahoma" w:hAnsi="Tahoma" w:cs="Tahoma"/>
          <w:sz w:val="24"/>
          <w:szCs w:val="24"/>
        </w:rPr>
      </w:pPr>
      <w:r w:rsidRPr="00C33789">
        <w:rPr>
          <w:rFonts w:ascii="Tahoma" w:hAnsi="Tahoma" w:cs="Tahoma"/>
          <w:sz w:val="24"/>
          <w:szCs w:val="24"/>
        </w:rPr>
        <w:t xml:space="preserve"> </w:t>
      </w:r>
    </w:p>
    <w:p w:rsidR="00CD43D5" w:rsidRPr="00C33789" w:rsidRDefault="00CD43D5" w:rsidP="00CD67E6">
      <w:pPr>
        <w:spacing w:line="288" w:lineRule="auto"/>
        <w:rPr>
          <w:rFonts w:ascii="Tahoma" w:hAnsi="Tahoma" w:cs="Tahoma"/>
          <w:sz w:val="24"/>
          <w:szCs w:val="24"/>
        </w:rPr>
      </w:pPr>
      <w:r w:rsidRPr="00C33789">
        <w:rPr>
          <w:rFonts w:ascii="Tahoma" w:hAnsi="Tahoma" w:cs="Tahoma"/>
          <w:b/>
          <w:sz w:val="24"/>
          <w:szCs w:val="24"/>
        </w:rPr>
        <w:t>3.</w:t>
      </w:r>
      <w:r w:rsidRPr="00C33789">
        <w:rPr>
          <w:rFonts w:ascii="Tahoma" w:hAnsi="Tahoma" w:cs="Tahoma"/>
          <w:sz w:val="24"/>
          <w:szCs w:val="24"/>
        </w:rPr>
        <w:t xml:space="preserve"> Así, en materia laboral para que se pueda conceder por el juez de primer nivel el recurso de apelación, luego admitirlo y decidirlo por el superior, es necesario que concurran los siguientes requisitos: </w:t>
      </w:r>
      <w:r w:rsidRPr="00C33789">
        <w:rPr>
          <w:rFonts w:ascii="Tahoma" w:hAnsi="Tahoma" w:cs="Tahoma"/>
          <w:b/>
          <w:sz w:val="24"/>
          <w:szCs w:val="24"/>
        </w:rPr>
        <w:t>a)</w:t>
      </w:r>
      <w:r w:rsidRPr="00C33789">
        <w:rPr>
          <w:rFonts w:ascii="Tahoma" w:hAnsi="Tahoma" w:cs="Tahoma"/>
          <w:sz w:val="24"/>
          <w:szCs w:val="24"/>
        </w:rPr>
        <w:t xml:space="preserve"> capacidad para interponer el recurso, </w:t>
      </w:r>
      <w:r w:rsidRPr="00C33789">
        <w:rPr>
          <w:rFonts w:ascii="Tahoma" w:hAnsi="Tahoma" w:cs="Tahoma"/>
          <w:b/>
          <w:sz w:val="24"/>
          <w:szCs w:val="24"/>
        </w:rPr>
        <w:t>b)</w:t>
      </w:r>
      <w:r w:rsidRPr="00C33789">
        <w:rPr>
          <w:rFonts w:ascii="Tahoma" w:hAnsi="Tahoma" w:cs="Tahoma"/>
          <w:sz w:val="24"/>
          <w:szCs w:val="24"/>
        </w:rPr>
        <w:t xml:space="preserve"> interés para recurrir; </w:t>
      </w:r>
      <w:r w:rsidRPr="00C33789">
        <w:rPr>
          <w:rFonts w:ascii="Tahoma" w:hAnsi="Tahoma" w:cs="Tahoma"/>
          <w:b/>
          <w:sz w:val="24"/>
          <w:szCs w:val="24"/>
        </w:rPr>
        <w:t>c)</w:t>
      </w:r>
      <w:r w:rsidRPr="00C33789">
        <w:rPr>
          <w:rFonts w:ascii="Tahoma" w:hAnsi="Tahoma" w:cs="Tahoma"/>
          <w:sz w:val="24"/>
          <w:szCs w:val="24"/>
        </w:rPr>
        <w:t xml:space="preserve"> oportunidad, </w:t>
      </w:r>
      <w:r w:rsidRPr="00C33789">
        <w:rPr>
          <w:rFonts w:ascii="Tahoma" w:hAnsi="Tahoma" w:cs="Tahoma"/>
          <w:b/>
          <w:sz w:val="24"/>
          <w:szCs w:val="24"/>
        </w:rPr>
        <w:t>d)</w:t>
      </w:r>
      <w:r w:rsidRPr="00C33789">
        <w:rPr>
          <w:rFonts w:ascii="Tahoma" w:hAnsi="Tahoma" w:cs="Tahoma"/>
          <w:sz w:val="24"/>
          <w:szCs w:val="24"/>
        </w:rPr>
        <w:t xml:space="preserve"> procedencia; </w:t>
      </w:r>
      <w:r w:rsidRPr="00C33789">
        <w:rPr>
          <w:rFonts w:ascii="Tahoma" w:hAnsi="Tahoma" w:cs="Tahoma"/>
          <w:b/>
          <w:sz w:val="24"/>
          <w:szCs w:val="24"/>
        </w:rPr>
        <w:t>e)</w:t>
      </w:r>
      <w:r w:rsidRPr="00C33789">
        <w:rPr>
          <w:rFonts w:ascii="Tahoma" w:hAnsi="Tahoma" w:cs="Tahoma"/>
          <w:sz w:val="24"/>
          <w:szCs w:val="24"/>
        </w:rPr>
        <w:t xml:space="preserve"> sustentación y </w:t>
      </w:r>
      <w:r w:rsidRPr="00C33789">
        <w:rPr>
          <w:rFonts w:ascii="Tahoma" w:hAnsi="Tahoma" w:cs="Tahoma"/>
          <w:b/>
          <w:sz w:val="24"/>
          <w:szCs w:val="24"/>
        </w:rPr>
        <w:t>f)</w:t>
      </w:r>
      <w:r w:rsidRPr="00C33789">
        <w:rPr>
          <w:rFonts w:ascii="Tahoma" w:hAnsi="Tahoma" w:cs="Tahoma"/>
          <w:sz w:val="24"/>
          <w:szCs w:val="24"/>
        </w:rPr>
        <w:t xml:space="preserve"> observancia de ciertas cargas procesales (artículos 15, literal b) </w:t>
      </w:r>
      <w:proofErr w:type="spellStart"/>
      <w:r w:rsidRPr="00C33789">
        <w:rPr>
          <w:rFonts w:ascii="Tahoma" w:hAnsi="Tahoma" w:cs="Tahoma"/>
          <w:sz w:val="24"/>
          <w:szCs w:val="24"/>
        </w:rPr>
        <w:t>num</w:t>
      </w:r>
      <w:proofErr w:type="spellEnd"/>
      <w:r w:rsidRPr="00C33789">
        <w:rPr>
          <w:rFonts w:ascii="Tahoma" w:hAnsi="Tahoma" w:cs="Tahoma"/>
          <w:sz w:val="24"/>
          <w:szCs w:val="24"/>
        </w:rPr>
        <w:t xml:space="preserve">. 1; 65 y 66 del </w:t>
      </w:r>
      <w:proofErr w:type="spellStart"/>
      <w:r w:rsidRPr="00C33789">
        <w:rPr>
          <w:rFonts w:ascii="Tahoma" w:hAnsi="Tahoma" w:cs="Tahoma"/>
          <w:sz w:val="24"/>
          <w:szCs w:val="24"/>
        </w:rPr>
        <w:t>CPTSS</w:t>
      </w:r>
      <w:proofErr w:type="spellEnd"/>
      <w:r w:rsidRPr="00C33789">
        <w:rPr>
          <w:rFonts w:ascii="Tahoma" w:hAnsi="Tahoma" w:cs="Tahoma"/>
          <w:sz w:val="24"/>
          <w:szCs w:val="24"/>
        </w:rPr>
        <w:t>).</w:t>
      </w:r>
    </w:p>
    <w:p w:rsidR="00CD43D5" w:rsidRPr="00C33789" w:rsidRDefault="00CD43D5" w:rsidP="00CD67E6">
      <w:pPr>
        <w:spacing w:line="288" w:lineRule="auto"/>
        <w:rPr>
          <w:rFonts w:ascii="Tahoma" w:hAnsi="Tahoma" w:cs="Tahoma"/>
          <w:sz w:val="24"/>
          <w:szCs w:val="24"/>
        </w:rPr>
      </w:pPr>
    </w:p>
    <w:p w:rsidR="00CD43D5" w:rsidRPr="00C33789" w:rsidRDefault="00CD43D5" w:rsidP="00CD67E6">
      <w:pPr>
        <w:spacing w:line="288" w:lineRule="auto"/>
        <w:rPr>
          <w:rFonts w:ascii="Tahoma" w:hAnsi="Tahoma" w:cs="Tahoma"/>
          <w:sz w:val="24"/>
          <w:szCs w:val="24"/>
        </w:rPr>
      </w:pPr>
      <w:r w:rsidRPr="00C33789">
        <w:rPr>
          <w:rFonts w:ascii="Tahoma" w:hAnsi="Tahoma" w:cs="Tahoma"/>
          <w:b/>
          <w:sz w:val="24"/>
          <w:szCs w:val="24"/>
        </w:rPr>
        <w:t>4.</w:t>
      </w:r>
      <w:r w:rsidRPr="00C33789">
        <w:rPr>
          <w:rFonts w:ascii="Tahoma" w:hAnsi="Tahoma" w:cs="Tahoma"/>
          <w:sz w:val="24"/>
          <w:szCs w:val="24"/>
        </w:rPr>
        <w:t xml:space="preserve"> De estos, se observa que para el caso de ahora se incumple con el primero, dado que la apoderada judicial que impugnó el auto que negó la nulidad por indebida representación y notificación –</w:t>
      </w:r>
      <w:proofErr w:type="spellStart"/>
      <w:r w:rsidRPr="00C33789">
        <w:rPr>
          <w:rFonts w:ascii="Tahoma" w:hAnsi="Tahoma" w:cs="Tahoma"/>
          <w:sz w:val="24"/>
          <w:szCs w:val="24"/>
        </w:rPr>
        <w:t>Yully</w:t>
      </w:r>
      <w:proofErr w:type="spellEnd"/>
      <w:r w:rsidRPr="00C33789">
        <w:rPr>
          <w:rFonts w:ascii="Tahoma" w:hAnsi="Tahoma" w:cs="Tahoma"/>
          <w:sz w:val="24"/>
          <w:szCs w:val="24"/>
        </w:rPr>
        <w:t xml:space="preserve"> Patricia Suárez Arévalo- carece de poder para representar judicialmente a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w:t>
      </w:r>
      <w:proofErr w:type="spellStart"/>
      <w:r w:rsidRPr="00C33789">
        <w:rPr>
          <w:rFonts w:ascii="Tahoma" w:hAnsi="Tahoma" w:cs="Tahoma"/>
          <w:sz w:val="24"/>
          <w:szCs w:val="24"/>
        </w:rPr>
        <w:t>SL</w:t>
      </w:r>
      <w:proofErr w:type="spellEnd"/>
      <w:r w:rsidRPr="00C33789">
        <w:rPr>
          <w:rFonts w:ascii="Tahoma" w:hAnsi="Tahoma" w:cs="Tahoma"/>
          <w:sz w:val="24"/>
          <w:szCs w:val="24"/>
        </w:rPr>
        <w:t xml:space="preserve">, que constituye la parte pasiva atendiendo lo expuesto en el proveído del </w:t>
      </w:r>
      <w:r w:rsidR="00433A4B" w:rsidRPr="00C33789">
        <w:rPr>
          <w:rFonts w:ascii="Tahoma" w:hAnsi="Tahoma" w:cs="Tahoma"/>
          <w:sz w:val="24"/>
          <w:szCs w:val="24"/>
        </w:rPr>
        <w:t>10/04</w:t>
      </w:r>
      <w:r w:rsidRPr="00C33789">
        <w:rPr>
          <w:rFonts w:ascii="Tahoma" w:hAnsi="Tahoma" w:cs="Tahoma"/>
          <w:sz w:val="24"/>
          <w:szCs w:val="24"/>
        </w:rPr>
        <w:t>/2019 –</w:t>
      </w:r>
      <w:proofErr w:type="spellStart"/>
      <w:r w:rsidRPr="00C33789">
        <w:rPr>
          <w:rFonts w:ascii="Tahoma" w:hAnsi="Tahoma" w:cs="Tahoma"/>
          <w:sz w:val="24"/>
          <w:szCs w:val="24"/>
        </w:rPr>
        <w:t>fls.</w:t>
      </w:r>
      <w:r w:rsidR="00433A4B" w:rsidRPr="00C33789">
        <w:rPr>
          <w:rFonts w:ascii="Tahoma" w:hAnsi="Tahoma" w:cs="Tahoma"/>
          <w:sz w:val="24"/>
          <w:szCs w:val="24"/>
        </w:rPr>
        <w:t>102</w:t>
      </w:r>
      <w:proofErr w:type="spellEnd"/>
      <w:r w:rsidR="00433A4B" w:rsidRPr="00C33789">
        <w:rPr>
          <w:rFonts w:ascii="Tahoma" w:hAnsi="Tahoma" w:cs="Tahoma"/>
          <w:sz w:val="24"/>
          <w:szCs w:val="24"/>
        </w:rPr>
        <w:t xml:space="preserve"> A 106</w:t>
      </w:r>
      <w:r w:rsidRPr="00C33789">
        <w:rPr>
          <w:rFonts w:ascii="Tahoma" w:hAnsi="Tahoma" w:cs="Tahoma"/>
          <w:sz w:val="24"/>
          <w:szCs w:val="24"/>
        </w:rPr>
        <w:t xml:space="preserve"> c. 1-, si en cuenta se tiene que el único poder que esta recibió fue para defender los intereses de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w:t>
      </w:r>
      <w:proofErr w:type="spellStart"/>
      <w:r w:rsidRPr="00C33789">
        <w:rPr>
          <w:rFonts w:ascii="Tahoma" w:hAnsi="Tahoma" w:cs="Tahoma"/>
          <w:sz w:val="24"/>
          <w:szCs w:val="24"/>
        </w:rPr>
        <w:t>SL</w:t>
      </w:r>
      <w:proofErr w:type="spellEnd"/>
      <w:r w:rsidRPr="00C33789">
        <w:rPr>
          <w:rFonts w:ascii="Tahoma" w:hAnsi="Tahoma" w:cs="Tahoma"/>
          <w:sz w:val="24"/>
          <w:szCs w:val="24"/>
        </w:rPr>
        <w:t xml:space="preserve"> Sucursal Colombia, contra quien se enfiló inicialmente la demanda, poder conferido por Ernesto González Fernández mediante la escritura pública 3271 del 10-05-2018 –</w:t>
      </w:r>
      <w:proofErr w:type="spellStart"/>
      <w:r w:rsidRPr="00C33789">
        <w:rPr>
          <w:rFonts w:ascii="Tahoma" w:hAnsi="Tahoma" w:cs="Tahoma"/>
          <w:sz w:val="24"/>
          <w:szCs w:val="24"/>
        </w:rPr>
        <w:t>fls</w:t>
      </w:r>
      <w:proofErr w:type="spellEnd"/>
      <w:r w:rsidRPr="00C33789">
        <w:rPr>
          <w:rFonts w:ascii="Tahoma" w:hAnsi="Tahoma" w:cs="Tahoma"/>
          <w:sz w:val="24"/>
          <w:szCs w:val="24"/>
        </w:rPr>
        <w:t xml:space="preserve">. </w:t>
      </w:r>
      <w:r w:rsidR="00433A4B" w:rsidRPr="00C33789">
        <w:rPr>
          <w:rFonts w:ascii="Tahoma" w:hAnsi="Tahoma" w:cs="Tahoma"/>
          <w:sz w:val="24"/>
          <w:szCs w:val="24"/>
        </w:rPr>
        <w:t>43 A 47</w:t>
      </w:r>
      <w:r w:rsidRPr="00C33789">
        <w:rPr>
          <w:rFonts w:ascii="Tahoma" w:hAnsi="Tahoma" w:cs="Tahoma"/>
          <w:sz w:val="24"/>
          <w:szCs w:val="24"/>
        </w:rPr>
        <w:t xml:space="preserve"> c. 1 -, en el que se determinaron los asuntos encomendados a </w:t>
      </w:r>
      <w:proofErr w:type="spellStart"/>
      <w:r w:rsidRPr="00C33789">
        <w:rPr>
          <w:rFonts w:ascii="Tahoma" w:hAnsi="Tahoma" w:cs="Tahoma"/>
          <w:sz w:val="24"/>
          <w:szCs w:val="24"/>
        </w:rPr>
        <w:t>Yully</w:t>
      </w:r>
      <w:proofErr w:type="spellEnd"/>
      <w:r w:rsidRPr="00C33789">
        <w:rPr>
          <w:rFonts w:ascii="Tahoma" w:hAnsi="Tahoma" w:cs="Tahoma"/>
          <w:sz w:val="24"/>
          <w:szCs w:val="24"/>
        </w:rPr>
        <w:t xml:space="preserve"> Patricia Suárez Arévalo, entre ellos, que se notifique personalmente de cualquier acción judicial, conteste directamente o confiera poder especial a tercero, siempre actuando en nombre y representación de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w:t>
      </w:r>
      <w:proofErr w:type="spellStart"/>
      <w:r w:rsidRPr="00C33789">
        <w:rPr>
          <w:rFonts w:ascii="Tahoma" w:hAnsi="Tahoma" w:cs="Tahoma"/>
          <w:sz w:val="24"/>
          <w:szCs w:val="24"/>
        </w:rPr>
        <w:t>SL</w:t>
      </w:r>
      <w:proofErr w:type="spellEnd"/>
      <w:r w:rsidRPr="00C33789">
        <w:rPr>
          <w:rFonts w:ascii="Tahoma" w:hAnsi="Tahoma" w:cs="Tahoma"/>
          <w:sz w:val="24"/>
          <w:szCs w:val="24"/>
        </w:rPr>
        <w:t xml:space="preserve"> Sucursal Colombia, nombre con el que se identifica el establecimiento de comercio de propiedad de la Sociedad Extrajera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w:t>
      </w:r>
      <w:proofErr w:type="spellStart"/>
      <w:r w:rsidRPr="00C33789">
        <w:rPr>
          <w:rFonts w:ascii="Tahoma" w:hAnsi="Tahoma" w:cs="Tahoma"/>
          <w:sz w:val="24"/>
          <w:szCs w:val="24"/>
        </w:rPr>
        <w:t>SL</w:t>
      </w:r>
      <w:proofErr w:type="spellEnd"/>
      <w:r w:rsidRPr="00C33789">
        <w:rPr>
          <w:rFonts w:ascii="Tahoma" w:hAnsi="Tahoma" w:cs="Tahoma"/>
          <w:sz w:val="24"/>
          <w:szCs w:val="24"/>
        </w:rPr>
        <w:t>.</w:t>
      </w:r>
    </w:p>
    <w:p w:rsidR="00433A4B" w:rsidRPr="00C33789" w:rsidRDefault="00433A4B" w:rsidP="00CD67E6">
      <w:pPr>
        <w:spacing w:line="288" w:lineRule="auto"/>
        <w:rPr>
          <w:rFonts w:ascii="Tahoma" w:hAnsi="Tahoma" w:cs="Tahoma"/>
          <w:sz w:val="24"/>
          <w:szCs w:val="24"/>
        </w:rPr>
      </w:pPr>
    </w:p>
    <w:p w:rsidR="00CD43D5" w:rsidRPr="00C33789" w:rsidRDefault="00CD43D5" w:rsidP="00CD67E6">
      <w:pPr>
        <w:tabs>
          <w:tab w:val="left" w:pos="2310"/>
        </w:tabs>
        <w:spacing w:line="288" w:lineRule="auto"/>
        <w:rPr>
          <w:rFonts w:ascii="Tahoma" w:hAnsi="Tahoma" w:cs="Tahoma"/>
          <w:sz w:val="24"/>
          <w:szCs w:val="24"/>
          <w:lang w:val="es-ES_tradnl"/>
        </w:rPr>
      </w:pPr>
      <w:r w:rsidRPr="00C33789">
        <w:rPr>
          <w:rFonts w:ascii="Tahoma" w:hAnsi="Tahoma" w:cs="Tahoma"/>
          <w:b/>
          <w:sz w:val="24"/>
          <w:szCs w:val="24"/>
        </w:rPr>
        <w:t>5.</w:t>
      </w:r>
      <w:r w:rsidRPr="00C33789">
        <w:rPr>
          <w:rFonts w:ascii="Tahoma" w:hAnsi="Tahoma" w:cs="Tahoma"/>
          <w:sz w:val="24"/>
          <w:szCs w:val="24"/>
        </w:rPr>
        <w:t xml:space="preserve"> Por lo mismo, no puede entenderse que la representación judicial otorgada a la doctora Suárez Arévalo respecto de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w:t>
      </w:r>
      <w:proofErr w:type="spellStart"/>
      <w:r w:rsidRPr="00C33789">
        <w:rPr>
          <w:rFonts w:ascii="Tahoma" w:hAnsi="Tahoma" w:cs="Tahoma"/>
          <w:sz w:val="24"/>
          <w:szCs w:val="24"/>
        </w:rPr>
        <w:t>SL</w:t>
      </w:r>
      <w:proofErr w:type="spellEnd"/>
      <w:r w:rsidRPr="00C33789">
        <w:rPr>
          <w:rFonts w:ascii="Tahoma" w:hAnsi="Tahoma" w:cs="Tahoma"/>
          <w:sz w:val="24"/>
          <w:szCs w:val="24"/>
        </w:rPr>
        <w:t xml:space="preserve"> Sucursal Colombia, se extienda sin más a la aludida Sociedad Extrajera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w:t>
      </w:r>
      <w:proofErr w:type="spellStart"/>
      <w:r w:rsidRPr="00C33789">
        <w:rPr>
          <w:rFonts w:ascii="Tahoma" w:hAnsi="Tahoma" w:cs="Tahoma"/>
          <w:sz w:val="24"/>
          <w:szCs w:val="24"/>
        </w:rPr>
        <w:t>SL</w:t>
      </w:r>
      <w:proofErr w:type="spellEnd"/>
      <w:r w:rsidRPr="00C33789">
        <w:rPr>
          <w:rFonts w:ascii="Tahoma" w:hAnsi="Tahoma" w:cs="Tahoma"/>
          <w:sz w:val="24"/>
          <w:szCs w:val="24"/>
        </w:rPr>
        <w:t xml:space="preserve">, muy a pesar de tener el poderdante – Ernesto González Fernández - también facultades para representar a la sociedad extranjera, según el poder otorgado en la Escritura Pública No. 482 del 7-04-2015 – </w:t>
      </w:r>
      <w:proofErr w:type="spellStart"/>
      <w:r w:rsidRPr="00C33789">
        <w:rPr>
          <w:rFonts w:ascii="Tahoma" w:hAnsi="Tahoma" w:cs="Tahoma"/>
          <w:sz w:val="24"/>
          <w:szCs w:val="24"/>
        </w:rPr>
        <w:t>fls</w:t>
      </w:r>
      <w:proofErr w:type="spellEnd"/>
      <w:r w:rsidRPr="00C33789">
        <w:rPr>
          <w:rFonts w:ascii="Tahoma" w:hAnsi="Tahoma" w:cs="Tahoma"/>
          <w:sz w:val="24"/>
          <w:szCs w:val="24"/>
        </w:rPr>
        <w:t xml:space="preserve">. </w:t>
      </w:r>
      <w:r w:rsidR="00D5140D" w:rsidRPr="00C33789">
        <w:rPr>
          <w:rFonts w:ascii="Tahoma" w:hAnsi="Tahoma" w:cs="Tahoma"/>
          <w:sz w:val="24"/>
          <w:szCs w:val="24"/>
        </w:rPr>
        <w:t>36</w:t>
      </w:r>
      <w:r w:rsidRPr="00C33789">
        <w:rPr>
          <w:rFonts w:ascii="Tahoma" w:hAnsi="Tahoma" w:cs="Tahoma"/>
          <w:sz w:val="24"/>
          <w:szCs w:val="24"/>
        </w:rPr>
        <w:t xml:space="preserve"> vto. c. 1-, vigente según la nota respectiva que data del 20-04-2018</w:t>
      </w:r>
      <w:r w:rsidR="00D5140D" w:rsidRPr="00C33789">
        <w:rPr>
          <w:rFonts w:ascii="Tahoma" w:hAnsi="Tahoma" w:cs="Tahoma"/>
          <w:sz w:val="24"/>
          <w:szCs w:val="24"/>
        </w:rPr>
        <w:t xml:space="preserve"> – </w:t>
      </w:r>
      <w:proofErr w:type="spellStart"/>
      <w:r w:rsidR="00D5140D" w:rsidRPr="00C33789">
        <w:rPr>
          <w:rFonts w:ascii="Tahoma" w:hAnsi="Tahoma" w:cs="Tahoma"/>
          <w:sz w:val="24"/>
          <w:szCs w:val="24"/>
        </w:rPr>
        <w:t>fl</w:t>
      </w:r>
      <w:proofErr w:type="spellEnd"/>
      <w:r w:rsidR="00D5140D" w:rsidRPr="00C33789">
        <w:rPr>
          <w:rFonts w:ascii="Tahoma" w:hAnsi="Tahoma" w:cs="Tahoma"/>
          <w:sz w:val="24"/>
          <w:szCs w:val="24"/>
        </w:rPr>
        <w:t>. 45</w:t>
      </w:r>
      <w:r w:rsidRPr="00C33789">
        <w:rPr>
          <w:rFonts w:ascii="Tahoma" w:hAnsi="Tahoma" w:cs="Tahoma"/>
          <w:sz w:val="24"/>
          <w:szCs w:val="24"/>
        </w:rPr>
        <w:t xml:space="preserve"> c. 1-, máxime que no aparece inscrito en el certificado de la cámara de comercio su revocatoria como lo obliga el art. 843 del </w:t>
      </w:r>
      <w:proofErr w:type="spellStart"/>
      <w:r w:rsidRPr="00C33789">
        <w:rPr>
          <w:rFonts w:ascii="Tahoma" w:hAnsi="Tahoma" w:cs="Tahoma"/>
          <w:sz w:val="24"/>
          <w:szCs w:val="24"/>
        </w:rPr>
        <w:t>C.Co</w:t>
      </w:r>
      <w:proofErr w:type="spellEnd"/>
      <w:r w:rsidRPr="00C33789">
        <w:rPr>
          <w:rFonts w:ascii="Tahoma" w:hAnsi="Tahoma" w:cs="Tahoma"/>
          <w:sz w:val="24"/>
          <w:szCs w:val="24"/>
        </w:rPr>
        <w:t xml:space="preserve"> en concordancia con la Circular Única de la Superintendencia de Industria y Comercio; y mucho menos por el error en el que incurrió el juzgado de instancia al reconocer personaría a la doctora Suárez Arévalo en el auto del </w:t>
      </w:r>
      <w:r w:rsidR="00032B1E" w:rsidRPr="00C33789">
        <w:rPr>
          <w:rFonts w:ascii="Tahoma" w:hAnsi="Tahoma" w:cs="Tahoma"/>
          <w:sz w:val="24"/>
          <w:szCs w:val="24"/>
        </w:rPr>
        <w:t>10/04/2019</w:t>
      </w:r>
      <w:r w:rsidRPr="00C33789">
        <w:rPr>
          <w:rFonts w:ascii="Tahoma" w:hAnsi="Tahoma" w:cs="Tahoma"/>
          <w:sz w:val="24"/>
          <w:szCs w:val="24"/>
        </w:rPr>
        <w:t xml:space="preserve"> –</w:t>
      </w:r>
      <w:proofErr w:type="spellStart"/>
      <w:r w:rsidRPr="00C33789">
        <w:rPr>
          <w:rFonts w:ascii="Tahoma" w:hAnsi="Tahoma" w:cs="Tahoma"/>
          <w:sz w:val="24"/>
          <w:szCs w:val="24"/>
        </w:rPr>
        <w:t>fls.</w:t>
      </w:r>
      <w:r w:rsidR="00032B1E" w:rsidRPr="00C33789">
        <w:rPr>
          <w:rFonts w:ascii="Tahoma" w:hAnsi="Tahoma" w:cs="Tahoma"/>
          <w:sz w:val="24"/>
          <w:szCs w:val="24"/>
        </w:rPr>
        <w:t>102</w:t>
      </w:r>
      <w:proofErr w:type="spellEnd"/>
      <w:r w:rsidR="00032B1E" w:rsidRPr="00C33789">
        <w:rPr>
          <w:rFonts w:ascii="Tahoma" w:hAnsi="Tahoma" w:cs="Tahoma"/>
          <w:sz w:val="24"/>
          <w:szCs w:val="24"/>
        </w:rPr>
        <w:t xml:space="preserve"> A 106</w:t>
      </w:r>
      <w:r w:rsidRPr="00C33789">
        <w:rPr>
          <w:rFonts w:ascii="Tahoma" w:hAnsi="Tahoma" w:cs="Tahoma"/>
          <w:sz w:val="24"/>
          <w:szCs w:val="24"/>
        </w:rPr>
        <w:t xml:space="preserve"> c. 1-, para representar los intereses de la sociedad Telemark </w:t>
      </w:r>
      <w:proofErr w:type="spellStart"/>
      <w:r w:rsidRPr="00C33789">
        <w:rPr>
          <w:rFonts w:ascii="Tahoma" w:hAnsi="Tahoma" w:cs="Tahoma"/>
          <w:sz w:val="24"/>
          <w:szCs w:val="24"/>
        </w:rPr>
        <w:t>Spain</w:t>
      </w:r>
      <w:proofErr w:type="spellEnd"/>
      <w:r w:rsidRPr="00C33789">
        <w:rPr>
          <w:rFonts w:ascii="Tahoma" w:hAnsi="Tahoma" w:cs="Tahoma"/>
          <w:sz w:val="24"/>
          <w:szCs w:val="24"/>
        </w:rPr>
        <w:t xml:space="preserve"> </w:t>
      </w:r>
      <w:proofErr w:type="spellStart"/>
      <w:r w:rsidRPr="00C33789">
        <w:rPr>
          <w:rFonts w:ascii="Tahoma" w:hAnsi="Tahoma" w:cs="Tahoma"/>
          <w:sz w:val="24"/>
          <w:szCs w:val="24"/>
        </w:rPr>
        <w:t>SL</w:t>
      </w:r>
      <w:proofErr w:type="spellEnd"/>
      <w:r w:rsidRPr="00C33789">
        <w:rPr>
          <w:rFonts w:ascii="Tahoma" w:hAnsi="Tahoma" w:cs="Tahoma"/>
          <w:sz w:val="24"/>
          <w:szCs w:val="24"/>
        </w:rPr>
        <w:t xml:space="preserve">, ante la falta de tal acto de apoderamiento en concreto. </w:t>
      </w:r>
      <w:r w:rsidRPr="00C33789">
        <w:rPr>
          <w:rFonts w:ascii="Tahoma" w:hAnsi="Tahoma" w:cs="Tahoma"/>
          <w:b/>
          <w:sz w:val="24"/>
          <w:szCs w:val="24"/>
        </w:rPr>
        <w:t xml:space="preserve">  </w:t>
      </w:r>
    </w:p>
    <w:p w:rsidR="00CD43D5" w:rsidRPr="00C33789" w:rsidRDefault="00CD43D5" w:rsidP="00CD67E6">
      <w:pPr>
        <w:pStyle w:val="Sinespaciado"/>
        <w:spacing w:line="288" w:lineRule="auto"/>
        <w:rPr>
          <w:rFonts w:ascii="Tahoma" w:hAnsi="Tahoma" w:cs="Tahoma"/>
          <w:sz w:val="24"/>
          <w:szCs w:val="24"/>
          <w:lang w:val="es-ES_tradnl"/>
        </w:rPr>
      </w:pPr>
      <w:r w:rsidRPr="00C33789">
        <w:rPr>
          <w:rFonts w:ascii="Tahoma" w:hAnsi="Tahoma" w:cs="Tahoma"/>
          <w:sz w:val="24"/>
          <w:szCs w:val="24"/>
          <w:lang w:val="es-ES_tradnl"/>
        </w:rPr>
        <w:t xml:space="preserve"> </w:t>
      </w: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sz w:val="24"/>
          <w:szCs w:val="24"/>
          <w:lang w:val="es-ES_tradnl"/>
        </w:rPr>
        <w:t xml:space="preserve">6. Puestas de ese modo las cosas, faltando uno de los presupuestos de viabilidad para la procedencia del recurso de apelación elevado, se inadmitirá el </w:t>
      </w:r>
      <w:r w:rsidRPr="00C33789">
        <w:rPr>
          <w:rFonts w:ascii="Tahoma" w:hAnsi="Tahoma" w:cs="Tahoma"/>
          <w:sz w:val="24"/>
          <w:szCs w:val="24"/>
          <w:lang w:val="es-ES_tradnl"/>
        </w:rPr>
        <w:lastRenderedPageBreak/>
        <w:t xml:space="preserve">recurso de apelación elevado contra el auto de 21/08/2019 – </w:t>
      </w:r>
      <w:proofErr w:type="spellStart"/>
      <w:r w:rsidRPr="00C33789">
        <w:rPr>
          <w:rFonts w:ascii="Tahoma" w:hAnsi="Tahoma" w:cs="Tahoma"/>
          <w:sz w:val="24"/>
          <w:szCs w:val="24"/>
          <w:lang w:val="es-ES_tradnl"/>
        </w:rPr>
        <w:t>fls</w:t>
      </w:r>
      <w:proofErr w:type="spellEnd"/>
      <w:r w:rsidRPr="00C33789">
        <w:rPr>
          <w:rFonts w:ascii="Tahoma" w:hAnsi="Tahoma" w:cs="Tahoma"/>
          <w:sz w:val="24"/>
          <w:szCs w:val="24"/>
          <w:lang w:val="es-ES_tradnl"/>
        </w:rPr>
        <w:t xml:space="preserve">. </w:t>
      </w:r>
      <w:r w:rsidR="00032B1E" w:rsidRPr="00C33789">
        <w:rPr>
          <w:rFonts w:ascii="Tahoma" w:hAnsi="Tahoma" w:cs="Tahoma"/>
          <w:sz w:val="24"/>
          <w:szCs w:val="24"/>
          <w:lang w:val="es-ES_tradnl"/>
        </w:rPr>
        <w:t xml:space="preserve">177 A 179 </w:t>
      </w:r>
      <w:r w:rsidRPr="00C33789">
        <w:rPr>
          <w:rFonts w:ascii="Tahoma" w:hAnsi="Tahoma" w:cs="Tahoma"/>
          <w:sz w:val="24"/>
          <w:szCs w:val="24"/>
          <w:lang w:val="es-ES_tradnl"/>
        </w:rPr>
        <w:t xml:space="preserve"> c. 1 – y devolver el expediente al juzgado de origen para lo pertinente.</w:t>
      </w: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b/>
          <w:sz w:val="24"/>
          <w:szCs w:val="24"/>
          <w:lang w:val="es-ES_tradnl"/>
        </w:rPr>
      </w:pPr>
      <w:r w:rsidRPr="00C33789">
        <w:rPr>
          <w:rFonts w:ascii="Tahoma" w:hAnsi="Tahoma" w:cs="Tahoma"/>
          <w:b/>
          <w:sz w:val="24"/>
          <w:szCs w:val="24"/>
          <w:lang w:val="es-ES_tradnl"/>
        </w:rPr>
        <w:t>Digresión</w:t>
      </w: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sz w:val="24"/>
          <w:szCs w:val="24"/>
          <w:lang w:val="es-ES_tradnl"/>
        </w:rPr>
        <w:t xml:space="preserve">Al margen de lo anterior, esta Colegiatura no puede dejar inadvertida la indebida interpretación de la </w:t>
      </w:r>
      <w:r w:rsidRPr="00C33789">
        <w:rPr>
          <w:rFonts w:ascii="Tahoma" w:hAnsi="Tahoma" w:cs="Tahoma"/>
          <w:i/>
          <w:sz w:val="24"/>
          <w:szCs w:val="24"/>
          <w:lang w:val="es-ES_tradnl"/>
        </w:rPr>
        <w:t>a quo</w:t>
      </w:r>
      <w:r w:rsidRPr="00C33789">
        <w:rPr>
          <w:rFonts w:ascii="Tahoma" w:hAnsi="Tahoma" w:cs="Tahoma"/>
          <w:sz w:val="24"/>
          <w:szCs w:val="24"/>
          <w:lang w:val="es-ES_tradnl"/>
        </w:rPr>
        <w:t xml:space="preserve"> frente al art. 301 del </w:t>
      </w:r>
      <w:proofErr w:type="spellStart"/>
      <w:r w:rsidRPr="00C33789">
        <w:rPr>
          <w:rFonts w:ascii="Tahoma" w:hAnsi="Tahoma" w:cs="Tahoma"/>
          <w:sz w:val="24"/>
          <w:szCs w:val="24"/>
          <w:lang w:val="es-ES_tradnl"/>
        </w:rPr>
        <w:t>C.G.P</w:t>
      </w:r>
      <w:proofErr w:type="spellEnd"/>
      <w:r w:rsidRPr="00C33789">
        <w:rPr>
          <w:rFonts w:ascii="Tahoma" w:hAnsi="Tahoma" w:cs="Tahoma"/>
          <w:sz w:val="24"/>
          <w:szCs w:val="24"/>
          <w:lang w:val="es-ES_tradnl"/>
        </w:rPr>
        <w:t xml:space="preserve">., aplicable al trámite laboral por reenvío del art. 145 del </w:t>
      </w:r>
      <w:proofErr w:type="spellStart"/>
      <w:r w:rsidRPr="00C33789">
        <w:rPr>
          <w:rFonts w:ascii="Tahoma" w:hAnsi="Tahoma" w:cs="Tahoma"/>
          <w:sz w:val="24"/>
          <w:szCs w:val="24"/>
          <w:lang w:val="es-ES_tradnl"/>
        </w:rPr>
        <w:t>C.P.T</w:t>
      </w:r>
      <w:proofErr w:type="spellEnd"/>
      <w:r w:rsidRPr="00C33789">
        <w:rPr>
          <w:rFonts w:ascii="Tahoma" w:hAnsi="Tahoma" w:cs="Tahoma"/>
          <w:sz w:val="24"/>
          <w:szCs w:val="24"/>
          <w:lang w:val="es-ES_tradnl"/>
        </w:rPr>
        <w:t>. y de la S.S., que concierne a la notificación por conducta concluyente, todo ello para que ahora y en lo sucesivo adopte los correctivos del caso.</w:t>
      </w:r>
    </w:p>
    <w:p w:rsidR="00CD43D5" w:rsidRPr="00C33789" w:rsidRDefault="00CD43D5" w:rsidP="00CD67E6">
      <w:pPr>
        <w:pStyle w:val="Sinespaciado"/>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sz w:val="24"/>
          <w:szCs w:val="24"/>
          <w:lang w:val="es-ES_tradnl"/>
        </w:rPr>
        <w:t xml:space="preserve">En efecto, el art. 301 </w:t>
      </w:r>
      <w:r w:rsidRPr="00C33789">
        <w:rPr>
          <w:rFonts w:ascii="Tahoma" w:hAnsi="Tahoma" w:cs="Tahoma"/>
          <w:i/>
          <w:sz w:val="24"/>
          <w:szCs w:val="24"/>
          <w:lang w:val="es-ES_tradnl"/>
        </w:rPr>
        <w:t>ibídem</w:t>
      </w:r>
      <w:r w:rsidRPr="00C33789">
        <w:rPr>
          <w:rFonts w:ascii="Tahoma" w:hAnsi="Tahoma" w:cs="Tahoma"/>
          <w:sz w:val="24"/>
          <w:szCs w:val="24"/>
          <w:lang w:val="es-ES_tradnl"/>
        </w:rPr>
        <w:t xml:space="preserve"> contempla tres eventos, que de ocurrir, tienen como efecto dar por notificada a la parte demandada del auto admisorio de la demanda, entre otros; exigencias que no admiten modificación interpretativa o amaño explicativo, y mucho menos la construcción de indicios que a juicio del juzgador permitan a este inferir el conocimiento de la decisión por parte del demandado, pues rememórese la norma procesal se encuentra sellada por la </w:t>
      </w:r>
      <w:proofErr w:type="spellStart"/>
      <w:r w:rsidRPr="00C33789">
        <w:rPr>
          <w:rFonts w:ascii="Tahoma" w:hAnsi="Tahoma" w:cs="Tahoma"/>
          <w:sz w:val="24"/>
          <w:szCs w:val="24"/>
          <w:lang w:val="es-ES_tradnl"/>
        </w:rPr>
        <w:t>taxatividad</w:t>
      </w:r>
      <w:proofErr w:type="spellEnd"/>
      <w:r w:rsidRPr="00C33789">
        <w:rPr>
          <w:rFonts w:ascii="Tahoma" w:hAnsi="Tahoma" w:cs="Tahoma"/>
          <w:sz w:val="24"/>
          <w:szCs w:val="24"/>
          <w:lang w:val="es-ES_tradnl"/>
        </w:rPr>
        <w:t xml:space="preserve">; de manera tal que, cualquier duda razonable que se genere frente a la ocurrencia literal del supuesto de hecho que contempla el citado art. 301 del </w:t>
      </w:r>
      <w:proofErr w:type="spellStart"/>
      <w:r w:rsidRPr="00C33789">
        <w:rPr>
          <w:rFonts w:ascii="Tahoma" w:hAnsi="Tahoma" w:cs="Tahoma"/>
          <w:sz w:val="24"/>
          <w:szCs w:val="24"/>
          <w:lang w:val="es-ES_tradnl"/>
        </w:rPr>
        <w:t>C.G.P</w:t>
      </w:r>
      <w:proofErr w:type="spellEnd"/>
      <w:r w:rsidRPr="00C33789">
        <w:rPr>
          <w:rFonts w:ascii="Tahoma" w:hAnsi="Tahoma" w:cs="Tahoma"/>
          <w:sz w:val="24"/>
          <w:szCs w:val="24"/>
          <w:lang w:val="es-ES_tradnl"/>
        </w:rPr>
        <w:t>., imposibilita el surgimiento del efecto jurídico allí contemplado, es decir, dar por notificado al demandado por conducta concluyente; actuar en contrario implicaría una grave trasgresión al derecho de defensa de cualquiera de las partes en contienda</w:t>
      </w:r>
      <w:r w:rsidRPr="00C33789">
        <w:rPr>
          <w:rStyle w:val="Refdenotaalpie"/>
          <w:rFonts w:ascii="Tahoma" w:hAnsi="Tahoma" w:cs="Tahoma"/>
          <w:sz w:val="24"/>
          <w:szCs w:val="24"/>
          <w:lang w:val="es-ES_tradnl"/>
        </w:rPr>
        <w:footnoteReference w:id="1"/>
      </w:r>
      <w:r w:rsidRPr="00C33789">
        <w:rPr>
          <w:rFonts w:ascii="Tahoma" w:hAnsi="Tahoma" w:cs="Tahoma"/>
          <w:sz w:val="24"/>
          <w:szCs w:val="24"/>
          <w:lang w:val="es-ES_tradnl"/>
        </w:rPr>
        <w:t>.</w:t>
      </w: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sz w:val="24"/>
          <w:szCs w:val="24"/>
          <w:lang w:val="es-ES_tradnl"/>
        </w:rPr>
        <w:t xml:space="preserve">Todo lo anterior, dado que en el asunto de ahora, además de no existir poder otorgado por el representante legal de la Sociedad Telemark </w:t>
      </w:r>
      <w:proofErr w:type="spellStart"/>
      <w:r w:rsidRPr="00C33789">
        <w:rPr>
          <w:rFonts w:ascii="Tahoma" w:hAnsi="Tahoma" w:cs="Tahoma"/>
          <w:sz w:val="24"/>
          <w:szCs w:val="24"/>
          <w:lang w:val="es-ES_tradnl"/>
        </w:rPr>
        <w:t>Spain</w:t>
      </w:r>
      <w:proofErr w:type="spellEnd"/>
      <w:r w:rsidRPr="00C33789">
        <w:rPr>
          <w:rFonts w:ascii="Tahoma" w:hAnsi="Tahoma" w:cs="Tahoma"/>
          <w:sz w:val="24"/>
          <w:szCs w:val="24"/>
          <w:lang w:val="es-ES_tradnl"/>
        </w:rPr>
        <w:t xml:space="preserve"> </w:t>
      </w:r>
      <w:proofErr w:type="spellStart"/>
      <w:r w:rsidRPr="00C33789">
        <w:rPr>
          <w:rFonts w:ascii="Tahoma" w:hAnsi="Tahoma" w:cs="Tahoma"/>
          <w:sz w:val="24"/>
          <w:szCs w:val="24"/>
          <w:lang w:val="es-ES_tradnl"/>
        </w:rPr>
        <w:t>SL</w:t>
      </w:r>
      <w:proofErr w:type="spellEnd"/>
      <w:r w:rsidRPr="00C33789">
        <w:rPr>
          <w:rFonts w:ascii="Tahoma" w:hAnsi="Tahoma" w:cs="Tahoma"/>
          <w:sz w:val="24"/>
          <w:szCs w:val="24"/>
          <w:lang w:val="es-ES_tradnl"/>
        </w:rPr>
        <w:t xml:space="preserve"> para apoderamiento judicial, conforme se dejó apuntado atrás; tampoco obra escrito firmado por el citado representante legal dirigido al juzgado de instancia en el que manifieste que está enterado de la existencia del auto, en este caso que admitió la demanda en su contra, siendo además imposible allegar tal documento antes de proferirse el proveído que tuvo por demandada a la Sociedad Telemark </w:t>
      </w:r>
      <w:proofErr w:type="spellStart"/>
      <w:r w:rsidRPr="00C33789">
        <w:rPr>
          <w:rFonts w:ascii="Tahoma" w:hAnsi="Tahoma" w:cs="Tahoma"/>
          <w:sz w:val="24"/>
          <w:szCs w:val="24"/>
          <w:lang w:val="es-ES_tradnl"/>
        </w:rPr>
        <w:t>Spain</w:t>
      </w:r>
      <w:proofErr w:type="spellEnd"/>
      <w:r w:rsidRPr="00C33789">
        <w:rPr>
          <w:rFonts w:ascii="Tahoma" w:hAnsi="Tahoma" w:cs="Tahoma"/>
          <w:sz w:val="24"/>
          <w:szCs w:val="24"/>
          <w:lang w:val="es-ES_tradnl"/>
        </w:rPr>
        <w:t xml:space="preserve"> </w:t>
      </w:r>
      <w:proofErr w:type="spellStart"/>
      <w:r w:rsidRPr="00C33789">
        <w:rPr>
          <w:rFonts w:ascii="Tahoma" w:hAnsi="Tahoma" w:cs="Tahoma"/>
          <w:sz w:val="24"/>
          <w:szCs w:val="24"/>
          <w:lang w:val="es-ES_tradnl"/>
        </w:rPr>
        <w:t>SL</w:t>
      </w:r>
      <w:proofErr w:type="spellEnd"/>
      <w:r w:rsidRPr="00C33789">
        <w:rPr>
          <w:rFonts w:ascii="Tahoma" w:hAnsi="Tahoma" w:cs="Tahoma"/>
          <w:sz w:val="24"/>
          <w:szCs w:val="24"/>
          <w:lang w:val="es-ES_tradnl"/>
        </w:rPr>
        <w:t xml:space="preserve">, es decir, de ninguna manera podía la </w:t>
      </w:r>
      <w:r w:rsidRPr="00C33789">
        <w:rPr>
          <w:rFonts w:ascii="Tahoma" w:hAnsi="Tahoma" w:cs="Tahoma"/>
          <w:i/>
          <w:sz w:val="24"/>
          <w:szCs w:val="24"/>
          <w:lang w:val="es-ES_tradnl"/>
        </w:rPr>
        <w:t>a quo</w:t>
      </w:r>
      <w:r w:rsidRPr="00C33789">
        <w:rPr>
          <w:rFonts w:ascii="Tahoma" w:hAnsi="Tahoma" w:cs="Tahoma"/>
          <w:sz w:val="24"/>
          <w:szCs w:val="24"/>
          <w:lang w:val="es-ES_tradnl"/>
        </w:rPr>
        <w:t xml:space="preserve"> dar por notificada a una persona por conducta concluyente de una decisión que aún no existe en el legajo. </w:t>
      </w: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sz w:val="24"/>
          <w:szCs w:val="24"/>
          <w:u w:val="single"/>
          <w:lang w:val="es-ES_tradnl"/>
        </w:rPr>
      </w:pPr>
      <w:r w:rsidRPr="00C33789">
        <w:rPr>
          <w:rFonts w:ascii="Tahoma" w:hAnsi="Tahoma" w:cs="Tahoma"/>
          <w:sz w:val="24"/>
          <w:szCs w:val="24"/>
          <w:lang w:val="es-ES_tradnl"/>
        </w:rPr>
        <w:t xml:space="preserve">Finalmente, ni siquiera puede considerarse que la petición de nulidad por indebida notificación que presentó la doctora </w:t>
      </w:r>
      <w:proofErr w:type="spellStart"/>
      <w:r w:rsidRPr="00C33789">
        <w:rPr>
          <w:rFonts w:ascii="Tahoma" w:hAnsi="Tahoma" w:cs="Tahoma"/>
          <w:sz w:val="24"/>
          <w:szCs w:val="24"/>
          <w:lang w:val="es-ES_tradnl"/>
        </w:rPr>
        <w:t>Yully</w:t>
      </w:r>
      <w:proofErr w:type="spellEnd"/>
      <w:r w:rsidRPr="00C33789">
        <w:rPr>
          <w:rFonts w:ascii="Tahoma" w:hAnsi="Tahoma" w:cs="Tahoma"/>
          <w:sz w:val="24"/>
          <w:szCs w:val="24"/>
          <w:lang w:val="es-ES_tradnl"/>
        </w:rPr>
        <w:t xml:space="preserve"> Patricia Suárez Arévalo configura el supuesto de hecho contemplado en el inciso final del artículo 301 del </w:t>
      </w:r>
      <w:proofErr w:type="spellStart"/>
      <w:r w:rsidRPr="00C33789">
        <w:rPr>
          <w:rFonts w:ascii="Tahoma" w:hAnsi="Tahoma" w:cs="Tahoma"/>
          <w:sz w:val="24"/>
          <w:szCs w:val="24"/>
          <w:lang w:val="es-ES_tradnl"/>
        </w:rPr>
        <w:t>C.G.P</w:t>
      </w:r>
      <w:proofErr w:type="spellEnd"/>
      <w:r w:rsidRPr="00C33789">
        <w:rPr>
          <w:rFonts w:ascii="Tahoma" w:hAnsi="Tahoma" w:cs="Tahoma"/>
          <w:sz w:val="24"/>
          <w:szCs w:val="24"/>
          <w:lang w:val="es-ES_tradnl"/>
        </w:rPr>
        <w:t xml:space="preserve">. para dar por notificada a la sociedad extranjera por conducta concluyente, pues incluso para la presentación de tal solicitud, la apoderada carece de derecho de postulación en tanto que ningún poder ha sido otorgado a ella directamente por la sociedad extranjera  la Sociedad Telemark </w:t>
      </w:r>
      <w:proofErr w:type="spellStart"/>
      <w:r w:rsidRPr="00C33789">
        <w:rPr>
          <w:rFonts w:ascii="Tahoma" w:hAnsi="Tahoma" w:cs="Tahoma"/>
          <w:sz w:val="24"/>
          <w:szCs w:val="24"/>
          <w:lang w:val="es-ES_tradnl"/>
        </w:rPr>
        <w:t>Spain</w:t>
      </w:r>
      <w:proofErr w:type="spellEnd"/>
      <w:r w:rsidRPr="00C33789">
        <w:rPr>
          <w:rFonts w:ascii="Tahoma" w:hAnsi="Tahoma" w:cs="Tahoma"/>
          <w:sz w:val="24"/>
          <w:szCs w:val="24"/>
          <w:lang w:val="es-ES_tradnl"/>
        </w:rPr>
        <w:t xml:space="preserve"> </w:t>
      </w:r>
      <w:proofErr w:type="spellStart"/>
      <w:r w:rsidRPr="00C33789">
        <w:rPr>
          <w:rFonts w:ascii="Tahoma" w:hAnsi="Tahoma" w:cs="Tahoma"/>
          <w:sz w:val="24"/>
          <w:szCs w:val="24"/>
          <w:lang w:val="es-ES_tradnl"/>
        </w:rPr>
        <w:t>SL</w:t>
      </w:r>
      <w:proofErr w:type="spellEnd"/>
      <w:r w:rsidRPr="00C33789">
        <w:rPr>
          <w:rFonts w:ascii="Tahoma" w:hAnsi="Tahoma" w:cs="Tahoma"/>
          <w:sz w:val="24"/>
          <w:szCs w:val="24"/>
          <w:lang w:val="es-ES_tradnl"/>
        </w:rPr>
        <w:t>, máxime que en tanto dicha proposición de nulidad no fue así declarada por la juzgadora, entonces tampoco podía dar por notificada a la sociedad por conducta concluyente.</w:t>
      </w: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sz w:val="24"/>
          <w:szCs w:val="24"/>
          <w:lang w:val="es-ES_tradnl"/>
        </w:rPr>
        <w:lastRenderedPageBreak/>
        <w:t xml:space="preserve">   </w:t>
      </w:r>
    </w:p>
    <w:p w:rsidR="00CD43D5" w:rsidRPr="00C33789" w:rsidRDefault="00CD43D5" w:rsidP="00CD67E6">
      <w:pPr>
        <w:tabs>
          <w:tab w:val="left" w:pos="-720"/>
        </w:tabs>
        <w:suppressAutoHyphens/>
        <w:spacing w:line="288" w:lineRule="auto"/>
        <w:ind w:firstLine="0"/>
        <w:jc w:val="center"/>
        <w:rPr>
          <w:rFonts w:ascii="Tahoma" w:hAnsi="Tahoma" w:cs="Tahoma"/>
          <w:b/>
          <w:sz w:val="24"/>
          <w:szCs w:val="24"/>
          <w:lang w:val="es-ES_tradnl"/>
        </w:rPr>
      </w:pPr>
      <w:r w:rsidRPr="00C33789">
        <w:rPr>
          <w:rFonts w:ascii="Tahoma" w:hAnsi="Tahoma" w:cs="Tahoma"/>
          <w:b/>
          <w:sz w:val="24"/>
          <w:szCs w:val="24"/>
          <w:lang w:val="es-ES_tradnl"/>
        </w:rPr>
        <w:t>DECISIÓN</w:t>
      </w:r>
    </w:p>
    <w:p w:rsidR="00CD43D5" w:rsidRPr="00C33789" w:rsidRDefault="00CD43D5" w:rsidP="00CD67E6">
      <w:pPr>
        <w:spacing w:line="288" w:lineRule="auto"/>
        <w:rPr>
          <w:rFonts w:ascii="Tahoma" w:hAnsi="Tahoma" w:cs="Tahoma"/>
          <w:sz w:val="24"/>
          <w:szCs w:val="24"/>
          <w:lang w:val="es-ES_tradnl"/>
        </w:rPr>
      </w:pPr>
      <w:r w:rsidRPr="00C33789">
        <w:rPr>
          <w:rFonts w:ascii="Tahoma" w:hAnsi="Tahoma" w:cs="Tahoma"/>
          <w:sz w:val="24"/>
          <w:szCs w:val="24"/>
          <w:lang w:val="es-ES_tradnl"/>
        </w:rPr>
        <w:t xml:space="preserve"> </w:t>
      </w:r>
    </w:p>
    <w:p w:rsidR="00CD43D5" w:rsidRPr="00C33789" w:rsidRDefault="00CD43D5" w:rsidP="00CD67E6">
      <w:pPr>
        <w:spacing w:line="288" w:lineRule="auto"/>
        <w:rPr>
          <w:rFonts w:ascii="Tahoma" w:hAnsi="Tahoma" w:cs="Tahoma"/>
          <w:b/>
          <w:sz w:val="24"/>
          <w:szCs w:val="24"/>
          <w:lang w:val="es-ES_tradnl"/>
        </w:rPr>
      </w:pPr>
      <w:r w:rsidRPr="00C33789">
        <w:rPr>
          <w:rFonts w:ascii="Tahoma" w:hAnsi="Tahoma" w:cs="Tahoma"/>
          <w:sz w:val="24"/>
          <w:szCs w:val="24"/>
          <w:lang w:val="es-ES_tradnl"/>
        </w:rPr>
        <w:t xml:space="preserve">Por lo expuesto, el </w:t>
      </w:r>
      <w:r w:rsidRPr="00C33789">
        <w:rPr>
          <w:rFonts w:ascii="Tahoma" w:hAnsi="Tahoma" w:cs="Tahoma"/>
          <w:b/>
          <w:sz w:val="24"/>
          <w:szCs w:val="24"/>
          <w:lang w:val="es-ES_tradnl"/>
        </w:rPr>
        <w:t>Tribunal Superior del Distrito Judicial de Pereira, Sala de Decisión Laboral</w:t>
      </w:r>
      <w:r w:rsidR="00032B1E" w:rsidRPr="00C33789">
        <w:rPr>
          <w:rFonts w:ascii="Tahoma" w:hAnsi="Tahoma" w:cs="Tahoma"/>
          <w:b/>
          <w:sz w:val="24"/>
          <w:szCs w:val="24"/>
          <w:lang w:val="es-ES_tradnl"/>
        </w:rPr>
        <w:t xml:space="preserve"> No. 1</w:t>
      </w:r>
      <w:r w:rsidRPr="00C33789">
        <w:rPr>
          <w:rFonts w:ascii="Tahoma" w:hAnsi="Tahoma" w:cs="Tahoma"/>
          <w:b/>
          <w:sz w:val="24"/>
          <w:szCs w:val="24"/>
          <w:lang w:val="es-ES_tradnl"/>
        </w:rPr>
        <w:t>,</w:t>
      </w:r>
    </w:p>
    <w:p w:rsidR="00CD43D5" w:rsidRPr="00C33789" w:rsidRDefault="00CD43D5" w:rsidP="00CD67E6">
      <w:pPr>
        <w:pStyle w:val="Sinespaciado"/>
        <w:spacing w:line="288" w:lineRule="auto"/>
        <w:rPr>
          <w:rFonts w:ascii="Tahoma" w:hAnsi="Tahoma" w:cs="Tahoma"/>
          <w:sz w:val="24"/>
          <w:szCs w:val="24"/>
          <w:lang w:val="es-ES_tradnl"/>
        </w:rPr>
      </w:pPr>
    </w:p>
    <w:p w:rsidR="00CD43D5" w:rsidRPr="00C33789" w:rsidRDefault="00CD43D5" w:rsidP="00CD67E6">
      <w:pPr>
        <w:tabs>
          <w:tab w:val="left" w:pos="-720"/>
        </w:tabs>
        <w:suppressAutoHyphens/>
        <w:spacing w:line="288" w:lineRule="auto"/>
        <w:ind w:firstLine="0"/>
        <w:jc w:val="center"/>
        <w:rPr>
          <w:rFonts w:ascii="Tahoma" w:hAnsi="Tahoma" w:cs="Tahoma"/>
          <w:b/>
          <w:sz w:val="24"/>
          <w:szCs w:val="24"/>
          <w:lang w:val="es-ES_tradnl"/>
        </w:rPr>
      </w:pPr>
      <w:r w:rsidRPr="00C33789">
        <w:rPr>
          <w:rFonts w:ascii="Tahoma" w:hAnsi="Tahoma" w:cs="Tahoma"/>
          <w:b/>
          <w:sz w:val="24"/>
          <w:szCs w:val="24"/>
          <w:lang w:val="es-ES_tradnl"/>
        </w:rPr>
        <w:t>RESUELVE</w:t>
      </w:r>
    </w:p>
    <w:p w:rsidR="00CD43D5" w:rsidRPr="00C33789" w:rsidRDefault="00CD43D5" w:rsidP="00CD67E6">
      <w:pPr>
        <w:pStyle w:val="Sinespaciado"/>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b/>
          <w:sz w:val="24"/>
          <w:szCs w:val="24"/>
          <w:lang w:val="es-ES_tradnl"/>
        </w:rPr>
        <w:t>PRIMERO:</w:t>
      </w:r>
      <w:r w:rsidRPr="00C33789">
        <w:rPr>
          <w:rFonts w:ascii="Tahoma" w:hAnsi="Tahoma" w:cs="Tahoma"/>
          <w:sz w:val="24"/>
          <w:szCs w:val="24"/>
          <w:lang w:val="es-ES_tradnl"/>
        </w:rPr>
        <w:t xml:space="preserve"> </w:t>
      </w:r>
      <w:r w:rsidRPr="00C33789">
        <w:rPr>
          <w:rFonts w:ascii="Tahoma" w:hAnsi="Tahoma" w:cs="Tahoma"/>
          <w:b/>
          <w:sz w:val="24"/>
          <w:szCs w:val="24"/>
          <w:lang w:val="es-ES_tradnl"/>
        </w:rPr>
        <w:t>INADMITIR</w:t>
      </w:r>
      <w:r w:rsidRPr="00C33789">
        <w:rPr>
          <w:rFonts w:ascii="Tahoma" w:hAnsi="Tahoma" w:cs="Tahoma"/>
          <w:sz w:val="24"/>
          <w:szCs w:val="24"/>
          <w:lang w:val="es-ES_tradnl"/>
        </w:rPr>
        <w:t xml:space="preserve"> el recurso de apelación elevado por </w:t>
      </w:r>
      <w:proofErr w:type="spellStart"/>
      <w:r w:rsidRPr="00C33789">
        <w:rPr>
          <w:rFonts w:ascii="Tahoma" w:hAnsi="Tahoma" w:cs="Tahoma"/>
          <w:sz w:val="24"/>
          <w:szCs w:val="24"/>
          <w:lang w:val="es-ES_tradnl"/>
        </w:rPr>
        <w:t>Yully</w:t>
      </w:r>
      <w:proofErr w:type="spellEnd"/>
      <w:r w:rsidRPr="00C33789">
        <w:rPr>
          <w:rFonts w:ascii="Tahoma" w:hAnsi="Tahoma" w:cs="Tahoma"/>
          <w:sz w:val="24"/>
          <w:szCs w:val="24"/>
          <w:lang w:val="es-ES_tradnl"/>
        </w:rPr>
        <w:t xml:space="preserve"> Patricia Suárez Arévalo contra el auto proferido el  21/08/2019 por el Juzgado Segundo Laboral del Circuito de Pereira dentro del proceso promovido por Cindy Tatiana Jiménez Higuita contra Telemark </w:t>
      </w:r>
      <w:proofErr w:type="spellStart"/>
      <w:r w:rsidRPr="00C33789">
        <w:rPr>
          <w:rFonts w:ascii="Tahoma" w:hAnsi="Tahoma" w:cs="Tahoma"/>
          <w:sz w:val="24"/>
          <w:szCs w:val="24"/>
          <w:lang w:val="es-ES_tradnl"/>
        </w:rPr>
        <w:t>Spain</w:t>
      </w:r>
      <w:proofErr w:type="spellEnd"/>
      <w:r w:rsidRPr="00C33789">
        <w:rPr>
          <w:rFonts w:ascii="Tahoma" w:hAnsi="Tahoma" w:cs="Tahoma"/>
          <w:sz w:val="24"/>
          <w:szCs w:val="24"/>
          <w:lang w:val="es-ES_tradnl"/>
        </w:rPr>
        <w:t xml:space="preserve"> </w:t>
      </w:r>
      <w:proofErr w:type="spellStart"/>
      <w:r w:rsidRPr="00C33789">
        <w:rPr>
          <w:rFonts w:ascii="Tahoma" w:hAnsi="Tahoma" w:cs="Tahoma"/>
          <w:sz w:val="24"/>
          <w:szCs w:val="24"/>
          <w:lang w:val="es-ES_tradnl"/>
        </w:rPr>
        <w:t>SL</w:t>
      </w:r>
      <w:proofErr w:type="spellEnd"/>
      <w:r w:rsidRPr="00C33789">
        <w:rPr>
          <w:rFonts w:ascii="Tahoma" w:hAnsi="Tahoma" w:cs="Tahoma"/>
          <w:sz w:val="24"/>
          <w:szCs w:val="24"/>
          <w:lang w:val="es-ES_tradnl"/>
        </w:rPr>
        <w:t xml:space="preserve"> – Sociedad Extranjera.</w:t>
      </w:r>
    </w:p>
    <w:p w:rsidR="00CD43D5" w:rsidRPr="00C33789" w:rsidRDefault="00CD43D5" w:rsidP="00CD67E6">
      <w:pPr>
        <w:pStyle w:val="Sinespaciado"/>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b/>
          <w:sz w:val="24"/>
          <w:szCs w:val="24"/>
          <w:lang w:val="es-ES_tradnl"/>
        </w:rPr>
        <w:t xml:space="preserve">SEGUNDO: DEVOLVER </w:t>
      </w:r>
      <w:r w:rsidRPr="00C33789">
        <w:rPr>
          <w:rFonts w:ascii="Tahoma" w:hAnsi="Tahoma" w:cs="Tahoma"/>
          <w:sz w:val="24"/>
          <w:szCs w:val="24"/>
          <w:lang w:val="es-ES_tradnl"/>
        </w:rPr>
        <w:t>el expediente al juzgado de origen para lo pertinente.</w:t>
      </w: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p>
    <w:p w:rsidR="00CD43D5" w:rsidRPr="00C33789" w:rsidRDefault="00CD43D5" w:rsidP="00CD67E6">
      <w:pPr>
        <w:autoSpaceDE w:val="0"/>
        <w:autoSpaceDN w:val="0"/>
        <w:adjustRightInd w:val="0"/>
        <w:spacing w:line="288" w:lineRule="auto"/>
        <w:rPr>
          <w:rFonts w:ascii="Tahoma" w:hAnsi="Tahoma" w:cs="Tahoma"/>
          <w:sz w:val="24"/>
          <w:szCs w:val="24"/>
          <w:lang w:val="es-ES_tradnl"/>
        </w:rPr>
      </w:pPr>
      <w:r w:rsidRPr="00C33789">
        <w:rPr>
          <w:rFonts w:ascii="Tahoma" w:hAnsi="Tahoma" w:cs="Tahoma"/>
          <w:sz w:val="24"/>
          <w:szCs w:val="24"/>
          <w:lang w:val="es-ES_tradnl"/>
        </w:rPr>
        <w:t>Notifíquese y cúmplase,</w:t>
      </w:r>
    </w:p>
    <w:p w:rsidR="00CD43D5" w:rsidRPr="00C33789" w:rsidRDefault="00CD43D5" w:rsidP="00CD67E6">
      <w:pPr>
        <w:spacing w:line="288" w:lineRule="auto"/>
        <w:rPr>
          <w:rFonts w:ascii="Tahoma" w:hAnsi="Tahoma" w:cs="Tahoma"/>
          <w:sz w:val="24"/>
          <w:szCs w:val="24"/>
          <w:u w:val="single"/>
        </w:rPr>
      </w:pPr>
    </w:p>
    <w:p w:rsidR="00C33789" w:rsidRPr="00C33789" w:rsidRDefault="00C33789" w:rsidP="00CD67E6">
      <w:pPr>
        <w:widowControl w:val="0"/>
        <w:autoSpaceDE w:val="0"/>
        <w:autoSpaceDN w:val="0"/>
        <w:adjustRightInd w:val="0"/>
        <w:spacing w:line="288" w:lineRule="auto"/>
        <w:contextualSpacing/>
        <w:rPr>
          <w:rFonts w:ascii="Tahoma" w:eastAsia="Calibri" w:hAnsi="Tahoma" w:cs="Tahoma"/>
          <w:sz w:val="24"/>
          <w:szCs w:val="24"/>
        </w:rPr>
      </w:pPr>
      <w:r w:rsidRPr="00C33789">
        <w:rPr>
          <w:rFonts w:ascii="Tahoma" w:eastAsia="Calibri" w:hAnsi="Tahoma" w:cs="Tahoma"/>
          <w:sz w:val="24"/>
          <w:szCs w:val="24"/>
        </w:rPr>
        <w:t>Quienes integran la Sala,</w:t>
      </w:r>
      <w:bookmarkStart w:id="0" w:name="_GoBack"/>
      <w:bookmarkEnd w:id="0"/>
    </w:p>
    <w:p w:rsidR="00C33789" w:rsidRPr="00C33789" w:rsidRDefault="00C33789" w:rsidP="00CD67E6">
      <w:pPr>
        <w:spacing w:line="288" w:lineRule="auto"/>
        <w:jc w:val="center"/>
        <w:rPr>
          <w:rFonts w:ascii="Tahoma" w:eastAsia="Calibri" w:hAnsi="Tahoma" w:cs="Tahoma"/>
          <w:sz w:val="24"/>
          <w:szCs w:val="24"/>
        </w:rPr>
      </w:pPr>
    </w:p>
    <w:p w:rsidR="00C33789" w:rsidRPr="00C33789" w:rsidRDefault="00C33789" w:rsidP="00CD67E6">
      <w:pPr>
        <w:spacing w:line="288" w:lineRule="auto"/>
        <w:jc w:val="center"/>
        <w:rPr>
          <w:rFonts w:ascii="Tahoma" w:eastAsia="Calibri" w:hAnsi="Tahoma" w:cs="Tahoma"/>
          <w:sz w:val="24"/>
          <w:szCs w:val="24"/>
        </w:rPr>
      </w:pPr>
    </w:p>
    <w:p w:rsidR="00C33789" w:rsidRPr="00C33789" w:rsidRDefault="00C33789" w:rsidP="00CD67E6">
      <w:pPr>
        <w:spacing w:line="288" w:lineRule="auto"/>
        <w:jc w:val="center"/>
        <w:rPr>
          <w:rFonts w:ascii="Tahoma" w:eastAsia="Calibri" w:hAnsi="Tahoma" w:cs="Tahoma"/>
          <w:sz w:val="24"/>
          <w:szCs w:val="24"/>
        </w:rPr>
      </w:pPr>
    </w:p>
    <w:p w:rsidR="00C33789" w:rsidRPr="00C33789" w:rsidRDefault="00C33789" w:rsidP="00CD67E6">
      <w:pPr>
        <w:spacing w:line="288" w:lineRule="auto"/>
        <w:ind w:firstLine="0"/>
        <w:contextualSpacing/>
        <w:rPr>
          <w:rFonts w:ascii="Tahoma" w:eastAsia="Calibri" w:hAnsi="Tahoma" w:cs="Tahoma"/>
          <w:b/>
          <w:sz w:val="24"/>
          <w:szCs w:val="24"/>
        </w:rPr>
      </w:pPr>
      <w:r w:rsidRPr="00C33789">
        <w:rPr>
          <w:rFonts w:ascii="Tahoma" w:eastAsia="Calibri" w:hAnsi="Tahoma" w:cs="Tahoma"/>
          <w:b/>
          <w:bCs/>
          <w:iCs/>
          <w:sz w:val="24"/>
          <w:szCs w:val="24"/>
        </w:rPr>
        <w:t>ANA LUCÍA CAICEDO CALDERÓN</w:t>
      </w:r>
      <w:r w:rsidRPr="00C33789">
        <w:rPr>
          <w:rFonts w:ascii="Tahoma" w:eastAsia="Calibri" w:hAnsi="Tahoma" w:cs="Tahoma"/>
          <w:b/>
          <w:bCs/>
          <w:iCs/>
          <w:sz w:val="24"/>
          <w:szCs w:val="24"/>
        </w:rPr>
        <w:tab/>
      </w:r>
      <w:r w:rsidRPr="00C33789">
        <w:rPr>
          <w:rFonts w:ascii="Tahoma" w:eastAsia="Calibri" w:hAnsi="Tahoma" w:cs="Tahoma"/>
          <w:b/>
          <w:bCs/>
          <w:iCs/>
          <w:sz w:val="24"/>
          <w:szCs w:val="24"/>
        </w:rPr>
        <w:tab/>
      </w:r>
      <w:r w:rsidRPr="00C33789">
        <w:rPr>
          <w:rFonts w:ascii="Tahoma" w:eastAsia="Calibri" w:hAnsi="Tahoma" w:cs="Tahoma"/>
          <w:b/>
          <w:sz w:val="24"/>
          <w:szCs w:val="24"/>
        </w:rPr>
        <w:t>OLGA LUCÍA HOYOS SEPÚLVEDA</w:t>
      </w:r>
    </w:p>
    <w:p w:rsidR="00C33789" w:rsidRPr="00C33789" w:rsidRDefault="00C33789" w:rsidP="00CD67E6">
      <w:pPr>
        <w:spacing w:line="288" w:lineRule="auto"/>
        <w:ind w:firstLine="0"/>
        <w:contextualSpacing/>
        <w:rPr>
          <w:rFonts w:ascii="Tahoma" w:eastAsia="Calibri" w:hAnsi="Tahoma" w:cs="Tahoma"/>
          <w:sz w:val="24"/>
          <w:szCs w:val="24"/>
        </w:rPr>
      </w:pPr>
      <w:r w:rsidRPr="00C33789">
        <w:rPr>
          <w:rFonts w:ascii="Tahoma" w:eastAsia="Calibri" w:hAnsi="Tahoma" w:cs="Tahoma"/>
          <w:sz w:val="24"/>
          <w:szCs w:val="24"/>
        </w:rPr>
        <w:t xml:space="preserve">Magistrada Ponente     </w:t>
      </w:r>
      <w:r w:rsidRPr="00C33789">
        <w:rPr>
          <w:rFonts w:ascii="Tahoma" w:eastAsia="Calibri" w:hAnsi="Tahoma" w:cs="Tahoma"/>
          <w:sz w:val="24"/>
          <w:szCs w:val="24"/>
        </w:rPr>
        <w:tab/>
      </w:r>
      <w:r w:rsidRPr="00C33789">
        <w:rPr>
          <w:rFonts w:ascii="Tahoma" w:eastAsia="Calibri" w:hAnsi="Tahoma" w:cs="Tahoma"/>
          <w:sz w:val="24"/>
          <w:szCs w:val="24"/>
        </w:rPr>
        <w:tab/>
      </w:r>
      <w:r w:rsidRPr="00C33789">
        <w:rPr>
          <w:rFonts w:ascii="Tahoma" w:eastAsia="Calibri" w:hAnsi="Tahoma" w:cs="Tahoma"/>
          <w:sz w:val="24"/>
          <w:szCs w:val="24"/>
        </w:rPr>
        <w:tab/>
      </w:r>
      <w:r w:rsidRPr="00C33789">
        <w:rPr>
          <w:rFonts w:ascii="Tahoma" w:eastAsia="Calibri" w:hAnsi="Tahoma" w:cs="Tahoma"/>
          <w:sz w:val="24"/>
          <w:szCs w:val="24"/>
        </w:rPr>
        <w:tab/>
        <w:t>Magistrada Ponente</w:t>
      </w:r>
    </w:p>
    <w:p w:rsidR="00C33789" w:rsidRPr="00C33789" w:rsidRDefault="00C33789" w:rsidP="00CD67E6">
      <w:pPr>
        <w:tabs>
          <w:tab w:val="left" w:pos="1365"/>
        </w:tabs>
        <w:spacing w:line="288" w:lineRule="auto"/>
        <w:ind w:firstLine="0"/>
        <w:contextualSpacing/>
        <w:rPr>
          <w:rFonts w:ascii="Tahoma" w:eastAsia="Calibri" w:hAnsi="Tahoma" w:cs="Tahoma"/>
          <w:sz w:val="24"/>
          <w:szCs w:val="24"/>
        </w:rPr>
      </w:pPr>
      <w:r w:rsidRPr="00C33789">
        <w:rPr>
          <w:rFonts w:ascii="Tahoma" w:eastAsia="Calibri" w:hAnsi="Tahoma" w:cs="Tahoma"/>
          <w:sz w:val="24"/>
          <w:szCs w:val="24"/>
        </w:rPr>
        <w:t>Salva voto</w:t>
      </w:r>
    </w:p>
    <w:p w:rsidR="00C33789" w:rsidRPr="00C33789" w:rsidRDefault="00C33789" w:rsidP="00CD67E6">
      <w:pPr>
        <w:tabs>
          <w:tab w:val="left" w:pos="1365"/>
        </w:tabs>
        <w:spacing w:line="288" w:lineRule="auto"/>
        <w:contextualSpacing/>
        <w:rPr>
          <w:rFonts w:ascii="Tahoma" w:eastAsia="Calibri" w:hAnsi="Tahoma" w:cs="Tahoma"/>
          <w:sz w:val="24"/>
          <w:szCs w:val="24"/>
        </w:rPr>
      </w:pPr>
    </w:p>
    <w:p w:rsidR="00C33789" w:rsidRPr="00C33789" w:rsidRDefault="00C33789" w:rsidP="00CD67E6">
      <w:pPr>
        <w:tabs>
          <w:tab w:val="left" w:pos="1365"/>
        </w:tabs>
        <w:spacing w:line="288" w:lineRule="auto"/>
        <w:contextualSpacing/>
        <w:rPr>
          <w:rFonts w:ascii="Tahoma" w:eastAsia="Calibri" w:hAnsi="Tahoma" w:cs="Tahoma"/>
          <w:sz w:val="24"/>
          <w:szCs w:val="24"/>
        </w:rPr>
      </w:pPr>
    </w:p>
    <w:p w:rsidR="00C33789" w:rsidRPr="00C33789" w:rsidRDefault="00C33789" w:rsidP="00CD67E6">
      <w:pPr>
        <w:tabs>
          <w:tab w:val="left" w:pos="1365"/>
        </w:tabs>
        <w:spacing w:line="288" w:lineRule="auto"/>
        <w:contextualSpacing/>
        <w:rPr>
          <w:rFonts w:ascii="Tahoma" w:eastAsia="Calibri" w:hAnsi="Tahoma" w:cs="Tahoma"/>
          <w:sz w:val="24"/>
          <w:szCs w:val="24"/>
        </w:rPr>
      </w:pPr>
    </w:p>
    <w:p w:rsidR="00C33789" w:rsidRPr="00C33789" w:rsidRDefault="00C33789" w:rsidP="00CD67E6">
      <w:pPr>
        <w:spacing w:line="288" w:lineRule="auto"/>
        <w:contextualSpacing/>
        <w:jc w:val="center"/>
        <w:rPr>
          <w:rFonts w:ascii="Tahoma" w:eastAsia="Calibri" w:hAnsi="Tahoma" w:cs="Tahoma"/>
          <w:sz w:val="24"/>
          <w:szCs w:val="24"/>
        </w:rPr>
      </w:pPr>
      <w:r w:rsidRPr="00C33789">
        <w:rPr>
          <w:rFonts w:ascii="Tahoma" w:eastAsia="Calibri" w:hAnsi="Tahoma" w:cs="Tahoma"/>
          <w:b/>
          <w:bCs/>
          <w:iCs/>
          <w:sz w:val="24"/>
          <w:szCs w:val="24"/>
        </w:rPr>
        <w:t>JULIO CÉSAR SALAZAR MUÑOZ</w:t>
      </w:r>
    </w:p>
    <w:p w:rsidR="00A50D81" w:rsidRDefault="00C33789" w:rsidP="00CD67E6">
      <w:pPr>
        <w:spacing w:line="288" w:lineRule="auto"/>
        <w:contextualSpacing/>
        <w:jc w:val="center"/>
        <w:rPr>
          <w:rFonts w:ascii="Tahoma" w:eastAsia="Calibri" w:hAnsi="Tahoma" w:cs="Tahoma"/>
          <w:sz w:val="24"/>
          <w:szCs w:val="24"/>
        </w:rPr>
      </w:pPr>
      <w:r w:rsidRPr="00C33789">
        <w:rPr>
          <w:rFonts w:ascii="Tahoma" w:eastAsia="Calibri" w:hAnsi="Tahoma" w:cs="Tahoma"/>
          <w:sz w:val="24"/>
          <w:szCs w:val="24"/>
        </w:rPr>
        <w:t>Magistrado</w:t>
      </w:r>
    </w:p>
    <w:p w:rsidR="00FD7426" w:rsidRDefault="00FD7426" w:rsidP="00FD7426">
      <w:pPr>
        <w:spacing w:line="276" w:lineRule="auto"/>
        <w:ind w:firstLine="0"/>
        <w:contextualSpacing/>
        <w:rPr>
          <w:rFonts w:ascii="Tahoma" w:eastAsia="Calibri" w:hAnsi="Tahoma" w:cs="Tahoma"/>
          <w:sz w:val="24"/>
          <w:szCs w:val="24"/>
        </w:rPr>
      </w:pPr>
    </w:p>
    <w:p w:rsidR="00FD7426" w:rsidRDefault="00FD7426">
      <w:pPr>
        <w:rPr>
          <w:rFonts w:ascii="Tahoma" w:eastAsia="Calibri" w:hAnsi="Tahoma" w:cs="Tahoma"/>
          <w:sz w:val="24"/>
          <w:szCs w:val="24"/>
        </w:rPr>
      </w:pPr>
      <w:r>
        <w:rPr>
          <w:rFonts w:ascii="Tahoma" w:eastAsia="Calibri" w:hAnsi="Tahoma" w:cs="Tahoma"/>
          <w:sz w:val="24"/>
          <w:szCs w:val="24"/>
        </w:rPr>
        <w:br w:type="page"/>
      </w:r>
    </w:p>
    <w:p w:rsidR="00FD7426" w:rsidRPr="00FD7426" w:rsidRDefault="00FD7426" w:rsidP="00FD7426">
      <w:pPr>
        <w:spacing w:line="240" w:lineRule="auto"/>
        <w:ind w:firstLine="0"/>
        <w:jc w:val="left"/>
        <w:rPr>
          <w:rFonts w:ascii="Tahoma" w:eastAsia="Times New Roman" w:hAnsi="Tahoma" w:cs="Tahoma"/>
          <w:sz w:val="20"/>
          <w:szCs w:val="18"/>
          <w:lang w:val="es-ES_tradnl" w:eastAsia="es-ES"/>
        </w:rPr>
      </w:pPr>
      <w:r w:rsidRPr="00FD7426">
        <w:rPr>
          <w:rFonts w:ascii="Tahoma" w:eastAsia="Times New Roman" w:hAnsi="Tahoma" w:cs="Tahoma"/>
          <w:sz w:val="20"/>
          <w:szCs w:val="18"/>
          <w:lang w:val="es-ES_tradnl" w:eastAsia="es-ES"/>
        </w:rPr>
        <w:lastRenderedPageBreak/>
        <w:t>Providencia:</w:t>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t>Auto del 04 de febrero de 2020</w:t>
      </w:r>
    </w:p>
    <w:p w:rsidR="00FD7426" w:rsidRPr="00FD7426" w:rsidRDefault="00FD7426" w:rsidP="00FD7426">
      <w:pPr>
        <w:spacing w:line="240" w:lineRule="auto"/>
        <w:ind w:firstLine="0"/>
        <w:jc w:val="left"/>
        <w:rPr>
          <w:rFonts w:ascii="Tahoma" w:eastAsia="Times New Roman" w:hAnsi="Tahoma" w:cs="Tahoma"/>
          <w:sz w:val="20"/>
          <w:szCs w:val="18"/>
          <w:lang w:val="es-ES_tradnl" w:eastAsia="es-ES"/>
        </w:rPr>
      </w:pPr>
      <w:r w:rsidRPr="00FD7426">
        <w:rPr>
          <w:rFonts w:ascii="Tahoma" w:eastAsia="Times New Roman" w:hAnsi="Tahoma" w:cs="Tahoma"/>
          <w:sz w:val="20"/>
          <w:szCs w:val="18"/>
          <w:lang w:val="es-ES_tradnl" w:eastAsia="es-ES"/>
        </w:rPr>
        <w:t>Radicación No.:</w:t>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t>66001-31-05-002-2018-00194-01</w:t>
      </w:r>
    </w:p>
    <w:p w:rsidR="00FD7426" w:rsidRPr="00FD7426" w:rsidRDefault="00FD7426" w:rsidP="00FD7426">
      <w:pPr>
        <w:spacing w:line="240" w:lineRule="auto"/>
        <w:ind w:firstLine="0"/>
        <w:jc w:val="left"/>
        <w:rPr>
          <w:rFonts w:ascii="Tahoma" w:eastAsia="Times New Roman" w:hAnsi="Tahoma" w:cs="Tahoma"/>
          <w:sz w:val="20"/>
          <w:szCs w:val="18"/>
          <w:lang w:val="es-ES_tradnl" w:eastAsia="es-ES"/>
        </w:rPr>
      </w:pPr>
      <w:r w:rsidRPr="00FD7426">
        <w:rPr>
          <w:rFonts w:ascii="Tahoma" w:eastAsia="Times New Roman" w:hAnsi="Tahoma" w:cs="Tahoma"/>
          <w:sz w:val="20"/>
          <w:szCs w:val="18"/>
          <w:lang w:val="es-ES_tradnl" w:eastAsia="es-ES"/>
        </w:rPr>
        <w:t>Proceso:</w:t>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t xml:space="preserve">Ordinario Laboral </w:t>
      </w:r>
    </w:p>
    <w:p w:rsidR="00FD7426" w:rsidRPr="00FD7426" w:rsidRDefault="00FD7426" w:rsidP="00FD7426">
      <w:pPr>
        <w:spacing w:line="240" w:lineRule="auto"/>
        <w:ind w:firstLine="0"/>
        <w:jc w:val="left"/>
        <w:rPr>
          <w:rFonts w:ascii="Tahoma" w:eastAsia="Times New Roman" w:hAnsi="Tahoma" w:cs="Tahoma"/>
          <w:sz w:val="20"/>
          <w:szCs w:val="18"/>
          <w:lang w:val="es-ES_tradnl" w:eastAsia="es-ES"/>
        </w:rPr>
      </w:pPr>
      <w:r w:rsidRPr="00FD7426">
        <w:rPr>
          <w:rFonts w:ascii="Tahoma" w:eastAsia="Times New Roman" w:hAnsi="Tahoma" w:cs="Tahoma"/>
          <w:sz w:val="20"/>
          <w:szCs w:val="18"/>
          <w:lang w:val="es-ES_tradnl" w:eastAsia="es-ES"/>
        </w:rPr>
        <w:t>Accionante:</w:t>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r>
      <w:proofErr w:type="spellStart"/>
      <w:r w:rsidRPr="00FD7426">
        <w:rPr>
          <w:rFonts w:ascii="Tahoma" w:eastAsia="Times New Roman" w:hAnsi="Tahoma" w:cs="Tahoma"/>
          <w:sz w:val="20"/>
          <w:szCs w:val="18"/>
          <w:lang w:val="es-ES_tradnl" w:eastAsia="es-ES"/>
        </w:rPr>
        <w:t>Nathalia</w:t>
      </w:r>
      <w:proofErr w:type="spellEnd"/>
      <w:r w:rsidRPr="00FD7426">
        <w:rPr>
          <w:rFonts w:ascii="Tahoma" w:eastAsia="Times New Roman" w:hAnsi="Tahoma" w:cs="Tahoma"/>
          <w:sz w:val="20"/>
          <w:szCs w:val="18"/>
          <w:lang w:val="es-ES_tradnl" w:eastAsia="es-ES"/>
        </w:rPr>
        <w:t xml:space="preserve"> Castrillón Murillo</w:t>
      </w:r>
    </w:p>
    <w:p w:rsidR="00FD7426" w:rsidRPr="00FD7426" w:rsidRDefault="00FD7426" w:rsidP="00FD7426">
      <w:pPr>
        <w:spacing w:line="240" w:lineRule="auto"/>
        <w:ind w:firstLine="0"/>
        <w:jc w:val="left"/>
        <w:rPr>
          <w:rFonts w:ascii="Tahoma" w:eastAsia="Times New Roman" w:hAnsi="Tahoma" w:cs="Tahoma"/>
          <w:sz w:val="20"/>
          <w:szCs w:val="18"/>
          <w:lang w:val="es-ES_tradnl" w:eastAsia="es-ES"/>
        </w:rPr>
      </w:pPr>
      <w:bookmarkStart w:id="1" w:name="OLE_LINK1"/>
      <w:r w:rsidRPr="00FD7426">
        <w:rPr>
          <w:rFonts w:ascii="Tahoma" w:eastAsia="Times New Roman" w:hAnsi="Tahoma" w:cs="Tahoma"/>
          <w:sz w:val="20"/>
          <w:szCs w:val="18"/>
          <w:lang w:val="es-ES_tradnl" w:eastAsia="es-ES"/>
        </w:rPr>
        <w:t>Accionado:</w:t>
      </w:r>
      <w:bookmarkEnd w:id="1"/>
      <w:r w:rsidRPr="00FD7426">
        <w:rPr>
          <w:rFonts w:ascii="Tahoma" w:eastAsia="Times New Roman" w:hAnsi="Tahoma" w:cs="Tahoma"/>
          <w:sz w:val="20"/>
          <w:szCs w:val="18"/>
          <w:lang w:val="es-ES_tradnl" w:eastAsia="es-ES"/>
        </w:rPr>
        <w:tab/>
        <w:t xml:space="preserve"> </w:t>
      </w:r>
      <w:r w:rsidRPr="00FD7426">
        <w:rPr>
          <w:rFonts w:ascii="Tahoma" w:eastAsia="Times New Roman" w:hAnsi="Tahoma" w:cs="Tahoma"/>
          <w:sz w:val="20"/>
          <w:szCs w:val="18"/>
          <w:lang w:val="es-ES_tradnl" w:eastAsia="es-ES"/>
        </w:rPr>
        <w:tab/>
      </w:r>
      <w:r w:rsidRPr="00FD7426">
        <w:rPr>
          <w:rFonts w:ascii="Tahoma" w:eastAsia="Times New Roman" w:hAnsi="Tahoma" w:cs="Tahoma"/>
          <w:sz w:val="20"/>
          <w:szCs w:val="18"/>
          <w:lang w:val="es-ES_tradnl" w:eastAsia="es-ES"/>
        </w:rPr>
        <w:tab/>
        <w:t xml:space="preserve">Telemark </w:t>
      </w:r>
      <w:proofErr w:type="spellStart"/>
      <w:r w:rsidRPr="00FD7426">
        <w:rPr>
          <w:rFonts w:ascii="Tahoma" w:eastAsia="Times New Roman" w:hAnsi="Tahoma" w:cs="Tahoma"/>
          <w:sz w:val="20"/>
          <w:szCs w:val="18"/>
          <w:lang w:val="es-ES_tradnl" w:eastAsia="es-ES"/>
        </w:rPr>
        <w:t>Spain</w:t>
      </w:r>
      <w:proofErr w:type="spellEnd"/>
      <w:r w:rsidRPr="00FD7426">
        <w:rPr>
          <w:rFonts w:ascii="Tahoma" w:eastAsia="Times New Roman" w:hAnsi="Tahoma" w:cs="Tahoma"/>
          <w:sz w:val="20"/>
          <w:szCs w:val="18"/>
          <w:lang w:val="es-ES_tradnl" w:eastAsia="es-ES"/>
        </w:rPr>
        <w:t xml:space="preserve"> S.L.</w:t>
      </w:r>
    </w:p>
    <w:p w:rsidR="00FD7426" w:rsidRPr="00FD7426" w:rsidRDefault="00FD7426" w:rsidP="00FD7426">
      <w:pPr>
        <w:widowControl w:val="0"/>
        <w:autoSpaceDE w:val="0"/>
        <w:autoSpaceDN w:val="0"/>
        <w:adjustRightInd w:val="0"/>
        <w:spacing w:line="240" w:lineRule="auto"/>
        <w:ind w:firstLine="0"/>
        <w:rPr>
          <w:rFonts w:ascii="Tahoma" w:eastAsia="Times New Roman" w:hAnsi="Tahoma" w:cs="Tahoma"/>
          <w:sz w:val="20"/>
          <w:szCs w:val="18"/>
          <w:lang w:eastAsia="es-ES"/>
        </w:rPr>
      </w:pPr>
      <w:r w:rsidRPr="00FD7426">
        <w:rPr>
          <w:rFonts w:ascii="Tahoma" w:eastAsia="Times New Roman" w:hAnsi="Tahoma" w:cs="Tahoma"/>
          <w:sz w:val="20"/>
          <w:szCs w:val="18"/>
          <w:lang w:eastAsia="es-ES"/>
        </w:rPr>
        <w:t>Magistrada ponente:</w:t>
      </w:r>
      <w:r w:rsidRPr="00FD7426">
        <w:rPr>
          <w:rFonts w:ascii="Tahoma" w:eastAsia="Times New Roman" w:hAnsi="Tahoma" w:cs="Tahoma"/>
          <w:sz w:val="20"/>
          <w:szCs w:val="18"/>
          <w:lang w:eastAsia="es-ES"/>
        </w:rPr>
        <w:tab/>
      </w:r>
      <w:r w:rsidRPr="00FD7426">
        <w:rPr>
          <w:rFonts w:ascii="Tahoma" w:eastAsia="Times New Roman" w:hAnsi="Tahoma" w:cs="Tahoma"/>
          <w:sz w:val="20"/>
          <w:szCs w:val="18"/>
          <w:lang w:eastAsia="es-ES"/>
        </w:rPr>
        <w:tab/>
        <w:t>Olga Lucía Hoyos Sepúlveda</w:t>
      </w:r>
    </w:p>
    <w:p w:rsidR="00FD7426" w:rsidRPr="00FD7426" w:rsidRDefault="00FD7426" w:rsidP="00FD7426">
      <w:pPr>
        <w:widowControl w:val="0"/>
        <w:autoSpaceDE w:val="0"/>
        <w:autoSpaceDN w:val="0"/>
        <w:adjustRightInd w:val="0"/>
        <w:spacing w:line="240" w:lineRule="auto"/>
        <w:ind w:left="2805" w:hanging="2805"/>
        <w:rPr>
          <w:rFonts w:ascii="Tahoma" w:eastAsia="Times New Roman" w:hAnsi="Tahoma" w:cs="Tahoma"/>
          <w:sz w:val="20"/>
          <w:szCs w:val="18"/>
          <w:lang w:eastAsia="es-ES"/>
        </w:rPr>
      </w:pPr>
      <w:r w:rsidRPr="00FD7426">
        <w:rPr>
          <w:rFonts w:ascii="Tahoma" w:eastAsia="Times New Roman" w:hAnsi="Tahoma" w:cs="Tahoma"/>
          <w:sz w:val="20"/>
          <w:szCs w:val="18"/>
          <w:lang w:eastAsia="es-ES"/>
        </w:rPr>
        <w:t xml:space="preserve">Magistrada que salva voto:     </w:t>
      </w:r>
      <w:r w:rsidRPr="00FD7426">
        <w:rPr>
          <w:rFonts w:ascii="Tahoma" w:eastAsia="Times New Roman" w:hAnsi="Tahoma" w:cs="Tahoma"/>
          <w:sz w:val="20"/>
          <w:szCs w:val="18"/>
          <w:lang w:eastAsia="es-ES"/>
        </w:rPr>
        <w:tab/>
      </w:r>
      <w:r w:rsidRPr="00FD7426">
        <w:rPr>
          <w:rFonts w:ascii="Tahoma" w:eastAsia="Times New Roman" w:hAnsi="Tahoma" w:cs="Tahoma"/>
          <w:sz w:val="20"/>
          <w:szCs w:val="18"/>
          <w:lang w:eastAsia="es-ES"/>
        </w:rPr>
        <w:tab/>
        <w:t>Ana Lucia Caicedo Calderón</w:t>
      </w:r>
    </w:p>
    <w:p w:rsidR="00FD7426" w:rsidRDefault="00FD7426" w:rsidP="00FD7426">
      <w:pPr>
        <w:widowControl w:val="0"/>
        <w:autoSpaceDE w:val="0"/>
        <w:autoSpaceDN w:val="0"/>
        <w:adjustRightInd w:val="0"/>
        <w:spacing w:line="240" w:lineRule="auto"/>
        <w:ind w:left="2805" w:hanging="2805"/>
        <w:rPr>
          <w:rFonts w:ascii="Arial" w:eastAsia="Times New Roman" w:hAnsi="Arial" w:cs="Arial"/>
          <w:b/>
          <w:sz w:val="18"/>
          <w:szCs w:val="18"/>
          <w:lang w:eastAsia="es-MX"/>
        </w:rPr>
      </w:pPr>
    </w:p>
    <w:p w:rsidR="00FD7426" w:rsidRPr="00FD7426" w:rsidRDefault="00FD7426" w:rsidP="00FD7426">
      <w:pPr>
        <w:widowControl w:val="0"/>
        <w:autoSpaceDE w:val="0"/>
        <w:autoSpaceDN w:val="0"/>
        <w:adjustRightInd w:val="0"/>
        <w:spacing w:line="240" w:lineRule="auto"/>
        <w:ind w:left="2805" w:hanging="2805"/>
        <w:rPr>
          <w:rFonts w:ascii="Arial" w:eastAsia="Times New Roman" w:hAnsi="Arial" w:cs="Arial"/>
          <w:b/>
          <w:sz w:val="18"/>
          <w:szCs w:val="18"/>
          <w:lang w:eastAsia="es-MX"/>
        </w:rPr>
      </w:pPr>
    </w:p>
    <w:p w:rsidR="00FD7426" w:rsidRPr="00FD7426" w:rsidRDefault="00FD7426" w:rsidP="00FD7426">
      <w:pPr>
        <w:spacing w:line="240" w:lineRule="auto"/>
        <w:ind w:firstLine="0"/>
        <w:jc w:val="left"/>
        <w:rPr>
          <w:rFonts w:ascii="Times New Roman" w:eastAsia="Times New Roman" w:hAnsi="Times New Roman" w:cs="Times New Roman"/>
          <w:lang w:val="es-CO" w:eastAsia="es-MX"/>
        </w:rPr>
      </w:pPr>
      <w:r w:rsidRPr="00FD7426">
        <w:rPr>
          <w:rFonts w:ascii="Times New Roman" w:eastAsia="Times New Roman" w:hAnsi="Times New Roman" w:cs="Times New Roman"/>
          <w:sz w:val="24"/>
          <w:szCs w:val="24"/>
          <w:lang w:val="es-CO" w:eastAsia="es-MX"/>
        </w:rPr>
        <w:tab/>
      </w:r>
    </w:p>
    <w:p w:rsidR="00FD7426" w:rsidRPr="00FD7426" w:rsidRDefault="00FD7426" w:rsidP="00FD7426">
      <w:pPr>
        <w:keepNext/>
        <w:spacing w:line="240" w:lineRule="auto"/>
        <w:ind w:firstLine="0"/>
        <w:jc w:val="center"/>
        <w:outlineLvl w:val="0"/>
        <w:rPr>
          <w:rFonts w:ascii="Tahoma" w:eastAsia="Times New Roman" w:hAnsi="Tahoma" w:cs="Tahoma"/>
          <w:b/>
          <w:bCs/>
          <w:u w:val="single"/>
          <w:lang w:eastAsia="es-ES"/>
        </w:rPr>
      </w:pPr>
      <w:r w:rsidRPr="00FD7426">
        <w:rPr>
          <w:rFonts w:ascii="Tahoma" w:eastAsia="Times New Roman" w:hAnsi="Tahoma" w:cs="Tahoma"/>
          <w:b/>
          <w:bCs/>
          <w:u w:val="single"/>
          <w:lang w:eastAsia="es-ES"/>
        </w:rPr>
        <w:t>SALVAMENTO DE VOTO</w:t>
      </w:r>
    </w:p>
    <w:p w:rsidR="00FD7426" w:rsidRPr="00FD7426" w:rsidRDefault="00FD7426" w:rsidP="00FD7426">
      <w:pPr>
        <w:tabs>
          <w:tab w:val="left" w:pos="2119"/>
        </w:tabs>
        <w:spacing w:line="240" w:lineRule="auto"/>
        <w:ind w:firstLine="0"/>
        <w:rPr>
          <w:rFonts w:ascii="Tahoma" w:eastAsia="Times New Roman" w:hAnsi="Tahoma" w:cs="Tahoma"/>
          <w:b/>
          <w:bCs/>
          <w:lang w:eastAsia="es-ES"/>
        </w:rPr>
      </w:pPr>
      <w:r w:rsidRPr="00FD7426">
        <w:rPr>
          <w:rFonts w:ascii="Tahoma" w:eastAsia="Times New Roman" w:hAnsi="Tahoma" w:cs="Tahoma"/>
          <w:b/>
          <w:bCs/>
          <w:lang w:eastAsia="es-ES"/>
        </w:rPr>
        <w:tab/>
      </w:r>
    </w:p>
    <w:p w:rsidR="00FD7426" w:rsidRPr="00FD7426" w:rsidRDefault="00FD7426" w:rsidP="00FD7426">
      <w:pPr>
        <w:spacing w:line="276" w:lineRule="auto"/>
        <w:rPr>
          <w:rFonts w:ascii="Tahoma" w:eastAsia="Times New Roman" w:hAnsi="Tahoma" w:cs="Tahoma"/>
          <w:lang w:eastAsia="es-ES"/>
        </w:rPr>
      </w:pPr>
      <w:r w:rsidRPr="00FD7426">
        <w:rPr>
          <w:rFonts w:ascii="Tahoma" w:eastAsia="Times New Roman" w:hAnsi="Tahoma" w:cs="Tahoma"/>
          <w:lang w:eastAsia="es-ES"/>
        </w:rPr>
        <w:t>Como quiera que mi proyecto fue derrotado por la mayoría de la Sala, mi salvamento se edifica sobre lo que en su oportunidad propuse respecto al caso en cuestión, relativo a decidir de fondo la alzada propuesta, refiriéndome en primer lugar al régimen de nulidades procesales en materia laboral y posteriormente a los efectos de la cosa juzgada, de la siguiente manera:</w:t>
      </w:r>
    </w:p>
    <w:p w:rsidR="00FD7426" w:rsidRPr="00FD7426" w:rsidRDefault="00FD7426" w:rsidP="00FD7426">
      <w:pPr>
        <w:spacing w:line="276" w:lineRule="auto"/>
        <w:rPr>
          <w:rFonts w:ascii="Tahoma" w:eastAsia="Times New Roman" w:hAnsi="Tahoma" w:cs="Tahoma"/>
          <w:lang w:eastAsia="es-ES"/>
        </w:rPr>
      </w:pPr>
    </w:p>
    <w:p w:rsidR="00FD7426" w:rsidRPr="00FD7426" w:rsidRDefault="00FD7426" w:rsidP="00FD7426">
      <w:pPr>
        <w:widowControl w:val="0"/>
        <w:spacing w:line="240" w:lineRule="auto"/>
        <w:ind w:firstLine="708"/>
        <w:jc w:val="left"/>
        <w:rPr>
          <w:rFonts w:ascii="Tahoma" w:eastAsia="Times New Roman" w:hAnsi="Tahoma" w:cs="Tahoma"/>
          <w:b/>
          <w:lang w:val="es-MX" w:eastAsia="es-ES"/>
        </w:rPr>
      </w:pPr>
      <w:r w:rsidRPr="00FD7426">
        <w:rPr>
          <w:rFonts w:ascii="Tahoma" w:eastAsia="Times New Roman" w:hAnsi="Tahoma" w:cs="Tahoma"/>
          <w:b/>
          <w:lang w:val="es-MX" w:eastAsia="es-ES"/>
        </w:rPr>
        <w:t xml:space="preserve">1. Régimen de nulidades procesales en materia laboral </w:t>
      </w:r>
    </w:p>
    <w:p w:rsidR="00FD7426" w:rsidRPr="00FD7426" w:rsidRDefault="00FD7426" w:rsidP="00FD7426">
      <w:pPr>
        <w:widowControl w:val="0"/>
        <w:spacing w:line="240" w:lineRule="auto"/>
        <w:ind w:firstLine="0"/>
        <w:rPr>
          <w:rFonts w:ascii="Arial Narrow" w:eastAsia="Times New Roman" w:hAnsi="Arial Narrow" w:cs="Tahoma"/>
          <w:lang w:val="es-MX" w:eastAsia="es-ES"/>
        </w:rPr>
      </w:pPr>
    </w:p>
    <w:p w:rsidR="00FD7426" w:rsidRPr="00FD7426" w:rsidRDefault="00FD7426" w:rsidP="00FD7426">
      <w:pPr>
        <w:widowControl w:val="0"/>
        <w:spacing w:line="276" w:lineRule="auto"/>
        <w:ind w:firstLine="708"/>
        <w:rPr>
          <w:rFonts w:ascii="Tahoma" w:eastAsia="Times New Roman" w:hAnsi="Tahoma" w:cs="Tahoma"/>
          <w:lang w:val="es-MX" w:eastAsia="es-ES"/>
        </w:rPr>
      </w:pPr>
      <w:r w:rsidRPr="00FD7426">
        <w:rPr>
          <w:rFonts w:ascii="Tahoma" w:eastAsia="Times New Roman" w:hAnsi="Tahoma" w:cs="Tahoma"/>
          <w:lang w:val="es-MX" w:eastAsia="es-ES"/>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rsidR="00FD7426" w:rsidRPr="00FD7426" w:rsidRDefault="00FD7426" w:rsidP="00FD7426">
      <w:pPr>
        <w:widowControl w:val="0"/>
        <w:spacing w:line="240" w:lineRule="auto"/>
        <w:ind w:firstLine="708"/>
        <w:rPr>
          <w:rFonts w:ascii="Tahoma" w:eastAsia="Times New Roman" w:hAnsi="Tahoma" w:cs="Tahoma"/>
          <w:lang w:val="es-MX" w:eastAsia="es-ES"/>
        </w:rPr>
      </w:pPr>
    </w:p>
    <w:p w:rsidR="00FD7426" w:rsidRPr="00FD7426" w:rsidRDefault="00FD7426" w:rsidP="00FD7426">
      <w:pPr>
        <w:widowControl w:val="0"/>
        <w:spacing w:line="276" w:lineRule="auto"/>
        <w:ind w:firstLine="708"/>
        <w:rPr>
          <w:rFonts w:ascii="Tahoma" w:eastAsia="Times New Roman" w:hAnsi="Tahoma" w:cs="Tahoma"/>
          <w:lang w:val="es-MX" w:eastAsia="es-ES"/>
        </w:rPr>
      </w:pPr>
      <w:r w:rsidRPr="00FD7426">
        <w:rPr>
          <w:rFonts w:ascii="Tahoma" w:eastAsia="Times New Roman" w:hAnsi="Tahoma" w:cs="Tahoma"/>
          <w:lang w:val="es-MX" w:eastAsia="es-ES"/>
        </w:rPr>
        <w:t xml:space="preserve">No obstante lo anterior, con la entrada en vigencia de la Ley </w:t>
      </w:r>
      <w:r w:rsidRPr="00FD7426">
        <w:rPr>
          <w:rFonts w:ascii="Tahoma" w:eastAsia="Times New Roman" w:hAnsi="Tahoma" w:cs="Tahoma"/>
          <w:u w:val="single"/>
          <w:lang w:val="es-MX" w:eastAsia="es-ES"/>
        </w:rPr>
        <w:t>1564 de 2012</w:t>
      </w:r>
      <w:r w:rsidRPr="00FD7426">
        <w:rPr>
          <w:rFonts w:ascii="Tahoma" w:eastAsia="Times New Roman" w:hAnsi="Tahoma" w:cs="Tahoma"/>
          <w:lang w:val="es-MX" w:eastAsia="es-ES"/>
        </w:rPr>
        <w:t xml:space="preserve">, </w:t>
      </w:r>
      <w:r w:rsidRPr="00FD7426">
        <w:rPr>
          <w:rFonts w:ascii="Arial Narrow" w:eastAsia="Times New Roman" w:hAnsi="Arial Narrow" w:cs="Arial Hebrew"/>
          <w:i/>
          <w:lang w:val="es-MX" w:eastAsia="es-ES"/>
        </w:rPr>
        <w:t>“</w:t>
      </w:r>
      <w:r w:rsidRPr="00FD7426">
        <w:rPr>
          <w:rFonts w:ascii="Arial Narrow" w:eastAsia="Calibri" w:hAnsi="Arial Narrow" w:cs="Calibri"/>
          <w:i/>
          <w:lang w:val="es-MX" w:eastAsia="es-ES"/>
        </w:rPr>
        <w:t>por</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medio</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de</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la</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cual</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se</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expide</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el</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Código</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General</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del</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Proceso</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y</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se</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dictan</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otras</w:t>
      </w:r>
      <w:r w:rsidRPr="00FD7426">
        <w:rPr>
          <w:rFonts w:ascii="Arial Narrow" w:eastAsia="Times New Roman" w:hAnsi="Arial Narrow" w:cs="Arial Hebrew"/>
          <w:i/>
          <w:lang w:val="es-MX" w:eastAsia="es-ES"/>
        </w:rPr>
        <w:t xml:space="preserve"> </w:t>
      </w:r>
      <w:r w:rsidRPr="00FD7426">
        <w:rPr>
          <w:rFonts w:ascii="Arial Narrow" w:eastAsia="Calibri" w:hAnsi="Arial Narrow" w:cs="Calibri"/>
          <w:i/>
          <w:lang w:val="es-MX" w:eastAsia="es-ES"/>
        </w:rPr>
        <w:t>disposiciones</w:t>
      </w:r>
      <w:r w:rsidRPr="00FD7426">
        <w:rPr>
          <w:rFonts w:ascii="Arial Narrow" w:eastAsia="Times New Roman" w:hAnsi="Arial Narrow" w:cs="Arial Hebrew"/>
          <w:i/>
          <w:lang w:val="es-MX" w:eastAsia="es-ES"/>
        </w:rPr>
        <w:t>”</w:t>
      </w:r>
      <w:r w:rsidRPr="00FD7426">
        <w:rPr>
          <w:rFonts w:ascii="Tahoma" w:eastAsia="Times New Roman" w:hAnsi="Tahoma" w:cs="Tahoma"/>
          <w:lang w:val="es-MX" w:eastAsia="es-ES"/>
        </w:rPr>
        <w:t xml:space="preserve">,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w:t>
      </w:r>
      <w:proofErr w:type="spellStart"/>
      <w:r w:rsidRPr="00FD7426">
        <w:rPr>
          <w:rFonts w:ascii="Tahoma" w:eastAsia="Times New Roman" w:hAnsi="Tahoma" w:cs="Tahoma"/>
          <w:lang w:val="es-MX" w:eastAsia="es-ES"/>
        </w:rPr>
        <w:t>CPT</w:t>
      </w:r>
      <w:proofErr w:type="spellEnd"/>
      <w:r w:rsidRPr="00FD7426">
        <w:rPr>
          <w:rFonts w:ascii="Tahoma" w:eastAsia="Times New Roman" w:hAnsi="Tahoma" w:cs="Tahoma"/>
          <w:lang w:val="es-MX" w:eastAsia="es-ES"/>
        </w:rPr>
        <w:t xml:space="preserve"> y de la SS, y por tanto suplir el vacío normativo con las normas del </w:t>
      </w:r>
      <w:proofErr w:type="spellStart"/>
      <w:r w:rsidRPr="00FD7426">
        <w:rPr>
          <w:rFonts w:ascii="Tahoma" w:eastAsia="Times New Roman" w:hAnsi="Tahoma" w:cs="Tahoma"/>
          <w:lang w:val="es-MX" w:eastAsia="es-ES"/>
        </w:rPr>
        <w:t>CGP</w:t>
      </w:r>
      <w:proofErr w:type="spellEnd"/>
      <w:r w:rsidRPr="00FD7426">
        <w:rPr>
          <w:rFonts w:ascii="Tahoma" w:eastAsia="Times New Roman" w:hAnsi="Tahoma" w:cs="Tahoma"/>
          <w:lang w:val="es-MX" w:eastAsia="es-ES"/>
        </w:rPr>
        <w:t>.</w:t>
      </w:r>
    </w:p>
    <w:p w:rsidR="00FD7426" w:rsidRPr="00FD7426" w:rsidRDefault="00FD7426" w:rsidP="00FD7426">
      <w:pPr>
        <w:widowControl w:val="0"/>
        <w:spacing w:line="240" w:lineRule="auto"/>
        <w:ind w:firstLine="708"/>
        <w:rPr>
          <w:rFonts w:ascii="Tahoma" w:eastAsia="Times New Roman" w:hAnsi="Tahoma" w:cs="Tahoma"/>
          <w:lang w:val="es-MX" w:eastAsia="es-ES"/>
        </w:rPr>
      </w:pPr>
    </w:p>
    <w:p w:rsidR="00FD7426" w:rsidRPr="00FD7426" w:rsidRDefault="00FD7426" w:rsidP="00FD7426">
      <w:pPr>
        <w:widowControl w:val="0"/>
        <w:spacing w:line="276" w:lineRule="auto"/>
        <w:ind w:firstLine="708"/>
        <w:rPr>
          <w:rFonts w:ascii="Tahoma" w:eastAsia="Times New Roman" w:hAnsi="Tahoma" w:cs="Tahoma"/>
          <w:lang w:eastAsia="es-ES_tradnl"/>
        </w:rPr>
      </w:pPr>
      <w:r w:rsidRPr="00FD7426">
        <w:rPr>
          <w:rFonts w:ascii="Tahoma" w:eastAsia="Times New Roman" w:hAnsi="Tahoma" w:cs="Tahoma"/>
          <w:lang w:val="es-MX" w:eastAsia="es-ES"/>
        </w:rPr>
        <w:t xml:space="preserve">Aclarado lo anterior, cabe advertir que el régimen de nulidades procesales dispuesto en el </w:t>
      </w:r>
      <w:proofErr w:type="spellStart"/>
      <w:r w:rsidRPr="00FD7426">
        <w:rPr>
          <w:rFonts w:ascii="Tahoma" w:eastAsia="Times New Roman" w:hAnsi="Tahoma" w:cs="Tahoma"/>
          <w:lang w:val="es-MX" w:eastAsia="es-ES"/>
        </w:rPr>
        <w:t>CGP</w:t>
      </w:r>
      <w:proofErr w:type="spellEnd"/>
      <w:r w:rsidRPr="00FD7426">
        <w:rPr>
          <w:rFonts w:ascii="Tahoma" w:eastAsia="Times New Roman" w:hAnsi="Tahoma" w:cs="Tahoma"/>
          <w:lang w:val="es-MX" w:eastAsia="es-ES"/>
        </w:rPr>
        <w:t xml:space="preserve">, tiene un carácter excepcional y taxativo, al punto que las únicas nulidades </w:t>
      </w:r>
      <w:proofErr w:type="spellStart"/>
      <w:r w:rsidRPr="00FD7426">
        <w:rPr>
          <w:rFonts w:ascii="Tahoma" w:eastAsia="Times New Roman" w:hAnsi="Tahoma" w:cs="Tahoma"/>
          <w:lang w:val="es-MX" w:eastAsia="es-ES"/>
        </w:rPr>
        <w:t>insaneables</w:t>
      </w:r>
      <w:proofErr w:type="spellEnd"/>
      <w:r w:rsidRPr="00FD7426">
        <w:rPr>
          <w:rFonts w:ascii="Tahoma" w:eastAsia="Times New Roman" w:hAnsi="Tahoma" w:cs="Tahoma"/>
          <w:lang w:val="es-MX" w:eastAsia="es-ES"/>
        </w:rPr>
        <w:t xml:space="preserve">, según lo dispuesto por el parágrafo del artículo 136 ídem, son aquellas que se configuran </w:t>
      </w:r>
      <w:r w:rsidRPr="00FD7426">
        <w:rPr>
          <w:rFonts w:ascii="Tahoma" w:eastAsia="Times New Roman" w:hAnsi="Tahoma" w:cs="Tahoma"/>
          <w:lang w:eastAsia="es-ES_tradnl"/>
        </w:rPr>
        <w:t xml:space="preserve">por el juez proceder contra providencia ejecutoriada del superior, revivir un proceso legalmente concluido o pretermitir íntegramente la respectiva instancia. Las demás nulidades, conforme al mismo artículo, se sanean </w:t>
      </w:r>
      <w:r w:rsidRPr="00FD7426">
        <w:rPr>
          <w:rFonts w:ascii="Tahoma" w:eastAsia="Times New Roman" w:hAnsi="Tahoma" w:cs="Tahoma"/>
          <w:b/>
          <w:lang w:eastAsia="es-ES_tradnl"/>
        </w:rPr>
        <w:t>1)</w:t>
      </w:r>
      <w:r w:rsidRPr="00FD7426">
        <w:rPr>
          <w:rFonts w:ascii="Tahoma" w:eastAsia="Times New Roman" w:hAnsi="Tahoma" w:cs="Tahoma"/>
          <w:lang w:eastAsia="es-ES_tradnl"/>
        </w:rPr>
        <w:t xml:space="preserve"> cuando la parte que podía alegarla no lo hizo oportunamente o actuó sin proponerla, </w:t>
      </w:r>
      <w:r w:rsidRPr="00FD7426">
        <w:rPr>
          <w:rFonts w:ascii="Tahoma" w:eastAsia="Times New Roman" w:hAnsi="Tahoma" w:cs="Tahoma"/>
          <w:b/>
          <w:lang w:eastAsia="es-ES_tradnl"/>
        </w:rPr>
        <w:t xml:space="preserve">2) </w:t>
      </w:r>
      <w:r w:rsidRPr="00FD7426">
        <w:rPr>
          <w:rFonts w:ascii="Tahoma" w:eastAsia="Times New Roman" w:hAnsi="Tahoma" w:cs="Tahoma"/>
          <w:lang w:eastAsia="es-ES_tradnl"/>
        </w:rPr>
        <w:t xml:space="preserve">cuando la parte que podía alegarla la convalidó en forma expresa antes de haber sido renovada la actuación anulada. </w:t>
      </w:r>
      <w:r w:rsidRPr="00FD7426">
        <w:rPr>
          <w:rFonts w:ascii="Tahoma" w:eastAsia="Times New Roman" w:hAnsi="Tahoma" w:cs="Tahoma"/>
          <w:b/>
          <w:lang w:eastAsia="es-ES_tradnl"/>
        </w:rPr>
        <w:t xml:space="preserve">3) </w:t>
      </w:r>
      <w:r w:rsidRPr="00FD7426">
        <w:rPr>
          <w:rFonts w:ascii="Tahoma" w:eastAsia="Times New Roman" w:hAnsi="Tahoma" w:cs="Tahoma"/>
          <w:lang w:eastAsia="es-ES_tradnl"/>
        </w:rPr>
        <w:t>cuando se origine en la interrupción o suspensión del proceso y no se alegue dentro de los cinco (5) días siguientes a la fecha en que haya cesado la causa y,</w:t>
      </w:r>
      <w:r w:rsidRPr="00FD7426">
        <w:rPr>
          <w:rFonts w:ascii="Tahoma" w:eastAsia="Times New Roman" w:hAnsi="Tahoma" w:cs="Tahoma"/>
          <w:b/>
          <w:lang w:eastAsia="es-ES_tradnl"/>
        </w:rPr>
        <w:t xml:space="preserve"> 4) </w:t>
      </w:r>
      <w:r w:rsidRPr="00FD7426">
        <w:rPr>
          <w:rFonts w:ascii="Tahoma" w:eastAsia="Times New Roman" w:hAnsi="Tahoma" w:cs="Tahoma"/>
          <w:lang w:eastAsia="es-ES_tradnl"/>
        </w:rPr>
        <w:t>cuando a pesar del vicio el acto procesal cumplió́ su finalidad y no se violó el derecho de defensa.</w:t>
      </w:r>
    </w:p>
    <w:p w:rsidR="00FD7426" w:rsidRPr="00FD7426" w:rsidRDefault="00FD7426" w:rsidP="00FD7426">
      <w:pPr>
        <w:widowControl w:val="0"/>
        <w:spacing w:line="240" w:lineRule="auto"/>
        <w:ind w:firstLine="708"/>
        <w:rPr>
          <w:rFonts w:ascii="Tahoma" w:eastAsia="Times New Roman" w:hAnsi="Tahoma" w:cs="Tahoma"/>
          <w:lang w:eastAsia="es-ES_tradnl"/>
        </w:rPr>
      </w:pPr>
    </w:p>
    <w:p w:rsidR="00FD7426" w:rsidRPr="00FD7426" w:rsidRDefault="00FD7426" w:rsidP="00FD7426">
      <w:pPr>
        <w:widowControl w:val="0"/>
        <w:spacing w:line="276" w:lineRule="auto"/>
        <w:ind w:firstLine="708"/>
        <w:rPr>
          <w:rFonts w:ascii="Tahoma" w:eastAsia="Times New Roman" w:hAnsi="Tahoma" w:cs="Tahoma"/>
          <w:b/>
          <w:lang w:eastAsia="es-ES_tradnl"/>
        </w:rPr>
      </w:pPr>
      <w:r w:rsidRPr="00FD7426">
        <w:rPr>
          <w:rFonts w:ascii="Tahoma" w:eastAsia="Times New Roman" w:hAnsi="Tahoma" w:cs="Tahoma"/>
          <w:b/>
          <w:lang w:eastAsia="es-ES_tradnl"/>
        </w:rPr>
        <w:t>2. Efectos de la notificación por conducta concluyente</w:t>
      </w:r>
    </w:p>
    <w:p w:rsidR="00FD7426" w:rsidRPr="00FD7426" w:rsidRDefault="00FD7426" w:rsidP="00FD7426">
      <w:pPr>
        <w:widowControl w:val="0"/>
        <w:spacing w:line="276" w:lineRule="auto"/>
        <w:ind w:firstLine="708"/>
        <w:rPr>
          <w:rFonts w:ascii="Tahoma" w:eastAsia="Times New Roman" w:hAnsi="Tahoma" w:cs="Tahoma"/>
          <w:lang w:eastAsia="es-ES_tradnl"/>
        </w:rPr>
      </w:pPr>
    </w:p>
    <w:p w:rsidR="00FD7426" w:rsidRPr="00FD7426" w:rsidRDefault="00FD7426" w:rsidP="00FD7426">
      <w:pPr>
        <w:widowControl w:val="0"/>
        <w:spacing w:line="276" w:lineRule="auto"/>
        <w:ind w:firstLine="708"/>
        <w:rPr>
          <w:rFonts w:ascii="Tahoma" w:eastAsia="Times New Roman" w:hAnsi="Tahoma" w:cs="Tahoma"/>
          <w:lang w:eastAsia="es-ES_tradnl"/>
        </w:rPr>
      </w:pPr>
      <w:r w:rsidRPr="00FD7426">
        <w:rPr>
          <w:rFonts w:ascii="Tahoma" w:eastAsia="Times New Roman" w:hAnsi="Tahoma" w:cs="Tahoma"/>
          <w:lang w:eastAsia="es-ES_tradnl"/>
        </w:rPr>
        <w:t xml:space="preserve">La notificación por conducta concluyente, regulada por los artículos 91 y 301 del </w:t>
      </w:r>
      <w:proofErr w:type="spellStart"/>
      <w:r w:rsidRPr="00FD7426">
        <w:rPr>
          <w:rFonts w:ascii="Tahoma" w:eastAsia="Times New Roman" w:hAnsi="Tahoma" w:cs="Tahoma"/>
          <w:lang w:eastAsia="es-ES_tradnl"/>
        </w:rPr>
        <w:t>CGP</w:t>
      </w:r>
      <w:proofErr w:type="spellEnd"/>
      <w:r w:rsidRPr="00FD7426">
        <w:rPr>
          <w:rFonts w:ascii="Tahoma" w:eastAsia="Times New Roman" w:hAnsi="Tahoma" w:cs="Tahoma"/>
          <w:lang w:eastAsia="es-ES_tradnl"/>
        </w:rPr>
        <w:t xml:space="preserve">, surte los mismos efectos de la notificación personal, de acuerdo a lo señalado en el último de los mencionados artículos, pues con ambas formas de notificación se garantiza el principio de publicidad de la actuación procesal, toda vez expresan un acto inequívoco de conocimiento del proceso por parte de quien debe ser notificado.  </w:t>
      </w:r>
    </w:p>
    <w:p w:rsidR="00FD7426" w:rsidRPr="00FD7426" w:rsidRDefault="00FD7426" w:rsidP="00FD7426">
      <w:pPr>
        <w:widowControl w:val="0"/>
        <w:spacing w:line="276" w:lineRule="auto"/>
        <w:ind w:firstLine="708"/>
        <w:rPr>
          <w:rFonts w:ascii="Tahoma" w:eastAsia="Times New Roman" w:hAnsi="Tahoma" w:cs="Tahoma"/>
          <w:lang w:eastAsia="es-ES_tradnl"/>
        </w:rPr>
      </w:pPr>
    </w:p>
    <w:p w:rsidR="00FD7426" w:rsidRPr="00FD7426" w:rsidRDefault="00FD7426" w:rsidP="00FD7426">
      <w:pPr>
        <w:widowControl w:val="0"/>
        <w:spacing w:line="276" w:lineRule="auto"/>
        <w:ind w:firstLine="708"/>
        <w:rPr>
          <w:rFonts w:ascii="Arial Narrow" w:eastAsia="Times New Roman" w:hAnsi="Arial Narrow" w:cs="Arial Hebrew"/>
          <w:i/>
          <w:lang w:eastAsia="es-ES_tradnl"/>
        </w:rPr>
      </w:pPr>
      <w:r w:rsidRPr="00FD7426">
        <w:rPr>
          <w:rFonts w:ascii="Tahoma" w:eastAsia="Times New Roman" w:hAnsi="Tahoma" w:cs="Tahoma"/>
          <w:lang w:eastAsia="es-ES_tradnl"/>
        </w:rPr>
        <w:t xml:space="preserve">En los eventos en que opera la notificación por conducta concluyente, el acto procesal se considera notificado a partir del vencimiento de los tres (3) días siguientes a la notificación el auto por medio del cual se le reconoce personería jurídica al abogado cuyo poder haya sido otorgado por la demandada, tal como lo dispone el citado artículo 91 del </w:t>
      </w:r>
      <w:proofErr w:type="spellStart"/>
      <w:r w:rsidRPr="00FD7426">
        <w:rPr>
          <w:rFonts w:ascii="Tahoma" w:eastAsia="Times New Roman" w:hAnsi="Tahoma" w:cs="Tahoma"/>
          <w:lang w:eastAsia="es-ES_tradnl"/>
        </w:rPr>
        <w:t>CGP</w:t>
      </w:r>
      <w:proofErr w:type="spellEnd"/>
      <w:r w:rsidRPr="00FD7426">
        <w:rPr>
          <w:rFonts w:ascii="Tahoma" w:eastAsia="Times New Roman" w:hAnsi="Tahoma" w:cs="Tahoma"/>
          <w:lang w:eastAsia="es-ES_tradnl"/>
        </w:rPr>
        <w:t xml:space="preserve">, que el respecto estable: </w:t>
      </w:r>
      <w:r w:rsidRPr="00FD7426">
        <w:rPr>
          <w:rFonts w:ascii="Arial Narrow" w:eastAsia="Times New Roman" w:hAnsi="Arial Narrow" w:cs="Arial Hebrew"/>
          <w:bCs/>
          <w:i/>
          <w:lang w:eastAsia="es-ES"/>
        </w:rPr>
        <w:t>“</w:t>
      </w:r>
      <w:r w:rsidRPr="00FD7426">
        <w:rPr>
          <w:rFonts w:ascii="Arial Narrow" w:eastAsia="Calibri" w:hAnsi="Arial Narrow" w:cs="Calibri"/>
          <w:bCs/>
          <w:i/>
          <w:lang w:eastAsia="es-ES"/>
        </w:rPr>
        <w:t>cuando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notificación</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del</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auto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admisorio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demanda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del</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mandamiento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pago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surta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por</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conducta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concluyente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por</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aviso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mediante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comisionado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el</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demandado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podrá</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solicitar</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en</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secretaría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que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suministre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reproducción</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demanda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y</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sus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anexos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dentro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los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tres</w:t>
      </w:r>
      <w:r w:rsidRPr="00FD7426">
        <w:rPr>
          <w:rFonts w:ascii="Arial Narrow" w:eastAsia="Times New Roman" w:hAnsi="Arial Narrow" w:cs="Arial Hebrew"/>
          <w:bCs/>
          <w:i/>
          <w:lang w:eastAsia="es-ES"/>
        </w:rPr>
        <w:t xml:space="preserve"> (3) </w:t>
      </w:r>
      <w:r w:rsidRPr="00FD7426">
        <w:rPr>
          <w:rFonts w:ascii="Arial Narrow" w:eastAsia="Calibri" w:hAnsi="Arial Narrow" w:cs="Calibri"/>
          <w:bCs/>
          <w:i/>
          <w:lang w:eastAsia="es-ES"/>
        </w:rPr>
        <w:t>días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siguientes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vencidos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los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cuales</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comenzará</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correr</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el</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término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ejecutoria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y</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traslado</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la</w:t>
      </w:r>
      <w:r w:rsidRPr="00FD7426">
        <w:rPr>
          <w:rFonts w:ascii="Arial Narrow" w:eastAsia="Times New Roman" w:hAnsi="Arial Narrow" w:cs="Arial Hebrew"/>
          <w:bCs/>
          <w:i/>
          <w:lang w:eastAsia="es-ES"/>
        </w:rPr>
        <w:t xml:space="preserve"> </w:t>
      </w:r>
      <w:r w:rsidRPr="00FD7426">
        <w:rPr>
          <w:rFonts w:ascii="Arial Narrow" w:eastAsia="Calibri" w:hAnsi="Arial Narrow" w:cs="Calibri"/>
          <w:bCs/>
          <w:i/>
          <w:lang w:eastAsia="es-ES"/>
        </w:rPr>
        <w:t>demanda</w:t>
      </w:r>
      <w:r w:rsidRPr="00FD7426">
        <w:rPr>
          <w:rFonts w:ascii="Arial Narrow" w:eastAsia="Times New Roman" w:hAnsi="Arial Narrow" w:cs="Arial Hebrew"/>
          <w:bCs/>
          <w:i/>
          <w:lang w:eastAsia="es-ES"/>
        </w:rPr>
        <w:t>.</w:t>
      </w:r>
    </w:p>
    <w:p w:rsidR="00FD7426" w:rsidRPr="00FD7426" w:rsidRDefault="00FD7426" w:rsidP="00FD7426">
      <w:pPr>
        <w:spacing w:line="276" w:lineRule="auto"/>
        <w:ind w:firstLine="0"/>
        <w:rPr>
          <w:rFonts w:ascii="Tahoma" w:eastAsia="Times New Roman" w:hAnsi="Tahoma" w:cs="Tahoma"/>
          <w:b/>
          <w:lang w:eastAsia="es-ES"/>
        </w:rPr>
      </w:pPr>
    </w:p>
    <w:p w:rsidR="00FD7426" w:rsidRPr="00FD7426" w:rsidRDefault="00FD7426" w:rsidP="00FD7426">
      <w:pPr>
        <w:spacing w:line="276" w:lineRule="auto"/>
        <w:rPr>
          <w:rFonts w:ascii="Tahoma" w:eastAsia="Times New Roman" w:hAnsi="Tahoma" w:cs="Tahoma"/>
          <w:b/>
          <w:lang w:eastAsia="es-ES"/>
        </w:rPr>
      </w:pPr>
      <w:r w:rsidRPr="00FD7426">
        <w:rPr>
          <w:rFonts w:ascii="Tahoma" w:eastAsia="Times New Roman" w:hAnsi="Tahoma" w:cs="Tahoma"/>
          <w:b/>
          <w:lang w:eastAsia="es-ES"/>
        </w:rPr>
        <w:t>Caso concreto</w:t>
      </w:r>
    </w:p>
    <w:p w:rsidR="00FD7426" w:rsidRPr="00FD7426" w:rsidRDefault="00FD7426" w:rsidP="00FD7426">
      <w:pPr>
        <w:spacing w:line="276" w:lineRule="auto"/>
        <w:rPr>
          <w:rFonts w:ascii="Tahoma" w:eastAsia="Times New Roman" w:hAnsi="Tahoma" w:cs="Tahoma"/>
          <w:lang w:eastAsia="es-ES"/>
        </w:rPr>
      </w:pPr>
    </w:p>
    <w:p w:rsidR="00FD7426" w:rsidRPr="00FD7426" w:rsidRDefault="00FD7426" w:rsidP="00FD7426">
      <w:pPr>
        <w:widowControl w:val="0"/>
        <w:spacing w:line="276" w:lineRule="auto"/>
        <w:ind w:firstLine="708"/>
        <w:rPr>
          <w:rFonts w:ascii="Tahoma" w:eastAsia="Times New Roman" w:hAnsi="Tahoma" w:cs="Tahoma"/>
          <w:lang w:eastAsia="es-ES_tradnl"/>
        </w:rPr>
      </w:pPr>
      <w:r w:rsidRPr="00FD7426">
        <w:rPr>
          <w:rFonts w:ascii="Tahoma" w:eastAsia="Times New Roman" w:hAnsi="Tahoma" w:cs="Tahoma"/>
          <w:lang w:val="es-ES_tradnl" w:eastAsia="es-ES_tradnl"/>
        </w:rPr>
        <w:t>Llama la atención</w:t>
      </w:r>
      <w:r w:rsidRPr="00FD7426">
        <w:rPr>
          <w:rFonts w:ascii="Tahoma" w:eastAsia="Times New Roman" w:hAnsi="Tahoma" w:cs="Tahoma"/>
          <w:lang w:eastAsia="es-ES_tradnl"/>
        </w:rPr>
        <w:t xml:space="preserve"> de la suscrita que la togada apelante plantea extensos argumentos frente a la imposibilidad de llevar a cabo la notificación por conducta concluyente de la sociedad Telemark </w:t>
      </w:r>
      <w:proofErr w:type="spellStart"/>
      <w:r w:rsidRPr="00FD7426">
        <w:rPr>
          <w:rFonts w:ascii="Tahoma" w:eastAsia="Times New Roman" w:hAnsi="Tahoma" w:cs="Tahoma"/>
          <w:lang w:eastAsia="es-ES_tradnl"/>
        </w:rPr>
        <w:t>Spain</w:t>
      </w:r>
      <w:proofErr w:type="spellEnd"/>
      <w:r w:rsidRPr="00FD7426">
        <w:rPr>
          <w:rFonts w:ascii="Tahoma" w:eastAsia="Times New Roman" w:hAnsi="Tahoma" w:cs="Tahoma"/>
          <w:lang w:eastAsia="es-ES_tradnl"/>
        </w:rPr>
        <w:t xml:space="preserve"> S.L., refiriendo que el señor Ernesto González Fernández no tiene la facultad para atender los intereses de Telemark </w:t>
      </w:r>
      <w:proofErr w:type="spellStart"/>
      <w:r w:rsidRPr="00FD7426">
        <w:rPr>
          <w:rFonts w:ascii="Tahoma" w:eastAsia="Times New Roman" w:hAnsi="Tahoma" w:cs="Tahoma"/>
          <w:lang w:eastAsia="es-ES_tradnl"/>
        </w:rPr>
        <w:t>Spain</w:t>
      </w:r>
      <w:proofErr w:type="spellEnd"/>
      <w:r w:rsidRPr="00FD7426">
        <w:rPr>
          <w:rFonts w:ascii="Tahoma" w:eastAsia="Times New Roman" w:hAnsi="Tahoma" w:cs="Tahoma"/>
          <w:lang w:eastAsia="es-ES_tradnl"/>
        </w:rPr>
        <w:t xml:space="preserve"> S.L., pero sea precisamente él quien le confiera el poder </w:t>
      </w:r>
      <w:r w:rsidRPr="00FD7426">
        <w:rPr>
          <w:rFonts w:ascii="Arial Narrow" w:eastAsia="Times New Roman" w:hAnsi="Arial Narrow" w:cs="Tahoma"/>
          <w:i/>
          <w:lang w:eastAsia="es-ES_tradnl"/>
        </w:rPr>
        <w:t xml:space="preserve">“en su calidad de apoderado de la sociedad extranjera TELEMARK </w:t>
      </w:r>
      <w:proofErr w:type="spellStart"/>
      <w:r w:rsidRPr="00FD7426">
        <w:rPr>
          <w:rFonts w:ascii="Arial Narrow" w:eastAsia="Times New Roman" w:hAnsi="Arial Narrow" w:cs="Tahoma"/>
          <w:i/>
          <w:lang w:eastAsia="es-ES_tradnl"/>
        </w:rPr>
        <w:t>SPAIN</w:t>
      </w:r>
      <w:proofErr w:type="spellEnd"/>
      <w:r w:rsidRPr="00FD7426">
        <w:rPr>
          <w:rFonts w:ascii="Arial Narrow" w:eastAsia="Times New Roman" w:hAnsi="Arial Narrow" w:cs="Tahoma"/>
          <w:i/>
          <w:lang w:eastAsia="es-ES_tradnl"/>
        </w:rPr>
        <w:t xml:space="preserve"> S.L. para la sucursal en Colombia denominada TELEMARK </w:t>
      </w:r>
      <w:proofErr w:type="spellStart"/>
      <w:r w:rsidRPr="00FD7426">
        <w:rPr>
          <w:rFonts w:ascii="Arial Narrow" w:eastAsia="Times New Roman" w:hAnsi="Arial Narrow" w:cs="Tahoma"/>
          <w:i/>
          <w:lang w:eastAsia="es-ES_tradnl"/>
        </w:rPr>
        <w:t>SPAIN</w:t>
      </w:r>
      <w:proofErr w:type="spellEnd"/>
      <w:r w:rsidRPr="00FD7426">
        <w:rPr>
          <w:rFonts w:ascii="Arial Narrow" w:eastAsia="Times New Roman" w:hAnsi="Arial Narrow" w:cs="Tahoma"/>
          <w:i/>
          <w:lang w:eastAsia="es-ES_tradnl"/>
        </w:rPr>
        <w:t xml:space="preserve"> S.L. SUCURSAL COLOMBIA </w:t>
      </w:r>
      <w:proofErr w:type="spellStart"/>
      <w:r w:rsidRPr="00FD7426">
        <w:rPr>
          <w:rFonts w:ascii="Arial Narrow" w:eastAsia="Times New Roman" w:hAnsi="Arial Narrow" w:cs="Tahoma"/>
          <w:i/>
          <w:lang w:eastAsia="es-ES_tradnl"/>
        </w:rPr>
        <w:t>Z.F.P.E</w:t>
      </w:r>
      <w:proofErr w:type="spellEnd"/>
      <w:r w:rsidRPr="00FD7426">
        <w:rPr>
          <w:rFonts w:ascii="Arial Narrow" w:eastAsia="Times New Roman" w:hAnsi="Arial Narrow" w:cs="Tahoma"/>
          <w:i/>
          <w:lang w:eastAsia="es-ES_tradnl"/>
        </w:rPr>
        <w:t>.”</w:t>
      </w:r>
      <w:r w:rsidRPr="00FD7426">
        <w:rPr>
          <w:rFonts w:ascii="Tahoma" w:eastAsia="Times New Roman" w:hAnsi="Tahoma" w:cs="Tahoma"/>
          <w:i/>
          <w:lang w:eastAsia="es-ES_tradnl"/>
        </w:rPr>
        <w:t xml:space="preserve"> </w:t>
      </w:r>
      <w:r w:rsidRPr="00FD7426">
        <w:rPr>
          <w:rFonts w:ascii="Tahoma" w:eastAsia="Times New Roman" w:hAnsi="Tahoma" w:cs="Tahoma"/>
          <w:lang w:eastAsia="es-ES_tradnl"/>
        </w:rPr>
        <w:t>en virtud del cual contesta la demanda.</w:t>
      </w:r>
    </w:p>
    <w:p w:rsidR="00FD7426" w:rsidRPr="00FD7426" w:rsidRDefault="00FD7426" w:rsidP="00FD7426">
      <w:pPr>
        <w:spacing w:line="240" w:lineRule="auto"/>
        <w:ind w:firstLine="0"/>
        <w:jc w:val="left"/>
        <w:rPr>
          <w:rFonts w:ascii="Times New Roman" w:eastAsia="Times New Roman" w:hAnsi="Times New Roman" w:cs="Times New Roman"/>
          <w:sz w:val="24"/>
          <w:szCs w:val="20"/>
          <w:lang w:val="es-ES_tradnl" w:eastAsia="es-ES"/>
        </w:rPr>
      </w:pPr>
    </w:p>
    <w:p w:rsidR="00FD7426" w:rsidRPr="00FD7426" w:rsidRDefault="00FD7426" w:rsidP="00FD7426">
      <w:pPr>
        <w:widowControl w:val="0"/>
        <w:spacing w:line="276" w:lineRule="auto"/>
        <w:ind w:firstLine="708"/>
        <w:rPr>
          <w:rFonts w:ascii="Tahoma" w:eastAsia="Times New Roman" w:hAnsi="Tahoma" w:cs="Tahoma"/>
          <w:lang w:eastAsia="es-ES_tradnl"/>
        </w:rPr>
      </w:pPr>
      <w:r w:rsidRPr="00FD7426">
        <w:rPr>
          <w:rFonts w:ascii="Tahoma" w:eastAsia="Times New Roman" w:hAnsi="Tahoma" w:cs="Tahoma"/>
          <w:lang w:eastAsia="es-ES_tradnl"/>
        </w:rPr>
        <w:t xml:space="preserve">Atender lo planteado por la censora haría inviable el trámite de las nulidades por indebida representación e indebida notificación, pues carecería de legitimidad para plantearlas en los términos del tercer inciso del artículo 135 del </w:t>
      </w:r>
      <w:proofErr w:type="spellStart"/>
      <w:r w:rsidRPr="00FD7426">
        <w:rPr>
          <w:rFonts w:ascii="Tahoma" w:eastAsia="Times New Roman" w:hAnsi="Tahoma" w:cs="Tahoma"/>
          <w:lang w:eastAsia="es-ES_tradnl"/>
        </w:rPr>
        <w:t>CGP</w:t>
      </w:r>
      <w:proofErr w:type="spellEnd"/>
      <w:r w:rsidRPr="00FD7426">
        <w:rPr>
          <w:rFonts w:ascii="Tahoma" w:eastAsia="Times New Roman" w:hAnsi="Tahoma" w:cs="Tahoma"/>
          <w:lang w:eastAsia="es-ES_tradnl"/>
        </w:rPr>
        <w:t xml:space="preserve">,  sin embargo, sus actos corroboran la facultad que ostenta el señor Ernesto González Fernández frente a los procesos judiciales que se llevan en contra de Telemark </w:t>
      </w:r>
      <w:proofErr w:type="spellStart"/>
      <w:r w:rsidRPr="00FD7426">
        <w:rPr>
          <w:rFonts w:ascii="Tahoma" w:eastAsia="Times New Roman" w:hAnsi="Tahoma" w:cs="Tahoma"/>
          <w:lang w:eastAsia="es-ES_tradnl"/>
        </w:rPr>
        <w:t>Spain</w:t>
      </w:r>
      <w:proofErr w:type="spellEnd"/>
      <w:r w:rsidRPr="00FD7426">
        <w:rPr>
          <w:rFonts w:ascii="Tahoma" w:eastAsia="Times New Roman" w:hAnsi="Tahoma" w:cs="Tahoma"/>
          <w:lang w:eastAsia="es-ES_tradnl"/>
        </w:rPr>
        <w:t xml:space="preserve"> S.L., siempre que esté involucrada TELEMARK </w:t>
      </w:r>
      <w:proofErr w:type="spellStart"/>
      <w:r w:rsidRPr="00FD7426">
        <w:rPr>
          <w:rFonts w:ascii="Tahoma" w:eastAsia="Times New Roman" w:hAnsi="Tahoma" w:cs="Tahoma"/>
          <w:lang w:eastAsia="es-ES_tradnl"/>
        </w:rPr>
        <w:t>SPAIN</w:t>
      </w:r>
      <w:proofErr w:type="spellEnd"/>
      <w:r w:rsidRPr="00FD7426">
        <w:rPr>
          <w:rFonts w:ascii="Tahoma" w:eastAsia="Times New Roman" w:hAnsi="Tahoma" w:cs="Tahoma"/>
          <w:lang w:eastAsia="es-ES_tradnl"/>
        </w:rPr>
        <w:t xml:space="preserve"> S.L. SUCURSAL COLOMBIA </w:t>
      </w:r>
      <w:proofErr w:type="spellStart"/>
      <w:r w:rsidRPr="00FD7426">
        <w:rPr>
          <w:rFonts w:ascii="Tahoma" w:eastAsia="Times New Roman" w:hAnsi="Tahoma" w:cs="Tahoma"/>
          <w:lang w:eastAsia="es-ES_tradnl"/>
        </w:rPr>
        <w:t>Z.F.P.E</w:t>
      </w:r>
      <w:proofErr w:type="spellEnd"/>
      <w:r w:rsidRPr="00FD7426">
        <w:rPr>
          <w:rFonts w:ascii="Tahoma" w:eastAsia="Times New Roman" w:hAnsi="Tahoma" w:cs="Tahoma"/>
          <w:lang w:eastAsia="es-ES_tradnl"/>
        </w:rPr>
        <w:t>.</w:t>
      </w:r>
    </w:p>
    <w:p w:rsidR="00FD7426" w:rsidRPr="00FD7426" w:rsidRDefault="00FD7426" w:rsidP="00FD7426">
      <w:pPr>
        <w:spacing w:line="240" w:lineRule="auto"/>
        <w:ind w:firstLine="0"/>
        <w:jc w:val="left"/>
        <w:rPr>
          <w:rFonts w:ascii="Times New Roman" w:eastAsia="Times New Roman" w:hAnsi="Times New Roman" w:cs="Times New Roman"/>
          <w:sz w:val="24"/>
          <w:szCs w:val="20"/>
          <w:lang w:val="es-ES_tradnl" w:eastAsia="es-ES"/>
        </w:rPr>
      </w:pPr>
    </w:p>
    <w:p w:rsidR="00FD7426" w:rsidRPr="00FD7426" w:rsidRDefault="00FD7426" w:rsidP="00FD7426">
      <w:pPr>
        <w:widowControl w:val="0"/>
        <w:spacing w:line="276" w:lineRule="auto"/>
        <w:ind w:firstLine="708"/>
        <w:rPr>
          <w:rFonts w:ascii="Tahoma" w:eastAsia="Times New Roman" w:hAnsi="Tahoma" w:cs="Tahoma"/>
          <w:lang w:eastAsia="es-ES_tradnl"/>
        </w:rPr>
      </w:pPr>
      <w:r w:rsidRPr="00FD7426">
        <w:rPr>
          <w:rFonts w:ascii="Tahoma" w:eastAsia="Times New Roman" w:hAnsi="Tahoma" w:cs="Tahoma"/>
          <w:lang w:eastAsia="es-ES_tradnl"/>
        </w:rPr>
        <w:t xml:space="preserve">Ahora, si bien el proceder del despacho no se ajustó plenamente a lo estipulado en el artículo 301 del </w:t>
      </w:r>
      <w:proofErr w:type="spellStart"/>
      <w:r w:rsidRPr="00FD7426">
        <w:rPr>
          <w:rFonts w:ascii="Tahoma" w:eastAsia="Times New Roman" w:hAnsi="Tahoma" w:cs="Tahoma"/>
          <w:lang w:eastAsia="es-ES_tradnl"/>
        </w:rPr>
        <w:t>CGP</w:t>
      </w:r>
      <w:proofErr w:type="spellEnd"/>
      <w:r w:rsidRPr="00FD7426">
        <w:rPr>
          <w:rFonts w:ascii="Tahoma" w:eastAsia="Times New Roman" w:hAnsi="Tahoma" w:cs="Tahoma"/>
          <w:lang w:eastAsia="es-ES_tradnl"/>
        </w:rPr>
        <w:t xml:space="preserve"> para tener por notificada por conducta concluyente a la demandada en el mismo auto que tuvo como demandada a TELEMARK </w:t>
      </w:r>
      <w:proofErr w:type="spellStart"/>
      <w:r w:rsidRPr="00FD7426">
        <w:rPr>
          <w:rFonts w:ascii="Tahoma" w:eastAsia="Times New Roman" w:hAnsi="Tahoma" w:cs="Tahoma"/>
          <w:lang w:eastAsia="es-ES_tradnl"/>
        </w:rPr>
        <w:t>SPAIN</w:t>
      </w:r>
      <w:proofErr w:type="spellEnd"/>
      <w:r w:rsidRPr="00FD7426">
        <w:rPr>
          <w:rFonts w:ascii="Tahoma" w:eastAsia="Times New Roman" w:hAnsi="Tahoma" w:cs="Tahoma"/>
          <w:lang w:eastAsia="es-ES_tradnl"/>
        </w:rPr>
        <w:t xml:space="preserve"> S.L., los actos desplegados por la apoderada de esa sociedad con posterioridad a esa providencia, como fueron el recurso de reposición, la solicitud de nulidad y la contestación de la demanda, sólo dan muestra inequívoca del conocimiento del proceso laboral, por lo que en caso de haberse configurado las nulidades planteadas, al no haberse trasgredido en momento alguno el derecho de defensa de la sociedad que representa, se entiende que las mismas fueron saneadas.</w:t>
      </w:r>
    </w:p>
    <w:p w:rsidR="00FD7426" w:rsidRPr="00FD7426" w:rsidRDefault="00FD7426" w:rsidP="00FD7426">
      <w:pPr>
        <w:widowControl w:val="0"/>
        <w:spacing w:line="276" w:lineRule="auto"/>
        <w:ind w:firstLine="708"/>
        <w:rPr>
          <w:rFonts w:ascii="Tahoma" w:eastAsia="Times New Roman" w:hAnsi="Tahoma" w:cs="Tahoma"/>
          <w:lang w:eastAsia="es-ES_tradnl"/>
        </w:rPr>
      </w:pPr>
    </w:p>
    <w:p w:rsidR="00FD7426" w:rsidRPr="00FD7426" w:rsidRDefault="00FD7426" w:rsidP="00FD7426">
      <w:pPr>
        <w:spacing w:line="276" w:lineRule="auto"/>
        <w:ind w:firstLine="708"/>
        <w:rPr>
          <w:rFonts w:ascii="Tahoma" w:eastAsia="Times New Roman" w:hAnsi="Tahoma" w:cs="Tahoma"/>
          <w:lang w:val="es-CO" w:eastAsia="es-ES"/>
        </w:rPr>
      </w:pPr>
      <w:r w:rsidRPr="00FD7426">
        <w:rPr>
          <w:rFonts w:ascii="Tahoma" w:eastAsia="Times New Roman" w:hAnsi="Tahoma" w:cs="Tahoma"/>
          <w:lang w:val="es-CO" w:eastAsia="es-ES"/>
        </w:rPr>
        <w:t xml:space="preserve">Así las cosas, salvo mi voto, puesto que considero que en el caso había lugar a decidir de fondo la alzada, confirmando la decisión de primer grado. </w:t>
      </w:r>
    </w:p>
    <w:p w:rsidR="00FD7426" w:rsidRPr="00FD7426" w:rsidRDefault="00FD7426" w:rsidP="00FD7426">
      <w:pPr>
        <w:autoSpaceDE w:val="0"/>
        <w:autoSpaceDN w:val="0"/>
        <w:adjustRightInd w:val="0"/>
        <w:spacing w:line="276" w:lineRule="auto"/>
        <w:ind w:left="1416" w:firstLine="0"/>
        <w:rPr>
          <w:rFonts w:ascii="Tahoma" w:eastAsia="Times New Roman" w:hAnsi="Tahoma" w:cs="Tahoma"/>
          <w:lang w:val="es-CO" w:eastAsia="es-ES"/>
        </w:rPr>
      </w:pPr>
    </w:p>
    <w:p w:rsidR="00FD7426" w:rsidRPr="00FD7426" w:rsidRDefault="00FD7426" w:rsidP="00FD7426">
      <w:pPr>
        <w:widowControl w:val="0"/>
        <w:autoSpaceDE w:val="0"/>
        <w:autoSpaceDN w:val="0"/>
        <w:adjustRightInd w:val="0"/>
        <w:spacing w:line="276" w:lineRule="auto"/>
        <w:ind w:firstLine="0"/>
        <w:rPr>
          <w:rFonts w:ascii="Tahoma" w:eastAsia="Times New Roman" w:hAnsi="Tahoma" w:cs="Tahoma"/>
          <w:lang w:eastAsia="es-ES"/>
        </w:rPr>
      </w:pPr>
    </w:p>
    <w:p w:rsidR="00FD7426" w:rsidRPr="00FD7426" w:rsidRDefault="00FD7426" w:rsidP="00FD7426">
      <w:pPr>
        <w:widowControl w:val="0"/>
        <w:autoSpaceDE w:val="0"/>
        <w:autoSpaceDN w:val="0"/>
        <w:adjustRightInd w:val="0"/>
        <w:spacing w:line="276" w:lineRule="auto"/>
        <w:ind w:firstLine="0"/>
        <w:rPr>
          <w:rFonts w:ascii="Tahoma" w:eastAsia="Times New Roman" w:hAnsi="Tahoma" w:cs="Tahoma"/>
          <w:lang w:eastAsia="es-ES"/>
        </w:rPr>
      </w:pPr>
    </w:p>
    <w:p w:rsidR="00FD7426" w:rsidRPr="00FD7426" w:rsidRDefault="00FD7426" w:rsidP="00FD7426">
      <w:pPr>
        <w:widowControl w:val="0"/>
        <w:autoSpaceDE w:val="0"/>
        <w:autoSpaceDN w:val="0"/>
        <w:adjustRightInd w:val="0"/>
        <w:spacing w:line="276" w:lineRule="auto"/>
        <w:ind w:firstLine="0"/>
        <w:rPr>
          <w:rFonts w:ascii="Tahoma" w:eastAsia="Times New Roman" w:hAnsi="Tahoma" w:cs="Tahoma"/>
          <w:lang w:eastAsia="es-ES"/>
        </w:rPr>
      </w:pPr>
    </w:p>
    <w:p w:rsidR="00FD7426" w:rsidRPr="00FD7426" w:rsidRDefault="00FD7426" w:rsidP="00FD7426">
      <w:pPr>
        <w:widowControl w:val="0"/>
        <w:autoSpaceDE w:val="0"/>
        <w:autoSpaceDN w:val="0"/>
        <w:adjustRightInd w:val="0"/>
        <w:spacing w:line="276" w:lineRule="auto"/>
        <w:ind w:firstLine="0"/>
        <w:rPr>
          <w:rFonts w:ascii="Tahoma" w:eastAsia="Times New Roman" w:hAnsi="Tahoma" w:cs="Tahoma"/>
          <w:lang w:eastAsia="es-ES"/>
        </w:rPr>
      </w:pPr>
    </w:p>
    <w:p w:rsidR="00FD7426" w:rsidRPr="00FD7426" w:rsidRDefault="00FD7426" w:rsidP="00FD7426">
      <w:pPr>
        <w:widowControl w:val="0"/>
        <w:autoSpaceDE w:val="0"/>
        <w:autoSpaceDN w:val="0"/>
        <w:adjustRightInd w:val="0"/>
        <w:spacing w:line="276" w:lineRule="auto"/>
        <w:ind w:firstLine="0"/>
        <w:jc w:val="center"/>
        <w:rPr>
          <w:rFonts w:ascii="Tahoma" w:eastAsia="Times New Roman" w:hAnsi="Tahoma" w:cs="Tahoma"/>
          <w:lang w:eastAsia="es-ES"/>
        </w:rPr>
      </w:pPr>
    </w:p>
    <w:p w:rsidR="00FD7426" w:rsidRPr="00FD7426" w:rsidRDefault="00FD7426" w:rsidP="00FD7426">
      <w:pPr>
        <w:keepNext/>
        <w:widowControl w:val="0"/>
        <w:autoSpaceDE w:val="0"/>
        <w:autoSpaceDN w:val="0"/>
        <w:adjustRightInd w:val="0"/>
        <w:spacing w:line="276" w:lineRule="auto"/>
        <w:ind w:firstLine="0"/>
        <w:jc w:val="center"/>
        <w:outlineLvl w:val="2"/>
        <w:rPr>
          <w:rFonts w:ascii="Tahoma" w:eastAsia="Times New Roman" w:hAnsi="Tahoma" w:cs="Tahoma"/>
          <w:b/>
          <w:lang w:eastAsia="es-ES"/>
        </w:rPr>
      </w:pPr>
      <w:r w:rsidRPr="00FD7426">
        <w:rPr>
          <w:rFonts w:ascii="Tahoma" w:eastAsia="Times New Roman" w:hAnsi="Tahoma" w:cs="Tahoma"/>
          <w:b/>
          <w:lang w:eastAsia="es-ES"/>
        </w:rPr>
        <w:t>ANA LUCÍA CAICEDO CALDERÓN</w:t>
      </w:r>
    </w:p>
    <w:p w:rsidR="00FD7426" w:rsidRPr="00FD7426" w:rsidRDefault="00FD7426" w:rsidP="00FD7426">
      <w:pPr>
        <w:spacing w:line="240" w:lineRule="auto"/>
        <w:ind w:firstLine="0"/>
        <w:jc w:val="center"/>
        <w:rPr>
          <w:rFonts w:ascii="Times New Roman" w:eastAsia="Times New Roman" w:hAnsi="Times New Roman" w:cs="Times New Roman"/>
          <w:lang w:eastAsia="es-ES"/>
        </w:rPr>
      </w:pPr>
      <w:r w:rsidRPr="00FD7426">
        <w:rPr>
          <w:rFonts w:ascii="Tahoma" w:eastAsia="Times New Roman" w:hAnsi="Tahoma" w:cs="Tahoma"/>
          <w:lang w:eastAsia="es-ES"/>
        </w:rPr>
        <w:t>Magistrada</w:t>
      </w:r>
    </w:p>
    <w:sectPr w:rsidR="00FD7426" w:rsidRPr="00FD7426" w:rsidSect="00C33789">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A0" w:rsidRDefault="004C43A0" w:rsidP="00E47933">
      <w:pPr>
        <w:spacing w:line="240" w:lineRule="auto"/>
      </w:pPr>
      <w:r>
        <w:separator/>
      </w:r>
    </w:p>
  </w:endnote>
  <w:endnote w:type="continuationSeparator" w:id="0">
    <w:p w:rsidR="004C43A0" w:rsidRDefault="004C43A0" w:rsidP="00E47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60293"/>
      <w:docPartObj>
        <w:docPartGallery w:val="Page Numbers (Bottom of Page)"/>
        <w:docPartUnique/>
      </w:docPartObj>
    </w:sdtPr>
    <w:sdtEndPr>
      <w:rPr>
        <w:rFonts w:ascii="Arial" w:hAnsi="Arial" w:cs="Arial"/>
        <w:sz w:val="18"/>
        <w:szCs w:val="16"/>
        <w:lang w:val="es-CO"/>
      </w:rPr>
    </w:sdtEndPr>
    <w:sdtContent>
      <w:p w:rsidR="00401D5E" w:rsidRPr="00C33789" w:rsidRDefault="00401D5E">
        <w:pPr>
          <w:pStyle w:val="Piedepgina"/>
          <w:jc w:val="right"/>
          <w:rPr>
            <w:rFonts w:ascii="Arial" w:hAnsi="Arial" w:cs="Arial"/>
            <w:sz w:val="18"/>
            <w:szCs w:val="16"/>
            <w:lang w:val="es-CO"/>
          </w:rPr>
        </w:pPr>
        <w:r w:rsidRPr="00C33789">
          <w:rPr>
            <w:rFonts w:ascii="Arial" w:hAnsi="Arial" w:cs="Arial"/>
            <w:sz w:val="18"/>
            <w:szCs w:val="16"/>
            <w:lang w:val="es-CO"/>
          </w:rPr>
          <w:fldChar w:fldCharType="begin"/>
        </w:r>
        <w:r w:rsidRPr="00C33789">
          <w:rPr>
            <w:rFonts w:ascii="Arial" w:hAnsi="Arial" w:cs="Arial"/>
            <w:sz w:val="18"/>
            <w:szCs w:val="16"/>
            <w:lang w:val="es-CO"/>
          </w:rPr>
          <w:instrText>PAGE   \* MERGEFORMAT</w:instrText>
        </w:r>
        <w:r w:rsidRPr="00C33789">
          <w:rPr>
            <w:rFonts w:ascii="Arial" w:hAnsi="Arial" w:cs="Arial"/>
            <w:sz w:val="18"/>
            <w:szCs w:val="16"/>
            <w:lang w:val="es-CO"/>
          </w:rPr>
          <w:fldChar w:fldCharType="separate"/>
        </w:r>
        <w:r w:rsidR="00CD67E6">
          <w:rPr>
            <w:rFonts w:ascii="Arial" w:hAnsi="Arial" w:cs="Arial"/>
            <w:noProof/>
            <w:sz w:val="18"/>
            <w:szCs w:val="16"/>
            <w:lang w:val="es-CO"/>
          </w:rPr>
          <w:t>8</w:t>
        </w:r>
        <w:r w:rsidRPr="00C33789">
          <w:rPr>
            <w:rFonts w:ascii="Arial" w:hAnsi="Arial" w:cs="Arial"/>
            <w:sz w:val="18"/>
            <w:szCs w:val="16"/>
            <w:lang w:val="es-C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3520"/>
      <w:docPartObj>
        <w:docPartGallery w:val="Page Numbers (Bottom of Page)"/>
        <w:docPartUnique/>
      </w:docPartObj>
    </w:sdtPr>
    <w:sdtEndPr/>
    <w:sdtContent>
      <w:p w:rsidR="00401D5E" w:rsidRDefault="00401D5E">
        <w:pPr>
          <w:pStyle w:val="Piedepgina"/>
          <w:jc w:val="right"/>
        </w:pPr>
        <w:r>
          <w:fldChar w:fldCharType="begin"/>
        </w:r>
        <w:r>
          <w:instrText>PAGE   \* MERGEFORMAT</w:instrText>
        </w:r>
        <w:r>
          <w:fldChar w:fldCharType="separate"/>
        </w:r>
        <w:r w:rsidR="00CD67E6">
          <w:rPr>
            <w:noProof/>
          </w:rPr>
          <w:t>1</w:t>
        </w:r>
        <w:r>
          <w:fldChar w:fldCharType="end"/>
        </w:r>
      </w:p>
    </w:sdtContent>
  </w:sdt>
  <w:p w:rsidR="00401D5E" w:rsidRDefault="00401D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A0" w:rsidRDefault="004C43A0" w:rsidP="00E47933">
      <w:pPr>
        <w:spacing w:line="240" w:lineRule="auto"/>
      </w:pPr>
      <w:r>
        <w:separator/>
      </w:r>
    </w:p>
  </w:footnote>
  <w:footnote w:type="continuationSeparator" w:id="0">
    <w:p w:rsidR="004C43A0" w:rsidRDefault="004C43A0" w:rsidP="00E47933">
      <w:pPr>
        <w:spacing w:line="240" w:lineRule="auto"/>
      </w:pPr>
      <w:r>
        <w:continuationSeparator/>
      </w:r>
    </w:p>
  </w:footnote>
  <w:footnote w:id="1">
    <w:p w:rsidR="00CD43D5" w:rsidRPr="00C33789" w:rsidRDefault="00CD43D5" w:rsidP="00C33789">
      <w:pPr>
        <w:pStyle w:val="Textonotapie"/>
        <w:jc w:val="both"/>
        <w:rPr>
          <w:rFonts w:ascii="Arial" w:hAnsi="Arial" w:cs="Arial"/>
          <w:sz w:val="18"/>
        </w:rPr>
      </w:pPr>
      <w:r w:rsidRPr="00C33789">
        <w:rPr>
          <w:rStyle w:val="Refdenotaalpie"/>
          <w:rFonts w:ascii="Arial" w:hAnsi="Arial" w:cs="Arial"/>
          <w:sz w:val="18"/>
        </w:rPr>
        <w:footnoteRef/>
      </w:r>
      <w:r w:rsidRPr="00C33789">
        <w:rPr>
          <w:rFonts w:ascii="Arial" w:hAnsi="Arial" w:cs="Arial"/>
          <w:sz w:val="18"/>
        </w:rPr>
        <w:t xml:space="preserve"> López B., </w:t>
      </w:r>
      <w:proofErr w:type="spellStart"/>
      <w:r w:rsidRPr="00C33789">
        <w:rPr>
          <w:rFonts w:ascii="Arial" w:hAnsi="Arial" w:cs="Arial"/>
          <w:sz w:val="18"/>
        </w:rPr>
        <w:t>H.F</w:t>
      </w:r>
      <w:proofErr w:type="spellEnd"/>
      <w:r w:rsidRPr="00C33789">
        <w:rPr>
          <w:rFonts w:ascii="Arial" w:hAnsi="Arial" w:cs="Arial"/>
          <w:sz w:val="18"/>
        </w:rPr>
        <w:t xml:space="preserve">., Código General del Proceso – Parte General (2016), Ed. </w:t>
      </w:r>
      <w:proofErr w:type="spellStart"/>
      <w:r w:rsidRPr="00C33789">
        <w:rPr>
          <w:rFonts w:ascii="Arial" w:hAnsi="Arial" w:cs="Arial"/>
          <w:sz w:val="18"/>
        </w:rPr>
        <w:t>Dupre</w:t>
      </w:r>
      <w:proofErr w:type="spellEnd"/>
      <w:r w:rsidRPr="00C33789">
        <w:rPr>
          <w:rFonts w:ascii="Arial" w:hAnsi="Arial" w:cs="Arial"/>
          <w:sz w:val="18"/>
        </w:rPr>
        <w:t xml:space="preserve">, pp. 758.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5E" w:rsidRPr="00C33789" w:rsidRDefault="00401D5E" w:rsidP="00C33789">
    <w:pPr>
      <w:pStyle w:val="Encabezado"/>
      <w:ind w:firstLine="0"/>
      <w:rPr>
        <w:rFonts w:ascii="Arial" w:hAnsi="Arial" w:cs="Arial"/>
        <w:sz w:val="18"/>
        <w:szCs w:val="16"/>
        <w:lang w:val="es-CO"/>
      </w:rPr>
    </w:pPr>
    <w:r w:rsidRPr="00C33789">
      <w:rPr>
        <w:rFonts w:ascii="Arial" w:hAnsi="Arial" w:cs="Arial"/>
        <w:sz w:val="18"/>
        <w:szCs w:val="16"/>
        <w:lang w:val="es-CO"/>
      </w:rPr>
      <w:t>Radicación No.: 66001-31-05-002-2018-00194-01</w:t>
    </w:r>
  </w:p>
  <w:p w:rsidR="00401D5E" w:rsidRPr="00C33789" w:rsidRDefault="00401D5E" w:rsidP="00C33789">
    <w:pPr>
      <w:pStyle w:val="Encabezado"/>
      <w:ind w:firstLine="0"/>
      <w:rPr>
        <w:rFonts w:ascii="Arial" w:hAnsi="Arial" w:cs="Arial"/>
        <w:sz w:val="18"/>
        <w:szCs w:val="16"/>
        <w:lang w:val="es-CO"/>
      </w:rPr>
    </w:pPr>
    <w:r w:rsidRPr="00C33789">
      <w:rPr>
        <w:rFonts w:ascii="Arial" w:hAnsi="Arial" w:cs="Arial"/>
        <w:sz w:val="18"/>
        <w:szCs w:val="16"/>
        <w:lang w:val="es-CO"/>
      </w:rPr>
      <w:t xml:space="preserve">Demandante: </w:t>
    </w:r>
    <w:proofErr w:type="spellStart"/>
    <w:r w:rsidRPr="00C33789">
      <w:rPr>
        <w:rFonts w:ascii="Arial" w:hAnsi="Arial" w:cs="Arial"/>
        <w:sz w:val="18"/>
        <w:szCs w:val="16"/>
        <w:lang w:val="es-CO"/>
      </w:rPr>
      <w:t>Nathalia</w:t>
    </w:r>
    <w:proofErr w:type="spellEnd"/>
    <w:r w:rsidRPr="00C33789">
      <w:rPr>
        <w:rFonts w:ascii="Arial" w:hAnsi="Arial" w:cs="Arial"/>
        <w:sz w:val="18"/>
        <w:szCs w:val="16"/>
        <w:lang w:val="es-CO"/>
      </w:rPr>
      <w:t xml:space="preserve"> Castrillón Murillo </w:t>
    </w:r>
  </w:p>
  <w:p w:rsidR="00401D5E" w:rsidRPr="00C33789" w:rsidRDefault="00401D5E" w:rsidP="00C33789">
    <w:pPr>
      <w:pStyle w:val="Encabezado"/>
      <w:ind w:firstLine="0"/>
      <w:rPr>
        <w:rFonts w:ascii="Arial" w:hAnsi="Arial" w:cs="Arial"/>
        <w:sz w:val="18"/>
        <w:szCs w:val="16"/>
        <w:lang w:val="es-CO"/>
      </w:rPr>
    </w:pPr>
    <w:r w:rsidRPr="00C33789">
      <w:rPr>
        <w:rFonts w:ascii="Arial" w:hAnsi="Arial" w:cs="Arial"/>
        <w:sz w:val="18"/>
        <w:szCs w:val="16"/>
        <w:lang w:val="es-CO"/>
      </w:rPr>
      <w:t xml:space="preserve">Demandado: Telemark </w:t>
    </w:r>
    <w:proofErr w:type="spellStart"/>
    <w:r w:rsidRPr="00C33789">
      <w:rPr>
        <w:rFonts w:ascii="Arial" w:hAnsi="Arial" w:cs="Arial"/>
        <w:sz w:val="18"/>
        <w:szCs w:val="16"/>
        <w:lang w:val="es-CO"/>
      </w:rPr>
      <w:t>Spain</w:t>
    </w:r>
    <w:proofErr w:type="spellEnd"/>
    <w:r w:rsidRPr="00C33789">
      <w:rPr>
        <w:rFonts w:ascii="Arial" w:hAnsi="Arial" w:cs="Arial"/>
        <w:sz w:val="18"/>
        <w:szCs w:val="16"/>
        <w:lang w:val="es-CO"/>
      </w:rPr>
      <w:t xml:space="preserve">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173"/>
    <w:multiLevelType w:val="hybridMultilevel"/>
    <w:tmpl w:val="8146C0F0"/>
    <w:lvl w:ilvl="0" w:tplc="DBB41B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3687283C"/>
    <w:multiLevelType w:val="hybridMultilevel"/>
    <w:tmpl w:val="E1343F56"/>
    <w:lvl w:ilvl="0" w:tplc="C434757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4B"/>
    <w:rsid w:val="00012217"/>
    <w:rsid w:val="00025EF7"/>
    <w:rsid w:val="00026844"/>
    <w:rsid w:val="00032B1E"/>
    <w:rsid w:val="00035F97"/>
    <w:rsid w:val="00064BB6"/>
    <w:rsid w:val="000C21AF"/>
    <w:rsid w:val="000D0021"/>
    <w:rsid w:val="000D1B1F"/>
    <w:rsid w:val="000E037B"/>
    <w:rsid w:val="000E747D"/>
    <w:rsid w:val="00124260"/>
    <w:rsid w:val="0014434B"/>
    <w:rsid w:val="00170B0B"/>
    <w:rsid w:val="001B62F0"/>
    <w:rsid w:val="001D663B"/>
    <w:rsid w:val="001E2848"/>
    <w:rsid w:val="001F0681"/>
    <w:rsid w:val="002316B4"/>
    <w:rsid w:val="0026709A"/>
    <w:rsid w:val="002672BF"/>
    <w:rsid w:val="002B497F"/>
    <w:rsid w:val="002C4FAB"/>
    <w:rsid w:val="00347F59"/>
    <w:rsid w:val="003500E1"/>
    <w:rsid w:val="003517B3"/>
    <w:rsid w:val="00361803"/>
    <w:rsid w:val="003768C0"/>
    <w:rsid w:val="0038601F"/>
    <w:rsid w:val="003A0F21"/>
    <w:rsid w:val="003A1AE3"/>
    <w:rsid w:val="003D1B2E"/>
    <w:rsid w:val="003F4B12"/>
    <w:rsid w:val="00401D5E"/>
    <w:rsid w:val="00433A4B"/>
    <w:rsid w:val="00435198"/>
    <w:rsid w:val="004432DB"/>
    <w:rsid w:val="00455A88"/>
    <w:rsid w:val="0048191A"/>
    <w:rsid w:val="004C43A0"/>
    <w:rsid w:val="004D3C9B"/>
    <w:rsid w:val="004D65E7"/>
    <w:rsid w:val="00503D48"/>
    <w:rsid w:val="00547B19"/>
    <w:rsid w:val="00572E72"/>
    <w:rsid w:val="00577896"/>
    <w:rsid w:val="00591CB5"/>
    <w:rsid w:val="00596F32"/>
    <w:rsid w:val="005D1F5D"/>
    <w:rsid w:val="005E60F6"/>
    <w:rsid w:val="006154C6"/>
    <w:rsid w:val="00621EB8"/>
    <w:rsid w:val="00627A75"/>
    <w:rsid w:val="00636F44"/>
    <w:rsid w:val="00650E6F"/>
    <w:rsid w:val="00680334"/>
    <w:rsid w:val="00682C5D"/>
    <w:rsid w:val="0069339C"/>
    <w:rsid w:val="006E1840"/>
    <w:rsid w:val="007140DF"/>
    <w:rsid w:val="00725AC0"/>
    <w:rsid w:val="007354AB"/>
    <w:rsid w:val="007536DC"/>
    <w:rsid w:val="00780C04"/>
    <w:rsid w:val="007842AB"/>
    <w:rsid w:val="007900C7"/>
    <w:rsid w:val="007A1F38"/>
    <w:rsid w:val="007A2656"/>
    <w:rsid w:val="007A4F4F"/>
    <w:rsid w:val="007B32F7"/>
    <w:rsid w:val="007B6BBB"/>
    <w:rsid w:val="007C5BCB"/>
    <w:rsid w:val="007D1842"/>
    <w:rsid w:val="007E19BD"/>
    <w:rsid w:val="007F5EC8"/>
    <w:rsid w:val="008028D2"/>
    <w:rsid w:val="00816810"/>
    <w:rsid w:val="008205A7"/>
    <w:rsid w:val="008229CF"/>
    <w:rsid w:val="00835C41"/>
    <w:rsid w:val="00845BA5"/>
    <w:rsid w:val="00857937"/>
    <w:rsid w:val="0086102A"/>
    <w:rsid w:val="00882BE2"/>
    <w:rsid w:val="00893810"/>
    <w:rsid w:val="008B5D46"/>
    <w:rsid w:val="008B7A21"/>
    <w:rsid w:val="008E08A0"/>
    <w:rsid w:val="008E3E7B"/>
    <w:rsid w:val="00916EC0"/>
    <w:rsid w:val="00933D99"/>
    <w:rsid w:val="00946B46"/>
    <w:rsid w:val="009621B7"/>
    <w:rsid w:val="00995F35"/>
    <w:rsid w:val="009B45B1"/>
    <w:rsid w:val="009C6A05"/>
    <w:rsid w:val="009D1854"/>
    <w:rsid w:val="009E67E1"/>
    <w:rsid w:val="009F07A1"/>
    <w:rsid w:val="00A31967"/>
    <w:rsid w:val="00A50D81"/>
    <w:rsid w:val="00A7383E"/>
    <w:rsid w:val="00A750BC"/>
    <w:rsid w:val="00A813A2"/>
    <w:rsid w:val="00AF242E"/>
    <w:rsid w:val="00B53D88"/>
    <w:rsid w:val="00B573A2"/>
    <w:rsid w:val="00B65E1B"/>
    <w:rsid w:val="00B8075A"/>
    <w:rsid w:val="00B94630"/>
    <w:rsid w:val="00BB2105"/>
    <w:rsid w:val="00BC4696"/>
    <w:rsid w:val="00BC6E9F"/>
    <w:rsid w:val="00BD3A9B"/>
    <w:rsid w:val="00BE0947"/>
    <w:rsid w:val="00C04DFB"/>
    <w:rsid w:val="00C33789"/>
    <w:rsid w:val="00C35227"/>
    <w:rsid w:val="00C46217"/>
    <w:rsid w:val="00C7461F"/>
    <w:rsid w:val="00C9213B"/>
    <w:rsid w:val="00CD43D5"/>
    <w:rsid w:val="00CD555D"/>
    <w:rsid w:val="00CD67E6"/>
    <w:rsid w:val="00CD6D03"/>
    <w:rsid w:val="00CE4FCC"/>
    <w:rsid w:val="00CF2A68"/>
    <w:rsid w:val="00CF6156"/>
    <w:rsid w:val="00D06487"/>
    <w:rsid w:val="00D06CA7"/>
    <w:rsid w:val="00D07DDE"/>
    <w:rsid w:val="00D114B1"/>
    <w:rsid w:val="00D3030B"/>
    <w:rsid w:val="00D41326"/>
    <w:rsid w:val="00D44987"/>
    <w:rsid w:val="00D5140D"/>
    <w:rsid w:val="00DC19E9"/>
    <w:rsid w:val="00DE407F"/>
    <w:rsid w:val="00DE5A00"/>
    <w:rsid w:val="00E02062"/>
    <w:rsid w:val="00E15ACC"/>
    <w:rsid w:val="00E368DB"/>
    <w:rsid w:val="00E47933"/>
    <w:rsid w:val="00E71FAB"/>
    <w:rsid w:val="00E73078"/>
    <w:rsid w:val="00EB718B"/>
    <w:rsid w:val="00EC6072"/>
    <w:rsid w:val="00EF0E9C"/>
    <w:rsid w:val="00F111B7"/>
    <w:rsid w:val="00F11C39"/>
    <w:rsid w:val="00F24EB6"/>
    <w:rsid w:val="00F25316"/>
    <w:rsid w:val="00F26090"/>
    <w:rsid w:val="00F5080E"/>
    <w:rsid w:val="00F970ED"/>
    <w:rsid w:val="00FA45D4"/>
    <w:rsid w:val="00FB3847"/>
    <w:rsid w:val="00FD7426"/>
    <w:rsid w:val="00FE04F7"/>
    <w:rsid w:val="00FF34CF"/>
    <w:rsid w:val="00FF7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74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FA45D4"/>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A45D4"/>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9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7933"/>
  </w:style>
  <w:style w:type="paragraph" w:styleId="Piedepgina">
    <w:name w:val="footer"/>
    <w:basedOn w:val="Normal"/>
    <w:link w:val="PiedepginaCar"/>
    <w:uiPriority w:val="99"/>
    <w:unhideWhenUsed/>
    <w:rsid w:val="00E479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7933"/>
  </w:style>
  <w:style w:type="paragraph" w:styleId="Textoindependiente">
    <w:name w:val="Body Text"/>
    <w:basedOn w:val="Normal"/>
    <w:link w:val="TextoindependienteCar"/>
    <w:unhideWhenUsed/>
    <w:rsid w:val="00FA45D4"/>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FA45D4"/>
    <w:rPr>
      <w:rFonts w:ascii="Arial" w:eastAsia="Times New Roman" w:hAnsi="Arial" w:cs="Times New Roman"/>
      <w:sz w:val="26"/>
      <w:szCs w:val="20"/>
      <w:lang w:val="es-ES_tradnl" w:eastAsia="x-none"/>
    </w:rPr>
  </w:style>
  <w:style w:type="character" w:customStyle="1" w:styleId="Ttulo4Car">
    <w:name w:val="Título 4 Car"/>
    <w:basedOn w:val="Fuentedeprrafopredeter"/>
    <w:link w:val="Ttulo4"/>
    <w:uiPriority w:val="9"/>
    <w:semiHidden/>
    <w:rsid w:val="00FA45D4"/>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FA45D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A45D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FA45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4"/>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FB3847"/>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B384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8B7A21"/>
    <w:rPr>
      <w:vertAlign w:val="superscript"/>
    </w:rPr>
  </w:style>
  <w:style w:type="paragraph" w:styleId="Sinespaciado">
    <w:name w:val="No Spacing"/>
    <w:link w:val="SinespaciadoCar"/>
    <w:uiPriority w:val="1"/>
    <w:qFormat/>
    <w:rsid w:val="00BB2105"/>
    <w:pPr>
      <w:spacing w:line="240" w:lineRule="auto"/>
    </w:pPr>
  </w:style>
  <w:style w:type="paragraph" w:styleId="Ttulo">
    <w:name w:val="Title"/>
    <w:basedOn w:val="Normal"/>
    <w:link w:val="TtuloCar"/>
    <w:qFormat/>
    <w:rsid w:val="00CD43D5"/>
    <w:pPr>
      <w:spacing w:line="360" w:lineRule="auto"/>
      <w:ind w:firstLine="0"/>
      <w:jc w:val="center"/>
    </w:pPr>
    <w:rPr>
      <w:rFonts w:ascii="Verdana" w:eastAsia="Times New Roman" w:hAnsi="Verdana" w:cs="Times New Roman"/>
      <w:sz w:val="28"/>
      <w:szCs w:val="28"/>
      <w:lang w:val="es-ES_tradnl" w:eastAsia="es-MX"/>
    </w:rPr>
  </w:style>
  <w:style w:type="character" w:customStyle="1" w:styleId="TtuloCar">
    <w:name w:val="Título Car"/>
    <w:basedOn w:val="Fuentedeprrafopredeter"/>
    <w:link w:val="Ttulo"/>
    <w:rsid w:val="00CD43D5"/>
    <w:rPr>
      <w:rFonts w:ascii="Verdana" w:eastAsia="Times New Roman" w:hAnsi="Verdana" w:cs="Times New Roman"/>
      <w:sz w:val="28"/>
      <w:szCs w:val="28"/>
      <w:lang w:val="es-ES_tradnl" w:eastAsia="es-MX"/>
    </w:rPr>
  </w:style>
  <w:style w:type="character" w:customStyle="1" w:styleId="SinespaciadoCar">
    <w:name w:val="Sin espaciado Car"/>
    <w:link w:val="Sinespaciado"/>
    <w:uiPriority w:val="1"/>
    <w:locked/>
    <w:rsid w:val="00CD43D5"/>
  </w:style>
  <w:style w:type="paragraph" w:styleId="Prrafodelista">
    <w:name w:val="List Paragraph"/>
    <w:basedOn w:val="Normal"/>
    <w:uiPriority w:val="34"/>
    <w:qFormat/>
    <w:rsid w:val="00F26090"/>
    <w:pPr>
      <w:ind w:left="720"/>
      <w:contextualSpacing/>
    </w:pPr>
  </w:style>
  <w:style w:type="character" w:customStyle="1" w:styleId="Ttulo1Car">
    <w:name w:val="Título 1 Car"/>
    <w:basedOn w:val="Fuentedeprrafopredeter"/>
    <w:link w:val="Ttulo1"/>
    <w:uiPriority w:val="9"/>
    <w:rsid w:val="00FD7426"/>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74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FA45D4"/>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A45D4"/>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93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7933"/>
  </w:style>
  <w:style w:type="paragraph" w:styleId="Piedepgina">
    <w:name w:val="footer"/>
    <w:basedOn w:val="Normal"/>
    <w:link w:val="PiedepginaCar"/>
    <w:uiPriority w:val="99"/>
    <w:unhideWhenUsed/>
    <w:rsid w:val="00E4793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7933"/>
  </w:style>
  <w:style w:type="paragraph" w:styleId="Textoindependiente">
    <w:name w:val="Body Text"/>
    <w:basedOn w:val="Normal"/>
    <w:link w:val="TextoindependienteCar"/>
    <w:unhideWhenUsed/>
    <w:rsid w:val="00FA45D4"/>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FA45D4"/>
    <w:rPr>
      <w:rFonts w:ascii="Arial" w:eastAsia="Times New Roman" w:hAnsi="Arial" w:cs="Times New Roman"/>
      <w:sz w:val="26"/>
      <w:szCs w:val="20"/>
      <w:lang w:val="es-ES_tradnl" w:eastAsia="x-none"/>
    </w:rPr>
  </w:style>
  <w:style w:type="character" w:customStyle="1" w:styleId="Ttulo4Car">
    <w:name w:val="Título 4 Car"/>
    <w:basedOn w:val="Fuentedeprrafopredeter"/>
    <w:link w:val="Ttulo4"/>
    <w:uiPriority w:val="9"/>
    <w:semiHidden/>
    <w:rsid w:val="00FA45D4"/>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FA45D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A45D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FA45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4"/>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FB3847"/>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B384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8B7A21"/>
    <w:rPr>
      <w:vertAlign w:val="superscript"/>
    </w:rPr>
  </w:style>
  <w:style w:type="paragraph" w:styleId="Sinespaciado">
    <w:name w:val="No Spacing"/>
    <w:link w:val="SinespaciadoCar"/>
    <w:uiPriority w:val="1"/>
    <w:qFormat/>
    <w:rsid w:val="00BB2105"/>
    <w:pPr>
      <w:spacing w:line="240" w:lineRule="auto"/>
    </w:pPr>
  </w:style>
  <w:style w:type="paragraph" w:styleId="Ttulo">
    <w:name w:val="Title"/>
    <w:basedOn w:val="Normal"/>
    <w:link w:val="TtuloCar"/>
    <w:qFormat/>
    <w:rsid w:val="00CD43D5"/>
    <w:pPr>
      <w:spacing w:line="360" w:lineRule="auto"/>
      <w:ind w:firstLine="0"/>
      <w:jc w:val="center"/>
    </w:pPr>
    <w:rPr>
      <w:rFonts w:ascii="Verdana" w:eastAsia="Times New Roman" w:hAnsi="Verdana" w:cs="Times New Roman"/>
      <w:sz w:val="28"/>
      <w:szCs w:val="28"/>
      <w:lang w:val="es-ES_tradnl" w:eastAsia="es-MX"/>
    </w:rPr>
  </w:style>
  <w:style w:type="character" w:customStyle="1" w:styleId="TtuloCar">
    <w:name w:val="Título Car"/>
    <w:basedOn w:val="Fuentedeprrafopredeter"/>
    <w:link w:val="Ttulo"/>
    <w:rsid w:val="00CD43D5"/>
    <w:rPr>
      <w:rFonts w:ascii="Verdana" w:eastAsia="Times New Roman" w:hAnsi="Verdana" w:cs="Times New Roman"/>
      <w:sz w:val="28"/>
      <w:szCs w:val="28"/>
      <w:lang w:val="es-ES_tradnl" w:eastAsia="es-MX"/>
    </w:rPr>
  </w:style>
  <w:style w:type="character" w:customStyle="1" w:styleId="SinespaciadoCar">
    <w:name w:val="Sin espaciado Car"/>
    <w:link w:val="Sinespaciado"/>
    <w:uiPriority w:val="1"/>
    <w:locked/>
    <w:rsid w:val="00CD43D5"/>
  </w:style>
  <w:style w:type="paragraph" w:styleId="Prrafodelista">
    <w:name w:val="List Paragraph"/>
    <w:basedOn w:val="Normal"/>
    <w:uiPriority w:val="34"/>
    <w:qFormat/>
    <w:rsid w:val="00F26090"/>
    <w:pPr>
      <w:ind w:left="720"/>
      <w:contextualSpacing/>
    </w:pPr>
  </w:style>
  <w:style w:type="character" w:customStyle="1" w:styleId="Ttulo1Car">
    <w:name w:val="Título 1 Car"/>
    <w:basedOn w:val="Fuentedeprrafopredeter"/>
    <w:link w:val="Ttulo1"/>
    <w:uiPriority w:val="9"/>
    <w:rsid w:val="00FD742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3761</Words>
  <Characters>20689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7</cp:revision>
  <cp:lastPrinted>2020-01-28T14:58:00Z</cp:lastPrinted>
  <dcterms:created xsi:type="dcterms:W3CDTF">2020-01-28T12:18:00Z</dcterms:created>
  <dcterms:modified xsi:type="dcterms:W3CDTF">2020-03-30T15:36:00Z</dcterms:modified>
</cp:coreProperties>
</file>