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07FA2" w14:textId="77777777" w:rsidR="00304238" w:rsidRPr="00304238" w:rsidRDefault="00304238" w:rsidP="00304238">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30423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0D46C2" w14:textId="77777777" w:rsidR="00304238" w:rsidRPr="00304238" w:rsidRDefault="00304238" w:rsidP="00304238">
      <w:pPr>
        <w:jc w:val="both"/>
        <w:rPr>
          <w:rFonts w:ascii="Arial" w:eastAsia="Times New Roman" w:hAnsi="Arial" w:cs="Arial"/>
          <w:sz w:val="20"/>
          <w:szCs w:val="20"/>
          <w:lang w:val="es-419" w:eastAsia="es-ES"/>
        </w:rPr>
      </w:pPr>
    </w:p>
    <w:p w14:paraId="69530BDE" w14:textId="5BF0C3D3" w:rsidR="00304238" w:rsidRPr="00304238" w:rsidRDefault="00304238" w:rsidP="00304238">
      <w:pPr>
        <w:jc w:val="both"/>
        <w:rPr>
          <w:rFonts w:ascii="Arial" w:eastAsia="Times New Roman" w:hAnsi="Arial" w:cs="Arial"/>
          <w:sz w:val="20"/>
          <w:szCs w:val="20"/>
          <w:lang w:val="es-419" w:eastAsia="es-ES"/>
        </w:rPr>
      </w:pPr>
      <w:r w:rsidRPr="00304238">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2B2662">
        <w:rPr>
          <w:rFonts w:ascii="Arial" w:eastAsia="Times New Roman" w:hAnsi="Arial" w:cs="Arial"/>
          <w:sz w:val="20"/>
          <w:szCs w:val="20"/>
          <w:lang w:val="es-419" w:eastAsia="es-ES"/>
        </w:rPr>
        <w:t>Se</w:t>
      </w:r>
      <w:r w:rsidRPr="00304238">
        <w:rPr>
          <w:rFonts w:ascii="Arial" w:eastAsia="Times New Roman" w:hAnsi="Arial" w:cs="Arial"/>
          <w:sz w:val="20"/>
          <w:szCs w:val="20"/>
          <w:lang w:val="es-419" w:eastAsia="es-ES"/>
        </w:rPr>
        <w:t>nte</w:t>
      </w:r>
      <w:r>
        <w:rPr>
          <w:rFonts w:ascii="Arial" w:eastAsia="Times New Roman" w:hAnsi="Arial" w:cs="Arial"/>
          <w:sz w:val="20"/>
          <w:szCs w:val="20"/>
          <w:lang w:val="es-419" w:eastAsia="es-ES"/>
        </w:rPr>
        <w:t>ncia del 10 de agosto de 2020</w:t>
      </w:r>
    </w:p>
    <w:p w14:paraId="31FB2D00" w14:textId="3E954F31" w:rsidR="00304238" w:rsidRPr="00304238" w:rsidRDefault="00304238" w:rsidP="00304238">
      <w:pPr>
        <w:jc w:val="both"/>
        <w:rPr>
          <w:rFonts w:ascii="Arial" w:eastAsia="Times New Roman" w:hAnsi="Arial" w:cs="Arial"/>
          <w:sz w:val="20"/>
          <w:szCs w:val="20"/>
          <w:lang w:val="es-419" w:eastAsia="es-ES"/>
        </w:rPr>
      </w:pPr>
      <w:r w:rsidRPr="00304238">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2B2662">
        <w:rPr>
          <w:rFonts w:ascii="Arial" w:eastAsia="Times New Roman" w:hAnsi="Arial" w:cs="Arial"/>
          <w:sz w:val="20"/>
          <w:szCs w:val="20"/>
          <w:lang w:val="es-419" w:eastAsia="es-ES"/>
        </w:rPr>
        <w:t>6</w:t>
      </w:r>
      <w:r w:rsidRPr="00304238">
        <w:rPr>
          <w:rFonts w:ascii="Arial" w:eastAsia="Times New Roman" w:hAnsi="Arial" w:cs="Arial"/>
          <w:sz w:val="20"/>
          <w:szCs w:val="20"/>
          <w:lang w:val="es-419" w:eastAsia="es-ES"/>
        </w:rPr>
        <w:t>6001-31-05-001-2017-00346-01</w:t>
      </w:r>
    </w:p>
    <w:p w14:paraId="0BFA1B51" w14:textId="010BE6F7" w:rsidR="00304238" w:rsidRPr="00304238" w:rsidRDefault="00304238" w:rsidP="00304238">
      <w:pPr>
        <w:jc w:val="both"/>
        <w:rPr>
          <w:rFonts w:ascii="Arial" w:eastAsia="Times New Roman" w:hAnsi="Arial" w:cs="Arial"/>
          <w:sz w:val="20"/>
          <w:szCs w:val="20"/>
          <w:lang w:val="es-419" w:eastAsia="es-ES"/>
        </w:rPr>
      </w:pPr>
      <w:r w:rsidRPr="00304238">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2B2662">
        <w:rPr>
          <w:rFonts w:ascii="Arial" w:eastAsia="Times New Roman" w:hAnsi="Arial" w:cs="Arial"/>
          <w:sz w:val="20"/>
          <w:szCs w:val="20"/>
          <w:lang w:val="es-419" w:eastAsia="es-ES"/>
        </w:rPr>
        <w:t>O</w:t>
      </w:r>
      <w:r w:rsidRPr="00304238">
        <w:rPr>
          <w:rFonts w:ascii="Arial" w:eastAsia="Times New Roman" w:hAnsi="Arial" w:cs="Arial"/>
          <w:sz w:val="20"/>
          <w:szCs w:val="20"/>
          <w:lang w:val="es-419" w:eastAsia="es-ES"/>
        </w:rPr>
        <w:t>rdinari</w:t>
      </w:r>
      <w:r>
        <w:rPr>
          <w:rFonts w:ascii="Arial" w:eastAsia="Times New Roman" w:hAnsi="Arial" w:cs="Arial"/>
          <w:sz w:val="20"/>
          <w:szCs w:val="20"/>
          <w:lang w:val="es-419" w:eastAsia="es-ES"/>
        </w:rPr>
        <w:t>o Laboral de Primera Instancia</w:t>
      </w:r>
    </w:p>
    <w:p w14:paraId="14F69C63" w14:textId="40A8553E" w:rsidR="00304238" w:rsidRPr="00304238" w:rsidRDefault="00304238" w:rsidP="00304238">
      <w:pPr>
        <w:jc w:val="both"/>
        <w:rPr>
          <w:rFonts w:ascii="Arial" w:eastAsia="Times New Roman" w:hAnsi="Arial" w:cs="Arial"/>
          <w:sz w:val="20"/>
          <w:szCs w:val="20"/>
          <w:lang w:val="es-419" w:eastAsia="es-ES"/>
        </w:rPr>
      </w:pPr>
      <w:r w:rsidRPr="00304238">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2B2662">
        <w:rPr>
          <w:rFonts w:ascii="Arial" w:eastAsia="Times New Roman" w:hAnsi="Arial" w:cs="Arial"/>
          <w:sz w:val="20"/>
          <w:szCs w:val="20"/>
          <w:lang w:val="es-419" w:eastAsia="es-ES"/>
        </w:rPr>
        <w:t>M</w:t>
      </w:r>
      <w:r>
        <w:rPr>
          <w:rFonts w:ascii="Arial" w:eastAsia="Times New Roman" w:hAnsi="Arial" w:cs="Arial"/>
          <w:sz w:val="20"/>
          <w:szCs w:val="20"/>
          <w:lang w:val="es-419" w:eastAsia="es-ES"/>
        </w:rPr>
        <w:t>aría Eugenia Estrada Valencia</w:t>
      </w:r>
    </w:p>
    <w:p w14:paraId="53DA5103" w14:textId="14DAF841" w:rsidR="00304238" w:rsidRPr="00304238" w:rsidRDefault="00304238" w:rsidP="00304238">
      <w:pPr>
        <w:jc w:val="both"/>
        <w:rPr>
          <w:rFonts w:ascii="Arial" w:eastAsia="Times New Roman" w:hAnsi="Arial" w:cs="Arial"/>
          <w:sz w:val="20"/>
          <w:szCs w:val="20"/>
          <w:lang w:val="es-419" w:eastAsia="es-ES"/>
        </w:rPr>
      </w:pPr>
      <w:r w:rsidRPr="00304238">
        <w:rPr>
          <w:rFonts w:ascii="Arial" w:eastAsia="Times New Roman" w:hAnsi="Arial" w:cs="Arial"/>
          <w:sz w:val="20"/>
          <w:szCs w:val="20"/>
          <w:lang w:val="es-419" w:eastAsia="es-ES"/>
        </w:rPr>
        <w:t>Demandados: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2B2662">
        <w:rPr>
          <w:rFonts w:ascii="Arial" w:eastAsia="Times New Roman" w:hAnsi="Arial" w:cs="Arial"/>
          <w:sz w:val="20"/>
          <w:szCs w:val="20"/>
          <w:lang w:val="es-419" w:eastAsia="es-ES"/>
        </w:rPr>
        <w:t>A</w:t>
      </w:r>
      <w:r w:rsidRPr="00304238">
        <w:rPr>
          <w:rFonts w:ascii="Arial" w:eastAsia="Times New Roman" w:hAnsi="Arial" w:cs="Arial"/>
          <w:sz w:val="20"/>
          <w:szCs w:val="20"/>
          <w:lang w:val="es-419" w:eastAsia="es-ES"/>
        </w:rPr>
        <w:t>dministradora Colombi</w:t>
      </w:r>
      <w:r>
        <w:rPr>
          <w:rFonts w:ascii="Arial" w:eastAsia="Times New Roman" w:hAnsi="Arial" w:cs="Arial"/>
          <w:sz w:val="20"/>
          <w:szCs w:val="20"/>
          <w:lang w:val="es-419" w:eastAsia="es-ES"/>
        </w:rPr>
        <w:t>ana de Pensiones – Colpensiones</w:t>
      </w:r>
    </w:p>
    <w:p w14:paraId="7962D221" w14:textId="2C69F5FB" w:rsidR="00304238" w:rsidRPr="00304238" w:rsidRDefault="00304238" w:rsidP="00304238">
      <w:pPr>
        <w:jc w:val="both"/>
        <w:rPr>
          <w:rFonts w:ascii="Arial" w:eastAsia="Times New Roman" w:hAnsi="Arial" w:cs="Arial"/>
          <w:sz w:val="20"/>
          <w:szCs w:val="20"/>
          <w:lang w:val="es-419" w:eastAsia="es-ES"/>
        </w:rPr>
      </w:pPr>
      <w:r w:rsidRPr="00304238">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t>Primero Laboral del Circuito</w:t>
      </w:r>
    </w:p>
    <w:p w14:paraId="5E6089AB" w14:textId="5B9B6CD2" w:rsidR="00304238" w:rsidRPr="00304238" w:rsidRDefault="00304238" w:rsidP="00304238">
      <w:pPr>
        <w:jc w:val="both"/>
        <w:rPr>
          <w:rFonts w:ascii="Arial" w:eastAsia="Times New Roman" w:hAnsi="Arial" w:cs="Arial"/>
          <w:sz w:val="20"/>
          <w:szCs w:val="20"/>
          <w:lang w:val="es-419" w:eastAsia="es-ES"/>
        </w:rPr>
      </w:pPr>
      <w:r w:rsidRPr="00304238">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304238">
        <w:rPr>
          <w:rFonts w:ascii="Arial" w:eastAsia="Times New Roman" w:hAnsi="Arial" w:cs="Arial"/>
          <w:sz w:val="20"/>
          <w:szCs w:val="20"/>
          <w:lang w:val="es-419" w:eastAsia="es-ES"/>
        </w:rPr>
        <w:t>D</w:t>
      </w:r>
      <w:r>
        <w:rPr>
          <w:rFonts w:ascii="Arial" w:eastAsia="Times New Roman" w:hAnsi="Arial" w:cs="Arial"/>
          <w:sz w:val="20"/>
          <w:szCs w:val="20"/>
          <w:lang w:val="es-419" w:eastAsia="es-ES"/>
        </w:rPr>
        <w:t>ra. Ana Lucía Caicedo Calderón</w:t>
      </w:r>
    </w:p>
    <w:p w14:paraId="388E5570" w14:textId="77777777" w:rsidR="00304238" w:rsidRPr="00304238" w:rsidRDefault="00304238" w:rsidP="00304238">
      <w:pPr>
        <w:jc w:val="both"/>
        <w:rPr>
          <w:rFonts w:ascii="Arial" w:eastAsia="Times New Roman" w:hAnsi="Arial" w:cs="Arial"/>
          <w:sz w:val="20"/>
          <w:szCs w:val="20"/>
          <w:lang w:val="es-419" w:eastAsia="es-ES"/>
        </w:rPr>
      </w:pPr>
    </w:p>
    <w:p w14:paraId="47708E3E" w14:textId="05B37945" w:rsidR="00304238" w:rsidRPr="00304238" w:rsidRDefault="00304238" w:rsidP="00304238">
      <w:pPr>
        <w:jc w:val="both"/>
        <w:rPr>
          <w:rFonts w:ascii="Arial" w:eastAsia="Times New Roman" w:hAnsi="Arial" w:cs="Arial"/>
          <w:b/>
          <w:bCs/>
          <w:iCs/>
          <w:sz w:val="20"/>
          <w:szCs w:val="20"/>
          <w:lang w:val="es-419" w:eastAsia="fr-FR"/>
        </w:rPr>
      </w:pPr>
      <w:r w:rsidRPr="00304238">
        <w:rPr>
          <w:rFonts w:ascii="Arial" w:eastAsia="Times New Roman" w:hAnsi="Arial" w:cs="Arial"/>
          <w:b/>
          <w:bCs/>
          <w:iCs/>
          <w:sz w:val="20"/>
          <w:szCs w:val="20"/>
          <w:u w:val="single"/>
          <w:lang w:val="es-419" w:eastAsia="fr-FR"/>
        </w:rPr>
        <w:t>TEMAS:</w:t>
      </w:r>
      <w:r w:rsidRPr="00304238">
        <w:rPr>
          <w:rFonts w:ascii="Arial" w:eastAsia="Times New Roman" w:hAnsi="Arial" w:cs="Arial"/>
          <w:b/>
          <w:bCs/>
          <w:iCs/>
          <w:sz w:val="20"/>
          <w:szCs w:val="20"/>
          <w:lang w:val="es-419" w:eastAsia="fr-FR"/>
        </w:rPr>
        <w:tab/>
      </w:r>
      <w:r w:rsidR="00E83E25">
        <w:rPr>
          <w:rFonts w:ascii="Arial" w:eastAsia="Times New Roman" w:hAnsi="Arial" w:cs="Arial"/>
          <w:b/>
          <w:bCs/>
          <w:iCs/>
          <w:sz w:val="20"/>
          <w:szCs w:val="20"/>
          <w:lang w:val="es-419" w:eastAsia="fr-FR"/>
        </w:rPr>
        <w:t>PENSIÓN DE VEJEZ / CONVENIO DE SEGURIDAD SOCIAL CELEBRADO CON EL REINO DE ESPAÑA /</w:t>
      </w:r>
      <w:r w:rsidRPr="00304238">
        <w:rPr>
          <w:rFonts w:ascii="Arial" w:eastAsia="Times New Roman" w:hAnsi="Arial" w:cs="Arial"/>
          <w:b/>
          <w:bCs/>
          <w:iCs/>
          <w:sz w:val="20"/>
          <w:szCs w:val="20"/>
          <w:lang w:val="es-419" w:eastAsia="fr-FR"/>
        </w:rPr>
        <w:t xml:space="preserve"> </w:t>
      </w:r>
      <w:r w:rsidR="00562C81">
        <w:rPr>
          <w:rFonts w:ascii="Arial" w:eastAsia="Times New Roman" w:hAnsi="Arial" w:cs="Arial"/>
          <w:b/>
          <w:bCs/>
          <w:iCs/>
          <w:sz w:val="20"/>
          <w:szCs w:val="20"/>
          <w:lang w:val="es-419" w:eastAsia="fr-FR"/>
        </w:rPr>
        <w:t>ACUMULACIÓN DE TIEMPOS DE COTIZACIÓN / PRESTACIONES QUE CUBRE / APLICA EN COLOMBIA AÚN PARA LOS CASOS DE RÉGIMEN DE TRANSICIÓN.</w:t>
      </w:r>
    </w:p>
    <w:p w14:paraId="440DB139" w14:textId="77777777" w:rsidR="00304238" w:rsidRPr="00304238" w:rsidRDefault="00304238" w:rsidP="00304238">
      <w:pPr>
        <w:jc w:val="both"/>
        <w:rPr>
          <w:rFonts w:ascii="Arial" w:eastAsia="Times New Roman" w:hAnsi="Arial" w:cs="Arial"/>
          <w:sz w:val="20"/>
          <w:szCs w:val="20"/>
          <w:lang w:val="es-419" w:eastAsia="es-ES"/>
        </w:rPr>
      </w:pPr>
    </w:p>
    <w:p w14:paraId="5C54A33C" w14:textId="64307D0A" w:rsidR="00304238" w:rsidRPr="00304238" w:rsidRDefault="00E83E25" w:rsidP="00304238">
      <w:pPr>
        <w:jc w:val="both"/>
        <w:rPr>
          <w:rFonts w:ascii="Arial" w:eastAsia="Times New Roman" w:hAnsi="Arial" w:cs="Arial"/>
          <w:sz w:val="20"/>
          <w:szCs w:val="20"/>
          <w:lang w:val="es-419" w:eastAsia="es-ES"/>
        </w:rPr>
      </w:pPr>
      <w:r w:rsidRPr="00E83E25">
        <w:rPr>
          <w:rFonts w:ascii="Arial" w:eastAsia="Times New Roman" w:hAnsi="Arial" w:cs="Arial"/>
          <w:sz w:val="20"/>
          <w:szCs w:val="20"/>
          <w:lang w:val="es-419" w:eastAsia="es-ES"/>
        </w:rPr>
        <w:t xml:space="preserve">El 6 de septiembre de 2005 la República de Colombia celebró con el Reino de España un Convenio de Seguridad Social, con el fin de “asegurar a los trabajadores de cada uno de los dos Estados que ejerzan o hayan ejercido una actividad profesional en el otro, una </w:t>
      </w:r>
      <w:r>
        <w:rPr>
          <w:rFonts w:ascii="Arial" w:eastAsia="Times New Roman" w:hAnsi="Arial" w:cs="Arial"/>
          <w:sz w:val="20"/>
          <w:szCs w:val="20"/>
          <w:lang w:val="es-419" w:eastAsia="es-ES"/>
        </w:rPr>
        <w:t xml:space="preserve">mejor garantía de sus derechos”. </w:t>
      </w:r>
      <w:r w:rsidRPr="00E83E25">
        <w:rPr>
          <w:rFonts w:ascii="Arial" w:eastAsia="Times New Roman" w:hAnsi="Arial" w:cs="Arial"/>
          <w:sz w:val="20"/>
          <w:szCs w:val="20"/>
          <w:lang w:val="es-419" w:eastAsia="es-ES"/>
        </w:rPr>
        <w:t>Dicho convenio se aprobó y desarrolló a través de la ley 1112 del 27 de diciembre de 2006, y, tras la celebración de un Acuerdo Administrativo sobre Seguridad Social el 28 de enero del 2008, se puso en vigor el 1º de marzo de 2008.</w:t>
      </w:r>
    </w:p>
    <w:p w14:paraId="3607123C" w14:textId="77777777" w:rsidR="00304238" w:rsidRPr="00304238" w:rsidRDefault="00304238" w:rsidP="00304238">
      <w:pPr>
        <w:jc w:val="both"/>
        <w:rPr>
          <w:rFonts w:ascii="Arial" w:eastAsia="Times New Roman" w:hAnsi="Arial" w:cs="Arial"/>
          <w:sz w:val="20"/>
          <w:szCs w:val="20"/>
          <w:lang w:val="es-419" w:eastAsia="es-ES"/>
        </w:rPr>
      </w:pPr>
    </w:p>
    <w:p w14:paraId="48534EAE" w14:textId="3ECDA5A0" w:rsidR="00304238" w:rsidRDefault="00E83E25" w:rsidP="00304238">
      <w:pPr>
        <w:jc w:val="both"/>
        <w:rPr>
          <w:rFonts w:ascii="Arial" w:eastAsia="Times New Roman" w:hAnsi="Arial" w:cs="Arial"/>
          <w:sz w:val="20"/>
          <w:szCs w:val="20"/>
          <w:lang w:val="es-419" w:eastAsia="es-ES"/>
        </w:rPr>
      </w:pPr>
      <w:r w:rsidRPr="00E83E25">
        <w:rPr>
          <w:rFonts w:ascii="Arial" w:eastAsia="Times New Roman" w:hAnsi="Arial" w:cs="Arial"/>
          <w:sz w:val="20"/>
          <w:szCs w:val="20"/>
          <w:lang w:val="es-419" w:eastAsia="es-ES"/>
        </w:rPr>
        <w:t>Este convenio se aplica a los trabajadores españoles y colombianos que estén o hayan estado sujetos a las legislaciones de Seguridad Social en Colombia, España o ambos países, así como a sus familiares, beneficiarios y sobrevivientes y brinda la posibilidad de acumular para efectos pensionales el tiempo cotizado en España o en Colombia, para tener derecho a las prestaciones que la seguridad social otorga, en condiciones de igualdad</w:t>
      </w:r>
      <w:r>
        <w:rPr>
          <w:rFonts w:ascii="Arial" w:eastAsia="Times New Roman" w:hAnsi="Arial" w:cs="Arial"/>
          <w:sz w:val="20"/>
          <w:szCs w:val="20"/>
          <w:lang w:val="es-419" w:eastAsia="es-ES"/>
        </w:rPr>
        <w:t xml:space="preserve">. </w:t>
      </w:r>
      <w:r w:rsidRPr="00E83E25">
        <w:rPr>
          <w:rFonts w:ascii="Arial" w:eastAsia="Times New Roman" w:hAnsi="Arial" w:cs="Arial"/>
          <w:sz w:val="20"/>
          <w:szCs w:val="20"/>
          <w:lang w:val="es-419" w:eastAsia="es-ES"/>
        </w:rPr>
        <w:t>En virtud del convenio, en España quedan cubiertos la incapacidad permanente, muerte y supervivencia por enfermedad común o accidente no laboral y jubilación, y en Colombia, cubre los riesgos de vejez, invalidez y muerte de origen común.</w:t>
      </w:r>
    </w:p>
    <w:p w14:paraId="7B7EF8E6" w14:textId="77777777" w:rsidR="00E83E25" w:rsidRDefault="00E83E25" w:rsidP="00304238">
      <w:pPr>
        <w:jc w:val="both"/>
        <w:rPr>
          <w:rFonts w:ascii="Arial" w:eastAsia="Times New Roman" w:hAnsi="Arial" w:cs="Arial"/>
          <w:sz w:val="20"/>
          <w:szCs w:val="20"/>
          <w:lang w:val="es-419" w:eastAsia="es-ES"/>
        </w:rPr>
      </w:pPr>
    </w:p>
    <w:p w14:paraId="6700A379" w14:textId="252232AE" w:rsidR="00E83E25" w:rsidRPr="00E83E25" w:rsidRDefault="00E83E25" w:rsidP="00E83E25">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83E25">
        <w:rPr>
          <w:rFonts w:ascii="Arial" w:eastAsia="Times New Roman" w:hAnsi="Arial" w:cs="Arial"/>
          <w:sz w:val="20"/>
          <w:szCs w:val="20"/>
          <w:lang w:val="es-419" w:eastAsia="es-ES"/>
        </w:rPr>
        <w:t>para efectos de acumular la densidad mínima de semanas exigidas en el Acuerdo 049 de 1990 (y en cualquier otra norma anterior aplicable por remisión del régimen de transición del art. 36 de la Ley 100 de 1993) resulta procedente la aplicación del convenio de seguridad social celebrado entre Colombia y el Reino de España (elevado al rango legal a través de la Ley 1112/ 2006).</w:t>
      </w:r>
    </w:p>
    <w:p w14:paraId="1E8C55B7" w14:textId="77777777" w:rsidR="00E83E25" w:rsidRPr="00E83E25" w:rsidRDefault="00E83E25" w:rsidP="00E83E25">
      <w:pPr>
        <w:jc w:val="both"/>
        <w:rPr>
          <w:rFonts w:ascii="Arial" w:eastAsia="Times New Roman" w:hAnsi="Arial" w:cs="Arial"/>
          <w:sz w:val="20"/>
          <w:szCs w:val="20"/>
          <w:lang w:val="es-419" w:eastAsia="es-ES"/>
        </w:rPr>
      </w:pPr>
    </w:p>
    <w:p w14:paraId="511F9CCB" w14:textId="12CD1BF9" w:rsidR="00E83E25" w:rsidRDefault="00E83E25" w:rsidP="00E83E25">
      <w:pPr>
        <w:jc w:val="both"/>
        <w:rPr>
          <w:rFonts w:ascii="Arial" w:eastAsia="Times New Roman" w:hAnsi="Arial" w:cs="Arial"/>
          <w:sz w:val="20"/>
          <w:szCs w:val="20"/>
          <w:lang w:val="es-419" w:eastAsia="es-ES"/>
        </w:rPr>
      </w:pPr>
      <w:r w:rsidRPr="00E83E25">
        <w:rPr>
          <w:rFonts w:ascii="Arial" w:eastAsia="Times New Roman" w:hAnsi="Arial" w:cs="Arial"/>
          <w:sz w:val="20"/>
          <w:szCs w:val="20"/>
          <w:lang w:val="es-419" w:eastAsia="es-ES"/>
        </w:rPr>
        <w:t>Cabe agregar, finalmente, que al respecto tiene fijado la Corte Suprema de Justicia que “las pensiones otorgadas con base en los Acuerdos del ISS, quedaron integradas al régimen de prima media con prestación definida, previsto en la Ley 100 de 1993”.</w:t>
      </w:r>
      <w:r>
        <w:rPr>
          <w:rFonts w:ascii="Arial" w:eastAsia="Times New Roman" w:hAnsi="Arial" w:cs="Arial"/>
          <w:sz w:val="20"/>
          <w:szCs w:val="20"/>
          <w:lang w:val="es-419" w:eastAsia="es-ES"/>
        </w:rPr>
        <w:t xml:space="preserve"> (…)</w:t>
      </w:r>
    </w:p>
    <w:p w14:paraId="44CF00B8" w14:textId="77777777" w:rsidR="00E83E25" w:rsidRDefault="00E83E25" w:rsidP="00304238">
      <w:pPr>
        <w:jc w:val="both"/>
        <w:rPr>
          <w:rFonts w:ascii="Arial" w:eastAsia="Times New Roman" w:hAnsi="Arial" w:cs="Arial"/>
          <w:sz w:val="20"/>
          <w:szCs w:val="20"/>
          <w:lang w:val="es-419" w:eastAsia="es-ES"/>
        </w:rPr>
      </w:pPr>
    </w:p>
    <w:p w14:paraId="2BFF11E2" w14:textId="77777777" w:rsidR="00E83E25" w:rsidRDefault="00E83E25" w:rsidP="00304238">
      <w:pPr>
        <w:jc w:val="both"/>
        <w:rPr>
          <w:rFonts w:ascii="Arial" w:eastAsia="Times New Roman" w:hAnsi="Arial" w:cs="Arial"/>
          <w:sz w:val="20"/>
          <w:szCs w:val="20"/>
          <w:lang w:val="es-419" w:eastAsia="es-ES"/>
        </w:rPr>
      </w:pPr>
    </w:p>
    <w:p w14:paraId="735DC851" w14:textId="77777777" w:rsidR="00E83E25" w:rsidRPr="00304238" w:rsidRDefault="00E83E25" w:rsidP="00304238">
      <w:pPr>
        <w:jc w:val="both"/>
        <w:rPr>
          <w:rFonts w:ascii="Arial" w:eastAsia="Times New Roman" w:hAnsi="Arial" w:cs="Arial"/>
          <w:sz w:val="20"/>
          <w:szCs w:val="20"/>
          <w:lang w:val="es-419" w:eastAsia="es-ES"/>
        </w:rPr>
      </w:pPr>
    </w:p>
    <w:p w14:paraId="690DCC5E" w14:textId="7869C4B2" w:rsidR="24AE65C8" w:rsidRPr="00304238" w:rsidRDefault="24AE65C8" w:rsidP="00304238">
      <w:pPr>
        <w:spacing w:line="276" w:lineRule="auto"/>
        <w:jc w:val="center"/>
        <w:rPr>
          <w:rFonts w:ascii="Tahoma" w:hAnsi="Tahoma" w:cs="Tahoma"/>
        </w:rPr>
      </w:pPr>
      <w:r w:rsidRPr="00304238">
        <w:rPr>
          <w:rFonts w:ascii="Tahoma" w:eastAsia="Tahoma" w:hAnsi="Tahoma" w:cs="Tahoma"/>
          <w:b/>
          <w:bCs/>
          <w:lang w:val="es"/>
        </w:rPr>
        <w:t>TRIBUNAL SUPERIOR DEL DISTRITO JUDICIAL DE PEREIRA </w:t>
      </w:r>
      <w:r w:rsidRPr="00304238">
        <w:rPr>
          <w:rFonts w:ascii="Tahoma" w:eastAsia="Tahoma" w:hAnsi="Tahoma" w:cs="Tahoma"/>
          <w:lang w:val="es-ES"/>
        </w:rPr>
        <w:t xml:space="preserve"> </w:t>
      </w:r>
    </w:p>
    <w:p w14:paraId="6D0568AD" w14:textId="4E886A61" w:rsidR="24AE65C8" w:rsidRPr="00304238" w:rsidRDefault="24AE65C8" w:rsidP="00304238">
      <w:pPr>
        <w:spacing w:line="276" w:lineRule="auto"/>
        <w:jc w:val="center"/>
        <w:rPr>
          <w:rFonts w:ascii="Tahoma" w:hAnsi="Tahoma" w:cs="Tahoma"/>
        </w:rPr>
      </w:pPr>
      <w:r w:rsidRPr="00304238">
        <w:rPr>
          <w:rFonts w:ascii="Tahoma" w:eastAsia="Tahoma" w:hAnsi="Tahoma" w:cs="Tahoma"/>
          <w:b/>
          <w:bCs/>
          <w:lang w:val="es"/>
        </w:rPr>
        <w:t xml:space="preserve">SALA DE </w:t>
      </w:r>
      <w:r w:rsidR="00304238" w:rsidRPr="00304238">
        <w:rPr>
          <w:rFonts w:ascii="Tahoma" w:eastAsia="Tahoma" w:hAnsi="Tahoma" w:cs="Tahoma"/>
          <w:b/>
          <w:bCs/>
          <w:lang w:val="es"/>
        </w:rPr>
        <w:t>DECISIÓN</w:t>
      </w:r>
      <w:r w:rsidRPr="00304238">
        <w:rPr>
          <w:rFonts w:ascii="Tahoma" w:eastAsia="Tahoma" w:hAnsi="Tahoma" w:cs="Tahoma"/>
          <w:b/>
          <w:bCs/>
          <w:lang w:val="es"/>
        </w:rPr>
        <w:t xml:space="preserve"> LABORAL No. 1 </w:t>
      </w:r>
      <w:r w:rsidRPr="00304238">
        <w:rPr>
          <w:rFonts w:ascii="Tahoma" w:eastAsia="Tahoma" w:hAnsi="Tahoma" w:cs="Tahoma"/>
          <w:lang w:val="es-ES"/>
        </w:rPr>
        <w:t xml:space="preserve"> </w:t>
      </w:r>
    </w:p>
    <w:p w14:paraId="58DCEBE3" w14:textId="12B6148B" w:rsidR="24AE65C8" w:rsidRPr="00304238" w:rsidRDefault="24AE65C8" w:rsidP="00304238">
      <w:pPr>
        <w:spacing w:line="276" w:lineRule="auto"/>
        <w:jc w:val="center"/>
        <w:rPr>
          <w:rFonts w:ascii="Tahoma" w:hAnsi="Tahoma" w:cs="Tahoma"/>
        </w:rPr>
      </w:pPr>
      <w:r w:rsidRPr="00304238">
        <w:rPr>
          <w:rFonts w:ascii="Tahoma" w:eastAsia="Tahoma" w:hAnsi="Tahoma" w:cs="Tahoma"/>
          <w:lang w:val="es"/>
        </w:rPr>
        <w:t> </w:t>
      </w:r>
      <w:r w:rsidRPr="00304238">
        <w:rPr>
          <w:rFonts w:ascii="Tahoma" w:eastAsia="Tahoma" w:hAnsi="Tahoma" w:cs="Tahoma"/>
          <w:lang w:val="es-ES"/>
        </w:rPr>
        <w:t xml:space="preserve"> </w:t>
      </w:r>
    </w:p>
    <w:p w14:paraId="47EDDD06" w14:textId="3ECC79C6" w:rsidR="24AE65C8" w:rsidRPr="00304238" w:rsidRDefault="24AE65C8" w:rsidP="00304238">
      <w:pPr>
        <w:spacing w:line="276" w:lineRule="auto"/>
        <w:jc w:val="center"/>
        <w:rPr>
          <w:rFonts w:ascii="Tahoma" w:hAnsi="Tahoma" w:cs="Tahoma"/>
        </w:rPr>
      </w:pPr>
      <w:r w:rsidRPr="00304238">
        <w:rPr>
          <w:rFonts w:ascii="Tahoma" w:eastAsia="Tahoma" w:hAnsi="Tahoma" w:cs="Tahoma"/>
          <w:lang w:val="es"/>
        </w:rPr>
        <w:t>Magistrada Ponente:</w:t>
      </w:r>
      <w:r w:rsidRPr="00304238">
        <w:rPr>
          <w:rFonts w:ascii="Tahoma" w:eastAsia="Tahoma" w:hAnsi="Tahoma" w:cs="Tahoma"/>
          <w:b/>
          <w:bCs/>
          <w:lang w:val="es"/>
        </w:rPr>
        <w:t> Ana Lucía Caicedo Calderón</w:t>
      </w:r>
      <w:r w:rsidRPr="00304238">
        <w:rPr>
          <w:rFonts w:ascii="Tahoma" w:eastAsia="Tahoma" w:hAnsi="Tahoma" w:cs="Tahoma"/>
          <w:lang w:val="es"/>
        </w:rPr>
        <w:t> </w:t>
      </w:r>
      <w:r w:rsidRPr="00304238">
        <w:rPr>
          <w:rFonts w:ascii="Tahoma" w:eastAsia="Tahoma" w:hAnsi="Tahoma" w:cs="Tahoma"/>
          <w:lang w:val="es-ES"/>
        </w:rPr>
        <w:t xml:space="preserve"> </w:t>
      </w:r>
    </w:p>
    <w:p w14:paraId="42FD398B" w14:textId="36F4F44B" w:rsidR="24AE65C8" w:rsidRPr="00304238" w:rsidRDefault="24AE65C8" w:rsidP="00304238">
      <w:pPr>
        <w:spacing w:line="276" w:lineRule="auto"/>
        <w:jc w:val="center"/>
        <w:rPr>
          <w:rFonts w:ascii="Tahoma" w:hAnsi="Tahoma" w:cs="Tahoma"/>
        </w:rPr>
      </w:pPr>
      <w:r w:rsidRPr="00304238">
        <w:rPr>
          <w:rFonts w:ascii="Tahoma" w:eastAsia="Tahoma" w:hAnsi="Tahoma" w:cs="Tahoma"/>
          <w:lang w:val="es"/>
        </w:rPr>
        <w:t> </w:t>
      </w:r>
      <w:r w:rsidRPr="00304238">
        <w:rPr>
          <w:rFonts w:ascii="Tahoma" w:eastAsia="Tahoma" w:hAnsi="Tahoma" w:cs="Tahoma"/>
          <w:lang w:val="es-ES"/>
        </w:rPr>
        <w:t xml:space="preserve"> </w:t>
      </w:r>
    </w:p>
    <w:p w14:paraId="3DD99A27" w14:textId="30D1BFFC" w:rsidR="24AE65C8" w:rsidRPr="00304238" w:rsidRDefault="00BF05B7" w:rsidP="00304238">
      <w:pPr>
        <w:spacing w:line="276" w:lineRule="auto"/>
        <w:jc w:val="center"/>
        <w:rPr>
          <w:rFonts w:ascii="Tahoma" w:hAnsi="Tahoma" w:cs="Tahoma"/>
        </w:rPr>
      </w:pPr>
      <w:r w:rsidRPr="00304238">
        <w:rPr>
          <w:rFonts w:ascii="Tahoma" w:eastAsia="Tahoma" w:hAnsi="Tahoma" w:cs="Tahoma"/>
          <w:lang w:val="es"/>
        </w:rPr>
        <w:t>10 de agosto</w:t>
      </w:r>
      <w:r w:rsidR="002B2662">
        <w:rPr>
          <w:rFonts w:ascii="Tahoma" w:eastAsia="Tahoma" w:hAnsi="Tahoma" w:cs="Tahoma"/>
          <w:lang w:val="es"/>
        </w:rPr>
        <w:t> de 2020</w:t>
      </w:r>
    </w:p>
    <w:p w14:paraId="61A10F99" w14:textId="367B4074" w:rsidR="24AE65C8" w:rsidRPr="00304238" w:rsidRDefault="24AE65C8" w:rsidP="00304238">
      <w:pPr>
        <w:spacing w:line="276" w:lineRule="auto"/>
        <w:jc w:val="center"/>
        <w:rPr>
          <w:rFonts w:ascii="Tahoma" w:hAnsi="Tahoma" w:cs="Tahoma"/>
        </w:rPr>
      </w:pPr>
      <w:r w:rsidRPr="00304238">
        <w:rPr>
          <w:rFonts w:ascii="Tahoma" w:eastAsia="Tahoma" w:hAnsi="Tahoma" w:cs="Tahoma"/>
          <w:lang w:val="es-ES"/>
        </w:rPr>
        <w:t xml:space="preserve">  </w:t>
      </w:r>
    </w:p>
    <w:p w14:paraId="28AB92AD" w14:textId="1462C3B4" w:rsidR="24AE65C8" w:rsidRPr="00304238" w:rsidRDefault="24AE65C8" w:rsidP="00304238">
      <w:pPr>
        <w:spacing w:line="276" w:lineRule="auto"/>
        <w:ind w:firstLine="708"/>
        <w:jc w:val="both"/>
        <w:rPr>
          <w:rFonts w:ascii="Tahoma" w:hAnsi="Tahoma" w:cs="Tahoma"/>
        </w:rPr>
      </w:pPr>
      <w:r w:rsidRPr="00304238">
        <w:rPr>
          <w:rFonts w:ascii="Tahoma" w:eastAsia="Tahoma" w:hAnsi="Tahoma" w:cs="Tahoma"/>
          <w:lang w:val="es"/>
        </w:rPr>
        <w:t>Teniendo en cuenta que el artículo 15 del Decreto No. 806 del 4 de junio de 2020, expedido por el Ministerio de Justicia y del Derecho, estableció que en la especialidad laboral </w:t>
      </w:r>
      <w:r w:rsidRPr="00304238">
        <w:rPr>
          <w:rFonts w:ascii="Tahoma" w:eastAsia="Calibri" w:hAnsi="Tahoma" w:cs="Tahoma"/>
          <w:lang w:val="es"/>
        </w:rPr>
        <w:t> </w:t>
      </w:r>
      <w:r w:rsidRPr="00304238">
        <w:rPr>
          <w:rFonts w:ascii="Tahoma" w:eastAsia="Tahoma" w:hAnsi="Tahoma" w:cs="Tahoma"/>
          <w:lang w:val="es"/>
        </w:rPr>
        <w:t>se proferirán por escrito</w:t>
      </w:r>
      <w:r w:rsidRPr="00304238">
        <w:rPr>
          <w:rFonts w:ascii="Tahoma" w:eastAsia="Calibri" w:hAnsi="Tahoma" w:cs="Tahoma"/>
          <w:lang w:val="es"/>
        </w:rPr>
        <w:t> </w:t>
      </w:r>
      <w:r w:rsidRPr="00304238">
        <w:rPr>
          <w:rFonts w:ascii="Tahoma" w:eastAsia="Tahoma" w:hAnsi="Tahoma" w:cs="Tahoma"/>
          <w:lang w:val="es"/>
        </w:rPr>
        <w:t>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w:t>
      </w:r>
      <w:r w:rsidR="68B1895B" w:rsidRPr="00304238">
        <w:rPr>
          <w:rFonts w:ascii="Tahoma" w:eastAsia="Tahoma" w:hAnsi="Tahoma" w:cs="Tahoma"/>
          <w:lang w:val="es"/>
        </w:rPr>
        <w:t xml:space="preserve"> y</w:t>
      </w:r>
      <w:r w:rsidRPr="00304238">
        <w:rPr>
          <w:rFonts w:ascii="Tahoma" w:eastAsia="Tahoma" w:hAnsi="Tahoma" w:cs="Tahoma"/>
          <w:lang w:val="es"/>
        </w:rPr>
        <w:t xml:space="preserve"> OLGA LUCÍA HOYOS SEPÚLVEDA y </w:t>
      </w:r>
      <w:r w:rsidR="41D2C5FE" w:rsidRPr="00304238">
        <w:rPr>
          <w:rFonts w:ascii="Tahoma" w:eastAsia="Tahoma" w:hAnsi="Tahoma" w:cs="Tahoma"/>
          <w:lang w:val="es"/>
        </w:rPr>
        <w:t xml:space="preserve">por </w:t>
      </w:r>
      <w:r w:rsidRPr="00304238">
        <w:rPr>
          <w:rFonts w:ascii="Tahoma" w:eastAsia="Tahoma" w:hAnsi="Tahoma" w:cs="Tahoma"/>
          <w:lang w:val="es"/>
        </w:rPr>
        <w:t xml:space="preserve">el Magistrado JULIO CÉSAR SALAZAR MUÑOZ, procede a proferir la siguiente sentencia escrita dentro del proceso ordinario laboral instaurado por </w:t>
      </w:r>
      <w:r w:rsidR="7C113AE1" w:rsidRPr="00304238">
        <w:rPr>
          <w:rFonts w:ascii="Tahoma" w:eastAsia="Tahoma" w:hAnsi="Tahoma" w:cs="Tahoma"/>
          <w:b/>
          <w:bCs/>
          <w:lang w:val="es"/>
        </w:rPr>
        <w:t>MARÍA EUGENIA ESTRADA VALENCIA</w:t>
      </w:r>
      <w:r w:rsidRPr="00304238">
        <w:rPr>
          <w:rFonts w:ascii="Tahoma" w:eastAsia="Tahoma" w:hAnsi="Tahoma" w:cs="Tahoma"/>
          <w:lang w:val="es"/>
        </w:rPr>
        <w:t xml:space="preserve"> </w:t>
      </w:r>
      <w:r w:rsidRPr="00304238">
        <w:rPr>
          <w:rFonts w:ascii="Tahoma" w:eastAsia="Tahoma" w:hAnsi="Tahoma" w:cs="Tahoma"/>
          <w:b/>
          <w:bCs/>
          <w:lang w:val="es"/>
        </w:rPr>
        <w:t> </w:t>
      </w:r>
      <w:r w:rsidRPr="00304238">
        <w:rPr>
          <w:rFonts w:ascii="Tahoma" w:eastAsia="Tahoma" w:hAnsi="Tahoma" w:cs="Tahoma"/>
          <w:lang w:val="es"/>
        </w:rPr>
        <w:t>en contra de la </w:t>
      </w:r>
      <w:r w:rsidRPr="00304238">
        <w:rPr>
          <w:rFonts w:ascii="Tahoma" w:eastAsia="Tahoma" w:hAnsi="Tahoma" w:cs="Tahoma"/>
          <w:b/>
          <w:bCs/>
          <w:lang w:val="es"/>
        </w:rPr>
        <w:t>ADMINISTRADORA COLOMBIANA DE PENSIONES –</w:t>
      </w:r>
      <w:r w:rsidR="00B26E3F">
        <w:rPr>
          <w:rFonts w:ascii="Tahoma" w:eastAsia="Tahoma" w:hAnsi="Tahoma" w:cs="Tahoma"/>
          <w:b/>
          <w:bCs/>
          <w:lang w:val="es"/>
        </w:rPr>
        <w:t xml:space="preserve"> COLPENSIONES.</w:t>
      </w:r>
      <w:r w:rsidRPr="00304238">
        <w:rPr>
          <w:rFonts w:ascii="Tahoma" w:eastAsia="Tahoma" w:hAnsi="Tahoma" w:cs="Tahoma"/>
          <w:b/>
          <w:bCs/>
          <w:lang w:val="es"/>
        </w:rPr>
        <w:t> </w:t>
      </w:r>
    </w:p>
    <w:p w14:paraId="1F1F92D9" w14:textId="3685CF71" w:rsidR="6B96487F" w:rsidRPr="00304238" w:rsidRDefault="6B96487F" w:rsidP="00304238">
      <w:pPr>
        <w:spacing w:line="276" w:lineRule="auto"/>
        <w:jc w:val="center"/>
        <w:rPr>
          <w:rFonts w:ascii="Tahoma" w:eastAsia="Tahoma" w:hAnsi="Tahoma" w:cs="Tahoma"/>
          <w:b/>
          <w:bCs/>
          <w:lang w:val="es"/>
        </w:rPr>
      </w:pPr>
    </w:p>
    <w:p w14:paraId="565B2D3D" w14:textId="683CED40" w:rsidR="24AE65C8" w:rsidRPr="00304238" w:rsidRDefault="24AE65C8" w:rsidP="00304238">
      <w:pPr>
        <w:spacing w:line="276" w:lineRule="auto"/>
        <w:jc w:val="center"/>
        <w:rPr>
          <w:rFonts w:ascii="Tahoma" w:hAnsi="Tahoma" w:cs="Tahoma"/>
        </w:rPr>
      </w:pPr>
      <w:r w:rsidRPr="00304238">
        <w:rPr>
          <w:rFonts w:ascii="Tahoma" w:eastAsia="Tahoma" w:hAnsi="Tahoma" w:cs="Tahoma"/>
          <w:b/>
          <w:bCs/>
          <w:lang w:val="es"/>
        </w:rPr>
        <w:t>PUNTO A TRATAR</w:t>
      </w:r>
    </w:p>
    <w:p w14:paraId="1187E51B" w14:textId="55E58248" w:rsidR="24AE65C8" w:rsidRPr="00304238" w:rsidRDefault="24AE65C8" w:rsidP="00304238">
      <w:pPr>
        <w:spacing w:line="276" w:lineRule="auto"/>
        <w:ind w:firstLine="705"/>
        <w:jc w:val="center"/>
        <w:rPr>
          <w:rFonts w:ascii="Tahoma" w:hAnsi="Tahoma" w:cs="Tahoma"/>
        </w:rPr>
      </w:pPr>
      <w:r w:rsidRPr="00304238">
        <w:rPr>
          <w:rFonts w:ascii="Tahoma" w:eastAsia="Tahoma" w:hAnsi="Tahoma" w:cs="Tahoma"/>
          <w:lang w:val="es-ES"/>
        </w:rPr>
        <w:t xml:space="preserve"> </w:t>
      </w:r>
    </w:p>
    <w:p w14:paraId="51F73D27" w14:textId="65928278" w:rsidR="24AE65C8" w:rsidRPr="00304238" w:rsidRDefault="24AE65C8" w:rsidP="00304238">
      <w:pPr>
        <w:spacing w:line="276" w:lineRule="auto"/>
        <w:ind w:firstLine="705"/>
        <w:jc w:val="both"/>
        <w:rPr>
          <w:rFonts w:ascii="Tahoma" w:hAnsi="Tahoma" w:cs="Tahoma"/>
        </w:rPr>
      </w:pPr>
      <w:r w:rsidRPr="00304238">
        <w:rPr>
          <w:rFonts w:ascii="Tahoma" w:eastAsia="Tahoma" w:hAnsi="Tahoma" w:cs="Tahoma"/>
          <w:lang w:val="es"/>
        </w:rPr>
        <w:t>Por medio de esta providencia procede la Sala a resolver el recurso de apelación interpuesto por la parte demandada</w:t>
      </w:r>
      <w:r w:rsidR="6A49C3A2" w:rsidRPr="00304238">
        <w:rPr>
          <w:rFonts w:ascii="Tahoma" w:eastAsia="Tahoma" w:hAnsi="Tahoma" w:cs="Tahoma"/>
          <w:lang w:val="es"/>
        </w:rPr>
        <w:t>, COLPENSIONES, en</w:t>
      </w:r>
      <w:r w:rsidRPr="00304238">
        <w:rPr>
          <w:rFonts w:ascii="Tahoma" w:eastAsia="Tahoma" w:hAnsi="Tahoma" w:cs="Tahoma"/>
          <w:lang w:val="es"/>
        </w:rPr>
        <w:t xml:space="preserve"> contra </w:t>
      </w:r>
      <w:r w:rsidR="00BF05B7" w:rsidRPr="00304238">
        <w:rPr>
          <w:rFonts w:ascii="Tahoma" w:eastAsia="Tahoma" w:hAnsi="Tahoma" w:cs="Tahoma"/>
          <w:lang w:val="es"/>
        </w:rPr>
        <w:t xml:space="preserve">de </w:t>
      </w:r>
      <w:r w:rsidRPr="00304238">
        <w:rPr>
          <w:rFonts w:ascii="Tahoma" w:eastAsia="Tahoma" w:hAnsi="Tahoma" w:cs="Tahoma"/>
          <w:lang w:val="es"/>
        </w:rPr>
        <w:t>la sentencia proferida por el Juzgado Primero Laboral del Circuito de Pereira el </w:t>
      </w:r>
      <w:r w:rsidR="740D2EC4" w:rsidRPr="00304238">
        <w:rPr>
          <w:rFonts w:ascii="Tahoma" w:eastAsia="Tahoma" w:hAnsi="Tahoma" w:cs="Tahoma"/>
          <w:lang w:val="es"/>
        </w:rPr>
        <w:t xml:space="preserve"> 10</w:t>
      </w:r>
      <w:r w:rsidRPr="00304238">
        <w:rPr>
          <w:rFonts w:ascii="Tahoma" w:eastAsia="Tahoma" w:hAnsi="Tahoma" w:cs="Tahoma"/>
          <w:lang w:val="es"/>
        </w:rPr>
        <w:t xml:space="preserve"> </w:t>
      </w:r>
      <w:r w:rsidR="5B936B8B" w:rsidRPr="00304238">
        <w:rPr>
          <w:rFonts w:ascii="Tahoma" w:eastAsia="Tahoma" w:hAnsi="Tahoma" w:cs="Tahoma"/>
          <w:lang w:val="es"/>
        </w:rPr>
        <w:t xml:space="preserve">de </w:t>
      </w:r>
      <w:r w:rsidRPr="00304238">
        <w:rPr>
          <w:rFonts w:ascii="Tahoma" w:eastAsia="Tahoma" w:hAnsi="Tahoma" w:cs="Tahoma"/>
          <w:lang w:val="es"/>
        </w:rPr>
        <w:t>octubre de 2019</w:t>
      </w:r>
      <w:r w:rsidR="109D0485" w:rsidRPr="00304238">
        <w:rPr>
          <w:rFonts w:ascii="Tahoma" w:eastAsia="Tahoma" w:hAnsi="Tahoma" w:cs="Tahoma"/>
          <w:lang w:val="es"/>
        </w:rPr>
        <w:t>.</w:t>
      </w:r>
      <w:r w:rsidRPr="00304238">
        <w:rPr>
          <w:rFonts w:ascii="Tahoma" w:eastAsia="Tahoma" w:hAnsi="Tahoma" w:cs="Tahoma"/>
          <w:lang w:val="es"/>
        </w:rPr>
        <w:t xml:space="preserve"> Asimismo, se analizará el asunto en el grado jurisdiccional de consulta en favor de </w:t>
      </w:r>
      <w:r w:rsidR="1AC38DEB" w:rsidRPr="00304238">
        <w:rPr>
          <w:rFonts w:ascii="Tahoma" w:eastAsia="Tahoma" w:hAnsi="Tahoma" w:cs="Tahoma"/>
          <w:lang w:val="es"/>
        </w:rPr>
        <w:t>esa misma entidad</w:t>
      </w:r>
      <w:r w:rsidRPr="00304238">
        <w:rPr>
          <w:rFonts w:ascii="Tahoma" w:eastAsia="Tahoma" w:hAnsi="Tahoma" w:cs="Tahoma"/>
          <w:lang w:val="es"/>
        </w:rPr>
        <w:t>, a quien se</w:t>
      </w:r>
      <w:r w:rsidR="260B01B4" w:rsidRPr="00304238">
        <w:rPr>
          <w:rFonts w:ascii="Tahoma" w:eastAsia="Tahoma" w:hAnsi="Tahoma" w:cs="Tahoma"/>
          <w:lang w:val="es"/>
        </w:rPr>
        <w:t xml:space="preserve"> le impuso</w:t>
      </w:r>
      <w:r w:rsidRPr="00304238">
        <w:rPr>
          <w:rFonts w:ascii="Tahoma" w:eastAsia="Tahoma" w:hAnsi="Tahoma" w:cs="Tahoma"/>
          <w:lang w:val="es"/>
        </w:rPr>
        <w:t xml:space="preserve"> conden</w:t>
      </w:r>
      <w:r w:rsidR="3C3638FA" w:rsidRPr="00304238">
        <w:rPr>
          <w:rFonts w:ascii="Tahoma" w:eastAsia="Tahoma" w:hAnsi="Tahoma" w:cs="Tahoma"/>
          <w:lang w:val="es"/>
        </w:rPr>
        <w:t>a</w:t>
      </w:r>
      <w:r w:rsidRPr="00304238">
        <w:rPr>
          <w:rFonts w:ascii="Tahoma" w:eastAsia="Tahoma" w:hAnsi="Tahoma" w:cs="Tahoma"/>
          <w:lang w:val="es"/>
        </w:rPr>
        <w:t xml:space="preserve"> en primera instancia, al ser una entidad descentralizada de cuyo patrimonio es garante la Nación, conforme lo se ordena en el artículo 69 del </w:t>
      </w:r>
      <w:proofErr w:type="spellStart"/>
      <w:r w:rsidRPr="00304238">
        <w:rPr>
          <w:rFonts w:ascii="Tahoma" w:eastAsia="Tahoma" w:hAnsi="Tahoma" w:cs="Tahoma"/>
          <w:lang w:val="es"/>
        </w:rPr>
        <w:t>C.P.T</w:t>
      </w:r>
      <w:proofErr w:type="spellEnd"/>
      <w:r w:rsidRPr="00304238">
        <w:rPr>
          <w:rFonts w:ascii="Tahoma" w:eastAsia="Tahoma" w:hAnsi="Tahoma" w:cs="Tahoma"/>
          <w:lang w:val="es"/>
        </w:rPr>
        <w:t xml:space="preserve">. y de la S.S. Para ello se tiene en cuenta lo siguiente: </w:t>
      </w:r>
      <w:r w:rsidRPr="00304238">
        <w:rPr>
          <w:rFonts w:ascii="Tahoma" w:eastAsia="Tahoma" w:hAnsi="Tahoma" w:cs="Tahoma"/>
          <w:lang w:val="es-ES"/>
        </w:rPr>
        <w:t xml:space="preserve"> </w:t>
      </w:r>
    </w:p>
    <w:p w14:paraId="5DA91201" w14:textId="77777777" w:rsidR="00BF05B7" w:rsidRPr="00304238" w:rsidRDefault="00BF05B7" w:rsidP="00304238">
      <w:pPr>
        <w:spacing w:line="276" w:lineRule="auto"/>
        <w:jc w:val="center"/>
        <w:rPr>
          <w:rFonts w:ascii="Tahoma" w:hAnsi="Tahoma" w:cs="Tahoma"/>
          <w:b/>
          <w:bCs/>
          <w:lang w:val="es-ES"/>
        </w:rPr>
      </w:pPr>
    </w:p>
    <w:p w14:paraId="7186E7C6" w14:textId="4D51FECE" w:rsidR="005042CD" w:rsidRPr="00304238" w:rsidRDefault="00BF05B7" w:rsidP="00304238">
      <w:pPr>
        <w:pStyle w:val="Prrafodelista"/>
        <w:numPr>
          <w:ilvl w:val="0"/>
          <w:numId w:val="5"/>
        </w:numPr>
        <w:spacing w:line="276" w:lineRule="auto"/>
        <w:jc w:val="center"/>
        <w:rPr>
          <w:rFonts w:ascii="Tahoma" w:hAnsi="Tahoma" w:cs="Tahoma"/>
          <w:b/>
          <w:lang w:val="es-ES"/>
        </w:rPr>
      </w:pPr>
      <w:r w:rsidRPr="00304238">
        <w:rPr>
          <w:rFonts w:ascii="Tahoma" w:hAnsi="Tahoma" w:cs="Tahoma"/>
          <w:b/>
          <w:lang w:val="es-ES"/>
        </w:rPr>
        <w:t>LA DEMANDA Y SU CONTESTACIÓN</w:t>
      </w:r>
    </w:p>
    <w:p w14:paraId="5F768812" w14:textId="77777777" w:rsidR="005042CD" w:rsidRPr="00304238" w:rsidRDefault="005042CD" w:rsidP="00304238">
      <w:pPr>
        <w:spacing w:line="276" w:lineRule="auto"/>
        <w:ind w:firstLine="708"/>
        <w:jc w:val="both"/>
        <w:rPr>
          <w:rFonts w:ascii="Tahoma" w:hAnsi="Tahoma" w:cs="Tahoma"/>
          <w:lang w:val="es-ES"/>
        </w:rPr>
      </w:pPr>
    </w:p>
    <w:p w14:paraId="614EFF2B" w14:textId="77777777" w:rsidR="00C74A0D" w:rsidRPr="00304238" w:rsidRDefault="00C74A0D" w:rsidP="00304238">
      <w:pPr>
        <w:spacing w:line="276" w:lineRule="auto"/>
        <w:ind w:firstLine="708"/>
        <w:jc w:val="both"/>
        <w:rPr>
          <w:rFonts w:ascii="Tahoma" w:hAnsi="Tahoma" w:cs="Tahoma"/>
          <w:lang w:val="es-ES"/>
        </w:rPr>
      </w:pPr>
      <w:r w:rsidRPr="00304238">
        <w:rPr>
          <w:rFonts w:ascii="Tahoma" w:hAnsi="Tahoma" w:cs="Tahoma"/>
          <w:lang w:val="es-ES"/>
        </w:rPr>
        <w:t>La demandante pretende el pago de la pensión de vejez con sustento en el Acuerdo 049 de 1990,</w:t>
      </w:r>
      <w:r w:rsidR="00323D7B" w:rsidRPr="00304238">
        <w:rPr>
          <w:rFonts w:ascii="Tahoma" w:hAnsi="Tahoma" w:cs="Tahoma"/>
          <w:lang w:val="es-ES"/>
        </w:rPr>
        <w:t xml:space="preserve"> aprobado por el Decreto 758 del mismo año,</w:t>
      </w:r>
      <w:r w:rsidRPr="00304238">
        <w:rPr>
          <w:rFonts w:ascii="Tahoma" w:hAnsi="Tahoma" w:cs="Tahoma"/>
          <w:lang w:val="es-ES"/>
        </w:rPr>
        <w:t xml:space="preserve"> en aplicación del régimen de transición previsto</w:t>
      </w:r>
      <w:r w:rsidR="0096507C" w:rsidRPr="00304238">
        <w:rPr>
          <w:rFonts w:ascii="Tahoma" w:hAnsi="Tahoma" w:cs="Tahoma"/>
          <w:lang w:val="es-ES"/>
        </w:rPr>
        <w:t xml:space="preserve"> en el artículo</w:t>
      </w:r>
      <w:r w:rsidRPr="00304238">
        <w:rPr>
          <w:rFonts w:ascii="Tahoma" w:hAnsi="Tahoma" w:cs="Tahoma"/>
          <w:lang w:val="es-ES"/>
        </w:rPr>
        <w:t xml:space="preserve"> 36 de la Ley 100 de 1993. </w:t>
      </w:r>
    </w:p>
    <w:p w14:paraId="2E9FEC4A" w14:textId="77777777" w:rsidR="00C74A0D" w:rsidRPr="00304238" w:rsidRDefault="00C74A0D" w:rsidP="00304238">
      <w:pPr>
        <w:spacing w:line="276" w:lineRule="auto"/>
        <w:ind w:firstLine="708"/>
        <w:jc w:val="both"/>
        <w:rPr>
          <w:rFonts w:ascii="Tahoma" w:hAnsi="Tahoma" w:cs="Tahoma"/>
          <w:lang w:val="es-ES"/>
        </w:rPr>
      </w:pPr>
    </w:p>
    <w:p w14:paraId="48389A4A" w14:textId="77777777" w:rsidR="00E43D88" w:rsidRPr="00304238" w:rsidRDefault="00A86940" w:rsidP="00304238">
      <w:pPr>
        <w:spacing w:line="276" w:lineRule="auto"/>
        <w:ind w:firstLine="708"/>
        <w:jc w:val="both"/>
        <w:rPr>
          <w:rFonts w:ascii="Tahoma" w:hAnsi="Tahoma" w:cs="Tahoma"/>
          <w:lang w:val="es-ES"/>
        </w:rPr>
      </w:pPr>
      <w:r w:rsidRPr="00304238">
        <w:rPr>
          <w:rFonts w:ascii="Tahoma" w:hAnsi="Tahoma" w:cs="Tahoma"/>
          <w:lang w:val="es-ES"/>
        </w:rPr>
        <w:t>Afirma</w:t>
      </w:r>
      <w:r w:rsidR="00C74A0D" w:rsidRPr="00304238">
        <w:rPr>
          <w:rFonts w:ascii="Tahoma" w:hAnsi="Tahoma" w:cs="Tahoma"/>
          <w:lang w:val="es-ES"/>
        </w:rPr>
        <w:t xml:space="preserve"> para el efecto, </w:t>
      </w:r>
      <w:r w:rsidR="00986EB4" w:rsidRPr="00304238">
        <w:rPr>
          <w:rFonts w:ascii="Tahoma" w:hAnsi="Tahoma" w:cs="Tahoma"/>
          <w:lang w:val="es-ES"/>
        </w:rPr>
        <w:t xml:space="preserve">que nació el 06 de octubre de 1957, por lo que arribó a la edad de 55 años de edad </w:t>
      </w:r>
      <w:r w:rsidR="00C74A0D" w:rsidRPr="00304238">
        <w:rPr>
          <w:rFonts w:ascii="Tahoma" w:hAnsi="Tahoma" w:cs="Tahoma"/>
          <w:lang w:val="es-ES"/>
        </w:rPr>
        <w:t xml:space="preserve">en el </w:t>
      </w:r>
      <w:r w:rsidR="0096507C" w:rsidRPr="00304238">
        <w:rPr>
          <w:rFonts w:ascii="Tahoma" w:hAnsi="Tahoma" w:cs="Tahoma"/>
          <w:lang w:val="es-ES"/>
        </w:rPr>
        <w:t>año 2012, fecha en la cual acumulaba en su historia laboral un total de 1150,85 semanas cotizadas.</w:t>
      </w:r>
    </w:p>
    <w:p w14:paraId="3E83E6B2" w14:textId="77777777" w:rsidR="0096507C" w:rsidRPr="00304238" w:rsidRDefault="0096507C" w:rsidP="00304238">
      <w:pPr>
        <w:spacing w:line="276" w:lineRule="auto"/>
        <w:ind w:firstLine="708"/>
        <w:jc w:val="both"/>
        <w:rPr>
          <w:rFonts w:ascii="Tahoma" w:hAnsi="Tahoma" w:cs="Tahoma"/>
          <w:lang w:val="es-ES"/>
        </w:rPr>
      </w:pPr>
    </w:p>
    <w:p w14:paraId="6535FE06" w14:textId="79DA2AED" w:rsidR="0096507C" w:rsidRPr="00304238" w:rsidRDefault="0096507C" w:rsidP="00304238">
      <w:pPr>
        <w:spacing w:line="276" w:lineRule="auto"/>
        <w:ind w:firstLine="708"/>
        <w:jc w:val="both"/>
        <w:rPr>
          <w:rFonts w:ascii="Tahoma" w:hAnsi="Tahoma" w:cs="Tahoma"/>
          <w:lang w:val="es-ES"/>
        </w:rPr>
      </w:pPr>
      <w:r w:rsidRPr="00304238">
        <w:rPr>
          <w:rFonts w:ascii="Tahoma" w:hAnsi="Tahoma" w:cs="Tahoma"/>
          <w:lang w:val="es-ES"/>
        </w:rPr>
        <w:t xml:space="preserve">En cuanto a este último punto, explica que </w:t>
      </w:r>
      <w:r w:rsidR="00BF014C" w:rsidRPr="00304238">
        <w:rPr>
          <w:rFonts w:ascii="Tahoma" w:hAnsi="Tahoma" w:cs="Tahoma"/>
          <w:lang w:val="es-ES"/>
        </w:rPr>
        <w:t>cotizó 807,57 semanas en el INSTITUTO DE SEGUROS SOCIALES –hoy COLPENSIONES</w:t>
      </w:r>
      <w:r w:rsidR="00B26E3F">
        <w:rPr>
          <w:rFonts w:ascii="Tahoma" w:hAnsi="Tahoma" w:cs="Tahoma"/>
          <w:lang w:val="es-ES"/>
        </w:rPr>
        <w:t>–</w:t>
      </w:r>
      <w:r w:rsidR="00BF014C" w:rsidRPr="00304238">
        <w:rPr>
          <w:rFonts w:ascii="Tahoma" w:hAnsi="Tahoma" w:cs="Tahoma"/>
          <w:lang w:val="es-ES"/>
        </w:rPr>
        <w:t xml:space="preserve"> </w:t>
      </w:r>
      <w:r w:rsidR="00AA398A" w:rsidRPr="00304238">
        <w:rPr>
          <w:rFonts w:ascii="Tahoma" w:hAnsi="Tahoma" w:cs="Tahoma"/>
          <w:lang w:val="es-ES"/>
        </w:rPr>
        <w:t>(</w:t>
      </w:r>
      <w:r w:rsidR="00BF014C" w:rsidRPr="00304238">
        <w:rPr>
          <w:rFonts w:ascii="Tahoma" w:hAnsi="Tahoma" w:cs="Tahoma"/>
          <w:lang w:val="es-ES"/>
        </w:rPr>
        <w:t>entre el 05 de julio de 1977 y el 28 de febrero de 2015</w:t>
      </w:r>
      <w:r w:rsidR="00AA398A" w:rsidRPr="00304238">
        <w:rPr>
          <w:rFonts w:ascii="Tahoma" w:hAnsi="Tahoma" w:cs="Tahoma"/>
          <w:lang w:val="es-ES"/>
        </w:rPr>
        <w:t>)</w:t>
      </w:r>
      <w:r w:rsidR="00BF014C" w:rsidRPr="00304238">
        <w:rPr>
          <w:rFonts w:ascii="Tahoma" w:hAnsi="Tahoma" w:cs="Tahoma"/>
          <w:lang w:val="es-ES"/>
        </w:rPr>
        <w:t xml:space="preserve"> y 343,28 semanas en el Sistema de Seguridad Social del Reino de España</w:t>
      </w:r>
      <w:r w:rsidR="00AA398A" w:rsidRPr="00304238">
        <w:rPr>
          <w:rFonts w:ascii="Tahoma" w:hAnsi="Tahoma" w:cs="Tahoma"/>
          <w:lang w:val="es-ES"/>
        </w:rPr>
        <w:t>.</w:t>
      </w:r>
    </w:p>
    <w:p w14:paraId="635F1155" w14:textId="77777777" w:rsidR="00AA398A" w:rsidRPr="00304238" w:rsidRDefault="00AA398A" w:rsidP="00304238">
      <w:pPr>
        <w:spacing w:line="276" w:lineRule="auto"/>
        <w:ind w:firstLine="708"/>
        <w:jc w:val="both"/>
        <w:rPr>
          <w:rFonts w:ascii="Tahoma" w:hAnsi="Tahoma" w:cs="Tahoma"/>
          <w:lang w:val="es-ES"/>
        </w:rPr>
      </w:pPr>
    </w:p>
    <w:p w14:paraId="5128CBF6" w14:textId="77777777" w:rsidR="00323D7B" w:rsidRPr="00304238" w:rsidRDefault="00AA398A" w:rsidP="00304238">
      <w:pPr>
        <w:spacing w:line="276" w:lineRule="auto"/>
        <w:ind w:firstLine="708"/>
        <w:jc w:val="both"/>
        <w:rPr>
          <w:rFonts w:ascii="Tahoma" w:hAnsi="Tahoma" w:cs="Tahoma"/>
          <w:lang w:val="es-ES"/>
        </w:rPr>
      </w:pPr>
      <w:r w:rsidRPr="00304238">
        <w:rPr>
          <w:rFonts w:ascii="Tahoma" w:hAnsi="Tahoma" w:cs="Tahoma"/>
          <w:lang w:val="es-ES"/>
        </w:rPr>
        <w:t>Señala igualmente que tenía más de 750 semanas al 29 de julio del año 2005</w:t>
      </w:r>
      <w:r w:rsidR="00807BCD" w:rsidRPr="00304238">
        <w:rPr>
          <w:rFonts w:ascii="Tahoma" w:hAnsi="Tahoma" w:cs="Tahoma"/>
          <w:lang w:val="es-ES"/>
        </w:rPr>
        <w:t xml:space="preserve"> y que alcanzó a reunir los requisitos de edad y densidad de semanas dentro </w:t>
      </w:r>
      <w:r w:rsidR="00323D7B" w:rsidRPr="00304238">
        <w:rPr>
          <w:rFonts w:ascii="Tahoma" w:hAnsi="Tahoma" w:cs="Tahoma"/>
          <w:lang w:val="es-ES"/>
        </w:rPr>
        <w:t>del término máximo de duración del régimen de transición del artículo 36 de la Ley 100 de 1993, esto es, hasta el año 2014, según lo previsto en el parágrafo transitorio 4 del Acto Legislativo 01 de 2005.</w:t>
      </w:r>
    </w:p>
    <w:p w14:paraId="25256D4B" w14:textId="77777777" w:rsidR="00323D7B" w:rsidRPr="00304238" w:rsidRDefault="00323D7B" w:rsidP="00304238">
      <w:pPr>
        <w:spacing w:line="276" w:lineRule="auto"/>
        <w:ind w:firstLine="708"/>
        <w:jc w:val="both"/>
        <w:rPr>
          <w:rFonts w:ascii="Tahoma" w:hAnsi="Tahoma" w:cs="Tahoma"/>
          <w:lang w:val="es-ES"/>
        </w:rPr>
      </w:pPr>
    </w:p>
    <w:p w14:paraId="27DE9051" w14:textId="77777777" w:rsidR="004B7DA7" w:rsidRPr="00304238" w:rsidRDefault="00323D7B" w:rsidP="00304238">
      <w:pPr>
        <w:spacing w:line="276" w:lineRule="auto"/>
        <w:ind w:firstLine="708"/>
        <w:jc w:val="both"/>
        <w:rPr>
          <w:rFonts w:ascii="Tahoma" w:hAnsi="Tahoma" w:cs="Tahoma"/>
          <w:lang w:val="es-ES"/>
        </w:rPr>
      </w:pPr>
      <w:r w:rsidRPr="00304238">
        <w:rPr>
          <w:rFonts w:ascii="Tahoma" w:hAnsi="Tahoma" w:cs="Tahoma"/>
          <w:lang w:val="es-ES"/>
        </w:rPr>
        <w:t xml:space="preserve">Finalmente indica que elevó solicitud pensional a COLPENSIONES el 26 de marzo de 2015 y para ello diligenció los formatos donde especificaba los ciclos cotizados en el Reino de España, pese a lo cual la entidad le negó la prestación reclamada mediante Resolución No. </w:t>
      </w:r>
      <w:proofErr w:type="spellStart"/>
      <w:r w:rsidRPr="00304238">
        <w:rPr>
          <w:rFonts w:ascii="Tahoma" w:hAnsi="Tahoma" w:cs="Tahoma"/>
          <w:lang w:val="es-ES"/>
        </w:rPr>
        <w:t>GNR</w:t>
      </w:r>
      <w:proofErr w:type="spellEnd"/>
      <w:r w:rsidRPr="00304238">
        <w:rPr>
          <w:rFonts w:ascii="Tahoma" w:hAnsi="Tahoma" w:cs="Tahoma"/>
          <w:lang w:val="es-ES"/>
        </w:rPr>
        <w:t xml:space="preserve"> 138007 del 10 de mayo de 2016</w:t>
      </w:r>
      <w:r w:rsidR="00CD2759" w:rsidRPr="00304238">
        <w:rPr>
          <w:rFonts w:ascii="Tahoma" w:hAnsi="Tahoma" w:cs="Tahoma"/>
          <w:lang w:val="es-ES"/>
        </w:rPr>
        <w:t>, donde argumentó falta de</w:t>
      </w:r>
      <w:r w:rsidR="004B7DA7" w:rsidRPr="00304238">
        <w:rPr>
          <w:rFonts w:ascii="Tahoma" w:hAnsi="Tahoma" w:cs="Tahoma"/>
          <w:lang w:val="es-ES"/>
        </w:rPr>
        <w:t xml:space="preserve"> las</w:t>
      </w:r>
      <w:r w:rsidR="00CD2759" w:rsidRPr="00304238">
        <w:rPr>
          <w:rFonts w:ascii="Tahoma" w:hAnsi="Tahoma" w:cs="Tahoma"/>
          <w:lang w:val="es-ES"/>
        </w:rPr>
        <w:t xml:space="preserve"> semanas</w:t>
      </w:r>
      <w:r w:rsidR="004B7DA7" w:rsidRPr="00304238">
        <w:rPr>
          <w:rFonts w:ascii="Tahoma" w:hAnsi="Tahoma" w:cs="Tahoma"/>
          <w:lang w:val="es-ES"/>
        </w:rPr>
        <w:t xml:space="preserve"> mínimas para acceder a la pensión.</w:t>
      </w:r>
    </w:p>
    <w:p w14:paraId="20534480" w14:textId="77777777" w:rsidR="004B7DA7" w:rsidRPr="00304238" w:rsidRDefault="004B7DA7" w:rsidP="00304238">
      <w:pPr>
        <w:spacing w:line="276" w:lineRule="auto"/>
        <w:ind w:firstLine="708"/>
        <w:jc w:val="both"/>
        <w:rPr>
          <w:rFonts w:ascii="Tahoma" w:hAnsi="Tahoma" w:cs="Tahoma"/>
          <w:lang w:val="es-ES"/>
        </w:rPr>
      </w:pPr>
    </w:p>
    <w:p w14:paraId="3577AA82" w14:textId="77777777" w:rsidR="005042CD" w:rsidRPr="00304238" w:rsidRDefault="00C506DC" w:rsidP="00304238">
      <w:pPr>
        <w:spacing w:line="276" w:lineRule="auto"/>
        <w:ind w:firstLine="708"/>
        <w:jc w:val="both"/>
        <w:rPr>
          <w:rFonts w:ascii="Tahoma" w:hAnsi="Tahoma" w:cs="Tahoma"/>
          <w:i/>
          <w:iCs/>
          <w:lang w:val="es-ES"/>
        </w:rPr>
      </w:pPr>
      <w:r w:rsidRPr="00304238">
        <w:rPr>
          <w:rFonts w:ascii="Tahoma" w:hAnsi="Tahoma" w:cs="Tahoma"/>
          <w:lang w:val="es-ES"/>
        </w:rPr>
        <w:t>En respuesta a la demanda</w:t>
      </w:r>
      <w:r w:rsidR="00B755A0" w:rsidRPr="00304238">
        <w:rPr>
          <w:rFonts w:ascii="Tahoma" w:hAnsi="Tahoma" w:cs="Tahoma"/>
          <w:lang w:val="es-ES"/>
        </w:rPr>
        <w:t>, la entidad demandada se opone a la prosperidad de las pretensiones, al considerar que la demandante perdió los beneficios del régimen de transición el 31 de julio de 2010</w:t>
      </w:r>
      <w:r w:rsidR="00FD161C" w:rsidRPr="00304238">
        <w:rPr>
          <w:rFonts w:ascii="Tahoma" w:hAnsi="Tahoma" w:cs="Tahoma"/>
          <w:lang w:val="es-ES"/>
        </w:rPr>
        <w:t>, pues no acreditaba 750 semanas a</w:t>
      </w:r>
      <w:r w:rsidR="00292992" w:rsidRPr="00304238">
        <w:rPr>
          <w:rFonts w:ascii="Tahoma" w:hAnsi="Tahoma" w:cs="Tahoma"/>
          <w:lang w:val="es-ES"/>
        </w:rPr>
        <w:t xml:space="preserve"> la entrada en vigencia del Acto Legislativo 01 de 2005</w:t>
      </w:r>
      <w:r w:rsidR="00D169C5" w:rsidRPr="00304238">
        <w:rPr>
          <w:rFonts w:ascii="Tahoma" w:hAnsi="Tahoma" w:cs="Tahoma"/>
          <w:lang w:val="es-ES"/>
        </w:rPr>
        <w:t xml:space="preserve"> y </w:t>
      </w:r>
      <w:r w:rsidR="005042CD" w:rsidRPr="00304238">
        <w:rPr>
          <w:rFonts w:ascii="Tahoma" w:hAnsi="Tahoma" w:cs="Tahoma"/>
          <w:lang w:val="es-ES"/>
        </w:rPr>
        <w:t>“</w:t>
      </w:r>
      <w:r w:rsidR="00D169C5" w:rsidRPr="002B2662">
        <w:rPr>
          <w:rFonts w:ascii="Tahoma" w:hAnsi="Tahoma" w:cs="Tahoma"/>
          <w:i/>
          <w:iCs/>
          <w:sz w:val="22"/>
          <w:lang w:val="es-ES"/>
        </w:rPr>
        <w:t>los periodos laborados en el Reino de España, que ascienden a 348,14 semanas, las cuales se efectuaron entre el 2002 y el 2010</w:t>
      </w:r>
      <w:r w:rsidR="00592936" w:rsidRPr="002B2662">
        <w:rPr>
          <w:rFonts w:ascii="Tahoma" w:hAnsi="Tahoma" w:cs="Tahoma"/>
          <w:i/>
          <w:iCs/>
          <w:sz w:val="22"/>
          <w:lang w:val="es-ES"/>
        </w:rPr>
        <w:t xml:space="preserve"> de manera discontinua, segú</w:t>
      </w:r>
      <w:r w:rsidR="00BA624E" w:rsidRPr="002B2662">
        <w:rPr>
          <w:rFonts w:ascii="Tahoma" w:hAnsi="Tahoma" w:cs="Tahoma"/>
          <w:i/>
          <w:iCs/>
          <w:sz w:val="22"/>
          <w:lang w:val="es-ES"/>
        </w:rPr>
        <w:t xml:space="preserve">n los formatos CO/ES-02 y la historia laboral de España, que no le sirven al propósito </w:t>
      </w:r>
      <w:r w:rsidR="00222B55" w:rsidRPr="002B2662">
        <w:rPr>
          <w:rFonts w:ascii="Tahoma" w:hAnsi="Tahoma" w:cs="Tahoma"/>
          <w:i/>
          <w:iCs/>
          <w:sz w:val="22"/>
          <w:lang w:val="es-ES"/>
        </w:rPr>
        <w:t xml:space="preserve">de acreditar la densidad de semanas suficiente para cumplir con el acto legislativo y permanecer en el régimen ni para cumplir con la densidad de semanas </w:t>
      </w:r>
      <w:r w:rsidR="00222B55" w:rsidRPr="002B2662">
        <w:rPr>
          <w:rFonts w:ascii="Tahoma" w:hAnsi="Tahoma" w:cs="Tahoma"/>
          <w:i/>
          <w:iCs/>
          <w:sz w:val="22"/>
          <w:lang w:val="es-ES"/>
        </w:rPr>
        <w:lastRenderedPageBreak/>
        <w:t>que refiere la ley 100 de 1993</w:t>
      </w:r>
      <w:r w:rsidR="005042CD" w:rsidRPr="002B2662">
        <w:rPr>
          <w:rFonts w:ascii="Tahoma" w:hAnsi="Tahoma" w:cs="Tahoma"/>
          <w:i/>
          <w:iCs/>
          <w:sz w:val="22"/>
          <w:lang w:val="es-ES"/>
        </w:rPr>
        <w:t>”</w:t>
      </w:r>
      <w:r w:rsidR="00222B55" w:rsidRPr="002B2662">
        <w:rPr>
          <w:rFonts w:ascii="Tahoma" w:hAnsi="Tahoma" w:cs="Tahoma"/>
          <w:sz w:val="22"/>
          <w:lang w:val="es-ES"/>
        </w:rPr>
        <w:t xml:space="preserve">. </w:t>
      </w:r>
      <w:r w:rsidR="00222B55" w:rsidRPr="002B2662">
        <w:rPr>
          <w:rFonts w:ascii="Tahoma" w:eastAsia="Tahoma" w:hAnsi="Tahoma" w:cs="Tahoma"/>
          <w:sz w:val="22"/>
          <w:lang w:val="es-ES"/>
        </w:rPr>
        <w:t>Agrega que</w:t>
      </w:r>
      <w:r w:rsidR="00222B55" w:rsidRPr="002B2662">
        <w:rPr>
          <w:rFonts w:ascii="Tahoma" w:hAnsi="Tahoma" w:cs="Tahoma"/>
          <w:sz w:val="22"/>
          <w:lang w:val="es-ES"/>
        </w:rPr>
        <w:t xml:space="preserve"> </w:t>
      </w:r>
      <w:r w:rsidR="005042CD" w:rsidRPr="002B2662">
        <w:rPr>
          <w:rFonts w:ascii="Tahoma" w:hAnsi="Tahoma" w:cs="Tahoma"/>
          <w:i/>
          <w:iCs/>
          <w:sz w:val="22"/>
          <w:lang w:val="es-ES"/>
        </w:rPr>
        <w:t>“</w:t>
      </w:r>
      <w:r w:rsidR="00222B55" w:rsidRPr="002B2662">
        <w:rPr>
          <w:rFonts w:ascii="Tahoma" w:hAnsi="Tahoma" w:cs="Tahoma"/>
          <w:i/>
          <w:iCs/>
          <w:sz w:val="22"/>
          <w:lang w:val="es-ES"/>
        </w:rPr>
        <w:t>la demandante acreditó aportes</w:t>
      </w:r>
      <w:r w:rsidR="004A543E" w:rsidRPr="002B2662">
        <w:rPr>
          <w:rFonts w:ascii="Tahoma" w:hAnsi="Tahoma" w:cs="Tahoma"/>
          <w:i/>
          <w:iCs/>
          <w:sz w:val="22"/>
          <w:lang w:val="es-ES"/>
        </w:rPr>
        <w:t xml:space="preserve"> en los dos lugares</w:t>
      </w:r>
      <w:r w:rsidR="00440D27" w:rsidRPr="002B2662">
        <w:rPr>
          <w:rFonts w:ascii="Tahoma" w:hAnsi="Tahoma" w:cs="Tahoma"/>
          <w:i/>
          <w:iCs/>
          <w:sz w:val="22"/>
          <w:lang w:val="es-ES"/>
        </w:rPr>
        <w:t xml:space="preserve"> (España y Colombia)</w:t>
      </w:r>
      <w:r w:rsidR="004A543E" w:rsidRPr="002B2662">
        <w:rPr>
          <w:rFonts w:ascii="Tahoma" w:hAnsi="Tahoma" w:cs="Tahoma"/>
          <w:i/>
          <w:iCs/>
          <w:sz w:val="22"/>
          <w:lang w:val="es-ES"/>
        </w:rPr>
        <w:t xml:space="preserve">, puesto que estando en España, pagaba aportes como independiente, por lo que es claro que cuando se prestan servicios </w:t>
      </w:r>
      <w:r w:rsidR="00286BB7" w:rsidRPr="002B2662">
        <w:rPr>
          <w:rFonts w:ascii="Tahoma" w:hAnsi="Tahoma" w:cs="Tahoma"/>
          <w:i/>
          <w:iCs/>
          <w:sz w:val="22"/>
          <w:lang w:val="es-ES"/>
        </w:rPr>
        <w:t>simultáneos</w:t>
      </w:r>
      <w:r w:rsidR="004A543E" w:rsidRPr="002B2662">
        <w:rPr>
          <w:rFonts w:ascii="Tahoma" w:hAnsi="Tahoma" w:cs="Tahoma"/>
          <w:i/>
          <w:iCs/>
          <w:sz w:val="22"/>
          <w:lang w:val="es-ES"/>
        </w:rPr>
        <w:t xml:space="preserve"> a varios empleadores, los aportes destinados a adquirir</w:t>
      </w:r>
      <w:r w:rsidR="00286BB7" w:rsidRPr="002B2662">
        <w:rPr>
          <w:rFonts w:ascii="Tahoma" w:hAnsi="Tahoma" w:cs="Tahoma"/>
          <w:i/>
          <w:iCs/>
          <w:sz w:val="22"/>
          <w:lang w:val="es-ES"/>
        </w:rPr>
        <w:t xml:space="preserve"> el derecho a pensión</w:t>
      </w:r>
      <w:r w:rsidR="00440D27" w:rsidRPr="002B2662">
        <w:rPr>
          <w:rFonts w:ascii="Tahoma" w:hAnsi="Tahoma" w:cs="Tahoma"/>
          <w:i/>
          <w:iCs/>
          <w:sz w:val="22"/>
          <w:lang w:val="es-ES"/>
        </w:rPr>
        <w:t xml:space="preserve"> solo se tienen en cuenta para fijar el promedio del salario base y el pago de las prestaciones económicas, en este sentido, la resp</w:t>
      </w:r>
      <w:r w:rsidR="005042CD" w:rsidRPr="002B2662">
        <w:rPr>
          <w:rFonts w:ascii="Tahoma" w:hAnsi="Tahoma" w:cs="Tahoma"/>
          <w:i/>
          <w:iCs/>
          <w:sz w:val="22"/>
          <w:lang w:val="es-ES"/>
        </w:rPr>
        <w:t xml:space="preserve">onsabilidad de COLPENSIONES se reduce a trasladar dichos ingresos a la entidad pagadora y/o </w:t>
      </w:r>
      <w:proofErr w:type="spellStart"/>
      <w:r w:rsidR="005042CD" w:rsidRPr="002B2662">
        <w:rPr>
          <w:rFonts w:ascii="Tahoma" w:hAnsi="Tahoma" w:cs="Tahoma"/>
          <w:i/>
          <w:iCs/>
          <w:sz w:val="22"/>
          <w:lang w:val="es-ES"/>
        </w:rPr>
        <w:t>jubilante</w:t>
      </w:r>
      <w:proofErr w:type="spellEnd"/>
      <w:r w:rsidR="005042CD" w:rsidRPr="002B2662">
        <w:rPr>
          <w:rFonts w:ascii="Tahoma" w:hAnsi="Tahoma" w:cs="Tahoma"/>
          <w:i/>
          <w:iCs/>
          <w:sz w:val="22"/>
          <w:lang w:val="es-ES"/>
        </w:rPr>
        <w:t xml:space="preserve"> de la pensión, para realizar las gestiones de su competencia, no sumar dos veces las semanas cotizadas para efectos de contabilizar las semanas”.</w:t>
      </w:r>
      <w:r w:rsidR="005042CD" w:rsidRPr="002B2662">
        <w:rPr>
          <w:rFonts w:ascii="Tahoma" w:hAnsi="Tahoma" w:cs="Tahoma"/>
          <w:sz w:val="22"/>
          <w:lang w:val="es-ES"/>
        </w:rPr>
        <w:t xml:space="preserve"> En ese orden, pr</w:t>
      </w:r>
      <w:r w:rsidR="00BC3C15" w:rsidRPr="002B2662">
        <w:rPr>
          <w:rFonts w:ascii="Tahoma" w:hAnsi="Tahoma" w:cs="Tahoma"/>
          <w:sz w:val="22"/>
          <w:lang w:val="es-ES"/>
        </w:rPr>
        <w:t xml:space="preserve">opuso las excepciones de </w:t>
      </w:r>
      <w:r w:rsidR="00BC3C15" w:rsidRPr="002B2662">
        <w:rPr>
          <w:rFonts w:ascii="Tahoma" w:hAnsi="Tahoma" w:cs="Tahoma"/>
          <w:i/>
          <w:iCs/>
          <w:sz w:val="22"/>
          <w:lang w:val="es-ES"/>
        </w:rPr>
        <w:t>“inexistencia de la obligación demandada y prescripción</w:t>
      </w:r>
      <w:r w:rsidR="00BC3C15" w:rsidRPr="00304238">
        <w:rPr>
          <w:rFonts w:ascii="Tahoma" w:hAnsi="Tahoma" w:cs="Tahoma"/>
          <w:i/>
          <w:iCs/>
          <w:lang w:val="es-ES"/>
        </w:rPr>
        <w:t>”</w:t>
      </w:r>
      <w:r w:rsidR="00F11601" w:rsidRPr="00304238">
        <w:rPr>
          <w:rFonts w:ascii="Tahoma" w:hAnsi="Tahoma" w:cs="Tahoma"/>
          <w:i/>
          <w:iCs/>
          <w:lang w:val="es-ES"/>
        </w:rPr>
        <w:t>.</w:t>
      </w:r>
    </w:p>
    <w:p w14:paraId="4AD5060E" w14:textId="77777777" w:rsidR="00F11601" w:rsidRPr="00304238" w:rsidRDefault="00F11601" w:rsidP="00304238">
      <w:pPr>
        <w:spacing w:line="276" w:lineRule="auto"/>
        <w:ind w:firstLine="708"/>
        <w:jc w:val="both"/>
        <w:rPr>
          <w:rFonts w:ascii="Tahoma" w:hAnsi="Tahoma" w:cs="Tahoma"/>
          <w:i/>
          <w:lang w:val="es-ES"/>
        </w:rPr>
      </w:pPr>
    </w:p>
    <w:p w14:paraId="69563634" w14:textId="7BB6AFB2" w:rsidR="00F11601" w:rsidRPr="00304238" w:rsidRDefault="00F11601" w:rsidP="00304238">
      <w:pPr>
        <w:pStyle w:val="Prrafodelista"/>
        <w:numPr>
          <w:ilvl w:val="0"/>
          <w:numId w:val="5"/>
        </w:numPr>
        <w:spacing w:line="276" w:lineRule="auto"/>
        <w:jc w:val="center"/>
        <w:rPr>
          <w:rFonts w:ascii="Tahoma" w:hAnsi="Tahoma" w:cs="Tahoma"/>
          <w:b/>
          <w:lang w:val="es-ES"/>
        </w:rPr>
      </w:pPr>
      <w:r w:rsidRPr="00304238">
        <w:rPr>
          <w:rFonts w:ascii="Tahoma" w:hAnsi="Tahoma" w:cs="Tahoma"/>
          <w:b/>
          <w:lang w:val="es-ES"/>
        </w:rPr>
        <w:t>SENTENCIA DE PRIMERA INSTANCIA</w:t>
      </w:r>
    </w:p>
    <w:p w14:paraId="2B6A510B" w14:textId="77777777" w:rsidR="00D81982" w:rsidRPr="00304238" w:rsidRDefault="00D81982" w:rsidP="00304238">
      <w:pPr>
        <w:spacing w:line="276" w:lineRule="auto"/>
        <w:jc w:val="center"/>
        <w:rPr>
          <w:rFonts w:ascii="Tahoma" w:hAnsi="Tahoma" w:cs="Tahoma"/>
          <w:b/>
          <w:lang w:val="es-ES"/>
        </w:rPr>
      </w:pPr>
    </w:p>
    <w:p w14:paraId="28B3D8E8" w14:textId="6A42BB08" w:rsidR="00887E6C" w:rsidRPr="00304238" w:rsidRDefault="000C71DA" w:rsidP="00304238">
      <w:pPr>
        <w:spacing w:line="276" w:lineRule="auto"/>
        <w:ind w:firstLine="708"/>
        <w:jc w:val="both"/>
        <w:rPr>
          <w:rFonts w:ascii="Tahoma" w:hAnsi="Tahoma" w:cs="Tahoma"/>
          <w:lang w:val="es-ES"/>
        </w:rPr>
      </w:pPr>
      <w:r w:rsidRPr="00304238">
        <w:rPr>
          <w:rFonts w:ascii="Tahoma" w:hAnsi="Tahoma" w:cs="Tahoma"/>
          <w:lang w:val="es-ES"/>
        </w:rPr>
        <w:t xml:space="preserve">La jueza </w:t>
      </w:r>
      <w:r w:rsidR="005614F9" w:rsidRPr="00304238">
        <w:rPr>
          <w:rFonts w:ascii="Tahoma" w:hAnsi="Tahoma" w:cs="Tahoma"/>
          <w:lang w:val="es-ES"/>
        </w:rPr>
        <w:t xml:space="preserve">de primera instancia </w:t>
      </w:r>
      <w:r w:rsidR="00F12939" w:rsidRPr="00304238">
        <w:rPr>
          <w:rFonts w:ascii="Tahoma" w:hAnsi="Tahoma" w:cs="Tahoma"/>
          <w:lang w:val="es-ES"/>
        </w:rPr>
        <w:t xml:space="preserve">declaró no probadas las excepciones propuestas por la </w:t>
      </w:r>
      <w:r w:rsidR="00F12939" w:rsidRPr="00304238">
        <w:rPr>
          <w:rFonts w:ascii="Tahoma" w:hAnsi="Tahoma" w:cs="Tahoma"/>
          <w:b/>
          <w:lang w:val="es-ES"/>
        </w:rPr>
        <w:t>ADMINISTRADORA COLOMBIANA DE PENSIONES –</w:t>
      </w:r>
      <w:r w:rsidR="002B2662">
        <w:rPr>
          <w:rFonts w:ascii="Tahoma" w:hAnsi="Tahoma" w:cs="Tahoma"/>
          <w:b/>
          <w:lang w:val="es-ES"/>
        </w:rPr>
        <w:t xml:space="preserve"> </w:t>
      </w:r>
      <w:r w:rsidR="00F12939" w:rsidRPr="00304238">
        <w:rPr>
          <w:rFonts w:ascii="Tahoma" w:hAnsi="Tahoma" w:cs="Tahoma"/>
          <w:b/>
          <w:lang w:val="es-ES"/>
        </w:rPr>
        <w:t>COLPENSIONES</w:t>
      </w:r>
      <w:r w:rsidR="00F12939" w:rsidRPr="00304238">
        <w:rPr>
          <w:rFonts w:ascii="Tahoma" w:hAnsi="Tahoma" w:cs="Tahoma"/>
          <w:lang w:val="es-ES"/>
        </w:rPr>
        <w:t xml:space="preserve"> y declaró igualmente que la señora </w:t>
      </w:r>
      <w:r w:rsidR="00F12939" w:rsidRPr="00304238">
        <w:rPr>
          <w:rFonts w:ascii="Tahoma" w:hAnsi="Tahoma" w:cs="Tahoma"/>
          <w:b/>
          <w:lang w:val="es-ES"/>
        </w:rPr>
        <w:t>MARÍA EUGENIA ESTRADA VALENCIA</w:t>
      </w:r>
      <w:r w:rsidR="00F12939" w:rsidRPr="00304238">
        <w:rPr>
          <w:rFonts w:ascii="Tahoma" w:hAnsi="Tahoma" w:cs="Tahoma"/>
          <w:lang w:val="es-ES"/>
        </w:rPr>
        <w:t xml:space="preserve"> es beneficiaria del Régimen de Transición establecido por el artículo 36 de la Ley 100 de 1993 y, por lo tanto, </w:t>
      </w:r>
      <w:r w:rsidR="003E70E8" w:rsidRPr="00304238">
        <w:rPr>
          <w:rFonts w:ascii="Tahoma" w:hAnsi="Tahoma" w:cs="Tahoma"/>
          <w:lang w:val="es-ES"/>
        </w:rPr>
        <w:t>se hace acreedora de la aplicación del Acuerdo 049 de 1990, aprobado por el Decreto 758 del mismo año para el rec</w:t>
      </w:r>
      <w:r w:rsidR="00887E6C" w:rsidRPr="00304238">
        <w:rPr>
          <w:rFonts w:ascii="Tahoma" w:hAnsi="Tahoma" w:cs="Tahoma"/>
          <w:lang w:val="es-ES"/>
        </w:rPr>
        <w:t>onocimiento de pensión de vejez. Para ello, dio alcance al artículo 2º de la Ley 1112 de 2006, en virtud de la cual se permite acumular al tiempo de servicios en Colombia los periodos cotizados en el Reino de España, incluso para el reconocimiento de pensiones bajo el amparo del régimen de transición, es decir, con normas anteriores a la Ley 100 de 1993, pues no existe norma alguna que excluya de dicha acumulación a los beneficiarios del citado régimen.</w:t>
      </w:r>
    </w:p>
    <w:p w14:paraId="169501D1" w14:textId="77777777" w:rsidR="00887E6C" w:rsidRPr="00304238" w:rsidRDefault="00887E6C" w:rsidP="00304238">
      <w:pPr>
        <w:spacing w:line="276" w:lineRule="auto"/>
        <w:ind w:firstLine="708"/>
        <w:jc w:val="both"/>
        <w:rPr>
          <w:rFonts w:ascii="Tahoma" w:hAnsi="Tahoma" w:cs="Tahoma"/>
          <w:lang w:val="es-ES"/>
        </w:rPr>
      </w:pPr>
    </w:p>
    <w:p w14:paraId="6D7377FA" w14:textId="2297B4AE" w:rsidR="00FB6972" w:rsidRPr="00304238" w:rsidRDefault="005C04DC" w:rsidP="00304238">
      <w:pPr>
        <w:spacing w:line="276" w:lineRule="auto"/>
        <w:ind w:firstLine="708"/>
        <w:jc w:val="both"/>
        <w:rPr>
          <w:rFonts w:ascii="Tahoma" w:hAnsi="Tahoma" w:cs="Tahoma"/>
          <w:lang w:val="es-ES"/>
        </w:rPr>
      </w:pPr>
      <w:r w:rsidRPr="00304238">
        <w:rPr>
          <w:rFonts w:ascii="Tahoma" w:hAnsi="Tahoma" w:cs="Tahoma"/>
          <w:lang w:val="es-ES"/>
        </w:rPr>
        <w:t xml:space="preserve"> En consecuencia, condenó a la entidad demandada al pago </w:t>
      </w:r>
      <w:r w:rsidR="00FB6972" w:rsidRPr="00304238">
        <w:rPr>
          <w:rFonts w:ascii="Tahoma" w:hAnsi="Tahoma" w:cs="Tahoma"/>
          <w:lang w:val="es-ES"/>
        </w:rPr>
        <w:t>d</w:t>
      </w:r>
      <w:r w:rsidR="00406723" w:rsidRPr="00304238">
        <w:rPr>
          <w:rFonts w:ascii="Tahoma" w:hAnsi="Tahoma" w:cs="Tahoma"/>
          <w:lang w:val="es-ES"/>
        </w:rPr>
        <w:t>e la pensión de vejez desde el 6 de octubre</w:t>
      </w:r>
      <w:r w:rsidR="00FB6972" w:rsidRPr="00304238">
        <w:rPr>
          <w:rFonts w:ascii="Tahoma" w:hAnsi="Tahoma" w:cs="Tahoma"/>
          <w:lang w:val="es-ES"/>
        </w:rPr>
        <w:t xml:space="preserve"> de 2015, pues en esa fecha registra la última cotización y de manera concomitante elevó solicitud pensional a COLPENSIONES. </w:t>
      </w:r>
    </w:p>
    <w:p w14:paraId="01CEB5D9" w14:textId="77777777" w:rsidR="00FB6972" w:rsidRPr="00304238" w:rsidRDefault="00FB6972" w:rsidP="00304238">
      <w:pPr>
        <w:spacing w:line="276" w:lineRule="auto"/>
        <w:ind w:firstLine="708"/>
        <w:jc w:val="both"/>
        <w:rPr>
          <w:rFonts w:ascii="Tahoma" w:hAnsi="Tahoma" w:cs="Tahoma"/>
          <w:lang w:val="es-ES"/>
        </w:rPr>
      </w:pPr>
    </w:p>
    <w:p w14:paraId="7222FB67" w14:textId="77777777" w:rsidR="000C71DA" w:rsidRPr="00304238" w:rsidRDefault="0035316D" w:rsidP="00304238">
      <w:pPr>
        <w:spacing w:line="276" w:lineRule="auto"/>
        <w:ind w:firstLine="708"/>
        <w:jc w:val="both"/>
        <w:rPr>
          <w:rFonts w:ascii="Tahoma" w:hAnsi="Tahoma" w:cs="Tahoma"/>
          <w:lang w:val="es-ES"/>
        </w:rPr>
      </w:pPr>
      <w:r w:rsidRPr="00304238">
        <w:rPr>
          <w:rFonts w:ascii="Tahoma" w:hAnsi="Tahoma" w:cs="Tahoma"/>
          <w:lang w:val="es-ES"/>
        </w:rPr>
        <w:t>En cuanto al</w:t>
      </w:r>
      <w:r w:rsidR="001E0676" w:rsidRPr="00304238">
        <w:rPr>
          <w:rFonts w:ascii="Tahoma" w:hAnsi="Tahoma" w:cs="Tahoma"/>
          <w:lang w:val="es-ES"/>
        </w:rPr>
        <w:t xml:space="preserve"> monto de la condena</w:t>
      </w:r>
      <w:r w:rsidR="00FB6972" w:rsidRPr="00304238">
        <w:rPr>
          <w:rFonts w:ascii="Tahoma" w:hAnsi="Tahoma" w:cs="Tahoma"/>
          <w:lang w:val="es-ES"/>
        </w:rPr>
        <w:t>, indicó</w:t>
      </w:r>
      <w:r w:rsidR="001E0676" w:rsidRPr="00304238">
        <w:rPr>
          <w:rFonts w:ascii="Tahoma" w:hAnsi="Tahoma" w:cs="Tahoma"/>
          <w:lang w:val="es-ES"/>
        </w:rPr>
        <w:t>:</w:t>
      </w:r>
      <w:r w:rsidR="00FB6972" w:rsidRPr="00304238">
        <w:rPr>
          <w:rFonts w:ascii="Tahoma" w:hAnsi="Tahoma" w:cs="Tahoma"/>
          <w:lang w:val="es-ES"/>
        </w:rPr>
        <w:t xml:space="preserve"> </w:t>
      </w:r>
      <w:r w:rsidR="001E0676" w:rsidRPr="00304238">
        <w:rPr>
          <w:rFonts w:ascii="Tahoma" w:hAnsi="Tahoma" w:cs="Tahoma"/>
          <w:b/>
          <w:lang w:val="es-ES"/>
        </w:rPr>
        <w:t>1)</w:t>
      </w:r>
      <w:r w:rsidR="001E0676" w:rsidRPr="00304238">
        <w:rPr>
          <w:rFonts w:ascii="Tahoma" w:hAnsi="Tahoma" w:cs="Tahoma"/>
          <w:lang w:val="es-ES"/>
        </w:rPr>
        <w:t xml:space="preserve"> que la pensión</w:t>
      </w:r>
      <w:r w:rsidRPr="00304238">
        <w:rPr>
          <w:rFonts w:ascii="Tahoma" w:hAnsi="Tahoma" w:cs="Tahoma"/>
          <w:lang w:val="es-ES"/>
        </w:rPr>
        <w:t xml:space="preserve"> se reconoce con base en aportes pensionales realizados en Colombia y España,</w:t>
      </w:r>
      <w:r w:rsidR="001E0676" w:rsidRPr="00304238">
        <w:rPr>
          <w:rFonts w:ascii="Tahoma" w:hAnsi="Tahoma" w:cs="Tahoma"/>
          <w:lang w:val="es-ES"/>
        </w:rPr>
        <w:t xml:space="preserve"> de modo que la misma se debe pagar a prorrata por el tiempo cotizado en cada país, según lo reglado en el convenio de segurid</w:t>
      </w:r>
      <w:r w:rsidR="00672BAD" w:rsidRPr="00304238">
        <w:rPr>
          <w:rFonts w:ascii="Tahoma" w:hAnsi="Tahoma" w:cs="Tahoma"/>
          <w:lang w:val="es-ES"/>
        </w:rPr>
        <w:t xml:space="preserve">ad social celebrado entre </w:t>
      </w:r>
      <w:r w:rsidR="001E0676" w:rsidRPr="00304238">
        <w:rPr>
          <w:rFonts w:ascii="Tahoma" w:hAnsi="Tahoma" w:cs="Tahoma"/>
          <w:lang w:val="es-ES"/>
        </w:rPr>
        <w:t xml:space="preserve">Colombia y el Reino de España, reglado en la Ley 1112 de 2006, </w:t>
      </w:r>
      <w:r w:rsidR="001E0676" w:rsidRPr="00304238">
        <w:rPr>
          <w:rFonts w:ascii="Tahoma" w:hAnsi="Tahoma" w:cs="Tahoma"/>
          <w:b/>
          <w:lang w:val="es-ES"/>
        </w:rPr>
        <w:t xml:space="preserve">2) </w:t>
      </w:r>
      <w:r w:rsidR="00826DCA" w:rsidRPr="00304238">
        <w:rPr>
          <w:rFonts w:ascii="Tahoma" w:hAnsi="Tahoma" w:cs="Tahoma"/>
          <w:lang w:val="es-ES"/>
        </w:rPr>
        <w:t>para la determinació</w:t>
      </w:r>
      <w:r w:rsidR="007F158D" w:rsidRPr="00304238">
        <w:rPr>
          <w:rFonts w:ascii="Tahoma" w:hAnsi="Tahoma" w:cs="Tahoma"/>
          <w:lang w:val="es-ES"/>
        </w:rPr>
        <w:t>n del Ingreso Base de la Liquidación, tomó el promedio de los salarios o rentas sobre las cuales cotizó el afiliado en Colombia durante los 10 años anteriores al reconocimiento de la pensión, conforme al artículo 15 de la citada ley, lo cual arrojó un mesada teórica de $644.350 pesos para el año 2015, de los cuales COLPENSIONES debe concurrir al pago del 72% de esa suma (esto es, 463.932 pesos), la cual deberá ser incrementada anualmente conforme lo determine el Gobierno Nacional y con derecho a 13 mesadas al año.</w:t>
      </w:r>
    </w:p>
    <w:p w14:paraId="431399C1" w14:textId="77777777" w:rsidR="007F158D" w:rsidRPr="00304238" w:rsidRDefault="007F158D" w:rsidP="00304238">
      <w:pPr>
        <w:spacing w:line="276" w:lineRule="auto"/>
        <w:ind w:firstLine="708"/>
        <w:jc w:val="both"/>
        <w:rPr>
          <w:rFonts w:ascii="Tahoma" w:hAnsi="Tahoma" w:cs="Tahoma"/>
          <w:lang w:val="es-ES"/>
        </w:rPr>
      </w:pPr>
    </w:p>
    <w:p w14:paraId="61FE4AEA" w14:textId="77777777" w:rsidR="00901E64" w:rsidRPr="00304238" w:rsidRDefault="00A1261D" w:rsidP="00304238">
      <w:pPr>
        <w:spacing w:line="276" w:lineRule="auto"/>
        <w:ind w:firstLine="708"/>
        <w:jc w:val="both"/>
        <w:rPr>
          <w:rFonts w:ascii="Tahoma" w:hAnsi="Tahoma" w:cs="Tahoma"/>
          <w:lang w:val="es-ES"/>
        </w:rPr>
      </w:pPr>
      <w:r w:rsidRPr="00304238">
        <w:rPr>
          <w:rFonts w:ascii="Tahoma" w:hAnsi="Tahoma" w:cs="Tahoma"/>
          <w:lang w:val="es-ES"/>
        </w:rPr>
        <w:t xml:space="preserve">En </w:t>
      </w:r>
      <w:r w:rsidR="00901E64" w:rsidRPr="00304238">
        <w:rPr>
          <w:rFonts w:ascii="Tahoma" w:hAnsi="Tahoma" w:cs="Tahoma"/>
          <w:lang w:val="es-ES"/>
        </w:rPr>
        <w:t>cuanto a cuota parte a cargo del Reino de España, la jueza le impuso una obligación de hacer consistente en remitir la información necesaria por medio de los organismos de enlace correspondientes a las autoridades de seguridad social española para que, cuando cumpla los supuestos legales en ese país, se reconozca allí la pensión prorrata restante a favor de la demandante.</w:t>
      </w:r>
    </w:p>
    <w:p w14:paraId="738CEFFC" w14:textId="77777777" w:rsidR="00901E64" w:rsidRPr="00304238" w:rsidRDefault="00901E64" w:rsidP="00304238">
      <w:pPr>
        <w:spacing w:line="276" w:lineRule="auto"/>
        <w:ind w:firstLine="708"/>
        <w:jc w:val="both"/>
        <w:rPr>
          <w:rFonts w:ascii="Tahoma" w:hAnsi="Tahoma" w:cs="Tahoma"/>
          <w:lang w:val="es-ES"/>
        </w:rPr>
      </w:pPr>
    </w:p>
    <w:p w14:paraId="00DF95DB" w14:textId="0C0EC018" w:rsidR="00271A0D" w:rsidRPr="00304238" w:rsidRDefault="00901E64" w:rsidP="00304238">
      <w:pPr>
        <w:spacing w:line="276" w:lineRule="auto"/>
        <w:ind w:firstLine="708"/>
        <w:jc w:val="both"/>
        <w:rPr>
          <w:rFonts w:ascii="Tahoma" w:hAnsi="Tahoma" w:cs="Tahoma"/>
          <w:lang w:val="es-ES"/>
        </w:rPr>
      </w:pPr>
      <w:r w:rsidRPr="00304238">
        <w:rPr>
          <w:rFonts w:ascii="Tahoma" w:hAnsi="Tahoma" w:cs="Tahoma"/>
          <w:lang w:val="es-ES"/>
        </w:rPr>
        <w:t>De otra parte, condenó a la Administradora Colombiana de Pensiones COLPENSIONES a pagar a la demandante el retroactivo de la pensión prorra</w:t>
      </w:r>
      <w:r w:rsidR="00406723" w:rsidRPr="00304238">
        <w:rPr>
          <w:rFonts w:ascii="Tahoma" w:hAnsi="Tahoma" w:cs="Tahoma"/>
          <w:lang w:val="es-ES"/>
        </w:rPr>
        <w:t xml:space="preserve">ta de vejez, causada entre el </w:t>
      </w:r>
      <w:r w:rsidR="7F59B5E3" w:rsidRPr="00304238">
        <w:rPr>
          <w:rFonts w:ascii="Tahoma" w:hAnsi="Tahoma" w:cs="Tahoma"/>
          <w:lang w:val="es-ES"/>
        </w:rPr>
        <w:t>2</w:t>
      </w:r>
      <w:r w:rsidR="00406723" w:rsidRPr="00304238">
        <w:rPr>
          <w:rFonts w:ascii="Tahoma" w:hAnsi="Tahoma" w:cs="Tahoma"/>
          <w:lang w:val="es-ES"/>
        </w:rPr>
        <w:t xml:space="preserve">6 de </w:t>
      </w:r>
      <w:r w:rsidR="20C7A805" w:rsidRPr="00304238">
        <w:rPr>
          <w:rFonts w:ascii="Tahoma" w:hAnsi="Tahoma" w:cs="Tahoma"/>
          <w:lang w:val="es-ES"/>
        </w:rPr>
        <w:t>marzo</w:t>
      </w:r>
      <w:r w:rsidRPr="00304238">
        <w:rPr>
          <w:rFonts w:ascii="Tahoma" w:hAnsi="Tahoma" w:cs="Tahoma"/>
          <w:lang w:val="es-ES"/>
        </w:rPr>
        <w:t xml:space="preserve"> de 2015 y hasta que se haga efectiva su inclusión en nómina, lo que a la fecha asciende a la suma de $30.951.896 y la condenó igualmente al pago de los intereses mor</w:t>
      </w:r>
      <w:r w:rsidR="005B3B9D" w:rsidRPr="00304238">
        <w:rPr>
          <w:rFonts w:ascii="Tahoma" w:hAnsi="Tahoma" w:cs="Tahoma"/>
          <w:lang w:val="es-ES"/>
        </w:rPr>
        <w:t>atorios de que trata el art.</w:t>
      </w:r>
      <w:r w:rsidRPr="00304238">
        <w:rPr>
          <w:rFonts w:ascii="Tahoma" w:hAnsi="Tahoma" w:cs="Tahoma"/>
          <w:lang w:val="es-ES"/>
        </w:rPr>
        <w:t xml:space="preserve"> 141 de la</w:t>
      </w:r>
      <w:r w:rsidR="00406723" w:rsidRPr="00304238">
        <w:rPr>
          <w:rFonts w:ascii="Tahoma" w:hAnsi="Tahoma" w:cs="Tahoma"/>
          <w:lang w:val="es-ES"/>
        </w:rPr>
        <w:t xml:space="preserve"> Ley 100 de 1993 a partir del </w:t>
      </w:r>
      <w:r w:rsidR="5E572215" w:rsidRPr="00304238">
        <w:rPr>
          <w:rFonts w:ascii="Tahoma" w:hAnsi="Tahoma" w:cs="Tahoma"/>
          <w:lang w:val="es-ES"/>
        </w:rPr>
        <w:t>2</w:t>
      </w:r>
      <w:r w:rsidR="00406723" w:rsidRPr="00304238">
        <w:rPr>
          <w:rFonts w:ascii="Tahoma" w:hAnsi="Tahoma" w:cs="Tahoma"/>
          <w:lang w:val="es-ES"/>
        </w:rPr>
        <w:t xml:space="preserve">7 de </w:t>
      </w:r>
      <w:r w:rsidR="2507CB62" w:rsidRPr="00304238">
        <w:rPr>
          <w:rFonts w:ascii="Tahoma" w:hAnsi="Tahoma" w:cs="Tahoma"/>
          <w:lang w:val="es-ES"/>
        </w:rPr>
        <w:t>julio</w:t>
      </w:r>
      <w:r w:rsidRPr="00304238">
        <w:rPr>
          <w:rFonts w:ascii="Tahoma" w:hAnsi="Tahoma" w:cs="Tahoma"/>
          <w:lang w:val="es-ES"/>
        </w:rPr>
        <w:t xml:space="preserve"> de 2015, los cuales se deben liquidar mes a mes a la tasa máxima legal vigente a la fecha de pago de la pensión y la autorizó a descontar el 12% del retroactivo pensional con destino </w:t>
      </w:r>
      <w:r w:rsidR="00271A0D" w:rsidRPr="00304238">
        <w:rPr>
          <w:rFonts w:ascii="Tahoma" w:hAnsi="Tahoma" w:cs="Tahoma"/>
          <w:lang w:val="es-ES"/>
        </w:rPr>
        <w:t>al pago de los aportes al Sistema de Seguridad Social en Salud. Finalmente, condenó en costas procesales a la entidad demandada, fijando las agencias en derecho en la suma de $4.140.580.</w:t>
      </w:r>
    </w:p>
    <w:p w14:paraId="4DC2F183" w14:textId="77777777" w:rsidR="007B570A" w:rsidRPr="00304238" w:rsidRDefault="007B570A" w:rsidP="00304238">
      <w:pPr>
        <w:spacing w:line="276" w:lineRule="auto"/>
        <w:jc w:val="both"/>
        <w:rPr>
          <w:rFonts w:ascii="Tahoma" w:hAnsi="Tahoma" w:cs="Tahoma"/>
          <w:lang w:val="es-ES"/>
        </w:rPr>
      </w:pPr>
    </w:p>
    <w:p w14:paraId="25A392CF" w14:textId="611DAB8D" w:rsidR="00D81982" w:rsidRPr="00304238" w:rsidRDefault="00D81982" w:rsidP="00304238">
      <w:pPr>
        <w:pStyle w:val="Prrafodelista"/>
        <w:numPr>
          <w:ilvl w:val="0"/>
          <w:numId w:val="5"/>
        </w:numPr>
        <w:spacing w:line="276" w:lineRule="auto"/>
        <w:jc w:val="center"/>
        <w:rPr>
          <w:rFonts w:ascii="Tahoma" w:hAnsi="Tahoma" w:cs="Tahoma"/>
          <w:b/>
          <w:bCs/>
          <w:lang w:val="es-ES"/>
        </w:rPr>
      </w:pPr>
      <w:r w:rsidRPr="00304238">
        <w:rPr>
          <w:rFonts w:ascii="Tahoma" w:hAnsi="Tahoma" w:cs="Tahoma"/>
          <w:b/>
          <w:bCs/>
          <w:lang w:val="es-ES"/>
        </w:rPr>
        <w:t xml:space="preserve">RECURSO DE APELACIÓN Y </w:t>
      </w:r>
      <w:r w:rsidR="3D1F300D" w:rsidRPr="00304238">
        <w:rPr>
          <w:rFonts w:ascii="Tahoma" w:hAnsi="Tahoma" w:cs="Tahoma"/>
          <w:b/>
          <w:bCs/>
          <w:lang w:val="es-ES"/>
        </w:rPr>
        <w:t xml:space="preserve">PROCEDENCIA DE LA </w:t>
      </w:r>
      <w:r w:rsidRPr="00304238">
        <w:rPr>
          <w:rFonts w:ascii="Tahoma" w:hAnsi="Tahoma" w:cs="Tahoma"/>
          <w:b/>
          <w:bCs/>
          <w:lang w:val="es-ES"/>
        </w:rPr>
        <w:t>CONSULTA</w:t>
      </w:r>
    </w:p>
    <w:p w14:paraId="0F43E050" w14:textId="77777777" w:rsidR="00271A0D" w:rsidRPr="00304238" w:rsidRDefault="00271A0D" w:rsidP="00304238">
      <w:pPr>
        <w:spacing w:line="276" w:lineRule="auto"/>
        <w:jc w:val="both"/>
        <w:rPr>
          <w:rFonts w:ascii="Tahoma" w:hAnsi="Tahoma" w:cs="Tahoma"/>
          <w:b/>
          <w:lang w:val="es-ES"/>
        </w:rPr>
      </w:pPr>
    </w:p>
    <w:p w14:paraId="7DCA0812" w14:textId="325A126C" w:rsidR="00CB4D5E" w:rsidRPr="00304238" w:rsidRDefault="007D3F24" w:rsidP="00304238">
      <w:pPr>
        <w:spacing w:line="276" w:lineRule="auto"/>
        <w:ind w:firstLine="708"/>
        <w:jc w:val="both"/>
        <w:rPr>
          <w:rFonts w:ascii="Tahoma" w:eastAsia="Tahoma" w:hAnsi="Tahoma" w:cs="Tahoma"/>
          <w:lang w:val="es-ES"/>
        </w:rPr>
      </w:pPr>
      <w:r w:rsidRPr="00304238">
        <w:rPr>
          <w:rFonts w:ascii="Tahoma" w:hAnsi="Tahoma" w:cs="Tahoma"/>
          <w:lang w:val="es-ES"/>
        </w:rPr>
        <w:t xml:space="preserve">Contra la anterior decisión </w:t>
      </w:r>
      <w:r w:rsidR="00195446" w:rsidRPr="00304238">
        <w:rPr>
          <w:rFonts w:ascii="Tahoma" w:hAnsi="Tahoma" w:cs="Tahoma"/>
          <w:lang w:val="es-ES"/>
        </w:rPr>
        <w:t>presentó recurso de apelación la apoderada judicial de la entidad demanda</w:t>
      </w:r>
      <w:r w:rsidR="007B570A" w:rsidRPr="00304238">
        <w:rPr>
          <w:rFonts w:ascii="Tahoma" w:hAnsi="Tahoma" w:cs="Tahoma"/>
          <w:lang w:val="es-ES"/>
        </w:rPr>
        <w:t>da</w:t>
      </w:r>
      <w:r w:rsidR="006764C9" w:rsidRPr="00304238">
        <w:rPr>
          <w:rFonts w:ascii="Tahoma" w:hAnsi="Tahoma" w:cs="Tahoma"/>
          <w:lang w:val="es-ES"/>
        </w:rPr>
        <w:t xml:space="preserve"> para que en segunda instancia se revoque y en su defecto se absuelva a la demandada de la totalidad de las pretensiones</w:t>
      </w:r>
      <w:r w:rsidR="00566875" w:rsidRPr="00304238">
        <w:rPr>
          <w:rFonts w:ascii="Tahoma" w:hAnsi="Tahoma" w:cs="Tahoma"/>
          <w:lang w:val="es-ES"/>
        </w:rPr>
        <w:t xml:space="preserve">, porque </w:t>
      </w:r>
      <w:r w:rsidR="002B31CA" w:rsidRPr="00304238">
        <w:rPr>
          <w:rFonts w:ascii="Tahoma" w:hAnsi="Tahoma" w:cs="Tahoma"/>
          <w:lang w:val="es-ES"/>
        </w:rPr>
        <w:t>no es procedente acceder a lo pretendido por la demandante, atinente al reconocimiento de la prestación de conformidad con el Decreto 758 de 1990 y haciendo uso del convenio Colombia-España, ya que dicho decreto se aplica en los casos de las personas beneficiadas con el régimen de transición, mismo al que no hay lugar cuando</w:t>
      </w:r>
      <w:r w:rsidR="00517316" w:rsidRPr="00304238">
        <w:rPr>
          <w:rFonts w:ascii="Tahoma" w:hAnsi="Tahoma" w:cs="Tahoma"/>
          <w:lang w:val="es-ES"/>
        </w:rPr>
        <w:t xml:space="preserve"> se hace uso de dicho convenio; i</w:t>
      </w:r>
      <w:r w:rsidR="002B31CA" w:rsidRPr="00304238">
        <w:rPr>
          <w:rFonts w:ascii="Tahoma" w:hAnsi="Tahoma" w:cs="Tahoma"/>
          <w:lang w:val="es-ES"/>
        </w:rPr>
        <w:t>nterpretación que a su juicio se desprende del artículo 2</w:t>
      </w:r>
      <w:r w:rsidR="00517316" w:rsidRPr="00304238">
        <w:rPr>
          <w:rFonts w:ascii="Tahoma" w:hAnsi="Tahoma" w:cs="Tahoma"/>
          <w:lang w:val="es-ES"/>
        </w:rPr>
        <w:t>º</w:t>
      </w:r>
      <w:r w:rsidR="002B31CA" w:rsidRPr="00304238">
        <w:rPr>
          <w:rFonts w:ascii="Tahoma" w:hAnsi="Tahoma" w:cs="Tahoma"/>
          <w:lang w:val="es-ES"/>
        </w:rPr>
        <w:t xml:space="preserve"> de la Ley 1112 de 2006, </w:t>
      </w:r>
      <w:r w:rsidR="002B31CA" w:rsidRPr="00304238">
        <w:rPr>
          <w:rFonts w:ascii="Tahoma" w:hAnsi="Tahoma" w:cs="Tahoma"/>
          <w:i/>
          <w:iCs/>
          <w:lang w:val="es-ES"/>
        </w:rPr>
        <w:t>“</w:t>
      </w:r>
      <w:r w:rsidR="002B31CA" w:rsidRPr="002B2662">
        <w:rPr>
          <w:rFonts w:ascii="Tahoma" w:hAnsi="Tahoma" w:cs="Tahoma"/>
          <w:i/>
          <w:iCs/>
          <w:sz w:val="22"/>
          <w:lang w:val="es-ES"/>
        </w:rPr>
        <w:t>por medio de la cual se aprueba el convenio de seguridad social entre la República de Colombia y el Reino de España</w:t>
      </w:r>
      <w:r w:rsidR="002B31CA" w:rsidRPr="00304238">
        <w:rPr>
          <w:rFonts w:ascii="Tahoma" w:hAnsi="Tahoma" w:cs="Tahoma"/>
          <w:i/>
          <w:iCs/>
          <w:lang w:val="es-ES"/>
        </w:rPr>
        <w:t>”</w:t>
      </w:r>
      <w:r w:rsidR="00517316" w:rsidRPr="00304238">
        <w:rPr>
          <w:rFonts w:ascii="Tahoma" w:hAnsi="Tahoma" w:cs="Tahoma"/>
          <w:lang w:val="es-ES"/>
        </w:rPr>
        <w:t xml:space="preserve">, que reza: </w:t>
      </w:r>
      <w:r w:rsidR="00517316" w:rsidRPr="00304238">
        <w:rPr>
          <w:rFonts w:ascii="Tahoma" w:hAnsi="Tahoma" w:cs="Tahoma"/>
          <w:i/>
          <w:iCs/>
          <w:lang w:val="es-ES"/>
        </w:rPr>
        <w:t>“</w:t>
      </w:r>
      <w:r w:rsidR="00517316" w:rsidRPr="002B2662">
        <w:rPr>
          <w:rFonts w:ascii="Tahoma" w:hAnsi="Tahoma" w:cs="Tahoma"/>
          <w:i/>
          <w:iCs/>
          <w:sz w:val="22"/>
          <w:lang w:val="es-ES"/>
        </w:rPr>
        <w:t>e</w:t>
      </w:r>
      <w:r w:rsidR="002B2662">
        <w:rPr>
          <w:rFonts w:ascii="Tahoma" w:hAnsi="Tahoma" w:cs="Tahoma"/>
          <w:i/>
          <w:iCs/>
          <w:sz w:val="22"/>
          <w:lang w:val="es-ES"/>
        </w:rPr>
        <w:t>l presente convenio se aplicará</w:t>
      </w:r>
      <w:r w:rsidR="00517316" w:rsidRPr="002B2662">
        <w:rPr>
          <w:rFonts w:ascii="Tahoma" w:hAnsi="Tahoma" w:cs="Tahoma"/>
          <w:sz w:val="22"/>
          <w:lang w:val="es-ES"/>
        </w:rPr>
        <w:t xml:space="preserve"> (…) </w:t>
      </w:r>
      <w:r w:rsidR="00517316" w:rsidRPr="002B2662">
        <w:rPr>
          <w:rFonts w:ascii="Tahoma" w:hAnsi="Tahoma" w:cs="Tahoma"/>
          <w:i/>
          <w:iCs/>
          <w:sz w:val="22"/>
          <w:lang w:val="es-ES"/>
        </w:rPr>
        <w:t xml:space="preserve">b) En Colombia: </w:t>
      </w:r>
      <w:r w:rsidR="00517316" w:rsidRPr="002B2662">
        <w:rPr>
          <w:rFonts w:ascii="Tahoma" w:hAnsi="Tahoma" w:cs="Tahoma"/>
          <w:i/>
          <w:iCs/>
          <w:sz w:val="22"/>
          <w:u w:val="single"/>
          <w:lang w:val="es-ES"/>
        </w:rPr>
        <w:t xml:space="preserve">a la legislación relativa a las prestaciones económicas dispuestas en el Sistema General de </w:t>
      </w:r>
      <w:r w:rsidR="00921B2F" w:rsidRPr="002B2662">
        <w:rPr>
          <w:rFonts w:ascii="Tahoma" w:hAnsi="Tahoma" w:cs="Tahoma"/>
          <w:i/>
          <w:iCs/>
          <w:sz w:val="22"/>
          <w:u w:val="single"/>
          <w:lang w:val="es-ES"/>
        </w:rPr>
        <w:t>Pensiones</w:t>
      </w:r>
      <w:r w:rsidR="00921B2F" w:rsidRPr="002B2662">
        <w:rPr>
          <w:rFonts w:ascii="Tahoma" w:hAnsi="Tahoma" w:cs="Tahoma"/>
          <w:i/>
          <w:iCs/>
          <w:sz w:val="22"/>
          <w:lang w:val="es-ES"/>
        </w:rPr>
        <w:t xml:space="preserve"> (prima media con Prestación Definida y Ahorro Individual con Solidaridad), en cuanto a vejez, invalidez y sobrevivientes, de origen común</w:t>
      </w:r>
      <w:r w:rsidR="00921B2F" w:rsidRPr="00304238">
        <w:rPr>
          <w:rFonts w:ascii="Tahoma" w:hAnsi="Tahoma" w:cs="Tahoma"/>
          <w:i/>
          <w:iCs/>
          <w:lang w:val="es-ES"/>
        </w:rPr>
        <w:t>”</w:t>
      </w:r>
      <w:r w:rsidR="00CB4D5E" w:rsidRPr="00304238">
        <w:rPr>
          <w:rFonts w:ascii="Tahoma" w:hAnsi="Tahoma" w:cs="Tahoma"/>
          <w:lang w:val="es-ES"/>
        </w:rPr>
        <w:t xml:space="preserve">. </w:t>
      </w:r>
    </w:p>
    <w:p w14:paraId="397687FC" w14:textId="4C483DF4" w:rsidR="00CB4D5E" w:rsidRPr="00304238" w:rsidRDefault="00CB4D5E" w:rsidP="00304238">
      <w:pPr>
        <w:spacing w:line="276" w:lineRule="auto"/>
        <w:ind w:firstLine="708"/>
        <w:jc w:val="both"/>
        <w:rPr>
          <w:rFonts w:ascii="Tahoma" w:eastAsia="Tahoma" w:hAnsi="Tahoma" w:cs="Tahoma"/>
          <w:lang w:val="es-CO"/>
        </w:rPr>
      </w:pPr>
    </w:p>
    <w:p w14:paraId="4675635E" w14:textId="21870EBB" w:rsidR="00CB4D5E" w:rsidRPr="00304238" w:rsidRDefault="79ED2042" w:rsidP="00304238">
      <w:pPr>
        <w:spacing w:line="276" w:lineRule="auto"/>
        <w:ind w:firstLine="708"/>
        <w:jc w:val="both"/>
        <w:rPr>
          <w:rFonts w:ascii="Tahoma" w:eastAsia="Tahoma" w:hAnsi="Tahoma" w:cs="Tahoma"/>
          <w:lang w:val="es-ES"/>
        </w:rPr>
      </w:pPr>
      <w:r w:rsidRPr="00304238">
        <w:rPr>
          <w:rFonts w:ascii="Tahoma" w:eastAsia="Tahoma" w:hAnsi="Tahoma" w:cs="Tahoma"/>
          <w:lang w:val="es-CO"/>
        </w:rPr>
        <w:t>Al haber resultado condenada COLPENSIONES, entidad de cuyos recursos es garante la Nación, se dispuso el grado jurisdiccional de consulta a su favor</w:t>
      </w:r>
      <w:r w:rsidR="007B570A" w:rsidRPr="00304238">
        <w:rPr>
          <w:rFonts w:ascii="Tahoma" w:eastAsia="Tahoma" w:hAnsi="Tahoma" w:cs="Tahoma"/>
          <w:lang w:val="es-CO"/>
        </w:rPr>
        <w:t>.</w:t>
      </w:r>
    </w:p>
    <w:p w14:paraId="554CEC1B" w14:textId="77777777" w:rsidR="007B570A" w:rsidRPr="00304238" w:rsidRDefault="007B570A" w:rsidP="00304238">
      <w:pPr>
        <w:spacing w:line="276" w:lineRule="auto"/>
        <w:ind w:firstLine="709"/>
        <w:jc w:val="both"/>
        <w:rPr>
          <w:rFonts w:ascii="Tahoma" w:eastAsia="Tahoma" w:hAnsi="Tahoma" w:cs="Tahoma"/>
          <w:b/>
          <w:bCs/>
          <w:lang w:val="es-ES"/>
        </w:rPr>
      </w:pPr>
    </w:p>
    <w:p w14:paraId="37B68D1B" w14:textId="4182194E" w:rsidR="00CB4D5E" w:rsidRPr="00304238" w:rsidRDefault="4BF08EDE" w:rsidP="00304238">
      <w:pPr>
        <w:pStyle w:val="Prrafodelista"/>
        <w:numPr>
          <w:ilvl w:val="0"/>
          <w:numId w:val="5"/>
        </w:numPr>
        <w:spacing w:line="276" w:lineRule="auto"/>
        <w:jc w:val="center"/>
        <w:rPr>
          <w:rFonts w:ascii="Tahoma" w:eastAsia="Tahoma" w:hAnsi="Tahoma" w:cs="Tahoma"/>
          <w:lang w:val="es-ES"/>
        </w:rPr>
      </w:pPr>
      <w:r w:rsidRPr="00304238">
        <w:rPr>
          <w:rFonts w:ascii="Tahoma" w:eastAsia="Tahoma" w:hAnsi="Tahoma" w:cs="Tahoma"/>
          <w:b/>
          <w:bCs/>
          <w:lang w:val="es-ES"/>
        </w:rPr>
        <w:t>ALEGATOS DE CONCLUSIÓN/INTERVENCIÓN DEL MINISTERIO PÚBLICO</w:t>
      </w:r>
    </w:p>
    <w:p w14:paraId="080B24FD" w14:textId="7C8F1121" w:rsidR="00CB4D5E" w:rsidRPr="00304238" w:rsidRDefault="79ED2042" w:rsidP="00304238">
      <w:pPr>
        <w:spacing w:line="276" w:lineRule="auto"/>
        <w:ind w:firstLine="708"/>
        <w:jc w:val="both"/>
        <w:rPr>
          <w:rFonts w:ascii="Tahoma" w:eastAsia="Tahoma" w:hAnsi="Tahoma" w:cs="Tahoma"/>
          <w:lang w:val="es-ES"/>
        </w:rPr>
      </w:pPr>
      <w:r w:rsidRPr="00304238">
        <w:rPr>
          <w:rFonts w:ascii="Tahoma" w:eastAsia="Tahoma" w:hAnsi="Tahoma" w:cs="Tahoma"/>
          <w:lang w:val="es-CO"/>
        </w:rPr>
        <w:t> </w:t>
      </w:r>
    </w:p>
    <w:p w14:paraId="5650DE79" w14:textId="44817DF2" w:rsidR="00CB4D5E" w:rsidRPr="00304238" w:rsidRDefault="72B1ABF7" w:rsidP="00304238">
      <w:pPr>
        <w:spacing w:line="276" w:lineRule="auto"/>
        <w:ind w:firstLine="708"/>
        <w:jc w:val="both"/>
        <w:rPr>
          <w:rFonts w:ascii="Tahoma" w:eastAsia="Tahoma" w:hAnsi="Tahoma" w:cs="Tahoma"/>
          <w:lang w:val="es-ES"/>
        </w:rPr>
      </w:pPr>
      <w:r w:rsidRPr="00304238">
        <w:rPr>
          <w:rFonts w:ascii="Tahoma" w:eastAsia="Tahoma" w:hAnsi="Tahoma" w:cs="Tahoma"/>
          <w:lang w:val="es-ES"/>
        </w:rPr>
        <w:t xml:space="preserve"> Analizados los alegatos presentados por escrito por las partes, mismos que obran en el expediente digital y a los cuales nos remitimos por economía procesal en virtud del artículo 280</w:t>
      </w:r>
      <w:r w:rsidR="002B2662">
        <w:rPr>
          <w:rFonts w:ascii="Tahoma" w:eastAsia="Tahoma" w:hAnsi="Tahoma" w:cs="Tahoma"/>
          <w:lang w:val="es-ES"/>
        </w:rPr>
        <w:t xml:space="preserve"> </w:t>
      </w:r>
      <w:r w:rsidRPr="00304238">
        <w:rPr>
          <w:rFonts w:ascii="Tahoma" w:eastAsia="Tahoma" w:hAnsi="Tahoma" w:cs="Tahoma"/>
          <w:lang w:val="es-ES"/>
        </w:rPr>
        <w:t>del C.G.P., la Sala encuentra que los argumentos fácticos y jurídicos expresados, concuerdan con los puntos objeto de discusión en esta instancia y se relacionan con el problema jurídico que se expresa a continuación.</w:t>
      </w:r>
    </w:p>
    <w:p w14:paraId="74C42016" w14:textId="48558D0E" w:rsidR="007B570A" w:rsidRPr="00304238" w:rsidRDefault="007B570A" w:rsidP="00304238">
      <w:pPr>
        <w:spacing w:line="276" w:lineRule="auto"/>
        <w:ind w:firstLine="708"/>
        <w:jc w:val="both"/>
        <w:rPr>
          <w:rFonts w:ascii="Tahoma" w:eastAsia="Tahoma" w:hAnsi="Tahoma" w:cs="Tahoma"/>
          <w:lang w:val="es-ES"/>
        </w:rPr>
      </w:pPr>
    </w:p>
    <w:p w14:paraId="5C5134BD" w14:textId="23B85D7D" w:rsidR="007B570A" w:rsidRPr="00304238" w:rsidRDefault="007B570A" w:rsidP="00304238">
      <w:pPr>
        <w:spacing w:line="276" w:lineRule="auto"/>
        <w:ind w:firstLine="708"/>
        <w:jc w:val="both"/>
        <w:rPr>
          <w:rFonts w:ascii="Tahoma" w:eastAsia="Tahoma" w:hAnsi="Tahoma" w:cs="Tahoma"/>
          <w:lang w:val="es-ES"/>
        </w:rPr>
      </w:pPr>
      <w:r w:rsidRPr="00304238">
        <w:rPr>
          <w:rFonts w:ascii="Tahoma" w:eastAsia="Tahoma" w:hAnsi="Tahoma" w:cs="Tahoma"/>
          <w:lang w:val="es-ES"/>
        </w:rPr>
        <w:t>Por otra parte, el Ministerio Público NO conceptuó en este asunto.</w:t>
      </w:r>
    </w:p>
    <w:p w14:paraId="53CBB116" w14:textId="77777777" w:rsidR="007B570A" w:rsidRPr="00304238" w:rsidRDefault="007B570A" w:rsidP="00304238">
      <w:pPr>
        <w:spacing w:line="276" w:lineRule="auto"/>
        <w:ind w:firstLine="708"/>
        <w:jc w:val="both"/>
        <w:rPr>
          <w:rFonts w:ascii="Tahoma" w:eastAsia="Tahoma" w:hAnsi="Tahoma" w:cs="Tahoma"/>
          <w:lang w:val="es-ES"/>
        </w:rPr>
      </w:pPr>
    </w:p>
    <w:p w14:paraId="4456A370" w14:textId="1352A865" w:rsidR="00CB4D5E" w:rsidRPr="00304238" w:rsidRDefault="79ED2042" w:rsidP="00304238">
      <w:pPr>
        <w:pStyle w:val="Prrafodelista"/>
        <w:numPr>
          <w:ilvl w:val="0"/>
          <w:numId w:val="5"/>
        </w:numPr>
        <w:spacing w:line="276" w:lineRule="auto"/>
        <w:jc w:val="center"/>
        <w:rPr>
          <w:rFonts w:ascii="Tahoma" w:eastAsia="Tahoma" w:hAnsi="Tahoma" w:cs="Tahoma"/>
          <w:b/>
          <w:bCs/>
          <w:lang w:val="es-ES"/>
        </w:rPr>
      </w:pPr>
      <w:r w:rsidRPr="00304238">
        <w:rPr>
          <w:rFonts w:ascii="Tahoma" w:eastAsia="Tahoma" w:hAnsi="Tahoma" w:cs="Tahoma"/>
          <w:b/>
          <w:bCs/>
          <w:lang w:val="es-ES"/>
        </w:rPr>
        <w:t>P</w:t>
      </w:r>
      <w:r w:rsidR="0C4C3FEB" w:rsidRPr="00304238">
        <w:rPr>
          <w:rFonts w:ascii="Tahoma" w:eastAsia="Tahoma" w:hAnsi="Tahoma" w:cs="Tahoma"/>
          <w:b/>
          <w:bCs/>
          <w:lang w:val="es-ES"/>
        </w:rPr>
        <w:t>ROBLEMAS JURÍDICOS POR RESOLVER</w:t>
      </w:r>
    </w:p>
    <w:p w14:paraId="18FBA7DD" w14:textId="2D1BA81B" w:rsidR="00CB4D5E" w:rsidRPr="00304238" w:rsidRDefault="00CB4D5E" w:rsidP="00304238">
      <w:pPr>
        <w:spacing w:line="276" w:lineRule="auto"/>
        <w:ind w:left="720" w:firstLine="709"/>
        <w:jc w:val="both"/>
        <w:rPr>
          <w:rFonts w:ascii="Tahoma" w:eastAsia="Tahoma" w:hAnsi="Tahoma" w:cs="Tahoma"/>
          <w:lang w:val="es-ES"/>
        </w:rPr>
      </w:pPr>
    </w:p>
    <w:p w14:paraId="2CB2987C" w14:textId="6022BCC3" w:rsidR="00CB4D5E" w:rsidRPr="00304238" w:rsidRDefault="276826C2" w:rsidP="00304238">
      <w:pPr>
        <w:spacing w:line="276" w:lineRule="auto"/>
        <w:ind w:firstLine="708"/>
        <w:jc w:val="both"/>
        <w:rPr>
          <w:rFonts w:ascii="Tahoma" w:eastAsia="Tahoma" w:hAnsi="Tahoma" w:cs="Tahoma"/>
          <w:lang w:val="es-ES"/>
        </w:rPr>
      </w:pPr>
      <w:r w:rsidRPr="00304238">
        <w:rPr>
          <w:rFonts w:ascii="Tahoma" w:eastAsia="Tahoma" w:hAnsi="Tahoma" w:cs="Tahoma"/>
          <w:lang w:val="es-ES"/>
        </w:rPr>
        <w:t xml:space="preserve">El problema jurídico en este asunto se contrae a determinar </w:t>
      </w:r>
      <w:r w:rsidR="324CCB9C" w:rsidRPr="00304238">
        <w:rPr>
          <w:rFonts w:ascii="Tahoma" w:eastAsia="Tahoma" w:hAnsi="Tahoma" w:cs="Tahoma"/>
          <w:lang w:val="es-ES"/>
        </w:rPr>
        <w:t>si es posible acudir a</w:t>
      </w:r>
      <w:r w:rsidR="153A80BA" w:rsidRPr="00304238">
        <w:rPr>
          <w:rFonts w:ascii="Tahoma" w:eastAsia="Tahoma" w:hAnsi="Tahoma" w:cs="Tahoma"/>
          <w:lang w:val="es-ES"/>
        </w:rPr>
        <w:t xml:space="preserve"> los beneficios del </w:t>
      </w:r>
      <w:r w:rsidR="00E83E25" w:rsidRPr="00304238">
        <w:rPr>
          <w:rFonts w:ascii="Tahoma" w:eastAsia="Tahoma" w:hAnsi="Tahoma" w:cs="Tahoma"/>
          <w:lang w:val="es-ES"/>
        </w:rPr>
        <w:t xml:space="preserve">Convenio </w:t>
      </w:r>
      <w:r w:rsidR="324CCB9C" w:rsidRPr="00304238">
        <w:rPr>
          <w:rFonts w:ascii="Tahoma" w:eastAsia="Tahoma" w:hAnsi="Tahoma" w:cs="Tahoma"/>
          <w:lang w:val="es-ES"/>
        </w:rPr>
        <w:t xml:space="preserve">de </w:t>
      </w:r>
      <w:r w:rsidR="00E83E25" w:rsidRPr="00304238">
        <w:rPr>
          <w:rFonts w:ascii="Tahoma" w:eastAsia="Tahoma" w:hAnsi="Tahoma" w:cs="Tahoma"/>
          <w:lang w:val="es-ES"/>
        </w:rPr>
        <w:t xml:space="preserve">Seguridad Social </w:t>
      </w:r>
      <w:r w:rsidR="324CCB9C" w:rsidRPr="00304238">
        <w:rPr>
          <w:rFonts w:ascii="Tahoma" w:eastAsia="Tahoma" w:hAnsi="Tahoma" w:cs="Tahoma"/>
          <w:lang w:val="es-ES"/>
        </w:rPr>
        <w:t xml:space="preserve">celebrado entre la República </w:t>
      </w:r>
      <w:r w:rsidR="324CCB9C" w:rsidRPr="00304238">
        <w:rPr>
          <w:rFonts w:ascii="Tahoma" w:eastAsia="Tahoma" w:hAnsi="Tahoma" w:cs="Tahoma"/>
          <w:lang w:val="es-ES"/>
        </w:rPr>
        <w:lastRenderedPageBreak/>
        <w:t>de Colombia y el Reino de España para el reconocimiento de una pensión</w:t>
      </w:r>
      <w:r w:rsidR="7481D84E" w:rsidRPr="00304238">
        <w:rPr>
          <w:rFonts w:ascii="Tahoma" w:eastAsia="Tahoma" w:hAnsi="Tahoma" w:cs="Tahoma"/>
          <w:lang w:val="es-ES"/>
        </w:rPr>
        <w:t xml:space="preserve"> de vejez</w:t>
      </w:r>
      <w:r w:rsidR="324CCB9C" w:rsidRPr="00304238">
        <w:rPr>
          <w:rFonts w:ascii="Tahoma" w:eastAsia="Tahoma" w:hAnsi="Tahoma" w:cs="Tahoma"/>
          <w:lang w:val="es-ES"/>
        </w:rPr>
        <w:t xml:space="preserve"> </w:t>
      </w:r>
      <w:r w:rsidR="629AFBAC" w:rsidRPr="00304238">
        <w:rPr>
          <w:rFonts w:ascii="Tahoma" w:eastAsia="Tahoma" w:hAnsi="Tahoma" w:cs="Tahoma"/>
          <w:lang w:val="es-ES"/>
        </w:rPr>
        <w:t>bajo el régimen de transición de la Ley 100 de 1993</w:t>
      </w:r>
      <w:r w:rsidR="655A5262" w:rsidRPr="00304238">
        <w:rPr>
          <w:rFonts w:ascii="Tahoma" w:eastAsia="Tahoma" w:hAnsi="Tahoma" w:cs="Tahoma"/>
          <w:lang w:val="es-ES"/>
        </w:rPr>
        <w:t xml:space="preserve">. </w:t>
      </w:r>
    </w:p>
    <w:p w14:paraId="1398C217" w14:textId="63C4971B" w:rsidR="00CB4D5E" w:rsidRPr="00304238" w:rsidRDefault="00CB4D5E" w:rsidP="00304238">
      <w:pPr>
        <w:spacing w:line="276" w:lineRule="auto"/>
        <w:ind w:firstLine="708"/>
        <w:jc w:val="both"/>
        <w:rPr>
          <w:rFonts w:ascii="Tahoma" w:eastAsia="Tahoma" w:hAnsi="Tahoma" w:cs="Tahoma"/>
          <w:lang w:val="es-ES"/>
        </w:rPr>
      </w:pPr>
    </w:p>
    <w:p w14:paraId="6E308E17" w14:textId="7E19F698" w:rsidR="00CB4D5E" w:rsidRPr="00304238" w:rsidRDefault="655A5262" w:rsidP="00304238">
      <w:pPr>
        <w:spacing w:line="276" w:lineRule="auto"/>
        <w:ind w:firstLine="708"/>
        <w:jc w:val="both"/>
        <w:rPr>
          <w:rFonts w:ascii="Tahoma" w:eastAsia="Tahoma" w:hAnsi="Tahoma" w:cs="Tahoma"/>
          <w:lang w:val="es-ES"/>
        </w:rPr>
      </w:pPr>
      <w:r w:rsidRPr="00304238">
        <w:rPr>
          <w:rFonts w:ascii="Tahoma" w:eastAsia="Tahoma" w:hAnsi="Tahoma" w:cs="Tahoma"/>
          <w:lang w:val="es-ES"/>
        </w:rPr>
        <w:t>Resuelto lo anterior, de ser viable el reconocimiento de la pensión otorgada en primera instancia, se verificará en sede de consulta si la mesada se encuentra bien liquidada y si proceden los intereses mora</w:t>
      </w:r>
      <w:r w:rsidR="2DACED94" w:rsidRPr="00304238">
        <w:rPr>
          <w:rFonts w:ascii="Tahoma" w:eastAsia="Tahoma" w:hAnsi="Tahoma" w:cs="Tahoma"/>
          <w:lang w:val="es-ES"/>
        </w:rPr>
        <w:t>torios del art</w:t>
      </w:r>
      <w:r w:rsidR="3AB79AF0" w:rsidRPr="00304238">
        <w:rPr>
          <w:rFonts w:ascii="Tahoma" w:eastAsia="Tahoma" w:hAnsi="Tahoma" w:cs="Tahoma"/>
          <w:lang w:val="es-ES"/>
        </w:rPr>
        <w:t>.</w:t>
      </w:r>
      <w:r w:rsidR="2DACED94" w:rsidRPr="00304238">
        <w:rPr>
          <w:rFonts w:ascii="Tahoma" w:eastAsia="Tahoma" w:hAnsi="Tahoma" w:cs="Tahoma"/>
          <w:lang w:val="es-ES"/>
        </w:rPr>
        <w:t xml:space="preserve"> 141 de la Ley 100.</w:t>
      </w:r>
    </w:p>
    <w:p w14:paraId="569DB776" w14:textId="77777777" w:rsidR="00CB4D5E" w:rsidRPr="00304238" w:rsidRDefault="00CB4D5E" w:rsidP="00304238">
      <w:pPr>
        <w:spacing w:line="276" w:lineRule="auto"/>
        <w:ind w:firstLine="708"/>
        <w:jc w:val="both"/>
        <w:rPr>
          <w:rFonts w:ascii="Tahoma" w:hAnsi="Tahoma" w:cs="Tahoma"/>
          <w:lang w:val="es-ES"/>
        </w:rPr>
      </w:pPr>
    </w:p>
    <w:p w14:paraId="7B941935" w14:textId="1C32581E" w:rsidR="00CB4D5E" w:rsidRPr="00304238" w:rsidRDefault="004D39F3" w:rsidP="00304238">
      <w:pPr>
        <w:pStyle w:val="Prrafodelista"/>
        <w:numPr>
          <w:ilvl w:val="0"/>
          <w:numId w:val="5"/>
        </w:numPr>
        <w:spacing w:line="276" w:lineRule="auto"/>
        <w:jc w:val="center"/>
        <w:rPr>
          <w:rFonts w:ascii="Tahoma" w:hAnsi="Tahoma" w:cs="Tahoma"/>
          <w:b/>
          <w:bCs/>
          <w:lang w:val="es-ES"/>
        </w:rPr>
      </w:pPr>
      <w:r w:rsidRPr="00304238">
        <w:rPr>
          <w:rFonts w:ascii="Tahoma" w:hAnsi="Tahoma" w:cs="Tahoma"/>
          <w:b/>
          <w:bCs/>
          <w:lang w:val="es-ES"/>
        </w:rPr>
        <w:t>CONSIDERACIONES</w:t>
      </w:r>
    </w:p>
    <w:p w14:paraId="4CBCD4EE" w14:textId="20DFF1F1" w:rsidR="788EC569" w:rsidRPr="00304238" w:rsidRDefault="788EC569" w:rsidP="00304238">
      <w:pPr>
        <w:spacing w:line="276" w:lineRule="auto"/>
        <w:jc w:val="center"/>
        <w:rPr>
          <w:rFonts w:ascii="Tahoma" w:hAnsi="Tahoma" w:cs="Tahoma"/>
          <w:b/>
          <w:bCs/>
          <w:lang w:val="es-ES"/>
        </w:rPr>
      </w:pPr>
    </w:p>
    <w:p w14:paraId="11C3CDAF" w14:textId="3E829813" w:rsidR="00BB192F" w:rsidRPr="00304238" w:rsidRDefault="005B3B9D" w:rsidP="00304238">
      <w:pPr>
        <w:pStyle w:val="Prrafodelista"/>
        <w:numPr>
          <w:ilvl w:val="1"/>
          <w:numId w:val="7"/>
        </w:numPr>
        <w:spacing w:line="276" w:lineRule="auto"/>
        <w:jc w:val="both"/>
        <w:rPr>
          <w:rFonts w:ascii="Tahoma" w:hAnsi="Tahoma" w:cs="Tahoma"/>
          <w:b/>
          <w:bCs/>
          <w:lang w:val="es-ES"/>
        </w:rPr>
      </w:pPr>
      <w:r w:rsidRPr="00304238">
        <w:rPr>
          <w:rFonts w:ascii="Tahoma" w:hAnsi="Tahoma" w:cs="Tahoma"/>
          <w:b/>
          <w:bCs/>
          <w:caps/>
          <w:lang w:val="es-ES"/>
        </w:rPr>
        <w:t>aspectos generales del</w:t>
      </w:r>
      <w:r w:rsidR="00BB192F" w:rsidRPr="00304238">
        <w:rPr>
          <w:rFonts w:ascii="Tahoma" w:hAnsi="Tahoma" w:cs="Tahoma"/>
          <w:b/>
          <w:bCs/>
          <w:caps/>
          <w:lang w:val="es-ES"/>
        </w:rPr>
        <w:t xml:space="preserve"> “Convenio de Seguridad Social entre la </w:t>
      </w:r>
      <w:r w:rsidR="4CC8C332" w:rsidRPr="00304238">
        <w:rPr>
          <w:rFonts w:ascii="Tahoma" w:hAnsi="Tahoma" w:cs="Tahoma"/>
          <w:b/>
          <w:bCs/>
          <w:caps/>
          <w:lang w:val="es-ES"/>
        </w:rPr>
        <w:t>República</w:t>
      </w:r>
      <w:r w:rsidR="00BB192F" w:rsidRPr="00304238">
        <w:rPr>
          <w:rFonts w:ascii="Tahoma" w:hAnsi="Tahoma" w:cs="Tahoma"/>
          <w:b/>
          <w:bCs/>
          <w:caps/>
          <w:lang w:val="es-ES"/>
        </w:rPr>
        <w:t xml:space="preserve"> de Colombia y </w:t>
      </w:r>
      <w:r w:rsidR="540EABDA" w:rsidRPr="00304238">
        <w:rPr>
          <w:rFonts w:ascii="Tahoma" w:hAnsi="Tahoma" w:cs="Tahoma"/>
          <w:b/>
          <w:bCs/>
          <w:caps/>
          <w:lang w:val="es-ES"/>
        </w:rPr>
        <w:t>España</w:t>
      </w:r>
      <w:r w:rsidR="00BB192F" w:rsidRPr="00304238">
        <w:rPr>
          <w:rFonts w:ascii="Tahoma" w:hAnsi="Tahoma" w:cs="Tahoma"/>
          <w:b/>
          <w:bCs/>
          <w:lang w:val="es-ES"/>
        </w:rPr>
        <w:t>”.</w:t>
      </w:r>
    </w:p>
    <w:p w14:paraId="1FB68047" w14:textId="77777777" w:rsidR="00BB192F" w:rsidRPr="00304238" w:rsidRDefault="00BB192F" w:rsidP="00304238">
      <w:pPr>
        <w:spacing w:line="276" w:lineRule="auto"/>
        <w:jc w:val="both"/>
        <w:rPr>
          <w:rFonts w:ascii="Tahoma" w:hAnsi="Tahoma" w:cs="Tahoma"/>
          <w:b/>
          <w:lang w:val="es-ES"/>
        </w:rPr>
      </w:pPr>
    </w:p>
    <w:p w14:paraId="3763E522" w14:textId="77777777" w:rsidR="00BB192F" w:rsidRPr="00304238" w:rsidRDefault="00BB192F" w:rsidP="00304238">
      <w:pPr>
        <w:spacing w:line="276" w:lineRule="auto"/>
        <w:ind w:firstLine="708"/>
        <w:jc w:val="both"/>
        <w:rPr>
          <w:rFonts w:ascii="Tahoma" w:hAnsi="Tahoma" w:cs="Tahoma"/>
          <w:lang w:val="es-ES"/>
        </w:rPr>
      </w:pPr>
      <w:r w:rsidRPr="00304238">
        <w:rPr>
          <w:rFonts w:ascii="Tahoma" w:hAnsi="Tahoma" w:cs="Tahoma"/>
          <w:lang w:val="es-ES"/>
        </w:rPr>
        <w:t>El 6 de septiembre de 2005 la República de Colombia celebró con el Reino de España un Convenio de Seguridad Social</w:t>
      </w:r>
      <w:r w:rsidR="00801EE2" w:rsidRPr="00304238">
        <w:rPr>
          <w:rFonts w:ascii="Tahoma" w:hAnsi="Tahoma" w:cs="Tahoma"/>
          <w:lang w:val="es-ES"/>
        </w:rPr>
        <w:t xml:space="preserve">, </w:t>
      </w:r>
      <w:r w:rsidRPr="00304238">
        <w:rPr>
          <w:rFonts w:ascii="Tahoma" w:hAnsi="Tahoma" w:cs="Tahoma"/>
          <w:lang w:val="es-ES"/>
        </w:rPr>
        <w:t xml:space="preserve">con el fin de </w:t>
      </w:r>
      <w:r w:rsidRPr="00304238">
        <w:rPr>
          <w:rFonts w:ascii="Tahoma" w:hAnsi="Tahoma" w:cs="Tahoma"/>
          <w:i/>
          <w:lang w:val="es-ES"/>
        </w:rPr>
        <w:t>“</w:t>
      </w:r>
      <w:r w:rsidRPr="002B2662">
        <w:rPr>
          <w:rFonts w:ascii="Tahoma" w:hAnsi="Tahoma" w:cs="Tahoma"/>
          <w:i/>
          <w:sz w:val="22"/>
          <w:lang w:val="es-ES"/>
        </w:rPr>
        <w:t>asegurar a los trabajadores de cada uno de los dos Estados que ejerzan o hayan ejercido una actividad profesional en el otro, una mejor garantía de sus derechos</w:t>
      </w:r>
      <w:r w:rsidRPr="00304238">
        <w:rPr>
          <w:rFonts w:ascii="Tahoma" w:hAnsi="Tahoma" w:cs="Tahoma"/>
          <w:i/>
          <w:lang w:val="es-ES"/>
        </w:rPr>
        <w:t>”</w:t>
      </w:r>
      <w:r w:rsidRPr="00304238">
        <w:rPr>
          <w:rFonts w:ascii="Tahoma" w:hAnsi="Tahoma" w:cs="Tahoma"/>
          <w:lang w:val="es-ES"/>
        </w:rPr>
        <w:t>. Dicho convenio se aprobó y desarrolló a través de la ley 1112 del 27 de diciembre de 2006, y</w:t>
      </w:r>
      <w:r w:rsidR="00801EE2" w:rsidRPr="00304238">
        <w:rPr>
          <w:rFonts w:ascii="Tahoma" w:hAnsi="Tahoma" w:cs="Tahoma"/>
          <w:lang w:val="es-ES"/>
        </w:rPr>
        <w:t>,</w:t>
      </w:r>
      <w:r w:rsidRPr="00304238">
        <w:rPr>
          <w:rFonts w:ascii="Tahoma" w:hAnsi="Tahoma" w:cs="Tahoma"/>
          <w:lang w:val="es-ES"/>
        </w:rPr>
        <w:t xml:space="preserve"> </w:t>
      </w:r>
      <w:r w:rsidR="00801EE2" w:rsidRPr="00304238">
        <w:rPr>
          <w:rFonts w:ascii="Tahoma" w:hAnsi="Tahoma" w:cs="Tahoma"/>
          <w:lang w:val="es-ES"/>
        </w:rPr>
        <w:t>tras la celebración de</w:t>
      </w:r>
      <w:r w:rsidRPr="00304238">
        <w:rPr>
          <w:rFonts w:ascii="Tahoma" w:hAnsi="Tahoma" w:cs="Tahoma"/>
          <w:lang w:val="es-ES"/>
        </w:rPr>
        <w:t xml:space="preserve"> un Acuerdo Administrativo sobre Seguridad Social el 28 de enero </w:t>
      </w:r>
      <w:r w:rsidR="00801EE2" w:rsidRPr="00304238">
        <w:rPr>
          <w:rFonts w:ascii="Tahoma" w:hAnsi="Tahoma" w:cs="Tahoma"/>
          <w:lang w:val="es-ES"/>
        </w:rPr>
        <w:t>del 2008, se puso en vigor el 1º</w:t>
      </w:r>
      <w:r w:rsidRPr="00304238">
        <w:rPr>
          <w:rFonts w:ascii="Tahoma" w:hAnsi="Tahoma" w:cs="Tahoma"/>
          <w:lang w:val="es-ES"/>
        </w:rPr>
        <w:t xml:space="preserve"> de marzo de 2008.</w:t>
      </w:r>
    </w:p>
    <w:p w14:paraId="0E5A0BD1" w14:textId="77777777" w:rsidR="00887E6C" w:rsidRPr="00304238" w:rsidRDefault="00887E6C" w:rsidP="00304238">
      <w:pPr>
        <w:spacing w:line="276" w:lineRule="auto"/>
        <w:ind w:firstLine="708"/>
        <w:jc w:val="both"/>
        <w:rPr>
          <w:rFonts w:ascii="Tahoma" w:hAnsi="Tahoma" w:cs="Tahoma"/>
          <w:lang w:val="es-ES"/>
        </w:rPr>
      </w:pPr>
    </w:p>
    <w:p w14:paraId="2F8408D3" w14:textId="77777777" w:rsidR="00BB192F" w:rsidRPr="00304238" w:rsidRDefault="00801EE2" w:rsidP="00304238">
      <w:pPr>
        <w:spacing w:line="276" w:lineRule="auto"/>
        <w:ind w:firstLine="708"/>
        <w:jc w:val="both"/>
        <w:rPr>
          <w:rFonts w:ascii="Tahoma" w:hAnsi="Tahoma" w:cs="Tahoma"/>
          <w:lang w:val="es-ES"/>
        </w:rPr>
      </w:pPr>
      <w:r w:rsidRPr="00304238">
        <w:rPr>
          <w:rFonts w:ascii="Tahoma" w:hAnsi="Tahoma" w:cs="Tahoma"/>
          <w:lang w:val="es-ES"/>
        </w:rPr>
        <w:t>Este</w:t>
      </w:r>
      <w:r w:rsidR="00BB192F" w:rsidRPr="00304238">
        <w:rPr>
          <w:rFonts w:ascii="Tahoma" w:hAnsi="Tahoma" w:cs="Tahoma"/>
          <w:lang w:val="es-ES"/>
        </w:rPr>
        <w:t xml:space="preserve"> convenio se aplica a los trabajadores </w:t>
      </w:r>
      <w:r w:rsidRPr="00304238">
        <w:rPr>
          <w:rFonts w:ascii="Tahoma" w:hAnsi="Tahoma" w:cs="Tahoma"/>
          <w:lang w:val="es-ES"/>
        </w:rPr>
        <w:t>españoles</w:t>
      </w:r>
      <w:r w:rsidR="00BB192F" w:rsidRPr="00304238">
        <w:rPr>
          <w:rFonts w:ascii="Tahoma" w:hAnsi="Tahoma" w:cs="Tahoma"/>
          <w:lang w:val="es-ES"/>
        </w:rPr>
        <w:t xml:space="preserve"> y colombianos que </w:t>
      </w:r>
      <w:r w:rsidRPr="00304238">
        <w:rPr>
          <w:rFonts w:ascii="Tahoma" w:hAnsi="Tahoma" w:cs="Tahoma"/>
          <w:lang w:val="es-ES"/>
        </w:rPr>
        <w:t>estén</w:t>
      </w:r>
      <w:r w:rsidR="00BB192F" w:rsidRPr="00304238">
        <w:rPr>
          <w:rFonts w:ascii="Tahoma" w:hAnsi="Tahoma" w:cs="Tahoma"/>
          <w:lang w:val="es-ES"/>
        </w:rPr>
        <w:t xml:space="preserve"> o hayan estado sujetos a las legislaciones de Seguridad Social en Colombia, </w:t>
      </w:r>
      <w:r w:rsidRPr="00304238">
        <w:rPr>
          <w:rFonts w:ascii="Tahoma" w:hAnsi="Tahoma" w:cs="Tahoma"/>
          <w:lang w:val="es-ES"/>
        </w:rPr>
        <w:t>España</w:t>
      </w:r>
      <w:r w:rsidR="00BB192F" w:rsidRPr="00304238">
        <w:rPr>
          <w:rFonts w:ascii="Tahoma" w:hAnsi="Tahoma" w:cs="Tahoma"/>
          <w:lang w:val="es-ES"/>
        </w:rPr>
        <w:t xml:space="preserve"> o ambos </w:t>
      </w:r>
      <w:r w:rsidRPr="00304238">
        <w:rPr>
          <w:rFonts w:ascii="Tahoma" w:hAnsi="Tahoma" w:cs="Tahoma"/>
          <w:lang w:val="es-ES"/>
        </w:rPr>
        <w:t>países</w:t>
      </w:r>
      <w:r w:rsidR="00BB192F" w:rsidRPr="00304238">
        <w:rPr>
          <w:rFonts w:ascii="Tahoma" w:hAnsi="Tahoma" w:cs="Tahoma"/>
          <w:lang w:val="es-ES"/>
        </w:rPr>
        <w:t xml:space="preserve">, </w:t>
      </w:r>
      <w:r w:rsidRPr="00304238">
        <w:rPr>
          <w:rFonts w:ascii="Tahoma" w:hAnsi="Tahoma" w:cs="Tahoma"/>
          <w:lang w:val="es-ES"/>
        </w:rPr>
        <w:t>así</w:t>
      </w:r>
      <w:r w:rsidR="00BB192F" w:rsidRPr="00304238">
        <w:rPr>
          <w:rFonts w:ascii="Tahoma" w:hAnsi="Tahoma" w:cs="Tahoma"/>
          <w:lang w:val="es-ES"/>
        </w:rPr>
        <w:t xml:space="preserve"> como a sus familiares, </w:t>
      </w:r>
      <w:r w:rsidRPr="00304238">
        <w:rPr>
          <w:rFonts w:ascii="Tahoma" w:hAnsi="Tahoma" w:cs="Tahoma"/>
          <w:lang w:val="es-ES"/>
        </w:rPr>
        <w:t>beneficiarios y sobrevivientes y b</w:t>
      </w:r>
      <w:r w:rsidR="00BB192F" w:rsidRPr="00304238">
        <w:rPr>
          <w:rFonts w:ascii="Tahoma" w:hAnsi="Tahoma" w:cs="Tahoma"/>
          <w:lang w:val="es-ES"/>
        </w:rPr>
        <w:t xml:space="preserve">rinda la posibilidad de acumular para efectos </w:t>
      </w:r>
      <w:r w:rsidRPr="00304238">
        <w:rPr>
          <w:rFonts w:ascii="Tahoma" w:hAnsi="Tahoma" w:cs="Tahoma"/>
          <w:lang w:val="es-ES"/>
        </w:rPr>
        <w:t>pensionales</w:t>
      </w:r>
      <w:r w:rsidR="00BB192F" w:rsidRPr="00304238">
        <w:rPr>
          <w:rFonts w:ascii="Tahoma" w:hAnsi="Tahoma" w:cs="Tahoma"/>
          <w:lang w:val="es-ES"/>
        </w:rPr>
        <w:t xml:space="preserve"> el tiempo cotizado en </w:t>
      </w:r>
      <w:r w:rsidRPr="00304238">
        <w:rPr>
          <w:rFonts w:ascii="Tahoma" w:hAnsi="Tahoma" w:cs="Tahoma"/>
          <w:lang w:val="es-ES"/>
        </w:rPr>
        <w:t>España</w:t>
      </w:r>
      <w:r w:rsidR="00BB192F" w:rsidRPr="00304238">
        <w:rPr>
          <w:rFonts w:ascii="Tahoma" w:hAnsi="Tahoma" w:cs="Tahoma"/>
          <w:lang w:val="es-ES"/>
        </w:rPr>
        <w:t xml:space="preserve"> o en Colombia, para tener derecho a las prestaciones que la seguridad social otor</w:t>
      </w:r>
      <w:r w:rsidR="006F1AFE" w:rsidRPr="00304238">
        <w:rPr>
          <w:rFonts w:ascii="Tahoma" w:hAnsi="Tahoma" w:cs="Tahoma"/>
          <w:lang w:val="es-ES"/>
        </w:rPr>
        <w:t xml:space="preserve">ga, en condiciones de igualdad. </w:t>
      </w:r>
      <w:r w:rsidR="00BB192F" w:rsidRPr="00304238">
        <w:rPr>
          <w:rFonts w:ascii="Tahoma" w:hAnsi="Tahoma" w:cs="Tahoma"/>
          <w:lang w:val="es-ES"/>
        </w:rPr>
        <w:t>En</w:t>
      </w:r>
      <w:r w:rsidR="006F1AFE" w:rsidRPr="00304238">
        <w:rPr>
          <w:rFonts w:ascii="Tahoma" w:hAnsi="Tahoma" w:cs="Tahoma"/>
          <w:lang w:val="es-ES"/>
        </w:rPr>
        <w:t xml:space="preserve"> virtud del convenio, en España quedan </w:t>
      </w:r>
      <w:proofErr w:type="gramStart"/>
      <w:r w:rsidR="006F1AFE" w:rsidRPr="00304238">
        <w:rPr>
          <w:rFonts w:ascii="Tahoma" w:hAnsi="Tahoma" w:cs="Tahoma"/>
          <w:lang w:val="es-ES"/>
        </w:rPr>
        <w:t>cubiertos</w:t>
      </w:r>
      <w:proofErr w:type="gramEnd"/>
      <w:r w:rsidR="00BB192F" w:rsidRPr="00304238">
        <w:rPr>
          <w:rFonts w:ascii="Tahoma" w:hAnsi="Tahoma" w:cs="Tahoma"/>
          <w:lang w:val="es-ES"/>
        </w:rPr>
        <w:t xml:space="preserve"> la incapacidad permanente, muerte y supervivencia por enfermedad </w:t>
      </w:r>
      <w:r w:rsidR="006F1AFE" w:rsidRPr="00304238">
        <w:rPr>
          <w:rFonts w:ascii="Tahoma" w:hAnsi="Tahoma" w:cs="Tahoma"/>
          <w:lang w:val="es-ES"/>
        </w:rPr>
        <w:t>común</w:t>
      </w:r>
      <w:r w:rsidR="00BB192F" w:rsidRPr="00304238">
        <w:rPr>
          <w:rFonts w:ascii="Tahoma" w:hAnsi="Tahoma" w:cs="Tahoma"/>
          <w:lang w:val="es-ES"/>
        </w:rPr>
        <w:t xml:space="preserve"> o accidente no laboral y </w:t>
      </w:r>
      <w:r w:rsidR="006F1AFE" w:rsidRPr="00304238">
        <w:rPr>
          <w:rFonts w:ascii="Tahoma" w:hAnsi="Tahoma" w:cs="Tahoma"/>
          <w:lang w:val="es-ES"/>
        </w:rPr>
        <w:t xml:space="preserve">jubilación, </w:t>
      </w:r>
      <w:r w:rsidR="00BB192F" w:rsidRPr="00304238">
        <w:rPr>
          <w:rFonts w:ascii="Tahoma" w:hAnsi="Tahoma" w:cs="Tahoma"/>
          <w:lang w:val="es-ES"/>
        </w:rPr>
        <w:t>y en Colombia</w:t>
      </w:r>
      <w:r w:rsidR="006F1AFE" w:rsidRPr="00304238">
        <w:rPr>
          <w:rFonts w:ascii="Tahoma" w:hAnsi="Tahoma" w:cs="Tahoma"/>
          <w:lang w:val="es-ES"/>
        </w:rPr>
        <w:t>, cubre los riesgos de vejez, invalidez y muerte</w:t>
      </w:r>
      <w:r w:rsidR="00BB192F" w:rsidRPr="00304238">
        <w:rPr>
          <w:rFonts w:ascii="Tahoma" w:hAnsi="Tahoma" w:cs="Tahoma"/>
          <w:lang w:val="es-ES"/>
        </w:rPr>
        <w:t xml:space="preserve"> de origen </w:t>
      </w:r>
      <w:r w:rsidR="006F1AFE" w:rsidRPr="00304238">
        <w:rPr>
          <w:rFonts w:ascii="Tahoma" w:hAnsi="Tahoma" w:cs="Tahoma"/>
          <w:lang w:val="es-ES"/>
        </w:rPr>
        <w:t>común</w:t>
      </w:r>
      <w:r w:rsidR="00BB192F" w:rsidRPr="00304238">
        <w:rPr>
          <w:rFonts w:ascii="Tahoma" w:hAnsi="Tahoma" w:cs="Tahoma"/>
          <w:lang w:val="es-ES"/>
        </w:rPr>
        <w:t>.</w:t>
      </w:r>
    </w:p>
    <w:p w14:paraId="77534D75" w14:textId="77777777" w:rsidR="00801EE2" w:rsidRPr="00304238" w:rsidRDefault="00801EE2" w:rsidP="00304238">
      <w:pPr>
        <w:spacing w:line="276" w:lineRule="auto"/>
        <w:jc w:val="both"/>
        <w:rPr>
          <w:rFonts w:ascii="Tahoma" w:hAnsi="Tahoma" w:cs="Tahoma"/>
          <w:b/>
          <w:lang w:val="es-ES"/>
        </w:rPr>
      </w:pPr>
    </w:p>
    <w:p w14:paraId="51CF744B" w14:textId="77777777" w:rsidR="00BB192F" w:rsidRPr="00304238" w:rsidRDefault="006F1AFE" w:rsidP="00304238">
      <w:pPr>
        <w:spacing w:line="276" w:lineRule="auto"/>
        <w:ind w:firstLine="708"/>
        <w:jc w:val="both"/>
        <w:rPr>
          <w:rFonts w:ascii="Tahoma" w:hAnsi="Tahoma" w:cs="Tahoma"/>
          <w:lang w:val="es-ES"/>
        </w:rPr>
      </w:pPr>
      <w:r w:rsidRPr="00304238">
        <w:rPr>
          <w:rFonts w:ascii="Tahoma" w:hAnsi="Tahoma" w:cs="Tahoma"/>
          <w:lang w:val="es-ES"/>
        </w:rPr>
        <w:t>Para efectos de la resolución del</w:t>
      </w:r>
      <w:r w:rsidR="00BB192F" w:rsidRPr="00304238">
        <w:rPr>
          <w:rFonts w:ascii="Tahoma" w:hAnsi="Tahoma" w:cs="Tahoma"/>
          <w:lang w:val="es-ES"/>
        </w:rPr>
        <w:t xml:space="preserve"> presente asunto, conviene</w:t>
      </w:r>
      <w:r w:rsidRPr="00304238">
        <w:rPr>
          <w:rFonts w:ascii="Tahoma" w:hAnsi="Tahoma" w:cs="Tahoma"/>
          <w:lang w:val="es-ES"/>
        </w:rPr>
        <w:t xml:space="preserve"> hacer un breve recuento de algunas normas contenidas en el citado Convenio y en el</w:t>
      </w:r>
      <w:r w:rsidR="00BB192F" w:rsidRPr="00304238">
        <w:rPr>
          <w:rFonts w:ascii="Tahoma" w:hAnsi="Tahoma" w:cs="Tahoma"/>
          <w:lang w:val="es-ES"/>
        </w:rPr>
        <w:t xml:space="preserve"> Acuerdo Administrativo, </w:t>
      </w:r>
      <w:r w:rsidRPr="00304238">
        <w:rPr>
          <w:rFonts w:ascii="Tahoma" w:hAnsi="Tahoma" w:cs="Tahoma"/>
          <w:lang w:val="es-ES"/>
        </w:rPr>
        <w:t>así:</w:t>
      </w:r>
    </w:p>
    <w:p w14:paraId="1EAD4594" w14:textId="77777777" w:rsidR="006F1AFE" w:rsidRPr="00304238" w:rsidRDefault="006F1AFE" w:rsidP="00304238">
      <w:pPr>
        <w:spacing w:line="276" w:lineRule="auto"/>
        <w:ind w:firstLine="708"/>
        <w:jc w:val="both"/>
        <w:rPr>
          <w:rFonts w:ascii="Tahoma" w:hAnsi="Tahoma" w:cs="Tahoma"/>
          <w:b/>
          <w:lang w:val="es-ES"/>
        </w:rPr>
      </w:pPr>
    </w:p>
    <w:p w14:paraId="7852FA8E" w14:textId="77777777" w:rsidR="00BB192F" w:rsidRPr="00304238" w:rsidRDefault="00BB192F" w:rsidP="00304238">
      <w:pPr>
        <w:spacing w:line="276" w:lineRule="auto"/>
        <w:ind w:firstLine="708"/>
        <w:jc w:val="both"/>
        <w:rPr>
          <w:rFonts w:ascii="Tahoma" w:hAnsi="Tahoma" w:cs="Tahoma"/>
          <w:lang w:val="es-ES"/>
        </w:rPr>
      </w:pPr>
      <w:bookmarkStart w:id="0" w:name="OLE_LINK187"/>
      <w:r w:rsidRPr="00304238">
        <w:rPr>
          <w:rFonts w:ascii="Tahoma" w:hAnsi="Tahoma" w:cs="Tahoma"/>
          <w:lang w:val="es-ES"/>
        </w:rPr>
        <w:t xml:space="preserve">El </w:t>
      </w:r>
      <w:r w:rsidR="006F1AFE" w:rsidRPr="00304238">
        <w:rPr>
          <w:rFonts w:ascii="Tahoma" w:hAnsi="Tahoma" w:cs="Tahoma"/>
          <w:lang w:val="es-ES"/>
        </w:rPr>
        <w:t>artículo 2º</w:t>
      </w:r>
      <w:r w:rsidRPr="00304238">
        <w:rPr>
          <w:rFonts w:ascii="Tahoma" w:hAnsi="Tahoma" w:cs="Tahoma"/>
          <w:lang w:val="es-ES"/>
        </w:rPr>
        <w:t xml:space="preserve"> del Convenio establece el campo de </w:t>
      </w:r>
      <w:r w:rsidR="006F1AFE" w:rsidRPr="00304238">
        <w:rPr>
          <w:rFonts w:ascii="Tahoma" w:hAnsi="Tahoma" w:cs="Tahoma"/>
          <w:lang w:val="es-ES"/>
        </w:rPr>
        <w:t>aplicación</w:t>
      </w:r>
      <w:r w:rsidRPr="00304238">
        <w:rPr>
          <w:rFonts w:ascii="Tahoma" w:hAnsi="Tahoma" w:cs="Tahoma"/>
          <w:lang w:val="es-ES"/>
        </w:rPr>
        <w:t xml:space="preserve"> material disponiendo que para el caso de C</w:t>
      </w:r>
      <w:r w:rsidR="006F1AFE" w:rsidRPr="00304238">
        <w:rPr>
          <w:rFonts w:ascii="Tahoma" w:hAnsi="Tahoma" w:cs="Tahoma"/>
          <w:lang w:val="es-ES"/>
        </w:rPr>
        <w:t>olombia el Convenio s</w:t>
      </w:r>
      <w:r w:rsidRPr="00304238">
        <w:rPr>
          <w:rFonts w:ascii="Tahoma" w:hAnsi="Tahoma" w:cs="Tahoma"/>
          <w:lang w:val="es-ES"/>
        </w:rPr>
        <w:t xml:space="preserve">e aplicará a la </w:t>
      </w:r>
      <w:r w:rsidR="006F1AFE" w:rsidRPr="00304238">
        <w:rPr>
          <w:rFonts w:ascii="Tahoma" w:hAnsi="Tahoma" w:cs="Tahoma"/>
          <w:lang w:val="es-ES"/>
        </w:rPr>
        <w:t>legislación</w:t>
      </w:r>
      <w:r w:rsidRPr="00304238">
        <w:rPr>
          <w:rFonts w:ascii="Tahoma" w:hAnsi="Tahoma" w:cs="Tahoma"/>
          <w:lang w:val="es-ES"/>
        </w:rPr>
        <w:t xml:space="preserve"> relativa a las prestaciones </w:t>
      </w:r>
      <w:r w:rsidR="006F1AFE" w:rsidRPr="00304238">
        <w:rPr>
          <w:rFonts w:ascii="Tahoma" w:hAnsi="Tahoma" w:cs="Tahoma"/>
          <w:lang w:val="es-ES"/>
        </w:rPr>
        <w:t>económicas</w:t>
      </w:r>
      <w:r w:rsidRPr="00304238">
        <w:rPr>
          <w:rFonts w:ascii="Tahoma" w:hAnsi="Tahoma" w:cs="Tahoma"/>
          <w:lang w:val="es-ES"/>
        </w:rPr>
        <w:t xml:space="preserve"> dispuestas en el Sistema General de Pensiones (Prima Media con </w:t>
      </w:r>
      <w:r w:rsidR="006F1AFE" w:rsidRPr="00304238">
        <w:rPr>
          <w:rFonts w:ascii="Tahoma" w:hAnsi="Tahoma" w:cs="Tahoma"/>
          <w:lang w:val="es-ES"/>
        </w:rPr>
        <w:t>Prestación</w:t>
      </w:r>
      <w:r w:rsidRPr="00304238">
        <w:rPr>
          <w:rFonts w:ascii="Tahoma" w:hAnsi="Tahoma" w:cs="Tahoma"/>
          <w:lang w:val="es-ES"/>
        </w:rPr>
        <w:t xml:space="preserve"> Definida y Ahorro Individual con Solidaridad), en cuanto a vejez, invalidez y sobrevivientes, de origen </w:t>
      </w:r>
      <w:r w:rsidR="006F1AFE" w:rsidRPr="00304238">
        <w:rPr>
          <w:rFonts w:ascii="Tahoma" w:hAnsi="Tahoma" w:cs="Tahoma"/>
          <w:lang w:val="es-ES"/>
        </w:rPr>
        <w:t>común</w:t>
      </w:r>
      <w:r w:rsidRPr="00304238">
        <w:rPr>
          <w:rFonts w:ascii="Tahoma" w:hAnsi="Tahoma" w:cs="Tahoma"/>
          <w:lang w:val="es-ES"/>
        </w:rPr>
        <w:t xml:space="preserve">. Ahora, en cuanto al </w:t>
      </w:r>
      <w:r w:rsidR="006F1AFE" w:rsidRPr="00304238">
        <w:rPr>
          <w:rFonts w:ascii="Tahoma" w:hAnsi="Tahoma" w:cs="Tahoma"/>
          <w:lang w:val="es-ES"/>
        </w:rPr>
        <w:t>término</w:t>
      </w:r>
      <w:r w:rsidRPr="00304238">
        <w:rPr>
          <w:rFonts w:ascii="Tahoma" w:hAnsi="Tahoma" w:cs="Tahoma"/>
          <w:lang w:val="es-ES"/>
        </w:rPr>
        <w:t xml:space="preserve"> </w:t>
      </w:r>
      <w:r w:rsidRPr="00304238">
        <w:rPr>
          <w:rFonts w:ascii="Tahoma" w:hAnsi="Tahoma" w:cs="Tahoma"/>
          <w:i/>
          <w:lang w:val="es-ES"/>
        </w:rPr>
        <w:t>“</w:t>
      </w:r>
      <w:r w:rsidR="006F1AFE" w:rsidRPr="002B2662">
        <w:rPr>
          <w:rFonts w:ascii="Tahoma" w:hAnsi="Tahoma" w:cs="Tahoma"/>
          <w:i/>
          <w:sz w:val="22"/>
          <w:lang w:val="es-ES"/>
        </w:rPr>
        <w:t>legislación</w:t>
      </w:r>
      <w:r w:rsidRPr="00304238">
        <w:rPr>
          <w:rFonts w:ascii="Tahoma" w:hAnsi="Tahoma" w:cs="Tahoma"/>
          <w:i/>
          <w:lang w:val="es-ES"/>
        </w:rPr>
        <w:t>”,</w:t>
      </w:r>
      <w:r w:rsidRPr="00304238">
        <w:rPr>
          <w:rFonts w:ascii="Tahoma" w:hAnsi="Tahoma" w:cs="Tahoma"/>
          <w:lang w:val="es-ES"/>
        </w:rPr>
        <w:t xml:space="preserve"> previó el Convenio en el literal b) del </w:t>
      </w:r>
      <w:r w:rsidR="006F1AFE" w:rsidRPr="00304238">
        <w:rPr>
          <w:rFonts w:ascii="Tahoma" w:hAnsi="Tahoma" w:cs="Tahoma"/>
          <w:lang w:val="es-ES"/>
        </w:rPr>
        <w:t>artículo 1º que por tal se entiende</w:t>
      </w:r>
      <w:r w:rsidRPr="00304238">
        <w:rPr>
          <w:rFonts w:ascii="Tahoma" w:hAnsi="Tahoma" w:cs="Tahoma"/>
          <w:lang w:val="es-ES"/>
        </w:rPr>
        <w:t xml:space="preserve"> </w:t>
      </w:r>
      <w:r w:rsidR="006F1AFE" w:rsidRPr="00304238">
        <w:rPr>
          <w:rFonts w:ascii="Tahoma" w:hAnsi="Tahoma" w:cs="Tahoma"/>
          <w:i/>
          <w:lang w:val="es-ES"/>
        </w:rPr>
        <w:t>“</w:t>
      </w:r>
      <w:r w:rsidRPr="002B2662">
        <w:rPr>
          <w:rFonts w:ascii="Tahoma" w:hAnsi="Tahoma" w:cs="Tahoma"/>
          <w:i/>
          <w:sz w:val="22"/>
          <w:lang w:val="es-ES"/>
        </w:rPr>
        <w:t xml:space="preserve">las leyes, decretos, reglamentos y </w:t>
      </w:r>
      <w:r w:rsidR="006F1AFE" w:rsidRPr="002B2662">
        <w:rPr>
          <w:rFonts w:ascii="Tahoma" w:hAnsi="Tahoma" w:cs="Tahoma"/>
          <w:i/>
          <w:sz w:val="22"/>
          <w:lang w:val="es-ES"/>
        </w:rPr>
        <w:t>demás</w:t>
      </w:r>
      <w:r w:rsidRPr="002B2662">
        <w:rPr>
          <w:rFonts w:ascii="Tahoma" w:hAnsi="Tahoma" w:cs="Tahoma"/>
          <w:i/>
          <w:sz w:val="22"/>
          <w:lang w:val="es-ES"/>
        </w:rPr>
        <w:t xml:space="preserve"> disposiciones relativas a Seguridad Social vigentes en el territori</w:t>
      </w:r>
      <w:r w:rsidR="006F1AFE" w:rsidRPr="002B2662">
        <w:rPr>
          <w:rFonts w:ascii="Tahoma" w:hAnsi="Tahoma" w:cs="Tahoma"/>
          <w:i/>
          <w:sz w:val="22"/>
          <w:lang w:val="es-ES"/>
        </w:rPr>
        <w:t>o de las partes c</w:t>
      </w:r>
      <w:r w:rsidRPr="002B2662">
        <w:rPr>
          <w:rFonts w:ascii="Tahoma" w:hAnsi="Tahoma" w:cs="Tahoma"/>
          <w:i/>
          <w:sz w:val="22"/>
          <w:lang w:val="es-ES"/>
        </w:rPr>
        <w:t>ontratantes</w:t>
      </w:r>
      <w:r w:rsidR="006F1AFE" w:rsidRPr="00304238">
        <w:rPr>
          <w:rFonts w:ascii="Tahoma" w:hAnsi="Tahoma" w:cs="Tahoma"/>
          <w:i/>
          <w:lang w:val="es-ES"/>
        </w:rPr>
        <w:t>”</w:t>
      </w:r>
      <w:r w:rsidRPr="00304238">
        <w:rPr>
          <w:rFonts w:ascii="Tahoma" w:hAnsi="Tahoma" w:cs="Tahoma"/>
          <w:i/>
          <w:lang w:val="es-ES"/>
        </w:rPr>
        <w:t>.</w:t>
      </w:r>
    </w:p>
    <w:bookmarkEnd w:id="0"/>
    <w:p w14:paraId="226317D8" w14:textId="77777777" w:rsidR="006F1AFE" w:rsidRPr="00304238" w:rsidRDefault="006F1AFE" w:rsidP="00304238">
      <w:pPr>
        <w:spacing w:line="276" w:lineRule="auto"/>
        <w:jc w:val="both"/>
        <w:rPr>
          <w:rFonts w:ascii="Tahoma" w:hAnsi="Tahoma" w:cs="Tahoma"/>
          <w:b/>
          <w:lang w:val="es-ES"/>
        </w:rPr>
      </w:pPr>
    </w:p>
    <w:p w14:paraId="4E966F7E" w14:textId="77777777" w:rsidR="005B3B9D" w:rsidRPr="00304238" w:rsidRDefault="006F1AFE" w:rsidP="00304238">
      <w:pPr>
        <w:spacing w:line="276" w:lineRule="auto"/>
        <w:ind w:firstLine="708"/>
        <w:jc w:val="both"/>
        <w:rPr>
          <w:rFonts w:ascii="Tahoma" w:hAnsi="Tahoma" w:cs="Tahoma"/>
          <w:lang w:val="es-ES"/>
        </w:rPr>
      </w:pPr>
      <w:r w:rsidRPr="00304238">
        <w:rPr>
          <w:rFonts w:ascii="Tahoma" w:hAnsi="Tahoma" w:cs="Tahoma"/>
          <w:lang w:val="es-ES"/>
        </w:rPr>
        <w:t>Más</w:t>
      </w:r>
      <w:r w:rsidR="00BB192F" w:rsidRPr="00304238">
        <w:rPr>
          <w:rFonts w:ascii="Tahoma" w:hAnsi="Tahoma" w:cs="Tahoma"/>
          <w:lang w:val="es-ES"/>
        </w:rPr>
        <w:t xml:space="preserve"> adelante, el </w:t>
      </w:r>
      <w:r w:rsidRPr="00304238">
        <w:rPr>
          <w:rFonts w:ascii="Tahoma" w:hAnsi="Tahoma" w:cs="Tahoma"/>
          <w:lang w:val="es-ES"/>
        </w:rPr>
        <w:t>artículo 8º</w:t>
      </w:r>
      <w:r w:rsidR="00BB192F" w:rsidRPr="00304238">
        <w:rPr>
          <w:rFonts w:ascii="Tahoma" w:hAnsi="Tahoma" w:cs="Tahoma"/>
          <w:lang w:val="es-ES"/>
        </w:rPr>
        <w:t xml:space="preserve"> del Convenio establece que cuando alguna de las legislaciones condicione la </w:t>
      </w:r>
      <w:r w:rsidRPr="00304238">
        <w:rPr>
          <w:rFonts w:ascii="Tahoma" w:hAnsi="Tahoma" w:cs="Tahoma"/>
          <w:lang w:val="es-ES"/>
        </w:rPr>
        <w:t>adquisición</w:t>
      </w:r>
      <w:r w:rsidR="00BB192F" w:rsidRPr="00304238">
        <w:rPr>
          <w:rFonts w:ascii="Tahoma" w:hAnsi="Tahoma" w:cs="Tahoma"/>
          <w:lang w:val="es-ES"/>
        </w:rPr>
        <w:t xml:space="preserve">, reconocimiento o </w:t>
      </w:r>
      <w:r w:rsidRPr="00304238">
        <w:rPr>
          <w:rFonts w:ascii="Tahoma" w:hAnsi="Tahoma" w:cs="Tahoma"/>
          <w:lang w:val="es-ES"/>
        </w:rPr>
        <w:t>retención</w:t>
      </w:r>
      <w:r w:rsidR="00BB192F" w:rsidRPr="00304238">
        <w:rPr>
          <w:rFonts w:ascii="Tahoma" w:hAnsi="Tahoma" w:cs="Tahoma"/>
          <w:lang w:val="es-ES"/>
        </w:rPr>
        <w:t xml:space="preserve"> de un derecho pensional, la entidad competente </w:t>
      </w:r>
      <w:r w:rsidRPr="00304238">
        <w:rPr>
          <w:rFonts w:ascii="Tahoma" w:hAnsi="Tahoma" w:cs="Tahoma"/>
          <w:lang w:val="es-ES"/>
        </w:rPr>
        <w:t>tendrá</w:t>
      </w:r>
      <w:r w:rsidR="00BB192F" w:rsidRPr="00304238">
        <w:rPr>
          <w:rFonts w:ascii="Tahoma" w:hAnsi="Tahoma" w:cs="Tahoma"/>
          <w:lang w:val="es-ES"/>
        </w:rPr>
        <w:t xml:space="preserve"> en cuenta los </w:t>
      </w:r>
      <w:r w:rsidRPr="00304238">
        <w:rPr>
          <w:rFonts w:ascii="Tahoma" w:hAnsi="Tahoma" w:cs="Tahoma"/>
          <w:lang w:val="es-ES"/>
        </w:rPr>
        <w:t>períodos</w:t>
      </w:r>
      <w:r w:rsidR="00BB192F" w:rsidRPr="00304238">
        <w:rPr>
          <w:rFonts w:ascii="Tahoma" w:hAnsi="Tahoma" w:cs="Tahoma"/>
          <w:lang w:val="es-ES"/>
        </w:rPr>
        <w:t xml:space="preserve"> cotizados o </w:t>
      </w:r>
      <w:r w:rsidR="00BB192F" w:rsidRPr="00304238">
        <w:rPr>
          <w:rFonts w:ascii="Tahoma" w:hAnsi="Tahoma" w:cs="Tahoma"/>
          <w:lang w:val="es-ES"/>
        </w:rPr>
        <w:lastRenderedPageBreak/>
        <w:t>aportados al</w:t>
      </w:r>
      <w:r w:rsidRPr="00304238">
        <w:rPr>
          <w:rFonts w:ascii="Tahoma" w:hAnsi="Tahoma" w:cs="Tahoma"/>
          <w:lang w:val="es-ES"/>
        </w:rPr>
        <w:t xml:space="preserve"> sistema de seguridad social de la otra parte, cuando estos sean necesarios siempre que no se superpongan.</w:t>
      </w:r>
      <w:r w:rsidR="005B3B9D" w:rsidRPr="00304238">
        <w:rPr>
          <w:rFonts w:ascii="Tahoma" w:hAnsi="Tahoma" w:cs="Tahoma"/>
          <w:lang w:val="es-ES"/>
        </w:rPr>
        <w:t xml:space="preserve"> </w:t>
      </w:r>
      <w:r w:rsidRPr="00304238">
        <w:rPr>
          <w:rFonts w:ascii="Tahoma" w:hAnsi="Tahoma" w:cs="Tahoma"/>
          <w:lang w:val="es-ES"/>
        </w:rPr>
        <w:t xml:space="preserve">A su vez, el </w:t>
      </w:r>
      <w:r w:rsidR="005B3B9D" w:rsidRPr="00304238">
        <w:rPr>
          <w:rFonts w:ascii="Tahoma" w:hAnsi="Tahoma" w:cs="Tahoma"/>
          <w:lang w:val="es-ES"/>
        </w:rPr>
        <w:t>art.</w:t>
      </w:r>
      <w:r w:rsidRPr="00304238">
        <w:rPr>
          <w:rFonts w:ascii="Tahoma" w:hAnsi="Tahoma" w:cs="Tahoma"/>
          <w:lang w:val="es-ES"/>
        </w:rPr>
        <w:t xml:space="preserve"> 9º estipula la forma cómo debe determinarse el derecho y la fórmula aplicable para la liquidación de las prestaciones, en los siguientes términos: </w:t>
      </w:r>
    </w:p>
    <w:p w14:paraId="7C400D2F" w14:textId="77777777" w:rsidR="005B3B9D" w:rsidRPr="00304238" w:rsidRDefault="005B3B9D" w:rsidP="00304238">
      <w:pPr>
        <w:spacing w:line="276" w:lineRule="auto"/>
        <w:ind w:firstLine="708"/>
        <w:jc w:val="both"/>
        <w:rPr>
          <w:rFonts w:ascii="Tahoma" w:hAnsi="Tahoma" w:cs="Tahoma"/>
          <w:lang w:val="es-ES"/>
        </w:rPr>
      </w:pPr>
    </w:p>
    <w:p w14:paraId="4046D12A" w14:textId="77777777" w:rsidR="006F1AFE" w:rsidRPr="002B2662" w:rsidRDefault="006F1AFE" w:rsidP="002B2662">
      <w:pPr>
        <w:ind w:left="426" w:right="420"/>
        <w:jc w:val="both"/>
        <w:rPr>
          <w:rFonts w:ascii="Tahoma" w:hAnsi="Tahoma" w:cs="Tahoma"/>
          <w:b/>
          <w:bCs/>
          <w:i/>
          <w:iCs/>
          <w:sz w:val="22"/>
          <w:lang w:val="es-ES"/>
        </w:rPr>
      </w:pPr>
      <w:r w:rsidRPr="002B2662">
        <w:rPr>
          <w:rFonts w:ascii="Tahoma" w:hAnsi="Tahoma" w:cs="Tahoma"/>
          <w:iCs/>
          <w:sz w:val="22"/>
          <w:lang w:val="es-ES"/>
        </w:rPr>
        <w:t>“</w:t>
      </w:r>
      <w:r w:rsidR="005B3B9D" w:rsidRPr="002B2662">
        <w:rPr>
          <w:rFonts w:ascii="Tahoma" w:hAnsi="Tahoma" w:cs="Tahoma"/>
          <w:i/>
          <w:iCs/>
          <w:sz w:val="22"/>
          <w:lang w:val="es-ES"/>
        </w:rPr>
        <w:t>D</w:t>
      </w:r>
      <w:r w:rsidRPr="002B2662">
        <w:rPr>
          <w:rFonts w:ascii="Tahoma" w:hAnsi="Tahoma" w:cs="Tahoma"/>
          <w:i/>
          <w:iCs/>
          <w:sz w:val="22"/>
          <w:lang w:val="es-ES"/>
        </w:rPr>
        <w:t>eterminación del derecho y liquidación de las prestaciones: con excepción de lo dispuesto en el artículo 18, el trabajador que haya estado sucesiva o alternativamente sometido a la legislación</w:t>
      </w:r>
      <w:r w:rsidR="0045569B" w:rsidRPr="002B2662">
        <w:rPr>
          <w:rFonts w:ascii="Tahoma" w:hAnsi="Tahoma" w:cs="Tahoma"/>
          <w:i/>
          <w:iCs/>
          <w:sz w:val="22"/>
          <w:lang w:val="es-ES"/>
        </w:rPr>
        <w:t xml:space="preserve"> de una y otra p</w:t>
      </w:r>
      <w:r w:rsidRPr="002B2662">
        <w:rPr>
          <w:rFonts w:ascii="Tahoma" w:hAnsi="Tahoma" w:cs="Tahoma"/>
          <w:i/>
          <w:iCs/>
          <w:sz w:val="22"/>
          <w:lang w:val="es-ES"/>
        </w:rPr>
        <w:t>arte contratante tendrá derecho a las prestaciones reguladas en este capítulo en las condiciones siguientes:</w:t>
      </w:r>
    </w:p>
    <w:p w14:paraId="77D3134B" w14:textId="77777777" w:rsidR="006F1AFE" w:rsidRPr="002B2662" w:rsidRDefault="006F1AFE" w:rsidP="002B2662">
      <w:pPr>
        <w:ind w:left="426" w:right="420" w:firstLine="708"/>
        <w:jc w:val="both"/>
        <w:rPr>
          <w:rFonts w:ascii="Tahoma" w:hAnsi="Tahoma" w:cs="Tahoma"/>
          <w:b/>
          <w:i/>
          <w:sz w:val="22"/>
          <w:lang w:val="es-ES"/>
        </w:rPr>
      </w:pPr>
    </w:p>
    <w:p w14:paraId="779818AE" w14:textId="77777777" w:rsidR="006F1AFE" w:rsidRPr="002B2662" w:rsidRDefault="006F1AFE" w:rsidP="002B2662">
      <w:pPr>
        <w:pStyle w:val="Prrafodelista"/>
        <w:numPr>
          <w:ilvl w:val="0"/>
          <w:numId w:val="3"/>
        </w:numPr>
        <w:ind w:left="851" w:right="420" w:hanging="426"/>
        <w:jc w:val="both"/>
        <w:rPr>
          <w:rFonts w:ascii="Tahoma" w:hAnsi="Tahoma" w:cs="Tahoma"/>
          <w:i/>
          <w:sz w:val="22"/>
          <w:lang w:val="es-ES"/>
        </w:rPr>
      </w:pPr>
      <w:bookmarkStart w:id="1" w:name="OLE_LINK191"/>
      <w:r w:rsidRPr="002B2662">
        <w:rPr>
          <w:rFonts w:ascii="Tahoma" w:hAnsi="Tahoma" w:cs="Tahoma"/>
          <w:i/>
          <w:sz w:val="22"/>
          <w:lang w:val="es-ES"/>
        </w:rPr>
        <w:t>La Institución Compe</w:t>
      </w:r>
      <w:r w:rsidR="0045569B" w:rsidRPr="002B2662">
        <w:rPr>
          <w:rFonts w:ascii="Tahoma" w:hAnsi="Tahoma" w:cs="Tahoma"/>
          <w:i/>
          <w:sz w:val="22"/>
          <w:lang w:val="es-ES"/>
        </w:rPr>
        <w:t>tente de cada Parte determinará</w:t>
      </w:r>
      <w:r w:rsidRPr="002B2662">
        <w:rPr>
          <w:rFonts w:ascii="Tahoma" w:hAnsi="Tahoma" w:cs="Tahoma"/>
          <w:i/>
          <w:sz w:val="22"/>
          <w:lang w:val="es-ES"/>
        </w:rPr>
        <w:t xml:space="preserve"> el derecho y calcul</w:t>
      </w:r>
      <w:r w:rsidR="0045569B" w:rsidRPr="002B2662">
        <w:rPr>
          <w:rFonts w:ascii="Tahoma" w:hAnsi="Tahoma" w:cs="Tahoma"/>
          <w:i/>
          <w:sz w:val="22"/>
          <w:lang w:val="es-ES"/>
        </w:rPr>
        <w:t>ará</w:t>
      </w:r>
      <w:r w:rsidRPr="002B2662">
        <w:rPr>
          <w:rFonts w:ascii="Tahoma" w:hAnsi="Tahoma" w:cs="Tahoma"/>
          <w:i/>
          <w:sz w:val="22"/>
          <w:lang w:val="es-ES"/>
        </w:rPr>
        <w:t xml:space="preserve"> la prestación, teniendo en cuenta únicamente los períodos de seguro o cotización</w:t>
      </w:r>
      <w:r w:rsidR="00426269" w:rsidRPr="002B2662">
        <w:rPr>
          <w:rFonts w:ascii="Tahoma" w:hAnsi="Tahoma" w:cs="Tahoma"/>
          <w:i/>
          <w:sz w:val="22"/>
          <w:lang w:val="es-ES"/>
        </w:rPr>
        <w:t xml:space="preserve"> acreditados en esa p</w:t>
      </w:r>
      <w:r w:rsidRPr="002B2662">
        <w:rPr>
          <w:rFonts w:ascii="Tahoma" w:hAnsi="Tahoma" w:cs="Tahoma"/>
          <w:i/>
          <w:sz w:val="22"/>
          <w:lang w:val="es-ES"/>
        </w:rPr>
        <w:t>arte.</w:t>
      </w:r>
    </w:p>
    <w:p w14:paraId="20F7D5E8" w14:textId="77777777" w:rsidR="006F1AFE" w:rsidRPr="002B2662" w:rsidRDefault="006F1AFE" w:rsidP="002B2662">
      <w:pPr>
        <w:pStyle w:val="Prrafodelista"/>
        <w:ind w:left="426" w:right="420"/>
        <w:jc w:val="both"/>
        <w:rPr>
          <w:rFonts w:ascii="Tahoma" w:hAnsi="Tahoma" w:cs="Tahoma"/>
          <w:i/>
          <w:sz w:val="22"/>
          <w:lang w:val="es-ES"/>
        </w:rPr>
      </w:pPr>
    </w:p>
    <w:p w14:paraId="5ED5E126" w14:textId="77777777" w:rsidR="00C5045F" w:rsidRPr="002B2662" w:rsidRDefault="00C5045F" w:rsidP="002B2662">
      <w:pPr>
        <w:pStyle w:val="Prrafodelista"/>
        <w:numPr>
          <w:ilvl w:val="0"/>
          <w:numId w:val="3"/>
        </w:numPr>
        <w:ind w:left="851" w:right="420"/>
        <w:jc w:val="both"/>
        <w:rPr>
          <w:rFonts w:ascii="Tahoma" w:hAnsi="Tahoma" w:cs="Tahoma"/>
          <w:i/>
          <w:sz w:val="22"/>
          <w:lang w:val="es-ES"/>
        </w:rPr>
      </w:pPr>
      <w:r w:rsidRPr="002B2662">
        <w:rPr>
          <w:rFonts w:ascii="Tahoma" w:hAnsi="Tahoma" w:cs="Tahoma"/>
          <w:i/>
          <w:sz w:val="22"/>
          <w:lang w:val="es-ES"/>
        </w:rPr>
        <w:t>Asimismo,</w:t>
      </w:r>
      <w:r w:rsidR="006F1AFE" w:rsidRPr="002B2662">
        <w:rPr>
          <w:rFonts w:ascii="Tahoma" w:hAnsi="Tahoma" w:cs="Tahoma"/>
          <w:i/>
          <w:sz w:val="22"/>
          <w:lang w:val="es-ES"/>
        </w:rPr>
        <w:t xml:space="preserve"> la </w:t>
      </w:r>
      <w:r w:rsidRPr="002B2662">
        <w:rPr>
          <w:rFonts w:ascii="Tahoma" w:hAnsi="Tahoma" w:cs="Tahoma"/>
          <w:i/>
          <w:sz w:val="22"/>
          <w:lang w:val="es-ES"/>
        </w:rPr>
        <w:t>institución competente de cada p</w:t>
      </w:r>
      <w:r w:rsidR="006F1AFE" w:rsidRPr="002B2662">
        <w:rPr>
          <w:rFonts w:ascii="Tahoma" w:hAnsi="Tahoma" w:cs="Tahoma"/>
          <w:i/>
          <w:sz w:val="22"/>
          <w:lang w:val="es-ES"/>
        </w:rPr>
        <w:t xml:space="preserve">arte determinará el derecho a prestaciones totalizando con los propios los </w:t>
      </w:r>
      <w:r w:rsidRPr="002B2662">
        <w:rPr>
          <w:rFonts w:ascii="Tahoma" w:hAnsi="Tahoma" w:cs="Tahoma"/>
          <w:i/>
          <w:sz w:val="22"/>
          <w:lang w:val="es-ES"/>
        </w:rPr>
        <w:t>periodos</w:t>
      </w:r>
      <w:r w:rsidR="006F1AFE" w:rsidRPr="002B2662">
        <w:rPr>
          <w:rFonts w:ascii="Tahoma" w:hAnsi="Tahoma" w:cs="Tahoma"/>
          <w:i/>
          <w:sz w:val="22"/>
          <w:lang w:val="es-ES"/>
        </w:rPr>
        <w:t xml:space="preserve"> de seguro o </w:t>
      </w:r>
      <w:r w:rsidRPr="002B2662">
        <w:rPr>
          <w:rFonts w:ascii="Tahoma" w:hAnsi="Tahoma" w:cs="Tahoma"/>
          <w:i/>
          <w:sz w:val="22"/>
          <w:lang w:val="es-ES"/>
        </w:rPr>
        <w:t>cotización</w:t>
      </w:r>
      <w:r w:rsidR="006F1AFE" w:rsidRPr="002B2662">
        <w:rPr>
          <w:rFonts w:ascii="Tahoma" w:hAnsi="Tahoma" w:cs="Tahoma"/>
          <w:i/>
          <w:sz w:val="22"/>
          <w:lang w:val="es-ES"/>
        </w:rPr>
        <w:t xml:space="preserve"> cumplidos bajo la </w:t>
      </w:r>
      <w:r w:rsidRPr="002B2662">
        <w:rPr>
          <w:rFonts w:ascii="Tahoma" w:hAnsi="Tahoma" w:cs="Tahoma"/>
          <w:i/>
          <w:sz w:val="22"/>
          <w:lang w:val="es-ES"/>
        </w:rPr>
        <w:t>legislación de la otra p</w:t>
      </w:r>
      <w:r w:rsidR="006F1AFE" w:rsidRPr="002B2662">
        <w:rPr>
          <w:rFonts w:ascii="Tahoma" w:hAnsi="Tahoma" w:cs="Tahoma"/>
          <w:i/>
          <w:sz w:val="22"/>
          <w:lang w:val="es-ES"/>
        </w:rPr>
        <w:t xml:space="preserve">arte. Cuando efectuada la </w:t>
      </w:r>
      <w:r w:rsidRPr="002B2662">
        <w:rPr>
          <w:rFonts w:ascii="Tahoma" w:hAnsi="Tahoma" w:cs="Tahoma"/>
          <w:i/>
          <w:sz w:val="22"/>
          <w:lang w:val="es-ES"/>
        </w:rPr>
        <w:t>totalización</w:t>
      </w:r>
      <w:r w:rsidR="006F1AFE" w:rsidRPr="002B2662">
        <w:rPr>
          <w:rFonts w:ascii="Tahoma" w:hAnsi="Tahoma" w:cs="Tahoma"/>
          <w:i/>
          <w:sz w:val="22"/>
          <w:lang w:val="es-ES"/>
        </w:rPr>
        <w:t xml:space="preserve"> se alcance el derecho a la </w:t>
      </w:r>
      <w:r w:rsidRPr="002B2662">
        <w:rPr>
          <w:rFonts w:ascii="Tahoma" w:hAnsi="Tahoma" w:cs="Tahoma"/>
          <w:i/>
          <w:sz w:val="22"/>
          <w:lang w:val="es-ES"/>
        </w:rPr>
        <w:t>prestación</w:t>
      </w:r>
      <w:r w:rsidR="006F1AFE" w:rsidRPr="002B2662">
        <w:rPr>
          <w:rFonts w:ascii="Tahoma" w:hAnsi="Tahoma" w:cs="Tahoma"/>
          <w:i/>
          <w:sz w:val="22"/>
          <w:lang w:val="es-ES"/>
        </w:rPr>
        <w:t xml:space="preserve">, para el </w:t>
      </w:r>
      <w:r w:rsidRPr="002B2662">
        <w:rPr>
          <w:rFonts w:ascii="Tahoma" w:hAnsi="Tahoma" w:cs="Tahoma"/>
          <w:i/>
          <w:sz w:val="22"/>
          <w:lang w:val="es-ES"/>
        </w:rPr>
        <w:t>cálculo</w:t>
      </w:r>
      <w:r w:rsidR="006F1AFE" w:rsidRPr="002B2662">
        <w:rPr>
          <w:rFonts w:ascii="Tahoma" w:hAnsi="Tahoma" w:cs="Tahoma"/>
          <w:i/>
          <w:sz w:val="22"/>
          <w:lang w:val="es-ES"/>
        </w:rPr>
        <w:t xml:space="preserve"> de la </w:t>
      </w:r>
      <w:r w:rsidRPr="002B2662">
        <w:rPr>
          <w:rFonts w:ascii="Tahoma" w:hAnsi="Tahoma" w:cs="Tahoma"/>
          <w:i/>
          <w:sz w:val="22"/>
          <w:lang w:val="es-ES"/>
        </w:rPr>
        <w:t>cuantía</w:t>
      </w:r>
      <w:r w:rsidR="006F1AFE" w:rsidRPr="002B2662">
        <w:rPr>
          <w:rFonts w:ascii="Tahoma" w:hAnsi="Tahoma" w:cs="Tahoma"/>
          <w:i/>
          <w:sz w:val="22"/>
          <w:lang w:val="es-ES"/>
        </w:rPr>
        <w:t xml:space="preserve"> a pagar, se </w:t>
      </w:r>
      <w:r w:rsidRPr="002B2662">
        <w:rPr>
          <w:rFonts w:ascii="Tahoma" w:hAnsi="Tahoma" w:cs="Tahoma"/>
          <w:i/>
          <w:sz w:val="22"/>
          <w:lang w:val="es-ES"/>
        </w:rPr>
        <w:t>aplicarán</w:t>
      </w:r>
      <w:r w:rsidR="006F1AFE" w:rsidRPr="002B2662">
        <w:rPr>
          <w:rFonts w:ascii="Tahoma" w:hAnsi="Tahoma" w:cs="Tahoma"/>
          <w:i/>
          <w:sz w:val="22"/>
          <w:lang w:val="es-ES"/>
        </w:rPr>
        <w:t xml:space="preserve"> las reglas siguientes:</w:t>
      </w:r>
    </w:p>
    <w:p w14:paraId="4E2B4DAA" w14:textId="77777777" w:rsidR="00C5045F" w:rsidRPr="002B2662" w:rsidRDefault="00C5045F" w:rsidP="002B2662">
      <w:pPr>
        <w:ind w:left="426" w:right="420"/>
        <w:jc w:val="both"/>
        <w:rPr>
          <w:rFonts w:ascii="Tahoma" w:hAnsi="Tahoma" w:cs="Tahoma"/>
          <w:b/>
          <w:i/>
          <w:sz w:val="22"/>
          <w:lang w:val="es-ES"/>
        </w:rPr>
      </w:pPr>
    </w:p>
    <w:p w14:paraId="6E4F4AF2" w14:textId="77777777" w:rsidR="00C5045F" w:rsidRPr="002B2662" w:rsidRDefault="00C5045F" w:rsidP="002B2662">
      <w:pPr>
        <w:pStyle w:val="Prrafodelista"/>
        <w:ind w:left="851" w:right="420"/>
        <w:jc w:val="both"/>
        <w:rPr>
          <w:rFonts w:ascii="Tahoma" w:hAnsi="Tahoma" w:cs="Tahoma"/>
          <w:i/>
          <w:sz w:val="22"/>
          <w:lang w:val="es-ES"/>
        </w:rPr>
      </w:pPr>
      <w:r w:rsidRPr="002B2662">
        <w:rPr>
          <w:rFonts w:ascii="Tahoma" w:hAnsi="Tahoma" w:cs="Tahoma"/>
          <w:i/>
          <w:sz w:val="22"/>
          <w:lang w:val="es-ES"/>
        </w:rPr>
        <w:t>a) Se determinará</w:t>
      </w:r>
      <w:r w:rsidR="006F1AFE" w:rsidRPr="002B2662">
        <w:rPr>
          <w:rFonts w:ascii="Tahoma" w:hAnsi="Tahoma" w:cs="Tahoma"/>
          <w:i/>
          <w:sz w:val="22"/>
          <w:lang w:val="es-ES"/>
        </w:rPr>
        <w:t xml:space="preserve"> la </w:t>
      </w:r>
      <w:r w:rsidRPr="002B2662">
        <w:rPr>
          <w:rFonts w:ascii="Tahoma" w:hAnsi="Tahoma" w:cs="Tahoma"/>
          <w:i/>
          <w:sz w:val="22"/>
          <w:lang w:val="es-ES"/>
        </w:rPr>
        <w:t>cuantía</w:t>
      </w:r>
      <w:r w:rsidR="006F1AFE" w:rsidRPr="002B2662">
        <w:rPr>
          <w:rFonts w:ascii="Tahoma" w:hAnsi="Tahoma" w:cs="Tahoma"/>
          <w:i/>
          <w:sz w:val="22"/>
          <w:lang w:val="es-ES"/>
        </w:rPr>
        <w:t xml:space="preserve"> de la </w:t>
      </w:r>
      <w:r w:rsidRPr="002B2662">
        <w:rPr>
          <w:rFonts w:ascii="Tahoma" w:hAnsi="Tahoma" w:cs="Tahoma"/>
          <w:i/>
          <w:sz w:val="22"/>
          <w:lang w:val="es-ES"/>
        </w:rPr>
        <w:t>prestación</w:t>
      </w:r>
      <w:r w:rsidR="006F1AFE" w:rsidRPr="002B2662">
        <w:rPr>
          <w:rFonts w:ascii="Tahoma" w:hAnsi="Tahoma" w:cs="Tahoma"/>
          <w:i/>
          <w:sz w:val="22"/>
          <w:lang w:val="es-ES"/>
        </w:rPr>
        <w:t xml:space="preserve"> a la cual el interesado hubiera tenido derecho como si todos los </w:t>
      </w:r>
      <w:r w:rsidRPr="002B2662">
        <w:rPr>
          <w:rFonts w:ascii="Tahoma" w:hAnsi="Tahoma" w:cs="Tahoma"/>
          <w:i/>
          <w:sz w:val="22"/>
          <w:lang w:val="es-ES"/>
        </w:rPr>
        <w:t>períodos</w:t>
      </w:r>
      <w:r w:rsidR="006F1AFE" w:rsidRPr="002B2662">
        <w:rPr>
          <w:rFonts w:ascii="Tahoma" w:hAnsi="Tahoma" w:cs="Tahoma"/>
          <w:i/>
          <w:sz w:val="22"/>
          <w:lang w:val="es-ES"/>
        </w:rPr>
        <w:t xml:space="preserve"> de seguro o </w:t>
      </w:r>
      <w:r w:rsidRPr="002B2662">
        <w:rPr>
          <w:rFonts w:ascii="Tahoma" w:hAnsi="Tahoma" w:cs="Tahoma"/>
          <w:i/>
          <w:sz w:val="22"/>
          <w:lang w:val="es-ES"/>
        </w:rPr>
        <w:t>cotización</w:t>
      </w:r>
      <w:r w:rsidR="006F1AFE" w:rsidRPr="002B2662">
        <w:rPr>
          <w:rFonts w:ascii="Tahoma" w:hAnsi="Tahoma" w:cs="Tahoma"/>
          <w:i/>
          <w:sz w:val="22"/>
          <w:lang w:val="es-ES"/>
        </w:rPr>
        <w:t xml:space="preserve"> totalizados hubieran sido cumplidos bajo su propia </w:t>
      </w:r>
      <w:r w:rsidRPr="002B2662">
        <w:rPr>
          <w:rFonts w:ascii="Tahoma" w:hAnsi="Tahoma" w:cs="Tahoma"/>
          <w:i/>
          <w:sz w:val="22"/>
          <w:lang w:val="es-ES"/>
        </w:rPr>
        <w:t>legislación</w:t>
      </w:r>
      <w:r w:rsidR="006F1AFE" w:rsidRPr="002B2662">
        <w:rPr>
          <w:rFonts w:ascii="Tahoma" w:hAnsi="Tahoma" w:cs="Tahoma"/>
          <w:i/>
          <w:sz w:val="22"/>
          <w:lang w:val="es-ES"/>
        </w:rPr>
        <w:t xml:space="preserve"> (</w:t>
      </w:r>
      <w:r w:rsidRPr="002B2662">
        <w:rPr>
          <w:rFonts w:ascii="Tahoma" w:hAnsi="Tahoma" w:cs="Tahoma"/>
          <w:i/>
          <w:sz w:val="22"/>
          <w:lang w:val="es-ES"/>
        </w:rPr>
        <w:t>pensión</w:t>
      </w:r>
      <w:r w:rsidR="006F1AFE" w:rsidRPr="002B2662">
        <w:rPr>
          <w:rFonts w:ascii="Tahoma" w:hAnsi="Tahoma" w:cs="Tahoma"/>
          <w:i/>
          <w:sz w:val="22"/>
          <w:lang w:val="es-ES"/>
        </w:rPr>
        <w:t xml:space="preserve"> </w:t>
      </w:r>
      <w:r w:rsidRPr="002B2662">
        <w:rPr>
          <w:rFonts w:ascii="Tahoma" w:hAnsi="Tahoma" w:cs="Tahoma"/>
          <w:i/>
          <w:sz w:val="22"/>
          <w:lang w:val="es-ES"/>
        </w:rPr>
        <w:t>teórica</w:t>
      </w:r>
      <w:r w:rsidR="006F1AFE" w:rsidRPr="002B2662">
        <w:rPr>
          <w:rFonts w:ascii="Tahoma" w:hAnsi="Tahoma" w:cs="Tahoma"/>
          <w:i/>
          <w:sz w:val="22"/>
          <w:lang w:val="es-ES"/>
        </w:rPr>
        <w:t>);</w:t>
      </w:r>
    </w:p>
    <w:p w14:paraId="72FB1E19" w14:textId="77777777" w:rsidR="00C5045F" w:rsidRPr="002B2662" w:rsidRDefault="00C5045F" w:rsidP="002B2662">
      <w:pPr>
        <w:pStyle w:val="Prrafodelista"/>
        <w:ind w:left="851" w:right="420"/>
        <w:jc w:val="both"/>
        <w:rPr>
          <w:rFonts w:ascii="Tahoma" w:hAnsi="Tahoma" w:cs="Tahoma"/>
          <w:i/>
          <w:sz w:val="22"/>
          <w:lang w:val="es-ES"/>
        </w:rPr>
      </w:pPr>
    </w:p>
    <w:p w14:paraId="26BE8C69" w14:textId="77777777" w:rsidR="00D063A8" w:rsidRPr="002B2662" w:rsidRDefault="006F1AFE" w:rsidP="002B2662">
      <w:pPr>
        <w:pStyle w:val="Prrafodelista"/>
        <w:ind w:left="851" w:right="420"/>
        <w:jc w:val="both"/>
        <w:rPr>
          <w:rFonts w:ascii="Tahoma" w:hAnsi="Tahoma" w:cs="Tahoma"/>
          <w:i/>
          <w:sz w:val="22"/>
          <w:lang w:val="es-ES"/>
        </w:rPr>
      </w:pPr>
      <w:r w:rsidRPr="002B2662">
        <w:rPr>
          <w:rFonts w:ascii="Tahoma" w:hAnsi="Tahoma" w:cs="Tahoma"/>
          <w:i/>
          <w:sz w:val="22"/>
          <w:lang w:val="es-ES"/>
        </w:rPr>
        <w:t xml:space="preserve">b) El importe de la </w:t>
      </w:r>
      <w:r w:rsidR="00C5045F" w:rsidRPr="002B2662">
        <w:rPr>
          <w:rFonts w:ascii="Tahoma" w:hAnsi="Tahoma" w:cs="Tahoma"/>
          <w:i/>
          <w:sz w:val="22"/>
          <w:lang w:val="es-ES"/>
        </w:rPr>
        <w:t>prestación</w:t>
      </w:r>
      <w:r w:rsidRPr="002B2662">
        <w:rPr>
          <w:rFonts w:ascii="Tahoma" w:hAnsi="Tahoma" w:cs="Tahoma"/>
          <w:i/>
          <w:sz w:val="22"/>
          <w:lang w:val="es-ES"/>
        </w:rPr>
        <w:t xml:space="preserve"> se </w:t>
      </w:r>
      <w:r w:rsidR="00C5045F" w:rsidRPr="002B2662">
        <w:rPr>
          <w:rFonts w:ascii="Tahoma" w:hAnsi="Tahoma" w:cs="Tahoma"/>
          <w:i/>
          <w:sz w:val="22"/>
          <w:lang w:val="es-ES"/>
        </w:rPr>
        <w:t xml:space="preserve">establecerá </w:t>
      </w:r>
      <w:r w:rsidRPr="002B2662">
        <w:rPr>
          <w:rFonts w:ascii="Tahoma" w:hAnsi="Tahoma" w:cs="Tahoma"/>
          <w:i/>
          <w:sz w:val="22"/>
          <w:lang w:val="es-ES"/>
        </w:rPr>
        <w:t xml:space="preserve">aplicando a la </w:t>
      </w:r>
      <w:r w:rsidR="00C5045F" w:rsidRPr="002B2662">
        <w:rPr>
          <w:rFonts w:ascii="Tahoma" w:hAnsi="Tahoma" w:cs="Tahoma"/>
          <w:i/>
          <w:sz w:val="22"/>
          <w:lang w:val="es-ES"/>
        </w:rPr>
        <w:t>pensión</w:t>
      </w:r>
      <w:r w:rsidRPr="002B2662">
        <w:rPr>
          <w:rFonts w:ascii="Tahoma" w:hAnsi="Tahoma" w:cs="Tahoma"/>
          <w:i/>
          <w:sz w:val="22"/>
          <w:lang w:val="es-ES"/>
        </w:rPr>
        <w:t xml:space="preserve"> </w:t>
      </w:r>
      <w:r w:rsidR="00C5045F" w:rsidRPr="002B2662">
        <w:rPr>
          <w:rFonts w:ascii="Tahoma" w:hAnsi="Tahoma" w:cs="Tahoma"/>
          <w:i/>
          <w:sz w:val="22"/>
          <w:lang w:val="es-ES"/>
        </w:rPr>
        <w:t>teórica</w:t>
      </w:r>
      <w:r w:rsidRPr="002B2662">
        <w:rPr>
          <w:rFonts w:ascii="Tahoma" w:hAnsi="Tahoma" w:cs="Tahoma"/>
          <w:i/>
          <w:sz w:val="22"/>
          <w:lang w:val="es-ES"/>
        </w:rPr>
        <w:t xml:space="preserve">, calculada </w:t>
      </w:r>
      <w:r w:rsidR="00C5045F" w:rsidRPr="002B2662">
        <w:rPr>
          <w:rFonts w:ascii="Tahoma" w:hAnsi="Tahoma" w:cs="Tahoma"/>
          <w:i/>
          <w:sz w:val="22"/>
          <w:lang w:val="es-ES"/>
        </w:rPr>
        <w:t>según</w:t>
      </w:r>
      <w:r w:rsidRPr="002B2662">
        <w:rPr>
          <w:rFonts w:ascii="Tahoma" w:hAnsi="Tahoma" w:cs="Tahoma"/>
          <w:i/>
          <w:sz w:val="22"/>
          <w:lang w:val="es-ES"/>
        </w:rPr>
        <w:t xml:space="preserve"> su </w:t>
      </w:r>
      <w:r w:rsidR="00C5045F" w:rsidRPr="002B2662">
        <w:rPr>
          <w:rFonts w:ascii="Tahoma" w:hAnsi="Tahoma" w:cs="Tahoma"/>
          <w:i/>
          <w:sz w:val="22"/>
          <w:lang w:val="es-ES"/>
        </w:rPr>
        <w:t>legislación</w:t>
      </w:r>
      <w:r w:rsidRPr="002B2662">
        <w:rPr>
          <w:rFonts w:ascii="Tahoma" w:hAnsi="Tahoma" w:cs="Tahoma"/>
          <w:i/>
          <w:sz w:val="22"/>
          <w:lang w:val="es-ES"/>
        </w:rPr>
        <w:t xml:space="preserve">, la misma </w:t>
      </w:r>
      <w:r w:rsidR="00C5045F" w:rsidRPr="002B2662">
        <w:rPr>
          <w:rFonts w:ascii="Tahoma" w:hAnsi="Tahoma" w:cs="Tahoma"/>
          <w:i/>
          <w:sz w:val="22"/>
          <w:lang w:val="es-ES"/>
        </w:rPr>
        <w:t>proporción</w:t>
      </w:r>
      <w:r w:rsidRPr="002B2662">
        <w:rPr>
          <w:rFonts w:ascii="Tahoma" w:hAnsi="Tahoma" w:cs="Tahoma"/>
          <w:i/>
          <w:sz w:val="22"/>
          <w:lang w:val="es-ES"/>
        </w:rPr>
        <w:t xml:space="preserve"> existente entre el </w:t>
      </w:r>
      <w:r w:rsidR="00C5045F" w:rsidRPr="002B2662">
        <w:rPr>
          <w:rFonts w:ascii="Tahoma" w:hAnsi="Tahoma" w:cs="Tahoma"/>
          <w:i/>
          <w:sz w:val="22"/>
          <w:lang w:val="es-ES"/>
        </w:rPr>
        <w:t>período</w:t>
      </w:r>
      <w:r w:rsidRPr="002B2662">
        <w:rPr>
          <w:rFonts w:ascii="Tahoma" w:hAnsi="Tahoma" w:cs="Tahoma"/>
          <w:i/>
          <w:sz w:val="22"/>
          <w:lang w:val="es-ES"/>
        </w:rPr>
        <w:t xml:space="preserve"> de seguro o </w:t>
      </w:r>
      <w:r w:rsidR="00C5045F" w:rsidRPr="002B2662">
        <w:rPr>
          <w:rFonts w:ascii="Tahoma" w:hAnsi="Tahoma" w:cs="Tahoma"/>
          <w:i/>
          <w:sz w:val="22"/>
          <w:lang w:val="es-ES"/>
        </w:rPr>
        <w:t>cotización</w:t>
      </w:r>
      <w:r w:rsidRPr="002B2662">
        <w:rPr>
          <w:rFonts w:ascii="Tahoma" w:hAnsi="Tahoma" w:cs="Tahoma"/>
          <w:i/>
          <w:sz w:val="22"/>
          <w:lang w:val="es-ES"/>
        </w:rPr>
        <w:t xml:space="preserve"> cumplido en la Parte a que pertenece la </w:t>
      </w:r>
      <w:r w:rsidR="00C5045F" w:rsidRPr="002B2662">
        <w:rPr>
          <w:rFonts w:ascii="Tahoma" w:hAnsi="Tahoma" w:cs="Tahoma"/>
          <w:i/>
          <w:sz w:val="22"/>
          <w:lang w:val="es-ES"/>
        </w:rPr>
        <w:t>Institución</w:t>
      </w:r>
      <w:r w:rsidRPr="002B2662">
        <w:rPr>
          <w:rFonts w:ascii="Tahoma" w:hAnsi="Tahoma" w:cs="Tahoma"/>
          <w:i/>
          <w:sz w:val="22"/>
          <w:lang w:val="es-ES"/>
        </w:rPr>
        <w:t xml:space="preserve"> que calcula la </w:t>
      </w:r>
      <w:r w:rsidR="00C5045F" w:rsidRPr="002B2662">
        <w:rPr>
          <w:rFonts w:ascii="Tahoma" w:hAnsi="Tahoma" w:cs="Tahoma"/>
          <w:i/>
          <w:sz w:val="22"/>
          <w:lang w:val="es-ES"/>
        </w:rPr>
        <w:t>prestación</w:t>
      </w:r>
      <w:r w:rsidRPr="002B2662">
        <w:rPr>
          <w:rFonts w:ascii="Tahoma" w:hAnsi="Tahoma" w:cs="Tahoma"/>
          <w:i/>
          <w:sz w:val="22"/>
          <w:lang w:val="es-ES"/>
        </w:rPr>
        <w:t xml:space="preserve"> y la totalidad de los </w:t>
      </w:r>
      <w:r w:rsidR="00C5045F" w:rsidRPr="002B2662">
        <w:rPr>
          <w:rFonts w:ascii="Tahoma" w:hAnsi="Tahoma" w:cs="Tahoma"/>
          <w:i/>
          <w:sz w:val="22"/>
          <w:lang w:val="es-ES"/>
        </w:rPr>
        <w:t>períodos</w:t>
      </w:r>
      <w:r w:rsidRPr="002B2662">
        <w:rPr>
          <w:rFonts w:ascii="Tahoma" w:hAnsi="Tahoma" w:cs="Tahoma"/>
          <w:i/>
          <w:sz w:val="22"/>
          <w:lang w:val="es-ES"/>
        </w:rPr>
        <w:t xml:space="preserve"> de seguro o </w:t>
      </w:r>
      <w:r w:rsidR="00C5045F" w:rsidRPr="002B2662">
        <w:rPr>
          <w:rFonts w:ascii="Tahoma" w:hAnsi="Tahoma" w:cs="Tahoma"/>
          <w:i/>
          <w:sz w:val="22"/>
          <w:lang w:val="es-ES"/>
        </w:rPr>
        <w:t>cotización</w:t>
      </w:r>
      <w:r w:rsidRPr="002B2662">
        <w:rPr>
          <w:rFonts w:ascii="Tahoma" w:hAnsi="Tahoma" w:cs="Tahoma"/>
          <w:i/>
          <w:sz w:val="22"/>
          <w:lang w:val="es-ES"/>
        </w:rPr>
        <w:t xml:space="preserve"> cumplidos en ambas Partes (</w:t>
      </w:r>
      <w:r w:rsidR="00C5045F" w:rsidRPr="002B2662">
        <w:rPr>
          <w:rFonts w:ascii="Tahoma" w:hAnsi="Tahoma" w:cs="Tahoma"/>
          <w:i/>
          <w:sz w:val="22"/>
          <w:lang w:val="es-ES"/>
        </w:rPr>
        <w:t>pensión</w:t>
      </w:r>
      <w:r w:rsidRPr="002B2662">
        <w:rPr>
          <w:rFonts w:ascii="Tahoma" w:hAnsi="Tahoma" w:cs="Tahoma"/>
          <w:i/>
          <w:sz w:val="22"/>
          <w:lang w:val="es-ES"/>
        </w:rPr>
        <w:t xml:space="preserve"> prorrata).</w:t>
      </w:r>
    </w:p>
    <w:p w14:paraId="771D5E33" w14:textId="77777777" w:rsidR="00D063A8" w:rsidRPr="002B2662" w:rsidRDefault="00D063A8" w:rsidP="002B2662">
      <w:pPr>
        <w:pStyle w:val="Prrafodelista"/>
        <w:ind w:left="426" w:right="420"/>
        <w:jc w:val="both"/>
        <w:rPr>
          <w:rFonts w:ascii="Tahoma" w:hAnsi="Tahoma" w:cs="Tahoma"/>
          <w:i/>
          <w:sz w:val="22"/>
          <w:lang w:val="es-ES"/>
        </w:rPr>
      </w:pPr>
    </w:p>
    <w:p w14:paraId="3CB3C45C" w14:textId="77777777" w:rsidR="004D39F3" w:rsidRPr="002B2662" w:rsidRDefault="006F1AFE" w:rsidP="002B2662">
      <w:pPr>
        <w:pStyle w:val="Prrafodelista"/>
        <w:numPr>
          <w:ilvl w:val="0"/>
          <w:numId w:val="3"/>
        </w:numPr>
        <w:ind w:left="851" w:right="420"/>
        <w:jc w:val="both"/>
        <w:rPr>
          <w:rFonts w:ascii="Tahoma" w:hAnsi="Tahoma" w:cs="Tahoma"/>
          <w:i/>
          <w:sz w:val="22"/>
          <w:lang w:val="es-ES"/>
        </w:rPr>
      </w:pPr>
      <w:r w:rsidRPr="002B2662">
        <w:rPr>
          <w:rFonts w:ascii="Tahoma" w:hAnsi="Tahoma" w:cs="Tahoma"/>
          <w:i/>
          <w:sz w:val="22"/>
          <w:lang w:val="es-ES"/>
        </w:rPr>
        <w:t xml:space="preserve">Determinados los derechos </w:t>
      </w:r>
      <w:r w:rsidR="00C5045F" w:rsidRPr="002B2662">
        <w:rPr>
          <w:rFonts w:ascii="Tahoma" w:hAnsi="Tahoma" w:cs="Tahoma"/>
          <w:i/>
          <w:sz w:val="22"/>
          <w:lang w:val="es-ES"/>
        </w:rPr>
        <w:t>conforme se establece en los pá</w:t>
      </w:r>
      <w:r w:rsidRPr="002B2662">
        <w:rPr>
          <w:rFonts w:ascii="Tahoma" w:hAnsi="Tahoma" w:cs="Tahoma"/>
          <w:i/>
          <w:sz w:val="22"/>
          <w:lang w:val="es-ES"/>
        </w:rPr>
        <w:t xml:space="preserve">rrafos precedentes, la </w:t>
      </w:r>
      <w:r w:rsidR="00C5045F" w:rsidRPr="002B2662">
        <w:rPr>
          <w:rFonts w:ascii="Tahoma" w:hAnsi="Tahoma" w:cs="Tahoma"/>
          <w:i/>
          <w:sz w:val="22"/>
          <w:lang w:val="es-ES"/>
        </w:rPr>
        <w:t>Institución</w:t>
      </w:r>
      <w:r w:rsidRPr="002B2662">
        <w:rPr>
          <w:rFonts w:ascii="Tahoma" w:hAnsi="Tahoma" w:cs="Tahoma"/>
          <w:i/>
          <w:sz w:val="22"/>
          <w:lang w:val="es-ES"/>
        </w:rPr>
        <w:t xml:space="preserve"> Competente de cada Parte </w:t>
      </w:r>
      <w:r w:rsidR="00C5045F" w:rsidRPr="002B2662">
        <w:rPr>
          <w:rFonts w:ascii="Tahoma" w:hAnsi="Tahoma" w:cs="Tahoma"/>
          <w:i/>
          <w:sz w:val="22"/>
          <w:lang w:val="es-ES"/>
        </w:rPr>
        <w:t>reconocerá y abonará la prestación que sea má</w:t>
      </w:r>
      <w:r w:rsidRPr="002B2662">
        <w:rPr>
          <w:rFonts w:ascii="Tahoma" w:hAnsi="Tahoma" w:cs="Tahoma"/>
          <w:i/>
          <w:sz w:val="22"/>
          <w:lang w:val="es-ES"/>
        </w:rPr>
        <w:t>s favorable al interesado, ind</w:t>
      </w:r>
      <w:r w:rsidR="00C5045F" w:rsidRPr="002B2662">
        <w:rPr>
          <w:rFonts w:ascii="Tahoma" w:hAnsi="Tahoma" w:cs="Tahoma"/>
          <w:i/>
          <w:sz w:val="22"/>
          <w:lang w:val="es-ES"/>
        </w:rPr>
        <w:t>ependientemente de la resolución adoptada por la Institució</w:t>
      </w:r>
      <w:r w:rsidRPr="002B2662">
        <w:rPr>
          <w:rFonts w:ascii="Tahoma" w:hAnsi="Tahoma" w:cs="Tahoma"/>
          <w:i/>
          <w:sz w:val="22"/>
          <w:lang w:val="es-ES"/>
        </w:rPr>
        <w:t>n Competente de la otra Parte”.</w:t>
      </w:r>
    </w:p>
    <w:bookmarkEnd w:id="1"/>
    <w:p w14:paraId="5780E4BF" w14:textId="77777777" w:rsidR="00D063A8" w:rsidRPr="00304238" w:rsidRDefault="00D063A8" w:rsidP="00304238">
      <w:pPr>
        <w:spacing w:line="276" w:lineRule="auto"/>
        <w:jc w:val="both"/>
        <w:rPr>
          <w:rFonts w:ascii="Tahoma" w:hAnsi="Tahoma" w:cs="Tahoma"/>
          <w:i/>
          <w:lang w:val="es-ES"/>
        </w:rPr>
      </w:pPr>
    </w:p>
    <w:p w14:paraId="06D45FBD" w14:textId="77777777" w:rsidR="00D063A8" w:rsidRPr="00304238" w:rsidRDefault="00D063A8" w:rsidP="00304238">
      <w:pPr>
        <w:spacing w:line="276" w:lineRule="auto"/>
        <w:ind w:firstLine="708"/>
        <w:jc w:val="both"/>
        <w:rPr>
          <w:rFonts w:ascii="Tahoma" w:hAnsi="Tahoma" w:cs="Tahoma"/>
        </w:rPr>
      </w:pPr>
      <w:r w:rsidRPr="00304238">
        <w:rPr>
          <w:rFonts w:ascii="Tahoma" w:hAnsi="Tahoma" w:cs="Tahoma"/>
        </w:rPr>
        <w:t>De otra parte, en el Artículo 26 se fijaron las obligaciones de las Autoridades Competentes de las dos Partes Contratantes con el objeto de hacer efectivo el Convenio, entre las que se destacan las de: a) establecer los acuerdos administrativos necesarios para la aplicación de convenio; y, b) designar los respectivos organismos de enlace; entre otras.</w:t>
      </w:r>
    </w:p>
    <w:p w14:paraId="1C697BCD" w14:textId="77777777" w:rsidR="00D063A8" w:rsidRPr="00304238" w:rsidRDefault="00D063A8" w:rsidP="00304238">
      <w:pPr>
        <w:spacing w:line="276" w:lineRule="auto"/>
        <w:jc w:val="both"/>
        <w:rPr>
          <w:rFonts w:ascii="Tahoma" w:hAnsi="Tahoma" w:cs="Tahoma"/>
        </w:rPr>
      </w:pPr>
    </w:p>
    <w:p w14:paraId="15BF2C69" w14:textId="77777777" w:rsidR="00D063A8" w:rsidRPr="00304238" w:rsidRDefault="00D063A8" w:rsidP="00304238">
      <w:pPr>
        <w:spacing w:line="276" w:lineRule="auto"/>
        <w:ind w:firstLine="708"/>
        <w:jc w:val="both"/>
        <w:rPr>
          <w:rFonts w:ascii="Tahoma" w:hAnsi="Tahoma" w:cs="Tahoma"/>
        </w:rPr>
      </w:pPr>
      <w:r w:rsidRPr="00304238">
        <w:rPr>
          <w:rFonts w:ascii="Tahoma" w:hAnsi="Tahoma" w:cs="Tahoma"/>
        </w:rPr>
        <w:t>Ahora, en cumplimiento del susodicho artículo 26, el 28 de enero de 2008 las partes c</w:t>
      </w:r>
      <w:r w:rsidR="00752E47" w:rsidRPr="00304238">
        <w:rPr>
          <w:rFonts w:ascii="Tahoma" w:hAnsi="Tahoma" w:cs="Tahoma"/>
        </w:rPr>
        <w:t xml:space="preserve">ontratantes celebraron </w:t>
      </w:r>
      <w:r w:rsidR="001C04D5" w:rsidRPr="00304238">
        <w:rPr>
          <w:rFonts w:ascii="Tahoma" w:hAnsi="Tahoma" w:cs="Tahoma"/>
        </w:rPr>
        <w:t>acuerdo a</w:t>
      </w:r>
      <w:r w:rsidRPr="00304238">
        <w:rPr>
          <w:rFonts w:ascii="Tahoma" w:hAnsi="Tahoma" w:cs="Tahoma"/>
        </w:rPr>
        <w:t>dministrativo mediante el cual se adoptaron las medidas administrativas necesarias para la aplicación del convenio a través de varias disposiciones</w:t>
      </w:r>
      <w:r w:rsidR="001C04D5" w:rsidRPr="00304238">
        <w:rPr>
          <w:rFonts w:ascii="Tahoma" w:hAnsi="Tahoma" w:cs="Tahoma"/>
        </w:rPr>
        <w:t>,</w:t>
      </w:r>
      <w:r w:rsidRPr="00304238">
        <w:rPr>
          <w:rFonts w:ascii="Tahoma" w:hAnsi="Tahoma" w:cs="Tahoma"/>
        </w:rPr>
        <w:t xml:space="preserve"> entre las cuales</w:t>
      </w:r>
      <w:r w:rsidR="001C04D5" w:rsidRPr="00304238">
        <w:rPr>
          <w:rFonts w:ascii="Tahoma" w:hAnsi="Tahoma" w:cs="Tahoma"/>
        </w:rPr>
        <w:t xml:space="preserve"> cabe destacar las siguientes: e</w:t>
      </w:r>
      <w:r w:rsidRPr="00304238">
        <w:rPr>
          <w:rFonts w:ascii="Tahoma" w:hAnsi="Tahoma" w:cs="Tahoma"/>
        </w:rPr>
        <w:t>n el artículo</w:t>
      </w:r>
      <w:r w:rsidR="001C04D5" w:rsidRPr="00304238">
        <w:rPr>
          <w:rFonts w:ascii="Tahoma" w:hAnsi="Tahoma" w:cs="Tahoma"/>
        </w:rPr>
        <w:t xml:space="preserve"> 2º</w:t>
      </w:r>
      <w:r w:rsidRPr="00304238">
        <w:rPr>
          <w:rFonts w:ascii="Tahoma" w:hAnsi="Tahoma" w:cs="Tahoma"/>
        </w:rPr>
        <w:t xml:space="preserve"> se designaron los organismos de enlace de cada parte </w:t>
      </w:r>
      <w:r w:rsidR="001A123E" w:rsidRPr="00304238">
        <w:rPr>
          <w:rFonts w:ascii="Tahoma" w:hAnsi="Tahoma" w:cs="Tahoma"/>
        </w:rPr>
        <w:t xml:space="preserve">al </w:t>
      </w:r>
      <w:r w:rsidRPr="00304238">
        <w:rPr>
          <w:rFonts w:ascii="Tahoma" w:hAnsi="Tahoma" w:cs="Tahoma"/>
        </w:rPr>
        <w:t>Ministerio de la Protección Social</w:t>
      </w:r>
      <w:r w:rsidR="001A123E" w:rsidRPr="00304238">
        <w:rPr>
          <w:rFonts w:ascii="Tahoma" w:hAnsi="Tahoma" w:cs="Tahoma"/>
        </w:rPr>
        <w:t xml:space="preserve"> en Colombia</w:t>
      </w:r>
      <w:r w:rsidRPr="00304238">
        <w:rPr>
          <w:rFonts w:ascii="Tahoma" w:hAnsi="Tahoma" w:cs="Tahoma"/>
        </w:rPr>
        <w:t xml:space="preserve"> </w:t>
      </w:r>
      <w:r w:rsidR="001A123E" w:rsidRPr="00304238">
        <w:rPr>
          <w:rFonts w:ascii="Tahoma" w:hAnsi="Tahoma" w:cs="Tahoma"/>
        </w:rPr>
        <w:t>a</w:t>
      </w:r>
      <w:r w:rsidRPr="00304238">
        <w:rPr>
          <w:rFonts w:ascii="Tahoma" w:hAnsi="Tahoma" w:cs="Tahoma"/>
        </w:rPr>
        <w:t>l Instituto Nacional de la Seguridad Social y el Institut</w:t>
      </w:r>
      <w:r w:rsidR="001C04D5" w:rsidRPr="00304238">
        <w:rPr>
          <w:rFonts w:ascii="Tahoma" w:hAnsi="Tahoma" w:cs="Tahoma"/>
        </w:rPr>
        <w:t>o Social de la Marina</w:t>
      </w:r>
      <w:r w:rsidR="001A123E" w:rsidRPr="00304238">
        <w:rPr>
          <w:rFonts w:ascii="Tahoma" w:hAnsi="Tahoma" w:cs="Tahoma"/>
        </w:rPr>
        <w:t xml:space="preserve"> en España</w:t>
      </w:r>
      <w:r w:rsidR="001C04D5" w:rsidRPr="00304238">
        <w:rPr>
          <w:rFonts w:ascii="Tahoma" w:hAnsi="Tahoma" w:cs="Tahoma"/>
        </w:rPr>
        <w:t xml:space="preserve">. A su vez, </w:t>
      </w:r>
      <w:r w:rsidRPr="00304238">
        <w:rPr>
          <w:rFonts w:ascii="Tahoma" w:hAnsi="Tahoma" w:cs="Tahoma"/>
        </w:rPr>
        <w:t xml:space="preserve">en el </w:t>
      </w:r>
      <w:r w:rsidR="001C04D5" w:rsidRPr="00304238">
        <w:rPr>
          <w:rFonts w:ascii="Tahoma" w:hAnsi="Tahoma" w:cs="Tahoma"/>
        </w:rPr>
        <w:t>artículo 3º</w:t>
      </w:r>
      <w:r w:rsidRPr="00304238">
        <w:rPr>
          <w:rFonts w:ascii="Tahoma" w:hAnsi="Tahoma" w:cs="Tahoma"/>
        </w:rPr>
        <w:t xml:space="preserve"> se determinaron las instit</w:t>
      </w:r>
      <w:r w:rsidR="000836E1" w:rsidRPr="00304238">
        <w:rPr>
          <w:rFonts w:ascii="Tahoma" w:hAnsi="Tahoma" w:cs="Tahoma"/>
        </w:rPr>
        <w:t>uciones competentes en</w:t>
      </w:r>
      <w:r w:rsidR="001C04D5" w:rsidRPr="00304238">
        <w:rPr>
          <w:rFonts w:ascii="Tahoma" w:hAnsi="Tahoma" w:cs="Tahoma"/>
        </w:rPr>
        <w:t xml:space="preserve"> cada país para la aplicació</w:t>
      </w:r>
      <w:r w:rsidRPr="00304238">
        <w:rPr>
          <w:rFonts w:ascii="Tahoma" w:hAnsi="Tahoma" w:cs="Tahoma"/>
        </w:rPr>
        <w:t xml:space="preserve">n del Convenio, </w:t>
      </w:r>
      <w:r w:rsidR="000836E1" w:rsidRPr="00304238">
        <w:rPr>
          <w:rFonts w:ascii="Tahoma" w:hAnsi="Tahoma" w:cs="Tahoma"/>
        </w:rPr>
        <w:t>y en lo que se refiere a Colombia,</w:t>
      </w:r>
      <w:r w:rsidR="001C04D5" w:rsidRPr="00304238">
        <w:rPr>
          <w:rFonts w:ascii="Tahoma" w:hAnsi="Tahoma" w:cs="Tahoma"/>
        </w:rPr>
        <w:t xml:space="preserve"> en el Régimen de prima M</w:t>
      </w:r>
      <w:r w:rsidRPr="00304238">
        <w:rPr>
          <w:rFonts w:ascii="Tahoma" w:hAnsi="Tahoma" w:cs="Tahoma"/>
        </w:rPr>
        <w:t>edia</w:t>
      </w:r>
      <w:r w:rsidR="000836E1" w:rsidRPr="00304238">
        <w:rPr>
          <w:rFonts w:ascii="Tahoma" w:hAnsi="Tahoma" w:cs="Tahoma"/>
        </w:rPr>
        <w:t>,</w:t>
      </w:r>
      <w:r w:rsidRPr="00304238">
        <w:rPr>
          <w:rFonts w:ascii="Tahoma" w:hAnsi="Tahoma" w:cs="Tahoma"/>
        </w:rPr>
        <w:t xml:space="preserve"> </w:t>
      </w:r>
      <w:r w:rsidR="000836E1" w:rsidRPr="00304238">
        <w:rPr>
          <w:rFonts w:ascii="Tahoma" w:hAnsi="Tahoma" w:cs="Tahoma"/>
        </w:rPr>
        <w:t xml:space="preserve">se designó </w:t>
      </w:r>
      <w:r w:rsidRPr="00304238">
        <w:rPr>
          <w:rFonts w:ascii="Tahoma" w:hAnsi="Tahoma" w:cs="Tahoma"/>
        </w:rPr>
        <w:t>al Instituto de Seguros Sociales</w:t>
      </w:r>
      <w:r w:rsidR="001C04D5" w:rsidRPr="00304238">
        <w:rPr>
          <w:rFonts w:ascii="Tahoma" w:hAnsi="Tahoma" w:cs="Tahoma"/>
        </w:rPr>
        <w:t xml:space="preserve"> (hoy Colpensiones)</w:t>
      </w:r>
      <w:r w:rsidRPr="00304238">
        <w:rPr>
          <w:rFonts w:ascii="Tahoma" w:hAnsi="Tahoma" w:cs="Tahoma"/>
        </w:rPr>
        <w:t xml:space="preserve">, las cajas, fondos o entidades de seguridad social existentes, del sector </w:t>
      </w:r>
      <w:r w:rsidR="001C04D5" w:rsidRPr="00304238">
        <w:rPr>
          <w:rFonts w:ascii="Tahoma" w:hAnsi="Tahoma" w:cs="Tahoma"/>
        </w:rPr>
        <w:t>público</w:t>
      </w:r>
      <w:r w:rsidRPr="00304238">
        <w:rPr>
          <w:rFonts w:ascii="Tahoma" w:hAnsi="Tahoma" w:cs="Tahoma"/>
        </w:rPr>
        <w:t xml:space="preserve"> o privado, </w:t>
      </w:r>
      <w:r w:rsidR="000836E1" w:rsidRPr="00304238">
        <w:rPr>
          <w:rFonts w:ascii="Tahoma" w:hAnsi="Tahoma" w:cs="Tahoma"/>
        </w:rPr>
        <w:t>únicamente</w:t>
      </w:r>
      <w:r w:rsidRPr="00304238">
        <w:rPr>
          <w:rFonts w:ascii="Tahoma" w:hAnsi="Tahoma" w:cs="Tahoma"/>
        </w:rPr>
        <w:t xml:space="preserve"> respecto a sus afiliados y mientras estas </w:t>
      </w:r>
      <w:r w:rsidR="000836E1" w:rsidRPr="00304238">
        <w:rPr>
          <w:rFonts w:ascii="Tahoma" w:hAnsi="Tahoma" w:cs="Tahoma"/>
        </w:rPr>
        <w:lastRenderedPageBreak/>
        <w:t>entidades subsistan, y en el ré</w:t>
      </w:r>
      <w:r w:rsidRPr="00304238">
        <w:rPr>
          <w:rFonts w:ascii="Tahoma" w:hAnsi="Tahoma" w:cs="Tahoma"/>
        </w:rPr>
        <w:t xml:space="preserve">gimen de ahorro individual a las administradoras de los fondos de pensiones. Lo propio se hizo con el Reino de </w:t>
      </w:r>
      <w:r w:rsidR="000836E1" w:rsidRPr="00304238">
        <w:rPr>
          <w:rFonts w:ascii="Tahoma" w:hAnsi="Tahoma" w:cs="Tahoma"/>
        </w:rPr>
        <w:t>España</w:t>
      </w:r>
      <w:r w:rsidRPr="00304238">
        <w:rPr>
          <w:rFonts w:ascii="Tahoma" w:hAnsi="Tahoma" w:cs="Tahoma"/>
        </w:rPr>
        <w:t xml:space="preserve"> sin que sea necesario referirnos a ello teniendo en cuenta que la </w:t>
      </w:r>
      <w:r w:rsidR="0045569B" w:rsidRPr="00304238">
        <w:rPr>
          <w:rFonts w:ascii="Tahoma" w:hAnsi="Tahoma" w:cs="Tahoma"/>
        </w:rPr>
        <w:t>pensión</w:t>
      </w:r>
      <w:r w:rsidRPr="00304238">
        <w:rPr>
          <w:rFonts w:ascii="Tahoma" w:hAnsi="Tahoma" w:cs="Tahoma"/>
        </w:rPr>
        <w:t xml:space="preserve">, objeto de este proceso, se </w:t>
      </w:r>
      <w:r w:rsidR="0045569B" w:rsidRPr="00304238">
        <w:rPr>
          <w:rFonts w:ascii="Tahoma" w:hAnsi="Tahoma" w:cs="Tahoma"/>
        </w:rPr>
        <w:t>reconoció</w:t>
      </w:r>
      <w:r w:rsidRPr="00304238">
        <w:rPr>
          <w:rFonts w:ascii="Tahoma" w:hAnsi="Tahoma" w:cs="Tahoma"/>
        </w:rPr>
        <w:t xml:space="preserve"> en Colombia.</w:t>
      </w:r>
    </w:p>
    <w:p w14:paraId="62176FD1" w14:textId="77777777" w:rsidR="00DC6C2E" w:rsidRPr="00304238" w:rsidRDefault="00DC6C2E" w:rsidP="00304238">
      <w:pPr>
        <w:spacing w:line="276" w:lineRule="auto"/>
        <w:ind w:firstLine="708"/>
        <w:jc w:val="both"/>
        <w:rPr>
          <w:rFonts w:ascii="Tahoma" w:hAnsi="Tahoma" w:cs="Tahoma"/>
        </w:rPr>
      </w:pPr>
    </w:p>
    <w:p w14:paraId="38297D31" w14:textId="77777777" w:rsidR="00DC6C2E" w:rsidRPr="00304238" w:rsidRDefault="00DC6C2E" w:rsidP="00304238">
      <w:pPr>
        <w:spacing w:line="276" w:lineRule="auto"/>
        <w:ind w:firstLine="708"/>
        <w:jc w:val="both"/>
        <w:rPr>
          <w:rFonts w:ascii="Tahoma" w:hAnsi="Tahoma" w:cs="Tahoma"/>
        </w:rPr>
      </w:pPr>
      <w:r w:rsidRPr="00304238">
        <w:rPr>
          <w:rFonts w:ascii="Tahoma" w:hAnsi="Tahoma" w:cs="Tahoma"/>
        </w:rPr>
        <w:t>El Artículo 4º establece, entre otras cosas, que los organismos de enlace elaborarán conjuntamente los formularios necesarios para la aplicación del Convenio y el Acuerdo administrativo, advirtiendo que el envío de dichos formularios NO hace necesaria la reemisión de los documentos justificativos consignados en ellos, salvo cuando se trate de la certificación de períodos de servicios o cotizaciones efectuados en Colombia los cuales deberán ser enviados adjuntos a los formularios. En este punto conviene advertir que los organismos de enlace elaboraron el formulario CO/ES-02 para la solicitud de las pensiones de invalidez, vejez o supervivencia.</w:t>
      </w:r>
    </w:p>
    <w:p w14:paraId="2AB49998" w14:textId="77777777" w:rsidR="00816B27" w:rsidRPr="00304238" w:rsidRDefault="00816B27" w:rsidP="00304238">
      <w:pPr>
        <w:spacing w:line="276" w:lineRule="auto"/>
        <w:ind w:firstLine="708"/>
        <w:jc w:val="both"/>
        <w:rPr>
          <w:rFonts w:ascii="Tahoma" w:hAnsi="Tahoma" w:cs="Tahoma"/>
        </w:rPr>
      </w:pPr>
    </w:p>
    <w:p w14:paraId="6D75190F" w14:textId="77777777" w:rsidR="00816B27" w:rsidRPr="00304238" w:rsidRDefault="00816B27" w:rsidP="00304238">
      <w:pPr>
        <w:spacing w:line="276" w:lineRule="auto"/>
        <w:ind w:firstLine="708"/>
        <w:jc w:val="both"/>
        <w:rPr>
          <w:rFonts w:ascii="Tahoma" w:hAnsi="Tahoma" w:cs="Tahoma"/>
        </w:rPr>
      </w:pPr>
      <w:r w:rsidRPr="00304238">
        <w:rPr>
          <w:rFonts w:ascii="Tahoma" w:hAnsi="Tahoma" w:cs="Tahoma"/>
        </w:rPr>
        <w:t>Ahora, respecto a la institución</w:t>
      </w:r>
      <w:r w:rsidR="003D09B1" w:rsidRPr="00304238">
        <w:rPr>
          <w:rFonts w:ascii="Tahoma" w:hAnsi="Tahoma" w:cs="Tahoma"/>
        </w:rPr>
        <w:t xml:space="preserve"> competente para resolver la</w:t>
      </w:r>
      <w:r w:rsidRPr="00304238">
        <w:rPr>
          <w:rFonts w:ascii="Tahoma" w:hAnsi="Tahoma" w:cs="Tahoma"/>
        </w:rPr>
        <w:t xml:space="preserve"> solicitud prestacional, estipula el artículo</w:t>
      </w:r>
      <w:r w:rsidR="003D09B1" w:rsidRPr="00304238">
        <w:rPr>
          <w:rFonts w:ascii="Tahoma" w:hAnsi="Tahoma" w:cs="Tahoma"/>
        </w:rPr>
        <w:t xml:space="preserve"> 6º</w:t>
      </w:r>
      <w:r w:rsidRPr="00304238">
        <w:rPr>
          <w:rFonts w:ascii="Tahoma" w:hAnsi="Tahoma" w:cs="Tahoma"/>
        </w:rPr>
        <w:t xml:space="preserve"> del Acuerdo, que será la que corresponda a la residencia del interesado, salvo cuando aquel resida en un tercer país</w:t>
      </w:r>
      <w:r w:rsidR="003D09B1" w:rsidRPr="00304238">
        <w:rPr>
          <w:rFonts w:ascii="Tahoma" w:hAnsi="Tahoma" w:cs="Tahoma"/>
        </w:rPr>
        <w:t>,</w:t>
      </w:r>
      <w:r w:rsidRPr="00304238">
        <w:rPr>
          <w:rFonts w:ascii="Tahoma" w:hAnsi="Tahoma" w:cs="Tahoma"/>
        </w:rPr>
        <w:t xml:space="preserve"> caso en el cual la institución competente será la de la parte contratante bajo cuya legislación aquel o su causante hubiera estado asegurado por última vez. En cuanto al trámite de las prestaciones, el artículo</w:t>
      </w:r>
      <w:r w:rsidR="003D09B1" w:rsidRPr="00304238">
        <w:rPr>
          <w:rFonts w:ascii="Tahoma" w:hAnsi="Tahoma" w:cs="Tahoma"/>
        </w:rPr>
        <w:t xml:space="preserve"> 8º</w:t>
      </w:r>
      <w:r w:rsidRPr="00304238">
        <w:rPr>
          <w:rFonts w:ascii="Tahoma" w:hAnsi="Tahoma" w:cs="Tahoma"/>
        </w:rPr>
        <w:t xml:space="preserve"> dispone, entre otras cosas, que la Institución Competente a quien corresponda la instrucción del expediente, cumplimentará el formulario establecido al efecto y enviará dos ejemplares del mismo al organismo de enlace de la otra parte. A su vez, la institución competente que reciba el formulario devolverá́ a su homóloga un ejemplar de dicho formulario, en donde hará constar los períodos de seguros acreditados bajo su legislación, y en su caso, el importe de la prestación reconocida por esa institución y la fecha de efectos económicos</w:t>
      </w:r>
      <w:r w:rsidR="005D6EB5" w:rsidRPr="00304238">
        <w:rPr>
          <w:rFonts w:ascii="Tahoma" w:hAnsi="Tahoma" w:cs="Tahoma"/>
        </w:rPr>
        <w:t xml:space="preserve"> de la misma.</w:t>
      </w:r>
    </w:p>
    <w:p w14:paraId="404F412C" w14:textId="77777777" w:rsidR="005B3B9D" w:rsidRPr="00304238" w:rsidRDefault="005B3B9D" w:rsidP="00304238">
      <w:pPr>
        <w:spacing w:line="276" w:lineRule="auto"/>
        <w:ind w:firstLine="708"/>
        <w:jc w:val="both"/>
        <w:rPr>
          <w:rFonts w:ascii="Tahoma" w:hAnsi="Tahoma" w:cs="Tahoma"/>
        </w:rPr>
      </w:pPr>
    </w:p>
    <w:p w14:paraId="3B83FE0A" w14:textId="2689C575" w:rsidR="005B3B9D" w:rsidRPr="00304238" w:rsidRDefault="005B3B9D" w:rsidP="00304238">
      <w:pPr>
        <w:pStyle w:val="Prrafodelista"/>
        <w:numPr>
          <w:ilvl w:val="1"/>
          <w:numId w:val="7"/>
        </w:numPr>
        <w:spacing w:line="276" w:lineRule="auto"/>
        <w:jc w:val="both"/>
        <w:rPr>
          <w:rFonts w:ascii="Tahoma" w:hAnsi="Tahoma" w:cs="Tahoma"/>
          <w:b/>
          <w:bCs/>
        </w:rPr>
      </w:pPr>
      <w:r w:rsidRPr="00304238">
        <w:rPr>
          <w:rFonts w:ascii="Tahoma" w:hAnsi="Tahoma" w:cs="Tahoma"/>
          <w:b/>
          <w:bCs/>
        </w:rPr>
        <w:t xml:space="preserve">CAMPO DE APLICACIÓN MATERIAL DEL CONVENIO EN COLOMBIA – </w:t>
      </w:r>
      <w:r w:rsidR="00426269" w:rsidRPr="00304238">
        <w:rPr>
          <w:rFonts w:ascii="Tahoma" w:hAnsi="Tahoma" w:cs="Tahoma"/>
          <w:b/>
          <w:bCs/>
        </w:rPr>
        <w:t xml:space="preserve">COMPOSICIÓN DEL </w:t>
      </w:r>
      <w:r w:rsidRPr="00304238">
        <w:rPr>
          <w:rFonts w:ascii="Tahoma" w:hAnsi="Tahoma" w:cs="Tahoma"/>
          <w:b/>
          <w:bCs/>
        </w:rPr>
        <w:t>SISTEMA GENERAL DE PENSIONES</w:t>
      </w:r>
      <w:r w:rsidR="00286669" w:rsidRPr="00304238">
        <w:rPr>
          <w:rFonts w:ascii="Tahoma" w:hAnsi="Tahoma" w:cs="Tahoma"/>
          <w:b/>
          <w:bCs/>
        </w:rPr>
        <w:t xml:space="preserve"> Y</w:t>
      </w:r>
      <w:r w:rsidRPr="00304238">
        <w:rPr>
          <w:rFonts w:ascii="Tahoma" w:hAnsi="Tahoma" w:cs="Tahoma"/>
          <w:b/>
          <w:bCs/>
        </w:rPr>
        <w:t xml:space="preserve"> RÉGIMEN DE PRIMA MEDIA</w:t>
      </w:r>
    </w:p>
    <w:p w14:paraId="51B5A34B" w14:textId="77777777" w:rsidR="005B3B9D" w:rsidRPr="00304238" w:rsidRDefault="005B3B9D" w:rsidP="00304238">
      <w:pPr>
        <w:spacing w:line="276" w:lineRule="auto"/>
        <w:ind w:firstLine="708"/>
        <w:jc w:val="both"/>
        <w:rPr>
          <w:rFonts w:ascii="Tahoma" w:hAnsi="Tahoma" w:cs="Tahoma"/>
        </w:rPr>
      </w:pPr>
    </w:p>
    <w:p w14:paraId="40465009" w14:textId="77777777" w:rsidR="005B3B9D" w:rsidRPr="00304238" w:rsidRDefault="005B3B9D" w:rsidP="00304238">
      <w:pPr>
        <w:spacing w:line="276" w:lineRule="auto"/>
        <w:ind w:firstLine="708"/>
        <w:jc w:val="both"/>
        <w:rPr>
          <w:rFonts w:ascii="Tahoma" w:hAnsi="Tahoma" w:cs="Tahoma"/>
          <w:i/>
          <w:lang w:val="es-ES"/>
        </w:rPr>
      </w:pPr>
      <w:r w:rsidRPr="00304238">
        <w:rPr>
          <w:rFonts w:ascii="Tahoma" w:hAnsi="Tahoma" w:cs="Tahoma"/>
        </w:rPr>
        <w:t xml:space="preserve">Recordemos que </w:t>
      </w:r>
      <w:r w:rsidRPr="00304238">
        <w:rPr>
          <w:rFonts w:ascii="Tahoma" w:hAnsi="Tahoma" w:cs="Tahoma"/>
          <w:lang w:val="es-ES"/>
        </w:rPr>
        <w:t xml:space="preserve">el artículo 2º del Convenio establece que </w:t>
      </w:r>
      <w:r w:rsidR="00D7202B" w:rsidRPr="00304238">
        <w:rPr>
          <w:rFonts w:ascii="Tahoma" w:hAnsi="Tahoma" w:cs="Tahoma"/>
          <w:lang w:val="es-ES"/>
        </w:rPr>
        <w:t xml:space="preserve">este se aplicará </w:t>
      </w:r>
      <w:r w:rsidRPr="00304238">
        <w:rPr>
          <w:rFonts w:ascii="Tahoma" w:hAnsi="Tahoma" w:cs="Tahoma"/>
          <w:lang w:val="es-ES"/>
        </w:rPr>
        <w:t>a la legislación relativa a las prestaciones económicas dispuestas en el Sistema General de Pensiones (Prima Media con Prestación Definida y Ahorro Individual con Solidaridad), en cuanto a vejez, invalidez y sobrevivientes, de origen común</w:t>
      </w:r>
      <w:r w:rsidR="00D7202B" w:rsidRPr="00304238">
        <w:rPr>
          <w:rFonts w:ascii="Tahoma" w:hAnsi="Tahoma" w:cs="Tahoma"/>
          <w:lang w:val="es-ES"/>
        </w:rPr>
        <w:t xml:space="preserve"> y en cuanto al término</w:t>
      </w:r>
      <w:r w:rsidRPr="00304238">
        <w:rPr>
          <w:rFonts w:ascii="Tahoma" w:hAnsi="Tahoma" w:cs="Tahoma"/>
          <w:lang w:val="es-ES"/>
        </w:rPr>
        <w:t xml:space="preserve"> </w:t>
      </w:r>
      <w:r w:rsidRPr="00304238">
        <w:rPr>
          <w:rFonts w:ascii="Tahoma" w:hAnsi="Tahoma" w:cs="Tahoma"/>
          <w:i/>
          <w:lang w:val="es-ES"/>
        </w:rPr>
        <w:t>“legislación”,</w:t>
      </w:r>
      <w:r w:rsidRPr="00304238">
        <w:rPr>
          <w:rFonts w:ascii="Tahoma" w:hAnsi="Tahoma" w:cs="Tahoma"/>
          <w:lang w:val="es-ES"/>
        </w:rPr>
        <w:t xml:space="preserve"> </w:t>
      </w:r>
      <w:r w:rsidR="00D7202B" w:rsidRPr="00304238">
        <w:rPr>
          <w:rFonts w:ascii="Tahoma" w:hAnsi="Tahoma" w:cs="Tahoma"/>
          <w:lang w:val="es-ES"/>
        </w:rPr>
        <w:t xml:space="preserve">se previene, </w:t>
      </w:r>
      <w:r w:rsidRPr="00304238">
        <w:rPr>
          <w:rFonts w:ascii="Tahoma" w:hAnsi="Tahoma" w:cs="Tahoma"/>
          <w:lang w:val="es-ES"/>
        </w:rPr>
        <w:t xml:space="preserve">en el literal b) del artículo 1º </w:t>
      </w:r>
      <w:r w:rsidR="00D7202B" w:rsidRPr="00304238">
        <w:rPr>
          <w:rFonts w:ascii="Tahoma" w:hAnsi="Tahoma" w:cs="Tahoma"/>
          <w:lang w:val="es-ES"/>
        </w:rPr>
        <w:t xml:space="preserve">ídem, </w:t>
      </w:r>
      <w:r w:rsidRPr="00304238">
        <w:rPr>
          <w:rFonts w:ascii="Tahoma" w:hAnsi="Tahoma" w:cs="Tahoma"/>
          <w:lang w:val="es-ES"/>
        </w:rPr>
        <w:t xml:space="preserve">que por tal se entiende </w:t>
      </w:r>
      <w:r w:rsidRPr="00304238">
        <w:rPr>
          <w:rFonts w:ascii="Tahoma" w:hAnsi="Tahoma" w:cs="Tahoma"/>
          <w:i/>
          <w:lang w:val="es-ES"/>
        </w:rPr>
        <w:t>“</w:t>
      </w:r>
      <w:r w:rsidRPr="00B26E3F">
        <w:rPr>
          <w:rFonts w:ascii="Tahoma" w:hAnsi="Tahoma" w:cs="Tahoma"/>
          <w:i/>
          <w:sz w:val="22"/>
          <w:lang w:val="es-ES"/>
        </w:rPr>
        <w:t>las leyes, decretos, reglamentos y demás disposiciones relativas a Seguridad Social vigentes en el territorio de las partes contratantes</w:t>
      </w:r>
      <w:r w:rsidRPr="00304238">
        <w:rPr>
          <w:rFonts w:ascii="Tahoma" w:hAnsi="Tahoma" w:cs="Tahoma"/>
          <w:i/>
          <w:lang w:val="es-ES"/>
        </w:rPr>
        <w:t>”.</w:t>
      </w:r>
    </w:p>
    <w:p w14:paraId="6479304D" w14:textId="77777777" w:rsidR="00D531A6" w:rsidRPr="00304238" w:rsidRDefault="00D531A6" w:rsidP="00304238">
      <w:pPr>
        <w:spacing w:line="276" w:lineRule="auto"/>
        <w:ind w:firstLine="708"/>
        <w:jc w:val="both"/>
        <w:rPr>
          <w:rFonts w:ascii="Tahoma" w:hAnsi="Tahoma" w:cs="Tahoma"/>
          <w:i/>
          <w:lang w:val="es-ES"/>
        </w:rPr>
      </w:pPr>
    </w:p>
    <w:p w14:paraId="183EDB4F" w14:textId="7E087C4F" w:rsidR="009A2199" w:rsidRPr="00304238" w:rsidRDefault="009A2199" w:rsidP="00304238">
      <w:pPr>
        <w:spacing w:line="276" w:lineRule="auto"/>
        <w:ind w:firstLine="708"/>
        <w:jc w:val="both"/>
        <w:rPr>
          <w:rFonts w:ascii="Tahoma" w:eastAsia="Times New Roman" w:hAnsi="Tahoma" w:cs="Tahoma"/>
          <w:color w:val="000000" w:themeColor="text1"/>
        </w:rPr>
      </w:pPr>
      <w:r w:rsidRPr="00304238">
        <w:rPr>
          <w:rFonts w:ascii="Tahoma" w:eastAsia="Times New Roman" w:hAnsi="Tahoma" w:cs="Tahoma"/>
          <w:color w:val="000000" w:themeColor="text1"/>
          <w:lang w:val="es-ES"/>
        </w:rPr>
        <w:t>En ese orden de ideas</w:t>
      </w:r>
      <w:r w:rsidR="00AA3A95" w:rsidRPr="00304238">
        <w:rPr>
          <w:rFonts w:ascii="Tahoma" w:eastAsia="Times New Roman" w:hAnsi="Tahoma" w:cs="Tahoma"/>
          <w:color w:val="000000" w:themeColor="text1"/>
          <w:lang w:val="es-ES"/>
        </w:rPr>
        <w:t>,</w:t>
      </w:r>
      <w:r w:rsidRPr="00304238">
        <w:rPr>
          <w:rFonts w:ascii="Tahoma" w:eastAsia="Times New Roman" w:hAnsi="Tahoma" w:cs="Tahoma"/>
          <w:color w:val="000000" w:themeColor="text1"/>
          <w:lang w:val="es-ES"/>
        </w:rPr>
        <w:t xml:space="preserve"> es del caso </w:t>
      </w:r>
      <w:r w:rsidRPr="00304238">
        <w:rPr>
          <w:rFonts w:ascii="Tahoma" w:eastAsia="Times New Roman" w:hAnsi="Tahoma" w:cs="Tahoma"/>
          <w:color w:val="000000" w:themeColor="text1"/>
        </w:rPr>
        <w:t>resaltar que el</w:t>
      </w:r>
      <w:r w:rsidR="00D531A6" w:rsidRPr="00304238">
        <w:rPr>
          <w:rFonts w:ascii="Tahoma" w:eastAsia="Times New Roman" w:hAnsi="Tahoma" w:cs="Tahoma"/>
          <w:color w:val="000000" w:themeColor="text1"/>
        </w:rPr>
        <w:t xml:space="preserve"> Sistema General de Pensiones tiene por objeto garantizar a la población, el amparo contra las contingencias derivadas de la vejez, la invalidez y la muerte, mediante el reconocimiento de las pensiones y prestaciones que se determinan en la presente ley, así como propender por la ampliación progresiva de cobertura a los segmentos de población no cubiertos con un sistema de pensiones</w:t>
      </w:r>
      <w:r w:rsidRPr="00304238">
        <w:rPr>
          <w:rFonts w:ascii="Tahoma" w:eastAsia="Times New Roman" w:hAnsi="Tahoma" w:cs="Tahoma"/>
          <w:color w:val="000000" w:themeColor="text1"/>
        </w:rPr>
        <w:t xml:space="preserve"> (art 10</w:t>
      </w:r>
      <w:r w:rsidR="0493844E" w:rsidRPr="00304238">
        <w:rPr>
          <w:rFonts w:ascii="Tahoma" w:eastAsia="Times New Roman" w:hAnsi="Tahoma" w:cs="Tahoma"/>
          <w:color w:val="000000" w:themeColor="text1"/>
        </w:rPr>
        <w:t xml:space="preserve">, </w:t>
      </w:r>
      <w:r w:rsidRPr="00304238">
        <w:rPr>
          <w:rFonts w:ascii="Tahoma" w:eastAsia="Times New Roman" w:hAnsi="Tahoma" w:cs="Tahoma"/>
          <w:color w:val="000000" w:themeColor="text1"/>
        </w:rPr>
        <w:t xml:space="preserve">Ley 100 de 1993) y </w:t>
      </w:r>
      <w:r w:rsidRPr="00304238">
        <w:rPr>
          <w:rFonts w:ascii="Tahoma" w:eastAsia="Times New Roman" w:hAnsi="Tahoma" w:cs="Tahoma"/>
          <w:color w:val="000000" w:themeColor="text1"/>
        </w:rPr>
        <w:lastRenderedPageBreak/>
        <w:t>que dicho sistema está compuesto por dos regímenes solidarios excluyentes pero que coexisten, a saber: Régimen Solidario de Prima Media con Prestación Definida y Régimen de Ahorro Individual con Solidaridad</w:t>
      </w:r>
      <w:r w:rsidR="008B7362" w:rsidRPr="00304238">
        <w:rPr>
          <w:rFonts w:ascii="Tahoma" w:eastAsia="Times New Roman" w:hAnsi="Tahoma" w:cs="Tahoma"/>
          <w:color w:val="000000" w:themeColor="text1"/>
        </w:rPr>
        <w:t xml:space="preserve"> (Art. 12 ídem)</w:t>
      </w:r>
      <w:r w:rsidRPr="00304238">
        <w:rPr>
          <w:rFonts w:ascii="Tahoma" w:eastAsia="Times New Roman" w:hAnsi="Tahoma" w:cs="Tahoma"/>
          <w:color w:val="000000" w:themeColor="text1"/>
        </w:rPr>
        <w:t>.</w:t>
      </w:r>
    </w:p>
    <w:p w14:paraId="3E70174D" w14:textId="77777777" w:rsidR="009A2199" w:rsidRPr="00304238" w:rsidRDefault="009A2199" w:rsidP="00304238">
      <w:pPr>
        <w:spacing w:line="276" w:lineRule="auto"/>
        <w:ind w:firstLine="708"/>
        <w:jc w:val="both"/>
        <w:rPr>
          <w:rFonts w:ascii="Tahoma" w:eastAsia="Times New Roman" w:hAnsi="Tahoma" w:cs="Tahoma"/>
          <w:color w:val="000000" w:themeColor="text1"/>
        </w:rPr>
      </w:pPr>
    </w:p>
    <w:p w14:paraId="6D3AC840" w14:textId="77777777" w:rsidR="00286669" w:rsidRPr="00304238" w:rsidRDefault="009A2199" w:rsidP="00304238">
      <w:pPr>
        <w:spacing w:line="276" w:lineRule="auto"/>
        <w:ind w:firstLine="708"/>
        <w:jc w:val="both"/>
        <w:rPr>
          <w:rFonts w:ascii="Tahoma" w:hAnsi="Tahoma" w:cs="Tahoma"/>
          <w:color w:val="000000" w:themeColor="text1"/>
        </w:rPr>
      </w:pPr>
      <w:r w:rsidRPr="00304238">
        <w:rPr>
          <w:rFonts w:ascii="Tahoma" w:eastAsia="Times New Roman" w:hAnsi="Tahoma" w:cs="Tahoma"/>
          <w:color w:val="000000" w:themeColor="text1"/>
        </w:rPr>
        <w:t>Finalm</w:t>
      </w:r>
      <w:r w:rsidR="008B7362" w:rsidRPr="00304238">
        <w:rPr>
          <w:rFonts w:ascii="Tahoma" w:eastAsia="Times New Roman" w:hAnsi="Tahoma" w:cs="Tahoma"/>
          <w:color w:val="000000" w:themeColor="text1"/>
        </w:rPr>
        <w:t xml:space="preserve">ente, en lo que interesa a este asunto en particular, el régimen de Prima Media con </w:t>
      </w:r>
      <w:r w:rsidR="00286669" w:rsidRPr="00304238">
        <w:rPr>
          <w:rFonts w:ascii="Tahoma" w:hAnsi="Tahoma" w:cs="Tahoma"/>
          <w:color w:val="000000" w:themeColor="text1"/>
        </w:rPr>
        <w:t xml:space="preserve">Prestación Definida es </w:t>
      </w:r>
      <w:r w:rsidR="008B7362" w:rsidRPr="00304238">
        <w:rPr>
          <w:rFonts w:ascii="Tahoma" w:hAnsi="Tahoma" w:cs="Tahoma"/>
          <w:color w:val="000000" w:themeColor="text1"/>
        </w:rPr>
        <w:t xml:space="preserve">definido en el artículo 31 de la citada Ley 100 de 1993, como </w:t>
      </w:r>
      <w:r w:rsidR="00286669" w:rsidRPr="00304238">
        <w:rPr>
          <w:rFonts w:ascii="Tahoma" w:hAnsi="Tahoma" w:cs="Tahoma"/>
          <w:color w:val="000000" w:themeColor="text1"/>
        </w:rPr>
        <w:t>aquel mediante el cual los afiliados o sus beneficiarios obtienen una pensión de vejez, de invalidez o de sobrevivientes, o una indemnización, previamente definidas, de acuerd</w:t>
      </w:r>
      <w:r w:rsidR="008B7362" w:rsidRPr="00304238">
        <w:rPr>
          <w:rFonts w:ascii="Tahoma" w:hAnsi="Tahoma" w:cs="Tahoma"/>
          <w:color w:val="000000" w:themeColor="text1"/>
        </w:rPr>
        <w:t xml:space="preserve">o con lo previsto en el </w:t>
      </w:r>
      <w:r w:rsidR="00286669" w:rsidRPr="00304238">
        <w:rPr>
          <w:rFonts w:ascii="Tahoma" w:hAnsi="Tahoma" w:cs="Tahoma"/>
          <w:color w:val="000000" w:themeColor="text1"/>
        </w:rPr>
        <w:t>Título</w:t>
      </w:r>
      <w:r w:rsidR="008B7362" w:rsidRPr="00304238">
        <w:rPr>
          <w:rFonts w:ascii="Tahoma" w:hAnsi="Tahoma" w:cs="Tahoma"/>
          <w:color w:val="000000" w:themeColor="text1"/>
        </w:rPr>
        <w:t xml:space="preserve"> II de la Ley 100 de 1993 y se previene en el mismo precepto, que s</w:t>
      </w:r>
      <w:r w:rsidR="00286669" w:rsidRPr="00304238">
        <w:rPr>
          <w:rFonts w:ascii="Tahoma" w:hAnsi="Tahoma" w:cs="Tahoma"/>
          <w:color w:val="000000" w:themeColor="text1"/>
        </w:rPr>
        <w:t>erán aplicables a este régimen las disposiciones vigentes para los seguros de invalidez, vejez y muerte a cargo del Instituto de Seguros Sociales, con las adiciones, modificaciones y excepciones contenidas en esta ley.</w:t>
      </w:r>
    </w:p>
    <w:p w14:paraId="032132F1" w14:textId="77777777" w:rsidR="008B7362" w:rsidRPr="00304238" w:rsidRDefault="008B7362" w:rsidP="00304238">
      <w:pPr>
        <w:spacing w:line="276" w:lineRule="auto"/>
        <w:ind w:firstLine="708"/>
        <w:jc w:val="both"/>
        <w:rPr>
          <w:rFonts w:ascii="Tahoma" w:hAnsi="Tahoma" w:cs="Tahoma"/>
          <w:color w:val="4B4949"/>
        </w:rPr>
      </w:pPr>
    </w:p>
    <w:p w14:paraId="2BAC0C69" w14:textId="5757143E" w:rsidR="00F0265F" w:rsidRPr="00304238" w:rsidRDefault="008B7362" w:rsidP="00304238">
      <w:pPr>
        <w:spacing w:line="276" w:lineRule="auto"/>
        <w:ind w:firstLine="708"/>
        <w:jc w:val="both"/>
        <w:rPr>
          <w:rFonts w:ascii="Tahoma" w:hAnsi="Tahoma" w:cs="Tahoma"/>
          <w:color w:val="000000" w:themeColor="text1"/>
        </w:rPr>
      </w:pPr>
      <w:r w:rsidRPr="00304238">
        <w:rPr>
          <w:rFonts w:ascii="Tahoma" w:hAnsi="Tahoma" w:cs="Tahoma"/>
          <w:color w:val="000000" w:themeColor="text1"/>
        </w:rPr>
        <w:t>Con apoyo en las anteriores premisas</w:t>
      </w:r>
      <w:r w:rsidR="00D51BBD" w:rsidRPr="00304238">
        <w:rPr>
          <w:rFonts w:ascii="Tahoma" w:hAnsi="Tahoma" w:cs="Tahoma"/>
          <w:color w:val="000000" w:themeColor="text1"/>
        </w:rPr>
        <w:t xml:space="preserve"> normativas,</w:t>
      </w:r>
      <w:r w:rsidR="00F0265F" w:rsidRPr="00304238">
        <w:rPr>
          <w:rFonts w:ascii="Tahoma" w:hAnsi="Tahoma" w:cs="Tahoma"/>
          <w:color w:val="000000" w:themeColor="text1"/>
        </w:rPr>
        <w:t xml:space="preserve"> se puede concluir con facilidad que l</w:t>
      </w:r>
      <w:r w:rsidR="00893D35" w:rsidRPr="00304238">
        <w:rPr>
          <w:rFonts w:ascii="Tahoma" w:hAnsi="Tahoma" w:cs="Tahoma"/>
          <w:color w:val="000000" w:themeColor="text1"/>
        </w:rPr>
        <w:t>as pensiones de vejez concedidas con las condiciones del Acuerdo </w:t>
      </w:r>
      <w:hyperlink r:id="rId10" w:anchor="INICIO">
        <w:r w:rsidR="00893D35" w:rsidRPr="00304238">
          <w:rPr>
            <w:rFonts w:ascii="Tahoma" w:hAnsi="Tahoma" w:cs="Tahoma"/>
            <w:color w:val="000000" w:themeColor="text1"/>
          </w:rPr>
          <w:t>049</w:t>
        </w:r>
      </w:hyperlink>
      <w:r w:rsidR="00893D35" w:rsidRPr="00304238">
        <w:rPr>
          <w:rFonts w:ascii="Tahoma" w:hAnsi="Tahoma" w:cs="Tahoma"/>
          <w:color w:val="000000" w:themeColor="text1"/>
        </w:rPr>
        <w:t> de 1990, bajo el abrigo del régimen de transición, de</w:t>
      </w:r>
      <w:r w:rsidR="00965C19" w:rsidRPr="00304238">
        <w:rPr>
          <w:rFonts w:ascii="Tahoma" w:hAnsi="Tahoma" w:cs="Tahoma"/>
          <w:color w:val="000000" w:themeColor="text1"/>
        </w:rPr>
        <w:t>ben entenderse incorporadas al Sistema Integral de Seguridad S</w:t>
      </w:r>
      <w:r w:rsidR="00893D35" w:rsidRPr="00304238">
        <w:rPr>
          <w:rFonts w:ascii="Tahoma" w:hAnsi="Tahoma" w:cs="Tahoma"/>
          <w:color w:val="000000" w:themeColor="text1"/>
        </w:rPr>
        <w:t>ocial concebido a partir de la</w:t>
      </w:r>
      <w:r w:rsidR="00965C19" w:rsidRPr="00304238">
        <w:rPr>
          <w:rFonts w:ascii="Tahoma" w:hAnsi="Tahoma" w:cs="Tahoma"/>
          <w:color w:val="000000" w:themeColor="text1"/>
        </w:rPr>
        <w:t xml:space="preserve"> expedición de la</w:t>
      </w:r>
      <w:r w:rsidR="00893D35" w:rsidRPr="00304238">
        <w:rPr>
          <w:rFonts w:ascii="Tahoma" w:hAnsi="Tahoma" w:cs="Tahoma"/>
          <w:color w:val="000000" w:themeColor="text1"/>
        </w:rPr>
        <w:t xml:space="preserve"> Ley </w:t>
      </w:r>
      <w:hyperlink r:id="rId11" w:anchor="inicio">
        <w:r w:rsidR="00893D35" w:rsidRPr="00304238">
          <w:rPr>
            <w:rFonts w:ascii="Tahoma" w:hAnsi="Tahoma" w:cs="Tahoma"/>
            <w:color w:val="000000" w:themeColor="text1"/>
          </w:rPr>
          <w:t>100</w:t>
        </w:r>
      </w:hyperlink>
      <w:r w:rsidR="00893D35" w:rsidRPr="00304238">
        <w:rPr>
          <w:rFonts w:ascii="Tahoma" w:hAnsi="Tahoma" w:cs="Tahoma"/>
          <w:color w:val="000000" w:themeColor="text1"/>
        </w:rPr>
        <w:t> </w:t>
      </w:r>
      <w:r w:rsidR="00F0265F" w:rsidRPr="00304238">
        <w:rPr>
          <w:rFonts w:ascii="Tahoma" w:hAnsi="Tahoma" w:cs="Tahoma"/>
          <w:color w:val="000000" w:themeColor="text1"/>
        </w:rPr>
        <w:t>de 1993</w:t>
      </w:r>
      <w:r w:rsidR="003B3C10" w:rsidRPr="00304238">
        <w:rPr>
          <w:rFonts w:ascii="Tahoma" w:hAnsi="Tahoma" w:cs="Tahoma"/>
          <w:color w:val="000000" w:themeColor="text1"/>
        </w:rPr>
        <w:t>, conforme a lo previsto en el artí</w:t>
      </w:r>
      <w:r w:rsidR="00965C19" w:rsidRPr="00304238">
        <w:rPr>
          <w:rFonts w:ascii="Tahoma" w:hAnsi="Tahoma" w:cs="Tahoma"/>
          <w:color w:val="000000" w:themeColor="text1"/>
        </w:rPr>
        <w:t>culo 31 de esta normativa</w:t>
      </w:r>
      <w:r w:rsidR="003B3C10" w:rsidRPr="00304238">
        <w:rPr>
          <w:rFonts w:ascii="Tahoma" w:hAnsi="Tahoma" w:cs="Tahoma"/>
          <w:color w:val="000000" w:themeColor="text1"/>
        </w:rPr>
        <w:t>. E</w:t>
      </w:r>
      <w:r w:rsidR="00F0265F" w:rsidRPr="00304238">
        <w:rPr>
          <w:rFonts w:ascii="Tahoma" w:hAnsi="Tahoma" w:cs="Tahoma"/>
          <w:color w:val="000000" w:themeColor="text1"/>
        </w:rPr>
        <w:t>n tal virtud,</w:t>
      </w:r>
      <w:r w:rsidR="00893D35" w:rsidRPr="00304238">
        <w:rPr>
          <w:rFonts w:ascii="Tahoma" w:hAnsi="Tahoma" w:cs="Tahoma"/>
          <w:color w:val="000000" w:themeColor="text1"/>
        </w:rPr>
        <w:t xml:space="preserve"> </w:t>
      </w:r>
      <w:r w:rsidR="003B3C10" w:rsidRPr="00304238">
        <w:rPr>
          <w:rFonts w:ascii="Tahoma" w:hAnsi="Tahoma" w:cs="Tahoma"/>
          <w:color w:val="000000" w:themeColor="text1"/>
        </w:rPr>
        <w:t>para efectos de acumular la densidad mínima de semanas exi</w:t>
      </w:r>
      <w:r w:rsidR="00965C19" w:rsidRPr="00304238">
        <w:rPr>
          <w:rFonts w:ascii="Tahoma" w:hAnsi="Tahoma" w:cs="Tahoma"/>
          <w:color w:val="000000" w:themeColor="text1"/>
        </w:rPr>
        <w:t>gidas en el Acuerdo 049 de 1990</w:t>
      </w:r>
      <w:r w:rsidR="003B3C10" w:rsidRPr="00304238">
        <w:rPr>
          <w:rFonts w:ascii="Tahoma" w:hAnsi="Tahoma" w:cs="Tahoma"/>
          <w:color w:val="000000" w:themeColor="text1"/>
        </w:rPr>
        <w:t xml:space="preserve"> </w:t>
      </w:r>
      <w:r w:rsidR="00965C19" w:rsidRPr="00304238">
        <w:rPr>
          <w:rFonts w:ascii="Tahoma" w:hAnsi="Tahoma" w:cs="Tahoma"/>
          <w:color w:val="000000" w:themeColor="text1"/>
        </w:rPr>
        <w:t>(</w:t>
      </w:r>
      <w:r w:rsidR="003B3C10" w:rsidRPr="00304238">
        <w:rPr>
          <w:rFonts w:ascii="Tahoma" w:hAnsi="Tahoma" w:cs="Tahoma"/>
          <w:color w:val="000000" w:themeColor="text1"/>
        </w:rPr>
        <w:t>y en cualquier otra norma anterior aplicable por</w:t>
      </w:r>
      <w:r w:rsidR="00965C19" w:rsidRPr="00304238">
        <w:rPr>
          <w:rFonts w:ascii="Tahoma" w:hAnsi="Tahoma" w:cs="Tahoma"/>
          <w:color w:val="000000" w:themeColor="text1"/>
        </w:rPr>
        <w:t xml:space="preserve"> remisión</w:t>
      </w:r>
      <w:r w:rsidR="003B3C10" w:rsidRPr="00304238">
        <w:rPr>
          <w:rFonts w:ascii="Tahoma" w:hAnsi="Tahoma" w:cs="Tahoma"/>
          <w:color w:val="000000" w:themeColor="text1"/>
        </w:rPr>
        <w:t xml:space="preserve"> del régimen de transición del art</w:t>
      </w:r>
      <w:r w:rsidR="7FA7FC0A" w:rsidRPr="00304238">
        <w:rPr>
          <w:rFonts w:ascii="Tahoma" w:hAnsi="Tahoma" w:cs="Tahoma"/>
          <w:color w:val="000000" w:themeColor="text1"/>
        </w:rPr>
        <w:t>.</w:t>
      </w:r>
      <w:r w:rsidR="003B3C10" w:rsidRPr="00304238">
        <w:rPr>
          <w:rFonts w:ascii="Tahoma" w:hAnsi="Tahoma" w:cs="Tahoma"/>
          <w:color w:val="000000" w:themeColor="text1"/>
        </w:rPr>
        <w:t xml:space="preserve"> 36 de la Ley 100 de 1993</w:t>
      </w:r>
      <w:r w:rsidR="00965C19" w:rsidRPr="00304238">
        <w:rPr>
          <w:rFonts w:ascii="Tahoma" w:hAnsi="Tahoma" w:cs="Tahoma"/>
          <w:color w:val="000000" w:themeColor="text1"/>
        </w:rPr>
        <w:t>)</w:t>
      </w:r>
      <w:r w:rsidR="003B3C10" w:rsidRPr="00304238">
        <w:rPr>
          <w:rFonts w:ascii="Tahoma" w:hAnsi="Tahoma" w:cs="Tahoma"/>
          <w:color w:val="000000" w:themeColor="text1"/>
        </w:rPr>
        <w:t xml:space="preserve"> resulta </w:t>
      </w:r>
      <w:r w:rsidR="00F0265F" w:rsidRPr="00304238">
        <w:rPr>
          <w:rFonts w:ascii="Tahoma" w:hAnsi="Tahoma" w:cs="Tahoma"/>
          <w:color w:val="000000" w:themeColor="text1"/>
        </w:rPr>
        <w:t>procedente la aplicación del convenio de seguridad social celebrado entre Colombia y el Reino de España</w:t>
      </w:r>
      <w:r w:rsidR="003B3C10" w:rsidRPr="00304238">
        <w:rPr>
          <w:rFonts w:ascii="Tahoma" w:hAnsi="Tahoma" w:cs="Tahoma"/>
          <w:color w:val="000000" w:themeColor="text1"/>
        </w:rPr>
        <w:t xml:space="preserve"> (elevado al rango legal a través de la Ley 1112</w:t>
      </w:r>
      <w:r w:rsidR="14BCA81F" w:rsidRPr="00304238">
        <w:rPr>
          <w:rFonts w:ascii="Tahoma" w:hAnsi="Tahoma" w:cs="Tahoma"/>
          <w:color w:val="000000" w:themeColor="text1"/>
        </w:rPr>
        <w:t>/</w:t>
      </w:r>
      <w:r w:rsidR="003B3C10" w:rsidRPr="00304238">
        <w:rPr>
          <w:rFonts w:ascii="Tahoma" w:hAnsi="Tahoma" w:cs="Tahoma"/>
          <w:color w:val="000000" w:themeColor="text1"/>
        </w:rPr>
        <w:t xml:space="preserve"> 2006).</w:t>
      </w:r>
    </w:p>
    <w:p w14:paraId="0264EF38" w14:textId="77777777" w:rsidR="003B3C10" w:rsidRPr="00304238" w:rsidRDefault="003B3C10" w:rsidP="00304238">
      <w:pPr>
        <w:spacing w:line="276" w:lineRule="auto"/>
        <w:ind w:firstLine="708"/>
        <w:jc w:val="both"/>
        <w:rPr>
          <w:rFonts w:ascii="Tahoma" w:hAnsi="Tahoma" w:cs="Tahoma"/>
          <w:color w:val="000000" w:themeColor="text1"/>
        </w:rPr>
      </w:pPr>
    </w:p>
    <w:p w14:paraId="7539DE01" w14:textId="77777777" w:rsidR="0065746C" w:rsidRPr="00304238" w:rsidRDefault="003B3C10" w:rsidP="00304238">
      <w:pPr>
        <w:spacing w:line="276" w:lineRule="auto"/>
        <w:ind w:firstLine="708"/>
        <w:jc w:val="both"/>
        <w:rPr>
          <w:rFonts w:ascii="Tahoma" w:hAnsi="Tahoma" w:cs="Tahoma"/>
          <w:color w:val="000000"/>
        </w:rPr>
      </w:pPr>
      <w:r w:rsidRPr="00304238">
        <w:rPr>
          <w:rFonts w:ascii="Tahoma" w:hAnsi="Tahoma" w:cs="Tahoma"/>
          <w:color w:val="000000" w:themeColor="text1"/>
        </w:rPr>
        <w:t xml:space="preserve">Cabe agregar, finalmente, </w:t>
      </w:r>
      <w:r w:rsidR="0041423C" w:rsidRPr="00304238">
        <w:rPr>
          <w:rFonts w:ascii="Tahoma" w:hAnsi="Tahoma" w:cs="Tahoma"/>
          <w:color w:val="000000" w:themeColor="text1"/>
        </w:rPr>
        <w:t xml:space="preserve">que al respecto tiene fijado la Corte Suprema de Justicia </w:t>
      </w:r>
      <w:r w:rsidR="003A1097" w:rsidRPr="00304238">
        <w:rPr>
          <w:rFonts w:ascii="Tahoma" w:hAnsi="Tahoma" w:cs="Tahoma"/>
          <w:color w:val="000000" w:themeColor="text1"/>
        </w:rPr>
        <w:t xml:space="preserve">que </w:t>
      </w:r>
      <w:bookmarkStart w:id="2" w:name="OLE_LINK190"/>
      <w:r w:rsidR="003A1097" w:rsidRPr="00304238">
        <w:rPr>
          <w:rFonts w:ascii="Tahoma" w:hAnsi="Tahoma" w:cs="Tahoma"/>
          <w:i/>
          <w:color w:val="000000" w:themeColor="text1"/>
        </w:rPr>
        <w:t>“</w:t>
      </w:r>
      <w:r w:rsidR="003A1097" w:rsidRPr="002B2662">
        <w:rPr>
          <w:rFonts w:ascii="Tahoma" w:hAnsi="Tahoma" w:cs="Tahoma"/>
          <w:i/>
          <w:color w:val="000000"/>
          <w:sz w:val="22"/>
        </w:rPr>
        <w:t xml:space="preserve">las pensiones otorgadas con base en los Acuerdos del </w:t>
      </w:r>
      <w:proofErr w:type="spellStart"/>
      <w:r w:rsidR="003A1097" w:rsidRPr="002B2662">
        <w:rPr>
          <w:rFonts w:ascii="Tahoma" w:hAnsi="Tahoma" w:cs="Tahoma"/>
          <w:i/>
          <w:color w:val="000000"/>
          <w:sz w:val="22"/>
        </w:rPr>
        <w:t>ISS</w:t>
      </w:r>
      <w:proofErr w:type="spellEnd"/>
      <w:r w:rsidR="003A1097" w:rsidRPr="002B2662">
        <w:rPr>
          <w:rFonts w:ascii="Tahoma" w:hAnsi="Tahoma" w:cs="Tahoma"/>
          <w:i/>
          <w:color w:val="000000"/>
          <w:sz w:val="22"/>
        </w:rPr>
        <w:t>, quedaron integradas al régimen de prima media con prestación definida, previsto en la Ley 100 de 1993</w:t>
      </w:r>
      <w:r w:rsidR="003A1097" w:rsidRPr="00304238">
        <w:rPr>
          <w:rFonts w:ascii="Tahoma" w:hAnsi="Tahoma" w:cs="Tahoma"/>
          <w:i/>
          <w:color w:val="000000"/>
        </w:rPr>
        <w:t xml:space="preserve">”. </w:t>
      </w:r>
    </w:p>
    <w:bookmarkEnd w:id="2"/>
    <w:p w14:paraId="4806C214" w14:textId="77777777" w:rsidR="0065746C" w:rsidRPr="00304238" w:rsidRDefault="0065746C" w:rsidP="00304238">
      <w:pPr>
        <w:spacing w:line="276" w:lineRule="auto"/>
        <w:ind w:firstLine="708"/>
        <w:jc w:val="both"/>
        <w:rPr>
          <w:rFonts w:ascii="Tahoma" w:hAnsi="Tahoma" w:cs="Tahoma"/>
          <w:color w:val="000000"/>
        </w:rPr>
      </w:pPr>
    </w:p>
    <w:p w14:paraId="46505175" w14:textId="77777777" w:rsidR="003A1097" w:rsidRPr="00304238" w:rsidRDefault="003A1097" w:rsidP="00304238">
      <w:pPr>
        <w:spacing w:line="276" w:lineRule="auto"/>
        <w:ind w:firstLine="708"/>
        <w:jc w:val="both"/>
        <w:rPr>
          <w:rFonts w:ascii="Tahoma" w:hAnsi="Tahoma" w:cs="Tahoma"/>
          <w:color w:val="000000"/>
        </w:rPr>
      </w:pPr>
      <w:r w:rsidRPr="00304238">
        <w:rPr>
          <w:rFonts w:ascii="Tahoma" w:hAnsi="Tahoma" w:cs="Tahoma"/>
          <w:color w:val="000000"/>
        </w:rPr>
        <w:t>A propósito de lo anterior, en la sentencia del 20 de octubre de 2004, radicado 23159, y reiterada en providencias posteriores, como la del 15 y 20 de octubre de 2008, radicaciones 34814 y 30550, respectivamente, la Sala de Casación Laboral de la Corte precisó que</w:t>
      </w:r>
      <w:r w:rsidR="0065746C" w:rsidRPr="00304238">
        <w:rPr>
          <w:rFonts w:ascii="Tahoma" w:hAnsi="Tahoma" w:cs="Tahoma"/>
          <w:color w:val="000000"/>
        </w:rPr>
        <w:t xml:space="preserve"> con arreglo al inciso segundo del artículo 31 de la Ley 100 de 1993</w:t>
      </w:r>
      <w:r w:rsidRPr="00304238">
        <w:rPr>
          <w:rFonts w:ascii="Tahoma" w:hAnsi="Tahoma" w:cs="Tahoma"/>
          <w:color w:val="000000"/>
        </w:rPr>
        <w:t xml:space="preserve"> </w:t>
      </w:r>
      <w:bookmarkStart w:id="3" w:name="OLE_LINK188"/>
      <w:r w:rsidR="0065746C" w:rsidRPr="00304238">
        <w:rPr>
          <w:rFonts w:ascii="Tahoma" w:hAnsi="Tahoma" w:cs="Tahoma"/>
          <w:color w:val="000000"/>
        </w:rPr>
        <w:t>“</w:t>
      </w:r>
      <w:r w:rsidR="0065746C" w:rsidRPr="002B2662">
        <w:rPr>
          <w:rFonts w:ascii="Tahoma" w:hAnsi="Tahoma" w:cs="Tahoma"/>
          <w:i/>
          <w:color w:val="000000"/>
          <w:sz w:val="22"/>
        </w:rPr>
        <w:t>se</w:t>
      </w:r>
      <w:r w:rsidRPr="002B2662">
        <w:rPr>
          <w:rStyle w:val="iaj"/>
          <w:rFonts w:ascii="Tahoma" w:hAnsi="Tahoma" w:cs="Tahoma"/>
          <w:i/>
          <w:iCs/>
          <w:color w:val="000000"/>
          <w:sz w:val="22"/>
        </w:rPr>
        <w:t xml:space="preserve"> incorporó al régimen solidario de prima media con prestación definida las “disposiciones vigentes para los seguros de invalidez, vejez y muerte a cargo del Instituto de Seguros Sociales, con las adiciones, modificaciones y excepciones contenidas en esta ley”, al preceptuar que esas disposiciones le serán aplicables a ese régimen, que, como es suficientemente sabido, es uno de los dos que componen el sistema general de pensiones”</w:t>
      </w:r>
      <w:bookmarkEnd w:id="3"/>
      <w:r w:rsidR="0065746C" w:rsidRPr="00304238">
        <w:rPr>
          <w:rStyle w:val="iaj"/>
          <w:rFonts w:ascii="Tahoma" w:hAnsi="Tahoma" w:cs="Tahoma"/>
          <w:i/>
          <w:iCs/>
          <w:color w:val="000000"/>
        </w:rPr>
        <w:t xml:space="preserve">. </w:t>
      </w:r>
    </w:p>
    <w:p w14:paraId="1251C754" w14:textId="77777777" w:rsidR="003A1097" w:rsidRPr="00304238" w:rsidRDefault="003A1097" w:rsidP="00304238">
      <w:pPr>
        <w:spacing w:line="276" w:lineRule="auto"/>
        <w:ind w:firstLine="708"/>
        <w:jc w:val="both"/>
        <w:rPr>
          <w:rFonts w:ascii="Tahoma" w:hAnsi="Tahoma" w:cs="Tahoma"/>
          <w:color w:val="000000" w:themeColor="text1"/>
        </w:rPr>
      </w:pPr>
    </w:p>
    <w:p w14:paraId="6658A27A" w14:textId="27F8541C" w:rsidR="0065746C" w:rsidRPr="00304238" w:rsidRDefault="0065746C" w:rsidP="002B2662">
      <w:pPr>
        <w:pStyle w:val="Prrafodelista"/>
        <w:numPr>
          <w:ilvl w:val="1"/>
          <w:numId w:val="7"/>
        </w:numPr>
        <w:spacing w:line="276" w:lineRule="auto"/>
        <w:rPr>
          <w:rFonts w:ascii="Tahoma" w:hAnsi="Tahoma" w:cs="Tahoma"/>
          <w:b/>
          <w:bCs/>
          <w:color w:val="000000" w:themeColor="text1"/>
        </w:rPr>
      </w:pPr>
      <w:r w:rsidRPr="00304238">
        <w:rPr>
          <w:rFonts w:ascii="Tahoma" w:hAnsi="Tahoma" w:cs="Tahoma"/>
          <w:b/>
          <w:bCs/>
          <w:color w:val="000000" w:themeColor="text1"/>
        </w:rPr>
        <w:t>CASO CONCRETO</w:t>
      </w:r>
    </w:p>
    <w:p w14:paraId="001DE306" w14:textId="77777777" w:rsidR="002B2662" w:rsidRDefault="002B2662" w:rsidP="002B2662">
      <w:pPr>
        <w:pStyle w:val="NormalWeb"/>
        <w:spacing w:before="0" w:beforeAutospacing="0" w:after="0" w:afterAutospacing="0" w:line="276" w:lineRule="auto"/>
        <w:jc w:val="both"/>
        <w:rPr>
          <w:rFonts w:ascii="Tahoma" w:hAnsi="Tahoma" w:cs="Tahoma"/>
          <w:color w:val="000000"/>
        </w:rPr>
      </w:pPr>
    </w:p>
    <w:p w14:paraId="2AA447F9" w14:textId="2F00490D" w:rsidR="002D4E12" w:rsidRPr="00304238" w:rsidRDefault="00BB035C" w:rsidP="002B2662">
      <w:pPr>
        <w:pStyle w:val="NormalWeb"/>
        <w:spacing w:before="0" w:beforeAutospacing="0" w:after="0" w:afterAutospacing="0" w:line="276" w:lineRule="auto"/>
        <w:jc w:val="both"/>
        <w:rPr>
          <w:rFonts w:ascii="Tahoma" w:hAnsi="Tahoma" w:cs="Tahoma"/>
          <w:lang w:val="es-ES"/>
        </w:rPr>
      </w:pPr>
      <w:r w:rsidRPr="00304238">
        <w:rPr>
          <w:rFonts w:ascii="Tahoma" w:hAnsi="Tahoma" w:cs="Tahoma"/>
          <w:color w:val="000000"/>
        </w:rPr>
        <w:tab/>
        <w:t>Conviene anota</w:t>
      </w:r>
      <w:r w:rsidR="00304260" w:rsidRPr="00304238">
        <w:rPr>
          <w:rFonts w:ascii="Tahoma" w:hAnsi="Tahoma" w:cs="Tahoma"/>
          <w:color w:val="000000"/>
        </w:rPr>
        <w:t>r</w:t>
      </w:r>
      <w:r w:rsidRPr="00304238">
        <w:rPr>
          <w:rFonts w:ascii="Tahoma" w:hAnsi="Tahoma" w:cs="Tahoma"/>
          <w:color w:val="000000"/>
        </w:rPr>
        <w:t xml:space="preserve"> que el apelante plantea que las semanas cotizadas por la actora en España no se le pueden contabilizar para el reconocimiento de la pensión de vejez</w:t>
      </w:r>
      <w:r w:rsidR="006F4CC3" w:rsidRPr="00304238">
        <w:rPr>
          <w:rFonts w:ascii="Tahoma" w:hAnsi="Tahoma" w:cs="Tahoma"/>
          <w:color w:val="000000"/>
        </w:rPr>
        <w:t xml:space="preserve"> que reclama en</w:t>
      </w:r>
      <w:r w:rsidRPr="00304238">
        <w:rPr>
          <w:rFonts w:ascii="Tahoma" w:hAnsi="Tahoma" w:cs="Tahoma"/>
          <w:color w:val="000000"/>
        </w:rPr>
        <w:t xml:space="preserve"> aplicación del régimen de transición previsto en el art</w:t>
      </w:r>
      <w:r w:rsidR="2E00C547" w:rsidRPr="00304238">
        <w:rPr>
          <w:rFonts w:ascii="Tahoma" w:hAnsi="Tahoma" w:cs="Tahoma"/>
          <w:color w:val="000000"/>
        </w:rPr>
        <w:t>ículo</w:t>
      </w:r>
      <w:r w:rsidRPr="00304238">
        <w:rPr>
          <w:rFonts w:ascii="Tahoma" w:hAnsi="Tahoma" w:cs="Tahoma"/>
          <w:color w:val="000000"/>
        </w:rPr>
        <w:t xml:space="preserve"> 36 de la Ley 100 de 1993, al considerar que el campo de aplicación material del convenio de seguridad social celebrado entre Colombia y España (Ley 1112 de </w:t>
      </w:r>
      <w:r w:rsidRPr="00304238">
        <w:rPr>
          <w:rFonts w:ascii="Tahoma" w:hAnsi="Tahoma" w:cs="Tahoma"/>
          <w:color w:val="000000"/>
        </w:rPr>
        <w:lastRenderedPageBreak/>
        <w:t xml:space="preserve">2006), excluye la posibilidad </w:t>
      </w:r>
      <w:r w:rsidR="002D4E12" w:rsidRPr="00304238">
        <w:rPr>
          <w:rFonts w:ascii="Tahoma" w:hAnsi="Tahoma" w:cs="Tahoma"/>
          <w:color w:val="000000"/>
        </w:rPr>
        <w:t xml:space="preserve">de </w:t>
      </w:r>
      <w:r w:rsidR="006F4CC3" w:rsidRPr="00304238">
        <w:rPr>
          <w:rFonts w:ascii="Tahoma" w:hAnsi="Tahoma" w:cs="Tahoma"/>
          <w:color w:val="000000"/>
        </w:rPr>
        <w:t>que se usen</w:t>
      </w:r>
      <w:r w:rsidR="002D4E12" w:rsidRPr="00304238">
        <w:rPr>
          <w:rFonts w:ascii="Tahoma" w:hAnsi="Tahoma" w:cs="Tahoma"/>
          <w:color w:val="000000"/>
        </w:rPr>
        <w:t xml:space="preserve"> estas semanas para pensiones reconocidas antes del surgimiento del Sistema General de Pensiones</w:t>
      </w:r>
      <w:r w:rsidRPr="00304238">
        <w:rPr>
          <w:rFonts w:ascii="Tahoma" w:hAnsi="Tahoma" w:cs="Tahoma"/>
          <w:color w:val="000000"/>
        </w:rPr>
        <w:t xml:space="preserve"> </w:t>
      </w:r>
      <w:r w:rsidR="002D4E12" w:rsidRPr="00304238">
        <w:rPr>
          <w:rFonts w:ascii="Tahoma" w:hAnsi="Tahoma" w:cs="Tahoma"/>
          <w:color w:val="000000"/>
        </w:rPr>
        <w:t xml:space="preserve">que </w:t>
      </w:r>
      <w:r w:rsidR="006F4CC3" w:rsidRPr="00304238">
        <w:rPr>
          <w:rFonts w:ascii="Tahoma" w:hAnsi="Tahoma" w:cs="Tahoma"/>
          <w:color w:val="000000"/>
        </w:rPr>
        <w:t>nació</w:t>
      </w:r>
      <w:r w:rsidR="002D4E12" w:rsidRPr="00304238">
        <w:rPr>
          <w:rFonts w:ascii="Tahoma" w:hAnsi="Tahoma" w:cs="Tahoma"/>
          <w:color w:val="000000"/>
        </w:rPr>
        <w:t xml:space="preserve"> con la </w:t>
      </w:r>
      <w:proofErr w:type="spellStart"/>
      <w:r w:rsidR="002D4E12" w:rsidRPr="00304238">
        <w:rPr>
          <w:rFonts w:ascii="Tahoma" w:hAnsi="Tahoma" w:cs="Tahoma"/>
          <w:color w:val="000000"/>
        </w:rPr>
        <w:t>pluricitada</w:t>
      </w:r>
      <w:proofErr w:type="spellEnd"/>
      <w:r w:rsidR="002D4E12" w:rsidRPr="00304238">
        <w:rPr>
          <w:rFonts w:ascii="Tahoma" w:hAnsi="Tahoma" w:cs="Tahoma"/>
          <w:color w:val="000000"/>
        </w:rPr>
        <w:t xml:space="preserve"> Ley 100 de 1993.</w:t>
      </w:r>
      <w:r w:rsidR="006F4CC3" w:rsidRPr="00304238">
        <w:rPr>
          <w:rFonts w:ascii="Tahoma" w:hAnsi="Tahoma" w:cs="Tahoma"/>
          <w:color w:val="000000"/>
        </w:rPr>
        <w:t xml:space="preserve"> </w:t>
      </w:r>
      <w:r w:rsidR="002D4E12" w:rsidRPr="00304238">
        <w:rPr>
          <w:rFonts w:ascii="Tahoma" w:hAnsi="Tahoma" w:cs="Tahoma"/>
          <w:color w:val="000000"/>
        </w:rPr>
        <w:t>Como atrás se explic</w:t>
      </w:r>
      <w:r w:rsidR="00DE061E" w:rsidRPr="00304238">
        <w:rPr>
          <w:rFonts w:ascii="Tahoma" w:hAnsi="Tahoma" w:cs="Tahoma"/>
          <w:color w:val="000000"/>
        </w:rPr>
        <w:t xml:space="preserve">ó, este </w:t>
      </w:r>
      <w:r w:rsidR="002D4E12" w:rsidRPr="00304238">
        <w:rPr>
          <w:rFonts w:ascii="Tahoma" w:hAnsi="Tahoma" w:cs="Tahoma"/>
          <w:color w:val="000000"/>
        </w:rPr>
        <w:t>argumento de la apelación es</w:t>
      </w:r>
      <w:r w:rsidR="00DE061E" w:rsidRPr="00304238">
        <w:rPr>
          <w:rFonts w:ascii="Tahoma" w:hAnsi="Tahoma" w:cs="Tahoma"/>
          <w:color w:val="000000"/>
        </w:rPr>
        <w:t xml:space="preserve"> totalmente</w:t>
      </w:r>
      <w:r w:rsidR="002D4E12" w:rsidRPr="00304238">
        <w:rPr>
          <w:rFonts w:ascii="Tahoma" w:hAnsi="Tahoma" w:cs="Tahoma"/>
          <w:color w:val="000000"/>
        </w:rPr>
        <w:t xml:space="preserve"> equivocó</w:t>
      </w:r>
      <w:r w:rsidR="00B26E4B" w:rsidRPr="00304238">
        <w:rPr>
          <w:rFonts w:ascii="Tahoma" w:hAnsi="Tahoma" w:cs="Tahoma"/>
          <w:color w:val="000000"/>
        </w:rPr>
        <w:t xml:space="preserve">, </w:t>
      </w:r>
      <w:r w:rsidR="00DE061E" w:rsidRPr="00304238">
        <w:rPr>
          <w:rFonts w:ascii="Tahoma" w:hAnsi="Tahoma" w:cs="Tahoma"/>
          <w:color w:val="000000"/>
        </w:rPr>
        <w:t xml:space="preserve">toda vez que las </w:t>
      </w:r>
      <w:r w:rsidR="00B26E4B" w:rsidRPr="00304238">
        <w:rPr>
          <w:rFonts w:ascii="Tahoma" w:hAnsi="Tahoma" w:cs="Tahoma"/>
          <w:color w:val="000000"/>
        </w:rPr>
        <w:t xml:space="preserve">pensiones otorgadas con base en los acuerdos del </w:t>
      </w:r>
      <w:proofErr w:type="spellStart"/>
      <w:r w:rsidR="00B26E4B" w:rsidRPr="00304238">
        <w:rPr>
          <w:rFonts w:ascii="Tahoma" w:hAnsi="Tahoma" w:cs="Tahoma"/>
          <w:color w:val="000000"/>
        </w:rPr>
        <w:t>ISS</w:t>
      </w:r>
      <w:proofErr w:type="spellEnd"/>
      <w:r w:rsidR="00B26E4B" w:rsidRPr="00304238">
        <w:rPr>
          <w:rFonts w:ascii="Tahoma" w:hAnsi="Tahoma" w:cs="Tahoma"/>
          <w:color w:val="000000"/>
        </w:rPr>
        <w:t>, en este caso con el Acuerdo 049 de 1990, quedaron</w:t>
      </w:r>
      <w:r w:rsidR="00DE061E" w:rsidRPr="00304238">
        <w:rPr>
          <w:rFonts w:ascii="Tahoma" w:hAnsi="Tahoma" w:cs="Tahoma"/>
          <w:color w:val="000000"/>
        </w:rPr>
        <w:t xml:space="preserve"> automáticamente</w:t>
      </w:r>
      <w:r w:rsidR="00B26E4B" w:rsidRPr="00304238">
        <w:rPr>
          <w:rFonts w:ascii="Tahoma" w:hAnsi="Tahoma" w:cs="Tahoma"/>
          <w:color w:val="000000"/>
        </w:rPr>
        <w:t xml:space="preserve"> incorporadas al régimen de prima media con prestación definida previsto en la Ley 100 de 1993</w:t>
      </w:r>
      <w:r w:rsidR="00DE061E" w:rsidRPr="00304238">
        <w:rPr>
          <w:rFonts w:ascii="Tahoma" w:hAnsi="Tahoma" w:cs="Tahoma"/>
          <w:color w:val="000000"/>
        </w:rPr>
        <w:t>, y</w:t>
      </w:r>
      <w:r w:rsidR="006F4CC3" w:rsidRPr="00304238">
        <w:rPr>
          <w:rFonts w:ascii="Tahoma" w:hAnsi="Tahoma" w:cs="Tahoma"/>
          <w:color w:val="000000"/>
        </w:rPr>
        <w:t>a que</w:t>
      </w:r>
      <w:r w:rsidR="00DE061E" w:rsidRPr="00304238">
        <w:rPr>
          <w:rFonts w:ascii="Tahoma" w:hAnsi="Tahoma" w:cs="Tahoma"/>
          <w:color w:val="000000"/>
        </w:rPr>
        <w:t xml:space="preserve"> en el mismo convenio al que se viene haciendo referencia, se indica que el mismo se aplicará en Colombia a la</w:t>
      </w:r>
      <w:r w:rsidR="00DE061E" w:rsidRPr="00304238">
        <w:rPr>
          <w:rFonts w:ascii="Tahoma" w:hAnsi="Tahoma" w:cs="Tahoma"/>
          <w:i/>
          <w:iCs/>
          <w:lang w:val="es-ES"/>
        </w:rPr>
        <w:t xml:space="preserve"> </w:t>
      </w:r>
      <w:r w:rsidR="002D4E12" w:rsidRPr="00304238">
        <w:rPr>
          <w:rFonts w:ascii="Tahoma" w:hAnsi="Tahoma" w:cs="Tahoma"/>
          <w:i/>
          <w:iCs/>
          <w:lang w:val="es-ES"/>
        </w:rPr>
        <w:t xml:space="preserve"> </w:t>
      </w:r>
      <w:r w:rsidR="00DE061E" w:rsidRPr="00304238">
        <w:rPr>
          <w:rFonts w:ascii="Tahoma" w:hAnsi="Tahoma" w:cs="Tahoma"/>
          <w:i/>
          <w:iCs/>
          <w:lang w:val="es-ES"/>
        </w:rPr>
        <w:t>“</w:t>
      </w:r>
      <w:r w:rsidR="002D4E12" w:rsidRPr="002B2662">
        <w:rPr>
          <w:rFonts w:ascii="Tahoma" w:hAnsi="Tahoma" w:cs="Tahoma"/>
          <w:i/>
          <w:iCs/>
          <w:sz w:val="22"/>
          <w:u w:val="single"/>
          <w:lang w:val="es-ES"/>
        </w:rPr>
        <w:t>legislación relativa a las prestaciones económicas dispuestas en el Sistema General de Pensiones</w:t>
      </w:r>
      <w:r w:rsidR="002D4E12" w:rsidRPr="002B2662">
        <w:rPr>
          <w:rFonts w:ascii="Tahoma" w:hAnsi="Tahoma" w:cs="Tahoma"/>
          <w:i/>
          <w:iCs/>
          <w:sz w:val="22"/>
          <w:lang w:val="es-ES"/>
        </w:rPr>
        <w:t xml:space="preserve"> (prima media con Prestación Definida y Ahorro Individual con Solidaridad), en cuanto a vejez, invalidez y sobrevivientes, de origen común</w:t>
      </w:r>
      <w:r w:rsidR="002D4E12" w:rsidRPr="00304238">
        <w:rPr>
          <w:rFonts w:ascii="Tahoma" w:hAnsi="Tahoma" w:cs="Tahoma"/>
          <w:i/>
          <w:iCs/>
          <w:lang w:val="es-ES"/>
        </w:rPr>
        <w:t>”</w:t>
      </w:r>
      <w:r w:rsidR="002D4E12" w:rsidRPr="00304238">
        <w:rPr>
          <w:rFonts w:ascii="Tahoma" w:hAnsi="Tahoma" w:cs="Tahoma"/>
          <w:lang w:val="es-ES"/>
        </w:rPr>
        <w:t xml:space="preserve">. </w:t>
      </w:r>
    </w:p>
    <w:p w14:paraId="4C2D8D3C" w14:textId="77777777" w:rsidR="007B570A" w:rsidRPr="00304238" w:rsidRDefault="007B570A" w:rsidP="002B2662">
      <w:pPr>
        <w:pStyle w:val="NormalWeb"/>
        <w:spacing w:before="0" w:beforeAutospacing="0" w:after="0" w:afterAutospacing="0" w:line="276" w:lineRule="auto"/>
        <w:jc w:val="both"/>
        <w:rPr>
          <w:rFonts w:ascii="Tahoma" w:hAnsi="Tahoma" w:cs="Tahoma"/>
          <w:lang w:val="es-ES"/>
        </w:rPr>
      </w:pPr>
    </w:p>
    <w:p w14:paraId="5CD03D99" w14:textId="617B48DD" w:rsidR="001D05B2" w:rsidRPr="00304238" w:rsidRDefault="00D43B85" w:rsidP="002B2662">
      <w:pPr>
        <w:pStyle w:val="NormalWeb"/>
        <w:spacing w:before="0" w:beforeAutospacing="0" w:after="0" w:afterAutospacing="0" w:line="276" w:lineRule="auto"/>
        <w:jc w:val="both"/>
        <w:rPr>
          <w:rFonts w:ascii="Tahoma" w:hAnsi="Tahoma" w:cs="Tahoma"/>
          <w:lang w:val="es-ES"/>
        </w:rPr>
      </w:pPr>
      <w:r w:rsidRPr="00304238">
        <w:rPr>
          <w:rFonts w:ascii="Tahoma" w:hAnsi="Tahoma" w:cs="Tahoma"/>
          <w:lang w:val="es-ES"/>
        </w:rPr>
        <w:tab/>
        <w:t xml:space="preserve">En este orden de ideas, se denegará el recurso de apelación propuesto por la entidad demandada, pues acierta la falladora de primera instancia al </w:t>
      </w:r>
      <w:r w:rsidR="001D05B2" w:rsidRPr="00304238">
        <w:rPr>
          <w:rFonts w:ascii="Tahoma" w:hAnsi="Tahoma" w:cs="Tahoma"/>
          <w:lang w:val="es-ES"/>
        </w:rPr>
        <w:t xml:space="preserve">acceder a </w:t>
      </w:r>
      <w:r w:rsidRPr="00304238">
        <w:rPr>
          <w:rFonts w:ascii="Tahoma" w:hAnsi="Tahoma" w:cs="Tahoma"/>
          <w:lang w:val="es-ES"/>
        </w:rPr>
        <w:t>sumar los aportes pensionales que la</w:t>
      </w:r>
      <w:r w:rsidR="001D05B2" w:rsidRPr="00304238">
        <w:rPr>
          <w:rFonts w:ascii="Tahoma" w:hAnsi="Tahoma" w:cs="Tahoma"/>
          <w:lang w:val="es-ES"/>
        </w:rPr>
        <w:t xml:space="preserve"> actora efectuó en España al cúmulo de</w:t>
      </w:r>
      <w:r w:rsidR="0B1CDB7C" w:rsidRPr="00304238">
        <w:rPr>
          <w:rFonts w:ascii="Tahoma" w:hAnsi="Tahoma" w:cs="Tahoma"/>
          <w:lang w:val="es-ES"/>
        </w:rPr>
        <w:t xml:space="preserve"> semanas</w:t>
      </w:r>
      <w:r w:rsidR="001D05B2" w:rsidRPr="00304238">
        <w:rPr>
          <w:rFonts w:ascii="Tahoma" w:hAnsi="Tahoma" w:cs="Tahoma"/>
          <w:lang w:val="es-ES"/>
        </w:rPr>
        <w:t xml:space="preserve"> </w:t>
      </w:r>
      <w:r w:rsidR="0E12C7CA" w:rsidRPr="00304238">
        <w:rPr>
          <w:rFonts w:ascii="Tahoma" w:hAnsi="Tahoma" w:cs="Tahoma"/>
          <w:lang w:val="es-ES"/>
        </w:rPr>
        <w:t>cotizadas</w:t>
      </w:r>
      <w:r w:rsidR="001D05B2" w:rsidRPr="00304238">
        <w:rPr>
          <w:rFonts w:ascii="Tahoma" w:hAnsi="Tahoma" w:cs="Tahoma"/>
          <w:lang w:val="es-ES"/>
        </w:rPr>
        <w:t xml:space="preserve"> </w:t>
      </w:r>
      <w:r w:rsidRPr="00304238">
        <w:rPr>
          <w:rFonts w:ascii="Tahoma" w:hAnsi="Tahoma" w:cs="Tahoma"/>
          <w:lang w:val="es-ES"/>
        </w:rPr>
        <w:t>acreditad</w:t>
      </w:r>
      <w:r w:rsidR="112BB0AC" w:rsidRPr="00304238">
        <w:rPr>
          <w:rFonts w:ascii="Tahoma" w:hAnsi="Tahoma" w:cs="Tahoma"/>
          <w:lang w:val="es-ES"/>
        </w:rPr>
        <w:t>a</w:t>
      </w:r>
      <w:r w:rsidRPr="00304238">
        <w:rPr>
          <w:rFonts w:ascii="Tahoma" w:hAnsi="Tahoma" w:cs="Tahoma"/>
          <w:lang w:val="es-ES"/>
        </w:rPr>
        <w:t xml:space="preserve">s en Colombia, con independencia de que </w:t>
      </w:r>
      <w:r w:rsidR="30190557" w:rsidRPr="00304238">
        <w:rPr>
          <w:rFonts w:ascii="Tahoma" w:hAnsi="Tahoma" w:cs="Tahoma"/>
          <w:lang w:val="es-ES"/>
        </w:rPr>
        <w:t>aquellas</w:t>
      </w:r>
      <w:r w:rsidRPr="00304238">
        <w:rPr>
          <w:rFonts w:ascii="Tahoma" w:hAnsi="Tahoma" w:cs="Tahoma"/>
          <w:lang w:val="es-ES"/>
        </w:rPr>
        <w:t xml:space="preserve"> se acumulen para el reconocimiento del régimen de transición</w:t>
      </w:r>
      <w:r w:rsidR="001D05B2" w:rsidRPr="00304238">
        <w:rPr>
          <w:rFonts w:ascii="Tahoma" w:hAnsi="Tahoma" w:cs="Tahoma"/>
          <w:lang w:val="es-ES"/>
        </w:rPr>
        <w:t>, pues dicho régimen y las normas</w:t>
      </w:r>
      <w:r w:rsidR="1BD94D41" w:rsidRPr="00304238">
        <w:rPr>
          <w:rFonts w:ascii="Tahoma" w:hAnsi="Tahoma" w:cs="Tahoma"/>
          <w:lang w:val="es-ES"/>
        </w:rPr>
        <w:t xml:space="preserve"> anteriores</w:t>
      </w:r>
      <w:r w:rsidR="001D05B2" w:rsidRPr="00304238">
        <w:rPr>
          <w:rFonts w:ascii="Tahoma" w:hAnsi="Tahoma" w:cs="Tahoma"/>
          <w:lang w:val="es-ES"/>
        </w:rPr>
        <w:t xml:space="preserve"> a las que remite, son aplicables al régimen de prima media con prestación definida, que es uno de los dos regímenes que compone el Sistema General de Pensiones.</w:t>
      </w:r>
    </w:p>
    <w:p w14:paraId="159B1202" w14:textId="77777777" w:rsidR="002B2662" w:rsidRDefault="002B2662" w:rsidP="002B2662">
      <w:pPr>
        <w:pStyle w:val="NormalWeb"/>
        <w:spacing w:before="0" w:beforeAutospacing="0" w:after="0" w:afterAutospacing="0" w:line="276" w:lineRule="auto"/>
        <w:jc w:val="both"/>
        <w:rPr>
          <w:rFonts w:ascii="Tahoma" w:hAnsi="Tahoma" w:cs="Tahoma"/>
          <w:lang w:val="es-ES"/>
        </w:rPr>
      </w:pPr>
    </w:p>
    <w:p w14:paraId="504D7621" w14:textId="6FDAB49F" w:rsidR="00FC4511" w:rsidRDefault="001D05B2" w:rsidP="002B2662">
      <w:pPr>
        <w:pStyle w:val="NormalWeb"/>
        <w:spacing w:before="0" w:beforeAutospacing="0" w:after="0" w:afterAutospacing="0" w:line="276" w:lineRule="auto"/>
        <w:jc w:val="both"/>
        <w:rPr>
          <w:rFonts w:ascii="Tahoma" w:hAnsi="Tahoma" w:cs="Tahoma"/>
          <w:lang w:val="es-ES"/>
        </w:rPr>
      </w:pPr>
      <w:r w:rsidRPr="00304238">
        <w:rPr>
          <w:rFonts w:ascii="Tahoma" w:hAnsi="Tahoma" w:cs="Tahoma"/>
          <w:lang w:val="es-ES"/>
        </w:rPr>
        <w:tab/>
        <w:t>Aclarado lo anterior, se procede a revisar en sede de consulta la legalidad de la condena impuesta a la entidad pú</w:t>
      </w:r>
      <w:r w:rsidR="00FC4511" w:rsidRPr="00304238">
        <w:rPr>
          <w:rFonts w:ascii="Tahoma" w:hAnsi="Tahoma" w:cs="Tahoma"/>
          <w:lang w:val="es-ES"/>
        </w:rPr>
        <w:t>blica demand</w:t>
      </w:r>
      <w:r w:rsidR="00E83E25">
        <w:rPr>
          <w:rFonts w:ascii="Tahoma" w:hAnsi="Tahoma" w:cs="Tahoma"/>
          <w:lang w:val="es-ES"/>
        </w:rPr>
        <w:t>ad</w:t>
      </w:r>
      <w:r w:rsidR="00FC4511" w:rsidRPr="00304238">
        <w:rPr>
          <w:rFonts w:ascii="Tahoma" w:hAnsi="Tahoma" w:cs="Tahoma"/>
          <w:lang w:val="es-ES"/>
        </w:rPr>
        <w:t xml:space="preserve">a, para lo cual se observa, en primer término, que la demandante conservó los beneficios del régimen de transición establecido en el artículo 36 de la Ley 100 de 1993 hasta el 31 de diciembre de 2014, por las siguientes razones: </w:t>
      </w:r>
    </w:p>
    <w:p w14:paraId="790E8C60" w14:textId="77777777" w:rsidR="002B2662" w:rsidRPr="00304238" w:rsidRDefault="002B2662" w:rsidP="002B2662">
      <w:pPr>
        <w:pStyle w:val="NormalWeb"/>
        <w:spacing w:before="0" w:beforeAutospacing="0" w:after="0" w:afterAutospacing="0" w:line="276" w:lineRule="auto"/>
        <w:jc w:val="both"/>
        <w:rPr>
          <w:rFonts w:ascii="Tahoma" w:hAnsi="Tahoma" w:cs="Tahoma"/>
          <w:lang w:val="es-ES"/>
        </w:rPr>
      </w:pPr>
    </w:p>
    <w:p w14:paraId="610110CC" w14:textId="3A1D36D5" w:rsidR="00FC4511" w:rsidRDefault="00FC4511" w:rsidP="002B2662">
      <w:pPr>
        <w:pStyle w:val="NormalWeb"/>
        <w:spacing w:before="0" w:beforeAutospacing="0" w:after="0" w:afterAutospacing="0" w:line="276" w:lineRule="auto"/>
        <w:ind w:firstLine="708"/>
        <w:jc w:val="both"/>
        <w:rPr>
          <w:rFonts w:ascii="Tahoma" w:hAnsi="Tahoma" w:cs="Tahoma"/>
          <w:lang w:val="es-ES"/>
        </w:rPr>
      </w:pPr>
      <w:r w:rsidRPr="00304238">
        <w:rPr>
          <w:rFonts w:ascii="Tahoma" w:hAnsi="Tahoma" w:cs="Tahoma"/>
          <w:b/>
          <w:bCs/>
          <w:lang w:val="es-ES"/>
        </w:rPr>
        <w:t>1)</w:t>
      </w:r>
      <w:r w:rsidRPr="00304238">
        <w:rPr>
          <w:rFonts w:ascii="Tahoma" w:hAnsi="Tahoma" w:cs="Tahoma"/>
          <w:lang w:val="es-ES"/>
        </w:rPr>
        <w:t xml:space="preserve"> Tenía más de 35 años de edad al 1º de abril de 1994 (fecha de entrada en vigencia de la citada norma).</w:t>
      </w:r>
    </w:p>
    <w:p w14:paraId="3E2C292E" w14:textId="77777777" w:rsidR="002B2662" w:rsidRPr="00304238" w:rsidRDefault="002B2662" w:rsidP="002B2662">
      <w:pPr>
        <w:pStyle w:val="NormalWeb"/>
        <w:spacing w:before="0" w:beforeAutospacing="0" w:after="0" w:afterAutospacing="0" w:line="276" w:lineRule="auto"/>
        <w:ind w:firstLine="708"/>
        <w:jc w:val="both"/>
        <w:rPr>
          <w:rFonts w:ascii="Tahoma" w:hAnsi="Tahoma" w:cs="Tahoma"/>
          <w:lang w:val="es-ES"/>
        </w:rPr>
      </w:pPr>
    </w:p>
    <w:p w14:paraId="0C86F5B9" w14:textId="1013C4A0" w:rsidR="00FC4511" w:rsidRPr="00304238" w:rsidRDefault="00FC4511" w:rsidP="002B2662">
      <w:pPr>
        <w:pStyle w:val="NormalWeb"/>
        <w:spacing w:before="0" w:beforeAutospacing="0" w:after="0" w:afterAutospacing="0" w:line="276" w:lineRule="auto"/>
        <w:ind w:firstLine="708"/>
        <w:jc w:val="both"/>
        <w:rPr>
          <w:rFonts w:ascii="Tahoma" w:hAnsi="Tahoma" w:cs="Tahoma"/>
          <w:lang w:val="es-ES"/>
        </w:rPr>
      </w:pPr>
      <w:r w:rsidRPr="00304238">
        <w:rPr>
          <w:rFonts w:ascii="Tahoma" w:hAnsi="Tahoma" w:cs="Tahoma"/>
          <w:b/>
          <w:bCs/>
          <w:lang w:val="es-ES"/>
        </w:rPr>
        <w:t>2)</w:t>
      </w:r>
      <w:r w:rsidRPr="00304238">
        <w:rPr>
          <w:rFonts w:ascii="Tahoma" w:hAnsi="Tahoma" w:cs="Tahoma"/>
          <w:lang w:val="es-ES"/>
        </w:rPr>
        <w:t xml:space="preserve"> Acreditaba más de 750 semanas</w:t>
      </w:r>
      <w:r w:rsidR="00406723" w:rsidRPr="00304238">
        <w:rPr>
          <w:rFonts w:ascii="Tahoma" w:hAnsi="Tahoma" w:cs="Tahoma"/>
          <w:lang w:val="es-ES"/>
        </w:rPr>
        <w:t xml:space="preserve"> cotizadas</w:t>
      </w:r>
      <w:r w:rsidRPr="00304238">
        <w:rPr>
          <w:rFonts w:ascii="Tahoma" w:hAnsi="Tahoma" w:cs="Tahoma"/>
          <w:lang w:val="es-ES"/>
        </w:rPr>
        <w:t xml:space="preserve"> (exactamente </w:t>
      </w:r>
      <w:r w:rsidR="00406723" w:rsidRPr="00304238">
        <w:rPr>
          <w:rFonts w:ascii="Tahoma" w:hAnsi="Tahoma" w:cs="Tahoma"/>
          <w:lang w:val="es-ES"/>
        </w:rPr>
        <w:t>843 semanas</w:t>
      </w:r>
      <w:r w:rsidRPr="00304238">
        <w:rPr>
          <w:rFonts w:ascii="Tahoma" w:hAnsi="Tahoma" w:cs="Tahoma"/>
          <w:lang w:val="es-ES"/>
        </w:rPr>
        <w:t>) al 29 de julio de 2005, fecha de entrada en vigencia del Acto Legislativo 01 de 2005, que impuso como límite al régimen de transición el 31 de julio de 2010 y máximo el 31 de diciembre de 2014, para quienes como la demandante tuvieran más de 750 semanas a la fecha de promulgación del citado acto.</w:t>
      </w:r>
    </w:p>
    <w:p w14:paraId="146EF0D8" w14:textId="77777777" w:rsidR="002B2662" w:rsidRDefault="002B2662" w:rsidP="002B2662">
      <w:pPr>
        <w:pStyle w:val="NormalWeb"/>
        <w:spacing w:before="0" w:beforeAutospacing="0" w:after="0" w:afterAutospacing="0" w:line="276" w:lineRule="auto"/>
        <w:ind w:firstLine="708"/>
        <w:jc w:val="both"/>
        <w:rPr>
          <w:rFonts w:ascii="Tahoma" w:hAnsi="Tahoma" w:cs="Tahoma"/>
          <w:lang w:val="es-ES"/>
        </w:rPr>
      </w:pPr>
    </w:p>
    <w:p w14:paraId="7909470F" w14:textId="3B5CE43D" w:rsidR="002A6AD5" w:rsidRDefault="00FC4511" w:rsidP="002B2662">
      <w:pPr>
        <w:pStyle w:val="NormalWeb"/>
        <w:spacing w:before="0" w:beforeAutospacing="0" w:after="0" w:afterAutospacing="0" w:line="276" w:lineRule="auto"/>
        <w:ind w:firstLine="708"/>
        <w:jc w:val="both"/>
        <w:rPr>
          <w:rFonts w:ascii="Tahoma" w:hAnsi="Tahoma" w:cs="Tahoma"/>
          <w:lang w:val="es-ES"/>
        </w:rPr>
      </w:pPr>
      <w:r w:rsidRPr="00304238">
        <w:rPr>
          <w:rFonts w:ascii="Tahoma" w:hAnsi="Tahoma" w:cs="Tahoma"/>
          <w:lang w:val="es-ES"/>
        </w:rPr>
        <w:t xml:space="preserve">Siguiendo ese hilo, solo resta verificar si también acreditó los requisitos para acceder a la pensión de vejez </w:t>
      </w:r>
      <w:r w:rsidR="002A6AD5" w:rsidRPr="00304238">
        <w:rPr>
          <w:rFonts w:ascii="Tahoma" w:hAnsi="Tahoma" w:cs="Tahoma"/>
          <w:lang w:val="es-ES"/>
        </w:rPr>
        <w:t>en los términos del Acuerdo 049 de 1990 (como lo solicita) antes de la fecha límite del régimen de transición, información que se puede extraer de la Resolución No.</w:t>
      </w:r>
      <w:r w:rsidR="00620DB9" w:rsidRPr="00304238">
        <w:rPr>
          <w:rFonts w:ascii="Tahoma" w:hAnsi="Tahoma" w:cs="Tahoma"/>
          <w:lang w:val="es-ES"/>
        </w:rPr>
        <w:t xml:space="preserve"> </w:t>
      </w:r>
      <w:proofErr w:type="spellStart"/>
      <w:r w:rsidR="00620DB9" w:rsidRPr="00304238">
        <w:rPr>
          <w:rFonts w:ascii="Tahoma" w:hAnsi="Tahoma" w:cs="Tahoma"/>
          <w:lang w:val="es-ES"/>
        </w:rPr>
        <w:t>GNR138007</w:t>
      </w:r>
      <w:proofErr w:type="spellEnd"/>
      <w:r w:rsidR="00B80687" w:rsidRPr="00304238">
        <w:rPr>
          <w:rFonts w:ascii="Tahoma" w:hAnsi="Tahoma" w:cs="Tahoma"/>
          <w:lang w:val="es-ES"/>
        </w:rPr>
        <w:t xml:space="preserve"> del 10 de mayo de 2016</w:t>
      </w:r>
      <w:r w:rsidR="002A6AD5" w:rsidRPr="00304238">
        <w:rPr>
          <w:rFonts w:ascii="Tahoma" w:hAnsi="Tahoma" w:cs="Tahoma"/>
          <w:lang w:val="es-ES"/>
        </w:rPr>
        <w:t xml:space="preserve">, por medio de la cual COLPENSIONES le negó la pensión reclamada, en la cual aceptó que la demandante nació </w:t>
      </w:r>
      <w:r w:rsidR="00406723" w:rsidRPr="00304238">
        <w:rPr>
          <w:rFonts w:ascii="Tahoma" w:hAnsi="Tahoma" w:cs="Tahoma"/>
          <w:lang w:val="es-ES"/>
        </w:rPr>
        <w:t>el 6 de octubre</w:t>
      </w:r>
      <w:r w:rsidR="00B80687" w:rsidRPr="00304238">
        <w:rPr>
          <w:rFonts w:ascii="Tahoma" w:hAnsi="Tahoma" w:cs="Tahoma"/>
          <w:lang w:val="es-ES"/>
        </w:rPr>
        <w:t xml:space="preserve"> de 1957</w:t>
      </w:r>
      <w:r w:rsidR="002A6AD5" w:rsidRPr="00304238">
        <w:rPr>
          <w:rFonts w:ascii="Tahoma" w:hAnsi="Tahoma" w:cs="Tahoma"/>
          <w:lang w:val="es-ES"/>
        </w:rPr>
        <w:t>, de modo q</w:t>
      </w:r>
      <w:r w:rsidR="00406723" w:rsidRPr="00304238">
        <w:rPr>
          <w:rFonts w:ascii="Tahoma" w:hAnsi="Tahoma" w:cs="Tahoma"/>
          <w:lang w:val="es-ES"/>
        </w:rPr>
        <w:t>ue llegó a la edad de 55 años en la misma fecha del año 2012</w:t>
      </w:r>
      <w:r w:rsidR="68B613FC" w:rsidRPr="00304238">
        <w:rPr>
          <w:rFonts w:ascii="Tahoma" w:hAnsi="Tahoma" w:cs="Tahoma"/>
          <w:lang w:val="es-ES"/>
        </w:rPr>
        <w:t xml:space="preserve">. En cuanto a la densidad de semanas, se indica en esta </w:t>
      </w:r>
      <w:r w:rsidR="0859CC3B" w:rsidRPr="00304238">
        <w:rPr>
          <w:rFonts w:ascii="Tahoma" w:hAnsi="Tahoma" w:cs="Tahoma"/>
          <w:lang w:val="es-ES"/>
        </w:rPr>
        <w:t>r</w:t>
      </w:r>
      <w:r w:rsidR="68B613FC" w:rsidRPr="00304238">
        <w:rPr>
          <w:rFonts w:ascii="Tahoma" w:hAnsi="Tahoma" w:cs="Tahoma"/>
          <w:lang w:val="es-ES"/>
        </w:rPr>
        <w:t>esolución</w:t>
      </w:r>
      <w:r w:rsidR="74D48C46" w:rsidRPr="00304238">
        <w:rPr>
          <w:rFonts w:ascii="Tahoma" w:hAnsi="Tahoma" w:cs="Tahoma"/>
          <w:lang w:val="es-ES"/>
        </w:rPr>
        <w:t xml:space="preserve"> que la </w:t>
      </w:r>
      <w:r w:rsidR="5BFF1153" w:rsidRPr="00304238">
        <w:rPr>
          <w:rFonts w:ascii="Tahoma" w:hAnsi="Tahoma" w:cs="Tahoma"/>
          <w:lang w:val="es-ES"/>
        </w:rPr>
        <w:t xml:space="preserve">afiliada </w:t>
      </w:r>
      <w:r w:rsidR="050CD9FD" w:rsidRPr="00304238">
        <w:rPr>
          <w:rFonts w:ascii="Tahoma" w:hAnsi="Tahoma" w:cs="Tahoma"/>
          <w:lang w:val="es-ES"/>
        </w:rPr>
        <w:t>acredita 1143 semanas cotizadas al</w:t>
      </w:r>
      <w:r w:rsidR="2467C1EE" w:rsidRPr="00304238">
        <w:rPr>
          <w:rFonts w:ascii="Tahoma" w:hAnsi="Tahoma" w:cs="Tahoma"/>
          <w:lang w:val="es-ES"/>
        </w:rPr>
        <w:t xml:space="preserve"> 30 de noviembre de 2014 (fecha de su última cotización)</w:t>
      </w:r>
      <w:r w:rsidR="002A6AD5" w:rsidRPr="00304238">
        <w:rPr>
          <w:rFonts w:ascii="Tahoma" w:hAnsi="Tahoma" w:cs="Tahoma"/>
          <w:lang w:val="es-ES"/>
        </w:rPr>
        <w:t>, que resultan de la suma de sus cotizaciones en Colombia y España, tal como también se reconoce en la misma resolución</w:t>
      </w:r>
      <w:r w:rsidR="32A7ECBE" w:rsidRPr="00304238">
        <w:rPr>
          <w:rFonts w:ascii="Tahoma" w:hAnsi="Tahoma" w:cs="Tahoma"/>
          <w:lang w:val="es-ES"/>
        </w:rPr>
        <w:t xml:space="preserve">, donde </w:t>
      </w:r>
      <w:r w:rsidR="32A7ECBE" w:rsidRPr="00304238">
        <w:rPr>
          <w:rFonts w:ascii="Tahoma" w:hAnsi="Tahoma" w:cs="Tahoma"/>
          <w:lang w:val="es-ES"/>
        </w:rPr>
        <w:lastRenderedPageBreak/>
        <w:t>se indica que acredita 5617 días de cotiz</w:t>
      </w:r>
      <w:r w:rsidR="35DEB03B" w:rsidRPr="00304238">
        <w:rPr>
          <w:rFonts w:ascii="Tahoma" w:hAnsi="Tahoma" w:cs="Tahoma"/>
          <w:lang w:val="es-ES"/>
        </w:rPr>
        <w:t xml:space="preserve">aciones en Colombia y 2504 días en España, </w:t>
      </w:r>
      <w:r w:rsidR="26FDCE3F" w:rsidRPr="00304238">
        <w:rPr>
          <w:rFonts w:ascii="Tahoma" w:hAnsi="Tahoma" w:cs="Tahoma"/>
          <w:lang w:val="es-ES"/>
        </w:rPr>
        <w:t xml:space="preserve">certificados a través </w:t>
      </w:r>
      <w:r w:rsidR="35DEB03B" w:rsidRPr="00304238">
        <w:rPr>
          <w:rFonts w:ascii="Tahoma" w:hAnsi="Tahoma" w:cs="Tahoma"/>
          <w:lang w:val="es-ES"/>
        </w:rPr>
        <w:t>de</w:t>
      </w:r>
      <w:r w:rsidR="49C82430" w:rsidRPr="00304238">
        <w:rPr>
          <w:rFonts w:ascii="Tahoma" w:hAnsi="Tahoma" w:cs="Tahoma"/>
          <w:lang w:val="es-ES"/>
        </w:rPr>
        <w:t>l formulario ES/CO-02, de</w:t>
      </w:r>
      <w:r w:rsidR="35DEB03B" w:rsidRPr="00304238">
        <w:rPr>
          <w:rFonts w:ascii="Tahoma" w:hAnsi="Tahoma" w:cs="Tahoma"/>
          <w:lang w:val="es-ES"/>
        </w:rPr>
        <w:t xml:space="preserve"> las cuales se desc</w:t>
      </w:r>
      <w:r w:rsidR="60503F7B" w:rsidRPr="00304238">
        <w:rPr>
          <w:rFonts w:ascii="Tahoma" w:hAnsi="Tahoma" w:cs="Tahoma"/>
          <w:lang w:val="es-ES"/>
        </w:rPr>
        <w:t xml:space="preserve">ontaron </w:t>
      </w:r>
      <w:r w:rsidR="35DEB03B" w:rsidRPr="00304238">
        <w:rPr>
          <w:rFonts w:ascii="Tahoma" w:hAnsi="Tahoma" w:cs="Tahoma"/>
          <w:lang w:val="es-ES"/>
        </w:rPr>
        <w:t xml:space="preserve">119 </w:t>
      </w:r>
      <w:r w:rsidR="5A09120F" w:rsidRPr="00304238">
        <w:rPr>
          <w:rFonts w:ascii="Tahoma" w:hAnsi="Tahoma" w:cs="Tahoma"/>
          <w:lang w:val="es-ES"/>
        </w:rPr>
        <w:t>días que se encontraban cotizados de manera simultánea o su</w:t>
      </w:r>
      <w:r w:rsidR="6248C65B" w:rsidRPr="00304238">
        <w:rPr>
          <w:rFonts w:ascii="Tahoma" w:hAnsi="Tahoma" w:cs="Tahoma"/>
          <w:lang w:val="es-ES"/>
        </w:rPr>
        <w:t>perpuesta con periodos cotizad</w:t>
      </w:r>
      <w:r w:rsidR="47483E27" w:rsidRPr="00304238">
        <w:rPr>
          <w:rFonts w:ascii="Tahoma" w:hAnsi="Tahoma" w:cs="Tahoma"/>
          <w:lang w:val="es-ES"/>
        </w:rPr>
        <w:t>os en Colombia</w:t>
      </w:r>
      <w:r w:rsidR="57413373" w:rsidRPr="00304238">
        <w:rPr>
          <w:rFonts w:ascii="Tahoma" w:hAnsi="Tahoma" w:cs="Tahoma"/>
          <w:lang w:val="es-ES"/>
        </w:rPr>
        <w:t>, para un total de 2385 cotizados en España.</w:t>
      </w:r>
    </w:p>
    <w:p w14:paraId="7DD7B828" w14:textId="77777777" w:rsidR="002B2662" w:rsidRPr="00304238" w:rsidRDefault="002B2662" w:rsidP="002B2662">
      <w:pPr>
        <w:pStyle w:val="NormalWeb"/>
        <w:spacing w:before="0" w:beforeAutospacing="0" w:after="0" w:afterAutospacing="0" w:line="276" w:lineRule="auto"/>
        <w:ind w:firstLine="708"/>
        <w:jc w:val="both"/>
        <w:rPr>
          <w:rFonts w:ascii="Tahoma" w:hAnsi="Tahoma" w:cs="Tahoma"/>
          <w:lang w:val="es-ES"/>
        </w:rPr>
      </w:pPr>
    </w:p>
    <w:p w14:paraId="5CAA93C8" w14:textId="3E04221C" w:rsidR="00E70784" w:rsidRPr="00304238" w:rsidRDefault="002A6AD5" w:rsidP="002B2662">
      <w:pPr>
        <w:pStyle w:val="NormalWeb"/>
        <w:spacing w:before="0" w:beforeAutospacing="0" w:after="0" w:afterAutospacing="0" w:line="276" w:lineRule="auto"/>
        <w:ind w:firstLine="708"/>
        <w:jc w:val="both"/>
        <w:rPr>
          <w:rFonts w:ascii="Tahoma" w:hAnsi="Tahoma" w:cs="Tahoma"/>
          <w:i/>
          <w:iCs/>
          <w:color w:val="000000"/>
        </w:rPr>
      </w:pPr>
      <w:r w:rsidRPr="00304238">
        <w:rPr>
          <w:rFonts w:ascii="Tahoma" w:hAnsi="Tahoma" w:cs="Tahoma"/>
          <w:lang w:val="es-ES"/>
        </w:rPr>
        <w:t>Con apoyo en lo anterior, se concluye que</w:t>
      </w:r>
      <w:r w:rsidR="3B8E19D7" w:rsidRPr="00304238">
        <w:rPr>
          <w:rFonts w:ascii="Tahoma" w:hAnsi="Tahoma" w:cs="Tahoma"/>
          <w:lang w:val="es-ES"/>
        </w:rPr>
        <w:t xml:space="preserve"> la actora</w:t>
      </w:r>
      <w:r w:rsidRPr="00304238">
        <w:rPr>
          <w:rFonts w:ascii="Tahoma" w:hAnsi="Tahoma" w:cs="Tahoma"/>
          <w:lang w:val="es-ES"/>
        </w:rPr>
        <w:t xml:space="preserve"> reúne los requisitos para pensionarse en los términos del artículo 13 del Acuerdo 049 de 1990, que exige como requisitos para acceder a la prestación por vejez </w:t>
      </w:r>
      <w:r w:rsidR="00E70784" w:rsidRPr="00304238">
        <w:rPr>
          <w:rFonts w:ascii="Tahoma" w:hAnsi="Tahoma" w:cs="Tahoma"/>
          <w:lang w:val="es-ES"/>
        </w:rPr>
        <w:t xml:space="preserve">la edad de </w:t>
      </w:r>
      <w:r w:rsidR="00E70784" w:rsidRPr="002B2662">
        <w:rPr>
          <w:rFonts w:ascii="Tahoma" w:hAnsi="Tahoma" w:cs="Tahoma"/>
          <w:iCs/>
          <w:lang w:val="es-ES"/>
        </w:rPr>
        <w:t>“</w:t>
      </w:r>
      <w:r w:rsidR="00E70784" w:rsidRPr="002B2662">
        <w:rPr>
          <w:rFonts w:ascii="Tahoma" w:hAnsi="Tahoma" w:cs="Tahoma"/>
          <w:i/>
          <w:iCs/>
          <w:sz w:val="22"/>
          <w:lang w:val="es-ES"/>
        </w:rPr>
        <w:t>sesenta</w:t>
      </w:r>
      <w:r w:rsidR="00E70784" w:rsidRPr="002B2662">
        <w:rPr>
          <w:rFonts w:ascii="Tahoma" w:hAnsi="Tahoma" w:cs="Tahoma"/>
          <w:i/>
          <w:iCs/>
          <w:color w:val="000000" w:themeColor="text1"/>
          <w:sz w:val="22"/>
        </w:rPr>
        <w:t xml:space="preserve"> (60) o más si se es varón o cincuenta y cinco (55) o más años de edad, si se es mujer y,</w:t>
      </w:r>
      <w:r w:rsidR="006E6FA5" w:rsidRPr="002B2662">
        <w:rPr>
          <w:rFonts w:ascii="Tahoma" w:hAnsi="Tahoma" w:cs="Tahoma"/>
          <w:i/>
          <w:iCs/>
          <w:sz w:val="22"/>
          <w:lang w:val="es-ES"/>
        </w:rPr>
        <w:t xml:space="preserve"> </w:t>
      </w:r>
      <w:r w:rsidR="006E6FA5" w:rsidRPr="002B2662">
        <w:rPr>
          <w:rFonts w:ascii="Tahoma" w:hAnsi="Tahoma" w:cs="Tahoma"/>
          <w:i/>
          <w:iCs/>
          <w:color w:val="000000" w:themeColor="text1"/>
          <w:sz w:val="22"/>
        </w:rPr>
        <w:t>u</w:t>
      </w:r>
      <w:r w:rsidR="00E70784" w:rsidRPr="002B2662">
        <w:rPr>
          <w:rFonts w:ascii="Tahoma" w:hAnsi="Tahoma" w:cs="Tahoma"/>
          <w:i/>
          <w:iCs/>
          <w:color w:val="000000" w:themeColor="text1"/>
          <w:sz w:val="22"/>
        </w:rPr>
        <w:t>n mínimo de quinientas (500) semanas de cotización pagadas durante los últimos veinte (20) años anteriores al cumplimiento de las edades mínimas, o haber acreditado un número de un mil (1.0.00) semanas de cotización, sufragadas en cualquier tiempo</w:t>
      </w:r>
      <w:r w:rsidR="006E6FA5" w:rsidRPr="00304238">
        <w:rPr>
          <w:rFonts w:ascii="Tahoma" w:hAnsi="Tahoma" w:cs="Tahoma"/>
          <w:i/>
          <w:iCs/>
          <w:color w:val="000000" w:themeColor="text1"/>
        </w:rPr>
        <w:t>”</w:t>
      </w:r>
      <w:r w:rsidR="00E70784" w:rsidRPr="00304238">
        <w:rPr>
          <w:rFonts w:ascii="Tahoma" w:hAnsi="Tahoma" w:cs="Tahoma"/>
          <w:i/>
          <w:iCs/>
          <w:color w:val="000000" w:themeColor="text1"/>
        </w:rPr>
        <w:t>.</w:t>
      </w:r>
    </w:p>
    <w:p w14:paraId="64976483" w14:textId="77777777" w:rsidR="002B2662" w:rsidRDefault="002B2662" w:rsidP="002B2662">
      <w:pPr>
        <w:pStyle w:val="NormalWeb"/>
        <w:spacing w:before="0" w:beforeAutospacing="0" w:after="0" w:afterAutospacing="0" w:line="276" w:lineRule="auto"/>
        <w:ind w:firstLine="708"/>
        <w:jc w:val="both"/>
        <w:rPr>
          <w:rFonts w:ascii="Tahoma" w:hAnsi="Tahoma" w:cs="Tahoma"/>
          <w:color w:val="000000" w:themeColor="text1"/>
        </w:rPr>
      </w:pPr>
    </w:p>
    <w:p w14:paraId="75CDB22E" w14:textId="03B4DD4A" w:rsidR="006E6FA5" w:rsidRPr="00304238" w:rsidRDefault="006E6FA5" w:rsidP="002B2662">
      <w:pPr>
        <w:pStyle w:val="NormalWeb"/>
        <w:spacing w:before="0" w:beforeAutospacing="0" w:after="0" w:afterAutospacing="0" w:line="276" w:lineRule="auto"/>
        <w:ind w:firstLine="708"/>
        <w:jc w:val="both"/>
        <w:rPr>
          <w:rFonts w:ascii="Tahoma" w:hAnsi="Tahoma" w:cs="Tahoma"/>
          <w:color w:val="000000"/>
        </w:rPr>
      </w:pPr>
      <w:r w:rsidRPr="00304238">
        <w:rPr>
          <w:rFonts w:ascii="Tahoma" w:hAnsi="Tahoma" w:cs="Tahoma"/>
          <w:color w:val="000000" w:themeColor="text1"/>
        </w:rPr>
        <w:t>En cuanto al monto de la prestación</w:t>
      </w:r>
      <w:r w:rsidR="15F1EC69" w:rsidRPr="00304238">
        <w:rPr>
          <w:rFonts w:ascii="Tahoma" w:hAnsi="Tahoma" w:cs="Tahoma"/>
          <w:color w:val="000000" w:themeColor="text1"/>
        </w:rPr>
        <w:t xml:space="preserve"> y la cuantificación de la condena</w:t>
      </w:r>
      <w:r w:rsidRPr="00304238">
        <w:rPr>
          <w:rFonts w:ascii="Tahoma" w:hAnsi="Tahoma" w:cs="Tahoma"/>
          <w:color w:val="000000" w:themeColor="text1"/>
        </w:rPr>
        <w:t>, aplicada al asunto la Ley 1112 de 2006, aprobatoria del Convenio de Seguridad Social entre la República de Colombia y el Reino de España, que, como atrás se vio, permite acumular semanas cotizadas en ambos países, se observa que la jueza acierta al calcular el monto de la pensión teórica con los periodos de cotización efectuados por la actora en Colombia</w:t>
      </w:r>
      <w:r w:rsidR="40481D55" w:rsidRPr="00304238">
        <w:rPr>
          <w:rFonts w:ascii="Tahoma" w:hAnsi="Tahoma" w:cs="Tahoma"/>
          <w:color w:val="000000" w:themeColor="text1"/>
        </w:rPr>
        <w:t xml:space="preserve">, </w:t>
      </w:r>
      <w:r w:rsidRPr="00304238">
        <w:rPr>
          <w:rFonts w:ascii="Tahoma" w:hAnsi="Tahoma" w:cs="Tahoma"/>
          <w:color w:val="000000" w:themeColor="text1"/>
        </w:rPr>
        <w:t>distribuyendo su pago a prorrata o en proporción al periodo de seguro o cotización cumplido en cada país, correspondiéndole en consecuencia el 72% de</w:t>
      </w:r>
      <w:r w:rsidR="7E833DA7" w:rsidRPr="00304238">
        <w:rPr>
          <w:rFonts w:ascii="Tahoma" w:hAnsi="Tahoma" w:cs="Tahoma"/>
          <w:color w:val="000000" w:themeColor="text1"/>
        </w:rPr>
        <w:t xml:space="preserve">l pago de </w:t>
      </w:r>
      <w:r w:rsidRPr="00304238">
        <w:rPr>
          <w:rFonts w:ascii="Tahoma" w:hAnsi="Tahoma" w:cs="Tahoma"/>
          <w:color w:val="000000" w:themeColor="text1"/>
        </w:rPr>
        <w:t>ese monto a COLPENSIONES, quien tiene a su cargo el abono de tal</w:t>
      </w:r>
      <w:r w:rsidR="5EA755CD" w:rsidRPr="00304238">
        <w:rPr>
          <w:rFonts w:ascii="Tahoma" w:hAnsi="Tahoma" w:cs="Tahoma"/>
          <w:color w:val="000000" w:themeColor="text1"/>
        </w:rPr>
        <w:t>es</w:t>
      </w:r>
      <w:r w:rsidRPr="00304238">
        <w:rPr>
          <w:rFonts w:ascii="Tahoma" w:hAnsi="Tahoma" w:cs="Tahoma"/>
          <w:color w:val="000000" w:themeColor="text1"/>
        </w:rPr>
        <w:t xml:space="preserve"> resulta</w:t>
      </w:r>
      <w:r w:rsidR="1B1EB98B" w:rsidRPr="00304238">
        <w:rPr>
          <w:rFonts w:ascii="Tahoma" w:hAnsi="Tahoma" w:cs="Tahoma"/>
          <w:color w:val="000000" w:themeColor="text1"/>
        </w:rPr>
        <w:t>s</w:t>
      </w:r>
      <w:r w:rsidRPr="00304238">
        <w:rPr>
          <w:rFonts w:ascii="Tahoma" w:hAnsi="Tahoma" w:cs="Tahoma"/>
          <w:color w:val="000000" w:themeColor="text1"/>
        </w:rPr>
        <w:t xml:space="preserve"> a la actora</w:t>
      </w:r>
      <w:r w:rsidR="331A68BB" w:rsidRPr="00304238">
        <w:rPr>
          <w:rFonts w:ascii="Tahoma" w:hAnsi="Tahoma" w:cs="Tahoma"/>
          <w:color w:val="000000" w:themeColor="text1"/>
        </w:rPr>
        <w:t xml:space="preserve"> </w:t>
      </w:r>
      <w:r w:rsidR="00F16BEF" w:rsidRPr="00304238">
        <w:rPr>
          <w:rFonts w:ascii="Tahoma" w:hAnsi="Tahoma" w:cs="Tahoma"/>
          <w:color w:val="000000" w:themeColor="text1"/>
        </w:rPr>
        <w:t xml:space="preserve">desde el 26 de marzo de 2015, fecha en que elevó solicitud pensional a COLPENSIONES. </w:t>
      </w:r>
    </w:p>
    <w:p w14:paraId="78C97B98" w14:textId="77777777" w:rsidR="002B2662" w:rsidRDefault="002B2662" w:rsidP="002B2662">
      <w:pPr>
        <w:pStyle w:val="NormalWeb"/>
        <w:spacing w:before="0" w:beforeAutospacing="0" w:after="0" w:afterAutospacing="0" w:line="276" w:lineRule="auto"/>
        <w:ind w:firstLine="708"/>
        <w:jc w:val="both"/>
        <w:rPr>
          <w:rFonts w:ascii="Tahoma" w:hAnsi="Tahoma" w:cs="Tahoma"/>
          <w:color w:val="000000" w:themeColor="text1"/>
        </w:rPr>
      </w:pPr>
    </w:p>
    <w:p w14:paraId="5707CAFE" w14:textId="51679E6F" w:rsidR="00F16BEF" w:rsidRPr="00304238" w:rsidRDefault="00F16BEF" w:rsidP="002B2662">
      <w:pPr>
        <w:pStyle w:val="NormalWeb"/>
        <w:spacing w:before="0" w:beforeAutospacing="0" w:after="0" w:afterAutospacing="0" w:line="276" w:lineRule="auto"/>
        <w:ind w:firstLine="708"/>
        <w:jc w:val="both"/>
        <w:rPr>
          <w:rFonts w:ascii="Tahoma" w:hAnsi="Tahoma" w:cs="Tahoma"/>
          <w:color w:val="000000" w:themeColor="text1"/>
        </w:rPr>
      </w:pPr>
      <w:r w:rsidRPr="00304238">
        <w:rPr>
          <w:rFonts w:ascii="Tahoma" w:hAnsi="Tahoma" w:cs="Tahoma"/>
          <w:color w:val="000000" w:themeColor="text1"/>
        </w:rPr>
        <w:t xml:space="preserve">Finalmente, efectuada la liquidación de la pensión teórica en esta instancia, se observa que el guarismo de la </w:t>
      </w:r>
      <w:r w:rsidRPr="00304238">
        <w:rPr>
          <w:rFonts w:ascii="Tahoma" w:hAnsi="Tahoma" w:cs="Tahoma"/>
          <w:i/>
          <w:iCs/>
          <w:color w:val="000000" w:themeColor="text1"/>
        </w:rPr>
        <w:t>a-quo</w:t>
      </w:r>
      <w:r w:rsidRPr="00304238">
        <w:rPr>
          <w:rFonts w:ascii="Tahoma" w:hAnsi="Tahoma" w:cs="Tahoma"/>
          <w:color w:val="000000" w:themeColor="text1"/>
        </w:rPr>
        <w:t xml:space="preserve"> coincide a cabalidad con el monto de tal operación por la Sala</w:t>
      </w:r>
      <w:r w:rsidR="4BC479EB" w:rsidRPr="00304238">
        <w:rPr>
          <w:rFonts w:ascii="Tahoma" w:hAnsi="Tahoma" w:cs="Tahoma"/>
          <w:color w:val="000000" w:themeColor="text1"/>
        </w:rPr>
        <w:t>, que equivale al Salario Mínimo Legal Mensual Vigente,</w:t>
      </w:r>
      <w:r w:rsidRPr="00304238">
        <w:rPr>
          <w:rFonts w:ascii="Tahoma" w:hAnsi="Tahoma" w:cs="Tahoma"/>
          <w:color w:val="000000" w:themeColor="text1"/>
        </w:rPr>
        <w:t xml:space="preserve"> de modo que se confirmará el fallo de primer grado, actualizando la condena a la fecha de corte del mes anterior a la emisión de esta sentencia (</w:t>
      </w:r>
      <w:r w:rsidR="7A260EE5" w:rsidRPr="00304238">
        <w:rPr>
          <w:rFonts w:ascii="Tahoma" w:hAnsi="Tahoma" w:cs="Tahoma"/>
          <w:color w:val="000000" w:themeColor="text1"/>
        </w:rPr>
        <w:t>$36.913.660</w:t>
      </w:r>
      <w:r w:rsidRPr="00304238">
        <w:rPr>
          <w:rFonts w:ascii="Tahoma" w:hAnsi="Tahoma" w:cs="Tahoma"/>
          <w:color w:val="000000" w:themeColor="text1"/>
        </w:rPr>
        <w:t xml:space="preserve">). </w:t>
      </w:r>
      <w:r w:rsidR="13C39C3E" w:rsidRPr="00304238">
        <w:rPr>
          <w:rFonts w:ascii="Tahoma" w:hAnsi="Tahoma" w:cs="Tahoma"/>
          <w:color w:val="000000" w:themeColor="text1"/>
        </w:rPr>
        <w:t>Conforme a la liquidación que hace parte de la presente providencia.</w:t>
      </w:r>
    </w:p>
    <w:p w14:paraId="4360EF4F" w14:textId="77777777" w:rsidR="002B2662" w:rsidRDefault="002B2662" w:rsidP="002B2662">
      <w:pPr>
        <w:pStyle w:val="NormalWeb"/>
        <w:spacing w:before="0" w:beforeAutospacing="0" w:after="0" w:afterAutospacing="0" w:line="276" w:lineRule="auto"/>
        <w:ind w:firstLine="708"/>
        <w:jc w:val="both"/>
        <w:rPr>
          <w:rFonts w:ascii="Tahoma" w:hAnsi="Tahoma" w:cs="Tahoma"/>
          <w:color w:val="000000" w:themeColor="text1"/>
        </w:rPr>
      </w:pPr>
    </w:p>
    <w:p w14:paraId="46A52F02" w14:textId="5905EDB9" w:rsidR="00F16BEF" w:rsidRPr="00304238" w:rsidRDefault="00F16BEF" w:rsidP="002B2662">
      <w:pPr>
        <w:pStyle w:val="NormalWeb"/>
        <w:spacing w:before="0" w:beforeAutospacing="0" w:after="0" w:afterAutospacing="0" w:line="276" w:lineRule="auto"/>
        <w:ind w:firstLine="708"/>
        <w:jc w:val="both"/>
        <w:rPr>
          <w:rFonts w:ascii="Tahoma" w:hAnsi="Tahoma" w:cs="Tahoma"/>
          <w:color w:val="000000" w:themeColor="text1"/>
        </w:rPr>
      </w:pPr>
      <w:r w:rsidRPr="00304238">
        <w:rPr>
          <w:rFonts w:ascii="Tahoma" w:hAnsi="Tahoma" w:cs="Tahoma"/>
          <w:color w:val="000000" w:themeColor="text1"/>
        </w:rPr>
        <w:t xml:space="preserve">En lo que atañe al pago de intereses moratorios, también se confirmará esta condena, pues </w:t>
      </w:r>
      <w:r w:rsidR="089B3461" w:rsidRPr="00304238">
        <w:rPr>
          <w:rFonts w:ascii="Tahoma" w:hAnsi="Tahoma" w:cs="Tahoma"/>
          <w:color w:val="000000" w:themeColor="text1"/>
        </w:rPr>
        <w:t>se advierte que sin</w:t>
      </w:r>
      <w:r w:rsidRPr="00304238">
        <w:rPr>
          <w:rFonts w:ascii="Tahoma" w:hAnsi="Tahoma" w:cs="Tahoma"/>
          <w:color w:val="000000" w:themeColor="text1"/>
        </w:rPr>
        <w:t xml:space="preserve"> justificación alguna la entidad demandada ha demorado el pago oportuno de la prestación económica a la que ti</w:t>
      </w:r>
      <w:r w:rsidR="0059368A" w:rsidRPr="00304238">
        <w:rPr>
          <w:rFonts w:ascii="Tahoma" w:hAnsi="Tahoma" w:cs="Tahoma"/>
          <w:color w:val="000000" w:themeColor="text1"/>
        </w:rPr>
        <w:t xml:space="preserve">ene derecho la actora desde </w:t>
      </w:r>
      <w:r w:rsidR="2DB576B9" w:rsidRPr="00304238">
        <w:rPr>
          <w:rFonts w:ascii="Tahoma" w:hAnsi="Tahoma" w:cs="Tahoma"/>
          <w:color w:val="000000" w:themeColor="text1"/>
        </w:rPr>
        <w:t>2</w:t>
      </w:r>
      <w:r w:rsidR="0059368A" w:rsidRPr="00304238">
        <w:rPr>
          <w:rFonts w:ascii="Tahoma" w:hAnsi="Tahoma" w:cs="Tahoma"/>
          <w:color w:val="000000" w:themeColor="text1"/>
        </w:rPr>
        <w:t xml:space="preserve">6 de </w:t>
      </w:r>
      <w:r w:rsidR="27732344" w:rsidRPr="00304238">
        <w:rPr>
          <w:rFonts w:ascii="Tahoma" w:hAnsi="Tahoma" w:cs="Tahoma"/>
          <w:color w:val="000000" w:themeColor="text1"/>
        </w:rPr>
        <w:t>marzo</w:t>
      </w:r>
      <w:r w:rsidRPr="00304238">
        <w:rPr>
          <w:rFonts w:ascii="Tahoma" w:hAnsi="Tahoma" w:cs="Tahoma"/>
          <w:color w:val="000000" w:themeColor="text1"/>
        </w:rPr>
        <w:t xml:space="preserve"> de 2015, en razón de lo cual debe</w:t>
      </w:r>
      <w:r w:rsidR="63F35FDA" w:rsidRPr="00304238">
        <w:rPr>
          <w:rFonts w:ascii="Tahoma" w:hAnsi="Tahoma" w:cs="Tahoma"/>
          <w:color w:val="000000" w:themeColor="text1"/>
        </w:rPr>
        <w:t>rá</w:t>
      </w:r>
      <w:r w:rsidRPr="00304238">
        <w:rPr>
          <w:rFonts w:ascii="Tahoma" w:hAnsi="Tahoma" w:cs="Tahoma"/>
          <w:color w:val="000000" w:themeColor="text1"/>
        </w:rPr>
        <w:t xml:space="preserve"> pagar sobre el importe de la mesada los intereses a la tasa máxima </w:t>
      </w:r>
      <w:r w:rsidR="0059368A" w:rsidRPr="00304238">
        <w:rPr>
          <w:rFonts w:ascii="Tahoma" w:hAnsi="Tahoma" w:cs="Tahoma"/>
          <w:color w:val="000000" w:themeColor="text1"/>
        </w:rPr>
        <w:t xml:space="preserve">de usura desde el </w:t>
      </w:r>
      <w:r w:rsidR="37EECEA4" w:rsidRPr="00304238">
        <w:rPr>
          <w:rFonts w:ascii="Tahoma" w:hAnsi="Tahoma" w:cs="Tahoma"/>
          <w:color w:val="000000" w:themeColor="text1"/>
        </w:rPr>
        <w:t xml:space="preserve">27 </w:t>
      </w:r>
      <w:r w:rsidR="0059368A" w:rsidRPr="00304238">
        <w:rPr>
          <w:rFonts w:ascii="Tahoma" w:hAnsi="Tahoma" w:cs="Tahoma"/>
          <w:color w:val="000000" w:themeColor="text1"/>
        </w:rPr>
        <w:t xml:space="preserve">de </w:t>
      </w:r>
      <w:r w:rsidR="663714B4" w:rsidRPr="00304238">
        <w:rPr>
          <w:rFonts w:ascii="Tahoma" w:hAnsi="Tahoma" w:cs="Tahoma"/>
          <w:color w:val="000000" w:themeColor="text1"/>
        </w:rPr>
        <w:t>julio</w:t>
      </w:r>
      <w:r w:rsidRPr="00304238">
        <w:rPr>
          <w:rFonts w:ascii="Tahoma" w:hAnsi="Tahoma" w:cs="Tahoma"/>
          <w:color w:val="000000" w:themeColor="text1"/>
        </w:rPr>
        <w:t xml:space="preserve"> de 2015, esto es, a partir del cuarto mes contado desde la</w:t>
      </w:r>
      <w:r w:rsidR="7ADD80BC" w:rsidRPr="00304238">
        <w:rPr>
          <w:rFonts w:ascii="Tahoma" w:hAnsi="Tahoma" w:cs="Tahoma"/>
          <w:color w:val="000000" w:themeColor="text1"/>
        </w:rPr>
        <w:t xml:space="preserve"> radicación de tal</w:t>
      </w:r>
      <w:r w:rsidRPr="00304238">
        <w:rPr>
          <w:rFonts w:ascii="Tahoma" w:hAnsi="Tahoma" w:cs="Tahoma"/>
          <w:color w:val="000000" w:themeColor="text1"/>
        </w:rPr>
        <w:t xml:space="preserve"> solicitud, tal y como se ordenó en sede de primer grado. </w:t>
      </w:r>
    </w:p>
    <w:p w14:paraId="5EF6F6A5" w14:textId="77777777" w:rsidR="002B2662" w:rsidRDefault="002B2662" w:rsidP="002B2662">
      <w:pPr>
        <w:pStyle w:val="NormalWeb"/>
        <w:spacing w:before="0" w:beforeAutospacing="0" w:after="0" w:afterAutospacing="0" w:line="276" w:lineRule="auto"/>
        <w:ind w:firstLine="708"/>
        <w:jc w:val="both"/>
        <w:rPr>
          <w:rFonts w:ascii="Tahoma" w:hAnsi="Tahoma" w:cs="Tahoma"/>
          <w:color w:val="000000" w:themeColor="text1"/>
        </w:rPr>
      </w:pPr>
    </w:p>
    <w:p w14:paraId="47221BE0" w14:textId="610722EB" w:rsidR="00F16BEF" w:rsidRPr="00304238" w:rsidRDefault="00F16BEF" w:rsidP="002B2662">
      <w:pPr>
        <w:pStyle w:val="NormalWeb"/>
        <w:spacing w:before="0" w:beforeAutospacing="0" w:after="0" w:afterAutospacing="0" w:line="276" w:lineRule="auto"/>
        <w:ind w:firstLine="708"/>
        <w:jc w:val="both"/>
        <w:rPr>
          <w:rFonts w:ascii="Tahoma" w:eastAsia="Tahoma" w:hAnsi="Tahoma" w:cs="Tahoma"/>
          <w:lang w:val="es-ES"/>
        </w:rPr>
      </w:pPr>
      <w:r w:rsidRPr="00304238">
        <w:rPr>
          <w:rFonts w:ascii="Tahoma" w:hAnsi="Tahoma" w:cs="Tahoma"/>
          <w:color w:val="000000" w:themeColor="text1"/>
        </w:rPr>
        <w:t>Las costas en esta instancia correrán por cuenta de</w:t>
      </w:r>
      <w:r w:rsidR="2BDBE4A6" w:rsidRPr="00304238">
        <w:rPr>
          <w:rFonts w:ascii="Tahoma" w:hAnsi="Tahoma" w:cs="Tahoma"/>
          <w:color w:val="000000" w:themeColor="text1"/>
        </w:rPr>
        <w:t xml:space="preserve"> la ADMINISTRADORA COLOMBIANA DE PENSIONES</w:t>
      </w:r>
      <w:r w:rsidRPr="00304238">
        <w:rPr>
          <w:rFonts w:ascii="Tahoma" w:hAnsi="Tahoma" w:cs="Tahoma"/>
          <w:color w:val="000000" w:themeColor="text1"/>
        </w:rPr>
        <w:t xml:space="preserve"> </w:t>
      </w:r>
      <w:r w:rsidR="00E83E25">
        <w:rPr>
          <w:rFonts w:ascii="Tahoma" w:hAnsi="Tahoma" w:cs="Tahoma"/>
          <w:color w:val="000000" w:themeColor="text1"/>
        </w:rPr>
        <w:t xml:space="preserve">– </w:t>
      </w:r>
      <w:r w:rsidRPr="00304238">
        <w:rPr>
          <w:rFonts w:ascii="Tahoma" w:hAnsi="Tahoma" w:cs="Tahoma"/>
          <w:color w:val="000000" w:themeColor="text1"/>
        </w:rPr>
        <w:t>COLPENSIONES, por no haber prosperado su recurso. Liquídense por la secretaría del juzgado de origen.</w:t>
      </w:r>
    </w:p>
    <w:p w14:paraId="256CEE19" w14:textId="77777777" w:rsidR="002B2662" w:rsidRDefault="002B2662" w:rsidP="002B2662">
      <w:pPr>
        <w:pStyle w:val="NormalWeb"/>
        <w:spacing w:before="0" w:beforeAutospacing="0" w:after="0" w:afterAutospacing="0" w:line="276" w:lineRule="auto"/>
        <w:ind w:firstLine="708"/>
        <w:jc w:val="both"/>
        <w:rPr>
          <w:rFonts w:ascii="Tahoma" w:eastAsia="Tahoma" w:hAnsi="Tahoma" w:cs="Tahoma"/>
          <w:lang w:val="es-ES"/>
        </w:rPr>
      </w:pPr>
    </w:p>
    <w:p w14:paraId="2F6D6E8F" w14:textId="021AA0F5" w:rsidR="714B79C3" w:rsidRDefault="714B79C3" w:rsidP="002B2662">
      <w:pPr>
        <w:pStyle w:val="NormalWeb"/>
        <w:spacing w:before="0" w:beforeAutospacing="0" w:after="0" w:afterAutospacing="0" w:line="276" w:lineRule="auto"/>
        <w:ind w:firstLine="708"/>
        <w:jc w:val="both"/>
        <w:rPr>
          <w:rFonts w:ascii="Tahoma" w:eastAsia="Tahoma" w:hAnsi="Tahoma" w:cs="Tahoma"/>
          <w:lang w:val="es-ES"/>
        </w:rPr>
      </w:pPr>
      <w:r w:rsidRPr="00304238">
        <w:rPr>
          <w:rFonts w:ascii="Tahoma" w:eastAsia="Tahoma" w:hAnsi="Tahoma" w:cs="Tahoma"/>
          <w:lang w:val="es-ES"/>
        </w:rPr>
        <w:t xml:space="preserve">En mérito de lo expuesto, el </w:t>
      </w:r>
      <w:r w:rsidRPr="00304238">
        <w:rPr>
          <w:rFonts w:ascii="Tahoma" w:eastAsia="Tahoma" w:hAnsi="Tahoma" w:cs="Tahoma"/>
          <w:b/>
          <w:bCs/>
          <w:lang w:val="es-ES"/>
        </w:rPr>
        <w:t>Tribunal Superior del Distrito Judicial de Pereira (Risaralda)</w:t>
      </w:r>
      <w:r w:rsidRPr="00304238">
        <w:rPr>
          <w:rFonts w:ascii="Tahoma" w:eastAsia="Tahoma" w:hAnsi="Tahoma" w:cs="Tahoma"/>
          <w:lang w:val="es-ES"/>
        </w:rPr>
        <w:t xml:space="preserve">, </w:t>
      </w:r>
      <w:r w:rsidRPr="00304238">
        <w:rPr>
          <w:rFonts w:ascii="Tahoma" w:eastAsia="Tahoma" w:hAnsi="Tahoma" w:cs="Tahoma"/>
          <w:b/>
          <w:bCs/>
          <w:lang w:val="es-ES"/>
        </w:rPr>
        <w:t>Sala de Decisión Laboral No. 1</w:t>
      </w:r>
      <w:r w:rsidRPr="00304238">
        <w:rPr>
          <w:rFonts w:ascii="Tahoma" w:eastAsia="Tahoma" w:hAnsi="Tahoma" w:cs="Tahoma"/>
          <w:lang w:val="es-ES"/>
        </w:rPr>
        <w:t>, administrando justicia en nombre de la República y por autoridad de la Ley,</w:t>
      </w:r>
    </w:p>
    <w:p w14:paraId="0B390477" w14:textId="77777777" w:rsidR="002B2662" w:rsidRPr="00304238" w:rsidRDefault="002B2662" w:rsidP="002B2662">
      <w:pPr>
        <w:pStyle w:val="NormalWeb"/>
        <w:spacing w:before="0" w:beforeAutospacing="0" w:after="0" w:afterAutospacing="0" w:line="276" w:lineRule="auto"/>
        <w:ind w:firstLine="708"/>
        <w:jc w:val="both"/>
        <w:rPr>
          <w:rFonts w:ascii="Tahoma" w:eastAsia="Tahoma" w:hAnsi="Tahoma" w:cs="Tahoma"/>
          <w:lang w:val="es-ES"/>
        </w:rPr>
      </w:pPr>
    </w:p>
    <w:p w14:paraId="7EC4A16D" w14:textId="31B5135E" w:rsidR="714B79C3" w:rsidRPr="00304238" w:rsidRDefault="714B79C3" w:rsidP="00304238">
      <w:pPr>
        <w:pStyle w:val="Sinespaciado"/>
        <w:spacing w:line="276" w:lineRule="auto"/>
        <w:jc w:val="center"/>
        <w:rPr>
          <w:rFonts w:ascii="Tahoma" w:eastAsia="Tahoma" w:hAnsi="Tahoma" w:cs="Tahoma"/>
          <w:lang w:val="es-ES"/>
        </w:rPr>
      </w:pPr>
      <w:r w:rsidRPr="00304238">
        <w:rPr>
          <w:rFonts w:ascii="Tahoma" w:eastAsia="Tahoma" w:hAnsi="Tahoma" w:cs="Tahoma"/>
          <w:b/>
          <w:bCs/>
          <w:lang w:val="es-ES"/>
        </w:rPr>
        <w:lastRenderedPageBreak/>
        <w:t>RESUELVE</w:t>
      </w:r>
    </w:p>
    <w:p w14:paraId="0B97F282" w14:textId="73753E8B" w:rsidR="311684C5" w:rsidRPr="00304238" w:rsidRDefault="311684C5" w:rsidP="00304238">
      <w:pPr>
        <w:pStyle w:val="Sinespaciado"/>
        <w:spacing w:line="276" w:lineRule="auto"/>
        <w:jc w:val="center"/>
        <w:rPr>
          <w:rFonts w:ascii="Tahoma" w:eastAsia="Tahoma" w:hAnsi="Tahoma" w:cs="Tahoma"/>
          <w:b/>
          <w:bCs/>
          <w:lang w:val="es-ES"/>
        </w:rPr>
      </w:pPr>
    </w:p>
    <w:p w14:paraId="33DCEA89" w14:textId="71E9F107" w:rsidR="714B79C3" w:rsidRPr="00304238" w:rsidRDefault="714B79C3" w:rsidP="00304238">
      <w:pPr>
        <w:pStyle w:val="Sinespaciado"/>
        <w:spacing w:line="276" w:lineRule="auto"/>
        <w:ind w:firstLine="708"/>
        <w:jc w:val="both"/>
        <w:rPr>
          <w:rFonts w:ascii="Tahoma" w:eastAsia="Tahoma" w:hAnsi="Tahoma" w:cs="Tahoma"/>
          <w:lang w:val="es-ES"/>
        </w:rPr>
      </w:pPr>
      <w:r w:rsidRPr="00304238">
        <w:rPr>
          <w:rFonts w:ascii="Tahoma" w:eastAsia="Tahoma" w:hAnsi="Tahoma" w:cs="Tahoma"/>
          <w:b/>
          <w:bCs/>
          <w:lang w:val="es-ES"/>
        </w:rPr>
        <w:t xml:space="preserve">PRIMERO: CONFIRMAR </w:t>
      </w:r>
      <w:r w:rsidRPr="00304238">
        <w:rPr>
          <w:rFonts w:ascii="Tahoma" w:eastAsia="Tahoma" w:hAnsi="Tahoma" w:cs="Tahoma"/>
          <w:lang w:val="es-ES"/>
        </w:rPr>
        <w:t>en sede de apelación y consulta la sentencia de la referencia, aclarando que</w:t>
      </w:r>
      <w:r w:rsidR="3F2CC912" w:rsidRPr="00304238">
        <w:rPr>
          <w:rFonts w:ascii="Tahoma" w:eastAsia="Tahoma" w:hAnsi="Tahoma" w:cs="Tahoma"/>
          <w:lang w:val="es-ES"/>
        </w:rPr>
        <w:t>,</w:t>
      </w:r>
      <w:r w:rsidRPr="00304238">
        <w:rPr>
          <w:rFonts w:ascii="Tahoma" w:eastAsia="Tahoma" w:hAnsi="Tahoma" w:cs="Tahoma"/>
          <w:lang w:val="es-ES"/>
        </w:rPr>
        <w:t xml:space="preserve"> a la fecha de corte del mes anterior a la emi</w:t>
      </w:r>
      <w:r w:rsidR="08A58997" w:rsidRPr="00304238">
        <w:rPr>
          <w:rFonts w:ascii="Tahoma" w:eastAsia="Tahoma" w:hAnsi="Tahoma" w:cs="Tahoma"/>
          <w:lang w:val="es-ES"/>
        </w:rPr>
        <w:t>sión de esta sentencia, el retroactivo pensional a cargo de</w:t>
      </w:r>
      <w:r w:rsidR="44268C8E" w:rsidRPr="00304238">
        <w:rPr>
          <w:rFonts w:ascii="Tahoma" w:eastAsia="Tahoma" w:hAnsi="Tahoma" w:cs="Tahoma"/>
          <w:lang w:val="es-ES"/>
        </w:rPr>
        <w:t xml:space="preserve"> la ADMINISTRADORA COLOMBIANA DE PENSIONES</w:t>
      </w:r>
      <w:r w:rsidR="08A58997" w:rsidRPr="00304238">
        <w:rPr>
          <w:rFonts w:ascii="Tahoma" w:eastAsia="Tahoma" w:hAnsi="Tahoma" w:cs="Tahoma"/>
          <w:lang w:val="es-ES"/>
        </w:rPr>
        <w:t xml:space="preserve"> </w:t>
      </w:r>
      <w:r w:rsidR="00B26E3F">
        <w:rPr>
          <w:rFonts w:ascii="Tahoma" w:eastAsia="Tahoma" w:hAnsi="Tahoma" w:cs="Tahoma"/>
          <w:lang w:val="es-ES"/>
        </w:rPr>
        <w:t xml:space="preserve">– </w:t>
      </w:r>
      <w:r w:rsidR="08A58997" w:rsidRPr="00304238">
        <w:rPr>
          <w:rFonts w:ascii="Tahoma" w:eastAsia="Tahoma" w:hAnsi="Tahoma" w:cs="Tahoma"/>
          <w:lang w:val="es-ES"/>
        </w:rPr>
        <w:t>COLPENSIONES asciende a la suma de</w:t>
      </w:r>
      <w:r w:rsidR="13009E02" w:rsidRPr="00304238">
        <w:rPr>
          <w:rFonts w:ascii="Tahoma" w:eastAsia="Tahoma" w:hAnsi="Tahoma" w:cs="Tahoma"/>
          <w:lang w:val="es-ES"/>
        </w:rPr>
        <w:t xml:space="preserve"> </w:t>
      </w:r>
      <w:r w:rsidR="7D5C1311" w:rsidRPr="00304238">
        <w:rPr>
          <w:rFonts w:ascii="Tahoma" w:eastAsia="Tahoma" w:hAnsi="Tahoma" w:cs="Tahoma"/>
          <w:lang w:val="es-ES"/>
        </w:rPr>
        <w:t>(</w:t>
      </w:r>
      <w:r w:rsidR="231E15C6" w:rsidRPr="00304238">
        <w:rPr>
          <w:rFonts w:ascii="Tahoma" w:eastAsia="Tahoma" w:hAnsi="Tahoma" w:cs="Tahoma"/>
          <w:lang w:val="es-ES"/>
        </w:rPr>
        <w:t>$36.913.660</w:t>
      </w:r>
      <w:r w:rsidR="5B688554" w:rsidRPr="00304238">
        <w:rPr>
          <w:rFonts w:ascii="Tahoma" w:eastAsia="Tahoma" w:hAnsi="Tahoma" w:cs="Tahoma"/>
          <w:lang w:val="es-ES"/>
        </w:rPr>
        <w:t>)</w:t>
      </w:r>
    </w:p>
    <w:p w14:paraId="2CD3BEE0" w14:textId="5D240208" w:rsidR="311684C5" w:rsidRPr="00304238" w:rsidRDefault="311684C5" w:rsidP="00304238">
      <w:pPr>
        <w:pStyle w:val="Sinespaciado"/>
        <w:spacing w:line="276" w:lineRule="auto"/>
        <w:ind w:firstLine="708"/>
        <w:jc w:val="both"/>
        <w:rPr>
          <w:rFonts w:ascii="Tahoma" w:eastAsia="Tahoma" w:hAnsi="Tahoma" w:cs="Tahoma"/>
          <w:lang w:val="es-ES"/>
        </w:rPr>
      </w:pPr>
    </w:p>
    <w:p w14:paraId="4ED66C0F" w14:textId="0FAA2D74" w:rsidR="54CF50FE" w:rsidRPr="00304238" w:rsidRDefault="54CF50FE" w:rsidP="00304238">
      <w:pPr>
        <w:pStyle w:val="Sinespaciado"/>
        <w:spacing w:line="276" w:lineRule="auto"/>
        <w:ind w:firstLine="708"/>
        <w:jc w:val="both"/>
        <w:rPr>
          <w:rFonts w:ascii="Tahoma" w:eastAsia="Tahoma" w:hAnsi="Tahoma" w:cs="Tahoma"/>
          <w:b/>
          <w:bCs/>
          <w:lang w:val="es-ES"/>
        </w:rPr>
      </w:pPr>
      <w:r w:rsidRPr="00304238">
        <w:rPr>
          <w:rFonts w:ascii="Tahoma" w:eastAsia="Tahoma" w:hAnsi="Tahoma" w:cs="Tahoma"/>
          <w:b/>
          <w:bCs/>
          <w:lang w:val="es-ES"/>
        </w:rPr>
        <w:t xml:space="preserve">SEGUNDO: </w:t>
      </w:r>
      <w:r w:rsidR="4E2C08E6" w:rsidRPr="00304238">
        <w:rPr>
          <w:rFonts w:ascii="Tahoma" w:eastAsia="Tahoma" w:hAnsi="Tahoma" w:cs="Tahoma"/>
          <w:b/>
          <w:bCs/>
          <w:lang w:val="es-ES"/>
        </w:rPr>
        <w:t>CONDENAR</w:t>
      </w:r>
      <w:r w:rsidR="4E2C08E6" w:rsidRPr="00304238">
        <w:rPr>
          <w:rFonts w:ascii="Tahoma" w:eastAsia="Tahoma" w:hAnsi="Tahoma" w:cs="Tahoma"/>
          <w:lang w:val="es-ES"/>
        </w:rPr>
        <w:t xml:space="preserve"> en </w:t>
      </w:r>
      <w:r w:rsidR="4E2C08E6" w:rsidRPr="00304238">
        <w:rPr>
          <w:rFonts w:ascii="Tahoma" w:eastAsia="Tahoma" w:hAnsi="Tahoma" w:cs="Tahoma"/>
          <w:b/>
          <w:bCs/>
          <w:lang w:val="es-ES"/>
        </w:rPr>
        <w:t>COSTAS</w:t>
      </w:r>
      <w:r w:rsidR="4E2C08E6" w:rsidRPr="00304238">
        <w:rPr>
          <w:rFonts w:ascii="Tahoma" w:eastAsia="Tahoma" w:hAnsi="Tahoma" w:cs="Tahoma"/>
          <w:lang w:val="es-ES"/>
        </w:rPr>
        <w:t xml:space="preserve"> procesales de segunda instancia a la </w:t>
      </w:r>
      <w:r w:rsidR="4E2C08E6" w:rsidRPr="00304238">
        <w:rPr>
          <w:rFonts w:ascii="Tahoma" w:eastAsia="Tahoma" w:hAnsi="Tahoma" w:cs="Tahoma"/>
          <w:b/>
          <w:bCs/>
          <w:lang w:val="es-ES"/>
        </w:rPr>
        <w:t xml:space="preserve">ADMINISTRADORA COLOMBIANA DE PENSIONES -COLPENSIONES- </w:t>
      </w:r>
      <w:r w:rsidR="01A16FD8" w:rsidRPr="00304238">
        <w:rPr>
          <w:rFonts w:ascii="Tahoma" w:eastAsia="Tahoma" w:hAnsi="Tahoma" w:cs="Tahoma"/>
          <w:lang w:val="es-ES"/>
        </w:rPr>
        <w:t>Liquídense por la secretaría de origen.</w:t>
      </w:r>
    </w:p>
    <w:p w14:paraId="70EADB00" w14:textId="30AE4FFC" w:rsidR="2B39B522" w:rsidRPr="00304238" w:rsidRDefault="2B39B522" w:rsidP="00304238">
      <w:pPr>
        <w:pStyle w:val="Sinespaciado"/>
        <w:spacing w:line="276" w:lineRule="auto"/>
        <w:ind w:firstLine="708"/>
        <w:jc w:val="both"/>
        <w:rPr>
          <w:rFonts w:ascii="Tahoma" w:eastAsia="Tahoma" w:hAnsi="Tahoma" w:cs="Tahoma"/>
          <w:lang w:val="es-ES"/>
        </w:rPr>
      </w:pPr>
    </w:p>
    <w:p w14:paraId="7250B52D" w14:textId="2CF5247A" w:rsidR="465CE8BF" w:rsidRPr="00304238" w:rsidRDefault="465CE8BF" w:rsidP="00304238">
      <w:pPr>
        <w:spacing w:line="276" w:lineRule="auto"/>
        <w:ind w:firstLine="709"/>
        <w:jc w:val="center"/>
        <w:rPr>
          <w:rFonts w:ascii="Tahoma" w:eastAsia="Tahoma" w:hAnsi="Tahoma" w:cs="Tahoma"/>
          <w:lang w:val="es-ES"/>
        </w:rPr>
      </w:pPr>
      <w:r w:rsidRPr="00304238">
        <w:rPr>
          <w:rFonts w:ascii="Tahoma" w:eastAsia="Tahoma" w:hAnsi="Tahoma" w:cs="Tahoma"/>
          <w:b/>
          <w:bCs/>
          <w:lang w:val="es-ES"/>
        </w:rPr>
        <w:t>NOTIFÍQUESE Y CÚMPLASE</w:t>
      </w:r>
      <w:r w:rsidRPr="00304238">
        <w:rPr>
          <w:rFonts w:ascii="Tahoma" w:eastAsia="Tahoma" w:hAnsi="Tahoma" w:cs="Tahoma"/>
          <w:lang w:val="es-ES"/>
        </w:rPr>
        <w:t xml:space="preserve"> </w:t>
      </w:r>
    </w:p>
    <w:p w14:paraId="07586F2E" w14:textId="6D880A9F" w:rsidR="465CE8BF" w:rsidRPr="00304238" w:rsidRDefault="465CE8BF" w:rsidP="00304238">
      <w:pPr>
        <w:spacing w:line="276" w:lineRule="auto"/>
        <w:ind w:firstLine="709"/>
        <w:jc w:val="both"/>
        <w:rPr>
          <w:rFonts w:ascii="Tahoma" w:eastAsia="Tahoma" w:hAnsi="Tahoma" w:cs="Tahoma"/>
          <w:lang w:val="es-ES"/>
        </w:rPr>
      </w:pPr>
      <w:r w:rsidRPr="00304238">
        <w:rPr>
          <w:rFonts w:ascii="Tahoma" w:eastAsia="Tahoma" w:hAnsi="Tahoma" w:cs="Tahoma"/>
          <w:lang w:val="es-ES"/>
        </w:rPr>
        <w:t xml:space="preserve"> </w:t>
      </w:r>
    </w:p>
    <w:p w14:paraId="5860362C" w14:textId="711AC66F" w:rsidR="2B39B522" w:rsidRPr="00304238" w:rsidRDefault="2B39B522" w:rsidP="00304238">
      <w:pPr>
        <w:spacing w:line="276" w:lineRule="auto"/>
        <w:ind w:firstLine="709"/>
        <w:jc w:val="both"/>
        <w:rPr>
          <w:rFonts w:ascii="Tahoma" w:eastAsia="Tahoma" w:hAnsi="Tahoma" w:cs="Tahoma"/>
          <w:lang w:val="es-ES"/>
        </w:rPr>
      </w:pPr>
    </w:p>
    <w:p w14:paraId="3A11EFE0" w14:textId="77777777" w:rsidR="00304238" w:rsidRPr="00304238" w:rsidRDefault="00304238" w:rsidP="00304238">
      <w:pPr>
        <w:spacing w:line="276" w:lineRule="auto"/>
        <w:ind w:firstLine="708"/>
        <w:jc w:val="both"/>
        <w:rPr>
          <w:rFonts w:ascii="Tahoma" w:eastAsia="Calibri" w:hAnsi="Tahoma" w:cs="Tahoma"/>
          <w:lang w:eastAsia="en-US"/>
        </w:rPr>
      </w:pPr>
      <w:bookmarkStart w:id="4" w:name="OLE_LINK23"/>
      <w:bookmarkStart w:id="5" w:name="OLE_LINK24"/>
      <w:r w:rsidRPr="00304238">
        <w:rPr>
          <w:rFonts w:ascii="Tahoma" w:eastAsia="Calibri" w:hAnsi="Tahoma" w:cs="Tahoma"/>
          <w:lang w:eastAsia="en-US"/>
        </w:rPr>
        <w:t xml:space="preserve">La Magistrada Ponente, </w:t>
      </w:r>
    </w:p>
    <w:p w14:paraId="5D2C44CE" w14:textId="77777777" w:rsidR="00304238" w:rsidRPr="00304238" w:rsidRDefault="00304238" w:rsidP="00304238">
      <w:pPr>
        <w:widowControl w:val="0"/>
        <w:autoSpaceDE w:val="0"/>
        <w:autoSpaceDN w:val="0"/>
        <w:adjustRightInd w:val="0"/>
        <w:spacing w:line="276" w:lineRule="auto"/>
        <w:jc w:val="both"/>
        <w:rPr>
          <w:rFonts w:ascii="Arial" w:eastAsia="Calibri" w:hAnsi="Arial" w:cs="Arial"/>
          <w:bCs/>
        </w:rPr>
      </w:pPr>
    </w:p>
    <w:p w14:paraId="06588A47" w14:textId="77777777" w:rsidR="00304238" w:rsidRPr="00304238" w:rsidRDefault="00304238" w:rsidP="00304238">
      <w:pPr>
        <w:widowControl w:val="0"/>
        <w:autoSpaceDE w:val="0"/>
        <w:autoSpaceDN w:val="0"/>
        <w:adjustRightInd w:val="0"/>
        <w:spacing w:line="276" w:lineRule="auto"/>
        <w:jc w:val="both"/>
        <w:rPr>
          <w:rFonts w:ascii="Arial" w:eastAsia="Calibri" w:hAnsi="Arial" w:cs="Arial"/>
          <w:bCs/>
        </w:rPr>
      </w:pPr>
    </w:p>
    <w:p w14:paraId="0DBD6770" w14:textId="77777777" w:rsidR="00304238" w:rsidRPr="00304238" w:rsidRDefault="00304238" w:rsidP="00304238">
      <w:pPr>
        <w:widowControl w:val="0"/>
        <w:autoSpaceDE w:val="0"/>
        <w:autoSpaceDN w:val="0"/>
        <w:adjustRightInd w:val="0"/>
        <w:spacing w:line="276" w:lineRule="auto"/>
        <w:jc w:val="both"/>
        <w:rPr>
          <w:rFonts w:ascii="Arial" w:eastAsia="Calibri" w:hAnsi="Arial" w:cs="Arial"/>
          <w:bCs/>
        </w:rPr>
      </w:pPr>
    </w:p>
    <w:p w14:paraId="3635FC85" w14:textId="77777777" w:rsidR="00304238" w:rsidRPr="00304238" w:rsidRDefault="00304238" w:rsidP="00304238">
      <w:pPr>
        <w:spacing w:line="276" w:lineRule="auto"/>
        <w:ind w:firstLine="705"/>
        <w:jc w:val="center"/>
        <w:textAlignment w:val="baseline"/>
        <w:rPr>
          <w:rFonts w:ascii="Tahoma" w:eastAsia="Times New Roman" w:hAnsi="Tahoma" w:cs="Tahoma"/>
          <w:b/>
          <w:bCs/>
        </w:rPr>
      </w:pPr>
      <w:r w:rsidRPr="00304238">
        <w:rPr>
          <w:rFonts w:ascii="Tahoma" w:eastAsia="Times New Roman" w:hAnsi="Tahoma" w:cs="Tahoma"/>
          <w:b/>
          <w:bCs/>
        </w:rPr>
        <w:t>ANA LUCÍA CAICEDO CALDERÓN</w:t>
      </w:r>
    </w:p>
    <w:p w14:paraId="50254312" w14:textId="77777777" w:rsidR="00304238" w:rsidRPr="00304238" w:rsidRDefault="00304238" w:rsidP="00304238">
      <w:pPr>
        <w:widowControl w:val="0"/>
        <w:autoSpaceDE w:val="0"/>
        <w:autoSpaceDN w:val="0"/>
        <w:adjustRightInd w:val="0"/>
        <w:spacing w:line="276" w:lineRule="auto"/>
        <w:jc w:val="both"/>
        <w:rPr>
          <w:rFonts w:ascii="Arial" w:eastAsia="Calibri" w:hAnsi="Arial" w:cs="Arial"/>
          <w:bCs/>
        </w:rPr>
      </w:pPr>
    </w:p>
    <w:p w14:paraId="408AF1B1" w14:textId="77777777" w:rsidR="00304238" w:rsidRPr="00304238" w:rsidRDefault="00304238" w:rsidP="00304238">
      <w:pPr>
        <w:widowControl w:val="0"/>
        <w:autoSpaceDE w:val="0"/>
        <w:autoSpaceDN w:val="0"/>
        <w:adjustRightInd w:val="0"/>
        <w:spacing w:line="276" w:lineRule="auto"/>
        <w:jc w:val="both"/>
        <w:rPr>
          <w:rFonts w:ascii="Arial" w:eastAsia="Calibri" w:hAnsi="Arial" w:cs="Arial"/>
          <w:bCs/>
        </w:rPr>
      </w:pPr>
    </w:p>
    <w:p w14:paraId="2D66D936" w14:textId="77777777" w:rsidR="00304238" w:rsidRPr="00304238" w:rsidRDefault="00304238" w:rsidP="00304238">
      <w:pPr>
        <w:spacing w:line="276" w:lineRule="auto"/>
        <w:ind w:firstLine="705"/>
        <w:textAlignment w:val="baseline"/>
        <w:rPr>
          <w:rFonts w:ascii="Tahoma" w:eastAsia="Times New Roman" w:hAnsi="Tahoma" w:cs="Tahoma"/>
        </w:rPr>
      </w:pPr>
      <w:r w:rsidRPr="00304238">
        <w:rPr>
          <w:rFonts w:ascii="Tahoma" w:eastAsia="Times New Roman" w:hAnsi="Tahoma" w:cs="Tahoma"/>
        </w:rPr>
        <w:t>La Magistrada y el Magistrado,</w:t>
      </w:r>
    </w:p>
    <w:p w14:paraId="5DA7B226" w14:textId="77777777" w:rsidR="00304238" w:rsidRPr="00304238" w:rsidRDefault="00304238" w:rsidP="00304238">
      <w:pPr>
        <w:widowControl w:val="0"/>
        <w:autoSpaceDE w:val="0"/>
        <w:autoSpaceDN w:val="0"/>
        <w:adjustRightInd w:val="0"/>
        <w:spacing w:line="276" w:lineRule="auto"/>
        <w:jc w:val="both"/>
        <w:rPr>
          <w:rFonts w:ascii="Arial" w:eastAsia="Calibri" w:hAnsi="Arial" w:cs="Arial"/>
          <w:bCs/>
        </w:rPr>
      </w:pPr>
    </w:p>
    <w:p w14:paraId="056A4B3A" w14:textId="77777777" w:rsidR="00304238" w:rsidRPr="00304238" w:rsidRDefault="00304238" w:rsidP="00304238">
      <w:pPr>
        <w:widowControl w:val="0"/>
        <w:autoSpaceDE w:val="0"/>
        <w:autoSpaceDN w:val="0"/>
        <w:adjustRightInd w:val="0"/>
        <w:spacing w:line="276" w:lineRule="auto"/>
        <w:jc w:val="both"/>
        <w:rPr>
          <w:rFonts w:ascii="Arial" w:eastAsia="Calibri" w:hAnsi="Arial" w:cs="Arial"/>
          <w:bCs/>
        </w:rPr>
      </w:pPr>
    </w:p>
    <w:p w14:paraId="59D4A75E" w14:textId="77777777" w:rsidR="00304238" w:rsidRPr="00304238" w:rsidRDefault="00304238" w:rsidP="00304238">
      <w:pPr>
        <w:widowControl w:val="0"/>
        <w:autoSpaceDE w:val="0"/>
        <w:autoSpaceDN w:val="0"/>
        <w:adjustRightInd w:val="0"/>
        <w:spacing w:line="276" w:lineRule="auto"/>
        <w:jc w:val="both"/>
        <w:rPr>
          <w:rFonts w:ascii="Arial" w:eastAsia="Calibri" w:hAnsi="Arial" w:cs="Arial"/>
          <w:bCs/>
        </w:rPr>
      </w:pPr>
    </w:p>
    <w:p w14:paraId="4E259CEF" w14:textId="77777777" w:rsidR="00304238" w:rsidRPr="00304238" w:rsidRDefault="00304238" w:rsidP="00304238">
      <w:pPr>
        <w:spacing w:line="276" w:lineRule="auto"/>
        <w:rPr>
          <w:rFonts w:ascii="Tahoma" w:eastAsia="Times New Roman" w:hAnsi="Tahoma" w:cs="Tahoma"/>
          <w:lang w:val="es-ES" w:eastAsia="es-ES"/>
        </w:rPr>
      </w:pPr>
      <w:r w:rsidRPr="00304238">
        <w:rPr>
          <w:rFonts w:ascii="Tahoma" w:eastAsia="Times New Roman" w:hAnsi="Tahoma" w:cs="Tahoma"/>
          <w:b/>
          <w:bCs/>
          <w:lang w:val="es-ES" w:eastAsia="es-ES"/>
        </w:rPr>
        <w:t>OLGA LUCÍA HOYOS SEPÚLVEDA</w:t>
      </w:r>
      <w:r w:rsidRPr="00304238">
        <w:rPr>
          <w:rFonts w:ascii="Tahoma" w:eastAsia="Times New Roman" w:hAnsi="Tahoma" w:cs="Tahoma"/>
          <w:b/>
          <w:bCs/>
          <w:lang w:val="es-ES" w:eastAsia="es-ES"/>
        </w:rPr>
        <w:tab/>
      </w:r>
      <w:r w:rsidRPr="00304238">
        <w:rPr>
          <w:rFonts w:ascii="Tahoma" w:eastAsia="Times New Roman" w:hAnsi="Tahoma" w:cs="Tahoma"/>
          <w:b/>
          <w:bCs/>
          <w:lang w:val="es-ES" w:eastAsia="es-ES"/>
        </w:rPr>
        <w:tab/>
        <w:t>JULIO CÉSAR SALAZAR MUÑOZ</w:t>
      </w:r>
      <w:bookmarkEnd w:id="4"/>
      <w:bookmarkEnd w:id="5"/>
    </w:p>
    <w:p w14:paraId="6EF065A0" w14:textId="3D7D29B2" w:rsidR="634CB1F4" w:rsidRDefault="634CB1F4" w:rsidP="00304238">
      <w:pPr>
        <w:spacing w:line="360" w:lineRule="auto"/>
        <w:jc w:val="both"/>
        <w:rPr>
          <w:rFonts w:ascii="Tahoma" w:eastAsia="Tahoma" w:hAnsi="Tahoma" w:cs="Tahoma"/>
          <w:lang w:val="es-ES"/>
        </w:rPr>
      </w:pPr>
    </w:p>
    <w:p w14:paraId="14026A39" w14:textId="77777777" w:rsidR="00304238" w:rsidRDefault="00304238" w:rsidP="00304238">
      <w:pPr>
        <w:spacing w:line="360" w:lineRule="auto"/>
        <w:jc w:val="both"/>
        <w:rPr>
          <w:rFonts w:ascii="Tahoma" w:eastAsia="Tahoma" w:hAnsi="Tahoma" w:cs="Tahoma"/>
          <w:lang w:val="es-ES"/>
        </w:rPr>
      </w:pPr>
    </w:p>
    <w:p w14:paraId="44765FC9" w14:textId="77777777" w:rsidR="00304238" w:rsidRDefault="00304238">
      <w:r>
        <w:br w:type="page"/>
      </w:r>
    </w:p>
    <w:p w14:paraId="0FA1C4BB" w14:textId="75A5200D" w:rsidR="48E8704D" w:rsidRPr="00304238" w:rsidRDefault="00B26E3F" w:rsidP="00304238">
      <w:pPr>
        <w:jc w:val="center"/>
        <w:rPr>
          <w:rFonts w:ascii="Tahoma" w:hAnsi="Tahoma" w:cs="Tahoma"/>
          <w:b/>
        </w:rPr>
      </w:pPr>
      <w:r w:rsidRPr="00304238">
        <w:rPr>
          <w:rFonts w:ascii="Tahoma" w:hAnsi="Tahoma" w:cs="Tahoma"/>
          <w:b/>
        </w:rPr>
        <w:lastRenderedPageBreak/>
        <w:t>LIQUIDACIÓN RETROACTIVO</w:t>
      </w:r>
    </w:p>
    <w:p w14:paraId="0C4577BE" w14:textId="77777777" w:rsidR="00304238" w:rsidRPr="00304238" w:rsidRDefault="00304238" w:rsidP="00304238">
      <w:pPr>
        <w:jc w:val="center"/>
        <w:rPr>
          <w:rFonts w:ascii="Tahoma" w:hAnsi="Tahoma" w:cs="Tahoma"/>
        </w:rPr>
      </w:pPr>
      <w:bookmarkStart w:id="6" w:name="_GoBack"/>
      <w:bookmarkEnd w:id="6"/>
    </w:p>
    <w:tbl>
      <w:tblPr>
        <w:tblStyle w:val="Tablaconcuadrcula"/>
        <w:tblW w:w="0" w:type="auto"/>
        <w:tblLayout w:type="fixed"/>
        <w:tblLook w:val="06A0" w:firstRow="1" w:lastRow="0" w:firstColumn="1" w:lastColumn="0" w:noHBand="1" w:noVBand="1"/>
      </w:tblPr>
      <w:tblGrid>
        <w:gridCol w:w="1278"/>
        <w:gridCol w:w="1721"/>
        <w:gridCol w:w="1721"/>
        <w:gridCol w:w="1241"/>
        <w:gridCol w:w="1438"/>
        <w:gridCol w:w="1438"/>
      </w:tblGrid>
      <w:tr w:rsidR="634CB1F4" w14:paraId="4278936D" w14:textId="77777777" w:rsidTr="634CB1F4">
        <w:trPr>
          <w:trHeight w:val="315"/>
        </w:trPr>
        <w:tc>
          <w:tcPr>
            <w:tcW w:w="1278" w:type="dxa"/>
            <w:tcBorders>
              <w:top w:val="nil"/>
              <w:left w:val="nil"/>
              <w:bottom w:val="nil"/>
              <w:right w:val="nil"/>
            </w:tcBorders>
            <w:vAlign w:val="bottom"/>
          </w:tcPr>
          <w:p w14:paraId="4E48C554" w14:textId="2BCD5005" w:rsidR="634CB1F4" w:rsidRDefault="634CB1F4" w:rsidP="634CB1F4">
            <w:pPr>
              <w:jc w:val="center"/>
              <w:rPr>
                <w:rFonts w:ascii="Calibri" w:eastAsia="Calibri" w:hAnsi="Calibri" w:cs="Calibri"/>
                <w:b/>
                <w:bCs/>
                <w:i/>
                <w:iCs/>
                <w:color w:val="000000" w:themeColor="text1"/>
                <w:sz w:val="20"/>
                <w:szCs w:val="20"/>
              </w:rPr>
            </w:pPr>
            <w:r w:rsidRPr="634CB1F4">
              <w:rPr>
                <w:rFonts w:ascii="Calibri" w:eastAsia="Calibri" w:hAnsi="Calibri" w:cs="Calibri"/>
                <w:b/>
                <w:bCs/>
                <w:i/>
                <w:iCs/>
                <w:color w:val="000000" w:themeColor="text1"/>
                <w:sz w:val="20"/>
                <w:szCs w:val="20"/>
              </w:rPr>
              <w:t>AÑO</w:t>
            </w:r>
          </w:p>
        </w:tc>
        <w:tc>
          <w:tcPr>
            <w:tcW w:w="1721" w:type="dxa"/>
            <w:tcBorders>
              <w:top w:val="nil"/>
              <w:left w:val="nil"/>
              <w:bottom w:val="nil"/>
              <w:right w:val="nil"/>
            </w:tcBorders>
            <w:vAlign w:val="bottom"/>
          </w:tcPr>
          <w:p w14:paraId="0C0789D9" w14:textId="6159D948" w:rsidR="634CB1F4" w:rsidRDefault="634CB1F4" w:rsidP="634CB1F4">
            <w:pPr>
              <w:jc w:val="center"/>
              <w:rPr>
                <w:rFonts w:ascii="Calibri" w:eastAsia="Calibri" w:hAnsi="Calibri" w:cs="Calibri"/>
                <w:b/>
                <w:bCs/>
                <w:i/>
                <w:iCs/>
                <w:color w:val="000000" w:themeColor="text1"/>
                <w:sz w:val="20"/>
                <w:szCs w:val="20"/>
              </w:rPr>
            </w:pPr>
            <w:r w:rsidRPr="634CB1F4">
              <w:rPr>
                <w:rFonts w:ascii="Calibri" w:eastAsia="Calibri" w:hAnsi="Calibri" w:cs="Calibri"/>
                <w:b/>
                <w:bCs/>
                <w:i/>
                <w:iCs/>
                <w:color w:val="000000" w:themeColor="text1"/>
                <w:sz w:val="20"/>
                <w:szCs w:val="20"/>
              </w:rPr>
              <w:t xml:space="preserve"> MONTO </w:t>
            </w:r>
          </w:p>
        </w:tc>
        <w:tc>
          <w:tcPr>
            <w:tcW w:w="1721" w:type="dxa"/>
            <w:tcBorders>
              <w:top w:val="nil"/>
              <w:left w:val="nil"/>
              <w:bottom w:val="nil"/>
              <w:right w:val="nil"/>
            </w:tcBorders>
            <w:vAlign w:val="bottom"/>
          </w:tcPr>
          <w:p w14:paraId="79242F1F" w14:textId="225A8927" w:rsidR="634CB1F4" w:rsidRDefault="634CB1F4" w:rsidP="634CB1F4">
            <w:pPr>
              <w:jc w:val="center"/>
              <w:rPr>
                <w:rFonts w:ascii="Calibri" w:eastAsia="Calibri" w:hAnsi="Calibri" w:cs="Calibri"/>
                <w:b/>
                <w:bCs/>
                <w:i/>
                <w:iCs/>
                <w:color w:val="000000" w:themeColor="text1"/>
                <w:sz w:val="20"/>
                <w:szCs w:val="20"/>
              </w:rPr>
            </w:pPr>
            <w:r w:rsidRPr="634CB1F4">
              <w:rPr>
                <w:rFonts w:ascii="Calibri" w:eastAsia="Calibri" w:hAnsi="Calibri" w:cs="Calibri"/>
                <w:b/>
                <w:bCs/>
                <w:i/>
                <w:iCs/>
                <w:color w:val="000000" w:themeColor="text1"/>
                <w:sz w:val="20"/>
                <w:szCs w:val="20"/>
              </w:rPr>
              <w:t xml:space="preserve"> %/</w:t>
            </w:r>
            <w:proofErr w:type="spellStart"/>
            <w:r w:rsidRPr="634CB1F4">
              <w:rPr>
                <w:rFonts w:ascii="Calibri" w:eastAsia="Calibri" w:hAnsi="Calibri" w:cs="Calibri"/>
                <w:b/>
                <w:bCs/>
                <w:i/>
                <w:iCs/>
                <w:color w:val="000000" w:themeColor="text1"/>
                <w:sz w:val="20"/>
                <w:szCs w:val="20"/>
              </w:rPr>
              <w:t>colpensiones</w:t>
            </w:r>
            <w:proofErr w:type="spellEnd"/>
            <w:r w:rsidRPr="634CB1F4">
              <w:rPr>
                <w:rFonts w:ascii="Calibri" w:eastAsia="Calibri" w:hAnsi="Calibri" w:cs="Calibri"/>
                <w:b/>
                <w:bCs/>
                <w:i/>
                <w:iCs/>
                <w:color w:val="000000" w:themeColor="text1"/>
                <w:sz w:val="20"/>
                <w:szCs w:val="20"/>
              </w:rPr>
              <w:t xml:space="preserve"> </w:t>
            </w:r>
          </w:p>
        </w:tc>
        <w:tc>
          <w:tcPr>
            <w:tcW w:w="1241" w:type="dxa"/>
            <w:tcBorders>
              <w:top w:val="nil"/>
              <w:left w:val="nil"/>
              <w:bottom w:val="nil"/>
              <w:right w:val="nil"/>
            </w:tcBorders>
            <w:vAlign w:val="bottom"/>
          </w:tcPr>
          <w:p w14:paraId="592C12A5" w14:textId="2E6CE459" w:rsidR="634CB1F4" w:rsidRDefault="634CB1F4" w:rsidP="634CB1F4">
            <w:pPr>
              <w:rPr>
                <w:rFonts w:ascii="Calibri" w:eastAsia="Calibri" w:hAnsi="Calibri" w:cs="Calibri"/>
                <w:b/>
                <w:bCs/>
                <w:i/>
                <w:iCs/>
                <w:color w:val="000000" w:themeColor="text1"/>
                <w:sz w:val="20"/>
                <w:szCs w:val="20"/>
              </w:rPr>
            </w:pPr>
            <w:r w:rsidRPr="634CB1F4">
              <w:rPr>
                <w:rFonts w:ascii="Calibri" w:eastAsia="Calibri" w:hAnsi="Calibri" w:cs="Calibri"/>
                <w:b/>
                <w:bCs/>
                <w:i/>
                <w:iCs/>
                <w:color w:val="000000" w:themeColor="text1"/>
                <w:sz w:val="20"/>
                <w:szCs w:val="20"/>
              </w:rPr>
              <w:t>No. mesadas</w:t>
            </w:r>
          </w:p>
        </w:tc>
        <w:tc>
          <w:tcPr>
            <w:tcW w:w="1438" w:type="dxa"/>
            <w:tcBorders>
              <w:top w:val="nil"/>
              <w:left w:val="nil"/>
              <w:bottom w:val="nil"/>
              <w:right w:val="nil"/>
            </w:tcBorders>
            <w:vAlign w:val="bottom"/>
          </w:tcPr>
          <w:p w14:paraId="4C975B0E" w14:textId="3EE587ED" w:rsidR="634CB1F4" w:rsidRDefault="634CB1F4" w:rsidP="634CB1F4">
            <w:pPr>
              <w:jc w:val="center"/>
              <w:rPr>
                <w:rFonts w:ascii="Calibri" w:eastAsia="Calibri" w:hAnsi="Calibri" w:cs="Calibri"/>
                <w:b/>
                <w:bCs/>
                <w:i/>
                <w:iCs/>
                <w:color w:val="000000" w:themeColor="text1"/>
                <w:sz w:val="20"/>
                <w:szCs w:val="20"/>
              </w:rPr>
            </w:pPr>
            <w:r w:rsidRPr="634CB1F4">
              <w:rPr>
                <w:rFonts w:ascii="Calibri" w:eastAsia="Calibri" w:hAnsi="Calibri" w:cs="Calibri"/>
                <w:b/>
                <w:bCs/>
                <w:i/>
                <w:iCs/>
                <w:color w:val="000000" w:themeColor="text1"/>
                <w:sz w:val="20"/>
                <w:szCs w:val="20"/>
              </w:rPr>
              <w:t xml:space="preserve">Total </w:t>
            </w:r>
          </w:p>
        </w:tc>
        <w:tc>
          <w:tcPr>
            <w:tcW w:w="1438" w:type="dxa"/>
            <w:tcBorders>
              <w:top w:val="nil"/>
              <w:left w:val="nil"/>
              <w:bottom w:val="nil"/>
              <w:right w:val="nil"/>
            </w:tcBorders>
            <w:vAlign w:val="bottom"/>
          </w:tcPr>
          <w:p w14:paraId="5765FD67" w14:textId="543F7DC6" w:rsidR="634CB1F4" w:rsidRDefault="634CB1F4" w:rsidP="634CB1F4">
            <w:pPr>
              <w:jc w:val="center"/>
              <w:rPr>
                <w:rFonts w:ascii="Calibri" w:eastAsia="Calibri" w:hAnsi="Calibri" w:cs="Calibri"/>
                <w:b/>
                <w:bCs/>
                <w:i/>
                <w:iCs/>
                <w:color w:val="000000" w:themeColor="text1"/>
                <w:sz w:val="20"/>
                <w:szCs w:val="20"/>
              </w:rPr>
            </w:pPr>
            <w:r w:rsidRPr="634CB1F4">
              <w:rPr>
                <w:rFonts w:ascii="Calibri" w:eastAsia="Calibri" w:hAnsi="Calibri" w:cs="Calibri"/>
                <w:b/>
                <w:bCs/>
                <w:i/>
                <w:iCs/>
                <w:color w:val="000000" w:themeColor="text1"/>
                <w:sz w:val="20"/>
                <w:szCs w:val="20"/>
              </w:rPr>
              <w:t>%Colpensiones</w:t>
            </w:r>
          </w:p>
        </w:tc>
      </w:tr>
      <w:tr w:rsidR="634CB1F4" w14:paraId="322099DC" w14:textId="77777777" w:rsidTr="634CB1F4">
        <w:trPr>
          <w:trHeight w:val="315"/>
        </w:trPr>
        <w:tc>
          <w:tcPr>
            <w:tcW w:w="1278" w:type="dxa"/>
            <w:tcBorders>
              <w:top w:val="nil"/>
              <w:left w:val="nil"/>
              <w:bottom w:val="nil"/>
              <w:right w:val="nil"/>
            </w:tcBorders>
            <w:vAlign w:val="bottom"/>
          </w:tcPr>
          <w:p w14:paraId="41517FB2" w14:textId="707B7410"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2015</w:t>
            </w:r>
          </w:p>
        </w:tc>
        <w:tc>
          <w:tcPr>
            <w:tcW w:w="1721" w:type="dxa"/>
            <w:tcBorders>
              <w:top w:val="nil"/>
              <w:left w:val="nil"/>
              <w:bottom w:val="nil"/>
              <w:right w:val="nil"/>
            </w:tcBorders>
            <w:vAlign w:val="bottom"/>
          </w:tcPr>
          <w:p w14:paraId="6513FAEE" w14:textId="300262AB"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644.350,00 </w:t>
            </w:r>
          </w:p>
        </w:tc>
        <w:tc>
          <w:tcPr>
            <w:tcW w:w="1721" w:type="dxa"/>
            <w:tcBorders>
              <w:top w:val="nil"/>
              <w:left w:val="nil"/>
              <w:bottom w:val="nil"/>
              <w:right w:val="nil"/>
            </w:tcBorders>
            <w:vAlign w:val="bottom"/>
          </w:tcPr>
          <w:p w14:paraId="7D05C492" w14:textId="7CBA6FDF"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463.932,00 </w:t>
            </w:r>
          </w:p>
        </w:tc>
        <w:tc>
          <w:tcPr>
            <w:tcW w:w="1241" w:type="dxa"/>
            <w:tcBorders>
              <w:top w:val="nil"/>
              <w:left w:val="nil"/>
              <w:bottom w:val="nil"/>
              <w:right w:val="nil"/>
            </w:tcBorders>
            <w:vAlign w:val="bottom"/>
          </w:tcPr>
          <w:p w14:paraId="6199F35F" w14:textId="66DDC314" w:rsidR="634CB1F4" w:rsidRDefault="634CB1F4" w:rsidP="634CB1F4">
            <w:pPr>
              <w:jc w:val="cente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10,13</w:t>
            </w:r>
          </w:p>
        </w:tc>
        <w:tc>
          <w:tcPr>
            <w:tcW w:w="1438" w:type="dxa"/>
            <w:tcBorders>
              <w:top w:val="nil"/>
              <w:left w:val="nil"/>
              <w:bottom w:val="nil"/>
              <w:right w:val="nil"/>
            </w:tcBorders>
            <w:vAlign w:val="bottom"/>
          </w:tcPr>
          <w:p w14:paraId="19B9B470" w14:textId="335DF2B2"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6.527.265,50 </w:t>
            </w:r>
          </w:p>
        </w:tc>
        <w:tc>
          <w:tcPr>
            <w:tcW w:w="1438" w:type="dxa"/>
            <w:tcBorders>
              <w:top w:val="nil"/>
              <w:left w:val="nil"/>
              <w:bottom w:val="nil"/>
              <w:right w:val="nil"/>
            </w:tcBorders>
            <w:vAlign w:val="bottom"/>
          </w:tcPr>
          <w:p w14:paraId="6FEE4CF6" w14:textId="5EF11644"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4.699.631,16 </w:t>
            </w:r>
          </w:p>
        </w:tc>
      </w:tr>
      <w:tr w:rsidR="634CB1F4" w14:paraId="53C62F42" w14:textId="77777777" w:rsidTr="634CB1F4">
        <w:trPr>
          <w:trHeight w:val="315"/>
        </w:trPr>
        <w:tc>
          <w:tcPr>
            <w:tcW w:w="1278" w:type="dxa"/>
            <w:tcBorders>
              <w:top w:val="nil"/>
              <w:left w:val="nil"/>
              <w:bottom w:val="nil"/>
              <w:right w:val="nil"/>
            </w:tcBorders>
            <w:vAlign w:val="bottom"/>
          </w:tcPr>
          <w:p w14:paraId="2F491737" w14:textId="19F4E3ED"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2016</w:t>
            </w:r>
          </w:p>
        </w:tc>
        <w:tc>
          <w:tcPr>
            <w:tcW w:w="1721" w:type="dxa"/>
            <w:tcBorders>
              <w:top w:val="nil"/>
              <w:left w:val="nil"/>
              <w:bottom w:val="nil"/>
              <w:right w:val="nil"/>
            </w:tcBorders>
            <w:vAlign w:val="bottom"/>
          </w:tcPr>
          <w:p w14:paraId="5CC5521C" w14:textId="206FA253"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689.455,00 </w:t>
            </w:r>
          </w:p>
        </w:tc>
        <w:tc>
          <w:tcPr>
            <w:tcW w:w="1721" w:type="dxa"/>
            <w:tcBorders>
              <w:top w:val="nil"/>
              <w:left w:val="nil"/>
              <w:bottom w:val="nil"/>
              <w:right w:val="nil"/>
            </w:tcBorders>
            <w:vAlign w:val="bottom"/>
          </w:tcPr>
          <w:p w14:paraId="6951CF57" w14:textId="415983F3"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496.407,60 </w:t>
            </w:r>
          </w:p>
        </w:tc>
        <w:tc>
          <w:tcPr>
            <w:tcW w:w="1241" w:type="dxa"/>
            <w:tcBorders>
              <w:top w:val="nil"/>
              <w:left w:val="nil"/>
              <w:bottom w:val="nil"/>
              <w:right w:val="nil"/>
            </w:tcBorders>
            <w:vAlign w:val="bottom"/>
          </w:tcPr>
          <w:p w14:paraId="6E5FB790" w14:textId="15DA09EF" w:rsidR="634CB1F4" w:rsidRDefault="634CB1F4" w:rsidP="634CB1F4">
            <w:pPr>
              <w:jc w:val="cente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13</w:t>
            </w:r>
          </w:p>
        </w:tc>
        <w:tc>
          <w:tcPr>
            <w:tcW w:w="1438" w:type="dxa"/>
            <w:tcBorders>
              <w:top w:val="nil"/>
              <w:left w:val="nil"/>
              <w:bottom w:val="nil"/>
              <w:right w:val="nil"/>
            </w:tcBorders>
            <w:vAlign w:val="bottom"/>
          </w:tcPr>
          <w:p w14:paraId="06A41581" w14:textId="54731B70"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8.962.915,00 </w:t>
            </w:r>
          </w:p>
        </w:tc>
        <w:tc>
          <w:tcPr>
            <w:tcW w:w="1438" w:type="dxa"/>
            <w:tcBorders>
              <w:top w:val="nil"/>
              <w:left w:val="nil"/>
              <w:bottom w:val="nil"/>
              <w:right w:val="nil"/>
            </w:tcBorders>
            <w:vAlign w:val="bottom"/>
          </w:tcPr>
          <w:p w14:paraId="3D351CFA" w14:textId="58455D2B"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6.453.298,80 </w:t>
            </w:r>
          </w:p>
        </w:tc>
      </w:tr>
      <w:tr w:rsidR="634CB1F4" w14:paraId="02F4A0C7" w14:textId="77777777" w:rsidTr="634CB1F4">
        <w:trPr>
          <w:trHeight w:val="315"/>
        </w:trPr>
        <w:tc>
          <w:tcPr>
            <w:tcW w:w="1278" w:type="dxa"/>
            <w:tcBorders>
              <w:top w:val="nil"/>
              <w:left w:val="nil"/>
              <w:bottom w:val="nil"/>
              <w:right w:val="nil"/>
            </w:tcBorders>
            <w:vAlign w:val="bottom"/>
          </w:tcPr>
          <w:p w14:paraId="376B2E72" w14:textId="5CD44864"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2017</w:t>
            </w:r>
          </w:p>
        </w:tc>
        <w:tc>
          <w:tcPr>
            <w:tcW w:w="1721" w:type="dxa"/>
            <w:tcBorders>
              <w:top w:val="nil"/>
              <w:left w:val="nil"/>
              <w:bottom w:val="nil"/>
              <w:right w:val="nil"/>
            </w:tcBorders>
            <w:vAlign w:val="bottom"/>
          </w:tcPr>
          <w:p w14:paraId="2BF51B0F" w14:textId="0CF8112A"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737.717,00 </w:t>
            </w:r>
          </w:p>
        </w:tc>
        <w:tc>
          <w:tcPr>
            <w:tcW w:w="1721" w:type="dxa"/>
            <w:tcBorders>
              <w:top w:val="nil"/>
              <w:left w:val="nil"/>
              <w:bottom w:val="nil"/>
              <w:right w:val="nil"/>
            </w:tcBorders>
            <w:vAlign w:val="bottom"/>
          </w:tcPr>
          <w:p w14:paraId="6117C6E9" w14:textId="1DE04DB5"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531.156,24 </w:t>
            </w:r>
          </w:p>
        </w:tc>
        <w:tc>
          <w:tcPr>
            <w:tcW w:w="1241" w:type="dxa"/>
            <w:tcBorders>
              <w:top w:val="nil"/>
              <w:left w:val="nil"/>
              <w:bottom w:val="nil"/>
              <w:right w:val="nil"/>
            </w:tcBorders>
            <w:vAlign w:val="bottom"/>
          </w:tcPr>
          <w:p w14:paraId="35DCCC52" w14:textId="6768F0B4" w:rsidR="634CB1F4" w:rsidRDefault="634CB1F4" w:rsidP="634CB1F4">
            <w:pPr>
              <w:jc w:val="cente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13</w:t>
            </w:r>
          </w:p>
        </w:tc>
        <w:tc>
          <w:tcPr>
            <w:tcW w:w="1438" w:type="dxa"/>
            <w:tcBorders>
              <w:top w:val="nil"/>
              <w:left w:val="nil"/>
              <w:bottom w:val="nil"/>
              <w:right w:val="nil"/>
            </w:tcBorders>
            <w:vAlign w:val="bottom"/>
          </w:tcPr>
          <w:p w14:paraId="1E9C8E5E" w14:textId="4C5519E4"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9.590.321,00 </w:t>
            </w:r>
          </w:p>
        </w:tc>
        <w:tc>
          <w:tcPr>
            <w:tcW w:w="1438" w:type="dxa"/>
            <w:tcBorders>
              <w:top w:val="nil"/>
              <w:left w:val="nil"/>
              <w:bottom w:val="nil"/>
              <w:right w:val="nil"/>
            </w:tcBorders>
            <w:vAlign w:val="bottom"/>
          </w:tcPr>
          <w:p w14:paraId="5D9C8ABF" w14:textId="67283FEE"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6.905.031,12 </w:t>
            </w:r>
          </w:p>
        </w:tc>
      </w:tr>
      <w:tr w:rsidR="634CB1F4" w14:paraId="315F260A" w14:textId="77777777" w:rsidTr="634CB1F4">
        <w:trPr>
          <w:trHeight w:val="315"/>
        </w:trPr>
        <w:tc>
          <w:tcPr>
            <w:tcW w:w="1278" w:type="dxa"/>
            <w:tcBorders>
              <w:top w:val="nil"/>
              <w:left w:val="nil"/>
              <w:bottom w:val="nil"/>
              <w:right w:val="nil"/>
            </w:tcBorders>
            <w:vAlign w:val="bottom"/>
          </w:tcPr>
          <w:p w14:paraId="16C26C63" w14:textId="1B94B42F"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2018</w:t>
            </w:r>
          </w:p>
        </w:tc>
        <w:tc>
          <w:tcPr>
            <w:tcW w:w="1721" w:type="dxa"/>
            <w:tcBorders>
              <w:top w:val="nil"/>
              <w:left w:val="nil"/>
              <w:bottom w:val="nil"/>
              <w:right w:val="nil"/>
            </w:tcBorders>
            <w:vAlign w:val="bottom"/>
          </w:tcPr>
          <w:p w14:paraId="0E307F68" w14:textId="6542D097"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781.242,00 </w:t>
            </w:r>
          </w:p>
        </w:tc>
        <w:tc>
          <w:tcPr>
            <w:tcW w:w="1721" w:type="dxa"/>
            <w:tcBorders>
              <w:top w:val="nil"/>
              <w:left w:val="nil"/>
              <w:bottom w:val="nil"/>
              <w:right w:val="nil"/>
            </w:tcBorders>
            <w:vAlign w:val="bottom"/>
          </w:tcPr>
          <w:p w14:paraId="0095840E" w14:textId="3B57B7B5"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562.494,24 </w:t>
            </w:r>
          </w:p>
        </w:tc>
        <w:tc>
          <w:tcPr>
            <w:tcW w:w="1241" w:type="dxa"/>
            <w:tcBorders>
              <w:top w:val="nil"/>
              <w:left w:val="nil"/>
              <w:bottom w:val="nil"/>
              <w:right w:val="nil"/>
            </w:tcBorders>
            <w:vAlign w:val="bottom"/>
          </w:tcPr>
          <w:p w14:paraId="0B50D960" w14:textId="14F956EC" w:rsidR="634CB1F4" w:rsidRDefault="634CB1F4" w:rsidP="634CB1F4">
            <w:pPr>
              <w:jc w:val="cente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13</w:t>
            </w:r>
          </w:p>
        </w:tc>
        <w:tc>
          <w:tcPr>
            <w:tcW w:w="1438" w:type="dxa"/>
            <w:tcBorders>
              <w:top w:val="nil"/>
              <w:left w:val="nil"/>
              <w:bottom w:val="nil"/>
              <w:right w:val="nil"/>
            </w:tcBorders>
            <w:vAlign w:val="bottom"/>
          </w:tcPr>
          <w:p w14:paraId="664480C7" w14:textId="70F1A353"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10.156.146,00 </w:t>
            </w:r>
          </w:p>
        </w:tc>
        <w:tc>
          <w:tcPr>
            <w:tcW w:w="1438" w:type="dxa"/>
            <w:tcBorders>
              <w:top w:val="nil"/>
              <w:left w:val="nil"/>
              <w:bottom w:val="nil"/>
              <w:right w:val="nil"/>
            </w:tcBorders>
            <w:vAlign w:val="bottom"/>
          </w:tcPr>
          <w:p w14:paraId="11937A2A" w14:textId="159F4975"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7.312.425,12 </w:t>
            </w:r>
          </w:p>
        </w:tc>
      </w:tr>
      <w:tr w:rsidR="634CB1F4" w14:paraId="25FD8313" w14:textId="77777777" w:rsidTr="634CB1F4">
        <w:trPr>
          <w:trHeight w:val="315"/>
        </w:trPr>
        <w:tc>
          <w:tcPr>
            <w:tcW w:w="1278" w:type="dxa"/>
            <w:tcBorders>
              <w:top w:val="nil"/>
              <w:left w:val="nil"/>
              <w:bottom w:val="nil"/>
              <w:right w:val="nil"/>
            </w:tcBorders>
            <w:vAlign w:val="bottom"/>
          </w:tcPr>
          <w:p w14:paraId="4EC40602" w14:textId="6F5758BC"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2019</w:t>
            </w:r>
          </w:p>
        </w:tc>
        <w:tc>
          <w:tcPr>
            <w:tcW w:w="1721" w:type="dxa"/>
            <w:tcBorders>
              <w:top w:val="nil"/>
              <w:left w:val="nil"/>
              <w:bottom w:val="nil"/>
              <w:right w:val="nil"/>
            </w:tcBorders>
            <w:vAlign w:val="bottom"/>
          </w:tcPr>
          <w:p w14:paraId="5BCC2F82" w14:textId="2E303443"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828.116,00 </w:t>
            </w:r>
          </w:p>
        </w:tc>
        <w:tc>
          <w:tcPr>
            <w:tcW w:w="1721" w:type="dxa"/>
            <w:tcBorders>
              <w:top w:val="nil"/>
              <w:left w:val="nil"/>
              <w:bottom w:val="nil"/>
              <w:right w:val="nil"/>
            </w:tcBorders>
            <w:vAlign w:val="bottom"/>
          </w:tcPr>
          <w:p w14:paraId="39C220A2" w14:textId="2E5B2227"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596.243,52 </w:t>
            </w:r>
          </w:p>
        </w:tc>
        <w:tc>
          <w:tcPr>
            <w:tcW w:w="1241" w:type="dxa"/>
            <w:tcBorders>
              <w:top w:val="nil"/>
              <w:left w:val="nil"/>
              <w:bottom w:val="nil"/>
              <w:right w:val="nil"/>
            </w:tcBorders>
            <w:vAlign w:val="bottom"/>
          </w:tcPr>
          <w:p w14:paraId="391F65DE" w14:textId="2B63F5F5" w:rsidR="634CB1F4" w:rsidRDefault="634CB1F4" w:rsidP="634CB1F4">
            <w:pPr>
              <w:jc w:val="cente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13</w:t>
            </w:r>
          </w:p>
        </w:tc>
        <w:tc>
          <w:tcPr>
            <w:tcW w:w="1438" w:type="dxa"/>
            <w:tcBorders>
              <w:top w:val="nil"/>
              <w:left w:val="nil"/>
              <w:bottom w:val="nil"/>
              <w:right w:val="nil"/>
            </w:tcBorders>
            <w:vAlign w:val="bottom"/>
          </w:tcPr>
          <w:p w14:paraId="4F47A61D" w14:textId="2F39981F"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10.765.508,00 </w:t>
            </w:r>
          </w:p>
        </w:tc>
        <w:tc>
          <w:tcPr>
            <w:tcW w:w="1438" w:type="dxa"/>
            <w:tcBorders>
              <w:top w:val="nil"/>
              <w:left w:val="nil"/>
              <w:bottom w:val="nil"/>
              <w:right w:val="nil"/>
            </w:tcBorders>
            <w:vAlign w:val="bottom"/>
          </w:tcPr>
          <w:p w14:paraId="02ED865A" w14:textId="2E230B2B"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7.751.165,76 </w:t>
            </w:r>
          </w:p>
        </w:tc>
      </w:tr>
      <w:tr w:rsidR="634CB1F4" w14:paraId="1431F943" w14:textId="77777777" w:rsidTr="634CB1F4">
        <w:trPr>
          <w:trHeight w:val="315"/>
        </w:trPr>
        <w:tc>
          <w:tcPr>
            <w:tcW w:w="1278" w:type="dxa"/>
            <w:tcBorders>
              <w:top w:val="nil"/>
              <w:left w:val="nil"/>
              <w:bottom w:val="nil"/>
              <w:right w:val="nil"/>
            </w:tcBorders>
            <w:vAlign w:val="bottom"/>
          </w:tcPr>
          <w:p w14:paraId="5FCB2569" w14:textId="4BBE49CE"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2020</w:t>
            </w:r>
          </w:p>
        </w:tc>
        <w:tc>
          <w:tcPr>
            <w:tcW w:w="1721" w:type="dxa"/>
            <w:tcBorders>
              <w:top w:val="nil"/>
              <w:left w:val="nil"/>
              <w:bottom w:val="nil"/>
              <w:right w:val="nil"/>
            </w:tcBorders>
            <w:vAlign w:val="bottom"/>
          </w:tcPr>
          <w:p w14:paraId="12422096" w14:textId="43233F07"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877.803,00 </w:t>
            </w:r>
          </w:p>
        </w:tc>
        <w:tc>
          <w:tcPr>
            <w:tcW w:w="1721" w:type="dxa"/>
            <w:tcBorders>
              <w:top w:val="nil"/>
              <w:left w:val="nil"/>
              <w:bottom w:val="nil"/>
              <w:right w:val="nil"/>
            </w:tcBorders>
            <w:vAlign w:val="bottom"/>
          </w:tcPr>
          <w:p w14:paraId="1BED4CA3" w14:textId="13DA2619"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632.018,16 </w:t>
            </w:r>
          </w:p>
        </w:tc>
        <w:tc>
          <w:tcPr>
            <w:tcW w:w="1241" w:type="dxa"/>
            <w:tcBorders>
              <w:top w:val="nil"/>
              <w:left w:val="nil"/>
              <w:bottom w:val="nil"/>
              <w:right w:val="nil"/>
            </w:tcBorders>
            <w:vAlign w:val="bottom"/>
          </w:tcPr>
          <w:p w14:paraId="72B40407" w14:textId="1ED6C1E5" w:rsidR="634CB1F4" w:rsidRDefault="634CB1F4" w:rsidP="634CB1F4">
            <w:pPr>
              <w:jc w:val="cente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6</w:t>
            </w:r>
          </w:p>
        </w:tc>
        <w:tc>
          <w:tcPr>
            <w:tcW w:w="1438" w:type="dxa"/>
            <w:tcBorders>
              <w:top w:val="nil"/>
              <w:left w:val="nil"/>
              <w:bottom w:val="nil"/>
              <w:right w:val="nil"/>
            </w:tcBorders>
            <w:vAlign w:val="bottom"/>
          </w:tcPr>
          <w:p w14:paraId="3B95D0B8" w14:textId="14E0C063"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5.266.818,00 </w:t>
            </w:r>
          </w:p>
        </w:tc>
        <w:tc>
          <w:tcPr>
            <w:tcW w:w="1438" w:type="dxa"/>
            <w:tcBorders>
              <w:top w:val="nil"/>
              <w:left w:val="nil"/>
              <w:bottom w:val="nil"/>
              <w:right w:val="nil"/>
            </w:tcBorders>
            <w:vAlign w:val="bottom"/>
          </w:tcPr>
          <w:p w14:paraId="07EBBF26" w14:textId="7FCB6B2C"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3.792.108,96 </w:t>
            </w:r>
          </w:p>
        </w:tc>
      </w:tr>
      <w:tr w:rsidR="634CB1F4" w14:paraId="621E78A7" w14:textId="77777777" w:rsidTr="634CB1F4">
        <w:trPr>
          <w:trHeight w:val="315"/>
        </w:trPr>
        <w:tc>
          <w:tcPr>
            <w:tcW w:w="1278" w:type="dxa"/>
            <w:tcBorders>
              <w:top w:val="nil"/>
              <w:left w:val="nil"/>
              <w:bottom w:val="nil"/>
              <w:right w:val="nil"/>
            </w:tcBorders>
            <w:vAlign w:val="bottom"/>
          </w:tcPr>
          <w:p w14:paraId="47D91F5D" w14:textId="6AE57BC7" w:rsidR="634CB1F4" w:rsidRDefault="634CB1F4" w:rsidP="634CB1F4">
            <w:pPr>
              <w:rPr>
                <w:sz w:val="20"/>
                <w:szCs w:val="20"/>
              </w:rPr>
            </w:pPr>
          </w:p>
        </w:tc>
        <w:tc>
          <w:tcPr>
            <w:tcW w:w="1721" w:type="dxa"/>
            <w:tcBorders>
              <w:top w:val="nil"/>
              <w:left w:val="nil"/>
              <w:bottom w:val="nil"/>
              <w:right w:val="nil"/>
            </w:tcBorders>
            <w:vAlign w:val="bottom"/>
          </w:tcPr>
          <w:p w14:paraId="3B26EF54" w14:textId="4A8C52FB" w:rsidR="634CB1F4" w:rsidRDefault="634CB1F4" w:rsidP="634CB1F4">
            <w:pPr>
              <w:rPr>
                <w:sz w:val="20"/>
                <w:szCs w:val="20"/>
              </w:rPr>
            </w:pPr>
          </w:p>
        </w:tc>
        <w:tc>
          <w:tcPr>
            <w:tcW w:w="1721" w:type="dxa"/>
            <w:tcBorders>
              <w:top w:val="nil"/>
              <w:left w:val="nil"/>
              <w:bottom w:val="nil"/>
              <w:right w:val="nil"/>
            </w:tcBorders>
            <w:vAlign w:val="bottom"/>
          </w:tcPr>
          <w:p w14:paraId="2DD0487A" w14:textId="7C6790CE" w:rsidR="634CB1F4" w:rsidRDefault="634CB1F4" w:rsidP="634CB1F4">
            <w:pPr>
              <w:rPr>
                <w:sz w:val="20"/>
                <w:szCs w:val="20"/>
              </w:rPr>
            </w:pPr>
          </w:p>
        </w:tc>
        <w:tc>
          <w:tcPr>
            <w:tcW w:w="1241" w:type="dxa"/>
            <w:tcBorders>
              <w:top w:val="nil"/>
              <w:left w:val="nil"/>
              <w:bottom w:val="nil"/>
              <w:right w:val="nil"/>
            </w:tcBorders>
            <w:vAlign w:val="bottom"/>
          </w:tcPr>
          <w:p w14:paraId="28801614" w14:textId="1A5F8308" w:rsidR="634CB1F4" w:rsidRDefault="634CB1F4" w:rsidP="634CB1F4">
            <w:pPr>
              <w:rPr>
                <w:sz w:val="20"/>
                <w:szCs w:val="20"/>
              </w:rPr>
            </w:pPr>
          </w:p>
        </w:tc>
        <w:tc>
          <w:tcPr>
            <w:tcW w:w="1438" w:type="dxa"/>
            <w:tcBorders>
              <w:top w:val="nil"/>
              <w:left w:val="nil"/>
              <w:bottom w:val="nil"/>
              <w:right w:val="nil"/>
            </w:tcBorders>
            <w:vAlign w:val="bottom"/>
          </w:tcPr>
          <w:p w14:paraId="45F9F45A" w14:textId="36D14393"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51.268.973,50 </w:t>
            </w:r>
          </w:p>
        </w:tc>
        <w:tc>
          <w:tcPr>
            <w:tcW w:w="1438" w:type="dxa"/>
            <w:tcBorders>
              <w:top w:val="nil"/>
              <w:left w:val="nil"/>
              <w:bottom w:val="nil"/>
              <w:right w:val="nil"/>
            </w:tcBorders>
            <w:vAlign w:val="bottom"/>
          </w:tcPr>
          <w:p w14:paraId="4988968B" w14:textId="5A7BA27F" w:rsidR="634CB1F4" w:rsidRDefault="634CB1F4" w:rsidP="634CB1F4">
            <w:pPr>
              <w:rPr>
                <w:rFonts w:ascii="Calibri" w:eastAsia="Calibri" w:hAnsi="Calibri" w:cs="Calibri"/>
                <w:i/>
                <w:iCs/>
                <w:color w:val="000000" w:themeColor="text1"/>
                <w:sz w:val="20"/>
                <w:szCs w:val="20"/>
              </w:rPr>
            </w:pPr>
            <w:r w:rsidRPr="634CB1F4">
              <w:rPr>
                <w:rFonts w:ascii="Calibri" w:eastAsia="Calibri" w:hAnsi="Calibri" w:cs="Calibri"/>
                <w:i/>
                <w:iCs/>
                <w:color w:val="000000" w:themeColor="text1"/>
                <w:sz w:val="20"/>
                <w:szCs w:val="20"/>
              </w:rPr>
              <w:t xml:space="preserve"> 36.913.660,92</w:t>
            </w:r>
          </w:p>
        </w:tc>
      </w:tr>
    </w:tbl>
    <w:p w14:paraId="6B68D0CC" w14:textId="60D33A0A" w:rsidR="634CB1F4" w:rsidRDefault="634CB1F4" w:rsidP="634CB1F4">
      <w:pPr>
        <w:spacing w:line="360" w:lineRule="auto"/>
        <w:ind w:left="708" w:firstLine="708"/>
        <w:jc w:val="both"/>
        <w:rPr>
          <w:rFonts w:ascii="Tahoma" w:eastAsia="Tahoma" w:hAnsi="Tahoma" w:cs="Tahoma"/>
          <w:lang w:val="es-ES"/>
        </w:rPr>
      </w:pPr>
    </w:p>
    <w:p w14:paraId="779DD4E0" w14:textId="35F638EB" w:rsidR="2B39B522" w:rsidRDefault="2B39B522" w:rsidP="634CB1F4">
      <w:pPr>
        <w:spacing w:line="360" w:lineRule="auto"/>
        <w:jc w:val="both"/>
        <w:rPr>
          <w:rFonts w:ascii="Tahoma" w:eastAsia="Tahoma" w:hAnsi="Tahoma" w:cs="Tahoma"/>
          <w:sz w:val="22"/>
          <w:szCs w:val="22"/>
          <w:lang w:val="es-ES"/>
        </w:rPr>
      </w:pPr>
    </w:p>
    <w:p w14:paraId="0BD7AE2E" w14:textId="475DB44E" w:rsidR="634CB1F4" w:rsidRDefault="634CB1F4" w:rsidP="634CB1F4">
      <w:pPr>
        <w:spacing w:line="360" w:lineRule="auto"/>
        <w:ind w:firstLine="708"/>
        <w:jc w:val="both"/>
        <w:rPr>
          <w:rFonts w:ascii="Tahoma" w:eastAsia="Tahoma" w:hAnsi="Tahoma" w:cs="Tahoma"/>
          <w:sz w:val="22"/>
          <w:szCs w:val="22"/>
          <w:lang w:val="es-ES"/>
        </w:rPr>
      </w:pPr>
    </w:p>
    <w:tbl>
      <w:tblPr>
        <w:tblStyle w:val="Tablaconcuadrcula"/>
        <w:tblW w:w="0" w:type="auto"/>
        <w:tblLayout w:type="fixed"/>
        <w:tblLook w:val="06A0" w:firstRow="1" w:lastRow="0" w:firstColumn="1" w:lastColumn="0" w:noHBand="1" w:noVBand="1"/>
      </w:tblPr>
      <w:tblGrid>
        <w:gridCol w:w="982"/>
        <w:gridCol w:w="982"/>
        <w:gridCol w:w="838"/>
        <w:gridCol w:w="144"/>
        <w:gridCol w:w="982"/>
        <w:gridCol w:w="982"/>
        <w:gridCol w:w="982"/>
        <w:gridCol w:w="982"/>
        <w:gridCol w:w="982"/>
        <w:gridCol w:w="982"/>
      </w:tblGrid>
      <w:tr w:rsidR="634CB1F4" w14:paraId="01A83712" w14:textId="77777777" w:rsidTr="634CB1F4">
        <w:trPr>
          <w:trHeight w:val="465"/>
        </w:trPr>
        <w:tc>
          <w:tcPr>
            <w:tcW w:w="8838" w:type="dxa"/>
            <w:gridSpan w:val="10"/>
            <w:tcBorders>
              <w:top w:val="single" w:sz="8" w:space="0" w:color="auto"/>
              <w:left w:val="single" w:sz="8" w:space="0" w:color="auto"/>
              <w:bottom w:val="single" w:sz="8" w:space="0" w:color="auto"/>
              <w:right w:val="single" w:sz="8" w:space="0" w:color="000000" w:themeColor="text1"/>
            </w:tcBorders>
            <w:shd w:val="clear" w:color="auto" w:fill="FFFF99"/>
            <w:vAlign w:val="center"/>
          </w:tcPr>
          <w:p w14:paraId="07AC22FC" w14:textId="48D7789F" w:rsidR="634CB1F4" w:rsidRDefault="00304238" w:rsidP="634CB1F4">
            <w:pPr>
              <w:jc w:val="center"/>
            </w:pPr>
            <w:r w:rsidRPr="634CB1F4">
              <w:rPr>
                <w:rFonts w:ascii="Calibri" w:eastAsia="Calibri" w:hAnsi="Calibri" w:cs="Calibri"/>
                <w:b/>
                <w:bCs/>
                <w:i/>
                <w:iCs/>
                <w:color w:val="000000" w:themeColor="text1"/>
                <w:sz w:val="22"/>
                <w:szCs w:val="22"/>
              </w:rPr>
              <w:t>MARÍA</w:t>
            </w:r>
            <w:r w:rsidR="634CB1F4" w:rsidRPr="634CB1F4">
              <w:rPr>
                <w:rFonts w:ascii="Calibri" w:eastAsia="Calibri" w:hAnsi="Calibri" w:cs="Calibri"/>
                <w:b/>
                <w:bCs/>
                <w:i/>
                <w:iCs/>
                <w:color w:val="000000" w:themeColor="text1"/>
                <w:sz w:val="22"/>
                <w:szCs w:val="22"/>
              </w:rPr>
              <w:t xml:space="preserve"> EUGENIA ESTRADA</w:t>
            </w:r>
          </w:p>
        </w:tc>
      </w:tr>
      <w:tr w:rsidR="634CB1F4" w14:paraId="1BE92332" w14:textId="77777777" w:rsidTr="634CB1F4">
        <w:trPr>
          <w:trHeight w:val="225"/>
        </w:trPr>
        <w:tc>
          <w:tcPr>
            <w:tcW w:w="2946" w:type="dxa"/>
            <w:gridSpan w:val="4"/>
            <w:tcBorders>
              <w:top w:val="single" w:sz="8" w:space="0" w:color="auto"/>
              <w:left w:val="nil"/>
              <w:bottom w:val="single" w:sz="4" w:space="0" w:color="auto"/>
              <w:right w:val="nil"/>
            </w:tcBorders>
            <w:shd w:val="clear" w:color="auto" w:fill="FFFF99"/>
            <w:vAlign w:val="center"/>
          </w:tcPr>
          <w:p w14:paraId="7C2289A8" w14:textId="666DB4EF" w:rsidR="634CB1F4" w:rsidRDefault="634CB1F4" w:rsidP="634CB1F4">
            <w:r w:rsidRPr="634CB1F4">
              <w:rPr>
                <w:rFonts w:ascii="Calibri" w:eastAsia="Calibri" w:hAnsi="Calibri" w:cs="Calibri"/>
                <w:b/>
                <w:bCs/>
                <w:i/>
                <w:iCs/>
                <w:color w:val="000000" w:themeColor="text1"/>
                <w:sz w:val="16"/>
                <w:szCs w:val="16"/>
              </w:rPr>
              <w:t>Fecha de nacimiento:</w:t>
            </w:r>
          </w:p>
        </w:tc>
        <w:tc>
          <w:tcPr>
            <w:tcW w:w="982" w:type="dxa"/>
            <w:tcBorders>
              <w:top w:val="nil"/>
              <w:left w:val="nil"/>
              <w:bottom w:val="single" w:sz="4" w:space="0" w:color="auto"/>
              <w:right w:val="single" w:sz="8" w:space="0" w:color="auto"/>
            </w:tcBorders>
            <w:vAlign w:val="center"/>
          </w:tcPr>
          <w:p w14:paraId="71C65437" w14:textId="547DFF93" w:rsidR="634CB1F4" w:rsidRDefault="634CB1F4" w:rsidP="634CB1F4">
            <w:pPr>
              <w:jc w:val="center"/>
            </w:pPr>
            <w:r w:rsidRPr="634CB1F4">
              <w:rPr>
                <w:rFonts w:ascii="Calibri" w:eastAsia="Calibri" w:hAnsi="Calibri" w:cs="Calibri"/>
                <w:i/>
                <w:iCs/>
                <w:color w:val="000000" w:themeColor="text1"/>
                <w:sz w:val="16"/>
                <w:szCs w:val="16"/>
              </w:rPr>
              <w:t xml:space="preserve"> </w:t>
            </w:r>
          </w:p>
        </w:tc>
        <w:tc>
          <w:tcPr>
            <w:tcW w:w="982" w:type="dxa"/>
            <w:tcBorders>
              <w:top w:val="nil"/>
              <w:left w:val="single" w:sz="8" w:space="0" w:color="auto"/>
              <w:bottom w:val="nil"/>
              <w:right w:val="nil"/>
            </w:tcBorders>
            <w:vAlign w:val="bottom"/>
          </w:tcPr>
          <w:p w14:paraId="67B08298" w14:textId="07FA9F88" w:rsidR="634CB1F4" w:rsidRDefault="634CB1F4"/>
        </w:tc>
        <w:tc>
          <w:tcPr>
            <w:tcW w:w="2946" w:type="dxa"/>
            <w:gridSpan w:val="3"/>
            <w:tcBorders>
              <w:top w:val="single" w:sz="8" w:space="0" w:color="auto"/>
              <w:left w:val="single" w:sz="8" w:space="0" w:color="auto"/>
              <w:bottom w:val="single" w:sz="4" w:space="0" w:color="auto"/>
              <w:right w:val="nil"/>
            </w:tcBorders>
            <w:shd w:val="clear" w:color="auto" w:fill="FFFF99"/>
            <w:vAlign w:val="center"/>
          </w:tcPr>
          <w:p w14:paraId="6E4F0971" w14:textId="631AEB2C" w:rsidR="634CB1F4" w:rsidRDefault="634CB1F4" w:rsidP="634CB1F4">
            <w:r w:rsidRPr="634CB1F4">
              <w:rPr>
                <w:rFonts w:ascii="Calibri" w:eastAsia="Calibri" w:hAnsi="Calibri" w:cs="Calibri"/>
                <w:b/>
                <w:bCs/>
                <w:i/>
                <w:iCs/>
                <w:color w:val="000000" w:themeColor="text1"/>
                <w:sz w:val="16"/>
                <w:szCs w:val="16"/>
              </w:rPr>
              <w:t>Fecha reconocimiento pensión:</w:t>
            </w:r>
          </w:p>
        </w:tc>
        <w:tc>
          <w:tcPr>
            <w:tcW w:w="982" w:type="dxa"/>
            <w:tcBorders>
              <w:top w:val="nil"/>
              <w:left w:val="nil"/>
              <w:bottom w:val="single" w:sz="4" w:space="0" w:color="auto"/>
              <w:right w:val="single" w:sz="8" w:space="0" w:color="000000" w:themeColor="text1"/>
            </w:tcBorders>
            <w:vAlign w:val="center"/>
          </w:tcPr>
          <w:p w14:paraId="29EAD4D0" w14:textId="082E5590" w:rsidR="634CB1F4" w:rsidRDefault="634CB1F4" w:rsidP="634CB1F4">
            <w:pPr>
              <w:jc w:val="center"/>
            </w:pPr>
            <w:r w:rsidRPr="634CB1F4">
              <w:rPr>
                <w:rFonts w:ascii="Calibri" w:eastAsia="Calibri" w:hAnsi="Calibri" w:cs="Calibri"/>
                <w:i/>
                <w:iCs/>
                <w:color w:val="000000" w:themeColor="text1"/>
                <w:sz w:val="16"/>
                <w:szCs w:val="16"/>
              </w:rPr>
              <w:t>26/03/15</w:t>
            </w:r>
          </w:p>
        </w:tc>
      </w:tr>
      <w:tr w:rsidR="634CB1F4" w14:paraId="1B882903" w14:textId="77777777" w:rsidTr="634CB1F4">
        <w:trPr>
          <w:trHeight w:val="450"/>
        </w:trPr>
        <w:tc>
          <w:tcPr>
            <w:tcW w:w="2946" w:type="dxa"/>
            <w:gridSpan w:val="4"/>
            <w:tcBorders>
              <w:top w:val="single" w:sz="4" w:space="0" w:color="auto"/>
              <w:left w:val="nil"/>
              <w:bottom w:val="single" w:sz="8" w:space="0" w:color="auto"/>
              <w:right w:val="nil"/>
            </w:tcBorders>
            <w:shd w:val="clear" w:color="auto" w:fill="FFFF99"/>
            <w:vAlign w:val="center"/>
          </w:tcPr>
          <w:p w14:paraId="51F57DEF" w14:textId="62F58042" w:rsidR="634CB1F4" w:rsidRDefault="634CB1F4" w:rsidP="634CB1F4">
            <w:r w:rsidRPr="634CB1F4">
              <w:rPr>
                <w:rFonts w:ascii="Calibri" w:eastAsia="Calibri" w:hAnsi="Calibri" w:cs="Calibri"/>
                <w:b/>
                <w:bCs/>
                <w:i/>
                <w:iCs/>
                <w:color w:val="000000" w:themeColor="text1"/>
                <w:sz w:val="16"/>
                <w:szCs w:val="16"/>
              </w:rPr>
              <w:t>Total semanas cotizadas:</w:t>
            </w:r>
          </w:p>
        </w:tc>
        <w:tc>
          <w:tcPr>
            <w:tcW w:w="982" w:type="dxa"/>
            <w:tcBorders>
              <w:top w:val="single" w:sz="4" w:space="0" w:color="auto"/>
              <w:left w:val="nil"/>
              <w:bottom w:val="single" w:sz="8" w:space="0" w:color="auto"/>
              <w:right w:val="single" w:sz="8" w:space="0" w:color="auto"/>
            </w:tcBorders>
            <w:vAlign w:val="center"/>
          </w:tcPr>
          <w:p w14:paraId="6D86BEA9" w14:textId="718D01F2" w:rsidR="634CB1F4" w:rsidRDefault="634CB1F4" w:rsidP="634CB1F4">
            <w:pPr>
              <w:jc w:val="center"/>
            </w:pPr>
            <w:r w:rsidRPr="634CB1F4">
              <w:rPr>
                <w:rFonts w:ascii="Calibri" w:eastAsia="Calibri" w:hAnsi="Calibri" w:cs="Calibri"/>
                <w:color w:val="000000" w:themeColor="text1"/>
                <w:sz w:val="22"/>
                <w:szCs w:val="22"/>
              </w:rPr>
              <w:t>1.646,00</w:t>
            </w:r>
          </w:p>
        </w:tc>
        <w:tc>
          <w:tcPr>
            <w:tcW w:w="982" w:type="dxa"/>
            <w:tcBorders>
              <w:top w:val="nil"/>
              <w:left w:val="single" w:sz="8" w:space="0" w:color="auto"/>
              <w:bottom w:val="nil"/>
              <w:right w:val="nil"/>
            </w:tcBorders>
            <w:vAlign w:val="bottom"/>
          </w:tcPr>
          <w:p w14:paraId="5440B9E5" w14:textId="48B854D7" w:rsidR="634CB1F4" w:rsidRDefault="634CB1F4"/>
        </w:tc>
        <w:tc>
          <w:tcPr>
            <w:tcW w:w="982" w:type="dxa"/>
            <w:tcBorders>
              <w:top w:val="single" w:sz="4" w:space="0" w:color="auto"/>
              <w:left w:val="single" w:sz="8" w:space="0" w:color="auto"/>
              <w:bottom w:val="single" w:sz="4" w:space="0" w:color="auto"/>
              <w:right w:val="nil"/>
            </w:tcBorders>
            <w:shd w:val="clear" w:color="auto" w:fill="FFFF99"/>
            <w:vAlign w:val="center"/>
          </w:tcPr>
          <w:p w14:paraId="527E81B1" w14:textId="70F25057" w:rsidR="634CB1F4" w:rsidRDefault="634CB1F4" w:rsidP="634CB1F4">
            <w:pPr>
              <w:jc w:val="center"/>
            </w:pPr>
            <w:r w:rsidRPr="634CB1F4">
              <w:rPr>
                <w:rFonts w:ascii="Calibri" w:eastAsia="Calibri" w:hAnsi="Calibri" w:cs="Calibri"/>
                <w:b/>
                <w:bCs/>
                <w:i/>
                <w:iCs/>
                <w:color w:val="000000" w:themeColor="text1"/>
                <w:sz w:val="16"/>
                <w:szCs w:val="16"/>
              </w:rPr>
              <w:t xml:space="preserve">Tasa Ley 100/93: </w:t>
            </w:r>
          </w:p>
        </w:tc>
        <w:tc>
          <w:tcPr>
            <w:tcW w:w="982" w:type="dxa"/>
            <w:tcBorders>
              <w:top w:val="nil"/>
              <w:left w:val="nil"/>
              <w:bottom w:val="single" w:sz="4" w:space="0" w:color="auto"/>
              <w:right w:val="nil"/>
            </w:tcBorders>
            <w:vAlign w:val="center"/>
          </w:tcPr>
          <w:p w14:paraId="0967E199" w14:textId="6811D499" w:rsidR="634CB1F4" w:rsidRDefault="634CB1F4" w:rsidP="634CB1F4">
            <w:pPr>
              <w:jc w:val="center"/>
            </w:pPr>
            <w:r w:rsidRPr="634CB1F4">
              <w:rPr>
                <w:rFonts w:ascii="Calibri" w:eastAsia="Calibri" w:hAnsi="Calibri" w:cs="Calibri"/>
                <w:b/>
                <w:bCs/>
                <w:color w:val="000000" w:themeColor="text1"/>
                <w:sz w:val="16"/>
                <w:szCs w:val="16"/>
              </w:rPr>
              <w:t>NO</w:t>
            </w:r>
          </w:p>
        </w:tc>
        <w:tc>
          <w:tcPr>
            <w:tcW w:w="982" w:type="dxa"/>
            <w:tcBorders>
              <w:top w:val="nil"/>
              <w:left w:val="single" w:sz="4" w:space="0" w:color="808000"/>
              <w:bottom w:val="single" w:sz="4" w:space="0" w:color="auto"/>
              <w:right w:val="nil"/>
            </w:tcBorders>
            <w:shd w:val="clear" w:color="auto" w:fill="FFFF99"/>
            <w:vAlign w:val="center"/>
          </w:tcPr>
          <w:p w14:paraId="3DA19A72" w14:textId="3C65C48B" w:rsidR="634CB1F4" w:rsidRDefault="634CB1F4" w:rsidP="634CB1F4">
            <w:pPr>
              <w:jc w:val="center"/>
            </w:pPr>
            <w:r w:rsidRPr="634CB1F4">
              <w:rPr>
                <w:rFonts w:ascii="Calibri" w:eastAsia="Calibri" w:hAnsi="Calibri" w:cs="Calibri"/>
                <w:b/>
                <w:bCs/>
                <w:i/>
                <w:iCs/>
                <w:color w:val="000000" w:themeColor="text1"/>
                <w:sz w:val="16"/>
                <w:szCs w:val="16"/>
              </w:rPr>
              <w:t>75,00%</w:t>
            </w:r>
          </w:p>
        </w:tc>
        <w:tc>
          <w:tcPr>
            <w:tcW w:w="982" w:type="dxa"/>
            <w:tcBorders>
              <w:top w:val="single" w:sz="4" w:space="0" w:color="auto"/>
              <w:left w:val="nil"/>
              <w:bottom w:val="single" w:sz="4" w:space="0" w:color="auto"/>
              <w:right w:val="single" w:sz="8" w:space="0" w:color="auto"/>
            </w:tcBorders>
            <w:vAlign w:val="bottom"/>
          </w:tcPr>
          <w:p w14:paraId="5468211C" w14:textId="17A6C94B" w:rsidR="634CB1F4" w:rsidRDefault="634CB1F4">
            <w:r w:rsidRPr="634CB1F4">
              <w:rPr>
                <w:rFonts w:ascii="Calibri" w:eastAsia="Calibri" w:hAnsi="Calibri" w:cs="Calibri"/>
                <w:i/>
                <w:iCs/>
                <w:color w:val="000000" w:themeColor="text1"/>
              </w:rPr>
              <w:t xml:space="preserve"> </w:t>
            </w:r>
          </w:p>
        </w:tc>
      </w:tr>
      <w:tr w:rsidR="634CB1F4" w14:paraId="05E86D09" w14:textId="77777777" w:rsidTr="634CB1F4">
        <w:trPr>
          <w:trHeight w:val="150"/>
        </w:trPr>
        <w:tc>
          <w:tcPr>
            <w:tcW w:w="982" w:type="dxa"/>
            <w:tcBorders>
              <w:top w:val="single" w:sz="8" w:space="0" w:color="auto"/>
              <w:left w:val="nil"/>
              <w:bottom w:val="nil"/>
              <w:right w:val="nil"/>
            </w:tcBorders>
            <w:vAlign w:val="bottom"/>
          </w:tcPr>
          <w:p w14:paraId="6CA2A2B1" w14:textId="08BCCC9E" w:rsidR="634CB1F4" w:rsidRDefault="634CB1F4"/>
        </w:tc>
        <w:tc>
          <w:tcPr>
            <w:tcW w:w="982" w:type="dxa"/>
            <w:tcBorders>
              <w:top w:val="nil"/>
              <w:left w:val="nil"/>
              <w:bottom w:val="nil"/>
              <w:right w:val="nil"/>
            </w:tcBorders>
            <w:vAlign w:val="bottom"/>
          </w:tcPr>
          <w:p w14:paraId="0B4B3445" w14:textId="77A9EB47" w:rsidR="634CB1F4" w:rsidRDefault="634CB1F4"/>
        </w:tc>
        <w:tc>
          <w:tcPr>
            <w:tcW w:w="982" w:type="dxa"/>
            <w:gridSpan w:val="2"/>
            <w:tcBorders>
              <w:top w:val="nil"/>
              <w:left w:val="nil"/>
              <w:bottom w:val="nil"/>
              <w:right w:val="nil"/>
            </w:tcBorders>
            <w:vAlign w:val="bottom"/>
          </w:tcPr>
          <w:p w14:paraId="5F920725" w14:textId="4EDE55B5" w:rsidR="634CB1F4" w:rsidRDefault="634CB1F4"/>
        </w:tc>
        <w:tc>
          <w:tcPr>
            <w:tcW w:w="982" w:type="dxa"/>
            <w:tcBorders>
              <w:top w:val="single" w:sz="8" w:space="0" w:color="auto"/>
              <w:left w:val="nil"/>
              <w:bottom w:val="nil"/>
              <w:right w:val="single" w:sz="8" w:space="0" w:color="auto"/>
            </w:tcBorders>
            <w:vAlign w:val="bottom"/>
          </w:tcPr>
          <w:p w14:paraId="167C6136" w14:textId="508BCEA2" w:rsidR="634CB1F4" w:rsidRDefault="634CB1F4">
            <w:r w:rsidRPr="634CB1F4">
              <w:rPr>
                <w:rFonts w:ascii="Calibri" w:eastAsia="Calibri" w:hAnsi="Calibri" w:cs="Calibri"/>
                <w:i/>
                <w:iCs/>
                <w:color w:val="000000" w:themeColor="text1"/>
              </w:rPr>
              <w:t xml:space="preserve"> </w:t>
            </w:r>
          </w:p>
        </w:tc>
        <w:tc>
          <w:tcPr>
            <w:tcW w:w="982" w:type="dxa"/>
            <w:tcBorders>
              <w:top w:val="nil"/>
              <w:left w:val="single" w:sz="8" w:space="0" w:color="auto"/>
              <w:bottom w:val="nil"/>
              <w:right w:val="nil"/>
            </w:tcBorders>
            <w:vAlign w:val="bottom"/>
          </w:tcPr>
          <w:p w14:paraId="0511F005" w14:textId="5C0CC0A2" w:rsidR="634CB1F4" w:rsidRDefault="634CB1F4"/>
        </w:tc>
        <w:tc>
          <w:tcPr>
            <w:tcW w:w="982" w:type="dxa"/>
            <w:tcBorders>
              <w:top w:val="single" w:sz="4" w:space="0" w:color="auto"/>
              <w:left w:val="single" w:sz="8" w:space="0" w:color="auto"/>
              <w:bottom w:val="nil"/>
              <w:right w:val="nil"/>
            </w:tcBorders>
            <w:vAlign w:val="bottom"/>
          </w:tcPr>
          <w:p w14:paraId="541F14B6" w14:textId="511898FF" w:rsidR="634CB1F4" w:rsidRDefault="634CB1F4">
            <w:r w:rsidRPr="634CB1F4">
              <w:rPr>
                <w:rFonts w:ascii="Calibri" w:eastAsia="Calibri" w:hAnsi="Calibri" w:cs="Calibri"/>
                <w:i/>
                <w:iCs/>
                <w:color w:val="000000" w:themeColor="text1"/>
              </w:rPr>
              <w:t xml:space="preserve"> </w:t>
            </w:r>
          </w:p>
        </w:tc>
        <w:tc>
          <w:tcPr>
            <w:tcW w:w="982" w:type="dxa"/>
            <w:tcBorders>
              <w:top w:val="single" w:sz="4" w:space="0" w:color="auto"/>
              <w:left w:val="nil"/>
              <w:bottom w:val="nil"/>
              <w:right w:val="nil"/>
            </w:tcBorders>
            <w:vAlign w:val="bottom"/>
          </w:tcPr>
          <w:p w14:paraId="32244486" w14:textId="6F778BCD" w:rsidR="634CB1F4" w:rsidRDefault="634CB1F4"/>
        </w:tc>
        <w:tc>
          <w:tcPr>
            <w:tcW w:w="982" w:type="dxa"/>
            <w:tcBorders>
              <w:top w:val="single" w:sz="4" w:space="0" w:color="auto"/>
              <w:left w:val="nil"/>
              <w:bottom w:val="nil"/>
              <w:right w:val="nil"/>
            </w:tcBorders>
            <w:vAlign w:val="bottom"/>
          </w:tcPr>
          <w:p w14:paraId="40607466" w14:textId="69EF1C74" w:rsidR="634CB1F4" w:rsidRDefault="634CB1F4"/>
        </w:tc>
        <w:tc>
          <w:tcPr>
            <w:tcW w:w="982" w:type="dxa"/>
            <w:tcBorders>
              <w:top w:val="single" w:sz="4" w:space="0" w:color="auto"/>
              <w:left w:val="nil"/>
              <w:bottom w:val="nil"/>
              <w:right w:val="single" w:sz="8" w:space="0" w:color="auto"/>
            </w:tcBorders>
            <w:vAlign w:val="bottom"/>
          </w:tcPr>
          <w:p w14:paraId="14FBB939" w14:textId="39AA9C55" w:rsidR="634CB1F4" w:rsidRDefault="634CB1F4">
            <w:r w:rsidRPr="634CB1F4">
              <w:rPr>
                <w:rFonts w:ascii="Calibri" w:eastAsia="Calibri" w:hAnsi="Calibri" w:cs="Calibri"/>
                <w:i/>
                <w:iCs/>
                <w:color w:val="000000" w:themeColor="text1"/>
              </w:rPr>
              <w:t xml:space="preserve"> </w:t>
            </w:r>
          </w:p>
        </w:tc>
      </w:tr>
      <w:tr w:rsidR="634CB1F4" w14:paraId="4FFBAD2F" w14:textId="77777777" w:rsidTr="634CB1F4">
        <w:trPr>
          <w:trHeight w:val="45"/>
        </w:trPr>
        <w:tc>
          <w:tcPr>
            <w:tcW w:w="982" w:type="dxa"/>
            <w:tcBorders>
              <w:top w:val="nil"/>
              <w:left w:val="nil"/>
              <w:bottom w:val="nil"/>
              <w:right w:val="nil"/>
            </w:tcBorders>
            <w:vAlign w:val="bottom"/>
          </w:tcPr>
          <w:p w14:paraId="78B74941" w14:textId="44B500C0" w:rsidR="634CB1F4" w:rsidRDefault="634CB1F4"/>
        </w:tc>
        <w:tc>
          <w:tcPr>
            <w:tcW w:w="982" w:type="dxa"/>
            <w:tcBorders>
              <w:top w:val="nil"/>
              <w:left w:val="nil"/>
              <w:bottom w:val="nil"/>
              <w:right w:val="nil"/>
            </w:tcBorders>
            <w:vAlign w:val="bottom"/>
          </w:tcPr>
          <w:p w14:paraId="78F2EDA2" w14:textId="7345DA0F" w:rsidR="634CB1F4" w:rsidRDefault="634CB1F4"/>
        </w:tc>
        <w:tc>
          <w:tcPr>
            <w:tcW w:w="982" w:type="dxa"/>
            <w:gridSpan w:val="2"/>
            <w:tcBorders>
              <w:top w:val="nil"/>
              <w:left w:val="nil"/>
              <w:bottom w:val="nil"/>
              <w:right w:val="nil"/>
            </w:tcBorders>
            <w:vAlign w:val="bottom"/>
          </w:tcPr>
          <w:p w14:paraId="0B2E4ACA" w14:textId="042AFBDD" w:rsidR="634CB1F4" w:rsidRDefault="634CB1F4"/>
        </w:tc>
        <w:tc>
          <w:tcPr>
            <w:tcW w:w="982" w:type="dxa"/>
            <w:tcBorders>
              <w:top w:val="nil"/>
              <w:left w:val="nil"/>
              <w:bottom w:val="nil"/>
              <w:right w:val="single" w:sz="8" w:space="0" w:color="auto"/>
            </w:tcBorders>
            <w:vAlign w:val="bottom"/>
          </w:tcPr>
          <w:p w14:paraId="13D075EC" w14:textId="0B3B075A" w:rsidR="634CB1F4" w:rsidRDefault="634CB1F4">
            <w:r w:rsidRPr="634CB1F4">
              <w:rPr>
                <w:rFonts w:ascii="Calibri" w:eastAsia="Calibri" w:hAnsi="Calibri" w:cs="Calibri"/>
                <w:i/>
                <w:iCs/>
                <w:color w:val="000000" w:themeColor="text1"/>
              </w:rPr>
              <w:t xml:space="preserve"> </w:t>
            </w:r>
          </w:p>
        </w:tc>
        <w:tc>
          <w:tcPr>
            <w:tcW w:w="982" w:type="dxa"/>
            <w:tcBorders>
              <w:top w:val="nil"/>
              <w:left w:val="single" w:sz="8" w:space="0" w:color="auto"/>
              <w:bottom w:val="nil"/>
              <w:right w:val="nil"/>
            </w:tcBorders>
            <w:vAlign w:val="bottom"/>
          </w:tcPr>
          <w:p w14:paraId="52DECF2A" w14:textId="619AAE74" w:rsidR="634CB1F4" w:rsidRDefault="634CB1F4"/>
        </w:tc>
        <w:tc>
          <w:tcPr>
            <w:tcW w:w="982" w:type="dxa"/>
            <w:tcBorders>
              <w:top w:val="nil"/>
              <w:left w:val="single" w:sz="8" w:space="0" w:color="auto"/>
              <w:bottom w:val="nil"/>
              <w:right w:val="nil"/>
            </w:tcBorders>
            <w:vAlign w:val="bottom"/>
          </w:tcPr>
          <w:p w14:paraId="3CD3AD73" w14:textId="220870F7" w:rsidR="634CB1F4" w:rsidRDefault="634CB1F4">
            <w:r w:rsidRPr="634CB1F4">
              <w:rPr>
                <w:rFonts w:ascii="Calibri" w:eastAsia="Calibri" w:hAnsi="Calibri" w:cs="Calibri"/>
                <w:i/>
                <w:iCs/>
                <w:color w:val="000000" w:themeColor="text1"/>
              </w:rPr>
              <w:t xml:space="preserve"> </w:t>
            </w:r>
          </w:p>
        </w:tc>
        <w:tc>
          <w:tcPr>
            <w:tcW w:w="982" w:type="dxa"/>
            <w:tcBorders>
              <w:top w:val="nil"/>
              <w:left w:val="nil"/>
              <w:bottom w:val="nil"/>
              <w:right w:val="nil"/>
            </w:tcBorders>
            <w:vAlign w:val="bottom"/>
          </w:tcPr>
          <w:p w14:paraId="12DD50BE" w14:textId="7B536F1A" w:rsidR="634CB1F4" w:rsidRDefault="634CB1F4"/>
        </w:tc>
        <w:tc>
          <w:tcPr>
            <w:tcW w:w="982" w:type="dxa"/>
            <w:tcBorders>
              <w:top w:val="nil"/>
              <w:left w:val="nil"/>
              <w:bottom w:val="nil"/>
              <w:right w:val="nil"/>
            </w:tcBorders>
            <w:vAlign w:val="bottom"/>
          </w:tcPr>
          <w:p w14:paraId="436120E2" w14:textId="4F07334D" w:rsidR="634CB1F4" w:rsidRDefault="634CB1F4"/>
        </w:tc>
        <w:tc>
          <w:tcPr>
            <w:tcW w:w="982" w:type="dxa"/>
            <w:tcBorders>
              <w:top w:val="nil"/>
              <w:left w:val="nil"/>
              <w:bottom w:val="nil"/>
              <w:right w:val="single" w:sz="8" w:space="0" w:color="auto"/>
            </w:tcBorders>
            <w:vAlign w:val="bottom"/>
          </w:tcPr>
          <w:p w14:paraId="375EC8AC" w14:textId="45481DE8" w:rsidR="634CB1F4" w:rsidRDefault="634CB1F4">
            <w:r w:rsidRPr="634CB1F4">
              <w:rPr>
                <w:rFonts w:ascii="Calibri" w:eastAsia="Calibri" w:hAnsi="Calibri" w:cs="Calibri"/>
                <w:i/>
                <w:iCs/>
                <w:color w:val="000000" w:themeColor="text1"/>
              </w:rPr>
              <w:t xml:space="preserve"> </w:t>
            </w:r>
          </w:p>
        </w:tc>
      </w:tr>
      <w:tr w:rsidR="634CB1F4" w14:paraId="0CDBEB78" w14:textId="77777777" w:rsidTr="634CB1F4">
        <w:trPr>
          <w:trHeight w:val="435"/>
        </w:trPr>
        <w:tc>
          <w:tcPr>
            <w:tcW w:w="3928" w:type="dxa"/>
            <w:gridSpan w:val="5"/>
            <w:tcBorders>
              <w:top w:val="single" w:sz="8" w:space="0" w:color="auto"/>
              <w:left w:val="nil"/>
              <w:bottom w:val="single" w:sz="4" w:space="0" w:color="808000"/>
              <w:right w:val="nil"/>
            </w:tcBorders>
            <w:shd w:val="clear" w:color="auto" w:fill="FFFF99"/>
            <w:vAlign w:val="center"/>
          </w:tcPr>
          <w:p w14:paraId="1A496194" w14:textId="6DD249FB" w:rsidR="634CB1F4" w:rsidRDefault="634CB1F4" w:rsidP="634CB1F4">
            <w:pPr>
              <w:jc w:val="center"/>
            </w:pPr>
            <w:r w:rsidRPr="634CB1F4">
              <w:rPr>
                <w:rFonts w:ascii="Calibri" w:eastAsia="Calibri" w:hAnsi="Calibri" w:cs="Calibri"/>
                <w:b/>
                <w:bCs/>
                <w:i/>
                <w:iCs/>
                <w:color w:val="000000" w:themeColor="text1"/>
                <w:sz w:val="16"/>
                <w:szCs w:val="16"/>
              </w:rPr>
              <w:t>HISTORIA LABORAL DEL AFILIADO</w:t>
            </w:r>
          </w:p>
        </w:tc>
        <w:tc>
          <w:tcPr>
            <w:tcW w:w="982" w:type="dxa"/>
            <w:tcBorders>
              <w:top w:val="nil"/>
              <w:left w:val="nil"/>
              <w:bottom w:val="nil"/>
              <w:right w:val="nil"/>
            </w:tcBorders>
            <w:vAlign w:val="bottom"/>
          </w:tcPr>
          <w:p w14:paraId="6C6C6415" w14:textId="071A2C59" w:rsidR="634CB1F4" w:rsidRDefault="634CB1F4"/>
        </w:tc>
        <w:tc>
          <w:tcPr>
            <w:tcW w:w="982" w:type="dxa"/>
            <w:vMerge w:val="restart"/>
            <w:tcBorders>
              <w:top w:val="single" w:sz="4" w:space="0" w:color="auto"/>
              <w:left w:val="single" w:sz="8" w:space="0" w:color="auto"/>
              <w:bottom w:val="single" w:sz="8" w:space="0" w:color="000000" w:themeColor="text1"/>
              <w:right w:val="single" w:sz="4" w:space="0" w:color="808000"/>
            </w:tcBorders>
            <w:shd w:val="clear" w:color="auto" w:fill="FFFFCC"/>
            <w:vAlign w:val="center"/>
          </w:tcPr>
          <w:p w14:paraId="6AB251B8" w14:textId="1A415A6B" w:rsidR="634CB1F4" w:rsidRDefault="634CB1F4" w:rsidP="634CB1F4">
            <w:pPr>
              <w:jc w:val="center"/>
            </w:pPr>
            <w:r w:rsidRPr="634CB1F4">
              <w:rPr>
                <w:rFonts w:ascii="Calibri" w:eastAsia="Calibri" w:hAnsi="Calibri" w:cs="Calibri"/>
                <w:b/>
                <w:bCs/>
                <w:i/>
                <w:iCs/>
                <w:color w:val="000000" w:themeColor="text1"/>
                <w:sz w:val="16"/>
                <w:szCs w:val="16"/>
              </w:rPr>
              <w:t>Ingreso Base de cotización actualizado</w:t>
            </w:r>
          </w:p>
        </w:tc>
        <w:tc>
          <w:tcPr>
            <w:tcW w:w="1964" w:type="dxa"/>
            <w:gridSpan w:val="2"/>
            <w:tcBorders>
              <w:top w:val="single" w:sz="4" w:space="0" w:color="auto"/>
              <w:left w:val="single" w:sz="4" w:space="0" w:color="808000"/>
              <w:bottom w:val="single" w:sz="4" w:space="0" w:color="808000"/>
              <w:right w:val="nil"/>
            </w:tcBorders>
            <w:shd w:val="clear" w:color="auto" w:fill="FFFF99"/>
            <w:vAlign w:val="center"/>
          </w:tcPr>
          <w:p w14:paraId="45D52D1C" w14:textId="6036EE01" w:rsidR="634CB1F4" w:rsidRDefault="634CB1F4" w:rsidP="634CB1F4">
            <w:pPr>
              <w:jc w:val="center"/>
            </w:pPr>
            <w:r w:rsidRPr="634CB1F4">
              <w:rPr>
                <w:rFonts w:ascii="Calibri" w:eastAsia="Calibri" w:hAnsi="Calibri" w:cs="Calibri"/>
                <w:b/>
                <w:bCs/>
                <w:i/>
                <w:iCs/>
                <w:color w:val="000000" w:themeColor="text1"/>
                <w:sz w:val="16"/>
                <w:szCs w:val="16"/>
              </w:rPr>
              <w:t xml:space="preserve">IPC </w:t>
            </w:r>
            <w:proofErr w:type="spellStart"/>
            <w:r w:rsidRPr="634CB1F4">
              <w:rPr>
                <w:rFonts w:ascii="Calibri" w:eastAsia="Calibri" w:hAnsi="Calibri" w:cs="Calibri"/>
                <w:b/>
                <w:bCs/>
                <w:i/>
                <w:iCs/>
                <w:color w:val="000000" w:themeColor="text1"/>
                <w:sz w:val="16"/>
                <w:szCs w:val="16"/>
              </w:rPr>
              <w:t>Dane</w:t>
            </w:r>
            <w:proofErr w:type="spellEnd"/>
            <w:r w:rsidRPr="634CB1F4">
              <w:rPr>
                <w:rFonts w:ascii="Calibri" w:eastAsia="Calibri" w:hAnsi="Calibri" w:cs="Calibri"/>
                <w:b/>
                <w:bCs/>
                <w:i/>
                <w:iCs/>
                <w:color w:val="000000" w:themeColor="text1"/>
                <w:sz w:val="16"/>
                <w:szCs w:val="16"/>
              </w:rPr>
              <w:t xml:space="preserve">                                    (serie de empalme)</w:t>
            </w:r>
          </w:p>
        </w:tc>
        <w:tc>
          <w:tcPr>
            <w:tcW w:w="982" w:type="dxa"/>
            <w:vMerge w:val="restart"/>
            <w:tcBorders>
              <w:top w:val="single" w:sz="4" w:space="0" w:color="auto"/>
              <w:left w:val="single" w:sz="4" w:space="0" w:color="808000"/>
              <w:bottom w:val="single" w:sz="8" w:space="0" w:color="000000" w:themeColor="text1"/>
              <w:right w:val="single" w:sz="8" w:space="0" w:color="auto"/>
            </w:tcBorders>
            <w:shd w:val="clear" w:color="auto" w:fill="FFFFCC"/>
            <w:vAlign w:val="center"/>
          </w:tcPr>
          <w:p w14:paraId="728CD885" w14:textId="1D408551" w:rsidR="634CB1F4" w:rsidRDefault="634CB1F4" w:rsidP="634CB1F4">
            <w:pPr>
              <w:jc w:val="center"/>
            </w:pPr>
            <w:r w:rsidRPr="634CB1F4">
              <w:rPr>
                <w:rFonts w:ascii="Calibri" w:eastAsia="Calibri" w:hAnsi="Calibri" w:cs="Calibri"/>
                <w:b/>
                <w:bCs/>
                <w:i/>
                <w:iCs/>
                <w:color w:val="000000" w:themeColor="text1"/>
                <w:sz w:val="20"/>
                <w:szCs w:val="20"/>
              </w:rPr>
              <w:t xml:space="preserve"> Promedio Salarial        (</w:t>
            </w:r>
            <w:proofErr w:type="spellStart"/>
            <w:r w:rsidRPr="634CB1F4">
              <w:rPr>
                <w:rFonts w:ascii="Calibri" w:eastAsia="Calibri" w:hAnsi="Calibri" w:cs="Calibri"/>
                <w:b/>
                <w:bCs/>
                <w:i/>
                <w:iCs/>
                <w:color w:val="000000" w:themeColor="text1"/>
                <w:sz w:val="20"/>
                <w:szCs w:val="20"/>
              </w:rPr>
              <w:t>Dias</w:t>
            </w:r>
            <w:proofErr w:type="spellEnd"/>
            <w:r w:rsidRPr="634CB1F4">
              <w:rPr>
                <w:rFonts w:ascii="Calibri" w:eastAsia="Calibri" w:hAnsi="Calibri" w:cs="Calibri"/>
                <w:b/>
                <w:bCs/>
                <w:i/>
                <w:iCs/>
                <w:color w:val="000000" w:themeColor="text1"/>
                <w:sz w:val="20"/>
                <w:szCs w:val="20"/>
              </w:rPr>
              <w:t xml:space="preserve"> x </w:t>
            </w:r>
            <w:proofErr w:type="spellStart"/>
            <w:r w:rsidRPr="634CB1F4">
              <w:rPr>
                <w:rFonts w:ascii="Calibri" w:eastAsia="Calibri" w:hAnsi="Calibri" w:cs="Calibri"/>
                <w:b/>
                <w:bCs/>
                <w:i/>
                <w:iCs/>
                <w:color w:val="000000" w:themeColor="text1"/>
                <w:sz w:val="20"/>
                <w:szCs w:val="20"/>
              </w:rPr>
              <w:t>IBC</w:t>
            </w:r>
            <w:proofErr w:type="spellEnd"/>
            <w:r w:rsidRPr="634CB1F4">
              <w:rPr>
                <w:rFonts w:ascii="Calibri" w:eastAsia="Calibri" w:hAnsi="Calibri" w:cs="Calibri"/>
                <w:b/>
                <w:bCs/>
                <w:i/>
                <w:iCs/>
                <w:color w:val="000000" w:themeColor="text1"/>
                <w:sz w:val="20"/>
                <w:szCs w:val="20"/>
              </w:rPr>
              <w:t xml:space="preserve"> actualizado/total </w:t>
            </w:r>
            <w:proofErr w:type="spellStart"/>
            <w:r w:rsidRPr="634CB1F4">
              <w:rPr>
                <w:rFonts w:ascii="Calibri" w:eastAsia="Calibri" w:hAnsi="Calibri" w:cs="Calibri"/>
                <w:b/>
                <w:bCs/>
                <w:i/>
                <w:iCs/>
                <w:color w:val="000000" w:themeColor="text1"/>
                <w:sz w:val="20"/>
                <w:szCs w:val="20"/>
              </w:rPr>
              <w:t>dias</w:t>
            </w:r>
            <w:proofErr w:type="spellEnd"/>
            <w:r w:rsidRPr="634CB1F4">
              <w:rPr>
                <w:rFonts w:ascii="Calibri" w:eastAsia="Calibri" w:hAnsi="Calibri" w:cs="Calibri"/>
                <w:b/>
                <w:bCs/>
                <w:i/>
                <w:iCs/>
                <w:color w:val="000000" w:themeColor="text1"/>
                <w:sz w:val="20"/>
                <w:szCs w:val="20"/>
              </w:rPr>
              <w:t xml:space="preserve">) </w:t>
            </w:r>
          </w:p>
        </w:tc>
      </w:tr>
      <w:tr w:rsidR="634CB1F4" w14:paraId="1B9CD78B" w14:textId="77777777" w:rsidTr="00304238">
        <w:trPr>
          <w:trHeight w:val="315"/>
        </w:trPr>
        <w:tc>
          <w:tcPr>
            <w:tcW w:w="1964" w:type="dxa"/>
            <w:gridSpan w:val="2"/>
            <w:tcBorders>
              <w:top w:val="single" w:sz="4" w:space="0" w:color="808000"/>
              <w:left w:val="nil"/>
              <w:bottom w:val="single" w:sz="4" w:space="0" w:color="808000"/>
              <w:right w:val="nil"/>
            </w:tcBorders>
            <w:shd w:val="clear" w:color="auto" w:fill="FFFFCC"/>
            <w:vAlign w:val="center"/>
          </w:tcPr>
          <w:p w14:paraId="44A3193F" w14:textId="44E38DDA" w:rsidR="634CB1F4" w:rsidRDefault="634CB1F4" w:rsidP="634CB1F4">
            <w:pPr>
              <w:jc w:val="center"/>
            </w:pPr>
            <w:r w:rsidRPr="634CB1F4">
              <w:rPr>
                <w:rFonts w:ascii="Calibri" w:eastAsia="Calibri" w:hAnsi="Calibri" w:cs="Calibri"/>
                <w:b/>
                <w:bCs/>
                <w:i/>
                <w:iCs/>
                <w:color w:val="000000" w:themeColor="text1"/>
                <w:sz w:val="16"/>
                <w:szCs w:val="16"/>
              </w:rPr>
              <w:t>Fechas de aporte</w:t>
            </w:r>
          </w:p>
        </w:tc>
        <w:tc>
          <w:tcPr>
            <w:tcW w:w="838" w:type="dxa"/>
            <w:vMerge w:val="restart"/>
            <w:tcBorders>
              <w:top w:val="nil"/>
              <w:left w:val="single" w:sz="4" w:space="0" w:color="808000"/>
              <w:bottom w:val="single" w:sz="8" w:space="0" w:color="000000" w:themeColor="text1"/>
              <w:right w:val="single" w:sz="4" w:space="0" w:color="808000"/>
            </w:tcBorders>
            <w:shd w:val="clear" w:color="auto" w:fill="FFFFCC"/>
            <w:vAlign w:val="center"/>
          </w:tcPr>
          <w:p w14:paraId="6F0838DF" w14:textId="590A5813" w:rsidR="634CB1F4" w:rsidRDefault="634CB1F4" w:rsidP="634CB1F4">
            <w:pPr>
              <w:jc w:val="center"/>
            </w:pPr>
            <w:r w:rsidRPr="634CB1F4">
              <w:rPr>
                <w:rFonts w:ascii="Calibri" w:eastAsia="Calibri" w:hAnsi="Calibri" w:cs="Calibri"/>
                <w:b/>
                <w:bCs/>
                <w:i/>
                <w:iCs/>
                <w:color w:val="000000" w:themeColor="text1"/>
                <w:sz w:val="16"/>
                <w:szCs w:val="16"/>
              </w:rPr>
              <w:t>Número de días</w:t>
            </w:r>
          </w:p>
        </w:tc>
        <w:tc>
          <w:tcPr>
            <w:tcW w:w="1126" w:type="dxa"/>
            <w:gridSpan w:val="2"/>
            <w:vMerge w:val="restart"/>
            <w:tcBorders>
              <w:top w:val="nil"/>
              <w:left w:val="single" w:sz="4" w:space="0" w:color="808000"/>
              <w:bottom w:val="single" w:sz="8" w:space="0" w:color="000000" w:themeColor="text1"/>
              <w:right w:val="single" w:sz="8" w:space="0" w:color="auto"/>
            </w:tcBorders>
            <w:shd w:val="clear" w:color="auto" w:fill="FFFFCC"/>
            <w:vAlign w:val="center"/>
          </w:tcPr>
          <w:p w14:paraId="08E30731" w14:textId="14B614F8" w:rsidR="634CB1F4" w:rsidRDefault="634CB1F4" w:rsidP="634CB1F4">
            <w:pPr>
              <w:jc w:val="center"/>
            </w:pPr>
            <w:r w:rsidRPr="634CB1F4">
              <w:rPr>
                <w:rFonts w:ascii="Calibri" w:eastAsia="Calibri" w:hAnsi="Calibri" w:cs="Calibri"/>
                <w:b/>
                <w:bCs/>
                <w:i/>
                <w:iCs/>
                <w:color w:val="000000" w:themeColor="text1"/>
                <w:sz w:val="16"/>
                <w:szCs w:val="16"/>
              </w:rPr>
              <w:t>Ingreso Base de Cotización</w:t>
            </w:r>
          </w:p>
        </w:tc>
        <w:tc>
          <w:tcPr>
            <w:tcW w:w="982" w:type="dxa"/>
            <w:tcBorders>
              <w:top w:val="nil"/>
              <w:left w:val="single" w:sz="8" w:space="0" w:color="auto"/>
              <w:bottom w:val="nil"/>
              <w:right w:val="nil"/>
            </w:tcBorders>
            <w:vAlign w:val="bottom"/>
          </w:tcPr>
          <w:p w14:paraId="505CBF9A" w14:textId="14B11E2E" w:rsidR="634CB1F4" w:rsidRDefault="634CB1F4"/>
        </w:tc>
        <w:tc>
          <w:tcPr>
            <w:tcW w:w="982" w:type="dxa"/>
            <w:vMerge/>
            <w:tcBorders>
              <w:left w:val="single" w:sz="0" w:space="0" w:color="auto"/>
              <w:right w:val="single" w:sz="0" w:space="0" w:color="808000"/>
            </w:tcBorders>
            <w:vAlign w:val="center"/>
          </w:tcPr>
          <w:p w14:paraId="51AB80C4" w14:textId="77777777" w:rsidR="00E54C93" w:rsidRDefault="00E54C93"/>
        </w:tc>
        <w:tc>
          <w:tcPr>
            <w:tcW w:w="982" w:type="dxa"/>
            <w:vMerge w:val="restart"/>
            <w:tcBorders>
              <w:top w:val="single" w:sz="4" w:space="0" w:color="808000"/>
              <w:left w:val="single" w:sz="4" w:space="0" w:color="808000"/>
              <w:bottom w:val="single" w:sz="8" w:space="0" w:color="000000" w:themeColor="text1"/>
              <w:right w:val="single" w:sz="4" w:space="0" w:color="808000"/>
            </w:tcBorders>
            <w:shd w:val="clear" w:color="auto" w:fill="FFFFCC"/>
            <w:vAlign w:val="center"/>
          </w:tcPr>
          <w:p w14:paraId="11858709" w14:textId="559A63B6" w:rsidR="634CB1F4" w:rsidRDefault="634CB1F4" w:rsidP="634CB1F4">
            <w:pPr>
              <w:jc w:val="center"/>
            </w:pPr>
            <w:r w:rsidRPr="634CB1F4">
              <w:rPr>
                <w:rFonts w:ascii="Calibri" w:eastAsia="Calibri" w:hAnsi="Calibri" w:cs="Calibri"/>
                <w:b/>
                <w:bCs/>
                <w:i/>
                <w:iCs/>
                <w:color w:val="000000" w:themeColor="text1"/>
                <w:sz w:val="16"/>
                <w:szCs w:val="16"/>
              </w:rPr>
              <w:t>IPC Final</w:t>
            </w:r>
          </w:p>
        </w:tc>
        <w:tc>
          <w:tcPr>
            <w:tcW w:w="982" w:type="dxa"/>
            <w:vMerge w:val="restart"/>
            <w:tcBorders>
              <w:top w:val="nil"/>
              <w:left w:val="single" w:sz="4" w:space="0" w:color="808000"/>
              <w:bottom w:val="single" w:sz="8" w:space="0" w:color="000000" w:themeColor="text1"/>
              <w:right w:val="single" w:sz="4" w:space="0" w:color="808000"/>
            </w:tcBorders>
            <w:shd w:val="clear" w:color="auto" w:fill="FFFFCC"/>
            <w:vAlign w:val="center"/>
          </w:tcPr>
          <w:p w14:paraId="579354AE" w14:textId="11F03C70" w:rsidR="634CB1F4" w:rsidRDefault="634CB1F4" w:rsidP="634CB1F4">
            <w:pPr>
              <w:jc w:val="center"/>
            </w:pPr>
            <w:r w:rsidRPr="634CB1F4">
              <w:rPr>
                <w:rFonts w:ascii="Calibri" w:eastAsia="Calibri" w:hAnsi="Calibri" w:cs="Calibri"/>
                <w:b/>
                <w:bCs/>
                <w:i/>
                <w:iCs/>
                <w:color w:val="000000" w:themeColor="text1"/>
                <w:sz w:val="16"/>
                <w:szCs w:val="16"/>
              </w:rPr>
              <w:t>IPC Inicial</w:t>
            </w:r>
          </w:p>
        </w:tc>
        <w:tc>
          <w:tcPr>
            <w:tcW w:w="982" w:type="dxa"/>
            <w:vMerge/>
            <w:tcBorders>
              <w:left w:val="single" w:sz="0" w:space="0" w:color="808000"/>
              <w:right w:val="single" w:sz="0" w:space="0" w:color="auto"/>
            </w:tcBorders>
            <w:vAlign w:val="center"/>
          </w:tcPr>
          <w:p w14:paraId="628BDFDD" w14:textId="77777777" w:rsidR="00E54C93" w:rsidRDefault="00E54C93"/>
        </w:tc>
      </w:tr>
      <w:tr w:rsidR="634CB1F4" w14:paraId="5BEBE7A4" w14:textId="77777777" w:rsidTr="00304238">
        <w:trPr>
          <w:trHeight w:val="480"/>
        </w:trPr>
        <w:tc>
          <w:tcPr>
            <w:tcW w:w="982" w:type="dxa"/>
            <w:tcBorders>
              <w:top w:val="single" w:sz="4" w:space="0" w:color="808000"/>
              <w:left w:val="nil"/>
              <w:bottom w:val="single" w:sz="8" w:space="0" w:color="808000"/>
              <w:right w:val="single" w:sz="4" w:space="0" w:color="808000"/>
            </w:tcBorders>
            <w:shd w:val="clear" w:color="auto" w:fill="FFFF99"/>
            <w:vAlign w:val="center"/>
          </w:tcPr>
          <w:p w14:paraId="73ABD947" w14:textId="19CFFAF5" w:rsidR="634CB1F4" w:rsidRDefault="634CB1F4" w:rsidP="634CB1F4">
            <w:pPr>
              <w:jc w:val="center"/>
            </w:pPr>
            <w:r w:rsidRPr="634CB1F4">
              <w:rPr>
                <w:rFonts w:ascii="Calibri" w:eastAsia="Calibri" w:hAnsi="Calibri" w:cs="Calibri"/>
                <w:b/>
                <w:bCs/>
                <w:i/>
                <w:iCs/>
                <w:color w:val="000000" w:themeColor="text1"/>
                <w:sz w:val="16"/>
                <w:szCs w:val="16"/>
              </w:rPr>
              <w:t>Desde</w:t>
            </w:r>
          </w:p>
        </w:tc>
        <w:tc>
          <w:tcPr>
            <w:tcW w:w="982" w:type="dxa"/>
            <w:tcBorders>
              <w:top w:val="nil"/>
              <w:left w:val="single" w:sz="4" w:space="0" w:color="808000"/>
              <w:bottom w:val="single" w:sz="8" w:space="0" w:color="808000"/>
              <w:right w:val="single" w:sz="4" w:space="0" w:color="808000"/>
            </w:tcBorders>
            <w:shd w:val="clear" w:color="auto" w:fill="FFFF99"/>
            <w:vAlign w:val="center"/>
          </w:tcPr>
          <w:p w14:paraId="6F6C903B" w14:textId="329BDC42" w:rsidR="634CB1F4" w:rsidRDefault="634CB1F4" w:rsidP="634CB1F4">
            <w:pPr>
              <w:jc w:val="center"/>
            </w:pPr>
            <w:r w:rsidRPr="634CB1F4">
              <w:rPr>
                <w:rFonts w:ascii="Calibri" w:eastAsia="Calibri" w:hAnsi="Calibri" w:cs="Calibri"/>
                <w:b/>
                <w:bCs/>
                <w:i/>
                <w:iCs/>
                <w:color w:val="000000" w:themeColor="text1"/>
                <w:sz w:val="16"/>
                <w:szCs w:val="16"/>
              </w:rPr>
              <w:t>Hasta</w:t>
            </w:r>
          </w:p>
        </w:tc>
        <w:tc>
          <w:tcPr>
            <w:tcW w:w="838" w:type="dxa"/>
            <w:vMerge/>
            <w:tcBorders>
              <w:left w:val="single" w:sz="0" w:space="0" w:color="808000"/>
              <w:bottom w:val="single" w:sz="0" w:space="0" w:color="000000" w:themeColor="text1"/>
              <w:right w:val="single" w:sz="0" w:space="0" w:color="808000"/>
            </w:tcBorders>
            <w:vAlign w:val="center"/>
          </w:tcPr>
          <w:p w14:paraId="02946F91" w14:textId="77777777" w:rsidR="00E54C93" w:rsidRDefault="00E54C93"/>
        </w:tc>
        <w:tc>
          <w:tcPr>
            <w:tcW w:w="1126" w:type="dxa"/>
            <w:gridSpan w:val="2"/>
            <w:vMerge/>
            <w:tcBorders>
              <w:left w:val="single" w:sz="0" w:space="0" w:color="808000"/>
              <w:bottom w:val="single" w:sz="0" w:space="0" w:color="000000" w:themeColor="text1"/>
              <w:right w:val="single" w:sz="0" w:space="0" w:color="auto"/>
            </w:tcBorders>
            <w:vAlign w:val="center"/>
          </w:tcPr>
          <w:p w14:paraId="397FD46A" w14:textId="77777777" w:rsidR="00E54C93" w:rsidRDefault="00E54C93"/>
        </w:tc>
        <w:tc>
          <w:tcPr>
            <w:tcW w:w="982" w:type="dxa"/>
            <w:tcBorders>
              <w:top w:val="nil"/>
              <w:left w:val="nil"/>
              <w:bottom w:val="nil"/>
              <w:right w:val="nil"/>
            </w:tcBorders>
            <w:vAlign w:val="bottom"/>
          </w:tcPr>
          <w:p w14:paraId="059FAED9" w14:textId="371FF66B" w:rsidR="634CB1F4" w:rsidRDefault="634CB1F4"/>
        </w:tc>
        <w:tc>
          <w:tcPr>
            <w:tcW w:w="982" w:type="dxa"/>
            <w:vMerge/>
            <w:tcBorders>
              <w:left w:val="single" w:sz="0" w:space="0" w:color="auto"/>
              <w:bottom w:val="single" w:sz="0" w:space="0" w:color="000000" w:themeColor="text1"/>
              <w:right w:val="single" w:sz="0" w:space="0" w:color="808000"/>
            </w:tcBorders>
            <w:vAlign w:val="center"/>
          </w:tcPr>
          <w:p w14:paraId="4825D009" w14:textId="77777777" w:rsidR="00E54C93" w:rsidRDefault="00E54C93"/>
        </w:tc>
        <w:tc>
          <w:tcPr>
            <w:tcW w:w="982" w:type="dxa"/>
            <w:vMerge/>
            <w:tcBorders>
              <w:left w:val="single" w:sz="0" w:space="0" w:color="808000"/>
              <w:bottom w:val="single" w:sz="0" w:space="0" w:color="000000" w:themeColor="text1"/>
              <w:right w:val="single" w:sz="0" w:space="0" w:color="808000"/>
            </w:tcBorders>
            <w:vAlign w:val="center"/>
          </w:tcPr>
          <w:p w14:paraId="7EACAD06" w14:textId="77777777" w:rsidR="00E54C93" w:rsidRDefault="00E54C93"/>
        </w:tc>
        <w:tc>
          <w:tcPr>
            <w:tcW w:w="982" w:type="dxa"/>
            <w:vMerge/>
            <w:tcBorders>
              <w:left w:val="single" w:sz="0" w:space="0" w:color="808000"/>
              <w:bottom w:val="single" w:sz="0" w:space="0" w:color="000000" w:themeColor="text1"/>
              <w:right w:val="single" w:sz="0" w:space="0" w:color="808000"/>
            </w:tcBorders>
            <w:vAlign w:val="center"/>
          </w:tcPr>
          <w:p w14:paraId="5914B2F4" w14:textId="77777777" w:rsidR="00E54C93" w:rsidRDefault="00E54C93"/>
        </w:tc>
        <w:tc>
          <w:tcPr>
            <w:tcW w:w="982" w:type="dxa"/>
            <w:vMerge/>
            <w:tcBorders>
              <w:left w:val="single" w:sz="0" w:space="0" w:color="808000"/>
              <w:bottom w:val="single" w:sz="0" w:space="0" w:color="000000" w:themeColor="text1"/>
              <w:right w:val="single" w:sz="0" w:space="0" w:color="auto"/>
            </w:tcBorders>
            <w:vAlign w:val="center"/>
          </w:tcPr>
          <w:p w14:paraId="579014F6" w14:textId="77777777" w:rsidR="00E54C93" w:rsidRDefault="00E54C93"/>
        </w:tc>
      </w:tr>
      <w:tr w:rsidR="634CB1F4" w14:paraId="26FDA555" w14:textId="77777777" w:rsidTr="00304238">
        <w:trPr>
          <w:trHeight w:val="315"/>
        </w:trPr>
        <w:tc>
          <w:tcPr>
            <w:tcW w:w="982" w:type="dxa"/>
            <w:tcBorders>
              <w:top w:val="single" w:sz="4" w:space="0" w:color="808000"/>
              <w:left w:val="nil"/>
              <w:bottom w:val="nil"/>
              <w:right w:val="nil"/>
            </w:tcBorders>
            <w:vAlign w:val="center"/>
          </w:tcPr>
          <w:p w14:paraId="5EF9761D" w14:textId="3606867B" w:rsidR="634CB1F4" w:rsidRDefault="634CB1F4" w:rsidP="634CB1F4">
            <w:pPr>
              <w:jc w:val="center"/>
            </w:pPr>
            <w:r w:rsidRPr="634CB1F4">
              <w:rPr>
                <w:rFonts w:ascii="Arial" w:eastAsia="Arial" w:hAnsi="Arial" w:cs="Arial"/>
                <w:b/>
                <w:bCs/>
                <w:color w:val="000000" w:themeColor="text1"/>
                <w:sz w:val="18"/>
                <w:szCs w:val="18"/>
              </w:rPr>
              <w:t>5-jul-77</w:t>
            </w:r>
          </w:p>
        </w:tc>
        <w:tc>
          <w:tcPr>
            <w:tcW w:w="982" w:type="dxa"/>
            <w:tcBorders>
              <w:top w:val="single" w:sz="4" w:space="0" w:color="808000"/>
              <w:left w:val="nil"/>
              <w:bottom w:val="single" w:sz="4" w:space="0" w:color="auto"/>
              <w:right w:val="nil"/>
            </w:tcBorders>
            <w:vAlign w:val="center"/>
          </w:tcPr>
          <w:p w14:paraId="1FA75171" w14:textId="7431961D" w:rsidR="634CB1F4" w:rsidRDefault="634CB1F4">
            <w:r w:rsidRPr="634CB1F4">
              <w:rPr>
                <w:rFonts w:ascii="Calibri" w:eastAsia="Calibri" w:hAnsi="Calibri" w:cs="Calibri"/>
                <w:i/>
                <w:iCs/>
                <w:color w:val="000000" w:themeColor="text1"/>
                <w:sz w:val="16"/>
                <w:szCs w:val="16"/>
              </w:rPr>
              <w:t>31-oct-77</w:t>
            </w:r>
          </w:p>
        </w:tc>
        <w:tc>
          <w:tcPr>
            <w:tcW w:w="838" w:type="dxa"/>
            <w:tcBorders>
              <w:top w:val="single" w:sz="4" w:space="0" w:color="808000"/>
              <w:left w:val="nil"/>
              <w:bottom w:val="single" w:sz="4" w:space="0" w:color="auto"/>
              <w:right w:val="nil"/>
            </w:tcBorders>
            <w:vAlign w:val="center"/>
          </w:tcPr>
          <w:p w14:paraId="647175D5" w14:textId="0632131D" w:rsidR="634CB1F4" w:rsidRDefault="634CB1F4" w:rsidP="634CB1F4">
            <w:pPr>
              <w:jc w:val="center"/>
            </w:pPr>
            <w:r w:rsidRPr="634CB1F4">
              <w:rPr>
                <w:rFonts w:ascii="Calibri" w:eastAsia="Calibri" w:hAnsi="Calibri" w:cs="Calibri"/>
                <w:i/>
                <w:iCs/>
                <w:color w:val="000000" w:themeColor="text1"/>
                <w:sz w:val="16"/>
                <w:szCs w:val="16"/>
              </w:rPr>
              <w:t>119</w:t>
            </w:r>
          </w:p>
        </w:tc>
        <w:tc>
          <w:tcPr>
            <w:tcW w:w="1126" w:type="dxa"/>
            <w:gridSpan w:val="2"/>
            <w:tcBorders>
              <w:top w:val="single" w:sz="4" w:space="0" w:color="808000"/>
              <w:left w:val="nil"/>
              <w:bottom w:val="single" w:sz="4" w:space="0" w:color="auto"/>
              <w:right w:val="single" w:sz="8" w:space="0" w:color="auto"/>
            </w:tcBorders>
            <w:vAlign w:val="center"/>
          </w:tcPr>
          <w:p w14:paraId="50757CAB" w14:textId="5ED60BB0" w:rsidR="634CB1F4" w:rsidRDefault="634CB1F4">
            <w:r w:rsidRPr="634CB1F4">
              <w:rPr>
                <w:rFonts w:ascii="Arial" w:eastAsia="Arial" w:hAnsi="Arial" w:cs="Arial"/>
                <w:color w:val="000000" w:themeColor="text1"/>
                <w:sz w:val="18"/>
                <w:szCs w:val="18"/>
              </w:rPr>
              <w:t xml:space="preserve"> 1.770,00 </w:t>
            </w:r>
          </w:p>
        </w:tc>
        <w:tc>
          <w:tcPr>
            <w:tcW w:w="982" w:type="dxa"/>
            <w:tcBorders>
              <w:top w:val="single" w:sz="4" w:space="0" w:color="808000"/>
              <w:left w:val="single" w:sz="8" w:space="0" w:color="auto"/>
              <w:bottom w:val="nil"/>
              <w:right w:val="nil"/>
            </w:tcBorders>
            <w:vAlign w:val="center"/>
          </w:tcPr>
          <w:p w14:paraId="2E0591BB" w14:textId="5AE27DFE" w:rsidR="634CB1F4" w:rsidRDefault="634CB1F4"/>
        </w:tc>
        <w:tc>
          <w:tcPr>
            <w:tcW w:w="982" w:type="dxa"/>
            <w:tcBorders>
              <w:top w:val="single" w:sz="4" w:space="0" w:color="808000"/>
              <w:left w:val="single" w:sz="8" w:space="0" w:color="auto"/>
              <w:bottom w:val="nil"/>
              <w:right w:val="nil"/>
            </w:tcBorders>
            <w:shd w:val="clear" w:color="auto" w:fill="FFFF99"/>
            <w:vAlign w:val="center"/>
          </w:tcPr>
          <w:p w14:paraId="0F72CEF3" w14:textId="34EB9802" w:rsidR="634CB1F4" w:rsidRDefault="634CB1F4">
            <w:r w:rsidRPr="634CB1F4">
              <w:rPr>
                <w:rFonts w:ascii="Calibri" w:eastAsia="Calibri" w:hAnsi="Calibri" w:cs="Calibri"/>
                <w:b/>
                <w:bCs/>
                <w:i/>
                <w:iCs/>
                <w:color w:val="000000" w:themeColor="text1"/>
                <w:sz w:val="16"/>
                <w:szCs w:val="16"/>
              </w:rPr>
              <w:t xml:space="preserve"> 400.778 </w:t>
            </w:r>
          </w:p>
        </w:tc>
        <w:tc>
          <w:tcPr>
            <w:tcW w:w="982" w:type="dxa"/>
            <w:tcBorders>
              <w:top w:val="single" w:sz="4" w:space="0" w:color="808000"/>
              <w:left w:val="nil"/>
              <w:bottom w:val="nil"/>
              <w:right w:val="nil"/>
            </w:tcBorders>
            <w:vAlign w:val="center"/>
          </w:tcPr>
          <w:p w14:paraId="3EE5E561" w14:textId="59A6D880" w:rsidR="634CB1F4" w:rsidRDefault="634CB1F4" w:rsidP="634CB1F4">
            <w:pPr>
              <w:jc w:val="center"/>
            </w:pPr>
            <w:r w:rsidRPr="634CB1F4">
              <w:rPr>
                <w:rFonts w:ascii="Calibri" w:eastAsia="Calibri" w:hAnsi="Calibri" w:cs="Calibri"/>
                <w:b/>
                <w:bCs/>
                <w:i/>
                <w:iCs/>
                <w:color w:val="000000" w:themeColor="text1"/>
                <w:sz w:val="16"/>
                <w:szCs w:val="16"/>
              </w:rPr>
              <w:t xml:space="preserve"> 82,47 </w:t>
            </w:r>
          </w:p>
        </w:tc>
        <w:tc>
          <w:tcPr>
            <w:tcW w:w="982" w:type="dxa"/>
            <w:tcBorders>
              <w:top w:val="single" w:sz="4" w:space="0" w:color="808000"/>
              <w:left w:val="nil"/>
              <w:bottom w:val="nil"/>
              <w:right w:val="nil"/>
            </w:tcBorders>
            <w:vAlign w:val="center"/>
          </w:tcPr>
          <w:p w14:paraId="629E0D8B" w14:textId="75C673E5" w:rsidR="634CB1F4" w:rsidRDefault="634CB1F4" w:rsidP="634CB1F4">
            <w:pPr>
              <w:jc w:val="center"/>
            </w:pPr>
            <w:r w:rsidRPr="634CB1F4">
              <w:rPr>
                <w:rFonts w:ascii="Calibri" w:eastAsia="Calibri" w:hAnsi="Calibri" w:cs="Calibri"/>
                <w:b/>
                <w:bCs/>
                <w:i/>
                <w:iCs/>
                <w:color w:val="000000" w:themeColor="text1"/>
                <w:sz w:val="16"/>
                <w:szCs w:val="16"/>
              </w:rPr>
              <w:t xml:space="preserve"> 0,3642 </w:t>
            </w:r>
          </w:p>
        </w:tc>
        <w:tc>
          <w:tcPr>
            <w:tcW w:w="982" w:type="dxa"/>
            <w:tcBorders>
              <w:top w:val="single" w:sz="4" w:space="0" w:color="808000"/>
              <w:left w:val="nil"/>
              <w:bottom w:val="single" w:sz="4" w:space="0" w:color="auto"/>
              <w:right w:val="single" w:sz="8" w:space="0" w:color="auto"/>
            </w:tcBorders>
            <w:vAlign w:val="center"/>
          </w:tcPr>
          <w:p w14:paraId="1D848A4A" w14:textId="23D6EFA6" w:rsidR="634CB1F4" w:rsidRDefault="634CB1F4">
            <w:r w:rsidRPr="634CB1F4">
              <w:rPr>
                <w:rFonts w:ascii="Calibri" w:eastAsia="Calibri" w:hAnsi="Calibri" w:cs="Calibri"/>
                <w:i/>
                <w:iCs/>
                <w:color w:val="000000" w:themeColor="text1"/>
                <w:sz w:val="16"/>
                <w:szCs w:val="16"/>
              </w:rPr>
              <w:t xml:space="preserve"> 8.300,1 </w:t>
            </w:r>
          </w:p>
        </w:tc>
      </w:tr>
      <w:tr w:rsidR="634CB1F4" w14:paraId="74057A54" w14:textId="77777777" w:rsidTr="00304238">
        <w:trPr>
          <w:trHeight w:val="315"/>
        </w:trPr>
        <w:tc>
          <w:tcPr>
            <w:tcW w:w="982" w:type="dxa"/>
            <w:tcBorders>
              <w:top w:val="nil"/>
              <w:left w:val="nil"/>
              <w:bottom w:val="nil"/>
              <w:right w:val="nil"/>
            </w:tcBorders>
            <w:vAlign w:val="center"/>
          </w:tcPr>
          <w:p w14:paraId="11D20969" w14:textId="4FD6B2A8" w:rsidR="634CB1F4" w:rsidRDefault="634CB1F4" w:rsidP="634CB1F4">
            <w:pPr>
              <w:jc w:val="center"/>
            </w:pPr>
            <w:r w:rsidRPr="634CB1F4">
              <w:rPr>
                <w:rFonts w:ascii="Arial" w:eastAsia="Arial" w:hAnsi="Arial" w:cs="Arial"/>
                <w:b/>
                <w:bCs/>
                <w:color w:val="000000" w:themeColor="text1"/>
                <w:sz w:val="18"/>
                <w:szCs w:val="18"/>
              </w:rPr>
              <w:t>1-nov-77</w:t>
            </w:r>
          </w:p>
        </w:tc>
        <w:tc>
          <w:tcPr>
            <w:tcW w:w="982" w:type="dxa"/>
            <w:tcBorders>
              <w:top w:val="single" w:sz="4" w:space="0" w:color="auto"/>
              <w:left w:val="nil"/>
              <w:bottom w:val="single" w:sz="4" w:space="0" w:color="auto"/>
              <w:right w:val="nil"/>
            </w:tcBorders>
            <w:vAlign w:val="center"/>
          </w:tcPr>
          <w:p w14:paraId="225084FC" w14:textId="3B8980CC" w:rsidR="634CB1F4" w:rsidRDefault="634CB1F4">
            <w:r w:rsidRPr="634CB1F4">
              <w:rPr>
                <w:rFonts w:ascii="Calibri" w:eastAsia="Calibri" w:hAnsi="Calibri" w:cs="Calibri"/>
                <w:i/>
                <w:iCs/>
                <w:color w:val="000000" w:themeColor="text1"/>
                <w:sz w:val="16"/>
                <w:szCs w:val="16"/>
              </w:rPr>
              <w:t>17-dic-77</w:t>
            </w:r>
          </w:p>
        </w:tc>
        <w:tc>
          <w:tcPr>
            <w:tcW w:w="838" w:type="dxa"/>
            <w:tcBorders>
              <w:top w:val="single" w:sz="4" w:space="0" w:color="auto"/>
              <w:left w:val="nil"/>
              <w:bottom w:val="single" w:sz="4" w:space="0" w:color="000000" w:themeColor="text1"/>
              <w:right w:val="nil"/>
            </w:tcBorders>
            <w:vAlign w:val="center"/>
          </w:tcPr>
          <w:p w14:paraId="0B7E0DA4" w14:textId="687A9F18" w:rsidR="634CB1F4" w:rsidRDefault="634CB1F4" w:rsidP="634CB1F4">
            <w:pPr>
              <w:jc w:val="center"/>
            </w:pPr>
            <w:r w:rsidRPr="634CB1F4">
              <w:rPr>
                <w:rFonts w:ascii="Calibri" w:eastAsia="Calibri" w:hAnsi="Calibri" w:cs="Calibri"/>
                <w:i/>
                <w:iCs/>
                <w:color w:val="000000" w:themeColor="text1"/>
                <w:sz w:val="16"/>
                <w:szCs w:val="16"/>
              </w:rPr>
              <w:t>47</w:t>
            </w:r>
          </w:p>
        </w:tc>
        <w:tc>
          <w:tcPr>
            <w:tcW w:w="1126" w:type="dxa"/>
            <w:gridSpan w:val="2"/>
            <w:tcBorders>
              <w:top w:val="single" w:sz="4" w:space="0" w:color="auto"/>
              <w:left w:val="nil"/>
              <w:bottom w:val="single" w:sz="4" w:space="0" w:color="000000" w:themeColor="text1"/>
              <w:right w:val="single" w:sz="8" w:space="0" w:color="auto"/>
            </w:tcBorders>
            <w:vAlign w:val="center"/>
          </w:tcPr>
          <w:p w14:paraId="55F43F6B" w14:textId="041C524E" w:rsidR="634CB1F4" w:rsidRDefault="634CB1F4">
            <w:r w:rsidRPr="634CB1F4">
              <w:rPr>
                <w:rFonts w:ascii="Arial" w:eastAsia="Arial" w:hAnsi="Arial" w:cs="Arial"/>
                <w:color w:val="000000" w:themeColor="text1"/>
                <w:sz w:val="18"/>
                <w:szCs w:val="18"/>
              </w:rPr>
              <w:t xml:space="preserve"> 2.430,00 </w:t>
            </w:r>
          </w:p>
        </w:tc>
        <w:tc>
          <w:tcPr>
            <w:tcW w:w="982" w:type="dxa"/>
            <w:tcBorders>
              <w:top w:val="nil"/>
              <w:left w:val="single" w:sz="8" w:space="0" w:color="auto"/>
              <w:bottom w:val="nil"/>
              <w:right w:val="nil"/>
            </w:tcBorders>
            <w:vAlign w:val="center"/>
          </w:tcPr>
          <w:p w14:paraId="6F0EFA66" w14:textId="065AA22C" w:rsidR="634CB1F4" w:rsidRDefault="634CB1F4"/>
        </w:tc>
        <w:tc>
          <w:tcPr>
            <w:tcW w:w="982" w:type="dxa"/>
            <w:tcBorders>
              <w:top w:val="nil"/>
              <w:left w:val="single" w:sz="8" w:space="0" w:color="auto"/>
              <w:bottom w:val="nil"/>
              <w:right w:val="nil"/>
            </w:tcBorders>
            <w:shd w:val="clear" w:color="auto" w:fill="FFFF99"/>
            <w:vAlign w:val="center"/>
          </w:tcPr>
          <w:p w14:paraId="265C0420" w14:textId="0321EDAE" w:rsidR="634CB1F4" w:rsidRDefault="634CB1F4">
            <w:r w:rsidRPr="634CB1F4">
              <w:rPr>
                <w:rFonts w:ascii="Calibri" w:eastAsia="Calibri" w:hAnsi="Calibri" w:cs="Calibri"/>
                <w:b/>
                <w:bCs/>
                <w:i/>
                <w:iCs/>
                <w:color w:val="000000" w:themeColor="text1"/>
                <w:sz w:val="16"/>
                <w:szCs w:val="16"/>
              </w:rPr>
              <w:t xml:space="preserve"> 550.221 </w:t>
            </w:r>
          </w:p>
        </w:tc>
        <w:tc>
          <w:tcPr>
            <w:tcW w:w="982" w:type="dxa"/>
            <w:tcBorders>
              <w:top w:val="nil"/>
              <w:left w:val="nil"/>
              <w:bottom w:val="nil"/>
              <w:right w:val="nil"/>
            </w:tcBorders>
            <w:vAlign w:val="center"/>
          </w:tcPr>
          <w:p w14:paraId="5C404BE6" w14:textId="6924C030" w:rsidR="634CB1F4" w:rsidRDefault="634CB1F4" w:rsidP="634CB1F4">
            <w:pPr>
              <w:jc w:val="center"/>
            </w:pPr>
            <w:r w:rsidRPr="634CB1F4">
              <w:rPr>
                <w:rFonts w:ascii="Calibri" w:eastAsia="Calibri" w:hAnsi="Calibri" w:cs="Calibri"/>
                <w:b/>
                <w:bCs/>
                <w:i/>
                <w:iCs/>
                <w:color w:val="000000" w:themeColor="text1"/>
                <w:sz w:val="16"/>
                <w:szCs w:val="16"/>
              </w:rPr>
              <w:t xml:space="preserve"> 82,47 </w:t>
            </w:r>
          </w:p>
        </w:tc>
        <w:tc>
          <w:tcPr>
            <w:tcW w:w="982" w:type="dxa"/>
            <w:tcBorders>
              <w:top w:val="nil"/>
              <w:left w:val="nil"/>
              <w:bottom w:val="nil"/>
              <w:right w:val="nil"/>
            </w:tcBorders>
            <w:vAlign w:val="center"/>
          </w:tcPr>
          <w:p w14:paraId="1D09093A" w14:textId="14F08B49" w:rsidR="634CB1F4" w:rsidRDefault="634CB1F4" w:rsidP="634CB1F4">
            <w:pPr>
              <w:jc w:val="center"/>
            </w:pPr>
            <w:r w:rsidRPr="634CB1F4">
              <w:rPr>
                <w:rFonts w:ascii="Calibri" w:eastAsia="Calibri" w:hAnsi="Calibri" w:cs="Calibri"/>
                <w:b/>
                <w:bCs/>
                <w:i/>
                <w:iCs/>
                <w:color w:val="000000" w:themeColor="text1"/>
                <w:sz w:val="16"/>
                <w:szCs w:val="16"/>
              </w:rPr>
              <w:t xml:space="preserve"> 0,3642 </w:t>
            </w:r>
          </w:p>
        </w:tc>
        <w:tc>
          <w:tcPr>
            <w:tcW w:w="982" w:type="dxa"/>
            <w:tcBorders>
              <w:top w:val="single" w:sz="4" w:space="0" w:color="auto"/>
              <w:left w:val="nil"/>
              <w:bottom w:val="single" w:sz="4" w:space="0" w:color="auto"/>
              <w:right w:val="single" w:sz="8" w:space="0" w:color="auto"/>
            </w:tcBorders>
            <w:vAlign w:val="center"/>
          </w:tcPr>
          <w:p w14:paraId="6E736031" w14:textId="0B2DC196" w:rsidR="634CB1F4" w:rsidRDefault="634CB1F4">
            <w:r w:rsidRPr="634CB1F4">
              <w:rPr>
                <w:rFonts w:ascii="Calibri" w:eastAsia="Calibri" w:hAnsi="Calibri" w:cs="Calibri"/>
                <w:i/>
                <w:iCs/>
                <w:color w:val="000000" w:themeColor="text1"/>
                <w:sz w:val="16"/>
                <w:szCs w:val="16"/>
              </w:rPr>
              <w:t xml:space="preserve"> 4.500,6 </w:t>
            </w:r>
          </w:p>
        </w:tc>
      </w:tr>
      <w:tr w:rsidR="634CB1F4" w14:paraId="2E774046" w14:textId="77777777" w:rsidTr="00304238">
        <w:trPr>
          <w:trHeight w:val="315"/>
        </w:trPr>
        <w:tc>
          <w:tcPr>
            <w:tcW w:w="982" w:type="dxa"/>
            <w:tcBorders>
              <w:top w:val="single" w:sz="4" w:space="0" w:color="auto"/>
              <w:left w:val="nil"/>
              <w:bottom w:val="single" w:sz="4" w:space="0" w:color="auto"/>
              <w:right w:val="nil"/>
            </w:tcBorders>
            <w:vAlign w:val="center"/>
          </w:tcPr>
          <w:p w14:paraId="3C456609" w14:textId="310351BE" w:rsidR="634CB1F4" w:rsidRPr="002B2662" w:rsidRDefault="634CB1F4" w:rsidP="634CB1F4">
            <w:pPr>
              <w:jc w:val="center"/>
              <w:rPr>
                <w:b/>
              </w:rPr>
            </w:pPr>
            <w:r w:rsidRPr="002B2662">
              <w:rPr>
                <w:rFonts w:ascii="Arial" w:eastAsia="Arial" w:hAnsi="Arial" w:cs="Arial"/>
                <w:b/>
                <w:color w:val="000000" w:themeColor="text1"/>
                <w:sz w:val="18"/>
                <w:szCs w:val="18"/>
              </w:rPr>
              <w:t>9-ene-78</w:t>
            </w:r>
          </w:p>
        </w:tc>
        <w:tc>
          <w:tcPr>
            <w:tcW w:w="982" w:type="dxa"/>
            <w:tcBorders>
              <w:top w:val="single" w:sz="4" w:space="0" w:color="auto"/>
              <w:left w:val="nil"/>
              <w:bottom w:val="single" w:sz="4" w:space="0" w:color="auto"/>
              <w:right w:val="nil"/>
            </w:tcBorders>
            <w:vAlign w:val="center"/>
          </w:tcPr>
          <w:p w14:paraId="0BFD16F8" w14:textId="7FB8F910" w:rsidR="634CB1F4" w:rsidRDefault="634CB1F4">
            <w:r w:rsidRPr="634CB1F4">
              <w:rPr>
                <w:rFonts w:ascii="Calibri" w:eastAsia="Calibri" w:hAnsi="Calibri" w:cs="Calibri"/>
                <w:i/>
                <w:iCs/>
                <w:color w:val="000000" w:themeColor="text1"/>
                <w:sz w:val="16"/>
                <w:szCs w:val="16"/>
              </w:rPr>
              <w:t>31-dic-78</w:t>
            </w:r>
          </w:p>
        </w:tc>
        <w:tc>
          <w:tcPr>
            <w:tcW w:w="838" w:type="dxa"/>
            <w:tcBorders>
              <w:top w:val="single" w:sz="4" w:space="0" w:color="auto"/>
              <w:left w:val="nil"/>
              <w:bottom w:val="single" w:sz="4" w:space="0" w:color="auto"/>
              <w:right w:val="nil"/>
            </w:tcBorders>
            <w:vAlign w:val="center"/>
          </w:tcPr>
          <w:p w14:paraId="5952D855" w14:textId="42EDC791" w:rsidR="634CB1F4" w:rsidRDefault="634CB1F4" w:rsidP="634CB1F4">
            <w:pPr>
              <w:jc w:val="center"/>
            </w:pPr>
            <w:r w:rsidRPr="634CB1F4">
              <w:rPr>
                <w:rFonts w:ascii="Calibri" w:eastAsia="Calibri" w:hAnsi="Calibri" w:cs="Calibri"/>
                <w:i/>
                <w:iCs/>
                <w:color w:val="000000" w:themeColor="text1"/>
                <w:sz w:val="16"/>
                <w:szCs w:val="16"/>
              </w:rPr>
              <w:t>357</w:t>
            </w:r>
          </w:p>
        </w:tc>
        <w:tc>
          <w:tcPr>
            <w:tcW w:w="1126" w:type="dxa"/>
            <w:gridSpan w:val="2"/>
            <w:tcBorders>
              <w:top w:val="single" w:sz="4" w:space="0" w:color="auto"/>
              <w:left w:val="nil"/>
              <w:bottom w:val="single" w:sz="4" w:space="0" w:color="auto"/>
              <w:right w:val="single" w:sz="8" w:space="0" w:color="auto"/>
            </w:tcBorders>
            <w:vAlign w:val="center"/>
          </w:tcPr>
          <w:p w14:paraId="56F3E05A" w14:textId="19D2C74B" w:rsidR="634CB1F4" w:rsidRDefault="634CB1F4">
            <w:r w:rsidRPr="634CB1F4">
              <w:rPr>
                <w:rFonts w:ascii="Arial" w:eastAsia="Arial" w:hAnsi="Arial" w:cs="Arial"/>
                <w:color w:val="000000" w:themeColor="text1"/>
                <w:sz w:val="18"/>
                <w:szCs w:val="18"/>
              </w:rPr>
              <w:t xml:space="preserve"> 2.430,00 </w:t>
            </w:r>
          </w:p>
        </w:tc>
        <w:tc>
          <w:tcPr>
            <w:tcW w:w="982" w:type="dxa"/>
            <w:tcBorders>
              <w:top w:val="nil"/>
              <w:left w:val="single" w:sz="8" w:space="0" w:color="auto"/>
              <w:bottom w:val="nil"/>
              <w:right w:val="nil"/>
            </w:tcBorders>
            <w:vAlign w:val="center"/>
          </w:tcPr>
          <w:p w14:paraId="25C49163" w14:textId="25B869EE" w:rsidR="634CB1F4" w:rsidRDefault="634CB1F4"/>
        </w:tc>
        <w:tc>
          <w:tcPr>
            <w:tcW w:w="982" w:type="dxa"/>
            <w:tcBorders>
              <w:top w:val="single" w:sz="4" w:space="0" w:color="auto"/>
              <w:left w:val="single" w:sz="8" w:space="0" w:color="auto"/>
              <w:bottom w:val="single" w:sz="4" w:space="0" w:color="000000" w:themeColor="text1"/>
              <w:right w:val="nil"/>
            </w:tcBorders>
            <w:shd w:val="clear" w:color="auto" w:fill="FFFF99"/>
            <w:vAlign w:val="center"/>
          </w:tcPr>
          <w:p w14:paraId="69EDD468" w14:textId="0A0AD138" w:rsidR="634CB1F4" w:rsidRDefault="634CB1F4">
            <w:r w:rsidRPr="634CB1F4">
              <w:rPr>
                <w:rFonts w:ascii="Calibri" w:eastAsia="Calibri" w:hAnsi="Calibri" w:cs="Calibri"/>
                <w:b/>
                <w:bCs/>
                <w:i/>
                <w:iCs/>
                <w:color w:val="000000" w:themeColor="text1"/>
                <w:sz w:val="16"/>
                <w:szCs w:val="16"/>
              </w:rPr>
              <w:t xml:space="preserve"> 427.477 </w:t>
            </w:r>
          </w:p>
        </w:tc>
        <w:tc>
          <w:tcPr>
            <w:tcW w:w="982" w:type="dxa"/>
            <w:tcBorders>
              <w:top w:val="single" w:sz="4" w:space="0" w:color="auto"/>
              <w:left w:val="nil"/>
              <w:bottom w:val="single" w:sz="4" w:space="0" w:color="auto"/>
              <w:right w:val="nil"/>
            </w:tcBorders>
            <w:vAlign w:val="center"/>
          </w:tcPr>
          <w:p w14:paraId="66BDDE39" w14:textId="09557322"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20F4BBEC" w14:textId="1CA92D5D" w:rsidR="634CB1F4" w:rsidRDefault="634CB1F4" w:rsidP="634CB1F4">
            <w:pPr>
              <w:jc w:val="center"/>
            </w:pPr>
            <w:r w:rsidRPr="634CB1F4">
              <w:rPr>
                <w:rFonts w:ascii="Calibri" w:eastAsia="Calibri" w:hAnsi="Calibri" w:cs="Calibri"/>
                <w:i/>
                <w:iCs/>
                <w:color w:val="000000" w:themeColor="text1"/>
                <w:sz w:val="16"/>
                <w:szCs w:val="16"/>
              </w:rPr>
              <w:t xml:space="preserve"> 0,47 </w:t>
            </w:r>
          </w:p>
        </w:tc>
        <w:tc>
          <w:tcPr>
            <w:tcW w:w="982" w:type="dxa"/>
            <w:tcBorders>
              <w:top w:val="single" w:sz="4" w:space="0" w:color="auto"/>
              <w:left w:val="nil"/>
              <w:bottom w:val="single" w:sz="4" w:space="0" w:color="000000" w:themeColor="text1"/>
              <w:right w:val="single" w:sz="8" w:space="0" w:color="auto"/>
            </w:tcBorders>
            <w:vAlign w:val="center"/>
          </w:tcPr>
          <w:p w14:paraId="216207FA" w14:textId="2666A73A" w:rsidR="634CB1F4" w:rsidRDefault="634CB1F4">
            <w:r w:rsidRPr="634CB1F4">
              <w:rPr>
                <w:rFonts w:ascii="Calibri" w:eastAsia="Calibri" w:hAnsi="Calibri" w:cs="Calibri"/>
                <w:i/>
                <w:iCs/>
                <w:color w:val="000000" w:themeColor="text1"/>
                <w:sz w:val="16"/>
                <w:szCs w:val="16"/>
              </w:rPr>
              <w:t xml:space="preserve"> 26.559,2 </w:t>
            </w:r>
          </w:p>
        </w:tc>
      </w:tr>
      <w:tr w:rsidR="634CB1F4" w14:paraId="5FF5BDB5" w14:textId="77777777" w:rsidTr="00304238">
        <w:trPr>
          <w:trHeight w:val="315"/>
        </w:trPr>
        <w:tc>
          <w:tcPr>
            <w:tcW w:w="982" w:type="dxa"/>
            <w:tcBorders>
              <w:top w:val="single" w:sz="4" w:space="0" w:color="auto"/>
              <w:left w:val="nil"/>
              <w:bottom w:val="nil"/>
              <w:right w:val="nil"/>
            </w:tcBorders>
            <w:vAlign w:val="center"/>
          </w:tcPr>
          <w:p w14:paraId="6E8C94CF" w14:textId="3A1B5D2E" w:rsidR="634CB1F4" w:rsidRDefault="634CB1F4" w:rsidP="634CB1F4">
            <w:pPr>
              <w:jc w:val="center"/>
            </w:pPr>
            <w:r w:rsidRPr="634CB1F4">
              <w:rPr>
                <w:rFonts w:ascii="Arial" w:eastAsia="Arial" w:hAnsi="Arial" w:cs="Arial"/>
                <w:b/>
                <w:bCs/>
                <w:color w:val="000000" w:themeColor="text1"/>
                <w:sz w:val="18"/>
                <w:szCs w:val="18"/>
              </w:rPr>
              <w:t>1-ene-79</w:t>
            </w:r>
          </w:p>
        </w:tc>
        <w:tc>
          <w:tcPr>
            <w:tcW w:w="982" w:type="dxa"/>
            <w:tcBorders>
              <w:top w:val="single" w:sz="4" w:space="0" w:color="auto"/>
              <w:left w:val="nil"/>
              <w:bottom w:val="single" w:sz="4" w:space="0" w:color="auto"/>
              <w:right w:val="nil"/>
            </w:tcBorders>
            <w:vAlign w:val="center"/>
          </w:tcPr>
          <w:p w14:paraId="0944F7CB" w14:textId="4B794369" w:rsidR="634CB1F4" w:rsidRDefault="634CB1F4">
            <w:r w:rsidRPr="634CB1F4">
              <w:rPr>
                <w:rFonts w:ascii="Calibri" w:eastAsia="Calibri" w:hAnsi="Calibri" w:cs="Calibri"/>
                <w:i/>
                <w:iCs/>
                <w:color w:val="000000" w:themeColor="text1"/>
                <w:sz w:val="16"/>
                <w:szCs w:val="16"/>
              </w:rPr>
              <w:t>31-oct-79</w:t>
            </w:r>
          </w:p>
        </w:tc>
        <w:tc>
          <w:tcPr>
            <w:tcW w:w="838" w:type="dxa"/>
            <w:tcBorders>
              <w:top w:val="single" w:sz="4" w:space="0" w:color="auto"/>
              <w:left w:val="nil"/>
              <w:bottom w:val="single" w:sz="4" w:space="0" w:color="auto"/>
              <w:right w:val="nil"/>
            </w:tcBorders>
            <w:vAlign w:val="center"/>
          </w:tcPr>
          <w:p w14:paraId="7CB6A492" w14:textId="314A1717" w:rsidR="634CB1F4" w:rsidRDefault="634CB1F4" w:rsidP="634CB1F4">
            <w:pPr>
              <w:jc w:val="center"/>
            </w:pPr>
            <w:r w:rsidRPr="634CB1F4">
              <w:rPr>
                <w:rFonts w:ascii="Calibri" w:eastAsia="Calibri" w:hAnsi="Calibri" w:cs="Calibri"/>
                <w:i/>
                <w:iCs/>
                <w:color w:val="000000" w:themeColor="text1"/>
                <w:sz w:val="16"/>
                <w:szCs w:val="16"/>
              </w:rPr>
              <w:t>304</w:t>
            </w:r>
          </w:p>
        </w:tc>
        <w:tc>
          <w:tcPr>
            <w:tcW w:w="1126" w:type="dxa"/>
            <w:gridSpan w:val="2"/>
            <w:tcBorders>
              <w:top w:val="single" w:sz="4" w:space="0" w:color="auto"/>
              <w:left w:val="nil"/>
              <w:bottom w:val="single" w:sz="4" w:space="0" w:color="auto"/>
              <w:right w:val="single" w:sz="8" w:space="0" w:color="auto"/>
            </w:tcBorders>
            <w:vAlign w:val="center"/>
          </w:tcPr>
          <w:p w14:paraId="6EDEB9FD" w14:textId="060466EC" w:rsidR="634CB1F4" w:rsidRDefault="634CB1F4">
            <w:r w:rsidRPr="634CB1F4">
              <w:rPr>
                <w:rFonts w:ascii="Arial" w:eastAsia="Arial" w:hAnsi="Arial" w:cs="Arial"/>
                <w:color w:val="000000" w:themeColor="text1"/>
                <w:sz w:val="18"/>
                <w:szCs w:val="18"/>
              </w:rPr>
              <w:t xml:space="preserve"> 3.300,00 </w:t>
            </w:r>
          </w:p>
        </w:tc>
        <w:tc>
          <w:tcPr>
            <w:tcW w:w="982" w:type="dxa"/>
            <w:tcBorders>
              <w:top w:val="nil"/>
              <w:left w:val="single" w:sz="8" w:space="0" w:color="auto"/>
              <w:bottom w:val="nil"/>
              <w:right w:val="nil"/>
            </w:tcBorders>
            <w:vAlign w:val="center"/>
          </w:tcPr>
          <w:p w14:paraId="743B32AD" w14:textId="051487B0" w:rsidR="634CB1F4" w:rsidRDefault="634CB1F4"/>
        </w:tc>
        <w:tc>
          <w:tcPr>
            <w:tcW w:w="982" w:type="dxa"/>
            <w:tcBorders>
              <w:top w:val="single" w:sz="4" w:space="0" w:color="auto"/>
              <w:left w:val="single" w:sz="8" w:space="0" w:color="auto"/>
              <w:bottom w:val="single" w:sz="4" w:space="0" w:color="auto"/>
              <w:right w:val="nil"/>
            </w:tcBorders>
            <w:shd w:val="clear" w:color="auto" w:fill="FFFF99"/>
            <w:vAlign w:val="center"/>
          </w:tcPr>
          <w:p w14:paraId="51CBBFF5" w14:textId="63FBB945" w:rsidR="634CB1F4" w:rsidRDefault="634CB1F4">
            <w:r w:rsidRPr="634CB1F4">
              <w:rPr>
                <w:rFonts w:ascii="Calibri" w:eastAsia="Calibri" w:hAnsi="Calibri" w:cs="Calibri"/>
                <w:b/>
                <w:bCs/>
                <w:i/>
                <w:iCs/>
                <w:color w:val="000000" w:themeColor="text1"/>
                <w:sz w:val="16"/>
                <w:szCs w:val="16"/>
              </w:rPr>
              <w:t xml:space="preserve"> 490.210 </w:t>
            </w:r>
          </w:p>
        </w:tc>
        <w:tc>
          <w:tcPr>
            <w:tcW w:w="982" w:type="dxa"/>
            <w:tcBorders>
              <w:top w:val="single" w:sz="4" w:space="0" w:color="auto"/>
              <w:left w:val="nil"/>
              <w:bottom w:val="single" w:sz="4" w:space="0" w:color="auto"/>
              <w:right w:val="nil"/>
            </w:tcBorders>
            <w:vAlign w:val="center"/>
          </w:tcPr>
          <w:p w14:paraId="1A664636" w14:textId="3005C047"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725635D3" w14:textId="6F2F5EFC" w:rsidR="634CB1F4" w:rsidRDefault="634CB1F4" w:rsidP="634CB1F4">
            <w:pPr>
              <w:jc w:val="center"/>
            </w:pPr>
            <w:r w:rsidRPr="634CB1F4">
              <w:rPr>
                <w:rFonts w:ascii="Calibri" w:eastAsia="Calibri" w:hAnsi="Calibri" w:cs="Calibri"/>
                <w:i/>
                <w:iCs/>
                <w:color w:val="000000" w:themeColor="text1"/>
                <w:sz w:val="16"/>
                <w:szCs w:val="16"/>
              </w:rPr>
              <w:t xml:space="preserve"> 0,56 </w:t>
            </w:r>
          </w:p>
        </w:tc>
        <w:tc>
          <w:tcPr>
            <w:tcW w:w="982" w:type="dxa"/>
            <w:tcBorders>
              <w:top w:val="single" w:sz="4" w:space="0" w:color="auto"/>
              <w:left w:val="nil"/>
              <w:bottom w:val="single" w:sz="4" w:space="0" w:color="auto"/>
              <w:right w:val="single" w:sz="8" w:space="0" w:color="auto"/>
            </w:tcBorders>
            <w:vAlign w:val="center"/>
          </w:tcPr>
          <w:p w14:paraId="11D12D6F" w14:textId="7EA96240" w:rsidR="634CB1F4" w:rsidRDefault="634CB1F4">
            <w:r w:rsidRPr="634CB1F4">
              <w:rPr>
                <w:rFonts w:ascii="Calibri" w:eastAsia="Calibri" w:hAnsi="Calibri" w:cs="Calibri"/>
                <w:i/>
                <w:iCs/>
                <w:color w:val="000000" w:themeColor="text1"/>
                <w:sz w:val="16"/>
                <w:szCs w:val="16"/>
              </w:rPr>
              <w:t xml:space="preserve"> 25.935,2 </w:t>
            </w:r>
          </w:p>
        </w:tc>
      </w:tr>
      <w:tr w:rsidR="634CB1F4" w14:paraId="26B5C216" w14:textId="77777777" w:rsidTr="00304238">
        <w:trPr>
          <w:trHeight w:val="315"/>
        </w:trPr>
        <w:tc>
          <w:tcPr>
            <w:tcW w:w="982" w:type="dxa"/>
            <w:tcBorders>
              <w:top w:val="nil"/>
              <w:left w:val="nil"/>
              <w:bottom w:val="nil"/>
              <w:right w:val="nil"/>
            </w:tcBorders>
            <w:vAlign w:val="center"/>
          </w:tcPr>
          <w:p w14:paraId="480B31E4" w14:textId="1493EC27" w:rsidR="634CB1F4" w:rsidRDefault="634CB1F4" w:rsidP="634CB1F4">
            <w:pPr>
              <w:jc w:val="center"/>
            </w:pPr>
            <w:r w:rsidRPr="634CB1F4">
              <w:rPr>
                <w:rFonts w:ascii="Arial" w:eastAsia="Arial" w:hAnsi="Arial" w:cs="Arial"/>
                <w:b/>
                <w:bCs/>
                <w:color w:val="000000" w:themeColor="text1"/>
                <w:sz w:val="18"/>
                <w:szCs w:val="18"/>
              </w:rPr>
              <w:t>14-ene-80</w:t>
            </w:r>
          </w:p>
        </w:tc>
        <w:tc>
          <w:tcPr>
            <w:tcW w:w="982" w:type="dxa"/>
            <w:tcBorders>
              <w:top w:val="single" w:sz="4" w:space="0" w:color="auto"/>
              <w:left w:val="nil"/>
              <w:bottom w:val="single" w:sz="4" w:space="0" w:color="auto"/>
              <w:right w:val="nil"/>
            </w:tcBorders>
            <w:vAlign w:val="center"/>
          </w:tcPr>
          <w:p w14:paraId="68D171F6" w14:textId="34FF62DC" w:rsidR="634CB1F4" w:rsidRDefault="634CB1F4">
            <w:r w:rsidRPr="634CB1F4">
              <w:rPr>
                <w:rFonts w:ascii="Calibri" w:eastAsia="Calibri" w:hAnsi="Calibri" w:cs="Calibri"/>
                <w:i/>
                <w:iCs/>
                <w:color w:val="000000" w:themeColor="text1"/>
                <w:sz w:val="16"/>
                <w:szCs w:val="16"/>
              </w:rPr>
              <w:t>22-ene-80</w:t>
            </w:r>
          </w:p>
        </w:tc>
        <w:tc>
          <w:tcPr>
            <w:tcW w:w="838" w:type="dxa"/>
            <w:tcBorders>
              <w:top w:val="single" w:sz="4" w:space="0" w:color="auto"/>
              <w:left w:val="nil"/>
              <w:bottom w:val="single" w:sz="4" w:space="0" w:color="auto"/>
              <w:right w:val="nil"/>
            </w:tcBorders>
            <w:vAlign w:val="center"/>
          </w:tcPr>
          <w:p w14:paraId="2B278BC7" w14:textId="7700573E" w:rsidR="634CB1F4" w:rsidRDefault="634CB1F4" w:rsidP="634CB1F4">
            <w:pPr>
              <w:jc w:val="center"/>
            </w:pPr>
            <w:r w:rsidRPr="634CB1F4">
              <w:rPr>
                <w:rFonts w:ascii="Calibri" w:eastAsia="Calibri" w:hAnsi="Calibri" w:cs="Calibri"/>
                <w:i/>
                <w:iCs/>
                <w:color w:val="000000" w:themeColor="text1"/>
                <w:sz w:val="16"/>
                <w:szCs w:val="16"/>
              </w:rPr>
              <w:t>9</w:t>
            </w:r>
          </w:p>
        </w:tc>
        <w:tc>
          <w:tcPr>
            <w:tcW w:w="1126" w:type="dxa"/>
            <w:gridSpan w:val="2"/>
            <w:tcBorders>
              <w:top w:val="single" w:sz="4" w:space="0" w:color="auto"/>
              <w:left w:val="nil"/>
              <w:bottom w:val="single" w:sz="4" w:space="0" w:color="auto"/>
              <w:right w:val="single" w:sz="8" w:space="0" w:color="auto"/>
            </w:tcBorders>
            <w:vAlign w:val="center"/>
          </w:tcPr>
          <w:p w14:paraId="611D6378" w14:textId="6CD59523" w:rsidR="634CB1F4" w:rsidRDefault="634CB1F4">
            <w:r w:rsidRPr="634CB1F4">
              <w:rPr>
                <w:rFonts w:ascii="Arial" w:eastAsia="Arial" w:hAnsi="Arial" w:cs="Arial"/>
                <w:color w:val="000000" w:themeColor="text1"/>
                <w:sz w:val="18"/>
                <w:szCs w:val="18"/>
              </w:rPr>
              <w:t xml:space="preserve"> 4.410,00 </w:t>
            </w:r>
          </w:p>
        </w:tc>
        <w:tc>
          <w:tcPr>
            <w:tcW w:w="982" w:type="dxa"/>
            <w:tcBorders>
              <w:top w:val="nil"/>
              <w:left w:val="single" w:sz="8" w:space="0" w:color="auto"/>
              <w:bottom w:val="nil"/>
              <w:right w:val="nil"/>
            </w:tcBorders>
            <w:vAlign w:val="center"/>
          </w:tcPr>
          <w:p w14:paraId="3C722A78" w14:textId="6143F8E7" w:rsidR="634CB1F4" w:rsidRDefault="634CB1F4"/>
        </w:tc>
        <w:tc>
          <w:tcPr>
            <w:tcW w:w="982" w:type="dxa"/>
            <w:tcBorders>
              <w:top w:val="single" w:sz="4" w:space="0" w:color="auto"/>
              <w:left w:val="single" w:sz="8" w:space="0" w:color="auto"/>
              <w:bottom w:val="single" w:sz="4" w:space="0" w:color="auto"/>
              <w:right w:val="nil"/>
            </w:tcBorders>
            <w:shd w:val="clear" w:color="auto" w:fill="FFFF99"/>
            <w:vAlign w:val="center"/>
          </w:tcPr>
          <w:p w14:paraId="50E6B23E" w14:textId="5609F63B" w:rsidR="634CB1F4" w:rsidRDefault="634CB1F4">
            <w:r w:rsidRPr="634CB1F4">
              <w:rPr>
                <w:rFonts w:ascii="Calibri" w:eastAsia="Calibri" w:hAnsi="Calibri" w:cs="Calibri"/>
                <w:b/>
                <w:bCs/>
                <w:i/>
                <w:iCs/>
                <w:color w:val="000000" w:themeColor="text1"/>
                <w:sz w:val="16"/>
                <w:szCs w:val="16"/>
              </w:rPr>
              <w:t xml:space="preserve"> 508.624 </w:t>
            </w:r>
          </w:p>
        </w:tc>
        <w:tc>
          <w:tcPr>
            <w:tcW w:w="982" w:type="dxa"/>
            <w:tcBorders>
              <w:top w:val="single" w:sz="4" w:space="0" w:color="auto"/>
              <w:left w:val="nil"/>
              <w:bottom w:val="single" w:sz="4" w:space="0" w:color="auto"/>
              <w:right w:val="nil"/>
            </w:tcBorders>
            <w:vAlign w:val="center"/>
          </w:tcPr>
          <w:p w14:paraId="6B5DB690" w14:textId="44737053"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39ECFA3B" w14:textId="480C30BE" w:rsidR="634CB1F4" w:rsidRDefault="634CB1F4" w:rsidP="634CB1F4">
            <w:pPr>
              <w:jc w:val="center"/>
            </w:pPr>
            <w:r w:rsidRPr="634CB1F4">
              <w:rPr>
                <w:rFonts w:ascii="Calibri" w:eastAsia="Calibri" w:hAnsi="Calibri" w:cs="Calibri"/>
                <w:i/>
                <w:iCs/>
                <w:color w:val="000000" w:themeColor="text1"/>
                <w:sz w:val="16"/>
                <w:szCs w:val="16"/>
              </w:rPr>
              <w:t xml:space="preserve"> 0,72 </w:t>
            </w:r>
          </w:p>
        </w:tc>
        <w:tc>
          <w:tcPr>
            <w:tcW w:w="982" w:type="dxa"/>
            <w:tcBorders>
              <w:top w:val="single" w:sz="4" w:space="0" w:color="auto"/>
              <w:left w:val="nil"/>
              <w:bottom w:val="single" w:sz="4" w:space="0" w:color="auto"/>
              <w:right w:val="single" w:sz="8" w:space="0" w:color="auto"/>
            </w:tcBorders>
            <w:vAlign w:val="center"/>
          </w:tcPr>
          <w:p w14:paraId="1BEDAD0C" w14:textId="13E6FACF" w:rsidR="634CB1F4" w:rsidRDefault="634CB1F4">
            <w:r w:rsidRPr="634CB1F4">
              <w:rPr>
                <w:rFonts w:ascii="Calibri" w:eastAsia="Calibri" w:hAnsi="Calibri" w:cs="Calibri"/>
                <w:i/>
                <w:iCs/>
                <w:color w:val="000000" w:themeColor="text1"/>
                <w:sz w:val="16"/>
                <w:szCs w:val="16"/>
              </w:rPr>
              <w:t xml:space="preserve"> 796,7 </w:t>
            </w:r>
          </w:p>
        </w:tc>
      </w:tr>
      <w:tr w:rsidR="634CB1F4" w14:paraId="29F877C4" w14:textId="77777777" w:rsidTr="00304238">
        <w:trPr>
          <w:trHeight w:val="315"/>
        </w:trPr>
        <w:tc>
          <w:tcPr>
            <w:tcW w:w="982" w:type="dxa"/>
            <w:tcBorders>
              <w:top w:val="nil"/>
              <w:left w:val="nil"/>
              <w:bottom w:val="nil"/>
              <w:right w:val="nil"/>
            </w:tcBorders>
            <w:vAlign w:val="center"/>
          </w:tcPr>
          <w:p w14:paraId="53D908D3" w14:textId="4B9EDA40" w:rsidR="634CB1F4" w:rsidRDefault="634CB1F4" w:rsidP="634CB1F4">
            <w:pPr>
              <w:jc w:val="center"/>
            </w:pPr>
            <w:r w:rsidRPr="634CB1F4">
              <w:rPr>
                <w:rFonts w:ascii="Arial" w:eastAsia="Arial" w:hAnsi="Arial" w:cs="Arial"/>
                <w:b/>
                <w:bCs/>
                <w:color w:val="000000" w:themeColor="text1"/>
                <w:sz w:val="18"/>
                <w:szCs w:val="18"/>
              </w:rPr>
              <w:t>1-oct-80</w:t>
            </w:r>
          </w:p>
        </w:tc>
        <w:tc>
          <w:tcPr>
            <w:tcW w:w="982" w:type="dxa"/>
            <w:tcBorders>
              <w:top w:val="single" w:sz="4" w:space="0" w:color="auto"/>
              <w:left w:val="nil"/>
              <w:bottom w:val="single" w:sz="4" w:space="0" w:color="auto"/>
              <w:right w:val="nil"/>
            </w:tcBorders>
            <w:vAlign w:val="center"/>
          </w:tcPr>
          <w:p w14:paraId="3619124E" w14:textId="321430B6" w:rsidR="634CB1F4" w:rsidRDefault="634CB1F4">
            <w:r w:rsidRPr="634CB1F4">
              <w:rPr>
                <w:rFonts w:ascii="Calibri" w:eastAsia="Calibri" w:hAnsi="Calibri" w:cs="Calibri"/>
                <w:i/>
                <w:iCs/>
                <w:color w:val="000000" w:themeColor="text1"/>
                <w:sz w:val="16"/>
                <w:szCs w:val="16"/>
              </w:rPr>
              <w:t>22-dic-80</w:t>
            </w:r>
          </w:p>
        </w:tc>
        <w:tc>
          <w:tcPr>
            <w:tcW w:w="838" w:type="dxa"/>
            <w:tcBorders>
              <w:top w:val="single" w:sz="4" w:space="0" w:color="auto"/>
              <w:left w:val="nil"/>
              <w:bottom w:val="single" w:sz="4" w:space="0" w:color="auto"/>
              <w:right w:val="nil"/>
            </w:tcBorders>
            <w:vAlign w:val="center"/>
          </w:tcPr>
          <w:p w14:paraId="4CB20BDD" w14:textId="349AD9C1" w:rsidR="634CB1F4" w:rsidRDefault="634CB1F4" w:rsidP="634CB1F4">
            <w:pPr>
              <w:jc w:val="center"/>
            </w:pPr>
            <w:r w:rsidRPr="634CB1F4">
              <w:rPr>
                <w:rFonts w:ascii="Calibri" w:eastAsia="Calibri" w:hAnsi="Calibri" w:cs="Calibri"/>
                <w:i/>
                <w:iCs/>
                <w:color w:val="000000" w:themeColor="text1"/>
                <w:sz w:val="16"/>
                <w:szCs w:val="16"/>
              </w:rPr>
              <w:t>83</w:t>
            </w:r>
          </w:p>
        </w:tc>
        <w:tc>
          <w:tcPr>
            <w:tcW w:w="1126" w:type="dxa"/>
            <w:gridSpan w:val="2"/>
            <w:tcBorders>
              <w:top w:val="single" w:sz="4" w:space="0" w:color="auto"/>
              <w:left w:val="nil"/>
              <w:bottom w:val="single" w:sz="4" w:space="0" w:color="auto"/>
              <w:right w:val="single" w:sz="8" w:space="0" w:color="auto"/>
            </w:tcBorders>
            <w:vAlign w:val="center"/>
          </w:tcPr>
          <w:p w14:paraId="03CAC42D" w14:textId="5856F37F" w:rsidR="634CB1F4" w:rsidRDefault="634CB1F4">
            <w:r w:rsidRPr="634CB1F4">
              <w:rPr>
                <w:rFonts w:ascii="Arial" w:eastAsia="Arial" w:hAnsi="Arial" w:cs="Arial"/>
                <w:color w:val="000000" w:themeColor="text1"/>
                <w:sz w:val="18"/>
                <w:szCs w:val="18"/>
              </w:rPr>
              <w:t xml:space="preserve"> 4.410,00 </w:t>
            </w:r>
          </w:p>
        </w:tc>
        <w:tc>
          <w:tcPr>
            <w:tcW w:w="982" w:type="dxa"/>
            <w:tcBorders>
              <w:top w:val="nil"/>
              <w:left w:val="single" w:sz="8" w:space="0" w:color="auto"/>
              <w:bottom w:val="nil"/>
              <w:right w:val="nil"/>
            </w:tcBorders>
            <w:vAlign w:val="center"/>
          </w:tcPr>
          <w:p w14:paraId="7BD1D818" w14:textId="0AC810AD" w:rsidR="634CB1F4" w:rsidRDefault="634CB1F4"/>
        </w:tc>
        <w:tc>
          <w:tcPr>
            <w:tcW w:w="982" w:type="dxa"/>
            <w:tcBorders>
              <w:top w:val="single" w:sz="4" w:space="0" w:color="auto"/>
              <w:left w:val="single" w:sz="8" w:space="0" w:color="auto"/>
              <w:bottom w:val="single" w:sz="4" w:space="0" w:color="auto"/>
              <w:right w:val="nil"/>
            </w:tcBorders>
            <w:shd w:val="clear" w:color="auto" w:fill="FFFF99"/>
            <w:vAlign w:val="center"/>
          </w:tcPr>
          <w:p w14:paraId="7EFB78D9" w14:textId="77AC142F" w:rsidR="634CB1F4" w:rsidRDefault="634CB1F4">
            <w:r w:rsidRPr="634CB1F4">
              <w:rPr>
                <w:rFonts w:ascii="Calibri" w:eastAsia="Calibri" w:hAnsi="Calibri" w:cs="Calibri"/>
                <w:b/>
                <w:bCs/>
                <w:i/>
                <w:iCs/>
                <w:color w:val="000000" w:themeColor="text1"/>
                <w:sz w:val="16"/>
                <w:szCs w:val="16"/>
              </w:rPr>
              <w:t xml:space="preserve"> 508.624 </w:t>
            </w:r>
          </w:p>
        </w:tc>
        <w:tc>
          <w:tcPr>
            <w:tcW w:w="982" w:type="dxa"/>
            <w:tcBorders>
              <w:top w:val="single" w:sz="4" w:space="0" w:color="auto"/>
              <w:left w:val="nil"/>
              <w:bottom w:val="single" w:sz="4" w:space="0" w:color="auto"/>
              <w:right w:val="nil"/>
            </w:tcBorders>
            <w:vAlign w:val="center"/>
          </w:tcPr>
          <w:p w14:paraId="001395CD" w14:textId="17FEF186"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1926DBFB" w14:textId="40199007" w:rsidR="634CB1F4" w:rsidRDefault="634CB1F4" w:rsidP="634CB1F4">
            <w:pPr>
              <w:jc w:val="center"/>
            </w:pPr>
            <w:r w:rsidRPr="634CB1F4">
              <w:rPr>
                <w:rFonts w:ascii="Calibri" w:eastAsia="Calibri" w:hAnsi="Calibri" w:cs="Calibri"/>
                <w:i/>
                <w:iCs/>
                <w:color w:val="000000" w:themeColor="text1"/>
                <w:sz w:val="16"/>
                <w:szCs w:val="16"/>
              </w:rPr>
              <w:t xml:space="preserve"> 0,72 </w:t>
            </w:r>
          </w:p>
        </w:tc>
        <w:tc>
          <w:tcPr>
            <w:tcW w:w="982" w:type="dxa"/>
            <w:tcBorders>
              <w:top w:val="single" w:sz="4" w:space="0" w:color="auto"/>
              <w:left w:val="nil"/>
              <w:bottom w:val="single" w:sz="4" w:space="0" w:color="auto"/>
              <w:right w:val="single" w:sz="8" w:space="0" w:color="auto"/>
            </w:tcBorders>
            <w:vAlign w:val="center"/>
          </w:tcPr>
          <w:p w14:paraId="003C8C5F" w14:textId="5F9ECE1D" w:rsidR="634CB1F4" w:rsidRDefault="634CB1F4">
            <w:r w:rsidRPr="634CB1F4">
              <w:rPr>
                <w:rFonts w:ascii="Calibri" w:eastAsia="Calibri" w:hAnsi="Calibri" w:cs="Calibri"/>
                <w:i/>
                <w:iCs/>
                <w:color w:val="000000" w:themeColor="text1"/>
                <w:sz w:val="16"/>
                <w:szCs w:val="16"/>
              </w:rPr>
              <w:t xml:space="preserve"> 7.347,0 </w:t>
            </w:r>
          </w:p>
        </w:tc>
      </w:tr>
      <w:tr w:rsidR="634CB1F4" w14:paraId="6AB19DD2" w14:textId="77777777" w:rsidTr="00304238">
        <w:trPr>
          <w:trHeight w:val="315"/>
        </w:trPr>
        <w:tc>
          <w:tcPr>
            <w:tcW w:w="982" w:type="dxa"/>
            <w:tcBorders>
              <w:top w:val="single" w:sz="4" w:space="0" w:color="auto"/>
              <w:left w:val="nil"/>
              <w:bottom w:val="single" w:sz="4" w:space="0" w:color="auto"/>
              <w:right w:val="nil"/>
            </w:tcBorders>
            <w:vAlign w:val="center"/>
          </w:tcPr>
          <w:p w14:paraId="78A5CC61" w14:textId="7A540070" w:rsidR="634CB1F4" w:rsidRPr="002B2662" w:rsidRDefault="634CB1F4" w:rsidP="634CB1F4">
            <w:pPr>
              <w:jc w:val="center"/>
              <w:rPr>
                <w:b/>
              </w:rPr>
            </w:pPr>
            <w:r w:rsidRPr="002B2662">
              <w:rPr>
                <w:rFonts w:ascii="Arial" w:eastAsia="Arial" w:hAnsi="Arial" w:cs="Arial"/>
                <w:b/>
                <w:color w:val="000000" w:themeColor="text1"/>
                <w:sz w:val="18"/>
                <w:szCs w:val="18"/>
              </w:rPr>
              <w:t>10-ene-81</w:t>
            </w:r>
          </w:p>
        </w:tc>
        <w:tc>
          <w:tcPr>
            <w:tcW w:w="982" w:type="dxa"/>
            <w:tcBorders>
              <w:top w:val="single" w:sz="4" w:space="0" w:color="auto"/>
              <w:left w:val="nil"/>
              <w:bottom w:val="single" w:sz="4" w:space="0" w:color="auto"/>
              <w:right w:val="nil"/>
            </w:tcBorders>
            <w:vAlign w:val="center"/>
          </w:tcPr>
          <w:p w14:paraId="12194FF8" w14:textId="4BDADE71" w:rsidR="634CB1F4" w:rsidRDefault="634CB1F4">
            <w:r w:rsidRPr="634CB1F4">
              <w:rPr>
                <w:rFonts w:ascii="Calibri" w:eastAsia="Calibri" w:hAnsi="Calibri" w:cs="Calibri"/>
                <w:i/>
                <w:iCs/>
                <w:color w:val="000000" w:themeColor="text1"/>
                <w:sz w:val="16"/>
                <w:szCs w:val="16"/>
              </w:rPr>
              <w:t>23-dic-81</w:t>
            </w:r>
          </w:p>
        </w:tc>
        <w:tc>
          <w:tcPr>
            <w:tcW w:w="838" w:type="dxa"/>
            <w:tcBorders>
              <w:top w:val="single" w:sz="4" w:space="0" w:color="auto"/>
              <w:left w:val="nil"/>
              <w:bottom w:val="single" w:sz="4" w:space="0" w:color="auto"/>
              <w:right w:val="nil"/>
            </w:tcBorders>
            <w:vAlign w:val="center"/>
          </w:tcPr>
          <w:p w14:paraId="066FABC6" w14:textId="6359C2D1" w:rsidR="634CB1F4" w:rsidRDefault="634CB1F4" w:rsidP="634CB1F4">
            <w:pPr>
              <w:jc w:val="center"/>
            </w:pPr>
            <w:r w:rsidRPr="634CB1F4">
              <w:rPr>
                <w:rFonts w:ascii="Calibri" w:eastAsia="Calibri" w:hAnsi="Calibri" w:cs="Calibri"/>
                <w:i/>
                <w:iCs/>
                <w:color w:val="000000" w:themeColor="text1"/>
                <w:sz w:val="16"/>
                <w:szCs w:val="16"/>
              </w:rPr>
              <w:t>348</w:t>
            </w:r>
          </w:p>
        </w:tc>
        <w:tc>
          <w:tcPr>
            <w:tcW w:w="1126" w:type="dxa"/>
            <w:gridSpan w:val="2"/>
            <w:tcBorders>
              <w:top w:val="single" w:sz="4" w:space="0" w:color="auto"/>
              <w:left w:val="nil"/>
              <w:bottom w:val="single" w:sz="4" w:space="0" w:color="auto"/>
              <w:right w:val="single" w:sz="8" w:space="0" w:color="auto"/>
            </w:tcBorders>
            <w:vAlign w:val="center"/>
          </w:tcPr>
          <w:p w14:paraId="0A42C588" w14:textId="48BAC994" w:rsidR="634CB1F4" w:rsidRDefault="634CB1F4">
            <w:r w:rsidRPr="634CB1F4">
              <w:rPr>
                <w:rFonts w:ascii="Arial" w:eastAsia="Arial" w:hAnsi="Arial" w:cs="Arial"/>
                <w:color w:val="000000" w:themeColor="text1"/>
                <w:sz w:val="18"/>
                <w:szCs w:val="18"/>
              </w:rPr>
              <w:t xml:space="preserve"> 5.790,00 </w:t>
            </w:r>
          </w:p>
        </w:tc>
        <w:tc>
          <w:tcPr>
            <w:tcW w:w="982" w:type="dxa"/>
            <w:tcBorders>
              <w:top w:val="nil"/>
              <w:left w:val="single" w:sz="8" w:space="0" w:color="auto"/>
              <w:bottom w:val="nil"/>
              <w:right w:val="nil"/>
            </w:tcBorders>
            <w:vAlign w:val="center"/>
          </w:tcPr>
          <w:p w14:paraId="69ABB1F6" w14:textId="441FDBFF" w:rsidR="634CB1F4" w:rsidRDefault="634CB1F4"/>
        </w:tc>
        <w:tc>
          <w:tcPr>
            <w:tcW w:w="982" w:type="dxa"/>
            <w:tcBorders>
              <w:top w:val="single" w:sz="4" w:space="0" w:color="auto"/>
              <w:left w:val="single" w:sz="8" w:space="0" w:color="auto"/>
              <w:bottom w:val="single" w:sz="4" w:space="0" w:color="auto"/>
              <w:right w:val="nil"/>
            </w:tcBorders>
            <w:shd w:val="clear" w:color="auto" w:fill="FFFF99"/>
            <w:vAlign w:val="center"/>
          </w:tcPr>
          <w:p w14:paraId="5174548F" w14:textId="0B5FEE67" w:rsidR="634CB1F4" w:rsidRDefault="634CB1F4">
            <w:r w:rsidRPr="634CB1F4">
              <w:rPr>
                <w:rFonts w:ascii="Calibri" w:eastAsia="Calibri" w:hAnsi="Calibri" w:cs="Calibri"/>
                <w:b/>
                <w:bCs/>
                <w:i/>
                <w:iCs/>
                <w:color w:val="000000" w:themeColor="text1"/>
                <w:sz w:val="16"/>
                <w:szCs w:val="16"/>
              </w:rPr>
              <w:t xml:space="preserve"> 530.602 </w:t>
            </w:r>
          </w:p>
        </w:tc>
        <w:tc>
          <w:tcPr>
            <w:tcW w:w="982" w:type="dxa"/>
            <w:tcBorders>
              <w:top w:val="single" w:sz="4" w:space="0" w:color="auto"/>
              <w:left w:val="nil"/>
              <w:bottom w:val="single" w:sz="4" w:space="0" w:color="auto"/>
              <w:right w:val="nil"/>
            </w:tcBorders>
            <w:vAlign w:val="center"/>
          </w:tcPr>
          <w:p w14:paraId="00548389" w14:textId="0F6DB100"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7BA9B9B" w14:textId="438D2E7F" w:rsidR="634CB1F4" w:rsidRDefault="634CB1F4" w:rsidP="634CB1F4">
            <w:pPr>
              <w:jc w:val="center"/>
            </w:pPr>
            <w:r w:rsidRPr="634CB1F4">
              <w:rPr>
                <w:rFonts w:ascii="Calibri" w:eastAsia="Calibri" w:hAnsi="Calibri" w:cs="Calibri"/>
                <w:i/>
                <w:iCs/>
                <w:color w:val="000000" w:themeColor="text1"/>
                <w:sz w:val="16"/>
                <w:szCs w:val="16"/>
              </w:rPr>
              <w:t xml:space="preserve"> 0,90 </w:t>
            </w:r>
          </w:p>
        </w:tc>
        <w:tc>
          <w:tcPr>
            <w:tcW w:w="982" w:type="dxa"/>
            <w:tcBorders>
              <w:top w:val="single" w:sz="4" w:space="0" w:color="auto"/>
              <w:left w:val="nil"/>
              <w:bottom w:val="single" w:sz="4" w:space="0" w:color="auto"/>
              <w:right w:val="single" w:sz="8" w:space="0" w:color="auto"/>
            </w:tcBorders>
            <w:vAlign w:val="center"/>
          </w:tcPr>
          <w:p w14:paraId="6DE9948D" w14:textId="446011A9" w:rsidR="634CB1F4" w:rsidRDefault="634CB1F4">
            <w:r w:rsidRPr="634CB1F4">
              <w:rPr>
                <w:rFonts w:ascii="Calibri" w:eastAsia="Calibri" w:hAnsi="Calibri" w:cs="Calibri"/>
                <w:i/>
                <w:iCs/>
                <w:color w:val="000000" w:themeColor="text1"/>
                <w:sz w:val="16"/>
                <w:szCs w:val="16"/>
              </w:rPr>
              <w:t xml:space="preserve"> 32.135,3 </w:t>
            </w:r>
          </w:p>
        </w:tc>
      </w:tr>
      <w:tr w:rsidR="634CB1F4" w14:paraId="6B67A849" w14:textId="77777777" w:rsidTr="00304238">
        <w:trPr>
          <w:trHeight w:val="315"/>
        </w:trPr>
        <w:tc>
          <w:tcPr>
            <w:tcW w:w="982" w:type="dxa"/>
            <w:tcBorders>
              <w:top w:val="single" w:sz="4" w:space="0" w:color="auto"/>
              <w:left w:val="nil"/>
              <w:bottom w:val="nil"/>
              <w:right w:val="nil"/>
            </w:tcBorders>
            <w:vAlign w:val="center"/>
          </w:tcPr>
          <w:p w14:paraId="6BDBDCF8" w14:textId="6F39C6C1" w:rsidR="634CB1F4" w:rsidRDefault="634CB1F4" w:rsidP="634CB1F4">
            <w:pPr>
              <w:jc w:val="center"/>
            </w:pPr>
            <w:r w:rsidRPr="634CB1F4">
              <w:rPr>
                <w:rFonts w:ascii="Arial" w:eastAsia="Arial" w:hAnsi="Arial" w:cs="Arial"/>
                <w:b/>
                <w:bCs/>
                <w:color w:val="000000" w:themeColor="text1"/>
                <w:sz w:val="18"/>
                <w:szCs w:val="18"/>
              </w:rPr>
              <w:t>10-ene-82</w:t>
            </w:r>
          </w:p>
        </w:tc>
        <w:tc>
          <w:tcPr>
            <w:tcW w:w="982" w:type="dxa"/>
            <w:tcBorders>
              <w:top w:val="single" w:sz="4" w:space="0" w:color="auto"/>
              <w:left w:val="nil"/>
              <w:bottom w:val="single" w:sz="4" w:space="0" w:color="auto"/>
              <w:right w:val="nil"/>
            </w:tcBorders>
            <w:vAlign w:val="center"/>
          </w:tcPr>
          <w:p w14:paraId="6C0CB93C" w14:textId="50B0D6B1" w:rsidR="634CB1F4" w:rsidRDefault="634CB1F4">
            <w:r w:rsidRPr="634CB1F4">
              <w:rPr>
                <w:rFonts w:ascii="Calibri" w:eastAsia="Calibri" w:hAnsi="Calibri" w:cs="Calibri"/>
                <w:i/>
                <w:iCs/>
                <w:color w:val="000000" w:themeColor="text1"/>
                <w:sz w:val="16"/>
                <w:szCs w:val="16"/>
              </w:rPr>
              <w:t>27-dic-82</w:t>
            </w:r>
          </w:p>
        </w:tc>
        <w:tc>
          <w:tcPr>
            <w:tcW w:w="838" w:type="dxa"/>
            <w:tcBorders>
              <w:top w:val="single" w:sz="4" w:space="0" w:color="auto"/>
              <w:left w:val="nil"/>
              <w:bottom w:val="single" w:sz="4" w:space="0" w:color="auto"/>
              <w:right w:val="nil"/>
            </w:tcBorders>
            <w:vAlign w:val="center"/>
          </w:tcPr>
          <w:p w14:paraId="44341DC2" w14:textId="03C996EF" w:rsidR="634CB1F4" w:rsidRDefault="634CB1F4" w:rsidP="634CB1F4">
            <w:pPr>
              <w:jc w:val="center"/>
            </w:pPr>
            <w:r w:rsidRPr="634CB1F4">
              <w:rPr>
                <w:rFonts w:ascii="Calibri" w:eastAsia="Calibri" w:hAnsi="Calibri" w:cs="Calibri"/>
                <w:i/>
                <w:iCs/>
                <w:color w:val="000000" w:themeColor="text1"/>
                <w:sz w:val="16"/>
                <w:szCs w:val="16"/>
              </w:rPr>
              <w:t>352</w:t>
            </w:r>
          </w:p>
        </w:tc>
        <w:tc>
          <w:tcPr>
            <w:tcW w:w="1126" w:type="dxa"/>
            <w:gridSpan w:val="2"/>
            <w:tcBorders>
              <w:top w:val="single" w:sz="4" w:space="0" w:color="auto"/>
              <w:left w:val="nil"/>
              <w:bottom w:val="single" w:sz="4" w:space="0" w:color="auto"/>
              <w:right w:val="single" w:sz="8" w:space="0" w:color="auto"/>
            </w:tcBorders>
            <w:vAlign w:val="center"/>
          </w:tcPr>
          <w:p w14:paraId="4B290A15" w14:textId="4A95609C" w:rsidR="634CB1F4" w:rsidRDefault="634CB1F4">
            <w:r w:rsidRPr="634CB1F4">
              <w:rPr>
                <w:rFonts w:ascii="Arial" w:eastAsia="Arial" w:hAnsi="Arial" w:cs="Arial"/>
                <w:color w:val="000000" w:themeColor="text1"/>
                <w:sz w:val="18"/>
                <w:szCs w:val="18"/>
              </w:rPr>
              <w:t xml:space="preserve"> 7.470,00 </w:t>
            </w:r>
          </w:p>
        </w:tc>
        <w:tc>
          <w:tcPr>
            <w:tcW w:w="982" w:type="dxa"/>
            <w:tcBorders>
              <w:top w:val="nil"/>
              <w:left w:val="single" w:sz="12" w:space="0" w:color="auto"/>
              <w:bottom w:val="nil"/>
              <w:right w:val="single" w:sz="8" w:space="0" w:color="auto"/>
            </w:tcBorders>
            <w:vAlign w:val="center"/>
          </w:tcPr>
          <w:p w14:paraId="5B327647" w14:textId="18CFDEF4" w:rsidR="634CB1F4" w:rsidRDefault="634CB1F4">
            <w:r w:rsidRPr="634CB1F4">
              <w:rPr>
                <w:rFonts w:ascii="Calibri" w:eastAsia="Calibri" w:hAnsi="Calibri" w:cs="Calibri"/>
                <w:i/>
                <w:iCs/>
                <w:color w:val="000000" w:themeColor="text1"/>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2F6BCA77" w14:textId="4983EF96" w:rsidR="634CB1F4" w:rsidRDefault="634CB1F4">
            <w:r w:rsidRPr="634CB1F4">
              <w:rPr>
                <w:rFonts w:ascii="Calibri" w:eastAsia="Calibri" w:hAnsi="Calibri" w:cs="Calibri"/>
                <w:b/>
                <w:bCs/>
                <w:i/>
                <w:iCs/>
                <w:color w:val="000000" w:themeColor="text1"/>
                <w:sz w:val="16"/>
                <w:szCs w:val="16"/>
              </w:rPr>
              <w:t xml:space="preserve"> 541.324 </w:t>
            </w:r>
          </w:p>
        </w:tc>
        <w:tc>
          <w:tcPr>
            <w:tcW w:w="982" w:type="dxa"/>
            <w:tcBorders>
              <w:top w:val="single" w:sz="4" w:space="0" w:color="auto"/>
              <w:left w:val="nil"/>
              <w:bottom w:val="single" w:sz="4" w:space="0" w:color="auto"/>
              <w:right w:val="nil"/>
            </w:tcBorders>
            <w:vAlign w:val="center"/>
          </w:tcPr>
          <w:p w14:paraId="2CEE78F8" w14:textId="43A57DD7"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26C2522A" w14:textId="3D6CD922" w:rsidR="634CB1F4" w:rsidRDefault="634CB1F4" w:rsidP="634CB1F4">
            <w:pPr>
              <w:jc w:val="center"/>
            </w:pPr>
            <w:r w:rsidRPr="634CB1F4">
              <w:rPr>
                <w:rFonts w:ascii="Calibri" w:eastAsia="Calibri" w:hAnsi="Calibri" w:cs="Calibri"/>
                <w:i/>
                <w:iCs/>
                <w:color w:val="000000" w:themeColor="text1"/>
                <w:sz w:val="16"/>
                <w:szCs w:val="16"/>
              </w:rPr>
              <w:t xml:space="preserve"> 1,14 </w:t>
            </w:r>
          </w:p>
        </w:tc>
        <w:tc>
          <w:tcPr>
            <w:tcW w:w="982" w:type="dxa"/>
            <w:tcBorders>
              <w:top w:val="single" w:sz="4" w:space="0" w:color="auto"/>
              <w:left w:val="nil"/>
              <w:bottom w:val="single" w:sz="4" w:space="0" w:color="auto"/>
              <w:right w:val="single" w:sz="8" w:space="0" w:color="auto"/>
            </w:tcBorders>
            <w:vAlign w:val="center"/>
          </w:tcPr>
          <w:p w14:paraId="3CFF7DC5" w14:textId="2FBCC87C" w:rsidR="634CB1F4" w:rsidRDefault="634CB1F4">
            <w:r w:rsidRPr="634CB1F4">
              <w:rPr>
                <w:rFonts w:ascii="Calibri" w:eastAsia="Calibri" w:hAnsi="Calibri" w:cs="Calibri"/>
                <w:i/>
                <w:iCs/>
                <w:color w:val="000000" w:themeColor="text1"/>
                <w:sz w:val="16"/>
                <w:szCs w:val="16"/>
              </w:rPr>
              <w:t xml:space="preserve"> 33.161,5 </w:t>
            </w:r>
          </w:p>
        </w:tc>
      </w:tr>
      <w:tr w:rsidR="634CB1F4" w14:paraId="7A8EEAAD" w14:textId="77777777" w:rsidTr="00304238">
        <w:trPr>
          <w:trHeight w:val="315"/>
        </w:trPr>
        <w:tc>
          <w:tcPr>
            <w:tcW w:w="982" w:type="dxa"/>
            <w:tcBorders>
              <w:top w:val="nil"/>
              <w:left w:val="nil"/>
              <w:bottom w:val="nil"/>
              <w:right w:val="nil"/>
            </w:tcBorders>
            <w:vAlign w:val="center"/>
          </w:tcPr>
          <w:p w14:paraId="4DB4CB2F" w14:textId="1DDB6694" w:rsidR="634CB1F4" w:rsidRDefault="634CB1F4" w:rsidP="634CB1F4">
            <w:pPr>
              <w:jc w:val="center"/>
            </w:pPr>
            <w:r w:rsidRPr="634CB1F4">
              <w:rPr>
                <w:rFonts w:ascii="Arial" w:eastAsia="Arial" w:hAnsi="Arial" w:cs="Arial"/>
                <w:b/>
                <w:bCs/>
                <w:color w:val="000000" w:themeColor="text1"/>
                <w:sz w:val="18"/>
                <w:szCs w:val="18"/>
              </w:rPr>
              <w:t>13-oct-83</w:t>
            </w:r>
          </w:p>
        </w:tc>
        <w:tc>
          <w:tcPr>
            <w:tcW w:w="982" w:type="dxa"/>
            <w:tcBorders>
              <w:top w:val="single" w:sz="4" w:space="0" w:color="auto"/>
              <w:left w:val="nil"/>
              <w:bottom w:val="single" w:sz="4" w:space="0" w:color="auto"/>
              <w:right w:val="nil"/>
            </w:tcBorders>
            <w:vAlign w:val="center"/>
          </w:tcPr>
          <w:p w14:paraId="5EC42760" w14:textId="52160CD7" w:rsidR="634CB1F4" w:rsidRDefault="634CB1F4">
            <w:r w:rsidRPr="634CB1F4">
              <w:rPr>
                <w:rFonts w:ascii="Calibri" w:eastAsia="Calibri" w:hAnsi="Calibri" w:cs="Calibri"/>
                <w:i/>
                <w:iCs/>
                <w:color w:val="000000" w:themeColor="text1"/>
                <w:sz w:val="16"/>
                <w:szCs w:val="16"/>
              </w:rPr>
              <w:t>23-dic-83</w:t>
            </w:r>
          </w:p>
        </w:tc>
        <w:tc>
          <w:tcPr>
            <w:tcW w:w="838" w:type="dxa"/>
            <w:tcBorders>
              <w:top w:val="single" w:sz="4" w:space="0" w:color="auto"/>
              <w:left w:val="nil"/>
              <w:bottom w:val="single" w:sz="4" w:space="0" w:color="auto"/>
              <w:right w:val="nil"/>
            </w:tcBorders>
            <w:vAlign w:val="center"/>
          </w:tcPr>
          <w:p w14:paraId="7E4D2A64" w14:textId="0CFB0240" w:rsidR="634CB1F4" w:rsidRDefault="634CB1F4" w:rsidP="634CB1F4">
            <w:pPr>
              <w:jc w:val="center"/>
            </w:pPr>
            <w:r w:rsidRPr="634CB1F4">
              <w:rPr>
                <w:rFonts w:ascii="Calibri" w:eastAsia="Calibri" w:hAnsi="Calibri" w:cs="Calibri"/>
                <w:i/>
                <w:iCs/>
                <w:color w:val="000000" w:themeColor="text1"/>
                <w:sz w:val="16"/>
                <w:szCs w:val="16"/>
              </w:rPr>
              <w:t>72</w:t>
            </w:r>
          </w:p>
        </w:tc>
        <w:tc>
          <w:tcPr>
            <w:tcW w:w="1126" w:type="dxa"/>
            <w:gridSpan w:val="2"/>
            <w:tcBorders>
              <w:top w:val="single" w:sz="4" w:space="0" w:color="auto"/>
              <w:left w:val="nil"/>
              <w:bottom w:val="single" w:sz="4" w:space="0" w:color="auto"/>
              <w:right w:val="single" w:sz="8" w:space="0" w:color="auto"/>
            </w:tcBorders>
            <w:vAlign w:val="center"/>
          </w:tcPr>
          <w:p w14:paraId="67D617AA" w14:textId="3913BC68" w:rsidR="634CB1F4" w:rsidRDefault="634CB1F4">
            <w:r w:rsidRPr="634CB1F4">
              <w:rPr>
                <w:rFonts w:ascii="Arial" w:eastAsia="Arial" w:hAnsi="Arial" w:cs="Arial"/>
                <w:color w:val="000000" w:themeColor="text1"/>
                <w:sz w:val="18"/>
                <w:szCs w:val="18"/>
              </w:rPr>
              <w:t xml:space="preserve"> 9.480,00 </w:t>
            </w:r>
          </w:p>
        </w:tc>
        <w:tc>
          <w:tcPr>
            <w:tcW w:w="982" w:type="dxa"/>
            <w:tcBorders>
              <w:top w:val="nil"/>
              <w:left w:val="single" w:sz="12" w:space="0" w:color="auto"/>
              <w:bottom w:val="nil"/>
              <w:right w:val="single" w:sz="8" w:space="0" w:color="auto"/>
            </w:tcBorders>
            <w:vAlign w:val="center"/>
          </w:tcPr>
          <w:p w14:paraId="4B17CBCA" w14:textId="2621356B" w:rsidR="634CB1F4" w:rsidRDefault="634CB1F4">
            <w:r w:rsidRPr="634CB1F4">
              <w:rPr>
                <w:rFonts w:ascii="Calibri" w:eastAsia="Calibri" w:hAnsi="Calibri" w:cs="Calibri"/>
                <w:i/>
                <w:iCs/>
                <w:color w:val="000000" w:themeColor="text1"/>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7E1E7E53" w14:textId="4F272B60" w:rsidR="634CB1F4" w:rsidRDefault="634CB1F4">
            <w:r w:rsidRPr="634CB1F4">
              <w:rPr>
                <w:rFonts w:ascii="Calibri" w:eastAsia="Calibri" w:hAnsi="Calibri" w:cs="Calibri"/>
                <w:b/>
                <w:bCs/>
                <w:i/>
                <w:iCs/>
                <w:color w:val="000000" w:themeColor="text1"/>
                <w:sz w:val="16"/>
                <w:szCs w:val="16"/>
              </w:rPr>
              <w:t xml:space="preserve"> 553.884 </w:t>
            </w:r>
          </w:p>
        </w:tc>
        <w:tc>
          <w:tcPr>
            <w:tcW w:w="982" w:type="dxa"/>
            <w:tcBorders>
              <w:top w:val="single" w:sz="4" w:space="0" w:color="auto"/>
              <w:left w:val="nil"/>
              <w:bottom w:val="single" w:sz="4" w:space="0" w:color="auto"/>
              <w:right w:val="nil"/>
            </w:tcBorders>
            <w:vAlign w:val="center"/>
          </w:tcPr>
          <w:p w14:paraId="4E1CA866" w14:textId="605B8C67"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542D444F" w14:textId="3E41AB5E" w:rsidR="634CB1F4" w:rsidRDefault="634CB1F4" w:rsidP="634CB1F4">
            <w:pPr>
              <w:jc w:val="center"/>
            </w:pPr>
            <w:r w:rsidRPr="634CB1F4">
              <w:rPr>
                <w:rFonts w:ascii="Calibri" w:eastAsia="Calibri" w:hAnsi="Calibri" w:cs="Calibri"/>
                <w:i/>
                <w:iCs/>
                <w:color w:val="000000" w:themeColor="text1"/>
                <w:sz w:val="16"/>
                <w:szCs w:val="16"/>
              </w:rPr>
              <w:t xml:space="preserve"> 1,41 </w:t>
            </w:r>
          </w:p>
        </w:tc>
        <w:tc>
          <w:tcPr>
            <w:tcW w:w="982" w:type="dxa"/>
            <w:tcBorders>
              <w:top w:val="single" w:sz="4" w:space="0" w:color="auto"/>
              <w:left w:val="nil"/>
              <w:bottom w:val="single" w:sz="4" w:space="0" w:color="auto"/>
              <w:right w:val="single" w:sz="8" w:space="0" w:color="auto"/>
            </w:tcBorders>
            <w:vAlign w:val="center"/>
          </w:tcPr>
          <w:p w14:paraId="7DA04E72" w14:textId="6FDA3C9A" w:rsidR="634CB1F4" w:rsidRDefault="634CB1F4">
            <w:r w:rsidRPr="634CB1F4">
              <w:rPr>
                <w:rFonts w:ascii="Calibri" w:eastAsia="Calibri" w:hAnsi="Calibri" w:cs="Calibri"/>
                <w:i/>
                <w:iCs/>
                <w:color w:val="000000" w:themeColor="text1"/>
                <w:sz w:val="16"/>
                <w:szCs w:val="16"/>
              </w:rPr>
              <w:t xml:space="preserve"> 6.940,4 </w:t>
            </w:r>
          </w:p>
        </w:tc>
      </w:tr>
      <w:tr w:rsidR="634CB1F4" w14:paraId="74AF7AD8" w14:textId="77777777" w:rsidTr="00304238">
        <w:trPr>
          <w:trHeight w:val="315"/>
        </w:trPr>
        <w:tc>
          <w:tcPr>
            <w:tcW w:w="982" w:type="dxa"/>
            <w:tcBorders>
              <w:top w:val="nil"/>
              <w:left w:val="nil"/>
              <w:bottom w:val="nil"/>
              <w:right w:val="nil"/>
            </w:tcBorders>
            <w:vAlign w:val="center"/>
          </w:tcPr>
          <w:p w14:paraId="790DCA06" w14:textId="24B74FC6" w:rsidR="634CB1F4" w:rsidRDefault="634CB1F4" w:rsidP="634CB1F4">
            <w:pPr>
              <w:jc w:val="center"/>
            </w:pPr>
            <w:r w:rsidRPr="634CB1F4">
              <w:rPr>
                <w:rFonts w:ascii="Arial" w:eastAsia="Arial" w:hAnsi="Arial" w:cs="Arial"/>
                <w:b/>
                <w:bCs/>
                <w:color w:val="000000" w:themeColor="text1"/>
                <w:sz w:val="18"/>
                <w:szCs w:val="18"/>
              </w:rPr>
              <w:t>20-jun-84</w:t>
            </w:r>
          </w:p>
        </w:tc>
        <w:tc>
          <w:tcPr>
            <w:tcW w:w="982" w:type="dxa"/>
            <w:tcBorders>
              <w:top w:val="single" w:sz="4" w:space="0" w:color="auto"/>
              <w:left w:val="nil"/>
              <w:bottom w:val="single" w:sz="4" w:space="0" w:color="auto"/>
              <w:right w:val="nil"/>
            </w:tcBorders>
            <w:vAlign w:val="center"/>
          </w:tcPr>
          <w:p w14:paraId="68F68022" w14:textId="66C14480" w:rsidR="634CB1F4" w:rsidRDefault="634CB1F4">
            <w:r w:rsidRPr="634CB1F4">
              <w:rPr>
                <w:rFonts w:ascii="Calibri" w:eastAsia="Calibri" w:hAnsi="Calibri" w:cs="Calibri"/>
                <w:i/>
                <w:iCs/>
                <w:color w:val="000000" w:themeColor="text1"/>
                <w:sz w:val="16"/>
                <w:szCs w:val="16"/>
              </w:rPr>
              <w:t>20-dic-84</w:t>
            </w:r>
          </w:p>
        </w:tc>
        <w:tc>
          <w:tcPr>
            <w:tcW w:w="838" w:type="dxa"/>
            <w:tcBorders>
              <w:top w:val="single" w:sz="4" w:space="0" w:color="auto"/>
              <w:left w:val="nil"/>
              <w:bottom w:val="single" w:sz="4" w:space="0" w:color="auto"/>
              <w:right w:val="nil"/>
            </w:tcBorders>
            <w:vAlign w:val="center"/>
          </w:tcPr>
          <w:p w14:paraId="0F5CB845" w14:textId="774C094C" w:rsidR="634CB1F4" w:rsidRDefault="634CB1F4" w:rsidP="634CB1F4">
            <w:pPr>
              <w:jc w:val="center"/>
            </w:pPr>
            <w:r w:rsidRPr="634CB1F4">
              <w:rPr>
                <w:rFonts w:ascii="Calibri" w:eastAsia="Calibri" w:hAnsi="Calibri" w:cs="Calibri"/>
                <w:i/>
                <w:iCs/>
                <w:color w:val="000000" w:themeColor="text1"/>
                <w:sz w:val="16"/>
                <w:szCs w:val="16"/>
              </w:rPr>
              <w:t>184</w:t>
            </w:r>
          </w:p>
        </w:tc>
        <w:tc>
          <w:tcPr>
            <w:tcW w:w="1126" w:type="dxa"/>
            <w:gridSpan w:val="2"/>
            <w:tcBorders>
              <w:top w:val="single" w:sz="4" w:space="0" w:color="auto"/>
              <w:left w:val="nil"/>
              <w:bottom w:val="single" w:sz="4" w:space="0" w:color="auto"/>
              <w:right w:val="single" w:sz="8" w:space="0" w:color="auto"/>
            </w:tcBorders>
            <w:vAlign w:val="center"/>
          </w:tcPr>
          <w:p w14:paraId="414B137B" w14:textId="79424257" w:rsidR="634CB1F4" w:rsidRPr="00304238" w:rsidRDefault="634CB1F4">
            <w:pPr>
              <w:rPr>
                <w:sz w:val="18"/>
              </w:rPr>
            </w:pPr>
            <w:r w:rsidRPr="00304238">
              <w:rPr>
                <w:rFonts w:ascii="Arial" w:eastAsia="Arial" w:hAnsi="Arial" w:cs="Arial"/>
                <w:color w:val="000000" w:themeColor="text1"/>
                <w:sz w:val="18"/>
                <w:szCs w:val="18"/>
              </w:rPr>
              <w:t xml:space="preserve"> 11.850,00 </w:t>
            </w:r>
          </w:p>
        </w:tc>
        <w:tc>
          <w:tcPr>
            <w:tcW w:w="982" w:type="dxa"/>
            <w:tcBorders>
              <w:top w:val="nil"/>
              <w:left w:val="single" w:sz="12" w:space="0" w:color="auto"/>
              <w:bottom w:val="nil"/>
              <w:right w:val="single" w:sz="8" w:space="0" w:color="auto"/>
            </w:tcBorders>
            <w:vAlign w:val="center"/>
          </w:tcPr>
          <w:p w14:paraId="15FBBFFF" w14:textId="22FC7C70" w:rsidR="634CB1F4" w:rsidRPr="00304238" w:rsidRDefault="634CB1F4">
            <w:pPr>
              <w:rPr>
                <w:sz w:val="16"/>
              </w:rPr>
            </w:pPr>
            <w:r w:rsidRPr="00304238">
              <w:rPr>
                <w:rFonts w:ascii="Calibri" w:eastAsia="Calibri" w:hAnsi="Calibri" w:cs="Calibri"/>
                <w:i/>
                <w:iCs/>
                <w:color w:val="000000" w:themeColor="text1"/>
                <w:sz w:val="16"/>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3D6CBF14" w14:textId="19FB1DA6" w:rsidR="634CB1F4" w:rsidRDefault="634CB1F4">
            <w:r w:rsidRPr="634CB1F4">
              <w:rPr>
                <w:rFonts w:ascii="Calibri" w:eastAsia="Calibri" w:hAnsi="Calibri" w:cs="Calibri"/>
                <w:b/>
                <w:bCs/>
                <w:i/>
                <w:iCs/>
                <w:color w:val="000000" w:themeColor="text1"/>
                <w:sz w:val="16"/>
                <w:szCs w:val="16"/>
              </w:rPr>
              <w:t xml:space="preserve"> 593.599 </w:t>
            </w:r>
          </w:p>
        </w:tc>
        <w:tc>
          <w:tcPr>
            <w:tcW w:w="982" w:type="dxa"/>
            <w:tcBorders>
              <w:top w:val="single" w:sz="4" w:space="0" w:color="auto"/>
              <w:left w:val="nil"/>
              <w:bottom w:val="single" w:sz="4" w:space="0" w:color="auto"/>
              <w:right w:val="nil"/>
            </w:tcBorders>
            <w:vAlign w:val="center"/>
          </w:tcPr>
          <w:p w14:paraId="7CBA9DCD" w14:textId="04EBA7B2"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38D6FE50" w14:textId="475E14D2" w:rsidR="634CB1F4" w:rsidRDefault="634CB1F4" w:rsidP="634CB1F4">
            <w:pPr>
              <w:jc w:val="center"/>
            </w:pPr>
            <w:r w:rsidRPr="634CB1F4">
              <w:rPr>
                <w:rFonts w:ascii="Calibri" w:eastAsia="Calibri" w:hAnsi="Calibri" w:cs="Calibri"/>
                <w:i/>
                <w:iCs/>
                <w:color w:val="000000" w:themeColor="text1"/>
                <w:sz w:val="16"/>
                <w:szCs w:val="16"/>
              </w:rPr>
              <w:t xml:space="preserve"> 1,65 </w:t>
            </w:r>
          </w:p>
        </w:tc>
        <w:tc>
          <w:tcPr>
            <w:tcW w:w="982" w:type="dxa"/>
            <w:tcBorders>
              <w:top w:val="single" w:sz="4" w:space="0" w:color="auto"/>
              <w:left w:val="nil"/>
              <w:bottom w:val="single" w:sz="4" w:space="0" w:color="auto"/>
              <w:right w:val="single" w:sz="8" w:space="0" w:color="auto"/>
            </w:tcBorders>
            <w:vAlign w:val="center"/>
          </w:tcPr>
          <w:p w14:paraId="5B572F5A" w14:textId="5BA1BBE8" w:rsidR="634CB1F4" w:rsidRDefault="634CB1F4">
            <w:r w:rsidRPr="634CB1F4">
              <w:rPr>
                <w:rFonts w:ascii="Calibri" w:eastAsia="Calibri" w:hAnsi="Calibri" w:cs="Calibri"/>
                <w:i/>
                <w:iCs/>
                <w:color w:val="000000" w:themeColor="text1"/>
                <w:sz w:val="16"/>
                <w:szCs w:val="16"/>
              </w:rPr>
              <w:t xml:space="preserve"> 19.008,4 </w:t>
            </w:r>
          </w:p>
        </w:tc>
      </w:tr>
      <w:tr w:rsidR="634CB1F4" w14:paraId="74FEC8F2" w14:textId="77777777" w:rsidTr="00304238">
        <w:trPr>
          <w:trHeight w:val="315"/>
        </w:trPr>
        <w:tc>
          <w:tcPr>
            <w:tcW w:w="982" w:type="dxa"/>
            <w:tcBorders>
              <w:top w:val="single" w:sz="4" w:space="0" w:color="auto"/>
              <w:left w:val="nil"/>
              <w:bottom w:val="single" w:sz="4" w:space="0" w:color="auto"/>
              <w:right w:val="nil"/>
            </w:tcBorders>
            <w:vAlign w:val="center"/>
          </w:tcPr>
          <w:p w14:paraId="0614E454" w14:textId="5678CE19" w:rsidR="634CB1F4" w:rsidRPr="002B2662" w:rsidRDefault="634CB1F4" w:rsidP="634CB1F4">
            <w:pPr>
              <w:jc w:val="center"/>
              <w:rPr>
                <w:b/>
              </w:rPr>
            </w:pPr>
            <w:r w:rsidRPr="002B2662">
              <w:rPr>
                <w:rFonts w:ascii="Arial" w:eastAsia="Arial" w:hAnsi="Arial" w:cs="Arial"/>
                <w:b/>
                <w:color w:val="000000" w:themeColor="text1"/>
                <w:sz w:val="18"/>
                <w:szCs w:val="18"/>
              </w:rPr>
              <w:t>15-oct-85</w:t>
            </w:r>
          </w:p>
        </w:tc>
        <w:tc>
          <w:tcPr>
            <w:tcW w:w="982" w:type="dxa"/>
            <w:tcBorders>
              <w:top w:val="single" w:sz="4" w:space="0" w:color="auto"/>
              <w:left w:val="nil"/>
              <w:bottom w:val="single" w:sz="4" w:space="0" w:color="auto"/>
              <w:right w:val="nil"/>
            </w:tcBorders>
            <w:vAlign w:val="center"/>
          </w:tcPr>
          <w:p w14:paraId="198B9B22" w14:textId="7653C58C" w:rsidR="634CB1F4" w:rsidRDefault="634CB1F4">
            <w:r w:rsidRPr="634CB1F4">
              <w:rPr>
                <w:rFonts w:ascii="Calibri" w:eastAsia="Calibri" w:hAnsi="Calibri" w:cs="Calibri"/>
                <w:i/>
                <w:iCs/>
                <w:color w:val="000000" w:themeColor="text1"/>
                <w:sz w:val="16"/>
                <w:szCs w:val="16"/>
              </w:rPr>
              <w:t>31-dic-85</w:t>
            </w:r>
          </w:p>
        </w:tc>
        <w:tc>
          <w:tcPr>
            <w:tcW w:w="838" w:type="dxa"/>
            <w:tcBorders>
              <w:top w:val="single" w:sz="4" w:space="0" w:color="auto"/>
              <w:left w:val="nil"/>
              <w:bottom w:val="single" w:sz="4" w:space="0" w:color="auto"/>
              <w:right w:val="nil"/>
            </w:tcBorders>
            <w:vAlign w:val="center"/>
          </w:tcPr>
          <w:p w14:paraId="06D544EE" w14:textId="61868406" w:rsidR="634CB1F4" w:rsidRDefault="634CB1F4" w:rsidP="634CB1F4">
            <w:pPr>
              <w:jc w:val="center"/>
            </w:pPr>
            <w:r w:rsidRPr="634CB1F4">
              <w:rPr>
                <w:rFonts w:ascii="Calibri" w:eastAsia="Calibri" w:hAnsi="Calibri" w:cs="Calibri"/>
                <w:i/>
                <w:iCs/>
                <w:color w:val="000000" w:themeColor="text1"/>
                <w:sz w:val="16"/>
                <w:szCs w:val="16"/>
              </w:rPr>
              <w:t>78</w:t>
            </w:r>
          </w:p>
        </w:tc>
        <w:tc>
          <w:tcPr>
            <w:tcW w:w="1126" w:type="dxa"/>
            <w:gridSpan w:val="2"/>
            <w:tcBorders>
              <w:top w:val="single" w:sz="4" w:space="0" w:color="auto"/>
              <w:left w:val="nil"/>
              <w:bottom w:val="single" w:sz="4" w:space="0" w:color="auto"/>
              <w:right w:val="single" w:sz="8" w:space="0" w:color="auto"/>
            </w:tcBorders>
            <w:vAlign w:val="center"/>
          </w:tcPr>
          <w:p w14:paraId="68DB3E83" w14:textId="05DBB2E3" w:rsidR="634CB1F4" w:rsidRPr="00304238" w:rsidRDefault="634CB1F4">
            <w:pPr>
              <w:rPr>
                <w:sz w:val="18"/>
              </w:rPr>
            </w:pPr>
            <w:r w:rsidRPr="00304238">
              <w:rPr>
                <w:rFonts w:ascii="Arial" w:eastAsia="Arial" w:hAnsi="Arial" w:cs="Arial"/>
                <w:color w:val="000000" w:themeColor="text1"/>
                <w:sz w:val="18"/>
                <w:szCs w:val="18"/>
              </w:rPr>
              <w:t xml:space="preserve"> 14.610,00 </w:t>
            </w:r>
          </w:p>
        </w:tc>
        <w:tc>
          <w:tcPr>
            <w:tcW w:w="982" w:type="dxa"/>
            <w:tcBorders>
              <w:top w:val="nil"/>
              <w:left w:val="single" w:sz="12" w:space="0" w:color="auto"/>
              <w:bottom w:val="nil"/>
              <w:right w:val="single" w:sz="8" w:space="0" w:color="auto"/>
            </w:tcBorders>
            <w:vAlign w:val="center"/>
          </w:tcPr>
          <w:p w14:paraId="2B9AC36B" w14:textId="7CDD0B87"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6F715959" w14:textId="7430102A" w:rsidR="634CB1F4" w:rsidRDefault="634CB1F4">
            <w:r w:rsidRPr="634CB1F4">
              <w:rPr>
                <w:rFonts w:ascii="Calibri" w:eastAsia="Calibri" w:hAnsi="Calibri" w:cs="Calibri"/>
                <w:b/>
                <w:bCs/>
                <w:i/>
                <w:iCs/>
                <w:color w:val="000000" w:themeColor="text1"/>
                <w:sz w:val="16"/>
                <w:szCs w:val="16"/>
              </w:rPr>
              <w:t xml:space="preserve"> 618.726 </w:t>
            </w:r>
          </w:p>
        </w:tc>
        <w:tc>
          <w:tcPr>
            <w:tcW w:w="982" w:type="dxa"/>
            <w:tcBorders>
              <w:top w:val="single" w:sz="4" w:space="0" w:color="auto"/>
              <w:left w:val="nil"/>
              <w:bottom w:val="single" w:sz="4" w:space="0" w:color="auto"/>
              <w:right w:val="nil"/>
            </w:tcBorders>
            <w:vAlign w:val="center"/>
          </w:tcPr>
          <w:p w14:paraId="2BC81509" w14:textId="52AEF329"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1EA82157" w14:textId="2906DAA0" w:rsidR="634CB1F4" w:rsidRDefault="634CB1F4" w:rsidP="634CB1F4">
            <w:pPr>
              <w:jc w:val="center"/>
            </w:pPr>
            <w:r w:rsidRPr="634CB1F4">
              <w:rPr>
                <w:rFonts w:ascii="Calibri" w:eastAsia="Calibri" w:hAnsi="Calibri" w:cs="Calibri"/>
                <w:i/>
                <w:iCs/>
                <w:color w:val="000000" w:themeColor="text1"/>
                <w:sz w:val="16"/>
                <w:szCs w:val="16"/>
              </w:rPr>
              <w:t xml:space="preserve"> 1,95 </w:t>
            </w:r>
          </w:p>
        </w:tc>
        <w:tc>
          <w:tcPr>
            <w:tcW w:w="982" w:type="dxa"/>
            <w:tcBorders>
              <w:top w:val="single" w:sz="4" w:space="0" w:color="auto"/>
              <w:left w:val="nil"/>
              <w:bottom w:val="single" w:sz="4" w:space="0" w:color="auto"/>
              <w:right w:val="single" w:sz="8" w:space="0" w:color="auto"/>
            </w:tcBorders>
            <w:vAlign w:val="center"/>
          </w:tcPr>
          <w:p w14:paraId="1BCF9988" w14:textId="2374CF7E" w:rsidR="634CB1F4" w:rsidRDefault="634CB1F4">
            <w:r w:rsidRPr="634CB1F4">
              <w:rPr>
                <w:rFonts w:ascii="Calibri" w:eastAsia="Calibri" w:hAnsi="Calibri" w:cs="Calibri"/>
                <w:i/>
                <w:iCs/>
                <w:color w:val="000000" w:themeColor="text1"/>
                <w:sz w:val="16"/>
                <w:szCs w:val="16"/>
              </w:rPr>
              <w:t xml:space="preserve"> 8.399,0 </w:t>
            </w:r>
          </w:p>
        </w:tc>
      </w:tr>
      <w:tr w:rsidR="634CB1F4" w14:paraId="02434D02" w14:textId="77777777" w:rsidTr="00304238">
        <w:trPr>
          <w:trHeight w:val="315"/>
        </w:trPr>
        <w:tc>
          <w:tcPr>
            <w:tcW w:w="982" w:type="dxa"/>
            <w:tcBorders>
              <w:top w:val="single" w:sz="4" w:space="0" w:color="auto"/>
              <w:left w:val="nil"/>
              <w:bottom w:val="nil"/>
              <w:right w:val="nil"/>
            </w:tcBorders>
            <w:vAlign w:val="center"/>
          </w:tcPr>
          <w:p w14:paraId="4DFD18CF" w14:textId="3B441E12" w:rsidR="634CB1F4" w:rsidRDefault="634CB1F4" w:rsidP="634CB1F4">
            <w:pPr>
              <w:jc w:val="center"/>
            </w:pPr>
            <w:r w:rsidRPr="634CB1F4">
              <w:rPr>
                <w:rFonts w:ascii="Arial" w:eastAsia="Arial" w:hAnsi="Arial" w:cs="Arial"/>
                <w:b/>
                <w:bCs/>
                <w:color w:val="000000" w:themeColor="text1"/>
                <w:sz w:val="18"/>
                <w:szCs w:val="18"/>
              </w:rPr>
              <w:t>1-ene-86</w:t>
            </w:r>
          </w:p>
        </w:tc>
        <w:tc>
          <w:tcPr>
            <w:tcW w:w="982" w:type="dxa"/>
            <w:tcBorders>
              <w:top w:val="single" w:sz="4" w:space="0" w:color="auto"/>
              <w:left w:val="nil"/>
              <w:bottom w:val="single" w:sz="4" w:space="0" w:color="auto"/>
              <w:right w:val="nil"/>
            </w:tcBorders>
            <w:vAlign w:val="center"/>
          </w:tcPr>
          <w:p w14:paraId="18D0EEAA" w14:textId="46A3A56A" w:rsidR="634CB1F4" w:rsidRDefault="634CB1F4">
            <w:r w:rsidRPr="634CB1F4">
              <w:rPr>
                <w:rFonts w:ascii="Calibri" w:eastAsia="Calibri" w:hAnsi="Calibri" w:cs="Calibri"/>
                <w:i/>
                <w:iCs/>
                <w:color w:val="000000" w:themeColor="text1"/>
                <w:sz w:val="16"/>
                <w:szCs w:val="16"/>
              </w:rPr>
              <w:t>31-dic-86</w:t>
            </w:r>
          </w:p>
        </w:tc>
        <w:tc>
          <w:tcPr>
            <w:tcW w:w="838" w:type="dxa"/>
            <w:tcBorders>
              <w:top w:val="single" w:sz="4" w:space="0" w:color="auto"/>
              <w:left w:val="nil"/>
              <w:bottom w:val="single" w:sz="4" w:space="0" w:color="auto"/>
              <w:right w:val="nil"/>
            </w:tcBorders>
            <w:vAlign w:val="center"/>
          </w:tcPr>
          <w:p w14:paraId="29A2FE5E" w14:textId="0C8B18CB" w:rsidR="634CB1F4" w:rsidRDefault="634CB1F4" w:rsidP="634CB1F4">
            <w:pPr>
              <w:jc w:val="center"/>
            </w:pPr>
            <w:r w:rsidRPr="634CB1F4">
              <w:rPr>
                <w:rFonts w:ascii="Calibri" w:eastAsia="Calibri" w:hAnsi="Calibri" w:cs="Calibri"/>
                <w:i/>
                <w:iCs/>
                <w:color w:val="000000" w:themeColor="text1"/>
                <w:sz w:val="16"/>
                <w:szCs w:val="16"/>
              </w:rPr>
              <w:t>365</w:t>
            </w:r>
          </w:p>
        </w:tc>
        <w:tc>
          <w:tcPr>
            <w:tcW w:w="1126" w:type="dxa"/>
            <w:gridSpan w:val="2"/>
            <w:tcBorders>
              <w:top w:val="single" w:sz="4" w:space="0" w:color="auto"/>
              <w:left w:val="nil"/>
              <w:bottom w:val="single" w:sz="4" w:space="0" w:color="auto"/>
              <w:right w:val="single" w:sz="8" w:space="0" w:color="auto"/>
            </w:tcBorders>
            <w:vAlign w:val="center"/>
          </w:tcPr>
          <w:p w14:paraId="5471FA35" w14:textId="05D447C6" w:rsidR="634CB1F4" w:rsidRPr="00304238" w:rsidRDefault="634CB1F4">
            <w:pPr>
              <w:rPr>
                <w:sz w:val="18"/>
              </w:rPr>
            </w:pPr>
            <w:r w:rsidRPr="00304238">
              <w:rPr>
                <w:rFonts w:ascii="Arial" w:eastAsia="Arial" w:hAnsi="Arial" w:cs="Arial"/>
                <w:color w:val="000000" w:themeColor="text1"/>
                <w:sz w:val="18"/>
                <w:szCs w:val="18"/>
              </w:rPr>
              <w:t xml:space="preserve"> 17.790,00 </w:t>
            </w:r>
          </w:p>
        </w:tc>
        <w:tc>
          <w:tcPr>
            <w:tcW w:w="982" w:type="dxa"/>
            <w:tcBorders>
              <w:top w:val="nil"/>
              <w:left w:val="single" w:sz="12" w:space="0" w:color="auto"/>
              <w:bottom w:val="nil"/>
              <w:right w:val="single" w:sz="8" w:space="0" w:color="auto"/>
            </w:tcBorders>
            <w:vAlign w:val="center"/>
          </w:tcPr>
          <w:p w14:paraId="1FFAB427" w14:textId="57013B07"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4140D1FF" w14:textId="1E841362" w:rsidR="634CB1F4" w:rsidRDefault="634CB1F4">
            <w:r w:rsidRPr="634CB1F4">
              <w:rPr>
                <w:rFonts w:ascii="Calibri" w:eastAsia="Calibri" w:hAnsi="Calibri" w:cs="Calibri"/>
                <w:b/>
                <w:bCs/>
                <w:i/>
                <w:iCs/>
                <w:color w:val="000000" w:themeColor="text1"/>
                <w:sz w:val="16"/>
                <w:szCs w:val="16"/>
              </w:rPr>
              <w:t xml:space="preserve"> 615.267 </w:t>
            </w:r>
          </w:p>
        </w:tc>
        <w:tc>
          <w:tcPr>
            <w:tcW w:w="982" w:type="dxa"/>
            <w:tcBorders>
              <w:top w:val="single" w:sz="4" w:space="0" w:color="auto"/>
              <w:left w:val="nil"/>
              <w:bottom w:val="single" w:sz="4" w:space="0" w:color="auto"/>
              <w:right w:val="nil"/>
            </w:tcBorders>
            <w:vAlign w:val="center"/>
          </w:tcPr>
          <w:p w14:paraId="2DC288A1" w14:textId="47ED2C8D"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342434C2" w14:textId="658F9139" w:rsidR="634CB1F4" w:rsidRDefault="634CB1F4" w:rsidP="634CB1F4">
            <w:pPr>
              <w:jc w:val="center"/>
            </w:pPr>
            <w:r w:rsidRPr="634CB1F4">
              <w:rPr>
                <w:rFonts w:ascii="Calibri" w:eastAsia="Calibri" w:hAnsi="Calibri" w:cs="Calibri"/>
                <w:i/>
                <w:iCs/>
                <w:color w:val="000000" w:themeColor="text1"/>
                <w:sz w:val="16"/>
                <w:szCs w:val="16"/>
              </w:rPr>
              <w:t xml:space="preserve"> 2,38 </w:t>
            </w:r>
          </w:p>
        </w:tc>
        <w:tc>
          <w:tcPr>
            <w:tcW w:w="982" w:type="dxa"/>
            <w:tcBorders>
              <w:top w:val="single" w:sz="4" w:space="0" w:color="auto"/>
              <w:left w:val="nil"/>
              <w:bottom w:val="single" w:sz="4" w:space="0" w:color="auto"/>
              <w:right w:val="single" w:sz="8" w:space="0" w:color="auto"/>
            </w:tcBorders>
            <w:vAlign w:val="center"/>
          </w:tcPr>
          <w:p w14:paraId="39468A0E" w14:textId="378D915C" w:rsidR="634CB1F4" w:rsidRDefault="634CB1F4">
            <w:r w:rsidRPr="634CB1F4">
              <w:rPr>
                <w:rFonts w:ascii="Calibri" w:eastAsia="Calibri" w:hAnsi="Calibri" w:cs="Calibri"/>
                <w:i/>
                <w:iCs/>
                <w:color w:val="000000" w:themeColor="text1"/>
                <w:sz w:val="16"/>
                <w:szCs w:val="16"/>
              </w:rPr>
              <w:t xml:space="preserve"> 39.083,3 </w:t>
            </w:r>
          </w:p>
        </w:tc>
      </w:tr>
      <w:tr w:rsidR="634CB1F4" w14:paraId="1A8D62EA" w14:textId="77777777" w:rsidTr="00304238">
        <w:trPr>
          <w:trHeight w:val="315"/>
        </w:trPr>
        <w:tc>
          <w:tcPr>
            <w:tcW w:w="982" w:type="dxa"/>
            <w:tcBorders>
              <w:top w:val="nil"/>
              <w:left w:val="nil"/>
              <w:bottom w:val="nil"/>
              <w:right w:val="nil"/>
            </w:tcBorders>
            <w:vAlign w:val="center"/>
          </w:tcPr>
          <w:p w14:paraId="57E36A92" w14:textId="0447380D" w:rsidR="634CB1F4" w:rsidRDefault="634CB1F4" w:rsidP="00304238">
            <w:pPr>
              <w:jc w:val="center"/>
            </w:pPr>
            <w:r w:rsidRPr="634CB1F4">
              <w:rPr>
                <w:rFonts w:ascii="Arial" w:eastAsia="Arial" w:hAnsi="Arial" w:cs="Arial"/>
                <w:b/>
                <w:bCs/>
                <w:color w:val="000000" w:themeColor="text1"/>
                <w:sz w:val="18"/>
                <w:szCs w:val="18"/>
              </w:rPr>
              <w:t>1-ene-87</w:t>
            </w:r>
          </w:p>
        </w:tc>
        <w:tc>
          <w:tcPr>
            <w:tcW w:w="982" w:type="dxa"/>
            <w:tcBorders>
              <w:top w:val="single" w:sz="4" w:space="0" w:color="auto"/>
              <w:left w:val="nil"/>
              <w:bottom w:val="single" w:sz="4" w:space="0" w:color="auto"/>
              <w:right w:val="nil"/>
            </w:tcBorders>
            <w:vAlign w:val="center"/>
          </w:tcPr>
          <w:p w14:paraId="00782787" w14:textId="48D17EC7" w:rsidR="634CB1F4" w:rsidRDefault="634CB1F4" w:rsidP="00304238">
            <w:r w:rsidRPr="634CB1F4">
              <w:rPr>
                <w:rFonts w:ascii="Calibri" w:eastAsia="Calibri" w:hAnsi="Calibri" w:cs="Calibri"/>
                <w:i/>
                <w:iCs/>
                <w:color w:val="000000" w:themeColor="text1"/>
                <w:sz w:val="16"/>
                <w:szCs w:val="16"/>
              </w:rPr>
              <w:t>31-dic-87</w:t>
            </w:r>
          </w:p>
        </w:tc>
        <w:tc>
          <w:tcPr>
            <w:tcW w:w="838" w:type="dxa"/>
            <w:tcBorders>
              <w:top w:val="single" w:sz="4" w:space="0" w:color="auto"/>
              <w:left w:val="nil"/>
              <w:bottom w:val="single" w:sz="4" w:space="0" w:color="auto"/>
              <w:right w:val="nil"/>
            </w:tcBorders>
            <w:vAlign w:val="center"/>
          </w:tcPr>
          <w:p w14:paraId="629A1BAE" w14:textId="20250D83" w:rsidR="634CB1F4" w:rsidRDefault="634CB1F4" w:rsidP="00304238">
            <w:pPr>
              <w:jc w:val="center"/>
            </w:pPr>
            <w:r w:rsidRPr="634CB1F4">
              <w:rPr>
                <w:rFonts w:ascii="Calibri" w:eastAsia="Calibri" w:hAnsi="Calibri" w:cs="Calibri"/>
                <w:i/>
                <w:iCs/>
                <w:color w:val="000000" w:themeColor="text1"/>
                <w:sz w:val="16"/>
                <w:szCs w:val="16"/>
              </w:rPr>
              <w:t>365</w:t>
            </w:r>
          </w:p>
        </w:tc>
        <w:tc>
          <w:tcPr>
            <w:tcW w:w="1126" w:type="dxa"/>
            <w:gridSpan w:val="2"/>
            <w:tcBorders>
              <w:top w:val="single" w:sz="4" w:space="0" w:color="auto"/>
              <w:left w:val="nil"/>
              <w:bottom w:val="single" w:sz="4" w:space="0" w:color="auto"/>
              <w:right w:val="single" w:sz="8" w:space="0" w:color="auto"/>
            </w:tcBorders>
            <w:vAlign w:val="center"/>
          </w:tcPr>
          <w:p w14:paraId="66B7818E" w14:textId="14207ACB" w:rsidR="634CB1F4" w:rsidRPr="00304238" w:rsidRDefault="634CB1F4" w:rsidP="00304238">
            <w:pPr>
              <w:rPr>
                <w:sz w:val="18"/>
              </w:rPr>
            </w:pPr>
            <w:r w:rsidRPr="00304238">
              <w:rPr>
                <w:rFonts w:ascii="Arial" w:eastAsia="Arial" w:hAnsi="Arial" w:cs="Arial"/>
                <w:color w:val="000000" w:themeColor="text1"/>
                <w:sz w:val="18"/>
                <w:szCs w:val="18"/>
              </w:rPr>
              <w:t xml:space="preserve"> 21.420,00 </w:t>
            </w:r>
          </w:p>
        </w:tc>
        <w:tc>
          <w:tcPr>
            <w:tcW w:w="982" w:type="dxa"/>
            <w:tcBorders>
              <w:top w:val="nil"/>
              <w:left w:val="single" w:sz="12" w:space="0" w:color="auto"/>
              <w:bottom w:val="nil"/>
              <w:right w:val="single" w:sz="8" w:space="0" w:color="auto"/>
            </w:tcBorders>
            <w:vAlign w:val="center"/>
          </w:tcPr>
          <w:p w14:paraId="5BDC6FE7" w14:textId="2DC9AEFA" w:rsidR="634CB1F4" w:rsidRPr="00304238" w:rsidRDefault="634CB1F4" w:rsidP="00304238">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0CFD1127" w14:textId="6B03AB1D" w:rsidR="634CB1F4" w:rsidRDefault="634CB1F4" w:rsidP="00304238">
            <w:r w:rsidRPr="634CB1F4">
              <w:rPr>
                <w:rFonts w:ascii="Calibri" w:eastAsia="Calibri" w:hAnsi="Calibri" w:cs="Calibri"/>
                <w:b/>
                <w:bCs/>
                <w:i/>
                <w:iCs/>
                <w:color w:val="000000" w:themeColor="text1"/>
                <w:sz w:val="16"/>
                <w:szCs w:val="16"/>
              </w:rPr>
              <w:t xml:space="preserve"> 612.511 </w:t>
            </w:r>
          </w:p>
        </w:tc>
        <w:tc>
          <w:tcPr>
            <w:tcW w:w="982" w:type="dxa"/>
            <w:tcBorders>
              <w:top w:val="single" w:sz="4" w:space="0" w:color="auto"/>
              <w:left w:val="nil"/>
              <w:bottom w:val="single" w:sz="4" w:space="0" w:color="auto"/>
              <w:right w:val="nil"/>
            </w:tcBorders>
            <w:vAlign w:val="center"/>
          </w:tcPr>
          <w:p w14:paraId="1B7B6554" w14:textId="400F7D2F" w:rsidR="634CB1F4" w:rsidRDefault="634CB1F4" w:rsidP="00304238">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43032BE" w14:textId="2C997378" w:rsidR="634CB1F4" w:rsidRDefault="634CB1F4" w:rsidP="00304238">
            <w:pPr>
              <w:jc w:val="center"/>
            </w:pPr>
            <w:r w:rsidRPr="634CB1F4">
              <w:rPr>
                <w:rFonts w:ascii="Calibri" w:eastAsia="Calibri" w:hAnsi="Calibri" w:cs="Calibri"/>
                <w:i/>
                <w:iCs/>
                <w:color w:val="000000" w:themeColor="text1"/>
                <w:sz w:val="16"/>
                <w:szCs w:val="16"/>
              </w:rPr>
              <w:t xml:space="preserve"> 2,88 </w:t>
            </w:r>
          </w:p>
        </w:tc>
        <w:tc>
          <w:tcPr>
            <w:tcW w:w="982" w:type="dxa"/>
            <w:tcBorders>
              <w:top w:val="single" w:sz="4" w:space="0" w:color="auto"/>
              <w:left w:val="nil"/>
              <w:bottom w:val="single" w:sz="4" w:space="0" w:color="auto"/>
              <w:right w:val="single" w:sz="8" w:space="0" w:color="auto"/>
            </w:tcBorders>
            <w:vAlign w:val="center"/>
          </w:tcPr>
          <w:p w14:paraId="78204E66" w14:textId="1136AEF1" w:rsidR="634CB1F4" w:rsidRDefault="634CB1F4" w:rsidP="00304238">
            <w:r w:rsidRPr="634CB1F4">
              <w:rPr>
                <w:rFonts w:ascii="Calibri" w:eastAsia="Calibri" w:hAnsi="Calibri" w:cs="Calibri"/>
                <w:i/>
                <w:iCs/>
                <w:color w:val="000000" w:themeColor="text1"/>
                <w:sz w:val="16"/>
                <w:szCs w:val="16"/>
              </w:rPr>
              <w:t xml:space="preserve"> 38.908,2 </w:t>
            </w:r>
          </w:p>
        </w:tc>
      </w:tr>
      <w:tr w:rsidR="634CB1F4" w14:paraId="12A5F2B5" w14:textId="77777777" w:rsidTr="00304238">
        <w:trPr>
          <w:trHeight w:val="315"/>
        </w:trPr>
        <w:tc>
          <w:tcPr>
            <w:tcW w:w="982" w:type="dxa"/>
            <w:tcBorders>
              <w:top w:val="nil"/>
              <w:left w:val="nil"/>
              <w:bottom w:val="nil"/>
              <w:right w:val="nil"/>
            </w:tcBorders>
            <w:vAlign w:val="center"/>
          </w:tcPr>
          <w:p w14:paraId="245ACF7D" w14:textId="149B1B28" w:rsidR="634CB1F4" w:rsidRDefault="634CB1F4" w:rsidP="00304238">
            <w:pPr>
              <w:jc w:val="center"/>
            </w:pPr>
            <w:r w:rsidRPr="634CB1F4">
              <w:rPr>
                <w:rFonts w:ascii="Arial" w:eastAsia="Arial" w:hAnsi="Arial" w:cs="Arial"/>
                <w:b/>
                <w:bCs/>
                <w:color w:val="000000" w:themeColor="text1"/>
                <w:sz w:val="18"/>
                <w:szCs w:val="18"/>
              </w:rPr>
              <w:t>1-ene-88</w:t>
            </w:r>
          </w:p>
        </w:tc>
        <w:tc>
          <w:tcPr>
            <w:tcW w:w="982" w:type="dxa"/>
            <w:tcBorders>
              <w:top w:val="single" w:sz="4" w:space="0" w:color="auto"/>
              <w:left w:val="nil"/>
              <w:bottom w:val="single" w:sz="4" w:space="0" w:color="auto"/>
              <w:right w:val="nil"/>
            </w:tcBorders>
            <w:vAlign w:val="center"/>
          </w:tcPr>
          <w:p w14:paraId="561309E4" w14:textId="398B6645" w:rsidR="634CB1F4" w:rsidRDefault="634CB1F4" w:rsidP="00304238">
            <w:r w:rsidRPr="634CB1F4">
              <w:rPr>
                <w:rFonts w:ascii="Calibri" w:eastAsia="Calibri" w:hAnsi="Calibri" w:cs="Calibri"/>
                <w:i/>
                <w:iCs/>
                <w:color w:val="000000" w:themeColor="text1"/>
                <w:sz w:val="16"/>
                <w:szCs w:val="16"/>
              </w:rPr>
              <w:t>1-oct-88</w:t>
            </w:r>
          </w:p>
        </w:tc>
        <w:tc>
          <w:tcPr>
            <w:tcW w:w="838" w:type="dxa"/>
            <w:tcBorders>
              <w:top w:val="single" w:sz="4" w:space="0" w:color="auto"/>
              <w:left w:val="nil"/>
              <w:bottom w:val="single" w:sz="4" w:space="0" w:color="auto"/>
              <w:right w:val="nil"/>
            </w:tcBorders>
            <w:vAlign w:val="center"/>
          </w:tcPr>
          <w:p w14:paraId="72A24028" w14:textId="707333BA" w:rsidR="634CB1F4" w:rsidRDefault="634CB1F4" w:rsidP="00304238">
            <w:pPr>
              <w:jc w:val="center"/>
            </w:pPr>
            <w:r w:rsidRPr="634CB1F4">
              <w:rPr>
                <w:rFonts w:ascii="Calibri" w:eastAsia="Calibri" w:hAnsi="Calibri" w:cs="Calibri"/>
                <w:i/>
                <w:iCs/>
                <w:color w:val="000000" w:themeColor="text1"/>
                <w:sz w:val="16"/>
                <w:szCs w:val="16"/>
              </w:rPr>
              <w:t>275</w:t>
            </w:r>
          </w:p>
        </w:tc>
        <w:tc>
          <w:tcPr>
            <w:tcW w:w="1126" w:type="dxa"/>
            <w:gridSpan w:val="2"/>
            <w:tcBorders>
              <w:top w:val="single" w:sz="4" w:space="0" w:color="auto"/>
              <w:left w:val="nil"/>
              <w:bottom w:val="single" w:sz="4" w:space="0" w:color="auto"/>
              <w:right w:val="single" w:sz="8" w:space="0" w:color="auto"/>
            </w:tcBorders>
            <w:vAlign w:val="center"/>
          </w:tcPr>
          <w:p w14:paraId="225FE4F8" w14:textId="1050C985" w:rsidR="634CB1F4" w:rsidRPr="00304238" w:rsidRDefault="634CB1F4" w:rsidP="00304238">
            <w:pPr>
              <w:rPr>
                <w:sz w:val="18"/>
              </w:rPr>
            </w:pPr>
            <w:r w:rsidRPr="00304238">
              <w:rPr>
                <w:rFonts w:ascii="Arial" w:eastAsia="Arial" w:hAnsi="Arial" w:cs="Arial"/>
                <w:color w:val="000000" w:themeColor="text1"/>
                <w:sz w:val="18"/>
                <w:szCs w:val="18"/>
              </w:rPr>
              <w:t xml:space="preserve"> 25.530,00 </w:t>
            </w:r>
          </w:p>
        </w:tc>
        <w:tc>
          <w:tcPr>
            <w:tcW w:w="982" w:type="dxa"/>
            <w:tcBorders>
              <w:top w:val="nil"/>
              <w:left w:val="single" w:sz="12" w:space="0" w:color="auto"/>
              <w:bottom w:val="nil"/>
              <w:right w:val="single" w:sz="8" w:space="0" w:color="auto"/>
            </w:tcBorders>
            <w:vAlign w:val="center"/>
          </w:tcPr>
          <w:p w14:paraId="665D3FAF" w14:textId="0523F167" w:rsidR="634CB1F4" w:rsidRPr="00304238" w:rsidRDefault="634CB1F4" w:rsidP="00304238">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71F24D42" w14:textId="2F2BCCF4" w:rsidR="634CB1F4" w:rsidRDefault="634CB1F4" w:rsidP="00304238">
            <w:r w:rsidRPr="634CB1F4">
              <w:rPr>
                <w:rFonts w:ascii="Calibri" w:eastAsia="Calibri" w:hAnsi="Calibri" w:cs="Calibri"/>
                <w:b/>
                <w:bCs/>
                <w:i/>
                <w:iCs/>
                <w:color w:val="000000" w:themeColor="text1"/>
                <w:sz w:val="16"/>
                <w:szCs w:val="16"/>
              </w:rPr>
              <w:t xml:space="preserve"> 588.638 </w:t>
            </w:r>
          </w:p>
        </w:tc>
        <w:tc>
          <w:tcPr>
            <w:tcW w:w="982" w:type="dxa"/>
            <w:tcBorders>
              <w:top w:val="single" w:sz="4" w:space="0" w:color="auto"/>
              <w:left w:val="nil"/>
              <w:bottom w:val="single" w:sz="4" w:space="0" w:color="auto"/>
              <w:right w:val="nil"/>
            </w:tcBorders>
            <w:vAlign w:val="center"/>
          </w:tcPr>
          <w:p w14:paraId="688B1930" w14:textId="2B2C2B9D" w:rsidR="634CB1F4" w:rsidRDefault="634CB1F4" w:rsidP="00304238">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48BAF7AC" w14:textId="41FD6DF2" w:rsidR="634CB1F4" w:rsidRDefault="634CB1F4" w:rsidP="00304238">
            <w:pPr>
              <w:jc w:val="center"/>
            </w:pPr>
            <w:r w:rsidRPr="634CB1F4">
              <w:rPr>
                <w:rFonts w:ascii="Calibri" w:eastAsia="Calibri" w:hAnsi="Calibri" w:cs="Calibri"/>
                <w:i/>
                <w:iCs/>
                <w:color w:val="000000" w:themeColor="text1"/>
                <w:sz w:val="16"/>
                <w:szCs w:val="16"/>
              </w:rPr>
              <w:t xml:space="preserve"> 3,58 </w:t>
            </w:r>
          </w:p>
        </w:tc>
        <w:tc>
          <w:tcPr>
            <w:tcW w:w="982" w:type="dxa"/>
            <w:tcBorders>
              <w:top w:val="single" w:sz="4" w:space="0" w:color="auto"/>
              <w:left w:val="nil"/>
              <w:bottom w:val="single" w:sz="4" w:space="0" w:color="auto"/>
              <w:right w:val="single" w:sz="8" w:space="0" w:color="auto"/>
            </w:tcBorders>
            <w:vAlign w:val="center"/>
          </w:tcPr>
          <w:p w14:paraId="2F63B77C" w14:textId="31E0B45A" w:rsidR="634CB1F4" w:rsidRDefault="634CB1F4" w:rsidP="00304238">
            <w:r w:rsidRPr="634CB1F4">
              <w:rPr>
                <w:rFonts w:ascii="Calibri" w:eastAsia="Calibri" w:hAnsi="Calibri" w:cs="Calibri"/>
                <w:i/>
                <w:iCs/>
                <w:color w:val="000000" w:themeColor="text1"/>
                <w:sz w:val="16"/>
                <w:szCs w:val="16"/>
              </w:rPr>
              <w:t xml:space="preserve"> 28.171,8 </w:t>
            </w:r>
          </w:p>
        </w:tc>
      </w:tr>
      <w:tr w:rsidR="634CB1F4" w14:paraId="6663D1EB" w14:textId="77777777" w:rsidTr="00304238">
        <w:trPr>
          <w:trHeight w:val="315"/>
        </w:trPr>
        <w:tc>
          <w:tcPr>
            <w:tcW w:w="982" w:type="dxa"/>
            <w:tcBorders>
              <w:top w:val="single" w:sz="4" w:space="0" w:color="auto"/>
              <w:left w:val="nil"/>
              <w:bottom w:val="single" w:sz="4" w:space="0" w:color="auto"/>
              <w:right w:val="nil"/>
            </w:tcBorders>
            <w:vAlign w:val="center"/>
          </w:tcPr>
          <w:p w14:paraId="5378F83D" w14:textId="54205630" w:rsidR="634CB1F4" w:rsidRPr="002B2662" w:rsidRDefault="634CB1F4" w:rsidP="634CB1F4">
            <w:pPr>
              <w:jc w:val="center"/>
              <w:rPr>
                <w:b/>
              </w:rPr>
            </w:pPr>
            <w:r w:rsidRPr="002B2662">
              <w:rPr>
                <w:rFonts w:ascii="Arial" w:eastAsia="Arial" w:hAnsi="Arial" w:cs="Arial"/>
                <w:b/>
                <w:color w:val="000000" w:themeColor="text1"/>
                <w:sz w:val="18"/>
                <w:szCs w:val="18"/>
              </w:rPr>
              <w:t>3-</w:t>
            </w:r>
            <w:proofErr w:type="spellStart"/>
            <w:r w:rsidRPr="002B2662">
              <w:rPr>
                <w:rFonts w:ascii="Arial" w:eastAsia="Arial" w:hAnsi="Arial" w:cs="Arial"/>
                <w:b/>
                <w:color w:val="000000" w:themeColor="text1"/>
                <w:sz w:val="18"/>
                <w:szCs w:val="18"/>
              </w:rPr>
              <w:t>ago</w:t>
            </w:r>
            <w:proofErr w:type="spellEnd"/>
            <w:r w:rsidRPr="002B2662">
              <w:rPr>
                <w:rFonts w:ascii="Arial" w:eastAsia="Arial" w:hAnsi="Arial" w:cs="Arial"/>
                <w:b/>
                <w:color w:val="000000" w:themeColor="text1"/>
                <w:sz w:val="18"/>
                <w:szCs w:val="18"/>
              </w:rPr>
              <w:t>-89</w:t>
            </w:r>
          </w:p>
        </w:tc>
        <w:tc>
          <w:tcPr>
            <w:tcW w:w="982" w:type="dxa"/>
            <w:tcBorders>
              <w:top w:val="single" w:sz="4" w:space="0" w:color="auto"/>
              <w:left w:val="nil"/>
              <w:bottom w:val="single" w:sz="4" w:space="0" w:color="auto"/>
              <w:right w:val="nil"/>
            </w:tcBorders>
            <w:vAlign w:val="center"/>
          </w:tcPr>
          <w:p w14:paraId="53F7DD5A" w14:textId="1734579F" w:rsidR="634CB1F4" w:rsidRDefault="634CB1F4">
            <w:r w:rsidRPr="634CB1F4">
              <w:rPr>
                <w:rFonts w:ascii="Calibri" w:eastAsia="Calibri" w:hAnsi="Calibri" w:cs="Calibri"/>
                <w:i/>
                <w:iCs/>
                <w:color w:val="000000" w:themeColor="text1"/>
                <w:sz w:val="16"/>
                <w:szCs w:val="16"/>
              </w:rPr>
              <w:t>23-dic-89</w:t>
            </w:r>
          </w:p>
        </w:tc>
        <w:tc>
          <w:tcPr>
            <w:tcW w:w="838" w:type="dxa"/>
            <w:tcBorders>
              <w:top w:val="single" w:sz="4" w:space="0" w:color="auto"/>
              <w:left w:val="nil"/>
              <w:bottom w:val="single" w:sz="4" w:space="0" w:color="auto"/>
              <w:right w:val="nil"/>
            </w:tcBorders>
            <w:vAlign w:val="center"/>
          </w:tcPr>
          <w:p w14:paraId="5217BDE9" w14:textId="791DF0E9" w:rsidR="634CB1F4" w:rsidRDefault="634CB1F4" w:rsidP="634CB1F4">
            <w:pPr>
              <w:jc w:val="center"/>
            </w:pPr>
            <w:r w:rsidRPr="634CB1F4">
              <w:rPr>
                <w:rFonts w:ascii="Calibri" w:eastAsia="Calibri" w:hAnsi="Calibri" w:cs="Calibri"/>
                <w:i/>
                <w:iCs/>
                <w:color w:val="000000" w:themeColor="text1"/>
                <w:sz w:val="16"/>
                <w:szCs w:val="16"/>
              </w:rPr>
              <w:t>143</w:t>
            </w:r>
          </w:p>
        </w:tc>
        <w:tc>
          <w:tcPr>
            <w:tcW w:w="1126" w:type="dxa"/>
            <w:gridSpan w:val="2"/>
            <w:tcBorders>
              <w:top w:val="single" w:sz="4" w:space="0" w:color="auto"/>
              <w:left w:val="nil"/>
              <w:bottom w:val="single" w:sz="4" w:space="0" w:color="auto"/>
              <w:right w:val="single" w:sz="8" w:space="0" w:color="auto"/>
            </w:tcBorders>
            <w:vAlign w:val="center"/>
          </w:tcPr>
          <w:p w14:paraId="3A4C7454" w14:textId="08D719C9" w:rsidR="634CB1F4" w:rsidRPr="00304238" w:rsidRDefault="634CB1F4">
            <w:pPr>
              <w:rPr>
                <w:sz w:val="18"/>
              </w:rPr>
            </w:pPr>
            <w:r w:rsidRPr="00304238">
              <w:rPr>
                <w:rFonts w:ascii="Arial" w:eastAsia="Arial" w:hAnsi="Arial" w:cs="Arial"/>
                <w:color w:val="000000" w:themeColor="text1"/>
                <w:sz w:val="18"/>
                <w:szCs w:val="18"/>
              </w:rPr>
              <w:t xml:space="preserve"> 39.310,00 </w:t>
            </w:r>
          </w:p>
        </w:tc>
        <w:tc>
          <w:tcPr>
            <w:tcW w:w="982" w:type="dxa"/>
            <w:tcBorders>
              <w:top w:val="nil"/>
              <w:left w:val="single" w:sz="12" w:space="0" w:color="auto"/>
              <w:bottom w:val="nil"/>
              <w:right w:val="single" w:sz="8" w:space="0" w:color="auto"/>
            </w:tcBorders>
            <w:vAlign w:val="center"/>
          </w:tcPr>
          <w:p w14:paraId="6CBF6325" w14:textId="212BAE8E"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7F404243" w14:textId="0D56573B" w:rsidR="634CB1F4" w:rsidRDefault="634CB1F4">
            <w:r w:rsidRPr="634CB1F4">
              <w:rPr>
                <w:rFonts w:ascii="Calibri" w:eastAsia="Calibri" w:hAnsi="Calibri" w:cs="Calibri"/>
                <w:b/>
                <w:bCs/>
                <w:i/>
                <w:iCs/>
                <w:color w:val="000000" w:themeColor="text1"/>
                <w:sz w:val="16"/>
                <w:szCs w:val="16"/>
              </w:rPr>
              <w:t xml:space="preserve"> 707.405 </w:t>
            </w:r>
          </w:p>
        </w:tc>
        <w:tc>
          <w:tcPr>
            <w:tcW w:w="982" w:type="dxa"/>
            <w:tcBorders>
              <w:top w:val="single" w:sz="4" w:space="0" w:color="auto"/>
              <w:left w:val="nil"/>
              <w:bottom w:val="single" w:sz="4" w:space="0" w:color="auto"/>
              <w:right w:val="nil"/>
            </w:tcBorders>
            <w:vAlign w:val="center"/>
          </w:tcPr>
          <w:p w14:paraId="4CBE1756" w14:textId="6AD096AB"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675E9731" w14:textId="7695397A" w:rsidR="634CB1F4" w:rsidRDefault="634CB1F4" w:rsidP="634CB1F4">
            <w:pPr>
              <w:jc w:val="center"/>
            </w:pPr>
            <w:r w:rsidRPr="634CB1F4">
              <w:rPr>
                <w:rFonts w:ascii="Calibri" w:eastAsia="Calibri" w:hAnsi="Calibri" w:cs="Calibri"/>
                <w:i/>
                <w:iCs/>
                <w:color w:val="000000" w:themeColor="text1"/>
                <w:sz w:val="16"/>
                <w:szCs w:val="16"/>
              </w:rPr>
              <w:t xml:space="preserve"> 4,58 </w:t>
            </w:r>
          </w:p>
        </w:tc>
        <w:tc>
          <w:tcPr>
            <w:tcW w:w="982" w:type="dxa"/>
            <w:tcBorders>
              <w:top w:val="single" w:sz="4" w:space="0" w:color="auto"/>
              <w:left w:val="nil"/>
              <w:bottom w:val="single" w:sz="4" w:space="0" w:color="auto"/>
              <w:right w:val="single" w:sz="8" w:space="0" w:color="auto"/>
            </w:tcBorders>
            <w:vAlign w:val="center"/>
          </w:tcPr>
          <w:p w14:paraId="5DA51702" w14:textId="38DA0644" w:rsidR="634CB1F4" w:rsidRDefault="634CB1F4">
            <w:r w:rsidRPr="634CB1F4">
              <w:rPr>
                <w:rFonts w:ascii="Calibri" w:eastAsia="Calibri" w:hAnsi="Calibri" w:cs="Calibri"/>
                <w:i/>
                <w:iCs/>
                <w:color w:val="000000" w:themeColor="text1"/>
                <w:sz w:val="16"/>
                <w:szCs w:val="16"/>
              </w:rPr>
              <w:t xml:space="preserve"> 17.605,1 </w:t>
            </w:r>
          </w:p>
        </w:tc>
      </w:tr>
      <w:tr w:rsidR="634CB1F4" w14:paraId="3B6BC2AB" w14:textId="77777777" w:rsidTr="00304238">
        <w:trPr>
          <w:trHeight w:val="315"/>
        </w:trPr>
        <w:tc>
          <w:tcPr>
            <w:tcW w:w="982" w:type="dxa"/>
            <w:tcBorders>
              <w:top w:val="single" w:sz="4" w:space="0" w:color="auto"/>
              <w:left w:val="nil"/>
              <w:bottom w:val="nil"/>
              <w:right w:val="nil"/>
            </w:tcBorders>
            <w:vAlign w:val="center"/>
          </w:tcPr>
          <w:p w14:paraId="48EE8D0C" w14:textId="7FEAB10D" w:rsidR="634CB1F4" w:rsidRDefault="634CB1F4" w:rsidP="634CB1F4">
            <w:pPr>
              <w:jc w:val="center"/>
            </w:pPr>
            <w:r w:rsidRPr="634CB1F4">
              <w:rPr>
                <w:rFonts w:ascii="Arial" w:eastAsia="Arial" w:hAnsi="Arial" w:cs="Arial"/>
                <w:b/>
                <w:bCs/>
                <w:color w:val="000000" w:themeColor="text1"/>
                <w:sz w:val="18"/>
                <w:szCs w:val="18"/>
              </w:rPr>
              <w:t>17-ene-90</w:t>
            </w:r>
          </w:p>
        </w:tc>
        <w:tc>
          <w:tcPr>
            <w:tcW w:w="982" w:type="dxa"/>
            <w:tcBorders>
              <w:top w:val="single" w:sz="4" w:space="0" w:color="auto"/>
              <w:left w:val="nil"/>
              <w:bottom w:val="single" w:sz="4" w:space="0" w:color="auto"/>
              <w:right w:val="nil"/>
            </w:tcBorders>
            <w:vAlign w:val="center"/>
          </w:tcPr>
          <w:p w14:paraId="1353413B" w14:textId="0F921CB8" w:rsidR="634CB1F4" w:rsidRDefault="634CB1F4">
            <w:r w:rsidRPr="634CB1F4">
              <w:rPr>
                <w:rFonts w:ascii="Calibri" w:eastAsia="Calibri" w:hAnsi="Calibri" w:cs="Calibri"/>
                <w:i/>
                <w:iCs/>
                <w:color w:val="000000" w:themeColor="text1"/>
                <w:sz w:val="16"/>
                <w:szCs w:val="16"/>
              </w:rPr>
              <w:t>21-</w:t>
            </w:r>
            <w:proofErr w:type="spellStart"/>
            <w:r w:rsidRPr="634CB1F4">
              <w:rPr>
                <w:rFonts w:ascii="Calibri" w:eastAsia="Calibri" w:hAnsi="Calibri" w:cs="Calibri"/>
                <w:i/>
                <w:iCs/>
                <w:color w:val="000000" w:themeColor="text1"/>
                <w:sz w:val="16"/>
                <w:szCs w:val="16"/>
              </w:rPr>
              <w:t>ago</w:t>
            </w:r>
            <w:proofErr w:type="spellEnd"/>
            <w:r w:rsidRPr="634CB1F4">
              <w:rPr>
                <w:rFonts w:ascii="Calibri" w:eastAsia="Calibri" w:hAnsi="Calibri" w:cs="Calibri"/>
                <w:i/>
                <w:iCs/>
                <w:color w:val="000000" w:themeColor="text1"/>
                <w:sz w:val="16"/>
                <w:szCs w:val="16"/>
              </w:rPr>
              <w:t>-90</w:t>
            </w:r>
          </w:p>
        </w:tc>
        <w:tc>
          <w:tcPr>
            <w:tcW w:w="838" w:type="dxa"/>
            <w:tcBorders>
              <w:top w:val="single" w:sz="4" w:space="0" w:color="auto"/>
              <w:left w:val="nil"/>
              <w:bottom w:val="single" w:sz="4" w:space="0" w:color="auto"/>
              <w:right w:val="nil"/>
            </w:tcBorders>
            <w:vAlign w:val="center"/>
          </w:tcPr>
          <w:p w14:paraId="634C7E21" w14:textId="2E0BA327" w:rsidR="634CB1F4" w:rsidRDefault="634CB1F4" w:rsidP="634CB1F4">
            <w:pPr>
              <w:jc w:val="center"/>
            </w:pPr>
            <w:r w:rsidRPr="634CB1F4">
              <w:rPr>
                <w:rFonts w:ascii="Calibri" w:eastAsia="Calibri" w:hAnsi="Calibri" w:cs="Calibri"/>
                <w:i/>
                <w:iCs/>
                <w:color w:val="000000" w:themeColor="text1"/>
                <w:sz w:val="16"/>
                <w:szCs w:val="16"/>
              </w:rPr>
              <w:t>217</w:t>
            </w:r>
          </w:p>
        </w:tc>
        <w:tc>
          <w:tcPr>
            <w:tcW w:w="1126" w:type="dxa"/>
            <w:gridSpan w:val="2"/>
            <w:tcBorders>
              <w:top w:val="single" w:sz="4" w:space="0" w:color="auto"/>
              <w:left w:val="nil"/>
              <w:bottom w:val="single" w:sz="4" w:space="0" w:color="auto"/>
              <w:right w:val="single" w:sz="8" w:space="0" w:color="auto"/>
            </w:tcBorders>
            <w:vAlign w:val="center"/>
          </w:tcPr>
          <w:p w14:paraId="5CA7633F" w14:textId="65B5EB6F" w:rsidR="634CB1F4" w:rsidRPr="00304238" w:rsidRDefault="634CB1F4">
            <w:pPr>
              <w:rPr>
                <w:sz w:val="18"/>
              </w:rPr>
            </w:pPr>
            <w:r w:rsidRPr="00304238">
              <w:rPr>
                <w:rFonts w:ascii="Arial" w:eastAsia="Arial" w:hAnsi="Arial" w:cs="Arial"/>
                <w:color w:val="000000" w:themeColor="text1"/>
                <w:sz w:val="18"/>
                <w:szCs w:val="18"/>
              </w:rPr>
              <w:t xml:space="preserve"> 47.370,00 </w:t>
            </w:r>
          </w:p>
        </w:tc>
        <w:tc>
          <w:tcPr>
            <w:tcW w:w="982" w:type="dxa"/>
            <w:tcBorders>
              <w:top w:val="nil"/>
              <w:left w:val="single" w:sz="12" w:space="0" w:color="auto"/>
              <w:bottom w:val="nil"/>
              <w:right w:val="single" w:sz="8" w:space="0" w:color="auto"/>
            </w:tcBorders>
            <w:vAlign w:val="center"/>
          </w:tcPr>
          <w:p w14:paraId="6F818693" w14:textId="20DAB72B"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6E8D8148" w14:textId="36A52D3F" w:rsidR="634CB1F4" w:rsidRDefault="634CB1F4">
            <w:r w:rsidRPr="634CB1F4">
              <w:rPr>
                <w:rFonts w:ascii="Calibri" w:eastAsia="Calibri" w:hAnsi="Calibri" w:cs="Calibri"/>
                <w:b/>
                <w:bCs/>
                <w:i/>
                <w:iCs/>
                <w:color w:val="000000" w:themeColor="text1"/>
                <w:sz w:val="16"/>
                <w:szCs w:val="16"/>
              </w:rPr>
              <w:t xml:space="preserve"> 675.888 </w:t>
            </w:r>
          </w:p>
        </w:tc>
        <w:tc>
          <w:tcPr>
            <w:tcW w:w="982" w:type="dxa"/>
            <w:tcBorders>
              <w:top w:val="single" w:sz="4" w:space="0" w:color="auto"/>
              <w:left w:val="nil"/>
              <w:bottom w:val="single" w:sz="4" w:space="0" w:color="auto"/>
              <w:right w:val="nil"/>
            </w:tcBorders>
            <w:vAlign w:val="center"/>
          </w:tcPr>
          <w:p w14:paraId="2194FD1E" w14:textId="239B5AB8"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7D2C7B7" w14:textId="3F2014A2" w:rsidR="634CB1F4" w:rsidRDefault="634CB1F4" w:rsidP="634CB1F4">
            <w:pPr>
              <w:jc w:val="center"/>
            </w:pPr>
            <w:r w:rsidRPr="634CB1F4">
              <w:rPr>
                <w:rFonts w:ascii="Calibri" w:eastAsia="Calibri" w:hAnsi="Calibri" w:cs="Calibri"/>
                <w:i/>
                <w:iCs/>
                <w:color w:val="000000" w:themeColor="text1"/>
                <w:sz w:val="16"/>
                <w:szCs w:val="16"/>
              </w:rPr>
              <w:t xml:space="preserve"> 5,78 </w:t>
            </w:r>
          </w:p>
        </w:tc>
        <w:tc>
          <w:tcPr>
            <w:tcW w:w="982" w:type="dxa"/>
            <w:tcBorders>
              <w:top w:val="single" w:sz="4" w:space="0" w:color="auto"/>
              <w:left w:val="nil"/>
              <w:bottom w:val="single" w:sz="4" w:space="0" w:color="auto"/>
              <w:right w:val="single" w:sz="8" w:space="0" w:color="auto"/>
            </w:tcBorders>
            <w:vAlign w:val="center"/>
          </w:tcPr>
          <w:p w14:paraId="31AE5599" w14:textId="4F50342D" w:rsidR="634CB1F4" w:rsidRDefault="634CB1F4">
            <w:r w:rsidRPr="634CB1F4">
              <w:rPr>
                <w:rFonts w:ascii="Calibri" w:eastAsia="Calibri" w:hAnsi="Calibri" w:cs="Calibri"/>
                <w:i/>
                <w:iCs/>
                <w:color w:val="000000" w:themeColor="text1"/>
                <w:sz w:val="16"/>
                <w:szCs w:val="16"/>
              </w:rPr>
              <w:t xml:space="preserve"> 25.525,2 </w:t>
            </w:r>
          </w:p>
        </w:tc>
      </w:tr>
      <w:tr w:rsidR="634CB1F4" w14:paraId="20235C8C" w14:textId="77777777" w:rsidTr="00304238">
        <w:trPr>
          <w:trHeight w:val="315"/>
        </w:trPr>
        <w:tc>
          <w:tcPr>
            <w:tcW w:w="982" w:type="dxa"/>
            <w:tcBorders>
              <w:top w:val="nil"/>
              <w:left w:val="nil"/>
              <w:bottom w:val="nil"/>
              <w:right w:val="nil"/>
            </w:tcBorders>
            <w:vAlign w:val="center"/>
          </w:tcPr>
          <w:p w14:paraId="629ADE1E" w14:textId="5D0082E1" w:rsidR="634CB1F4" w:rsidRDefault="634CB1F4" w:rsidP="634CB1F4">
            <w:pPr>
              <w:jc w:val="center"/>
            </w:pPr>
            <w:r w:rsidRPr="634CB1F4">
              <w:rPr>
                <w:rFonts w:ascii="Arial" w:eastAsia="Arial" w:hAnsi="Arial" w:cs="Arial"/>
                <w:b/>
                <w:bCs/>
                <w:color w:val="000000" w:themeColor="text1"/>
                <w:sz w:val="18"/>
                <w:szCs w:val="18"/>
              </w:rPr>
              <w:t>17-sept-90</w:t>
            </w:r>
          </w:p>
        </w:tc>
        <w:tc>
          <w:tcPr>
            <w:tcW w:w="982" w:type="dxa"/>
            <w:tcBorders>
              <w:top w:val="single" w:sz="4" w:space="0" w:color="auto"/>
              <w:left w:val="nil"/>
              <w:bottom w:val="single" w:sz="4" w:space="0" w:color="auto"/>
              <w:right w:val="nil"/>
            </w:tcBorders>
            <w:vAlign w:val="center"/>
          </w:tcPr>
          <w:p w14:paraId="7F158181" w14:textId="4F5C1B66" w:rsidR="634CB1F4" w:rsidRDefault="634CB1F4">
            <w:r w:rsidRPr="634CB1F4">
              <w:rPr>
                <w:rFonts w:ascii="Calibri" w:eastAsia="Calibri" w:hAnsi="Calibri" w:cs="Calibri"/>
                <w:i/>
                <w:iCs/>
                <w:color w:val="000000" w:themeColor="text1"/>
                <w:sz w:val="16"/>
                <w:szCs w:val="16"/>
              </w:rPr>
              <w:t>28-dic-90</w:t>
            </w:r>
          </w:p>
        </w:tc>
        <w:tc>
          <w:tcPr>
            <w:tcW w:w="838" w:type="dxa"/>
            <w:tcBorders>
              <w:top w:val="single" w:sz="4" w:space="0" w:color="auto"/>
              <w:left w:val="nil"/>
              <w:bottom w:val="single" w:sz="4" w:space="0" w:color="auto"/>
              <w:right w:val="nil"/>
            </w:tcBorders>
            <w:vAlign w:val="center"/>
          </w:tcPr>
          <w:p w14:paraId="6E0D0F46" w14:textId="162A5129" w:rsidR="634CB1F4" w:rsidRDefault="634CB1F4" w:rsidP="634CB1F4">
            <w:pPr>
              <w:jc w:val="center"/>
            </w:pPr>
            <w:r w:rsidRPr="634CB1F4">
              <w:rPr>
                <w:rFonts w:ascii="Calibri" w:eastAsia="Calibri" w:hAnsi="Calibri" w:cs="Calibri"/>
                <w:i/>
                <w:iCs/>
                <w:color w:val="000000" w:themeColor="text1"/>
                <w:sz w:val="16"/>
                <w:szCs w:val="16"/>
              </w:rPr>
              <w:t>103</w:t>
            </w:r>
          </w:p>
        </w:tc>
        <w:tc>
          <w:tcPr>
            <w:tcW w:w="1126" w:type="dxa"/>
            <w:gridSpan w:val="2"/>
            <w:tcBorders>
              <w:top w:val="single" w:sz="4" w:space="0" w:color="auto"/>
              <w:left w:val="nil"/>
              <w:bottom w:val="single" w:sz="4" w:space="0" w:color="auto"/>
              <w:right w:val="single" w:sz="8" w:space="0" w:color="auto"/>
            </w:tcBorders>
            <w:vAlign w:val="center"/>
          </w:tcPr>
          <w:p w14:paraId="6E5503B3" w14:textId="32EC5150" w:rsidR="634CB1F4" w:rsidRPr="00304238" w:rsidRDefault="634CB1F4">
            <w:pPr>
              <w:rPr>
                <w:sz w:val="18"/>
              </w:rPr>
            </w:pPr>
            <w:r w:rsidRPr="00304238">
              <w:rPr>
                <w:rFonts w:ascii="Arial" w:eastAsia="Arial" w:hAnsi="Arial" w:cs="Arial"/>
                <w:color w:val="000000" w:themeColor="text1"/>
                <w:sz w:val="18"/>
                <w:szCs w:val="18"/>
              </w:rPr>
              <w:t xml:space="preserve"> 47.370,00 </w:t>
            </w:r>
          </w:p>
        </w:tc>
        <w:tc>
          <w:tcPr>
            <w:tcW w:w="982" w:type="dxa"/>
            <w:tcBorders>
              <w:top w:val="nil"/>
              <w:left w:val="single" w:sz="12" w:space="0" w:color="auto"/>
              <w:bottom w:val="nil"/>
              <w:right w:val="single" w:sz="8" w:space="0" w:color="auto"/>
            </w:tcBorders>
            <w:vAlign w:val="center"/>
          </w:tcPr>
          <w:p w14:paraId="7C933771" w14:textId="73B28790"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74CA2D1F" w14:textId="52D0CCE0" w:rsidR="634CB1F4" w:rsidRDefault="634CB1F4">
            <w:r w:rsidRPr="634CB1F4">
              <w:rPr>
                <w:rFonts w:ascii="Calibri" w:eastAsia="Calibri" w:hAnsi="Calibri" w:cs="Calibri"/>
                <w:b/>
                <w:bCs/>
                <w:i/>
                <w:iCs/>
                <w:color w:val="000000" w:themeColor="text1"/>
                <w:sz w:val="16"/>
                <w:szCs w:val="16"/>
              </w:rPr>
              <w:t xml:space="preserve"> 675.888 </w:t>
            </w:r>
          </w:p>
        </w:tc>
        <w:tc>
          <w:tcPr>
            <w:tcW w:w="982" w:type="dxa"/>
            <w:tcBorders>
              <w:top w:val="single" w:sz="4" w:space="0" w:color="auto"/>
              <w:left w:val="nil"/>
              <w:bottom w:val="single" w:sz="4" w:space="0" w:color="auto"/>
              <w:right w:val="nil"/>
            </w:tcBorders>
            <w:vAlign w:val="center"/>
          </w:tcPr>
          <w:p w14:paraId="3901B44A" w14:textId="21436B60"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65C8D420" w14:textId="776CE057" w:rsidR="634CB1F4" w:rsidRDefault="634CB1F4" w:rsidP="634CB1F4">
            <w:pPr>
              <w:jc w:val="center"/>
            </w:pPr>
            <w:r w:rsidRPr="634CB1F4">
              <w:rPr>
                <w:rFonts w:ascii="Calibri" w:eastAsia="Calibri" w:hAnsi="Calibri" w:cs="Calibri"/>
                <w:i/>
                <w:iCs/>
                <w:color w:val="000000" w:themeColor="text1"/>
                <w:sz w:val="16"/>
                <w:szCs w:val="16"/>
              </w:rPr>
              <w:t xml:space="preserve"> 5,78 </w:t>
            </w:r>
          </w:p>
        </w:tc>
        <w:tc>
          <w:tcPr>
            <w:tcW w:w="982" w:type="dxa"/>
            <w:tcBorders>
              <w:top w:val="single" w:sz="4" w:space="0" w:color="auto"/>
              <w:left w:val="nil"/>
              <w:bottom w:val="single" w:sz="4" w:space="0" w:color="auto"/>
              <w:right w:val="single" w:sz="8" w:space="0" w:color="auto"/>
            </w:tcBorders>
            <w:vAlign w:val="center"/>
          </w:tcPr>
          <w:p w14:paraId="13894AB6" w14:textId="13B5E09C" w:rsidR="634CB1F4" w:rsidRDefault="634CB1F4">
            <w:r w:rsidRPr="634CB1F4">
              <w:rPr>
                <w:rFonts w:ascii="Calibri" w:eastAsia="Calibri" w:hAnsi="Calibri" w:cs="Calibri"/>
                <w:i/>
                <w:iCs/>
                <w:color w:val="000000" w:themeColor="text1"/>
                <w:sz w:val="16"/>
                <w:szCs w:val="16"/>
              </w:rPr>
              <w:t xml:space="preserve"> 12.115,6 </w:t>
            </w:r>
          </w:p>
        </w:tc>
      </w:tr>
      <w:tr w:rsidR="634CB1F4" w14:paraId="456CCDC2" w14:textId="77777777" w:rsidTr="00304238">
        <w:trPr>
          <w:trHeight w:val="315"/>
        </w:trPr>
        <w:tc>
          <w:tcPr>
            <w:tcW w:w="982" w:type="dxa"/>
            <w:tcBorders>
              <w:top w:val="nil"/>
              <w:left w:val="nil"/>
              <w:bottom w:val="nil"/>
              <w:right w:val="nil"/>
            </w:tcBorders>
            <w:vAlign w:val="center"/>
          </w:tcPr>
          <w:p w14:paraId="59AD2687" w14:textId="1B2CEB00" w:rsidR="634CB1F4" w:rsidRDefault="634CB1F4" w:rsidP="634CB1F4">
            <w:pPr>
              <w:jc w:val="center"/>
            </w:pPr>
            <w:r w:rsidRPr="634CB1F4">
              <w:rPr>
                <w:rFonts w:ascii="Arial" w:eastAsia="Arial" w:hAnsi="Arial" w:cs="Arial"/>
                <w:b/>
                <w:bCs/>
                <w:color w:val="000000" w:themeColor="text1"/>
                <w:sz w:val="18"/>
                <w:szCs w:val="18"/>
              </w:rPr>
              <w:t>26-mar-91</w:t>
            </w:r>
          </w:p>
        </w:tc>
        <w:tc>
          <w:tcPr>
            <w:tcW w:w="982" w:type="dxa"/>
            <w:tcBorders>
              <w:top w:val="single" w:sz="4" w:space="0" w:color="auto"/>
              <w:left w:val="nil"/>
              <w:bottom w:val="single" w:sz="4" w:space="0" w:color="auto"/>
              <w:right w:val="nil"/>
            </w:tcBorders>
            <w:vAlign w:val="center"/>
          </w:tcPr>
          <w:p w14:paraId="6C46733C" w14:textId="7A2E7236" w:rsidR="634CB1F4" w:rsidRDefault="634CB1F4">
            <w:r w:rsidRPr="634CB1F4">
              <w:rPr>
                <w:rFonts w:ascii="Calibri" w:eastAsia="Calibri" w:hAnsi="Calibri" w:cs="Calibri"/>
                <w:i/>
                <w:iCs/>
                <w:color w:val="000000" w:themeColor="text1"/>
                <w:sz w:val="16"/>
                <w:szCs w:val="16"/>
              </w:rPr>
              <w:t>21-dic-91</w:t>
            </w:r>
          </w:p>
        </w:tc>
        <w:tc>
          <w:tcPr>
            <w:tcW w:w="838" w:type="dxa"/>
            <w:tcBorders>
              <w:top w:val="single" w:sz="4" w:space="0" w:color="auto"/>
              <w:left w:val="nil"/>
              <w:bottom w:val="single" w:sz="4" w:space="0" w:color="auto"/>
              <w:right w:val="nil"/>
            </w:tcBorders>
            <w:vAlign w:val="center"/>
          </w:tcPr>
          <w:p w14:paraId="01C3DDB9" w14:textId="5F70EFBC" w:rsidR="634CB1F4" w:rsidRDefault="634CB1F4" w:rsidP="634CB1F4">
            <w:pPr>
              <w:jc w:val="center"/>
            </w:pPr>
            <w:r w:rsidRPr="634CB1F4">
              <w:rPr>
                <w:rFonts w:ascii="Calibri" w:eastAsia="Calibri" w:hAnsi="Calibri" w:cs="Calibri"/>
                <w:i/>
                <w:iCs/>
                <w:color w:val="000000" w:themeColor="text1"/>
                <w:sz w:val="16"/>
                <w:szCs w:val="16"/>
              </w:rPr>
              <w:t>271</w:t>
            </w:r>
          </w:p>
        </w:tc>
        <w:tc>
          <w:tcPr>
            <w:tcW w:w="1126" w:type="dxa"/>
            <w:gridSpan w:val="2"/>
            <w:tcBorders>
              <w:top w:val="single" w:sz="4" w:space="0" w:color="auto"/>
              <w:left w:val="nil"/>
              <w:bottom w:val="single" w:sz="4" w:space="0" w:color="auto"/>
              <w:right w:val="single" w:sz="8" w:space="0" w:color="auto"/>
            </w:tcBorders>
            <w:vAlign w:val="center"/>
          </w:tcPr>
          <w:p w14:paraId="3D17F9F7" w14:textId="5673F2CA" w:rsidR="634CB1F4" w:rsidRPr="00304238" w:rsidRDefault="634CB1F4">
            <w:pPr>
              <w:rPr>
                <w:sz w:val="18"/>
              </w:rPr>
            </w:pPr>
            <w:r w:rsidRPr="00304238">
              <w:rPr>
                <w:rFonts w:ascii="Arial" w:eastAsia="Arial" w:hAnsi="Arial" w:cs="Arial"/>
                <w:color w:val="000000" w:themeColor="text1"/>
                <w:sz w:val="18"/>
                <w:szCs w:val="18"/>
              </w:rPr>
              <w:t xml:space="preserve"> 61.950,00 </w:t>
            </w:r>
          </w:p>
        </w:tc>
        <w:tc>
          <w:tcPr>
            <w:tcW w:w="982" w:type="dxa"/>
            <w:tcBorders>
              <w:top w:val="nil"/>
              <w:left w:val="single" w:sz="12" w:space="0" w:color="auto"/>
              <w:bottom w:val="nil"/>
              <w:right w:val="single" w:sz="8" w:space="0" w:color="auto"/>
            </w:tcBorders>
            <w:vAlign w:val="center"/>
          </w:tcPr>
          <w:p w14:paraId="34610D6D" w14:textId="7701AC02"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2EE71977" w14:textId="6CFF479D" w:rsidR="634CB1F4" w:rsidRDefault="634CB1F4">
            <w:r w:rsidRPr="634CB1F4">
              <w:rPr>
                <w:rFonts w:ascii="Calibri" w:eastAsia="Calibri" w:hAnsi="Calibri" w:cs="Calibri"/>
                <w:b/>
                <w:bCs/>
                <w:i/>
                <w:iCs/>
                <w:color w:val="000000" w:themeColor="text1"/>
                <w:sz w:val="16"/>
                <w:szCs w:val="16"/>
              </w:rPr>
              <w:t xml:space="preserve"> 667.775 </w:t>
            </w:r>
          </w:p>
        </w:tc>
        <w:tc>
          <w:tcPr>
            <w:tcW w:w="982" w:type="dxa"/>
            <w:tcBorders>
              <w:top w:val="single" w:sz="4" w:space="0" w:color="auto"/>
              <w:left w:val="nil"/>
              <w:bottom w:val="single" w:sz="4" w:space="0" w:color="auto"/>
              <w:right w:val="nil"/>
            </w:tcBorders>
            <w:vAlign w:val="center"/>
          </w:tcPr>
          <w:p w14:paraId="7E6010CE" w14:textId="2229CB32"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4830B161" w14:textId="70D721F7" w:rsidR="634CB1F4" w:rsidRDefault="634CB1F4" w:rsidP="634CB1F4">
            <w:pPr>
              <w:jc w:val="center"/>
            </w:pPr>
            <w:r w:rsidRPr="634CB1F4">
              <w:rPr>
                <w:rFonts w:ascii="Calibri" w:eastAsia="Calibri" w:hAnsi="Calibri" w:cs="Calibri"/>
                <w:i/>
                <w:iCs/>
                <w:color w:val="000000" w:themeColor="text1"/>
                <w:sz w:val="16"/>
                <w:szCs w:val="16"/>
              </w:rPr>
              <w:t xml:space="preserve"> 7,65 </w:t>
            </w:r>
          </w:p>
        </w:tc>
        <w:tc>
          <w:tcPr>
            <w:tcW w:w="982" w:type="dxa"/>
            <w:tcBorders>
              <w:top w:val="single" w:sz="4" w:space="0" w:color="auto"/>
              <w:left w:val="nil"/>
              <w:bottom w:val="single" w:sz="4" w:space="0" w:color="auto"/>
              <w:right w:val="single" w:sz="8" w:space="0" w:color="auto"/>
            </w:tcBorders>
            <w:vAlign w:val="center"/>
          </w:tcPr>
          <w:p w14:paraId="5537C324" w14:textId="4098F107" w:rsidR="634CB1F4" w:rsidRDefault="634CB1F4">
            <w:r w:rsidRPr="634CB1F4">
              <w:rPr>
                <w:rFonts w:ascii="Calibri" w:eastAsia="Calibri" w:hAnsi="Calibri" w:cs="Calibri"/>
                <w:i/>
                <w:iCs/>
                <w:color w:val="000000" w:themeColor="text1"/>
                <w:sz w:val="16"/>
                <w:szCs w:val="16"/>
              </w:rPr>
              <w:t xml:space="preserve"> 31.494,4 </w:t>
            </w:r>
          </w:p>
        </w:tc>
      </w:tr>
      <w:tr w:rsidR="634CB1F4" w14:paraId="3F7AF8AD" w14:textId="77777777" w:rsidTr="00304238">
        <w:trPr>
          <w:trHeight w:val="315"/>
        </w:trPr>
        <w:tc>
          <w:tcPr>
            <w:tcW w:w="982" w:type="dxa"/>
            <w:tcBorders>
              <w:top w:val="single" w:sz="4" w:space="0" w:color="auto"/>
              <w:left w:val="nil"/>
              <w:bottom w:val="single" w:sz="4" w:space="0" w:color="auto"/>
              <w:right w:val="nil"/>
            </w:tcBorders>
            <w:vAlign w:val="center"/>
          </w:tcPr>
          <w:p w14:paraId="662975C6" w14:textId="69EF2AAB" w:rsidR="634CB1F4" w:rsidRPr="002B2662" w:rsidRDefault="634CB1F4" w:rsidP="634CB1F4">
            <w:pPr>
              <w:jc w:val="center"/>
              <w:rPr>
                <w:b/>
              </w:rPr>
            </w:pPr>
            <w:r w:rsidRPr="002B2662">
              <w:rPr>
                <w:rFonts w:ascii="Arial" w:eastAsia="Arial" w:hAnsi="Arial" w:cs="Arial"/>
                <w:b/>
                <w:color w:val="000000" w:themeColor="text1"/>
                <w:sz w:val="18"/>
                <w:szCs w:val="18"/>
              </w:rPr>
              <w:lastRenderedPageBreak/>
              <w:t>3-feb-92</w:t>
            </w:r>
          </w:p>
        </w:tc>
        <w:tc>
          <w:tcPr>
            <w:tcW w:w="982" w:type="dxa"/>
            <w:tcBorders>
              <w:top w:val="single" w:sz="4" w:space="0" w:color="auto"/>
              <w:left w:val="nil"/>
              <w:bottom w:val="single" w:sz="4" w:space="0" w:color="auto"/>
              <w:right w:val="nil"/>
            </w:tcBorders>
            <w:vAlign w:val="center"/>
          </w:tcPr>
          <w:p w14:paraId="2625C0F0" w14:textId="1F087FD5" w:rsidR="634CB1F4" w:rsidRDefault="634CB1F4">
            <w:r w:rsidRPr="634CB1F4">
              <w:rPr>
                <w:rFonts w:ascii="Calibri" w:eastAsia="Calibri" w:hAnsi="Calibri" w:cs="Calibri"/>
                <w:i/>
                <w:iCs/>
                <w:color w:val="000000" w:themeColor="text1"/>
                <w:sz w:val="16"/>
                <w:szCs w:val="16"/>
              </w:rPr>
              <w:t>23-dic-92</w:t>
            </w:r>
          </w:p>
        </w:tc>
        <w:tc>
          <w:tcPr>
            <w:tcW w:w="838" w:type="dxa"/>
            <w:tcBorders>
              <w:top w:val="single" w:sz="4" w:space="0" w:color="auto"/>
              <w:left w:val="nil"/>
              <w:bottom w:val="single" w:sz="4" w:space="0" w:color="auto"/>
              <w:right w:val="nil"/>
            </w:tcBorders>
            <w:vAlign w:val="center"/>
          </w:tcPr>
          <w:p w14:paraId="36FE5DE0" w14:textId="19C5F820" w:rsidR="634CB1F4" w:rsidRDefault="634CB1F4" w:rsidP="634CB1F4">
            <w:pPr>
              <w:jc w:val="center"/>
            </w:pPr>
            <w:r w:rsidRPr="634CB1F4">
              <w:rPr>
                <w:rFonts w:ascii="Calibri" w:eastAsia="Calibri" w:hAnsi="Calibri" w:cs="Calibri"/>
                <w:i/>
                <w:iCs/>
                <w:color w:val="000000" w:themeColor="text1"/>
                <w:sz w:val="16"/>
                <w:szCs w:val="16"/>
              </w:rPr>
              <w:t>325</w:t>
            </w:r>
          </w:p>
        </w:tc>
        <w:tc>
          <w:tcPr>
            <w:tcW w:w="1126" w:type="dxa"/>
            <w:gridSpan w:val="2"/>
            <w:tcBorders>
              <w:top w:val="single" w:sz="4" w:space="0" w:color="auto"/>
              <w:left w:val="nil"/>
              <w:bottom w:val="single" w:sz="4" w:space="0" w:color="auto"/>
              <w:right w:val="single" w:sz="8" w:space="0" w:color="auto"/>
            </w:tcBorders>
            <w:vAlign w:val="center"/>
          </w:tcPr>
          <w:p w14:paraId="750A1473" w14:textId="494B1666" w:rsidR="634CB1F4" w:rsidRPr="00304238" w:rsidRDefault="634CB1F4">
            <w:pPr>
              <w:rPr>
                <w:sz w:val="18"/>
              </w:rPr>
            </w:pPr>
            <w:r w:rsidRPr="00304238">
              <w:rPr>
                <w:rFonts w:ascii="Arial" w:eastAsia="Arial" w:hAnsi="Arial" w:cs="Arial"/>
                <w:color w:val="000000" w:themeColor="text1"/>
                <w:sz w:val="18"/>
                <w:szCs w:val="18"/>
              </w:rPr>
              <w:t xml:space="preserve"> 70.260,00 </w:t>
            </w:r>
          </w:p>
        </w:tc>
        <w:tc>
          <w:tcPr>
            <w:tcW w:w="982" w:type="dxa"/>
            <w:tcBorders>
              <w:top w:val="nil"/>
              <w:left w:val="single" w:sz="12" w:space="0" w:color="auto"/>
              <w:bottom w:val="nil"/>
              <w:right w:val="single" w:sz="8" w:space="0" w:color="auto"/>
            </w:tcBorders>
            <w:vAlign w:val="center"/>
          </w:tcPr>
          <w:p w14:paraId="759BF588" w14:textId="25D504F5"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1206E974" w14:textId="50BF597E" w:rsidR="634CB1F4" w:rsidRDefault="634CB1F4">
            <w:r w:rsidRPr="634CB1F4">
              <w:rPr>
                <w:rFonts w:ascii="Calibri" w:eastAsia="Calibri" w:hAnsi="Calibri" w:cs="Calibri"/>
                <w:b/>
                <w:bCs/>
                <w:i/>
                <w:iCs/>
                <w:color w:val="000000" w:themeColor="text1"/>
                <w:sz w:val="16"/>
                <w:szCs w:val="16"/>
              </w:rPr>
              <w:t xml:space="preserve"> 597.168 </w:t>
            </w:r>
          </w:p>
        </w:tc>
        <w:tc>
          <w:tcPr>
            <w:tcW w:w="982" w:type="dxa"/>
            <w:tcBorders>
              <w:top w:val="single" w:sz="4" w:space="0" w:color="auto"/>
              <w:left w:val="nil"/>
              <w:bottom w:val="single" w:sz="4" w:space="0" w:color="auto"/>
              <w:right w:val="nil"/>
            </w:tcBorders>
            <w:vAlign w:val="center"/>
          </w:tcPr>
          <w:p w14:paraId="00046983" w14:textId="5083C6D0"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5E2BF37C" w14:textId="700B6B0B" w:rsidR="634CB1F4" w:rsidRDefault="634CB1F4" w:rsidP="634CB1F4">
            <w:pPr>
              <w:jc w:val="center"/>
            </w:pPr>
            <w:r w:rsidRPr="634CB1F4">
              <w:rPr>
                <w:rFonts w:ascii="Calibri" w:eastAsia="Calibri" w:hAnsi="Calibri" w:cs="Calibri"/>
                <w:i/>
                <w:iCs/>
                <w:color w:val="000000" w:themeColor="text1"/>
                <w:sz w:val="16"/>
                <w:szCs w:val="16"/>
              </w:rPr>
              <w:t xml:space="preserve"> 9,70 </w:t>
            </w:r>
          </w:p>
        </w:tc>
        <w:tc>
          <w:tcPr>
            <w:tcW w:w="982" w:type="dxa"/>
            <w:tcBorders>
              <w:top w:val="single" w:sz="4" w:space="0" w:color="auto"/>
              <w:left w:val="nil"/>
              <w:bottom w:val="single" w:sz="4" w:space="0" w:color="auto"/>
              <w:right w:val="single" w:sz="8" w:space="0" w:color="auto"/>
            </w:tcBorders>
            <w:vAlign w:val="center"/>
          </w:tcPr>
          <w:p w14:paraId="24D8EF72" w14:textId="2936D1F2" w:rsidR="634CB1F4" w:rsidRDefault="634CB1F4">
            <w:r w:rsidRPr="634CB1F4">
              <w:rPr>
                <w:rFonts w:ascii="Calibri" w:eastAsia="Calibri" w:hAnsi="Calibri" w:cs="Calibri"/>
                <w:i/>
                <w:iCs/>
                <w:color w:val="000000" w:themeColor="text1"/>
                <w:sz w:val="16"/>
                <w:szCs w:val="16"/>
              </w:rPr>
              <w:t xml:space="preserve"> 33.776,5 </w:t>
            </w:r>
          </w:p>
        </w:tc>
      </w:tr>
      <w:tr w:rsidR="634CB1F4" w14:paraId="3E35517A" w14:textId="77777777" w:rsidTr="00304238">
        <w:trPr>
          <w:trHeight w:val="315"/>
        </w:trPr>
        <w:tc>
          <w:tcPr>
            <w:tcW w:w="982" w:type="dxa"/>
            <w:tcBorders>
              <w:top w:val="single" w:sz="4" w:space="0" w:color="auto"/>
              <w:left w:val="nil"/>
              <w:bottom w:val="nil"/>
              <w:right w:val="nil"/>
            </w:tcBorders>
            <w:vAlign w:val="center"/>
          </w:tcPr>
          <w:p w14:paraId="13E91D04" w14:textId="74018560" w:rsidR="634CB1F4" w:rsidRDefault="634CB1F4" w:rsidP="634CB1F4">
            <w:pPr>
              <w:jc w:val="center"/>
            </w:pPr>
            <w:r w:rsidRPr="634CB1F4">
              <w:rPr>
                <w:rFonts w:ascii="Arial" w:eastAsia="Arial" w:hAnsi="Arial" w:cs="Arial"/>
                <w:b/>
                <w:bCs/>
                <w:color w:val="000000" w:themeColor="text1"/>
                <w:sz w:val="18"/>
                <w:szCs w:val="18"/>
              </w:rPr>
              <w:t>5-feb-93</w:t>
            </w:r>
          </w:p>
        </w:tc>
        <w:tc>
          <w:tcPr>
            <w:tcW w:w="982" w:type="dxa"/>
            <w:tcBorders>
              <w:top w:val="single" w:sz="4" w:space="0" w:color="auto"/>
              <w:left w:val="nil"/>
              <w:bottom w:val="single" w:sz="4" w:space="0" w:color="auto"/>
              <w:right w:val="nil"/>
            </w:tcBorders>
            <w:vAlign w:val="center"/>
          </w:tcPr>
          <w:p w14:paraId="01C711BE" w14:textId="52B0E6B8" w:rsidR="634CB1F4" w:rsidRDefault="634CB1F4">
            <w:r w:rsidRPr="634CB1F4">
              <w:rPr>
                <w:rFonts w:ascii="Calibri" w:eastAsia="Calibri" w:hAnsi="Calibri" w:cs="Calibri"/>
                <w:i/>
                <w:iCs/>
                <w:color w:val="000000" w:themeColor="text1"/>
                <w:sz w:val="16"/>
                <w:szCs w:val="16"/>
              </w:rPr>
              <w:t>21-oct-93</w:t>
            </w:r>
          </w:p>
        </w:tc>
        <w:tc>
          <w:tcPr>
            <w:tcW w:w="838" w:type="dxa"/>
            <w:tcBorders>
              <w:top w:val="single" w:sz="4" w:space="0" w:color="auto"/>
              <w:left w:val="nil"/>
              <w:bottom w:val="single" w:sz="4" w:space="0" w:color="auto"/>
              <w:right w:val="nil"/>
            </w:tcBorders>
            <w:vAlign w:val="center"/>
          </w:tcPr>
          <w:p w14:paraId="554C6D11" w14:textId="437E0227" w:rsidR="634CB1F4" w:rsidRDefault="634CB1F4" w:rsidP="634CB1F4">
            <w:pPr>
              <w:jc w:val="center"/>
            </w:pPr>
            <w:r w:rsidRPr="634CB1F4">
              <w:rPr>
                <w:rFonts w:ascii="Calibri" w:eastAsia="Calibri" w:hAnsi="Calibri" w:cs="Calibri"/>
                <w:i/>
                <w:iCs/>
                <w:color w:val="000000" w:themeColor="text1"/>
                <w:sz w:val="16"/>
                <w:szCs w:val="16"/>
              </w:rPr>
              <w:t>259</w:t>
            </w:r>
          </w:p>
        </w:tc>
        <w:tc>
          <w:tcPr>
            <w:tcW w:w="1126" w:type="dxa"/>
            <w:gridSpan w:val="2"/>
            <w:tcBorders>
              <w:top w:val="single" w:sz="4" w:space="0" w:color="auto"/>
              <w:left w:val="nil"/>
              <w:bottom w:val="single" w:sz="4" w:space="0" w:color="auto"/>
              <w:right w:val="single" w:sz="8" w:space="0" w:color="auto"/>
            </w:tcBorders>
            <w:vAlign w:val="center"/>
          </w:tcPr>
          <w:p w14:paraId="2CF867DB" w14:textId="57F1511D" w:rsidR="634CB1F4" w:rsidRPr="00304238" w:rsidRDefault="634CB1F4">
            <w:pPr>
              <w:rPr>
                <w:sz w:val="18"/>
              </w:rPr>
            </w:pPr>
            <w:r w:rsidRPr="00304238">
              <w:rPr>
                <w:rFonts w:ascii="Arial" w:eastAsia="Arial" w:hAnsi="Arial" w:cs="Arial"/>
                <w:color w:val="000000" w:themeColor="text1"/>
                <w:sz w:val="18"/>
                <w:szCs w:val="18"/>
              </w:rPr>
              <w:t xml:space="preserve"> 89.070,00 </w:t>
            </w:r>
          </w:p>
        </w:tc>
        <w:tc>
          <w:tcPr>
            <w:tcW w:w="982" w:type="dxa"/>
            <w:tcBorders>
              <w:top w:val="nil"/>
              <w:left w:val="single" w:sz="12" w:space="0" w:color="auto"/>
              <w:bottom w:val="nil"/>
              <w:right w:val="single" w:sz="8" w:space="0" w:color="auto"/>
            </w:tcBorders>
            <w:vAlign w:val="center"/>
          </w:tcPr>
          <w:p w14:paraId="32DD4B24" w14:textId="34F6F711"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5DA4D9CF" w14:textId="1971BA64" w:rsidR="634CB1F4" w:rsidRDefault="634CB1F4">
            <w:r w:rsidRPr="634CB1F4">
              <w:rPr>
                <w:rFonts w:ascii="Calibri" w:eastAsia="Calibri" w:hAnsi="Calibri" w:cs="Calibri"/>
                <w:b/>
                <w:bCs/>
                <w:i/>
                <w:iCs/>
                <w:color w:val="000000" w:themeColor="text1"/>
                <w:sz w:val="16"/>
                <w:szCs w:val="16"/>
              </w:rPr>
              <w:t xml:space="preserve"> 604.986 </w:t>
            </w:r>
          </w:p>
        </w:tc>
        <w:tc>
          <w:tcPr>
            <w:tcW w:w="982" w:type="dxa"/>
            <w:tcBorders>
              <w:top w:val="single" w:sz="4" w:space="0" w:color="auto"/>
              <w:left w:val="nil"/>
              <w:bottom w:val="single" w:sz="4" w:space="0" w:color="auto"/>
              <w:right w:val="nil"/>
            </w:tcBorders>
            <w:vAlign w:val="center"/>
          </w:tcPr>
          <w:p w14:paraId="3D0C4079" w14:textId="7E917D1E"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5B070667" w14:textId="3219B3DB" w:rsidR="634CB1F4" w:rsidRDefault="634CB1F4" w:rsidP="634CB1F4">
            <w:pPr>
              <w:jc w:val="center"/>
            </w:pPr>
            <w:r w:rsidRPr="634CB1F4">
              <w:rPr>
                <w:rFonts w:ascii="Calibri" w:eastAsia="Calibri" w:hAnsi="Calibri" w:cs="Calibri"/>
                <w:i/>
                <w:iCs/>
                <w:color w:val="000000" w:themeColor="text1"/>
                <w:sz w:val="16"/>
                <w:szCs w:val="16"/>
              </w:rPr>
              <w:t xml:space="preserve"> 12,14 </w:t>
            </w:r>
          </w:p>
        </w:tc>
        <w:tc>
          <w:tcPr>
            <w:tcW w:w="982" w:type="dxa"/>
            <w:tcBorders>
              <w:top w:val="single" w:sz="4" w:space="0" w:color="auto"/>
              <w:left w:val="nil"/>
              <w:bottom w:val="single" w:sz="4" w:space="0" w:color="auto"/>
              <w:right w:val="single" w:sz="8" w:space="0" w:color="auto"/>
            </w:tcBorders>
            <w:vAlign w:val="center"/>
          </w:tcPr>
          <w:p w14:paraId="39053CE6" w14:textId="7B2B1959" w:rsidR="634CB1F4" w:rsidRDefault="634CB1F4">
            <w:r w:rsidRPr="634CB1F4">
              <w:rPr>
                <w:rFonts w:ascii="Calibri" w:eastAsia="Calibri" w:hAnsi="Calibri" w:cs="Calibri"/>
                <w:i/>
                <w:iCs/>
                <w:color w:val="000000" w:themeColor="text1"/>
                <w:sz w:val="16"/>
                <w:szCs w:val="16"/>
              </w:rPr>
              <w:t xml:space="preserve"> 27.269,6 </w:t>
            </w:r>
          </w:p>
        </w:tc>
      </w:tr>
      <w:tr w:rsidR="634CB1F4" w14:paraId="73B4FF2F" w14:textId="77777777" w:rsidTr="00304238">
        <w:trPr>
          <w:trHeight w:val="315"/>
        </w:trPr>
        <w:tc>
          <w:tcPr>
            <w:tcW w:w="982" w:type="dxa"/>
            <w:tcBorders>
              <w:top w:val="nil"/>
              <w:left w:val="nil"/>
              <w:bottom w:val="nil"/>
              <w:right w:val="nil"/>
            </w:tcBorders>
            <w:vAlign w:val="center"/>
          </w:tcPr>
          <w:p w14:paraId="3D176DD6" w14:textId="7F193531" w:rsidR="634CB1F4" w:rsidRDefault="634CB1F4" w:rsidP="634CB1F4">
            <w:pPr>
              <w:jc w:val="center"/>
            </w:pPr>
            <w:r w:rsidRPr="634CB1F4">
              <w:rPr>
                <w:rFonts w:ascii="Arial" w:eastAsia="Arial" w:hAnsi="Arial" w:cs="Arial"/>
                <w:b/>
                <w:bCs/>
                <w:color w:val="000000" w:themeColor="text1"/>
                <w:sz w:val="18"/>
                <w:szCs w:val="18"/>
              </w:rPr>
              <w:t>1-abr-97</w:t>
            </w:r>
          </w:p>
        </w:tc>
        <w:tc>
          <w:tcPr>
            <w:tcW w:w="982" w:type="dxa"/>
            <w:tcBorders>
              <w:top w:val="single" w:sz="4" w:space="0" w:color="auto"/>
              <w:left w:val="nil"/>
              <w:bottom w:val="single" w:sz="4" w:space="0" w:color="auto"/>
              <w:right w:val="nil"/>
            </w:tcBorders>
            <w:vAlign w:val="center"/>
          </w:tcPr>
          <w:p w14:paraId="6BC3522A" w14:textId="7A6C70A4" w:rsidR="634CB1F4" w:rsidRDefault="634CB1F4">
            <w:r w:rsidRPr="634CB1F4">
              <w:rPr>
                <w:rFonts w:ascii="Calibri" w:eastAsia="Calibri" w:hAnsi="Calibri" w:cs="Calibri"/>
                <w:i/>
                <w:iCs/>
                <w:color w:val="000000" w:themeColor="text1"/>
                <w:sz w:val="16"/>
                <w:szCs w:val="16"/>
              </w:rPr>
              <w:t>30-abr-97</w:t>
            </w:r>
          </w:p>
        </w:tc>
        <w:tc>
          <w:tcPr>
            <w:tcW w:w="838" w:type="dxa"/>
            <w:tcBorders>
              <w:top w:val="single" w:sz="4" w:space="0" w:color="auto"/>
              <w:left w:val="nil"/>
              <w:bottom w:val="single" w:sz="4" w:space="0" w:color="auto"/>
              <w:right w:val="nil"/>
            </w:tcBorders>
            <w:vAlign w:val="center"/>
          </w:tcPr>
          <w:p w14:paraId="4E2BE5B2" w14:textId="729EF74E" w:rsidR="634CB1F4" w:rsidRDefault="634CB1F4" w:rsidP="634CB1F4">
            <w:pPr>
              <w:jc w:val="center"/>
            </w:pPr>
            <w:r w:rsidRPr="634CB1F4">
              <w:rPr>
                <w:rFonts w:ascii="Calibri" w:eastAsia="Calibri" w:hAnsi="Calibri" w:cs="Calibri"/>
                <w:i/>
                <w:iCs/>
                <w:color w:val="000000" w:themeColor="text1"/>
                <w:sz w:val="16"/>
                <w:szCs w:val="16"/>
              </w:rPr>
              <w:t>8</w:t>
            </w:r>
          </w:p>
        </w:tc>
        <w:tc>
          <w:tcPr>
            <w:tcW w:w="1126" w:type="dxa"/>
            <w:gridSpan w:val="2"/>
            <w:tcBorders>
              <w:top w:val="single" w:sz="4" w:space="0" w:color="auto"/>
              <w:left w:val="nil"/>
              <w:bottom w:val="single" w:sz="4" w:space="0" w:color="auto"/>
              <w:right w:val="single" w:sz="8" w:space="0" w:color="auto"/>
            </w:tcBorders>
            <w:vAlign w:val="center"/>
          </w:tcPr>
          <w:p w14:paraId="1D126059" w14:textId="3AD88A71" w:rsidR="634CB1F4" w:rsidRPr="00304238" w:rsidRDefault="634CB1F4">
            <w:pPr>
              <w:rPr>
                <w:sz w:val="18"/>
              </w:rPr>
            </w:pPr>
            <w:r w:rsidRPr="00304238">
              <w:rPr>
                <w:rFonts w:ascii="Arial" w:eastAsia="Arial" w:hAnsi="Arial" w:cs="Arial"/>
                <w:color w:val="000000" w:themeColor="text1"/>
                <w:sz w:val="18"/>
                <w:szCs w:val="18"/>
              </w:rPr>
              <w:t xml:space="preserve"> 45.868,00 </w:t>
            </w:r>
          </w:p>
        </w:tc>
        <w:tc>
          <w:tcPr>
            <w:tcW w:w="982" w:type="dxa"/>
            <w:tcBorders>
              <w:top w:val="nil"/>
              <w:left w:val="single" w:sz="12" w:space="0" w:color="auto"/>
              <w:bottom w:val="nil"/>
              <w:right w:val="single" w:sz="8" w:space="0" w:color="auto"/>
            </w:tcBorders>
            <w:vAlign w:val="center"/>
          </w:tcPr>
          <w:p w14:paraId="25B904F5" w14:textId="61738000"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2A341F85" w14:textId="0A141922" w:rsidR="634CB1F4" w:rsidRDefault="634CB1F4">
            <w:r w:rsidRPr="634CB1F4">
              <w:rPr>
                <w:rFonts w:ascii="Calibri" w:eastAsia="Calibri" w:hAnsi="Calibri" w:cs="Calibri"/>
                <w:b/>
                <w:bCs/>
                <w:i/>
                <w:iCs/>
                <w:color w:val="000000" w:themeColor="text1"/>
                <w:sz w:val="16"/>
                <w:szCs w:val="16"/>
              </w:rPr>
              <w:t xml:space="preserve"> 142.628 </w:t>
            </w:r>
          </w:p>
        </w:tc>
        <w:tc>
          <w:tcPr>
            <w:tcW w:w="982" w:type="dxa"/>
            <w:tcBorders>
              <w:top w:val="single" w:sz="4" w:space="0" w:color="auto"/>
              <w:left w:val="nil"/>
              <w:bottom w:val="single" w:sz="4" w:space="0" w:color="auto"/>
              <w:right w:val="nil"/>
            </w:tcBorders>
            <w:vAlign w:val="center"/>
          </w:tcPr>
          <w:p w14:paraId="482F0297" w14:textId="7BC35D9A"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C365C14" w14:textId="71A41269" w:rsidR="634CB1F4" w:rsidRDefault="634CB1F4" w:rsidP="634CB1F4">
            <w:pPr>
              <w:jc w:val="center"/>
            </w:pPr>
            <w:r w:rsidRPr="634CB1F4">
              <w:rPr>
                <w:rFonts w:ascii="Calibri" w:eastAsia="Calibri" w:hAnsi="Calibri" w:cs="Calibri"/>
                <w:i/>
                <w:iCs/>
                <w:color w:val="000000" w:themeColor="text1"/>
                <w:sz w:val="16"/>
                <w:szCs w:val="16"/>
              </w:rPr>
              <w:t xml:space="preserve"> 26,52 </w:t>
            </w:r>
          </w:p>
        </w:tc>
        <w:tc>
          <w:tcPr>
            <w:tcW w:w="982" w:type="dxa"/>
            <w:tcBorders>
              <w:top w:val="single" w:sz="4" w:space="0" w:color="auto"/>
              <w:left w:val="nil"/>
              <w:bottom w:val="single" w:sz="4" w:space="0" w:color="auto"/>
              <w:right w:val="single" w:sz="8" w:space="0" w:color="auto"/>
            </w:tcBorders>
            <w:vAlign w:val="center"/>
          </w:tcPr>
          <w:p w14:paraId="027788EF" w14:textId="1598291D" w:rsidR="634CB1F4" w:rsidRDefault="634CB1F4">
            <w:r w:rsidRPr="634CB1F4">
              <w:rPr>
                <w:rFonts w:ascii="Calibri" w:eastAsia="Calibri" w:hAnsi="Calibri" w:cs="Calibri"/>
                <w:i/>
                <w:iCs/>
                <w:color w:val="000000" w:themeColor="text1"/>
                <w:sz w:val="16"/>
                <w:szCs w:val="16"/>
              </w:rPr>
              <w:t xml:space="preserve"> 198,6 </w:t>
            </w:r>
          </w:p>
        </w:tc>
      </w:tr>
      <w:tr w:rsidR="634CB1F4" w14:paraId="5CAF4147" w14:textId="77777777" w:rsidTr="00304238">
        <w:trPr>
          <w:trHeight w:val="315"/>
        </w:trPr>
        <w:tc>
          <w:tcPr>
            <w:tcW w:w="982" w:type="dxa"/>
            <w:tcBorders>
              <w:top w:val="nil"/>
              <w:left w:val="nil"/>
              <w:bottom w:val="nil"/>
              <w:right w:val="nil"/>
            </w:tcBorders>
            <w:vAlign w:val="center"/>
          </w:tcPr>
          <w:p w14:paraId="155BE37F" w14:textId="09CDFECC" w:rsidR="634CB1F4" w:rsidRDefault="634CB1F4" w:rsidP="634CB1F4">
            <w:pPr>
              <w:jc w:val="center"/>
            </w:pPr>
            <w:r w:rsidRPr="634CB1F4">
              <w:rPr>
                <w:rFonts w:ascii="Arial" w:eastAsia="Arial" w:hAnsi="Arial" w:cs="Arial"/>
                <w:b/>
                <w:bCs/>
                <w:color w:val="000000" w:themeColor="text1"/>
                <w:sz w:val="18"/>
                <w:szCs w:val="18"/>
              </w:rPr>
              <w:t>1-</w:t>
            </w:r>
            <w:proofErr w:type="spellStart"/>
            <w:r w:rsidRPr="634CB1F4">
              <w:rPr>
                <w:rFonts w:ascii="Arial" w:eastAsia="Arial" w:hAnsi="Arial" w:cs="Arial"/>
                <w:b/>
                <w:bCs/>
                <w:color w:val="000000" w:themeColor="text1"/>
                <w:sz w:val="18"/>
                <w:szCs w:val="18"/>
              </w:rPr>
              <w:t>may</w:t>
            </w:r>
            <w:proofErr w:type="spellEnd"/>
            <w:r w:rsidRPr="634CB1F4">
              <w:rPr>
                <w:rFonts w:ascii="Arial" w:eastAsia="Arial" w:hAnsi="Arial" w:cs="Arial"/>
                <w:b/>
                <w:bCs/>
                <w:color w:val="000000" w:themeColor="text1"/>
                <w:sz w:val="18"/>
                <w:szCs w:val="18"/>
              </w:rPr>
              <w:t>-97</w:t>
            </w:r>
          </w:p>
        </w:tc>
        <w:tc>
          <w:tcPr>
            <w:tcW w:w="982" w:type="dxa"/>
            <w:tcBorders>
              <w:top w:val="single" w:sz="4" w:space="0" w:color="auto"/>
              <w:left w:val="nil"/>
              <w:bottom w:val="single" w:sz="4" w:space="0" w:color="auto"/>
              <w:right w:val="nil"/>
            </w:tcBorders>
            <w:vAlign w:val="center"/>
          </w:tcPr>
          <w:p w14:paraId="2D036236" w14:textId="167B6D0F" w:rsidR="634CB1F4" w:rsidRDefault="634CB1F4">
            <w:r w:rsidRPr="634CB1F4">
              <w:rPr>
                <w:rFonts w:ascii="Calibri" w:eastAsia="Calibri" w:hAnsi="Calibri" w:cs="Calibri"/>
                <w:i/>
                <w:iCs/>
                <w:color w:val="000000" w:themeColor="text1"/>
                <w:sz w:val="16"/>
                <w:szCs w:val="16"/>
              </w:rPr>
              <w:t>31-</w:t>
            </w:r>
            <w:proofErr w:type="spellStart"/>
            <w:r w:rsidRPr="634CB1F4">
              <w:rPr>
                <w:rFonts w:ascii="Calibri" w:eastAsia="Calibri" w:hAnsi="Calibri" w:cs="Calibri"/>
                <w:i/>
                <w:iCs/>
                <w:color w:val="000000" w:themeColor="text1"/>
                <w:sz w:val="16"/>
                <w:szCs w:val="16"/>
              </w:rPr>
              <w:t>may</w:t>
            </w:r>
            <w:proofErr w:type="spellEnd"/>
            <w:r w:rsidRPr="634CB1F4">
              <w:rPr>
                <w:rFonts w:ascii="Calibri" w:eastAsia="Calibri" w:hAnsi="Calibri" w:cs="Calibri"/>
                <w:i/>
                <w:iCs/>
                <w:color w:val="000000" w:themeColor="text1"/>
                <w:sz w:val="16"/>
                <w:szCs w:val="16"/>
              </w:rPr>
              <w:t>-97</w:t>
            </w:r>
          </w:p>
        </w:tc>
        <w:tc>
          <w:tcPr>
            <w:tcW w:w="838" w:type="dxa"/>
            <w:tcBorders>
              <w:top w:val="single" w:sz="4" w:space="0" w:color="auto"/>
              <w:left w:val="nil"/>
              <w:bottom w:val="single" w:sz="4" w:space="0" w:color="auto"/>
              <w:right w:val="nil"/>
            </w:tcBorders>
            <w:vAlign w:val="center"/>
          </w:tcPr>
          <w:p w14:paraId="2A5D155C" w14:textId="032604AB" w:rsidR="634CB1F4" w:rsidRDefault="634CB1F4" w:rsidP="634CB1F4">
            <w:pPr>
              <w:jc w:val="center"/>
            </w:pPr>
            <w:r w:rsidRPr="634CB1F4">
              <w:rPr>
                <w:rFonts w:ascii="Calibri" w:eastAsia="Calibri" w:hAnsi="Calibri" w:cs="Calibri"/>
                <w:i/>
                <w:iCs/>
                <w:color w:val="000000" w:themeColor="text1"/>
                <w:sz w:val="16"/>
                <w:szCs w:val="16"/>
              </w:rPr>
              <w:t>11</w:t>
            </w:r>
          </w:p>
        </w:tc>
        <w:tc>
          <w:tcPr>
            <w:tcW w:w="1126" w:type="dxa"/>
            <w:gridSpan w:val="2"/>
            <w:tcBorders>
              <w:top w:val="single" w:sz="4" w:space="0" w:color="auto"/>
              <w:left w:val="nil"/>
              <w:bottom w:val="single" w:sz="4" w:space="0" w:color="auto"/>
              <w:right w:val="single" w:sz="8" w:space="0" w:color="auto"/>
            </w:tcBorders>
            <w:vAlign w:val="center"/>
          </w:tcPr>
          <w:p w14:paraId="168DBB54" w14:textId="4372FEC0" w:rsidR="634CB1F4" w:rsidRPr="00304238" w:rsidRDefault="634CB1F4">
            <w:pPr>
              <w:rPr>
                <w:sz w:val="18"/>
              </w:rPr>
            </w:pPr>
            <w:r w:rsidRPr="00304238">
              <w:rPr>
                <w:rFonts w:ascii="Arial" w:eastAsia="Arial" w:hAnsi="Arial" w:cs="Arial"/>
                <w:color w:val="000000" w:themeColor="text1"/>
                <w:sz w:val="18"/>
                <w:szCs w:val="18"/>
              </w:rPr>
              <w:t xml:space="preserve"> 63.069,00 </w:t>
            </w:r>
          </w:p>
        </w:tc>
        <w:tc>
          <w:tcPr>
            <w:tcW w:w="982" w:type="dxa"/>
            <w:tcBorders>
              <w:top w:val="nil"/>
              <w:left w:val="single" w:sz="12" w:space="0" w:color="auto"/>
              <w:bottom w:val="nil"/>
              <w:right w:val="single" w:sz="8" w:space="0" w:color="auto"/>
            </w:tcBorders>
            <w:vAlign w:val="center"/>
          </w:tcPr>
          <w:p w14:paraId="4212F0F9" w14:textId="2888125A"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363E1B23" w14:textId="2B5C9E26" w:rsidR="634CB1F4" w:rsidRDefault="634CB1F4">
            <w:r w:rsidRPr="634CB1F4">
              <w:rPr>
                <w:rFonts w:ascii="Calibri" w:eastAsia="Calibri" w:hAnsi="Calibri" w:cs="Calibri"/>
                <w:b/>
                <w:bCs/>
                <w:i/>
                <w:iCs/>
                <w:color w:val="000000" w:themeColor="text1"/>
                <w:sz w:val="16"/>
                <w:szCs w:val="16"/>
              </w:rPr>
              <w:t xml:space="preserve"> 196.116 </w:t>
            </w:r>
          </w:p>
        </w:tc>
        <w:tc>
          <w:tcPr>
            <w:tcW w:w="982" w:type="dxa"/>
            <w:tcBorders>
              <w:top w:val="single" w:sz="4" w:space="0" w:color="auto"/>
              <w:left w:val="nil"/>
              <w:bottom w:val="single" w:sz="4" w:space="0" w:color="auto"/>
              <w:right w:val="nil"/>
            </w:tcBorders>
            <w:vAlign w:val="center"/>
          </w:tcPr>
          <w:p w14:paraId="128937D1" w14:textId="06BF20FD"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484AC0C1" w14:textId="1C1FD6E3" w:rsidR="634CB1F4" w:rsidRDefault="634CB1F4" w:rsidP="634CB1F4">
            <w:pPr>
              <w:jc w:val="center"/>
            </w:pPr>
            <w:r w:rsidRPr="634CB1F4">
              <w:rPr>
                <w:rFonts w:ascii="Calibri" w:eastAsia="Calibri" w:hAnsi="Calibri" w:cs="Calibri"/>
                <w:i/>
                <w:iCs/>
                <w:color w:val="000000" w:themeColor="text1"/>
                <w:sz w:val="16"/>
                <w:szCs w:val="16"/>
              </w:rPr>
              <w:t xml:space="preserve"> 26,52 </w:t>
            </w:r>
          </w:p>
        </w:tc>
        <w:tc>
          <w:tcPr>
            <w:tcW w:w="982" w:type="dxa"/>
            <w:tcBorders>
              <w:top w:val="single" w:sz="4" w:space="0" w:color="auto"/>
              <w:left w:val="nil"/>
              <w:bottom w:val="single" w:sz="4" w:space="0" w:color="auto"/>
              <w:right w:val="single" w:sz="8" w:space="0" w:color="auto"/>
            </w:tcBorders>
            <w:vAlign w:val="center"/>
          </w:tcPr>
          <w:p w14:paraId="23484CC2" w14:textId="687C1BBB" w:rsidR="634CB1F4" w:rsidRDefault="634CB1F4">
            <w:r w:rsidRPr="634CB1F4">
              <w:rPr>
                <w:rFonts w:ascii="Calibri" w:eastAsia="Calibri" w:hAnsi="Calibri" w:cs="Calibri"/>
                <w:i/>
                <w:iCs/>
                <w:color w:val="000000" w:themeColor="text1"/>
                <w:sz w:val="16"/>
                <w:szCs w:val="16"/>
              </w:rPr>
              <w:t xml:space="preserve"> 375,4 </w:t>
            </w:r>
          </w:p>
        </w:tc>
      </w:tr>
      <w:tr w:rsidR="634CB1F4" w14:paraId="2B88CDF4" w14:textId="77777777" w:rsidTr="00304238">
        <w:trPr>
          <w:trHeight w:val="315"/>
        </w:trPr>
        <w:tc>
          <w:tcPr>
            <w:tcW w:w="982" w:type="dxa"/>
            <w:tcBorders>
              <w:top w:val="single" w:sz="4" w:space="0" w:color="auto"/>
              <w:left w:val="nil"/>
              <w:bottom w:val="single" w:sz="4" w:space="0" w:color="auto"/>
              <w:right w:val="nil"/>
            </w:tcBorders>
            <w:vAlign w:val="center"/>
          </w:tcPr>
          <w:p w14:paraId="28DBDD33" w14:textId="01761B10" w:rsidR="634CB1F4" w:rsidRPr="002B2662" w:rsidRDefault="634CB1F4" w:rsidP="634CB1F4">
            <w:pPr>
              <w:jc w:val="center"/>
              <w:rPr>
                <w:b/>
              </w:rPr>
            </w:pPr>
            <w:r w:rsidRPr="002B2662">
              <w:rPr>
                <w:rFonts w:ascii="Arial" w:eastAsia="Arial" w:hAnsi="Arial" w:cs="Arial"/>
                <w:b/>
                <w:color w:val="000000" w:themeColor="text1"/>
                <w:sz w:val="18"/>
                <w:szCs w:val="18"/>
              </w:rPr>
              <w:t>1-jul-97</w:t>
            </w:r>
          </w:p>
        </w:tc>
        <w:tc>
          <w:tcPr>
            <w:tcW w:w="982" w:type="dxa"/>
            <w:tcBorders>
              <w:top w:val="single" w:sz="4" w:space="0" w:color="auto"/>
              <w:left w:val="nil"/>
              <w:bottom w:val="single" w:sz="4" w:space="0" w:color="auto"/>
              <w:right w:val="nil"/>
            </w:tcBorders>
            <w:vAlign w:val="center"/>
          </w:tcPr>
          <w:p w14:paraId="06C98079" w14:textId="6DB16103" w:rsidR="634CB1F4" w:rsidRDefault="634CB1F4">
            <w:r w:rsidRPr="634CB1F4">
              <w:rPr>
                <w:rFonts w:ascii="Calibri" w:eastAsia="Calibri" w:hAnsi="Calibri" w:cs="Calibri"/>
                <w:i/>
                <w:iCs/>
                <w:color w:val="000000" w:themeColor="text1"/>
                <w:sz w:val="16"/>
                <w:szCs w:val="16"/>
              </w:rPr>
              <w:t>31-jul-97</w:t>
            </w:r>
          </w:p>
        </w:tc>
        <w:tc>
          <w:tcPr>
            <w:tcW w:w="838" w:type="dxa"/>
            <w:tcBorders>
              <w:top w:val="single" w:sz="4" w:space="0" w:color="auto"/>
              <w:left w:val="nil"/>
              <w:bottom w:val="single" w:sz="4" w:space="0" w:color="auto"/>
              <w:right w:val="nil"/>
            </w:tcBorders>
            <w:vAlign w:val="center"/>
          </w:tcPr>
          <w:p w14:paraId="6CCAE396" w14:textId="21B118BC" w:rsidR="634CB1F4" w:rsidRDefault="634CB1F4" w:rsidP="634CB1F4">
            <w:pPr>
              <w:jc w:val="center"/>
            </w:pPr>
            <w:r w:rsidRPr="634CB1F4">
              <w:rPr>
                <w:rFonts w:ascii="Calibri" w:eastAsia="Calibri" w:hAnsi="Calibri" w:cs="Calibri"/>
                <w:i/>
                <w:iCs/>
                <w:color w:val="000000" w:themeColor="text1"/>
                <w:sz w:val="16"/>
                <w:szCs w:val="16"/>
              </w:rPr>
              <w:t>8</w:t>
            </w:r>
          </w:p>
        </w:tc>
        <w:tc>
          <w:tcPr>
            <w:tcW w:w="1126" w:type="dxa"/>
            <w:gridSpan w:val="2"/>
            <w:tcBorders>
              <w:top w:val="single" w:sz="4" w:space="0" w:color="auto"/>
              <w:left w:val="nil"/>
              <w:bottom w:val="single" w:sz="4" w:space="0" w:color="auto"/>
              <w:right w:val="single" w:sz="8" w:space="0" w:color="auto"/>
            </w:tcBorders>
            <w:vAlign w:val="center"/>
          </w:tcPr>
          <w:p w14:paraId="593609C2" w14:textId="1AE39382" w:rsidR="634CB1F4" w:rsidRPr="00304238" w:rsidRDefault="634CB1F4">
            <w:pPr>
              <w:rPr>
                <w:sz w:val="18"/>
              </w:rPr>
            </w:pPr>
            <w:r w:rsidRPr="00304238">
              <w:rPr>
                <w:rFonts w:ascii="Arial" w:eastAsia="Arial" w:hAnsi="Arial" w:cs="Arial"/>
                <w:color w:val="000000" w:themeColor="text1"/>
                <w:sz w:val="18"/>
                <w:szCs w:val="18"/>
              </w:rPr>
              <w:t xml:space="preserve"> 50.666,00 </w:t>
            </w:r>
          </w:p>
        </w:tc>
        <w:tc>
          <w:tcPr>
            <w:tcW w:w="982" w:type="dxa"/>
            <w:tcBorders>
              <w:top w:val="nil"/>
              <w:left w:val="single" w:sz="12" w:space="0" w:color="auto"/>
              <w:bottom w:val="nil"/>
              <w:right w:val="single" w:sz="8" w:space="0" w:color="auto"/>
            </w:tcBorders>
            <w:vAlign w:val="center"/>
          </w:tcPr>
          <w:p w14:paraId="4271CC53" w14:textId="321808F4"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46341160" w14:textId="5A109986" w:rsidR="634CB1F4" w:rsidRDefault="634CB1F4">
            <w:r w:rsidRPr="634CB1F4">
              <w:rPr>
                <w:rFonts w:ascii="Calibri" w:eastAsia="Calibri" w:hAnsi="Calibri" w:cs="Calibri"/>
                <w:b/>
                <w:bCs/>
                <w:i/>
                <w:iCs/>
                <w:color w:val="000000" w:themeColor="text1"/>
                <w:sz w:val="16"/>
                <w:szCs w:val="16"/>
              </w:rPr>
              <w:t xml:space="preserve"> 157.548 </w:t>
            </w:r>
          </w:p>
        </w:tc>
        <w:tc>
          <w:tcPr>
            <w:tcW w:w="982" w:type="dxa"/>
            <w:tcBorders>
              <w:top w:val="single" w:sz="4" w:space="0" w:color="auto"/>
              <w:left w:val="nil"/>
              <w:bottom w:val="single" w:sz="4" w:space="0" w:color="auto"/>
              <w:right w:val="nil"/>
            </w:tcBorders>
            <w:vAlign w:val="center"/>
          </w:tcPr>
          <w:p w14:paraId="40A0F552" w14:textId="34E577C7"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55B38FAC" w14:textId="014AB4A3" w:rsidR="634CB1F4" w:rsidRDefault="634CB1F4" w:rsidP="634CB1F4">
            <w:pPr>
              <w:jc w:val="center"/>
            </w:pPr>
            <w:r w:rsidRPr="634CB1F4">
              <w:rPr>
                <w:rFonts w:ascii="Calibri" w:eastAsia="Calibri" w:hAnsi="Calibri" w:cs="Calibri"/>
                <w:i/>
                <w:iCs/>
                <w:color w:val="000000" w:themeColor="text1"/>
                <w:sz w:val="16"/>
                <w:szCs w:val="16"/>
              </w:rPr>
              <w:t xml:space="preserve"> 26,52 </w:t>
            </w:r>
          </w:p>
        </w:tc>
        <w:tc>
          <w:tcPr>
            <w:tcW w:w="982" w:type="dxa"/>
            <w:tcBorders>
              <w:top w:val="single" w:sz="4" w:space="0" w:color="auto"/>
              <w:left w:val="nil"/>
              <w:bottom w:val="single" w:sz="4" w:space="0" w:color="auto"/>
              <w:right w:val="single" w:sz="8" w:space="0" w:color="auto"/>
            </w:tcBorders>
            <w:vAlign w:val="center"/>
          </w:tcPr>
          <w:p w14:paraId="318D4F46" w14:textId="50F50786" w:rsidR="634CB1F4" w:rsidRDefault="634CB1F4">
            <w:r w:rsidRPr="634CB1F4">
              <w:rPr>
                <w:rFonts w:ascii="Calibri" w:eastAsia="Calibri" w:hAnsi="Calibri" w:cs="Calibri"/>
                <w:i/>
                <w:iCs/>
                <w:color w:val="000000" w:themeColor="text1"/>
                <w:sz w:val="16"/>
                <w:szCs w:val="16"/>
              </w:rPr>
              <w:t xml:space="preserve"> 219,3 </w:t>
            </w:r>
          </w:p>
        </w:tc>
      </w:tr>
      <w:tr w:rsidR="634CB1F4" w14:paraId="7E6519A3" w14:textId="77777777" w:rsidTr="00304238">
        <w:trPr>
          <w:trHeight w:val="315"/>
        </w:trPr>
        <w:tc>
          <w:tcPr>
            <w:tcW w:w="982" w:type="dxa"/>
            <w:tcBorders>
              <w:top w:val="single" w:sz="4" w:space="0" w:color="auto"/>
              <w:left w:val="nil"/>
              <w:bottom w:val="nil"/>
              <w:right w:val="nil"/>
            </w:tcBorders>
            <w:vAlign w:val="center"/>
          </w:tcPr>
          <w:p w14:paraId="144F90B8" w14:textId="7F5D58A0" w:rsidR="634CB1F4" w:rsidRDefault="634CB1F4" w:rsidP="634CB1F4">
            <w:pPr>
              <w:jc w:val="center"/>
            </w:pPr>
            <w:r w:rsidRPr="634CB1F4">
              <w:rPr>
                <w:rFonts w:ascii="Arial" w:eastAsia="Arial" w:hAnsi="Arial" w:cs="Arial"/>
                <w:b/>
                <w:bCs/>
                <w:color w:val="000000" w:themeColor="text1"/>
                <w:sz w:val="18"/>
                <w:szCs w:val="18"/>
              </w:rPr>
              <w:t>1-</w:t>
            </w:r>
            <w:proofErr w:type="spellStart"/>
            <w:r w:rsidRPr="634CB1F4">
              <w:rPr>
                <w:rFonts w:ascii="Arial" w:eastAsia="Arial" w:hAnsi="Arial" w:cs="Arial"/>
                <w:b/>
                <w:bCs/>
                <w:color w:val="000000" w:themeColor="text1"/>
                <w:sz w:val="18"/>
                <w:szCs w:val="18"/>
              </w:rPr>
              <w:t>ago</w:t>
            </w:r>
            <w:proofErr w:type="spellEnd"/>
            <w:r w:rsidRPr="634CB1F4">
              <w:rPr>
                <w:rFonts w:ascii="Arial" w:eastAsia="Arial" w:hAnsi="Arial" w:cs="Arial"/>
                <w:b/>
                <w:bCs/>
                <w:color w:val="000000" w:themeColor="text1"/>
                <w:sz w:val="18"/>
                <w:szCs w:val="18"/>
              </w:rPr>
              <w:t>-97</w:t>
            </w:r>
          </w:p>
        </w:tc>
        <w:tc>
          <w:tcPr>
            <w:tcW w:w="982" w:type="dxa"/>
            <w:tcBorders>
              <w:top w:val="single" w:sz="4" w:space="0" w:color="auto"/>
              <w:left w:val="nil"/>
              <w:bottom w:val="single" w:sz="4" w:space="0" w:color="auto"/>
              <w:right w:val="nil"/>
            </w:tcBorders>
            <w:vAlign w:val="center"/>
          </w:tcPr>
          <w:p w14:paraId="6119152F" w14:textId="78CF0D66" w:rsidR="634CB1F4" w:rsidRDefault="634CB1F4">
            <w:r w:rsidRPr="634CB1F4">
              <w:rPr>
                <w:rFonts w:ascii="Calibri" w:eastAsia="Calibri" w:hAnsi="Calibri" w:cs="Calibri"/>
                <w:i/>
                <w:iCs/>
                <w:color w:val="000000" w:themeColor="text1"/>
                <w:sz w:val="16"/>
                <w:szCs w:val="16"/>
              </w:rPr>
              <w:t>31-</w:t>
            </w:r>
            <w:proofErr w:type="spellStart"/>
            <w:r w:rsidRPr="634CB1F4">
              <w:rPr>
                <w:rFonts w:ascii="Calibri" w:eastAsia="Calibri" w:hAnsi="Calibri" w:cs="Calibri"/>
                <w:i/>
                <w:iCs/>
                <w:color w:val="000000" w:themeColor="text1"/>
                <w:sz w:val="16"/>
                <w:szCs w:val="16"/>
              </w:rPr>
              <w:t>ago</w:t>
            </w:r>
            <w:proofErr w:type="spellEnd"/>
            <w:r w:rsidRPr="634CB1F4">
              <w:rPr>
                <w:rFonts w:ascii="Calibri" w:eastAsia="Calibri" w:hAnsi="Calibri" w:cs="Calibri"/>
                <w:i/>
                <w:iCs/>
                <w:color w:val="000000" w:themeColor="text1"/>
                <w:sz w:val="16"/>
                <w:szCs w:val="16"/>
              </w:rPr>
              <w:t>-97</w:t>
            </w:r>
          </w:p>
        </w:tc>
        <w:tc>
          <w:tcPr>
            <w:tcW w:w="838" w:type="dxa"/>
            <w:tcBorders>
              <w:top w:val="single" w:sz="4" w:space="0" w:color="auto"/>
              <w:left w:val="nil"/>
              <w:bottom w:val="single" w:sz="4" w:space="0" w:color="auto"/>
              <w:right w:val="nil"/>
            </w:tcBorders>
            <w:vAlign w:val="center"/>
          </w:tcPr>
          <w:p w14:paraId="2D652847" w14:textId="139554D4" w:rsidR="634CB1F4" w:rsidRDefault="634CB1F4" w:rsidP="634CB1F4">
            <w:pPr>
              <w:jc w:val="center"/>
            </w:pPr>
            <w:r w:rsidRPr="634CB1F4">
              <w:rPr>
                <w:rFonts w:ascii="Calibri" w:eastAsia="Calibri" w:hAnsi="Calibri" w:cs="Calibri"/>
                <w:i/>
                <w:iCs/>
                <w:color w:val="000000" w:themeColor="text1"/>
                <w:sz w:val="16"/>
                <w:szCs w:val="16"/>
              </w:rPr>
              <w:t>30</w:t>
            </w:r>
          </w:p>
        </w:tc>
        <w:tc>
          <w:tcPr>
            <w:tcW w:w="1126" w:type="dxa"/>
            <w:gridSpan w:val="2"/>
            <w:tcBorders>
              <w:top w:val="single" w:sz="4" w:space="0" w:color="auto"/>
              <w:left w:val="nil"/>
              <w:bottom w:val="single" w:sz="4" w:space="0" w:color="auto"/>
              <w:right w:val="single" w:sz="8" w:space="0" w:color="auto"/>
            </w:tcBorders>
            <w:vAlign w:val="center"/>
          </w:tcPr>
          <w:p w14:paraId="0F0CF9B2" w14:textId="72CB8D53" w:rsidR="634CB1F4" w:rsidRPr="00304238" w:rsidRDefault="634CB1F4">
            <w:pPr>
              <w:rPr>
                <w:sz w:val="18"/>
              </w:rPr>
            </w:pPr>
            <w:r w:rsidRPr="00304238">
              <w:rPr>
                <w:rFonts w:ascii="Arial" w:eastAsia="Arial" w:hAnsi="Arial" w:cs="Arial"/>
                <w:color w:val="000000" w:themeColor="text1"/>
                <w:sz w:val="18"/>
                <w:szCs w:val="18"/>
              </w:rPr>
              <w:t xml:space="preserve">190.000,00 </w:t>
            </w:r>
          </w:p>
        </w:tc>
        <w:tc>
          <w:tcPr>
            <w:tcW w:w="982" w:type="dxa"/>
            <w:tcBorders>
              <w:top w:val="nil"/>
              <w:left w:val="single" w:sz="12" w:space="0" w:color="auto"/>
              <w:bottom w:val="nil"/>
              <w:right w:val="single" w:sz="8" w:space="0" w:color="auto"/>
            </w:tcBorders>
            <w:vAlign w:val="center"/>
          </w:tcPr>
          <w:p w14:paraId="2A761D12" w14:textId="25B017A9"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386B7397" w14:textId="558BDE8F" w:rsidR="634CB1F4" w:rsidRDefault="634CB1F4">
            <w:r w:rsidRPr="634CB1F4">
              <w:rPr>
                <w:rFonts w:ascii="Calibri" w:eastAsia="Calibri" w:hAnsi="Calibri" w:cs="Calibri"/>
                <w:b/>
                <w:bCs/>
                <w:i/>
                <w:iCs/>
                <w:color w:val="000000" w:themeColor="text1"/>
                <w:sz w:val="16"/>
                <w:szCs w:val="16"/>
              </w:rPr>
              <w:t xml:space="preserve"> 590.813 </w:t>
            </w:r>
          </w:p>
        </w:tc>
        <w:tc>
          <w:tcPr>
            <w:tcW w:w="982" w:type="dxa"/>
            <w:tcBorders>
              <w:top w:val="single" w:sz="4" w:space="0" w:color="auto"/>
              <w:left w:val="nil"/>
              <w:bottom w:val="single" w:sz="4" w:space="0" w:color="auto"/>
              <w:right w:val="nil"/>
            </w:tcBorders>
            <w:vAlign w:val="center"/>
          </w:tcPr>
          <w:p w14:paraId="5FFB86A8" w14:textId="71F7226C"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395EBEBA" w14:textId="519144CF" w:rsidR="634CB1F4" w:rsidRDefault="634CB1F4" w:rsidP="634CB1F4">
            <w:pPr>
              <w:jc w:val="center"/>
            </w:pPr>
            <w:r w:rsidRPr="634CB1F4">
              <w:rPr>
                <w:rFonts w:ascii="Calibri" w:eastAsia="Calibri" w:hAnsi="Calibri" w:cs="Calibri"/>
                <w:i/>
                <w:iCs/>
                <w:color w:val="000000" w:themeColor="text1"/>
                <w:sz w:val="16"/>
                <w:szCs w:val="16"/>
              </w:rPr>
              <w:t xml:space="preserve"> 26,52 </w:t>
            </w:r>
          </w:p>
        </w:tc>
        <w:tc>
          <w:tcPr>
            <w:tcW w:w="982" w:type="dxa"/>
            <w:tcBorders>
              <w:top w:val="single" w:sz="4" w:space="0" w:color="auto"/>
              <w:left w:val="nil"/>
              <w:bottom w:val="single" w:sz="4" w:space="0" w:color="auto"/>
              <w:right w:val="single" w:sz="8" w:space="0" w:color="auto"/>
            </w:tcBorders>
            <w:vAlign w:val="center"/>
          </w:tcPr>
          <w:p w14:paraId="19D6CE7D" w14:textId="2173E63A" w:rsidR="634CB1F4" w:rsidRDefault="634CB1F4">
            <w:r w:rsidRPr="634CB1F4">
              <w:rPr>
                <w:rFonts w:ascii="Calibri" w:eastAsia="Calibri" w:hAnsi="Calibri" w:cs="Calibri"/>
                <w:i/>
                <w:iCs/>
                <w:color w:val="000000" w:themeColor="text1"/>
                <w:sz w:val="16"/>
                <w:szCs w:val="16"/>
              </w:rPr>
              <w:t xml:space="preserve"> 3.084,6 </w:t>
            </w:r>
          </w:p>
        </w:tc>
      </w:tr>
      <w:tr w:rsidR="634CB1F4" w14:paraId="1FC3D96E" w14:textId="77777777" w:rsidTr="00304238">
        <w:trPr>
          <w:trHeight w:val="315"/>
        </w:trPr>
        <w:tc>
          <w:tcPr>
            <w:tcW w:w="982" w:type="dxa"/>
            <w:tcBorders>
              <w:top w:val="single" w:sz="4" w:space="0" w:color="auto"/>
              <w:left w:val="nil"/>
              <w:bottom w:val="single" w:sz="4" w:space="0" w:color="auto"/>
              <w:right w:val="nil"/>
            </w:tcBorders>
            <w:vAlign w:val="center"/>
          </w:tcPr>
          <w:p w14:paraId="6D27C2E7" w14:textId="5FB6CD1B" w:rsidR="634CB1F4" w:rsidRDefault="634CB1F4" w:rsidP="634CB1F4">
            <w:pPr>
              <w:jc w:val="center"/>
            </w:pPr>
            <w:r w:rsidRPr="634CB1F4">
              <w:rPr>
                <w:rFonts w:ascii="Arial" w:eastAsia="Arial" w:hAnsi="Arial" w:cs="Arial"/>
                <w:color w:val="000000" w:themeColor="text1"/>
                <w:sz w:val="18"/>
                <w:szCs w:val="18"/>
              </w:rPr>
              <w:t>1-sept-97</w:t>
            </w:r>
          </w:p>
        </w:tc>
        <w:tc>
          <w:tcPr>
            <w:tcW w:w="982" w:type="dxa"/>
            <w:tcBorders>
              <w:top w:val="single" w:sz="4" w:space="0" w:color="auto"/>
              <w:left w:val="nil"/>
              <w:bottom w:val="single" w:sz="4" w:space="0" w:color="auto"/>
              <w:right w:val="nil"/>
            </w:tcBorders>
            <w:vAlign w:val="center"/>
          </w:tcPr>
          <w:p w14:paraId="71E239AD" w14:textId="570955DB" w:rsidR="634CB1F4" w:rsidRDefault="634CB1F4">
            <w:r w:rsidRPr="634CB1F4">
              <w:rPr>
                <w:rFonts w:ascii="Calibri" w:eastAsia="Calibri" w:hAnsi="Calibri" w:cs="Calibri"/>
                <w:i/>
                <w:iCs/>
                <w:color w:val="000000" w:themeColor="text1"/>
                <w:sz w:val="16"/>
                <w:szCs w:val="16"/>
              </w:rPr>
              <w:t>30-sept-97</w:t>
            </w:r>
          </w:p>
        </w:tc>
        <w:tc>
          <w:tcPr>
            <w:tcW w:w="838" w:type="dxa"/>
            <w:tcBorders>
              <w:top w:val="single" w:sz="4" w:space="0" w:color="auto"/>
              <w:left w:val="nil"/>
              <w:bottom w:val="single" w:sz="4" w:space="0" w:color="auto"/>
              <w:right w:val="nil"/>
            </w:tcBorders>
            <w:vAlign w:val="center"/>
          </w:tcPr>
          <w:p w14:paraId="278C95EE" w14:textId="2621D1FB" w:rsidR="634CB1F4" w:rsidRDefault="634CB1F4" w:rsidP="634CB1F4">
            <w:pPr>
              <w:jc w:val="center"/>
            </w:pPr>
            <w:r w:rsidRPr="634CB1F4">
              <w:rPr>
                <w:rFonts w:ascii="Calibri" w:eastAsia="Calibri" w:hAnsi="Calibri" w:cs="Calibri"/>
                <w:i/>
                <w:iCs/>
                <w:color w:val="000000" w:themeColor="text1"/>
                <w:sz w:val="16"/>
                <w:szCs w:val="16"/>
              </w:rPr>
              <w:t>30</w:t>
            </w:r>
          </w:p>
        </w:tc>
        <w:tc>
          <w:tcPr>
            <w:tcW w:w="1126" w:type="dxa"/>
            <w:gridSpan w:val="2"/>
            <w:tcBorders>
              <w:top w:val="single" w:sz="4" w:space="0" w:color="auto"/>
              <w:left w:val="nil"/>
              <w:bottom w:val="single" w:sz="4" w:space="0" w:color="auto"/>
              <w:right w:val="single" w:sz="8" w:space="0" w:color="auto"/>
            </w:tcBorders>
            <w:vAlign w:val="center"/>
          </w:tcPr>
          <w:p w14:paraId="27111D6D" w14:textId="108D4CC7" w:rsidR="634CB1F4" w:rsidRPr="00304238" w:rsidRDefault="634CB1F4">
            <w:pPr>
              <w:rPr>
                <w:sz w:val="18"/>
              </w:rPr>
            </w:pPr>
            <w:r w:rsidRPr="00304238">
              <w:rPr>
                <w:rFonts w:ascii="Arial" w:eastAsia="Arial" w:hAnsi="Arial" w:cs="Arial"/>
                <w:color w:val="000000" w:themeColor="text1"/>
                <w:sz w:val="18"/>
                <w:szCs w:val="18"/>
              </w:rPr>
              <w:t xml:space="preserve">190.000,00 </w:t>
            </w:r>
          </w:p>
        </w:tc>
        <w:tc>
          <w:tcPr>
            <w:tcW w:w="982" w:type="dxa"/>
            <w:tcBorders>
              <w:top w:val="nil"/>
              <w:left w:val="single" w:sz="12" w:space="0" w:color="auto"/>
              <w:bottom w:val="nil"/>
              <w:right w:val="single" w:sz="8" w:space="0" w:color="auto"/>
            </w:tcBorders>
            <w:vAlign w:val="center"/>
          </w:tcPr>
          <w:p w14:paraId="72EED528" w14:textId="4C7031CF"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5834A46B" w14:textId="5FD09615" w:rsidR="634CB1F4" w:rsidRDefault="634CB1F4">
            <w:r w:rsidRPr="634CB1F4">
              <w:rPr>
                <w:rFonts w:ascii="Calibri" w:eastAsia="Calibri" w:hAnsi="Calibri" w:cs="Calibri"/>
                <w:b/>
                <w:bCs/>
                <w:i/>
                <w:iCs/>
                <w:color w:val="000000" w:themeColor="text1"/>
                <w:sz w:val="16"/>
                <w:szCs w:val="16"/>
              </w:rPr>
              <w:t xml:space="preserve"> 590.813 </w:t>
            </w:r>
          </w:p>
        </w:tc>
        <w:tc>
          <w:tcPr>
            <w:tcW w:w="982" w:type="dxa"/>
            <w:tcBorders>
              <w:top w:val="single" w:sz="4" w:space="0" w:color="auto"/>
              <w:left w:val="nil"/>
              <w:bottom w:val="single" w:sz="4" w:space="0" w:color="auto"/>
              <w:right w:val="nil"/>
            </w:tcBorders>
            <w:vAlign w:val="center"/>
          </w:tcPr>
          <w:p w14:paraId="14179690" w14:textId="0AE0F6BD"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5C9381A" w14:textId="368AB9B3" w:rsidR="634CB1F4" w:rsidRDefault="634CB1F4" w:rsidP="634CB1F4">
            <w:pPr>
              <w:jc w:val="center"/>
            </w:pPr>
            <w:r w:rsidRPr="634CB1F4">
              <w:rPr>
                <w:rFonts w:ascii="Calibri" w:eastAsia="Calibri" w:hAnsi="Calibri" w:cs="Calibri"/>
                <w:i/>
                <w:iCs/>
                <w:color w:val="000000" w:themeColor="text1"/>
                <w:sz w:val="16"/>
                <w:szCs w:val="16"/>
              </w:rPr>
              <w:t xml:space="preserve"> 26,52 </w:t>
            </w:r>
          </w:p>
        </w:tc>
        <w:tc>
          <w:tcPr>
            <w:tcW w:w="982" w:type="dxa"/>
            <w:tcBorders>
              <w:top w:val="single" w:sz="4" w:space="0" w:color="auto"/>
              <w:left w:val="nil"/>
              <w:bottom w:val="single" w:sz="4" w:space="0" w:color="auto"/>
              <w:right w:val="single" w:sz="8" w:space="0" w:color="auto"/>
            </w:tcBorders>
            <w:vAlign w:val="center"/>
          </w:tcPr>
          <w:p w14:paraId="546D226F" w14:textId="06B6C383" w:rsidR="634CB1F4" w:rsidRDefault="634CB1F4">
            <w:r w:rsidRPr="634CB1F4">
              <w:rPr>
                <w:rFonts w:ascii="Calibri" w:eastAsia="Calibri" w:hAnsi="Calibri" w:cs="Calibri"/>
                <w:i/>
                <w:iCs/>
                <w:color w:val="000000" w:themeColor="text1"/>
                <w:sz w:val="16"/>
                <w:szCs w:val="16"/>
              </w:rPr>
              <w:t xml:space="preserve"> 3.084,6 </w:t>
            </w:r>
          </w:p>
        </w:tc>
      </w:tr>
      <w:tr w:rsidR="634CB1F4" w14:paraId="4742F138" w14:textId="77777777" w:rsidTr="00304238">
        <w:trPr>
          <w:trHeight w:val="315"/>
        </w:trPr>
        <w:tc>
          <w:tcPr>
            <w:tcW w:w="982" w:type="dxa"/>
            <w:tcBorders>
              <w:top w:val="single" w:sz="4" w:space="0" w:color="auto"/>
              <w:left w:val="nil"/>
              <w:bottom w:val="nil"/>
              <w:right w:val="nil"/>
            </w:tcBorders>
            <w:vAlign w:val="center"/>
          </w:tcPr>
          <w:p w14:paraId="01947724" w14:textId="62E5073F" w:rsidR="634CB1F4" w:rsidRDefault="634CB1F4" w:rsidP="634CB1F4">
            <w:pPr>
              <w:jc w:val="center"/>
            </w:pPr>
            <w:r w:rsidRPr="634CB1F4">
              <w:rPr>
                <w:rFonts w:ascii="Arial" w:eastAsia="Arial" w:hAnsi="Arial" w:cs="Arial"/>
                <w:b/>
                <w:bCs/>
                <w:color w:val="000000" w:themeColor="text1"/>
                <w:sz w:val="18"/>
                <w:szCs w:val="18"/>
              </w:rPr>
              <w:t>1-oct-97</w:t>
            </w:r>
          </w:p>
        </w:tc>
        <w:tc>
          <w:tcPr>
            <w:tcW w:w="982" w:type="dxa"/>
            <w:tcBorders>
              <w:top w:val="single" w:sz="4" w:space="0" w:color="auto"/>
              <w:left w:val="nil"/>
              <w:bottom w:val="single" w:sz="4" w:space="0" w:color="auto"/>
              <w:right w:val="nil"/>
            </w:tcBorders>
            <w:vAlign w:val="center"/>
          </w:tcPr>
          <w:p w14:paraId="1735D7E1" w14:textId="061C4BD7" w:rsidR="634CB1F4" w:rsidRDefault="634CB1F4">
            <w:r w:rsidRPr="634CB1F4">
              <w:rPr>
                <w:rFonts w:ascii="Calibri" w:eastAsia="Calibri" w:hAnsi="Calibri" w:cs="Calibri"/>
                <w:i/>
                <w:iCs/>
                <w:color w:val="000000" w:themeColor="text1"/>
                <w:sz w:val="16"/>
                <w:szCs w:val="16"/>
              </w:rPr>
              <w:t>31-oct-97</w:t>
            </w:r>
          </w:p>
        </w:tc>
        <w:tc>
          <w:tcPr>
            <w:tcW w:w="838" w:type="dxa"/>
            <w:tcBorders>
              <w:top w:val="single" w:sz="4" w:space="0" w:color="auto"/>
              <w:left w:val="nil"/>
              <w:bottom w:val="single" w:sz="4" w:space="0" w:color="auto"/>
              <w:right w:val="nil"/>
            </w:tcBorders>
            <w:vAlign w:val="center"/>
          </w:tcPr>
          <w:p w14:paraId="291AF0C3" w14:textId="53A1DF50" w:rsidR="634CB1F4" w:rsidRDefault="634CB1F4" w:rsidP="634CB1F4">
            <w:pPr>
              <w:jc w:val="center"/>
            </w:pPr>
            <w:r w:rsidRPr="634CB1F4">
              <w:rPr>
                <w:rFonts w:ascii="Calibri" w:eastAsia="Calibri" w:hAnsi="Calibri" w:cs="Calibri"/>
                <w:i/>
                <w:iCs/>
                <w:color w:val="000000" w:themeColor="text1"/>
                <w:sz w:val="16"/>
                <w:szCs w:val="16"/>
              </w:rPr>
              <w:t>30</w:t>
            </w:r>
          </w:p>
        </w:tc>
        <w:tc>
          <w:tcPr>
            <w:tcW w:w="1126" w:type="dxa"/>
            <w:gridSpan w:val="2"/>
            <w:tcBorders>
              <w:top w:val="single" w:sz="4" w:space="0" w:color="auto"/>
              <w:left w:val="nil"/>
              <w:bottom w:val="single" w:sz="4" w:space="0" w:color="auto"/>
              <w:right w:val="single" w:sz="8" w:space="0" w:color="auto"/>
            </w:tcBorders>
            <w:vAlign w:val="center"/>
          </w:tcPr>
          <w:p w14:paraId="74A258A9" w14:textId="17C7266B" w:rsidR="634CB1F4" w:rsidRPr="00304238" w:rsidRDefault="634CB1F4">
            <w:pPr>
              <w:rPr>
                <w:sz w:val="18"/>
              </w:rPr>
            </w:pPr>
            <w:r w:rsidRPr="00304238">
              <w:rPr>
                <w:rFonts w:ascii="Arial" w:eastAsia="Arial" w:hAnsi="Arial" w:cs="Arial"/>
                <w:color w:val="000000" w:themeColor="text1"/>
                <w:sz w:val="18"/>
                <w:szCs w:val="18"/>
              </w:rPr>
              <w:t xml:space="preserve">190.000,00 </w:t>
            </w:r>
          </w:p>
        </w:tc>
        <w:tc>
          <w:tcPr>
            <w:tcW w:w="982" w:type="dxa"/>
            <w:tcBorders>
              <w:top w:val="nil"/>
              <w:left w:val="single" w:sz="12" w:space="0" w:color="auto"/>
              <w:bottom w:val="nil"/>
              <w:right w:val="single" w:sz="8" w:space="0" w:color="auto"/>
            </w:tcBorders>
            <w:vAlign w:val="center"/>
          </w:tcPr>
          <w:p w14:paraId="20F73642" w14:textId="6BAC2A20"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4188C9C0" w14:textId="479DAFDF" w:rsidR="634CB1F4" w:rsidRDefault="634CB1F4">
            <w:r w:rsidRPr="634CB1F4">
              <w:rPr>
                <w:rFonts w:ascii="Calibri" w:eastAsia="Calibri" w:hAnsi="Calibri" w:cs="Calibri"/>
                <w:b/>
                <w:bCs/>
                <w:i/>
                <w:iCs/>
                <w:color w:val="000000" w:themeColor="text1"/>
                <w:sz w:val="16"/>
                <w:szCs w:val="16"/>
              </w:rPr>
              <w:t xml:space="preserve"> 590.813 </w:t>
            </w:r>
          </w:p>
        </w:tc>
        <w:tc>
          <w:tcPr>
            <w:tcW w:w="982" w:type="dxa"/>
            <w:tcBorders>
              <w:top w:val="single" w:sz="4" w:space="0" w:color="auto"/>
              <w:left w:val="nil"/>
              <w:bottom w:val="single" w:sz="4" w:space="0" w:color="auto"/>
              <w:right w:val="nil"/>
            </w:tcBorders>
            <w:vAlign w:val="center"/>
          </w:tcPr>
          <w:p w14:paraId="04821358" w14:textId="4DD413A0"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5662C51E" w14:textId="2078CEC8" w:rsidR="634CB1F4" w:rsidRDefault="634CB1F4" w:rsidP="634CB1F4">
            <w:pPr>
              <w:jc w:val="center"/>
            </w:pPr>
            <w:r w:rsidRPr="634CB1F4">
              <w:rPr>
                <w:rFonts w:ascii="Calibri" w:eastAsia="Calibri" w:hAnsi="Calibri" w:cs="Calibri"/>
                <w:i/>
                <w:iCs/>
                <w:color w:val="000000" w:themeColor="text1"/>
                <w:sz w:val="16"/>
                <w:szCs w:val="16"/>
              </w:rPr>
              <w:t xml:space="preserve"> 26,52 </w:t>
            </w:r>
          </w:p>
        </w:tc>
        <w:tc>
          <w:tcPr>
            <w:tcW w:w="982" w:type="dxa"/>
            <w:tcBorders>
              <w:top w:val="single" w:sz="4" w:space="0" w:color="auto"/>
              <w:left w:val="nil"/>
              <w:bottom w:val="single" w:sz="4" w:space="0" w:color="auto"/>
              <w:right w:val="single" w:sz="8" w:space="0" w:color="auto"/>
            </w:tcBorders>
            <w:vAlign w:val="center"/>
          </w:tcPr>
          <w:p w14:paraId="1F02C3C7" w14:textId="025B9AB5" w:rsidR="634CB1F4" w:rsidRDefault="634CB1F4">
            <w:r w:rsidRPr="634CB1F4">
              <w:rPr>
                <w:rFonts w:ascii="Calibri" w:eastAsia="Calibri" w:hAnsi="Calibri" w:cs="Calibri"/>
                <w:i/>
                <w:iCs/>
                <w:color w:val="000000" w:themeColor="text1"/>
                <w:sz w:val="16"/>
                <w:szCs w:val="16"/>
              </w:rPr>
              <w:t xml:space="preserve"> 3.084,6 </w:t>
            </w:r>
          </w:p>
        </w:tc>
      </w:tr>
      <w:tr w:rsidR="634CB1F4" w14:paraId="2A17F9E7" w14:textId="77777777" w:rsidTr="00304238">
        <w:trPr>
          <w:trHeight w:val="315"/>
        </w:trPr>
        <w:tc>
          <w:tcPr>
            <w:tcW w:w="982" w:type="dxa"/>
            <w:tcBorders>
              <w:top w:val="single" w:sz="4" w:space="0" w:color="auto"/>
              <w:left w:val="nil"/>
              <w:bottom w:val="single" w:sz="4" w:space="0" w:color="auto"/>
              <w:right w:val="nil"/>
            </w:tcBorders>
            <w:vAlign w:val="center"/>
          </w:tcPr>
          <w:p w14:paraId="71652B0E" w14:textId="66F40F62" w:rsidR="634CB1F4" w:rsidRPr="00304238" w:rsidRDefault="634CB1F4" w:rsidP="634CB1F4">
            <w:pPr>
              <w:jc w:val="center"/>
              <w:rPr>
                <w:b/>
              </w:rPr>
            </w:pPr>
            <w:r w:rsidRPr="00304238">
              <w:rPr>
                <w:rFonts w:ascii="Arial" w:eastAsia="Arial" w:hAnsi="Arial" w:cs="Arial"/>
                <w:b/>
                <w:color w:val="000000" w:themeColor="text1"/>
                <w:sz w:val="18"/>
                <w:szCs w:val="18"/>
              </w:rPr>
              <w:t>1-nov-97</w:t>
            </w:r>
          </w:p>
        </w:tc>
        <w:tc>
          <w:tcPr>
            <w:tcW w:w="982" w:type="dxa"/>
            <w:tcBorders>
              <w:top w:val="single" w:sz="4" w:space="0" w:color="auto"/>
              <w:left w:val="nil"/>
              <w:bottom w:val="single" w:sz="4" w:space="0" w:color="auto"/>
              <w:right w:val="nil"/>
            </w:tcBorders>
            <w:vAlign w:val="center"/>
          </w:tcPr>
          <w:p w14:paraId="44ACE79F" w14:textId="201E46BB" w:rsidR="634CB1F4" w:rsidRDefault="634CB1F4">
            <w:r w:rsidRPr="634CB1F4">
              <w:rPr>
                <w:rFonts w:ascii="Calibri" w:eastAsia="Calibri" w:hAnsi="Calibri" w:cs="Calibri"/>
                <w:i/>
                <w:iCs/>
                <w:color w:val="000000" w:themeColor="text1"/>
                <w:sz w:val="16"/>
                <w:szCs w:val="16"/>
              </w:rPr>
              <w:t>30-nov-97</w:t>
            </w:r>
          </w:p>
        </w:tc>
        <w:tc>
          <w:tcPr>
            <w:tcW w:w="838" w:type="dxa"/>
            <w:tcBorders>
              <w:top w:val="single" w:sz="4" w:space="0" w:color="auto"/>
              <w:left w:val="nil"/>
              <w:bottom w:val="single" w:sz="4" w:space="0" w:color="auto"/>
              <w:right w:val="nil"/>
            </w:tcBorders>
            <w:vAlign w:val="center"/>
          </w:tcPr>
          <w:p w14:paraId="602F25C5" w14:textId="2042453F" w:rsidR="634CB1F4" w:rsidRDefault="634CB1F4" w:rsidP="634CB1F4">
            <w:pPr>
              <w:jc w:val="center"/>
            </w:pPr>
            <w:r w:rsidRPr="634CB1F4">
              <w:rPr>
                <w:rFonts w:ascii="Calibri" w:eastAsia="Calibri" w:hAnsi="Calibri" w:cs="Calibri"/>
                <w:i/>
                <w:iCs/>
                <w:color w:val="000000" w:themeColor="text1"/>
                <w:sz w:val="16"/>
                <w:szCs w:val="16"/>
              </w:rPr>
              <w:t>30</w:t>
            </w:r>
          </w:p>
        </w:tc>
        <w:tc>
          <w:tcPr>
            <w:tcW w:w="1126" w:type="dxa"/>
            <w:gridSpan w:val="2"/>
            <w:tcBorders>
              <w:top w:val="single" w:sz="4" w:space="0" w:color="auto"/>
              <w:left w:val="nil"/>
              <w:bottom w:val="single" w:sz="4" w:space="0" w:color="auto"/>
              <w:right w:val="single" w:sz="8" w:space="0" w:color="auto"/>
            </w:tcBorders>
            <w:vAlign w:val="center"/>
          </w:tcPr>
          <w:p w14:paraId="4F74660F" w14:textId="4E198C38" w:rsidR="634CB1F4" w:rsidRPr="00304238" w:rsidRDefault="634CB1F4">
            <w:pPr>
              <w:rPr>
                <w:sz w:val="18"/>
              </w:rPr>
            </w:pPr>
            <w:r w:rsidRPr="00304238">
              <w:rPr>
                <w:rFonts w:ascii="Arial" w:eastAsia="Arial" w:hAnsi="Arial" w:cs="Arial"/>
                <w:color w:val="000000" w:themeColor="text1"/>
                <w:sz w:val="18"/>
                <w:szCs w:val="18"/>
              </w:rPr>
              <w:t xml:space="preserve">190.000,00 </w:t>
            </w:r>
          </w:p>
        </w:tc>
        <w:tc>
          <w:tcPr>
            <w:tcW w:w="982" w:type="dxa"/>
            <w:tcBorders>
              <w:top w:val="nil"/>
              <w:left w:val="single" w:sz="12" w:space="0" w:color="auto"/>
              <w:bottom w:val="nil"/>
              <w:right w:val="single" w:sz="8" w:space="0" w:color="auto"/>
            </w:tcBorders>
            <w:vAlign w:val="center"/>
          </w:tcPr>
          <w:p w14:paraId="6439B0F3" w14:textId="6552D0E9"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7F1BF804" w14:textId="19D069AD" w:rsidR="634CB1F4" w:rsidRDefault="634CB1F4">
            <w:r w:rsidRPr="634CB1F4">
              <w:rPr>
                <w:rFonts w:ascii="Calibri" w:eastAsia="Calibri" w:hAnsi="Calibri" w:cs="Calibri"/>
                <w:b/>
                <w:bCs/>
                <w:i/>
                <w:iCs/>
                <w:color w:val="000000" w:themeColor="text1"/>
                <w:sz w:val="16"/>
                <w:szCs w:val="16"/>
              </w:rPr>
              <w:t xml:space="preserve"> 590.813 </w:t>
            </w:r>
          </w:p>
        </w:tc>
        <w:tc>
          <w:tcPr>
            <w:tcW w:w="982" w:type="dxa"/>
            <w:tcBorders>
              <w:top w:val="single" w:sz="4" w:space="0" w:color="auto"/>
              <w:left w:val="nil"/>
              <w:bottom w:val="single" w:sz="4" w:space="0" w:color="auto"/>
              <w:right w:val="nil"/>
            </w:tcBorders>
            <w:vAlign w:val="center"/>
          </w:tcPr>
          <w:p w14:paraId="003C33B8" w14:textId="109FFB81"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E1DF800" w14:textId="4F1B1BC9" w:rsidR="634CB1F4" w:rsidRDefault="634CB1F4" w:rsidP="634CB1F4">
            <w:pPr>
              <w:jc w:val="center"/>
            </w:pPr>
            <w:r w:rsidRPr="634CB1F4">
              <w:rPr>
                <w:rFonts w:ascii="Calibri" w:eastAsia="Calibri" w:hAnsi="Calibri" w:cs="Calibri"/>
                <w:i/>
                <w:iCs/>
                <w:color w:val="000000" w:themeColor="text1"/>
                <w:sz w:val="16"/>
                <w:szCs w:val="16"/>
              </w:rPr>
              <w:t xml:space="preserve"> 26,52 </w:t>
            </w:r>
          </w:p>
        </w:tc>
        <w:tc>
          <w:tcPr>
            <w:tcW w:w="982" w:type="dxa"/>
            <w:tcBorders>
              <w:top w:val="single" w:sz="4" w:space="0" w:color="auto"/>
              <w:left w:val="nil"/>
              <w:bottom w:val="single" w:sz="4" w:space="0" w:color="auto"/>
              <w:right w:val="single" w:sz="8" w:space="0" w:color="auto"/>
            </w:tcBorders>
            <w:vAlign w:val="center"/>
          </w:tcPr>
          <w:p w14:paraId="6EEA4F4B" w14:textId="11DEB915" w:rsidR="634CB1F4" w:rsidRDefault="634CB1F4">
            <w:r w:rsidRPr="634CB1F4">
              <w:rPr>
                <w:rFonts w:ascii="Calibri" w:eastAsia="Calibri" w:hAnsi="Calibri" w:cs="Calibri"/>
                <w:i/>
                <w:iCs/>
                <w:color w:val="000000" w:themeColor="text1"/>
                <w:sz w:val="16"/>
                <w:szCs w:val="16"/>
              </w:rPr>
              <w:t xml:space="preserve"> 3.084,6 </w:t>
            </w:r>
          </w:p>
        </w:tc>
      </w:tr>
      <w:tr w:rsidR="634CB1F4" w14:paraId="51A7BE4A" w14:textId="77777777" w:rsidTr="00304238">
        <w:trPr>
          <w:trHeight w:val="315"/>
        </w:trPr>
        <w:tc>
          <w:tcPr>
            <w:tcW w:w="982" w:type="dxa"/>
            <w:tcBorders>
              <w:top w:val="single" w:sz="4" w:space="0" w:color="auto"/>
              <w:left w:val="nil"/>
              <w:bottom w:val="nil"/>
              <w:right w:val="nil"/>
            </w:tcBorders>
            <w:vAlign w:val="center"/>
          </w:tcPr>
          <w:p w14:paraId="34168782" w14:textId="329705F0" w:rsidR="634CB1F4" w:rsidRDefault="634CB1F4" w:rsidP="634CB1F4">
            <w:pPr>
              <w:jc w:val="center"/>
            </w:pPr>
            <w:r w:rsidRPr="634CB1F4">
              <w:rPr>
                <w:rFonts w:ascii="Arial" w:eastAsia="Arial" w:hAnsi="Arial" w:cs="Arial"/>
                <w:b/>
                <w:bCs/>
                <w:color w:val="000000" w:themeColor="text1"/>
                <w:sz w:val="18"/>
                <w:szCs w:val="18"/>
              </w:rPr>
              <w:t>1-dic-97</w:t>
            </w:r>
          </w:p>
        </w:tc>
        <w:tc>
          <w:tcPr>
            <w:tcW w:w="982" w:type="dxa"/>
            <w:tcBorders>
              <w:top w:val="single" w:sz="4" w:space="0" w:color="auto"/>
              <w:left w:val="nil"/>
              <w:bottom w:val="single" w:sz="4" w:space="0" w:color="auto"/>
              <w:right w:val="nil"/>
            </w:tcBorders>
            <w:vAlign w:val="center"/>
          </w:tcPr>
          <w:p w14:paraId="7CCABC97" w14:textId="00E9FEA8" w:rsidR="634CB1F4" w:rsidRDefault="634CB1F4">
            <w:r w:rsidRPr="634CB1F4">
              <w:rPr>
                <w:rFonts w:ascii="Calibri" w:eastAsia="Calibri" w:hAnsi="Calibri" w:cs="Calibri"/>
                <w:i/>
                <w:iCs/>
                <w:color w:val="000000" w:themeColor="text1"/>
                <w:sz w:val="16"/>
                <w:szCs w:val="16"/>
              </w:rPr>
              <w:t>31-dic-97</w:t>
            </w:r>
          </w:p>
        </w:tc>
        <w:tc>
          <w:tcPr>
            <w:tcW w:w="838" w:type="dxa"/>
            <w:tcBorders>
              <w:top w:val="single" w:sz="4" w:space="0" w:color="auto"/>
              <w:left w:val="nil"/>
              <w:bottom w:val="single" w:sz="4" w:space="0" w:color="auto"/>
              <w:right w:val="nil"/>
            </w:tcBorders>
            <w:vAlign w:val="center"/>
          </w:tcPr>
          <w:p w14:paraId="47A51694" w14:textId="6018C7A3" w:rsidR="634CB1F4" w:rsidRDefault="634CB1F4" w:rsidP="634CB1F4">
            <w:pPr>
              <w:jc w:val="center"/>
            </w:pPr>
            <w:r w:rsidRPr="634CB1F4">
              <w:rPr>
                <w:rFonts w:ascii="Calibri" w:eastAsia="Calibri" w:hAnsi="Calibri" w:cs="Calibri"/>
                <w:i/>
                <w:iCs/>
                <w:color w:val="000000" w:themeColor="text1"/>
                <w:sz w:val="16"/>
                <w:szCs w:val="16"/>
              </w:rPr>
              <w:t>21</w:t>
            </w:r>
          </w:p>
        </w:tc>
        <w:tc>
          <w:tcPr>
            <w:tcW w:w="1126" w:type="dxa"/>
            <w:gridSpan w:val="2"/>
            <w:tcBorders>
              <w:top w:val="single" w:sz="4" w:space="0" w:color="auto"/>
              <w:left w:val="nil"/>
              <w:bottom w:val="single" w:sz="4" w:space="0" w:color="auto"/>
              <w:right w:val="single" w:sz="8" w:space="0" w:color="auto"/>
            </w:tcBorders>
            <w:vAlign w:val="center"/>
          </w:tcPr>
          <w:p w14:paraId="52A3BA1B" w14:textId="452526C5" w:rsidR="634CB1F4" w:rsidRPr="00304238" w:rsidRDefault="634CB1F4">
            <w:pPr>
              <w:rPr>
                <w:sz w:val="18"/>
              </w:rPr>
            </w:pPr>
            <w:r w:rsidRPr="00304238">
              <w:rPr>
                <w:rFonts w:ascii="Arial" w:eastAsia="Arial" w:hAnsi="Arial" w:cs="Arial"/>
                <w:color w:val="000000" w:themeColor="text1"/>
                <w:sz w:val="18"/>
                <w:szCs w:val="18"/>
              </w:rPr>
              <w:t xml:space="preserve">132.993,00 </w:t>
            </w:r>
          </w:p>
        </w:tc>
        <w:tc>
          <w:tcPr>
            <w:tcW w:w="982" w:type="dxa"/>
            <w:tcBorders>
              <w:top w:val="nil"/>
              <w:left w:val="single" w:sz="12" w:space="0" w:color="auto"/>
              <w:bottom w:val="nil"/>
              <w:right w:val="single" w:sz="8" w:space="0" w:color="auto"/>
            </w:tcBorders>
            <w:vAlign w:val="center"/>
          </w:tcPr>
          <w:p w14:paraId="51E91E1E" w14:textId="095AB942"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73CC03CD" w14:textId="480811B4" w:rsidR="634CB1F4" w:rsidRDefault="634CB1F4">
            <w:r w:rsidRPr="634CB1F4">
              <w:rPr>
                <w:rFonts w:ascii="Calibri" w:eastAsia="Calibri" w:hAnsi="Calibri" w:cs="Calibri"/>
                <w:b/>
                <w:bCs/>
                <w:i/>
                <w:iCs/>
                <w:color w:val="000000" w:themeColor="text1"/>
                <w:sz w:val="16"/>
                <w:szCs w:val="16"/>
              </w:rPr>
              <w:t xml:space="preserve"> 413.547 </w:t>
            </w:r>
          </w:p>
        </w:tc>
        <w:tc>
          <w:tcPr>
            <w:tcW w:w="982" w:type="dxa"/>
            <w:tcBorders>
              <w:top w:val="single" w:sz="4" w:space="0" w:color="auto"/>
              <w:left w:val="nil"/>
              <w:bottom w:val="single" w:sz="4" w:space="0" w:color="auto"/>
              <w:right w:val="nil"/>
            </w:tcBorders>
            <w:vAlign w:val="center"/>
          </w:tcPr>
          <w:p w14:paraId="5DB13C62" w14:textId="108D10F4"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1EC5A20B" w14:textId="554A9152" w:rsidR="634CB1F4" w:rsidRDefault="634CB1F4" w:rsidP="634CB1F4">
            <w:pPr>
              <w:jc w:val="center"/>
            </w:pPr>
            <w:r w:rsidRPr="634CB1F4">
              <w:rPr>
                <w:rFonts w:ascii="Calibri" w:eastAsia="Calibri" w:hAnsi="Calibri" w:cs="Calibri"/>
                <w:i/>
                <w:iCs/>
                <w:color w:val="000000" w:themeColor="text1"/>
                <w:sz w:val="16"/>
                <w:szCs w:val="16"/>
              </w:rPr>
              <w:t xml:space="preserve"> 26,52 </w:t>
            </w:r>
          </w:p>
        </w:tc>
        <w:tc>
          <w:tcPr>
            <w:tcW w:w="982" w:type="dxa"/>
            <w:tcBorders>
              <w:top w:val="single" w:sz="4" w:space="0" w:color="auto"/>
              <w:left w:val="nil"/>
              <w:bottom w:val="single" w:sz="4" w:space="0" w:color="auto"/>
              <w:right w:val="single" w:sz="8" w:space="0" w:color="auto"/>
            </w:tcBorders>
            <w:vAlign w:val="center"/>
          </w:tcPr>
          <w:p w14:paraId="6FE87412" w14:textId="3D3100FB" w:rsidR="634CB1F4" w:rsidRDefault="634CB1F4">
            <w:r w:rsidRPr="634CB1F4">
              <w:rPr>
                <w:rFonts w:ascii="Calibri" w:eastAsia="Calibri" w:hAnsi="Calibri" w:cs="Calibri"/>
                <w:i/>
                <w:iCs/>
                <w:color w:val="000000" w:themeColor="text1"/>
                <w:sz w:val="16"/>
                <w:szCs w:val="16"/>
              </w:rPr>
              <w:t xml:space="preserve"> 1.511,4 </w:t>
            </w:r>
          </w:p>
        </w:tc>
      </w:tr>
      <w:tr w:rsidR="634CB1F4" w14:paraId="0D8B47BB" w14:textId="77777777" w:rsidTr="00304238">
        <w:trPr>
          <w:trHeight w:val="315"/>
        </w:trPr>
        <w:tc>
          <w:tcPr>
            <w:tcW w:w="982" w:type="dxa"/>
            <w:tcBorders>
              <w:top w:val="nil"/>
              <w:left w:val="nil"/>
              <w:bottom w:val="nil"/>
              <w:right w:val="nil"/>
            </w:tcBorders>
            <w:vAlign w:val="center"/>
          </w:tcPr>
          <w:p w14:paraId="71A7B78B" w14:textId="789B3510" w:rsidR="634CB1F4" w:rsidRDefault="634CB1F4" w:rsidP="634CB1F4">
            <w:pPr>
              <w:jc w:val="center"/>
            </w:pPr>
            <w:r w:rsidRPr="634CB1F4">
              <w:rPr>
                <w:rFonts w:ascii="Arial" w:eastAsia="Arial" w:hAnsi="Arial" w:cs="Arial"/>
                <w:b/>
                <w:bCs/>
                <w:color w:val="000000" w:themeColor="text1"/>
                <w:sz w:val="18"/>
                <w:szCs w:val="18"/>
              </w:rPr>
              <w:t>1-ene-98</w:t>
            </w:r>
          </w:p>
        </w:tc>
        <w:tc>
          <w:tcPr>
            <w:tcW w:w="982" w:type="dxa"/>
            <w:tcBorders>
              <w:top w:val="single" w:sz="4" w:space="0" w:color="auto"/>
              <w:left w:val="nil"/>
              <w:bottom w:val="single" w:sz="4" w:space="0" w:color="auto"/>
              <w:right w:val="nil"/>
            </w:tcBorders>
            <w:vAlign w:val="center"/>
          </w:tcPr>
          <w:p w14:paraId="57A1CDE0" w14:textId="69F95FEE" w:rsidR="634CB1F4" w:rsidRDefault="634CB1F4">
            <w:r w:rsidRPr="634CB1F4">
              <w:rPr>
                <w:rFonts w:ascii="Calibri" w:eastAsia="Calibri" w:hAnsi="Calibri" w:cs="Calibri"/>
                <w:i/>
                <w:iCs/>
                <w:color w:val="000000" w:themeColor="text1"/>
                <w:sz w:val="16"/>
                <w:szCs w:val="16"/>
              </w:rPr>
              <w:t>31-ene-98</w:t>
            </w:r>
          </w:p>
        </w:tc>
        <w:tc>
          <w:tcPr>
            <w:tcW w:w="838" w:type="dxa"/>
            <w:tcBorders>
              <w:top w:val="single" w:sz="4" w:space="0" w:color="auto"/>
              <w:left w:val="nil"/>
              <w:bottom w:val="single" w:sz="4" w:space="0" w:color="auto"/>
              <w:right w:val="nil"/>
            </w:tcBorders>
            <w:vAlign w:val="center"/>
          </w:tcPr>
          <w:p w14:paraId="1CD367B5" w14:textId="010C3279" w:rsidR="634CB1F4" w:rsidRDefault="634CB1F4" w:rsidP="634CB1F4">
            <w:pPr>
              <w:jc w:val="center"/>
            </w:pPr>
            <w:r w:rsidRPr="634CB1F4">
              <w:rPr>
                <w:rFonts w:ascii="Calibri" w:eastAsia="Calibri" w:hAnsi="Calibri" w:cs="Calibri"/>
                <w:i/>
                <w:iCs/>
                <w:color w:val="000000" w:themeColor="text1"/>
                <w:sz w:val="16"/>
                <w:szCs w:val="16"/>
              </w:rPr>
              <w:t>30</w:t>
            </w:r>
          </w:p>
        </w:tc>
        <w:tc>
          <w:tcPr>
            <w:tcW w:w="1126" w:type="dxa"/>
            <w:gridSpan w:val="2"/>
            <w:tcBorders>
              <w:top w:val="single" w:sz="4" w:space="0" w:color="auto"/>
              <w:left w:val="nil"/>
              <w:bottom w:val="single" w:sz="4" w:space="0" w:color="auto"/>
              <w:right w:val="single" w:sz="8" w:space="0" w:color="auto"/>
            </w:tcBorders>
            <w:vAlign w:val="center"/>
          </w:tcPr>
          <w:p w14:paraId="2AA02F75" w14:textId="4C27469A" w:rsidR="634CB1F4" w:rsidRPr="00304238" w:rsidRDefault="634CB1F4">
            <w:pPr>
              <w:rPr>
                <w:sz w:val="18"/>
              </w:rPr>
            </w:pPr>
            <w:r w:rsidRPr="00304238">
              <w:rPr>
                <w:rFonts w:ascii="Arial" w:eastAsia="Arial" w:hAnsi="Arial" w:cs="Arial"/>
                <w:color w:val="000000" w:themeColor="text1"/>
                <w:sz w:val="18"/>
                <w:szCs w:val="18"/>
              </w:rPr>
              <w:t xml:space="preserve"> 82.500,00 </w:t>
            </w:r>
          </w:p>
        </w:tc>
        <w:tc>
          <w:tcPr>
            <w:tcW w:w="982" w:type="dxa"/>
            <w:tcBorders>
              <w:top w:val="nil"/>
              <w:left w:val="single" w:sz="12" w:space="0" w:color="auto"/>
              <w:bottom w:val="nil"/>
              <w:right w:val="single" w:sz="8" w:space="0" w:color="auto"/>
            </w:tcBorders>
            <w:vAlign w:val="center"/>
          </w:tcPr>
          <w:p w14:paraId="538A1971" w14:textId="0726EC2B"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5A21E458" w14:textId="29E41E90" w:rsidR="634CB1F4" w:rsidRDefault="634CB1F4">
            <w:r w:rsidRPr="634CB1F4">
              <w:rPr>
                <w:rFonts w:ascii="Calibri" w:eastAsia="Calibri" w:hAnsi="Calibri" w:cs="Calibri"/>
                <w:b/>
                <w:bCs/>
                <w:i/>
                <w:iCs/>
                <w:color w:val="000000" w:themeColor="text1"/>
                <w:sz w:val="16"/>
                <w:szCs w:val="16"/>
              </w:rPr>
              <w:t xml:space="preserve"> 217.988 </w:t>
            </w:r>
          </w:p>
        </w:tc>
        <w:tc>
          <w:tcPr>
            <w:tcW w:w="982" w:type="dxa"/>
            <w:tcBorders>
              <w:top w:val="single" w:sz="4" w:space="0" w:color="auto"/>
              <w:left w:val="nil"/>
              <w:bottom w:val="single" w:sz="4" w:space="0" w:color="auto"/>
              <w:right w:val="nil"/>
            </w:tcBorders>
            <w:vAlign w:val="center"/>
          </w:tcPr>
          <w:p w14:paraId="47789A54" w14:textId="5E44B707"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7B0331E4" w14:textId="38F1ADE4" w:rsidR="634CB1F4" w:rsidRDefault="634CB1F4" w:rsidP="634CB1F4">
            <w:pPr>
              <w:jc w:val="center"/>
            </w:pPr>
            <w:r w:rsidRPr="634CB1F4">
              <w:rPr>
                <w:rFonts w:ascii="Calibri" w:eastAsia="Calibri" w:hAnsi="Calibri" w:cs="Calibri"/>
                <w:i/>
                <w:iCs/>
                <w:color w:val="000000" w:themeColor="text1"/>
                <w:sz w:val="16"/>
                <w:szCs w:val="16"/>
              </w:rPr>
              <w:t xml:space="preserve"> 31,21 </w:t>
            </w:r>
          </w:p>
        </w:tc>
        <w:tc>
          <w:tcPr>
            <w:tcW w:w="982" w:type="dxa"/>
            <w:tcBorders>
              <w:top w:val="single" w:sz="4" w:space="0" w:color="auto"/>
              <w:left w:val="nil"/>
              <w:bottom w:val="single" w:sz="4" w:space="0" w:color="auto"/>
              <w:right w:val="single" w:sz="8" w:space="0" w:color="auto"/>
            </w:tcBorders>
            <w:vAlign w:val="center"/>
          </w:tcPr>
          <w:p w14:paraId="5C2DAA11" w14:textId="481B8778" w:rsidR="634CB1F4" w:rsidRDefault="634CB1F4">
            <w:r w:rsidRPr="634CB1F4">
              <w:rPr>
                <w:rFonts w:ascii="Calibri" w:eastAsia="Calibri" w:hAnsi="Calibri" w:cs="Calibri"/>
                <w:i/>
                <w:iCs/>
                <w:color w:val="000000" w:themeColor="text1"/>
                <w:sz w:val="16"/>
                <w:szCs w:val="16"/>
              </w:rPr>
              <w:t xml:space="preserve"> 1.138,1 </w:t>
            </w:r>
          </w:p>
        </w:tc>
      </w:tr>
      <w:tr w:rsidR="634CB1F4" w14:paraId="239A3412" w14:textId="77777777" w:rsidTr="00304238">
        <w:trPr>
          <w:trHeight w:val="315"/>
        </w:trPr>
        <w:tc>
          <w:tcPr>
            <w:tcW w:w="982" w:type="dxa"/>
            <w:tcBorders>
              <w:top w:val="nil"/>
              <w:left w:val="nil"/>
              <w:bottom w:val="nil"/>
              <w:right w:val="nil"/>
            </w:tcBorders>
            <w:vAlign w:val="center"/>
          </w:tcPr>
          <w:p w14:paraId="62404291" w14:textId="272422D3" w:rsidR="634CB1F4" w:rsidRDefault="634CB1F4" w:rsidP="634CB1F4">
            <w:pPr>
              <w:jc w:val="center"/>
            </w:pPr>
            <w:r w:rsidRPr="634CB1F4">
              <w:rPr>
                <w:rFonts w:ascii="Arial" w:eastAsia="Arial" w:hAnsi="Arial" w:cs="Arial"/>
                <w:b/>
                <w:bCs/>
                <w:color w:val="000000" w:themeColor="text1"/>
                <w:sz w:val="18"/>
                <w:szCs w:val="18"/>
              </w:rPr>
              <w:t>1-feb-98</w:t>
            </w:r>
          </w:p>
        </w:tc>
        <w:tc>
          <w:tcPr>
            <w:tcW w:w="982" w:type="dxa"/>
            <w:tcBorders>
              <w:top w:val="single" w:sz="4" w:space="0" w:color="auto"/>
              <w:left w:val="nil"/>
              <w:bottom w:val="single" w:sz="4" w:space="0" w:color="auto"/>
              <w:right w:val="nil"/>
            </w:tcBorders>
            <w:vAlign w:val="center"/>
          </w:tcPr>
          <w:p w14:paraId="39E0E471" w14:textId="51087CDE" w:rsidR="634CB1F4" w:rsidRDefault="634CB1F4">
            <w:r w:rsidRPr="634CB1F4">
              <w:rPr>
                <w:rFonts w:ascii="Calibri" w:eastAsia="Calibri" w:hAnsi="Calibri" w:cs="Calibri"/>
                <w:i/>
                <w:iCs/>
                <w:color w:val="000000" w:themeColor="text1"/>
                <w:sz w:val="16"/>
                <w:szCs w:val="16"/>
              </w:rPr>
              <w:t>30-nov-98</w:t>
            </w:r>
          </w:p>
        </w:tc>
        <w:tc>
          <w:tcPr>
            <w:tcW w:w="838" w:type="dxa"/>
            <w:tcBorders>
              <w:top w:val="single" w:sz="4" w:space="0" w:color="auto"/>
              <w:left w:val="nil"/>
              <w:bottom w:val="single" w:sz="4" w:space="0" w:color="auto"/>
              <w:right w:val="nil"/>
            </w:tcBorders>
            <w:vAlign w:val="center"/>
          </w:tcPr>
          <w:p w14:paraId="6173CA08" w14:textId="793594D4" w:rsidR="634CB1F4" w:rsidRDefault="634CB1F4" w:rsidP="634CB1F4">
            <w:pPr>
              <w:jc w:val="center"/>
            </w:pPr>
            <w:r w:rsidRPr="634CB1F4">
              <w:rPr>
                <w:rFonts w:ascii="Calibri" w:eastAsia="Calibri" w:hAnsi="Calibri" w:cs="Calibri"/>
                <w:i/>
                <w:iCs/>
                <w:color w:val="000000" w:themeColor="text1"/>
                <w:sz w:val="16"/>
                <w:szCs w:val="16"/>
              </w:rPr>
              <w:t>300</w:t>
            </w:r>
          </w:p>
        </w:tc>
        <w:tc>
          <w:tcPr>
            <w:tcW w:w="1126" w:type="dxa"/>
            <w:gridSpan w:val="2"/>
            <w:tcBorders>
              <w:top w:val="single" w:sz="4" w:space="0" w:color="auto"/>
              <w:left w:val="nil"/>
              <w:bottom w:val="single" w:sz="4" w:space="0" w:color="auto"/>
              <w:right w:val="single" w:sz="8" w:space="0" w:color="auto"/>
            </w:tcBorders>
            <w:vAlign w:val="center"/>
          </w:tcPr>
          <w:p w14:paraId="74873E94" w14:textId="3D4D3905" w:rsidR="634CB1F4" w:rsidRPr="00304238" w:rsidRDefault="634CB1F4">
            <w:pPr>
              <w:rPr>
                <w:sz w:val="18"/>
              </w:rPr>
            </w:pPr>
            <w:r w:rsidRPr="00304238">
              <w:rPr>
                <w:rFonts w:ascii="Arial" w:eastAsia="Arial" w:hAnsi="Arial" w:cs="Arial"/>
                <w:color w:val="000000" w:themeColor="text1"/>
                <w:sz w:val="18"/>
                <w:szCs w:val="18"/>
              </w:rPr>
              <w:t xml:space="preserve">225.000,00 </w:t>
            </w:r>
          </w:p>
        </w:tc>
        <w:tc>
          <w:tcPr>
            <w:tcW w:w="982" w:type="dxa"/>
            <w:tcBorders>
              <w:top w:val="nil"/>
              <w:left w:val="single" w:sz="12" w:space="0" w:color="auto"/>
              <w:bottom w:val="nil"/>
              <w:right w:val="single" w:sz="8" w:space="0" w:color="auto"/>
            </w:tcBorders>
            <w:vAlign w:val="center"/>
          </w:tcPr>
          <w:p w14:paraId="1BB41175" w14:textId="659373CC"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521796B6" w14:textId="41420B38" w:rsidR="634CB1F4" w:rsidRDefault="634CB1F4">
            <w:r w:rsidRPr="634CB1F4">
              <w:rPr>
                <w:rFonts w:ascii="Calibri" w:eastAsia="Calibri" w:hAnsi="Calibri" w:cs="Calibri"/>
                <w:b/>
                <w:bCs/>
                <w:i/>
                <w:iCs/>
                <w:color w:val="000000" w:themeColor="text1"/>
                <w:sz w:val="16"/>
                <w:szCs w:val="16"/>
              </w:rPr>
              <w:t xml:space="preserve"> 594.512 </w:t>
            </w:r>
          </w:p>
        </w:tc>
        <w:tc>
          <w:tcPr>
            <w:tcW w:w="982" w:type="dxa"/>
            <w:tcBorders>
              <w:top w:val="single" w:sz="4" w:space="0" w:color="auto"/>
              <w:left w:val="nil"/>
              <w:bottom w:val="single" w:sz="4" w:space="0" w:color="auto"/>
              <w:right w:val="nil"/>
            </w:tcBorders>
            <w:vAlign w:val="center"/>
          </w:tcPr>
          <w:p w14:paraId="799466AD" w14:textId="36C466F5"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345B6035" w14:textId="4FEDBC09" w:rsidR="634CB1F4" w:rsidRDefault="634CB1F4" w:rsidP="634CB1F4">
            <w:pPr>
              <w:jc w:val="center"/>
            </w:pPr>
            <w:r w:rsidRPr="634CB1F4">
              <w:rPr>
                <w:rFonts w:ascii="Calibri" w:eastAsia="Calibri" w:hAnsi="Calibri" w:cs="Calibri"/>
                <w:i/>
                <w:iCs/>
                <w:color w:val="000000" w:themeColor="text1"/>
                <w:sz w:val="16"/>
                <w:szCs w:val="16"/>
              </w:rPr>
              <w:t xml:space="preserve"> 31,21 </w:t>
            </w:r>
          </w:p>
        </w:tc>
        <w:tc>
          <w:tcPr>
            <w:tcW w:w="982" w:type="dxa"/>
            <w:tcBorders>
              <w:top w:val="single" w:sz="4" w:space="0" w:color="auto"/>
              <w:left w:val="nil"/>
              <w:bottom w:val="single" w:sz="4" w:space="0" w:color="auto"/>
              <w:right w:val="single" w:sz="8" w:space="0" w:color="auto"/>
            </w:tcBorders>
            <w:vAlign w:val="center"/>
          </w:tcPr>
          <w:p w14:paraId="7A8EAE00" w14:textId="5E9FFB1C" w:rsidR="634CB1F4" w:rsidRDefault="634CB1F4">
            <w:r w:rsidRPr="634CB1F4">
              <w:rPr>
                <w:rFonts w:ascii="Calibri" w:eastAsia="Calibri" w:hAnsi="Calibri" w:cs="Calibri"/>
                <w:i/>
                <w:iCs/>
                <w:color w:val="000000" w:themeColor="text1"/>
                <w:sz w:val="16"/>
                <w:szCs w:val="16"/>
              </w:rPr>
              <w:t xml:space="preserve"> 31.039,6 </w:t>
            </w:r>
          </w:p>
        </w:tc>
      </w:tr>
      <w:tr w:rsidR="634CB1F4" w14:paraId="6A046CEB" w14:textId="77777777" w:rsidTr="00304238">
        <w:trPr>
          <w:trHeight w:val="315"/>
        </w:trPr>
        <w:tc>
          <w:tcPr>
            <w:tcW w:w="982" w:type="dxa"/>
            <w:tcBorders>
              <w:top w:val="single" w:sz="4" w:space="0" w:color="auto"/>
              <w:left w:val="nil"/>
              <w:bottom w:val="single" w:sz="4" w:space="0" w:color="auto"/>
              <w:right w:val="nil"/>
            </w:tcBorders>
            <w:vAlign w:val="center"/>
          </w:tcPr>
          <w:p w14:paraId="7B339108" w14:textId="25F94574" w:rsidR="634CB1F4" w:rsidRDefault="634CB1F4" w:rsidP="634CB1F4">
            <w:pPr>
              <w:jc w:val="center"/>
            </w:pPr>
            <w:r w:rsidRPr="634CB1F4">
              <w:rPr>
                <w:rFonts w:ascii="Arial" w:eastAsia="Arial" w:hAnsi="Arial" w:cs="Arial"/>
                <w:color w:val="000000" w:themeColor="text1"/>
                <w:sz w:val="18"/>
                <w:szCs w:val="18"/>
              </w:rPr>
              <w:t>1-dic-98</w:t>
            </w:r>
          </w:p>
        </w:tc>
        <w:tc>
          <w:tcPr>
            <w:tcW w:w="982" w:type="dxa"/>
            <w:tcBorders>
              <w:top w:val="single" w:sz="4" w:space="0" w:color="auto"/>
              <w:left w:val="nil"/>
              <w:bottom w:val="single" w:sz="4" w:space="0" w:color="auto"/>
              <w:right w:val="nil"/>
            </w:tcBorders>
            <w:vAlign w:val="center"/>
          </w:tcPr>
          <w:p w14:paraId="4620D06D" w14:textId="6F6182F2" w:rsidR="634CB1F4" w:rsidRDefault="634CB1F4">
            <w:r w:rsidRPr="634CB1F4">
              <w:rPr>
                <w:rFonts w:ascii="Calibri" w:eastAsia="Calibri" w:hAnsi="Calibri" w:cs="Calibri"/>
                <w:i/>
                <w:iCs/>
                <w:color w:val="000000" w:themeColor="text1"/>
                <w:sz w:val="16"/>
                <w:szCs w:val="16"/>
              </w:rPr>
              <w:t>31-dic-98</w:t>
            </w:r>
          </w:p>
        </w:tc>
        <w:tc>
          <w:tcPr>
            <w:tcW w:w="838" w:type="dxa"/>
            <w:tcBorders>
              <w:top w:val="single" w:sz="4" w:space="0" w:color="auto"/>
              <w:left w:val="nil"/>
              <w:bottom w:val="single" w:sz="4" w:space="0" w:color="auto"/>
              <w:right w:val="nil"/>
            </w:tcBorders>
            <w:vAlign w:val="center"/>
          </w:tcPr>
          <w:p w14:paraId="02B3B19F" w14:textId="7A847DA0" w:rsidR="634CB1F4" w:rsidRDefault="634CB1F4" w:rsidP="634CB1F4">
            <w:pPr>
              <w:jc w:val="center"/>
            </w:pPr>
            <w:r w:rsidRPr="634CB1F4">
              <w:rPr>
                <w:rFonts w:ascii="Calibri" w:eastAsia="Calibri" w:hAnsi="Calibri" w:cs="Calibri"/>
                <w:i/>
                <w:iCs/>
                <w:color w:val="000000" w:themeColor="text1"/>
                <w:sz w:val="16"/>
                <w:szCs w:val="16"/>
              </w:rPr>
              <w:t>19</w:t>
            </w:r>
          </w:p>
        </w:tc>
        <w:tc>
          <w:tcPr>
            <w:tcW w:w="1126" w:type="dxa"/>
            <w:gridSpan w:val="2"/>
            <w:tcBorders>
              <w:top w:val="single" w:sz="4" w:space="0" w:color="auto"/>
              <w:left w:val="nil"/>
              <w:bottom w:val="single" w:sz="4" w:space="0" w:color="auto"/>
              <w:right w:val="single" w:sz="8" w:space="0" w:color="auto"/>
            </w:tcBorders>
            <w:vAlign w:val="center"/>
          </w:tcPr>
          <w:p w14:paraId="1D73C123" w14:textId="56914C68" w:rsidR="634CB1F4" w:rsidRPr="00304238" w:rsidRDefault="634CB1F4">
            <w:pPr>
              <w:rPr>
                <w:sz w:val="18"/>
              </w:rPr>
            </w:pPr>
            <w:r w:rsidRPr="00304238">
              <w:rPr>
                <w:rFonts w:ascii="Arial" w:eastAsia="Arial" w:hAnsi="Arial" w:cs="Arial"/>
                <w:color w:val="000000" w:themeColor="text1"/>
                <w:sz w:val="18"/>
                <w:szCs w:val="18"/>
              </w:rPr>
              <w:t xml:space="preserve">142.500,00 </w:t>
            </w:r>
          </w:p>
        </w:tc>
        <w:tc>
          <w:tcPr>
            <w:tcW w:w="982" w:type="dxa"/>
            <w:tcBorders>
              <w:top w:val="nil"/>
              <w:left w:val="single" w:sz="12" w:space="0" w:color="auto"/>
              <w:bottom w:val="nil"/>
              <w:right w:val="single" w:sz="8" w:space="0" w:color="auto"/>
            </w:tcBorders>
            <w:vAlign w:val="center"/>
          </w:tcPr>
          <w:p w14:paraId="377C4F20" w14:textId="3074A53F"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45BDFAF1" w14:textId="5A7995CD" w:rsidR="634CB1F4" w:rsidRDefault="634CB1F4">
            <w:r w:rsidRPr="634CB1F4">
              <w:rPr>
                <w:rFonts w:ascii="Calibri" w:eastAsia="Calibri" w:hAnsi="Calibri" w:cs="Calibri"/>
                <w:b/>
                <w:bCs/>
                <w:i/>
                <w:iCs/>
                <w:color w:val="000000" w:themeColor="text1"/>
                <w:sz w:val="16"/>
                <w:szCs w:val="16"/>
              </w:rPr>
              <w:t xml:space="preserve"> 376.524 </w:t>
            </w:r>
          </w:p>
        </w:tc>
        <w:tc>
          <w:tcPr>
            <w:tcW w:w="982" w:type="dxa"/>
            <w:tcBorders>
              <w:top w:val="single" w:sz="4" w:space="0" w:color="auto"/>
              <w:left w:val="nil"/>
              <w:bottom w:val="single" w:sz="4" w:space="0" w:color="auto"/>
              <w:right w:val="nil"/>
            </w:tcBorders>
            <w:vAlign w:val="center"/>
          </w:tcPr>
          <w:p w14:paraId="088A7556" w14:textId="7FF31EE6"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30D18DB" w14:textId="577121A8" w:rsidR="634CB1F4" w:rsidRDefault="634CB1F4" w:rsidP="634CB1F4">
            <w:pPr>
              <w:jc w:val="center"/>
            </w:pPr>
            <w:r w:rsidRPr="634CB1F4">
              <w:rPr>
                <w:rFonts w:ascii="Calibri" w:eastAsia="Calibri" w:hAnsi="Calibri" w:cs="Calibri"/>
                <w:i/>
                <w:iCs/>
                <w:color w:val="000000" w:themeColor="text1"/>
                <w:sz w:val="16"/>
                <w:szCs w:val="16"/>
              </w:rPr>
              <w:t xml:space="preserve"> 31,21 </w:t>
            </w:r>
          </w:p>
        </w:tc>
        <w:tc>
          <w:tcPr>
            <w:tcW w:w="982" w:type="dxa"/>
            <w:tcBorders>
              <w:top w:val="single" w:sz="4" w:space="0" w:color="auto"/>
              <w:left w:val="nil"/>
              <w:bottom w:val="single" w:sz="4" w:space="0" w:color="auto"/>
              <w:right w:val="single" w:sz="8" w:space="0" w:color="auto"/>
            </w:tcBorders>
            <w:vAlign w:val="center"/>
          </w:tcPr>
          <w:p w14:paraId="31F577C5" w14:textId="4D83889C" w:rsidR="634CB1F4" w:rsidRDefault="634CB1F4">
            <w:r w:rsidRPr="634CB1F4">
              <w:rPr>
                <w:rFonts w:ascii="Calibri" w:eastAsia="Calibri" w:hAnsi="Calibri" w:cs="Calibri"/>
                <w:i/>
                <w:iCs/>
                <w:color w:val="000000" w:themeColor="text1"/>
                <w:sz w:val="16"/>
                <w:szCs w:val="16"/>
              </w:rPr>
              <w:t xml:space="preserve"> 1.245,0 </w:t>
            </w:r>
          </w:p>
        </w:tc>
      </w:tr>
      <w:tr w:rsidR="634CB1F4" w14:paraId="4222747D" w14:textId="77777777" w:rsidTr="00304238">
        <w:trPr>
          <w:trHeight w:val="315"/>
        </w:trPr>
        <w:tc>
          <w:tcPr>
            <w:tcW w:w="982" w:type="dxa"/>
            <w:tcBorders>
              <w:top w:val="single" w:sz="4" w:space="0" w:color="auto"/>
              <w:left w:val="nil"/>
              <w:bottom w:val="nil"/>
              <w:right w:val="nil"/>
            </w:tcBorders>
            <w:vAlign w:val="center"/>
          </w:tcPr>
          <w:p w14:paraId="4B12E1F1" w14:textId="11379767" w:rsidR="634CB1F4" w:rsidRDefault="634CB1F4" w:rsidP="634CB1F4">
            <w:pPr>
              <w:jc w:val="center"/>
            </w:pPr>
            <w:r w:rsidRPr="634CB1F4">
              <w:rPr>
                <w:rFonts w:ascii="Arial" w:eastAsia="Arial" w:hAnsi="Arial" w:cs="Arial"/>
                <w:b/>
                <w:bCs/>
                <w:color w:val="000000" w:themeColor="text1"/>
                <w:sz w:val="18"/>
                <w:szCs w:val="18"/>
              </w:rPr>
              <w:t>1-feb-99</w:t>
            </w:r>
          </w:p>
        </w:tc>
        <w:tc>
          <w:tcPr>
            <w:tcW w:w="982" w:type="dxa"/>
            <w:tcBorders>
              <w:top w:val="single" w:sz="4" w:space="0" w:color="auto"/>
              <w:left w:val="nil"/>
              <w:bottom w:val="single" w:sz="4" w:space="0" w:color="auto"/>
              <w:right w:val="nil"/>
            </w:tcBorders>
            <w:vAlign w:val="center"/>
          </w:tcPr>
          <w:p w14:paraId="3791291D" w14:textId="629E8A35" w:rsidR="634CB1F4" w:rsidRDefault="634CB1F4">
            <w:r w:rsidRPr="634CB1F4">
              <w:rPr>
                <w:rFonts w:ascii="Calibri" w:eastAsia="Calibri" w:hAnsi="Calibri" w:cs="Calibri"/>
                <w:i/>
                <w:iCs/>
                <w:color w:val="000000" w:themeColor="text1"/>
                <w:sz w:val="16"/>
                <w:szCs w:val="16"/>
              </w:rPr>
              <w:t>31-</w:t>
            </w:r>
            <w:proofErr w:type="spellStart"/>
            <w:r w:rsidRPr="634CB1F4">
              <w:rPr>
                <w:rFonts w:ascii="Calibri" w:eastAsia="Calibri" w:hAnsi="Calibri" w:cs="Calibri"/>
                <w:i/>
                <w:iCs/>
                <w:color w:val="000000" w:themeColor="text1"/>
                <w:sz w:val="16"/>
                <w:szCs w:val="16"/>
              </w:rPr>
              <w:t>ago</w:t>
            </w:r>
            <w:proofErr w:type="spellEnd"/>
            <w:r w:rsidRPr="634CB1F4">
              <w:rPr>
                <w:rFonts w:ascii="Calibri" w:eastAsia="Calibri" w:hAnsi="Calibri" w:cs="Calibri"/>
                <w:i/>
                <w:iCs/>
                <w:color w:val="000000" w:themeColor="text1"/>
                <w:sz w:val="16"/>
                <w:szCs w:val="16"/>
              </w:rPr>
              <w:t>-99</w:t>
            </w:r>
          </w:p>
        </w:tc>
        <w:tc>
          <w:tcPr>
            <w:tcW w:w="838" w:type="dxa"/>
            <w:tcBorders>
              <w:top w:val="single" w:sz="4" w:space="0" w:color="auto"/>
              <w:left w:val="nil"/>
              <w:bottom w:val="single" w:sz="4" w:space="0" w:color="auto"/>
              <w:right w:val="nil"/>
            </w:tcBorders>
            <w:vAlign w:val="center"/>
          </w:tcPr>
          <w:p w14:paraId="7C2F63F4" w14:textId="3D5867ED" w:rsidR="634CB1F4" w:rsidRDefault="634CB1F4" w:rsidP="634CB1F4">
            <w:pPr>
              <w:jc w:val="center"/>
            </w:pPr>
            <w:r w:rsidRPr="634CB1F4">
              <w:rPr>
                <w:rFonts w:ascii="Calibri" w:eastAsia="Calibri" w:hAnsi="Calibri" w:cs="Calibri"/>
                <w:i/>
                <w:iCs/>
                <w:color w:val="000000" w:themeColor="text1"/>
                <w:sz w:val="16"/>
                <w:szCs w:val="16"/>
              </w:rPr>
              <w:t>210</w:t>
            </w:r>
          </w:p>
        </w:tc>
        <w:tc>
          <w:tcPr>
            <w:tcW w:w="1126" w:type="dxa"/>
            <w:gridSpan w:val="2"/>
            <w:tcBorders>
              <w:top w:val="single" w:sz="4" w:space="0" w:color="auto"/>
              <w:left w:val="nil"/>
              <w:bottom w:val="single" w:sz="4" w:space="0" w:color="auto"/>
              <w:right w:val="single" w:sz="8" w:space="0" w:color="auto"/>
            </w:tcBorders>
            <w:vAlign w:val="center"/>
          </w:tcPr>
          <w:p w14:paraId="3778F5EB" w14:textId="1F2D1896" w:rsidR="634CB1F4" w:rsidRPr="00304238" w:rsidRDefault="634CB1F4">
            <w:pPr>
              <w:rPr>
                <w:sz w:val="18"/>
              </w:rPr>
            </w:pPr>
            <w:r w:rsidRPr="00304238">
              <w:rPr>
                <w:rFonts w:ascii="Arial" w:eastAsia="Arial" w:hAnsi="Arial" w:cs="Arial"/>
                <w:color w:val="000000" w:themeColor="text1"/>
                <w:sz w:val="18"/>
                <w:szCs w:val="18"/>
              </w:rPr>
              <w:t xml:space="preserve">260.100,00 </w:t>
            </w:r>
          </w:p>
        </w:tc>
        <w:tc>
          <w:tcPr>
            <w:tcW w:w="982" w:type="dxa"/>
            <w:tcBorders>
              <w:top w:val="nil"/>
              <w:left w:val="single" w:sz="12" w:space="0" w:color="auto"/>
              <w:bottom w:val="nil"/>
              <w:right w:val="single" w:sz="8" w:space="0" w:color="auto"/>
            </w:tcBorders>
            <w:vAlign w:val="center"/>
          </w:tcPr>
          <w:p w14:paraId="7CB531C5" w14:textId="01C66094"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19C49EE1" w14:textId="56F3B15A" w:rsidR="634CB1F4" w:rsidRDefault="634CB1F4">
            <w:r w:rsidRPr="634CB1F4">
              <w:rPr>
                <w:rFonts w:ascii="Calibri" w:eastAsia="Calibri" w:hAnsi="Calibri" w:cs="Calibri"/>
                <w:b/>
                <w:bCs/>
                <w:i/>
                <w:iCs/>
                <w:color w:val="000000" w:themeColor="text1"/>
                <w:sz w:val="16"/>
                <w:szCs w:val="16"/>
              </w:rPr>
              <w:t xml:space="preserve"> 588.892 </w:t>
            </w:r>
          </w:p>
        </w:tc>
        <w:tc>
          <w:tcPr>
            <w:tcW w:w="982" w:type="dxa"/>
            <w:tcBorders>
              <w:top w:val="single" w:sz="4" w:space="0" w:color="auto"/>
              <w:left w:val="nil"/>
              <w:bottom w:val="single" w:sz="4" w:space="0" w:color="auto"/>
              <w:right w:val="nil"/>
            </w:tcBorders>
            <w:vAlign w:val="center"/>
          </w:tcPr>
          <w:p w14:paraId="11B359A8" w14:textId="39A9728A"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E583BF7" w14:textId="4EBA365D" w:rsidR="634CB1F4" w:rsidRDefault="634CB1F4" w:rsidP="634CB1F4">
            <w:pPr>
              <w:jc w:val="center"/>
            </w:pPr>
            <w:r w:rsidRPr="634CB1F4">
              <w:rPr>
                <w:rFonts w:ascii="Calibri" w:eastAsia="Calibri" w:hAnsi="Calibri" w:cs="Calibri"/>
                <w:i/>
                <w:iCs/>
                <w:color w:val="000000" w:themeColor="text1"/>
                <w:sz w:val="16"/>
                <w:szCs w:val="16"/>
              </w:rPr>
              <w:t xml:space="preserve"> 36,42 </w:t>
            </w:r>
          </w:p>
        </w:tc>
        <w:tc>
          <w:tcPr>
            <w:tcW w:w="982" w:type="dxa"/>
            <w:tcBorders>
              <w:top w:val="single" w:sz="4" w:space="0" w:color="auto"/>
              <w:left w:val="nil"/>
              <w:bottom w:val="single" w:sz="4" w:space="0" w:color="auto"/>
              <w:right w:val="single" w:sz="8" w:space="0" w:color="auto"/>
            </w:tcBorders>
            <w:vAlign w:val="center"/>
          </w:tcPr>
          <w:p w14:paraId="3AA0A888" w14:textId="6772C453" w:rsidR="634CB1F4" w:rsidRDefault="634CB1F4">
            <w:r w:rsidRPr="634CB1F4">
              <w:rPr>
                <w:rFonts w:ascii="Calibri" w:eastAsia="Calibri" w:hAnsi="Calibri" w:cs="Calibri"/>
                <w:i/>
                <w:iCs/>
                <w:color w:val="000000" w:themeColor="text1"/>
                <w:sz w:val="16"/>
                <w:szCs w:val="16"/>
              </w:rPr>
              <w:t xml:space="preserve"> 21.522,3 </w:t>
            </w:r>
          </w:p>
        </w:tc>
      </w:tr>
      <w:tr w:rsidR="634CB1F4" w14:paraId="684F7FE5" w14:textId="77777777" w:rsidTr="00304238">
        <w:trPr>
          <w:trHeight w:val="315"/>
        </w:trPr>
        <w:tc>
          <w:tcPr>
            <w:tcW w:w="982" w:type="dxa"/>
            <w:tcBorders>
              <w:top w:val="nil"/>
              <w:left w:val="nil"/>
              <w:bottom w:val="nil"/>
              <w:right w:val="nil"/>
            </w:tcBorders>
            <w:vAlign w:val="center"/>
          </w:tcPr>
          <w:p w14:paraId="538EAC6E" w14:textId="295D8E2C" w:rsidR="634CB1F4" w:rsidRDefault="634CB1F4" w:rsidP="00304238">
            <w:pPr>
              <w:jc w:val="center"/>
            </w:pPr>
            <w:r w:rsidRPr="634CB1F4">
              <w:rPr>
                <w:rFonts w:ascii="Arial" w:eastAsia="Arial" w:hAnsi="Arial" w:cs="Arial"/>
                <w:b/>
                <w:bCs/>
                <w:color w:val="000000" w:themeColor="text1"/>
                <w:sz w:val="18"/>
                <w:szCs w:val="18"/>
              </w:rPr>
              <w:t>1-</w:t>
            </w:r>
            <w:proofErr w:type="spellStart"/>
            <w:r w:rsidRPr="634CB1F4">
              <w:rPr>
                <w:rFonts w:ascii="Arial" w:eastAsia="Arial" w:hAnsi="Arial" w:cs="Arial"/>
                <w:b/>
                <w:bCs/>
                <w:color w:val="000000" w:themeColor="text1"/>
                <w:sz w:val="18"/>
                <w:szCs w:val="18"/>
              </w:rPr>
              <w:t>sep</w:t>
            </w:r>
            <w:proofErr w:type="spellEnd"/>
            <w:r w:rsidRPr="634CB1F4">
              <w:rPr>
                <w:rFonts w:ascii="Arial" w:eastAsia="Arial" w:hAnsi="Arial" w:cs="Arial"/>
                <w:b/>
                <w:bCs/>
                <w:color w:val="000000" w:themeColor="text1"/>
                <w:sz w:val="18"/>
                <w:szCs w:val="18"/>
              </w:rPr>
              <w:t>-99</w:t>
            </w:r>
          </w:p>
        </w:tc>
        <w:tc>
          <w:tcPr>
            <w:tcW w:w="982" w:type="dxa"/>
            <w:tcBorders>
              <w:top w:val="single" w:sz="4" w:space="0" w:color="auto"/>
              <w:left w:val="nil"/>
              <w:bottom w:val="single" w:sz="4" w:space="0" w:color="auto"/>
              <w:right w:val="nil"/>
            </w:tcBorders>
            <w:vAlign w:val="center"/>
          </w:tcPr>
          <w:p w14:paraId="41334105" w14:textId="511086F6" w:rsidR="634CB1F4" w:rsidRDefault="634CB1F4">
            <w:r w:rsidRPr="634CB1F4">
              <w:rPr>
                <w:rFonts w:ascii="Calibri" w:eastAsia="Calibri" w:hAnsi="Calibri" w:cs="Calibri"/>
                <w:i/>
                <w:iCs/>
                <w:color w:val="000000" w:themeColor="text1"/>
                <w:sz w:val="16"/>
                <w:szCs w:val="16"/>
              </w:rPr>
              <w:t>30-sept-99</w:t>
            </w:r>
          </w:p>
        </w:tc>
        <w:tc>
          <w:tcPr>
            <w:tcW w:w="838" w:type="dxa"/>
            <w:tcBorders>
              <w:top w:val="single" w:sz="4" w:space="0" w:color="auto"/>
              <w:left w:val="nil"/>
              <w:bottom w:val="single" w:sz="4" w:space="0" w:color="auto"/>
              <w:right w:val="nil"/>
            </w:tcBorders>
            <w:vAlign w:val="center"/>
          </w:tcPr>
          <w:p w14:paraId="5C41CCF3" w14:textId="4161593F" w:rsidR="634CB1F4" w:rsidRDefault="634CB1F4" w:rsidP="634CB1F4">
            <w:pPr>
              <w:jc w:val="center"/>
            </w:pPr>
            <w:r w:rsidRPr="634CB1F4">
              <w:rPr>
                <w:rFonts w:ascii="Calibri" w:eastAsia="Calibri" w:hAnsi="Calibri" w:cs="Calibri"/>
                <w:i/>
                <w:iCs/>
                <w:color w:val="000000" w:themeColor="text1"/>
                <w:sz w:val="16"/>
                <w:szCs w:val="16"/>
              </w:rPr>
              <w:t>25</w:t>
            </w:r>
          </w:p>
        </w:tc>
        <w:tc>
          <w:tcPr>
            <w:tcW w:w="1126" w:type="dxa"/>
            <w:gridSpan w:val="2"/>
            <w:tcBorders>
              <w:top w:val="single" w:sz="4" w:space="0" w:color="auto"/>
              <w:left w:val="nil"/>
              <w:bottom w:val="single" w:sz="4" w:space="0" w:color="auto"/>
              <w:right w:val="single" w:sz="8" w:space="0" w:color="auto"/>
            </w:tcBorders>
            <w:vAlign w:val="center"/>
          </w:tcPr>
          <w:p w14:paraId="19B13B98" w14:textId="2014EE10" w:rsidR="634CB1F4" w:rsidRPr="00304238" w:rsidRDefault="634CB1F4">
            <w:pPr>
              <w:rPr>
                <w:sz w:val="18"/>
              </w:rPr>
            </w:pPr>
            <w:r w:rsidRPr="00304238">
              <w:rPr>
                <w:rFonts w:ascii="Arial" w:eastAsia="Arial" w:hAnsi="Arial" w:cs="Arial"/>
                <w:color w:val="000000" w:themeColor="text1"/>
                <w:sz w:val="18"/>
                <w:szCs w:val="18"/>
              </w:rPr>
              <w:t xml:space="preserve">260.100,00 </w:t>
            </w:r>
          </w:p>
        </w:tc>
        <w:tc>
          <w:tcPr>
            <w:tcW w:w="982" w:type="dxa"/>
            <w:tcBorders>
              <w:top w:val="nil"/>
              <w:left w:val="single" w:sz="12" w:space="0" w:color="auto"/>
              <w:bottom w:val="nil"/>
              <w:right w:val="single" w:sz="8" w:space="0" w:color="auto"/>
            </w:tcBorders>
            <w:vAlign w:val="center"/>
          </w:tcPr>
          <w:p w14:paraId="20E00A19" w14:textId="5AF7197A"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55AA2A7E" w14:textId="0760B0CF" w:rsidR="634CB1F4" w:rsidRDefault="634CB1F4">
            <w:r w:rsidRPr="634CB1F4">
              <w:rPr>
                <w:rFonts w:ascii="Calibri" w:eastAsia="Calibri" w:hAnsi="Calibri" w:cs="Calibri"/>
                <w:b/>
                <w:bCs/>
                <w:i/>
                <w:iCs/>
                <w:color w:val="000000" w:themeColor="text1"/>
                <w:sz w:val="16"/>
                <w:szCs w:val="16"/>
              </w:rPr>
              <w:t xml:space="preserve"> 588.892 </w:t>
            </w:r>
          </w:p>
        </w:tc>
        <w:tc>
          <w:tcPr>
            <w:tcW w:w="982" w:type="dxa"/>
            <w:tcBorders>
              <w:top w:val="single" w:sz="4" w:space="0" w:color="auto"/>
              <w:left w:val="nil"/>
              <w:bottom w:val="single" w:sz="4" w:space="0" w:color="auto"/>
              <w:right w:val="nil"/>
            </w:tcBorders>
            <w:vAlign w:val="center"/>
          </w:tcPr>
          <w:p w14:paraId="0BB37274" w14:textId="2898F759"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3A473B77" w14:textId="426C7E9A" w:rsidR="634CB1F4" w:rsidRDefault="634CB1F4" w:rsidP="634CB1F4">
            <w:pPr>
              <w:jc w:val="center"/>
            </w:pPr>
            <w:r w:rsidRPr="634CB1F4">
              <w:rPr>
                <w:rFonts w:ascii="Calibri" w:eastAsia="Calibri" w:hAnsi="Calibri" w:cs="Calibri"/>
                <w:i/>
                <w:iCs/>
                <w:color w:val="000000" w:themeColor="text1"/>
                <w:sz w:val="16"/>
                <w:szCs w:val="16"/>
              </w:rPr>
              <w:t xml:space="preserve"> 36,42 </w:t>
            </w:r>
          </w:p>
        </w:tc>
        <w:tc>
          <w:tcPr>
            <w:tcW w:w="982" w:type="dxa"/>
            <w:tcBorders>
              <w:top w:val="single" w:sz="4" w:space="0" w:color="auto"/>
              <w:left w:val="nil"/>
              <w:bottom w:val="single" w:sz="4" w:space="0" w:color="auto"/>
              <w:right w:val="single" w:sz="8" w:space="0" w:color="auto"/>
            </w:tcBorders>
            <w:vAlign w:val="center"/>
          </w:tcPr>
          <w:p w14:paraId="6865BF29" w14:textId="284AA719" w:rsidR="634CB1F4" w:rsidRDefault="634CB1F4">
            <w:r w:rsidRPr="634CB1F4">
              <w:rPr>
                <w:rFonts w:ascii="Calibri" w:eastAsia="Calibri" w:hAnsi="Calibri" w:cs="Calibri"/>
                <w:i/>
                <w:iCs/>
                <w:color w:val="000000" w:themeColor="text1"/>
                <w:sz w:val="16"/>
                <w:szCs w:val="16"/>
              </w:rPr>
              <w:t xml:space="preserve"> 2.562,2 </w:t>
            </w:r>
          </w:p>
        </w:tc>
      </w:tr>
      <w:tr w:rsidR="634CB1F4" w14:paraId="63A78086" w14:textId="77777777" w:rsidTr="00304238">
        <w:trPr>
          <w:trHeight w:val="315"/>
        </w:trPr>
        <w:tc>
          <w:tcPr>
            <w:tcW w:w="982" w:type="dxa"/>
            <w:tcBorders>
              <w:top w:val="nil"/>
              <w:left w:val="nil"/>
              <w:bottom w:val="nil"/>
              <w:right w:val="nil"/>
            </w:tcBorders>
            <w:vAlign w:val="center"/>
          </w:tcPr>
          <w:p w14:paraId="7ED32655" w14:textId="577A0480" w:rsidR="634CB1F4" w:rsidRDefault="634CB1F4" w:rsidP="634CB1F4">
            <w:pPr>
              <w:jc w:val="center"/>
            </w:pPr>
            <w:r w:rsidRPr="634CB1F4">
              <w:rPr>
                <w:rFonts w:ascii="Arial" w:eastAsia="Arial" w:hAnsi="Arial" w:cs="Arial"/>
                <w:b/>
                <w:bCs/>
                <w:color w:val="000000" w:themeColor="text1"/>
                <w:sz w:val="18"/>
                <w:szCs w:val="18"/>
              </w:rPr>
              <w:t>1-oct-99</w:t>
            </w:r>
          </w:p>
        </w:tc>
        <w:tc>
          <w:tcPr>
            <w:tcW w:w="982" w:type="dxa"/>
            <w:tcBorders>
              <w:top w:val="single" w:sz="4" w:space="0" w:color="auto"/>
              <w:left w:val="nil"/>
              <w:bottom w:val="single" w:sz="4" w:space="0" w:color="auto"/>
              <w:right w:val="nil"/>
            </w:tcBorders>
            <w:vAlign w:val="center"/>
          </w:tcPr>
          <w:p w14:paraId="33920C6B" w14:textId="7B817267" w:rsidR="634CB1F4" w:rsidRDefault="634CB1F4">
            <w:r w:rsidRPr="634CB1F4">
              <w:rPr>
                <w:rFonts w:ascii="Calibri" w:eastAsia="Calibri" w:hAnsi="Calibri" w:cs="Calibri"/>
                <w:i/>
                <w:iCs/>
                <w:color w:val="000000" w:themeColor="text1"/>
                <w:sz w:val="16"/>
                <w:szCs w:val="16"/>
              </w:rPr>
              <w:t>30-nov-99</w:t>
            </w:r>
          </w:p>
        </w:tc>
        <w:tc>
          <w:tcPr>
            <w:tcW w:w="838" w:type="dxa"/>
            <w:tcBorders>
              <w:top w:val="single" w:sz="4" w:space="0" w:color="auto"/>
              <w:left w:val="nil"/>
              <w:bottom w:val="single" w:sz="4" w:space="0" w:color="auto"/>
              <w:right w:val="nil"/>
            </w:tcBorders>
            <w:vAlign w:val="center"/>
          </w:tcPr>
          <w:p w14:paraId="258ACF8F" w14:textId="7BB965BD" w:rsidR="634CB1F4" w:rsidRDefault="634CB1F4" w:rsidP="634CB1F4">
            <w:pPr>
              <w:jc w:val="center"/>
            </w:pPr>
            <w:r w:rsidRPr="634CB1F4">
              <w:rPr>
                <w:rFonts w:ascii="Calibri" w:eastAsia="Calibri" w:hAnsi="Calibri" w:cs="Calibri"/>
                <w:i/>
                <w:iCs/>
                <w:color w:val="000000" w:themeColor="text1"/>
                <w:sz w:val="16"/>
                <w:szCs w:val="16"/>
              </w:rPr>
              <w:t>60</w:t>
            </w:r>
          </w:p>
        </w:tc>
        <w:tc>
          <w:tcPr>
            <w:tcW w:w="1126" w:type="dxa"/>
            <w:gridSpan w:val="2"/>
            <w:tcBorders>
              <w:top w:val="single" w:sz="4" w:space="0" w:color="auto"/>
              <w:left w:val="nil"/>
              <w:bottom w:val="single" w:sz="4" w:space="0" w:color="auto"/>
              <w:right w:val="single" w:sz="8" w:space="0" w:color="auto"/>
            </w:tcBorders>
            <w:vAlign w:val="center"/>
          </w:tcPr>
          <w:p w14:paraId="5C61BB74" w14:textId="5DFD9ECC" w:rsidR="634CB1F4" w:rsidRPr="00304238" w:rsidRDefault="634CB1F4">
            <w:pPr>
              <w:rPr>
                <w:sz w:val="18"/>
              </w:rPr>
            </w:pPr>
            <w:r w:rsidRPr="00304238">
              <w:rPr>
                <w:rFonts w:ascii="Arial" w:eastAsia="Arial" w:hAnsi="Arial" w:cs="Arial"/>
                <w:color w:val="000000" w:themeColor="text1"/>
                <w:sz w:val="18"/>
                <w:szCs w:val="18"/>
              </w:rPr>
              <w:t xml:space="preserve">260.100,00 </w:t>
            </w:r>
          </w:p>
        </w:tc>
        <w:tc>
          <w:tcPr>
            <w:tcW w:w="982" w:type="dxa"/>
            <w:tcBorders>
              <w:top w:val="nil"/>
              <w:left w:val="single" w:sz="12" w:space="0" w:color="auto"/>
              <w:bottom w:val="nil"/>
              <w:right w:val="single" w:sz="8" w:space="0" w:color="auto"/>
            </w:tcBorders>
            <w:vAlign w:val="center"/>
          </w:tcPr>
          <w:p w14:paraId="658B17AC" w14:textId="52BE1630"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5F3F0C82" w14:textId="17FC0137" w:rsidR="634CB1F4" w:rsidRDefault="634CB1F4">
            <w:r w:rsidRPr="634CB1F4">
              <w:rPr>
                <w:rFonts w:ascii="Calibri" w:eastAsia="Calibri" w:hAnsi="Calibri" w:cs="Calibri"/>
                <w:b/>
                <w:bCs/>
                <w:i/>
                <w:iCs/>
                <w:color w:val="000000" w:themeColor="text1"/>
                <w:sz w:val="16"/>
                <w:szCs w:val="16"/>
              </w:rPr>
              <w:t xml:space="preserve"> 588.892 </w:t>
            </w:r>
          </w:p>
        </w:tc>
        <w:tc>
          <w:tcPr>
            <w:tcW w:w="982" w:type="dxa"/>
            <w:tcBorders>
              <w:top w:val="single" w:sz="4" w:space="0" w:color="auto"/>
              <w:left w:val="nil"/>
              <w:bottom w:val="single" w:sz="4" w:space="0" w:color="auto"/>
              <w:right w:val="nil"/>
            </w:tcBorders>
            <w:vAlign w:val="center"/>
          </w:tcPr>
          <w:p w14:paraId="1D5BCE43" w14:textId="079FDE9B"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1B1CF2D5" w14:textId="5919D2EE" w:rsidR="634CB1F4" w:rsidRDefault="634CB1F4" w:rsidP="634CB1F4">
            <w:pPr>
              <w:jc w:val="center"/>
            </w:pPr>
            <w:r w:rsidRPr="634CB1F4">
              <w:rPr>
                <w:rFonts w:ascii="Calibri" w:eastAsia="Calibri" w:hAnsi="Calibri" w:cs="Calibri"/>
                <w:i/>
                <w:iCs/>
                <w:color w:val="000000" w:themeColor="text1"/>
                <w:sz w:val="16"/>
                <w:szCs w:val="16"/>
              </w:rPr>
              <w:t xml:space="preserve"> 36,42 </w:t>
            </w:r>
          </w:p>
        </w:tc>
        <w:tc>
          <w:tcPr>
            <w:tcW w:w="982" w:type="dxa"/>
            <w:tcBorders>
              <w:top w:val="single" w:sz="4" w:space="0" w:color="auto"/>
              <w:left w:val="nil"/>
              <w:bottom w:val="single" w:sz="4" w:space="0" w:color="auto"/>
              <w:right w:val="single" w:sz="8" w:space="0" w:color="auto"/>
            </w:tcBorders>
            <w:vAlign w:val="center"/>
          </w:tcPr>
          <w:p w14:paraId="0BC05375" w14:textId="4A3492C4" w:rsidR="634CB1F4" w:rsidRDefault="634CB1F4">
            <w:r w:rsidRPr="634CB1F4">
              <w:rPr>
                <w:rFonts w:ascii="Calibri" w:eastAsia="Calibri" w:hAnsi="Calibri" w:cs="Calibri"/>
                <w:i/>
                <w:iCs/>
                <w:color w:val="000000" w:themeColor="text1"/>
                <w:sz w:val="16"/>
                <w:szCs w:val="16"/>
              </w:rPr>
              <w:t xml:space="preserve"> 6.149,2 </w:t>
            </w:r>
          </w:p>
        </w:tc>
      </w:tr>
      <w:tr w:rsidR="634CB1F4" w14:paraId="112318F5" w14:textId="77777777" w:rsidTr="00304238">
        <w:trPr>
          <w:trHeight w:val="315"/>
        </w:trPr>
        <w:tc>
          <w:tcPr>
            <w:tcW w:w="982" w:type="dxa"/>
            <w:tcBorders>
              <w:top w:val="single" w:sz="4" w:space="0" w:color="auto"/>
              <w:left w:val="nil"/>
              <w:bottom w:val="single" w:sz="4" w:space="0" w:color="auto"/>
              <w:right w:val="nil"/>
            </w:tcBorders>
            <w:vAlign w:val="center"/>
          </w:tcPr>
          <w:p w14:paraId="0EDE55CE" w14:textId="4842C81B" w:rsidR="634CB1F4" w:rsidRDefault="634CB1F4" w:rsidP="634CB1F4">
            <w:pPr>
              <w:jc w:val="center"/>
            </w:pPr>
            <w:r w:rsidRPr="634CB1F4">
              <w:rPr>
                <w:rFonts w:ascii="Arial" w:eastAsia="Arial" w:hAnsi="Arial" w:cs="Arial"/>
                <w:color w:val="000000" w:themeColor="text1"/>
                <w:sz w:val="18"/>
                <w:szCs w:val="18"/>
              </w:rPr>
              <w:t>1-dic-99</w:t>
            </w:r>
          </w:p>
        </w:tc>
        <w:tc>
          <w:tcPr>
            <w:tcW w:w="982" w:type="dxa"/>
            <w:tcBorders>
              <w:top w:val="single" w:sz="4" w:space="0" w:color="auto"/>
              <w:left w:val="nil"/>
              <w:bottom w:val="single" w:sz="4" w:space="0" w:color="auto"/>
              <w:right w:val="nil"/>
            </w:tcBorders>
            <w:vAlign w:val="center"/>
          </w:tcPr>
          <w:p w14:paraId="04E2C83B" w14:textId="2E42B597" w:rsidR="634CB1F4" w:rsidRDefault="634CB1F4">
            <w:r w:rsidRPr="634CB1F4">
              <w:rPr>
                <w:rFonts w:ascii="Calibri" w:eastAsia="Calibri" w:hAnsi="Calibri" w:cs="Calibri"/>
                <w:i/>
                <w:iCs/>
                <w:color w:val="000000" w:themeColor="text1"/>
                <w:sz w:val="16"/>
                <w:szCs w:val="16"/>
              </w:rPr>
              <w:t>31-dic-99</w:t>
            </w:r>
          </w:p>
        </w:tc>
        <w:tc>
          <w:tcPr>
            <w:tcW w:w="838" w:type="dxa"/>
            <w:tcBorders>
              <w:top w:val="single" w:sz="4" w:space="0" w:color="auto"/>
              <w:left w:val="nil"/>
              <w:bottom w:val="single" w:sz="4" w:space="0" w:color="auto"/>
              <w:right w:val="nil"/>
            </w:tcBorders>
            <w:vAlign w:val="center"/>
          </w:tcPr>
          <w:p w14:paraId="36E59992" w14:textId="2D1102FF" w:rsidR="634CB1F4" w:rsidRDefault="634CB1F4" w:rsidP="634CB1F4">
            <w:pPr>
              <w:jc w:val="center"/>
            </w:pPr>
            <w:r w:rsidRPr="634CB1F4">
              <w:rPr>
                <w:rFonts w:ascii="Calibri" w:eastAsia="Calibri" w:hAnsi="Calibri" w:cs="Calibri"/>
                <w:i/>
                <w:iCs/>
                <w:color w:val="000000" w:themeColor="text1"/>
                <w:sz w:val="16"/>
                <w:szCs w:val="16"/>
              </w:rPr>
              <w:t>30</w:t>
            </w:r>
          </w:p>
        </w:tc>
        <w:tc>
          <w:tcPr>
            <w:tcW w:w="1126" w:type="dxa"/>
            <w:gridSpan w:val="2"/>
            <w:tcBorders>
              <w:top w:val="single" w:sz="4" w:space="0" w:color="auto"/>
              <w:left w:val="nil"/>
              <w:bottom w:val="single" w:sz="4" w:space="0" w:color="auto"/>
              <w:right w:val="single" w:sz="8" w:space="0" w:color="auto"/>
            </w:tcBorders>
            <w:vAlign w:val="center"/>
          </w:tcPr>
          <w:p w14:paraId="0FF45587" w14:textId="65C1E0C8" w:rsidR="634CB1F4" w:rsidRPr="00304238" w:rsidRDefault="634CB1F4">
            <w:pPr>
              <w:rPr>
                <w:sz w:val="18"/>
              </w:rPr>
            </w:pPr>
            <w:r w:rsidRPr="00304238">
              <w:rPr>
                <w:rFonts w:ascii="Arial" w:eastAsia="Arial" w:hAnsi="Arial" w:cs="Arial"/>
                <w:color w:val="000000" w:themeColor="text1"/>
                <w:sz w:val="18"/>
                <w:szCs w:val="18"/>
              </w:rPr>
              <w:t xml:space="preserve">199.410,00 </w:t>
            </w:r>
          </w:p>
        </w:tc>
        <w:tc>
          <w:tcPr>
            <w:tcW w:w="982" w:type="dxa"/>
            <w:tcBorders>
              <w:top w:val="nil"/>
              <w:left w:val="single" w:sz="12" w:space="0" w:color="auto"/>
              <w:bottom w:val="nil"/>
              <w:right w:val="single" w:sz="8" w:space="0" w:color="auto"/>
            </w:tcBorders>
            <w:vAlign w:val="center"/>
          </w:tcPr>
          <w:p w14:paraId="7159799D" w14:textId="642A0B05"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10C0259D" w14:textId="362A4F4D" w:rsidR="634CB1F4" w:rsidRDefault="634CB1F4">
            <w:r w:rsidRPr="634CB1F4">
              <w:rPr>
                <w:rFonts w:ascii="Calibri" w:eastAsia="Calibri" w:hAnsi="Calibri" w:cs="Calibri"/>
                <w:b/>
                <w:bCs/>
                <w:i/>
                <w:iCs/>
                <w:color w:val="000000" w:themeColor="text1"/>
                <w:sz w:val="16"/>
                <w:szCs w:val="16"/>
              </w:rPr>
              <w:t xml:space="preserve"> 451.484 </w:t>
            </w:r>
          </w:p>
        </w:tc>
        <w:tc>
          <w:tcPr>
            <w:tcW w:w="982" w:type="dxa"/>
            <w:tcBorders>
              <w:top w:val="single" w:sz="4" w:space="0" w:color="auto"/>
              <w:left w:val="nil"/>
              <w:bottom w:val="single" w:sz="4" w:space="0" w:color="auto"/>
              <w:right w:val="nil"/>
            </w:tcBorders>
            <w:vAlign w:val="center"/>
          </w:tcPr>
          <w:p w14:paraId="3C5334CF" w14:textId="5ADFA5D3"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F9B334B" w14:textId="4C9FBCB5" w:rsidR="634CB1F4" w:rsidRDefault="634CB1F4" w:rsidP="634CB1F4">
            <w:pPr>
              <w:jc w:val="center"/>
            </w:pPr>
            <w:r w:rsidRPr="634CB1F4">
              <w:rPr>
                <w:rFonts w:ascii="Calibri" w:eastAsia="Calibri" w:hAnsi="Calibri" w:cs="Calibri"/>
                <w:i/>
                <w:iCs/>
                <w:color w:val="000000" w:themeColor="text1"/>
                <w:sz w:val="16"/>
                <w:szCs w:val="16"/>
              </w:rPr>
              <w:t xml:space="preserve"> 36,42 </w:t>
            </w:r>
          </w:p>
        </w:tc>
        <w:tc>
          <w:tcPr>
            <w:tcW w:w="982" w:type="dxa"/>
            <w:tcBorders>
              <w:top w:val="single" w:sz="4" w:space="0" w:color="auto"/>
              <w:left w:val="nil"/>
              <w:bottom w:val="single" w:sz="4" w:space="0" w:color="auto"/>
              <w:right w:val="single" w:sz="8" w:space="0" w:color="auto"/>
            </w:tcBorders>
            <w:vAlign w:val="center"/>
          </w:tcPr>
          <w:p w14:paraId="3CB98367" w14:textId="015C9794" w:rsidR="634CB1F4" w:rsidRDefault="634CB1F4">
            <w:r w:rsidRPr="634CB1F4">
              <w:rPr>
                <w:rFonts w:ascii="Calibri" w:eastAsia="Calibri" w:hAnsi="Calibri" w:cs="Calibri"/>
                <w:i/>
                <w:iCs/>
                <w:color w:val="000000" w:themeColor="text1"/>
                <w:sz w:val="16"/>
                <w:szCs w:val="16"/>
              </w:rPr>
              <w:t xml:space="preserve"> 2.357,2 </w:t>
            </w:r>
          </w:p>
        </w:tc>
      </w:tr>
      <w:tr w:rsidR="634CB1F4" w14:paraId="6FB38C80" w14:textId="77777777" w:rsidTr="00304238">
        <w:trPr>
          <w:trHeight w:val="315"/>
        </w:trPr>
        <w:tc>
          <w:tcPr>
            <w:tcW w:w="982" w:type="dxa"/>
            <w:tcBorders>
              <w:top w:val="single" w:sz="4" w:space="0" w:color="auto"/>
              <w:left w:val="nil"/>
              <w:bottom w:val="nil"/>
              <w:right w:val="nil"/>
            </w:tcBorders>
            <w:vAlign w:val="center"/>
          </w:tcPr>
          <w:p w14:paraId="5472A2FD" w14:textId="2BC16C8E" w:rsidR="634CB1F4" w:rsidRDefault="634CB1F4" w:rsidP="634CB1F4">
            <w:pPr>
              <w:jc w:val="center"/>
            </w:pPr>
            <w:r w:rsidRPr="634CB1F4">
              <w:rPr>
                <w:rFonts w:ascii="Arial" w:eastAsia="Arial" w:hAnsi="Arial" w:cs="Arial"/>
                <w:b/>
                <w:bCs/>
                <w:color w:val="000000" w:themeColor="text1"/>
                <w:sz w:val="18"/>
                <w:szCs w:val="18"/>
              </w:rPr>
              <w:t>1-feb-06</w:t>
            </w:r>
          </w:p>
        </w:tc>
        <w:tc>
          <w:tcPr>
            <w:tcW w:w="982" w:type="dxa"/>
            <w:tcBorders>
              <w:top w:val="single" w:sz="4" w:space="0" w:color="auto"/>
              <w:left w:val="nil"/>
              <w:bottom w:val="single" w:sz="4" w:space="0" w:color="auto"/>
              <w:right w:val="nil"/>
            </w:tcBorders>
            <w:vAlign w:val="center"/>
          </w:tcPr>
          <w:p w14:paraId="18BABD36" w14:textId="0A57DD33" w:rsidR="634CB1F4" w:rsidRDefault="634CB1F4">
            <w:r w:rsidRPr="634CB1F4">
              <w:rPr>
                <w:rFonts w:ascii="Calibri" w:eastAsia="Calibri" w:hAnsi="Calibri" w:cs="Calibri"/>
                <w:i/>
                <w:iCs/>
                <w:color w:val="000000" w:themeColor="text1"/>
                <w:sz w:val="16"/>
                <w:szCs w:val="16"/>
              </w:rPr>
              <w:t>31-mar-06</w:t>
            </w:r>
          </w:p>
        </w:tc>
        <w:tc>
          <w:tcPr>
            <w:tcW w:w="838" w:type="dxa"/>
            <w:tcBorders>
              <w:top w:val="single" w:sz="4" w:space="0" w:color="auto"/>
              <w:left w:val="nil"/>
              <w:bottom w:val="single" w:sz="4" w:space="0" w:color="auto"/>
              <w:right w:val="nil"/>
            </w:tcBorders>
            <w:vAlign w:val="center"/>
          </w:tcPr>
          <w:p w14:paraId="6D7F349D" w14:textId="6ED5DF20" w:rsidR="634CB1F4" w:rsidRDefault="634CB1F4" w:rsidP="634CB1F4">
            <w:pPr>
              <w:jc w:val="center"/>
            </w:pPr>
            <w:r w:rsidRPr="634CB1F4">
              <w:rPr>
                <w:rFonts w:ascii="Calibri" w:eastAsia="Calibri" w:hAnsi="Calibri" w:cs="Calibri"/>
                <w:i/>
                <w:iCs/>
                <w:color w:val="000000" w:themeColor="text1"/>
                <w:sz w:val="16"/>
                <w:szCs w:val="16"/>
              </w:rPr>
              <w:t>60</w:t>
            </w:r>
          </w:p>
        </w:tc>
        <w:tc>
          <w:tcPr>
            <w:tcW w:w="1126" w:type="dxa"/>
            <w:gridSpan w:val="2"/>
            <w:tcBorders>
              <w:top w:val="single" w:sz="4" w:space="0" w:color="auto"/>
              <w:left w:val="nil"/>
              <w:bottom w:val="single" w:sz="4" w:space="0" w:color="auto"/>
              <w:right w:val="single" w:sz="8" w:space="0" w:color="auto"/>
            </w:tcBorders>
            <w:vAlign w:val="center"/>
          </w:tcPr>
          <w:p w14:paraId="4E2D8130" w14:textId="59D94F57" w:rsidR="634CB1F4" w:rsidRPr="00304238" w:rsidRDefault="634CB1F4">
            <w:pPr>
              <w:rPr>
                <w:sz w:val="18"/>
              </w:rPr>
            </w:pPr>
            <w:r w:rsidRPr="00304238">
              <w:rPr>
                <w:rFonts w:ascii="Arial" w:eastAsia="Arial" w:hAnsi="Arial" w:cs="Arial"/>
                <w:color w:val="000000" w:themeColor="text1"/>
                <w:sz w:val="18"/>
                <w:szCs w:val="18"/>
              </w:rPr>
              <w:t xml:space="preserve">816.000,00 </w:t>
            </w:r>
          </w:p>
        </w:tc>
        <w:tc>
          <w:tcPr>
            <w:tcW w:w="982" w:type="dxa"/>
            <w:tcBorders>
              <w:top w:val="nil"/>
              <w:left w:val="single" w:sz="12" w:space="0" w:color="auto"/>
              <w:bottom w:val="nil"/>
              <w:right w:val="single" w:sz="8" w:space="0" w:color="auto"/>
            </w:tcBorders>
            <w:vAlign w:val="center"/>
          </w:tcPr>
          <w:p w14:paraId="0A49AE57" w14:textId="77A95CCB"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704555EC" w14:textId="47EACC87" w:rsidR="634CB1F4" w:rsidRDefault="634CB1F4">
            <w:r w:rsidRPr="634CB1F4">
              <w:rPr>
                <w:rFonts w:ascii="Calibri" w:eastAsia="Calibri" w:hAnsi="Calibri" w:cs="Calibri"/>
                <w:b/>
                <w:bCs/>
                <w:i/>
                <w:iCs/>
                <w:color w:val="000000" w:themeColor="text1"/>
                <w:sz w:val="16"/>
                <w:szCs w:val="16"/>
              </w:rPr>
              <w:t xml:space="preserve"> 1.146.355 </w:t>
            </w:r>
          </w:p>
        </w:tc>
        <w:tc>
          <w:tcPr>
            <w:tcW w:w="982" w:type="dxa"/>
            <w:tcBorders>
              <w:top w:val="single" w:sz="4" w:space="0" w:color="auto"/>
              <w:left w:val="nil"/>
              <w:bottom w:val="single" w:sz="4" w:space="0" w:color="auto"/>
              <w:right w:val="nil"/>
            </w:tcBorders>
            <w:vAlign w:val="center"/>
          </w:tcPr>
          <w:p w14:paraId="202D7109" w14:textId="4895C17A"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DBC0EEF" w14:textId="7B2217D5" w:rsidR="634CB1F4" w:rsidRDefault="634CB1F4" w:rsidP="634CB1F4">
            <w:pPr>
              <w:jc w:val="center"/>
            </w:pPr>
            <w:r w:rsidRPr="634CB1F4">
              <w:rPr>
                <w:rFonts w:ascii="Calibri" w:eastAsia="Calibri" w:hAnsi="Calibri" w:cs="Calibri"/>
                <w:i/>
                <w:iCs/>
                <w:color w:val="000000" w:themeColor="text1"/>
                <w:sz w:val="16"/>
                <w:szCs w:val="16"/>
              </w:rPr>
              <w:t xml:space="preserve"> 58,70 </w:t>
            </w:r>
          </w:p>
        </w:tc>
        <w:tc>
          <w:tcPr>
            <w:tcW w:w="982" w:type="dxa"/>
            <w:tcBorders>
              <w:top w:val="single" w:sz="4" w:space="0" w:color="auto"/>
              <w:left w:val="nil"/>
              <w:bottom w:val="single" w:sz="4" w:space="0" w:color="auto"/>
              <w:right w:val="single" w:sz="8" w:space="0" w:color="auto"/>
            </w:tcBorders>
            <w:vAlign w:val="center"/>
          </w:tcPr>
          <w:p w14:paraId="38D85440" w14:textId="6E67DB90" w:rsidR="634CB1F4" w:rsidRDefault="634CB1F4">
            <w:r w:rsidRPr="634CB1F4">
              <w:rPr>
                <w:rFonts w:ascii="Calibri" w:eastAsia="Calibri" w:hAnsi="Calibri" w:cs="Calibri"/>
                <w:i/>
                <w:iCs/>
                <w:color w:val="000000" w:themeColor="text1"/>
                <w:sz w:val="16"/>
                <w:szCs w:val="16"/>
              </w:rPr>
              <w:t xml:space="preserve"> 11.970,3 </w:t>
            </w:r>
          </w:p>
        </w:tc>
      </w:tr>
      <w:tr w:rsidR="634CB1F4" w14:paraId="62277EF5" w14:textId="77777777" w:rsidTr="00304238">
        <w:trPr>
          <w:trHeight w:val="315"/>
        </w:trPr>
        <w:tc>
          <w:tcPr>
            <w:tcW w:w="982" w:type="dxa"/>
            <w:tcBorders>
              <w:top w:val="nil"/>
              <w:left w:val="nil"/>
              <w:bottom w:val="nil"/>
              <w:right w:val="nil"/>
            </w:tcBorders>
            <w:vAlign w:val="center"/>
          </w:tcPr>
          <w:p w14:paraId="787CFB1B" w14:textId="2601C4EF" w:rsidR="634CB1F4" w:rsidRPr="00304238" w:rsidRDefault="634CB1F4" w:rsidP="634CB1F4">
            <w:pPr>
              <w:jc w:val="center"/>
              <w:rPr>
                <w:rFonts w:ascii="Calibri" w:hAnsi="Calibri" w:cs="Calibri"/>
              </w:rPr>
            </w:pPr>
            <w:r w:rsidRPr="00304238">
              <w:rPr>
                <w:rFonts w:ascii="Calibri" w:eastAsia="Arial" w:hAnsi="Calibri" w:cs="Calibri"/>
                <w:b/>
                <w:bCs/>
                <w:color w:val="000000" w:themeColor="text1"/>
                <w:sz w:val="18"/>
                <w:szCs w:val="18"/>
              </w:rPr>
              <w:t>1-</w:t>
            </w:r>
            <w:proofErr w:type="spellStart"/>
            <w:r w:rsidRPr="00304238">
              <w:rPr>
                <w:rFonts w:ascii="Calibri" w:eastAsia="Arial" w:hAnsi="Calibri" w:cs="Calibri"/>
                <w:b/>
                <w:bCs/>
                <w:color w:val="000000" w:themeColor="text1"/>
                <w:sz w:val="18"/>
                <w:szCs w:val="18"/>
              </w:rPr>
              <w:t>may</w:t>
            </w:r>
            <w:proofErr w:type="spellEnd"/>
            <w:r w:rsidRPr="00304238">
              <w:rPr>
                <w:rFonts w:ascii="Calibri" w:eastAsia="Arial" w:hAnsi="Calibri" w:cs="Calibri"/>
                <w:b/>
                <w:bCs/>
                <w:color w:val="000000" w:themeColor="text1"/>
                <w:sz w:val="18"/>
                <w:szCs w:val="18"/>
              </w:rPr>
              <w:t>-06</w:t>
            </w:r>
          </w:p>
        </w:tc>
        <w:tc>
          <w:tcPr>
            <w:tcW w:w="982" w:type="dxa"/>
            <w:tcBorders>
              <w:top w:val="single" w:sz="4" w:space="0" w:color="auto"/>
              <w:left w:val="nil"/>
              <w:bottom w:val="single" w:sz="4" w:space="0" w:color="auto"/>
              <w:right w:val="nil"/>
            </w:tcBorders>
            <w:vAlign w:val="center"/>
          </w:tcPr>
          <w:p w14:paraId="253C2255" w14:textId="75263546" w:rsidR="634CB1F4" w:rsidRDefault="634CB1F4">
            <w:r w:rsidRPr="634CB1F4">
              <w:rPr>
                <w:rFonts w:ascii="Calibri" w:eastAsia="Calibri" w:hAnsi="Calibri" w:cs="Calibri"/>
                <w:i/>
                <w:iCs/>
                <w:color w:val="000000" w:themeColor="text1"/>
                <w:sz w:val="16"/>
                <w:szCs w:val="16"/>
              </w:rPr>
              <w:t>31-jul-06</w:t>
            </w:r>
          </w:p>
        </w:tc>
        <w:tc>
          <w:tcPr>
            <w:tcW w:w="838" w:type="dxa"/>
            <w:tcBorders>
              <w:top w:val="single" w:sz="4" w:space="0" w:color="auto"/>
              <w:left w:val="nil"/>
              <w:bottom w:val="single" w:sz="4" w:space="0" w:color="auto"/>
              <w:right w:val="nil"/>
            </w:tcBorders>
            <w:vAlign w:val="center"/>
          </w:tcPr>
          <w:p w14:paraId="32CAEA03" w14:textId="595E3531" w:rsidR="634CB1F4" w:rsidRDefault="634CB1F4" w:rsidP="634CB1F4">
            <w:pPr>
              <w:jc w:val="center"/>
            </w:pPr>
            <w:r w:rsidRPr="634CB1F4">
              <w:rPr>
                <w:rFonts w:ascii="Calibri" w:eastAsia="Calibri" w:hAnsi="Calibri" w:cs="Calibri"/>
                <w:i/>
                <w:iCs/>
                <w:color w:val="000000" w:themeColor="text1"/>
                <w:sz w:val="16"/>
                <w:szCs w:val="16"/>
              </w:rPr>
              <w:t>90</w:t>
            </w:r>
          </w:p>
        </w:tc>
        <w:tc>
          <w:tcPr>
            <w:tcW w:w="1126" w:type="dxa"/>
            <w:gridSpan w:val="2"/>
            <w:tcBorders>
              <w:top w:val="single" w:sz="4" w:space="0" w:color="auto"/>
              <w:left w:val="nil"/>
              <w:bottom w:val="single" w:sz="4" w:space="0" w:color="auto"/>
              <w:right w:val="single" w:sz="8" w:space="0" w:color="auto"/>
            </w:tcBorders>
            <w:vAlign w:val="center"/>
          </w:tcPr>
          <w:p w14:paraId="3F9C6058" w14:textId="00C5B206" w:rsidR="634CB1F4" w:rsidRPr="00304238" w:rsidRDefault="634CB1F4">
            <w:pPr>
              <w:rPr>
                <w:sz w:val="18"/>
              </w:rPr>
            </w:pPr>
            <w:r w:rsidRPr="00304238">
              <w:rPr>
                <w:rFonts w:ascii="Arial" w:eastAsia="Arial" w:hAnsi="Arial" w:cs="Arial"/>
                <w:color w:val="000000" w:themeColor="text1"/>
                <w:sz w:val="18"/>
                <w:szCs w:val="18"/>
              </w:rPr>
              <w:t xml:space="preserve">816.000,00 </w:t>
            </w:r>
          </w:p>
        </w:tc>
        <w:tc>
          <w:tcPr>
            <w:tcW w:w="982" w:type="dxa"/>
            <w:tcBorders>
              <w:top w:val="nil"/>
              <w:left w:val="single" w:sz="12" w:space="0" w:color="auto"/>
              <w:bottom w:val="nil"/>
              <w:right w:val="single" w:sz="8" w:space="0" w:color="auto"/>
            </w:tcBorders>
            <w:vAlign w:val="center"/>
          </w:tcPr>
          <w:p w14:paraId="2B9D44AA" w14:textId="7AB9A6A0"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14678A60" w14:textId="40CE16C3" w:rsidR="634CB1F4" w:rsidRDefault="634CB1F4">
            <w:r w:rsidRPr="634CB1F4">
              <w:rPr>
                <w:rFonts w:ascii="Calibri" w:eastAsia="Calibri" w:hAnsi="Calibri" w:cs="Calibri"/>
                <w:b/>
                <w:bCs/>
                <w:i/>
                <w:iCs/>
                <w:color w:val="000000" w:themeColor="text1"/>
                <w:sz w:val="16"/>
                <w:szCs w:val="16"/>
              </w:rPr>
              <w:t xml:space="preserve"> 1.146.355 </w:t>
            </w:r>
          </w:p>
        </w:tc>
        <w:tc>
          <w:tcPr>
            <w:tcW w:w="982" w:type="dxa"/>
            <w:tcBorders>
              <w:top w:val="single" w:sz="4" w:space="0" w:color="auto"/>
              <w:left w:val="nil"/>
              <w:bottom w:val="single" w:sz="4" w:space="0" w:color="auto"/>
              <w:right w:val="nil"/>
            </w:tcBorders>
            <w:vAlign w:val="center"/>
          </w:tcPr>
          <w:p w14:paraId="4118C445" w14:textId="44092D81"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1B231C96" w14:textId="187977E6" w:rsidR="634CB1F4" w:rsidRDefault="634CB1F4" w:rsidP="634CB1F4">
            <w:pPr>
              <w:jc w:val="center"/>
            </w:pPr>
            <w:r w:rsidRPr="634CB1F4">
              <w:rPr>
                <w:rFonts w:ascii="Calibri" w:eastAsia="Calibri" w:hAnsi="Calibri" w:cs="Calibri"/>
                <w:i/>
                <w:iCs/>
                <w:color w:val="000000" w:themeColor="text1"/>
                <w:sz w:val="16"/>
                <w:szCs w:val="16"/>
              </w:rPr>
              <w:t xml:space="preserve"> 58,70 </w:t>
            </w:r>
          </w:p>
        </w:tc>
        <w:tc>
          <w:tcPr>
            <w:tcW w:w="982" w:type="dxa"/>
            <w:tcBorders>
              <w:top w:val="single" w:sz="4" w:space="0" w:color="auto"/>
              <w:left w:val="nil"/>
              <w:bottom w:val="single" w:sz="4" w:space="0" w:color="auto"/>
              <w:right w:val="single" w:sz="8" w:space="0" w:color="auto"/>
            </w:tcBorders>
            <w:vAlign w:val="center"/>
          </w:tcPr>
          <w:p w14:paraId="4D36780C" w14:textId="1421F71E" w:rsidR="634CB1F4" w:rsidRDefault="634CB1F4">
            <w:r w:rsidRPr="634CB1F4">
              <w:rPr>
                <w:rFonts w:ascii="Calibri" w:eastAsia="Calibri" w:hAnsi="Calibri" w:cs="Calibri"/>
                <w:i/>
                <w:iCs/>
                <w:color w:val="000000" w:themeColor="text1"/>
                <w:sz w:val="16"/>
                <w:szCs w:val="16"/>
              </w:rPr>
              <w:t xml:space="preserve"> 17.955,4 </w:t>
            </w:r>
          </w:p>
        </w:tc>
      </w:tr>
      <w:tr w:rsidR="634CB1F4" w14:paraId="3F6F3B61" w14:textId="77777777" w:rsidTr="00304238">
        <w:trPr>
          <w:trHeight w:val="315"/>
        </w:trPr>
        <w:tc>
          <w:tcPr>
            <w:tcW w:w="982" w:type="dxa"/>
            <w:tcBorders>
              <w:top w:val="nil"/>
              <w:left w:val="nil"/>
              <w:bottom w:val="nil"/>
              <w:right w:val="nil"/>
            </w:tcBorders>
            <w:vAlign w:val="center"/>
          </w:tcPr>
          <w:p w14:paraId="2EBED091" w14:textId="225C03B3" w:rsidR="634CB1F4" w:rsidRDefault="634CB1F4" w:rsidP="634CB1F4">
            <w:pPr>
              <w:jc w:val="center"/>
            </w:pPr>
            <w:r w:rsidRPr="634CB1F4">
              <w:rPr>
                <w:rFonts w:ascii="Arial" w:eastAsia="Arial" w:hAnsi="Arial" w:cs="Arial"/>
                <w:b/>
                <w:bCs/>
                <w:color w:val="000000" w:themeColor="text1"/>
                <w:sz w:val="18"/>
                <w:szCs w:val="18"/>
              </w:rPr>
              <w:t>1-oct-06</w:t>
            </w:r>
          </w:p>
        </w:tc>
        <w:tc>
          <w:tcPr>
            <w:tcW w:w="982" w:type="dxa"/>
            <w:tcBorders>
              <w:top w:val="single" w:sz="4" w:space="0" w:color="auto"/>
              <w:left w:val="nil"/>
              <w:bottom w:val="single" w:sz="4" w:space="0" w:color="auto"/>
              <w:right w:val="nil"/>
            </w:tcBorders>
            <w:vAlign w:val="center"/>
          </w:tcPr>
          <w:p w14:paraId="21CC980C" w14:textId="3A010273" w:rsidR="634CB1F4" w:rsidRDefault="634CB1F4">
            <w:r w:rsidRPr="634CB1F4">
              <w:rPr>
                <w:rFonts w:ascii="Calibri" w:eastAsia="Calibri" w:hAnsi="Calibri" w:cs="Calibri"/>
                <w:i/>
                <w:iCs/>
                <w:color w:val="000000" w:themeColor="text1"/>
                <w:sz w:val="16"/>
                <w:szCs w:val="16"/>
              </w:rPr>
              <w:t>31-oct-06</w:t>
            </w:r>
          </w:p>
        </w:tc>
        <w:tc>
          <w:tcPr>
            <w:tcW w:w="838" w:type="dxa"/>
            <w:tcBorders>
              <w:top w:val="single" w:sz="4" w:space="0" w:color="auto"/>
              <w:left w:val="nil"/>
              <w:bottom w:val="single" w:sz="4" w:space="0" w:color="auto"/>
              <w:right w:val="nil"/>
            </w:tcBorders>
            <w:vAlign w:val="center"/>
          </w:tcPr>
          <w:p w14:paraId="35BB95EA" w14:textId="2C3F6E9F" w:rsidR="634CB1F4" w:rsidRDefault="634CB1F4" w:rsidP="634CB1F4">
            <w:pPr>
              <w:jc w:val="center"/>
            </w:pPr>
            <w:r w:rsidRPr="634CB1F4">
              <w:rPr>
                <w:rFonts w:ascii="Calibri" w:eastAsia="Calibri" w:hAnsi="Calibri" w:cs="Calibri"/>
                <w:i/>
                <w:iCs/>
                <w:color w:val="000000" w:themeColor="text1"/>
                <w:sz w:val="16"/>
                <w:szCs w:val="16"/>
              </w:rPr>
              <w:t>30</w:t>
            </w:r>
          </w:p>
        </w:tc>
        <w:tc>
          <w:tcPr>
            <w:tcW w:w="1126" w:type="dxa"/>
            <w:gridSpan w:val="2"/>
            <w:tcBorders>
              <w:top w:val="single" w:sz="4" w:space="0" w:color="auto"/>
              <w:left w:val="nil"/>
              <w:bottom w:val="single" w:sz="4" w:space="0" w:color="auto"/>
              <w:right w:val="single" w:sz="8" w:space="0" w:color="auto"/>
            </w:tcBorders>
            <w:vAlign w:val="center"/>
          </w:tcPr>
          <w:p w14:paraId="4AE24765" w14:textId="3B4B357F" w:rsidR="634CB1F4" w:rsidRPr="00304238" w:rsidRDefault="634CB1F4">
            <w:pPr>
              <w:rPr>
                <w:sz w:val="18"/>
              </w:rPr>
            </w:pPr>
            <w:r w:rsidRPr="00304238">
              <w:rPr>
                <w:rFonts w:ascii="Arial" w:eastAsia="Arial" w:hAnsi="Arial" w:cs="Arial"/>
                <w:color w:val="000000" w:themeColor="text1"/>
                <w:sz w:val="18"/>
                <w:szCs w:val="18"/>
              </w:rPr>
              <w:t xml:space="preserve">816.000,00 </w:t>
            </w:r>
          </w:p>
        </w:tc>
        <w:tc>
          <w:tcPr>
            <w:tcW w:w="982" w:type="dxa"/>
            <w:tcBorders>
              <w:top w:val="nil"/>
              <w:left w:val="single" w:sz="12" w:space="0" w:color="auto"/>
              <w:bottom w:val="nil"/>
              <w:right w:val="single" w:sz="8" w:space="0" w:color="auto"/>
            </w:tcBorders>
            <w:vAlign w:val="center"/>
          </w:tcPr>
          <w:p w14:paraId="7CA1838B" w14:textId="40DC1DEE"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382AA837" w14:textId="653E3605" w:rsidR="634CB1F4" w:rsidRDefault="634CB1F4">
            <w:r w:rsidRPr="634CB1F4">
              <w:rPr>
                <w:rFonts w:ascii="Calibri" w:eastAsia="Calibri" w:hAnsi="Calibri" w:cs="Calibri"/>
                <w:b/>
                <w:bCs/>
                <w:i/>
                <w:iCs/>
                <w:color w:val="000000" w:themeColor="text1"/>
                <w:sz w:val="16"/>
                <w:szCs w:val="16"/>
              </w:rPr>
              <w:t xml:space="preserve"> 1.146.355 </w:t>
            </w:r>
          </w:p>
        </w:tc>
        <w:tc>
          <w:tcPr>
            <w:tcW w:w="982" w:type="dxa"/>
            <w:tcBorders>
              <w:top w:val="single" w:sz="4" w:space="0" w:color="auto"/>
              <w:left w:val="nil"/>
              <w:bottom w:val="single" w:sz="4" w:space="0" w:color="auto"/>
              <w:right w:val="nil"/>
            </w:tcBorders>
            <w:vAlign w:val="center"/>
          </w:tcPr>
          <w:p w14:paraId="328963B8" w14:textId="56FDD095"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27F7BB2A" w14:textId="1F5A1541" w:rsidR="634CB1F4" w:rsidRDefault="634CB1F4" w:rsidP="634CB1F4">
            <w:pPr>
              <w:jc w:val="center"/>
            </w:pPr>
            <w:r w:rsidRPr="634CB1F4">
              <w:rPr>
                <w:rFonts w:ascii="Calibri" w:eastAsia="Calibri" w:hAnsi="Calibri" w:cs="Calibri"/>
                <w:i/>
                <w:iCs/>
                <w:color w:val="000000" w:themeColor="text1"/>
                <w:sz w:val="16"/>
                <w:szCs w:val="16"/>
              </w:rPr>
              <w:t xml:space="preserve"> 58,70 </w:t>
            </w:r>
          </w:p>
        </w:tc>
        <w:tc>
          <w:tcPr>
            <w:tcW w:w="982" w:type="dxa"/>
            <w:tcBorders>
              <w:top w:val="single" w:sz="4" w:space="0" w:color="auto"/>
              <w:left w:val="nil"/>
              <w:bottom w:val="single" w:sz="4" w:space="0" w:color="auto"/>
              <w:right w:val="single" w:sz="8" w:space="0" w:color="auto"/>
            </w:tcBorders>
            <w:vAlign w:val="center"/>
          </w:tcPr>
          <w:p w14:paraId="0995A402" w14:textId="5A085AC2" w:rsidR="634CB1F4" w:rsidRDefault="634CB1F4">
            <w:r w:rsidRPr="634CB1F4">
              <w:rPr>
                <w:rFonts w:ascii="Calibri" w:eastAsia="Calibri" w:hAnsi="Calibri" w:cs="Calibri"/>
                <w:i/>
                <w:iCs/>
                <w:color w:val="000000" w:themeColor="text1"/>
                <w:sz w:val="16"/>
                <w:szCs w:val="16"/>
              </w:rPr>
              <w:t xml:space="preserve"> 5.985,1 </w:t>
            </w:r>
          </w:p>
        </w:tc>
      </w:tr>
      <w:tr w:rsidR="634CB1F4" w14:paraId="347F7C59" w14:textId="77777777" w:rsidTr="00304238">
        <w:trPr>
          <w:trHeight w:val="315"/>
        </w:trPr>
        <w:tc>
          <w:tcPr>
            <w:tcW w:w="982" w:type="dxa"/>
            <w:tcBorders>
              <w:top w:val="single" w:sz="4" w:space="0" w:color="auto"/>
              <w:left w:val="nil"/>
              <w:bottom w:val="single" w:sz="4" w:space="0" w:color="auto"/>
              <w:right w:val="nil"/>
            </w:tcBorders>
            <w:vAlign w:val="center"/>
          </w:tcPr>
          <w:p w14:paraId="6E60DFDC" w14:textId="59281AD3" w:rsidR="634CB1F4" w:rsidRPr="00304238" w:rsidRDefault="634CB1F4" w:rsidP="634CB1F4">
            <w:pPr>
              <w:jc w:val="center"/>
              <w:rPr>
                <w:b/>
              </w:rPr>
            </w:pPr>
            <w:r w:rsidRPr="00304238">
              <w:rPr>
                <w:rFonts w:ascii="Arial" w:eastAsia="Arial" w:hAnsi="Arial" w:cs="Arial"/>
                <w:b/>
                <w:color w:val="000000" w:themeColor="text1"/>
                <w:sz w:val="18"/>
                <w:szCs w:val="18"/>
              </w:rPr>
              <w:t>1-ene-07</w:t>
            </w:r>
          </w:p>
        </w:tc>
        <w:tc>
          <w:tcPr>
            <w:tcW w:w="982" w:type="dxa"/>
            <w:tcBorders>
              <w:top w:val="single" w:sz="4" w:space="0" w:color="auto"/>
              <w:left w:val="nil"/>
              <w:bottom w:val="single" w:sz="4" w:space="0" w:color="auto"/>
              <w:right w:val="nil"/>
            </w:tcBorders>
            <w:vAlign w:val="center"/>
          </w:tcPr>
          <w:p w14:paraId="0907C183" w14:textId="1EA56C63" w:rsidR="634CB1F4" w:rsidRDefault="634CB1F4">
            <w:r w:rsidRPr="634CB1F4">
              <w:rPr>
                <w:rFonts w:ascii="Calibri" w:eastAsia="Calibri" w:hAnsi="Calibri" w:cs="Calibri"/>
                <w:i/>
                <w:iCs/>
                <w:color w:val="000000" w:themeColor="text1"/>
                <w:sz w:val="16"/>
                <w:szCs w:val="16"/>
              </w:rPr>
              <w:t>31-ene-07</w:t>
            </w:r>
          </w:p>
        </w:tc>
        <w:tc>
          <w:tcPr>
            <w:tcW w:w="838" w:type="dxa"/>
            <w:tcBorders>
              <w:top w:val="single" w:sz="4" w:space="0" w:color="auto"/>
              <w:left w:val="nil"/>
              <w:bottom w:val="single" w:sz="4" w:space="0" w:color="auto"/>
              <w:right w:val="nil"/>
            </w:tcBorders>
            <w:vAlign w:val="center"/>
          </w:tcPr>
          <w:p w14:paraId="5AD0041B" w14:textId="5F1DF4B0" w:rsidR="634CB1F4" w:rsidRDefault="634CB1F4" w:rsidP="634CB1F4">
            <w:pPr>
              <w:jc w:val="center"/>
            </w:pPr>
            <w:r w:rsidRPr="634CB1F4">
              <w:rPr>
                <w:rFonts w:ascii="Calibri" w:eastAsia="Calibri" w:hAnsi="Calibri" w:cs="Calibri"/>
                <w:i/>
                <w:iCs/>
                <w:color w:val="000000" w:themeColor="text1"/>
                <w:sz w:val="16"/>
                <w:szCs w:val="16"/>
              </w:rPr>
              <w:t>30</w:t>
            </w:r>
          </w:p>
        </w:tc>
        <w:tc>
          <w:tcPr>
            <w:tcW w:w="1126" w:type="dxa"/>
            <w:gridSpan w:val="2"/>
            <w:tcBorders>
              <w:top w:val="single" w:sz="4" w:space="0" w:color="auto"/>
              <w:left w:val="nil"/>
              <w:bottom w:val="single" w:sz="4" w:space="0" w:color="auto"/>
              <w:right w:val="single" w:sz="8" w:space="0" w:color="auto"/>
            </w:tcBorders>
            <w:vAlign w:val="center"/>
          </w:tcPr>
          <w:p w14:paraId="101B2991" w14:textId="0940B09F" w:rsidR="634CB1F4" w:rsidRPr="00304238" w:rsidRDefault="634CB1F4">
            <w:pPr>
              <w:rPr>
                <w:sz w:val="18"/>
              </w:rPr>
            </w:pPr>
            <w:r w:rsidRPr="00304238">
              <w:rPr>
                <w:rFonts w:ascii="Arial" w:eastAsia="Arial" w:hAnsi="Arial" w:cs="Arial"/>
                <w:color w:val="000000" w:themeColor="text1"/>
                <w:sz w:val="18"/>
                <w:szCs w:val="18"/>
              </w:rPr>
              <w:t xml:space="preserve">816.000,00 </w:t>
            </w:r>
          </w:p>
        </w:tc>
        <w:tc>
          <w:tcPr>
            <w:tcW w:w="982" w:type="dxa"/>
            <w:tcBorders>
              <w:top w:val="nil"/>
              <w:left w:val="single" w:sz="12" w:space="0" w:color="auto"/>
              <w:bottom w:val="nil"/>
              <w:right w:val="single" w:sz="8" w:space="0" w:color="auto"/>
            </w:tcBorders>
            <w:vAlign w:val="center"/>
          </w:tcPr>
          <w:p w14:paraId="36C5F17E" w14:textId="7705CADD"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0547468C" w14:textId="3F5E36A8" w:rsidR="634CB1F4" w:rsidRDefault="634CB1F4">
            <w:r w:rsidRPr="634CB1F4">
              <w:rPr>
                <w:rFonts w:ascii="Calibri" w:eastAsia="Calibri" w:hAnsi="Calibri" w:cs="Calibri"/>
                <w:b/>
                <w:bCs/>
                <w:i/>
                <w:iCs/>
                <w:color w:val="000000" w:themeColor="text1"/>
                <w:sz w:val="16"/>
                <w:szCs w:val="16"/>
              </w:rPr>
              <w:t xml:space="preserve"> 1.097.222 </w:t>
            </w:r>
          </w:p>
        </w:tc>
        <w:tc>
          <w:tcPr>
            <w:tcW w:w="982" w:type="dxa"/>
            <w:tcBorders>
              <w:top w:val="single" w:sz="4" w:space="0" w:color="auto"/>
              <w:left w:val="nil"/>
              <w:bottom w:val="single" w:sz="4" w:space="0" w:color="auto"/>
              <w:right w:val="nil"/>
            </w:tcBorders>
            <w:vAlign w:val="center"/>
          </w:tcPr>
          <w:p w14:paraId="0AB5D765" w14:textId="0D6DFABA"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4507CDFB" w14:textId="27D88DC9" w:rsidR="634CB1F4" w:rsidRDefault="634CB1F4" w:rsidP="634CB1F4">
            <w:pPr>
              <w:jc w:val="center"/>
            </w:pPr>
            <w:r w:rsidRPr="634CB1F4">
              <w:rPr>
                <w:rFonts w:ascii="Calibri" w:eastAsia="Calibri" w:hAnsi="Calibri" w:cs="Calibri"/>
                <w:i/>
                <w:iCs/>
                <w:color w:val="000000" w:themeColor="text1"/>
                <w:sz w:val="16"/>
                <w:szCs w:val="16"/>
              </w:rPr>
              <w:t xml:space="preserve"> 61,33 </w:t>
            </w:r>
          </w:p>
        </w:tc>
        <w:tc>
          <w:tcPr>
            <w:tcW w:w="982" w:type="dxa"/>
            <w:tcBorders>
              <w:top w:val="single" w:sz="4" w:space="0" w:color="auto"/>
              <w:left w:val="nil"/>
              <w:bottom w:val="single" w:sz="4" w:space="0" w:color="auto"/>
              <w:right w:val="single" w:sz="8" w:space="0" w:color="auto"/>
            </w:tcBorders>
            <w:vAlign w:val="center"/>
          </w:tcPr>
          <w:p w14:paraId="319888BA" w14:textId="58542290" w:rsidR="634CB1F4" w:rsidRDefault="634CB1F4">
            <w:r w:rsidRPr="634CB1F4">
              <w:rPr>
                <w:rFonts w:ascii="Calibri" w:eastAsia="Calibri" w:hAnsi="Calibri" w:cs="Calibri"/>
                <w:i/>
                <w:iCs/>
                <w:color w:val="000000" w:themeColor="text1"/>
                <w:sz w:val="16"/>
                <w:szCs w:val="16"/>
              </w:rPr>
              <w:t xml:space="preserve"> 5.728,6 </w:t>
            </w:r>
          </w:p>
        </w:tc>
      </w:tr>
      <w:tr w:rsidR="634CB1F4" w14:paraId="5E7B40AC" w14:textId="77777777" w:rsidTr="00304238">
        <w:trPr>
          <w:trHeight w:val="315"/>
        </w:trPr>
        <w:tc>
          <w:tcPr>
            <w:tcW w:w="982" w:type="dxa"/>
            <w:tcBorders>
              <w:top w:val="single" w:sz="4" w:space="0" w:color="auto"/>
              <w:left w:val="nil"/>
              <w:bottom w:val="nil"/>
              <w:right w:val="nil"/>
            </w:tcBorders>
            <w:vAlign w:val="center"/>
          </w:tcPr>
          <w:p w14:paraId="1D3A97EA" w14:textId="36B0E11C" w:rsidR="634CB1F4" w:rsidRDefault="634CB1F4" w:rsidP="634CB1F4">
            <w:pPr>
              <w:jc w:val="center"/>
            </w:pPr>
            <w:r w:rsidRPr="634CB1F4">
              <w:rPr>
                <w:rFonts w:ascii="Arial" w:eastAsia="Arial" w:hAnsi="Arial" w:cs="Arial"/>
                <w:b/>
                <w:bCs/>
                <w:color w:val="000000" w:themeColor="text1"/>
                <w:sz w:val="18"/>
                <w:szCs w:val="18"/>
              </w:rPr>
              <w:t>1-feb-07</w:t>
            </w:r>
          </w:p>
        </w:tc>
        <w:tc>
          <w:tcPr>
            <w:tcW w:w="982" w:type="dxa"/>
            <w:tcBorders>
              <w:top w:val="single" w:sz="4" w:space="0" w:color="auto"/>
              <w:left w:val="nil"/>
              <w:bottom w:val="single" w:sz="4" w:space="0" w:color="auto"/>
              <w:right w:val="nil"/>
            </w:tcBorders>
            <w:vAlign w:val="center"/>
          </w:tcPr>
          <w:p w14:paraId="2EBB00E7" w14:textId="4D52860D" w:rsidR="634CB1F4" w:rsidRDefault="634CB1F4">
            <w:r w:rsidRPr="634CB1F4">
              <w:rPr>
                <w:rFonts w:ascii="Calibri" w:eastAsia="Calibri" w:hAnsi="Calibri" w:cs="Calibri"/>
                <w:i/>
                <w:iCs/>
                <w:color w:val="000000" w:themeColor="text1"/>
                <w:sz w:val="16"/>
                <w:szCs w:val="16"/>
              </w:rPr>
              <w:t>28-feb-07</w:t>
            </w:r>
          </w:p>
        </w:tc>
        <w:tc>
          <w:tcPr>
            <w:tcW w:w="838" w:type="dxa"/>
            <w:tcBorders>
              <w:top w:val="single" w:sz="4" w:space="0" w:color="auto"/>
              <w:left w:val="nil"/>
              <w:bottom w:val="single" w:sz="4" w:space="0" w:color="auto"/>
              <w:right w:val="nil"/>
            </w:tcBorders>
            <w:vAlign w:val="center"/>
          </w:tcPr>
          <w:p w14:paraId="6C1A8FE5" w14:textId="16BCD08E" w:rsidR="634CB1F4" w:rsidRDefault="634CB1F4" w:rsidP="634CB1F4">
            <w:pPr>
              <w:jc w:val="center"/>
            </w:pPr>
            <w:r w:rsidRPr="634CB1F4">
              <w:rPr>
                <w:rFonts w:ascii="Calibri" w:eastAsia="Calibri" w:hAnsi="Calibri" w:cs="Calibri"/>
                <w:i/>
                <w:iCs/>
                <w:color w:val="000000" w:themeColor="text1"/>
                <w:sz w:val="16"/>
                <w:szCs w:val="16"/>
              </w:rPr>
              <w:t>27</w:t>
            </w:r>
          </w:p>
        </w:tc>
        <w:tc>
          <w:tcPr>
            <w:tcW w:w="1126" w:type="dxa"/>
            <w:gridSpan w:val="2"/>
            <w:tcBorders>
              <w:top w:val="single" w:sz="4" w:space="0" w:color="auto"/>
              <w:left w:val="nil"/>
              <w:bottom w:val="single" w:sz="4" w:space="0" w:color="auto"/>
              <w:right w:val="single" w:sz="8" w:space="0" w:color="auto"/>
            </w:tcBorders>
            <w:vAlign w:val="center"/>
          </w:tcPr>
          <w:p w14:paraId="137B5D54" w14:textId="11C48A33" w:rsidR="634CB1F4" w:rsidRPr="00304238" w:rsidRDefault="634CB1F4">
            <w:pPr>
              <w:rPr>
                <w:sz w:val="18"/>
              </w:rPr>
            </w:pPr>
            <w:r w:rsidRPr="00304238">
              <w:rPr>
                <w:rFonts w:ascii="Arial" w:eastAsia="Arial" w:hAnsi="Arial" w:cs="Arial"/>
                <w:color w:val="000000" w:themeColor="text1"/>
                <w:sz w:val="18"/>
                <w:szCs w:val="18"/>
              </w:rPr>
              <w:t xml:space="preserve">867.400,00 </w:t>
            </w:r>
          </w:p>
        </w:tc>
        <w:tc>
          <w:tcPr>
            <w:tcW w:w="982" w:type="dxa"/>
            <w:tcBorders>
              <w:top w:val="nil"/>
              <w:left w:val="single" w:sz="12" w:space="0" w:color="auto"/>
              <w:bottom w:val="nil"/>
              <w:right w:val="single" w:sz="8" w:space="0" w:color="auto"/>
            </w:tcBorders>
            <w:vAlign w:val="center"/>
          </w:tcPr>
          <w:p w14:paraId="1ACE653B" w14:textId="10A18A84"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2228DBF9" w14:textId="76F648B1" w:rsidR="634CB1F4" w:rsidRDefault="634CB1F4">
            <w:r w:rsidRPr="634CB1F4">
              <w:rPr>
                <w:rFonts w:ascii="Calibri" w:eastAsia="Calibri" w:hAnsi="Calibri" w:cs="Calibri"/>
                <w:b/>
                <w:bCs/>
                <w:i/>
                <w:iCs/>
                <w:color w:val="000000" w:themeColor="text1"/>
                <w:sz w:val="16"/>
                <w:szCs w:val="16"/>
              </w:rPr>
              <w:t xml:space="preserve"> 1.166.336 </w:t>
            </w:r>
          </w:p>
        </w:tc>
        <w:tc>
          <w:tcPr>
            <w:tcW w:w="982" w:type="dxa"/>
            <w:tcBorders>
              <w:top w:val="single" w:sz="4" w:space="0" w:color="auto"/>
              <w:left w:val="nil"/>
              <w:bottom w:val="single" w:sz="4" w:space="0" w:color="auto"/>
              <w:right w:val="nil"/>
            </w:tcBorders>
            <w:vAlign w:val="center"/>
          </w:tcPr>
          <w:p w14:paraId="00680D26" w14:textId="5CBD5BAD"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755DC808" w14:textId="643722AF" w:rsidR="634CB1F4" w:rsidRDefault="634CB1F4" w:rsidP="634CB1F4">
            <w:pPr>
              <w:jc w:val="center"/>
            </w:pPr>
            <w:r w:rsidRPr="634CB1F4">
              <w:rPr>
                <w:rFonts w:ascii="Calibri" w:eastAsia="Calibri" w:hAnsi="Calibri" w:cs="Calibri"/>
                <w:i/>
                <w:iCs/>
                <w:color w:val="000000" w:themeColor="text1"/>
                <w:sz w:val="16"/>
                <w:szCs w:val="16"/>
              </w:rPr>
              <w:t xml:space="preserve"> 61,33 </w:t>
            </w:r>
          </w:p>
        </w:tc>
        <w:tc>
          <w:tcPr>
            <w:tcW w:w="982" w:type="dxa"/>
            <w:tcBorders>
              <w:top w:val="single" w:sz="4" w:space="0" w:color="auto"/>
              <w:left w:val="nil"/>
              <w:bottom w:val="single" w:sz="4" w:space="0" w:color="auto"/>
              <w:right w:val="single" w:sz="8" w:space="0" w:color="auto"/>
            </w:tcBorders>
            <w:vAlign w:val="center"/>
          </w:tcPr>
          <w:p w14:paraId="42FAE417" w14:textId="728BC446" w:rsidR="634CB1F4" w:rsidRDefault="634CB1F4">
            <w:r w:rsidRPr="634CB1F4">
              <w:rPr>
                <w:rFonts w:ascii="Calibri" w:eastAsia="Calibri" w:hAnsi="Calibri" w:cs="Calibri"/>
                <w:i/>
                <w:iCs/>
                <w:color w:val="000000" w:themeColor="text1"/>
                <w:sz w:val="16"/>
                <w:szCs w:val="16"/>
              </w:rPr>
              <w:t xml:space="preserve"> 5.480,5 </w:t>
            </w:r>
          </w:p>
        </w:tc>
      </w:tr>
      <w:tr w:rsidR="634CB1F4" w14:paraId="2AC2E703" w14:textId="77777777" w:rsidTr="00304238">
        <w:trPr>
          <w:trHeight w:val="315"/>
        </w:trPr>
        <w:tc>
          <w:tcPr>
            <w:tcW w:w="982" w:type="dxa"/>
            <w:tcBorders>
              <w:top w:val="nil"/>
              <w:left w:val="nil"/>
              <w:bottom w:val="nil"/>
              <w:right w:val="nil"/>
            </w:tcBorders>
            <w:vAlign w:val="center"/>
          </w:tcPr>
          <w:p w14:paraId="10A20449" w14:textId="331B8F34" w:rsidR="634CB1F4" w:rsidRDefault="634CB1F4" w:rsidP="634CB1F4">
            <w:pPr>
              <w:jc w:val="center"/>
            </w:pPr>
            <w:r w:rsidRPr="634CB1F4">
              <w:rPr>
                <w:rFonts w:ascii="Arial" w:eastAsia="Arial" w:hAnsi="Arial" w:cs="Arial"/>
                <w:b/>
                <w:bCs/>
                <w:color w:val="000000" w:themeColor="text1"/>
                <w:sz w:val="18"/>
                <w:szCs w:val="18"/>
              </w:rPr>
              <w:t>1-nov-13</w:t>
            </w:r>
          </w:p>
        </w:tc>
        <w:tc>
          <w:tcPr>
            <w:tcW w:w="982" w:type="dxa"/>
            <w:tcBorders>
              <w:top w:val="single" w:sz="4" w:space="0" w:color="auto"/>
              <w:left w:val="nil"/>
              <w:bottom w:val="single" w:sz="4" w:space="0" w:color="auto"/>
              <w:right w:val="nil"/>
            </w:tcBorders>
            <w:vAlign w:val="center"/>
          </w:tcPr>
          <w:p w14:paraId="6872A813" w14:textId="6D141DA1" w:rsidR="634CB1F4" w:rsidRDefault="634CB1F4">
            <w:r w:rsidRPr="634CB1F4">
              <w:rPr>
                <w:rFonts w:ascii="Calibri" w:eastAsia="Calibri" w:hAnsi="Calibri" w:cs="Calibri"/>
                <w:i/>
                <w:iCs/>
                <w:color w:val="000000" w:themeColor="text1"/>
                <w:sz w:val="16"/>
                <w:szCs w:val="16"/>
              </w:rPr>
              <w:t>31-dic-13</w:t>
            </w:r>
          </w:p>
        </w:tc>
        <w:tc>
          <w:tcPr>
            <w:tcW w:w="838" w:type="dxa"/>
            <w:tcBorders>
              <w:top w:val="single" w:sz="4" w:space="0" w:color="auto"/>
              <w:left w:val="nil"/>
              <w:bottom w:val="single" w:sz="4" w:space="0" w:color="auto"/>
              <w:right w:val="nil"/>
            </w:tcBorders>
            <w:vAlign w:val="center"/>
          </w:tcPr>
          <w:p w14:paraId="06E3024F" w14:textId="292EBA63" w:rsidR="634CB1F4" w:rsidRDefault="634CB1F4" w:rsidP="634CB1F4">
            <w:pPr>
              <w:jc w:val="center"/>
            </w:pPr>
            <w:r w:rsidRPr="634CB1F4">
              <w:rPr>
                <w:rFonts w:ascii="Calibri" w:eastAsia="Calibri" w:hAnsi="Calibri" w:cs="Calibri"/>
                <w:i/>
                <w:iCs/>
                <w:color w:val="000000" w:themeColor="text1"/>
                <w:sz w:val="16"/>
                <w:szCs w:val="16"/>
              </w:rPr>
              <w:t>60</w:t>
            </w:r>
          </w:p>
        </w:tc>
        <w:tc>
          <w:tcPr>
            <w:tcW w:w="1126" w:type="dxa"/>
            <w:gridSpan w:val="2"/>
            <w:tcBorders>
              <w:top w:val="single" w:sz="4" w:space="0" w:color="auto"/>
              <w:left w:val="nil"/>
              <w:bottom w:val="single" w:sz="4" w:space="0" w:color="auto"/>
              <w:right w:val="single" w:sz="8" w:space="0" w:color="auto"/>
            </w:tcBorders>
            <w:vAlign w:val="center"/>
          </w:tcPr>
          <w:p w14:paraId="67AC63E7" w14:textId="3BF6701D" w:rsidR="634CB1F4" w:rsidRPr="00304238" w:rsidRDefault="634CB1F4">
            <w:pPr>
              <w:rPr>
                <w:sz w:val="18"/>
              </w:rPr>
            </w:pPr>
            <w:r w:rsidRPr="00304238">
              <w:rPr>
                <w:rFonts w:ascii="Arial" w:eastAsia="Arial" w:hAnsi="Arial" w:cs="Arial"/>
                <w:color w:val="000000" w:themeColor="text1"/>
                <w:sz w:val="18"/>
                <w:szCs w:val="18"/>
              </w:rPr>
              <w:t xml:space="preserve">589.500,00 </w:t>
            </w:r>
          </w:p>
        </w:tc>
        <w:tc>
          <w:tcPr>
            <w:tcW w:w="982" w:type="dxa"/>
            <w:tcBorders>
              <w:top w:val="nil"/>
              <w:left w:val="single" w:sz="12" w:space="0" w:color="auto"/>
              <w:bottom w:val="nil"/>
              <w:right w:val="single" w:sz="8" w:space="0" w:color="auto"/>
            </w:tcBorders>
            <w:vAlign w:val="center"/>
          </w:tcPr>
          <w:p w14:paraId="17272D87" w14:textId="5CBFBC46"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5DB4076F" w14:textId="33596947" w:rsidR="634CB1F4" w:rsidRDefault="634CB1F4">
            <w:r w:rsidRPr="634CB1F4">
              <w:rPr>
                <w:rFonts w:ascii="Calibri" w:eastAsia="Calibri" w:hAnsi="Calibri" w:cs="Calibri"/>
                <w:b/>
                <w:bCs/>
                <w:i/>
                <w:iCs/>
                <w:color w:val="000000" w:themeColor="text1"/>
                <w:sz w:val="16"/>
                <w:szCs w:val="16"/>
              </w:rPr>
              <w:t xml:space="preserve"> 622.903 </w:t>
            </w:r>
          </w:p>
        </w:tc>
        <w:tc>
          <w:tcPr>
            <w:tcW w:w="982" w:type="dxa"/>
            <w:tcBorders>
              <w:top w:val="single" w:sz="4" w:space="0" w:color="auto"/>
              <w:left w:val="nil"/>
              <w:bottom w:val="single" w:sz="4" w:space="0" w:color="auto"/>
              <w:right w:val="nil"/>
            </w:tcBorders>
            <w:vAlign w:val="center"/>
          </w:tcPr>
          <w:p w14:paraId="236595E0" w14:textId="7CC87462"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48B4E11E" w14:textId="51FA7F37" w:rsidR="634CB1F4" w:rsidRDefault="634CB1F4" w:rsidP="634CB1F4">
            <w:pPr>
              <w:jc w:val="center"/>
            </w:pPr>
            <w:r w:rsidRPr="634CB1F4">
              <w:rPr>
                <w:rFonts w:ascii="Calibri" w:eastAsia="Calibri" w:hAnsi="Calibri" w:cs="Calibri"/>
                <w:i/>
                <w:iCs/>
                <w:color w:val="000000" w:themeColor="text1"/>
                <w:sz w:val="16"/>
                <w:szCs w:val="16"/>
              </w:rPr>
              <w:t xml:space="preserve"> 78,05 </w:t>
            </w:r>
          </w:p>
        </w:tc>
        <w:tc>
          <w:tcPr>
            <w:tcW w:w="982" w:type="dxa"/>
            <w:tcBorders>
              <w:top w:val="single" w:sz="4" w:space="0" w:color="auto"/>
              <w:left w:val="nil"/>
              <w:bottom w:val="single" w:sz="4" w:space="0" w:color="auto"/>
              <w:right w:val="single" w:sz="8" w:space="0" w:color="auto"/>
            </w:tcBorders>
            <w:vAlign w:val="center"/>
          </w:tcPr>
          <w:p w14:paraId="3FE05A91" w14:textId="0243FA4F" w:rsidR="634CB1F4" w:rsidRDefault="634CB1F4">
            <w:r w:rsidRPr="634CB1F4">
              <w:rPr>
                <w:rFonts w:ascii="Calibri" w:eastAsia="Calibri" w:hAnsi="Calibri" w:cs="Calibri"/>
                <w:i/>
                <w:iCs/>
                <w:color w:val="000000" w:themeColor="text1"/>
                <w:sz w:val="16"/>
                <w:szCs w:val="16"/>
              </w:rPr>
              <w:t xml:space="preserve"> 6.504,4 </w:t>
            </w:r>
          </w:p>
        </w:tc>
      </w:tr>
      <w:tr w:rsidR="634CB1F4" w14:paraId="1AC5F596" w14:textId="77777777" w:rsidTr="00304238">
        <w:trPr>
          <w:trHeight w:val="315"/>
        </w:trPr>
        <w:tc>
          <w:tcPr>
            <w:tcW w:w="982" w:type="dxa"/>
            <w:tcBorders>
              <w:top w:val="nil"/>
              <w:left w:val="nil"/>
              <w:bottom w:val="nil"/>
              <w:right w:val="nil"/>
            </w:tcBorders>
            <w:vAlign w:val="center"/>
          </w:tcPr>
          <w:p w14:paraId="597538D8" w14:textId="2033490F" w:rsidR="634CB1F4" w:rsidRDefault="634CB1F4" w:rsidP="634CB1F4">
            <w:pPr>
              <w:jc w:val="center"/>
            </w:pPr>
            <w:r w:rsidRPr="634CB1F4">
              <w:rPr>
                <w:rFonts w:ascii="Arial" w:eastAsia="Arial" w:hAnsi="Arial" w:cs="Arial"/>
                <w:b/>
                <w:bCs/>
                <w:color w:val="000000" w:themeColor="text1"/>
                <w:sz w:val="18"/>
                <w:szCs w:val="18"/>
              </w:rPr>
              <w:t>1-ene-14</w:t>
            </w:r>
          </w:p>
        </w:tc>
        <w:tc>
          <w:tcPr>
            <w:tcW w:w="982" w:type="dxa"/>
            <w:tcBorders>
              <w:top w:val="single" w:sz="4" w:space="0" w:color="auto"/>
              <w:left w:val="nil"/>
              <w:bottom w:val="single" w:sz="4" w:space="0" w:color="auto"/>
              <w:right w:val="nil"/>
            </w:tcBorders>
            <w:vAlign w:val="center"/>
          </w:tcPr>
          <w:p w14:paraId="0AC8A1C3" w14:textId="21B6E7F7" w:rsidR="634CB1F4" w:rsidRDefault="634CB1F4">
            <w:r w:rsidRPr="634CB1F4">
              <w:rPr>
                <w:rFonts w:ascii="Calibri" w:eastAsia="Calibri" w:hAnsi="Calibri" w:cs="Calibri"/>
                <w:i/>
                <w:iCs/>
                <w:color w:val="000000" w:themeColor="text1"/>
                <w:sz w:val="16"/>
                <w:szCs w:val="16"/>
              </w:rPr>
              <w:t>31-ene-14</w:t>
            </w:r>
          </w:p>
        </w:tc>
        <w:tc>
          <w:tcPr>
            <w:tcW w:w="838" w:type="dxa"/>
            <w:tcBorders>
              <w:top w:val="single" w:sz="4" w:space="0" w:color="auto"/>
              <w:left w:val="nil"/>
              <w:bottom w:val="single" w:sz="4" w:space="0" w:color="auto"/>
              <w:right w:val="nil"/>
            </w:tcBorders>
            <w:vAlign w:val="center"/>
          </w:tcPr>
          <w:p w14:paraId="7D935352" w14:textId="664C7AB9" w:rsidR="634CB1F4" w:rsidRDefault="634CB1F4" w:rsidP="634CB1F4">
            <w:pPr>
              <w:jc w:val="center"/>
            </w:pPr>
            <w:r w:rsidRPr="634CB1F4">
              <w:rPr>
                <w:rFonts w:ascii="Calibri" w:eastAsia="Calibri" w:hAnsi="Calibri" w:cs="Calibri"/>
                <w:i/>
                <w:iCs/>
                <w:color w:val="000000" w:themeColor="text1"/>
                <w:sz w:val="16"/>
                <w:szCs w:val="16"/>
              </w:rPr>
              <w:t>31</w:t>
            </w:r>
          </w:p>
        </w:tc>
        <w:tc>
          <w:tcPr>
            <w:tcW w:w="1126" w:type="dxa"/>
            <w:gridSpan w:val="2"/>
            <w:tcBorders>
              <w:top w:val="single" w:sz="4" w:space="0" w:color="auto"/>
              <w:left w:val="nil"/>
              <w:bottom w:val="single" w:sz="4" w:space="0" w:color="auto"/>
              <w:right w:val="single" w:sz="8" w:space="0" w:color="auto"/>
            </w:tcBorders>
            <w:vAlign w:val="center"/>
          </w:tcPr>
          <w:p w14:paraId="65709FFD" w14:textId="7837DB1A" w:rsidR="634CB1F4" w:rsidRPr="00304238" w:rsidRDefault="634CB1F4">
            <w:pPr>
              <w:rPr>
                <w:sz w:val="18"/>
              </w:rPr>
            </w:pPr>
            <w:r w:rsidRPr="00304238">
              <w:rPr>
                <w:rFonts w:ascii="Arial" w:eastAsia="Arial" w:hAnsi="Arial" w:cs="Arial"/>
                <w:color w:val="000000" w:themeColor="text1"/>
                <w:sz w:val="18"/>
                <w:szCs w:val="18"/>
              </w:rPr>
              <w:t xml:space="preserve">589.500,00 </w:t>
            </w:r>
          </w:p>
        </w:tc>
        <w:tc>
          <w:tcPr>
            <w:tcW w:w="982" w:type="dxa"/>
            <w:tcBorders>
              <w:top w:val="nil"/>
              <w:left w:val="single" w:sz="12" w:space="0" w:color="auto"/>
              <w:bottom w:val="nil"/>
              <w:right w:val="single" w:sz="8" w:space="0" w:color="auto"/>
            </w:tcBorders>
            <w:vAlign w:val="center"/>
          </w:tcPr>
          <w:p w14:paraId="331F5093" w14:textId="1316A345"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0E983188" w14:textId="3FDFA0F0" w:rsidR="634CB1F4" w:rsidRDefault="634CB1F4">
            <w:r w:rsidRPr="634CB1F4">
              <w:rPr>
                <w:rFonts w:ascii="Calibri" w:eastAsia="Calibri" w:hAnsi="Calibri" w:cs="Calibri"/>
                <w:b/>
                <w:bCs/>
                <w:i/>
                <w:iCs/>
                <w:color w:val="000000" w:themeColor="text1"/>
                <w:sz w:val="16"/>
                <w:szCs w:val="16"/>
              </w:rPr>
              <w:t xml:space="preserve"> 611.062 </w:t>
            </w:r>
          </w:p>
        </w:tc>
        <w:tc>
          <w:tcPr>
            <w:tcW w:w="982" w:type="dxa"/>
            <w:tcBorders>
              <w:top w:val="single" w:sz="4" w:space="0" w:color="auto"/>
              <w:left w:val="nil"/>
              <w:bottom w:val="single" w:sz="4" w:space="0" w:color="auto"/>
              <w:right w:val="nil"/>
            </w:tcBorders>
            <w:vAlign w:val="center"/>
          </w:tcPr>
          <w:p w14:paraId="30BC7B29" w14:textId="19070334"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0D5F2AB2" w14:textId="5F7DFF05" w:rsidR="634CB1F4" w:rsidRDefault="634CB1F4" w:rsidP="634CB1F4">
            <w:pPr>
              <w:jc w:val="center"/>
            </w:pPr>
            <w:r w:rsidRPr="634CB1F4">
              <w:rPr>
                <w:rFonts w:ascii="Calibri" w:eastAsia="Calibri" w:hAnsi="Calibri" w:cs="Calibri"/>
                <w:i/>
                <w:iCs/>
                <w:color w:val="000000" w:themeColor="text1"/>
                <w:sz w:val="16"/>
                <w:szCs w:val="16"/>
              </w:rPr>
              <w:t xml:space="preserve"> 79,56 </w:t>
            </w:r>
          </w:p>
        </w:tc>
        <w:tc>
          <w:tcPr>
            <w:tcW w:w="982" w:type="dxa"/>
            <w:tcBorders>
              <w:top w:val="single" w:sz="4" w:space="0" w:color="auto"/>
              <w:left w:val="nil"/>
              <w:bottom w:val="single" w:sz="4" w:space="0" w:color="auto"/>
              <w:right w:val="single" w:sz="8" w:space="0" w:color="auto"/>
            </w:tcBorders>
            <w:vAlign w:val="center"/>
          </w:tcPr>
          <w:p w14:paraId="54488DF9" w14:textId="744B211A" w:rsidR="634CB1F4" w:rsidRDefault="634CB1F4">
            <w:r w:rsidRPr="634CB1F4">
              <w:rPr>
                <w:rFonts w:ascii="Calibri" w:eastAsia="Calibri" w:hAnsi="Calibri" w:cs="Calibri"/>
                <w:i/>
                <w:iCs/>
                <w:color w:val="000000" w:themeColor="text1"/>
                <w:sz w:val="16"/>
                <w:szCs w:val="16"/>
              </w:rPr>
              <w:t xml:space="preserve"> 3.296,7 </w:t>
            </w:r>
          </w:p>
        </w:tc>
      </w:tr>
      <w:tr w:rsidR="634CB1F4" w14:paraId="72534302" w14:textId="77777777" w:rsidTr="00304238">
        <w:trPr>
          <w:trHeight w:val="315"/>
        </w:trPr>
        <w:tc>
          <w:tcPr>
            <w:tcW w:w="982" w:type="dxa"/>
            <w:tcBorders>
              <w:top w:val="single" w:sz="4" w:space="0" w:color="auto"/>
              <w:left w:val="nil"/>
              <w:bottom w:val="single" w:sz="4" w:space="0" w:color="auto"/>
              <w:right w:val="nil"/>
            </w:tcBorders>
            <w:vAlign w:val="center"/>
          </w:tcPr>
          <w:p w14:paraId="3001B554" w14:textId="4330EFBD" w:rsidR="634CB1F4" w:rsidRPr="002B2662" w:rsidRDefault="634CB1F4" w:rsidP="634CB1F4">
            <w:pPr>
              <w:jc w:val="center"/>
              <w:rPr>
                <w:b/>
              </w:rPr>
            </w:pPr>
            <w:r w:rsidRPr="002B2662">
              <w:rPr>
                <w:rFonts w:ascii="Arial" w:eastAsia="Arial" w:hAnsi="Arial" w:cs="Arial"/>
                <w:b/>
                <w:color w:val="000000" w:themeColor="text1"/>
                <w:sz w:val="18"/>
                <w:szCs w:val="18"/>
              </w:rPr>
              <w:t>1-feb-14</w:t>
            </w:r>
          </w:p>
        </w:tc>
        <w:tc>
          <w:tcPr>
            <w:tcW w:w="982" w:type="dxa"/>
            <w:tcBorders>
              <w:top w:val="single" w:sz="4" w:space="0" w:color="auto"/>
              <w:left w:val="nil"/>
              <w:bottom w:val="single" w:sz="4" w:space="0" w:color="auto"/>
              <w:right w:val="nil"/>
            </w:tcBorders>
            <w:vAlign w:val="center"/>
          </w:tcPr>
          <w:p w14:paraId="256F608C" w14:textId="56CCC173" w:rsidR="634CB1F4" w:rsidRDefault="634CB1F4">
            <w:r w:rsidRPr="634CB1F4">
              <w:rPr>
                <w:rFonts w:ascii="Calibri" w:eastAsia="Calibri" w:hAnsi="Calibri" w:cs="Calibri"/>
                <w:i/>
                <w:iCs/>
                <w:color w:val="000000" w:themeColor="text1"/>
                <w:sz w:val="16"/>
                <w:szCs w:val="16"/>
              </w:rPr>
              <w:t>31-</w:t>
            </w:r>
            <w:proofErr w:type="spellStart"/>
            <w:r w:rsidRPr="634CB1F4">
              <w:rPr>
                <w:rFonts w:ascii="Calibri" w:eastAsia="Calibri" w:hAnsi="Calibri" w:cs="Calibri"/>
                <w:i/>
                <w:iCs/>
                <w:color w:val="000000" w:themeColor="text1"/>
                <w:sz w:val="16"/>
                <w:szCs w:val="16"/>
              </w:rPr>
              <w:t>ago</w:t>
            </w:r>
            <w:proofErr w:type="spellEnd"/>
            <w:r w:rsidRPr="634CB1F4">
              <w:rPr>
                <w:rFonts w:ascii="Calibri" w:eastAsia="Calibri" w:hAnsi="Calibri" w:cs="Calibri"/>
                <w:i/>
                <w:iCs/>
                <w:color w:val="000000" w:themeColor="text1"/>
                <w:sz w:val="16"/>
                <w:szCs w:val="16"/>
              </w:rPr>
              <w:t>-14</w:t>
            </w:r>
          </w:p>
        </w:tc>
        <w:tc>
          <w:tcPr>
            <w:tcW w:w="838" w:type="dxa"/>
            <w:tcBorders>
              <w:top w:val="single" w:sz="4" w:space="0" w:color="auto"/>
              <w:left w:val="nil"/>
              <w:bottom w:val="single" w:sz="4" w:space="0" w:color="auto"/>
              <w:right w:val="nil"/>
            </w:tcBorders>
            <w:vAlign w:val="center"/>
          </w:tcPr>
          <w:p w14:paraId="5FB63663" w14:textId="5C6775A6" w:rsidR="634CB1F4" w:rsidRDefault="634CB1F4" w:rsidP="634CB1F4">
            <w:pPr>
              <w:jc w:val="center"/>
            </w:pPr>
            <w:r w:rsidRPr="634CB1F4">
              <w:rPr>
                <w:rFonts w:ascii="Calibri" w:eastAsia="Calibri" w:hAnsi="Calibri" w:cs="Calibri"/>
                <w:i/>
                <w:iCs/>
                <w:color w:val="000000" w:themeColor="text1"/>
                <w:sz w:val="16"/>
                <w:szCs w:val="16"/>
              </w:rPr>
              <w:t>210</w:t>
            </w:r>
          </w:p>
        </w:tc>
        <w:tc>
          <w:tcPr>
            <w:tcW w:w="1126" w:type="dxa"/>
            <w:gridSpan w:val="2"/>
            <w:tcBorders>
              <w:top w:val="single" w:sz="4" w:space="0" w:color="auto"/>
              <w:left w:val="nil"/>
              <w:bottom w:val="single" w:sz="4" w:space="0" w:color="auto"/>
              <w:right w:val="single" w:sz="8" w:space="0" w:color="auto"/>
            </w:tcBorders>
            <w:vAlign w:val="center"/>
          </w:tcPr>
          <w:p w14:paraId="691D6B86" w14:textId="11DD7B18" w:rsidR="634CB1F4" w:rsidRPr="00304238" w:rsidRDefault="634CB1F4">
            <w:pPr>
              <w:rPr>
                <w:sz w:val="18"/>
              </w:rPr>
            </w:pPr>
            <w:r w:rsidRPr="00304238">
              <w:rPr>
                <w:rFonts w:ascii="Arial" w:eastAsia="Arial" w:hAnsi="Arial" w:cs="Arial"/>
                <w:color w:val="000000" w:themeColor="text1"/>
                <w:sz w:val="18"/>
                <w:szCs w:val="18"/>
              </w:rPr>
              <w:t xml:space="preserve">616.000,00 </w:t>
            </w:r>
          </w:p>
        </w:tc>
        <w:tc>
          <w:tcPr>
            <w:tcW w:w="982" w:type="dxa"/>
            <w:tcBorders>
              <w:top w:val="nil"/>
              <w:left w:val="single" w:sz="12" w:space="0" w:color="auto"/>
              <w:bottom w:val="nil"/>
              <w:right w:val="single" w:sz="8" w:space="0" w:color="auto"/>
            </w:tcBorders>
            <w:vAlign w:val="center"/>
          </w:tcPr>
          <w:p w14:paraId="0C69949C" w14:textId="2D647EAD"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3BF85D3C" w14:textId="6618B790" w:rsidR="634CB1F4" w:rsidRDefault="634CB1F4">
            <w:r w:rsidRPr="634CB1F4">
              <w:rPr>
                <w:rFonts w:ascii="Calibri" w:eastAsia="Calibri" w:hAnsi="Calibri" w:cs="Calibri"/>
                <w:b/>
                <w:bCs/>
                <w:i/>
                <w:iCs/>
                <w:color w:val="000000" w:themeColor="text1"/>
                <w:sz w:val="16"/>
                <w:szCs w:val="16"/>
              </w:rPr>
              <w:t xml:space="preserve"> 638.531 </w:t>
            </w:r>
          </w:p>
        </w:tc>
        <w:tc>
          <w:tcPr>
            <w:tcW w:w="982" w:type="dxa"/>
            <w:tcBorders>
              <w:top w:val="single" w:sz="4" w:space="0" w:color="auto"/>
              <w:left w:val="nil"/>
              <w:bottom w:val="single" w:sz="4" w:space="0" w:color="auto"/>
              <w:right w:val="nil"/>
            </w:tcBorders>
            <w:vAlign w:val="center"/>
          </w:tcPr>
          <w:p w14:paraId="44716A18" w14:textId="441BB50C"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2D3DC07C" w14:textId="4780E796" w:rsidR="634CB1F4" w:rsidRDefault="634CB1F4" w:rsidP="634CB1F4">
            <w:pPr>
              <w:jc w:val="center"/>
            </w:pPr>
            <w:r w:rsidRPr="634CB1F4">
              <w:rPr>
                <w:rFonts w:ascii="Calibri" w:eastAsia="Calibri" w:hAnsi="Calibri" w:cs="Calibri"/>
                <w:i/>
                <w:iCs/>
                <w:color w:val="000000" w:themeColor="text1"/>
                <w:sz w:val="16"/>
                <w:szCs w:val="16"/>
              </w:rPr>
              <w:t xml:space="preserve"> 79,56 </w:t>
            </w:r>
          </w:p>
        </w:tc>
        <w:tc>
          <w:tcPr>
            <w:tcW w:w="982" w:type="dxa"/>
            <w:tcBorders>
              <w:top w:val="single" w:sz="4" w:space="0" w:color="auto"/>
              <w:left w:val="nil"/>
              <w:bottom w:val="single" w:sz="4" w:space="0" w:color="auto"/>
              <w:right w:val="single" w:sz="8" w:space="0" w:color="auto"/>
            </w:tcBorders>
            <w:vAlign w:val="center"/>
          </w:tcPr>
          <w:p w14:paraId="693ED07B" w14:textId="183A9C6D" w:rsidR="634CB1F4" w:rsidRDefault="634CB1F4">
            <w:r w:rsidRPr="634CB1F4">
              <w:rPr>
                <w:rFonts w:ascii="Calibri" w:eastAsia="Calibri" w:hAnsi="Calibri" w:cs="Calibri"/>
                <w:i/>
                <w:iCs/>
                <w:color w:val="000000" w:themeColor="text1"/>
                <w:sz w:val="16"/>
                <w:szCs w:val="16"/>
              </w:rPr>
              <w:t xml:space="preserve"> 23.336,5 </w:t>
            </w:r>
          </w:p>
        </w:tc>
      </w:tr>
      <w:tr w:rsidR="634CB1F4" w14:paraId="57830604" w14:textId="77777777" w:rsidTr="00304238">
        <w:trPr>
          <w:trHeight w:val="315"/>
        </w:trPr>
        <w:tc>
          <w:tcPr>
            <w:tcW w:w="982" w:type="dxa"/>
            <w:tcBorders>
              <w:top w:val="single" w:sz="4" w:space="0" w:color="auto"/>
              <w:left w:val="nil"/>
              <w:bottom w:val="nil"/>
              <w:right w:val="nil"/>
            </w:tcBorders>
            <w:vAlign w:val="center"/>
          </w:tcPr>
          <w:p w14:paraId="4FC77280" w14:textId="31512A5B" w:rsidR="634CB1F4" w:rsidRDefault="634CB1F4" w:rsidP="634CB1F4">
            <w:pPr>
              <w:jc w:val="center"/>
            </w:pPr>
            <w:r w:rsidRPr="634CB1F4">
              <w:rPr>
                <w:rFonts w:ascii="Arial" w:eastAsia="Arial" w:hAnsi="Arial" w:cs="Arial"/>
                <w:b/>
                <w:bCs/>
                <w:color w:val="000000" w:themeColor="text1"/>
                <w:sz w:val="18"/>
                <w:szCs w:val="18"/>
              </w:rPr>
              <w:t>1-oct-14</w:t>
            </w:r>
          </w:p>
        </w:tc>
        <w:tc>
          <w:tcPr>
            <w:tcW w:w="982" w:type="dxa"/>
            <w:tcBorders>
              <w:top w:val="single" w:sz="4" w:space="0" w:color="auto"/>
              <w:left w:val="nil"/>
              <w:bottom w:val="single" w:sz="4" w:space="0" w:color="auto"/>
              <w:right w:val="nil"/>
            </w:tcBorders>
            <w:vAlign w:val="center"/>
          </w:tcPr>
          <w:p w14:paraId="7360EE29" w14:textId="59538755" w:rsidR="634CB1F4" w:rsidRDefault="634CB1F4">
            <w:r w:rsidRPr="634CB1F4">
              <w:rPr>
                <w:rFonts w:ascii="Calibri" w:eastAsia="Calibri" w:hAnsi="Calibri" w:cs="Calibri"/>
                <w:i/>
                <w:iCs/>
                <w:color w:val="000000" w:themeColor="text1"/>
                <w:sz w:val="16"/>
                <w:szCs w:val="16"/>
              </w:rPr>
              <w:t>30-nov-14</w:t>
            </w:r>
          </w:p>
        </w:tc>
        <w:tc>
          <w:tcPr>
            <w:tcW w:w="838" w:type="dxa"/>
            <w:tcBorders>
              <w:top w:val="single" w:sz="4" w:space="0" w:color="auto"/>
              <w:left w:val="nil"/>
              <w:bottom w:val="single" w:sz="4" w:space="0" w:color="auto"/>
              <w:right w:val="nil"/>
            </w:tcBorders>
            <w:vAlign w:val="center"/>
          </w:tcPr>
          <w:p w14:paraId="29A9FB69" w14:textId="26C300B6" w:rsidR="634CB1F4" w:rsidRDefault="634CB1F4" w:rsidP="634CB1F4">
            <w:pPr>
              <w:jc w:val="center"/>
            </w:pPr>
            <w:r w:rsidRPr="634CB1F4">
              <w:rPr>
                <w:rFonts w:ascii="Calibri" w:eastAsia="Calibri" w:hAnsi="Calibri" w:cs="Calibri"/>
                <w:i/>
                <w:iCs/>
                <w:color w:val="000000" w:themeColor="text1"/>
                <w:sz w:val="16"/>
                <w:szCs w:val="16"/>
              </w:rPr>
              <w:t>60</w:t>
            </w:r>
          </w:p>
        </w:tc>
        <w:tc>
          <w:tcPr>
            <w:tcW w:w="1126" w:type="dxa"/>
            <w:gridSpan w:val="2"/>
            <w:tcBorders>
              <w:top w:val="single" w:sz="4" w:space="0" w:color="auto"/>
              <w:left w:val="nil"/>
              <w:bottom w:val="single" w:sz="4" w:space="0" w:color="auto"/>
              <w:right w:val="single" w:sz="8" w:space="0" w:color="auto"/>
            </w:tcBorders>
            <w:vAlign w:val="center"/>
          </w:tcPr>
          <w:p w14:paraId="3FD7E200" w14:textId="78C80AED" w:rsidR="634CB1F4" w:rsidRPr="00304238" w:rsidRDefault="634CB1F4">
            <w:pPr>
              <w:rPr>
                <w:sz w:val="18"/>
              </w:rPr>
            </w:pPr>
            <w:r w:rsidRPr="00304238">
              <w:rPr>
                <w:rFonts w:ascii="Arial" w:eastAsia="Arial" w:hAnsi="Arial" w:cs="Arial"/>
                <w:color w:val="000000" w:themeColor="text1"/>
                <w:sz w:val="18"/>
                <w:szCs w:val="18"/>
              </w:rPr>
              <w:t xml:space="preserve">616.000,00 </w:t>
            </w:r>
          </w:p>
        </w:tc>
        <w:tc>
          <w:tcPr>
            <w:tcW w:w="982" w:type="dxa"/>
            <w:tcBorders>
              <w:top w:val="nil"/>
              <w:left w:val="single" w:sz="12" w:space="0" w:color="auto"/>
              <w:bottom w:val="nil"/>
              <w:right w:val="single" w:sz="8" w:space="0" w:color="auto"/>
            </w:tcBorders>
            <w:vAlign w:val="center"/>
          </w:tcPr>
          <w:p w14:paraId="410C4E2A" w14:textId="447E5972"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2FD2E272" w14:textId="0F830F8B" w:rsidR="634CB1F4" w:rsidRDefault="634CB1F4">
            <w:r w:rsidRPr="634CB1F4">
              <w:rPr>
                <w:rFonts w:ascii="Calibri" w:eastAsia="Calibri" w:hAnsi="Calibri" w:cs="Calibri"/>
                <w:b/>
                <w:bCs/>
                <w:i/>
                <w:iCs/>
                <w:color w:val="000000" w:themeColor="text1"/>
                <w:sz w:val="16"/>
                <w:szCs w:val="16"/>
              </w:rPr>
              <w:t xml:space="preserve"> 638.531 </w:t>
            </w:r>
          </w:p>
        </w:tc>
        <w:tc>
          <w:tcPr>
            <w:tcW w:w="982" w:type="dxa"/>
            <w:tcBorders>
              <w:top w:val="single" w:sz="4" w:space="0" w:color="auto"/>
              <w:left w:val="nil"/>
              <w:bottom w:val="single" w:sz="4" w:space="0" w:color="auto"/>
              <w:right w:val="nil"/>
            </w:tcBorders>
            <w:vAlign w:val="center"/>
          </w:tcPr>
          <w:p w14:paraId="79C2CC9B" w14:textId="2AC27971"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5F422FDF" w14:textId="035F58EC" w:rsidR="634CB1F4" w:rsidRDefault="634CB1F4" w:rsidP="634CB1F4">
            <w:pPr>
              <w:jc w:val="center"/>
            </w:pPr>
            <w:r w:rsidRPr="634CB1F4">
              <w:rPr>
                <w:rFonts w:ascii="Calibri" w:eastAsia="Calibri" w:hAnsi="Calibri" w:cs="Calibri"/>
                <w:i/>
                <w:iCs/>
                <w:color w:val="000000" w:themeColor="text1"/>
                <w:sz w:val="16"/>
                <w:szCs w:val="16"/>
              </w:rPr>
              <w:t xml:space="preserve"> 79,56 </w:t>
            </w:r>
          </w:p>
        </w:tc>
        <w:tc>
          <w:tcPr>
            <w:tcW w:w="982" w:type="dxa"/>
            <w:tcBorders>
              <w:top w:val="single" w:sz="4" w:space="0" w:color="auto"/>
              <w:left w:val="nil"/>
              <w:bottom w:val="single" w:sz="4" w:space="0" w:color="auto"/>
              <w:right w:val="single" w:sz="8" w:space="0" w:color="auto"/>
            </w:tcBorders>
            <w:vAlign w:val="center"/>
          </w:tcPr>
          <w:p w14:paraId="4020E4F4" w14:textId="449B079F" w:rsidR="634CB1F4" w:rsidRDefault="634CB1F4">
            <w:r w:rsidRPr="634CB1F4">
              <w:rPr>
                <w:rFonts w:ascii="Calibri" w:eastAsia="Calibri" w:hAnsi="Calibri" w:cs="Calibri"/>
                <w:i/>
                <w:iCs/>
                <w:color w:val="000000" w:themeColor="text1"/>
                <w:sz w:val="16"/>
                <w:szCs w:val="16"/>
              </w:rPr>
              <w:t xml:space="preserve"> 6.667,6 </w:t>
            </w:r>
          </w:p>
        </w:tc>
      </w:tr>
      <w:tr w:rsidR="634CB1F4" w14:paraId="6C873213" w14:textId="77777777" w:rsidTr="00304238">
        <w:trPr>
          <w:trHeight w:val="315"/>
        </w:trPr>
        <w:tc>
          <w:tcPr>
            <w:tcW w:w="982" w:type="dxa"/>
            <w:tcBorders>
              <w:top w:val="nil"/>
              <w:left w:val="nil"/>
              <w:bottom w:val="nil"/>
              <w:right w:val="nil"/>
            </w:tcBorders>
            <w:vAlign w:val="center"/>
          </w:tcPr>
          <w:p w14:paraId="7C1F6BFC" w14:textId="2D754846" w:rsidR="634CB1F4" w:rsidRDefault="634CB1F4" w:rsidP="634CB1F4">
            <w:pPr>
              <w:jc w:val="center"/>
            </w:pPr>
            <w:r w:rsidRPr="634CB1F4">
              <w:rPr>
                <w:rFonts w:ascii="Arial" w:eastAsia="Arial" w:hAnsi="Arial" w:cs="Arial"/>
                <w:b/>
                <w:bCs/>
                <w:color w:val="000000" w:themeColor="text1"/>
                <w:sz w:val="18"/>
                <w:szCs w:val="18"/>
              </w:rPr>
              <w:t>1-feb-15</w:t>
            </w:r>
          </w:p>
        </w:tc>
        <w:tc>
          <w:tcPr>
            <w:tcW w:w="982" w:type="dxa"/>
            <w:tcBorders>
              <w:top w:val="single" w:sz="4" w:space="0" w:color="auto"/>
              <w:left w:val="nil"/>
              <w:bottom w:val="single" w:sz="4" w:space="0" w:color="auto"/>
              <w:right w:val="nil"/>
            </w:tcBorders>
            <w:vAlign w:val="center"/>
          </w:tcPr>
          <w:p w14:paraId="0044ADFD" w14:textId="4E506B6E" w:rsidR="634CB1F4" w:rsidRDefault="634CB1F4">
            <w:r w:rsidRPr="634CB1F4">
              <w:rPr>
                <w:rFonts w:ascii="Calibri" w:eastAsia="Calibri" w:hAnsi="Calibri" w:cs="Calibri"/>
                <w:i/>
                <w:iCs/>
                <w:color w:val="000000" w:themeColor="text1"/>
                <w:sz w:val="16"/>
                <w:szCs w:val="16"/>
              </w:rPr>
              <w:t>28-feb-15</w:t>
            </w:r>
          </w:p>
        </w:tc>
        <w:tc>
          <w:tcPr>
            <w:tcW w:w="838" w:type="dxa"/>
            <w:tcBorders>
              <w:top w:val="single" w:sz="4" w:space="0" w:color="auto"/>
              <w:left w:val="nil"/>
              <w:bottom w:val="single" w:sz="4" w:space="0" w:color="auto"/>
              <w:right w:val="nil"/>
            </w:tcBorders>
            <w:vAlign w:val="center"/>
          </w:tcPr>
          <w:p w14:paraId="0CE4C86B" w14:textId="40D4233B" w:rsidR="634CB1F4" w:rsidRDefault="634CB1F4" w:rsidP="634CB1F4">
            <w:pPr>
              <w:jc w:val="center"/>
            </w:pPr>
            <w:r w:rsidRPr="634CB1F4">
              <w:rPr>
                <w:rFonts w:ascii="Calibri" w:eastAsia="Calibri" w:hAnsi="Calibri" w:cs="Calibri"/>
                <w:i/>
                <w:iCs/>
                <w:color w:val="000000" w:themeColor="text1"/>
                <w:sz w:val="16"/>
                <w:szCs w:val="16"/>
              </w:rPr>
              <w:t>30</w:t>
            </w:r>
          </w:p>
        </w:tc>
        <w:tc>
          <w:tcPr>
            <w:tcW w:w="1126" w:type="dxa"/>
            <w:gridSpan w:val="2"/>
            <w:tcBorders>
              <w:top w:val="single" w:sz="4" w:space="0" w:color="auto"/>
              <w:left w:val="nil"/>
              <w:bottom w:val="single" w:sz="4" w:space="0" w:color="auto"/>
              <w:right w:val="single" w:sz="8" w:space="0" w:color="auto"/>
            </w:tcBorders>
            <w:vAlign w:val="center"/>
          </w:tcPr>
          <w:p w14:paraId="5B8A7461" w14:textId="2D5823AE" w:rsidR="634CB1F4" w:rsidRPr="00304238" w:rsidRDefault="634CB1F4">
            <w:pPr>
              <w:rPr>
                <w:sz w:val="18"/>
              </w:rPr>
            </w:pPr>
            <w:r w:rsidRPr="00304238">
              <w:rPr>
                <w:rFonts w:ascii="Arial" w:eastAsia="Arial" w:hAnsi="Arial" w:cs="Arial"/>
                <w:color w:val="000000" w:themeColor="text1"/>
                <w:sz w:val="18"/>
                <w:szCs w:val="18"/>
              </w:rPr>
              <w:t xml:space="preserve">644.350,00 </w:t>
            </w:r>
          </w:p>
        </w:tc>
        <w:tc>
          <w:tcPr>
            <w:tcW w:w="982" w:type="dxa"/>
            <w:tcBorders>
              <w:top w:val="nil"/>
              <w:left w:val="single" w:sz="12" w:space="0" w:color="auto"/>
              <w:bottom w:val="nil"/>
              <w:right w:val="single" w:sz="8" w:space="0" w:color="auto"/>
            </w:tcBorders>
            <w:vAlign w:val="center"/>
          </w:tcPr>
          <w:p w14:paraId="299573C2" w14:textId="131F57E2" w:rsidR="634CB1F4" w:rsidRPr="00304238" w:rsidRDefault="634CB1F4">
            <w:pPr>
              <w:rPr>
                <w:sz w:val="18"/>
              </w:rPr>
            </w:pPr>
            <w:r w:rsidRPr="00304238">
              <w:rPr>
                <w:rFonts w:ascii="Calibri" w:eastAsia="Calibri" w:hAnsi="Calibri" w:cs="Calibri"/>
                <w:i/>
                <w:iCs/>
                <w:color w:val="000000" w:themeColor="text1"/>
                <w:sz w:val="18"/>
              </w:rPr>
              <w:t xml:space="preserve"> </w:t>
            </w:r>
          </w:p>
        </w:tc>
        <w:tc>
          <w:tcPr>
            <w:tcW w:w="982" w:type="dxa"/>
            <w:tcBorders>
              <w:top w:val="single" w:sz="4" w:space="0" w:color="auto"/>
              <w:left w:val="single" w:sz="8" w:space="0" w:color="auto"/>
              <w:bottom w:val="single" w:sz="4" w:space="0" w:color="auto"/>
              <w:right w:val="nil"/>
            </w:tcBorders>
            <w:shd w:val="clear" w:color="auto" w:fill="FFFF99"/>
            <w:vAlign w:val="center"/>
          </w:tcPr>
          <w:p w14:paraId="14F0169D" w14:textId="1524DAB8" w:rsidR="634CB1F4" w:rsidRDefault="634CB1F4">
            <w:r w:rsidRPr="634CB1F4">
              <w:rPr>
                <w:rFonts w:ascii="Calibri" w:eastAsia="Calibri" w:hAnsi="Calibri" w:cs="Calibri"/>
                <w:b/>
                <w:bCs/>
                <w:i/>
                <w:iCs/>
                <w:color w:val="000000" w:themeColor="text1"/>
                <w:sz w:val="16"/>
                <w:szCs w:val="16"/>
              </w:rPr>
              <w:t xml:space="preserve"> 644.350 </w:t>
            </w:r>
          </w:p>
        </w:tc>
        <w:tc>
          <w:tcPr>
            <w:tcW w:w="982" w:type="dxa"/>
            <w:tcBorders>
              <w:top w:val="single" w:sz="4" w:space="0" w:color="auto"/>
              <w:left w:val="nil"/>
              <w:bottom w:val="single" w:sz="4" w:space="0" w:color="auto"/>
              <w:right w:val="nil"/>
            </w:tcBorders>
            <w:vAlign w:val="center"/>
          </w:tcPr>
          <w:p w14:paraId="3EEA234C" w14:textId="1AD15BCA"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nil"/>
            </w:tcBorders>
            <w:vAlign w:val="center"/>
          </w:tcPr>
          <w:p w14:paraId="15FDB4E8" w14:textId="721ED085" w:rsidR="634CB1F4" w:rsidRDefault="634CB1F4" w:rsidP="634CB1F4">
            <w:pPr>
              <w:jc w:val="center"/>
            </w:pPr>
            <w:r w:rsidRPr="634CB1F4">
              <w:rPr>
                <w:rFonts w:ascii="Calibri" w:eastAsia="Calibri" w:hAnsi="Calibri" w:cs="Calibri"/>
                <w:i/>
                <w:iCs/>
                <w:color w:val="000000" w:themeColor="text1"/>
                <w:sz w:val="16"/>
                <w:szCs w:val="16"/>
              </w:rPr>
              <w:t xml:space="preserve"> 82,47 </w:t>
            </w:r>
          </w:p>
        </w:tc>
        <w:tc>
          <w:tcPr>
            <w:tcW w:w="982" w:type="dxa"/>
            <w:tcBorders>
              <w:top w:val="single" w:sz="4" w:space="0" w:color="auto"/>
              <w:left w:val="nil"/>
              <w:bottom w:val="single" w:sz="4" w:space="0" w:color="auto"/>
              <w:right w:val="single" w:sz="8" w:space="0" w:color="auto"/>
            </w:tcBorders>
            <w:vAlign w:val="center"/>
          </w:tcPr>
          <w:p w14:paraId="60859A34" w14:textId="46E66DA1" w:rsidR="634CB1F4" w:rsidRDefault="634CB1F4">
            <w:r w:rsidRPr="634CB1F4">
              <w:rPr>
                <w:rFonts w:ascii="Calibri" w:eastAsia="Calibri" w:hAnsi="Calibri" w:cs="Calibri"/>
                <w:i/>
                <w:iCs/>
                <w:color w:val="000000" w:themeColor="text1"/>
                <w:sz w:val="16"/>
                <w:szCs w:val="16"/>
              </w:rPr>
              <w:t xml:space="preserve"> 3.364,2 </w:t>
            </w:r>
          </w:p>
        </w:tc>
      </w:tr>
      <w:tr w:rsidR="634CB1F4" w14:paraId="2CC26551" w14:textId="77777777" w:rsidTr="00304238">
        <w:trPr>
          <w:trHeight w:val="315"/>
        </w:trPr>
        <w:tc>
          <w:tcPr>
            <w:tcW w:w="982" w:type="dxa"/>
            <w:tcBorders>
              <w:top w:val="nil"/>
              <w:left w:val="nil"/>
              <w:bottom w:val="nil"/>
              <w:right w:val="nil"/>
            </w:tcBorders>
            <w:vAlign w:val="bottom"/>
          </w:tcPr>
          <w:p w14:paraId="3583FA3F" w14:textId="7CB045C0" w:rsidR="634CB1F4" w:rsidRDefault="634CB1F4"/>
        </w:tc>
        <w:tc>
          <w:tcPr>
            <w:tcW w:w="982" w:type="dxa"/>
            <w:tcBorders>
              <w:top w:val="single" w:sz="4" w:space="0" w:color="auto"/>
              <w:left w:val="nil"/>
              <w:bottom w:val="nil"/>
              <w:right w:val="nil"/>
            </w:tcBorders>
            <w:vAlign w:val="bottom"/>
          </w:tcPr>
          <w:p w14:paraId="318C3929" w14:textId="597750B7" w:rsidR="634CB1F4" w:rsidRDefault="634CB1F4"/>
        </w:tc>
        <w:tc>
          <w:tcPr>
            <w:tcW w:w="838" w:type="dxa"/>
            <w:tcBorders>
              <w:top w:val="single" w:sz="4" w:space="0" w:color="auto"/>
              <w:left w:val="nil"/>
              <w:bottom w:val="nil"/>
              <w:right w:val="nil"/>
            </w:tcBorders>
            <w:vAlign w:val="bottom"/>
          </w:tcPr>
          <w:p w14:paraId="0283DE2D" w14:textId="7CD107BA" w:rsidR="634CB1F4" w:rsidRDefault="634CB1F4"/>
        </w:tc>
        <w:tc>
          <w:tcPr>
            <w:tcW w:w="1126" w:type="dxa"/>
            <w:gridSpan w:val="2"/>
            <w:tcBorders>
              <w:top w:val="single" w:sz="4" w:space="0" w:color="auto"/>
              <w:left w:val="nil"/>
              <w:bottom w:val="nil"/>
              <w:right w:val="nil"/>
            </w:tcBorders>
            <w:vAlign w:val="bottom"/>
          </w:tcPr>
          <w:p w14:paraId="628BD96D" w14:textId="53FD7539" w:rsidR="634CB1F4" w:rsidRDefault="634CB1F4"/>
        </w:tc>
        <w:tc>
          <w:tcPr>
            <w:tcW w:w="982" w:type="dxa"/>
            <w:tcBorders>
              <w:top w:val="nil"/>
              <w:left w:val="nil"/>
              <w:bottom w:val="nil"/>
              <w:right w:val="nil"/>
            </w:tcBorders>
            <w:vAlign w:val="bottom"/>
          </w:tcPr>
          <w:p w14:paraId="5A21F6A8" w14:textId="03D4A768" w:rsidR="634CB1F4" w:rsidRDefault="634CB1F4"/>
        </w:tc>
        <w:tc>
          <w:tcPr>
            <w:tcW w:w="982" w:type="dxa"/>
            <w:tcBorders>
              <w:top w:val="single" w:sz="4" w:space="0" w:color="auto"/>
              <w:left w:val="nil"/>
              <w:bottom w:val="nil"/>
              <w:right w:val="nil"/>
            </w:tcBorders>
            <w:vAlign w:val="bottom"/>
          </w:tcPr>
          <w:p w14:paraId="21495D14" w14:textId="16A6EF5D" w:rsidR="634CB1F4" w:rsidRDefault="634CB1F4"/>
        </w:tc>
        <w:tc>
          <w:tcPr>
            <w:tcW w:w="982" w:type="dxa"/>
            <w:tcBorders>
              <w:top w:val="single" w:sz="4" w:space="0" w:color="auto"/>
              <w:left w:val="nil"/>
              <w:bottom w:val="nil"/>
              <w:right w:val="nil"/>
            </w:tcBorders>
            <w:vAlign w:val="bottom"/>
          </w:tcPr>
          <w:p w14:paraId="017CBAE7" w14:textId="37D4D0AA" w:rsidR="634CB1F4" w:rsidRDefault="634CB1F4"/>
        </w:tc>
        <w:tc>
          <w:tcPr>
            <w:tcW w:w="982" w:type="dxa"/>
            <w:tcBorders>
              <w:top w:val="single" w:sz="4" w:space="0" w:color="auto"/>
              <w:left w:val="nil"/>
              <w:bottom w:val="nil"/>
              <w:right w:val="nil"/>
            </w:tcBorders>
            <w:vAlign w:val="bottom"/>
          </w:tcPr>
          <w:p w14:paraId="3610BFEC" w14:textId="2613D49D" w:rsidR="634CB1F4" w:rsidRDefault="634CB1F4"/>
        </w:tc>
        <w:tc>
          <w:tcPr>
            <w:tcW w:w="982" w:type="dxa"/>
            <w:tcBorders>
              <w:top w:val="single" w:sz="4" w:space="0" w:color="auto"/>
              <w:left w:val="nil"/>
              <w:bottom w:val="nil"/>
              <w:right w:val="nil"/>
            </w:tcBorders>
            <w:vAlign w:val="bottom"/>
          </w:tcPr>
          <w:p w14:paraId="498BF4EB" w14:textId="013E021D" w:rsidR="634CB1F4" w:rsidRDefault="634CB1F4"/>
        </w:tc>
      </w:tr>
      <w:tr w:rsidR="634CB1F4" w14:paraId="3CAAE608" w14:textId="77777777" w:rsidTr="00304238">
        <w:trPr>
          <w:trHeight w:val="315"/>
        </w:trPr>
        <w:tc>
          <w:tcPr>
            <w:tcW w:w="1964" w:type="dxa"/>
            <w:gridSpan w:val="2"/>
            <w:tcBorders>
              <w:top w:val="single" w:sz="4" w:space="0" w:color="333300"/>
              <w:left w:val="nil"/>
              <w:bottom w:val="single" w:sz="4" w:space="0" w:color="333300"/>
              <w:right w:val="single" w:sz="4" w:space="0" w:color="333300"/>
            </w:tcBorders>
            <w:vAlign w:val="center"/>
          </w:tcPr>
          <w:p w14:paraId="574617C6" w14:textId="50DA2C02" w:rsidR="634CB1F4" w:rsidRDefault="634CB1F4" w:rsidP="634CB1F4">
            <w:pPr>
              <w:jc w:val="center"/>
            </w:pPr>
            <w:r w:rsidRPr="634CB1F4">
              <w:rPr>
                <w:rFonts w:ascii="Calibri" w:eastAsia="Calibri" w:hAnsi="Calibri" w:cs="Calibri"/>
                <w:b/>
                <w:bCs/>
                <w:i/>
                <w:iCs/>
                <w:color w:val="000000" w:themeColor="text1"/>
                <w:sz w:val="16"/>
                <w:szCs w:val="16"/>
              </w:rPr>
              <w:t xml:space="preserve">TOTAL </w:t>
            </w:r>
            <w:r w:rsidR="00304238" w:rsidRPr="634CB1F4">
              <w:rPr>
                <w:rFonts w:ascii="Calibri" w:eastAsia="Calibri" w:hAnsi="Calibri" w:cs="Calibri"/>
                <w:b/>
                <w:bCs/>
                <w:i/>
                <w:iCs/>
                <w:color w:val="000000" w:themeColor="text1"/>
                <w:sz w:val="16"/>
                <w:szCs w:val="16"/>
              </w:rPr>
              <w:t>DÍAS</w:t>
            </w:r>
          </w:p>
        </w:tc>
        <w:tc>
          <w:tcPr>
            <w:tcW w:w="838" w:type="dxa"/>
            <w:tcBorders>
              <w:top w:val="single" w:sz="4" w:space="0" w:color="333300"/>
              <w:left w:val="nil"/>
              <w:bottom w:val="single" w:sz="4" w:space="0" w:color="333300"/>
              <w:right w:val="single" w:sz="4" w:space="0" w:color="333300"/>
            </w:tcBorders>
            <w:shd w:val="clear" w:color="auto" w:fill="FFFF99"/>
            <w:vAlign w:val="center"/>
          </w:tcPr>
          <w:p w14:paraId="63391E17" w14:textId="76631274" w:rsidR="634CB1F4" w:rsidRDefault="634CB1F4" w:rsidP="634CB1F4">
            <w:pPr>
              <w:jc w:val="center"/>
            </w:pPr>
            <w:r w:rsidRPr="634CB1F4">
              <w:rPr>
                <w:rFonts w:ascii="Calibri" w:eastAsia="Calibri" w:hAnsi="Calibri" w:cs="Calibri"/>
                <w:color w:val="000000" w:themeColor="text1"/>
                <w:sz w:val="22"/>
                <w:szCs w:val="22"/>
              </w:rPr>
              <w:t>5.746</w:t>
            </w:r>
          </w:p>
        </w:tc>
        <w:tc>
          <w:tcPr>
            <w:tcW w:w="1126" w:type="dxa"/>
            <w:gridSpan w:val="2"/>
            <w:tcBorders>
              <w:top w:val="nil"/>
              <w:left w:val="single" w:sz="4" w:space="0" w:color="333300"/>
              <w:bottom w:val="nil"/>
              <w:right w:val="nil"/>
            </w:tcBorders>
            <w:vAlign w:val="bottom"/>
          </w:tcPr>
          <w:p w14:paraId="48501058" w14:textId="10E573C1" w:rsidR="634CB1F4" w:rsidRDefault="634CB1F4"/>
        </w:tc>
        <w:tc>
          <w:tcPr>
            <w:tcW w:w="982" w:type="dxa"/>
            <w:tcBorders>
              <w:top w:val="nil"/>
              <w:left w:val="nil"/>
              <w:bottom w:val="nil"/>
              <w:right w:val="nil"/>
            </w:tcBorders>
            <w:vAlign w:val="bottom"/>
          </w:tcPr>
          <w:p w14:paraId="0A4051E9" w14:textId="467EE684" w:rsidR="634CB1F4" w:rsidRDefault="634CB1F4"/>
        </w:tc>
        <w:tc>
          <w:tcPr>
            <w:tcW w:w="982" w:type="dxa"/>
            <w:tcBorders>
              <w:top w:val="nil"/>
              <w:left w:val="nil"/>
              <w:bottom w:val="nil"/>
              <w:right w:val="nil"/>
            </w:tcBorders>
            <w:vAlign w:val="bottom"/>
          </w:tcPr>
          <w:p w14:paraId="2973CD5E" w14:textId="4A24B0EC" w:rsidR="634CB1F4" w:rsidRDefault="634CB1F4"/>
        </w:tc>
        <w:tc>
          <w:tcPr>
            <w:tcW w:w="1964" w:type="dxa"/>
            <w:gridSpan w:val="2"/>
            <w:tcBorders>
              <w:top w:val="single" w:sz="4" w:space="0" w:color="333300"/>
              <w:left w:val="single" w:sz="4" w:space="0" w:color="333300"/>
              <w:bottom w:val="single" w:sz="4" w:space="0" w:color="333300"/>
              <w:right w:val="single" w:sz="4" w:space="0" w:color="333300"/>
            </w:tcBorders>
            <w:vAlign w:val="center"/>
          </w:tcPr>
          <w:p w14:paraId="3CB317E4" w14:textId="5B6F6E0C" w:rsidR="634CB1F4" w:rsidRDefault="634CB1F4" w:rsidP="634CB1F4">
            <w:pPr>
              <w:jc w:val="center"/>
            </w:pPr>
            <w:proofErr w:type="spellStart"/>
            <w:r w:rsidRPr="634CB1F4">
              <w:rPr>
                <w:rFonts w:ascii="Calibri" w:eastAsia="Calibri" w:hAnsi="Calibri" w:cs="Calibri"/>
                <w:b/>
                <w:bCs/>
                <w:i/>
                <w:iCs/>
                <w:color w:val="000000" w:themeColor="text1"/>
                <w:sz w:val="16"/>
                <w:szCs w:val="16"/>
              </w:rPr>
              <w:t>IBL</w:t>
            </w:r>
            <w:proofErr w:type="spellEnd"/>
          </w:p>
        </w:tc>
        <w:tc>
          <w:tcPr>
            <w:tcW w:w="982" w:type="dxa"/>
            <w:tcBorders>
              <w:top w:val="single" w:sz="4" w:space="0" w:color="333300"/>
              <w:left w:val="nil"/>
              <w:bottom w:val="single" w:sz="4" w:space="0" w:color="333300"/>
              <w:right w:val="single" w:sz="4" w:space="0" w:color="333300"/>
            </w:tcBorders>
            <w:shd w:val="clear" w:color="auto" w:fill="FFFF99"/>
            <w:vAlign w:val="center"/>
          </w:tcPr>
          <w:p w14:paraId="2713A9CE" w14:textId="4A35C321" w:rsidR="634CB1F4" w:rsidRDefault="634CB1F4" w:rsidP="634CB1F4">
            <w:pPr>
              <w:jc w:val="center"/>
            </w:pPr>
            <w:r w:rsidRPr="634CB1F4">
              <w:rPr>
                <w:rFonts w:ascii="Calibri" w:eastAsia="Calibri" w:hAnsi="Calibri" w:cs="Calibri"/>
                <w:color w:val="000000" w:themeColor="text1"/>
                <w:sz w:val="22"/>
                <w:szCs w:val="22"/>
              </w:rPr>
              <w:t xml:space="preserve"> 597.980</w:t>
            </w:r>
          </w:p>
        </w:tc>
      </w:tr>
    </w:tbl>
    <w:p w14:paraId="08DFE5B2" w14:textId="4A082A84" w:rsidR="634CB1F4" w:rsidRDefault="634CB1F4" w:rsidP="634CB1F4">
      <w:pPr>
        <w:spacing w:line="360" w:lineRule="auto"/>
        <w:jc w:val="both"/>
        <w:rPr>
          <w:rFonts w:ascii="Tahoma" w:eastAsia="Tahoma" w:hAnsi="Tahoma" w:cs="Tahoma"/>
          <w:sz w:val="22"/>
          <w:szCs w:val="22"/>
          <w:lang w:val="es-ES"/>
        </w:rPr>
      </w:pPr>
    </w:p>
    <w:sectPr w:rsidR="634CB1F4" w:rsidSect="00304238">
      <w:pgSz w:w="12242" w:h="18722" w:code="258"/>
      <w:pgMar w:top="1871" w:right="1304" w:bottom="1304" w:left="1871"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5A1330F"/>
  <w15:commentEx w15:done="0" w15:paraId="51CEFD6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2372C3" w16cex:dateUtc="2020-08-05T20:48:29.137Z"/>
  <w16cex:commentExtensible w16cex:durableId="44434A1E" w16cex:dateUtc="2020-08-06T15:14:41.695Z"/>
</w16cex:commentsExtensible>
</file>

<file path=word/commentsIds.xml><?xml version="1.0" encoding="utf-8"?>
<w16cid:commentsIds xmlns:mc="http://schemas.openxmlformats.org/markup-compatibility/2006" xmlns:w16cid="http://schemas.microsoft.com/office/word/2016/wordml/cid" mc:Ignorable="w16cid">
  <w16cid:commentId w16cid:paraId="35A1330F" w16cid:durableId="132372C3"/>
  <w16cid:commentId w16cid:paraId="51CEFD62" w16cid:durableId="44434A1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2C1"/>
    <w:multiLevelType w:val="hybridMultilevel"/>
    <w:tmpl w:val="988471A0"/>
    <w:lvl w:ilvl="0" w:tplc="6D6AE680">
      <w:start w:val="1"/>
      <w:numFmt w:val="decimal"/>
      <w:lvlText w:val="%1)"/>
      <w:lvlJc w:val="left"/>
      <w:pPr>
        <w:ind w:left="1068" w:hanging="360"/>
      </w:pPr>
      <w:rPr>
        <w:rFonts w:ascii="Tahoma" w:eastAsiaTheme="minorHAnsi" w:hAnsi="Tahoma" w:cs="Tahoma" w:hint="default"/>
        <w:i w:val="0"/>
        <w:sz w:val="22"/>
        <w:szCs w:val="20"/>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9D06825"/>
    <w:multiLevelType w:val="hybridMultilevel"/>
    <w:tmpl w:val="52F0416E"/>
    <w:lvl w:ilvl="0" w:tplc="74DC90B2">
      <w:start w:val="7"/>
      <w:numFmt w:val="upperRoman"/>
      <w:lvlText w:val="%1."/>
      <w:lvlJc w:val="left"/>
      <w:pPr>
        <w:ind w:left="720" w:hanging="360"/>
      </w:pPr>
    </w:lvl>
    <w:lvl w:ilvl="1" w:tplc="8FCAC1C6">
      <w:start w:val="1"/>
      <w:numFmt w:val="lowerLetter"/>
      <w:lvlText w:val="%2."/>
      <w:lvlJc w:val="left"/>
      <w:pPr>
        <w:ind w:left="1440" w:hanging="360"/>
      </w:pPr>
    </w:lvl>
    <w:lvl w:ilvl="2" w:tplc="6D5828E6">
      <w:start w:val="1"/>
      <w:numFmt w:val="lowerRoman"/>
      <w:lvlText w:val="%3."/>
      <w:lvlJc w:val="right"/>
      <w:pPr>
        <w:ind w:left="2160" w:hanging="180"/>
      </w:pPr>
    </w:lvl>
    <w:lvl w:ilvl="3" w:tplc="5B7AC97E">
      <w:start w:val="1"/>
      <w:numFmt w:val="decimal"/>
      <w:lvlText w:val="%4."/>
      <w:lvlJc w:val="left"/>
      <w:pPr>
        <w:ind w:left="2880" w:hanging="360"/>
      </w:pPr>
    </w:lvl>
    <w:lvl w:ilvl="4" w:tplc="83EA209E">
      <w:start w:val="1"/>
      <w:numFmt w:val="lowerLetter"/>
      <w:lvlText w:val="%5."/>
      <w:lvlJc w:val="left"/>
      <w:pPr>
        <w:ind w:left="3600" w:hanging="360"/>
      </w:pPr>
    </w:lvl>
    <w:lvl w:ilvl="5" w:tplc="9D8A43D6">
      <w:start w:val="1"/>
      <w:numFmt w:val="lowerRoman"/>
      <w:lvlText w:val="%6."/>
      <w:lvlJc w:val="right"/>
      <w:pPr>
        <w:ind w:left="4320" w:hanging="180"/>
      </w:pPr>
    </w:lvl>
    <w:lvl w:ilvl="6" w:tplc="EF2E5906">
      <w:start w:val="1"/>
      <w:numFmt w:val="decimal"/>
      <w:lvlText w:val="%7."/>
      <w:lvlJc w:val="left"/>
      <w:pPr>
        <w:ind w:left="5040" w:hanging="360"/>
      </w:pPr>
    </w:lvl>
    <w:lvl w:ilvl="7" w:tplc="A462F6BA">
      <w:start w:val="1"/>
      <w:numFmt w:val="lowerLetter"/>
      <w:lvlText w:val="%8."/>
      <w:lvlJc w:val="left"/>
      <w:pPr>
        <w:ind w:left="5760" w:hanging="360"/>
      </w:pPr>
    </w:lvl>
    <w:lvl w:ilvl="8" w:tplc="EBBABC54">
      <w:start w:val="1"/>
      <w:numFmt w:val="lowerRoman"/>
      <w:lvlText w:val="%9."/>
      <w:lvlJc w:val="right"/>
      <w:pPr>
        <w:ind w:left="6480" w:hanging="180"/>
      </w:pPr>
    </w:lvl>
  </w:abstractNum>
  <w:abstractNum w:abstractNumId="2">
    <w:nsid w:val="2E1B03BC"/>
    <w:multiLevelType w:val="hybridMultilevel"/>
    <w:tmpl w:val="FA3E9F2C"/>
    <w:lvl w:ilvl="0" w:tplc="042429E2">
      <w:start w:val="1"/>
      <w:numFmt w:val="decimal"/>
      <w:lvlText w:val="%1."/>
      <w:lvlJc w:val="left"/>
      <w:pPr>
        <w:ind w:left="720" w:hanging="360"/>
      </w:pPr>
    </w:lvl>
    <w:lvl w:ilvl="1" w:tplc="34F88C68">
      <w:start w:val="1"/>
      <w:numFmt w:val="lowerLetter"/>
      <w:lvlText w:val="%2."/>
      <w:lvlJc w:val="left"/>
      <w:pPr>
        <w:ind w:left="1440" w:hanging="360"/>
      </w:pPr>
    </w:lvl>
    <w:lvl w:ilvl="2" w:tplc="1834C934">
      <w:start w:val="1"/>
      <w:numFmt w:val="lowerRoman"/>
      <w:lvlText w:val="%3."/>
      <w:lvlJc w:val="right"/>
      <w:pPr>
        <w:ind w:left="2160" w:hanging="180"/>
      </w:pPr>
    </w:lvl>
    <w:lvl w:ilvl="3" w:tplc="8B5A9EEC">
      <w:start w:val="1"/>
      <w:numFmt w:val="decimal"/>
      <w:lvlText w:val="%4."/>
      <w:lvlJc w:val="left"/>
      <w:pPr>
        <w:ind w:left="2880" w:hanging="360"/>
      </w:pPr>
    </w:lvl>
    <w:lvl w:ilvl="4" w:tplc="5D06195E">
      <w:start w:val="1"/>
      <w:numFmt w:val="lowerLetter"/>
      <w:lvlText w:val="%5."/>
      <w:lvlJc w:val="left"/>
      <w:pPr>
        <w:ind w:left="3600" w:hanging="360"/>
      </w:pPr>
    </w:lvl>
    <w:lvl w:ilvl="5" w:tplc="A0E4B832">
      <w:start w:val="1"/>
      <w:numFmt w:val="lowerRoman"/>
      <w:lvlText w:val="%6."/>
      <w:lvlJc w:val="right"/>
      <w:pPr>
        <w:ind w:left="4320" w:hanging="180"/>
      </w:pPr>
    </w:lvl>
    <w:lvl w:ilvl="6" w:tplc="C89EDD24">
      <w:start w:val="1"/>
      <w:numFmt w:val="decimal"/>
      <w:lvlText w:val="%7."/>
      <w:lvlJc w:val="left"/>
      <w:pPr>
        <w:ind w:left="5040" w:hanging="360"/>
      </w:pPr>
    </w:lvl>
    <w:lvl w:ilvl="7" w:tplc="5DF600B2">
      <w:start w:val="1"/>
      <w:numFmt w:val="lowerLetter"/>
      <w:lvlText w:val="%8."/>
      <w:lvlJc w:val="left"/>
      <w:pPr>
        <w:ind w:left="5760" w:hanging="360"/>
      </w:pPr>
    </w:lvl>
    <w:lvl w:ilvl="8" w:tplc="2494ACF4">
      <w:start w:val="1"/>
      <w:numFmt w:val="lowerRoman"/>
      <w:lvlText w:val="%9."/>
      <w:lvlJc w:val="right"/>
      <w:pPr>
        <w:ind w:left="6480" w:hanging="180"/>
      </w:pPr>
    </w:lvl>
  </w:abstractNum>
  <w:abstractNum w:abstractNumId="3">
    <w:nsid w:val="3310293E"/>
    <w:multiLevelType w:val="multilevel"/>
    <w:tmpl w:val="725EE0F8"/>
    <w:lvl w:ilvl="0">
      <w:start w:val="7"/>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110" w:hanging="720"/>
      </w:pPr>
      <w:rPr>
        <w:rFonts w:ascii="Tahoma" w:hAnsi="Tahoma" w:cs="Tahoma" w:hint="default"/>
        <w:b/>
      </w:rPr>
    </w:lvl>
    <w:lvl w:ilvl="2">
      <w:start w:val="1"/>
      <w:numFmt w:val="decimal"/>
      <w:lvlText w:val="%1.%2.%3."/>
      <w:lvlJc w:val="left"/>
      <w:pPr>
        <w:ind w:left="1860" w:hanging="1080"/>
      </w:pPr>
      <w:rPr>
        <w:rFonts w:ascii="Times New Roman" w:hAnsi="Times New Roman" w:cs="Times New Roman" w:hint="default"/>
        <w:b w:val="0"/>
      </w:rPr>
    </w:lvl>
    <w:lvl w:ilvl="3">
      <w:start w:val="1"/>
      <w:numFmt w:val="decimal"/>
      <w:lvlText w:val="%1.%2.%3.%4."/>
      <w:lvlJc w:val="left"/>
      <w:pPr>
        <w:ind w:left="2610" w:hanging="1440"/>
      </w:pPr>
      <w:rPr>
        <w:rFonts w:ascii="Times New Roman" w:hAnsi="Times New Roman" w:cs="Times New Roman" w:hint="default"/>
        <w:b w:val="0"/>
      </w:rPr>
    </w:lvl>
    <w:lvl w:ilvl="4">
      <w:start w:val="1"/>
      <w:numFmt w:val="decimal"/>
      <w:lvlText w:val="%1.%2.%3.%4.%5."/>
      <w:lvlJc w:val="left"/>
      <w:pPr>
        <w:ind w:left="3000" w:hanging="1440"/>
      </w:pPr>
      <w:rPr>
        <w:rFonts w:ascii="Times New Roman" w:hAnsi="Times New Roman" w:cs="Times New Roman" w:hint="default"/>
        <w:b w:val="0"/>
      </w:rPr>
    </w:lvl>
    <w:lvl w:ilvl="5">
      <w:start w:val="1"/>
      <w:numFmt w:val="decimal"/>
      <w:lvlText w:val="%1.%2.%3.%4.%5.%6."/>
      <w:lvlJc w:val="left"/>
      <w:pPr>
        <w:ind w:left="3750" w:hanging="1800"/>
      </w:pPr>
      <w:rPr>
        <w:rFonts w:ascii="Times New Roman" w:hAnsi="Times New Roman" w:cs="Times New Roman" w:hint="default"/>
        <w:b w:val="0"/>
      </w:rPr>
    </w:lvl>
    <w:lvl w:ilvl="6">
      <w:start w:val="1"/>
      <w:numFmt w:val="decimal"/>
      <w:lvlText w:val="%1.%2.%3.%4.%5.%6.%7."/>
      <w:lvlJc w:val="left"/>
      <w:pPr>
        <w:ind w:left="4500" w:hanging="2160"/>
      </w:pPr>
      <w:rPr>
        <w:rFonts w:ascii="Times New Roman" w:hAnsi="Times New Roman" w:cs="Times New Roman" w:hint="default"/>
        <w:b w:val="0"/>
      </w:rPr>
    </w:lvl>
    <w:lvl w:ilvl="7">
      <w:start w:val="1"/>
      <w:numFmt w:val="decimal"/>
      <w:lvlText w:val="%1.%2.%3.%4.%5.%6.%7.%8."/>
      <w:lvlJc w:val="left"/>
      <w:pPr>
        <w:ind w:left="5250" w:hanging="2520"/>
      </w:pPr>
      <w:rPr>
        <w:rFonts w:ascii="Times New Roman" w:hAnsi="Times New Roman" w:cs="Times New Roman" w:hint="default"/>
        <w:b w:val="0"/>
      </w:rPr>
    </w:lvl>
    <w:lvl w:ilvl="8">
      <w:start w:val="1"/>
      <w:numFmt w:val="decimal"/>
      <w:lvlText w:val="%1.%2.%3.%4.%5.%6.%7.%8.%9."/>
      <w:lvlJc w:val="left"/>
      <w:pPr>
        <w:ind w:left="5640" w:hanging="2520"/>
      </w:pPr>
      <w:rPr>
        <w:rFonts w:ascii="Times New Roman" w:hAnsi="Times New Roman" w:cs="Times New Roman" w:hint="default"/>
        <w:b w:val="0"/>
      </w:rPr>
    </w:lvl>
  </w:abstractNum>
  <w:abstractNum w:abstractNumId="4">
    <w:nsid w:val="339E00A7"/>
    <w:multiLevelType w:val="hybridMultilevel"/>
    <w:tmpl w:val="9208CE22"/>
    <w:lvl w:ilvl="0" w:tplc="262CD56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28199E"/>
    <w:multiLevelType w:val="hybridMultilevel"/>
    <w:tmpl w:val="7D489F6A"/>
    <w:lvl w:ilvl="0" w:tplc="040A0011">
      <w:start w:val="1"/>
      <w:numFmt w:val="decimal"/>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3E15ED4"/>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40"/>
    <w:rsid w:val="00054BF9"/>
    <w:rsid w:val="000836E1"/>
    <w:rsid w:val="000C71DA"/>
    <w:rsid w:val="00115D77"/>
    <w:rsid w:val="00150A28"/>
    <w:rsid w:val="00150E32"/>
    <w:rsid w:val="00195446"/>
    <w:rsid w:val="001A123E"/>
    <w:rsid w:val="001C04D5"/>
    <w:rsid w:val="001D05B2"/>
    <w:rsid w:val="001E0676"/>
    <w:rsid w:val="001F4F64"/>
    <w:rsid w:val="00222B55"/>
    <w:rsid w:val="00271A0D"/>
    <w:rsid w:val="00286669"/>
    <w:rsid w:val="00286BB7"/>
    <w:rsid w:val="00292992"/>
    <w:rsid w:val="002A6AD5"/>
    <w:rsid w:val="002B2662"/>
    <w:rsid w:val="002B31CA"/>
    <w:rsid w:val="002D0B0C"/>
    <w:rsid w:val="002D4E12"/>
    <w:rsid w:val="00304238"/>
    <w:rsid w:val="00304260"/>
    <w:rsid w:val="00323D7B"/>
    <w:rsid w:val="00342FD6"/>
    <w:rsid w:val="0035316D"/>
    <w:rsid w:val="003A1097"/>
    <w:rsid w:val="003B3C10"/>
    <w:rsid w:val="003C268E"/>
    <w:rsid w:val="003D09B1"/>
    <w:rsid w:val="003E70E8"/>
    <w:rsid w:val="00402FAD"/>
    <w:rsid w:val="00406723"/>
    <w:rsid w:val="0041423C"/>
    <w:rsid w:val="00426269"/>
    <w:rsid w:val="00440D27"/>
    <w:rsid w:val="0045569B"/>
    <w:rsid w:val="004A543E"/>
    <w:rsid w:val="004A6D4F"/>
    <w:rsid w:val="004B7DA7"/>
    <w:rsid w:val="004D39F3"/>
    <w:rsid w:val="005042CD"/>
    <w:rsid w:val="00517316"/>
    <w:rsid w:val="005614F9"/>
    <w:rsid w:val="00562C81"/>
    <w:rsid w:val="00566875"/>
    <w:rsid w:val="00592936"/>
    <w:rsid w:val="0059368A"/>
    <w:rsid w:val="005B3B9D"/>
    <w:rsid w:val="005C04DC"/>
    <w:rsid w:val="005D6EB5"/>
    <w:rsid w:val="00620DB9"/>
    <w:rsid w:val="0065746C"/>
    <w:rsid w:val="00672BAD"/>
    <w:rsid w:val="006764C9"/>
    <w:rsid w:val="006E6FA5"/>
    <w:rsid w:val="006F1AFE"/>
    <w:rsid w:val="006F4CC3"/>
    <w:rsid w:val="0071499C"/>
    <w:rsid w:val="007330F3"/>
    <w:rsid w:val="00752E47"/>
    <w:rsid w:val="007B570A"/>
    <w:rsid w:val="007D3F24"/>
    <w:rsid w:val="007F158D"/>
    <w:rsid w:val="00801EE2"/>
    <w:rsid w:val="00807BCD"/>
    <w:rsid w:val="00816B27"/>
    <w:rsid w:val="00826DCA"/>
    <w:rsid w:val="00854B0F"/>
    <w:rsid w:val="00887E6C"/>
    <w:rsid w:val="00893D35"/>
    <w:rsid w:val="008B7362"/>
    <w:rsid w:val="00901E64"/>
    <w:rsid w:val="00921B2F"/>
    <w:rsid w:val="0096507C"/>
    <w:rsid w:val="00965C19"/>
    <w:rsid w:val="00986EB4"/>
    <w:rsid w:val="009A2199"/>
    <w:rsid w:val="00A1261D"/>
    <w:rsid w:val="00A86940"/>
    <w:rsid w:val="00AA398A"/>
    <w:rsid w:val="00AA3A95"/>
    <w:rsid w:val="00B12EAF"/>
    <w:rsid w:val="00B26E3F"/>
    <w:rsid w:val="00B26E4B"/>
    <w:rsid w:val="00B42E4F"/>
    <w:rsid w:val="00B650E3"/>
    <w:rsid w:val="00B755A0"/>
    <w:rsid w:val="00B80687"/>
    <w:rsid w:val="00BA624E"/>
    <w:rsid w:val="00BB035C"/>
    <w:rsid w:val="00BB192F"/>
    <w:rsid w:val="00BC3C15"/>
    <w:rsid w:val="00BD2C29"/>
    <w:rsid w:val="00BF014C"/>
    <w:rsid w:val="00BF05B7"/>
    <w:rsid w:val="00C20377"/>
    <w:rsid w:val="00C5045F"/>
    <w:rsid w:val="00C506DC"/>
    <w:rsid w:val="00C74A0D"/>
    <w:rsid w:val="00CB4D5E"/>
    <w:rsid w:val="00CD2759"/>
    <w:rsid w:val="00D026FC"/>
    <w:rsid w:val="00D063A8"/>
    <w:rsid w:val="00D14DC1"/>
    <w:rsid w:val="00D169C5"/>
    <w:rsid w:val="00D43B85"/>
    <w:rsid w:val="00D51BBD"/>
    <w:rsid w:val="00D531A6"/>
    <w:rsid w:val="00D7202B"/>
    <w:rsid w:val="00D81982"/>
    <w:rsid w:val="00DC6C2E"/>
    <w:rsid w:val="00DE061E"/>
    <w:rsid w:val="00E10DB4"/>
    <w:rsid w:val="00E20E34"/>
    <w:rsid w:val="00E43D88"/>
    <w:rsid w:val="00E54C93"/>
    <w:rsid w:val="00E70784"/>
    <w:rsid w:val="00E83E25"/>
    <w:rsid w:val="00F0265F"/>
    <w:rsid w:val="00F11601"/>
    <w:rsid w:val="00F12939"/>
    <w:rsid w:val="00F16BEF"/>
    <w:rsid w:val="00F40795"/>
    <w:rsid w:val="00FB6972"/>
    <w:rsid w:val="00FC4511"/>
    <w:rsid w:val="00FD161C"/>
    <w:rsid w:val="01A16FD8"/>
    <w:rsid w:val="01BF5BEE"/>
    <w:rsid w:val="01EC4BAB"/>
    <w:rsid w:val="02F9A1EE"/>
    <w:rsid w:val="0377BF1C"/>
    <w:rsid w:val="03BC7B70"/>
    <w:rsid w:val="0493844E"/>
    <w:rsid w:val="050CD9FD"/>
    <w:rsid w:val="06CB48AF"/>
    <w:rsid w:val="075DE0FA"/>
    <w:rsid w:val="077F1311"/>
    <w:rsid w:val="08577C63"/>
    <w:rsid w:val="0859CC3B"/>
    <w:rsid w:val="089B3461"/>
    <w:rsid w:val="08A58997"/>
    <w:rsid w:val="08DDD04B"/>
    <w:rsid w:val="09217D63"/>
    <w:rsid w:val="0A9717B4"/>
    <w:rsid w:val="0B1CDB7C"/>
    <w:rsid w:val="0C4C3FEB"/>
    <w:rsid w:val="0CE01A18"/>
    <w:rsid w:val="0CF1C27B"/>
    <w:rsid w:val="0CFE9A27"/>
    <w:rsid w:val="0E12C7CA"/>
    <w:rsid w:val="0FABD230"/>
    <w:rsid w:val="0FD5BDBF"/>
    <w:rsid w:val="1040590A"/>
    <w:rsid w:val="106AF301"/>
    <w:rsid w:val="108D529A"/>
    <w:rsid w:val="109D0485"/>
    <w:rsid w:val="11149329"/>
    <w:rsid w:val="112BB0AC"/>
    <w:rsid w:val="11729D3D"/>
    <w:rsid w:val="120B6E8E"/>
    <w:rsid w:val="13009E02"/>
    <w:rsid w:val="131D2CD2"/>
    <w:rsid w:val="13C39C3E"/>
    <w:rsid w:val="14BCA81F"/>
    <w:rsid w:val="14F40B0A"/>
    <w:rsid w:val="1531DB4F"/>
    <w:rsid w:val="153A80BA"/>
    <w:rsid w:val="15E1ABFE"/>
    <w:rsid w:val="15F1EC69"/>
    <w:rsid w:val="1745E71E"/>
    <w:rsid w:val="182F8E43"/>
    <w:rsid w:val="18B9C3BB"/>
    <w:rsid w:val="19943219"/>
    <w:rsid w:val="1A9DBE4A"/>
    <w:rsid w:val="1AC38DEB"/>
    <w:rsid w:val="1B1EB98B"/>
    <w:rsid w:val="1BD94D41"/>
    <w:rsid w:val="1DA320AF"/>
    <w:rsid w:val="1DCF5791"/>
    <w:rsid w:val="1DF9467C"/>
    <w:rsid w:val="2009BE84"/>
    <w:rsid w:val="2084C52A"/>
    <w:rsid w:val="20C7A805"/>
    <w:rsid w:val="21839043"/>
    <w:rsid w:val="21CAFA42"/>
    <w:rsid w:val="231E15C6"/>
    <w:rsid w:val="2467C1EE"/>
    <w:rsid w:val="24AE65C8"/>
    <w:rsid w:val="2507CB62"/>
    <w:rsid w:val="256355ED"/>
    <w:rsid w:val="26076B2B"/>
    <w:rsid w:val="260B01B4"/>
    <w:rsid w:val="2670C515"/>
    <w:rsid w:val="26D31608"/>
    <w:rsid w:val="26FDCE3F"/>
    <w:rsid w:val="276826C2"/>
    <w:rsid w:val="27732344"/>
    <w:rsid w:val="278D5278"/>
    <w:rsid w:val="2B34CD51"/>
    <w:rsid w:val="2B39B522"/>
    <w:rsid w:val="2B8C2181"/>
    <w:rsid w:val="2BDBE4A6"/>
    <w:rsid w:val="2C1742E7"/>
    <w:rsid w:val="2C8F3F10"/>
    <w:rsid w:val="2D8B1C01"/>
    <w:rsid w:val="2DACED94"/>
    <w:rsid w:val="2DB576B9"/>
    <w:rsid w:val="2E00C547"/>
    <w:rsid w:val="2E4BD941"/>
    <w:rsid w:val="2E5EC4DF"/>
    <w:rsid w:val="2EB3CC2E"/>
    <w:rsid w:val="2EE31470"/>
    <w:rsid w:val="2FFEF123"/>
    <w:rsid w:val="30190557"/>
    <w:rsid w:val="311684C5"/>
    <w:rsid w:val="324CCB9C"/>
    <w:rsid w:val="32767D1C"/>
    <w:rsid w:val="32A7ECBE"/>
    <w:rsid w:val="331A68BB"/>
    <w:rsid w:val="33D65F29"/>
    <w:rsid w:val="35DEB03B"/>
    <w:rsid w:val="3622C040"/>
    <w:rsid w:val="36E6A790"/>
    <w:rsid w:val="3747C1A8"/>
    <w:rsid w:val="37EECEA4"/>
    <w:rsid w:val="38CE28FD"/>
    <w:rsid w:val="3A851C41"/>
    <w:rsid w:val="3AB79AF0"/>
    <w:rsid w:val="3AD80659"/>
    <w:rsid w:val="3B65835D"/>
    <w:rsid w:val="3B7F17E8"/>
    <w:rsid w:val="3B8E19D7"/>
    <w:rsid w:val="3BCDDC58"/>
    <w:rsid w:val="3C3638FA"/>
    <w:rsid w:val="3C8E2274"/>
    <w:rsid w:val="3CAA872F"/>
    <w:rsid w:val="3D1F300D"/>
    <w:rsid w:val="3D37C2F7"/>
    <w:rsid w:val="3F2CC912"/>
    <w:rsid w:val="3F6F8226"/>
    <w:rsid w:val="3FBB118D"/>
    <w:rsid w:val="40481D55"/>
    <w:rsid w:val="4190023C"/>
    <w:rsid w:val="41D2C5FE"/>
    <w:rsid w:val="44268C8E"/>
    <w:rsid w:val="465CE8BF"/>
    <w:rsid w:val="46A46A7E"/>
    <w:rsid w:val="46A4740D"/>
    <w:rsid w:val="47483E27"/>
    <w:rsid w:val="478DBD3C"/>
    <w:rsid w:val="487FD6CF"/>
    <w:rsid w:val="48E8704D"/>
    <w:rsid w:val="49C82430"/>
    <w:rsid w:val="4BC479EB"/>
    <w:rsid w:val="4BF08EDE"/>
    <w:rsid w:val="4C1D3017"/>
    <w:rsid w:val="4C732CF3"/>
    <w:rsid w:val="4CC8C332"/>
    <w:rsid w:val="4D3A40E0"/>
    <w:rsid w:val="4DC0288A"/>
    <w:rsid w:val="4DF16511"/>
    <w:rsid w:val="4E2C08E6"/>
    <w:rsid w:val="51DD97EB"/>
    <w:rsid w:val="5286E35B"/>
    <w:rsid w:val="53317871"/>
    <w:rsid w:val="53B24413"/>
    <w:rsid w:val="540EABDA"/>
    <w:rsid w:val="542B2232"/>
    <w:rsid w:val="54CF50FE"/>
    <w:rsid w:val="553B74EA"/>
    <w:rsid w:val="555F138E"/>
    <w:rsid w:val="57413373"/>
    <w:rsid w:val="57777BFA"/>
    <w:rsid w:val="582DCB6C"/>
    <w:rsid w:val="593F3009"/>
    <w:rsid w:val="5A09120F"/>
    <w:rsid w:val="5B574363"/>
    <w:rsid w:val="5B688554"/>
    <w:rsid w:val="5B936B8B"/>
    <w:rsid w:val="5BFF1153"/>
    <w:rsid w:val="5C86F11E"/>
    <w:rsid w:val="5E0A3354"/>
    <w:rsid w:val="5E0E9150"/>
    <w:rsid w:val="5E19FB57"/>
    <w:rsid w:val="5E572215"/>
    <w:rsid w:val="5EA755CD"/>
    <w:rsid w:val="5F7BA68D"/>
    <w:rsid w:val="5FD30BCF"/>
    <w:rsid w:val="60503F7B"/>
    <w:rsid w:val="6194C883"/>
    <w:rsid w:val="6248C65B"/>
    <w:rsid w:val="629AFBAC"/>
    <w:rsid w:val="634CB1F4"/>
    <w:rsid w:val="63F35FDA"/>
    <w:rsid w:val="655A5262"/>
    <w:rsid w:val="663714B4"/>
    <w:rsid w:val="67273DE7"/>
    <w:rsid w:val="68B1895B"/>
    <w:rsid w:val="68B613FC"/>
    <w:rsid w:val="69C2A1FF"/>
    <w:rsid w:val="6A49C3A2"/>
    <w:rsid w:val="6B7C29B5"/>
    <w:rsid w:val="6B96487F"/>
    <w:rsid w:val="6C8F1443"/>
    <w:rsid w:val="6D9C93DA"/>
    <w:rsid w:val="6DD2974D"/>
    <w:rsid w:val="6E64FE96"/>
    <w:rsid w:val="6F926EF5"/>
    <w:rsid w:val="704A3087"/>
    <w:rsid w:val="714B79C3"/>
    <w:rsid w:val="71877985"/>
    <w:rsid w:val="72B1ABF7"/>
    <w:rsid w:val="72BCE241"/>
    <w:rsid w:val="73965C34"/>
    <w:rsid w:val="740D2EC4"/>
    <w:rsid w:val="7481D84E"/>
    <w:rsid w:val="74D48C46"/>
    <w:rsid w:val="74EC36BC"/>
    <w:rsid w:val="76C62A57"/>
    <w:rsid w:val="788EC569"/>
    <w:rsid w:val="79ED2042"/>
    <w:rsid w:val="7A260EE5"/>
    <w:rsid w:val="7A32E232"/>
    <w:rsid w:val="7ADD80BC"/>
    <w:rsid w:val="7C113AE1"/>
    <w:rsid w:val="7CE06EE1"/>
    <w:rsid w:val="7D5C1311"/>
    <w:rsid w:val="7D7CF095"/>
    <w:rsid w:val="7E833DA7"/>
    <w:rsid w:val="7F59B5E3"/>
    <w:rsid w:val="7FA7FC0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07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A5"/>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AFE"/>
    <w:pPr>
      <w:ind w:left="720"/>
      <w:contextualSpacing/>
    </w:pPr>
  </w:style>
  <w:style w:type="paragraph" w:styleId="NormalWeb">
    <w:name w:val="Normal (Web)"/>
    <w:basedOn w:val="Normal"/>
    <w:uiPriority w:val="99"/>
    <w:unhideWhenUsed/>
    <w:rsid w:val="00893D35"/>
    <w:pPr>
      <w:spacing w:before="100" w:beforeAutospacing="1" w:after="100" w:afterAutospacing="1"/>
    </w:pPr>
  </w:style>
  <w:style w:type="character" w:customStyle="1" w:styleId="apple-converted-space">
    <w:name w:val="apple-converted-space"/>
    <w:basedOn w:val="Fuentedeprrafopredeter"/>
    <w:rsid w:val="00893D35"/>
  </w:style>
  <w:style w:type="character" w:styleId="Hipervnculo">
    <w:name w:val="Hyperlink"/>
    <w:basedOn w:val="Fuentedeprrafopredeter"/>
    <w:uiPriority w:val="99"/>
    <w:semiHidden/>
    <w:unhideWhenUsed/>
    <w:rsid w:val="00893D35"/>
    <w:rPr>
      <w:color w:val="0000FF"/>
      <w:u w:val="single"/>
    </w:rPr>
  </w:style>
  <w:style w:type="character" w:customStyle="1" w:styleId="iaj">
    <w:name w:val="i_aj"/>
    <w:basedOn w:val="Fuentedeprrafopredeter"/>
    <w:rsid w:val="00150A28"/>
  </w:style>
  <w:style w:type="paragraph" w:styleId="Sinespaciado">
    <w:name w:val="No Spacing"/>
    <w:uiPriority w:val="1"/>
    <w:qFormat/>
  </w:style>
  <w:style w:type="paragraph" w:customStyle="1" w:styleId="paragraph">
    <w:name w:val="paragraph"/>
    <w:basedOn w:val="Normal"/>
    <w:rsid w:val="00BF05B7"/>
    <w:pPr>
      <w:spacing w:before="100" w:beforeAutospacing="1" w:after="100" w:afterAutospacing="1"/>
    </w:pPr>
    <w:rPr>
      <w:rFonts w:eastAsia="Times New Roman"/>
      <w:lang w:val="es-CO"/>
    </w:rPr>
  </w:style>
  <w:style w:type="character" w:customStyle="1" w:styleId="normaltextrun">
    <w:name w:val="normaltextrun"/>
    <w:basedOn w:val="Fuentedeprrafopredeter"/>
    <w:rsid w:val="00BF05B7"/>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15D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D77"/>
    <w:rPr>
      <w:rFonts w:ascii="Segoe UI" w:hAnsi="Segoe UI" w:cs="Segoe UI"/>
      <w:sz w:val="18"/>
      <w:szCs w:val="18"/>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A5"/>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AFE"/>
    <w:pPr>
      <w:ind w:left="720"/>
      <w:contextualSpacing/>
    </w:pPr>
  </w:style>
  <w:style w:type="paragraph" w:styleId="NormalWeb">
    <w:name w:val="Normal (Web)"/>
    <w:basedOn w:val="Normal"/>
    <w:uiPriority w:val="99"/>
    <w:unhideWhenUsed/>
    <w:rsid w:val="00893D35"/>
    <w:pPr>
      <w:spacing w:before="100" w:beforeAutospacing="1" w:after="100" w:afterAutospacing="1"/>
    </w:pPr>
  </w:style>
  <w:style w:type="character" w:customStyle="1" w:styleId="apple-converted-space">
    <w:name w:val="apple-converted-space"/>
    <w:basedOn w:val="Fuentedeprrafopredeter"/>
    <w:rsid w:val="00893D35"/>
  </w:style>
  <w:style w:type="character" w:styleId="Hipervnculo">
    <w:name w:val="Hyperlink"/>
    <w:basedOn w:val="Fuentedeprrafopredeter"/>
    <w:uiPriority w:val="99"/>
    <w:semiHidden/>
    <w:unhideWhenUsed/>
    <w:rsid w:val="00893D35"/>
    <w:rPr>
      <w:color w:val="0000FF"/>
      <w:u w:val="single"/>
    </w:rPr>
  </w:style>
  <w:style w:type="character" w:customStyle="1" w:styleId="iaj">
    <w:name w:val="i_aj"/>
    <w:basedOn w:val="Fuentedeprrafopredeter"/>
    <w:rsid w:val="00150A28"/>
  </w:style>
  <w:style w:type="paragraph" w:styleId="Sinespaciado">
    <w:name w:val="No Spacing"/>
    <w:uiPriority w:val="1"/>
    <w:qFormat/>
  </w:style>
  <w:style w:type="paragraph" w:customStyle="1" w:styleId="paragraph">
    <w:name w:val="paragraph"/>
    <w:basedOn w:val="Normal"/>
    <w:rsid w:val="00BF05B7"/>
    <w:pPr>
      <w:spacing w:before="100" w:beforeAutospacing="1" w:after="100" w:afterAutospacing="1"/>
    </w:pPr>
    <w:rPr>
      <w:rFonts w:eastAsia="Times New Roman"/>
      <w:lang w:val="es-CO"/>
    </w:rPr>
  </w:style>
  <w:style w:type="character" w:customStyle="1" w:styleId="normaltextrun">
    <w:name w:val="normaltextrun"/>
    <w:basedOn w:val="Fuentedeprrafopredeter"/>
    <w:rsid w:val="00BF05B7"/>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hAnsi="Times New Roman" w:cs="Times New Roman"/>
      <w:sz w:val="20"/>
      <w:szCs w:val="20"/>
      <w:lang w:eastAsia="es-ES_tradnl"/>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15D7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5D77"/>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6000">
      <w:bodyDiv w:val="1"/>
      <w:marLeft w:val="0"/>
      <w:marRight w:val="0"/>
      <w:marTop w:val="0"/>
      <w:marBottom w:val="0"/>
      <w:divBdr>
        <w:top w:val="none" w:sz="0" w:space="0" w:color="auto"/>
        <w:left w:val="none" w:sz="0" w:space="0" w:color="auto"/>
        <w:bottom w:val="none" w:sz="0" w:space="0" w:color="auto"/>
        <w:right w:val="none" w:sz="0" w:space="0" w:color="auto"/>
      </w:divBdr>
      <w:divsChild>
        <w:div w:id="1837648407">
          <w:marLeft w:val="0"/>
          <w:marRight w:val="0"/>
          <w:marTop w:val="0"/>
          <w:marBottom w:val="0"/>
          <w:divBdr>
            <w:top w:val="none" w:sz="0" w:space="0" w:color="auto"/>
            <w:left w:val="none" w:sz="0" w:space="0" w:color="auto"/>
            <w:bottom w:val="none" w:sz="0" w:space="0" w:color="auto"/>
            <w:right w:val="none" w:sz="0" w:space="0" w:color="auto"/>
          </w:divBdr>
          <w:divsChild>
            <w:div w:id="971254393">
              <w:marLeft w:val="0"/>
              <w:marRight w:val="0"/>
              <w:marTop w:val="0"/>
              <w:marBottom w:val="0"/>
              <w:divBdr>
                <w:top w:val="none" w:sz="0" w:space="0" w:color="auto"/>
                <w:left w:val="none" w:sz="0" w:space="0" w:color="auto"/>
                <w:bottom w:val="none" w:sz="0" w:space="0" w:color="auto"/>
                <w:right w:val="none" w:sz="0" w:space="0" w:color="auto"/>
              </w:divBdr>
              <w:divsChild>
                <w:div w:id="400715879">
                  <w:marLeft w:val="0"/>
                  <w:marRight w:val="0"/>
                  <w:marTop w:val="0"/>
                  <w:marBottom w:val="0"/>
                  <w:divBdr>
                    <w:top w:val="none" w:sz="0" w:space="0" w:color="auto"/>
                    <w:left w:val="none" w:sz="0" w:space="0" w:color="auto"/>
                    <w:bottom w:val="none" w:sz="0" w:space="0" w:color="auto"/>
                    <w:right w:val="none" w:sz="0" w:space="0" w:color="auto"/>
                  </w:divBdr>
                  <w:divsChild>
                    <w:div w:id="7754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390295">
      <w:bodyDiv w:val="1"/>
      <w:marLeft w:val="0"/>
      <w:marRight w:val="0"/>
      <w:marTop w:val="0"/>
      <w:marBottom w:val="0"/>
      <w:divBdr>
        <w:top w:val="none" w:sz="0" w:space="0" w:color="auto"/>
        <w:left w:val="none" w:sz="0" w:space="0" w:color="auto"/>
        <w:bottom w:val="none" w:sz="0" w:space="0" w:color="auto"/>
        <w:right w:val="none" w:sz="0" w:space="0" w:color="auto"/>
      </w:divBdr>
      <w:divsChild>
        <w:div w:id="1097942358">
          <w:marLeft w:val="0"/>
          <w:marRight w:val="0"/>
          <w:marTop w:val="0"/>
          <w:marBottom w:val="0"/>
          <w:divBdr>
            <w:top w:val="none" w:sz="0" w:space="0" w:color="auto"/>
            <w:left w:val="none" w:sz="0" w:space="0" w:color="auto"/>
            <w:bottom w:val="none" w:sz="0" w:space="0" w:color="auto"/>
            <w:right w:val="none" w:sz="0" w:space="0" w:color="auto"/>
          </w:divBdr>
          <w:divsChild>
            <w:div w:id="486482448">
              <w:marLeft w:val="0"/>
              <w:marRight w:val="0"/>
              <w:marTop w:val="0"/>
              <w:marBottom w:val="0"/>
              <w:divBdr>
                <w:top w:val="none" w:sz="0" w:space="0" w:color="auto"/>
                <w:left w:val="none" w:sz="0" w:space="0" w:color="auto"/>
                <w:bottom w:val="none" w:sz="0" w:space="0" w:color="auto"/>
                <w:right w:val="none" w:sz="0" w:space="0" w:color="auto"/>
              </w:divBdr>
              <w:divsChild>
                <w:div w:id="1208907541">
                  <w:marLeft w:val="0"/>
                  <w:marRight w:val="0"/>
                  <w:marTop w:val="0"/>
                  <w:marBottom w:val="0"/>
                  <w:divBdr>
                    <w:top w:val="none" w:sz="0" w:space="0" w:color="auto"/>
                    <w:left w:val="none" w:sz="0" w:space="0" w:color="auto"/>
                    <w:bottom w:val="none" w:sz="0" w:space="0" w:color="auto"/>
                    <w:right w:val="none" w:sz="0" w:space="0" w:color="auto"/>
                  </w:divBdr>
                  <w:divsChild>
                    <w:div w:id="14036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2437">
      <w:bodyDiv w:val="1"/>
      <w:marLeft w:val="0"/>
      <w:marRight w:val="0"/>
      <w:marTop w:val="0"/>
      <w:marBottom w:val="0"/>
      <w:divBdr>
        <w:top w:val="none" w:sz="0" w:space="0" w:color="auto"/>
        <w:left w:val="none" w:sz="0" w:space="0" w:color="auto"/>
        <w:bottom w:val="none" w:sz="0" w:space="0" w:color="auto"/>
        <w:right w:val="none" w:sz="0" w:space="0" w:color="auto"/>
      </w:divBdr>
    </w:div>
    <w:div w:id="595482690">
      <w:bodyDiv w:val="1"/>
      <w:marLeft w:val="0"/>
      <w:marRight w:val="0"/>
      <w:marTop w:val="0"/>
      <w:marBottom w:val="0"/>
      <w:divBdr>
        <w:top w:val="none" w:sz="0" w:space="0" w:color="auto"/>
        <w:left w:val="none" w:sz="0" w:space="0" w:color="auto"/>
        <w:bottom w:val="none" w:sz="0" w:space="0" w:color="auto"/>
        <w:right w:val="none" w:sz="0" w:space="0" w:color="auto"/>
      </w:divBdr>
    </w:div>
    <w:div w:id="658584643">
      <w:bodyDiv w:val="1"/>
      <w:marLeft w:val="0"/>
      <w:marRight w:val="0"/>
      <w:marTop w:val="0"/>
      <w:marBottom w:val="0"/>
      <w:divBdr>
        <w:top w:val="none" w:sz="0" w:space="0" w:color="auto"/>
        <w:left w:val="none" w:sz="0" w:space="0" w:color="auto"/>
        <w:bottom w:val="none" w:sz="0" w:space="0" w:color="auto"/>
        <w:right w:val="none" w:sz="0" w:space="0" w:color="auto"/>
      </w:divBdr>
    </w:div>
    <w:div w:id="762802995">
      <w:bodyDiv w:val="1"/>
      <w:marLeft w:val="0"/>
      <w:marRight w:val="0"/>
      <w:marTop w:val="0"/>
      <w:marBottom w:val="0"/>
      <w:divBdr>
        <w:top w:val="none" w:sz="0" w:space="0" w:color="auto"/>
        <w:left w:val="none" w:sz="0" w:space="0" w:color="auto"/>
        <w:bottom w:val="none" w:sz="0" w:space="0" w:color="auto"/>
        <w:right w:val="none" w:sz="0" w:space="0" w:color="auto"/>
      </w:divBdr>
      <w:divsChild>
        <w:div w:id="222181808">
          <w:marLeft w:val="0"/>
          <w:marRight w:val="0"/>
          <w:marTop w:val="0"/>
          <w:marBottom w:val="0"/>
          <w:divBdr>
            <w:top w:val="none" w:sz="0" w:space="0" w:color="auto"/>
            <w:left w:val="none" w:sz="0" w:space="0" w:color="auto"/>
            <w:bottom w:val="none" w:sz="0" w:space="0" w:color="auto"/>
            <w:right w:val="none" w:sz="0" w:space="0" w:color="auto"/>
          </w:divBdr>
          <w:divsChild>
            <w:div w:id="160658430">
              <w:marLeft w:val="0"/>
              <w:marRight w:val="0"/>
              <w:marTop w:val="0"/>
              <w:marBottom w:val="0"/>
              <w:divBdr>
                <w:top w:val="none" w:sz="0" w:space="0" w:color="auto"/>
                <w:left w:val="none" w:sz="0" w:space="0" w:color="auto"/>
                <w:bottom w:val="none" w:sz="0" w:space="0" w:color="auto"/>
                <w:right w:val="none" w:sz="0" w:space="0" w:color="auto"/>
              </w:divBdr>
              <w:divsChild>
                <w:div w:id="1475490987">
                  <w:marLeft w:val="0"/>
                  <w:marRight w:val="0"/>
                  <w:marTop w:val="0"/>
                  <w:marBottom w:val="0"/>
                  <w:divBdr>
                    <w:top w:val="none" w:sz="0" w:space="0" w:color="auto"/>
                    <w:left w:val="none" w:sz="0" w:space="0" w:color="auto"/>
                    <w:bottom w:val="none" w:sz="0" w:space="0" w:color="auto"/>
                    <w:right w:val="none" w:sz="0" w:space="0" w:color="auto"/>
                  </w:divBdr>
                  <w:divsChild>
                    <w:div w:id="13028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72558">
      <w:bodyDiv w:val="1"/>
      <w:marLeft w:val="0"/>
      <w:marRight w:val="0"/>
      <w:marTop w:val="0"/>
      <w:marBottom w:val="0"/>
      <w:divBdr>
        <w:top w:val="none" w:sz="0" w:space="0" w:color="auto"/>
        <w:left w:val="none" w:sz="0" w:space="0" w:color="auto"/>
        <w:bottom w:val="none" w:sz="0" w:space="0" w:color="auto"/>
        <w:right w:val="none" w:sz="0" w:space="0" w:color="auto"/>
      </w:divBdr>
      <w:divsChild>
        <w:div w:id="413939570">
          <w:marLeft w:val="0"/>
          <w:marRight w:val="0"/>
          <w:marTop w:val="0"/>
          <w:marBottom w:val="0"/>
          <w:divBdr>
            <w:top w:val="none" w:sz="0" w:space="0" w:color="auto"/>
            <w:left w:val="none" w:sz="0" w:space="0" w:color="auto"/>
            <w:bottom w:val="none" w:sz="0" w:space="0" w:color="auto"/>
            <w:right w:val="none" w:sz="0" w:space="0" w:color="auto"/>
          </w:divBdr>
          <w:divsChild>
            <w:div w:id="608782311">
              <w:marLeft w:val="0"/>
              <w:marRight w:val="0"/>
              <w:marTop w:val="0"/>
              <w:marBottom w:val="0"/>
              <w:divBdr>
                <w:top w:val="none" w:sz="0" w:space="0" w:color="auto"/>
                <w:left w:val="none" w:sz="0" w:space="0" w:color="auto"/>
                <w:bottom w:val="none" w:sz="0" w:space="0" w:color="auto"/>
                <w:right w:val="none" w:sz="0" w:space="0" w:color="auto"/>
              </w:divBdr>
              <w:divsChild>
                <w:div w:id="101536561">
                  <w:marLeft w:val="0"/>
                  <w:marRight w:val="0"/>
                  <w:marTop w:val="0"/>
                  <w:marBottom w:val="0"/>
                  <w:divBdr>
                    <w:top w:val="none" w:sz="0" w:space="0" w:color="auto"/>
                    <w:left w:val="none" w:sz="0" w:space="0" w:color="auto"/>
                    <w:bottom w:val="none" w:sz="0" w:space="0" w:color="auto"/>
                    <w:right w:val="none" w:sz="0" w:space="0" w:color="auto"/>
                  </w:divBdr>
                  <w:divsChild>
                    <w:div w:id="14085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1107">
      <w:bodyDiv w:val="1"/>
      <w:marLeft w:val="0"/>
      <w:marRight w:val="0"/>
      <w:marTop w:val="0"/>
      <w:marBottom w:val="0"/>
      <w:divBdr>
        <w:top w:val="none" w:sz="0" w:space="0" w:color="auto"/>
        <w:left w:val="none" w:sz="0" w:space="0" w:color="auto"/>
        <w:bottom w:val="none" w:sz="0" w:space="0" w:color="auto"/>
        <w:right w:val="none" w:sz="0" w:space="0" w:color="auto"/>
      </w:divBdr>
    </w:div>
    <w:div w:id="1098208434">
      <w:bodyDiv w:val="1"/>
      <w:marLeft w:val="0"/>
      <w:marRight w:val="0"/>
      <w:marTop w:val="0"/>
      <w:marBottom w:val="0"/>
      <w:divBdr>
        <w:top w:val="none" w:sz="0" w:space="0" w:color="auto"/>
        <w:left w:val="none" w:sz="0" w:space="0" w:color="auto"/>
        <w:bottom w:val="none" w:sz="0" w:space="0" w:color="auto"/>
        <w:right w:val="none" w:sz="0" w:space="0" w:color="auto"/>
      </w:divBdr>
      <w:divsChild>
        <w:div w:id="2051952020">
          <w:marLeft w:val="0"/>
          <w:marRight w:val="0"/>
          <w:marTop w:val="0"/>
          <w:marBottom w:val="0"/>
          <w:divBdr>
            <w:top w:val="none" w:sz="0" w:space="0" w:color="auto"/>
            <w:left w:val="none" w:sz="0" w:space="0" w:color="auto"/>
            <w:bottom w:val="none" w:sz="0" w:space="0" w:color="auto"/>
            <w:right w:val="none" w:sz="0" w:space="0" w:color="auto"/>
          </w:divBdr>
          <w:divsChild>
            <w:div w:id="354425270">
              <w:marLeft w:val="0"/>
              <w:marRight w:val="0"/>
              <w:marTop w:val="0"/>
              <w:marBottom w:val="0"/>
              <w:divBdr>
                <w:top w:val="none" w:sz="0" w:space="0" w:color="auto"/>
                <w:left w:val="none" w:sz="0" w:space="0" w:color="auto"/>
                <w:bottom w:val="none" w:sz="0" w:space="0" w:color="auto"/>
                <w:right w:val="none" w:sz="0" w:space="0" w:color="auto"/>
              </w:divBdr>
              <w:divsChild>
                <w:div w:id="1186674749">
                  <w:marLeft w:val="0"/>
                  <w:marRight w:val="0"/>
                  <w:marTop w:val="0"/>
                  <w:marBottom w:val="0"/>
                  <w:divBdr>
                    <w:top w:val="none" w:sz="0" w:space="0" w:color="auto"/>
                    <w:left w:val="none" w:sz="0" w:space="0" w:color="auto"/>
                    <w:bottom w:val="none" w:sz="0" w:space="0" w:color="auto"/>
                    <w:right w:val="none" w:sz="0" w:space="0" w:color="auto"/>
                  </w:divBdr>
                  <w:divsChild>
                    <w:div w:id="6588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9285">
      <w:bodyDiv w:val="1"/>
      <w:marLeft w:val="0"/>
      <w:marRight w:val="0"/>
      <w:marTop w:val="0"/>
      <w:marBottom w:val="0"/>
      <w:divBdr>
        <w:top w:val="none" w:sz="0" w:space="0" w:color="auto"/>
        <w:left w:val="none" w:sz="0" w:space="0" w:color="auto"/>
        <w:bottom w:val="none" w:sz="0" w:space="0" w:color="auto"/>
        <w:right w:val="none" w:sz="0" w:space="0" w:color="auto"/>
      </w:divBdr>
      <w:divsChild>
        <w:div w:id="1496533482">
          <w:marLeft w:val="0"/>
          <w:marRight w:val="0"/>
          <w:marTop w:val="0"/>
          <w:marBottom w:val="0"/>
          <w:divBdr>
            <w:top w:val="none" w:sz="0" w:space="0" w:color="auto"/>
            <w:left w:val="none" w:sz="0" w:space="0" w:color="auto"/>
            <w:bottom w:val="none" w:sz="0" w:space="0" w:color="auto"/>
            <w:right w:val="none" w:sz="0" w:space="0" w:color="auto"/>
          </w:divBdr>
          <w:divsChild>
            <w:div w:id="946472185">
              <w:marLeft w:val="0"/>
              <w:marRight w:val="0"/>
              <w:marTop w:val="0"/>
              <w:marBottom w:val="0"/>
              <w:divBdr>
                <w:top w:val="none" w:sz="0" w:space="0" w:color="auto"/>
                <w:left w:val="none" w:sz="0" w:space="0" w:color="auto"/>
                <w:bottom w:val="none" w:sz="0" w:space="0" w:color="auto"/>
                <w:right w:val="none" w:sz="0" w:space="0" w:color="auto"/>
              </w:divBdr>
              <w:divsChild>
                <w:div w:id="191647334">
                  <w:marLeft w:val="0"/>
                  <w:marRight w:val="0"/>
                  <w:marTop w:val="0"/>
                  <w:marBottom w:val="0"/>
                  <w:divBdr>
                    <w:top w:val="none" w:sz="0" w:space="0" w:color="auto"/>
                    <w:left w:val="none" w:sz="0" w:space="0" w:color="auto"/>
                    <w:bottom w:val="none" w:sz="0" w:space="0" w:color="auto"/>
                    <w:right w:val="none" w:sz="0" w:space="0" w:color="auto"/>
                  </w:divBdr>
                  <w:divsChild>
                    <w:div w:id="5267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1433">
      <w:bodyDiv w:val="1"/>
      <w:marLeft w:val="0"/>
      <w:marRight w:val="0"/>
      <w:marTop w:val="0"/>
      <w:marBottom w:val="0"/>
      <w:divBdr>
        <w:top w:val="none" w:sz="0" w:space="0" w:color="auto"/>
        <w:left w:val="none" w:sz="0" w:space="0" w:color="auto"/>
        <w:bottom w:val="none" w:sz="0" w:space="0" w:color="auto"/>
        <w:right w:val="none" w:sz="0" w:space="0" w:color="auto"/>
      </w:divBdr>
    </w:div>
    <w:div w:id="1447308948">
      <w:bodyDiv w:val="1"/>
      <w:marLeft w:val="0"/>
      <w:marRight w:val="0"/>
      <w:marTop w:val="0"/>
      <w:marBottom w:val="0"/>
      <w:divBdr>
        <w:top w:val="none" w:sz="0" w:space="0" w:color="auto"/>
        <w:left w:val="none" w:sz="0" w:space="0" w:color="auto"/>
        <w:bottom w:val="none" w:sz="0" w:space="0" w:color="auto"/>
        <w:right w:val="none" w:sz="0" w:space="0" w:color="auto"/>
      </w:divBdr>
      <w:divsChild>
        <w:div w:id="75371647">
          <w:marLeft w:val="0"/>
          <w:marRight w:val="0"/>
          <w:marTop w:val="0"/>
          <w:marBottom w:val="0"/>
          <w:divBdr>
            <w:top w:val="none" w:sz="0" w:space="0" w:color="auto"/>
            <w:left w:val="none" w:sz="0" w:space="0" w:color="auto"/>
            <w:bottom w:val="none" w:sz="0" w:space="0" w:color="auto"/>
            <w:right w:val="none" w:sz="0" w:space="0" w:color="auto"/>
          </w:divBdr>
          <w:divsChild>
            <w:div w:id="312027793">
              <w:marLeft w:val="0"/>
              <w:marRight w:val="0"/>
              <w:marTop w:val="0"/>
              <w:marBottom w:val="0"/>
              <w:divBdr>
                <w:top w:val="none" w:sz="0" w:space="0" w:color="auto"/>
                <w:left w:val="none" w:sz="0" w:space="0" w:color="auto"/>
                <w:bottom w:val="none" w:sz="0" w:space="0" w:color="auto"/>
                <w:right w:val="none" w:sz="0" w:space="0" w:color="auto"/>
              </w:divBdr>
              <w:divsChild>
                <w:div w:id="859971410">
                  <w:marLeft w:val="0"/>
                  <w:marRight w:val="0"/>
                  <w:marTop w:val="0"/>
                  <w:marBottom w:val="0"/>
                  <w:divBdr>
                    <w:top w:val="none" w:sz="0" w:space="0" w:color="auto"/>
                    <w:left w:val="none" w:sz="0" w:space="0" w:color="auto"/>
                    <w:bottom w:val="none" w:sz="0" w:space="0" w:color="auto"/>
                    <w:right w:val="none" w:sz="0" w:space="0" w:color="auto"/>
                  </w:divBdr>
                  <w:divsChild>
                    <w:div w:id="19547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969102">
      <w:bodyDiv w:val="1"/>
      <w:marLeft w:val="0"/>
      <w:marRight w:val="0"/>
      <w:marTop w:val="0"/>
      <w:marBottom w:val="0"/>
      <w:divBdr>
        <w:top w:val="none" w:sz="0" w:space="0" w:color="auto"/>
        <w:left w:val="none" w:sz="0" w:space="0" w:color="auto"/>
        <w:bottom w:val="none" w:sz="0" w:space="0" w:color="auto"/>
        <w:right w:val="none" w:sz="0" w:space="0" w:color="auto"/>
      </w:divBdr>
    </w:div>
    <w:div w:id="1612393497">
      <w:bodyDiv w:val="1"/>
      <w:marLeft w:val="0"/>
      <w:marRight w:val="0"/>
      <w:marTop w:val="0"/>
      <w:marBottom w:val="0"/>
      <w:divBdr>
        <w:top w:val="none" w:sz="0" w:space="0" w:color="auto"/>
        <w:left w:val="none" w:sz="0" w:space="0" w:color="auto"/>
        <w:bottom w:val="none" w:sz="0" w:space="0" w:color="auto"/>
        <w:right w:val="none" w:sz="0" w:space="0" w:color="auto"/>
      </w:divBdr>
      <w:divsChild>
        <w:div w:id="854995997">
          <w:marLeft w:val="0"/>
          <w:marRight w:val="0"/>
          <w:marTop w:val="0"/>
          <w:marBottom w:val="0"/>
          <w:divBdr>
            <w:top w:val="none" w:sz="0" w:space="0" w:color="auto"/>
            <w:left w:val="none" w:sz="0" w:space="0" w:color="auto"/>
            <w:bottom w:val="none" w:sz="0" w:space="0" w:color="auto"/>
            <w:right w:val="none" w:sz="0" w:space="0" w:color="auto"/>
          </w:divBdr>
          <w:divsChild>
            <w:div w:id="689571758">
              <w:marLeft w:val="0"/>
              <w:marRight w:val="0"/>
              <w:marTop w:val="0"/>
              <w:marBottom w:val="0"/>
              <w:divBdr>
                <w:top w:val="none" w:sz="0" w:space="0" w:color="auto"/>
                <w:left w:val="none" w:sz="0" w:space="0" w:color="auto"/>
                <w:bottom w:val="none" w:sz="0" w:space="0" w:color="auto"/>
                <w:right w:val="none" w:sz="0" w:space="0" w:color="auto"/>
              </w:divBdr>
              <w:divsChild>
                <w:div w:id="887883994">
                  <w:marLeft w:val="0"/>
                  <w:marRight w:val="0"/>
                  <w:marTop w:val="0"/>
                  <w:marBottom w:val="0"/>
                  <w:divBdr>
                    <w:top w:val="none" w:sz="0" w:space="0" w:color="auto"/>
                    <w:left w:val="none" w:sz="0" w:space="0" w:color="auto"/>
                    <w:bottom w:val="none" w:sz="0" w:space="0" w:color="auto"/>
                    <w:right w:val="none" w:sz="0" w:space="0" w:color="auto"/>
                  </w:divBdr>
                  <w:divsChild>
                    <w:div w:id="12434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364955">
      <w:bodyDiv w:val="1"/>
      <w:marLeft w:val="0"/>
      <w:marRight w:val="0"/>
      <w:marTop w:val="0"/>
      <w:marBottom w:val="0"/>
      <w:divBdr>
        <w:top w:val="none" w:sz="0" w:space="0" w:color="auto"/>
        <w:left w:val="none" w:sz="0" w:space="0" w:color="auto"/>
        <w:bottom w:val="none" w:sz="0" w:space="0" w:color="auto"/>
        <w:right w:val="none" w:sz="0" w:space="0" w:color="auto"/>
      </w:divBdr>
    </w:div>
    <w:div w:id="1705710675">
      <w:bodyDiv w:val="1"/>
      <w:marLeft w:val="0"/>
      <w:marRight w:val="0"/>
      <w:marTop w:val="0"/>
      <w:marBottom w:val="0"/>
      <w:divBdr>
        <w:top w:val="none" w:sz="0" w:space="0" w:color="auto"/>
        <w:left w:val="none" w:sz="0" w:space="0" w:color="auto"/>
        <w:bottom w:val="none" w:sz="0" w:space="0" w:color="auto"/>
        <w:right w:val="none" w:sz="0" w:space="0" w:color="auto"/>
      </w:divBdr>
      <w:divsChild>
        <w:div w:id="1023366486">
          <w:marLeft w:val="0"/>
          <w:marRight w:val="0"/>
          <w:marTop w:val="0"/>
          <w:marBottom w:val="0"/>
          <w:divBdr>
            <w:top w:val="none" w:sz="0" w:space="0" w:color="auto"/>
            <w:left w:val="none" w:sz="0" w:space="0" w:color="auto"/>
            <w:bottom w:val="none" w:sz="0" w:space="0" w:color="auto"/>
            <w:right w:val="none" w:sz="0" w:space="0" w:color="auto"/>
          </w:divBdr>
          <w:divsChild>
            <w:div w:id="1384910377">
              <w:marLeft w:val="0"/>
              <w:marRight w:val="0"/>
              <w:marTop w:val="0"/>
              <w:marBottom w:val="0"/>
              <w:divBdr>
                <w:top w:val="none" w:sz="0" w:space="0" w:color="auto"/>
                <w:left w:val="none" w:sz="0" w:space="0" w:color="auto"/>
                <w:bottom w:val="none" w:sz="0" w:space="0" w:color="auto"/>
                <w:right w:val="none" w:sz="0" w:space="0" w:color="auto"/>
              </w:divBdr>
              <w:divsChild>
                <w:div w:id="834029645">
                  <w:marLeft w:val="0"/>
                  <w:marRight w:val="0"/>
                  <w:marTop w:val="0"/>
                  <w:marBottom w:val="0"/>
                  <w:divBdr>
                    <w:top w:val="none" w:sz="0" w:space="0" w:color="auto"/>
                    <w:left w:val="none" w:sz="0" w:space="0" w:color="auto"/>
                    <w:bottom w:val="none" w:sz="0" w:space="0" w:color="auto"/>
                    <w:right w:val="none" w:sz="0" w:space="0" w:color="auto"/>
                  </w:divBdr>
                  <w:divsChild>
                    <w:div w:id="483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241e5c68dc234edf"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ormativa.colpensiones.gov.co/colpens/docs/ley_0100_1993.htm" TargetMode="External"/><Relationship Id="rId5" Type="http://schemas.openxmlformats.org/officeDocument/2006/relationships/numbering" Target="numbering.xml"/><Relationship Id="rId15" Type="http://schemas.microsoft.com/office/2011/relationships/commentsExtended" Target="commentsExtended.xml"/><Relationship Id="Rbef3f0f3ed504360" Type="http://schemas.microsoft.com/office/2018/08/relationships/commentsExtensible" Target="commentsExtensible.xml"/><Relationship Id="rId10" Type="http://schemas.openxmlformats.org/officeDocument/2006/relationships/hyperlink" Target="https://normativa.colpensiones.gov.co/colpens/docs/decreto_0758_1990.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9608-9E65-42A9-BFE9-072140D0E2FC}">
  <ds:schemaRefs>
    <ds:schemaRef ds:uri="http://schemas.microsoft.com/sharepoint/v3/contenttype/forms"/>
  </ds:schemaRefs>
</ds:datastoreItem>
</file>

<file path=customXml/itemProps2.xml><?xml version="1.0" encoding="utf-8"?>
<ds:datastoreItem xmlns:ds="http://schemas.openxmlformats.org/officeDocument/2006/customXml" ds:itemID="{D1936B7E-7F49-455C-9227-888883C12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ACC38-62FB-4A74-BC13-9F65AB550068}">
  <ds:schemaRefs>
    <ds:schemaRef ds:uri="http://schemas.microsoft.com/office/2006/metadata/properties"/>
    <ds:schemaRef ds:uri="http://schemas.microsoft.com/office/infopath/2007/PartnerControls"/>
    <ds:schemaRef ds:uri="43ca2746-26a0-40df-9010-f2a8f46d6514"/>
  </ds:schemaRefs>
</ds:datastoreItem>
</file>

<file path=customXml/itemProps4.xml><?xml version="1.0" encoding="utf-8"?>
<ds:datastoreItem xmlns:ds="http://schemas.openxmlformats.org/officeDocument/2006/customXml" ds:itemID="{7A662E88-8322-4AA5-843C-F4F5AC43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5527</Words>
  <Characters>30403</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18</cp:revision>
  <dcterms:created xsi:type="dcterms:W3CDTF">2020-07-02T14:06:00Z</dcterms:created>
  <dcterms:modified xsi:type="dcterms:W3CDTF">2020-10-07T19:45:00Z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10269300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