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C4E8124" w14:textId="77777777" w:rsidR="00846C67" w:rsidRPr="00846C67" w:rsidRDefault="00846C67" w:rsidP="00846C67">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846C6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846C67">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1ABD3E3D" w14:textId="77777777" w:rsidR="00846C67" w:rsidRPr="00846C67" w:rsidRDefault="00846C67" w:rsidP="00846C67">
      <w:pPr>
        <w:spacing w:line="240" w:lineRule="auto"/>
        <w:ind w:firstLine="0"/>
        <w:rPr>
          <w:rFonts w:ascii="Arial" w:eastAsia="Times New Roman" w:hAnsi="Arial" w:cs="Arial"/>
          <w:sz w:val="20"/>
          <w:szCs w:val="20"/>
          <w:lang w:val="es-419" w:eastAsia="es-ES"/>
        </w:rPr>
      </w:pPr>
    </w:p>
    <w:p w14:paraId="7D2844EA" w14:textId="77777777" w:rsidR="00846C67" w:rsidRPr="00F109C6" w:rsidRDefault="00846C67" w:rsidP="00846C67">
      <w:pPr>
        <w:pStyle w:val="NormalWeb"/>
        <w:spacing w:before="0" w:beforeAutospacing="0" w:after="0" w:afterAutospacing="0"/>
        <w:jc w:val="both"/>
        <w:rPr>
          <w:rFonts w:ascii="Arial" w:hAnsi="Arial" w:cs="Arial"/>
          <w:bCs/>
          <w:sz w:val="20"/>
          <w:szCs w:val="18"/>
        </w:rPr>
      </w:pPr>
      <w:r w:rsidRPr="00F109C6">
        <w:rPr>
          <w:rFonts w:ascii="Arial" w:hAnsi="Arial" w:cs="Arial"/>
          <w:sz w:val="20"/>
          <w:szCs w:val="18"/>
        </w:rPr>
        <w:t xml:space="preserve">Providencia: </w:t>
      </w:r>
      <w:r w:rsidRPr="00F109C6">
        <w:rPr>
          <w:rFonts w:ascii="Arial" w:hAnsi="Arial" w:cs="Arial"/>
          <w:sz w:val="20"/>
          <w:szCs w:val="18"/>
        </w:rPr>
        <w:tab/>
      </w:r>
      <w:r w:rsidRPr="00F109C6">
        <w:rPr>
          <w:rFonts w:ascii="Arial" w:hAnsi="Arial" w:cs="Arial"/>
          <w:sz w:val="20"/>
          <w:szCs w:val="18"/>
        </w:rPr>
        <w:tab/>
      </w:r>
      <w:r w:rsidRPr="00F109C6">
        <w:rPr>
          <w:rFonts w:ascii="Arial" w:hAnsi="Arial" w:cs="Arial"/>
          <w:bCs/>
          <w:sz w:val="20"/>
          <w:szCs w:val="18"/>
        </w:rPr>
        <w:t>Sentencia del 14 de septiembre de 2020</w:t>
      </w:r>
    </w:p>
    <w:p w14:paraId="0CE8BEFF" w14:textId="77777777" w:rsidR="00846C67" w:rsidRPr="00F109C6" w:rsidRDefault="00846C67" w:rsidP="00846C67">
      <w:pPr>
        <w:pStyle w:val="NormalWeb"/>
        <w:spacing w:before="0" w:beforeAutospacing="0" w:after="0" w:afterAutospacing="0"/>
        <w:jc w:val="both"/>
        <w:rPr>
          <w:rFonts w:ascii="Arial" w:hAnsi="Arial" w:cs="Arial"/>
          <w:sz w:val="20"/>
          <w:szCs w:val="18"/>
        </w:rPr>
      </w:pPr>
      <w:r w:rsidRPr="00F109C6">
        <w:rPr>
          <w:rFonts w:ascii="Arial" w:hAnsi="Arial" w:cs="Arial"/>
          <w:sz w:val="20"/>
          <w:szCs w:val="18"/>
        </w:rPr>
        <w:t xml:space="preserve">Radicación No.: </w:t>
      </w:r>
      <w:r w:rsidRPr="00F109C6">
        <w:rPr>
          <w:rFonts w:ascii="Arial" w:hAnsi="Arial" w:cs="Arial"/>
          <w:sz w:val="20"/>
          <w:szCs w:val="18"/>
        </w:rPr>
        <w:tab/>
        <w:t>66001-31-05-005-2017-00330-01</w:t>
      </w:r>
    </w:p>
    <w:p w14:paraId="57F3E506" w14:textId="77777777" w:rsidR="00846C67" w:rsidRPr="00F109C6" w:rsidRDefault="00846C67" w:rsidP="00846C67">
      <w:pPr>
        <w:pStyle w:val="NormalWeb"/>
        <w:spacing w:before="0" w:beforeAutospacing="0" w:after="0" w:afterAutospacing="0"/>
        <w:jc w:val="both"/>
        <w:rPr>
          <w:rFonts w:ascii="Arial" w:hAnsi="Arial" w:cs="Arial"/>
          <w:sz w:val="20"/>
          <w:szCs w:val="18"/>
        </w:rPr>
      </w:pPr>
      <w:r w:rsidRPr="00F109C6">
        <w:rPr>
          <w:rFonts w:ascii="Arial" w:hAnsi="Arial" w:cs="Arial"/>
          <w:sz w:val="20"/>
          <w:szCs w:val="18"/>
        </w:rPr>
        <w:t xml:space="preserve">Proceso: </w:t>
      </w:r>
      <w:r w:rsidRPr="00F109C6">
        <w:rPr>
          <w:rFonts w:ascii="Arial" w:hAnsi="Arial" w:cs="Arial"/>
          <w:sz w:val="20"/>
          <w:szCs w:val="18"/>
        </w:rPr>
        <w:tab/>
      </w:r>
      <w:r w:rsidRPr="00F109C6">
        <w:rPr>
          <w:rFonts w:ascii="Arial" w:hAnsi="Arial" w:cs="Arial"/>
          <w:sz w:val="20"/>
          <w:szCs w:val="18"/>
        </w:rPr>
        <w:tab/>
        <w:t xml:space="preserve">Ordinario Laboral </w:t>
      </w:r>
    </w:p>
    <w:p w14:paraId="42A5ED59" w14:textId="77777777" w:rsidR="00846C67" w:rsidRPr="00F109C6" w:rsidRDefault="00846C67" w:rsidP="00846C67">
      <w:pPr>
        <w:pStyle w:val="NormalWeb"/>
        <w:spacing w:before="0" w:beforeAutospacing="0" w:after="0" w:afterAutospacing="0"/>
        <w:jc w:val="both"/>
        <w:rPr>
          <w:rFonts w:ascii="Arial" w:hAnsi="Arial" w:cs="Arial"/>
          <w:sz w:val="20"/>
          <w:szCs w:val="18"/>
        </w:rPr>
      </w:pPr>
      <w:r w:rsidRPr="00F109C6">
        <w:rPr>
          <w:rFonts w:ascii="Arial" w:hAnsi="Arial" w:cs="Arial"/>
          <w:sz w:val="20"/>
          <w:szCs w:val="18"/>
        </w:rPr>
        <w:t xml:space="preserve">Demandante: </w:t>
      </w:r>
      <w:r w:rsidRPr="00F109C6">
        <w:rPr>
          <w:rFonts w:ascii="Arial" w:hAnsi="Arial" w:cs="Arial"/>
          <w:sz w:val="20"/>
          <w:szCs w:val="18"/>
        </w:rPr>
        <w:tab/>
      </w:r>
      <w:r w:rsidRPr="00F109C6">
        <w:rPr>
          <w:rFonts w:ascii="Arial" w:hAnsi="Arial" w:cs="Arial"/>
          <w:sz w:val="20"/>
          <w:szCs w:val="18"/>
        </w:rPr>
        <w:tab/>
        <w:t xml:space="preserve">María Nelly Bermúdez Bedoya </w:t>
      </w:r>
    </w:p>
    <w:p w14:paraId="728F44D3" w14:textId="77777777" w:rsidR="00846C67" w:rsidRPr="00F109C6" w:rsidRDefault="00846C67" w:rsidP="00846C67">
      <w:pPr>
        <w:pStyle w:val="NormalWeb"/>
        <w:spacing w:before="0" w:beforeAutospacing="0" w:after="0" w:afterAutospacing="0"/>
        <w:jc w:val="both"/>
        <w:rPr>
          <w:rFonts w:ascii="Arial" w:hAnsi="Arial" w:cs="Arial"/>
          <w:sz w:val="20"/>
          <w:szCs w:val="18"/>
        </w:rPr>
      </w:pPr>
      <w:r w:rsidRPr="00F109C6">
        <w:rPr>
          <w:rFonts w:ascii="Arial" w:hAnsi="Arial" w:cs="Arial"/>
          <w:sz w:val="20"/>
          <w:szCs w:val="18"/>
        </w:rPr>
        <w:t xml:space="preserve">Demandado: </w:t>
      </w:r>
      <w:r w:rsidRPr="00F109C6">
        <w:rPr>
          <w:rFonts w:ascii="Arial" w:hAnsi="Arial" w:cs="Arial"/>
          <w:sz w:val="20"/>
          <w:szCs w:val="18"/>
        </w:rPr>
        <w:tab/>
      </w:r>
      <w:r w:rsidRPr="00F109C6">
        <w:rPr>
          <w:rFonts w:ascii="Arial" w:hAnsi="Arial" w:cs="Arial"/>
          <w:sz w:val="20"/>
          <w:szCs w:val="18"/>
        </w:rPr>
        <w:tab/>
        <w:t>Porvenir S.A. y Colpensiones</w:t>
      </w:r>
    </w:p>
    <w:p w14:paraId="7D503627" w14:textId="77777777" w:rsidR="00846C67" w:rsidRPr="00F109C6" w:rsidRDefault="00846C67" w:rsidP="00846C67">
      <w:pPr>
        <w:pStyle w:val="NormalWeb"/>
        <w:spacing w:before="0" w:beforeAutospacing="0" w:after="0" w:afterAutospacing="0"/>
        <w:jc w:val="both"/>
        <w:rPr>
          <w:rFonts w:ascii="Arial" w:hAnsi="Arial" w:cs="Arial"/>
          <w:sz w:val="20"/>
          <w:szCs w:val="18"/>
        </w:rPr>
      </w:pPr>
      <w:r w:rsidRPr="00F109C6">
        <w:rPr>
          <w:rFonts w:ascii="Arial" w:hAnsi="Arial" w:cs="Arial"/>
          <w:sz w:val="20"/>
          <w:szCs w:val="18"/>
        </w:rPr>
        <w:t xml:space="preserve">Juzgado: </w:t>
      </w:r>
      <w:r w:rsidRPr="00F109C6">
        <w:rPr>
          <w:rFonts w:ascii="Arial" w:hAnsi="Arial" w:cs="Arial"/>
          <w:sz w:val="20"/>
          <w:szCs w:val="18"/>
        </w:rPr>
        <w:tab/>
      </w:r>
      <w:r w:rsidRPr="00F109C6">
        <w:rPr>
          <w:rFonts w:ascii="Arial" w:hAnsi="Arial" w:cs="Arial"/>
          <w:sz w:val="20"/>
          <w:szCs w:val="18"/>
        </w:rPr>
        <w:tab/>
        <w:t>Quinto Laboral del Circuito de Pereira</w:t>
      </w:r>
    </w:p>
    <w:p w14:paraId="273D492F" w14:textId="77777777" w:rsidR="00846C67" w:rsidRPr="00D6390A" w:rsidRDefault="00846C67" w:rsidP="00846C67">
      <w:pPr>
        <w:spacing w:line="240" w:lineRule="auto"/>
        <w:ind w:firstLine="0"/>
        <w:rPr>
          <w:rFonts w:ascii="Arial" w:eastAsia="Times New Roman" w:hAnsi="Arial" w:cs="Arial"/>
          <w:szCs w:val="20"/>
          <w:lang w:val="es-419" w:eastAsia="es-ES"/>
        </w:rPr>
      </w:pPr>
    </w:p>
    <w:p w14:paraId="1A453F73" w14:textId="47E43DC3" w:rsidR="00D6390A" w:rsidRPr="00D6390A" w:rsidRDefault="00D6390A" w:rsidP="00D6390A">
      <w:pPr>
        <w:spacing w:line="240" w:lineRule="auto"/>
        <w:ind w:firstLine="0"/>
        <w:rPr>
          <w:rFonts w:ascii="Arial" w:eastAsia="Times New Roman" w:hAnsi="Arial" w:cs="Arial"/>
          <w:b/>
          <w:bCs/>
          <w:iCs/>
          <w:sz w:val="20"/>
          <w:szCs w:val="20"/>
          <w:lang w:val="es-419" w:eastAsia="fr-FR"/>
        </w:rPr>
      </w:pPr>
      <w:r w:rsidRPr="00D6390A">
        <w:rPr>
          <w:rFonts w:ascii="Arial" w:eastAsia="Times New Roman" w:hAnsi="Arial" w:cs="Arial"/>
          <w:b/>
          <w:bCs/>
          <w:iCs/>
          <w:sz w:val="20"/>
          <w:szCs w:val="20"/>
          <w:u w:val="single"/>
          <w:lang w:val="es-419" w:eastAsia="fr-FR"/>
        </w:rPr>
        <w:t>TEMAS:</w:t>
      </w:r>
      <w:r w:rsidRPr="00D6390A">
        <w:rPr>
          <w:rFonts w:ascii="Arial" w:eastAsia="Times New Roman" w:hAnsi="Arial" w:cs="Arial"/>
          <w:b/>
          <w:bCs/>
          <w:iCs/>
          <w:sz w:val="20"/>
          <w:szCs w:val="20"/>
          <w:lang w:val="es-419" w:eastAsia="fr-FR"/>
        </w:rPr>
        <w:tab/>
      </w:r>
      <w:r w:rsidRPr="00D6390A">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6D9FD180" w14:textId="77777777" w:rsidR="00D6390A" w:rsidRPr="00D6390A" w:rsidRDefault="00D6390A" w:rsidP="00D6390A">
      <w:pPr>
        <w:spacing w:line="240" w:lineRule="auto"/>
        <w:ind w:firstLine="0"/>
        <w:rPr>
          <w:rFonts w:ascii="Arial" w:eastAsia="Times New Roman" w:hAnsi="Arial" w:cs="Arial"/>
          <w:sz w:val="20"/>
          <w:szCs w:val="20"/>
          <w:lang w:val="es-419" w:eastAsia="es-ES"/>
        </w:rPr>
      </w:pPr>
    </w:p>
    <w:p w14:paraId="27351A95" w14:textId="77777777" w:rsidR="00D6390A" w:rsidRPr="00D6390A" w:rsidRDefault="00D6390A" w:rsidP="00D6390A">
      <w:pPr>
        <w:spacing w:line="240" w:lineRule="auto"/>
        <w:ind w:firstLine="0"/>
        <w:rPr>
          <w:rFonts w:ascii="Arial" w:eastAsia="Times New Roman" w:hAnsi="Arial" w:cs="Arial"/>
          <w:sz w:val="20"/>
          <w:szCs w:val="20"/>
          <w:lang w:val="es-419" w:eastAsia="es-ES"/>
        </w:rPr>
      </w:pPr>
      <w:r w:rsidRPr="00D6390A">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3B497C01" w14:textId="77777777" w:rsidR="00D6390A" w:rsidRPr="00D6390A" w:rsidRDefault="00D6390A" w:rsidP="00D6390A">
      <w:pPr>
        <w:spacing w:line="240" w:lineRule="auto"/>
        <w:ind w:firstLine="0"/>
        <w:rPr>
          <w:rFonts w:ascii="Arial" w:eastAsia="Times New Roman" w:hAnsi="Arial" w:cs="Arial"/>
          <w:sz w:val="20"/>
          <w:szCs w:val="20"/>
          <w:lang w:val="es-419" w:eastAsia="es-ES"/>
        </w:rPr>
      </w:pPr>
    </w:p>
    <w:p w14:paraId="0D26FCD8" w14:textId="77777777" w:rsidR="00D6390A" w:rsidRPr="00D6390A" w:rsidRDefault="00D6390A" w:rsidP="00D6390A">
      <w:pPr>
        <w:spacing w:line="240" w:lineRule="auto"/>
        <w:ind w:firstLine="0"/>
        <w:rPr>
          <w:rFonts w:ascii="Arial" w:eastAsia="Times New Roman" w:hAnsi="Arial" w:cs="Arial"/>
          <w:sz w:val="20"/>
          <w:szCs w:val="20"/>
          <w:lang w:val="es-419" w:eastAsia="es-ES"/>
        </w:rPr>
      </w:pPr>
      <w:r w:rsidRPr="00D6390A">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2BBEB313" w14:textId="77777777" w:rsidR="00D6390A" w:rsidRPr="00D6390A" w:rsidRDefault="00D6390A" w:rsidP="00D6390A">
      <w:pPr>
        <w:spacing w:line="240" w:lineRule="auto"/>
        <w:ind w:firstLine="0"/>
        <w:rPr>
          <w:rFonts w:ascii="Arial" w:eastAsia="Times New Roman" w:hAnsi="Arial" w:cs="Arial"/>
          <w:sz w:val="20"/>
          <w:szCs w:val="20"/>
          <w:lang w:val="es-419" w:eastAsia="es-ES"/>
        </w:rPr>
      </w:pPr>
    </w:p>
    <w:p w14:paraId="4DE8BA1E" w14:textId="77777777" w:rsidR="00D6390A" w:rsidRPr="00D6390A" w:rsidRDefault="00D6390A" w:rsidP="00D6390A">
      <w:pPr>
        <w:spacing w:line="240" w:lineRule="auto"/>
        <w:ind w:firstLine="0"/>
        <w:rPr>
          <w:rFonts w:ascii="Arial" w:eastAsia="Times New Roman" w:hAnsi="Arial" w:cs="Arial"/>
          <w:sz w:val="20"/>
          <w:szCs w:val="20"/>
          <w:lang w:val="es-419" w:eastAsia="es-ES"/>
        </w:rPr>
      </w:pPr>
      <w:r w:rsidRPr="00D6390A">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w:t>
      </w:r>
    </w:p>
    <w:p w14:paraId="7438DF0C" w14:textId="77777777" w:rsidR="00D6390A" w:rsidRPr="00D6390A" w:rsidRDefault="00D6390A" w:rsidP="00D6390A">
      <w:pPr>
        <w:spacing w:line="240" w:lineRule="auto"/>
        <w:ind w:firstLine="0"/>
        <w:rPr>
          <w:rFonts w:ascii="Arial" w:eastAsia="Times New Roman" w:hAnsi="Arial" w:cs="Arial"/>
          <w:sz w:val="20"/>
          <w:szCs w:val="20"/>
          <w:lang w:val="es-419" w:eastAsia="es-ES"/>
        </w:rPr>
      </w:pPr>
    </w:p>
    <w:p w14:paraId="44D1BA82" w14:textId="77777777" w:rsidR="00D6390A" w:rsidRPr="00D6390A" w:rsidRDefault="00D6390A" w:rsidP="00D6390A">
      <w:pPr>
        <w:spacing w:line="240" w:lineRule="auto"/>
        <w:ind w:firstLine="0"/>
        <w:rPr>
          <w:rFonts w:ascii="Arial" w:eastAsia="Times New Roman" w:hAnsi="Arial" w:cs="Arial"/>
          <w:sz w:val="20"/>
          <w:szCs w:val="20"/>
          <w:lang w:val="es-419" w:eastAsia="es-ES"/>
        </w:rPr>
      </w:pPr>
      <w:r w:rsidRPr="00D6390A">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3CECDD7A" w14:textId="77777777" w:rsidR="00D6390A" w:rsidRPr="00D6390A" w:rsidRDefault="00D6390A" w:rsidP="00D6390A">
      <w:pPr>
        <w:spacing w:line="240" w:lineRule="auto"/>
        <w:ind w:firstLine="0"/>
        <w:rPr>
          <w:rFonts w:ascii="Arial" w:eastAsia="Times New Roman" w:hAnsi="Arial" w:cs="Arial"/>
          <w:sz w:val="20"/>
          <w:szCs w:val="20"/>
          <w:lang w:val="es-419" w:eastAsia="es-ES"/>
        </w:rPr>
      </w:pPr>
    </w:p>
    <w:p w14:paraId="65F95966" w14:textId="77777777" w:rsidR="00D6390A" w:rsidRPr="00D6390A" w:rsidRDefault="00D6390A" w:rsidP="00D6390A">
      <w:pPr>
        <w:spacing w:line="240" w:lineRule="auto"/>
        <w:ind w:firstLine="0"/>
        <w:rPr>
          <w:rFonts w:ascii="Arial" w:eastAsia="Times New Roman" w:hAnsi="Arial" w:cs="Arial"/>
          <w:b/>
          <w:color w:val="FF0000"/>
          <w:sz w:val="20"/>
          <w:szCs w:val="20"/>
          <w:lang w:eastAsia="es-ES"/>
        </w:rPr>
      </w:pPr>
      <w:r w:rsidRPr="00D6390A">
        <w:rPr>
          <w:rFonts w:ascii="Arial" w:eastAsia="Times New Roman" w:hAnsi="Arial" w:cs="Arial"/>
          <w:b/>
          <w:color w:val="FF0000"/>
          <w:sz w:val="20"/>
          <w:szCs w:val="20"/>
          <w:lang w:eastAsia="es-ES"/>
        </w:rPr>
        <w:t>ACLARACIÓN DE VOTO: DOCTOR JULIO CÉSAR SALAZAR MUÑOZ</w:t>
      </w:r>
    </w:p>
    <w:p w14:paraId="29E79438" w14:textId="77777777" w:rsidR="00D6390A" w:rsidRPr="00D6390A" w:rsidRDefault="00D6390A" w:rsidP="00D6390A">
      <w:pPr>
        <w:spacing w:line="240" w:lineRule="auto"/>
        <w:ind w:firstLine="0"/>
        <w:rPr>
          <w:rFonts w:ascii="Arial" w:eastAsia="Times New Roman" w:hAnsi="Arial" w:cs="Arial"/>
          <w:sz w:val="20"/>
          <w:szCs w:val="20"/>
          <w:lang w:eastAsia="es-ES"/>
        </w:rPr>
      </w:pPr>
    </w:p>
    <w:p w14:paraId="342DECFB" w14:textId="77777777" w:rsidR="00D6390A" w:rsidRPr="00D6390A" w:rsidRDefault="00D6390A" w:rsidP="00D6390A">
      <w:pPr>
        <w:spacing w:line="240" w:lineRule="auto"/>
        <w:ind w:firstLine="0"/>
        <w:rPr>
          <w:rFonts w:ascii="Arial" w:eastAsia="Times New Roman" w:hAnsi="Arial" w:cs="Arial"/>
          <w:sz w:val="20"/>
          <w:szCs w:val="20"/>
          <w:lang w:eastAsia="es-ES"/>
        </w:rPr>
      </w:pPr>
      <w:r w:rsidRPr="00D6390A">
        <w:rPr>
          <w:rFonts w:ascii="Arial" w:eastAsia="Times New Roman" w:hAnsi="Arial" w:cs="Arial"/>
          <w:sz w:val="20"/>
          <w:szCs w:val="20"/>
          <w:lang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D6390A">
        <w:rPr>
          <w:rFonts w:ascii="Arial" w:eastAsia="Times New Roman" w:hAnsi="Arial" w:cs="Arial"/>
          <w:sz w:val="20"/>
          <w:szCs w:val="20"/>
          <w:lang w:eastAsia="es-ES"/>
        </w:rPr>
        <w:t>RAIS</w:t>
      </w:r>
      <w:proofErr w:type="spellEnd"/>
      <w:r w:rsidRPr="00D6390A">
        <w:rPr>
          <w:rFonts w:ascii="Arial" w:eastAsia="Times New Roman" w:hAnsi="Arial" w:cs="Arial"/>
          <w:sz w:val="20"/>
          <w:szCs w:val="20"/>
          <w:lang w:eastAsia="es-ES"/>
        </w:rPr>
        <w:t>, sin percatarse que, si en efecto hubo un engaño u omisión en la información para lograr el traslado por parte de la AFP privada, es ésta quien debe proceder al resarcimiento del eventual daño o perjuicio que con ello haya generado.</w:t>
      </w:r>
    </w:p>
    <w:p w14:paraId="60E91B58" w14:textId="77777777" w:rsidR="00D6390A" w:rsidRPr="00D6390A" w:rsidRDefault="00D6390A" w:rsidP="00D6390A">
      <w:pPr>
        <w:spacing w:line="240" w:lineRule="auto"/>
        <w:ind w:firstLine="0"/>
        <w:rPr>
          <w:rFonts w:ascii="Arial" w:eastAsia="Times New Roman" w:hAnsi="Arial" w:cs="Arial"/>
          <w:sz w:val="20"/>
          <w:szCs w:val="20"/>
          <w:lang w:eastAsia="es-ES"/>
        </w:rPr>
      </w:pPr>
    </w:p>
    <w:p w14:paraId="69CAE7B7" w14:textId="77777777" w:rsidR="00D6390A" w:rsidRPr="00D6390A" w:rsidRDefault="00D6390A" w:rsidP="00D6390A">
      <w:pPr>
        <w:spacing w:line="240" w:lineRule="auto"/>
        <w:ind w:firstLine="0"/>
        <w:rPr>
          <w:rFonts w:ascii="Arial" w:eastAsia="Times New Roman" w:hAnsi="Arial" w:cs="Arial"/>
          <w:sz w:val="20"/>
          <w:szCs w:val="20"/>
          <w:lang w:eastAsia="es-ES"/>
        </w:rPr>
      </w:pPr>
      <w:r w:rsidRPr="00D6390A">
        <w:rPr>
          <w:rFonts w:ascii="Arial" w:eastAsia="Times New Roman" w:hAnsi="Arial" w:cs="Arial"/>
          <w:sz w:val="20"/>
          <w:szCs w:val="20"/>
          <w:lang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3CC15E53" w14:textId="77777777" w:rsidR="00846C67" w:rsidRPr="00846C67" w:rsidRDefault="00846C67" w:rsidP="00846C67">
      <w:pPr>
        <w:spacing w:line="240" w:lineRule="auto"/>
        <w:ind w:firstLine="0"/>
        <w:rPr>
          <w:rFonts w:ascii="Arial" w:eastAsia="Times New Roman" w:hAnsi="Arial" w:cs="Arial"/>
          <w:sz w:val="20"/>
          <w:szCs w:val="20"/>
          <w:lang w:eastAsia="es-ES"/>
        </w:rPr>
      </w:pPr>
    </w:p>
    <w:p w14:paraId="614C71F0" w14:textId="77777777" w:rsidR="00846C67" w:rsidRPr="00846C67" w:rsidRDefault="00846C67" w:rsidP="00846C67">
      <w:pPr>
        <w:spacing w:line="240" w:lineRule="auto"/>
        <w:ind w:firstLine="0"/>
        <w:rPr>
          <w:rFonts w:ascii="Arial" w:eastAsia="Times New Roman" w:hAnsi="Arial" w:cs="Arial"/>
          <w:sz w:val="20"/>
          <w:szCs w:val="20"/>
          <w:lang w:eastAsia="es-ES"/>
        </w:rPr>
      </w:pPr>
    </w:p>
    <w:p w14:paraId="4CBBF195" w14:textId="77777777" w:rsidR="00846C67" w:rsidRPr="00846C67" w:rsidRDefault="00846C67" w:rsidP="00846C67">
      <w:pPr>
        <w:spacing w:line="240" w:lineRule="auto"/>
        <w:ind w:firstLine="0"/>
        <w:rPr>
          <w:rFonts w:ascii="Arial" w:eastAsia="Times New Roman" w:hAnsi="Arial" w:cs="Arial"/>
          <w:sz w:val="20"/>
          <w:szCs w:val="20"/>
          <w:lang w:eastAsia="es-ES"/>
        </w:rPr>
      </w:pPr>
    </w:p>
    <w:p w14:paraId="000BE7F6" w14:textId="77777777" w:rsidR="00B5475E" w:rsidRPr="00846C67" w:rsidRDefault="00B5475E" w:rsidP="00846C67">
      <w:pPr>
        <w:pStyle w:val="Ttulo4"/>
        <w:widowControl w:val="0"/>
        <w:tabs>
          <w:tab w:val="clear" w:pos="0"/>
        </w:tabs>
        <w:spacing w:line="276" w:lineRule="auto"/>
        <w:rPr>
          <w:rFonts w:ascii="Tahoma" w:hAnsi="Tahoma" w:cs="Tahoma"/>
          <w:bCs/>
          <w:szCs w:val="24"/>
          <w:lang w:eastAsia="es-MX"/>
        </w:rPr>
      </w:pPr>
      <w:r w:rsidRPr="00846C67">
        <w:rPr>
          <w:rFonts w:ascii="Tahoma" w:hAnsi="Tahoma" w:cs="Tahoma"/>
          <w:bCs/>
          <w:szCs w:val="24"/>
          <w:lang w:eastAsia="es-MX"/>
        </w:rPr>
        <w:lastRenderedPageBreak/>
        <w:t>TRIBUNAL SUPERIOR DEL DISTRITO JUDICIAL DE PEREIRA</w:t>
      </w:r>
    </w:p>
    <w:p w14:paraId="650C1C7A" w14:textId="39114596" w:rsidR="00B5475E" w:rsidRPr="00846C67" w:rsidRDefault="00B5475E" w:rsidP="00846C67">
      <w:pPr>
        <w:pStyle w:val="Ttulo4"/>
        <w:widowControl w:val="0"/>
        <w:tabs>
          <w:tab w:val="clear" w:pos="0"/>
          <w:tab w:val="left" w:pos="708"/>
        </w:tabs>
        <w:spacing w:line="276" w:lineRule="auto"/>
        <w:rPr>
          <w:rFonts w:ascii="Tahoma" w:hAnsi="Tahoma" w:cs="Tahoma"/>
          <w:bCs/>
          <w:szCs w:val="24"/>
          <w:lang w:eastAsia="es-MX"/>
        </w:rPr>
      </w:pPr>
      <w:r w:rsidRPr="00846C67">
        <w:rPr>
          <w:rFonts w:ascii="Tahoma" w:hAnsi="Tahoma" w:cs="Tahoma"/>
          <w:bCs/>
          <w:szCs w:val="24"/>
          <w:lang w:eastAsia="es-MX"/>
        </w:rPr>
        <w:t xml:space="preserve">SALA </w:t>
      </w:r>
      <w:r w:rsidR="00F7005F" w:rsidRPr="00846C67">
        <w:rPr>
          <w:rFonts w:ascii="Tahoma" w:hAnsi="Tahoma" w:cs="Tahoma"/>
          <w:bCs/>
          <w:szCs w:val="24"/>
          <w:lang w:eastAsia="es-MX"/>
        </w:rPr>
        <w:t>PRIMERA DE DECISIÓN LABORAL</w:t>
      </w:r>
    </w:p>
    <w:p w14:paraId="5A39BBE3" w14:textId="77777777" w:rsidR="00B5475E" w:rsidRPr="00846C67" w:rsidRDefault="00B5475E" w:rsidP="00846C67">
      <w:pPr>
        <w:spacing w:line="276" w:lineRule="auto"/>
        <w:rPr>
          <w:rFonts w:ascii="Tahoma" w:hAnsi="Tahoma" w:cs="Tahoma"/>
          <w:sz w:val="24"/>
          <w:szCs w:val="24"/>
          <w:lang w:eastAsia="es-MX"/>
        </w:rPr>
      </w:pPr>
    </w:p>
    <w:p w14:paraId="71D806D1" w14:textId="77777777" w:rsidR="00B5475E" w:rsidRPr="00846C67" w:rsidRDefault="00B5475E" w:rsidP="00846C67">
      <w:pPr>
        <w:spacing w:line="276" w:lineRule="auto"/>
        <w:ind w:firstLine="0"/>
        <w:jc w:val="center"/>
        <w:rPr>
          <w:rFonts w:ascii="Tahoma" w:hAnsi="Tahoma" w:cs="Tahoma"/>
          <w:b/>
          <w:bCs/>
          <w:sz w:val="24"/>
          <w:szCs w:val="24"/>
        </w:rPr>
      </w:pPr>
      <w:r w:rsidRPr="00846C67">
        <w:rPr>
          <w:rFonts w:ascii="Tahoma" w:hAnsi="Tahoma" w:cs="Tahoma"/>
          <w:b/>
          <w:bCs/>
          <w:sz w:val="24"/>
          <w:szCs w:val="24"/>
        </w:rPr>
        <w:t>Magistrada Ponente: Ana Lucía Caicedo Calderón</w:t>
      </w:r>
    </w:p>
    <w:p w14:paraId="41C8F396" w14:textId="77777777" w:rsidR="00B5475E" w:rsidRPr="00846C67" w:rsidRDefault="00B5475E" w:rsidP="00846C67">
      <w:pPr>
        <w:spacing w:line="276" w:lineRule="auto"/>
        <w:jc w:val="center"/>
        <w:rPr>
          <w:rFonts w:ascii="Tahoma" w:hAnsi="Tahoma" w:cs="Tahoma"/>
          <w:b/>
          <w:sz w:val="24"/>
          <w:szCs w:val="24"/>
        </w:rPr>
      </w:pPr>
    </w:p>
    <w:p w14:paraId="381D1784" w14:textId="241DDDC7" w:rsidR="0012521F" w:rsidRPr="00846C67" w:rsidRDefault="0012521F" w:rsidP="00846C67">
      <w:pPr>
        <w:spacing w:line="276" w:lineRule="auto"/>
        <w:ind w:firstLine="0"/>
        <w:jc w:val="center"/>
        <w:textAlignment w:val="baseline"/>
        <w:rPr>
          <w:rFonts w:ascii="Tahoma" w:eastAsia="Times New Roman" w:hAnsi="Tahoma" w:cs="Tahoma"/>
          <w:b/>
          <w:sz w:val="24"/>
          <w:szCs w:val="24"/>
          <w:lang w:val="es-CO" w:eastAsia="es-CO"/>
        </w:rPr>
      </w:pPr>
      <w:r w:rsidRPr="00846C67">
        <w:rPr>
          <w:rFonts w:ascii="Tahoma" w:eastAsia="Times New Roman" w:hAnsi="Tahoma" w:cs="Tahoma"/>
          <w:b/>
          <w:sz w:val="24"/>
          <w:szCs w:val="24"/>
          <w:lang w:val="es-CO" w:eastAsia="es-CO"/>
        </w:rPr>
        <w:t>Pereira, Risaralda,</w:t>
      </w:r>
      <w:r w:rsidR="00846C67" w:rsidRPr="00846C67">
        <w:rPr>
          <w:rFonts w:ascii="Tahoma" w:eastAsia="Times New Roman" w:hAnsi="Tahoma" w:cs="Tahoma"/>
          <w:b/>
          <w:sz w:val="24"/>
          <w:szCs w:val="24"/>
          <w:lang w:val="es-CO" w:eastAsia="es-CO"/>
        </w:rPr>
        <w:t xml:space="preserve"> </w:t>
      </w:r>
      <w:r w:rsidRPr="00846C67">
        <w:rPr>
          <w:rFonts w:ascii="Tahoma" w:eastAsia="Times New Roman" w:hAnsi="Tahoma" w:cs="Tahoma"/>
          <w:b/>
          <w:sz w:val="24"/>
          <w:szCs w:val="24"/>
          <w:lang w:val="es-CO" w:eastAsia="es-CO"/>
        </w:rPr>
        <w:t xml:space="preserve">septiembre </w:t>
      </w:r>
      <w:r w:rsidR="00ED4866" w:rsidRPr="00846C67">
        <w:rPr>
          <w:rFonts w:ascii="Tahoma" w:eastAsia="Times New Roman" w:hAnsi="Tahoma" w:cs="Tahoma"/>
          <w:b/>
          <w:sz w:val="24"/>
          <w:szCs w:val="24"/>
          <w:lang w:val="es-CO" w:eastAsia="es-CO"/>
        </w:rPr>
        <w:t>catorce</w:t>
      </w:r>
      <w:r w:rsidRPr="00846C67">
        <w:rPr>
          <w:rFonts w:ascii="Tahoma" w:eastAsia="Times New Roman" w:hAnsi="Tahoma" w:cs="Tahoma"/>
          <w:b/>
          <w:sz w:val="24"/>
          <w:szCs w:val="24"/>
          <w:lang w:val="es-CO" w:eastAsia="es-CO"/>
        </w:rPr>
        <w:t xml:space="preserve"> (1</w:t>
      </w:r>
      <w:r w:rsidR="00ED4866" w:rsidRPr="00846C67">
        <w:rPr>
          <w:rFonts w:ascii="Tahoma" w:eastAsia="Times New Roman" w:hAnsi="Tahoma" w:cs="Tahoma"/>
          <w:b/>
          <w:sz w:val="24"/>
          <w:szCs w:val="24"/>
          <w:lang w:val="es-CO" w:eastAsia="es-CO"/>
        </w:rPr>
        <w:t>4</w:t>
      </w:r>
      <w:proofErr w:type="gramStart"/>
      <w:r w:rsidRPr="00846C67">
        <w:rPr>
          <w:rFonts w:ascii="Tahoma" w:eastAsia="Times New Roman" w:hAnsi="Tahoma" w:cs="Tahoma"/>
          <w:b/>
          <w:sz w:val="24"/>
          <w:szCs w:val="24"/>
          <w:lang w:val="es-CO" w:eastAsia="es-CO"/>
        </w:rPr>
        <w:t>) </w:t>
      </w:r>
      <w:proofErr w:type="gramEnd"/>
      <w:r w:rsidRPr="00846C67">
        <w:rPr>
          <w:rFonts w:ascii="Tahoma" w:eastAsia="Times New Roman" w:hAnsi="Tahoma" w:cs="Tahoma"/>
          <w:b/>
          <w:sz w:val="24"/>
          <w:szCs w:val="24"/>
          <w:lang w:val="es-CO" w:eastAsia="es-CO"/>
        </w:rPr>
        <w:t>de dos mil veinte (2020)  </w:t>
      </w:r>
    </w:p>
    <w:p w14:paraId="4F1BF945" w14:textId="5B1FE139" w:rsidR="0012521F" w:rsidRPr="00846C67" w:rsidRDefault="0012521F" w:rsidP="00846C67">
      <w:pPr>
        <w:spacing w:line="276" w:lineRule="auto"/>
        <w:ind w:firstLine="0"/>
        <w:jc w:val="center"/>
        <w:textAlignment w:val="baseline"/>
        <w:rPr>
          <w:rFonts w:ascii="Tahoma" w:eastAsia="Times New Roman" w:hAnsi="Tahoma" w:cs="Tahoma"/>
          <w:sz w:val="24"/>
          <w:szCs w:val="24"/>
          <w:lang w:val="es-CO" w:eastAsia="es-CO"/>
        </w:rPr>
      </w:pPr>
      <w:r w:rsidRPr="00846C67">
        <w:rPr>
          <w:rFonts w:ascii="Tahoma" w:eastAsia="Times New Roman" w:hAnsi="Tahoma" w:cs="Tahoma"/>
          <w:sz w:val="24"/>
          <w:szCs w:val="24"/>
          <w:lang w:val="es-CO" w:eastAsia="es-CO"/>
        </w:rPr>
        <w:t> Acta No. </w:t>
      </w:r>
      <w:r w:rsidR="002700CA" w:rsidRPr="00846C67">
        <w:rPr>
          <w:rFonts w:ascii="Tahoma" w:eastAsia="Times New Roman" w:hAnsi="Tahoma" w:cs="Tahoma"/>
          <w:sz w:val="24"/>
          <w:szCs w:val="24"/>
          <w:lang w:val="es-CO" w:eastAsia="es-CO"/>
        </w:rPr>
        <w:t>129</w:t>
      </w:r>
      <w:r w:rsidRPr="00846C67">
        <w:rPr>
          <w:rFonts w:ascii="Tahoma" w:eastAsia="Times New Roman" w:hAnsi="Tahoma" w:cs="Tahoma"/>
          <w:sz w:val="24"/>
          <w:szCs w:val="24"/>
          <w:lang w:val="es-CO" w:eastAsia="es-CO"/>
        </w:rPr>
        <w:t xml:space="preserve"> del 10 de septiembre de 2020</w:t>
      </w:r>
    </w:p>
    <w:p w14:paraId="0D0B940D" w14:textId="77777777" w:rsidR="00B5475E" w:rsidRPr="00846C67" w:rsidRDefault="00B5475E" w:rsidP="00846C67">
      <w:pPr>
        <w:spacing w:line="276" w:lineRule="auto"/>
        <w:ind w:firstLine="0"/>
        <w:jc w:val="center"/>
        <w:rPr>
          <w:rFonts w:ascii="Tahoma" w:hAnsi="Tahoma" w:cs="Tahoma"/>
          <w:b/>
          <w:sz w:val="24"/>
          <w:szCs w:val="24"/>
        </w:rPr>
      </w:pPr>
    </w:p>
    <w:p w14:paraId="34A25269" w14:textId="35BDAFDF" w:rsidR="00B5475E" w:rsidRPr="00846C67" w:rsidRDefault="00B5475E" w:rsidP="00846C67">
      <w:pPr>
        <w:spacing w:line="276" w:lineRule="auto"/>
        <w:ind w:firstLine="708"/>
        <w:rPr>
          <w:rFonts w:ascii="Tahoma" w:hAnsi="Tahoma" w:cs="Tahoma"/>
          <w:sz w:val="24"/>
          <w:szCs w:val="24"/>
          <w:lang w:val="es-ES_tradnl"/>
        </w:rPr>
      </w:pPr>
      <w:r w:rsidRPr="00846C67">
        <w:rPr>
          <w:rFonts w:ascii="Tahoma" w:hAnsi="Tahoma" w:cs="Tahoma"/>
          <w:color w:val="000000"/>
          <w:sz w:val="24"/>
          <w:szCs w:val="24"/>
          <w:lang w:val="es-ES_tradnl"/>
        </w:rPr>
        <w:t>Teniendo en cuenta que el artículo 15 del Decreto No. 806 del 4 de junio de 2020, expedido por el Ministerio de Justicia y del Derecho, estableció que en la especialidad laboral se proferirán por escrito</w:t>
      </w:r>
      <w:r w:rsidRPr="00846C67">
        <w:rPr>
          <w:rFonts w:ascii="Tahoma" w:hAnsi="Tahoma" w:cs="Tahoma"/>
          <w:sz w:val="24"/>
          <w:szCs w:val="24"/>
        </w:rPr>
        <w:t xml:space="preserve"> </w:t>
      </w:r>
      <w:r w:rsidRPr="00846C67">
        <w:rPr>
          <w:rFonts w:ascii="Tahoma" w:hAnsi="Tahoma" w:cs="Tahoma"/>
          <w:color w:val="000000"/>
          <w:sz w:val="24"/>
          <w:szCs w:val="24"/>
          <w:lang w:val="es-ES_tradnl"/>
        </w:rPr>
        <w:t xml:space="preserve">las providencias de segunda instancia en las que se surta el grado jurisdiccional de consulta o se resuelva el recurso de apelación de autos o sentencias, </w:t>
      </w:r>
      <w:r w:rsidRPr="00846C67">
        <w:rPr>
          <w:rFonts w:ascii="Tahoma" w:hAnsi="Tahoma" w:cs="Tahoma"/>
          <w:color w:val="000000"/>
          <w:sz w:val="24"/>
          <w:szCs w:val="24"/>
        </w:rPr>
        <w:t xml:space="preserve">la Sala de </w:t>
      </w:r>
      <w:r w:rsidRPr="00846C67">
        <w:rPr>
          <w:rFonts w:ascii="Tahoma" w:hAnsi="Tahoma" w:cs="Tahoma"/>
          <w:sz w:val="24"/>
          <w:szCs w:val="24"/>
        </w:rPr>
        <w:t>Decisión Laboral No. 1 del Tribunal Superior de Pereira, integrada por las Magistradas ANA LUCÍA CAICEDO CALDERÓN como Ponente, OLGA LUCÍA HOYOS SEPÚLVEDA y el Magistrado JULIO CÉSAR SALAZAR MUÑOZ, procede a proferir la siguiente sentencia escrita</w:t>
      </w:r>
      <w:r w:rsidRPr="00846C67">
        <w:rPr>
          <w:rStyle w:val="normaltextrun"/>
          <w:rFonts w:ascii="Tahoma" w:hAnsi="Tahoma" w:cs="Tahoma"/>
          <w:sz w:val="24"/>
          <w:szCs w:val="24"/>
        </w:rPr>
        <w:t xml:space="preserve"> </w:t>
      </w:r>
      <w:r w:rsidRPr="00846C67">
        <w:rPr>
          <w:rFonts w:ascii="Tahoma" w:hAnsi="Tahoma" w:cs="Tahoma"/>
          <w:sz w:val="24"/>
          <w:szCs w:val="24"/>
        </w:rPr>
        <w:t>dentro</w:t>
      </w:r>
      <w:r w:rsidRPr="00846C67">
        <w:rPr>
          <w:rStyle w:val="normaltextrun"/>
          <w:rFonts w:ascii="Tahoma" w:hAnsi="Tahoma" w:cs="Tahoma"/>
          <w:sz w:val="24"/>
          <w:szCs w:val="24"/>
        </w:rPr>
        <w:t xml:space="preserve"> del proceso ordinario laboral instaurado por</w:t>
      </w:r>
      <w:r w:rsidRPr="00846C67">
        <w:rPr>
          <w:rFonts w:ascii="Tahoma" w:hAnsi="Tahoma" w:cs="Tahoma"/>
          <w:sz w:val="24"/>
          <w:szCs w:val="24"/>
          <w:lang w:val="es-ES_tradnl"/>
        </w:rPr>
        <w:t xml:space="preserve"> </w:t>
      </w:r>
      <w:r w:rsidRPr="00846C67">
        <w:rPr>
          <w:rFonts w:ascii="Tahoma" w:hAnsi="Tahoma" w:cs="Tahoma"/>
          <w:b/>
          <w:sz w:val="24"/>
          <w:szCs w:val="24"/>
          <w:lang w:val="es-ES_tradnl"/>
        </w:rPr>
        <w:t xml:space="preserve">María Nelly Bermúdez Bedoya </w:t>
      </w:r>
      <w:r w:rsidRPr="00846C67">
        <w:rPr>
          <w:rFonts w:ascii="Tahoma" w:hAnsi="Tahoma" w:cs="Tahoma"/>
          <w:sz w:val="24"/>
          <w:szCs w:val="24"/>
          <w:lang w:val="es-ES_tradnl"/>
        </w:rPr>
        <w:t xml:space="preserve">en contra de la </w:t>
      </w:r>
      <w:r w:rsidRPr="00846C67">
        <w:rPr>
          <w:rFonts w:ascii="Tahoma" w:hAnsi="Tahoma" w:cs="Tahoma"/>
          <w:b/>
          <w:sz w:val="24"/>
          <w:szCs w:val="24"/>
          <w:lang w:val="es-ES_tradnl"/>
        </w:rPr>
        <w:t>Administradora Colombi</w:t>
      </w:r>
      <w:r w:rsidR="00846C67">
        <w:rPr>
          <w:rFonts w:ascii="Tahoma" w:hAnsi="Tahoma" w:cs="Tahoma"/>
          <w:b/>
          <w:sz w:val="24"/>
          <w:szCs w:val="24"/>
          <w:lang w:val="es-ES_tradnl"/>
        </w:rPr>
        <w:t>ana de Pensiones – Colpensiones</w:t>
      </w:r>
      <w:r w:rsidRPr="00846C67">
        <w:rPr>
          <w:rFonts w:ascii="Tahoma" w:hAnsi="Tahoma" w:cs="Tahoma"/>
          <w:sz w:val="24"/>
          <w:szCs w:val="24"/>
          <w:lang w:val="es-ES_tradnl"/>
        </w:rPr>
        <w:t xml:space="preserve"> y la </w:t>
      </w:r>
      <w:r w:rsidRPr="00846C67">
        <w:rPr>
          <w:rFonts w:ascii="Tahoma" w:hAnsi="Tahoma" w:cs="Tahoma"/>
          <w:b/>
          <w:sz w:val="24"/>
          <w:szCs w:val="24"/>
          <w:lang w:val="es-ES_tradnl"/>
        </w:rPr>
        <w:t>Administradora de Fondos de Pensiones y Cesantías</w:t>
      </w:r>
      <w:r w:rsidRPr="00846C67">
        <w:rPr>
          <w:rFonts w:ascii="Tahoma" w:hAnsi="Tahoma" w:cs="Tahoma"/>
          <w:sz w:val="24"/>
          <w:szCs w:val="24"/>
          <w:lang w:val="es-ES_tradnl"/>
        </w:rPr>
        <w:t xml:space="preserve"> </w:t>
      </w:r>
      <w:r w:rsidRPr="00846C67">
        <w:rPr>
          <w:rFonts w:ascii="Tahoma" w:hAnsi="Tahoma" w:cs="Tahoma"/>
          <w:b/>
          <w:sz w:val="24"/>
          <w:szCs w:val="24"/>
          <w:lang w:val="es-ES_tradnl"/>
        </w:rPr>
        <w:t>Porvenir S.A.</w:t>
      </w:r>
      <w:r w:rsidRPr="00846C67">
        <w:rPr>
          <w:rFonts w:ascii="Tahoma" w:hAnsi="Tahoma" w:cs="Tahoma"/>
          <w:sz w:val="24"/>
          <w:szCs w:val="24"/>
          <w:lang w:val="es-ES_tradnl"/>
        </w:rPr>
        <w:t xml:space="preserve"> </w:t>
      </w:r>
    </w:p>
    <w:p w14:paraId="655324F5" w14:textId="77777777" w:rsidR="0012521F" w:rsidRPr="00846C67" w:rsidRDefault="0012521F" w:rsidP="00846C67">
      <w:pPr>
        <w:spacing w:line="276" w:lineRule="auto"/>
        <w:ind w:firstLine="708"/>
        <w:rPr>
          <w:rFonts w:ascii="Tahoma" w:hAnsi="Tahoma" w:cs="Tahoma"/>
          <w:sz w:val="24"/>
          <w:szCs w:val="24"/>
          <w:lang w:val="es-ES_tradnl"/>
        </w:rPr>
      </w:pPr>
    </w:p>
    <w:p w14:paraId="1DAA1551" w14:textId="77777777" w:rsidR="00B5475E" w:rsidRPr="00846C67" w:rsidRDefault="00B5475E" w:rsidP="00846C67">
      <w:pPr>
        <w:spacing w:line="276" w:lineRule="auto"/>
        <w:ind w:firstLine="0"/>
        <w:jc w:val="center"/>
        <w:textAlignment w:val="baseline"/>
        <w:rPr>
          <w:rFonts w:ascii="Tahoma" w:eastAsia="Times New Roman" w:hAnsi="Tahoma" w:cs="Tahoma"/>
          <w:b/>
          <w:sz w:val="24"/>
          <w:szCs w:val="24"/>
          <w:lang w:val="es-CO" w:eastAsia="es-CO"/>
        </w:rPr>
      </w:pPr>
      <w:r w:rsidRPr="00846C67">
        <w:rPr>
          <w:rFonts w:ascii="Tahoma" w:eastAsia="Times New Roman" w:hAnsi="Tahoma" w:cs="Tahoma"/>
          <w:b/>
          <w:sz w:val="24"/>
          <w:szCs w:val="24"/>
          <w:lang w:val="es-CO" w:eastAsia="es-CO"/>
        </w:rPr>
        <w:t>PUNTO A TRATAR</w:t>
      </w:r>
    </w:p>
    <w:p w14:paraId="63E4A9CD" w14:textId="77777777" w:rsidR="00B5475E" w:rsidRPr="00846C67" w:rsidRDefault="00B5475E" w:rsidP="00846C67">
      <w:pPr>
        <w:pStyle w:val="paragraph"/>
        <w:spacing w:before="0" w:beforeAutospacing="0" w:after="0" w:afterAutospacing="0" w:line="276" w:lineRule="auto"/>
        <w:ind w:firstLine="705"/>
        <w:jc w:val="center"/>
        <w:textAlignment w:val="baseline"/>
        <w:rPr>
          <w:rFonts w:ascii="Tahoma" w:hAnsi="Tahoma" w:cs="Tahoma"/>
        </w:rPr>
      </w:pPr>
      <w:r w:rsidRPr="00846C67">
        <w:rPr>
          <w:rStyle w:val="eop"/>
          <w:rFonts w:ascii="Tahoma" w:hAnsi="Tahoma" w:cs="Tahoma"/>
          <w:color w:val="000000"/>
        </w:rPr>
        <w:t> </w:t>
      </w:r>
    </w:p>
    <w:p w14:paraId="460D37C9" w14:textId="20C7945D" w:rsidR="00B5475E" w:rsidRPr="00846C67" w:rsidRDefault="00B5475E" w:rsidP="00846C67">
      <w:pPr>
        <w:pStyle w:val="paragraph"/>
        <w:spacing w:before="0" w:beforeAutospacing="0" w:after="0" w:afterAutospacing="0" w:line="276" w:lineRule="auto"/>
        <w:ind w:firstLine="705"/>
        <w:jc w:val="both"/>
        <w:textAlignment w:val="baseline"/>
        <w:rPr>
          <w:rStyle w:val="eop"/>
          <w:rFonts w:ascii="Tahoma" w:hAnsi="Tahoma" w:cs="Tahoma"/>
        </w:rPr>
      </w:pPr>
      <w:r w:rsidRPr="00846C67">
        <w:rPr>
          <w:rStyle w:val="normaltextrun"/>
          <w:rFonts w:ascii="Tahoma" w:hAnsi="Tahoma" w:cs="Tahoma"/>
          <w:color w:val="000000"/>
          <w:lang w:val="es-ES"/>
        </w:rPr>
        <w:t xml:space="preserve">Por medio de esta providencia procede la Sala a </w:t>
      </w:r>
      <w:r w:rsidRPr="00846C67">
        <w:rPr>
          <w:rFonts w:ascii="Tahoma" w:hAnsi="Tahoma" w:cs="Tahoma"/>
        </w:rPr>
        <w:t xml:space="preserve">revolver los recursos de apelación interpuestos por los apoderados de la parte demandante y de las </w:t>
      </w:r>
      <w:r w:rsidR="0012521F" w:rsidRPr="00846C67">
        <w:rPr>
          <w:rFonts w:ascii="Tahoma" w:hAnsi="Tahoma" w:cs="Tahoma"/>
        </w:rPr>
        <w:t>co</w:t>
      </w:r>
      <w:r w:rsidRPr="00846C67">
        <w:rPr>
          <w:rFonts w:ascii="Tahoma" w:hAnsi="Tahoma" w:cs="Tahoma"/>
        </w:rPr>
        <w:t>demandadas en contra de la sentencia proferida el 8 de noviembre de 2019 por el Juzgado Quinto Laboral del Circuito de Pereira</w:t>
      </w:r>
      <w:r w:rsidR="0012521F" w:rsidRPr="00846C67">
        <w:rPr>
          <w:rFonts w:ascii="Tahoma" w:hAnsi="Tahoma" w:cs="Tahoma"/>
        </w:rPr>
        <w:t>; asimismo,</w:t>
      </w:r>
      <w:r w:rsidR="00B5754B" w:rsidRPr="00846C67">
        <w:rPr>
          <w:rFonts w:ascii="Tahoma" w:hAnsi="Tahoma" w:cs="Tahoma"/>
          <w:lang w:val="es-ES"/>
        </w:rPr>
        <w:t xml:space="preserve"> se revisará la sentencia en grado jurisdiccional de consulta a favor de COLPENSIONES. </w:t>
      </w:r>
      <w:r w:rsidRPr="00846C67">
        <w:rPr>
          <w:rStyle w:val="normaltextrun"/>
          <w:rFonts w:ascii="Tahoma" w:hAnsi="Tahoma" w:cs="Tahoma"/>
          <w:lang w:val="es-ES"/>
        </w:rPr>
        <w:t>Para ello se tiene en cuenta lo siguiente: </w:t>
      </w:r>
      <w:r w:rsidRPr="00846C67">
        <w:rPr>
          <w:rStyle w:val="eop"/>
          <w:rFonts w:ascii="Tahoma" w:hAnsi="Tahoma" w:cs="Tahoma"/>
        </w:rPr>
        <w:t> </w:t>
      </w:r>
    </w:p>
    <w:p w14:paraId="2393835C" w14:textId="77777777" w:rsidR="0012521F" w:rsidRPr="00846C67" w:rsidRDefault="0012521F" w:rsidP="00846C67">
      <w:pPr>
        <w:pStyle w:val="paragraph"/>
        <w:spacing w:before="0" w:beforeAutospacing="0" w:after="0" w:afterAutospacing="0" w:line="276" w:lineRule="auto"/>
        <w:ind w:firstLine="705"/>
        <w:jc w:val="both"/>
        <w:textAlignment w:val="baseline"/>
        <w:rPr>
          <w:rStyle w:val="eop"/>
          <w:rFonts w:ascii="Tahoma" w:hAnsi="Tahoma" w:cs="Tahoma"/>
        </w:rPr>
      </w:pPr>
    </w:p>
    <w:p w14:paraId="40CB5913" w14:textId="77777777" w:rsidR="00B5475E" w:rsidRPr="00846C67" w:rsidRDefault="00B5475E" w:rsidP="00846C67">
      <w:pPr>
        <w:pStyle w:val="Sinespaciado"/>
        <w:numPr>
          <w:ilvl w:val="0"/>
          <w:numId w:val="1"/>
        </w:numPr>
        <w:spacing w:line="276" w:lineRule="auto"/>
        <w:ind w:left="0" w:firstLine="0"/>
        <w:jc w:val="center"/>
        <w:rPr>
          <w:rFonts w:ascii="Tahoma" w:hAnsi="Tahoma" w:cs="Tahoma"/>
          <w:b/>
        </w:rPr>
      </w:pPr>
      <w:r w:rsidRPr="00846C67">
        <w:rPr>
          <w:rFonts w:ascii="Tahoma" w:hAnsi="Tahoma" w:cs="Tahoma"/>
          <w:b/>
        </w:rPr>
        <w:t>La demanda y su contestación</w:t>
      </w:r>
    </w:p>
    <w:p w14:paraId="3DEEC669" w14:textId="77777777" w:rsidR="00B5475E" w:rsidRPr="00846C67" w:rsidRDefault="00B5475E" w:rsidP="00846C67">
      <w:pPr>
        <w:pStyle w:val="Sinespaciado"/>
        <w:spacing w:line="276" w:lineRule="auto"/>
        <w:rPr>
          <w:rFonts w:ascii="Tahoma" w:hAnsi="Tahoma" w:cs="Tahoma"/>
        </w:rPr>
      </w:pPr>
    </w:p>
    <w:p w14:paraId="1E817735" w14:textId="3E39A2EF" w:rsidR="008E74E3" w:rsidRPr="00846C67" w:rsidRDefault="00B5475E" w:rsidP="00846C67">
      <w:pPr>
        <w:spacing w:line="276" w:lineRule="auto"/>
        <w:rPr>
          <w:rFonts w:ascii="Tahoma" w:hAnsi="Tahoma" w:cs="Tahoma"/>
          <w:sz w:val="24"/>
          <w:szCs w:val="24"/>
          <w:lang w:val="es-CO"/>
        </w:rPr>
      </w:pPr>
      <w:r w:rsidRPr="00846C67">
        <w:rPr>
          <w:rFonts w:ascii="Tahoma" w:hAnsi="Tahoma" w:cs="Tahoma"/>
          <w:sz w:val="24"/>
          <w:szCs w:val="24"/>
          <w:lang w:val="es-CO"/>
        </w:rPr>
        <w:t>Solicita la demandante que se declare la nulidad –subsidiariamente la ineficacia- del traslado por medio del cual migró del régimen de prima media</w:t>
      </w:r>
      <w:r w:rsidR="0012521F" w:rsidRPr="00846C67">
        <w:rPr>
          <w:rFonts w:ascii="Tahoma" w:hAnsi="Tahoma" w:cs="Tahoma"/>
          <w:sz w:val="24"/>
          <w:szCs w:val="24"/>
          <w:lang w:val="es-CO"/>
        </w:rPr>
        <w:t xml:space="preserve"> con prestación definida -en adelante RPM-</w:t>
      </w:r>
      <w:r w:rsidRPr="00846C67">
        <w:rPr>
          <w:rFonts w:ascii="Tahoma" w:hAnsi="Tahoma" w:cs="Tahoma"/>
          <w:sz w:val="24"/>
          <w:szCs w:val="24"/>
          <w:lang w:val="es-CO"/>
        </w:rPr>
        <w:t xml:space="preserve"> al régimen de ahorro individual </w:t>
      </w:r>
      <w:r w:rsidR="0012521F" w:rsidRPr="00846C67">
        <w:rPr>
          <w:rFonts w:ascii="Tahoma" w:hAnsi="Tahoma" w:cs="Tahoma"/>
          <w:sz w:val="24"/>
          <w:szCs w:val="24"/>
          <w:lang w:val="es-CO"/>
        </w:rPr>
        <w:t xml:space="preserve">-en adelante </w:t>
      </w:r>
      <w:proofErr w:type="spellStart"/>
      <w:r w:rsidR="0012521F" w:rsidRPr="00846C67">
        <w:rPr>
          <w:rFonts w:ascii="Tahoma" w:hAnsi="Tahoma" w:cs="Tahoma"/>
          <w:sz w:val="24"/>
          <w:szCs w:val="24"/>
          <w:lang w:val="es-CO"/>
        </w:rPr>
        <w:t>RAIS</w:t>
      </w:r>
      <w:proofErr w:type="spellEnd"/>
      <w:r w:rsidR="0012521F" w:rsidRPr="00846C67">
        <w:rPr>
          <w:rFonts w:ascii="Tahoma" w:hAnsi="Tahoma" w:cs="Tahoma"/>
          <w:sz w:val="24"/>
          <w:szCs w:val="24"/>
          <w:lang w:val="es-CO"/>
        </w:rPr>
        <w:t xml:space="preserve">- </w:t>
      </w:r>
      <w:r w:rsidRPr="00846C67">
        <w:rPr>
          <w:rFonts w:ascii="Tahoma" w:hAnsi="Tahoma" w:cs="Tahoma"/>
          <w:sz w:val="24"/>
          <w:szCs w:val="24"/>
          <w:lang w:val="es-CO"/>
        </w:rPr>
        <w:t>y que</w:t>
      </w:r>
      <w:r w:rsidR="008E74E3" w:rsidRPr="00846C67">
        <w:rPr>
          <w:rFonts w:ascii="Tahoma" w:hAnsi="Tahoma" w:cs="Tahoma"/>
          <w:sz w:val="24"/>
          <w:szCs w:val="24"/>
          <w:lang w:val="es-CO"/>
        </w:rPr>
        <w:t>,</w:t>
      </w:r>
      <w:r w:rsidRPr="00846C67">
        <w:rPr>
          <w:rFonts w:ascii="Tahoma" w:hAnsi="Tahoma" w:cs="Tahoma"/>
          <w:sz w:val="24"/>
          <w:szCs w:val="24"/>
          <w:lang w:val="es-CO"/>
        </w:rPr>
        <w:t xml:space="preserve"> por tanto</w:t>
      </w:r>
      <w:r w:rsidR="008E74E3" w:rsidRPr="00846C67">
        <w:rPr>
          <w:rFonts w:ascii="Tahoma" w:hAnsi="Tahoma" w:cs="Tahoma"/>
          <w:sz w:val="24"/>
          <w:szCs w:val="24"/>
          <w:lang w:val="es-CO"/>
        </w:rPr>
        <w:t>,</w:t>
      </w:r>
      <w:r w:rsidRPr="00846C67">
        <w:rPr>
          <w:rFonts w:ascii="Tahoma" w:hAnsi="Tahoma" w:cs="Tahoma"/>
          <w:sz w:val="24"/>
          <w:szCs w:val="24"/>
          <w:lang w:val="es-CO"/>
        </w:rPr>
        <w:t xml:space="preserve"> la afiliación vigen</w:t>
      </w:r>
      <w:r w:rsidR="008E74E3" w:rsidRPr="00846C67">
        <w:rPr>
          <w:rFonts w:ascii="Tahoma" w:hAnsi="Tahoma" w:cs="Tahoma"/>
          <w:sz w:val="24"/>
          <w:szCs w:val="24"/>
          <w:lang w:val="es-CO"/>
        </w:rPr>
        <w:t xml:space="preserve">te es la que efectuó al RPM el </w:t>
      </w:r>
      <w:r w:rsidRPr="00846C67">
        <w:rPr>
          <w:rFonts w:ascii="Tahoma" w:hAnsi="Tahoma" w:cs="Tahoma"/>
          <w:sz w:val="24"/>
          <w:szCs w:val="24"/>
          <w:lang w:val="es-CO"/>
        </w:rPr>
        <w:t>1</w:t>
      </w:r>
      <w:r w:rsidR="008E74E3" w:rsidRPr="00846C67">
        <w:rPr>
          <w:rFonts w:ascii="Tahoma" w:hAnsi="Tahoma" w:cs="Tahoma"/>
          <w:sz w:val="24"/>
          <w:szCs w:val="24"/>
          <w:lang w:val="es-CO"/>
        </w:rPr>
        <w:t xml:space="preserve">º </w:t>
      </w:r>
      <w:r w:rsidRPr="00846C67">
        <w:rPr>
          <w:rFonts w:ascii="Tahoma" w:hAnsi="Tahoma" w:cs="Tahoma"/>
          <w:sz w:val="24"/>
          <w:szCs w:val="24"/>
          <w:lang w:val="es-CO"/>
        </w:rPr>
        <w:t>de abril de 1973. Asimismo</w:t>
      </w:r>
      <w:r w:rsidR="008E74E3" w:rsidRPr="00846C67">
        <w:rPr>
          <w:rFonts w:ascii="Tahoma" w:hAnsi="Tahoma" w:cs="Tahoma"/>
          <w:sz w:val="24"/>
          <w:szCs w:val="24"/>
          <w:lang w:val="es-CO"/>
        </w:rPr>
        <w:t>,</w:t>
      </w:r>
      <w:r w:rsidRPr="00846C67">
        <w:rPr>
          <w:rFonts w:ascii="Tahoma" w:hAnsi="Tahoma" w:cs="Tahoma"/>
          <w:sz w:val="24"/>
          <w:szCs w:val="24"/>
          <w:lang w:val="es-CO"/>
        </w:rPr>
        <w:t xml:space="preserve"> pretende que se declare que es beneficiaria del régimen de transición y que tiene derecho a que se le reconozca la pensión de vejez a partir del 25 de noviembre de 2010, en virtud del </w:t>
      </w:r>
      <w:r w:rsidR="008E74E3" w:rsidRPr="00846C67">
        <w:rPr>
          <w:rFonts w:ascii="Tahoma" w:hAnsi="Tahoma" w:cs="Tahoma"/>
          <w:sz w:val="24"/>
          <w:szCs w:val="24"/>
          <w:lang w:val="es-CO"/>
        </w:rPr>
        <w:t xml:space="preserve">Acuerdo </w:t>
      </w:r>
      <w:r w:rsidRPr="00846C67">
        <w:rPr>
          <w:rFonts w:ascii="Tahoma" w:hAnsi="Tahoma" w:cs="Tahoma"/>
          <w:sz w:val="24"/>
          <w:szCs w:val="24"/>
          <w:lang w:val="es-CO"/>
        </w:rPr>
        <w:t xml:space="preserve">049 de 1990. </w:t>
      </w:r>
    </w:p>
    <w:p w14:paraId="5592C2CF" w14:textId="77777777" w:rsidR="008E74E3" w:rsidRPr="00846C67" w:rsidRDefault="008E74E3" w:rsidP="00846C67">
      <w:pPr>
        <w:spacing w:line="276" w:lineRule="auto"/>
        <w:rPr>
          <w:rFonts w:ascii="Tahoma" w:hAnsi="Tahoma" w:cs="Tahoma"/>
          <w:sz w:val="24"/>
          <w:szCs w:val="24"/>
          <w:lang w:val="es-CO"/>
        </w:rPr>
      </w:pPr>
    </w:p>
    <w:p w14:paraId="01018FF1" w14:textId="4CAB2961" w:rsidR="00B5475E" w:rsidRPr="00846C67" w:rsidRDefault="00B5475E" w:rsidP="00846C67">
      <w:pPr>
        <w:spacing w:line="276" w:lineRule="auto"/>
        <w:rPr>
          <w:rFonts w:ascii="Tahoma" w:hAnsi="Tahoma" w:cs="Tahoma"/>
          <w:sz w:val="24"/>
          <w:szCs w:val="24"/>
          <w:lang w:val="es-CO"/>
        </w:rPr>
      </w:pPr>
      <w:r w:rsidRPr="00846C67">
        <w:rPr>
          <w:rFonts w:ascii="Tahoma" w:hAnsi="Tahoma" w:cs="Tahoma"/>
          <w:sz w:val="24"/>
          <w:szCs w:val="24"/>
          <w:lang w:val="es-CO"/>
        </w:rPr>
        <w:t xml:space="preserve">En consecuencia, procura que se condene a PORVENIR S.A. a remitir a Colpensiones la totalidad de los aportes que efectuó en el </w:t>
      </w:r>
      <w:proofErr w:type="spellStart"/>
      <w:r w:rsidRPr="00846C67">
        <w:rPr>
          <w:rFonts w:ascii="Tahoma" w:hAnsi="Tahoma" w:cs="Tahoma"/>
          <w:sz w:val="24"/>
          <w:szCs w:val="24"/>
          <w:lang w:val="es-CO"/>
        </w:rPr>
        <w:t>RAIS</w:t>
      </w:r>
      <w:proofErr w:type="spellEnd"/>
      <w:r w:rsidRPr="00846C67">
        <w:rPr>
          <w:rFonts w:ascii="Tahoma" w:hAnsi="Tahoma" w:cs="Tahoma"/>
          <w:sz w:val="24"/>
          <w:szCs w:val="24"/>
          <w:lang w:val="es-CO"/>
        </w:rPr>
        <w:t>, incluyendo los rendimientos y la diferencia de lo que hubiera cotizado</w:t>
      </w:r>
      <w:r w:rsidR="0012521F" w:rsidRPr="00846C67">
        <w:rPr>
          <w:rFonts w:ascii="Tahoma" w:hAnsi="Tahoma" w:cs="Tahoma"/>
          <w:sz w:val="24"/>
          <w:szCs w:val="24"/>
          <w:lang w:val="es-CO"/>
        </w:rPr>
        <w:t xml:space="preserve"> en caso </w:t>
      </w:r>
      <w:r w:rsidRPr="00846C67">
        <w:rPr>
          <w:rFonts w:ascii="Tahoma" w:hAnsi="Tahoma" w:cs="Tahoma"/>
          <w:sz w:val="24"/>
          <w:szCs w:val="24"/>
          <w:lang w:val="es-CO"/>
        </w:rPr>
        <w:t>de haber permanecido en el Régimen de Prima Media</w:t>
      </w:r>
      <w:r w:rsidR="0012521F" w:rsidRPr="00846C67">
        <w:rPr>
          <w:rFonts w:ascii="Tahoma" w:hAnsi="Tahoma" w:cs="Tahoma"/>
          <w:sz w:val="24"/>
          <w:szCs w:val="24"/>
          <w:lang w:val="es-CO"/>
        </w:rPr>
        <w:t>,</w:t>
      </w:r>
      <w:r w:rsidRPr="00846C67">
        <w:rPr>
          <w:rFonts w:ascii="Tahoma" w:hAnsi="Tahoma" w:cs="Tahoma"/>
          <w:sz w:val="24"/>
          <w:szCs w:val="24"/>
          <w:lang w:val="es-CO"/>
        </w:rPr>
        <w:t xml:space="preserve"> sin descontar la</w:t>
      </w:r>
      <w:r w:rsidR="0012521F" w:rsidRPr="00846C67">
        <w:rPr>
          <w:rFonts w:ascii="Tahoma" w:hAnsi="Tahoma" w:cs="Tahoma"/>
          <w:sz w:val="24"/>
          <w:szCs w:val="24"/>
          <w:lang w:val="es-CO"/>
        </w:rPr>
        <w:t>s</w:t>
      </w:r>
      <w:r w:rsidRPr="00846C67">
        <w:rPr>
          <w:rFonts w:ascii="Tahoma" w:hAnsi="Tahoma" w:cs="Tahoma"/>
          <w:sz w:val="24"/>
          <w:szCs w:val="24"/>
          <w:lang w:val="es-CO"/>
        </w:rPr>
        <w:t xml:space="preserve"> cuota</w:t>
      </w:r>
      <w:r w:rsidR="0012521F" w:rsidRPr="00846C67">
        <w:rPr>
          <w:rFonts w:ascii="Tahoma" w:hAnsi="Tahoma" w:cs="Tahoma"/>
          <w:sz w:val="24"/>
          <w:szCs w:val="24"/>
          <w:lang w:val="es-CO"/>
        </w:rPr>
        <w:t>s</w:t>
      </w:r>
      <w:r w:rsidRPr="00846C67">
        <w:rPr>
          <w:rFonts w:ascii="Tahoma" w:hAnsi="Tahoma" w:cs="Tahoma"/>
          <w:sz w:val="24"/>
          <w:szCs w:val="24"/>
          <w:lang w:val="es-CO"/>
        </w:rPr>
        <w:t xml:space="preserve"> de administración.</w:t>
      </w:r>
    </w:p>
    <w:p w14:paraId="3656B9AB" w14:textId="77777777" w:rsidR="00B5475E" w:rsidRPr="00846C67" w:rsidRDefault="00B5475E" w:rsidP="00846C67">
      <w:pPr>
        <w:pStyle w:val="Sinespaciado"/>
        <w:spacing w:line="276" w:lineRule="auto"/>
        <w:rPr>
          <w:rFonts w:ascii="Tahoma" w:hAnsi="Tahoma" w:cs="Tahoma"/>
        </w:rPr>
      </w:pPr>
    </w:p>
    <w:p w14:paraId="12DBA603" w14:textId="3A25DAA6" w:rsidR="00B5475E" w:rsidRPr="00846C67" w:rsidRDefault="00B5475E" w:rsidP="00846C67">
      <w:pPr>
        <w:spacing w:line="276" w:lineRule="auto"/>
        <w:rPr>
          <w:rFonts w:ascii="Tahoma" w:hAnsi="Tahoma" w:cs="Tahoma"/>
          <w:sz w:val="24"/>
          <w:szCs w:val="24"/>
          <w:lang w:val="es-CO"/>
        </w:rPr>
      </w:pPr>
      <w:r w:rsidRPr="00846C67">
        <w:rPr>
          <w:rFonts w:ascii="Tahoma" w:hAnsi="Tahoma" w:cs="Tahoma"/>
          <w:sz w:val="24"/>
          <w:szCs w:val="24"/>
          <w:lang w:val="es-CO"/>
        </w:rPr>
        <w:lastRenderedPageBreak/>
        <w:t xml:space="preserve">Por </w:t>
      </w:r>
      <w:r w:rsidR="001D3073" w:rsidRPr="00846C67">
        <w:rPr>
          <w:rFonts w:ascii="Tahoma" w:hAnsi="Tahoma" w:cs="Tahoma"/>
          <w:sz w:val="24"/>
          <w:szCs w:val="24"/>
          <w:lang w:val="es-CO"/>
        </w:rPr>
        <w:t>último</w:t>
      </w:r>
      <w:r w:rsidRPr="00846C67">
        <w:rPr>
          <w:rFonts w:ascii="Tahoma" w:hAnsi="Tahoma" w:cs="Tahoma"/>
          <w:sz w:val="24"/>
          <w:szCs w:val="24"/>
          <w:lang w:val="es-CO"/>
        </w:rPr>
        <w:t xml:space="preserve">, </w:t>
      </w:r>
      <w:r w:rsidR="008E74E3" w:rsidRPr="00846C67">
        <w:rPr>
          <w:rFonts w:ascii="Tahoma" w:hAnsi="Tahoma" w:cs="Tahoma"/>
          <w:sz w:val="24"/>
          <w:szCs w:val="24"/>
          <w:lang w:val="es-CO"/>
        </w:rPr>
        <w:t xml:space="preserve">pide </w:t>
      </w:r>
      <w:r w:rsidRPr="00846C67">
        <w:rPr>
          <w:rFonts w:ascii="Tahoma" w:hAnsi="Tahoma" w:cs="Tahoma"/>
          <w:sz w:val="24"/>
          <w:szCs w:val="24"/>
          <w:lang w:val="es-CO"/>
        </w:rPr>
        <w:t>que se condene a Colpensiones a reconocer y pagar a su favor la pensión de vejez y a Porvenir</w:t>
      </w:r>
      <w:r w:rsidR="00396ECA" w:rsidRPr="00846C67">
        <w:rPr>
          <w:rFonts w:ascii="Tahoma" w:hAnsi="Tahoma" w:cs="Tahoma"/>
          <w:sz w:val="24"/>
          <w:szCs w:val="24"/>
          <w:lang w:val="es-CO"/>
        </w:rPr>
        <w:t>,</w:t>
      </w:r>
      <w:r w:rsidRPr="00846C67">
        <w:rPr>
          <w:rFonts w:ascii="Tahoma" w:hAnsi="Tahoma" w:cs="Tahoma"/>
          <w:sz w:val="24"/>
          <w:szCs w:val="24"/>
          <w:lang w:val="es-CO"/>
        </w:rPr>
        <w:t xml:space="preserve"> o a la misma Colpensiones</w:t>
      </w:r>
      <w:r w:rsidR="00396ECA" w:rsidRPr="00846C67">
        <w:rPr>
          <w:rFonts w:ascii="Tahoma" w:hAnsi="Tahoma" w:cs="Tahoma"/>
          <w:sz w:val="24"/>
          <w:szCs w:val="24"/>
          <w:lang w:val="es-CO"/>
        </w:rPr>
        <w:t>,</w:t>
      </w:r>
      <w:r w:rsidRPr="00846C67">
        <w:rPr>
          <w:rFonts w:ascii="Tahoma" w:hAnsi="Tahoma" w:cs="Tahoma"/>
          <w:sz w:val="24"/>
          <w:szCs w:val="24"/>
          <w:lang w:val="es-CO"/>
        </w:rPr>
        <w:t xml:space="preserve"> a pagar los intereses moratorios, subsidiariamente la indexación de las condenas</w:t>
      </w:r>
      <w:r w:rsidR="00396ECA" w:rsidRPr="00846C67">
        <w:rPr>
          <w:rFonts w:ascii="Tahoma" w:hAnsi="Tahoma" w:cs="Tahoma"/>
          <w:sz w:val="24"/>
          <w:szCs w:val="24"/>
          <w:lang w:val="es-CO"/>
        </w:rPr>
        <w:t>.</w:t>
      </w:r>
    </w:p>
    <w:p w14:paraId="45FB0818" w14:textId="77777777" w:rsidR="00B5475E" w:rsidRPr="00846C67" w:rsidRDefault="00B5475E" w:rsidP="00846C67">
      <w:pPr>
        <w:pStyle w:val="Sinespaciado"/>
        <w:spacing w:line="276" w:lineRule="auto"/>
        <w:rPr>
          <w:rFonts w:ascii="Tahoma" w:hAnsi="Tahoma" w:cs="Tahoma"/>
        </w:rPr>
      </w:pPr>
    </w:p>
    <w:p w14:paraId="59E377BD" w14:textId="7BB1BB70" w:rsidR="00B5475E" w:rsidRPr="00846C67" w:rsidRDefault="00B5475E" w:rsidP="00846C67">
      <w:pPr>
        <w:spacing w:line="276" w:lineRule="auto"/>
        <w:rPr>
          <w:rFonts w:ascii="Tahoma" w:hAnsi="Tahoma" w:cs="Tahoma"/>
          <w:sz w:val="24"/>
          <w:szCs w:val="24"/>
          <w:lang w:val="es-CO"/>
        </w:rPr>
      </w:pPr>
      <w:r w:rsidRPr="00846C67">
        <w:rPr>
          <w:rFonts w:ascii="Tahoma" w:hAnsi="Tahoma" w:cs="Tahoma"/>
          <w:sz w:val="24"/>
          <w:szCs w:val="24"/>
          <w:lang w:val="es-CO"/>
        </w:rPr>
        <w:t>Para fundar tales pretensiones manifiesta que nació el 25 de noviembre de 1955; que entre el 1</w:t>
      </w:r>
      <w:r w:rsidR="00396ECA" w:rsidRPr="00846C67">
        <w:rPr>
          <w:rFonts w:ascii="Tahoma" w:hAnsi="Tahoma" w:cs="Tahoma"/>
          <w:sz w:val="24"/>
          <w:szCs w:val="24"/>
          <w:lang w:val="es-CO"/>
        </w:rPr>
        <w:t xml:space="preserve">º </w:t>
      </w:r>
      <w:r w:rsidRPr="00846C67">
        <w:rPr>
          <w:rFonts w:ascii="Tahoma" w:hAnsi="Tahoma" w:cs="Tahoma"/>
          <w:sz w:val="24"/>
          <w:szCs w:val="24"/>
          <w:lang w:val="es-CO"/>
        </w:rPr>
        <w:t xml:space="preserve">de abril de 1973 y el 31 de octubre de 1997 cotizó 670 semanas a </w:t>
      </w:r>
      <w:proofErr w:type="spellStart"/>
      <w:r w:rsidRPr="00846C67">
        <w:rPr>
          <w:rFonts w:ascii="Tahoma" w:hAnsi="Tahoma" w:cs="Tahoma"/>
          <w:sz w:val="24"/>
          <w:szCs w:val="24"/>
          <w:lang w:val="es-CO"/>
        </w:rPr>
        <w:t>ISS</w:t>
      </w:r>
      <w:proofErr w:type="spellEnd"/>
      <w:r w:rsidRPr="00846C67">
        <w:rPr>
          <w:rFonts w:ascii="Tahoma" w:hAnsi="Tahoma" w:cs="Tahoma"/>
          <w:sz w:val="24"/>
          <w:szCs w:val="24"/>
          <w:lang w:val="es-CO"/>
        </w:rPr>
        <w:t xml:space="preserve">; que se trasladó al </w:t>
      </w:r>
      <w:proofErr w:type="spellStart"/>
      <w:r w:rsidRPr="00846C67">
        <w:rPr>
          <w:rFonts w:ascii="Tahoma" w:hAnsi="Tahoma" w:cs="Tahoma"/>
          <w:sz w:val="24"/>
          <w:szCs w:val="24"/>
          <w:lang w:val="es-CO"/>
        </w:rPr>
        <w:t>RAIS</w:t>
      </w:r>
      <w:proofErr w:type="spellEnd"/>
      <w:r w:rsidRPr="00846C67">
        <w:rPr>
          <w:rFonts w:ascii="Tahoma" w:hAnsi="Tahoma" w:cs="Tahoma"/>
          <w:sz w:val="24"/>
          <w:szCs w:val="24"/>
          <w:lang w:val="es-CO"/>
        </w:rPr>
        <w:t xml:space="preserve"> administrado por Colpatria (hoy Porvenir) el 31 de octubre de 1997, motivada en que el asesor del fondo privado le comunicó que el </w:t>
      </w:r>
      <w:proofErr w:type="spellStart"/>
      <w:r w:rsidRPr="00846C67">
        <w:rPr>
          <w:rFonts w:ascii="Tahoma" w:hAnsi="Tahoma" w:cs="Tahoma"/>
          <w:sz w:val="24"/>
          <w:szCs w:val="24"/>
          <w:lang w:val="es-CO"/>
        </w:rPr>
        <w:t>ISS</w:t>
      </w:r>
      <w:proofErr w:type="spellEnd"/>
      <w:r w:rsidRPr="00846C67">
        <w:rPr>
          <w:rFonts w:ascii="Tahoma" w:hAnsi="Tahoma" w:cs="Tahoma"/>
          <w:sz w:val="24"/>
          <w:szCs w:val="24"/>
          <w:lang w:val="es-CO"/>
        </w:rPr>
        <w:t xml:space="preserve"> iba a desaparecer y le prometió una pensión anticipada a cualquier edad, pero sin informarle las ventajas y desventajas del traslado, el saldo que debía acreditar en la cuenta de ahorro individua</w:t>
      </w:r>
      <w:r w:rsidR="00396ECA" w:rsidRPr="00846C67">
        <w:rPr>
          <w:rFonts w:ascii="Tahoma" w:hAnsi="Tahoma" w:cs="Tahoma"/>
          <w:sz w:val="24"/>
          <w:szCs w:val="24"/>
          <w:lang w:val="es-CO"/>
        </w:rPr>
        <w:t>l</w:t>
      </w:r>
      <w:r w:rsidRPr="00846C67">
        <w:rPr>
          <w:rFonts w:ascii="Tahoma" w:hAnsi="Tahoma" w:cs="Tahoma"/>
          <w:sz w:val="24"/>
          <w:szCs w:val="24"/>
          <w:lang w:val="es-CO"/>
        </w:rPr>
        <w:t>, las modalidades de pensión y que perdería el régimen de transición</w:t>
      </w:r>
      <w:r w:rsidR="00396ECA" w:rsidRPr="00846C67">
        <w:rPr>
          <w:rFonts w:ascii="Tahoma" w:hAnsi="Tahoma" w:cs="Tahoma"/>
          <w:sz w:val="24"/>
          <w:szCs w:val="24"/>
          <w:lang w:val="es-CO"/>
        </w:rPr>
        <w:t>; e</w:t>
      </w:r>
      <w:r w:rsidRPr="00846C67">
        <w:rPr>
          <w:rFonts w:ascii="Tahoma" w:hAnsi="Tahoma" w:cs="Tahoma"/>
          <w:sz w:val="24"/>
          <w:szCs w:val="24"/>
          <w:lang w:val="es-CO"/>
        </w:rPr>
        <w:t>s decir, que la indujo a error e incumplió el deber de información.</w:t>
      </w:r>
    </w:p>
    <w:p w14:paraId="049F31CB" w14:textId="77777777" w:rsidR="00B5475E" w:rsidRPr="00846C67" w:rsidRDefault="00B5475E" w:rsidP="00846C67">
      <w:pPr>
        <w:pStyle w:val="Sinespaciado"/>
        <w:spacing w:line="276" w:lineRule="auto"/>
        <w:rPr>
          <w:rFonts w:ascii="Tahoma" w:hAnsi="Tahoma" w:cs="Tahoma"/>
        </w:rPr>
      </w:pPr>
    </w:p>
    <w:p w14:paraId="7DBCF755" w14:textId="177212B7" w:rsidR="00B5475E" w:rsidRPr="00846C67" w:rsidRDefault="00B5475E" w:rsidP="00846C67">
      <w:pPr>
        <w:spacing w:line="276" w:lineRule="auto"/>
        <w:rPr>
          <w:rFonts w:ascii="Tahoma" w:hAnsi="Tahoma" w:cs="Tahoma"/>
          <w:sz w:val="24"/>
          <w:szCs w:val="24"/>
          <w:lang w:val="es-CO"/>
        </w:rPr>
      </w:pPr>
      <w:r w:rsidRPr="00846C67">
        <w:rPr>
          <w:rFonts w:ascii="Tahoma" w:hAnsi="Tahoma" w:cs="Tahoma"/>
          <w:sz w:val="24"/>
          <w:szCs w:val="24"/>
          <w:lang w:val="es-CO"/>
        </w:rPr>
        <w:t xml:space="preserve">Indica que cotizó al </w:t>
      </w:r>
      <w:proofErr w:type="spellStart"/>
      <w:r w:rsidRPr="00846C67">
        <w:rPr>
          <w:rFonts w:ascii="Tahoma" w:hAnsi="Tahoma" w:cs="Tahoma"/>
          <w:sz w:val="24"/>
          <w:szCs w:val="24"/>
          <w:lang w:val="es-CO"/>
        </w:rPr>
        <w:t>RAIS</w:t>
      </w:r>
      <w:proofErr w:type="spellEnd"/>
      <w:r w:rsidRPr="00846C67">
        <w:rPr>
          <w:rFonts w:ascii="Tahoma" w:hAnsi="Tahoma" w:cs="Tahoma"/>
          <w:sz w:val="24"/>
          <w:szCs w:val="24"/>
          <w:lang w:val="es-CO"/>
        </w:rPr>
        <w:t xml:space="preserve"> 972.85 semanas, por lo que al sumarle las 670 semanas que cotizó en el </w:t>
      </w:r>
      <w:proofErr w:type="spellStart"/>
      <w:r w:rsidRPr="00846C67">
        <w:rPr>
          <w:rFonts w:ascii="Tahoma" w:hAnsi="Tahoma" w:cs="Tahoma"/>
          <w:sz w:val="24"/>
          <w:szCs w:val="24"/>
          <w:lang w:val="es-CO"/>
        </w:rPr>
        <w:t>ISS</w:t>
      </w:r>
      <w:proofErr w:type="spellEnd"/>
      <w:r w:rsidRPr="00846C67">
        <w:rPr>
          <w:rFonts w:ascii="Tahoma" w:hAnsi="Tahoma" w:cs="Tahoma"/>
          <w:sz w:val="24"/>
          <w:szCs w:val="24"/>
          <w:lang w:val="es-CO"/>
        </w:rPr>
        <w:t xml:space="preserve"> alcanza un total de 1642.85 septenarios, no obstante, la pensión de vejez le fue negada por el fondo privado el 11 de marzo de 2015, bajo el argumento </w:t>
      </w:r>
      <w:r w:rsidR="00396ECA" w:rsidRPr="00846C67">
        <w:rPr>
          <w:rFonts w:ascii="Tahoma" w:hAnsi="Tahoma" w:cs="Tahoma"/>
          <w:sz w:val="24"/>
          <w:szCs w:val="24"/>
          <w:lang w:val="es-CO"/>
        </w:rPr>
        <w:t xml:space="preserve">de </w:t>
      </w:r>
      <w:r w:rsidRPr="00846C67">
        <w:rPr>
          <w:rFonts w:ascii="Tahoma" w:hAnsi="Tahoma" w:cs="Tahoma"/>
          <w:sz w:val="24"/>
          <w:szCs w:val="24"/>
          <w:lang w:val="es-CO"/>
        </w:rPr>
        <w:t>que a sus 59 años no contaba con el saldo suficiente en su cuenta individual para financiar la prestación, pero que podía acceder a la garantía de pensión mínima por contar con más de 1.150 semanas, mientras que en el RPM obtendría una pensión por valor de $1.051.609 a partir del 25 de noviembre de 2010, cuando cumplió los requisitos.</w:t>
      </w:r>
    </w:p>
    <w:p w14:paraId="53128261" w14:textId="77777777" w:rsidR="00B5475E" w:rsidRPr="00846C67" w:rsidRDefault="00B5475E" w:rsidP="00846C67">
      <w:pPr>
        <w:pStyle w:val="Sinespaciado"/>
        <w:spacing w:line="276" w:lineRule="auto"/>
        <w:rPr>
          <w:rFonts w:ascii="Tahoma" w:hAnsi="Tahoma" w:cs="Tahoma"/>
        </w:rPr>
      </w:pPr>
    </w:p>
    <w:p w14:paraId="381A17B6" w14:textId="086A80A0" w:rsidR="00B5475E" w:rsidRPr="00846C67" w:rsidRDefault="00B5475E" w:rsidP="00846C67">
      <w:pPr>
        <w:spacing w:line="276" w:lineRule="auto"/>
        <w:ind w:firstLine="0"/>
        <w:rPr>
          <w:rFonts w:ascii="Tahoma" w:hAnsi="Tahoma" w:cs="Tahoma"/>
          <w:sz w:val="24"/>
          <w:szCs w:val="24"/>
          <w:lang w:val="es-CO"/>
        </w:rPr>
      </w:pPr>
      <w:r w:rsidRPr="00846C67">
        <w:rPr>
          <w:rFonts w:ascii="Tahoma" w:hAnsi="Tahoma" w:cs="Tahoma"/>
          <w:sz w:val="24"/>
          <w:szCs w:val="24"/>
          <w:lang w:val="es-CO"/>
        </w:rPr>
        <w:tab/>
        <w:t>En respuesta a la demanda, la</w:t>
      </w:r>
      <w:r w:rsidRPr="00846C67">
        <w:rPr>
          <w:rFonts w:ascii="Tahoma" w:hAnsi="Tahoma" w:cs="Tahoma"/>
          <w:b/>
          <w:sz w:val="24"/>
          <w:szCs w:val="24"/>
          <w:lang w:val="es-CO"/>
        </w:rPr>
        <w:t xml:space="preserve"> Sociedad Administradora de Fondos de Pensiones y Cesantías - Porvenir S.A.</w:t>
      </w:r>
      <w:r w:rsidRPr="00846C67">
        <w:rPr>
          <w:rFonts w:ascii="Tahoma" w:hAnsi="Tahoma" w:cs="Tahoma"/>
          <w:sz w:val="24"/>
          <w:szCs w:val="24"/>
          <w:lang w:val="es-CO"/>
        </w:rPr>
        <w:t xml:space="preserve"> señaló que la demandante no pudo ser víctima de la omisión de la información en el momento de la decisión, ya que el traslado de régimen fue un acto voluntario que</w:t>
      </w:r>
      <w:r w:rsidR="00396ECA" w:rsidRPr="00846C67">
        <w:rPr>
          <w:rFonts w:ascii="Tahoma" w:hAnsi="Tahoma" w:cs="Tahoma"/>
          <w:sz w:val="24"/>
          <w:szCs w:val="24"/>
          <w:lang w:val="es-CO"/>
        </w:rPr>
        <w:t>,</w:t>
      </w:r>
      <w:r w:rsidRPr="00846C67">
        <w:rPr>
          <w:rFonts w:ascii="Tahoma" w:hAnsi="Tahoma" w:cs="Tahoma"/>
          <w:sz w:val="24"/>
          <w:szCs w:val="24"/>
          <w:lang w:val="es-CO"/>
        </w:rPr>
        <w:t xml:space="preserve"> si bien implicó la renuncia a la transición, no fue producto del error sobre la contratación en lo relativo a sus derechos pensionales, características y condiciones del régimen que la acogía. Agrega que la vinculación fue lícita, planamente valida, eficaz y ajustada a derecho en la medida en que su voluntad fue confidente del acto jurídico y sus consecuencias, hasta el punto que la actora ha permanecido en el fondo privado por más de 20 años</w:t>
      </w:r>
      <w:r w:rsidR="00396ECA" w:rsidRPr="00846C67">
        <w:rPr>
          <w:rFonts w:ascii="Tahoma" w:hAnsi="Tahoma" w:cs="Tahoma"/>
          <w:sz w:val="24"/>
          <w:szCs w:val="24"/>
          <w:lang w:val="es-CO"/>
        </w:rPr>
        <w:t>,</w:t>
      </w:r>
      <w:r w:rsidRPr="00846C67">
        <w:rPr>
          <w:rFonts w:ascii="Tahoma" w:hAnsi="Tahoma" w:cs="Tahoma"/>
          <w:sz w:val="24"/>
          <w:szCs w:val="24"/>
          <w:lang w:val="es-CO"/>
        </w:rPr>
        <w:t xml:space="preserve"> sin hacer uso del retracto en </w:t>
      </w:r>
      <w:r w:rsidR="00396ECA" w:rsidRPr="00846C67">
        <w:rPr>
          <w:rFonts w:ascii="Tahoma" w:hAnsi="Tahoma" w:cs="Tahoma"/>
          <w:sz w:val="24"/>
          <w:szCs w:val="24"/>
          <w:lang w:val="es-CO"/>
        </w:rPr>
        <w:t>e</w:t>
      </w:r>
      <w:r w:rsidRPr="00846C67">
        <w:rPr>
          <w:rFonts w:ascii="Tahoma" w:hAnsi="Tahoma" w:cs="Tahoma"/>
          <w:sz w:val="24"/>
          <w:szCs w:val="24"/>
          <w:lang w:val="es-CO"/>
        </w:rPr>
        <w:t xml:space="preserve">l periodo de gracia </w:t>
      </w:r>
      <w:r w:rsidR="00396ECA" w:rsidRPr="00846C67">
        <w:rPr>
          <w:rFonts w:ascii="Tahoma" w:hAnsi="Tahoma" w:cs="Tahoma"/>
          <w:sz w:val="24"/>
          <w:szCs w:val="24"/>
          <w:lang w:val="es-CO"/>
        </w:rPr>
        <w:t xml:space="preserve">transcurrido </w:t>
      </w:r>
      <w:r w:rsidRPr="00846C67">
        <w:rPr>
          <w:rFonts w:ascii="Tahoma" w:hAnsi="Tahoma" w:cs="Tahoma"/>
          <w:sz w:val="24"/>
          <w:szCs w:val="24"/>
          <w:lang w:val="es-CO"/>
        </w:rPr>
        <w:t>entre los años 2003 y 2004.</w:t>
      </w:r>
    </w:p>
    <w:p w14:paraId="62486C05" w14:textId="77777777" w:rsidR="00B5475E" w:rsidRPr="00846C67" w:rsidRDefault="00B5475E" w:rsidP="00846C67">
      <w:pPr>
        <w:pStyle w:val="Sinespaciado"/>
        <w:spacing w:line="276" w:lineRule="auto"/>
        <w:rPr>
          <w:rFonts w:ascii="Tahoma" w:hAnsi="Tahoma" w:cs="Tahoma"/>
        </w:rPr>
      </w:pPr>
    </w:p>
    <w:p w14:paraId="2D22E138" w14:textId="77777777" w:rsidR="00B5475E" w:rsidRPr="00846C67" w:rsidRDefault="00B5475E" w:rsidP="00846C67">
      <w:pPr>
        <w:spacing w:line="276" w:lineRule="auto"/>
        <w:ind w:firstLine="0"/>
        <w:rPr>
          <w:rFonts w:ascii="Tahoma" w:hAnsi="Tahoma" w:cs="Tahoma"/>
          <w:i/>
          <w:sz w:val="24"/>
          <w:szCs w:val="24"/>
          <w:lang w:val="es-CO"/>
        </w:rPr>
      </w:pPr>
      <w:r w:rsidRPr="00846C67">
        <w:rPr>
          <w:rFonts w:ascii="Tahoma" w:hAnsi="Tahoma" w:cs="Tahoma"/>
          <w:sz w:val="24"/>
          <w:szCs w:val="24"/>
          <w:lang w:val="es-CO"/>
        </w:rPr>
        <w:tab/>
        <w:t xml:space="preserve">En ese orden, se opuso a la prosperidad de las pretensiones proponiendo en su defensa las excepciones que denominó </w:t>
      </w:r>
      <w:r w:rsidRPr="00846C67">
        <w:rPr>
          <w:rFonts w:ascii="Tahoma" w:hAnsi="Tahoma" w:cs="Tahoma"/>
          <w:i/>
          <w:sz w:val="24"/>
          <w:szCs w:val="24"/>
          <w:lang w:val="es-CO"/>
        </w:rPr>
        <w:t>“Genérica o innominada”</w:t>
      </w:r>
      <w:r w:rsidRPr="00846C67">
        <w:rPr>
          <w:rFonts w:ascii="Tahoma" w:hAnsi="Tahoma" w:cs="Tahoma"/>
          <w:sz w:val="24"/>
          <w:szCs w:val="24"/>
          <w:lang w:val="es-CO"/>
        </w:rPr>
        <w:t xml:space="preserve">; </w:t>
      </w:r>
      <w:r w:rsidRPr="00846C67">
        <w:rPr>
          <w:rFonts w:ascii="Tahoma" w:hAnsi="Tahoma" w:cs="Tahoma"/>
          <w:i/>
          <w:sz w:val="24"/>
          <w:szCs w:val="24"/>
          <w:lang w:val="es-CO"/>
        </w:rPr>
        <w:t xml:space="preserve">“Prescripción”; “Buena fe”; “Compensación”; “Exoneración de condena en costas”; “Inexistencia de la obligación”; “Falta de causa para pedir”; “Falta de legitimación en la causa y/o ausencia de personería sustantiva por pasiva de PORVENIR S.A.:”; “Inexistencia de la fuente de la obligación” </w:t>
      </w:r>
      <w:r w:rsidRPr="00846C67">
        <w:rPr>
          <w:rFonts w:ascii="Tahoma" w:hAnsi="Tahoma" w:cs="Tahoma"/>
          <w:sz w:val="24"/>
          <w:szCs w:val="24"/>
          <w:lang w:val="es-CO"/>
        </w:rPr>
        <w:t>,</w:t>
      </w:r>
      <w:r w:rsidRPr="00846C67">
        <w:rPr>
          <w:rFonts w:ascii="Tahoma" w:hAnsi="Tahoma" w:cs="Tahoma"/>
          <w:i/>
          <w:sz w:val="24"/>
          <w:szCs w:val="24"/>
          <w:lang w:val="es-CO"/>
        </w:rPr>
        <w:t xml:space="preserve"> “Inexistencia de la causa por inexistencia de la oportunidad”, “Afectación de la estabilidad financiera del sistema en caso de acceder al traslado”, “Inexistencia del capital suficiente”</w:t>
      </w:r>
    </w:p>
    <w:p w14:paraId="4101652C" w14:textId="77777777" w:rsidR="00B5475E" w:rsidRPr="00846C67" w:rsidRDefault="00B5475E" w:rsidP="00846C67">
      <w:pPr>
        <w:pStyle w:val="Sinespaciado"/>
        <w:spacing w:line="276" w:lineRule="auto"/>
        <w:rPr>
          <w:rFonts w:ascii="Tahoma" w:hAnsi="Tahoma" w:cs="Tahoma"/>
        </w:rPr>
      </w:pPr>
    </w:p>
    <w:p w14:paraId="2C32DA38" w14:textId="77777777" w:rsidR="00B5475E" w:rsidRPr="00846C67" w:rsidRDefault="00B5475E" w:rsidP="00846C67">
      <w:pPr>
        <w:spacing w:line="276" w:lineRule="auto"/>
        <w:ind w:firstLine="708"/>
        <w:rPr>
          <w:rFonts w:ascii="Tahoma" w:hAnsi="Tahoma" w:cs="Tahoma"/>
          <w:sz w:val="24"/>
          <w:szCs w:val="24"/>
          <w:lang w:val="es-CO"/>
        </w:rPr>
      </w:pPr>
      <w:r w:rsidRPr="00846C67">
        <w:rPr>
          <w:rFonts w:ascii="Tahoma" w:hAnsi="Tahoma" w:cs="Tahoma"/>
          <w:sz w:val="24"/>
          <w:szCs w:val="24"/>
          <w:lang w:val="es-CO"/>
        </w:rPr>
        <w:t>La</w:t>
      </w:r>
      <w:r w:rsidRPr="00846C67">
        <w:rPr>
          <w:rFonts w:ascii="Tahoma" w:hAnsi="Tahoma" w:cs="Tahoma"/>
          <w:b/>
          <w:sz w:val="24"/>
          <w:szCs w:val="24"/>
          <w:lang w:val="es-CO"/>
        </w:rPr>
        <w:t xml:space="preserve"> Administradora Colombiana de Pensiones - Colpensiones</w:t>
      </w:r>
      <w:r w:rsidRPr="00846C67">
        <w:rPr>
          <w:rFonts w:ascii="Tahoma" w:hAnsi="Tahoma" w:cs="Tahoma"/>
          <w:sz w:val="24"/>
          <w:szCs w:val="24"/>
          <w:lang w:val="es-CO"/>
        </w:rPr>
        <w:t xml:space="preserve">, por su parte, arguyó que el formulario de afiliación de la demandante al </w:t>
      </w:r>
      <w:proofErr w:type="spellStart"/>
      <w:r w:rsidRPr="00846C67">
        <w:rPr>
          <w:rFonts w:ascii="Tahoma" w:hAnsi="Tahoma" w:cs="Tahoma"/>
          <w:sz w:val="24"/>
          <w:szCs w:val="24"/>
          <w:lang w:val="es-CO"/>
        </w:rPr>
        <w:t>RAIS</w:t>
      </w:r>
      <w:proofErr w:type="spellEnd"/>
      <w:r w:rsidRPr="00846C67">
        <w:rPr>
          <w:rFonts w:ascii="Tahoma" w:hAnsi="Tahoma" w:cs="Tahoma"/>
          <w:sz w:val="24"/>
          <w:szCs w:val="24"/>
          <w:lang w:val="es-CO"/>
        </w:rPr>
        <w:t xml:space="preserve"> se suscribió </w:t>
      </w:r>
      <w:r w:rsidRPr="00846C67">
        <w:rPr>
          <w:rFonts w:ascii="Tahoma" w:hAnsi="Tahoma" w:cs="Tahoma"/>
          <w:sz w:val="24"/>
          <w:szCs w:val="24"/>
          <w:lang w:val="es-CO"/>
        </w:rPr>
        <w:lastRenderedPageBreak/>
        <w:t xml:space="preserve">en pleno uso de sus facultades y gozando de la libertad de elección de fondo de pensiones, además de que no presentó dentro de las oportunidades legales su retracto de dicha afiliación, por lo que no es posible que retorne al régimen de prima media al no haber adquirido el régimen de transición por el tiempo de servicios. En esa medida, se opuso a la prosperidad de las pretensiones e invocó como excepciones de mérito las denominadas </w:t>
      </w:r>
      <w:r w:rsidRPr="00846C67">
        <w:rPr>
          <w:rFonts w:ascii="Tahoma" w:hAnsi="Tahoma" w:cs="Tahoma"/>
          <w:i/>
          <w:sz w:val="24"/>
          <w:szCs w:val="24"/>
          <w:lang w:val="es-CO"/>
        </w:rPr>
        <w:t xml:space="preserve">“Inexistencia de la obligación”; “Buena fe”; “Imposibilidad jurídica para reconocer y pagar derechos por fuera del ordenamiento legal”, “Imposibilidad de condena en costas” </w:t>
      </w:r>
      <w:r w:rsidRPr="00846C67">
        <w:rPr>
          <w:rFonts w:ascii="Tahoma" w:hAnsi="Tahoma" w:cs="Tahoma"/>
          <w:sz w:val="24"/>
          <w:szCs w:val="24"/>
          <w:lang w:val="es-CO"/>
        </w:rPr>
        <w:t>y la</w:t>
      </w:r>
      <w:r w:rsidRPr="00846C67">
        <w:rPr>
          <w:rFonts w:ascii="Tahoma" w:hAnsi="Tahoma" w:cs="Tahoma"/>
          <w:i/>
          <w:sz w:val="24"/>
          <w:szCs w:val="24"/>
          <w:lang w:val="es-CO"/>
        </w:rPr>
        <w:t xml:space="preserve"> “Genérica”</w:t>
      </w:r>
      <w:r w:rsidRPr="00846C67">
        <w:rPr>
          <w:rFonts w:ascii="Tahoma" w:hAnsi="Tahoma" w:cs="Tahoma"/>
          <w:sz w:val="24"/>
          <w:szCs w:val="24"/>
          <w:lang w:val="es-CO"/>
        </w:rPr>
        <w:t xml:space="preserve">. </w:t>
      </w:r>
    </w:p>
    <w:p w14:paraId="1299C43A" w14:textId="77777777" w:rsidR="00B5475E" w:rsidRPr="00846C67" w:rsidRDefault="00B5475E" w:rsidP="00846C67">
      <w:pPr>
        <w:pStyle w:val="Sinespaciado"/>
        <w:spacing w:line="276" w:lineRule="auto"/>
        <w:rPr>
          <w:rFonts w:ascii="Tahoma" w:hAnsi="Tahoma" w:cs="Tahoma"/>
        </w:rPr>
      </w:pPr>
    </w:p>
    <w:p w14:paraId="779E49AD" w14:textId="77777777" w:rsidR="00B5475E" w:rsidRPr="00846C67" w:rsidRDefault="00B5475E" w:rsidP="00846C67">
      <w:pPr>
        <w:spacing w:line="276" w:lineRule="auto"/>
        <w:ind w:firstLine="0"/>
        <w:jc w:val="center"/>
        <w:rPr>
          <w:rFonts w:ascii="Tahoma" w:hAnsi="Tahoma" w:cs="Tahoma"/>
          <w:b/>
          <w:sz w:val="24"/>
          <w:szCs w:val="24"/>
          <w:lang w:val="es-CO"/>
        </w:rPr>
      </w:pPr>
      <w:r w:rsidRPr="00846C67">
        <w:rPr>
          <w:rFonts w:ascii="Tahoma" w:hAnsi="Tahoma" w:cs="Tahoma"/>
          <w:b/>
          <w:sz w:val="24"/>
          <w:szCs w:val="24"/>
          <w:lang w:val="es-CO"/>
        </w:rPr>
        <w:t>II – Sentencia de primera instancia</w:t>
      </w:r>
    </w:p>
    <w:p w14:paraId="4DDBEF00" w14:textId="77777777" w:rsidR="00B5475E" w:rsidRPr="00846C67" w:rsidRDefault="00B5475E" w:rsidP="00846C67">
      <w:pPr>
        <w:pStyle w:val="Sinespaciado"/>
        <w:spacing w:line="276" w:lineRule="auto"/>
        <w:rPr>
          <w:rFonts w:ascii="Tahoma" w:hAnsi="Tahoma" w:cs="Tahoma"/>
        </w:rPr>
      </w:pPr>
    </w:p>
    <w:p w14:paraId="397669DB" w14:textId="77777777" w:rsidR="00B5475E" w:rsidRPr="00846C67" w:rsidRDefault="00B5475E" w:rsidP="00846C67">
      <w:pPr>
        <w:spacing w:line="276" w:lineRule="auto"/>
        <w:ind w:firstLine="708"/>
        <w:rPr>
          <w:rFonts w:ascii="Tahoma" w:hAnsi="Tahoma" w:cs="Tahoma"/>
          <w:sz w:val="24"/>
          <w:szCs w:val="24"/>
          <w:lang w:val="es-CO"/>
        </w:rPr>
      </w:pPr>
      <w:r w:rsidRPr="00846C67">
        <w:rPr>
          <w:rFonts w:ascii="Tahoma" w:hAnsi="Tahoma" w:cs="Tahoma"/>
          <w:sz w:val="24"/>
          <w:szCs w:val="24"/>
          <w:lang w:val="es-CO"/>
        </w:rPr>
        <w:t xml:space="preserve">La </w:t>
      </w:r>
      <w:r w:rsidRPr="00846C67">
        <w:rPr>
          <w:rFonts w:ascii="Tahoma" w:hAnsi="Tahoma" w:cs="Tahoma"/>
          <w:i/>
          <w:sz w:val="24"/>
          <w:szCs w:val="24"/>
          <w:lang w:val="es-CO"/>
        </w:rPr>
        <w:t>A-quo</w:t>
      </w:r>
      <w:r w:rsidRPr="00846C67">
        <w:rPr>
          <w:rFonts w:ascii="Tahoma" w:hAnsi="Tahoma" w:cs="Tahoma"/>
          <w:sz w:val="24"/>
          <w:szCs w:val="24"/>
          <w:lang w:val="es-CO"/>
        </w:rPr>
        <w:t xml:space="preserve"> declaró la ineficacia del traslado efectuado por la señora María Nelly Bermúdez Bedoya efectuado al </w:t>
      </w:r>
      <w:proofErr w:type="spellStart"/>
      <w:r w:rsidRPr="00846C67">
        <w:rPr>
          <w:rFonts w:ascii="Tahoma" w:hAnsi="Tahoma" w:cs="Tahoma"/>
          <w:sz w:val="24"/>
          <w:szCs w:val="24"/>
          <w:lang w:val="es-CO"/>
        </w:rPr>
        <w:t>RAIS</w:t>
      </w:r>
      <w:proofErr w:type="spellEnd"/>
      <w:r w:rsidRPr="00846C67">
        <w:rPr>
          <w:rFonts w:ascii="Tahoma" w:hAnsi="Tahoma" w:cs="Tahoma"/>
          <w:sz w:val="24"/>
          <w:szCs w:val="24"/>
          <w:lang w:val="es-CO"/>
        </w:rPr>
        <w:t xml:space="preserve"> por medio de la AFP Colpatria, hoy Porvenir S.A. el 31 de octubre de 1997, en consecuencia, ordenó a Porvenir que devuelva los aportes, saldos de la cuenta de ahorro individual, rendimientos, bonos pensionales, sumas adicionales junto con sus intereses y gastos de administración a Colpensiones. A esta última le ordenó que acepte sin dilaciones el traslado de la afiliada.</w:t>
      </w:r>
    </w:p>
    <w:p w14:paraId="3461D779" w14:textId="77777777" w:rsidR="00B5475E" w:rsidRPr="00846C67" w:rsidRDefault="00B5475E" w:rsidP="00846C67">
      <w:pPr>
        <w:spacing w:line="276" w:lineRule="auto"/>
        <w:ind w:firstLine="708"/>
        <w:rPr>
          <w:rFonts w:ascii="Tahoma" w:hAnsi="Tahoma" w:cs="Tahoma"/>
          <w:sz w:val="24"/>
          <w:szCs w:val="24"/>
          <w:lang w:val="es-CO"/>
        </w:rPr>
      </w:pPr>
    </w:p>
    <w:p w14:paraId="502181B7" w14:textId="523CF047" w:rsidR="00B5475E" w:rsidRPr="00846C67" w:rsidRDefault="00B5475E" w:rsidP="00846C67">
      <w:pPr>
        <w:spacing w:line="276" w:lineRule="auto"/>
        <w:ind w:firstLine="708"/>
        <w:rPr>
          <w:rFonts w:ascii="Tahoma" w:hAnsi="Tahoma" w:cs="Tahoma"/>
          <w:sz w:val="24"/>
          <w:szCs w:val="24"/>
          <w:lang w:val="es-CO"/>
        </w:rPr>
      </w:pPr>
      <w:r w:rsidRPr="00846C67">
        <w:rPr>
          <w:rFonts w:ascii="Tahoma" w:hAnsi="Tahoma" w:cs="Tahoma"/>
          <w:sz w:val="24"/>
          <w:szCs w:val="24"/>
          <w:lang w:val="es-CO"/>
        </w:rPr>
        <w:t>Por otra parte</w:t>
      </w:r>
      <w:r w:rsidR="00EE41CB" w:rsidRPr="00846C67">
        <w:rPr>
          <w:rFonts w:ascii="Tahoma" w:hAnsi="Tahoma" w:cs="Tahoma"/>
          <w:sz w:val="24"/>
          <w:szCs w:val="24"/>
          <w:lang w:val="es-CO"/>
        </w:rPr>
        <w:t>,</w:t>
      </w:r>
      <w:r w:rsidRPr="00846C67">
        <w:rPr>
          <w:rFonts w:ascii="Tahoma" w:hAnsi="Tahoma" w:cs="Tahoma"/>
          <w:sz w:val="24"/>
          <w:szCs w:val="24"/>
          <w:lang w:val="es-CO"/>
        </w:rPr>
        <w:t xml:space="preserve"> declaró no probados los medios exceptivos propuestos por las codemandadas, se abstuvo de revisar de fondo la solicitud pensional y condenó en costas a Porvenir S.A. en un 80%.</w:t>
      </w:r>
    </w:p>
    <w:p w14:paraId="3CF2D8B6" w14:textId="77777777" w:rsidR="00B5475E" w:rsidRPr="00846C67" w:rsidRDefault="00B5475E" w:rsidP="00846C67">
      <w:pPr>
        <w:spacing w:line="276" w:lineRule="auto"/>
        <w:ind w:firstLine="708"/>
        <w:rPr>
          <w:rFonts w:ascii="Tahoma" w:hAnsi="Tahoma" w:cs="Tahoma"/>
          <w:sz w:val="24"/>
          <w:szCs w:val="24"/>
          <w:lang w:val="es-CO"/>
        </w:rPr>
      </w:pPr>
    </w:p>
    <w:p w14:paraId="7E6B4D14" w14:textId="0319B5ED" w:rsidR="00B5475E" w:rsidRPr="00846C67" w:rsidRDefault="00B5475E" w:rsidP="00846C67">
      <w:pPr>
        <w:spacing w:line="276" w:lineRule="auto"/>
        <w:ind w:firstLine="708"/>
        <w:rPr>
          <w:rFonts w:ascii="Tahoma" w:hAnsi="Tahoma" w:cs="Tahoma"/>
          <w:sz w:val="24"/>
          <w:szCs w:val="24"/>
          <w:lang w:val="es-CO"/>
        </w:rPr>
      </w:pPr>
      <w:r w:rsidRPr="00846C67">
        <w:rPr>
          <w:rFonts w:ascii="Tahoma" w:hAnsi="Tahoma" w:cs="Tahoma"/>
          <w:sz w:val="24"/>
          <w:szCs w:val="24"/>
          <w:lang w:val="es-CO"/>
        </w:rPr>
        <w:t>Para llegar a tal determinación la A-quo, con apoyo en abundante jurisprudencia emanada de la Sala de Casación laboral de la Corte Suprema de Justicia, consideró que no basta con la mera suscripción del formulario de afiliación para entender que el traslado del régimen pensional fue v</w:t>
      </w:r>
      <w:r w:rsidR="00D55A2E" w:rsidRPr="00846C67">
        <w:rPr>
          <w:rFonts w:ascii="Tahoma" w:hAnsi="Tahoma" w:cs="Tahoma"/>
          <w:sz w:val="24"/>
          <w:szCs w:val="24"/>
          <w:lang w:val="es-CO"/>
        </w:rPr>
        <w:t>á</w:t>
      </w:r>
      <w:r w:rsidRPr="00846C67">
        <w:rPr>
          <w:rFonts w:ascii="Tahoma" w:hAnsi="Tahoma" w:cs="Tahoma"/>
          <w:sz w:val="24"/>
          <w:szCs w:val="24"/>
          <w:lang w:val="es-CO"/>
        </w:rPr>
        <w:t xml:space="preserve">lido, pues si la persona desconoce las consecuencias del traslado no se satisface el requisito de la información con la incorporación en el documento de una expresión genérica de que la manifestación fue libre y voluntaria. </w:t>
      </w:r>
    </w:p>
    <w:p w14:paraId="0FB78278" w14:textId="77777777" w:rsidR="00B5475E" w:rsidRPr="00846C67" w:rsidRDefault="00B5475E" w:rsidP="00846C67">
      <w:pPr>
        <w:pStyle w:val="Sinespaciado"/>
        <w:spacing w:line="276" w:lineRule="auto"/>
        <w:rPr>
          <w:rFonts w:ascii="Tahoma" w:hAnsi="Tahoma" w:cs="Tahoma"/>
        </w:rPr>
      </w:pPr>
    </w:p>
    <w:p w14:paraId="719E44E9" w14:textId="182601DD" w:rsidR="00B5475E" w:rsidRDefault="00B5475E" w:rsidP="00846C67">
      <w:pPr>
        <w:spacing w:line="276" w:lineRule="auto"/>
        <w:ind w:firstLine="708"/>
        <w:rPr>
          <w:rFonts w:ascii="Tahoma" w:hAnsi="Tahoma" w:cs="Tahoma"/>
          <w:sz w:val="24"/>
          <w:szCs w:val="24"/>
          <w:lang w:val="es-CO"/>
        </w:rPr>
      </w:pPr>
      <w:r w:rsidRPr="00846C67">
        <w:rPr>
          <w:rFonts w:ascii="Tahoma" w:hAnsi="Tahoma" w:cs="Tahoma"/>
          <w:sz w:val="24"/>
          <w:szCs w:val="24"/>
          <w:lang w:val="es-CO"/>
        </w:rPr>
        <w:t>Precisó que la carga de probar el cumplimiento del deber de información para acreditar la eficacia del acto incumbe a las AFP, por lo que la parte actora no t</w:t>
      </w:r>
      <w:r w:rsidR="00CD787F" w:rsidRPr="00846C67">
        <w:rPr>
          <w:rFonts w:ascii="Tahoma" w:hAnsi="Tahoma" w:cs="Tahoma"/>
          <w:sz w:val="24"/>
          <w:szCs w:val="24"/>
          <w:lang w:val="es-CO"/>
        </w:rPr>
        <w:t>enía</w:t>
      </w:r>
      <w:r w:rsidRPr="00846C67">
        <w:rPr>
          <w:rFonts w:ascii="Tahoma" w:hAnsi="Tahoma" w:cs="Tahoma"/>
          <w:sz w:val="24"/>
          <w:szCs w:val="24"/>
          <w:lang w:val="es-CO"/>
        </w:rPr>
        <w:t xml:space="preserve"> que demostrar un perjuicio o que sea beneficiaria de transición</w:t>
      </w:r>
      <w:r w:rsidR="00CD787F" w:rsidRPr="00846C67">
        <w:rPr>
          <w:rFonts w:ascii="Tahoma" w:hAnsi="Tahoma" w:cs="Tahoma"/>
          <w:sz w:val="24"/>
          <w:szCs w:val="24"/>
          <w:lang w:val="es-CO"/>
        </w:rPr>
        <w:t>,</w:t>
      </w:r>
      <w:r w:rsidRPr="00846C67">
        <w:rPr>
          <w:rFonts w:ascii="Tahoma" w:hAnsi="Tahoma" w:cs="Tahoma"/>
          <w:sz w:val="24"/>
          <w:szCs w:val="24"/>
          <w:lang w:val="es-CO"/>
        </w:rPr>
        <w:t xml:space="preserve"> pues la administradora pensional como entidad financiera tiene mayores ventajas frente al afiliado inexperto y está en mejor posición de demostrar el suministro de la información, que aduce la actora mediante la negación indefinida que no se cumplió.</w:t>
      </w:r>
    </w:p>
    <w:p w14:paraId="60AA4FE0" w14:textId="77777777" w:rsidR="00846C67" w:rsidRPr="00846C67" w:rsidRDefault="00846C67" w:rsidP="00846C67">
      <w:pPr>
        <w:spacing w:line="276" w:lineRule="auto"/>
        <w:ind w:firstLine="708"/>
        <w:rPr>
          <w:rFonts w:ascii="Tahoma" w:hAnsi="Tahoma" w:cs="Tahoma"/>
          <w:sz w:val="24"/>
          <w:szCs w:val="24"/>
          <w:lang w:val="es-CO"/>
        </w:rPr>
      </w:pPr>
    </w:p>
    <w:p w14:paraId="3161E92B" w14:textId="17660ABE" w:rsidR="00CD787F" w:rsidRPr="00846C67" w:rsidRDefault="00B5475E" w:rsidP="00846C67">
      <w:pPr>
        <w:spacing w:line="276" w:lineRule="auto"/>
        <w:ind w:firstLine="708"/>
        <w:rPr>
          <w:rFonts w:ascii="Tahoma" w:hAnsi="Tahoma" w:cs="Tahoma"/>
          <w:sz w:val="24"/>
          <w:szCs w:val="24"/>
          <w:lang w:val="es-CO"/>
        </w:rPr>
      </w:pPr>
      <w:r w:rsidRPr="00846C67">
        <w:rPr>
          <w:rFonts w:ascii="Tahoma" w:hAnsi="Tahoma" w:cs="Tahoma"/>
          <w:sz w:val="24"/>
          <w:szCs w:val="24"/>
          <w:lang w:val="es-CO"/>
        </w:rPr>
        <w:t>En ese entendido, concluyó que como la AFP no aportó las pruebas que soporten la idoneidad de sus asesores</w:t>
      </w:r>
      <w:r w:rsidR="00CD787F" w:rsidRPr="00846C67">
        <w:rPr>
          <w:rFonts w:ascii="Tahoma" w:hAnsi="Tahoma" w:cs="Tahoma"/>
          <w:sz w:val="24"/>
          <w:szCs w:val="24"/>
          <w:lang w:val="es-CO"/>
        </w:rPr>
        <w:t>,</w:t>
      </w:r>
      <w:r w:rsidRPr="00846C67">
        <w:rPr>
          <w:rFonts w:ascii="Tahoma" w:hAnsi="Tahoma" w:cs="Tahoma"/>
          <w:sz w:val="24"/>
          <w:szCs w:val="24"/>
          <w:lang w:val="es-CO"/>
        </w:rPr>
        <w:t xml:space="preserve"> ni la especificidad de la información que compruebe el cumplimiento de su deber, </w:t>
      </w:r>
      <w:r w:rsidR="00CD787F" w:rsidRPr="00846C67">
        <w:rPr>
          <w:rFonts w:ascii="Tahoma" w:hAnsi="Tahoma" w:cs="Tahoma"/>
          <w:sz w:val="24"/>
          <w:szCs w:val="24"/>
          <w:lang w:val="es-CO"/>
        </w:rPr>
        <w:t xml:space="preserve">era dable inferir </w:t>
      </w:r>
      <w:r w:rsidRPr="00846C67">
        <w:rPr>
          <w:rFonts w:ascii="Tahoma" w:hAnsi="Tahoma" w:cs="Tahoma"/>
          <w:sz w:val="24"/>
          <w:szCs w:val="24"/>
          <w:lang w:val="es-CO"/>
        </w:rPr>
        <w:t>que la afiliada no contó con los elementos de juicio suficientes para tomar una decisión consciente</w:t>
      </w:r>
      <w:r w:rsidR="00CD787F" w:rsidRPr="00846C67">
        <w:rPr>
          <w:rFonts w:ascii="Tahoma" w:hAnsi="Tahoma" w:cs="Tahoma"/>
          <w:sz w:val="24"/>
          <w:szCs w:val="24"/>
          <w:lang w:val="es-CO"/>
        </w:rPr>
        <w:t>;</w:t>
      </w:r>
      <w:r w:rsidRPr="00846C67">
        <w:rPr>
          <w:rFonts w:ascii="Tahoma" w:hAnsi="Tahoma" w:cs="Tahoma"/>
          <w:sz w:val="24"/>
          <w:szCs w:val="24"/>
          <w:lang w:val="es-CO"/>
        </w:rPr>
        <w:t xml:space="preserve"> razón por la cual proced</w:t>
      </w:r>
      <w:r w:rsidR="00CD787F" w:rsidRPr="00846C67">
        <w:rPr>
          <w:rFonts w:ascii="Tahoma" w:hAnsi="Tahoma" w:cs="Tahoma"/>
          <w:sz w:val="24"/>
          <w:szCs w:val="24"/>
          <w:lang w:val="es-CO"/>
        </w:rPr>
        <w:t>ía</w:t>
      </w:r>
      <w:r w:rsidRPr="00846C67">
        <w:rPr>
          <w:rFonts w:ascii="Tahoma" w:hAnsi="Tahoma" w:cs="Tahoma"/>
          <w:sz w:val="24"/>
          <w:szCs w:val="24"/>
          <w:lang w:val="es-CO"/>
        </w:rPr>
        <w:t xml:space="preserve"> la declaratoria de ineficacia del traslado.</w:t>
      </w:r>
    </w:p>
    <w:p w14:paraId="31CB0828" w14:textId="203521E4" w:rsidR="00B5475E" w:rsidRPr="00846C67" w:rsidRDefault="00B5475E" w:rsidP="00846C67">
      <w:pPr>
        <w:spacing w:line="276" w:lineRule="auto"/>
        <w:ind w:firstLine="708"/>
        <w:rPr>
          <w:rFonts w:ascii="Tahoma" w:hAnsi="Tahoma" w:cs="Tahoma"/>
          <w:sz w:val="24"/>
          <w:szCs w:val="24"/>
          <w:lang w:val="es-CO"/>
        </w:rPr>
      </w:pPr>
      <w:r w:rsidRPr="00846C67">
        <w:rPr>
          <w:rFonts w:ascii="Tahoma" w:hAnsi="Tahoma" w:cs="Tahoma"/>
          <w:sz w:val="24"/>
          <w:szCs w:val="24"/>
          <w:lang w:val="es-CO"/>
        </w:rPr>
        <w:t xml:space="preserve"> </w:t>
      </w:r>
    </w:p>
    <w:p w14:paraId="2B6E424D" w14:textId="77777777" w:rsidR="00B5475E" w:rsidRPr="00846C67" w:rsidRDefault="00B5475E" w:rsidP="00846C67">
      <w:pPr>
        <w:spacing w:line="276" w:lineRule="auto"/>
        <w:ind w:firstLine="708"/>
        <w:rPr>
          <w:rFonts w:ascii="Tahoma" w:hAnsi="Tahoma" w:cs="Tahoma"/>
          <w:sz w:val="24"/>
          <w:szCs w:val="24"/>
          <w:lang w:val="es-CO"/>
        </w:rPr>
      </w:pPr>
      <w:r w:rsidRPr="00846C67">
        <w:rPr>
          <w:rFonts w:ascii="Tahoma" w:hAnsi="Tahoma" w:cs="Tahoma"/>
          <w:sz w:val="24"/>
          <w:szCs w:val="24"/>
          <w:lang w:val="es-CO"/>
        </w:rPr>
        <w:t xml:space="preserve">Respecto al reconocimiento pensional deprecado, encontró que como la actora se encuentra en carrera administrativa es claro que tiene una relación legal y reglamentaria en el sector público, por lo que la competencia para dirimir su </w:t>
      </w:r>
      <w:r w:rsidRPr="00846C67">
        <w:rPr>
          <w:rFonts w:ascii="Tahoma" w:hAnsi="Tahoma" w:cs="Tahoma"/>
          <w:sz w:val="24"/>
          <w:szCs w:val="24"/>
          <w:lang w:val="es-CO"/>
        </w:rPr>
        <w:lastRenderedPageBreak/>
        <w:t xml:space="preserve">prestación está a cargo de la jurisdicción contenciosa administrativa y no la ordinaria laboral. </w:t>
      </w:r>
    </w:p>
    <w:p w14:paraId="34CE0A41" w14:textId="77777777" w:rsidR="00B5475E" w:rsidRPr="00846C67" w:rsidRDefault="00B5475E" w:rsidP="00846C67">
      <w:pPr>
        <w:spacing w:line="276" w:lineRule="auto"/>
        <w:ind w:firstLine="708"/>
        <w:rPr>
          <w:rFonts w:ascii="Tahoma" w:hAnsi="Tahoma" w:cs="Tahoma"/>
          <w:sz w:val="24"/>
          <w:szCs w:val="24"/>
          <w:lang w:val="es-CO"/>
        </w:rPr>
      </w:pPr>
    </w:p>
    <w:p w14:paraId="3C337C91" w14:textId="77777777" w:rsidR="00B5475E" w:rsidRPr="00846C67" w:rsidRDefault="00B5475E" w:rsidP="00846C67">
      <w:pPr>
        <w:spacing w:line="276" w:lineRule="auto"/>
        <w:ind w:firstLine="0"/>
        <w:jc w:val="center"/>
        <w:rPr>
          <w:rFonts w:ascii="Tahoma" w:hAnsi="Tahoma" w:cs="Tahoma"/>
          <w:b/>
          <w:sz w:val="24"/>
          <w:szCs w:val="24"/>
          <w:lang w:val="es-CO"/>
        </w:rPr>
      </w:pPr>
      <w:r w:rsidRPr="00846C67">
        <w:rPr>
          <w:rFonts w:ascii="Tahoma" w:hAnsi="Tahoma" w:cs="Tahoma"/>
          <w:b/>
          <w:sz w:val="24"/>
          <w:szCs w:val="24"/>
          <w:lang w:val="es-CO"/>
        </w:rPr>
        <w:t>III – Recursos de apelación</w:t>
      </w:r>
    </w:p>
    <w:p w14:paraId="62EBF3C5" w14:textId="77777777" w:rsidR="00B5475E" w:rsidRPr="00846C67" w:rsidRDefault="00B5475E" w:rsidP="00846C67">
      <w:pPr>
        <w:spacing w:line="276" w:lineRule="auto"/>
        <w:ind w:firstLine="708"/>
        <w:rPr>
          <w:rFonts w:ascii="Tahoma" w:hAnsi="Tahoma" w:cs="Tahoma"/>
          <w:sz w:val="24"/>
          <w:szCs w:val="24"/>
          <w:lang w:val="es-CO"/>
        </w:rPr>
      </w:pPr>
    </w:p>
    <w:p w14:paraId="115CEB93" w14:textId="5AB45DE7" w:rsidR="00B5475E" w:rsidRPr="00846C67" w:rsidRDefault="00B5475E" w:rsidP="00846C67">
      <w:pPr>
        <w:spacing w:line="276" w:lineRule="auto"/>
        <w:ind w:firstLine="708"/>
        <w:rPr>
          <w:rFonts w:ascii="Tahoma" w:hAnsi="Tahoma" w:cs="Tahoma"/>
          <w:sz w:val="24"/>
          <w:szCs w:val="24"/>
          <w:lang w:val="es-CO"/>
        </w:rPr>
      </w:pPr>
      <w:r w:rsidRPr="00846C67">
        <w:rPr>
          <w:rFonts w:ascii="Tahoma" w:hAnsi="Tahoma" w:cs="Tahoma"/>
          <w:sz w:val="24"/>
          <w:szCs w:val="24"/>
          <w:lang w:val="es-CO"/>
        </w:rPr>
        <w:t>La parte demandante expuso su inconformidad frente a la sentencia de primera instancia alegando que no se tuvo en cuenta que la indemnización de perjuicios por lucro cesante es compatible con las prestaciones derivadas de la seguridad social y, por ende</w:t>
      </w:r>
      <w:r w:rsidR="00CD787F" w:rsidRPr="00846C67">
        <w:rPr>
          <w:rFonts w:ascii="Tahoma" w:hAnsi="Tahoma" w:cs="Tahoma"/>
          <w:sz w:val="24"/>
          <w:szCs w:val="24"/>
          <w:lang w:val="es-CO"/>
        </w:rPr>
        <w:t>,</w:t>
      </w:r>
      <w:r w:rsidRPr="00846C67">
        <w:rPr>
          <w:rFonts w:ascii="Tahoma" w:hAnsi="Tahoma" w:cs="Tahoma"/>
          <w:sz w:val="24"/>
          <w:szCs w:val="24"/>
          <w:lang w:val="es-CO"/>
        </w:rPr>
        <w:t xml:space="preserve"> deb</w:t>
      </w:r>
      <w:r w:rsidR="00CD787F" w:rsidRPr="00846C67">
        <w:rPr>
          <w:rFonts w:ascii="Tahoma" w:hAnsi="Tahoma" w:cs="Tahoma"/>
          <w:sz w:val="24"/>
          <w:szCs w:val="24"/>
          <w:lang w:val="es-CO"/>
        </w:rPr>
        <w:t>ía</w:t>
      </w:r>
      <w:r w:rsidRPr="00846C67">
        <w:rPr>
          <w:rFonts w:ascii="Tahoma" w:hAnsi="Tahoma" w:cs="Tahoma"/>
          <w:sz w:val="24"/>
          <w:szCs w:val="24"/>
          <w:lang w:val="es-CO"/>
        </w:rPr>
        <w:t xml:space="preserve"> condenarse a Porvenir a la indemnización pretendida por no haberle brindado la información necesaria a la actora, misma que debe ordenarse desde el momento en que alcanzó en el RPM los requisitos para pensionarse.</w:t>
      </w:r>
    </w:p>
    <w:p w14:paraId="6D98A12B" w14:textId="77777777" w:rsidR="00B5475E" w:rsidRPr="00846C67" w:rsidRDefault="00B5475E" w:rsidP="00846C67">
      <w:pPr>
        <w:pStyle w:val="Sinespaciado"/>
        <w:spacing w:line="276" w:lineRule="auto"/>
        <w:rPr>
          <w:rFonts w:ascii="Tahoma" w:hAnsi="Tahoma" w:cs="Tahoma"/>
        </w:rPr>
      </w:pPr>
    </w:p>
    <w:p w14:paraId="723B16D2" w14:textId="17F09E14" w:rsidR="00B5475E" w:rsidRPr="00846C67" w:rsidRDefault="00B5475E" w:rsidP="00846C67">
      <w:pPr>
        <w:spacing w:line="276" w:lineRule="auto"/>
        <w:ind w:firstLine="708"/>
        <w:rPr>
          <w:rFonts w:ascii="Tahoma" w:hAnsi="Tahoma" w:cs="Tahoma"/>
          <w:sz w:val="24"/>
          <w:szCs w:val="24"/>
          <w:lang w:val="es-CO"/>
        </w:rPr>
      </w:pPr>
      <w:r w:rsidRPr="00846C67">
        <w:rPr>
          <w:rFonts w:ascii="Tahoma" w:hAnsi="Tahoma" w:cs="Tahoma"/>
          <w:sz w:val="24"/>
          <w:szCs w:val="24"/>
          <w:lang w:val="es-CO"/>
        </w:rPr>
        <w:t>La representante judicial de Colpensiones atac</w:t>
      </w:r>
      <w:r w:rsidR="00CD787F" w:rsidRPr="00846C67">
        <w:rPr>
          <w:rFonts w:ascii="Tahoma" w:hAnsi="Tahoma" w:cs="Tahoma"/>
          <w:sz w:val="24"/>
          <w:szCs w:val="24"/>
          <w:lang w:val="es-CO"/>
        </w:rPr>
        <w:t>ó</w:t>
      </w:r>
      <w:r w:rsidRPr="00846C67">
        <w:rPr>
          <w:rFonts w:ascii="Tahoma" w:hAnsi="Tahoma" w:cs="Tahoma"/>
          <w:sz w:val="24"/>
          <w:szCs w:val="24"/>
          <w:lang w:val="es-CO"/>
        </w:rPr>
        <w:t xml:space="preserve"> la sentencia de primera instancia sustentando que la prueba recaudada da fe de que la actora no interpone la demanda debido a una falta de información a la hora de efectuar el traslado sino porque aspira a obtener una pensión mayor que la que ofrece el fondo privado, lo cual generaría una carga mayor a la administradora pensional en detrimento de la estabilidad financiera del sistema.</w:t>
      </w:r>
    </w:p>
    <w:p w14:paraId="2946DB82" w14:textId="77777777" w:rsidR="00B5475E" w:rsidRPr="00846C67" w:rsidRDefault="00B5475E" w:rsidP="00846C67">
      <w:pPr>
        <w:pStyle w:val="Sinespaciado"/>
        <w:spacing w:line="276" w:lineRule="auto"/>
        <w:rPr>
          <w:rFonts w:ascii="Tahoma" w:hAnsi="Tahoma" w:cs="Tahoma"/>
        </w:rPr>
      </w:pPr>
    </w:p>
    <w:p w14:paraId="025F4F3E" w14:textId="77777777" w:rsidR="00B5475E" w:rsidRPr="00846C67" w:rsidRDefault="00B5475E" w:rsidP="00846C67">
      <w:pPr>
        <w:spacing w:line="276" w:lineRule="auto"/>
        <w:ind w:firstLine="708"/>
        <w:rPr>
          <w:rFonts w:ascii="Tahoma" w:hAnsi="Tahoma" w:cs="Tahoma"/>
          <w:sz w:val="24"/>
          <w:szCs w:val="24"/>
          <w:lang w:val="es-CO"/>
        </w:rPr>
      </w:pPr>
      <w:r w:rsidRPr="00846C67">
        <w:rPr>
          <w:rFonts w:ascii="Tahoma" w:hAnsi="Tahoma" w:cs="Tahoma"/>
          <w:sz w:val="24"/>
          <w:szCs w:val="24"/>
          <w:lang w:val="es-CO"/>
        </w:rPr>
        <w:t xml:space="preserve">Por su parte, Porvenir apela al considerar que la demandante se benefició por más de 20 años de las prerrogativas y rendimientos del </w:t>
      </w:r>
      <w:proofErr w:type="spellStart"/>
      <w:r w:rsidRPr="00846C67">
        <w:rPr>
          <w:rFonts w:ascii="Tahoma" w:hAnsi="Tahoma" w:cs="Tahoma"/>
          <w:sz w:val="24"/>
          <w:szCs w:val="24"/>
          <w:lang w:val="es-CO"/>
        </w:rPr>
        <w:t>RAIS</w:t>
      </w:r>
      <w:proofErr w:type="spellEnd"/>
      <w:r w:rsidRPr="00846C67">
        <w:rPr>
          <w:rFonts w:ascii="Tahoma" w:hAnsi="Tahoma" w:cs="Tahoma"/>
          <w:sz w:val="24"/>
          <w:szCs w:val="24"/>
          <w:lang w:val="es-CO"/>
        </w:rPr>
        <w:t>, manifestando su voluntad de permanecer allí, hasta el punto que no hizo uso del periodo de gracia entre el 2003 y el 2004. Agrega que no puede dársele a la jurisprudencia actual un uso retroactivo puesto que para el momento del traslado no se hacían las exigencias que ahora obligan a los fondos y mucho menos puede obligarse a la AFP devolver las cuotas de administración, puesto que durante todo el tiempo de la afiliación ha hecho rendir los aportes de la actora de acuerdo a un actuar de buena fe en amparo de la ley.</w:t>
      </w:r>
    </w:p>
    <w:p w14:paraId="1848E34C" w14:textId="38488511" w:rsidR="00F7005F" w:rsidRPr="00846C67" w:rsidRDefault="00F7005F" w:rsidP="00846C67">
      <w:pPr>
        <w:pStyle w:val="Sinespaciado"/>
        <w:spacing w:line="276" w:lineRule="auto"/>
        <w:rPr>
          <w:rFonts w:ascii="Tahoma" w:hAnsi="Tahoma" w:cs="Tahoma"/>
        </w:rPr>
      </w:pPr>
    </w:p>
    <w:p w14:paraId="746B404C" w14:textId="77777777" w:rsidR="00B5475E" w:rsidRPr="00846C67" w:rsidRDefault="00B5475E" w:rsidP="00846C67">
      <w:pPr>
        <w:widowControl w:val="0"/>
        <w:autoSpaceDE w:val="0"/>
        <w:autoSpaceDN w:val="0"/>
        <w:adjustRightInd w:val="0"/>
        <w:spacing w:line="276" w:lineRule="auto"/>
        <w:ind w:firstLine="0"/>
        <w:jc w:val="center"/>
        <w:rPr>
          <w:rFonts w:ascii="Tahoma" w:hAnsi="Tahoma" w:cs="Tahoma"/>
          <w:b/>
          <w:caps/>
          <w:sz w:val="24"/>
          <w:szCs w:val="24"/>
        </w:rPr>
      </w:pPr>
      <w:r w:rsidRPr="00846C67">
        <w:rPr>
          <w:rFonts w:ascii="Tahoma" w:hAnsi="Tahoma" w:cs="Tahoma"/>
          <w:b/>
          <w:sz w:val="24"/>
          <w:szCs w:val="24"/>
        </w:rPr>
        <w:t>IV. Alegatos de conclusión</w:t>
      </w:r>
    </w:p>
    <w:p w14:paraId="110FFD37" w14:textId="77777777" w:rsidR="00B5475E" w:rsidRPr="00846C67" w:rsidRDefault="00B5475E" w:rsidP="00846C67">
      <w:pPr>
        <w:widowControl w:val="0"/>
        <w:autoSpaceDE w:val="0"/>
        <w:autoSpaceDN w:val="0"/>
        <w:adjustRightInd w:val="0"/>
        <w:spacing w:line="276" w:lineRule="auto"/>
        <w:rPr>
          <w:rFonts w:ascii="Tahoma" w:hAnsi="Tahoma" w:cs="Tahoma"/>
          <w:sz w:val="24"/>
          <w:szCs w:val="24"/>
        </w:rPr>
      </w:pPr>
    </w:p>
    <w:p w14:paraId="1A9BF14B" w14:textId="3DEBE31E" w:rsidR="00B5475E" w:rsidRPr="00846C67" w:rsidRDefault="00B5475E" w:rsidP="00846C67">
      <w:pPr>
        <w:pStyle w:val="paragraph"/>
        <w:spacing w:before="0" w:beforeAutospacing="0" w:after="0" w:afterAutospacing="0" w:line="276" w:lineRule="auto"/>
        <w:ind w:firstLine="708"/>
        <w:jc w:val="both"/>
        <w:textAlignment w:val="baseline"/>
        <w:rPr>
          <w:rFonts w:ascii="Tahoma" w:hAnsi="Tahoma" w:cs="Tahoma"/>
        </w:rPr>
      </w:pPr>
      <w:r w:rsidRPr="00846C67">
        <w:rPr>
          <w:rStyle w:val="normaltextrun"/>
          <w:rFonts w:ascii="Tahoma" w:hAnsi="Tahoma" w:cs="Tahoma"/>
          <w:color w:val="000000"/>
          <w:lang w:val="es-ES"/>
        </w:rPr>
        <w:t>Analizados los alegatos presentados por escrito por la</w:t>
      </w:r>
      <w:r w:rsidR="00ED4866" w:rsidRPr="00846C67">
        <w:rPr>
          <w:rStyle w:val="normaltextrun"/>
          <w:rFonts w:ascii="Tahoma" w:hAnsi="Tahoma" w:cs="Tahoma"/>
          <w:color w:val="000000"/>
          <w:lang w:val="es-ES"/>
        </w:rPr>
        <w:t xml:space="preserve"> </w:t>
      </w:r>
      <w:r w:rsidRPr="00846C67">
        <w:rPr>
          <w:rStyle w:val="normaltextrun"/>
          <w:rFonts w:ascii="Tahoma" w:hAnsi="Tahoma" w:cs="Tahoma"/>
          <w:color w:val="000000"/>
          <w:lang w:val="es-ES"/>
        </w:rPr>
        <w:t>parte</w:t>
      </w:r>
      <w:r w:rsidR="00ED4866" w:rsidRPr="00846C67">
        <w:rPr>
          <w:rStyle w:val="normaltextrun"/>
          <w:rFonts w:ascii="Tahoma" w:hAnsi="Tahoma" w:cs="Tahoma"/>
          <w:color w:val="000000"/>
          <w:lang w:val="es-ES"/>
        </w:rPr>
        <w:t xml:space="preserve"> demandante</w:t>
      </w:r>
      <w:r w:rsidRPr="00846C67">
        <w:rPr>
          <w:rStyle w:val="normaltextrun"/>
          <w:rFonts w:ascii="Tahoma" w:hAnsi="Tahoma" w:cs="Tahoma"/>
          <w:color w:val="000000"/>
          <w:lang w:val="es-ES"/>
        </w:rPr>
        <w:t xml:space="preserve">, mismos que obran en el expediente digital y a los cuales nos remitimos por economía procesal en virtud del artículo 280 del </w:t>
      </w:r>
      <w:proofErr w:type="spellStart"/>
      <w:r w:rsidRPr="00846C67">
        <w:rPr>
          <w:rStyle w:val="normaltextrun"/>
          <w:rFonts w:ascii="Tahoma" w:hAnsi="Tahoma" w:cs="Tahoma"/>
          <w:color w:val="000000"/>
          <w:lang w:val="es-ES"/>
        </w:rPr>
        <w:t>C.G.P</w:t>
      </w:r>
      <w:proofErr w:type="spellEnd"/>
      <w:r w:rsidRPr="00846C67">
        <w:rPr>
          <w:rStyle w:val="normaltextrun"/>
          <w:rFonts w:ascii="Tahoma" w:hAnsi="Tahoma" w:cs="Tahoma"/>
          <w:color w:val="000000"/>
          <w:lang w:val="es-ES"/>
        </w:rPr>
        <w:t>., la Sala encuentra que los argumentos fácticos y jurídicos expresados, concuerdan con los puntos objeto de discusión en esta instancia y se relacionan con el problema jurídico que se expresa a continuación. </w:t>
      </w:r>
      <w:r w:rsidRPr="00846C67">
        <w:rPr>
          <w:rStyle w:val="eop"/>
          <w:rFonts w:ascii="Tahoma" w:hAnsi="Tahoma" w:cs="Tahoma"/>
          <w:color w:val="000000"/>
        </w:rPr>
        <w:t> </w:t>
      </w:r>
    </w:p>
    <w:p w14:paraId="4F6584BE" w14:textId="77777777" w:rsidR="00B5475E" w:rsidRPr="00846C67" w:rsidRDefault="00B5475E" w:rsidP="00846C67">
      <w:pPr>
        <w:pStyle w:val="paragraph"/>
        <w:spacing w:before="0" w:beforeAutospacing="0" w:after="0" w:afterAutospacing="0" w:line="276" w:lineRule="auto"/>
        <w:ind w:firstLine="360"/>
        <w:jc w:val="both"/>
        <w:textAlignment w:val="baseline"/>
        <w:rPr>
          <w:rFonts w:ascii="Tahoma" w:hAnsi="Tahoma" w:cs="Tahoma"/>
        </w:rPr>
      </w:pPr>
      <w:r w:rsidRPr="00846C67">
        <w:rPr>
          <w:rStyle w:val="eop"/>
          <w:rFonts w:ascii="Tahoma" w:hAnsi="Tahoma" w:cs="Tahoma"/>
          <w:color w:val="000000"/>
        </w:rPr>
        <w:t> </w:t>
      </w:r>
    </w:p>
    <w:p w14:paraId="184853CE" w14:textId="4D1F5406" w:rsidR="00B5475E" w:rsidRPr="00846C67" w:rsidRDefault="00B5475E" w:rsidP="00846C67">
      <w:pPr>
        <w:pStyle w:val="paragraph"/>
        <w:spacing w:before="0" w:beforeAutospacing="0" w:after="0" w:afterAutospacing="0" w:line="276" w:lineRule="auto"/>
        <w:ind w:firstLine="708"/>
        <w:jc w:val="both"/>
        <w:textAlignment w:val="baseline"/>
        <w:rPr>
          <w:rFonts w:ascii="Tahoma" w:hAnsi="Tahoma" w:cs="Tahoma"/>
          <w:color w:val="000000" w:themeColor="text1"/>
          <w:u w:val="single"/>
        </w:rPr>
      </w:pPr>
      <w:r w:rsidRPr="00846C67">
        <w:rPr>
          <w:rStyle w:val="normaltextrun"/>
          <w:rFonts w:ascii="Tahoma" w:hAnsi="Tahoma" w:cs="Tahoma"/>
          <w:color w:val="000000"/>
          <w:lang w:val="es-ES"/>
        </w:rPr>
        <w:t>Por otra parte, </w:t>
      </w:r>
      <w:r w:rsidRPr="00846C67">
        <w:rPr>
          <w:rStyle w:val="normaltextrun"/>
          <w:rFonts w:ascii="Tahoma" w:hAnsi="Tahoma" w:cs="Tahoma"/>
          <w:color w:val="000000" w:themeColor="text1"/>
          <w:lang w:val="es-ES"/>
        </w:rPr>
        <w:t>el Ministerio Público </w:t>
      </w:r>
      <w:r w:rsidR="001D3073" w:rsidRPr="00846C67">
        <w:rPr>
          <w:rStyle w:val="normaltextrun"/>
          <w:rFonts w:ascii="Tahoma" w:hAnsi="Tahoma" w:cs="Tahoma"/>
          <w:color w:val="000000" w:themeColor="text1"/>
          <w:lang w:val="es-ES"/>
        </w:rPr>
        <w:t xml:space="preserve">NO </w:t>
      </w:r>
      <w:r w:rsidRPr="00846C67">
        <w:rPr>
          <w:rStyle w:val="normaltextrun"/>
          <w:rFonts w:ascii="Tahoma" w:hAnsi="Tahoma" w:cs="Tahoma"/>
          <w:color w:val="000000" w:themeColor="text1"/>
          <w:lang w:val="es-ES"/>
        </w:rPr>
        <w:t xml:space="preserve">conceptuó que en este </w:t>
      </w:r>
      <w:r w:rsidR="001D3073" w:rsidRPr="00846C67">
        <w:rPr>
          <w:rStyle w:val="normaltextrun"/>
          <w:rFonts w:ascii="Tahoma" w:hAnsi="Tahoma" w:cs="Tahoma"/>
          <w:color w:val="000000" w:themeColor="text1"/>
          <w:lang w:val="es-ES"/>
        </w:rPr>
        <w:t>asunto.</w:t>
      </w:r>
    </w:p>
    <w:p w14:paraId="6B699379" w14:textId="77777777" w:rsidR="00B5475E" w:rsidRPr="00846C67" w:rsidRDefault="00B5475E" w:rsidP="00846C67">
      <w:pPr>
        <w:spacing w:line="276" w:lineRule="auto"/>
        <w:ind w:firstLine="708"/>
        <w:rPr>
          <w:rFonts w:ascii="Tahoma" w:hAnsi="Tahoma" w:cs="Tahoma"/>
          <w:sz w:val="24"/>
          <w:szCs w:val="24"/>
          <w:lang w:val="es-CO"/>
        </w:rPr>
      </w:pPr>
    </w:p>
    <w:p w14:paraId="7F78F71E" w14:textId="77777777" w:rsidR="00B5475E" w:rsidRPr="00846C67" w:rsidRDefault="00B5475E" w:rsidP="00846C67">
      <w:pPr>
        <w:pStyle w:val="paragraph"/>
        <w:numPr>
          <w:ilvl w:val="0"/>
          <w:numId w:val="2"/>
        </w:numPr>
        <w:spacing w:before="0" w:beforeAutospacing="0" w:after="0" w:afterAutospacing="0" w:line="276" w:lineRule="auto"/>
        <w:ind w:left="0" w:firstLine="0"/>
        <w:jc w:val="center"/>
        <w:textAlignment w:val="baseline"/>
        <w:rPr>
          <w:rFonts w:ascii="Tahoma" w:hAnsi="Tahoma" w:cs="Tahoma"/>
        </w:rPr>
      </w:pPr>
      <w:r w:rsidRPr="00846C67">
        <w:rPr>
          <w:rStyle w:val="normaltextrun"/>
          <w:rFonts w:ascii="Tahoma" w:hAnsi="Tahoma" w:cs="Tahoma"/>
          <w:b/>
          <w:bCs/>
        </w:rPr>
        <w:t>Problemas jurídicos por resolver</w:t>
      </w:r>
    </w:p>
    <w:p w14:paraId="09AF38FC" w14:textId="77777777" w:rsidR="00B5475E" w:rsidRPr="00846C67" w:rsidRDefault="00B5475E" w:rsidP="00846C67">
      <w:pPr>
        <w:pStyle w:val="paragraph"/>
        <w:spacing w:before="0" w:beforeAutospacing="0" w:after="0" w:afterAutospacing="0" w:line="276" w:lineRule="auto"/>
        <w:textAlignment w:val="baseline"/>
        <w:rPr>
          <w:rFonts w:ascii="Tahoma" w:hAnsi="Tahoma" w:cs="Tahoma"/>
        </w:rPr>
      </w:pPr>
      <w:r w:rsidRPr="00846C67">
        <w:rPr>
          <w:rStyle w:val="eop"/>
          <w:rFonts w:ascii="Tahoma" w:hAnsi="Tahoma" w:cs="Tahoma"/>
        </w:rPr>
        <w:t> </w:t>
      </w:r>
    </w:p>
    <w:p w14:paraId="30EC14F9" w14:textId="77777777" w:rsidR="00F7005F" w:rsidRPr="00846C67" w:rsidRDefault="00F7005F" w:rsidP="00846C67">
      <w:pPr>
        <w:widowControl w:val="0"/>
        <w:autoSpaceDE w:val="0"/>
        <w:autoSpaceDN w:val="0"/>
        <w:adjustRightInd w:val="0"/>
        <w:spacing w:line="276" w:lineRule="auto"/>
        <w:ind w:firstLine="708"/>
        <w:rPr>
          <w:rStyle w:val="normaltextrun"/>
          <w:rFonts w:ascii="Tahoma" w:hAnsi="Tahoma" w:cs="Tahoma"/>
          <w:sz w:val="24"/>
          <w:szCs w:val="24"/>
        </w:rPr>
      </w:pPr>
      <w:r w:rsidRPr="00846C67">
        <w:rPr>
          <w:rStyle w:val="normaltextrun"/>
          <w:rFonts w:ascii="Tahoma" w:hAnsi="Tahoma" w:cs="Tahoma"/>
          <w:sz w:val="24"/>
          <w:szCs w:val="24"/>
        </w:rPr>
        <w:t xml:space="preserve">De acuerdo a los argumentos expuestos en la sentencia de primera instancia y los fundamentos de la apelación, le corresponde a la Sala resolver los siguientes problemas jurídicos: </w:t>
      </w:r>
    </w:p>
    <w:p w14:paraId="6BED6C7F" w14:textId="77777777" w:rsidR="00F7005F" w:rsidRPr="00846C67" w:rsidRDefault="00F7005F" w:rsidP="00846C67">
      <w:pPr>
        <w:widowControl w:val="0"/>
        <w:autoSpaceDE w:val="0"/>
        <w:autoSpaceDN w:val="0"/>
        <w:adjustRightInd w:val="0"/>
        <w:spacing w:line="276" w:lineRule="auto"/>
        <w:ind w:firstLine="0"/>
        <w:rPr>
          <w:rStyle w:val="normaltextrun"/>
          <w:rFonts w:ascii="Tahoma" w:hAnsi="Tahoma" w:cs="Tahoma"/>
          <w:sz w:val="24"/>
          <w:szCs w:val="24"/>
        </w:rPr>
      </w:pPr>
    </w:p>
    <w:p w14:paraId="0E682E63" w14:textId="77777777" w:rsidR="00F7005F" w:rsidRPr="00846C67" w:rsidRDefault="00F7005F" w:rsidP="00846C67">
      <w:pPr>
        <w:pStyle w:val="Prrafodelista"/>
        <w:widowControl w:val="0"/>
        <w:numPr>
          <w:ilvl w:val="0"/>
          <w:numId w:val="7"/>
        </w:numPr>
        <w:tabs>
          <w:tab w:val="left" w:pos="993"/>
        </w:tabs>
        <w:autoSpaceDE w:val="0"/>
        <w:autoSpaceDN w:val="0"/>
        <w:adjustRightInd w:val="0"/>
        <w:spacing w:line="276" w:lineRule="auto"/>
        <w:ind w:left="0" w:firstLine="709"/>
        <w:jc w:val="both"/>
        <w:rPr>
          <w:rFonts w:ascii="Tahoma" w:hAnsi="Tahoma" w:cs="Tahoma"/>
          <w:bCs/>
        </w:rPr>
      </w:pPr>
      <w:r w:rsidRPr="00846C67">
        <w:rPr>
          <w:rFonts w:ascii="Tahoma" w:hAnsi="Tahoma" w:cs="Tahoma"/>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5A66DF34" w14:textId="77777777" w:rsidR="00F7005F" w:rsidRPr="00846C67" w:rsidRDefault="00F7005F" w:rsidP="00846C67">
      <w:pPr>
        <w:pStyle w:val="Prrafodelista"/>
        <w:widowControl w:val="0"/>
        <w:tabs>
          <w:tab w:val="left" w:pos="993"/>
        </w:tabs>
        <w:autoSpaceDE w:val="0"/>
        <w:autoSpaceDN w:val="0"/>
        <w:adjustRightInd w:val="0"/>
        <w:spacing w:line="276" w:lineRule="auto"/>
        <w:ind w:left="0" w:firstLine="709"/>
        <w:jc w:val="both"/>
        <w:rPr>
          <w:rFonts w:ascii="Tahoma" w:hAnsi="Tahoma" w:cs="Tahoma"/>
          <w:bCs/>
        </w:rPr>
      </w:pPr>
    </w:p>
    <w:p w14:paraId="4DC85552" w14:textId="77777777" w:rsidR="00F7005F" w:rsidRPr="00846C67" w:rsidRDefault="00F7005F" w:rsidP="00846C67">
      <w:pPr>
        <w:pStyle w:val="Prrafodelista"/>
        <w:widowControl w:val="0"/>
        <w:numPr>
          <w:ilvl w:val="0"/>
          <w:numId w:val="7"/>
        </w:numPr>
        <w:tabs>
          <w:tab w:val="left" w:pos="993"/>
        </w:tabs>
        <w:autoSpaceDE w:val="0"/>
        <w:autoSpaceDN w:val="0"/>
        <w:adjustRightInd w:val="0"/>
        <w:spacing w:line="276" w:lineRule="auto"/>
        <w:ind w:left="0" w:firstLine="709"/>
        <w:jc w:val="both"/>
        <w:rPr>
          <w:rFonts w:ascii="Tahoma" w:hAnsi="Tahoma" w:cs="Tahoma"/>
        </w:rPr>
      </w:pPr>
      <w:r w:rsidRPr="00846C67">
        <w:rPr>
          <w:rFonts w:ascii="Tahoma" w:hAnsi="Tahoma" w:cs="Tahoma"/>
        </w:rPr>
        <w:t xml:space="preserve">Definir si para dar por cumplido el deber de información de las AFP es suficiente el diligenciamiento del formulario de afiliación. En este punto también se deberá precisar si la suscripción de varios formularios de afiliación dentro del mismo régimen de ahorro individual, convalida el primer traslado del RPM al </w:t>
      </w:r>
      <w:proofErr w:type="spellStart"/>
      <w:r w:rsidRPr="00846C67">
        <w:rPr>
          <w:rFonts w:ascii="Tahoma" w:hAnsi="Tahoma" w:cs="Tahoma"/>
        </w:rPr>
        <w:t>RAIS</w:t>
      </w:r>
      <w:proofErr w:type="spellEnd"/>
      <w:r w:rsidRPr="00846C67">
        <w:rPr>
          <w:rFonts w:ascii="Tahoma" w:hAnsi="Tahoma" w:cs="Tahoma"/>
        </w:rPr>
        <w:t xml:space="preserve">. </w:t>
      </w:r>
    </w:p>
    <w:p w14:paraId="378DBBF6" w14:textId="77777777" w:rsidR="00F7005F" w:rsidRPr="00846C67" w:rsidRDefault="00F7005F" w:rsidP="00846C67">
      <w:pPr>
        <w:pStyle w:val="Prrafodelista"/>
        <w:widowControl w:val="0"/>
        <w:tabs>
          <w:tab w:val="left" w:pos="993"/>
        </w:tabs>
        <w:autoSpaceDE w:val="0"/>
        <w:autoSpaceDN w:val="0"/>
        <w:adjustRightInd w:val="0"/>
        <w:spacing w:line="276" w:lineRule="auto"/>
        <w:ind w:left="0" w:firstLine="709"/>
        <w:jc w:val="both"/>
        <w:rPr>
          <w:rFonts w:ascii="Tahoma" w:hAnsi="Tahoma" w:cs="Tahoma"/>
        </w:rPr>
      </w:pPr>
    </w:p>
    <w:p w14:paraId="197DFDF6" w14:textId="77777777" w:rsidR="00F7005F" w:rsidRPr="00846C67" w:rsidRDefault="00F7005F" w:rsidP="00846C67">
      <w:pPr>
        <w:pStyle w:val="Prrafodelista"/>
        <w:widowControl w:val="0"/>
        <w:numPr>
          <w:ilvl w:val="0"/>
          <w:numId w:val="7"/>
        </w:numPr>
        <w:tabs>
          <w:tab w:val="left" w:pos="993"/>
        </w:tabs>
        <w:autoSpaceDE w:val="0"/>
        <w:autoSpaceDN w:val="0"/>
        <w:adjustRightInd w:val="0"/>
        <w:spacing w:line="276" w:lineRule="auto"/>
        <w:ind w:left="0" w:firstLine="709"/>
        <w:jc w:val="both"/>
        <w:rPr>
          <w:rFonts w:ascii="Tahoma" w:hAnsi="Tahoma" w:cs="Tahoma"/>
        </w:rPr>
      </w:pPr>
      <w:r w:rsidRPr="00846C67">
        <w:rPr>
          <w:rFonts w:ascii="Tahoma" w:hAnsi="Tahoma" w:cs="Tahoma"/>
        </w:rPr>
        <w:t xml:space="preserve">Determinar la carga probatoria que les corresponde a cada una de las partes cuando está en discusión la eficacia del traslado entre regímenes pensionales. </w:t>
      </w:r>
    </w:p>
    <w:p w14:paraId="1A5A05FC" w14:textId="77777777" w:rsidR="00F7005F" w:rsidRPr="00846C67" w:rsidRDefault="00F7005F" w:rsidP="00846C67">
      <w:pPr>
        <w:pStyle w:val="Prrafodelista"/>
        <w:widowControl w:val="0"/>
        <w:tabs>
          <w:tab w:val="left" w:pos="993"/>
        </w:tabs>
        <w:autoSpaceDE w:val="0"/>
        <w:autoSpaceDN w:val="0"/>
        <w:adjustRightInd w:val="0"/>
        <w:spacing w:line="276" w:lineRule="auto"/>
        <w:ind w:left="0" w:firstLine="709"/>
        <w:jc w:val="both"/>
        <w:rPr>
          <w:rFonts w:ascii="Tahoma" w:hAnsi="Tahoma" w:cs="Tahoma"/>
        </w:rPr>
      </w:pPr>
    </w:p>
    <w:p w14:paraId="118491AC" w14:textId="184ECE10" w:rsidR="00F7005F" w:rsidRPr="00846C67" w:rsidRDefault="00F7005F" w:rsidP="00846C67">
      <w:pPr>
        <w:pStyle w:val="Prrafodelista"/>
        <w:widowControl w:val="0"/>
        <w:numPr>
          <w:ilvl w:val="0"/>
          <w:numId w:val="7"/>
        </w:numPr>
        <w:tabs>
          <w:tab w:val="left" w:pos="993"/>
        </w:tabs>
        <w:autoSpaceDE w:val="0"/>
        <w:autoSpaceDN w:val="0"/>
        <w:adjustRightInd w:val="0"/>
        <w:spacing w:line="276" w:lineRule="auto"/>
        <w:ind w:left="0" w:firstLine="709"/>
        <w:jc w:val="both"/>
        <w:rPr>
          <w:rFonts w:ascii="Tahoma" w:hAnsi="Tahoma" w:cs="Tahoma"/>
          <w:b/>
        </w:rPr>
      </w:pPr>
      <w:r w:rsidRPr="00846C67">
        <w:rPr>
          <w:rFonts w:ascii="Tahoma" w:hAnsi="Tahoma" w:cs="Tahoma"/>
        </w:rPr>
        <w:t>Determinar si cuando se declara la ineficacia del traslado, hay lugar a ordenar a la AFP la devolución de las cuotas de administración</w:t>
      </w:r>
      <w:r w:rsidR="00ED4866" w:rsidRPr="00846C67">
        <w:rPr>
          <w:rFonts w:ascii="Tahoma" w:hAnsi="Tahoma" w:cs="Tahoma"/>
        </w:rPr>
        <w:t xml:space="preserve"> debidamente </w:t>
      </w:r>
      <w:r w:rsidR="00910A3B" w:rsidRPr="00846C67">
        <w:rPr>
          <w:rFonts w:ascii="Tahoma" w:hAnsi="Tahoma" w:cs="Tahoma"/>
        </w:rPr>
        <w:t>i</w:t>
      </w:r>
      <w:r w:rsidR="00ED4866" w:rsidRPr="00846C67">
        <w:rPr>
          <w:rFonts w:ascii="Tahoma" w:hAnsi="Tahoma" w:cs="Tahoma"/>
        </w:rPr>
        <w:t>ndexadas</w:t>
      </w:r>
      <w:r w:rsidRPr="00846C67">
        <w:rPr>
          <w:rFonts w:ascii="Tahoma" w:hAnsi="Tahoma" w:cs="Tahoma"/>
        </w:rPr>
        <w:t>.</w:t>
      </w:r>
    </w:p>
    <w:p w14:paraId="0AA46672" w14:textId="77777777" w:rsidR="00F7005F" w:rsidRPr="00846C67" w:rsidRDefault="00F7005F" w:rsidP="00846C67">
      <w:pPr>
        <w:pStyle w:val="Prrafodelista"/>
        <w:widowControl w:val="0"/>
        <w:tabs>
          <w:tab w:val="left" w:pos="993"/>
        </w:tabs>
        <w:autoSpaceDE w:val="0"/>
        <w:autoSpaceDN w:val="0"/>
        <w:adjustRightInd w:val="0"/>
        <w:spacing w:line="276" w:lineRule="auto"/>
        <w:ind w:left="0" w:firstLine="709"/>
        <w:jc w:val="both"/>
        <w:rPr>
          <w:rFonts w:ascii="Tahoma" w:hAnsi="Tahoma" w:cs="Tahoma"/>
          <w:b/>
        </w:rPr>
      </w:pPr>
    </w:p>
    <w:p w14:paraId="25D53C04" w14:textId="6A7A32FB" w:rsidR="00F7005F" w:rsidRPr="00846C67" w:rsidRDefault="00F7005F" w:rsidP="00846C67">
      <w:pPr>
        <w:pStyle w:val="Prrafodelista"/>
        <w:widowControl w:val="0"/>
        <w:numPr>
          <w:ilvl w:val="0"/>
          <w:numId w:val="7"/>
        </w:numPr>
        <w:tabs>
          <w:tab w:val="left" w:pos="993"/>
        </w:tabs>
        <w:autoSpaceDE w:val="0"/>
        <w:autoSpaceDN w:val="0"/>
        <w:adjustRightInd w:val="0"/>
        <w:spacing w:line="276" w:lineRule="auto"/>
        <w:ind w:left="0" w:firstLine="709"/>
        <w:jc w:val="both"/>
        <w:rPr>
          <w:rFonts w:ascii="Tahoma" w:hAnsi="Tahoma" w:cs="Tahoma"/>
        </w:rPr>
      </w:pPr>
      <w:r w:rsidRPr="00846C67">
        <w:rPr>
          <w:rFonts w:ascii="Tahoma" w:hAnsi="Tahoma" w:cs="Tahoma"/>
        </w:rPr>
        <w:t>Analizar si quedó probado en el proceso que la parte demandante recibió de parte de la AFP demandada la asesoría e información suficiente y necesaria para hacer el cambio de régimen.</w:t>
      </w:r>
    </w:p>
    <w:p w14:paraId="1B18BBA3" w14:textId="77777777" w:rsidR="008905F4" w:rsidRPr="00846C67" w:rsidRDefault="008905F4" w:rsidP="00846C67">
      <w:pPr>
        <w:pStyle w:val="Prrafodelista"/>
        <w:spacing w:line="276" w:lineRule="auto"/>
        <w:rPr>
          <w:rFonts w:ascii="Tahoma" w:hAnsi="Tahoma" w:cs="Tahoma"/>
        </w:rPr>
      </w:pPr>
    </w:p>
    <w:p w14:paraId="092F37D0" w14:textId="77777777" w:rsidR="008905F4" w:rsidRPr="00846C67" w:rsidRDefault="008905F4" w:rsidP="00846C67">
      <w:pPr>
        <w:pStyle w:val="Prrafodelista"/>
        <w:widowControl w:val="0"/>
        <w:numPr>
          <w:ilvl w:val="0"/>
          <w:numId w:val="7"/>
        </w:numPr>
        <w:tabs>
          <w:tab w:val="left" w:pos="993"/>
        </w:tabs>
        <w:autoSpaceDE w:val="0"/>
        <w:autoSpaceDN w:val="0"/>
        <w:adjustRightInd w:val="0"/>
        <w:spacing w:line="276" w:lineRule="auto"/>
        <w:ind w:left="0" w:firstLine="709"/>
        <w:jc w:val="both"/>
        <w:rPr>
          <w:rFonts w:ascii="Tahoma" w:hAnsi="Tahoma" w:cs="Tahoma"/>
        </w:rPr>
      </w:pPr>
      <w:r w:rsidRPr="00846C67">
        <w:rPr>
          <w:rFonts w:ascii="Tahoma" w:hAnsi="Tahoma" w:cs="Tahoma"/>
        </w:rPr>
        <w:t>Definir si en virtud del grado jurisdiccional de consulta en favor de COLPENSIONES se puede ordenar la devolución de otros valores por parte de la(s) AFP demandada(s), con cargo a sus propios recursos y debidamente indexados.</w:t>
      </w:r>
    </w:p>
    <w:p w14:paraId="33526E82" w14:textId="77777777" w:rsidR="007003F3" w:rsidRPr="00846C67" w:rsidRDefault="007003F3" w:rsidP="00846C67">
      <w:pPr>
        <w:pStyle w:val="Prrafodelista"/>
        <w:widowControl w:val="0"/>
        <w:autoSpaceDE w:val="0"/>
        <w:autoSpaceDN w:val="0"/>
        <w:adjustRightInd w:val="0"/>
        <w:spacing w:line="276" w:lineRule="auto"/>
        <w:ind w:left="1080"/>
        <w:jc w:val="both"/>
        <w:rPr>
          <w:rFonts w:ascii="Tahoma" w:hAnsi="Tahoma" w:cs="Tahoma"/>
          <w:b/>
        </w:rPr>
      </w:pPr>
    </w:p>
    <w:p w14:paraId="765289AF" w14:textId="45D06936" w:rsidR="00F7005F" w:rsidRPr="00846C67" w:rsidRDefault="00F7005F" w:rsidP="00846C67">
      <w:pPr>
        <w:pStyle w:val="Prrafodelista"/>
        <w:widowControl w:val="0"/>
        <w:numPr>
          <w:ilvl w:val="0"/>
          <w:numId w:val="2"/>
        </w:numPr>
        <w:tabs>
          <w:tab w:val="left" w:pos="284"/>
        </w:tabs>
        <w:autoSpaceDE w:val="0"/>
        <w:autoSpaceDN w:val="0"/>
        <w:adjustRightInd w:val="0"/>
        <w:spacing w:line="276" w:lineRule="auto"/>
        <w:ind w:left="0" w:firstLine="0"/>
        <w:jc w:val="center"/>
        <w:rPr>
          <w:rFonts w:ascii="Tahoma" w:hAnsi="Tahoma" w:cs="Tahoma"/>
          <w:b/>
        </w:rPr>
      </w:pPr>
      <w:r w:rsidRPr="00846C67">
        <w:rPr>
          <w:rFonts w:ascii="Tahoma" w:hAnsi="Tahoma" w:cs="Tahoma"/>
          <w:b/>
        </w:rPr>
        <w:t>Consideraciones</w:t>
      </w:r>
    </w:p>
    <w:p w14:paraId="5778EBAB" w14:textId="77777777" w:rsidR="00F7005F" w:rsidRPr="00846C67" w:rsidRDefault="00F7005F" w:rsidP="00846C67">
      <w:pPr>
        <w:widowControl w:val="0"/>
        <w:autoSpaceDE w:val="0"/>
        <w:autoSpaceDN w:val="0"/>
        <w:adjustRightInd w:val="0"/>
        <w:spacing w:line="276" w:lineRule="auto"/>
        <w:jc w:val="center"/>
        <w:rPr>
          <w:rFonts w:ascii="Tahoma" w:hAnsi="Tahoma" w:cs="Tahoma"/>
          <w:b/>
          <w:sz w:val="24"/>
          <w:szCs w:val="24"/>
        </w:rPr>
      </w:pPr>
    </w:p>
    <w:p w14:paraId="54F5EAF1" w14:textId="22C0980D" w:rsidR="00F7005F" w:rsidRPr="00846C67" w:rsidRDefault="00F7005F" w:rsidP="00846C67">
      <w:pPr>
        <w:pStyle w:val="Prrafodelista"/>
        <w:numPr>
          <w:ilvl w:val="1"/>
          <w:numId w:val="2"/>
        </w:numPr>
        <w:spacing w:line="276" w:lineRule="auto"/>
        <w:ind w:left="0" w:firstLine="709"/>
        <w:jc w:val="both"/>
        <w:rPr>
          <w:rFonts w:ascii="Tahoma" w:hAnsi="Tahoma" w:cs="Tahoma"/>
          <w:b/>
        </w:rPr>
      </w:pPr>
      <w:r w:rsidRPr="00846C67">
        <w:rPr>
          <w:rFonts w:ascii="Tahoma" w:hAnsi="Tahoma" w:cs="Tahoma"/>
          <w:b/>
        </w:rPr>
        <w:t xml:space="preserve">Precedente vertical: la tesis de la Corte Suprema de Justicia respecto al tema de la ineficacia del traslado constituye doctrina probable </w:t>
      </w:r>
    </w:p>
    <w:p w14:paraId="794307FF" w14:textId="77777777" w:rsidR="00F7005F" w:rsidRPr="00846C67" w:rsidRDefault="00F7005F" w:rsidP="00846C67">
      <w:pPr>
        <w:pStyle w:val="Sinespaciado"/>
        <w:spacing w:line="276" w:lineRule="auto"/>
        <w:rPr>
          <w:rFonts w:ascii="Tahoma" w:hAnsi="Tahoma" w:cs="Tahoma"/>
        </w:rPr>
      </w:pPr>
    </w:p>
    <w:p w14:paraId="1B96C9C9" w14:textId="77777777" w:rsidR="00F7005F" w:rsidRPr="00846C67" w:rsidRDefault="00F7005F" w:rsidP="00846C67">
      <w:pPr>
        <w:spacing w:line="276" w:lineRule="auto"/>
        <w:rPr>
          <w:rFonts w:ascii="Tahoma" w:hAnsi="Tahoma" w:cs="Tahoma"/>
          <w:spacing w:val="-4"/>
          <w:sz w:val="24"/>
          <w:szCs w:val="24"/>
          <w:lang w:val="es-CO"/>
        </w:rPr>
      </w:pPr>
      <w:r w:rsidRPr="00846C67">
        <w:rPr>
          <w:rFonts w:ascii="Tahoma" w:hAnsi="Tahoma" w:cs="Tahoma"/>
          <w:sz w:val="24"/>
          <w:szCs w:val="24"/>
        </w:rPr>
        <w:t xml:space="preserve">En la actualidad existe </w:t>
      </w:r>
      <w:r w:rsidRPr="00846C67">
        <w:rPr>
          <w:rFonts w:ascii="Tahoma" w:hAnsi="Tahoma" w:cs="Tahoma"/>
          <w:b/>
          <w:sz w:val="24"/>
          <w:szCs w:val="24"/>
        </w:rPr>
        <w:t>doctrina probable</w:t>
      </w:r>
      <w:r w:rsidRPr="00846C67">
        <w:rPr>
          <w:rFonts w:ascii="Tahoma" w:hAnsi="Tahoma" w:cs="Tahoma"/>
          <w:sz w:val="24"/>
          <w:szCs w:val="24"/>
        </w:rPr>
        <w:t xml:space="preserve"> respecto a la ineficacia de los traslados de regímenes, por cuanto la Sala de Casación Laboral ha proferido sobre el tema un número considerable de sentencias (más de 40), entre otras, las siguientes: </w:t>
      </w:r>
    </w:p>
    <w:p w14:paraId="02C7D926" w14:textId="77777777" w:rsidR="00F7005F" w:rsidRPr="00846C67" w:rsidRDefault="00F7005F" w:rsidP="00846C67">
      <w:pPr>
        <w:pStyle w:val="Prrafodelista"/>
        <w:spacing w:line="276" w:lineRule="auto"/>
        <w:jc w:val="both"/>
        <w:rPr>
          <w:rFonts w:ascii="Tahoma" w:hAnsi="Tahoma" w:cs="Tahoma"/>
        </w:rPr>
      </w:pPr>
    </w:p>
    <w:p w14:paraId="47E231F7" w14:textId="77777777" w:rsidR="00F7005F" w:rsidRPr="00846C67" w:rsidRDefault="00F7005F" w:rsidP="00846C67">
      <w:pPr>
        <w:pStyle w:val="Prrafodelista"/>
        <w:spacing w:line="276" w:lineRule="auto"/>
        <w:ind w:left="0" w:firstLine="708"/>
        <w:jc w:val="both"/>
        <w:rPr>
          <w:rFonts w:ascii="Tahoma" w:hAnsi="Tahoma" w:cs="Tahoma"/>
          <w:color w:val="000000"/>
        </w:rPr>
      </w:pPr>
      <w:proofErr w:type="spellStart"/>
      <w:r w:rsidRPr="00846C67">
        <w:rPr>
          <w:rFonts w:ascii="Tahoma" w:hAnsi="Tahoma" w:cs="Tahoma"/>
          <w:bCs/>
        </w:rPr>
        <w:t>SL</w:t>
      </w:r>
      <w:proofErr w:type="spellEnd"/>
      <w:r w:rsidRPr="00846C67">
        <w:rPr>
          <w:rFonts w:ascii="Tahoma" w:hAnsi="Tahoma" w:cs="Tahoma"/>
          <w:bCs/>
        </w:rPr>
        <w:t xml:space="preserve"> 31989 del 9 sep. 2008, </w:t>
      </w:r>
      <w:proofErr w:type="spellStart"/>
      <w:r w:rsidRPr="00846C67">
        <w:rPr>
          <w:rFonts w:ascii="Tahoma" w:hAnsi="Tahoma" w:cs="Tahoma"/>
        </w:rPr>
        <w:t>SL</w:t>
      </w:r>
      <w:proofErr w:type="spellEnd"/>
      <w:r w:rsidRPr="00846C67">
        <w:rPr>
          <w:rFonts w:ascii="Tahoma" w:hAnsi="Tahoma" w:cs="Tahoma"/>
        </w:rPr>
        <w:t xml:space="preserve"> 31314 9 sep. 2008, </w:t>
      </w:r>
      <w:proofErr w:type="spellStart"/>
      <w:r w:rsidRPr="00846C67">
        <w:rPr>
          <w:rFonts w:ascii="Tahoma" w:hAnsi="Tahoma" w:cs="Tahoma"/>
        </w:rPr>
        <w:t>SL</w:t>
      </w:r>
      <w:proofErr w:type="spellEnd"/>
      <w:r w:rsidRPr="00846C67">
        <w:rPr>
          <w:rFonts w:ascii="Tahoma" w:hAnsi="Tahoma" w:cs="Tahoma"/>
        </w:rPr>
        <w:t xml:space="preserve"> 33083 22 nov. 2011, </w:t>
      </w:r>
      <w:proofErr w:type="spellStart"/>
      <w:r w:rsidRPr="00846C67">
        <w:rPr>
          <w:rFonts w:ascii="Tahoma" w:hAnsi="Tahoma" w:cs="Tahoma"/>
        </w:rPr>
        <w:t>SL12136</w:t>
      </w:r>
      <w:proofErr w:type="spellEnd"/>
      <w:r w:rsidRPr="00846C67">
        <w:rPr>
          <w:rFonts w:ascii="Tahoma" w:hAnsi="Tahoma" w:cs="Tahoma"/>
        </w:rPr>
        <w:t xml:space="preserve">-2014, </w:t>
      </w:r>
      <w:proofErr w:type="spellStart"/>
      <w:r w:rsidRPr="00846C67">
        <w:rPr>
          <w:rFonts w:ascii="Tahoma" w:hAnsi="Tahoma" w:cs="Tahoma"/>
        </w:rPr>
        <w:t>SL19447</w:t>
      </w:r>
      <w:proofErr w:type="spellEnd"/>
      <w:r w:rsidRPr="00846C67">
        <w:rPr>
          <w:rFonts w:ascii="Tahoma" w:hAnsi="Tahoma" w:cs="Tahoma"/>
        </w:rPr>
        <w:t xml:space="preserve">-2017, </w:t>
      </w:r>
      <w:proofErr w:type="spellStart"/>
      <w:r w:rsidRPr="00846C67">
        <w:rPr>
          <w:rFonts w:ascii="Tahoma" w:hAnsi="Tahoma" w:cs="Tahoma"/>
        </w:rPr>
        <w:t>SL4964</w:t>
      </w:r>
      <w:proofErr w:type="spellEnd"/>
      <w:r w:rsidRPr="00846C67">
        <w:rPr>
          <w:rFonts w:ascii="Tahoma" w:hAnsi="Tahoma" w:cs="Tahoma"/>
        </w:rPr>
        <w:t xml:space="preserve">-2018, CSJ </w:t>
      </w:r>
      <w:proofErr w:type="spellStart"/>
      <w:r w:rsidRPr="00846C67">
        <w:rPr>
          <w:rFonts w:ascii="Tahoma" w:hAnsi="Tahoma" w:cs="Tahoma"/>
        </w:rPr>
        <w:t>SL4989</w:t>
      </w:r>
      <w:proofErr w:type="spellEnd"/>
      <w:r w:rsidRPr="00846C67">
        <w:rPr>
          <w:rFonts w:ascii="Tahoma" w:hAnsi="Tahoma" w:cs="Tahoma"/>
        </w:rPr>
        <w:t xml:space="preserve">-2018, </w:t>
      </w:r>
      <w:proofErr w:type="spellStart"/>
      <w:r w:rsidRPr="00846C67">
        <w:rPr>
          <w:rFonts w:ascii="Tahoma" w:hAnsi="Tahoma" w:cs="Tahoma"/>
        </w:rPr>
        <w:t>SL1421</w:t>
      </w:r>
      <w:proofErr w:type="spellEnd"/>
      <w:r w:rsidRPr="00846C67">
        <w:rPr>
          <w:rFonts w:ascii="Tahoma" w:hAnsi="Tahoma" w:cs="Tahoma"/>
        </w:rPr>
        <w:t xml:space="preserve">-2019, </w:t>
      </w:r>
      <w:proofErr w:type="spellStart"/>
      <w:r w:rsidRPr="00846C67">
        <w:rPr>
          <w:rFonts w:ascii="Tahoma" w:hAnsi="Tahoma" w:cs="Tahoma"/>
        </w:rPr>
        <w:t>SL1452</w:t>
      </w:r>
      <w:proofErr w:type="spellEnd"/>
      <w:r w:rsidRPr="00846C67">
        <w:rPr>
          <w:rFonts w:ascii="Tahoma" w:hAnsi="Tahoma" w:cs="Tahoma"/>
        </w:rPr>
        <w:t xml:space="preserve">-2019, </w:t>
      </w:r>
      <w:proofErr w:type="spellStart"/>
      <w:r w:rsidRPr="00846C67">
        <w:rPr>
          <w:rFonts w:ascii="Tahoma" w:hAnsi="Tahoma" w:cs="Tahoma"/>
        </w:rPr>
        <w:t>SL1688</w:t>
      </w:r>
      <w:proofErr w:type="spellEnd"/>
      <w:r w:rsidRPr="00846C67">
        <w:rPr>
          <w:rFonts w:ascii="Tahoma" w:hAnsi="Tahoma" w:cs="Tahoma"/>
        </w:rPr>
        <w:t xml:space="preserve">-2019, </w:t>
      </w:r>
      <w:proofErr w:type="spellStart"/>
      <w:r w:rsidRPr="00846C67">
        <w:rPr>
          <w:rFonts w:ascii="Tahoma" w:hAnsi="Tahoma" w:cs="Tahoma"/>
        </w:rPr>
        <w:t>SL1689</w:t>
      </w:r>
      <w:proofErr w:type="spellEnd"/>
      <w:r w:rsidRPr="00846C67">
        <w:rPr>
          <w:rFonts w:ascii="Tahoma" w:hAnsi="Tahoma" w:cs="Tahoma"/>
        </w:rPr>
        <w:t xml:space="preserve">-2019, Sentencia </w:t>
      </w:r>
      <w:proofErr w:type="spellStart"/>
      <w:r w:rsidRPr="00846C67">
        <w:rPr>
          <w:rFonts w:ascii="Tahoma" w:hAnsi="Tahoma" w:cs="Tahoma"/>
        </w:rPr>
        <w:t>SL</w:t>
      </w:r>
      <w:proofErr w:type="spellEnd"/>
      <w:r w:rsidRPr="00846C67">
        <w:rPr>
          <w:rFonts w:ascii="Tahoma" w:hAnsi="Tahoma" w:cs="Tahoma"/>
        </w:rPr>
        <w:t xml:space="preserve"> 373 -2020, Sentencia </w:t>
      </w:r>
      <w:proofErr w:type="spellStart"/>
      <w:r w:rsidRPr="00846C67">
        <w:rPr>
          <w:rFonts w:ascii="Tahoma" w:hAnsi="Tahoma" w:cs="Tahoma"/>
        </w:rPr>
        <w:t>SL</w:t>
      </w:r>
      <w:proofErr w:type="spellEnd"/>
      <w:r w:rsidRPr="00846C67">
        <w:rPr>
          <w:rFonts w:ascii="Tahoma" w:hAnsi="Tahoma" w:cs="Tahoma"/>
        </w:rPr>
        <w:t xml:space="preserve"> 5462-2019, Sentencia </w:t>
      </w:r>
      <w:proofErr w:type="spellStart"/>
      <w:r w:rsidRPr="00846C67">
        <w:rPr>
          <w:rFonts w:ascii="Tahoma" w:hAnsi="Tahoma" w:cs="Tahoma"/>
          <w:color w:val="000000"/>
        </w:rPr>
        <w:t>SL149</w:t>
      </w:r>
      <w:proofErr w:type="spellEnd"/>
      <w:r w:rsidRPr="00846C67">
        <w:rPr>
          <w:rFonts w:ascii="Tahoma" w:hAnsi="Tahoma" w:cs="Tahoma"/>
          <w:color w:val="000000"/>
        </w:rPr>
        <w:t xml:space="preserve">-2020, Sentencia </w:t>
      </w:r>
      <w:proofErr w:type="spellStart"/>
      <w:r w:rsidRPr="00846C67">
        <w:rPr>
          <w:rFonts w:ascii="Tahoma" w:hAnsi="Tahoma" w:cs="Tahoma"/>
          <w:color w:val="000000"/>
        </w:rPr>
        <w:t>SL5533</w:t>
      </w:r>
      <w:proofErr w:type="spellEnd"/>
      <w:r w:rsidRPr="00846C67">
        <w:rPr>
          <w:rFonts w:ascii="Tahoma" w:hAnsi="Tahoma" w:cs="Tahoma"/>
          <w:color w:val="000000"/>
        </w:rPr>
        <w:t xml:space="preserve">-2019, Sentencia </w:t>
      </w:r>
      <w:proofErr w:type="spellStart"/>
      <w:r w:rsidRPr="00846C67">
        <w:rPr>
          <w:rFonts w:ascii="Tahoma" w:hAnsi="Tahoma" w:cs="Tahoma"/>
          <w:color w:val="000000"/>
        </w:rPr>
        <w:t>SL5144</w:t>
      </w:r>
      <w:proofErr w:type="spellEnd"/>
      <w:r w:rsidRPr="00846C67">
        <w:rPr>
          <w:rFonts w:ascii="Tahoma" w:hAnsi="Tahoma" w:cs="Tahoma"/>
          <w:color w:val="000000"/>
        </w:rPr>
        <w:t xml:space="preserve">-2019, Sentencia </w:t>
      </w:r>
      <w:proofErr w:type="spellStart"/>
      <w:r w:rsidRPr="00846C67">
        <w:rPr>
          <w:rFonts w:ascii="Tahoma" w:hAnsi="Tahoma" w:cs="Tahoma"/>
          <w:color w:val="000000"/>
        </w:rPr>
        <w:t>SL4937</w:t>
      </w:r>
      <w:proofErr w:type="spellEnd"/>
      <w:r w:rsidRPr="00846C67">
        <w:rPr>
          <w:rFonts w:ascii="Tahoma" w:hAnsi="Tahoma" w:cs="Tahoma"/>
          <w:color w:val="000000"/>
        </w:rPr>
        <w:t xml:space="preserve">-2019, Sentencia </w:t>
      </w:r>
      <w:proofErr w:type="spellStart"/>
      <w:r w:rsidRPr="00846C67">
        <w:rPr>
          <w:rFonts w:ascii="Tahoma" w:hAnsi="Tahoma" w:cs="Tahoma"/>
          <w:color w:val="000000"/>
        </w:rPr>
        <w:t>SL4426</w:t>
      </w:r>
      <w:proofErr w:type="spellEnd"/>
      <w:r w:rsidRPr="00846C67">
        <w:rPr>
          <w:rFonts w:ascii="Tahoma" w:hAnsi="Tahoma" w:cs="Tahoma"/>
          <w:color w:val="000000"/>
        </w:rPr>
        <w:t xml:space="preserve">-2019, Sentencia </w:t>
      </w:r>
      <w:proofErr w:type="spellStart"/>
      <w:r w:rsidRPr="00846C67">
        <w:rPr>
          <w:rFonts w:ascii="Tahoma" w:hAnsi="Tahoma" w:cs="Tahoma"/>
          <w:color w:val="000000"/>
        </w:rPr>
        <w:t>SL4343</w:t>
      </w:r>
      <w:proofErr w:type="spellEnd"/>
      <w:r w:rsidRPr="00846C67">
        <w:rPr>
          <w:rFonts w:ascii="Tahoma" w:hAnsi="Tahoma" w:cs="Tahoma"/>
          <w:color w:val="000000"/>
        </w:rPr>
        <w:t xml:space="preserve">-2019, Sentencia </w:t>
      </w:r>
      <w:proofErr w:type="spellStart"/>
      <w:r w:rsidRPr="00846C67">
        <w:rPr>
          <w:rFonts w:ascii="Tahoma" w:hAnsi="Tahoma" w:cs="Tahoma"/>
          <w:color w:val="000000"/>
        </w:rPr>
        <w:t>SL4856</w:t>
      </w:r>
      <w:proofErr w:type="spellEnd"/>
      <w:r w:rsidRPr="00846C67">
        <w:rPr>
          <w:rFonts w:ascii="Tahoma" w:hAnsi="Tahoma" w:cs="Tahoma"/>
          <w:color w:val="000000"/>
        </w:rPr>
        <w:t xml:space="preserve">-2019, Sentencia </w:t>
      </w:r>
      <w:proofErr w:type="spellStart"/>
      <w:r w:rsidRPr="00846C67">
        <w:rPr>
          <w:rFonts w:ascii="Tahoma" w:hAnsi="Tahoma" w:cs="Tahoma"/>
          <w:color w:val="000000"/>
        </w:rPr>
        <w:t>STP</w:t>
      </w:r>
      <w:proofErr w:type="spellEnd"/>
      <w:r w:rsidRPr="00846C67">
        <w:rPr>
          <w:rFonts w:ascii="Tahoma" w:hAnsi="Tahoma" w:cs="Tahoma"/>
          <w:color w:val="000000"/>
        </w:rPr>
        <w:t xml:space="preserve"> 2082-2019, Sentencia </w:t>
      </w:r>
      <w:proofErr w:type="spellStart"/>
      <w:r w:rsidRPr="00846C67">
        <w:rPr>
          <w:rFonts w:ascii="Tahoma" w:hAnsi="Tahoma" w:cs="Tahoma"/>
          <w:color w:val="000000"/>
        </w:rPr>
        <w:t>SL4360</w:t>
      </w:r>
      <w:proofErr w:type="spellEnd"/>
      <w:r w:rsidRPr="00846C67">
        <w:rPr>
          <w:rFonts w:ascii="Tahoma" w:hAnsi="Tahoma" w:cs="Tahoma"/>
          <w:color w:val="000000"/>
        </w:rPr>
        <w:t xml:space="preserve">-2019, Sentencia </w:t>
      </w:r>
      <w:proofErr w:type="spellStart"/>
      <w:r w:rsidRPr="00846C67">
        <w:rPr>
          <w:rFonts w:ascii="Tahoma" w:hAnsi="Tahoma" w:cs="Tahoma"/>
          <w:color w:val="000000"/>
        </w:rPr>
        <w:t>SL3852</w:t>
      </w:r>
      <w:proofErr w:type="spellEnd"/>
      <w:r w:rsidRPr="00846C67">
        <w:rPr>
          <w:rFonts w:ascii="Tahoma" w:hAnsi="Tahoma" w:cs="Tahoma"/>
          <w:color w:val="000000"/>
        </w:rPr>
        <w:t xml:space="preserve">-2019, Sentencia </w:t>
      </w:r>
      <w:proofErr w:type="spellStart"/>
      <w:r w:rsidRPr="00846C67">
        <w:rPr>
          <w:rFonts w:ascii="Tahoma" w:hAnsi="Tahoma" w:cs="Tahoma"/>
          <w:color w:val="000000"/>
        </w:rPr>
        <w:t>SL3749</w:t>
      </w:r>
      <w:proofErr w:type="spellEnd"/>
      <w:r w:rsidRPr="00846C67">
        <w:rPr>
          <w:rFonts w:ascii="Tahoma" w:hAnsi="Tahoma" w:cs="Tahoma"/>
          <w:color w:val="000000"/>
        </w:rPr>
        <w:t xml:space="preserve">-2019, Sentencia </w:t>
      </w:r>
      <w:proofErr w:type="spellStart"/>
      <w:r w:rsidRPr="00846C67">
        <w:rPr>
          <w:rFonts w:ascii="Tahoma" w:hAnsi="Tahoma" w:cs="Tahoma"/>
          <w:color w:val="000000"/>
        </w:rPr>
        <w:t>SL3179</w:t>
      </w:r>
      <w:proofErr w:type="spellEnd"/>
      <w:r w:rsidRPr="00846C67">
        <w:rPr>
          <w:rFonts w:ascii="Tahoma" w:hAnsi="Tahoma" w:cs="Tahoma"/>
          <w:color w:val="000000"/>
        </w:rPr>
        <w:t xml:space="preserve">-2019, </w:t>
      </w:r>
      <w:r w:rsidRPr="00846C67">
        <w:rPr>
          <w:rFonts w:ascii="Tahoma" w:hAnsi="Tahoma" w:cs="Tahoma"/>
        </w:rPr>
        <w:t xml:space="preserve"> Sentencia </w:t>
      </w:r>
      <w:proofErr w:type="spellStart"/>
      <w:r w:rsidRPr="00846C67">
        <w:rPr>
          <w:rFonts w:ascii="Tahoma" w:hAnsi="Tahoma" w:cs="Tahoma"/>
        </w:rPr>
        <w:t>SL1838</w:t>
      </w:r>
      <w:proofErr w:type="spellEnd"/>
      <w:r w:rsidRPr="00846C67">
        <w:rPr>
          <w:rFonts w:ascii="Tahoma" w:hAnsi="Tahoma" w:cs="Tahoma"/>
        </w:rPr>
        <w:t xml:space="preserve">-2019, Sentencia </w:t>
      </w:r>
      <w:proofErr w:type="spellStart"/>
      <w:r w:rsidRPr="00846C67">
        <w:rPr>
          <w:rFonts w:ascii="Tahoma" w:hAnsi="Tahoma" w:cs="Tahoma"/>
          <w:color w:val="000000"/>
        </w:rPr>
        <w:t>SL2817</w:t>
      </w:r>
      <w:proofErr w:type="spellEnd"/>
      <w:r w:rsidRPr="00846C67">
        <w:rPr>
          <w:rFonts w:ascii="Tahoma" w:hAnsi="Tahoma" w:cs="Tahoma"/>
          <w:color w:val="000000"/>
        </w:rPr>
        <w:t xml:space="preserve">-2019, Sentencia </w:t>
      </w:r>
      <w:proofErr w:type="spellStart"/>
      <w:r w:rsidRPr="00846C67">
        <w:rPr>
          <w:rFonts w:ascii="Tahoma" w:hAnsi="Tahoma" w:cs="Tahoma"/>
          <w:color w:val="000000"/>
        </w:rPr>
        <w:t>SL771</w:t>
      </w:r>
      <w:proofErr w:type="spellEnd"/>
      <w:r w:rsidRPr="00846C67">
        <w:rPr>
          <w:rFonts w:ascii="Tahoma" w:hAnsi="Tahoma" w:cs="Tahoma"/>
          <w:color w:val="000000"/>
        </w:rPr>
        <w:t xml:space="preserve">-2019, Sentencia </w:t>
      </w:r>
      <w:proofErr w:type="spellStart"/>
      <w:r w:rsidRPr="00846C67">
        <w:rPr>
          <w:rFonts w:ascii="Tahoma" w:hAnsi="Tahoma" w:cs="Tahoma"/>
          <w:color w:val="000000"/>
        </w:rPr>
        <w:t>SL4296</w:t>
      </w:r>
      <w:proofErr w:type="spellEnd"/>
      <w:r w:rsidRPr="00846C67">
        <w:rPr>
          <w:rFonts w:ascii="Tahoma" w:hAnsi="Tahoma" w:cs="Tahoma"/>
          <w:color w:val="000000"/>
        </w:rPr>
        <w:t xml:space="preserve">-2018, Sentencia </w:t>
      </w:r>
      <w:proofErr w:type="spellStart"/>
      <w:r w:rsidRPr="00846C67">
        <w:rPr>
          <w:rFonts w:ascii="Tahoma" w:hAnsi="Tahoma" w:cs="Tahoma"/>
          <w:color w:val="000000"/>
        </w:rPr>
        <w:t>SL2865</w:t>
      </w:r>
      <w:proofErr w:type="spellEnd"/>
      <w:r w:rsidRPr="00846C67">
        <w:rPr>
          <w:rFonts w:ascii="Tahoma" w:hAnsi="Tahoma" w:cs="Tahoma"/>
          <w:color w:val="000000"/>
        </w:rPr>
        <w:t xml:space="preserve">-2019, Sentencia  </w:t>
      </w:r>
      <w:proofErr w:type="spellStart"/>
      <w:r w:rsidRPr="00846C67">
        <w:rPr>
          <w:rFonts w:ascii="Tahoma" w:hAnsi="Tahoma" w:cs="Tahoma"/>
          <w:color w:val="000000"/>
        </w:rPr>
        <w:t>SL2955</w:t>
      </w:r>
      <w:proofErr w:type="spellEnd"/>
      <w:r w:rsidRPr="00846C67">
        <w:rPr>
          <w:rFonts w:ascii="Tahoma" w:hAnsi="Tahoma" w:cs="Tahoma"/>
          <w:color w:val="000000"/>
        </w:rPr>
        <w:t xml:space="preserve">-2019, Sentencia  </w:t>
      </w:r>
      <w:proofErr w:type="spellStart"/>
      <w:r w:rsidRPr="00846C67">
        <w:rPr>
          <w:rFonts w:ascii="Tahoma" w:hAnsi="Tahoma" w:cs="Tahoma"/>
          <w:color w:val="000000"/>
        </w:rPr>
        <w:t>SL2324</w:t>
      </w:r>
      <w:proofErr w:type="spellEnd"/>
      <w:r w:rsidRPr="00846C67">
        <w:rPr>
          <w:rFonts w:ascii="Tahoma" w:hAnsi="Tahoma" w:cs="Tahoma"/>
          <w:color w:val="000000"/>
        </w:rPr>
        <w:t>-2019.</w:t>
      </w:r>
    </w:p>
    <w:p w14:paraId="4BA39C2F" w14:textId="77777777" w:rsidR="00F7005F" w:rsidRPr="00846C67" w:rsidRDefault="00F7005F" w:rsidP="00846C67">
      <w:pPr>
        <w:pStyle w:val="Prrafodelista"/>
        <w:spacing w:line="276" w:lineRule="auto"/>
        <w:ind w:left="0"/>
        <w:jc w:val="both"/>
        <w:rPr>
          <w:rFonts w:ascii="Tahoma" w:hAnsi="Tahoma" w:cs="Tahoma"/>
        </w:rPr>
      </w:pPr>
    </w:p>
    <w:p w14:paraId="5EABA48B" w14:textId="77777777" w:rsidR="00F7005F" w:rsidRPr="00846C67" w:rsidRDefault="00F7005F" w:rsidP="00846C67">
      <w:pPr>
        <w:pStyle w:val="Prrafodelista"/>
        <w:spacing w:line="276" w:lineRule="auto"/>
        <w:ind w:left="0" w:firstLine="708"/>
        <w:jc w:val="both"/>
        <w:rPr>
          <w:rFonts w:ascii="Tahoma" w:hAnsi="Tahoma" w:cs="Tahoma"/>
          <w:spacing w:val="-4"/>
          <w:lang w:val="es-CO"/>
        </w:rPr>
      </w:pPr>
      <w:r w:rsidRPr="00846C67">
        <w:rPr>
          <w:rFonts w:ascii="Tahoma" w:hAnsi="Tahoma" w:cs="Tahoma"/>
        </w:rPr>
        <w:lastRenderedPageBreak/>
        <w:t xml:space="preserve">En términos generales, en todas estas sentencias se determinó </w:t>
      </w:r>
      <w:r w:rsidRPr="00846C67">
        <w:rPr>
          <w:rFonts w:ascii="Tahoma" w:hAnsi="Tahoma" w:cs="Tahoma"/>
          <w:i/>
        </w:rPr>
        <w:t xml:space="preserve">i) </w:t>
      </w:r>
      <w:r w:rsidRPr="00846C67">
        <w:rPr>
          <w:rFonts w:ascii="Tahoma" w:hAnsi="Tahoma" w:cs="Tahoma"/>
        </w:rPr>
        <w:t xml:space="preserve">el alcance del deber de información a cargo de las Administradoras de Fondos de Pensiones, </w:t>
      </w:r>
      <w:r w:rsidRPr="00846C67">
        <w:rPr>
          <w:rFonts w:ascii="Tahoma" w:hAnsi="Tahoma" w:cs="Tahoma"/>
          <w:i/>
        </w:rPr>
        <w:t xml:space="preserve">ii) </w:t>
      </w:r>
      <w:r w:rsidRPr="00846C67">
        <w:rPr>
          <w:rFonts w:ascii="Tahoma" w:hAnsi="Tahoma" w:cs="Tahoma"/>
        </w:rPr>
        <w:t xml:space="preserve">la procedencia de la ineficacia del traslado, </w:t>
      </w:r>
      <w:r w:rsidRPr="00846C67">
        <w:rPr>
          <w:rFonts w:ascii="Tahoma" w:hAnsi="Tahoma" w:cs="Tahoma"/>
          <w:i/>
        </w:rPr>
        <w:t xml:space="preserve">iii) </w:t>
      </w:r>
      <w:r w:rsidRPr="00846C67">
        <w:rPr>
          <w:rFonts w:ascii="Tahoma" w:hAnsi="Tahoma" w:cs="Tahoma"/>
        </w:rPr>
        <w:t>la inversión de la carga de la prueba en favor del afiliado.</w:t>
      </w:r>
      <w:r w:rsidRPr="00846C67">
        <w:rPr>
          <w:rFonts w:ascii="Tahoma" w:hAnsi="Tahoma" w:cs="Tahoma"/>
          <w:spacing w:val="-4"/>
          <w:lang w:val="es-CO"/>
        </w:rPr>
        <w:t xml:space="preserve"> Todos los problemas jurídicos planteados en este asunto, fueron objeto de estudio por parte de la Sala de Casación Laboral, de modo que basta referirnos a su precedente para dar respuesta a los mismos, como veremos a continuación.</w:t>
      </w:r>
    </w:p>
    <w:p w14:paraId="79D450CB" w14:textId="77777777" w:rsidR="00F7005F" w:rsidRPr="00846C67" w:rsidRDefault="00F7005F" w:rsidP="00846C67">
      <w:pPr>
        <w:pStyle w:val="Prrafodelista"/>
        <w:tabs>
          <w:tab w:val="left" w:pos="-720"/>
        </w:tabs>
        <w:suppressAutoHyphens/>
        <w:spacing w:line="276" w:lineRule="auto"/>
        <w:ind w:left="644"/>
        <w:rPr>
          <w:rFonts w:ascii="Tahoma" w:hAnsi="Tahoma" w:cs="Tahoma"/>
          <w:spacing w:val="-3"/>
          <w:kern w:val="2"/>
        </w:rPr>
      </w:pPr>
    </w:p>
    <w:p w14:paraId="612C75F4" w14:textId="7355870E" w:rsidR="00F7005F" w:rsidRPr="00846C67" w:rsidRDefault="00F7005F" w:rsidP="00846C67">
      <w:pPr>
        <w:pStyle w:val="Prrafodelista"/>
        <w:numPr>
          <w:ilvl w:val="1"/>
          <w:numId w:val="2"/>
        </w:numPr>
        <w:spacing w:line="276" w:lineRule="auto"/>
        <w:ind w:left="0" w:firstLine="709"/>
        <w:jc w:val="both"/>
        <w:rPr>
          <w:rFonts w:ascii="Tahoma" w:hAnsi="Tahoma" w:cs="Tahoma"/>
          <w:b/>
          <w:i/>
          <w:spacing w:val="-4"/>
        </w:rPr>
      </w:pPr>
      <w:r w:rsidRPr="00846C67">
        <w:rPr>
          <w:rFonts w:ascii="Tahoma" w:hAnsi="Tahoma" w:cs="Tahoma"/>
          <w:b/>
          <w:i/>
          <w:spacing w:val="-4"/>
        </w:rPr>
        <w:t>“El deber de información a cargo de las administradoras de fondos de pensiones: Un deber exigible desde su creación</w:t>
      </w:r>
      <w:r w:rsidRPr="00846C67">
        <w:rPr>
          <w:rStyle w:val="Refdenotaalpie"/>
          <w:rFonts w:ascii="Tahoma" w:hAnsi="Tahoma" w:cs="Tahoma"/>
          <w:b/>
          <w:i/>
          <w:spacing w:val="-4"/>
        </w:rPr>
        <w:footnoteReference w:id="1"/>
      </w:r>
      <w:r w:rsidRPr="00846C67">
        <w:rPr>
          <w:rFonts w:ascii="Tahoma" w:hAnsi="Tahoma" w:cs="Tahoma"/>
          <w:b/>
          <w:i/>
          <w:spacing w:val="-4"/>
        </w:rPr>
        <w:t>”</w:t>
      </w:r>
    </w:p>
    <w:p w14:paraId="01B5F560" w14:textId="77777777" w:rsidR="00F7005F" w:rsidRPr="00846C67" w:rsidRDefault="00F7005F" w:rsidP="00846C67">
      <w:pPr>
        <w:pStyle w:val="Prrafodelista"/>
        <w:tabs>
          <w:tab w:val="left" w:pos="-720"/>
        </w:tabs>
        <w:suppressAutoHyphens/>
        <w:spacing w:line="276" w:lineRule="auto"/>
        <w:ind w:left="644"/>
        <w:rPr>
          <w:rFonts w:ascii="Tahoma" w:hAnsi="Tahoma" w:cs="Tahoma"/>
          <w:i/>
          <w:spacing w:val="-3"/>
          <w:kern w:val="2"/>
        </w:rPr>
      </w:pPr>
    </w:p>
    <w:p w14:paraId="3C930E49" w14:textId="77777777" w:rsidR="00F7005F" w:rsidRPr="00846C67" w:rsidRDefault="00F7005F" w:rsidP="00846C67">
      <w:pPr>
        <w:tabs>
          <w:tab w:val="left" w:pos="-720"/>
        </w:tabs>
        <w:suppressAutoHyphens/>
        <w:spacing w:line="276" w:lineRule="auto"/>
        <w:rPr>
          <w:rFonts w:ascii="Tahoma" w:hAnsi="Tahoma" w:cs="Tahoma"/>
          <w:spacing w:val="-3"/>
          <w:kern w:val="2"/>
          <w:sz w:val="24"/>
          <w:szCs w:val="24"/>
        </w:rPr>
      </w:pPr>
      <w:r w:rsidRPr="00846C67">
        <w:rPr>
          <w:rFonts w:ascii="Tahoma" w:hAnsi="Tahoma" w:cs="Tahoma"/>
          <w:spacing w:val="-3"/>
          <w:kern w:val="2"/>
          <w:sz w:val="24"/>
          <w:szCs w:val="24"/>
        </w:rPr>
        <w:t xml:space="preserve">Dado que las Administradoras de Fondos de Pensiones son organismos profesionales,  resulta aplicable el artículo 1604 del Código Civil, según el cual la prueba de la </w:t>
      </w:r>
      <w:r w:rsidRPr="00846C67">
        <w:rPr>
          <w:rFonts w:ascii="Tahoma" w:hAnsi="Tahoma" w:cs="Tahoma"/>
          <w:spacing w:val="-3"/>
          <w:kern w:val="2"/>
          <w:sz w:val="24"/>
          <w:szCs w:val="24"/>
          <w:u w:val="single"/>
        </w:rPr>
        <w:t>debida diligencia y cuidado</w:t>
      </w:r>
      <w:r w:rsidRPr="00846C67">
        <w:rPr>
          <w:rFonts w:ascii="Tahoma" w:hAnsi="Tahoma" w:cs="Tahoma"/>
          <w:spacing w:val="-3"/>
          <w:kern w:val="2"/>
          <w:sz w:val="24"/>
          <w:szCs w:val="24"/>
        </w:rPr>
        <w:t xml:space="preserve"> incumbe a quien ha debido emplearla, atendiendo a las siguientes razones:</w:t>
      </w:r>
    </w:p>
    <w:p w14:paraId="7097D904" w14:textId="77777777" w:rsidR="00F7005F" w:rsidRPr="00846C67" w:rsidRDefault="00F7005F" w:rsidP="00846C67">
      <w:pPr>
        <w:pStyle w:val="Prrafodelista"/>
        <w:tabs>
          <w:tab w:val="left" w:pos="-720"/>
        </w:tabs>
        <w:suppressAutoHyphens/>
        <w:spacing w:line="276" w:lineRule="auto"/>
        <w:ind w:left="644"/>
        <w:jc w:val="both"/>
        <w:rPr>
          <w:rFonts w:ascii="Tahoma" w:hAnsi="Tahoma" w:cs="Tahoma"/>
          <w:b/>
          <w:spacing w:val="-3"/>
          <w:kern w:val="2"/>
        </w:rPr>
      </w:pPr>
    </w:p>
    <w:p w14:paraId="0C6D5EC6" w14:textId="77777777" w:rsidR="00F7005F" w:rsidRPr="00846C67" w:rsidRDefault="00F7005F" w:rsidP="00846C67">
      <w:pPr>
        <w:pStyle w:val="Prrafodelista"/>
        <w:tabs>
          <w:tab w:val="left" w:pos="-720"/>
        </w:tabs>
        <w:suppressAutoHyphens/>
        <w:spacing w:line="276" w:lineRule="auto"/>
        <w:ind w:left="644"/>
        <w:jc w:val="both"/>
        <w:rPr>
          <w:rFonts w:ascii="Tahoma" w:hAnsi="Tahoma" w:cs="Tahoma"/>
          <w:spacing w:val="-3"/>
          <w:kern w:val="2"/>
        </w:rPr>
      </w:pPr>
      <w:r w:rsidRPr="00846C67">
        <w:rPr>
          <w:rFonts w:ascii="Tahoma" w:hAnsi="Tahoma" w:cs="Tahoma"/>
          <w:b/>
          <w:spacing w:val="-3"/>
          <w:kern w:val="2"/>
        </w:rPr>
        <w:t>1)</w:t>
      </w:r>
      <w:r w:rsidRPr="00846C67">
        <w:rPr>
          <w:rFonts w:ascii="Tahoma" w:hAnsi="Tahoma" w:cs="Tahoma"/>
          <w:spacing w:val="-3"/>
          <w:kern w:val="2"/>
        </w:rPr>
        <w:t xml:space="preserve"> Las Administradoras de Fondos de Pensiones tienen deberes de carácter profesional con sus afiliados y con los consumidores del mercado potencial en general. Además, sus actividades se encuentran reguladas por el </w:t>
      </w:r>
      <w:r w:rsidRPr="00846C67">
        <w:rPr>
          <w:rFonts w:ascii="Tahoma" w:hAnsi="Tahoma" w:cs="Tahoma"/>
          <w:spacing w:val="-3"/>
          <w:kern w:val="2"/>
          <w:u w:val="single"/>
        </w:rPr>
        <w:t>Decreto 663 de 1993</w:t>
      </w:r>
      <w:r w:rsidRPr="00846C67">
        <w:rPr>
          <w:rStyle w:val="Refdenotaalpie"/>
          <w:rFonts w:ascii="Tahoma" w:hAnsi="Tahoma" w:cs="Tahoma"/>
          <w:spacing w:val="-3"/>
          <w:kern w:val="2"/>
          <w:u w:val="single"/>
        </w:rPr>
        <w:footnoteReference w:id="2"/>
      </w:r>
      <w:r w:rsidRPr="00846C67">
        <w:rPr>
          <w:rFonts w:ascii="Tahoma" w:hAnsi="Tahoma" w:cs="Tahoma"/>
          <w:spacing w:val="-3"/>
          <w:kern w:val="2"/>
        </w:rPr>
        <w:t>, norma en la que se destaca la importancia de los principios de debida diligencia, transparencia e información cierta, suficiente y oportuna.</w:t>
      </w:r>
    </w:p>
    <w:p w14:paraId="5AD99032" w14:textId="77777777" w:rsidR="00F7005F" w:rsidRPr="00846C67" w:rsidRDefault="00F7005F" w:rsidP="00846C67">
      <w:pPr>
        <w:pStyle w:val="Prrafodelista"/>
        <w:tabs>
          <w:tab w:val="left" w:pos="-720"/>
        </w:tabs>
        <w:suppressAutoHyphens/>
        <w:spacing w:line="276" w:lineRule="auto"/>
        <w:ind w:left="644"/>
        <w:rPr>
          <w:rFonts w:ascii="Tahoma" w:hAnsi="Tahoma" w:cs="Tahoma"/>
          <w:spacing w:val="-3"/>
          <w:kern w:val="2"/>
        </w:rPr>
      </w:pPr>
    </w:p>
    <w:p w14:paraId="677DA5D4" w14:textId="77777777" w:rsidR="00F7005F" w:rsidRPr="00846C67" w:rsidRDefault="00F7005F" w:rsidP="00846C67">
      <w:pPr>
        <w:pStyle w:val="Prrafodelista"/>
        <w:tabs>
          <w:tab w:val="left" w:pos="-720"/>
        </w:tabs>
        <w:suppressAutoHyphens/>
        <w:spacing w:line="276" w:lineRule="auto"/>
        <w:ind w:left="644"/>
        <w:jc w:val="both"/>
        <w:rPr>
          <w:rFonts w:ascii="Tahoma" w:hAnsi="Tahoma" w:cs="Tahoma"/>
          <w:color w:val="000000"/>
        </w:rPr>
      </w:pPr>
      <w:r w:rsidRPr="00846C67">
        <w:rPr>
          <w:rFonts w:ascii="Tahoma" w:hAnsi="Tahoma" w:cs="Tahoma"/>
          <w:b/>
          <w:spacing w:val="-3"/>
          <w:kern w:val="2"/>
        </w:rPr>
        <w:t>2)</w:t>
      </w:r>
      <w:r w:rsidRPr="00846C67">
        <w:rPr>
          <w:rFonts w:ascii="Tahoma" w:hAnsi="Tahoma" w:cs="Tahoma"/>
          <w:spacing w:val="-3"/>
          <w:kern w:val="2"/>
        </w:rPr>
        <w:t xml:space="preserve"> Adicionalmente, se tiene previsto en el artículo 12 del Decreto 720 de 1994, que lo</w:t>
      </w:r>
      <w:r w:rsidRPr="00846C67">
        <w:rPr>
          <w:rFonts w:ascii="Tahoma" w:hAnsi="Tahoma" w:cs="Tahoma"/>
          <w:color w:val="000000"/>
        </w:rPr>
        <w:t xml:space="preserve">s promotores que empleen las sociedades administradoras del sistema general de pensiones deberán suministrar </w:t>
      </w:r>
      <w:r w:rsidRPr="00846C67">
        <w:rPr>
          <w:rFonts w:ascii="Tahoma" w:hAnsi="Tahoma" w:cs="Tahoma"/>
          <w:color w:val="000000"/>
          <w:u w:val="single"/>
        </w:rPr>
        <w:t>suficiente, amplia y oportuna</w:t>
      </w:r>
      <w:r w:rsidRPr="00846C67">
        <w:rPr>
          <w:rFonts w:ascii="Tahoma" w:hAnsi="Tahoma" w:cs="Tahoma"/>
          <w:color w:val="000000"/>
        </w:rPr>
        <w:t xml:space="preserve"> información a los posibles afiliados al momento de la promoción de la afiliación y durante toda la vinculación con ocasión de las prestaciones a las cuales tenga derecho el afiliado. </w:t>
      </w:r>
    </w:p>
    <w:p w14:paraId="5A4FA3C9" w14:textId="77777777" w:rsidR="00F7005F" w:rsidRPr="00846C67" w:rsidRDefault="00F7005F" w:rsidP="00846C67">
      <w:pPr>
        <w:pStyle w:val="Prrafodelista"/>
        <w:tabs>
          <w:tab w:val="left" w:pos="-720"/>
        </w:tabs>
        <w:suppressAutoHyphens/>
        <w:spacing w:line="276" w:lineRule="auto"/>
        <w:ind w:left="644"/>
        <w:rPr>
          <w:rFonts w:ascii="Tahoma" w:hAnsi="Tahoma" w:cs="Tahoma"/>
          <w:spacing w:val="-3"/>
          <w:kern w:val="2"/>
        </w:rPr>
      </w:pPr>
    </w:p>
    <w:p w14:paraId="3C4B33D5" w14:textId="77777777" w:rsidR="00F7005F" w:rsidRPr="00846C67" w:rsidRDefault="00F7005F" w:rsidP="00846C67">
      <w:pPr>
        <w:pStyle w:val="Prrafodelista"/>
        <w:tabs>
          <w:tab w:val="left" w:pos="-720"/>
        </w:tabs>
        <w:suppressAutoHyphens/>
        <w:spacing w:line="276" w:lineRule="auto"/>
        <w:ind w:left="644"/>
        <w:jc w:val="both"/>
        <w:rPr>
          <w:rFonts w:ascii="Tahoma" w:hAnsi="Tahoma" w:cs="Tahoma"/>
          <w:spacing w:val="-3"/>
          <w:kern w:val="2"/>
        </w:rPr>
      </w:pPr>
      <w:r w:rsidRPr="00846C67">
        <w:rPr>
          <w:rFonts w:ascii="Tahoma" w:hAnsi="Tahoma" w:cs="Tahoma"/>
          <w:b/>
          <w:spacing w:val="-3"/>
          <w:kern w:val="2"/>
        </w:rPr>
        <w:t>3)</w:t>
      </w:r>
      <w:r w:rsidRPr="00846C67">
        <w:rPr>
          <w:rFonts w:ascii="Tahoma" w:hAnsi="Tahoma" w:cs="Tahoma"/>
          <w:spacing w:val="-3"/>
          <w:kern w:val="2"/>
        </w:rPr>
        <w:t xml:space="preserve">   Dispone el artículo 114 de la Ley 100 de 1993, que los trabajadores y servidores públicos que se trasladen por primera vez del RPM al </w:t>
      </w:r>
      <w:proofErr w:type="spellStart"/>
      <w:r w:rsidRPr="00846C67">
        <w:rPr>
          <w:rFonts w:ascii="Tahoma" w:hAnsi="Tahoma" w:cs="Tahoma"/>
          <w:spacing w:val="-3"/>
          <w:kern w:val="2"/>
        </w:rPr>
        <w:t>RAIS</w:t>
      </w:r>
      <w:proofErr w:type="spellEnd"/>
      <w:r w:rsidRPr="00846C67">
        <w:rPr>
          <w:rFonts w:ascii="Tahoma" w:hAnsi="Tahoma" w:cs="Tahoma"/>
          <w:spacing w:val="-3"/>
          <w:kern w:val="2"/>
        </w:rPr>
        <w:t>, deberán presentar a la respectiva entidad administradora comunicación escrita en la que conste que la selección de dicho régimen se ha tomado de manera libre, espontánea y sin presiones.</w:t>
      </w:r>
    </w:p>
    <w:p w14:paraId="2C1035BE" w14:textId="77777777" w:rsidR="00F7005F" w:rsidRPr="00846C67" w:rsidRDefault="00F7005F" w:rsidP="00846C67">
      <w:pPr>
        <w:pStyle w:val="Prrafodelista"/>
        <w:tabs>
          <w:tab w:val="left" w:pos="-720"/>
        </w:tabs>
        <w:suppressAutoHyphens/>
        <w:spacing w:line="276" w:lineRule="auto"/>
        <w:ind w:left="644"/>
        <w:rPr>
          <w:rFonts w:ascii="Tahoma" w:hAnsi="Tahoma" w:cs="Tahoma"/>
          <w:spacing w:val="-3"/>
          <w:kern w:val="2"/>
        </w:rPr>
      </w:pPr>
    </w:p>
    <w:p w14:paraId="04EA78D1" w14:textId="0836B6E8" w:rsidR="00F7005F" w:rsidRPr="00846C67" w:rsidRDefault="00F7005F" w:rsidP="00846C67">
      <w:pPr>
        <w:pStyle w:val="Prrafodelista"/>
        <w:tabs>
          <w:tab w:val="left" w:pos="-720"/>
        </w:tabs>
        <w:suppressAutoHyphens/>
        <w:spacing w:line="276" w:lineRule="auto"/>
        <w:ind w:left="644"/>
        <w:jc w:val="both"/>
        <w:rPr>
          <w:rFonts w:ascii="Tahoma" w:hAnsi="Tahoma" w:cs="Tahoma"/>
          <w:iCs/>
          <w:u w:val="single"/>
        </w:rPr>
      </w:pPr>
      <w:r w:rsidRPr="00846C67">
        <w:rPr>
          <w:rFonts w:ascii="Tahoma" w:hAnsi="Tahoma" w:cs="Tahoma"/>
          <w:b/>
          <w:spacing w:val="-3"/>
          <w:kern w:val="2"/>
        </w:rPr>
        <w:t>4)</w:t>
      </w:r>
      <w:r w:rsidRPr="00846C67">
        <w:rPr>
          <w:rFonts w:ascii="Tahoma" w:hAnsi="Tahoma" w:cs="Tahoma"/>
          <w:spacing w:val="-3"/>
          <w:kern w:val="2"/>
        </w:rPr>
        <w:t xml:space="preserve"> En numerosas sentencias del órgano de cierre de la jurisdicción ordinaria laboral, se ha establecido que no puede argüirse que </w:t>
      </w:r>
      <w:r w:rsidRPr="00846C67">
        <w:rPr>
          <w:rFonts w:ascii="Tahoma" w:hAnsi="Tahoma" w:cs="Tahoma"/>
          <w:iC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846C67">
        <w:rPr>
          <w:rFonts w:ascii="Tahoma" w:hAnsi="Tahoma" w:cs="Tahoma"/>
          <w:i/>
          <w:iCs/>
        </w:rPr>
        <w:t>“</w:t>
      </w:r>
      <w:r w:rsidRPr="002A1E9E">
        <w:rPr>
          <w:rFonts w:ascii="Tahoma" w:hAnsi="Tahoma" w:cs="Tahoma"/>
          <w:i/>
          <w:iCs/>
          <w:sz w:val="22"/>
          <w:u w:val="single"/>
        </w:rPr>
        <w:t>dar cuenta de que documentaron clara y suficientemente los efectos que acarrea el cambio de régimen, so pena de declarar ineficaz ese tránsito</w:t>
      </w:r>
      <w:r w:rsidRPr="00846C67">
        <w:rPr>
          <w:rFonts w:ascii="Tahoma" w:hAnsi="Tahoma" w:cs="Tahoma"/>
          <w:i/>
          <w:iCs/>
          <w:u w:val="single"/>
        </w:rPr>
        <w:t>”</w:t>
      </w:r>
      <w:r w:rsidRPr="00846C67">
        <w:rPr>
          <w:rFonts w:ascii="Tahoma" w:hAnsi="Tahoma" w:cs="Tahoma"/>
          <w:iCs/>
          <w:u w:val="single"/>
        </w:rPr>
        <w:t>.</w:t>
      </w:r>
    </w:p>
    <w:p w14:paraId="3229A5A5" w14:textId="77777777" w:rsidR="00F7005F" w:rsidRPr="00846C67" w:rsidRDefault="00F7005F" w:rsidP="00846C67">
      <w:pPr>
        <w:pStyle w:val="Prrafodelista"/>
        <w:tabs>
          <w:tab w:val="left" w:pos="-720"/>
        </w:tabs>
        <w:suppressAutoHyphens/>
        <w:spacing w:line="276" w:lineRule="auto"/>
        <w:ind w:left="644"/>
        <w:rPr>
          <w:rFonts w:ascii="Tahoma" w:hAnsi="Tahoma" w:cs="Tahoma"/>
          <w:iCs/>
          <w:u w:val="single"/>
        </w:rPr>
      </w:pPr>
    </w:p>
    <w:p w14:paraId="02C47BDE" w14:textId="29E913B1" w:rsidR="00F7005F" w:rsidRDefault="00F7005F" w:rsidP="00846C67">
      <w:pPr>
        <w:pStyle w:val="Prrafodelista"/>
        <w:tabs>
          <w:tab w:val="left" w:pos="-720"/>
        </w:tabs>
        <w:suppressAutoHyphens/>
        <w:spacing w:line="276" w:lineRule="auto"/>
        <w:ind w:left="0"/>
        <w:jc w:val="both"/>
        <w:rPr>
          <w:rFonts w:ascii="Tahoma" w:hAnsi="Tahoma" w:cs="Tahoma"/>
          <w:iCs/>
        </w:rPr>
      </w:pPr>
      <w:r w:rsidRPr="00846C67">
        <w:rPr>
          <w:rFonts w:ascii="Tahoma" w:hAnsi="Tahoma" w:cs="Tahoma"/>
          <w:iCs/>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w:t>
      </w:r>
      <w:r w:rsidR="002A1E9E">
        <w:rPr>
          <w:rFonts w:ascii="Tahoma" w:hAnsi="Tahoma" w:cs="Tahoma"/>
          <w:iCs/>
        </w:rPr>
        <w:t>de tal trascendencia.</w:t>
      </w:r>
    </w:p>
    <w:p w14:paraId="6DA5336E" w14:textId="77777777" w:rsidR="002A1E9E" w:rsidRPr="00846C67" w:rsidRDefault="002A1E9E" w:rsidP="00846C67">
      <w:pPr>
        <w:pStyle w:val="Prrafodelista"/>
        <w:tabs>
          <w:tab w:val="left" w:pos="-720"/>
        </w:tabs>
        <w:suppressAutoHyphens/>
        <w:spacing w:line="276" w:lineRule="auto"/>
        <w:ind w:left="0"/>
        <w:jc w:val="both"/>
        <w:rPr>
          <w:rFonts w:ascii="Tahoma" w:hAnsi="Tahoma" w:cs="Tahoma"/>
          <w:iCs/>
        </w:rPr>
      </w:pPr>
    </w:p>
    <w:p w14:paraId="4EA53CEB" w14:textId="77777777" w:rsidR="00F7005F" w:rsidRPr="00846C67" w:rsidRDefault="00F7005F" w:rsidP="00846C67">
      <w:pPr>
        <w:pStyle w:val="Prrafodelista"/>
        <w:tabs>
          <w:tab w:val="left" w:pos="-720"/>
        </w:tabs>
        <w:suppressAutoHyphens/>
        <w:spacing w:line="276" w:lineRule="auto"/>
        <w:ind w:left="0"/>
        <w:jc w:val="both"/>
        <w:rPr>
          <w:rFonts w:ascii="Tahoma" w:hAnsi="Tahoma" w:cs="Tahoma"/>
          <w:iCs/>
        </w:rPr>
      </w:pPr>
      <w:r w:rsidRPr="00846C67">
        <w:rPr>
          <w:rFonts w:ascii="Tahoma" w:hAnsi="Tahoma" w:cs="Tahoma"/>
          <w:iCs/>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341EE262" w14:textId="77777777" w:rsidR="00F7005F" w:rsidRPr="00846C67" w:rsidRDefault="00F7005F" w:rsidP="00846C67">
      <w:pPr>
        <w:pStyle w:val="Prrafodelista"/>
        <w:tabs>
          <w:tab w:val="left" w:pos="-720"/>
        </w:tabs>
        <w:suppressAutoHyphens/>
        <w:spacing w:line="276" w:lineRule="auto"/>
        <w:ind w:left="0"/>
        <w:rPr>
          <w:rFonts w:ascii="Tahoma" w:hAnsi="Tahoma" w:cs="Tahoma"/>
          <w:iCs/>
        </w:rPr>
      </w:pPr>
    </w:p>
    <w:p w14:paraId="1FDF895E" w14:textId="77777777" w:rsidR="00F7005F" w:rsidRPr="00846C67" w:rsidRDefault="00F7005F" w:rsidP="00846C67">
      <w:pPr>
        <w:pStyle w:val="Prrafodelista"/>
        <w:tabs>
          <w:tab w:val="left" w:pos="-720"/>
        </w:tabs>
        <w:suppressAutoHyphens/>
        <w:spacing w:line="276" w:lineRule="auto"/>
        <w:ind w:left="0"/>
        <w:jc w:val="both"/>
        <w:rPr>
          <w:rFonts w:ascii="Tahoma" w:hAnsi="Tahoma" w:cs="Tahoma"/>
        </w:rPr>
      </w:pPr>
      <w:r w:rsidRPr="00846C67">
        <w:rPr>
          <w:rFonts w:ascii="Tahoma" w:hAnsi="Tahoma" w:cs="Tahoma"/>
        </w:rPr>
        <w:tab/>
        <w:t xml:space="preserve">Ello así, también ha dicho el órgano de cierre de la especialidad laboral, que las </w:t>
      </w:r>
      <w:proofErr w:type="spellStart"/>
      <w:r w:rsidRPr="00846C67">
        <w:rPr>
          <w:rFonts w:ascii="Tahoma" w:hAnsi="Tahoma" w:cs="Tahoma"/>
        </w:rPr>
        <w:t>AFPs</w:t>
      </w:r>
      <w:proofErr w:type="spellEnd"/>
      <w:r w:rsidRPr="00846C67">
        <w:rPr>
          <w:rFonts w:ascii="Tahoma" w:hAnsi="Tahoma" w:cs="Tahoma"/>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5DA5A4BA" w14:textId="77777777" w:rsidR="00F7005F" w:rsidRPr="00846C67" w:rsidRDefault="00F7005F" w:rsidP="00846C67">
      <w:pPr>
        <w:pStyle w:val="Prrafodelista"/>
        <w:tabs>
          <w:tab w:val="left" w:pos="-720"/>
        </w:tabs>
        <w:suppressAutoHyphens/>
        <w:spacing w:line="276" w:lineRule="auto"/>
        <w:ind w:left="644"/>
        <w:rPr>
          <w:rFonts w:ascii="Tahoma" w:hAnsi="Tahoma" w:cs="Tahoma"/>
          <w:iCs/>
        </w:rPr>
      </w:pPr>
    </w:p>
    <w:p w14:paraId="36AD5BA6" w14:textId="2CB5FD19" w:rsidR="00F7005F" w:rsidRPr="00846C67" w:rsidRDefault="00F7005F" w:rsidP="00846C67">
      <w:pPr>
        <w:pStyle w:val="Prrafodelista"/>
        <w:spacing w:line="276" w:lineRule="auto"/>
        <w:ind w:left="0" w:firstLine="708"/>
        <w:jc w:val="both"/>
        <w:rPr>
          <w:rFonts w:ascii="Tahoma" w:hAnsi="Tahoma" w:cs="Tahoma"/>
        </w:rPr>
      </w:pPr>
      <w:r w:rsidRPr="00846C67">
        <w:rPr>
          <w:rFonts w:ascii="Tahoma" w:hAnsi="Tahoma" w:cs="Tahoma"/>
        </w:rPr>
        <w:t xml:space="preserve">Ahora bien, como quiera que uno de los argumentos de la defensa de las AFP </w:t>
      </w:r>
      <w:proofErr w:type="gramStart"/>
      <w:r w:rsidRPr="00846C67">
        <w:rPr>
          <w:rFonts w:ascii="Tahoma" w:hAnsi="Tahoma" w:cs="Tahoma"/>
        </w:rPr>
        <w:t>es</w:t>
      </w:r>
      <w:proofErr w:type="gramEnd"/>
      <w:r w:rsidRPr="00846C67">
        <w:rPr>
          <w:rFonts w:ascii="Tahoma" w:hAnsi="Tahoma" w:cs="Tahoma"/>
        </w:rPr>
        <w:t xml:space="preserve"> que la normatividad del deber de información se ha venido dando paulatinamente, vale la pena citar la sentencia del 8 de mayo de 2019</w:t>
      </w:r>
      <w:r w:rsidR="00D66F38" w:rsidRPr="00846C67">
        <w:rPr>
          <w:rFonts w:ascii="Tahoma" w:hAnsi="Tahoma" w:cs="Tahoma"/>
        </w:rPr>
        <w:t xml:space="preserve"> </w:t>
      </w:r>
      <w:proofErr w:type="spellStart"/>
      <w:r w:rsidRPr="00846C67">
        <w:rPr>
          <w:rFonts w:ascii="Tahoma" w:hAnsi="Tahoma" w:cs="Tahoma"/>
        </w:rPr>
        <w:t>SL</w:t>
      </w:r>
      <w:proofErr w:type="spellEnd"/>
      <w:r w:rsidRPr="00846C67">
        <w:rPr>
          <w:rFonts w:ascii="Tahoma" w:hAnsi="Tahoma" w:cs="Tahoma"/>
        </w:rPr>
        <w:t xml:space="preserve"> 1688-2019, Radicado 68838, con Ponencia de la Dra. Clara Cecilia Dueñas Quevedo, donde </w:t>
      </w:r>
      <w:r w:rsidRPr="00846C67">
        <w:rPr>
          <w:rFonts w:ascii="Tahoma" w:hAnsi="Tahoma" w:cs="Tahoma"/>
          <w:spacing w:val="-4"/>
          <w:lang w:val="es-CO"/>
        </w:rPr>
        <w:t>se hace un didáctico recuento histórico de las normas que rigen la actividad de los Fondos de Pensiones privados, dividiéndolo en 3 etapas, de cuyo análisis se llega a la conclusión de que a las AFP</w:t>
      </w:r>
      <w:r w:rsidRPr="00846C67">
        <w:rPr>
          <w:rFonts w:ascii="Tahoma" w:hAnsi="Tahoma" w:cs="Tahoma"/>
        </w:rPr>
        <w:t xml:space="preserve"> les compete, desde su creación, el deber de suministrar una información </w:t>
      </w:r>
      <w:r w:rsidRPr="00846C67">
        <w:rPr>
          <w:rFonts w:ascii="Tahoma" w:hAnsi="Tahoma" w:cs="Tahoma"/>
          <w:b/>
        </w:rPr>
        <w:t xml:space="preserve">necesaria y transparente, </w:t>
      </w:r>
      <w:r w:rsidRPr="00846C67">
        <w:rPr>
          <w:rFonts w:ascii="Tahoma" w:hAnsi="Tahoma" w:cs="Tahoma"/>
        </w:rPr>
        <w:t xml:space="preserve">que con el </w:t>
      </w:r>
      <w:r w:rsidRPr="00846C67">
        <w:rPr>
          <w:rFonts w:ascii="Tahoma" w:hAnsi="Tahoma" w:cs="Tahoma"/>
          <w:spacing w:val="-4"/>
          <w:lang w:val="es-CO"/>
        </w:rPr>
        <w:t xml:space="preserve">transcurrir del tiempo esta exigencia cambió, pasando de un deber de información necesaria al de </w:t>
      </w:r>
      <w:r w:rsidRPr="00846C67">
        <w:rPr>
          <w:rFonts w:ascii="Tahoma" w:hAnsi="Tahoma" w:cs="Tahoma"/>
          <w:b/>
          <w:spacing w:val="-4"/>
          <w:lang w:val="es-CO"/>
        </w:rPr>
        <w:t>asesoría y buen consejo</w:t>
      </w:r>
      <w:r w:rsidRPr="00846C67">
        <w:rPr>
          <w:rFonts w:ascii="Tahoma" w:hAnsi="Tahoma" w:cs="Tahoma"/>
          <w:spacing w:val="-4"/>
          <w:lang w:val="es-CO"/>
        </w:rPr>
        <w:t xml:space="preserve">, y finalmente al de </w:t>
      </w:r>
      <w:r w:rsidRPr="00846C67">
        <w:rPr>
          <w:rFonts w:ascii="Tahoma" w:hAnsi="Tahoma" w:cs="Tahoma"/>
          <w:b/>
          <w:spacing w:val="-4"/>
          <w:lang w:val="es-CO"/>
        </w:rPr>
        <w:t>doble asesoría</w:t>
      </w:r>
      <w:r w:rsidRPr="00846C67">
        <w:rPr>
          <w:rFonts w:ascii="Tahoma" w:hAnsi="Tahoma" w:cs="Tahoma"/>
          <w:spacing w:val="-4"/>
          <w:lang w:val="es-CO"/>
        </w:rPr>
        <w:t xml:space="preserve">, </w:t>
      </w:r>
      <w:r w:rsidRPr="00846C67">
        <w:rPr>
          <w:rFonts w:ascii="Tahoma" w:hAnsi="Tahoma" w:cs="Tahoma"/>
        </w:rPr>
        <w:t>explicando en qué consiste cada uno de esos conceptos. Dicho recuento histórico, se compendia de la siguiente manera:</w:t>
      </w:r>
    </w:p>
    <w:p w14:paraId="33A1AE3F" w14:textId="77777777" w:rsidR="00F7005F" w:rsidRPr="00846C67" w:rsidRDefault="00F7005F" w:rsidP="00846C67">
      <w:pPr>
        <w:pStyle w:val="Prrafodelista"/>
        <w:tabs>
          <w:tab w:val="left" w:pos="-720"/>
        </w:tabs>
        <w:suppressAutoHyphens/>
        <w:spacing w:line="276" w:lineRule="auto"/>
        <w:ind w:left="644"/>
        <w:rPr>
          <w:rFonts w:ascii="Tahoma" w:hAnsi="Tahoma" w:cs="Tahoma"/>
          <w:spacing w:val="-3"/>
          <w:kern w:val="2"/>
        </w:rPr>
      </w:pPr>
    </w:p>
    <w:p w14:paraId="5B1274FD" w14:textId="77777777" w:rsidR="002A1E9E" w:rsidRPr="002A1E9E" w:rsidRDefault="002A1E9E" w:rsidP="002A1E9E">
      <w:pPr>
        <w:spacing w:line="240" w:lineRule="auto"/>
        <w:ind w:left="426" w:right="420" w:firstLine="0"/>
        <w:textAlignment w:val="baseline"/>
        <w:rPr>
          <w:rFonts w:ascii="Tahoma" w:eastAsia="Times New Roman" w:hAnsi="Tahoma" w:cs="Tahoma"/>
          <w:szCs w:val="24"/>
          <w:lang w:eastAsia="es-ES"/>
        </w:rPr>
      </w:pPr>
      <w:r w:rsidRPr="002A1E9E">
        <w:rPr>
          <w:rFonts w:ascii="Tahoma" w:eastAsia="Times New Roman" w:hAnsi="Tahoma" w:cs="Tahoma"/>
          <w:i/>
          <w:iCs/>
          <w:szCs w:val="24"/>
          <w:lang w:val="es-CO" w:eastAsia="es-ES"/>
        </w:rPr>
        <w:t>“El anterior recuento sobre la evolución normativa del deber de información a cargo de las administradoras de pensiones podría, a grandes rasgos, sintetizarse así:</w:t>
      </w:r>
    </w:p>
    <w:p w14:paraId="6E1EFA7B" w14:textId="77777777" w:rsidR="002A1E9E" w:rsidRPr="002A1E9E" w:rsidRDefault="002A1E9E" w:rsidP="002A1E9E">
      <w:pPr>
        <w:spacing w:line="240" w:lineRule="auto"/>
        <w:ind w:left="426" w:right="420" w:firstLine="0"/>
        <w:textAlignment w:val="baseline"/>
        <w:rPr>
          <w:rFonts w:ascii="Tahoma" w:eastAsia="Times New Roman" w:hAnsi="Tahoma" w:cs="Tahoma"/>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2A1E9E" w:rsidRPr="002A1E9E" w14:paraId="47E014D9" w14:textId="77777777" w:rsidTr="0086669D">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57C2217" w14:textId="77777777" w:rsidR="002A1E9E" w:rsidRPr="002A1E9E" w:rsidRDefault="002A1E9E" w:rsidP="002A1E9E">
            <w:pPr>
              <w:spacing w:line="276" w:lineRule="auto"/>
              <w:ind w:firstLine="0"/>
              <w:textAlignment w:val="baseline"/>
              <w:rPr>
                <w:rFonts w:ascii="Tahoma" w:eastAsia="Times New Roman" w:hAnsi="Tahoma" w:cs="Tahoma"/>
                <w:sz w:val="20"/>
                <w:szCs w:val="24"/>
                <w:lang w:eastAsia="es-ES"/>
              </w:rPr>
            </w:pPr>
            <w:r w:rsidRPr="002A1E9E">
              <w:rPr>
                <w:rFonts w:ascii="Tahoma" w:eastAsia="Times New Roman" w:hAnsi="Tahoma" w:cs="Tahoma"/>
                <w:b/>
                <w:bCs/>
                <w:i/>
                <w:iCs/>
                <w:sz w:val="20"/>
                <w:szCs w:val="24"/>
                <w:lang w:val="es-CO" w:eastAsia="es-ES"/>
              </w:rPr>
              <w:t>Etapa acumulativa</w:t>
            </w:r>
            <w:r w:rsidRPr="002A1E9E">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634AB49" w14:textId="77777777" w:rsidR="002A1E9E" w:rsidRPr="002A1E9E" w:rsidRDefault="002A1E9E" w:rsidP="002A1E9E">
            <w:pPr>
              <w:spacing w:line="276" w:lineRule="auto"/>
              <w:ind w:firstLine="0"/>
              <w:textAlignment w:val="baseline"/>
              <w:rPr>
                <w:rFonts w:ascii="Tahoma" w:eastAsia="Times New Roman" w:hAnsi="Tahoma" w:cs="Tahoma"/>
                <w:sz w:val="20"/>
                <w:szCs w:val="24"/>
                <w:lang w:eastAsia="es-ES"/>
              </w:rPr>
            </w:pPr>
            <w:r w:rsidRPr="002A1E9E">
              <w:rPr>
                <w:rFonts w:ascii="Tahoma" w:eastAsia="Times New Roman" w:hAnsi="Tahoma" w:cs="Tahoma"/>
                <w:b/>
                <w:bCs/>
                <w:i/>
                <w:iCs/>
                <w:sz w:val="20"/>
                <w:szCs w:val="24"/>
                <w:lang w:val="es-CO" w:eastAsia="es-ES"/>
              </w:rPr>
              <w:t>Normas que obligan a las administradoras de pensiones a dar información</w:t>
            </w:r>
            <w:r w:rsidRPr="002A1E9E">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5D9C150A" w14:textId="77777777" w:rsidR="002A1E9E" w:rsidRPr="002A1E9E" w:rsidRDefault="002A1E9E" w:rsidP="002A1E9E">
            <w:pPr>
              <w:spacing w:line="276" w:lineRule="auto"/>
              <w:ind w:firstLine="0"/>
              <w:textAlignment w:val="baseline"/>
              <w:rPr>
                <w:rFonts w:ascii="Tahoma" w:eastAsia="Times New Roman" w:hAnsi="Tahoma" w:cs="Tahoma"/>
                <w:sz w:val="20"/>
                <w:szCs w:val="24"/>
                <w:lang w:eastAsia="es-ES"/>
              </w:rPr>
            </w:pPr>
            <w:r w:rsidRPr="002A1E9E">
              <w:rPr>
                <w:rFonts w:ascii="Tahoma" w:eastAsia="Times New Roman" w:hAnsi="Tahoma" w:cs="Tahoma"/>
                <w:b/>
                <w:bCs/>
                <w:i/>
                <w:iCs/>
                <w:sz w:val="20"/>
                <w:szCs w:val="24"/>
                <w:lang w:val="es-CO" w:eastAsia="es-ES"/>
              </w:rPr>
              <w:t>Contenido mínimo y alcance del deber de información</w:t>
            </w:r>
            <w:r w:rsidRPr="002A1E9E">
              <w:rPr>
                <w:rFonts w:ascii="Tahoma" w:eastAsia="Times New Roman" w:hAnsi="Tahoma" w:cs="Tahoma"/>
                <w:sz w:val="20"/>
                <w:szCs w:val="24"/>
                <w:lang w:eastAsia="es-ES"/>
              </w:rPr>
              <w:t> </w:t>
            </w:r>
          </w:p>
        </w:tc>
      </w:tr>
      <w:tr w:rsidR="002A1E9E" w:rsidRPr="002A1E9E" w14:paraId="672CBE86" w14:textId="77777777" w:rsidTr="0086669D">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A8C981A" w14:textId="77777777" w:rsidR="002A1E9E" w:rsidRPr="002A1E9E" w:rsidRDefault="002A1E9E" w:rsidP="002A1E9E">
            <w:pPr>
              <w:spacing w:line="276" w:lineRule="auto"/>
              <w:ind w:firstLine="0"/>
              <w:textAlignment w:val="baseline"/>
              <w:rPr>
                <w:rFonts w:ascii="Tahoma" w:eastAsia="Times New Roman" w:hAnsi="Tahoma" w:cs="Tahoma"/>
                <w:sz w:val="20"/>
                <w:szCs w:val="24"/>
                <w:lang w:eastAsia="es-ES"/>
              </w:rPr>
            </w:pPr>
            <w:r w:rsidRPr="002A1E9E">
              <w:rPr>
                <w:rFonts w:ascii="Tahoma" w:eastAsia="Times New Roman" w:hAnsi="Tahoma" w:cs="Tahoma"/>
                <w:i/>
                <w:iCs/>
                <w:sz w:val="20"/>
                <w:szCs w:val="24"/>
                <w:lang w:val="es-CO" w:eastAsia="es-ES"/>
              </w:rPr>
              <w:t>Deber de información </w:t>
            </w:r>
            <w:r w:rsidRPr="002A1E9E">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EB42463" w14:textId="77777777" w:rsidR="002A1E9E" w:rsidRPr="002A1E9E" w:rsidRDefault="002A1E9E" w:rsidP="002A1E9E">
            <w:pPr>
              <w:spacing w:line="276" w:lineRule="auto"/>
              <w:ind w:firstLine="0"/>
              <w:textAlignment w:val="baseline"/>
              <w:rPr>
                <w:rFonts w:ascii="Tahoma" w:eastAsia="Times New Roman" w:hAnsi="Tahoma" w:cs="Tahoma"/>
                <w:sz w:val="20"/>
                <w:szCs w:val="24"/>
                <w:lang w:eastAsia="es-ES"/>
              </w:rPr>
            </w:pPr>
            <w:r w:rsidRPr="002A1E9E">
              <w:rPr>
                <w:rFonts w:ascii="Tahoma" w:eastAsia="Times New Roman" w:hAnsi="Tahoma" w:cs="Tahoma"/>
                <w:i/>
                <w:iCs/>
                <w:sz w:val="20"/>
                <w:szCs w:val="24"/>
                <w:lang w:val="es-CO" w:eastAsia="es-ES"/>
              </w:rPr>
              <w:t>Arts. 13 literal b), 271 y 272 de la Ley 100 de 1993</w:t>
            </w:r>
            <w:r w:rsidRPr="002A1E9E">
              <w:rPr>
                <w:rFonts w:ascii="Tahoma" w:eastAsia="Times New Roman" w:hAnsi="Tahoma" w:cs="Tahoma"/>
                <w:sz w:val="20"/>
                <w:szCs w:val="24"/>
                <w:lang w:eastAsia="es-ES"/>
              </w:rPr>
              <w:t> </w:t>
            </w:r>
          </w:p>
          <w:p w14:paraId="5FE4EF69" w14:textId="77777777" w:rsidR="002A1E9E" w:rsidRPr="002A1E9E" w:rsidRDefault="002A1E9E" w:rsidP="002A1E9E">
            <w:pPr>
              <w:spacing w:line="276" w:lineRule="auto"/>
              <w:ind w:firstLine="0"/>
              <w:textAlignment w:val="baseline"/>
              <w:rPr>
                <w:rFonts w:ascii="Tahoma" w:eastAsia="Times New Roman" w:hAnsi="Tahoma" w:cs="Tahoma"/>
                <w:sz w:val="20"/>
                <w:szCs w:val="24"/>
                <w:lang w:eastAsia="es-ES"/>
              </w:rPr>
            </w:pPr>
            <w:r w:rsidRPr="002A1E9E">
              <w:rPr>
                <w:rFonts w:ascii="Tahoma" w:eastAsia="Times New Roman" w:hAnsi="Tahoma" w:cs="Tahoma"/>
                <w:i/>
                <w:iCs/>
                <w:sz w:val="20"/>
                <w:szCs w:val="24"/>
                <w:lang w:eastAsia="es-ES"/>
              </w:rPr>
              <w:t>Art. 97, numeral 1 del Decreto 663 de 1993, modificado por el artículo 23 de la Ley 797 de 2003</w:t>
            </w:r>
            <w:r w:rsidRPr="002A1E9E">
              <w:rPr>
                <w:rFonts w:ascii="Tahoma" w:eastAsia="Times New Roman" w:hAnsi="Tahoma" w:cs="Tahoma"/>
                <w:sz w:val="20"/>
                <w:szCs w:val="24"/>
                <w:lang w:eastAsia="es-ES"/>
              </w:rPr>
              <w:t> </w:t>
            </w:r>
          </w:p>
          <w:p w14:paraId="6CC17C50" w14:textId="77777777" w:rsidR="002A1E9E" w:rsidRPr="002A1E9E" w:rsidRDefault="002A1E9E" w:rsidP="002A1E9E">
            <w:pPr>
              <w:spacing w:line="276" w:lineRule="auto"/>
              <w:ind w:firstLine="0"/>
              <w:textAlignment w:val="baseline"/>
              <w:rPr>
                <w:rFonts w:ascii="Tahoma" w:eastAsia="Times New Roman" w:hAnsi="Tahoma" w:cs="Tahoma"/>
                <w:sz w:val="20"/>
                <w:szCs w:val="24"/>
                <w:lang w:eastAsia="es-ES"/>
              </w:rPr>
            </w:pPr>
            <w:r w:rsidRPr="002A1E9E">
              <w:rPr>
                <w:rFonts w:ascii="Tahoma" w:eastAsia="Times New Roman" w:hAnsi="Tahoma" w:cs="Tahoma"/>
                <w:i/>
                <w:iCs/>
                <w:sz w:val="20"/>
                <w:szCs w:val="24"/>
                <w:lang w:eastAsia="es-ES"/>
              </w:rPr>
              <w:lastRenderedPageBreak/>
              <w:t>Disposiciones constitucionales relativas al derecho a la información, no menoscabo de derechos laborales y autonomía personal</w:t>
            </w:r>
            <w:r w:rsidRPr="002A1E9E">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55CAFBDA" w14:textId="77777777" w:rsidR="002A1E9E" w:rsidRPr="002A1E9E" w:rsidRDefault="002A1E9E" w:rsidP="002A1E9E">
            <w:pPr>
              <w:spacing w:line="276" w:lineRule="auto"/>
              <w:ind w:firstLine="0"/>
              <w:textAlignment w:val="baseline"/>
              <w:rPr>
                <w:rFonts w:ascii="Tahoma" w:eastAsia="Times New Roman" w:hAnsi="Tahoma" w:cs="Tahoma"/>
                <w:sz w:val="20"/>
                <w:szCs w:val="24"/>
                <w:lang w:eastAsia="es-ES"/>
              </w:rPr>
            </w:pPr>
            <w:r w:rsidRPr="002A1E9E">
              <w:rPr>
                <w:rFonts w:ascii="Tahoma" w:eastAsia="Times New Roman" w:hAnsi="Tahoma" w:cs="Tahoma"/>
                <w:i/>
                <w:iCs/>
                <w:sz w:val="20"/>
                <w:szCs w:val="24"/>
                <w:lang w:val="es-CO" w:eastAsia="es-ES"/>
              </w:rPr>
              <w:lastRenderedPageBreak/>
              <w:t xml:space="preserve">Ilustración de las características, condiciones, acceso, efectos y riesgos de cada uno de los regímenes pensionales, lo que incluye dar a conocer la existencia de un régimen de transición y la eventual pérdida de beneficios </w:t>
            </w:r>
            <w:r w:rsidRPr="002A1E9E">
              <w:rPr>
                <w:rFonts w:ascii="Tahoma" w:eastAsia="Times New Roman" w:hAnsi="Tahoma" w:cs="Tahoma"/>
                <w:i/>
                <w:iCs/>
                <w:sz w:val="20"/>
                <w:szCs w:val="24"/>
                <w:lang w:val="es-CO" w:eastAsia="es-ES"/>
              </w:rPr>
              <w:lastRenderedPageBreak/>
              <w:t>pensionales</w:t>
            </w:r>
            <w:r w:rsidRPr="002A1E9E">
              <w:rPr>
                <w:rFonts w:ascii="Tahoma" w:eastAsia="Times New Roman" w:hAnsi="Tahoma" w:cs="Tahoma"/>
                <w:sz w:val="20"/>
                <w:szCs w:val="24"/>
                <w:lang w:eastAsia="es-ES"/>
              </w:rPr>
              <w:t> </w:t>
            </w:r>
          </w:p>
        </w:tc>
      </w:tr>
      <w:tr w:rsidR="002A1E9E" w:rsidRPr="002A1E9E" w14:paraId="74FFD43C" w14:textId="77777777" w:rsidTr="0086669D">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A95FCD6" w14:textId="77777777" w:rsidR="002A1E9E" w:rsidRPr="002A1E9E" w:rsidRDefault="002A1E9E" w:rsidP="002A1E9E">
            <w:pPr>
              <w:spacing w:line="276" w:lineRule="auto"/>
              <w:ind w:firstLine="0"/>
              <w:textAlignment w:val="baseline"/>
              <w:rPr>
                <w:rFonts w:ascii="Tahoma" w:eastAsia="Times New Roman" w:hAnsi="Tahoma" w:cs="Tahoma"/>
                <w:sz w:val="20"/>
                <w:szCs w:val="24"/>
                <w:lang w:eastAsia="es-ES"/>
              </w:rPr>
            </w:pPr>
            <w:r w:rsidRPr="002A1E9E">
              <w:rPr>
                <w:rFonts w:ascii="Tahoma" w:eastAsia="Times New Roman" w:hAnsi="Tahoma" w:cs="Tahoma"/>
                <w:i/>
                <w:iCs/>
                <w:sz w:val="20"/>
                <w:szCs w:val="24"/>
                <w:lang w:val="es-CO" w:eastAsia="es-ES"/>
              </w:rPr>
              <w:lastRenderedPageBreak/>
              <w:t>Deber de información, asesoría y buen consejo</w:t>
            </w:r>
            <w:r w:rsidRPr="002A1E9E">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71175A3" w14:textId="77777777" w:rsidR="002A1E9E" w:rsidRPr="002A1E9E" w:rsidRDefault="002A1E9E" w:rsidP="002A1E9E">
            <w:pPr>
              <w:spacing w:line="276" w:lineRule="auto"/>
              <w:ind w:firstLine="0"/>
              <w:textAlignment w:val="baseline"/>
              <w:rPr>
                <w:rFonts w:ascii="Tahoma" w:eastAsia="Times New Roman" w:hAnsi="Tahoma" w:cs="Tahoma"/>
                <w:sz w:val="20"/>
                <w:szCs w:val="24"/>
                <w:lang w:eastAsia="es-ES"/>
              </w:rPr>
            </w:pPr>
            <w:r w:rsidRPr="002A1E9E">
              <w:rPr>
                <w:rFonts w:ascii="Tahoma" w:eastAsia="Times New Roman" w:hAnsi="Tahoma" w:cs="Tahoma"/>
                <w:i/>
                <w:iCs/>
                <w:sz w:val="20"/>
                <w:szCs w:val="24"/>
                <w:lang w:val="es-CO" w:eastAsia="es-ES"/>
              </w:rPr>
              <w:t>Artículo 3, literal c) de la Ley 1328 de 2009</w:t>
            </w:r>
            <w:r w:rsidRPr="002A1E9E">
              <w:rPr>
                <w:rFonts w:ascii="Tahoma" w:eastAsia="Times New Roman" w:hAnsi="Tahoma" w:cs="Tahoma"/>
                <w:sz w:val="20"/>
                <w:szCs w:val="24"/>
                <w:lang w:eastAsia="es-ES"/>
              </w:rPr>
              <w:t> </w:t>
            </w:r>
          </w:p>
          <w:p w14:paraId="63DAA429" w14:textId="77777777" w:rsidR="002A1E9E" w:rsidRPr="002A1E9E" w:rsidRDefault="002A1E9E" w:rsidP="002A1E9E">
            <w:pPr>
              <w:spacing w:line="276" w:lineRule="auto"/>
              <w:ind w:firstLine="0"/>
              <w:textAlignment w:val="baseline"/>
              <w:rPr>
                <w:rFonts w:ascii="Tahoma" w:eastAsia="Times New Roman" w:hAnsi="Tahoma" w:cs="Tahoma"/>
                <w:sz w:val="20"/>
                <w:szCs w:val="24"/>
                <w:lang w:eastAsia="es-ES"/>
              </w:rPr>
            </w:pPr>
            <w:r w:rsidRPr="002A1E9E">
              <w:rPr>
                <w:rFonts w:ascii="Tahoma" w:eastAsia="Times New Roman" w:hAnsi="Tahoma" w:cs="Tahoma"/>
                <w:i/>
                <w:iCs/>
                <w:sz w:val="20"/>
                <w:szCs w:val="24"/>
                <w:lang w:val="es-CO" w:eastAsia="es-ES"/>
              </w:rPr>
              <w:t>Decreto 2241 de 2010</w:t>
            </w:r>
            <w:r w:rsidRPr="002A1E9E">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55D8B0B4" w14:textId="77777777" w:rsidR="002A1E9E" w:rsidRPr="002A1E9E" w:rsidRDefault="002A1E9E" w:rsidP="002A1E9E">
            <w:pPr>
              <w:spacing w:line="276" w:lineRule="auto"/>
              <w:ind w:firstLine="0"/>
              <w:textAlignment w:val="baseline"/>
              <w:rPr>
                <w:rFonts w:ascii="Tahoma" w:eastAsia="Times New Roman" w:hAnsi="Tahoma" w:cs="Tahoma"/>
                <w:sz w:val="20"/>
                <w:szCs w:val="24"/>
                <w:lang w:eastAsia="es-ES"/>
              </w:rPr>
            </w:pPr>
            <w:r w:rsidRPr="002A1E9E">
              <w:rPr>
                <w:rFonts w:ascii="Tahoma" w:eastAsia="Times New Roman" w:hAnsi="Tahoma" w:cs="Tahoma"/>
                <w:i/>
                <w:iCs/>
                <w:sz w:val="20"/>
                <w:szCs w:val="24"/>
                <w:lang w:val="es-CO"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2A1E9E">
              <w:rPr>
                <w:rFonts w:ascii="Tahoma" w:eastAsia="Times New Roman" w:hAnsi="Tahoma" w:cs="Tahoma"/>
                <w:sz w:val="20"/>
                <w:szCs w:val="24"/>
                <w:lang w:eastAsia="es-ES"/>
              </w:rPr>
              <w:t> </w:t>
            </w:r>
          </w:p>
        </w:tc>
      </w:tr>
      <w:tr w:rsidR="002A1E9E" w:rsidRPr="002A1E9E" w14:paraId="031B4371" w14:textId="77777777" w:rsidTr="0086669D">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57E02C0" w14:textId="77777777" w:rsidR="002A1E9E" w:rsidRPr="002A1E9E" w:rsidRDefault="002A1E9E" w:rsidP="002A1E9E">
            <w:pPr>
              <w:spacing w:line="276" w:lineRule="auto"/>
              <w:ind w:firstLine="0"/>
              <w:textAlignment w:val="baseline"/>
              <w:rPr>
                <w:rFonts w:ascii="Tahoma" w:eastAsia="Times New Roman" w:hAnsi="Tahoma" w:cs="Tahoma"/>
                <w:sz w:val="20"/>
                <w:szCs w:val="24"/>
                <w:lang w:eastAsia="es-ES"/>
              </w:rPr>
            </w:pPr>
            <w:r w:rsidRPr="002A1E9E">
              <w:rPr>
                <w:rFonts w:ascii="Tahoma" w:eastAsia="Times New Roman" w:hAnsi="Tahoma" w:cs="Tahoma"/>
                <w:i/>
                <w:iCs/>
                <w:sz w:val="20"/>
                <w:szCs w:val="24"/>
                <w:lang w:val="es-CO" w:eastAsia="es-ES"/>
              </w:rPr>
              <w:t>Deber de información, asesoría, buen consejo y doble asesoría. </w:t>
            </w:r>
            <w:r w:rsidRPr="002A1E9E">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1E3C4A75" w14:textId="77777777" w:rsidR="002A1E9E" w:rsidRPr="002A1E9E" w:rsidRDefault="002A1E9E" w:rsidP="002A1E9E">
            <w:pPr>
              <w:spacing w:line="276" w:lineRule="auto"/>
              <w:ind w:firstLine="0"/>
              <w:textAlignment w:val="baseline"/>
              <w:rPr>
                <w:rFonts w:ascii="Tahoma" w:eastAsia="Times New Roman" w:hAnsi="Tahoma" w:cs="Tahoma"/>
                <w:sz w:val="20"/>
                <w:szCs w:val="24"/>
                <w:lang w:eastAsia="es-ES"/>
              </w:rPr>
            </w:pPr>
            <w:r w:rsidRPr="002A1E9E">
              <w:rPr>
                <w:rFonts w:ascii="Tahoma" w:eastAsia="Times New Roman" w:hAnsi="Tahoma" w:cs="Tahoma"/>
                <w:i/>
                <w:iCs/>
                <w:sz w:val="20"/>
                <w:szCs w:val="24"/>
                <w:lang w:val="es-CO" w:eastAsia="es-ES"/>
              </w:rPr>
              <w:t>Ley 1748 de 2014</w:t>
            </w:r>
            <w:r w:rsidRPr="002A1E9E">
              <w:rPr>
                <w:rFonts w:ascii="Tahoma" w:eastAsia="Times New Roman" w:hAnsi="Tahoma" w:cs="Tahoma"/>
                <w:sz w:val="20"/>
                <w:szCs w:val="24"/>
                <w:lang w:eastAsia="es-ES"/>
              </w:rPr>
              <w:t> </w:t>
            </w:r>
          </w:p>
          <w:p w14:paraId="0A0121A8" w14:textId="77777777" w:rsidR="002A1E9E" w:rsidRPr="002A1E9E" w:rsidRDefault="002A1E9E" w:rsidP="002A1E9E">
            <w:pPr>
              <w:spacing w:line="276" w:lineRule="auto"/>
              <w:ind w:firstLine="0"/>
              <w:textAlignment w:val="baseline"/>
              <w:rPr>
                <w:rFonts w:ascii="Tahoma" w:eastAsia="Times New Roman" w:hAnsi="Tahoma" w:cs="Tahoma"/>
                <w:sz w:val="20"/>
                <w:szCs w:val="24"/>
                <w:lang w:eastAsia="es-ES"/>
              </w:rPr>
            </w:pPr>
            <w:r w:rsidRPr="002A1E9E">
              <w:rPr>
                <w:rFonts w:ascii="Tahoma" w:eastAsia="Times New Roman" w:hAnsi="Tahoma" w:cs="Tahoma"/>
                <w:i/>
                <w:iCs/>
                <w:sz w:val="20"/>
                <w:szCs w:val="24"/>
                <w:lang w:val="es-CO" w:eastAsia="es-ES"/>
              </w:rPr>
              <w:t>Artículo 3 del Decreto 2071 de 2015</w:t>
            </w:r>
            <w:r w:rsidRPr="002A1E9E">
              <w:rPr>
                <w:rFonts w:ascii="Tahoma" w:eastAsia="Times New Roman" w:hAnsi="Tahoma" w:cs="Tahoma"/>
                <w:sz w:val="20"/>
                <w:szCs w:val="24"/>
                <w:lang w:eastAsia="es-ES"/>
              </w:rPr>
              <w:t> </w:t>
            </w:r>
          </w:p>
          <w:p w14:paraId="6874D184" w14:textId="77777777" w:rsidR="002A1E9E" w:rsidRPr="002A1E9E" w:rsidRDefault="002A1E9E" w:rsidP="002A1E9E">
            <w:pPr>
              <w:spacing w:line="276" w:lineRule="auto"/>
              <w:ind w:firstLine="0"/>
              <w:textAlignment w:val="baseline"/>
              <w:rPr>
                <w:rFonts w:ascii="Tahoma" w:eastAsia="Times New Roman" w:hAnsi="Tahoma" w:cs="Tahoma"/>
                <w:sz w:val="20"/>
                <w:szCs w:val="24"/>
                <w:lang w:eastAsia="es-ES"/>
              </w:rPr>
            </w:pPr>
            <w:r w:rsidRPr="002A1E9E">
              <w:rPr>
                <w:rFonts w:ascii="Tahoma" w:eastAsia="Times New Roman" w:hAnsi="Tahoma" w:cs="Tahoma"/>
                <w:i/>
                <w:iCs/>
                <w:sz w:val="20"/>
                <w:szCs w:val="24"/>
                <w:lang w:val="es-CO" w:eastAsia="es-ES"/>
              </w:rPr>
              <w:t>Circular Externa n. 016 de 2016</w:t>
            </w:r>
            <w:r w:rsidRPr="002A1E9E">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6496AA97" w14:textId="77777777" w:rsidR="002A1E9E" w:rsidRPr="002A1E9E" w:rsidRDefault="002A1E9E" w:rsidP="002A1E9E">
            <w:pPr>
              <w:spacing w:line="276" w:lineRule="auto"/>
              <w:ind w:firstLine="0"/>
              <w:textAlignment w:val="baseline"/>
              <w:rPr>
                <w:rFonts w:ascii="Tahoma" w:eastAsia="Times New Roman" w:hAnsi="Tahoma" w:cs="Tahoma"/>
                <w:sz w:val="20"/>
                <w:szCs w:val="24"/>
                <w:lang w:eastAsia="es-ES"/>
              </w:rPr>
            </w:pPr>
            <w:r w:rsidRPr="002A1E9E">
              <w:rPr>
                <w:rFonts w:ascii="Tahoma" w:eastAsia="Times New Roman" w:hAnsi="Tahoma" w:cs="Tahoma"/>
                <w:i/>
                <w:iCs/>
                <w:sz w:val="20"/>
                <w:szCs w:val="24"/>
                <w:lang w:val="es-CO" w:eastAsia="es-ES"/>
              </w:rPr>
              <w:t>Junto con lo anterior, lleva inmerso el derecho a obtener asesoría de los representantes de ambos regímenes pensionales.</w:t>
            </w:r>
            <w:r w:rsidRPr="002A1E9E">
              <w:rPr>
                <w:rFonts w:ascii="Tahoma" w:eastAsia="Times New Roman" w:hAnsi="Tahoma" w:cs="Tahoma"/>
                <w:sz w:val="20"/>
                <w:szCs w:val="24"/>
                <w:lang w:eastAsia="es-ES"/>
              </w:rPr>
              <w:t> </w:t>
            </w:r>
          </w:p>
        </w:tc>
      </w:tr>
    </w:tbl>
    <w:p w14:paraId="47F6FEB2" w14:textId="77777777" w:rsidR="002A1E9E" w:rsidRPr="002A1E9E" w:rsidRDefault="002A1E9E" w:rsidP="002A1E9E">
      <w:pPr>
        <w:spacing w:line="240" w:lineRule="auto"/>
        <w:ind w:left="426" w:right="420"/>
        <w:rPr>
          <w:rFonts w:ascii="Tahoma" w:eastAsia="Calibri" w:hAnsi="Tahoma" w:cs="Tahoma"/>
          <w:b/>
          <w:i/>
          <w:spacing w:val="-4"/>
          <w:szCs w:val="24"/>
          <w:lang w:val="es-CO"/>
        </w:rPr>
      </w:pPr>
    </w:p>
    <w:p w14:paraId="6995D8CB" w14:textId="77777777" w:rsidR="002A1E9E" w:rsidRPr="002A1E9E" w:rsidRDefault="002A1E9E" w:rsidP="002A1E9E">
      <w:pPr>
        <w:spacing w:line="240" w:lineRule="auto"/>
        <w:ind w:left="426" w:right="420"/>
        <w:rPr>
          <w:rFonts w:ascii="Tahoma" w:eastAsia="Calibri" w:hAnsi="Tahoma" w:cs="Tahoma"/>
          <w:b/>
          <w:i/>
          <w:spacing w:val="-4"/>
          <w:szCs w:val="24"/>
          <w:lang w:val="es-CO"/>
        </w:rPr>
      </w:pPr>
      <w:r w:rsidRPr="002A1E9E">
        <w:rPr>
          <w:rFonts w:ascii="Tahoma" w:eastAsia="Calibri" w:hAnsi="Tahoma" w:cs="Tahoma"/>
          <w:b/>
          <w:i/>
          <w:spacing w:val="-4"/>
          <w:szCs w:val="24"/>
          <w:lang w:val="es-CO"/>
        </w:rPr>
        <w:t>1.4 Conclusión: La constatación del deber de información es ineludible</w:t>
      </w:r>
    </w:p>
    <w:p w14:paraId="34AAC454" w14:textId="77777777" w:rsidR="002A1E9E" w:rsidRPr="002A1E9E" w:rsidRDefault="002A1E9E" w:rsidP="002A1E9E">
      <w:pPr>
        <w:spacing w:line="240" w:lineRule="auto"/>
        <w:ind w:left="426" w:right="420"/>
        <w:rPr>
          <w:rFonts w:ascii="Tahoma" w:eastAsia="Calibri" w:hAnsi="Tahoma" w:cs="Tahoma"/>
          <w:b/>
          <w:i/>
          <w:spacing w:val="-4"/>
          <w:szCs w:val="24"/>
          <w:lang w:val="es-CO"/>
        </w:rPr>
      </w:pPr>
    </w:p>
    <w:p w14:paraId="163AA987" w14:textId="77777777" w:rsidR="002A1E9E" w:rsidRPr="002A1E9E" w:rsidRDefault="002A1E9E" w:rsidP="002A1E9E">
      <w:pPr>
        <w:spacing w:line="240" w:lineRule="auto"/>
        <w:ind w:left="426" w:right="420" w:firstLine="1"/>
        <w:rPr>
          <w:rFonts w:ascii="Tahoma" w:eastAsia="Calibri" w:hAnsi="Tahoma" w:cs="Tahoma"/>
          <w:i/>
          <w:spacing w:val="-4"/>
          <w:szCs w:val="24"/>
          <w:lang w:val="es-CO"/>
        </w:rPr>
      </w:pPr>
      <w:r w:rsidRPr="002A1E9E">
        <w:rPr>
          <w:rFonts w:ascii="Tahoma" w:eastAsia="Calibri" w:hAnsi="Tahoma" w:cs="Tahoma"/>
          <w:i/>
          <w:spacing w:val="-4"/>
          <w:szCs w:val="24"/>
          <w:lang w:val="es-CO"/>
        </w:rPr>
        <w:t xml:space="preserve">Según se pudo advertir del anterior recuento, </w:t>
      </w:r>
      <w:r w:rsidRPr="002A1E9E">
        <w:rPr>
          <w:rFonts w:ascii="Tahoma" w:eastAsia="Calibri" w:hAnsi="Tahoma" w:cs="Tahoma"/>
          <w:b/>
          <w:i/>
          <w:spacing w:val="-4"/>
          <w:szCs w:val="24"/>
          <w:lang w:val="es-CO"/>
        </w:rPr>
        <w:t>las AFP, desde su creación, tenían el deber de brindar información a los afiliados o usuarios del sistema pensional a fin de que estos pudiesen adoptar una decisión consciente y realmente libre sobre su futuro pensional.</w:t>
      </w:r>
      <w:r w:rsidRPr="002A1E9E">
        <w:rPr>
          <w:rFonts w:ascii="Tahoma" w:eastAsia="Calibri" w:hAnsi="Tahoma" w:cs="Tahoma"/>
          <w:i/>
          <w:spacing w:val="-4"/>
          <w:szCs w:val="24"/>
          <w:lang w:val="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63865FCE" w14:textId="77777777" w:rsidR="002A1E9E" w:rsidRPr="002A1E9E" w:rsidRDefault="002A1E9E" w:rsidP="002A1E9E">
      <w:pPr>
        <w:spacing w:line="240" w:lineRule="auto"/>
        <w:ind w:left="426" w:right="420" w:firstLine="1"/>
        <w:rPr>
          <w:rFonts w:ascii="Tahoma" w:eastAsia="Calibri" w:hAnsi="Tahoma" w:cs="Tahoma"/>
          <w:i/>
          <w:spacing w:val="-4"/>
          <w:szCs w:val="24"/>
          <w:lang w:val="es-CO"/>
        </w:rPr>
      </w:pPr>
    </w:p>
    <w:p w14:paraId="351651C8" w14:textId="77777777" w:rsidR="002A1E9E" w:rsidRPr="002A1E9E" w:rsidRDefault="002A1E9E" w:rsidP="002A1E9E">
      <w:pPr>
        <w:spacing w:line="240" w:lineRule="auto"/>
        <w:ind w:left="426" w:right="420" w:firstLine="0"/>
        <w:rPr>
          <w:rFonts w:ascii="Tahoma" w:eastAsia="Calibri" w:hAnsi="Tahoma" w:cs="Tahoma"/>
          <w:i/>
          <w:spacing w:val="-4"/>
          <w:szCs w:val="24"/>
          <w:lang w:val="es-CO"/>
        </w:rPr>
      </w:pPr>
      <w:r w:rsidRPr="002A1E9E">
        <w:rPr>
          <w:rFonts w:ascii="Tahoma" w:eastAsia="Calibri" w:hAnsi="Tahoma" w:cs="Tahoma"/>
          <w:i/>
          <w:spacing w:val="-4"/>
          <w:szCs w:val="24"/>
          <w:lang w:val="es-CO"/>
        </w:rPr>
        <w:t xml:space="preserve">Así las cosas, el Tribunal cometió un primer error al concluir que la responsabilidad por el incumplimiento o entrega de información deficitaria surgió con el </w:t>
      </w:r>
      <w:r w:rsidRPr="002A1E9E">
        <w:rPr>
          <w:rFonts w:ascii="Tahoma" w:eastAsia="Calibri" w:hAnsi="Tahoma" w:cs="Tahoma"/>
          <w:i/>
          <w:spacing w:val="-4"/>
          <w:szCs w:val="24"/>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2A1E9E">
        <w:rPr>
          <w:rFonts w:ascii="Tahoma" w:eastAsia="Calibri" w:hAnsi="Tahoma" w:cs="Tahoma"/>
          <w:i/>
          <w:spacing w:val="-4"/>
          <w:szCs w:val="24"/>
          <w:lang w:val="es-CO"/>
        </w:rPr>
        <w:t xml:space="preserve">  </w:t>
      </w:r>
    </w:p>
    <w:p w14:paraId="344C275F" w14:textId="77777777" w:rsidR="002A1E9E" w:rsidRPr="002A1E9E" w:rsidRDefault="002A1E9E" w:rsidP="002A1E9E">
      <w:pPr>
        <w:spacing w:line="240" w:lineRule="auto"/>
        <w:ind w:left="426" w:right="420"/>
        <w:rPr>
          <w:rFonts w:ascii="Tahoma" w:eastAsia="Calibri" w:hAnsi="Tahoma" w:cs="Tahoma"/>
          <w:i/>
          <w:spacing w:val="-4"/>
          <w:szCs w:val="24"/>
          <w:lang w:val="es-CO"/>
        </w:rPr>
      </w:pPr>
    </w:p>
    <w:p w14:paraId="688F2673" w14:textId="77777777" w:rsidR="002A1E9E" w:rsidRPr="002A1E9E" w:rsidRDefault="002A1E9E" w:rsidP="002A1E9E">
      <w:pPr>
        <w:spacing w:line="240" w:lineRule="auto"/>
        <w:ind w:left="426" w:right="420" w:firstLine="0"/>
        <w:rPr>
          <w:rFonts w:ascii="Tahoma" w:eastAsia="Calibri" w:hAnsi="Tahoma" w:cs="Tahoma"/>
          <w:i/>
          <w:spacing w:val="-4"/>
          <w:szCs w:val="24"/>
          <w:lang w:val="es-CO"/>
        </w:rPr>
      </w:pPr>
      <w:r w:rsidRPr="002A1E9E">
        <w:rPr>
          <w:rFonts w:ascii="Tahoma" w:eastAsia="Calibri" w:hAnsi="Tahoma" w:cs="Tahoma"/>
          <w:i/>
          <w:spacing w:val="-4"/>
          <w:szCs w:val="24"/>
          <w:lang w:val="es-CO"/>
        </w:rPr>
        <w:t xml:space="preserve">Adicionalmente, la Sala no puede pasar por alto la indebida fundamentación con la que </w:t>
      </w:r>
      <w:r w:rsidRPr="002A1E9E">
        <w:rPr>
          <w:rFonts w:ascii="Tahoma" w:eastAsia="Calibri" w:hAnsi="Tahoma" w:cs="Tahoma"/>
          <w:bCs/>
          <w:i/>
          <w:szCs w:val="24"/>
        </w:rPr>
        <w:t>la Sala Primera de Decisión Laboral del Tribunal de Medellín</w:t>
      </w:r>
      <w:r w:rsidRPr="002A1E9E">
        <w:rPr>
          <w:rFonts w:ascii="Tahoma" w:eastAsia="Calibri" w:hAnsi="Tahoma" w:cs="Tahoma"/>
          <w:i/>
          <w:spacing w:val="-4"/>
          <w:szCs w:val="24"/>
          <w:lang w:val="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688B5C91" w14:textId="77777777" w:rsidR="00F7005F" w:rsidRPr="00846C67" w:rsidRDefault="00F7005F" w:rsidP="00846C67">
      <w:pPr>
        <w:spacing w:line="276" w:lineRule="auto"/>
        <w:ind w:left="708"/>
        <w:rPr>
          <w:rFonts w:ascii="Tahoma" w:hAnsi="Tahoma" w:cs="Tahoma"/>
          <w:i/>
          <w:spacing w:val="-4"/>
          <w:sz w:val="24"/>
          <w:szCs w:val="24"/>
          <w:lang w:val="es-CO"/>
        </w:rPr>
      </w:pPr>
    </w:p>
    <w:p w14:paraId="456B2741" w14:textId="77777777" w:rsidR="00F7005F" w:rsidRPr="00846C67" w:rsidRDefault="00F7005F" w:rsidP="00846C67">
      <w:pPr>
        <w:spacing w:line="276" w:lineRule="auto"/>
        <w:ind w:firstLine="644"/>
        <w:rPr>
          <w:rFonts w:ascii="Tahoma" w:hAnsi="Tahoma" w:cs="Tahoma"/>
          <w:spacing w:val="-4"/>
          <w:sz w:val="24"/>
          <w:szCs w:val="24"/>
          <w:lang w:val="es-CO"/>
        </w:rPr>
      </w:pPr>
      <w:r w:rsidRPr="00846C67">
        <w:rPr>
          <w:rFonts w:ascii="Tahoma" w:hAnsi="Tahoma" w:cs="Tahoma"/>
          <w:spacing w:val="-4"/>
          <w:sz w:val="24"/>
          <w:szCs w:val="24"/>
          <w:lang w:val="es-CO"/>
        </w:rPr>
        <w:t>Con lo dicho precedentemente queda resuelto el primer problema jurídico.</w:t>
      </w:r>
    </w:p>
    <w:p w14:paraId="00E941FE" w14:textId="77777777" w:rsidR="00F7005F" w:rsidRPr="00846C67" w:rsidRDefault="00F7005F" w:rsidP="00846C67">
      <w:pPr>
        <w:spacing w:line="276" w:lineRule="auto"/>
        <w:ind w:firstLine="644"/>
        <w:rPr>
          <w:rFonts w:ascii="Tahoma" w:hAnsi="Tahoma" w:cs="Tahoma"/>
          <w:spacing w:val="-4"/>
          <w:sz w:val="24"/>
          <w:szCs w:val="24"/>
          <w:lang w:val="es-CO"/>
        </w:rPr>
      </w:pPr>
    </w:p>
    <w:p w14:paraId="0F955703" w14:textId="77777777" w:rsidR="00F7005F" w:rsidRPr="00846C67" w:rsidRDefault="00F7005F" w:rsidP="00846C67">
      <w:pPr>
        <w:pStyle w:val="Prrafodelista"/>
        <w:numPr>
          <w:ilvl w:val="1"/>
          <w:numId w:val="2"/>
        </w:numPr>
        <w:tabs>
          <w:tab w:val="left" w:pos="1134"/>
        </w:tabs>
        <w:spacing w:line="276" w:lineRule="auto"/>
        <w:ind w:left="0" w:firstLine="709"/>
        <w:rPr>
          <w:rFonts w:ascii="Tahoma" w:eastAsiaTheme="minorHAnsi" w:hAnsi="Tahoma" w:cs="Tahoma"/>
          <w:b/>
          <w:spacing w:val="-4"/>
          <w:lang w:val="es-CO" w:eastAsia="en-US"/>
        </w:rPr>
      </w:pPr>
      <w:r w:rsidRPr="00846C67">
        <w:rPr>
          <w:rFonts w:ascii="Tahoma" w:hAnsi="Tahoma" w:cs="Tahoma"/>
          <w:b/>
          <w:i/>
          <w:spacing w:val="-4"/>
          <w:lang w:val="es-CO"/>
        </w:rPr>
        <w:t xml:space="preserve">“El simple consentimiento vertido en el formulario de afiliación es insuficiente – Necesidad de un consentimiento informado” </w:t>
      </w:r>
      <w:r w:rsidRPr="00846C67">
        <w:rPr>
          <w:rStyle w:val="Refdenotaalpie"/>
          <w:rFonts w:ascii="Tahoma" w:hAnsi="Tahoma" w:cs="Tahoma"/>
          <w:b/>
          <w:i/>
          <w:spacing w:val="-4"/>
          <w:lang w:val="es-CO"/>
        </w:rPr>
        <w:footnoteReference w:id="3"/>
      </w:r>
      <w:r w:rsidRPr="00846C67">
        <w:rPr>
          <w:rFonts w:ascii="Tahoma" w:eastAsiaTheme="minorHAnsi" w:hAnsi="Tahoma" w:cs="Tahoma"/>
          <w:b/>
          <w:spacing w:val="-4"/>
          <w:lang w:val="es-CO" w:eastAsia="en-US"/>
        </w:rPr>
        <w:t xml:space="preserve"> </w:t>
      </w:r>
    </w:p>
    <w:p w14:paraId="6F37C83C" w14:textId="77777777" w:rsidR="00F7005F" w:rsidRPr="00846C67" w:rsidRDefault="00F7005F" w:rsidP="00846C67">
      <w:pPr>
        <w:spacing w:line="276" w:lineRule="auto"/>
        <w:rPr>
          <w:rFonts w:ascii="Tahoma" w:hAnsi="Tahoma" w:cs="Tahoma"/>
          <w:spacing w:val="-4"/>
          <w:sz w:val="24"/>
          <w:szCs w:val="24"/>
          <w:lang w:val="es-CO"/>
        </w:rPr>
      </w:pPr>
    </w:p>
    <w:p w14:paraId="4A098957" w14:textId="77777777" w:rsidR="00F7005F" w:rsidRPr="00846C67" w:rsidRDefault="00F7005F" w:rsidP="00846C67">
      <w:pPr>
        <w:spacing w:line="276" w:lineRule="auto"/>
        <w:rPr>
          <w:rFonts w:ascii="Tahoma" w:hAnsi="Tahoma" w:cs="Tahoma"/>
          <w:spacing w:val="-4"/>
          <w:sz w:val="24"/>
          <w:szCs w:val="24"/>
          <w:lang w:val="es-CO"/>
        </w:rPr>
      </w:pPr>
      <w:r w:rsidRPr="00846C67">
        <w:rPr>
          <w:rFonts w:ascii="Tahoma" w:hAnsi="Tahoma" w:cs="Tahoma"/>
          <w:spacing w:val="-4"/>
          <w:sz w:val="24"/>
          <w:szCs w:val="24"/>
          <w:lang w:val="es-CO"/>
        </w:rPr>
        <w:lastRenderedPageBreak/>
        <w:t xml:space="preserve">El segundo problema jurídico relativo al valor probatorio de los formularios de afiliación, fue abordado y reiterado en la sentencia a la que venimos haciendo referencia, en el sentido de que los formularios de afiliación a lo sumo acreditan un consentimiento </w:t>
      </w:r>
      <w:r w:rsidRPr="00846C67">
        <w:rPr>
          <w:rFonts w:ascii="Tahoma" w:hAnsi="Tahoma" w:cs="Tahoma"/>
          <w:b/>
          <w:spacing w:val="-4"/>
          <w:sz w:val="24"/>
          <w:szCs w:val="24"/>
          <w:lang w:val="es-CO"/>
        </w:rPr>
        <w:t>pero no informado</w:t>
      </w:r>
      <w:r w:rsidRPr="00846C67">
        <w:rPr>
          <w:rFonts w:ascii="Tahoma" w:hAnsi="Tahoma" w:cs="Tahoma"/>
          <w:spacing w:val="-4"/>
          <w:sz w:val="24"/>
          <w:szCs w:val="24"/>
          <w:lang w:val="es-CO"/>
        </w:rPr>
        <w:t xml:space="preserve">, tal como se expresa a continuación: </w:t>
      </w:r>
    </w:p>
    <w:p w14:paraId="6AE6A140" w14:textId="77777777" w:rsidR="00F7005F" w:rsidRPr="00846C67" w:rsidRDefault="00F7005F" w:rsidP="00846C67">
      <w:pPr>
        <w:spacing w:line="276" w:lineRule="auto"/>
        <w:rPr>
          <w:rFonts w:ascii="Tahoma" w:hAnsi="Tahoma" w:cs="Tahoma"/>
          <w:spacing w:val="-4"/>
          <w:sz w:val="24"/>
          <w:szCs w:val="24"/>
          <w:lang w:val="es-CO"/>
        </w:rPr>
      </w:pPr>
    </w:p>
    <w:p w14:paraId="5E00EEF2" w14:textId="77777777" w:rsidR="002A1E9E" w:rsidRPr="002A1E9E" w:rsidRDefault="002A1E9E" w:rsidP="002A1E9E">
      <w:pPr>
        <w:spacing w:line="240" w:lineRule="auto"/>
        <w:ind w:left="426" w:right="420" w:firstLine="1"/>
        <w:rPr>
          <w:rFonts w:ascii="Tahoma" w:eastAsia="Calibri" w:hAnsi="Tahoma" w:cs="Tahoma"/>
          <w:i/>
          <w:spacing w:val="-4"/>
          <w:szCs w:val="24"/>
          <w:lang w:val="es-CO"/>
        </w:rPr>
      </w:pPr>
      <w:r w:rsidRPr="002A1E9E">
        <w:rPr>
          <w:rFonts w:ascii="Tahoma" w:eastAsia="Calibri" w:hAnsi="Tahoma" w:cs="Tahoma"/>
          <w:i/>
          <w:spacing w:val="-4"/>
          <w:szCs w:val="24"/>
          <w:lang w:val="es-CO"/>
        </w:rPr>
        <w:t xml:space="preserve">“Para el Tribunal el consentimiento informado no es predicable del acto jurídico de traslado, pues basta la consignación en el formulario de que la afiliación se hizo de manera libre y voluntaria. </w:t>
      </w:r>
    </w:p>
    <w:p w14:paraId="64DBB58C" w14:textId="77777777" w:rsidR="002A1E9E" w:rsidRPr="002A1E9E" w:rsidRDefault="002A1E9E" w:rsidP="002A1E9E">
      <w:pPr>
        <w:spacing w:line="240" w:lineRule="auto"/>
        <w:ind w:left="426" w:right="420" w:firstLine="1"/>
        <w:rPr>
          <w:rFonts w:ascii="Tahoma" w:eastAsia="Calibri" w:hAnsi="Tahoma" w:cs="Tahoma"/>
          <w:i/>
          <w:spacing w:val="-4"/>
          <w:szCs w:val="24"/>
          <w:lang w:val="es-CO"/>
        </w:rPr>
      </w:pPr>
    </w:p>
    <w:p w14:paraId="3BDB2E40" w14:textId="59D0B81A" w:rsidR="002A1E9E" w:rsidRDefault="002A1E9E" w:rsidP="002A1E9E">
      <w:pPr>
        <w:spacing w:line="240" w:lineRule="auto"/>
        <w:ind w:left="426" w:right="420" w:firstLine="1"/>
        <w:rPr>
          <w:rFonts w:ascii="Tahoma" w:eastAsia="Calibri" w:hAnsi="Tahoma" w:cs="Tahoma"/>
          <w:i/>
          <w:spacing w:val="-4"/>
          <w:szCs w:val="24"/>
          <w:lang w:val="es-CO"/>
        </w:rPr>
      </w:pPr>
      <w:r w:rsidRPr="002A1E9E">
        <w:rPr>
          <w:rFonts w:ascii="Tahoma" w:eastAsia="Calibri" w:hAnsi="Tahoma" w:cs="Tahoma"/>
          <w:i/>
          <w:spacing w:val="-4"/>
          <w:szCs w:val="24"/>
          <w:lang w:val="es-CO"/>
        </w:rPr>
        <w:t xml:space="preserve">La Sala considera desacertada esta tesis, en la medida que la firma del formulario, al igual que las afirmaciones consignadas en los formatos </w:t>
      </w:r>
      <w:proofErr w:type="spellStart"/>
      <w:r w:rsidRPr="002A1E9E">
        <w:rPr>
          <w:rFonts w:ascii="Tahoma" w:eastAsia="Calibri" w:hAnsi="Tahoma" w:cs="Tahoma"/>
          <w:i/>
          <w:spacing w:val="-4"/>
          <w:szCs w:val="24"/>
          <w:lang w:val="es-CO"/>
        </w:rPr>
        <w:t>preimpresos</w:t>
      </w:r>
      <w:proofErr w:type="spellEnd"/>
      <w:r w:rsidRPr="002A1E9E">
        <w:rPr>
          <w:rFonts w:ascii="Tahoma" w:eastAsia="Calibri" w:hAnsi="Tahoma" w:cs="Tahoma"/>
          <w:i/>
          <w:spacing w:val="-4"/>
          <w:szCs w:val="24"/>
          <w:lang w:val="es-CO"/>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3733A8AB" w14:textId="77777777" w:rsidR="00D6390A" w:rsidRPr="002A1E9E" w:rsidRDefault="00D6390A" w:rsidP="002A1E9E">
      <w:pPr>
        <w:spacing w:line="240" w:lineRule="auto"/>
        <w:ind w:left="426" w:right="420" w:firstLine="1"/>
        <w:rPr>
          <w:rFonts w:ascii="Tahoma" w:eastAsia="Calibri" w:hAnsi="Tahoma" w:cs="Tahoma"/>
          <w:i/>
          <w:spacing w:val="-4"/>
          <w:szCs w:val="24"/>
          <w:lang w:val="es-CO"/>
        </w:rPr>
      </w:pPr>
    </w:p>
    <w:p w14:paraId="628A3014" w14:textId="77777777" w:rsidR="002A1E9E" w:rsidRPr="002A1E9E" w:rsidRDefault="002A1E9E" w:rsidP="002A1E9E">
      <w:pPr>
        <w:spacing w:line="240" w:lineRule="auto"/>
        <w:ind w:left="426" w:right="420" w:firstLine="1"/>
        <w:rPr>
          <w:rFonts w:ascii="Tahoma" w:eastAsia="Calibri" w:hAnsi="Tahoma" w:cs="Tahoma"/>
          <w:i/>
          <w:spacing w:val="-4"/>
          <w:szCs w:val="24"/>
          <w:lang w:val="es-CO"/>
        </w:rPr>
      </w:pPr>
      <w:r w:rsidRPr="002A1E9E">
        <w:rPr>
          <w:rFonts w:ascii="Tahoma" w:eastAsia="Calibri" w:hAnsi="Tahoma" w:cs="Tahoma"/>
          <w:i/>
          <w:spacing w:val="-4"/>
          <w:szCs w:val="24"/>
          <w:lang w:val="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6A635F82" w14:textId="77777777" w:rsidR="002A1E9E" w:rsidRPr="002A1E9E" w:rsidRDefault="002A1E9E" w:rsidP="002A1E9E">
      <w:pPr>
        <w:spacing w:line="240" w:lineRule="auto"/>
        <w:ind w:left="426" w:right="420" w:firstLine="1"/>
        <w:rPr>
          <w:rFonts w:ascii="Tahoma" w:eastAsia="Calibri" w:hAnsi="Tahoma" w:cs="Tahoma"/>
          <w:i/>
          <w:spacing w:val="-4"/>
          <w:szCs w:val="24"/>
          <w:lang w:val="es-CO"/>
        </w:rPr>
      </w:pPr>
    </w:p>
    <w:p w14:paraId="0153DBD1" w14:textId="77777777" w:rsidR="002A1E9E" w:rsidRPr="002A1E9E" w:rsidRDefault="002A1E9E" w:rsidP="002A1E9E">
      <w:pPr>
        <w:spacing w:line="240" w:lineRule="auto"/>
        <w:ind w:left="426" w:right="420" w:firstLine="1"/>
        <w:rPr>
          <w:rFonts w:ascii="Tahoma" w:eastAsia="Calibri" w:hAnsi="Tahoma" w:cs="Tahoma"/>
          <w:i/>
          <w:spacing w:val="-4"/>
          <w:szCs w:val="24"/>
          <w:lang w:val="es-CO"/>
        </w:rPr>
      </w:pPr>
      <w:r w:rsidRPr="002A1E9E">
        <w:rPr>
          <w:rFonts w:ascii="Tahoma" w:eastAsia="Calibri" w:hAnsi="Tahoma" w:cs="Tahoma"/>
          <w:i/>
          <w:spacing w:val="-4"/>
          <w:szCs w:val="24"/>
          <w:lang w:val="es-CO"/>
        </w:rPr>
        <w:t xml:space="preserve">Por tanto, hoy en el campo de la seguridad social, existe un verdadero e insoslayable deber de obtener un consentimiento informado (CSJ </w:t>
      </w:r>
      <w:proofErr w:type="spellStart"/>
      <w:r w:rsidRPr="002A1E9E">
        <w:rPr>
          <w:rFonts w:ascii="Tahoma" w:eastAsia="Calibri" w:hAnsi="Tahoma" w:cs="Tahoma"/>
          <w:i/>
          <w:spacing w:val="-4"/>
          <w:szCs w:val="24"/>
          <w:lang w:val="es-CO"/>
        </w:rPr>
        <w:t>SL19447</w:t>
      </w:r>
      <w:proofErr w:type="spellEnd"/>
      <w:r w:rsidRPr="002A1E9E">
        <w:rPr>
          <w:rFonts w:ascii="Tahoma" w:eastAsia="Calibri" w:hAnsi="Tahoma" w:cs="Tahoma"/>
          <w:i/>
          <w:spacing w:val="-4"/>
          <w:szCs w:val="24"/>
          <w:lang w:val="es-CO"/>
        </w:rPr>
        <w:t>-2017),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6CDAF08B" w14:textId="77777777" w:rsidR="00F7005F" w:rsidRPr="00846C67" w:rsidRDefault="00F7005F" w:rsidP="00846C67">
      <w:pPr>
        <w:spacing w:line="276" w:lineRule="auto"/>
        <w:ind w:left="708"/>
        <w:rPr>
          <w:rFonts w:ascii="Tahoma" w:hAnsi="Tahoma" w:cs="Tahoma"/>
          <w:spacing w:val="-4"/>
          <w:sz w:val="24"/>
          <w:szCs w:val="24"/>
          <w:lang w:val="es-CO"/>
        </w:rPr>
      </w:pPr>
    </w:p>
    <w:p w14:paraId="264B029A" w14:textId="77777777" w:rsidR="00F7005F" w:rsidRDefault="00F7005F" w:rsidP="00846C67">
      <w:pPr>
        <w:widowControl w:val="0"/>
        <w:tabs>
          <w:tab w:val="left" w:pos="709"/>
        </w:tabs>
        <w:autoSpaceDE w:val="0"/>
        <w:autoSpaceDN w:val="0"/>
        <w:adjustRightInd w:val="0"/>
        <w:spacing w:line="276" w:lineRule="auto"/>
        <w:rPr>
          <w:rFonts w:ascii="Tahoma" w:hAnsi="Tahoma" w:cs="Tahoma"/>
          <w:bCs/>
          <w:sz w:val="24"/>
          <w:szCs w:val="24"/>
        </w:rPr>
      </w:pPr>
      <w:r w:rsidRPr="00846C67">
        <w:rPr>
          <w:rFonts w:ascii="Tahoma" w:hAnsi="Tahoma" w:cs="Tahoma"/>
          <w:bCs/>
          <w:sz w:val="24"/>
          <w:szCs w:val="24"/>
        </w:rPr>
        <w:t xml:space="preserve">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w:t>
      </w:r>
      <w:proofErr w:type="spellStart"/>
      <w:r w:rsidRPr="00846C67">
        <w:rPr>
          <w:rFonts w:ascii="Tahoma" w:hAnsi="Tahoma" w:cs="Tahoma"/>
          <w:bCs/>
          <w:sz w:val="24"/>
          <w:szCs w:val="24"/>
        </w:rPr>
        <w:t>RAIS</w:t>
      </w:r>
      <w:proofErr w:type="spellEnd"/>
      <w:r w:rsidRPr="00846C67">
        <w:rPr>
          <w:rFonts w:ascii="Tahoma" w:hAnsi="Tahoma" w:cs="Tahoma"/>
          <w:bCs/>
          <w:sz w:val="24"/>
          <w:szCs w:val="24"/>
        </w:rPr>
        <w:t xml:space="preserve">,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w:t>
      </w:r>
      <w:proofErr w:type="spellStart"/>
      <w:r w:rsidRPr="00846C67">
        <w:rPr>
          <w:rFonts w:ascii="Tahoma" w:hAnsi="Tahoma" w:cs="Tahoma"/>
          <w:bCs/>
          <w:sz w:val="24"/>
          <w:szCs w:val="24"/>
        </w:rPr>
        <w:t>SL12136</w:t>
      </w:r>
      <w:proofErr w:type="spellEnd"/>
      <w:r w:rsidRPr="00846C67">
        <w:rPr>
          <w:rFonts w:ascii="Tahoma" w:hAnsi="Tahoma" w:cs="Tahoma"/>
          <w:bCs/>
          <w:sz w:val="24"/>
          <w:szCs w:val="24"/>
        </w:rPr>
        <w:t>-2014 en la que se dijo lo siguiente:</w:t>
      </w:r>
    </w:p>
    <w:p w14:paraId="09248F63" w14:textId="77777777" w:rsidR="002A1E9E" w:rsidRPr="00846C67" w:rsidRDefault="002A1E9E" w:rsidP="00846C67">
      <w:pPr>
        <w:widowControl w:val="0"/>
        <w:tabs>
          <w:tab w:val="left" w:pos="709"/>
        </w:tabs>
        <w:autoSpaceDE w:val="0"/>
        <w:autoSpaceDN w:val="0"/>
        <w:adjustRightInd w:val="0"/>
        <w:spacing w:line="276" w:lineRule="auto"/>
        <w:rPr>
          <w:rFonts w:ascii="Tahoma" w:hAnsi="Tahoma" w:cs="Tahoma"/>
          <w:bCs/>
          <w:sz w:val="24"/>
          <w:szCs w:val="24"/>
        </w:rPr>
      </w:pPr>
    </w:p>
    <w:p w14:paraId="1A659859" w14:textId="77777777" w:rsidR="002A1E9E" w:rsidRPr="002A1E9E" w:rsidRDefault="002A1E9E" w:rsidP="002A1E9E">
      <w:pPr>
        <w:spacing w:line="240" w:lineRule="auto"/>
        <w:ind w:left="426" w:right="420" w:firstLine="0"/>
        <w:rPr>
          <w:rFonts w:ascii="Tahoma" w:eastAsia="Calibri" w:hAnsi="Tahoma" w:cs="Tahoma"/>
          <w:i/>
          <w:spacing w:val="-4"/>
          <w:szCs w:val="24"/>
        </w:rPr>
      </w:pPr>
      <w:r w:rsidRPr="002A1E9E">
        <w:rPr>
          <w:rFonts w:ascii="Tahoma" w:eastAsia="Calibri" w:hAnsi="Tahoma" w:cs="Tahoma"/>
          <w:i/>
          <w:spacing w:val="-4"/>
          <w:szCs w:val="24"/>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46925BCF" w14:textId="77777777" w:rsidR="002A1E9E" w:rsidRPr="002A1E9E" w:rsidRDefault="002A1E9E" w:rsidP="002A1E9E">
      <w:pPr>
        <w:spacing w:line="240" w:lineRule="auto"/>
        <w:ind w:left="426" w:right="420" w:firstLine="708"/>
        <w:rPr>
          <w:rFonts w:ascii="Tahoma" w:eastAsia="Calibri" w:hAnsi="Tahoma" w:cs="Tahoma"/>
          <w:b/>
          <w:i/>
          <w:spacing w:val="-4"/>
          <w:szCs w:val="24"/>
        </w:rPr>
      </w:pPr>
    </w:p>
    <w:p w14:paraId="77D8E6FE" w14:textId="77777777" w:rsidR="002A1E9E" w:rsidRPr="002A1E9E" w:rsidRDefault="002A1E9E" w:rsidP="002A1E9E">
      <w:pPr>
        <w:tabs>
          <w:tab w:val="left" w:pos="709"/>
        </w:tabs>
        <w:spacing w:line="240" w:lineRule="auto"/>
        <w:ind w:left="426" w:right="420" w:firstLine="0"/>
        <w:rPr>
          <w:rFonts w:ascii="Tahoma" w:eastAsia="Calibri" w:hAnsi="Tahoma" w:cs="Tahoma"/>
          <w:i/>
          <w:spacing w:val="-4"/>
          <w:szCs w:val="24"/>
        </w:rPr>
      </w:pPr>
      <w:r w:rsidRPr="002A1E9E">
        <w:rPr>
          <w:rFonts w:ascii="Tahoma" w:eastAsia="Calibri" w:hAnsi="Tahoma" w:cs="Tahoma"/>
          <w:i/>
          <w:szCs w:val="24"/>
        </w:rPr>
        <w:t xml:space="preserve">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w:t>
      </w:r>
      <w:r w:rsidRPr="002A1E9E">
        <w:rPr>
          <w:rFonts w:ascii="Tahoma" w:eastAsia="Calibri" w:hAnsi="Tahoma" w:cs="Tahoma"/>
          <w:i/>
          <w:szCs w:val="24"/>
        </w:rPr>
        <w:lastRenderedPageBreak/>
        <w:t>además,</w:t>
      </w:r>
      <w:r w:rsidRPr="002A1E9E">
        <w:rPr>
          <w:rFonts w:ascii="Tahoma" w:eastAsia="Calibri" w:hAnsi="Tahoma" w:cs="Tahoma"/>
          <w:i/>
          <w:spacing w:val="-4"/>
          <w:szCs w:val="24"/>
        </w:rPr>
        <w:t xml:space="preserve">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285E48B6" w14:textId="77777777" w:rsidR="00F7005F" w:rsidRPr="002A1E9E" w:rsidRDefault="00F7005F" w:rsidP="00846C67">
      <w:pPr>
        <w:spacing w:line="276" w:lineRule="auto"/>
        <w:ind w:firstLine="0"/>
        <w:rPr>
          <w:rFonts w:ascii="Tahoma" w:hAnsi="Tahoma" w:cs="Tahoma"/>
          <w:spacing w:val="-4"/>
          <w:sz w:val="24"/>
          <w:szCs w:val="24"/>
        </w:rPr>
      </w:pPr>
    </w:p>
    <w:p w14:paraId="44182C4F" w14:textId="094D7997" w:rsidR="00F7005F" w:rsidRPr="00846C67" w:rsidRDefault="00F7005F" w:rsidP="00846C67">
      <w:pPr>
        <w:spacing w:line="276" w:lineRule="auto"/>
        <w:ind w:firstLine="708"/>
        <w:rPr>
          <w:rFonts w:ascii="Tahoma" w:hAnsi="Tahoma" w:cs="Tahoma"/>
          <w:sz w:val="24"/>
          <w:szCs w:val="24"/>
        </w:rPr>
      </w:pPr>
      <w:r w:rsidRPr="00846C67">
        <w:rPr>
          <w:rFonts w:ascii="Tahoma" w:eastAsia="Arial Narrow" w:hAnsi="Tahoma" w:cs="Tahoma"/>
          <w:bCs/>
          <w:sz w:val="24"/>
          <w:szCs w:val="24"/>
          <w:lang w:val="es"/>
        </w:rPr>
        <w:t xml:space="preserve">Igual cosa se ha predicado de las </w:t>
      </w:r>
      <w:proofErr w:type="spellStart"/>
      <w:r w:rsidRPr="00846C67">
        <w:rPr>
          <w:rFonts w:ascii="Tahoma" w:eastAsia="Arial Narrow" w:hAnsi="Tahoma" w:cs="Tahoma"/>
          <w:bCs/>
          <w:sz w:val="24"/>
          <w:szCs w:val="24"/>
          <w:lang w:val="es"/>
        </w:rPr>
        <w:t>reasesorías</w:t>
      </w:r>
      <w:proofErr w:type="spellEnd"/>
      <w:r w:rsidRPr="00846C67">
        <w:rPr>
          <w:rFonts w:ascii="Tahoma" w:eastAsia="Arial Narrow" w:hAnsi="Tahoma" w:cs="Tahoma"/>
          <w:bCs/>
          <w:sz w:val="24"/>
          <w:szCs w:val="24"/>
          <w:lang w:val="es"/>
        </w:rPr>
        <w:t xml:space="preserve"> posteriores dadas al interior de las AFP</w:t>
      </w:r>
      <w:r w:rsidRPr="00846C67">
        <w:rPr>
          <w:rFonts w:ascii="Tahoma" w:eastAsia="Arial Narrow" w:hAnsi="Tahoma" w:cs="Tahoma"/>
          <w:sz w:val="24"/>
          <w:szCs w:val="24"/>
          <w:lang w:val="es"/>
        </w:rPr>
        <w:t xml:space="preserve">, las cuales tampoco convalidan el traslado, como quedó dicho en la citada </w:t>
      </w:r>
      <w:r w:rsidRPr="00846C67">
        <w:rPr>
          <w:rFonts w:ascii="Tahoma" w:hAnsi="Tahoma" w:cs="Tahoma"/>
          <w:sz w:val="24"/>
          <w:szCs w:val="24"/>
          <w:lang w:val="es-CO"/>
        </w:rPr>
        <w:t xml:space="preserve">sentencia </w:t>
      </w:r>
      <w:r w:rsidRPr="00846C67">
        <w:rPr>
          <w:rFonts w:ascii="Tahoma" w:hAnsi="Tahoma" w:cs="Tahoma"/>
          <w:sz w:val="24"/>
          <w:szCs w:val="24"/>
        </w:rPr>
        <w:t>del 8 de mayo de 2019</w:t>
      </w:r>
      <w:r w:rsidR="00395C8D" w:rsidRPr="00846C67">
        <w:rPr>
          <w:rFonts w:ascii="Tahoma" w:hAnsi="Tahoma" w:cs="Tahoma"/>
          <w:sz w:val="24"/>
          <w:szCs w:val="24"/>
        </w:rPr>
        <w:t xml:space="preserve">, </w:t>
      </w:r>
      <w:proofErr w:type="spellStart"/>
      <w:r w:rsidRPr="00846C67">
        <w:rPr>
          <w:rFonts w:ascii="Tahoma" w:hAnsi="Tahoma" w:cs="Tahoma"/>
          <w:sz w:val="24"/>
          <w:szCs w:val="24"/>
        </w:rPr>
        <w:t>SL</w:t>
      </w:r>
      <w:proofErr w:type="spellEnd"/>
      <w:r w:rsidRPr="00846C67">
        <w:rPr>
          <w:rFonts w:ascii="Tahoma" w:hAnsi="Tahoma" w:cs="Tahoma"/>
          <w:sz w:val="24"/>
          <w:szCs w:val="24"/>
        </w:rPr>
        <w:t xml:space="preserve"> 1688-2019, así: </w:t>
      </w:r>
    </w:p>
    <w:p w14:paraId="6E68A365" w14:textId="77777777" w:rsidR="00F7005F" w:rsidRPr="00846C67" w:rsidRDefault="00F7005F" w:rsidP="00846C67">
      <w:pPr>
        <w:spacing w:line="276" w:lineRule="auto"/>
        <w:rPr>
          <w:rFonts w:ascii="Tahoma" w:eastAsia="Arial Narrow" w:hAnsi="Tahoma" w:cs="Tahoma"/>
          <w:i/>
          <w:iCs/>
          <w:sz w:val="24"/>
          <w:szCs w:val="24"/>
          <w:lang w:val="es"/>
        </w:rPr>
      </w:pPr>
      <w:r w:rsidRPr="00846C67">
        <w:rPr>
          <w:rFonts w:ascii="Tahoma" w:eastAsia="Arial Narrow" w:hAnsi="Tahoma" w:cs="Tahoma"/>
          <w:sz w:val="24"/>
          <w:szCs w:val="24"/>
          <w:lang w:val="es"/>
        </w:rPr>
        <w:t xml:space="preserve">  </w:t>
      </w:r>
    </w:p>
    <w:p w14:paraId="5BAE87B7" w14:textId="77777777" w:rsidR="002A1E9E" w:rsidRPr="002A1E9E" w:rsidRDefault="002A1E9E" w:rsidP="002A1E9E">
      <w:pPr>
        <w:spacing w:line="240" w:lineRule="auto"/>
        <w:ind w:left="426" w:right="420" w:firstLine="0"/>
        <w:rPr>
          <w:rFonts w:ascii="Tahoma" w:eastAsia="Calibri" w:hAnsi="Tahoma" w:cs="Tahoma"/>
          <w:i/>
          <w:spacing w:val="-4"/>
          <w:szCs w:val="24"/>
        </w:rPr>
      </w:pPr>
      <w:r w:rsidRPr="002A1E9E">
        <w:rPr>
          <w:rFonts w:ascii="Tahoma" w:eastAsia="Calibri" w:hAnsi="Tahoma" w:cs="Tahoma"/>
          <w:i/>
          <w:spacing w:val="-4"/>
          <w:szCs w:val="24"/>
        </w:rPr>
        <w:t xml:space="preserve">“Ahora, si bien la AFP brindó a la actora una </w:t>
      </w:r>
      <w:proofErr w:type="spellStart"/>
      <w:r w:rsidRPr="002A1E9E">
        <w:rPr>
          <w:rFonts w:ascii="Tahoma" w:eastAsia="Calibri" w:hAnsi="Tahoma" w:cs="Tahoma"/>
          <w:i/>
          <w:spacing w:val="-4"/>
          <w:szCs w:val="24"/>
        </w:rPr>
        <w:t>reasesoría</w:t>
      </w:r>
      <w:proofErr w:type="spellEnd"/>
      <w:r w:rsidRPr="002A1E9E">
        <w:rPr>
          <w:rFonts w:ascii="Tahoma" w:eastAsia="Calibri" w:hAnsi="Tahoma" w:cs="Tahoma"/>
          <w:i/>
          <w:spacing w:val="-4"/>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51996ADF" w14:textId="77777777" w:rsidR="002A1E9E" w:rsidRPr="002A1E9E" w:rsidRDefault="002A1E9E" w:rsidP="002A1E9E">
      <w:pPr>
        <w:spacing w:line="240" w:lineRule="auto"/>
        <w:ind w:left="426" w:right="420"/>
        <w:rPr>
          <w:rFonts w:ascii="Tahoma" w:eastAsia="Arial Narrow" w:hAnsi="Tahoma" w:cs="Tahoma"/>
          <w:i/>
          <w:iCs/>
          <w:szCs w:val="24"/>
          <w:lang w:val="es"/>
        </w:rPr>
      </w:pPr>
      <w:r w:rsidRPr="002A1E9E">
        <w:rPr>
          <w:rFonts w:ascii="Tahoma" w:eastAsia="Arial Narrow" w:hAnsi="Tahoma" w:cs="Tahoma"/>
          <w:i/>
          <w:iCs/>
          <w:szCs w:val="24"/>
          <w:lang w:val="es"/>
        </w:rPr>
        <w:t xml:space="preserve"> </w:t>
      </w:r>
    </w:p>
    <w:p w14:paraId="05A5BC5D" w14:textId="77777777" w:rsidR="002A1E9E" w:rsidRPr="002A1E9E" w:rsidRDefault="002A1E9E" w:rsidP="002A1E9E">
      <w:pPr>
        <w:spacing w:line="240" w:lineRule="auto"/>
        <w:ind w:left="426" w:right="420" w:firstLine="0"/>
        <w:rPr>
          <w:rFonts w:ascii="Tahoma" w:eastAsia="Calibri" w:hAnsi="Tahoma" w:cs="Tahoma"/>
          <w:i/>
          <w:spacing w:val="-4"/>
          <w:szCs w:val="24"/>
        </w:rPr>
      </w:pPr>
      <w:r w:rsidRPr="002A1E9E">
        <w:rPr>
          <w:rFonts w:ascii="Tahoma" w:eastAsia="Calibri" w:hAnsi="Tahoma" w:cs="Tahoma"/>
          <w:i/>
          <w:spacing w:val="-4"/>
          <w:szCs w:val="24"/>
        </w:rPr>
        <w:t xml:space="preserve">En primer término, porque el traslado al </w:t>
      </w:r>
      <w:proofErr w:type="spellStart"/>
      <w:r w:rsidRPr="002A1E9E">
        <w:rPr>
          <w:rFonts w:ascii="Tahoma" w:eastAsia="Calibri" w:hAnsi="Tahoma" w:cs="Tahoma"/>
          <w:i/>
          <w:spacing w:val="-4"/>
          <w:szCs w:val="24"/>
        </w:rPr>
        <w:t>RAIS</w:t>
      </w:r>
      <w:proofErr w:type="spellEnd"/>
      <w:r w:rsidRPr="002A1E9E">
        <w:rPr>
          <w:rFonts w:ascii="Tahoma" w:eastAsia="Calibri" w:hAnsi="Tahoma" w:cs="Tahoma"/>
          <w:i/>
          <w:spacing w:val="-4"/>
          <w:szCs w:val="24"/>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2A1E9E">
        <w:rPr>
          <w:rFonts w:ascii="Tahoma" w:eastAsia="Calibri" w:hAnsi="Tahoma" w:cs="Tahoma"/>
          <w:i/>
          <w:spacing w:val="-4"/>
          <w:szCs w:val="24"/>
        </w:rPr>
        <w:t>reasesoría</w:t>
      </w:r>
      <w:proofErr w:type="spellEnd"/>
      <w:r w:rsidRPr="002A1E9E">
        <w:rPr>
          <w:rFonts w:ascii="Tahoma" w:eastAsia="Calibri" w:hAnsi="Tahoma" w:cs="Tahoma"/>
          <w:i/>
          <w:spacing w:val="-4"/>
          <w:szCs w:val="24"/>
        </w:rPr>
        <w:t>, de todas formas ya había perdido la transición.</w:t>
      </w:r>
    </w:p>
    <w:p w14:paraId="4237FCF9" w14:textId="77777777" w:rsidR="002A1E9E" w:rsidRPr="002A1E9E" w:rsidRDefault="002A1E9E" w:rsidP="002A1E9E">
      <w:pPr>
        <w:spacing w:line="240" w:lineRule="auto"/>
        <w:ind w:left="426" w:right="420"/>
        <w:rPr>
          <w:rFonts w:ascii="Tahoma" w:eastAsia="Arial Narrow" w:hAnsi="Tahoma" w:cs="Tahoma"/>
          <w:i/>
          <w:iCs/>
          <w:szCs w:val="24"/>
          <w:lang w:val="es"/>
        </w:rPr>
      </w:pPr>
      <w:r w:rsidRPr="002A1E9E">
        <w:rPr>
          <w:rFonts w:ascii="Tahoma" w:eastAsia="Arial Narrow" w:hAnsi="Tahoma" w:cs="Tahoma"/>
          <w:i/>
          <w:iCs/>
          <w:szCs w:val="24"/>
          <w:lang w:val="es"/>
        </w:rPr>
        <w:t xml:space="preserve"> </w:t>
      </w:r>
    </w:p>
    <w:p w14:paraId="78F0B758" w14:textId="77777777" w:rsidR="002A1E9E" w:rsidRPr="002A1E9E" w:rsidRDefault="002A1E9E" w:rsidP="002A1E9E">
      <w:pPr>
        <w:spacing w:line="240" w:lineRule="auto"/>
        <w:ind w:left="426" w:right="420" w:firstLine="0"/>
        <w:rPr>
          <w:rFonts w:ascii="Tahoma" w:eastAsia="Calibri" w:hAnsi="Tahoma" w:cs="Tahoma"/>
          <w:i/>
          <w:spacing w:val="-4"/>
          <w:szCs w:val="24"/>
        </w:rPr>
      </w:pPr>
      <w:r w:rsidRPr="002A1E9E">
        <w:rPr>
          <w:rFonts w:ascii="Tahoma" w:eastAsia="Calibri" w:hAnsi="Tahoma" w:cs="Tahoma"/>
          <w:i/>
          <w:spacing w:val="-4"/>
          <w:szCs w:val="24"/>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45B69178" w14:textId="77777777" w:rsidR="002A1E9E" w:rsidRPr="002A1E9E" w:rsidRDefault="002A1E9E" w:rsidP="002A1E9E">
      <w:pPr>
        <w:spacing w:line="240" w:lineRule="auto"/>
        <w:ind w:left="426" w:right="420"/>
        <w:rPr>
          <w:rFonts w:ascii="Tahoma" w:eastAsia="Arial Narrow" w:hAnsi="Tahoma" w:cs="Tahoma"/>
          <w:i/>
          <w:iCs/>
          <w:szCs w:val="24"/>
          <w:lang w:val="es"/>
        </w:rPr>
      </w:pPr>
      <w:r w:rsidRPr="002A1E9E">
        <w:rPr>
          <w:rFonts w:ascii="Tahoma" w:eastAsia="Arial Narrow" w:hAnsi="Tahoma" w:cs="Tahoma"/>
          <w:i/>
          <w:iCs/>
          <w:szCs w:val="24"/>
          <w:lang w:val="es"/>
        </w:rPr>
        <w:t xml:space="preserve"> </w:t>
      </w:r>
    </w:p>
    <w:p w14:paraId="07F79505" w14:textId="77777777" w:rsidR="002A1E9E" w:rsidRPr="002A1E9E" w:rsidRDefault="002A1E9E" w:rsidP="002A1E9E">
      <w:pPr>
        <w:spacing w:line="240" w:lineRule="auto"/>
        <w:ind w:left="426" w:right="420" w:firstLine="0"/>
        <w:rPr>
          <w:rFonts w:ascii="Tahoma" w:eastAsia="Calibri" w:hAnsi="Tahoma" w:cs="Tahoma"/>
          <w:i/>
          <w:spacing w:val="-4"/>
          <w:szCs w:val="24"/>
        </w:rPr>
      </w:pPr>
      <w:r w:rsidRPr="002A1E9E">
        <w:rPr>
          <w:rFonts w:ascii="Tahoma" w:eastAsia="Calibri" w:hAnsi="Tahoma" w:cs="Tahoma"/>
          <w:i/>
          <w:spacing w:val="-4"/>
          <w:szCs w:val="24"/>
        </w:rPr>
        <w:t xml:space="preserve">Por otro lado, no es de recibo el planteo de Protección S.A., cuando sostiene que una vez realizó la </w:t>
      </w:r>
      <w:proofErr w:type="spellStart"/>
      <w:r w:rsidRPr="002A1E9E">
        <w:rPr>
          <w:rFonts w:ascii="Tahoma" w:eastAsia="Calibri" w:hAnsi="Tahoma" w:cs="Tahoma"/>
          <w:i/>
          <w:spacing w:val="-4"/>
          <w:szCs w:val="24"/>
        </w:rPr>
        <w:t>reasesoría</w:t>
      </w:r>
      <w:proofErr w:type="spellEnd"/>
      <w:r w:rsidRPr="002A1E9E">
        <w:rPr>
          <w:rFonts w:ascii="Tahoma" w:eastAsia="Calibri" w:hAnsi="Tahoma" w:cs="Tahoma"/>
          <w:i/>
          <w:spacing w:val="-4"/>
          <w:szCs w:val="24"/>
        </w:rPr>
        <w:t xml:space="preserve">, Myriam Arroyave Henao no mostró interés en la ineficacia de la vinculación al </w:t>
      </w:r>
      <w:proofErr w:type="spellStart"/>
      <w:r w:rsidRPr="002A1E9E">
        <w:rPr>
          <w:rFonts w:ascii="Tahoma" w:eastAsia="Calibri" w:hAnsi="Tahoma" w:cs="Tahoma"/>
          <w:i/>
          <w:spacing w:val="-4"/>
          <w:szCs w:val="24"/>
        </w:rPr>
        <w:t>RAIS</w:t>
      </w:r>
      <w:proofErr w:type="spellEnd"/>
      <w:r w:rsidRPr="002A1E9E">
        <w:rPr>
          <w:rFonts w:ascii="Tahoma" w:eastAsia="Calibri" w:hAnsi="Tahoma" w:cs="Tahoma"/>
          <w:i/>
          <w:spacing w:val="-4"/>
          <w:szCs w:val="24"/>
        </w:rPr>
        <w:t xml:space="preserve">, al conservar su status de afiliada durante un tiempo, Se dice lo anterior ya que la sugerencia de Protección S.A. de regresar al </w:t>
      </w:r>
      <w:proofErr w:type="spellStart"/>
      <w:r w:rsidRPr="002A1E9E">
        <w:rPr>
          <w:rFonts w:ascii="Tahoma" w:eastAsia="Calibri" w:hAnsi="Tahoma" w:cs="Tahoma"/>
          <w:i/>
          <w:spacing w:val="-4"/>
          <w:szCs w:val="24"/>
        </w:rPr>
        <w:t>RPMPD</w:t>
      </w:r>
      <w:proofErr w:type="spellEnd"/>
      <w:r w:rsidRPr="002A1E9E">
        <w:rPr>
          <w:rFonts w:ascii="Tahoma" w:eastAsia="Calibri" w:hAnsi="Tahoma" w:cs="Tahoma"/>
          <w:i/>
          <w:spacing w:val="-4"/>
          <w:szCs w:val="24"/>
        </w:rPr>
        <w:t xml:space="preserve">, se produjo el 26 de noviembre de 2003, y el formulario para la nueva afiliación al </w:t>
      </w:r>
      <w:proofErr w:type="spellStart"/>
      <w:r w:rsidRPr="002A1E9E">
        <w:rPr>
          <w:rFonts w:ascii="Tahoma" w:eastAsia="Calibri" w:hAnsi="Tahoma" w:cs="Tahoma"/>
          <w:i/>
          <w:spacing w:val="-4"/>
          <w:szCs w:val="24"/>
        </w:rPr>
        <w:t>ISS</w:t>
      </w:r>
      <w:proofErr w:type="spellEnd"/>
      <w:r w:rsidRPr="002A1E9E">
        <w:rPr>
          <w:rFonts w:ascii="Tahoma" w:eastAsia="Calibri" w:hAnsi="Tahoma" w:cs="Tahoma"/>
          <w:i/>
          <w:spacing w:val="-4"/>
          <w:szCs w:val="24"/>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45283407" w14:textId="77777777" w:rsidR="00F7005F" w:rsidRPr="00846C67" w:rsidRDefault="00F7005F" w:rsidP="00846C67">
      <w:pPr>
        <w:spacing w:line="276" w:lineRule="auto"/>
        <w:ind w:firstLine="0"/>
        <w:rPr>
          <w:rFonts w:ascii="Tahoma" w:hAnsi="Tahoma" w:cs="Tahoma"/>
          <w:spacing w:val="-4"/>
          <w:sz w:val="24"/>
          <w:szCs w:val="24"/>
        </w:rPr>
      </w:pPr>
    </w:p>
    <w:p w14:paraId="6796C0FE" w14:textId="77777777" w:rsidR="00F7005F" w:rsidRPr="00846C67" w:rsidRDefault="00F7005F" w:rsidP="00846C67">
      <w:pPr>
        <w:pStyle w:val="Prrafodelista"/>
        <w:numPr>
          <w:ilvl w:val="1"/>
          <w:numId w:val="2"/>
        </w:numPr>
        <w:spacing w:line="276" w:lineRule="auto"/>
        <w:ind w:left="0" w:firstLine="709"/>
        <w:jc w:val="both"/>
        <w:rPr>
          <w:rFonts w:ascii="Tahoma" w:hAnsi="Tahoma" w:cs="Tahoma"/>
          <w:b/>
          <w:i/>
          <w:spacing w:val="-4"/>
        </w:rPr>
      </w:pPr>
      <w:r w:rsidRPr="00846C67">
        <w:rPr>
          <w:rFonts w:ascii="Tahoma" w:hAnsi="Tahoma" w:cs="Tahoma"/>
          <w:b/>
          <w:i/>
          <w:spacing w:val="-4"/>
        </w:rPr>
        <w:t xml:space="preserve">“De la carga de la prueba – Inversión a favor del afiliado” </w:t>
      </w:r>
      <w:r w:rsidRPr="00846C67">
        <w:rPr>
          <w:rStyle w:val="Refdenotaalpie"/>
          <w:rFonts w:ascii="Tahoma" w:hAnsi="Tahoma" w:cs="Tahoma"/>
          <w:b/>
          <w:i/>
          <w:spacing w:val="-4"/>
        </w:rPr>
        <w:footnoteReference w:id="4"/>
      </w:r>
    </w:p>
    <w:p w14:paraId="1D76C397" w14:textId="77777777" w:rsidR="00F7005F" w:rsidRPr="00846C67" w:rsidRDefault="00F7005F" w:rsidP="00846C67">
      <w:pPr>
        <w:spacing w:line="276" w:lineRule="auto"/>
        <w:ind w:firstLine="708"/>
        <w:rPr>
          <w:rFonts w:ascii="Tahoma" w:hAnsi="Tahoma" w:cs="Tahoma"/>
          <w:b/>
          <w:spacing w:val="-4"/>
          <w:sz w:val="24"/>
          <w:szCs w:val="24"/>
        </w:rPr>
      </w:pPr>
    </w:p>
    <w:p w14:paraId="703A403C" w14:textId="1C18F71E" w:rsidR="00F7005F" w:rsidRPr="00846C67" w:rsidRDefault="00F7005F" w:rsidP="00846C67">
      <w:pPr>
        <w:spacing w:line="276" w:lineRule="auto"/>
        <w:rPr>
          <w:rFonts w:ascii="Tahoma" w:hAnsi="Tahoma" w:cs="Tahoma"/>
          <w:spacing w:val="-4"/>
          <w:sz w:val="24"/>
          <w:szCs w:val="24"/>
          <w:lang w:val="es-CO"/>
        </w:rPr>
      </w:pPr>
      <w:r w:rsidRPr="00846C67">
        <w:rPr>
          <w:rFonts w:ascii="Tahoma" w:hAnsi="Tahoma" w:cs="Tahoma"/>
          <w:spacing w:val="-4"/>
          <w:sz w:val="24"/>
          <w:szCs w:val="24"/>
          <w:lang w:val="es-CO"/>
        </w:rPr>
        <w:t>El tercer problema jurídico relativo a la carga de la prueba en los procesos de ineficacia de traslado, también se resolvió por la Corte Suprema de Justicia desde la sentencia hito, en la que se expresó que de conformidad a</w:t>
      </w:r>
      <w:r w:rsidRPr="00846C67">
        <w:rPr>
          <w:rFonts w:ascii="Tahoma" w:hAnsi="Tahoma" w:cs="Tahoma"/>
          <w:spacing w:val="-4"/>
          <w:sz w:val="24"/>
          <w:szCs w:val="24"/>
        </w:rPr>
        <w:t>l artículo 1604 del Código Civil «</w:t>
      </w:r>
      <w:r w:rsidRPr="00846C67">
        <w:rPr>
          <w:rFonts w:ascii="Tahoma" w:hAnsi="Tahoma" w:cs="Tahoma"/>
          <w:i/>
          <w:spacing w:val="-4"/>
          <w:sz w:val="24"/>
          <w:szCs w:val="24"/>
        </w:rPr>
        <w:t>la prueba de la diligencia o cuidado incumbe al que ha debido emplearlo”</w:t>
      </w:r>
      <w:r w:rsidR="00395C8D" w:rsidRPr="00846C67">
        <w:rPr>
          <w:rFonts w:ascii="Tahoma" w:hAnsi="Tahoma" w:cs="Tahoma"/>
          <w:spacing w:val="-4"/>
          <w:sz w:val="24"/>
          <w:szCs w:val="24"/>
          <w:lang w:val="es-CO"/>
        </w:rPr>
        <w:t>,</w:t>
      </w:r>
      <w:r w:rsidRPr="00846C67">
        <w:rPr>
          <w:rFonts w:ascii="Tahoma" w:hAnsi="Tahoma" w:cs="Tahoma"/>
          <w:spacing w:val="-4"/>
          <w:sz w:val="24"/>
          <w:szCs w:val="24"/>
          <w:lang w:val="es-CO"/>
        </w:rPr>
        <w:t xml:space="preserve"> lo que quiere decir que la carga de la prueba recae en el fondo de pensiones. Dicha postura se ha mantenido invariable, y se reiteró de manera más contundente en la citada sentencia, así: </w:t>
      </w:r>
    </w:p>
    <w:p w14:paraId="05BF2979" w14:textId="77777777" w:rsidR="00F7005F" w:rsidRPr="00846C67" w:rsidRDefault="00F7005F" w:rsidP="00846C67">
      <w:pPr>
        <w:spacing w:line="276" w:lineRule="auto"/>
        <w:ind w:firstLine="708"/>
        <w:rPr>
          <w:rFonts w:ascii="Tahoma" w:hAnsi="Tahoma" w:cs="Tahoma"/>
          <w:spacing w:val="-4"/>
          <w:sz w:val="24"/>
          <w:szCs w:val="24"/>
        </w:rPr>
      </w:pPr>
    </w:p>
    <w:p w14:paraId="52EC1D96" w14:textId="77777777" w:rsidR="002A1E9E" w:rsidRPr="002A1E9E" w:rsidRDefault="002A1E9E" w:rsidP="002A1E9E">
      <w:pPr>
        <w:spacing w:line="240" w:lineRule="auto"/>
        <w:ind w:left="426" w:right="420" w:firstLine="1"/>
        <w:rPr>
          <w:rFonts w:ascii="Tahoma" w:eastAsia="Calibri" w:hAnsi="Tahoma" w:cs="Tahoma"/>
          <w:i/>
          <w:spacing w:val="-4"/>
          <w:szCs w:val="24"/>
        </w:rPr>
      </w:pPr>
      <w:r w:rsidRPr="002A1E9E">
        <w:rPr>
          <w:rFonts w:ascii="Tahoma" w:eastAsia="Calibri" w:hAnsi="Tahoma" w:cs="Tahoma"/>
          <w:i/>
          <w:spacing w:val="-4"/>
          <w:szCs w:val="24"/>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4737E0DA" w14:textId="77777777" w:rsidR="002A1E9E" w:rsidRPr="002A1E9E" w:rsidRDefault="002A1E9E" w:rsidP="002A1E9E">
      <w:pPr>
        <w:spacing w:line="240" w:lineRule="auto"/>
        <w:ind w:left="426" w:right="420" w:firstLine="1"/>
        <w:rPr>
          <w:rFonts w:ascii="Tahoma" w:eastAsia="Calibri" w:hAnsi="Tahoma" w:cs="Tahoma"/>
          <w:i/>
          <w:spacing w:val="-4"/>
          <w:szCs w:val="24"/>
        </w:rPr>
      </w:pPr>
    </w:p>
    <w:p w14:paraId="45B9F179" w14:textId="77777777" w:rsidR="002A1E9E" w:rsidRPr="002A1E9E" w:rsidRDefault="002A1E9E" w:rsidP="002A1E9E">
      <w:pPr>
        <w:spacing w:line="240" w:lineRule="auto"/>
        <w:ind w:left="426" w:right="420" w:firstLine="1"/>
        <w:rPr>
          <w:rFonts w:ascii="Tahoma" w:eastAsia="Calibri" w:hAnsi="Tahoma" w:cs="Tahoma"/>
          <w:i/>
          <w:spacing w:val="-4"/>
          <w:szCs w:val="24"/>
        </w:rPr>
      </w:pPr>
      <w:r w:rsidRPr="002A1E9E">
        <w:rPr>
          <w:rFonts w:ascii="Tahoma" w:eastAsia="Calibri" w:hAnsi="Tahoma" w:cs="Tahoma"/>
          <w:i/>
          <w:spacing w:val="-4"/>
          <w:szCs w:val="24"/>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0971867A" w14:textId="77777777" w:rsidR="002A1E9E" w:rsidRPr="002A1E9E" w:rsidRDefault="002A1E9E" w:rsidP="002A1E9E">
      <w:pPr>
        <w:spacing w:line="240" w:lineRule="auto"/>
        <w:ind w:left="426" w:right="420" w:firstLine="1"/>
        <w:rPr>
          <w:rFonts w:ascii="Tahoma" w:eastAsia="Calibri" w:hAnsi="Tahoma" w:cs="Tahoma"/>
          <w:i/>
          <w:spacing w:val="-4"/>
          <w:szCs w:val="24"/>
        </w:rPr>
      </w:pPr>
    </w:p>
    <w:p w14:paraId="6340AFCA" w14:textId="77777777" w:rsidR="002A1E9E" w:rsidRPr="002A1E9E" w:rsidRDefault="002A1E9E" w:rsidP="002A1E9E">
      <w:pPr>
        <w:spacing w:line="240" w:lineRule="auto"/>
        <w:ind w:left="426" w:right="420" w:firstLine="1"/>
        <w:rPr>
          <w:rFonts w:ascii="Tahoma" w:eastAsia="Calibri" w:hAnsi="Tahoma" w:cs="Tahoma"/>
          <w:i/>
          <w:spacing w:val="-4"/>
          <w:szCs w:val="24"/>
        </w:rPr>
      </w:pPr>
      <w:r w:rsidRPr="002A1E9E">
        <w:rPr>
          <w:rFonts w:ascii="Tahoma" w:eastAsia="Calibri" w:hAnsi="Tahoma" w:cs="Tahoma"/>
          <w:i/>
          <w:spacing w:val="-4"/>
          <w:szCs w:val="24"/>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43A4BE6F" w14:textId="77777777" w:rsidR="002A1E9E" w:rsidRPr="002A1E9E" w:rsidRDefault="002A1E9E" w:rsidP="002A1E9E">
      <w:pPr>
        <w:spacing w:line="240" w:lineRule="auto"/>
        <w:ind w:left="426" w:right="420" w:firstLine="1"/>
        <w:rPr>
          <w:rFonts w:ascii="Tahoma" w:eastAsia="Calibri" w:hAnsi="Tahoma" w:cs="Tahoma"/>
          <w:i/>
          <w:spacing w:val="-4"/>
          <w:szCs w:val="24"/>
        </w:rPr>
      </w:pPr>
    </w:p>
    <w:p w14:paraId="222A914D" w14:textId="77777777" w:rsidR="002A1E9E" w:rsidRPr="002A1E9E" w:rsidRDefault="002A1E9E" w:rsidP="002A1E9E">
      <w:pPr>
        <w:spacing w:line="240" w:lineRule="auto"/>
        <w:ind w:left="426" w:right="420" w:firstLine="1"/>
        <w:rPr>
          <w:rFonts w:ascii="Tahoma" w:eastAsia="Calibri" w:hAnsi="Tahoma" w:cs="Tahoma"/>
          <w:i/>
          <w:iCs/>
          <w:spacing w:val="-4"/>
          <w:szCs w:val="24"/>
        </w:rPr>
      </w:pPr>
      <w:r w:rsidRPr="002A1E9E">
        <w:rPr>
          <w:rFonts w:ascii="Tahoma" w:eastAsia="Calibri" w:hAnsi="Tahoma" w:cs="Tahoma"/>
          <w:i/>
          <w:spacing w:val="-4"/>
          <w:szCs w:val="24"/>
        </w:rPr>
        <w:t xml:space="preserve">Como se ha expuesto, el deber de información al momento del traslado entre regímenes, es una obligación que corresponde a las administradoras de fondos de pensiones, y </w:t>
      </w:r>
      <w:r w:rsidRPr="002A1E9E">
        <w:rPr>
          <w:rFonts w:ascii="Tahoma" w:eastAsia="Calibri" w:hAnsi="Tahoma" w:cs="Tahoma"/>
          <w:i/>
          <w:iCs/>
          <w:spacing w:val="-4"/>
          <w:szCs w:val="24"/>
        </w:rPr>
        <w:t xml:space="preserve">su ejercicio debe ser de tal diligencia, que permita comprender la lógica, beneficios y desventajas del cambio de régimen, así como prever los riesgos y efectos negativos de esa decisión. </w:t>
      </w:r>
    </w:p>
    <w:p w14:paraId="5614FCCE" w14:textId="77777777" w:rsidR="002A1E9E" w:rsidRPr="002A1E9E" w:rsidRDefault="002A1E9E" w:rsidP="002A1E9E">
      <w:pPr>
        <w:spacing w:line="240" w:lineRule="auto"/>
        <w:ind w:left="426" w:right="420" w:firstLine="1"/>
        <w:rPr>
          <w:rFonts w:ascii="Tahoma" w:eastAsia="Calibri" w:hAnsi="Tahoma" w:cs="Tahoma"/>
          <w:i/>
          <w:iCs/>
          <w:spacing w:val="-4"/>
          <w:szCs w:val="24"/>
        </w:rPr>
      </w:pPr>
    </w:p>
    <w:p w14:paraId="7E334FC3" w14:textId="77777777" w:rsidR="002A1E9E" w:rsidRPr="002A1E9E" w:rsidRDefault="002A1E9E" w:rsidP="002A1E9E">
      <w:pPr>
        <w:spacing w:line="240" w:lineRule="auto"/>
        <w:ind w:left="426" w:right="420" w:firstLine="1"/>
        <w:rPr>
          <w:rFonts w:ascii="Tahoma" w:eastAsia="Calibri" w:hAnsi="Tahoma" w:cs="Tahoma"/>
          <w:i/>
          <w:iCs/>
          <w:spacing w:val="-4"/>
          <w:szCs w:val="24"/>
        </w:rPr>
      </w:pPr>
      <w:r w:rsidRPr="002A1E9E">
        <w:rPr>
          <w:rFonts w:ascii="Tahoma" w:eastAsia="Calibri" w:hAnsi="Tahoma" w:cs="Tahoma"/>
          <w:i/>
          <w:spacing w:val="-4"/>
          <w:szCs w:val="24"/>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1187DF62" w14:textId="77777777" w:rsidR="002A1E9E" w:rsidRPr="002A1E9E" w:rsidRDefault="002A1E9E" w:rsidP="002A1E9E">
      <w:pPr>
        <w:spacing w:line="240" w:lineRule="auto"/>
        <w:ind w:left="426" w:right="420" w:firstLine="1"/>
        <w:rPr>
          <w:rFonts w:ascii="Tahoma" w:eastAsia="Calibri" w:hAnsi="Tahoma" w:cs="Tahoma"/>
          <w:i/>
          <w:iCs/>
          <w:spacing w:val="-4"/>
          <w:szCs w:val="24"/>
        </w:rPr>
      </w:pPr>
    </w:p>
    <w:p w14:paraId="249169AD" w14:textId="77777777" w:rsidR="002A1E9E" w:rsidRPr="002A1E9E" w:rsidRDefault="002A1E9E" w:rsidP="002A1E9E">
      <w:pPr>
        <w:spacing w:line="240" w:lineRule="auto"/>
        <w:ind w:left="426" w:right="420" w:firstLine="1"/>
        <w:rPr>
          <w:rFonts w:ascii="Tahoma" w:eastAsia="Calibri" w:hAnsi="Tahoma" w:cs="Tahoma"/>
          <w:i/>
          <w:iCs/>
          <w:spacing w:val="-4"/>
          <w:szCs w:val="24"/>
        </w:rPr>
      </w:pPr>
      <w:r w:rsidRPr="002A1E9E">
        <w:rPr>
          <w:rFonts w:ascii="Tahoma" w:eastAsia="Calibri" w:hAnsi="Tahoma" w:cs="Tahoma"/>
          <w:i/>
          <w:spacing w:val="-4"/>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798FD8BA" w14:textId="77777777" w:rsidR="002A1E9E" w:rsidRPr="002A1E9E" w:rsidRDefault="002A1E9E" w:rsidP="002A1E9E">
      <w:pPr>
        <w:spacing w:line="240" w:lineRule="auto"/>
        <w:ind w:left="426" w:right="420" w:firstLine="1"/>
        <w:rPr>
          <w:rFonts w:ascii="Tahoma" w:eastAsia="Calibri" w:hAnsi="Tahoma" w:cs="Tahoma"/>
          <w:i/>
          <w:iCs/>
          <w:spacing w:val="-4"/>
          <w:szCs w:val="24"/>
        </w:rPr>
      </w:pPr>
    </w:p>
    <w:p w14:paraId="1E7A5155" w14:textId="77777777" w:rsidR="002A1E9E" w:rsidRPr="002A1E9E" w:rsidRDefault="002A1E9E" w:rsidP="002A1E9E">
      <w:pPr>
        <w:spacing w:line="240" w:lineRule="auto"/>
        <w:ind w:left="426" w:right="420" w:firstLine="1"/>
        <w:rPr>
          <w:rFonts w:ascii="Tahoma" w:eastAsia="Calibri" w:hAnsi="Tahoma" w:cs="Tahoma"/>
          <w:spacing w:val="-4"/>
          <w:szCs w:val="24"/>
        </w:rPr>
      </w:pPr>
      <w:r w:rsidRPr="002A1E9E">
        <w:rPr>
          <w:rFonts w:ascii="Tahoma" w:eastAsia="Calibri" w:hAnsi="Tahoma" w:cs="Tahoma"/>
          <w:i/>
          <w:spacing w:val="-4"/>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2A1E9E">
        <w:rPr>
          <w:rFonts w:ascii="Tahoma" w:eastAsia="Calibri" w:hAnsi="Tahoma" w:cs="Tahoma"/>
          <w:spacing w:val="-4"/>
          <w:szCs w:val="24"/>
        </w:rPr>
        <w:t xml:space="preserve"> </w:t>
      </w:r>
    </w:p>
    <w:p w14:paraId="1CC54FD9" w14:textId="77777777" w:rsidR="00F7005F" w:rsidRPr="002A1E9E" w:rsidRDefault="00F7005F" w:rsidP="00846C67">
      <w:pPr>
        <w:spacing w:line="276" w:lineRule="auto"/>
        <w:ind w:firstLine="0"/>
        <w:rPr>
          <w:rFonts w:ascii="Tahoma" w:hAnsi="Tahoma" w:cs="Tahoma"/>
          <w:spacing w:val="-4"/>
          <w:sz w:val="24"/>
          <w:szCs w:val="24"/>
        </w:rPr>
      </w:pPr>
    </w:p>
    <w:p w14:paraId="589504C8" w14:textId="3F3690E9" w:rsidR="00F7005F" w:rsidRPr="00846C67" w:rsidRDefault="00F7005F" w:rsidP="00846C67">
      <w:pPr>
        <w:pStyle w:val="Prrafodelista"/>
        <w:widowControl w:val="0"/>
        <w:numPr>
          <w:ilvl w:val="1"/>
          <w:numId w:val="2"/>
        </w:numPr>
        <w:autoSpaceDE w:val="0"/>
        <w:autoSpaceDN w:val="0"/>
        <w:adjustRightInd w:val="0"/>
        <w:spacing w:line="276" w:lineRule="auto"/>
        <w:ind w:left="0" w:firstLine="709"/>
        <w:jc w:val="both"/>
        <w:rPr>
          <w:rFonts w:ascii="Tahoma" w:hAnsi="Tahoma" w:cs="Tahoma"/>
          <w:b/>
        </w:rPr>
      </w:pPr>
      <w:r w:rsidRPr="00846C67">
        <w:rPr>
          <w:rFonts w:ascii="Tahoma" w:hAnsi="Tahoma" w:cs="Tahoma"/>
          <w:b/>
        </w:rPr>
        <w:t xml:space="preserve">Consecuencias de la declaratoria de ineficacia del traslado: Devolución </w:t>
      </w:r>
      <w:r w:rsidR="002D2713" w:rsidRPr="00846C67">
        <w:rPr>
          <w:rFonts w:ascii="Tahoma" w:hAnsi="Tahoma" w:cs="Tahoma"/>
          <w:b/>
        </w:rPr>
        <w:t>de las cuotas de administración</w:t>
      </w:r>
    </w:p>
    <w:p w14:paraId="67E55B66" w14:textId="77777777" w:rsidR="00F7005F" w:rsidRPr="00846C67" w:rsidRDefault="00F7005F" w:rsidP="00846C67">
      <w:pPr>
        <w:pStyle w:val="Prrafodelista"/>
        <w:widowControl w:val="0"/>
        <w:autoSpaceDE w:val="0"/>
        <w:autoSpaceDN w:val="0"/>
        <w:adjustRightInd w:val="0"/>
        <w:spacing w:line="276" w:lineRule="auto"/>
        <w:ind w:left="1428"/>
        <w:jc w:val="both"/>
        <w:rPr>
          <w:rFonts w:ascii="Tahoma" w:hAnsi="Tahoma" w:cs="Tahoma"/>
        </w:rPr>
      </w:pPr>
    </w:p>
    <w:p w14:paraId="64F043BA" w14:textId="77777777" w:rsidR="00F7005F" w:rsidRPr="00846C67" w:rsidRDefault="00F7005F" w:rsidP="00846C67">
      <w:pPr>
        <w:spacing w:line="276" w:lineRule="auto"/>
        <w:rPr>
          <w:rFonts w:ascii="Tahoma" w:hAnsi="Tahoma" w:cs="Tahoma"/>
          <w:sz w:val="24"/>
          <w:szCs w:val="24"/>
        </w:rPr>
      </w:pPr>
      <w:r w:rsidRPr="00846C67">
        <w:rPr>
          <w:rFonts w:ascii="Tahoma" w:hAnsi="Tahoma" w:cs="Tahoma"/>
          <w:sz w:val="24"/>
          <w:szCs w:val="24"/>
        </w:rPr>
        <w:t xml:space="preserve">En la sentencia </w:t>
      </w:r>
      <w:proofErr w:type="spellStart"/>
      <w:r w:rsidRPr="00846C67">
        <w:rPr>
          <w:rFonts w:ascii="Tahoma" w:hAnsi="Tahoma" w:cs="Tahoma"/>
          <w:sz w:val="24"/>
          <w:szCs w:val="24"/>
        </w:rPr>
        <w:t>SL1421</w:t>
      </w:r>
      <w:proofErr w:type="spellEnd"/>
      <w:r w:rsidRPr="00846C67">
        <w:rPr>
          <w:rFonts w:ascii="Tahoma" w:hAnsi="Tahoma" w:cs="Tahoma"/>
          <w:sz w:val="24"/>
          <w:szCs w:val="24"/>
        </w:rPr>
        <w:t xml:space="preserve"> de 2019, Rad. 56174, </w:t>
      </w:r>
      <w:proofErr w:type="spellStart"/>
      <w:r w:rsidRPr="00846C67">
        <w:rPr>
          <w:rFonts w:ascii="Tahoma" w:hAnsi="Tahoma" w:cs="Tahoma"/>
          <w:sz w:val="24"/>
          <w:szCs w:val="24"/>
        </w:rPr>
        <w:t>M.P</w:t>
      </w:r>
      <w:proofErr w:type="spellEnd"/>
      <w:r w:rsidRPr="00846C67">
        <w:rPr>
          <w:rFonts w:ascii="Tahoma" w:hAnsi="Tahoma" w:cs="Tahoma"/>
          <w:sz w:val="24"/>
          <w:szCs w:val="24"/>
        </w:rPr>
        <w:t xml:space="preserve">. Gerardo Botero Zuluaga, cuando se declaró la ineficacia del traslado, se dijo que una de las consecuencias de tal  situación era la devolución de las cuotas de administración a cargo de la AFP, tema que se planteó en los siguientes términos: </w:t>
      </w:r>
    </w:p>
    <w:p w14:paraId="70631115" w14:textId="77777777" w:rsidR="00F7005F" w:rsidRPr="00846C67" w:rsidRDefault="00F7005F" w:rsidP="00846C67">
      <w:pPr>
        <w:pStyle w:val="Prrafodelista"/>
        <w:spacing w:line="276" w:lineRule="auto"/>
        <w:ind w:left="644"/>
        <w:rPr>
          <w:rFonts w:ascii="Tahoma" w:hAnsi="Tahoma" w:cs="Tahoma"/>
        </w:rPr>
      </w:pPr>
    </w:p>
    <w:p w14:paraId="35BB802D" w14:textId="77777777" w:rsidR="002A1E9E" w:rsidRPr="002A1E9E" w:rsidRDefault="002A1E9E" w:rsidP="002A1E9E">
      <w:pPr>
        <w:tabs>
          <w:tab w:val="left" w:pos="5180"/>
        </w:tabs>
        <w:suppressAutoHyphens/>
        <w:spacing w:line="240" w:lineRule="auto"/>
        <w:ind w:left="426" w:right="420" w:firstLine="0"/>
        <w:contextualSpacing/>
        <w:rPr>
          <w:rFonts w:ascii="Tahoma" w:eastAsia="Calibri" w:hAnsi="Tahoma" w:cs="Tahoma"/>
          <w:i/>
          <w:spacing w:val="-4"/>
          <w:szCs w:val="24"/>
        </w:rPr>
      </w:pPr>
      <w:r w:rsidRPr="002A1E9E">
        <w:rPr>
          <w:rFonts w:ascii="Tahoma" w:eastAsia="Calibri" w:hAnsi="Tahoma" w:cs="Tahoma"/>
          <w:i/>
          <w:spacing w:val="-4"/>
          <w:szCs w:val="24"/>
        </w:rPr>
        <w:t xml:space="preserve">“devolver los aportes por pensión, los rendimientos financieros y los gastos de administración al Instituto de Seguros Sociales, hoy Colpensiones, como en oportunidades anteriores lo ha dispuesto la Sala, pudiéndose traer a colación las </w:t>
      </w:r>
      <w:r w:rsidRPr="002A1E9E">
        <w:rPr>
          <w:rFonts w:ascii="Tahoma" w:eastAsia="Calibri" w:hAnsi="Tahoma" w:cs="Tahoma"/>
          <w:i/>
          <w:spacing w:val="-4"/>
          <w:szCs w:val="24"/>
        </w:rPr>
        <w:lastRenderedPageBreak/>
        <w:t xml:space="preserve">sentencias CSJ </w:t>
      </w:r>
      <w:proofErr w:type="spellStart"/>
      <w:r w:rsidRPr="002A1E9E">
        <w:rPr>
          <w:rFonts w:ascii="Tahoma" w:eastAsia="Calibri" w:hAnsi="Tahoma" w:cs="Tahoma"/>
          <w:i/>
          <w:spacing w:val="-4"/>
          <w:szCs w:val="24"/>
        </w:rPr>
        <w:t>SL17595</w:t>
      </w:r>
      <w:proofErr w:type="spellEnd"/>
      <w:r w:rsidRPr="002A1E9E">
        <w:rPr>
          <w:rFonts w:ascii="Tahoma" w:eastAsia="Calibri" w:hAnsi="Tahoma" w:cs="Tahoma"/>
          <w:i/>
          <w:spacing w:val="-4"/>
          <w:szCs w:val="24"/>
        </w:rPr>
        <w:t xml:space="preserve">-2017 y </w:t>
      </w:r>
      <w:proofErr w:type="spellStart"/>
      <w:r w:rsidRPr="002A1E9E">
        <w:rPr>
          <w:rFonts w:ascii="Tahoma" w:eastAsia="Calibri" w:hAnsi="Tahoma" w:cs="Tahoma"/>
          <w:i/>
          <w:spacing w:val="-4"/>
          <w:szCs w:val="24"/>
        </w:rPr>
        <w:t>CSJSL4989</w:t>
      </w:r>
      <w:proofErr w:type="spellEnd"/>
      <w:r w:rsidRPr="002A1E9E">
        <w:rPr>
          <w:rFonts w:ascii="Tahoma" w:eastAsia="Calibri" w:hAnsi="Tahoma" w:cs="Tahoma"/>
          <w:i/>
          <w:spacing w:val="-4"/>
          <w:szCs w:val="24"/>
        </w:rPr>
        <w:t xml:space="preserve">-2018, donde se rememoró la CSJ </w:t>
      </w:r>
      <w:proofErr w:type="spellStart"/>
      <w:r w:rsidRPr="002A1E9E">
        <w:rPr>
          <w:rFonts w:ascii="Tahoma" w:eastAsia="Calibri" w:hAnsi="Tahoma" w:cs="Tahoma"/>
          <w:i/>
          <w:spacing w:val="-4"/>
          <w:szCs w:val="24"/>
        </w:rPr>
        <w:t>SL</w:t>
      </w:r>
      <w:proofErr w:type="spellEnd"/>
      <w:r w:rsidRPr="002A1E9E">
        <w:rPr>
          <w:rFonts w:ascii="Tahoma" w:eastAsia="Calibri" w:hAnsi="Tahoma" w:cs="Tahoma"/>
          <w:i/>
          <w:spacing w:val="-4"/>
          <w:szCs w:val="24"/>
        </w:rPr>
        <w:t xml:space="preserve">, 8 sep. 2008, rad. 31989, en la que se dijo: </w:t>
      </w:r>
    </w:p>
    <w:p w14:paraId="75311FE7" w14:textId="77777777" w:rsidR="002A1E9E" w:rsidRPr="002A1E9E" w:rsidRDefault="002A1E9E" w:rsidP="002A1E9E">
      <w:pPr>
        <w:tabs>
          <w:tab w:val="left" w:pos="5180"/>
        </w:tabs>
        <w:suppressAutoHyphens/>
        <w:spacing w:line="240" w:lineRule="auto"/>
        <w:ind w:left="426" w:right="420" w:firstLine="0"/>
        <w:contextualSpacing/>
        <w:jc w:val="left"/>
        <w:rPr>
          <w:rFonts w:ascii="Tahoma" w:eastAsia="Times New Roman" w:hAnsi="Tahoma" w:cs="Tahoma"/>
          <w:color w:val="000000"/>
          <w:szCs w:val="24"/>
          <w:lang w:eastAsia="es-ES"/>
        </w:rPr>
      </w:pPr>
    </w:p>
    <w:p w14:paraId="66678282" w14:textId="326CC028" w:rsidR="002A1E9E" w:rsidRPr="002A1E9E" w:rsidRDefault="002A1E9E" w:rsidP="002A1E9E">
      <w:pPr>
        <w:tabs>
          <w:tab w:val="left" w:pos="5180"/>
        </w:tabs>
        <w:suppressAutoHyphens/>
        <w:spacing w:line="240" w:lineRule="auto"/>
        <w:ind w:left="426" w:right="420" w:firstLine="0"/>
        <w:contextualSpacing/>
        <w:rPr>
          <w:rFonts w:ascii="Tahoma" w:eastAsia="Calibri" w:hAnsi="Tahoma" w:cs="Tahoma"/>
          <w:i/>
          <w:spacing w:val="-4"/>
          <w:szCs w:val="24"/>
        </w:rPr>
      </w:pPr>
      <w:r w:rsidRPr="002A1E9E">
        <w:rPr>
          <w:rFonts w:ascii="Tahoma" w:eastAsia="Calibri" w:hAnsi="Tahoma" w:cs="Tahoma"/>
          <w:i/>
          <w:spacing w:val="-4"/>
          <w:szCs w:val="24"/>
        </w:rPr>
        <w:t xml:space="preserve">Sobre las consecuencias de la nulidad del traslado entre regímenes esta Sala en sentencia </w:t>
      </w:r>
      <w:proofErr w:type="spellStart"/>
      <w:r w:rsidRPr="002A1E9E">
        <w:rPr>
          <w:rFonts w:ascii="Tahoma" w:eastAsia="Calibri" w:hAnsi="Tahoma" w:cs="Tahoma"/>
          <w:i/>
          <w:spacing w:val="-4"/>
          <w:szCs w:val="24"/>
        </w:rPr>
        <w:t>SL</w:t>
      </w:r>
      <w:proofErr w:type="spellEnd"/>
      <w:r w:rsidRPr="002A1E9E">
        <w:rPr>
          <w:rFonts w:ascii="Tahoma" w:eastAsia="Calibri" w:hAnsi="Tahoma" w:cs="Tahoma"/>
          <w:i/>
          <w:spacing w:val="-4"/>
          <w:szCs w:val="24"/>
        </w:rPr>
        <w:t>, del 8 de sep. 2008, rad. 31989, reiterada en varias oportunidades, adoctrinó:</w:t>
      </w:r>
      <w:r w:rsidR="00D6390A">
        <w:rPr>
          <w:rFonts w:ascii="Tahoma" w:eastAsia="Calibri" w:hAnsi="Tahoma" w:cs="Tahoma"/>
          <w:i/>
          <w:spacing w:val="-4"/>
          <w:szCs w:val="24"/>
        </w:rPr>
        <w:t xml:space="preserve"> </w:t>
      </w:r>
      <w:r w:rsidRPr="002A1E9E">
        <w:rPr>
          <w:rFonts w:ascii="Tahoma" w:eastAsia="Calibri" w:hAnsi="Tahoma" w:cs="Tahoma"/>
          <w:i/>
          <w:spacing w:val="-4"/>
          <w:szCs w:val="24"/>
        </w:rPr>
        <w:t>[…]</w:t>
      </w:r>
    </w:p>
    <w:p w14:paraId="2C06A7A5" w14:textId="77777777" w:rsidR="002A1E9E" w:rsidRPr="002A1E9E" w:rsidRDefault="002A1E9E" w:rsidP="002A1E9E">
      <w:pPr>
        <w:tabs>
          <w:tab w:val="left" w:pos="5180"/>
        </w:tabs>
        <w:suppressAutoHyphens/>
        <w:spacing w:line="240" w:lineRule="auto"/>
        <w:ind w:left="426" w:right="420" w:firstLine="0"/>
        <w:contextualSpacing/>
        <w:rPr>
          <w:rFonts w:ascii="Tahoma" w:eastAsia="Calibri" w:hAnsi="Tahoma" w:cs="Tahoma"/>
          <w:i/>
          <w:spacing w:val="-4"/>
          <w:szCs w:val="24"/>
        </w:rPr>
      </w:pPr>
    </w:p>
    <w:p w14:paraId="165A266E" w14:textId="77777777" w:rsidR="002A1E9E" w:rsidRPr="002A1E9E" w:rsidRDefault="002A1E9E" w:rsidP="002A1E9E">
      <w:pPr>
        <w:tabs>
          <w:tab w:val="left" w:pos="5180"/>
        </w:tabs>
        <w:suppressAutoHyphens/>
        <w:spacing w:line="240" w:lineRule="auto"/>
        <w:ind w:left="426" w:right="420" w:firstLine="0"/>
        <w:contextualSpacing/>
        <w:rPr>
          <w:rFonts w:ascii="Tahoma" w:eastAsia="Calibri" w:hAnsi="Tahoma" w:cs="Tahoma"/>
          <w:i/>
          <w:spacing w:val="-4"/>
          <w:szCs w:val="24"/>
        </w:rPr>
      </w:pPr>
      <w:r w:rsidRPr="002A1E9E">
        <w:rPr>
          <w:rFonts w:ascii="Tahoma" w:eastAsia="Calibri" w:hAnsi="Tahoma" w:cs="Tahoma"/>
          <w:i/>
          <w:spacing w:val="-4"/>
          <w:szCs w:val="24"/>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1B811A5D" w14:textId="77777777" w:rsidR="002A1E9E" w:rsidRPr="002A1E9E" w:rsidRDefault="002A1E9E" w:rsidP="002A1E9E">
      <w:pPr>
        <w:tabs>
          <w:tab w:val="left" w:pos="5180"/>
        </w:tabs>
        <w:suppressAutoHyphens/>
        <w:spacing w:line="240" w:lineRule="auto"/>
        <w:ind w:left="426" w:right="420" w:firstLine="0"/>
        <w:contextualSpacing/>
        <w:rPr>
          <w:rFonts w:ascii="Tahoma" w:eastAsia="Calibri" w:hAnsi="Tahoma" w:cs="Tahoma"/>
          <w:i/>
          <w:spacing w:val="-4"/>
          <w:szCs w:val="24"/>
        </w:rPr>
      </w:pPr>
    </w:p>
    <w:p w14:paraId="42DD1171" w14:textId="77777777" w:rsidR="002A1E9E" w:rsidRPr="002A1E9E" w:rsidRDefault="002A1E9E" w:rsidP="002A1E9E">
      <w:pPr>
        <w:tabs>
          <w:tab w:val="left" w:pos="5180"/>
        </w:tabs>
        <w:suppressAutoHyphens/>
        <w:spacing w:line="240" w:lineRule="auto"/>
        <w:ind w:left="426" w:right="420" w:firstLine="0"/>
        <w:contextualSpacing/>
        <w:rPr>
          <w:rFonts w:ascii="Tahoma" w:eastAsia="Calibri" w:hAnsi="Tahoma" w:cs="Tahoma"/>
          <w:i/>
          <w:spacing w:val="-4"/>
          <w:szCs w:val="24"/>
        </w:rPr>
      </w:pPr>
      <w:r w:rsidRPr="002A1E9E">
        <w:rPr>
          <w:rFonts w:ascii="Tahoma" w:eastAsia="Calibri" w:hAnsi="Tahoma" w:cs="Tahoma"/>
          <w:i/>
          <w:spacing w:val="-4"/>
          <w:szCs w:val="24"/>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435D64D8" w14:textId="77777777" w:rsidR="00F7005F" w:rsidRPr="00846C67" w:rsidRDefault="00F7005F" w:rsidP="00846C67">
      <w:pPr>
        <w:widowControl w:val="0"/>
        <w:autoSpaceDE w:val="0"/>
        <w:autoSpaceDN w:val="0"/>
        <w:adjustRightInd w:val="0"/>
        <w:spacing w:line="276" w:lineRule="auto"/>
        <w:ind w:firstLine="0"/>
        <w:rPr>
          <w:rFonts w:ascii="Tahoma" w:hAnsi="Tahoma" w:cs="Tahoma"/>
          <w:sz w:val="24"/>
          <w:szCs w:val="24"/>
        </w:rPr>
      </w:pPr>
    </w:p>
    <w:p w14:paraId="70F27BF9" w14:textId="49518E5A" w:rsidR="00F7005F" w:rsidRPr="00846C67" w:rsidRDefault="00F7005F" w:rsidP="00846C67">
      <w:pPr>
        <w:widowControl w:val="0"/>
        <w:autoSpaceDE w:val="0"/>
        <w:autoSpaceDN w:val="0"/>
        <w:adjustRightInd w:val="0"/>
        <w:spacing w:line="276" w:lineRule="auto"/>
        <w:ind w:firstLine="0"/>
        <w:rPr>
          <w:rFonts w:ascii="Tahoma" w:hAnsi="Tahoma" w:cs="Tahoma"/>
          <w:b/>
          <w:sz w:val="24"/>
          <w:szCs w:val="24"/>
        </w:rPr>
      </w:pPr>
      <w:r w:rsidRPr="00846C67">
        <w:rPr>
          <w:rFonts w:ascii="Tahoma" w:hAnsi="Tahoma" w:cs="Tahoma"/>
          <w:sz w:val="24"/>
          <w:szCs w:val="24"/>
        </w:rPr>
        <w:tab/>
        <w:t>Finalmente</w:t>
      </w:r>
      <w:r w:rsidR="008905F4" w:rsidRPr="00846C67">
        <w:rPr>
          <w:rFonts w:ascii="Tahoma" w:hAnsi="Tahoma" w:cs="Tahoma"/>
          <w:sz w:val="24"/>
          <w:szCs w:val="24"/>
        </w:rPr>
        <w:t xml:space="preserve">, </w:t>
      </w:r>
      <w:r w:rsidRPr="00846C67">
        <w:rPr>
          <w:rFonts w:ascii="Tahoma" w:hAnsi="Tahoma" w:cs="Tahoma"/>
          <w:sz w:val="24"/>
          <w:szCs w:val="24"/>
        </w:rPr>
        <w:t>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w:t>
      </w:r>
      <w:r w:rsidR="002D2713" w:rsidRPr="00846C67">
        <w:rPr>
          <w:rFonts w:ascii="Tahoma" w:hAnsi="Tahoma" w:cs="Tahoma"/>
          <w:sz w:val="24"/>
          <w:szCs w:val="24"/>
        </w:rPr>
        <w:t xml:space="preserve"> y,</w:t>
      </w:r>
      <w:r w:rsidRPr="00846C67">
        <w:rPr>
          <w:rFonts w:ascii="Tahoma" w:hAnsi="Tahoma" w:cs="Tahoma"/>
          <w:sz w:val="24"/>
          <w:szCs w:val="24"/>
        </w:rPr>
        <w:t xml:space="preserve"> en caso positivo</w:t>
      </w:r>
      <w:r w:rsidR="002D2713" w:rsidRPr="00846C67">
        <w:rPr>
          <w:rFonts w:ascii="Tahoma" w:hAnsi="Tahoma" w:cs="Tahoma"/>
          <w:sz w:val="24"/>
          <w:szCs w:val="24"/>
        </w:rPr>
        <w:t>,</w:t>
      </w:r>
      <w:r w:rsidRPr="00846C67">
        <w:rPr>
          <w:rFonts w:ascii="Tahoma" w:hAnsi="Tahoma" w:cs="Tahoma"/>
          <w:sz w:val="24"/>
          <w:szCs w:val="24"/>
        </w:rPr>
        <w:t xml:space="preserve"> se entrará a definir si cuando se declara la ineficacia del traslado hay lugar en condenar en costas a la AFP.  </w:t>
      </w:r>
    </w:p>
    <w:p w14:paraId="67D5DDBC" w14:textId="77777777" w:rsidR="00F7005F" w:rsidRPr="00846C67" w:rsidRDefault="00F7005F" w:rsidP="00846C67">
      <w:pPr>
        <w:pStyle w:val="NormalWeb"/>
        <w:spacing w:before="0" w:beforeAutospacing="0" w:after="0" w:afterAutospacing="0" w:line="276" w:lineRule="auto"/>
        <w:ind w:firstLine="709"/>
        <w:jc w:val="both"/>
        <w:rPr>
          <w:rFonts w:ascii="Tahoma" w:hAnsi="Tahoma" w:cs="Tahoma"/>
          <w:color w:val="000000"/>
        </w:rPr>
      </w:pPr>
    </w:p>
    <w:p w14:paraId="12A864F1" w14:textId="77777777" w:rsidR="00F7005F" w:rsidRPr="00846C67" w:rsidRDefault="00F7005F" w:rsidP="00846C67">
      <w:pPr>
        <w:pStyle w:val="Prrafodelista"/>
        <w:widowControl w:val="0"/>
        <w:numPr>
          <w:ilvl w:val="1"/>
          <w:numId w:val="2"/>
        </w:numPr>
        <w:autoSpaceDE w:val="0"/>
        <w:autoSpaceDN w:val="0"/>
        <w:adjustRightInd w:val="0"/>
        <w:spacing w:line="276" w:lineRule="auto"/>
        <w:ind w:left="0" w:firstLine="709"/>
        <w:rPr>
          <w:rFonts w:ascii="Tahoma" w:hAnsi="Tahoma" w:cs="Tahoma"/>
          <w:b/>
        </w:rPr>
      </w:pPr>
      <w:r w:rsidRPr="00846C67">
        <w:rPr>
          <w:rFonts w:ascii="Tahoma" w:hAnsi="Tahoma" w:cs="Tahoma"/>
          <w:b/>
        </w:rPr>
        <w:t>Caso concreto</w:t>
      </w:r>
    </w:p>
    <w:p w14:paraId="61353DC0" w14:textId="77777777" w:rsidR="00F7005F" w:rsidRPr="00846C67" w:rsidRDefault="00F7005F" w:rsidP="00846C67">
      <w:pPr>
        <w:pStyle w:val="xmsonormal"/>
        <w:spacing w:before="0" w:beforeAutospacing="0" w:after="0" w:afterAutospacing="0" w:line="276" w:lineRule="auto"/>
        <w:ind w:left="644"/>
        <w:jc w:val="both"/>
        <w:textAlignment w:val="baseline"/>
        <w:rPr>
          <w:rFonts w:ascii="Tahoma" w:hAnsi="Tahoma" w:cs="Tahoma"/>
        </w:rPr>
      </w:pPr>
    </w:p>
    <w:p w14:paraId="528EE489" w14:textId="16F3D3BE" w:rsidR="00F7005F" w:rsidRPr="00846C67" w:rsidRDefault="00F7005F" w:rsidP="00846C67">
      <w:pPr>
        <w:pStyle w:val="Prrafodelista"/>
        <w:spacing w:line="276" w:lineRule="auto"/>
        <w:ind w:left="0" w:firstLine="644"/>
        <w:jc w:val="both"/>
        <w:rPr>
          <w:rFonts w:ascii="Tahoma" w:hAnsi="Tahoma" w:cs="Tahoma"/>
        </w:rPr>
      </w:pPr>
      <w:r w:rsidRPr="00846C67">
        <w:rPr>
          <w:rFonts w:ascii="Tahoma" w:hAnsi="Tahoma" w:cs="Tahoma"/>
        </w:rPr>
        <w:t>Se pretende por esta vía ordinaria que se declare la ineficacia del traslado del régimen de prima media con prestación definida al de ahorro individual con solidaridad, dada la omisión</w:t>
      </w:r>
      <w:r w:rsidR="002D2713" w:rsidRPr="00846C67">
        <w:rPr>
          <w:rFonts w:ascii="Tahoma" w:hAnsi="Tahoma" w:cs="Tahoma"/>
        </w:rPr>
        <w:t xml:space="preserve"> de información clara y precisa</w:t>
      </w:r>
      <w:r w:rsidRPr="00846C67">
        <w:rPr>
          <w:rFonts w:ascii="Tahoma" w:hAnsi="Tahoma" w:cs="Tahoma"/>
        </w:rPr>
        <w:t xml:space="preserve"> que ha debido brindarle la </w:t>
      </w:r>
      <w:proofErr w:type="spellStart"/>
      <w:r w:rsidRPr="00846C67">
        <w:rPr>
          <w:rFonts w:ascii="Tahoma" w:hAnsi="Tahoma" w:cs="Tahoma"/>
        </w:rPr>
        <w:t>A.F.P</w:t>
      </w:r>
      <w:proofErr w:type="spellEnd"/>
      <w:r w:rsidRPr="00846C67">
        <w:rPr>
          <w:rFonts w:ascii="Tahoma" w:hAnsi="Tahoma" w:cs="Tahoma"/>
        </w:rPr>
        <w:t>. a la parte actora en orden a conocer las condiciones y consecuencias de migración de régimen.</w:t>
      </w:r>
    </w:p>
    <w:p w14:paraId="4EE24A4A" w14:textId="77777777" w:rsidR="00F7005F" w:rsidRPr="00846C67" w:rsidRDefault="00F7005F" w:rsidP="00846C67">
      <w:pPr>
        <w:pStyle w:val="Sinespaciado"/>
        <w:spacing w:line="276" w:lineRule="auto"/>
        <w:rPr>
          <w:rFonts w:ascii="Tahoma" w:hAnsi="Tahoma" w:cs="Tahoma"/>
        </w:rPr>
      </w:pPr>
    </w:p>
    <w:p w14:paraId="5A48CFA6" w14:textId="30865D81" w:rsidR="00F7005F" w:rsidRPr="00846C67" w:rsidRDefault="00F7005F" w:rsidP="00846C67">
      <w:pPr>
        <w:pStyle w:val="Prrafodelista"/>
        <w:spacing w:line="276" w:lineRule="auto"/>
        <w:ind w:left="0" w:firstLine="644"/>
        <w:jc w:val="both"/>
        <w:rPr>
          <w:rFonts w:ascii="Tahoma" w:hAnsi="Tahoma" w:cs="Tahoma"/>
        </w:rPr>
      </w:pPr>
      <w:r w:rsidRPr="00846C67">
        <w:rPr>
          <w:rFonts w:ascii="Tahoma" w:hAnsi="Tahoma" w:cs="Tahoma"/>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3652FA2F" w14:textId="77777777" w:rsidR="00F7005F" w:rsidRPr="00846C67" w:rsidRDefault="00F7005F" w:rsidP="00846C67">
      <w:pPr>
        <w:pStyle w:val="Prrafodelista"/>
        <w:spacing w:line="276" w:lineRule="auto"/>
        <w:ind w:left="0"/>
        <w:jc w:val="both"/>
        <w:rPr>
          <w:rFonts w:ascii="Tahoma" w:hAnsi="Tahoma" w:cs="Tahoma"/>
        </w:rPr>
      </w:pPr>
    </w:p>
    <w:p w14:paraId="28549F9D" w14:textId="6CBB4DC7" w:rsidR="00F7005F" w:rsidRPr="00846C67" w:rsidRDefault="00F7005F" w:rsidP="00846C67">
      <w:pPr>
        <w:pStyle w:val="Prrafodelista"/>
        <w:spacing w:line="276" w:lineRule="auto"/>
        <w:ind w:left="0" w:firstLine="644"/>
        <w:jc w:val="both"/>
        <w:rPr>
          <w:rFonts w:ascii="Tahoma" w:hAnsi="Tahoma" w:cs="Tahoma"/>
          <w:b/>
        </w:rPr>
      </w:pPr>
      <w:r w:rsidRPr="00846C67">
        <w:rPr>
          <w:rFonts w:ascii="Tahoma" w:hAnsi="Tahoma" w:cs="Tahoma"/>
        </w:rPr>
        <w:t>Así pues, la negligencia en que eventualmente incurren tales administradoras de pensiones al no suministrar la información adecuada y precisa al afiliado, recaerá en la eficacia del acto, dado que con la omisión o la defectuosa información se ha inducido en error al afectado(a). En curso del proceso la AFP demandada no cumplió con la carga que se le impone, esto es</w:t>
      </w:r>
      <w:r w:rsidRPr="00846C67">
        <w:rPr>
          <w:rFonts w:ascii="Tahoma" w:hAnsi="Tahoma" w:cs="Tahoma"/>
          <w:b/>
        </w:rPr>
        <w:t>, acreditar haber transmitido a la actora la información concreta y cierta, acerca de la implicación del traslado de régimen pensional.</w:t>
      </w:r>
    </w:p>
    <w:p w14:paraId="517C08E6" w14:textId="77777777" w:rsidR="00F7005F" w:rsidRPr="00846C67" w:rsidRDefault="00F7005F" w:rsidP="00846C67">
      <w:pPr>
        <w:pStyle w:val="Prrafodelista"/>
        <w:spacing w:line="276" w:lineRule="auto"/>
        <w:ind w:left="0"/>
        <w:jc w:val="both"/>
        <w:rPr>
          <w:rFonts w:ascii="Tahoma" w:hAnsi="Tahoma" w:cs="Tahoma"/>
          <w:b/>
        </w:rPr>
      </w:pPr>
    </w:p>
    <w:p w14:paraId="1E6E489B" w14:textId="6BDC9DF0" w:rsidR="00F7005F" w:rsidRPr="00846C67" w:rsidRDefault="00F7005F" w:rsidP="00846C67">
      <w:pPr>
        <w:pStyle w:val="NormalWeb"/>
        <w:spacing w:before="0" w:beforeAutospacing="0" w:after="0" w:afterAutospacing="0" w:line="276" w:lineRule="auto"/>
        <w:ind w:firstLine="644"/>
        <w:jc w:val="both"/>
        <w:rPr>
          <w:rFonts w:ascii="Tahoma" w:hAnsi="Tahoma" w:cs="Tahoma"/>
          <w:color w:val="000000"/>
        </w:rPr>
      </w:pPr>
      <w:r w:rsidRPr="00846C67">
        <w:rPr>
          <w:rFonts w:ascii="Tahoma" w:hAnsi="Tahoma" w:cs="Tahoma"/>
          <w:color w:val="000000"/>
        </w:rPr>
        <w:lastRenderedPageBreak/>
        <w:t xml:space="preserve">En realidad, mínimo la AFP tendría que haber dado la siguiente información: </w:t>
      </w:r>
      <w:r w:rsidRPr="00846C67">
        <w:rPr>
          <w:rFonts w:ascii="Tahoma" w:hAnsi="Tahoma" w:cs="Tahoma"/>
          <w:i/>
          <w:color w:val="000000"/>
        </w:rPr>
        <w:t xml:space="preserve">i) </w:t>
      </w:r>
      <w:r w:rsidRPr="00846C67">
        <w:rPr>
          <w:rFonts w:ascii="Tahoma" w:hAnsi="Tahoma" w:cs="Tahoma"/>
          <w:color w:val="000000"/>
        </w:rPr>
        <w:t>Que dependiendo del capital, puede pensionarse anticipadamente, esto es, antes de la edad m</w:t>
      </w:r>
      <w:r w:rsidR="003E268D" w:rsidRPr="00846C67">
        <w:rPr>
          <w:rFonts w:ascii="Tahoma" w:hAnsi="Tahoma" w:cs="Tahoma"/>
          <w:color w:val="000000"/>
        </w:rPr>
        <w:t xml:space="preserve">ínima para la pensión de vejez; </w:t>
      </w:r>
      <w:r w:rsidRPr="00846C67">
        <w:rPr>
          <w:rFonts w:ascii="Tahoma" w:hAnsi="Tahoma" w:cs="Tahoma"/>
          <w:i/>
          <w:color w:val="000000"/>
        </w:rPr>
        <w:t xml:space="preserve">ii) </w:t>
      </w:r>
      <w:r w:rsidRPr="00846C67">
        <w:rPr>
          <w:rFonts w:ascii="Tahoma" w:hAnsi="Tahoma" w:cs="Tahoma"/>
          <w:color w:val="000000"/>
        </w:rPr>
        <w:t>La posibilidad para sus herederos de hacerse a la devolución de saldos, en caso de que no existieran beneficiaros para la pensión de sobrevivientes</w:t>
      </w:r>
      <w:r w:rsidR="003E268D" w:rsidRPr="00846C67">
        <w:rPr>
          <w:rFonts w:ascii="Tahoma" w:hAnsi="Tahoma" w:cs="Tahoma"/>
          <w:color w:val="000000"/>
        </w:rPr>
        <w:t>;</w:t>
      </w:r>
      <w:r w:rsidRPr="00846C67">
        <w:rPr>
          <w:rFonts w:ascii="Tahoma" w:hAnsi="Tahoma" w:cs="Tahoma"/>
          <w:color w:val="000000"/>
        </w:rPr>
        <w:t xml:space="preserve"> </w:t>
      </w:r>
      <w:r w:rsidRPr="00846C67">
        <w:rPr>
          <w:rFonts w:ascii="Tahoma" w:hAnsi="Tahoma" w:cs="Tahoma"/>
          <w:i/>
          <w:color w:val="000000"/>
        </w:rPr>
        <w:t xml:space="preserve">iii) </w:t>
      </w:r>
      <w:r w:rsidRPr="00846C67">
        <w:rPr>
          <w:rFonts w:ascii="Tahoma" w:hAnsi="Tahoma" w:cs="Tahoma"/>
          <w:color w:val="000000"/>
        </w:rPr>
        <w:t>La devolución total del saldo en caso de no alcanzar a reunir el total de los requisitos legales para optar al beneficio pensional</w:t>
      </w:r>
      <w:r w:rsidR="003E268D" w:rsidRPr="00846C67">
        <w:rPr>
          <w:rFonts w:ascii="Tahoma" w:hAnsi="Tahoma" w:cs="Tahoma"/>
          <w:color w:val="000000"/>
        </w:rPr>
        <w:t>;</w:t>
      </w:r>
      <w:r w:rsidRPr="00846C67">
        <w:rPr>
          <w:rFonts w:ascii="Tahoma" w:hAnsi="Tahoma" w:cs="Tahoma"/>
          <w:color w:val="000000"/>
        </w:rPr>
        <w:t xml:space="preserve"> </w:t>
      </w:r>
      <w:r w:rsidRPr="00846C67">
        <w:rPr>
          <w:rFonts w:ascii="Tahoma" w:hAnsi="Tahoma" w:cs="Tahoma"/>
          <w:i/>
          <w:color w:val="000000"/>
        </w:rPr>
        <w:t xml:space="preserve">iv) </w:t>
      </w:r>
      <w:r w:rsidRPr="00846C67">
        <w:rPr>
          <w:rFonts w:ascii="Tahoma" w:hAnsi="Tahoma" w:cs="Tahoma"/>
          <w:color w:val="000000"/>
        </w:rPr>
        <w:t>Tener la posibilidad de la pensión de vejez habiendo cotizado el mínimo de semanas requeridas a pesar de no reunir el capital suficiente para el financiamiento de la prestación económica</w:t>
      </w:r>
      <w:r w:rsidR="003E268D" w:rsidRPr="00846C67">
        <w:rPr>
          <w:rFonts w:ascii="Tahoma" w:hAnsi="Tahoma" w:cs="Tahoma"/>
          <w:color w:val="000000"/>
        </w:rPr>
        <w:t>;</w:t>
      </w:r>
      <w:r w:rsidRPr="00846C67">
        <w:rPr>
          <w:rFonts w:ascii="Tahoma" w:hAnsi="Tahoma" w:cs="Tahoma"/>
          <w:color w:val="000000"/>
        </w:rPr>
        <w:t xml:space="preserve"> </w:t>
      </w:r>
      <w:r w:rsidRPr="00846C67">
        <w:rPr>
          <w:rFonts w:ascii="Tahoma" w:hAnsi="Tahoma" w:cs="Tahoma"/>
          <w:i/>
          <w:color w:val="000000"/>
        </w:rPr>
        <w:t xml:space="preserve">v) </w:t>
      </w:r>
      <w:r w:rsidRPr="00846C67">
        <w:rPr>
          <w:rFonts w:ascii="Tahoma" w:hAnsi="Tahoma" w:cs="Tahoma"/>
          <w:color w:val="000000"/>
        </w:rPr>
        <w:t>La posibilidad de que el reconocimiento de la pensión de vejez, una vez reunido los requisitos, se haga pronto</w:t>
      </w:r>
      <w:r w:rsidR="003E268D" w:rsidRPr="00846C67">
        <w:rPr>
          <w:rFonts w:ascii="Tahoma" w:hAnsi="Tahoma" w:cs="Tahoma"/>
          <w:color w:val="000000"/>
        </w:rPr>
        <w:t>;</w:t>
      </w:r>
      <w:r w:rsidRPr="00846C67">
        <w:rPr>
          <w:rFonts w:ascii="Tahoma" w:hAnsi="Tahoma" w:cs="Tahoma"/>
          <w:color w:val="000000"/>
        </w:rPr>
        <w:t xml:space="preserve"> </w:t>
      </w:r>
      <w:r w:rsidRPr="00846C67">
        <w:rPr>
          <w:rFonts w:ascii="Tahoma" w:hAnsi="Tahoma" w:cs="Tahoma"/>
          <w:i/>
          <w:color w:val="000000"/>
        </w:rPr>
        <w:t xml:space="preserve">vi) </w:t>
      </w:r>
      <w:r w:rsidRPr="00846C67">
        <w:rPr>
          <w:rFonts w:ascii="Tahoma" w:hAnsi="Tahoma" w:cs="Tahoma"/>
          <w:color w:val="000000"/>
        </w:rPr>
        <w:t xml:space="preserve">La posibilidad de que sus aportes se conviertan en patrimonio </w:t>
      </w:r>
      <w:proofErr w:type="spellStart"/>
      <w:r w:rsidRPr="00846C67">
        <w:rPr>
          <w:rFonts w:ascii="Tahoma" w:hAnsi="Tahoma" w:cs="Tahoma"/>
          <w:color w:val="000000"/>
        </w:rPr>
        <w:t>sucesoral</w:t>
      </w:r>
      <w:proofErr w:type="spellEnd"/>
      <w:r w:rsidRPr="00846C67">
        <w:rPr>
          <w:rFonts w:ascii="Tahoma" w:hAnsi="Tahoma" w:cs="Tahoma"/>
          <w:color w:val="000000"/>
        </w:rPr>
        <w:t xml:space="preserve"> en un caso dado</w:t>
      </w:r>
      <w:r w:rsidR="003E268D" w:rsidRPr="00846C67">
        <w:rPr>
          <w:rFonts w:ascii="Tahoma" w:hAnsi="Tahoma" w:cs="Tahoma"/>
          <w:color w:val="000000"/>
        </w:rPr>
        <w:t>;</w:t>
      </w:r>
      <w:r w:rsidRPr="00846C67">
        <w:rPr>
          <w:rFonts w:ascii="Tahoma" w:hAnsi="Tahoma" w:cs="Tahoma"/>
          <w:color w:val="000000"/>
        </w:rPr>
        <w:t xml:space="preserve"> </w:t>
      </w:r>
      <w:r w:rsidRPr="00846C67">
        <w:rPr>
          <w:rFonts w:ascii="Tahoma" w:hAnsi="Tahoma" w:cs="Tahoma"/>
          <w:i/>
          <w:color w:val="000000"/>
        </w:rPr>
        <w:t xml:space="preserve">vii) </w:t>
      </w:r>
      <w:r w:rsidRPr="00846C67">
        <w:rPr>
          <w:rFonts w:ascii="Tahoma" w:hAnsi="Tahoma" w:cs="Tahoma"/>
          <w:color w:val="000000"/>
        </w:rPr>
        <w:t>El hecho de que el afiliado es el único titular de la cuenta de ahorro individual en contraste con el fondo público cuyos ahorros hacen parte de un fondo común</w:t>
      </w:r>
      <w:r w:rsidR="003E268D" w:rsidRPr="00846C67">
        <w:rPr>
          <w:rFonts w:ascii="Tahoma" w:hAnsi="Tahoma" w:cs="Tahoma"/>
          <w:color w:val="000000"/>
        </w:rPr>
        <w:t>;</w:t>
      </w:r>
      <w:r w:rsidRPr="00846C67">
        <w:rPr>
          <w:rFonts w:ascii="Tahoma" w:hAnsi="Tahoma" w:cs="Tahoma"/>
          <w:color w:val="000000"/>
        </w:rPr>
        <w:t xml:space="preserve"> </w:t>
      </w:r>
      <w:r w:rsidRPr="00846C67">
        <w:rPr>
          <w:rFonts w:ascii="Tahoma" w:hAnsi="Tahoma" w:cs="Tahoma"/>
          <w:i/>
          <w:color w:val="000000"/>
        </w:rPr>
        <w:t xml:space="preserve">viii) </w:t>
      </w:r>
      <w:r w:rsidRPr="00846C67">
        <w:rPr>
          <w:rFonts w:ascii="Tahoma" w:hAnsi="Tahoma" w:cs="Tahoma"/>
          <w:color w:val="000000"/>
        </w:rPr>
        <w:t xml:space="preserve">Los rendimientos financieros que le generen sus aportes abonados sobre el saldo de su cuenta de ahorro individual y, </w:t>
      </w:r>
      <w:r w:rsidRPr="00846C67">
        <w:rPr>
          <w:rFonts w:ascii="Tahoma" w:hAnsi="Tahoma" w:cs="Tahoma"/>
          <w:i/>
          <w:color w:val="000000"/>
        </w:rPr>
        <w:t xml:space="preserve">ix) </w:t>
      </w:r>
      <w:r w:rsidRPr="00846C67">
        <w:rPr>
          <w:rFonts w:ascii="Tahoma" w:hAnsi="Tahoma" w:cs="Tahoma"/>
          <w:color w:val="000000"/>
        </w:rPr>
        <w:t xml:space="preserve">La posibilidad de seleccionar entre variadas modalidades de pensión, cuya ilustración resultaba vital, pues debió advertírsele en qué consistía cada una, así: La modalidades de renta vitalicia inmediata, la cual le quita la posibilidad de que los saldos de su cuenta de ahorro individual se conviertan en masa </w:t>
      </w:r>
      <w:proofErr w:type="spellStart"/>
      <w:r w:rsidRPr="00846C67">
        <w:rPr>
          <w:rFonts w:ascii="Tahoma" w:hAnsi="Tahoma" w:cs="Tahoma"/>
          <w:color w:val="000000"/>
        </w:rPr>
        <w:t>sucesoral</w:t>
      </w:r>
      <w:proofErr w:type="spellEnd"/>
      <w:r w:rsidRPr="00846C67">
        <w:rPr>
          <w:rFonts w:ascii="Tahoma" w:hAnsi="Tahoma" w:cs="Tahoma"/>
          <w:color w:val="000000"/>
        </w:rPr>
        <w:t xml:space="preserve"> pero le garantiza una pensión de por vida</w:t>
      </w:r>
      <w:r w:rsidR="003E268D" w:rsidRPr="00846C67">
        <w:rPr>
          <w:rFonts w:ascii="Tahoma" w:hAnsi="Tahoma" w:cs="Tahoma"/>
          <w:color w:val="000000"/>
        </w:rPr>
        <w:t xml:space="preserve">; </w:t>
      </w:r>
      <w:r w:rsidRPr="00846C67">
        <w:rPr>
          <w:rFonts w:ascii="Tahoma" w:hAnsi="Tahoma" w:cs="Tahoma"/>
          <w:color w:val="000000"/>
        </w:rPr>
        <w:t xml:space="preserve"> La modalidad de </w:t>
      </w:r>
      <w:r w:rsidRPr="00846C67">
        <w:rPr>
          <w:rFonts w:ascii="Tahoma" w:hAnsi="Tahoma" w:cs="Tahoma"/>
          <w:i/>
          <w:color w:val="000000"/>
        </w:rPr>
        <w:t>retiro programado</w:t>
      </w:r>
      <w:r w:rsidR="003E268D" w:rsidRPr="00846C67">
        <w:rPr>
          <w:rFonts w:ascii="Tahoma" w:hAnsi="Tahoma" w:cs="Tahoma"/>
          <w:i/>
          <w:color w:val="000000"/>
        </w:rPr>
        <w:t>,</w:t>
      </w:r>
      <w:r w:rsidRPr="00846C67">
        <w:rPr>
          <w:rFonts w:ascii="Tahoma" w:hAnsi="Tahoma" w:cs="Tahoma"/>
          <w:color w:val="000000"/>
        </w:rPr>
        <w:t xml:space="preserve"> la cual tiene la desventaja de que una vez se termine el saldo en la cuenta de ahorro individual, si supera la expectativa de vida tenida en cuenta por la AFP, se queda sin pensión de vejez durante los años posteriores</w:t>
      </w:r>
      <w:r w:rsidR="003E268D" w:rsidRPr="00846C67">
        <w:rPr>
          <w:rFonts w:ascii="Tahoma" w:hAnsi="Tahoma" w:cs="Tahoma"/>
          <w:color w:val="000000"/>
        </w:rPr>
        <w:t xml:space="preserve"> y, </w:t>
      </w:r>
      <w:r w:rsidRPr="00846C67">
        <w:rPr>
          <w:rFonts w:ascii="Tahoma" w:hAnsi="Tahoma" w:cs="Tahoma"/>
          <w:color w:val="000000"/>
        </w:rPr>
        <w:t>La modalidad de retiro programado con renta vitalicia, que combina las dos anteriores.</w:t>
      </w:r>
    </w:p>
    <w:p w14:paraId="07E42F1D" w14:textId="77777777" w:rsidR="00F7005F" w:rsidRPr="00846C67" w:rsidRDefault="00F7005F" w:rsidP="00846C67">
      <w:pPr>
        <w:pStyle w:val="Sinespaciado"/>
        <w:spacing w:line="276" w:lineRule="auto"/>
        <w:rPr>
          <w:rFonts w:ascii="Tahoma" w:hAnsi="Tahoma" w:cs="Tahoma"/>
        </w:rPr>
      </w:pPr>
    </w:p>
    <w:p w14:paraId="57F025FA" w14:textId="77777777" w:rsidR="00F7005F" w:rsidRPr="00846C67" w:rsidRDefault="00F7005F" w:rsidP="00846C67">
      <w:pPr>
        <w:pStyle w:val="NormalWeb"/>
        <w:spacing w:before="0" w:beforeAutospacing="0" w:after="0" w:afterAutospacing="0" w:line="276" w:lineRule="auto"/>
        <w:ind w:firstLine="644"/>
        <w:jc w:val="both"/>
        <w:rPr>
          <w:rFonts w:ascii="Tahoma" w:hAnsi="Tahoma" w:cs="Tahoma"/>
          <w:color w:val="000000"/>
        </w:rPr>
      </w:pPr>
      <w:r w:rsidRPr="00846C67">
        <w:rPr>
          <w:rFonts w:ascii="Tahoma" w:hAnsi="Tahoma" w:cs="Tahoma"/>
          <w:color w:val="000000"/>
        </w:rPr>
        <w:t xml:space="preserve">La AFP afirma en su contestación que brindó la información </w:t>
      </w:r>
      <w:r w:rsidRPr="00846C67">
        <w:rPr>
          <w:rFonts w:ascii="Tahoma" w:hAnsi="Tahoma" w:cs="Tahoma"/>
          <w:b/>
          <w:i/>
          <w:color w:val="000000"/>
        </w:rPr>
        <w:t>básica</w:t>
      </w:r>
      <w:r w:rsidRPr="00846C67">
        <w:rPr>
          <w:rFonts w:ascii="Tahoma" w:hAnsi="Tahoma" w:cs="Tahoma"/>
          <w:color w:val="000000"/>
        </w:rPr>
        <w:t xml:space="preserv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32EDDBBC" w14:textId="77777777" w:rsidR="00F7005F" w:rsidRPr="00846C67" w:rsidRDefault="00F7005F" w:rsidP="00846C67">
      <w:pPr>
        <w:pStyle w:val="Sinespaciado"/>
        <w:spacing w:line="276" w:lineRule="auto"/>
        <w:rPr>
          <w:rFonts w:ascii="Tahoma" w:hAnsi="Tahoma" w:cs="Tahoma"/>
        </w:rPr>
      </w:pPr>
    </w:p>
    <w:p w14:paraId="78D4BB96" w14:textId="1D554629" w:rsidR="003E268D" w:rsidRPr="00846C67" w:rsidRDefault="00F7005F" w:rsidP="00846C67">
      <w:pPr>
        <w:spacing w:line="276" w:lineRule="auto"/>
        <w:rPr>
          <w:rFonts w:ascii="Tahoma" w:hAnsi="Tahoma" w:cs="Tahoma"/>
          <w:sz w:val="24"/>
          <w:szCs w:val="24"/>
        </w:rPr>
      </w:pPr>
      <w:r w:rsidRPr="00846C67">
        <w:rPr>
          <w:rFonts w:ascii="Tahoma" w:hAnsi="Tahoma" w:cs="Tahoma"/>
          <w:sz w:val="24"/>
          <w:szCs w:val="24"/>
        </w:rPr>
        <w:t xml:space="preserve">Con todo hay que indicar que como prueba del cumplimiento del deber de información y buen consejo, la AFP demandada llamó a declarar a su contraparte procesal, </w:t>
      </w:r>
      <w:r w:rsidR="003E268D" w:rsidRPr="00846C67">
        <w:rPr>
          <w:rFonts w:ascii="Tahoma" w:hAnsi="Tahoma" w:cs="Tahoma"/>
          <w:sz w:val="24"/>
          <w:szCs w:val="24"/>
        </w:rPr>
        <w:t xml:space="preserve">de cuya </w:t>
      </w:r>
      <w:r w:rsidR="0038489F" w:rsidRPr="00846C67">
        <w:rPr>
          <w:rFonts w:ascii="Tahoma" w:hAnsi="Tahoma" w:cs="Tahoma"/>
          <w:sz w:val="24"/>
          <w:szCs w:val="24"/>
        </w:rPr>
        <w:t>exposición n</w:t>
      </w:r>
      <w:r w:rsidR="003E268D" w:rsidRPr="00846C67">
        <w:rPr>
          <w:rFonts w:ascii="Tahoma" w:hAnsi="Tahoma" w:cs="Tahoma"/>
          <w:sz w:val="24"/>
          <w:szCs w:val="24"/>
        </w:rPr>
        <w:t xml:space="preserve">o </w:t>
      </w:r>
      <w:r w:rsidR="0038489F" w:rsidRPr="00846C67">
        <w:rPr>
          <w:rFonts w:ascii="Tahoma" w:hAnsi="Tahoma" w:cs="Tahoma"/>
          <w:sz w:val="24"/>
          <w:szCs w:val="24"/>
        </w:rPr>
        <w:t xml:space="preserve">se logra inferir que se le hubiera brindado una </w:t>
      </w:r>
      <w:r w:rsidRPr="00846C67">
        <w:rPr>
          <w:rFonts w:ascii="Tahoma" w:hAnsi="Tahoma" w:cs="Tahoma"/>
          <w:sz w:val="24"/>
          <w:szCs w:val="24"/>
        </w:rPr>
        <w:t xml:space="preserve">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w:t>
      </w:r>
    </w:p>
    <w:p w14:paraId="2E2858CF" w14:textId="77777777" w:rsidR="003E268D" w:rsidRPr="00846C67" w:rsidRDefault="003E268D" w:rsidP="00846C67">
      <w:pPr>
        <w:spacing w:line="276" w:lineRule="auto"/>
        <w:rPr>
          <w:rFonts w:ascii="Tahoma" w:hAnsi="Tahoma" w:cs="Tahoma"/>
          <w:sz w:val="24"/>
          <w:szCs w:val="24"/>
        </w:rPr>
      </w:pPr>
    </w:p>
    <w:p w14:paraId="6A13950F" w14:textId="632FEC1D" w:rsidR="00F7005F" w:rsidRPr="00846C67" w:rsidRDefault="00F7005F" w:rsidP="00846C67">
      <w:pPr>
        <w:spacing w:line="276" w:lineRule="auto"/>
        <w:rPr>
          <w:rFonts w:ascii="Tahoma" w:hAnsi="Tahoma" w:cs="Tahoma"/>
          <w:sz w:val="24"/>
          <w:szCs w:val="24"/>
        </w:rPr>
      </w:pPr>
      <w:r w:rsidRPr="00846C67">
        <w:rPr>
          <w:rFonts w:ascii="Tahoma" w:hAnsi="Tahoma" w:cs="Tahoma"/>
          <w:sz w:val="24"/>
          <w:szCs w:val="24"/>
        </w:rPr>
        <w:t xml:space="preserve">El otro elemento de prueba que esgrime la AFP </w:t>
      </w:r>
      <w:r w:rsidR="0038489F" w:rsidRPr="00846C67">
        <w:rPr>
          <w:rFonts w:ascii="Tahoma" w:hAnsi="Tahoma" w:cs="Tahoma"/>
          <w:sz w:val="24"/>
          <w:szCs w:val="24"/>
        </w:rPr>
        <w:t xml:space="preserve">a lo largo de la </w:t>
      </w:r>
      <w:proofErr w:type="spellStart"/>
      <w:r w:rsidR="0038489F" w:rsidRPr="00846C67">
        <w:rPr>
          <w:rFonts w:ascii="Tahoma" w:hAnsi="Tahoma" w:cs="Tahoma"/>
          <w:sz w:val="24"/>
          <w:szCs w:val="24"/>
        </w:rPr>
        <w:t>litis</w:t>
      </w:r>
      <w:proofErr w:type="spellEnd"/>
      <w:r w:rsidR="0038489F" w:rsidRPr="00846C67">
        <w:rPr>
          <w:rFonts w:ascii="Tahoma" w:hAnsi="Tahoma" w:cs="Tahoma"/>
          <w:sz w:val="24"/>
          <w:szCs w:val="24"/>
        </w:rPr>
        <w:t xml:space="preserve"> </w:t>
      </w:r>
      <w:r w:rsidRPr="00846C67">
        <w:rPr>
          <w:rFonts w:ascii="Tahoma" w:hAnsi="Tahoma" w:cs="Tahoma"/>
          <w:sz w:val="24"/>
          <w:szCs w:val="24"/>
        </w:rPr>
        <w:t xml:space="preserve">es el formulario de afiliación suscrito por la </w:t>
      </w:r>
      <w:r w:rsidR="0038489F" w:rsidRPr="00846C67">
        <w:rPr>
          <w:rFonts w:ascii="Tahoma" w:hAnsi="Tahoma" w:cs="Tahoma"/>
          <w:sz w:val="24"/>
          <w:szCs w:val="24"/>
        </w:rPr>
        <w:t>gestora del pleito,</w:t>
      </w:r>
      <w:r w:rsidRPr="00846C67">
        <w:rPr>
          <w:rFonts w:ascii="Tahoma" w:hAnsi="Tahoma" w:cs="Tahoma"/>
          <w:sz w:val="24"/>
          <w:szCs w:val="24"/>
        </w:rPr>
        <w:t xml:space="preserve"> pero dicho documento no logra evidenciar la información que se le brindó. En tal virtud se estima acertada la valoración probatoria efectuada por la operadora judicial de instancia</w:t>
      </w:r>
      <w:r w:rsidR="0038489F" w:rsidRPr="00846C67">
        <w:rPr>
          <w:rFonts w:ascii="Tahoma" w:hAnsi="Tahoma" w:cs="Tahoma"/>
          <w:sz w:val="24"/>
          <w:szCs w:val="24"/>
        </w:rPr>
        <w:t>.</w:t>
      </w:r>
    </w:p>
    <w:p w14:paraId="0C4A5185" w14:textId="77777777" w:rsidR="00F7005F" w:rsidRPr="00846C67" w:rsidRDefault="00F7005F" w:rsidP="00846C67">
      <w:pPr>
        <w:spacing w:line="276" w:lineRule="auto"/>
        <w:ind w:firstLine="0"/>
        <w:rPr>
          <w:rFonts w:ascii="Tahoma" w:hAnsi="Tahoma" w:cs="Tahoma"/>
          <w:sz w:val="24"/>
          <w:szCs w:val="24"/>
        </w:rPr>
      </w:pPr>
    </w:p>
    <w:p w14:paraId="1A261277" w14:textId="29029B6E" w:rsidR="00F7005F" w:rsidRPr="00846C67" w:rsidRDefault="00F7005F" w:rsidP="00846C67">
      <w:pPr>
        <w:spacing w:line="276" w:lineRule="auto"/>
        <w:rPr>
          <w:rFonts w:ascii="Tahoma" w:hAnsi="Tahoma" w:cs="Tahoma"/>
          <w:sz w:val="24"/>
          <w:szCs w:val="24"/>
        </w:rPr>
      </w:pPr>
      <w:r w:rsidRPr="00846C67">
        <w:rPr>
          <w:rFonts w:ascii="Tahoma" w:hAnsi="Tahoma" w:cs="Tahoma"/>
          <w:sz w:val="24"/>
          <w:szCs w:val="24"/>
        </w:rPr>
        <w:lastRenderedPageBreak/>
        <w:t xml:space="preserve">Pero además, a juicio de esta colegiatura, si el asesor de la demandada contaba con un conocimiento profundo de todas las posibilidades que ofrecía el </w:t>
      </w:r>
      <w:proofErr w:type="spellStart"/>
      <w:r w:rsidRPr="00846C67">
        <w:rPr>
          <w:rFonts w:ascii="Tahoma" w:hAnsi="Tahoma" w:cs="Tahoma"/>
          <w:sz w:val="24"/>
          <w:szCs w:val="24"/>
        </w:rPr>
        <w:t>RAIS</w:t>
      </w:r>
      <w:proofErr w:type="spellEnd"/>
      <w:r w:rsidRPr="00846C67">
        <w:rPr>
          <w:rFonts w:ascii="Tahoma" w:hAnsi="Tahoma" w:cs="Tahoma"/>
          <w:sz w:val="24"/>
          <w:szCs w:val="24"/>
        </w:rPr>
        <w:t xml:space="preserve">, también debía contar con un discernimiento mínimo de las limitantes que este tenía en contraste con el régimen de prima media, o viceversa, por lo que debió poner de presente a la demandante </w:t>
      </w:r>
      <w:r w:rsidR="002A1E9E">
        <w:rPr>
          <w:rFonts w:ascii="Tahoma" w:hAnsi="Tahoma" w:cs="Tahoma"/>
          <w:sz w:val="24"/>
          <w:szCs w:val="24"/>
        </w:rPr>
        <w:t>-</w:t>
      </w:r>
      <w:r w:rsidRPr="00846C67">
        <w:rPr>
          <w:rFonts w:ascii="Tahoma" w:hAnsi="Tahoma" w:cs="Tahoma"/>
          <w:sz w:val="24"/>
          <w:szCs w:val="24"/>
        </w:rPr>
        <w:t>al menos de manera sucinta- esas situaciones antes de permitirle diligenciar el formulario de vinculación; no obstante, la prueba documental sólo permite concluir que esa trascendental decisión se limitó a la suscripción del aludido documento.</w:t>
      </w:r>
    </w:p>
    <w:p w14:paraId="419F2D15" w14:textId="77777777" w:rsidR="00F7005F" w:rsidRPr="00846C67" w:rsidRDefault="00F7005F" w:rsidP="00846C67">
      <w:pPr>
        <w:pStyle w:val="Prrafodelista"/>
        <w:spacing w:line="276" w:lineRule="auto"/>
        <w:ind w:left="644"/>
        <w:rPr>
          <w:rFonts w:ascii="Tahoma" w:hAnsi="Tahoma" w:cs="Tahoma"/>
        </w:rPr>
      </w:pPr>
    </w:p>
    <w:p w14:paraId="12914DE8" w14:textId="77777777" w:rsidR="00F7005F" w:rsidRPr="00846C67" w:rsidRDefault="00F7005F" w:rsidP="00846C67">
      <w:pPr>
        <w:spacing w:line="276" w:lineRule="auto"/>
        <w:rPr>
          <w:rFonts w:ascii="Tahoma" w:hAnsi="Tahoma" w:cs="Tahoma"/>
          <w:sz w:val="24"/>
          <w:szCs w:val="24"/>
        </w:rPr>
      </w:pPr>
      <w:r w:rsidRPr="00846C67">
        <w:rPr>
          <w:rFonts w:ascii="Tahoma" w:hAnsi="Tahoma" w:cs="Tahoma"/>
          <w:sz w:val="24"/>
          <w:szCs w:val="24"/>
        </w:rPr>
        <w:t xml:space="preserve">En cuanto a la censura expuesta por Porvenir S.A. relativa a que se le exonere de la devolución de las cuotas de administración, se dirá que de conformidad con la </w:t>
      </w:r>
      <w:proofErr w:type="spellStart"/>
      <w:r w:rsidRPr="00846C67">
        <w:rPr>
          <w:rFonts w:ascii="Tahoma" w:hAnsi="Tahoma" w:cs="Tahoma"/>
          <w:sz w:val="24"/>
          <w:szCs w:val="24"/>
        </w:rPr>
        <w:t>SL1421</w:t>
      </w:r>
      <w:proofErr w:type="spellEnd"/>
      <w:r w:rsidRPr="00846C67">
        <w:rPr>
          <w:rFonts w:ascii="Tahoma" w:hAnsi="Tahoma" w:cs="Tahoma"/>
          <w:sz w:val="24"/>
          <w:szCs w:val="24"/>
        </w:rPr>
        <w:t xml:space="preserve"> de 2019, Rad. 56174, </w:t>
      </w:r>
      <w:proofErr w:type="spellStart"/>
      <w:r w:rsidRPr="00846C67">
        <w:rPr>
          <w:rFonts w:ascii="Tahoma" w:hAnsi="Tahoma" w:cs="Tahoma"/>
          <w:sz w:val="24"/>
          <w:szCs w:val="24"/>
        </w:rPr>
        <w:t>M.P</w:t>
      </w:r>
      <w:proofErr w:type="spellEnd"/>
      <w:r w:rsidRPr="00846C67">
        <w:rPr>
          <w:rFonts w:ascii="Tahoma" w:hAnsi="Tahoma" w:cs="Tahoma"/>
          <w:sz w:val="24"/>
          <w:szCs w:val="24"/>
        </w:rPr>
        <w:t xml:space="preserve">. Gerardo Botero Zuluaga, previamente citada, es su deber trasladar a Colpensiones los gastos de administración cancelados por la actora en razón a que los mismos fueron el resultado de una conducta indebida al momento del traslado, de modo que no pueden permanecer en sus arcas sino retornar al régimen de prima media. </w:t>
      </w:r>
    </w:p>
    <w:p w14:paraId="6B667780" w14:textId="77777777" w:rsidR="00F7005F" w:rsidRPr="00846C67" w:rsidRDefault="00F7005F" w:rsidP="00846C67">
      <w:pPr>
        <w:spacing w:line="276" w:lineRule="auto"/>
        <w:rPr>
          <w:rFonts w:ascii="Tahoma" w:hAnsi="Tahoma" w:cs="Tahoma"/>
          <w:sz w:val="24"/>
          <w:szCs w:val="24"/>
        </w:rPr>
      </w:pPr>
    </w:p>
    <w:p w14:paraId="27FF31A4" w14:textId="77777777" w:rsidR="00F7005F" w:rsidRPr="00846C67" w:rsidRDefault="00F7005F" w:rsidP="00846C67">
      <w:pPr>
        <w:spacing w:line="276" w:lineRule="auto"/>
        <w:rPr>
          <w:rFonts w:ascii="Tahoma" w:hAnsi="Tahoma" w:cs="Tahoma"/>
          <w:sz w:val="24"/>
          <w:szCs w:val="24"/>
        </w:rPr>
      </w:pPr>
      <w:r w:rsidRPr="00846C67">
        <w:rPr>
          <w:rFonts w:ascii="Tahoma" w:hAnsi="Tahoma" w:cs="Tahoma"/>
          <w:sz w:val="24"/>
          <w:szCs w:val="24"/>
        </w:rPr>
        <w:t xml:space="preserve">No prosperan tampoco los argumentos esbozados por Colpensiones en razón a que el retorno de la demandante acarrea el trasladado de la totalidad de los montos que hubiera efectuado al régimen de prima media en caso de no haberse dado el traslado al </w:t>
      </w:r>
      <w:proofErr w:type="spellStart"/>
      <w:r w:rsidRPr="00846C67">
        <w:rPr>
          <w:rFonts w:ascii="Tahoma" w:hAnsi="Tahoma" w:cs="Tahoma"/>
          <w:sz w:val="24"/>
          <w:szCs w:val="24"/>
        </w:rPr>
        <w:t>RAIS</w:t>
      </w:r>
      <w:proofErr w:type="spellEnd"/>
      <w:r w:rsidRPr="00846C67">
        <w:rPr>
          <w:rFonts w:ascii="Tahoma" w:hAnsi="Tahoma" w:cs="Tahoma"/>
          <w:sz w:val="24"/>
          <w:szCs w:val="24"/>
        </w:rPr>
        <w:t xml:space="preserve">, de modo que en momento alguno se ve afectada la estabilidad financiera del sistema, pues dada la estructura del régimen de prima media, el monto que recibirá COLPENSIONES por cuenta de este proceso financiará las pensiones que se causen en el futuro y no las que ya están causadas. </w:t>
      </w:r>
    </w:p>
    <w:p w14:paraId="04202272" w14:textId="1CBFCEC8" w:rsidR="00F7005F" w:rsidRPr="00846C67" w:rsidRDefault="00F7005F" w:rsidP="00846C67">
      <w:pPr>
        <w:spacing w:line="276" w:lineRule="auto"/>
        <w:rPr>
          <w:rFonts w:ascii="Tahoma" w:hAnsi="Tahoma" w:cs="Tahoma"/>
          <w:sz w:val="24"/>
          <w:szCs w:val="24"/>
        </w:rPr>
      </w:pPr>
    </w:p>
    <w:p w14:paraId="321BFDBE" w14:textId="64C52DBA" w:rsidR="00332FEE" w:rsidRPr="00846C67" w:rsidRDefault="00332FEE" w:rsidP="00846C67">
      <w:pPr>
        <w:spacing w:line="276" w:lineRule="auto"/>
        <w:rPr>
          <w:rFonts w:ascii="Tahoma" w:hAnsi="Tahoma" w:cs="Tahoma"/>
          <w:sz w:val="24"/>
          <w:szCs w:val="24"/>
        </w:rPr>
      </w:pPr>
      <w:r w:rsidRPr="00846C67">
        <w:rPr>
          <w:rFonts w:ascii="Tahoma" w:hAnsi="Tahoma" w:cs="Tahoma"/>
          <w:sz w:val="24"/>
          <w:szCs w:val="24"/>
        </w:rPr>
        <w:t xml:space="preserve">No obstante, en virtud del grado jurisdiccional de consulta en favor de COLPENSIONES, se adicionará el numeral segundo de la parte resolutiva de la sentencia en el sentido de ordenar a la </w:t>
      </w:r>
      <w:r w:rsidRPr="00846C67">
        <w:rPr>
          <w:rFonts w:ascii="Tahoma" w:hAnsi="Tahoma" w:cs="Tahoma"/>
          <w:b/>
          <w:bCs/>
          <w:sz w:val="24"/>
          <w:szCs w:val="24"/>
        </w:rPr>
        <w:t>Administradora de Fondos de Pensiones –</w:t>
      </w:r>
      <w:r w:rsidRPr="00846C67">
        <w:rPr>
          <w:rFonts w:ascii="Tahoma" w:hAnsi="Tahoma" w:cs="Tahoma"/>
          <w:sz w:val="24"/>
          <w:szCs w:val="24"/>
        </w:rPr>
        <w:t xml:space="preserve"> </w:t>
      </w:r>
      <w:r w:rsidRPr="00846C67">
        <w:rPr>
          <w:rFonts w:ascii="Tahoma" w:hAnsi="Tahoma" w:cs="Tahoma"/>
          <w:b/>
          <w:bCs/>
          <w:sz w:val="24"/>
          <w:szCs w:val="24"/>
        </w:rPr>
        <w:t xml:space="preserve">Porvenir S.A. </w:t>
      </w:r>
      <w:r w:rsidRPr="00846C67">
        <w:rPr>
          <w:rFonts w:ascii="Tahoma" w:hAnsi="Tahoma" w:cs="Tahoma"/>
          <w:sz w:val="24"/>
          <w:szCs w:val="24"/>
        </w:rPr>
        <w:t>que además de la devolución de las sumas ordenadas en primera instancia, debe reintegrar a COLPENSIONES los valores utilizados en seguros previsionales y garantía de pensión mínima, sumas todas que deben pagarse debidamente indexadas, indexación que se extiende a las cuotas de administración.</w:t>
      </w:r>
    </w:p>
    <w:p w14:paraId="056C9851" w14:textId="77777777" w:rsidR="00332FEE" w:rsidRPr="00846C67" w:rsidRDefault="00332FEE" w:rsidP="00846C67">
      <w:pPr>
        <w:spacing w:line="276" w:lineRule="auto"/>
        <w:rPr>
          <w:rFonts w:ascii="Tahoma" w:hAnsi="Tahoma" w:cs="Tahoma"/>
          <w:sz w:val="24"/>
          <w:szCs w:val="24"/>
        </w:rPr>
      </w:pPr>
    </w:p>
    <w:p w14:paraId="36CB0744" w14:textId="082662DF" w:rsidR="0046235C" w:rsidRPr="00846C67" w:rsidRDefault="0046235C" w:rsidP="00846C67">
      <w:pPr>
        <w:spacing w:line="276" w:lineRule="auto"/>
        <w:rPr>
          <w:rFonts w:ascii="Tahoma" w:hAnsi="Tahoma" w:cs="Tahoma"/>
          <w:sz w:val="24"/>
          <w:szCs w:val="24"/>
          <w:lang w:val="es-CO"/>
        </w:rPr>
      </w:pPr>
      <w:r w:rsidRPr="00846C67">
        <w:rPr>
          <w:rFonts w:ascii="Tahoma" w:hAnsi="Tahoma" w:cs="Tahoma"/>
          <w:b/>
          <w:bCs/>
          <w:sz w:val="24"/>
          <w:szCs w:val="24"/>
        </w:rPr>
        <w:t xml:space="preserve">Cumple indicar que </w:t>
      </w:r>
      <w:r w:rsidR="004D21A3" w:rsidRPr="00846C67">
        <w:rPr>
          <w:rFonts w:ascii="Tahoma" w:hAnsi="Tahoma" w:cs="Tahoma"/>
          <w:b/>
          <w:bCs/>
          <w:sz w:val="24"/>
          <w:szCs w:val="24"/>
        </w:rPr>
        <w:t xml:space="preserve">no se comparte </w:t>
      </w:r>
      <w:r w:rsidRPr="00846C67">
        <w:rPr>
          <w:rFonts w:ascii="Tahoma" w:hAnsi="Tahoma" w:cs="Tahoma"/>
          <w:b/>
          <w:bCs/>
          <w:sz w:val="24"/>
          <w:szCs w:val="24"/>
        </w:rPr>
        <w:t xml:space="preserve">la censura propuesta por la </w:t>
      </w:r>
      <w:r w:rsidR="004D21A3" w:rsidRPr="00846C67">
        <w:rPr>
          <w:rFonts w:ascii="Tahoma" w:hAnsi="Tahoma" w:cs="Tahoma"/>
          <w:b/>
          <w:bCs/>
          <w:sz w:val="24"/>
          <w:szCs w:val="24"/>
        </w:rPr>
        <w:t xml:space="preserve">togada de la </w:t>
      </w:r>
      <w:r w:rsidRPr="00846C67">
        <w:rPr>
          <w:rFonts w:ascii="Tahoma" w:hAnsi="Tahoma" w:cs="Tahoma"/>
          <w:b/>
          <w:bCs/>
          <w:sz w:val="24"/>
          <w:szCs w:val="24"/>
        </w:rPr>
        <w:t>parte actora, básicamente, por cuanto en momento alguno persiguió en la demanda el pago del lucro cesante que echa de menos en la alzada.</w:t>
      </w:r>
      <w:r w:rsidRPr="00846C67">
        <w:rPr>
          <w:rFonts w:ascii="Tahoma" w:hAnsi="Tahoma" w:cs="Tahoma"/>
          <w:sz w:val="24"/>
          <w:szCs w:val="24"/>
        </w:rPr>
        <w:t xml:space="preserve"> Con todo, habrá de decirse que el traslado ordenado por la A-quo -de </w:t>
      </w:r>
      <w:r w:rsidRPr="00846C67">
        <w:rPr>
          <w:rFonts w:ascii="Tahoma" w:hAnsi="Tahoma" w:cs="Tahoma"/>
          <w:sz w:val="24"/>
          <w:szCs w:val="24"/>
          <w:lang w:val="es-CO"/>
        </w:rPr>
        <w:t xml:space="preserve">los aportes, saldos de la cuenta de ahorro individual, rendimientos, bonos pensionales, sumas adicionales junto con sus intereses y gastos de administración- conlleva el resarcimiento de cualquier perjuicio que ella hubiera podido padecer por la afiliación al </w:t>
      </w:r>
      <w:proofErr w:type="spellStart"/>
      <w:r w:rsidRPr="00846C67">
        <w:rPr>
          <w:rFonts w:ascii="Tahoma" w:hAnsi="Tahoma" w:cs="Tahoma"/>
          <w:sz w:val="24"/>
          <w:szCs w:val="24"/>
          <w:lang w:val="es-CO"/>
        </w:rPr>
        <w:t>RAIS</w:t>
      </w:r>
      <w:proofErr w:type="spellEnd"/>
      <w:r w:rsidRPr="00846C67">
        <w:rPr>
          <w:rFonts w:ascii="Tahoma" w:hAnsi="Tahoma" w:cs="Tahoma"/>
          <w:sz w:val="24"/>
          <w:szCs w:val="24"/>
          <w:lang w:val="es-CO"/>
        </w:rPr>
        <w:t>.</w:t>
      </w:r>
    </w:p>
    <w:p w14:paraId="2A088ED6" w14:textId="77777777" w:rsidR="0046235C" w:rsidRPr="00846C67" w:rsidRDefault="0046235C" w:rsidP="00846C67">
      <w:pPr>
        <w:spacing w:line="276" w:lineRule="auto"/>
        <w:rPr>
          <w:rFonts w:ascii="Tahoma" w:hAnsi="Tahoma" w:cs="Tahoma"/>
          <w:sz w:val="24"/>
          <w:szCs w:val="24"/>
        </w:rPr>
      </w:pPr>
    </w:p>
    <w:p w14:paraId="1DB63F4F" w14:textId="77777777" w:rsidR="00332FEE" w:rsidRPr="00846C67" w:rsidRDefault="00F7005F" w:rsidP="00846C67">
      <w:pPr>
        <w:spacing w:line="276" w:lineRule="auto"/>
        <w:rPr>
          <w:rFonts w:ascii="Tahoma" w:hAnsi="Tahoma" w:cs="Tahoma"/>
          <w:sz w:val="24"/>
          <w:szCs w:val="24"/>
        </w:rPr>
      </w:pPr>
      <w:r w:rsidRPr="00846C67">
        <w:rPr>
          <w:rFonts w:ascii="Tahoma" w:hAnsi="Tahoma" w:cs="Tahoma"/>
          <w:sz w:val="24"/>
          <w:szCs w:val="24"/>
        </w:rPr>
        <w:t xml:space="preserve">En virtud de lo anterior, se </w:t>
      </w:r>
      <w:r w:rsidR="00332FEE" w:rsidRPr="00846C67">
        <w:rPr>
          <w:rFonts w:ascii="Tahoma" w:hAnsi="Tahoma" w:cs="Tahoma"/>
          <w:sz w:val="24"/>
          <w:szCs w:val="24"/>
        </w:rPr>
        <w:t xml:space="preserve">adicionará la sentencia en la forma antedicha y se confirmará en lo demás. </w:t>
      </w:r>
    </w:p>
    <w:p w14:paraId="7CB1BF60" w14:textId="77777777" w:rsidR="00332FEE" w:rsidRPr="00846C67" w:rsidRDefault="00332FEE" w:rsidP="00846C67">
      <w:pPr>
        <w:spacing w:line="276" w:lineRule="auto"/>
        <w:rPr>
          <w:rFonts w:ascii="Tahoma" w:hAnsi="Tahoma" w:cs="Tahoma"/>
          <w:sz w:val="24"/>
          <w:szCs w:val="24"/>
        </w:rPr>
      </w:pPr>
    </w:p>
    <w:p w14:paraId="5377F36B" w14:textId="73A7854D" w:rsidR="00CC789D" w:rsidRPr="00846C67" w:rsidRDefault="00CC789D" w:rsidP="00846C67">
      <w:pPr>
        <w:spacing w:line="276" w:lineRule="auto"/>
        <w:rPr>
          <w:rFonts w:ascii="Tahoma" w:eastAsia="Tahoma" w:hAnsi="Tahoma" w:cs="Tahoma"/>
          <w:sz w:val="24"/>
          <w:szCs w:val="24"/>
        </w:rPr>
      </w:pPr>
      <w:r w:rsidRPr="00846C67">
        <w:rPr>
          <w:rFonts w:ascii="Tahoma" w:hAnsi="Tahoma" w:cs="Tahoma"/>
          <w:sz w:val="24"/>
          <w:szCs w:val="24"/>
        </w:rPr>
        <w:lastRenderedPageBreak/>
        <w:t>Sin condena en costas en segunda instancia al no haber prosperado ninguno de los recursos.</w:t>
      </w:r>
    </w:p>
    <w:p w14:paraId="33140CE0" w14:textId="77777777" w:rsidR="00F7005F" w:rsidRPr="00846C67" w:rsidRDefault="00F7005F" w:rsidP="00846C67">
      <w:pPr>
        <w:spacing w:line="276" w:lineRule="auto"/>
        <w:ind w:firstLine="0"/>
        <w:rPr>
          <w:rFonts w:ascii="Tahoma" w:eastAsia="Tahoma" w:hAnsi="Tahoma" w:cs="Tahoma"/>
          <w:sz w:val="24"/>
          <w:szCs w:val="24"/>
        </w:rPr>
      </w:pPr>
    </w:p>
    <w:p w14:paraId="233EB6CF" w14:textId="2BCEE3E0" w:rsidR="00F7005F" w:rsidRPr="00846C67" w:rsidRDefault="002A1E9E" w:rsidP="00846C67">
      <w:pPr>
        <w:spacing w:line="276" w:lineRule="auto"/>
        <w:ind w:firstLine="705"/>
        <w:rPr>
          <w:rFonts w:ascii="Tahoma" w:eastAsia="Tahoma" w:hAnsi="Tahoma" w:cs="Tahoma"/>
          <w:sz w:val="24"/>
          <w:szCs w:val="24"/>
        </w:rPr>
      </w:pPr>
      <w:r>
        <w:rPr>
          <w:rFonts w:ascii="Tahoma" w:eastAsia="Tahoma" w:hAnsi="Tahoma" w:cs="Tahoma"/>
          <w:sz w:val="24"/>
          <w:szCs w:val="24"/>
          <w:lang w:val="es"/>
        </w:rPr>
        <w:t>(…)</w:t>
      </w:r>
    </w:p>
    <w:p w14:paraId="37F7D6FA" w14:textId="77777777" w:rsidR="00F7005F" w:rsidRPr="00846C67" w:rsidRDefault="00F7005F" w:rsidP="00846C67">
      <w:pPr>
        <w:pStyle w:val="Prrafodelista2"/>
        <w:spacing w:after="0"/>
        <w:ind w:left="0" w:firstLine="708"/>
        <w:jc w:val="both"/>
        <w:rPr>
          <w:rFonts w:ascii="Tahoma" w:hAnsi="Tahoma" w:cs="Tahoma"/>
          <w:color w:val="000000" w:themeColor="text1"/>
          <w:sz w:val="24"/>
          <w:szCs w:val="24"/>
          <w:lang w:val="es-ES_tradnl"/>
        </w:rPr>
      </w:pPr>
    </w:p>
    <w:p w14:paraId="39FEFC01" w14:textId="77777777" w:rsidR="00F7005F" w:rsidRPr="00846C67" w:rsidRDefault="00F7005F" w:rsidP="00846C67">
      <w:pPr>
        <w:pStyle w:val="Prrafodelista2"/>
        <w:spacing w:after="0"/>
        <w:ind w:left="0" w:firstLine="708"/>
        <w:jc w:val="both"/>
        <w:rPr>
          <w:rFonts w:ascii="Tahoma" w:hAnsi="Tahoma" w:cs="Tahoma"/>
          <w:color w:val="000000" w:themeColor="text1"/>
          <w:sz w:val="24"/>
          <w:szCs w:val="24"/>
          <w:lang w:val="es-ES_tradnl"/>
        </w:rPr>
      </w:pPr>
      <w:r w:rsidRPr="00846C67">
        <w:rPr>
          <w:rFonts w:ascii="Tahoma" w:hAnsi="Tahoma" w:cs="Tahoma"/>
          <w:color w:val="000000" w:themeColor="text1"/>
          <w:sz w:val="24"/>
          <w:szCs w:val="24"/>
          <w:lang w:val="es-ES_tradnl"/>
        </w:rPr>
        <w:t xml:space="preserve">En mérito de lo expuesto, el </w:t>
      </w:r>
      <w:r w:rsidRPr="00846C67">
        <w:rPr>
          <w:rFonts w:ascii="Tahoma" w:hAnsi="Tahoma" w:cs="Tahoma"/>
          <w:b/>
          <w:color w:val="000000" w:themeColor="text1"/>
          <w:sz w:val="24"/>
          <w:szCs w:val="24"/>
          <w:lang w:val="es-ES_tradnl"/>
        </w:rPr>
        <w:t>Tribunal Superior del Distrito Judicial de Pereira - Risaralda, Sala de Decisión Laboral No. 1,</w:t>
      </w:r>
      <w:r w:rsidRPr="00846C67">
        <w:rPr>
          <w:rFonts w:ascii="Tahoma" w:hAnsi="Tahoma" w:cs="Tahoma"/>
          <w:color w:val="000000" w:themeColor="text1"/>
          <w:sz w:val="24"/>
          <w:szCs w:val="24"/>
          <w:lang w:val="es-ES_tradnl"/>
        </w:rPr>
        <w:t xml:space="preserve"> administrando justicia en nombre de la República y por autoridad de la ley,</w:t>
      </w:r>
    </w:p>
    <w:p w14:paraId="06167B46" w14:textId="77777777" w:rsidR="00F7005F" w:rsidRPr="00846C67" w:rsidRDefault="00F7005F" w:rsidP="00846C67">
      <w:pPr>
        <w:pStyle w:val="Prrafodelista2"/>
        <w:spacing w:after="0"/>
        <w:ind w:left="0"/>
        <w:jc w:val="both"/>
        <w:rPr>
          <w:rFonts w:ascii="Tahoma" w:hAnsi="Tahoma" w:cs="Tahoma"/>
          <w:color w:val="000000" w:themeColor="text1"/>
          <w:sz w:val="24"/>
          <w:szCs w:val="24"/>
          <w:lang w:val="es-ES_tradnl"/>
        </w:rPr>
      </w:pPr>
    </w:p>
    <w:p w14:paraId="2783D5CB" w14:textId="77777777" w:rsidR="00F7005F" w:rsidRPr="00846C67" w:rsidRDefault="00F7005F" w:rsidP="002A1E9E">
      <w:pPr>
        <w:spacing w:line="276" w:lineRule="auto"/>
        <w:ind w:firstLine="0"/>
        <w:contextualSpacing/>
        <w:jc w:val="center"/>
        <w:rPr>
          <w:rFonts w:ascii="Tahoma" w:hAnsi="Tahoma" w:cs="Tahoma"/>
          <w:b/>
          <w:color w:val="000000" w:themeColor="text1"/>
          <w:sz w:val="24"/>
          <w:szCs w:val="24"/>
        </w:rPr>
      </w:pPr>
      <w:r w:rsidRPr="00846C67">
        <w:rPr>
          <w:rFonts w:ascii="Tahoma" w:hAnsi="Tahoma" w:cs="Tahoma"/>
          <w:b/>
          <w:color w:val="000000" w:themeColor="text1"/>
          <w:sz w:val="24"/>
          <w:szCs w:val="24"/>
        </w:rPr>
        <w:t>RESUELVE</w:t>
      </w:r>
    </w:p>
    <w:p w14:paraId="07AD8A6A" w14:textId="77777777" w:rsidR="00F7005F" w:rsidRPr="00846C67" w:rsidRDefault="00F7005F" w:rsidP="00846C67">
      <w:pPr>
        <w:widowControl w:val="0"/>
        <w:autoSpaceDE w:val="0"/>
        <w:autoSpaceDN w:val="0"/>
        <w:adjustRightInd w:val="0"/>
        <w:spacing w:line="276" w:lineRule="auto"/>
        <w:ind w:firstLine="0"/>
        <w:jc w:val="center"/>
        <w:rPr>
          <w:rFonts w:ascii="Tahoma" w:hAnsi="Tahoma" w:cs="Tahoma"/>
          <w:b/>
          <w:sz w:val="24"/>
          <w:szCs w:val="24"/>
        </w:rPr>
      </w:pPr>
    </w:p>
    <w:p w14:paraId="7F8AED3E" w14:textId="4A3A6E9A" w:rsidR="00332FEE" w:rsidRPr="00846C67" w:rsidRDefault="00332FEE" w:rsidP="00846C67">
      <w:pPr>
        <w:spacing w:line="276" w:lineRule="auto"/>
        <w:ind w:firstLine="705"/>
        <w:textAlignment w:val="baseline"/>
        <w:rPr>
          <w:rFonts w:ascii="Tahoma" w:hAnsi="Tahoma" w:cs="Tahoma"/>
          <w:sz w:val="24"/>
          <w:szCs w:val="24"/>
        </w:rPr>
      </w:pPr>
      <w:r w:rsidRPr="00846C67">
        <w:rPr>
          <w:rFonts w:ascii="Tahoma" w:eastAsia="Times New Roman" w:hAnsi="Tahoma" w:cs="Tahoma"/>
          <w:b/>
          <w:bCs/>
          <w:sz w:val="24"/>
          <w:szCs w:val="24"/>
          <w:lang w:eastAsia="es-ES_tradnl"/>
        </w:rPr>
        <w:t>PRIMERO:</w:t>
      </w:r>
      <w:r w:rsidRPr="00846C67">
        <w:rPr>
          <w:rFonts w:ascii="Tahoma" w:eastAsia="Times New Roman" w:hAnsi="Tahoma" w:cs="Tahoma"/>
          <w:b/>
          <w:bCs/>
          <w:i/>
          <w:iCs/>
          <w:sz w:val="24"/>
          <w:szCs w:val="24"/>
          <w:lang w:eastAsia="es-ES"/>
        </w:rPr>
        <w:t> </w:t>
      </w:r>
      <w:r w:rsidRPr="00846C67">
        <w:rPr>
          <w:rFonts w:ascii="Tahoma" w:eastAsia="Times New Roman" w:hAnsi="Tahoma" w:cs="Tahoma"/>
          <w:b/>
          <w:bCs/>
          <w:sz w:val="24"/>
          <w:szCs w:val="24"/>
          <w:lang w:eastAsia="es-ES"/>
        </w:rPr>
        <w:t>ADICIONAR</w:t>
      </w:r>
      <w:r w:rsidRPr="00846C67">
        <w:rPr>
          <w:rFonts w:ascii="Tahoma" w:eastAsia="Times New Roman" w:hAnsi="Tahoma" w:cs="Tahoma"/>
          <w:b/>
          <w:bCs/>
          <w:i/>
          <w:iCs/>
          <w:sz w:val="24"/>
          <w:szCs w:val="24"/>
          <w:lang w:eastAsia="es-ES"/>
        </w:rPr>
        <w:t xml:space="preserve"> </w:t>
      </w:r>
      <w:r w:rsidRPr="00846C67">
        <w:rPr>
          <w:rFonts w:ascii="Tahoma" w:hAnsi="Tahoma" w:cs="Tahoma"/>
          <w:sz w:val="24"/>
          <w:szCs w:val="24"/>
        </w:rPr>
        <w:t xml:space="preserve">el numeral segundo de la parte resolutiva de la sentencia de primer grado en el sentido de ordenar a la </w:t>
      </w:r>
      <w:r w:rsidRPr="00846C67">
        <w:rPr>
          <w:rFonts w:ascii="Tahoma" w:hAnsi="Tahoma" w:cs="Tahoma"/>
          <w:b/>
          <w:sz w:val="24"/>
          <w:szCs w:val="24"/>
          <w:lang w:val="es-ES_tradnl"/>
        </w:rPr>
        <w:t xml:space="preserve">Administradora de Fondos de Pensiones </w:t>
      </w:r>
      <w:r w:rsidRPr="00846C67">
        <w:rPr>
          <w:rFonts w:ascii="Tahoma" w:hAnsi="Tahoma" w:cs="Tahoma"/>
          <w:b/>
          <w:bCs/>
          <w:sz w:val="24"/>
          <w:szCs w:val="24"/>
          <w:lang w:val="es-ES_tradnl"/>
        </w:rPr>
        <w:t xml:space="preserve">Porvenir </w:t>
      </w:r>
      <w:r w:rsidRPr="00846C67">
        <w:rPr>
          <w:rFonts w:ascii="Tahoma" w:hAnsi="Tahoma" w:cs="Tahoma"/>
          <w:b/>
          <w:sz w:val="24"/>
          <w:szCs w:val="24"/>
          <w:lang w:val="es-ES_tradnl"/>
        </w:rPr>
        <w:t xml:space="preserve">S.A. </w:t>
      </w:r>
      <w:r w:rsidRPr="00846C67">
        <w:rPr>
          <w:rFonts w:ascii="Tahoma" w:hAnsi="Tahoma" w:cs="Tahoma"/>
          <w:sz w:val="24"/>
          <w:szCs w:val="24"/>
          <w:lang w:val="es-ES_tradnl"/>
        </w:rPr>
        <w:t xml:space="preserve">que, además de la devolución de las sumas ordenadas en primera instancia, debe reintegrar a COLPENSIONES, con cargo a sus propios recursos, los </w:t>
      </w:r>
      <w:r w:rsidRPr="00846C67">
        <w:rPr>
          <w:rFonts w:ascii="Tahoma" w:hAnsi="Tahoma" w:cs="Tahoma"/>
          <w:sz w:val="24"/>
          <w:szCs w:val="24"/>
        </w:rPr>
        <w:t>valores utilizados en seguros previsionales y garantía de pensión mínima, sumas todas que deben pagarse debidamente indexadas, indexación que también se extiende a las cuotas de administración.</w:t>
      </w:r>
    </w:p>
    <w:p w14:paraId="49FFC03F" w14:textId="77777777" w:rsidR="00332FEE" w:rsidRPr="00846C67" w:rsidRDefault="00332FEE" w:rsidP="00846C67">
      <w:pPr>
        <w:spacing w:line="276" w:lineRule="auto"/>
        <w:ind w:firstLine="705"/>
        <w:textAlignment w:val="baseline"/>
        <w:rPr>
          <w:rFonts w:ascii="Tahoma" w:hAnsi="Tahoma" w:cs="Tahoma"/>
          <w:sz w:val="24"/>
          <w:szCs w:val="24"/>
        </w:rPr>
      </w:pPr>
    </w:p>
    <w:p w14:paraId="27A3CACB" w14:textId="4B0CEF05" w:rsidR="00F7005F" w:rsidRPr="00846C67" w:rsidRDefault="00332FEE" w:rsidP="00846C67">
      <w:pPr>
        <w:spacing w:line="276" w:lineRule="auto"/>
        <w:ind w:firstLine="705"/>
        <w:textAlignment w:val="baseline"/>
        <w:rPr>
          <w:rFonts w:ascii="Tahoma" w:eastAsia="Times New Roman" w:hAnsi="Tahoma" w:cs="Tahoma"/>
          <w:sz w:val="24"/>
          <w:szCs w:val="24"/>
          <w:lang w:val="es-CO" w:eastAsia="es-ES"/>
        </w:rPr>
      </w:pPr>
      <w:r w:rsidRPr="00846C67">
        <w:rPr>
          <w:rFonts w:ascii="Tahoma" w:eastAsia="Times New Roman" w:hAnsi="Tahoma" w:cs="Tahoma"/>
          <w:b/>
          <w:bCs/>
          <w:sz w:val="24"/>
          <w:szCs w:val="24"/>
          <w:lang w:eastAsia="es-ES"/>
        </w:rPr>
        <w:t>SEGUNDO</w:t>
      </w:r>
      <w:r w:rsidR="00F7005F" w:rsidRPr="00846C67">
        <w:rPr>
          <w:rFonts w:ascii="Tahoma" w:eastAsia="Times New Roman" w:hAnsi="Tahoma" w:cs="Tahoma"/>
          <w:b/>
          <w:bCs/>
          <w:sz w:val="24"/>
          <w:szCs w:val="24"/>
          <w:lang w:eastAsia="es-ES"/>
        </w:rPr>
        <w:t>:</w:t>
      </w:r>
      <w:r w:rsidR="00D6390A" w:rsidRPr="00846C67">
        <w:rPr>
          <w:rFonts w:ascii="Tahoma" w:eastAsia="Times New Roman" w:hAnsi="Tahoma" w:cs="Tahoma"/>
          <w:b/>
          <w:bCs/>
          <w:sz w:val="24"/>
          <w:szCs w:val="24"/>
          <w:lang w:eastAsia="es-ES"/>
        </w:rPr>
        <w:t xml:space="preserve"> </w:t>
      </w:r>
      <w:r w:rsidR="00F7005F" w:rsidRPr="00846C67">
        <w:rPr>
          <w:rFonts w:ascii="Tahoma" w:eastAsia="Times New Roman" w:hAnsi="Tahoma" w:cs="Tahoma"/>
          <w:b/>
          <w:bCs/>
          <w:sz w:val="24"/>
          <w:szCs w:val="24"/>
          <w:lang w:eastAsia="es-ES"/>
        </w:rPr>
        <w:t>CONFIRMAR </w:t>
      </w:r>
      <w:r w:rsidRPr="00846C67">
        <w:rPr>
          <w:rFonts w:ascii="Tahoma" w:eastAsia="Times New Roman" w:hAnsi="Tahoma" w:cs="Tahoma"/>
          <w:b/>
          <w:bCs/>
          <w:sz w:val="24"/>
          <w:szCs w:val="24"/>
          <w:lang w:eastAsia="es-ES"/>
        </w:rPr>
        <w:t xml:space="preserve">en todo lo demás </w:t>
      </w:r>
      <w:r w:rsidR="00F7005F" w:rsidRPr="00846C67">
        <w:rPr>
          <w:rFonts w:ascii="Tahoma" w:eastAsia="Times New Roman" w:hAnsi="Tahoma" w:cs="Tahoma"/>
          <w:sz w:val="24"/>
          <w:szCs w:val="24"/>
          <w:lang w:eastAsia="es-ES"/>
        </w:rPr>
        <w:t>la sentencia de primer grado, por las razones expresadas en la parte motiva de esta sentencia.</w:t>
      </w:r>
    </w:p>
    <w:p w14:paraId="51A78FC2" w14:textId="77777777" w:rsidR="00F7005F" w:rsidRPr="00846C67" w:rsidRDefault="00F7005F" w:rsidP="00846C67">
      <w:pPr>
        <w:spacing w:line="276" w:lineRule="auto"/>
        <w:ind w:firstLine="705"/>
        <w:textAlignment w:val="baseline"/>
        <w:rPr>
          <w:rFonts w:ascii="Tahoma" w:eastAsia="Times New Roman" w:hAnsi="Tahoma" w:cs="Tahoma"/>
          <w:sz w:val="24"/>
          <w:szCs w:val="24"/>
          <w:lang w:val="es-CO" w:eastAsia="es-ES_tradnl"/>
        </w:rPr>
      </w:pPr>
      <w:r w:rsidRPr="00846C67">
        <w:rPr>
          <w:rFonts w:ascii="Tahoma" w:eastAsia="Times New Roman" w:hAnsi="Tahoma" w:cs="Tahoma"/>
          <w:sz w:val="24"/>
          <w:szCs w:val="24"/>
          <w:lang w:val="es-CO" w:eastAsia="es-ES_tradnl"/>
        </w:rPr>
        <w:t> </w:t>
      </w:r>
    </w:p>
    <w:p w14:paraId="2442E04B" w14:textId="701C190C" w:rsidR="00F7005F" w:rsidRPr="00846C67" w:rsidRDefault="00332FEE" w:rsidP="00846C67">
      <w:pPr>
        <w:spacing w:line="276" w:lineRule="auto"/>
        <w:ind w:firstLine="705"/>
        <w:textAlignment w:val="baseline"/>
        <w:rPr>
          <w:rFonts w:ascii="Tahoma" w:eastAsia="Times New Roman" w:hAnsi="Tahoma" w:cs="Tahoma"/>
          <w:sz w:val="24"/>
          <w:szCs w:val="24"/>
          <w:lang w:eastAsia="es-ES_tradnl"/>
        </w:rPr>
      </w:pPr>
      <w:r w:rsidRPr="00846C67">
        <w:rPr>
          <w:rFonts w:ascii="Tahoma" w:eastAsia="Times New Roman" w:hAnsi="Tahoma" w:cs="Tahoma"/>
          <w:b/>
          <w:bCs/>
          <w:sz w:val="24"/>
          <w:szCs w:val="24"/>
          <w:lang w:eastAsia="es-ES_tradnl"/>
        </w:rPr>
        <w:t>TERCERO</w:t>
      </w:r>
      <w:r w:rsidR="00F7005F" w:rsidRPr="00846C67">
        <w:rPr>
          <w:rFonts w:ascii="Tahoma" w:eastAsia="Times New Roman" w:hAnsi="Tahoma" w:cs="Tahoma"/>
          <w:b/>
          <w:bCs/>
          <w:sz w:val="24"/>
          <w:szCs w:val="24"/>
          <w:lang w:eastAsia="es-ES_tradnl"/>
        </w:rPr>
        <w:t>: </w:t>
      </w:r>
      <w:r w:rsidR="00CC789D" w:rsidRPr="00846C67">
        <w:rPr>
          <w:rFonts w:ascii="Tahoma" w:eastAsia="Times New Roman" w:hAnsi="Tahoma" w:cs="Tahoma"/>
          <w:b/>
          <w:bCs/>
          <w:sz w:val="24"/>
          <w:szCs w:val="24"/>
          <w:lang w:eastAsia="es-ES"/>
        </w:rPr>
        <w:t xml:space="preserve">SIN CONDENA EN COSTAS </w:t>
      </w:r>
      <w:r w:rsidR="00CC789D" w:rsidRPr="00846C67">
        <w:rPr>
          <w:rFonts w:ascii="Tahoma" w:eastAsia="Times New Roman" w:hAnsi="Tahoma" w:cs="Tahoma"/>
          <w:sz w:val="24"/>
          <w:szCs w:val="24"/>
          <w:lang w:eastAsia="es-ES"/>
        </w:rPr>
        <w:t>de segunda instancia.</w:t>
      </w:r>
    </w:p>
    <w:p w14:paraId="34A3566B" w14:textId="77777777" w:rsidR="00F7005F" w:rsidRPr="00846C67" w:rsidRDefault="00F7005F" w:rsidP="00846C67">
      <w:pPr>
        <w:spacing w:line="276" w:lineRule="auto"/>
        <w:ind w:firstLine="705"/>
        <w:textAlignment w:val="baseline"/>
        <w:rPr>
          <w:rFonts w:ascii="Tahoma" w:eastAsia="Times New Roman" w:hAnsi="Tahoma" w:cs="Tahoma"/>
          <w:sz w:val="24"/>
          <w:szCs w:val="24"/>
          <w:lang w:eastAsia="es-ES_tradnl"/>
        </w:rPr>
      </w:pPr>
    </w:p>
    <w:p w14:paraId="7937110C" w14:textId="381FEA0B" w:rsidR="00F7005F" w:rsidRPr="00846C67" w:rsidRDefault="00332FEE" w:rsidP="00846C67">
      <w:pPr>
        <w:spacing w:line="276" w:lineRule="auto"/>
        <w:rPr>
          <w:rFonts w:ascii="Tahoma" w:hAnsi="Tahoma" w:cs="Tahoma"/>
          <w:sz w:val="24"/>
          <w:szCs w:val="24"/>
        </w:rPr>
      </w:pPr>
      <w:r w:rsidRPr="00846C67">
        <w:rPr>
          <w:rFonts w:ascii="Tahoma" w:eastAsia="Tahoma" w:hAnsi="Tahoma" w:cs="Tahoma"/>
          <w:b/>
          <w:bCs/>
          <w:sz w:val="24"/>
          <w:szCs w:val="24"/>
        </w:rPr>
        <w:t xml:space="preserve">CUARTO: </w:t>
      </w:r>
      <w:r w:rsidR="002A1E9E" w:rsidRPr="002A1E9E">
        <w:rPr>
          <w:rFonts w:ascii="Tahoma" w:eastAsia="Tahoma" w:hAnsi="Tahoma" w:cs="Tahoma"/>
          <w:bCs/>
          <w:sz w:val="24"/>
          <w:szCs w:val="24"/>
        </w:rPr>
        <w:t>(…)</w:t>
      </w:r>
    </w:p>
    <w:p w14:paraId="5095F2D1" w14:textId="77777777" w:rsidR="00F7005F" w:rsidRPr="00846C67" w:rsidRDefault="00F7005F" w:rsidP="00846C67">
      <w:pPr>
        <w:widowControl w:val="0"/>
        <w:autoSpaceDE w:val="0"/>
        <w:autoSpaceDN w:val="0"/>
        <w:adjustRightInd w:val="0"/>
        <w:spacing w:line="276" w:lineRule="auto"/>
        <w:ind w:firstLine="0"/>
        <w:rPr>
          <w:rFonts w:ascii="Tahoma" w:hAnsi="Tahoma" w:cs="Tahoma"/>
          <w:b/>
          <w:sz w:val="24"/>
          <w:szCs w:val="24"/>
        </w:rPr>
      </w:pPr>
    </w:p>
    <w:p w14:paraId="239126B3" w14:textId="77777777" w:rsidR="00F7005F" w:rsidRPr="00846C67" w:rsidRDefault="00F7005F" w:rsidP="00846C67">
      <w:pPr>
        <w:widowControl w:val="0"/>
        <w:autoSpaceDE w:val="0"/>
        <w:autoSpaceDN w:val="0"/>
        <w:adjustRightInd w:val="0"/>
        <w:spacing w:line="276" w:lineRule="auto"/>
        <w:ind w:firstLine="0"/>
        <w:jc w:val="center"/>
        <w:rPr>
          <w:rFonts w:ascii="Tahoma" w:hAnsi="Tahoma" w:cs="Tahoma"/>
          <w:b/>
          <w:sz w:val="24"/>
          <w:szCs w:val="24"/>
        </w:rPr>
      </w:pPr>
      <w:r w:rsidRPr="00846C67">
        <w:rPr>
          <w:rFonts w:ascii="Tahoma" w:hAnsi="Tahoma" w:cs="Tahoma"/>
          <w:b/>
          <w:sz w:val="24"/>
          <w:szCs w:val="24"/>
        </w:rPr>
        <w:t>NOTIFÍQUESE Y CÚMPLASE</w:t>
      </w:r>
    </w:p>
    <w:p w14:paraId="1A0A56DD" w14:textId="77777777" w:rsidR="00846C67" w:rsidRPr="00846C67" w:rsidRDefault="00846C67" w:rsidP="00846C67">
      <w:pPr>
        <w:spacing w:line="276" w:lineRule="auto"/>
        <w:ind w:firstLine="0"/>
        <w:jc w:val="left"/>
        <w:textAlignment w:val="baseline"/>
        <w:rPr>
          <w:rFonts w:ascii="Tahoma" w:eastAsia="Times New Roman" w:hAnsi="Tahoma" w:cs="Tahoma"/>
          <w:sz w:val="24"/>
          <w:szCs w:val="24"/>
          <w:lang w:val="es-CO" w:eastAsia="es-ES_tradnl"/>
        </w:rPr>
      </w:pPr>
    </w:p>
    <w:p w14:paraId="19B324AB" w14:textId="77777777" w:rsidR="00846C67" w:rsidRPr="00846C67" w:rsidRDefault="00846C67" w:rsidP="00846C67">
      <w:pPr>
        <w:spacing w:line="276" w:lineRule="auto"/>
        <w:ind w:firstLine="708"/>
        <w:rPr>
          <w:rFonts w:ascii="Tahoma" w:eastAsia="Calibri" w:hAnsi="Tahoma" w:cs="Tahoma"/>
          <w:sz w:val="24"/>
          <w:szCs w:val="24"/>
          <w:lang w:val="es-ES_tradnl"/>
        </w:rPr>
      </w:pPr>
      <w:bookmarkStart w:id="0" w:name="OLE_LINK23"/>
      <w:bookmarkStart w:id="1" w:name="OLE_LINK24"/>
      <w:r w:rsidRPr="00846C67">
        <w:rPr>
          <w:rFonts w:ascii="Tahoma" w:eastAsia="Calibri" w:hAnsi="Tahoma" w:cs="Tahoma"/>
          <w:sz w:val="24"/>
          <w:szCs w:val="24"/>
          <w:lang w:val="es-ES_tradnl"/>
        </w:rPr>
        <w:t xml:space="preserve">La Magistrada Ponente, </w:t>
      </w:r>
    </w:p>
    <w:p w14:paraId="0892796F" w14:textId="77777777" w:rsidR="00846C67" w:rsidRPr="00846C67" w:rsidRDefault="00846C67" w:rsidP="00846C67">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76494B79" w14:textId="77777777" w:rsidR="00846C67" w:rsidRPr="00846C67" w:rsidRDefault="00846C67" w:rsidP="00846C67">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74E14AFA" w14:textId="77777777" w:rsidR="00846C67" w:rsidRPr="00846C67" w:rsidRDefault="00846C67" w:rsidP="00846C67">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020659ED" w14:textId="77777777" w:rsidR="00846C67" w:rsidRPr="00846C67" w:rsidRDefault="00846C67" w:rsidP="00846C67">
      <w:pPr>
        <w:spacing w:line="276" w:lineRule="auto"/>
        <w:ind w:firstLine="705"/>
        <w:jc w:val="center"/>
        <w:textAlignment w:val="baseline"/>
        <w:rPr>
          <w:rFonts w:ascii="Tahoma" w:eastAsia="Times New Roman" w:hAnsi="Tahoma" w:cs="Tahoma"/>
          <w:b/>
          <w:bCs/>
          <w:sz w:val="24"/>
          <w:szCs w:val="24"/>
          <w:lang w:val="es-ES_tradnl" w:eastAsia="es-ES_tradnl"/>
        </w:rPr>
      </w:pPr>
      <w:r w:rsidRPr="00846C67">
        <w:rPr>
          <w:rFonts w:ascii="Tahoma" w:eastAsia="Times New Roman" w:hAnsi="Tahoma" w:cs="Tahoma"/>
          <w:b/>
          <w:bCs/>
          <w:sz w:val="24"/>
          <w:szCs w:val="24"/>
          <w:lang w:val="es-ES_tradnl" w:eastAsia="es-ES_tradnl"/>
        </w:rPr>
        <w:t>ANA LUCÍA CAICEDO CALDERÓN</w:t>
      </w:r>
    </w:p>
    <w:p w14:paraId="48B48B60" w14:textId="77777777" w:rsidR="00846C67" w:rsidRPr="00846C67" w:rsidRDefault="00846C67" w:rsidP="00846C67">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5153B725" w14:textId="77777777" w:rsidR="00846C67" w:rsidRPr="00846C67" w:rsidRDefault="00846C67" w:rsidP="00846C67">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13A5EC0C" w14:textId="77777777" w:rsidR="00846C67" w:rsidRPr="00846C67" w:rsidRDefault="00846C67" w:rsidP="00846C67">
      <w:pPr>
        <w:spacing w:line="276" w:lineRule="auto"/>
        <w:ind w:firstLine="705"/>
        <w:jc w:val="left"/>
        <w:textAlignment w:val="baseline"/>
        <w:rPr>
          <w:rFonts w:ascii="Tahoma" w:eastAsia="Times New Roman" w:hAnsi="Tahoma" w:cs="Tahoma"/>
          <w:sz w:val="24"/>
          <w:szCs w:val="24"/>
          <w:lang w:val="es-ES_tradnl" w:eastAsia="es-ES_tradnl"/>
        </w:rPr>
      </w:pPr>
      <w:r w:rsidRPr="00846C67">
        <w:rPr>
          <w:rFonts w:ascii="Tahoma" w:eastAsia="Times New Roman" w:hAnsi="Tahoma" w:cs="Tahoma"/>
          <w:sz w:val="24"/>
          <w:szCs w:val="24"/>
          <w:lang w:val="es-ES_tradnl" w:eastAsia="es-ES_tradnl"/>
        </w:rPr>
        <w:t>La Magistrada y el Magistrado,</w:t>
      </w:r>
    </w:p>
    <w:p w14:paraId="5F5D4786" w14:textId="77777777" w:rsidR="00846C67" w:rsidRPr="00846C67" w:rsidRDefault="00846C67" w:rsidP="00846C67">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188DBE3E" w14:textId="77777777" w:rsidR="00846C67" w:rsidRPr="00846C67" w:rsidRDefault="00846C67" w:rsidP="00846C67">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10C80CD8" w14:textId="77777777" w:rsidR="00846C67" w:rsidRPr="00846C67" w:rsidRDefault="00846C67" w:rsidP="00846C67">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65A17669" w14:textId="77777777" w:rsidR="00846C67" w:rsidRPr="00846C67" w:rsidRDefault="00846C67" w:rsidP="00846C67">
      <w:pPr>
        <w:spacing w:line="276" w:lineRule="auto"/>
        <w:ind w:firstLine="0"/>
        <w:jc w:val="left"/>
        <w:rPr>
          <w:rFonts w:ascii="Tahoma" w:eastAsia="Times New Roman" w:hAnsi="Tahoma" w:cs="Tahoma"/>
          <w:sz w:val="24"/>
          <w:szCs w:val="24"/>
          <w:lang w:eastAsia="es-ES"/>
        </w:rPr>
      </w:pPr>
      <w:r w:rsidRPr="00846C67">
        <w:rPr>
          <w:rFonts w:ascii="Tahoma" w:eastAsia="Times New Roman" w:hAnsi="Tahoma" w:cs="Tahoma"/>
          <w:b/>
          <w:bCs/>
          <w:sz w:val="24"/>
          <w:szCs w:val="24"/>
          <w:lang w:eastAsia="es-ES"/>
        </w:rPr>
        <w:t>OLGA LUCÍA HOYOS SEPÚLVEDA</w:t>
      </w:r>
      <w:r w:rsidRPr="00846C67">
        <w:rPr>
          <w:rFonts w:ascii="Tahoma" w:eastAsia="Times New Roman" w:hAnsi="Tahoma" w:cs="Tahoma"/>
          <w:b/>
          <w:bCs/>
          <w:sz w:val="24"/>
          <w:szCs w:val="24"/>
          <w:lang w:eastAsia="es-ES"/>
        </w:rPr>
        <w:tab/>
      </w:r>
      <w:r w:rsidRPr="00846C67">
        <w:rPr>
          <w:rFonts w:ascii="Tahoma" w:eastAsia="Times New Roman" w:hAnsi="Tahoma" w:cs="Tahoma"/>
          <w:b/>
          <w:bCs/>
          <w:sz w:val="24"/>
          <w:szCs w:val="24"/>
          <w:lang w:eastAsia="es-ES"/>
        </w:rPr>
        <w:tab/>
        <w:t>JULIO CÉSAR SALAZAR MUÑOZ</w:t>
      </w:r>
      <w:bookmarkEnd w:id="0"/>
      <w:bookmarkEnd w:id="1"/>
      <w:r w:rsidRPr="00846C67">
        <w:rPr>
          <w:rFonts w:ascii="Tahoma" w:eastAsia="Calibri" w:hAnsi="Tahoma" w:cs="Tahoma"/>
          <w:sz w:val="24"/>
          <w:szCs w:val="24"/>
        </w:rPr>
        <w:t xml:space="preserve"> </w:t>
      </w:r>
    </w:p>
    <w:p w14:paraId="1F3B1409" w14:textId="5D3C9369" w:rsidR="00EB1FE9" w:rsidRDefault="00846C67" w:rsidP="00846C67">
      <w:pPr>
        <w:spacing w:line="276" w:lineRule="auto"/>
        <w:ind w:firstLine="0"/>
        <w:rPr>
          <w:rFonts w:ascii="Tahoma" w:hAnsi="Tahoma" w:cs="Tahoma"/>
          <w:sz w:val="24"/>
          <w:szCs w:val="24"/>
          <w:lang w:val="es-CO"/>
        </w:rPr>
      </w:pPr>
      <w:r w:rsidRPr="00846C67">
        <w:rPr>
          <w:rFonts w:ascii="Tahoma" w:hAnsi="Tahoma" w:cs="Tahoma"/>
          <w:sz w:val="24"/>
          <w:szCs w:val="24"/>
          <w:lang w:val="es-CO"/>
        </w:rPr>
        <w:t>Aclar</w:t>
      </w:r>
      <w:r>
        <w:rPr>
          <w:rFonts w:ascii="Tahoma" w:hAnsi="Tahoma" w:cs="Tahoma"/>
          <w:sz w:val="24"/>
          <w:szCs w:val="24"/>
          <w:lang w:val="es-CO"/>
        </w:rPr>
        <w:t>a</w:t>
      </w:r>
      <w:r w:rsidRPr="00846C67">
        <w:rPr>
          <w:rFonts w:ascii="Tahoma" w:hAnsi="Tahoma" w:cs="Tahoma"/>
          <w:sz w:val="24"/>
          <w:szCs w:val="24"/>
          <w:lang w:val="es-CO"/>
        </w:rPr>
        <w:t xml:space="preserve"> voto</w:t>
      </w:r>
      <w:r>
        <w:rPr>
          <w:rFonts w:ascii="Tahoma" w:hAnsi="Tahoma" w:cs="Tahoma"/>
          <w:sz w:val="24"/>
          <w:szCs w:val="24"/>
          <w:lang w:val="es-CO"/>
        </w:rPr>
        <w:tab/>
      </w:r>
      <w:r>
        <w:rPr>
          <w:rFonts w:ascii="Tahoma" w:hAnsi="Tahoma" w:cs="Tahoma"/>
          <w:sz w:val="24"/>
          <w:szCs w:val="24"/>
          <w:lang w:val="es-CO"/>
        </w:rPr>
        <w:tab/>
      </w:r>
      <w:r>
        <w:rPr>
          <w:rFonts w:ascii="Tahoma" w:hAnsi="Tahoma" w:cs="Tahoma"/>
          <w:sz w:val="24"/>
          <w:szCs w:val="24"/>
          <w:lang w:val="es-CO"/>
        </w:rPr>
        <w:tab/>
      </w:r>
      <w:r>
        <w:rPr>
          <w:rFonts w:ascii="Tahoma" w:hAnsi="Tahoma" w:cs="Tahoma"/>
          <w:sz w:val="24"/>
          <w:szCs w:val="24"/>
          <w:lang w:val="es-CO"/>
        </w:rPr>
        <w:tab/>
      </w:r>
      <w:r>
        <w:rPr>
          <w:rFonts w:ascii="Tahoma" w:hAnsi="Tahoma" w:cs="Tahoma"/>
          <w:sz w:val="24"/>
          <w:szCs w:val="24"/>
          <w:lang w:val="es-CO"/>
        </w:rPr>
        <w:tab/>
      </w:r>
      <w:r>
        <w:rPr>
          <w:rFonts w:ascii="Tahoma" w:hAnsi="Tahoma" w:cs="Tahoma"/>
          <w:sz w:val="24"/>
          <w:szCs w:val="24"/>
          <w:lang w:val="es-CO"/>
        </w:rPr>
        <w:tab/>
      </w:r>
      <w:r w:rsidRPr="00846C67">
        <w:rPr>
          <w:rFonts w:ascii="Tahoma" w:hAnsi="Tahoma" w:cs="Tahoma"/>
          <w:sz w:val="24"/>
          <w:szCs w:val="24"/>
          <w:lang w:val="es-CO"/>
        </w:rPr>
        <w:t>Aclar</w:t>
      </w:r>
      <w:r>
        <w:rPr>
          <w:rFonts w:ascii="Tahoma" w:hAnsi="Tahoma" w:cs="Tahoma"/>
          <w:sz w:val="24"/>
          <w:szCs w:val="24"/>
          <w:lang w:val="es-CO"/>
        </w:rPr>
        <w:t>a</w:t>
      </w:r>
      <w:r w:rsidRPr="00846C67">
        <w:rPr>
          <w:rFonts w:ascii="Tahoma" w:hAnsi="Tahoma" w:cs="Tahoma"/>
          <w:sz w:val="24"/>
          <w:szCs w:val="24"/>
          <w:lang w:val="es-CO"/>
        </w:rPr>
        <w:t xml:space="preserve"> voto</w:t>
      </w:r>
    </w:p>
    <w:p w14:paraId="5D5F3E8F" w14:textId="77777777" w:rsidR="00D6390A" w:rsidRDefault="00D6390A" w:rsidP="00846C67">
      <w:pPr>
        <w:spacing w:line="276" w:lineRule="auto"/>
        <w:ind w:firstLine="0"/>
        <w:rPr>
          <w:rFonts w:ascii="Tahoma" w:hAnsi="Tahoma" w:cs="Tahoma"/>
          <w:sz w:val="24"/>
          <w:szCs w:val="24"/>
          <w:lang w:val="es-CO"/>
        </w:rPr>
      </w:pPr>
    </w:p>
    <w:p w14:paraId="29EFE95D" w14:textId="73D86076" w:rsidR="00D6390A" w:rsidRDefault="00D6390A">
      <w:pPr>
        <w:spacing w:after="160"/>
        <w:ind w:firstLine="0"/>
        <w:jc w:val="left"/>
        <w:rPr>
          <w:rFonts w:ascii="Tahoma" w:hAnsi="Tahoma" w:cs="Tahoma"/>
          <w:sz w:val="24"/>
          <w:szCs w:val="24"/>
          <w:lang w:val="es-CO"/>
        </w:rPr>
      </w:pPr>
      <w:r>
        <w:rPr>
          <w:rFonts w:ascii="Tahoma" w:hAnsi="Tahoma" w:cs="Tahoma"/>
          <w:sz w:val="24"/>
          <w:szCs w:val="24"/>
          <w:lang w:val="es-CO"/>
        </w:rPr>
        <w:br w:type="page"/>
      </w:r>
      <w:bookmarkStart w:id="2" w:name="_GoBack"/>
      <w:bookmarkEnd w:id="2"/>
    </w:p>
    <w:p w14:paraId="7334374F" w14:textId="77777777" w:rsidR="0036450B" w:rsidRPr="0036450B" w:rsidRDefault="0036450B" w:rsidP="0036450B">
      <w:pPr>
        <w:spacing w:line="240" w:lineRule="auto"/>
        <w:ind w:firstLine="0"/>
        <w:rPr>
          <w:rFonts w:ascii="Arial" w:eastAsia="Times New Roman" w:hAnsi="Arial" w:cs="Arial"/>
          <w:spacing w:val="2"/>
          <w:sz w:val="20"/>
          <w:szCs w:val="20"/>
          <w:lang w:eastAsia="es-ES"/>
        </w:rPr>
      </w:pPr>
      <w:r w:rsidRPr="0036450B">
        <w:rPr>
          <w:rFonts w:ascii="Arial" w:eastAsia="Times New Roman" w:hAnsi="Arial" w:cs="Arial"/>
          <w:spacing w:val="2"/>
          <w:sz w:val="20"/>
          <w:szCs w:val="20"/>
          <w:lang w:eastAsia="es-ES"/>
        </w:rPr>
        <w:lastRenderedPageBreak/>
        <w:t xml:space="preserve">Radicación No.: </w:t>
      </w:r>
      <w:r w:rsidRPr="0036450B">
        <w:rPr>
          <w:rFonts w:ascii="Arial" w:eastAsia="Times New Roman" w:hAnsi="Arial" w:cs="Arial"/>
          <w:spacing w:val="2"/>
          <w:sz w:val="20"/>
          <w:szCs w:val="20"/>
          <w:lang w:eastAsia="es-ES"/>
        </w:rPr>
        <w:tab/>
        <w:t>66001-31-05-005-2017-00330-01</w:t>
      </w:r>
    </w:p>
    <w:p w14:paraId="353AD3C7" w14:textId="77777777" w:rsidR="0036450B" w:rsidRPr="0036450B" w:rsidRDefault="0036450B" w:rsidP="0036450B">
      <w:pPr>
        <w:spacing w:line="240" w:lineRule="auto"/>
        <w:ind w:firstLine="0"/>
        <w:rPr>
          <w:rFonts w:ascii="Arial" w:eastAsia="Times New Roman" w:hAnsi="Arial" w:cs="Arial"/>
          <w:spacing w:val="2"/>
          <w:sz w:val="20"/>
          <w:szCs w:val="20"/>
          <w:lang w:eastAsia="es-ES"/>
        </w:rPr>
      </w:pPr>
      <w:r w:rsidRPr="0036450B">
        <w:rPr>
          <w:rFonts w:ascii="Arial" w:eastAsia="Times New Roman" w:hAnsi="Arial" w:cs="Arial"/>
          <w:spacing w:val="2"/>
          <w:sz w:val="20"/>
          <w:szCs w:val="20"/>
          <w:lang w:eastAsia="es-ES"/>
        </w:rPr>
        <w:t xml:space="preserve">Proceso: </w:t>
      </w:r>
      <w:r w:rsidRPr="0036450B">
        <w:rPr>
          <w:rFonts w:ascii="Arial" w:eastAsia="Times New Roman" w:hAnsi="Arial" w:cs="Arial"/>
          <w:spacing w:val="2"/>
          <w:sz w:val="20"/>
          <w:szCs w:val="20"/>
          <w:lang w:eastAsia="es-ES"/>
        </w:rPr>
        <w:tab/>
      </w:r>
      <w:r w:rsidRPr="0036450B">
        <w:rPr>
          <w:rFonts w:ascii="Arial" w:eastAsia="Times New Roman" w:hAnsi="Arial" w:cs="Arial"/>
          <w:spacing w:val="2"/>
          <w:sz w:val="20"/>
          <w:szCs w:val="20"/>
          <w:lang w:eastAsia="es-ES"/>
        </w:rPr>
        <w:tab/>
        <w:t xml:space="preserve">Ordinario Laboral </w:t>
      </w:r>
    </w:p>
    <w:p w14:paraId="2CDB395C" w14:textId="77777777" w:rsidR="0036450B" w:rsidRPr="0036450B" w:rsidRDefault="0036450B" w:rsidP="0036450B">
      <w:pPr>
        <w:spacing w:line="240" w:lineRule="auto"/>
        <w:ind w:firstLine="0"/>
        <w:rPr>
          <w:rFonts w:ascii="Arial" w:eastAsia="Times New Roman" w:hAnsi="Arial" w:cs="Arial"/>
          <w:spacing w:val="2"/>
          <w:sz w:val="20"/>
          <w:szCs w:val="20"/>
          <w:lang w:eastAsia="es-ES"/>
        </w:rPr>
      </w:pPr>
      <w:r w:rsidRPr="0036450B">
        <w:rPr>
          <w:rFonts w:ascii="Arial" w:eastAsia="Times New Roman" w:hAnsi="Arial" w:cs="Arial"/>
          <w:spacing w:val="2"/>
          <w:sz w:val="20"/>
          <w:szCs w:val="20"/>
          <w:lang w:eastAsia="es-ES"/>
        </w:rPr>
        <w:t xml:space="preserve">Demandante: </w:t>
      </w:r>
      <w:r w:rsidRPr="0036450B">
        <w:rPr>
          <w:rFonts w:ascii="Arial" w:eastAsia="Times New Roman" w:hAnsi="Arial" w:cs="Arial"/>
          <w:spacing w:val="2"/>
          <w:sz w:val="20"/>
          <w:szCs w:val="20"/>
          <w:lang w:eastAsia="es-ES"/>
        </w:rPr>
        <w:tab/>
      </w:r>
      <w:r w:rsidRPr="0036450B">
        <w:rPr>
          <w:rFonts w:ascii="Arial" w:eastAsia="Times New Roman" w:hAnsi="Arial" w:cs="Arial"/>
          <w:spacing w:val="2"/>
          <w:sz w:val="20"/>
          <w:szCs w:val="20"/>
          <w:lang w:eastAsia="es-ES"/>
        </w:rPr>
        <w:tab/>
        <w:t xml:space="preserve">María Nelly Bermúdez Bedoya </w:t>
      </w:r>
    </w:p>
    <w:p w14:paraId="7C28A22D" w14:textId="77777777" w:rsidR="0036450B" w:rsidRDefault="0036450B" w:rsidP="0036450B">
      <w:pPr>
        <w:spacing w:line="240" w:lineRule="auto"/>
        <w:ind w:firstLine="0"/>
        <w:rPr>
          <w:rFonts w:ascii="Arial" w:eastAsia="Times New Roman" w:hAnsi="Arial" w:cs="Arial"/>
          <w:spacing w:val="2"/>
          <w:sz w:val="20"/>
          <w:szCs w:val="20"/>
          <w:lang w:eastAsia="es-ES"/>
        </w:rPr>
      </w:pPr>
      <w:r w:rsidRPr="0036450B">
        <w:rPr>
          <w:rFonts w:ascii="Arial" w:eastAsia="Times New Roman" w:hAnsi="Arial" w:cs="Arial"/>
          <w:spacing w:val="2"/>
          <w:sz w:val="20"/>
          <w:szCs w:val="20"/>
          <w:lang w:eastAsia="es-ES"/>
        </w:rPr>
        <w:t xml:space="preserve">Demandado: </w:t>
      </w:r>
      <w:r w:rsidRPr="0036450B">
        <w:rPr>
          <w:rFonts w:ascii="Arial" w:eastAsia="Times New Roman" w:hAnsi="Arial" w:cs="Arial"/>
          <w:spacing w:val="2"/>
          <w:sz w:val="20"/>
          <w:szCs w:val="20"/>
          <w:lang w:eastAsia="es-ES"/>
        </w:rPr>
        <w:tab/>
      </w:r>
      <w:r w:rsidRPr="0036450B">
        <w:rPr>
          <w:rFonts w:ascii="Arial" w:eastAsia="Times New Roman" w:hAnsi="Arial" w:cs="Arial"/>
          <w:spacing w:val="2"/>
          <w:sz w:val="20"/>
          <w:szCs w:val="20"/>
          <w:lang w:eastAsia="es-ES"/>
        </w:rPr>
        <w:tab/>
        <w:t>Porvenir S.A. y Colpensiones</w:t>
      </w:r>
    </w:p>
    <w:p w14:paraId="2177CC22" w14:textId="3DE2A597" w:rsidR="00D6390A" w:rsidRPr="00D6390A" w:rsidRDefault="00D6390A" w:rsidP="0036450B">
      <w:pPr>
        <w:spacing w:line="240" w:lineRule="auto"/>
        <w:ind w:firstLine="0"/>
        <w:rPr>
          <w:rFonts w:ascii="Arial" w:eastAsia="Arial" w:hAnsi="Arial" w:cs="Arial"/>
          <w:sz w:val="18"/>
          <w:szCs w:val="18"/>
          <w:lang w:val="es-ES_tradnl" w:eastAsia="es-ES"/>
        </w:rPr>
      </w:pPr>
      <w:r w:rsidRPr="00D6390A">
        <w:rPr>
          <w:rFonts w:ascii="Arial" w:eastAsia="Arial" w:hAnsi="Arial" w:cs="Arial"/>
          <w:sz w:val="20"/>
          <w:szCs w:val="20"/>
          <w:lang w:eastAsia="es-ES"/>
        </w:rPr>
        <w:t>Tema:</w:t>
      </w:r>
      <w:r w:rsidRPr="00D6390A">
        <w:rPr>
          <w:rFonts w:ascii="Arial" w:eastAsia="Arial" w:hAnsi="Arial" w:cs="Arial"/>
          <w:sz w:val="20"/>
          <w:szCs w:val="20"/>
          <w:lang w:eastAsia="es-ES"/>
        </w:rPr>
        <w:tab/>
      </w:r>
      <w:r w:rsidRPr="00D6390A">
        <w:rPr>
          <w:rFonts w:ascii="Arial" w:eastAsia="Arial" w:hAnsi="Arial" w:cs="Arial"/>
          <w:sz w:val="20"/>
          <w:szCs w:val="20"/>
          <w:lang w:eastAsia="es-ES"/>
        </w:rPr>
        <w:tab/>
      </w:r>
      <w:r w:rsidRPr="00D6390A">
        <w:rPr>
          <w:rFonts w:ascii="Arial" w:eastAsia="Arial" w:hAnsi="Arial" w:cs="Arial"/>
          <w:sz w:val="20"/>
          <w:szCs w:val="20"/>
          <w:lang w:eastAsia="es-ES"/>
        </w:rPr>
        <w:tab/>
        <w:t>Cumplimiento a exhorto de la Sala de Casación.</w:t>
      </w:r>
    </w:p>
    <w:p w14:paraId="0BDEF47E" w14:textId="77777777" w:rsidR="00D6390A" w:rsidRPr="00D6390A" w:rsidRDefault="00D6390A" w:rsidP="00D6390A">
      <w:pPr>
        <w:keepNext/>
        <w:spacing w:line="240" w:lineRule="auto"/>
        <w:ind w:firstLine="0"/>
        <w:outlineLvl w:val="2"/>
        <w:rPr>
          <w:rFonts w:ascii="Arial" w:eastAsia="Times New Roman" w:hAnsi="Arial" w:cs="Arial"/>
          <w:b/>
          <w:sz w:val="24"/>
          <w:szCs w:val="24"/>
          <w:lang w:val="es-ES_tradnl" w:eastAsia="es-ES"/>
        </w:rPr>
      </w:pPr>
    </w:p>
    <w:p w14:paraId="03564BD6" w14:textId="77777777" w:rsidR="00D6390A" w:rsidRPr="00D6390A" w:rsidRDefault="00D6390A" w:rsidP="00D6390A">
      <w:pPr>
        <w:keepNext/>
        <w:spacing w:line="240" w:lineRule="auto"/>
        <w:ind w:firstLine="0"/>
        <w:outlineLvl w:val="2"/>
        <w:rPr>
          <w:rFonts w:ascii="Arial" w:eastAsia="Times New Roman" w:hAnsi="Arial" w:cs="Arial"/>
          <w:b/>
          <w:sz w:val="24"/>
          <w:szCs w:val="24"/>
          <w:lang w:val="es-ES_tradnl" w:eastAsia="es-ES"/>
        </w:rPr>
      </w:pPr>
    </w:p>
    <w:p w14:paraId="20A7FDDA" w14:textId="77777777" w:rsidR="00D6390A" w:rsidRPr="00D6390A" w:rsidRDefault="00D6390A" w:rsidP="00D6390A">
      <w:pPr>
        <w:keepNext/>
        <w:spacing w:line="240" w:lineRule="auto"/>
        <w:ind w:firstLine="0"/>
        <w:outlineLvl w:val="2"/>
        <w:rPr>
          <w:rFonts w:ascii="Arial" w:eastAsia="Times New Roman" w:hAnsi="Arial" w:cs="Arial"/>
          <w:b/>
          <w:sz w:val="24"/>
          <w:szCs w:val="24"/>
          <w:lang w:val="es-ES_tradnl" w:eastAsia="es-ES"/>
        </w:rPr>
      </w:pPr>
    </w:p>
    <w:p w14:paraId="67C25502" w14:textId="77777777" w:rsidR="00D6390A" w:rsidRPr="00D6390A" w:rsidRDefault="00D6390A" w:rsidP="00D6390A">
      <w:pPr>
        <w:keepNext/>
        <w:spacing w:line="276" w:lineRule="auto"/>
        <w:ind w:firstLine="0"/>
        <w:jc w:val="center"/>
        <w:outlineLvl w:val="2"/>
        <w:rPr>
          <w:rFonts w:ascii="Arial" w:eastAsia="Times New Roman" w:hAnsi="Arial" w:cs="Arial"/>
          <w:b/>
          <w:sz w:val="24"/>
          <w:szCs w:val="24"/>
          <w:lang w:val="es-ES_tradnl" w:eastAsia="es-ES"/>
        </w:rPr>
      </w:pPr>
      <w:r w:rsidRPr="00D6390A">
        <w:rPr>
          <w:rFonts w:ascii="Arial" w:eastAsia="Times New Roman" w:hAnsi="Arial" w:cs="Arial"/>
          <w:b/>
          <w:sz w:val="24"/>
          <w:szCs w:val="24"/>
          <w:lang w:val="es-ES_tradnl" w:eastAsia="es-ES"/>
        </w:rPr>
        <w:t>TRIBUNAL SUPERIOR DEL DISTRITO JUDICIAL</w:t>
      </w:r>
    </w:p>
    <w:p w14:paraId="25440C23" w14:textId="77777777" w:rsidR="00D6390A" w:rsidRPr="00D6390A" w:rsidRDefault="00D6390A" w:rsidP="00D6390A">
      <w:pPr>
        <w:spacing w:line="276" w:lineRule="auto"/>
        <w:ind w:firstLine="0"/>
        <w:jc w:val="center"/>
        <w:rPr>
          <w:rFonts w:ascii="Arial" w:eastAsia="Calibri" w:hAnsi="Arial" w:cs="Arial"/>
          <w:b/>
          <w:sz w:val="24"/>
          <w:szCs w:val="24"/>
          <w:lang w:val="es-CO"/>
        </w:rPr>
      </w:pPr>
    </w:p>
    <w:p w14:paraId="3E926F76" w14:textId="77777777" w:rsidR="00D6390A" w:rsidRPr="00D6390A" w:rsidRDefault="00D6390A" w:rsidP="00D6390A">
      <w:pPr>
        <w:spacing w:line="276" w:lineRule="auto"/>
        <w:ind w:firstLine="0"/>
        <w:jc w:val="center"/>
        <w:rPr>
          <w:rFonts w:ascii="Arial" w:eastAsia="Calibri" w:hAnsi="Arial" w:cs="Arial"/>
          <w:b/>
          <w:sz w:val="24"/>
          <w:szCs w:val="24"/>
          <w:lang w:val="es-CO"/>
        </w:rPr>
      </w:pPr>
      <w:r w:rsidRPr="00D6390A">
        <w:rPr>
          <w:rFonts w:ascii="Arial" w:eastAsia="Calibri" w:hAnsi="Arial" w:cs="Arial"/>
          <w:b/>
          <w:sz w:val="24"/>
          <w:szCs w:val="24"/>
          <w:lang w:val="es-CO"/>
        </w:rPr>
        <w:t>SALA LABORAL</w:t>
      </w:r>
    </w:p>
    <w:p w14:paraId="12CAC60E" w14:textId="77777777" w:rsidR="00D6390A" w:rsidRPr="00D6390A" w:rsidRDefault="00D6390A" w:rsidP="00D6390A">
      <w:pPr>
        <w:spacing w:line="276" w:lineRule="auto"/>
        <w:ind w:firstLine="0"/>
        <w:jc w:val="center"/>
        <w:rPr>
          <w:rFonts w:ascii="Arial" w:eastAsia="Times New Roman" w:hAnsi="Arial" w:cs="Arial"/>
          <w:b/>
          <w:sz w:val="24"/>
          <w:szCs w:val="24"/>
          <w:lang w:val="es-ES_tradnl" w:eastAsia="es-ES"/>
        </w:rPr>
      </w:pPr>
    </w:p>
    <w:p w14:paraId="081CC5CE" w14:textId="77777777" w:rsidR="00D6390A" w:rsidRPr="00D6390A" w:rsidRDefault="00D6390A" w:rsidP="00D6390A">
      <w:pPr>
        <w:spacing w:line="276" w:lineRule="auto"/>
        <w:ind w:firstLine="0"/>
        <w:jc w:val="center"/>
        <w:rPr>
          <w:rFonts w:ascii="Arial" w:eastAsia="Times New Roman" w:hAnsi="Arial" w:cs="Arial"/>
          <w:b/>
          <w:sz w:val="24"/>
          <w:szCs w:val="24"/>
          <w:lang w:val="es-ES_tradnl" w:eastAsia="es-ES"/>
        </w:rPr>
      </w:pPr>
      <w:r w:rsidRPr="00D6390A">
        <w:rPr>
          <w:rFonts w:ascii="Arial" w:eastAsia="Times New Roman" w:hAnsi="Arial" w:cs="Arial"/>
          <w:b/>
          <w:sz w:val="24"/>
          <w:szCs w:val="24"/>
          <w:lang w:val="es-ES_tradnl" w:eastAsia="es-ES"/>
        </w:rPr>
        <w:t xml:space="preserve">MAGISTRADO: JULIO CÉSAR SALAZAR MUÑOZ </w:t>
      </w:r>
    </w:p>
    <w:p w14:paraId="52DD2496" w14:textId="77777777" w:rsidR="00D6390A" w:rsidRPr="00D6390A" w:rsidRDefault="00D6390A" w:rsidP="00D6390A">
      <w:pPr>
        <w:spacing w:line="276" w:lineRule="auto"/>
        <w:ind w:firstLine="0"/>
        <w:jc w:val="center"/>
        <w:rPr>
          <w:rFonts w:ascii="Arial" w:eastAsia="Times New Roman" w:hAnsi="Arial" w:cs="Arial"/>
          <w:b/>
          <w:sz w:val="24"/>
          <w:szCs w:val="24"/>
          <w:lang w:val="es-ES_tradnl" w:eastAsia="es-ES"/>
        </w:rPr>
      </w:pPr>
    </w:p>
    <w:p w14:paraId="08D1638A" w14:textId="60A85BCC" w:rsidR="00D6390A" w:rsidRPr="0036450B" w:rsidRDefault="0036450B" w:rsidP="00D6390A">
      <w:pPr>
        <w:spacing w:line="276" w:lineRule="auto"/>
        <w:ind w:firstLine="0"/>
        <w:jc w:val="center"/>
        <w:rPr>
          <w:rFonts w:ascii="Arial" w:eastAsia="Times New Roman" w:hAnsi="Arial" w:cs="Arial"/>
          <w:b/>
          <w:bCs/>
          <w:sz w:val="24"/>
          <w:szCs w:val="24"/>
          <w:lang w:eastAsia="es-ES"/>
        </w:rPr>
      </w:pPr>
      <w:r w:rsidRPr="0036450B">
        <w:rPr>
          <w:rFonts w:ascii="Arial" w:eastAsia="Times New Roman" w:hAnsi="Arial" w:cs="Arial"/>
          <w:b/>
          <w:bCs/>
          <w:sz w:val="24"/>
          <w:szCs w:val="24"/>
          <w:lang w:eastAsia="es-ES"/>
        </w:rPr>
        <w:t>Septiembre 14 de 2020</w:t>
      </w:r>
    </w:p>
    <w:p w14:paraId="63E45ED3" w14:textId="77777777" w:rsidR="00D6390A" w:rsidRDefault="00D6390A" w:rsidP="00D6390A">
      <w:pPr>
        <w:spacing w:line="276" w:lineRule="auto"/>
        <w:ind w:firstLine="0"/>
        <w:jc w:val="center"/>
        <w:rPr>
          <w:rFonts w:ascii="Arial" w:eastAsia="Times New Roman" w:hAnsi="Arial" w:cs="Arial"/>
          <w:b/>
          <w:sz w:val="24"/>
          <w:szCs w:val="24"/>
          <w:lang w:val="es-ES_tradnl" w:eastAsia="es-ES"/>
        </w:rPr>
      </w:pPr>
    </w:p>
    <w:p w14:paraId="35D67CBF" w14:textId="77777777" w:rsidR="0036450B" w:rsidRPr="00D6390A" w:rsidRDefault="0036450B" w:rsidP="00D6390A">
      <w:pPr>
        <w:spacing w:line="276" w:lineRule="auto"/>
        <w:ind w:firstLine="0"/>
        <w:jc w:val="center"/>
        <w:rPr>
          <w:rFonts w:ascii="Arial" w:eastAsia="Times New Roman" w:hAnsi="Arial" w:cs="Arial"/>
          <w:b/>
          <w:sz w:val="24"/>
          <w:szCs w:val="24"/>
          <w:lang w:val="es-ES_tradnl" w:eastAsia="es-ES"/>
        </w:rPr>
      </w:pPr>
    </w:p>
    <w:p w14:paraId="4B16BF9C" w14:textId="77777777" w:rsidR="00D6390A" w:rsidRPr="0036450B" w:rsidRDefault="00D6390A" w:rsidP="00D6390A">
      <w:pPr>
        <w:spacing w:line="276" w:lineRule="auto"/>
        <w:ind w:firstLine="0"/>
        <w:jc w:val="center"/>
        <w:rPr>
          <w:rFonts w:ascii="Arial" w:eastAsia="Times New Roman" w:hAnsi="Arial" w:cs="Arial"/>
          <w:b/>
          <w:sz w:val="24"/>
          <w:szCs w:val="24"/>
          <w:u w:val="single"/>
          <w:lang w:val="es-ES_tradnl" w:eastAsia="es-ES"/>
        </w:rPr>
      </w:pPr>
      <w:r w:rsidRPr="0036450B">
        <w:rPr>
          <w:rFonts w:ascii="Arial" w:eastAsia="Times New Roman" w:hAnsi="Arial" w:cs="Arial"/>
          <w:b/>
          <w:sz w:val="24"/>
          <w:szCs w:val="24"/>
          <w:u w:val="single"/>
          <w:lang w:val="es-ES_tradnl" w:eastAsia="es-ES"/>
        </w:rPr>
        <w:t>ACLARACIÓN DE VOTO</w:t>
      </w:r>
    </w:p>
    <w:p w14:paraId="42C1A049" w14:textId="77777777" w:rsidR="00D6390A" w:rsidRPr="00D6390A" w:rsidRDefault="00D6390A" w:rsidP="00D6390A">
      <w:pPr>
        <w:suppressAutoHyphens/>
        <w:spacing w:line="276" w:lineRule="auto"/>
        <w:ind w:firstLine="0"/>
        <w:rPr>
          <w:rFonts w:ascii="Arial" w:eastAsia="Times New Roman" w:hAnsi="Arial" w:cs="Arial"/>
          <w:sz w:val="24"/>
          <w:szCs w:val="24"/>
          <w:lang w:val="es-ES_tradnl" w:eastAsia="es-ES"/>
        </w:rPr>
      </w:pPr>
    </w:p>
    <w:p w14:paraId="192ED77B" w14:textId="77777777" w:rsidR="00D6390A" w:rsidRPr="00D6390A" w:rsidRDefault="00D6390A" w:rsidP="00D6390A">
      <w:pPr>
        <w:suppressAutoHyphens/>
        <w:spacing w:line="276" w:lineRule="auto"/>
        <w:ind w:firstLine="0"/>
        <w:rPr>
          <w:rFonts w:ascii="Arial" w:eastAsia="Times New Roman" w:hAnsi="Arial" w:cs="Arial"/>
          <w:sz w:val="24"/>
          <w:szCs w:val="24"/>
          <w:lang w:eastAsia="es-ES"/>
        </w:rPr>
      </w:pPr>
    </w:p>
    <w:p w14:paraId="350D3DAF" w14:textId="77777777" w:rsidR="00D6390A" w:rsidRPr="00D6390A" w:rsidRDefault="00D6390A" w:rsidP="00D6390A">
      <w:pPr>
        <w:spacing w:line="276" w:lineRule="auto"/>
        <w:ind w:firstLine="0"/>
        <w:rPr>
          <w:rFonts w:ascii="Arial" w:eastAsia="Times New Roman" w:hAnsi="Arial" w:cs="Arial"/>
          <w:sz w:val="24"/>
          <w:szCs w:val="24"/>
          <w:lang w:eastAsia="es-ES"/>
        </w:rPr>
      </w:pPr>
      <w:r w:rsidRPr="00D6390A">
        <w:rPr>
          <w:rFonts w:ascii="Arial" w:eastAsia="Times New Roman" w:hAnsi="Arial" w:cs="Arial"/>
          <w:sz w:val="24"/>
          <w:szCs w:val="24"/>
          <w:lang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D6390A">
        <w:rPr>
          <w:rFonts w:ascii="Arial" w:eastAsia="Times New Roman" w:hAnsi="Arial" w:cs="Arial"/>
          <w:b/>
          <w:sz w:val="24"/>
          <w:szCs w:val="24"/>
          <w:lang w:eastAsia="es-ES"/>
        </w:rPr>
        <w:t>EXORTAR</w:t>
      </w:r>
      <w:proofErr w:type="spellEnd"/>
      <w:r w:rsidRPr="00D6390A">
        <w:rPr>
          <w:rFonts w:ascii="Arial" w:eastAsia="Times New Roman" w:hAnsi="Arial" w:cs="Arial"/>
          <w:sz w:val="24"/>
          <w:szCs w:val="24"/>
          <w:lang w:eastAsia="es-ES"/>
        </w:rPr>
        <w:t xml:space="preserve"> (sic) a la </w:t>
      </w:r>
      <w:r w:rsidRPr="00D6390A">
        <w:rPr>
          <w:rFonts w:ascii="Arial" w:eastAsia="Times New Roman" w:hAnsi="Arial" w:cs="Arial"/>
          <w:b/>
          <w:sz w:val="24"/>
          <w:szCs w:val="24"/>
          <w:lang w:eastAsia="es-ES"/>
        </w:rPr>
        <w:t xml:space="preserve">SALA LABORAL DEL TRIBUNAL SUPERIOR DEL DISTRITO JUDICIAL DE PEREIRA </w:t>
      </w:r>
      <w:r w:rsidRPr="00D6390A">
        <w:rPr>
          <w:rFonts w:ascii="Arial" w:eastAsia="Times New Roman" w:hAnsi="Arial" w:cs="Arial"/>
          <w:sz w:val="24"/>
          <w:szCs w:val="24"/>
          <w:lang w:eastAsia="es-ES"/>
        </w:rPr>
        <w:t>para que en lo sucesivo acate el precedente judicial emanado de esta Corporación”.</w:t>
      </w:r>
    </w:p>
    <w:p w14:paraId="58043EA9" w14:textId="77777777" w:rsidR="00D6390A" w:rsidRPr="00D6390A" w:rsidRDefault="00D6390A" w:rsidP="00D6390A">
      <w:pPr>
        <w:spacing w:line="276" w:lineRule="auto"/>
        <w:ind w:firstLine="0"/>
        <w:rPr>
          <w:rFonts w:ascii="Arial" w:eastAsia="Times New Roman" w:hAnsi="Arial" w:cs="Arial"/>
          <w:sz w:val="24"/>
          <w:szCs w:val="24"/>
          <w:lang w:eastAsia="es-ES"/>
        </w:rPr>
      </w:pPr>
    </w:p>
    <w:p w14:paraId="1DF89D28" w14:textId="77777777" w:rsidR="00D6390A" w:rsidRPr="00D6390A" w:rsidRDefault="00D6390A" w:rsidP="00D6390A">
      <w:pPr>
        <w:spacing w:line="276" w:lineRule="auto"/>
        <w:ind w:firstLine="0"/>
        <w:rPr>
          <w:rFonts w:ascii="Arial" w:eastAsia="Times New Roman" w:hAnsi="Arial" w:cs="Arial"/>
          <w:sz w:val="24"/>
          <w:szCs w:val="24"/>
          <w:lang w:eastAsia="es-ES"/>
        </w:rPr>
      </w:pPr>
      <w:r w:rsidRPr="00D6390A">
        <w:rPr>
          <w:rFonts w:ascii="Arial" w:eastAsia="Times New Roman" w:hAnsi="Arial" w:cs="Arial"/>
          <w:sz w:val="24"/>
          <w:szCs w:val="24"/>
          <w:lang w:eastAsia="es-ES"/>
        </w:rPr>
        <w:t xml:space="preserve">Bajo tal apremio, no obstante lo dispuesto en los artículos 228 y 230 de la Constitución Nacional, </w:t>
      </w:r>
      <w:r w:rsidRPr="00D6390A">
        <w:rPr>
          <w:rFonts w:ascii="Arial" w:eastAsia="Times New Roman" w:hAnsi="Arial" w:cs="Arial"/>
          <w:b/>
          <w:sz w:val="24"/>
          <w:szCs w:val="24"/>
          <w:lang w:eastAsia="es-ES"/>
        </w:rPr>
        <w:t>no queda otra posibilidad al suscrito que</w:t>
      </w:r>
      <w:r w:rsidRPr="00D6390A">
        <w:rPr>
          <w:rFonts w:ascii="Arial" w:eastAsia="Times New Roman" w:hAnsi="Arial" w:cs="Arial"/>
          <w:sz w:val="24"/>
          <w:szCs w:val="24"/>
          <w:lang w:eastAsia="es-ES"/>
        </w:rPr>
        <w:t xml:space="preserve">, en este y en todos los numerosos y sucesivos asuntos de similares características que se presenten a la Sala para decisión de eventos de ineficacia de traslados entre regímenes pensionales, </w:t>
      </w:r>
      <w:r w:rsidRPr="00D6390A">
        <w:rPr>
          <w:rFonts w:ascii="Arial" w:eastAsia="Times New Roman" w:hAnsi="Arial" w:cs="Arial"/>
          <w:b/>
          <w:sz w:val="24"/>
          <w:szCs w:val="24"/>
          <w:lang w:eastAsia="es-ES"/>
        </w:rPr>
        <w:t>acatar lo resuelto por el superior</w:t>
      </w:r>
      <w:r w:rsidRPr="00D6390A">
        <w:rPr>
          <w:rFonts w:ascii="Arial" w:eastAsia="Times New Roman" w:hAnsi="Arial" w:cs="Arial"/>
          <w:sz w:val="24"/>
          <w:szCs w:val="24"/>
          <w:lang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2318A6D3" w14:textId="77777777" w:rsidR="00D6390A" w:rsidRPr="00D6390A" w:rsidRDefault="00D6390A" w:rsidP="00D6390A">
      <w:pPr>
        <w:spacing w:line="276" w:lineRule="auto"/>
        <w:ind w:firstLine="0"/>
        <w:rPr>
          <w:rFonts w:ascii="Arial" w:eastAsia="Times New Roman" w:hAnsi="Arial" w:cs="Arial"/>
          <w:sz w:val="24"/>
          <w:szCs w:val="24"/>
          <w:lang w:eastAsia="es-ES"/>
        </w:rPr>
      </w:pPr>
    </w:p>
    <w:p w14:paraId="03C49FC2" w14:textId="77777777" w:rsidR="00D6390A" w:rsidRPr="00D6390A" w:rsidRDefault="00D6390A" w:rsidP="00D6390A">
      <w:pPr>
        <w:spacing w:line="276" w:lineRule="auto"/>
        <w:ind w:firstLine="0"/>
        <w:rPr>
          <w:rFonts w:ascii="Arial" w:eastAsia="Times New Roman" w:hAnsi="Arial" w:cs="Arial"/>
          <w:b/>
          <w:sz w:val="24"/>
          <w:szCs w:val="24"/>
          <w:lang w:eastAsia="es-ES"/>
        </w:rPr>
      </w:pPr>
      <w:r w:rsidRPr="00D6390A">
        <w:rPr>
          <w:rFonts w:ascii="Arial" w:eastAsia="Times New Roman" w:hAnsi="Arial" w:cs="Arial"/>
          <w:b/>
          <w:sz w:val="24"/>
          <w:szCs w:val="24"/>
          <w:lang w:eastAsia="es-ES"/>
        </w:rPr>
        <w:t>ANÁLISIS JURÍDICO DE LOS HECHOS DEBATIDOS EN LOS CASOS DE TRASLADOS ENTRE REGÍMENES</w:t>
      </w:r>
    </w:p>
    <w:p w14:paraId="2931844F" w14:textId="77777777" w:rsidR="00D6390A" w:rsidRPr="00D6390A" w:rsidRDefault="00D6390A" w:rsidP="00D6390A">
      <w:pPr>
        <w:spacing w:line="276" w:lineRule="auto"/>
        <w:ind w:firstLine="0"/>
        <w:rPr>
          <w:rFonts w:ascii="Arial" w:eastAsia="Times New Roman" w:hAnsi="Arial" w:cs="Arial"/>
          <w:sz w:val="24"/>
          <w:szCs w:val="24"/>
          <w:lang w:eastAsia="es-ES"/>
        </w:rPr>
      </w:pPr>
    </w:p>
    <w:p w14:paraId="6BAD9254" w14:textId="77777777" w:rsidR="00D6390A" w:rsidRPr="00D6390A" w:rsidRDefault="00D6390A" w:rsidP="00D6390A">
      <w:pPr>
        <w:spacing w:line="276" w:lineRule="auto"/>
        <w:ind w:firstLine="0"/>
        <w:rPr>
          <w:rFonts w:ascii="Arial" w:eastAsia="Times New Roman" w:hAnsi="Arial" w:cs="Arial"/>
          <w:spacing w:val="-2"/>
          <w:sz w:val="24"/>
          <w:szCs w:val="24"/>
          <w:lang w:val="es-ES_tradnl" w:eastAsia="es-ES"/>
        </w:rPr>
      </w:pPr>
      <w:r w:rsidRPr="00D6390A">
        <w:rPr>
          <w:rFonts w:ascii="Arial" w:eastAsia="Times New Roman" w:hAnsi="Arial" w:cs="Arial"/>
          <w:spacing w:val="-2"/>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D6390A">
        <w:rPr>
          <w:rFonts w:ascii="Arial" w:eastAsia="Times New Roman" w:hAnsi="Arial" w:cs="Arial"/>
          <w:spacing w:val="-2"/>
          <w:sz w:val="24"/>
          <w:szCs w:val="24"/>
          <w:lang w:val="es-ES_tradnl" w:eastAsia="es-ES"/>
        </w:rPr>
        <w:lastRenderedPageBreak/>
        <w:t xml:space="preserve">derecho pensional, como sus afiliados a aquellos que a última hora se dan cuenta que su pensión en el RPM sería superior a la que obtendrían en el </w:t>
      </w:r>
      <w:proofErr w:type="spellStart"/>
      <w:r w:rsidRPr="00D6390A">
        <w:rPr>
          <w:rFonts w:ascii="Arial" w:eastAsia="Times New Roman" w:hAnsi="Arial" w:cs="Arial"/>
          <w:spacing w:val="-2"/>
          <w:sz w:val="24"/>
          <w:szCs w:val="24"/>
          <w:lang w:val="es-ES_tradnl" w:eastAsia="es-ES"/>
        </w:rPr>
        <w:t>RAIS</w:t>
      </w:r>
      <w:proofErr w:type="spellEnd"/>
      <w:r w:rsidRPr="00D6390A">
        <w:rPr>
          <w:rFonts w:ascii="Arial" w:eastAsia="Times New Roman" w:hAnsi="Arial" w:cs="Arial"/>
          <w:spacing w:val="-2"/>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14:paraId="7CD3933A"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p>
    <w:p w14:paraId="5BC41BDE"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r w:rsidRPr="00D6390A">
        <w:rPr>
          <w:rFonts w:ascii="Arial" w:eastAsia="Times New Roman" w:hAnsi="Arial" w:cs="Arial"/>
          <w:spacing w:val="-2"/>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0D6E00F9"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p>
    <w:p w14:paraId="50280475"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r w:rsidRPr="00D6390A">
        <w:rPr>
          <w:rFonts w:ascii="Arial" w:eastAsia="Times New Roman" w:hAnsi="Arial" w:cs="Arial"/>
          <w:spacing w:val="-2"/>
          <w:sz w:val="24"/>
          <w:szCs w:val="24"/>
          <w:lang w:val="es-ES_tradnl" w:eastAsia="es-ES"/>
        </w:rPr>
        <w:t xml:space="preserve">Como quiera que esta posición se </w:t>
      </w:r>
      <w:proofErr w:type="gramStart"/>
      <w:r w:rsidRPr="00D6390A">
        <w:rPr>
          <w:rFonts w:ascii="Arial" w:eastAsia="Times New Roman" w:hAnsi="Arial" w:cs="Arial"/>
          <w:spacing w:val="-2"/>
          <w:sz w:val="24"/>
          <w:szCs w:val="24"/>
          <w:lang w:val="es-ES_tradnl" w:eastAsia="es-ES"/>
        </w:rPr>
        <w:t>separa</w:t>
      </w:r>
      <w:proofErr w:type="gramEnd"/>
      <w:r w:rsidRPr="00D6390A">
        <w:rPr>
          <w:rFonts w:ascii="Arial" w:eastAsia="Times New Roman" w:hAnsi="Arial" w:cs="Arial"/>
          <w:spacing w:val="-2"/>
          <w:sz w:val="24"/>
          <w:szCs w:val="24"/>
          <w:lang w:val="es-ES_tradnl" w:eastAsia="es-ES"/>
        </w:rPr>
        <w:t xml:space="preserve"> expresamente de la línea actual de la Corte Suprema de Justicia, considero necesario </w:t>
      </w:r>
      <w:r w:rsidRPr="00D6390A">
        <w:rPr>
          <w:rFonts w:ascii="Arial" w:eastAsia="Times New Roman" w:hAnsi="Arial" w:cs="Arial"/>
          <w:iCs/>
          <w:sz w:val="24"/>
          <w:szCs w:val="24"/>
          <w:lang w:val="es-ES_tradnl" w:eastAsia="es-ES"/>
        </w:rPr>
        <w:t>discurrir sobre los 8 temas jurídicos que a continuación se desarrollan:</w:t>
      </w:r>
    </w:p>
    <w:p w14:paraId="2A3FD898"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p>
    <w:p w14:paraId="6E64FBC2" w14:textId="77777777" w:rsidR="00D6390A" w:rsidRPr="00D6390A" w:rsidRDefault="00D6390A" w:rsidP="00D6390A">
      <w:pPr>
        <w:numPr>
          <w:ilvl w:val="0"/>
          <w:numId w:val="11"/>
        </w:numPr>
        <w:suppressAutoHyphens/>
        <w:spacing w:line="276" w:lineRule="auto"/>
        <w:ind w:left="426" w:hanging="426"/>
        <w:rPr>
          <w:rFonts w:ascii="Arial" w:eastAsia="Times New Roman" w:hAnsi="Arial" w:cs="Arial"/>
          <w:b/>
          <w:spacing w:val="-2"/>
          <w:sz w:val="24"/>
          <w:szCs w:val="24"/>
          <w:lang w:val="es-ES_tradnl" w:eastAsia="es-ES"/>
        </w:rPr>
      </w:pPr>
      <w:r w:rsidRPr="00D6390A">
        <w:rPr>
          <w:rFonts w:ascii="Arial" w:eastAsia="Times New Roman" w:hAnsi="Arial" w:cs="Arial"/>
          <w:b/>
          <w:spacing w:val="-2"/>
          <w:sz w:val="24"/>
          <w:szCs w:val="24"/>
          <w:lang w:val="es-ES_tradnl" w:eastAsia="es-ES"/>
        </w:rPr>
        <w:t>LA JURISPRUDENCIA, LA OBLIGACIÓN DE LOS JUECES DE SEGUIRLA Y LA AUTORIZACIÓN Y FORMA DE APARTARSE DE LA DOCTRINA PROBABLE.</w:t>
      </w:r>
    </w:p>
    <w:p w14:paraId="331B38B0"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p>
    <w:p w14:paraId="365A917A" w14:textId="77777777" w:rsidR="00D6390A" w:rsidRPr="00D6390A" w:rsidRDefault="00D6390A" w:rsidP="00D6390A">
      <w:pPr>
        <w:spacing w:line="276" w:lineRule="auto"/>
        <w:ind w:right="51" w:firstLine="0"/>
        <w:rPr>
          <w:rFonts w:ascii="Arial" w:eastAsia="Times New Roman" w:hAnsi="Arial" w:cs="Arial"/>
          <w:spacing w:val="-2"/>
          <w:sz w:val="24"/>
          <w:szCs w:val="24"/>
          <w:lang w:val="es-ES_tradnl" w:eastAsia="es-ES"/>
        </w:rPr>
      </w:pPr>
      <w:r w:rsidRPr="00D6390A">
        <w:rPr>
          <w:rFonts w:ascii="Arial" w:eastAsia="Times New Roman" w:hAnsi="Arial" w:cs="Arial"/>
          <w:sz w:val="24"/>
          <w:szCs w:val="24"/>
          <w:lang w:val="es-CO"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4B8BD17B"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p>
    <w:p w14:paraId="4DF0458F" w14:textId="77777777" w:rsidR="00D6390A" w:rsidRPr="00D6390A" w:rsidRDefault="00D6390A" w:rsidP="00D6390A">
      <w:pPr>
        <w:suppressAutoHyphens/>
        <w:spacing w:line="240" w:lineRule="auto"/>
        <w:ind w:left="426" w:right="420" w:firstLine="0"/>
        <w:rPr>
          <w:rFonts w:ascii="Arial" w:eastAsia="Times New Roman" w:hAnsi="Arial" w:cs="Arial"/>
          <w:spacing w:val="-2"/>
          <w:szCs w:val="24"/>
          <w:lang w:eastAsia="es-ES"/>
        </w:rPr>
      </w:pPr>
      <w:r w:rsidRPr="00D6390A">
        <w:rPr>
          <w:rFonts w:ascii="Arial" w:eastAsia="Times New Roman" w:hAnsi="Arial" w:cs="Arial"/>
          <w:spacing w:val="-2"/>
          <w:szCs w:val="24"/>
          <w:lang w:eastAsia="es-ES"/>
        </w:rPr>
        <w:t>“No obstante, el precedente no constituye una obligatoriedad absoluta, pues en razón del principio de la autonomía judicial, el juez puede apartarse de aquellos, siempre y cuando presente </w:t>
      </w:r>
      <w:r w:rsidRPr="00D6390A">
        <w:rPr>
          <w:rFonts w:ascii="Arial" w:eastAsia="Times New Roman" w:hAnsi="Arial" w:cs="Arial"/>
          <w:b/>
          <w:bCs/>
          <w:spacing w:val="-2"/>
          <w:szCs w:val="24"/>
          <w:lang w:eastAsia="es-ES"/>
        </w:rPr>
        <w:t>(i)</w:t>
      </w:r>
      <w:r w:rsidRPr="00D6390A">
        <w:rPr>
          <w:rFonts w:ascii="Arial" w:eastAsia="Times New Roman" w:hAnsi="Arial" w:cs="Arial"/>
          <w:spacing w:val="-2"/>
          <w:szCs w:val="24"/>
          <w:lang w:eastAsia="es-ES"/>
        </w:rPr>
        <w:t> de forma explícita las razones por las cuales se separa de aquellos, y </w:t>
      </w:r>
      <w:r w:rsidRPr="00D6390A">
        <w:rPr>
          <w:rFonts w:ascii="Arial" w:eastAsia="Times New Roman" w:hAnsi="Arial" w:cs="Arial"/>
          <w:b/>
          <w:bCs/>
          <w:spacing w:val="-2"/>
          <w:szCs w:val="24"/>
          <w:lang w:eastAsia="es-ES"/>
        </w:rPr>
        <w:t>(ii)</w:t>
      </w:r>
      <w:r w:rsidRPr="00D6390A">
        <w:rPr>
          <w:rFonts w:ascii="Arial" w:eastAsia="Times New Roman" w:hAnsi="Arial" w:cs="Arial"/>
          <w:spacing w:val="-2"/>
          <w:szCs w:val="24"/>
          <w:lang w:eastAsia="es-ES"/>
        </w:rPr>
        <w:t> demuestre con suficiencia que su interpretación aporta un mejor desarrollo a los derechos y principios constitucionales.</w:t>
      </w:r>
      <w:bookmarkStart w:id="3" w:name="_ftnref33"/>
      <w:r w:rsidRPr="00D6390A">
        <w:rPr>
          <w:rFonts w:ascii="Arial" w:eastAsia="Times New Roman" w:hAnsi="Arial" w:cs="Arial"/>
          <w:spacing w:val="-2"/>
          <w:szCs w:val="24"/>
          <w:lang w:eastAsia="es-ES"/>
        </w:rPr>
        <w:t>”</w:t>
      </w:r>
      <w:bookmarkEnd w:id="3"/>
    </w:p>
    <w:p w14:paraId="15A94BAE" w14:textId="77777777" w:rsidR="00D6390A" w:rsidRPr="00D6390A" w:rsidRDefault="00D6390A" w:rsidP="00D6390A">
      <w:pPr>
        <w:suppressAutoHyphens/>
        <w:spacing w:line="240" w:lineRule="auto"/>
        <w:ind w:left="426" w:right="420" w:firstLine="0"/>
        <w:rPr>
          <w:rFonts w:ascii="Arial" w:eastAsia="Times New Roman" w:hAnsi="Arial" w:cs="Arial"/>
          <w:spacing w:val="-2"/>
          <w:szCs w:val="24"/>
          <w:lang w:eastAsia="es-ES"/>
        </w:rPr>
      </w:pPr>
    </w:p>
    <w:p w14:paraId="1AC905B0" w14:textId="77777777" w:rsidR="00D6390A" w:rsidRPr="00D6390A" w:rsidRDefault="00D6390A" w:rsidP="00D6390A">
      <w:pPr>
        <w:suppressAutoHyphens/>
        <w:spacing w:line="240" w:lineRule="auto"/>
        <w:ind w:left="426" w:right="420" w:firstLine="0"/>
        <w:rPr>
          <w:rFonts w:ascii="Arial" w:eastAsia="Times New Roman" w:hAnsi="Arial" w:cs="Arial"/>
          <w:spacing w:val="-2"/>
          <w:szCs w:val="24"/>
          <w:lang w:eastAsia="es-ES"/>
        </w:rPr>
      </w:pPr>
      <w:r w:rsidRPr="00D6390A">
        <w:rPr>
          <w:rFonts w:ascii="Arial" w:eastAsia="Times New Roman" w:hAnsi="Arial" w:cs="Arial"/>
          <w:spacing w:val="-2"/>
          <w:szCs w:val="24"/>
          <w:lang w:val="es-CO"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D6390A">
        <w:rPr>
          <w:rFonts w:ascii="Arial" w:eastAsia="Times New Roman" w:hAnsi="Arial" w:cs="Arial"/>
          <w:b/>
          <w:spacing w:val="-2"/>
          <w:szCs w:val="24"/>
          <w:lang w:val="es-CO" w:eastAsia="es-ES"/>
        </w:rPr>
        <w:t>sin exponer las razones jurídicas que justifique el cambio de  jurisprudencia</w:t>
      </w:r>
      <w:r w:rsidRPr="00D6390A">
        <w:rPr>
          <w:rFonts w:ascii="Arial" w:eastAsia="Times New Roman" w:hAnsi="Arial" w:cs="Arial"/>
          <w:spacing w:val="-2"/>
          <w:szCs w:val="24"/>
          <w:lang w:val="es-CO" w:eastAsia="es-ES"/>
        </w:rPr>
        <w:t>.” (Negrillas fuera del original)</w:t>
      </w:r>
      <w:r w:rsidRPr="00D6390A">
        <w:rPr>
          <w:rFonts w:ascii="Arial" w:eastAsia="Times New Roman" w:hAnsi="Arial" w:cs="Arial"/>
          <w:spacing w:val="-2"/>
          <w:szCs w:val="24"/>
          <w:lang w:eastAsia="es-ES"/>
        </w:rPr>
        <w:t xml:space="preserve"> </w:t>
      </w:r>
    </w:p>
    <w:p w14:paraId="2CEC029C"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eastAsia="es-ES"/>
        </w:rPr>
      </w:pPr>
      <w:r w:rsidRPr="00D6390A">
        <w:rPr>
          <w:rFonts w:ascii="Arial" w:eastAsia="Times New Roman" w:hAnsi="Arial" w:cs="Arial"/>
          <w:spacing w:val="-2"/>
          <w:sz w:val="24"/>
          <w:szCs w:val="24"/>
          <w:lang w:eastAsia="es-ES"/>
        </w:rPr>
        <w:t> </w:t>
      </w:r>
    </w:p>
    <w:p w14:paraId="752CF40F"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eastAsia="es-ES"/>
        </w:rPr>
      </w:pPr>
      <w:r w:rsidRPr="00D6390A">
        <w:rPr>
          <w:rFonts w:ascii="Arial" w:eastAsia="Times New Roman" w:hAnsi="Arial" w:cs="Arial"/>
          <w:spacing w:val="-2"/>
          <w:sz w:val="24"/>
          <w:szCs w:val="24"/>
          <w:lang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589BD809" w14:textId="77777777" w:rsidR="00D6390A" w:rsidRPr="00D6390A" w:rsidRDefault="00D6390A" w:rsidP="00D6390A">
      <w:pPr>
        <w:suppressAutoHyphens/>
        <w:spacing w:line="276" w:lineRule="auto"/>
        <w:ind w:firstLine="0"/>
        <w:rPr>
          <w:rFonts w:ascii="Arial" w:eastAsia="Times New Roman" w:hAnsi="Arial" w:cs="Arial"/>
          <w:b/>
          <w:spacing w:val="-2"/>
          <w:sz w:val="24"/>
          <w:szCs w:val="24"/>
          <w:lang w:val="es-ES_tradnl" w:eastAsia="es-ES"/>
        </w:rPr>
      </w:pPr>
    </w:p>
    <w:p w14:paraId="6DBBC362" w14:textId="77777777" w:rsidR="00D6390A" w:rsidRPr="00D6390A" w:rsidRDefault="00D6390A" w:rsidP="00D6390A">
      <w:pPr>
        <w:numPr>
          <w:ilvl w:val="0"/>
          <w:numId w:val="11"/>
        </w:numPr>
        <w:suppressAutoHyphens/>
        <w:spacing w:line="276" w:lineRule="auto"/>
        <w:ind w:left="567" w:hanging="567"/>
        <w:rPr>
          <w:rFonts w:ascii="Arial" w:eastAsia="Times New Roman" w:hAnsi="Arial" w:cs="Arial"/>
          <w:spacing w:val="-2"/>
          <w:sz w:val="24"/>
          <w:szCs w:val="24"/>
          <w:lang w:val="es-ES_tradnl" w:eastAsia="es-ES"/>
        </w:rPr>
      </w:pPr>
      <w:r w:rsidRPr="00D6390A">
        <w:rPr>
          <w:rFonts w:ascii="Arial" w:eastAsia="Times New Roman" w:hAnsi="Arial" w:cs="Arial"/>
          <w:b/>
          <w:spacing w:val="-2"/>
          <w:sz w:val="24"/>
          <w:szCs w:val="24"/>
          <w:lang w:val="es-ES_tradnl" w:eastAsia="es-ES"/>
        </w:rPr>
        <w:lastRenderedPageBreak/>
        <w:t>LA POSICIÓN ACTUAL DE LA SALA DE CASACIÓN LABORAL RESPECTO AL TEMA DE LA NULIDAD O INEFICACIA DE LOS TRASLADOS ENTRE REGÍMENES PENSIONALES.</w:t>
      </w:r>
    </w:p>
    <w:p w14:paraId="574378F1"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p>
    <w:p w14:paraId="52839695" w14:textId="77777777" w:rsidR="00D6390A" w:rsidRPr="00D6390A" w:rsidRDefault="00D6390A" w:rsidP="00D6390A">
      <w:pPr>
        <w:suppressAutoHyphens/>
        <w:spacing w:line="276" w:lineRule="auto"/>
        <w:ind w:firstLine="0"/>
        <w:rPr>
          <w:rFonts w:ascii="Arial" w:eastAsia="Times New Roman" w:hAnsi="Arial" w:cs="Arial"/>
          <w:iCs/>
          <w:sz w:val="24"/>
          <w:szCs w:val="24"/>
          <w:lang w:val="es-ES_tradnl" w:eastAsia="es-ES"/>
        </w:rPr>
      </w:pPr>
      <w:r w:rsidRPr="00D6390A">
        <w:rPr>
          <w:rFonts w:ascii="Arial" w:eastAsia="Times New Roman" w:hAnsi="Arial" w:cs="Arial"/>
          <w:spacing w:val="-2"/>
          <w:sz w:val="24"/>
          <w:szCs w:val="24"/>
          <w:lang w:val="es-ES_tradnl" w:eastAsia="es-ES"/>
        </w:rPr>
        <w:t xml:space="preserve">En acatamiento de lo señalado en las sentencias C-836 de 2001 y C-621 de 2015 desde ya se deja en evidencia que es conocida la jurisprudencia vigente emanada de la </w:t>
      </w:r>
      <w:r w:rsidRPr="00D6390A">
        <w:rPr>
          <w:rFonts w:ascii="Arial" w:eastAsia="Times New Roman" w:hAnsi="Arial" w:cs="Arial"/>
          <w:iCs/>
          <w:sz w:val="24"/>
          <w:szCs w:val="24"/>
          <w:lang w:val="es-ES_tradnl" w:eastAsia="es-ES"/>
        </w:rPr>
        <w:t xml:space="preserve"> Sala de Casación Laboral contenida en las sentencias </w:t>
      </w:r>
      <w:proofErr w:type="spellStart"/>
      <w:r w:rsidRPr="00D6390A">
        <w:rPr>
          <w:rFonts w:ascii="Arial" w:eastAsia="Times New Roman" w:hAnsi="Arial" w:cs="Arial"/>
          <w:iCs/>
          <w:sz w:val="24"/>
          <w:szCs w:val="24"/>
          <w:lang w:val="es-ES_tradnl" w:eastAsia="es-ES"/>
        </w:rPr>
        <w:t>SL1421</w:t>
      </w:r>
      <w:proofErr w:type="spellEnd"/>
      <w:r w:rsidRPr="00D6390A">
        <w:rPr>
          <w:rFonts w:ascii="Arial" w:eastAsia="Times New Roman" w:hAnsi="Arial" w:cs="Arial"/>
          <w:iCs/>
          <w:sz w:val="24"/>
          <w:szCs w:val="24"/>
          <w:lang w:val="es-ES_tradnl" w:eastAsia="es-ES"/>
        </w:rPr>
        <w:t xml:space="preserve">-2019, </w:t>
      </w:r>
      <w:proofErr w:type="spellStart"/>
      <w:r w:rsidRPr="00D6390A">
        <w:rPr>
          <w:rFonts w:ascii="Arial" w:eastAsia="Times New Roman" w:hAnsi="Arial" w:cs="Arial"/>
          <w:iCs/>
          <w:sz w:val="24"/>
          <w:szCs w:val="24"/>
          <w:lang w:val="es-ES_tradnl" w:eastAsia="es-ES"/>
        </w:rPr>
        <w:t>SL1452</w:t>
      </w:r>
      <w:proofErr w:type="spellEnd"/>
      <w:r w:rsidRPr="00D6390A">
        <w:rPr>
          <w:rFonts w:ascii="Arial" w:eastAsia="Times New Roman" w:hAnsi="Arial" w:cs="Arial"/>
          <w:iCs/>
          <w:sz w:val="24"/>
          <w:szCs w:val="24"/>
          <w:lang w:val="es-ES_tradnl" w:eastAsia="es-ES"/>
        </w:rPr>
        <w:t xml:space="preserve">-2019, </w:t>
      </w:r>
      <w:proofErr w:type="spellStart"/>
      <w:r w:rsidRPr="00D6390A">
        <w:rPr>
          <w:rFonts w:ascii="Arial" w:eastAsia="Times New Roman" w:hAnsi="Arial" w:cs="Arial"/>
          <w:iCs/>
          <w:sz w:val="24"/>
          <w:szCs w:val="24"/>
          <w:lang w:val="es-ES_tradnl" w:eastAsia="es-ES"/>
        </w:rPr>
        <w:t>SL1688</w:t>
      </w:r>
      <w:proofErr w:type="spellEnd"/>
      <w:r w:rsidRPr="00D6390A">
        <w:rPr>
          <w:rFonts w:ascii="Arial" w:eastAsia="Times New Roman" w:hAnsi="Arial" w:cs="Arial"/>
          <w:iCs/>
          <w:sz w:val="24"/>
          <w:szCs w:val="24"/>
          <w:lang w:val="es-ES_tradnl" w:eastAsia="es-ES"/>
        </w:rPr>
        <w:t xml:space="preserve">-2019 y </w:t>
      </w:r>
      <w:proofErr w:type="spellStart"/>
      <w:r w:rsidRPr="00D6390A">
        <w:rPr>
          <w:rFonts w:ascii="Arial" w:eastAsia="Times New Roman" w:hAnsi="Arial" w:cs="Arial"/>
          <w:iCs/>
          <w:sz w:val="24"/>
          <w:szCs w:val="24"/>
          <w:lang w:val="es-ES_tradnl" w:eastAsia="es-ES"/>
        </w:rPr>
        <w:t>SL1689</w:t>
      </w:r>
      <w:proofErr w:type="spellEnd"/>
      <w:r w:rsidRPr="00D6390A">
        <w:rPr>
          <w:rFonts w:ascii="Arial" w:eastAsia="Times New Roman" w:hAnsi="Arial" w:cs="Arial"/>
          <w:iCs/>
          <w:sz w:val="24"/>
          <w:szCs w:val="24"/>
          <w:lang w:val="es-ES_tradnl" w:eastAsia="es-ES"/>
        </w:rPr>
        <w:t>-2019 que se concreta en los siguientes razonamientos:</w:t>
      </w:r>
    </w:p>
    <w:p w14:paraId="1D34B496" w14:textId="77777777" w:rsidR="00D6390A" w:rsidRPr="00D6390A" w:rsidRDefault="00D6390A" w:rsidP="00D6390A">
      <w:pPr>
        <w:suppressAutoHyphens/>
        <w:spacing w:line="276" w:lineRule="auto"/>
        <w:ind w:firstLine="0"/>
        <w:rPr>
          <w:rFonts w:ascii="Arial" w:eastAsia="Times New Roman" w:hAnsi="Arial" w:cs="Arial"/>
          <w:iCs/>
          <w:sz w:val="24"/>
          <w:szCs w:val="24"/>
          <w:lang w:val="es-ES_tradnl" w:eastAsia="es-ES"/>
        </w:rPr>
      </w:pPr>
    </w:p>
    <w:p w14:paraId="0A00ABE6" w14:textId="77777777" w:rsidR="00D6390A" w:rsidRPr="00D6390A" w:rsidRDefault="00D6390A" w:rsidP="00D6390A">
      <w:pPr>
        <w:numPr>
          <w:ilvl w:val="0"/>
          <w:numId w:val="9"/>
        </w:numPr>
        <w:suppressAutoHyphens/>
        <w:spacing w:line="276" w:lineRule="auto"/>
        <w:rPr>
          <w:rFonts w:ascii="Arial" w:eastAsia="Times New Roman" w:hAnsi="Arial" w:cs="Arial"/>
          <w:iCs/>
          <w:sz w:val="24"/>
          <w:szCs w:val="24"/>
          <w:lang w:val="es-ES_tradnl" w:eastAsia="es-ES"/>
        </w:rPr>
      </w:pPr>
      <w:r w:rsidRPr="00D6390A">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56CF3C05" w14:textId="77777777" w:rsidR="00D6390A" w:rsidRPr="00D6390A" w:rsidRDefault="00D6390A" w:rsidP="00D6390A">
      <w:pPr>
        <w:suppressAutoHyphens/>
        <w:spacing w:line="276" w:lineRule="auto"/>
        <w:ind w:left="720" w:firstLine="0"/>
        <w:rPr>
          <w:rFonts w:ascii="Arial" w:eastAsia="Times New Roman" w:hAnsi="Arial" w:cs="Arial"/>
          <w:iCs/>
          <w:sz w:val="24"/>
          <w:szCs w:val="24"/>
          <w:lang w:val="es-ES_tradnl" w:eastAsia="es-ES"/>
        </w:rPr>
      </w:pPr>
    </w:p>
    <w:p w14:paraId="673E5EC3" w14:textId="77777777" w:rsidR="00D6390A" w:rsidRPr="00D6390A" w:rsidRDefault="00D6390A" w:rsidP="00D6390A">
      <w:pPr>
        <w:numPr>
          <w:ilvl w:val="0"/>
          <w:numId w:val="9"/>
        </w:numPr>
        <w:suppressAutoHyphens/>
        <w:spacing w:line="276" w:lineRule="auto"/>
        <w:rPr>
          <w:rFonts w:ascii="Arial" w:eastAsia="Times New Roman" w:hAnsi="Arial" w:cs="Arial"/>
          <w:i/>
          <w:iCs/>
          <w:sz w:val="24"/>
          <w:szCs w:val="24"/>
          <w:lang w:val="es-ES_tradnl" w:eastAsia="es-ES"/>
        </w:rPr>
      </w:pPr>
      <w:r w:rsidRPr="00D6390A">
        <w:rPr>
          <w:rFonts w:ascii="Arial" w:eastAsia="Calibri" w:hAnsi="Arial" w:cs="Arial"/>
          <w:spacing w:val="-4"/>
          <w:sz w:val="24"/>
          <w:szCs w:val="24"/>
          <w:lang w:val="es-CO"/>
        </w:rPr>
        <w:t>El deber de información a cargo de las administradoras de fondos de pensiones es un deber que le es exigible desde la creación de estas entidades</w:t>
      </w:r>
      <w:r w:rsidRPr="00D6390A">
        <w:rPr>
          <w:rFonts w:ascii="Arial" w:eastAsia="Times New Roman" w:hAnsi="Arial" w:cs="Arial"/>
          <w:iCs/>
          <w:sz w:val="24"/>
          <w:szCs w:val="24"/>
          <w:lang w:val="es-ES_tradnl" w:eastAsia="es-ES"/>
        </w:rPr>
        <w:t xml:space="preserve">, básicamente porque </w:t>
      </w:r>
      <w:r w:rsidRPr="00D6390A">
        <w:rPr>
          <w:rFonts w:ascii="Arial" w:eastAsia="Times New Roman" w:hAnsi="Arial" w:cs="Arial"/>
          <w:i/>
          <w:iCs/>
          <w:sz w:val="24"/>
          <w:szCs w:val="24"/>
          <w:lang w:val="es-ES_tradnl" w:eastAsia="es-ES"/>
        </w:rPr>
        <w:t>“</w:t>
      </w:r>
      <w:r w:rsidRPr="00D6390A">
        <w:rPr>
          <w:rFonts w:ascii="Arial" w:eastAsia="Calibri" w:hAnsi="Arial" w:cs="Arial"/>
          <w:i/>
          <w:spacing w:val="-4"/>
          <w:szCs w:val="24"/>
          <w:lang w:val="es-CO"/>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D6390A">
        <w:rPr>
          <w:rFonts w:ascii="Arial" w:eastAsia="Calibri" w:hAnsi="Arial" w:cs="Arial"/>
          <w:i/>
          <w:spacing w:val="-4"/>
          <w:sz w:val="24"/>
          <w:szCs w:val="24"/>
          <w:lang w:val="es-CO"/>
        </w:rPr>
        <w:t xml:space="preserve">”. </w:t>
      </w:r>
      <w:r w:rsidRPr="00D6390A">
        <w:rPr>
          <w:rFonts w:ascii="Arial" w:eastAsia="Calibri" w:hAnsi="Arial" w:cs="Arial"/>
          <w:spacing w:val="-4"/>
          <w:sz w:val="24"/>
          <w:szCs w:val="24"/>
          <w:lang w:val="es-CO"/>
        </w:rPr>
        <w:t>Deber cuyo nivel de exigencia se elevó con la expedición</w:t>
      </w:r>
      <w:r w:rsidRPr="00D6390A">
        <w:rPr>
          <w:rFonts w:ascii="Arial" w:eastAsia="Calibri" w:hAnsi="Arial" w:cs="Arial"/>
          <w:sz w:val="24"/>
          <w:szCs w:val="24"/>
          <w:lang w:val="es-ES_tradnl"/>
        </w:rPr>
        <w:t xml:space="preserve"> de la Ley 1328 de 2009 y el Decreto 2241 de 2010, en la medida que </w:t>
      </w:r>
      <w:r w:rsidRPr="00D6390A">
        <w:rPr>
          <w:rFonts w:ascii="Arial" w:eastAsia="Calibri" w:hAnsi="Arial" w:cs="Arial"/>
          <w:i/>
          <w:spacing w:val="-4"/>
          <w:sz w:val="24"/>
          <w:szCs w:val="24"/>
          <w:lang w:val="es-CO"/>
        </w:rPr>
        <w:t>“</w:t>
      </w:r>
      <w:r w:rsidRPr="00D6390A">
        <w:rPr>
          <w:rFonts w:ascii="Arial" w:eastAsia="Calibri" w:hAnsi="Arial" w:cs="Arial"/>
          <w:i/>
          <w:spacing w:val="-4"/>
          <w:szCs w:val="24"/>
          <w:lang w:val="es-CO"/>
        </w:rPr>
        <w:t>ya no basta con dar a conocer con claridad las distintas opciones de mercado, con sus características, condiciones, riesgos y consecuencias, sino que, adicionalmente, implica un mandato de dar asesoría y buen consejo</w:t>
      </w:r>
      <w:r w:rsidRPr="00D6390A">
        <w:rPr>
          <w:rFonts w:ascii="Arial" w:eastAsia="Calibri" w:hAnsi="Arial" w:cs="Arial"/>
          <w:i/>
          <w:spacing w:val="-4"/>
          <w:sz w:val="24"/>
          <w:szCs w:val="24"/>
          <w:lang w:val="es-CO"/>
        </w:rPr>
        <w:t xml:space="preserve">”, </w:t>
      </w:r>
      <w:r w:rsidRPr="00D6390A">
        <w:rPr>
          <w:rFonts w:ascii="Arial" w:eastAsia="Calibri" w:hAnsi="Arial" w:cs="Arial"/>
          <w:spacing w:val="-4"/>
          <w:sz w:val="24"/>
          <w:szCs w:val="24"/>
          <w:lang w:val="es-CO"/>
        </w:rPr>
        <w:t>llegando incluso</w:t>
      </w:r>
      <w:r w:rsidRPr="00D6390A">
        <w:rPr>
          <w:rFonts w:ascii="Arial" w:eastAsia="Times New Roman" w:hAnsi="Arial" w:cs="Arial"/>
          <w:iCs/>
          <w:sz w:val="24"/>
          <w:szCs w:val="24"/>
          <w:lang w:val="es-ES_tradnl" w:eastAsia="es-ES"/>
        </w:rPr>
        <w:t xml:space="preserve"> a la exigencia de la doble asesoría prevista en </w:t>
      </w:r>
      <w:r w:rsidRPr="00D6390A">
        <w:rPr>
          <w:rFonts w:ascii="Arial" w:eastAsia="Calibri" w:hAnsi="Arial" w:cs="Arial"/>
          <w:sz w:val="24"/>
          <w:szCs w:val="24"/>
          <w:lang w:val="es-ES_tradnl"/>
        </w:rPr>
        <w:t>la Ley 1748 de 2014, el Decreto 2071 de 2015 y la Circular Externa n.° 016 de 2016.</w:t>
      </w:r>
      <w:r w:rsidRPr="00D6390A">
        <w:rPr>
          <w:rFonts w:ascii="Arial" w:eastAsia="Times New Roman" w:hAnsi="Arial" w:cs="Arial"/>
          <w:i/>
          <w:iCs/>
          <w:sz w:val="24"/>
          <w:szCs w:val="24"/>
          <w:lang w:val="es-ES_tradnl" w:eastAsia="es-ES"/>
        </w:rPr>
        <w:t xml:space="preserve"> </w:t>
      </w:r>
    </w:p>
    <w:p w14:paraId="5EC63B99" w14:textId="77777777" w:rsidR="00D6390A" w:rsidRPr="00D6390A" w:rsidRDefault="00D6390A" w:rsidP="00D6390A">
      <w:pPr>
        <w:suppressAutoHyphens/>
        <w:spacing w:line="276" w:lineRule="auto"/>
        <w:ind w:firstLine="0"/>
        <w:rPr>
          <w:rFonts w:ascii="Arial" w:eastAsia="Times New Roman" w:hAnsi="Arial" w:cs="Arial"/>
          <w:i/>
          <w:iCs/>
          <w:sz w:val="24"/>
          <w:szCs w:val="24"/>
          <w:lang w:val="es-ES_tradnl" w:eastAsia="es-ES"/>
        </w:rPr>
      </w:pPr>
    </w:p>
    <w:p w14:paraId="75E957D6" w14:textId="77777777" w:rsidR="00D6390A" w:rsidRPr="00D6390A" w:rsidRDefault="00D6390A" w:rsidP="00D6390A">
      <w:pPr>
        <w:numPr>
          <w:ilvl w:val="0"/>
          <w:numId w:val="9"/>
        </w:numPr>
        <w:suppressAutoHyphens/>
        <w:spacing w:line="276" w:lineRule="auto"/>
        <w:rPr>
          <w:rFonts w:ascii="Arial" w:eastAsia="Times New Roman" w:hAnsi="Arial" w:cs="Arial"/>
          <w:i/>
          <w:iCs/>
          <w:sz w:val="24"/>
          <w:szCs w:val="24"/>
          <w:lang w:val="es-ES_tradnl" w:eastAsia="es-ES"/>
        </w:rPr>
      </w:pPr>
      <w:r w:rsidRPr="00D6390A">
        <w:rPr>
          <w:rFonts w:ascii="Arial" w:eastAsia="Calibri" w:hAnsi="Arial" w:cs="Arial"/>
          <w:spacing w:val="-4"/>
          <w:sz w:val="24"/>
          <w:szCs w:val="24"/>
          <w:lang w:val="es-CO"/>
        </w:rPr>
        <w:t>El simple consentimiento vertido en el formulario de afiliación es insuficiente para darle eficacia al acto del traslado, pues ello solo no da cuenta de que haya sido, como se requiere en estos eventos, un “consentimiento informado”.</w:t>
      </w:r>
    </w:p>
    <w:p w14:paraId="13DBA53B" w14:textId="77777777" w:rsidR="00D6390A" w:rsidRPr="00D6390A" w:rsidRDefault="00D6390A" w:rsidP="00D6390A">
      <w:pPr>
        <w:suppressAutoHyphens/>
        <w:spacing w:line="276" w:lineRule="auto"/>
        <w:ind w:firstLine="0"/>
        <w:rPr>
          <w:rFonts w:ascii="Arial" w:eastAsia="Times New Roman" w:hAnsi="Arial" w:cs="Arial"/>
          <w:i/>
          <w:iCs/>
          <w:sz w:val="24"/>
          <w:szCs w:val="24"/>
          <w:lang w:val="es-ES_tradnl" w:eastAsia="es-ES"/>
        </w:rPr>
      </w:pPr>
    </w:p>
    <w:p w14:paraId="6C5E7EE7" w14:textId="77777777" w:rsidR="00D6390A" w:rsidRPr="00D6390A" w:rsidRDefault="00D6390A" w:rsidP="00D6390A">
      <w:pPr>
        <w:numPr>
          <w:ilvl w:val="0"/>
          <w:numId w:val="9"/>
        </w:numPr>
        <w:suppressAutoHyphens/>
        <w:spacing w:line="276" w:lineRule="auto"/>
        <w:rPr>
          <w:rFonts w:ascii="Arial" w:eastAsia="Times New Roman" w:hAnsi="Arial" w:cs="Arial"/>
          <w:i/>
          <w:iCs/>
          <w:sz w:val="24"/>
          <w:szCs w:val="24"/>
          <w:lang w:val="es-ES_tradnl" w:eastAsia="es-ES"/>
        </w:rPr>
      </w:pPr>
      <w:r w:rsidRPr="00D6390A">
        <w:rPr>
          <w:rFonts w:ascii="Arial" w:eastAsia="Calibri" w:hAnsi="Arial" w:cs="Arial"/>
          <w:spacing w:val="-4"/>
          <w:sz w:val="24"/>
          <w:szCs w:val="24"/>
          <w:lang w:val="es-CO"/>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00376626" w14:textId="77777777" w:rsidR="00D6390A" w:rsidRPr="00D6390A" w:rsidRDefault="00D6390A" w:rsidP="00D6390A">
      <w:pPr>
        <w:suppressAutoHyphens/>
        <w:spacing w:line="276" w:lineRule="auto"/>
        <w:ind w:firstLine="0"/>
        <w:rPr>
          <w:rFonts w:ascii="Arial" w:eastAsia="Times New Roman" w:hAnsi="Arial" w:cs="Arial"/>
          <w:i/>
          <w:iCs/>
          <w:sz w:val="24"/>
          <w:szCs w:val="24"/>
          <w:lang w:val="es-ES_tradnl" w:eastAsia="es-ES"/>
        </w:rPr>
      </w:pPr>
    </w:p>
    <w:p w14:paraId="68566797" w14:textId="77777777" w:rsidR="00D6390A" w:rsidRPr="00D6390A" w:rsidRDefault="00D6390A" w:rsidP="00D6390A">
      <w:pPr>
        <w:numPr>
          <w:ilvl w:val="0"/>
          <w:numId w:val="9"/>
        </w:numPr>
        <w:suppressAutoHyphens/>
        <w:spacing w:line="276" w:lineRule="auto"/>
        <w:rPr>
          <w:rFonts w:ascii="Arial" w:eastAsia="Calibri" w:hAnsi="Arial" w:cs="Arial"/>
          <w:spacing w:val="-4"/>
          <w:sz w:val="24"/>
          <w:szCs w:val="24"/>
        </w:rPr>
      </w:pPr>
      <w:r w:rsidRPr="00D6390A">
        <w:rPr>
          <w:rFonts w:ascii="Arial" w:eastAsia="Calibri" w:hAnsi="Arial" w:cs="Arial"/>
          <w:spacing w:val="-4"/>
          <w:sz w:val="24"/>
          <w:szCs w:val="24"/>
          <w:lang w:val="es-CO"/>
        </w:rPr>
        <w:t xml:space="preserve">Acreditada la falta de consentimiento informado corresponde declarar la ineficacia del traslado y como consecuencia de ello </w:t>
      </w:r>
      <w:r w:rsidRPr="00D6390A">
        <w:rPr>
          <w:rFonts w:ascii="Arial" w:eastAsia="Calibri" w:hAnsi="Arial" w:cs="Arial"/>
          <w:spacing w:val="-4"/>
          <w:sz w:val="24"/>
          <w:szCs w:val="24"/>
        </w:rPr>
        <w:t xml:space="preserve">entonces, para efectos de la concreción de los derechos pensionales reclamados, se debe imponer la obligación de la AFP de trasladar a Colpensiones </w:t>
      </w:r>
      <w:r w:rsidRPr="00D6390A">
        <w:rPr>
          <w:rFonts w:ascii="Arial" w:eastAsia="Calibri" w:hAnsi="Arial" w:cs="Arial"/>
          <w:sz w:val="24"/>
          <w:szCs w:val="24"/>
          <w:lang w:val="es-CO"/>
        </w:rPr>
        <w:t>los valores correspondientes a las cotizaciones, rendimientos financieros y gastos de administración, pertenecientes a la cuenta de quien demanda</w:t>
      </w:r>
      <w:r w:rsidRPr="00D6390A">
        <w:rPr>
          <w:rFonts w:ascii="Arial" w:eastAsia="Calibri" w:hAnsi="Arial" w:cs="Arial"/>
          <w:color w:val="000000"/>
          <w:sz w:val="24"/>
          <w:szCs w:val="24"/>
          <w:lang w:val="es-CO"/>
        </w:rPr>
        <w:t xml:space="preserve"> </w:t>
      </w:r>
      <w:r w:rsidRPr="00D6390A">
        <w:rPr>
          <w:rFonts w:ascii="Arial" w:eastAsia="Calibri" w:hAnsi="Arial" w:cs="Arial"/>
          <w:spacing w:val="-4"/>
          <w:sz w:val="24"/>
          <w:szCs w:val="24"/>
        </w:rPr>
        <w:t>para que sea esta entidad la que proceda a reconocer la pensión con base en las disposiciones que guían el RPM.</w:t>
      </w:r>
    </w:p>
    <w:p w14:paraId="55D0F701" w14:textId="77777777" w:rsidR="00D6390A" w:rsidRPr="00D6390A" w:rsidRDefault="00D6390A" w:rsidP="00D6390A">
      <w:pPr>
        <w:suppressAutoHyphens/>
        <w:spacing w:line="276" w:lineRule="auto"/>
        <w:ind w:left="720" w:firstLine="0"/>
        <w:rPr>
          <w:rFonts w:ascii="Arial" w:eastAsia="Times New Roman" w:hAnsi="Arial" w:cs="Arial"/>
          <w:spacing w:val="-2"/>
          <w:sz w:val="24"/>
          <w:szCs w:val="24"/>
          <w:lang w:eastAsia="es-ES"/>
        </w:rPr>
      </w:pPr>
      <w:r w:rsidRPr="00D6390A">
        <w:rPr>
          <w:rFonts w:ascii="Arial" w:eastAsia="Calibri" w:hAnsi="Arial" w:cs="Arial"/>
          <w:spacing w:val="-4"/>
          <w:sz w:val="24"/>
          <w:szCs w:val="24"/>
          <w:lang w:val="es-CO"/>
        </w:rPr>
        <w:t xml:space="preserve"> </w:t>
      </w:r>
    </w:p>
    <w:p w14:paraId="4CA0BFD9" w14:textId="77777777" w:rsidR="00D6390A" w:rsidRPr="00D6390A" w:rsidRDefault="00D6390A" w:rsidP="00D6390A">
      <w:pPr>
        <w:numPr>
          <w:ilvl w:val="0"/>
          <w:numId w:val="11"/>
        </w:numPr>
        <w:suppressAutoHyphens/>
        <w:spacing w:line="276" w:lineRule="auto"/>
        <w:ind w:left="567" w:hanging="567"/>
        <w:rPr>
          <w:rFonts w:ascii="Arial" w:eastAsia="Times New Roman" w:hAnsi="Arial" w:cs="Arial"/>
          <w:b/>
          <w:spacing w:val="-2"/>
          <w:sz w:val="24"/>
          <w:szCs w:val="24"/>
          <w:lang w:eastAsia="es-ES"/>
        </w:rPr>
      </w:pPr>
      <w:r w:rsidRPr="00D6390A">
        <w:rPr>
          <w:rFonts w:ascii="Arial" w:eastAsia="Times New Roman" w:hAnsi="Arial" w:cs="Arial"/>
          <w:b/>
          <w:spacing w:val="-2"/>
          <w:sz w:val="24"/>
          <w:szCs w:val="24"/>
          <w:lang w:eastAsia="es-ES"/>
        </w:rPr>
        <w:lastRenderedPageBreak/>
        <w:t>CONTENIDO DE LOS ARTÍCULOS 13 LITERAL b) y 271 DE LA LEY 100 DE 1993</w:t>
      </w:r>
    </w:p>
    <w:p w14:paraId="4DECC38B"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eastAsia="es-ES"/>
        </w:rPr>
      </w:pPr>
    </w:p>
    <w:p w14:paraId="0F1691ED"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eastAsia="es-ES"/>
        </w:rPr>
      </w:pPr>
      <w:r w:rsidRPr="00D6390A">
        <w:rPr>
          <w:rFonts w:ascii="Arial" w:eastAsia="Times New Roman" w:hAnsi="Arial" w:cs="Arial"/>
          <w:spacing w:val="-2"/>
          <w:sz w:val="24"/>
          <w:szCs w:val="24"/>
          <w:lang w:eastAsia="es-ES"/>
        </w:rPr>
        <w:t>De conformidad con el literal b) del artículo 13 de la ley 100 de 199</w:t>
      </w:r>
      <w:r w:rsidRPr="00D6390A">
        <w:rPr>
          <w:rFonts w:ascii="Arial" w:eastAsia="Times New Roman" w:hAnsi="Arial" w:cs="Arial"/>
          <w:b/>
          <w:spacing w:val="-2"/>
          <w:sz w:val="24"/>
          <w:szCs w:val="24"/>
          <w:lang w:eastAsia="es-ES"/>
        </w:rPr>
        <w:t xml:space="preserve">3, </w:t>
      </w:r>
      <w:r w:rsidRPr="00D6390A">
        <w:rPr>
          <w:rFonts w:ascii="Arial" w:eastAsia="Times New Roman" w:hAnsi="Arial" w:cs="Arial"/>
          <w:spacing w:val="-2"/>
          <w:sz w:val="24"/>
          <w:szCs w:val="24"/>
          <w:lang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14:paraId="6FE8F02F"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eastAsia="es-ES"/>
        </w:rPr>
      </w:pPr>
    </w:p>
    <w:p w14:paraId="56533907" w14:textId="77777777" w:rsidR="00D6390A" w:rsidRPr="00D6390A" w:rsidRDefault="00D6390A" w:rsidP="00D6390A">
      <w:pPr>
        <w:numPr>
          <w:ilvl w:val="0"/>
          <w:numId w:val="10"/>
        </w:numPr>
        <w:suppressAutoHyphens/>
        <w:spacing w:line="276" w:lineRule="auto"/>
        <w:rPr>
          <w:rFonts w:ascii="Arial" w:eastAsia="Times New Roman" w:hAnsi="Arial" w:cs="Arial"/>
          <w:spacing w:val="-2"/>
          <w:sz w:val="24"/>
          <w:szCs w:val="24"/>
          <w:lang w:val="es-ES_tradnl" w:eastAsia="es-ES"/>
        </w:rPr>
      </w:pPr>
      <w:r w:rsidRPr="00D6390A">
        <w:rPr>
          <w:rFonts w:ascii="Arial" w:eastAsia="Times New Roman" w:hAnsi="Arial" w:cs="Arial"/>
          <w:spacing w:val="-2"/>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51BFA86B" w14:textId="77777777" w:rsidR="00D6390A" w:rsidRPr="00D6390A" w:rsidRDefault="00D6390A" w:rsidP="00D6390A">
      <w:pPr>
        <w:suppressAutoHyphens/>
        <w:spacing w:line="276" w:lineRule="auto"/>
        <w:ind w:left="360" w:firstLine="0"/>
        <w:rPr>
          <w:rFonts w:ascii="Arial" w:eastAsia="Times New Roman" w:hAnsi="Arial" w:cs="Arial"/>
          <w:spacing w:val="-2"/>
          <w:sz w:val="24"/>
          <w:szCs w:val="24"/>
          <w:lang w:val="es-ES_tradnl" w:eastAsia="es-ES"/>
        </w:rPr>
      </w:pPr>
    </w:p>
    <w:p w14:paraId="40ACF9C5" w14:textId="77777777" w:rsidR="00D6390A" w:rsidRPr="00D6390A" w:rsidRDefault="00D6390A" w:rsidP="00D6390A">
      <w:pPr>
        <w:numPr>
          <w:ilvl w:val="0"/>
          <w:numId w:val="10"/>
        </w:numPr>
        <w:suppressAutoHyphens/>
        <w:spacing w:line="276" w:lineRule="auto"/>
        <w:rPr>
          <w:rFonts w:ascii="Arial" w:eastAsia="Times New Roman" w:hAnsi="Arial" w:cs="Arial"/>
          <w:spacing w:val="-2"/>
          <w:sz w:val="24"/>
          <w:szCs w:val="24"/>
          <w:lang w:val="es-ES_tradnl" w:eastAsia="es-ES"/>
        </w:rPr>
      </w:pPr>
      <w:r w:rsidRPr="00D6390A">
        <w:rPr>
          <w:rFonts w:ascii="Arial" w:eastAsia="Times New Roman" w:hAnsi="Arial" w:cs="Arial"/>
          <w:spacing w:val="-2"/>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46F6DFCB" w14:textId="77777777" w:rsidR="00D6390A" w:rsidRPr="00D6390A" w:rsidRDefault="00D6390A" w:rsidP="00D6390A">
      <w:pPr>
        <w:suppressAutoHyphens/>
        <w:spacing w:line="276" w:lineRule="auto"/>
        <w:ind w:left="360" w:firstLine="0"/>
        <w:rPr>
          <w:rFonts w:ascii="Arial" w:eastAsia="Times New Roman" w:hAnsi="Arial" w:cs="Arial"/>
          <w:spacing w:val="-2"/>
          <w:sz w:val="24"/>
          <w:szCs w:val="24"/>
          <w:lang w:val="es-ES_tradnl" w:eastAsia="es-ES"/>
        </w:rPr>
      </w:pPr>
    </w:p>
    <w:p w14:paraId="07F457CD" w14:textId="77777777" w:rsidR="00D6390A" w:rsidRPr="00D6390A" w:rsidRDefault="00D6390A" w:rsidP="00D6390A">
      <w:pPr>
        <w:numPr>
          <w:ilvl w:val="0"/>
          <w:numId w:val="10"/>
        </w:numPr>
        <w:suppressAutoHyphens/>
        <w:spacing w:line="276" w:lineRule="auto"/>
        <w:rPr>
          <w:rFonts w:ascii="Arial" w:eastAsia="Times New Roman" w:hAnsi="Arial" w:cs="Arial"/>
          <w:b/>
          <w:bCs/>
          <w:spacing w:val="-2"/>
          <w:sz w:val="24"/>
          <w:szCs w:val="24"/>
          <w:lang w:eastAsia="es-ES"/>
        </w:rPr>
      </w:pPr>
      <w:r w:rsidRPr="00D6390A">
        <w:rPr>
          <w:rFonts w:ascii="Arial" w:eastAsia="Times New Roman" w:hAnsi="Arial" w:cs="Arial"/>
          <w:b/>
          <w:bCs/>
          <w:spacing w:val="-2"/>
          <w:sz w:val="24"/>
          <w:szCs w:val="24"/>
          <w:lang w:eastAsia="es-ES"/>
        </w:rPr>
        <w:t xml:space="preserve">La sanción es una multa por un valor entre uno y 50 </w:t>
      </w:r>
      <w:proofErr w:type="spellStart"/>
      <w:r w:rsidRPr="00D6390A">
        <w:rPr>
          <w:rFonts w:ascii="Arial" w:eastAsia="Times New Roman" w:hAnsi="Arial" w:cs="Arial"/>
          <w:b/>
          <w:bCs/>
          <w:spacing w:val="-2"/>
          <w:sz w:val="24"/>
          <w:szCs w:val="24"/>
          <w:lang w:eastAsia="es-ES"/>
        </w:rPr>
        <w:t>SMLMV</w:t>
      </w:r>
      <w:proofErr w:type="spellEnd"/>
      <w:r w:rsidRPr="00D6390A">
        <w:rPr>
          <w:rFonts w:ascii="Arial" w:eastAsia="Times New Roman" w:hAnsi="Arial" w:cs="Arial"/>
          <w:b/>
          <w:bCs/>
          <w:spacing w:val="-2"/>
          <w:sz w:val="24"/>
          <w:szCs w:val="24"/>
          <w:lang w:eastAsia="es-ES"/>
        </w:rPr>
        <w:t>.</w:t>
      </w:r>
    </w:p>
    <w:p w14:paraId="43D8F9E9" w14:textId="77777777" w:rsidR="00D6390A" w:rsidRPr="00D6390A" w:rsidRDefault="00D6390A" w:rsidP="00D6390A">
      <w:pPr>
        <w:suppressAutoHyphens/>
        <w:spacing w:line="276" w:lineRule="auto"/>
        <w:ind w:firstLine="0"/>
        <w:rPr>
          <w:rFonts w:ascii="Arial" w:eastAsia="Times New Roman" w:hAnsi="Arial" w:cs="Arial"/>
          <w:b/>
          <w:bCs/>
          <w:spacing w:val="-2"/>
          <w:sz w:val="24"/>
          <w:szCs w:val="24"/>
          <w:lang w:eastAsia="es-ES"/>
        </w:rPr>
      </w:pPr>
    </w:p>
    <w:p w14:paraId="75F84073" w14:textId="77777777" w:rsidR="00D6390A" w:rsidRPr="00D6390A" w:rsidRDefault="00D6390A" w:rsidP="00D6390A">
      <w:pPr>
        <w:numPr>
          <w:ilvl w:val="0"/>
          <w:numId w:val="10"/>
        </w:numPr>
        <w:suppressAutoHyphens/>
        <w:spacing w:line="276" w:lineRule="auto"/>
        <w:rPr>
          <w:rFonts w:ascii="Arial" w:eastAsia="Times New Roman" w:hAnsi="Arial" w:cs="Arial"/>
          <w:b/>
          <w:bCs/>
          <w:spacing w:val="-2"/>
          <w:sz w:val="24"/>
          <w:szCs w:val="24"/>
          <w:lang w:eastAsia="es-ES"/>
        </w:rPr>
      </w:pPr>
      <w:r w:rsidRPr="00D6390A">
        <w:rPr>
          <w:rFonts w:ascii="Arial" w:eastAsia="Times New Roman" w:hAnsi="Arial" w:cs="Arial"/>
          <w:b/>
          <w:bCs/>
          <w:spacing w:val="-2"/>
          <w:sz w:val="24"/>
          <w:szCs w:val="24"/>
          <w:lang w:eastAsia="es-ES"/>
        </w:rPr>
        <w:t>El funcionario competente para imponerla es el Ministerio del Trabajo y Seguridad Social o el Ministerio de Salud.</w:t>
      </w:r>
    </w:p>
    <w:p w14:paraId="4FCD6FB1" w14:textId="77777777" w:rsidR="00D6390A" w:rsidRPr="00D6390A" w:rsidRDefault="00D6390A" w:rsidP="00D6390A">
      <w:pPr>
        <w:suppressAutoHyphens/>
        <w:spacing w:line="276" w:lineRule="auto"/>
        <w:ind w:firstLine="0"/>
        <w:rPr>
          <w:rFonts w:ascii="Arial" w:eastAsia="Times New Roman" w:hAnsi="Arial" w:cs="Arial"/>
          <w:b/>
          <w:bCs/>
          <w:spacing w:val="-2"/>
          <w:sz w:val="24"/>
          <w:szCs w:val="24"/>
          <w:lang w:eastAsia="es-ES"/>
        </w:rPr>
      </w:pPr>
    </w:p>
    <w:p w14:paraId="1742B325" w14:textId="77777777" w:rsidR="00D6390A" w:rsidRPr="00D6390A" w:rsidRDefault="00D6390A" w:rsidP="00D6390A">
      <w:pPr>
        <w:numPr>
          <w:ilvl w:val="0"/>
          <w:numId w:val="10"/>
        </w:numPr>
        <w:suppressAutoHyphens/>
        <w:spacing w:line="276" w:lineRule="auto"/>
        <w:rPr>
          <w:rFonts w:ascii="Arial" w:eastAsia="Times New Roman" w:hAnsi="Arial" w:cs="Arial"/>
          <w:b/>
          <w:bCs/>
          <w:spacing w:val="-2"/>
          <w:sz w:val="24"/>
          <w:szCs w:val="24"/>
          <w:lang w:eastAsia="es-ES"/>
        </w:rPr>
      </w:pPr>
      <w:r w:rsidRPr="00D6390A">
        <w:rPr>
          <w:rFonts w:ascii="Arial" w:eastAsia="Times New Roman" w:hAnsi="Arial" w:cs="Arial"/>
          <w:b/>
          <w:bCs/>
          <w:spacing w:val="-2"/>
          <w:sz w:val="24"/>
          <w:szCs w:val="24"/>
          <w:lang w:eastAsia="es-ES"/>
        </w:rPr>
        <w:t>Una vez impuesta la sanción por el funcionario competente la afiliación respectiva podrá realizarse nuevamente en forma libre y espontánea.</w:t>
      </w:r>
    </w:p>
    <w:p w14:paraId="74DF3DBF"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p>
    <w:p w14:paraId="3350C824" w14:textId="77777777" w:rsidR="00D6390A" w:rsidRPr="00D6390A" w:rsidRDefault="00D6390A" w:rsidP="00D6390A">
      <w:pPr>
        <w:numPr>
          <w:ilvl w:val="0"/>
          <w:numId w:val="11"/>
        </w:numPr>
        <w:suppressAutoHyphens/>
        <w:spacing w:line="276" w:lineRule="auto"/>
        <w:ind w:left="426" w:hanging="426"/>
        <w:rPr>
          <w:rFonts w:ascii="Arial" w:eastAsia="Times New Roman" w:hAnsi="Arial" w:cs="Arial"/>
          <w:b/>
          <w:spacing w:val="-2"/>
          <w:sz w:val="24"/>
          <w:szCs w:val="24"/>
          <w:lang w:val="es-ES_tradnl" w:eastAsia="es-ES"/>
        </w:rPr>
      </w:pPr>
      <w:r w:rsidRPr="00D6390A">
        <w:rPr>
          <w:rFonts w:ascii="Arial" w:eastAsia="Times New Roman" w:hAnsi="Arial" w:cs="Arial"/>
          <w:b/>
          <w:spacing w:val="-2"/>
          <w:sz w:val="24"/>
          <w:szCs w:val="24"/>
          <w:lang w:val="es-ES_tradnl" w:eastAsia="es-ES"/>
        </w:rPr>
        <w:t>OBSERVACIONES SOBRE EL CONTENIDO DEL ARTÍCULO 271 DE LA LEY 100 DE 1993 Y LA APLICACIÓN QUE VIENE DÁNDOLE LA CORTE SUPREMA.</w:t>
      </w:r>
    </w:p>
    <w:p w14:paraId="3D1ADB61"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p>
    <w:p w14:paraId="4A5EEAF5"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r w:rsidRPr="00D6390A">
        <w:rPr>
          <w:rFonts w:ascii="Arial" w:eastAsia="Times New Roman" w:hAnsi="Arial" w:cs="Arial"/>
          <w:spacing w:val="-2"/>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D6390A">
        <w:rPr>
          <w:rFonts w:ascii="Arial" w:eastAsia="Times New Roman" w:hAnsi="Arial" w:cs="Arial"/>
          <w:b/>
          <w:spacing w:val="-2"/>
          <w:sz w:val="24"/>
          <w:szCs w:val="24"/>
          <w:lang w:val="es-ES_tradnl" w:eastAsia="es-ES"/>
        </w:rPr>
        <w:t xml:space="preserve"> “</w:t>
      </w:r>
      <w:r w:rsidRPr="00D6390A">
        <w:rPr>
          <w:rFonts w:ascii="Arial" w:eastAsia="Times New Roman" w:hAnsi="Arial" w:cs="Arial"/>
          <w:b/>
          <w:spacing w:val="-2"/>
          <w:szCs w:val="24"/>
          <w:lang w:val="es-ES_tradnl" w:eastAsia="es-ES"/>
        </w:rPr>
        <w:t>En la interpretación de leyes prohibitivas no deben buscarse analogías o razones para hacerlas extensivas a casos no comprendidos claramente en la prohibición</w:t>
      </w:r>
      <w:r w:rsidRPr="00D6390A">
        <w:rPr>
          <w:rFonts w:ascii="Arial" w:eastAsia="Times New Roman" w:hAnsi="Arial" w:cs="Arial"/>
          <w:b/>
          <w:spacing w:val="-2"/>
          <w:sz w:val="24"/>
          <w:szCs w:val="24"/>
          <w:lang w:val="es-ES_tradnl" w:eastAsia="es-ES"/>
        </w:rPr>
        <w:t>”, t</w:t>
      </w:r>
      <w:r w:rsidRPr="00D6390A">
        <w:rPr>
          <w:rFonts w:ascii="Arial" w:eastAsia="Times New Roman" w:hAnsi="Arial" w:cs="Arial"/>
          <w:spacing w:val="-2"/>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D6390A">
        <w:rPr>
          <w:rFonts w:ascii="Arial" w:eastAsia="Times New Roman" w:hAnsi="Arial" w:cs="Arial"/>
          <w:b/>
          <w:spacing w:val="-2"/>
          <w:sz w:val="24"/>
          <w:szCs w:val="24"/>
          <w:lang w:val="es-ES_tradnl" w:eastAsia="es-ES"/>
        </w:rPr>
        <w:t>“Sanciones al empleador”</w:t>
      </w:r>
      <w:r w:rsidRPr="00D6390A">
        <w:rPr>
          <w:rFonts w:ascii="Arial" w:eastAsia="Times New Roman" w:hAnsi="Arial" w:cs="Arial"/>
          <w:spacing w:val="-2"/>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D6390A">
        <w:rPr>
          <w:rFonts w:ascii="Arial" w:eastAsia="Times New Roman" w:hAnsi="Arial" w:cs="Arial"/>
          <w:spacing w:val="-2"/>
          <w:sz w:val="24"/>
          <w:szCs w:val="24"/>
          <w:lang w:val="es-ES_tradnl" w:eastAsia="es-ES"/>
        </w:rPr>
        <w:t>RAIS</w:t>
      </w:r>
      <w:proofErr w:type="spellEnd"/>
      <w:r w:rsidRPr="00D6390A">
        <w:rPr>
          <w:rFonts w:ascii="Arial" w:eastAsia="Times New Roman" w:hAnsi="Arial" w:cs="Arial"/>
          <w:spacing w:val="-2"/>
          <w:sz w:val="24"/>
          <w:szCs w:val="24"/>
          <w:lang w:val="es-ES_tradnl" w:eastAsia="es-ES"/>
        </w:rPr>
        <w:t xml:space="preserve"> que les conciernen en desarrollo de su objeto social, pues para tales efectos hay legislación específica que adelante se resaltará.</w:t>
      </w:r>
    </w:p>
    <w:p w14:paraId="3668A739"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p>
    <w:p w14:paraId="67E416F6"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r w:rsidRPr="00D6390A">
        <w:rPr>
          <w:rFonts w:ascii="Arial" w:eastAsia="Times New Roman" w:hAnsi="Arial" w:cs="Arial"/>
          <w:spacing w:val="-2"/>
          <w:sz w:val="24"/>
          <w:szCs w:val="24"/>
          <w:lang w:val="es-ES_tradnl" w:eastAsia="es-ES"/>
        </w:rPr>
        <w:lastRenderedPageBreak/>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3451D2BB"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p>
    <w:p w14:paraId="420E10F9" w14:textId="77777777" w:rsidR="00D6390A" w:rsidRPr="00D6390A" w:rsidRDefault="00D6390A" w:rsidP="00D6390A">
      <w:pPr>
        <w:suppressAutoHyphens/>
        <w:spacing w:line="276" w:lineRule="auto"/>
        <w:ind w:firstLine="0"/>
        <w:rPr>
          <w:rFonts w:ascii="Arial" w:eastAsia="Times New Roman" w:hAnsi="Arial" w:cs="Arial"/>
          <w:b/>
          <w:spacing w:val="-2"/>
          <w:sz w:val="24"/>
          <w:szCs w:val="24"/>
          <w:lang w:val="es-ES_tradnl" w:eastAsia="es-ES"/>
        </w:rPr>
      </w:pPr>
      <w:r w:rsidRPr="00D6390A">
        <w:rPr>
          <w:rFonts w:ascii="Arial" w:eastAsia="Times New Roman" w:hAnsi="Arial" w:cs="Arial"/>
          <w:spacing w:val="-2"/>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D6390A">
        <w:rPr>
          <w:rFonts w:ascii="Arial" w:eastAsia="Times New Roman" w:hAnsi="Arial" w:cs="Arial"/>
          <w:b/>
          <w:spacing w:val="-2"/>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30ADED69" w14:textId="77777777" w:rsidR="00D6390A" w:rsidRPr="00D6390A" w:rsidRDefault="00D6390A" w:rsidP="00D6390A">
      <w:pPr>
        <w:suppressAutoHyphens/>
        <w:spacing w:line="276" w:lineRule="auto"/>
        <w:ind w:firstLine="0"/>
        <w:rPr>
          <w:rFonts w:ascii="Arial" w:eastAsia="Times New Roman" w:hAnsi="Arial" w:cs="Arial"/>
          <w:b/>
          <w:spacing w:val="-2"/>
          <w:sz w:val="24"/>
          <w:szCs w:val="24"/>
          <w:lang w:val="es-ES_tradnl" w:eastAsia="es-ES"/>
        </w:rPr>
      </w:pPr>
    </w:p>
    <w:p w14:paraId="1B799D87" w14:textId="77777777" w:rsidR="00D6390A" w:rsidRPr="00D6390A" w:rsidRDefault="00D6390A" w:rsidP="00D6390A">
      <w:pPr>
        <w:suppressAutoHyphens/>
        <w:spacing w:line="276" w:lineRule="auto"/>
        <w:ind w:firstLine="0"/>
        <w:rPr>
          <w:rFonts w:ascii="Arial" w:eastAsia="Times New Roman" w:hAnsi="Arial" w:cs="Arial"/>
          <w:b/>
          <w:bCs/>
          <w:spacing w:val="-2"/>
          <w:sz w:val="24"/>
          <w:szCs w:val="24"/>
          <w:lang w:eastAsia="es-ES"/>
        </w:rPr>
      </w:pPr>
      <w:r w:rsidRPr="00D6390A">
        <w:rPr>
          <w:rFonts w:ascii="Arial" w:eastAsia="Times New Roman" w:hAnsi="Arial" w:cs="Arial"/>
          <w:b/>
          <w:bCs/>
          <w:spacing w:val="-2"/>
          <w:sz w:val="24"/>
          <w:szCs w:val="24"/>
          <w:lang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239D095B"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p>
    <w:p w14:paraId="5A7C9C35" w14:textId="77777777" w:rsidR="00D6390A" w:rsidRPr="00D6390A" w:rsidRDefault="00D6390A" w:rsidP="00D6390A">
      <w:pPr>
        <w:suppressAutoHyphens/>
        <w:spacing w:line="276" w:lineRule="auto"/>
        <w:ind w:firstLine="0"/>
        <w:rPr>
          <w:rFonts w:ascii="Arial" w:eastAsia="Times New Roman" w:hAnsi="Arial" w:cs="Arial"/>
          <w:b/>
          <w:bCs/>
          <w:spacing w:val="-2"/>
          <w:sz w:val="24"/>
          <w:szCs w:val="24"/>
          <w:lang w:eastAsia="es-ES"/>
        </w:rPr>
      </w:pPr>
      <w:r w:rsidRPr="00D6390A">
        <w:rPr>
          <w:rFonts w:ascii="Arial" w:eastAsia="Times New Roman" w:hAnsi="Arial" w:cs="Arial"/>
          <w:b/>
          <w:bCs/>
          <w:spacing w:val="-2"/>
          <w:sz w:val="24"/>
          <w:szCs w:val="24"/>
          <w:lang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79818746" w14:textId="77777777" w:rsidR="00D6390A" w:rsidRPr="00D6390A" w:rsidRDefault="00D6390A" w:rsidP="00D6390A">
      <w:pPr>
        <w:suppressAutoHyphens/>
        <w:spacing w:line="276" w:lineRule="auto"/>
        <w:ind w:firstLine="0"/>
        <w:rPr>
          <w:rFonts w:ascii="Arial" w:eastAsia="Times New Roman" w:hAnsi="Arial" w:cs="Arial"/>
          <w:b/>
          <w:bCs/>
          <w:spacing w:val="-2"/>
          <w:sz w:val="24"/>
          <w:szCs w:val="24"/>
          <w:lang w:eastAsia="es-ES"/>
        </w:rPr>
      </w:pPr>
    </w:p>
    <w:p w14:paraId="792F8974" w14:textId="77777777" w:rsidR="00D6390A" w:rsidRPr="00D6390A" w:rsidRDefault="00D6390A" w:rsidP="00D6390A">
      <w:pPr>
        <w:suppressAutoHyphens/>
        <w:spacing w:line="276" w:lineRule="auto"/>
        <w:ind w:firstLine="0"/>
        <w:rPr>
          <w:rFonts w:ascii="Arial" w:eastAsia="Times New Roman" w:hAnsi="Arial" w:cs="Arial"/>
          <w:b/>
          <w:bCs/>
          <w:spacing w:val="-2"/>
          <w:sz w:val="24"/>
          <w:szCs w:val="24"/>
          <w:lang w:eastAsia="es-ES"/>
        </w:rPr>
      </w:pPr>
      <w:r w:rsidRPr="00D6390A">
        <w:rPr>
          <w:rFonts w:ascii="Arial" w:eastAsia="Times New Roman" w:hAnsi="Arial" w:cs="Arial"/>
          <w:b/>
          <w:bCs/>
          <w:spacing w:val="-2"/>
          <w:sz w:val="24"/>
          <w:szCs w:val="24"/>
          <w:lang w:eastAsia="es-ES"/>
        </w:rPr>
        <w:t>La primera que la competencia para determinar si se incurrió en la conducta que amerita multa es de los Ministerios de Trabajo y de Salud y ella se constituye en el fundamento de la declaratoria de ineficacia.</w:t>
      </w:r>
    </w:p>
    <w:p w14:paraId="2FB91F41" w14:textId="77777777" w:rsidR="00D6390A" w:rsidRPr="00D6390A" w:rsidRDefault="00D6390A" w:rsidP="00D6390A">
      <w:pPr>
        <w:suppressAutoHyphens/>
        <w:spacing w:line="276" w:lineRule="auto"/>
        <w:ind w:firstLine="0"/>
        <w:rPr>
          <w:rFonts w:ascii="Arial" w:eastAsia="Times New Roman" w:hAnsi="Arial" w:cs="Arial"/>
          <w:b/>
          <w:bCs/>
          <w:spacing w:val="-2"/>
          <w:sz w:val="24"/>
          <w:szCs w:val="24"/>
          <w:lang w:eastAsia="es-ES"/>
        </w:rPr>
      </w:pPr>
    </w:p>
    <w:p w14:paraId="6BF0BAAE"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eastAsia="es-ES"/>
        </w:rPr>
      </w:pPr>
      <w:r w:rsidRPr="00D6390A">
        <w:rPr>
          <w:rFonts w:ascii="Arial" w:eastAsia="Times New Roman" w:hAnsi="Arial" w:cs="Arial"/>
          <w:b/>
          <w:bCs/>
          <w:spacing w:val="-2"/>
          <w:sz w:val="24"/>
          <w:szCs w:val="24"/>
          <w:lang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D6390A">
        <w:rPr>
          <w:rFonts w:ascii="Arial" w:eastAsia="Times New Roman" w:hAnsi="Arial" w:cs="Arial"/>
          <w:spacing w:val="-2"/>
          <w:sz w:val="24"/>
          <w:szCs w:val="24"/>
          <w:lang w:eastAsia="es-ES"/>
        </w:rPr>
        <w:t>:</w:t>
      </w:r>
    </w:p>
    <w:p w14:paraId="0D369CA6"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p>
    <w:p w14:paraId="03245477" w14:textId="77777777" w:rsidR="00D6390A" w:rsidRPr="00D6390A" w:rsidRDefault="00D6390A" w:rsidP="00D6390A">
      <w:pPr>
        <w:suppressAutoHyphens/>
        <w:spacing w:line="240" w:lineRule="auto"/>
        <w:ind w:left="426" w:right="420" w:firstLine="0"/>
        <w:rPr>
          <w:rFonts w:ascii="Arial" w:eastAsia="Times New Roman" w:hAnsi="Arial" w:cs="Arial"/>
          <w:spacing w:val="-2"/>
          <w:szCs w:val="24"/>
          <w:lang w:val="es-ES_tradnl" w:eastAsia="es-ES"/>
        </w:rPr>
      </w:pPr>
      <w:r w:rsidRPr="00D6390A">
        <w:rPr>
          <w:rFonts w:ascii="Arial" w:eastAsia="Times New Roman" w:hAnsi="Arial" w:cs="Arial"/>
          <w:spacing w:val="-2"/>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w:t>
      </w:r>
      <w:r w:rsidRPr="00D6390A">
        <w:rPr>
          <w:rFonts w:ascii="Arial" w:eastAsia="Times New Roman" w:hAnsi="Arial" w:cs="Arial"/>
          <w:spacing w:val="-2"/>
          <w:szCs w:val="24"/>
          <w:lang w:val="es-ES_tradnl" w:eastAsia="es-ES"/>
        </w:rPr>
        <w:lastRenderedPageBreak/>
        <w:t>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23C909A3" w14:textId="77777777" w:rsidR="00D6390A" w:rsidRPr="00D6390A" w:rsidRDefault="00D6390A" w:rsidP="00D6390A">
      <w:pPr>
        <w:suppressAutoHyphens/>
        <w:spacing w:line="240" w:lineRule="auto"/>
        <w:ind w:left="426" w:right="420" w:firstLine="0"/>
        <w:rPr>
          <w:rFonts w:ascii="Arial" w:eastAsia="Times New Roman" w:hAnsi="Arial" w:cs="Arial"/>
          <w:spacing w:val="-2"/>
          <w:szCs w:val="24"/>
          <w:lang w:val="es-ES_tradnl" w:eastAsia="es-ES"/>
        </w:rPr>
      </w:pPr>
    </w:p>
    <w:p w14:paraId="728372BA" w14:textId="77777777" w:rsidR="00D6390A" w:rsidRPr="00D6390A" w:rsidRDefault="00D6390A" w:rsidP="00D6390A">
      <w:pPr>
        <w:suppressAutoHyphens/>
        <w:spacing w:line="240" w:lineRule="auto"/>
        <w:ind w:left="851" w:right="845" w:firstLine="0"/>
        <w:rPr>
          <w:rFonts w:ascii="Arial" w:eastAsia="Times New Roman" w:hAnsi="Arial" w:cs="Arial"/>
          <w:spacing w:val="-2"/>
          <w:szCs w:val="24"/>
          <w:lang w:val="es-ES_tradnl" w:eastAsia="es-ES"/>
        </w:rPr>
      </w:pPr>
      <w:r w:rsidRPr="00D6390A">
        <w:rPr>
          <w:rFonts w:ascii="Arial" w:eastAsia="Times New Roman" w:hAnsi="Arial" w:cs="Arial"/>
          <w:i/>
          <w:spacing w:val="-2"/>
          <w:szCs w:val="24"/>
          <w:lang w:val="es-ES_tradnl" w:eastAsia="es-ES"/>
        </w:rPr>
        <w:t>“</w:t>
      </w:r>
      <w:r w:rsidRPr="00D6390A">
        <w:rPr>
          <w:rFonts w:ascii="Arial" w:eastAsia="Times New Roman" w:hAnsi="Arial" w:cs="Arial"/>
          <w:b/>
          <w:i/>
          <w:spacing w:val="-2"/>
          <w:szCs w:val="24"/>
          <w:lang w:val="es-ES_tradnl" w:eastAsia="es-ES"/>
        </w:rPr>
        <w:t>Permanencia de la afiliación</w:t>
      </w:r>
      <w:r w:rsidRPr="00D6390A">
        <w:rPr>
          <w:rFonts w:ascii="Arial" w:eastAsia="Times New Roman" w:hAnsi="Arial" w:cs="Arial"/>
          <w:i/>
          <w:spacing w:val="-2"/>
          <w:szCs w:val="24"/>
          <w:lang w:val="es-ES_tradnl" w:eastAsia="es-ES"/>
        </w:rPr>
        <w:t xml:space="preserve">. La afiliación al Sistema General de Pensiones es permanente </w:t>
      </w:r>
      <w:r w:rsidRPr="00D6390A">
        <w:rPr>
          <w:rFonts w:ascii="Arial" w:eastAsia="Times New Roman" w:hAnsi="Arial" w:cs="Arial"/>
          <w:i/>
          <w:spacing w:val="-2"/>
          <w:szCs w:val="24"/>
          <w:u w:val="single"/>
          <w:lang w:val="es-ES_tradnl" w:eastAsia="es-ES"/>
        </w:rPr>
        <w:t>e independiente del régimen que seleccione el afiliado</w:t>
      </w:r>
      <w:r w:rsidRPr="00D6390A">
        <w:rPr>
          <w:rFonts w:ascii="Arial" w:eastAsia="Times New Roman" w:hAnsi="Arial" w:cs="Arial"/>
          <w:i/>
          <w:spacing w:val="-2"/>
          <w:szCs w:val="24"/>
          <w:lang w:val="es-ES_tradnl" w:eastAsia="es-ES"/>
        </w:rPr>
        <w:t>. Dicha afiliación no se pierde por haber dejado de cotizar durante uno o varios períodos, pero podrá pasar a la categoría de afiliados inactivos, cuando tengan más de seis meses de no pago de cotizaciones.”</w:t>
      </w:r>
    </w:p>
    <w:p w14:paraId="37D54979"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r w:rsidRPr="00D6390A">
        <w:rPr>
          <w:rFonts w:ascii="Arial" w:eastAsia="Times New Roman" w:hAnsi="Arial" w:cs="Arial"/>
          <w:spacing w:val="-2"/>
          <w:sz w:val="24"/>
          <w:szCs w:val="24"/>
          <w:lang w:val="es-ES_tradnl" w:eastAsia="es-ES"/>
        </w:rPr>
        <w:t xml:space="preserve"> </w:t>
      </w:r>
    </w:p>
    <w:p w14:paraId="0C708332"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r w:rsidRPr="00D6390A">
        <w:rPr>
          <w:rFonts w:ascii="Arial" w:eastAsia="Times New Roman" w:hAnsi="Arial" w:cs="Arial"/>
          <w:spacing w:val="-2"/>
          <w:sz w:val="24"/>
          <w:szCs w:val="24"/>
          <w:lang w:val="es-ES_tradnl" w:eastAsia="es-ES"/>
        </w:rPr>
        <w:t xml:space="preserve">Y la tercera y más importante, </w:t>
      </w:r>
      <w:r w:rsidRPr="00D6390A">
        <w:rPr>
          <w:rFonts w:ascii="Arial" w:eastAsia="Times New Roman" w:hAnsi="Arial" w:cs="Arial"/>
          <w:b/>
          <w:spacing w:val="-2"/>
          <w:sz w:val="24"/>
          <w:szCs w:val="24"/>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D6390A">
        <w:rPr>
          <w:rFonts w:ascii="Arial" w:eastAsia="Times New Roman" w:hAnsi="Arial" w:cs="Arial"/>
          <w:b/>
          <w:spacing w:val="-2"/>
          <w:sz w:val="24"/>
          <w:szCs w:val="24"/>
          <w:lang w:val="es-ES_tradnl" w:eastAsia="es-ES"/>
        </w:rPr>
        <w:t>RAIS</w:t>
      </w:r>
      <w:proofErr w:type="spellEnd"/>
      <w:r w:rsidRPr="00D6390A">
        <w:rPr>
          <w:rFonts w:ascii="Arial" w:eastAsia="Times New Roman" w:hAnsi="Arial" w:cs="Arial"/>
          <w:b/>
          <w:spacing w:val="-2"/>
          <w:sz w:val="24"/>
          <w:szCs w:val="24"/>
          <w:lang w:val="es-ES_tradnl" w:eastAsia="es-ES"/>
        </w:rPr>
        <w:t xml:space="preserve"> a pesar del perjuicio que ello le pudiere significar</w:t>
      </w:r>
      <w:r w:rsidRPr="00D6390A">
        <w:rPr>
          <w:rFonts w:ascii="Arial" w:eastAsia="Times New Roman" w:hAnsi="Arial" w:cs="Arial"/>
          <w:spacing w:val="-2"/>
          <w:sz w:val="24"/>
          <w:szCs w:val="24"/>
          <w:lang w:val="es-ES_tradnl" w:eastAsia="es-ES"/>
        </w:rPr>
        <w:t>.</w:t>
      </w:r>
    </w:p>
    <w:p w14:paraId="5365DFA4"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p>
    <w:p w14:paraId="0641858D" w14:textId="77777777" w:rsidR="00D6390A" w:rsidRPr="00D6390A" w:rsidRDefault="00D6390A" w:rsidP="00D6390A">
      <w:pPr>
        <w:numPr>
          <w:ilvl w:val="0"/>
          <w:numId w:val="11"/>
        </w:numPr>
        <w:suppressAutoHyphens/>
        <w:spacing w:line="276" w:lineRule="auto"/>
        <w:ind w:left="426" w:hanging="426"/>
        <w:rPr>
          <w:rFonts w:ascii="Arial" w:eastAsia="Times New Roman" w:hAnsi="Arial" w:cs="Arial"/>
          <w:b/>
          <w:spacing w:val="-2"/>
          <w:sz w:val="24"/>
          <w:szCs w:val="24"/>
          <w:lang w:val="es-ES_tradnl" w:eastAsia="es-ES"/>
        </w:rPr>
      </w:pPr>
      <w:r w:rsidRPr="00D6390A">
        <w:rPr>
          <w:rFonts w:ascii="Arial" w:eastAsia="Times New Roman" w:hAnsi="Arial" w:cs="Arial"/>
          <w:b/>
          <w:spacing w:val="-2"/>
          <w:sz w:val="24"/>
          <w:szCs w:val="24"/>
          <w:lang w:val="es-ES_tradnl" w:eastAsia="es-ES"/>
        </w:rPr>
        <w:t>CONSECUENCIAS DE LA APLICACIÓN DE LA TESIS DE LA INEFICACIA DE LOS TRASLADOS CON FUNDAMENTO EN LOS ARTÍCULOS 13 Y 271 DE LA LEY 100 DE 1993.</w:t>
      </w:r>
    </w:p>
    <w:p w14:paraId="1AAD2613"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p>
    <w:p w14:paraId="7F9A750D" w14:textId="77777777" w:rsidR="00D6390A" w:rsidRPr="00D6390A" w:rsidRDefault="00D6390A" w:rsidP="00D6390A">
      <w:pPr>
        <w:suppressAutoHyphens/>
        <w:spacing w:line="276" w:lineRule="auto"/>
        <w:ind w:firstLine="0"/>
        <w:rPr>
          <w:rFonts w:ascii="Arial" w:eastAsia="Times New Roman" w:hAnsi="Arial" w:cs="Arial"/>
          <w:b/>
          <w:bCs/>
          <w:spacing w:val="-2"/>
          <w:sz w:val="24"/>
          <w:szCs w:val="24"/>
          <w:lang w:eastAsia="es-ES"/>
        </w:rPr>
      </w:pPr>
      <w:r w:rsidRPr="00D6390A">
        <w:rPr>
          <w:rFonts w:ascii="Arial" w:eastAsia="Times New Roman" w:hAnsi="Arial" w:cs="Arial"/>
          <w:b/>
          <w:bCs/>
          <w:spacing w:val="-2"/>
          <w:sz w:val="24"/>
          <w:szCs w:val="24"/>
          <w:lang w:eastAsia="es-ES"/>
        </w:rPr>
        <w:t>Las declaraciones de ineficacias de traslados envuelven los siguientes resultados:</w:t>
      </w:r>
    </w:p>
    <w:p w14:paraId="63895EDE" w14:textId="77777777" w:rsidR="00D6390A" w:rsidRPr="00D6390A" w:rsidRDefault="00D6390A" w:rsidP="00D6390A">
      <w:pPr>
        <w:suppressAutoHyphens/>
        <w:spacing w:line="276" w:lineRule="auto"/>
        <w:ind w:firstLine="0"/>
        <w:rPr>
          <w:rFonts w:ascii="Arial" w:eastAsia="Times New Roman" w:hAnsi="Arial" w:cs="Arial"/>
          <w:b/>
          <w:bCs/>
          <w:spacing w:val="-2"/>
          <w:sz w:val="24"/>
          <w:szCs w:val="24"/>
          <w:lang w:eastAsia="es-ES"/>
        </w:rPr>
      </w:pPr>
    </w:p>
    <w:p w14:paraId="28096143"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eastAsia="es-ES"/>
        </w:rPr>
      </w:pPr>
      <w:r w:rsidRPr="00D6390A">
        <w:rPr>
          <w:rFonts w:ascii="Arial" w:eastAsia="Times New Roman" w:hAnsi="Arial" w:cs="Arial"/>
          <w:b/>
          <w:bCs/>
          <w:spacing w:val="-2"/>
          <w:sz w:val="24"/>
          <w:szCs w:val="24"/>
          <w:lang w:eastAsia="es-ES"/>
        </w:rPr>
        <w:t xml:space="preserve">PRIMERO: Desdibuja nuestro sistema jurídico de responsabilidad </w:t>
      </w:r>
      <w:r w:rsidRPr="00D6390A">
        <w:rPr>
          <w:rFonts w:ascii="Arial" w:eastAsia="Times New Roman" w:hAnsi="Arial" w:cs="Arial"/>
          <w:spacing w:val="-2"/>
          <w:sz w:val="24"/>
          <w:szCs w:val="24"/>
          <w:lang w:eastAsia="es-ES"/>
        </w:rPr>
        <w:t>al imponer la carga de resarcir un daño, a quien no lo produjo, en este caso Colpensiones y de contera la Nación como su garante.</w:t>
      </w:r>
    </w:p>
    <w:p w14:paraId="0AE50F6D" w14:textId="77777777" w:rsidR="00D6390A" w:rsidRPr="00D6390A" w:rsidRDefault="00D6390A" w:rsidP="00D6390A">
      <w:pPr>
        <w:suppressAutoHyphens/>
        <w:spacing w:line="276" w:lineRule="auto"/>
        <w:ind w:firstLine="0"/>
        <w:rPr>
          <w:rFonts w:ascii="Arial" w:eastAsia="Times New Roman" w:hAnsi="Arial" w:cs="Arial"/>
          <w:iCs/>
          <w:spacing w:val="-2"/>
          <w:sz w:val="24"/>
          <w:szCs w:val="24"/>
          <w:lang w:val="es-ES_tradnl" w:eastAsia="es-ES"/>
        </w:rPr>
      </w:pPr>
    </w:p>
    <w:p w14:paraId="108D7209" w14:textId="77777777" w:rsidR="00D6390A" w:rsidRPr="00D6390A" w:rsidRDefault="00D6390A" w:rsidP="00D6390A">
      <w:pPr>
        <w:suppressAutoHyphens/>
        <w:spacing w:line="276" w:lineRule="auto"/>
        <w:ind w:firstLine="0"/>
        <w:rPr>
          <w:rFonts w:ascii="Arial" w:eastAsia="Times New Roman" w:hAnsi="Arial" w:cs="Arial"/>
          <w:iCs/>
          <w:spacing w:val="-2"/>
          <w:sz w:val="24"/>
          <w:szCs w:val="24"/>
          <w:lang w:val="es-ES_tradnl" w:eastAsia="es-ES"/>
        </w:rPr>
      </w:pPr>
      <w:r w:rsidRPr="00D6390A">
        <w:rPr>
          <w:rFonts w:ascii="Arial" w:eastAsia="Times New Roman" w:hAnsi="Arial" w:cs="Arial"/>
          <w:iCs/>
          <w:spacing w:val="-2"/>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D6390A">
        <w:rPr>
          <w:rFonts w:ascii="Arial" w:eastAsia="Times New Roman" w:hAnsi="Arial" w:cs="Arial"/>
          <w:b/>
          <w:iCs/>
          <w:spacing w:val="-2"/>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D6390A">
        <w:rPr>
          <w:rFonts w:ascii="Arial" w:eastAsia="Times New Roman" w:hAnsi="Arial" w:cs="Arial"/>
          <w:iCs/>
          <w:spacing w:val="-2"/>
          <w:sz w:val="24"/>
          <w:szCs w:val="24"/>
          <w:lang w:val="es-ES_tradnl" w:eastAsia="es-ES"/>
        </w:rPr>
        <w:t>.</w:t>
      </w:r>
    </w:p>
    <w:p w14:paraId="1D5C87E8" w14:textId="77777777" w:rsidR="00D6390A" w:rsidRPr="00D6390A" w:rsidRDefault="00D6390A" w:rsidP="00D6390A">
      <w:pPr>
        <w:suppressAutoHyphens/>
        <w:spacing w:line="276" w:lineRule="auto"/>
        <w:ind w:firstLine="0"/>
        <w:rPr>
          <w:rFonts w:ascii="Arial" w:eastAsia="Times New Roman" w:hAnsi="Arial" w:cs="Arial"/>
          <w:iCs/>
          <w:spacing w:val="-2"/>
          <w:sz w:val="24"/>
          <w:szCs w:val="24"/>
          <w:lang w:val="es-ES_tradnl" w:eastAsia="es-ES"/>
        </w:rPr>
      </w:pPr>
    </w:p>
    <w:p w14:paraId="01D69172" w14:textId="77777777" w:rsidR="00D6390A" w:rsidRPr="00D6390A" w:rsidRDefault="00D6390A" w:rsidP="00D6390A">
      <w:pPr>
        <w:suppressAutoHyphens/>
        <w:spacing w:line="276" w:lineRule="auto"/>
        <w:ind w:firstLine="0"/>
        <w:rPr>
          <w:rFonts w:ascii="Arial" w:eastAsia="Times New Roman" w:hAnsi="Arial" w:cs="Arial"/>
          <w:iCs/>
          <w:spacing w:val="-2"/>
          <w:sz w:val="24"/>
          <w:szCs w:val="24"/>
          <w:lang w:val="es-ES_tradnl" w:eastAsia="es-ES"/>
        </w:rPr>
      </w:pPr>
      <w:r w:rsidRPr="00D6390A">
        <w:rPr>
          <w:rFonts w:ascii="Arial" w:eastAsia="Times New Roman" w:hAnsi="Arial" w:cs="Arial"/>
          <w:iCs/>
          <w:spacing w:val="-2"/>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1F9684CE" w14:textId="77777777" w:rsidR="00D6390A" w:rsidRPr="00D6390A" w:rsidRDefault="00D6390A" w:rsidP="00D6390A">
      <w:pPr>
        <w:suppressAutoHyphens/>
        <w:spacing w:line="276" w:lineRule="auto"/>
        <w:ind w:firstLine="0"/>
        <w:rPr>
          <w:rFonts w:ascii="Arial" w:eastAsia="Times New Roman" w:hAnsi="Arial" w:cs="Arial"/>
          <w:iCs/>
          <w:spacing w:val="-2"/>
          <w:sz w:val="24"/>
          <w:szCs w:val="24"/>
          <w:lang w:val="es-ES_tradnl" w:eastAsia="es-ES"/>
        </w:rPr>
      </w:pPr>
    </w:p>
    <w:p w14:paraId="6C7183C4" w14:textId="77777777" w:rsidR="00D6390A" w:rsidRPr="00D6390A" w:rsidRDefault="00D6390A" w:rsidP="00D6390A">
      <w:pPr>
        <w:suppressAutoHyphens/>
        <w:spacing w:line="276" w:lineRule="auto"/>
        <w:ind w:firstLine="0"/>
        <w:rPr>
          <w:rFonts w:ascii="Arial" w:eastAsia="Times New Roman" w:hAnsi="Arial" w:cs="Arial"/>
          <w:b/>
          <w:iCs/>
          <w:spacing w:val="-2"/>
          <w:sz w:val="24"/>
          <w:szCs w:val="24"/>
          <w:lang w:val="es-ES_tradnl" w:eastAsia="es-ES"/>
        </w:rPr>
      </w:pPr>
      <w:r w:rsidRPr="00D6390A">
        <w:rPr>
          <w:rFonts w:ascii="Arial" w:eastAsia="Times New Roman" w:hAnsi="Arial" w:cs="Arial"/>
          <w:b/>
          <w:iCs/>
          <w:spacing w:val="-2"/>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59D8D822" w14:textId="77777777" w:rsidR="00D6390A" w:rsidRPr="00D6390A" w:rsidRDefault="00D6390A" w:rsidP="00D6390A">
      <w:pPr>
        <w:suppressAutoHyphens/>
        <w:spacing w:line="276" w:lineRule="auto"/>
        <w:ind w:firstLine="0"/>
        <w:rPr>
          <w:rFonts w:ascii="Arial" w:eastAsia="Times New Roman" w:hAnsi="Arial" w:cs="Arial"/>
          <w:iCs/>
          <w:spacing w:val="-2"/>
          <w:sz w:val="24"/>
          <w:szCs w:val="24"/>
          <w:lang w:val="es-ES_tradnl" w:eastAsia="es-ES"/>
        </w:rPr>
      </w:pPr>
    </w:p>
    <w:p w14:paraId="6EE879C6" w14:textId="77777777" w:rsidR="00D6390A" w:rsidRPr="00D6390A" w:rsidRDefault="00D6390A" w:rsidP="00D6390A">
      <w:pPr>
        <w:suppressAutoHyphens/>
        <w:spacing w:line="276" w:lineRule="auto"/>
        <w:ind w:firstLine="0"/>
        <w:rPr>
          <w:rFonts w:ascii="Arial" w:eastAsia="Times New Roman" w:hAnsi="Arial" w:cs="Arial"/>
          <w:b/>
          <w:bCs/>
          <w:spacing w:val="-2"/>
          <w:sz w:val="24"/>
          <w:szCs w:val="24"/>
          <w:lang w:eastAsia="es-ES"/>
        </w:rPr>
      </w:pPr>
      <w:r w:rsidRPr="00D6390A">
        <w:rPr>
          <w:rFonts w:ascii="Arial" w:eastAsia="Times New Roman" w:hAnsi="Arial" w:cs="Arial"/>
          <w:b/>
          <w:bCs/>
          <w:spacing w:val="-2"/>
          <w:sz w:val="24"/>
          <w:szCs w:val="24"/>
          <w:lang w:eastAsia="es-ES"/>
        </w:rPr>
        <w:lastRenderedPageBreak/>
        <w:t xml:space="preserve">SEGUNDO: De manera consciente, sin justificación alguna, </w:t>
      </w:r>
      <w:proofErr w:type="spellStart"/>
      <w:r w:rsidRPr="00D6390A">
        <w:rPr>
          <w:rFonts w:ascii="Arial" w:eastAsia="Times New Roman" w:hAnsi="Arial" w:cs="Arial"/>
          <w:b/>
          <w:bCs/>
          <w:spacing w:val="-2"/>
          <w:sz w:val="24"/>
          <w:szCs w:val="24"/>
          <w:lang w:eastAsia="es-ES"/>
        </w:rPr>
        <w:t>inaplica</w:t>
      </w:r>
      <w:proofErr w:type="spellEnd"/>
      <w:r w:rsidRPr="00D6390A">
        <w:rPr>
          <w:rFonts w:ascii="Arial" w:eastAsia="Times New Roman" w:hAnsi="Arial" w:cs="Arial"/>
          <w:b/>
          <w:bCs/>
          <w:spacing w:val="-2"/>
          <w:sz w:val="24"/>
          <w:szCs w:val="24"/>
          <w:lang w:eastAsia="es-ES"/>
        </w:rPr>
        <w:t xml:space="preserve"> la solución jurídica que el sistema tiene prevista de manera específica para los actos de las AFP que por omisión o falsa información causen perjuicio a los afiliados.</w:t>
      </w:r>
    </w:p>
    <w:p w14:paraId="67949092" w14:textId="77777777" w:rsidR="00D6390A" w:rsidRPr="00D6390A" w:rsidRDefault="00D6390A" w:rsidP="00D6390A">
      <w:pPr>
        <w:suppressAutoHyphens/>
        <w:spacing w:line="276" w:lineRule="auto"/>
        <w:ind w:firstLine="0"/>
        <w:rPr>
          <w:rFonts w:ascii="Arial" w:eastAsia="Times New Roman" w:hAnsi="Arial" w:cs="Arial"/>
          <w:iCs/>
          <w:spacing w:val="-2"/>
          <w:sz w:val="24"/>
          <w:szCs w:val="24"/>
          <w:lang w:val="es-ES_tradnl" w:eastAsia="es-ES"/>
        </w:rPr>
      </w:pPr>
    </w:p>
    <w:p w14:paraId="497B23C1" w14:textId="77777777" w:rsidR="00D6390A" w:rsidRPr="00D6390A" w:rsidRDefault="00D6390A" w:rsidP="00D6390A">
      <w:pPr>
        <w:suppressAutoHyphens/>
        <w:spacing w:line="276" w:lineRule="auto"/>
        <w:ind w:firstLine="0"/>
        <w:rPr>
          <w:rFonts w:ascii="Arial" w:eastAsia="Times New Roman" w:hAnsi="Arial" w:cs="Arial"/>
          <w:iCs/>
          <w:spacing w:val="-2"/>
          <w:sz w:val="24"/>
          <w:szCs w:val="24"/>
          <w:lang w:val="es-ES_tradnl" w:eastAsia="es-ES"/>
        </w:rPr>
      </w:pPr>
      <w:r w:rsidRPr="00D6390A">
        <w:rPr>
          <w:rFonts w:ascii="Arial" w:eastAsia="Times New Roman" w:hAnsi="Arial" w:cs="Arial"/>
          <w:iCs/>
          <w:spacing w:val="-2"/>
          <w:sz w:val="24"/>
          <w:szCs w:val="24"/>
          <w:lang w:val="es-ES_tradnl" w:eastAsia="es-ES"/>
        </w:rPr>
        <w:t>A continuación se analizan aspectos de estas dos afirmaciones.</w:t>
      </w:r>
    </w:p>
    <w:p w14:paraId="1417807A"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p>
    <w:p w14:paraId="64A8883B" w14:textId="77777777" w:rsidR="00D6390A" w:rsidRPr="00D6390A" w:rsidRDefault="00D6390A" w:rsidP="00D6390A">
      <w:pPr>
        <w:numPr>
          <w:ilvl w:val="0"/>
          <w:numId w:val="11"/>
        </w:numPr>
        <w:suppressAutoHyphens/>
        <w:spacing w:line="276" w:lineRule="auto"/>
        <w:ind w:left="426" w:hanging="426"/>
        <w:rPr>
          <w:rFonts w:ascii="Arial" w:eastAsia="Times New Roman" w:hAnsi="Arial" w:cs="Arial"/>
          <w:b/>
          <w:spacing w:val="-2"/>
          <w:sz w:val="24"/>
          <w:szCs w:val="24"/>
          <w:lang w:val="es-ES_tradnl" w:eastAsia="es-ES"/>
        </w:rPr>
      </w:pPr>
      <w:r w:rsidRPr="00D6390A">
        <w:rPr>
          <w:rFonts w:ascii="Arial" w:eastAsia="Times New Roman" w:hAnsi="Arial" w:cs="Arial"/>
          <w:b/>
          <w:iCs/>
          <w:spacing w:val="-2"/>
          <w:sz w:val="24"/>
          <w:szCs w:val="24"/>
          <w:lang w:val="es-ES_tradnl" w:eastAsia="es-ES"/>
        </w:rPr>
        <w:t xml:space="preserve">APOYO CONSTITUCIONAL EMANADO DE LA SENTENCIA C-1024 DE 2004 SOBRE LA RAZÓN DE SER DE LA LIMITACIÓN DE TRASLADO CUANDO FALTEN MENOS DE 10 AÑOS. </w:t>
      </w:r>
    </w:p>
    <w:p w14:paraId="307F3D50" w14:textId="77777777" w:rsidR="00D6390A" w:rsidRPr="00D6390A" w:rsidRDefault="00D6390A" w:rsidP="00D6390A">
      <w:pPr>
        <w:suppressAutoHyphens/>
        <w:spacing w:line="276" w:lineRule="auto"/>
        <w:ind w:firstLine="0"/>
        <w:rPr>
          <w:rFonts w:ascii="Arial" w:eastAsia="Times New Roman" w:hAnsi="Arial" w:cs="Arial"/>
          <w:b/>
          <w:iCs/>
          <w:spacing w:val="-2"/>
          <w:sz w:val="24"/>
          <w:szCs w:val="24"/>
          <w:lang w:val="es-ES_tradnl" w:eastAsia="es-ES"/>
        </w:rPr>
      </w:pPr>
    </w:p>
    <w:p w14:paraId="1C6005E6" w14:textId="77777777" w:rsidR="00D6390A" w:rsidRPr="00D6390A" w:rsidRDefault="00D6390A" w:rsidP="00D6390A">
      <w:pPr>
        <w:suppressAutoHyphens/>
        <w:spacing w:line="276" w:lineRule="auto"/>
        <w:ind w:firstLine="0"/>
        <w:rPr>
          <w:rFonts w:ascii="Arial" w:eastAsia="Times New Roman" w:hAnsi="Arial" w:cs="Arial"/>
          <w:iCs/>
          <w:spacing w:val="-2"/>
          <w:sz w:val="24"/>
          <w:szCs w:val="24"/>
          <w:lang w:val="es-ES_tradnl" w:eastAsia="es-ES"/>
        </w:rPr>
      </w:pPr>
      <w:r w:rsidRPr="00D6390A">
        <w:rPr>
          <w:rFonts w:ascii="Arial" w:eastAsia="Times New Roman" w:hAnsi="Arial" w:cs="Arial"/>
          <w:iCs/>
          <w:spacing w:val="-2"/>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2ACF083F" w14:textId="77777777" w:rsidR="00D6390A" w:rsidRPr="00D6390A" w:rsidRDefault="00D6390A" w:rsidP="00D6390A">
      <w:pPr>
        <w:suppressAutoHyphens/>
        <w:spacing w:line="276" w:lineRule="auto"/>
        <w:ind w:firstLine="0"/>
        <w:rPr>
          <w:rFonts w:ascii="Arial" w:eastAsia="Times New Roman" w:hAnsi="Arial" w:cs="Arial"/>
          <w:iCs/>
          <w:spacing w:val="-2"/>
          <w:sz w:val="24"/>
          <w:szCs w:val="24"/>
          <w:lang w:val="es-ES_tradnl" w:eastAsia="es-ES"/>
        </w:rPr>
      </w:pPr>
    </w:p>
    <w:p w14:paraId="637C1B7F" w14:textId="77777777" w:rsidR="00D6390A" w:rsidRPr="00D6390A" w:rsidRDefault="00D6390A" w:rsidP="00D6390A">
      <w:pPr>
        <w:suppressAutoHyphens/>
        <w:spacing w:line="276" w:lineRule="auto"/>
        <w:ind w:firstLine="0"/>
        <w:rPr>
          <w:rFonts w:ascii="Arial" w:eastAsia="Times New Roman" w:hAnsi="Arial" w:cs="Arial"/>
          <w:iCs/>
          <w:spacing w:val="-2"/>
          <w:sz w:val="24"/>
          <w:szCs w:val="24"/>
          <w:lang w:val="es-ES_tradnl" w:eastAsia="es-ES"/>
        </w:rPr>
      </w:pPr>
      <w:r w:rsidRPr="00D6390A">
        <w:rPr>
          <w:rFonts w:ascii="Arial" w:eastAsia="Times New Roman" w:hAnsi="Arial" w:cs="Arial"/>
          <w:iCs/>
          <w:spacing w:val="-2"/>
          <w:sz w:val="24"/>
          <w:szCs w:val="24"/>
          <w:lang w:val="es-ES_tradnl" w:eastAsia="es-ES"/>
        </w:rPr>
        <w:t xml:space="preserve">Al analizar esa limitación la Corte Constitucional fue clara en explicar que </w:t>
      </w:r>
      <w:r w:rsidRPr="00D6390A">
        <w:rPr>
          <w:rFonts w:ascii="Arial" w:eastAsia="Times New Roman" w:hAnsi="Arial" w:cs="Arial"/>
          <w:b/>
          <w:iCs/>
          <w:spacing w:val="-2"/>
          <w:sz w:val="24"/>
          <w:szCs w:val="24"/>
          <w:lang w:val="es-ES_tradnl" w:eastAsia="es-ES"/>
        </w:rPr>
        <w:t>para garantizar la sostenibilidad financiera del sistema de prima media</w:t>
      </w:r>
      <w:r w:rsidRPr="00D6390A">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2B37C356" w14:textId="77777777" w:rsidR="00D6390A" w:rsidRPr="00D6390A" w:rsidRDefault="00D6390A" w:rsidP="00D6390A">
      <w:pPr>
        <w:suppressAutoHyphens/>
        <w:spacing w:line="276" w:lineRule="auto"/>
        <w:ind w:firstLine="0"/>
        <w:rPr>
          <w:rFonts w:ascii="Arial" w:eastAsia="Times New Roman" w:hAnsi="Arial" w:cs="Arial"/>
          <w:b/>
          <w:iCs/>
          <w:spacing w:val="-2"/>
          <w:sz w:val="24"/>
          <w:szCs w:val="24"/>
          <w:lang w:val="es-ES_tradnl" w:eastAsia="es-ES"/>
        </w:rPr>
      </w:pPr>
    </w:p>
    <w:p w14:paraId="154D78CF" w14:textId="77777777" w:rsidR="00D6390A" w:rsidRPr="00D6390A" w:rsidRDefault="00D6390A" w:rsidP="00D6390A">
      <w:pPr>
        <w:suppressAutoHyphens/>
        <w:spacing w:line="240" w:lineRule="auto"/>
        <w:ind w:left="426" w:right="420" w:firstLine="0"/>
        <w:rPr>
          <w:rFonts w:ascii="Arial" w:eastAsia="Times New Roman" w:hAnsi="Arial" w:cs="Arial"/>
          <w:iCs/>
          <w:spacing w:val="-2"/>
          <w:szCs w:val="24"/>
          <w:lang w:eastAsia="es-ES"/>
        </w:rPr>
      </w:pPr>
      <w:r w:rsidRPr="00D6390A">
        <w:rPr>
          <w:rFonts w:ascii="Arial" w:eastAsia="Times New Roman" w:hAnsi="Arial" w:cs="Arial"/>
          <w:iCs/>
          <w:spacing w:val="-2"/>
          <w:szCs w:val="24"/>
          <w:lang w:val="es-CO" w:eastAsia="es-ES"/>
        </w:rPr>
        <w:t>“Desde esta perspectiva, el </w:t>
      </w:r>
      <w:r w:rsidRPr="00D6390A">
        <w:rPr>
          <w:rFonts w:ascii="Arial" w:eastAsia="Times New Roman" w:hAnsi="Arial" w:cs="Arial"/>
          <w:i/>
          <w:iCs/>
          <w:spacing w:val="-2"/>
          <w:szCs w:val="24"/>
          <w:lang w:val="es-CO" w:eastAsia="es-ES"/>
        </w:rPr>
        <w:t>objetivo </w:t>
      </w:r>
      <w:r w:rsidRPr="00D6390A">
        <w:rPr>
          <w:rFonts w:ascii="Arial" w:eastAsia="Times New Roman" w:hAnsi="Arial" w:cs="Arial"/>
          <w:iCs/>
          <w:spacing w:val="-2"/>
          <w:szCs w:val="24"/>
          <w:lang w:val="es-CO" w:eastAsia="es-ES"/>
        </w:rPr>
        <w:t xml:space="preserve">perseguido con el señalamiento del  período de carencia en la norma acusada, </w:t>
      </w:r>
      <w:r w:rsidRPr="00D6390A">
        <w:rPr>
          <w:rFonts w:ascii="Arial" w:eastAsia="Times New Roman" w:hAnsi="Arial" w:cs="Arial"/>
          <w:b/>
          <w:iCs/>
          <w:spacing w:val="-2"/>
          <w:szCs w:val="24"/>
          <w:lang w:val="es-CO" w:eastAsia="es-ES"/>
        </w:rPr>
        <w:t>consiste en evitar la </w:t>
      </w:r>
      <w:r w:rsidRPr="00D6390A">
        <w:rPr>
          <w:rFonts w:ascii="Arial" w:eastAsia="Times New Roman" w:hAnsi="Arial" w:cs="Arial"/>
          <w:b/>
          <w:i/>
          <w:iCs/>
          <w:spacing w:val="-2"/>
          <w:szCs w:val="24"/>
          <w:lang w:val="es-CO" w:eastAsia="es-ES"/>
        </w:rPr>
        <w:t>descapitalización</w:t>
      </w:r>
      <w:r w:rsidRPr="00D6390A">
        <w:rPr>
          <w:rFonts w:ascii="Arial" w:eastAsia="Times New Roman" w:hAnsi="Arial" w:cs="Arial"/>
          <w:b/>
          <w:iCs/>
          <w:spacing w:val="-2"/>
          <w:szCs w:val="24"/>
          <w:lang w:val="es-CO" w:eastAsia="es-ES"/>
        </w:rPr>
        <w:t> del fondo común del Régimen Solidario de Prima Media con Prestación Definida</w:t>
      </w:r>
      <w:r w:rsidRPr="00D6390A">
        <w:rPr>
          <w:rFonts w:ascii="Arial" w:eastAsia="Times New Roman" w:hAnsi="Arial" w:cs="Arial"/>
          <w:iCs/>
          <w:spacing w:val="-2"/>
          <w:szCs w:val="24"/>
          <w:lang w:val="es-CO" w:eastAsia="es-ES"/>
        </w:rPr>
        <w:t>, que se produciría si se permitiera que las personas que no han contribuido al </w:t>
      </w:r>
      <w:r w:rsidRPr="00D6390A">
        <w:rPr>
          <w:rFonts w:ascii="Arial" w:eastAsia="Times New Roman" w:hAnsi="Arial" w:cs="Arial"/>
          <w:i/>
          <w:iCs/>
          <w:spacing w:val="-2"/>
          <w:szCs w:val="24"/>
          <w:lang w:val="es-CO" w:eastAsia="es-ES"/>
        </w:rPr>
        <w:t>fondo común</w:t>
      </w:r>
      <w:r w:rsidRPr="00D6390A">
        <w:rPr>
          <w:rFonts w:ascii="Arial" w:eastAsia="Times New Roman" w:hAnsi="Arial" w:cs="Arial"/>
          <w:iCs/>
          <w:spacing w:val="-2"/>
          <w:szCs w:val="24"/>
          <w:lang w:val="es-CO"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D6390A">
        <w:rPr>
          <w:rFonts w:ascii="Arial" w:eastAsia="Times New Roman" w:hAnsi="Arial" w:cs="Arial"/>
          <w:b/>
          <w:iCs/>
          <w:spacing w:val="-2"/>
          <w:szCs w:val="24"/>
          <w:lang w:val="es-CO" w:eastAsia="es-ES"/>
        </w:rPr>
        <w:t>a poner en riesgo la garantía del derecho irrenunciable a la pensión del resto de cotizantes</w:t>
      </w:r>
      <w:r w:rsidRPr="00D6390A">
        <w:rPr>
          <w:rFonts w:ascii="Arial" w:eastAsia="Times New Roman" w:hAnsi="Arial" w:cs="Arial"/>
          <w:iCs/>
          <w:spacing w:val="-2"/>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D6390A">
        <w:rPr>
          <w:rFonts w:ascii="Arial" w:eastAsia="Times New Roman" w:hAnsi="Arial" w:cs="Arial"/>
          <w:b/>
          <w:iCs/>
          <w:spacing w:val="-2"/>
          <w:szCs w:val="24"/>
          <w:lang w:val="es-CO" w:eastAsia="es-ES"/>
        </w:rPr>
        <w:t>podría llegar a poner en riesgo la garantía del derecho pensional para los actuales y futuros pensionados</w:t>
      </w:r>
      <w:r w:rsidRPr="00D6390A">
        <w:rPr>
          <w:rFonts w:ascii="Arial" w:eastAsia="Times New Roman" w:hAnsi="Arial" w:cs="Arial"/>
          <w:iCs/>
          <w:spacing w:val="-2"/>
          <w:szCs w:val="24"/>
          <w:lang w:val="es-CO" w:eastAsia="es-ES"/>
        </w:rPr>
        <w:t>.</w:t>
      </w:r>
    </w:p>
    <w:p w14:paraId="58206A60" w14:textId="77777777" w:rsidR="00D6390A" w:rsidRPr="00D6390A" w:rsidRDefault="00D6390A" w:rsidP="00D6390A">
      <w:pPr>
        <w:suppressAutoHyphens/>
        <w:spacing w:line="240" w:lineRule="auto"/>
        <w:ind w:left="426" w:right="420" w:firstLine="0"/>
        <w:rPr>
          <w:rFonts w:ascii="Arial" w:eastAsia="Times New Roman" w:hAnsi="Arial" w:cs="Arial"/>
          <w:iCs/>
          <w:spacing w:val="-2"/>
          <w:szCs w:val="24"/>
          <w:lang w:eastAsia="es-ES"/>
        </w:rPr>
      </w:pPr>
      <w:r w:rsidRPr="00D6390A">
        <w:rPr>
          <w:rFonts w:ascii="Arial" w:eastAsia="Times New Roman" w:hAnsi="Arial" w:cs="Arial"/>
          <w:iCs/>
          <w:spacing w:val="-2"/>
          <w:szCs w:val="24"/>
          <w:lang w:val="es-CO" w:eastAsia="es-ES"/>
        </w:rPr>
        <w:t> </w:t>
      </w:r>
    </w:p>
    <w:p w14:paraId="6E9DC229" w14:textId="77777777" w:rsidR="00D6390A" w:rsidRPr="00D6390A" w:rsidRDefault="00D6390A" w:rsidP="00D6390A">
      <w:pPr>
        <w:suppressAutoHyphens/>
        <w:spacing w:line="240" w:lineRule="auto"/>
        <w:ind w:left="426" w:right="420" w:firstLine="0"/>
        <w:rPr>
          <w:rFonts w:ascii="Arial" w:eastAsia="Times New Roman" w:hAnsi="Arial" w:cs="Arial"/>
          <w:iCs/>
          <w:spacing w:val="-2"/>
          <w:szCs w:val="24"/>
          <w:lang w:eastAsia="es-ES"/>
        </w:rPr>
      </w:pPr>
      <w:r w:rsidRPr="00D6390A">
        <w:rPr>
          <w:rFonts w:ascii="Arial" w:eastAsia="Times New Roman" w:hAnsi="Arial" w:cs="Arial"/>
          <w:iCs/>
          <w:spacing w:val="-2"/>
          <w:szCs w:val="24"/>
          <w:lang w:val="es-CO"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352E7E34" w14:textId="77777777" w:rsidR="00D6390A" w:rsidRPr="00D6390A" w:rsidRDefault="00D6390A" w:rsidP="00D6390A">
      <w:pPr>
        <w:suppressAutoHyphens/>
        <w:spacing w:line="240" w:lineRule="auto"/>
        <w:ind w:left="426" w:right="420" w:firstLine="0"/>
        <w:rPr>
          <w:rFonts w:ascii="Arial" w:eastAsia="Times New Roman" w:hAnsi="Arial" w:cs="Arial"/>
          <w:iCs/>
          <w:spacing w:val="-2"/>
          <w:szCs w:val="24"/>
          <w:lang w:eastAsia="es-ES"/>
        </w:rPr>
      </w:pPr>
      <w:r w:rsidRPr="00D6390A">
        <w:rPr>
          <w:rFonts w:ascii="Arial" w:eastAsia="Times New Roman" w:hAnsi="Arial" w:cs="Arial"/>
          <w:iCs/>
          <w:spacing w:val="-2"/>
          <w:szCs w:val="24"/>
          <w:lang w:val="es-CO" w:eastAsia="es-ES"/>
        </w:rPr>
        <w:t> </w:t>
      </w:r>
    </w:p>
    <w:p w14:paraId="53AC6C87" w14:textId="77777777" w:rsidR="00D6390A" w:rsidRPr="00D6390A" w:rsidRDefault="00D6390A" w:rsidP="00D6390A">
      <w:pPr>
        <w:suppressAutoHyphens/>
        <w:spacing w:line="240" w:lineRule="auto"/>
        <w:ind w:left="426" w:right="420" w:firstLine="0"/>
        <w:rPr>
          <w:rFonts w:ascii="Arial" w:eastAsia="Times New Roman" w:hAnsi="Arial" w:cs="Arial"/>
          <w:b/>
          <w:iCs/>
          <w:spacing w:val="-2"/>
          <w:szCs w:val="24"/>
          <w:lang w:val="es-CO" w:eastAsia="es-ES"/>
        </w:rPr>
      </w:pPr>
      <w:r w:rsidRPr="00D6390A">
        <w:rPr>
          <w:rFonts w:ascii="Arial" w:eastAsia="Times New Roman" w:hAnsi="Arial" w:cs="Arial"/>
          <w:iCs/>
          <w:spacing w:val="-2"/>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D6390A">
        <w:rPr>
          <w:rFonts w:ascii="Arial" w:eastAsia="Times New Roman" w:hAnsi="Arial" w:cs="Arial"/>
          <w:b/>
          <w:iCs/>
          <w:spacing w:val="-2"/>
          <w:szCs w:val="24"/>
          <w:lang w:val="es-CO"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D6390A">
        <w:rPr>
          <w:rFonts w:ascii="Arial" w:eastAsia="Times New Roman" w:hAnsi="Arial" w:cs="Arial"/>
          <w:iCs/>
          <w:spacing w:val="-2"/>
          <w:szCs w:val="24"/>
          <w:lang w:val="es-CO" w:eastAsia="es-ES"/>
        </w:rPr>
        <w:t>, cuyo propósito consiste en: </w:t>
      </w:r>
      <w:r w:rsidRPr="00D6390A">
        <w:rPr>
          <w:rFonts w:ascii="Arial" w:eastAsia="Times New Roman" w:hAnsi="Arial" w:cs="Arial"/>
          <w:i/>
          <w:iCs/>
          <w:spacing w:val="-2"/>
          <w:szCs w:val="24"/>
          <w:lang w:val="es-CO" w:eastAsia="es-ES"/>
        </w:rPr>
        <w:t xml:space="preserve">´obtener la mejor utilización económica de los recursos administrativos y financieros disponibles para asegurar el reconocimiento y pago en forma adecuada, oportuna y suficiente de los beneficios a </w:t>
      </w:r>
      <w:r w:rsidRPr="00D6390A">
        <w:rPr>
          <w:rFonts w:ascii="Arial" w:eastAsia="Times New Roman" w:hAnsi="Arial" w:cs="Arial"/>
          <w:i/>
          <w:iCs/>
          <w:spacing w:val="-2"/>
          <w:szCs w:val="24"/>
          <w:lang w:val="es-CO" w:eastAsia="es-ES"/>
        </w:rPr>
        <w:lastRenderedPageBreak/>
        <w:t>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D6390A">
        <w:rPr>
          <w:rFonts w:ascii="Arial" w:eastAsia="Times New Roman" w:hAnsi="Arial" w:cs="Arial"/>
          <w:iCs/>
          <w:spacing w:val="-2"/>
          <w:szCs w:val="24"/>
          <w:lang w:val="es-CO" w:eastAsia="es-ES"/>
        </w:rPr>
        <w:t>.”</w:t>
      </w:r>
      <w:r w:rsidRPr="00D6390A">
        <w:rPr>
          <w:rFonts w:ascii="Arial" w:eastAsia="Times New Roman" w:hAnsi="Arial" w:cs="Arial"/>
          <w:b/>
          <w:iCs/>
          <w:spacing w:val="-2"/>
          <w:szCs w:val="24"/>
          <w:lang w:val="es-CO" w:eastAsia="es-ES"/>
        </w:rPr>
        <w:t> </w:t>
      </w:r>
    </w:p>
    <w:p w14:paraId="18CC5681" w14:textId="77777777" w:rsidR="00D6390A" w:rsidRPr="00D6390A" w:rsidRDefault="00D6390A" w:rsidP="00D6390A">
      <w:pPr>
        <w:suppressAutoHyphens/>
        <w:spacing w:line="276" w:lineRule="auto"/>
        <w:ind w:firstLine="0"/>
        <w:rPr>
          <w:rFonts w:ascii="Arial" w:eastAsia="Times New Roman" w:hAnsi="Arial" w:cs="Arial"/>
          <w:b/>
          <w:iCs/>
          <w:spacing w:val="-2"/>
          <w:sz w:val="24"/>
          <w:szCs w:val="24"/>
          <w:lang w:val="es-ES_tradnl" w:eastAsia="es-ES"/>
        </w:rPr>
      </w:pPr>
    </w:p>
    <w:p w14:paraId="721F5612" w14:textId="77777777" w:rsidR="00D6390A" w:rsidRPr="00D6390A" w:rsidRDefault="00D6390A" w:rsidP="00D6390A">
      <w:pPr>
        <w:suppressAutoHyphens/>
        <w:spacing w:line="276" w:lineRule="auto"/>
        <w:ind w:firstLine="0"/>
        <w:rPr>
          <w:rFonts w:ascii="Arial" w:eastAsia="Times New Roman" w:hAnsi="Arial" w:cs="Arial"/>
          <w:b/>
          <w:iCs/>
          <w:spacing w:val="-2"/>
          <w:sz w:val="24"/>
          <w:szCs w:val="24"/>
          <w:lang w:val="es-CO" w:eastAsia="es-ES"/>
        </w:rPr>
      </w:pPr>
      <w:r w:rsidRPr="00D6390A">
        <w:rPr>
          <w:rFonts w:ascii="Arial" w:eastAsia="Times New Roman" w:hAnsi="Arial" w:cs="Arial"/>
          <w:iCs/>
          <w:spacing w:val="-2"/>
          <w:sz w:val="24"/>
          <w:szCs w:val="24"/>
          <w:lang w:val="es-ES_tradnl" w:eastAsia="es-ES"/>
        </w:rPr>
        <w:t xml:space="preserve">Permitir entonces, la declaración de ineficacia de traslados de personas que han estado largos años en el </w:t>
      </w:r>
      <w:proofErr w:type="spellStart"/>
      <w:r w:rsidRPr="00D6390A">
        <w:rPr>
          <w:rFonts w:ascii="Arial" w:eastAsia="Times New Roman" w:hAnsi="Arial" w:cs="Arial"/>
          <w:iCs/>
          <w:spacing w:val="-2"/>
          <w:sz w:val="24"/>
          <w:szCs w:val="24"/>
          <w:lang w:val="es-ES_tradnl" w:eastAsia="es-ES"/>
        </w:rPr>
        <w:t>RAIS</w:t>
      </w:r>
      <w:proofErr w:type="spellEnd"/>
      <w:r w:rsidRPr="00D6390A">
        <w:rPr>
          <w:rFonts w:ascii="Arial" w:eastAsia="Times New Roman" w:hAnsi="Arial" w:cs="Arial"/>
          <w:iCs/>
          <w:spacing w:val="-2"/>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D6390A">
        <w:rPr>
          <w:rFonts w:ascii="Arial" w:eastAsia="Times New Roman" w:hAnsi="Arial" w:cs="Arial"/>
          <w:b/>
          <w:iCs/>
          <w:spacing w:val="-2"/>
          <w:sz w:val="24"/>
          <w:szCs w:val="24"/>
          <w:lang w:val="es-CO" w:eastAsia="es-ES"/>
        </w:rPr>
        <w:t xml:space="preserve">puede llegar a poner en riesgo la garantía del derecho pensional para los actuales y futuros pensionados que </w:t>
      </w:r>
      <w:proofErr w:type="spellStart"/>
      <w:r w:rsidRPr="00D6390A">
        <w:rPr>
          <w:rFonts w:ascii="Arial" w:eastAsia="Times New Roman" w:hAnsi="Arial" w:cs="Arial"/>
          <w:b/>
          <w:iCs/>
          <w:spacing w:val="-2"/>
          <w:sz w:val="24"/>
          <w:szCs w:val="24"/>
          <w:lang w:val="es-CO" w:eastAsia="es-ES"/>
        </w:rPr>
        <w:t>si</w:t>
      </w:r>
      <w:proofErr w:type="spellEnd"/>
      <w:r w:rsidRPr="00D6390A">
        <w:rPr>
          <w:rFonts w:ascii="Arial" w:eastAsia="Times New Roman" w:hAnsi="Arial" w:cs="Arial"/>
          <w:b/>
          <w:iCs/>
          <w:spacing w:val="-2"/>
          <w:sz w:val="24"/>
          <w:szCs w:val="24"/>
          <w:lang w:val="es-CO" w:eastAsia="es-ES"/>
        </w:rPr>
        <w:t xml:space="preserve"> lo hicieron.</w:t>
      </w:r>
    </w:p>
    <w:p w14:paraId="3735EE1F" w14:textId="77777777" w:rsidR="00D6390A" w:rsidRPr="00D6390A" w:rsidRDefault="00D6390A" w:rsidP="00D6390A">
      <w:pPr>
        <w:suppressAutoHyphens/>
        <w:spacing w:line="276" w:lineRule="auto"/>
        <w:ind w:firstLine="0"/>
        <w:rPr>
          <w:rFonts w:ascii="Arial" w:eastAsia="Times New Roman" w:hAnsi="Arial" w:cs="Arial"/>
          <w:b/>
          <w:iCs/>
          <w:spacing w:val="-2"/>
          <w:sz w:val="24"/>
          <w:szCs w:val="24"/>
          <w:lang w:val="es-CO" w:eastAsia="es-ES"/>
        </w:rPr>
      </w:pPr>
    </w:p>
    <w:p w14:paraId="2AFCDF39" w14:textId="77777777" w:rsidR="00D6390A" w:rsidRPr="00D6390A" w:rsidRDefault="00D6390A" w:rsidP="00D6390A">
      <w:pPr>
        <w:suppressAutoHyphens/>
        <w:spacing w:line="276" w:lineRule="auto"/>
        <w:ind w:firstLine="0"/>
        <w:rPr>
          <w:rFonts w:ascii="Arial" w:eastAsia="Times New Roman" w:hAnsi="Arial" w:cs="Arial"/>
          <w:iCs/>
          <w:spacing w:val="-2"/>
          <w:sz w:val="24"/>
          <w:szCs w:val="24"/>
          <w:lang w:val="es-ES_tradnl" w:eastAsia="es-ES"/>
        </w:rPr>
      </w:pPr>
      <w:r w:rsidRPr="00D6390A">
        <w:rPr>
          <w:rFonts w:ascii="Arial" w:eastAsia="Times New Roman" w:hAnsi="Arial" w:cs="Arial"/>
          <w:b/>
          <w:iCs/>
          <w:spacing w:val="-2"/>
          <w:sz w:val="24"/>
          <w:szCs w:val="24"/>
          <w:lang w:val="es-CO"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D6390A">
        <w:rPr>
          <w:rFonts w:ascii="Arial" w:eastAsia="Times New Roman" w:hAnsi="Arial" w:cs="Arial"/>
          <w:iCs/>
          <w:spacing w:val="-2"/>
          <w:sz w:val="24"/>
          <w:szCs w:val="24"/>
          <w:lang w:val="es-CO"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D6390A">
        <w:rPr>
          <w:rFonts w:ascii="Arial" w:eastAsia="Times New Roman" w:hAnsi="Arial" w:cs="Arial"/>
          <w:iCs/>
          <w:spacing w:val="-2"/>
          <w:sz w:val="24"/>
          <w:szCs w:val="24"/>
          <w:lang w:val="es-CO" w:eastAsia="es-ES"/>
        </w:rPr>
        <w:t>RAIS</w:t>
      </w:r>
      <w:proofErr w:type="spellEnd"/>
      <w:r w:rsidRPr="00D6390A">
        <w:rPr>
          <w:rFonts w:ascii="Arial" w:eastAsia="Times New Roman" w:hAnsi="Arial" w:cs="Arial"/>
          <w:iCs/>
          <w:spacing w:val="-2"/>
          <w:sz w:val="24"/>
          <w:szCs w:val="24"/>
          <w:lang w:val="es-CO"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D6390A">
        <w:rPr>
          <w:rFonts w:ascii="Arial" w:eastAsia="Times New Roman" w:hAnsi="Arial" w:cs="Arial"/>
          <w:iCs/>
          <w:spacing w:val="-2"/>
          <w:sz w:val="24"/>
          <w:szCs w:val="24"/>
          <w:lang w:val="es-CO" w:eastAsia="es-ES"/>
        </w:rPr>
        <w:t>RAIS</w:t>
      </w:r>
      <w:proofErr w:type="spellEnd"/>
      <w:r w:rsidRPr="00D6390A">
        <w:rPr>
          <w:rFonts w:ascii="Arial" w:eastAsia="Times New Roman" w:hAnsi="Arial" w:cs="Arial"/>
          <w:iCs/>
          <w:spacing w:val="-2"/>
          <w:sz w:val="24"/>
          <w:szCs w:val="24"/>
          <w:lang w:val="es-CO" w:eastAsia="es-ES"/>
        </w:rPr>
        <w:t xml:space="preserve"> por cuanto no puede olvidarse que</w:t>
      </w:r>
      <w:r w:rsidRPr="00D6390A">
        <w:rPr>
          <w:rFonts w:ascii="Arial" w:eastAsia="Times New Roman" w:hAnsi="Arial" w:cs="Arial"/>
          <w:iCs/>
          <w:spacing w:val="-2"/>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D6390A">
        <w:rPr>
          <w:rFonts w:ascii="Arial" w:eastAsia="Times New Roman" w:hAnsi="Arial" w:cs="Arial"/>
          <w:iCs/>
          <w:spacing w:val="-2"/>
          <w:sz w:val="24"/>
          <w:szCs w:val="24"/>
          <w:lang w:val="es-ES_tradnl" w:eastAsia="es-ES"/>
        </w:rPr>
        <w:t>IBL</w:t>
      </w:r>
      <w:proofErr w:type="spellEnd"/>
      <w:r w:rsidRPr="00D6390A">
        <w:rPr>
          <w:rFonts w:ascii="Arial" w:eastAsia="Times New Roman" w:hAnsi="Arial" w:cs="Arial"/>
          <w:iCs/>
          <w:spacing w:val="-2"/>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D6390A">
        <w:rPr>
          <w:rFonts w:ascii="Arial" w:eastAsia="Times New Roman" w:hAnsi="Arial" w:cs="Arial"/>
          <w:iCs/>
          <w:spacing w:val="-2"/>
          <w:sz w:val="24"/>
          <w:szCs w:val="24"/>
          <w:lang w:val="es-ES_tradnl" w:eastAsia="es-ES"/>
        </w:rPr>
        <w:t>sucesoral</w:t>
      </w:r>
      <w:proofErr w:type="spellEnd"/>
      <w:r w:rsidRPr="00D6390A">
        <w:rPr>
          <w:rFonts w:ascii="Arial" w:eastAsia="Times New Roman" w:hAnsi="Arial" w:cs="Arial"/>
          <w:iCs/>
          <w:spacing w:val="-2"/>
          <w:sz w:val="24"/>
          <w:szCs w:val="24"/>
          <w:lang w:val="es-ES_tradnl" w:eastAsia="es-ES"/>
        </w:rPr>
        <w:t>, etc.</w:t>
      </w:r>
    </w:p>
    <w:p w14:paraId="420C5DE1"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p>
    <w:p w14:paraId="6F7A6836" w14:textId="77777777" w:rsidR="00D6390A" w:rsidRPr="00D6390A" w:rsidRDefault="00D6390A" w:rsidP="00D6390A">
      <w:pPr>
        <w:numPr>
          <w:ilvl w:val="0"/>
          <w:numId w:val="11"/>
        </w:numPr>
        <w:suppressAutoHyphens/>
        <w:spacing w:line="276" w:lineRule="auto"/>
        <w:ind w:left="426" w:hanging="426"/>
        <w:rPr>
          <w:rFonts w:ascii="Arial" w:eastAsia="Times New Roman" w:hAnsi="Arial" w:cs="Arial"/>
          <w:b/>
          <w:spacing w:val="-2"/>
          <w:sz w:val="24"/>
          <w:szCs w:val="24"/>
          <w:lang w:val="es-ES_tradnl" w:eastAsia="es-ES"/>
        </w:rPr>
      </w:pPr>
      <w:r w:rsidRPr="00D6390A">
        <w:rPr>
          <w:rFonts w:ascii="Arial" w:eastAsia="Times New Roman" w:hAnsi="Arial" w:cs="Arial"/>
          <w:b/>
          <w:spacing w:val="-2"/>
          <w:sz w:val="24"/>
          <w:szCs w:val="24"/>
          <w:lang w:val="es-ES_tradnl" w:eastAsia="es-ES"/>
        </w:rPr>
        <w:t>EN NUESTRO SISTEMA JURÍDICO ¿QUIEN ES LA PERSONA LLAMADA A RESPONDER POR LOS DAÑOS ANTIJURÍDICOS QUE CAUSE CON SU PROCEDER?</w:t>
      </w:r>
    </w:p>
    <w:p w14:paraId="45FCD9E6"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p>
    <w:p w14:paraId="1040372E"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r w:rsidRPr="00D6390A">
        <w:rPr>
          <w:rFonts w:ascii="Arial" w:eastAsia="Times New Roman" w:hAnsi="Arial" w:cs="Arial"/>
          <w:spacing w:val="-2"/>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w:t>
      </w:r>
      <w:r w:rsidRPr="00D6390A">
        <w:rPr>
          <w:rFonts w:ascii="Arial" w:eastAsia="Times New Roman" w:hAnsi="Arial" w:cs="Arial"/>
          <w:spacing w:val="-2"/>
          <w:sz w:val="24"/>
          <w:szCs w:val="24"/>
          <w:lang w:val="es-ES_tradnl" w:eastAsia="es-ES"/>
        </w:rPr>
        <w:lastRenderedPageBreak/>
        <w:t>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14:paraId="0A91A566"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p>
    <w:p w14:paraId="1082EAB0" w14:textId="77777777" w:rsidR="00D6390A" w:rsidRPr="00D6390A" w:rsidRDefault="00D6390A" w:rsidP="00D6390A">
      <w:pPr>
        <w:suppressAutoHyphens/>
        <w:spacing w:line="276" w:lineRule="auto"/>
        <w:ind w:firstLine="0"/>
        <w:rPr>
          <w:rFonts w:ascii="Arial" w:eastAsia="Times New Roman" w:hAnsi="Arial" w:cs="Arial"/>
          <w:i/>
          <w:spacing w:val="-2"/>
          <w:sz w:val="24"/>
          <w:szCs w:val="24"/>
          <w:lang w:val="es-ES_tradnl" w:eastAsia="es-ES"/>
        </w:rPr>
      </w:pPr>
      <w:r w:rsidRPr="00D6390A">
        <w:rPr>
          <w:rFonts w:ascii="Arial" w:eastAsia="Times New Roman" w:hAnsi="Arial" w:cs="Arial"/>
          <w:spacing w:val="-2"/>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D6390A">
        <w:rPr>
          <w:rFonts w:ascii="Arial" w:eastAsia="Times New Roman" w:hAnsi="Arial" w:cs="Arial"/>
          <w:i/>
          <w:spacing w:val="-2"/>
          <w:szCs w:val="24"/>
          <w:lang w:val="es-ES_tradnl" w:eastAsia="es-ES"/>
        </w:rPr>
        <w:t>el Estado únicamente responderá patrimonialmente por los daños antijurídicos que le sean imputables, causado por la acción o la omisión de las autoridades públicas</w:t>
      </w:r>
      <w:r w:rsidRPr="00D6390A">
        <w:rPr>
          <w:rFonts w:ascii="Arial" w:eastAsia="Times New Roman" w:hAnsi="Arial" w:cs="Arial"/>
          <w:i/>
          <w:spacing w:val="-2"/>
          <w:sz w:val="24"/>
          <w:szCs w:val="24"/>
          <w:lang w:val="es-ES_tradnl" w:eastAsia="es-ES"/>
        </w:rPr>
        <w:t>”.</w:t>
      </w:r>
    </w:p>
    <w:p w14:paraId="097210FF"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p>
    <w:p w14:paraId="7802BCCF" w14:textId="77777777" w:rsidR="00D6390A" w:rsidRPr="00D6390A" w:rsidRDefault="00D6390A" w:rsidP="00D6390A">
      <w:pPr>
        <w:numPr>
          <w:ilvl w:val="0"/>
          <w:numId w:val="11"/>
        </w:numPr>
        <w:suppressAutoHyphens/>
        <w:spacing w:line="276" w:lineRule="auto"/>
        <w:ind w:left="426" w:hanging="426"/>
        <w:rPr>
          <w:rFonts w:ascii="Arial" w:eastAsia="Times New Roman" w:hAnsi="Arial" w:cs="Arial"/>
          <w:b/>
          <w:spacing w:val="-2"/>
          <w:sz w:val="24"/>
          <w:szCs w:val="24"/>
          <w:lang w:val="es-ES_tradnl" w:eastAsia="es-ES"/>
        </w:rPr>
      </w:pPr>
      <w:r w:rsidRPr="00D6390A">
        <w:rPr>
          <w:rFonts w:ascii="Arial" w:eastAsia="Times New Roman" w:hAnsi="Arial" w:cs="Arial"/>
          <w:b/>
          <w:spacing w:val="-2"/>
          <w:sz w:val="24"/>
          <w:szCs w:val="24"/>
          <w:lang w:val="es-ES_tradnl" w:eastAsia="es-ES"/>
        </w:rPr>
        <w:t>LAS NORMAS VIGENTES QUE REGULAN LAS CONDUCTAS IRREGULARES DE LAS ADMINISTRADORAS DE FONDOS DE PENSIONES POR LOS ERRORES U OMISIONES EN LA INFORMACIÓN QUE CAUSEN PERJUICIO A QUIENES AFILIEN.</w:t>
      </w:r>
    </w:p>
    <w:p w14:paraId="1C12378E"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p>
    <w:p w14:paraId="01E9FADC"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eastAsia="es-ES"/>
        </w:rPr>
      </w:pPr>
      <w:r w:rsidRPr="00D6390A">
        <w:rPr>
          <w:rFonts w:ascii="Arial" w:eastAsia="Times New Roman" w:hAnsi="Arial" w:cs="Arial"/>
          <w:b/>
          <w:bCs/>
          <w:spacing w:val="-2"/>
          <w:sz w:val="24"/>
          <w:szCs w:val="24"/>
          <w:lang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D6390A">
        <w:rPr>
          <w:rFonts w:ascii="Arial" w:eastAsia="Times New Roman" w:hAnsi="Arial" w:cs="Arial"/>
          <w:spacing w:val="-2"/>
          <w:sz w:val="24"/>
          <w:szCs w:val="24"/>
          <w:lang w:eastAsia="es-ES"/>
        </w:rPr>
        <w:t xml:space="preserve"> </w:t>
      </w:r>
    </w:p>
    <w:p w14:paraId="08498D36"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p>
    <w:p w14:paraId="08BB0872"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r w:rsidRPr="00D6390A">
        <w:rPr>
          <w:rFonts w:ascii="Arial" w:eastAsia="Times New Roman" w:hAnsi="Arial" w:cs="Arial"/>
          <w:spacing w:val="-2"/>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0A3FADE3"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p>
    <w:p w14:paraId="47FE95B0" w14:textId="77777777" w:rsidR="00D6390A" w:rsidRPr="00D6390A" w:rsidRDefault="00D6390A" w:rsidP="00D6390A">
      <w:pPr>
        <w:suppressAutoHyphens/>
        <w:spacing w:line="240" w:lineRule="auto"/>
        <w:ind w:left="426" w:right="420" w:firstLine="0"/>
        <w:rPr>
          <w:rFonts w:ascii="Arial" w:eastAsia="Times New Roman" w:hAnsi="Arial" w:cs="Arial"/>
          <w:spacing w:val="-2"/>
          <w:szCs w:val="24"/>
          <w:lang w:val="es-ES_tradnl" w:eastAsia="es-ES"/>
        </w:rPr>
      </w:pPr>
      <w:r w:rsidRPr="00D6390A">
        <w:rPr>
          <w:rFonts w:ascii="Arial" w:eastAsia="Times New Roman" w:hAnsi="Arial" w:cs="Arial"/>
          <w:b/>
          <w:spacing w:val="-2"/>
          <w:szCs w:val="24"/>
          <w:lang w:val="es-CO" w:eastAsia="es-ES"/>
        </w:rPr>
        <w:t>“Artículo 10</w:t>
      </w:r>
      <w:r w:rsidRPr="00D6390A">
        <w:rPr>
          <w:rFonts w:ascii="Arial" w:eastAsia="Times New Roman" w:hAnsi="Arial" w:cs="Arial"/>
          <w:b/>
          <w:bCs/>
          <w:spacing w:val="-2"/>
          <w:szCs w:val="24"/>
          <w:lang w:val="es-CO" w:eastAsia="es-ES"/>
        </w:rPr>
        <w:t>.</w:t>
      </w:r>
      <w:r w:rsidRPr="00D6390A">
        <w:rPr>
          <w:rFonts w:ascii="Arial" w:eastAsia="Times New Roman" w:hAnsi="Arial" w:cs="Arial"/>
          <w:b/>
          <w:spacing w:val="-2"/>
          <w:szCs w:val="24"/>
          <w:lang w:val="es-CO" w:eastAsia="es-ES"/>
        </w:rPr>
        <w:t xml:space="preserve"> RESPONSABILIDAD DE LOS PROMOTORES. </w:t>
      </w:r>
      <w:r w:rsidRPr="00D6390A">
        <w:rPr>
          <w:rFonts w:ascii="Arial" w:eastAsia="Times New Roman" w:hAnsi="Arial" w:cs="Arial"/>
          <w:b/>
          <w:spacing w:val="-2"/>
          <w:szCs w:val="24"/>
          <w:u w:val="single"/>
          <w:lang w:val="es-CO"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D6390A">
        <w:rPr>
          <w:rFonts w:ascii="Arial" w:eastAsia="Times New Roman" w:hAnsi="Arial" w:cs="Arial"/>
          <w:b/>
          <w:spacing w:val="-2"/>
          <w:szCs w:val="24"/>
          <w:lang w:val="es-CO" w:eastAsia="es-ES"/>
        </w:rPr>
        <w:t xml:space="preserve"> sin perjuicio de la responsabilidad de los promotores frente a la correspondiente sociedad administradora del sistema general de pensiones.”</w:t>
      </w:r>
      <w:r w:rsidRPr="00D6390A">
        <w:rPr>
          <w:rFonts w:ascii="Arial" w:eastAsia="Times New Roman" w:hAnsi="Arial" w:cs="Arial"/>
          <w:spacing w:val="-2"/>
          <w:szCs w:val="24"/>
          <w:lang w:val="es-CO" w:eastAsia="es-ES"/>
        </w:rPr>
        <w:t xml:space="preserve"> (Negrillas y subrayas fuera del texto)</w:t>
      </w:r>
    </w:p>
    <w:p w14:paraId="0CC16B08"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p>
    <w:p w14:paraId="7333BDE3"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r w:rsidRPr="00D6390A">
        <w:rPr>
          <w:rFonts w:ascii="Arial" w:eastAsia="Times New Roman" w:hAnsi="Arial" w:cs="Arial"/>
          <w:spacing w:val="-2"/>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w:t>
      </w:r>
      <w:r w:rsidRPr="00D6390A">
        <w:rPr>
          <w:rFonts w:ascii="Arial" w:eastAsia="Times New Roman" w:hAnsi="Arial" w:cs="Arial"/>
          <w:spacing w:val="-2"/>
          <w:sz w:val="24"/>
          <w:szCs w:val="24"/>
          <w:lang w:val="es-ES_tradnl" w:eastAsia="es-ES"/>
        </w:rPr>
        <w:lastRenderedPageBreak/>
        <w:t xml:space="preserve">a Colpensiones, pues es claro el texto en determinar que la responsabilidad que se compromete es la de la AFP privada. </w:t>
      </w:r>
    </w:p>
    <w:p w14:paraId="23089F35"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p>
    <w:p w14:paraId="1CD083E8"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r w:rsidRPr="00D6390A">
        <w:rPr>
          <w:rFonts w:ascii="Arial" w:eastAsia="Times New Roman" w:hAnsi="Arial" w:cs="Arial"/>
          <w:spacing w:val="-2"/>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066111FC"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p>
    <w:p w14:paraId="54FB9496"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r w:rsidRPr="00D6390A">
        <w:rPr>
          <w:rFonts w:ascii="Arial" w:eastAsia="Times New Roman" w:hAnsi="Arial" w:cs="Arial"/>
          <w:spacing w:val="-2"/>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5280267E"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p>
    <w:p w14:paraId="19518E1C"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r w:rsidRPr="00D6390A">
        <w:rPr>
          <w:rFonts w:ascii="Arial" w:eastAsia="Times New Roman" w:hAnsi="Arial" w:cs="Arial"/>
          <w:spacing w:val="-2"/>
          <w:sz w:val="24"/>
          <w:szCs w:val="24"/>
          <w:lang w:val="es-ES_tradnl" w:eastAsia="es-ES"/>
        </w:rPr>
        <w:t>El anterior es mi sentir jurídico en estos casos, pero itero, me corresponde acatar el exhorto hecho por la Sala de Casación y por eso suscribí la sentencia.</w:t>
      </w:r>
    </w:p>
    <w:p w14:paraId="68C595F2" w14:textId="77777777" w:rsidR="00D6390A" w:rsidRPr="00D6390A" w:rsidRDefault="00D6390A" w:rsidP="00D6390A">
      <w:pPr>
        <w:suppressAutoHyphens/>
        <w:spacing w:line="276" w:lineRule="auto"/>
        <w:ind w:firstLine="0"/>
        <w:rPr>
          <w:rFonts w:ascii="Arial" w:eastAsia="Times New Roman" w:hAnsi="Arial" w:cs="Arial"/>
          <w:spacing w:val="-2"/>
          <w:sz w:val="24"/>
          <w:szCs w:val="24"/>
          <w:lang w:val="es-ES_tradnl" w:eastAsia="es-ES"/>
        </w:rPr>
      </w:pPr>
    </w:p>
    <w:p w14:paraId="7F165394" w14:textId="77777777" w:rsidR="00D6390A" w:rsidRPr="00D6390A" w:rsidRDefault="00D6390A" w:rsidP="00D6390A">
      <w:pPr>
        <w:spacing w:line="276" w:lineRule="auto"/>
        <w:ind w:firstLine="0"/>
        <w:rPr>
          <w:rFonts w:ascii="Arial" w:eastAsia="Times New Roman" w:hAnsi="Arial" w:cs="Arial"/>
          <w:sz w:val="24"/>
          <w:szCs w:val="24"/>
          <w:lang w:val="es-CO" w:eastAsia="es-ES"/>
        </w:rPr>
      </w:pPr>
      <w:r w:rsidRPr="00D6390A">
        <w:rPr>
          <w:rFonts w:ascii="Arial" w:eastAsia="Times New Roman" w:hAnsi="Arial" w:cs="Arial"/>
          <w:sz w:val="24"/>
          <w:szCs w:val="24"/>
          <w:lang w:val="es-CO" w:eastAsia="es-ES"/>
        </w:rPr>
        <w:t>Dejo así aclarado mi voto.</w:t>
      </w:r>
    </w:p>
    <w:p w14:paraId="16915FD6" w14:textId="77777777" w:rsidR="00D6390A" w:rsidRPr="00D6390A" w:rsidRDefault="00D6390A" w:rsidP="00D6390A">
      <w:pPr>
        <w:widowControl w:val="0"/>
        <w:autoSpaceDE w:val="0"/>
        <w:autoSpaceDN w:val="0"/>
        <w:adjustRightInd w:val="0"/>
        <w:spacing w:line="276" w:lineRule="auto"/>
        <w:ind w:firstLine="0"/>
        <w:jc w:val="left"/>
        <w:rPr>
          <w:rFonts w:ascii="Arial" w:eastAsia="Calibri" w:hAnsi="Arial" w:cs="Arial"/>
          <w:sz w:val="24"/>
          <w:szCs w:val="24"/>
          <w:lang w:val="es-CO"/>
        </w:rPr>
      </w:pPr>
    </w:p>
    <w:p w14:paraId="62164D03" w14:textId="77777777" w:rsidR="00D6390A" w:rsidRPr="00D6390A" w:rsidRDefault="00D6390A" w:rsidP="00D6390A">
      <w:pPr>
        <w:widowControl w:val="0"/>
        <w:autoSpaceDE w:val="0"/>
        <w:autoSpaceDN w:val="0"/>
        <w:adjustRightInd w:val="0"/>
        <w:spacing w:line="276" w:lineRule="auto"/>
        <w:ind w:firstLine="0"/>
        <w:jc w:val="left"/>
        <w:rPr>
          <w:rFonts w:ascii="Arial" w:eastAsia="Calibri" w:hAnsi="Arial" w:cs="Arial"/>
          <w:sz w:val="24"/>
          <w:szCs w:val="24"/>
          <w:lang w:val="es-CO"/>
        </w:rPr>
      </w:pPr>
    </w:p>
    <w:p w14:paraId="0C9555BE" w14:textId="77777777" w:rsidR="00D6390A" w:rsidRPr="00D6390A" w:rsidRDefault="00D6390A" w:rsidP="00D6390A">
      <w:pPr>
        <w:widowControl w:val="0"/>
        <w:autoSpaceDE w:val="0"/>
        <w:autoSpaceDN w:val="0"/>
        <w:adjustRightInd w:val="0"/>
        <w:spacing w:line="276" w:lineRule="auto"/>
        <w:ind w:firstLine="0"/>
        <w:jc w:val="left"/>
        <w:rPr>
          <w:rFonts w:ascii="Arial" w:eastAsia="Calibri" w:hAnsi="Arial" w:cs="Arial"/>
          <w:sz w:val="24"/>
          <w:szCs w:val="24"/>
          <w:lang w:val="es-CO"/>
        </w:rPr>
      </w:pPr>
    </w:p>
    <w:p w14:paraId="580711D8" w14:textId="77777777" w:rsidR="00D6390A" w:rsidRPr="00D6390A" w:rsidRDefault="00D6390A" w:rsidP="00D6390A">
      <w:pPr>
        <w:tabs>
          <w:tab w:val="center" w:pos="4420"/>
        </w:tabs>
        <w:spacing w:line="276" w:lineRule="auto"/>
        <w:ind w:firstLine="0"/>
        <w:rPr>
          <w:rFonts w:ascii="Arial" w:eastAsia="Calibri" w:hAnsi="Arial" w:cs="Arial"/>
          <w:sz w:val="24"/>
          <w:szCs w:val="24"/>
          <w:lang w:val="es-CO"/>
        </w:rPr>
      </w:pPr>
    </w:p>
    <w:p w14:paraId="224471AC" w14:textId="77777777" w:rsidR="00D6390A" w:rsidRPr="00D6390A" w:rsidRDefault="00D6390A" w:rsidP="00D6390A">
      <w:pPr>
        <w:widowControl w:val="0"/>
        <w:autoSpaceDE w:val="0"/>
        <w:autoSpaceDN w:val="0"/>
        <w:adjustRightInd w:val="0"/>
        <w:spacing w:line="276" w:lineRule="auto"/>
        <w:ind w:firstLine="0"/>
        <w:jc w:val="center"/>
        <w:rPr>
          <w:rFonts w:ascii="Arial" w:eastAsia="Calibri" w:hAnsi="Arial" w:cs="Arial"/>
          <w:b/>
          <w:sz w:val="24"/>
          <w:szCs w:val="24"/>
          <w:lang w:val="es-CO"/>
        </w:rPr>
      </w:pPr>
      <w:r w:rsidRPr="00D6390A">
        <w:rPr>
          <w:rFonts w:ascii="Arial" w:eastAsia="Calibri" w:hAnsi="Arial" w:cs="Arial"/>
          <w:b/>
          <w:sz w:val="24"/>
          <w:szCs w:val="24"/>
          <w:lang w:val="es-CO"/>
        </w:rPr>
        <w:t>JULIO CÉSAR SALAZAR MUÑOZ</w:t>
      </w:r>
    </w:p>
    <w:p w14:paraId="4EF97A3D" w14:textId="70A6AADC" w:rsidR="00D6390A" w:rsidRPr="00D6390A" w:rsidRDefault="00D6390A" w:rsidP="00D6390A">
      <w:pPr>
        <w:widowControl w:val="0"/>
        <w:autoSpaceDE w:val="0"/>
        <w:autoSpaceDN w:val="0"/>
        <w:adjustRightInd w:val="0"/>
        <w:spacing w:line="276" w:lineRule="auto"/>
        <w:ind w:firstLine="0"/>
        <w:jc w:val="center"/>
        <w:rPr>
          <w:rFonts w:ascii="Arial" w:eastAsia="Calibri" w:hAnsi="Arial" w:cs="Arial"/>
          <w:sz w:val="24"/>
          <w:szCs w:val="24"/>
          <w:lang w:val="es-CO"/>
        </w:rPr>
      </w:pPr>
      <w:r w:rsidRPr="00D6390A">
        <w:rPr>
          <w:rFonts w:ascii="Arial" w:eastAsia="Calibri" w:hAnsi="Arial" w:cs="Arial"/>
          <w:sz w:val="24"/>
          <w:szCs w:val="24"/>
          <w:lang w:val="es-CO"/>
        </w:rPr>
        <w:t>Magistrado</w:t>
      </w:r>
    </w:p>
    <w:sectPr w:rsidR="00D6390A" w:rsidRPr="00D6390A" w:rsidSect="00846C67">
      <w:headerReference w:type="default" r:id="rId12"/>
      <w:footerReference w:type="even" r:id="rId13"/>
      <w:footerReference w:type="default" r:id="rId14"/>
      <w:pgSz w:w="12242" w:h="18722" w:code="258"/>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44E72781"/>
  <w15:commentEx w15:done="0" w15:paraId="329A54D0"/>
  <w15:commentEx w15:done="0" w15:paraId="09A12AE4"/>
  <w15:commentEx w15:done="0" w15:paraId="618A0847" w15:paraIdParent="09A12AE4"/>
  <w15:commentEx w15:done="0" w15:paraId="0EF37F56"/>
  <w15:commentEx w15:done="0" w15:paraId="6F59D547"/>
  <w15:commentEx w15:done="0" w15:paraId="375023F7" w15:paraIdParent="6F59D547"/>
  <w15:commentEx w15:done="0" w15:paraId="73CC237E"/>
  <w15:commentEx w15:done="0" w15:paraId="7FC208F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990B78" w16cex:dateUtc="2020-07-24T20:46:00Z"/>
  <w16cex:commentExtensible w16cex:durableId="44B15A15" w16cex:dateUtc="2020-07-29T19:39:43Z"/>
  <w16cex:commentExtensible w16cex:durableId="5EA8C125" w16cex:dateUtc="2020-09-07T19:03:23.934Z"/>
  <w16cex:commentExtensible w16cex:durableId="6BE151D3" w16cex:dateUtc="2020-09-07T19:04:03.633Z"/>
  <w16cex:commentExtensible w16cex:durableId="29A48F4B" w16cex:dateUtc="2020-09-07T19:04:14Z"/>
  <w16cex:commentExtensible w16cex:durableId="56468EB1" w16cex:dateUtc="2020-09-07T19:20:13.501Z"/>
  <w16cex:commentExtensible w16cex:durableId="3CE31865" w16cex:dateUtc="2020-09-10T19:33:28.515Z"/>
</w16cex:commentsExtensible>
</file>

<file path=word/commentsIds.xml><?xml version="1.0" encoding="utf-8"?>
<w16cid:commentsIds xmlns:mc="http://schemas.openxmlformats.org/markup-compatibility/2006" xmlns:w16cid="http://schemas.microsoft.com/office/word/2016/wordml/cid" mc:Ignorable="w16cid">
  <w16cid:commentId w16cid:paraId="44E72781" w16cid:durableId="44B15A15"/>
  <w16cid:commentId w16cid:paraId="329A54D0" w16cid:durableId="6BE151D3"/>
  <w16cid:commentId w16cid:paraId="09A12AE4" w16cid:durableId="47990B78"/>
  <w16cid:commentId w16cid:paraId="618A0847" w16cid:durableId="22FBAEEC"/>
  <w16cid:commentId w16cid:paraId="0EF37F56" w16cid:durableId="2304AB92"/>
  <w16cid:commentId w16cid:paraId="6F59D547" w16cid:durableId="5EA8C125"/>
  <w16cid:commentId w16cid:paraId="375023F7" w16cid:durableId="56468EB1"/>
  <w16cid:commentId w16cid:paraId="73CC237E" w16cid:durableId="29A48F4B"/>
  <w16cid:commentId w16cid:paraId="7FC208F7" w16cid:durableId="3CE318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B1965" w14:textId="77777777" w:rsidR="00650A70" w:rsidRDefault="00650A70" w:rsidP="00DD32F3">
      <w:pPr>
        <w:spacing w:line="240" w:lineRule="auto"/>
      </w:pPr>
      <w:r>
        <w:separator/>
      </w:r>
    </w:p>
  </w:endnote>
  <w:endnote w:type="continuationSeparator" w:id="0">
    <w:p w14:paraId="4EAC4A4B" w14:textId="77777777" w:rsidR="00650A70" w:rsidRDefault="00650A70" w:rsidP="00DD3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206075754"/>
      <w:docPartObj>
        <w:docPartGallery w:val="Page Numbers (Bottom of Page)"/>
        <w:docPartUnique/>
      </w:docPartObj>
    </w:sdtPr>
    <w:sdtEndPr>
      <w:rPr>
        <w:rStyle w:val="Nmerodepgina"/>
      </w:rPr>
    </w:sdtEndPr>
    <w:sdtContent>
      <w:p w14:paraId="39891DCB" w14:textId="6DE85C28" w:rsidR="009D76CC" w:rsidRDefault="009D76CC" w:rsidP="00A0027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5F816A2" w14:textId="77777777" w:rsidR="009D76CC" w:rsidRDefault="009D76CC" w:rsidP="009D76C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258333870"/>
      <w:docPartObj>
        <w:docPartGallery w:val="Page Numbers (Bottom of Page)"/>
        <w:docPartUnique/>
      </w:docPartObj>
    </w:sdtPr>
    <w:sdtEndPr>
      <w:rPr>
        <w:rStyle w:val="Fuentedeprrafopredeter"/>
        <w:rFonts w:ascii="Arial" w:eastAsia="Times New Roman" w:hAnsi="Arial" w:cs="Arial"/>
        <w:sz w:val="18"/>
        <w:szCs w:val="16"/>
        <w:lang w:eastAsia="es-ES"/>
      </w:rPr>
    </w:sdtEndPr>
    <w:sdtContent>
      <w:p w14:paraId="0F6C35DA" w14:textId="4A63C5B3" w:rsidR="009D76CC" w:rsidRPr="00846C67" w:rsidRDefault="009D76CC" w:rsidP="00A0027B">
        <w:pPr>
          <w:pStyle w:val="Piedepgina"/>
          <w:framePr w:wrap="none" w:vAnchor="text" w:hAnchor="margin" w:xAlign="right" w:y="1"/>
          <w:rPr>
            <w:rFonts w:ascii="Arial" w:eastAsia="Times New Roman" w:hAnsi="Arial" w:cs="Arial"/>
            <w:sz w:val="18"/>
            <w:szCs w:val="16"/>
            <w:lang w:eastAsia="es-ES"/>
          </w:rPr>
        </w:pPr>
        <w:r w:rsidRPr="00846C67">
          <w:rPr>
            <w:rFonts w:ascii="Arial" w:eastAsia="Times New Roman" w:hAnsi="Arial" w:cs="Arial"/>
            <w:sz w:val="18"/>
            <w:szCs w:val="16"/>
            <w:lang w:eastAsia="es-ES"/>
          </w:rPr>
          <w:fldChar w:fldCharType="begin"/>
        </w:r>
        <w:r w:rsidRPr="00846C67">
          <w:rPr>
            <w:rFonts w:ascii="Arial" w:eastAsia="Times New Roman" w:hAnsi="Arial" w:cs="Arial"/>
            <w:sz w:val="18"/>
            <w:szCs w:val="16"/>
            <w:lang w:eastAsia="es-ES"/>
          </w:rPr>
          <w:instrText xml:space="preserve"> PAGE </w:instrText>
        </w:r>
        <w:r w:rsidRPr="00846C67">
          <w:rPr>
            <w:rFonts w:ascii="Arial" w:eastAsia="Times New Roman" w:hAnsi="Arial" w:cs="Arial"/>
            <w:sz w:val="18"/>
            <w:szCs w:val="16"/>
            <w:lang w:eastAsia="es-ES"/>
          </w:rPr>
          <w:fldChar w:fldCharType="separate"/>
        </w:r>
        <w:r w:rsidR="00801D0F">
          <w:rPr>
            <w:rFonts w:ascii="Arial" w:eastAsia="Times New Roman" w:hAnsi="Arial" w:cs="Arial"/>
            <w:noProof/>
            <w:sz w:val="18"/>
            <w:szCs w:val="16"/>
            <w:lang w:eastAsia="es-ES"/>
          </w:rPr>
          <w:t>17</w:t>
        </w:r>
        <w:r w:rsidRPr="00846C67">
          <w:rPr>
            <w:rFonts w:ascii="Arial" w:eastAsia="Times New Roman" w:hAnsi="Arial" w:cs="Arial"/>
            <w:sz w:val="18"/>
            <w:szCs w:val="16"/>
            <w:lang w:eastAsia="es-ES"/>
          </w:rPr>
          <w:fldChar w:fldCharType="end"/>
        </w:r>
      </w:p>
    </w:sdtContent>
  </w:sdt>
  <w:p w14:paraId="6C22D5AD" w14:textId="77777777" w:rsidR="009D76CC" w:rsidRDefault="009D76CC" w:rsidP="009D76C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ACDE1" w14:textId="77777777" w:rsidR="00650A70" w:rsidRDefault="00650A70" w:rsidP="00DD32F3">
      <w:pPr>
        <w:spacing w:line="240" w:lineRule="auto"/>
      </w:pPr>
      <w:r>
        <w:separator/>
      </w:r>
    </w:p>
  </w:footnote>
  <w:footnote w:type="continuationSeparator" w:id="0">
    <w:p w14:paraId="271305F7" w14:textId="77777777" w:rsidR="00650A70" w:rsidRDefault="00650A70" w:rsidP="00DD32F3">
      <w:pPr>
        <w:spacing w:line="240" w:lineRule="auto"/>
      </w:pPr>
      <w:r>
        <w:continuationSeparator/>
      </w:r>
    </w:p>
  </w:footnote>
  <w:footnote w:id="1">
    <w:p w14:paraId="4253FE51" w14:textId="77777777" w:rsidR="00F7005F" w:rsidRPr="002A1E9E" w:rsidRDefault="00F7005F" w:rsidP="002A1E9E">
      <w:pPr>
        <w:pStyle w:val="Textonotapie"/>
        <w:ind w:firstLine="0"/>
        <w:rPr>
          <w:rFonts w:ascii="Arial" w:hAnsi="Arial" w:cs="Arial"/>
          <w:sz w:val="18"/>
          <w:lang w:val="es-CO"/>
        </w:rPr>
      </w:pPr>
      <w:r w:rsidRPr="002A1E9E">
        <w:rPr>
          <w:rStyle w:val="Refdenotaalpie"/>
          <w:rFonts w:ascii="Arial" w:hAnsi="Arial" w:cs="Arial"/>
          <w:sz w:val="18"/>
        </w:rPr>
        <w:footnoteRef/>
      </w:r>
      <w:r w:rsidRPr="002A1E9E">
        <w:rPr>
          <w:rFonts w:ascii="Arial" w:hAnsi="Arial" w:cs="Arial"/>
          <w:sz w:val="18"/>
        </w:rPr>
        <w:t xml:space="preserve"> </w:t>
      </w:r>
      <w:r w:rsidRPr="002A1E9E">
        <w:rPr>
          <w:rFonts w:ascii="Arial" w:hAnsi="Arial" w:cs="Arial"/>
          <w:sz w:val="18"/>
          <w:lang w:val="es-CO"/>
        </w:rPr>
        <w:t xml:space="preserve">Título tomado de la sentencia </w:t>
      </w:r>
      <w:r w:rsidRPr="002A1E9E">
        <w:rPr>
          <w:rFonts w:ascii="Arial" w:hAnsi="Arial" w:cs="Arial"/>
          <w:sz w:val="18"/>
        </w:rPr>
        <w:t xml:space="preserve">del 8 de mayo de </w:t>
      </w:r>
      <w:proofErr w:type="spellStart"/>
      <w:r w:rsidRPr="002A1E9E">
        <w:rPr>
          <w:rFonts w:ascii="Arial" w:hAnsi="Arial" w:cs="Arial"/>
          <w:sz w:val="18"/>
        </w:rPr>
        <w:t>2019SL</w:t>
      </w:r>
      <w:proofErr w:type="spellEnd"/>
      <w:r w:rsidRPr="002A1E9E">
        <w:rPr>
          <w:rFonts w:ascii="Arial" w:hAnsi="Arial" w:cs="Arial"/>
          <w:sz w:val="18"/>
        </w:rPr>
        <w:t xml:space="preserve"> 1688-2019, Radicado 68838, con Ponencia de la Dra. Clara Cecilia Dueñas Quevedo</w:t>
      </w:r>
    </w:p>
  </w:footnote>
  <w:footnote w:id="2">
    <w:p w14:paraId="2B504A62" w14:textId="77777777" w:rsidR="00F7005F" w:rsidRPr="002A1E9E" w:rsidRDefault="00F7005F" w:rsidP="002A1E9E">
      <w:pPr>
        <w:pStyle w:val="Textonotapie"/>
        <w:ind w:firstLine="0"/>
        <w:rPr>
          <w:rFonts w:ascii="Arial" w:hAnsi="Arial" w:cs="Arial"/>
          <w:sz w:val="18"/>
          <w:lang w:val="es-CO"/>
        </w:rPr>
      </w:pPr>
      <w:r w:rsidRPr="002A1E9E">
        <w:rPr>
          <w:rStyle w:val="Refdenotaalpie"/>
          <w:rFonts w:ascii="Arial" w:hAnsi="Arial" w:cs="Arial"/>
          <w:sz w:val="18"/>
        </w:rPr>
        <w:footnoteRef/>
      </w:r>
      <w:r w:rsidRPr="002A1E9E">
        <w:rPr>
          <w:rFonts w:ascii="Arial" w:hAnsi="Arial" w:cs="Arial"/>
          <w:sz w:val="18"/>
        </w:rPr>
        <w:t xml:space="preserve"> </w:t>
      </w:r>
      <w:r w:rsidRPr="002A1E9E">
        <w:rPr>
          <w:rFonts w:ascii="Arial" w:hAnsi="Arial" w:cs="Arial"/>
          <w:sz w:val="18"/>
          <w:lang w:val="es-CO"/>
        </w:rPr>
        <w:t xml:space="preserve">Estatuto Orgánico del Sistema Financiero </w:t>
      </w:r>
    </w:p>
  </w:footnote>
  <w:footnote w:id="3">
    <w:p w14:paraId="095FDCE2" w14:textId="1BF10417" w:rsidR="00F7005F" w:rsidRPr="002A1E9E" w:rsidRDefault="00F7005F" w:rsidP="002A1E9E">
      <w:pPr>
        <w:pStyle w:val="Textonotapie"/>
        <w:ind w:firstLine="0"/>
        <w:rPr>
          <w:rFonts w:ascii="Arial" w:hAnsi="Arial" w:cs="Arial"/>
          <w:sz w:val="18"/>
          <w:lang w:val="es-CO"/>
        </w:rPr>
      </w:pPr>
      <w:r w:rsidRPr="002A1E9E">
        <w:rPr>
          <w:rStyle w:val="Refdenotaalpie"/>
          <w:rFonts w:ascii="Arial" w:hAnsi="Arial" w:cs="Arial"/>
          <w:sz w:val="18"/>
        </w:rPr>
        <w:footnoteRef/>
      </w:r>
      <w:r w:rsidRPr="002A1E9E">
        <w:rPr>
          <w:rFonts w:ascii="Arial" w:hAnsi="Arial" w:cs="Arial"/>
          <w:sz w:val="18"/>
        </w:rPr>
        <w:t xml:space="preserve"> </w:t>
      </w:r>
      <w:r w:rsidRPr="002A1E9E">
        <w:rPr>
          <w:rFonts w:ascii="Arial" w:hAnsi="Arial" w:cs="Arial"/>
          <w:sz w:val="18"/>
          <w:lang w:val="es-CO"/>
        </w:rPr>
        <w:t xml:space="preserve">Título tomado de la sentencia </w:t>
      </w:r>
      <w:r w:rsidRPr="002A1E9E">
        <w:rPr>
          <w:rFonts w:ascii="Arial" w:hAnsi="Arial" w:cs="Arial"/>
          <w:sz w:val="18"/>
        </w:rPr>
        <w:t xml:space="preserve">del 8 de mayo de </w:t>
      </w:r>
      <w:proofErr w:type="spellStart"/>
      <w:r w:rsidRPr="002A1E9E">
        <w:rPr>
          <w:rFonts w:ascii="Arial" w:hAnsi="Arial" w:cs="Arial"/>
          <w:sz w:val="18"/>
        </w:rPr>
        <w:t>2019SL</w:t>
      </w:r>
      <w:proofErr w:type="spellEnd"/>
      <w:r w:rsidRPr="002A1E9E">
        <w:rPr>
          <w:rFonts w:ascii="Arial" w:hAnsi="Arial" w:cs="Arial"/>
          <w:sz w:val="18"/>
        </w:rPr>
        <w:t xml:space="preserve"> 1688-2019, Radicado 68838, con Ponencia de la Dra. Clara Cecilia Dueñas Quevedo</w:t>
      </w:r>
    </w:p>
  </w:footnote>
  <w:footnote w:id="4">
    <w:p w14:paraId="3DA96F31" w14:textId="77777777" w:rsidR="00F7005F" w:rsidRPr="002A1E9E" w:rsidRDefault="00F7005F" w:rsidP="002A1E9E">
      <w:pPr>
        <w:pStyle w:val="Textonotapie"/>
        <w:ind w:firstLine="0"/>
        <w:rPr>
          <w:rFonts w:ascii="Arial" w:hAnsi="Arial" w:cs="Arial"/>
          <w:sz w:val="18"/>
          <w:lang w:val="es-CO"/>
        </w:rPr>
      </w:pPr>
      <w:r w:rsidRPr="002A1E9E">
        <w:rPr>
          <w:rStyle w:val="Refdenotaalpie"/>
          <w:rFonts w:ascii="Arial" w:hAnsi="Arial" w:cs="Arial"/>
          <w:sz w:val="18"/>
        </w:rPr>
        <w:footnoteRef/>
      </w:r>
      <w:r w:rsidRPr="002A1E9E">
        <w:rPr>
          <w:rFonts w:ascii="Arial" w:hAnsi="Arial" w:cs="Arial"/>
          <w:sz w:val="18"/>
        </w:rPr>
        <w:t xml:space="preserve"> </w:t>
      </w:r>
      <w:r w:rsidRPr="002A1E9E">
        <w:rPr>
          <w:rFonts w:ascii="Arial" w:hAnsi="Arial" w:cs="Arial"/>
          <w:sz w:val="18"/>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A8038" w14:textId="53220259" w:rsidR="00F7005F" w:rsidRPr="00846C67" w:rsidRDefault="00F7005F" w:rsidP="00F7005F">
    <w:pPr>
      <w:pStyle w:val="NormalWeb"/>
      <w:spacing w:before="0" w:beforeAutospacing="0" w:after="0" w:afterAutospacing="0"/>
      <w:jc w:val="both"/>
      <w:rPr>
        <w:rFonts w:ascii="Arial" w:hAnsi="Arial" w:cs="Arial"/>
        <w:sz w:val="18"/>
        <w:szCs w:val="16"/>
      </w:rPr>
    </w:pPr>
    <w:r w:rsidRPr="00846C67">
      <w:rPr>
        <w:rFonts w:ascii="Arial" w:hAnsi="Arial" w:cs="Arial"/>
        <w:sz w:val="18"/>
        <w:szCs w:val="16"/>
      </w:rPr>
      <w:t>Radicación No.: 66001-31-05-005-2017-00330-01</w:t>
    </w:r>
  </w:p>
  <w:p w14:paraId="55C9A8B2" w14:textId="37099E77" w:rsidR="00F7005F" w:rsidRPr="00846C67" w:rsidRDefault="00F7005F" w:rsidP="00F7005F">
    <w:pPr>
      <w:pStyle w:val="NormalWeb"/>
      <w:spacing w:before="0" w:beforeAutospacing="0" w:after="0" w:afterAutospacing="0"/>
      <w:jc w:val="both"/>
      <w:rPr>
        <w:rFonts w:ascii="Arial" w:hAnsi="Arial" w:cs="Arial"/>
        <w:sz w:val="18"/>
        <w:szCs w:val="16"/>
      </w:rPr>
    </w:pPr>
    <w:r w:rsidRPr="00846C67">
      <w:rPr>
        <w:rFonts w:ascii="Arial" w:hAnsi="Arial" w:cs="Arial"/>
        <w:sz w:val="18"/>
        <w:szCs w:val="16"/>
      </w:rPr>
      <w:t xml:space="preserve">Demandante: María Nelly Bermúdez Bedoya </w:t>
    </w:r>
  </w:p>
  <w:p w14:paraId="480ACCC5" w14:textId="3FA27008" w:rsidR="00F7005F" w:rsidRPr="00846C67" w:rsidRDefault="00F7005F" w:rsidP="00846C67">
    <w:pPr>
      <w:pStyle w:val="NormalWeb"/>
      <w:spacing w:before="0" w:beforeAutospacing="0" w:after="0" w:afterAutospacing="0"/>
      <w:jc w:val="both"/>
      <w:rPr>
        <w:rFonts w:ascii="Arial" w:hAnsi="Arial" w:cs="Arial"/>
        <w:sz w:val="18"/>
        <w:szCs w:val="16"/>
      </w:rPr>
    </w:pPr>
    <w:r w:rsidRPr="00846C67">
      <w:rPr>
        <w:rFonts w:ascii="Arial" w:hAnsi="Arial" w:cs="Arial"/>
        <w:sz w:val="18"/>
        <w:szCs w:val="16"/>
      </w:rPr>
      <w:t>Demandado: Porvenir S.A. y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73E"/>
    <w:multiLevelType w:val="multilevel"/>
    <w:tmpl w:val="A32A03FA"/>
    <w:lvl w:ilvl="0">
      <w:start w:val="5"/>
      <w:numFmt w:val="upperRoman"/>
      <w:lvlText w:val="%1."/>
      <w:lvlJc w:val="left"/>
      <w:pPr>
        <w:ind w:left="2160" w:hanging="720"/>
      </w:pPr>
      <w:rPr>
        <w:rFonts w:ascii="Tahoma" w:hAnsi="Tahoma" w:cs="Tahoma" w:hint="default"/>
        <w:b/>
      </w:rPr>
    </w:lvl>
    <w:lvl w:ilvl="1">
      <w:start w:val="1"/>
      <w:numFmt w:val="decimal"/>
      <w:lvlText w:val="%1.%2"/>
      <w:lvlJc w:val="left"/>
      <w:pPr>
        <w:ind w:left="2160" w:hanging="720"/>
      </w:p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960" w:hanging="2520"/>
      </w:pPr>
      <w:rPr>
        <w:rFonts w:hint="default"/>
      </w:rPr>
    </w:lvl>
  </w:abstractNum>
  <w:abstractNum w:abstractNumId="1">
    <w:nsid w:val="044C09FC"/>
    <w:multiLevelType w:val="hybridMultilevel"/>
    <w:tmpl w:val="9F4EFD7A"/>
    <w:lvl w:ilvl="0" w:tplc="E46E0098">
      <w:start w:val="1"/>
      <w:numFmt w:val="decimal"/>
      <w:lvlText w:val="%1)"/>
      <w:lvlJc w:val="left"/>
      <w:pPr>
        <w:ind w:left="720" w:hanging="360"/>
      </w:pPr>
      <w:rPr>
        <w:rFonts w:ascii="Tahoma" w:hAnsi="Tahoma" w:cs="Tahoma"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4E02A0F"/>
    <w:multiLevelType w:val="hybridMultilevel"/>
    <w:tmpl w:val="D4E27AF4"/>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0A42889"/>
    <w:multiLevelType w:val="multilevel"/>
    <w:tmpl w:val="7492A84E"/>
    <w:lvl w:ilvl="0">
      <w:start w:val="1"/>
      <w:numFmt w:val="decimal"/>
      <w:lvlText w:val="%1."/>
      <w:lvlJc w:val="left"/>
      <w:pPr>
        <w:ind w:left="1069" w:hanging="360"/>
      </w:pPr>
      <w:rPr>
        <w:rFonts w:hint="default"/>
        <w:b/>
        <w:sz w:val="22"/>
      </w:rPr>
    </w:lvl>
    <w:lvl w:ilvl="1">
      <w:start w:val="1"/>
      <w:numFmt w:val="decimal"/>
      <w:isLgl/>
      <w:lvlText w:val="%1.%2."/>
      <w:lvlJc w:val="left"/>
      <w:pPr>
        <w:ind w:left="1429" w:hanging="720"/>
      </w:pPr>
      <w:rPr>
        <w:rFonts w:ascii="Tahoma" w:hAnsi="Tahoma" w:cs="Tahoma" w:hint="default"/>
        <w:b/>
        <w:i w:val="0"/>
        <w:sz w:val="24"/>
        <w:szCs w:val="24"/>
      </w:rPr>
    </w:lvl>
    <w:lvl w:ilvl="2">
      <w:start w:val="1"/>
      <w:numFmt w:val="decimal"/>
      <w:isLgl/>
      <w:lvlText w:val="%1.%2.%3."/>
      <w:lvlJc w:val="left"/>
      <w:pPr>
        <w:ind w:left="1789" w:hanging="108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3229" w:hanging="2520"/>
      </w:pPr>
      <w:rPr>
        <w:rFonts w:hint="default"/>
      </w:rPr>
    </w:lvl>
    <w:lvl w:ilvl="8">
      <w:start w:val="1"/>
      <w:numFmt w:val="decimal"/>
      <w:isLgl/>
      <w:lvlText w:val="%1.%2.%3.%4.%5.%6.%7.%8.%9."/>
      <w:lvlJc w:val="left"/>
      <w:pPr>
        <w:ind w:left="3229" w:hanging="2520"/>
      </w:pPr>
      <w:rPr>
        <w:rFonts w:hint="default"/>
      </w:rPr>
    </w:lvl>
  </w:abstractNum>
  <w:abstractNum w:abstractNumId="5">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9041354"/>
    <w:multiLevelType w:val="hybridMultilevel"/>
    <w:tmpl w:val="F258C088"/>
    <w:lvl w:ilvl="0" w:tplc="D71251EA">
      <w:start w:val="5"/>
      <w:numFmt w:val="upperRoman"/>
      <w:lvlText w:val="%1."/>
      <w:lvlJc w:val="left"/>
      <w:pPr>
        <w:ind w:left="2136" w:hanging="72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7">
    <w:nsid w:val="3A0B72F0"/>
    <w:multiLevelType w:val="multilevel"/>
    <w:tmpl w:val="7654EE32"/>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AF46D65"/>
    <w:multiLevelType w:val="hybridMultilevel"/>
    <w:tmpl w:val="8F12308E"/>
    <w:lvl w:ilvl="0" w:tplc="3A3A2CCC">
      <w:start w:val="1"/>
      <w:numFmt w:val="upperLetter"/>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9">
    <w:nsid w:val="486C20FD"/>
    <w:multiLevelType w:val="hybridMultilevel"/>
    <w:tmpl w:val="4A50665A"/>
    <w:lvl w:ilvl="0" w:tplc="0890D552">
      <w:start w:val="1"/>
      <w:numFmt w:val="lowerRoman"/>
      <w:lvlText w:val="%1)"/>
      <w:lvlJc w:val="left"/>
      <w:pPr>
        <w:ind w:left="1428" w:hanging="720"/>
      </w:pPr>
      <w:rPr>
        <w:rFonts w:hint="default"/>
        <w:b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8"/>
  </w:num>
  <w:num w:numId="6">
    <w:abstractNumId w:val="4"/>
  </w:num>
  <w:num w:numId="7">
    <w:abstractNumId w:val="9"/>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bering>
</file>

<file path=word/people.xml><?xml version="1.0" encoding="utf-8"?>
<w15:people xmlns:mc="http://schemas.openxmlformats.org/markup-compatibility/2006" xmlns:w15="http://schemas.microsoft.com/office/word/2012/wordml" mc:Ignorable="w15">
  <w15:person w15:author="Olga Lucia Hoyos Sepulveda">
    <w15:presenceInfo w15:providerId="AD" w15:userId="S::ohoyoss@cendoj.ramajudicial.gov.co::47f5a66d-67f7-4b8c-8dec-7488f4ef6f36"/>
  </w15:person>
  <w15:person w15:author="Julio Cesar Salazar Muñoz">
    <w15:presenceInfo w15:providerId="AD" w15:userId="S::jsalazam@cendoj.ramajudicial.gov.co::0c1ad900-a666-453a-a3df-dd60b13d26ec"/>
  </w15:person>
  <w15:person w15:author="Ana Lucia Caicedo Calderon">
    <w15:presenceInfo w15:providerId="None" w15:userId="Ana Lucia Caicedo Calde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5E"/>
    <w:rsid w:val="00027A71"/>
    <w:rsid w:val="0012521F"/>
    <w:rsid w:val="00171FBA"/>
    <w:rsid w:val="001D3073"/>
    <w:rsid w:val="002700CA"/>
    <w:rsid w:val="002A1E9E"/>
    <w:rsid w:val="002D2713"/>
    <w:rsid w:val="00304E50"/>
    <w:rsid w:val="0033091F"/>
    <w:rsid w:val="00332FEE"/>
    <w:rsid w:val="00333986"/>
    <w:rsid w:val="0036450B"/>
    <w:rsid w:val="0038489F"/>
    <w:rsid w:val="00392A9D"/>
    <w:rsid w:val="00395C8D"/>
    <w:rsid w:val="00396ECA"/>
    <w:rsid w:val="003E268D"/>
    <w:rsid w:val="0046235C"/>
    <w:rsid w:val="004D21A3"/>
    <w:rsid w:val="00615B27"/>
    <w:rsid w:val="00647006"/>
    <w:rsid w:val="00650A70"/>
    <w:rsid w:val="00650E5E"/>
    <w:rsid w:val="007003F3"/>
    <w:rsid w:val="007D73A3"/>
    <w:rsid w:val="007F4638"/>
    <w:rsid w:val="00801D0F"/>
    <w:rsid w:val="00846C67"/>
    <w:rsid w:val="008905F4"/>
    <w:rsid w:val="008E74E3"/>
    <w:rsid w:val="008F01E6"/>
    <w:rsid w:val="00910A3B"/>
    <w:rsid w:val="00920C79"/>
    <w:rsid w:val="009D76CC"/>
    <w:rsid w:val="00A31871"/>
    <w:rsid w:val="00A35005"/>
    <w:rsid w:val="00AD27F0"/>
    <w:rsid w:val="00AD47C0"/>
    <w:rsid w:val="00B5475E"/>
    <w:rsid w:val="00B5754B"/>
    <w:rsid w:val="00B72DD7"/>
    <w:rsid w:val="00C31084"/>
    <w:rsid w:val="00CC789D"/>
    <w:rsid w:val="00CD787F"/>
    <w:rsid w:val="00D55A2E"/>
    <w:rsid w:val="00D6390A"/>
    <w:rsid w:val="00D66617"/>
    <w:rsid w:val="00D66F38"/>
    <w:rsid w:val="00D73D67"/>
    <w:rsid w:val="00DD32F3"/>
    <w:rsid w:val="00EB1FE9"/>
    <w:rsid w:val="00ED4866"/>
    <w:rsid w:val="00EE41CB"/>
    <w:rsid w:val="00F109C6"/>
    <w:rsid w:val="00F7005F"/>
    <w:rsid w:val="02A10D51"/>
    <w:rsid w:val="159115DB"/>
    <w:rsid w:val="1DD08B7B"/>
    <w:rsid w:val="1F58EFD7"/>
    <w:rsid w:val="265A0E9D"/>
    <w:rsid w:val="2C03A4CF"/>
    <w:rsid w:val="2C671031"/>
    <w:rsid w:val="3F6F1D9C"/>
    <w:rsid w:val="494A4F6C"/>
    <w:rsid w:val="4E24A7C8"/>
    <w:rsid w:val="4E2D3642"/>
    <w:rsid w:val="5012A1E3"/>
    <w:rsid w:val="56F21C4B"/>
    <w:rsid w:val="659AAA57"/>
    <w:rsid w:val="69B8B4E3"/>
    <w:rsid w:val="69F71001"/>
    <w:rsid w:val="77690BBA"/>
    <w:rsid w:val="7A9990F8"/>
    <w:rsid w:val="7AA62A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5E"/>
    <w:pPr>
      <w:spacing w:after="0"/>
      <w:ind w:firstLine="709"/>
      <w:jc w:val="both"/>
    </w:pPr>
    <w:rPr>
      <w:lang w:val="es-ES"/>
    </w:rPr>
  </w:style>
  <w:style w:type="paragraph" w:styleId="Ttulo4">
    <w:name w:val="heading 4"/>
    <w:basedOn w:val="Normal"/>
    <w:next w:val="Normal"/>
    <w:link w:val="Ttulo4Car"/>
    <w:unhideWhenUsed/>
    <w:qFormat/>
    <w:rsid w:val="00B5475E"/>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5475E"/>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B5475E"/>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B5475E"/>
    <w:rPr>
      <w:sz w:val="24"/>
      <w:szCs w:val="24"/>
    </w:rPr>
  </w:style>
  <w:style w:type="paragraph" w:styleId="Sinespaciado">
    <w:name w:val="No Spacing"/>
    <w:link w:val="SinespaciadoCar"/>
    <w:qFormat/>
    <w:rsid w:val="00B5475E"/>
    <w:pPr>
      <w:spacing w:after="0" w:line="240" w:lineRule="auto"/>
    </w:pPr>
    <w:rPr>
      <w:sz w:val="24"/>
      <w:szCs w:val="24"/>
    </w:rPr>
  </w:style>
  <w:style w:type="paragraph" w:styleId="Textoindependiente">
    <w:name w:val="Body Text"/>
    <w:basedOn w:val="Normal"/>
    <w:link w:val="TextoindependienteCar"/>
    <w:uiPriority w:val="99"/>
    <w:semiHidden/>
    <w:unhideWhenUsed/>
    <w:rsid w:val="00B5475E"/>
    <w:pPr>
      <w:spacing w:after="120"/>
    </w:pPr>
  </w:style>
  <w:style w:type="character" w:customStyle="1" w:styleId="TextoindependienteCar">
    <w:name w:val="Texto independiente Car"/>
    <w:basedOn w:val="Fuentedeprrafopredeter"/>
    <w:link w:val="Textoindependiente"/>
    <w:uiPriority w:val="99"/>
    <w:semiHidden/>
    <w:rsid w:val="00B5475E"/>
    <w:rPr>
      <w:lang w:val="es-ES"/>
    </w:rPr>
  </w:style>
  <w:style w:type="paragraph" w:styleId="Prrafodelista">
    <w:name w:val="List Paragraph"/>
    <w:basedOn w:val="Normal"/>
    <w:uiPriority w:val="34"/>
    <w:qFormat/>
    <w:rsid w:val="00B5475E"/>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B5475E"/>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B5475E"/>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B5475E"/>
  </w:style>
  <w:style w:type="character" w:customStyle="1" w:styleId="eop">
    <w:name w:val="eop"/>
    <w:basedOn w:val="Fuentedeprrafopredeter"/>
    <w:rsid w:val="00B5475E"/>
  </w:style>
  <w:style w:type="character" w:styleId="Refdecomentario">
    <w:name w:val="annotation reference"/>
    <w:basedOn w:val="Fuentedeprrafopredeter"/>
    <w:uiPriority w:val="99"/>
    <w:unhideWhenUsed/>
    <w:rsid w:val="001D3073"/>
    <w:rPr>
      <w:sz w:val="16"/>
      <w:szCs w:val="16"/>
    </w:rPr>
  </w:style>
  <w:style w:type="paragraph" w:styleId="Textocomentario">
    <w:name w:val="annotation text"/>
    <w:basedOn w:val="Normal"/>
    <w:link w:val="TextocomentarioCar"/>
    <w:uiPriority w:val="99"/>
    <w:unhideWhenUsed/>
    <w:rsid w:val="001D3073"/>
    <w:pPr>
      <w:spacing w:line="240" w:lineRule="auto"/>
      <w:ind w:firstLine="0"/>
      <w:jc w:val="left"/>
    </w:pPr>
    <w:rPr>
      <w:sz w:val="20"/>
      <w:szCs w:val="20"/>
      <w:lang w:val="es-ES_tradnl"/>
    </w:rPr>
  </w:style>
  <w:style w:type="character" w:customStyle="1" w:styleId="TextocomentarioCar">
    <w:name w:val="Texto comentario Car"/>
    <w:basedOn w:val="Fuentedeprrafopredeter"/>
    <w:link w:val="Textocomentario"/>
    <w:uiPriority w:val="99"/>
    <w:rsid w:val="001D3073"/>
    <w:rPr>
      <w:sz w:val="20"/>
      <w:szCs w:val="20"/>
      <w:lang w:val="es-ES_tradnl"/>
    </w:rPr>
  </w:style>
  <w:style w:type="paragraph" w:styleId="Textodeglobo">
    <w:name w:val="Balloon Text"/>
    <w:basedOn w:val="Normal"/>
    <w:link w:val="TextodegloboCar"/>
    <w:uiPriority w:val="99"/>
    <w:semiHidden/>
    <w:unhideWhenUsed/>
    <w:rsid w:val="00DD32F3"/>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D32F3"/>
    <w:rPr>
      <w:rFonts w:ascii="Times New Roman" w:hAnsi="Times New Roman" w:cs="Times New Roman"/>
      <w:sz w:val="18"/>
      <w:szCs w:val="18"/>
      <w:lang w:val="es-ES"/>
    </w:rPr>
  </w:style>
  <w:style w:type="paragraph" w:styleId="Sangradetextonormal">
    <w:name w:val="Body Text Indent"/>
    <w:basedOn w:val="Normal"/>
    <w:link w:val="SangradetextonormalCar"/>
    <w:uiPriority w:val="99"/>
    <w:semiHidden/>
    <w:unhideWhenUsed/>
    <w:rsid w:val="00DD32F3"/>
    <w:pPr>
      <w:spacing w:after="120"/>
      <w:ind w:left="283"/>
    </w:pPr>
  </w:style>
  <w:style w:type="character" w:customStyle="1" w:styleId="SangradetextonormalCar">
    <w:name w:val="Sangría de texto normal Car"/>
    <w:basedOn w:val="Fuentedeprrafopredeter"/>
    <w:link w:val="Sangradetextonormal"/>
    <w:uiPriority w:val="99"/>
    <w:semiHidden/>
    <w:rsid w:val="00DD32F3"/>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DD32F3"/>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D32F3"/>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D32F3"/>
    <w:rPr>
      <w:vertAlign w:val="superscript"/>
    </w:rPr>
  </w:style>
  <w:style w:type="paragraph" w:customStyle="1" w:styleId="xmsonormal">
    <w:name w:val="x_msonormal"/>
    <w:basedOn w:val="Normal"/>
    <w:rsid w:val="00DD32F3"/>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D76C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D76CC"/>
    <w:rPr>
      <w:lang w:val="es-ES"/>
    </w:rPr>
  </w:style>
  <w:style w:type="character" w:styleId="Nmerodepgina">
    <w:name w:val="page number"/>
    <w:basedOn w:val="Fuentedeprrafopredeter"/>
    <w:uiPriority w:val="99"/>
    <w:semiHidden/>
    <w:unhideWhenUsed/>
    <w:rsid w:val="009D76CC"/>
  </w:style>
  <w:style w:type="paragraph" w:styleId="Encabezado">
    <w:name w:val="header"/>
    <w:basedOn w:val="Normal"/>
    <w:link w:val="EncabezadoCar"/>
    <w:uiPriority w:val="99"/>
    <w:unhideWhenUsed/>
    <w:rsid w:val="00F7005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7005F"/>
    <w:rPr>
      <w:lang w:val="es-ES"/>
    </w:rPr>
  </w:style>
  <w:style w:type="table" w:styleId="Tablaconcuadrcula">
    <w:name w:val="Table Grid"/>
    <w:basedOn w:val="Tablanormal"/>
    <w:rsid w:val="00F7005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ED4866"/>
    <w:pPr>
      <w:ind w:firstLine="709"/>
      <w:jc w:val="both"/>
    </w:pPr>
    <w:rPr>
      <w:b/>
      <w:bCs/>
      <w:lang w:val="es-ES"/>
    </w:rPr>
  </w:style>
  <w:style w:type="character" w:customStyle="1" w:styleId="AsuntodelcomentarioCar">
    <w:name w:val="Asunto del comentario Car"/>
    <w:basedOn w:val="TextocomentarioCar"/>
    <w:link w:val="Asuntodelcomentario"/>
    <w:uiPriority w:val="99"/>
    <w:semiHidden/>
    <w:rsid w:val="00ED4866"/>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5E"/>
    <w:pPr>
      <w:spacing w:after="0"/>
      <w:ind w:firstLine="709"/>
      <w:jc w:val="both"/>
    </w:pPr>
    <w:rPr>
      <w:lang w:val="es-ES"/>
    </w:rPr>
  </w:style>
  <w:style w:type="paragraph" w:styleId="Ttulo4">
    <w:name w:val="heading 4"/>
    <w:basedOn w:val="Normal"/>
    <w:next w:val="Normal"/>
    <w:link w:val="Ttulo4Car"/>
    <w:unhideWhenUsed/>
    <w:qFormat/>
    <w:rsid w:val="00B5475E"/>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5475E"/>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B5475E"/>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B5475E"/>
    <w:rPr>
      <w:sz w:val="24"/>
      <w:szCs w:val="24"/>
    </w:rPr>
  </w:style>
  <w:style w:type="paragraph" w:styleId="Sinespaciado">
    <w:name w:val="No Spacing"/>
    <w:link w:val="SinespaciadoCar"/>
    <w:qFormat/>
    <w:rsid w:val="00B5475E"/>
    <w:pPr>
      <w:spacing w:after="0" w:line="240" w:lineRule="auto"/>
    </w:pPr>
    <w:rPr>
      <w:sz w:val="24"/>
      <w:szCs w:val="24"/>
    </w:rPr>
  </w:style>
  <w:style w:type="paragraph" w:styleId="Textoindependiente">
    <w:name w:val="Body Text"/>
    <w:basedOn w:val="Normal"/>
    <w:link w:val="TextoindependienteCar"/>
    <w:uiPriority w:val="99"/>
    <w:semiHidden/>
    <w:unhideWhenUsed/>
    <w:rsid w:val="00B5475E"/>
    <w:pPr>
      <w:spacing w:after="120"/>
    </w:pPr>
  </w:style>
  <w:style w:type="character" w:customStyle="1" w:styleId="TextoindependienteCar">
    <w:name w:val="Texto independiente Car"/>
    <w:basedOn w:val="Fuentedeprrafopredeter"/>
    <w:link w:val="Textoindependiente"/>
    <w:uiPriority w:val="99"/>
    <w:semiHidden/>
    <w:rsid w:val="00B5475E"/>
    <w:rPr>
      <w:lang w:val="es-ES"/>
    </w:rPr>
  </w:style>
  <w:style w:type="paragraph" w:styleId="Prrafodelista">
    <w:name w:val="List Paragraph"/>
    <w:basedOn w:val="Normal"/>
    <w:uiPriority w:val="34"/>
    <w:qFormat/>
    <w:rsid w:val="00B5475E"/>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B5475E"/>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B5475E"/>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B5475E"/>
  </w:style>
  <w:style w:type="character" w:customStyle="1" w:styleId="eop">
    <w:name w:val="eop"/>
    <w:basedOn w:val="Fuentedeprrafopredeter"/>
    <w:rsid w:val="00B5475E"/>
  </w:style>
  <w:style w:type="character" w:styleId="Refdecomentario">
    <w:name w:val="annotation reference"/>
    <w:basedOn w:val="Fuentedeprrafopredeter"/>
    <w:uiPriority w:val="99"/>
    <w:unhideWhenUsed/>
    <w:rsid w:val="001D3073"/>
    <w:rPr>
      <w:sz w:val="16"/>
      <w:szCs w:val="16"/>
    </w:rPr>
  </w:style>
  <w:style w:type="paragraph" w:styleId="Textocomentario">
    <w:name w:val="annotation text"/>
    <w:basedOn w:val="Normal"/>
    <w:link w:val="TextocomentarioCar"/>
    <w:uiPriority w:val="99"/>
    <w:unhideWhenUsed/>
    <w:rsid w:val="001D3073"/>
    <w:pPr>
      <w:spacing w:line="240" w:lineRule="auto"/>
      <w:ind w:firstLine="0"/>
      <w:jc w:val="left"/>
    </w:pPr>
    <w:rPr>
      <w:sz w:val="20"/>
      <w:szCs w:val="20"/>
      <w:lang w:val="es-ES_tradnl"/>
    </w:rPr>
  </w:style>
  <w:style w:type="character" w:customStyle="1" w:styleId="TextocomentarioCar">
    <w:name w:val="Texto comentario Car"/>
    <w:basedOn w:val="Fuentedeprrafopredeter"/>
    <w:link w:val="Textocomentario"/>
    <w:uiPriority w:val="99"/>
    <w:rsid w:val="001D3073"/>
    <w:rPr>
      <w:sz w:val="20"/>
      <w:szCs w:val="20"/>
      <w:lang w:val="es-ES_tradnl"/>
    </w:rPr>
  </w:style>
  <w:style w:type="paragraph" w:styleId="Textodeglobo">
    <w:name w:val="Balloon Text"/>
    <w:basedOn w:val="Normal"/>
    <w:link w:val="TextodegloboCar"/>
    <w:uiPriority w:val="99"/>
    <w:semiHidden/>
    <w:unhideWhenUsed/>
    <w:rsid w:val="00DD32F3"/>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D32F3"/>
    <w:rPr>
      <w:rFonts w:ascii="Times New Roman" w:hAnsi="Times New Roman" w:cs="Times New Roman"/>
      <w:sz w:val="18"/>
      <w:szCs w:val="18"/>
      <w:lang w:val="es-ES"/>
    </w:rPr>
  </w:style>
  <w:style w:type="paragraph" w:styleId="Sangradetextonormal">
    <w:name w:val="Body Text Indent"/>
    <w:basedOn w:val="Normal"/>
    <w:link w:val="SangradetextonormalCar"/>
    <w:uiPriority w:val="99"/>
    <w:semiHidden/>
    <w:unhideWhenUsed/>
    <w:rsid w:val="00DD32F3"/>
    <w:pPr>
      <w:spacing w:after="120"/>
      <w:ind w:left="283"/>
    </w:pPr>
  </w:style>
  <w:style w:type="character" w:customStyle="1" w:styleId="SangradetextonormalCar">
    <w:name w:val="Sangría de texto normal Car"/>
    <w:basedOn w:val="Fuentedeprrafopredeter"/>
    <w:link w:val="Sangradetextonormal"/>
    <w:uiPriority w:val="99"/>
    <w:semiHidden/>
    <w:rsid w:val="00DD32F3"/>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DD32F3"/>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D32F3"/>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D32F3"/>
    <w:rPr>
      <w:vertAlign w:val="superscript"/>
    </w:rPr>
  </w:style>
  <w:style w:type="paragraph" w:customStyle="1" w:styleId="xmsonormal">
    <w:name w:val="x_msonormal"/>
    <w:basedOn w:val="Normal"/>
    <w:rsid w:val="00DD32F3"/>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D76C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D76CC"/>
    <w:rPr>
      <w:lang w:val="es-ES"/>
    </w:rPr>
  </w:style>
  <w:style w:type="character" w:styleId="Nmerodepgina">
    <w:name w:val="page number"/>
    <w:basedOn w:val="Fuentedeprrafopredeter"/>
    <w:uiPriority w:val="99"/>
    <w:semiHidden/>
    <w:unhideWhenUsed/>
    <w:rsid w:val="009D76CC"/>
  </w:style>
  <w:style w:type="paragraph" w:styleId="Encabezado">
    <w:name w:val="header"/>
    <w:basedOn w:val="Normal"/>
    <w:link w:val="EncabezadoCar"/>
    <w:uiPriority w:val="99"/>
    <w:unhideWhenUsed/>
    <w:rsid w:val="00F7005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7005F"/>
    <w:rPr>
      <w:lang w:val="es-ES"/>
    </w:rPr>
  </w:style>
  <w:style w:type="table" w:styleId="Tablaconcuadrcula">
    <w:name w:val="Table Grid"/>
    <w:basedOn w:val="Tablanormal"/>
    <w:rsid w:val="00F7005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ED4866"/>
    <w:pPr>
      <w:ind w:firstLine="709"/>
      <w:jc w:val="both"/>
    </w:pPr>
    <w:rPr>
      <w:b/>
      <w:bCs/>
      <w:lang w:val="es-ES"/>
    </w:rPr>
  </w:style>
  <w:style w:type="character" w:customStyle="1" w:styleId="AsuntodelcomentarioCar">
    <w:name w:val="Asunto del comentario Car"/>
    <w:basedOn w:val="TextocomentarioCar"/>
    <w:link w:val="Asuntodelcomentario"/>
    <w:uiPriority w:val="99"/>
    <w:semiHidden/>
    <w:rsid w:val="00ED4866"/>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1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8" ma:contentTypeDescription="Crear nuevo documento." ma:contentTypeScope="" ma:versionID="7c03ac4363402829e1296adbeb89947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07ec761022493793c4bdfaecd373c5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558E0-0DD2-4372-8F93-BD2EAD759CCD}">
  <ds:schemaRefs>
    <ds:schemaRef ds:uri="http://schemas.microsoft.com/sharepoint/v3/contenttype/forms"/>
  </ds:schemaRefs>
</ds:datastoreItem>
</file>

<file path=customXml/itemProps2.xml><?xml version="1.0" encoding="utf-8"?>
<ds:datastoreItem xmlns:ds="http://schemas.openxmlformats.org/officeDocument/2006/customXml" ds:itemID="{CCB8FFD9-A1D9-4F8E-8B1B-091F2E0B9870}">
  <ds:schemaRefs>
    <ds:schemaRef ds:uri="http://schemas.microsoft.com/office/2006/metadata/properties"/>
    <ds:schemaRef ds:uri="http://schemas.microsoft.com/office/infopath/2007/PartnerControls"/>
    <ds:schemaRef ds:uri="43ca2746-26a0-40df-9010-f2a8f46d6514"/>
  </ds:schemaRefs>
</ds:datastoreItem>
</file>

<file path=customXml/itemProps3.xml><?xml version="1.0" encoding="utf-8"?>
<ds:datastoreItem xmlns:ds="http://schemas.openxmlformats.org/officeDocument/2006/customXml" ds:itemID="{039E969A-21C1-49B4-B36B-13FD32542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F8C9E1-C381-4AF0-94F6-0B29D8B5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11824</Words>
  <Characters>65033</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ALONSO</cp:lastModifiedBy>
  <cp:revision>15</cp:revision>
  <dcterms:created xsi:type="dcterms:W3CDTF">2020-09-03T23:16:00Z</dcterms:created>
  <dcterms:modified xsi:type="dcterms:W3CDTF">2020-11-05T17:14:00Z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Order">
    <vt:r8>29000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