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B3F00" w14:textId="77777777" w:rsidR="005C0936" w:rsidRPr="005C0936" w:rsidRDefault="005C0936" w:rsidP="005C093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C093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5C0936">
        <w:rPr>
          <w:rFonts w:ascii="Arial" w:hAnsi="Arial" w:cs="Arial"/>
          <w:color w:val="FF0000"/>
          <w:spacing w:val="-4"/>
          <w:sz w:val="18"/>
          <w:szCs w:val="18"/>
          <w:lang w:val="es-419" w:eastAsia="fr-FR"/>
        </w:rPr>
        <w:tab/>
        <w:t>o.  El contenido total y fiel de la decisión debe ser verificado en la respectiva Secretaría.</w:t>
      </w:r>
    </w:p>
    <w:p w14:paraId="764CE5AC" w14:textId="77777777" w:rsidR="005C0936" w:rsidRPr="005C0936" w:rsidRDefault="005C0936" w:rsidP="005C0936">
      <w:pPr>
        <w:jc w:val="both"/>
        <w:rPr>
          <w:rFonts w:ascii="Arial" w:hAnsi="Arial" w:cs="Arial"/>
          <w:sz w:val="20"/>
          <w:szCs w:val="20"/>
          <w:lang w:val="es-419"/>
        </w:rPr>
      </w:pPr>
    </w:p>
    <w:p w14:paraId="312FEC58" w14:textId="4757889F"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 xml:space="preserve">Providencia: </w:t>
      </w:r>
      <w:r>
        <w:rPr>
          <w:rFonts w:ascii="Arial" w:hAnsi="Arial" w:cs="Arial"/>
          <w:sz w:val="20"/>
          <w:szCs w:val="20"/>
          <w:lang w:val="es-419"/>
        </w:rPr>
        <w:tab/>
      </w:r>
      <w:r w:rsidRPr="005C0936">
        <w:rPr>
          <w:rFonts w:ascii="Arial" w:hAnsi="Arial" w:cs="Arial"/>
          <w:sz w:val="20"/>
          <w:szCs w:val="20"/>
          <w:lang w:val="es-419"/>
        </w:rPr>
        <w:tab/>
        <w:t xml:space="preserve">Auto del 27 de octubre de 2020 </w:t>
      </w:r>
    </w:p>
    <w:p w14:paraId="168AC0F1" w14:textId="225238BE"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Radicación No.:</w:t>
      </w:r>
      <w:r w:rsidRPr="005C0936">
        <w:rPr>
          <w:rFonts w:ascii="Arial" w:hAnsi="Arial" w:cs="Arial"/>
          <w:sz w:val="20"/>
          <w:szCs w:val="20"/>
          <w:lang w:val="es-419"/>
        </w:rPr>
        <w:tab/>
      </w:r>
      <w:r>
        <w:rPr>
          <w:rFonts w:ascii="Arial" w:hAnsi="Arial" w:cs="Arial"/>
          <w:sz w:val="20"/>
          <w:szCs w:val="20"/>
          <w:lang w:val="es-419"/>
        </w:rPr>
        <w:tab/>
      </w:r>
      <w:r w:rsidRPr="005C0936">
        <w:rPr>
          <w:rFonts w:ascii="Arial" w:hAnsi="Arial" w:cs="Arial"/>
          <w:sz w:val="20"/>
          <w:szCs w:val="20"/>
          <w:lang w:val="es-419"/>
        </w:rPr>
        <w:t>66001310500-4-2020-00206-01</w:t>
      </w:r>
    </w:p>
    <w:p w14:paraId="64189046" w14:textId="5954B936"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 xml:space="preserve">Proceso: </w:t>
      </w:r>
      <w:r w:rsidRPr="005C0936">
        <w:rPr>
          <w:rFonts w:ascii="Arial" w:hAnsi="Arial" w:cs="Arial"/>
          <w:sz w:val="20"/>
          <w:szCs w:val="20"/>
          <w:lang w:val="es-419"/>
        </w:rPr>
        <w:tab/>
      </w:r>
      <w:r>
        <w:rPr>
          <w:rFonts w:ascii="Arial" w:hAnsi="Arial" w:cs="Arial"/>
          <w:sz w:val="20"/>
          <w:szCs w:val="20"/>
          <w:lang w:val="es-419"/>
        </w:rPr>
        <w:tab/>
      </w:r>
      <w:r w:rsidRPr="005C0936">
        <w:rPr>
          <w:rFonts w:ascii="Arial" w:hAnsi="Arial" w:cs="Arial"/>
          <w:sz w:val="20"/>
          <w:szCs w:val="20"/>
          <w:lang w:val="es-419"/>
        </w:rPr>
        <w:t xml:space="preserve">Fuero Sindical </w:t>
      </w:r>
    </w:p>
    <w:p w14:paraId="1D63CC83" w14:textId="42F20272"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Demandante:</w:t>
      </w:r>
      <w:r>
        <w:rPr>
          <w:rFonts w:ascii="Arial" w:hAnsi="Arial" w:cs="Arial"/>
          <w:sz w:val="20"/>
          <w:szCs w:val="20"/>
          <w:lang w:val="es-419"/>
        </w:rPr>
        <w:tab/>
      </w:r>
      <w:r w:rsidRPr="005C0936">
        <w:rPr>
          <w:rFonts w:ascii="Arial" w:hAnsi="Arial" w:cs="Arial"/>
          <w:sz w:val="20"/>
          <w:szCs w:val="20"/>
          <w:lang w:val="es-419"/>
        </w:rPr>
        <w:t xml:space="preserve"> </w:t>
      </w:r>
      <w:r w:rsidRPr="005C0936">
        <w:rPr>
          <w:rFonts w:ascii="Arial" w:hAnsi="Arial" w:cs="Arial"/>
          <w:sz w:val="20"/>
          <w:szCs w:val="20"/>
          <w:lang w:val="es-419"/>
        </w:rPr>
        <w:tab/>
        <w:t>Wilder Fabian Marín Albarracin</w:t>
      </w:r>
    </w:p>
    <w:p w14:paraId="18A97377" w14:textId="2E59B7EE"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Demandado:</w:t>
      </w:r>
      <w:r>
        <w:rPr>
          <w:rFonts w:ascii="Arial" w:hAnsi="Arial" w:cs="Arial"/>
          <w:sz w:val="20"/>
          <w:szCs w:val="20"/>
          <w:lang w:val="es-419"/>
        </w:rPr>
        <w:tab/>
      </w:r>
      <w:r w:rsidRPr="005C0936">
        <w:rPr>
          <w:rFonts w:ascii="Arial" w:hAnsi="Arial" w:cs="Arial"/>
          <w:sz w:val="20"/>
          <w:szCs w:val="20"/>
          <w:lang w:val="es-419"/>
        </w:rPr>
        <w:t xml:space="preserve"> </w:t>
      </w:r>
      <w:r w:rsidRPr="005C0936">
        <w:rPr>
          <w:rFonts w:ascii="Arial" w:hAnsi="Arial" w:cs="Arial"/>
          <w:sz w:val="20"/>
          <w:szCs w:val="20"/>
          <w:lang w:val="es-419"/>
        </w:rPr>
        <w:tab/>
        <w:t>Prosegur de Colombia S.A.</w:t>
      </w:r>
    </w:p>
    <w:p w14:paraId="37BF66B6" w14:textId="77777777"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 xml:space="preserve">Juzgado de origen: </w:t>
      </w:r>
      <w:r w:rsidRPr="005C0936">
        <w:rPr>
          <w:rFonts w:ascii="Arial" w:hAnsi="Arial" w:cs="Arial"/>
          <w:sz w:val="20"/>
          <w:szCs w:val="20"/>
          <w:lang w:val="es-419"/>
        </w:rPr>
        <w:tab/>
        <w:t>Cuarto Laboral del Circuito de Pereira</w:t>
      </w:r>
    </w:p>
    <w:p w14:paraId="7F13EF4B" w14:textId="44D41CB9" w:rsidR="005C0936" w:rsidRPr="005C0936" w:rsidRDefault="005C0936" w:rsidP="005C0936">
      <w:pPr>
        <w:jc w:val="both"/>
        <w:rPr>
          <w:rFonts w:ascii="Arial" w:hAnsi="Arial" w:cs="Arial"/>
          <w:sz w:val="20"/>
          <w:szCs w:val="20"/>
          <w:lang w:val="es-419"/>
        </w:rPr>
      </w:pPr>
      <w:r w:rsidRPr="005C0936">
        <w:rPr>
          <w:rFonts w:ascii="Arial" w:hAnsi="Arial" w:cs="Arial"/>
          <w:sz w:val="20"/>
          <w:szCs w:val="20"/>
          <w:lang w:val="es-419"/>
        </w:rPr>
        <w:t xml:space="preserve">Magistrada ponente: </w:t>
      </w:r>
      <w:r w:rsidRPr="005C0936">
        <w:rPr>
          <w:rFonts w:ascii="Arial" w:hAnsi="Arial" w:cs="Arial"/>
          <w:sz w:val="20"/>
          <w:szCs w:val="20"/>
          <w:lang w:val="es-419"/>
        </w:rPr>
        <w:tab/>
        <w:t>Dra. Ana Lucía Caicedo Calderón</w:t>
      </w:r>
    </w:p>
    <w:p w14:paraId="3ACFFB2B" w14:textId="77777777" w:rsidR="005C0936" w:rsidRPr="005C0936" w:rsidRDefault="005C0936" w:rsidP="005C0936">
      <w:pPr>
        <w:jc w:val="both"/>
        <w:rPr>
          <w:rFonts w:ascii="Arial" w:hAnsi="Arial" w:cs="Arial"/>
          <w:sz w:val="20"/>
          <w:szCs w:val="20"/>
          <w:lang w:val="es-419"/>
        </w:rPr>
      </w:pPr>
    </w:p>
    <w:p w14:paraId="57E38240" w14:textId="1B66D898" w:rsidR="005C0936" w:rsidRPr="005C0936" w:rsidRDefault="005C0936" w:rsidP="005C0936">
      <w:pPr>
        <w:jc w:val="both"/>
        <w:rPr>
          <w:rFonts w:ascii="Arial" w:hAnsi="Arial" w:cs="Arial"/>
          <w:b/>
          <w:bCs/>
          <w:iCs/>
          <w:sz w:val="20"/>
          <w:szCs w:val="20"/>
          <w:lang w:val="es-419" w:eastAsia="fr-FR"/>
        </w:rPr>
      </w:pPr>
      <w:r w:rsidRPr="005C0936">
        <w:rPr>
          <w:rFonts w:ascii="Arial" w:hAnsi="Arial" w:cs="Arial"/>
          <w:b/>
          <w:bCs/>
          <w:iCs/>
          <w:sz w:val="20"/>
          <w:szCs w:val="20"/>
          <w:u w:val="single"/>
          <w:lang w:val="es-419" w:eastAsia="fr-FR"/>
        </w:rPr>
        <w:t>TEMAS:</w:t>
      </w:r>
      <w:r w:rsidRPr="005C0936">
        <w:rPr>
          <w:rFonts w:ascii="Arial" w:hAnsi="Arial" w:cs="Arial"/>
          <w:b/>
          <w:bCs/>
          <w:iCs/>
          <w:sz w:val="20"/>
          <w:szCs w:val="20"/>
          <w:lang w:val="es-419" w:eastAsia="fr-FR"/>
        </w:rPr>
        <w:tab/>
      </w:r>
      <w:r w:rsidR="006B230E">
        <w:rPr>
          <w:rFonts w:ascii="Arial" w:hAnsi="Arial" w:cs="Arial"/>
          <w:b/>
          <w:bCs/>
          <w:iCs/>
          <w:sz w:val="20"/>
          <w:szCs w:val="20"/>
          <w:lang w:val="es-419" w:eastAsia="fr-FR"/>
        </w:rPr>
        <w:t xml:space="preserve">FUERO SINDICAL / </w:t>
      </w:r>
      <w:r w:rsidR="006B230E">
        <w:rPr>
          <w:rFonts w:ascii="Arial" w:hAnsi="Arial" w:cs="Arial"/>
          <w:b/>
          <w:sz w:val="20"/>
          <w:szCs w:val="20"/>
          <w:lang w:val="es-419"/>
        </w:rPr>
        <w:t>LITISCONSORCIO NECESARIO</w:t>
      </w:r>
      <w:r w:rsidRPr="005C0936">
        <w:rPr>
          <w:rFonts w:ascii="Arial" w:hAnsi="Arial" w:cs="Arial"/>
          <w:b/>
          <w:bCs/>
          <w:iCs/>
          <w:sz w:val="20"/>
          <w:szCs w:val="20"/>
          <w:lang w:val="es-419" w:eastAsia="fr-FR"/>
        </w:rPr>
        <w:t xml:space="preserve"> / </w:t>
      </w:r>
      <w:r w:rsidR="006B230E">
        <w:rPr>
          <w:rFonts w:ascii="Arial" w:hAnsi="Arial" w:cs="Arial"/>
          <w:b/>
          <w:bCs/>
          <w:iCs/>
          <w:sz w:val="20"/>
          <w:szCs w:val="20"/>
          <w:lang w:val="es-419" w:eastAsia="fr-FR"/>
        </w:rPr>
        <w:t>NO LO ES CUANDO SE PERSIGUE LA DECLARACIÓN DEL CONTRATO DE TRABAJO CON EL VERDADERO EMPLEADOR / PRESCRIPCIÓN / INTERRUPCIÓN DE TÉRMINOS EN RAZÓN DE LA PANDEMIA.</w:t>
      </w:r>
    </w:p>
    <w:p w14:paraId="4E08C517" w14:textId="77777777" w:rsidR="005C0936" w:rsidRPr="005C0936" w:rsidRDefault="005C0936" w:rsidP="005C0936">
      <w:pPr>
        <w:jc w:val="both"/>
        <w:rPr>
          <w:rFonts w:ascii="Arial" w:hAnsi="Arial" w:cs="Arial"/>
          <w:sz w:val="20"/>
          <w:szCs w:val="20"/>
          <w:lang w:val="es-419"/>
        </w:rPr>
      </w:pPr>
    </w:p>
    <w:p w14:paraId="417DD627" w14:textId="235EB4F6" w:rsidR="005C0936" w:rsidRPr="005C0936" w:rsidRDefault="006B230E" w:rsidP="005C0936">
      <w:pPr>
        <w:jc w:val="both"/>
        <w:rPr>
          <w:rFonts w:ascii="Arial" w:hAnsi="Arial" w:cs="Arial"/>
          <w:sz w:val="20"/>
          <w:szCs w:val="20"/>
          <w:lang w:val="es-419"/>
        </w:rPr>
      </w:pPr>
      <w:r>
        <w:rPr>
          <w:rFonts w:ascii="Arial" w:hAnsi="Arial" w:cs="Arial"/>
          <w:sz w:val="20"/>
          <w:szCs w:val="20"/>
          <w:lang w:val="es-419"/>
        </w:rPr>
        <w:t xml:space="preserve">… </w:t>
      </w:r>
      <w:r w:rsidRPr="006B230E">
        <w:rPr>
          <w:rFonts w:ascii="Arial" w:hAnsi="Arial" w:cs="Arial"/>
          <w:sz w:val="20"/>
          <w:szCs w:val="20"/>
          <w:lang w:val="es-419"/>
        </w:rPr>
        <w:t>esta Corporación se ha pronunciado en distintas oportunidades frente a la integración a la litis del intermediario cuando se busca la declaratoria de un contrato realidad con el verdadero empleador. De hecho, en auto del 17 de octubre de 2019 en un proceso de similares connotaciones con el radicado 66001-31-05-003-2017-00554</w:t>
      </w:r>
      <w:r>
        <w:rPr>
          <w:rFonts w:ascii="Arial" w:hAnsi="Arial" w:cs="Arial"/>
          <w:sz w:val="20"/>
          <w:szCs w:val="20"/>
          <w:lang w:val="es-419"/>
        </w:rPr>
        <w:t>…</w:t>
      </w:r>
      <w:r w:rsidRPr="006B230E">
        <w:rPr>
          <w:rFonts w:ascii="Arial" w:hAnsi="Arial" w:cs="Arial"/>
          <w:sz w:val="20"/>
          <w:szCs w:val="20"/>
          <w:lang w:val="es-419"/>
        </w:rPr>
        <w:t>, se indicó:</w:t>
      </w:r>
    </w:p>
    <w:p w14:paraId="138D64FF" w14:textId="77777777" w:rsidR="005C0936" w:rsidRPr="005C0936" w:rsidRDefault="005C0936" w:rsidP="005C0936">
      <w:pPr>
        <w:jc w:val="both"/>
        <w:rPr>
          <w:rFonts w:ascii="Arial" w:hAnsi="Arial" w:cs="Arial"/>
          <w:sz w:val="20"/>
          <w:szCs w:val="20"/>
          <w:lang w:val="es-419"/>
        </w:rPr>
      </w:pPr>
    </w:p>
    <w:p w14:paraId="5554862B" w14:textId="77777777" w:rsidR="006B230E" w:rsidRPr="006B230E" w:rsidRDefault="006B230E" w:rsidP="006B230E">
      <w:pPr>
        <w:jc w:val="both"/>
        <w:rPr>
          <w:rFonts w:ascii="Arial" w:hAnsi="Arial" w:cs="Arial"/>
          <w:sz w:val="20"/>
          <w:szCs w:val="20"/>
          <w:lang w:val="es-419"/>
        </w:rPr>
      </w:pPr>
      <w:r>
        <w:rPr>
          <w:rFonts w:ascii="Arial" w:hAnsi="Arial" w:cs="Arial"/>
          <w:sz w:val="20"/>
          <w:szCs w:val="20"/>
          <w:lang w:val="es-419"/>
        </w:rPr>
        <w:t>“…</w:t>
      </w:r>
      <w:r w:rsidRPr="006B230E">
        <w:rPr>
          <w:rFonts w:ascii="Arial" w:hAnsi="Arial" w:cs="Arial"/>
          <w:sz w:val="20"/>
          <w:szCs w:val="20"/>
          <w:lang w:val="es-419"/>
        </w:rPr>
        <w:t xml:space="preserve">la figura de la solidaridad es un instrumento legal puesto por la legislación laboral, al servicio del trabajador (a), y no de persona distinta, la cual se dejó de ejercer en este asunto, y que se traduce en la facultad que la solidaridad le otorga, al laborante, de poder reclamar lo que se adeude por salarios, prestaciones sociales e indemnizaciones, no solo en contra del dador de laborío sino también, en contra del tercero.  </w:t>
      </w:r>
    </w:p>
    <w:p w14:paraId="26ABFCAF" w14:textId="77777777" w:rsidR="006B230E" w:rsidRPr="006B230E" w:rsidRDefault="006B230E" w:rsidP="006B230E">
      <w:pPr>
        <w:jc w:val="both"/>
        <w:rPr>
          <w:rFonts w:ascii="Arial" w:hAnsi="Arial" w:cs="Arial"/>
          <w:sz w:val="20"/>
          <w:szCs w:val="20"/>
          <w:lang w:val="es-419"/>
        </w:rPr>
      </w:pPr>
    </w:p>
    <w:p w14:paraId="32684169" w14:textId="73EBEEF4" w:rsidR="005C0936" w:rsidRPr="005C0936" w:rsidRDefault="006B230E" w:rsidP="006B230E">
      <w:pPr>
        <w:jc w:val="both"/>
        <w:rPr>
          <w:rFonts w:ascii="Arial" w:hAnsi="Arial" w:cs="Arial"/>
          <w:sz w:val="20"/>
          <w:szCs w:val="20"/>
          <w:lang w:val="es-419"/>
        </w:rPr>
      </w:pPr>
      <w:r>
        <w:rPr>
          <w:rFonts w:ascii="Arial" w:hAnsi="Arial" w:cs="Arial"/>
          <w:sz w:val="20"/>
          <w:szCs w:val="20"/>
          <w:lang w:val="es-419"/>
        </w:rPr>
        <w:t>“</w:t>
      </w:r>
      <w:r w:rsidRPr="006B230E">
        <w:rPr>
          <w:rFonts w:ascii="Arial" w:hAnsi="Arial" w:cs="Arial"/>
          <w:sz w:val="20"/>
          <w:szCs w:val="20"/>
          <w:lang w:val="es-419"/>
        </w:rPr>
        <w:t>De allí que, en un momento dado, en que el trabajador exige el pago al tercero solidario, no significa, que el empleador pierda su condición de obligado principal, o que se beneficie por un pago parcial, efectuado por el tercero, en la medida de que no se trata</w:t>
      </w:r>
      <w:r>
        <w:rPr>
          <w:rFonts w:ascii="Arial" w:hAnsi="Arial" w:cs="Arial"/>
          <w:sz w:val="20"/>
          <w:szCs w:val="20"/>
          <w:lang w:val="es-419"/>
        </w:rPr>
        <w:t xml:space="preserve"> de una obligación divisible”. (…)</w:t>
      </w:r>
    </w:p>
    <w:p w14:paraId="64A22A84" w14:textId="77777777" w:rsidR="005C0936" w:rsidRPr="005C0936" w:rsidRDefault="005C0936" w:rsidP="005C0936">
      <w:pPr>
        <w:jc w:val="both"/>
        <w:rPr>
          <w:rFonts w:ascii="Arial" w:hAnsi="Arial" w:cs="Arial"/>
          <w:sz w:val="20"/>
          <w:szCs w:val="20"/>
          <w:lang w:val="es-419"/>
        </w:rPr>
      </w:pPr>
    </w:p>
    <w:p w14:paraId="3E8C7FD1" w14:textId="77777777" w:rsidR="006B230E" w:rsidRPr="006B230E" w:rsidRDefault="006B230E" w:rsidP="006B230E">
      <w:pPr>
        <w:jc w:val="both"/>
        <w:rPr>
          <w:rFonts w:ascii="Arial" w:hAnsi="Arial" w:cs="Arial"/>
          <w:sz w:val="20"/>
          <w:szCs w:val="20"/>
          <w:lang w:val="es-419"/>
        </w:rPr>
      </w:pPr>
      <w:r>
        <w:rPr>
          <w:rFonts w:ascii="Arial" w:hAnsi="Arial" w:cs="Arial"/>
          <w:sz w:val="20"/>
          <w:szCs w:val="20"/>
          <w:lang w:val="es-419"/>
        </w:rPr>
        <w:t xml:space="preserve">… </w:t>
      </w:r>
      <w:r w:rsidRPr="006B230E">
        <w:rPr>
          <w:rFonts w:ascii="Arial" w:hAnsi="Arial" w:cs="Arial"/>
          <w:sz w:val="20"/>
          <w:szCs w:val="20"/>
          <w:lang w:val="es-419"/>
        </w:rPr>
        <w:t>en lo concerniente a la prescripción de la acción de fuero sindical, establece el artículo 118A del CPL y de la S.S.:</w:t>
      </w:r>
    </w:p>
    <w:p w14:paraId="2F104EC4" w14:textId="77777777" w:rsidR="006B230E" w:rsidRPr="006B230E" w:rsidRDefault="006B230E" w:rsidP="006B230E">
      <w:pPr>
        <w:jc w:val="both"/>
        <w:rPr>
          <w:rFonts w:ascii="Arial" w:hAnsi="Arial" w:cs="Arial"/>
          <w:sz w:val="20"/>
          <w:szCs w:val="20"/>
          <w:lang w:val="es-419"/>
        </w:rPr>
      </w:pPr>
    </w:p>
    <w:p w14:paraId="3C45EDD5" w14:textId="71452A60" w:rsidR="005C0936" w:rsidRPr="005C0936" w:rsidRDefault="006B230E" w:rsidP="006B230E">
      <w:pPr>
        <w:jc w:val="both"/>
        <w:rPr>
          <w:rFonts w:ascii="Arial" w:hAnsi="Arial" w:cs="Arial"/>
          <w:sz w:val="20"/>
          <w:szCs w:val="20"/>
          <w:lang w:val="es-419"/>
        </w:rPr>
      </w:pPr>
      <w:r w:rsidRPr="006B230E">
        <w:rPr>
          <w:rFonts w:ascii="Arial" w:hAnsi="Arial" w:cs="Arial"/>
          <w:sz w:val="20"/>
          <w:szCs w:val="20"/>
          <w:lang w:val="es-419"/>
        </w:rPr>
        <w:t>«ARTÍCULO 118-A. PRESCRIPCIÓN. Las acciones que emanan del fuero sindical prescriben en dos (2) meses. Para el trabajador este término se contará desde la fecha d</w:t>
      </w:r>
      <w:r>
        <w:rPr>
          <w:rFonts w:ascii="Arial" w:hAnsi="Arial" w:cs="Arial"/>
          <w:sz w:val="20"/>
          <w:szCs w:val="20"/>
          <w:lang w:val="es-419"/>
        </w:rPr>
        <w:t>e despido, traslado o desmejora…</w:t>
      </w:r>
      <w:r w:rsidRPr="005C0936">
        <w:rPr>
          <w:rFonts w:ascii="Tahoma" w:hAnsi="Tahoma" w:cs="Tahoma"/>
          <w:iCs/>
          <w:sz w:val="22"/>
        </w:rPr>
        <w:t>»</w:t>
      </w:r>
    </w:p>
    <w:p w14:paraId="61C1E316" w14:textId="77777777" w:rsidR="005C0936" w:rsidRDefault="005C0936" w:rsidP="005C0936">
      <w:pPr>
        <w:jc w:val="both"/>
        <w:rPr>
          <w:rFonts w:ascii="Arial" w:hAnsi="Arial" w:cs="Arial"/>
          <w:sz w:val="20"/>
          <w:szCs w:val="20"/>
        </w:rPr>
      </w:pPr>
    </w:p>
    <w:p w14:paraId="7710AEC5" w14:textId="77777777" w:rsidR="006B230E" w:rsidRPr="006B230E" w:rsidRDefault="006B230E" w:rsidP="006B230E">
      <w:pPr>
        <w:jc w:val="both"/>
        <w:rPr>
          <w:rFonts w:ascii="Arial" w:hAnsi="Arial" w:cs="Arial"/>
          <w:sz w:val="20"/>
          <w:szCs w:val="20"/>
        </w:rPr>
      </w:pPr>
      <w:r w:rsidRPr="006B230E">
        <w:rPr>
          <w:rFonts w:ascii="Arial" w:hAnsi="Arial" w:cs="Arial"/>
          <w:sz w:val="20"/>
          <w:szCs w:val="20"/>
        </w:rPr>
        <w:t>Para dichos efectos, en la contabilización del término de prescripción bajo las circunstancias especiales generadas con la declaratoria del estado de emergencia sanitaria surgido con la pandemia declarada mediante la resolución 385 del 12 de marzo de 2020, es menester tener en cuenta que el Gobierno Nacional expidió el Decreto legislativo 564 del 15 de abril de 2020</w:t>
      </w:r>
      <w:r w:rsidRPr="006B230E">
        <w:rPr>
          <w:rFonts w:ascii="Arial" w:hAnsi="Arial" w:cs="Arial"/>
          <w:sz w:val="20"/>
          <w:szCs w:val="20"/>
        </w:rPr>
        <w:t xml:space="preserve">, en cuyo artículo </w:t>
      </w:r>
      <w:proofErr w:type="spellStart"/>
      <w:r w:rsidRPr="006B230E">
        <w:rPr>
          <w:rFonts w:ascii="Arial" w:hAnsi="Arial" w:cs="Arial"/>
          <w:sz w:val="20"/>
          <w:szCs w:val="20"/>
        </w:rPr>
        <w:t>1ro</w:t>
      </w:r>
      <w:proofErr w:type="spellEnd"/>
      <w:r w:rsidRPr="006B230E">
        <w:rPr>
          <w:rFonts w:ascii="Arial" w:hAnsi="Arial" w:cs="Arial"/>
          <w:sz w:val="20"/>
          <w:szCs w:val="20"/>
        </w:rPr>
        <w:t xml:space="preserve">. </w:t>
      </w:r>
      <w:proofErr w:type="gramStart"/>
      <w:r w:rsidRPr="006B230E">
        <w:rPr>
          <w:rFonts w:ascii="Arial" w:hAnsi="Arial" w:cs="Arial"/>
          <w:sz w:val="20"/>
          <w:szCs w:val="20"/>
        </w:rPr>
        <w:t>dispuso</w:t>
      </w:r>
      <w:proofErr w:type="gramEnd"/>
      <w:r w:rsidRPr="006B230E">
        <w:rPr>
          <w:rFonts w:ascii="Arial" w:hAnsi="Arial" w:cs="Arial"/>
          <w:sz w:val="20"/>
          <w:szCs w:val="20"/>
        </w:rPr>
        <w:t>:</w:t>
      </w:r>
    </w:p>
    <w:p w14:paraId="560DC2E3" w14:textId="77777777" w:rsidR="006B230E" w:rsidRPr="006B230E" w:rsidRDefault="006B230E" w:rsidP="006B230E">
      <w:pPr>
        <w:jc w:val="both"/>
        <w:rPr>
          <w:rFonts w:ascii="Arial" w:hAnsi="Arial" w:cs="Arial"/>
          <w:sz w:val="20"/>
          <w:szCs w:val="20"/>
        </w:rPr>
      </w:pPr>
    </w:p>
    <w:p w14:paraId="6020A13A" w14:textId="2E11F93C" w:rsidR="006B230E" w:rsidRDefault="006B230E" w:rsidP="006B230E">
      <w:pPr>
        <w:jc w:val="both"/>
        <w:rPr>
          <w:rFonts w:ascii="Arial" w:hAnsi="Arial" w:cs="Arial"/>
          <w:sz w:val="20"/>
          <w:szCs w:val="20"/>
        </w:rPr>
      </w:pPr>
      <w:r w:rsidRPr="006B230E">
        <w:rPr>
          <w:rFonts w:ascii="Arial" w:hAnsi="Arial" w:cs="Arial"/>
          <w:sz w:val="20"/>
          <w:szCs w:val="20"/>
        </w:rPr>
        <w:t>«Artículo 1. Suspensión de términos de prescripción y caducidad. Los términos de prescripción y de caducidad previstos en cualquier norma sustancial o procesal para derechos, acciones, medios de control o presentar demandas ante la Rama Judicial o ante los tribunales arbitrales, sean de días, meses o años, se encuentran suspendidos desde el 16 de marzo de 2020 hasta el día en que el Consejo Superior de la Judicatura disponga la reanudación de los términos judiciales</w:t>
      </w:r>
      <w:r>
        <w:rPr>
          <w:rFonts w:ascii="Arial" w:hAnsi="Arial" w:cs="Arial"/>
          <w:sz w:val="20"/>
          <w:szCs w:val="20"/>
        </w:rPr>
        <w:t>”</w:t>
      </w:r>
      <w:r w:rsidRPr="006B230E">
        <w:rPr>
          <w:rFonts w:ascii="Arial" w:hAnsi="Arial" w:cs="Arial"/>
          <w:sz w:val="20"/>
          <w:szCs w:val="20"/>
        </w:rPr>
        <w:t>.</w:t>
      </w:r>
    </w:p>
    <w:p w14:paraId="5ED61F49" w14:textId="77777777" w:rsidR="006B230E" w:rsidRDefault="006B230E" w:rsidP="005C0936">
      <w:pPr>
        <w:jc w:val="both"/>
        <w:rPr>
          <w:rFonts w:ascii="Arial" w:hAnsi="Arial" w:cs="Arial"/>
          <w:sz w:val="20"/>
          <w:szCs w:val="20"/>
        </w:rPr>
      </w:pPr>
    </w:p>
    <w:p w14:paraId="577B1EF7" w14:textId="77777777" w:rsidR="006B230E" w:rsidRPr="005C0936" w:rsidRDefault="006B230E" w:rsidP="005C0936">
      <w:pPr>
        <w:jc w:val="both"/>
        <w:rPr>
          <w:rFonts w:ascii="Arial" w:hAnsi="Arial" w:cs="Arial"/>
          <w:sz w:val="20"/>
          <w:szCs w:val="20"/>
        </w:rPr>
      </w:pPr>
    </w:p>
    <w:p w14:paraId="6631B39B" w14:textId="77777777" w:rsidR="005C0936" w:rsidRPr="005C0936" w:rsidRDefault="005C0936" w:rsidP="005C0936">
      <w:pPr>
        <w:jc w:val="both"/>
        <w:rPr>
          <w:rFonts w:ascii="Arial" w:hAnsi="Arial" w:cs="Arial"/>
          <w:sz w:val="20"/>
          <w:szCs w:val="20"/>
        </w:rPr>
      </w:pPr>
    </w:p>
    <w:p w14:paraId="30EF63FA" w14:textId="77777777" w:rsidR="00B72BB3" w:rsidRPr="00652613" w:rsidRDefault="00B72BB3" w:rsidP="005C0936">
      <w:pPr>
        <w:spacing w:line="276" w:lineRule="auto"/>
        <w:jc w:val="center"/>
        <w:rPr>
          <w:rFonts w:ascii="Tahoma" w:hAnsi="Tahoma" w:cs="Tahoma"/>
          <w:b/>
          <w:bCs/>
          <w:kern w:val="2"/>
        </w:rPr>
      </w:pPr>
      <w:r w:rsidRPr="00652613">
        <w:rPr>
          <w:rFonts w:ascii="Tahoma" w:hAnsi="Tahoma" w:cs="Tahoma"/>
          <w:b/>
          <w:bCs/>
          <w:kern w:val="2"/>
        </w:rPr>
        <w:t>TRIBUNAL SUPERIOR DEL DISTRITO JUDICIAL DE PEREIRA</w:t>
      </w:r>
    </w:p>
    <w:p w14:paraId="6ADB2C88" w14:textId="77777777" w:rsidR="00B72BB3" w:rsidRPr="00652613" w:rsidRDefault="00B72BB3" w:rsidP="005C0936">
      <w:pPr>
        <w:spacing w:line="276" w:lineRule="auto"/>
        <w:jc w:val="center"/>
        <w:rPr>
          <w:rFonts w:ascii="Tahoma" w:hAnsi="Tahoma" w:cs="Tahoma"/>
          <w:b/>
          <w:bCs/>
          <w:kern w:val="2"/>
        </w:rPr>
      </w:pPr>
      <w:r w:rsidRPr="00652613">
        <w:rPr>
          <w:rFonts w:ascii="Tahoma" w:hAnsi="Tahoma" w:cs="Tahoma"/>
          <w:b/>
          <w:bCs/>
          <w:kern w:val="2"/>
        </w:rPr>
        <w:t>SALA PRIMERA DE DECISION LABORAL</w:t>
      </w:r>
    </w:p>
    <w:p w14:paraId="75485EE1" w14:textId="77777777" w:rsidR="00B72BB3" w:rsidRPr="00652613" w:rsidRDefault="00B72BB3" w:rsidP="005C0936">
      <w:pPr>
        <w:spacing w:line="276" w:lineRule="auto"/>
        <w:jc w:val="center"/>
        <w:rPr>
          <w:rFonts w:ascii="Tahoma" w:hAnsi="Tahoma" w:cs="Tahoma"/>
          <w:kern w:val="2"/>
        </w:rPr>
      </w:pPr>
    </w:p>
    <w:p w14:paraId="0ED34094" w14:textId="77777777" w:rsidR="00B72BB3" w:rsidRPr="00652613" w:rsidRDefault="00B72BB3" w:rsidP="005C0936">
      <w:pPr>
        <w:spacing w:line="276" w:lineRule="auto"/>
        <w:jc w:val="center"/>
        <w:rPr>
          <w:rFonts w:ascii="Tahoma" w:hAnsi="Tahoma" w:cs="Tahoma"/>
          <w:b/>
          <w:bCs/>
          <w:kern w:val="2"/>
        </w:rPr>
      </w:pPr>
      <w:r w:rsidRPr="00652613">
        <w:rPr>
          <w:rFonts w:ascii="Tahoma" w:hAnsi="Tahoma" w:cs="Tahoma"/>
          <w:kern w:val="2"/>
        </w:rPr>
        <w:t>Magistrada Ponente: </w:t>
      </w:r>
      <w:r w:rsidRPr="00652613">
        <w:rPr>
          <w:rFonts w:ascii="Tahoma" w:hAnsi="Tahoma" w:cs="Tahoma"/>
          <w:b/>
          <w:bCs/>
          <w:kern w:val="2"/>
        </w:rPr>
        <w:t>Ana Lucía Caicedo Calderón</w:t>
      </w:r>
    </w:p>
    <w:p w14:paraId="5961230A" w14:textId="77777777" w:rsidR="00B72BB3" w:rsidRPr="00652613" w:rsidRDefault="00B72BB3" w:rsidP="005C0936">
      <w:pPr>
        <w:spacing w:line="276" w:lineRule="auto"/>
        <w:jc w:val="center"/>
        <w:rPr>
          <w:rFonts w:ascii="Tahoma" w:hAnsi="Tahoma" w:cs="Tahoma"/>
          <w:b/>
          <w:bCs/>
          <w:kern w:val="2"/>
        </w:rPr>
      </w:pPr>
    </w:p>
    <w:p w14:paraId="62D7750A" w14:textId="2BC4D31E" w:rsidR="00B72BB3" w:rsidRPr="00652613" w:rsidRDefault="005F23C2" w:rsidP="005C0936">
      <w:pPr>
        <w:spacing w:line="276" w:lineRule="auto"/>
        <w:jc w:val="center"/>
        <w:rPr>
          <w:rFonts w:ascii="Tahoma" w:hAnsi="Tahoma" w:cs="Tahoma"/>
          <w:b/>
          <w:bCs/>
          <w:kern w:val="2"/>
        </w:rPr>
      </w:pPr>
      <w:r w:rsidRPr="00652613">
        <w:rPr>
          <w:rFonts w:ascii="Tahoma" w:hAnsi="Tahoma" w:cs="Tahoma"/>
          <w:b/>
          <w:bCs/>
          <w:kern w:val="2"/>
        </w:rPr>
        <w:t xml:space="preserve">Pereira, </w:t>
      </w:r>
      <w:r w:rsidR="00B72BB3" w:rsidRPr="00652613">
        <w:rPr>
          <w:rFonts w:ascii="Tahoma" w:hAnsi="Tahoma" w:cs="Tahoma"/>
          <w:b/>
          <w:bCs/>
          <w:kern w:val="2"/>
        </w:rPr>
        <w:t>2</w:t>
      </w:r>
      <w:r w:rsidR="00F30B43" w:rsidRPr="00652613">
        <w:rPr>
          <w:rFonts w:ascii="Tahoma" w:hAnsi="Tahoma" w:cs="Tahoma"/>
          <w:b/>
          <w:bCs/>
          <w:kern w:val="2"/>
        </w:rPr>
        <w:t>7</w:t>
      </w:r>
      <w:r w:rsidR="00B72BB3" w:rsidRPr="00652613">
        <w:rPr>
          <w:rFonts w:ascii="Tahoma" w:hAnsi="Tahoma" w:cs="Tahoma"/>
          <w:b/>
          <w:bCs/>
          <w:kern w:val="2"/>
        </w:rPr>
        <w:t xml:space="preserve"> de octubre de 2020</w:t>
      </w:r>
    </w:p>
    <w:p w14:paraId="7EB1F30B" w14:textId="77777777" w:rsidR="00B72BB3" w:rsidRPr="00652613" w:rsidRDefault="00B72BB3" w:rsidP="005C0936">
      <w:pPr>
        <w:spacing w:line="276" w:lineRule="auto"/>
        <w:jc w:val="center"/>
        <w:rPr>
          <w:rFonts w:ascii="Tahoma" w:hAnsi="Tahoma" w:cs="Tahoma"/>
          <w:kern w:val="2"/>
        </w:rPr>
      </w:pPr>
    </w:p>
    <w:p w14:paraId="0BC5FB37" w14:textId="77777777" w:rsidR="00B72BB3" w:rsidRPr="00652613" w:rsidRDefault="00B72BB3" w:rsidP="005C0936">
      <w:pPr>
        <w:spacing w:line="276" w:lineRule="auto"/>
        <w:rPr>
          <w:rFonts w:ascii="Tahoma" w:hAnsi="Tahoma" w:cs="Tahoma"/>
          <w:kern w:val="2"/>
        </w:rPr>
      </w:pPr>
    </w:p>
    <w:p w14:paraId="07270455" w14:textId="5B7C0C1C" w:rsidR="00AD09D6" w:rsidRPr="00652613" w:rsidRDefault="00B72BB3" w:rsidP="005C0936">
      <w:pPr>
        <w:spacing w:line="276" w:lineRule="auto"/>
        <w:ind w:firstLine="708"/>
        <w:jc w:val="both"/>
        <w:rPr>
          <w:rFonts w:ascii="Tahoma" w:hAnsi="Tahoma" w:cs="Tahoma"/>
        </w:rPr>
      </w:pPr>
      <w:r w:rsidRPr="00652613">
        <w:rPr>
          <w:rFonts w:ascii="Tahoma" w:hAnsi="Tahoma" w:cs="Tahoma"/>
          <w:kern w:val="2"/>
        </w:rPr>
        <w:t xml:space="preserve">Teniendo en cuenta que el artículo 15 del Decreto No. 806 del 4 de junio de 2020, expedido por el Ministerio de Justicia y del Derecho, estableció que en la especialidad laboral se proferirán por escrito las providencias de segunda instancia </w:t>
      </w:r>
      <w:r w:rsidRPr="00652613">
        <w:rPr>
          <w:rFonts w:ascii="Tahoma" w:hAnsi="Tahoma" w:cs="Tahoma"/>
          <w:kern w:val="2"/>
        </w:rPr>
        <w:lastRenderedPageBreak/>
        <w:t xml:space="preserve">en las que se surta el grado jurisdiccional de consulta o se resuelva el recurso de apelación de autos o sentencias, la Sala de Decisión Laboral No. 1 del Tribunal Superior de Pereira, integrada por las Magistradas </w:t>
      </w:r>
      <w:r w:rsidRPr="00652613">
        <w:rPr>
          <w:rFonts w:ascii="Tahoma" w:hAnsi="Tahoma" w:cs="Tahoma"/>
          <w:b/>
          <w:bCs/>
          <w:kern w:val="2"/>
        </w:rPr>
        <w:t>ANA LUCÍA CAICEDO CALDERÓN</w:t>
      </w:r>
      <w:r w:rsidRPr="00652613">
        <w:rPr>
          <w:rFonts w:ascii="Tahoma" w:hAnsi="Tahoma" w:cs="Tahoma"/>
          <w:kern w:val="2"/>
        </w:rPr>
        <w:t xml:space="preserve"> como Ponente, </w:t>
      </w:r>
      <w:r w:rsidRPr="00652613">
        <w:rPr>
          <w:rFonts w:ascii="Tahoma" w:hAnsi="Tahoma" w:cs="Tahoma"/>
          <w:b/>
          <w:bCs/>
          <w:kern w:val="2"/>
        </w:rPr>
        <w:t>OLGA LUCÍA HOYOS SEPÚLVEDA</w:t>
      </w:r>
      <w:r w:rsidRPr="00652613">
        <w:rPr>
          <w:rFonts w:ascii="Tahoma" w:hAnsi="Tahoma" w:cs="Tahoma"/>
          <w:kern w:val="2"/>
        </w:rPr>
        <w:t xml:space="preserve"> y el Magistrado </w:t>
      </w:r>
      <w:r w:rsidRPr="00652613">
        <w:rPr>
          <w:rFonts w:ascii="Tahoma" w:hAnsi="Tahoma" w:cs="Tahoma"/>
          <w:b/>
          <w:bCs/>
          <w:kern w:val="2"/>
        </w:rPr>
        <w:t>JULIO CÉSAR SALAZAR MUÑOZ</w:t>
      </w:r>
      <w:r w:rsidRPr="00652613">
        <w:rPr>
          <w:rFonts w:ascii="Tahoma" w:hAnsi="Tahoma" w:cs="Tahoma"/>
          <w:kern w:val="2"/>
        </w:rPr>
        <w:t xml:space="preserve">, procede a proferir </w:t>
      </w:r>
      <w:bookmarkStart w:id="0" w:name="OLE_LINK39"/>
      <w:bookmarkStart w:id="1" w:name="OLE_LINK21"/>
      <w:r w:rsidR="00AD09D6" w:rsidRPr="00652613">
        <w:rPr>
          <w:rFonts w:ascii="Tahoma" w:hAnsi="Tahoma" w:cs="Tahoma"/>
        </w:rPr>
        <w:t xml:space="preserve">auto escrito dentro del proceso especial de fuero </w:t>
      </w:r>
      <w:r w:rsidR="005C0936" w:rsidRPr="00652613">
        <w:rPr>
          <w:rFonts w:ascii="Tahoma" w:hAnsi="Tahoma" w:cs="Tahoma"/>
        </w:rPr>
        <w:t>sindical – Acción de Reintegro</w:t>
      </w:r>
      <w:r w:rsidR="00AD09D6" w:rsidRPr="00652613">
        <w:rPr>
          <w:rFonts w:ascii="Tahoma" w:hAnsi="Tahoma" w:cs="Tahoma"/>
        </w:rPr>
        <w:t xml:space="preserve"> instaurado por </w:t>
      </w:r>
      <w:r w:rsidR="00AD09D6" w:rsidRPr="00652613">
        <w:rPr>
          <w:rFonts w:ascii="Tahoma" w:hAnsi="Tahoma" w:cs="Tahoma"/>
          <w:b/>
          <w:bCs/>
          <w:caps/>
        </w:rPr>
        <w:t>WILDER FABIAN MARIN ALBARRACIN</w:t>
      </w:r>
      <w:r w:rsidR="00AD09D6" w:rsidRPr="00652613">
        <w:rPr>
          <w:rFonts w:ascii="Tahoma" w:hAnsi="Tahoma" w:cs="Tahoma"/>
        </w:rPr>
        <w:t xml:space="preserve"> </w:t>
      </w:r>
      <w:bookmarkEnd w:id="0"/>
      <w:r w:rsidR="00AD09D6" w:rsidRPr="00652613">
        <w:rPr>
          <w:rFonts w:ascii="Tahoma" w:hAnsi="Tahoma" w:cs="Tahoma"/>
        </w:rPr>
        <w:t xml:space="preserve">en contra de </w:t>
      </w:r>
      <w:bookmarkEnd w:id="1"/>
      <w:r w:rsidRPr="00652613">
        <w:rPr>
          <w:rFonts w:ascii="Tahoma" w:hAnsi="Tahoma" w:cs="Tahoma"/>
        </w:rPr>
        <w:t xml:space="preserve">la </w:t>
      </w:r>
      <w:r w:rsidRPr="00652613">
        <w:rPr>
          <w:rFonts w:ascii="Tahoma" w:hAnsi="Tahoma" w:cs="Tahoma"/>
          <w:b/>
          <w:bCs/>
        </w:rPr>
        <w:t>COMPAÑÍA TRANSPORTADORA DE VALORES “</w:t>
      </w:r>
      <w:r w:rsidR="00AD09D6" w:rsidRPr="00652613">
        <w:rPr>
          <w:rFonts w:ascii="Tahoma" w:hAnsi="Tahoma" w:cs="Tahoma"/>
          <w:b/>
          <w:bCs/>
        </w:rPr>
        <w:t>PROSEGUR DE COLOMBIA S.A</w:t>
      </w:r>
      <w:r w:rsidRPr="00652613">
        <w:rPr>
          <w:rFonts w:ascii="Tahoma" w:hAnsi="Tahoma" w:cs="Tahoma"/>
          <w:b/>
          <w:bCs/>
        </w:rPr>
        <w:t>”</w:t>
      </w:r>
      <w:r w:rsidR="00AD09D6" w:rsidRPr="00652613">
        <w:rPr>
          <w:rFonts w:ascii="Tahoma" w:hAnsi="Tahoma" w:cs="Tahoma"/>
        </w:rPr>
        <w:t>.</w:t>
      </w:r>
    </w:p>
    <w:p w14:paraId="519880EF" w14:textId="77777777" w:rsidR="00B72BB3" w:rsidRPr="00652613" w:rsidRDefault="00B72BB3" w:rsidP="005C0936">
      <w:pPr>
        <w:spacing w:line="276" w:lineRule="auto"/>
        <w:jc w:val="center"/>
        <w:rPr>
          <w:rFonts w:ascii="Tahoma" w:hAnsi="Tahoma" w:cs="Tahoma"/>
          <w:b/>
          <w:bCs/>
        </w:rPr>
      </w:pPr>
    </w:p>
    <w:p w14:paraId="208B945F" w14:textId="77777777" w:rsidR="00AD09D6" w:rsidRPr="00652613" w:rsidRDefault="00AD09D6" w:rsidP="005C0936">
      <w:pPr>
        <w:spacing w:line="276" w:lineRule="auto"/>
        <w:jc w:val="center"/>
        <w:rPr>
          <w:rFonts w:ascii="Tahoma" w:hAnsi="Tahoma" w:cs="Tahoma"/>
          <w:b/>
          <w:bCs/>
        </w:rPr>
      </w:pPr>
      <w:r w:rsidRPr="00652613">
        <w:rPr>
          <w:rFonts w:ascii="Tahoma" w:hAnsi="Tahoma" w:cs="Tahoma"/>
          <w:b/>
          <w:bCs/>
        </w:rPr>
        <w:t>PUNTO A TRATAR</w:t>
      </w:r>
    </w:p>
    <w:p w14:paraId="2C819995" w14:textId="2333E7B0" w:rsidR="00AD09D6" w:rsidRPr="00652613" w:rsidRDefault="00AD09D6" w:rsidP="005C0936">
      <w:pPr>
        <w:spacing w:line="276" w:lineRule="auto"/>
        <w:jc w:val="center"/>
        <w:rPr>
          <w:rFonts w:ascii="Tahoma" w:hAnsi="Tahoma" w:cs="Tahoma"/>
          <w:b/>
          <w:bCs/>
        </w:rPr>
      </w:pPr>
    </w:p>
    <w:p w14:paraId="7185C001" w14:textId="3A9B5EDE" w:rsidR="00B72BB3" w:rsidRPr="00652613" w:rsidRDefault="00AD09D6" w:rsidP="005C0936">
      <w:pPr>
        <w:spacing w:line="276" w:lineRule="auto"/>
        <w:ind w:firstLine="708"/>
        <w:jc w:val="both"/>
        <w:rPr>
          <w:rFonts w:ascii="Tahoma" w:hAnsi="Tahoma" w:cs="Tahoma"/>
          <w:kern w:val="2"/>
          <w:lang w:val="es-CO" w:eastAsia="en-US"/>
        </w:rPr>
      </w:pPr>
      <w:r w:rsidRPr="00652613">
        <w:rPr>
          <w:rFonts w:ascii="Tahoma" w:hAnsi="Tahoma" w:cs="Tahoma"/>
        </w:rPr>
        <w:t xml:space="preserve">Por medio de esta providencia procede la Sala a resolver el recurso de apelación promovido por la demandada, en contra del auto del </w:t>
      </w:r>
      <w:r w:rsidRPr="00652613">
        <w:rPr>
          <w:rFonts w:ascii="Tahoma" w:hAnsi="Tahoma" w:cs="Tahoma"/>
          <w:b/>
          <w:bCs/>
        </w:rPr>
        <w:t>8 de octubre de 2020</w:t>
      </w:r>
      <w:r w:rsidRPr="00652613">
        <w:rPr>
          <w:rFonts w:ascii="Tahoma" w:hAnsi="Tahoma" w:cs="Tahoma"/>
        </w:rPr>
        <w:t xml:space="preserve">, por medio del cual se negaron las excepciones previas propuestas por la accionada, dentro del proceso especial de fuero sindical – acción de reintegro </w:t>
      </w:r>
      <w:r w:rsidR="006B230E" w:rsidRPr="00652613">
        <w:rPr>
          <w:rFonts w:ascii="Tahoma" w:hAnsi="Tahoma" w:cs="Tahoma"/>
        </w:rPr>
        <w:t>–</w:t>
      </w:r>
      <w:r w:rsidRPr="00652613">
        <w:rPr>
          <w:rFonts w:ascii="Tahoma" w:hAnsi="Tahoma" w:cs="Tahoma"/>
        </w:rPr>
        <w:t xml:space="preserve"> reseñado con anterioridad. </w:t>
      </w:r>
      <w:r w:rsidR="00B72BB3" w:rsidRPr="00652613">
        <w:rPr>
          <w:rFonts w:ascii="Tahoma" w:hAnsi="Tahoma" w:cs="Tahoma"/>
          <w:kern w:val="2"/>
        </w:rPr>
        <w:t>En sesión previa que se hizo constar en la mencionada acta, la Sala discutió y aprobó el proyecto que presentó la Magistrada Ponente, el cual alude al siguiente auto interlocutorio.</w:t>
      </w:r>
    </w:p>
    <w:p w14:paraId="1881C29D" w14:textId="70DE5374" w:rsidR="00AD09D6" w:rsidRPr="00652613" w:rsidRDefault="00AD09D6" w:rsidP="005C0936">
      <w:pPr>
        <w:spacing w:line="276" w:lineRule="auto"/>
        <w:rPr>
          <w:rFonts w:ascii="Tahoma" w:hAnsi="Tahoma" w:cs="Tahoma"/>
        </w:rPr>
      </w:pPr>
    </w:p>
    <w:p w14:paraId="6281A0E8" w14:textId="71BFE667" w:rsidR="00AF1C1B" w:rsidRPr="00652613" w:rsidRDefault="00B72BB3" w:rsidP="005C0936">
      <w:pPr>
        <w:pStyle w:val="Prrafodelista"/>
        <w:numPr>
          <w:ilvl w:val="0"/>
          <w:numId w:val="6"/>
        </w:numPr>
        <w:spacing w:line="276" w:lineRule="auto"/>
        <w:jc w:val="center"/>
        <w:rPr>
          <w:rFonts w:ascii="Tahoma" w:hAnsi="Tahoma" w:cs="Tahoma"/>
          <w:b/>
          <w:bCs/>
          <w:color w:val="000000" w:themeColor="text1"/>
        </w:rPr>
      </w:pPr>
      <w:r w:rsidRPr="00652613">
        <w:rPr>
          <w:rFonts w:ascii="Tahoma" w:hAnsi="Tahoma" w:cs="Tahoma"/>
          <w:b/>
          <w:bCs/>
        </w:rPr>
        <w:t>Antecedentes Procesales</w:t>
      </w:r>
    </w:p>
    <w:p w14:paraId="1F09F8FD" w14:textId="77777777" w:rsidR="00B72BB3" w:rsidRPr="00652613" w:rsidRDefault="00B72BB3" w:rsidP="005C0936">
      <w:pPr>
        <w:spacing w:line="276" w:lineRule="auto"/>
        <w:rPr>
          <w:rFonts w:ascii="Tahoma" w:hAnsi="Tahoma" w:cs="Tahoma"/>
        </w:rPr>
      </w:pPr>
    </w:p>
    <w:p w14:paraId="43E31D77" w14:textId="31928333" w:rsidR="00AF1C1B" w:rsidRPr="00652613" w:rsidRDefault="00AF1C1B" w:rsidP="005C0936">
      <w:pPr>
        <w:spacing w:line="276" w:lineRule="auto"/>
        <w:ind w:firstLine="708"/>
        <w:jc w:val="both"/>
        <w:rPr>
          <w:rFonts w:ascii="Tahoma" w:hAnsi="Tahoma" w:cs="Tahoma"/>
        </w:rPr>
      </w:pPr>
      <w:r w:rsidRPr="00652613">
        <w:rPr>
          <w:rFonts w:ascii="Tahoma" w:hAnsi="Tahoma" w:cs="Tahoma"/>
          <w:b/>
          <w:bCs/>
        </w:rPr>
        <w:t xml:space="preserve">Wilder </w:t>
      </w:r>
      <w:proofErr w:type="spellStart"/>
      <w:r w:rsidRPr="00652613">
        <w:rPr>
          <w:rFonts w:ascii="Tahoma" w:hAnsi="Tahoma" w:cs="Tahoma"/>
          <w:b/>
          <w:bCs/>
        </w:rPr>
        <w:t>Fabian</w:t>
      </w:r>
      <w:proofErr w:type="spellEnd"/>
      <w:r w:rsidRPr="00652613">
        <w:rPr>
          <w:rFonts w:ascii="Tahoma" w:hAnsi="Tahoma" w:cs="Tahoma"/>
          <w:b/>
          <w:bCs/>
        </w:rPr>
        <w:t xml:space="preserve"> Marín </w:t>
      </w:r>
      <w:proofErr w:type="spellStart"/>
      <w:r w:rsidRPr="00652613">
        <w:rPr>
          <w:rFonts w:ascii="Tahoma" w:hAnsi="Tahoma" w:cs="Tahoma"/>
          <w:b/>
          <w:bCs/>
        </w:rPr>
        <w:t>Albarracin</w:t>
      </w:r>
      <w:proofErr w:type="spellEnd"/>
      <w:r w:rsidRPr="00652613">
        <w:rPr>
          <w:rFonts w:ascii="Tahoma" w:hAnsi="Tahoma" w:cs="Tahoma"/>
        </w:rPr>
        <w:t xml:space="preserve"> demandó a la </w:t>
      </w:r>
      <w:r w:rsidRPr="00652613">
        <w:rPr>
          <w:rFonts w:ascii="Tahoma" w:hAnsi="Tahoma" w:cs="Tahoma"/>
          <w:b/>
          <w:bCs/>
        </w:rPr>
        <w:t>Compañía Transportadora de Valores Prosegur de Colombia S.A.,</w:t>
      </w:r>
      <w:r w:rsidRPr="00652613">
        <w:rPr>
          <w:rFonts w:ascii="Tahoma" w:hAnsi="Tahoma" w:cs="Tahoma"/>
        </w:rPr>
        <w:t xml:space="preserve"> </w:t>
      </w:r>
      <w:r w:rsidR="004F29B8" w:rsidRPr="00652613">
        <w:rPr>
          <w:rFonts w:ascii="Tahoma" w:hAnsi="Tahoma" w:cs="Tahoma"/>
        </w:rPr>
        <w:t xml:space="preserve">para </w:t>
      </w:r>
      <w:r w:rsidR="00B72BB3" w:rsidRPr="00652613">
        <w:rPr>
          <w:rFonts w:ascii="Tahoma" w:hAnsi="Tahoma" w:cs="Tahoma"/>
        </w:rPr>
        <w:t xml:space="preserve">que </w:t>
      </w:r>
      <w:r w:rsidRPr="00652613">
        <w:rPr>
          <w:rFonts w:ascii="Tahoma" w:hAnsi="Tahoma" w:cs="Tahoma"/>
        </w:rPr>
        <w:t xml:space="preserve">se declare la existencia de un contrato de trabajo a término indefinido entre el </w:t>
      </w:r>
      <w:r w:rsidR="00B72BB3" w:rsidRPr="00652613">
        <w:rPr>
          <w:rFonts w:ascii="Tahoma" w:hAnsi="Tahoma" w:cs="Tahoma"/>
          <w:b/>
          <w:bCs/>
        </w:rPr>
        <w:t>29 de julio de 2004</w:t>
      </w:r>
      <w:r w:rsidRPr="00652613">
        <w:rPr>
          <w:rFonts w:ascii="Tahoma" w:hAnsi="Tahoma" w:cs="Tahoma"/>
        </w:rPr>
        <w:t xml:space="preserve"> y el </w:t>
      </w:r>
      <w:r w:rsidR="00B72BB3" w:rsidRPr="00652613">
        <w:rPr>
          <w:rFonts w:ascii="Tahoma" w:hAnsi="Tahoma" w:cs="Tahoma"/>
          <w:b/>
          <w:bCs/>
        </w:rPr>
        <w:t xml:space="preserve">4 </w:t>
      </w:r>
      <w:r w:rsidRPr="00652613">
        <w:rPr>
          <w:rFonts w:ascii="Tahoma" w:hAnsi="Tahoma" w:cs="Tahoma"/>
          <w:b/>
          <w:bCs/>
        </w:rPr>
        <w:t xml:space="preserve">de </w:t>
      </w:r>
      <w:r w:rsidR="00B72BB3" w:rsidRPr="00652613">
        <w:rPr>
          <w:rFonts w:ascii="Tahoma" w:hAnsi="Tahoma" w:cs="Tahoma"/>
          <w:b/>
          <w:bCs/>
        </w:rPr>
        <w:t xml:space="preserve">junio </w:t>
      </w:r>
      <w:r w:rsidRPr="00652613">
        <w:rPr>
          <w:rFonts w:ascii="Tahoma" w:hAnsi="Tahoma" w:cs="Tahoma"/>
          <w:b/>
          <w:bCs/>
        </w:rPr>
        <w:t xml:space="preserve">de </w:t>
      </w:r>
      <w:r w:rsidR="00B72BB3" w:rsidRPr="00652613">
        <w:rPr>
          <w:rFonts w:ascii="Tahoma" w:hAnsi="Tahoma" w:cs="Tahoma"/>
          <w:b/>
          <w:bCs/>
        </w:rPr>
        <w:t>2020</w:t>
      </w:r>
      <w:r w:rsidRPr="00652613">
        <w:rPr>
          <w:rFonts w:ascii="Tahoma" w:hAnsi="Tahoma" w:cs="Tahoma"/>
        </w:rPr>
        <w:t xml:space="preserve">, </w:t>
      </w:r>
      <w:r w:rsidR="00B72BB3" w:rsidRPr="00652613">
        <w:rPr>
          <w:rFonts w:ascii="Tahoma" w:hAnsi="Tahoma" w:cs="Tahoma"/>
        </w:rPr>
        <w:t xml:space="preserve">terminado de manera ilegal por estar amparado con fuero sindical.  En consecuencia, solicita se ordene el </w:t>
      </w:r>
      <w:r w:rsidRPr="00652613">
        <w:rPr>
          <w:rFonts w:ascii="Tahoma" w:hAnsi="Tahoma" w:cs="Tahoma"/>
        </w:rPr>
        <w:t xml:space="preserve">reintegro al cargo que venía desempeñando u otro similar, además del pago de indemnizaciones, salarios y demás prestaciones legales o convencionales dejadas de percibir desde la fecha en que se produjo el despido. </w:t>
      </w:r>
    </w:p>
    <w:p w14:paraId="079756F8" w14:textId="65C20B2A" w:rsidR="00AD09D6" w:rsidRPr="00652613" w:rsidRDefault="00AD09D6" w:rsidP="005C0936">
      <w:pPr>
        <w:widowControl w:val="0"/>
        <w:autoSpaceDE w:val="0"/>
        <w:autoSpaceDN w:val="0"/>
        <w:adjustRightInd w:val="0"/>
        <w:spacing w:line="276" w:lineRule="auto"/>
        <w:jc w:val="both"/>
        <w:rPr>
          <w:rFonts w:ascii="Tahoma" w:hAnsi="Tahoma" w:cs="Tahoma"/>
        </w:rPr>
      </w:pPr>
    </w:p>
    <w:p w14:paraId="65A4EAF5" w14:textId="44FABD99" w:rsidR="004F29B8" w:rsidRPr="00652613" w:rsidRDefault="004F29B8" w:rsidP="005C0936">
      <w:pPr>
        <w:spacing w:line="276" w:lineRule="auto"/>
        <w:ind w:firstLine="708"/>
        <w:jc w:val="both"/>
        <w:rPr>
          <w:rFonts w:ascii="Tahoma" w:hAnsi="Tahoma" w:cs="Tahoma"/>
        </w:rPr>
      </w:pPr>
      <w:r w:rsidRPr="00652613">
        <w:rPr>
          <w:rFonts w:ascii="Tahoma" w:hAnsi="Tahoma" w:cs="Tahoma"/>
        </w:rPr>
        <w:t xml:space="preserve">En resumen, los hechos que sustentan dichas pretensiones informan que: </w:t>
      </w:r>
      <w:r w:rsidRPr="00652613">
        <w:rPr>
          <w:rFonts w:ascii="Tahoma" w:hAnsi="Tahoma" w:cs="Tahoma"/>
          <w:b/>
          <w:bCs/>
        </w:rPr>
        <w:t>(i)</w:t>
      </w:r>
      <w:r w:rsidRPr="00652613">
        <w:rPr>
          <w:rFonts w:ascii="Tahoma" w:hAnsi="Tahoma" w:cs="Tahoma"/>
        </w:rPr>
        <w:t xml:space="preserve">  El Sr. Marín </w:t>
      </w:r>
      <w:r w:rsidR="00B72BB3" w:rsidRPr="00652613">
        <w:rPr>
          <w:rFonts w:ascii="Tahoma" w:hAnsi="Tahoma" w:cs="Tahoma"/>
        </w:rPr>
        <w:t>prestó sus servicios como escolta motorizado para Prosegur S.A.</w:t>
      </w:r>
      <w:r w:rsidRPr="00652613">
        <w:rPr>
          <w:rFonts w:ascii="Tahoma" w:hAnsi="Tahoma" w:cs="Tahoma"/>
          <w:i/>
          <w:iCs/>
        </w:rPr>
        <w:t>,</w:t>
      </w:r>
      <w:r w:rsidR="00B72BB3" w:rsidRPr="00652613">
        <w:rPr>
          <w:rFonts w:ascii="Tahoma" w:hAnsi="Tahoma" w:cs="Tahoma"/>
          <w:i/>
          <w:iCs/>
        </w:rPr>
        <w:t xml:space="preserve"> </w:t>
      </w:r>
      <w:r w:rsidRPr="00652613">
        <w:rPr>
          <w:rFonts w:ascii="Tahoma" w:hAnsi="Tahoma" w:cs="Tahoma"/>
        </w:rPr>
        <w:t>ejecutado</w:t>
      </w:r>
      <w:r w:rsidRPr="00652613">
        <w:rPr>
          <w:rFonts w:ascii="Tahoma" w:hAnsi="Tahoma" w:cs="Tahoma"/>
          <w:i/>
          <w:iCs/>
        </w:rPr>
        <w:t xml:space="preserve"> </w:t>
      </w:r>
      <w:r w:rsidR="00B72BB3" w:rsidRPr="00652613">
        <w:rPr>
          <w:rFonts w:ascii="Tahoma" w:hAnsi="Tahoma" w:cs="Tahoma"/>
        </w:rPr>
        <w:t xml:space="preserve">entre el </w:t>
      </w:r>
      <w:r w:rsidR="00B72BB3" w:rsidRPr="00652613">
        <w:rPr>
          <w:rFonts w:ascii="Tahoma" w:hAnsi="Tahoma" w:cs="Tahoma"/>
          <w:b/>
          <w:bCs/>
        </w:rPr>
        <w:t>29 de ju</w:t>
      </w:r>
      <w:r w:rsidR="0090148A" w:rsidRPr="00652613">
        <w:rPr>
          <w:rFonts w:ascii="Tahoma" w:hAnsi="Tahoma" w:cs="Tahoma"/>
          <w:b/>
          <w:bCs/>
        </w:rPr>
        <w:t>l</w:t>
      </w:r>
      <w:r w:rsidR="00B72BB3" w:rsidRPr="00652613">
        <w:rPr>
          <w:rFonts w:ascii="Tahoma" w:hAnsi="Tahoma" w:cs="Tahoma"/>
          <w:b/>
          <w:bCs/>
        </w:rPr>
        <w:t>io de 2004</w:t>
      </w:r>
      <w:r w:rsidR="00B72BB3" w:rsidRPr="00652613">
        <w:rPr>
          <w:rFonts w:ascii="Tahoma" w:hAnsi="Tahoma" w:cs="Tahoma"/>
        </w:rPr>
        <w:t xml:space="preserve"> y el </w:t>
      </w:r>
      <w:r w:rsidR="00B72BB3" w:rsidRPr="00652613">
        <w:rPr>
          <w:rFonts w:ascii="Tahoma" w:hAnsi="Tahoma" w:cs="Tahoma"/>
          <w:b/>
          <w:bCs/>
        </w:rPr>
        <w:t>4 de junio de 2020</w:t>
      </w:r>
      <w:r w:rsidRPr="00652613">
        <w:rPr>
          <w:rFonts w:ascii="Tahoma" w:hAnsi="Tahoma" w:cs="Tahoma"/>
        </w:rPr>
        <w:t xml:space="preserve">, devengando la suma de </w:t>
      </w:r>
      <w:r w:rsidR="00B72BB3" w:rsidRPr="00652613">
        <w:rPr>
          <w:rFonts w:ascii="Tahoma" w:hAnsi="Tahoma" w:cs="Tahoma"/>
          <w:b/>
          <w:bCs/>
        </w:rPr>
        <w:t>$1.114.000</w:t>
      </w:r>
      <w:r w:rsidRPr="00652613">
        <w:rPr>
          <w:rFonts w:ascii="Tahoma" w:hAnsi="Tahoma" w:cs="Tahoma"/>
          <w:b/>
          <w:bCs/>
        </w:rPr>
        <w:t>.; (ii)</w:t>
      </w:r>
      <w:r w:rsidRPr="00652613">
        <w:rPr>
          <w:rFonts w:ascii="Tahoma" w:hAnsi="Tahoma" w:cs="Tahoma"/>
        </w:rPr>
        <w:t xml:space="preserve"> Que </w:t>
      </w:r>
      <w:r w:rsidR="0090148A" w:rsidRPr="00652613">
        <w:rPr>
          <w:rFonts w:ascii="Tahoma" w:hAnsi="Tahoma" w:cs="Tahoma"/>
        </w:rPr>
        <w:t xml:space="preserve">en ejercicio de sus labores, era reconocido </w:t>
      </w:r>
      <w:r w:rsidRPr="00652613">
        <w:rPr>
          <w:rFonts w:ascii="Tahoma" w:hAnsi="Tahoma" w:cs="Tahoma"/>
        </w:rPr>
        <w:t xml:space="preserve">como </w:t>
      </w:r>
      <w:r w:rsidR="00B72BB3" w:rsidRPr="00652613">
        <w:rPr>
          <w:rFonts w:ascii="Tahoma" w:hAnsi="Tahoma" w:cs="Tahoma"/>
        </w:rPr>
        <w:t>trabajador</w:t>
      </w:r>
      <w:r w:rsidR="0090148A" w:rsidRPr="00652613">
        <w:rPr>
          <w:rFonts w:ascii="Tahoma" w:hAnsi="Tahoma" w:cs="Tahoma"/>
        </w:rPr>
        <w:t xml:space="preserve"> de Prosegur</w:t>
      </w:r>
      <w:r w:rsidRPr="00652613">
        <w:rPr>
          <w:rFonts w:ascii="Tahoma" w:hAnsi="Tahoma" w:cs="Tahoma"/>
        </w:rPr>
        <w:t xml:space="preserve">, </w:t>
      </w:r>
      <w:r w:rsidR="0090148A" w:rsidRPr="00652613">
        <w:rPr>
          <w:rFonts w:ascii="Tahoma" w:hAnsi="Tahoma" w:cs="Tahoma"/>
        </w:rPr>
        <w:t xml:space="preserve">empresa que le suministraba el </w:t>
      </w:r>
      <w:r w:rsidR="00B72BB3" w:rsidRPr="00652613">
        <w:rPr>
          <w:rFonts w:ascii="Tahoma" w:hAnsi="Tahoma" w:cs="Tahoma"/>
        </w:rPr>
        <w:t xml:space="preserve">carnet </w:t>
      </w:r>
      <w:r w:rsidRPr="00652613">
        <w:rPr>
          <w:rFonts w:ascii="Tahoma" w:hAnsi="Tahoma" w:cs="Tahoma"/>
        </w:rPr>
        <w:t>empresarial</w:t>
      </w:r>
      <w:r w:rsidR="0090148A" w:rsidRPr="00652613">
        <w:rPr>
          <w:rFonts w:ascii="Tahoma" w:hAnsi="Tahoma" w:cs="Tahoma"/>
        </w:rPr>
        <w:t xml:space="preserve">, </w:t>
      </w:r>
      <w:r w:rsidR="00B72BB3" w:rsidRPr="00652613">
        <w:rPr>
          <w:rFonts w:ascii="Tahoma" w:hAnsi="Tahoma" w:cs="Tahoma"/>
        </w:rPr>
        <w:t xml:space="preserve">armas </w:t>
      </w:r>
      <w:r w:rsidRPr="00652613">
        <w:rPr>
          <w:rFonts w:ascii="Tahoma" w:hAnsi="Tahoma" w:cs="Tahoma"/>
        </w:rPr>
        <w:t xml:space="preserve">de </w:t>
      </w:r>
      <w:r w:rsidR="00B72BB3" w:rsidRPr="00652613">
        <w:rPr>
          <w:rFonts w:ascii="Tahoma" w:hAnsi="Tahoma" w:cs="Tahoma"/>
        </w:rPr>
        <w:t>protección personal</w:t>
      </w:r>
      <w:r w:rsidR="0090148A" w:rsidRPr="00652613">
        <w:rPr>
          <w:rFonts w:ascii="Tahoma" w:hAnsi="Tahoma" w:cs="Tahoma"/>
        </w:rPr>
        <w:t>,</w:t>
      </w:r>
      <w:r w:rsidR="00B72BB3" w:rsidRPr="00652613">
        <w:rPr>
          <w:rFonts w:ascii="Tahoma" w:hAnsi="Tahoma" w:cs="Tahoma"/>
        </w:rPr>
        <w:t xml:space="preserve"> valores</w:t>
      </w:r>
      <w:r w:rsidRPr="00652613">
        <w:rPr>
          <w:rFonts w:ascii="Tahoma" w:hAnsi="Tahoma" w:cs="Tahoma"/>
        </w:rPr>
        <w:t xml:space="preserve">, </w:t>
      </w:r>
      <w:r w:rsidR="0090148A" w:rsidRPr="00652613">
        <w:rPr>
          <w:rFonts w:ascii="Tahoma" w:hAnsi="Tahoma" w:cs="Tahoma"/>
        </w:rPr>
        <w:t xml:space="preserve">capacitación; que </w:t>
      </w:r>
      <w:r w:rsidRPr="00652613">
        <w:rPr>
          <w:rFonts w:ascii="Tahoma" w:hAnsi="Tahoma" w:cs="Tahoma"/>
        </w:rPr>
        <w:t xml:space="preserve">el servicio era prestado </w:t>
      </w:r>
      <w:r w:rsidR="00B72BB3" w:rsidRPr="00652613">
        <w:rPr>
          <w:rFonts w:ascii="Tahoma" w:hAnsi="Tahoma" w:cs="Tahoma"/>
        </w:rPr>
        <w:t xml:space="preserve">en </w:t>
      </w:r>
      <w:r w:rsidRPr="00652613">
        <w:rPr>
          <w:rFonts w:ascii="Tahoma" w:hAnsi="Tahoma" w:cs="Tahoma"/>
        </w:rPr>
        <w:t xml:space="preserve">las </w:t>
      </w:r>
      <w:r w:rsidR="00B72BB3" w:rsidRPr="00652613">
        <w:rPr>
          <w:rFonts w:ascii="Tahoma" w:hAnsi="Tahoma" w:cs="Tahoma"/>
        </w:rPr>
        <w:t>instalaciones, locales y vehículos</w:t>
      </w:r>
      <w:r w:rsidRPr="00652613">
        <w:rPr>
          <w:rFonts w:ascii="Tahoma" w:hAnsi="Tahoma" w:cs="Tahoma"/>
        </w:rPr>
        <w:t xml:space="preserve"> de </w:t>
      </w:r>
      <w:r w:rsidR="0090148A" w:rsidRPr="00652613">
        <w:rPr>
          <w:rFonts w:ascii="Tahoma" w:hAnsi="Tahoma" w:cs="Tahoma"/>
        </w:rPr>
        <w:t>aquélla</w:t>
      </w:r>
      <w:r w:rsidRPr="00652613">
        <w:rPr>
          <w:rFonts w:ascii="Tahoma" w:hAnsi="Tahoma" w:cs="Tahoma"/>
        </w:rPr>
        <w:t xml:space="preserve">, </w:t>
      </w:r>
      <w:r w:rsidR="0090148A" w:rsidRPr="00652613">
        <w:rPr>
          <w:rFonts w:ascii="Tahoma" w:hAnsi="Tahoma" w:cs="Tahoma"/>
        </w:rPr>
        <w:t xml:space="preserve">estando sujeto a la supervisión, dirección </w:t>
      </w:r>
      <w:r w:rsidR="00B72BB3" w:rsidRPr="00652613">
        <w:rPr>
          <w:rFonts w:ascii="Tahoma" w:hAnsi="Tahoma" w:cs="Tahoma"/>
        </w:rPr>
        <w:t xml:space="preserve">y </w:t>
      </w:r>
      <w:r w:rsidR="0090148A" w:rsidRPr="00652613">
        <w:rPr>
          <w:rFonts w:ascii="Tahoma" w:hAnsi="Tahoma" w:cs="Tahoma"/>
        </w:rPr>
        <w:t xml:space="preserve">subordinación </w:t>
      </w:r>
      <w:r w:rsidR="00B72BB3" w:rsidRPr="00652613">
        <w:rPr>
          <w:rFonts w:ascii="Tahoma" w:hAnsi="Tahoma" w:cs="Tahoma"/>
        </w:rPr>
        <w:t xml:space="preserve">de la demandada; </w:t>
      </w:r>
      <w:r w:rsidRPr="00652613">
        <w:rPr>
          <w:rFonts w:ascii="Tahoma" w:hAnsi="Tahoma" w:cs="Tahoma"/>
          <w:b/>
          <w:bCs/>
        </w:rPr>
        <w:t xml:space="preserve">(iii) </w:t>
      </w:r>
      <w:r w:rsidRPr="00652613">
        <w:rPr>
          <w:rFonts w:ascii="Tahoma" w:hAnsi="Tahoma" w:cs="Tahoma"/>
        </w:rPr>
        <w:t xml:space="preserve">Que </w:t>
      </w:r>
      <w:r w:rsidR="0090148A" w:rsidRPr="00652613">
        <w:rPr>
          <w:rFonts w:ascii="Tahoma" w:hAnsi="Tahoma" w:cs="Tahoma"/>
        </w:rPr>
        <w:t xml:space="preserve">en Prosegur </w:t>
      </w:r>
      <w:r w:rsidRPr="00652613">
        <w:rPr>
          <w:rFonts w:ascii="Tahoma" w:hAnsi="Tahoma" w:cs="Tahoma"/>
        </w:rPr>
        <w:t xml:space="preserve">existía </w:t>
      </w:r>
      <w:r w:rsidR="00B72BB3" w:rsidRPr="00652613">
        <w:rPr>
          <w:rFonts w:ascii="Tahoma" w:hAnsi="Tahoma" w:cs="Tahoma"/>
        </w:rPr>
        <w:t xml:space="preserve">el sindicato </w:t>
      </w:r>
      <w:proofErr w:type="spellStart"/>
      <w:r w:rsidR="00B72BB3" w:rsidRPr="00652613">
        <w:rPr>
          <w:rFonts w:ascii="Tahoma" w:hAnsi="Tahoma" w:cs="Tahoma"/>
        </w:rPr>
        <w:t>Sintravalores</w:t>
      </w:r>
      <w:proofErr w:type="spellEnd"/>
      <w:r w:rsidR="0090148A" w:rsidRPr="00652613">
        <w:rPr>
          <w:rFonts w:ascii="Tahoma" w:hAnsi="Tahoma" w:cs="Tahoma"/>
        </w:rPr>
        <w:t xml:space="preserve">, asociación en la que era afiliado el demandante </w:t>
      </w:r>
      <w:r w:rsidRPr="00652613">
        <w:rPr>
          <w:rFonts w:ascii="Tahoma" w:hAnsi="Tahoma" w:cs="Tahoma"/>
        </w:rPr>
        <w:t xml:space="preserve">desde el 14 de julio de 2016 </w:t>
      </w:r>
      <w:r w:rsidRPr="00652613">
        <w:rPr>
          <w:rFonts w:ascii="Tahoma" w:hAnsi="Tahoma" w:cs="Tahoma"/>
          <w:b/>
          <w:bCs/>
        </w:rPr>
        <w:t xml:space="preserve">(iv) </w:t>
      </w:r>
      <w:r w:rsidRPr="00652613">
        <w:rPr>
          <w:rFonts w:ascii="Tahoma" w:hAnsi="Tahoma" w:cs="Tahoma"/>
        </w:rPr>
        <w:t>Que</w:t>
      </w:r>
      <w:r w:rsidRPr="00652613">
        <w:rPr>
          <w:rFonts w:ascii="Tahoma" w:hAnsi="Tahoma" w:cs="Tahoma"/>
          <w:b/>
          <w:bCs/>
        </w:rPr>
        <w:t xml:space="preserve"> </w:t>
      </w:r>
      <w:r w:rsidR="00B72BB3" w:rsidRPr="00652613">
        <w:rPr>
          <w:rFonts w:ascii="Tahoma" w:hAnsi="Tahoma" w:cs="Tahoma"/>
        </w:rPr>
        <w:t xml:space="preserve">entre Prosegur y </w:t>
      </w:r>
      <w:proofErr w:type="spellStart"/>
      <w:r w:rsidR="00B72BB3" w:rsidRPr="00652613">
        <w:rPr>
          <w:rFonts w:ascii="Tahoma" w:hAnsi="Tahoma" w:cs="Tahoma"/>
        </w:rPr>
        <w:t>Sintravalores</w:t>
      </w:r>
      <w:proofErr w:type="spellEnd"/>
      <w:r w:rsidR="00B72BB3" w:rsidRPr="00652613">
        <w:rPr>
          <w:rFonts w:ascii="Tahoma" w:hAnsi="Tahoma" w:cs="Tahoma"/>
        </w:rPr>
        <w:t xml:space="preserve"> había una convención colectiva vigente, aplicable sin distinción a todos sus trabajadores</w:t>
      </w:r>
      <w:r w:rsidRPr="00652613">
        <w:rPr>
          <w:rFonts w:ascii="Tahoma" w:hAnsi="Tahoma" w:cs="Tahoma"/>
        </w:rPr>
        <w:t xml:space="preserve"> cuyas </w:t>
      </w:r>
      <w:r w:rsidR="0090148A" w:rsidRPr="00652613">
        <w:rPr>
          <w:rFonts w:ascii="Tahoma" w:hAnsi="Tahoma" w:cs="Tahoma"/>
        </w:rPr>
        <w:t>cláusulas</w:t>
      </w:r>
      <w:r w:rsidR="00B72BB3" w:rsidRPr="00652613">
        <w:rPr>
          <w:rFonts w:ascii="Tahoma" w:hAnsi="Tahoma" w:cs="Tahoma"/>
        </w:rPr>
        <w:t xml:space="preserve"> convencionales estaban integradas al contrato de trabajo; </w:t>
      </w:r>
      <w:r w:rsidRPr="00652613">
        <w:rPr>
          <w:rFonts w:ascii="Tahoma" w:hAnsi="Tahoma" w:cs="Tahoma"/>
          <w:b/>
          <w:bCs/>
        </w:rPr>
        <w:t xml:space="preserve">(v) </w:t>
      </w:r>
      <w:r w:rsidRPr="00652613">
        <w:rPr>
          <w:rFonts w:ascii="Tahoma" w:hAnsi="Tahoma" w:cs="Tahoma"/>
        </w:rPr>
        <w:t>Q</w:t>
      </w:r>
      <w:r w:rsidR="00B72BB3" w:rsidRPr="00652613">
        <w:rPr>
          <w:rFonts w:ascii="Tahoma" w:hAnsi="Tahoma" w:cs="Tahoma"/>
        </w:rPr>
        <w:t>ue en el clausulado 5to. convencional estaba establecido que todos los trabajadores que entraran a prestar los servicios a Prosegur S.A., tendrían contrato de trabajo a t</w:t>
      </w:r>
      <w:r w:rsidRPr="00652613">
        <w:rPr>
          <w:rFonts w:ascii="Tahoma" w:hAnsi="Tahoma" w:cs="Tahoma"/>
        </w:rPr>
        <w:t>é</w:t>
      </w:r>
      <w:r w:rsidR="00B72BB3" w:rsidRPr="00652613">
        <w:rPr>
          <w:rFonts w:ascii="Tahoma" w:hAnsi="Tahoma" w:cs="Tahoma"/>
        </w:rPr>
        <w:t>rmino indefinido</w:t>
      </w:r>
      <w:r w:rsidR="001249F9" w:rsidRPr="00652613">
        <w:rPr>
          <w:rFonts w:ascii="Tahoma" w:hAnsi="Tahoma" w:cs="Tahoma"/>
        </w:rPr>
        <w:t xml:space="preserve"> y, (</w:t>
      </w:r>
      <w:r w:rsidR="001249F9" w:rsidRPr="00652613">
        <w:rPr>
          <w:rFonts w:ascii="Tahoma" w:hAnsi="Tahoma" w:cs="Tahoma"/>
          <w:b/>
          <w:bCs/>
        </w:rPr>
        <w:t xml:space="preserve">vi) </w:t>
      </w:r>
      <w:r w:rsidR="001249F9" w:rsidRPr="00652613">
        <w:rPr>
          <w:rFonts w:ascii="Tahoma" w:hAnsi="Tahoma" w:cs="Tahoma"/>
        </w:rPr>
        <w:t xml:space="preserve">La demandada al terminar unilateralmente la relación laboral, lo </w:t>
      </w:r>
      <w:r w:rsidR="001249F9" w:rsidRPr="00652613">
        <w:rPr>
          <w:rFonts w:ascii="Tahoma" w:hAnsi="Tahoma" w:cs="Tahoma"/>
        </w:rPr>
        <w:lastRenderedPageBreak/>
        <w:t>hizo sin la autorización de autoridad laboral por cuanto a ese momento era trabajador aforado.</w:t>
      </w:r>
    </w:p>
    <w:p w14:paraId="003EB271" w14:textId="77777777" w:rsidR="004F29B8" w:rsidRPr="00652613" w:rsidRDefault="004F29B8" w:rsidP="005C0936">
      <w:pPr>
        <w:spacing w:line="276" w:lineRule="auto"/>
        <w:ind w:firstLine="708"/>
        <w:jc w:val="both"/>
        <w:rPr>
          <w:rFonts w:ascii="Tahoma" w:hAnsi="Tahoma" w:cs="Tahoma"/>
        </w:rPr>
      </w:pPr>
    </w:p>
    <w:p w14:paraId="555DD714" w14:textId="777E255B" w:rsidR="00AF1C1B" w:rsidRPr="00652613" w:rsidRDefault="006E53B9" w:rsidP="005C0936">
      <w:pPr>
        <w:spacing w:line="276" w:lineRule="auto"/>
        <w:ind w:firstLine="708"/>
        <w:jc w:val="both"/>
        <w:rPr>
          <w:rFonts w:ascii="Tahoma" w:hAnsi="Tahoma" w:cs="Tahoma"/>
        </w:rPr>
      </w:pPr>
      <w:r w:rsidRPr="00652613">
        <w:rPr>
          <w:rFonts w:ascii="Tahoma" w:hAnsi="Tahoma" w:cs="Tahoma"/>
        </w:rPr>
        <w:t xml:space="preserve">La </w:t>
      </w:r>
      <w:r w:rsidR="00AF1C1B" w:rsidRPr="00652613">
        <w:rPr>
          <w:rFonts w:ascii="Tahoma" w:hAnsi="Tahoma" w:cs="Tahoma"/>
          <w:b/>
          <w:bCs/>
        </w:rPr>
        <w:t>Compañía Transportadora de Valores Prosegur de Colombia S.A</w:t>
      </w:r>
      <w:r w:rsidR="00AF1C1B" w:rsidRPr="00652613">
        <w:rPr>
          <w:rFonts w:ascii="Tahoma" w:hAnsi="Tahoma" w:cs="Tahoma"/>
        </w:rPr>
        <w:t xml:space="preserve">, al </w:t>
      </w:r>
      <w:r w:rsidRPr="00652613">
        <w:rPr>
          <w:rFonts w:ascii="Tahoma" w:hAnsi="Tahoma" w:cs="Tahoma"/>
        </w:rPr>
        <w:t xml:space="preserve">contestar negó los hechos de la demanda, se opuso a las pretensiones y, entre otras, </w:t>
      </w:r>
      <w:r w:rsidR="00AF1C1B" w:rsidRPr="00652613">
        <w:rPr>
          <w:rFonts w:ascii="Tahoma" w:hAnsi="Tahoma" w:cs="Tahoma"/>
        </w:rPr>
        <w:t xml:space="preserve">formuló </w:t>
      </w:r>
      <w:r w:rsidRPr="00652613">
        <w:rPr>
          <w:rFonts w:ascii="Tahoma" w:hAnsi="Tahoma" w:cs="Tahoma"/>
        </w:rPr>
        <w:t xml:space="preserve">como </w:t>
      </w:r>
      <w:r w:rsidR="00AF1C1B" w:rsidRPr="00652613">
        <w:rPr>
          <w:rFonts w:ascii="Tahoma" w:hAnsi="Tahoma" w:cs="Tahoma"/>
        </w:rPr>
        <w:t xml:space="preserve">excepciones previas </w:t>
      </w:r>
      <w:r w:rsidRPr="00652613">
        <w:rPr>
          <w:rFonts w:ascii="Tahoma" w:hAnsi="Tahoma" w:cs="Tahoma"/>
        </w:rPr>
        <w:t xml:space="preserve">las </w:t>
      </w:r>
      <w:r w:rsidR="00AF1C1B" w:rsidRPr="00652613">
        <w:rPr>
          <w:rFonts w:ascii="Tahoma" w:hAnsi="Tahoma" w:cs="Tahoma"/>
        </w:rPr>
        <w:t xml:space="preserve">de </w:t>
      </w:r>
      <w:r w:rsidR="00AF1C1B" w:rsidRPr="00652613">
        <w:rPr>
          <w:rFonts w:ascii="Tahoma" w:hAnsi="Tahoma" w:cs="Tahoma"/>
          <w:b/>
          <w:bCs/>
        </w:rPr>
        <w:t>“falta de integración del litis consorcio necesario”</w:t>
      </w:r>
      <w:r w:rsidR="00AF1C1B" w:rsidRPr="00652613">
        <w:rPr>
          <w:rFonts w:ascii="Tahoma" w:hAnsi="Tahoma" w:cs="Tahoma"/>
        </w:rPr>
        <w:t xml:space="preserve"> </w:t>
      </w:r>
      <w:r w:rsidR="00AF1C1B" w:rsidRPr="00652613">
        <w:rPr>
          <w:rFonts w:ascii="Tahoma" w:hAnsi="Tahoma" w:cs="Tahoma"/>
          <w:b/>
          <w:bCs/>
        </w:rPr>
        <w:t>y “prescripción”.</w:t>
      </w:r>
      <w:r w:rsidR="00AF1C1B" w:rsidRPr="00652613">
        <w:rPr>
          <w:rFonts w:ascii="Tahoma" w:hAnsi="Tahoma" w:cs="Tahoma"/>
        </w:rPr>
        <w:t xml:space="preserve"> </w:t>
      </w:r>
    </w:p>
    <w:p w14:paraId="00C22960" w14:textId="0D654333" w:rsidR="00AF1C1B" w:rsidRPr="00652613" w:rsidRDefault="00AF1C1B" w:rsidP="005C0936">
      <w:pPr>
        <w:widowControl w:val="0"/>
        <w:autoSpaceDE w:val="0"/>
        <w:autoSpaceDN w:val="0"/>
        <w:adjustRightInd w:val="0"/>
        <w:spacing w:line="276" w:lineRule="auto"/>
        <w:jc w:val="both"/>
        <w:rPr>
          <w:rFonts w:ascii="Tahoma" w:hAnsi="Tahoma" w:cs="Tahoma"/>
        </w:rPr>
      </w:pPr>
    </w:p>
    <w:p w14:paraId="00CFBC1F" w14:textId="09215195" w:rsidR="006E53B9" w:rsidRPr="00652613" w:rsidRDefault="006E53B9" w:rsidP="005C0936">
      <w:pPr>
        <w:spacing w:line="276" w:lineRule="auto"/>
        <w:ind w:firstLine="708"/>
        <w:jc w:val="both"/>
        <w:rPr>
          <w:rFonts w:ascii="Tahoma" w:hAnsi="Tahoma" w:cs="Tahoma"/>
        </w:rPr>
      </w:pPr>
      <w:r w:rsidRPr="00652613">
        <w:rPr>
          <w:rFonts w:ascii="Tahoma" w:hAnsi="Tahoma" w:cs="Tahoma"/>
        </w:rPr>
        <w:t>La primera de ellas, la sustentó en que el demandante al no haber sostenido relación laboral alguna con Prosegur, sino con Cosmos Ltda., debía ser llamada al proceso por haber sido el último empleador del actor, lo cual se justificaba porque en  caso  de  existir  garantía  foral alguna en cabeza del demandante, el llamado a responder sería dicha compañía e incluso, de declarase a Prosegur como verdadero  empleador, la empresa Cosmos Ltda., sería solidariamente responsable por el pago de cualquier condena pecuniaria.</w:t>
      </w:r>
    </w:p>
    <w:p w14:paraId="253B5F06" w14:textId="71B9312F" w:rsidR="00C1003F" w:rsidRPr="00652613" w:rsidRDefault="00C1003F" w:rsidP="005C0936">
      <w:pPr>
        <w:spacing w:line="276" w:lineRule="auto"/>
        <w:ind w:firstLine="708"/>
        <w:jc w:val="both"/>
        <w:rPr>
          <w:rFonts w:ascii="Tahoma" w:hAnsi="Tahoma" w:cs="Tahoma"/>
        </w:rPr>
      </w:pPr>
    </w:p>
    <w:p w14:paraId="0515DAA6" w14:textId="4460ED5B" w:rsidR="005F23C2" w:rsidRPr="00652613" w:rsidRDefault="00C1003F" w:rsidP="005C0936">
      <w:pPr>
        <w:spacing w:line="276" w:lineRule="auto"/>
        <w:ind w:firstLine="708"/>
        <w:jc w:val="both"/>
        <w:rPr>
          <w:rFonts w:ascii="Tahoma" w:hAnsi="Tahoma" w:cs="Tahoma"/>
        </w:rPr>
      </w:pPr>
      <w:r w:rsidRPr="00652613">
        <w:rPr>
          <w:rFonts w:ascii="Tahoma" w:hAnsi="Tahoma" w:cs="Tahoma"/>
        </w:rPr>
        <w:t xml:space="preserve">La segunda, fue argumentada en que el término de dos meses que establece el artículo 118 del CPT, como término prescriptivo para las acciones que emanan del fuero sindical se inicia a partir del despido del </w:t>
      </w:r>
      <w:r w:rsidRPr="00652613">
        <w:rPr>
          <w:rFonts w:ascii="Tahoma" w:hAnsi="Tahoma" w:cs="Tahoma"/>
          <w:b/>
          <w:bCs/>
        </w:rPr>
        <w:t>4 de junio de 2020</w:t>
      </w:r>
      <w:r w:rsidRPr="00652613">
        <w:rPr>
          <w:rFonts w:ascii="Tahoma" w:hAnsi="Tahoma" w:cs="Tahoma"/>
        </w:rPr>
        <w:t xml:space="preserve">, por lo que la demanda se debió radicar en reparto, a más tardar, el </w:t>
      </w:r>
      <w:r w:rsidRPr="00652613">
        <w:rPr>
          <w:rFonts w:ascii="Tahoma" w:hAnsi="Tahoma" w:cs="Tahoma"/>
          <w:b/>
          <w:bCs/>
        </w:rPr>
        <w:t>4 agosto de 2020</w:t>
      </w:r>
      <w:r w:rsidR="005F23C2" w:rsidRPr="00652613">
        <w:rPr>
          <w:rFonts w:ascii="Tahoma" w:hAnsi="Tahoma" w:cs="Tahoma"/>
          <w:b/>
          <w:bCs/>
        </w:rPr>
        <w:t xml:space="preserve">. </w:t>
      </w:r>
      <w:r w:rsidR="005F23C2" w:rsidRPr="00652613">
        <w:rPr>
          <w:rFonts w:ascii="Tahoma" w:hAnsi="Tahoma" w:cs="Tahoma"/>
        </w:rPr>
        <w:t xml:space="preserve">Sin embargo, </w:t>
      </w:r>
      <w:r w:rsidR="12ECC28A" w:rsidRPr="00652613">
        <w:rPr>
          <w:rFonts w:ascii="Tahoma" w:hAnsi="Tahoma" w:cs="Tahoma"/>
        </w:rPr>
        <w:t xml:space="preserve">según la parte pasiva, la demanda </w:t>
      </w:r>
      <w:r w:rsidR="005F23C2" w:rsidRPr="00652613">
        <w:rPr>
          <w:rFonts w:ascii="Tahoma" w:hAnsi="Tahoma" w:cs="Tahoma"/>
        </w:rPr>
        <w:t xml:space="preserve">se presentó </w:t>
      </w:r>
      <w:r w:rsidRPr="00652613">
        <w:rPr>
          <w:rFonts w:ascii="Tahoma" w:hAnsi="Tahoma" w:cs="Tahoma"/>
        </w:rPr>
        <w:t xml:space="preserve">el </w:t>
      </w:r>
      <w:r w:rsidRPr="00652613">
        <w:rPr>
          <w:rFonts w:ascii="Tahoma" w:hAnsi="Tahoma" w:cs="Tahoma"/>
          <w:b/>
          <w:bCs/>
        </w:rPr>
        <w:t>16 de septiembre de 2020</w:t>
      </w:r>
      <w:r w:rsidR="156CC439" w:rsidRPr="00652613">
        <w:rPr>
          <w:rFonts w:ascii="Tahoma" w:hAnsi="Tahoma" w:cs="Tahoma"/>
          <w:b/>
          <w:bCs/>
        </w:rPr>
        <w:t xml:space="preserve"> </w:t>
      </w:r>
      <w:r w:rsidR="156CC439" w:rsidRPr="00652613">
        <w:rPr>
          <w:rFonts w:ascii="Tahoma" w:hAnsi="Tahoma" w:cs="Tahoma"/>
        </w:rPr>
        <w:t>-sic-</w:t>
      </w:r>
      <w:r w:rsidR="00F30B43" w:rsidRPr="00652613">
        <w:rPr>
          <w:rFonts w:ascii="Tahoma" w:hAnsi="Tahoma" w:cs="Tahoma"/>
        </w:rPr>
        <w:t xml:space="preserve"> (en realidad se presentó el 1° de septiembre de 2020),</w:t>
      </w:r>
      <w:r w:rsidRPr="00652613">
        <w:rPr>
          <w:rFonts w:ascii="Tahoma" w:hAnsi="Tahoma" w:cs="Tahoma"/>
        </w:rPr>
        <w:t xml:space="preserve"> </w:t>
      </w:r>
      <w:r w:rsidR="005F23C2" w:rsidRPr="00652613">
        <w:rPr>
          <w:rFonts w:ascii="Tahoma" w:hAnsi="Tahoma" w:cs="Tahoma"/>
        </w:rPr>
        <w:t xml:space="preserve">razón por la cual </w:t>
      </w:r>
      <w:r w:rsidRPr="00652613">
        <w:rPr>
          <w:rFonts w:ascii="Tahoma" w:hAnsi="Tahoma" w:cs="Tahoma"/>
        </w:rPr>
        <w:t xml:space="preserve">habría prescrito </w:t>
      </w:r>
      <w:r w:rsidR="005F23C2" w:rsidRPr="00652613">
        <w:rPr>
          <w:rFonts w:ascii="Tahoma" w:hAnsi="Tahoma" w:cs="Tahoma"/>
        </w:rPr>
        <w:t xml:space="preserve">la acción, </w:t>
      </w:r>
      <w:r w:rsidRPr="00652613">
        <w:rPr>
          <w:rFonts w:ascii="Tahoma" w:hAnsi="Tahoma" w:cs="Tahoma"/>
        </w:rPr>
        <w:t xml:space="preserve">porque a pesar de la suspensión de términos por el COVID 19, dicho cierre se prolongó hasta el </w:t>
      </w:r>
      <w:r w:rsidRPr="00652613">
        <w:rPr>
          <w:rFonts w:ascii="Tahoma" w:hAnsi="Tahoma" w:cs="Tahoma"/>
          <w:b/>
          <w:bCs/>
        </w:rPr>
        <w:t>1 de julio de 2020</w:t>
      </w:r>
      <w:r w:rsidRPr="00652613">
        <w:rPr>
          <w:rFonts w:ascii="Tahoma" w:hAnsi="Tahoma" w:cs="Tahoma"/>
        </w:rPr>
        <w:t>, significando con ello que para la fecha de vencimiento del término no tenía impedimento para haber presentado la acción en forma oportuna</w:t>
      </w:r>
      <w:r w:rsidR="005F23C2" w:rsidRPr="00652613">
        <w:rPr>
          <w:rFonts w:ascii="Tahoma" w:hAnsi="Tahoma" w:cs="Tahoma"/>
        </w:rPr>
        <w:t xml:space="preserve">, </w:t>
      </w:r>
      <w:r w:rsidRPr="00652613">
        <w:rPr>
          <w:rFonts w:ascii="Tahoma" w:hAnsi="Tahoma" w:cs="Tahoma"/>
        </w:rPr>
        <w:t>con el apoyo de los medios</w:t>
      </w:r>
      <w:r w:rsidR="005F23C2" w:rsidRPr="00652613">
        <w:rPr>
          <w:rFonts w:ascii="Tahoma" w:hAnsi="Tahoma" w:cs="Tahoma"/>
        </w:rPr>
        <w:t xml:space="preserve"> tecnológicos</w:t>
      </w:r>
      <w:r w:rsidR="006E01C8" w:rsidRPr="00652613">
        <w:rPr>
          <w:rFonts w:ascii="Tahoma" w:hAnsi="Tahoma" w:cs="Tahoma"/>
        </w:rPr>
        <w:t>.</w:t>
      </w:r>
    </w:p>
    <w:p w14:paraId="10ACD7FD" w14:textId="77777777" w:rsidR="005F23C2" w:rsidRPr="00652613" w:rsidRDefault="005F23C2" w:rsidP="005C0936">
      <w:pPr>
        <w:spacing w:line="276" w:lineRule="auto"/>
        <w:ind w:firstLine="708"/>
        <w:jc w:val="both"/>
        <w:rPr>
          <w:rFonts w:ascii="Tahoma" w:hAnsi="Tahoma" w:cs="Tahoma"/>
          <w:b/>
          <w:bCs/>
        </w:rPr>
      </w:pPr>
    </w:p>
    <w:p w14:paraId="0C3D5A45" w14:textId="3DC38407" w:rsidR="00A23D9A" w:rsidRPr="00652613" w:rsidRDefault="00A23D9A" w:rsidP="005C0936">
      <w:pPr>
        <w:pStyle w:val="Prrafodelista"/>
        <w:numPr>
          <w:ilvl w:val="0"/>
          <w:numId w:val="1"/>
        </w:numPr>
        <w:spacing w:line="276" w:lineRule="auto"/>
        <w:jc w:val="center"/>
        <w:rPr>
          <w:rFonts w:ascii="Tahoma" w:eastAsia="Tahoma" w:hAnsi="Tahoma" w:cs="Tahoma"/>
          <w:b/>
          <w:bCs/>
        </w:rPr>
      </w:pPr>
      <w:r w:rsidRPr="00652613">
        <w:rPr>
          <w:rFonts w:ascii="Tahoma" w:hAnsi="Tahoma" w:cs="Tahoma"/>
          <w:b/>
          <w:bCs/>
        </w:rPr>
        <w:t>Auto objeto de apelación</w:t>
      </w:r>
    </w:p>
    <w:p w14:paraId="3B2DCB15" w14:textId="7017A883" w:rsidR="00853783" w:rsidRPr="00652613" w:rsidRDefault="00853783" w:rsidP="005C0936">
      <w:pPr>
        <w:widowControl w:val="0"/>
        <w:autoSpaceDE w:val="0"/>
        <w:autoSpaceDN w:val="0"/>
        <w:adjustRightInd w:val="0"/>
        <w:spacing w:line="276" w:lineRule="auto"/>
        <w:jc w:val="both"/>
        <w:rPr>
          <w:rFonts w:ascii="Tahoma" w:hAnsi="Tahoma" w:cs="Tahoma"/>
        </w:rPr>
      </w:pPr>
    </w:p>
    <w:p w14:paraId="53DEDA31" w14:textId="06360612" w:rsidR="740C6B45" w:rsidRPr="00652613" w:rsidRDefault="740C6B45" w:rsidP="005C0936">
      <w:pPr>
        <w:spacing w:line="276" w:lineRule="auto"/>
        <w:ind w:firstLine="708"/>
        <w:jc w:val="both"/>
        <w:rPr>
          <w:rFonts w:ascii="Tahoma" w:hAnsi="Tahoma" w:cs="Tahoma"/>
        </w:rPr>
      </w:pPr>
      <w:r w:rsidRPr="00652613">
        <w:rPr>
          <w:rFonts w:ascii="Tahoma" w:eastAsia="Tahoma" w:hAnsi="Tahoma" w:cs="Tahoma"/>
          <w:lang w:val="es"/>
        </w:rPr>
        <w:t>Durante la audiencia, La Jueza de instancia, declaró no probados los medios exceptivos invocados en la medida que, frente a la “falta de integración del litis consorcio necesario”, las pretensiones únicamente estaban encaminadas a la declaratoria del contrato de trabajo con PROSEGUR S.A., por lo que no se requería la presencia de la empresa COSMOS LTDA, en tanto que no se estaba buscando la solidaridad y, en tal caso, la comparecencia era facultativa.</w:t>
      </w:r>
    </w:p>
    <w:p w14:paraId="20BDC2C2" w14:textId="512AA7B6" w:rsidR="5969EF4E" w:rsidRPr="00652613" w:rsidRDefault="5969EF4E" w:rsidP="005C0936">
      <w:pPr>
        <w:spacing w:line="276" w:lineRule="auto"/>
        <w:ind w:firstLine="708"/>
        <w:jc w:val="both"/>
        <w:rPr>
          <w:rFonts w:ascii="Tahoma" w:hAnsi="Tahoma" w:cs="Tahoma"/>
        </w:rPr>
      </w:pPr>
    </w:p>
    <w:p w14:paraId="6F74C1BA" w14:textId="7B71BB5B" w:rsidR="00A23D9A" w:rsidRPr="00652613" w:rsidRDefault="00A23D9A" w:rsidP="005C0936">
      <w:pPr>
        <w:spacing w:line="276" w:lineRule="auto"/>
        <w:ind w:firstLine="708"/>
        <w:jc w:val="both"/>
        <w:rPr>
          <w:rFonts w:ascii="Tahoma" w:hAnsi="Tahoma" w:cs="Tahoma"/>
          <w:lang w:val="es-419"/>
        </w:rPr>
      </w:pPr>
      <w:r w:rsidRPr="00652613">
        <w:rPr>
          <w:rFonts w:ascii="Tahoma" w:hAnsi="Tahoma" w:cs="Tahoma"/>
          <w:lang w:val="es-419"/>
        </w:rPr>
        <w:t xml:space="preserve">En </w:t>
      </w:r>
      <w:r w:rsidRPr="00652613">
        <w:rPr>
          <w:rFonts w:ascii="Tahoma" w:hAnsi="Tahoma" w:cs="Tahoma"/>
        </w:rPr>
        <w:t>torno</w:t>
      </w:r>
      <w:r w:rsidRPr="00652613">
        <w:rPr>
          <w:rFonts w:ascii="Tahoma" w:hAnsi="Tahoma" w:cs="Tahoma"/>
          <w:lang w:val="es-419"/>
        </w:rPr>
        <w:t xml:space="preserve"> a la prescripción alegada, indicó </w:t>
      </w:r>
      <w:r w:rsidR="001249F9" w:rsidRPr="00652613">
        <w:rPr>
          <w:rFonts w:ascii="Tahoma" w:hAnsi="Tahoma" w:cs="Tahoma"/>
          <w:lang w:val="es-419"/>
        </w:rPr>
        <w:t>que,</w:t>
      </w:r>
      <w:r w:rsidRPr="00652613">
        <w:rPr>
          <w:rFonts w:ascii="Tahoma" w:hAnsi="Tahoma" w:cs="Tahoma"/>
          <w:lang w:val="es-419"/>
        </w:rPr>
        <w:t xml:space="preserve"> si bien el trabajador fue despedido el 4 junio 2020 y, aplicando dos meses del </w:t>
      </w:r>
      <w:r w:rsidR="001249F9" w:rsidRPr="00652613">
        <w:rPr>
          <w:rFonts w:ascii="Tahoma" w:hAnsi="Tahoma" w:cs="Tahoma"/>
          <w:lang w:val="es-419"/>
        </w:rPr>
        <w:t>artículo</w:t>
      </w:r>
      <w:r w:rsidRPr="00652613">
        <w:rPr>
          <w:rFonts w:ascii="Tahoma" w:hAnsi="Tahoma" w:cs="Tahoma"/>
          <w:lang w:val="es-419"/>
        </w:rPr>
        <w:t xml:space="preserve"> 118 del CST, éstos vencerían en igual data de agosto</w:t>
      </w:r>
      <w:r w:rsidR="001249F9" w:rsidRPr="00652613">
        <w:rPr>
          <w:rFonts w:ascii="Tahoma" w:hAnsi="Tahoma" w:cs="Tahoma"/>
          <w:lang w:val="es-419"/>
        </w:rPr>
        <w:t xml:space="preserve">, pero </w:t>
      </w:r>
      <w:r w:rsidRPr="00652613">
        <w:rPr>
          <w:rFonts w:ascii="Tahoma" w:hAnsi="Tahoma" w:cs="Tahoma"/>
          <w:lang w:val="es-419"/>
        </w:rPr>
        <w:t xml:space="preserve">también era cierto que el Decreto 1564 de 2020, en su artículo 1° fue preciso en suspender </w:t>
      </w:r>
      <w:r w:rsidR="001249F9" w:rsidRPr="00652613">
        <w:rPr>
          <w:rFonts w:ascii="Tahoma" w:hAnsi="Tahoma" w:cs="Tahoma"/>
          <w:lang w:val="es-419"/>
        </w:rPr>
        <w:t xml:space="preserve">todos los </w:t>
      </w:r>
      <w:r w:rsidRPr="00652613">
        <w:rPr>
          <w:rFonts w:ascii="Tahoma" w:hAnsi="Tahoma" w:cs="Tahoma"/>
          <w:lang w:val="es-419"/>
        </w:rPr>
        <w:t>términos desde la declaratoria de la pandemia – 16 de marzo de 2020 – hasta el día hábil siguiente en que cesó la suspensión que fue el 2 de julio de 2020. En ese orden de ideas, tenía hasta el 1 de septiembre de 2020 para presentar la demanda, lo cual sucedió.</w:t>
      </w:r>
    </w:p>
    <w:p w14:paraId="489A0943" w14:textId="586239A9" w:rsidR="00DB7BDC" w:rsidRPr="00652613" w:rsidRDefault="00DB7BDC" w:rsidP="005C0936">
      <w:pPr>
        <w:spacing w:line="276" w:lineRule="auto"/>
        <w:ind w:firstLine="708"/>
        <w:jc w:val="both"/>
        <w:rPr>
          <w:rFonts w:ascii="Tahoma" w:hAnsi="Tahoma" w:cs="Tahoma"/>
          <w:lang w:val="es-419"/>
        </w:rPr>
      </w:pPr>
    </w:p>
    <w:p w14:paraId="61998FB7" w14:textId="299BBD69" w:rsidR="00DB7BDC" w:rsidRPr="00652613" w:rsidRDefault="00DB7BDC" w:rsidP="005C0936">
      <w:pPr>
        <w:pStyle w:val="Prrafodelista"/>
        <w:numPr>
          <w:ilvl w:val="0"/>
          <w:numId w:val="6"/>
        </w:numPr>
        <w:spacing w:line="276" w:lineRule="auto"/>
        <w:jc w:val="center"/>
        <w:rPr>
          <w:rFonts w:ascii="Tahoma" w:hAnsi="Tahoma" w:cs="Tahoma"/>
          <w:b/>
          <w:bCs/>
          <w:color w:val="000000" w:themeColor="text1"/>
        </w:rPr>
      </w:pPr>
      <w:r w:rsidRPr="00652613">
        <w:rPr>
          <w:rFonts w:ascii="Tahoma" w:hAnsi="Tahoma" w:cs="Tahoma"/>
          <w:b/>
          <w:bCs/>
        </w:rPr>
        <w:t>Recurso de apelación</w:t>
      </w:r>
    </w:p>
    <w:p w14:paraId="4B4AFEEE" w14:textId="1722D7F1" w:rsidR="00DB7BDC" w:rsidRPr="00652613" w:rsidRDefault="00DB7BDC" w:rsidP="005C0936">
      <w:pPr>
        <w:spacing w:line="276" w:lineRule="auto"/>
        <w:ind w:firstLine="708"/>
        <w:jc w:val="both"/>
        <w:rPr>
          <w:rFonts w:ascii="Tahoma" w:hAnsi="Tahoma" w:cs="Tahoma"/>
          <w:lang w:val="es-419"/>
        </w:rPr>
      </w:pPr>
    </w:p>
    <w:p w14:paraId="2EC2E61C" w14:textId="7957A5CA" w:rsidR="00DB7BDC" w:rsidRPr="00652613" w:rsidRDefault="00BE0032" w:rsidP="005C0936">
      <w:pPr>
        <w:spacing w:line="276" w:lineRule="auto"/>
        <w:ind w:firstLine="708"/>
        <w:jc w:val="both"/>
        <w:rPr>
          <w:rFonts w:ascii="Tahoma" w:hAnsi="Tahoma" w:cs="Tahoma"/>
          <w:lang w:val="es-419"/>
        </w:rPr>
      </w:pPr>
      <w:r w:rsidRPr="00652613">
        <w:rPr>
          <w:rFonts w:ascii="Tahoma" w:hAnsi="Tahoma" w:cs="Tahoma"/>
          <w:lang w:val="es-419"/>
        </w:rPr>
        <w:lastRenderedPageBreak/>
        <w:t>Inconforme con lo decidido, la demandada presentó recurso de apelación en contra del auto que negó las excepciones previas, atacando lo resuelto respecto de la integración del litisconsorcio necesarios y la prescripción.</w:t>
      </w:r>
    </w:p>
    <w:p w14:paraId="32802F9E" w14:textId="7AAF9657" w:rsidR="00BE0032" w:rsidRPr="00652613" w:rsidRDefault="00BE0032" w:rsidP="005C0936">
      <w:pPr>
        <w:spacing w:line="276" w:lineRule="auto"/>
        <w:ind w:firstLine="708"/>
        <w:jc w:val="both"/>
        <w:rPr>
          <w:rFonts w:ascii="Tahoma" w:hAnsi="Tahoma" w:cs="Tahoma"/>
          <w:lang w:val="es-419"/>
        </w:rPr>
      </w:pPr>
    </w:p>
    <w:p w14:paraId="5BF33D12" w14:textId="19C9A79F" w:rsidR="00BE0032" w:rsidRPr="00652613" w:rsidRDefault="00BE0032" w:rsidP="005C0936">
      <w:pPr>
        <w:spacing w:line="276" w:lineRule="auto"/>
        <w:ind w:firstLine="708"/>
        <w:jc w:val="both"/>
        <w:rPr>
          <w:rFonts w:ascii="Tahoma" w:hAnsi="Tahoma" w:cs="Tahoma"/>
          <w:lang w:val="es-419"/>
        </w:rPr>
      </w:pPr>
      <w:r w:rsidRPr="00652613">
        <w:rPr>
          <w:rFonts w:ascii="Tahoma" w:hAnsi="Tahoma" w:cs="Tahoma"/>
          <w:lang w:val="es-419"/>
        </w:rPr>
        <w:t>En suma, los argumentos usados por la accionada, respecto</w:t>
      </w:r>
      <w:r w:rsidR="001249F9" w:rsidRPr="00652613">
        <w:rPr>
          <w:rFonts w:ascii="Tahoma" w:hAnsi="Tahoma" w:cs="Tahoma"/>
          <w:lang w:val="es-419"/>
        </w:rPr>
        <w:t xml:space="preserve"> a</w:t>
      </w:r>
      <w:r w:rsidRPr="00652613">
        <w:rPr>
          <w:rFonts w:ascii="Tahoma" w:hAnsi="Tahoma" w:cs="Tahoma"/>
          <w:lang w:val="es-419"/>
        </w:rPr>
        <w:t xml:space="preserve"> la falta de integración del litisconsorcio necesario (Cosmos Ltda.), insistía en que su presencia era indispensable porque fue la empleadora y se estaba discutiendo un vínculo contractual en que debía de determinarse si dentro de la relación que se discutía estaban todos los elementos del contrato de trabajo, debiéndose establecer </w:t>
      </w:r>
      <w:r w:rsidR="00424C67" w:rsidRPr="00652613">
        <w:rPr>
          <w:rFonts w:ascii="Tahoma" w:hAnsi="Tahoma" w:cs="Tahoma"/>
          <w:lang w:val="es-419"/>
        </w:rPr>
        <w:t xml:space="preserve">el </w:t>
      </w:r>
      <w:r w:rsidRPr="00652613">
        <w:rPr>
          <w:rFonts w:ascii="Tahoma" w:hAnsi="Tahoma" w:cs="Tahoma"/>
          <w:lang w:val="es-419"/>
        </w:rPr>
        <w:t xml:space="preserve">papel </w:t>
      </w:r>
      <w:r w:rsidR="00424C67" w:rsidRPr="00652613">
        <w:rPr>
          <w:rFonts w:ascii="Tahoma" w:hAnsi="Tahoma" w:cs="Tahoma"/>
          <w:lang w:val="es-419"/>
        </w:rPr>
        <w:t xml:space="preserve">que </w:t>
      </w:r>
      <w:r w:rsidRPr="00652613">
        <w:rPr>
          <w:rFonts w:ascii="Tahoma" w:hAnsi="Tahoma" w:cs="Tahoma"/>
          <w:lang w:val="es-419"/>
        </w:rPr>
        <w:t>había jugado en el asunto Cosmos Ltda. De otro lado, respecto de la prescripción, mencionó que los decretos por la emergencia debían ser armonizados con el artículo 62 del Decreto Ley 4 de 1913, en la medida que se modificaría el término para lo buscado</w:t>
      </w:r>
      <w:r w:rsidR="00424C67" w:rsidRPr="00652613">
        <w:rPr>
          <w:rFonts w:ascii="Tahoma" w:hAnsi="Tahoma" w:cs="Tahoma"/>
          <w:lang w:val="es-419"/>
        </w:rPr>
        <w:t>,</w:t>
      </w:r>
      <w:r w:rsidRPr="00652613">
        <w:rPr>
          <w:rFonts w:ascii="Tahoma" w:hAnsi="Tahoma" w:cs="Tahoma"/>
          <w:lang w:val="es-419"/>
        </w:rPr>
        <w:t xml:space="preserve"> que no era otra cosa que obtener el reintegro, amén que tenía la posibilidad de haber</w:t>
      </w:r>
      <w:r w:rsidR="001249F9" w:rsidRPr="00652613">
        <w:rPr>
          <w:rFonts w:ascii="Tahoma" w:hAnsi="Tahoma" w:cs="Tahoma"/>
          <w:lang w:val="es-419"/>
        </w:rPr>
        <w:t>lo</w:t>
      </w:r>
      <w:r w:rsidRPr="00652613">
        <w:rPr>
          <w:rFonts w:ascii="Tahoma" w:hAnsi="Tahoma" w:cs="Tahoma"/>
          <w:lang w:val="es-419"/>
        </w:rPr>
        <w:t xml:space="preserve"> interrumpido con el reclamo al presunto empleador, lo cual no hizo. Agrega que, la norma aplicable nunca fue derogada e indicaba </w:t>
      </w:r>
      <w:r w:rsidR="00263F16" w:rsidRPr="00652613">
        <w:rPr>
          <w:rFonts w:ascii="Tahoma" w:hAnsi="Tahoma" w:cs="Tahoma"/>
          <w:lang w:val="es-419"/>
        </w:rPr>
        <w:t>que,</w:t>
      </w:r>
      <w:r w:rsidRPr="00652613">
        <w:rPr>
          <w:rFonts w:ascii="Tahoma" w:hAnsi="Tahoma" w:cs="Tahoma"/>
          <w:lang w:val="es-419"/>
        </w:rPr>
        <w:t xml:space="preserve"> en caso de cierre, se debía de presentar al día hábil siguiente de la apertura, lo cual no hizo.</w:t>
      </w:r>
    </w:p>
    <w:p w14:paraId="204C082D" w14:textId="77777777" w:rsidR="00263F16" w:rsidRPr="00652613" w:rsidRDefault="00263F16" w:rsidP="005C0936">
      <w:pPr>
        <w:spacing w:line="276" w:lineRule="auto"/>
        <w:ind w:firstLine="708"/>
        <w:jc w:val="both"/>
        <w:rPr>
          <w:rFonts w:ascii="Tahoma" w:hAnsi="Tahoma" w:cs="Tahoma"/>
          <w:lang w:val="es-419"/>
        </w:rPr>
      </w:pPr>
    </w:p>
    <w:p w14:paraId="1FE260F2" w14:textId="77777777" w:rsidR="00263F16" w:rsidRPr="00652613" w:rsidRDefault="00263F16" w:rsidP="005C0936">
      <w:pPr>
        <w:pStyle w:val="Prrafodelista"/>
        <w:numPr>
          <w:ilvl w:val="0"/>
          <w:numId w:val="6"/>
        </w:numPr>
        <w:spacing w:line="276" w:lineRule="auto"/>
        <w:jc w:val="center"/>
        <w:rPr>
          <w:rFonts w:ascii="Tahoma" w:hAnsi="Tahoma" w:cs="Tahoma"/>
          <w:b/>
          <w:bCs/>
          <w:color w:val="000000" w:themeColor="text1"/>
        </w:rPr>
      </w:pPr>
      <w:r w:rsidRPr="00652613">
        <w:rPr>
          <w:rFonts w:ascii="Tahoma" w:hAnsi="Tahoma" w:cs="Tahoma"/>
          <w:b/>
          <w:bCs/>
        </w:rPr>
        <w:t>Problema jurídico por resolver</w:t>
      </w:r>
    </w:p>
    <w:p w14:paraId="4AADD90A" w14:textId="77777777" w:rsidR="00263F16" w:rsidRPr="00652613" w:rsidRDefault="00263F16" w:rsidP="005C0936">
      <w:pPr>
        <w:spacing w:line="276" w:lineRule="auto"/>
        <w:rPr>
          <w:rFonts w:ascii="Tahoma" w:hAnsi="Tahoma" w:cs="Tahoma"/>
          <w:kern w:val="2"/>
        </w:rPr>
      </w:pPr>
    </w:p>
    <w:p w14:paraId="0A6C2629" w14:textId="13BC392F" w:rsidR="00263F16" w:rsidRPr="00652613" w:rsidRDefault="00263F16" w:rsidP="005C0936">
      <w:pPr>
        <w:spacing w:line="276" w:lineRule="auto"/>
        <w:ind w:firstLine="708"/>
        <w:jc w:val="both"/>
        <w:rPr>
          <w:rFonts w:ascii="Tahoma" w:hAnsi="Tahoma" w:cs="Tahoma"/>
          <w:kern w:val="2"/>
        </w:rPr>
      </w:pPr>
      <w:r w:rsidRPr="00652613">
        <w:rPr>
          <w:rFonts w:ascii="Tahoma" w:hAnsi="Tahoma" w:cs="Tahoma"/>
          <w:kern w:val="2"/>
        </w:rPr>
        <w:t xml:space="preserve">De acuerdo con </w:t>
      </w:r>
      <w:r w:rsidRPr="00652613">
        <w:rPr>
          <w:rFonts w:ascii="Tahoma" w:hAnsi="Tahoma" w:cs="Tahoma"/>
          <w:lang w:val="es-419"/>
        </w:rPr>
        <w:t>los</w:t>
      </w:r>
      <w:r w:rsidRPr="00652613">
        <w:rPr>
          <w:rFonts w:ascii="Tahoma" w:hAnsi="Tahoma" w:cs="Tahoma"/>
          <w:kern w:val="2"/>
        </w:rPr>
        <w:t xml:space="preserve"> argumentos expuestos en la decisión de primera instancia y los fundamentos de la apelación, le corresponde a la Sala resolver los siguientes problemas jurídicos: </w:t>
      </w:r>
    </w:p>
    <w:p w14:paraId="720097FB" w14:textId="77777777" w:rsidR="00263F16" w:rsidRPr="00652613" w:rsidRDefault="00263F16" w:rsidP="005C0936">
      <w:pPr>
        <w:spacing w:line="276" w:lineRule="auto"/>
        <w:ind w:firstLine="708"/>
        <w:jc w:val="both"/>
        <w:rPr>
          <w:rFonts w:ascii="Tahoma" w:hAnsi="Tahoma" w:cs="Tahoma"/>
          <w:kern w:val="2"/>
        </w:rPr>
      </w:pPr>
    </w:p>
    <w:p w14:paraId="71CCE2B7" w14:textId="2A8548B4" w:rsidR="00263F16" w:rsidRPr="00652613" w:rsidRDefault="00263F16" w:rsidP="005C0936">
      <w:pPr>
        <w:pStyle w:val="Prrafodelista"/>
        <w:numPr>
          <w:ilvl w:val="0"/>
          <w:numId w:val="11"/>
        </w:numPr>
        <w:spacing w:line="276" w:lineRule="auto"/>
        <w:ind w:right="758"/>
        <w:jc w:val="both"/>
        <w:rPr>
          <w:rFonts w:ascii="Tahoma" w:hAnsi="Tahoma" w:cs="Tahoma"/>
          <w:color w:val="000000" w:themeColor="text1"/>
          <w:kern w:val="2"/>
        </w:rPr>
      </w:pPr>
      <w:r w:rsidRPr="00652613">
        <w:rPr>
          <w:rFonts w:ascii="Tahoma" w:hAnsi="Tahoma" w:cs="Tahoma"/>
          <w:kern w:val="2"/>
        </w:rPr>
        <w:t xml:space="preserve">Cuando se demanda al verdadero empleador, </w:t>
      </w:r>
      <w:r w:rsidR="00424C67" w:rsidRPr="00652613">
        <w:rPr>
          <w:rFonts w:ascii="Tahoma" w:hAnsi="Tahoma" w:cs="Tahoma"/>
          <w:kern w:val="2"/>
        </w:rPr>
        <w:t>¿</w:t>
      </w:r>
      <w:r w:rsidRPr="00652613">
        <w:rPr>
          <w:rFonts w:ascii="Tahoma" w:hAnsi="Tahoma" w:cs="Tahoma"/>
          <w:kern w:val="2"/>
        </w:rPr>
        <w:t>es necesario vincular a la litis al intermediario a pesar de no existir pretensión alguna en su contra?</w:t>
      </w:r>
    </w:p>
    <w:p w14:paraId="68599DC4" w14:textId="77777777" w:rsidR="00263F16" w:rsidRPr="00652613" w:rsidRDefault="00263F16" w:rsidP="005C0936">
      <w:pPr>
        <w:pStyle w:val="Prrafodelista"/>
        <w:spacing w:line="276" w:lineRule="auto"/>
        <w:ind w:left="1068"/>
        <w:jc w:val="both"/>
        <w:rPr>
          <w:rFonts w:ascii="Tahoma" w:hAnsi="Tahoma" w:cs="Tahoma"/>
          <w:kern w:val="2"/>
        </w:rPr>
      </w:pPr>
    </w:p>
    <w:p w14:paraId="6E191CE0" w14:textId="5E1F1A31" w:rsidR="00263F16" w:rsidRPr="00652613" w:rsidRDefault="00263F16" w:rsidP="005C0936">
      <w:pPr>
        <w:pStyle w:val="Prrafodelista"/>
        <w:numPr>
          <w:ilvl w:val="0"/>
          <w:numId w:val="11"/>
        </w:numPr>
        <w:spacing w:line="276" w:lineRule="auto"/>
        <w:ind w:right="758"/>
        <w:jc w:val="both"/>
        <w:rPr>
          <w:rFonts w:ascii="Tahoma" w:hAnsi="Tahoma" w:cs="Tahoma"/>
          <w:color w:val="000000" w:themeColor="text1"/>
          <w:kern w:val="2"/>
        </w:rPr>
      </w:pPr>
      <w:r w:rsidRPr="00652613">
        <w:rPr>
          <w:rFonts w:ascii="Tahoma" w:hAnsi="Tahoma" w:cs="Tahoma"/>
          <w:kern w:val="2"/>
        </w:rPr>
        <w:t>¿</w:t>
      </w:r>
      <w:r w:rsidR="00D4012F" w:rsidRPr="00652613">
        <w:rPr>
          <w:rFonts w:ascii="Tahoma" w:hAnsi="Tahoma" w:cs="Tahoma"/>
          <w:kern w:val="2"/>
        </w:rPr>
        <w:t xml:space="preserve">Cómo se contabiliza el término de prescripción en las acciones de fuero sindical, teniendo en cuenta que la terminación del vínculo laboral fue realizada en medio de la pandemia declarada en la resolución </w:t>
      </w:r>
      <w:r w:rsidR="00D4012F" w:rsidRPr="00652613">
        <w:rPr>
          <w:rFonts w:ascii="Tahoma" w:hAnsi="Tahoma" w:cs="Tahoma"/>
        </w:rPr>
        <w:t>385 del 12 de marzo de 2020</w:t>
      </w:r>
      <w:r w:rsidRPr="00652613">
        <w:rPr>
          <w:rFonts w:ascii="Tahoma" w:hAnsi="Tahoma" w:cs="Tahoma"/>
          <w:kern w:val="2"/>
        </w:rPr>
        <w:t>?</w:t>
      </w:r>
    </w:p>
    <w:p w14:paraId="54759FE8" w14:textId="77777777" w:rsidR="00263F16" w:rsidRPr="00652613" w:rsidRDefault="00263F16" w:rsidP="005C0936">
      <w:pPr>
        <w:spacing w:line="276" w:lineRule="auto"/>
        <w:ind w:firstLine="708"/>
        <w:jc w:val="both"/>
        <w:rPr>
          <w:rFonts w:ascii="Tahoma" w:hAnsi="Tahoma" w:cs="Tahoma"/>
          <w:kern w:val="2"/>
        </w:rPr>
      </w:pPr>
    </w:p>
    <w:p w14:paraId="2D414C44" w14:textId="77777777" w:rsidR="00263F16" w:rsidRPr="00652613" w:rsidRDefault="00263F16" w:rsidP="005C0936">
      <w:pPr>
        <w:pStyle w:val="Prrafodelista"/>
        <w:numPr>
          <w:ilvl w:val="0"/>
          <w:numId w:val="6"/>
        </w:numPr>
        <w:spacing w:line="276" w:lineRule="auto"/>
        <w:jc w:val="center"/>
        <w:rPr>
          <w:rFonts w:ascii="Tahoma" w:hAnsi="Tahoma" w:cs="Tahoma"/>
          <w:b/>
          <w:bCs/>
          <w:color w:val="000000" w:themeColor="text1"/>
        </w:rPr>
      </w:pPr>
      <w:r w:rsidRPr="00652613">
        <w:rPr>
          <w:rFonts w:ascii="Tahoma" w:hAnsi="Tahoma" w:cs="Tahoma"/>
          <w:b/>
          <w:bCs/>
        </w:rPr>
        <w:t>Consideraciones</w:t>
      </w:r>
    </w:p>
    <w:p w14:paraId="3D17A831" w14:textId="49A90F22" w:rsidR="00263F16" w:rsidRPr="00652613" w:rsidRDefault="00263F16" w:rsidP="005C0936">
      <w:pPr>
        <w:spacing w:line="276" w:lineRule="auto"/>
        <w:rPr>
          <w:rFonts w:ascii="Tahoma" w:hAnsi="Tahoma" w:cs="Tahoma"/>
          <w:kern w:val="2"/>
        </w:rPr>
      </w:pPr>
    </w:p>
    <w:p w14:paraId="75B65BE6" w14:textId="646CDCC7" w:rsidR="003C20A4" w:rsidRPr="00652613" w:rsidRDefault="003C20A4" w:rsidP="005C0936">
      <w:pPr>
        <w:pStyle w:val="Prrafodelista"/>
        <w:numPr>
          <w:ilvl w:val="1"/>
          <w:numId w:val="15"/>
        </w:numPr>
        <w:spacing w:line="276" w:lineRule="auto"/>
        <w:rPr>
          <w:rFonts w:ascii="Tahoma" w:hAnsi="Tahoma" w:cs="Tahoma"/>
          <w:b/>
          <w:bCs/>
          <w:kern w:val="2"/>
        </w:rPr>
      </w:pPr>
      <w:r w:rsidRPr="00652613">
        <w:rPr>
          <w:rFonts w:ascii="Tahoma" w:hAnsi="Tahoma" w:cs="Tahoma"/>
          <w:b/>
          <w:bCs/>
          <w:kern w:val="2"/>
        </w:rPr>
        <w:t>De integración del litis consorte necesario.</w:t>
      </w:r>
    </w:p>
    <w:p w14:paraId="7532E30D" w14:textId="3C3D643B" w:rsidR="003C20A4" w:rsidRPr="00652613" w:rsidRDefault="003C20A4" w:rsidP="005C0936">
      <w:pPr>
        <w:spacing w:line="276" w:lineRule="auto"/>
        <w:ind w:firstLine="708"/>
        <w:jc w:val="both"/>
        <w:rPr>
          <w:rFonts w:ascii="Tahoma" w:hAnsi="Tahoma" w:cs="Tahoma"/>
          <w:kern w:val="2"/>
        </w:rPr>
      </w:pPr>
    </w:p>
    <w:p w14:paraId="4A048E77" w14:textId="741F19C8" w:rsidR="003C20A4" w:rsidRPr="00652613" w:rsidRDefault="00F21E79" w:rsidP="005C0936">
      <w:pPr>
        <w:spacing w:line="276" w:lineRule="auto"/>
        <w:ind w:firstLine="708"/>
        <w:jc w:val="both"/>
        <w:rPr>
          <w:rFonts w:ascii="Tahoma" w:hAnsi="Tahoma" w:cs="Tahoma"/>
          <w:kern w:val="2"/>
        </w:rPr>
      </w:pPr>
      <w:r w:rsidRPr="00652613">
        <w:rPr>
          <w:rFonts w:ascii="Tahoma" w:hAnsi="Tahoma" w:cs="Tahoma"/>
          <w:kern w:val="2"/>
        </w:rPr>
        <w:t>Para resolver el primer problema jurídico planteado, es de mencionar que e</w:t>
      </w:r>
      <w:r w:rsidR="003C20A4" w:rsidRPr="00652613">
        <w:rPr>
          <w:rFonts w:ascii="Tahoma" w:hAnsi="Tahoma" w:cs="Tahoma"/>
          <w:kern w:val="2"/>
        </w:rPr>
        <w:t xml:space="preserve">sta Corporación se ha pronunciado en distintas oportunidades frente a la integración </w:t>
      </w:r>
      <w:r w:rsidR="00331509" w:rsidRPr="00652613">
        <w:rPr>
          <w:rFonts w:ascii="Tahoma" w:hAnsi="Tahoma" w:cs="Tahoma"/>
          <w:kern w:val="2"/>
        </w:rPr>
        <w:t>a</w:t>
      </w:r>
      <w:r w:rsidR="003C20A4" w:rsidRPr="00652613">
        <w:rPr>
          <w:rFonts w:ascii="Tahoma" w:hAnsi="Tahoma" w:cs="Tahoma"/>
          <w:kern w:val="2"/>
        </w:rPr>
        <w:t xml:space="preserve"> la litis </w:t>
      </w:r>
      <w:r w:rsidR="00331509" w:rsidRPr="00652613">
        <w:rPr>
          <w:rFonts w:ascii="Tahoma" w:hAnsi="Tahoma" w:cs="Tahoma"/>
          <w:kern w:val="2"/>
        </w:rPr>
        <w:t xml:space="preserve">del </w:t>
      </w:r>
      <w:r w:rsidR="003C20A4" w:rsidRPr="00652613">
        <w:rPr>
          <w:rFonts w:ascii="Tahoma" w:hAnsi="Tahoma" w:cs="Tahoma"/>
          <w:kern w:val="2"/>
        </w:rPr>
        <w:t xml:space="preserve">intermediario cuando </w:t>
      </w:r>
      <w:r w:rsidR="00331509" w:rsidRPr="00652613">
        <w:rPr>
          <w:rFonts w:ascii="Tahoma" w:hAnsi="Tahoma" w:cs="Tahoma"/>
          <w:kern w:val="2"/>
        </w:rPr>
        <w:t xml:space="preserve">se busca la </w:t>
      </w:r>
      <w:r w:rsidR="003C20A4" w:rsidRPr="00652613">
        <w:rPr>
          <w:rFonts w:ascii="Tahoma" w:hAnsi="Tahoma" w:cs="Tahoma"/>
          <w:kern w:val="2"/>
        </w:rPr>
        <w:t>declaratoria de un contrato realidad</w:t>
      </w:r>
      <w:r w:rsidR="00331509" w:rsidRPr="00652613">
        <w:rPr>
          <w:rFonts w:ascii="Tahoma" w:hAnsi="Tahoma" w:cs="Tahoma"/>
          <w:kern w:val="2"/>
        </w:rPr>
        <w:t xml:space="preserve"> con el verdadero empleador</w:t>
      </w:r>
      <w:r w:rsidR="003C20A4" w:rsidRPr="00652613">
        <w:rPr>
          <w:rFonts w:ascii="Tahoma" w:hAnsi="Tahoma" w:cs="Tahoma"/>
          <w:kern w:val="2"/>
        </w:rPr>
        <w:t>. De hecho, en auto del 17 de octubre de 2019 en un proceso de similares connotaciones con el radicado 66001-31-05-003-2017-00554</w:t>
      </w:r>
      <w:r w:rsidR="003C20A4" w:rsidRPr="00652613">
        <w:rPr>
          <w:rStyle w:val="Refdenotaalpie"/>
          <w:rFonts w:ascii="Tahoma" w:hAnsi="Tahoma" w:cs="Tahoma"/>
          <w:kern w:val="2"/>
        </w:rPr>
        <w:footnoteReference w:id="1"/>
      </w:r>
      <w:r w:rsidR="003C20A4" w:rsidRPr="00652613">
        <w:rPr>
          <w:rFonts w:ascii="Tahoma" w:hAnsi="Tahoma" w:cs="Tahoma"/>
          <w:kern w:val="2"/>
        </w:rPr>
        <w:t xml:space="preserve"> en contra de Prosegur de Colombia S.A., </w:t>
      </w:r>
      <w:r w:rsidR="00FF79F4" w:rsidRPr="00652613">
        <w:rPr>
          <w:rFonts w:ascii="Tahoma" w:hAnsi="Tahoma" w:cs="Tahoma"/>
          <w:kern w:val="2"/>
        </w:rPr>
        <w:t xml:space="preserve">se </w:t>
      </w:r>
      <w:r w:rsidR="003C20A4" w:rsidRPr="00652613">
        <w:rPr>
          <w:rFonts w:ascii="Tahoma" w:hAnsi="Tahoma" w:cs="Tahoma"/>
          <w:kern w:val="2"/>
        </w:rPr>
        <w:t>indicó:</w:t>
      </w:r>
    </w:p>
    <w:p w14:paraId="2BDA38A2" w14:textId="77777777" w:rsidR="003C20A4" w:rsidRPr="00652613" w:rsidRDefault="003C20A4" w:rsidP="005C0936">
      <w:pPr>
        <w:spacing w:line="276" w:lineRule="auto"/>
        <w:ind w:firstLine="708"/>
        <w:jc w:val="both"/>
        <w:rPr>
          <w:rFonts w:ascii="Tahoma" w:hAnsi="Tahoma" w:cs="Tahoma"/>
          <w:kern w:val="2"/>
        </w:rPr>
      </w:pPr>
    </w:p>
    <w:p w14:paraId="6DBB6AAD" w14:textId="63826855" w:rsidR="003C20A4" w:rsidRPr="00652613" w:rsidRDefault="003C20A4" w:rsidP="005C0936">
      <w:pPr>
        <w:ind w:left="426" w:right="420" w:firstLine="1"/>
        <w:jc w:val="both"/>
        <w:rPr>
          <w:rFonts w:ascii="Tahoma" w:hAnsi="Tahoma" w:cs="Tahoma"/>
          <w:i/>
          <w:iCs/>
          <w:sz w:val="22"/>
        </w:rPr>
      </w:pPr>
      <w:r w:rsidRPr="00652613">
        <w:rPr>
          <w:rFonts w:ascii="Tahoma" w:hAnsi="Tahoma" w:cs="Tahoma"/>
          <w:i/>
          <w:iCs/>
          <w:sz w:val="22"/>
        </w:rPr>
        <w:lastRenderedPageBreak/>
        <w:t>“</w:t>
      </w:r>
      <w:r w:rsidR="00624C57" w:rsidRPr="00652613">
        <w:rPr>
          <w:rFonts w:ascii="Tahoma" w:hAnsi="Tahoma" w:cs="Tahoma"/>
          <w:i/>
          <w:iCs/>
          <w:sz w:val="22"/>
        </w:rPr>
        <w:t>E</w:t>
      </w:r>
      <w:r w:rsidRPr="00652613">
        <w:rPr>
          <w:rFonts w:ascii="Tahoma" w:hAnsi="Tahoma" w:cs="Tahoma"/>
          <w:i/>
          <w:iCs/>
          <w:sz w:val="22"/>
        </w:rPr>
        <w:t xml:space="preserve">l artículo 61 del C.G.P, consagra la figura del </w:t>
      </w:r>
      <w:r w:rsidRPr="00652613">
        <w:rPr>
          <w:rFonts w:ascii="Tahoma" w:hAnsi="Tahoma" w:cs="Tahoma"/>
          <w:b/>
          <w:bCs/>
          <w:i/>
          <w:iCs/>
          <w:sz w:val="22"/>
        </w:rPr>
        <w:t>litisconsorte necesario</w:t>
      </w:r>
      <w:r w:rsidRPr="00652613">
        <w:rPr>
          <w:rFonts w:ascii="Tahoma" w:hAnsi="Tahoma" w:cs="Tahoma"/>
          <w:i/>
          <w:iCs/>
          <w:sz w:val="22"/>
        </w:rPr>
        <w:t xml:space="preserve"> y el deber de su integración a la Litis, cuya finalidad es dar paso a una decisión de mérito con la comparecencia de aquéllos que le son indispensables a la actuación procesal, por cuanto la cuestión litigiosa debe resolverse de manera uniforme para todos, por versar el proceso sobre relaciones o actos jurídicos que por su naturaleza o por disposición legal, no sea posible hacerlo sin que concurran los sujetos de tales relaciones o de quienes intervinieron en dichos actos.  </w:t>
      </w:r>
    </w:p>
    <w:p w14:paraId="49F86828" w14:textId="77777777" w:rsidR="003C20A4" w:rsidRPr="00652613" w:rsidRDefault="003C20A4" w:rsidP="005C0936">
      <w:pPr>
        <w:tabs>
          <w:tab w:val="left" w:pos="1560"/>
        </w:tabs>
        <w:ind w:left="426" w:right="420" w:firstLine="1"/>
        <w:jc w:val="both"/>
        <w:rPr>
          <w:rFonts w:ascii="Tahoma" w:hAnsi="Tahoma" w:cs="Tahoma"/>
          <w:i/>
          <w:iCs/>
          <w:sz w:val="22"/>
        </w:rPr>
      </w:pPr>
    </w:p>
    <w:p w14:paraId="59C0A35E" w14:textId="77777777" w:rsidR="003C20A4" w:rsidRPr="00652613" w:rsidRDefault="003C20A4" w:rsidP="005C0936">
      <w:pPr>
        <w:ind w:left="426" w:right="420" w:firstLine="1"/>
        <w:jc w:val="both"/>
        <w:rPr>
          <w:rFonts w:ascii="Tahoma" w:hAnsi="Tahoma" w:cs="Tahoma"/>
          <w:i/>
          <w:iCs/>
          <w:sz w:val="22"/>
        </w:rPr>
      </w:pPr>
      <w:r w:rsidRPr="00652613">
        <w:rPr>
          <w:rFonts w:ascii="Tahoma" w:hAnsi="Tahoma" w:cs="Tahoma"/>
          <w:i/>
          <w:iCs/>
          <w:sz w:val="22"/>
        </w:rPr>
        <w:t xml:space="preserve">Asevera la </w:t>
      </w:r>
      <w:proofErr w:type="spellStart"/>
      <w:r w:rsidRPr="00652613">
        <w:rPr>
          <w:rFonts w:ascii="Tahoma" w:hAnsi="Tahoma" w:cs="Tahoma"/>
          <w:i/>
          <w:iCs/>
          <w:sz w:val="22"/>
        </w:rPr>
        <w:t>excepcionante</w:t>
      </w:r>
      <w:proofErr w:type="spellEnd"/>
      <w:r w:rsidRPr="00652613">
        <w:rPr>
          <w:rFonts w:ascii="Tahoma" w:hAnsi="Tahoma" w:cs="Tahoma"/>
          <w:i/>
          <w:iCs/>
          <w:sz w:val="22"/>
        </w:rPr>
        <w:t xml:space="preserve">, tanto en su escrito como en el de la alzada, que la razón de ser de la integración del contradictorio con la sociedad </w:t>
      </w:r>
      <w:proofErr w:type="spellStart"/>
      <w:r w:rsidRPr="00652613">
        <w:rPr>
          <w:rFonts w:ascii="Tahoma" w:hAnsi="Tahoma" w:cs="Tahoma"/>
          <w:i/>
          <w:iCs/>
          <w:sz w:val="22"/>
        </w:rPr>
        <w:t>Teseval</w:t>
      </w:r>
      <w:proofErr w:type="spellEnd"/>
      <w:r w:rsidRPr="00652613">
        <w:rPr>
          <w:rFonts w:ascii="Tahoma" w:hAnsi="Tahoma" w:cs="Tahoma"/>
          <w:i/>
          <w:iCs/>
          <w:sz w:val="22"/>
        </w:rPr>
        <w:t xml:space="preserve"> S.A.S., estriba en que: (i) quien fungió como empleadora del demandante fue la firma </w:t>
      </w:r>
      <w:proofErr w:type="spellStart"/>
      <w:r w:rsidRPr="00652613">
        <w:rPr>
          <w:rFonts w:ascii="Tahoma" w:hAnsi="Tahoma" w:cs="Tahoma"/>
          <w:i/>
          <w:iCs/>
          <w:sz w:val="22"/>
        </w:rPr>
        <w:t>Teseval</w:t>
      </w:r>
      <w:proofErr w:type="spellEnd"/>
      <w:r w:rsidRPr="00652613">
        <w:rPr>
          <w:rFonts w:ascii="Tahoma" w:hAnsi="Tahoma" w:cs="Tahoma"/>
          <w:i/>
          <w:iCs/>
          <w:sz w:val="22"/>
        </w:rPr>
        <w:t xml:space="preserve"> S.A.S; (ii) el propio demandante afirmó que </w:t>
      </w:r>
      <w:proofErr w:type="spellStart"/>
      <w:r w:rsidRPr="00652613">
        <w:rPr>
          <w:rFonts w:ascii="Tahoma" w:hAnsi="Tahoma" w:cs="Tahoma"/>
          <w:i/>
          <w:iCs/>
          <w:sz w:val="22"/>
        </w:rPr>
        <w:t>Teseval</w:t>
      </w:r>
      <w:proofErr w:type="spellEnd"/>
      <w:r w:rsidRPr="00652613">
        <w:rPr>
          <w:rFonts w:ascii="Tahoma" w:hAnsi="Tahoma" w:cs="Tahoma"/>
          <w:i/>
          <w:iCs/>
          <w:sz w:val="22"/>
        </w:rPr>
        <w:t xml:space="preserve"> S.A.S., fue la intermediaria laboral; (iii) cualquier decisión en el proceso afectaría los intereses de </w:t>
      </w:r>
      <w:proofErr w:type="spellStart"/>
      <w:r w:rsidRPr="00652613">
        <w:rPr>
          <w:rFonts w:ascii="Tahoma" w:hAnsi="Tahoma" w:cs="Tahoma"/>
          <w:i/>
          <w:iCs/>
          <w:sz w:val="22"/>
        </w:rPr>
        <w:t>Teseval</w:t>
      </w:r>
      <w:proofErr w:type="spellEnd"/>
      <w:r w:rsidRPr="00652613">
        <w:rPr>
          <w:rFonts w:ascii="Tahoma" w:hAnsi="Tahoma" w:cs="Tahoma"/>
          <w:i/>
          <w:iCs/>
          <w:sz w:val="22"/>
        </w:rPr>
        <w:t xml:space="preserve"> S.A.S.; (iv) ésta podría ser condenada como obligada solidaria, y (v) que sería necesaria su presencia para determinar que pagos realizaron.</w:t>
      </w:r>
    </w:p>
    <w:p w14:paraId="4E482903" w14:textId="77777777" w:rsidR="003C20A4" w:rsidRPr="00652613" w:rsidRDefault="003C20A4" w:rsidP="005C0936">
      <w:pPr>
        <w:ind w:left="426" w:right="420" w:firstLine="1"/>
        <w:jc w:val="both"/>
        <w:rPr>
          <w:rFonts w:ascii="Tahoma" w:hAnsi="Tahoma" w:cs="Tahoma"/>
          <w:i/>
          <w:iCs/>
          <w:sz w:val="22"/>
        </w:rPr>
      </w:pPr>
    </w:p>
    <w:p w14:paraId="415A2617" w14:textId="77777777" w:rsidR="003C20A4" w:rsidRPr="00652613" w:rsidRDefault="003C20A4" w:rsidP="005C0936">
      <w:pPr>
        <w:ind w:left="426" w:right="420" w:firstLine="1"/>
        <w:jc w:val="both"/>
        <w:rPr>
          <w:rFonts w:ascii="Tahoma" w:hAnsi="Tahoma" w:cs="Tahoma"/>
          <w:i/>
          <w:iCs/>
          <w:sz w:val="22"/>
        </w:rPr>
      </w:pPr>
      <w:r w:rsidRPr="00652613">
        <w:rPr>
          <w:rFonts w:ascii="Tahoma" w:hAnsi="Tahoma" w:cs="Tahoma"/>
          <w:i/>
          <w:iCs/>
          <w:sz w:val="22"/>
        </w:rPr>
        <w:t xml:space="preserve">En lo tocante con la primera inconformidad, su respuesta negativa está dada en el artículo 27 del CPL-SS., el cual manda que “la demanda se dirigirá contra el empleador, o contra su representante cuando éste tenga facultad para comparecer en proceso en nombre de aquel”. Luego, es en esa pieza procesal (la demanda) y no en otra, en la que el demandante y no otra persona, denuncia quien comparecerá a la litis como demandado (a) en su calidad de empleador (a).  </w:t>
      </w:r>
    </w:p>
    <w:p w14:paraId="3A741D91" w14:textId="77777777" w:rsidR="003C20A4" w:rsidRPr="00652613" w:rsidRDefault="003C20A4" w:rsidP="005C0936">
      <w:pPr>
        <w:ind w:left="426" w:right="420" w:firstLine="1"/>
        <w:jc w:val="both"/>
        <w:rPr>
          <w:rFonts w:ascii="Tahoma" w:hAnsi="Tahoma" w:cs="Tahoma"/>
          <w:i/>
          <w:iCs/>
          <w:sz w:val="22"/>
        </w:rPr>
      </w:pPr>
    </w:p>
    <w:p w14:paraId="139F1C05" w14:textId="1D5B218F" w:rsidR="003C20A4" w:rsidRPr="00652613" w:rsidRDefault="003C20A4" w:rsidP="005C0936">
      <w:pPr>
        <w:ind w:left="426" w:right="420" w:firstLine="1"/>
        <w:jc w:val="both"/>
        <w:rPr>
          <w:rFonts w:ascii="Tahoma" w:hAnsi="Tahoma" w:cs="Tahoma"/>
          <w:i/>
          <w:iCs/>
          <w:sz w:val="22"/>
        </w:rPr>
      </w:pPr>
      <w:r w:rsidRPr="00652613">
        <w:rPr>
          <w:rFonts w:ascii="Tahoma" w:hAnsi="Tahoma" w:cs="Tahoma"/>
          <w:i/>
          <w:iCs/>
          <w:sz w:val="22"/>
        </w:rPr>
        <w:t>Ahora bien, en lo que toca con la segunda, la misma disposición al permitir que también se accione contra el representante del patrono, cuando tenga la facultad para comparecer en proceso en nombre de aquel, obligado resulta, remitirse al artículo 34 del C.L., al señalar el listado de las personas que representan al empleador (a), no se alude allí expresamente a los intermediarios laborales, por lo que no se pu</w:t>
      </w:r>
      <w:r w:rsidR="00FF79F4" w:rsidRPr="00652613">
        <w:rPr>
          <w:rFonts w:ascii="Tahoma" w:hAnsi="Tahoma" w:cs="Tahoma"/>
          <w:i/>
          <w:iCs/>
          <w:sz w:val="22"/>
        </w:rPr>
        <w:t>e</w:t>
      </w:r>
      <w:r w:rsidRPr="00652613">
        <w:rPr>
          <w:rFonts w:ascii="Tahoma" w:hAnsi="Tahoma" w:cs="Tahoma"/>
          <w:i/>
          <w:iCs/>
          <w:sz w:val="22"/>
        </w:rPr>
        <w:t>de pregonar que estos sean litis consortes necesarios, o que sin ellos, no se pueda decidir la contienda, por cuanto, por otro lado, esta Sala ha tenido una línea uniforme, en tal sentido.</w:t>
      </w:r>
    </w:p>
    <w:p w14:paraId="5A02A536" w14:textId="77777777" w:rsidR="003C20A4" w:rsidRPr="00652613" w:rsidRDefault="003C20A4" w:rsidP="005C0936">
      <w:pPr>
        <w:ind w:left="426" w:right="420" w:firstLine="1"/>
        <w:jc w:val="both"/>
        <w:rPr>
          <w:rFonts w:ascii="Tahoma" w:hAnsi="Tahoma" w:cs="Tahoma"/>
          <w:i/>
          <w:iCs/>
          <w:sz w:val="22"/>
        </w:rPr>
      </w:pPr>
    </w:p>
    <w:p w14:paraId="3288E7B4" w14:textId="6794AA9A" w:rsidR="003C20A4" w:rsidRPr="00652613" w:rsidRDefault="003C20A4" w:rsidP="005C0936">
      <w:pPr>
        <w:ind w:left="426" w:right="420" w:firstLine="1"/>
        <w:jc w:val="both"/>
        <w:rPr>
          <w:rFonts w:ascii="Tahoma" w:hAnsi="Tahoma" w:cs="Tahoma"/>
          <w:i/>
          <w:iCs/>
          <w:sz w:val="22"/>
        </w:rPr>
      </w:pPr>
      <w:r w:rsidRPr="00652613">
        <w:rPr>
          <w:rFonts w:ascii="Tahoma" w:hAnsi="Tahoma" w:cs="Tahoma"/>
          <w:i/>
          <w:iCs/>
          <w:sz w:val="22"/>
        </w:rPr>
        <w:t>Tampoco, es cierto, que la decisión que se adopte en este asunto afectará los intereses de la intermediaria, puesto</w:t>
      </w:r>
      <w:r w:rsidR="00624C57" w:rsidRPr="00652613">
        <w:rPr>
          <w:rFonts w:ascii="Tahoma" w:hAnsi="Tahoma" w:cs="Tahoma"/>
          <w:i/>
          <w:iCs/>
          <w:sz w:val="22"/>
        </w:rPr>
        <w:t xml:space="preserve"> </w:t>
      </w:r>
      <w:r w:rsidRPr="00652613">
        <w:rPr>
          <w:rFonts w:ascii="Tahoma" w:hAnsi="Tahoma" w:cs="Tahoma"/>
          <w:i/>
          <w:iCs/>
          <w:sz w:val="22"/>
        </w:rPr>
        <w:t xml:space="preserve">que si no es parte, no se entiende cómo pueda afectarla. Por otro lado, la figura de la solidaridad es un instrumento legal puesto por la legislación laboral, al servicio del trabajador (a), y no de persona distinta, la cual se dejó de ejercer en este asunto, y que se traduce en la facultad que la solidaridad le otorga, al laborante, de poder reclamar lo que se adeude por salarios, prestaciones sociales e indemnizaciones, no solo en contra del dador de laborío sino también, en contra del tercero.  </w:t>
      </w:r>
    </w:p>
    <w:p w14:paraId="492DAB1F" w14:textId="77777777" w:rsidR="003C20A4" w:rsidRPr="00652613" w:rsidRDefault="003C20A4" w:rsidP="005C0936">
      <w:pPr>
        <w:ind w:left="426" w:right="420" w:firstLine="1"/>
        <w:jc w:val="both"/>
        <w:rPr>
          <w:rFonts w:ascii="Tahoma" w:hAnsi="Tahoma" w:cs="Tahoma"/>
          <w:i/>
          <w:iCs/>
          <w:sz w:val="22"/>
        </w:rPr>
      </w:pPr>
    </w:p>
    <w:p w14:paraId="780AB015" w14:textId="0AAF376F" w:rsidR="003C20A4" w:rsidRPr="00652613" w:rsidRDefault="003C20A4" w:rsidP="005C0936">
      <w:pPr>
        <w:ind w:left="426" w:right="420" w:firstLine="1"/>
        <w:jc w:val="both"/>
        <w:rPr>
          <w:rFonts w:ascii="Tahoma" w:hAnsi="Tahoma" w:cs="Tahoma"/>
          <w:i/>
          <w:iCs/>
          <w:sz w:val="22"/>
        </w:rPr>
      </w:pPr>
      <w:r w:rsidRPr="00652613">
        <w:rPr>
          <w:rFonts w:ascii="Tahoma" w:hAnsi="Tahoma" w:cs="Tahoma"/>
          <w:i/>
          <w:iCs/>
          <w:sz w:val="22"/>
        </w:rPr>
        <w:t>De allí que, en un momento dado, en que el trabajador exige el pago al tercero solidario, no significa, que el empleador pierda su condición de obligado principal, o que se beneficie por un pago parcial, efectuado por el tercero, en la medida de que no se trata de una obligación divisible</w:t>
      </w:r>
      <w:r w:rsidR="00E578C9" w:rsidRPr="00652613">
        <w:rPr>
          <w:rFonts w:ascii="Tahoma" w:hAnsi="Tahoma" w:cs="Tahoma"/>
          <w:i/>
          <w:iCs/>
          <w:sz w:val="22"/>
        </w:rPr>
        <w:t>”</w:t>
      </w:r>
      <w:r w:rsidRPr="00652613">
        <w:rPr>
          <w:rFonts w:ascii="Tahoma" w:hAnsi="Tahoma" w:cs="Tahoma"/>
          <w:i/>
          <w:iCs/>
          <w:sz w:val="22"/>
        </w:rPr>
        <w:t xml:space="preserve">.    </w:t>
      </w:r>
    </w:p>
    <w:p w14:paraId="1A3B04AD" w14:textId="29479A69" w:rsidR="003C20A4" w:rsidRPr="00652613" w:rsidRDefault="003C20A4" w:rsidP="005C0936">
      <w:pPr>
        <w:spacing w:line="276" w:lineRule="auto"/>
        <w:rPr>
          <w:rFonts w:ascii="Tahoma" w:hAnsi="Tahoma" w:cs="Tahoma"/>
          <w:i/>
          <w:iCs/>
          <w:kern w:val="2"/>
        </w:rPr>
      </w:pPr>
    </w:p>
    <w:p w14:paraId="5F642683" w14:textId="37BEE1EF" w:rsidR="00E67E91" w:rsidRPr="00652613" w:rsidRDefault="00F21E79" w:rsidP="005C0936">
      <w:pPr>
        <w:spacing w:line="276" w:lineRule="auto"/>
        <w:ind w:firstLine="708"/>
        <w:jc w:val="both"/>
        <w:rPr>
          <w:rFonts w:ascii="Tahoma" w:hAnsi="Tahoma" w:cs="Tahoma"/>
        </w:rPr>
      </w:pPr>
      <w:r w:rsidRPr="00652613">
        <w:rPr>
          <w:rFonts w:ascii="Tahoma" w:hAnsi="Tahoma" w:cs="Tahoma"/>
        </w:rPr>
        <w:t xml:space="preserve">Basta </w:t>
      </w:r>
      <w:r w:rsidR="00E67E91" w:rsidRPr="00652613">
        <w:rPr>
          <w:rFonts w:ascii="Tahoma" w:hAnsi="Tahoma" w:cs="Tahoma"/>
        </w:rPr>
        <w:t>lo aquí planteado</w:t>
      </w:r>
      <w:r w:rsidRPr="00652613">
        <w:rPr>
          <w:rFonts w:ascii="Tahoma" w:hAnsi="Tahoma" w:cs="Tahoma"/>
        </w:rPr>
        <w:t xml:space="preserve"> para concluir que, </w:t>
      </w:r>
      <w:r w:rsidR="00E67E91" w:rsidRPr="00652613">
        <w:rPr>
          <w:rFonts w:ascii="Tahoma" w:hAnsi="Tahoma" w:cs="Tahoma"/>
        </w:rPr>
        <w:t>en el caso bajo estudio, la decisión adoptada en primer grado se encuentra ajusta</w:t>
      </w:r>
      <w:r w:rsidRPr="00652613">
        <w:rPr>
          <w:rFonts w:ascii="Tahoma" w:hAnsi="Tahoma" w:cs="Tahoma"/>
        </w:rPr>
        <w:t>da</w:t>
      </w:r>
      <w:r w:rsidR="00E67E91" w:rsidRPr="00652613">
        <w:rPr>
          <w:rFonts w:ascii="Tahoma" w:hAnsi="Tahoma" w:cs="Tahoma"/>
        </w:rPr>
        <w:t xml:space="preserve"> a derecho por cuanto la integración a la litis del intermediario o del solidario al ser de carácter facultativo, no se torna indispensable para proferir sentencia.</w:t>
      </w:r>
    </w:p>
    <w:p w14:paraId="3AFB849D" w14:textId="5E1B4609" w:rsidR="00E67E91" w:rsidRPr="00652613" w:rsidRDefault="00E67E91" w:rsidP="005C0936">
      <w:pPr>
        <w:spacing w:line="276" w:lineRule="auto"/>
        <w:rPr>
          <w:rFonts w:ascii="Tahoma" w:hAnsi="Tahoma" w:cs="Tahoma"/>
          <w:i/>
          <w:iCs/>
          <w:kern w:val="2"/>
        </w:rPr>
      </w:pPr>
    </w:p>
    <w:p w14:paraId="5F1DD3F3" w14:textId="5A65AABD" w:rsidR="00711FFB" w:rsidRPr="00652613" w:rsidRDefault="00711FFB" w:rsidP="005C0936">
      <w:pPr>
        <w:pStyle w:val="Prrafodelista"/>
        <w:numPr>
          <w:ilvl w:val="1"/>
          <w:numId w:val="15"/>
        </w:numPr>
        <w:spacing w:line="276" w:lineRule="auto"/>
        <w:rPr>
          <w:rFonts w:ascii="Tahoma" w:hAnsi="Tahoma" w:cs="Tahoma"/>
          <w:b/>
          <w:bCs/>
          <w:kern w:val="2"/>
        </w:rPr>
      </w:pPr>
      <w:r w:rsidRPr="00652613">
        <w:rPr>
          <w:rFonts w:ascii="Tahoma" w:hAnsi="Tahoma" w:cs="Tahoma"/>
          <w:b/>
          <w:bCs/>
          <w:kern w:val="2"/>
        </w:rPr>
        <w:t>De la prescripción de la acción de fuero sindical.</w:t>
      </w:r>
    </w:p>
    <w:p w14:paraId="3D98C73D" w14:textId="29204421" w:rsidR="00331509" w:rsidRPr="00652613" w:rsidRDefault="00331509" w:rsidP="005C0936">
      <w:pPr>
        <w:spacing w:line="276" w:lineRule="auto"/>
        <w:ind w:right="191"/>
        <w:jc w:val="both"/>
        <w:rPr>
          <w:rFonts w:ascii="Tahoma" w:hAnsi="Tahoma" w:cs="Tahoma"/>
          <w:kern w:val="2"/>
        </w:rPr>
      </w:pPr>
    </w:p>
    <w:p w14:paraId="22CD1AEE" w14:textId="3CA8161D" w:rsidR="00E730B0" w:rsidRPr="00652613" w:rsidRDefault="00CF7A7A" w:rsidP="005C0936">
      <w:pPr>
        <w:spacing w:line="276" w:lineRule="auto"/>
        <w:ind w:firstLine="708"/>
        <w:jc w:val="both"/>
        <w:rPr>
          <w:rFonts w:ascii="Tahoma" w:hAnsi="Tahoma" w:cs="Tahoma"/>
          <w:kern w:val="2"/>
        </w:rPr>
      </w:pPr>
      <w:r w:rsidRPr="00652613">
        <w:rPr>
          <w:rFonts w:ascii="Tahoma" w:hAnsi="Tahoma" w:cs="Tahoma"/>
          <w:kern w:val="2"/>
        </w:rPr>
        <w:lastRenderedPageBreak/>
        <w:t>Ahora, frente al segundo problema jurídico se tiene que, e</w:t>
      </w:r>
      <w:r w:rsidR="00331509" w:rsidRPr="00652613">
        <w:rPr>
          <w:rFonts w:ascii="Tahoma" w:hAnsi="Tahoma" w:cs="Tahoma"/>
          <w:kern w:val="2"/>
        </w:rPr>
        <w:t xml:space="preserve">n lo </w:t>
      </w:r>
      <w:r w:rsidR="00331509" w:rsidRPr="00652613">
        <w:rPr>
          <w:rFonts w:ascii="Tahoma" w:hAnsi="Tahoma" w:cs="Tahoma"/>
        </w:rPr>
        <w:t>concerniente</w:t>
      </w:r>
      <w:r w:rsidR="00331509" w:rsidRPr="00652613">
        <w:rPr>
          <w:rFonts w:ascii="Tahoma" w:hAnsi="Tahoma" w:cs="Tahoma"/>
          <w:kern w:val="2"/>
        </w:rPr>
        <w:t xml:space="preserve"> a</w:t>
      </w:r>
      <w:r w:rsidR="00221D27" w:rsidRPr="00652613">
        <w:rPr>
          <w:rFonts w:ascii="Tahoma" w:hAnsi="Tahoma" w:cs="Tahoma"/>
          <w:kern w:val="2"/>
        </w:rPr>
        <w:t xml:space="preserve"> la prescripción de la acción de </w:t>
      </w:r>
      <w:r w:rsidR="00331509" w:rsidRPr="00652613">
        <w:rPr>
          <w:rFonts w:ascii="Tahoma" w:hAnsi="Tahoma" w:cs="Tahoma"/>
          <w:kern w:val="2"/>
        </w:rPr>
        <w:t>fuero sindical, establece el artículo 118A del CPL y de la S.S.</w:t>
      </w:r>
      <w:r w:rsidR="00E730B0" w:rsidRPr="00652613">
        <w:rPr>
          <w:rFonts w:ascii="Tahoma" w:hAnsi="Tahoma" w:cs="Tahoma"/>
          <w:kern w:val="2"/>
        </w:rPr>
        <w:t>:</w:t>
      </w:r>
    </w:p>
    <w:p w14:paraId="4F617522" w14:textId="77777777" w:rsidR="00E730B0" w:rsidRPr="00652613" w:rsidRDefault="00E730B0" w:rsidP="005C0936">
      <w:pPr>
        <w:spacing w:line="276" w:lineRule="auto"/>
        <w:ind w:left="708" w:right="191" w:firstLine="1"/>
        <w:jc w:val="both"/>
        <w:rPr>
          <w:rFonts w:ascii="Tahoma" w:hAnsi="Tahoma" w:cs="Tahoma"/>
          <w:i/>
          <w:iCs/>
        </w:rPr>
      </w:pPr>
    </w:p>
    <w:p w14:paraId="74208373" w14:textId="1DBEBE6A" w:rsidR="00E730B0" w:rsidRPr="00652613" w:rsidRDefault="00E730B0" w:rsidP="005C0936">
      <w:pPr>
        <w:ind w:left="426" w:right="420" w:firstLine="1"/>
        <w:jc w:val="both"/>
        <w:rPr>
          <w:rFonts w:ascii="Tahoma" w:hAnsi="Tahoma" w:cs="Tahoma"/>
          <w:iCs/>
          <w:sz w:val="22"/>
        </w:rPr>
      </w:pPr>
      <w:bookmarkStart w:id="2" w:name="118-A"/>
      <w:r w:rsidRPr="00652613">
        <w:rPr>
          <w:rFonts w:ascii="Tahoma" w:hAnsi="Tahoma" w:cs="Tahoma"/>
          <w:iCs/>
          <w:sz w:val="22"/>
        </w:rPr>
        <w:t>«</w:t>
      </w:r>
      <w:r w:rsidRPr="00652613">
        <w:rPr>
          <w:rFonts w:ascii="Tahoma" w:hAnsi="Tahoma" w:cs="Tahoma"/>
          <w:b/>
          <w:bCs/>
          <w:iCs/>
          <w:sz w:val="22"/>
        </w:rPr>
        <w:t>ARTÍCULO 118-A. PRESCRIPCIÓN</w:t>
      </w:r>
      <w:r w:rsidRPr="00652613">
        <w:rPr>
          <w:rFonts w:ascii="Tahoma" w:hAnsi="Tahoma" w:cs="Tahoma"/>
          <w:iCs/>
          <w:sz w:val="22"/>
        </w:rPr>
        <w:t>.</w:t>
      </w:r>
      <w:bookmarkEnd w:id="2"/>
      <w:r w:rsidRPr="00652613">
        <w:rPr>
          <w:rFonts w:ascii="Tahoma" w:hAnsi="Tahoma" w:cs="Tahoma"/>
          <w:iCs/>
          <w:sz w:val="22"/>
        </w:rPr>
        <w:t xml:space="preserve"> Las acciones que emanan del fuero sindical prescriben en dos (2) meses. Para el trabajador este término se contará desde la fecha de despido, traslado o desmejora. </w:t>
      </w:r>
      <w:r w:rsidR="00DD4170" w:rsidRPr="00652613">
        <w:rPr>
          <w:rFonts w:ascii="Tahoma" w:hAnsi="Tahoma" w:cs="Tahoma"/>
          <w:iCs/>
          <w:sz w:val="22"/>
        </w:rPr>
        <w:t xml:space="preserve">(…) </w:t>
      </w:r>
      <w:r w:rsidRPr="00652613">
        <w:rPr>
          <w:rFonts w:ascii="Tahoma" w:hAnsi="Tahoma" w:cs="Tahoma"/>
          <w:iCs/>
          <w:sz w:val="22"/>
        </w:rPr>
        <w:t>presentada la reclamación escrita en el caso de los trabajadores particulares, comenzará a contarse nuevamente el término, de dos (2) meses</w:t>
      </w:r>
      <w:r w:rsidR="00DD4170" w:rsidRPr="00652613">
        <w:rPr>
          <w:rFonts w:ascii="Tahoma" w:hAnsi="Tahoma" w:cs="Tahoma"/>
          <w:iCs/>
          <w:sz w:val="22"/>
        </w:rPr>
        <w:t>»</w:t>
      </w:r>
      <w:r w:rsidRPr="00652613">
        <w:rPr>
          <w:rFonts w:ascii="Tahoma" w:hAnsi="Tahoma" w:cs="Tahoma"/>
          <w:iCs/>
          <w:sz w:val="22"/>
        </w:rPr>
        <w:t>.</w:t>
      </w:r>
    </w:p>
    <w:p w14:paraId="2EBB15D5" w14:textId="1E8119E3" w:rsidR="00E730B0" w:rsidRPr="00652613" w:rsidRDefault="00E730B0" w:rsidP="005C0936">
      <w:pPr>
        <w:spacing w:line="276" w:lineRule="auto"/>
        <w:ind w:left="708" w:right="191" w:firstLine="1"/>
        <w:jc w:val="both"/>
        <w:rPr>
          <w:rFonts w:ascii="Tahoma" w:hAnsi="Tahoma" w:cs="Tahoma"/>
          <w:i/>
          <w:iCs/>
        </w:rPr>
      </w:pPr>
    </w:p>
    <w:p w14:paraId="21BF9C79" w14:textId="5C9369DF" w:rsidR="00FC0F96" w:rsidRPr="00652613" w:rsidRDefault="00CF7A7A" w:rsidP="005C0936">
      <w:pPr>
        <w:spacing w:line="276" w:lineRule="auto"/>
        <w:ind w:firstLine="708"/>
        <w:jc w:val="both"/>
        <w:rPr>
          <w:rFonts w:ascii="Tahoma" w:hAnsi="Tahoma" w:cs="Tahoma"/>
        </w:rPr>
      </w:pPr>
      <w:r w:rsidRPr="00652613">
        <w:rPr>
          <w:rFonts w:ascii="Tahoma" w:hAnsi="Tahoma" w:cs="Tahoma"/>
        </w:rPr>
        <w:t xml:space="preserve">Para dichos efectos, en la contabilización del término de prescripción bajo las circunstancias especiales generadas con </w:t>
      </w:r>
      <w:r w:rsidR="00FC0F96" w:rsidRPr="00652613">
        <w:rPr>
          <w:rFonts w:ascii="Tahoma" w:hAnsi="Tahoma" w:cs="Tahoma"/>
        </w:rPr>
        <w:t xml:space="preserve">la declaratoria del estado de emergencia sanitaria surgido con la pandemia declarada mediante la resolución 385 del 12 de marzo de 2020, </w:t>
      </w:r>
      <w:r w:rsidRPr="00652613">
        <w:rPr>
          <w:rFonts w:ascii="Tahoma" w:hAnsi="Tahoma" w:cs="Tahoma"/>
        </w:rPr>
        <w:t xml:space="preserve">es menester tener en cuenta que </w:t>
      </w:r>
      <w:r w:rsidR="00FC0F96" w:rsidRPr="00652613">
        <w:rPr>
          <w:rFonts w:ascii="Tahoma" w:hAnsi="Tahoma" w:cs="Tahoma"/>
        </w:rPr>
        <w:t xml:space="preserve">el Gobierno Nacional expidió el Decreto legislativo 564 del 15 de abril de 2020, en cuyo artículo 1ro. </w:t>
      </w:r>
      <w:proofErr w:type="gramStart"/>
      <w:r w:rsidRPr="00652613">
        <w:rPr>
          <w:rFonts w:ascii="Tahoma" w:hAnsi="Tahoma" w:cs="Tahoma"/>
        </w:rPr>
        <w:t>dispuso</w:t>
      </w:r>
      <w:proofErr w:type="gramEnd"/>
      <w:r w:rsidR="00FC0F96" w:rsidRPr="00652613">
        <w:rPr>
          <w:rFonts w:ascii="Tahoma" w:hAnsi="Tahoma" w:cs="Tahoma"/>
        </w:rPr>
        <w:t>:</w:t>
      </w:r>
    </w:p>
    <w:p w14:paraId="4EE29909" w14:textId="77777777" w:rsidR="00FC0F96" w:rsidRPr="00652613" w:rsidRDefault="00FC0F96" w:rsidP="005C0936">
      <w:pPr>
        <w:spacing w:line="276" w:lineRule="auto"/>
        <w:ind w:right="191"/>
        <w:jc w:val="both"/>
        <w:rPr>
          <w:rFonts w:ascii="Tahoma" w:hAnsi="Tahoma" w:cs="Tahoma"/>
        </w:rPr>
      </w:pPr>
    </w:p>
    <w:p w14:paraId="6615C842" w14:textId="0E6FE2F8" w:rsidR="00FC0F96" w:rsidRPr="00652613" w:rsidRDefault="00FC0F96" w:rsidP="005C0936">
      <w:pPr>
        <w:ind w:left="426" w:right="420" w:firstLine="1"/>
        <w:jc w:val="both"/>
        <w:rPr>
          <w:rFonts w:ascii="Tahoma" w:hAnsi="Tahoma" w:cs="Tahoma"/>
          <w:i/>
          <w:iCs/>
          <w:sz w:val="22"/>
        </w:rPr>
      </w:pPr>
      <w:r w:rsidRPr="00652613">
        <w:rPr>
          <w:rFonts w:ascii="Tahoma" w:hAnsi="Tahoma" w:cs="Tahoma"/>
          <w:i/>
          <w:iCs/>
          <w:sz w:val="22"/>
        </w:rPr>
        <w:t>«</w:t>
      </w:r>
      <w:r w:rsidRPr="00652613">
        <w:rPr>
          <w:rFonts w:ascii="Tahoma" w:hAnsi="Tahoma" w:cs="Tahoma"/>
          <w:b/>
          <w:bCs/>
          <w:i/>
          <w:iCs/>
          <w:sz w:val="22"/>
        </w:rPr>
        <w:t xml:space="preserve">Artículo 1. Suspensión </w:t>
      </w:r>
      <w:r w:rsidR="00CF7A7A" w:rsidRPr="00652613">
        <w:rPr>
          <w:rFonts w:ascii="Tahoma" w:hAnsi="Tahoma" w:cs="Tahoma"/>
          <w:b/>
          <w:bCs/>
          <w:i/>
          <w:iCs/>
          <w:sz w:val="22"/>
        </w:rPr>
        <w:t xml:space="preserve">de </w:t>
      </w:r>
      <w:r w:rsidRPr="00652613">
        <w:rPr>
          <w:rFonts w:ascii="Tahoma" w:hAnsi="Tahoma" w:cs="Tahoma"/>
          <w:b/>
          <w:bCs/>
          <w:i/>
          <w:iCs/>
          <w:sz w:val="22"/>
        </w:rPr>
        <w:t>términos de prescripción y caducidad</w:t>
      </w:r>
      <w:r w:rsidRPr="00652613">
        <w:rPr>
          <w:rFonts w:ascii="Tahoma" w:hAnsi="Tahoma" w:cs="Tahoma"/>
          <w:i/>
          <w:iCs/>
          <w:sz w:val="22"/>
        </w:rPr>
        <w:t>. Los términos de prescripción y de caducidad previstos en cualquier norma sustancial o procesal para derechos, acciones, medios</w:t>
      </w:r>
      <w:r w:rsidR="00CF7A7A" w:rsidRPr="00652613">
        <w:rPr>
          <w:rFonts w:ascii="Tahoma" w:hAnsi="Tahoma" w:cs="Tahoma"/>
          <w:i/>
          <w:iCs/>
          <w:sz w:val="22"/>
        </w:rPr>
        <w:t xml:space="preserve"> de</w:t>
      </w:r>
      <w:r w:rsidRPr="00652613">
        <w:rPr>
          <w:rFonts w:ascii="Tahoma" w:hAnsi="Tahoma" w:cs="Tahoma"/>
          <w:i/>
          <w:iCs/>
          <w:sz w:val="22"/>
        </w:rPr>
        <w:t xml:space="preserve"> control o presentar demandas ante la </w:t>
      </w:r>
      <w:r w:rsidR="00221D27" w:rsidRPr="00652613">
        <w:rPr>
          <w:rFonts w:ascii="Tahoma" w:hAnsi="Tahoma" w:cs="Tahoma"/>
          <w:i/>
          <w:iCs/>
          <w:sz w:val="22"/>
        </w:rPr>
        <w:t xml:space="preserve">Rama </w:t>
      </w:r>
      <w:r w:rsidRPr="00652613">
        <w:rPr>
          <w:rFonts w:ascii="Tahoma" w:hAnsi="Tahoma" w:cs="Tahoma"/>
          <w:i/>
          <w:iCs/>
          <w:sz w:val="22"/>
        </w:rPr>
        <w:t xml:space="preserve">Judicial o ante los tribunales arbitrales, sean de </w:t>
      </w:r>
      <w:r w:rsidR="00221D27" w:rsidRPr="00652613">
        <w:rPr>
          <w:rFonts w:ascii="Tahoma" w:hAnsi="Tahoma" w:cs="Tahoma"/>
          <w:i/>
          <w:iCs/>
          <w:sz w:val="22"/>
        </w:rPr>
        <w:t xml:space="preserve">días, </w:t>
      </w:r>
      <w:r w:rsidRPr="00652613">
        <w:rPr>
          <w:rFonts w:ascii="Tahoma" w:hAnsi="Tahoma" w:cs="Tahoma"/>
          <w:i/>
          <w:iCs/>
          <w:sz w:val="22"/>
        </w:rPr>
        <w:t xml:space="preserve">meses o años, se encuentran suspendidos </w:t>
      </w:r>
      <w:r w:rsidR="00CF7A7A" w:rsidRPr="00652613">
        <w:rPr>
          <w:rFonts w:ascii="Tahoma" w:hAnsi="Tahoma" w:cs="Tahoma"/>
          <w:i/>
          <w:iCs/>
          <w:sz w:val="22"/>
        </w:rPr>
        <w:t xml:space="preserve">desde </w:t>
      </w:r>
      <w:r w:rsidRPr="00652613">
        <w:rPr>
          <w:rFonts w:ascii="Tahoma" w:hAnsi="Tahoma" w:cs="Tahoma"/>
          <w:i/>
          <w:iCs/>
          <w:sz w:val="22"/>
        </w:rPr>
        <w:t xml:space="preserve">el 16 </w:t>
      </w:r>
      <w:r w:rsidR="00221D27" w:rsidRPr="00652613">
        <w:rPr>
          <w:rFonts w:ascii="Tahoma" w:hAnsi="Tahoma" w:cs="Tahoma"/>
          <w:i/>
          <w:iCs/>
          <w:sz w:val="22"/>
        </w:rPr>
        <w:t xml:space="preserve">de </w:t>
      </w:r>
      <w:r w:rsidRPr="00652613">
        <w:rPr>
          <w:rFonts w:ascii="Tahoma" w:hAnsi="Tahoma" w:cs="Tahoma"/>
          <w:i/>
          <w:iCs/>
          <w:sz w:val="22"/>
        </w:rPr>
        <w:t xml:space="preserve">marzo </w:t>
      </w:r>
      <w:r w:rsidR="00221D27" w:rsidRPr="00652613">
        <w:rPr>
          <w:rFonts w:ascii="Tahoma" w:hAnsi="Tahoma" w:cs="Tahoma"/>
          <w:i/>
          <w:iCs/>
          <w:sz w:val="22"/>
        </w:rPr>
        <w:t xml:space="preserve">de </w:t>
      </w:r>
      <w:r w:rsidRPr="00652613">
        <w:rPr>
          <w:rFonts w:ascii="Tahoma" w:hAnsi="Tahoma" w:cs="Tahoma"/>
          <w:i/>
          <w:iCs/>
          <w:sz w:val="22"/>
        </w:rPr>
        <w:t xml:space="preserve">2020 hasta el día </w:t>
      </w:r>
      <w:r w:rsidR="000D6FD4" w:rsidRPr="00652613">
        <w:rPr>
          <w:rFonts w:ascii="Tahoma" w:hAnsi="Tahoma" w:cs="Tahoma"/>
          <w:i/>
          <w:iCs/>
          <w:sz w:val="22"/>
        </w:rPr>
        <w:t xml:space="preserve">en </w:t>
      </w:r>
      <w:r w:rsidRPr="00652613">
        <w:rPr>
          <w:rFonts w:ascii="Tahoma" w:hAnsi="Tahoma" w:cs="Tahoma"/>
          <w:i/>
          <w:iCs/>
          <w:sz w:val="22"/>
        </w:rPr>
        <w:t xml:space="preserve">que </w:t>
      </w:r>
      <w:r w:rsidR="00221D27" w:rsidRPr="00652613">
        <w:rPr>
          <w:rFonts w:ascii="Tahoma" w:hAnsi="Tahoma" w:cs="Tahoma"/>
          <w:i/>
          <w:iCs/>
          <w:sz w:val="22"/>
        </w:rPr>
        <w:t xml:space="preserve">el </w:t>
      </w:r>
      <w:r w:rsidRPr="00652613">
        <w:rPr>
          <w:rFonts w:ascii="Tahoma" w:hAnsi="Tahoma" w:cs="Tahoma"/>
          <w:i/>
          <w:iCs/>
          <w:sz w:val="22"/>
        </w:rPr>
        <w:t xml:space="preserve">Consejo Superior de la Judicatura disponga la reanudación </w:t>
      </w:r>
      <w:r w:rsidR="00221D27" w:rsidRPr="00652613">
        <w:rPr>
          <w:rFonts w:ascii="Tahoma" w:hAnsi="Tahoma" w:cs="Tahoma"/>
          <w:i/>
          <w:iCs/>
          <w:sz w:val="22"/>
        </w:rPr>
        <w:t xml:space="preserve">de </w:t>
      </w:r>
      <w:r w:rsidRPr="00652613">
        <w:rPr>
          <w:rFonts w:ascii="Tahoma" w:hAnsi="Tahoma" w:cs="Tahoma"/>
          <w:i/>
          <w:iCs/>
          <w:sz w:val="22"/>
        </w:rPr>
        <w:t xml:space="preserve">los términos judiciales. </w:t>
      </w:r>
    </w:p>
    <w:p w14:paraId="6CB06B95" w14:textId="77777777" w:rsidR="00FC0F96" w:rsidRPr="00652613" w:rsidRDefault="00FC0F96" w:rsidP="005C0936">
      <w:pPr>
        <w:ind w:left="426" w:right="420" w:firstLine="1"/>
        <w:jc w:val="both"/>
        <w:rPr>
          <w:rFonts w:ascii="Tahoma" w:hAnsi="Tahoma" w:cs="Tahoma"/>
          <w:i/>
          <w:iCs/>
          <w:sz w:val="22"/>
        </w:rPr>
      </w:pPr>
    </w:p>
    <w:p w14:paraId="471C2AA4" w14:textId="39A3CE80" w:rsidR="00FC0F96" w:rsidRPr="00652613" w:rsidRDefault="00FC0F96" w:rsidP="005C0936">
      <w:pPr>
        <w:ind w:left="426" w:right="420" w:firstLine="1"/>
        <w:jc w:val="both"/>
        <w:rPr>
          <w:rFonts w:ascii="Tahoma" w:hAnsi="Tahoma" w:cs="Tahoma"/>
          <w:i/>
          <w:iCs/>
          <w:sz w:val="22"/>
        </w:rPr>
      </w:pPr>
      <w:r w:rsidRPr="00652613">
        <w:rPr>
          <w:rFonts w:ascii="Tahoma" w:hAnsi="Tahoma" w:cs="Tahoma"/>
          <w:i/>
          <w:iCs/>
          <w:sz w:val="22"/>
        </w:rPr>
        <w:t xml:space="preserve">El conteo de los términos de prescripción y caducidad se reanudará a partir del día hábil siguiente a la fecha en que cese la suspensión </w:t>
      </w:r>
      <w:r w:rsidR="00221D27" w:rsidRPr="00652613">
        <w:rPr>
          <w:rFonts w:ascii="Tahoma" w:hAnsi="Tahoma" w:cs="Tahoma"/>
          <w:i/>
          <w:iCs/>
          <w:sz w:val="22"/>
        </w:rPr>
        <w:t xml:space="preserve">de </w:t>
      </w:r>
      <w:r w:rsidRPr="00652613">
        <w:rPr>
          <w:rFonts w:ascii="Tahoma" w:hAnsi="Tahoma" w:cs="Tahoma"/>
          <w:i/>
          <w:iCs/>
          <w:sz w:val="22"/>
        </w:rPr>
        <w:t xml:space="preserve">términos judiciales ordenada por </w:t>
      </w:r>
      <w:r w:rsidR="00994CED" w:rsidRPr="00652613">
        <w:rPr>
          <w:rFonts w:ascii="Tahoma" w:hAnsi="Tahoma" w:cs="Tahoma"/>
          <w:i/>
          <w:iCs/>
          <w:sz w:val="22"/>
        </w:rPr>
        <w:t xml:space="preserve">el </w:t>
      </w:r>
      <w:r w:rsidRPr="00652613">
        <w:rPr>
          <w:rFonts w:ascii="Tahoma" w:hAnsi="Tahoma" w:cs="Tahoma"/>
          <w:i/>
          <w:iCs/>
          <w:sz w:val="22"/>
        </w:rPr>
        <w:t xml:space="preserve">Consejo Superior de la Judicatura. No obstante, cuando al decretarse la suspensión de términos por dicha Corporación, el plazo que restaba para interrumpir </w:t>
      </w:r>
      <w:r w:rsidR="00994CED" w:rsidRPr="00652613">
        <w:rPr>
          <w:rFonts w:ascii="Tahoma" w:hAnsi="Tahoma" w:cs="Tahoma"/>
          <w:i/>
          <w:iCs/>
          <w:sz w:val="22"/>
        </w:rPr>
        <w:t xml:space="preserve">la </w:t>
      </w:r>
      <w:r w:rsidRPr="00652613">
        <w:rPr>
          <w:rFonts w:ascii="Tahoma" w:hAnsi="Tahoma" w:cs="Tahoma"/>
          <w:i/>
          <w:iCs/>
          <w:sz w:val="22"/>
        </w:rPr>
        <w:t xml:space="preserve">prescripción o </w:t>
      </w:r>
      <w:r w:rsidR="00221D27" w:rsidRPr="00652613">
        <w:rPr>
          <w:rFonts w:ascii="Tahoma" w:hAnsi="Tahoma" w:cs="Tahoma"/>
          <w:i/>
          <w:iCs/>
          <w:sz w:val="22"/>
        </w:rPr>
        <w:t xml:space="preserve">hacer </w:t>
      </w:r>
      <w:r w:rsidRPr="00652613">
        <w:rPr>
          <w:rFonts w:ascii="Tahoma" w:hAnsi="Tahoma" w:cs="Tahoma"/>
          <w:i/>
          <w:iCs/>
          <w:sz w:val="22"/>
        </w:rPr>
        <w:t xml:space="preserve">inoperante la caducidad era inferior a treinta (30) días, </w:t>
      </w:r>
      <w:r w:rsidR="00221D27" w:rsidRPr="00652613">
        <w:rPr>
          <w:rFonts w:ascii="Tahoma" w:hAnsi="Tahoma" w:cs="Tahoma"/>
          <w:i/>
          <w:iCs/>
          <w:sz w:val="22"/>
        </w:rPr>
        <w:t xml:space="preserve">el </w:t>
      </w:r>
      <w:r w:rsidRPr="00652613">
        <w:rPr>
          <w:rFonts w:ascii="Tahoma" w:hAnsi="Tahoma" w:cs="Tahoma"/>
          <w:i/>
          <w:iCs/>
          <w:sz w:val="22"/>
        </w:rPr>
        <w:t xml:space="preserve">interesado tendrá un mes contado a partir del día siguiente al levantamiento de la suspensión, para realizar oportunamente la actuación correspondiente (…)». </w:t>
      </w:r>
    </w:p>
    <w:p w14:paraId="1E9CA4A1" w14:textId="168C2392" w:rsidR="00FC0F96" w:rsidRPr="00652613" w:rsidRDefault="00FC0F96" w:rsidP="005C0936">
      <w:pPr>
        <w:spacing w:line="276" w:lineRule="auto"/>
        <w:ind w:right="191"/>
        <w:jc w:val="both"/>
        <w:rPr>
          <w:rFonts w:ascii="Tahoma" w:hAnsi="Tahoma" w:cs="Tahoma"/>
          <w:i/>
          <w:iCs/>
        </w:rPr>
      </w:pPr>
    </w:p>
    <w:p w14:paraId="14AE9B83" w14:textId="77777777" w:rsidR="00994CED" w:rsidRPr="00652613" w:rsidRDefault="00FC0F96" w:rsidP="005C0936">
      <w:pPr>
        <w:spacing w:line="276" w:lineRule="auto"/>
        <w:ind w:right="191" w:firstLine="708"/>
        <w:jc w:val="both"/>
        <w:rPr>
          <w:rFonts w:ascii="Tahoma" w:hAnsi="Tahoma" w:cs="Tahoma"/>
        </w:rPr>
      </w:pPr>
      <w:r w:rsidRPr="00652613">
        <w:rPr>
          <w:rFonts w:ascii="Tahoma" w:hAnsi="Tahoma" w:cs="Tahoma"/>
        </w:rPr>
        <w:t>Dicha disposición, fue declara</w:t>
      </w:r>
      <w:r w:rsidR="00994CED" w:rsidRPr="00652613">
        <w:rPr>
          <w:rFonts w:ascii="Tahoma" w:hAnsi="Tahoma" w:cs="Tahoma"/>
        </w:rPr>
        <w:t>da</w:t>
      </w:r>
      <w:r w:rsidRPr="00652613">
        <w:rPr>
          <w:rFonts w:ascii="Tahoma" w:hAnsi="Tahoma" w:cs="Tahoma"/>
        </w:rPr>
        <w:t xml:space="preserve"> exequible por la Corte Constitucional, mediante </w:t>
      </w:r>
      <w:r w:rsidR="00994CED" w:rsidRPr="00652613">
        <w:rPr>
          <w:rFonts w:ascii="Tahoma" w:hAnsi="Tahoma" w:cs="Tahoma"/>
        </w:rPr>
        <w:t>la S</w:t>
      </w:r>
      <w:r w:rsidRPr="00652613">
        <w:rPr>
          <w:rFonts w:ascii="Tahoma" w:hAnsi="Tahoma" w:cs="Tahoma"/>
        </w:rPr>
        <w:t xml:space="preserve">entencia C-213 del 2020, </w:t>
      </w:r>
      <w:r w:rsidR="00994CED" w:rsidRPr="00652613">
        <w:rPr>
          <w:rFonts w:ascii="Tahoma" w:hAnsi="Tahoma" w:cs="Tahoma"/>
        </w:rPr>
        <w:t xml:space="preserve">en cuya decisión, encontró </w:t>
      </w:r>
      <w:r w:rsidR="0038591C" w:rsidRPr="00652613">
        <w:rPr>
          <w:rFonts w:ascii="Tahoma" w:hAnsi="Tahoma" w:cs="Tahoma"/>
        </w:rPr>
        <w:t xml:space="preserve">justificadas las medidas adoptadas en dicho decreto, </w:t>
      </w:r>
      <w:r w:rsidR="00994CED" w:rsidRPr="00652613">
        <w:rPr>
          <w:rFonts w:ascii="Tahoma" w:hAnsi="Tahoma" w:cs="Tahoma"/>
        </w:rPr>
        <w:t xml:space="preserve">indicando que éstas daban </w:t>
      </w:r>
    </w:p>
    <w:p w14:paraId="0F3D5778" w14:textId="77777777" w:rsidR="00994CED" w:rsidRPr="00652613" w:rsidRDefault="00994CED" w:rsidP="005C0936">
      <w:pPr>
        <w:spacing w:line="276" w:lineRule="auto"/>
        <w:ind w:right="191"/>
        <w:jc w:val="both"/>
        <w:rPr>
          <w:rFonts w:ascii="Tahoma" w:hAnsi="Tahoma" w:cs="Tahoma"/>
          <w:i/>
          <w:iCs/>
        </w:rPr>
      </w:pPr>
    </w:p>
    <w:p w14:paraId="76CBA5A7" w14:textId="23C13FCC" w:rsidR="00994CED" w:rsidRPr="00652613" w:rsidRDefault="00994CED" w:rsidP="005C0936">
      <w:pPr>
        <w:ind w:left="426" w:right="420" w:firstLine="1"/>
        <w:jc w:val="both"/>
        <w:rPr>
          <w:rFonts w:ascii="Tahoma" w:hAnsi="Tahoma" w:cs="Tahoma"/>
          <w:i/>
          <w:iCs/>
          <w:sz w:val="22"/>
        </w:rPr>
      </w:pPr>
      <w:r w:rsidRPr="00652613">
        <w:rPr>
          <w:rFonts w:ascii="Tahoma" w:hAnsi="Tahoma" w:cs="Tahoma"/>
          <w:i/>
          <w:iCs/>
          <w:sz w:val="22"/>
        </w:rPr>
        <w:t>“</w:t>
      </w:r>
      <w:r w:rsidR="005C0936" w:rsidRPr="00652613">
        <w:rPr>
          <w:rFonts w:ascii="Tahoma" w:hAnsi="Tahoma" w:cs="Tahoma"/>
          <w:i/>
          <w:iCs/>
          <w:sz w:val="22"/>
        </w:rPr>
        <w:t>C</w:t>
      </w:r>
      <w:r w:rsidR="0038591C" w:rsidRPr="00652613">
        <w:rPr>
          <w:rFonts w:ascii="Tahoma" w:hAnsi="Tahoma" w:cs="Tahoma"/>
          <w:i/>
          <w:iCs/>
          <w:sz w:val="22"/>
        </w:rPr>
        <w:t>erteza legal a los usuarios de la administración de justicia, a los funcionarios y a los empleados judiciales, así como a los árbitros y usuarios del arbitraje, en cuanto a la forma como se deben contar los términos de prescripción, caducidad, desistimiento tácito y aquellos de duración del proceso”</w:t>
      </w:r>
      <w:r w:rsidR="00207B77" w:rsidRPr="00652613">
        <w:rPr>
          <w:rFonts w:ascii="Tahoma" w:hAnsi="Tahoma" w:cs="Tahoma"/>
          <w:i/>
          <w:iCs/>
          <w:sz w:val="22"/>
        </w:rPr>
        <w:t xml:space="preserve">.  </w:t>
      </w:r>
    </w:p>
    <w:p w14:paraId="576CAE30" w14:textId="77777777" w:rsidR="00994CED" w:rsidRPr="00652613" w:rsidRDefault="00994CED" w:rsidP="005C0936">
      <w:pPr>
        <w:spacing w:line="276" w:lineRule="auto"/>
        <w:ind w:right="191" w:firstLine="708"/>
        <w:jc w:val="both"/>
        <w:rPr>
          <w:rFonts w:ascii="Tahoma" w:hAnsi="Tahoma" w:cs="Tahoma"/>
        </w:rPr>
      </w:pPr>
    </w:p>
    <w:p w14:paraId="1FA59468" w14:textId="708F4DC4" w:rsidR="0038591C" w:rsidRPr="00652613" w:rsidRDefault="00207B77" w:rsidP="005C0936">
      <w:pPr>
        <w:spacing w:line="276" w:lineRule="auto"/>
        <w:ind w:right="191" w:firstLine="708"/>
        <w:jc w:val="both"/>
        <w:rPr>
          <w:rFonts w:ascii="Tahoma" w:hAnsi="Tahoma" w:cs="Tahoma"/>
        </w:rPr>
      </w:pPr>
      <w:r w:rsidRPr="00652613">
        <w:rPr>
          <w:rFonts w:ascii="Tahoma" w:hAnsi="Tahoma" w:cs="Tahoma"/>
        </w:rPr>
        <w:t>Así mismo, al realizar</w:t>
      </w:r>
      <w:r w:rsidR="0038591C" w:rsidRPr="00652613">
        <w:rPr>
          <w:rFonts w:ascii="Tahoma" w:hAnsi="Tahoma" w:cs="Tahoma"/>
        </w:rPr>
        <w:t xml:space="preserve"> el juicio de necesidad concluyó</w:t>
      </w:r>
      <w:r w:rsidR="005C0936" w:rsidRPr="00652613">
        <w:rPr>
          <w:rFonts w:ascii="Tahoma" w:hAnsi="Tahoma" w:cs="Tahoma"/>
        </w:rPr>
        <w:t>:</w:t>
      </w:r>
    </w:p>
    <w:p w14:paraId="2C83971D" w14:textId="77777777" w:rsidR="0038591C" w:rsidRPr="00652613" w:rsidRDefault="0038591C" w:rsidP="005C0936">
      <w:pPr>
        <w:spacing w:line="276" w:lineRule="auto"/>
        <w:ind w:right="191" w:firstLine="708"/>
        <w:jc w:val="both"/>
        <w:rPr>
          <w:rFonts w:ascii="Tahoma" w:hAnsi="Tahoma" w:cs="Tahoma"/>
        </w:rPr>
      </w:pPr>
    </w:p>
    <w:p w14:paraId="46429BDC" w14:textId="63CEF5E7" w:rsidR="0038591C" w:rsidRPr="00652613" w:rsidRDefault="0038591C" w:rsidP="005C0936">
      <w:pPr>
        <w:ind w:left="426" w:right="420" w:firstLine="1"/>
        <w:jc w:val="both"/>
        <w:rPr>
          <w:rFonts w:ascii="Tahoma" w:hAnsi="Tahoma" w:cs="Tahoma"/>
          <w:i/>
          <w:iCs/>
          <w:sz w:val="22"/>
        </w:rPr>
      </w:pPr>
      <w:r w:rsidRPr="00652613">
        <w:rPr>
          <w:rFonts w:ascii="Tahoma" w:hAnsi="Tahoma" w:cs="Tahoma"/>
          <w:i/>
          <w:iCs/>
          <w:sz w:val="22"/>
        </w:rPr>
        <w:t>“</w:t>
      </w:r>
      <w:r w:rsidR="005C0936" w:rsidRPr="00652613">
        <w:rPr>
          <w:rFonts w:ascii="Tahoma" w:hAnsi="Tahoma" w:cs="Tahoma"/>
          <w:i/>
          <w:iCs/>
          <w:sz w:val="22"/>
        </w:rPr>
        <w:t>L</w:t>
      </w:r>
      <w:r w:rsidRPr="00652613">
        <w:rPr>
          <w:rFonts w:ascii="Tahoma" w:hAnsi="Tahoma" w:cs="Tahoma"/>
          <w:i/>
          <w:iCs/>
          <w:sz w:val="22"/>
        </w:rPr>
        <w:t xml:space="preserve">a previsión relativa a los términos inferiores a 30 días y que permite el conteo del término de un mes posterior al levantamiento de la suspensión de términos, obedece a la necesidad de evitar las afluencias masivas de los usuarios a las sedes judiciales, una vez se levante la suspensión de términos. Encontró la Corte que en el ordenamiento jurídico no existe un instrumento legal que, en consideración a circunstancias de salud pública y su evolución, permita la suspensión de los términos procesales y que lo relativo a dichos términos tiene reserva legal. Finalmente, se concluyó que aunque el Decreto Legislativo 491 de 2020 ya preveía normas relativas a la suspensión de términos de prescripción y caducidad, el </w:t>
      </w:r>
      <w:r w:rsidRPr="00652613">
        <w:rPr>
          <w:rFonts w:ascii="Tahoma" w:hAnsi="Tahoma" w:cs="Tahoma"/>
          <w:i/>
          <w:iCs/>
          <w:sz w:val="22"/>
        </w:rPr>
        <w:lastRenderedPageBreak/>
        <w:t>Decreto Legislativo 564 de 2020 adopta medidas de alcance diferente y que aclaran inquietudes jurídicas, que responden al requisito de necesidad jurídica”.</w:t>
      </w:r>
    </w:p>
    <w:p w14:paraId="071185B1" w14:textId="77777777" w:rsidR="0038591C" w:rsidRPr="00652613" w:rsidRDefault="0038591C" w:rsidP="005C0936">
      <w:pPr>
        <w:spacing w:line="276" w:lineRule="auto"/>
        <w:ind w:right="191"/>
        <w:jc w:val="both"/>
        <w:rPr>
          <w:rFonts w:ascii="Tahoma" w:hAnsi="Tahoma" w:cs="Tahoma"/>
        </w:rPr>
      </w:pPr>
    </w:p>
    <w:p w14:paraId="5BE52868" w14:textId="356C9BF9" w:rsidR="00B60C70" w:rsidRPr="00652613" w:rsidRDefault="00207B77" w:rsidP="005C0936">
      <w:pPr>
        <w:spacing w:line="276" w:lineRule="auto"/>
        <w:ind w:right="191" w:firstLine="708"/>
        <w:jc w:val="both"/>
        <w:rPr>
          <w:rFonts w:ascii="Tahoma" w:hAnsi="Tahoma" w:cs="Tahoma"/>
        </w:rPr>
      </w:pPr>
      <w:r w:rsidRPr="00652613">
        <w:rPr>
          <w:rFonts w:ascii="Tahoma" w:hAnsi="Tahoma" w:cs="Tahoma"/>
        </w:rPr>
        <w:t xml:space="preserve">Así las cosas, </w:t>
      </w:r>
      <w:r w:rsidR="00B60C70" w:rsidRPr="00652613">
        <w:rPr>
          <w:rFonts w:ascii="Tahoma" w:hAnsi="Tahoma" w:cs="Tahoma"/>
        </w:rPr>
        <w:t xml:space="preserve">si se tiene en cuenta </w:t>
      </w:r>
      <w:r w:rsidR="00DC16EF" w:rsidRPr="00652613">
        <w:rPr>
          <w:rFonts w:ascii="Tahoma" w:hAnsi="Tahoma" w:cs="Tahoma"/>
        </w:rPr>
        <w:t xml:space="preserve">que </w:t>
      </w:r>
      <w:r w:rsidR="00B60C70" w:rsidRPr="00652613">
        <w:rPr>
          <w:rFonts w:ascii="Tahoma" w:hAnsi="Tahoma" w:cs="Tahoma"/>
        </w:rPr>
        <w:t>en el presente asunto, el trabajador fue despedido el 4 de junio de 2020 (</w:t>
      </w:r>
      <w:proofErr w:type="spellStart"/>
      <w:r w:rsidR="00B60C70" w:rsidRPr="00652613">
        <w:rPr>
          <w:rFonts w:ascii="Tahoma" w:hAnsi="Tahoma" w:cs="Tahoma"/>
          <w:i/>
          <w:iCs/>
        </w:rPr>
        <w:t>fl</w:t>
      </w:r>
      <w:proofErr w:type="spellEnd"/>
      <w:r w:rsidR="00B60C70" w:rsidRPr="00652613">
        <w:rPr>
          <w:rFonts w:ascii="Tahoma" w:hAnsi="Tahoma" w:cs="Tahoma"/>
          <w:i/>
          <w:iCs/>
        </w:rPr>
        <w:t>. 176)</w:t>
      </w:r>
      <w:r w:rsidR="00B60C70" w:rsidRPr="00652613">
        <w:rPr>
          <w:rFonts w:ascii="Tahoma" w:hAnsi="Tahoma" w:cs="Tahoma"/>
        </w:rPr>
        <w:t xml:space="preserve">, </w:t>
      </w:r>
      <w:r w:rsidR="00DC16EF" w:rsidRPr="00652613">
        <w:rPr>
          <w:rFonts w:ascii="Tahoma" w:hAnsi="Tahoma" w:cs="Tahoma"/>
        </w:rPr>
        <w:t xml:space="preserve">esto es, cuando ya estaban suspendidos los términos de que habla el artículo primero del Decreto legislativo 564 del 15 de abril de 2020, reanudados </w:t>
      </w:r>
      <w:r w:rsidR="00E056D4" w:rsidRPr="00652613">
        <w:rPr>
          <w:rFonts w:ascii="Tahoma" w:hAnsi="Tahoma" w:cs="Tahoma"/>
        </w:rPr>
        <w:t xml:space="preserve">estos </w:t>
      </w:r>
      <w:r w:rsidRPr="00652613">
        <w:rPr>
          <w:rFonts w:ascii="Tahoma" w:hAnsi="Tahoma" w:cs="Tahoma"/>
        </w:rPr>
        <w:t xml:space="preserve">por parte del Consejo Superior de la Judicatura, mediante </w:t>
      </w:r>
      <w:r w:rsidR="00DC16EF" w:rsidRPr="00652613">
        <w:rPr>
          <w:rFonts w:ascii="Tahoma" w:hAnsi="Tahoma" w:cs="Tahoma"/>
        </w:rPr>
        <w:t xml:space="preserve">el </w:t>
      </w:r>
      <w:r w:rsidRPr="00652613">
        <w:rPr>
          <w:rFonts w:ascii="Tahoma" w:hAnsi="Tahoma" w:cs="Tahoma"/>
        </w:rPr>
        <w:t xml:space="preserve">Acuerdo PCSJA20-11567 del 5 de junio de 2020, a partir del 1 de julio de 2020, </w:t>
      </w:r>
      <w:r w:rsidR="00DC16EF" w:rsidRPr="00652613">
        <w:rPr>
          <w:rFonts w:ascii="Tahoma" w:hAnsi="Tahoma" w:cs="Tahoma"/>
        </w:rPr>
        <w:t xml:space="preserve">era que se iniciaba la contabilización del </w:t>
      </w:r>
      <w:r w:rsidRPr="00652613">
        <w:rPr>
          <w:rFonts w:ascii="Tahoma" w:hAnsi="Tahoma" w:cs="Tahoma"/>
        </w:rPr>
        <w:t xml:space="preserve">término de prescripción para la presentación de </w:t>
      </w:r>
      <w:r w:rsidR="00DC16EF" w:rsidRPr="00652613">
        <w:rPr>
          <w:rFonts w:ascii="Tahoma" w:hAnsi="Tahoma" w:cs="Tahoma"/>
        </w:rPr>
        <w:t xml:space="preserve">la acción </w:t>
      </w:r>
      <w:r w:rsidRPr="00652613">
        <w:rPr>
          <w:rFonts w:ascii="Tahoma" w:hAnsi="Tahoma" w:cs="Tahoma"/>
        </w:rPr>
        <w:t>que emana del fuero sindical</w:t>
      </w:r>
      <w:r w:rsidR="00DC16EF" w:rsidRPr="00652613">
        <w:rPr>
          <w:rFonts w:ascii="Tahoma" w:hAnsi="Tahoma" w:cs="Tahoma"/>
        </w:rPr>
        <w:t xml:space="preserve">. Ello significa, que el conteo de los </w:t>
      </w:r>
      <w:r w:rsidR="00B60C70" w:rsidRPr="00652613">
        <w:rPr>
          <w:rFonts w:ascii="Tahoma" w:hAnsi="Tahoma" w:cs="Tahoma"/>
        </w:rPr>
        <w:t>dos meses inicia</w:t>
      </w:r>
      <w:r w:rsidR="00DC16EF" w:rsidRPr="00652613">
        <w:rPr>
          <w:rFonts w:ascii="Tahoma" w:hAnsi="Tahoma" w:cs="Tahoma"/>
        </w:rPr>
        <w:t>dos</w:t>
      </w:r>
      <w:r w:rsidR="00B60C70" w:rsidRPr="00652613">
        <w:rPr>
          <w:rFonts w:ascii="Tahoma" w:hAnsi="Tahoma" w:cs="Tahoma"/>
        </w:rPr>
        <w:t xml:space="preserve"> </w:t>
      </w:r>
      <w:r w:rsidRPr="00652613">
        <w:rPr>
          <w:rFonts w:ascii="Tahoma" w:hAnsi="Tahoma" w:cs="Tahoma"/>
        </w:rPr>
        <w:t xml:space="preserve">el </w:t>
      </w:r>
      <w:r w:rsidR="0D2D2F5C" w:rsidRPr="00652613">
        <w:rPr>
          <w:rFonts w:ascii="Tahoma" w:hAnsi="Tahoma" w:cs="Tahoma"/>
        </w:rPr>
        <w:t>1</w:t>
      </w:r>
      <w:r w:rsidRPr="00652613">
        <w:rPr>
          <w:rFonts w:ascii="Tahoma" w:hAnsi="Tahoma" w:cs="Tahoma"/>
        </w:rPr>
        <w:t xml:space="preserve"> de julio de 2020 </w:t>
      </w:r>
      <w:r w:rsidR="00DC16EF" w:rsidRPr="00652613">
        <w:rPr>
          <w:rFonts w:ascii="Tahoma" w:hAnsi="Tahoma" w:cs="Tahoma"/>
        </w:rPr>
        <w:t xml:space="preserve">vencían </w:t>
      </w:r>
      <w:r w:rsidR="00B60C70" w:rsidRPr="00652613">
        <w:rPr>
          <w:rFonts w:ascii="Tahoma" w:hAnsi="Tahoma" w:cs="Tahoma"/>
        </w:rPr>
        <w:t xml:space="preserve">el 1 de septiembre de 2020, inclusive, actuación que efectivamente hizo </w:t>
      </w:r>
      <w:r w:rsidR="00E056D4" w:rsidRPr="00652613">
        <w:rPr>
          <w:rFonts w:ascii="Tahoma" w:hAnsi="Tahoma" w:cs="Tahoma"/>
        </w:rPr>
        <w:t xml:space="preserve">el accionante </w:t>
      </w:r>
      <w:r w:rsidR="00B60C70" w:rsidRPr="00652613">
        <w:rPr>
          <w:rFonts w:ascii="Tahoma" w:hAnsi="Tahoma" w:cs="Tahoma"/>
        </w:rPr>
        <w:t>en esa misma calenda, según se observa en la respectiva acta de reparto</w:t>
      </w:r>
      <w:r w:rsidR="19A71984" w:rsidRPr="00652613">
        <w:rPr>
          <w:rFonts w:ascii="Tahoma" w:hAnsi="Tahoma" w:cs="Tahoma"/>
        </w:rPr>
        <w:t xml:space="preserve"> (ver documento 1, </w:t>
      </w:r>
      <w:r w:rsidR="24416584" w:rsidRPr="00652613">
        <w:rPr>
          <w:rFonts w:ascii="Tahoma" w:hAnsi="Tahoma" w:cs="Tahoma"/>
        </w:rPr>
        <w:t xml:space="preserve">formato JPG, archivo </w:t>
      </w:r>
      <w:r w:rsidR="00F30B43" w:rsidRPr="00652613">
        <w:rPr>
          <w:rFonts w:ascii="Tahoma" w:hAnsi="Tahoma" w:cs="Tahoma"/>
        </w:rPr>
        <w:t>magnético</w:t>
      </w:r>
      <w:r w:rsidR="19A71984" w:rsidRPr="00652613">
        <w:rPr>
          <w:rFonts w:ascii="Tahoma" w:hAnsi="Tahoma" w:cs="Tahoma"/>
        </w:rPr>
        <w:t>)</w:t>
      </w:r>
      <w:r w:rsidR="00B60C70" w:rsidRPr="00652613">
        <w:rPr>
          <w:rFonts w:ascii="Tahoma" w:hAnsi="Tahoma" w:cs="Tahoma"/>
        </w:rPr>
        <w:t xml:space="preserve">, razón por la </w:t>
      </w:r>
      <w:r w:rsidR="006C1E75" w:rsidRPr="00652613">
        <w:rPr>
          <w:rFonts w:ascii="Tahoma" w:hAnsi="Tahoma" w:cs="Tahoma"/>
        </w:rPr>
        <w:t>cual,</w:t>
      </w:r>
      <w:r w:rsidR="00B60C70" w:rsidRPr="00652613">
        <w:rPr>
          <w:rFonts w:ascii="Tahoma" w:hAnsi="Tahoma" w:cs="Tahoma"/>
        </w:rPr>
        <w:t xml:space="preserve"> al ser presentada en tiempo, la acción no prescribió.</w:t>
      </w:r>
    </w:p>
    <w:p w14:paraId="4B28DF80" w14:textId="7A1303C5" w:rsidR="00501A46" w:rsidRPr="00652613" w:rsidRDefault="00501A46" w:rsidP="005C0936">
      <w:pPr>
        <w:spacing w:line="276" w:lineRule="auto"/>
        <w:ind w:right="191" w:firstLine="708"/>
        <w:jc w:val="both"/>
        <w:rPr>
          <w:rFonts w:ascii="Tahoma" w:hAnsi="Tahoma" w:cs="Tahoma"/>
        </w:rPr>
      </w:pPr>
    </w:p>
    <w:p w14:paraId="035A6C41" w14:textId="77777777" w:rsidR="00501A46" w:rsidRPr="00652613" w:rsidRDefault="00E578C9" w:rsidP="005C0936">
      <w:pPr>
        <w:spacing w:line="276" w:lineRule="auto"/>
        <w:ind w:firstLine="708"/>
        <w:jc w:val="both"/>
        <w:rPr>
          <w:rFonts w:ascii="Tahoma" w:hAnsi="Tahoma" w:cs="Tahoma"/>
        </w:rPr>
      </w:pPr>
      <w:r w:rsidRPr="00652613">
        <w:rPr>
          <w:rFonts w:ascii="Tahoma" w:hAnsi="Tahoma" w:cs="Tahoma"/>
        </w:rPr>
        <w:t xml:space="preserve">Conforme </w:t>
      </w:r>
      <w:r w:rsidR="007457AE" w:rsidRPr="00652613">
        <w:rPr>
          <w:rFonts w:ascii="Tahoma" w:hAnsi="Tahoma" w:cs="Tahoma"/>
        </w:rPr>
        <w:t xml:space="preserve">a </w:t>
      </w:r>
      <w:r w:rsidRPr="00652613">
        <w:rPr>
          <w:rFonts w:ascii="Tahoma" w:hAnsi="Tahoma" w:cs="Tahoma"/>
        </w:rPr>
        <w:t xml:space="preserve">lo planteado, en el caso bajo estudio, la decisión adoptada en primer grado se encuentra ajusta a derecho. </w:t>
      </w:r>
    </w:p>
    <w:p w14:paraId="3CDAF27F" w14:textId="77777777" w:rsidR="00501A46" w:rsidRPr="00652613" w:rsidRDefault="00501A46" w:rsidP="005C0936">
      <w:pPr>
        <w:spacing w:line="276" w:lineRule="auto"/>
        <w:ind w:firstLine="708"/>
        <w:jc w:val="both"/>
        <w:rPr>
          <w:rFonts w:ascii="Tahoma" w:hAnsi="Tahoma" w:cs="Tahoma"/>
        </w:rPr>
      </w:pPr>
    </w:p>
    <w:p w14:paraId="10EC3F0E" w14:textId="2950FBF1" w:rsidR="00781434" w:rsidRPr="00652613" w:rsidRDefault="00501A46" w:rsidP="005C0936">
      <w:pPr>
        <w:spacing w:line="276" w:lineRule="auto"/>
        <w:ind w:firstLine="708"/>
        <w:jc w:val="both"/>
        <w:rPr>
          <w:rFonts w:ascii="Tahoma" w:hAnsi="Tahoma" w:cs="Tahoma"/>
        </w:rPr>
      </w:pPr>
      <w:r w:rsidRPr="00652613">
        <w:rPr>
          <w:rFonts w:ascii="Tahoma" w:hAnsi="Tahoma" w:cs="Tahoma"/>
        </w:rPr>
        <w:t>Costas a favor de la parte accionante ante la no prosperidad del recurso presentado por la parte demandada.</w:t>
      </w:r>
    </w:p>
    <w:p w14:paraId="523BBF72" w14:textId="77777777" w:rsidR="00781434" w:rsidRPr="00652613" w:rsidRDefault="00781434" w:rsidP="005C0936">
      <w:pPr>
        <w:spacing w:line="276" w:lineRule="auto"/>
        <w:jc w:val="both"/>
        <w:rPr>
          <w:rFonts w:ascii="Tahoma" w:hAnsi="Tahoma" w:cs="Tahoma"/>
        </w:rPr>
      </w:pPr>
    </w:p>
    <w:p w14:paraId="592C5D91" w14:textId="27086845" w:rsidR="00781434" w:rsidRPr="00652613" w:rsidRDefault="00781434" w:rsidP="005C0936">
      <w:pPr>
        <w:spacing w:line="276" w:lineRule="auto"/>
        <w:ind w:firstLine="708"/>
        <w:jc w:val="both"/>
        <w:rPr>
          <w:rFonts w:ascii="Tahoma" w:hAnsi="Tahoma" w:cs="Tahoma"/>
        </w:rPr>
      </w:pPr>
      <w:r w:rsidRPr="00652613">
        <w:rPr>
          <w:rFonts w:ascii="Tahoma" w:hAnsi="Tahoma" w:cs="Tahoma"/>
        </w:rPr>
        <w:t>En mérito de lo expuesto, el Tribunal Superior del Distrito Judicial de Pereira - Risaralda, Sala Primera de Decisión Laboral,</w:t>
      </w:r>
    </w:p>
    <w:p w14:paraId="160E65C3" w14:textId="77777777" w:rsidR="00781434" w:rsidRPr="00652613" w:rsidRDefault="00781434" w:rsidP="005C0936">
      <w:pPr>
        <w:spacing w:line="276" w:lineRule="auto"/>
        <w:rPr>
          <w:rFonts w:ascii="Tahoma" w:hAnsi="Tahoma" w:cs="Tahoma"/>
        </w:rPr>
      </w:pPr>
    </w:p>
    <w:p w14:paraId="41629466" w14:textId="77777777" w:rsidR="00781434" w:rsidRPr="00652613" w:rsidRDefault="00781434" w:rsidP="005C0936">
      <w:pPr>
        <w:spacing w:line="276" w:lineRule="auto"/>
        <w:jc w:val="center"/>
        <w:rPr>
          <w:rFonts w:ascii="Tahoma" w:hAnsi="Tahoma" w:cs="Tahoma"/>
          <w:b/>
          <w:bCs/>
          <w:lang w:val="es-CO"/>
        </w:rPr>
      </w:pPr>
      <w:r w:rsidRPr="00652613">
        <w:rPr>
          <w:rFonts w:ascii="Tahoma" w:hAnsi="Tahoma" w:cs="Tahoma"/>
          <w:b/>
          <w:bCs/>
        </w:rPr>
        <w:t>R E S U E L V E:</w:t>
      </w:r>
    </w:p>
    <w:p w14:paraId="7DE3ED7C" w14:textId="77777777" w:rsidR="00781434" w:rsidRPr="00652613" w:rsidRDefault="00781434" w:rsidP="005C0936">
      <w:pPr>
        <w:spacing w:line="276" w:lineRule="auto"/>
        <w:rPr>
          <w:rFonts w:ascii="Tahoma" w:hAnsi="Tahoma" w:cs="Tahoma"/>
        </w:rPr>
      </w:pPr>
    </w:p>
    <w:p w14:paraId="7227ED93" w14:textId="36EA5BFE" w:rsidR="00781434" w:rsidRPr="00652613" w:rsidRDefault="00781434" w:rsidP="005C0936">
      <w:pPr>
        <w:widowControl w:val="0"/>
        <w:autoSpaceDE w:val="0"/>
        <w:autoSpaceDN w:val="0"/>
        <w:adjustRightInd w:val="0"/>
        <w:spacing w:line="276" w:lineRule="auto"/>
        <w:ind w:firstLine="709"/>
        <w:jc w:val="both"/>
        <w:rPr>
          <w:rFonts w:ascii="Tahoma" w:hAnsi="Tahoma" w:cs="Tahoma"/>
          <w:lang w:val="es-MX"/>
        </w:rPr>
      </w:pPr>
      <w:r w:rsidRPr="00652613">
        <w:rPr>
          <w:rFonts w:ascii="Tahoma" w:hAnsi="Tahoma" w:cs="Tahoma"/>
          <w:b/>
          <w:bCs/>
          <w:u w:val="single"/>
        </w:rPr>
        <w:t>PRIMERO</w:t>
      </w:r>
      <w:r w:rsidRPr="00652613">
        <w:rPr>
          <w:rFonts w:ascii="Tahoma" w:hAnsi="Tahoma" w:cs="Tahoma"/>
        </w:rPr>
        <w:t xml:space="preserve">.- </w:t>
      </w:r>
      <w:r w:rsidRPr="00652613">
        <w:rPr>
          <w:rFonts w:ascii="Tahoma" w:hAnsi="Tahoma" w:cs="Tahoma"/>
          <w:b/>
          <w:bCs/>
        </w:rPr>
        <w:t xml:space="preserve">CONFIRMAR </w:t>
      </w:r>
      <w:r w:rsidRPr="00652613">
        <w:rPr>
          <w:rFonts w:ascii="Tahoma" w:hAnsi="Tahoma" w:cs="Tahoma"/>
        </w:rPr>
        <w:t xml:space="preserve">en su integridad, el auto apelado por las razones expresadas en la parte motiva de esta decisión. </w:t>
      </w:r>
    </w:p>
    <w:p w14:paraId="292E5963" w14:textId="77777777" w:rsidR="00781434" w:rsidRPr="00652613" w:rsidRDefault="00781434" w:rsidP="005C0936">
      <w:pPr>
        <w:spacing w:line="276" w:lineRule="auto"/>
        <w:rPr>
          <w:rFonts w:ascii="Tahoma" w:hAnsi="Tahoma" w:cs="Tahoma"/>
          <w:lang w:val="es-MX"/>
        </w:rPr>
      </w:pPr>
    </w:p>
    <w:p w14:paraId="10C4FE82" w14:textId="71A472EE" w:rsidR="00781434" w:rsidRPr="00652613" w:rsidRDefault="00781434" w:rsidP="005C0936">
      <w:pPr>
        <w:widowControl w:val="0"/>
        <w:autoSpaceDE w:val="0"/>
        <w:autoSpaceDN w:val="0"/>
        <w:adjustRightInd w:val="0"/>
        <w:spacing w:line="276" w:lineRule="auto"/>
        <w:ind w:firstLine="709"/>
        <w:jc w:val="both"/>
        <w:rPr>
          <w:rFonts w:ascii="Tahoma" w:hAnsi="Tahoma" w:cs="Tahoma"/>
        </w:rPr>
      </w:pPr>
      <w:r w:rsidRPr="00652613">
        <w:rPr>
          <w:rFonts w:ascii="Tahoma" w:hAnsi="Tahoma" w:cs="Tahoma"/>
          <w:b/>
          <w:bCs/>
          <w:u w:val="single"/>
        </w:rPr>
        <w:t>SEGUNDO</w:t>
      </w:r>
      <w:r w:rsidRPr="00652613">
        <w:rPr>
          <w:rFonts w:ascii="Tahoma" w:hAnsi="Tahoma" w:cs="Tahoma"/>
        </w:rPr>
        <w:t xml:space="preserve">.- </w:t>
      </w:r>
      <w:r w:rsidRPr="00652613">
        <w:rPr>
          <w:rFonts w:ascii="Tahoma" w:hAnsi="Tahoma" w:cs="Tahoma"/>
          <w:b/>
          <w:bCs/>
        </w:rPr>
        <w:t>CONDENAR</w:t>
      </w:r>
      <w:r w:rsidRPr="00652613">
        <w:rPr>
          <w:rFonts w:ascii="Tahoma" w:hAnsi="Tahoma" w:cs="Tahoma"/>
        </w:rPr>
        <w:t xml:space="preserve"> en costas de segunda instancia a la parte apelante en favor de la </w:t>
      </w:r>
      <w:r w:rsidR="00501A46" w:rsidRPr="00652613">
        <w:rPr>
          <w:rFonts w:ascii="Tahoma" w:hAnsi="Tahoma" w:cs="Tahoma"/>
        </w:rPr>
        <w:t xml:space="preserve">parte </w:t>
      </w:r>
      <w:r w:rsidRPr="00652613">
        <w:rPr>
          <w:rFonts w:ascii="Tahoma" w:hAnsi="Tahoma" w:cs="Tahoma"/>
        </w:rPr>
        <w:t xml:space="preserve">demandante en un 100%, las cuales se liquidarán en el juzgado de origen. </w:t>
      </w:r>
    </w:p>
    <w:p w14:paraId="0440CEE9" w14:textId="77777777" w:rsidR="00781434" w:rsidRPr="00652613" w:rsidRDefault="00781434" w:rsidP="005C0936">
      <w:pPr>
        <w:spacing w:line="276" w:lineRule="auto"/>
        <w:rPr>
          <w:rFonts w:ascii="Tahoma" w:hAnsi="Tahoma" w:cs="Tahoma"/>
        </w:rPr>
      </w:pPr>
    </w:p>
    <w:p w14:paraId="72202393" w14:textId="77777777" w:rsidR="005C0936" w:rsidRPr="00652613" w:rsidRDefault="005C0936" w:rsidP="005C0936">
      <w:pPr>
        <w:widowControl w:val="0"/>
        <w:autoSpaceDE w:val="0"/>
        <w:autoSpaceDN w:val="0"/>
        <w:adjustRightInd w:val="0"/>
        <w:spacing w:line="276" w:lineRule="auto"/>
        <w:jc w:val="center"/>
        <w:rPr>
          <w:rFonts w:ascii="Tahoma" w:eastAsia="Calibri" w:hAnsi="Tahoma" w:cs="Tahoma"/>
          <w:b/>
          <w:bCs/>
          <w:lang w:eastAsia="en-US"/>
        </w:rPr>
      </w:pPr>
      <w:r w:rsidRPr="00652613">
        <w:rPr>
          <w:rFonts w:ascii="Tahoma" w:eastAsia="Calibri" w:hAnsi="Tahoma" w:cs="Tahoma"/>
          <w:b/>
          <w:bCs/>
          <w:lang w:eastAsia="en-US"/>
        </w:rPr>
        <w:t>NOTIFÍQUESE Y CÚMPLASE</w:t>
      </w:r>
    </w:p>
    <w:p w14:paraId="5601AB7F" w14:textId="77777777" w:rsidR="005C0936" w:rsidRPr="00652613" w:rsidRDefault="005C0936" w:rsidP="005C0936">
      <w:pPr>
        <w:spacing w:line="276" w:lineRule="auto"/>
        <w:ind w:firstLine="708"/>
        <w:jc w:val="both"/>
        <w:rPr>
          <w:rFonts w:ascii="Tahoma" w:eastAsia="Calibri" w:hAnsi="Tahoma" w:cs="Tahoma"/>
          <w:lang w:val="es-ES_tradnl" w:eastAsia="en-US"/>
        </w:rPr>
      </w:pPr>
    </w:p>
    <w:p w14:paraId="191D12F6" w14:textId="0626F8C4" w:rsidR="005C0936" w:rsidRPr="00652613" w:rsidRDefault="00652613" w:rsidP="005C0936">
      <w:pPr>
        <w:spacing w:line="276" w:lineRule="auto"/>
        <w:ind w:firstLine="708"/>
        <w:jc w:val="both"/>
        <w:rPr>
          <w:rFonts w:ascii="Tahoma" w:eastAsia="Calibri" w:hAnsi="Tahoma" w:cs="Tahoma"/>
          <w:lang w:val="es-ES_tradnl" w:eastAsia="en-US"/>
        </w:rPr>
      </w:pPr>
      <w:bookmarkStart w:id="3" w:name="OLE_LINK23"/>
      <w:r w:rsidRPr="00652613">
        <w:rPr>
          <w:rFonts w:ascii="Tahoma" w:eastAsia="Calibri" w:hAnsi="Tahoma" w:cs="Tahoma"/>
          <w:lang w:val="es-ES_tradnl" w:eastAsia="en-US"/>
        </w:rPr>
        <w:t>La Magistrada Ponente,</w:t>
      </w:r>
    </w:p>
    <w:p w14:paraId="75DC28EB" w14:textId="77777777" w:rsidR="005C0936" w:rsidRPr="00652613" w:rsidRDefault="005C0936" w:rsidP="005C0936">
      <w:pPr>
        <w:widowControl w:val="0"/>
        <w:autoSpaceDE w:val="0"/>
        <w:autoSpaceDN w:val="0"/>
        <w:adjustRightInd w:val="0"/>
        <w:spacing w:line="276" w:lineRule="auto"/>
        <w:jc w:val="both"/>
        <w:rPr>
          <w:rFonts w:ascii="Arial" w:eastAsia="Calibri" w:hAnsi="Arial" w:cs="Arial"/>
          <w:bCs/>
          <w:lang w:val="es-ES_tradnl" w:eastAsia="es-ES_tradnl"/>
        </w:rPr>
      </w:pPr>
    </w:p>
    <w:p w14:paraId="1A1AC126" w14:textId="77777777" w:rsidR="005C0936" w:rsidRPr="00652613" w:rsidRDefault="005C0936" w:rsidP="005C0936">
      <w:pPr>
        <w:widowControl w:val="0"/>
        <w:autoSpaceDE w:val="0"/>
        <w:autoSpaceDN w:val="0"/>
        <w:adjustRightInd w:val="0"/>
        <w:spacing w:line="276" w:lineRule="auto"/>
        <w:jc w:val="both"/>
        <w:rPr>
          <w:rFonts w:ascii="Arial" w:eastAsia="Calibri" w:hAnsi="Arial" w:cs="Arial"/>
          <w:bCs/>
          <w:lang w:val="es-ES_tradnl" w:eastAsia="es-ES_tradnl"/>
        </w:rPr>
      </w:pPr>
    </w:p>
    <w:p w14:paraId="0F70995D" w14:textId="77777777" w:rsidR="005C0936" w:rsidRPr="00652613" w:rsidRDefault="005C0936" w:rsidP="005C0936">
      <w:pPr>
        <w:spacing w:line="276" w:lineRule="auto"/>
        <w:ind w:firstLine="705"/>
        <w:jc w:val="center"/>
        <w:textAlignment w:val="baseline"/>
        <w:rPr>
          <w:rFonts w:ascii="Tahoma" w:hAnsi="Tahoma" w:cs="Tahoma"/>
          <w:b/>
          <w:bCs/>
          <w:lang w:val="es-ES_tradnl" w:eastAsia="es-ES_tradnl"/>
        </w:rPr>
      </w:pPr>
      <w:r w:rsidRPr="00652613">
        <w:rPr>
          <w:rFonts w:ascii="Tahoma" w:hAnsi="Tahoma" w:cs="Tahoma"/>
          <w:b/>
          <w:bCs/>
          <w:lang w:val="es-ES_tradnl" w:eastAsia="es-ES_tradnl"/>
        </w:rPr>
        <w:t>ANA LUCÍA CAICEDO CALDERÓN</w:t>
      </w:r>
    </w:p>
    <w:p w14:paraId="6DB82DFE" w14:textId="77777777" w:rsidR="005C0936" w:rsidRPr="00652613" w:rsidRDefault="005C0936" w:rsidP="005C0936">
      <w:pPr>
        <w:widowControl w:val="0"/>
        <w:autoSpaceDE w:val="0"/>
        <w:autoSpaceDN w:val="0"/>
        <w:adjustRightInd w:val="0"/>
        <w:spacing w:line="276" w:lineRule="auto"/>
        <w:jc w:val="both"/>
        <w:rPr>
          <w:rFonts w:ascii="Arial" w:eastAsia="Calibri" w:hAnsi="Arial" w:cs="Arial"/>
          <w:bCs/>
          <w:lang w:val="es-ES_tradnl" w:eastAsia="es-ES_tradnl"/>
        </w:rPr>
      </w:pPr>
    </w:p>
    <w:p w14:paraId="42508589" w14:textId="77777777" w:rsidR="005C0936" w:rsidRPr="00652613" w:rsidRDefault="005C0936" w:rsidP="005C0936">
      <w:pPr>
        <w:spacing w:line="276" w:lineRule="auto"/>
        <w:ind w:firstLine="705"/>
        <w:textAlignment w:val="baseline"/>
        <w:rPr>
          <w:rFonts w:ascii="Tahoma" w:hAnsi="Tahoma" w:cs="Tahoma"/>
          <w:lang w:val="es-ES_tradnl" w:eastAsia="es-ES_tradnl"/>
        </w:rPr>
      </w:pPr>
      <w:r w:rsidRPr="00652613">
        <w:rPr>
          <w:rFonts w:ascii="Tahoma" w:hAnsi="Tahoma" w:cs="Tahoma"/>
          <w:lang w:val="es-ES_tradnl" w:eastAsia="es-ES_tradnl"/>
        </w:rPr>
        <w:t>La Magistrada y el Magistrado,</w:t>
      </w:r>
    </w:p>
    <w:p w14:paraId="261FA101" w14:textId="77777777" w:rsidR="005C0936" w:rsidRPr="00652613" w:rsidRDefault="005C0936" w:rsidP="005C0936">
      <w:pPr>
        <w:widowControl w:val="0"/>
        <w:autoSpaceDE w:val="0"/>
        <w:autoSpaceDN w:val="0"/>
        <w:adjustRightInd w:val="0"/>
        <w:spacing w:line="276" w:lineRule="auto"/>
        <w:jc w:val="both"/>
        <w:rPr>
          <w:rFonts w:ascii="Arial" w:eastAsia="Calibri" w:hAnsi="Arial" w:cs="Arial"/>
          <w:bCs/>
          <w:lang w:val="es-ES_tradnl" w:eastAsia="es-ES_tradnl"/>
        </w:rPr>
      </w:pPr>
    </w:p>
    <w:p w14:paraId="3F55C10D" w14:textId="77777777" w:rsidR="005C0936" w:rsidRPr="00652613" w:rsidRDefault="005C0936" w:rsidP="005C0936">
      <w:pPr>
        <w:widowControl w:val="0"/>
        <w:autoSpaceDE w:val="0"/>
        <w:autoSpaceDN w:val="0"/>
        <w:adjustRightInd w:val="0"/>
        <w:spacing w:line="276" w:lineRule="auto"/>
        <w:jc w:val="both"/>
        <w:rPr>
          <w:rFonts w:ascii="Arial" w:eastAsia="Calibri" w:hAnsi="Arial" w:cs="Arial"/>
          <w:bCs/>
          <w:lang w:val="es-ES_tradnl" w:eastAsia="es-ES_tradnl"/>
        </w:rPr>
      </w:pPr>
      <w:bookmarkStart w:id="4" w:name="_GoBack"/>
      <w:bookmarkEnd w:id="4"/>
    </w:p>
    <w:p w14:paraId="2669C7E5" w14:textId="2CEC3058" w:rsidR="00781434" w:rsidRPr="00652613" w:rsidRDefault="005C0936" w:rsidP="005C0936">
      <w:pPr>
        <w:spacing w:line="276" w:lineRule="auto"/>
        <w:rPr>
          <w:rFonts w:ascii="Tahoma" w:hAnsi="Tahoma" w:cs="Tahoma"/>
        </w:rPr>
      </w:pPr>
      <w:r w:rsidRPr="00652613">
        <w:rPr>
          <w:rFonts w:ascii="Tahoma" w:hAnsi="Tahoma" w:cs="Tahoma"/>
          <w:b/>
          <w:bCs/>
        </w:rPr>
        <w:t>OLGA LUCÍA HOYOS SEPÚLVEDA</w:t>
      </w:r>
      <w:r w:rsidRPr="00652613">
        <w:rPr>
          <w:rFonts w:ascii="Tahoma" w:hAnsi="Tahoma" w:cs="Tahoma"/>
          <w:b/>
          <w:bCs/>
        </w:rPr>
        <w:tab/>
      </w:r>
      <w:r w:rsidRPr="00652613">
        <w:rPr>
          <w:rFonts w:ascii="Tahoma" w:hAnsi="Tahoma" w:cs="Tahoma"/>
          <w:b/>
          <w:bCs/>
        </w:rPr>
        <w:tab/>
        <w:t>JULIO CÉSAR SALAZAR MUÑOZ</w:t>
      </w:r>
      <w:bookmarkEnd w:id="3"/>
    </w:p>
    <w:sectPr w:rsidR="00781434" w:rsidRPr="00652613" w:rsidSect="005C0936">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DF354C" w16cex:dateUtc="2020-10-26T14:50:38.126Z"/>
  <w16cex:commentExtensible w16cex:durableId="6DAE80EA" w16cex:dateUtc="2020-10-26T14:54:52.566Z"/>
  <w16cex:commentExtensible w16cex:durableId="561464FA" w16cex:dateUtc="2020-10-26T14:55:31.416Z"/>
  <w16cex:commentExtensible w16cex:durableId="47DDD579" w16cex:dateUtc="2020-10-26T14:56:00.044Z"/>
  <w16cex:commentExtensible w16cex:durableId="00CA89B7" w16cex:dateUtc="2020-10-26T15:00:07.234Z"/>
  <w16cex:commentExtensible w16cex:durableId="12A8B2FF" w16cex:dateUtc="2020-10-26T15:26:38.441Z"/>
  <w16cex:commentExtensible w16cex:durableId="38F90744" w16cex:dateUtc="2020-10-27T02:44:26.324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466A" w14:textId="77777777" w:rsidR="006B1279" w:rsidRDefault="006B1279" w:rsidP="003C20A4">
      <w:r>
        <w:separator/>
      </w:r>
    </w:p>
  </w:endnote>
  <w:endnote w:type="continuationSeparator" w:id="0">
    <w:p w14:paraId="1AABA314" w14:textId="77777777" w:rsidR="006B1279" w:rsidRDefault="006B1279" w:rsidP="003C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17718" w14:textId="77777777" w:rsidR="006B1279" w:rsidRDefault="006B1279" w:rsidP="003C20A4">
      <w:r>
        <w:separator/>
      </w:r>
    </w:p>
  </w:footnote>
  <w:footnote w:type="continuationSeparator" w:id="0">
    <w:p w14:paraId="4E90E4D5" w14:textId="77777777" w:rsidR="006B1279" w:rsidRDefault="006B1279" w:rsidP="003C20A4">
      <w:r>
        <w:continuationSeparator/>
      </w:r>
    </w:p>
  </w:footnote>
  <w:footnote w:id="1">
    <w:p w14:paraId="0F517899" w14:textId="20149BCF" w:rsidR="003C607B" w:rsidRPr="003C20A4" w:rsidRDefault="003C607B">
      <w:pPr>
        <w:pStyle w:val="Textonotapie"/>
        <w:rPr>
          <w:rFonts w:ascii="Tahoma" w:hAnsi="Tahoma" w:cs="Tahoma"/>
          <w:sz w:val="16"/>
          <w:szCs w:val="16"/>
          <w:lang w:val="es-419"/>
        </w:rPr>
      </w:pPr>
      <w:r w:rsidRPr="003C20A4">
        <w:rPr>
          <w:rStyle w:val="Refdenotaalpie"/>
          <w:rFonts w:ascii="Tahoma" w:hAnsi="Tahoma" w:cs="Tahoma"/>
          <w:sz w:val="16"/>
          <w:szCs w:val="16"/>
        </w:rPr>
        <w:footnoteRef/>
      </w:r>
      <w:r w:rsidRPr="003C20A4">
        <w:rPr>
          <w:rFonts w:ascii="Tahoma" w:hAnsi="Tahoma" w:cs="Tahoma"/>
          <w:sz w:val="16"/>
          <w:szCs w:val="16"/>
        </w:rPr>
        <w:t xml:space="preserve"> </w:t>
      </w:r>
      <w:r w:rsidRPr="003C20A4">
        <w:rPr>
          <w:rFonts w:ascii="Tahoma" w:hAnsi="Tahoma" w:cs="Tahoma"/>
          <w:sz w:val="16"/>
          <w:szCs w:val="16"/>
          <w:lang w:val="es-419"/>
        </w:rPr>
        <w:t>Sala Laboral, Tribunal Superior de Pereira. Mg. Dr.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E17D3" w14:textId="0797F2B8" w:rsidR="003C607B" w:rsidRPr="005C0936" w:rsidRDefault="003C607B" w:rsidP="005C0936">
    <w:pPr>
      <w:tabs>
        <w:tab w:val="left" w:pos="1701"/>
      </w:tabs>
      <w:jc w:val="both"/>
      <w:rPr>
        <w:rFonts w:ascii="Arial" w:hAnsi="Arial" w:cs="Arial"/>
        <w:sz w:val="18"/>
        <w:szCs w:val="16"/>
        <w:lang w:val="es-419"/>
      </w:rPr>
    </w:pPr>
    <w:r w:rsidRPr="005C0936">
      <w:rPr>
        <w:rFonts w:ascii="Arial" w:hAnsi="Arial" w:cs="Arial"/>
        <w:sz w:val="18"/>
        <w:szCs w:val="16"/>
        <w:lang w:val="es-419"/>
      </w:rPr>
      <w:t>Radicación No.:</w:t>
    </w:r>
    <w:r w:rsidRPr="005C0936">
      <w:rPr>
        <w:rFonts w:ascii="Arial" w:hAnsi="Arial" w:cs="Arial"/>
        <w:sz w:val="18"/>
        <w:szCs w:val="16"/>
        <w:lang w:val="es-419"/>
      </w:rPr>
      <w:tab/>
      <w:t>660013105</w:t>
    </w:r>
    <w:r>
      <w:rPr>
        <w:rFonts w:ascii="Arial" w:hAnsi="Arial" w:cs="Arial"/>
        <w:sz w:val="18"/>
        <w:szCs w:val="16"/>
        <w:lang w:val="es-419"/>
      </w:rPr>
      <w:t>-</w:t>
    </w:r>
    <w:r w:rsidRPr="005C0936">
      <w:rPr>
        <w:rFonts w:ascii="Arial" w:hAnsi="Arial" w:cs="Arial"/>
        <w:sz w:val="18"/>
        <w:szCs w:val="16"/>
        <w:lang w:val="es-419"/>
      </w:rPr>
      <w:t>004-2020-00206-01</w:t>
    </w:r>
  </w:p>
  <w:p w14:paraId="7024B644" w14:textId="7BD54827" w:rsidR="003C607B" w:rsidRPr="005C0936" w:rsidRDefault="003C607B" w:rsidP="005C0936">
    <w:pPr>
      <w:tabs>
        <w:tab w:val="left" w:pos="1701"/>
      </w:tabs>
      <w:jc w:val="both"/>
      <w:rPr>
        <w:rFonts w:ascii="Arial" w:hAnsi="Arial" w:cs="Arial"/>
        <w:sz w:val="18"/>
        <w:szCs w:val="16"/>
        <w:lang w:val="es-419"/>
      </w:rPr>
    </w:pPr>
    <w:r w:rsidRPr="005C0936">
      <w:rPr>
        <w:rFonts w:ascii="Arial" w:hAnsi="Arial" w:cs="Arial"/>
        <w:sz w:val="18"/>
        <w:szCs w:val="16"/>
        <w:lang w:val="es-419"/>
      </w:rPr>
      <w:t xml:space="preserve">Demandante: </w:t>
    </w:r>
    <w:r w:rsidRPr="005C0936">
      <w:rPr>
        <w:rFonts w:ascii="Arial" w:hAnsi="Arial" w:cs="Arial"/>
        <w:sz w:val="18"/>
        <w:szCs w:val="16"/>
        <w:lang w:val="es-419"/>
      </w:rPr>
      <w:tab/>
      <w:t>Wilder Fabian Marín Albarracin</w:t>
    </w:r>
  </w:p>
  <w:p w14:paraId="6072BA9C" w14:textId="68554519" w:rsidR="003C607B" w:rsidRPr="005C0936" w:rsidRDefault="003C607B" w:rsidP="005C0936">
    <w:pPr>
      <w:tabs>
        <w:tab w:val="left" w:pos="1701"/>
      </w:tabs>
      <w:jc w:val="both"/>
      <w:rPr>
        <w:rFonts w:ascii="Arial" w:hAnsi="Arial" w:cs="Arial"/>
        <w:sz w:val="18"/>
        <w:szCs w:val="16"/>
        <w:lang w:val="es-419"/>
      </w:rPr>
    </w:pPr>
    <w:r w:rsidRPr="005C0936">
      <w:rPr>
        <w:rFonts w:ascii="Arial" w:hAnsi="Arial" w:cs="Arial"/>
        <w:sz w:val="18"/>
        <w:szCs w:val="16"/>
        <w:lang w:val="es-419"/>
      </w:rPr>
      <w:t xml:space="preserve">Demandado: </w:t>
    </w:r>
    <w:r w:rsidRPr="005C0936">
      <w:rPr>
        <w:rFonts w:ascii="Arial" w:hAnsi="Arial" w:cs="Arial"/>
        <w:sz w:val="18"/>
        <w:szCs w:val="16"/>
        <w:lang w:val="es-419"/>
      </w:rPr>
      <w:tab/>
      <w:t>Prosegur de Colombia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B18"/>
    <w:multiLevelType w:val="hybridMultilevel"/>
    <w:tmpl w:val="5800947E"/>
    <w:lvl w:ilvl="0" w:tplc="54BE7FC8">
      <w:start w:val="1"/>
      <w:numFmt w:val="decimal"/>
      <w:lvlText w:val="%1."/>
      <w:lvlJc w:val="left"/>
      <w:pPr>
        <w:ind w:left="720" w:hanging="360"/>
      </w:pPr>
    </w:lvl>
    <w:lvl w:ilvl="1" w:tplc="82D80B60">
      <w:start w:val="1"/>
      <w:numFmt w:val="lowerLetter"/>
      <w:lvlText w:val="%2."/>
      <w:lvlJc w:val="left"/>
      <w:pPr>
        <w:ind w:left="1440" w:hanging="360"/>
      </w:pPr>
    </w:lvl>
    <w:lvl w:ilvl="2" w:tplc="A6A8198C">
      <w:start w:val="1"/>
      <w:numFmt w:val="lowerRoman"/>
      <w:lvlText w:val="%3."/>
      <w:lvlJc w:val="right"/>
      <w:pPr>
        <w:ind w:left="2160" w:hanging="180"/>
      </w:pPr>
    </w:lvl>
    <w:lvl w:ilvl="3" w:tplc="58AACF56">
      <w:start w:val="1"/>
      <w:numFmt w:val="decimal"/>
      <w:lvlText w:val="%4."/>
      <w:lvlJc w:val="left"/>
      <w:pPr>
        <w:ind w:left="2880" w:hanging="360"/>
      </w:pPr>
    </w:lvl>
    <w:lvl w:ilvl="4" w:tplc="C48CD488">
      <w:start w:val="1"/>
      <w:numFmt w:val="lowerLetter"/>
      <w:lvlText w:val="%5."/>
      <w:lvlJc w:val="left"/>
      <w:pPr>
        <w:ind w:left="3600" w:hanging="360"/>
      </w:pPr>
    </w:lvl>
    <w:lvl w:ilvl="5" w:tplc="137E3676">
      <w:start w:val="1"/>
      <w:numFmt w:val="lowerRoman"/>
      <w:lvlText w:val="%6."/>
      <w:lvlJc w:val="right"/>
      <w:pPr>
        <w:ind w:left="4320" w:hanging="180"/>
      </w:pPr>
    </w:lvl>
    <w:lvl w:ilvl="6" w:tplc="C81C64B8">
      <w:start w:val="1"/>
      <w:numFmt w:val="decimal"/>
      <w:lvlText w:val="%7."/>
      <w:lvlJc w:val="left"/>
      <w:pPr>
        <w:ind w:left="5040" w:hanging="360"/>
      </w:pPr>
    </w:lvl>
    <w:lvl w:ilvl="7" w:tplc="58C05286">
      <w:start w:val="1"/>
      <w:numFmt w:val="lowerLetter"/>
      <w:lvlText w:val="%8."/>
      <w:lvlJc w:val="left"/>
      <w:pPr>
        <w:ind w:left="5760" w:hanging="360"/>
      </w:pPr>
    </w:lvl>
    <w:lvl w:ilvl="8" w:tplc="57105E14">
      <w:start w:val="1"/>
      <w:numFmt w:val="lowerRoman"/>
      <w:lvlText w:val="%9."/>
      <w:lvlJc w:val="right"/>
      <w:pPr>
        <w:ind w:left="6480" w:hanging="180"/>
      </w:pPr>
    </w:lvl>
  </w:abstractNum>
  <w:abstractNum w:abstractNumId="1">
    <w:nsid w:val="08F95D75"/>
    <w:multiLevelType w:val="hybridMultilevel"/>
    <w:tmpl w:val="384400F2"/>
    <w:lvl w:ilvl="0" w:tplc="CA8E393E">
      <w:start w:val="1"/>
      <w:numFmt w:val="decimal"/>
      <w:lvlText w:val="%1."/>
      <w:lvlJc w:val="left"/>
      <w:pPr>
        <w:ind w:left="720" w:firstLine="360"/>
      </w:pPr>
      <w:rPr>
        <w:rFonts w:cs="Times New Roman"/>
        <w:b w:val="0"/>
        <w:i w:val="0"/>
        <w:sz w:val="28"/>
        <w:szCs w:val="28"/>
        <w:vertAlign w:val="baseline"/>
      </w:rPr>
    </w:lvl>
    <w:lvl w:ilvl="1" w:tplc="65A62354">
      <w:start w:val="1"/>
      <w:numFmt w:val="lowerLetter"/>
      <w:lvlText w:val="%2."/>
      <w:lvlJc w:val="left"/>
      <w:pPr>
        <w:ind w:left="1440" w:firstLine="1080"/>
      </w:pPr>
      <w:rPr>
        <w:rFonts w:cs="Times New Roman"/>
        <w:vertAlign w:val="baseline"/>
      </w:rPr>
    </w:lvl>
    <w:lvl w:ilvl="2" w:tplc="9504233A">
      <w:start w:val="1"/>
      <w:numFmt w:val="lowerRoman"/>
      <w:lvlText w:val="%3."/>
      <w:lvlJc w:val="right"/>
      <w:pPr>
        <w:ind w:left="2160" w:firstLine="1980"/>
      </w:pPr>
      <w:rPr>
        <w:rFonts w:cs="Times New Roman"/>
        <w:vertAlign w:val="baseline"/>
      </w:rPr>
    </w:lvl>
    <w:lvl w:ilvl="3" w:tplc="DC068812">
      <w:start w:val="1"/>
      <w:numFmt w:val="decimal"/>
      <w:lvlText w:val="%4."/>
      <w:lvlJc w:val="left"/>
      <w:pPr>
        <w:ind w:left="2880" w:firstLine="2520"/>
      </w:pPr>
      <w:rPr>
        <w:rFonts w:cs="Times New Roman"/>
        <w:vertAlign w:val="baseline"/>
      </w:rPr>
    </w:lvl>
    <w:lvl w:ilvl="4" w:tplc="9650F94E">
      <w:start w:val="1"/>
      <w:numFmt w:val="lowerLetter"/>
      <w:lvlText w:val="%5."/>
      <w:lvlJc w:val="left"/>
      <w:pPr>
        <w:ind w:left="3600" w:firstLine="3240"/>
      </w:pPr>
      <w:rPr>
        <w:rFonts w:cs="Times New Roman"/>
        <w:vertAlign w:val="baseline"/>
      </w:rPr>
    </w:lvl>
    <w:lvl w:ilvl="5" w:tplc="AD0AE028">
      <w:start w:val="1"/>
      <w:numFmt w:val="lowerRoman"/>
      <w:lvlText w:val="%6."/>
      <w:lvlJc w:val="right"/>
      <w:pPr>
        <w:ind w:left="4320" w:firstLine="4140"/>
      </w:pPr>
      <w:rPr>
        <w:rFonts w:cs="Times New Roman"/>
        <w:vertAlign w:val="baseline"/>
      </w:rPr>
    </w:lvl>
    <w:lvl w:ilvl="6" w:tplc="E224189C">
      <w:start w:val="1"/>
      <w:numFmt w:val="decimal"/>
      <w:lvlText w:val="%7."/>
      <w:lvlJc w:val="left"/>
      <w:pPr>
        <w:ind w:left="5040" w:firstLine="4680"/>
      </w:pPr>
      <w:rPr>
        <w:rFonts w:cs="Times New Roman"/>
        <w:vertAlign w:val="baseline"/>
      </w:rPr>
    </w:lvl>
    <w:lvl w:ilvl="7" w:tplc="5A66863E">
      <w:start w:val="1"/>
      <w:numFmt w:val="lowerLetter"/>
      <w:lvlText w:val="%8."/>
      <w:lvlJc w:val="left"/>
      <w:pPr>
        <w:ind w:left="5760" w:firstLine="5400"/>
      </w:pPr>
      <w:rPr>
        <w:rFonts w:cs="Times New Roman"/>
        <w:vertAlign w:val="baseline"/>
      </w:rPr>
    </w:lvl>
    <w:lvl w:ilvl="8" w:tplc="9B627F98">
      <w:start w:val="1"/>
      <w:numFmt w:val="lowerRoman"/>
      <w:lvlText w:val="%9."/>
      <w:lvlJc w:val="right"/>
      <w:pPr>
        <w:ind w:left="6480" w:firstLine="6300"/>
      </w:pPr>
      <w:rPr>
        <w:rFonts w:cs="Times New Roman"/>
        <w:vertAlign w:val="baseline"/>
      </w:rPr>
    </w:lvl>
  </w:abstractNum>
  <w:abstractNum w:abstractNumId="2">
    <w:nsid w:val="0D674F22"/>
    <w:multiLevelType w:val="hybridMultilevel"/>
    <w:tmpl w:val="640A3088"/>
    <w:lvl w:ilvl="0" w:tplc="C3CE5ABC">
      <w:start w:val="1"/>
      <w:numFmt w:val="decimal"/>
      <w:lvlText w:val="%1."/>
      <w:lvlJc w:val="lef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3">
    <w:nsid w:val="22067A01"/>
    <w:multiLevelType w:val="multilevel"/>
    <w:tmpl w:val="DF44C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25637724"/>
    <w:multiLevelType w:val="hybridMultilevel"/>
    <w:tmpl w:val="DC96E9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413321"/>
    <w:multiLevelType w:val="multilevel"/>
    <w:tmpl w:val="DF44C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67852E1"/>
    <w:multiLevelType w:val="multilevel"/>
    <w:tmpl w:val="DF44C5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3F5E2DA2"/>
    <w:multiLevelType w:val="multilevel"/>
    <w:tmpl w:val="A6D6F9E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427E2DDA"/>
    <w:multiLevelType w:val="multilevel"/>
    <w:tmpl w:val="0EA880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4845508D"/>
    <w:multiLevelType w:val="hybridMultilevel"/>
    <w:tmpl w:val="D3829EA6"/>
    <w:lvl w:ilvl="0" w:tplc="240A000F">
      <w:start w:val="1"/>
      <w:numFmt w:val="decimal"/>
      <w:lvlText w:val="%1."/>
      <w:lvlJc w:val="left"/>
      <w:pPr>
        <w:ind w:left="1429" w:hanging="360"/>
      </w:pPr>
    </w:lvl>
    <w:lvl w:ilvl="1" w:tplc="240A0019">
      <w:start w:val="1"/>
      <w:numFmt w:val="lowerLetter"/>
      <w:lvlText w:val="%2."/>
      <w:lvlJc w:val="left"/>
      <w:pPr>
        <w:ind w:left="2149" w:hanging="360"/>
      </w:pPr>
    </w:lvl>
    <w:lvl w:ilvl="2" w:tplc="240A001B">
      <w:start w:val="1"/>
      <w:numFmt w:val="lowerRoman"/>
      <w:lvlText w:val="%3."/>
      <w:lvlJc w:val="right"/>
      <w:pPr>
        <w:ind w:left="2869" w:hanging="180"/>
      </w:pPr>
    </w:lvl>
    <w:lvl w:ilvl="3" w:tplc="240A000F">
      <w:start w:val="1"/>
      <w:numFmt w:val="decimal"/>
      <w:lvlText w:val="%4."/>
      <w:lvlJc w:val="left"/>
      <w:pPr>
        <w:ind w:left="3589" w:hanging="360"/>
      </w:pPr>
    </w:lvl>
    <w:lvl w:ilvl="4" w:tplc="240A0019">
      <w:start w:val="1"/>
      <w:numFmt w:val="lowerLetter"/>
      <w:lvlText w:val="%5."/>
      <w:lvlJc w:val="left"/>
      <w:pPr>
        <w:ind w:left="4309" w:hanging="360"/>
      </w:pPr>
    </w:lvl>
    <w:lvl w:ilvl="5" w:tplc="240A001B">
      <w:start w:val="1"/>
      <w:numFmt w:val="lowerRoman"/>
      <w:lvlText w:val="%6."/>
      <w:lvlJc w:val="right"/>
      <w:pPr>
        <w:ind w:left="5029" w:hanging="180"/>
      </w:pPr>
    </w:lvl>
    <w:lvl w:ilvl="6" w:tplc="240A000F">
      <w:start w:val="1"/>
      <w:numFmt w:val="decimal"/>
      <w:lvlText w:val="%7."/>
      <w:lvlJc w:val="left"/>
      <w:pPr>
        <w:ind w:left="5749" w:hanging="360"/>
      </w:pPr>
    </w:lvl>
    <w:lvl w:ilvl="7" w:tplc="240A0019">
      <w:start w:val="1"/>
      <w:numFmt w:val="lowerLetter"/>
      <w:lvlText w:val="%8."/>
      <w:lvlJc w:val="left"/>
      <w:pPr>
        <w:ind w:left="6469" w:hanging="360"/>
      </w:pPr>
    </w:lvl>
    <w:lvl w:ilvl="8" w:tplc="240A001B">
      <w:start w:val="1"/>
      <w:numFmt w:val="lowerRoman"/>
      <w:lvlText w:val="%9."/>
      <w:lvlJc w:val="right"/>
      <w:pPr>
        <w:ind w:left="7189" w:hanging="180"/>
      </w:pPr>
    </w:lvl>
  </w:abstractNum>
  <w:abstractNum w:abstractNumId="10">
    <w:nsid w:val="71522C40"/>
    <w:multiLevelType w:val="hybridMultilevel"/>
    <w:tmpl w:val="EE96A472"/>
    <w:lvl w:ilvl="0" w:tplc="066CE13A">
      <w:start w:val="1"/>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nsid w:val="79ED53E1"/>
    <w:multiLevelType w:val="hybridMultilevel"/>
    <w:tmpl w:val="FE049250"/>
    <w:lvl w:ilvl="0" w:tplc="91C82AC4">
      <w:start w:val="1"/>
      <w:numFmt w:val="decimal"/>
      <w:lvlText w:val="%1."/>
      <w:lvlJc w:val="left"/>
      <w:pPr>
        <w:ind w:left="1068" w:hanging="36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2">
    <w:nsid w:val="7A265998"/>
    <w:multiLevelType w:val="hybridMultilevel"/>
    <w:tmpl w:val="5C165052"/>
    <w:lvl w:ilvl="0" w:tplc="61FEE57C">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3">
    <w:nsid w:val="7F497A89"/>
    <w:multiLevelType w:val="multilevel"/>
    <w:tmpl w:val="07F835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5"/>
  </w:num>
  <w:num w:numId="3">
    <w:abstractNumId w:val="3"/>
  </w:num>
  <w:num w:numId="4">
    <w:abstractNumId w:val="13"/>
  </w:num>
  <w:num w:numId="5">
    <w:abstractNumId w:val="8"/>
  </w:num>
  <w:num w:numId="6">
    <w:abstractNumId w:val="6"/>
  </w:num>
  <w:num w:numId="7">
    <w:abstractNumId w:val="10"/>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D6"/>
    <w:rsid w:val="0007470B"/>
    <w:rsid w:val="00097952"/>
    <w:rsid w:val="000D6FD4"/>
    <w:rsid w:val="001249F9"/>
    <w:rsid w:val="00191FDD"/>
    <w:rsid w:val="00207B77"/>
    <w:rsid w:val="00221D27"/>
    <w:rsid w:val="00263F16"/>
    <w:rsid w:val="002E4F34"/>
    <w:rsid w:val="00331509"/>
    <w:rsid w:val="00332C9E"/>
    <w:rsid w:val="00371518"/>
    <w:rsid w:val="00384BA7"/>
    <w:rsid w:val="0038591C"/>
    <w:rsid w:val="003C11CA"/>
    <w:rsid w:val="003C20A4"/>
    <w:rsid w:val="003C607B"/>
    <w:rsid w:val="00424C67"/>
    <w:rsid w:val="004624A2"/>
    <w:rsid w:val="004F29B8"/>
    <w:rsid w:val="00501A46"/>
    <w:rsid w:val="00564CF1"/>
    <w:rsid w:val="005C0936"/>
    <w:rsid w:val="005F23C2"/>
    <w:rsid w:val="00624C57"/>
    <w:rsid w:val="00652613"/>
    <w:rsid w:val="006B1279"/>
    <w:rsid w:val="006B15DD"/>
    <w:rsid w:val="006B230E"/>
    <w:rsid w:val="006C1E75"/>
    <w:rsid w:val="006D663A"/>
    <w:rsid w:val="006D7F0F"/>
    <w:rsid w:val="006E01C8"/>
    <w:rsid w:val="006E53B9"/>
    <w:rsid w:val="00711FFB"/>
    <w:rsid w:val="007457AE"/>
    <w:rsid w:val="00781434"/>
    <w:rsid w:val="007A4777"/>
    <w:rsid w:val="008142F9"/>
    <w:rsid w:val="00853783"/>
    <w:rsid w:val="0090148A"/>
    <w:rsid w:val="00994CED"/>
    <w:rsid w:val="00A23D9A"/>
    <w:rsid w:val="00A64009"/>
    <w:rsid w:val="00AD09D6"/>
    <w:rsid w:val="00AD1232"/>
    <w:rsid w:val="00AF1C1B"/>
    <w:rsid w:val="00B11248"/>
    <w:rsid w:val="00B363CC"/>
    <w:rsid w:val="00B60C70"/>
    <w:rsid w:val="00B72BB3"/>
    <w:rsid w:val="00B97BB1"/>
    <w:rsid w:val="00BE0032"/>
    <w:rsid w:val="00BE578E"/>
    <w:rsid w:val="00C1003F"/>
    <w:rsid w:val="00CF7A7A"/>
    <w:rsid w:val="00D21A19"/>
    <w:rsid w:val="00D31CFA"/>
    <w:rsid w:val="00D4012F"/>
    <w:rsid w:val="00DB7BDC"/>
    <w:rsid w:val="00DC16EF"/>
    <w:rsid w:val="00DC3ACE"/>
    <w:rsid w:val="00DD4170"/>
    <w:rsid w:val="00E056D4"/>
    <w:rsid w:val="00E578C9"/>
    <w:rsid w:val="00E67E91"/>
    <w:rsid w:val="00E730B0"/>
    <w:rsid w:val="00E9545C"/>
    <w:rsid w:val="00F21E79"/>
    <w:rsid w:val="00F30B43"/>
    <w:rsid w:val="00F361A1"/>
    <w:rsid w:val="00FC0F96"/>
    <w:rsid w:val="00FF79F4"/>
    <w:rsid w:val="0A761B95"/>
    <w:rsid w:val="0A7AFE67"/>
    <w:rsid w:val="0D2D2F5C"/>
    <w:rsid w:val="0D99932F"/>
    <w:rsid w:val="0FA5309F"/>
    <w:rsid w:val="10A4D961"/>
    <w:rsid w:val="12ECC28A"/>
    <w:rsid w:val="151F6F6D"/>
    <w:rsid w:val="156CC439"/>
    <w:rsid w:val="1765A273"/>
    <w:rsid w:val="19A71984"/>
    <w:rsid w:val="1A1AA3D8"/>
    <w:rsid w:val="1EB65B85"/>
    <w:rsid w:val="23FE7B0D"/>
    <w:rsid w:val="24416584"/>
    <w:rsid w:val="4B940D4B"/>
    <w:rsid w:val="4C75E4DD"/>
    <w:rsid w:val="5969EF4E"/>
    <w:rsid w:val="5EEE742A"/>
    <w:rsid w:val="603834C6"/>
    <w:rsid w:val="6285175F"/>
    <w:rsid w:val="66F19CA9"/>
    <w:rsid w:val="6D833CD3"/>
    <w:rsid w:val="740C6B45"/>
    <w:rsid w:val="78F648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D6"/>
    <w:pPr>
      <w:jc w:val="left"/>
    </w:pPr>
    <w:rPr>
      <w:rFonts w:ascii="Times New Roman" w:eastAsia="Times New Roman" w:hAnsi="Times New Roman" w:cs="Times New Roman"/>
      <w:szCs w:val="24"/>
      <w:lang w:val="es-ES" w:eastAsia="es-ES"/>
    </w:rPr>
  </w:style>
  <w:style w:type="paragraph" w:styleId="Ttulo4">
    <w:name w:val="heading 4"/>
    <w:basedOn w:val="Normal"/>
    <w:next w:val="Normal"/>
    <w:link w:val="Ttulo4Car"/>
    <w:qFormat/>
    <w:rsid w:val="00AD09D6"/>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09D6"/>
    <w:pPr>
      <w:widowControl w:val="0"/>
      <w:spacing w:line="360" w:lineRule="auto"/>
      <w:jc w:val="both"/>
    </w:pPr>
    <w:rPr>
      <w:rFonts w:ascii="Arial" w:hAnsi="Arial"/>
      <w:i/>
      <w:snapToGrid w:val="0"/>
      <w:sz w:val="28"/>
      <w:szCs w:val="20"/>
    </w:rPr>
  </w:style>
  <w:style w:type="character" w:customStyle="1" w:styleId="TextoindependienteCar">
    <w:name w:val="Texto independiente Car"/>
    <w:basedOn w:val="Fuentedeprrafopredeter"/>
    <w:link w:val="Textoindependiente"/>
    <w:rsid w:val="00AD09D6"/>
    <w:rPr>
      <w:rFonts w:ascii="Arial" w:eastAsia="Times New Roman" w:hAnsi="Arial" w:cs="Times New Roman"/>
      <w:i/>
      <w:snapToGrid w:val="0"/>
      <w:sz w:val="28"/>
      <w:szCs w:val="20"/>
      <w:lang w:val="es-ES" w:eastAsia="es-ES"/>
    </w:rPr>
  </w:style>
  <w:style w:type="character" w:customStyle="1" w:styleId="Ttulo4Car">
    <w:name w:val="Título 4 Car"/>
    <w:basedOn w:val="Fuentedeprrafopredeter"/>
    <w:link w:val="Ttulo4"/>
    <w:rsid w:val="00AD09D6"/>
    <w:rPr>
      <w:rFonts w:ascii="Times New Roman" w:eastAsia="Times New Roman" w:hAnsi="Times New Roman" w:cs="Times New Roman"/>
      <w:b/>
      <w:szCs w:val="20"/>
      <w:lang w:val="es-ES" w:eastAsia="es-ES"/>
    </w:rPr>
  </w:style>
  <w:style w:type="paragraph" w:styleId="Encabezado">
    <w:name w:val="header"/>
    <w:basedOn w:val="Normal"/>
    <w:link w:val="EncabezadoCar"/>
    <w:uiPriority w:val="99"/>
    <w:unhideWhenUsed/>
    <w:rsid w:val="00AF1C1B"/>
    <w:pPr>
      <w:tabs>
        <w:tab w:val="center" w:pos="4419"/>
        <w:tab w:val="right" w:pos="8838"/>
      </w:tabs>
      <w:ind w:left="993" w:hanging="709"/>
    </w:pPr>
    <w:rPr>
      <w:rFonts w:ascii="Arial Narrow" w:eastAsiaTheme="minorHAnsi" w:hAnsi="Arial Narrow" w:cs="Arial"/>
      <w:sz w:val="28"/>
      <w:lang w:val="es-CO" w:eastAsia="en-US"/>
    </w:rPr>
  </w:style>
  <w:style w:type="character" w:customStyle="1" w:styleId="EncabezadoCar">
    <w:name w:val="Encabezado Car"/>
    <w:basedOn w:val="Fuentedeprrafopredeter"/>
    <w:link w:val="Encabezado"/>
    <w:uiPriority w:val="99"/>
    <w:rsid w:val="00AF1C1B"/>
    <w:rPr>
      <w:rFonts w:ascii="Arial Narrow" w:hAnsi="Arial Narrow" w:cs="Arial"/>
      <w:sz w:val="28"/>
      <w:szCs w:val="24"/>
    </w:rPr>
  </w:style>
  <w:style w:type="paragraph" w:styleId="Prrafodelista">
    <w:name w:val="List Paragraph"/>
    <w:basedOn w:val="Normal"/>
    <w:uiPriority w:val="1"/>
    <w:qFormat/>
    <w:rsid w:val="00B72BB3"/>
    <w:pPr>
      <w:ind w:left="720"/>
      <w:contextualSpacing/>
    </w:pPr>
  </w:style>
  <w:style w:type="paragraph" w:styleId="Textonotapie">
    <w:name w:val="footnote text"/>
    <w:basedOn w:val="Normal"/>
    <w:link w:val="TextonotapieCar"/>
    <w:uiPriority w:val="99"/>
    <w:semiHidden/>
    <w:unhideWhenUsed/>
    <w:rsid w:val="003C20A4"/>
    <w:rPr>
      <w:sz w:val="20"/>
      <w:szCs w:val="20"/>
    </w:rPr>
  </w:style>
  <w:style w:type="character" w:customStyle="1" w:styleId="TextonotapieCar">
    <w:name w:val="Texto nota pie Car"/>
    <w:basedOn w:val="Fuentedeprrafopredeter"/>
    <w:link w:val="Textonotapie"/>
    <w:uiPriority w:val="99"/>
    <w:semiHidden/>
    <w:rsid w:val="003C20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C20A4"/>
    <w:rPr>
      <w:vertAlign w:val="superscript"/>
    </w:rPr>
  </w:style>
  <w:style w:type="character" w:customStyle="1" w:styleId="fontstyle01">
    <w:name w:val="fontstyle01"/>
    <w:basedOn w:val="Fuentedeprrafopredeter"/>
    <w:rsid w:val="00B97BB1"/>
    <w:rPr>
      <w:rFonts w:ascii="ArialMT" w:hAnsi="ArialMT" w:hint="default"/>
      <w:b w:val="0"/>
      <w:bCs w:val="0"/>
      <w:i w:val="0"/>
      <w:iCs w:val="0"/>
      <w:color w:val="000000"/>
      <w:sz w:val="18"/>
      <w:szCs w:val="18"/>
    </w:rPr>
  </w:style>
  <w:style w:type="character" w:customStyle="1" w:styleId="SinespaciadoCar">
    <w:name w:val="Sin espaciado Car"/>
    <w:link w:val="Sinespaciado"/>
    <w:uiPriority w:val="1"/>
    <w:locked/>
    <w:rsid w:val="00781434"/>
  </w:style>
  <w:style w:type="paragraph" w:styleId="Sinespaciado">
    <w:name w:val="No Spacing"/>
    <w:link w:val="SinespaciadoCar"/>
    <w:uiPriority w:val="1"/>
    <w:qFormat/>
    <w:rsid w:val="00781434"/>
    <w:pPr>
      <w:jc w:val="left"/>
    </w:pPr>
  </w:style>
  <w:style w:type="paragraph" w:customStyle="1" w:styleId="Prrafodelista2">
    <w:name w:val="Párrafo de lista2"/>
    <w:basedOn w:val="Normal"/>
    <w:rsid w:val="00781434"/>
    <w:pPr>
      <w:spacing w:after="200" w:line="276" w:lineRule="auto"/>
      <w:ind w:left="720"/>
      <w:contextualSpacing/>
    </w:pPr>
    <w:rPr>
      <w:rFonts w:ascii="Calibri" w:hAnsi="Calibri"/>
      <w:sz w:val="22"/>
      <w:szCs w:val="22"/>
      <w:lang w:val="es-CO" w:eastAsia="en-US"/>
    </w:rPr>
  </w:style>
  <w:style w:type="paragraph" w:styleId="Piedepgina">
    <w:name w:val="footer"/>
    <w:basedOn w:val="Normal"/>
    <w:link w:val="PiedepginaCar"/>
    <w:uiPriority w:val="99"/>
    <w:unhideWhenUsed/>
    <w:rsid w:val="00B11248"/>
    <w:pPr>
      <w:tabs>
        <w:tab w:val="center" w:pos="4419"/>
        <w:tab w:val="right" w:pos="8838"/>
      </w:tabs>
    </w:pPr>
  </w:style>
  <w:style w:type="character" w:customStyle="1" w:styleId="PiedepginaCar">
    <w:name w:val="Pie de página Car"/>
    <w:basedOn w:val="Fuentedeprrafopredeter"/>
    <w:link w:val="Piedepgina"/>
    <w:uiPriority w:val="99"/>
    <w:rsid w:val="00B11248"/>
    <w:rPr>
      <w:rFonts w:ascii="Times New Roman" w:eastAsia="Times New Roman" w:hAnsi="Times New Roman" w:cs="Times New Roman"/>
      <w:szCs w:val="24"/>
      <w:lang w:val="es-ES" w:eastAsia="es-ES"/>
    </w:rPr>
  </w:style>
  <w:style w:type="paragraph" w:styleId="NormalWeb">
    <w:name w:val="Normal (Web)"/>
    <w:basedOn w:val="Normal"/>
    <w:uiPriority w:val="99"/>
    <w:semiHidden/>
    <w:unhideWhenUsed/>
    <w:rsid w:val="00E730B0"/>
    <w:pPr>
      <w:spacing w:before="100" w:beforeAutospacing="1" w:after="100" w:afterAutospacing="1"/>
    </w:pPr>
    <w:rPr>
      <w:lang w:val="es-CO" w:eastAsia="es-CO"/>
    </w:rPr>
  </w:style>
  <w:style w:type="character" w:styleId="Hipervnculo">
    <w:name w:val="Hyperlink"/>
    <w:basedOn w:val="Fuentedeprrafopredeter"/>
    <w:uiPriority w:val="99"/>
    <w:semiHidden/>
    <w:unhideWhenUsed/>
    <w:rsid w:val="00E730B0"/>
    <w:rPr>
      <w:color w:val="0000FF"/>
      <w:u w:val="single"/>
    </w:rPr>
  </w:style>
  <w:style w:type="character" w:styleId="Textodelmarcadordeposicin">
    <w:name w:val="Placeholder Text"/>
    <w:basedOn w:val="Fuentedeprrafopredeter"/>
    <w:uiPriority w:val="99"/>
    <w:semiHidden/>
    <w:rsid w:val="00E730B0"/>
    <w:rPr>
      <w:color w:val="80808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B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B4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9D6"/>
    <w:pPr>
      <w:jc w:val="left"/>
    </w:pPr>
    <w:rPr>
      <w:rFonts w:ascii="Times New Roman" w:eastAsia="Times New Roman" w:hAnsi="Times New Roman" w:cs="Times New Roman"/>
      <w:szCs w:val="24"/>
      <w:lang w:val="es-ES" w:eastAsia="es-ES"/>
    </w:rPr>
  </w:style>
  <w:style w:type="paragraph" w:styleId="Ttulo4">
    <w:name w:val="heading 4"/>
    <w:basedOn w:val="Normal"/>
    <w:next w:val="Normal"/>
    <w:link w:val="Ttulo4Car"/>
    <w:qFormat/>
    <w:rsid w:val="00AD09D6"/>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D09D6"/>
    <w:pPr>
      <w:widowControl w:val="0"/>
      <w:spacing w:line="360" w:lineRule="auto"/>
      <w:jc w:val="both"/>
    </w:pPr>
    <w:rPr>
      <w:rFonts w:ascii="Arial" w:hAnsi="Arial"/>
      <w:i/>
      <w:snapToGrid w:val="0"/>
      <w:sz w:val="28"/>
      <w:szCs w:val="20"/>
    </w:rPr>
  </w:style>
  <w:style w:type="character" w:customStyle="1" w:styleId="TextoindependienteCar">
    <w:name w:val="Texto independiente Car"/>
    <w:basedOn w:val="Fuentedeprrafopredeter"/>
    <w:link w:val="Textoindependiente"/>
    <w:rsid w:val="00AD09D6"/>
    <w:rPr>
      <w:rFonts w:ascii="Arial" w:eastAsia="Times New Roman" w:hAnsi="Arial" w:cs="Times New Roman"/>
      <w:i/>
      <w:snapToGrid w:val="0"/>
      <w:sz w:val="28"/>
      <w:szCs w:val="20"/>
      <w:lang w:val="es-ES" w:eastAsia="es-ES"/>
    </w:rPr>
  </w:style>
  <w:style w:type="character" w:customStyle="1" w:styleId="Ttulo4Car">
    <w:name w:val="Título 4 Car"/>
    <w:basedOn w:val="Fuentedeprrafopredeter"/>
    <w:link w:val="Ttulo4"/>
    <w:rsid w:val="00AD09D6"/>
    <w:rPr>
      <w:rFonts w:ascii="Times New Roman" w:eastAsia="Times New Roman" w:hAnsi="Times New Roman" w:cs="Times New Roman"/>
      <w:b/>
      <w:szCs w:val="20"/>
      <w:lang w:val="es-ES" w:eastAsia="es-ES"/>
    </w:rPr>
  </w:style>
  <w:style w:type="paragraph" w:styleId="Encabezado">
    <w:name w:val="header"/>
    <w:basedOn w:val="Normal"/>
    <w:link w:val="EncabezadoCar"/>
    <w:uiPriority w:val="99"/>
    <w:unhideWhenUsed/>
    <w:rsid w:val="00AF1C1B"/>
    <w:pPr>
      <w:tabs>
        <w:tab w:val="center" w:pos="4419"/>
        <w:tab w:val="right" w:pos="8838"/>
      </w:tabs>
      <w:ind w:left="993" w:hanging="709"/>
    </w:pPr>
    <w:rPr>
      <w:rFonts w:ascii="Arial Narrow" w:eastAsiaTheme="minorHAnsi" w:hAnsi="Arial Narrow" w:cs="Arial"/>
      <w:sz w:val="28"/>
      <w:lang w:val="es-CO" w:eastAsia="en-US"/>
    </w:rPr>
  </w:style>
  <w:style w:type="character" w:customStyle="1" w:styleId="EncabezadoCar">
    <w:name w:val="Encabezado Car"/>
    <w:basedOn w:val="Fuentedeprrafopredeter"/>
    <w:link w:val="Encabezado"/>
    <w:uiPriority w:val="99"/>
    <w:rsid w:val="00AF1C1B"/>
    <w:rPr>
      <w:rFonts w:ascii="Arial Narrow" w:hAnsi="Arial Narrow" w:cs="Arial"/>
      <w:sz w:val="28"/>
      <w:szCs w:val="24"/>
    </w:rPr>
  </w:style>
  <w:style w:type="paragraph" w:styleId="Prrafodelista">
    <w:name w:val="List Paragraph"/>
    <w:basedOn w:val="Normal"/>
    <w:uiPriority w:val="1"/>
    <w:qFormat/>
    <w:rsid w:val="00B72BB3"/>
    <w:pPr>
      <w:ind w:left="720"/>
      <w:contextualSpacing/>
    </w:pPr>
  </w:style>
  <w:style w:type="paragraph" w:styleId="Textonotapie">
    <w:name w:val="footnote text"/>
    <w:basedOn w:val="Normal"/>
    <w:link w:val="TextonotapieCar"/>
    <w:uiPriority w:val="99"/>
    <w:semiHidden/>
    <w:unhideWhenUsed/>
    <w:rsid w:val="003C20A4"/>
    <w:rPr>
      <w:sz w:val="20"/>
      <w:szCs w:val="20"/>
    </w:rPr>
  </w:style>
  <w:style w:type="character" w:customStyle="1" w:styleId="TextonotapieCar">
    <w:name w:val="Texto nota pie Car"/>
    <w:basedOn w:val="Fuentedeprrafopredeter"/>
    <w:link w:val="Textonotapie"/>
    <w:uiPriority w:val="99"/>
    <w:semiHidden/>
    <w:rsid w:val="003C20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3C20A4"/>
    <w:rPr>
      <w:vertAlign w:val="superscript"/>
    </w:rPr>
  </w:style>
  <w:style w:type="character" w:customStyle="1" w:styleId="fontstyle01">
    <w:name w:val="fontstyle01"/>
    <w:basedOn w:val="Fuentedeprrafopredeter"/>
    <w:rsid w:val="00B97BB1"/>
    <w:rPr>
      <w:rFonts w:ascii="ArialMT" w:hAnsi="ArialMT" w:hint="default"/>
      <w:b w:val="0"/>
      <w:bCs w:val="0"/>
      <w:i w:val="0"/>
      <w:iCs w:val="0"/>
      <w:color w:val="000000"/>
      <w:sz w:val="18"/>
      <w:szCs w:val="18"/>
    </w:rPr>
  </w:style>
  <w:style w:type="character" w:customStyle="1" w:styleId="SinespaciadoCar">
    <w:name w:val="Sin espaciado Car"/>
    <w:link w:val="Sinespaciado"/>
    <w:uiPriority w:val="1"/>
    <w:locked/>
    <w:rsid w:val="00781434"/>
  </w:style>
  <w:style w:type="paragraph" w:styleId="Sinespaciado">
    <w:name w:val="No Spacing"/>
    <w:link w:val="SinespaciadoCar"/>
    <w:uiPriority w:val="1"/>
    <w:qFormat/>
    <w:rsid w:val="00781434"/>
    <w:pPr>
      <w:jc w:val="left"/>
    </w:pPr>
  </w:style>
  <w:style w:type="paragraph" w:customStyle="1" w:styleId="Prrafodelista2">
    <w:name w:val="Párrafo de lista2"/>
    <w:basedOn w:val="Normal"/>
    <w:rsid w:val="00781434"/>
    <w:pPr>
      <w:spacing w:after="200" w:line="276" w:lineRule="auto"/>
      <w:ind w:left="720"/>
      <w:contextualSpacing/>
    </w:pPr>
    <w:rPr>
      <w:rFonts w:ascii="Calibri" w:hAnsi="Calibri"/>
      <w:sz w:val="22"/>
      <w:szCs w:val="22"/>
      <w:lang w:val="es-CO" w:eastAsia="en-US"/>
    </w:rPr>
  </w:style>
  <w:style w:type="paragraph" w:styleId="Piedepgina">
    <w:name w:val="footer"/>
    <w:basedOn w:val="Normal"/>
    <w:link w:val="PiedepginaCar"/>
    <w:uiPriority w:val="99"/>
    <w:unhideWhenUsed/>
    <w:rsid w:val="00B11248"/>
    <w:pPr>
      <w:tabs>
        <w:tab w:val="center" w:pos="4419"/>
        <w:tab w:val="right" w:pos="8838"/>
      </w:tabs>
    </w:pPr>
  </w:style>
  <w:style w:type="character" w:customStyle="1" w:styleId="PiedepginaCar">
    <w:name w:val="Pie de página Car"/>
    <w:basedOn w:val="Fuentedeprrafopredeter"/>
    <w:link w:val="Piedepgina"/>
    <w:uiPriority w:val="99"/>
    <w:rsid w:val="00B11248"/>
    <w:rPr>
      <w:rFonts w:ascii="Times New Roman" w:eastAsia="Times New Roman" w:hAnsi="Times New Roman" w:cs="Times New Roman"/>
      <w:szCs w:val="24"/>
      <w:lang w:val="es-ES" w:eastAsia="es-ES"/>
    </w:rPr>
  </w:style>
  <w:style w:type="paragraph" w:styleId="NormalWeb">
    <w:name w:val="Normal (Web)"/>
    <w:basedOn w:val="Normal"/>
    <w:uiPriority w:val="99"/>
    <w:semiHidden/>
    <w:unhideWhenUsed/>
    <w:rsid w:val="00E730B0"/>
    <w:pPr>
      <w:spacing w:before="100" w:beforeAutospacing="1" w:after="100" w:afterAutospacing="1"/>
    </w:pPr>
    <w:rPr>
      <w:lang w:val="es-CO" w:eastAsia="es-CO"/>
    </w:rPr>
  </w:style>
  <w:style w:type="character" w:styleId="Hipervnculo">
    <w:name w:val="Hyperlink"/>
    <w:basedOn w:val="Fuentedeprrafopredeter"/>
    <w:uiPriority w:val="99"/>
    <w:semiHidden/>
    <w:unhideWhenUsed/>
    <w:rsid w:val="00E730B0"/>
    <w:rPr>
      <w:color w:val="0000FF"/>
      <w:u w:val="single"/>
    </w:rPr>
  </w:style>
  <w:style w:type="character" w:styleId="Textodelmarcadordeposicin">
    <w:name w:val="Placeholder Text"/>
    <w:basedOn w:val="Fuentedeprrafopredeter"/>
    <w:uiPriority w:val="99"/>
    <w:semiHidden/>
    <w:rsid w:val="00E730B0"/>
    <w:rPr>
      <w:color w:val="80808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B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B4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508">
      <w:bodyDiv w:val="1"/>
      <w:marLeft w:val="0"/>
      <w:marRight w:val="0"/>
      <w:marTop w:val="0"/>
      <w:marBottom w:val="0"/>
      <w:divBdr>
        <w:top w:val="none" w:sz="0" w:space="0" w:color="auto"/>
        <w:left w:val="none" w:sz="0" w:space="0" w:color="auto"/>
        <w:bottom w:val="none" w:sz="0" w:space="0" w:color="auto"/>
        <w:right w:val="none" w:sz="0" w:space="0" w:color="auto"/>
      </w:divBdr>
    </w:div>
    <w:div w:id="1015310192">
      <w:bodyDiv w:val="1"/>
      <w:marLeft w:val="0"/>
      <w:marRight w:val="0"/>
      <w:marTop w:val="0"/>
      <w:marBottom w:val="0"/>
      <w:divBdr>
        <w:top w:val="none" w:sz="0" w:space="0" w:color="auto"/>
        <w:left w:val="none" w:sz="0" w:space="0" w:color="auto"/>
        <w:bottom w:val="none" w:sz="0" w:space="0" w:color="auto"/>
        <w:right w:val="none" w:sz="0" w:space="0" w:color="auto"/>
      </w:divBdr>
    </w:div>
    <w:div w:id="1233349381">
      <w:bodyDiv w:val="1"/>
      <w:marLeft w:val="0"/>
      <w:marRight w:val="0"/>
      <w:marTop w:val="0"/>
      <w:marBottom w:val="0"/>
      <w:divBdr>
        <w:top w:val="none" w:sz="0" w:space="0" w:color="auto"/>
        <w:left w:val="none" w:sz="0" w:space="0" w:color="auto"/>
        <w:bottom w:val="none" w:sz="0" w:space="0" w:color="auto"/>
        <w:right w:val="none" w:sz="0" w:space="0" w:color="auto"/>
      </w:divBdr>
      <w:divsChild>
        <w:div w:id="1860586721">
          <w:marLeft w:val="0"/>
          <w:marRight w:val="0"/>
          <w:marTop w:val="0"/>
          <w:marBottom w:val="120"/>
          <w:divBdr>
            <w:top w:val="none" w:sz="0" w:space="0" w:color="auto"/>
            <w:left w:val="none" w:sz="0" w:space="0" w:color="auto"/>
            <w:bottom w:val="none" w:sz="0" w:space="0" w:color="auto"/>
            <w:right w:val="none" w:sz="0" w:space="0" w:color="auto"/>
          </w:divBdr>
          <w:divsChild>
            <w:div w:id="1360620428">
              <w:marLeft w:val="0"/>
              <w:marRight w:val="0"/>
              <w:marTop w:val="0"/>
              <w:marBottom w:val="0"/>
              <w:divBdr>
                <w:top w:val="none" w:sz="0" w:space="0" w:color="auto"/>
                <w:left w:val="none" w:sz="0" w:space="0" w:color="auto"/>
                <w:bottom w:val="none" w:sz="0" w:space="0" w:color="auto"/>
                <w:right w:val="none" w:sz="0" w:space="0" w:color="auto"/>
              </w:divBdr>
            </w:div>
          </w:divsChild>
        </w:div>
        <w:div w:id="71050995">
          <w:marLeft w:val="0"/>
          <w:marRight w:val="0"/>
          <w:marTop w:val="0"/>
          <w:marBottom w:val="120"/>
          <w:divBdr>
            <w:top w:val="none" w:sz="0" w:space="0" w:color="auto"/>
            <w:left w:val="none" w:sz="0" w:space="0" w:color="auto"/>
            <w:bottom w:val="none" w:sz="0" w:space="0" w:color="auto"/>
            <w:right w:val="none" w:sz="0" w:space="0" w:color="auto"/>
          </w:divBdr>
          <w:divsChild>
            <w:div w:id="962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2948">
      <w:bodyDiv w:val="1"/>
      <w:marLeft w:val="0"/>
      <w:marRight w:val="0"/>
      <w:marTop w:val="0"/>
      <w:marBottom w:val="0"/>
      <w:divBdr>
        <w:top w:val="none" w:sz="0" w:space="0" w:color="auto"/>
        <w:left w:val="none" w:sz="0" w:space="0" w:color="auto"/>
        <w:bottom w:val="none" w:sz="0" w:space="0" w:color="auto"/>
        <w:right w:val="none" w:sz="0" w:space="0" w:color="auto"/>
      </w:divBdr>
    </w:div>
    <w:div w:id="1949778251">
      <w:bodyDiv w:val="1"/>
      <w:marLeft w:val="0"/>
      <w:marRight w:val="0"/>
      <w:marTop w:val="0"/>
      <w:marBottom w:val="0"/>
      <w:divBdr>
        <w:top w:val="none" w:sz="0" w:space="0" w:color="auto"/>
        <w:left w:val="none" w:sz="0" w:space="0" w:color="auto"/>
        <w:bottom w:val="none" w:sz="0" w:space="0" w:color="auto"/>
        <w:right w:val="none" w:sz="0" w:space="0" w:color="auto"/>
      </w:divBdr>
    </w:div>
    <w:div w:id="20376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b43361545e8e4e6f"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10" ma:contentTypeDescription="Create a new document." ma:contentTypeScope="" ma:versionID="8bef0c32deef39501d5ffb8d7e8acc09">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8ad9a7663d52c41f2b4a54577f4dc0c5"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C8A1-8BEC-4BC5-9966-D88CEB7FDC00}">
  <ds:schemaRefs>
    <ds:schemaRef ds:uri="http://schemas.microsoft.com/sharepoint/v3/contenttype/forms"/>
  </ds:schemaRefs>
</ds:datastoreItem>
</file>

<file path=customXml/itemProps2.xml><?xml version="1.0" encoding="utf-8"?>
<ds:datastoreItem xmlns:ds="http://schemas.openxmlformats.org/officeDocument/2006/customXml" ds:itemID="{D93B0E8A-8D33-444F-936B-7A64DC24FA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43050D-0C4E-40F5-B14E-08D57C95C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1053EA-86D3-4939-A8F2-B4FD12F3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9</cp:revision>
  <dcterms:created xsi:type="dcterms:W3CDTF">2020-10-26T14:32:00Z</dcterms:created>
  <dcterms:modified xsi:type="dcterms:W3CDTF">2020-11-24T20:44:00Z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