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EBA3F" w14:textId="77777777" w:rsidR="00547D24" w:rsidRPr="00547D24" w:rsidRDefault="00547D24" w:rsidP="00547D24">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r w:rsidRPr="00547D2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547D24">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099BF53B" w14:textId="77777777" w:rsidR="00547D24" w:rsidRPr="00547D24" w:rsidRDefault="00547D24" w:rsidP="00547D24">
      <w:pPr>
        <w:spacing w:line="240" w:lineRule="auto"/>
        <w:rPr>
          <w:rFonts w:ascii="Arial" w:eastAsia="Times New Roman" w:hAnsi="Arial" w:cs="Arial"/>
          <w:sz w:val="20"/>
          <w:szCs w:val="20"/>
          <w:lang w:val="es-419" w:eastAsia="es-ES"/>
        </w:rPr>
      </w:pPr>
    </w:p>
    <w:p w14:paraId="14FFA3FD" w14:textId="77777777" w:rsidR="00547D24" w:rsidRPr="00547D24" w:rsidRDefault="00547D24" w:rsidP="00547D24">
      <w:pPr>
        <w:spacing w:line="240" w:lineRule="auto"/>
        <w:rPr>
          <w:rFonts w:ascii="Arial" w:eastAsia="Times New Roman" w:hAnsi="Arial" w:cs="Arial"/>
          <w:sz w:val="20"/>
          <w:szCs w:val="20"/>
          <w:lang w:val="es-419" w:eastAsia="es-ES"/>
        </w:rPr>
      </w:pPr>
      <w:r w:rsidRPr="00547D24">
        <w:rPr>
          <w:rFonts w:ascii="Arial" w:eastAsia="Times New Roman" w:hAnsi="Arial" w:cs="Arial"/>
          <w:sz w:val="20"/>
          <w:szCs w:val="20"/>
          <w:lang w:val="es-419" w:eastAsia="es-ES"/>
        </w:rPr>
        <w:t xml:space="preserve">Providencia: </w:t>
      </w:r>
      <w:r w:rsidRPr="00547D24">
        <w:rPr>
          <w:rFonts w:ascii="Arial" w:eastAsia="Times New Roman" w:hAnsi="Arial" w:cs="Arial"/>
          <w:sz w:val="20"/>
          <w:szCs w:val="20"/>
          <w:lang w:val="es-419" w:eastAsia="es-ES"/>
        </w:rPr>
        <w:tab/>
      </w:r>
      <w:r w:rsidRPr="00547D24">
        <w:rPr>
          <w:rFonts w:ascii="Arial" w:eastAsia="Times New Roman" w:hAnsi="Arial" w:cs="Arial"/>
          <w:sz w:val="20"/>
          <w:szCs w:val="20"/>
          <w:lang w:val="es-419" w:eastAsia="es-ES"/>
        </w:rPr>
        <w:tab/>
        <w:t>Auto del 23 de noviembre de 2020</w:t>
      </w:r>
    </w:p>
    <w:p w14:paraId="2E42D849" w14:textId="7317CABF" w:rsidR="00547D24" w:rsidRPr="00547D24" w:rsidRDefault="00547D24" w:rsidP="00547D24">
      <w:pPr>
        <w:spacing w:line="240" w:lineRule="auto"/>
        <w:rPr>
          <w:rFonts w:ascii="Arial" w:eastAsia="Times New Roman" w:hAnsi="Arial" w:cs="Arial"/>
          <w:sz w:val="20"/>
          <w:szCs w:val="20"/>
          <w:lang w:val="es-419" w:eastAsia="es-ES"/>
        </w:rPr>
      </w:pPr>
      <w:r w:rsidRPr="00547D24">
        <w:rPr>
          <w:rFonts w:ascii="Arial" w:eastAsia="Times New Roman" w:hAnsi="Arial" w:cs="Arial"/>
          <w:sz w:val="20"/>
          <w:szCs w:val="20"/>
          <w:lang w:val="es-419" w:eastAsia="es-ES"/>
        </w:rPr>
        <w:t xml:space="preserve">Radicación No.: </w:t>
      </w:r>
      <w:r w:rsidRPr="00547D24">
        <w:rPr>
          <w:rFonts w:ascii="Arial" w:eastAsia="Times New Roman" w:hAnsi="Arial" w:cs="Arial"/>
          <w:sz w:val="20"/>
          <w:szCs w:val="20"/>
          <w:lang w:val="es-419" w:eastAsia="es-ES"/>
        </w:rPr>
        <w:tab/>
        <w:t>66170-31-05-001-2019</w:t>
      </w:r>
      <w:r w:rsidR="00274371">
        <w:rPr>
          <w:rFonts w:ascii="Arial" w:eastAsia="Times New Roman" w:hAnsi="Arial" w:cs="Arial"/>
          <w:sz w:val="20"/>
          <w:szCs w:val="20"/>
          <w:lang w:val="es-419" w:eastAsia="es-ES"/>
        </w:rPr>
        <w:t>-</w:t>
      </w:r>
      <w:r w:rsidRPr="00547D24">
        <w:rPr>
          <w:rFonts w:ascii="Arial" w:eastAsia="Times New Roman" w:hAnsi="Arial" w:cs="Arial"/>
          <w:sz w:val="20"/>
          <w:szCs w:val="20"/>
          <w:lang w:val="es-419" w:eastAsia="es-ES"/>
        </w:rPr>
        <w:t>00060-01</w:t>
      </w:r>
    </w:p>
    <w:p w14:paraId="557024E9" w14:textId="77777777" w:rsidR="00547D24" w:rsidRPr="00547D24" w:rsidRDefault="00547D24" w:rsidP="00547D24">
      <w:pPr>
        <w:spacing w:line="240" w:lineRule="auto"/>
        <w:rPr>
          <w:rFonts w:ascii="Arial" w:eastAsia="Times New Roman" w:hAnsi="Arial" w:cs="Arial"/>
          <w:sz w:val="20"/>
          <w:szCs w:val="20"/>
          <w:lang w:val="es-419" w:eastAsia="es-ES"/>
        </w:rPr>
      </w:pPr>
      <w:r w:rsidRPr="00547D24">
        <w:rPr>
          <w:rFonts w:ascii="Arial" w:eastAsia="Times New Roman" w:hAnsi="Arial" w:cs="Arial"/>
          <w:sz w:val="20"/>
          <w:szCs w:val="20"/>
          <w:lang w:val="es-419" w:eastAsia="es-ES"/>
        </w:rPr>
        <w:t xml:space="preserve">Proceso: </w:t>
      </w:r>
      <w:r w:rsidRPr="00547D24">
        <w:rPr>
          <w:rFonts w:ascii="Arial" w:eastAsia="Times New Roman" w:hAnsi="Arial" w:cs="Arial"/>
          <w:sz w:val="20"/>
          <w:szCs w:val="20"/>
          <w:lang w:val="es-419" w:eastAsia="es-ES"/>
        </w:rPr>
        <w:tab/>
      </w:r>
      <w:r w:rsidRPr="00547D24">
        <w:rPr>
          <w:rFonts w:ascii="Arial" w:eastAsia="Times New Roman" w:hAnsi="Arial" w:cs="Arial"/>
          <w:sz w:val="20"/>
          <w:szCs w:val="20"/>
          <w:lang w:val="es-419" w:eastAsia="es-ES"/>
        </w:rPr>
        <w:tab/>
        <w:t>Ordinario Laboral</w:t>
      </w:r>
    </w:p>
    <w:p w14:paraId="4A44E7EB" w14:textId="77777777" w:rsidR="00547D24" w:rsidRPr="00547D24" w:rsidRDefault="00547D24" w:rsidP="00547D24">
      <w:pPr>
        <w:spacing w:line="240" w:lineRule="auto"/>
        <w:rPr>
          <w:rFonts w:ascii="Arial" w:eastAsia="Times New Roman" w:hAnsi="Arial" w:cs="Arial"/>
          <w:sz w:val="20"/>
          <w:szCs w:val="20"/>
          <w:lang w:val="es-419" w:eastAsia="es-ES"/>
        </w:rPr>
      </w:pPr>
      <w:r w:rsidRPr="00547D24">
        <w:rPr>
          <w:rFonts w:ascii="Arial" w:eastAsia="Times New Roman" w:hAnsi="Arial" w:cs="Arial"/>
          <w:sz w:val="20"/>
          <w:szCs w:val="20"/>
          <w:lang w:val="es-419" w:eastAsia="es-ES"/>
        </w:rPr>
        <w:t xml:space="preserve">Demandante: </w:t>
      </w:r>
      <w:r w:rsidRPr="00547D24">
        <w:rPr>
          <w:rFonts w:ascii="Arial" w:eastAsia="Times New Roman" w:hAnsi="Arial" w:cs="Arial"/>
          <w:sz w:val="20"/>
          <w:szCs w:val="20"/>
          <w:lang w:val="es-419" w:eastAsia="es-ES"/>
        </w:rPr>
        <w:tab/>
      </w:r>
      <w:r w:rsidRPr="00547D24">
        <w:rPr>
          <w:rFonts w:ascii="Arial" w:eastAsia="Times New Roman" w:hAnsi="Arial" w:cs="Arial"/>
          <w:sz w:val="20"/>
          <w:szCs w:val="20"/>
          <w:lang w:val="es-419" w:eastAsia="es-ES"/>
        </w:rPr>
        <w:tab/>
        <w:t>José Alexander Rivadeneira Salgado</w:t>
      </w:r>
    </w:p>
    <w:p w14:paraId="50820414" w14:textId="77777777" w:rsidR="00547D24" w:rsidRPr="00547D24" w:rsidRDefault="00547D24" w:rsidP="00547D24">
      <w:pPr>
        <w:spacing w:line="240" w:lineRule="auto"/>
        <w:rPr>
          <w:rFonts w:ascii="Arial" w:eastAsia="Times New Roman" w:hAnsi="Arial" w:cs="Arial"/>
          <w:sz w:val="20"/>
          <w:szCs w:val="20"/>
          <w:lang w:val="es-419" w:eastAsia="es-ES"/>
        </w:rPr>
      </w:pPr>
      <w:r w:rsidRPr="00547D24">
        <w:rPr>
          <w:rFonts w:ascii="Arial" w:eastAsia="Times New Roman" w:hAnsi="Arial" w:cs="Arial"/>
          <w:sz w:val="20"/>
          <w:szCs w:val="20"/>
          <w:lang w:val="es-419" w:eastAsia="es-ES"/>
        </w:rPr>
        <w:t xml:space="preserve">Demandado: </w:t>
      </w:r>
      <w:r w:rsidRPr="00547D24">
        <w:rPr>
          <w:rFonts w:ascii="Arial" w:eastAsia="Times New Roman" w:hAnsi="Arial" w:cs="Arial"/>
          <w:sz w:val="20"/>
          <w:szCs w:val="20"/>
          <w:lang w:val="es-419" w:eastAsia="es-ES"/>
        </w:rPr>
        <w:tab/>
      </w:r>
      <w:r w:rsidRPr="00547D24">
        <w:rPr>
          <w:rFonts w:ascii="Arial" w:eastAsia="Times New Roman" w:hAnsi="Arial" w:cs="Arial"/>
          <w:sz w:val="20"/>
          <w:szCs w:val="20"/>
          <w:lang w:val="es-419" w:eastAsia="es-ES"/>
        </w:rPr>
        <w:tab/>
        <w:t>Transportes Urbano Cañarte Ltda.</w:t>
      </w:r>
    </w:p>
    <w:p w14:paraId="3F1B92F4" w14:textId="26E347B6" w:rsidR="00547D24" w:rsidRPr="00547D24" w:rsidRDefault="00547D24" w:rsidP="00547D24">
      <w:pPr>
        <w:spacing w:line="240" w:lineRule="auto"/>
        <w:rPr>
          <w:rFonts w:ascii="Arial" w:eastAsia="Times New Roman" w:hAnsi="Arial" w:cs="Arial"/>
          <w:sz w:val="20"/>
          <w:szCs w:val="20"/>
          <w:lang w:val="es-419" w:eastAsia="es-ES"/>
        </w:rPr>
      </w:pPr>
      <w:r w:rsidRPr="00547D24">
        <w:rPr>
          <w:rFonts w:ascii="Arial" w:eastAsia="Times New Roman" w:hAnsi="Arial" w:cs="Arial"/>
          <w:sz w:val="20"/>
          <w:szCs w:val="20"/>
          <w:lang w:val="es-419" w:eastAsia="es-ES"/>
        </w:rPr>
        <w:t xml:space="preserve">Juzgado: </w:t>
      </w:r>
      <w:r w:rsidRPr="00547D24">
        <w:rPr>
          <w:rFonts w:ascii="Arial" w:eastAsia="Times New Roman" w:hAnsi="Arial" w:cs="Arial"/>
          <w:sz w:val="20"/>
          <w:szCs w:val="20"/>
          <w:lang w:val="es-419" w:eastAsia="es-ES"/>
        </w:rPr>
        <w:tab/>
      </w:r>
      <w:r w:rsidRPr="00547D24">
        <w:rPr>
          <w:rFonts w:ascii="Arial" w:eastAsia="Times New Roman" w:hAnsi="Arial" w:cs="Arial"/>
          <w:sz w:val="20"/>
          <w:szCs w:val="20"/>
          <w:lang w:val="es-419" w:eastAsia="es-ES"/>
        </w:rPr>
        <w:tab/>
        <w:t>Laboral del Circuito de Dosquebradas</w:t>
      </w:r>
    </w:p>
    <w:p w14:paraId="1FE16F29" w14:textId="77777777" w:rsidR="00547D24" w:rsidRPr="00547D24" w:rsidRDefault="00547D24" w:rsidP="00547D24">
      <w:pPr>
        <w:spacing w:line="240" w:lineRule="auto"/>
        <w:rPr>
          <w:rFonts w:ascii="Arial" w:eastAsia="Times New Roman" w:hAnsi="Arial" w:cs="Arial"/>
          <w:sz w:val="20"/>
          <w:szCs w:val="20"/>
          <w:lang w:val="es-419" w:eastAsia="es-ES"/>
        </w:rPr>
      </w:pPr>
    </w:p>
    <w:p w14:paraId="26724D8A" w14:textId="7CFF8EFC" w:rsidR="00547D24" w:rsidRPr="00547D24" w:rsidRDefault="00547D24" w:rsidP="00547D24">
      <w:pPr>
        <w:spacing w:line="240" w:lineRule="auto"/>
        <w:rPr>
          <w:rFonts w:ascii="Arial" w:eastAsia="Times New Roman" w:hAnsi="Arial" w:cs="Arial"/>
          <w:b/>
          <w:bCs/>
          <w:iCs/>
          <w:sz w:val="20"/>
          <w:szCs w:val="20"/>
          <w:lang w:val="es-419" w:eastAsia="fr-FR"/>
        </w:rPr>
      </w:pPr>
      <w:r w:rsidRPr="00547D24">
        <w:rPr>
          <w:rFonts w:ascii="Arial" w:eastAsia="Times New Roman" w:hAnsi="Arial" w:cs="Arial"/>
          <w:b/>
          <w:bCs/>
          <w:iCs/>
          <w:sz w:val="20"/>
          <w:szCs w:val="20"/>
          <w:u w:val="single"/>
          <w:lang w:val="es-419" w:eastAsia="fr-FR"/>
        </w:rPr>
        <w:t>TEMAS:</w:t>
      </w:r>
      <w:r w:rsidRPr="00547D24">
        <w:rPr>
          <w:rFonts w:ascii="Arial" w:eastAsia="Times New Roman" w:hAnsi="Arial" w:cs="Arial"/>
          <w:b/>
          <w:bCs/>
          <w:iCs/>
          <w:sz w:val="20"/>
          <w:szCs w:val="20"/>
          <w:lang w:val="es-419" w:eastAsia="fr-FR"/>
        </w:rPr>
        <w:tab/>
      </w:r>
      <w:r w:rsidR="00274371">
        <w:rPr>
          <w:rFonts w:ascii="Arial" w:eastAsia="Times New Roman" w:hAnsi="Arial" w:cs="Arial"/>
          <w:b/>
          <w:bCs/>
          <w:iCs/>
          <w:sz w:val="20"/>
          <w:szCs w:val="20"/>
          <w:lang w:val="es-419" w:eastAsia="fr-FR"/>
        </w:rPr>
        <w:t>MEDIDAS CAUTELARES /</w:t>
      </w:r>
      <w:r w:rsidR="00D70A1E">
        <w:rPr>
          <w:rFonts w:ascii="Arial" w:eastAsia="Times New Roman" w:hAnsi="Arial" w:cs="Arial"/>
          <w:b/>
          <w:bCs/>
          <w:iCs/>
          <w:sz w:val="20"/>
          <w:szCs w:val="20"/>
          <w:lang w:val="es-419" w:eastAsia="fr-FR"/>
        </w:rPr>
        <w:t xml:space="preserve"> CAUCIÓN QUE GARANTICE RESULTAS DEL PROCESO /</w:t>
      </w:r>
      <w:r w:rsidR="00274371">
        <w:rPr>
          <w:rFonts w:ascii="Arial" w:eastAsia="Times New Roman" w:hAnsi="Arial" w:cs="Arial"/>
          <w:b/>
          <w:bCs/>
          <w:iCs/>
          <w:sz w:val="20"/>
          <w:szCs w:val="20"/>
          <w:lang w:val="es-419" w:eastAsia="fr-FR"/>
        </w:rPr>
        <w:t xml:space="preserve"> REGULACIÓN LEGAL / </w:t>
      </w:r>
      <w:r w:rsidR="00274371">
        <w:rPr>
          <w:rFonts w:ascii="Arial" w:eastAsia="Times New Roman" w:hAnsi="Arial" w:cs="Arial"/>
          <w:b/>
          <w:sz w:val="20"/>
          <w:szCs w:val="20"/>
          <w:lang w:val="es-419" w:eastAsia="es-ES"/>
        </w:rPr>
        <w:t xml:space="preserve">EVENTOS EN LOS QUE PROCEDEN / CARGA PROBATORIA DEL DEMANDANTE </w:t>
      </w:r>
      <w:r w:rsidRPr="00547D24">
        <w:rPr>
          <w:rFonts w:ascii="Arial" w:eastAsia="Times New Roman" w:hAnsi="Arial" w:cs="Arial"/>
          <w:b/>
          <w:bCs/>
          <w:iCs/>
          <w:sz w:val="20"/>
          <w:szCs w:val="20"/>
          <w:lang w:val="es-419" w:eastAsia="fr-FR"/>
        </w:rPr>
        <w:t xml:space="preserve">/ </w:t>
      </w:r>
      <w:r w:rsidR="00274371">
        <w:rPr>
          <w:rFonts w:ascii="Arial" w:eastAsia="Times New Roman" w:hAnsi="Arial" w:cs="Arial"/>
          <w:b/>
          <w:bCs/>
          <w:iCs/>
          <w:sz w:val="20"/>
          <w:szCs w:val="20"/>
          <w:lang w:val="es-419" w:eastAsia="fr-FR"/>
        </w:rPr>
        <w:t>VALORACIÓN DE CADA CASO EN CONCRETO.</w:t>
      </w:r>
    </w:p>
    <w:p w14:paraId="0A157237" w14:textId="77777777" w:rsidR="00547D24" w:rsidRPr="00547D24" w:rsidRDefault="00547D24" w:rsidP="00547D24">
      <w:pPr>
        <w:spacing w:line="240" w:lineRule="auto"/>
        <w:rPr>
          <w:rFonts w:ascii="Arial" w:eastAsia="Times New Roman" w:hAnsi="Arial" w:cs="Arial"/>
          <w:sz w:val="20"/>
          <w:szCs w:val="20"/>
          <w:lang w:val="es-419" w:eastAsia="es-ES"/>
        </w:rPr>
      </w:pPr>
    </w:p>
    <w:p w14:paraId="4D95A4BB" w14:textId="77777777" w:rsidR="00274371" w:rsidRPr="00274371" w:rsidRDefault="00274371" w:rsidP="00274371">
      <w:pPr>
        <w:spacing w:line="240" w:lineRule="auto"/>
        <w:rPr>
          <w:rFonts w:ascii="Arial" w:eastAsia="Times New Roman" w:hAnsi="Arial" w:cs="Arial"/>
          <w:sz w:val="20"/>
          <w:szCs w:val="20"/>
          <w:lang w:val="es-419" w:eastAsia="es-ES"/>
        </w:rPr>
      </w:pPr>
      <w:r w:rsidRPr="00274371">
        <w:rPr>
          <w:rFonts w:ascii="Arial" w:eastAsia="Times New Roman" w:hAnsi="Arial" w:cs="Arial"/>
          <w:sz w:val="20"/>
          <w:szCs w:val="20"/>
          <w:lang w:val="es-419" w:eastAsia="es-ES"/>
        </w:rPr>
        <w:t xml:space="preserve">El decreto de medidas cautelares se encuentra expresamente regulado en el artículo 85A del Código Procesal del Trabajo y de la Seguridad Social, que consagra textualmente: </w:t>
      </w:r>
    </w:p>
    <w:p w14:paraId="00DD6C95" w14:textId="77777777" w:rsidR="00274371" w:rsidRPr="00274371" w:rsidRDefault="00274371" w:rsidP="00274371">
      <w:pPr>
        <w:spacing w:line="240" w:lineRule="auto"/>
        <w:rPr>
          <w:rFonts w:ascii="Arial" w:eastAsia="Times New Roman" w:hAnsi="Arial" w:cs="Arial"/>
          <w:sz w:val="20"/>
          <w:szCs w:val="20"/>
          <w:lang w:val="es-419" w:eastAsia="es-ES"/>
        </w:rPr>
      </w:pPr>
    </w:p>
    <w:p w14:paraId="54872677" w14:textId="365E9BD3" w:rsidR="00274371" w:rsidRPr="00274371" w:rsidRDefault="00274371" w:rsidP="00274371">
      <w:pPr>
        <w:spacing w:line="240" w:lineRule="auto"/>
        <w:rPr>
          <w:rFonts w:ascii="Arial" w:eastAsia="Times New Roman" w:hAnsi="Arial" w:cs="Arial"/>
          <w:sz w:val="20"/>
          <w:szCs w:val="20"/>
          <w:lang w:val="es-419" w:eastAsia="es-ES"/>
        </w:rPr>
      </w:pPr>
      <w:r w:rsidRPr="00274371">
        <w:rPr>
          <w:rFonts w:ascii="Arial" w:eastAsia="Times New Roman" w:hAnsi="Arial" w:cs="Arial"/>
          <w:sz w:val="20"/>
          <w:szCs w:val="20"/>
          <w:lang w:val="es-419" w:eastAsia="es-ES"/>
        </w:rPr>
        <w:t>"Cuando el demandado, en proceso ordinario, efectúe actos que el juez estime tendientes a insolventarse o a impedir la efectividad de la sentencia, o cuando el juez considere que el demandado se encuentra en graves y serias dificultades para el cumplimiento oportuno de sus obligaciones, podrá imponerle caución para garantizar las resultas del proceso […]”</w:t>
      </w:r>
    </w:p>
    <w:p w14:paraId="5FDB8622" w14:textId="77777777" w:rsidR="00274371" w:rsidRPr="00274371" w:rsidRDefault="00274371" w:rsidP="00274371">
      <w:pPr>
        <w:spacing w:line="240" w:lineRule="auto"/>
        <w:rPr>
          <w:rFonts w:ascii="Arial" w:eastAsia="Times New Roman" w:hAnsi="Arial" w:cs="Arial"/>
          <w:sz w:val="20"/>
          <w:szCs w:val="20"/>
          <w:lang w:val="es-419" w:eastAsia="es-ES"/>
        </w:rPr>
      </w:pPr>
    </w:p>
    <w:p w14:paraId="03B5BD91" w14:textId="77777777" w:rsidR="00274371" w:rsidRPr="00274371" w:rsidRDefault="00274371" w:rsidP="00274371">
      <w:pPr>
        <w:spacing w:line="240" w:lineRule="auto"/>
        <w:rPr>
          <w:rFonts w:ascii="Arial" w:eastAsia="Times New Roman" w:hAnsi="Arial" w:cs="Arial"/>
          <w:sz w:val="20"/>
          <w:szCs w:val="20"/>
          <w:lang w:val="es-419" w:eastAsia="es-ES"/>
        </w:rPr>
      </w:pPr>
      <w:r w:rsidRPr="00274371">
        <w:rPr>
          <w:rFonts w:ascii="Arial" w:eastAsia="Times New Roman" w:hAnsi="Arial" w:cs="Arial"/>
          <w:sz w:val="20"/>
          <w:szCs w:val="20"/>
          <w:lang w:val="es-419" w:eastAsia="es-ES"/>
        </w:rPr>
        <w:t xml:space="preserve">Tal disposición, tiene como finalidad el que no se hagan ilusorias las resultas del proceso ordinario y se impone cuando se está en frente de los tres eventos que cita la norma: (i) que se estén efectuando actos tendientes a insolventarse, (ii) que se adelanten acciones con el objeto de impedir la efectividad de la sentencia y (iii) que se encuentra en graves y serias dificultades para el cumplimiento oportuno de sus obligaciones. </w:t>
      </w:r>
    </w:p>
    <w:p w14:paraId="6E3616C6" w14:textId="77777777" w:rsidR="00274371" w:rsidRPr="00274371" w:rsidRDefault="00274371" w:rsidP="00274371">
      <w:pPr>
        <w:spacing w:line="240" w:lineRule="auto"/>
        <w:rPr>
          <w:rFonts w:ascii="Arial" w:eastAsia="Times New Roman" w:hAnsi="Arial" w:cs="Arial"/>
          <w:sz w:val="20"/>
          <w:szCs w:val="20"/>
          <w:lang w:val="es-419" w:eastAsia="es-ES"/>
        </w:rPr>
      </w:pPr>
    </w:p>
    <w:p w14:paraId="2C14A57D" w14:textId="0B749C47" w:rsidR="00274371" w:rsidRPr="00274371" w:rsidRDefault="00274371" w:rsidP="00274371">
      <w:pPr>
        <w:spacing w:line="240" w:lineRule="auto"/>
        <w:rPr>
          <w:rFonts w:ascii="Arial" w:eastAsia="Times New Roman" w:hAnsi="Arial" w:cs="Arial"/>
          <w:sz w:val="20"/>
          <w:szCs w:val="20"/>
          <w:lang w:val="es-419" w:eastAsia="es-ES"/>
        </w:rPr>
      </w:pPr>
      <w:r w:rsidRPr="00274371">
        <w:rPr>
          <w:rFonts w:ascii="Arial" w:eastAsia="Times New Roman" w:hAnsi="Arial" w:cs="Arial"/>
          <w:sz w:val="20"/>
          <w:szCs w:val="20"/>
          <w:lang w:val="es-419" w:eastAsia="es-ES"/>
        </w:rPr>
        <w:t>Frente a tales hipótesis, se ha dich</w:t>
      </w:r>
      <w:r>
        <w:rPr>
          <w:rFonts w:ascii="Arial" w:eastAsia="Times New Roman" w:hAnsi="Arial" w:cs="Arial"/>
          <w:sz w:val="20"/>
          <w:szCs w:val="20"/>
          <w:lang w:val="es-419" w:eastAsia="es-ES"/>
        </w:rPr>
        <w:t>o por parte de esta Colegiatura que:</w:t>
      </w:r>
    </w:p>
    <w:p w14:paraId="2F1D741E" w14:textId="77777777" w:rsidR="00274371" w:rsidRPr="00274371" w:rsidRDefault="00274371" w:rsidP="00274371">
      <w:pPr>
        <w:spacing w:line="240" w:lineRule="auto"/>
        <w:rPr>
          <w:rFonts w:ascii="Arial" w:eastAsia="Times New Roman" w:hAnsi="Arial" w:cs="Arial"/>
          <w:sz w:val="20"/>
          <w:szCs w:val="20"/>
          <w:lang w:val="es-419" w:eastAsia="es-ES"/>
        </w:rPr>
      </w:pPr>
    </w:p>
    <w:p w14:paraId="742EF011" w14:textId="77777777" w:rsidR="00274371" w:rsidRDefault="00274371" w:rsidP="00274371">
      <w:pPr>
        <w:spacing w:line="240" w:lineRule="auto"/>
        <w:rPr>
          <w:rFonts w:ascii="Arial" w:eastAsia="Times New Roman" w:hAnsi="Arial" w:cs="Arial"/>
          <w:sz w:val="20"/>
          <w:szCs w:val="20"/>
          <w:lang w:val="es-419" w:eastAsia="es-ES"/>
        </w:rPr>
      </w:pPr>
      <w:r w:rsidRPr="00274371">
        <w:rPr>
          <w:rFonts w:ascii="Arial" w:eastAsia="Times New Roman" w:hAnsi="Arial" w:cs="Arial"/>
          <w:sz w:val="20"/>
          <w:szCs w:val="20"/>
          <w:lang w:val="es-419" w:eastAsia="es-ES"/>
        </w:rPr>
        <w:t>“… requieren de una carga probatoria que evidencie suficientemente la ocurrencia de los citados eventos o que se advierta que la situación financiera del demandado resulta insostenible y que, es altamente probable que no pueda cumplirse una eventual condena, siendo necesario precaver la situación, buscando garantizar a lo menos parte de las pretensiones. Dicha carga probatoria, sin duda, recae en cabeza de la parte interesada en que se imponga la medida.</w:t>
      </w:r>
    </w:p>
    <w:p w14:paraId="2C8B7566" w14:textId="77777777" w:rsidR="00274371" w:rsidRDefault="00274371" w:rsidP="00274371">
      <w:pPr>
        <w:spacing w:line="240" w:lineRule="auto"/>
        <w:rPr>
          <w:rFonts w:ascii="Arial" w:eastAsia="Times New Roman" w:hAnsi="Arial" w:cs="Arial"/>
          <w:sz w:val="20"/>
          <w:szCs w:val="20"/>
          <w:lang w:val="es-419" w:eastAsia="es-ES"/>
        </w:rPr>
      </w:pPr>
    </w:p>
    <w:p w14:paraId="73CB5B9A" w14:textId="07022349" w:rsidR="00547D24" w:rsidRPr="00547D24" w:rsidRDefault="00274371" w:rsidP="00274371">
      <w:pPr>
        <w:spacing w:line="240" w:lineRule="auto"/>
        <w:rPr>
          <w:rFonts w:ascii="Arial" w:eastAsia="Times New Roman" w:hAnsi="Arial" w:cs="Arial"/>
          <w:sz w:val="20"/>
          <w:szCs w:val="20"/>
          <w:lang w:val="es-419" w:eastAsia="es-ES"/>
        </w:rPr>
      </w:pPr>
      <w:r w:rsidRPr="00274371">
        <w:rPr>
          <w:rFonts w:ascii="Arial" w:eastAsia="Times New Roman" w:hAnsi="Arial" w:cs="Arial"/>
          <w:sz w:val="20"/>
          <w:szCs w:val="20"/>
          <w:lang w:val="es-419" w:eastAsia="es-ES"/>
        </w:rPr>
        <w:t>No puede pues, quedar la medida cautelar apoyada en meras especulaciones o posibilidades, porque de entenderse así en todos los procesos ordinarios se deberían imponer, pues todos los empleadores u obligados a responder por honorarios, como es el caso, están sujetos a los riesgos del mercado y siempre está dentro de las posibilidades, que puedan pasar por situaciones económicas difíciles</w:t>
      </w:r>
      <w:r>
        <w:rPr>
          <w:rFonts w:ascii="Arial" w:eastAsia="Times New Roman" w:hAnsi="Arial" w:cs="Arial"/>
          <w:sz w:val="20"/>
          <w:szCs w:val="20"/>
          <w:lang w:val="es-419" w:eastAsia="es-ES"/>
        </w:rPr>
        <w:t>…”</w:t>
      </w:r>
    </w:p>
    <w:p w14:paraId="5B8628EA" w14:textId="77777777" w:rsidR="00547D24" w:rsidRPr="00547D24" w:rsidRDefault="00547D24" w:rsidP="00547D24">
      <w:pPr>
        <w:spacing w:line="240" w:lineRule="auto"/>
        <w:rPr>
          <w:rFonts w:ascii="Arial" w:eastAsia="Times New Roman" w:hAnsi="Arial" w:cs="Arial"/>
          <w:sz w:val="20"/>
          <w:szCs w:val="20"/>
          <w:lang w:val="es-419" w:eastAsia="es-ES"/>
        </w:rPr>
      </w:pPr>
    </w:p>
    <w:p w14:paraId="2987BAF5" w14:textId="5841FA43" w:rsidR="00547D24" w:rsidRPr="00547D24" w:rsidRDefault="00274371" w:rsidP="00547D24">
      <w:pPr>
        <w:spacing w:line="240" w:lineRule="auto"/>
        <w:rPr>
          <w:rFonts w:ascii="Arial" w:eastAsia="Times New Roman" w:hAnsi="Arial" w:cs="Arial"/>
          <w:sz w:val="20"/>
          <w:szCs w:val="20"/>
          <w:lang w:val="es-419" w:eastAsia="es-ES"/>
        </w:rPr>
      </w:pPr>
      <w:r w:rsidRPr="00274371">
        <w:rPr>
          <w:rFonts w:ascii="Arial" w:eastAsia="Times New Roman" w:hAnsi="Arial" w:cs="Arial"/>
          <w:sz w:val="20"/>
          <w:szCs w:val="20"/>
          <w:lang w:val="es-419" w:eastAsia="es-ES"/>
        </w:rPr>
        <w:t>Ahora, para dar aplicación a la medida cautelar, esta Corporación también ha planteado  que tal imposición no puede darse de manera automática, pues la norma en cita lo que hace es otorgarle al juez la facultad o potestad de imponer la caución, debiendo valorar en cada caso concreto las circunstancias particulares para decidir si es procedente su imposición y si tiene algún efecto práctico con el fin de garantizar el cumplimiento del fallo en el evento de que el demandado fuese condenado</w:t>
      </w:r>
      <w:r>
        <w:rPr>
          <w:rFonts w:ascii="Arial" w:eastAsia="Times New Roman" w:hAnsi="Arial" w:cs="Arial"/>
          <w:sz w:val="20"/>
          <w:szCs w:val="20"/>
          <w:lang w:val="es-419" w:eastAsia="es-ES"/>
        </w:rPr>
        <w:t>…</w:t>
      </w:r>
    </w:p>
    <w:p w14:paraId="571C1222" w14:textId="77777777" w:rsidR="00547D24" w:rsidRPr="00547D24" w:rsidRDefault="00547D24" w:rsidP="00547D24">
      <w:pPr>
        <w:spacing w:line="240" w:lineRule="auto"/>
        <w:rPr>
          <w:rFonts w:ascii="Arial" w:eastAsia="Times New Roman" w:hAnsi="Arial" w:cs="Arial"/>
          <w:sz w:val="20"/>
          <w:szCs w:val="20"/>
          <w:lang w:val="es-ES" w:eastAsia="es-ES"/>
        </w:rPr>
      </w:pPr>
    </w:p>
    <w:p w14:paraId="6AF086FA" w14:textId="77777777" w:rsidR="00547D24" w:rsidRPr="00547D24" w:rsidRDefault="00547D24" w:rsidP="00547D24">
      <w:pPr>
        <w:spacing w:line="240" w:lineRule="auto"/>
        <w:rPr>
          <w:rFonts w:ascii="Arial" w:eastAsia="Times New Roman" w:hAnsi="Arial" w:cs="Arial"/>
          <w:sz w:val="20"/>
          <w:szCs w:val="20"/>
          <w:lang w:val="es-ES" w:eastAsia="es-ES"/>
        </w:rPr>
      </w:pPr>
    </w:p>
    <w:p w14:paraId="287722DA" w14:textId="77777777" w:rsidR="00547D24" w:rsidRPr="00547D24" w:rsidRDefault="00547D24" w:rsidP="00547D24">
      <w:pPr>
        <w:spacing w:line="240" w:lineRule="auto"/>
        <w:rPr>
          <w:rFonts w:ascii="Arial" w:eastAsia="Times New Roman" w:hAnsi="Arial" w:cs="Arial"/>
          <w:sz w:val="20"/>
          <w:szCs w:val="20"/>
          <w:lang w:val="es-ES" w:eastAsia="es-ES"/>
        </w:rPr>
      </w:pPr>
    </w:p>
    <w:p w14:paraId="689B798F" w14:textId="77777777" w:rsidR="00BB3845" w:rsidRPr="00274371" w:rsidRDefault="00BB3845" w:rsidP="00547D24">
      <w:pPr>
        <w:pStyle w:val="Ttulo4"/>
        <w:widowControl w:val="0"/>
        <w:shd w:val="clear" w:color="auto" w:fill="FFFFFF" w:themeFill="background1"/>
        <w:tabs>
          <w:tab w:val="clear" w:pos="0"/>
        </w:tabs>
        <w:spacing w:line="276" w:lineRule="auto"/>
        <w:rPr>
          <w:rFonts w:ascii="Tahoma" w:hAnsi="Tahoma" w:cs="Tahoma"/>
          <w:bCs/>
          <w:spacing w:val="4"/>
          <w:szCs w:val="24"/>
          <w:lang w:eastAsia="es-MX"/>
        </w:rPr>
      </w:pPr>
      <w:r w:rsidRPr="00274371">
        <w:rPr>
          <w:rFonts w:ascii="Tahoma" w:hAnsi="Tahoma" w:cs="Tahoma"/>
          <w:bCs/>
          <w:spacing w:val="4"/>
          <w:szCs w:val="24"/>
          <w:lang w:eastAsia="es-MX"/>
        </w:rPr>
        <w:t>TRIBUNAL SUPERIOR DEL DISTRITO JUDICIAL DE PEREIRA</w:t>
      </w:r>
    </w:p>
    <w:p w14:paraId="2F936434" w14:textId="77777777" w:rsidR="00BB3845" w:rsidRPr="00274371" w:rsidRDefault="00BB3845" w:rsidP="00547D24">
      <w:pPr>
        <w:pStyle w:val="Ttulo4"/>
        <w:widowControl w:val="0"/>
        <w:shd w:val="clear" w:color="auto" w:fill="FFFFFF" w:themeFill="background1"/>
        <w:tabs>
          <w:tab w:val="clear" w:pos="0"/>
        </w:tabs>
        <w:spacing w:line="276" w:lineRule="auto"/>
        <w:rPr>
          <w:rFonts w:ascii="Tahoma" w:hAnsi="Tahoma" w:cs="Tahoma"/>
          <w:bCs/>
          <w:spacing w:val="4"/>
          <w:szCs w:val="24"/>
          <w:lang w:eastAsia="es-MX"/>
        </w:rPr>
      </w:pPr>
      <w:r w:rsidRPr="00274371">
        <w:rPr>
          <w:rFonts w:ascii="Tahoma" w:hAnsi="Tahoma" w:cs="Tahoma"/>
          <w:bCs/>
          <w:spacing w:val="4"/>
          <w:szCs w:val="24"/>
          <w:lang w:eastAsia="es-MX"/>
        </w:rPr>
        <w:t>SALA PRIMERA DE DECISION LABORAL</w:t>
      </w:r>
    </w:p>
    <w:p w14:paraId="4477DF08" w14:textId="77777777" w:rsidR="00BB3845" w:rsidRPr="00274371" w:rsidRDefault="00BB3845" w:rsidP="00547D24">
      <w:pPr>
        <w:shd w:val="clear" w:color="auto" w:fill="FFFFFF" w:themeFill="background1"/>
        <w:spacing w:line="276" w:lineRule="auto"/>
        <w:jc w:val="center"/>
        <w:rPr>
          <w:rFonts w:cs="Tahoma"/>
          <w:bCs/>
          <w:spacing w:val="4"/>
          <w:szCs w:val="24"/>
        </w:rPr>
      </w:pPr>
    </w:p>
    <w:p w14:paraId="45B3FBF7" w14:textId="77777777" w:rsidR="00BB3845" w:rsidRPr="00274371" w:rsidRDefault="00BB3845" w:rsidP="00547D24">
      <w:pPr>
        <w:shd w:val="clear" w:color="auto" w:fill="FFFFFF" w:themeFill="background1"/>
        <w:spacing w:line="276" w:lineRule="auto"/>
        <w:jc w:val="center"/>
        <w:textAlignment w:val="baseline"/>
        <w:rPr>
          <w:rFonts w:eastAsia="Times New Roman" w:cs="Tahoma"/>
          <w:spacing w:val="4"/>
          <w:szCs w:val="24"/>
          <w:lang w:eastAsia="es-CO"/>
        </w:rPr>
      </w:pPr>
      <w:r w:rsidRPr="00274371">
        <w:rPr>
          <w:rFonts w:eastAsia="Times New Roman" w:cs="Tahoma"/>
          <w:spacing w:val="4"/>
          <w:szCs w:val="24"/>
          <w:lang w:eastAsia="es-CO"/>
        </w:rPr>
        <w:t>Magistrada Ponente: </w:t>
      </w:r>
      <w:r w:rsidRPr="00274371">
        <w:rPr>
          <w:rFonts w:eastAsia="Times New Roman" w:cs="Tahoma"/>
          <w:b/>
          <w:bCs/>
          <w:spacing w:val="4"/>
          <w:szCs w:val="24"/>
          <w:lang w:eastAsia="es-CO"/>
        </w:rPr>
        <w:t>Ana Lucía Caicedo Calderón</w:t>
      </w:r>
      <w:r w:rsidRPr="00274371">
        <w:rPr>
          <w:rFonts w:eastAsia="Times New Roman" w:cs="Tahoma"/>
          <w:spacing w:val="4"/>
          <w:szCs w:val="24"/>
          <w:lang w:eastAsia="es-CO"/>
        </w:rPr>
        <w:t> </w:t>
      </w:r>
    </w:p>
    <w:p w14:paraId="24D60634" w14:textId="77777777" w:rsidR="00BB3845" w:rsidRPr="00274371" w:rsidRDefault="00BB3845" w:rsidP="00547D24">
      <w:pPr>
        <w:shd w:val="clear" w:color="auto" w:fill="FFFFFF" w:themeFill="background1"/>
        <w:spacing w:line="276" w:lineRule="auto"/>
        <w:jc w:val="center"/>
        <w:textAlignment w:val="baseline"/>
        <w:rPr>
          <w:rFonts w:eastAsia="Times New Roman" w:cs="Tahoma"/>
          <w:spacing w:val="4"/>
          <w:szCs w:val="24"/>
          <w:lang w:eastAsia="es-CO"/>
        </w:rPr>
      </w:pPr>
      <w:r w:rsidRPr="00274371">
        <w:rPr>
          <w:rFonts w:eastAsia="Times New Roman" w:cs="Tahoma"/>
          <w:spacing w:val="4"/>
          <w:szCs w:val="24"/>
          <w:lang w:eastAsia="es-CO"/>
        </w:rPr>
        <w:t> </w:t>
      </w:r>
    </w:p>
    <w:p w14:paraId="4D1A316A" w14:textId="77777777" w:rsidR="007A507E" w:rsidRPr="00274371" w:rsidRDefault="007A507E" w:rsidP="00547D24">
      <w:pPr>
        <w:spacing w:line="276" w:lineRule="auto"/>
        <w:jc w:val="center"/>
        <w:rPr>
          <w:rFonts w:cs="Tahoma"/>
          <w:spacing w:val="4"/>
          <w:kern w:val="2"/>
          <w:szCs w:val="24"/>
        </w:rPr>
      </w:pPr>
      <w:bookmarkStart w:id="0" w:name="_Hlk56062729"/>
      <w:r w:rsidRPr="00274371">
        <w:rPr>
          <w:rFonts w:cs="Tahoma"/>
          <w:spacing w:val="4"/>
          <w:kern w:val="2"/>
          <w:szCs w:val="24"/>
        </w:rPr>
        <w:t>Pereira, Risaralda, noviembre veintitrés (23</w:t>
      </w:r>
      <w:proofErr w:type="gramStart"/>
      <w:r w:rsidRPr="00274371">
        <w:rPr>
          <w:rFonts w:cs="Tahoma"/>
          <w:spacing w:val="4"/>
          <w:kern w:val="2"/>
          <w:szCs w:val="24"/>
        </w:rPr>
        <w:t>) </w:t>
      </w:r>
      <w:proofErr w:type="gramEnd"/>
      <w:r w:rsidRPr="00274371">
        <w:rPr>
          <w:rFonts w:cs="Tahoma"/>
          <w:spacing w:val="4"/>
          <w:kern w:val="2"/>
          <w:szCs w:val="24"/>
        </w:rPr>
        <w:t>de dos mil veinte (2020) </w:t>
      </w:r>
    </w:p>
    <w:p w14:paraId="00E68EAC" w14:textId="77777777" w:rsidR="007A507E" w:rsidRPr="00274371" w:rsidRDefault="007A507E" w:rsidP="00547D24">
      <w:pPr>
        <w:spacing w:line="276" w:lineRule="auto"/>
        <w:jc w:val="center"/>
        <w:rPr>
          <w:rFonts w:cs="Tahoma"/>
          <w:spacing w:val="4"/>
          <w:kern w:val="2"/>
          <w:szCs w:val="24"/>
        </w:rPr>
      </w:pPr>
    </w:p>
    <w:p w14:paraId="27FC03D3" w14:textId="1136516B" w:rsidR="007A507E" w:rsidRPr="00274371" w:rsidRDefault="007A507E" w:rsidP="00547D24">
      <w:pPr>
        <w:spacing w:line="276" w:lineRule="auto"/>
        <w:jc w:val="center"/>
        <w:rPr>
          <w:rFonts w:cs="Tahoma"/>
          <w:spacing w:val="4"/>
          <w:kern w:val="2"/>
          <w:szCs w:val="24"/>
        </w:rPr>
      </w:pPr>
      <w:r w:rsidRPr="00274371">
        <w:rPr>
          <w:rFonts w:cs="Tahoma"/>
          <w:spacing w:val="4"/>
          <w:kern w:val="2"/>
          <w:szCs w:val="24"/>
        </w:rPr>
        <w:t>Acta No</w:t>
      </w:r>
      <w:r w:rsidR="00BA7CA0" w:rsidRPr="00274371">
        <w:rPr>
          <w:rFonts w:cs="Tahoma"/>
          <w:spacing w:val="4"/>
          <w:kern w:val="2"/>
          <w:szCs w:val="24"/>
        </w:rPr>
        <w:t>174</w:t>
      </w:r>
      <w:r w:rsidRPr="00274371">
        <w:rPr>
          <w:rFonts w:cs="Tahoma"/>
          <w:spacing w:val="4"/>
          <w:kern w:val="2"/>
          <w:szCs w:val="24"/>
        </w:rPr>
        <w:t xml:space="preserve"> del 19 de noviembre de 2020</w:t>
      </w:r>
    </w:p>
    <w:bookmarkEnd w:id="0"/>
    <w:p w14:paraId="2874D496" w14:textId="77777777" w:rsidR="00BB3845" w:rsidRPr="00274371" w:rsidRDefault="00BB3845" w:rsidP="00547D24">
      <w:pPr>
        <w:shd w:val="clear" w:color="auto" w:fill="FFFFFF" w:themeFill="background1"/>
        <w:spacing w:line="276" w:lineRule="auto"/>
        <w:jc w:val="center"/>
        <w:rPr>
          <w:rFonts w:cs="Tahoma"/>
          <w:b/>
          <w:spacing w:val="4"/>
          <w:szCs w:val="24"/>
        </w:rPr>
      </w:pPr>
    </w:p>
    <w:p w14:paraId="762ACB9B" w14:textId="77777777" w:rsidR="00274371" w:rsidRPr="00274371" w:rsidRDefault="00274371" w:rsidP="00547D24">
      <w:pPr>
        <w:shd w:val="clear" w:color="auto" w:fill="FFFFFF" w:themeFill="background1"/>
        <w:spacing w:line="276" w:lineRule="auto"/>
        <w:jc w:val="center"/>
        <w:rPr>
          <w:rFonts w:cs="Tahoma"/>
          <w:b/>
          <w:spacing w:val="4"/>
          <w:szCs w:val="24"/>
        </w:rPr>
      </w:pPr>
    </w:p>
    <w:p w14:paraId="29FBCD88" w14:textId="6E852A2A" w:rsidR="00BB3845" w:rsidRPr="00274371" w:rsidRDefault="00BB3845" w:rsidP="00547D24">
      <w:pPr>
        <w:shd w:val="clear" w:color="auto" w:fill="FFFFFF" w:themeFill="background1"/>
        <w:spacing w:line="276" w:lineRule="auto"/>
        <w:ind w:firstLine="426"/>
        <w:rPr>
          <w:rFonts w:cs="Tahoma"/>
          <w:spacing w:val="4"/>
          <w:szCs w:val="24"/>
          <w:lang w:val="es-ES_tradnl"/>
        </w:rPr>
      </w:pPr>
      <w:r w:rsidRPr="00274371">
        <w:rPr>
          <w:rFonts w:cs="Tahoma"/>
          <w:spacing w:val="4"/>
          <w:szCs w:val="24"/>
          <w:lang w:val="es-ES_tradnl"/>
        </w:rPr>
        <w:lastRenderedPageBreak/>
        <w:t>Teniendo en cuenta que el artículo 15 del Decreto No. 806 del 4 de junio de 2020, expedido por el Ministerio de Justicia y del Derecho, estableció que en la especialidad laboral</w:t>
      </w:r>
      <w:r w:rsidRPr="00274371">
        <w:rPr>
          <w:rFonts w:cs="Tahoma"/>
          <w:spacing w:val="4"/>
          <w:szCs w:val="24"/>
        </w:rPr>
        <w:t xml:space="preserve"> </w:t>
      </w:r>
      <w:r w:rsidRPr="00274371">
        <w:rPr>
          <w:rFonts w:cs="Tahoma"/>
          <w:spacing w:val="4"/>
          <w:szCs w:val="24"/>
          <w:lang w:val="es-ES_tradnl"/>
        </w:rPr>
        <w:t>se proferirán por escrito</w:t>
      </w:r>
      <w:r w:rsidRPr="00274371">
        <w:rPr>
          <w:rFonts w:cs="Tahoma"/>
          <w:spacing w:val="4"/>
          <w:szCs w:val="24"/>
        </w:rPr>
        <w:t xml:space="preserve"> </w:t>
      </w:r>
      <w:r w:rsidRPr="00274371">
        <w:rPr>
          <w:rFonts w:cs="Tahoma"/>
          <w:spacing w:val="4"/>
          <w:szCs w:val="24"/>
          <w:lang w:val="es-ES_tradnl"/>
        </w:rPr>
        <w:t xml:space="preserve">las providencias de segunda instancia en las que se surta el grado jurisdiccional de consulta o se resuelva el recurso de apelación de autos o sentencias, </w:t>
      </w:r>
      <w:r w:rsidRPr="00274371">
        <w:rPr>
          <w:rFonts w:cs="Tahoma"/>
          <w:spacing w:val="4"/>
          <w:szCs w:val="24"/>
        </w:rPr>
        <w:t>la Sala de Decisión Laboral No. 1 del Tribunal Superior de Pereira, integrada por las Magistradas ANA LUCÍA CAICEDO CALDERÓN como Ponente, OLGA LUCÍA HOYOS SEPÚLVEDA y el Magistrado JULIO CÉSAR SALAZAR MUÑOZ, procede a proferir decisión escrita dentro del proceso ejecutivo laboral instaurado por</w:t>
      </w:r>
      <w:r w:rsidRPr="00274371">
        <w:rPr>
          <w:rFonts w:cs="Tahoma"/>
          <w:spacing w:val="4"/>
          <w:szCs w:val="24"/>
          <w:lang w:val="es-ES_tradnl"/>
        </w:rPr>
        <w:t xml:space="preserve"> </w:t>
      </w:r>
      <w:r w:rsidRPr="00274371">
        <w:rPr>
          <w:rFonts w:cs="Tahoma"/>
          <w:b/>
          <w:bCs/>
          <w:spacing w:val="4"/>
          <w:szCs w:val="24"/>
          <w:lang w:val="es-ES_tradnl"/>
        </w:rPr>
        <w:t xml:space="preserve">José Alexander Rivadeneira Salgado </w:t>
      </w:r>
      <w:r w:rsidRPr="00274371">
        <w:rPr>
          <w:rFonts w:cs="Tahoma"/>
          <w:spacing w:val="4"/>
          <w:szCs w:val="24"/>
          <w:lang w:val="es-ES_tradnl"/>
        </w:rPr>
        <w:t xml:space="preserve">en contra de la </w:t>
      </w:r>
      <w:r w:rsidRPr="00274371">
        <w:rPr>
          <w:rFonts w:cs="Tahoma"/>
          <w:b/>
          <w:spacing w:val="4"/>
          <w:szCs w:val="24"/>
          <w:lang w:val="es-ES_tradnl"/>
        </w:rPr>
        <w:t>Transportes Urbano Cañarte Ltda.</w:t>
      </w:r>
    </w:p>
    <w:p w14:paraId="3C08991F" w14:textId="77777777" w:rsidR="00BB3845" w:rsidRPr="00274371" w:rsidRDefault="00BB3845" w:rsidP="00547D24">
      <w:pPr>
        <w:shd w:val="clear" w:color="auto" w:fill="FFFFFF" w:themeFill="background1"/>
        <w:spacing w:line="276" w:lineRule="auto"/>
        <w:ind w:firstLine="708"/>
        <w:rPr>
          <w:rFonts w:cs="Tahoma"/>
          <w:spacing w:val="4"/>
          <w:szCs w:val="24"/>
          <w:lang w:val="es-ES_tradnl"/>
        </w:rPr>
      </w:pPr>
    </w:p>
    <w:p w14:paraId="30E71560" w14:textId="77777777" w:rsidR="00BB3845" w:rsidRPr="00274371" w:rsidRDefault="00BB3845" w:rsidP="00547D24">
      <w:pPr>
        <w:pStyle w:val="paragraph"/>
        <w:shd w:val="clear" w:color="auto" w:fill="FFFFFF" w:themeFill="background1"/>
        <w:spacing w:before="0" w:beforeAutospacing="0" w:after="0" w:afterAutospacing="0" w:line="276" w:lineRule="auto"/>
        <w:jc w:val="center"/>
        <w:textAlignment w:val="baseline"/>
        <w:rPr>
          <w:rFonts w:ascii="Tahoma" w:hAnsi="Tahoma" w:cs="Tahoma"/>
          <w:spacing w:val="4"/>
        </w:rPr>
      </w:pPr>
      <w:r w:rsidRPr="00274371">
        <w:rPr>
          <w:rStyle w:val="normaltextrun"/>
          <w:rFonts w:ascii="Tahoma" w:hAnsi="Tahoma" w:cs="Tahoma"/>
          <w:b/>
          <w:bCs/>
          <w:spacing w:val="4"/>
        </w:rPr>
        <w:t>PUNTO A TRATAR</w:t>
      </w:r>
    </w:p>
    <w:p w14:paraId="2C2BD8EC" w14:textId="77777777" w:rsidR="00BB3845" w:rsidRPr="00274371" w:rsidRDefault="00BB3845" w:rsidP="00547D24">
      <w:pPr>
        <w:pStyle w:val="paragraph"/>
        <w:shd w:val="clear" w:color="auto" w:fill="FFFFFF" w:themeFill="background1"/>
        <w:spacing w:before="0" w:beforeAutospacing="0" w:after="0" w:afterAutospacing="0" w:line="276" w:lineRule="auto"/>
        <w:ind w:firstLine="705"/>
        <w:jc w:val="center"/>
        <w:textAlignment w:val="baseline"/>
        <w:rPr>
          <w:rFonts w:ascii="Tahoma" w:hAnsi="Tahoma" w:cs="Tahoma"/>
          <w:spacing w:val="4"/>
        </w:rPr>
      </w:pPr>
      <w:r w:rsidRPr="00274371">
        <w:rPr>
          <w:rStyle w:val="eop"/>
          <w:rFonts w:ascii="Tahoma" w:hAnsi="Tahoma" w:cs="Tahoma"/>
          <w:spacing w:val="4"/>
        </w:rPr>
        <w:t> </w:t>
      </w:r>
    </w:p>
    <w:p w14:paraId="292D8F6E" w14:textId="259377D1" w:rsidR="00BB3845" w:rsidRPr="00274371" w:rsidRDefault="00BB3845" w:rsidP="00547D24">
      <w:pPr>
        <w:shd w:val="clear" w:color="auto" w:fill="FFFFFF" w:themeFill="background1"/>
        <w:spacing w:line="276" w:lineRule="auto"/>
        <w:ind w:firstLine="426"/>
        <w:rPr>
          <w:rStyle w:val="normaltextrun"/>
          <w:rFonts w:eastAsia="Times New Roman" w:cs="Tahoma"/>
          <w:spacing w:val="4"/>
          <w:szCs w:val="24"/>
          <w:lang w:eastAsia="es-ES_tradnl"/>
        </w:rPr>
      </w:pPr>
      <w:r w:rsidRPr="00274371">
        <w:rPr>
          <w:rStyle w:val="normaltextrun"/>
          <w:rFonts w:eastAsia="Times New Roman" w:cs="Tahoma"/>
          <w:spacing w:val="4"/>
          <w:szCs w:val="24"/>
          <w:lang w:eastAsia="es-ES_tradnl"/>
        </w:rPr>
        <w:t xml:space="preserve">Por medio de la presente providencia se entra a desatar el recurso de apelación interpuesto por la parte ejecutante contra el auto proferido el 22 de noviembre de 2019, por medio del cual se impuso una caución a la empresa demandada, en aplicación del artículo 85A del CPTSS. En sesión previa que se hizo constar en la mencionada acta, la Sala discutió y aprobó el proyecto que presentó la Magistrada Ponente, el cual alude al siguiente auto </w:t>
      </w:r>
      <w:r w:rsidRPr="00274371">
        <w:rPr>
          <w:rStyle w:val="normaltextrun"/>
          <w:rFonts w:eastAsia="Times New Roman" w:cs="Tahoma"/>
          <w:b/>
          <w:bCs/>
          <w:spacing w:val="4"/>
          <w:szCs w:val="24"/>
          <w:lang w:eastAsia="es-ES_tradnl"/>
        </w:rPr>
        <w:t>interlocutorio</w:t>
      </w:r>
      <w:r w:rsidRPr="00274371">
        <w:rPr>
          <w:rStyle w:val="normaltextrun"/>
          <w:rFonts w:eastAsia="Times New Roman" w:cs="Tahoma"/>
          <w:spacing w:val="4"/>
          <w:szCs w:val="24"/>
          <w:lang w:eastAsia="es-ES_tradnl"/>
        </w:rPr>
        <w:t>.</w:t>
      </w:r>
    </w:p>
    <w:p w14:paraId="4DB2AAD2" w14:textId="5A501E8B" w:rsidR="00797662" w:rsidRPr="00274371" w:rsidRDefault="00797662" w:rsidP="00547D24">
      <w:pPr>
        <w:spacing w:line="276" w:lineRule="auto"/>
        <w:rPr>
          <w:rFonts w:cs="Tahoma"/>
          <w:spacing w:val="4"/>
          <w:szCs w:val="24"/>
        </w:rPr>
      </w:pPr>
    </w:p>
    <w:p w14:paraId="4EB095AF" w14:textId="31022163" w:rsidR="00797662" w:rsidRPr="00274371" w:rsidRDefault="00797662" w:rsidP="00547D24">
      <w:pPr>
        <w:pStyle w:val="Prrafodelista"/>
        <w:numPr>
          <w:ilvl w:val="0"/>
          <w:numId w:val="2"/>
        </w:numPr>
        <w:spacing w:line="276" w:lineRule="auto"/>
        <w:jc w:val="center"/>
        <w:rPr>
          <w:rFonts w:cs="Tahoma"/>
          <w:b/>
          <w:bCs/>
          <w:spacing w:val="4"/>
          <w:szCs w:val="24"/>
        </w:rPr>
      </w:pPr>
      <w:r w:rsidRPr="00274371">
        <w:rPr>
          <w:rFonts w:cs="Tahoma"/>
          <w:b/>
          <w:bCs/>
          <w:spacing w:val="4"/>
          <w:szCs w:val="24"/>
        </w:rPr>
        <w:t>Antecedentes</w:t>
      </w:r>
      <w:r w:rsidR="00BB3845" w:rsidRPr="00274371">
        <w:rPr>
          <w:rFonts w:cs="Tahoma"/>
          <w:b/>
          <w:bCs/>
          <w:spacing w:val="4"/>
          <w:szCs w:val="24"/>
        </w:rPr>
        <w:t xml:space="preserve"> procesales</w:t>
      </w:r>
    </w:p>
    <w:p w14:paraId="51C4651B" w14:textId="2F03A6E7" w:rsidR="00797662" w:rsidRPr="00274371" w:rsidRDefault="00797662" w:rsidP="00547D24">
      <w:pPr>
        <w:spacing w:line="276" w:lineRule="auto"/>
        <w:rPr>
          <w:rFonts w:cs="Tahoma"/>
          <w:spacing w:val="4"/>
          <w:szCs w:val="24"/>
        </w:rPr>
      </w:pPr>
    </w:p>
    <w:p w14:paraId="3A26BF2A" w14:textId="7ADC8D3C" w:rsidR="00797662" w:rsidRPr="00274371" w:rsidRDefault="00797662" w:rsidP="00547D24">
      <w:pPr>
        <w:spacing w:line="276" w:lineRule="auto"/>
        <w:ind w:firstLine="360"/>
        <w:rPr>
          <w:rFonts w:cs="Tahoma"/>
          <w:spacing w:val="4"/>
          <w:szCs w:val="24"/>
        </w:rPr>
      </w:pPr>
      <w:r w:rsidRPr="00274371">
        <w:rPr>
          <w:rFonts w:cs="Tahoma"/>
          <w:spacing w:val="4"/>
          <w:szCs w:val="24"/>
        </w:rPr>
        <w:t xml:space="preserve">El Sr- José Alexander Rivadeneira Salgado, demanda a Transportes Urbanos Cañarte Ltda. </w:t>
      </w:r>
      <w:proofErr w:type="gramStart"/>
      <w:r w:rsidRPr="00274371">
        <w:rPr>
          <w:rFonts w:cs="Tahoma"/>
          <w:spacing w:val="4"/>
          <w:szCs w:val="24"/>
        </w:rPr>
        <w:t>con</w:t>
      </w:r>
      <w:proofErr w:type="gramEnd"/>
      <w:r w:rsidRPr="00274371">
        <w:rPr>
          <w:rFonts w:cs="Tahoma"/>
          <w:spacing w:val="4"/>
          <w:szCs w:val="24"/>
        </w:rPr>
        <w:t xml:space="preserve"> la finalidad de que se condene al pago de $215.388.807 o lo que pericialmente se fije, </w:t>
      </w:r>
      <w:r w:rsidR="00435AA3" w:rsidRPr="00274371">
        <w:rPr>
          <w:rFonts w:cs="Tahoma"/>
          <w:spacing w:val="4"/>
          <w:szCs w:val="24"/>
        </w:rPr>
        <w:t>por</w:t>
      </w:r>
      <w:r w:rsidRPr="00274371">
        <w:rPr>
          <w:rFonts w:cs="Tahoma"/>
          <w:spacing w:val="4"/>
          <w:szCs w:val="24"/>
        </w:rPr>
        <w:t xml:space="preserve"> los servicios profesionales </w:t>
      </w:r>
      <w:r w:rsidR="00435AA3" w:rsidRPr="00274371">
        <w:rPr>
          <w:rFonts w:cs="Tahoma"/>
          <w:spacing w:val="4"/>
          <w:szCs w:val="24"/>
        </w:rPr>
        <w:t xml:space="preserve">que como abogado </w:t>
      </w:r>
      <w:r w:rsidRPr="00274371">
        <w:rPr>
          <w:rFonts w:cs="Tahoma"/>
          <w:spacing w:val="4"/>
          <w:szCs w:val="24"/>
        </w:rPr>
        <w:t>prest</w:t>
      </w:r>
      <w:r w:rsidR="00FB20E8" w:rsidRPr="00274371">
        <w:rPr>
          <w:rFonts w:cs="Tahoma"/>
          <w:spacing w:val="4"/>
          <w:szCs w:val="24"/>
        </w:rPr>
        <w:t>ó</w:t>
      </w:r>
      <w:r w:rsidRPr="00274371">
        <w:rPr>
          <w:rFonts w:cs="Tahoma"/>
          <w:spacing w:val="4"/>
          <w:szCs w:val="24"/>
        </w:rPr>
        <w:t xml:space="preserve"> </w:t>
      </w:r>
      <w:r w:rsidR="00435AA3" w:rsidRPr="00274371">
        <w:rPr>
          <w:rFonts w:cs="Tahoma"/>
          <w:spacing w:val="4"/>
          <w:szCs w:val="24"/>
        </w:rPr>
        <w:t xml:space="preserve">a la demandada </w:t>
      </w:r>
      <w:r w:rsidRPr="00274371">
        <w:rPr>
          <w:rFonts w:cs="Tahoma"/>
          <w:spacing w:val="4"/>
          <w:szCs w:val="24"/>
        </w:rPr>
        <w:t>dentro de un proceso de reparación civil, además de los intereses moratorios y costas.</w:t>
      </w:r>
    </w:p>
    <w:p w14:paraId="7D4D584E" w14:textId="1B41912A" w:rsidR="00797662" w:rsidRPr="00274371" w:rsidRDefault="00797662" w:rsidP="00547D24">
      <w:pPr>
        <w:spacing w:line="276" w:lineRule="auto"/>
        <w:rPr>
          <w:rFonts w:cs="Tahoma"/>
          <w:spacing w:val="4"/>
          <w:szCs w:val="24"/>
        </w:rPr>
      </w:pPr>
    </w:p>
    <w:p w14:paraId="3D6AB03B" w14:textId="606AD05F" w:rsidR="00797662" w:rsidRPr="00274371" w:rsidRDefault="00797662" w:rsidP="00547D24">
      <w:pPr>
        <w:spacing w:line="276" w:lineRule="auto"/>
        <w:ind w:firstLine="360"/>
        <w:rPr>
          <w:rFonts w:cs="Tahoma"/>
          <w:spacing w:val="4"/>
          <w:szCs w:val="24"/>
        </w:rPr>
      </w:pPr>
      <w:r w:rsidRPr="00274371">
        <w:rPr>
          <w:rFonts w:cs="Tahoma"/>
          <w:spacing w:val="4"/>
          <w:szCs w:val="24"/>
        </w:rPr>
        <w:t>Luego de presentada la demanda, mediante comunicación informó al Juez de conocimiento que la empresa demandada había sido vendida, solicitando la imposición de una caución del 50% sobre el valor de lo pretendido al desconocer las intenciones del nuevo adquiriente.</w:t>
      </w:r>
    </w:p>
    <w:p w14:paraId="1719F46F" w14:textId="091EFE5E" w:rsidR="00797662" w:rsidRPr="00274371" w:rsidRDefault="00797662" w:rsidP="00547D24">
      <w:pPr>
        <w:spacing w:line="276" w:lineRule="auto"/>
        <w:rPr>
          <w:rFonts w:cs="Tahoma"/>
          <w:spacing w:val="4"/>
          <w:szCs w:val="24"/>
        </w:rPr>
      </w:pPr>
    </w:p>
    <w:p w14:paraId="527CC529" w14:textId="55BAD91A" w:rsidR="00797662" w:rsidRPr="00274371" w:rsidRDefault="00797662" w:rsidP="00547D24">
      <w:pPr>
        <w:pStyle w:val="Prrafodelista"/>
        <w:numPr>
          <w:ilvl w:val="0"/>
          <w:numId w:val="2"/>
        </w:numPr>
        <w:spacing w:line="276" w:lineRule="auto"/>
        <w:jc w:val="center"/>
        <w:rPr>
          <w:rFonts w:cs="Tahoma"/>
          <w:b/>
          <w:bCs/>
          <w:spacing w:val="4"/>
          <w:szCs w:val="24"/>
        </w:rPr>
      </w:pPr>
      <w:r w:rsidRPr="00274371">
        <w:rPr>
          <w:rFonts w:cs="Tahoma"/>
          <w:b/>
          <w:bCs/>
          <w:spacing w:val="4"/>
          <w:szCs w:val="24"/>
        </w:rPr>
        <w:t>Auto apelado</w:t>
      </w:r>
    </w:p>
    <w:p w14:paraId="05BD999D" w14:textId="6B5B11CB" w:rsidR="00797662" w:rsidRPr="00274371" w:rsidRDefault="00797662" w:rsidP="00547D24">
      <w:pPr>
        <w:spacing w:line="276" w:lineRule="auto"/>
        <w:rPr>
          <w:rFonts w:cs="Tahoma"/>
          <w:spacing w:val="4"/>
          <w:szCs w:val="24"/>
        </w:rPr>
      </w:pPr>
    </w:p>
    <w:p w14:paraId="56BAC334" w14:textId="5EC40E37" w:rsidR="00AE3D77" w:rsidRPr="00274371" w:rsidRDefault="00797662" w:rsidP="00547D24">
      <w:pPr>
        <w:spacing w:line="276" w:lineRule="auto"/>
        <w:ind w:firstLine="360"/>
        <w:rPr>
          <w:rFonts w:cs="Tahoma"/>
          <w:spacing w:val="4"/>
          <w:szCs w:val="24"/>
        </w:rPr>
      </w:pPr>
      <w:r w:rsidRPr="00274371">
        <w:rPr>
          <w:rFonts w:cs="Tahoma"/>
          <w:spacing w:val="4"/>
          <w:szCs w:val="24"/>
        </w:rPr>
        <w:t xml:space="preserve">El juzgado laboral del circuito de Dosquebradas, </w:t>
      </w:r>
      <w:r w:rsidR="00DC5DF3" w:rsidRPr="00274371">
        <w:rPr>
          <w:rFonts w:cs="Tahoma"/>
          <w:spacing w:val="4"/>
          <w:szCs w:val="24"/>
        </w:rPr>
        <w:t>en</w:t>
      </w:r>
      <w:r w:rsidRPr="00274371">
        <w:rPr>
          <w:rFonts w:cs="Tahoma"/>
          <w:spacing w:val="4"/>
          <w:szCs w:val="24"/>
        </w:rPr>
        <w:t xml:space="preserve"> proveído del 22 de noviembre de 2019, dispuso la imposición de caución a la sociedad demandada por valor de $69.000.000.</w:t>
      </w:r>
      <w:r w:rsidR="00AE3D77" w:rsidRPr="00274371">
        <w:rPr>
          <w:rFonts w:cs="Tahoma"/>
          <w:spacing w:val="4"/>
          <w:szCs w:val="24"/>
        </w:rPr>
        <w:t xml:space="preserve"> A dicha determinación</w:t>
      </w:r>
      <w:r w:rsidR="00787D2F" w:rsidRPr="00274371">
        <w:rPr>
          <w:rFonts w:cs="Tahoma"/>
          <w:spacing w:val="4"/>
          <w:szCs w:val="24"/>
        </w:rPr>
        <w:t xml:space="preserve"> llegó luego de</w:t>
      </w:r>
      <w:r w:rsidR="00AE3D77" w:rsidRPr="00274371">
        <w:rPr>
          <w:rFonts w:cs="Tahoma"/>
          <w:spacing w:val="4"/>
          <w:szCs w:val="24"/>
        </w:rPr>
        <w:t xml:space="preserve"> considerar que </w:t>
      </w:r>
      <w:r w:rsidR="00787D2F" w:rsidRPr="00274371">
        <w:rPr>
          <w:rFonts w:cs="Tahoma"/>
          <w:spacing w:val="4"/>
          <w:szCs w:val="24"/>
        </w:rPr>
        <w:t xml:space="preserve">la demandada </w:t>
      </w:r>
      <w:r w:rsidR="00AE3D77" w:rsidRPr="00274371">
        <w:rPr>
          <w:rFonts w:cs="Tahoma"/>
          <w:spacing w:val="4"/>
          <w:szCs w:val="24"/>
        </w:rPr>
        <w:t>se encontraba en graves y serias dificultades para el cumplimiento oportuno de sus obligaciones, para lo cual se basó en que su pasivo era más alto que el activo, sin contar con provisión para un eventual pago de la condena.</w:t>
      </w:r>
    </w:p>
    <w:p w14:paraId="00A9D62A" w14:textId="0E89B445" w:rsidR="00797662" w:rsidRPr="00274371" w:rsidRDefault="00797662" w:rsidP="00547D24">
      <w:pPr>
        <w:spacing w:line="276" w:lineRule="auto"/>
        <w:rPr>
          <w:rFonts w:cs="Tahoma"/>
          <w:spacing w:val="4"/>
          <w:szCs w:val="24"/>
        </w:rPr>
      </w:pPr>
    </w:p>
    <w:p w14:paraId="55104A72" w14:textId="25AB94F6" w:rsidR="00AE3D77" w:rsidRPr="00274371" w:rsidRDefault="00AE3D77" w:rsidP="00547D24">
      <w:pPr>
        <w:pStyle w:val="Prrafodelista"/>
        <w:numPr>
          <w:ilvl w:val="0"/>
          <w:numId w:val="2"/>
        </w:numPr>
        <w:spacing w:line="276" w:lineRule="auto"/>
        <w:jc w:val="center"/>
        <w:rPr>
          <w:rFonts w:cs="Tahoma"/>
          <w:b/>
          <w:bCs/>
          <w:spacing w:val="4"/>
          <w:szCs w:val="24"/>
        </w:rPr>
      </w:pPr>
      <w:r w:rsidRPr="00274371">
        <w:rPr>
          <w:rFonts w:cs="Tahoma"/>
          <w:b/>
          <w:bCs/>
          <w:spacing w:val="4"/>
          <w:szCs w:val="24"/>
        </w:rPr>
        <w:t xml:space="preserve">Recurso de apelación </w:t>
      </w:r>
    </w:p>
    <w:p w14:paraId="6D04D705" w14:textId="77777777" w:rsidR="00AE3D77" w:rsidRPr="00274371" w:rsidRDefault="00AE3D77" w:rsidP="00547D24">
      <w:pPr>
        <w:spacing w:line="276" w:lineRule="auto"/>
        <w:ind w:right="51"/>
        <w:rPr>
          <w:rFonts w:cs="Tahoma"/>
          <w:spacing w:val="4"/>
          <w:szCs w:val="24"/>
        </w:rPr>
      </w:pPr>
    </w:p>
    <w:p w14:paraId="086D5959" w14:textId="68410A4A" w:rsidR="00787D2F" w:rsidRPr="00274371" w:rsidRDefault="00AE3D77" w:rsidP="00547D24">
      <w:pPr>
        <w:spacing w:line="276" w:lineRule="auto"/>
        <w:ind w:firstLine="360"/>
        <w:rPr>
          <w:rFonts w:cs="Tahoma"/>
          <w:spacing w:val="4"/>
          <w:szCs w:val="24"/>
        </w:rPr>
      </w:pPr>
      <w:r w:rsidRPr="00274371">
        <w:rPr>
          <w:rFonts w:cs="Tahoma"/>
          <w:spacing w:val="4"/>
          <w:szCs w:val="24"/>
        </w:rPr>
        <w:t xml:space="preserve">Inconforme con la decisión, </w:t>
      </w:r>
      <w:r w:rsidR="00787D2F" w:rsidRPr="00274371">
        <w:rPr>
          <w:rFonts w:cs="Tahoma"/>
          <w:spacing w:val="4"/>
          <w:szCs w:val="24"/>
        </w:rPr>
        <w:t xml:space="preserve">la entidad demandada apeló </w:t>
      </w:r>
      <w:r w:rsidRPr="00274371">
        <w:rPr>
          <w:rFonts w:cs="Tahoma"/>
          <w:spacing w:val="4"/>
          <w:szCs w:val="24"/>
        </w:rPr>
        <w:t xml:space="preserve">con el fin de que se revocara la caución impuesta, argumentando </w:t>
      </w:r>
      <w:r w:rsidR="00787D2F" w:rsidRPr="00274371">
        <w:rPr>
          <w:rFonts w:cs="Tahoma"/>
          <w:spacing w:val="4"/>
          <w:szCs w:val="24"/>
        </w:rPr>
        <w:t xml:space="preserve">que su contraparte había solicitado </w:t>
      </w:r>
      <w:r w:rsidR="00787D2F" w:rsidRPr="00274371">
        <w:rPr>
          <w:rFonts w:cs="Tahoma"/>
          <w:spacing w:val="4"/>
          <w:szCs w:val="24"/>
        </w:rPr>
        <w:lastRenderedPageBreak/>
        <w:t xml:space="preserve">la medida cautelar sobre </w:t>
      </w:r>
      <w:r w:rsidRPr="00274371">
        <w:rPr>
          <w:rFonts w:cs="Tahoma"/>
          <w:spacing w:val="4"/>
          <w:szCs w:val="24"/>
        </w:rPr>
        <w:t>una presunta venta de acciones</w:t>
      </w:r>
      <w:r w:rsidR="00787D2F" w:rsidRPr="00274371">
        <w:rPr>
          <w:rFonts w:cs="Tahoma"/>
          <w:spacing w:val="4"/>
          <w:szCs w:val="24"/>
        </w:rPr>
        <w:t xml:space="preserve"> sin presentar prueba alguna, en tanto que la decisión del a-quo se había basado en </w:t>
      </w:r>
      <w:r w:rsidR="00491DCA" w:rsidRPr="00274371">
        <w:rPr>
          <w:rFonts w:cs="Tahoma"/>
          <w:spacing w:val="4"/>
          <w:szCs w:val="24"/>
        </w:rPr>
        <w:t xml:space="preserve">la existencia de </w:t>
      </w:r>
      <w:r w:rsidRPr="00274371">
        <w:rPr>
          <w:rFonts w:cs="Tahoma"/>
          <w:spacing w:val="4"/>
          <w:szCs w:val="24"/>
        </w:rPr>
        <w:t xml:space="preserve">dificultades para cumplir con las obligaciones.  </w:t>
      </w:r>
    </w:p>
    <w:p w14:paraId="0EE34FC2" w14:textId="77777777" w:rsidR="00787D2F" w:rsidRPr="00274371" w:rsidRDefault="00787D2F" w:rsidP="00547D24">
      <w:pPr>
        <w:spacing w:line="276" w:lineRule="auto"/>
        <w:rPr>
          <w:rFonts w:cs="Tahoma"/>
          <w:spacing w:val="4"/>
          <w:szCs w:val="24"/>
        </w:rPr>
      </w:pPr>
    </w:p>
    <w:p w14:paraId="6611B0B3" w14:textId="6B7090AC" w:rsidR="00787D2F" w:rsidRPr="00274371" w:rsidRDefault="00AE3D77" w:rsidP="00547D24">
      <w:pPr>
        <w:spacing w:line="276" w:lineRule="auto"/>
        <w:ind w:firstLine="360"/>
        <w:rPr>
          <w:rFonts w:cs="Tahoma"/>
          <w:spacing w:val="4"/>
          <w:szCs w:val="24"/>
        </w:rPr>
      </w:pPr>
      <w:r w:rsidRPr="00274371">
        <w:rPr>
          <w:rFonts w:cs="Tahoma"/>
          <w:spacing w:val="4"/>
          <w:szCs w:val="24"/>
        </w:rPr>
        <w:t xml:space="preserve">Agrega que </w:t>
      </w:r>
      <w:r w:rsidR="00787D2F" w:rsidRPr="00274371">
        <w:rPr>
          <w:rFonts w:cs="Tahoma"/>
          <w:spacing w:val="4"/>
          <w:szCs w:val="24"/>
        </w:rPr>
        <w:t xml:space="preserve">debía recordarse que fue </w:t>
      </w:r>
      <w:r w:rsidR="00491DCA" w:rsidRPr="00274371">
        <w:rPr>
          <w:rFonts w:cs="Tahoma"/>
          <w:spacing w:val="4"/>
          <w:szCs w:val="24"/>
        </w:rPr>
        <w:t xml:space="preserve">la misma demandada </w:t>
      </w:r>
      <w:r w:rsidRPr="00274371">
        <w:rPr>
          <w:rFonts w:cs="Tahoma"/>
          <w:spacing w:val="4"/>
          <w:szCs w:val="24"/>
        </w:rPr>
        <w:t>quien aportó el balance general</w:t>
      </w:r>
      <w:r w:rsidR="00787D2F" w:rsidRPr="00274371">
        <w:rPr>
          <w:rFonts w:cs="Tahoma"/>
          <w:spacing w:val="4"/>
          <w:szCs w:val="24"/>
        </w:rPr>
        <w:t xml:space="preserve">, que no era cierta la afirmación de </w:t>
      </w:r>
      <w:r w:rsidR="00787D2F" w:rsidRPr="00274371">
        <w:rPr>
          <w:rFonts w:cs="Tahoma"/>
          <w:i/>
          <w:spacing w:val="4"/>
          <w:szCs w:val="24"/>
        </w:rPr>
        <w:t>“</w:t>
      </w:r>
      <w:r w:rsidR="00787D2F" w:rsidRPr="00274371">
        <w:rPr>
          <w:rFonts w:cs="Tahoma"/>
          <w:i/>
          <w:spacing w:val="4"/>
          <w:sz w:val="22"/>
          <w:szCs w:val="24"/>
        </w:rPr>
        <w:t>estar en serias y graves dificultades económicas</w:t>
      </w:r>
      <w:r w:rsidR="00787D2F" w:rsidRPr="00274371">
        <w:rPr>
          <w:rFonts w:cs="Tahoma"/>
          <w:i/>
          <w:spacing w:val="4"/>
          <w:szCs w:val="24"/>
        </w:rPr>
        <w:t>”</w:t>
      </w:r>
      <w:r w:rsidR="00787D2F" w:rsidRPr="00274371">
        <w:rPr>
          <w:rFonts w:cs="Tahoma"/>
          <w:spacing w:val="4"/>
          <w:szCs w:val="24"/>
        </w:rPr>
        <w:t>, en la medida que la sociedad no contaba con embargos vigentes, tenía disponib</w:t>
      </w:r>
      <w:r w:rsidR="00DC5DF3" w:rsidRPr="00274371">
        <w:rPr>
          <w:rFonts w:cs="Tahoma"/>
          <w:spacing w:val="4"/>
          <w:szCs w:val="24"/>
        </w:rPr>
        <w:t xml:space="preserve">ilidad en </w:t>
      </w:r>
      <w:r w:rsidR="00787D2F" w:rsidRPr="00274371">
        <w:rPr>
          <w:rFonts w:cs="Tahoma"/>
          <w:spacing w:val="4"/>
          <w:szCs w:val="24"/>
        </w:rPr>
        <w:t xml:space="preserve">cuentas bancarias, había operatividad, patrimonio líquido, además de estar cumpliendo con los pasivos de la empresa. De igual manera, hizo referencia a que </w:t>
      </w:r>
      <w:r w:rsidR="00DC5DF3" w:rsidRPr="00274371">
        <w:rPr>
          <w:rFonts w:cs="Tahoma"/>
          <w:spacing w:val="4"/>
          <w:szCs w:val="24"/>
        </w:rPr>
        <w:t>l</w:t>
      </w:r>
      <w:r w:rsidR="00787D2F" w:rsidRPr="00274371">
        <w:rPr>
          <w:rFonts w:cs="Tahoma"/>
          <w:spacing w:val="4"/>
          <w:szCs w:val="24"/>
        </w:rPr>
        <w:t xml:space="preserve">a venta de cuotas sociales por parte de algunos socios no sugería insolvencia o liquidación de la sociedad, </w:t>
      </w:r>
      <w:r w:rsidR="00491DCA" w:rsidRPr="00274371">
        <w:rPr>
          <w:rFonts w:cs="Tahoma"/>
          <w:spacing w:val="4"/>
          <w:szCs w:val="24"/>
        </w:rPr>
        <w:t>lo cual era un mero supuesto</w:t>
      </w:r>
      <w:r w:rsidR="00787D2F" w:rsidRPr="00274371">
        <w:rPr>
          <w:rFonts w:cs="Tahoma"/>
          <w:spacing w:val="4"/>
          <w:szCs w:val="24"/>
        </w:rPr>
        <w:t>.</w:t>
      </w:r>
    </w:p>
    <w:p w14:paraId="649001A8" w14:textId="611B6609" w:rsidR="00787D2F" w:rsidRPr="00274371" w:rsidRDefault="00787D2F" w:rsidP="00547D24">
      <w:pPr>
        <w:spacing w:line="276" w:lineRule="auto"/>
        <w:rPr>
          <w:rFonts w:cs="Tahoma"/>
          <w:spacing w:val="4"/>
          <w:szCs w:val="24"/>
        </w:rPr>
      </w:pPr>
    </w:p>
    <w:p w14:paraId="6F7BB46C" w14:textId="77777777" w:rsidR="00DC5DF3" w:rsidRPr="00274371" w:rsidRDefault="00DC5DF3" w:rsidP="00547D24">
      <w:pPr>
        <w:pStyle w:val="Prrafodelista"/>
        <w:numPr>
          <w:ilvl w:val="0"/>
          <w:numId w:val="2"/>
        </w:numPr>
        <w:spacing w:line="276" w:lineRule="auto"/>
        <w:jc w:val="center"/>
        <w:rPr>
          <w:rFonts w:cs="Tahoma"/>
          <w:b/>
          <w:bCs/>
          <w:spacing w:val="4"/>
          <w:szCs w:val="24"/>
        </w:rPr>
      </w:pPr>
      <w:r w:rsidRPr="00274371">
        <w:rPr>
          <w:rFonts w:cs="Tahoma"/>
          <w:b/>
          <w:bCs/>
          <w:spacing w:val="4"/>
          <w:szCs w:val="24"/>
        </w:rPr>
        <w:t>Alegatos de conclusión</w:t>
      </w:r>
    </w:p>
    <w:p w14:paraId="77C58F50" w14:textId="77777777" w:rsidR="00DC5DF3" w:rsidRPr="00274371" w:rsidRDefault="00DC5DF3" w:rsidP="00547D24">
      <w:pPr>
        <w:widowControl w:val="0"/>
        <w:shd w:val="clear" w:color="auto" w:fill="FFFFFF" w:themeFill="background1"/>
        <w:autoSpaceDE w:val="0"/>
        <w:autoSpaceDN w:val="0"/>
        <w:adjustRightInd w:val="0"/>
        <w:spacing w:line="276" w:lineRule="auto"/>
        <w:rPr>
          <w:rFonts w:cs="Tahoma"/>
          <w:spacing w:val="4"/>
          <w:szCs w:val="24"/>
        </w:rPr>
      </w:pPr>
    </w:p>
    <w:p w14:paraId="3D3E3FE6" w14:textId="66728FB9" w:rsidR="00DC5DF3" w:rsidRPr="00274371" w:rsidRDefault="00DC5DF3" w:rsidP="00547D24">
      <w:pPr>
        <w:shd w:val="clear" w:color="auto" w:fill="FFFFFF" w:themeFill="background1"/>
        <w:spacing w:line="276" w:lineRule="auto"/>
        <w:ind w:firstLine="360"/>
        <w:rPr>
          <w:rFonts w:cs="Tahoma"/>
          <w:spacing w:val="4"/>
          <w:kern w:val="1"/>
          <w:szCs w:val="24"/>
        </w:rPr>
      </w:pPr>
      <w:r w:rsidRPr="00274371">
        <w:rPr>
          <w:rFonts w:cs="Tahoma"/>
          <w:spacing w:val="4"/>
          <w:kern w:val="1"/>
          <w:szCs w:val="24"/>
        </w:rPr>
        <w:t>Analizados los alegatos presentados por escrito por la parte actora,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p>
    <w:p w14:paraId="54008E83" w14:textId="77777777" w:rsidR="00DC5DF3" w:rsidRPr="00274371" w:rsidRDefault="00DC5DF3" w:rsidP="00547D24">
      <w:pPr>
        <w:shd w:val="clear" w:color="auto" w:fill="FFFFFF" w:themeFill="background1"/>
        <w:spacing w:line="276" w:lineRule="auto"/>
        <w:rPr>
          <w:rFonts w:cs="Tahoma"/>
          <w:spacing w:val="4"/>
          <w:kern w:val="1"/>
          <w:szCs w:val="24"/>
        </w:rPr>
      </w:pPr>
    </w:p>
    <w:p w14:paraId="18264195" w14:textId="77777777" w:rsidR="00DC5DF3" w:rsidRPr="00274371" w:rsidRDefault="00DC5DF3" w:rsidP="00547D24">
      <w:pPr>
        <w:pStyle w:val="Prrafodelista"/>
        <w:numPr>
          <w:ilvl w:val="0"/>
          <w:numId w:val="2"/>
        </w:numPr>
        <w:spacing w:line="276" w:lineRule="auto"/>
        <w:jc w:val="center"/>
        <w:rPr>
          <w:rFonts w:cs="Tahoma"/>
          <w:b/>
          <w:bCs/>
          <w:spacing w:val="4"/>
          <w:szCs w:val="24"/>
        </w:rPr>
      </w:pPr>
      <w:r w:rsidRPr="00274371">
        <w:rPr>
          <w:rFonts w:cs="Tahoma"/>
          <w:b/>
          <w:bCs/>
          <w:spacing w:val="4"/>
          <w:szCs w:val="24"/>
        </w:rPr>
        <w:t>Problema jurídico por resolver</w:t>
      </w:r>
    </w:p>
    <w:p w14:paraId="0EAEC19B" w14:textId="77777777" w:rsidR="00DC5DF3" w:rsidRPr="00274371" w:rsidRDefault="00DC5DF3" w:rsidP="00547D24">
      <w:pPr>
        <w:spacing w:line="276" w:lineRule="auto"/>
        <w:rPr>
          <w:rFonts w:cs="Tahoma"/>
          <w:spacing w:val="4"/>
          <w:szCs w:val="24"/>
        </w:rPr>
      </w:pPr>
    </w:p>
    <w:p w14:paraId="59B4C433" w14:textId="4FAE6534" w:rsidR="00491DCA" w:rsidRPr="00274371" w:rsidRDefault="00DC5DF3" w:rsidP="00547D24">
      <w:pPr>
        <w:shd w:val="clear" w:color="auto" w:fill="FFFFFF" w:themeFill="background1"/>
        <w:spacing w:line="276" w:lineRule="auto"/>
        <w:ind w:firstLine="360"/>
        <w:rPr>
          <w:rFonts w:cs="Tahoma"/>
          <w:spacing w:val="4"/>
          <w:kern w:val="1"/>
          <w:szCs w:val="24"/>
        </w:rPr>
      </w:pPr>
      <w:r w:rsidRPr="00274371">
        <w:rPr>
          <w:rFonts w:cs="Tahoma"/>
          <w:spacing w:val="4"/>
          <w:kern w:val="1"/>
          <w:szCs w:val="24"/>
        </w:rPr>
        <w:t xml:space="preserve">De acuerdo con los argumentos expuestos en la decisión de primera instancia, los fundamentos de la apelación y los alegatos de conclusión, le corresponde a la Sala </w:t>
      </w:r>
      <w:r w:rsidR="00D13BDE" w:rsidRPr="00274371">
        <w:rPr>
          <w:rFonts w:cs="Tahoma"/>
          <w:spacing w:val="4"/>
          <w:kern w:val="1"/>
          <w:szCs w:val="24"/>
        </w:rPr>
        <w:t>determinar si e</w:t>
      </w:r>
      <w:r w:rsidR="00491DCA" w:rsidRPr="00274371">
        <w:rPr>
          <w:rFonts w:cs="Tahoma"/>
          <w:spacing w:val="4"/>
          <w:szCs w:val="24"/>
        </w:rPr>
        <w:t>s viable aplicar la medida cautelar del artículo 85 A del CPT y SS</w:t>
      </w:r>
      <w:r w:rsidR="00D13BDE" w:rsidRPr="00274371">
        <w:rPr>
          <w:rFonts w:cs="Tahoma"/>
          <w:spacing w:val="4"/>
          <w:szCs w:val="24"/>
        </w:rPr>
        <w:t xml:space="preserve"> a la sociedad demandada.</w:t>
      </w:r>
    </w:p>
    <w:p w14:paraId="377DCFA7" w14:textId="77777777" w:rsidR="00AE3D77" w:rsidRPr="00274371" w:rsidRDefault="00AE3D77" w:rsidP="00547D24">
      <w:pPr>
        <w:spacing w:line="276" w:lineRule="auto"/>
        <w:rPr>
          <w:rFonts w:cs="Tahoma"/>
          <w:spacing w:val="4"/>
          <w:szCs w:val="24"/>
        </w:rPr>
      </w:pPr>
    </w:p>
    <w:p w14:paraId="5CD005DE" w14:textId="77777777" w:rsidR="007B3F2F" w:rsidRPr="00274371" w:rsidRDefault="007B3F2F" w:rsidP="00547D24">
      <w:pPr>
        <w:pStyle w:val="Prrafodelista"/>
        <w:numPr>
          <w:ilvl w:val="0"/>
          <w:numId w:val="2"/>
        </w:numPr>
        <w:spacing w:line="276" w:lineRule="auto"/>
        <w:jc w:val="center"/>
        <w:rPr>
          <w:rFonts w:cs="Tahoma"/>
          <w:b/>
          <w:bCs/>
          <w:spacing w:val="4"/>
          <w:szCs w:val="24"/>
        </w:rPr>
      </w:pPr>
      <w:r w:rsidRPr="00274371">
        <w:rPr>
          <w:rFonts w:cs="Tahoma"/>
          <w:b/>
          <w:bCs/>
          <w:spacing w:val="4"/>
          <w:szCs w:val="24"/>
        </w:rPr>
        <w:t>Consideraciones</w:t>
      </w:r>
    </w:p>
    <w:p w14:paraId="11F41B82" w14:textId="77777777" w:rsidR="007B3F2F" w:rsidRPr="00274371" w:rsidRDefault="007B3F2F" w:rsidP="00547D24">
      <w:pPr>
        <w:spacing w:line="276" w:lineRule="auto"/>
        <w:rPr>
          <w:rFonts w:cs="Tahoma"/>
          <w:spacing w:val="4"/>
          <w:szCs w:val="24"/>
        </w:rPr>
      </w:pPr>
    </w:p>
    <w:p w14:paraId="33C7EABF" w14:textId="44734A59" w:rsidR="00AE3D77" w:rsidRPr="00274371" w:rsidRDefault="007B3F2F" w:rsidP="00547D24">
      <w:pPr>
        <w:pStyle w:val="Prrafodelista"/>
        <w:numPr>
          <w:ilvl w:val="1"/>
          <w:numId w:val="2"/>
        </w:numPr>
        <w:spacing w:line="276" w:lineRule="auto"/>
        <w:ind w:left="709" w:hanging="709"/>
        <w:rPr>
          <w:rFonts w:cs="Tahoma"/>
          <w:b/>
          <w:bCs/>
          <w:spacing w:val="4"/>
          <w:szCs w:val="24"/>
        </w:rPr>
      </w:pPr>
      <w:r w:rsidRPr="00274371">
        <w:rPr>
          <w:rFonts w:cs="Tahoma"/>
          <w:b/>
          <w:bCs/>
          <w:spacing w:val="4"/>
          <w:szCs w:val="24"/>
        </w:rPr>
        <w:t>De la caución.</w:t>
      </w:r>
    </w:p>
    <w:p w14:paraId="1FC68971" w14:textId="1E936EB9" w:rsidR="00797662" w:rsidRPr="00274371" w:rsidRDefault="00797662" w:rsidP="00547D24">
      <w:pPr>
        <w:spacing w:line="276" w:lineRule="auto"/>
        <w:rPr>
          <w:rFonts w:cs="Tahoma"/>
          <w:spacing w:val="4"/>
          <w:szCs w:val="24"/>
        </w:rPr>
      </w:pPr>
    </w:p>
    <w:p w14:paraId="03E6CEE0" w14:textId="1A049AAF" w:rsidR="007B3F2F" w:rsidRPr="00274371" w:rsidRDefault="007B3F2F" w:rsidP="00547D24">
      <w:pPr>
        <w:spacing w:line="276" w:lineRule="auto"/>
        <w:ind w:right="476" w:firstLine="708"/>
        <w:rPr>
          <w:rFonts w:cs="Tahoma"/>
          <w:spacing w:val="4"/>
          <w:szCs w:val="24"/>
        </w:rPr>
      </w:pPr>
      <w:r w:rsidRPr="00274371">
        <w:rPr>
          <w:rFonts w:cs="Tahoma"/>
          <w:spacing w:val="4"/>
          <w:szCs w:val="24"/>
        </w:rPr>
        <w:t xml:space="preserve">El decreto de medidas cautelares se encuentra expresamente regulado en el artículo 85A del Código Procesal del Trabajo y de la Seguridad Social, que consagra textualmente: </w:t>
      </w:r>
    </w:p>
    <w:p w14:paraId="489B2976" w14:textId="77777777" w:rsidR="007B3F2F" w:rsidRPr="00274371" w:rsidRDefault="007B3F2F" w:rsidP="00547D24">
      <w:pPr>
        <w:spacing w:line="276" w:lineRule="auto"/>
        <w:ind w:left="708" w:right="476"/>
        <w:rPr>
          <w:rFonts w:cs="Tahoma"/>
          <w:i/>
          <w:iCs/>
          <w:spacing w:val="4"/>
          <w:szCs w:val="24"/>
        </w:rPr>
      </w:pPr>
    </w:p>
    <w:p w14:paraId="039275A7" w14:textId="75085780" w:rsidR="007B3F2F" w:rsidRPr="00274371" w:rsidRDefault="007B3F2F" w:rsidP="00547D24">
      <w:pPr>
        <w:spacing w:line="240" w:lineRule="auto"/>
        <w:ind w:left="426" w:right="420"/>
        <w:rPr>
          <w:rFonts w:cs="Tahoma"/>
          <w:i/>
          <w:iCs/>
          <w:spacing w:val="4"/>
          <w:sz w:val="22"/>
          <w:szCs w:val="24"/>
        </w:rPr>
      </w:pPr>
      <w:r w:rsidRPr="00274371">
        <w:rPr>
          <w:rFonts w:cs="Tahoma"/>
          <w:i/>
          <w:iCs/>
          <w:spacing w:val="4"/>
          <w:sz w:val="22"/>
          <w:szCs w:val="24"/>
        </w:rPr>
        <w:t xml:space="preserve">"Cuando el demandado, en proceso ordinario, </w:t>
      </w:r>
      <w:r w:rsidRPr="00274371">
        <w:rPr>
          <w:rFonts w:cs="Tahoma"/>
          <w:b/>
          <w:bCs/>
          <w:i/>
          <w:iCs/>
          <w:spacing w:val="4"/>
          <w:sz w:val="22"/>
          <w:szCs w:val="24"/>
        </w:rPr>
        <w:t>efectúe actos</w:t>
      </w:r>
      <w:r w:rsidRPr="00274371">
        <w:rPr>
          <w:rFonts w:cs="Tahoma"/>
          <w:i/>
          <w:iCs/>
          <w:spacing w:val="4"/>
          <w:sz w:val="22"/>
          <w:szCs w:val="24"/>
        </w:rPr>
        <w:t xml:space="preserve"> que el juez </w:t>
      </w:r>
      <w:r w:rsidRPr="00274371">
        <w:rPr>
          <w:rFonts w:cs="Tahoma"/>
          <w:b/>
          <w:bCs/>
          <w:i/>
          <w:iCs/>
          <w:spacing w:val="4"/>
          <w:sz w:val="22"/>
          <w:szCs w:val="24"/>
        </w:rPr>
        <w:t xml:space="preserve">estime tendientes a </w:t>
      </w:r>
      <w:proofErr w:type="spellStart"/>
      <w:r w:rsidRPr="00274371">
        <w:rPr>
          <w:rFonts w:cs="Tahoma"/>
          <w:b/>
          <w:bCs/>
          <w:i/>
          <w:iCs/>
          <w:spacing w:val="4"/>
          <w:sz w:val="22"/>
          <w:szCs w:val="24"/>
        </w:rPr>
        <w:t>insolventarse</w:t>
      </w:r>
      <w:proofErr w:type="spellEnd"/>
      <w:r w:rsidRPr="00274371">
        <w:rPr>
          <w:rFonts w:cs="Tahoma"/>
          <w:i/>
          <w:iCs/>
          <w:spacing w:val="4"/>
          <w:sz w:val="22"/>
          <w:szCs w:val="24"/>
        </w:rPr>
        <w:t xml:space="preserve"> o a </w:t>
      </w:r>
      <w:r w:rsidRPr="00274371">
        <w:rPr>
          <w:rFonts w:cs="Tahoma"/>
          <w:b/>
          <w:bCs/>
          <w:i/>
          <w:iCs/>
          <w:spacing w:val="4"/>
          <w:sz w:val="22"/>
          <w:szCs w:val="24"/>
        </w:rPr>
        <w:t>impedir la efectividad de la sentencia</w:t>
      </w:r>
      <w:r w:rsidRPr="00274371">
        <w:rPr>
          <w:rFonts w:cs="Tahoma"/>
          <w:i/>
          <w:iCs/>
          <w:spacing w:val="4"/>
          <w:sz w:val="22"/>
          <w:szCs w:val="24"/>
        </w:rPr>
        <w:t>, o cuando el juez considere que</w:t>
      </w:r>
      <w:r w:rsidRPr="00274371">
        <w:rPr>
          <w:rFonts w:cs="Tahoma"/>
          <w:b/>
          <w:bCs/>
          <w:i/>
          <w:iCs/>
          <w:spacing w:val="4"/>
          <w:sz w:val="22"/>
          <w:szCs w:val="24"/>
        </w:rPr>
        <w:t xml:space="preserve"> el demandado se encuentra en graves y serias dificultades para el cumplimiento oportuno de sus obligaciones</w:t>
      </w:r>
      <w:r w:rsidRPr="00274371">
        <w:rPr>
          <w:rFonts w:cs="Tahoma"/>
          <w:i/>
          <w:iCs/>
          <w:spacing w:val="4"/>
          <w:sz w:val="22"/>
          <w:szCs w:val="24"/>
        </w:rPr>
        <w:t>, podrá imponerle caución para garantizar las resultas del proceso, la cual oscilará de acuerdo a su prudente proceso entre el 30 y el 50% del valor de las pretensiones al momento de decretarse la medida cautelar.</w:t>
      </w:r>
    </w:p>
    <w:p w14:paraId="24B83CB8" w14:textId="77777777" w:rsidR="007B3F2F" w:rsidRPr="00274371" w:rsidRDefault="007B3F2F" w:rsidP="00547D24">
      <w:pPr>
        <w:spacing w:line="240" w:lineRule="auto"/>
        <w:ind w:left="426" w:right="420"/>
        <w:rPr>
          <w:rFonts w:cs="Tahoma"/>
          <w:i/>
          <w:iCs/>
          <w:spacing w:val="4"/>
          <w:sz w:val="22"/>
          <w:szCs w:val="24"/>
        </w:rPr>
      </w:pPr>
    </w:p>
    <w:p w14:paraId="6D174BAD" w14:textId="77777777" w:rsidR="00660E24" w:rsidRPr="00274371" w:rsidRDefault="007B3F2F" w:rsidP="00547D24">
      <w:pPr>
        <w:spacing w:line="240" w:lineRule="auto"/>
        <w:ind w:left="426" w:right="420"/>
        <w:rPr>
          <w:rFonts w:cs="Tahoma"/>
          <w:i/>
          <w:iCs/>
          <w:spacing w:val="4"/>
          <w:sz w:val="22"/>
          <w:szCs w:val="24"/>
        </w:rPr>
      </w:pPr>
      <w:r w:rsidRPr="00274371">
        <w:rPr>
          <w:rFonts w:cs="Tahoma"/>
          <w:i/>
          <w:iCs/>
          <w:spacing w:val="4"/>
          <w:sz w:val="22"/>
          <w:szCs w:val="24"/>
        </w:rPr>
        <w:t>En la solicitud, la cual se entenderá hecha bajo la gravedad del juramento, se indicarán los motivos y los hechos en que se funda</w:t>
      </w:r>
      <w:r w:rsidR="00660E24" w:rsidRPr="00274371">
        <w:rPr>
          <w:rFonts w:cs="Tahoma"/>
          <w:i/>
          <w:iCs/>
          <w:spacing w:val="4"/>
          <w:sz w:val="22"/>
          <w:szCs w:val="24"/>
        </w:rPr>
        <w:t xml:space="preserve"> […]”</w:t>
      </w:r>
    </w:p>
    <w:p w14:paraId="33667EEE" w14:textId="77777777" w:rsidR="007B3F2F" w:rsidRPr="00274371" w:rsidRDefault="007B3F2F" w:rsidP="00547D24">
      <w:pPr>
        <w:spacing w:line="276" w:lineRule="auto"/>
        <w:ind w:left="1416" w:right="476"/>
        <w:rPr>
          <w:rFonts w:cs="Tahoma"/>
          <w:i/>
          <w:iCs/>
          <w:spacing w:val="4"/>
          <w:szCs w:val="24"/>
        </w:rPr>
      </w:pPr>
    </w:p>
    <w:p w14:paraId="43258EA2" w14:textId="1EB83622" w:rsidR="00F5267B" w:rsidRPr="00274371" w:rsidRDefault="00660E24" w:rsidP="00547D24">
      <w:pPr>
        <w:spacing w:line="276" w:lineRule="auto"/>
        <w:ind w:firstLine="708"/>
        <w:rPr>
          <w:rFonts w:cs="Tahoma"/>
          <w:spacing w:val="4"/>
          <w:szCs w:val="24"/>
        </w:rPr>
      </w:pPr>
      <w:r w:rsidRPr="00274371">
        <w:rPr>
          <w:rFonts w:cs="Tahoma"/>
          <w:spacing w:val="4"/>
          <w:szCs w:val="24"/>
        </w:rPr>
        <w:lastRenderedPageBreak/>
        <w:t>Tal disposición, tiene como finalidad el que no se hagan ilusorias las resultas del proceso ordinario y se impone cuando se está en frente de los tres eventos</w:t>
      </w:r>
      <w:r w:rsidR="00F5267B" w:rsidRPr="00274371">
        <w:rPr>
          <w:rFonts w:cs="Tahoma"/>
          <w:spacing w:val="4"/>
          <w:szCs w:val="24"/>
        </w:rPr>
        <w:t xml:space="preserve"> que cita la norma</w:t>
      </w:r>
      <w:r w:rsidRPr="00274371">
        <w:rPr>
          <w:rFonts w:cs="Tahoma"/>
          <w:spacing w:val="4"/>
          <w:szCs w:val="24"/>
        </w:rPr>
        <w:t xml:space="preserve">: </w:t>
      </w:r>
      <w:r w:rsidRPr="00274371">
        <w:rPr>
          <w:rFonts w:cs="Tahoma"/>
          <w:b/>
          <w:bCs/>
          <w:spacing w:val="4"/>
          <w:szCs w:val="24"/>
        </w:rPr>
        <w:t>(i)</w:t>
      </w:r>
      <w:r w:rsidRPr="00274371">
        <w:rPr>
          <w:rFonts w:cs="Tahoma"/>
          <w:spacing w:val="4"/>
          <w:szCs w:val="24"/>
        </w:rPr>
        <w:t xml:space="preserve"> </w:t>
      </w:r>
      <w:r w:rsidR="00F5267B" w:rsidRPr="00274371">
        <w:rPr>
          <w:rFonts w:cs="Tahoma"/>
          <w:spacing w:val="4"/>
          <w:szCs w:val="24"/>
        </w:rPr>
        <w:t xml:space="preserve">que se estén efectuando </w:t>
      </w:r>
      <w:r w:rsidRPr="00274371">
        <w:rPr>
          <w:rFonts w:cs="Tahoma"/>
          <w:spacing w:val="4"/>
          <w:szCs w:val="24"/>
        </w:rPr>
        <w:t xml:space="preserve">actos tendientes a </w:t>
      </w:r>
      <w:proofErr w:type="spellStart"/>
      <w:r w:rsidRPr="00274371">
        <w:rPr>
          <w:rFonts w:cs="Tahoma"/>
          <w:spacing w:val="4"/>
          <w:szCs w:val="24"/>
        </w:rPr>
        <w:t>insolventarse</w:t>
      </w:r>
      <w:proofErr w:type="spellEnd"/>
      <w:r w:rsidRPr="00274371">
        <w:rPr>
          <w:rFonts w:cs="Tahoma"/>
          <w:spacing w:val="4"/>
          <w:szCs w:val="24"/>
        </w:rPr>
        <w:t xml:space="preserve">, </w:t>
      </w:r>
      <w:r w:rsidRPr="00274371">
        <w:rPr>
          <w:rFonts w:cs="Tahoma"/>
          <w:b/>
          <w:bCs/>
          <w:spacing w:val="4"/>
          <w:szCs w:val="24"/>
        </w:rPr>
        <w:t>(ii)</w:t>
      </w:r>
      <w:r w:rsidRPr="00274371">
        <w:rPr>
          <w:rFonts w:cs="Tahoma"/>
          <w:spacing w:val="4"/>
          <w:szCs w:val="24"/>
        </w:rPr>
        <w:t xml:space="preserve"> </w:t>
      </w:r>
      <w:r w:rsidR="00F5267B" w:rsidRPr="00274371">
        <w:rPr>
          <w:rFonts w:cs="Tahoma"/>
          <w:spacing w:val="4"/>
          <w:szCs w:val="24"/>
        </w:rPr>
        <w:t xml:space="preserve">que se </w:t>
      </w:r>
      <w:r w:rsidRPr="00274371">
        <w:rPr>
          <w:rFonts w:cs="Tahoma"/>
          <w:spacing w:val="4"/>
          <w:szCs w:val="24"/>
        </w:rPr>
        <w:t>adelante</w:t>
      </w:r>
      <w:r w:rsidR="00F5267B" w:rsidRPr="00274371">
        <w:rPr>
          <w:rFonts w:cs="Tahoma"/>
          <w:spacing w:val="4"/>
          <w:szCs w:val="24"/>
        </w:rPr>
        <w:t>n</w:t>
      </w:r>
      <w:r w:rsidRPr="00274371">
        <w:rPr>
          <w:rFonts w:cs="Tahoma"/>
          <w:spacing w:val="4"/>
          <w:szCs w:val="24"/>
        </w:rPr>
        <w:t xml:space="preserve"> </w:t>
      </w:r>
      <w:r w:rsidR="00F5267B" w:rsidRPr="00274371">
        <w:rPr>
          <w:rFonts w:cs="Tahoma"/>
          <w:spacing w:val="4"/>
          <w:szCs w:val="24"/>
        </w:rPr>
        <w:t xml:space="preserve">acciones con el objeto de impedir </w:t>
      </w:r>
      <w:r w:rsidRPr="00274371">
        <w:rPr>
          <w:rFonts w:cs="Tahoma"/>
          <w:spacing w:val="4"/>
          <w:szCs w:val="24"/>
        </w:rPr>
        <w:t xml:space="preserve">la efectividad de la sentencia y </w:t>
      </w:r>
      <w:r w:rsidRPr="00274371">
        <w:rPr>
          <w:rFonts w:cs="Tahoma"/>
          <w:b/>
          <w:bCs/>
          <w:spacing w:val="4"/>
          <w:szCs w:val="24"/>
        </w:rPr>
        <w:t>(iii)</w:t>
      </w:r>
      <w:r w:rsidRPr="00274371">
        <w:rPr>
          <w:rFonts w:cs="Tahoma"/>
          <w:spacing w:val="4"/>
          <w:szCs w:val="24"/>
        </w:rPr>
        <w:t xml:space="preserve"> que se encuentra en graves y serias dificultades para el cumplimiento oportuno de sus obligaciones. </w:t>
      </w:r>
    </w:p>
    <w:p w14:paraId="60BBDEB1" w14:textId="0C078198" w:rsidR="00F5267B" w:rsidRPr="00274371" w:rsidRDefault="00F5267B" w:rsidP="00547D24">
      <w:pPr>
        <w:spacing w:line="276" w:lineRule="auto"/>
        <w:rPr>
          <w:rFonts w:cs="Tahoma"/>
          <w:spacing w:val="4"/>
          <w:szCs w:val="24"/>
        </w:rPr>
      </w:pPr>
    </w:p>
    <w:p w14:paraId="330B7E18" w14:textId="77777777" w:rsidR="00C70400" w:rsidRPr="00274371" w:rsidRDefault="0012284B" w:rsidP="00547D24">
      <w:pPr>
        <w:spacing w:line="276" w:lineRule="auto"/>
        <w:ind w:firstLine="708"/>
        <w:rPr>
          <w:rFonts w:cs="Tahoma"/>
          <w:spacing w:val="4"/>
          <w:szCs w:val="24"/>
        </w:rPr>
      </w:pPr>
      <w:r w:rsidRPr="00274371">
        <w:rPr>
          <w:rFonts w:cs="Tahoma"/>
          <w:spacing w:val="4"/>
          <w:szCs w:val="24"/>
        </w:rPr>
        <w:t>Frente a t</w:t>
      </w:r>
      <w:r w:rsidR="00F5267B" w:rsidRPr="00274371">
        <w:rPr>
          <w:rFonts w:cs="Tahoma"/>
          <w:spacing w:val="4"/>
          <w:szCs w:val="24"/>
        </w:rPr>
        <w:t xml:space="preserve">ales </w:t>
      </w:r>
      <w:r w:rsidR="00660E24" w:rsidRPr="00274371">
        <w:rPr>
          <w:rFonts w:cs="Tahoma"/>
          <w:spacing w:val="4"/>
          <w:szCs w:val="24"/>
        </w:rPr>
        <w:t>hipótesis,</w:t>
      </w:r>
      <w:r w:rsidRPr="00274371">
        <w:rPr>
          <w:rFonts w:cs="Tahoma"/>
          <w:spacing w:val="4"/>
          <w:szCs w:val="24"/>
        </w:rPr>
        <w:t xml:space="preserve"> se ha dicho por parte de esta Colegiatura</w:t>
      </w:r>
      <w:r w:rsidRPr="00274371">
        <w:rPr>
          <w:rStyle w:val="Refdenotaalpie"/>
          <w:rFonts w:cs="Tahoma"/>
          <w:spacing w:val="4"/>
          <w:szCs w:val="24"/>
        </w:rPr>
        <w:footnoteReference w:id="1"/>
      </w:r>
      <w:r w:rsidRPr="00274371">
        <w:rPr>
          <w:rFonts w:cs="Tahoma"/>
          <w:spacing w:val="4"/>
          <w:szCs w:val="24"/>
        </w:rPr>
        <w:t xml:space="preserve"> que </w:t>
      </w:r>
    </w:p>
    <w:p w14:paraId="72785E9A" w14:textId="77777777" w:rsidR="00C70400" w:rsidRPr="00274371" w:rsidRDefault="00C70400" w:rsidP="00547D24">
      <w:pPr>
        <w:spacing w:line="276" w:lineRule="auto"/>
        <w:rPr>
          <w:rFonts w:cs="Tahoma"/>
          <w:spacing w:val="4"/>
          <w:szCs w:val="24"/>
        </w:rPr>
      </w:pPr>
    </w:p>
    <w:p w14:paraId="6A9B58DA" w14:textId="77777777" w:rsidR="00C70400" w:rsidRPr="00274371" w:rsidRDefault="0012284B" w:rsidP="00547D24">
      <w:pPr>
        <w:spacing w:line="240" w:lineRule="auto"/>
        <w:ind w:left="426" w:right="420"/>
        <w:rPr>
          <w:rFonts w:cs="Tahoma"/>
          <w:i/>
          <w:iCs/>
          <w:spacing w:val="4"/>
          <w:sz w:val="22"/>
          <w:szCs w:val="24"/>
        </w:rPr>
      </w:pPr>
      <w:r w:rsidRPr="00274371">
        <w:rPr>
          <w:rFonts w:cs="Tahoma"/>
          <w:i/>
          <w:iCs/>
          <w:spacing w:val="4"/>
          <w:sz w:val="22"/>
          <w:szCs w:val="24"/>
        </w:rPr>
        <w:t>“</w:t>
      </w:r>
      <w:r w:rsidR="00C70400" w:rsidRPr="00274371">
        <w:rPr>
          <w:rFonts w:cs="Tahoma"/>
          <w:i/>
          <w:iCs/>
          <w:spacing w:val="4"/>
          <w:sz w:val="22"/>
          <w:szCs w:val="24"/>
        </w:rPr>
        <w:t xml:space="preserve">… </w:t>
      </w:r>
      <w:r w:rsidR="00660E24" w:rsidRPr="00274371">
        <w:rPr>
          <w:rFonts w:cs="Tahoma"/>
          <w:i/>
          <w:iCs/>
          <w:spacing w:val="4"/>
          <w:sz w:val="22"/>
          <w:szCs w:val="24"/>
        </w:rPr>
        <w:t>requieren de una carga probatoria que evidenci</w:t>
      </w:r>
      <w:r w:rsidR="00C70400" w:rsidRPr="00274371">
        <w:rPr>
          <w:rFonts w:cs="Tahoma"/>
          <w:i/>
          <w:iCs/>
          <w:spacing w:val="4"/>
          <w:sz w:val="22"/>
          <w:szCs w:val="24"/>
        </w:rPr>
        <w:t>e</w:t>
      </w:r>
      <w:r w:rsidR="00660E24" w:rsidRPr="00274371">
        <w:rPr>
          <w:rFonts w:cs="Tahoma"/>
          <w:i/>
          <w:iCs/>
          <w:spacing w:val="4"/>
          <w:sz w:val="22"/>
          <w:szCs w:val="24"/>
        </w:rPr>
        <w:t xml:space="preserve"> suficientemente la ocurrencia de los citados eventos o que se advierta que la situación financiera del demandado resulta insostenible y que, es altamente probable que no pueda cumplirse una eventual condena, siendo necesario precaver la situación, buscando garantizar a lo menos parte de las pretensiones. Dicha carga probatoria, sin duda, recae en cabeza de la parte interesada en que se imponga la medida. </w:t>
      </w:r>
    </w:p>
    <w:p w14:paraId="4A5C3BE3" w14:textId="77777777" w:rsidR="00C70400" w:rsidRPr="00274371" w:rsidRDefault="00C70400" w:rsidP="00547D24">
      <w:pPr>
        <w:spacing w:line="240" w:lineRule="auto"/>
        <w:ind w:left="426" w:right="420"/>
        <w:rPr>
          <w:rFonts w:cs="Tahoma"/>
          <w:i/>
          <w:iCs/>
          <w:spacing w:val="4"/>
          <w:sz w:val="22"/>
          <w:szCs w:val="24"/>
        </w:rPr>
      </w:pPr>
    </w:p>
    <w:p w14:paraId="4A144E16" w14:textId="77777777" w:rsidR="00C70400" w:rsidRPr="00274371" w:rsidRDefault="00C70400" w:rsidP="00547D24">
      <w:pPr>
        <w:spacing w:line="240" w:lineRule="auto"/>
        <w:ind w:left="426" w:right="420"/>
        <w:rPr>
          <w:rFonts w:cs="Tahoma"/>
          <w:i/>
          <w:iCs/>
          <w:spacing w:val="4"/>
          <w:sz w:val="22"/>
          <w:szCs w:val="24"/>
        </w:rPr>
      </w:pPr>
      <w:r w:rsidRPr="00274371">
        <w:rPr>
          <w:rFonts w:cs="Tahoma"/>
          <w:i/>
          <w:iCs/>
          <w:spacing w:val="4"/>
          <w:sz w:val="22"/>
          <w:szCs w:val="24"/>
        </w:rPr>
        <w:t>No puede pues, quedar la medida cautelar apoyada en meras especulaciones o posibilidades, porque de entenderse así en todos los procesos ordinarios se deberían imponer, pues todos los empleadores u obligados a responder por honorarios, como es el caso, están sujetos a los riesgos del mercado y siempre está dentro de las posibilidades, que puedan pasar por situaciones económicas difíciles; pero la medida cautelar que trae la Codificación Adjetiva Laboral, está encaminada a que, con base en hechos concretos, se pueda verificar que en el caso particular, efectivamente, esas dificultades o esas actuaciones de insolvencia están teniendo ocurrencia o es altamente probable que se puedan presentar y, a partir de allí, fijar las medidas que sirvan para prevenir esa situación y garantizar el pago</w:t>
      </w:r>
    </w:p>
    <w:p w14:paraId="431AFD82" w14:textId="77777777" w:rsidR="00C70400" w:rsidRPr="00274371" w:rsidRDefault="00C70400" w:rsidP="00547D24">
      <w:pPr>
        <w:spacing w:line="240" w:lineRule="auto"/>
        <w:ind w:left="426" w:right="420"/>
        <w:rPr>
          <w:rFonts w:cs="Tahoma"/>
          <w:i/>
          <w:iCs/>
          <w:spacing w:val="4"/>
          <w:sz w:val="22"/>
          <w:szCs w:val="24"/>
        </w:rPr>
      </w:pPr>
    </w:p>
    <w:p w14:paraId="1A4D534A" w14:textId="006BD66B" w:rsidR="00AC3EB0" w:rsidRPr="00274371" w:rsidRDefault="00C70400" w:rsidP="00547D24">
      <w:pPr>
        <w:spacing w:line="240" w:lineRule="auto"/>
        <w:ind w:left="426" w:right="420"/>
        <w:rPr>
          <w:rFonts w:cs="Tahoma"/>
          <w:i/>
          <w:iCs/>
          <w:spacing w:val="4"/>
          <w:sz w:val="22"/>
          <w:szCs w:val="24"/>
        </w:rPr>
      </w:pPr>
      <w:r w:rsidRPr="00274371">
        <w:rPr>
          <w:rFonts w:cs="Tahoma"/>
          <w:i/>
          <w:iCs/>
          <w:spacing w:val="4"/>
          <w:sz w:val="22"/>
          <w:szCs w:val="24"/>
        </w:rPr>
        <w:t>Tal deber probatorio, además, debe cumplirse de una manera puntual, contundente y clara, puesto que, de imponerse al demandado la carga de cumplir una caución y de incumplirse la misma, puede sacrificarse el derecho de contradicción, dado que se quedaría sin la posibilidad de ser oído en el juicio laboral.…</w:t>
      </w:r>
      <w:r w:rsidR="0012284B" w:rsidRPr="00274371">
        <w:rPr>
          <w:rFonts w:cs="Tahoma"/>
          <w:i/>
          <w:iCs/>
          <w:spacing w:val="4"/>
          <w:sz w:val="22"/>
          <w:szCs w:val="24"/>
        </w:rPr>
        <w:t>”.</w:t>
      </w:r>
    </w:p>
    <w:p w14:paraId="553F5D46" w14:textId="7AEA225D" w:rsidR="00AC3EB0" w:rsidRPr="00274371" w:rsidRDefault="00AC3EB0" w:rsidP="00547D24">
      <w:pPr>
        <w:spacing w:line="276" w:lineRule="auto"/>
        <w:rPr>
          <w:rFonts w:cs="Tahoma"/>
          <w:spacing w:val="4"/>
          <w:szCs w:val="24"/>
        </w:rPr>
      </w:pPr>
    </w:p>
    <w:p w14:paraId="5E408D42" w14:textId="2C0796B6" w:rsidR="00F5267B" w:rsidRPr="00274371" w:rsidRDefault="00F5267B" w:rsidP="00547D24">
      <w:pPr>
        <w:spacing w:line="276" w:lineRule="auto"/>
        <w:ind w:firstLine="708"/>
        <w:rPr>
          <w:rFonts w:cs="Tahoma"/>
          <w:spacing w:val="4"/>
          <w:szCs w:val="24"/>
        </w:rPr>
      </w:pPr>
      <w:r w:rsidRPr="00274371">
        <w:rPr>
          <w:rFonts w:cs="Tahoma"/>
          <w:spacing w:val="4"/>
          <w:szCs w:val="24"/>
        </w:rPr>
        <w:t xml:space="preserve">Ahora, para dar aplicación </w:t>
      </w:r>
      <w:r w:rsidR="00D54F91" w:rsidRPr="00274371">
        <w:rPr>
          <w:rFonts w:cs="Tahoma"/>
          <w:spacing w:val="4"/>
          <w:szCs w:val="24"/>
        </w:rPr>
        <w:t>a</w:t>
      </w:r>
      <w:r w:rsidRPr="00274371">
        <w:rPr>
          <w:rFonts w:cs="Tahoma"/>
          <w:spacing w:val="4"/>
          <w:szCs w:val="24"/>
        </w:rPr>
        <w:t xml:space="preserve"> la medida cautelar, esta Corporación también ha planteado</w:t>
      </w:r>
      <w:r w:rsidRPr="00274371">
        <w:rPr>
          <w:rStyle w:val="Refdenotaalpie"/>
          <w:rFonts w:cs="Tahoma"/>
          <w:spacing w:val="4"/>
          <w:szCs w:val="24"/>
        </w:rPr>
        <w:footnoteReference w:id="2"/>
      </w:r>
      <w:r w:rsidRPr="00274371">
        <w:rPr>
          <w:rFonts w:cs="Tahoma"/>
          <w:spacing w:val="4"/>
          <w:szCs w:val="24"/>
        </w:rPr>
        <w:t xml:space="preserve"> que tal imposición no puede darse de manera automática, pues la norma en cita lo que hace es otorgarle al juez la facultad o potestad de imponer la caución, debiendo valorar en cada caso concreto las circunstancias particulares para decidir si es procedente su imposición y si tiene algún efecto práctico con el fin de garantizar el cumplimiento del fallo en el evento de que el demandado fuese condenado; situaciones éstas que precisamente analizó la Corte Constitucional en la sentencia C-476 de 2003</w:t>
      </w:r>
      <w:r w:rsidR="000A47FE" w:rsidRPr="00274371">
        <w:rPr>
          <w:rFonts w:cs="Tahoma"/>
          <w:spacing w:val="4"/>
          <w:szCs w:val="24"/>
        </w:rPr>
        <w:t>.</w:t>
      </w:r>
    </w:p>
    <w:p w14:paraId="3433DA04" w14:textId="1F3A5151" w:rsidR="00F5267B" w:rsidRPr="00274371" w:rsidRDefault="00F5267B" w:rsidP="00547D24">
      <w:pPr>
        <w:spacing w:line="276" w:lineRule="auto"/>
        <w:rPr>
          <w:rFonts w:cs="Tahoma"/>
          <w:spacing w:val="4"/>
          <w:szCs w:val="24"/>
        </w:rPr>
      </w:pPr>
    </w:p>
    <w:p w14:paraId="7719989A" w14:textId="61677938" w:rsidR="00825A70" w:rsidRPr="00274371" w:rsidRDefault="00825A70" w:rsidP="00547D24">
      <w:pPr>
        <w:pStyle w:val="Prrafodelista"/>
        <w:numPr>
          <w:ilvl w:val="1"/>
          <w:numId w:val="2"/>
        </w:numPr>
        <w:spacing w:line="276" w:lineRule="auto"/>
        <w:ind w:left="709" w:hanging="709"/>
        <w:rPr>
          <w:rFonts w:cs="Tahoma"/>
          <w:b/>
          <w:bCs/>
          <w:spacing w:val="4"/>
          <w:szCs w:val="24"/>
        </w:rPr>
      </w:pPr>
      <w:r w:rsidRPr="00274371">
        <w:rPr>
          <w:rFonts w:cs="Tahoma"/>
          <w:b/>
          <w:bCs/>
          <w:spacing w:val="4"/>
          <w:szCs w:val="24"/>
        </w:rPr>
        <w:t>Caso concreto.</w:t>
      </w:r>
    </w:p>
    <w:p w14:paraId="59A24D55" w14:textId="52132A6D" w:rsidR="00825A70" w:rsidRPr="00274371" w:rsidRDefault="00825A70" w:rsidP="00547D24">
      <w:pPr>
        <w:spacing w:line="276" w:lineRule="auto"/>
        <w:rPr>
          <w:rFonts w:cs="Tahoma"/>
          <w:spacing w:val="4"/>
          <w:szCs w:val="24"/>
        </w:rPr>
      </w:pPr>
    </w:p>
    <w:p w14:paraId="785491AB" w14:textId="181AFDDC" w:rsidR="003B38E8" w:rsidRPr="00274371" w:rsidRDefault="003B38E8" w:rsidP="00547D24">
      <w:pPr>
        <w:spacing w:line="276" w:lineRule="auto"/>
        <w:ind w:firstLine="708"/>
        <w:rPr>
          <w:rFonts w:cs="Tahoma"/>
          <w:spacing w:val="4"/>
          <w:szCs w:val="24"/>
        </w:rPr>
      </w:pPr>
      <w:r w:rsidRPr="00274371">
        <w:rPr>
          <w:rFonts w:cs="Tahoma"/>
          <w:spacing w:val="4"/>
          <w:szCs w:val="24"/>
        </w:rPr>
        <w:t xml:space="preserve">Para empezar, observa la Sala que le asiste razón a la demandada en el sentido </w:t>
      </w:r>
      <w:r w:rsidR="00D54F91" w:rsidRPr="00274371">
        <w:rPr>
          <w:rFonts w:cs="Tahoma"/>
          <w:spacing w:val="4"/>
          <w:szCs w:val="24"/>
        </w:rPr>
        <w:t>de</w:t>
      </w:r>
      <w:r w:rsidRPr="00274371">
        <w:rPr>
          <w:rFonts w:cs="Tahoma"/>
          <w:spacing w:val="4"/>
          <w:szCs w:val="24"/>
        </w:rPr>
        <w:t xml:space="preserve"> que la medida cautelar fue sustentada en presuntos actos del demandado por </w:t>
      </w:r>
      <w:proofErr w:type="spellStart"/>
      <w:r w:rsidRPr="00274371">
        <w:rPr>
          <w:rFonts w:cs="Tahoma"/>
          <w:spacing w:val="4"/>
          <w:szCs w:val="24"/>
        </w:rPr>
        <w:t>insolventarse</w:t>
      </w:r>
      <w:proofErr w:type="spellEnd"/>
      <w:r w:rsidRPr="00274371">
        <w:rPr>
          <w:rFonts w:cs="Tahoma"/>
          <w:spacing w:val="4"/>
          <w:szCs w:val="24"/>
        </w:rPr>
        <w:t xml:space="preserve"> al advertirse una supuesta venta de la empresa (fol. </w:t>
      </w:r>
      <w:r w:rsidRPr="00274371">
        <w:rPr>
          <w:rFonts w:cs="Tahoma"/>
          <w:spacing w:val="4"/>
          <w:szCs w:val="24"/>
        </w:rPr>
        <w:lastRenderedPageBreak/>
        <w:t xml:space="preserve">8) </w:t>
      </w:r>
      <w:r w:rsidR="000A47FE" w:rsidRPr="00274371">
        <w:rPr>
          <w:rFonts w:cs="Tahoma"/>
          <w:spacing w:val="4"/>
          <w:szCs w:val="24"/>
        </w:rPr>
        <w:t>lo cual no se encuentra probado, en tanto que</w:t>
      </w:r>
      <w:r w:rsidR="00D54F91" w:rsidRPr="00274371">
        <w:rPr>
          <w:rFonts w:cs="Tahoma"/>
          <w:spacing w:val="4"/>
          <w:szCs w:val="24"/>
        </w:rPr>
        <w:t>,</w:t>
      </w:r>
      <w:r w:rsidR="000A47FE" w:rsidRPr="00274371">
        <w:rPr>
          <w:rFonts w:cs="Tahoma"/>
          <w:spacing w:val="4"/>
          <w:szCs w:val="24"/>
        </w:rPr>
        <w:t xml:space="preserve"> </w:t>
      </w:r>
      <w:r w:rsidRPr="00274371">
        <w:rPr>
          <w:rFonts w:cs="Tahoma"/>
          <w:spacing w:val="4"/>
          <w:szCs w:val="24"/>
        </w:rPr>
        <w:t xml:space="preserve">al resolver, el A-quo dio aplicación </w:t>
      </w:r>
      <w:r w:rsidR="00FC3E40" w:rsidRPr="00274371">
        <w:rPr>
          <w:rFonts w:cs="Tahoma"/>
          <w:spacing w:val="4"/>
          <w:szCs w:val="24"/>
        </w:rPr>
        <w:t>a</w:t>
      </w:r>
      <w:r w:rsidRPr="00274371">
        <w:rPr>
          <w:rFonts w:cs="Tahoma"/>
          <w:spacing w:val="4"/>
          <w:szCs w:val="24"/>
        </w:rPr>
        <w:t xml:space="preserve"> la medida por una causa</w:t>
      </w:r>
      <w:r w:rsidR="00FC3E40" w:rsidRPr="00274371">
        <w:rPr>
          <w:rFonts w:cs="Tahoma"/>
          <w:spacing w:val="4"/>
          <w:szCs w:val="24"/>
        </w:rPr>
        <w:t>l</w:t>
      </w:r>
      <w:r w:rsidRPr="00274371">
        <w:rPr>
          <w:rFonts w:cs="Tahoma"/>
          <w:spacing w:val="4"/>
          <w:szCs w:val="24"/>
        </w:rPr>
        <w:t xml:space="preserve"> muy diferente a la implorada, siendo ella, por el señalamiento de dificultades económicas para cumplir con las obligaciones.</w:t>
      </w:r>
    </w:p>
    <w:p w14:paraId="5E25C4C4" w14:textId="69FA6939" w:rsidR="003B38E8" w:rsidRPr="00274371" w:rsidRDefault="003B38E8" w:rsidP="00547D24">
      <w:pPr>
        <w:spacing w:line="276" w:lineRule="auto"/>
        <w:rPr>
          <w:rFonts w:cs="Tahoma"/>
          <w:spacing w:val="4"/>
          <w:szCs w:val="24"/>
        </w:rPr>
      </w:pPr>
    </w:p>
    <w:p w14:paraId="4A01D489" w14:textId="61B59041" w:rsidR="003B38E8" w:rsidRPr="00274371" w:rsidRDefault="003B38E8" w:rsidP="00547D24">
      <w:pPr>
        <w:spacing w:line="276" w:lineRule="auto"/>
        <w:ind w:firstLine="360"/>
        <w:rPr>
          <w:rFonts w:cs="Tahoma"/>
          <w:spacing w:val="4"/>
          <w:szCs w:val="24"/>
        </w:rPr>
      </w:pPr>
      <w:r w:rsidRPr="00274371">
        <w:rPr>
          <w:rFonts w:cs="Tahoma"/>
          <w:spacing w:val="4"/>
          <w:szCs w:val="24"/>
        </w:rPr>
        <w:t>Pues bien</w:t>
      </w:r>
      <w:r w:rsidR="000A47FE" w:rsidRPr="00274371">
        <w:rPr>
          <w:rFonts w:cs="Tahoma"/>
          <w:spacing w:val="4"/>
          <w:szCs w:val="24"/>
        </w:rPr>
        <w:t>,</w:t>
      </w:r>
      <w:r w:rsidRPr="00274371">
        <w:rPr>
          <w:rFonts w:cs="Tahoma"/>
          <w:spacing w:val="4"/>
          <w:szCs w:val="24"/>
        </w:rPr>
        <w:t xml:space="preserve"> en el caso puntual se tienen los siguientes medios probatorios:</w:t>
      </w:r>
    </w:p>
    <w:p w14:paraId="434373C5" w14:textId="77777777" w:rsidR="003B38E8" w:rsidRPr="00274371" w:rsidRDefault="003B38E8" w:rsidP="00547D24">
      <w:pPr>
        <w:spacing w:line="276" w:lineRule="auto"/>
        <w:rPr>
          <w:rFonts w:cs="Tahoma"/>
          <w:spacing w:val="4"/>
          <w:szCs w:val="24"/>
        </w:rPr>
      </w:pPr>
    </w:p>
    <w:p w14:paraId="7BECE4E6" w14:textId="4136BE5D" w:rsidR="00AD133E" w:rsidRPr="00274371" w:rsidRDefault="00AD133E" w:rsidP="00547D24">
      <w:pPr>
        <w:spacing w:line="276" w:lineRule="auto"/>
        <w:ind w:firstLine="360"/>
        <w:rPr>
          <w:rFonts w:cs="Tahoma"/>
          <w:b/>
          <w:bCs/>
          <w:spacing w:val="4"/>
          <w:szCs w:val="24"/>
        </w:rPr>
      </w:pPr>
      <w:r w:rsidRPr="00274371">
        <w:rPr>
          <w:rFonts w:cs="Tahoma"/>
          <w:spacing w:val="4"/>
          <w:szCs w:val="24"/>
        </w:rPr>
        <w:t xml:space="preserve">A folio 129-134 del cuaderno de copias, </w:t>
      </w:r>
      <w:r w:rsidR="00493A57" w:rsidRPr="00274371">
        <w:rPr>
          <w:rFonts w:cs="Tahoma"/>
          <w:spacing w:val="4"/>
          <w:szCs w:val="24"/>
        </w:rPr>
        <w:t>obra certificado</w:t>
      </w:r>
      <w:r w:rsidRPr="00274371">
        <w:rPr>
          <w:rFonts w:cs="Tahoma"/>
          <w:spacing w:val="4"/>
          <w:szCs w:val="24"/>
        </w:rPr>
        <w:t xml:space="preserve"> de existencia y representación legal de Transportes Urbanos Cañarte Ltda., en el que se observa un capital social de $433.545.000 con trece socios capitalistas.  </w:t>
      </w:r>
    </w:p>
    <w:p w14:paraId="4A163966" w14:textId="77777777" w:rsidR="00AD133E" w:rsidRPr="00274371" w:rsidRDefault="00AD133E" w:rsidP="00547D24">
      <w:pPr>
        <w:pStyle w:val="Prrafodelista"/>
        <w:spacing w:line="276" w:lineRule="auto"/>
        <w:rPr>
          <w:rFonts w:cs="Tahoma"/>
          <w:spacing w:val="4"/>
          <w:szCs w:val="24"/>
        </w:rPr>
      </w:pPr>
    </w:p>
    <w:p w14:paraId="51A4E2FB" w14:textId="5CCF7EDD" w:rsidR="00AD133E" w:rsidRPr="00274371" w:rsidRDefault="00AD133E" w:rsidP="00547D24">
      <w:pPr>
        <w:spacing w:line="276" w:lineRule="auto"/>
        <w:ind w:firstLine="360"/>
        <w:rPr>
          <w:rFonts w:cs="Tahoma"/>
          <w:b/>
          <w:bCs/>
          <w:spacing w:val="4"/>
          <w:szCs w:val="24"/>
        </w:rPr>
      </w:pPr>
      <w:r w:rsidRPr="00274371">
        <w:rPr>
          <w:rFonts w:cs="Tahoma"/>
          <w:spacing w:val="4"/>
          <w:szCs w:val="24"/>
        </w:rPr>
        <w:t xml:space="preserve">De igual forma, se observan medidas cautelares sobre cuotas partes embargadas por los </w:t>
      </w:r>
      <w:r w:rsidR="00274371" w:rsidRPr="00274371">
        <w:rPr>
          <w:rFonts w:cs="Tahoma"/>
          <w:spacing w:val="4"/>
          <w:szCs w:val="24"/>
        </w:rPr>
        <w:t xml:space="preserve">Juzgados Sexto Civil Municipal </w:t>
      </w:r>
      <w:r w:rsidRPr="00274371">
        <w:rPr>
          <w:rFonts w:cs="Tahoma"/>
          <w:spacing w:val="4"/>
          <w:szCs w:val="24"/>
        </w:rPr>
        <w:t xml:space="preserve">(Silvio de Jesús Trejos </w:t>
      </w:r>
      <w:proofErr w:type="spellStart"/>
      <w:r w:rsidRPr="00274371">
        <w:rPr>
          <w:rFonts w:cs="Tahoma"/>
          <w:spacing w:val="4"/>
          <w:szCs w:val="24"/>
        </w:rPr>
        <w:t>Villaneda</w:t>
      </w:r>
      <w:proofErr w:type="spellEnd"/>
      <w:r w:rsidRPr="00274371">
        <w:rPr>
          <w:rFonts w:cs="Tahoma"/>
          <w:spacing w:val="4"/>
          <w:szCs w:val="24"/>
        </w:rPr>
        <w:t>), J</w:t>
      </w:r>
      <w:r w:rsidR="00274371" w:rsidRPr="00274371">
        <w:rPr>
          <w:rFonts w:cs="Tahoma"/>
          <w:spacing w:val="4"/>
          <w:szCs w:val="24"/>
        </w:rPr>
        <w:t xml:space="preserve">uzgado Cuarto Civil Municipal </w:t>
      </w:r>
      <w:r w:rsidRPr="00274371">
        <w:rPr>
          <w:rFonts w:cs="Tahoma"/>
          <w:spacing w:val="4"/>
          <w:szCs w:val="24"/>
        </w:rPr>
        <w:t xml:space="preserve">(Fernando Rincón Morales), Juzgado </w:t>
      </w:r>
      <w:r w:rsidR="00274371" w:rsidRPr="00274371">
        <w:rPr>
          <w:rFonts w:cs="Tahoma"/>
          <w:spacing w:val="4"/>
          <w:szCs w:val="24"/>
        </w:rPr>
        <w:t xml:space="preserve">Cuarto Civil </w:t>
      </w:r>
      <w:r w:rsidRPr="00274371">
        <w:rPr>
          <w:rFonts w:cs="Tahoma"/>
          <w:spacing w:val="4"/>
          <w:szCs w:val="24"/>
        </w:rPr>
        <w:t xml:space="preserve">del </w:t>
      </w:r>
      <w:r w:rsidR="00274371" w:rsidRPr="00274371">
        <w:rPr>
          <w:rFonts w:cs="Tahoma"/>
          <w:spacing w:val="4"/>
          <w:szCs w:val="24"/>
        </w:rPr>
        <w:t xml:space="preserve">Circuito </w:t>
      </w:r>
      <w:r w:rsidRPr="00274371">
        <w:rPr>
          <w:rFonts w:cs="Tahoma"/>
          <w:spacing w:val="4"/>
          <w:szCs w:val="24"/>
        </w:rPr>
        <w:t xml:space="preserve">(Libardo Rincón Morales), </w:t>
      </w:r>
      <w:r w:rsidR="00274371" w:rsidRPr="00274371">
        <w:rPr>
          <w:rFonts w:cs="Tahoma"/>
          <w:spacing w:val="4"/>
          <w:szCs w:val="24"/>
        </w:rPr>
        <w:t xml:space="preserve">Juzgado Segundo Civil Municipal </w:t>
      </w:r>
      <w:r w:rsidRPr="00274371">
        <w:rPr>
          <w:rFonts w:cs="Tahoma"/>
          <w:spacing w:val="4"/>
          <w:szCs w:val="24"/>
        </w:rPr>
        <w:t>(</w:t>
      </w:r>
      <w:proofErr w:type="spellStart"/>
      <w:r w:rsidRPr="00274371">
        <w:rPr>
          <w:rFonts w:cs="Tahoma"/>
          <w:spacing w:val="4"/>
          <w:szCs w:val="24"/>
        </w:rPr>
        <w:t>Jhon</w:t>
      </w:r>
      <w:proofErr w:type="spellEnd"/>
      <w:r w:rsidRPr="00274371">
        <w:rPr>
          <w:rFonts w:cs="Tahoma"/>
          <w:spacing w:val="4"/>
          <w:szCs w:val="24"/>
        </w:rPr>
        <w:t xml:space="preserve"> Freddy Villa Ramírez), </w:t>
      </w:r>
      <w:r w:rsidR="00274371" w:rsidRPr="00274371">
        <w:rPr>
          <w:rFonts w:cs="Tahoma"/>
          <w:spacing w:val="4"/>
          <w:szCs w:val="24"/>
        </w:rPr>
        <w:t xml:space="preserve">Juzgado Sexto Civil Municipal </w:t>
      </w:r>
      <w:r w:rsidRPr="00274371">
        <w:rPr>
          <w:rFonts w:cs="Tahoma"/>
          <w:spacing w:val="4"/>
          <w:szCs w:val="24"/>
        </w:rPr>
        <w:t xml:space="preserve">(Silvio de Jesús Trejos </w:t>
      </w:r>
      <w:proofErr w:type="spellStart"/>
      <w:r w:rsidRPr="00274371">
        <w:rPr>
          <w:rFonts w:cs="Tahoma"/>
          <w:spacing w:val="4"/>
          <w:szCs w:val="24"/>
        </w:rPr>
        <w:t>Villaneda</w:t>
      </w:r>
      <w:proofErr w:type="spellEnd"/>
      <w:r w:rsidRPr="00274371">
        <w:rPr>
          <w:rFonts w:cs="Tahoma"/>
          <w:spacing w:val="4"/>
          <w:szCs w:val="24"/>
        </w:rPr>
        <w:t xml:space="preserve">), </w:t>
      </w:r>
      <w:r w:rsidR="00FC3E40" w:rsidRPr="00274371">
        <w:rPr>
          <w:rFonts w:cs="Tahoma"/>
          <w:spacing w:val="4"/>
          <w:szCs w:val="24"/>
        </w:rPr>
        <w:t xml:space="preserve">Juzgado </w:t>
      </w:r>
      <w:r w:rsidR="00274371" w:rsidRPr="00274371">
        <w:rPr>
          <w:rFonts w:cs="Tahoma"/>
          <w:spacing w:val="4"/>
          <w:szCs w:val="24"/>
        </w:rPr>
        <w:t xml:space="preserve">Tercero Administrativo </w:t>
      </w:r>
      <w:r w:rsidR="00FC3E40" w:rsidRPr="00274371">
        <w:rPr>
          <w:rFonts w:cs="Tahoma"/>
          <w:spacing w:val="4"/>
          <w:szCs w:val="24"/>
        </w:rPr>
        <w:t xml:space="preserve">(cuotas sociales), </w:t>
      </w:r>
      <w:r w:rsidR="00274371" w:rsidRPr="00274371">
        <w:rPr>
          <w:rFonts w:cs="Tahoma"/>
          <w:spacing w:val="4"/>
          <w:szCs w:val="24"/>
        </w:rPr>
        <w:t xml:space="preserve">Superintendencia </w:t>
      </w:r>
      <w:r w:rsidRPr="00274371">
        <w:rPr>
          <w:rFonts w:cs="Tahoma"/>
          <w:spacing w:val="4"/>
          <w:szCs w:val="24"/>
        </w:rPr>
        <w:t xml:space="preserve">de </w:t>
      </w:r>
      <w:r w:rsidR="00274371" w:rsidRPr="00274371">
        <w:rPr>
          <w:rFonts w:cs="Tahoma"/>
          <w:spacing w:val="4"/>
          <w:szCs w:val="24"/>
        </w:rPr>
        <w:t xml:space="preserve">Sociedades </w:t>
      </w:r>
      <w:r w:rsidR="0032437E" w:rsidRPr="00274371">
        <w:rPr>
          <w:rFonts w:cs="Tahoma"/>
          <w:spacing w:val="4"/>
          <w:szCs w:val="24"/>
        </w:rPr>
        <w:t>a efecto de impedir la inscripción de la reforma estatutaria elevada mediante escritura pública 5887 del 27 de diciembre de 2018</w:t>
      </w:r>
      <w:r w:rsidRPr="00274371">
        <w:rPr>
          <w:rFonts w:cs="Tahoma"/>
          <w:spacing w:val="4"/>
          <w:szCs w:val="24"/>
        </w:rPr>
        <w:t>.</w:t>
      </w:r>
    </w:p>
    <w:p w14:paraId="3DA4AAB9" w14:textId="56E23644" w:rsidR="00AD133E" w:rsidRPr="00274371" w:rsidRDefault="00AD133E" w:rsidP="00547D24">
      <w:pPr>
        <w:pStyle w:val="Prrafodelista"/>
        <w:spacing w:line="276" w:lineRule="auto"/>
        <w:rPr>
          <w:rFonts w:cs="Tahoma"/>
          <w:b/>
          <w:bCs/>
          <w:spacing w:val="4"/>
          <w:szCs w:val="24"/>
        </w:rPr>
      </w:pPr>
    </w:p>
    <w:p w14:paraId="104008F9" w14:textId="0F70C249" w:rsidR="00AD133E" w:rsidRPr="00274371" w:rsidRDefault="00AD133E" w:rsidP="00547D24">
      <w:pPr>
        <w:spacing w:line="276" w:lineRule="auto"/>
        <w:ind w:firstLine="360"/>
        <w:rPr>
          <w:rFonts w:cs="Tahoma"/>
          <w:spacing w:val="4"/>
          <w:szCs w:val="24"/>
        </w:rPr>
      </w:pPr>
      <w:r w:rsidRPr="00274371">
        <w:rPr>
          <w:rFonts w:cs="Tahoma"/>
          <w:spacing w:val="4"/>
          <w:szCs w:val="24"/>
        </w:rPr>
        <w:t>A folio 135-137, se allega por la demandada el estado de la situación financiera al 31 de diciembre de 2018 observando los siguientes saldos: Activo $2.177.450.153; Pasivo $1.938.703.987 y patrimonio $238.746.166</w:t>
      </w:r>
    </w:p>
    <w:p w14:paraId="6738B5CC" w14:textId="0C5C6445" w:rsidR="00AD133E" w:rsidRPr="00274371" w:rsidRDefault="00AD133E" w:rsidP="00547D24">
      <w:pPr>
        <w:pStyle w:val="Textoindependiente"/>
        <w:tabs>
          <w:tab w:val="left" w:pos="7020"/>
        </w:tabs>
        <w:spacing w:line="276" w:lineRule="auto"/>
        <w:rPr>
          <w:rFonts w:ascii="Tahoma" w:hAnsi="Tahoma" w:cs="Tahoma"/>
          <w:spacing w:val="4"/>
          <w:sz w:val="24"/>
          <w:szCs w:val="24"/>
          <w:lang w:val="es-CO"/>
        </w:rPr>
      </w:pPr>
    </w:p>
    <w:p w14:paraId="0122F79E" w14:textId="3519781F" w:rsidR="00DA7FA5" w:rsidRPr="00274371" w:rsidRDefault="00DA7FA5" w:rsidP="00547D24">
      <w:pPr>
        <w:spacing w:line="276" w:lineRule="auto"/>
        <w:ind w:firstLine="360"/>
        <w:rPr>
          <w:rFonts w:cs="Tahoma"/>
          <w:spacing w:val="4"/>
          <w:szCs w:val="24"/>
        </w:rPr>
      </w:pPr>
      <w:r w:rsidRPr="00274371">
        <w:rPr>
          <w:rFonts w:cs="Tahoma"/>
          <w:spacing w:val="4"/>
          <w:szCs w:val="24"/>
        </w:rPr>
        <w:t xml:space="preserve">A folio 138, se allega por la demandada el estado de resultados al 31 de diciembre de 2018 reportando pérdida en el ejercicio </w:t>
      </w:r>
      <w:r w:rsidR="00FC3E40" w:rsidRPr="00274371">
        <w:rPr>
          <w:rFonts w:cs="Tahoma"/>
          <w:spacing w:val="4"/>
          <w:szCs w:val="24"/>
        </w:rPr>
        <w:t>por</w:t>
      </w:r>
      <w:r w:rsidRPr="00274371">
        <w:rPr>
          <w:rFonts w:cs="Tahoma"/>
          <w:spacing w:val="4"/>
          <w:szCs w:val="24"/>
        </w:rPr>
        <w:t xml:space="preserve"> $51.318.583.</w:t>
      </w:r>
    </w:p>
    <w:p w14:paraId="128E88CE" w14:textId="77777777" w:rsidR="00DA7FA5" w:rsidRPr="00274371" w:rsidRDefault="00DA7FA5" w:rsidP="00547D24">
      <w:pPr>
        <w:pStyle w:val="Textoindependiente"/>
        <w:tabs>
          <w:tab w:val="left" w:pos="7020"/>
        </w:tabs>
        <w:spacing w:line="276" w:lineRule="auto"/>
        <w:rPr>
          <w:rFonts w:ascii="Tahoma" w:hAnsi="Tahoma" w:cs="Tahoma"/>
          <w:spacing w:val="4"/>
          <w:sz w:val="24"/>
          <w:szCs w:val="24"/>
          <w:lang w:val="es-CO"/>
        </w:rPr>
      </w:pPr>
    </w:p>
    <w:p w14:paraId="2D0C2BF5" w14:textId="452A011E" w:rsidR="00AD133E" w:rsidRPr="00274371" w:rsidRDefault="00FC3E40" w:rsidP="00547D24">
      <w:pPr>
        <w:spacing w:line="276" w:lineRule="auto"/>
        <w:ind w:firstLine="360"/>
        <w:rPr>
          <w:rFonts w:cs="Tahoma"/>
          <w:spacing w:val="4"/>
          <w:szCs w:val="24"/>
        </w:rPr>
      </w:pPr>
      <w:r w:rsidRPr="00274371">
        <w:rPr>
          <w:rFonts w:cs="Tahoma"/>
          <w:spacing w:val="4"/>
          <w:szCs w:val="24"/>
        </w:rPr>
        <w:t xml:space="preserve">A folio 135-136, obra el estado de la situación financiera </w:t>
      </w:r>
      <w:r w:rsidR="00AD133E" w:rsidRPr="00274371">
        <w:rPr>
          <w:rFonts w:cs="Tahoma"/>
          <w:spacing w:val="4"/>
          <w:szCs w:val="24"/>
        </w:rPr>
        <w:t>a</w:t>
      </w:r>
      <w:r w:rsidRPr="00274371">
        <w:rPr>
          <w:rFonts w:cs="Tahoma"/>
          <w:spacing w:val="4"/>
          <w:szCs w:val="24"/>
        </w:rPr>
        <w:t>l</w:t>
      </w:r>
      <w:r w:rsidR="00AD133E" w:rsidRPr="00274371">
        <w:rPr>
          <w:rFonts w:cs="Tahoma"/>
          <w:spacing w:val="4"/>
          <w:szCs w:val="24"/>
        </w:rPr>
        <w:t xml:space="preserve"> 31 de julio de 201</w:t>
      </w:r>
      <w:r w:rsidRPr="00274371">
        <w:rPr>
          <w:rFonts w:cs="Tahoma"/>
          <w:spacing w:val="4"/>
          <w:szCs w:val="24"/>
        </w:rPr>
        <w:t>8</w:t>
      </w:r>
      <w:r w:rsidR="00AD133E" w:rsidRPr="00274371">
        <w:rPr>
          <w:rFonts w:cs="Tahoma"/>
          <w:spacing w:val="4"/>
          <w:szCs w:val="24"/>
        </w:rPr>
        <w:t xml:space="preserve">, </w:t>
      </w:r>
      <w:r w:rsidRPr="00274371">
        <w:rPr>
          <w:rFonts w:cs="Tahoma"/>
          <w:spacing w:val="4"/>
          <w:szCs w:val="24"/>
        </w:rPr>
        <w:t xml:space="preserve">contando con un </w:t>
      </w:r>
      <w:r w:rsidR="00AD133E" w:rsidRPr="00274371">
        <w:rPr>
          <w:rFonts w:cs="Tahoma"/>
          <w:spacing w:val="4"/>
          <w:szCs w:val="24"/>
        </w:rPr>
        <w:t xml:space="preserve">patrimonio </w:t>
      </w:r>
      <w:r w:rsidRPr="00274371">
        <w:rPr>
          <w:rFonts w:cs="Tahoma"/>
          <w:spacing w:val="4"/>
          <w:szCs w:val="24"/>
        </w:rPr>
        <w:t xml:space="preserve">por </w:t>
      </w:r>
      <w:r w:rsidR="00AD133E" w:rsidRPr="00274371">
        <w:rPr>
          <w:rFonts w:cs="Tahoma"/>
          <w:spacing w:val="4"/>
          <w:szCs w:val="24"/>
        </w:rPr>
        <w:t>$</w:t>
      </w:r>
      <w:r w:rsidRPr="00274371">
        <w:rPr>
          <w:rFonts w:cs="Tahoma"/>
          <w:spacing w:val="4"/>
          <w:szCs w:val="24"/>
        </w:rPr>
        <w:t>238.746.166 resultado de la diferencia entre el activo por $ 2</w:t>
      </w:r>
      <w:r w:rsidR="00547D24" w:rsidRPr="00274371">
        <w:rPr>
          <w:rFonts w:cs="Tahoma"/>
          <w:spacing w:val="4"/>
          <w:szCs w:val="24"/>
        </w:rPr>
        <w:t>.</w:t>
      </w:r>
      <w:r w:rsidRPr="00274371">
        <w:rPr>
          <w:rFonts w:cs="Tahoma"/>
          <w:spacing w:val="4"/>
          <w:szCs w:val="24"/>
        </w:rPr>
        <w:t>177</w:t>
      </w:r>
      <w:r w:rsidR="00547D24" w:rsidRPr="00274371">
        <w:rPr>
          <w:rFonts w:cs="Tahoma"/>
          <w:spacing w:val="4"/>
          <w:szCs w:val="24"/>
        </w:rPr>
        <w:t>.</w:t>
      </w:r>
      <w:r w:rsidRPr="00274371">
        <w:rPr>
          <w:rFonts w:cs="Tahoma"/>
          <w:spacing w:val="4"/>
          <w:szCs w:val="24"/>
        </w:rPr>
        <w:t>450</w:t>
      </w:r>
      <w:r w:rsidR="00547D24" w:rsidRPr="00274371">
        <w:rPr>
          <w:rFonts w:cs="Tahoma"/>
          <w:spacing w:val="4"/>
          <w:szCs w:val="24"/>
        </w:rPr>
        <w:t>.</w:t>
      </w:r>
      <w:r w:rsidRPr="00274371">
        <w:rPr>
          <w:rFonts w:cs="Tahoma"/>
          <w:spacing w:val="4"/>
          <w:szCs w:val="24"/>
        </w:rPr>
        <w:t>153 y el pasivo por $1</w:t>
      </w:r>
      <w:r w:rsidR="00547D24" w:rsidRPr="00274371">
        <w:rPr>
          <w:rFonts w:cs="Tahoma"/>
          <w:spacing w:val="4"/>
          <w:szCs w:val="24"/>
        </w:rPr>
        <w:t>.</w:t>
      </w:r>
      <w:r w:rsidRPr="00274371">
        <w:rPr>
          <w:rFonts w:cs="Tahoma"/>
          <w:spacing w:val="4"/>
          <w:szCs w:val="24"/>
        </w:rPr>
        <w:t>938</w:t>
      </w:r>
      <w:r w:rsidR="00547D24" w:rsidRPr="00274371">
        <w:rPr>
          <w:rFonts w:cs="Tahoma"/>
          <w:spacing w:val="4"/>
          <w:szCs w:val="24"/>
        </w:rPr>
        <w:t>.</w:t>
      </w:r>
      <w:r w:rsidRPr="00274371">
        <w:rPr>
          <w:rFonts w:cs="Tahoma"/>
          <w:spacing w:val="4"/>
          <w:szCs w:val="24"/>
        </w:rPr>
        <w:t>703</w:t>
      </w:r>
      <w:r w:rsidR="00547D24" w:rsidRPr="00274371">
        <w:rPr>
          <w:rFonts w:cs="Tahoma"/>
          <w:spacing w:val="4"/>
          <w:szCs w:val="24"/>
        </w:rPr>
        <w:t>.</w:t>
      </w:r>
      <w:r w:rsidRPr="00274371">
        <w:rPr>
          <w:rFonts w:cs="Tahoma"/>
          <w:spacing w:val="4"/>
          <w:szCs w:val="24"/>
        </w:rPr>
        <w:t>987.</w:t>
      </w:r>
    </w:p>
    <w:p w14:paraId="4845F439" w14:textId="77777777" w:rsidR="00DA7FA5" w:rsidRPr="00274371" w:rsidRDefault="00DA7FA5" w:rsidP="00547D24">
      <w:pPr>
        <w:pStyle w:val="Prrafodelista"/>
        <w:spacing w:line="276" w:lineRule="auto"/>
        <w:ind w:left="360"/>
        <w:rPr>
          <w:rFonts w:cs="Tahoma"/>
          <w:b/>
          <w:bCs/>
          <w:spacing w:val="4"/>
          <w:szCs w:val="24"/>
        </w:rPr>
      </w:pPr>
    </w:p>
    <w:p w14:paraId="51D608F3" w14:textId="4B4A5CCF" w:rsidR="00FC3E40" w:rsidRPr="00274371" w:rsidRDefault="00AD133E" w:rsidP="00547D24">
      <w:pPr>
        <w:spacing w:line="276" w:lineRule="auto"/>
        <w:ind w:firstLine="360"/>
        <w:rPr>
          <w:rFonts w:cs="Tahoma"/>
          <w:b/>
          <w:bCs/>
          <w:spacing w:val="4"/>
          <w:szCs w:val="24"/>
        </w:rPr>
      </w:pPr>
      <w:r w:rsidRPr="00274371">
        <w:rPr>
          <w:rFonts w:cs="Tahoma"/>
          <w:spacing w:val="4"/>
          <w:szCs w:val="24"/>
        </w:rPr>
        <w:t xml:space="preserve">Interrogada la representante legal de la empresa accionada, indicó que Transporte Cañarte Ltda. </w:t>
      </w:r>
      <w:proofErr w:type="gramStart"/>
      <w:r w:rsidRPr="00274371">
        <w:rPr>
          <w:rFonts w:cs="Tahoma"/>
          <w:spacing w:val="4"/>
          <w:szCs w:val="24"/>
        </w:rPr>
        <w:t>estaba</w:t>
      </w:r>
      <w:proofErr w:type="gramEnd"/>
      <w:r w:rsidRPr="00274371">
        <w:rPr>
          <w:rFonts w:cs="Tahoma"/>
          <w:spacing w:val="4"/>
          <w:szCs w:val="24"/>
        </w:rPr>
        <w:t xml:space="preserve"> actualmente habilitada para la prestación del servicio de transporte; que tienen unos pasivos relacionados con las deudas o provisiones pensionales presuntas que estaba</w:t>
      </w:r>
      <w:r w:rsidR="00FC3E40" w:rsidRPr="00274371">
        <w:rPr>
          <w:rFonts w:cs="Tahoma"/>
          <w:spacing w:val="4"/>
          <w:szCs w:val="24"/>
        </w:rPr>
        <w:t>n</w:t>
      </w:r>
      <w:r w:rsidRPr="00274371">
        <w:rPr>
          <w:rFonts w:cs="Tahoma"/>
          <w:spacing w:val="4"/>
          <w:szCs w:val="24"/>
        </w:rPr>
        <w:t xml:space="preserve"> en proceso de depuración y las deudas del fondo de reposición</w:t>
      </w:r>
      <w:r w:rsidR="00FC3E40" w:rsidRPr="00274371">
        <w:rPr>
          <w:rStyle w:val="Refdenotaalpie"/>
          <w:rFonts w:cs="Tahoma"/>
          <w:spacing w:val="4"/>
          <w:szCs w:val="24"/>
        </w:rPr>
        <w:footnoteReference w:id="3"/>
      </w:r>
      <w:r w:rsidRPr="00274371">
        <w:rPr>
          <w:rFonts w:cs="Tahoma"/>
          <w:spacing w:val="4"/>
          <w:szCs w:val="24"/>
        </w:rPr>
        <w:t xml:space="preserve"> que corresponde a un pasivo que viene desde hace quince años; que si bien no se trata de una empresa boyante, era cierto que se tenía un presupuesto apretado </w:t>
      </w:r>
      <w:r w:rsidR="00FC3E40" w:rsidRPr="00274371">
        <w:rPr>
          <w:rFonts w:cs="Tahoma"/>
          <w:spacing w:val="4"/>
          <w:szCs w:val="24"/>
        </w:rPr>
        <w:t xml:space="preserve">pero </w:t>
      </w:r>
      <w:r w:rsidRPr="00274371">
        <w:rPr>
          <w:rFonts w:cs="Tahoma"/>
          <w:spacing w:val="4"/>
          <w:szCs w:val="24"/>
        </w:rPr>
        <w:t>contaban con</w:t>
      </w:r>
      <w:r w:rsidR="007274C6" w:rsidRPr="00274371">
        <w:rPr>
          <w:rFonts w:cs="Tahoma"/>
          <w:spacing w:val="4"/>
          <w:szCs w:val="24"/>
        </w:rPr>
        <w:t xml:space="preserve"> la</w:t>
      </w:r>
      <w:r w:rsidRPr="00274371">
        <w:rPr>
          <w:rFonts w:cs="Tahoma"/>
          <w:spacing w:val="4"/>
          <w:szCs w:val="24"/>
        </w:rPr>
        <w:t xml:space="preserve"> tranquilidad para cumplir con las obligaciones. Explicó que las demandas registradas eran respecto de cuotas sociales de algunos socios</w:t>
      </w:r>
      <w:r w:rsidR="00FC3E40" w:rsidRPr="00274371">
        <w:rPr>
          <w:rFonts w:cs="Tahoma"/>
          <w:spacing w:val="4"/>
          <w:szCs w:val="24"/>
        </w:rPr>
        <w:t xml:space="preserve"> y que</w:t>
      </w:r>
      <w:r w:rsidR="00D54F91" w:rsidRPr="00274371">
        <w:rPr>
          <w:rFonts w:cs="Tahoma"/>
          <w:spacing w:val="4"/>
          <w:szCs w:val="24"/>
        </w:rPr>
        <w:t>,</w:t>
      </w:r>
      <w:r w:rsidR="00FC3E40" w:rsidRPr="00274371">
        <w:rPr>
          <w:rFonts w:cs="Tahoma"/>
          <w:spacing w:val="4"/>
          <w:szCs w:val="24"/>
        </w:rPr>
        <w:t xml:space="preserve"> de hecho, esas medidas se han estado </w:t>
      </w:r>
      <w:r w:rsidRPr="00274371">
        <w:rPr>
          <w:rFonts w:cs="Tahoma"/>
          <w:spacing w:val="4"/>
          <w:szCs w:val="24"/>
        </w:rPr>
        <w:t xml:space="preserve">levantando por pago </w:t>
      </w:r>
      <w:r w:rsidR="00FC3E40" w:rsidRPr="00274371">
        <w:rPr>
          <w:rFonts w:cs="Tahoma"/>
          <w:spacing w:val="4"/>
          <w:szCs w:val="24"/>
        </w:rPr>
        <w:t xml:space="preserve">de la obligación </w:t>
      </w:r>
      <w:r w:rsidRPr="00274371">
        <w:rPr>
          <w:rFonts w:cs="Tahoma"/>
          <w:spacing w:val="4"/>
          <w:szCs w:val="24"/>
        </w:rPr>
        <w:t xml:space="preserve">más no correspondían a gravámenes de la sociedad. Agrega que la </w:t>
      </w:r>
      <w:r w:rsidR="00FC3E40" w:rsidRPr="00274371">
        <w:rPr>
          <w:rFonts w:cs="Tahoma"/>
          <w:spacing w:val="4"/>
          <w:szCs w:val="24"/>
        </w:rPr>
        <w:t xml:space="preserve">medida </w:t>
      </w:r>
      <w:r w:rsidRPr="00274371">
        <w:rPr>
          <w:rFonts w:cs="Tahoma"/>
          <w:spacing w:val="4"/>
          <w:szCs w:val="24"/>
        </w:rPr>
        <w:t>que aparece en la Super</w:t>
      </w:r>
      <w:r w:rsidR="00FC3E40" w:rsidRPr="00274371">
        <w:rPr>
          <w:rFonts w:cs="Tahoma"/>
          <w:spacing w:val="4"/>
          <w:szCs w:val="24"/>
        </w:rPr>
        <w:t>intendencia de s</w:t>
      </w:r>
      <w:r w:rsidRPr="00274371">
        <w:rPr>
          <w:rFonts w:cs="Tahoma"/>
          <w:spacing w:val="4"/>
          <w:szCs w:val="24"/>
        </w:rPr>
        <w:t xml:space="preserve">ociedades </w:t>
      </w:r>
      <w:r w:rsidR="00FC3E40" w:rsidRPr="00274371">
        <w:rPr>
          <w:rFonts w:cs="Tahoma"/>
          <w:spacing w:val="4"/>
          <w:szCs w:val="24"/>
        </w:rPr>
        <w:t xml:space="preserve">era </w:t>
      </w:r>
      <w:r w:rsidRPr="00274371">
        <w:rPr>
          <w:rFonts w:cs="Tahoma"/>
          <w:spacing w:val="4"/>
          <w:szCs w:val="24"/>
        </w:rPr>
        <w:t xml:space="preserve">porque algunos socios quisieron vender o negociar sus acciones </w:t>
      </w:r>
      <w:r w:rsidR="00FC3E40" w:rsidRPr="00274371">
        <w:rPr>
          <w:rFonts w:cs="Tahoma"/>
          <w:spacing w:val="4"/>
          <w:szCs w:val="24"/>
        </w:rPr>
        <w:lastRenderedPageBreak/>
        <w:t xml:space="preserve">sin tener en cuenta </w:t>
      </w:r>
      <w:r w:rsidRPr="00274371">
        <w:rPr>
          <w:rFonts w:cs="Tahoma"/>
          <w:spacing w:val="4"/>
          <w:szCs w:val="24"/>
        </w:rPr>
        <w:t xml:space="preserve">el derecho de preferencia y </w:t>
      </w:r>
      <w:r w:rsidR="00FC3E40" w:rsidRPr="00274371">
        <w:rPr>
          <w:rFonts w:cs="Tahoma"/>
          <w:spacing w:val="4"/>
          <w:szCs w:val="24"/>
        </w:rPr>
        <w:t xml:space="preserve">esa era la razón </w:t>
      </w:r>
      <w:r w:rsidRPr="00274371">
        <w:rPr>
          <w:rFonts w:cs="Tahoma"/>
          <w:spacing w:val="4"/>
          <w:szCs w:val="24"/>
        </w:rPr>
        <w:t xml:space="preserve">por la que se </w:t>
      </w:r>
      <w:r w:rsidR="00FC3E40" w:rsidRPr="00274371">
        <w:rPr>
          <w:rFonts w:cs="Tahoma"/>
          <w:spacing w:val="4"/>
          <w:szCs w:val="24"/>
        </w:rPr>
        <w:t>había impedido el registro de l</w:t>
      </w:r>
      <w:r w:rsidRPr="00274371">
        <w:rPr>
          <w:rFonts w:cs="Tahoma"/>
          <w:spacing w:val="4"/>
          <w:szCs w:val="24"/>
        </w:rPr>
        <w:t xml:space="preserve">a escritura pública. </w:t>
      </w:r>
    </w:p>
    <w:p w14:paraId="1B223915" w14:textId="77777777" w:rsidR="00FC3E40" w:rsidRPr="00274371" w:rsidRDefault="00FC3E40" w:rsidP="00547D24">
      <w:pPr>
        <w:pStyle w:val="Prrafodelista"/>
        <w:spacing w:line="276" w:lineRule="auto"/>
        <w:rPr>
          <w:rFonts w:cs="Tahoma"/>
          <w:spacing w:val="4"/>
          <w:szCs w:val="24"/>
        </w:rPr>
      </w:pPr>
    </w:p>
    <w:p w14:paraId="346E234C" w14:textId="4FB28C69" w:rsidR="00AD133E" w:rsidRPr="00274371" w:rsidRDefault="00AD133E" w:rsidP="00547D24">
      <w:pPr>
        <w:spacing w:line="276" w:lineRule="auto"/>
        <w:ind w:firstLine="360"/>
        <w:rPr>
          <w:rFonts w:cs="Tahoma"/>
          <w:b/>
          <w:bCs/>
          <w:spacing w:val="4"/>
          <w:szCs w:val="24"/>
        </w:rPr>
      </w:pPr>
      <w:r w:rsidRPr="00274371">
        <w:rPr>
          <w:rFonts w:cs="Tahoma"/>
          <w:spacing w:val="4"/>
          <w:szCs w:val="24"/>
        </w:rPr>
        <w:t>Finaliza resaltando que no es cierto que la empresa se hubiera vendido, que distinto es que algunos socios hubiera</w:t>
      </w:r>
      <w:r w:rsidR="00553ECD" w:rsidRPr="00274371">
        <w:rPr>
          <w:rFonts w:cs="Tahoma"/>
          <w:spacing w:val="4"/>
          <w:szCs w:val="24"/>
        </w:rPr>
        <w:t>n</w:t>
      </w:r>
      <w:r w:rsidRPr="00274371">
        <w:rPr>
          <w:rFonts w:cs="Tahoma"/>
          <w:spacing w:val="4"/>
          <w:szCs w:val="24"/>
        </w:rPr>
        <w:t xml:space="preserve"> ofrecido las cuotas sociales</w:t>
      </w:r>
      <w:r w:rsidR="00FC3E40" w:rsidRPr="00274371">
        <w:rPr>
          <w:rFonts w:cs="Tahoma"/>
          <w:spacing w:val="4"/>
          <w:szCs w:val="24"/>
        </w:rPr>
        <w:t xml:space="preserve"> </w:t>
      </w:r>
      <w:r w:rsidRPr="00274371">
        <w:rPr>
          <w:rFonts w:cs="Tahoma"/>
          <w:spacing w:val="4"/>
          <w:szCs w:val="24"/>
        </w:rPr>
        <w:t xml:space="preserve">y, con relación a las aspiraciones del demandante, explicó que el pago de los honorarios cobrados en esta acción sería un aspecto a someter a discusión ante la Junta, </w:t>
      </w:r>
      <w:r w:rsidR="00FC3E40" w:rsidRPr="00274371">
        <w:rPr>
          <w:rFonts w:cs="Tahoma"/>
          <w:spacing w:val="4"/>
          <w:szCs w:val="24"/>
        </w:rPr>
        <w:t xml:space="preserve">frente a lo cual </w:t>
      </w:r>
      <w:r w:rsidRPr="00274371">
        <w:rPr>
          <w:rFonts w:cs="Tahoma"/>
          <w:spacing w:val="4"/>
          <w:szCs w:val="24"/>
        </w:rPr>
        <w:t xml:space="preserve">no creía que se aceptara el pago de lo pedido </w:t>
      </w:r>
      <w:r w:rsidR="00553ECD" w:rsidRPr="00274371">
        <w:rPr>
          <w:rFonts w:cs="Tahoma"/>
          <w:spacing w:val="4"/>
          <w:szCs w:val="24"/>
        </w:rPr>
        <w:t xml:space="preserve">por honorarios </w:t>
      </w:r>
      <w:r w:rsidRPr="00274371">
        <w:rPr>
          <w:rFonts w:cs="Tahoma"/>
          <w:spacing w:val="4"/>
          <w:szCs w:val="24"/>
        </w:rPr>
        <w:t xml:space="preserve">porque inicialmente </w:t>
      </w:r>
      <w:r w:rsidR="00FC3E40" w:rsidRPr="00274371">
        <w:rPr>
          <w:rFonts w:cs="Tahoma"/>
          <w:spacing w:val="4"/>
          <w:szCs w:val="24"/>
        </w:rPr>
        <w:t xml:space="preserve">el demandante </w:t>
      </w:r>
      <w:r w:rsidRPr="00274371">
        <w:rPr>
          <w:rFonts w:cs="Tahoma"/>
          <w:spacing w:val="4"/>
          <w:szCs w:val="24"/>
        </w:rPr>
        <w:t xml:space="preserve">había establecido una cuantía y en la demanda se estaba cobrando una </w:t>
      </w:r>
      <w:r w:rsidR="00FC3E40" w:rsidRPr="00274371">
        <w:rPr>
          <w:rFonts w:cs="Tahoma"/>
          <w:spacing w:val="4"/>
          <w:szCs w:val="24"/>
        </w:rPr>
        <w:t xml:space="preserve">suma </w:t>
      </w:r>
      <w:r w:rsidRPr="00274371">
        <w:rPr>
          <w:rFonts w:cs="Tahoma"/>
          <w:spacing w:val="4"/>
          <w:szCs w:val="24"/>
        </w:rPr>
        <w:t>muy superior.</w:t>
      </w:r>
    </w:p>
    <w:p w14:paraId="3F48AE2A" w14:textId="53BA9765" w:rsidR="00AD133E" w:rsidRPr="00274371" w:rsidRDefault="00AD133E" w:rsidP="00547D24">
      <w:pPr>
        <w:spacing w:line="276" w:lineRule="auto"/>
        <w:ind w:firstLine="360"/>
        <w:rPr>
          <w:rFonts w:cs="Tahoma"/>
          <w:spacing w:val="4"/>
          <w:szCs w:val="24"/>
        </w:rPr>
      </w:pPr>
    </w:p>
    <w:p w14:paraId="384ECF4A" w14:textId="062D3CB7" w:rsidR="00553ECD" w:rsidRPr="00274371" w:rsidRDefault="00553ECD" w:rsidP="00547D24">
      <w:pPr>
        <w:spacing w:line="276" w:lineRule="auto"/>
        <w:ind w:firstLine="360"/>
        <w:rPr>
          <w:rFonts w:cs="Tahoma"/>
          <w:spacing w:val="4"/>
          <w:szCs w:val="24"/>
        </w:rPr>
      </w:pPr>
      <w:r w:rsidRPr="00274371">
        <w:rPr>
          <w:rFonts w:cs="Tahoma"/>
          <w:spacing w:val="4"/>
          <w:szCs w:val="24"/>
        </w:rPr>
        <w:t>De igual manera, se allegaron comunicaciones de los despachos judiciales, así:</w:t>
      </w:r>
    </w:p>
    <w:p w14:paraId="5511AEAE" w14:textId="77777777" w:rsidR="00553ECD" w:rsidRPr="00274371" w:rsidRDefault="00553ECD" w:rsidP="00547D24">
      <w:pPr>
        <w:spacing w:line="276" w:lineRule="auto"/>
        <w:ind w:firstLine="360"/>
        <w:rPr>
          <w:rFonts w:cs="Tahoma"/>
          <w:spacing w:val="4"/>
          <w:szCs w:val="24"/>
        </w:rPr>
      </w:pPr>
    </w:p>
    <w:p w14:paraId="0DBD2AE8" w14:textId="620476E6" w:rsidR="003B38E8" w:rsidRPr="00274371" w:rsidRDefault="003B38E8" w:rsidP="00547D24">
      <w:pPr>
        <w:spacing w:line="276" w:lineRule="auto"/>
        <w:ind w:firstLine="360"/>
        <w:rPr>
          <w:rFonts w:cs="Tahoma"/>
          <w:spacing w:val="4"/>
          <w:szCs w:val="24"/>
        </w:rPr>
      </w:pPr>
      <w:r w:rsidRPr="00274371">
        <w:rPr>
          <w:rFonts w:cs="Tahoma"/>
          <w:spacing w:val="4"/>
          <w:szCs w:val="24"/>
        </w:rPr>
        <w:t xml:space="preserve">A folio 26 del cuaderno de primera instancia, obra respuesta del Juzgado Tercero Administrativo del 24 de septiembre de 2019 en el que se informa sobre el levantamiento de medidas cautelares en contra </w:t>
      </w:r>
      <w:r w:rsidR="00DA7FA5" w:rsidRPr="00274371">
        <w:rPr>
          <w:rFonts w:cs="Tahoma"/>
          <w:spacing w:val="4"/>
          <w:szCs w:val="24"/>
        </w:rPr>
        <w:t>de la sociedad demandada</w:t>
      </w:r>
      <w:r w:rsidRPr="00274371">
        <w:rPr>
          <w:rFonts w:cs="Tahoma"/>
          <w:spacing w:val="4"/>
          <w:szCs w:val="24"/>
        </w:rPr>
        <w:t>.</w:t>
      </w:r>
    </w:p>
    <w:p w14:paraId="3B711712" w14:textId="77777777" w:rsidR="003B38E8" w:rsidRPr="00274371" w:rsidRDefault="003B38E8" w:rsidP="00547D24">
      <w:pPr>
        <w:spacing w:line="276" w:lineRule="auto"/>
        <w:ind w:firstLine="360"/>
        <w:rPr>
          <w:rFonts w:cs="Tahoma"/>
          <w:spacing w:val="4"/>
          <w:szCs w:val="24"/>
        </w:rPr>
      </w:pPr>
    </w:p>
    <w:p w14:paraId="3E8D126B" w14:textId="2702E685" w:rsidR="002961AF" w:rsidRPr="00274371" w:rsidRDefault="002961AF" w:rsidP="00547D24">
      <w:pPr>
        <w:spacing w:line="276" w:lineRule="auto"/>
        <w:ind w:firstLine="360"/>
        <w:rPr>
          <w:rFonts w:cs="Tahoma"/>
          <w:spacing w:val="4"/>
          <w:szCs w:val="24"/>
        </w:rPr>
      </w:pPr>
      <w:r w:rsidRPr="00274371">
        <w:rPr>
          <w:rFonts w:cs="Tahoma"/>
          <w:spacing w:val="4"/>
          <w:szCs w:val="24"/>
        </w:rPr>
        <w:t>A folio 31 del cuaderno de primera instancia, obra respuesta del Juzgado cuarto Civil Municipal del 22 de octubre de 2019 informa sobre el levantamiento de medidas cautelares en contra de la cuota parte del señor Fernando Rincón Morales.</w:t>
      </w:r>
    </w:p>
    <w:p w14:paraId="6D8D4751" w14:textId="77777777" w:rsidR="002961AF" w:rsidRPr="00274371" w:rsidRDefault="002961AF" w:rsidP="00547D24">
      <w:pPr>
        <w:spacing w:line="276" w:lineRule="auto"/>
        <w:ind w:firstLine="360"/>
        <w:rPr>
          <w:rFonts w:cs="Tahoma"/>
          <w:spacing w:val="4"/>
          <w:szCs w:val="24"/>
        </w:rPr>
      </w:pPr>
    </w:p>
    <w:p w14:paraId="41346325" w14:textId="3552546F" w:rsidR="00DB4C19" w:rsidRPr="00274371" w:rsidRDefault="003B38E8" w:rsidP="00547D24">
      <w:pPr>
        <w:spacing w:line="276" w:lineRule="auto"/>
        <w:ind w:firstLine="360"/>
        <w:rPr>
          <w:rFonts w:cs="Tahoma"/>
          <w:spacing w:val="4"/>
          <w:szCs w:val="24"/>
        </w:rPr>
      </w:pPr>
      <w:r w:rsidRPr="00274371">
        <w:rPr>
          <w:rFonts w:cs="Tahoma"/>
          <w:spacing w:val="4"/>
          <w:szCs w:val="24"/>
        </w:rPr>
        <w:t xml:space="preserve">A folio 29 del cuaderno de primera instancia, obra respuesta del Juzgado </w:t>
      </w:r>
      <w:r w:rsidR="00DB4C19" w:rsidRPr="00274371">
        <w:rPr>
          <w:rFonts w:cs="Tahoma"/>
          <w:spacing w:val="4"/>
          <w:szCs w:val="24"/>
        </w:rPr>
        <w:t>segundo</w:t>
      </w:r>
      <w:r w:rsidRPr="00274371">
        <w:rPr>
          <w:rFonts w:cs="Tahoma"/>
          <w:spacing w:val="4"/>
          <w:szCs w:val="24"/>
        </w:rPr>
        <w:t xml:space="preserve"> Civil Municipal del 1</w:t>
      </w:r>
      <w:r w:rsidR="00DB4C19" w:rsidRPr="00274371">
        <w:rPr>
          <w:rFonts w:cs="Tahoma"/>
          <w:spacing w:val="4"/>
          <w:szCs w:val="24"/>
        </w:rPr>
        <w:t>0</w:t>
      </w:r>
      <w:r w:rsidRPr="00274371">
        <w:rPr>
          <w:rFonts w:cs="Tahoma"/>
          <w:spacing w:val="4"/>
          <w:szCs w:val="24"/>
        </w:rPr>
        <w:t xml:space="preserve"> de septiembre de 2019 informa sobre </w:t>
      </w:r>
      <w:r w:rsidR="00DB4C19" w:rsidRPr="00274371">
        <w:rPr>
          <w:rFonts w:cs="Tahoma"/>
          <w:spacing w:val="4"/>
          <w:szCs w:val="24"/>
        </w:rPr>
        <w:t xml:space="preserve">el levantamiento de medidas cautelares en contra de la cuota parte del señor </w:t>
      </w:r>
      <w:proofErr w:type="spellStart"/>
      <w:r w:rsidR="00DB4C19" w:rsidRPr="00274371">
        <w:rPr>
          <w:rFonts w:cs="Tahoma"/>
          <w:spacing w:val="4"/>
          <w:szCs w:val="24"/>
        </w:rPr>
        <w:t>Jhon</w:t>
      </w:r>
      <w:proofErr w:type="spellEnd"/>
      <w:r w:rsidR="00DB4C19" w:rsidRPr="00274371">
        <w:rPr>
          <w:rFonts w:cs="Tahoma"/>
          <w:spacing w:val="4"/>
          <w:szCs w:val="24"/>
        </w:rPr>
        <w:t xml:space="preserve"> Jairo Villa Ramírez y otros, siendo dejada la medida a disposición del juzgado sexto civil municipal.</w:t>
      </w:r>
    </w:p>
    <w:p w14:paraId="148B8B91" w14:textId="11CC4D5F" w:rsidR="003B38E8" w:rsidRPr="00274371" w:rsidRDefault="003B38E8" w:rsidP="00547D24">
      <w:pPr>
        <w:spacing w:line="276" w:lineRule="auto"/>
        <w:ind w:firstLine="360"/>
        <w:rPr>
          <w:rFonts w:cs="Tahoma"/>
          <w:spacing w:val="4"/>
          <w:szCs w:val="24"/>
        </w:rPr>
      </w:pPr>
    </w:p>
    <w:p w14:paraId="709C0E67" w14:textId="327DF12E" w:rsidR="002961AF" w:rsidRPr="00274371" w:rsidRDefault="002961AF" w:rsidP="00547D24">
      <w:pPr>
        <w:spacing w:line="276" w:lineRule="auto"/>
        <w:ind w:firstLine="360"/>
        <w:rPr>
          <w:rFonts w:cs="Tahoma"/>
          <w:spacing w:val="4"/>
          <w:szCs w:val="24"/>
        </w:rPr>
      </w:pPr>
      <w:r w:rsidRPr="00274371">
        <w:rPr>
          <w:rFonts w:cs="Tahoma"/>
          <w:spacing w:val="4"/>
          <w:szCs w:val="24"/>
        </w:rPr>
        <w:t xml:space="preserve">A folio 28 del cuaderno de primera instancia, obra respuesta del Juzgado sexto Civil Municipal del 16 de septiembre de 2019 informa sobre el embargo de unas acciones del señor </w:t>
      </w:r>
      <w:proofErr w:type="spellStart"/>
      <w:r w:rsidRPr="00274371">
        <w:rPr>
          <w:rFonts w:cs="Tahoma"/>
          <w:spacing w:val="4"/>
          <w:szCs w:val="24"/>
        </w:rPr>
        <w:t>Jhon</w:t>
      </w:r>
      <w:proofErr w:type="spellEnd"/>
      <w:r w:rsidRPr="00274371">
        <w:rPr>
          <w:rFonts w:cs="Tahoma"/>
          <w:spacing w:val="4"/>
          <w:szCs w:val="24"/>
        </w:rPr>
        <w:t xml:space="preserve"> Jairo Villa Ramírez como persona natural.</w:t>
      </w:r>
    </w:p>
    <w:p w14:paraId="3EB6432F" w14:textId="77777777" w:rsidR="002961AF" w:rsidRPr="00274371" w:rsidRDefault="002961AF" w:rsidP="00547D24">
      <w:pPr>
        <w:spacing w:line="276" w:lineRule="auto"/>
        <w:ind w:firstLine="360"/>
        <w:rPr>
          <w:rFonts w:cs="Tahoma"/>
          <w:spacing w:val="4"/>
          <w:szCs w:val="24"/>
        </w:rPr>
      </w:pPr>
    </w:p>
    <w:p w14:paraId="41BFA556" w14:textId="249A36CC" w:rsidR="002961AF" w:rsidRPr="00274371" w:rsidRDefault="002961AF" w:rsidP="00547D24">
      <w:pPr>
        <w:spacing w:line="276" w:lineRule="auto"/>
        <w:ind w:firstLine="360"/>
        <w:rPr>
          <w:rFonts w:cs="Tahoma"/>
          <w:b/>
          <w:bCs/>
          <w:spacing w:val="4"/>
          <w:szCs w:val="24"/>
        </w:rPr>
      </w:pPr>
      <w:r w:rsidRPr="00274371">
        <w:rPr>
          <w:rFonts w:cs="Tahoma"/>
          <w:spacing w:val="4"/>
          <w:szCs w:val="24"/>
        </w:rPr>
        <w:t>A folio 27 del cuaderno de primera instancia, obra respuesta del Juzgado Cuarto Civil del Circuito del 30 de septiembre de 2019 en el que se informa sobre el levantamiento de medidas cautelares en contra de la cuota parte del señor Libardo Rincón Morales como socio de la demandada, siendo dejada la medida a disposición del juzgado quinto civil del circuito</w:t>
      </w:r>
      <w:r w:rsidRPr="00274371">
        <w:rPr>
          <w:rFonts w:cs="Tahoma"/>
          <w:b/>
          <w:bCs/>
          <w:spacing w:val="4"/>
          <w:szCs w:val="24"/>
        </w:rPr>
        <w:t>.</w:t>
      </w:r>
    </w:p>
    <w:p w14:paraId="7E2B5D01" w14:textId="609BDA96" w:rsidR="002961AF" w:rsidRPr="00274371" w:rsidRDefault="002961AF" w:rsidP="00547D24">
      <w:pPr>
        <w:spacing w:line="276" w:lineRule="auto"/>
        <w:rPr>
          <w:rFonts w:cs="Tahoma"/>
          <w:b/>
          <w:bCs/>
          <w:spacing w:val="4"/>
          <w:szCs w:val="24"/>
        </w:rPr>
      </w:pPr>
    </w:p>
    <w:p w14:paraId="4F015182" w14:textId="13BC5FA5" w:rsidR="00F579F7" w:rsidRPr="00274371" w:rsidRDefault="00E310C4" w:rsidP="00547D24">
      <w:pPr>
        <w:spacing w:line="276" w:lineRule="auto"/>
        <w:ind w:firstLine="360"/>
        <w:rPr>
          <w:rFonts w:cs="Tahoma"/>
          <w:spacing w:val="4"/>
          <w:szCs w:val="24"/>
        </w:rPr>
      </w:pPr>
      <w:r w:rsidRPr="00274371">
        <w:rPr>
          <w:rFonts w:cs="Tahoma"/>
          <w:spacing w:val="4"/>
          <w:szCs w:val="24"/>
        </w:rPr>
        <w:t>Pues bien, de acuerdo con las pruebas que obran en el proceso se puede concluir que resulta claro que la empresa de Transporte Urbanos Cañarte ha presentado dificultades económicas en la medida que para el año 201</w:t>
      </w:r>
      <w:r w:rsidR="003A47C4" w:rsidRPr="00274371">
        <w:rPr>
          <w:rFonts w:cs="Tahoma"/>
          <w:spacing w:val="4"/>
          <w:szCs w:val="24"/>
        </w:rPr>
        <w:t>8</w:t>
      </w:r>
      <w:r w:rsidRPr="00274371">
        <w:rPr>
          <w:rFonts w:cs="Tahoma"/>
          <w:spacing w:val="4"/>
          <w:szCs w:val="24"/>
        </w:rPr>
        <w:t xml:space="preserve"> no presentó utilidades, sino pérdidas en el ejercicio por $51.318.583</w:t>
      </w:r>
      <w:r w:rsidR="003A47C4" w:rsidRPr="00274371">
        <w:rPr>
          <w:rFonts w:cs="Tahoma"/>
          <w:spacing w:val="4"/>
          <w:szCs w:val="24"/>
        </w:rPr>
        <w:t xml:space="preserve"> (</w:t>
      </w:r>
      <w:r w:rsidRPr="00274371">
        <w:rPr>
          <w:rFonts w:cs="Tahoma"/>
          <w:spacing w:val="4"/>
          <w:szCs w:val="24"/>
        </w:rPr>
        <w:t>estado de resultados a diciembre 31 de 201</w:t>
      </w:r>
      <w:r w:rsidR="008B7571" w:rsidRPr="00274371">
        <w:rPr>
          <w:rFonts w:cs="Tahoma"/>
          <w:spacing w:val="4"/>
          <w:szCs w:val="24"/>
        </w:rPr>
        <w:t>8</w:t>
      </w:r>
      <w:r w:rsidR="003A47C4" w:rsidRPr="00274371">
        <w:rPr>
          <w:rFonts w:cs="Tahoma"/>
          <w:spacing w:val="4"/>
          <w:szCs w:val="24"/>
        </w:rPr>
        <w:t xml:space="preserve">, </w:t>
      </w:r>
      <w:r w:rsidRPr="00274371">
        <w:rPr>
          <w:rFonts w:cs="Tahoma"/>
          <w:spacing w:val="4"/>
          <w:szCs w:val="24"/>
        </w:rPr>
        <w:t>fol. 138)</w:t>
      </w:r>
      <w:r w:rsidR="003A47C4" w:rsidRPr="00274371">
        <w:rPr>
          <w:rFonts w:cs="Tahoma"/>
          <w:spacing w:val="4"/>
          <w:szCs w:val="24"/>
        </w:rPr>
        <w:t xml:space="preserve"> y</w:t>
      </w:r>
      <w:r w:rsidR="008B7571" w:rsidRPr="00274371">
        <w:rPr>
          <w:rFonts w:cs="Tahoma"/>
          <w:spacing w:val="4"/>
          <w:szCs w:val="24"/>
        </w:rPr>
        <w:t xml:space="preserve">, adicionalmente, </w:t>
      </w:r>
      <w:r w:rsidR="003A47C4" w:rsidRPr="00274371">
        <w:rPr>
          <w:rFonts w:cs="Tahoma"/>
          <w:spacing w:val="4"/>
          <w:szCs w:val="24"/>
        </w:rPr>
        <w:t xml:space="preserve">cuenta con activos por $2.177.450.153 y pasivos por $1.938.703.987 para concluir en un patrimonio de </w:t>
      </w:r>
      <w:r w:rsidR="00547D24" w:rsidRPr="00274371">
        <w:rPr>
          <w:rFonts w:cs="Tahoma"/>
          <w:spacing w:val="4"/>
          <w:szCs w:val="24"/>
        </w:rPr>
        <w:t>$238.746.166</w:t>
      </w:r>
      <w:r w:rsidR="003A47C4" w:rsidRPr="00274371">
        <w:rPr>
          <w:rFonts w:cs="Tahoma"/>
          <w:spacing w:val="4"/>
          <w:szCs w:val="24"/>
        </w:rPr>
        <w:t xml:space="preserve"> (</w:t>
      </w:r>
      <w:r w:rsidR="008B7571" w:rsidRPr="00274371">
        <w:rPr>
          <w:rFonts w:cs="Tahoma"/>
          <w:spacing w:val="4"/>
          <w:szCs w:val="24"/>
        </w:rPr>
        <w:t>estado de situación financiera</w:t>
      </w:r>
      <w:r w:rsidR="003A47C4" w:rsidRPr="00274371">
        <w:rPr>
          <w:rFonts w:cs="Tahoma"/>
          <w:spacing w:val="4"/>
          <w:szCs w:val="24"/>
        </w:rPr>
        <w:t>, fol. 136-137).</w:t>
      </w:r>
    </w:p>
    <w:p w14:paraId="13A57EE2" w14:textId="77777777" w:rsidR="00F579F7" w:rsidRPr="00274371" w:rsidRDefault="00F579F7" w:rsidP="00547D24">
      <w:pPr>
        <w:spacing w:line="276" w:lineRule="auto"/>
        <w:ind w:firstLine="360"/>
        <w:rPr>
          <w:rFonts w:cs="Tahoma"/>
          <w:spacing w:val="4"/>
          <w:szCs w:val="24"/>
        </w:rPr>
      </w:pPr>
    </w:p>
    <w:p w14:paraId="2ABFB4D6" w14:textId="38DA0BDD" w:rsidR="00E310C4" w:rsidRPr="00274371" w:rsidRDefault="003A47C4" w:rsidP="00547D24">
      <w:pPr>
        <w:spacing w:line="276" w:lineRule="auto"/>
        <w:ind w:firstLine="360"/>
        <w:rPr>
          <w:rFonts w:cs="Tahoma"/>
          <w:spacing w:val="4"/>
          <w:szCs w:val="24"/>
        </w:rPr>
      </w:pPr>
      <w:r w:rsidRPr="00274371">
        <w:rPr>
          <w:rFonts w:cs="Tahoma"/>
          <w:spacing w:val="4"/>
          <w:szCs w:val="24"/>
        </w:rPr>
        <w:lastRenderedPageBreak/>
        <w:t>T</w:t>
      </w:r>
      <w:r w:rsidR="00E310C4" w:rsidRPr="00274371">
        <w:rPr>
          <w:rFonts w:cs="Tahoma"/>
          <w:spacing w:val="4"/>
          <w:szCs w:val="24"/>
        </w:rPr>
        <w:t xml:space="preserve">ambién es evidente que en el registro de </w:t>
      </w:r>
      <w:r w:rsidR="00274371" w:rsidRPr="00274371">
        <w:rPr>
          <w:rFonts w:cs="Tahoma"/>
          <w:spacing w:val="4"/>
          <w:szCs w:val="24"/>
        </w:rPr>
        <w:t xml:space="preserve">Cámara </w:t>
      </w:r>
      <w:r w:rsidR="00E310C4" w:rsidRPr="00274371">
        <w:rPr>
          <w:rFonts w:cs="Tahoma"/>
          <w:spacing w:val="4"/>
          <w:szCs w:val="24"/>
        </w:rPr>
        <w:t xml:space="preserve">de </w:t>
      </w:r>
      <w:r w:rsidR="00274371" w:rsidRPr="00274371">
        <w:rPr>
          <w:rFonts w:cs="Tahoma"/>
          <w:spacing w:val="4"/>
          <w:szCs w:val="24"/>
        </w:rPr>
        <w:t xml:space="preserve">Comercio </w:t>
      </w:r>
      <w:r w:rsidR="00E310C4" w:rsidRPr="00274371">
        <w:rPr>
          <w:rFonts w:cs="Tahoma"/>
          <w:spacing w:val="4"/>
          <w:szCs w:val="24"/>
        </w:rPr>
        <w:t>aparecen registrad</w:t>
      </w:r>
      <w:r w:rsidR="008A374E" w:rsidRPr="00274371">
        <w:rPr>
          <w:rFonts w:cs="Tahoma"/>
          <w:spacing w:val="4"/>
          <w:szCs w:val="24"/>
        </w:rPr>
        <w:t>a</w:t>
      </w:r>
      <w:r w:rsidR="00E310C4" w:rsidRPr="00274371">
        <w:rPr>
          <w:rFonts w:cs="Tahoma"/>
          <w:spacing w:val="4"/>
          <w:szCs w:val="24"/>
        </w:rPr>
        <w:t>s varias medidas cautelares, en su mayoría respecto de cuotas sociales de algunos de los socios, las cuales, tal y como lo advirtió la representante legal se han ido levantando por pago</w:t>
      </w:r>
      <w:r w:rsidR="008A374E" w:rsidRPr="00274371">
        <w:rPr>
          <w:rFonts w:cs="Tahoma"/>
          <w:spacing w:val="4"/>
          <w:szCs w:val="24"/>
        </w:rPr>
        <w:t xml:space="preserve">, entre ellas, la que cursaba en el </w:t>
      </w:r>
      <w:r w:rsidR="00274371" w:rsidRPr="00274371">
        <w:rPr>
          <w:rFonts w:cs="Tahoma"/>
          <w:spacing w:val="4"/>
          <w:szCs w:val="24"/>
        </w:rPr>
        <w:t xml:space="preserve">Juzgado Tercero Administrativo </w:t>
      </w:r>
      <w:r w:rsidR="008A374E" w:rsidRPr="00274371">
        <w:rPr>
          <w:rFonts w:cs="Tahoma"/>
          <w:spacing w:val="4"/>
          <w:szCs w:val="24"/>
        </w:rPr>
        <w:t>en contra de la sociedad</w:t>
      </w:r>
      <w:r w:rsidR="00E310C4" w:rsidRPr="00274371">
        <w:rPr>
          <w:rFonts w:cs="Tahoma"/>
          <w:spacing w:val="4"/>
          <w:szCs w:val="24"/>
        </w:rPr>
        <w:t xml:space="preserve">, estando pendiente la establecida por la Superintendencia de </w:t>
      </w:r>
      <w:r w:rsidR="008A374E" w:rsidRPr="00274371">
        <w:rPr>
          <w:rFonts w:cs="Tahoma"/>
          <w:spacing w:val="4"/>
          <w:szCs w:val="24"/>
        </w:rPr>
        <w:t>S</w:t>
      </w:r>
      <w:r w:rsidR="00E310C4" w:rsidRPr="00274371">
        <w:rPr>
          <w:rFonts w:cs="Tahoma"/>
          <w:spacing w:val="4"/>
          <w:szCs w:val="24"/>
        </w:rPr>
        <w:t>ociedades</w:t>
      </w:r>
      <w:r w:rsidR="008A374E" w:rsidRPr="00274371">
        <w:rPr>
          <w:rFonts w:cs="Tahoma"/>
          <w:spacing w:val="4"/>
          <w:szCs w:val="24"/>
        </w:rPr>
        <w:t>.</w:t>
      </w:r>
    </w:p>
    <w:p w14:paraId="357DA37E" w14:textId="2FF5D984" w:rsidR="006F181E" w:rsidRPr="00274371" w:rsidRDefault="006F181E" w:rsidP="00547D24">
      <w:pPr>
        <w:spacing w:line="276" w:lineRule="auto"/>
        <w:rPr>
          <w:rFonts w:cs="Tahoma"/>
          <w:spacing w:val="4"/>
          <w:szCs w:val="24"/>
        </w:rPr>
      </w:pPr>
    </w:p>
    <w:p w14:paraId="05A6650A" w14:textId="1252CD48" w:rsidR="006F181E" w:rsidRPr="00274371" w:rsidRDefault="003A47C4" w:rsidP="00547D24">
      <w:pPr>
        <w:spacing w:line="276" w:lineRule="auto"/>
        <w:ind w:firstLine="360"/>
        <w:rPr>
          <w:rFonts w:cs="Tahoma"/>
          <w:spacing w:val="4"/>
          <w:szCs w:val="24"/>
        </w:rPr>
      </w:pPr>
      <w:r w:rsidRPr="00274371">
        <w:rPr>
          <w:rFonts w:cs="Tahoma"/>
          <w:spacing w:val="4"/>
          <w:szCs w:val="24"/>
        </w:rPr>
        <w:t>De acuerdo con el anterior panorama</w:t>
      </w:r>
      <w:r w:rsidR="00FC3E40" w:rsidRPr="00274371">
        <w:rPr>
          <w:rFonts w:cs="Tahoma"/>
          <w:spacing w:val="4"/>
          <w:szCs w:val="24"/>
        </w:rPr>
        <w:t xml:space="preserve"> y atendiendo que </w:t>
      </w:r>
      <w:r w:rsidR="008A374E" w:rsidRPr="00274371">
        <w:rPr>
          <w:rFonts w:cs="Tahoma"/>
          <w:spacing w:val="4"/>
          <w:szCs w:val="24"/>
        </w:rPr>
        <w:t xml:space="preserve">en esta </w:t>
      </w:r>
      <w:r w:rsidR="00FC3E40" w:rsidRPr="00274371">
        <w:rPr>
          <w:rFonts w:cs="Tahoma"/>
          <w:spacing w:val="4"/>
          <w:szCs w:val="24"/>
        </w:rPr>
        <w:t xml:space="preserve">litis por honorarios hay una amplia discusión frente al valor de </w:t>
      </w:r>
      <w:r w:rsidR="008A374E" w:rsidRPr="00274371">
        <w:rPr>
          <w:rFonts w:cs="Tahoma"/>
          <w:spacing w:val="4"/>
          <w:szCs w:val="24"/>
        </w:rPr>
        <w:t xml:space="preserve">la </w:t>
      </w:r>
      <w:r w:rsidR="00FC3E40" w:rsidRPr="00274371">
        <w:rPr>
          <w:rFonts w:cs="Tahoma"/>
          <w:spacing w:val="4"/>
          <w:szCs w:val="24"/>
        </w:rPr>
        <w:t xml:space="preserve">posible condena, a pesar de las dificultades económicas que resultaron reflejadas en los estados financieros arrimados por la misma demandada, no sería </w:t>
      </w:r>
      <w:r w:rsidR="005402B0" w:rsidRPr="00274371">
        <w:rPr>
          <w:rFonts w:cs="Tahoma"/>
          <w:spacing w:val="4"/>
          <w:szCs w:val="24"/>
        </w:rPr>
        <w:t xml:space="preserve">apropiado asegurar </w:t>
      </w:r>
      <w:r w:rsidR="00FC3E40" w:rsidRPr="00274371">
        <w:rPr>
          <w:rFonts w:cs="Tahoma"/>
          <w:spacing w:val="4"/>
          <w:szCs w:val="24"/>
        </w:rPr>
        <w:t xml:space="preserve">que </w:t>
      </w:r>
      <w:r w:rsidR="005402B0" w:rsidRPr="00274371">
        <w:rPr>
          <w:rFonts w:cs="Tahoma"/>
          <w:spacing w:val="4"/>
          <w:szCs w:val="24"/>
        </w:rPr>
        <w:t xml:space="preserve">no se está </w:t>
      </w:r>
      <w:r w:rsidR="00FC3E40" w:rsidRPr="00274371">
        <w:rPr>
          <w:rFonts w:cs="Tahoma"/>
          <w:spacing w:val="4"/>
          <w:szCs w:val="24"/>
        </w:rPr>
        <w:t>en capacidad de cancelar una posible condena</w:t>
      </w:r>
      <w:r w:rsidR="005402B0" w:rsidRPr="00274371">
        <w:rPr>
          <w:rFonts w:cs="Tahoma"/>
          <w:spacing w:val="4"/>
          <w:szCs w:val="24"/>
        </w:rPr>
        <w:t xml:space="preserve">, </w:t>
      </w:r>
      <w:r w:rsidR="00FC3E40" w:rsidRPr="00274371">
        <w:rPr>
          <w:rFonts w:cs="Tahoma"/>
          <w:spacing w:val="4"/>
          <w:szCs w:val="24"/>
        </w:rPr>
        <w:t xml:space="preserve">en la medida </w:t>
      </w:r>
      <w:r w:rsidR="00C82973" w:rsidRPr="00274371">
        <w:rPr>
          <w:rFonts w:cs="Tahoma"/>
          <w:spacing w:val="4"/>
          <w:szCs w:val="24"/>
        </w:rPr>
        <w:t xml:space="preserve">en </w:t>
      </w:r>
      <w:r w:rsidR="00FC3E40" w:rsidRPr="00274371">
        <w:rPr>
          <w:rFonts w:cs="Tahoma"/>
          <w:spacing w:val="4"/>
          <w:szCs w:val="24"/>
        </w:rPr>
        <w:t>que</w:t>
      </w:r>
      <w:r w:rsidR="008A374E" w:rsidRPr="00274371">
        <w:rPr>
          <w:rFonts w:cs="Tahoma"/>
          <w:spacing w:val="4"/>
          <w:szCs w:val="24"/>
        </w:rPr>
        <w:t xml:space="preserve"> su índice de solvencia</w:t>
      </w:r>
      <w:r w:rsidR="008A374E" w:rsidRPr="00274371">
        <w:rPr>
          <w:rStyle w:val="Refdenotaalpie"/>
          <w:rFonts w:cs="Tahoma"/>
          <w:spacing w:val="4"/>
          <w:szCs w:val="24"/>
        </w:rPr>
        <w:footnoteReference w:id="4"/>
      </w:r>
      <w:r w:rsidR="008A374E" w:rsidRPr="00274371">
        <w:rPr>
          <w:rFonts w:cs="Tahoma"/>
          <w:spacing w:val="4"/>
          <w:szCs w:val="24"/>
        </w:rPr>
        <w:t xml:space="preserve"> que </w:t>
      </w:r>
      <w:r w:rsidR="00E20E85" w:rsidRPr="00274371">
        <w:rPr>
          <w:rFonts w:cs="Tahoma"/>
          <w:spacing w:val="4"/>
          <w:szCs w:val="24"/>
        </w:rPr>
        <w:t xml:space="preserve">está </w:t>
      </w:r>
      <w:r w:rsidR="008A374E" w:rsidRPr="00274371">
        <w:rPr>
          <w:rFonts w:cs="Tahoma"/>
          <w:spacing w:val="4"/>
          <w:szCs w:val="24"/>
        </w:rPr>
        <w:t>por el orden de 1.15</w:t>
      </w:r>
      <w:r w:rsidR="008A374E" w:rsidRPr="00274371">
        <w:rPr>
          <w:rStyle w:val="Refdenotaalpie"/>
          <w:rFonts w:cs="Tahoma"/>
          <w:spacing w:val="4"/>
          <w:szCs w:val="24"/>
        </w:rPr>
        <w:footnoteReference w:id="5"/>
      </w:r>
      <w:r w:rsidR="00E20E85" w:rsidRPr="00274371">
        <w:rPr>
          <w:rFonts w:cs="Tahoma"/>
          <w:spacing w:val="4"/>
          <w:szCs w:val="24"/>
        </w:rPr>
        <w:t>,</w:t>
      </w:r>
      <w:r w:rsidR="008A374E" w:rsidRPr="00274371">
        <w:rPr>
          <w:rFonts w:cs="Tahoma"/>
          <w:spacing w:val="4"/>
          <w:szCs w:val="24"/>
        </w:rPr>
        <w:t xml:space="preserve"> lo </w:t>
      </w:r>
      <w:r w:rsidR="00E20E85" w:rsidRPr="00274371">
        <w:rPr>
          <w:rFonts w:cs="Tahoma"/>
          <w:spacing w:val="4"/>
          <w:szCs w:val="24"/>
        </w:rPr>
        <w:t xml:space="preserve">ubica </w:t>
      </w:r>
      <w:r w:rsidR="008A374E" w:rsidRPr="00274371">
        <w:rPr>
          <w:rFonts w:cs="Tahoma"/>
          <w:spacing w:val="4"/>
          <w:szCs w:val="24"/>
        </w:rPr>
        <w:t>en una condición delicada</w:t>
      </w:r>
      <w:r w:rsidR="00E20E85" w:rsidRPr="00274371">
        <w:rPr>
          <w:rStyle w:val="Refdenotaalpie"/>
          <w:rFonts w:cs="Tahoma"/>
          <w:spacing w:val="4"/>
          <w:szCs w:val="24"/>
        </w:rPr>
        <w:footnoteReference w:id="6"/>
      </w:r>
      <w:r w:rsidR="008A374E" w:rsidRPr="00274371">
        <w:rPr>
          <w:rFonts w:cs="Tahoma"/>
          <w:spacing w:val="4"/>
          <w:szCs w:val="24"/>
        </w:rPr>
        <w:t xml:space="preserve"> más no grave o de quiebra</w:t>
      </w:r>
      <w:r w:rsidR="00E20E85" w:rsidRPr="00274371">
        <w:rPr>
          <w:rFonts w:cs="Tahoma"/>
          <w:spacing w:val="4"/>
          <w:szCs w:val="24"/>
        </w:rPr>
        <w:t xml:space="preserve">, amén que los activos muestran un saldo </w:t>
      </w:r>
      <w:r w:rsidR="005402B0" w:rsidRPr="00274371">
        <w:rPr>
          <w:rFonts w:cs="Tahoma"/>
          <w:spacing w:val="4"/>
          <w:szCs w:val="24"/>
        </w:rPr>
        <w:t xml:space="preserve">ligeramente </w:t>
      </w:r>
      <w:r w:rsidR="00E20E85" w:rsidRPr="00274371">
        <w:rPr>
          <w:rFonts w:cs="Tahoma"/>
          <w:spacing w:val="4"/>
          <w:szCs w:val="24"/>
        </w:rPr>
        <w:t>superior para respaldar los pasivos</w:t>
      </w:r>
      <w:r w:rsidR="005402B0" w:rsidRPr="00274371">
        <w:rPr>
          <w:rFonts w:cs="Tahoma"/>
          <w:spacing w:val="4"/>
          <w:szCs w:val="24"/>
        </w:rPr>
        <w:t xml:space="preserve"> con que se cuenta</w:t>
      </w:r>
      <w:r w:rsidR="00E20E85" w:rsidRPr="00274371">
        <w:rPr>
          <w:rFonts w:cs="Tahoma"/>
          <w:spacing w:val="4"/>
          <w:szCs w:val="24"/>
        </w:rPr>
        <w:t>.</w:t>
      </w:r>
    </w:p>
    <w:p w14:paraId="3756626A" w14:textId="080A44D1" w:rsidR="005402B0" w:rsidRPr="00274371" w:rsidRDefault="005402B0" w:rsidP="00547D24">
      <w:pPr>
        <w:spacing w:line="276" w:lineRule="auto"/>
        <w:rPr>
          <w:rFonts w:cs="Tahoma"/>
          <w:spacing w:val="4"/>
          <w:szCs w:val="24"/>
        </w:rPr>
      </w:pPr>
    </w:p>
    <w:p w14:paraId="0CFEC445" w14:textId="130AA589" w:rsidR="005402B0" w:rsidRPr="00274371" w:rsidRDefault="009C4C19" w:rsidP="00547D24">
      <w:pPr>
        <w:spacing w:line="276" w:lineRule="auto"/>
        <w:ind w:firstLine="360"/>
        <w:rPr>
          <w:rFonts w:cs="Tahoma"/>
          <w:spacing w:val="4"/>
          <w:szCs w:val="24"/>
        </w:rPr>
      </w:pPr>
      <w:r w:rsidRPr="00274371">
        <w:rPr>
          <w:rFonts w:cs="Tahoma"/>
          <w:spacing w:val="4"/>
          <w:szCs w:val="24"/>
        </w:rPr>
        <w:t xml:space="preserve">Bajo esas circunstancias, es necesario ponderar si debe darse viabilidad a la </w:t>
      </w:r>
      <w:r w:rsidR="00C82973" w:rsidRPr="00274371">
        <w:rPr>
          <w:rFonts w:cs="Tahoma"/>
          <w:spacing w:val="4"/>
          <w:szCs w:val="24"/>
        </w:rPr>
        <w:t>medida</w:t>
      </w:r>
      <w:r w:rsidRPr="00274371">
        <w:rPr>
          <w:rFonts w:cs="Tahoma"/>
          <w:spacing w:val="4"/>
          <w:szCs w:val="24"/>
        </w:rPr>
        <w:t xml:space="preserve"> prevista en el artículo 85 A del CPT y SS, o si por el contrario se debe garantizar </w:t>
      </w:r>
      <w:r w:rsidR="00C82973" w:rsidRPr="00274371">
        <w:rPr>
          <w:rFonts w:cs="Tahoma"/>
          <w:spacing w:val="4"/>
          <w:szCs w:val="24"/>
        </w:rPr>
        <w:t xml:space="preserve">el </w:t>
      </w:r>
      <w:r w:rsidRPr="00274371">
        <w:rPr>
          <w:rFonts w:cs="Tahoma"/>
          <w:spacing w:val="4"/>
          <w:szCs w:val="24"/>
        </w:rPr>
        <w:t xml:space="preserve">ejercicio del derecho de defensa de la sociedad, conforme lo peticiona la parte demandada, frente a lo cual, la Sala se inclina por esta última en atención </w:t>
      </w:r>
      <w:r w:rsidR="00C82973" w:rsidRPr="00274371">
        <w:rPr>
          <w:rFonts w:cs="Tahoma"/>
          <w:spacing w:val="4"/>
          <w:szCs w:val="24"/>
        </w:rPr>
        <w:t xml:space="preserve">a que la empresa cuenta con el respaldo económico para responder por sus obligaciones, sin que además se observe </w:t>
      </w:r>
      <w:r w:rsidRPr="00274371">
        <w:rPr>
          <w:rFonts w:cs="Tahoma"/>
          <w:spacing w:val="4"/>
          <w:szCs w:val="24"/>
        </w:rPr>
        <w:t xml:space="preserve">un actuar de la demandada que </w:t>
      </w:r>
      <w:r w:rsidR="00C82973" w:rsidRPr="00274371">
        <w:rPr>
          <w:rFonts w:cs="Tahoma"/>
          <w:spacing w:val="4"/>
          <w:szCs w:val="24"/>
        </w:rPr>
        <w:t xml:space="preserve">sugiera actos en que busque </w:t>
      </w:r>
      <w:proofErr w:type="spellStart"/>
      <w:r w:rsidR="00C82973" w:rsidRPr="00274371">
        <w:rPr>
          <w:rFonts w:cs="Tahoma"/>
          <w:spacing w:val="4"/>
          <w:szCs w:val="24"/>
        </w:rPr>
        <w:t>insolventarse</w:t>
      </w:r>
      <w:proofErr w:type="spellEnd"/>
      <w:r w:rsidR="00C82973" w:rsidRPr="00274371">
        <w:rPr>
          <w:rFonts w:cs="Tahoma"/>
          <w:spacing w:val="4"/>
          <w:szCs w:val="24"/>
        </w:rPr>
        <w:t xml:space="preserve"> </w:t>
      </w:r>
      <w:r w:rsidRPr="00274371">
        <w:rPr>
          <w:rFonts w:cs="Tahoma"/>
          <w:spacing w:val="4"/>
          <w:szCs w:val="24"/>
        </w:rPr>
        <w:t xml:space="preserve">o a impedir el pago del crédito perseguido por esta vía, pues lo invocado por </w:t>
      </w:r>
      <w:r w:rsidR="00C82973" w:rsidRPr="00274371">
        <w:rPr>
          <w:rFonts w:cs="Tahoma"/>
          <w:spacing w:val="4"/>
          <w:szCs w:val="24"/>
        </w:rPr>
        <w:t xml:space="preserve">la </w:t>
      </w:r>
      <w:r w:rsidRPr="00274371">
        <w:rPr>
          <w:rFonts w:cs="Tahoma"/>
          <w:spacing w:val="4"/>
          <w:szCs w:val="24"/>
        </w:rPr>
        <w:t xml:space="preserve">parte actora tanto al solicitar la medida como en sus alegatos, se basan en meras conjeturas sin allegar un sustento probatorio suficiente </w:t>
      </w:r>
      <w:r w:rsidR="0003053D" w:rsidRPr="00274371">
        <w:rPr>
          <w:rFonts w:cs="Tahoma"/>
          <w:spacing w:val="4"/>
          <w:szCs w:val="24"/>
        </w:rPr>
        <w:t xml:space="preserve">de manera </w:t>
      </w:r>
      <w:r w:rsidRPr="00274371">
        <w:rPr>
          <w:rFonts w:cs="Tahoma"/>
          <w:spacing w:val="4"/>
          <w:szCs w:val="24"/>
        </w:rPr>
        <w:t xml:space="preserve">que amerite el sacrificar el derecho de contradicción de la demandada, en caso de no contar de manera inmediata con disponibilidad de caja para cancelar una caución de cierta manera elevada. </w:t>
      </w:r>
    </w:p>
    <w:p w14:paraId="389F329D" w14:textId="74D593E1" w:rsidR="008A374E" w:rsidRPr="00274371" w:rsidRDefault="008A374E" w:rsidP="00547D24">
      <w:pPr>
        <w:spacing w:line="276" w:lineRule="auto"/>
        <w:rPr>
          <w:rFonts w:cs="Tahoma"/>
          <w:spacing w:val="4"/>
          <w:szCs w:val="24"/>
        </w:rPr>
      </w:pPr>
    </w:p>
    <w:p w14:paraId="0137492B" w14:textId="447DEA98" w:rsidR="009C4C19" w:rsidRPr="00274371" w:rsidRDefault="009C4C19" w:rsidP="00547D24">
      <w:pPr>
        <w:spacing w:line="276" w:lineRule="auto"/>
        <w:ind w:firstLine="360"/>
        <w:rPr>
          <w:rFonts w:cs="Tahoma"/>
          <w:spacing w:val="4"/>
          <w:szCs w:val="24"/>
        </w:rPr>
      </w:pPr>
      <w:r w:rsidRPr="00274371">
        <w:rPr>
          <w:rFonts w:cs="Tahoma"/>
          <w:spacing w:val="4"/>
          <w:szCs w:val="24"/>
        </w:rPr>
        <w:t xml:space="preserve">En el anterior orden de ideas, se revocará el auto proferido por el Juzgado Laboral del Circuito de Dosquebradas del 22 de noviembre de 2019, para en su </w:t>
      </w:r>
      <w:r w:rsidRPr="00274371">
        <w:rPr>
          <w:rFonts w:cs="Tahoma"/>
          <w:spacing w:val="4"/>
          <w:szCs w:val="24"/>
        </w:rPr>
        <w:lastRenderedPageBreak/>
        <w:t>lugar absolver a la sociedad demandada de la imposición de la medida cautelar dispuesta en el artículo 85A del C.P.T. y de la S.S.</w:t>
      </w:r>
    </w:p>
    <w:p w14:paraId="40FE9A83" w14:textId="77777777" w:rsidR="009C4C19" w:rsidRPr="00274371" w:rsidRDefault="009C4C19" w:rsidP="00547D24">
      <w:pPr>
        <w:spacing w:line="276" w:lineRule="auto"/>
        <w:rPr>
          <w:rFonts w:cs="Tahoma"/>
          <w:spacing w:val="4"/>
          <w:szCs w:val="24"/>
        </w:rPr>
      </w:pPr>
    </w:p>
    <w:p w14:paraId="027A6DA9" w14:textId="18F8B1CF" w:rsidR="009C4C19" w:rsidRPr="00274371" w:rsidRDefault="00493A57" w:rsidP="00547D24">
      <w:pPr>
        <w:spacing w:line="276" w:lineRule="auto"/>
        <w:ind w:firstLine="360"/>
        <w:rPr>
          <w:rFonts w:cs="Tahoma"/>
          <w:spacing w:val="4"/>
          <w:szCs w:val="24"/>
        </w:rPr>
      </w:pPr>
      <w:r w:rsidRPr="00274371">
        <w:rPr>
          <w:rFonts w:cs="Tahoma"/>
          <w:spacing w:val="4"/>
          <w:szCs w:val="24"/>
        </w:rPr>
        <w:t>Sin costas en esta instancia por haber prosperado el recurso de apelación.</w:t>
      </w:r>
    </w:p>
    <w:p w14:paraId="2DCD91B6" w14:textId="77777777" w:rsidR="009C4C19" w:rsidRPr="00274371" w:rsidRDefault="009C4C19" w:rsidP="00547D24">
      <w:pPr>
        <w:spacing w:line="276" w:lineRule="auto"/>
        <w:rPr>
          <w:rFonts w:cs="Tahoma"/>
          <w:spacing w:val="4"/>
          <w:szCs w:val="24"/>
        </w:rPr>
      </w:pPr>
    </w:p>
    <w:p w14:paraId="1017F717" w14:textId="77777777" w:rsidR="00825A70" w:rsidRPr="00274371" w:rsidRDefault="00825A70" w:rsidP="00547D24">
      <w:pPr>
        <w:pStyle w:val="Prrafodelista2"/>
        <w:spacing w:after="0"/>
        <w:ind w:left="0" w:firstLine="708"/>
        <w:jc w:val="both"/>
        <w:rPr>
          <w:rFonts w:ascii="Tahoma" w:hAnsi="Tahoma" w:cs="Tahoma"/>
          <w:color w:val="000000" w:themeColor="text1"/>
          <w:spacing w:val="4"/>
          <w:sz w:val="24"/>
          <w:szCs w:val="24"/>
          <w:lang w:val="es-ES_tradnl"/>
        </w:rPr>
      </w:pPr>
      <w:r w:rsidRPr="00274371">
        <w:rPr>
          <w:rFonts w:ascii="Tahoma" w:hAnsi="Tahoma" w:cs="Tahoma"/>
          <w:color w:val="000000" w:themeColor="text1"/>
          <w:spacing w:val="4"/>
          <w:sz w:val="24"/>
          <w:szCs w:val="24"/>
          <w:lang w:val="es-ES_tradnl"/>
        </w:rPr>
        <w:t xml:space="preserve">En mérito de lo expuesto, el </w:t>
      </w:r>
      <w:r w:rsidRPr="00274371">
        <w:rPr>
          <w:rFonts w:ascii="Tahoma" w:hAnsi="Tahoma" w:cs="Tahoma"/>
          <w:b/>
          <w:color w:val="000000" w:themeColor="text1"/>
          <w:spacing w:val="4"/>
          <w:sz w:val="24"/>
          <w:szCs w:val="24"/>
          <w:lang w:val="es-ES_tradnl"/>
        </w:rPr>
        <w:t>Tribunal Superior del Distrito Judicial de Pereira - Risaralda, Sala Primera de Decisión Laboral,</w:t>
      </w:r>
      <w:r w:rsidRPr="00274371">
        <w:rPr>
          <w:rFonts w:ascii="Tahoma" w:hAnsi="Tahoma" w:cs="Tahoma"/>
          <w:color w:val="000000" w:themeColor="text1"/>
          <w:spacing w:val="4"/>
          <w:sz w:val="24"/>
          <w:szCs w:val="24"/>
          <w:lang w:val="es-ES_tradnl"/>
        </w:rPr>
        <w:t xml:space="preserve"> </w:t>
      </w:r>
    </w:p>
    <w:p w14:paraId="026ED752" w14:textId="77777777" w:rsidR="00825A70" w:rsidRPr="00274371" w:rsidRDefault="00825A70" w:rsidP="00547D24">
      <w:pPr>
        <w:shd w:val="clear" w:color="auto" w:fill="FFFFFF" w:themeFill="background1"/>
        <w:spacing w:line="276" w:lineRule="auto"/>
        <w:ind w:firstLine="708"/>
        <w:rPr>
          <w:rFonts w:cs="Tahoma"/>
          <w:spacing w:val="4"/>
          <w:szCs w:val="24"/>
          <w:lang w:val="es-ES_tradnl"/>
        </w:rPr>
      </w:pPr>
    </w:p>
    <w:p w14:paraId="71470D79" w14:textId="77777777" w:rsidR="00825A70" w:rsidRPr="00274371" w:rsidRDefault="00825A70" w:rsidP="00547D24">
      <w:pPr>
        <w:widowControl w:val="0"/>
        <w:autoSpaceDE w:val="0"/>
        <w:autoSpaceDN w:val="0"/>
        <w:adjustRightInd w:val="0"/>
        <w:spacing w:line="276" w:lineRule="auto"/>
        <w:jc w:val="center"/>
        <w:rPr>
          <w:rFonts w:cs="Tahoma"/>
          <w:b/>
          <w:spacing w:val="4"/>
          <w:szCs w:val="24"/>
        </w:rPr>
      </w:pPr>
      <w:r w:rsidRPr="00274371">
        <w:rPr>
          <w:rFonts w:cs="Tahoma"/>
          <w:b/>
          <w:spacing w:val="4"/>
          <w:szCs w:val="24"/>
        </w:rPr>
        <w:t>R E S U E L V E:</w:t>
      </w:r>
    </w:p>
    <w:p w14:paraId="4DDCCD00" w14:textId="77777777" w:rsidR="00825A70" w:rsidRPr="00274371" w:rsidRDefault="00825A70" w:rsidP="00547D24">
      <w:pPr>
        <w:widowControl w:val="0"/>
        <w:autoSpaceDE w:val="0"/>
        <w:autoSpaceDN w:val="0"/>
        <w:adjustRightInd w:val="0"/>
        <w:spacing w:line="276" w:lineRule="auto"/>
        <w:rPr>
          <w:rFonts w:cs="Tahoma"/>
          <w:spacing w:val="4"/>
          <w:szCs w:val="24"/>
        </w:rPr>
      </w:pPr>
    </w:p>
    <w:p w14:paraId="2AB15517" w14:textId="008E1FE4" w:rsidR="00825A70" w:rsidRPr="00274371" w:rsidRDefault="00825A70" w:rsidP="00547D24">
      <w:pPr>
        <w:shd w:val="clear" w:color="auto" w:fill="FFFFFF" w:themeFill="background1"/>
        <w:spacing w:line="276" w:lineRule="auto"/>
        <w:ind w:firstLine="426"/>
        <w:rPr>
          <w:rFonts w:cs="Tahoma"/>
          <w:spacing w:val="4"/>
          <w:szCs w:val="24"/>
        </w:rPr>
      </w:pPr>
      <w:r w:rsidRPr="00274371">
        <w:rPr>
          <w:rFonts w:cs="Tahoma"/>
          <w:b/>
          <w:spacing w:val="4"/>
          <w:szCs w:val="24"/>
          <w:u w:val="single"/>
        </w:rPr>
        <w:t>PRIMERO</w:t>
      </w:r>
      <w:r w:rsidRPr="00274371">
        <w:rPr>
          <w:rFonts w:cs="Tahoma"/>
          <w:spacing w:val="4"/>
          <w:szCs w:val="24"/>
        </w:rPr>
        <w:t xml:space="preserve">.- </w:t>
      </w:r>
      <w:r w:rsidRPr="00274371">
        <w:rPr>
          <w:rFonts w:cs="Tahoma"/>
          <w:b/>
          <w:spacing w:val="4"/>
          <w:szCs w:val="24"/>
        </w:rPr>
        <w:t>REVOCAR</w:t>
      </w:r>
      <w:r w:rsidRPr="00274371">
        <w:rPr>
          <w:rFonts w:cs="Tahoma"/>
          <w:spacing w:val="4"/>
          <w:szCs w:val="24"/>
        </w:rPr>
        <w:t xml:space="preserve"> el auto proferido por el Juzgado Laboral del Circuito de Dosquebradas del 22 de noviembre de 2019. En su defecto, se niega la medida cautelar solicitada por la parte actora, por las razones expuestas.</w:t>
      </w:r>
    </w:p>
    <w:p w14:paraId="701A0FE5" w14:textId="77777777" w:rsidR="00825A70" w:rsidRPr="00274371" w:rsidRDefault="00825A70" w:rsidP="00547D24">
      <w:pPr>
        <w:widowControl w:val="0"/>
        <w:autoSpaceDE w:val="0"/>
        <w:autoSpaceDN w:val="0"/>
        <w:adjustRightInd w:val="0"/>
        <w:spacing w:line="276" w:lineRule="auto"/>
        <w:ind w:firstLine="1080"/>
        <w:rPr>
          <w:rFonts w:cs="Tahoma"/>
          <w:spacing w:val="4"/>
          <w:szCs w:val="24"/>
        </w:rPr>
      </w:pPr>
    </w:p>
    <w:p w14:paraId="32E0BB67" w14:textId="10C00880" w:rsidR="00825A70" w:rsidRPr="00274371" w:rsidRDefault="685B3056" w:rsidP="00547D24">
      <w:pPr>
        <w:shd w:val="clear" w:color="auto" w:fill="FFFFFF" w:themeFill="background1"/>
        <w:spacing w:line="276" w:lineRule="auto"/>
        <w:ind w:firstLine="426"/>
        <w:rPr>
          <w:rFonts w:cs="Tahoma"/>
          <w:spacing w:val="4"/>
          <w:szCs w:val="24"/>
        </w:rPr>
      </w:pPr>
      <w:r w:rsidRPr="00274371">
        <w:rPr>
          <w:rFonts w:cs="Tahoma"/>
          <w:b/>
          <w:bCs/>
          <w:spacing w:val="4"/>
          <w:szCs w:val="24"/>
          <w:u w:val="single"/>
        </w:rPr>
        <w:t>SEGUNDO</w:t>
      </w:r>
      <w:r w:rsidRPr="00274371">
        <w:rPr>
          <w:rFonts w:cs="Tahoma"/>
          <w:b/>
          <w:bCs/>
          <w:spacing w:val="4"/>
          <w:szCs w:val="24"/>
        </w:rPr>
        <w:t>.-</w:t>
      </w:r>
      <w:r w:rsidRPr="00274371">
        <w:rPr>
          <w:rFonts w:cs="Tahoma"/>
          <w:spacing w:val="4"/>
          <w:szCs w:val="24"/>
        </w:rPr>
        <w:t xml:space="preserve"> </w:t>
      </w:r>
      <w:r w:rsidR="00493A57" w:rsidRPr="00274371">
        <w:rPr>
          <w:rFonts w:cs="Tahoma"/>
          <w:spacing w:val="4"/>
          <w:szCs w:val="24"/>
        </w:rPr>
        <w:t xml:space="preserve">Sin condena en costas en esta </w:t>
      </w:r>
      <w:r w:rsidRPr="00274371">
        <w:rPr>
          <w:rFonts w:cs="Tahoma"/>
          <w:spacing w:val="4"/>
          <w:szCs w:val="24"/>
        </w:rPr>
        <w:t xml:space="preserve">instancia. </w:t>
      </w:r>
    </w:p>
    <w:p w14:paraId="6BBFCB47" w14:textId="77777777" w:rsidR="00825A70" w:rsidRPr="00274371" w:rsidRDefault="00825A70" w:rsidP="00547D24">
      <w:pPr>
        <w:shd w:val="clear" w:color="auto" w:fill="FFFFFF" w:themeFill="background1"/>
        <w:spacing w:line="276" w:lineRule="auto"/>
        <w:ind w:firstLine="426"/>
        <w:rPr>
          <w:rFonts w:cs="Tahoma"/>
          <w:b/>
          <w:spacing w:val="4"/>
          <w:szCs w:val="24"/>
        </w:rPr>
      </w:pPr>
    </w:p>
    <w:p w14:paraId="37E663D2" w14:textId="77777777" w:rsidR="00825A70" w:rsidRPr="00274371" w:rsidRDefault="00825A70" w:rsidP="00547D24">
      <w:pPr>
        <w:widowControl w:val="0"/>
        <w:autoSpaceDE w:val="0"/>
        <w:autoSpaceDN w:val="0"/>
        <w:adjustRightInd w:val="0"/>
        <w:spacing w:line="276" w:lineRule="auto"/>
        <w:jc w:val="center"/>
        <w:rPr>
          <w:rFonts w:cs="Tahoma"/>
          <w:b/>
          <w:spacing w:val="4"/>
          <w:szCs w:val="24"/>
        </w:rPr>
      </w:pPr>
      <w:r w:rsidRPr="00274371">
        <w:rPr>
          <w:rFonts w:cs="Tahoma"/>
          <w:b/>
          <w:spacing w:val="4"/>
          <w:szCs w:val="24"/>
        </w:rPr>
        <w:t>NOTIFÍQUESE Y CÚMPLASE</w:t>
      </w:r>
    </w:p>
    <w:p w14:paraId="3A866C68" w14:textId="77777777" w:rsidR="00547D24" w:rsidRPr="00274371" w:rsidRDefault="00547D24" w:rsidP="00547D24">
      <w:pPr>
        <w:spacing w:line="276" w:lineRule="auto"/>
        <w:ind w:firstLine="708"/>
        <w:rPr>
          <w:rFonts w:eastAsia="Calibri" w:cs="Tahoma"/>
          <w:spacing w:val="4"/>
          <w:szCs w:val="24"/>
          <w:lang w:val="es-ES_tradnl"/>
        </w:rPr>
      </w:pPr>
    </w:p>
    <w:p w14:paraId="51F99D4F" w14:textId="77777777" w:rsidR="00547D24" w:rsidRPr="00274371" w:rsidRDefault="00547D24" w:rsidP="00547D24">
      <w:pPr>
        <w:spacing w:line="276" w:lineRule="auto"/>
        <w:ind w:firstLine="708"/>
        <w:rPr>
          <w:rFonts w:eastAsia="Calibri" w:cs="Tahoma"/>
          <w:spacing w:val="4"/>
          <w:szCs w:val="24"/>
          <w:lang w:val="es-ES_tradnl"/>
        </w:rPr>
      </w:pPr>
      <w:bookmarkStart w:id="2" w:name="OLE_LINK23"/>
      <w:r w:rsidRPr="00274371">
        <w:rPr>
          <w:rFonts w:eastAsia="Calibri" w:cs="Tahoma"/>
          <w:spacing w:val="4"/>
          <w:szCs w:val="24"/>
          <w:lang w:val="es-ES_tradnl"/>
        </w:rPr>
        <w:t xml:space="preserve">La Magistrada Ponente, </w:t>
      </w:r>
    </w:p>
    <w:p w14:paraId="7014BD22" w14:textId="77777777" w:rsidR="00547D24" w:rsidRPr="00274371" w:rsidRDefault="00547D24" w:rsidP="00547D24">
      <w:pPr>
        <w:widowControl w:val="0"/>
        <w:autoSpaceDE w:val="0"/>
        <w:autoSpaceDN w:val="0"/>
        <w:adjustRightInd w:val="0"/>
        <w:spacing w:line="276" w:lineRule="auto"/>
        <w:rPr>
          <w:rFonts w:ascii="Arial" w:eastAsia="Calibri" w:hAnsi="Arial" w:cs="Arial"/>
          <w:bCs/>
          <w:spacing w:val="4"/>
          <w:szCs w:val="24"/>
          <w:lang w:val="es-ES_tradnl" w:eastAsia="es-ES_tradnl"/>
        </w:rPr>
      </w:pPr>
    </w:p>
    <w:p w14:paraId="66A8AE98" w14:textId="77777777" w:rsidR="00547D24" w:rsidRDefault="00547D24" w:rsidP="00547D24">
      <w:pPr>
        <w:widowControl w:val="0"/>
        <w:autoSpaceDE w:val="0"/>
        <w:autoSpaceDN w:val="0"/>
        <w:adjustRightInd w:val="0"/>
        <w:spacing w:line="276" w:lineRule="auto"/>
        <w:rPr>
          <w:rFonts w:ascii="Arial" w:eastAsia="Calibri" w:hAnsi="Arial" w:cs="Arial"/>
          <w:bCs/>
          <w:spacing w:val="4"/>
          <w:szCs w:val="24"/>
          <w:lang w:val="es-ES_tradnl" w:eastAsia="es-ES_tradnl"/>
        </w:rPr>
      </w:pPr>
    </w:p>
    <w:p w14:paraId="5959BE6C" w14:textId="77777777" w:rsidR="00274371" w:rsidRPr="00274371" w:rsidRDefault="00274371" w:rsidP="00547D24">
      <w:pPr>
        <w:widowControl w:val="0"/>
        <w:autoSpaceDE w:val="0"/>
        <w:autoSpaceDN w:val="0"/>
        <w:adjustRightInd w:val="0"/>
        <w:spacing w:line="276" w:lineRule="auto"/>
        <w:rPr>
          <w:rFonts w:ascii="Arial" w:eastAsia="Calibri" w:hAnsi="Arial" w:cs="Arial"/>
          <w:bCs/>
          <w:spacing w:val="4"/>
          <w:szCs w:val="24"/>
          <w:lang w:val="es-ES_tradnl" w:eastAsia="es-ES_tradnl"/>
        </w:rPr>
      </w:pPr>
    </w:p>
    <w:p w14:paraId="703EF720" w14:textId="77777777" w:rsidR="00547D24" w:rsidRPr="00274371" w:rsidRDefault="00547D24" w:rsidP="00547D24">
      <w:pPr>
        <w:spacing w:line="276" w:lineRule="auto"/>
        <w:ind w:firstLine="705"/>
        <w:jc w:val="center"/>
        <w:textAlignment w:val="baseline"/>
        <w:rPr>
          <w:rFonts w:eastAsia="Times New Roman" w:cs="Tahoma"/>
          <w:b/>
          <w:bCs/>
          <w:spacing w:val="4"/>
          <w:szCs w:val="24"/>
          <w:lang w:val="es-ES_tradnl" w:eastAsia="es-ES_tradnl"/>
        </w:rPr>
      </w:pPr>
      <w:r w:rsidRPr="00274371">
        <w:rPr>
          <w:rFonts w:eastAsia="Times New Roman" w:cs="Tahoma"/>
          <w:b/>
          <w:bCs/>
          <w:spacing w:val="4"/>
          <w:szCs w:val="24"/>
          <w:lang w:val="es-ES_tradnl" w:eastAsia="es-ES_tradnl"/>
        </w:rPr>
        <w:t>ANA LUCÍA CAICEDO CALDERÓN</w:t>
      </w:r>
    </w:p>
    <w:p w14:paraId="3A9B74C5" w14:textId="77777777" w:rsidR="00547D24" w:rsidRPr="00274371" w:rsidRDefault="00547D24" w:rsidP="00547D24">
      <w:pPr>
        <w:widowControl w:val="0"/>
        <w:autoSpaceDE w:val="0"/>
        <w:autoSpaceDN w:val="0"/>
        <w:adjustRightInd w:val="0"/>
        <w:spacing w:line="276" w:lineRule="auto"/>
        <w:rPr>
          <w:rFonts w:ascii="Arial" w:eastAsia="Calibri" w:hAnsi="Arial" w:cs="Arial"/>
          <w:bCs/>
          <w:spacing w:val="4"/>
          <w:szCs w:val="24"/>
          <w:lang w:val="es-ES_tradnl" w:eastAsia="es-ES_tradnl"/>
        </w:rPr>
      </w:pPr>
    </w:p>
    <w:p w14:paraId="78DB8400" w14:textId="77777777" w:rsidR="00547D24" w:rsidRPr="00274371" w:rsidRDefault="00547D24" w:rsidP="00547D24">
      <w:pPr>
        <w:spacing w:line="276" w:lineRule="auto"/>
        <w:ind w:firstLine="705"/>
        <w:jc w:val="left"/>
        <w:textAlignment w:val="baseline"/>
        <w:rPr>
          <w:rFonts w:eastAsia="Times New Roman" w:cs="Tahoma"/>
          <w:spacing w:val="4"/>
          <w:szCs w:val="24"/>
          <w:lang w:val="es-ES_tradnl" w:eastAsia="es-ES_tradnl"/>
        </w:rPr>
      </w:pPr>
      <w:r w:rsidRPr="00274371">
        <w:rPr>
          <w:rFonts w:eastAsia="Times New Roman" w:cs="Tahoma"/>
          <w:spacing w:val="4"/>
          <w:szCs w:val="24"/>
          <w:lang w:val="es-ES_tradnl" w:eastAsia="es-ES_tradnl"/>
        </w:rPr>
        <w:t>La Magistrada y el Magistrado,</w:t>
      </w:r>
    </w:p>
    <w:p w14:paraId="1863FD6C" w14:textId="77777777" w:rsidR="00547D24" w:rsidRDefault="00547D24" w:rsidP="00547D24">
      <w:pPr>
        <w:widowControl w:val="0"/>
        <w:autoSpaceDE w:val="0"/>
        <w:autoSpaceDN w:val="0"/>
        <w:adjustRightInd w:val="0"/>
        <w:spacing w:line="276" w:lineRule="auto"/>
        <w:rPr>
          <w:rFonts w:ascii="Arial" w:eastAsia="Calibri" w:hAnsi="Arial" w:cs="Arial"/>
          <w:bCs/>
          <w:spacing w:val="4"/>
          <w:szCs w:val="24"/>
          <w:lang w:val="es-ES_tradnl" w:eastAsia="es-ES_tradnl"/>
        </w:rPr>
      </w:pPr>
    </w:p>
    <w:p w14:paraId="62EB2C85" w14:textId="77777777" w:rsidR="00274371" w:rsidRPr="00274371" w:rsidRDefault="00274371" w:rsidP="00547D24">
      <w:pPr>
        <w:widowControl w:val="0"/>
        <w:autoSpaceDE w:val="0"/>
        <w:autoSpaceDN w:val="0"/>
        <w:adjustRightInd w:val="0"/>
        <w:spacing w:line="276" w:lineRule="auto"/>
        <w:rPr>
          <w:rFonts w:ascii="Arial" w:eastAsia="Calibri" w:hAnsi="Arial" w:cs="Arial"/>
          <w:bCs/>
          <w:spacing w:val="4"/>
          <w:szCs w:val="24"/>
          <w:lang w:val="es-ES_tradnl" w:eastAsia="es-ES_tradnl"/>
        </w:rPr>
      </w:pPr>
    </w:p>
    <w:p w14:paraId="4EFDD0CE" w14:textId="77777777" w:rsidR="00547D24" w:rsidRPr="00274371" w:rsidRDefault="00547D24" w:rsidP="00547D24">
      <w:pPr>
        <w:widowControl w:val="0"/>
        <w:autoSpaceDE w:val="0"/>
        <w:autoSpaceDN w:val="0"/>
        <w:adjustRightInd w:val="0"/>
        <w:spacing w:line="276" w:lineRule="auto"/>
        <w:rPr>
          <w:rFonts w:ascii="Arial" w:eastAsia="Calibri" w:hAnsi="Arial" w:cs="Arial"/>
          <w:bCs/>
          <w:spacing w:val="4"/>
          <w:szCs w:val="24"/>
          <w:lang w:val="es-ES_tradnl" w:eastAsia="es-ES_tradnl"/>
        </w:rPr>
      </w:pPr>
    </w:p>
    <w:p w14:paraId="444E6F7D" w14:textId="0FFCFD57" w:rsidR="00825A70" w:rsidRPr="00274371" w:rsidRDefault="00547D24" w:rsidP="00547D24">
      <w:pPr>
        <w:spacing w:line="276" w:lineRule="auto"/>
        <w:jc w:val="left"/>
        <w:rPr>
          <w:rFonts w:eastAsia="Times New Roman" w:cs="Tahoma"/>
          <w:spacing w:val="4"/>
          <w:szCs w:val="24"/>
          <w:lang w:val="es-ES" w:eastAsia="es-ES"/>
        </w:rPr>
      </w:pPr>
      <w:r w:rsidRPr="00274371">
        <w:rPr>
          <w:rFonts w:eastAsia="Times New Roman" w:cs="Tahoma"/>
          <w:b/>
          <w:bCs/>
          <w:spacing w:val="4"/>
          <w:szCs w:val="24"/>
          <w:lang w:val="es-ES" w:eastAsia="es-ES"/>
        </w:rPr>
        <w:t>OLGA LUCÍA HOYOS SEPÚLVEDA</w:t>
      </w:r>
      <w:r w:rsidRPr="00274371">
        <w:rPr>
          <w:rFonts w:eastAsia="Times New Roman" w:cs="Tahoma"/>
          <w:b/>
          <w:bCs/>
          <w:spacing w:val="4"/>
          <w:szCs w:val="24"/>
          <w:lang w:val="es-ES" w:eastAsia="es-ES"/>
        </w:rPr>
        <w:tab/>
      </w:r>
      <w:r w:rsidRPr="00274371">
        <w:rPr>
          <w:rFonts w:eastAsia="Times New Roman" w:cs="Tahoma"/>
          <w:b/>
          <w:bCs/>
          <w:spacing w:val="4"/>
          <w:szCs w:val="24"/>
          <w:lang w:val="es-ES" w:eastAsia="es-ES"/>
        </w:rPr>
        <w:tab/>
        <w:t>JULIO CÉSAR SALAZAR MUÑOZ</w:t>
      </w:r>
      <w:bookmarkEnd w:id="2"/>
    </w:p>
    <w:sectPr w:rsidR="00825A70" w:rsidRPr="00274371" w:rsidSect="00274371">
      <w:pgSz w:w="12242" w:h="18722" w:code="258"/>
      <w:pgMar w:top="1928" w:right="1304" w:bottom="1361" w:left="1871"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32E4E3" w15:done="0"/>
  <w15:commentEx w15:paraId="688AE975" w15:paraIdParent="0A32E4E3" w15:done="0"/>
  <w15:commentEx w15:paraId="21AAC6B5" w15:paraIdParent="0A32E4E3" w15:done="0"/>
  <w15:commentEx w15:paraId="0D7E5E8B" w15:paraIdParent="0A32E4E3" w15:done="0"/>
  <w15:commentEx w15:paraId="5B3C592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FE18B2" w16cex:dateUtc="2020-11-14T01:11:07.535Z"/>
  <w16cex:commentExtensible w16cex:durableId="28E4122F" w16cex:dateUtc="2020-11-16T16:03:37.606Z"/>
  <w16cex:commentExtensible w16cex:durableId="38FECE90" w16cex:dateUtc="2020-11-16T16:04:22.146Z"/>
  <w16cex:commentExtensible w16cex:durableId="56B70472" w16cex:dateUtc="2020-11-18T22:31:30.83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2E4E3" w16cid:durableId="28E4122F"/>
  <w16cid:commentId w16cid:paraId="688AE975" w16cid:durableId="38FECE90"/>
  <w16cid:commentId w16cid:paraId="21AAC6B5" w16cid:durableId="235FA75A"/>
  <w16cid:commentId w16cid:paraId="0D7E5E8B" w16cid:durableId="56B70472"/>
  <w16cid:commentId w16cid:paraId="5B3C5922" w16cid:durableId="22FE18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EAF3A" w14:textId="77777777" w:rsidR="006F69A8" w:rsidRDefault="006F69A8" w:rsidP="00F5267B">
      <w:pPr>
        <w:spacing w:line="240" w:lineRule="auto"/>
      </w:pPr>
      <w:r>
        <w:separator/>
      </w:r>
    </w:p>
  </w:endnote>
  <w:endnote w:type="continuationSeparator" w:id="0">
    <w:p w14:paraId="5588EE4C" w14:textId="77777777" w:rsidR="006F69A8" w:rsidRDefault="006F69A8" w:rsidP="00F52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893F" w14:textId="77777777" w:rsidR="006F69A8" w:rsidRDefault="006F69A8" w:rsidP="00F5267B">
      <w:pPr>
        <w:spacing w:line="240" w:lineRule="auto"/>
      </w:pPr>
      <w:r>
        <w:separator/>
      </w:r>
    </w:p>
  </w:footnote>
  <w:footnote w:type="continuationSeparator" w:id="0">
    <w:p w14:paraId="4BB4A9E0" w14:textId="77777777" w:rsidR="006F69A8" w:rsidRDefault="006F69A8" w:rsidP="00F5267B">
      <w:pPr>
        <w:spacing w:line="240" w:lineRule="auto"/>
      </w:pPr>
      <w:r>
        <w:continuationSeparator/>
      </w:r>
    </w:p>
  </w:footnote>
  <w:footnote w:id="1">
    <w:p w14:paraId="388CBDD5" w14:textId="77777777" w:rsidR="0012284B" w:rsidRPr="00547D24" w:rsidRDefault="0012284B" w:rsidP="00547D24">
      <w:pPr>
        <w:pStyle w:val="Textonotapie"/>
        <w:rPr>
          <w:rFonts w:ascii="Arial" w:eastAsia="Times New Roman" w:hAnsi="Arial" w:cs="Arial"/>
          <w:bCs/>
          <w:sz w:val="18"/>
          <w:szCs w:val="18"/>
          <w:lang w:val="es-ES" w:eastAsia="es-ES"/>
        </w:rPr>
      </w:pPr>
      <w:r w:rsidRPr="00547D24">
        <w:rPr>
          <w:rStyle w:val="Refdenotaalpie"/>
          <w:rFonts w:ascii="Arial" w:hAnsi="Arial" w:cs="Arial"/>
          <w:sz w:val="18"/>
          <w:szCs w:val="18"/>
        </w:rPr>
        <w:footnoteRef/>
      </w:r>
      <w:r w:rsidRPr="00547D24">
        <w:rPr>
          <w:rFonts w:ascii="Arial" w:hAnsi="Arial" w:cs="Arial"/>
          <w:sz w:val="18"/>
          <w:szCs w:val="18"/>
        </w:rPr>
        <w:t xml:space="preserve"> </w:t>
      </w:r>
      <w:r w:rsidRPr="00547D24">
        <w:rPr>
          <w:rFonts w:ascii="Arial" w:eastAsia="Times New Roman" w:hAnsi="Arial" w:cs="Arial"/>
          <w:bCs/>
          <w:sz w:val="18"/>
          <w:szCs w:val="18"/>
          <w:lang w:val="es-ES" w:eastAsia="es-ES"/>
        </w:rPr>
        <w:t>Auto del 19 de julio de 2018. Rad. 66001-31-05-005-2016--00302-01. M.P. Francisco Javier Tamayo Tabares</w:t>
      </w:r>
    </w:p>
  </w:footnote>
  <w:footnote w:id="2">
    <w:p w14:paraId="36962718" w14:textId="3979F8BD" w:rsidR="00F5267B" w:rsidRPr="00547D24" w:rsidRDefault="00F5267B" w:rsidP="00547D24">
      <w:pPr>
        <w:pStyle w:val="Ttulo"/>
        <w:jc w:val="both"/>
        <w:rPr>
          <w:rFonts w:ascii="Arial" w:hAnsi="Arial" w:cs="Arial"/>
          <w:b w:val="0"/>
          <w:sz w:val="18"/>
          <w:szCs w:val="18"/>
        </w:rPr>
      </w:pPr>
      <w:r w:rsidRPr="00547D24">
        <w:rPr>
          <w:rStyle w:val="Refdenotaalpie"/>
          <w:rFonts w:ascii="Arial" w:hAnsi="Arial" w:cs="Arial"/>
          <w:sz w:val="18"/>
          <w:szCs w:val="18"/>
        </w:rPr>
        <w:footnoteRef/>
      </w:r>
      <w:r w:rsidRPr="00547D24">
        <w:rPr>
          <w:rFonts w:ascii="Arial" w:hAnsi="Arial" w:cs="Arial"/>
          <w:sz w:val="18"/>
          <w:szCs w:val="18"/>
        </w:rPr>
        <w:t xml:space="preserve"> </w:t>
      </w:r>
      <w:r w:rsidRPr="00547D24">
        <w:rPr>
          <w:rFonts w:ascii="Arial" w:hAnsi="Arial" w:cs="Arial"/>
          <w:b w:val="0"/>
          <w:sz w:val="18"/>
          <w:szCs w:val="18"/>
        </w:rPr>
        <w:t>Auto del 21 de junio de 2017. Rad. 66001-31-05-005-2017-00063-01. M.P. Dr. Julio César Salazar Muñoz</w:t>
      </w:r>
    </w:p>
  </w:footnote>
  <w:footnote w:id="3">
    <w:p w14:paraId="4744AFBA" w14:textId="32C5AA5D" w:rsidR="00FC3E40" w:rsidRPr="00547D24" w:rsidRDefault="00FC3E40" w:rsidP="00547D24">
      <w:pPr>
        <w:pStyle w:val="Textonotapie"/>
        <w:rPr>
          <w:rFonts w:ascii="Arial" w:hAnsi="Arial" w:cs="Arial"/>
          <w:sz w:val="18"/>
          <w:szCs w:val="18"/>
          <w:lang w:val="es-419"/>
        </w:rPr>
      </w:pPr>
      <w:r w:rsidRPr="00547D24">
        <w:rPr>
          <w:rStyle w:val="Refdenotaalpie"/>
          <w:rFonts w:ascii="Arial" w:hAnsi="Arial" w:cs="Arial"/>
          <w:sz w:val="18"/>
          <w:szCs w:val="18"/>
        </w:rPr>
        <w:footnoteRef/>
      </w:r>
      <w:r w:rsidRPr="00547D24">
        <w:rPr>
          <w:rFonts w:ascii="Arial" w:hAnsi="Arial" w:cs="Arial"/>
          <w:sz w:val="18"/>
          <w:szCs w:val="18"/>
        </w:rPr>
        <w:t xml:space="preserve"> Cuando la entidad tiene varios afiliados que pagan periódicamente una cuota de sostenimiento en la que se incluye un porcentaje destinado a un fondo restringido con miras al futuro reembolso para su utilización en un cambio de vehículo.</w:t>
      </w:r>
    </w:p>
  </w:footnote>
  <w:footnote w:id="4">
    <w:p w14:paraId="5C56927B" w14:textId="4D3C3F02" w:rsidR="005402B0" w:rsidRPr="00547D24" w:rsidRDefault="008A374E" w:rsidP="00547D24">
      <w:pPr>
        <w:spacing w:line="240" w:lineRule="auto"/>
        <w:ind w:left="142" w:hanging="142"/>
        <w:rPr>
          <w:rFonts w:ascii="Arial" w:hAnsi="Arial" w:cs="Arial"/>
          <w:sz w:val="18"/>
          <w:szCs w:val="18"/>
          <w:lang w:val="es-419"/>
        </w:rPr>
      </w:pPr>
      <w:r w:rsidRPr="00547D24">
        <w:rPr>
          <w:rStyle w:val="Refdenotaalpie"/>
          <w:rFonts w:ascii="Arial" w:hAnsi="Arial" w:cs="Arial"/>
          <w:sz w:val="18"/>
          <w:szCs w:val="18"/>
        </w:rPr>
        <w:footnoteRef/>
      </w:r>
      <w:r w:rsidRPr="00547D24">
        <w:rPr>
          <w:rFonts w:ascii="Arial" w:hAnsi="Arial" w:cs="Arial"/>
          <w:sz w:val="18"/>
          <w:szCs w:val="18"/>
        </w:rPr>
        <w:t xml:space="preserve"> </w:t>
      </w:r>
      <w:r w:rsidR="00E20E85" w:rsidRPr="00547D24">
        <w:rPr>
          <w:rFonts w:ascii="Arial" w:hAnsi="Arial" w:cs="Arial"/>
          <w:sz w:val="18"/>
          <w:szCs w:val="18"/>
        </w:rPr>
        <w:t>“</w:t>
      </w:r>
      <w:r w:rsidRPr="00547D24">
        <w:rPr>
          <w:rFonts w:ascii="Arial" w:hAnsi="Arial" w:cs="Arial"/>
          <w:sz w:val="18"/>
          <w:szCs w:val="18"/>
        </w:rPr>
        <w:t>Este indicador mide la capacidad empresarial para afrontar las deudas que corresponde a la sumatoria de todas las obligaciones de pago actuales y a futuro.</w:t>
      </w:r>
      <w:r w:rsidR="00E20E85" w:rsidRPr="00547D24">
        <w:rPr>
          <w:rFonts w:ascii="Arial" w:hAnsi="Arial" w:cs="Arial"/>
          <w:sz w:val="18"/>
          <w:szCs w:val="18"/>
        </w:rPr>
        <w:t xml:space="preserve"> Cuando las personas físicas o jurídicas son capaces de hacer frente a sus obligaciones financieras, decimos que son solventes. Esto significa que, en la actualidad o en el futuro, no tendrán problema en devolver sus deudas contraídas o por contraer”.</w:t>
      </w:r>
      <w:r w:rsidR="00067225" w:rsidRPr="00547D24">
        <w:rPr>
          <w:rFonts w:ascii="Arial" w:hAnsi="Arial" w:cs="Arial"/>
          <w:sz w:val="18"/>
          <w:szCs w:val="18"/>
        </w:rPr>
        <w:t xml:space="preserve"> (fuente: </w:t>
      </w:r>
      <w:hyperlink r:id="rId1" w:history="1">
        <w:r w:rsidR="00AA700D" w:rsidRPr="00547D24">
          <w:rPr>
            <w:rStyle w:val="Hipervnculo"/>
            <w:rFonts w:ascii="Arial" w:hAnsi="Arial" w:cs="Arial"/>
            <w:sz w:val="18"/>
            <w:szCs w:val="18"/>
          </w:rPr>
          <w:t>https://sevdesk.es/glosario/ratio-de-solvencia/</w:t>
        </w:r>
      </w:hyperlink>
      <w:r w:rsidR="00AA700D" w:rsidRPr="00547D24">
        <w:rPr>
          <w:rFonts w:ascii="Arial" w:hAnsi="Arial" w:cs="Arial"/>
          <w:sz w:val="18"/>
          <w:szCs w:val="18"/>
        </w:rPr>
        <w:t>), (https://www.contabilidae.com/ratio-solvencia-formula-interpretacion-ejemplos)</w:t>
      </w:r>
      <w:r w:rsidR="00E9393B" w:rsidRPr="00547D24">
        <w:rPr>
          <w:rFonts w:ascii="Arial" w:hAnsi="Arial" w:cs="Arial"/>
          <w:sz w:val="18"/>
          <w:szCs w:val="18"/>
        </w:rPr>
        <w:t>.</w:t>
      </w:r>
    </w:p>
  </w:footnote>
  <w:footnote w:id="5">
    <w:p w14:paraId="71ACD44E" w14:textId="1B4A0659" w:rsidR="00E20E85" w:rsidRPr="00547D24" w:rsidRDefault="008A374E" w:rsidP="00547D24">
      <w:pPr>
        <w:spacing w:line="240" w:lineRule="auto"/>
        <w:ind w:left="142" w:hanging="142"/>
        <w:rPr>
          <w:rFonts w:ascii="Arial" w:hAnsi="Arial" w:cs="Arial"/>
          <w:sz w:val="18"/>
          <w:szCs w:val="18"/>
        </w:rPr>
      </w:pPr>
      <w:r w:rsidRPr="00547D24">
        <w:rPr>
          <w:rStyle w:val="Refdenotaalpie"/>
          <w:rFonts w:ascii="Arial" w:hAnsi="Arial" w:cs="Arial"/>
          <w:sz w:val="18"/>
          <w:szCs w:val="18"/>
        </w:rPr>
        <w:footnoteRef/>
      </w:r>
      <w:r w:rsidRPr="00547D24">
        <w:rPr>
          <w:rFonts w:ascii="Arial" w:hAnsi="Arial" w:cs="Arial"/>
          <w:sz w:val="18"/>
          <w:szCs w:val="18"/>
        </w:rPr>
        <w:t xml:space="preserve"> </w:t>
      </w:r>
      <w:r w:rsidR="00E20E85" w:rsidRPr="00547D24">
        <w:rPr>
          <w:rFonts w:ascii="Arial" w:hAnsi="Arial" w:cs="Arial"/>
          <w:b/>
          <w:bCs/>
          <w:sz w:val="18"/>
          <w:szCs w:val="18"/>
        </w:rPr>
        <w:t>Índice de solvencia</w:t>
      </w:r>
      <w:r w:rsidR="00E20E85" w:rsidRPr="00547D24">
        <w:rPr>
          <w:rFonts w:ascii="Arial" w:hAnsi="Arial" w:cs="Arial"/>
          <w:sz w:val="18"/>
          <w:szCs w:val="18"/>
        </w:rPr>
        <w:t xml:space="preserve"> = (Activo no corriente + Activo corriente) / (Pasivo no corriente + Pasivo corriente). Donde </w:t>
      </w:r>
      <w:r w:rsidR="00E20E85" w:rsidRPr="00547D24">
        <w:rPr>
          <w:rFonts w:ascii="Arial" w:hAnsi="Arial" w:cs="Arial"/>
          <w:b/>
          <w:bCs/>
          <w:sz w:val="18"/>
          <w:szCs w:val="18"/>
        </w:rPr>
        <w:t>activo corriente</w:t>
      </w:r>
      <w:r w:rsidR="00E20E85" w:rsidRPr="00547D24">
        <w:rPr>
          <w:rFonts w:ascii="Arial" w:hAnsi="Arial" w:cs="Arial"/>
          <w:sz w:val="18"/>
          <w:szCs w:val="18"/>
        </w:rPr>
        <w:t xml:space="preserve">: es el activo circulante, el cual posee la capacidad de convertirse en activo líquido (dinero en efectivo) en menos de un año: existencias, inversiones financieras, dinero en el banco u otros; </w:t>
      </w:r>
      <w:r w:rsidR="00E20E85" w:rsidRPr="00547D24">
        <w:rPr>
          <w:rFonts w:ascii="Arial" w:hAnsi="Arial" w:cs="Arial"/>
          <w:b/>
          <w:bCs/>
          <w:sz w:val="18"/>
          <w:szCs w:val="18"/>
        </w:rPr>
        <w:t>activo no corriente</w:t>
      </w:r>
      <w:r w:rsidR="00E20E85" w:rsidRPr="00547D24">
        <w:rPr>
          <w:rFonts w:ascii="Arial" w:hAnsi="Arial" w:cs="Arial"/>
          <w:sz w:val="18"/>
          <w:szCs w:val="18"/>
        </w:rPr>
        <w:t xml:space="preserve">: es el activo fijo compuesto por todos los activos que no pueden hacerse efectivos dentro del corriente año; es decir, la totalidad de las inversiones en bienes de capital: vehículos, maquinarias, terrenos, construcciones u otros; </w:t>
      </w:r>
      <w:r w:rsidR="00E20E85" w:rsidRPr="00547D24">
        <w:rPr>
          <w:rFonts w:ascii="Arial" w:hAnsi="Arial" w:cs="Arial"/>
          <w:b/>
          <w:bCs/>
          <w:sz w:val="18"/>
          <w:szCs w:val="18"/>
        </w:rPr>
        <w:t>Pasivo corriente</w:t>
      </w:r>
      <w:r w:rsidR="00E20E85" w:rsidRPr="00547D24">
        <w:rPr>
          <w:rFonts w:ascii="Arial" w:hAnsi="Arial" w:cs="Arial"/>
          <w:sz w:val="18"/>
          <w:szCs w:val="18"/>
        </w:rPr>
        <w:t xml:space="preserve">: conformado por todas las deudas y las obligaciones a corto plazo; o sea, aquellas que pueden cancelarse dentro del período de un año y </w:t>
      </w:r>
      <w:r w:rsidR="00E20E85" w:rsidRPr="00547D24">
        <w:rPr>
          <w:rFonts w:ascii="Arial" w:hAnsi="Arial" w:cs="Arial"/>
          <w:b/>
          <w:bCs/>
          <w:sz w:val="18"/>
          <w:szCs w:val="18"/>
        </w:rPr>
        <w:t>Pasivo no corriente</w:t>
      </w:r>
      <w:r w:rsidR="00E20E85" w:rsidRPr="00547D24">
        <w:rPr>
          <w:rFonts w:ascii="Arial" w:hAnsi="Arial" w:cs="Arial"/>
          <w:sz w:val="18"/>
          <w:szCs w:val="18"/>
        </w:rPr>
        <w:t>: compuesto por todas las deudas a largo plazo; es decir, aquellas obligaciones de pago cuyo vencimiento se produce en más de un año.</w:t>
      </w:r>
      <w:bookmarkStart w:id="1" w:name="_GoBack"/>
      <w:bookmarkEnd w:id="1"/>
    </w:p>
  </w:footnote>
  <w:footnote w:id="6">
    <w:p w14:paraId="295C2C93" w14:textId="778FB404" w:rsidR="00E20E85" w:rsidRPr="00547D24" w:rsidRDefault="00E20E85" w:rsidP="00547D24">
      <w:pPr>
        <w:spacing w:line="240" w:lineRule="auto"/>
        <w:ind w:left="142" w:hanging="142"/>
        <w:rPr>
          <w:sz w:val="14"/>
          <w:szCs w:val="14"/>
        </w:rPr>
      </w:pPr>
      <w:r w:rsidRPr="00547D24">
        <w:rPr>
          <w:rStyle w:val="Refdenotaalpie"/>
          <w:rFonts w:ascii="Arial" w:hAnsi="Arial" w:cs="Arial"/>
          <w:sz w:val="18"/>
          <w:szCs w:val="18"/>
        </w:rPr>
        <w:footnoteRef/>
      </w:r>
      <w:r w:rsidRPr="00547D24">
        <w:rPr>
          <w:rFonts w:ascii="Arial" w:hAnsi="Arial" w:cs="Arial"/>
          <w:sz w:val="18"/>
          <w:szCs w:val="18"/>
        </w:rPr>
        <w:t xml:space="preserve"> </w:t>
      </w:r>
      <w:r w:rsidRPr="00547D24">
        <w:rPr>
          <w:rFonts w:ascii="Arial" w:hAnsi="Arial" w:cs="Arial"/>
          <w:b/>
          <w:bCs/>
          <w:sz w:val="18"/>
          <w:szCs w:val="18"/>
        </w:rPr>
        <w:t>Interpretación de solvencia</w:t>
      </w:r>
      <w:r w:rsidRPr="00547D24">
        <w:rPr>
          <w:rFonts w:ascii="Arial" w:hAnsi="Arial" w:cs="Arial"/>
          <w:sz w:val="18"/>
          <w:szCs w:val="18"/>
        </w:rPr>
        <w:t xml:space="preserve"> ˂ 1:  indica que la empresa se encuentra en situación de quiebra, ya que presenta más deudas que bienes respaldatorios de estas; ˂ 1,5: indica que la situación de la empresa es delicada requiriendo tomar medidas correctivas inmediatas; = 1,5: La situación financiera de la empresa se encuentra en equilibrio, es decir, se cuenta con el respaldo suficiente para soportar un traspié financiero y si es ˃ 1,5: Se cuenta con activos improductivos, lo cual también es una situación poco deseable que obliga a tomar medidas correctivas.</w:t>
      </w:r>
      <w:r w:rsidR="00280A99" w:rsidRPr="00547D24">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25FBB"/>
    <w:multiLevelType w:val="hybridMultilevel"/>
    <w:tmpl w:val="568240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4DFC79BB"/>
    <w:multiLevelType w:val="hybridMultilevel"/>
    <w:tmpl w:val="759A0DC8"/>
    <w:lvl w:ilvl="0" w:tplc="22E6301E">
      <w:start w:val="1"/>
      <w:numFmt w:val="bullet"/>
      <w:lvlText w:val="-"/>
      <w:lvlJc w:val="left"/>
      <w:pPr>
        <w:ind w:left="360" w:hanging="360"/>
      </w:pPr>
      <w:rPr>
        <w:rFonts w:ascii="Tahoma" w:eastAsiaTheme="minorHAnsi" w:hAnsi="Tahoma" w:cs="Tahoma"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
    <w:nsid w:val="54DF3993"/>
    <w:multiLevelType w:val="hybridMultilevel"/>
    <w:tmpl w:val="2AC89F5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59C35283"/>
    <w:multiLevelType w:val="multilevel"/>
    <w:tmpl w:val="AFAC0AE0"/>
    <w:lvl w:ilvl="0">
      <w:start w:val="1"/>
      <w:numFmt w:val="decimal"/>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4">
    <w:nsid w:val="601C6663"/>
    <w:multiLevelType w:val="multilevel"/>
    <w:tmpl w:val="BF3275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nsid w:val="788313D0"/>
    <w:multiLevelType w:val="hybridMultilevel"/>
    <w:tmpl w:val="E5E87820"/>
    <w:lvl w:ilvl="0" w:tplc="0C0A000F">
      <w:start w:val="1"/>
      <w:numFmt w:val="decimal"/>
      <w:lvlText w:val="%1."/>
      <w:lvlJc w:val="left"/>
      <w:pPr>
        <w:ind w:left="2771" w:hanging="360"/>
      </w:pPr>
      <w:rPr>
        <w:rFonts w:hint="default"/>
      </w:rPr>
    </w:lvl>
    <w:lvl w:ilvl="1" w:tplc="0C0A0019" w:tentative="1">
      <w:start w:val="1"/>
      <w:numFmt w:val="lowerLetter"/>
      <w:lvlText w:val="%2."/>
      <w:lvlJc w:val="left"/>
      <w:pPr>
        <w:ind w:left="3491" w:hanging="360"/>
      </w:pPr>
    </w:lvl>
    <w:lvl w:ilvl="2" w:tplc="0C0A001B" w:tentative="1">
      <w:start w:val="1"/>
      <w:numFmt w:val="lowerRoman"/>
      <w:lvlText w:val="%3."/>
      <w:lvlJc w:val="right"/>
      <w:pPr>
        <w:ind w:left="4211" w:hanging="180"/>
      </w:pPr>
    </w:lvl>
    <w:lvl w:ilvl="3" w:tplc="0C0A000F" w:tentative="1">
      <w:start w:val="1"/>
      <w:numFmt w:val="decimal"/>
      <w:lvlText w:val="%4."/>
      <w:lvlJc w:val="left"/>
      <w:pPr>
        <w:ind w:left="4931" w:hanging="360"/>
      </w:pPr>
    </w:lvl>
    <w:lvl w:ilvl="4" w:tplc="0C0A0019" w:tentative="1">
      <w:start w:val="1"/>
      <w:numFmt w:val="lowerLetter"/>
      <w:lvlText w:val="%5."/>
      <w:lvlJc w:val="left"/>
      <w:pPr>
        <w:ind w:left="5651" w:hanging="360"/>
      </w:pPr>
    </w:lvl>
    <w:lvl w:ilvl="5" w:tplc="0C0A001B" w:tentative="1">
      <w:start w:val="1"/>
      <w:numFmt w:val="lowerRoman"/>
      <w:lvlText w:val="%6."/>
      <w:lvlJc w:val="right"/>
      <w:pPr>
        <w:ind w:left="6371" w:hanging="180"/>
      </w:pPr>
    </w:lvl>
    <w:lvl w:ilvl="6" w:tplc="0C0A000F" w:tentative="1">
      <w:start w:val="1"/>
      <w:numFmt w:val="decimal"/>
      <w:lvlText w:val="%7."/>
      <w:lvlJc w:val="left"/>
      <w:pPr>
        <w:ind w:left="7091" w:hanging="360"/>
      </w:pPr>
    </w:lvl>
    <w:lvl w:ilvl="7" w:tplc="0C0A0019" w:tentative="1">
      <w:start w:val="1"/>
      <w:numFmt w:val="lowerLetter"/>
      <w:lvlText w:val="%8."/>
      <w:lvlJc w:val="left"/>
      <w:pPr>
        <w:ind w:left="7811" w:hanging="360"/>
      </w:pPr>
    </w:lvl>
    <w:lvl w:ilvl="8" w:tplc="0C0A001B" w:tentative="1">
      <w:start w:val="1"/>
      <w:numFmt w:val="lowerRoman"/>
      <w:lvlText w:val="%9."/>
      <w:lvlJc w:val="right"/>
      <w:pPr>
        <w:ind w:left="8531"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Ana Lucia Caicedo Calderon">
    <w15:presenceInfo w15:providerId="AD" w15:userId="S::acaicedc@cendoj.ramajudicial.gov.co::8f6ed62d-7663-49fa-a89a-975c13c4c45d"/>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62"/>
    <w:rsid w:val="0003053D"/>
    <w:rsid w:val="00067225"/>
    <w:rsid w:val="0007470B"/>
    <w:rsid w:val="000A47FE"/>
    <w:rsid w:val="0012284B"/>
    <w:rsid w:val="00274371"/>
    <w:rsid w:val="00280A99"/>
    <w:rsid w:val="002961AF"/>
    <w:rsid w:val="002E45A4"/>
    <w:rsid w:val="0032437E"/>
    <w:rsid w:val="00371518"/>
    <w:rsid w:val="003A47C4"/>
    <w:rsid w:val="003B38E8"/>
    <w:rsid w:val="003E142E"/>
    <w:rsid w:val="00406B39"/>
    <w:rsid w:val="00431704"/>
    <w:rsid w:val="00435AA3"/>
    <w:rsid w:val="00491DCA"/>
    <w:rsid w:val="00493A57"/>
    <w:rsid w:val="004E1FE2"/>
    <w:rsid w:val="005402B0"/>
    <w:rsid w:val="00547D24"/>
    <w:rsid w:val="00553ECD"/>
    <w:rsid w:val="005578DE"/>
    <w:rsid w:val="005A1E1A"/>
    <w:rsid w:val="005D344B"/>
    <w:rsid w:val="00653F48"/>
    <w:rsid w:val="00660E24"/>
    <w:rsid w:val="006F1161"/>
    <w:rsid w:val="006F181E"/>
    <w:rsid w:val="006F69A8"/>
    <w:rsid w:val="00701813"/>
    <w:rsid w:val="007274C6"/>
    <w:rsid w:val="00787D2F"/>
    <w:rsid w:val="00797662"/>
    <w:rsid w:val="007A4777"/>
    <w:rsid w:val="007A507E"/>
    <w:rsid w:val="007A66FA"/>
    <w:rsid w:val="007B3F2F"/>
    <w:rsid w:val="007B4C52"/>
    <w:rsid w:val="00825A70"/>
    <w:rsid w:val="008A374E"/>
    <w:rsid w:val="008B7571"/>
    <w:rsid w:val="00951886"/>
    <w:rsid w:val="009C4C19"/>
    <w:rsid w:val="00AA700D"/>
    <w:rsid w:val="00AB46C2"/>
    <w:rsid w:val="00AC3EB0"/>
    <w:rsid w:val="00AD133E"/>
    <w:rsid w:val="00AE3D77"/>
    <w:rsid w:val="00B61057"/>
    <w:rsid w:val="00BA7CA0"/>
    <w:rsid w:val="00BB3845"/>
    <w:rsid w:val="00C40031"/>
    <w:rsid w:val="00C70400"/>
    <w:rsid w:val="00C82973"/>
    <w:rsid w:val="00CB6B0D"/>
    <w:rsid w:val="00D13BDE"/>
    <w:rsid w:val="00D54F91"/>
    <w:rsid w:val="00D70A1E"/>
    <w:rsid w:val="00DA7FA5"/>
    <w:rsid w:val="00DB4C19"/>
    <w:rsid w:val="00DC5DF3"/>
    <w:rsid w:val="00E20E85"/>
    <w:rsid w:val="00E310C4"/>
    <w:rsid w:val="00E51399"/>
    <w:rsid w:val="00E9393B"/>
    <w:rsid w:val="00F43BC4"/>
    <w:rsid w:val="00F5267B"/>
    <w:rsid w:val="00F579F7"/>
    <w:rsid w:val="00FB20E8"/>
    <w:rsid w:val="00FC3E40"/>
    <w:rsid w:val="10C5A0AA"/>
    <w:rsid w:val="110A9799"/>
    <w:rsid w:val="1307B811"/>
    <w:rsid w:val="150DFB7A"/>
    <w:rsid w:val="48D043A9"/>
    <w:rsid w:val="5D32B7B0"/>
    <w:rsid w:val="685B3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BB3845"/>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797662"/>
    <w:pPr>
      <w:ind w:left="720"/>
      <w:contextualSpacing/>
    </w:pPr>
  </w:style>
  <w:style w:type="character" w:customStyle="1" w:styleId="Ttulo4Car">
    <w:name w:val="Título 4 Car"/>
    <w:basedOn w:val="Fuentedeprrafopredeter"/>
    <w:link w:val="Ttulo4"/>
    <w:rsid w:val="00BB3845"/>
    <w:rPr>
      <w:rFonts w:ascii="Times New Roman" w:eastAsia="Times New Roman" w:hAnsi="Times New Roman" w:cs="Times New Roman"/>
      <w:b/>
      <w:szCs w:val="20"/>
      <w:lang w:val="es-ES" w:eastAsia="es-ES"/>
    </w:rPr>
  </w:style>
  <w:style w:type="paragraph" w:styleId="NormalWeb">
    <w:name w:val="Normal (Web)"/>
    <w:basedOn w:val="Normal"/>
    <w:unhideWhenUsed/>
    <w:rsid w:val="00BB3845"/>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BB3845"/>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B3845"/>
  </w:style>
  <w:style w:type="character" w:customStyle="1" w:styleId="eop">
    <w:name w:val="eop"/>
    <w:basedOn w:val="Fuentedeprrafopredeter"/>
    <w:rsid w:val="00BB3845"/>
  </w:style>
  <w:style w:type="character" w:customStyle="1" w:styleId="SinespaciadoCar">
    <w:name w:val="Sin espaciado Car"/>
    <w:link w:val="Sinespaciado"/>
    <w:uiPriority w:val="1"/>
    <w:locked/>
    <w:rsid w:val="00825A70"/>
  </w:style>
  <w:style w:type="paragraph" w:styleId="Sinespaciado">
    <w:name w:val="No Spacing"/>
    <w:link w:val="SinespaciadoCar"/>
    <w:uiPriority w:val="1"/>
    <w:qFormat/>
    <w:rsid w:val="00825A70"/>
    <w:pPr>
      <w:spacing w:line="240" w:lineRule="auto"/>
      <w:jc w:val="left"/>
    </w:pPr>
  </w:style>
  <w:style w:type="paragraph" w:customStyle="1" w:styleId="Prrafodelista2">
    <w:name w:val="Párrafo de lista2"/>
    <w:basedOn w:val="Normal"/>
    <w:rsid w:val="00825A70"/>
    <w:pPr>
      <w:spacing w:after="200" w:line="276" w:lineRule="auto"/>
      <w:ind w:left="720"/>
      <w:contextualSpacing/>
      <w:jc w:val="left"/>
    </w:pPr>
    <w:rPr>
      <w:rFonts w:ascii="Calibri" w:eastAsia="Times New Roman" w:hAnsi="Calibri" w:cs="Times New Roman"/>
      <w:sz w:val="22"/>
    </w:rPr>
  </w:style>
  <w:style w:type="paragraph" w:styleId="Textoindependiente">
    <w:name w:val="Body Text"/>
    <w:basedOn w:val="Normal"/>
    <w:link w:val="TextoindependienteCar"/>
    <w:rsid w:val="00701813"/>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rsid w:val="00701813"/>
    <w:rPr>
      <w:rFonts w:ascii="Arial" w:eastAsia="Times New Roman" w:hAnsi="Arial" w:cs="Times New Roman"/>
      <w:sz w:val="26"/>
      <w:szCs w:val="20"/>
      <w:lang w:val="es-ES_tradnl" w:eastAsia="x-none"/>
    </w:rPr>
  </w:style>
  <w:style w:type="paragraph" w:styleId="Textonotapie">
    <w:name w:val="footnote text"/>
    <w:basedOn w:val="Normal"/>
    <w:link w:val="TextonotapieCar"/>
    <w:uiPriority w:val="99"/>
    <w:semiHidden/>
    <w:unhideWhenUsed/>
    <w:rsid w:val="00F5267B"/>
    <w:pPr>
      <w:spacing w:line="240" w:lineRule="auto"/>
    </w:pPr>
    <w:rPr>
      <w:sz w:val="20"/>
      <w:szCs w:val="20"/>
    </w:rPr>
  </w:style>
  <w:style w:type="character" w:customStyle="1" w:styleId="TextonotapieCar">
    <w:name w:val="Texto nota pie Car"/>
    <w:basedOn w:val="Fuentedeprrafopredeter"/>
    <w:link w:val="Textonotapie"/>
    <w:uiPriority w:val="99"/>
    <w:semiHidden/>
    <w:rsid w:val="00F5267B"/>
    <w:rPr>
      <w:sz w:val="20"/>
      <w:szCs w:val="20"/>
    </w:rPr>
  </w:style>
  <w:style w:type="character" w:styleId="Refdenotaalpie">
    <w:name w:val="footnote reference"/>
    <w:basedOn w:val="Fuentedeprrafopredeter"/>
    <w:uiPriority w:val="99"/>
    <w:semiHidden/>
    <w:unhideWhenUsed/>
    <w:rsid w:val="00F5267B"/>
    <w:rPr>
      <w:vertAlign w:val="superscript"/>
    </w:rPr>
  </w:style>
  <w:style w:type="paragraph" w:styleId="Ttulo">
    <w:name w:val="Title"/>
    <w:basedOn w:val="Normal"/>
    <w:link w:val="TtuloCar"/>
    <w:qFormat/>
    <w:rsid w:val="00F5267B"/>
    <w:pPr>
      <w:widowControl w:val="0"/>
      <w:autoSpaceDE w:val="0"/>
      <w:autoSpaceDN w:val="0"/>
      <w:adjustRightInd w:val="0"/>
      <w:spacing w:line="240" w:lineRule="auto"/>
      <w:jc w:val="center"/>
    </w:pPr>
    <w:rPr>
      <w:rFonts w:ascii="Roman 12cpi" w:eastAsia="Times New Roman" w:hAnsi="Roman 12cpi" w:cs="Times New Roman"/>
      <w:b/>
      <w:bCs/>
      <w:sz w:val="20"/>
      <w:szCs w:val="20"/>
      <w:lang w:val="es-ES" w:eastAsia="es-ES"/>
    </w:rPr>
  </w:style>
  <w:style w:type="character" w:customStyle="1" w:styleId="TtuloCar">
    <w:name w:val="Título Car"/>
    <w:basedOn w:val="Fuentedeprrafopredeter"/>
    <w:link w:val="Ttulo"/>
    <w:rsid w:val="00F5267B"/>
    <w:rPr>
      <w:rFonts w:ascii="Roman 12cpi" w:eastAsia="Times New Roman" w:hAnsi="Roman 12cpi" w:cs="Times New Roman"/>
      <w:b/>
      <w:bCs/>
      <w:sz w:val="20"/>
      <w:szCs w:val="20"/>
      <w:lang w:val="es-ES" w:eastAsia="es-ES"/>
    </w:rPr>
  </w:style>
  <w:style w:type="character" w:styleId="Hipervnculo">
    <w:name w:val="Hyperlink"/>
    <w:basedOn w:val="Fuentedeprrafopredeter"/>
    <w:uiPriority w:val="99"/>
    <w:unhideWhenUsed/>
    <w:rsid w:val="00AA700D"/>
    <w:rPr>
      <w:color w:val="0563C1" w:themeColor="hyperlink"/>
      <w:u w:val="single"/>
    </w:rPr>
  </w:style>
  <w:style w:type="character" w:customStyle="1" w:styleId="UnresolvedMention">
    <w:name w:val="Unresolved Mention"/>
    <w:basedOn w:val="Fuentedeprrafopredeter"/>
    <w:uiPriority w:val="99"/>
    <w:semiHidden/>
    <w:unhideWhenUsed/>
    <w:rsid w:val="00AA700D"/>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93A5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3A5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93A57"/>
    <w:rPr>
      <w:b/>
      <w:bCs/>
    </w:rPr>
  </w:style>
  <w:style w:type="character" w:customStyle="1" w:styleId="AsuntodelcomentarioCar">
    <w:name w:val="Asunto del comentario Car"/>
    <w:basedOn w:val="TextocomentarioCar"/>
    <w:link w:val="Asuntodelcomentario"/>
    <w:uiPriority w:val="99"/>
    <w:semiHidden/>
    <w:rsid w:val="00493A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BB3845"/>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797662"/>
    <w:pPr>
      <w:ind w:left="720"/>
      <w:contextualSpacing/>
    </w:pPr>
  </w:style>
  <w:style w:type="character" w:customStyle="1" w:styleId="Ttulo4Car">
    <w:name w:val="Título 4 Car"/>
    <w:basedOn w:val="Fuentedeprrafopredeter"/>
    <w:link w:val="Ttulo4"/>
    <w:rsid w:val="00BB3845"/>
    <w:rPr>
      <w:rFonts w:ascii="Times New Roman" w:eastAsia="Times New Roman" w:hAnsi="Times New Roman" w:cs="Times New Roman"/>
      <w:b/>
      <w:szCs w:val="20"/>
      <w:lang w:val="es-ES" w:eastAsia="es-ES"/>
    </w:rPr>
  </w:style>
  <w:style w:type="paragraph" w:styleId="NormalWeb">
    <w:name w:val="Normal (Web)"/>
    <w:basedOn w:val="Normal"/>
    <w:unhideWhenUsed/>
    <w:rsid w:val="00BB3845"/>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BB3845"/>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B3845"/>
  </w:style>
  <w:style w:type="character" w:customStyle="1" w:styleId="eop">
    <w:name w:val="eop"/>
    <w:basedOn w:val="Fuentedeprrafopredeter"/>
    <w:rsid w:val="00BB3845"/>
  </w:style>
  <w:style w:type="character" w:customStyle="1" w:styleId="SinespaciadoCar">
    <w:name w:val="Sin espaciado Car"/>
    <w:link w:val="Sinespaciado"/>
    <w:uiPriority w:val="1"/>
    <w:locked/>
    <w:rsid w:val="00825A70"/>
  </w:style>
  <w:style w:type="paragraph" w:styleId="Sinespaciado">
    <w:name w:val="No Spacing"/>
    <w:link w:val="SinespaciadoCar"/>
    <w:uiPriority w:val="1"/>
    <w:qFormat/>
    <w:rsid w:val="00825A70"/>
    <w:pPr>
      <w:spacing w:line="240" w:lineRule="auto"/>
      <w:jc w:val="left"/>
    </w:pPr>
  </w:style>
  <w:style w:type="paragraph" w:customStyle="1" w:styleId="Prrafodelista2">
    <w:name w:val="Párrafo de lista2"/>
    <w:basedOn w:val="Normal"/>
    <w:rsid w:val="00825A70"/>
    <w:pPr>
      <w:spacing w:after="200" w:line="276" w:lineRule="auto"/>
      <w:ind w:left="720"/>
      <w:contextualSpacing/>
      <w:jc w:val="left"/>
    </w:pPr>
    <w:rPr>
      <w:rFonts w:ascii="Calibri" w:eastAsia="Times New Roman" w:hAnsi="Calibri" w:cs="Times New Roman"/>
      <w:sz w:val="22"/>
    </w:rPr>
  </w:style>
  <w:style w:type="paragraph" w:styleId="Textoindependiente">
    <w:name w:val="Body Text"/>
    <w:basedOn w:val="Normal"/>
    <w:link w:val="TextoindependienteCar"/>
    <w:rsid w:val="00701813"/>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rsid w:val="00701813"/>
    <w:rPr>
      <w:rFonts w:ascii="Arial" w:eastAsia="Times New Roman" w:hAnsi="Arial" w:cs="Times New Roman"/>
      <w:sz w:val="26"/>
      <w:szCs w:val="20"/>
      <w:lang w:val="es-ES_tradnl" w:eastAsia="x-none"/>
    </w:rPr>
  </w:style>
  <w:style w:type="paragraph" w:styleId="Textonotapie">
    <w:name w:val="footnote text"/>
    <w:basedOn w:val="Normal"/>
    <w:link w:val="TextonotapieCar"/>
    <w:uiPriority w:val="99"/>
    <w:semiHidden/>
    <w:unhideWhenUsed/>
    <w:rsid w:val="00F5267B"/>
    <w:pPr>
      <w:spacing w:line="240" w:lineRule="auto"/>
    </w:pPr>
    <w:rPr>
      <w:sz w:val="20"/>
      <w:szCs w:val="20"/>
    </w:rPr>
  </w:style>
  <w:style w:type="character" w:customStyle="1" w:styleId="TextonotapieCar">
    <w:name w:val="Texto nota pie Car"/>
    <w:basedOn w:val="Fuentedeprrafopredeter"/>
    <w:link w:val="Textonotapie"/>
    <w:uiPriority w:val="99"/>
    <w:semiHidden/>
    <w:rsid w:val="00F5267B"/>
    <w:rPr>
      <w:sz w:val="20"/>
      <w:szCs w:val="20"/>
    </w:rPr>
  </w:style>
  <w:style w:type="character" w:styleId="Refdenotaalpie">
    <w:name w:val="footnote reference"/>
    <w:basedOn w:val="Fuentedeprrafopredeter"/>
    <w:uiPriority w:val="99"/>
    <w:semiHidden/>
    <w:unhideWhenUsed/>
    <w:rsid w:val="00F5267B"/>
    <w:rPr>
      <w:vertAlign w:val="superscript"/>
    </w:rPr>
  </w:style>
  <w:style w:type="paragraph" w:styleId="Ttulo">
    <w:name w:val="Title"/>
    <w:basedOn w:val="Normal"/>
    <w:link w:val="TtuloCar"/>
    <w:qFormat/>
    <w:rsid w:val="00F5267B"/>
    <w:pPr>
      <w:widowControl w:val="0"/>
      <w:autoSpaceDE w:val="0"/>
      <w:autoSpaceDN w:val="0"/>
      <w:adjustRightInd w:val="0"/>
      <w:spacing w:line="240" w:lineRule="auto"/>
      <w:jc w:val="center"/>
    </w:pPr>
    <w:rPr>
      <w:rFonts w:ascii="Roman 12cpi" w:eastAsia="Times New Roman" w:hAnsi="Roman 12cpi" w:cs="Times New Roman"/>
      <w:b/>
      <w:bCs/>
      <w:sz w:val="20"/>
      <w:szCs w:val="20"/>
      <w:lang w:val="es-ES" w:eastAsia="es-ES"/>
    </w:rPr>
  </w:style>
  <w:style w:type="character" w:customStyle="1" w:styleId="TtuloCar">
    <w:name w:val="Título Car"/>
    <w:basedOn w:val="Fuentedeprrafopredeter"/>
    <w:link w:val="Ttulo"/>
    <w:rsid w:val="00F5267B"/>
    <w:rPr>
      <w:rFonts w:ascii="Roman 12cpi" w:eastAsia="Times New Roman" w:hAnsi="Roman 12cpi" w:cs="Times New Roman"/>
      <w:b/>
      <w:bCs/>
      <w:sz w:val="20"/>
      <w:szCs w:val="20"/>
      <w:lang w:val="es-ES" w:eastAsia="es-ES"/>
    </w:rPr>
  </w:style>
  <w:style w:type="character" w:styleId="Hipervnculo">
    <w:name w:val="Hyperlink"/>
    <w:basedOn w:val="Fuentedeprrafopredeter"/>
    <w:uiPriority w:val="99"/>
    <w:unhideWhenUsed/>
    <w:rsid w:val="00AA700D"/>
    <w:rPr>
      <w:color w:val="0563C1" w:themeColor="hyperlink"/>
      <w:u w:val="single"/>
    </w:rPr>
  </w:style>
  <w:style w:type="character" w:customStyle="1" w:styleId="UnresolvedMention">
    <w:name w:val="Unresolved Mention"/>
    <w:basedOn w:val="Fuentedeprrafopredeter"/>
    <w:uiPriority w:val="99"/>
    <w:semiHidden/>
    <w:unhideWhenUsed/>
    <w:rsid w:val="00AA700D"/>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93A5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3A5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93A57"/>
    <w:rPr>
      <w:b/>
      <w:bCs/>
    </w:rPr>
  </w:style>
  <w:style w:type="character" w:customStyle="1" w:styleId="AsuntodelcomentarioCar">
    <w:name w:val="Asunto del comentario Car"/>
    <w:basedOn w:val="TextocomentarioCar"/>
    <w:link w:val="Asuntodelcomentario"/>
    <w:uiPriority w:val="99"/>
    <w:semiHidden/>
    <w:rsid w:val="00493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6f916aa63bbe4a22"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evdesk.es/glosario/ratio-de-solv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1642-C3A3-45E8-98CE-AAA61DF2B8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28A60D-F0A3-45DD-BF3C-3D83B1F7171F}">
  <ds:schemaRefs>
    <ds:schemaRef ds:uri="http://schemas.microsoft.com/sharepoint/v3/contenttype/forms"/>
  </ds:schemaRefs>
</ds:datastoreItem>
</file>

<file path=customXml/itemProps3.xml><?xml version="1.0" encoding="utf-8"?>
<ds:datastoreItem xmlns:ds="http://schemas.openxmlformats.org/officeDocument/2006/customXml" ds:itemID="{EFD8D282-38B5-4E93-A034-37C045CE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75B55-630D-49D8-83C5-9183613D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2969</Words>
  <Characters>16332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ALONSO</cp:lastModifiedBy>
  <cp:revision>11</cp:revision>
  <dcterms:created xsi:type="dcterms:W3CDTF">2020-11-12T17:01:00Z</dcterms:created>
  <dcterms:modified xsi:type="dcterms:W3CDTF">2021-01-12T16:39:00Z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