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BABA2" w14:textId="77777777" w:rsidR="00B82BBC" w:rsidRPr="00B82BBC" w:rsidRDefault="00B82BBC" w:rsidP="00B82BB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B82BB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B82BBC">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09D43AE6" w14:textId="77777777" w:rsidR="00B82BBC" w:rsidRPr="00B82BBC" w:rsidRDefault="00B82BBC" w:rsidP="00B82BBC">
      <w:pPr>
        <w:spacing w:line="240" w:lineRule="auto"/>
        <w:ind w:firstLine="0"/>
        <w:rPr>
          <w:rFonts w:ascii="Arial" w:eastAsia="Times New Roman" w:hAnsi="Arial" w:cs="Arial"/>
          <w:sz w:val="20"/>
          <w:szCs w:val="20"/>
          <w:lang w:val="es-419" w:eastAsia="es-ES"/>
        </w:rPr>
      </w:pPr>
    </w:p>
    <w:p w14:paraId="7B40C569" w14:textId="77777777" w:rsidR="00B82BBC" w:rsidRPr="00B82BBC" w:rsidRDefault="00B82BBC" w:rsidP="00B82BBC">
      <w:pPr>
        <w:spacing w:line="240" w:lineRule="auto"/>
        <w:ind w:firstLine="0"/>
        <w:rPr>
          <w:rFonts w:ascii="Arial" w:eastAsia="Times New Roman" w:hAnsi="Arial" w:cs="Arial"/>
          <w:sz w:val="20"/>
          <w:szCs w:val="20"/>
          <w:lang w:val="es-419" w:eastAsia="es-ES"/>
        </w:rPr>
      </w:pPr>
      <w:r w:rsidRPr="00B82BBC">
        <w:rPr>
          <w:rFonts w:ascii="Arial" w:eastAsia="Times New Roman" w:hAnsi="Arial" w:cs="Arial"/>
          <w:sz w:val="20"/>
          <w:szCs w:val="20"/>
          <w:lang w:val="es-419" w:eastAsia="es-ES"/>
        </w:rPr>
        <w:t xml:space="preserve">Providencia: </w:t>
      </w:r>
      <w:r w:rsidRPr="00B82BBC">
        <w:rPr>
          <w:rFonts w:ascii="Arial" w:eastAsia="Times New Roman" w:hAnsi="Arial" w:cs="Arial"/>
          <w:sz w:val="20"/>
          <w:szCs w:val="20"/>
          <w:lang w:val="es-419" w:eastAsia="es-ES"/>
        </w:rPr>
        <w:tab/>
      </w:r>
      <w:r w:rsidRPr="00B82BBC">
        <w:rPr>
          <w:rFonts w:ascii="Arial" w:eastAsia="Times New Roman" w:hAnsi="Arial" w:cs="Arial"/>
          <w:sz w:val="20"/>
          <w:szCs w:val="20"/>
          <w:lang w:val="es-419" w:eastAsia="es-ES"/>
        </w:rPr>
        <w:tab/>
        <w:t>Sentencia del 30 de noviembre de 2020</w:t>
      </w:r>
    </w:p>
    <w:p w14:paraId="7EE253B6" w14:textId="77777777" w:rsidR="00B82BBC" w:rsidRPr="00B82BBC" w:rsidRDefault="00B82BBC" w:rsidP="00B82BBC">
      <w:pPr>
        <w:spacing w:line="240" w:lineRule="auto"/>
        <w:ind w:firstLine="0"/>
        <w:rPr>
          <w:rFonts w:ascii="Arial" w:eastAsia="Times New Roman" w:hAnsi="Arial" w:cs="Arial"/>
          <w:sz w:val="20"/>
          <w:szCs w:val="20"/>
          <w:lang w:val="es-419" w:eastAsia="es-ES"/>
        </w:rPr>
      </w:pPr>
      <w:r w:rsidRPr="00B82BBC">
        <w:rPr>
          <w:rFonts w:ascii="Arial" w:eastAsia="Times New Roman" w:hAnsi="Arial" w:cs="Arial"/>
          <w:sz w:val="20"/>
          <w:szCs w:val="20"/>
          <w:lang w:val="es-419" w:eastAsia="es-ES"/>
        </w:rPr>
        <w:t xml:space="preserve">Radicación No.: </w:t>
      </w:r>
      <w:r w:rsidRPr="00B82BBC">
        <w:rPr>
          <w:rFonts w:ascii="Arial" w:eastAsia="Times New Roman" w:hAnsi="Arial" w:cs="Arial"/>
          <w:sz w:val="20"/>
          <w:szCs w:val="20"/>
          <w:lang w:val="es-419" w:eastAsia="es-ES"/>
        </w:rPr>
        <w:tab/>
        <w:t>66001-31-05-005-2018-00227-01</w:t>
      </w:r>
    </w:p>
    <w:p w14:paraId="4BB27603" w14:textId="3BAEC671" w:rsidR="00B82BBC" w:rsidRPr="00B82BBC" w:rsidRDefault="00B82BBC" w:rsidP="00B82BB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18662589" w14:textId="687E8E84" w:rsidR="00B82BBC" w:rsidRPr="00B82BBC" w:rsidRDefault="00B82BBC" w:rsidP="00B82BBC">
      <w:pPr>
        <w:spacing w:line="240" w:lineRule="auto"/>
        <w:ind w:firstLine="0"/>
        <w:rPr>
          <w:rFonts w:ascii="Arial" w:eastAsia="Times New Roman" w:hAnsi="Arial" w:cs="Arial"/>
          <w:sz w:val="20"/>
          <w:szCs w:val="20"/>
          <w:lang w:val="es-419" w:eastAsia="es-ES"/>
        </w:rPr>
      </w:pPr>
      <w:r w:rsidRPr="00B82BBC">
        <w:rPr>
          <w:rFonts w:ascii="Arial" w:eastAsia="Times New Roman" w:hAnsi="Arial" w:cs="Arial"/>
          <w:sz w:val="20"/>
          <w:szCs w:val="20"/>
          <w:lang w:val="es-419" w:eastAsia="es-ES"/>
        </w:rPr>
        <w:t>De</w:t>
      </w:r>
      <w:r>
        <w:rPr>
          <w:rFonts w:ascii="Arial" w:eastAsia="Times New Roman" w:hAnsi="Arial" w:cs="Arial"/>
          <w:sz w:val="20"/>
          <w:szCs w:val="20"/>
          <w:lang w:val="es-419" w:eastAsia="es-ES"/>
        </w:rPr>
        <w:t xml:space="preserve">mandante: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Hayde Castro Largo</w:t>
      </w:r>
    </w:p>
    <w:p w14:paraId="21BAC772" w14:textId="77777777" w:rsidR="00B82BBC" w:rsidRPr="00B82BBC" w:rsidRDefault="00B82BBC" w:rsidP="00B82BBC">
      <w:pPr>
        <w:spacing w:line="240" w:lineRule="auto"/>
        <w:ind w:firstLine="0"/>
        <w:rPr>
          <w:rFonts w:ascii="Arial" w:eastAsia="Times New Roman" w:hAnsi="Arial" w:cs="Arial"/>
          <w:sz w:val="20"/>
          <w:szCs w:val="20"/>
          <w:lang w:val="es-419" w:eastAsia="es-ES"/>
        </w:rPr>
      </w:pPr>
      <w:r w:rsidRPr="00B82BBC">
        <w:rPr>
          <w:rFonts w:ascii="Arial" w:eastAsia="Times New Roman" w:hAnsi="Arial" w:cs="Arial"/>
          <w:sz w:val="20"/>
          <w:szCs w:val="20"/>
          <w:lang w:val="es-419" w:eastAsia="es-ES"/>
        </w:rPr>
        <w:t xml:space="preserve">Demandado: </w:t>
      </w:r>
      <w:r w:rsidRPr="00B82BBC">
        <w:rPr>
          <w:rFonts w:ascii="Arial" w:eastAsia="Times New Roman" w:hAnsi="Arial" w:cs="Arial"/>
          <w:sz w:val="20"/>
          <w:szCs w:val="20"/>
          <w:lang w:val="es-419" w:eastAsia="es-ES"/>
        </w:rPr>
        <w:tab/>
      </w:r>
      <w:r w:rsidRPr="00B82BBC">
        <w:rPr>
          <w:rFonts w:ascii="Arial" w:eastAsia="Times New Roman" w:hAnsi="Arial" w:cs="Arial"/>
          <w:sz w:val="20"/>
          <w:szCs w:val="20"/>
          <w:lang w:val="es-419" w:eastAsia="es-ES"/>
        </w:rPr>
        <w:tab/>
        <w:t>Colpensiones</w:t>
      </w:r>
    </w:p>
    <w:p w14:paraId="2DE44340" w14:textId="15822F9E" w:rsidR="00B82BBC" w:rsidRPr="00B82BBC" w:rsidRDefault="00B82BBC" w:rsidP="00B82BBC">
      <w:pPr>
        <w:spacing w:line="240" w:lineRule="auto"/>
        <w:ind w:firstLine="0"/>
        <w:rPr>
          <w:rFonts w:ascii="Arial" w:eastAsia="Times New Roman" w:hAnsi="Arial" w:cs="Arial"/>
          <w:sz w:val="20"/>
          <w:szCs w:val="20"/>
          <w:lang w:val="es-419" w:eastAsia="es-ES"/>
        </w:rPr>
      </w:pPr>
      <w:r w:rsidRPr="00B82BBC">
        <w:rPr>
          <w:rFonts w:ascii="Arial" w:eastAsia="Times New Roman" w:hAnsi="Arial" w:cs="Arial"/>
          <w:sz w:val="20"/>
          <w:szCs w:val="20"/>
          <w:lang w:val="es-419" w:eastAsia="es-ES"/>
        </w:rPr>
        <w:t xml:space="preserve">Juzgado: </w:t>
      </w:r>
      <w:r w:rsidRPr="00B82BBC">
        <w:rPr>
          <w:rFonts w:ascii="Arial" w:eastAsia="Times New Roman" w:hAnsi="Arial" w:cs="Arial"/>
          <w:sz w:val="20"/>
          <w:szCs w:val="20"/>
          <w:lang w:val="es-419" w:eastAsia="es-ES"/>
        </w:rPr>
        <w:tab/>
      </w:r>
      <w:r w:rsidRPr="00B82BBC">
        <w:rPr>
          <w:rFonts w:ascii="Arial" w:eastAsia="Times New Roman" w:hAnsi="Arial" w:cs="Arial"/>
          <w:sz w:val="20"/>
          <w:szCs w:val="20"/>
          <w:lang w:val="es-419" w:eastAsia="es-ES"/>
        </w:rPr>
        <w:tab/>
        <w:t>Quinto Laboral del Circuito de Pereira</w:t>
      </w:r>
    </w:p>
    <w:p w14:paraId="28F4C2D9" w14:textId="77777777" w:rsidR="00B82BBC" w:rsidRPr="00B82BBC" w:rsidRDefault="00B82BBC" w:rsidP="00B82BBC">
      <w:pPr>
        <w:spacing w:line="240" w:lineRule="auto"/>
        <w:ind w:firstLine="0"/>
        <w:rPr>
          <w:rFonts w:ascii="Arial" w:eastAsia="Times New Roman" w:hAnsi="Arial" w:cs="Arial"/>
          <w:sz w:val="20"/>
          <w:szCs w:val="20"/>
          <w:lang w:val="es-419" w:eastAsia="es-ES"/>
        </w:rPr>
      </w:pPr>
    </w:p>
    <w:p w14:paraId="50E3B514" w14:textId="0309DBEF" w:rsidR="00B82BBC" w:rsidRPr="00B82BBC" w:rsidRDefault="00B82BBC" w:rsidP="00B82BBC">
      <w:pPr>
        <w:spacing w:line="240" w:lineRule="auto"/>
        <w:ind w:firstLine="0"/>
        <w:rPr>
          <w:rFonts w:ascii="Arial" w:eastAsia="Times New Roman" w:hAnsi="Arial" w:cs="Arial"/>
          <w:b/>
          <w:bCs/>
          <w:iCs/>
          <w:sz w:val="20"/>
          <w:szCs w:val="20"/>
          <w:lang w:val="es-419" w:eastAsia="fr-FR"/>
        </w:rPr>
      </w:pPr>
      <w:r w:rsidRPr="00B82BBC">
        <w:rPr>
          <w:rFonts w:ascii="Arial" w:eastAsia="Times New Roman" w:hAnsi="Arial" w:cs="Arial"/>
          <w:b/>
          <w:bCs/>
          <w:iCs/>
          <w:sz w:val="20"/>
          <w:szCs w:val="20"/>
          <w:u w:val="single"/>
          <w:lang w:val="es-419" w:eastAsia="fr-FR"/>
        </w:rPr>
        <w:t>TEMAS:</w:t>
      </w:r>
      <w:r w:rsidRPr="00B82BBC">
        <w:rPr>
          <w:rFonts w:ascii="Arial" w:eastAsia="Times New Roman" w:hAnsi="Arial" w:cs="Arial"/>
          <w:b/>
          <w:bCs/>
          <w:iCs/>
          <w:sz w:val="20"/>
          <w:szCs w:val="20"/>
          <w:lang w:val="es-419" w:eastAsia="fr-FR"/>
        </w:rPr>
        <w:tab/>
      </w:r>
      <w:r w:rsidR="005E4FE9">
        <w:rPr>
          <w:rFonts w:ascii="Arial" w:eastAsia="Times New Roman" w:hAnsi="Arial" w:cs="Arial"/>
          <w:b/>
          <w:bCs/>
          <w:iCs/>
          <w:sz w:val="20"/>
          <w:szCs w:val="20"/>
          <w:lang w:val="es-419" w:eastAsia="fr-FR"/>
        </w:rPr>
        <w:t xml:space="preserve">PENSIÓN DE INVALIDEZ / REQUISITOS / </w:t>
      </w:r>
      <w:r w:rsidR="005E4FE9">
        <w:rPr>
          <w:rFonts w:ascii="Arial" w:eastAsia="Times New Roman" w:hAnsi="Arial" w:cs="Arial"/>
          <w:b/>
          <w:sz w:val="20"/>
          <w:szCs w:val="20"/>
          <w:lang w:val="es-419" w:eastAsia="es-ES"/>
        </w:rPr>
        <w:t>DENSIDAD DE COTIZACIONES</w:t>
      </w:r>
      <w:r w:rsidRPr="00B82BBC">
        <w:rPr>
          <w:rFonts w:ascii="Arial" w:eastAsia="Times New Roman" w:hAnsi="Arial" w:cs="Arial"/>
          <w:b/>
          <w:bCs/>
          <w:iCs/>
          <w:sz w:val="20"/>
          <w:szCs w:val="20"/>
          <w:lang w:val="es-419" w:eastAsia="fr-FR"/>
        </w:rPr>
        <w:t xml:space="preserve"> / </w:t>
      </w:r>
      <w:r w:rsidR="005E4FE9">
        <w:rPr>
          <w:rFonts w:ascii="Arial" w:eastAsia="Times New Roman" w:hAnsi="Arial" w:cs="Arial"/>
          <w:b/>
          <w:bCs/>
          <w:iCs/>
          <w:sz w:val="20"/>
          <w:szCs w:val="20"/>
          <w:lang w:val="es-419" w:eastAsia="fr-FR"/>
        </w:rPr>
        <w:t xml:space="preserve">DEBE ACREDITARSE ANTES DE FECHA DE ESTRUCTURACIÒN / MODIFICACIÓN ANTE ENFERMEDADES CRÓNICAS, DEGENERATIVAS O CONGÉNITAS </w:t>
      </w:r>
      <w:bookmarkStart w:id="0" w:name="_GoBack"/>
      <w:bookmarkEnd w:id="0"/>
      <w:r w:rsidR="005E4FE9">
        <w:rPr>
          <w:rFonts w:ascii="Arial" w:eastAsia="Times New Roman" w:hAnsi="Arial" w:cs="Arial"/>
          <w:b/>
          <w:bCs/>
          <w:iCs/>
          <w:sz w:val="20"/>
          <w:szCs w:val="20"/>
          <w:lang w:val="es-419" w:eastAsia="fr-FR"/>
        </w:rPr>
        <w:t xml:space="preserve">/ CARGA PROBATORIA DEL DEMANDANTE / </w:t>
      </w:r>
      <w:r w:rsidR="00C252F0">
        <w:rPr>
          <w:rFonts w:ascii="Arial" w:eastAsia="Times New Roman" w:hAnsi="Arial" w:cs="Arial"/>
          <w:b/>
          <w:bCs/>
          <w:iCs/>
          <w:sz w:val="20"/>
          <w:szCs w:val="20"/>
          <w:lang w:val="es-419" w:eastAsia="fr-FR"/>
        </w:rPr>
        <w:t>LOS APORTES POSTERIORES DEBEN SER FRUTO DE UNA CAPACIDAD LABORAL RESIDUAL.</w:t>
      </w:r>
    </w:p>
    <w:p w14:paraId="4AA6AD96" w14:textId="77777777" w:rsidR="00B82BBC" w:rsidRPr="00B82BBC" w:rsidRDefault="00B82BBC" w:rsidP="00B82BBC">
      <w:pPr>
        <w:spacing w:line="240" w:lineRule="auto"/>
        <w:ind w:firstLine="0"/>
        <w:rPr>
          <w:rFonts w:ascii="Arial" w:eastAsia="Times New Roman" w:hAnsi="Arial" w:cs="Arial"/>
          <w:sz w:val="20"/>
          <w:szCs w:val="20"/>
          <w:lang w:val="es-419" w:eastAsia="es-ES"/>
        </w:rPr>
      </w:pPr>
    </w:p>
    <w:p w14:paraId="4DADED80" w14:textId="77777777" w:rsidR="005E4FE9" w:rsidRPr="005E4FE9" w:rsidRDefault="005E4FE9" w:rsidP="005E4FE9">
      <w:pPr>
        <w:spacing w:line="240" w:lineRule="auto"/>
        <w:ind w:firstLine="0"/>
        <w:rPr>
          <w:rFonts w:ascii="Arial" w:eastAsia="Times New Roman" w:hAnsi="Arial" w:cs="Arial"/>
          <w:sz w:val="20"/>
          <w:szCs w:val="20"/>
          <w:lang w:val="es-419" w:eastAsia="es-ES"/>
        </w:rPr>
      </w:pPr>
      <w:r w:rsidRPr="005E4FE9">
        <w:rPr>
          <w:rFonts w:ascii="Arial" w:eastAsia="Times New Roman" w:hAnsi="Arial" w:cs="Arial"/>
          <w:sz w:val="20"/>
          <w:szCs w:val="20"/>
          <w:lang w:val="es-419" w:eastAsia="es-ES"/>
        </w:rPr>
        <w:t>Frente a la acreditación de la densidad de cotizaciones exigida por el artículo 1º de la Ley 860 de 2003, la Sala de Casación Laboral de la Corte Suprema de Justicia en las sentencias SL9203-2017 y SL 16374-2015, reiteradas en la SL 11229 del 25 de julio de 2017, ha establecido que la misma debe acreditarse con anterioridad a la determinación de la pérdida de capacidad laboral, tal como lo han determinado las distintas normativas que han regulado el reconocimiento de la pensión de invalidez a lo largo del tiempo.</w:t>
      </w:r>
    </w:p>
    <w:p w14:paraId="247D27A3" w14:textId="77777777" w:rsidR="005E4FE9" w:rsidRPr="005E4FE9" w:rsidRDefault="005E4FE9" w:rsidP="005E4FE9">
      <w:pPr>
        <w:spacing w:line="240" w:lineRule="auto"/>
        <w:ind w:firstLine="0"/>
        <w:rPr>
          <w:rFonts w:ascii="Arial" w:eastAsia="Times New Roman" w:hAnsi="Arial" w:cs="Arial"/>
          <w:sz w:val="20"/>
          <w:szCs w:val="20"/>
          <w:lang w:val="es-419" w:eastAsia="es-ES"/>
        </w:rPr>
      </w:pPr>
    </w:p>
    <w:p w14:paraId="70664D69" w14:textId="77777777" w:rsidR="005E4FE9" w:rsidRPr="005E4FE9" w:rsidRDefault="005E4FE9" w:rsidP="005E4FE9">
      <w:pPr>
        <w:spacing w:line="240" w:lineRule="auto"/>
        <w:ind w:firstLine="0"/>
        <w:rPr>
          <w:rFonts w:ascii="Arial" w:eastAsia="Times New Roman" w:hAnsi="Arial" w:cs="Arial"/>
          <w:sz w:val="20"/>
          <w:szCs w:val="20"/>
          <w:lang w:val="es-419" w:eastAsia="es-ES"/>
        </w:rPr>
      </w:pPr>
      <w:r w:rsidRPr="005E4FE9">
        <w:rPr>
          <w:rFonts w:ascii="Arial" w:eastAsia="Times New Roman" w:hAnsi="Arial" w:cs="Arial"/>
          <w:sz w:val="20"/>
          <w:szCs w:val="20"/>
          <w:lang w:val="es-419" w:eastAsia="es-ES"/>
        </w:rPr>
        <w:t>Pese a lo anterior, ha aceptado el alto tribunal la postura establecida por la Corte Constitucional en la sentencia SU-588 de 2016, consistente en que una vez acreditada la existencia de una enfermedad crónica, degenerativa o congénita, así como de aportes fruto de la capacidad laboral residual,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w:t>
      </w:r>
    </w:p>
    <w:p w14:paraId="1FB4B400" w14:textId="77777777" w:rsidR="005E4FE9" w:rsidRPr="005E4FE9" w:rsidRDefault="005E4FE9" w:rsidP="005E4FE9">
      <w:pPr>
        <w:spacing w:line="240" w:lineRule="auto"/>
        <w:ind w:firstLine="0"/>
        <w:rPr>
          <w:rFonts w:ascii="Arial" w:eastAsia="Times New Roman" w:hAnsi="Arial" w:cs="Arial"/>
          <w:sz w:val="20"/>
          <w:szCs w:val="20"/>
          <w:lang w:val="es-419" w:eastAsia="es-ES"/>
        </w:rPr>
      </w:pPr>
    </w:p>
    <w:p w14:paraId="775E2DDA" w14:textId="737056FE" w:rsidR="00B82BBC" w:rsidRPr="00B82BBC" w:rsidRDefault="005E4FE9" w:rsidP="005E4FE9">
      <w:pPr>
        <w:spacing w:line="240" w:lineRule="auto"/>
        <w:ind w:firstLine="0"/>
        <w:rPr>
          <w:rFonts w:ascii="Arial" w:eastAsia="Times New Roman" w:hAnsi="Arial" w:cs="Arial"/>
          <w:sz w:val="20"/>
          <w:szCs w:val="20"/>
          <w:lang w:val="es-419" w:eastAsia="es-ES"/>
        </w:rPr>
      </w:pPr>
      <w:r w:rsidRPr="005E4FE9">
        <w:rPr>
          <w:rFonts w:ascii="Arial" w:eastAsia="Times New Roman" w:hAnsi="Arial" w:cs="Arial"/>
          <w:sz w:val="20"/>
          <w:szCs w:val="20"/>
          <w:lang w:val="es-419" w:eastAsia="es-ES"/>
        </w:rPr>
        <w:t>Ahora bien, es evidente que recae en la parte actora la carga de probar los anteriores presupuestos para beneficiarse del precedente de la Corte Constitucional, habida consideración que toda decisión debe estar fundada en la prueba regular y oportunamente allegada al proceso</w:t>
      </w:r>
      <w:r>
        <w:rPr>
          <w:rFonts w:ascii="Arial" w:eastAsia="Times New Roman" w:hAnsi="Arial" w:cs="Arial"/>
          <w:sz w:val="20"/>
          <w:szCs w:val="20"/>
          <w:lang w:val="es-419" w:eastAsia="es-ES"/>
        </w:rPr>
        <w:t>…</w:t>
      </w:r>
    </w:p>
    <w:p w14:paraId="731206A5" w14:textId="77777777" w:rsidR="00B82BBC" w:rsidRPr="00B82BBC" w:rsidRDefault="00B82BBC" w:rsidP="00B82BBC">
      <w:pPr>
        <w:spacing w:line="240" w:lineRule="auto"/>
        <w:ind w:firstLine="0"/>
        <w:rPr>
          <w:rFonts w:ascii="Arial" w:eastAsia="Times New Roman" w:hAnsi="Arial" w:cs="Arial"/>
          <w:sz w:val="20"/>
          <w:szCs w:val="20"/>
          <w:lang w:val="es-419" w:eastAsia="es-ES"/>
        </w:rPr>
      </w:pPr>
    </w:p>
    <w:p w14:paraId="1595CAED" w14:textId="77777777" w:rsidR="00B82BBC" w:rsidRPr="00B82BBC" w:rsidRDefault="00B82BBC" w:rsidP="00B82BBC">
      <w:pPr>
        <w:spacing w:line="240" w:lineRule="auto"/>
        <w:ind w:firstLine="0"/>
        <w:rPr>
          <w:rFonts w:ascii="Arial" w:eastAsia="Times New Roman" w:hAnsi="Arial" w:cs="Arial"/>
          <w:sz w:val="20"/>
          <w:szCs w:val="20"/>
          <w:lang w:val="es-419" w:eastAsia="es-ES"/>
        </w:rPr>
      </w:pPr>
    </w:p>
    <w:p w14:paraId="589BF51D" w14:textId="77777777" w:rsidR="00B82BBC" w:rsidRPr="00B82BBC" w:rsidRDefault="00B82BBC" w:rsidP="00B82BBC">
      <w:pPr>
        <w:spacing w:line="240" w:lineRule="auto"/>
        <w:ind w:firstLine="0"/>
        <w:rPr>
          <w:rFonts w:ascii="Arial" w:eastAsia="Times New Roman" w:hAnsi="Arial" w:cs="Arial"/>
          <w:sz w:val="20"/>
          <w:szCs w:val="20"/>
          <w:lang w:eastAsia="es-ES"/>
        </w:rPr>
      </w:pPr>
    </w:p>
    <w:p w14:paraId="29F0BA84" w14:textId="77777777" w:rsidR="00A31306" w:rsidRPr="00B82BBC" w:rsidRDefault="00A31306" w:rsidP="00B82BBC">
      <w:pPr>
        <w:pStyle w:val="Ttulo4"/>
        <w:widowControl w:val="0"/>
        <w:tabs>
          <w:tab w:val="clear" w:pos="0"/>
        </w:tabs>
        <w:spacing w:line="276" w:lineRule="auto"/>
        <w:rPr>
          <w:rFonts w:ascii="Tahoma" w:hAnsi="Tahoma" w:cs="Tahoma"/>
          <w:bCs/>
          <w:szCs w:val="24"/>
          <w:lang w:eastAsia="es-MX"/>
        </w:rPr>
      </w:pPr>
      <w:r w:rsidRPr="00B82BBC">
        <w:rPr>
          <w:rFonts w:ascii="Tahoma" w:hAnsi="Tahoma" w:cs="Tahoma"/>
          <w:bCs/>
          <w:szCs w:val="24"/>
          <w:lang w:eastAsia="es-MX"/>
        </w:rPr>
        <w:t>TRIBUNAL SUPERIOR DEL DISTRITO JUDICIAL DE PEREIRA</w:t>
      </w:r>
    </w:p>
    <w:p w14:paraId="13302615" w14:textId="77777777" w:rsidR="00A31306" w:rsidRPr="00B82BBC" w:rsidRDefault="00A31306" w:rsidP="00B82BBC">
      <w:pPr>
        <w:pStyle w:val="Ttulo4"/>
        <w:widowControl w:val="0"/>
        <w:tabs>
          <w:tab w:val="clear" w:pos="0"/>
        </w:tabs>
        <w:spacing w:line="276" w:lineRule="auto"/>
        <w:rPr>
          <w:rFonts w:ascii="Tahoma" w:hAnsi="Tahoma" w:cs="Tahoma"/>
          <w:bCs/>
          <w:szCs w:val="24"/>
          <w:lang w:eastAsia="es-MX"/>
        </w:rPr>
      </w:pPr>
      <w:r w:rsidRPr="00B82BBC">
        <w:rPr>
          <w:rFonts w:ascii="Tahoma" w:hAnsi="Tahoma" w:cs="Tahoma"/>
          <w:bCs/>
          <w:szCs w:val="24"/>
          <w:lang w:eastAsia="es-MX"/>
        </w:rPr>
        <w:t>SALA PRIMERA DE DECISION LABORAL</w:t>
      </w:r>
    </w:p>
    <w:p w14:paraId="3931BC16" w14:textId="77777777" w:rsidR="00A31306" w:rsidRPr="00B82BBC" w:rsidRDefault="00A31306" w:rsidP="00B82BBC">
      <w:pPr>
        <w:spacing w:line="276" w:lineRule="auto"/>
        <w:jc w:val="center"/>
        <w:rPr>
          <w:rFonts w:ascii="Tahoma" w:hAnsi="Tahoma" w:cs="Tahoma"/>
          <w:bCs/>
          <w:sz w:val="24"/>
          <w:szCs w:val="24"/>
        </w:rPr>
      </w:pPr>
    </w:p>
    <w:p w14:paraId="44096445" w14:textId="77777777" w:rsidR="00A31306" w:rsidRPr="00B82BBC" w:rsidRDefault="00A31306" w:rsidP="00B82BBC">
      <w:pPr>
        <w:spacing w:line="276" w:lineRule="auto"/>
        <w:ind w:firstLine="0"/>
        <w:jc w:val="center"/>
        <w:textAlignment w:val="baseline"/>
        <w:rPr>
          <w:rFonts w:ascii="Tahoma" w:eastAsia="Times New Roman" w:hAnsi="Tahoma" w:cs="Tahoma"/>
          <w:sz w:val="24"/>
          <w:szCs w:val="24"/>
          <w:lang w:val="es-CO" w:eastAsia="es-CO"/>
        </w:rPr>
      </w:pPr>
      <w:r w:rsidRPr="00B82BBC">
        <w:rPr>
          <w:rFonts w:ascii="Tahoma" w:eastAsia="Times New Roman" w:hAnsi="Tahoma" w:cs="Tahoma"/>
          <w:sz w:val="24"/>
          <w:szCs w:val="24"/>
          <w:lang w:eastAsia="es-CO"/>
        </w:rPr>
        <w:t>Magistrada Ponente: </w:t>
      </w:r>
      <w:r w:rsidRPr="00B82BBC">
        <w:rPr>
          <w:rFonts w:ascii="Tahoma" w:eastAsia="Times New Roman" w:hAnsi="Tahoma" w:cs="Tahoma"/>
          <w:b/>
          <w:bCs/>
          <w:sz w:val="24"/>
          <w:szCs w:val="24"/>
          <w:lang w:eastAsia="es-CO"/>
        </w:rPr>
        <w:t>Ana Lucía Caicedo Calderón</w:t>
      </w:r>
      <w:r w:rsidRPr="00B82BBC">
        <w:rPr>
          <w:rFonts w:ascii="Tahoma" w:eastAsia="Times New Roman" w:hAnsi="Tahoma" w:cs="Tahoma"/>
          <w:sz w:val="24"/>
          <w:szCs w:val="24"/>
          <w:lang w:val="es-CO" w:eastAsia="es-CO"/>
        </w:rPr>
        <w:t> </w:t>
      </w:r>
    </w:p>
    <w:p w14:paraId="37588176" w14:textId="77777777" w:rsidR="00A31306" w:rsidRPr="00B82BBC" w:rsidRDefault="00A31306" w:rsidP="00B82BBC">
      <w:pPr>
        <w:spacing w:line="276" w:lineRule="auto"/>
        <w:ind w:firstLine="0"/>
        <w:jc w:val="center"/>
        <w:textAlignment w:val="baseline"/>
        <w:rPr>
          <w:rFonts w:ascii="Tahoma" w:eastAsia="Times New Roman" w:hAnsi="Tahoma" w:cs="Tahoma"/>
          <w:sz w:val="24"/>
          <w:szCs w:val="24"/>
          <w:lang w:val="es-CO" w:eastAsia="es-CO"/>
        </w:rPr>
      </w:pPr>
      <w:r w:rsidRPr="00B82BBC">
        <w:rPr>
          <w:rFonts w:ascii="Tahoma" w:eastAsia="Times New Roman" w:hAnsi="Tahoma" w:cs="Tahoma"/>
          <w:sz w:val="24"/>
          <w:szCs w:val="24"/>
          <w:lang w:val="es-CO" w:eastAsia="es-CO"/>
        </w:rPr>
        <w:t> </w:t>
      </w:r>
    </w:p>
    <w:p w14:paraId="596B4FE7" w14:textId="1AA55DEC" w:rsidR="00A31306" w:rsidRPr="00B82BBC" w:rsidRDefault="00A31306" w:rsidP="00B82BBC">
      <w:pPr>
        <w:spacing w:line="276" w:lineRule="auto"/>
        <w:ind w:firstLine="0"/>
        <w:jc w:val="center"/>
        <w:textAlignment w:val="baseline"/>
        <w:rPr>
          <w:rFonts w:ascii="Tahoma" w:eastAsia="Times New Roman" w:hAnsi="Tahoma" w:cs="Tahoma"/>
          <w:sz w:val="24"/>
          <w:szCs w:val="24"/>
          <w:lang w:val="es-CO" w:eastAsia="es-CO"/>
        </w:rPr>
      </w:pPr>
      <w:r w:rsidRPr="00B82BBC">
        <w:rPr>
          <w:rFonts w:ascii="Tahoma" w:eastAsia="Times New Roman" w:hAnsi="Tahoma" w:cs="Tahoma"/>
          <w:sz w:val="24"/>
          <w:szCs w:val="24"/>
          <w:lang w:val="es-CO" w:eastAsia="es-CO"/>
        </w:rPr>
        <w:t>Pereira, Risaralda,</w:t>
      </w:r>
      <w:r w:rsidR="00B82BBC" w:rsidRPr="00B82BBC">
        <w:rPr>
          <w:rFonts w:ascii="Tahoma" w:eastAsia="Times New Roman" w:hAnsi="Tahoma" w:cs="Tahoma"/>
          <w:sz w:val="24"/>
          <w:szCs w:val="24"/>
          <w:lang w:val="es-CO" w:eastAsia="es-CO"/>
        </w:rPr>
        <w:t xml:space="preserve"> </w:t>
      </w:r>
      <w:r w:rsidRPr="00B82BBC">
        <w:rPr>
          <w:rFonts w:ascii="Tahoma" w:eastAsia="Times New Roman" w:hAnsi="Tahoma" w:cs="Tahoma"/>
          <w:sz w:val="24"/>
          <w:szCs w:val="24"/>
          <w:lang w:val="es-CO" w:eastAsia="es-CO"/>
        </w:rPr>
        <w:t>noviembre tre</w:t>
      </w:r>
      <w:r w:rsidR="00324DDD" w:rsidRPr="00B82BBC">
        <w:rPr>
          <w:rFonts w:ascii="Tahoma" w:eastAsia="Times New Roman" w:hAnsi="Tahoma" w:cs="Tahoma"/>
          <w:sz w:val="24"/>
          <w:szCs w:val="24"/>
          <w:lang w:val="es-CO" w:eastAsia="es-CO"/>
        </w:rPr>
        <w:t xml:space="preserve">inta </w:t>
      </w:r>
      <w:r w:rsidRPr="00B82BBC">
        <w:rPr>
          <w:rFonts w:ascii="Tahoma" w:eastAsia="Times New Roman" w:hAnsi="Tahoma" w:cs="Tahoma"/>
          <w:sz w:val="24"/>
          <w:szCs w:val="24"/>
          <w:lang w:val="es-CO" w:eastAsia="es-CO"/>
        </w:rPr>
        <w:t>(3</w:t>
      </w:r>
      <w:r w:rsidR="00324DDD" w:rsidRPr="00B82BBC">
        <w:rPr>
          <w:rFonts w:ascii="Tahoma" w:eastAsia="Times New Roman" w:hAnsi="Tahoma" w:cs="Tahoma"/>
          <w:sz w:val="24"/>
          <w:szCs w:val="24"/>
          <w:lang w:val="es-CO" w:eastAsia="es-CO"/>
        </w:rPr>
        <w:t>0</w:t>
      </w:r>
      <w:r w:rsidRPr="00B82BBC">
        <w:rPr>
          <w:rFonts w:ascii="Tahoma" w:eastAsia="Times New Roman" w:hAnsi="Tahoma" w:cs="Tahoma"/>
          <w:sz w:val="24"/>
          <w:szCs w:val="24"/>
          <w:lang w:val="es-CO" w:eastAsia="es-CO"/>
        </w:rPr>
        <w:t>)</w:t>
      </w:r>
      <w:r w:rsidR="005E4FE9">
        <w:rPr>
          <w:rFonts w:ascii="Tahoma" w:eastAsia="Times New Roman" w:hAnsi="Tahoma" w:cs="Tahoma"/>
          <w:sz w:val="24"/>
          <w:szCs w:val="24"/>
          <w:lang w:val="es-CO" w:eastAsia="es-CO"/>
        </w:rPr>
        <w:t xml:space="preserve"> </w:t>
      </w:r>
      <w:r w:rsidRPr="00B82BBC">
        <w:rPr>
          <w:rFonts w:ascii="Tahoma" w:eastAsia="Times New Roman" w:hAnsi="Tahoma" w:cs="Tahoma"/>
          <w:sz w:val="24"/>
          <w:szCs w:val="24"/>
          <w:lang w:val="es-CO" w:eastAsia="es-CO"/>
        </w:rPr>
        <w:t>de dos mil veinte (2020</w:t>
      </w:r>
      <w:proofErr w:type="gramStart"/>
      <w:r w:rsidRPr="00B82BBC">
        <w:rPr>
          <w:rFonts w:ascii="Tahoma" w:eastAsia="Times New Roman" w:hAnsi="Tahoma" w:cs="Tahoma"/>
          <w:sz w:val="24"/>
          <w:szCs w:val="24"/>
          <w:lang w:val="es-CO" w:eastAsia="es-CO"/>
        </w:rPr>
        <w:t>) </w:t>
      </w:r>
      <w:proofErr w:type="gramEnd"/>
      <w:r w:rsidRPr="00B82BBC">
        <w:rPr>
          <w:rFonts w:ascii="Tahoma" w:eastAsia="Times New Roman" w:hAnsi="Tahoma" w:cs="Tahoma"/>
          <w:sz w:val="24"/>
          <w:szCs w:val="24"/>
          <w:lang w:val="es-CO" w:eastAsia="es-CO"/>
        </w:rPr>
        <w:t> </w:t>
      </w:r>
    </w:p>
    <w:p w14:paraId="04E52810" w14:textId="0039678E" w:rsidR="00A31306" w:rsidRPr="00B82BBC" w:rsidRDefault="00A31306" w:rsidP="00B82BBC">
      <w:pPr>
        <w:spacing w:line="276" w:lineRule="auto"/>
        <w:ind w:firstLine="0"/>
        <w:jc w:val="center"/>
        <w:textAlignment w:val="baseline"/>
        <w:rPr>
          <w:rFonts w:ascii="Tahoma" w:eastAsia="Times New Roman" w:hAnsi="Tahoma" w:cs="Tahoma"/>
          <w:sz w:val="24"/>
          <w:szCs w:val="24"/>
          <w:lang w:val="es-CO" w:eastAsia="es-CO"/>
        </w:rPr>
      </w:pPr>
      <w:r w:rsidRPr="00B82BBC">
        <w:rPr>
          <w:rFonts w:ascii="Tahoma" w:eastAsia="Times New Roman" w:hAnsi="Tahoma" w:cs="Tahoma"/>
          <w:sz w:val="24"/>
          <w:szCs w:val="24"/>
          <w:lang w:val="es-CO" w:eastAsia="es-CO"/>
        </w:rPr>
        <w:t xml:space="preserve">Acta No. ___ </w:t>
      </w:r>
      <w:proofErr w:type="gramStart"/>
      <w:r w:rsidRPr="00B82BBC">
        <w:rPr>
          <w:rFonts w:ascii="Tahoma" w:eastAsia="Times New Roman" w:hAnsi="Tahoma" w:cs="Tahoma"/>
          <w:sz w:val="24"/>
          <w:szCs w:val="24"/>
          <w:lang w:val="es-CO" w:eastAsia="es-CO"/>
        </w:rPr>
        <w:t>del</w:t>
      </w:r>
      <w:proofErr w:type="gramEnd"/>
      <w:r w:rsidRPr="00B82BBC">
        <w:rPr>
          <w:rFonts w:ascii="Tahoma" w:eastAsia="Times New Roman" w:hAnsi="Tahoma" w:cs="Tahoma"/>
          <w:sz w:val="24"/>
          <w:szCs w:val="24"/>
          <w:lang w:val="es-CO" w:eastAsia="es-CO"/>
        </w:rPr>
        <w:t xml:space="preserve"> 2</w:t>
      </w:r>
      <w:r w:rsidR="00324DDD" w:rsidRPr="00B82BBC">
        <w:rPr>
          <w:rFonts w:ascii="Tahoma" w:eastAsia="Times New Roman" w:hAnsi="Tahoma" w:cs="Tahoma"/>
          <w:sz w:val="24"/>
          <w:szCs w:val="24"/>
          <w:lang w:val="es-CO" w:eastAsia="es-CO"/>
        </w:rPr>
        <w:t>6</w:t>
      </w:r>
      <w:r w:rsidRPr="00B82BBC">
        <w:rPr>
          <w:rFonts w:ascii="Tahoma" w:eastAsia="Times New Roman" w:hAnsi="Tahoma" w:cs="Tahoma"/>
          <w:sz w:val="24"/>
          <w:szCs w:val="24"/>
          <w:lang w:val="es-CO" w:eastAsia="es-CO"/>
        </w:rPr>
        <w:t xml:space="preserve"> de noviembre de 2020</w:t>
      </w:r>
    </w:p>
    <w:p w14:paraId="663EAACD" w14:textId="77777777" w:rsidR="001C5C55" w:rsidRDefault="001C5C55" w:rsidP="00B82BBC">
      <w:pPr>
        <w:spacing w:line="276" w:lineRule="auto"/>
        <w:ind w:firstLine="0"/>
        <w:jc w:val="center"/>
        <w:rPr>
          <w:rFonts w:ascii="Tahoma" w:hAnsi="Tahoma" w:cs="Tahoma"/>
          <w:b/>
          <w:sz w:val="24"/>
          <w:szCs w:val="24"/>
        </w:rPr>
      </w:pPr>
    </w:p>
    <w:p w14:paraId="5469F719" w14:textId="77777777" w:rsidR="00C252F0" w:rsidRPr="00B82BBC" w:rsidRDefault="00C252F0" w:rsidP="00B82BBC">
      <w:pPr>
        <w:spacing w:line="276" w:lineRule="auto"/>
        <w:ind w:firstLine="0"/>
        <w:jc w:val="center"/>
        <w:rPr>
          <w:rFonts w:ascii="Tahoma" w:hAnsi="Tahoma" w:cs="Tahoma"/>
          <w:b/>
          <w:sz w:val="24"/>
          <w:szCs w:val="24"/>
        </w:rPr>
      </w:pPr>
    </w:p>
    <w:p w14:paraId="0D2B7522" w14:textId="77777777" w:rsidR="001C5C55" w:rsidRPr="00B82BBC" w:rsidRDefault="00A31306" w:rsidP="00B82BBC">
      <w:pPr>
        <w:spacing w:line="276" w:lineRule="auto"/>
        <w:ind w:firstLine="708"/>
        <w:rPr>
          <w:rFonts w:ascii="Tahoma" w:hAnsi="Tahoma" w:cs="Tahoma"/>
          <w:b/>
          <w:sz w:val="24"/>
          <w:szCs w:val="24"/>
          <w:lang w:val="es-ES_tradnl"/>
        </w:rPr>
      </w:pPr>
      <w:r w:rsidRPr="00B82BBC">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B82BBC">
        <w:rPr>
          <w:rFonts w:ascii="Tahoma" w:hAnsi="Tahoma" w:cs="Tahoma"/>
          <w:sz w:val="24"/>
          <w:szCs w:val="24"/>
        </w:rPr>
        <w:t xml:space="preserve"> </w:t>
      </w:r>
      <w:r w:rsidRPr="00B82BBC">
        <w:rPr>
          <w:rFonts w:ascii="Tahoma" w:hAnsi="Tahoma" w:cs="Tahoma"/>
          <w:sz w:val="24"/>
          <w:szCs w:val="24"/>
          <w:lang w:val="es-ES_tradnl"/>
        </w:rPr>
        <w:t>se proferirán por escrito</w:t>
      </w:r>
      <w:r w:rsidRPr="00B82BBC">
        <w:rPr>
          <w:rFonts w:ascii="Tahoma" w:hAnsi="Tahoma" w:cs="Tahoma"/>
          <w:sz w:val="24"/>
          <w:szCs w:val="24"/>
        </w:rPr>
        <w:t xml:space="preserve"> </w:t>
      </w:r>
      <w:r w:rsidRPr="00B82BBC">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B82BBC">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B82BBC">
        <w:rPr>
          <w:rFonts w:ascii="Tahoma" w:hAnsi="Tahoma" w:cs="Tahoma"/>
          <w:sz w:val="24"/>
          <w:szCs w:val="24"/>
          <w:lang w:val="es-ES_tradnl"/>
        </w:rPr>
        <w:t xml:space="preserve"> </w:t>
      </w:r>
      <w:r w:rsidR="006D631F" w:rsidRPr="00B82BBC">
        <w:rPr>
          <w:rFonts w:ascii="Tahoma" w:hAnsi="Tahoma" w:cs="Tahoma"/>
          <w:b/>
          <w:sz w:val="24"/>
          <w:szCs w:val="24"/>
          <w:lang w:val="es-ES_tradnl"/>
        </w:rPr>
        <w:t xml:space="preserve">Hayde Castro Largo </w:t>
      </w:r>
      <w:r w:rsidR="00324DDD" w:rsidRPr="00B82BBC">
        <w:rPr>
          <w:rFonts w:ascii="Tahoma" w:hAnsi="Tahoma" w:cs="Tahoma"/>
          <w:sz w:val="24"/>
          <w:szCs w:val="24"/>
          <w:lang w:val="es-ES_tradnl"/>
        </w:rPr>
        <w:t xml:space="preserve">en contra de la </w:t>
      </w:r>
      <w:r w:rsidR="00324DDD" w:rsidRPr="00B82BBC">
        <w:rPr>
          <w:rFonts w:ascii="Tahoma" w:hAnsi="Tahoma" w:cs="Tahoma"/>
          <w:b/>
          <w:sz w:val="24"/>
          <w:szCs w:val="24"/>
          <w:lang w:val="es-ES_tradnl"/>
        </w:rPr>
        <w:t>A</w:t>
      </w:r>
      <w:r w:rsidR="001C5C55" w:rsidRPr="00B82BBC">
        <w:rPr>
          <w:rFonts w:ascii="Tahoma" w:hAnsi="Tahoma" w:cs="Tahoma"/>
          <w:b/>
          <w:sz w:val="24"/>
          <w:szCs w:val="24"/>
          <w:lang w:val="es-ES_tradnl"/>
        </w:rPr>
        <w:t>dministradora Colombiana de Pensiones - Colpensiones</w:t>
      </w:r>
      <w:r w:rsidR="00324DDD" w:rsidRPr="00B82BBC">
        <w:rPr>
          <w:rFonts w:ascii="Tahoma" w:hAnsi="Tahoma" w:cs="Tahoma"/>
          <w:b/>
          <w:sz w:val="24"/>
          <w:szCs w:val="24"/>
          <w:lang w:val="es-ES_tradnl"/>
        </w:rPr>
        <w:t>.</w:t>
      </w:r>
    </w:p>
    <w:p w14:paraId="57395A17" w14:textId="77777777" w:rsidR="006D631F" w:rsidRPr="00B82BBC" w:rsidRDefault="006D631F" w:rsidP="00B82BBC">
      <w:pPr>
        <w:spacing w:line="276" w:lineRule="auto"/>
        <w:ind w:firstLine="708"/>
        <w:rPr>
          <w:rFonts w:ascii="Tahoma" w:hAnsi="Tahoma" w:cs="Tahoma"/>
          <w:sz w:val="24"/>
          <w:szCs w:val="24"/>
          <w:lang w:val="es-ES_tradnl"/>
        </w:rPr>
      </w:pPr>
    </w:p>
    <w:p w14:paraId="4E41FBCC" w14:textId="77777777" w:rsidR="00A31306" w:rsidRPr="00B82BBC" w:rsidRDefault="00A31306" w:rsidP="00B82BBC">
      <w:pPr>
        <w:pStyle w:val="paragraph"/>
        <w:spacing w:before="0" w:beforeAutospacing="0" w:after="0" w:afterAutospacing="0" w:line="276" w:lineRule="auto"/>
        <w:jc w:val="center"/>
        <w:textAlignment w:val="baseline"/>
        <w:rPr>
          <w:rFonts w:ascii="Tahoma" w:hAnsi="Tahoma" w:cs="Tahoma"/>
        </w:rPr>
      </w:pPr>
      <w:r w:rsidRPr="00B82BBC">
        <w:rPr>
          <w:rStyle w:val="normaltextrun"/>
          <w:rFonts w:ascii="Tahoma" w:hAnsi="Tahoma" w:cs="Tahoma"/>
          <w:b/>
          <w:bCs/>
        </w:rPr>
        <w:t>PUNTO A TRATAR</w:t>
      </w:r>
    </w:p>
    <w:p w14:paraId="546599F9" w14:textId="77777777" w:rsidR="00A31306" w:rsidRPr="00B82BBC" w:rsidRDefault="00A31306" w:rsidP="00B82BBC">
      <w:pPr>
        <w:pStyle w:val="Sinespaciado"/>
        <w:spacing w:line="276" w:lineRule="auto"/>
        <w:rPr>
          <w:rFonts w:ascii="Tahoma" w:hAnsi="Tahoma" w:cs="Tahoma"/>
        </w:rPr>
      </w:pPr>
    </w:p>
    <w:p w14:paraId="58D0CFA1" w14:textId="4720E701" w:rsidR="00A31306" w:rsidRPr="00B82BBC" w:rsidRDefault="00A31306" w:rsidP="00B82BBC">
      <w:pPr>
        <w:spacing w:line="276" w:lineRule="auto"/>
        <w:ind w:firstLine="708"/>
        <w:rPr>
          <w:rFonts w:ascii="Tahoma" w:hAnsi="Tahoma" w:cs="Tahoma"/>
          <w:sz w:val="24"/>
          <w:szCs w:val="24"/>
          <w:lang w:val="es-ES_tradnl"/>
        </w:rPr>
      </w:pPr>
      <w:r w:rsidRPr="00B82BBC">
        <w:rPr>
          <w:rStyle w:val="normaltextrun"/>
          <w:rFonts w:ascii="Tahoma" w:hAnsi="Tahoma" w:cs="Tahoma"/>
          <w:sz w:val="24"/>
          <w:szCs w:val="24"/>
        </w:rPr>
        <w:t>Por medio de esta providencia procede la Sala a</w:t>
      </w:r>
      <w:r w:rsidRPr="00B82BBC">
        <w:rPr>
          <w:rFonts w:ascii="Tahoma" w:hAnsi="Tahoma" w:cs="Tahoma"/>
          <w:sz w:val="24"/>
          <w:szCs w:val="24"/>
        </w:rPr>
        <w:t xml:space="preserve"> revolver </w:t>
      </w:r>
      <w:r w:rsidR="006D631F" w:rsidRPr="00B82BBC">
        <w:rPr>
          <w:rFonts w:ascii="Tahoma" w:hAnsi="Tahoma" w:cs="Tahoma"/>
          <w:sz w:val="24"/>
          <w:szCs w:val="24"/>
        </w:rPr>
        <w:t>e</w:t>
      </w:r>
      <w:r w:rsidRPr="00B82BBC">
        <w:rPr>
          <w:rFonts w:ascii="Tahoma" w:hAnsi="Tahoma" w:cs="Tahoma"/>
          <w:sz w:val="24"/>
          <w:szCs w:val="24"/>
        </w:rPr>
        <w:t xml:space="preserve">l recurso de apelación interpuesto por </w:t>
      </w:r>
      <w:r w:rsidR="006D631F" w:rsidRPr="00B82BBC">
        <w:rPr>
          <w:rFonts w:ascii="Tahoma" w:hAnsi="Tahoma" w:cs="Tahoma"/>
          <w:sz w:val="24"/>
          <w:szCs w:val="24"/>
        </w:rPr>
        <w:t>e</w:t>
      </w:r>
      <w:r w:rsidRPr="00B82BBC">
        <w:rPr>
          <w:rFonts w:ascii="Tahoma" w:hAnsi="Tahoma" w:cs="Tahoma"/>
          <w:sz w:val="24"/>
          <w:szCs w:val="24"/>
          <w:lang w:val="es-CO"/>
        </w:rPr>
        <w:t xml:space="preserve">l </w:t>
      </w:r>
      <w:r w:rsidR="006D631F" w:rsidRPr="00B82BBC">
        <w:rPr>
          <w:rFonts w:ascii="Tahoma" w:hAnsi="Tahoma" w:cs="Tahoma"/>
          <w:sz w:val="24"/>
          <w:szCs w:val="24"/>
          <w:lang w:val="es-CO"/>
        </w:rPr>
        <w:t xml:space="preserve">vocero judicial de la demandante </w:t>
      </w:r>
      <w:r w:rsidRPr="00B82BBC">
        <w:rPr>
          <w:rFonts w:ascii="Tahoma" w:hAnsi="Tahoma" w:cs="Tahoma"/>
          <w:sz w:val="24"/>
          <w:szCs w:val="24"/>
          <w:lang w:val="es-CO"/>
        </w:rPr>
        <w:t xml:space="preserve">en contra de la sentencia proferida </w:t>
      </w:r>
      <w:r w:rsidR="00A70E45" w:rsidRPr="00B82BBC">
        <w:rPr>
          <w:rFonts w:ascii="Tahoma" w:hAnsi="Tahoma" w:cs="Tahoma"/>
          <w:sz w:val="24"/>
          <w:szCs w:val="24"/>
          <w:lang w:val="es-CO"/>
        </w:rPr>
        <w:t>8</w:t>
      </w:r>
      <w:r w:rsidRPr="00B82BBC">
        <w:rPr>
          <w:rFonts w:ascii="Tahoma" w:hAnsi="Tahoma" w:cs="Tahoma"/>
          <w:sz w:val="24"/>
          <w:szCs w:val="24"/>
          <w:lang w:val="es-CO"/>
        </w:rPr>
        <w:t xml:space="preserve"> de </w:t>
      </w:r>
      <w:r w:rsidR="00A70E45" w:rsidRPr="00B82BBC">
        <w:rPr>
          <w:rFonts w:ascii="Tahoma" w:hAnsi="Tahoma" w:cs="Tahoma"/>
          <w:sz w:val="24"/>
          <w:szCs w:val="24"/>
          <w:lang w:val="es-CO"/>
        </w:rPr>
        <w:t xml:space="preserve">noviembre </w:t>
      </w:r>
      <w:r w:rsidR="000F4167" w:rsidRPr="00B82BBC">
        <w:rPr>
          <w:rFonts w:ascii="Tahoma" w:hAnsi="Tahoma" w:cs="Tahoma"/>
          <w:sz w:val="24"/>
          <w:szCs w:val="24"/>
          <w:lang w:val="es-CO"/>
        </w:rPr>
        <w:t>de 20</w:t>
      </w:r>
      <w:r w:rsidR="006674B4" w:rsidRPr="00B82BBC">
        <w:rPr>
          <w:rFonts w:ascii="Tahoma" w:hAnsi="Tahoma" w:cs="Tahoma"/>
          <w:sz w:val="24"/>
          <w:szCs w:val="24"/>
          <w:lang w:val="es-CO"/>
        </w:rPr>
        <w:t>19</w:t>
      </w:r>
      <w:r w:rsidR="000F4167" w:rsidRPr="00B82BBC">
        <w:rPr>
          <w:rFonts w:ascii="Tahoma" w:hAnsi="Tahoma" w:cs="Tahoma"/>
          <w:sz w:val="24"/>
          <w:szCs w:val="24"/>
          <w:lang w:val="es-CO"/>
        </w:rPr>
        <w:t xml:space="preserve"> </w:t>
      </w:r>
      <w:r w:rsidRPr="00B82BBC">
        <w:rPr>
          <w:rFonts w:ascii="Tahoma" w:hAnsi="Tahoma" w:cs="Tahoma"/>
          <w:sz w:val="24"/>
          <w:szCs w:val="24"/>
          <w:lang w:val="es-CO"/>
        </w:rPr>
        <w:t xml:space="preserve">por el Juzgado </w:t>
      </w:r>
      <w:r w:rsidR="00A70E45" w:rsidRPr="00B82BBC">
        <w:rPr>
          <w:rFonts w:ascii="Tahoma" w:hAnsi="Tahoma" w:cs="Tahoma"/>
          <w:sz w:val="24"/>
          <w:szCs w:val="24"/>
          <w:lang w:val="es-CO"/>
        </w:rPr>
        <w:t xml:space="preserve">Quinto </w:t>
      </w:r>
      <w:r w:rsidRPr="00B82BBC">
        <w:rPr>
          <w:rFonts w:ascii="Tahoma" w:hAnsi="Tahoma" w:cs="Tahoma"/>
          <w:sz w:val="24"/>
          <w:szCs w:val="24"/>
          <w:lang w:val="es-CO"/>
        </w:rPr>
        <w:t>Laboral del Circuito de Pereira</w:t>
      </w:r>
      <w:r w:rsidRPr="00B82BBC">
        <w:rPr>
          <w:rStyle w:val="normaltextrun"/>
          <w:rFonts w:ascii="Tahoma" w:hAnsi="Tahoma" w:cs="Tahoma"/>
          <w:sz w:val="24"/>
          <w:szCs w:val="24"/>
        </w:rPr>
        <w:t>.</w:t>
      </w:r>
      <w:r w:rsidRPr="00B82BBC">
        <w:rPr>
          <w:rStyle w:val="Refdenotaalpie"/>
          <w:rFonts w:ascii="Tahoma" w:hAnsi="Tahoma" w:cs="Tahoma"/>
          <w:sz w:val="24"/>
          <w:szCs w:val="24"/>
        </w:rPr>
        <w:t xml:space="preserve"> </w:t>
      </w:r>
      <w:r w:rsidRPr="00B82BBC">
        <w:rPr>
          <w:rStyle w:val="normaltextrun"/>
          <w:rFonts w:ascii="Tahoma" w:hAnsi="Tahoma" w:cs="Tahoma"/>
          <w:sz w:val="24"/>
          <w:szCs w:val="24"/>
        </w:rPr>
        <w:t>Para ello se tiene en cuenta lo siguiente: </w:t>
      </w:r>
    </w:p>
    <w:p w14:paraId="5DBA3C16" w14:textId="77777777" w:rsidR="001C5C55" w:rsidRPr="00B82BBC" w:rsidRDefault="001C5C55" w:rsidP="00B82B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4CA007B6" w14:textId="77777777" w:rsidR="00A31306" w:rsidRPr="00B82BBC" w:rsidRDefault="00A31306" w:rsidP="00B82BBC">
      <w:pPr>
        <w:pStyle w:val="Sinespaciado"/>
        <w:numPr>
          <w:ilvl w:val="0"/>
          <w:numId w:val="2"/>
        </w:numPr>
        <w:tabs>
          <w:tab w:val="left" w:pos="0"/>
          <w:tab w:val="left" w:pos="284"/>
        </w:tabs>
        <w:spacing w:line="276" w:lineRule="auto"/>
        <w:ind w:left="0" w:firstLine="0"/>
        <w:jc w:val="center"/>
        <w:rPr>
          <w:rFonts w:ascii="Tahoma" w:hAnsi="Tahoma" w:cs="Tahoma"/>
          <w:b/>
        </w:rPr>
      </w:pPr>
      <w:r w:rsidRPr="00B82BBC">
        <w:rPr>
          <w:rFonts w:ascii="Tahoma" w:hAnsi="Tahoma" w:cs="Tahoma"/>
          <w:b/>
        </w:rPr>
        <w:t>La demanda y su contestación</w:t>
      </w:r>
    </w:p>
    <w:p w14:paraId="3254A44A" w14:textId="77777777" w:rsidR="001C5C55" w:rsidRPr="00B82BBC" w:rsidRDefault="001C5C55" w:rsidP="00B82BBC">
      <w:pPr>
        <w:pStyle w:val="Sinespaciado"/>
        <w:spacing w:line="276" w:lineRule="auto"/>
        <w:rPr>
          <w:rFonts w:ascii="Tahoma" w:hAnsi="Tahoma" w:cs="Tahoma"/>
        </w:rPr>
      </w:pPr>
    </w:p>
    <w:p w14:paraId="742F762F" w14:textId="77777777" w:rsidR="00A70E45" w:rsidRPr="00B82BBC" w:rsidRDefault="001C5C55" w:rsidP="00B82BBC">
      <w:pPr>
        <w:spacing w:line="276" w:lineRule="auto"/>
        <w:rPr>
          <w:rFonts w:ascii="Tahoma" w:hAnsi="Tahoma" w:cs="Tahoma"/>
          <w:sz w:val="24"/>
          <w:szCs w:val="24"/>
          <w:lang w:val="es-CO"/>
        </w:rPr>
      </w:pPr>
      <w:r w:rsidRPr="00B82BBC">
        <w:rPr>
          <w:rFonts w:ascii="Tahoma" w:hAnsi="Tahoma" w:cs="Tahoma"/>
          <w:sz w:val="24"/>
          <w:szCs w:val="24"/>
          <w:lang w:val="es-CO"/>
        </w:rPr>
        <w:t xml:space="preserve">Solicita la demandante que se declare </w:t>
      </w:r>
      <w:r w:rsidR="00A70E45" w:rsidRPr="00B82BBC">
        <w:rPr>
          <w:rFonts w:ascii="Tahoma" w:hAnsi="Tahoma" w:cs="Tahoma"/>
          <w:sz w:val="24"/>
          <w:szCs w:val="24"/>
          <w:lang w:val="es-CO"/>
        </w:rPr>
        <w:t>que se deben tener en cuenta los aportes efectuados por ella hasta diciembre de 2017</w:t>
      </w:r>
      <w:r w:rsidR="00256198" w:rsidRPr="00B82BBC">
        <w:rPr>
          <w:rFonts w:ascii="Tahoma" w:hAnsi="Tahoma" w:cs="Tahoma"/>
          <w:sz w:val="24"/>
          <w:szCs w:val="24"/>
          <w:lang w:val="es-CO"/>
        </w:rPr>
        <w:t xml:space="preserve"> y, consecuencialmente, se condene a Colpensiones a pagarle la pensión de invalidez a partir del 1º de enero de 2018, acorde con lo estipulado por el artículo 39 de la Ley 100 de 1993.</w:t>
      </w:r>
    </w:p>
    <w:p w14:paraId="5BD5D7F7" w14:textId="77777777" w:rsidR="00256198" w:rsidRPr="00B82BBC" w:rsidRDefault="00256198" w:rsidP="00B82BBC">
      <w:pPr>
        <w:spacing w:line="276" w:lineRule="auto"/>
        <w:rPr>
          <w:rFonts w:ascii="Tahoma" w:hAnsi="Tahoma" w:cs="Tahoma"/>
          <w:sz w:val="24"/>
          <w:szCs w:val="24"/>
          <w:lang w:val="es-CO"/>
        </w:rPr>
      </w:pPr>
    </w:p>
    <w:p w14:paraId="35CB1857" w14:textId="77777777" w:rsidR="00A70E45" w:rsidRPr="00B82BBC" w:rsidRDefault="00256198" w:rsidP="00B82BBC">
      <w:pPr>
        <w:spacing w:line="276" w:lineRule="auto"/>
        <w:rPr>
          <w:rFonts w:ascii="Tahoma" w:hAnsi="Tahoma" w:cs="Tahoma"/>
          <w:sz w:val="24"/>
          <w:szCs w:val="24"/>
          <w:lang w:val="es-CO"/>
        </w:rPr>
      </w:pPr>
      <w:r w:rsidRPr="00B82BBC">
        <w:rPr>
          <w:rFonts w:ascii="Tahoma" w:hAnsi="Tahoma" w:cs="Tahoma"/>
          <w:sz w:val="24"/>
          <w:szCs w:val="24"/>
          <w:lang w:val="es-CO"/>
        </w:rPr>
        <w:t xml:space="preserve">Igualmente, pretende que se condene a la entidad demandada al pago de los intereses moratorios de que trata el artículo 141 de la Ley 100 de 1993; más aquellos derechos que llegaran a resultar probados en virtud de las facultades </w:t>
      </w:r>
      <w:r w:rsidRPr="00B82BBC">
        <w:rPr>
          <w:rFonts w:ascii="Tahoma" w:hAnsi="Tahoma" w:cs="Tahoma"/>
          <w:i/>
          <w:sz w:val="24"/>
          <w:szCs w:val="24"/>
          <w:lang w:val="es-CO"/>
        </w:rPr>
        <w:t>ultra y extra</w:t>
      </w:r>
      <w:r w:rsidRPr="00B82BBC">
        <w:rPr>
          <w:rFonts w:ascii="Tahoma" w:hAnsi="Tahoma" w:cs="Tahoma"/>
          <w:sz w:val="24"/>
          <w:szCs w:val="24"/>
          <w:lang w:val="es-CO"/>
        </w:rPr>
        <w:t xml:space="preserve"> </w:t>
      </w:r>
      <w:proofErr w:type="spellStart"/>
      <w:r w:rsidRPr="00B82BBC">
        <w:rPr>
          <w:rFonts w:ascii="Tahoma" w:hAnsi="Tahoma" w:cs="Tahoma"/>
          <w:i/>
          <w:sz w:val="24"/>
          <w:szCs w:val="24"/>
          <w:lang w:val="es-CO"/>
        </w:rPr>
        <w:t>petita</w:t>
      </w:r>
      <w:proofErr w:type="spellEnd"/>
      <w:r w:rsidRPr="00B82BBC">
        <w:rPr>
          <w:rFonts w:ascii="Tahoma" w:hAnsi="Tahoma" w:cs="Tahoma"/>
          <w:i/>
          <w:sz w:val="24"/>
          <w:szCs w:val="24"/>
          <w:lang w:val="es-CO"/>
        </w:rPr>
        <w:t xml:space="preserve"> </w:t>
      </w:r>
      <w:r w:rsidRPr="00B82BBC">
        <w:rPr>
          <w:rFonts w:ascii="Tahoma" w:hAnsi="Tahoma" w:cs="Tahoma"/>
          <w:sz w:val="24"/>
          <w:szCs w:val="24"/>
          <w:lang w:val="es-CO"/>
        </w:rPr>
        <w:t>y, al pago de las costas procesales.</w:t>
      </w:r>
    </w:p>
    <w:p w14:paraId="4B7193E0" w14:textId="77777777" w:rsidR="0077377D" w:rsidRPr="00B82BBC" w:rsidRDefault="0077377D" w:rsidP="00B82BBC">
      <w:pPr>
        <w:spacing w:line="276" w:lineRule="auto"/>
        <w:rPr>
          <w:rFonts w:ascii="Tahoma" w:hAnsi="Tahoma" w:cs="Tahoma"/>
          <w:sz w:val="24"/>
          <w:szCs w:val="24"/>
          <w:lang w:val="es-CO"/>
        </w:rPr>
      </w:pPr>
    </w:p>
    <w:p w14:paraId="5F42E325" w14:textId="77777777" w:rsidR="0077377D" w:rsidRPr="00B82BBC" w:rsidRDefault="0077377D" w:rsidP="00B82BBC">
      <w:pPr>
        <w:spacing w:line="276" w:lineRule="auto"/>
        <w:rPr>
          <w:rFonts w:ascii="Tahoma" w:hAnsi="Tahoma" w:cs="Tahoma"/>
          <w:sz w:val="24"/>
          <w:szCs w:val="24"/>
          <w:lang w:val="es-CO"/>
        </w:rPr>
      </w:pPr>
      <w:r w:rsidRPr="00B82BBC">
        <w:rPr>
          <w:rFonts w:ascii="Tahoma" w:hAnsi="Tahoma" w:cs="Tahoma"/>
          <w:sz w:val="24"/>
          <w:szCs w:val="24"/>
          <w:lang w:val="es-CO"/>
        </w:rPr>
        <w:t>Como sustento fáctico de sus pedidos manifiesta que nació el 12 de agosto de 1964 y que por medio del dictamen del 4 de mayo de 2017 la Junta Nacional de Calificación de Invalidez la calificó con un 53,82% de pérdida de capacidad laboral, con fecha de estructuración el 13 de abril de 1996.</w:t>
      </w:r>
    </w:p>
    <w:p w14:paraId="2410FC6D" w14:textId="77777777" w:rsidR="0077377D" w:rsidRPr="00B82BBC" w:rsidRDefault="0077377D" w:rsidP="00B82BBC">
      <w:pPr>
        <w:spacing w:line="276" w:lineRule="auto"/>
        <w:rPr>
          <w:rFonts w:ascii="Tahoma" w:hAnsi="Tahoma" w:cs="Tahoma"/>
          <w:sz w:val="24"/>
          <w:szCs w:val="24"/>
          <w:lang w:val="es-CO"/>
        </w:rPr>
      </w:pPr>
    </w:p>
    <w:p w14:paraId="3AB0B059" w14:textId="77777777" w:rsidR="0077377D" w:rsidRPr="00B82BBC" w:rsidRDefault="0077377D" w:rsidP="00B82BBC">
      <w:pPr>
        <w:spacing w:line="276" w:lineRule="auto"/>
        <w:rPr>
          <w:rFonts w:ascii="Tahoma" w:hAnsi="Tahoma" w:cs="Tahoma"/>
          <w:sz w:val="24"/>
          <w:szCs w:val="24"/>
          <w:lang w:val="es-CO"/>
        </w:rPr>
      </w:pPr>
      <w:r w:rsidRPr="00B82BBC">
        <w:rPr>
          <w:rFonts w:ascii="Tahoma" w:hAnsi="Tahoma" w:cs="Tahoma"/>
          <w:sz w:val="24"/>
          <w:szCs w:val="24"/>
          <w:lang w:val="es-CO"/>
        </w:rPr>
        <w:t xml:space="preserve">Indica que el 5 de junio de 2017 solicitó a Colpensiones el reconocimiento de la pensión de invalidez, la cual fue negada a través de la Resolución </w:t>
      </w:r>
      <w:r w:rsidR="00377C55" w:rsidRPr="00B82BBC">
        <w:rPr>
          <w:rFonts w:ascii="Tahoma" w:hAnsi="Tahoma" w:cs="Tahoma"/>
          <w:sz w:val="24"/>
          <w:szCs w:val="24"/>
          <w:lang w:val="es-CO"/>
        </w:rPr>
        <w:t>SUB 133212 del 24 de julio de la misma anualidad, bajo el argumento de que no cumplía la densidad de cotizaciones en los 3 años anteriores a la fecha de estructuración de la invalidez.</w:t>
      </w:r>
    </w:p>
    <w:p w14:paraId="276A1C80" w14:textId="77777777" w:rsidR="00377C55" w:rsidRPr="00B82BBC" w:rsidRDefault="00377C55" w:rsidP="00B82BBC">
      <w:pPr>
        <w:spacing w:line="276" w:lineRule="auto"/>
        <w:rPr>
          <w:rFonts w:ascii="Tahoma" w:hAnsi="Tahoma" w:cs="Tahoma"/>
          <w:sz w:val="24"/>
          <w:szCs w:val="24"/>
          <w:lang w:val="es-CO"/>
        </w:rPr>
      </w:pPr>
    </w:p>
    <w:p w14:paraId="2CD42FFF" w14:textId="77777777" w:rsidR="00377C55" w:rsidRPr="00B82BBC" w:rsidRDefault="00377C55" w:rsidP="00B82BBC">
      <w:pPr>
        <w:spacing w:line="276" w:lineRule="auto"/>
        <w:rPr>
          <w:rFonts w:ascii="Tahoma" w:hAnsi="Tahoma" w:cs="Tahoma"/>
          <w:sz w:val="24"/>
          <w:szCs w:val="24"/>
          <w:lang w:val="es-CO"/>
        </w:rPr>
      </w:pPr>
      <w:r w:rsidRPr="00B82BBC">
        <w:rPr>
          <w:rFonts w:ascii="Tahoma" w:hAnsi="Tahoma" w:cs="Tahoma"/>
          <w:sz w:val="24"/>
          <w:szCs w:val="24"/>
          <w:lang w:val="es-CO"/>
        </w:rPr>
        <w:t xml:space="preserve">Afirma que cotizó hasta diciembre de 2017 un total de 288 semanas, de las cuales 64,28 se aportaron en los 3 años siguientes </w:t>
      </w:r>
      <w:r w:rsidR="003A4857" w:rsidRPr="00B82BBC">
        <w:rPr>
          <w:rFonts w:ascii="Tahoma" w:hAnsi="Tahoma" w:cs="Tahoma"/>
          <w:sz w:val="24"/>
          <w:szCs w:val="24"/>
          <w:lang w:val="es-CO"/>
        </w:rPr>
        <w:t>“</w:t>
      </w:r>
      <w:r w:rsidRPr="00B82BBC">
        <w:rPr>
          <w:rFonts w:ascii="Tahoma" w:hAnsi="Tahoma" w:cs="Tahoma"/>
          <w:sz w:val="24"/>
          <w:szCs w:val="24"/>
          <w:lang w:val="es-CO"/>
        </w:rPr>
        <w:t>a la última cotización</w:t>
      </w:r>
      <w:r w:rsidR="003A4857" w:rsidRPr="00B82BBC">
        <w:rPr>
          <w:rFonts w:ascii="Tahoma" w:hAnsi="Tahoma" w:cs="Tahoma"/>
          <w:sz w:val="24"/>
          <w:szCs w:val="24"/>
          <w:lang w:val="es-CO"/>
        </w:rPr>
        <w:t>” (sic)</w:t>
      </w:r>
      <w:r w:rsidRPr="00B82BBC">
        <w:rPr>
          <w:rFonts w:ascii="Tahoma" w:hAnsi="Tahoma" w:cs="Tahoma"/>
          <w:sz w:val="24"/>
          <w:szCs w:val="24"/>
          <w:lang w:val="es-CO"/>
        </w:rPr>
        <w:t>, y que Colpensiones</w:t>
      </w:r>
      <w:r w:rsidR="000E291C" w:rsidRPr="00B82BBC">
        <w:rPr>
          <w:rFonts w:ascii="Tahoma" w:hAnsi="Tahoma" w:cs="Tahoma"/>
          <w:sz w:val="24"/>
          <w:szCs w:val="24"/>
          <w:lang w:val="es-CO"/>
        </w:rPr>
        <w:t xml:space="preserve">, al momento de estudiar la prestación, </w:t>
      </w:r>
      <w:r w:rsidRPr="00B82BBC">
        <w:rPr>
          <w:rFonts w:ascii="Tahoma" w:hAnsi="Tahoma" w:cs="Tahoma"/>
          <w:sz w:val="24"/>
          <w:szCs w:val="24"/>
          <w:lang w:val="es-CO"/>
        </w:rPr>
        <w:t xml:space="preserve">no tiene en cuenta </w:t>
      </w:r>
      <w:r w:rsidR="000E291C" w:rsidRPr="00B82BBC">
        <w:rPr>
          <w:rFonts w:ascii="Tahoma" w:hAnsi="Tahoma" w:cs="Tahoma"/>
          <w:sz w:val="24"/>
          <w:szCs w:val="24"/>
          <w:lang w:val="es-CO"/>
        </w:rPr>
        <w:t>que ella efectuó cotizaciones con posterioridad a la estructuración de la invalidez.</w:t>
      </w:r>
    </w:p>
    <w:p w14:paraId="634206C7" w14:textId="77777777" w:rsidR="000E291C" w:rsidRPr="00B82BBC" w:rsidRDefault="000E291C" w:rsidP="00B82BBC">
      <w:pPr>
        <w:spacing w:line="276" w:lineRule="auto"/>
        <w:rPr>
          <w:rFonts w:ascii="Tahoma" w:hAnsi="Tahoma" w:cs="Tahoma"/>
          <w:sz w:val="24"/>
          <w:szCs w:val="24"/>
          <w:lang w:val="es-CO"/>
        </w:rPr>
      </w:pPr>
    </w:p>
    <w:p w14:paraId="770AE285" w14:textId="77777777" w:rsidR="000E291C" w:rsidRPr="00B82BBC" w:rsidRDefault="000E291C" w:rsidP="00B82BBC">
      <w:pPr>
        <w:spacing w:line="276" w:lineRule="auto"/>
        <w:rPr>
          <w:rFonts w:ascii="Tahoma" w:hAnsi="Tahoma" w:cs="Tahoma"/>
          <w:sz w:val="24"/>
          <w:szCs w:val="24"/>
          <w:lang w:val="es-CO"/>
        </w:rPr>
      </w:pPr>
      <w:r w:rsidRPr="00B82BBC">
        <w:rPr>
          <w:rFonts w:ascii="Tahoma" w:hAnsi="Tahoma" w:cs="Tahoma"/>
          <w:sz w:val="24"/>
          <w:szCs w:val="24"/>
          <w:lang w:val="es-CO"/>
        </w:rPr>
        <w:t>Refiere que en contra de la Resolución SUB 133212 del 24 de julio de 2017 no presentó recurso, por lo que se encuentra agotada la reclamación administrativa.</w:t>
      </w:r>
    </w:p>
    <w:p w14:paraId="77A10D89" w14:textId="77777777" w:rsidR="0077377D" w:rsidRPr="00B82BBC" w:rsidRDefault="0077377D" w:rsidP="00B82BBC">
      <w:pPr>
        <w:spacing w:line="276" w:lineRule="auto"/>
        <w:rPr>
          <w:rFonts w:ascii="Tahoma" w:hAnsi="Tahoma" w:cs="Tahoma"/>
          <w:sz w:val="24"/>
          <w:szCs w:val="24"/>
          <w:lang w:val="es-CO"/>
        </w:rPr>
      </w:pPr>
    </w:p>
    <w:p w14:paraId="78913F78" w14:textId="77777777" w:rsidR="0077377D" w:rsidRPr="00B82BBC" w:rsidRDefault="0077377D" w:rsidP="00B82BBC">
      <w:pPr>
        <w:spacing w:line="276" w:lineRule="auto"/>
        <w:rPr>
          <w:rFonts w:ascii="Tahoma" w:hAnsi="Tahoma" w:cs="Tahoma"/>
          <w:sz w:val="24"/>
          <w:szCs w:val="24"/>
          <w:lang w:val="es-CO"/>
        </w:rPr>
      </w:pPr>
    </w:p>
    <w:p w14:paraId="773CE4CA" w14:textId="77777777" w:rsidR="00FE4505" w:rsidRPr="00B82BBC" w:rsidRDefault="001C5C55" w:rsidP="00B82BBC">
      <w:pPr>
        <w:spacing w:line="276" w:lineRule="auto"/>
        <w:ind w:firstLine="708"/>
        <w:rPr>
          <w:rFonts w:ascii="Tahoma" w:hAnsi="Tahoma" w:cs="Tahoma"/>
          <w:sz w:val="24"/>
          <w:szCs w:val="24"/>
          <w:lang w:val="es-CO"/>
        </w:rPr>
      </w:pPr>
      <w:r w:rsidRPr="00B82BBC">
        <w:rPr>
          <w:rFonts w:ascii="Tahoma" w:hAnsi="Tahoma" w:cs="Tahoma"/>
          <w:sz w:val="24"/>
          <w:szCs w:val="24"/>
          <w:lang w:val="es-CO"/>
        </w:rPr>
        <w:t xml:space="preserve">En respuesta a la demanda, </w:t>
      </w:r>
      <w:r w:rsidR="00662E3D" w:rsidRPr="00B82BBC">
        <w:rPr>
          <w:rFonts w:ascii="Tahoma" w:hAnsi="Tahoma" w:cs="Tahoma"/>
          <w:b/>
          <w:sz w:val="24"/>
          <w:szCs w:val="24"/>
          <w:lang w:val="es-CO"/>
        </w:rPr>
        <w:t xml:space="preserve">Colpensiones </w:t>
      </w:r>
      <w:r w:rsidR="00662E3D" w:rsidRPr="00B82BBC">
        <w:rPr>
          <w:rFonts w:ascii="Tahoma" w:hAnsi="Tahoma" w:cs="Tahoma"/>
          <w:sz w:val="24"/>
          <w:szCs w:val="24"/>
          <w:lang w:val="es-CO"/>
        </w:rPr>
        <w:t xml:space="preserve">aceptó los hechos </w:t>
      </w:r>
      <w:r w:rsidR="00BF3A51" w:rsidRPr="00B82BBC">
        <w:rPr>
          <w:rFonts w:ascii="Tahoma" w:hAnsi="Tahoma" w:cs="Tahoma"/>
          <w:sz w:val="24"/>
          <w:szCs w:val="24"/>
          <w:lang w:val="es-CO"/>
        </w:rPr>
        <w:t>expuestos por la actora, aclarando que el año de la fecha de estructuración que se dictaminó es el 2015 y no 1996.</w:t>
      </w:r>
    </w:p>
    <w:p w14:paraId="7621FF82" w14:textId="77777777" w:rsidR="00BF3A51" w:rsidRPr="00B82BBC" w:rsidRDefault="00BF3A51" w:rsidP="00B82BBC">
      <w:pPr>
        <w:spacing w:line="276" w:lineRule="auto"/>
        <w:ind w:firstLine="708"/>
        <w:rPr>
          <w:rFonts w:ascii="Tahoma" w:hAnsi="Tahoma" w:cs="Tahoma"/>
          <w:sz w:val="24"/>
          <w:szCs w:val="24"/>
          <w:lang w:val="es-CO"/>
        </w:rPr>
      </w:pPr>
    </w:p>
    <w:p w14:paraId="11540E3F" w14:textId="77777777" w:rsidR="00BF3A51" w:rsidRPr="00B82BBC" w:rsidRDefault="00BF3A51" w:rsidP="00B82BBC">
      <w:pPr>
        <w:spacing w:line="276" w:lineRule="auto"/>
        <w:ind w:firstLine="708"/>
        <w:rPr>
          <w:rFonts w:ascii="Tahoma" w:hAnsi="Tahoma" w:cs="Tahoma"/>
          <w:sz w:val="24"/>
          <w:szCs w:val="24"/>
          <w:lang w:val="es-CO"/>
        </w:rPr>
      </w:pPr>
      <w:r w:rsidRPr="00B82BBC">
        <w:rPr>
          <w:rFonts w:ascii="Tahoma" w:hAnsi="Tahoma" w:cs="Tahoma"/>
          <w:sz w:val="24"/>
          <w:szCs w:val="24"/>
          <w:lang w:val="es-CO"/>
        </w:rPr>
        <w:t xml:space="preserve">Se opuso a la totalidad de las pretensiones arguyendo que lo pretendido por la promotora de la litis no es compatible con la normatividad aplicable al presente </w:t>
      </w:r>
      <w:r w:rsidRPr="00B82BBC">
        <w:rPr>
          <w:rFonts w:ascii="Tahoma" w:hAnsi="Tahoma" w:cs="Tahoma"/>
          <w:sz w:val="24"/>
          <w:szCs w:val="24"/>
          <w:lang w:val="es-CO"/>
        </w:rPr>
        <w:lastRenderedPageBreak/>
        <w:t xml:space="preserve">caso, toda vez que es necesario acreditar 50 semanas de cotización dentro de los 3 años anteriores a la estructuración de la enfermedad. En ese sentido, propuso las excepciones de mérito que denominó “inexistencia de la obligación”; “Imposibilidad jurídica para reconocer y pagar derechos por fuera del ordenamiento legal”; </w:t>
      </w:r>
      <w:r w:rsidR="007102EA" w:rsidRPr="00B82BBC">
        <w:rPr>
          <w:rFonts w:ascii="Tahoma" w:hAnsi="Tahoma" w:cs="Tahoma"/>
          <w:sz w:val="24"/>
          <w:szCs w:val="24"/>
          <w:lang w:val="es-CO"/>
        </w:rPr>
        <w:t>“Buena fe” e “Imposibilidad de condenas en costas”.</w:t>
      </w:r>
    </w:p>
    <w:p w14:paraId="60B34FA4" w14:textId="77777777" w:rsidR="001C5C55" w:rsidRPr="00B82BBC" w:rsidRDefault="001C5C55" w:rsidP="00B82BBC">
      <w:pPr>
        <w:pStyle w:val="Sinespaciado"/>
        <w:spacing w:line="276" w:lineRule="auto"/>
        <w:rPr>
          <w:rFonts w:ascii="Tahoma" w:hAnsi="Tahoma" w:cs="Tahoma"/>
        </w:rPr>
      </w:pPr>
    </w:p>
    <w:p w14:paraId="5A032EBA" w14:textId="77777777" w:rsidR="00A31306" w:rsidRPr="00B82BBC" w:rsidRDefault="00A31306" w:rsidP="00B82BBC">
      <w:pPr>
        <w:pStyle w:val="Prrafodelista"/>
        <w:numPr>
          <w:ilvl w:val="0"/>
          <w:numId w:val="2"/>
        </w:numPr>
        <w:spacing w:line="276" w:lineRule="auto"/>
        <w:jc w:val="center"/>
        <w:rPr>
          <w:rFonts w:ascii="Tahoma" w:hAnsi="Tahoma" w:cs="Tahoma"/>
          <w:b/>
          <w:lang w:val="es-CO"/>
        </w:rPr>
      </w:pPr>
      <w:r w:rsidRPr="00B82BBC">
        <w:rPr>
          <w:rFonts w:ascii="Tahoma" w:hAnsi="Tahoma" w:cs="Tahoma"/>
          <w:b/>
          <w:lang w:val="es-CO"/>
        </w:rPr>
        <w:t>Sentencia de primera instancia</w:t>
      </w:r>
    </w:p>
    <w:p w14:paraId="472481D7" w14:textId="77777777" w:rsidR="001C5C55" w:rsidRPr="00B82BBC" w:rsidRDefault="001C5C55" w:rsidP="00B82BBC">
      <w:pPr>
        <w:pStyle w:val="Sinespaciado"/>
        <w:spacing w:line="276" w:lineRule="auto"/>
        <w:rPr>
          <w:rFonts w:ascii="Tahoma" w:hAnsi="Tahoma" w:cs="Tahoma"/>
        </w:rPr>
      </w:pPr>
    </w:p>
    <w:p w14:paraId="5E960100" w14:textId="77777777" w:rsidR="007102EA" w:rsidRPr="00B82BBC" w:rsidRDefault="001C5C55" w:rsidP="00B82BBC">
      <w:pPr>
        <w:spacing w:line="276" w:lineRule="auto"/>
        <w:ind w:firstLine="708"/>
        <w:rPr>
          <w:rFonts w:ascii="Tahoma" w:hAnsi="Tahoma" w:cs="Tahoma"/>
          <w:sz w:val="24"/>
          <w:szCs w:val="24"/>
          <w:lang w:val="es-CO"/>
        </w:rPr>
      </w:pPr>
      <w:r w:rsidRPr="00B82BBC">
        <w:rPr>
          <w:rFonts w:ascii="Tahoma" w:hAnsi="Tahoma" w:cs="Tahoma"/>
          <w:sz w:val="24"/>
          <w:szCs w:val="24"/>
          <w:lang w:val="es-CO"/>
        </w:rPr>
        <w:t xml:space="preserve">La </w:t>
      </w:r>
      <w:r w:rsidR="00EA5E3B" w:rsidRPr="00B82BBC">
        <w:rPr>
          <w:rFonts w:ascii="Tahoma" w:hAnsi="Tahoma" w:cs="Tahoma"/>
          <w:sz w:val="24"/>
          <w:szCs w:val="24"/>
          <w:lang w:val="es-CO"/>
        </w:rPr>
        <w:t>Jueza de primer grado</w:t>
      </w:r>
      <w:r w:rsidR="007102EA" w:rsidRPr="00B82BBC">
        <w:rPr>
          <w:rFonts w:ascii="Tahoma" w:hAnsi="Tahoma" w:cs="Tahoma"/>
          <w:sz w:val="24"/>
          <w:szCs w:val="24"/>
          <w:lang w:val="es-CO"/>
        </w:rPr>
        <w:t xml:space="preserve"> absolvió a Colpensiones de la totalidad de las pretensiones incoadas en su contra por la señora Hayde Castro Largo, a quien condenó al pago de las costas procesales.</w:t>
      </w:r>
    </w:p>
    <w:p w14:paraId="3BB14C6B" w14:textId="77777777" w:rsidR="00246C58" w:rsidRPr="00B82BBC" w:rsidRDefault="00246C58" w:rsidP="00B82BBC">
      <w:pPr>
        <w:spacing w:line="276" w:lineRule="auto"/>
        <w:ind w:firstLine="708"/>
        <w:rPr>
          <w:rFonts w:ascii="Tahoma" w:hAnsi="Tahoma" w:cs="Tahoma"/>
          <w:sz w:val="24"/>
          <w:szCs w:val="24"/>
          <w:lang w:val="es-CO"/>
        </w:rPr>
      </w:pPr>
    </w:p>
    <w:p w14:paraId="1BCD8289" w14:textId="77777777" w:rsidR="00927FE5" w:rsidRPr="00B82BBC" w:rsidRDefault="006E4354" w:rsidP="00B82BBC">
      <w:pPr>
        <w:spacing w:line="276" w:lineRule="auto"/>
        <w:ind w:firstLine="708"/>
        <w:rPr>
          <w:rFonts w:ascii="Tahoma" w:hAnsi="Tahoma" w:cs="Tahoma"/>
          <w:sz w:val="24"/>
          <w:szCs w:val="24"/>
          <w:lang w:val="es-CO"/>
        </w:rPr>
      </w:pPr>
      <w:r w:rsidRPr="00B82BBC">
        <w:rPr>
          <w:rFonts w:ascii="Tahoma" w:hAnsi="Tahoma" w:cs="Tahoma"/>
          <w:sz w:val="24"/>
          <w:szCs w:val="24"/>
          <w:lang w:val="es-CO"/>
        </w:rPr>
        <w:t xml:space="preserve">Para llegar a tal determinación la A-quo consideró, en síntesis, </w:t>
      </w:r>
      <w:r w:rsidR="001F6A58" w:rsidRPr="00B82BBC">
        <w:rPr>
          <w:rFonts w:ascii="Tahoma" w:hAnsi="Tahoma" w:cs="Tahoma"/>
          <w:sz w:val="24"/>
          <w:szCs w:val="24"/>
          <w:lang w:val="es-CO"/>
        </w:rPr>
        <w:t xml:space="preserve">que </w:t>
      </w:r>
      <w:r w:rsidR="00371980" w:rsidRPr="00B82BBC">
        <w:rPr>
          <w:rFonts w:ascii="Tahoma" w:hAnsi="Tahoma" w:cs="Tahoma"/>
          <w:sz w:val="24"/>
          <w:szCs w:val="24"/>
          <w:lang w:val="es-CO"/>
        </w:rPr>
        <w:t xml:space="preserve">en el presente caso no resulta aplicable el precedente de la Corte Constitucional, referente al cambio de la fecha de estructuración por enfermedades congénitas, progresivas o degenerativas, toda vez que en el dictamen de perdida de capacidad laboral allegado con la demanda se </w:t>
      </w:r>
      <w:r w:rsidR="00927FE5" w:rsidRPr="00B82BBC">
        <w:rPr>
          <w:rFonts w:ascii="Tahoma" w:hAnsi="Tahoma" w:cs="Tahoma"/>
          <w:sz w:val="24"/>
          <w:szCs w:val="24"/>
          <w:lang w:val="es-CO"/>
        </w:rPr>
        <w:t xml:space="preserve">establece </w:t>
      </w:r>
      <w:r w:rsidR="00371980" w:rsidRPr="00B82BBC">
        <w:rPr>
          <w:rFonts w:ascii="Tahoma" w:hAnsi="Tahoma" w:cs="Tahoma"/>
          <w:sz w:val="24"/>
          <w:szCs w:val="24"/>
          <w:lang w:val="es-CO"/>
        </w:rPr>
        <w:t xml:space="preserve">expresamente que las patologías que otorgan mayor </w:t>
      </w:r>
      <w:r w:rsidR="00927FE5" w:rsidRPr="00B82BBC">
        <w:rPr>
          <w:rFonts w:ascii="Tahoma" w:hAnsi="Tahoma" w:cs="Tahoma"/>
          <w:sz w:val="24"/>
          <w:szCs w:val="24"/>
          <w:lang w:val="es-CO"/>
        </w:rPr>
        <w:t xml:space="preserve">puntaje </w:t>
      </w:r>
      <w:r w:rsidR="00371980" w:rsidRPr="00B82BBC">
        <w:rPr>
          <w:rFonts w:ascii="Tahoma" w:hAnsi="Tahoma" w:cs="Tahoma"/>
          <w:sz w:val="24"/>
          <w:szCs w:val="24"/>
          <w:lang w:val="es-CO"/>
        </w:rPr>
        <w:t>al porcentaje de pérdida de capacidad laboral, no ostentan dicha característica</w:t>
      </w:r>
      <w:r w:rsidR="00927FE5" w:rsidRPr="00B82BBC">
        <w:rPr>
          <w:rFonts w:ascii="Tahoma" w:hAnsi="Tahoma" w:cs="Tahoma"/>
          <w:sz w:val="24"/>
          <w:szCs w:val="24"/>
          <w:lang w:val="es-CO"/>
        </w:rPr>
        <w:t xml:space="preserve">. </w:t>
      </w:r>
    </w:p>
    <w:p w14:paraId="36157732" w14:textId="77777777" w:rsidR="00927FE5" w:rsidRPr="00B82BBC" w:rsidRDefault="00927FE5" w:rsidP="00B82BBC">
      <w:pPr>
        <w:spacing w:line="276" w:lineRule="auto"/>
        <w:ind w:firstLine="708"/>
        <w:rPr>
          <w:rFonts w:ascii="Tahoma" w:hAnsi="Tahoma" w:cs="Tahoma"/>
          <w:sz w:val="24"/>
          <w:szCs w:val="24"/>
          <w:lang w:val="es-CO"/>
        </w:rPr>
      </w:pPr>
    </w:p>
    <w:p w14:paraId="708A8032" w14:textId="67E34EB4" w:rsidR="007102EA" w:rsidRPr="00B82BBC" w:rsidRDefault="00927FE5" w:rsidP="00B82BBC">
      <w:pPr>
        <w:spacing w:line="276" w:lineRule="auto"/>
        <w:ind w:firstLine="708"/>
        <w:rPr>
          <w:rFonts w:ascii="Tahoma" w:hAnsi="Tahoma" w:cs="Tahoma"/>
          <w:sz w:val="24"/>
          <w:szCs w:val="24"/>
          <w:lang w:val="es-CO"/>
        </w:rPr>
      </w:pPr>
      <w:r w:rsidRPr="00B82BBC">
        <w:rPr>
          <w:rFonts w:ascii="Tahoma" w:hAnsi="Tahoma" w:cs="Tahoma"/>
          <w:sz w:val="24"/>
          <w:szCs w:val="24"/>
          <w:lang w:val="es-CO"/>
        </w:rPr>
        <w:t xml:space="preserve">Agregó que, si en gracia de discusión se aceptara que las enfermedades de la demandante son degenerativas, progresivas o congénitas, no obra prueba alguna de la cual se desprenda que las cotizaciones efectuadas con posterioridad a la fecha de estructuración dictaminada por la </w:t>
      </w:r>
      <w:r w:rsidR="005E4FE9" w:rsidRPr="00B82BBC">
        <w:rPr>
          <w:rFonts w:ascii="Tahoma" w:hAnsi="Tahoma" w:cs="Tahoma"/>
          <w:sz w:val="24"/>
          <w:szCs w:val="24"/>
          <w:lang w:val="es-CO"/>
        </w:rPr>
        <w:t xml:space="preserve">Junta Nacional </w:t>
      </w:r>
      <w:r w:rsidRPr="00B82BBC">
        <w:rPr>
          <w:rFonts w:ascii="Tahoma" w:hAnsi="Tahoma" w:cs="Tahoma"/>
          <w:sz w:val="24"/>
          <w:szCs w:val="24"/>
          <w:lang w:val="es-CO"/>
        </w:rPr>
        <w:t xml:space="preserve">de </w:t>
      </w:r>
      <w:r w:rsidR="005E4FE9" w:rsidRPr="00B82BBC">
        <w:rPr>
          <w:rFonts w:ascii="Tahoma" w:hAnsi="Tahoma" w:cs="Tahoma"/>
          <w:sz w:val="24"/>
          <w:szCs w:val="24"/>
          <w:lang w:val="es-CO"/>
        </w:rPr>
        <w:t xml:space="preserve">Calificación </w:t>
      </w:r>
      <w:r w:rsidRPr="00B82BBC">
        <w:rPr>
          <w:rFonts w:ascii="Tahoma" w:hAnsi="Tahoma" w:cs="Tahoma"/>
          <w:sz w:val="24"/>
          <w:szCs w:val="24"/>
          <w:lang w:val="es-CO"/>
        </w:rPr>
        <w:t xml:space="preserve">de </w:t>
      </w:r>
      <w:r w:rsidR="005E4FE9" w:rsidRPr="00B82BBC">
        <w:rPr>
          <w:rFonts w:ascii="Tahoma" w:hAnsi="Tahoma" w:cs="Tahoma"/>
          <w:sz w:val="24"/>
          <w:szCs w:val="24"/>
          <w:lang w:val="es-CO"/>
        </w:rPr>
        <w:t>Invalidez</w:t>
      </w:r>
      <w:r w:rsidRPr="00B82BBC">
        <w:rPr>
          <w:rFonts w:ascii="Tahoma" w:hAnsi="Tahoma" w:cs="Tahoma"/>
          <w:sz w:val="24"/>
          <w:szCs w:val="24"/>
          <w:lang w:val="es-CO"/>
        </w:rPr>
        <w:t>, fueran el resultado de la capacidad laboral residual de la demandante</w:t>
      </w:r>
      <w:r w:rsidR="006674B4" w:rsidRPr="00B82BBC">
        <w:rPr>
          <w:rFonts w:ascii="Tahoma" w:hAnsi="Tahoma" w:cs="Tahoma"/>
          <w:sz w:val="24"/>
          <w:szCs w:val="24"/>
          <w:lang w:val="es-CO"/>
        </w:rPr>
        <w:t>;</w:t>
      </w:r>
      <w:r w:rsidRPr="00B82BBC">
        <w:rPr>
          <w:rFonts w:ascii="Tahoma" w:hAnsi="Tahoma" w:cs="Tahoma"/>
          <w:sz w:val="24"/>
          <w:szCs w:val="24"/>
          <w:lang w:val="es-CO"/>
        </w:rPr>
        <w:t xml:space="preserve"> por el contrario, al haber sido efectuadas dentro del régimen subsidiado, se desdibuja su relación con la prestación directa de un servicio.</w:t>
      </w:r>
      <w:r w:rsidR="00371980" w:rsidRPr="00B82BBC">
        <w:rPr>
          <w:rFonts w:ascii="Tahoma" w:hAnsi="Tahoma" w:cs="Tahoma"/>
          <w:sz w:val="24"/>
          <w:szCs w:val="24"/>
          <w:lang w:val="es-CO"/>
        </w:rPr>
        <w:t xml:space="preserve"> </w:t>
      </w:r>
    </w:p>
    <w:p w14:paraId="0C64DF80" w14:textId="77777777" w:rsidR="001C5C55" w:rsidRPr="00B82BBC" w:rsidRDefault="001C5C55" w:rsidP="00B82BBC">
      <w:pPr>
        <w:spacing w:line="276" w:lineRule="auto"/>
        <w:ind w:firstLine="708"/>
        <w:rPr>
          <w:rFonts w:ascii="Tahoma" w:hAnsi="Tahoma" w:cs="Tahoma"/>
          <w:sz w:val="24"/>
          <w:szCs w:val="24"/>
          <w:lang w:val="es-CO"/>
        </w:rPr>
      </w:pPr>
    </w:p>
    <w:p w14:paraId="14DEE32E" w14:textId="77777777" w:rsidR="00A31306" w:rsidRPr="00B82BBC" w:rsidRDefault="00A31306" w:rsidP="00B82BBC">
      <w:pPr>
        <w:pStyle w:val="Prrafodelista"/>
        <w:numPr>
          <w:ilvl w:val="0"/>
          <w:numId w:val="2"/>
        </w:numPr>
        <w:spacing w:line="276" w:lineRule="auto"/>
        <w:jc w:val="center"/>
        <w:rPr>
          <w:rFonts w:ascii="Tahoma" w:hAnsi="Tahoma" w:cs="Tahoma"/>
          <w:b/>
          <w:lang w:val="es-CO"/>
        </w:rPr>
      </w:pPr>
      <w:r w:rsidRPr="00B82BBC">
        <w:rPr>
          <w:rFonts w:ascii="Tahoma" w:hAnsi="Tahoma" w:cs="Tahoma"/>
          <w:b/>
          <w:lang w:val="es-CO"/>
        </w:rPr>
        <w:t xml:space="preserve">Recurso de apelación </w:t>
      </w:r>
    </w:p>
    <w:p w14:paraId="45BE1F99" w14:textId="77777777" w:rsidR="00927FE5" w:rsidRPr="00B82BBC" w:rsidRDefault="00927FE5" w:rsidP="00B82BBC">
      <w:pPr>
        <w:spacing w:line="276" w:lineRule="auto"/>
        <w:jc w:val="center"/>
        <w:rPr>
          <w:rFonts w:ascii="Tahoma" w:hAnsi="Tahoma" w:cs="Tahoma"/>
          <w:b/>
          <w:sz w:val="24"/>
          <w:szCs w:val="24"/>
          <w:lang w:val="es-CO"/>
        </w:rPr>
      </w:pPr>
    </w:p>
    <w:p w14:paraId="29CEF9CA" w14:textId="77777777" w:rsidR="00927FE5" w:rsidRPr="00B82BBC" w:rsidRDefault="00927FE5" w:rsidP="00B82BBC">
      <w:pPr>
        <w:spacing w:line="276" w:lineRule="auto"/>
        <w:rPr>
          <w:rFonts w:ascii="Tahoma" w:hAnsi="Tahoma" w:cs="Tahoma"/>
          <w:sz w:val="24"/>
          <w:szCs w:val="24"/>
          <w:lang w:val="es-CO"/>
        </w:rPr>
      </w:pPr>
      <w:r w:rsidRPr="00B82BBC">
        <w:rPr>
          <w:rFonts w:ascii="Tahoma" w:hAnsi="Tahoma" w:cs="Tahoma"/>
          <w:sz w:val="24"/>
          <w:szCs w:val="24"/>
          <w:lang w:val="es-CO"/>
        </w:rPr>
        <w:t xml:space="preserve">El apoderado judicial de la demandante censuró la sentencia de primer grado </w:t>
      </w:r>
      <w:r w:rsidR="001140D9" w:rsidRPr="00B82BBC">
        <w:rPr>
          <w:rFonts w:ascii="Tahoma" w:hAnsi="Tahoma" w:cs="Tahoma"/>
          <w:sz w:val="24"/>
          <w:szCs w:val="24"/>
          <w:lang w:val="es-CO"/>
        </w:rPr>
        <w:t xml:space="preserve">alegando </w:t>
      </w:r>
      <w:r w:rsidRPr="00B82BBC">
        <w:rPr>
          <w:rFonts w:ascii="Tahoma" w:hAnsi="Tahoma" w:cs="Tahoma"/>
          <w:sz w:val="24"/>
          <w:szCs w:val="24"/>
          <w:lang w:val="es-CO"/>
        </w:rPr>
        <w:t>que la</w:t>
      </w:r>
      <w:r w:rsidR="00E35F95" w:rsidRPr="00B82BBC">
        <w:rPr>
          <w:rFonts w:ascii="Tahoma" w:hAnsi="Tahoma" w:cs="Tahoma"/>
          <w:sz w:val="24"/>
          <w:szCs w:val="24"/>
          <w:lang w:val="es-CO"/>
        </w:rPr>
        <w:t xml:space="preserve"> hipertensión, la escl</w:t>
      </w:r>
      <w:r w:rsidR="00CC0BDA" w:rsidRPr="00B82BBC">
        <w:rPr>
          <w:rFonts w:ascii="Tahoma" w:hAnsi="Tahoma" w:cs="Tahoma"/>
          <w:sz w:val="24"/>
          <w:szCs w:val="24"/>
          <w:lang w:val="es-CO"/>
        </w:rPr>
        <w:t>er</w:t>
      </w:r>
      <w:r w:rsidR="00E35F95" w:rsidRPr="00B82BBC">
        <w:rPr>
          <w:rFonts w:ascii="Tahoma" w:hAnsi="Tahoma" w:cs="Tahoma"/>
          <w:sz w:val="24"/>
          <w:szCs w:val="24"/>
          <w:lang w:val="es-CO"/>
        </w:rPr>
        <w:t xml:space="preserve">odermia, </w:t>
      </w:r>
      <w:r w:rsidR="00CC0BDA" w:rsidRPr="00B82BBC">
        <w:rPr>
          <w:rFonts w:ascii="Tahoma" w:hAnsi="Tahoma" w:cs="Tahoma"/>
          <w:sz w:val="24"/>
          <w:szCs w:val="24"/>
          <w:lang w:val="es-CO"/>
        </w:rPr>
        <w:t xml:space="preserve">el </w:t>
      </w:r>
      <w:r w:rsidR="00E35F95" w:rsidRPr="00B82BBC">
        <w:rPr>
          <w:rFonts w:ascii="Tahoma" w:hAnsi="Tahoma" w:cs="Tahoma"/>
          <w:sz w:val="24"/>
          <w:szCs w:val="24"/>
          <w:lang w:val="es-CO"/>
        </w:rPr>
        <w:t>glaucoma concomitante</w:t>
      </w:r>
      <w:r w:rsidR="00CC0BDA" w:rsidRPr="00B82BBC">
        <w:rPr>
          <w:rFonts w:ascii="Tahoma" w:hAnsi="Tahoma" w:cs="Tahoma"/>
          <w:sz w:val="24"/>
          <w:szCs w:val="24"/>
          <w:lang w:val="es-CO"/>
        </w:rPr>
        <w:t xml:space="preserve"> y las patologías de la alteración </w:t>
      </w:r>
      <w:r w:rsidR="00FE175A" w:rsidRPr="00B82BBC">
        <w:rPr>
          <w:rFonts w:ascii="Tahoma" w:hAnsi="Tahoma" w:cs="Tahoma"/>
          <w:sz w:val="24"/>
          <w:szCs w:val="24"/>
          <w:lang w:val="es-CO"/>
        </w:rPr>
        <w:t>del humor</w:t>
      </w:r>
      <w:r w:rsidR="00CC0BDA" w:rsidRPr="00B82BBC">
        <w:rPr>
          <w:rFonts w:ascii="Tahoma" w:hAnsi="Tahoma" w:cs="Tahoma"/>
          <w:sz w:val="24"/>
          <w:szCs w:val="24"/>
          <w:lang w:val="es-CO"/>
        </w:rPr>
        <w:t xml:space="preserve"> que padece su cliente</w:t>
      </w:r>
      <w:r w:rsidR="00E35F95" w:rsidRPr="00B82BBC">
        <w:rPr>
          <w:rFonts w:ascii="Tahoma" w:hAnsi="Tahoma" w:cs="Tahoma"/>
          <w:sz w:val="24"/>
          <w:szCs w:val="24"/>
          <w:lang w:val="es-CO"/>
        </w:rPr>
        <w:t xml:space="preserve"> s</w:t>
      </w:r>
      <w:r w:rsidRPr="00B82BBC">
        <w:rPr>
          <w:rFonts w:ascii="Tahoma" w:hAnsi="Tahoma" w:cs="Tahoma"/>
          <w:sz w:val="24"/>
          <w:szCs w:val="24"/>
          <w:lang w:val="es-CO"/>
        </w:rPr>
        <w:t>í ostentan el carácter degenerativo que echa de menos la operadora judicial de instancia</w:t>
      </w:r>
      <w:r w:rsidR="00CC0BDA" w:rsidRPr="00B82BBC">
        <w:rPr>
          <w:rFonts w:ascii="Tahoma" w:hAnsi="Tahoma" w:cs="Tahoma"/>
          <w:sz w:val="24"/>
          <w:szCs w:val="24"/>
          <w:lang w:val="es-CO"/>
        </w:rPr>
        <w:t>, y fueron aquellas por las cuales se la calificó con una pérdida de capacidad laboral superior al 50%</w:t>
      </w:r>
      <w:r w:rsidRPr="00B82BBC">
        <w:rPr>
          <w:rFonts w:ascii="Tahoma" w:hAnsi="Tahoma" w:cs="Tahoma"/>
          <w:sz w:val="24"/>
          <w:szCs w:val="24"/>
          <w:lang w:val="es-CO"/>
        </w:rPr>
        <w:t>.</w:t>
      </w:r>
    </w:p>
    <w:p w14:paraId="04517F9F" w14:textId="77777777" w:rsidR="00927FE5" w:rsidRPr="00B82BBC" w:rsidRDefault="00927FE5" w:rsidP="00B82BBC">
      <w:pPr>
        <w:spacing w:line="276" w:lineRule="auto"/>
        <w:rPr>
          <w:rFonts w:ascii="Tahoma" w:hAnsi="Tahoma" w:cs="Tahoma"/>
          <w:sz w:val="24"/>
          <w:szCs w:val="24"/>
          <w:lang w:val="es-CO"/>
        </w:rPr>
      </w:pPr>
    </w:p>
    <w:p w14:paraId="4599A3F2" w14:textId="77777777" w:rsidR="00927FE5" w:rsidRPr="00B82BBC" w:rsidRDefault="00FC7C73" w:rsidP="00B82BBC">
      <w:pPr>
        <w:spacing w:line="276" w:lineRule="auto"/>
        <w:ind w:firstLine="0"/>
        <w:rPr>
          <w:rFonts w:ascii="Tahoma" w:hAnsi="Tahoma" w:cs="Tahoma"/>
          <w:sz w:val="24"/>
          <w:szCs w:val="24"/>
          <w:lang w:val="es-CO"/>
        </w:rPr>
      </w:pPr>
      <w:r w:rsidRPr="00B82BBC">
        <w:rPr>
          <w:rFonts w:ascii="Tahoma" w:hAnsi="Tahoma" w:cs="Tahoma"/>
          <w:sz w:val="24"/>
          <w:szCs w:val="24"/>
          <w:lang w:val="es-CO"/>
        </w:rPr>
        <w:tab/>
      </w:r>
      <w:r w:rsidR="00577FF6" w:rsidRPr="00B82BBC">
        <w:rPr>
          <w:rFonts w:ascii="Tahoma" w:hAnsi="Tahoma" w:cs="Tahoma"/>
          <w:sz w:val="24"/>
          <w:szCs w:val="24"/>
          <w:lang w:val="es-CO"/>
        </w:rPr>
        <w:t>Y f</w:t>
      </w:r>
      <w:r w:rsidRPr="00B82BBC">
        <w:rPr>
          <w:rFonts w:ascii="Tahoma" w:hAnsi="Tahoma" w:cs="Tahoma"/>
          <w:sz w:val="24"/>
          <w:szCs w:val="24"/>
          <w:lang w:val="es-CO"/>
        </w:rPr>
        <w:t xml:space="preserve">rente a las cotizaciones que se realizaron </w:t>
      </w:r>
      <w:r w:rsidR="00FE175A" w:rsidRPr="00B82BBC">
        <w:rPr>
          <w:rFonts w:ascii="Tahoma" w:hAnsi="Tahoma" w:cs="Tahoma"/>
          <w:sz w:val="24"/>
          <w:szCs w:val="24"/>
          <w:lang w:val="es-CO"/>
        </w:rPr>
        <w:t>hasta enero de 2018</w:t>
      </w:r>
      <w:r w:rsidRPr="00B82BBC">
        <w:rPr>
          <w:rFonts w:ascii="Tahoma" w:hAnsi="Tahoma" w:cs="Tahoma"/>
          <w:sz w:val="24"/>
          <w:szCs w:val="24"/>
          <w:lang w:val="es-CO"/>
        </w:rPr>
        <w:t xml:space="preserve">, alegó que las mismas debían tenerse como realizadas </w:t>
      </w:r>
      <w:r w:rsidR="00CC0BDA" w:rsidRPr="00B82BBC">
        <w:rPr>
          <w:rFonts w:ascii="Tahoma" w:hAnsi="Tahoma" w:cs="Tahoma"/>
          <w:sz w:val="24"/>
          <w:szCs w:val="24"/>
          <w:lang w:val="es-CO"/>
        </w:rPr>
        <w:t xml:space="preserve">por </w:t>
      </w:r>
      <w:r w:rsidRPr="00B82BBC">
        <w:rPr>
          <w:rFonts w:ascii="Tahoma" w:hAnsi="Tahoma" w:cs="Tahoma"/>
          <w:sz w:val="24"/>
          <w:szCs w:val="24"/>
          <w:lang w:val="es-CO"/>
        </w:rPr>
        <w:t>la fuerza residual</w:t>
      </w:r>
      <w:r w:rsidR="00CC0BDA" w:rsidRPr="00B82BBC">
        <w:rPr>
          <w:rFonts w:ascii="Tahoma" w:hAnsi="Tahoma" w:cs="Tahoma"/>
          <w:sz w:val="24"/>
          <w:szCs w:val="24"/>
          <w:lang w:val="es-CO"/>
        </w:rPr>
        <w:t xml:space="preserve"> de su prohijada,</w:t>
      </w:r>
      <w:r w:rsidRPr="00B82BBC">
        <w:rPr>
          <w:rFonts w:ascii="Tahoma" w:hAnsi="Tahoma" w:cs="Tahoma"/>
          <w:sz w:val="24"/>
          <w:szCs w:val="24"/>
          <w:lang w:val="es-CO"/>
        </w:rPr>
        <w:t xml:space="preserve"> en virtud del principio </w:t>
      </w:r>
      <w:r w:rsidR="00CC0BDA" w:rsidRPr="00B82BBC">
        <w:rPr>
          <w:rFonts w:ascii="Tahoma" w:hAnsi="Tahoma" w:cs="Tahoma"/>
          <w:sz w:val="24"/>
          <w:szCs w:val="24"/>
          <w:lang w:val="es-CO"/>
        </w:rPr>
        <w:t xml:space="preserve">de </w:t>
      </w:r>
      <w:proofErr w:type="spellStart"/>
      <w:r w:rsidRPr="00B82BBC">
        <w:rPr>
          <w:rFonts w:ascii="Tahoma" w:hAnsi="Tahoma" w:cs="Tahoma"/>
          <w:i/>
          <w:sz w:val="24"/>
          <w:szCs w:val="24"/>
          <w:lang w:val="es-CO"/>
        </w:rPr>
        <w:t>indubio</w:t>
      </w:r>
      <w:proofErr w:type="spellEnd"/>
      <w:r w:rsidRPr="00B82BBC">
        <w:rPr>
          <w:rFonts w:ascii="Tahoma" w:hAnsi="Tahoma" w:cs="Tahoma"/>
          <w:i/>
          <w:sz w:val="24"/>
          <w:szCs w:val="24"/>
          <w:lang w:val="es-CO"/>
        </w:rPr>
        <w:t xml:space="preserve"> pro operario</w:t>
      </w:r>
      <w:r w:rsidR="00FE175A" w:rsidRPr="00B82BBC">
        <w:rPr>
          <w:rFonts w:ascii="Tahoma" w:hAnsi="Tahoma" w:cs="Tahoma"/>
          <w:sz w:val="24"/>
          <w:szCs w:val="24"/>
          <w:lang w:val="es-CO"/>
        </w:rPr>
        <w:t xml:space="preserve">, </w:t>
      </w:r>
      <w:r w:rsidR="00CC0BDA" w:rsidRPr="00B82BBC">
        <w:rPr>
          <w:rFonts w:ascii="Tahoma" w:hAnsi="Tahoma" w:cs="Tahoma"/>
          <w:sz w:val="24"/>
          <w:szCs w:val="24"/>
          <w:lang w:val="es-CO"/>
        </w:rPr>
        <w:t xml:space="preserve">ya que </w:t>
      </w:r>
      <w:r w:rsidR="00FE175A" w:rsidRPr="00B82BBC">
        <w:rPr>
          <w:rFonts w:ascii="Tahoma" w:hAnsi="Tahoma" w:cs="Tahoma"/>
          <w:sz w:val="24"/>
          <w:szCs w:val="24"/>
          <w:lang w:val="es-CO"/>
        </w:rPr>
        <w:t xml:space="preserve">Colpensiones no probó que </w:t>
      </w:r>
      <w:r w:rsidR="00CC0BDA" w:rsidRPr="00B82BBC">
        <w:rPr>
          <w:rFonts w:ascii="Tahoma" w:hAnsi="Tahoma" w:cs="Tahoma"/>
          <w:sz w:val="24"/>
          <w:szCs w:val="24"/>
          <w:lang w:val="es-CO"/>
        </w:rPr>
        <w:t xml:space="preserve">las mismas </w:t>
      </w:r>
      <w:r w:rsidR="00FE175A" w:rsidRPr="00B82BBC">
        <w:rPr>
          <w:rFonts w:ascii="Tahoma" w:hAnsi="Tahoma" w:cs="Tahoma"/>
          <w:sz w:val="24"/>
          <w:szCs w:val="24"/>
          <w:lang w:val="es-CO"/>
        </w:rPr>
        <w:t xml:space="preserve">se hubieran </w:t>
      </w:r>
      <w:r w:rsidR="00CC0BDA" w:rsidRPr="00B82BBC">
        <w:rPr>
          <w:rFonts w:ascii="Tahoma" w:hAnsi="Tahoma" w:cs="Tahoma"/>
          <w:sz w:val="24"/>
          <w:szCs w:val="24"/>
          <w:lang w:val="es-CO"/>
        </w:rPr>
        <w:t xml:space="preserve">efectuado </w:t>
      </w:r>
      <w:r w:rsidR="00FE175A" w:rsidRPr="00B82BBC">
        <w:rPr>
          <w:rFonts w:ascii="Tahoma" w:hAnsi="Tahoma" w:cs="Tahoma"/>
          <w:sz w:val="24"/>
          <w:szCs w:val="24"/>
          <w:lang w:val="es-CO"/>
        </w:rPr>
        <w:t>con dolo.</w:t>
      </w:r>
    </w:p>
    <w:p w14:paraId="323342B2" w14:textId="77777777" w:rsidR="00A31306" w:rsidRPr="00B82BBC" w:rsidRDefault="00A31306" w:rsidP="00B82BBC">
      <w:pPr>
        <w:spacing w:line="276" w:lineRule="auto"/>
        <w:ind w:firstLine="708"/>
        <w:rPr>
          <w:rFonts w:ascii="Tahoma" w:hAnsi="Tahoma" w:cs="Tahoma"/>
          <w:sz w:val="24"/>
          <w:szCs w:val="24"/>
          <w:lang w:val="es-CO"/>
        </w:rPr>
      </w:pPr>
    </w:p>
    <w:p w14:paraId="739280F3" w14:textId="77777777" w:rsidR="00A31306" w:rsidRPr="00B82BBC" w:rsidRDefault="00A31306" w:rsidP="00B82BBC">
      <w:pPr>
        <w:pStyle w:val="Prrafodelista"/>
        <w:widowControl w:val="0"/>
        <w:numPr>
          <w:ilvl w:val="0"/>
          <w:numId w:val="2"/>
        </w:numPr>
        <w:autoSpaceDE w:val="0"/>
        <w:autoSpaceDN w:val="0"/>
        <w:adjustRightInd w:val="0"/>
        <w:spacing w:line="276" w:lineRule="auto"/>
        <w:jc w:val="center"/>
        <w:rPr>
          <w:rFonts w:ascii="Tahoma" w:hAnsi="Tahoma" w:cs="Tahoma"/>
          <w:b/>
          <w:caps/>
        </w:rPr>
      </w:pPr>
      <w:r w:rsidRPr="00B82BBC">
        <w:rPr>
          <w:rFonts w:ascii="Tahoma" w:hAnsi="Tahoma" w:cs="Tahoma"/>
          <w:b/>
        </w:rPr>
        <w:t>Alegatos de conclusión</w:t>
      </w:r>
    </w:p>
    <w:p w14:paraId="5669E5C2" w14:textId="77777777" w:rsidR="00A31306" w:rsidRPr="00B82BBC" w:rsidRDefault="00A31306" w:rsidP="00B82BBC">
      <w:pPr>
        <w:widowControl w:val="0"/>
        <w:autoSpaceDE w:val="0"/>
        <w:autoSpaceDN w:val="0"/>
        <w:adjustRightInd w:val="0"/>
        <w:spacing w:line="276" w:lineRule="auto"/>
        <w:rPr>
          <w:rFonts w:ascii="Tahoma" w:hAnsi="Tahoma" w:cs="Tahoma"/>
          <w:sz w:val="24"/>
          <w:szCs w:val="24"/>
        </w:rPr>
      </w:pPr>
    </w:p>
    <w:p w14:paraId="37A02A81" w14:textId="7587C685" w:rsidR="00A31306" w:rsidRPr="00B82BBC" w:rsidRDefault="00A31306" w:rsidP="00B82BBC">
      <w:pPr>
        <w:spacing w:line="276" w:lineRule="auto"/>
        <w:ind w:firstLine="708"/>
        <w:rPr>
          <w:rStyle w:val="normaltextrun"/>
          <w:rFonts w:ascii="Tahoma" w:hAnsi="Tahoma" w:cs="Tahoma"/>
          <w:color w:val="000000" w:themeColor="text1"/>
          <w:sz w:val="24"/>
          <w:szCs w:val="24"/>
        </w:rPr>
      </w:pPr>
      <w:r w:rsidRPr="00B82BBC">
        <w:rPr>
          <w:rStyle w:val="normaltextrun"/>
          <w:rFonts w:ascii="Tahoma" w:hAnsi="Tahoma" w:cs="Tahoma"/>
          <w:color w:val="000000"/>
          <w:sz w:val="24"/>
          <w:szCs w:val="24"/>
        </w:rPr>
        <w:t xml:space="preserve">Analizados los alegatos </w:t>
      </w:r>
      <w:r w:rsidR="00944B4F" w:rsidRPr="00B82BBC">
        <w:rPr>
          <w:rStyle w:val="normaltextrun"/>
          <w:rFonts w:ascii="Tahoma" w:hAnsi="Tahoma" w:cs="Tahoma"/>
          <w:color w:val="000000"/>
          <w:sz w:val="24"/>
          <w:szCs w:val="24"/>
        </w:rPr>
        <w:t xml:space="preserve">y el concepto </w:t>
      </w:r>
      <w:r w:rsidRPr="00B82BBC">
        <w:rPr>
          <w:rStyle w:val="normaltextrun"/>
          <w:rFonts w:ascii="Tahoma" w:hAnsi="Tahoma" w:cs="Tahoma"/>
          <w:color w:val="000000"/>
          <w:sz w:val="24"/>
          <w:szCs w:val="24"/>
        </w:rPr>
        <w:t xml:space="preserve">presentados por </w:t>
      </w:r>
      <w:r w:rsidR="00944B4F" w:rsidRPr="00B82BBC">
        <w:rPr>
          <w:rStyle w:val="normaltextrun"/>
          <w:rFonts w:ascii="Tahoma" w:hAnsi="Tahoma" w:cs="Tahoma"/>
          <w:color w:val="000000"/>
          <w:sz w:val="24"/>
          <w:szCs w:val="24"/>
        </w:rPr>
        <w:t>Colpensiones y el Ministerio Público, respectivamente</w:t>
      </w:r>
      <w:r w:rsidRPr="00B82BBC">
        <w:rPr>
          <w:rStyle w:val="normaltextrun"/>
          <w:rFonts w:ascii="Tahoma" w:hAnsi="Tahoma" w:cs="Tahoma"/>
          <w:color w:val="000000"/>
          <w:sz w:val="24"/>
          <w:szCs w:val="24"/>
        </w:rPr>
        <w:t>, mismos que obran </w:t>
      </w:r>
      <w:r w:rsidR="00944B4F" w:rsidRPr="00B82BBC">
        <w:rPr>
          <w:rStyle w:val="normaltextrun"/>
          <w:rFonts w:ascii="Tahoma" w:hAnsi="Tahoma" w:cs="Tahoma"/>
          <w:color w:val="000000"/>
          <w:sz w:val="24"/>
          <w:szCs w:val="24"/>
        </w:rPr>
        <w:t xml:space="preserve">por escrito </w:t>
      </w:r>
      <w:r w:rsidRPr="00B82BBC">
        <w:rPr>
          <w:rStyle w:val="normaltextrun"/>
          <w:rFonts w:ascii="Tahoma" w:hAnsi="Tahoma" w:cs="Tahoma"/>
          <w:color w:val="000000"/>
          <w:sz w:val="24"/>
          <w:szCs w:val="24"/>
        </w:rPr>
        <w:t xml:space="preserve">en el expediente </w:t>
      </w:r>
      <w:r w:rsidRPr="00B82BBC">
        <w:rPr>
          <w:rStyle w:val="normaltextrun"/>
          <w:rFonts w:ascii="Tahoma" w:hAnsi="Tahoma" w:cs="Tahoma"/>
          <w:color w:val="000000"/>
          <w:sz w:val="24"/>
          <w:szCs w:val="24"/>
        </w:rPr>
        <w:lastRenderedPageBreak/>
        <w:t>digital</w:t>
      </w:r>
      <w:r w:rsidR="00B82BBC">
        <w:rPr>
          <w:rStyle w:val="normaltextrun"/>
          <w:rFonts w:ascii="Tahoma" w:hAnsi="Tahoma" w:cs="Tahoma"/>
          <w:color w:val="000000"/>
          <w:sz w:val="24"/>
          <w:szCs w:val="24"/>
        </w:rPr>
        <w:t xml:space="preserve"> </w:t>
      </w:r>
      <w:r w:rsidRPr="00B82BBC">
        <w:rPr>
          <w:rStyle w:val="normaltextrun"/>
          <w:rFonts w:ascii="Tahoma" w:hAnsi="Tahoma" w:cs="Tahoma"/>
          <w:color w:val="000000"/>
          <w:sz w:val="24"/>
          <w:szCs w:val="24"/>
        </w:rPr>
        <w:t>y a los cuales nos remitimos por economía procesal en virtud del artículo 280 del C.G.P., la Sala encuentra que los argumentos</w:t>
      </w:r>
      <w:r w:rsidR="00B82BBC">
        <w:rPr>
          <w:rStyle w:val="normaltextrun"/>
          <w:rFonts w:ascii="Tahoma" w:hAnsi="Tahoma" w:cs="Tahoma"/>
          <w:color w:val="000000"/>
          <w:sz w:val="24"/>
          <w:szCs w:val="24"/>
        </w:rPr>
        <w:t xml:space="preserve"> </w:t>
      </w:r>
      <w:r w:rsidRPr="00B82BBC">
        <w:rPr>
          <w:rStyle w:val="normaltextrun"/>
          <w:rFonts w:ascii="Tahoma" w:hAnsi="Tahoma" w:cs="Tahoma"/>
          <w:color w:val="000000"/>
          <w:sz w:val="24"/>
          <w:szCs w:val="24"/>
        </w:rPr>
        <w:t>fácticos y jurídicos</w:t>
      </w:r>
      <w:r w:rsidR="00B82BBC">
        <w:rPr>
          <w:rStyle w:val="normaltextrun"/>
          <w:rFonts w:ascii="Tahoma" w:hAnsi="Tahoma" w:cs="Tahoma"/>
          <w:color w:val="000000"/>
          <w:sz w:val="24"/>
          <w:szCs w:val="24"/>
        </w:rPr>
        <w:t xml:space="preserve"> expresados </w:t>
      </w:r>
      <w:r w:rsidRPr="00B82BBC">
        <w:rPr>
          <w:rStyle w:val="normaltextrun"/>
          <w:rFonts w:ascii="Tahoma" w:hAnsi="Tahoma" w:cs="Tahoma"/>
          <w:color w:val="000000"/>
          <w:sz w:val="24"/>
          <w:szCs w:val="24"/>
        </w:rPr>
        <w:t>conc</w:t>
      </w:r>
      <w:r w:rsidR="00B82BBC">
        <w:rPr>
          <w:rStyle w:val="normaltextrun"/>
          <w:rFonts w:ascii="Tahoma" w:hAnsi="Tahoma" w:cs="Tahoma"/>
          <w:color w:val="000000"/>
          <w:sz w:val="24"/>
          <w:szCs w:val="24"/>
        </w:rPr>
        <w:t xml:space="preserve">uerdan con los puntos objeto de </w:t>
      </w:r>
      <w:r w:rsidRPr="00B82BBC">
        <w:rPr>
          <w:rStyle w:val="normaltextrun"/>
          <w:rFonts w:ascii="Tahoma" w:hAnsi="Tahoma" w:cs="Tahoma"/>
          <w:color w:val="000000"/>
          <w:sz w:val="24"/>
          <w:szCs w:val="24"/>
        </w:rPr>
        <w:t>discusión en esta instancia y se relacionan con el problema jurídico que se expresa a continuación.</w:t>
      </w:r>
      <w:r w:rsidR="00B82BBC">
        <w:rPr>
          <w:rStyle w:val="normaltextrun"/>
          <w:rFonts w:ascii="Tahoma" w:hAnsi="Tahoma" w:cs="Tahoma"/>
          <w:color w:val="000000"/>
          <w:sz w:val="24"/>
          <w:szCs w:val="24"/>
        </w:rPr>
        <w:t xml:space="preserve">  </w:t>
      </w:r>
      <w:r w:rsidRPr="00B82BBC">
        <w:rPr>
          <w:rStyle w:val="normaltextrun"/>
          <w:rFonts w:ascii="Tahoma" w:hAnsi="Tahoma" w:cs="Tahoma"/>
          <w:color w:val="000000" w:themeColor="text1"/>
          <w:sz w:val="24"/>
          <w:szCs w:val="24"/>
        </w:rPr>
        <w:t xml:space="preserve">Por otra parte, </w:t>
      </w:r>
      <w:r w:rsidRPr="00B82BBC">
        <w:rPr>
          <w:rStyle w:val="normaltextrun"/>
          <w:rFonts w:ascii="Tahoma" w:hAnsi="Tahoma" w:cs="Tahoma"/>
          <w:sz w:val="24"/>
          <w:szCs w:val="24"/>
        </w:rPr>
        <w:t>el Ministerio Público no rindió concepto en este asunto.</w:t>
      </w:r>
    </w:p>
    <w:p w14:paraId="168B6757" w14:textId="77777777" w:rsidR="00A31306" w:rsidRPr="00B82BBC" w:rsidRDefault="00A31306" w:rsidP="00B82BBC">
      <w:pPr>
        <w:widowControl w:val="0"/>
        <w:autoSpaceDE w:val="0"/>
        <w:autoSpaceDN w:val="0"/>
        <w:adjustRightInd w:val="0"/>
        <w:spacing w:line="276" w:lineRule="auto"/>
        <w:ind w:firstLine="0"/>
        <w:rPr>
          <w:rFonts w:ascii="Tahoma" w:hAnsi="Tahoma" w:cs="Tahoma"/>
          <w:b/>
          <w:caps/>
          <w:sz w:val="24"/>
          <w:szCs w:val="24"/>
        </w:rPr>
      </w:pPr>
    </w:p>
    <w:p w14:paraId="7D082B3A" w14:textId="77777777" w:rsidR="00A31306" w:rsidRPr="00B82BBC" w:rsidRDefault="00A31306" w:rsidP="00B82BBC">
      <w:pPr>
        <w:pStyle w:val="paragraph"/>
        <w:numPr>
          <w:ilvl w:val="0"/>
          <w:numId w:val="2"/>
        </w:numPr>
        <w:tabs>
          <w:tab w:val="left" w:pos="426"/>
        </w:tabs>
        <w:spacing w:before="0" w:beforeAutospacing="0" w:after="0" w:afterAutospacing="0" w:line="276" w:lineRule="auto"/>
        <w:jc w:val="center"/>
        <w:textAlignment w:val="baseline"/>
        <w:rPr>
          <w:rFonts w:ascii="Tahoma" w:hAnsi="Tahoma" w:cs="Tahoma"/>
          <w:b/>
        </w:rPr>
      </w:pPr>
      <w:r w:rsidRPr="00B82BBC">
        <w:rPr>
          <w:rStyle w:val="normaltextrun"/>
          <w:rFonts w:ascii="Tahoma" w:hAnsi="Tahoma" w:cs="Tahoma"/>
          <w:b/>
          <w:bCs/>
        </w:rPr>
        <w:t>Problemas jurídicos por resolver</w:t>
      </w:r>
    </w:p>
    <w:p w14:paraId="3D6F39DF" w14:textId="77777777" w:rsidR="00A31306" w:rsidRPr="00B82BBC" w:rsidRDefault="00A31306" w:rsidP="00B82BBC">
      <w:pPr>
        <w:pStyle w:val="paragraph"/>
        <w:spacing w:before="0" w:beforeAutospacing="0" w:after="0" w:afterAutospacing="0" w:line="276" w:lineRule="auto"/>
        <w:textAlignment w:val="baseline"/>
        <w:rPr>
          <w:rFonts w:ascii="Tahoma" w:hAnsi="Tahoma" w:cs="Tahoma"/>
        </w:rPr>
      </w:pPr>
      <w:r w:rsidRPr="00B82BBC">
        <w:rPr>
          <w:rStyle w:val="eop"/>
          <w:rFonts w:ascii="Tahoma" w:hAnsi="Tahoma" w:cs="Tahoma"/>
        </w:rPr>
        <w:t> </w:t>
      </w:r>
    </w:p>
    <w:p w14:paraId="6F0BE5C4" w14:textId="77777777" w:rsidR="00A31306" w:rsidRPr="00B82BBC" w:rsidRDefault="00A31306" w:rsidP="00B82BBC">
      <w:pPr>
        <w:widowControl w:val="0"/>
        <w:autoSpaceDE w:val="0"/>
        <w:autoSpaceDN w:val="0"/>
        <w:adjustRightInd w:val="0"/>
        <w:spacing w:line="276" w:lineRule="auto"/>
        <w:ind w:firstLine="708"/>
        <w:rPr>
          <w:rStyle w:val="normaltextrun"/>
          <w:rFonts w:ascii="Tahoma" w:hAnsi="Tahoma" w:cs="Tahoma"/>
          <w:sz w:val="24"/>
          <w:szCs w:val="24"/>
        </w:rPr>
      </w:pPr>
      <w:r w:rsidRPr="00B82BBC">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577FF6" w:rsidRPr="00B82BBC">
        <w:rPr>
          <w:rStyle w:val="normaltextrun"/>
          <w:rFonts w:ascii="Tahoma" w:hAnsi="Tahoma" w:cs="Tahoma"/>
          <w:sz w:val="24"/>
          <w:szCs w:val="24"/>
        </w:rPr>
        <w:t>determinar si en el presente caso se dan los presupuestos definidos jurisprudencialmente para cambiar la fecha de estructuración de la invalidez de la demandante, contabiliza</w:t>
      </w:r>
      <w:r w:rsidR="009E2E13" w:rsidRPr="00B82BBC">
        <w:rPr>
          <w:rStyle w:val="normaltextrun"/>
          <w:rFonts w:ascii="Tahoma" w:hAnsi="Tahoma" w:cs="Tahoma"/>
          <w:sz w:val="24"/>
          <w:szCs w:val="24"/>
        </w:rPr>
        <w:t>ndo aquellas semanas cotizadas con posterioridad a la calenda establecida por la Junta Nacional de Calificación de Invalidez.</w:t>
      </w:r>
    </w:p>
    <w:p w14:paraId="367A9487" w14:textId="77777777" w:rsidR="009E2A5F" w:rsidRPr="00B82BBC" w:rsidRDefault="009E2A5F" w:rsidP="00B82BBC">
      <w:pPr>
        <w:pStyle w:val="Prrafodelista"/>
        <w:spacing w:line="276" w:lineRule="auto"/>
        <w:ind w:left="709"/>
        <w:jc w:val="both"/>
        <w:textAlignment w:val="baseline"/>
        <w:rPr>
          <w:rFonts w:ascii="Tahoma" w:hAnsi="Tahoma" w:cs="Tahoma"/>
          <w:lang w:val="es-CO" w:eastAsia="es-CO"/>
        </w:rPr>
      </w:pPr>
    </w:p>
    <w:p w14:paraId="17A0D07E" w14:textId="77777777" w:rsidR="00A31306" w:rsidRPr="00B82BBC" w:rsidRDefault="00A31306" w:rsidP="00B82BBC">
      <w:pPr>
        <w:pStyle w:val="Prrafodelista"/>
        <w:widowControl w:val="0"/>
        <w:numPr>
          <w:ilvl w:val="0"/>
          <w:numId w:val="2"/>
        </w:numPr>
        <w:autoSpaceDE w:val="0"/>
        <w:autoSpaceDN w:val="0"/>
        <w:adjustRightInd w:val="0"/>
        <w:spacing w:line="276" w:lineRule="auto"/>
        <w:jc w:val="center"/>
        <w:rPr>
          <w:rFonts w:ascii="Tahoma" w:hAnsi="Tahoma" w:cs="Tahoma"/>
          <w:b/>
        </w:rPr>
      </w:pPr>
      <w:r w:rsidRPr="00B82BBC">
        <w:rPr>
          <w:rFonts w:ascii="Tahoma" w:hAnsi="Tahoma" w:cs="Tahoma"/>
          <w:b/>
        </w:rPr>
        <w:t>Consideraciones</w:t>
      </w:r>
    </w:p>
    <w:p w14:paraId="0F6B3643" w14:textId="77777777" w:rsidR="00A31306" w:rsidRPr="00B82BBC" w:rsidRDefault="00A31306" w:rsidP="00B82BBC">
      <w:pPr>
        <w:widowControl w:val="0"/>
        <w:autoSpaceDE w:val="0"/>
        <w:autoSpaceDN w:val="0"/>
        <w:adjustRightInd w:val="0"/>
        <w:spacing w:line="276" w:lineRule="auto"/>
        <w:ind w:firstLine="0"/>
        <w:rPr>
          <w:rFonts w:ascii="Tahoma" w:hAnsi="Tahoma" w:cs="Tahoma"/>
          <w:b/>
          <w:sz w:val="24"/>
          <w:szCs w:val="24"/>
        </w:rPr>
      </w:pPr>
    </w:p>
    <w:p w14:paraId="1F0D5C91" w14:textId="2167E5DF" w:rsidR="009E2E13" w:rsidRPr="00B82BBC" w:rsidRDefault="009E2E13" w:rsidP="00B82BBC">
      <w:pPr>
        <w:pStyle w:val="Textoindependiente"/>
        <w:spacing w:after="0" w:line="276" w:lineRule="auto"/>
        <w:rPr>
          <w:rFonts w:ascii="Tahoma" w:hAnsi="Tahoma" w:cs="Tahoma"/>
          <w:b/>
          <w:color w:val="000000" w:themeColor="text1"/>
          <w:sz w:val="24"/>
          <w:szCs w:val="24"/>
          <w:shd w:val="clear" w:color="auto" w:fill="FFFFFF"/>
        </w:rPr>
      </w:pPr>
      <w:r w:rsidRPr="00B82BBC">
        <w:rPr>
          <w:rFonts w:ascii="Tahoma" w:hAnsi="Tahoma" w:cs="Tahoma"/>
          <w:b/>
          <w:sz w:val="24"/>
          <w:szCs w:val="24"/>
        </w:rPr>
        <w:t xml:space="preserve">6.1 Requisitos de la pensión de Invalidez </w:t>
      </w:r>
      <w:r w:rsidR="00B82BBC">
        <w:rPr>
          <w:rFonts w:ascii="Tahoma" w:hAnsi="Tahoma" w:cs="Tahoma"/>
          <w:b/>
          <w:sz w:val="24"/>
          <w:szCs w:val="24"/>
        </w:rPr>
        <w:t>–</w:t>
      </w:r>
      <w:r w:rsidRPr="00B82BBC">
        <w:rPr>
          <w:rFonts w:ascii="Tahoma" w:hAnsi="Tahoma" w:cs="Tahoma"/>
          <w:b/>
          <w:sz w:val="24"/>
          <w:szCs w:val="24"/>
        </w:rPr>
        <w:t xml:space="preserve"> </w:t>
      </w:r>
      <w:r w:rsidRPr="00B82BBC">
        <w:rPr>
          <w:rFonts w:ascii="Tahoma" w:hAnsi="Tahoma" w:cs="Tahoma"/>
          <w:b/>
          <w:color w:val="000000" w:themeColor="text1"/>
          <w:sz w:val="24"/>
          <w:szCs w:val="24"/>
        </w:rPr>
        <w:t>Fecha</w:t>
      </w:r>
      <w:r w:rsidR="00B82BBC">
        <w:rPr>
          <w:rFonts w:ascii="Tahoma" w:hAnsi="Tahoma" w:cs="Tahoma"/>
          <w:b/>
          <w:color w:val="000000" w:themeColor="text1"/>
          <w:sz w:val="24"/>
          <w:szCs w:val="24"/>
        </w:rPr>
        <w:t xml:space="preserve"> </w:t>
      </w:r>
      <w:r w:rsidRPr="00B82BBC">
        <w:rPr>
          <w:rFonts w:ascii="Tahoma" w:hAnsi="Tahoma" w:cs="Tahoma"/>
          <w:b/>
          <w:color w:val="000000" w:themeColor="text1"/>
          <w:sz w:val="24"/>
          <w:szCs w:val="24"/>
        </w:rPr>
        <w:t>de estructuración de la PCL cuando se trata de enfermedades crónicas, progresivas o congénitas</w:t>
      </w:r>
    </w:p>
    <w:p w14:paraId="5EA4F14E" w14:textId="77777777" w:rsidR="00A31306" w:rsidRPr="00B82BBC" w:rsidRDefault="00A31306" w:rsidP="00B82BBC">
      <w:pPr>
        <w:spacing w:line="276" w:lineRule="auto"/>
        <w:rPr>
          <w:rFonts w:ascii="Tahoma" w:hAnsi="Tahoma" w:cs="Tahoma"/>
          <w:sz w:val="24"/>
          <w:szCs w:val="24"/>
        </w:rPr>
      </w:pPr>
    </w:p>
    <w:p w14:paraId="78CA13E0" w14:textId="164F2DF4" w:rsidR="009E2E13" w:rsidRPr="00B82BBC" w:rsidRDefault="00AF04DA" w:rsidP="00B82BBC">
      <w:pPr>
        <w:pStyle w:val="Textoindependiente"/>
        <w:spacing w:after="0" w:line="276" w:lineRule="auto"/>
        <w:rPr>
          <w:rFonts w:ascii="Tahoma" w:hAnsi="Tahoma" w:cs="Tahoma"/>
          <w:color w:val="000000" w:themeColor="text1"/>
          <w:sz w:val="24"/>
          <w:szCs w:val="24"/>
          <w:shd w:val="clear" w:color="auto" w:fill="FFFFFF"/>
        </w:rPr>
      </w:pPr>
      <w:r w:rsidRPr="00B82BBC">
        <w:rPr>
          <w:rFonts w:ascii="Tahoma" w:hAnsi="Tahoma" w:cs="Tahoma"/>
          <w:color w:val="000000" w:themeColor="text1"/>
          <w:sz w:val="24"/>
          <w:szCs w:val="24"/>
        </w:rPr>
        <w:t>F</w:t>
      </w:r>
      <w:r w:rsidR="009E2E13" w:rsidRPr="00B82BBC">
        <w:rPr>
          <w:rFonts w:ascii="Tahoma" w:hAnsi="Tahoma" w:cs="Tahoma"/>
          <w:color w:val="000000" w:themeColor="text1"/>
          <w:sz w:val="24"/>
          <w:szCs w:val="24"/>
        </w:rPr>
        <w:t>rente a la acreditación de la densidad de cotizaciones</w:t>
      </w:r>
      <w:r w:rsidRPr="00B82BBC">
        <w:rPr>
          <w:rFonts w:ascii="Tahoma" w:hAnsi="Tahoma" w:cs="Tahoma"/>
          <w:color w:val="000000" w:themeColor="text1"/>
          <w:sz w:val="24"/>
          <w:szCs w:val="24"/>
        </w:rPr>
        <w:t xml:space="preserve"> exigida por el artículo 1º de la Ley 860 de 2003</w:t>
      </w:r>
      <w:r w:rsidR="009E2E13" w:rsidRPr="00B82BBC">
        <w:rPr>
          <w:rFonts w:ascii="Tahoma" w:hAnsi="Tahoma" w:cs="Tahoma"/>
          <w:color w:val="000000" w:themeColor="text1"/>
          <w:sz w:val="24"/>
          <w:szCs w:val="24"/>
        </w:rPr>
        <w:t xml:space="preserve">, la Sala de Casación Laboral de la Corte Suprema de Justicia en las sentencias </w:t>
      </w:r>
      <w:r w:rsidR="009E2E13" w:rsidRPr="00B82BBC">
        <w:rPr>
          <w:rFonts w:ascii="Tahoma" w:hAnsi="Tahoma" w:cs="Tahoma"/>
          <w:sz w:val="24"/>
          <w:szCs w:val="24"/>
        </w:rPr>
        <w:t>SL9203-2017 y SL 16374-2015, reiteradas en la SL 11229 del 25 de julio de 2017</w:t>
      </w:r>
      <w:r w:rsidR="009E2E13" w:rsidRPr="00B82BBC">
        <w:rPr>
          <w:rFonts w:ascii="Tahoma" w:hAnsi="Tahoma" w:cs="Tahoma"/>
          <w:color w:val="000000" w:themeColor="text1"/>
          <w:sz w:val="24"/>
          <w:szCs w:val="24"/>
        </w:rPr>
        <w:t xml:space="preserve">, ha </w:t>
      </w:r>
      <w:r w:rsidRPr="00B82BBC">
        <w:rPr>
          <w:rFonts w:ascii="Tahoma" w:hAnsi="Tahoma" w:cs="Tahoma"/>
          <w:color w:val="000000" w:themeColor="text1"/>
          <w:sz w:val="24"/>
          <w:szCs w:val="24"/>
        </w:rPr>
        <w:t>establecido</w:t>
      </w:r>
      <w:r w:rsidR="009E2E13" w:rsidRPr="00B82BBC">
        <w:rPr>
          <w:rFonts w:ascii="Tahoma" w:hAnsi="Tahoma" w:cs="Tahoma"/>
          <w:color w:val="000000" w:themeColor="text1"/>
          <w:sz w:val="24"/>
          <w:szCs w:val="24"/>
        </w:rPr>
        <w:t xml:space="preserve"> que </w:t>
      </w:r>
      <w:r w:rsidRPr="00B82BBC">
        <w:rPr>
          <w:rFonts w:ascii="Tahoma" w:hAnsi="Tahoma" w:cs="Tahoma"/>
          <w:color w:val="000000" w:themeColor="text1"/>
          <w:sz w:val="24"/>
          <w:szCs w:val="24"/>
        </w:rPr>
        <w:t xml:space="preserve">la misma </w:t>
      </w:r>
      <w:r w:rsidR="009E2E13" w:rsidRPr="00B82BBC">
        <w:rPr>
          <w:rFonts w:ascii="Tahoma" w:hAnsi="Tahoma" w:cs="Tahoma"/>
          <w:color w:val="000000" w:themeColor="text1"/>
          <w:sz w:val="24"/>
          <w:szCs w:val="24"/>
        </w:rPr>
        <w:t xml:space="preserve">debe </w:t>
      </w:r>
      <w:r w:rsidRPr="00B82BBC">
        <w:rPr>
          <w:rFonts w:ascii="Tahoma" w:hAnsi="Tahoma" w:cs="Tahoma"/>
          <w:color w:val="000000" w:themeColor="text1"/>
          <w:sz w:val="24"/>
          <w:szCs w:val="24"/>
        </w:rPr>
        <w:t xml:space="preserve">acreditarse </w:t>
      </w:r>
      <w:r w:rsidR="009E2E13" w:rsidRPr="00B82BBC">
        <w:rPr>
          <w:rFonts w:ascii="Tahoma" w:hAnsi="Tahoma" w:cs="Tahoma"/>
          <w:color w:val="000000" w:themeColor="text1"/>
          <w:sz w:val="24"/>
          <w:szCs w:val="24"/>
        </w:rPr>
        <w:t xml:space="preserve">con anterioridad a la determinación de la </w:t>
      </w:r>
      <w:r w:rsidRPr="00B82BBC">
        <w:rPr>
          <w:rFonts w:ascii="Tahoma" w:hAnsi="Tahoma" w:cs="Tahoma"/>
          <w:color w:val="000000" w:themeColor="text1"/>
          <w:sz w:val="24"/>
          <w:szCs w:val="24"/>
        </w:rPr>
        <w:t>pérdida de capacidad laboral</w:t>
      </w:r>
      <w:r w:rsidR="009E2E13" w:rsidRPr="00B82BBC">
        <w:rPr>
          <w:rFonts w:ascii="Tahoma" w:hAnsi="Tahoma" w:cs="Tahoma"/>
          <w:color w:val="000000" w:themeColor="text1"/>
          <w:sz w:val="24"/>
          <w:szCs w:val="24"/>
        </w:rPr>
        <w:t xml:space="preserve">, </w:t>
      </w:r>
      <w:r w:rsidRPr="00B82BBC">
        <w:rPr>
          <w:rFonts w:ascii="Tahoma" w:hAnsi="Tahoma" w:cs="Tahoma"/>
          <w:color w:val="000000" w:themeColor="text1"/>
          <w:sz w:val="24"/>
          <w:szCs w:val="24"/>
        </w:rPr>
        <w:t xml:space="preserve">tal como lo han determinado </w:t>
      </w:r>
      <w:r w:rsidR="009E2E13" w:rsidRPr="00B82BBC">
        <w:rPr>
          <w:rFonts w:ascii="Tahoma" w:hAnsi="Tahoma" w:cs="Tahoma"/>
          <w:color w:val="000000" w:themeColor="text1"/>
          <w:sz w:val="24"/>
          <w:szCs w:val="24"/>
        </w:rPr>
        <w:t xml:space="preserve">las </w:t>
      </w:r>
      <w:r w:rsidRPr="00B82BBC">
        <w:rPr>
          <w:rFonts w:ascii="Tahoma" w:hAnsi="Tahoma" w:cs="Tahoma"/>
          <w:color w:val="000000" w:themeColor="text1"/>
          <w:sz w:val="24"/>
          <w:szCs w:val="24"/>
        </w:rPr>
        <w:t xml:space="preserve">distintas </w:t>
      </w:r>
      <w:r w:rsidR="009E2E13" w:rsidRPr="00B82BBC">
        <w:rPr>
          <w:rFonts w:ascii="Tahoma" w:hAnsi="Tahoma" w:cs="Tahoma"/>
          <w:color w:val="000000" w:themeColor="text1"/>
          <w:sz w:val="24"/>
          <w:szCs w:val="24"/>
        </w:rPr>
        <w:t xml:space="preserve">normativas que </w:t>
      </w:r>
      <w:r w:rsidRPr="00B82BBC">
        <w:rPr>
          <w:rFonts w:ascii="Tahoma" w:hAnsi="Tahoma" w:cs="Tahoma"/>
          <w:color w:val="000000" w:themeColor="text1"/>
          <w:sz w:val="24"/>
          <w:szCs w:val="24"/>
        </w:rPr>
        <w:t xml:space="preserve">han </w:t>
      </w:r>
      <w:r w:rsidR="009E2E13" w:rsidRPr="00B82BBC">
        <w:rPr>
          <w:rFonts w:ascii="Tahoma" w:hAnsi="Tahoma" w:cs="Tahoma"/>
          <w:color w:val="000000" w:themeColor="text1"/>
          <w:sz w:val="24"/>
          <w:szCs w:val="24"/>
        </w:rPr>
        <w:t>regula</w:t>
      </w:r>
      <w:r w:rsidRPr="00B82BBC">
        <w:rPr>
          <w:rFonts w:ascii="Tahoma" w:hAnsi="Tahoma" w:cs="Tahoma"/>
          <w:color w:val="000000" w:themeColor="text1"/>
          <w:sz w:val="24"/>
          <w:szCs w:val="24"/>
        </w:rPr>
        <w:t>do</w:t>
      </w:r>
      <w:r w:rsidR="009E2E13" w:rsidRPr="00B82BBC">
        <w:rPr>
          <w:rFonts w:ascii="Tahoma" w:hAnsi="Tahoma" w:cs="Tahoma"/>
          <w:color w:val="000000" w:themeColor="text1"/>
          <w:sz w:val="24"/>
          <w:szCs w:val="24"/>
        </w:rPr>
        <w:t xml:space="preserve"> el reconocimiento de la pensión de invalidez</w:t>
      </w:r>
      <w:r w:rsidRPr="00B82BBC">
        <w:rPr>
          <w:rFonts w:ascii="Tahoma" w:hAnsi="Tahoma" w:cs="Tahoma"/>
          <w:color w:val="000000" w:themeColor="text1"/>
          <w:sz w:val="24"/>
          <w:szCs w:val="24"/>
        </w:rPr>
        <w:t xml:space="preserve"> a lo largo del tiempo</w:t>
      </w:r>
      <w:r w:rsidR="009E2E13" w:rsidRPr="00B82BBC">
        <w:rPr>
          <w:rFonts w:ascii="Tahoma" w:hAnsi="Tahoma" w:cs="Tahoma"/>
          <w:color w:val="000000" w:themeColor="text1"/>
          <w:sz w:val="24"/>
          <w:szCs w:val="24"/>
        </w:rPr>
        <w:t>.</w:t>
      </w:r>
    </w:p>
    <w:p w14:paraId="7B6970B5" w14:textId="77777777" w:rsidR="009E2E13" w:rsidRPr="00B82BBC" w:rsidRDefault="009E2E13" w:rsidP="00B82BBC">
      <w:pPr>
        <w:pStyle w:val="Textoindependiente"/>
        <w:spacing w:after="0" w:line="276" w:lineRule="auto"/>
        <w:rPr>
          <w:rFonts w:ascii="Tahoma" w:hAnsi="Tahoma" w:cs="Tahoma"/>
          <w:color w:val="000000" w:themeColor="text1"/>
          <w:sz w:val="24"/>
          <w:szCs w:val="24"/>
          <w:shd w:val="clear" w:color="auto" w:fill="FFFFFF"/>
        </w:rPr>
      </w:pPr>
    </w:p>
    <w:p w14:paraId="1715C52B" w14:textId="77777777" w:rsidR="009E2E13" w:rsidRPr="00B82BBC" w:rsidRDefault="00AF04DA" w:rsidP="00B82BBC">
      <w:pPr>
        <w:pStyle w:val="Textoindependiente"/>
        <w:spacing w:after="0" w:line="276" w:lineRule="auto"/>
        <w:rPr>
          <w:rFonts w:ascii="Tahoma" w:hAnsi="Tahoma" w:cs="Tahoma"/>
          <w:color w:val="000000" w:themeColor="text1"/>
          <w:sz w:val="24"/>
          <w:szCs w:val="24"/>
          <w:shd w:val="clear" w:color="auto" w:fill="FFFFFF"/>
        </w:rPr>
      </w:pPr>
      <w:r w:rsidRPr="00B82BBC">
        <w:rPr>
          <w:rFonts w:ascii="Tahoma" w:hAnsi="Tahoma" w:cs="Tahoma"/>
          <w:color w:val="000000" w:themeColor="text1"/>
          <w:sz w:val="24"/>
          <w:szCs w:val="24"/>
        </w:rPr>
        <w:t xml:space="preserve">Pese a lo anterior, ha </w:t>
      </w:r>
      <w:r w:rsidR="009E2E13" w:rsidRPr="00B82BBC">
        <w:rPr>
          <w:rFonts w:ascii="Tahoma" w:hAnsi="Tahoma" w:cs="Tahoma"/>
          <w:color w:val="000000" w:themeColor="text1"/>
          <w:sz w:val="24"/>
          <w:szCs w:val="24"/>
        </w:rPr>
        <w:t>a</w:t>
      </w:r>
      <w:r w:rsidRPr="00B82BBC">
        <w:rPr>
          <w:rFonts w:ascii="Tahoma" w:hAnsi="Tahoma" w:cs="Tahoma"/>
          <w:color w:val="000000" w:themeColor="text1"/>
          <w:sz w:val="24"/>
          <w:szCs w:val="24"/>
        </w:rPr>
        <w:t>ceptado el alto tribunal l</w:t>
      </w:r>
      <w:r w:rsidR="009E2E13" w:rsidRPr="00B82BBC">
        <w:rPr>
          <w:rFonts w:ascii="Tahoma" w:hAnsi="Tahoma" w:cs="Tahoma"/>
          <w:color w:val="000000" w:themeColor="text1"/>
          <w:sz w:val="24"/>
          <w:szCs w:val="24"/>
        </w:rPr>
        <w:t xml:space="preserve">a </w:t>
      </w:r>
      <w:r w:rsidRPr="00B82BBC">
        <w:rPr>
          <w:rFonts w:ascii="Tahoma" w:hAnsi="Tahoma" w:cs="Tahoma"/>
          <w:color w:val="000000" w:themeColor="text1"/>
          <w:sz w:val="24"/>
          <w:szCs w:val="24"/>
        </w:rPr>
        <w:t xml:space="preserve">postura establecida por </w:t>
      </w:r>
      <w:r w:rsidR="006E6CE1" w:rsidRPr="00B82BBC">
        <w:rPr>
          <w:rFonts w:ascii="Tahoma" w:hAnsi="Tahoma" w:cs="Tahoma"/>
          <w:color w:val="000000" w:themeColor="text1"/>
          <w:sz w:val="24"/>
          <w:szCs w:val="24"/>
        </w:rPr>
        <w:t xml:space="preserve">la Corte </w:t>
      </w:r>
      <w:r w:rsidR="009E2E13" w:rsidRPr="00B82BBC">
        <w:rPr>
          <w:rFonts w:ascii="Tahoma" w:hAnsi="Tahoma" w:cs="Tahoma"/>
          <w:color w:val="000000" w:themeColor="text1"/>
          <w:sz w:val="24"/>
          <w:szCs w:val="24"/>
        </w:rPr>
        <w:t>Constitucional en la sentencia SU-588 de 2016, consistente en que una vez acreditada la existencia de una enfermedad crónica</w:t>
      </w:r>
      <w:r w:rsidRPr="00B82BBC">
        <w:rPr>
          <w:rFonts w:ascii="Tahoma" w:hAnsi="Tahoma" w:cs="Tahoma"/>
          <w:color w:val="000000" w:themeColor="text1"/>
          <w:sz w:val="24"/>
          <w:szCs w:val="24"/>
        </w:rPr>
        <w:t>,</w:t>
      </w:r>
      <w:r w:rsidR="009E2E13" w:rsidRPr="00B82BBC">
        <w:rPr>
          <w:rFonts w:ascii="Tahoma" w:hAnsi="Tahoma" w:cs="Tahoma"/>
          <w:color w:val="000000" w:themeColor="text1"/>
          <w:sz w:val="24"/>
          <w:szCs w:val="24"/>
        </w:rPr>
        <w:t xml:space="preserve"> degenerativa </w:t>
      </w:r>
      <w:r w:rsidRPr="00B82BBC">
        <w:rPr>
          <w:rFonts w:ascii="Tahoma" w:hAnsi="Tahoma" w:cs="Tahoma"/>
          <w:color w:val="000000" w:themeColor="text1"/>
          <w:sz w:val="24"/>
          <w:szCs w:val="24"/>
        </w:rPr>
        <w:t xml:space="preserve">o congénita, así como </w:t>
      </w:r>
      <w:r w:rsidR="009E2E13" w:rsidRPr="00B82BBC">
        <w:rPr>
          <w:rFonts w:ascii="Tahoma" w:hAnsi="Tahoma" w:cs="Tahoma"/>
          <w:color w:val="000000" w:themeColor="text1"/>
          <w:sz w:val="24"/>
          <w:szCs w:val="24"/>
        </w:rPr>
        <w:t xml:space="preserve">de aportes fruto de la capacidad laboral residual, pueden tenerse en cuenta </w:t>
      </w:r>
      <w:r w:rsidRPr="00B82BBC">
        <w:rPr>
          <w:rFonts w:ascii="Tahoma" w:hAnsi="Tahoma" w:cs="Tahoma"/>
          <w:color w:val="000000" w:themeColor="text1"/>
          <w:sz w:val="24"/>
          <w:szCs w:val="24"/>
        </w:rPr>
        <w:t>aquellas semanas aportadas con posterioridad a la fecha de estructuración</w:t>
      </w:r>
      <w:r w:rsidR="003D70B9" w:rsidRPr="00B82BBC">
        <w:rPr>
          <w:rFonts w:ascii="Tahoma" w:hAnsi="Tahoma" w:cs="Tahoma"/>
          <w:color w:val="000000" w:themeColor="text1"/>
          <w:sz w:val="24"/>
          <w:szCs w:val="24"/>
        </w:rPr>
        <w:t>,</w:t>
      </w:r>
      <w:r w:rsidRPr="00B82BBC">
        <w:rPr>
          <w:rFonts w:ascii="Tahoma" w:hAnsi="Tahoma" w:cs="Tahoma"/>
          <w:color w:val="000000" w:themeColor="text1"/>
          <w:sz w:val="24"/>
          <w:szCs w:val="24"/>
        </w:rPr>
        <w:t xml:space="preserve"> </w:t>
      </w:r>
      <w:r w:rsidR="009E2E13" w:rsidRPr="00B82BBC">
        <w:rPr>
          <w:rFonts w:ascii="Tahoma" w:hAnsi="Tahoma" w:cs="Tahoma"/>
          <w:color w:val="000000" w:themeColor="text1"/>
          <w:sz w:val="24"/>
          <w:szCs w:val="24"/>
        </w:rPr>
        <w:t xml:space="preserve">para verificar el cumplimiento de la densidad de cotizaciones que demanda el artículo 1º </w:t>
      </w:r>
      <w:r w:rsidRPr="00B82BBC">
        <w:rPr>
          <w:rFonts w:ascii="Tahoma" w:hAnsi="Tahoma" w:cs="Tahoma"/>
          <w:color w:val="000000" w:themeColor="text1"/>
          <w:sz w:val="24"/>
          <w:szCs w:val="24"/>
        </w:rPr>
        <w:t>en comento</w:t>
      </w:r>
      <w:r w:rsidR="003D70B9" w:rsidRPr="00B82BBC">
        <w:rPr>
          <w:rFonts w:ascii="Tahoma" w:hAnsi="Tahoma" w:cs="Tahoma"/>
          <w:color w:val="000000" w:themeColor="text1"/>
          <w:sz w:val="24"/>
          <w:szCs w:val="24"/>
        </w:rPr>
        <w:t>, siempre y cu</w:t>
      </w:r>
      <w:r w:rsidR="001F6012" w:rsidRPr="00B82BBC">
        <w:rPr>
          <w:rFonts w:ascii="Tahoma" w:hAnsi="Tahoma" w:cs="Tahoma"/>
          <w:color w:val="000000" w:themeColor="text1"/>
          <w:sz w:val="24"/>
          <w:szCs w:val="24"/>
        </w:rPr>
        <w:t>a</w:t>
      </w:r>
      <w:r w:rsidR="003D70B9" w:rsidRPr="00B82BBC">
        <w:rPr>
          <w:rFonts w:ascii="Tahoma" w:hAnsi="Tahoma" w:cs="Tahoma"/>
          <w:color w:val="000000" w:themeColor="text1"/>
          <w:sz w:val="24"/>
          <w:szCs w:val="24"/>
        </w:rPr>
        <w:t xml:space="preserve">ndo las mismas se hayan </w:t>
      </w:r>
      <w:r w:rsidR="001F6012" w:rsidRPr="00B82BBC">
        <w:rPr>
          <w:rFonts w:ascii="Tahoma" w:hAnsi="Tahoma" w:cs="Tahoma"/>
          <w:color w:val="000000" w:themeColor="text1"/>
          <w:sz w:val="24"/>
          <w:szCs w:val="24"/>
        </w:rPr>
        <w:t>realizado</w:t>
      </w:r>
      <w:r w:rsidR="003D70B9" w:rsidRPr="00B82BBC">
        <w:rPr>
          <w:rFonts w:ascii="Tahoma" w:hAnsi="Tahoma" w:cs="Tahoma"/>
          <w:color w:val="000000" w:themeColor="text1"/>
          <w:sz w:val="24"/>
          <w:szCs w:val="24"/>
        </w:rPr>
        <w:t xml:space="preserve"> </w:t>
      </w:r>
      <w:r w:rsidR="009E2E13" w:rsidRPr="00B82BBC">
        <w:rPr>
          <w:rFonts w:ascii="Tahoma" w:hAnsi="Tahoma" w:cs="Tahoma"/>
          <w:color w:val="000000" w:themeColor="text1"/>
          <w:sz w:val="24"/>
          <w:szCs w:val="24"/>
        </w:rPr>
        <w:t>con anterioridad a la fecha de (i) calificación de la invalidez, (ii) última cotización efectuada y (iii) de la solicitud del reconocimiento pensional.</w:t>
      </w:r>
    </w:p>
    <w:p w14:paraId="3939CE60" w14:textId="77777777" w:rsidR="009E2E13" w:rsidRPr="00B82BBC" w:rsidRDefault="009E2E13" w:rsidP="00B82BBC">
      <w:pPr>
        <w:pStyle w:val="Textoindependiente"/>
        <w:spacing w:after="0" w:line="276" w:lineRule="auto"/>
        <w:rPr>
          <w:rFonts w:ascii="Tahoma" w:hAnsi="Tahoma" w:cs="Tahoma"/>
          <w:color w:val="000000" w:themeColor="text1"/>
          <w:sz w:val="24"/>
          <w:szCs w:val="24"/>
          <w:shd w:val="clear" w:color="auto" w:fill="FFFFFF"/>
        </w:rPr>
      </w:pPr>
    </w:p>
    <w:p w14:paraId="79AF04D9" w14:textId="6C87AB36" w:rsidR="009E2E13" w:rsidRPr="00B82BBC" w:rsidRDefault="00AF04DA" w:rsidP="00B82BBC">
      <w:pPr>
        <w:pStyle w:val="Textoindependiente"/>
        <w:spacing w:after="0" w:line="276" w:lineRule="auto"/>
        <w:rPr>
          <w:rFonts w:ascii="Tahoma" w:hAnsi="Tahoma" w:cs="Tahoma"/>
          <w:color w:val="000000" w:themeColor="text1"/>
          <w:sz w:val="24"/>
          <w:szCs w:val="24"/>
          <w:shd w:val="clear" w:color="auto" w:fill="FFFFFF"/>
        </w:rPr>
      </w:pPr>
      <w:r w:rsidRPr="00B82BBC">
        <w:rPr>
          <w:rFonts w:ascii="Tahoma" w:hAnsi="Tahoma" w:cs="Tahoma"/>
          <w:color w:val="000000" w:themeColor="text1"/>
          <w:sz w:val="24"/>
          <w:szCs w:val="24"/>
        </w:rPr>
        <w:t xml:space="preserve">Ahora bien, es evidente que recae en la parte actora </w:t>
      </w:r>
      <w:r w:rsidR="009E2E13" w:rsidRPr="00B82BBC">
        <w:rPr>
          <w:rFonts w:ascii="Tahoma" w:hAnsi="Tahoma" w:cs="Tahoma"/>
          <w:color w:val="000000" w:themeColor="text1"/>
          <w:sz w:val="24"/>
          <w:szCs w:val="24"/>
        </w:rPr>
        <w:t>la carga de probar</w:t>
      </w:r>
      <w:r w:rsidRPr="00B82BBC">
        <w:rPr>
          <w:rFonts w:ascii="Tahoma" w:hAnsi="Tahoma" w:cs="Tahoma"/>
          <w:color w:val="000000" w:themeColor="text1"/>
          <w:sz w:val="24"/>
          <w:szCs w:val="24"/>
        </w:rPr>
        <w:t xml:space="preserve"> los anteriores presupuestos </w:t>
      </w:r>
      <w:r w:rsidR="009E2E13" w:rsidRPr="00B82BBC">
        <w:rPr>
          <w:rFonts w:ascii="Tahoma" w:hAnsi="Tahoma" w:cs="Tahoma"/>
          <w:color w:val="000000" w:themeColor="text1"/>
          <w:sz w:val="24"/>
          <w:szCs w:val="24"/>
        </w:rPr>
        <w:t>para beneficiarse del</w:t>
      </w:r>
      <w:r w:rsidRPr="00B82BBC">
        <w:rPr>
          <w:rFonts w:ascii="Tahoma" w:hAnsi="Tahoma" w:cs="Tahoma"/>
          <w:color w:val="000000" w:themeColor="text1"/>
          <w:sz w:val="24"/>
          <w:szCs w:val="24"/>
        </w:rPr>
        <w:t xml:space="preserve"> precedente </w:t>
      </w:r>
      <w:r w:rsidR="001F6012" w:rsidRPr="00B82BBC">
        <w:rPr>
          <w:rFonts w:ascii="Tahoma" w:hAnsi="Tahoma" w:cs="Tahoma"/>
          <w:color w:val="000000" w:themeColor="text1"/>
          <w:sz w:val="24"/>
          <w:szCs w:val="24"/>
        </w:rPr>
        <w:t>de la Corte Constitucional</w:t>
      </w:r>
      <w:r w:rsidR="009E2E13" w:rsidRPr="00B82BBC">
        <w:rPr>
          <w:rFonts w:ascii="Tahoma" w:hAnsi="Tahoma" w:cs="Tahoma"/>
          <w:color w:val="000000" w:themeColor="text1"/>
          <w:sz w:val="24"/>
          <w:szCs w:val="24"/>
        </w:rPr>
        <w:t xml:space="preserve">, </w:t>
      </w:r>
      <w:r w:rsidRPr="00B82BBC">
        <w:rPr>
          <w:rFonts w:ascii="Tahoma" w:hAnsi="Tahoma" w:cs="Tahoma"/>
          <w:color w:val="000000" w:themeColor="text1"/>
          <w:sz w:val="24"/>
          <w:szCs w:val="24"/>
        </w:rPr>
        <w:t>habi</w:t>
      </w:r>
      <w:r w:rsidR="001F6012" w:rsidRPr="00B82BBC">
        <w:rPr>
          <w:rFonts w:ascii="Tahoma" w:hAnsi="Tahoma" w:cs="Tahoma"/>
          <w:color w:val="000000" w:themeColor="text1"/>
          <w:sz w:val="24"/>
          <w:szCs w:val="24"/>
        </w:rPr>
        <w:t>d</w:t>
      </w:r>
      <w:r w:rsidRPr="00B82BBC">
        <w:rPr>
          <w:rFonts w:ascii="Tahoma" w:hAnsi="Tahoma" w:cs="Tahoma"/>
          <w:color w:val="000000" w:themeColor="text1"/>
          <w:sz w:val="24"/>
          <w:szCs w:val="24"/>
        </w:rPr>
        <w:t>a consideración que t</w:t>
      </w:r>
      <w:r w:rsidR="009E2E13" w:rsidRPr="00B82BBC">
        <w:rPr>
          <w:rFonts w:ascii="Tahoma" w:hAnsi="Tahoma" w:cs="Tahoma"/>
          <w:color w:val="000000" w:themeColor="text1"/>
          <w:sz w:val="24"/>
          <w:szCs w:val="24"/>
        </w:rPr>
        <w:t xml:space="preserve">oda decisión debe estar fundada en la prueba regular y oportunamente allegada al proceso y analizada de acuerdo con las reglas de la sana crítica, </w:t>
      </w:r>
      <w:r w:rsidRPr="00B82BBC">
        <w:rPr>
          <w:rFonts w:ascii="Tahoma" w:hAnsi="Tahoma" w:cs="Tahoma"/>
          <w:color w:val="000000" w:themeColor="text1"/>
          <w:sz w:val="24"/>
          <w:szCs w:val="24"/>
        </w:rPr>
        <w:t xml:space="preserve">tal como lo prevén </w:t>
      </w:r>
      <w:r w:rsidR="009E2E13" w:rsidRPr="00B82BBC">
        <w:rPr>
          <w:rFonts w:ascii="Tahoma" w:hAnsi="Tahoma" w:cs="Tahoma"/>
          <w:color w:val="000000" w:themeColor="text1"/>
          <w:sz w:val="24"/>
          <w:szCs w:val="24"/>
        </w:rPr>
        <w:t xml:space="preserve">los artículos 164 y 167 del C.G.P., </w:t>
      </w:r>
      <w:r w:rsidRPr="00B82BBC">
        <w:rPr>
          <w:rFonts w:ascii="Tahoma" w:hAnsi="Tahoma" w:cs="Tahoma"/>
          <w:color w:val="000000" w:themeColor="text1"/>
          <w:sz w:val="24"/>
          <w:szCs w:val="24"/>
        </w:rPr>
        <w:t xml:space="preserve">aplicables </w:t>
      </w:r>
      <w:r w:rsidR="009E2E13" w:rsidRPr="00B82BBC">
        <w:rPr>
          <w:rFonts w:ascii="Tahoma" w:hAnsi="Tahoma" w:cs="Tahoma"/>
          <w:color w:val="000000" w:themeColor="text1"/>
          <w:sz w:val="24"/>
          <w:szCs w:val="24"/>
        </w:rPr>
        <w:t xml:space="preserve">en materia laboral por remisión que </w:t>
      </w:r>
      <w:r w:rsidRPr="00B82BBC">
        <w:rPr>
          <w:rFonts w:ascii="Tahoma" w:hAnsi="Tahoma" w:cs="Tahoma"/>
          <w:color w:val="000000" w:themeColor="text1"/>
          <w:sz w:val="24"/>
          <w:szCs w:val="24"/>
        </w:rPr>
        <w:t>d</w:t>
      </w:r>
      <w:r w:rsidR="009E2E13" w:rsidRPr="00B82BBC">
        <w:rPr>
          <w:rFonts w:ascii="Tahoma" w:hAnsi="Tahoma" w:cs="Tahoma"/>
          <w:color w:val="000000" w:themeColor="text1"/>
          <w:sz w:val="24"/>
          <w:szCs w:val="24"/>
        </w:rPr>
        <w:t xml:space="preserve">el </w:t>
      </w:r>
      <w:r w:rsidRPr="00B82BBC">
        <w:rPr>
          <w:rFonts w:ascii="Tahoma" w:hAnsi="Tahoma" w:cs="Tahoma"/>
          <w:color w:val="000000" w:themeColor="text1"/>
          <w:sz w:val="24"/>
          <w:szCs w:val="24"/>
        </w:rPr>
        <w:t xml:space="preserve">artículo </w:t>
      </w:r>
      <w:r w:rsidR="009E2E13" w:rsidRPr="00B82BBC">
        <w:rPr>
          <w:rFonts w:ascii="Tahoma" w:hAnsi="Tahoma" w:cs="Tahoma"/>
          <w:color w:val="000000" w:themeColor="text1"/>
          <w:sz w:val="24"/>
          <w:szCs w:val="24"/>
        </w:rPr>
        <w:t>145 del C.P.L.</w:t>
      </w:r>
      <w:r w:rsidRPr="00B82BBC">
        <w:rPr>
          <w:rFonts w:ascii="Tahoma" w:hAnsi="Tahoma" w:cs="Tahoma"/>
          <w:color w:val="000000" w:themeColor="text1"/>
          <w:sz w:val="24"/>
          <w:szCs w:val="24"/>
        </w:rPr>
        <w:t xml:space="preserve"> y la s.s.</w:t>
      </w:r>
    </w:p>
    <w:p w14:paraId="4A5A0014" w14:textId="77777777" w:rsidR="00A31306" w:rsidRPr="00B82BBC" w:rsidRDefault="00A31306" w:rsidP="00B82BBC">
      <w:pPr>
        <w:widowControl w:val="0"/>
        <w:autoSpaceDE w:val="0"/>
        <w:autoSpaceDN w:val="0"/>
        <w:adjustRightInd w:val="0"/>
        <w:spacing w:line="276" w:lineRule="auto"/>
        <w:ind w:firstLine="0"/>
        <w:rPr>
          <w:rFonts w:ascii="Tahoma" w:hAnsi="Tahoma" w:cs="Tahoma"/>
          <w:b/>
          <w:sz w:val="24"/>
          <w:szCs w:val="24"/>
        </w:rPr>
      </w:pPr>
      <w:r w:rsidRPr="00B82BBC">
        <w:rPr>
          <w:rFonts w:ascii="Tahoma" w:hAnsi="Tahoma" w:cs="Tahoma"/>
          <w:sz w:val="24"/>
          <w:szCs w:val="24"/>
        </w:rPr>
        <w:t xml:space="preserve"> </w:t>
      </w:r>
    </w:p>
    <w:p w14:paraId="79C1D3DB" w14:textId="77777777" w:rsidR="00A31306" w:rsidRPr="00B82BBC" w:rsidRDefault="00A31306" w:rsidP="00B82BBC">
      <w:pPr>
        <w:pStyle w:val="Prrafodelista"/>
        <w:widowControl w:val="0"/>
        <w:numPr>
          <w:ilvl w:val="1"/>
          <w:numId w:val="2"/>
        </w:numPr>
        <w:autoSpaceDE w:val="0"/>
        <w:autoSpaceDN w:val="0"/>
        <w:adjustRightInd w:val="0"/>
        <w:spacing w:line="276" w:lineRule="auto"/>
        <w:ind w:left="709" w:firstLine="0"/>
        <w:rPr>
          <w:rFonts w:ascii="Tahoma" w:hAnsi="Tahoma" w:cs="Tahoma"/>
          <w:b/>
        </w:rPr>
      </w:pPr>
      <w:r w:rsidRPr="00B82BBC">
        <w:rPr>
          <w:rFonts w:ascii="Tahoma" w:hAnsi="Tahoma" w:cs="Tahoma"/>
          <w:b/>
        </w:rPr>
        <w:lastRenderedPageBreak/>
        <w:t>Caso concreto</w:t>
      </w:r>
    </w:p>
    <w:p w14:paraId="1BE97B89" w14:textId="77777777" w:rsidR="00A31306" w:rsidRPr="00B82BBC" w:rsidRDefault="00A31306" w:rsidP="00B82BBC">
      <w:pPr>
        <w:pStyle w:val="xmsonormal"/>
        <w:spacing w:before="0" w:beforeAutospacing="0" w:after="0" w:afterAutospacing="0" w:line="276" w:lineRule="auto"/>
        <w:ind w:left="644"/>
        <w:jc w:val="both"/>
        <w:textAlignment w:val="baseline"/>
        <w:rPr>
          <w:rFonts w:ascii="Tahoma" w:hAnsi="Tahoma" w:cs="Tahoma"/>
        </w:rPr>
      </w:pPr>
    </w:p>
    <w:p w14:paraId="6734FDB9" w14:textId="44F661C4" w:rsidR="006E6CE1" w:rsidRPr="00B82BBC" w:rsidRDefault="006E6CE1" w:rsidP="00B82BBC">
      <w:pPr>
        <w:pStyle w:val="Textoindependiente"/>
        <w:spacing w:after="0" w:line="276" w:lineRule="auto"/>
        <w:rPr>
          <w:rFonts w:ascii="Tahoma" w:hAnsi="Tahoma" w:cs="Tahoma"/>
          <w:color w:val="000000" w:themeColor="text1"/>
          <w:sz w:val="24"/>
          <w:szCs w:val="24"/>
        </w:rPr>
      </w:pPr>
      <w:r w:rsidRPr="00B82BBC">
        <w:rPr>
          <w:rFonts w:ascii="Tahoma" w:hAnsi="Tahoma" w:cs="Tahoma"/>
          <w:color w:val="000000" w:themeColor="text1"/>
          <w:sz w:val="24"/>
          <w:szCs w:val="24"/>
        </w:rPr>
        <w:t xml:space="preserve">Pretende </w:t>
      </w:r>
      <w:r w:rsidR="006878BC" w:rsidRPr="00B82BBC">
        <w:rPr>
          <w:rFonts w:ascii="Tahoma" w:hAnsi="Tahoma" w:cs="Tahoma"/>
          <w:color w:val="000000" w:themeColor="text1"/>
          <w:sz w:val="24"/>
          <w:szCs w:val="24"/>
        </w:rPr>
        <w:t xml:space="preserve">la demandante </w:t>
      </w:r>
      <w:r w:rsidRPr="00B82BBC">
        <w:rPr>
          <w:rFonts w:ascii="Tahoma" w:hAnsi="Tahoma" w:cs="Tahoma"/>
          <w:color w:val="000000" w:themeColor="text1"/>
          <w:sz w:val="24"/>
          <w:szCs w:val="24"/>
        </w:rPr>
        <w:t xml:space="preserve">el reconocimiento de la pensión de invalidez </w:t>
      </w:r>
      <w:r w:rsidR="001F6012" w:rsidRPr="00B82BBC">
        <w:rPr>
          <w:rFonts w:ascii="Tahoma" w:hAnsi="Tahoma" w:cs="Tahoma"/>
          <w:color w:val="000000" w:themeColor="text1"/>
          <w:sz w:val="24"/>
          <w:szCs w:val="24"/>
        </w:rPr>
        <w:t>bajo el argumento de que cuenta con enfermedades de carácter degenerativo</w:t>
      </w:r>
      <w:r w:rsidR="00BF3AA4" w:rsidRPr="00B82BBC">
        <w:rPr>
          <w:rFonts w:ascii="Tahoma" w:hAnsi="Tahoma" w:cs="Tahoma"/>
          <w:color w:val="000000" w:themeColor="text1"/>
          <w:sz w:val="24"/>
          <w:szCs w:val="24"/>
        </w:rPr>
        <w:t xml:space="preserve">, de manera que, </w:t>
      </w:r>
      <w:r w:rsidR="001F6012" w:rsidRPr="00B82BBC">
        <w:rPr>
          <w:rFonts w:ascii="Tahoma" w:hAnsi="Tahoma" w:cs="Tahoma"/>
          <w:color w:val="000000" w:themeColor="text1"/>
          <w:sz w:val="24"/>
          <w:szCs w:val="24"/>
        </w:rPr>
        <w:t>en primer lugar</w:t>
      </w:r>
      <w:r w:rsidR="00BF3AA4" w:rsidRPr="00B82BBC">
        <w:rPr>
          <w:rFonts w:ascii="Tahoma" w:hAnsi="Tahoma" w:cs="Tahoma"/>
          <w:color w:val="000000" w:themeColor="text1"/>
          <w:sz w:val="24"/>
          <w:szCs w:val="24"/>
        </w:rPr>
        <w:t>,</w:t>
      </w:r>
      <w:r w:rsidR="001F6012" w:rsidRPr="00B82BBC">
        <w:rPr>
          <w:rFonts w:ascii="Tahoma" w:hAnsi="Tahoma" w:cs="Tahoma"/>
          <w:color w:val="000000" w:themeColor="text1"/>
          <w:sz w:val="24"/>
          <w:szCs w:val="24"/>
        </w:rPr>
        <w:t xml:space="preserve"> le correspondía </w:t>
      </w:r>
      <w:r w:rsidRPr="00B82BBC">
        <w:rPr>
          <w:rFonts w:ascii="Tahoma" w:hAnsi="Tahoma" w:cs="Tahoma"/>
          <w:color w:val="000000" w:themeColor="text1"/>
          <w:sz w:val="24"/>
          <w:szCs w:val="24"/>
        </w:rPr>
        <w:t>acreditar</w:t>
      </w:r>
      <w:r w:rsidR="001F6012" w:rsidRPr="00B82BBC">
        <w:rPr>
          <w:rFonts w:ascii="Tahoma" w:hAnsi="Tahoma" w:cs="Tahoma"/>
          <w:color w:val="000000" w:themeColor="text1"/>
          <w:sz w:val="24"/>
          <w:szCs w:val="24"/>
        </w:rPr>
        <w:t xml:space="preserve">, tal como se indicó en precedencia, </w:t>
      </w:r>
      <w:r w:rsidRPr="00B82BBC">
        <w:rPr>
          <w:rFonts w:ascii="Tahoma" w:hAnsi="Tahoma" w:cs="Tahoma"/>
          <w:color w:val="000000" w:themeColor="text1"/>
          <w:sz w:val="24"/>
          <w:szCs w:val="24"/>
        </w:rPr>
        <w:t xml:space="preserve">que efectivamente padece una </w:t>
      </w:r>
      <w:r w:rsidR="00BF3AA4" w:rsidRPr="00B82BBC">
        <w:rPr>
          <w:rFonts w:ascii="Tahoma" w:hAnsi="Tahoma" w:cs="Tahoma"/>
          <w:color w:val="000000" w:themeColor="text1"/>
          <w:sz w:val="24"/>
          <w:szCs w:val="24"/>
        </w:rPr>
        <w:t xml:space="preserve">o varias </w:t>
      </w:r>
      <w:r w:rsidRPr="00B82BBC">
        <w:rPr>
          <w:rFonts w:ascii="Tahoma" w:hAnsi="Tahoma" w:cs="Tahoma"/>
          <w:color w:val="000000" w:themeColor="text1"/>
          <w:sz w:val="24"/>
          <w:szCs w:val="24"/>
        </w:rPr>
        <w:t>de ellas para</w:t>
      </w:r>
      <w:r w:rsidR="006878BC" w:rsidRPr="00B82BBC">
        <w:rPr>
          <w:rFonts w:ascii="Tahoma" w:hAnsi="Tahoma" w:cs="Tahoma"/>
          <w:color w:val="000000" w:themeColor="text1"/>
          <w:sz w:val="24"/>
          <w:szCs w:val="24"/>
        </w:rPr>
        <w:t>,</w:t>
      </w:r>
      <w:r w:rsidRPr="00B82BBC">
        <w:rPr>
          <w:rFonts w:ascii="Tahoma" w:hAnsi="Tahoma" w:cs="Tahoma"/>
          <w:color w:val="000000" w:themeColor="text1"/>
          <w:sz w:val="24"/>
          <w:szCs w:val="24"/>
        </w:rPr>
        <w:t xml:space="preserve"> luego</w:t>
      </w:r>
      <w:r w:rsidR="006878BC" w:rsidRPr="00B82BBC">
        <w:rPr>
          <w:rFonts w:ascii="Tahoma" w:hAnsi="Tahoma" w:cs="Tahoma"/>
          <w:color w:val="000000" w:themeColor="text1"/>
          <w:sz w:val="24"/>
          <w:szCs w:val="24"/>
        </w:rPr>
        <w:t>,</w:t>
      </w:r>
      <w:r w:rsidRPr="00B82BBC">
        <w:rPr>
          <w:rFonts w:ascii="Tahoma" w:hAnsi="Tahoma" w:cs="Tahoma"/>
          <w:color w:val="000000" w:themeColor="text1"/>
          <w:sz w:val="24"/>
          <w:szCs w:val="24"/>
        </w:rPr>
        <w:t xml:space="preserve"> establecer si las cotizaciones realizadas con posterioridad al estado invalidante</w:t>
      </w:r>
      <w:r w:rsidR="006878BC" w:rsidRPr="00B82BBC">
        <w:rPr>
          <w:rFonts w:ascii="Tahoma" w:hAnsi="Tahoma" w:cs="Tahoma"/>
          <w:color w:val="000000" w:themeColor="text1"/>
          <w:sz w:val="24"/>
          <w:szCs w:val="24"/>
        </w:rPr>
        <w:t xml:space="preserve"> </w:t>
      </w:r>
      <w:r w:rsidRPr="00B82BBC">
        <w:rPr>
          <w:rFonts w:ascii="Tahoma" w:hAnsi="Tahoma" w:cs="Tahoma"/>
          <w:color w:val="000000" w:themeColor="text1"/>
          <w:sz w:val="24"/>
          <w:szCs w:val="24"/>
        </w:rPr>
        <w:t>fueron en ejercicio de su capacidad laboral residual.</w:t>
      </w:r>
      <w:r w:rsidR="001F6012" w:rsidRPr="00B82BBC">
        <w:rPr>
          <w:rFonts w:ascii="Tahoma" w:hAnsi="Tahoma" w:cs="Tahoma"/>
          <w:color w:val="000000" w:themeColor="text1"/>
          <w:sz w:val="24"/>
          <w:szCs w:val="24"/>
        </w:rPr>
        <w:t xml:space="preserve"> </w:t>
      </w:r>
      <w:r w:rsidR="00BF3AA4" w:rsidRPr="00B82BBC">
        <w:rPr>
          <w:rFonts w:ascii="Tahoma" w:hAnsi="Tahoma" w:cs="Tahoma"/>
          <w:color w:val="000000" w:themeColor="text1"/>
          <w:sz w:val="24"/>
          <w:szCs w:val="24"/>
        </w:rPr>
        <w:t xml:space="preserve">Es </w:t>
      </w:r>
      <w:r w:rsidR="001F6012" w:rsidRPr="00B82BBC">
        <w:rPr>
          <w:rFonts w:ascii="Tahoma" w:hAnsi="Tahoma" w:cs="Tahoma"/>
          <w:color w:val="000000" w:themeColor="text1"/>
          <w:sz w:val="24"/>
          <w:szCs w:val="24"/>
        </w:rPr>
        <w:t>oportuno resaltar que en ningún aparte de los supuestos fácticos de la demanda se hace alusión a las características de las patologías que padece la gestora del pleito, por lo que las pruebas traídas por ello no estuvieron dirigidas expresamente a demostrarlo.</w:t>
      </w:r>
    </w:p>
    <w:p w14:paraId="76F6A2EE" w14:textId="77777777" w:rsidR="001F6012" w:rsidRPr="00B82BBC" w:rsidRDefault="001F6012" w:rsidP="00B82BBC">
      <w:pPr>
        <w:pStyle w:val="Sinespaciado"/>
        <w:spacing w:line="276" w:lineRule="auto"/>
        <w:ind w:firstLine="708"/>
        <w:jc w:val="both"/>
        <w:rPr>
          <w:rFonts w:ascii="Tahoma" w:hAnsi="Tahoma" w:cs="Tahoma"/>
          <w:color w:val="000000" w:themeColor="text1"/>
        </w:rPr>
      </w:pPr>
    </w:p>
    <w:p w14:paraId="6ED586E9" w14:textId="77777777" w:rsidR="006E6CE1" w:rsidRPr="00B82BBC" w:rsidRDefault="006E6CE1" w:rsidP="00B82BBC">
      <w:pPr>
        <w:pStyle w:val="Sinespaciado"/>
        <w:spacing w:line="276" w:lineRule="auto"/>
        <w:ind w:firstLine="708"/>
        <w:jc w:val="both"/>
        <w:rPr>
          <w:rFonts w:ascii="Tahoma" w:hAnsi="Tahoma" w:cs="Tahoma"/>
          <w:color w:val="000000" w:themeColor="text1"/>
          <w:lang w:val="es-ES_tradnl"/>
        </w:rPr>
      </w:pPr>
      <w:r w:rsidRPr="00B82BBC">
        <w:rPr>
          <w:rFonts w:ascii="Tahoma" w:hAnsi="Tahoma" w:cs="Tahoma"/>
          <w:color w:val="000000" w:themeColor="text1"/>
        </w:rPr>
        <w:t xml:space="preserve"> Para probar la invalidez </w:t>
      </w:r>
      <w:r w:rsidR="001F6012" w:rsidRPr="00B82BBC">
        <w:rPr>
          <w:rFonts w:ascii="Tahoma" w:hAnsi="Tahoma" w:cs="Tahoma"/>
          <w:color w:val="000000" w:themeColor="text1"/>
        </w:rPr>
        <w:t xml:space="preserve">se </w:t>
      </w:r>
      <w:r w:rsidRPr="00B82BBC">
        <w:rPr>
          <w:rFonts w:ascii="Tahoma" w:hAnsi="Tahoma" w:cs="Tahoma"/>
          <w:color w:val="000000" w:themeColor="text1"/>
        </w:rPr>
        <w:t xml:space="preserve">allegó copia del dictamen </w:t>
      </w:r>
      <w:r w:rsidR="001F6012" w:rsidRPr="00B82BBC">
        <w:rPr>
          <w:rFonts w:ascii="Tahoma" w:hAnsi="Tahoma" w:cs="Tahoma"/>
          <w:color w:val="000000" w:themeColor="text1"/>
        </w:rPr>
        <w:t>e</w:t>
      </w:r>
      <w:r w:rsidRPr="00B82BBC">
        <w:rPr>
          <w:rFonts w:ascii="Tahoma" w:hAnsi="Tahoma" w:cs="Tahoma"/>
          <w:color w:val="000000" w:themeColor="text1"/>
        </w:rPr>
        <w:t xml:space="preserve">mitido el </w:t>
      </w:r>
      <w:r w:rsidR="00582350" w:rsidRPr="00B82BBC">
        <w:rPr>
          <w:rFonts w:ascii="Tahoma" w:hAnsi="Tahoma" w:cs="Tahoma"/>
          <w:color w:val="000000" w:themeColor="text1"/>
        </w:rPr>
        <w:t>4 de mayo de 2017 por la Junta Nacional de Calificación de Invalidez</w:t>
      </w:r>
      <w:r w:rsidRPr="00B82BBC">
        <w:rPr>
          <w:rFonts w:ascii="Tahoma" w:hAnsi="Tahoma" w:cs="Tahoma"/>
          <w:color w:val="000000" w:themeColor="text1"/>
        </w:rPr>
        <w:t xml:space="preserve">, en el que se hizo constar una </w:t>
      </w:r>
      <w:r w:rsidR="00582350" w:rsidRPr="00B82BBC">
        <w:rPr>
          <w:rFonts w:ascii="Tahoma" w:hAnsi="Tahoma" w:cs="Tahoma"/>
          <w:color w:val="000000" w:themeColor="text1"/>
        </w:rPr>
        <w:t xml:space="preserve">pérdida de capacidad laboral </w:t>
      </w:r>
      <w:r w:rsidRPr="00B82BBC">
        <w:rPr>
          <w:rFonts w:ascii="Tahoma" w:hAnsi="Tahoma" w:cs="Tahoma"/>
          <w:color w:val="000000" w:themeColor="text1"/>
        </w:rPr>
        <w:t xml:space="preserve">equivalente al </w:t>
      </w:r>
      <w:r w:rsidR="00582350" w:rsidRPr="00B82BBC">
        <w:rPr>
          <w:rFonts w:ascii="Tahoma" w:hAnsi="Tahoma" w:cs="Tahoma"/>
          <w:color w:val="000000" w:themeColor="text1"/>
        </w:rPr>
        <w:t>53,82</w:t>
      </w:r>
      <w:r w:rsidRPr="00B82BBC">
        <w:rPr>
          <w:rFonts w:ascii="Tahoma" w:hAnsi="Tahoma" w:cs="Tahoma"/>
          <w:color w:val="000000" w:themeColor="text1"/>
        </w:rPr>
        <w:t xml:space="preserve">%, de origen común y con fecha de estructuración del </w:t>
      </w:r>
      <w:r w:rsidR="00582350" w:rsidRPr="00B82BBC">
        <w:rPr>
          <w:rFonts w:ascii="Tahoma" w:hAnsi="Tahoma" w:cs="Tahoma"/>
          <w:color w:val="000000" w:themeColor="text1"/>
        </w:rPr>
        <w:t>13 de abril de 2015 (</w:t>
      </w:r>
      <w:proofErr w:type="spellStart"/>
      <w:r w:rsidR="00582350" w:rsidRPr="00B82BBC">
        <w:rPr>
          <w:rFonts w:ascii="Tahoma" w:hAnsi="Tahoma" w:cs="Tahoma"/>
          <w:color w:val="000000" w:themeColor="text1"/>
        </w:rPr>
        <w:t>fl</w:t>
      </w:r>
      <w:proofErr w:type="spellEnd"/>
      <w:r w:rsidR="00582350" w:rsidRPr="00B82BBC">
        <w:rPr>
          <w:rFonts w:ascii="Tahoma" w:hAnsi="Tahoma" w:cs="Tahoma"/>
          <w:color w:val="000000" w:themeColor="text1"/>
        </w:rPr>
        <w:t>. 19 y s.s.)</w:t>
      </w:r>
      <w:r w:rsidRPr="00B82BBC">
        <w:rPr>
          <w:rFonts w:ascii="Tahoma" w:hAnsi="Tahoma" w:cs="Tahoma"/>
          <w:color w:val="000000" w:themeColor="text1"/>
        </w:rPr>
        <w:t>.</w:t>
      </w:r>
    </w:p>
    <w:p w14:paraId="10A57BA1" w14:textId="77777777" w:rsidR="006E6CE1" w:rsidRPr="00B82BBC" w:rsidRDefault="006E6CE1" w:rsidP="00B82BBC">
      <w:pPr>
        <w:pStyle w:val="Sinespaciado"/>
        <w:spacing w:line="276" w:lineRule="auto"/>
        <w:jc w:val="both"/>
        <w:rPr>
          <w:rFonts w:ascii="Tahoma" w:hAnsi="Tahoma" w:cs="Tahoma"/>
          <w:color w:val="000000" w:themeColor="text1"/>
        </w:rPr>
      </w:pPr>
    </w:p>
    <w:p w14:paraId="37848104" w14:textId="28043481" w:rsidR="006E6CE1" w:rsidRPr="00B82BBC" w:rsidRDefault="00BF3AA4" w:rsidP="00B82BBC">
      <w:pPr>
        <w:pStyle w:val="Sinespaciado"/>
        <w:spacing w:line="276" w:lineRule="auto"/>
        <w:ind w:firstLine="708"/>
        <w:jc w:val="both"/>
        <w:rPr>
          <w:rFonts w:ascii="Tahoma" w:hAnsi="Tahoma" w:cs="Tahoma"/>
          <w:color w:val="000000" w:themeColor="text1"/>
        </w:rPr>
      </w:pPr>
      <w:r w:rsidRPr="00B82BBC">
        <w:rPr>
          <w:rFonts w:ascii="Tahoma" w:hAnsi="Tahoma" w:cs="Tahoma"/>
          <w:color w:val="000000" w:themeColor="text1"/>
        </w:rPr>
        <w:t>A</w:t>
      </w:r>
      <w:r w:rsidR="00582350" w:rsidRPr="00B82BBC">
        <w:rPr>
          <w:rFonts w:ascii="Tahoma" w:hAnsi="Tahoma" w:cs="Tahoma"/>
          <w:color w:val="000000" w:themeColor="text1"/>
        </w:rPr>
        <w:t>l revisar el contenido de la historia laboral allegada con la demanda (</w:t>
      </w:r>
      <w:proofErr w:type="spellStart"/>
      <w:r w:rsidR="00582350" w:rsidRPr="00B82BBC">
        <w:rPr>
          <w:rFonts w:ascii="Tahoma" w:hAnsi="Tahoma" w:cs="Tahoma"/>
          <w:color w:val="000000" w:themeColor="text1"/>
        </w:rPr>
        <w:t>fl</w:t>
      </w:r>
      <w:proofErr w:type="spellEnd"/>
      <w:r w:rsidR="00582350" w:rsidRPr="00B82BBC">
        <w:rPr>
          <w:rFonts w:ascii="Tahoma" w:hAnsi="Tahoma" w:cs="Tahoma"/>
          <w:color w:val="000000" w:themeColor="text1"/>
        </w:rPr>
        <w:t xml:space="preserve">. 29), se tiene que la señora Castro Largo </w:t>
      </w:r>
      <w:r w:rsidR="006E6CE1" w:rsidRPr="00B82BBC">
        <w:rPr>
          <w:rFonts w:ascii="Tahoma" w:hAnsi="Tahoma" w:cs="Tahoma"/>
          <w:color w:val="000000" w:themeColor="text1"/>
        </w:rPr>
        <w:t>no reúne las 50 semanas en los 3 años anteriores a la estructuración de la invalidez,</w:t>
      </w:r>
      <w:r w:rsidR="00582350" w:rsidRPr="00B82BBC">
        <w:rPr>
          <w:rFonts w:ascii="Tahoma" w:hAnsi="Tahoma" w:cs="Tahoma"/>
          <w:color w:val="000000" w:themeColor="text1"/>
        </w:rPr>
        <w:t xml:space="preserve"> pues registra </w:t>
      </w:r>
      <w:r w:rsidR="00A6451C" w:rsidRPr="00B82BBC">
        <w:rPr>
          <w:rFonts w:ascii="Tahoma" w:hAnsi="Tahoma" w:cs="Tahoma"/>
          <w:color w:val="000000" w:themeColor="text1"/>
        </w:rPr>
        <w:t>5,3</w:t>
      </w:r>
      <w:r w:rsidR="006E6CE1" w:rsidRPr="00B82BBC">
        <w:rPr>
          <w:rFonts w:ascii="Tahoma" w:hAnsi="Tahoma" w:cs="Tahoma"/>
          <w:color w:val="000000" w:themeColor="text1"/>
        </w:rPr>
        <w:t xml:space="preserve"> semanas en el lapso del </w:t>
      </w:r>
      <w:r w:rsidR="00A6451C" w:rsidRPr="00B82BBC">
        <w:rPr>
          <w:rFonts w:ascii="Tahoma" w:hAnsi="Tahoma" w:cs="Tahoma"/>
          <w:color w:val="000000" w:themeColor="text1"/>
        </w:rPr>
        <w:t>13 de abril de 2012 y el 13 de abril de 2015</w:t>
      </w:r>
    </w:p>
    <w:p w14:paraId="715652C3" w14:textId="77777777" w:rsidR="006E6CE1" w:rsidRPr="00B82BBC" w:rsidRDefault="006E6CE1" w:rsidP="00B82BBC">
      <w:pPr>
        <w:pStyle w:val="Sinespaciado"/>
        <w:spacing w:line="276" w:lineRule="auto"/>
        <w:jc w:val="both"/>
        <w:rPr>
          <w:rFonts w:ascii="Tahoma" w:hAnsi="Tahoma" w:cs="Tahoma"/>
          <w:color w:val="000000" w:themeColor="text1"/>
        </w:rPr>
      </w:pPr>
    </w:p>
    <w:p w14:paraId="17B1FAA7" w14:textId="39C32CA1" w:rsidR="00A6451C" w:rsidRPr="00B82BBC" w:rsidRDefault="00A6451C" w:rsidP="00B82BBC">
      <w:pPr>
        <w:pStyle w:val="Sinespaciado"/>
        <w:spacing w:line="276" w:lineRule="auto"/>
        <w:ind w:firstLine="708"/>
        <w:jc w:val="both"/>
        <w:rPr>
          <w:rFonts w:ascii="Tahoma" w:hAnsi="Tahoma" w:cs="Tahoma"/>
          <w:color w:val="000000" w:themeColor="text1"/>
        </w:rPr>
      </w:pPr>
      <w:r w:rsidRPr="00B82BBC">
        <w:rPr>
          <w:rFonts w:ascii="Tahoma" w:hAnsi="Tahoma" w:cs="Tahoma"/>
          <w:color w:val="000000" w:themeColor="text1"/>
        </w:rPr>
        <w:t xml:space="preserve">Tal como lo enunciara el agente del Ministerio Público en su concepto, en el caso de marras no es dable acudir a la </w:t>
      </w:r>
      <w:r w:rsidR="006E6CE1" w:rsidRPr="00B82BBC">
        <w:rPr>
          <w:rFonts w:ascii="Tahoma" w:hAnsi="Tahoma" w:cs="Tahoma"/>
          <w:color w:val="000000" w:themeColor="text1"/>
        </w:rPr>
        <w:t xml:space="preserve">tesis de la Corte Constitucional en tanto </w:t>
      </w:r>
      <w:r w:rsidRPr="00B82BBC">
        <w:rPr>
          <w:rFonts w:ascii="Tahoma" w:hAnsi="Tahoma" w:cs="Tahoma"/>
          <w:color w:val="000000" w:themeColor="text1"/>
        </w:rPr>
        <w:t xml:space="preserve">el porcentaje de </w:t>
      </w:r>
      <w:r w:rsidR="006E6CE1" w:rsidRPr="00B82BBC">
        <w:rPr>
          <w:rFonts w:ascii="Tahoma" w:hAnsi="Tahoma" w:cs="Tahoma"/>
          <w:color w:val="000000" w:themeColor="text1"/>
        </w:rPr>
        <w:t xml:space="preserve">su invalidez </w:t>
      </w:r>
      <w:r w:rsidRPr="00B82BBC">
        <w:rPr>
          <w:rFonts w:ascii="Tahoma" w:hAnsi="Tahoma" w:cs="Tahoma"/>
          <w:color w:val="000000" w:themeColor="text1"/>
        </w:rPr>
        <w:t>no es el resultado directo de la contabilización de las patologías que se aluden en la apelación como</w:t>
      </w:r>
      <w:r w:rsidR="006E6CE1" w:rsidRPr="00B82BBC">
        <w:rPr>
          <w:rFonts w:ascii="Tahoma" w:hAnsi="Tahoma" w:cs="Tahoma"/>
          <w:color w:val="000000" w:themeColor="text1"/>
        </w:rPr>
        <w:t xml:space="preserve"> degenerativa</w:t>
      </w:r>
      <w:r w:rsidRPr="00B82BBC">
        <w:rPr>
          <w:rFonts w:ascii="Tahoma" w:hAnsi="Tahoma" w:cs="Tahoma"/>
          <w:color w:val="000000" w:themeColor="text1"/>
        </w:rPr>
        <w:t>s</w:t>
      </w:r>
      <w:r w:rsidR="00D97F8D" w:rsidRPr="00B82BBC">
        <w:rPr>
          <w:rFonts w:ascii="Tahoma" w:hAnsi="Tahoma" w:cs="Tahoma"/>
          <w:color w:val="000000" w:themeColor="text1"/>
        </w:rPr>
        <w:t xml:space="preserve">, que huelga decir, no se </w:t>
      </w:r>
      <w:r w:rsidR="00337CC0" w:rsidRPr="00B82BBC">
        <w:rPr>
          <w:rFonts w:ascii="Tahoma" w:hAnsi="Tahoma" w:cs="Tahoma"/>
          <w:color w:val="000000" w:themeColor="text1"/>
        </w:rPr>
        <w:t>describen d</w:t>
      </w:r>
      <w:r w:rsidR="00D97F8D" w:rsidRPr="00B82BBC">
        <w:rPr>
          <w:rFonts w:ascii="Tahoma" w:hAnsi="Tahoma" w:cs="Tahoma"/>
          <w:color w:val="000000" w:themeColor="text1"/>
        </w:rPr>
        <w:t xml:space="preserve">e manera expresa al momento de calcular el porcentaje de </w:t>
      </w:r>
      <w:r w:rsidR="00337CC0" w:rsidRPr="00B82BBC">
        <w:rPr>
          <w:rFonts w:ascii="Tahoma" w:hAnsi="Tahoma" w:cs="Tahoma"/>
          <w:color w:val="000000" w:themeColor="text1"/>
        </w:rPr>
        <w:t xml:space="preserve">PCL </w:t>
      </w:r>
      <w:r w:rsidR="00D97F8D" w:rsidRPr="00B82BBC">
        <w:rPr>
          <w:rFonts w:ascii="Tahoma" w:hAnsi="Tahoma" w:cs="Tahoma"/>
          <w:color w:val="000000" w:themeColor="text1"/>
        </w:rPr>
        <w:t xml:space="preserve">por parte de </w:t>
      </w:r>
      <w:r w:rsidRPr="00B82BBC">
        <w:rPr>
          <w:rFonts w:ascii="Tahoma" w:hAnsi="Tahoma" w:cs="Tahoma"/>
          <w:color w:val="000000" w:themeColor="text1"/>
        </w:rPr>
        <w:t xml:space="preserve">Junta Nacional </w:t>
      </w:r>
      <w:r w:rsidR="0061460F" w:rsidRPr="00B82BBC">
        <w:rPr>
          <w:rFonts w:ascii="Tahoma" w:hAnsi="Tahoma" w:cs="Tahoma"/>
          <w:color w:val="000000" w:themeColor="text1"/>
        </w:rPr>
        <w:t>de Calificación</w:t>
      </w:r>
      <w:r w:rsidR="00337CC0" w:rsidRPr="00B82BBC">
        <w:rPr>
          <w:rFonts w:ascii="Tahoma" w:hAnsi="Tahoma" w:cs="Tahoma"/>
          <w:color w:val="000000" w:themeColor="text1"/>
        </w:rPr>
        <w:t xml:space="preserve">, </w:t>
      </w:r>
      <w:r w:rsidR="007361B1" w:rsidRPr="00B82BBC">
        <w:rPr>
          <w:rFonts w:ascii="Tahoma" w:hAnsi="Tahoma" w:cs="Tahoma"/>
          <w:color w:val="000000" w:themeColor="text1"/>
        </w:rPr>
        <w:t xml:space="preserve">ente que </w:t>
      </w:r>
      <w:r w:rsidR="00337CC0" w:rsidRPr="00B82BBC">
        <w:rPr>
          <w:rFonts w:ascii="Tahoma" w:hAnsi="Tahoma" w:cs="Tahoma"/>
          <w:color w:val="000000" w:themeColor="text1"/>
        </w:rPr>
        <w:t xml:space="preserve">plasmó en el </w:t>
      </w:r>
      <w:r w:rsidR="0061460F" w:rsidRPr="00B82BBC">
        <w:rPr>
          <w:rFonts w:ascii="Tahoma" w:hAnsi="Tahoma" w:cs="Tahoma"/>
          <w:color w:val="000000" w:themeColor="text1"/>
        </w:rPr>
        <w:t xml:space="preserve">acápite de “enfermedad degenerativa” y “enfermedad progresiva”, la </w:t>
      </w:r>
      <w:r w:rsidR="00846A11" w:rsidRPr="00B82BBC">
        <w:rPr>
          <w:rFonts w:ascii="Tahoma" w:hAnsi="Tahoma" w:cs="Tahoma"/>
          <w:color w:val="000000" w:themeColor="text1"/>
        </w:rPr>
        <w:t xml:space="preserve">rotulación </w:t>
      </w:r>
      <w:r w:rsidR="0061460F" w:rsidRPr="00B82BBC">
        <w:rPr>
          <w:rFonts w:ascii="Tahoma" w:hAnsi="Tahoma" w:cs="Tahoma"/>
          <w:b/>
          <w:color w:val="000000" w:themeColor="text1"/>
        </w:rPr>
        <w:t>No aplica</w:t>
      </w:r>
      <w:r w:rsidR="0061460F" w:rsidRPr="00B82BBC">
        <w:rPr>
          <w:rFonts w:ascii="Tahoma" w:hAnsi="Tahoma" w:cs="Tahoma"/>
          <w:color w:val="000000" w:themeColor="text1"/>
        </w:rPr>
        <w:t>.</w:t>
      </w:r>
    </w:p>
    <w:p w14:paraId="21E99D3B" w14:textId="0DA4DF22" w:rsidR="006E6CE1" w:rsidRPr="00B82BBC" w:rsidRDefault="006E6CE1" w:rsidP="00B82BBC">
      <w:pPr>
        <w:pStyle w:val="Sinespaciado"/>
        <w:spacing w:line="276" w:lineRule="auto"/>
        <w:jc w:val="both"/>
        <w:rPr>
          <w:rFonts w:ascii="Tahoma" w:hAnsi="Tahoma" w:cs="Tahoma"/>
          <w:color w:val="000000" w:themeColor="text1"/>
        </w:rPr>
      </w:pPr>
    </w:p>
    <w:p w14:paraId="2C2D206E" w14:textId="2AAE5CB7" w:rsidR="00D97F8D" w:rsidRPr="00B82BBC" w:rsidRDefault="00607BC2" w:rsidP="00B82BBC">
      <w:pPr>
        <w:pStyle w:val="Sinespaciado"/>
        <w:spacing w:line="276" w:lineRule="auto"/>
        <w:jc w:val="both"/>
        <w:rPr>
          <w:rFonts w:ascii="Tahoma" w:hAnsi="Tahoma" w:cs="Tahoma"/>
          <w:color w:val="000000" w:themeColor="text1"/>
        </w:rPr>
      </w:pPr>
      <w:r w:rsidRPr="00B82BBC">
        <w:rPr>
          <w:rFonts w:ascii="Tahoma" w:hAnsi="Tahoma" w:cs="Tahoma"/>
          <w:color w:val="000000" w:themeColor="text1"/>
        </w:rPr>
        <w:tab/>
        <w:t xml:space="preserve">En efecto, </w:t>
      </w:r>
      <w:r w:rsidR="00D97F8D" w:rsidRPr="00B82BBC">
        <w:rPr>
          <w:rFonts w:ascii="Tahoma" w:hAnsi="Tahoma" w:cs="Tahoma"/>
          <w:color w:val="000000" w:themeColor="text1"/>
        </w:rPr>
        <w:t xml:space="preserve">a </w:t>
      </w:r>
      <w:r w:rsidRPr="00B82BBC">
        <w:rPr>
          <w:rFonts w:ascii="Tahoma" w:hAnsi="Tahoma" w:cs="Tahoma"/>
          <w:color w:val="000000" w:themeColor="text1"/>
        </w:rPr>
        <w:t>las enfermedades que dieron lugar al porcentaje de pérdida de capacidad laboral</w:t>
      </w:r>
      <w:r w:rsidR="00D97F8D" w:rsidRPr="00B82BBC">
        <w:rPr>
          <w:rFonts w:ascii="Tahoma" w:hAnsi="Tahoma" w:cs="Tahoma"/>
          <w:color w:val="000000" w:themeColor="text1"/>
        </w:rPr>
        <w:t xml:space="preserve"> se les asignó el siguiente porcentaje:</w:t>
      </w:r>
    </w:p>
    <w:p w14:paraId="4AFEA219" w14:textId="259D81C2" w:rsidR="00D97F8D" w:rsidRPr="00B82BBC" w:rsidRDefault="00D97F8D" w:rsidP="00B82BBC">
      <w:pPr>
        <w:pStyle w:val="Sinespaciado"/>
        <w:spacing w:line="276" w:lineRule="auto"/>
        <w:jc w:val="both"/>
        <w:rPr>
          <w:rFonts w:ascii="Tahoma" w:hAnsi="Tahoma" w:cs="Tahoma"/>
          <w:color w:val="000000" w:themeColor="text1"/>
        </w:rPr>
      </w:pPr>
    </w:p>
    <w:tbl>
      <w:tblPr>
        <w:tblStyle w:val="Tablaconcuadrcula"/>
        <w:tblW w:w="0" w:type="auto"/>
        <w:tblLook w:val="04A0" w:firstRow="1" w:lastRow="0" w:firstColumn="1" w:lastColumn="0" w:noHBand="0" w:noVBand="1"/>
      </w:tblPr>
      <w:tblGrid>
        <w:gridCol w:w="4591"/>
        <w:gridCol w:w="4578"/>
      </w:tblGrid>
      <w:tr w:rsidR="00D97F8D" w:rsidRPr="00B82BBC" w14:paraId="4314CC71" w14:textId="77777777" w:rsidTr="00D97F8D">
        <w:tc>
          <w:tcPr>
            <w:tcW w:w="4698" w:type="dxa"/>
          </w:tcPr>
          <w:p w14:paraId="17783BE9" w14:textId="2CDD2721" w:rsidR="00D97F8D" w:rsidRPr="00B82BBC" w:rsidRDefault="00D97F8D" w:rsidP="00B82BBC">
            <w:pPr>
              <w:pStyle w:val="Sinespaciado"/>
              <w:jc w:val="center"/>
              <w:rPr>
                <w:rFonts w:ascii="Tahoma" w:hAnsi="Tahoma" w:cs="Tahoma"/>
                <w:b/>
                <w:color w:val="000000" w:themeColor="text1"/>
                <w:sz w:val="22"/>
              </w:rPr>
            </w:pPr>
            <w:r w:rsidRPr="00B82BBC">
              <w:rPr>
                <w:rFonts w:ascii="Tahoma" w:hAnsi="Tahoma" w:cs="Tahoma"/>
                <w:b/>
                <w:color w:val="000000" w:themeColor="text1"/>
                <w:sz w:val="22"/>
              </w:rPr>
              <w:t>Descripción</w:t>
            </w:r>
          </w:p>
        </w:tc>
        <w:tc>
          <w:tcPr>
            <w:tcW w:w="4699" w:type="dxa"/>
          </w:tcPr>
          <w:p w14:paraId="7A9F0F24" w14:textId="6408C98C" w:rsidR="00D97F8D" w:rsidRPr="00B82BBC" w:rsidRDefault="00D97F8D" w:rsidP="00B82BBC">
            <w:pPr>
              <w:pStyle w:val="Sinespaciado"/>
              <w:jc w:val="center"/>
              <w:rPr>
                <w:rFonts w:ascii="Tahoma" w:hAnsi="Tahoma" w:cs="Tahoma"/>
                <w:b/>
                <w:color w:val="000000" w:themeColor="text1"/>
                <w:sz w:val="22"/>
              </w:rPr>
            </w:pPr>
            <w:r w:rsidRPr="00B82BBC">
              <w:rPr>
                <w:rFonts w:ascii="Tahoma" w:hAnsi="Tahoma" w:cs="Tahoma"/>
                <w:b/>
                <w:color w:val="000000" w:themeColor="text1"/>
                <w:sz w:val="22"/>
              </w:rPr>
              <w:t>Porcentaje</w:t>
            </w:r>
          </w:p>
        </w:tc>
      </w:tr>
      <w:tr w:rsidR="00D97F8D" w:rsidRPr="00B82BBC" w14:paraId="77129EDB" w14:textId="77777777" w:rsidTr="00D97F8D">
        <w:tc>
          <w:tcPr>
            <w:tcW w:w="4698" w:type="dxa"/>
          </w:tcPr>
          <w:p w14:paraId="0FF3E857" w14:textId="706C9C6F" w:rsidR="00D97F8D" w:rsidRPr="00B82BBC" w:rsidRDefault="00D97F8D" w:rsidP="00B82BBC">
            <w:pPr>
              <w:pStyle w:val="Sinespaciado"/>
              <w:jc w:val="both"/>
              <w:rPr>
                <w:rFonts w:ascii="Tahoma" w:hAnsi="Tahoma" w:cs="Tahoma"/>
                <w:color w:val="000000" w:themeColor="text1"/>
                <w:sz w:val="22"/>
              </w:rPr>
            </w:pPr>
            <w:r w:rsidRPr="00B82BBC">
              <w:rPr>
                <w:rFonts w:ascii="Tahoma" w:hAnsi="Tahoma" w:cs="Tahoma"/>
                <w:color w:val="000000" w:themeColor="text1"/>
                <w:sz w:val="22"/>
              </w:rPr>
              <w:t xml:space="preserve">Deficiencia por </w:t>
            </w:r>
            <w:r w:rsidR="00337CC0" w:rsidRPr="00B82BBC">
              <w:rPr>
                <w:rFonts w:ascii="Tahoma" w:hAnsi="Tahoma" w:cs="Tahoma"/>
                <w:color w:val="000000" w:themeColor="text1"/>
                <w:sz w:val="22"/>
              </w:rPr>
              <w:t>alteraciones del sistema cardiovascular</w:t>
            </w:r>
            <w:r w:rsidRPr="00B82BBC">
              <w:rPr>
                <w:rFonts w:ascii="Tahoma" w:hAnsi="Tahoma" w:cs="Tahoma"/>
                <w:color w:val="000000" w:themeColor="text1"/>
                <w:sz w:val="22"/>
              </w:rPr>
              <w:t xml:space="preserve"> </w:t>
            </w:r>
          </w:p>
        </w:tc>
        <w:tc>
          <w:tcPr>
            <w:tcW w:w="4699" w:type="dxa"/>
          </w:tcPr>
          <w:p w14:paraId="1B250A8E" w14:textId="04FC64AF" w:rsidR="00D97F8D" w:rsidRPr="00B82BBC" w:rsidRDefault="00D97F8D" w:rsidP="00B82BBC">
            <w:pPr>
              <w:pStyle w:val="Sinespaciado"/>
              <w:jc w:val="center"/>
              <w:rPr>
                <w:rFonts w:ascii="Tahoma" w:hAnsi="Tahoma" w:cs="Tahoma"/>
                <w:color w:val="000000" w:themeColor="text1"/>
                <w:sz w:val="22"/>
              </w:rPr>
            </w:pPr>
            <w:r w:rsidRPr="00B82BBC">
              <w:rPr>
                <w:rFonts w:ascii="Tahoma" w:hAnsi="Tahoma" w:cs="Tahoma"/>
                <w:color w:val="000000" w:themeColor="text1"/>
                <w:sz w:val="22"/>
              </w:rPr>
              <w:t>8%</w:t>
            </w:r>
          </w:p>
        </w:tc>
      </w:tr>
      <w:tr w:rsidR="00D97F8D" w:rsidRPr="00B82BBC" w14:paraId="379C1185" w14:textId="77777777" w:rsidTr="00D97F8D">
        <w:tc>
          <w:tcPr>
            <w:tcW w:w="4698" w:type="dxa"/>
          </w:tcPr>
          <w:p w14:paraId="20653D62" w14:textId="659C4858" w:rsidR="00D97F8D" w:rsidRPr="00B82BBC" w:rsidRDefault="00D97F8D" w:rsidP="00B82BBC">
            <w:pPr>
              <w:pStyle w:val="Sinespaciado"/>
              <w:jc w:val="both"/>
              <w:rPr>
                <w:rFonts w:ascii="Tahoma" w:hAnsi="Tahoma" w:cs="Tahoma"/>
                <w:color w:val="000000" w:themeColor="text1"/>
                <w:sz w:val="22"/>
              </w:rPr>
            </w:pPr>
            <w:r w:rsidRPr="00B82BBC">
              <w:rPr>
                <w:rFonts w:ascii="Tahoma" w:hAnsi="Tahoma" w:cs="Tahoma"/>
                <w:color w:val="000000" w:themeColor="text1"/>
                <w:sz w:val="22"/>
              </w:rPr>
              <w:t>Deficiencia</w:t>
            </w:r>
            <w:r w:rsidR="00337CC0" w:rsidRPr="00B82BBC">
              <w:rPr>
                <w:rFonts w:ascii="Tahoma" w:hAnsi="Tahoma" w:cs="Tahoma"/>
                <w:color w:val="000000" w:themeColor="text1"/>
                <w:sz w:val="22"/>
              </w:rPr>
              <w:t>s</w:t>
            </w:r>
            <w:r w:rsidRPr="00B82BBC">
              <w:rPr>
                <w:rFonts w:ascii="Tahoma" w:hAnsi="Tahoma" w:cs="Tahoma"/>
                <w:color w:val="000000" w:themeColor="text1"/>
                <w:sz w:val="22"/>
              </w:rPr>
              <w:t xml:space="preserve"> por </w:t>
            </w:r>
            <w:r w:rsidR="00337CC0" w:rsidRPr="00B82BBC">
              <w:rPr>
                <w:rFonts w:ascii="Tahoma" w:hAnsi="Tahoma" w:cs="Tahoma"/>
                <w:color w:val="000000" w:themeColor="text1"/>
                <w:sz w:val="22"/>
              </w:rPr>
              <w:t xml:space="preserve">alteraciones del sistema </w:t>
            </w:r>
            <w:r w:rsidRPr="00B82BBC">
              <w:rPr>
                <w:rFonts w:ascii="Tahoma" w:hAnsi="Tahoma" w:cs="Tahoma"/>
                <w:color w:val="000000" w:themeColor="text1"/>
                <w:sz w:val="22"/>
              </w:rPr>
              <w:t>visual</w:t>
            </w:r>
          </w:p>
        </w:tc>
        <w:tc>
          <w:tcPr>
            <w:tcW w:w="4699" w:type="dxa"/>
          </w:tcPr>
          <w:p w14:paraId="66F09BF6" w14:textId="05DADD27" w:rsidR="00D97F8D" w:rsidRPr="00B82BBC" w:rsidRDefault="00D97F8D" w:rsidP="00B82BBC">
            <w:pPr>
              <w:pStyle w:val="Sinespaciado"/>
              <w:jc w:val="center"/>
              <w:rPr>
                <w:rFonts w:ascii="Tahoma" w:hAnsi="Tahoma" w:cs="Tahoma"/>
                <w:color w:val="000000" w:themeColor="text1"/>
                <w:sz w:val="22"/>
              </w:rPr>
            </w:pPr>
            <w:r w:rsidRPr="00B82BBC">
              <w:rPr>
                <w:rFonts w:ascii="Tahoma" w:hAnsi="Tahoma" w:cs="Tahoma"/>
                <w:color w:val="000000" w:themeColor="text1"/>
                <w:sz w:val="22"/>
              </w:rPr>
              <w:t>40.66%</w:t>
            </w:r>
          </w:p>
        </w:tc>
      </w:tr>
      <w:tr w:rsidR="00D97F8D" w:rsidRPr="00B82BBC" w14:paraId="5CC51140" w14:textId="77777777" w:rsidTr="00D97F8D">
        <w:tc>
          <w:tcPr>
            <w:tcW w:w="4698" w:type="dxa"/>
          </w:tcPr>
          <w:p w14:paraId="7958FD65" w14:textId="751C028B" w:rsidR="00D97F8D" w:rsidRPr="00B82BBC" w:rsidRDefault="00D97F8D" w:rsidP="00B82BBC">
            <w:pPr>
              <w:pStyle w:val="Sinespaciado"/>
              <w:jc w:val="both"/>
              <w:rPr>
                <w:rFonts w:ascii="Tahoma" w:hAnsi="Tahoma" w:cs="Tahoma"/>
                <w:color w:val="000000" w:themeColor="text1"/>
                <w:sz w:val="22"/>
              </w:rPr>
            </w:pPr>
            <w:r w:rsidRPr="00B82BBC">
              <w:rPr>
                <w:rFonts w:ascii="Tahoma" w:hAnsi="Tahoma" w:cs="Tahoma"/>
                <w:color w:val="000000" w:themeColor="text1"/>
                <w:sz w:val="22"/>
              </w:rPr>
              <w:t>Deficiencia</w:t>
            </w:r>
            <w:r w:rsidR="00337CC0" w:rsidRPr="00B82BBC">
              <w:rPr>
                <w:rFonts w:ascii="Tahoma" w:hAnsi="Tahoma" w:cs="Tahoma"/>
                <w:color w:val="000000" w:themeColor="text1"/>
                <w:sz w:val="22"/>
              </w:rPr>
              <w:t>s</w:t>
            </w:r>
            <w:r w:rsidRPr="00B82BBC">
              <w:rPr>
                <w:rFonts w:ascii="Tahoma" w:hAnsi="Tahoma" w:cs="Tahoma"/>
                <w:color w:val="000000" w:themeColor="text1"/>
                <w:sz w:val="22"/>
              </w:rPr>
              <w:t xml:space="preserve"> por trastornos mentales y del comportamiento</w:t>
            </w:r>
          </w:p>
        </w:tc>
        <w:tc>
          <w:tcPr>
            <w:tcW w:w="4699" w:type="dxa"/>
          </w:tcPr>
          <w:p w14:paraId="65FE02FA" w14:textId="2DFC0156" w:rsidR="00D97F8D" w:rsidRPr="00B82BBC" w:rsidRDefault="00D97F8D" w:rsidP="00B82BBC">
            <w:pPr>
              <w:pStyle w:val="Sinespaciado"/>
              <w:jc w:val="center"/>
              <w:rPr>
                <w:rFonts w:ascii="Tahoma" w:hAnsi="Tahoma" w:cs="Tahoma"/>
                <w:color w:val="000000" w:themeColor="text1"/>
                <w:sz w:val="22"/>
              </w:rPr>
            </w:pPr>
            <w:r w:rsidRPr="00B82BBC">
              <w:rPr>
                <w:rFonts w:ascii="Tahoma" w:hAnsi="Tahoma" w:cs="Tahoma"/>
                <w:color w:val="000000" w:themeColor="text1"/>
                <w:sz w:val="22"/>
              </w:rPr>
              <w:t>40.00%</w:t>
            </w:r>
          </w:p>
        </w:tc>
      </w:tr>
      <w:tr w:rsidR="00D97F8D" w:rsidRPr="00B82BBC" w14:paraId="1B0289FD" w14:textId="77777777" w:rsidTr="00D97F8D">
        <w:tc>
          <w:tcPr>
            <w:tcW w:w="4698" w:type="dxa"/>
          </w:tcPr>
          <w:p w14:paraId="4EF8416E" w14:textId="455CFEFE" w:rsidR="00D97F8D" w:rsidRPr="00B82BBC" w:rsidRDefault="00D97F8D" w:rsidP="00B82BBC">
            <w:pPr>
              <w:pStyle w:val="Sinespaciado"/>
              <w:jc w:val="center"/>
              <w:rPr>
                <w:rFonts w:ascii="Tahoma" w:hAnsi="Tahoma" w:cs="Tahoma"/>
                <w:b/>
                <w:color w:val="000000" w:themeColor="text1"/>
                <w:sz w:val="22"/>
              </w:rPr>
            </w:pPr>
            <w:r w:rsidRPr="00B82BBC">
              <w:rPr>
                <w:rFonts w:ascii="Tahoma" w:hAnsi="Tahoma" w:cs="Tahoma"/>
                <w:b/>
                <w:color w:val="000000" w:themeColor="text1"/>
                <w:sz w:val="22"/>
              </w:rPr>
              <w:t>TOTAL DEFICIENCIA PONDERADA</w:t>
            </w:r>
          </w:p>
        </w:tc>
        <w:tc>
          <w:tcPr>
            <w:tcW w:w="4699" w:type="dxa"/>
          </w:tcPr>
          <w:p w14:paraId="24F30B3B" w14:textId="1854A26B" w:rsidR="00D97F8D" w:rsidRPr="00B82BBC" w:rsidRDefault="00D97F8D" w:rsidP="00B82BBC">
            <w:pPr>
              <w:pStyle w:val="Sinespaciado"/>
              <w:jc w:val="center"/>
              <w:rPr>
                <w:rFonts w:ascii="Tahoma" w:hAnsi="Tahoma" w:cs="Tahoma"/>
                <w:b/>
                <w:color w:val="000000" w:themeColor="text1"/>
                <w:sz w:val="22"/>
              </w:rPr>
            </w:pPr>
            <w:r w:rsidRPr="00B82BBC">
              <w:rPr>
                <w:rFonts w:ascii="Tahoma" w:hAnsi="Tahoma" w:cs="Tahoma"/>
                <w:b/>
                <w:color w:val="000000" w:themeColor="text1"/>
                <w:sz w:val="22"/>
              </w:rPr>
              <w:t>33,6</w:t>
            </w:r>
            <w:r w:rsidR="00337CC0" w:rsidRPr="00B82BBC">
              <w:rPr>
                <w:rFonts w:ascii="Tahoma" w:hAnsi="Tahoma" w:cs="Tahoma"/>
                <w:b/>
                <w:color w:val="000000" w:themeColor="text1"/>
                <w:sz w:val="22"/>
              </w:rPr>
              <w:t>2</w:t>
            </w:r>
            <w:r w:rsidRPr="00B82BBC">
              <w:rPr>
                <w:rFonts w:ascii="Tahoma" w:hAnsi="Tahoma" w:cs="Tahoma"/>
                <w:b/>
                <w:color w:val="000000" w:themeColor="text1"/>
                <w:sz w:val="22"/>
              </w:rPr>
              <w:t>%</w:t>
            </w:r>
            <w:r w:rsidR="00337CC0" w:rsidRPr="00B82BBC">
              <w:rPr>
                <w:rStyle w:val="Refdenotaalpie"/>
                <w:rFonts w:ascii="Tahoma" w:hAnsi="Tahoma" w:cs="Tahoma"/>
                <w:b/>
                <w:color w:val="000000" w:themeColor="text1"/>
                <w:sz w:val="22"/>
              </w:rPr>
              <w:footnoteReference w:id="1"/>
            </w:r>
          </w:p>
        </w:tc>
      </w:tr>
    </w:tbl>
    <w:p w14:paraId="2687BFCD" w14:textId="77777777" w:rsidR="00D97F8D" w:rsidRPr="00B82BBC" w:rsidRDefault="00D97F8D" w:rsidP="00B82BBC">
      <w:pPr>
        <w:pStyle w:val="Sinespaciado"/>
        <w:spacing w:line="276" w:lineRule="auto"/>
        <w:jc w:val="both"/>
        <w:rPr>
          <w:rFonts w:ascii="Tahoma" w:hAnsi="Tahoma" w:cs="Tahoma"/>
          <w:color w:val="000000" w:themeColor="text1"/>
        </w:rPr>
      </w:pPr>
    </w:p>
    <w:p w14:paraId="2B9FD7C3" w14:textId="29EA5ABA" w:rsidR="00D97F8D" w:rsidRPr="00B82BBC" w:rsidRDefault="00337CC0" w:rsidP="00B82BBC">
      <w:pPr>
        <w:pStyle w:val="Sinespaciado"/>
        <w:spacing w:line="276" w:lineRule="auto"/>
        <w:ind w:firstLine="708"/>
        <w:jc w:val="both"/>
        <w:rPr>
          <w:rFonts w:ascii="Tahoma" w:hAnsi="Tahoma" w:cs="Tahoma"/>
          <w:color w:val="000000" w:themeColor="text1"/>
        </w:rPr>
      </w:pPr>
      <w:r w:rsidRPr="00B82BBC">
        <w:rPr>
          <w:rFonts w:ascii="Tahoma" w:hAnsi="Tahoma" w:cs="Tahoma"/>
          <w:color w:val="000000" w:themeColor="text1"/>
        </w:rPr>
        <w:t>Frente a dichas patologías habrá de decirse que la única que tiene la característica de ser degenerativa es la de las “</w:t>
      </w:r>
      <w:r w:rsidRPr="00B82BBC">
        <w:rPr>
          <w:rFonts w:ascii="Tahoma" w:hAnsi="Tahoma" w:cs="Tahoma"/>
          <w:color w:val="000000" w:themeColor="text1"/>
          <w:sz w:val="22"/>
        </w:rPr>
        <w:t>Deficiencias por alteraciones del sistema cardiovascular</w:t>
      </w:r>
      <w:r w:rsidRPr="00B82BBC">
        <w:rPr>
          <w:rFonts w:ascii="Tahoma" w:hAnsi="Tahoma" w:cs="Tahoma"/>
          <w:color w:val="000000" w:themeColor="text1"/>
        </w:rPr>
        <w:t>”</w:t>
      </w:r>
      <w:r w:rsidRPr="00B82BBC">
        <w:rPr>
          <w:rStyle w:val="Refdenotaalpie"/>
          <w:rFonts w:ascii="Tahoma" w:hAnsi="Tahoma" w:cs="Tahoma"/>
          <w:color w:val="000000" w:themeColor="text1"/>
        </w:rPr>
        <w:footnoteReference w:id="2"/>
      </w:r>
      <w:r w:rsidRPr="00B82BBC">
        <w:rPr>
          <w:rFonts w:ascii="Tahoma" w:hAnsi="Tahoma" w:cs="Tahoma"/>
          <w:color w:val="000000" w:themeColor="text1"/>
        </w:rPr>
        <w:t xml:space="preserve">, que tal como resaltara la A-quo, es la que menor porcentaje otorga </w:t>
      </w:r>
      <w:r w:rsidRPr="00B82BBC">
        <w:rPr>
          <w:rFonts w:ascii="Tahoma" w:hAnsi="Tahoma" w:cs="Tahoma"/>
          <w:color w:val="000000" w:themeColor="text1"/>
        </w:rPr>
        <w:lastRenderedPageBreak/>
        <w:t>al total de deficiencia ponderada, por lo que no podría, en principio, afirmarse categóricamente que la pérdida de capacidad laboral total del 53,82% tiene como base determinante una enfermedad degenerativa que dé lugar</w:t>
      </w:r>
      <w:r w:rsidR="00AD7931" w:rsidRPr="00B82BBC">
        <w:rPr>
          <w:rFonts w:ascii="Tahoma" w:hAnsi="Tahoma" w:cs="Tahoma"/>
          <w:color w:val="000000" w:themeColor="text1"/>
        </w:rPr>
        <w:t>, a su vez</w:t>
      </w:r>
      <w:r w:rsidR="007361B1" w:rsidRPr="00B82BBC">
        <w:rPr>
          <w:rFonts w:ascii="Tahoma" w:hAnsi="Tahoma" w:cs="Tahoma"/>
          <w:color w:val="000000" w:themeColor="text1"/>
        </w:rPr>
        <w:t>,</w:t>
      </w:r>
      <w:r w:rsidRPr="00B82BBC">
        <w:rPr>
          <w:rFonts w:ascii="Tahoma" w:hAnsi="Tahoma" w:cs="Tahoma"/>
          <w:color w:val="000000" w:themeColor="text1"/>
        </w:rPr>
        <w:t xml:space="preserve"> a aplicar el </w:t>
      </w:r>
      <w:r w:rsidR="00AD7931" w:rsidRPr="00B82BBC">
        <w:rPr>
          <w:rFonts w:ascii="Tahoma" w:hAnsi="Tahoma" w:cs="Tahoma"/>
          <w:color w:val="000000" w:themeColor="text1"/>
        </w:rPr>
        <w:t>precedente</w:t>
      </w:r>
      <w:r w:rsidRPr="00B82BBC">
        <w:rPr>
          <w:rFonts w:ascii="Tahoma" w:hAnsi="Tahoma" w:cs="Tahoma"/>
          <w:color w:val="000000" w:themeColor="text1"/>
        </w:rPr>
        <w:t xml:space="preserve"> jurisprudencial aludido previamente.</w:t>
      </w:r>
    </w:p>
    <w:p w14:paraId="34ADE131" w14:textId="77777777" w:rsidR="00607BC2" w:rsidRPr="00B82BBC" w:rsidRDefault="00607BC2" w:rsidP="00B82BBC">
      <w:pPr>
        <w:pStyle w:val="Sinespaciado"/>
        <w:spacing w:line="276" w:lineRule="auto"/>
        <w:jc w:val="both"/>
        <w:rPr>
          <w:rFonts w:ascii="Tahoma" w:hAnsi="Tahoma" w:cs="Tahoma"/>
          <w:color w:val="000000" w:themeColor="text1"/>
        </w:rPr>
      </w:pPr>
    </w:p>
    <w:p w14:paraId="1A419BA1" w14:textId="69DAECC0" w:rsidR="0061460F" w:rsidRPr="00B82BBC" w:rsidRDefault="0061460F" w:rsidP="00B82BBC">
      <w:pPr>
        <w:pStyle w:val="Sinespaciado"/>
        <w:spacing w:line="276" w:lineRule="auto"/>
        <w:jc w:val="both"/>
        <w:rPr>
          <w:rFonts w:ascii="Tahoma" w:hAnsi="Tahoma" w:cs="Tahoma"/>
        </w:rPr>
      </w:pPr>
      <w:r w:rsidRPr="00B82BBC">
        <w:rPr>
          <w:rFonts w:ascii="Tahoma" w:hAnsi="Tahoma" w:cs="Tahoma"/>
          <w:color w:val="000000" w:themeColor="text1"/>
        </w:rPr>
        <w:tab/>
        <w:t xml:space="preserve">Más allá de lo anterior, </w:t>
      </w:r>
      <w:r w:rsidR="00AD7931" w:rsidRPr="00B82BBC">
        <w:rPr>
          <w:rFonts w:ascii="Tahoma" w:hAnsi="Tahoma" w:cs="Tahoma"/>
          <w:color w:val="000000" w:themeColor="text1"/>
        </w:rPr>
        <w:t xml:space="preserve">en caso de que se aceptara que, en efecto, el total de las enfermedades padecidas por la demandante ostentan el carácter de degenerativas, </w:t>
      </w:r>
      <w:r w:rsidRPr="00B82BBC">
        <w:rPr>
          <w:rFonts w:ascii="Tahoma" w:hAnsi="Tahoma" w:cs="Tahoma"/>
          <w:color w:val="000000" w:themeColor="text1"/>
        </w:rPr>
        <w:t xml:space="preserve">habrá de decirse al apelante que en sub lite no hay lugar a aplicar el principio </w:t>
      </w:r>
      <w:proofErr w:type="spellStart"/>
      <w:r w:rsidRPr="00B82BBC">
        <w:rPr>
          <w:rFonts w:ascii="Tahoma" w:hAnsi="Tahoma" w:cs="Tahoma"/>
          <w:color w:val="000000" w:themeColor="text1"/>
        </w:rPr>
        <w:t>indubio</w:t>
      </w:r>
      <w:proofErr w:type="spellEnd"/>
      <w:r w:rsidRPr="00B82BBC">
        <w:rPr>
          <w:rFonts w:ascii="Tahoma" w:hAnsi="Tahoma" w:cs="Tahoma"/>
          <w:color w:val="000000" w:themeColor="text1"/>
        </w:rPr>
        <w:t xml:space="preserve"> pro operario, </w:t>
      </w:r>
      <w:r w:rsidR="00846A11" w:rsidRPr="00B82BBC">
        <w:rPr>
          <w:rFonts w:ascii="Tahoma" w:hAnsi="Tahoma" w:cs="Tahoma"/>
          <w:color w:val="000000" w:themeColor="text1"/>
        </w:rPr>
        <w:t xml:space="preserve">pues el mismo es definido por </w:t>
      </w:r>
      <w:r w:rsidRPr="00B82BBC">
        <w:rPr>
          <w:rFonts w:ascii="Tahoma" w:hAnsi="Tahoma" w:cs="Tahoma"/>
          <w:color w:val="000000" w:themeColor="text1"/>
        </w:rPr>
        <w:t>la Corte Constitucional</w:t>
      </w:r>
      <w:r w:rsidRPr="00B82BBC">
        <w:rPr>
          <w:rStyle w:val="Refdenotaalpie"/>
          <w:rFonts w:ascii="Tahoma" w:hAnsi="Tahoma" w:cs="Tahoma"/>
          <w:color w:val="000000" w:themeColor="text1"/>
        </w:rPr>
        <w:footnoteReference w:id="3"/>
      </w:r>
      <w:r w:rsidRPr="00B82BBC">
        <w:rPr>
          <w:rFonts w:ascii="Tahoma" w:hAnsi="Tahoma" w:cs="Tahoma"/>
          <w:color w:val="000000" w:themeColor="text1"/>
        </w:rPr>
        <w:t xml:space="preserve"> en los siguientes té</w:t>
      </w:r>
      <w:r w:rsidRPr="00B82BBC">
        <w:rPr>
          <w:rFonts w:ascii="Tahoma" w:hAnsi="Tahoma" w:cs="Tahoma"/>
        </w:rPr>
        <w:t>rminos:</w:t>
      </w:r>
    </w:p>
    <w:p w14:paraId="3DC26C09" w14:textId="77777777" w:rsidR="0061460F" w:rsidRPr="00B82BBC" w:rsidRDefault="0061460F" w:rsidP="00B82BBC">
      <w:pPr>
        <w:pStyle w:val="Sinespaciado"/>
        <w:spacing w:line="276" w:lineRule="auto"/>
        <w:jc w:val="both"/>
        <w:rPr>
          <w:rFonts w:ascii="Tahoma" w:hAnsi="Tahoma" w:cs="Tahoma"/>
        </w:rPr>
      </w:pPr>
    </w:p>
    <w:p w14:paraId="66B775ED" w14:textId="77777777" w:rsidR="0061460F" w:rsidRPr="00B82BBC" w:rsidRDefault="00846A11" w:rsidP="00B82BBC">
      <w:pPr>
        <w:pStyle w:val="Sinespaciado"/>
        <w:ind w:left="426" w:right="420"/>
        <w:jc w:val="both"/>
        <w:rPr>
          <w:rFonts w:ascii="Tahoma" w:hAnsi="Tahoma" w:cs="Tahoma"/>
          <w:sz w:val="22"/>
        </w:rPr>
      </w:pPr>
      <w:r w:rsidRPr="00B82BBC">
        <w:rPr>
          <w:rFonts w:ascii="Tahoma" w:hAnsi="Tahoma" w:cs="Tahoma"/>
          <w:i/>
          <w:iCs/>
          <w:sz w:val="22"/>
        </w:rPr>
        <w:t>“</w:t>
      </w:r>
      <w:r w:rsidR="0061460F" w:rsidRPr="00B82BBC">
        <w:rPr>
          <w:rFonts w:ascii="Tahoma" w:hAnsi="Tahoma" w:cs="Tahoma"/>
          <w:i/>
          <w:iCs/>
          <w:sz w:val="22"/>
        </w:rPr>
        <w:t>El principio in dubio por operario</w:t>
      </w:r>
      <w:r w:rsidR="0061460F" w:rsidRPr="00B82BBC">
        <w:rPr>
          <w:rFonts w:ascii="Tahoma" w:hAnsi="Tahoma" w:cs="Tahoma"/>
          <w:b/>
          <w:bCs/>
          <w:i/>
          <w:iCs/>
          <w:sz w:val="22"/>
        </w:rPr>
        <w:t> </w:t>
      </w:r>
      <w:r w:rsidR="0061460F" w:rsidRPr="00B82BBC">
        <w:rPr>
          <w:rFonts w:ascii="Tahoma" w:hAnsi="Tahoma" w:cs="Tahoma"/>
          <w:i/>
          <w:iCs/>
          <w:sz w:val="22"/>
        </w:rPr>
        <w:t>(favorabilidad en sentido amplio), “[I]</w:t>
      </w:r>
      <w:proofErr w:type="spellStart"/>
      <w:r w:rsidR="0061460F" w:rsidRPr="00B82BBC">
        <w:rPr>
          <w:rFonts w:ascii="Tahoma" w:hAnsi="Tahoma" w:cs="Tahoma"/>
          <w:i/>
          <w:iCs/>
          <w:sz w:val="22"/>
        </w:rPr>
        <w:t>mplica</w:t>
      </w:r>
      <w:proofErr w:type="spellEnd"/>
      <w:r w:rsidR="0061460F" w:rsidRPr="00B82BBC">
        <w:rPr>
          <w:rFonts w:ascii="Tahoma" w:hAnsi="Tahoma" w:cs="Tahoma"/>
          <w:i/>
          <w:iCs/>
          <w:sz w:val="22"/>
        </w:rPr>
        <w:t xml:space="preserve"> que una o varias disposiciones jurídicas aplicables a un caso, permiten la adscripción de diversas interpretaciones razonables dentro de su contenido normativo, generando duda en el operador jurídico sobre cuál hermenéutica escoger. En esta hipótesis el intérprete debe elegir la interpretación que mayor amparo otorgue al trabajador.</w:t>
      </w:r>
      <w:r w:rsidRPr="00B82BBC">
        <w:rPr>
          <w:rFonts w:ascii="Tahoma" w:hAnsi="Tahoma" w:cs="Tahoma"/>
          <w:i/>
          <w:iCs/>
          <w:sz w:val="22"/>
        </w:rPr>
        <w:t>”</w:t>
      </w:r>
    </w:p>
    <w:p w14:paraId="2733EB14" w14:textId="77777777" w:rsidR="0061460F" w:rsidRPr="00B82BBC" w:rsidRDefault="0061460F" w:rsidP="00B82BBC">
      <w:pPr>
        <w:pStyle w:val="Sinespaciado"/>
        <w:spacing w:line="276" w:lineRule="auto"/>
        <w:jc w:val="both"/>
        <w:rPr>
          <w:rFonts w:ascii="Tahoma" w:hAnsi="Tahoma" w:cs="Tahoma"/>
        </w:rPr>
      </w:pPr>
    </w:p>
    <w:p w14:paraId="0DCE19E9" w14:textId="77777777" w:rsidR="00AB55EA" w:rsidRPr="00B82BBC" w:rsidRDefault="00846A11" w:rsidP="00B82BBC">
      <w:pPr>
        <w:pStyle w:val="Sinespaciado"/>
        <w:spacing w:line="276" w:lineRule="auto"/>
        <w:ind w:firstLine="708"/>
        <w:jc w:val="both"/>
        <w:rPr>
          <w:rFonts w:ascii="Tahoma" w:hAnsi="Tahoma" w:cs="Tahoma"/>
        </w:rPr>
      </w:pPr>
      <w:r w:rsidRPr="00B82BBC">
        <w:rPr>
          <w:rFonts w:ascii="Tahoma" w:hAnsi="Tahoma" w:cs="Tahoma"/>
        </w:rPr>
        <w:t xml:space="preserve">Así, como en el </w:t>
      </w:r>
      <w:r w:rsidR="001F6012" w:rsidRPr="00B82BBC">
        <w:rPr>
          <w:rFonts w:ascii="Tahoma" w:hAnsi="Tahoma" w:cs="Tahoma"/>
        </w:rPr>
        <w:t xml:space="preserve">caso bajo estudio </w:t>
      </w:r>
      <w:r w:rsidRPr="00B82BBC">
        <w:rPr>
          <w:rFonts w:ascii="Tahoma" w:hAnsi="Tahoma" w:cs="Tahoma"/>
        </w:rPr>
        <w:t xml:space="preserve">no existen disposiciones normativas frente a las cuales deba ejercerse una interpretación que favorezca al trabajador, </w:t>
      </w:r>
      <w:r w:rsidR="001F6012" w:rsidRPr="00B82BBC">
        <w:rPr>
          <w:rFonts w:ascii="Tahoma" w:hAnsi="Tahoma" w:cs="Tahoma"/>
        </w:rPr>
        <w:t xml:space="preserve">el análisis desplegado por la A-quo se estima acertado por cuanto advirtió el </w:t>
      </w:r>
      <w:r w:rsidR="00AB55EA" w:rsidRPr="00B82BBC">
        <w:rPr>
          <w:rFonts w:ascii="Tahoma" w:hAnsi="Tahoma" w:cs="Tahoma"/>
        </w:rPr>
        <w:t xml:space="preserve">déficit probatorio </w:t>
      </w:r>
      <w:r w:rsidR="001F6012" w:rsidRPr="00B82BBC">
        <w:rPr>
          <w:rFonts w:ascii="Tahoma" w:hAnsi="Tahoma" w:cs="Tahoma"/>
        </w:rPr>
        <w:t xml:space="preserve">de la parte demandante dirigido a probar, si quiera tangencialmente, </w:t>
      </w:r>
      <w:r w:rsidR="00AB55EA" w:rsidRPr="00B82BBC">
        <w:rPr>
          <w:rFonts w:ascii="Tahoma" w:hAnsi="Tahoma" w:cs="Tahoma"/>
        </w:rPr>
        <w:t xml:space="preserve">que las semanas cotizadas </w:t>
      </w:r>
      <w:r w:rsidR="00972C71" w:rsidRPr="00B82BBC">
        <w:rPr>
          <w:rFonts w:ascii="Tahoma" w:hAnsi="Tahoma" w:cs="Tahoma"/>
          <w:b/>
        </w:rPr>
        <w:t>a través del régimen subsidiado</w:t>
      </w:r>
      <w:r w:rsidR="00972C71" w:rsidRPr="00B82BBC">
        <w:rPr>
          <w:rFonts w:ascii="Tahoma" w:hAnsi="Tahoma" w:cs="Tahoma"/>
        </w:rPr>
        <w:t xml:space="preserve">, </w:t>
      </w:r>
      <w:r w:rsidR="001F6012" w:rsidRPr="00B82BBC">
        <w:rPr>
          <w:rFonts w:ascii="Tahoma" w:hAnsi="Tahoma" w:cs="Tahoma"/>
        </w:rPr>
        <w:t>c</w:t>
      </w:r>
      <w:r w:rsidR="00AB55EA" w:rsidRPr="00B82BBC">
        <w:rPr>
          <w:rFonts w:ascii="Tahoma" w:hAnsi="Tahoma" w:cs="Tahoma"/>
        </w:rPr>
        <w:t>on posteridad a la fecha de estructuración</w:t>
      </w:r>
      <w:r w:rsidR="001F6012" w:rsidRPr="00B82BBC">
        <w:rPr>
          <w:rFonts w:ascii="Tahoma" w:hAnsi="Tahoma" w:cs="Tahoma"/>
        </w:rPr>
        <w:t xml:space="preserve"> </w:t>
      </w:r>
      <w:r w:rsidR="00AB55EA" w:rsidRPr="00B82BBC">
        <w:rPr>
          <w:rFonts w:ascii="Tahoma" w:hAnsi="Tahoma" w:cs="Tahoma"/>
        </w:rPr>
        <w:t>establecida por la Junta Nacional de Calificación de Invalidez</w:t>
      </w:r>
      <w:r w:rsidR="00972C71" w:rsidRPr="00B82BBC">
        <w:rPr>
          <w:rFonts w:ascii="Tahoma" w:hAnsi="Tahoma" w:cs="Tahoma"/>
        </w:rPr>
        <w:t>,</w:t>
      </w:r>
      <w:r w:rsidR="00AB55EA" w:rsidRPr="00B82BBC">
        <w:rPr>
          <w:rFonts w:ascii="Tahoma" w:hAnsi="Tahoma" w:cs="Tahoma"/>
        </w:rPr>
        <w:t xml:space="preserve"> visible a folio 19 y s.s., </w:t>
      </w:r>
      <w:r w:rsidR="00147778" w:rsidRPr="00B82BBC">
        <w:rPr>
          <w:rFonts w:ascii="Tahoma" w:hAnsi="Tahoma" w:cs="Tahoma"/>
        </w:rPr>
        <w:t>fueron el producto del desempeño de una labor por la capacidad laboral residual</w:t>
      </w:r>
      <w:r w:rsidR="00972C71" w:rsidRPr="00B82BBC">
        <w:rPr>
          <w:rFonts w:ascii="Tahoma" w:hAnsi="Tahoma" w:cs="Tahoma"/>
        </w:rPr>
        <w:t>.</w:t>
      </w:r>
    </w:p>
    <w:p w14:paraId="36C4C99A" w14:textId="77777777" w:rsidR="00972C71" w:rsidRPr="00B82BBC" w:rsidRDefault="00972C71" w:rsidP="00B82BBC">
      <w:pPr>
        <w:pStyle w:val="Sinespaciado"/>
        <w:spacing w:line="276" w:lineRule="auto"/>
        <w:ind w:firstLine="708"/>
        <w:jc w:val="both"/>
        <w:rPr>
          <w:rFonts w:ascii="Tahoma" w:hAnsi="Tahoma" w:cs="Tahoma"/>
        </w:rPr>
      </w:pPr>
    </w:p>
    <w:p w14:paraId="3676D723" w14:textId="7093169F" w:rsidR="006E6CE1" w:rsidRPr="00B82BBC" w:rsidRDefault="00972C71" w:rsidP="00B82BBC">
      <w:pPr>
        <w:pStyle w:val="Sinespaciado"/>
        <w:spacing w:line="276" w:lineRule="auto"/>
        <w:ind w:firstLine="708"/>
        <w:jc w:val="both"/>
        <w:rPr>
          <w:rFonts w:ascii="Tahoma" w:hAnsi="Tahoma" w:cs="Tahoma"/>
        </w:rPr>
      </w:pPr>
      <w:r w:rsidRPr="00B82BBC">
        <w:rPr>
          <w:rFonts w:ascii="Tahoma" w:hAnsi="Tahoma" w:cs="Tahoma"/>
        </w:rPr>
        <w:t xml:space="preserve">Así las cosas, como quiera que el estado de la señora Hayde Castro </w:t>
      </w:r>
      <w:r w:rsidR="006E6CE1" w:rsidRPr="00B82BBC">
        <w:rPr>
          <w:rFonts w:ascii="Tahoma" w:hAnsi="Tahoma" w:cs="Tahoma"/>
          <w:color w:val="000000" w:themeColor="text1"/>
        </w:rPr>
        <w:t xml:space="preserve">no </w:t>
      </w:r>
      <w:r w:rsidRPr="00B82BBC">
        <w:rPr>
          <w:rFonts w:ascii="Tahoma" w:hAnsi="Tahoma" w:cs="Tahoma"/>
          <w:color w:val="000000" w:themeColor="text1"/>
        </w:rPr>
        <w:t xml:space="preserve">se </w:t>
      </w:r>
      <w:r w:rsidR="00147778" w:rsidRPr="00B82BBC">
        <w:rPr>
          <w:rFonts w:ascii="Tahoma" w:hAnsi="Tahoma" w:cs="Tahoma"/>
          <w:color w:val="000000" w:themeColor="text1"/>
        </w:rPr>
        <w:t>enmarca</w:t>
      </w:r>
      <w:r w:rsidR="00E72F9D" w:rsidRPr="00B82BBC">
        <w:rPr>
          <w:rFonts w:ascii="Tahoma" w:hAnsi="Tahoma" w:cs="Tahoma"/>
          <w:color w:val="000000" w:themeColor="text1"/>
        </w:rPr>
        <w:t>n</w:t>
      </w:r>
      <w:r w:rsidR="00147778" w:rsidRPr="00B82BBC">
        <w:rPr>
          <w:rFonts w:ascii="Tahoma" w:hAnsi="Tahoma" w:cs="Tahoma"/>
          <w:color w:val="000000" w:themeColor="text1"/>
        </w:rPr>
        <w:t xml:space="preserve"> </w:t>
      </w:r>
      <w:r w:rsidRPr="00B82BBC">
        <w:rPr>
          <w:rFonts w:ascii="Tahoma" w:hAnsi="Tahoma" w:cs="Tahoma"/>
          <w:color w:val="000000" w:themeColor="text1"/>
        </w:rPr>
        <w:t xml:space="preserve">en los parámetros jurisprudenciales </w:t>
      </w:r>
      <w:r w:rsidR="00E72F9D" w:rsidRPr="00B82BBC">
        <w:rPr>
          <w:rFonts w:ascii="Tahoma" w:hAnsi="Tahoma" w:cs="Tahoma"/>
          <w:color w:val="000000" w:themeColor="text1"/>
        </w:rPr>
        <w:t>señalados</w:t>
      </w:r>
      <w:r w:rsidRPr="00B82BBC">
        <w:rPr>
          <w:rFonts w:ascii="Tahoma" w:hAnsi="Tahoma" w:cs="Tahoma"/>
          <w:color w:val="000000" w:themeColor="text1"/>
        </w:rPr>
        <w:t xml:space="preserve"> por la </w:t>
      </w:r>
      <w:r w:rsidR="00147778" w:rsidRPr="00B82BBC">
        <w:rPr>
          <w:rFonts w:ascii="Tahoma" w:hAnsi="Tahoma" w:cs="Tahoma"/>
          <w:color w:val="000000" w:themeColor="text1"/>
        </w:rPr>
        <w:t>Corte constitucional</w:t>
      </w:r>
      <w:r w:rsidR="006E6CE1" w:rsidRPr="00B82BBC">
        <w:rPr>
          <w:rFonts w:ascii="Tahoma" w:hAnsi="Tahoma" w:cs="Tahoma"/>
        </w:rPr>
        <w:t xml:space="preserve">, es </w:t>
      </w:r>
      <w:r w:rsidR="00E72F9D" w:rsidRPr="00B82BBC">
        <w:rPr>
          <w:rFonts w:ascii="Tahoma" w:hAnsi="Tahoma" w:cs="Tahoma"/>
        </w:rPr>
        <w:t>i</w:t>
      </w:r>
      <w:r w:rsidR="006E6CE1" w:rsidRPr="00B82BBC">
        <w:rPr>
          <w:rFonts w:ascii="Tahoma" w:hAnsi="Tahoma" w:cs="Tahoma"/>
        </w:rPr>
        <w:t xml:space="preserve">mprocedente apartarse de la fecha de estructuración de la invalidez </w:t>
      </w:r>
      <w:r w:rsidR="00147778" w:rsidRPr="00B82BBC">
        <w:rPr>
          <w:rFonts w:ascii="Tahoma" w:hAnsi="Tahoma" w:cs="Tahoma"/>
        </w:rPr>
        <w:t>establecido por la Junta Nacional de Calificación de Invalidez</w:t>
      </w:r>
      <w:r w:rsidRPr="00B82BBC">
        <w:rPr>
          <w:rFonts w:ascii="Tahoma" w:hAnsi="Tahoma" w:cs="Tahoma"/>
        </w:rPr>
        <w:t>, razón por la cual se confirmará la sentencia objeto de censura</w:t>
      </w:r>
      <w:r w:rsidR="006E6CE1" w:rsidRPr="00B82BBC">
        <w:rPr>
          <w:rFonts w:ascii="Tahoma" w:hAnsi="Tahoma" w:cs="Tahoma"/>
        </w:rPr>
        <w:t xml:space="preserve">. </w:t>
      </w:r>
    </w:p>
    <w:p w14:paraId="08282A6B" w14:textId="77777777" w:rsidR="006E6CE1" w:rsidRPr="00B82BBC" w:rsidRDefault="006E6CE1" w:rsidP="00B82BBC">
      <w:pPr>
        <w:pStyle w:val="Sinespaciado"/>
        <w:spacing w:line="276" w:lineRule="auto"/>
        <w:jc w:val="both"/>
        <w:rPr>
          <w:rFonts w:ascii="Tahoma" w:hAnsi="Tahoma" w:cs="Tahoma"/>
        </w:rPr>
      </w:pPr>
    </w:p>
    <w:p w14:paraId="07EFF00A" w14:textId="77777777" w:rsidR="00A31306" w:rsidRPr="00B82BBC" w:rsidRDefault="00A31306" w:rsidP="00B82BBC">
      <w:pPr>
        <w:spacing w:line="276" w:lineRule="auto"/>
        <w:ind w:firstLine="708"/>
        <w:rPr>
          <w:rFonts w:ascii="Tahoma" w:eastAsia="Tahoma" w:hAnsi="Tahoma" w:cs="Tahoma"/>
          <w:sz w:val="24"/>
          <w:szCs w:val="24"/>
        </w:rPr>
      </w:pPr>
      <w:r w:rsidRPr="00B82BBC">
        <w:rPr>
          <w:rFonts w:ascii="Tahoma" w:hAnsi="Tahoma" w:cs="Tahoma"/>
          <w:sz w:val="24"/>
          <w:szCs w:val="24"/>
        </w:rPr>
        <w:t>En esta instancia se condenará en costas procesales a la</w:t>
      </w:r>
      <w:r w:rsidR="00147778" w:rsidRPr="00B82BBC">
        <w:rPr>
          <w:rFonts w:ascii="Tahoma" w:hAnsi="Tahoma" w:cs="Tahoma"/>
          <w:sz w:val="24"/>
          <w:szCs w:val="24"/>
        </w:rPr>
        <w:t xml:space="preserve"> parte demandante a favor de la </w:t>
      </w:r>
      <w:r w:rsidRPr="00B82BBC">
        <w:rPr>
          <w:rFonts w:ascii="Tahoma" w:hAnsi="Tahoma" w:cs="Tahoma"/>
          <w:bCs/>
          <w:sz w:val="24"/>
          <w:szCs w:val="24"/>
        </w:rPr>
        <w:t xml:space="preserve">Administradora </w:t>
      </w:r>
      <w:r w:rsidR="00147778" w:rsidRPr="00B82BBC">
        <w:rPr>
          <w:rFonts w:ascii="Tahoma" w:hAnsi="Tahoma" w:cs="Tahoma"/>
          <w:bCs/>
          <w:sz w:val="24"/>
          <w:szCs w:val="24"/>
        </w:rPr>
        <w:t>Colombiana de Pensiones</w:t>
      </w:r>
      <w:r w:rsidR="00972C71" w:rsidRPr="00B82BBC">
        <w:rPr>
          <w:rFonts w:ascii="Tahoma" w:hAnsi="Tahoma" w:cs="Tahoma"/>
          <w:bCs/>
          <w:sz w:val="24"/>
          <w:szCs w:val="24"/>
        </w:rPr>
        <w:t xml:space="preserve"> en un 100%</w:t>
      </w:r>
      <w:r w:rsidR="00147778" w:rsidRPr="00B82BBC">
        <w:rPr>
          <w:rFonts w:ascii="Tahoma" w:hAnsi="Tahoma" w:cs="Tahoma"/>
          <w:bCs/>
          <w:sz w:val="24"/>
          <w:szCs w:val="24"/>
        </w:rPr>
        <w:t>, y se liquidarán por la secretaría del juzgado de origen</w:t>
      </w:r>
      <w:r w:rsidRPr="00B82BBC">
        <w:rPr>
          <w:rFonts w:ascii="Tahoma" w:eastAsia="Tahoma" w:hAnsi="Tahoma" w:cs="Tahoma"/>
          <w:sz w:val="24"/>
          <w:szCs w:val="24"/>
        </w:rPr>
        <w:t>.</w:t>
      </w:r>
    </w:p>
    <w:p w14:paraId="1AD866B5" w14:textId="77777777" w:rsidR="00EB2616" w:rsidRPr="00B82BBC" w:rsidRDefault="00EB2616" w:rsidP="00B82BBC">
      <w:pPr>
        <w:spacing w:line="276" w:lineRule="auto"/>
        <w:ind w:firstLine="708"/>
        <w:rPr>
          <w:rFonts w:ascii="Tahoma" w:eastAsia="Tahoma" w:hAnsi="Tahoma" w:cs="Tahoma"/>
          <w:sz w:val="24"/>
          <w:szCs w:val="24"/>
        </w:rPr>
      </w:pPr>
    </w:p>
    <w:p w14:paraId="7AE8F4A2" w14:textId="04826BFB" w:rsidR="00EB2616" w:rsidRPr="00B82BBC" w:rsidRDefault="00B82BBC" w:rsidP="00B82BBC">
      <w:pPr>
        <w:spacing w:line="276" w:lineRule="auto"/>
        <w:ind w:firstLine="705"/>
        <w:rPr>
          <w:rFonts w:ascii="Tahoma" w:eastAsia="Tahoma" w:hAnsi="Tahoma" w:cs="Tahoma"/>
          <w:sz w:val="24"/>
          <w:szCs w:val="24"/>
        </w:rPr>
      </w:pPr>
      <w:r>
        <w:rPr>
          <w:rFonts w:ascii="Tahoma" w:eastAsia="Tahoma" w:hAnsi="Tahoma" w:cs="Tahoma"/>
          <w:sz w:val="24"/>
          <w:szCs w:val="24"/>
        </w:rPr>
        <w:t>(…)</w:t>
      </w:r>
    </w:p>
    <w:p w14:paraId="55FDE49C" w14:textId="77777777" w:rsidR="00A31306" w:rsidRPr="00B82BBC" w:rsidRDefault="00A31306" w:rsidP="00B82BBC">
      <w:pPr>
        <w:pStyle w:val="Prrafodelista2"/>
        <w:spacing w:after="0"/>
        <w:ind w:left="0" w:firstLine="708"/>
        <w:jc w:val="both"/>
        <w:rPr>
          <w:rFonts w:ascii="Tahoma" w:hAnsi="Tahoma" w:cs="Tahoma"/>
          <w:color w:val="000000" w:themeColor="text1"/>
          <w:sz w:val="24"/>
          <w:szCs w:val="24"/>
          <w:lang w:val="es-ES_tradnl"/>
        </w:rPr>
      </w:pPr>
    </w:p>
    <w:p w14:paraId="083814F5" w14:textId="77777777" w:rsidR="00A31306" w:rsidRPr="00B82BBC" w:rsidRDefault="00A31306" w:rsidP="00B82BBC">
      <w:pPr>
        <w:pStyle w:val="Prrafodelista2"/>
        <w:spacing w:after="0"/>
        <w:ind w:left="0" w:firstLine="708"/>
        <w:jc w:val="both"/>
        <w:rPr>
          <w:rFonts w:ascii="Tahoma" w:hAnsi="Tahoma" w:cs="Tahoma"/>
          <w:color w:val="000000" w:themeColor="text1"/>
          <w:sz w:val="24"/>
          <w:szCs w:val="24"/>
          <w:lang w:val="es-ES_tradnl"/>
        </w:rPr>
      </w:pPr>
      <w:r w:rsidRPr="00B82BBC">
        <w:rPr>
          <w:rFonts w:ascii="Tahoma" w:hAnsi="Tahoma" w:cs="Tahoma"/>
          <w:color w:val="000000" w:themeColor="text1"/>
          <w:sz w:val="24"/>
          <w:szCs w:val="24"/>
          <w:lang w:val="es-ES_tradnl"/>
        </w:rPr>
        <w:t xml:space="preserve">En mérito de lo expuesto, el </w:t>
      </w:r>
      <w:r w:rsidRPr="00B82BBC">
        <w:rPr>
          <w:rFonts w:ascii="Tahoma" w:hAnsi="Tahoma" w:cs="Tahoma"/>
          <w:b/>
          <w:color w:val="000000" w:themeColor="text1"/>
          <w:sz w:val="24"/>
          <w:szCs w:val="24"/>
          <w:lang w:val="es-ES_tradnl"/>
        </w:rPr>
        <w:t>Tribunal Superior del Distrito Judicial de Pereira - Risaralda, Sala Primera de Decisión Laboral,</w:t>
      </w:r>
      <w:r w:rsidRPr="00B82BBC">
        <w:rPr>
          <w:rFonts w:ascii="Tahoma" w:hAnsi="Tahoma" w:cs="Tahoma"/>
          <w:color w:val="000000" w:themeColor="text1"/>
          <w:sz w:val="24"/>
          <w:szCs w:val="24"/>
          <w:lang w:val="es-ES_tradnl"/>
        </w:rPr>
        <w:t xml:space="preserve"> administrando justicia en nombre de la República y por autoridad de la ley,</w:t>
      </w:r>
    </w:p>
    <w:p w14:paraId="6A88BE23" w14:textId="77777777" w:rsidR="00A31306" w:rsidRPr="00B82BBC" w:rsidRDefault="00A31306" w:rsidP="00B82BBC">
      <w:pPr>
        <w:pStyle w:val="Prrafodelista2"/>
        <w:spacing w:after="0"/>
        <w:ind w:left="0" w:firstLine="708"/>
        <w:jc w:val="both"/>
        <w:rPr>
          <w:rFonts w:ascii="Tahoma" w:hAnsi="Tahoma" w:cs="Tahoma"/>
          <w:color w:val="000000" w:themeColor="text1"/>
          <w:sz w:val="24"/>
          <w:szCs w:val="24"/>
          <w:lang w:val="es-ES_tradnl"/>
        </w:rPr>
      </w:pPr>
    </w:p>
    <w:p w14:paraId="1AF33B54" w14:textId="77777777" w:rsidR="00A31306" w:rsidRPr="00B82BBC" w:rsidRDefault="00A31306" w:rsidP="00C252F0">
      <w:pPr>
        <w:spacing w:line="276" w:lineRule="auto"/>
        <w:ind w:firstLine="0"/>
        <w:contextualSpacing/>
        <w:jc w:val="center"/>
        <w:rPr>
          <w:rFonts w:ascii="Tahoma" w:hAnsi="Tahoma" w:cs="Tahoma"/>
          <w:b/>
          <w:color w:val="000000" w:themeColor="text1"/>
          <w:sz w:val="24"/>
          <w:szCs w:val="24"/>
        </w:rPr>
      </w:pPr>
      <w:r w:rsidRPr="00B82BBC">
        <w:rPr>
          <w:rFonts w:ascii="Tahoma" w:hAnsi="Tahoma" w:cs="Tahoma"/>
          <w:b/>
          <w:color w:val="000000" w:themeColor="text1"/>
          <w:sz w:val="24"/>
          <w:szCs w:val="24"/>
        </w:rPr>
        <w:t>RESUELVE</w:t>
      </w:r>
    </w:p>
    <w:p w14:paraId="0037CD9A" w14:textId="77777777" w:rsidR="00A31306" w:rsidRPr="00B82BBC" w:rsidRDefault="00A31306" w:rsidP="00B82BBC">
      <w:pPr>
        <w:widowControl w:val="0"/>
        <w:autoSpaceDE w:val="0"/>
        <w:autoSpaceDN w:val="0"/>
        <w:adjustRightInd w:val="0"/>
        <w:spacing w:line="276" w:lineRule="auto"/>
        <w:ind w:firstLine="0"/>
        <w:jc w:val="center"/>
        <w:rPr>
          <w:rFonts w:ascii="Tahoma" w:hAnsi="Tahoma" w:cs="Tahoma"/>
          <w:b/>
          <w:sz w:val="24"/>
          <w:szCs w:val="24"/>
        </w:rPr>
      </w:pPr>
    </w:p>
    <w:p w14:paraId="77D73661" w14:textId="02C22D28" w:rsidR="00AF04DA" w:rsidRPr="00B82BBC" w:rsidRDefault="00A31306" w:rsidP="00B82BBC">
      <w:pPr>
        <w:spacing w:line="276" w:lineRule="auto"/>
        <w:ind w:firstLine="705"/>
        <w:textAlignment w:val="baseline"/>
        <w:rPr>
          <w:rFonts w:ascii="Tahoma" w:hAnsi="Tahoma" w:cs="Tahoma"/>
          <w:b/>
          <w:sz w:val="24"/>
          <w:szCs w:val="24"/>
          <w:lang w:val="es-ES_tradnl"/>
        </w:rPr>
      </w:pPr>
      <w:r w:rsidRPr="00B82BBC">
        <w:rPr>
          <w:rFonts w:ascii="Tahoma" w:eastAsia="Times New Roman" w:hAnsi="Tahoma" w:cs="Tahoma"/>
          <w:b/>
          <w:bCs/>
          <w:sz w:val="24"/>
          <w:szCs w:val="24"/>
          <w:lang w:eastAsia="es-ES"/>
        </w:rPr>
        <w:lastRenderedPageBreak/>
        <w:t>PRIMERO:</w:t>
      </w:r>
      <w:r w:rsidRPr="00B82BBC">
        <w:rPr>
          <w:rFonts w:ascii="Tahoma" w:eastAsia="Times New Roman" w:hAnsi="Tahoma" w:cs="Tahoma"/>
          <w:b/>
          <w:bCs/>
          <w:i/>
          <w:iCs/>
          <w:sz w:val="24"/>
          <w:szCs w:val="24"/>
          <w:lang w:eastAsia="es-ES"/>
        </w:rPr>
        <w:t> </w:t>
      </w:r>
      <w:r w:rsidR="00147778" w:rsidRPr="00B82BBC">
        <w:rPr>
          <w:rFonts w:ascii="Tahoma" w:eastAsia="Times New Roman" w:hAnsi="Tahoma" w:cs="Tahoma"/>
          <w:b/>
          <w:bCs/>
          <w:sz w:val="24"/>
          <w:szCs w:val="24"/>
          <w:lang w:eastAsia="es-ES"/>
        </w:rPr>
        <w:t>CONFIRMAR</w:t>
      </w:r>
      <w:r w:rsidRPr="00B82BBC">
        <w:rPr>
          <w:rFonts w:ascii="Tahoma" w:hAnsi="Tahoma" w:cs="Tahoma"/>
          <w:sz w:val="24"/>
          <w:szCs w:val="24"/>
        </w:rPr>
        <w:t xml:space="preserve"> la sentencia </w:t>
      </w:r>
      <w:r w:rsidR="00AF04DA" w:rsidRPr="00B82BBC">
        <w:rPr>
          <w:rFonts w:ascii="Tahoma" w:hAnsi="Tahoma" w:cs="Tahoma"/>
          <w:sz w:val="24"/>
          <w:szCs w:val="24"/>
        </w:rPr>
        <w:t>proferida por el Juzgado Quinto Laboral de Circuito de Pereira, dentro del proceso ordinario laboral instaurado por</w:t>
      </w:r>
      <w:r w:rsidR="00AF04DA" w:rsidRPr="00B82BBC">
        <w:rPr>
          <w:rFonts w:ascii="Tahoma" w:hAnsi="Tahoma" w:cs="Tahoma"/>
          <w:sz w:val="24"/>
          <w:szCs w:val="24"/>
          <w:lang w:val="es-ES_tradnl"/>
        </w:rPr>
        <w:t xml:space="preserve"> </w:t>
      </w:r>
      <w:r w:rsidR="00AF04DA" w:rsidRPr="00B82BBC">
        <w:rPr>
          <w:rFonts w:ascii="Tahoma" w:hAnsi="Tahoma" w:cs="Tahoma"/>
          <w:b/>
          <w:sz w:val="24"/>
          <w:szCs w:val="24"/>
          <w:lang w:val="es-ES_tradnl"/>
        </w:rPr>
        <w:t xml:space="preserve">Hayde Castro Largo </w:t>
      </w:r>
      <w:r w:rsidR="00AF04DA" w:rsidRPr="00B82BBC">
        <w:rPr>
          <w:rFonts w:ascii="Tahoma" w:hAnsi="Tahoma" w:cs="Tahoma"/>
          <w:sz w:val="24"/>
          <w:szCs w:val="24"/>
          <w:lang w:val="es-ES_tradnl"/>
        </w:rPr>
        <w:t xml:space="preserve">en contra de la </w:t>
      </w:r>
      <w:r w:rsidR="00AF04DA" w:rsidRPr="00B82BBC">
        <w:rPr>
          <w:rFonts w:ascii="Tahoma" w:hAnsi="Tahoma" w:cs="Tahoma"/>
          <w:b/>
          <w:sz w:val="24"/>
          <w:szCs w:val="24"/>
          <w:lang w:val="es-ES_tradnl"/>
        </w:rPr>
        <w:t xml:space="preserve">Administradora Colombiana de Pensiones </w:t>
      </w:r>
      <w:r w:rsidR="00B82BBC">
        <w:rPr>
          <w:rFonts w:ascii="Tahoma" w:hAnsi="Tahoma" w:cs="Tahoma"/>
          <w:b/>
          <w:sz w:val="24"/>
          <w:szCs w:val="24"/>
          <w:lang w:val="es-ES_tradnl"/>
        </w:rPr>
        <w:t>–</w:t>
      </w:r>
      <w:r w:rsidR="00AF04DA" w:rsidRPr="00B82BBC">
        <w:rPr>
          <w:rFonts w:ascii="Tahoma" w:hAnsi="Tahoma" w:cs="Tahoma"/>
          <w:b/>
          <w:sz w:val="24"/>
          <w:szCs w:val="24"/>
          <w:lang w:val="es-ES_tradnl"/>
        </w:rPr>
        <w:t xml:space="preserve"> Colpensiones.</w:t>
      </w:r>
    </w:p>
    <w:p w14:paraId="164E123D" w14:textId="77777777" w:rsidR="00A31306" w:rsidRPr="00C252F0" w:rsidRDefault="00A31306" w:rsidP="00B82BBC">
      <w:pPr>
        <w:spacing w:line="276" w:lineRule="auto"/>
        <w:ind w:firstLine="705"/>
        <w:textAlignment w:val="baseline"/>
        <w:rPr>
          <w:rFonts w:ascii="Tahoma" w:eastAsia="Times New Roman" w:hAnsi="Tahoma" w:cs="Tahoma"/>
          <w:b/>
          <w:bCs/>
          <w:iCs/>
          <w:sz w:val="24"/>
          <w:szCs w:val="24"/>
          <w:lang w:eastAsia="es-ES"/>
        </w:rPr>
      </w:pPr>
    </w:p>
    <w:p w14:paraId="4C1E7EB5" w14:textId="77777777" w:rsidR="00AF04DA" w:rsidRPr="00B82BBC" w:rsidRDefault="00A31306" w:rsidP="00B82BBC">
      <w:pPr>
        <w:spacing w:line="276" w:lineRule="auto"/>
        <w:ind w:firstLine="705"/>
        <w:textAlignment w:val="baseline"/>
        <w:rPr>
          <w:rFonts w:ascii="Tahoma" w:eastAsia="Times New Roman" w:hAnsi="Tahoma" w:cs="Tahoma"/>
          <w:sz w:val="24"/>
          <w:szCs w:val="24"/>
          <w:lang w:eastAsia="es-ES"/>
        </w:rPr>
      </w:pPr>
      <w:r w:rsidRPr="00B82BBC">
        <w:rPr>
          <w:rFonts w:ascii="Tahoma" w:eastAsia="Times New Roman" w:hAnsi="Tahoma" w:cs="Tahoma"/>
          <w:b/>
          <w:bCs/>
          <w:sz w:val="24"/>
          <w:szCs w:val="24"/>
          <w:lang w:eastAsia="es-ES_tradnl"/>
        </w:rPr>
        <w:t>SEGUNDO: </w:t>
      </w:r>
      <w:r w:rsidRPr="00B82BBC">
        <w:rPr>
          <w:rFonts w:ascii="Tahoma" w:eastAsia="Times New Roman" w:hAnsi="Tahoma" w:cs="Tahoma"/>
          <w:b/>
          <w:bCs/>
          <w:sz w:val="24"/>
          <w:szCs w:val="24"/>
          <w:lang w:eastAsia="es-ES"/>
        </w:rPr>
        <w:t>CONDENAR</w:t>
      </w:r>
      <w:r w:rsidRPr="00B82BBC">
        <w:rPr>
          <w:rFonts w:ascii="Tahoma" w:eastAsia="Times New Roman" w:hAnsi="Tahoma" w:cs="Tahoma"/>
          <w:sz w:val="24"/>
          <w:szCs w:val="24"/>
          <w:lang w:eastAsia="es-ES"/>
        </w:rPr>
        <w:t xml:space="preserve"> en costas de segunda instancia a </w:t>
      </w:r>
      <w:r w:rsidR="00AF04DA" w:rsidRPr="00B82BBC">
        <w:rPr>
          <w:rFonts w:ascii="Tahoma" w:eastAsia="Times New Roman" w:hAnsi="Tahoma" w:cs="Tahoma"/>
          <w:sz w:val="24"/>
          <w:szCs w:val="24"/>
          <w:lang w:eastAsia="es-ES"/>
        </w:rPr>
        <w:t>la parte demandante a favor de Colpensiones en un 100%. Liquídense por la secretaría del juzgado de origen.</w:t>
      </w:r>
    </w:p>
    <w:p w14:paraId="48EFC9B5" w14:textId="77777777" w:rsidR="00972C71" w:rsidRPr="00B82BBC" w:rsidRDefault="00972C71" w:rsidP="00B82BBC">
      <w:pPr>
        <w:spacing w:line="276" w:lineRule="auto"/>
        <w:ind w:firstLine="705"/>
        <w:textAlignment w:val="baseline"/>
        <w:rPr>
          <w:rFonts w:ascii="Tahoma" w:eastAsia="Times New Roman" w:hAnsi="Tahoma" w:cs="Tahoma"/>
          <w:sz w:val="24"/>
          <w:szCs w:val="24"/>
          <w:lang w:eastAsia="es-ES"/>
        </w:rPr>
      </w:pPr>
    </w:p>
    <w:p w14:paraId="321A0A6F" w14:textId="32C2170E" w:rsidR="00AF04DA" w:rsidRPr="00B82BBC" w:rsidRDefault="00972C71" w:rsidP="00B82BBC">
      <w:pPr>
        <w:spacing w:line="276" w:lineRule="auto"/>
        <w:ind w:firstLine="705"/>
        <w:textAlignment w:val="baseline"/>
        <w:rPr>
          <w:rFonts w:ascii="Tahoma" w:eastAsia="Times New Roman" w:hAnsi="Tahoma" w:cs="Tahoma"/>
          <w:sz w:val="24"/>
          <w:szCs w:val="24"/>
          <w:lang w:eastAsia="es-ES"/>
        </w:rPr>
      </w:pPr>
      <w:r w:rsidRPr="00B82BBC">
        <w:rPr>
          <w:rFonts w:ascii="Tahoma" w:eastAsia="Times New Roman" w:hAnsi="Tahoma" w:cs="Tahoma"/>
          <w:b/>
          <w:bCs/>
          <w:sz w:val="24"/>
          <w:szCs w:val="24"/>
          <w:lang w:eastAsia="es-ES_tradnl"/>
        </w:rPr>
        <w:t>TER</w:t>
      </w:r>
      <w:r w:rsidR="00B82BBC">
        <w:rPr>
          <w:rFonts w:ascii="Tahoma" w:eastAsia="Times New Roman" w:hAnsi="Tahoma" w:cs="Tahoma"/>
          <w:b/>
          <w:bCs/>
          <w:sz w:val="24"/>
          <w:szCs w:val="24"/>
          <w:lang w:eastAsia="es-ES_tradnl"/>
        </w:rPr>
        <w:t>C</w:t>
      </w:r>
      <w:r w:rsidRPr="00B82BBC">
        <w:rPr>
          <w:rFonts w:ascii="Tahoma" w:eastAsia="Times New Roman" w:hAnsi="Tahoma" w:cs="Tahoma"/>
          <w:b/>
          <w:bCs/>
          <w:sz w:val="24"/>
          <w:szCs w:val="24"/>
          <w:lang w:eastAsia="es-ES_tradnl"/>
        </w:rPr>
        <w:t xml:space="preserve">ERO: </w:t>
      </w:r>
      <w:r w:rsidR="00B82BBC" w:rsidRPr="00B82BBC">
        <w:rPr>
          <w:rFonts w:ascii="Tahoma" w:eastAsia="Times New Roman" w:hAnsi="Tahoma" w:cs="Tahoma"/>
          <w:bCs/>
          <w:sz w:val="24"/>
          <w:szCs w:val="24"/>
          <w:lang w:eastAsia="es-ES_tradnl"/>
        </w:rPr>
        <w:t>(…)</w:t>
      </w:r>
      <w:r w:rsidRPr="00B82BBC">
        <w:rPr>
          <w:rFonts w:ascii="Tahoma" w:eastAsia="Times New Roman" w:hAnsi="Tahoma" w:cs="Tahoma"/>
          <w:sz w:val="24"/>
          <w:szCs w:val="24"/>
          <w:lang w:eastAsia="es-ES"/>
        </w:rPr>
        <w:t xml:space="preserve"> </w:t>
      </w:r>
    </w:p>
    <w:p w14:paraId="581104F1" w14:textId="77777777" w:rsidR="00A31306" w:rsidRPr="00B82BBC" w:rsidRDefault="00A31306" w:rsidP="00B82BBC">
      <w:pPr>
        <w:widowControl w:val="0"/>
        <w:autoSpaceDE w:val="0"/>
        <w:autoSpaceDN w:val="0"/>
        <w:adjustRightInd w:val="0"/>
        <w:spacing w:line="276" w:lineRule="auto"/>
        <w:ind w:firstLine="0"/>
        <w:rPr>
          <w:rFonts w:ascii="Tahoma" w:hAnsi="Tahoma" w:cs="Tahoma"/>
          <w:b/>
          <w:sz w:val="24"/>
          <w:szCs w:val="24"/>
        </w:rPr>
      </w:pPr>
    </w:p>
    <w:p w14:paraId="1FF7749C" w14:textId="77777777" w:rsidR="00A31306" w:rsidRPr="00B82BBC" w:rsidRDefault="00A31306" w:rsidP="00B82BBC">
      <w:pPr>
        <w:widowControl w:val="0"/>
        <w:autoSpaceDE w:val="0"/>
        <w:autoSpaceDN w:val="0"/>
        <w:adjustRightInd w:val="0"/>
        <w:spacing w:line="276" w:lineRule="auto"/>
        <w:ind w:firstLine="0"/>
        <w:jc w:val="center"/>
        <w:rPr>
          <w:rFonts w:ascii="Tahoma" w:hAnsi="Tahoma" w:cs="Tahoma"/>
          <w:b/>
          <w:sz w:val="24"/>
          <w:szCs w:val="24"/>
        </w:rPr>
      </w:pPr>
      <w:r w:rsidRPr="00B82BBC">
        <w:rPr>
          <w:rFonts w:ascii="Tahoma" w:hAnsi="Tahoma" w:cs="Tahoma"/>
          <w:b/>
          <w:sz w:val="24"/>
          <w:szCs w:val="24"/>
        </w:rPr>
        <w:t>NOTIFÍQUESE Y CÚMPLASE</w:t>
      </w:r>
    </w:p>
    <w:p w14:paraId="3EF07AE3" w14:textId="77777777" w:rsidR="00B82BBC" w:rsidRPr="00B82BBC" w:rsidRDefault="00B82BBC" w:rsidP="00B82BBC">
      <w:pPr>
        <w:spacing w:line="276" w:lineRule="auto"/>
        <w:ind w:firstLine="708"/>
        <w:rPr>
          <w:rFonts w:ascii="Tahoma" w:eastAsia="Calibri" w:hAnsi="Tahoma" w:cs="Tahoma"/>
          <w:sz w:val="24"/>
          <w:szCs w:val="24"/>
          <w:lang w:val="es-ES_tradnl"/>
        </w:rPr>
      </w:pPr>
    </w:p>
    <w:p w14:paraId="2AA72597" w14:textId="77777777" w:rsidR="00B82BBC" w:rsidRPr="00B82BBC" w:rsidRDefault="00B82BBC" w:rsidP="00B82BBC">
      <w:pPr>
        <w:spacing w:line="276" w:lineRule="auto"/>
        <w:ind w:firstLine="708"/>
        <w:rPr>
          <w:rFonts w:ascii="Tahoma" w:eastAsia="Calibri" w:hAnsi="Tahoma" w:cs="Tahoma"/>
          <w:sz w:val="24"/>
          <w:szCs w:val="24"/>
          <w:lang w:val="es-ES_tradnl"/>
        </w:rPr>
      </w:pPr>
      <w:bookmarkStart w:id="1" w:name="OLE_LINK23"/>
      <w:r w:rsidRPr="00B82BBC">
        <w:rPr>
          <w:rFonts w:ascii="Tahoma" w:eastAsia="Calibri" w:hAnsi="Tahoma" w:cs="Tahoma"/>
          <w:sz w:val="24"/>
          <w:szCs w:val="24"/>
          <w:lang w:val="es-ES_tradnl"/>
        </w:rPr>
        <w:t xml:space="preserve">La Magistrada Ponente, </w:t>
      </w:r>
    </w:p>
    <w:p w14:paraId="6959E480" w14:textId="77777777" w:rsidR="00B82BBC" w:rsidRDefault="00B82BBC" w:rsidP="00B82BB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57F2E89" w14:textId="77777777" w:rsidR="00C252F0" w:rsidRPr="00B82BBC" w:rsidRDefault="00C252F0" w:rsidP="00B82BB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89FE9C1" w14:textId="77777777" w:rsidR="00B82BBC" w:rsidRPr="00B82BBC" w:rsidRDefault="00B82BBC" w:rsidP="00B82BB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9D75020" w14:textId="77777777" w:rsidR="00B82BBC" w:rsidRPr="00B82BBC" w:rsidRDefault="00B82BBC" w:rsidP="00B82BBC">
      <w:pPr>
        <w:spacing w:line="276" w:lineRule="auto"/>
        <w:ind w:firstLine="705"/>
        <w:jc w:val="center"/>
        <w:textAlignment w:val="baseline"/>
        <w:rPr>
          <w:rFonts w:ascii="Tahoma" w:eastAsia="Times New Roman" w:hAnsi="Tahoma" w:cs="Tahoma"/>
          <w:b/>
          <w:bCs/>
          <w:sz w:val="24"/>
          <w:szCs w:val="24"/>
          <w:lang w:val="es-ES_tradnl" w:eastAsia="es-ES_tradnl"/>
        </w:rPr>
      </w:pPr>
      <w:r w:rsidRPr="00B82BBC">
        <w:rPr>
          <w:rFonts w:ascii="Tahoma" w:eastAsia="Times New Roman" w:hAnsi="Tahoma" w:cs="Tahoma"/>
          <w:b/>
          <w:bCs/>
          <w:sz w:val="24"/>
          <w:szCs w:val="24"/>
          <w:lang w:val="es-ES_tradnl" w:eastAsia="es-ES_tradnl"/>
        </w:rPr>
        <w:t>ANA LUCÍA CAICEDO CALDERÓN</w:t>
      </w:r>
    </w:p>
    <w:p w14:paraId="0429D29D" w14:textId="77777777" w:rsidR="00B82BBC" w:rsidRPr="00B82BBC" w:rsidRDefault="00B82BBC" w:rsidP="00B82BB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3819598" w14:textId="77777777" w:rsidR="00B82BBC" w:rsidRPr="00B82BBC" w:rsidRDefault="00B82BBC" w:rsidP="00B82BBC">
      <w:pPr>
        <w:spacing w:line="276" w:lineRule="auto"/>
        <w:ind w:firstLine="705"/>
        <w:jc w:val="left"/>
        <w:textAlignment w:val="baseline"/>
        <w:rPr>
          <w:rFonts w:ascii="Tahoma" w:eastAsia="Times New Roman" w:hAnsi="Tahoma" w:cs="Tahoma"/>
          <w:sz w:val="24"/>
          <w:szCs w:val="24"/>
          <w:lang w:val="es-ES_tradnl" w:eastAsia="es-ES_tradnl"/>
        </w:rPr>
      </w:pPr>
      <w:r w:rsidRPr="00B82BBC">
        <w:rPr>
          <w:rFonts w:ascii="Tahoma" w:eastAsia="Times New Roman" w:hAnsi="Tahoma" w:cs="Tahoma"/>
          <w:sz w:val="24"/>
          <w:szCs w:val="24"/>
          <w:lang w:val="es-ES_tradnl" w:eastAsia="es-ES_tradnl"/>
        </w:rPr>
        <w:t>La Magistrada y el Magistrado,</w:t>
      </w:r>
    </w:p>
    <w:p w14:paraId="2D54C9C7" w14:textId="77777777" w:rsidR="00B82BBC" w:rsidRDefault="00B82BBC" w:rsidP="00B82BB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B29247F" w14:textId="77777777" w:rsidR="00C252F0" w:rsidRPr="00B82BBC" w:rsidRDefault="00C252F0" w:rsidP="00B82BB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8CD9DCD" w14:textId="77777777" w:rsidR="00B82BBC" w:rsidRPr="00B82BBC" w:rsidRDefault="00B82BBC" w:rsidP="00B82BB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6EE2D98" w14:textId="6A8202C7" w:rsidR="00A31306" w:rsidRPr="00B82BBC" w:rsidRDefault="00B82BBC" w:rsidP="00B82BBC">
      <w:pPr>
        <w:spacing w:line="276" w:lineRule="auto"/>
        <w:ind w:firstLine="0"/>
        <w:jc w:val="left"/>
        <w:rPr>
          <w:rFonts w:ascii="Tahoma" w:eastAsia="Times New Roman" w:hAnsi="Tahoma" w:cs="Tahoma"/>
          <w:sz w:val="24"/>
          <w:szCs w:val="24"/>
          <w:lang w:eastAsia="es-ES"/>
        </w:rPr>
      </w:pPr>
      <w:r w:rsidRPr="00B82BBC">
        <w:rPr>
          <w:rFonts w:ascii="Tahoma" w:eastAsia="Times New Roman" w:hAnsi="Tahoma" w:cs="Tahoma"/>
          <w:b/>
          <w:bCs/>
          <w:sz w:val="24"/>
          <w:szCs w:val="24"/>
          <w:lang w:eastAsia="es-ES"/>
        </w:rPr>
        <w:t>OLGA LUCÍA HOYOS SEPÚLVEDA</w:t>
      </w:r>
      <w:r w:rsidRPr="00B82BBC">
        <w:rPr>
          <w:rFonts w:ascii="Tahoma" w:eastAsia="Times New Roman" w:hAnsi="Tahoma" w:cs="Tahoma"/>
          <w:b/>
          <w:bCs/>
          <w:sz w:val="24"/>
          <w:szCs w:val="24"/>
          <w:lang w:eastAsia="es-ES"/>
        </w:rPr>
        <w:tab/>
      </w:r>
      <w:r w:rsidRPr="00B82BBC">
        <w:rPr>
          <w:rFonts w:ascii="Tahoma" w:eastAsia="Times New Roman" w:hAnsi="Tahoma" w:cs="Tahoma"/>
          <w:b/>
          <w:bCs/>
          <w:sz w:val="24"/>
          <w:szCs w:val="24"/>
          <w:lang w:eastAsia="es-ES"/>
        </w:rPr>
        <w:tab/>
        <w:t>JULIO CÉSAR SALAZAR MUÑOZ</w:t>
      </w:r>
      <w:bookmarkEnd w:id="1"/>
    </w:p>
    <w:sectPr w:rsidR="00A31306" w:rsidRPr="00B82BBC" w:rsidSect="00C252F0">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F2CEAE6"/>
  <w15:commentEx w15:done="0" w15:paraId="2946903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046FE0" w16cex:dateUtc="2020-11-21T01:18:33.598Z"/>
  <w16cex:commentExtensible w16cex:durableId="6B457A91" w16cex:dateUtc="2020-11-24T14:55:54.217Z"/>
</w16cex:commentsExtensible>
</file>

<file path=word/commentsIds.xml><?xml version="1.0" encoding="utf-8"?>
<w16cid:commentsIds xmlns:mc="http://schemas.openxmlformats.org/markup-compatibility/2006" xmlns:w16cid="http://schemas.microsoft.com/office/word/2016/wordml/cid" mc:Ignorable="w16cid">
  <w16cid:commentId w16cid:paraId="5F2CEAE6" w16cid:durableId="2B046FE0"/>
  <w16cid:commentId w16cid:paraId="29469033" w16cid:durableId="6B457A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36E16" w14:textId="77777777" w:rsidR="00745B48" w:rsidRDefault="00745B48" w:rsidP="001C5C55">
      <w:pPr>
        <w:spacing w:line="240" w:lineRule="auto"/>
      </w:pPr>
      <w:r>
        <w:separator/>
      </w:r>
    </w:p>
  </w:endnote>
  <w:endnote w:type="continuationSeparator" w:id="0">
    <w:p w14:paraId="554783C6" w14:textId="77777777" w:rsidR="00745B48" w:rsidRDefault="00745B48"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hAnsi="Arial" w:cs="Arial"/>
        <w:sz w:val="18"/>
      </w:rPr>
    </w:sdtEndPr>
    <w:sdtContent>
      <w:p w14:paraId="485901C2" w14:textId="77777777" w:rsidR="00602AD7" w:rsidRPr="00B82BBC" w:rsidRDefault="006C1CA4">
        <w:pPr>
          <w:pStyle w:val="Piedepgina"/>
          <w:jc w:val="right"/>
          <w:rPr>
            <w:rFonts w:ascii="Arial" w:hAnsi="Arial" w:cs="Arial"/>
            <w:sz w:val="18"/>
          </w:rPr>
        </w:pPr>
        <w:r w:rsidRPr="00B82BBC">
          <w:rPr>
            <w:rFonts w:ascii="Arial" w:hAnsi="Arial" w:cs="Arial"/>
            <w:sz w:val="18"/>
          </w:rPr>
          <w:fldChar w:fldCharType="begin"/>
        </w:r>
        <w:r w:rsidRPr="00B82BBC">
          <w:rPr>
            <w:rFonts w:ascii="Arial" w:hAnsi="Arial" w:cs="Arial"/>
            <w:sz w:val="18"/>
          </w:rPr>
          <w:instrText>PAGE   \* MERGEFORMAT</w:instrText>
        </w:r>
        <w:r w:rsidRPr="00B82BBC">
          <w:rPr>
            <w:rFonts w:ascii="Arial" w:hAnsi="Arial" w:cs="Arial"/>
            <w:sz w:val="18"/>
          </w:rPr>
          <w:fldChar w:fldCharType="separate"/>
        </w:r>
        <w:r w:rsidR="00C252F0">
          <w:rPr>
            <w:rFonts w:ascii="Arial" w:hAnsi="Arial" w:cs="Arial"/>
            <w:noProof/>
            <w:sz w:val="18"/>
          </w:rPr>
          <w:t>2</w:t>
        </w:r>
        <w:r w:rsidRPr="00B82BB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E479" w14:textId="77777777" w:rsidR="00745B48" w:rsidRDefault="00745B48" w:rsidP="001C5C55">
      <w:pPr>
        <w:spacing w:line="240" w:lineRule="auto"/>
      </w:pPr>
      <w:r>
        <w:separator/>
      </w:r>
    </w:p>
  </w:footnote>
  <w:footnote w:type="continuationSeparator" w:id="0">
    <w:p w14:paraId="468C3EAC" w14:textId="77777777" w:rsidR="00745B48" w:rsidRDefault="00745B48" w:rsidP="001C5C55">
      <w:pPr>
        <w:spacing w:line="240" w:lineRule="auto"/>
      </w:pPr>
      <w:r>
        <w:continuationSeparator/>
      </w:r>
    </w:p>
  </w:footnote>
  <w:footnote w:id="1">
    <w:p w14:paraId="1BA9D9FF" w14:textId="00F22C5B" w:rsidR="00337CC0" w:rsidRPr="00B82BBC" w:rsidRDefault="00337CC0" w:rsidP="00B82BBC">
      <w:pPr>
        <w:pStyle w:val="Textonotapie"/>
        <w:ind w:firstLine="0"/>
        <w:rPr>
          <w:rFonts w:ascii="Arial" w:hAnsi="Arial" w:cs="Arial"/>
          <w:sz w:val="18"/>
          <w:szCs w:val="18"/>
        </w:rPr>
      </w:pPr>
      <w:r w:rsidRPr="00B82BBC">
        <w:rPr>
          <w:rStyle w:val="Refdenotaalpie"/>
          <w:rFonts w:ascii="Arial" w:hAnsi="Arial" w:cs="Arial"/>
          <w:sz w:val="18"/>
          <w:szCs w:val="18"/>
        </w:rPr>
        <w:footnoteRef/>
      </w:r>
      <w:r w:rsidRPr="00B82BBC">
        <w:rPr>
          <w:rFonts w:ascii="Arial" w:hAnsi="Arial" w:cs="Arial"/>
          <w:sz w:val="18"/>
          <w:szCs w:val="18"/>
        </w:rPr>
        <w:t xml:space="preserve"> A este valor se suma el porcentaje del 20% de pérdida del rol laboral para un total del PCL del: 53,82</w:t>
      </w:r>
    </w:p>
  </w:footnote>
  <w:footnote w:id="2">
    <w:p w14:paraId="4F8FB2F9" w14:textId="4867F423" w:rsidR="00337CC0" w:rsidRPr="00B82BBC" w:rsidRDefault="00337CC0" w:rsidP="00B82BBC">
      <w:pPr>
        <w:pStyle w:val="Textonotapie"/>
        <w:ind w:firstLine="0"/>
        <w:rPr>
          <w:rFonts w:ascii="Arial" w:hAnsi="Arial" w:cs="Arial"/>
          <w:sz w:val="18"/>
          <w:szCs w:val="18"/>
        </w:rPr>
      </w:pPr>
      <w:r w:rsidRPr="00B82BBC">
        <w:rPr>
          <w:rStyle w:val="Refdenotaalpie"/>
          <w:rFonts w:ascii="Arial" w:hAnsi="Arial" w:cs="Arial"/>
          <w:sz w:val="18"/>
          <w:szCs w:val="18"/>
        </w:rPr>
        <w:footnoteRef/>
      </w:r>
      <w:r w:rsidRPr="00B82BBC">
        <w:rPr>
          <w:rFonts w:ascii="Arial" w:hAnsi="Arial" w:cs="Arial"/>
          <w:sz w:val="18"/>
          <w:szCs w:val="18"/>
        </w:rPr>
        <w:t xml:space="preserve"> Según se describe en la página web: https://medlineplus.gov/spanish/ency/article/000163.htm</w:t>
      </w:r>
    </w:p>
  </w:footnote>
  <w:footnote w:id="3">
    <w:p w14:paraId="0A532F26" w14:textId="77777777" w:rsidR="0061460F" w:rsidRPr="00B82BBC" w:rsidRDefault="0061460F" w:rsidP="00B82BBC">
      <w:pPr>
        <w:pStyle w:val="Textonotapie"/>
        <w:ind w:firstLine="0"/>
        <w:rPr>
          <w:rFonts w:ascii="Arial" w:hAnsi="Arial" w:cs="Arial"/>
          <w:sz w:val="18"/>
          <w:szCs w:val="18"/>
        </w:rPr>
      </w:pPr>
      <w:r w:rsidRPr="00B82BBC">
        <w:rPr>
          <w:rStyle w:val="Refdenotaalpie"/>
          <w:rFonts w:ascii="Arial" w:hAnsi="Arial" w:cs="Arial"/>
          <w:sz w:val="18"/>
          <w:szCs w:val="18"/>
        </w:rPr>
        <w:footnoteRef/>
      </w:r>
      <w:r w:rsidRPr="00B82BBC">
        <w:rPr>
          <w:rFonts w:ascii="Arial" w:hAnsi="Arial" w:cs="Arial"/>
          <w:sz w:val="18"/>
          <w:szCs w:val="18"/>
        </w:rPr>
        <w:t xml:space="preserve"> Sentencia T-730 de 2014. M.P. Luis Guillermo Guerrero Vélez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A855E" w14:textId="77F78C33" w:rsidR="006D631F" w:rsidRPr="00B82BBC" w:rsidRDefault="006D631F" w:rsidP="00B82BBC">
    <w:pPr>
      <w:pStyle w:val="NormalWeb"/>
      <w:spacing w:before="0" w:beforeAutospacing="0" w:after="0" w:afterAutospacing="0"/>
      <w:jc w:val="both"/>
      <w:rPr>
        <w:rFonts w:ascii="Arial" w:hAnsi="Arial" w:cs="Arial"/>
        <w:sz w:val="18"/>
        <w:szCs w:val="16"/>
      </w:rPr>
    </w:pPr>
    <w:r w:rsidRPr="00B82BBC">
      <w:rPr>
        <w:rFonts w:ascii="Arial" w:hAnsi="Arial" w:cs="Arial"/>
        <w:sz w:val="18"/>
        <w:szCs w:val="16"/>
      </w:rPr>
      <w:t>Radicación No.:</w:t>
    </w:r>
    <w:r w:rsidR="00B82BBC">
      <w:rPr>
        <w:rFonts w:ascii="Arial" w:hAnsi="Arial" w:cs="Arial"/>
        <w:sz w:val="18"/>
        <w:szCs w:val="16"/>
      </w:rPr>
      <w:tab/>
    </w:r>
    <w:r w:rsidRPr="00B82BBC">
      <w:rPr>
        <w:rFonts w:ascii="Arial" w:hAnsi="Arial" w:cs="Arial"/>
        <w:sz w:val="18"/>
        <w:szCs w:val="16"/>
      </w:rPr>
      <w:t>66001-31-05-005-2018-00227-01</w:t>
    </w:r>
  </w:p>
  <w:p w14:paraId="39FB4A47" w14:textId="67D0ADAA" w:rsidR="006D631F" w:rsidRPr="00B82BBC" w:rsidRDefault="006D631F" w:rsidP="00B82BBC">
    <w:pPr>
      <w:pStyle w:val="NormalWeb"/>
      <w:spacing w:before="0" w:beforeAutospacing="0" w:after="0" w:afterAutospacing="0"/>
      <w:jc w:val="both"/>
      <w:rPr>
        <w:rFonts w:ascii="Arial" w:hAnsi="Arial" w:cs="Arial"/>
        <w:sz w:val="18"/>
        <w:szCs w:val="16"/>
      </w:rPr>
    </w:pPr>
    <w:r w:rsidRPr="00B82BBC">
      <w:rPr>
        <w:rFonts w:ascii="Arial" w:hAnsi="Arial" w:cs="Arial"/>
        <w:sz w:val="18"/>
        <w:szCs w:val="16"/>
      </w:rPr>
      <w:t>Demandante:</w:t>
    </w:r>
    <w:r w:rsidR="00B82BBC">
      <w:rPr>
        <w:rFonts w:ascii="Arial" w:hAnsi="Arial" w:cs="Arial"/>
        <w:sz w:val="18"/>
        <w:szCs w:val="16"/>
      </w:rPr>
      <w:tab/>
    </w:r>
    <w:proofErr w:type="spellStart"/>
    <w:r w:rsidRPr="00B82BBC">
      <w:rPr>
        <w:rFonts w:ascii="Arial" w:hAnsi="Arial" w:cs="Arial"/>
        <w:sz w:val="18"/>
        <w:szCs w:val="16"/>
      </w:rPr>
      <w:t>Hayde</w:t>
    </w:r>
    <w:proofErr w:type="spellEnd"/>
    <w:r w:rsidRPr="00B82BBC">
      <w:rPr>
        <w:rFonts w:ascii="Arial" w:hAnsi="Arial" w:cs="Arial"/>
        <w:sz w:val="18"/>
        <w:szCs w:val="16"/>
      </w:rPr>
      <w:t xml:space="preserve"> Castro Largo  </w:t>
    </w:r>
  </w:p>
  <w:p w14:paraId="785D6B8B" w14:textId="5070DE8B" w:rsidR="006D631F" w:rsidRPr="00B82BBC" w:rsidRDefault="006D631F" w:rsidP="00B82BBC">
    <w:pPr>
      <w:pStyle w:val="NormalWeb"/>
      <w:spacing w:before="0" w:beforeAutospacing="0" w:after="0" w:afterAutospacing="0"/>
      <w:jc w:val="both"/>
      <w:rPr>
        <w:rFonts w:ascii="Arial" w:hAnsi="Arial" w:cs="Arial"/>
        <w:sz w:val="18"/>
        <w:szCs w:val="16"/>
      </w:rPr>
    </w:pPr>
    <w:r w:rsidRPr="00B82BBC">
      <w:rPr>
        <w:rFonts w:ascii="Arial" w:hAnsi="Arial" w:cs="Arial"/>
        <w:sz w:val="18"/>
        <w:szCs w:val="16"/>
      </w:rPr>
      <w:t>Demandado:</w:t>
    </w:r>
    <w:r w:rsidR="00B82BBC">
      <w:rPr>
        <w:rFonts w:ascii="Arial" w:hAnsi="Arial" w:cs="Arial"/>
        <w:sz w:val="18"/>
        <w:szCs w:val="16"/>
      </w:rPr>
      <w:tab/>
    </w:r>
    <w:r w:rsidRPr="00B82BBC">
      <w:rPr>
        <w:rFonts w:ascii="Arial" w:hAnsi="Arial" w:cs="Arial"/>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C42761D"/>
    <w:multiLevelType w:val="multilevel"/>
    <w:tmpl w:val="2422746A"/>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764B647B"/>
    <w:multiLevelType w:val="multilevel"/>
    <w:tmpl w:val="85F0A690"/>
    <w:lvl w:ilvl="0">
      <w:start w:val="1"/>
      <w:numFmt w:val="decimal"/>
      <w:lvlText w:val="%1."/>
      <w:lvlJc w:val="left"/>
      <w:pPr>
        <w:ind w:left="720" w:hanging="360"/>
      </w:pPr>
    </w:lvl>
    <w:lvl w:ilvl="1">
      <w:start w:val="2"/>
      <w:numFmt w:val="decimal"/>
      <w:isLgl/>
      <w:lvlText w:val="%1.%2"/>
      <w:lvlJc w:val="left"/>
      <w:pPr>
        <w:ind w:left="2149" w:hanging="720"/>
      </w:pPr>
      <w:rPr>
        <w:rFonts w:hint="default"/>
      </w:rPr>
    </w:lvl>
    <w:lvl w:ilvl="2">
      <w:start w:val="1"/>
      <w:numFmt w:val="decimal"/>
      <w:isLgl/>
      <w:lvlText w:val="%1.%2.%3"/>
      <w:lvlJc w:val="left"/>
      <w:pPr>
        <w:ind w:left="3578" w:hanging="108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6076" w:hanging="1440"/>
      </w:pPr>
      <w:rPr>
        <w:rFonts w:hint="default"/>
      </w:rPr>
    </w:lvl>
    <w:lvl w:ilvl="5">
      <w:start w:val="1"/>
      <w:numFmt w:val="decimal"/>
      <w:isLgl/>
      <w:lvlText w:val="%1.%2.%3.%4.%5.%6"/>
      <w:lvlJc w:val="left"/>
      <w:pPr>
        <w:ind w:left="7505" w:hanging="1800"/>
      </w:pPr>
      <w:rPr>
        <w:rFonts w:hint="default"/>
      </w:rPr>
    </w:lvl>
    <w:lvl w:ilvl="6">
      <w:start w:val="1"/>
      <w:numFmt w:val="decimal"/>
      <w:isLgl/>
      <w:lvlText w:val="%1.%2.%3.%4.%5.%6.%7"/>
      <w:lvlJc w:val="left"/>
      <w:pPr>
        <w:ind w:left="8934" w:hanging="2160"/>
      </w:pPr>
      <w:rPr>
        <w:rFonts w:hint="default"/>
      </w:rPr>
    </w:lvl>
    <w:lvl w:ilvl="7">
      <w:start w:val="1"/>
      <w:numFmt w:val="decimal"/>
      <w:isLgl/>
      <w:lvlText w:val="%1.%2.%3.%4.%5.%6.%7.%8"/>
      <w:lvlJc w:val="left"/>
      <w:pPr>
        <w:ind w:left="10003" w:hanging="2160"/>
      </w:pPr>
      <w:rPr>
        <w:rFonts w:hint="default"/>
      </w:rPr>
    </w:lvl>
    <w:lvl w:ilvl="8">
      <w:start w:val="1"/>
      <w:numFmt w:val="decimal"/>
      <w:isLgl/>
      <w:lvlText w:val="%1.%2.%3.%4.%5.%6.%7.%8.%9"/>
      <w:lvlJc w:val="left"/>
      <w:pPr>
        <w:ind w:left="11432" w:hanging="2520"/>
      </w:pPr>
      <w:rPr>
        <w:rFonts w:hint="default"/>
      </w:rPr>
    </w:lvl>
  </w:abstractNum>
  <w:num w:numId="1">
    <w:abstractNumId w:val="1"/>
  </w:num>
  <w:num w:numId="2">
    <w:abstractNumId w:val="3"/>
  </w:num>
  <w:num w:numId="3">
    <w:abstractNumId w:val="0"/>
  </w:num>
  <w:num w:numId="4">
    <w:abstractNumId w:val="2"/>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55"/>
    <w:rsid w:val="000277FA"/>
    <w:rsid w:val="000765D9"/>
    <w:rsid w:val="000B0BA2"/>
    <w:rsid w:val="000E291C"/>
    <w:rsid w:val="000F4167"/>
    <w:rsid w:val="001140D9"/>
    <w:rsid w:val="00147778"/>
    <w:rsid w:val="001C5C55"/>
    <w:rsid w:val="001F6012"/>
    <w:rsid w:val="001F6A58"/>
    <w:rsid w:val="002131D2"/>
    <w:rsid w:val="00246C58"/>
    <w:rsid w:val="00256198"/>
    <w:rsid w:val="002A5771"/>
    <w:rsid w:val="002C5D16"/>
    <w:rsid w:val="0030061A"/>
    <w:rsid w:val="00324DDD"/>
    <w:rsid w:val="00337CC0"/>
    <w:rsid w:val="00371980"/>
    <w:rsid w:val="00377C55"/>
    <w:rsid w:val="003A0CDB"/>
    <w:rsid w:val="003A4857"/>
    <w:rsid w:val="003D70B9"/>
    <w:rsid w:val="00470C75"/>
    <w:rsid w:val="00577FF6"/>
    <w:rsid w:val="00582350"/>
    <w:rsid w:val="005E4FE9"/>
    <w:rsid w:val="00607BC2"/>
    <w:rsid w:val="0061460F"/>
    <w:rsid w:val="00662E3D"/>
    <w:rsid w:val="006674B4"/>
    <w:rsid w:val="006734A0"/>
    <w:rsid w:val="006878BC"/>
    <w:rsid w:val="006C1CA4"/>
    <w:rsid w:val="006C53DE"/>
    <w:rsid w:val="006D631F"/>
    <w:rsid w:val="006E4354"/>
    <w:rsid w:val="006E6CE1"/>
    <w:rsid w:val="007102EA"/>
    <w:rsid w:val="007361B1"/>
    <w:rsid w:val="00745B48"/>
    <w:rsid w:val="0077377D"/>
    <w:rsid w:val="007D15EF"/>
    <w:rsid w:val="007D16FA"/>
    <w:rsid w:val="00803C37"/>
    <w:rsid w:val="00846A11"/>
    <w:rsid w:val="00872605"/>
    <w:rsid w:val="00927FE5"/>
    <w:rsid w:val="0094370E"/>
    <w:rsid w:val="00944B4F"/>
    <w:rsid w:val="00956C68"/>
    <w:rsid w:val="00972C71"/>
    <w:rsid w:val="009D2A71"/>
    <w:rsid w:val="009E2A5F"/>
    <w:rsid w:val="009E2E13"/>
    <w:rsid w:val="009E7547"/>
    <w:rsid w:val="00A31306"/>
    <w:rsid w:val="00A606EB"/>
    <w:rsid w:val="00A6451C"/>
    <w:rsid w:val="00A70E45"/>
    <w:rsid w:val="00A83F8B"/>
    <w:rsid w:val="00AB55EA"/>
    <w:rsid w:val="00AD7931"/>
    <w:rsid w:val="00AF04DA"/>
    <w:rsid w:val="00B026C8"/>
    <w:rsid w:val="00B5237A"/>
    <w:rsid w:val="00B82BBC"/>
    <w:rsid w:val="00B84779"/>
    <w:rsid w:val="00BA5CFD"/>
    <w:rsid w:val="00BB670C"/>
    <w:rsid w:val="00BF3A51"/>
    <w:rsid w:val="00BF3AA4"/>
    <w:rsid w:val="00C252F0"/>
    <w:rsid w:val="00C25AFB"/>
    <w:rsid w:val="00C4759C"/>
    <w:rsid w:val="00C62C5A"/>
    <w:rsid w:val="00C83682"/>
    <w:rsid w:val="00CC0BDA"/>
    <w:rsid w:val="00CE5BB7"/>
    <w:rsid w:val="00D97F8D"/>
    <w:rsid w:val="00E35F95"/>
    <w:rsid w:val="00E72F9D"/>
    <w:rsid w:val="00EA5E3B"/>
    <w:rsid w:val="00EB2616"/>
    <w:rsid w:val="00EF08E6"/>
    <w:rsid w:val="00F13207"/>
    <w:rsid w:val="00F62803"/>
    <w:rsid w:val="00F7367C"/>
    <w:rsid w:val="00FC7C73"/>
    <w:rsid w:val="00FD0597"/>
    <w:rsid w:val="00FE175A"/>
    <w:rsid w:val="00FE4505"/>
    <w:rsid w:val="61D1ED9F"/>
    <w:rsid w:val="7CCC2D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character" w:styleId="Refdecomentario">
    <w:name w:val="annotation reference"/>
    <w:basedOn w:val="Fuentedeprrafopredeter"/>
    <w:uiPriority w:val="99"/>
    <w:semiHidden/>
    <w:unhideWhenUsed/>
    <w:rsid w:val="00BF3AA4"/>
    <w:rPr>
      <w:sz w:val="16"/>
      <w:szCs w:val="16"/>
    </w:rPr>
  </w:style>
  <w:style w:type="paragraph" w:styleId="Textocomentario">
    <w:name w:val="annotation text"/>
    <w:basedOn w:val="Normal"/>
    <w:link w:val="TextocomentarioCar"/>
    <w:uiPriority w:val="99"/>
    <w:semiHidden/>
    <w:unhideWhenUsed/>
    <w:rsid w:val="00BF3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AA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BF3AA4"/>
    <w:rPr>
      <w:b/>
      <w:bCs/>
    </w:rPr>
  </w:style>
  <w:style w:type="character" w:customStyle="1" w:styleId="AsuntodelcomentarioCar">
    <w:name w:val="Asunto del comentario Car"/>
    <w:basedOn w:val="TextocomentarioCar"/>
    <w:link w:val="Asuntodelcomentario"/>
    <w:uiPriority w:val="99"/>
    <w:semiHidden/>
    <w:rsid w:val="00BF3AA4"/>
    <w:rPr>
      <w:b/>
      <w:bCs/>
      <w:sz w:val="20"/>
      <w:szCs w:val="20"/>
      <w:lang w:val="es-ES"/>
    </w:rPr>
  </w:style>
  <w:style w:type="paragraph" w:styleId="Textodeglobo">
    <w:name w:val="Balloon Text"/>
    <w:basedOn w:val="Normal"/>
    <w:link w:val="TextodegloboCar"/>
    <w:uiPriority w:val="99"/>
    <w:semiHidden/>
    <w:unhideWhenUsed/>
    <w:rsid w:val="00BF3A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AA4"/>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character" w:styleId="Refdecomentario">
    <w:name w:val="annotation reference"/>
    <w:basedOn w:val="Fuentedeprrafopredeter"/>
    <w:uiPriority w:val="99"/>
    <w:semiHidden/>
    <w:unhideWhenUsed/>
    <w:rsid w:val="00BF3AA4"/>
    <w:rPr>
      <w:sz w:val="16"/>
      <w:szCs w:val="16"/>
    </w:rPr>
  </w:style>
  <w:style w:type="paragraph" w:styleId="Textocomentario">
    <w:name w:val="annotation text"/>
    <w:basedOn w:val="Normal"/>
    <w:link w:val="TextocomentarioCar"/>
    <w:uiPriority w:val="99"/>
    <w:semiHidden/>
    <w:unhideWhenUsed/>
    <w:rsid w:val="00BF3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AA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BF3AA4"/>
    <w:rPr>
      <w:b/>
      <w:bCs/>
    </w:rPr>
  </w:style>
  <w:style w:type="character" w:customStyle="1" w:styleId="AsuntodelcomentarioCar">
    <w:name w:val="Asunto del comentario Car"/>
    <w:basedOn w:val="TextocomentarioCar"/>
    <w:link w:val="Asuntodelcomentario"/>
    <w:uiPriority w:val="99"/>
    <w:semiHidden/>
    <w:rsid w:val="00BF3AA4"/>
    <w:rPr>
      <w:b/>
      <w:bCs/>
      <w:sz w:val="20"/>
      <w:szCs w:val="20"/>
      <w:lang w:val="es-ES"/>
    </w:rPr>
  </w:style>
  <w:style w:type="paragraph" w:styleId="Textodeglobo">
    <w:name w:val="Balloon Text"/>
    <w:basedOn w:val="Normal"/>
    <w:link w:val="TextodegloboCar"/>
    <w:uiPriority w:val="99"/>
    <w:semiHidden/>
    <w:unhideWhenUsed/>
    <w:rsid w:val="00BF3A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AA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0875">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61330068">
      <w:bodyDiv w:val="1"/>
      <w:marLeft w:val="0"/>
      <w:marRight w:val="0"/>
      <w:marTop w:val="0"/>
      <w:marBottom w:val="0"/>
      <w:divBdr>
        <w:top w:val="none" w:sz="0" w:space="0" w:color="auto"/>
        <w:left w:val="none" w:sz="0" w:space="0" w:color="auto"/>
        <w:bottom w:val="none" w:sz="0" w:space="0" w:color="auto"/>
        <w:right w:val="none" w:sz="0" w:space="0" w:color="auto"/>
      </w:divBdr>
    </w:div>
    <w:div w:id="158760996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8da2debf2d9146a9" Type="http://schemas.microsoft.com/office/2011/relationships/people" Target="people.xml"/><Relationship Id="R8ac65b4a0f7d44e0"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5cbed3b5ab87424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06a04ec7cd564a51"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44CD-8898-4326-99E1-178D89E87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9BF910-A2B9-451D-B11C-DC842BB8DD28}">
  <ds:schemaRefs>
    <ds:schemaRef ds:uri="http://schemas.microsoft.com/sharepoint/v3/contenttype/forms"/>
  </ds:schemaRefs>
</ds:datastoreItem>
</file>

<file path=customXml/itemProps3.xml><?xml version="1.0" encoding="utf-8"?>
<ds:datastoreItem xmlns:ds="http://schemas.openxmlformats.org/officeDocument/2006/customXml" ds:itemID="{70BB2012-5C1F-4A98-A2B3-F3BE78D7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F0529-3347-4341-A583-4F438D63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2528</Words>
  <Characters>13906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6</cp:revision>
  <dcterms:created xsi:type="dcterms:W3CDTF">2020-11-20T16:55:00Z</dcterms:created>
  <dcterms:modified xsi:type="dcterms:W3CDTF">2021-01-13T21:41:00Z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