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995E4A" w14:textId="77777777" w:rsidR="00F742AF" w:rsidRPr="00F742AF" w:rsidRDefault="00F742AF" w:rsidP="00F742AF">
      <w:pPr>
        <w:pBdr>
          <w:top w:val="single" w:sz="4" w:space="0" w:color="auto"/>
          <w:left w:val="single" w:sz="4" w:space="4" w:color="auto"/>
          <w:bottom w:val="single" w:sz="4" w:space="1" w:color="auto"/>
          <w:right w:val="single" w:sz="4" w:space="4" w:color="auto"/>
        </w:pBdr>
        <w:shd w:val="clear" w:color="auto" w:fill="FFFFFF"/>
        <w:spacing w:line="240" w:lineRule="auto"/>
        <w:rPr>
          <w:rFonts w:ascii="Arial" w:eastAsia="Times New Roman" w:hAnsi="Arial" w:cs="Arial"/>
          <w:color w:val="FF0000"/>
          <w:spacing w:val="-4"/>
          <w:sz w:val="18"/>
          <w:szCs w:val="18"/>
          <w:lang w:val="es-419" w:eastAsia="fr-FR"/>
        </w:rPr>
      </w:pPr>
      <w:bookmarkStart w:id="0" w:name="_GoBack"/>
      <w:bookmarkEnd w:id="0"/>
      <w:r w:rsidRPr="00F742AF">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w:t>
      </w:r>
      <w:r w:rsidRPr="00F742AF">
        <w:rPr>
          <w:rFonts w:ascii="Arial" w:eastAsia="Times New Roman" w:hAnsi="Arial" w:cs="Arial"/>
          <w:color w:val="FF0000"/>
          <w:spacing w:val="-4"/>
          <w:sz w:val="18"/>
          <w:szCs w:val="18"/>
          <w:lang w:val="es-419" w:eastAsia="fr-FR"/>
        </w:rPr>
        <w:tab/>
        <w:t>o.  El contenido total y fiel de la decisión debe ser verificado en la respectiva Secretaría.</w:t>
      </w:r>
    </w:p>
    <w:p w14:paraId="2BC30856" w14:textId="77777777" w:rsidR="00F742AF" w:rsidRPr="00F742AF" w:rsidRDefault="00F742AF" w:rsidP="00F742AF">
      <w:pPr>
        <w:spacing w:line="240" w:lineRule="auto"/>
        <w:rPr>
          <w:rFonts w:ascii="Arial" w:eastAsia="Times New Roman" w:hAnsi="Arial" w:cs="Arial"/>
          <w:sz w:val="20"/>
          <w:szCs w:val="20"/>
          <w:lang w:val="es-419" w:eastAsia="es-ES"/>
        </w:rPr>
      </w:pPr>
    </w:p>
    <w:p w14:paraId="06DE6AE3" w14:textId="6882BDB0" w:rsidR="00F742AF" w:rsidRPr="00F742AF" w:rsidRDefault="00F742AF" w:rsidP="00F742AF">
      <w:pPr>
        <w:spacing w:line="240" w:lineRule="auto"/>
        <w:rPr>
          <w:rFonts w:ascii="Arial" w:eastAsia="Times New Roman" w:hAnsi="Arial" w:cs="Arial"/>
          <w:sz w:val="20"/>
          <w:szCs w:val="20"/>
          <w:lang w:val="es-419" w:eastAsia="es-ES"/>
        </w:rPr>
      </w:pPr>
      <w:r w:rsidRPr="00F742AF">
        <w:rPr>
          <w:rFonts w:ascii="Arial" w:eastAsia="Times New Roman" w:hAnsi="Arial" w:cs="Arial"/>
          <w:sz w:val="20"/>
          <w:szCs w:val="20"/>
          <w:lang w:val="es-419" w:eastAsia="es-ES"/>
        </w:rPr>
        <w:t>Providencia:</w:t>
      </w:r>
      <w:r>
        <w:rPr>
          <w:rFonts w:ascii="Arial" w:eastAsia="Times New Roman" w:hAnsi="Arial" w:cs="Arial"/>
          <w:sz w:val="20"/>
          <w:szCs w:val="20"/>
          <w:lang w:val="es-419" w:eastAsia="es-ES"/>
        </w:rPr>
        <w:tab/>
      </w:r>
      <w:r w:rsidRPr="00F742AF">
        <w:rPr>
          <w:rFonts w:ascii="Arial" w:eastAsia="Times New Roman" w:hAnsi="Arial" w:cs="Arial"/>
          <w:sz w:val="20"/>
          <w:szCs w:val="20"/>
          <w:lang w:val="es-419" w:eastAsia="es-ES"/>
        </w:rPr>
        <w:tab/>
        <w:t>Sentencia del 30 de noviembre de 2020</w:t>
      </w:r>
    </w:p>
    <w:p w14:paraId="1DB73E4A" w14:textId="77777777" w:rsidR="00F742AF" w:rsidRPr="00F742AF" w:rsidRDefault="00F742AF" w:rsidP="00F742AF">
      <w:pPr>
        <w:spacing w:line="240" w:lineRule="auto"/>
        <w:rPr>
          <w:rFonts w:ascii="Arial" w:eastAsia="Times New Roman" w:hAnsi="Arial" w:cs="Arial"/>
          <w:sz w:val="20"/>
          <w:szCs w:val="20"/>
          <w:lang w:val="es-419" w:eastAsia="es-ES"/>
        </w:rPr>
      </w:pPr>
      <w:r w:rsidRPr="00F742AF">
        <w:rPr>
          <w:rFonts w:ascii="Arial" w:eastAsia="Times New Roman" w:hAnsi="Arial" w:cs="Arial"/>
          <w:sz w:val="20"/>
          <w:szCs w:val="20"/>
          <w:lang w:val="es-419" w:eastAsia="es-ES"/>
        </w:rPr>
        <w:t xml:space="preserve">Radicación No.: </w:t>
      </w:r>
      <w:r w:rsidRPr="00F742AF">
        <w:rPr>
          <w:rFonts w:ascii="Arial" w:eastAsia="Times New Roman" w:hAnsi="Arial" w:cs="Arial"/>
          <w:sz w:val="20"/>
          <w:szCs w:val="20"/>
          <w:lang w:val="es-419" w:eastAsia="es-ES"/>
        </w:rPr>
        <w:tab/>
        <w:t>66001-31-05-002-2018-00244-01</w:t>
      </w:r>
    </w:p>
    <w:p w14:paraId="19DD5CB9" w14:textId="7AB409BC" w:rsidR="00F742AF" w:rsidRPr="00F742AF" w:rsidRDefault="00F742AF" w:rsidP="00F742AF">
      <w:pPr>
        <w:spacing w:line="240" w:lineRule="auto"/>
        <w:rPr>
          <w:rFonts w:ascii="Arial" w:eastAsia="Times New Roman" w:hAnsi="Arial" w:cs="Arial"/>
          <w:sz w:val="20"/>
          <w:szCs w:val="20"/>
          <w:lang w:val="es-419" w:eastAsia="es-ES"/>
        </w:rPr>
      </w:pPr>
      <w:r w:rsidRPr="00F742AF">
        <w:rPr>
          <w:rFonts w:ascii="Arial" w:eastAsia="Times New Roman" w:hAnsi="Arial" w:cs="Arial"/>
          <w:sz w:val="20"/>
          <w:szCs w:val="20"/>
          <w:lang w:val="es-419" w:eastAsia="es-ES"/>
        </w:rPr>
        <w:t xml:space="preserve">Proceso: </w:t>
      </w:r>
      <w:r>
        <w:rPr>
          <w:rFonts w:ascii="Arial" w:eastAsia="Times New Roman" w:hAnsi="Arial" w:cs="Arial"/>
          <w:sz w:val="20"/>
          <w:szCs w:val="20"/>
          <w:lang w:val="es-419" w:eastAsia="es-ES"/>
        </w:rPr>
        <w:tab/>
      </w:r>
      <w:r w:rsidRPr="00F742AF">
        <w:rPr>
          <w:rFonts w:ascii="Arial" w:eastAsia="Times New Roman" w:hAnsi="Arial" w:cs="Arial"/>
          <w:sz w:val="20"/>
          <w:szCs w:val="20"/>
          <w:lang w:val="es-419" w:eastAsia="es-ES"/>
        </w:rPr>
        <w:tab/>
        <w:t xml:space="preserve">Ordinario Laboral </w:t>
      </w:r>
    </w:p>
    <w:p w14:paraId="5C3AF5C1" w14:textId="67E67AB7" w:rsidR="00F742AF" w:rsidRPr="00F742AF" w:rsidRDefault="00F742AF" w:rsidP="00F742AF">
      <w:pPr>
        <w:spacing w:line="240" w:lineRule="auto"/>
        <w:rPr>
          <w:rFonts w:ascii="Arial" w:eastAsia="Times New Roman" w:hAnsi="Arial" w:cs="Arial"/>
          <w:sz w:val="20"/>
          <w:szCs w:val="20"/>
          <w:lang w:val="es-419" w:eastAsia="es-ES"/>
        </w:rPr>
      </w:pPr>
      <w:r w:rsidRPr="00F742AF">
        <w:rPr>
          <w:rFonts w:ascii="Arial" w:eastAsia="Times New Roman" w:hAnsi="Arial" w:cs="Arial"/>
          <w:sz w:val="20"/>
          <w:szCs w:val="20"/>
          <w:lang w:val="es-419" w:eastAsia="es-ES"/>
        </w:rPr>
        <w:t>Demandante:</w:t>
      </w:r>
      <w:r>
        <w:rPr>
          <w:rFonts w:ascii="Arial" w:eastAsia="Times New Roman" w:hAnsi="Arial" w:cs="Arial"/>
          <w:sz w:val="20"/>
          <w:szCs w:val="20"/>
          <w:lang w:val="es-419" w:eastAsia="es-ES"/>
        </w:rPr>
        <w:tab/>
      </w:r>
      <w:r w:rsidRPr="00F742AF">
        <w:rPr>
          <w:rFonts w:ascii="Arial" w:eastAsia="Times New Roman" w:hAnsi="Arial" w:cs="Arial"/>
          <w:sz w:val="20"/>
          <w:szCs w:val="20"/>
          <w:lang w:val="es-419" w:eastAsia="es-ES"/>
        </w:rPr>
        <w:t xml:space="preserve"> </w:t>
      </w:r>
      <w:r w:rsidRPr="00F742AF">
        <w:rPr>
          <w:rFonts w:ascii="Arial" w:eastAsia="Times New Roman" w:hAnsi="Arial" w:cs="Arial"/>
          <w:sz w:val="20"/>
          <w:szCs w:val="20"/>
          <w:lang w:val="es-419" w:eastAsia="es-ES"/>
        </w:rPr>
        <w:tab/>
        <w:t>Pedro José Calderón Cañas</w:t>
      </w:r>
    </w:p>
    <w:p w14:paraId="5CF2D111" w14:textId="0FFE9D6B" w:rsidR="00F742AF" w:rsidRPr="00F742AF" w:rsidRDefault="00F742AF" w:rsidP="00F742AF">
      <w:pPr>
        <w:spacing w:line="240" w:lineRule="auto"/>
        <w:rPr>
          <w:rFonts w:ascii="Arial" w:eastAsia="Times New Roman" w:hAnsi="Arial" w:cs="Arial"/>
          <w:sz w:val="20"/>
          <w:szCs w:val="20"/>
          <w:lang w:val="es-419" w:eastAsia="es-ES"/>
        </w:rPr>
      </w:pPr>
      <w:r w:rsidRPr="00F742AF">
        <w:rPr>
          <w:rFonts w:ascii="Arial" w:eastAsia="Times New Roman" w:hAnsi="Arial" w:cs="Arial"/>
          <w:sz w:val="20"/>
          <w:szCs w:val="20"/>
          <w:lang w:val="es-419" w:eastAsia="es-ES"/>
        </w:rPr>
        <w:t xml:space="preserve">Demandado: </w:t>
      </w:r>
      <w:r>
        <w:rPr>
          <w:rFonts w:ascii="Arial" w:eastAsia="Times New Roman" w:hAnsi="Arial" w:cs="Arial"/>
          <w:sz w:val="20"/>
          <w:szCs w:val="20"/>
          <w:lang w:val="es-419" w:eastAsia="es-ES"/>
        </w:rPr>
        <w:tab/>
      </w:r>
      <w:r w:rsidRPr="00F742AF">
        <w:rPr>
          <w:rFonts w:ascii="Arial" w:eastAsia="Times New Roman" w:hAnsi="Arial" w:cs="Arial"/>
          <w:sz w:val="20"/>
          <w:szCs w:val="20"/>
          <w:lang w:val="es-419" w:eastAsia="es-ES"/>
        </w:rPr>
        <w:tab/>
        <w:t>Positiva S.A.</w:t>
      </w:r>
    </w:p>
    <w:p w14:paraId="7423A1B5" w14:textId="35E9CAAB" w:rsidR="00F742AF" w:rsidRPr="00F742AF" w:rsidRDefault="00F742AF" w:rsidP="00F742AF">
      <w:pPr>
        <w:spacing w:line="240" w:lineRule="auto"/>
        <w:rPr>
          <w:rFonts w:ascii="Arial" w:eastAsia="Times New Roman" w:hAnsi="Arial" w:cs="Arial"/>
          <w:sz w:val="20"/>
          <w:szCs w:val="20"/>
          <w:lang w:val="es-419" w:eastAsia="es-ES"/>
        </w:rPr>
      </w:pPr>
      <w:r w:rsidRPr="00F742AF">
        <w:rPr>
          <w:rFonts w:ascii="Arial" w:eastAsia="Times New Roman" w:hAnsi="Arial" w:cs="Arial"/>
          <w:sz w:val="20"/>
          <w:szCs w:val="20"/>
          <w:lang w:val="es-419" w:eastAsia="es-ES"/>
        </w:rPr>
        <w:t xml:space="preserve">Juzgado: </w:t>
      </w:r>
      <w:r>
        <w:rPr>
          <w:rFonts w:ascii="Arial" w:eastAsia="Times New Roman" w:hAnsi="Arial" w:cs="Arial"/>
          <w:sz w:val="20"/>
          <w:szCs w:val="20"/>
          <w:lang w:val="es-419" w:eastAsia="es-ES"/>
        </w:rPr>
        <w:tab/>
      </w:r>
      <w:r w:rsidRPr="00F742AF">
        <w:rPr>
          <w:rFonts w:ascii="Arial" w:eastAsia="Times New Roman" w:hAnsi="Arial" w:cs="Arial"/>
          <w:sz w:val="20"/>
          <w:szCs w:val="20"/>
          <w:lang w:val="es-419" w:eastAsia="es-ES"/>
        </w:rPr>
        <w:tab/>
        <w:t>Segundo Laboral del Circuito de Pereira</w:t>
      </w:r>
    </w:p>
    <w:p w14:paraId="15FF8E20" w14:textId="77777777" w:rsidR="00F742AF" w:rsidRPr="00F742AF" w:rsidRDefault="00F742AF" w:rsidP="00F742AF">
      <w:pPr>
        <w:spacing w:line="240" w:lineRule="auto"/>
        <w:rPr>
          <w:rFonts w:ascii="Arial" w:eastAsia="Times New Roman" w:hAnsi="Arial" w:cs="Arial"/>
          <w:sz w:val="20"/>
          <w:szCs w:val="20"/>
          <w:lang w:val="es-419" w:eastAsia="es-ES"/>
        </w:rPr>
      </w:pPr>
    </w:p>
    <w:p w14:paraId="07FC0E5C" w14:textId="6259D5FE" w:rsidR="00F742AF" w:rsidRPr="00F742AF" w:rsidRDefault="00F742AF" w:rsidP="00F742AF">
      <w:pPr>
        <w:spacing w:line="240" w:lineRule="auto"/>
        <w:rPr>
          <w:rFonts w:ascii="Arial" w:eastAsia="Times New Roman" w:hAnsi="Arial" w:cs="Arial"/>
          <w:b/>
          <w:bCs/>
          <w:iCs/>
          <w:sz w:val="20"/>
          <w:szCs w:val="20"/>
          <w:lang w:val="es-419" w:eastAsia="fr-FR"/>
        </w:rPr>
      </w:pPr>
      <w:r w:rsidRPr="00F742AF">
        <w:rPr>
          <w:rFonts w:ascii="Arial" w:eastAsia="Times New Roman" w:hAnsi="Arial" w:cs="Arial"/>
          <w:b/>
          <w:bCs/>
          <w:iCs/>
          <w:sz w:val="20"/>
          <w:szCs w:val="20"/>
          <w:u w:val="single"/>
          <w:lang w:val="es-419" w:eastAsia="fr-FR"/>
        </w:rPr>
        <w:t>TEMAS:</w:t>
      </w:r>
      <w:r w:rsidRPr="00F742AF">
        <w:rPr>
          <w:rFonts w:ascii="Arial" w:eastAsia="Times New Roman" w:hAnsi="Arial" w:cs="Arial"/>
          <w:b/>
          <w:bCs/>
          <w:iCs/>
          <w:sz w:val="20"/>
          <w:szCs w:val="20"/>
          <w:lang w:val="es-419" w:eastAsia="fr-FR"/>
        </w:rPr>
        <w:tab/>
      </w:r>
      <w:r w:rsidR="00B95CA3">
        <w:rPr>
          <w:rFonts w:ascii="Arial" w:eastAsia="Times New Roman" w:hAnsi="Arial" w:cs="Arial"/>
          <w:b/>
          <w:bCs/>
          <w:iCs/>
          <w:sz w:val="20"/>
          <w:szCs w:val="20"/>
          <w:lang w:val="es-419" w:eastAsia="fr-FR"/>
        </w:rPr>
        <w:t xml:space="preserve">PENSION DE SOBREVIVIENTES / RÉGIMEN LEGAL APLICABLE / EL VIGENTE AL MOMENTO DEL DECESO / </w:t>
      </w:r>
      <w:r w:rsidR="00B95CA3">
        <w:rPr>
          <w:rFonts w:ascii="Arial" w:eastAsia="Times New Roman" w:hAnsi="Arial" w:cs="Arial"/>
          <w:b/>
          <w:sz w:val="20"/>
          <w:szCs w:val="20"/>
          <w:lang w:val="es-419" w:eastAsia="es-ES"/>
        </w:rPr>
        <w:t>BENEFICIARIOS</w:t>
      </w:r>
      <w:r w:rsidRPr="00F742AF">
        <w:rPr>
          <w:rFonts w:ascii="Arial" w:eastAsia="Times New Roman" w:hAnsi="Arial" w:cs="Arial"/>
          <w:b/>
          <w:bCs/>
          <w:iCs/>
          <w:sz w:val="20"/>
          <w:szCs w:val="20"/>
          <w:lang w:val="es-419" w:eastAsia="fr-FR"/>
        </w:rPr>
        <w:t xml:space="preserve"> / </w:t>
      </w:r>
      <w:r w:rsidR="00B95CA3">
        <w:rPr>
          <w:rFonts w:ascii="Arial" w:eastAsia="Times New Roman" w:hAnsi="Arial" w:cs="Arial"/>
          <w:b/>
          <w:bCs/>
          <w:iCs/>
          <w:sz w:val="20"/>
          <w:szCs w:val="20"/>
          <w:lang w:val="es-419" w:eastAsia="fr-FR"/>
        </w:rPr>
        <w:t>PADRE / REQUISITOS / DEPENDENCIA ECONÓMICA / EL APORTE DEBE SER CIERTO, REGULAR Y SIGNIFICATIVO.</w:t>
      </w:r>
    </w:p>
    <w:p w14:paraId="6BBFA3C1" w14:textId="77777777" w:rsidR="00F742AF" w:rsidRPr="00F742AF" w:rsidRDefault="00F742AF" w:rsidP="00F742AF">
      <w:pPr>
        <w:spacing w:line="240" w:lineRule="auto"/>
        <w:rPr>
          <w:rFonts w:ascii="Arial" w:eastAsia="Times New Roman" w:hAnsi="Arial" w:cs="Arial"/>
          <w:sz w:val="20"/>
          <w:szCs w:val="20"/>
          <w:lang w:val="es-419" w:eastAsia="es-ES"/>
        </w:rPr>
      </w:pPr>
    </w:p>
    <w:p w14:paraId="5D02B6AB" w14:textId="7220957B" w:rsidR="00B51D54" w:rsidRPr="00B51D54" w:rsidRDefault="00B51D54" w:rsidP="00B51D54">
      <w:pPr>
        <w:spacing w:line="240" w:lineRule="auto"/>
        <w:rPr>
          <w:rFonts w:ascii="Arial" w:eastAsia="Times New Roman" w:hAnsi="Arial" w:cs="Arial"/>
          <w:sz w:val="20"/>
          <w:szCs w:val="20"/>
          <w:lang w:val="es-419" w:eastAsia="es-ES"/>
        </w:rPr>
      </w:pPr>
      <w:r>
        <w:rPr>
          <w:rFonts w:ascii="Arial" w:eastAsia="Times New Roman" w:hAnsi="Arial" w:cs="Arial"/>
          <w:sz w:val="20"/>
          <w:szCs w:val="20"/>
          <w:lang w:val="es-419" w:eastAsia="es-ES"/>
        </w:rPr>
        <w:t>…</w:t>
      </w:r>
      <w:r w:rsidRPr="00B51D54">
        <w:rPr>
          <w:rFonts w:ascii="Arial" w:eastAsia="Times New Roman" w:hAnsi="Arial" w:cs="Arial"/>
          <w:sz w:val="20"/>
          <w:szCs w:val="20"/>
          <w:lang w:val="es-419" w:eastAsia="es-ES"/>
        </w:rPr>
        <w:t xml:space="preserve"> la norma que rige el reconocimiento de la pensión de sobrevivientes corresponde a aquélla que se encuentra vigente al momento del óbito del afiliado, lo que implica en este asunto que la preceptiva aplicable es la Ley 776 de 2002</w:t>
      </w:r>
      <w:r>
        <w:rPr>
          <w:rFonts w:ascii="Arial" w:eastAsia="Times New Roman" w:hAnsi="Arial" w:cs="Arial"/>
          <w:sz w:val="20"/>
          <w:szCs w:val="20"/>
          <w:lang w:val="es-419" w:eastAsia="es-ES"/>
        </w:rPr>
        <w:t>…</w:t>
      </w:r>
    </w:p>
    <w:p w14:paraId="4C2694AA" w14:textId="77777777" w:rsidR="00B51D54" w:rsidRPr="00B51D54" w:rsidRDefault="00B51D54" w:rsidP="00B51D54">
      <w:pPr>
        <w:spacing w:line="240" w:lineRule="auto"/>
        <w:rPr>
          <w:rFonts w:ascii="Arial" w:eastAsia="Times New Roman" w:hAnsi="Arial" w:cs="Arial"/>
          <w:sz w:val="20"/>
          <w:szCs w:val="20"/>
          <w:lang w:val="es-419" w:eastAsia="es-ES"/>
        </w:rPr>
      </w:pPr>
    </w:p>
    <w:p w14:paraId="7F220FBA" w14:textId="77777777" w:rsidR="00B51D54" w:rsidRPr="00B51D54" w:rsidRDefault="00B51D54" w:rsidP="00B51D54">
      <w:pPr>
        <w:spacing w:line="240" w:lineRule="auto"/>
        <w:rPr>
          <w:rFonts w:ascii="Arial" w:eastAsia="Times New Roman" w:hAnsi="Arial" w:cs="Arial"/>
          <w:sz w:val="20"/>
          <w:szCs w:val="20"/>
          <w:lang w:val="es-419" w:eastAsia="es-ES"/>
        </w:rPr>
      </w:pPr>
      <w:r w:rsidRPr="00B51D54">
        <w:rPr>
          <w:rFonts w:ascii="Arial" w:eastAsia="Times New Roman" w:hAnsi="Arial" w:cs="Arial"/>
          <w:sz w:val="20"/>
          <w:szCs w:val="20"/>
          <w:lang w:val="es-419" w:eastAsia="es-ES"/>
        </w:rPr>
        <w:t xml:space="preserve">Establecido que el causante dejó acreditado el derecho a la pensión de sobrevivientes en favor de sus beneficiarios, para determinar quienes ostentan tal calidad, se acude al artículo 13 de la Ley 797 de 2003 que modificó los artículos 47 y 74 que dispone: </w:t>
      </w:r>
    </w:p>
    <w:p w14:paraId="58C247D5" w14:textId="77777777" w:rsidR="00B51D54" w:rsidRPr="00B51D54" w:rsidRDefault="00B51D54" w:rsidP="00B51D54">
      <w:pPr>
        <w:spacing w:line="240" w:lineRule="auto"/>
        <w:rPr>
          <w:rFonts w:ascii="Arial" w:eastAsia="Times New Roman" w:hAnsi="Arial" w:cs="Arial"/>
          <w:sz w:val="20"/>
          <w:szCs w:val="20"/>
          <w:lang w:val="es-419" w:eastAsia="es-ES"/>
        </w:rPr>
      </w:pPr>
    </w:p>
    <w:p w14:paraId="709635C0" w14:textId="01E5696C" w:rsidR="00B51D54" w:rsidRPr="00B51D54" w:rsidRDefault="00B51D54" w:rsidP="00B51D54">
      <w:pPr>
        <w:spacing w:line="240" w:lineRule="auto"/>
        <w:rPr>
          <w:rFonts w:ascii="Arial" w:eastAsia="Times New Roman" w:hAnsi="Arial" w:cs="Arial"/>
          <w:sz w:val="20"/>
          <w:szCs w:val="20"/>
          <w:lang w:val="es-419" w:eastAsia="es-ES"/>
        </w:rPr>
      </w:pPr>
      <w:r w:rsidRPr="00B51D54">
        <w:rPr>
          <w:rFonts w:ascii="Arial" w:eastAsia="Times New Roman" w:hAnsi="Arial" w:cs="Arial"/>
          <w:sz w:val="20"/>
          <w:szCs w:val="20"/>
          <w:lang w:val="es-419" w:eastAsia="es-ES"/>
        </w:rPr>
        <w:t>“Artículo 47</w:t>
      </w:r>
      <w:r>
        <w:rPr>
          <w:rFonts w:ascii="Arial" w:eastAsia="Times New Roman" w:hAnsi="Arial" w:cs="Arial"/>
          <w:sz w:val="20"/>
          <w:szCs w:val="20"/>
          <w:lang w:val="es-419" w:eastAsia="es-ES"/>
        </w:rPr>
        <w:t>…</w:t>
      </w:r>
      <w:r w:rsidRPr="00B51D54">
        <w:rPr>
          <w:rFonts w:ascii="Arial" w:eastAsia="Times New Roman" w:hAnsi="Arial" w:cs="Arial"/>
          <w:sz w:val="20"/>
          <w:szCs w:val="20"/>
          <w:lang w:val="es-419" w:eastAsia="es-ES"/>
        </w:rPr>
        <w:t xml:space="preserve"> Son beneficiarios de la pensión de sobrevivientes:</w:t>
      </w:r>
      <w:r>
        <w:rPr>
          <w:rFonts w:ascii="Arial" w:eastAsia="Times New Roman" w:hAnsi="Arial" w:cs="Arial"/>
          <w:sz w:val="20"/>
          <w:szCs w:val="20"/>
          <w:lang w:val="es-419" w:eastAsia="es-ES"/>
        </w:rPr>
        <w:t xml:space="preserve"> </w:t>
      </w:r>
      <w:r w:rsidRPr="00B51D54">
        <w:rPr>
          <w:rFonts w:ascii="Arial" w:eastAsia="Times New Roman" w:hAnsi="Arial" w:cs="Arial"/>
          <w:sz w:val="20"/>
          <w:szCs w:val="20"/>
          <w:lang w:val="es-419" w:eastAsia="es-ES"/>
        </w:rPr>
        <w:t>(…)</w:t>
      </w:r>
    </w:p>
    <w:p w14:paraId="4D9908AD" w14:textId="77777777" w:rsidR="00B51D54" w:rsidRPr="00B51D54" w:rsidRDefault="00B51D54" w:rsidP="00B51D54">
      <w:pPr>
        <w:spacing w:line="240" w:lineRule="auto"/>
        <w:rPr>
          <w:rFonts w:ascii="Arial" w:eastAsia="Times New Roman" w:hAnsi="Arial" w:cs="Arial"/>
          <w:sz w:val="20"/>
          <w:szCs w:val="20"/>
          <w:lang w:val="es-419" w:eastAsia="es-ES"/>
        </w:rPr>
      </w:pPr>
    </w:p>
    <w:p w14:paraId="02EEAD7E" w14:textId="77777777" w:rsidR="00B51D54" w:rsidRPr="00B51D54" w:rsidRDefault="00B51D54" w:rsidP="00B51D54">
      <w:pPr>
        <w:spacing w:line="240" w:lineRule="auto"/>
        <w:rPr>
          <w:rFonts w:ascii="Arial" w:eastAsia="Times New Roman" w:hAnsi="Arial" w:cs="Arial"/>
          <w:sz w:val="20"/>
          <w:szCs w:val="20"/>
          <w:lang w:val="es-419" w:eastAsia="es-ES"/>
        </w:rPr>
      </w:pPr>
      <w:r w:rsidRPr="00B51D54">
        <w:rPr>
          <w:rFonts w:ascii="Arial" w:eastAsia="Times New Roman" w:hAnsi="Arial" w:cs="Arial"/>
          <w:sz w:val="20"/>
          <w:szCs w:val="20"/>
          <w:lang w:val="es-419" w:eastAsia="es-ES"/>
        </w:rPr>
        <w:t>d) A falta de cónyuge, compañero o compañera permanente e hijos con derecho, serán beneficiarios los padres del causante si dependían económicamente”.</w:t>
      </w:r>
    </w:p>
    <w:p w14:paraId="198269AE" w14:textId="77777777" w:rsidR="00B51D54" w:rsidRPr="00B51D54" w:rsidRDefault="00B51D54" w:rsidP="00B51D54">
      <w:pPr>
        <w:spacing w:line="240" w:lineRule="auto"/>
        <w:rPr>
          <w:rFonts w:ascii="Arial" w:eastAsia="Times New Roman" w:hAnsi="Arial" w:cs="Arial"/>
          <w:sz w:val="20"/>
          <w:szCs w:val="20"/>
          <w:lang w:val="es-419" w:eastAsia="es-ES"/>
        </w:rPr>
      </w:pPr>
    </w:p>
    <w:p w14:paraId="3B1D06D0" w14:textId="77777777" w:rsidR="00B51D54" w:rsidRPr="00B51D54" w:rsidRDefault="00B51D54" w:rsidP="00B51D54">
      <w:pPr>
        <w:spacing w:line="240" w:lineRule="auto"/>
        <w:rPr>
          <w:rFonts w:ascii="Arial" w:eastAsia="Times New Roman" w:hAnsi="Arial" w:cs="Arial"/>
          <w:sz w:val="20"/>
          <w:szCs w:val="20"/>
          <w:lang w:val="es-419" w:eastAsia="es-ES"/>
        </w:rPr>
      </w:pPr>
      <w:r w:rsidRPr="00B51D54">
        <w:rPr>
          <w:rFonts w:ascii="Arial" w:eastAsia="Times New Roman" w:hAnsi="Arial" w:cs="Arial"/>
          <w:sz w:val="20"/>
          <w:szCs w:val="20"/>
          <w:lang w:val="es-419" w:eastAsia="es-ES"/>
        </w:rPr>
        <w:t>Frente al requisito de dependencia económica, la Sala de Casación Laboral en sentencia SL4166-2020 (19-08-2020) , precisó:</w:t>
      </w:r>
    </w:p>
    <w:p w14:paraId="639B38CB" w14:textId="77777777" w:rsidR="00B51D54" w:rsidRPr="00B51D54" w:rsidRDefault="00B51D54" w:rsidP="00B51D54">
      <w:pPr>
        <w:spacing w:line="240" w:lineRule="auto"/>
        <w:rPr>
          <w:rFonts w:ascii="Arial" w:eastAsia="Times New Roman" w:hAnsi="Arial" w:cs="Arial"/>
          <w:sz w:val="20"/>
          <w:szCs w:val="20"/>
          <w:lang w:val="es-419" w:eastAsia="es-ES"/>
        </w:rPr>
      </w:pPr>
    </w:p>
    <w:p w14:paraId="31FA1621" w14:textId="7695042C" w:rsidR="00F742AF" w:rsidRPr="00F742AF" w:rsidRDefault="00B51D54" w:rsidP="00B51D54">
      <w:pPr>
        <w:spacing w:line="240" w:lineRule="auto"/>
        <w:rPr>
          <w:rFonts w:ascii="Arial" w:eastAsia="Times New Roman" w:hAnsi="Arial" w:cs="Arial"/>
          <w:sz w:val="20"/>
          <w:szCs w:val="20"/>
          <w:lang w:val="es-419" w:eastAsia="es-ES"/>
        </w:rPr>
      </w:pPr>
      <w:r w:rsidRPr="00B51D54">
        <w:rPr>
          <w:rFonts w:ascii="Arial" w:eastAsia="Times New Roman" w:hAnsi="Arial" w:cs="Arial"/>
          <w:sz w:val="20"/>
          <w:szCs w:val="20"/>
          <w:lang w:val="es-419" w:eastAsia="es-ES"/>
        </w:rPr>
        <w:t>“…. en este caso se advierte que el Tribunal acudió a varias reglas jurídicas establecidas por la jurisprudencia constitucional y de esta Corporación, a efecto del reconocimiento de la pensión de sobrevivientes reclamada, que pueden sintetizarse así: (i) el supuesto de la dependencia económica exigido legalmente para ser beneficiario de una pensión de sobrevivientes está ligado conceptualmente al de subordinación del ascendiente al ingreso monetario que le proporcionaba en vida su descendiente; (ii) tal exigencia no se desvirtúa automáticamente por el simple hecho que el potencial beneficiario perciba otros ingresos derivados de su trabajo o de otras fuentes, y (iii) lo relevante es determinar si el reclamante era económicamente autosuficiente y si después de la muerte del afiliado pudo conservar sus medios de subsistencia de manera digna.</w:t>
      </w:r>
      <w:r>
        <w:rPr>
          <w:rFonts w:ascii="Arial" w:eastAsia="Times New Roman" w:hAnsi="Arial" w:cs="Arial"/>
          <w:sz w:val="20"/>
          <w:szCs w:val="20"/>
          <w:lang w:val="es-419" w:eastAsia="es-ES"/>
        </w:rPr>
        <w:t xml:space="preserve"> (…)</w:t>
      </w:r>
    </w:p>
    <w:p w14:paraId="622FC2EF" w14:textId="77777777" w:rsidR="00F742AF" w:rsidRPr="00F742AF" w:rsidRDefault="00F742AF" w:rsidP="00F742AF">
      <w:pPr>
        <w:spacing w:line="240" w:lineRule="auto"/>
        <w:rPr>
          <w:rFonts w:ascii="Arial" w:eastAsia="Times New Roman" w:hAnsi="Arial" w:cs="Arial"/>
          <w:sz w:val="20"/>
          <w:szCs w:val="20"/>
          <w:lang w:val="es-419" w:eastAsia="es-ES"/>
        </w:rPr>
      </w:pPr>
    </w:p>
    <w:p w14:paraId="5D562795" w14:textId="5C5A1DA7" w:rsidR="00F742AF" w:rsidRPr="00F742AF" w:rsidRDefault="00B51D54" w:rsidP="00F742AF">
      <w:pPr>
        <w:spacing w:line="240" w:lineRule="auto"/>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B51D54">
        <w:rPr>
          <w:rFonts w:ascii="Arial" w:eastAsia="Times New Roman" w:hAnsi="Arial" w:cs="Arial"/>
          <w:sz w:val="20"/>
          <w:szCs w:val="20"/>
          <w:lang w:val="es-419" w:eastAsia="es-ES"/>
        </w:rPr>
        <w:t>la Corte ha explicado que la dependencia económica se estructura a partir de aportes ciertos, regulares y periódicos de los hijos hacia los padres, además de significativos y proporcionalmente representativos, en perspectiva de los ingresos totales del sobreviviente, de manera que se establezca una verdadera relación de subordinación económica y, por tanto, se descarte una autosuficiencia económica a partir de otros ingresos</w:t>
      </w:r>
      <w:r>
        <w:rPr>
          <w:rFonts w:ascii="Arial" w:eastAsia="Times New Roman" w:hAnsi="Arial" w:cs="Arial"/>
          <w:sz w:val="20"/>
          <w:szCs w:val="20"/>
          <w:lang w:val="es-419" w:eastAsia="es-ES"/>
        </w:rPr>
        <w:t>”</w:t>
      </w:r>
      <w:r w:rsidRPr="00B51D54">
        <w:rPr>
          <w:rFonts w:ascii="Arial" w:eastAsia="Times New Roman" w:hAnsi="Arial" w:cs="Arial"/>
          <w:sz w:val="20"/>
          <w:szCs w:val="20"/>
          <w:lang w:val="es-419" w:eastAsia="es-ES"/>
        </w:rPr>
        <w:t>.</w:t>
      </w:r>
    </w:p>
    <w:p w14:paraId="4D397A63" w14:textId="77777777" w:rsidR="00F742AF" w:rsidRPr="00F742AF" w:rsidRDefault="00F742AF" w:rsidP="00F742AF">
      <w:pPr>
        <w:spacing w:line="240" w:lineRule="auto"/>
        <w:rPr>
          <w:rFonts w:ascii="Arial" w:eastAsia="Times New Roman" w:hAnsi="Arial" w:cs="Arial"/>
          <w:sz w:val="20"/>
          <w:szCs w:val="20"/>
          <w:lang w:val="es-419" w:eastAsia="es-ES"/>
        </w:rPr>
      </w:pPr>
    </w:p>
    <w:p w14:paraId="3118FA16" w14:textId="77777777" w:rsidR="00F742AF" w:rsidRPr="00F742AF" w:rsidRDefault="00F742AF" w:rsidP="00F742AF">
      <w:pPr>
        <w:spacing w:line="240" w:lineRule="auto"/>
        <w:rPr>
          <w:rFonts w:ascii="Arial" w:eastAsia="Times New Roman" w:hAnsi="Arial" w:cs="Arial"/>
          <w:sz w:val="20"/>
          <w:szCs w:val="20"/>
          <w:lang w:val="es-419" w:eastAsia="es-ES"/>
        </w:rPr>
      </w:pPr>
    </w:p>
    <w:p w14:paraId="263EFAD5" w14:textId="77777777" w:rsidR="00F742AF" w:rsidRPr="00F742AF" w:rsidRDefault="00F742AF" w:rsidP="00F742AF">
      <w:pPr>
        <w:spacing w:line="240" w:lineRule="auto"/>
        <w:rPr>
          <w:rFonts w:ascii="Arial" w:eastAsia="Times New Roman" w:hAnsi="Arial" w:cs="Arial"/>
          <w:sz w:val="20"/>
          <w:szCs w:val="20"/>
          <w:lang w:val="es-ES" w:eastAsia="es-ES"/>
        </w:rPr>
      </w:pPr>
    </w:p>
    <w:p w14:paraId="592972E0" w14:textId="77777777" w:rsidR="00F742AF" w:rsidRPr="00F742AF" w:rsidRDefault="00F742AF" w:rsidP="00F742AF">
      <w:pPr>
        <w:spacing w:line="240" w:lineRule="auto"/>
        <w:rPr>
          <w:rFonts w:ascii="Arial" w:eastAsia="Times New Roman" w:hAnsi="Arial" w:cs="Arial"/>
          <w:sz w:val="20"/>
          <w:szCs w:val="20"/>
          <w:lang w:val="es-ES" w:eastAsia="es-ES"/>
        </w:rPr>
      </w:pPr>
    </w:p>
    <w:p w14:paraId="2628EFBE" w14:textId="77777777" w:rsidR="00F742AF" w:rsidRPr="00F742AF" w:rsidRDefault="00F742AF" w:rsidP="00F742AF">
      <w:pPr>
        <w:spacing w:line="240" w:lineRule="auto"/>
        <w:rPr>
          <w:rFonts w:ascii="Arial" w:eastAsia="Times New Roman" w:hAnsi="Arial" w:cs="Arial"/>
          <w:sz w:val="20"/>
          <w:szCs w:val="20"/>
          <w:lang w:val="es-ES" w:eastAsia="es-ES"/>
        </w:rPr>
      </w:pPr>
    </w:p>
    <w:p w14:paraId="7C5760B2" w14:textId="77777777" w:rsidR="00DE206F" w:rsidRPr="00F742AF" w:rsidRDefault="00DE206F" w:rsidP="00F742AF">
      <w:pPr>
        <w:tabs>
          <w:tab w:val="left" w:pos="284"/>
        </w:tabs>
        <w:spacing w:line="276" w:lineRule="auto"/>
        <w:jc w:val="center"/>
        <w:rPr>
          <w:rFonts w:cs="Tahoma"/>
          <w:b/>
          <w:bCs/>
          <w:szCs w:val="24"/>
        </w:rPr>
      </w:pPr>
      <w:r w:rsidRPr="00F742AF">
        <w:rPr>
          <w:rFonts w:cs="Tahoma"/>
          <w:b/>
          <w:bCs/>
          <w:szCs w:val="24"/>
        </w:rPr>
        <w:t>TRIBUNAL SUPERIOR DEL DISTRITO JUDICIAL DE PEREIRA</w:t>
      </w:r>
    </w:p>
    <w:p w14:paraId="3F258260" w14:textId="77777777" w:rsidR="00DE206F" w:rsidRPr="00F742AF" w:rsidRDefault="00DE206F" w:rsidP="00F742AF">
      <w:pPr>
        <w:tabs>
          <w:tab w:val="left" w:pos="284"/>
        </w:tabs>
        <w:spacing w:line="276" w:lineRule="auto"/>
        <w:jc w:val="center"/>
        <w:rPr>
          <w:rFonts w:cs="Tahoma"/>
          <w:b/>
          <w:bCs/>
          <w:szCs w:val="24"/>
        </w:rPr>
      </w:pPr>
      <w:r w:rsidRPr="00F742AF">
        <w:rPr>
          <w:rFonts w:cs="Tahoma"/>
          <w:b/>
          <w:bCs/>
          <w:szCs w:val="24"/>
        </w:rPr>
        <w:t>SALA PRIMERA DE DECISION LABORAL</w:t>
      </w:r>
    </w:p>
    <w:p w14:paraId="4473045B" w14:textId="77777777" w:rsidR="00DE206F" w:rsidRPr="00F742AF" w:rsidRDefault="00DE206F" w:rsidP="00F742AF">
      <w:pPr>
        <w:tabs>
          <w:tab w:val="left" w:pos="284"/>
        </w:tabs>
        <w:spacing w:line="276" w:lineRule="auto"/>
        <w:jc w:val="center"/>
        <w:rPr>
          <w:rFonts w:cs="Tahoma"/>
          <w:szCs w:val="24"/>
        </w:rPr>
      </w:pPr>
    </w:p>
    <w:p w14:paraId="0B7AF971" w14:textId="77777777" w:rsidR="00DE206F" w:rsidRPr="00F742AF" w:rsidRDefault="00DE206F" w:rsidP="00F742AF">
      <w:pPr>
        <w:tabs>
          <w:tab w:val="left" w:pos="284"/>
        </w:tabs>
        <w:spacing w:line="276" w:lineRule="auto"/>
        <w:jc w:val="center"/>
        <w:rPr>
          <w:rFonts w:cs="Tahoma"/>
          <w:b/>
          <w:bCs/>
          <w:szCs w:val="24"/>
        </w:rPr>
      </w:pPr>
      <w:r w:rsidRPr="00F742AF">
        <w:rPr>
          <w:rFonts w:cs="Tahoma"/>
          <w:szCs w:val="24"/>
        </w:rPr>
        <w:t xml:space="preserve">Magistrada Ponente: </w:t>
      </w:r>
      <w:r w:rsidRPr="00F742AF">
        <w:rPr>
          <w:rFonts w:cs="Tahoma"/>
          <w:b/>
          <w:bCs/>
          <w:szCs w:val="24"/>
        </w:rPr>
        <w:t>Ana Lucía Caicedo Calderón</w:t>
      </w:r>
    </w:p>
    <w:p w14:paraId="07C02A7D" w14:textId="77777777" w:rsidR="00DE206F" w:rsidRPr="00F742AF" w:rsidRDefault="00DE206F" w:rsidP="00F742AF">
      <w:pPr>
        <w:tabs>
          <w:tab w:val="left" w:pos="284"/>
        </w:tabs>
        <w:spacing w:line="276" w:lineRule="auto"/>
        <w:jc w:val="center"/>
        <w:rPr>
          <w:rFonts w:cs="Tahoma"/>
          <w:szCs w:val="24"/>
        </w:rPr>
      </w:pPr>
    </w:p>
    <w:p w14:paraId="722AA6FE" w14:textId="5397A6D6" w:rsidR="00DE206F" w:rsidRPr="00F742AF" w:rsidRDefault="00DE206F" w:rsidP="00F742AF">
      <w:pPr>
        <w:shd w:val="clear" w:color="auto" w:fill="FFFFFF" w:themeFill="background1"/>
        <w:spacing w:line="276" w:lineRule="auto"/>
        <w:jc w:val="center"/>
        <w:textAlignment w:val="baseline"/>
        <w:rPr>
          <w:rFonts w:eastAsia="Times New Roman" w:cs="Tahoma"/>
          <w:szCs w:val="24"/>
          <w:lang w:eastAsia="es-CO"/>
        </w:rPr>
      </w:pPr>
      <w:bookmarkStart w:id="1" w:name="_Hlk55477566"/>
      <w:r w:rsidRPr="00F742AF">
        <w:rPr>
          <w:rFonts w:eastAsia="Times New Roman" w:cs="Tahoma"/>
          <w:szCs w:val="24"/>
          <w:lang w:eastAsia="es-CO"/>
        </w:rPr>
        <w:t>Pereira, Risaralda,</w:t>
      </w:r>
      <w:r w:rsidR="00B51D54">
        <w:rPr>
          <w:rFonts w:eastAsia="Times New Roman" w:cs="Tahoma"/>
          <w:szCs w:val="24"/>
          <w:lang w:eastAsia="es-CO"/>
        </w:rPr>
        <w:t xml:space="preserve"> </w:t>
      </w:r>
      <w:r w:rsidR="00DF4C37" w:rsidRPr="00F742AF">
        <w:rPr>
          <w:rFonts w:eastAsia="Times New Roman" w:cs="Tahoma"/>
          <w:szCs w:val="24"/>
          <w:lang w:eastAsia="es-CO"/>
        </w:rPr>
        <w:t xml:space="preserve">treinta (30) de </w:t>
      </w:r>
      <w:r w:rsidRPr="00F742AF">
        <w:rPr>
          <w:rFonts w:eastAsia="Times New Roman" w:cs="Tahoma"/>
          <w:szCs w:val="24"/>
          <w:lang w:eastAsia="es-CO"/>
        </w:rPr>
        <w:t>noviembre de dos mil veinte (2020</w:t>
      </w:r>
      <w:proofErr w:type="gramStart"/>
      <w:r w:rsidRPr="00F742AF">
        <w:rPr>
          <w:rFonts w:eastAsia="Times New Roman" w:cs="Tahoma"/>
          <w:szCs w:val="24"/>
          <w:lang w:eastAsia="es-CO"/>
        </w:rPr>
        <w:t>) </w:t>
      </w:r>
      <w:proofErr w:type="gramEnd"/>
      <w:r w:rsidRPr="00F742AF">
        <w:rPr>
          <w:rFonts w:eastAsia="Times New Roman" w:cs="Tahoma"/>
          <w:szCs w:val="24"/>
          <w:lang w:eastAsia="es-CO"/>
        </w:rPr>
        <w:t> </w:t>
      </w:r>
    </w:p>
    <w:p w14:paraId="69555735" w14:textId="2D7B17ED" w:rsidR="00DE206F" w:rsidRPr="00F742AF" w:rsidRDefault="00DE206F" w:rsidP="00F742AF">
      <w:pPr>
        <w:shd w:val="clear" w:color="auto" w:fill="FFFFFF" w:themeFill="background1"/>
        <w:spacing w:line="276" w:lineRule="auto"/>
        <w:jc w:val="center"/>
        <w:textAlignment w:val="baseline"/>
        <w:rPr>
          <w:rFonts w:eastAsia="Times New Roman" w:cs="Tahoma"/>
          <w:szCs w:val="24"/>
          <w:lang w:eastAsia="es-CO"/>
        </w:rPr>
      </w:pPr>
      <w:r w:rsidRPr="00F742AF">
        <w:rPr>
          <w:rFonts w:eastAsia="Times New Roman" w:cs="Tahoma"/>
          <w:szCs w:val="24"/>
          <w:lang w:eastAsia="es-CO"/>
        </w:rPr>
        <w:t> Acta No. </w:t>
      </w:r>
      <w:r w:rsidR="007D7AE2" w:rsidRPr="00F742AF">
        <w:rPr>
          <w:rFonts w:eastAsia="Times New Roman" w:cs="Tahoma"/>
          <w:szCs w:val="24"/>
          <w:lang w:eastAsia="es-CO"/>
        </w:rPr>
        <w:t>180</w:t>
      </w:r>
      <w:r w:rsidRPr="00F742AF">
        <w:rPr>
          <w:rFonts w:eastAsia="Times New Roman" w:cs="Tahoma"/>
          <w:szCs w:val="24"/>
          <w:lang w:eastAsia="es-CO"/>
        </w:rPr>
        <w:t xml:space="preserve"> del 26 de noviembre de 2020</w:t>
      </w:r>
    </w:p>
    <w:bookmarkEnd w:id="1"/>
    <w:p w14:paraId="09FF6CB1" w14:textId="77777777" w:rsidR="00DE206F" w:rsidRPr="00F742AF" w:rsidRDefault="00DE206F" w:rsidP="00F742AF">
      <w:pPr>
        <w:tabs>
          <w:tab w:val="left" w:pos="284"/>
        </w:tabs>
        <w:spacing w:line="276" w:lineRule="auto"/>
        <w:jc w:val="center"/>
        <w:rPr>
          <w:rFonts w:cs="Tahoma"/>
          <w:szCs w:val="24"/>
        </w:rPr>
      </w:pPr>
    </w:p>
    <w:p w14:paraId="26F96D03" w14:textId="77777777" w:rsidR="00DE206F" w:rsidRPr="00F742AF" w:rsidRDefault="00DE206F" w:rsidP="00F742AF">
      <w:pPr>
        <w:tabs>
          <w:tab w:val="left" w:pos="284"/>
        </w:tabs>
        <w:spacing w:line="276" w:lineRule="auto"/>
        <w:rPr>
          <w:rFonts w:cs="Tahoma"/>
          <w:szCs w:val="24"/>
        </w:rPr>
      </w:pPr>
    </w:p>
    <w:p w14:paraId="49D7D418" w14:textId="27DF6623" w:rsidR="00DE206F" w:rsidRPr="00F742AF" w:rsidRDefault="00DE206F" w:rsidP="00F742AF">
      <w:pPr>
        <w:tabs>
          <w:tab w:val="left" w:pos="284"/>
        </w:tabs>
        <w:spacing w:line="276" w:lineRule="auto"/>
        <w:rPr>
          <w:rFonts w:cs="Tahoma"/>
          <w:szCs w:val="24"/>
        </w:rPr>
      </w:pPr>
      <w:r w:rsidRPr="00F742AF">
        <w:rPr>
          <w:rFonts w:cs="Tahoma"/>
          <w:szCs w:val="24"/>
        </w:rPr>
        <w:tab/>
        <w:t xml:space="preserve">Teniendo en cuenta que el artículo 15 del Decreto No. 806 del 4 de junio de 2020, expedido por el Ministerio de Justicia y del Derecho, estableció que en la especialidad laboral se proferirán por escrito las providencias de segunda instancia </w:t>
      </w:r>
      <w:r w:rsidRPr="00F742AF">
        <w:rPr>
          <w:rFonts w:cs="Tahoma"/>
          <w:szCs w:val="24"/>
        </w:rPr>
        <w:lastRenderedPageBreak/>
        <w:t xml:space="preserve">en las que se surta el grado jurisdiccional de consulta o se resuelva el recurso de apelación de autos o sentencias, la Sala de Decisión Laboral No. 1 del Tribunal Superior de Pereira, integrada por las Magistradas </w:t>
      </w:r>
      <w:r w:rsidRPr="00F742AF">
        <w:rPr>
          <w:rFonts w:cs="Tahoma"/>
          <w:b/>
          <w:bCs/>
          <w:szCs w:val="24"/>
        </w:rPr>
        <w:t>ANA LUCÍA CAICEDO CALDERÓN</w:t>
      </w:r>
      <w:r w:rsidRPr="00F742AF">
        <w:rPr>
          <w:rFonts w:cs="Tahoma"/>
          <w:szCs w:val="24"/>
        </w:rPr>
        <w:t xml:space="preserve"> como Ponente, </w:t>
      </w:r>
      <w:r w:rsidRPr="00F742AF">
        <w:rPr>
          <w:rFonts w:cs="Tahoma"/>
          <w:b/>
          <w:bCs/>
          <w:szCs w:val="24"/>
        </w:rPr>
        <w:t>OLGA LUCÍA HOYOS SEPÚLVEDA</w:t>
      </w:r>
      <w:r w:rsidRPr="00F742AF">
        <w:rPr>
          <w:rFonts w:cs="Tahoma"/>
          <w:szCs w:val="24"/>
        </w:rPr>
        <w:t xml:space="preserve"> y el Magistrado </w:t>
      </w:r>
      <w:r w:rsidRPr="00F742AF">
        <w:rPr>
          <w:rFonts w:cs="Tahoma"/>
          <w:b/>
          <w:bCs/>
          <w:szCs w:val="24"/>
        </w:rPr>
        <w:t>JULIO CÉSAR SALAZAR MUÑOZ</w:t>
      </w:r>
      <w:r w:rsidRPr="00F742AF">
        <w:rPr>
          <w:rFonts w:cs="Tahoma"/>
          <w:szCs w:val="24"/>
        </w:rPr>
        <w:t xml:space="preserve">, procede a proferir la siguiente sentencia escrita dentro del proceso ordinario laboral instaurado por </w:t>
      </w:r>
      <w:r w:rsidR="007D53EB" w:rsidRPr="00F742AF">
        <w:rPr>
          <w:rFonts w:cs="Tahoma"/>
          <w:b/>
          <w:bCs/>
          <w:szCs w:val="24"/>
        </w:rPr>
        <w:t xml:space="preserve">Pedro José Calderón Cañas </w:t>
      </w:r>
      <w:r w:rsidRPr="00F742AF">
        <w:rPr>
          <w:rFonts w:cs="Tahoma"/>
          <w:szCs w:val="24"/>
        </w:rPr>
        <w:t xml:space="preserve">en contra de </w:t>
      </w:r>
      <w:r w:rsidR="007D53EB" w:rsidRPr="00F742AF">
        <w:rPr>
          <w:rFonts w:cs="Tahoma"/>
          <w:b/>
          <w:bCs/>
          <w:szCs w:val="24"/>
        </w:rPr>
        <w:t>Positiva Compañía de Seguros S.A.</w:t>
      </w:r>
    </w:p>
    <w:p w14:paraId="77F08BE9" w14:textId="77777777" w:rsidR="00DE206F" w:rsidRPr="00F742AF" w:rsidRDefault="00DE206F" w:rsidP="00F742AF">
      <w:pPr>
        <w:tabs>
          <w:tab w:val="left" w:pos="284"/>
        </w:tabs>
        <w:spacing w:line="276" w:lineRule="auto"/>
        <w:rPr>
          <w:rFonts w:cs="Tahoma"/>
          <w:szCs w:val="24"/>
        </w:rPr>
      </w:pPr>
    </w:p>
    <w:p w14:paraId="623458C3" w14:textId="77777777" w:rsidR="00DE206F" w:rsidRPr="00F742AF" w:rsidRDefault="00DE206F" w:rsidP="00F742AF">
      <w:pPr>
        <w:pStyle w:val="paragraph"/>
        <w:tabs>
          <w:tab w:val="left" w:pos="284"/>
        </w:tabs>
        <w:spacing w:before="0" w:beforeAutospacing="0" w:after="0" w:afterAutospacing="0" w:line="276" w:lineRule="auto"/>
        <w:jc w:val="center"/>
        <w:textAlignment w:val="baseline"/>
        <w:rPr>
          <w:rFonts w:ascii="Tahoma" w:hAnsi="Tahoma" w:cs="Tahoma"/>
        </w:rPr>
      </w:pPr>
      <w:r w:rsidRPr="00F742AF">
        <w:rPr>
          <w:rStyle w:val="normaltextrun"/>
          <w:rFonts w:ascii="Tahoma" w:hAnsi="Tahoma" w:cs="Tahoma"/>
          <w:b/>
          <w:bCs/>
        </w:rPr>
        <w:t>PUNTO A TRATAR</w:t>
      </w:r>
    </w:p>
    <w:p w14:paraId="0D3E1912" w14:textId="77777777" w:rsidR="00DE206F" w:rsidRPr="00F742AF" w:rsidRDefault="00DE206F" w:rsidP="00F742AF">
      <w:pPr>
        <w:pStyle w:val="paragraph"/>
        <w:tabs>
          <w:tab w:val="left" w:pos="284"/>
        </w:tabs>
        <w:spacing w:before="0" w:beforeAutospacing="0" w:after="0" w:afterAutospacing="0" w:line="276" w:lineRule="auto"/>
        <w:ind w:firstLine="705"/>
        <w:jc w:val="center"/>
        <w:textAlignment w:val="baseline"/>
        <w:rPr>
          <w:rFonts w:ascii="Tahoma" w:hAnsi="Tahoma" w:cs="Tahoma"/>
        </w:rPr>
      </w:pPr>
      <w:r w:rsidRPr="00F742AF">
        <w:rPr>
          <w:rStyle w:val="eop"/>
          <w:rFonts w:ascii="Tahoma" w:hAnsi="Tahoma" w:cs="Tahoma"/>
        </w:rPr>
        <w:t> </w:t>
      </w:r>
    </w:p>
    <w:p w14:paraId="22546E0E" w14:textId="2503736C" w:rsidR="00DE206F" w:rsidRPr="00F742AF" w:rsidRDefault="00DE206F" w:rsidP="00F742AF">
      <w:pPr>
        <w:tabs>
          <w:tab w:val="left" w:pos="284"/>
        </w:tabs>
        <w:spacing w:line="276" w:lineRule="auto"/>
        <w:rPr>
          <w:rFonts w:cs="Tahoma"/>
          <w:szCs w:val="24"/>
        </w:rPr>
      </w:pPr>
      <w:r w:rsidRPr="00F742AF">
        <w:rPr>
          <w:rStyle w:val="normaltextrun"/>
          <w:rFonts w:cs="Tahoma"/>
          <w:szCs w:val="24"/>
        </w:rPr>
        <w:tab/>
        <w:t>Por medio de esta providencia, procede la Sala a</w:t>
      </w:r>
      <w:r w:rsidRPr="00F742AF">
        <w:rPr>
          <w:rFonts w:cs="Tahoma"/>
          <w:szCs w:val="24"/>
        </w:rPr>
        <w:t xml:space="preserve"> resolver el recurso de apelación interpuesto por </w:t>
      </w:r>
      <w:r w:rsidR="007D53EB" w:rsidRPr="00F742AF">
        <w:rPr>
          <w:rFonts w:cs="Tahoma"/>
          <w:szCs w:val="24"/>
        </w:rPr>
        <w:t xml:space="preserve">el </w:t>
      </w:r>
      <w:r w:rsidRPr="00F742AF">
        <w:rPr>
          <w:rFonts w:cs="Tahoma"/>
          <w:szCs w:val="24"/>
        </w:rPr>
        <w:t>demandante</w:t>
      </w:r>
      <w:r w:rsidR="007D53EB" w:rsidRPr="00F742AF">
        <w:rPr>
          <w:rFonts w:cs="Tahoma"/>
          <w:szCs w:val="24"/>
        </w:rPr>
        <w:t xml:space="preserve"> Pedro José Calderón Cañas</w:t>
      </w:r>
      <w:r w:rsidRPr="00F742AF">
        <w:rPr>
          <w:rFonts w:cs="Tahoma"/>
          <w:szCs w:val="24"/>
        </w:rPr>
        <w:t xml:space="preserve">, en contra de la sentencia proferida el </w:t>
      </w:r>
      <w:r w:rsidR="007D53EB" w:rsidRPr="00F742AF">
        <w:rPr>
          <w:rFonts w:cs="Tahoma"/>
          <w:b/>
          <w:bCs/>
          <w:szCs w:val="24"/>
        </w:rPr>
        <w:t>22</w:t>
      </w:r>
      <w:r w:rsidRPr="00F742AF">
        <w:rPr>
          <w:rFonts w:cs="Tahoma"/>
          <w:b/>
          <w:bCs/>
          <w:szCs w:val="24"/>
        </w:rPr>
        <w:t xml:space="preserve"> de </w:t>
      </w:r>
      <w:r w:rsidR="007D53EB" w:rsidRPr="00F742AF">
        <w:rPr>
          <w:rFonts w:cs="Tahoma"/>
          <w:b/>
          <w:bCs/>
          <w:szCs w:val="24"/>
        </w:rPr>
        <w:t xml:space="preserve">octubre </w:t>
      </w:r>
      <w:r w:rsidRPr="00F742AF">
        <w:rPr>
          <w:rFonts w:cs="Tahoma"/>
          <w:b/>
          <w:bCs/>
          <w:szCs w:val="24"/>
        </w:rPr>
        <w:t>de 2019</w:t>
      </w:r>
      <w:r w:rsidRPr="00F742AF">
        <w:rPr>
          <w:rFonts w:cs="Tahoma"/>
          <w:szCs w:val="24"/>
        </w:rPr>
        <w:t xml:space="preserve">, por el Juzgado </w:t>
      </w:r>
      <w:r w:rsidR="007D53EB" w:rsidRPr="00F742AF">
        <w:rPr>
          <w:rFonts w:cs="Tahoma"/>
          <w:szCs w:val="24"/>
        </w:rPr>
        <w:t xml:space="preserve">Segundo </w:t>
      </w:r>
      <w:r w:rsidRPr="00F742AF">
        <w:rPr>
          <w:rFonts w:cs="Tahoma"/>
          <w:szCs w:val="24"/>
        </w:rPr>
        <w:t>Laboral del Circuito de Pereira</w:t>
      </w:r>
      <w:r w:rsidRPr="00F742AF">
        <w:rPr>
          <w:rStyle w:val="normaltextrun"/>
          <w:rFonts w:cs="Tahoma"/>
          <w:szCs w:val="24"/>
        </w:rPr>
        <w:t>.</w:t>
      </w:r>
      <w:r w:rsidRPr="00F742AF">
        <w:rPr>
          <w:rStyle w:val="Refdenotaalpie"/>
          <w:rFonts w:cs="Tahoma"/>
          <w:szCs w:val="24"/>
        </w:rPr>
        <w:t xml:space="preserve"> </w:t>
      </w:r>
      <w:r w:rsidRPr="00F742AF">
        <w:rPr>
          <w:rStyle w:val="normaltextrun"/>
          <w:rFonts w:cs="Tahoma"/>
          <w:szCs w:val="24"/>
        </w:rPr>
        <w:t>Para ello se tiene en cuenta lo siguiente: </w:t>
      </w:r>
    </w:p>
    <w:p w14:paraId="1C0ED080" w14:textId="77777777" w:rsidR="00DE206F" w:rsidRPr="00F742AF" w:rsidRDefault="00DE206F" w:rsidP="00F742AF">
      <w:pPr>
        <w:pStyle w:val="Poromisin"/>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firstLine="708"/>
        <w:rPr>
          <w:rFonts w:cs="Tahoma"/>
          <w:b/>
          <w:color w:val="auto"/>
          <w:sz w:val="24"/>
          <w:szCs w:val="24"/>
          <w:lang w:val="es-CO"/>
        </w:rPr>
      </w:pPr>
    </w:p>
    <w:p w14:paraId="7F6187ED" w14:textId="380B9ADF" w:rsidR="00DE206F" w:rsidRPr="00F742AF" w:rsidRDefault="00DE206F" w:rsidP="00F742AF">
      <w:pPr>
        <w:pStyle w:val="Prrafodelista"/>
        <w:numPr>
          <w:ilvl w:val="0"/>
          <w:numId w:val="2"/>
        </w:numPr>
        <w:tabs>
          <w:tab w:val="left" w:pos="284"/>
        </w:tabs>
        <w:spacing w:line="276" w:lineRule="auto"/>
        <w:jc w:val="center"/>
        <w:rPr>
          <w:rFonts w:ascii="Tahoma" w:hAnsi="Tahoma" w:cs="Tahoma"/>
          <w:b/>
          <w:bCs/>
        </w:rPr>
      </w:pPr>
      <w:r w:rsidRPr="00F742AF">
        <w:rPr>
          <w:rFonts w:ascii="Tahoma" w:hAnsi="Tahoma" w:cs="Tahoma"/>
          <w:b/>
          <w:bCs/>
        </w:rPr>
        <w:t>Demanda y contestaci</w:t>
      </w:r>
      <w:r w:rsidR="00D8654A" w:rsidRPr="00F742AF">
        <w:rPr>
          <w:rFonts w:ascii="Tahoma" w:hAnsi="Tahoma" w:cs="Tahoma"/>
          <w:b/>
          <w:bCs/>
        </w:rPr>
        <w:t>ón</w:t>
      </w:r>
    </w:p>
    <w:p w14:paraId="4E975C42" w14:textId="77777777" w:rsidR="00974184" w:rsidRPr="00F742AF" w:rsidRDefault="00974184" w:rsidP="00F742AF">
      <w:pPr>
        <w:tabs>
          <w:tab w:val="left" w:pos="284"/>
        </w:tabs>
        <w:spacing w:line="276" w:lineRule="auto"/>
        <w:rPr>
          <w:rFonts w:cs="Tahoma"/>
          <w:szCs w:val="24"/>
        </w:rPr>
      </w:pPr>
    </w:p>
    <w:p w14:paraId="1D4BF6CC" w14:textId="0272C75C" w:rsidR="00790E08" w:rsidRPr="00F742AF" w:rsidRDefault="00974184" w:rsidP="00F742AF">
      <w:pPr>
        <w:tabs>
          <w:tab w:val="left" w:pos="284"/>
        </w:tabs>
        <w:spacing w:line="276" w:lineRule="auto"/>
        <w:rPr>
          <w:rFonts w:cs="Tahoma"/>
          <w:szCs w:val="24"/>
        </w:rPr>
      </w:pPr>
      <w:r w:rsidRPr="00F742AF">
        <w:rPr>
          <w:rFonts w:cs="Tahoma"/>
          <w:szCs w:val="24"/>
        </w:rPr>
        <w:tab/>
        <w:t>Solicita el Sr. Pedro José Calderón Cañas que se declare beneficiario de la pensión de sobrevivientes que dejó causada su hijo Edwar Mauricio Calderón López desde el 10 de febrero de 2012 y</w:t>
      </w:r>
      <w:r w:rsidR="00C30137" w:rsidRPr="00F742AF">
        <w:rPr>
          <w:rFonts w:cs="Tahoma"/>
          <w:szCs w:val="24"/>
        </w:rPr>
        <w:t xml:space="preserve">, </w:t>
      </w:r>
      <w:r w:rsidRPr="00F742AF">
        <w:rPr>
          <w:rFonts w:cs="Tahoma"/>
          <w:szCs w:val="24"/>
        </w:rPr>
        <w:t>en consecuencia, se condene a Positiva Compañía de Seguros S.A. al pago retroactivo de las mesadas hasta el momento en que sea incluido en la nómina de pensionado</w:t>
      </w:r>
      <w:r w:rsidR="004C4AB3" w:rsidRPr="00F742AF">
        <w:rPr>
          <w:rFonts w:cs="Tahoma"/>
          <w:szCs w:val="24"/>
        </w:rPr>
        <w:t>s</w:t>
      </w:r>
      <w:r w:rsidRPr="00F742AF">
        <w:rPr>
          <w:rFonts w:cs="Tahoma"/>
          <w:szCs w:val="24"/>
        </w:rPr>
        <w:t>, además de los intereses moratorios y costas del proceso.</w:t>
      </w:r>
    </w:p>
    <w:p w14:paraId="473FCA05" w14:textId="75360A43" w:rsidR="00974184" w:rsidRPr="00F742AF" w:rsidRDefault="00974184" w:rsidP="00F742AF">
      <w:pPr>
        <w:tabs>
          <w:tab w:val="left" w:pos="284"/>
        </w:tabs>
        <w:spacing w:line="276" w:lineRule="auto"/>
        <w:rPr>
          <w:rFonts w:cs="Tahoma"/>
          <w:szCs w:val="24"/>
        </w:rPr>
      </w:pPr>
    </w:p>
    <w:p w14:paraId="3534B47C" w14:textId="2C55F3B2" w:rsidR="00974184" w:rsidRPr="00F742AF" w:rsidRDefault="00974184" w:rsidP="00F742AF">
      <w:pPr>
        <w:tabs>
          <w:tab w:val="left" w:pos="284"/>
        </w:tabs>
        <w:spacing w:line="276" w:lineRule="auto"/>
        <w:rPr>
          <w:rFonts w:cs="Tahoma"/>
          <w:szCs w:val="24"/>
        </w:rPr>
      </w:pPr>
      <w:r w:rsidRPr="00F742AF">
        <w:rPr>
          <w:rFonts w:cs="Tahoma"/>
          <w:szCs w:val="24"/>
        </w:rPr>
        <w:tab/>
        <w:t>En resumen, sustenta lo pretendido en los siguientes hechos: (i) que Edwin Mauricio Calderón López falleció el 10 de julio de 2012 producto de un accidente laboral; (ii) el causante era soltero, sin vida marital ni hijos procreados; (iii) el causante era hijo del Sr. Pedro José Calderón Cañas y Luz Marina López Marulanda</w:t>
      </w:r>
      <w:r w:rsidR="006E7F2B" w:rsidRPr="00F742AF">
        <w:rPr>
          <w:rFonts w:cs="Tahoma"/>
          <w:szCs w:val="24"/>
        </w:rPr>
        <w:t xml:space="preserve">; (iv) la madre del causante abandonó al de </w:t>
      </w:r>
      <w:proofErr w:type="spellStart"/>
      <w:r w:rsidR="006E7F2B" w:rsidRPr="00F742AF">
        <w:rPr>
          <w:rFonts w:cs="Tahoma"/>
          <w:szCs w:val="24"/>
        </w:rPr>
        <w:t>cujus</w:t>
      </w:r>
      <w:proofErr w:type="spellEnd"/>
      <w:r w:rsidR="006E7F2B" w:rsidRPr="00F742AF">
        <w:rPr>
          <w:rFonts w:cs="Tahoma"/>
          <w:szCs w:val="24"/>
        </w:rPr>
        <w:t xml:space="preserve"> desde temprana edad; (v) el aquí demandante fue quien asumió el cuidado, sostenimiento y crianza de su hijo Edwar hasta que pudo valerse por sí mismo; (vi) al momento de fallecer el Sr. Edwin Mauricio Calderón López, el aquí demandante dependía de aquél en virtud a que contaba con varias patologías que le impedían continuar trabajando como conductor de camión</w:t>
      </w:r>
      <w:r w:rsidR="0014250C" w:rsidRPr="00F742AF">
        <w:rPr>
          <w:rFonts w:cs="Tahoma"/>
          <w:szCs w:val="24"/>
        </w:rPr>
        <w:t xml:space="preserve"> y sus ingresos se habían mermado, razón por la cual el causante le contribuía con 150.000 quincenales, dinero que era utilizado por el demandante para su alimentación y seguridad social; (vii) que reclamada la pensión de sobrevivientes, le fue negada por Positiva S.A.</w:t>
      </w:r>
    </w:p>
    <w:p w14:paraId="7546C82F" w14:textId="377AA7E3" w:rsidR="00AA2AF6" w:rsidRPr="00F742AF" w:rsidRDefault="00AA2AF6" w:rsidP="00F742AF">
      <w:pPr>
        <w:tabs>
          <w:tab w:val="left" w:pos="284"/>
        </w:tabs>
        <w:spacing w:line="276" w:lineRule="auto"/>
        <w:rPr>
          <w:rFonts w:cs="Tahoma"/>
          <w:szCs w:val="24"/>
        </w:rPr>
      </w:pPr>
    </w:p>
    <w:p w14:paraId="77879032" w14:textId="2C8DEB7C" w:rsidR="00AA2AF6" w:rsidRPr="00F742AF" w:rsidRDefault="00AA2AF6" w:rsidP="00F742AF">
      <w:pPr>
        <w:tabs>
          <w:tab w:val="left" w:pos="284"/>
        </w:tabs>
        <w:spacing w:line="276" w:lineRule="auto"/>
        <w:rPr>
          <w:rFonts w:cs="Tahoma"/>
          <w:szCs w:val="24"/>
        </w:rPr>
      </w:pPr>
      <w:r w:rsidRPr="00F742AF">
        <w:rPr>
          <w:rFonts w:cs="Tahoma"/>
          <w:szCs w:val="24"/>
        </w:rPr>
        <w:tab/>
      </w:r>
      <w:r w:rsidRPr="00F742AF">
        <w:rPr>
          <w:rFonts w:cs="Tahoma"/>
          <w:b/>
          <w:bCs/>
          <w:szCs w:val="24"/>
        </w:rPr>
        <w:t>POSITIVA COMPAÑÍA DE SEGUROS S.A.</w:t>
      </w:r>
      <w:r w:rsidRPr="00F742AF">
        <w:rPr>
          <w:rFonts w:cs="Tahoma"/>
          <w:szCs w:val="24"/>
        </w:rPr>
        <w:t>, a pesar de haber sido notificado personalmente de la demanda el 14 de enero de 2019, a través de su representante legal (</w:t>
      </w:r>
      <w:proofErr w:type="spellStart"/>
      <w:r w:rsidRPr="00F742AF">
        <w:rPr>
          <w:rFonts w:cs="Tahoma"/>
          <w:szCs w:val="24"/>
        </w:rPr>
        <w:t>fl</w:t>
      </w:r>
      <w:proofErr w:type="spellEnd"/>
      <w:r w:rsidRPr="00F742AF">
        <w:rPr>
          <w:rFonts w:cs="Tahoma"/>
          <w:szCs w:val="24"/>
        </w:rPr>
        <w:t>. 115-120, expediente digital), dio contestación a la misma de manera extemporánea (12 de marzo de 2019), razón por la cual se dio por no contestada y se tuvo como indicio grave en contra (</w:t>
      </w:r>
      <w:proofErr w:type="spellStart"/>
      <w:r w:rsidRPr="00F742AF">
        <w:rPr>
          <w:rFonts w:cs="Tahoma"/>
          <w:szCs w:val="24"/>
        </w:rPr>
        <w:t>fl</w:t>
      </w:r>
      <w:proofErr w:type="spellEnd"/>
      <w:r w:rsidRPr="00F742AF">
        <w:rPr>
          <w:rFonts w:cs="Tahoma"/>
          <w:szCs w:val="24"/>
        </w:rPr>
        <w:t xml:space="preserve">. 159). </w:t>
      </w:r>
    </w:p>
    <w:p w14:paraId="07C8673C" w14:textId="7872B3A6" w:rsidR="00790E08" w:rsidRPr="00F742AF" w:rsidRDefault="00790E08" w:rsidP="00F742AF">
      <w:pPr>
        <w:tabs>
          <w:tab w:val="left" w:pos="284"/>
        </w:tabs>
        <w:spacing w:line="276" w:lineRule="auto"/>
        <w:rPr>
          <w:rFonts w:cs="Tahoma"/>
          <w:szCs w:val="24"/>
        </w:rPr>
      </w:pPr>
    </w:p>
    <w:p w14:paraId="4EF10D39" w14:textId="46F56BEA" w:rsidR="00D8654A" w:rsidRPr="00F742AF" w:rsidRDefault="00D8654A" w:rsidP="00F742AF">
      <w:pPr>
        <w:pStyle w:val="Prrafodelista"/>
        <w:numPr>
          <w:ilvl w:val="0"/>
          <w:numId w:val="2"/>
        </w:numPr>
        <w:tabs>
          <w:tab w:val="left" w:pos="284"/>
        </w:tabs>
        <w:spacing w:line="276" w:lineRule="auto"/>
        <w:jc w:val="center"/>
        <w:rPr>
          <w:rFonts w:ascii="Tahoma" w:hAnsi="Tahoma" w:cs="Tahoma"/>
          <w:b/>
          <w:bCs/>
        </w:rPr>
      </w:pPr>
      <w:r w:rsidRPr="00F742AF">
        <w:rPr>
          <w:rFonts w:ascii="Tahoma" w:hAnsi="Tahoma" w:cs="Tahoma"/>
          <w:b/>
          <w:bCs/>
        </w:rPr>
        <w:t>Sentencia de primera instancia</w:t>
      </w:r>
    </w:p>
    <w:p w14:paraId="1F571D11" w14:textId="6C02E559" w:rsidR="00D8654A" w:rsidRPr="00F742AF" w:rsidRDefault="00D8654A" w:rsidP="00F742AF">
      <w:pPr>
        <w:tabs>
          <w:tab w:val="left" w:pos="284"/>
        </w:tabs>
        <w:spacing w:line="276" w:lineRule="auto"/>
        <w:jc w:val="center"/>
        <w:rPr>
          <w:rFonts w:cs="Tahoma"/>
          <w:szCs w:val="24"/>
        </w:rPr>
      </w:pPr>
    </w:p>
    <w:p w14:paraId="15B09702" w14:textId="3AB217E5" w:rsidR="006C7A02" w:rsidRPr="00F742AF" w:rsidRDefault="006C7A02" w:rsidP="00F742AF">
      <w:pPr>
        <w:tabs>
          <w:tab w:val="left" w:pos="284"/>
        </w:tabs>
        <w:spacing w:line="276" w:lineRule="auto"/>
        <w:rPr>
          <w:rFonts w:cs="Tahoma"/>
          <w:szCs w:val="24"/>
        </w:rPr>
      </w:pPr>
      <w:r w:rsidRPr="00F742AF">
        <w:rPr>
          <w:rFonts w:eastAsia="Calibri" w:cs="Tahoma"/>
          <w:bCs/>
          <w:szCs w:val="24"/>
          <w:lang w:val="es-ES" w:bidi="en-US"/>
        </w:rPr>
        <w:lastRenderedPageBreak/>
        <w:tab/>
        <w:t xml:space="preserve">Mediante </w:t>
      </w:r>
      <w:r w:rsidRPr="00F742AF">
        <w:rPr>
          <w:rFonts w:cs="Tahoma"/>
          <w:szCs w:val="24"/>
        </w:rPr>
        <w:t>sentencia del 22 de octubre del año 2019, la Jueza de conocimiento decidió la litis absolviendo a la demandada POSITIVA S.A., de todas las pretensiones de la demanda, condenando en costas a la parte demandante.</w:t>
      </w:r>
    </w:p>
    <w:p w14:paraId="329DE9D1" w14:textId="77777777" w:rsidR="006C7A02" w:rsidRPr="00F742AF" w:rsidRDefault="006C7A02" w:rsidP="00F742AF">
      <w:pPr>
        <w:tabs>
          <w:tab w:val="left" w:pos="284"/>
        </w:tabs>
        <w:spacing w:line="276" w:lineRule="auto"/>
        <w:rPr>
          <w:rFonts w:cs="Tahoma"/>
          <w:szCs w:val="24"/>
        </w:rPr>
      </w:pPr>
    </w:p>
    <w:p w14:paraId="1BCD306E" w14:textId="206C6DB0" w:rsidR="006C7A02" w:rsidRPr="00F742AF" w:rsidRDefault="006C7A02" w:rsidP="00F742AF">
      <w:pPr>
        <w:tabs>
          <w:tab w:val="left" w:pos="284"/>
        </w:tabs>
        <w:spacing w:line="276" w:lineRule="auto"/>
        <w:rPr>
          <w:rFonts w:cs="Tahoma"/>
          <w:szCs w:val="24"/>
        </w:rPr>
      </w:pPr>
      <w:r w:rsidRPr="00F742AF">
        <w:rPr>
          <w:rFonts w:cs="Tahoma"/>
          <w:szCs w:val="24"/>
        </w:rPr>
        <w:tab/>
        <w:t>Para llegar a tal determinación, se basó en las pruebas documentales adosadas al proceso, entre ellas, la investigación administrativa realizada por la firma “Análisis de riesgos Arias S en C. S” y sus anexos, de los cuales concluyó</w:t>
      </w:r>
      <w:r w:rsidR="00355DB3" w:rsidRPr="00F742AF">
        <w:rPr>
          <w:rFonts w:cs="Tahoma"/>
          <w:szCs w:val="24"/>
        </w:rPr>
        <w:t xml:space="preserve"> que el demandante era autosuficiente económicamente en la medida que el sostenimiento económico de su hogar radicaba en él y en su compañera permanente</w:t>
      </w:r>
      <w:r w:rsidR="004C4AB3" w:rsidRPr="00F742AF">
        <w:rPr>
          <w:rFonts w:cs="Tahoma"/>
          <w:szCs w:val="24"/>
        </w:rPr>
        <w:t>,</w:t>
      </w:r>
      <w:r w:rsidR="00355DB3" w:rsidRPr="00F742AF">
        <w:rPr>
          <w:rFonts w:cs="Tahoma"/>
          <w:szCs w:val="24"/>
        </w:rPr>
        <w:t xml:space="preserve"> </w:t>
      </w:r>
      <w:r w:rsidR="003C6975" w:rsidRPr="00F742AF">
        <w:rPr>
          <w:rFonts w:cs="Tahoma"/>
          <w:szCs w:val="24"/>
        </w:rPr>
        <w:t xml:space="preserve">pues no se había acreditado, ni probado </w:t>
      </w:r>
      <w:bookmarkStart w:id="2" w:name="bookmark9"/>
      <w:r w:rsidR="003C6975" w:rsidRPr="00F742AF">
        <w:rPr>
          <w:rFonts w:cs="Tahoma"/>
          <w:szCs w:val="24"/>
        </w:rPr>
        <w:t xml:space="preserve">por el </w:t>
      </w:r>
      <w:r w:rsidR="00A24389" w:rsidRPr="00F742AF">
        <w:rPr>
          <w:rFonts w:cs="Tahoma"/>
          <w:szCs w:val="24"/>
        </w:rPr>
        <w:t>padre del causante,</w:t>
      </w:r>
      <w:r w:rsidR="003C6975" w:rsidRPr="00F742AF">
        <w:rPr>
          <w:rFonts w:cs="Tahoma"/>
          <w:szCs w:val="24"/>
        </w:rPr>
        <w:t xml:space="preserve"> </w:t>
      </w:r>
      <w:r w:rsidRPr="00F742AF">
        <w:rPr>
          <w:rFonts w:cs="Tahoma"/>
          <w:szCs w:val="24"/>
        </w:rPr>
        <w:t xml:space="preserve">que </w:t>
      </w:r>
      <w:r w:rsidR="003C6975" w:rsidRPr="00F742AF">
        <w:rPr>
          <w:rFonts w:cs="Tahoma"/>
          <w:szCs w:val="24"/>
        </w:rPr>
        <w:t xml:space="preserve">recibía </w:t>
      </w:r>
      <w:r w:rsidRPr="00F742AF">
        <w:rPr>
          <w:rFonts w:cs="Tahoma"/>
          <w:szCs w:val="24"/>
        </w:rPr>
        <w:t xml:space="preserve">ayuda económica </w:t>
      </w:r>
      <w:r w:rsidR="003C6975" w:rsidRPr="00F742AF">
        <w:rPr>
          <w:rFonts w:cs="Tahoma"/>
          <w:szCs w:val="24"/>
        </w:rPr>
        <w:t xml:space="preserve">de su hijo al momento del fallecimiento de manera que </w:t>
      </w:r>
      <w:r w:rsidR="00A24389" w:rsidRPr="00F742AF">
        <w:rPr>
          <w:rFonts w:cs="Tahoma"/>
          <w:szCs w:val="24"/>
        </w:rPr>
        <w:t xml:space="preserve">con ello hubiera sobrellevado </w:t>
      </w:r>
      <w:r w:rsidRPr="00F742AF">
        <w:rPr>
          <w:rFonts w:cs="Tahoma"/>
          <w:szCs w:val="24"/>
        </w:rPr>
        <w:t>las cargas o gastos familiares, tales como alimentación, vestuario, vivienda</w:t>
      </w:r>
      <w:r w:rsidR="003C6975" w:rsidRPr="00F742AF">
        <w:rPr>
          <w:rFonts w:cs="Tahoma"/>
          <w:szCs w:val="24"/>
        </w:rPr>
        <w:t xml:space="preserve"> y</w:t>
      </w:r>
      <w:r w:rsidRPr="00F742AF">
        <w:rPr>
          <w:rFonts w:cs="Tahoma"/>
          <w:szCs w:val="24"/>
        </w:rPr>
        <w:t xml:space="preserve"> salud</w:t>
      </w:r>
      <w:r w:rsidR="00A24389" w:rsidRPr="00F742AF">
        <w:rPr>
          <w:rFonts w:cs="Tahoma"/>
          <w:szCs w:val="24"/>
        </w:rPr>
        <w:t>.</w:t>
      </w:r>
      <w:r w:rsidR="0014328E" w:rsidRPr="00F742AF">
        <w:rPr>
          <w:rFonts w:cs="Tahoma"/>
          <w:szCs w:val="24"/>
        </w:rPr>
        <w:t xml:space="preserve"> Adicional a ello, refirió </w:t>
      </w:r>
      <w:r w:rsidR="00C3718C" w:rsidRPr="00F742AF">
        <w:rPr>
          <w:rFonts w:cs="Tahoma"/>
          <w:szCs w:val="24"/>
        </w:rPr>
        <w:t>que,</w:t>
      </w:r>
      <w:r w:rsidR="0014328E" w:rsidRPr="00F742AF">
        <w:rPr>
          <w:rFonts w:cs="Tahoma"/>
          <w:szCs w:val="24"/>
        </w:rPr>
        <w:t xml:space="preserve"> no existiendo un </w:t>
      </w:r>
      <w:r w:rsidRPr="00F742AF">
        <w:rPr>
          <w:rFonts w:cs="Tahoma"/>
          <w:szCs w:val="24"/>
        </w:rPr>
        <w:t>medio de prueba testimonial</w:t>
      </w:r>
      <w:r w:rsidR="00273FE8" w:rsidRPr="00F742AF">
        <w:rPr>
          <w:rFonts w:cs="Tahoma"/>
          <w:szCs w:val="24"/>
        </w:rPr>
        <w:t xml:space="preserve">, la cual no se recaudó por la tardanza en que concurrió la parte actora a la diligencia, </w:t>
      </w:r>
      <w:r w:rsidR="00C3718C" w:rsidRPr="00F742AF">
        <w:rPr>
          <w:rFonts w:cs="Tahoma"/>
          <w:szCs w:val="24"/>
        </w:rPr>
        <w:t xml:space="preserve">no </w:t>
      </w:r>
      <w:r w:rsidR="00273FE8" w:rsidRPr="00F742AF">
        <w:rPr>
          <w:rFonts w:cs="Tahoma"/>
          <w:szCs w:val="24"/>
        </w:rPr>
        <w:t xml:space="preserve">había manera de demostrar la contribución </w:t>
      </w:r>
      <w:r w:rsidR="0014328E" w:rsidRPr="00F742AF">
        <w:rPr>
          <w:rFonts w:cs="Tahoma"/>
          <w:szCs w:val="24"/>
        </w:rPr>
        <w:t xml:space="preserve">económica que se aseguraba y su proporción, </w:t>
      </w:r>
      <w:r w:rsidR="00273FE8" w:rsidRPr="00F742AF">
        <w:rPr>
          <w:rFonts w:cs="Tahoma"/>
          <w:szCs w:val="24"/>
        </w:rPr>
        <w:t xml:space="preserve">pero </w:t>
      </w:r>
      <w:r w:rsidR="0014328E" w:rsidRPr="00F742AF">
        <w:rPr>
          <w:rFonts w:cs="Tahoma"/>
          <w:szCs w:val="24"/>
        </w:rPr>
        <w:t xml:space="preserve">lo cierto </w:t>
      </w:r>
      <w:r w:rsidR="00273FE8" w:rsidRPr="00F742AF">
        <w:rPr>
          <w:rFonts w:cs="Tahoma"/>
          <w:szCs w:val="24"/>
        </w:rPr>
        <w:t xml:space="preserve">era </w:t>
      </w:r>
      <w:r w:rsidR="0014328E" w:rsidRPr="00F742AF">
        <w:rPr>
          <w:rFonts w:cs="Tahoma"/>
          <w:szCs w:val="24"/>
        </w:rPr>
        <w:t xml:space="preserve">que </w:t>
      </w:r>
      <w:r w:rsidRPr="00F742AF">
        <w:rPr>
          <w:rFonts w:cs="Tahoma"/>
          <w:szCs w:val="24"/>
        </w:rPr>
        <w:t>no exist</w:t>
      </w:r>
      <w:r w:rsidR="0014328E" w:rsidRPr="00F742AF">
        <w:rPr>
          <w:rFonts w:cs="Tahoma"/>
          <w:szCs w:val="24"/>
        </w:rPr>
        <w:t>ía</w:t>
      </w:r>
      <w:r w:rsidRPr="00F742AF">
        <w:rPr>
          <w:rFonts w:cs="Tahoma"/>
          <w:szCs w:val="24"/>
        </w:rPr>
        <w:t xml:space="preserve"> prueba indicativa de que </w:t>
      </w:r>
      <w:r w:rsidR="0014328E" w:rsidRPr="00F742AF">
        <w:rPr>
          <w:rFonts w:cs="Tahoma"/>
          <w:szCs w:val="24"/>
        </w:rPr>
        <w:t xml:space="preserve">el demandante </w:t>
      </w:r>
      <w:r w:rsidRPr="00F742AF">
        <w:rPr>
          <w:rFonts w:cs="Tahoma"/>
          <w:szCs w:val="24"/>
        </w:rPr>
        <w:t xml:space="preserve">fuera dependiente económico </w:t>
      </w:r>
      <w:r w:rsidR="0014328E" w:rsidRPr="00F742AF">
        <w:rPr>
          <w:rFonts w:cs="Tahoma"/>
          <w:szCs w:val="24"/>
        </w:rPr>
        <w:t>del causante</w:t>
      </w:r>
      <w:r w:rsidRPr="00F742AF">
        <w:rPr>
          <w:rFonts w:cs="Tahoma"/>
          <w:szCs w:val="24"/>
        </w:rPr>
        <w:t xml:space="preserve">, lo </w:t>
      </w:r>
      <w:r w:rsidR="0014328E" w:rsidRPr="00F742AF">
        <w:rPr>
          <w:rFonts w:cs="Tahoma"/>
          <w:szCs w:val="24"/>
        </w:rPr>
        <w:t>cual conducía a la denegación de lo pretendido</w:t>
      </w:r>
      <w:r w:rsidR="00403FC4" w:rsidRPr="00F742AF">
        <w:rPr>
          <w:rFonts w:cs="Tahoma"/>
          <w:szCs w:val="24"/>
        </w:rPr>
        <w:t>.</w:t>
      </w:r>
    </w:p>
    <w:bookmarkEnd w:id="2"/>
    <w:p w14:paraId="401E721D" w14:textId="77777777" w:rsidR="006C7A02" w:rsidRPr="00F742AF" w:rsidRDefault="006C7A02" w:rsidP="00F742AF">
      <w:pPr>
        <w:spacing w:line="276" w:lineRule="auto"/>
        <w:rPr>
          <w:rFonts w:cs="Tahoma"/>
          <w:szCs w:val="24"/>
        </w:rPr>
      </w:pPr>
    </w:p>
    <w:p w14:paraId="52C80999" w14:textId="25C39252" w:rsidR="00D8654A" w:rsidRPr="00F742AF" w:rsidRDefault="00D8654A" w:rsidP="00F742AF">
      <w:pPr>
        <w:pStyle w:val="Prrafodelista"/>
        <w:numPr>
          <w:ilvl w:val="0"/>
          <w:numId w:val="2"/>
        </w:numPr>
        <w:tabs>
          <w:tab w:val="left" w:pos="284"/>
        </w:tabs>
        <w:spacing w:line="276" w:lineRule="auto"/>
        <w:jc w:val="center"/>
        <w:rPr>
          <w:rFonts w:ascii="Tahoma" w:hAnsi="Tahoma" w:cs="Tahoma"/>
          <w:b/>
          <w:bCs/>
        </w:rPr>
      </w:pPr>
      <w:r w:rsidRPr="00F742AF">
        <w:rPr>
          <w:rFonts w:ascii="Tahoma" w:hAnsi="Tahoma" w:cs="Tahoma"/>
          <w:b/>
          <w:bCs/>
        </w:rPr>
        <w:t xml:space="preserve">Recurso de apelación </w:t>
      </w:r>
    </w:p>
    <w:p w14:paraId="0416C4FC" w14:textId="48D6F89B" w:rsidR="00D8654A" w:rsidRPr="00F742AF" w:rsidRDefault="00D8654A" w:rsidP="00F742AF">
      <w:pPr>
        <w:tabs>
          <w:tab w:val="left" w:pos="284"/>
        </w:tabs>
        <w:spacing w:line="276" w:lineRule="auto"/>
        <w:jc w:val="center"/>
        <w:rPr>
          <w:rFonts w:cs="Tahoma"/>
          <w:szCs w:val="24"/>
        </w:rPr>
      </w:pPr>
    </w:p>
    <w:p w14:paraId="42C3DFEC" w14:textId="13AF5EA0" w:rsidR="00B9689B" w:rsidRPr="00F742AF" w:rsidRDefault="00B9689B" w:rsidP="00F742AF">
      <w:pPr>
        <w:tabs>
          <w:tab w:val="left" w:pos="284"/>
        </w:tabs>
        <w:spacing w:line="276" w:lineRule="auto"/>
        <w:rPr>
          <w:rFonts w:cs="Tahoma"/>
          <w:iCs/>
          <w:szCs w:val="24"/>
        </w:rPr>
      </w:pPr>
      <w:r w:rsidRPr="00F742AF">
        <w:rPr>
          <w:rFonts w:cs="Tahoma"/>
          <w:szCs w:val="24"/>
        </w:rPr>
        <w:tab/>
        <w:t xml:space="preserve">Inconforme con lo decidido, la parte actora apeló la decisión asegurando que </w:t>
      </w:r>
      <w:r w:rsidRPr="00F742AF">
        <w:rPr>
          <w:rFonts w:cs="Tahoma"/>
          <w:b/>
          <w:bCs/>
          <w:iCs/>
          <w:szCs w:val="24"/>
        </w:rPr>
        <w:t xml:space="preserve">(i) </w:t>
      </w:r>
      <w:r w:rsidRPr="00F742AF">
        <w:rPr>
          <w:rFonts w:cs="Tahoma"/>
          <w:iCs/>
          <w:szCs w:val="24"/>
        </w:rPr>
        <w:t xml:space="preserve">se había demostrado la condición de padre que tiene el demandante respecto del causante, a quien </w:t>
      </w:r>
      <w:r w:rsidR="00B51D54" w:rsidRPr="00F742AF">
        <w:rPr>
          <w:rFonts w:cs="Tahoma"/>
          <w:iCs/>
          <w:szCs w:val="24"/>
        </w:rPr>
        <w:t>crio</w:t>
      </w:r>
      <w:r w:rsidRPr="00F742AF">
        <w:rPr>
          <w:rFonts w:cs="Tahoma"/>
          <w:iCs/>
          <w:szCs w:val="24"/>
        </w:rPr>
        <w:t xml:space="preserve"> hasta su adultez y veló por él</w:t>
      </w:r>
      <w:r w:rsidR="004C4AB3" w:rsidRPr="00F742AF">
        <w:rPr>
          <w:rFonts w:cs="Tahoma"/>
          <w:iCs/>
          <w:szCs w:val="24"/>
        </w:rPr>
        <w:t>,</w:t>
      </w:r>
      <w:r w:rsidRPr="00F742AF">
        <w:rPr>
          <w:rFonts w:cs="Tahoma"/>
          <w:iCs/>
          <w:szCs w:val="24"/>
        </w:rPr>
        <w:t xml:space="preserve"> habida cuenta que la madre del de </w:t>
      </w:r>
      <w:proofErr w:type="spellStart"/>
      <w:r w:rsidRPr="00F742AF">
        <w:rPr>
          <w:rFonts w:cs="Tahoma"/>
          <w:iCs/>
          <w:szCs w:val="24"/>
        </w:rPr>
        <w:t>cujus</w:t>
      </w:r>
      <w:proofErr w:type="spellEnd"/>
      <w:r w:rsidRPr="00F742AF">
        <w:rPr>
          <w:rFonts w:cs="Tahoma"/>
          <w:iCs/>
          <w:szCs w:val="24"/>
        </w:rPr>
        <w:t xml:space="preserve"> lo había abandonado siendo niño, por lo que se generaron lazos afectivos fuertes entre ellos; </w:t>
      </w:r>
      <w:r w:rsidRPr="00F742AF">
        <w:rPr>
          <w:rFonts w:cs="Tahoma"/>
          <w:b/>
          <w:bCs/>
          <w:iCs/>
          <w:szCs w:val="24"/>
        </w:rPr>
        <w:t>(ii)</w:t>
      </w:r>
      <w:r w:rsidRPr="00F742AF">
        <w:rPr>
          <w:rFonts w:cs="Tahoma"/>
          <w:iCs/>
          <w:szCs w:val="24"/>
        </w:rPr>
        <w:t xml:space="preserve"> </w:t>
      </w:r>
      <w:r w:rsidR="00A56237" w:rsidRPr="00F742AF">
        <w:rPr>
          <w:rFonts w:cs="Tahoma"/>
          <w:iCs/>
          <w:szCs w:val="24"/>
        </w:rPr>
        <w:t xml:space="preserve">que el demandante por dificultades en su salud tuvo impedimento para laborar y subsistir por </w:t>
      </w:r>
      <w:r w:rsidR="00C30137" w:rsidRPr="00F742AF">
        <w:rPr>
          <w:rFonts w:cs="Tahoma"/>
          <w:iCs/>
          <w:szCs w:val="24"/>
        </w:rPr>
        <w:t>sí</w:t>
      </w:r>
      <w:r w:rsidR="00A56237" w:rsidRPr="00F742AF">
        <w:rPr>
          <w:rFonts w:cs="Tahoma"/>
          <w:iCs/>
          <w:szCs w:val="24"/>
        </w:rPr>
        <w:t xml:space="preserve"> solo, por lo que el causante, en virtud de los lazos que tenían, </w:t>
      </w:r>
      <w:r w:rsidRPr="00F742AF">
        <w:rPr>
          <w:rFonts w:cs="Tahoma"/>
          <w:iCs/>
          <w:szCs w:val="24"/>
        </w:rPr>
        <w:t xml:space="preserve">emprendió su ayuda económica para el sustento </w:t>
      </w:r>
      <w:r w:rsidR="00A56237" w:rsidRPr="00F742AF">
        <w:rPr>
          <w:rFonts w:cs="Tahoma"/>
          <w:iCs/>
          <w:szCs w:val="24"/>
        </w:rPr>
        <w:t xml:space="preserve">del padre con el propósito de </w:t>
      </w:r>
      <w:r w:rsidRPr="00F742AF">
        <w:rPr>
          <w:rFonts w:cs="Tahoma"/>
          <w:iCs/>
          <w:szCs w:val="24"/>
        </w:rPr>
        <w:t xml:space="preserve">mejorar las condiciones dignas de vida; </w:t>
      </w:r>
      <w:r w:rsidR="00A56237" w:rsidRPr="00F742AF">
        <w:rPr>
          <w:rFonts w:cs="Tahoma"/>
          <w:b/>
          <w:bCs/>
          <w:iCs/>
          <w:szCs w:val="24"/>
        </w:rPr>
        <w:t xml:space="preserve">(iii) </w:t>
      </w:r>
      <w:r w:rsidRPr="00F742AF">
        <w:rPr>
          <w:rFonts w:cs="Tahoma"/>
          <w:iCs/>
          <w:szCs w:val="24"/>
        </w:rPr>
        <w:t xml:space="preserve">que </w:t>
      </w:r>
      <w:r w:rsidR="00A56237" w:rsidRPr="00F742AF">
        <w:rPr>
          <w:rFonts w:cs="Tahoma"/>
          <w:iCs/>
          <w:szCs w:val="24"/>
        </w:rPr>
        <w:t xml:space="preserve">no obraba </w:t>
      </w:r>
      <w:r w:rsidRPr="00F742AF">
        <w:rPr>
          <w:rFonts w:cs="Tahoma"/>
          <w:iCs/>
          <w:szCs w:val="24"/>
        </w:rPr>
        <w:t xml:space="preserve">prueba en el expediente </w:t>
      </w:r>
      <w:r w:rsidR="00A56237" w:rsidRPr="00F742AF">
        <w:rPr>
          <w:rFonts w:cs="Tahoma"/>
          <w:iCs/>
          <w:szCs w:val="24"/>
        </w:rPr>
        <w:t xml:space="preserve">de </w:t>
      </w:r>
      <w:r w:rsidRPr="00F742AF">
        <w:rPr>
          <w:rFonts w:cs="Tahoma"/>
          <w:iCs/>
          <w:szCs w:val="24"/>
        </w:rPr>
        <w:t xml:space="preserve">que el actor </w:t>
      </w:r>
      <w:r w:rsidR="00A56237" w:rsidRPr="00F742AF">
        <w:rPr>
          <w:rFonts w:cs="Tahoma"/>
          <w:iCs/>
          <w:szCs w:val="24"/>
        </w:rPr>
        <w:t xml:space="preserve">contara </w:t>
      </w:r>
      <w:r w:rsidRPr="00F742AF">
        <w:rPr>
          <w:rFonts w:cs="Tahoma"/>
          <w:iCs/>
          <w:szCs w:val="24"/>
        </w:rPr>
        <w:t xml:space="preserve">con ingresos económicos propios al momento del fallecimiento </w:t>
      </w:r>
      <w:r w:rsidR="00A56237" w:rsidRPr="00F742AF">
        <w:rPr>
          <w:rFonts w:cs="Tahoma"/>
          <w:iCs/>
          <w:szCs w:val="24"/>
        </w:rPr>
        <w:t>de su hijo</w:t>
      </w:r>
      <w:r w:rsidR="007522AF" w:rsidRPr="00F742AF">
        <w:rPr>
          <w:rFonts w:cs="Tahoma"/>
          <w:iCs/>
          <w:szCs w:val="24"/>
        </w:rPr>
        <w:t xml:space="preserve">, de manera que su condición económica le permitiera mantener </w:t>
      </w:r>
      <w:r w:rsidRPr="00F742AF">
        <w:rPr>
          <w:rFonts w:cs="Tahoma"/>
          <w:iCs/>
          <w:szCs w:val="24"/>
        </w:rPr>
        <w:t xml:space="preserve">autonomía y </w:t>
      </w:r>
      <w:r w:rsidR="007522AF" w:rsidRPr="00F742AF">
        <w:rPr>
          <w:rFonts w:cs="Tahoma"/>
          <w:iCs/>
          <w:szCs w:val="24"/>
        </w:rPr>
        <w:t xml:space="preserve">medios </w:t>
      </w:r>
      <w:r w:rsidRPr="00F742AF">
        <w:rPr>
          <w:rFonts w:cs="Tahoma"/>
          <w:iCs/>
          <w:szCs w:val="24"/>
        </w:rPr>
        <w:t xml:space="preserve">propios </w:t>
      </w:r>
      <w:r w:rsidR="007522AF" w:rsidRPr="00F742AF">
        <w:rPr>
          <w:rFonts w:cs="Tahoma"/>
          <w:iCs/>
          <w:szCs w:val="24"/>
        </w:rPr>
        <w:t xml:space="preserve">para </w:t>
      </w:r>
      <w:r w:rsidR="00A070CB" w:rsidRPr="00F742AF">
        <w:rPr>
          <w:rFonts w:cs="Tahoma"/>
          <w:iCs/>
          <w:szCs w:val="24"/>
        </w:rPr>
        <w:t>auto mantenerse</w:t>
      </w:r>
      <w:r w:rsidR="007522AF" w:rsidRPr="00F742AF">
        <w:rPr>
          <w:rFonts w:cs="Tahoma"/>
          <w:iCs/>
          <w:szCs w:val="24"/>
        </w:rPr>
        <w:t xml:space="preserve">; </w:t>
      </w:r>
      <w:r w:rsidR="007522AF" w:rsidRPr="00F742AF">
        <w:rPr>
          <w:rFonts w:cs="Tahoma"/>
          <w:b/>
          <w:bCs/>
          <w:iCs/>
          <w:szCs w:val="24"/>
        </w:rPr>
        <w:t xml:space="preserve">(iv) </w:t>
      </w:r>
      <w:r w:rsidR="007522AF" w:rsidRPr="00F742AF">
        <w:rPr>
          <w:rFonts w:cs="Tahoma"/>
          <w:iCs/>
          <w:szCs w:val="24"/>
        </w:rPr>
        <w:t>que si</w:t>
      </w:r>
      <w:r w:rsidRPr="00F742AF">
        <w:rPr>
          <w:rFonts w:cs="Tahoma"/>
          <w:iCs/>
          <w:szCs w:val="24"/>
        </w:rPr>
        <w:t xml:space="preserve"> bien </w:t>
      </w:r>
      <w:r w:rsidR="007522AF" w:rsidRPr="00F742AF">
        <w:rPr>
          <w:rFonts w:cs="Tahoma"/>
          <w:iCs/>
          <w:szCs w:val="24"/>
        </w:rPr>
        <w:t xml:space="preserve">era </w:t>
      </w:r>
      <w:r w:rsidRPr="00F742AF">
        <w:rPr>
          <w:rFonts w:cs="Tahoma"/>
          <w:iCs/>
          <w:szCs w:val="24"/>
        </w:rPr>
        <w:t xml:space="preserve">cierto que la compañera permanente con quien vivía realizaba un aporte económico para el hogar con el actor, </w:t>
      </w:r>
      <w:r w:rsidR="007522AF" w:rsidRPr="00F742AF">
        <w:rPr>
          <w:rFonts w:cs="Tahoma"/>
          <w:iCs/>
          <w:szCs w:val="24"/>
        </w:rPr>
        <w:t xml:space="preserve">ello </w:t>
      </w:r>
      <w:r w:rsidRPr="00F742AF">
        <w:rPr>
          <w:rFonts w:cs="Tahoma"/>
          <w:iCs/>
          <w:szCs w:val="24"/>
        </w:rPr>
        <w:t>no supl</w:t>
      </w:r>
      <w:r w:rsidR="007522AF" w:rsidRPr="00F742AF">
        <w:rPr>
          <w:rFonts w:cs="Tahoma"/>
          <w:iCs/>
          <w:szCs w:val="24"/>
        </w:rPr>
        <w:t>í</w:t>
      </w:r>
      <w:r w:rsidRPr="00F742AF">
        <w:rPr>
          <w:rFonts w:cs="Tahoma"/>
          <w:iCs/>
          <w:szCs w:val="24"/>
        </w:rPr>
        <w:t xml:space="preserve">a </w:t>
      </w:r>
      <w:r w:rsidR="007522AF" w:rsidRPr="00F742AF">
        <w:rPr>
          <w:rFonts w:cs="Tahoma"/>
          <w:iCs/>
          <w:szCs w:val="24"/>
        </w:rPr>
        <w:t xml:space="preserve">las </w:t>
      </w:r>
      <w:r w:rsidRPr="00F742AF">
        <w:rPr>
          <w:rFonts w:cs="Tahoma"/>
          <w:iCs/>
          <w:szCs w:val="24"/>
        </w:rPr>
        <w:t>condiciones mínimas</w:t>
      </w:r>
      <w:r w:rsidR="007522AF" w:rsidRPr="00F742AF">
        <w:rPr>
          <w:rFonts w:cs="Tahoma"/>
          <w:iCs/>
          <w:szCs w:val="24"/>
        </w:rPr>
        <w:t xml:space="preserve"> y, además, </w:t>
      </w:r>
      <w:r w:rsidRPr="00F742AF">
        <w:rPr>
          <w:rFonts w:cs="Tahoma"/>
          <w:iCs/>
          <w:szCs w:val="24"/>
        </w:rPr>
        <w:t xml:space="preserve">el aporte </w:t>
      </w:r>
      <w:r w:rsidR="007522AF" w:rsidRPr="00F742AF">
        <w:rPr>
          <w:rFonts w:cs="Tahoma"/>
          <w:iCs/>
          <w:szCs w:val="24"/>
        </w:rPr>
        <w:t xml:space="preserve">que ella daba estaba </w:t>
      </w:r>
      <w:r w:rsidRPr="00F742AF">
        <w:rPr>
          <w:rFonts w:cs="Tahoma"/>
          <w:iCs/>
          <w:szCs w:val="24"/>
        </w:rPr>
        <w:t xml:space="preserve">destinado para los gastos </w:t>
      </w:r>
      <w:r w:rsidR="007522AF" w:rsidRPr="00F742AF">
        <w:rPr>
          <w:rFonts w:cs="Tahoma"/>
          <w:iCs/>
          <w:szCs w:val="24"/>
        </w:rPr>
        <w:t xml:space="preserve">de ella misma y de </w:t>
      </w:r>
      <w:r w:rsidRPr="00F742AF">
        <w:rPr>
          <w:rFonts w:cs="Tahoma"/>
          <w:iCs/>
          <w:szCs w:val="24"/>
        </w:rPr>
        <w:t>la hija</w:t>
      </w:r>
      <w:r w:rsidR="007522AF" w:rsidRPr="00F742AF">
        <w:rPr>
          <w:rFonts w:cs="Tahoma"/>
          <w:iCs/>
          <w:szCs w:val="24"/>
        </w:rPr>
        <w:t xml:space="preserve">; </w:t>
      </w:r>
      <w:r w:rsidR="007522AF" w:rsidRPr="00F742AF">
        <w:rPr>
          <w:rFonts w:cs="Tahoma"/>
          <w:b/>
          <w:bCs/>
          <w:iCs/>
          <w:szCs w:val="24"/>
        </w:rPr>
        <w:t xml:space="preserve">(v) </w:t>
      </w:r>
      <w:r w:rsidR="00485232" w:rsidRPr="00F742AF">
        <w:rPr>
          <w:rFonts w:cs="Tahoma"/>
          <w:iCs/>
          <w:szCs w:val="24"/>
        </w:rPr>
        <w:t>que los</w:t>
      </w:r>
      <w:r w:rsidRPr="00F742AF">
        <w:rPr>
          <w:rFonts w:cs="Tahoma"/>
          <w:iCs/>
          <w:szCs w:val="24"/>
        </w:rPr>
        <w:t xml:space="preserve"> dineros </w:t>
      </w:r>
      <w:r w:rsidR="00485232" w:rsidRPr="00F742AF">
        <w:rPr>
          <w:rFonts w:cs="Tahoma"/>
          <w:iCs/>
          <w:szCs w:val="24"/>
        </w:rPr>
        <w:t xml:space="preserve">proporcionados por el hijo </w:t>
      </w:r>
      <w:r w:rsidRPr="00F742AF">
        <w:rPr>
          <w:rFonts w:cs="Tahoma"/>
          <w:iCs/>
          <w:szCs w:val="24"/>
        </w:rPr>
        <w:t>eran para salud y alimentación</w:t>
      </w:r>
      <w:r w:rsidR="00485232" w:rsidRPr="00F742AF">
        <w:rPr>
          <w:rFonts w:cs="Tahoma"/>
          <w:iCs/>
          <w:szCs w:val="24"/>
        </w:rPr>
        <w:t xml:space="preserve"> por </w:t>
      </w:r>
      <w:r w:rsidRPr="00F742AF">
        <w:rPr>
          <w:rFonts w:cs="Tahoma"/>
          <w:iCs/>
          <w:szCs w:val="24"/>
        </w:rPr>
        <w:t xml:space="preserve">lo que </w:t>
      </w:r>
      <w:r w:rsidR="00485232" w:rsidRPr="00F742AF">
        <w:rPr>
          <w:rFonts w:cs="Tahoma"/>
          <w:iCs/>
          <w:szCs w:val="24"/>
        </w:rPr>
        <w:t xml:space="preserve">a su </w:t>
      </w:r>
      <w:r w:rsidRPr="00F742AF">
        <w:rPr>
          <w:rFonts w:cs="Tahoma"/>
          <w:iCs/>
          <w:szCs w:val="24"/>
        </w:rPr>
        <w:t>fallecimiento</w:t>
      </w:r>
      <w:r w:rsidR="00485232" w:rsidRPr="00F742AF">
        <w:rPr>
          <w:rFonts w:cs="Tahoma"/>
          <w:iCs/>
          <w:szCs w:val="24"/>
        </w:rPr>
        <w:t>,</w:t>
      </w:r>
      <w:r w:rsidRPr="00F742AF">
        <w:rPr>
          <w:rFonts w:cs="Tahoma"/>
          <w:iCs/>
          <w:szCs w:val="24"/>
        </w:rPr>
        <w:t xml:space="preserve"> se encontró afectado en sus condiciones porque no tiene quien garanti</w:t>
      </w:r>
      <w:r w:rsidR="00C30137" w:rsidRPr="00F742AF">
        <w:rPr>
          <w:rFonts w:cs="Tahoma"/>
          <w:iCs/>
          <w:szCs w:val="24"/>
        </w:rPr>
        <w:t>zara</w:t>
      </w:r>
      <w:r w:rsidRPr="00F742AF">
        <w:rPr>
          <w:rFonts w:cs="Tahoma"/>
          <w:iCs/>
          <w:szCs w:val="24"/>
        </w:rPr>
        <w:t xml:space="preserve"> su situación económica</w:t>
      </w:r>
      <w:r w:rsidR="00485232" w:rsidRPr="00F742AF">
        <w:rPr>
          <w:rFonts w:cs="Tahoma"/>
          <w:iCs/>
          <w:szCs w:val="24"/>
        </w:rPr>
        <w:t>;</w:t>
      </w:r>
      <w:r w:rsidRPr="00F742AF">
        <w:rPr>
          <w:rFonts w:cs="Tahoma"/>
          <w:iCs/>
          <w:szCs w:val="24"/>
        </w:rPr>
        <w:t xml:space="preserve"> </w:t>
      </w:r>
      <w:r w:rsidR="00485232" w:rsidRPr="00F742AF">
        <w:rPr>
          <w:rFonts w:cs="Tahoma"/>
          <w:b/>
          <w:bCs/>
          <w:iCs/>
          <w:szCs w:val="24"/>
        </w:rPr>
        <w:t xml:space="preserve">(vi) </w:t>
      </w:r>
      <w:r w:rsidR="00485232" w:rsidRPr="00F742AF">
        <w:rPr>
          <w:rFonts w:cs="Tahoma"/>
          <w:iCs/>
          <w:szCs w:val="24"/>
        </w:rPr>
        <w:t>s</w:t>
      </w:r>
      <w:r w:rsidRPr="00F742AF">
        <w:rPr>
          <w:rFonts w:cs="Tahoma"/>
          <w:iCs/>
          <w:szCs w:val="24"/>
        </w:rPr>
        <w:t>olicita la pr</w:t>
      </w:r>
      <w:r w:rsidR="00485232" w:rsidRPr="00F742AF">
        <w:rPr>
          <w:rFonts w:cs="Tahoma"/>
          <w:iCs/>
          <w:szCs w:val="24"/>
        </w:rPr>
        <w:t>á</w:t>
      </w:r>
      <w:r w:rsidRPr="00F742AF">
        <w:rPr>
          <w:rFonts w:cs="Tahoma"/>
          <w:iCs/>
          <w:szCs w:val="24"/>
        </w:rPr>
        <w:t xml:space="preserve">ctica de los testimonios en segunda instancia </w:t>
      </w:r>
      <w:r w:rsidR="00485232" w:rsidRPr="00F742AF">
        <w:rPr>
          <w:rFonts w:cs="Tahoma"/>
          <w:iCs/>
          <w:szCs w:val="24"/>
        </w:rPr>
        <w:t xml:space="preserve">con el fin de que </w:t>
      </w:r>
      <w:r w:rsidRPr="00F742AF">
        <w:rPr>
          <w:rFonts w:cs="Tahoma"/>
          <w:iCs/>
          <w:szCs w:val="24"/>
        </w:rPr>
        <w:t>se llegue al convencimiento de la dependencia económica.</w:t>
      </w:r>
    </w:p>
    <w:p w14:paraId="7A0C3E6D" w14:textId="77777777" w:rsidR="00B9689B" w:rsidRPr="00F742AF" w:rsidRDefault="00B9689B" w:rsidP="00F742AF">
      <w:pPr>
        <w:tabs>
          <w:tab w:val="left" w:pos="284"/>
        </w:tabs>
        <w:spacing w:line="276" w:lineRule="auto"/>
        <w:jc w:val="center"/>
        <w:rPr>
          <w:rFonts w:cs="Tahoma"/>
          <w:szCs w:val="24"/>
        </w:rPr>
      </w:pPr>
    </w:p>
    <w:p w14:paraId="22B6EEDB" w14:textId="6C2EF2BA" w:rsidR="00D8654A" w:rsidRPr="00F742AF" w:rsidRDefault="00D8654A" w:rsidP="00F742AF">
      <w:pPr>
        <w:pStyle w:val="Prrafodelista"/>
        <w:numPr>
          <w:ilvl w:val="0"/>
          <w:numId w:val="2"/>
        </w:numPr>
        <w:tabs>
          <w:tab w:val="left" w:pos="284"/>
        </w:tabs>
        <w:spacing w:line="276" w:lineRule="auto"/>
        <w:jc w:val="center"/>
        <w:rPr>
          <w:rFonts w:ascii="Tahoma" w:hAnsi="Tahoma" w:cs="Tahoma"/>
          <w:b/>
          <w:bCs/>
        </w:rPr>
      </w:pPr>
      <w:r w:rsidRPr="00F742AF">
        <w:rPr>
          <w:rFonts w:ascii="Tahoma" w:hAnsi="Tahoma" w:cs="Tahoma"/>
          <w:b/>
          <w:bCs/>
        </w:rPr>
        <w:t>Alegatos de conclusión</w:t>
      </w:r>
    </w:p>
    <w:p w14:paraId="092CA08E" w14:textId="6022BCE2" w:rsidR="00183AA5" w:rsidRPr="00F742AF" w:rsidRDefault="00183AA5" w:rsidP="00F742AF">
      <w:pPr>
        <w:spacing w:line="276" w:lineRule="auto"/>
        <w:rPr>
          <w:rFonts w:eastAsia="Calibri" w:cs="Tahoma"/>
          <w:b/>
          <w:bCs/>
          <w:color w:val="0070C0"/>
          <w:szCs w:val="24"/>
          <w:lang w:bidi="en-US"/>
        </w:rPr>
      </w:pPr>
    </w:p>
    <w:p w14:paraId="63CA4E0A" w14:textId="59557BA8" w:rsidR="00D8654A" w:rsidRPr="00F742AF" w:rsidRDefault="00D8654A" w:rsidP="00F742AF">
      <w:pPr>
        <w:tabs>
          <w:tab w:val="left" w:pos="284"/>
        </w:tabs>
        <w:spacing w:line="276" w:lineRule="auto"/>
        <w:rPr>
          <w:rFonts w:cs="Tahoma"/>
          <w:szCs w:val="24"/>
        </w:rPr>
      </w:pPr>
      <w:r w:rsidRPr="00F742AF">
        <w:rPr>
          <w:rFonts w:cs="Tahoma"/>
          <w:szCs w:val="24"/>
        </w:rPr>
        <w:tab/>
        <w:t xml:space="preserve">Analizados los alegatos presentados por escrito por las partes, el cual obra en el expediente digital y frente al cual nos remitimos por economía procesal en virtud del artículo 280 del C.G.P., la Sala encuentra que los argumentos fácticos y jurídicos </w:t>
      </w:r>
      <w:r w:rsidRPr="00F742AF">
        <w:rPr>
          <w:rFonts w:cs="Tahoma"/>
          <w:szCs w:val="24"/>
        </w:rPr>
        <w:lastRenderedPageBreak/>
        <w:t>expresados concuerdan con los puntos objeto de discusión en esta instancia y se relacionan con el problema jurídico que se expresa a continuación.</w:t>
      </w:r>
    </w:p>
    <w:p w14:paraId="2FB518EC" w14:textId="5189E203" w:rsidR="00D8654A" w:rsidRPr="00F742AF" w:rsidRDefault="00D8654A" w:rsidP="00F742AF">
      <w:pPr>
        <w:spacing w:line="276" w:lineRule="auto"/>
        <w:rPr>
          <w:rFonts w:eastAsia="Calibri" w:cs="Tahoma"/>
          <w:b/>
          <w:bCs/>
          <w:color w:val="0070C0"/>
          <w:szCs w:val="24"/>
          <w:lang w:bidi="en-US"/>
        </w:rPr>
      </w:pPr>
    </w:p>
    <w:p w14:paraId="21FFDB7D" w14:textId="065CA51E" w:rsidR="00D8654A" w:rsidRPr="00F742AF" w:rsidRDefault="00D8654A" w:rsidP="00F742AF">
      <w:pPr>
        <w:pStyle w:val="Prrafodelista"/>
        <w:numPr>
          <w:ilvl w:val="0"/>
          <w:numId w:val="2"/>
        </w:numPr>
        <w:tabs>
          <w:tab w:val="left" w:pos="284"/>
        </w:tabs>
        <w:spacing w:line="276" w:lineRule="auto"/>
        <w:jc w:val="center"/>
        <w:rPr>
          <w:rFonts w:ascii="Tahoma" w:hAnsi="Tahoma" w:cs="Tahoma"/>
          <w:b/>
          <w:bCs/>
        </w:rPr>
      </w:pPr>
      <w:r w:rsidRPr="00F742AF">
        <w:rPr>
          <w:rFonts w:ascii="Tahoma" w:hAnsi="Tahoma" w:cs="Tahoma"/>
          <w:b/>
          <w:bCs/>
        </w:rPr>
        <w:t>Problemas jurídicos por resolver</w:t>
      </w:r>
    </w:p>
    <w:p w14:paraId="31B0637C" w14:textId="56E55015" w:rsidR="00D8654A" w:rsidRPr="00F742AF" w:rsidRDefault="00D8654A" w:rsidP="00F742AF">
      <w:pPr>
        <w:spacing w:line="276" w:lineRule="auto"/>
        <w:rPr>
          <w:rFonts w:eastAsia="Calibri" w:cs="Tahoma"/>
          <w:b/>
          <w:bCs/>
          <w:color w:val="0070C0"/>
          <w:szCs w:val="24"/>
          <w:lang w:bidi="en-US"/>
        </w:rPr>
      </w:pPr>
    </w:p>
    <w:p w14:paraId="584BC546" w14:textId="4295B6E5" w:rsidR="008452D4" w:rsidRPr="00F742AF" w:rsidRDefault="008452D4" w:rsidP="00F742AF">
      <w:pPr>
        <w:tabs>
          <w:tab w:val="left" w:pos="284"/>
        </w:tabs>
        <w:spacing w:line="276" w:lineRule="auto"/>
        <w:rPr>
          <w:rFonts w:cs="Tahoma"/>
          <w:szCs w:val="24"/>
        </w:rPr>
      </w:pPr>
      <w:r w:rsidRPr="00F742AF">
        <w:rPr>
          <w:rFonts w:cs="Tahoma"/>
          <w:szCs w:val="24"/>
        </w:rPr>
        <w:tab/>
        <w:t xml:space="preserve">De acuerdo con los argumentos expuestos en la sentencia de primera instancia, los fundamentos de la apelación y los alegatos de conclusión, le corresponde a la Sala </w:t>
      </w:r>
      <w:r w:rsidR="00C30137" w:rsidRPr="00F742AF">
        <w:rPr>
          <w:rFonts w:cs="Tahoma"/>
          <w:szCs w:val="24"/>
        </w:rPr>
        <w:t>establecer si l</w:t>
      </w:r>
      <w:r w:rsidRPr="00F742AF">
        <w:rPr>
          <w:rFonts w:cs="Tahoma"/>
          <w:szCs w:val="24"/>
        </w:rPr>
        <w:t>ogró el demandante cumplir con la carga probatoria de demostrar que ostenta la calidad de beneficiario de la pensión de sobrevivientes causada por el deceso de su hijo Edwin Mauricio Calderón López</w:t>
      </w:r>
      <w:r w:rsidR="00C30137" w:rsidRPr="00F742AF">
        <w:rPr>
          <w:rFonts w:cs="Tahoma"/>
          <w:szCs w:val="24"/>
        </w:rPr>
        <w:t>.</w:t>
      </w:r>
    </w:p>
    <w:p w14:paraId="363E0CC5" w14:textId="7E2F61B7" w:rsidR="00D8654A" w:rsidRPr="00F742AF" w:rsidRDefault="00D8654A" w:rsidP="00F742AF">
      <w:pPr>
        <w:tabs>
          <w:tab w:val="left" w:pos="284"/>
        </w:tabs>
        <w:spacing w:line="276" w:lineRule="auto"/>
        <w:rPr>
          <w:rFonts w:cs="Tahoma"/>
          <w:szCs w:val="24"/>
        </w:rPr>
      </w:pPr>
    </w:p>
    <w:p w14:paraId="4BF53202" w14:textId="00F6F9E4" w:rsidR="00D8654A" w:rsidRPr="00F742AF" w:rsidRDefault="00D8654A" w:rsidP="00F742AF">
      <w:pPr>
        <w:pStyle w:val="Prrafodelista"/>
        <w:numPr>
          <w:ilvl w:val="0"/>
          <w:numId w:val="2"/>
        </w:numPr>
        <w:tabs>
          <w:tab w:val="left" w:pos="284"/>
        </w:tabs>
        <w:spacing w:line="276" w:lineRule="auto"/>
        <w:jc w:val="center"/>
        <w:rPr>
          <w:rFonts w:ascii="Tahoma" w:hAnsi="Tahoma" w:cs="Tahoma"/>
          <w:b/>
          <w:bCs/>
        </w:rPr>
      </w:pPr>
      <w:r w:rsidRPr="00F742AF">
        <w:rPr>
          <w:rFonts w:ascii="Tahoma" w:hAnsi="Tahoma" w:cs="Tahoma"/>
          <w:b/>
          <w:bCs/>
        </w:rPr>
        <w:t>Consideraciones</w:t>
      </w:r>
    </w:p>
    <w:p w14:paraId="7AC4A2F0" w14:textId="64ABBBF5" w:rsidR="00D8654A" w:rsidRPr="00F742AF" w:rsidRDefault="00D8654A" w:rsidP="00F742AF">
      <w:pPr>
        <w:spacing w:line="276" w:lineRule="auto"/>
        <w:rPr>
          <w:rFonts w:eastAsia="Calibri" w:cs="Tahoma"/>
          <w:b/>
          <w:bCs/>
          <w:szCs w:val="24"/>
          <w:lang w:bidi="en-US"/>
        </w:rPr>
      </w:pPr>
    </w:p>
    <w:p w14:paraId="00E889D5" w14:textId="1307C1F0" w:rsidR="007E2267" w:rsidRPr="00F742AF" w:rsidRDefault="00BE0281" w:rsidP="00F742AF">
      <w:pPr>
        <w:pStyle w:val="Prrafodelista"/>
        <w:numPr>
          <w:ilvl w:val="1"/>
          <w:numId w:val="2"/>
        </w:numPr>
        <w:spacing w:line="276" w:lineRule="auto"/>
        <w:rPr>
          <w:rFonts w:ascii="Tahoma" w:eastAsia="Calibri" w:hAnsi="Tahoma" w:cs="Tahoma"/>
          <w:lang w:bidi="en-US"/>
        </w:rPr>
      </w:pPr>
      <w:r w:rsidRPr="00F742AF">
        <w:rPr>
          <w:rFonts w:ascii="Tahoma" w:eastAsia="Calibri" w:hAnsi="Tahoma" w:cs="Tahoma"/>
          <w:b/>
          <w:bCs/>
          <w:lang w:bidi="en-US"/>
        </w:rPr>
        <w:t>Aspectos previos</w:t>
      </w:r>
      <w:r w:rsidR="007E2267" w:rsidRPr="00F742AF">
        <w:rPr>
          <w:rFonts w:ascii="Tahoma" w:eastAsia="Calibri" w:hAnsi="Tahoma" w:cs="Tahoma"/>
          <w:b/>
          <w:bCs/>
          <w:lang w:bidi="en-US"/>
        </w:rPr>
        <w:t>.</w:t>
      </w:r>
    </w:p>
    <w:p w14:paraId="3402C092" w14:textId="77777777" w:rsidR="007E2267" w:rsidRPr="00F742AF" w:rsidRDefault="007E2267" w:rsidP="00F742AF">
      <w:pPr>
        <w:pStyle w:val="Prrafodelista"/>
        <w:spacing w:line="276" w:lineRule="auto"/>
        <w:ind w:left="1080"/>
        <w:rPr>
          <w:rFonts w:ascii="Tahoma" w:eastAsia="Calibri" w:hAnsi="Tahoma" w:cs="Tahoma"/>
          <w:b/>
          <w:bCs/>
          <w:lang w:bidi="en-US"/>
        </w:rPr>
      </w:pPr>
    </w:p>
    <w:p w14:paraId="4633E227" w14:textId="66F09B3E" w:rsidR="000B5B1D" w:rsidRPr="00F742AF" w:rsidRDefault="007E2267" w:rsidP="00F742AF">
      <w:pPr>
        <w:tabs>
          <w:tab w:val="left" w:pos="284"/>
        </w:tabs>
        <w:spacing w:line="276" w:lineRule="auto"/>
        <w:rPr>
          <w:rFonts w:eastAsia="Calibri" w:cs="Tahoma"/>
          <w:szCs w:val="24"/>
          <w:lang w:bidi="en-US"/>
        </w:rPr>
      </w:pPr>
      <w:r w:rsidRPr="00F742AF">
        <w:rPr>
          <w:rFonts w:eastAsia="Calibri" w:cs="Tahoma"/>
          <w:szCs w:val="24"/>
          <w:lang w:bidi="en-US"/>
        </w:rPr>
        <w:tab/>
      </w:r>
      <w:r w:rsidR="0079481E" w:rsidRPr="00F742AF">
        <w:rPr>
          <w:rFonts w:eastAsia="Calibri" w:cs="Tahoma"/>
          <w:szCs w:val="24"/>
          <w:lang w:bidi="en-US"/>
        </w:rPr>
        <w:t xml:space="preserve">En </w:t>
      </w:r>
      <w:r w:rsidR="0079481E" w:rsidRPr="00F742AF">
        <w:rPr>
          <w:rFonts w:cs="Tahoma"/>
          <w:szCs w:val="24"/>
        </w:rPr>
        <w:t>primer</w:t>
      </w:r>
      <w:r w:rsidR="0079481E" w:rsidRPr="00F742AF">
        <w:rPr>
          <w:rFonts w:eastAsia="Calibri" w:cs="Tahoma"/>
          <w:szCs w:val="24"/>
          <w:lang w:bidi="en-US"/>
        </w:rPr>
        <w:t xml:space="preserve"> lugar, n</w:t>
      </w:r>
      <w:r w:rsidR="008E72B9" w:rsidRPr="00F742AF">
        <w:rPr>
          <w:rFonts w:eastAsia="Calibri" w:cs="Tahoma"/>
          <w:szCs w:val="24"/>
          <w:lang w:bidi="en-US"/>
        </w:rPr>
        <w:t xml:space="preserve">o se discute en el </w:t>
      </w:r>
      <w:r w:rsidR="00880B41" w:rsidRPr="00F742AF">
        <w:rPr>
          <w:rFonts w:eastAsia="Calibri" w:cs="Tahoma"/>
          <w:szCs w:val="24"/>
          <w:lang w:bidi="en-US"/>
        </w:rPr>
        <w:t xml:space="preserve">presente </w:t>
      </w:r>
      <w:r w:rsidR="008E72B9" w:rsidRPr="00F742AF">
        <w:rPr>
          <w:rFonts w:eastAsia="Calibri" w:cs="Tahoma"/>
          <w:szCs w:val="24"/>
          <w:lang w:bidi="en-US"/>
        </w:rPr>
        <w:t xml:space="preserve">proceso </w:t>
      </w:r>
      <w:r w:rsidR="005E7022" w:rsidRPr="00F742AF">
        <w:rPr>
          <w:rFonts w:eastAsia="Calibri" w:cs="Tahoma"/>
          <w:szCs w:val="24"/>
          <w:lang w:bidi="en-US"/>
        </w:rPr>
        <w:t>que</w:t>
      </w:r>
      <w:r w:rsidR="008E72B9" w:rsidRPr="00F742AF">
        <w:rPr>
          <w:rFonts w:eastAsia="Calibri" w:cs="Tahoma"/>
          <w:szCs w:val="24"/>
          <w:lang w:bidi="en-US"/>
        </w:rPr>
        <w:t>:</w:t>
      </w:r>
      <w:r w:rsidR="005E7022" w:rsidRPr="00F742AF">
        <w:rPr>
          <w:rFonts w:eastAsia="Calibri" w:cs="Tahoma"/>
          <w:szCs w:val="24"/>
          <w:lang w:bidi="en-US"/>
        </w:rPr>
        <w:t xml:space="preserve"> </w:t>
      </w:r>
      <w:r w:rsidR="008E72B9" w:rsidRPr="00F742AF">
        <w:rPr>
          <w:rFonts w:eastAsia="Calibri" w:cs="Tahoma"/>
          <w:b/>
          <w:bCs/>
          <w:i/>
          <w:iCs/>
          <w:szCs w:val="24"/>
          <w:lang w:bidi="en-US"/>
        </w:rPr>
        <w:t xml:space="preserve">(i) </w:t>
      </w:r>
      <w:r w:rsidR="005E7022" w:rsidRPr="00F742AF">
        <w:rPr>
          <w:rFonts w:eastAsia="Calibri" w:cs="Tahoma"/>
          <w:szCs w:val="24"/>
          <w:lang w:bidi="en-US"/>
        </w:rPr>
        <w:t>Edwar Mauricio Calderón López nació el 8 de agosto de 1980</w:t>
      </w:r>
      <w:r w:rsidR="00880B41" w:rsidRPr="00F742AF">
        <w:rPr>
          <w:rFonts w:eastAsia="Calibri" w:cs="Tahoma"/>
          <w:szCs w:val="24"/>
          <w:lang w:bidi="en-US"/>
        </w:rPr>
        <w:t xml:space="preserve">, siendo sus padres </w:t>
      </w:r>
      <w:r w:rsidR="005E7022" w:rsidRPr="00F742AF">
        <w:rPr>
          <w:rFonts w:eastAsia="Calibri" w:cs="Tahoma"/>
          <w:szCs w:val="24"/>
          <w:lang w:bidi="en-US"/>
        </w:rPr>
        <w:t>Pedro José Calderón Cañas y Luz Marina López Marulanda (</w:t>
      </w:r>
      <w:proofErr w:type="spellStart"/>
      <w:r w:rsidR="005E7022" w:rsidRPr="00F742AF">
        <w:rPr>
          <w:rFonts w:eastAsia="Calibri" w:cs="Tahoma"/>
          <w:szCs w:val="24"/>
          <w:lang w:bidi="en-US"/>
        </w:rPr>
        <w:t>fl</w:t>
      </w:r>
      <w:proofErr w:type="spellEnd"/>
      <w:r w:rsidR="005E7022" w:rsidRPr="00F742AF">
        <w:rPr>
          <w:rFonts w:eastAsia="Calibri" w:cs="Tahoma"/>
          <w:szCs w:val="24"/>
          <w:lang w:bidi="en-US"/>
        </w:rPr>
        <w:t xml:space="preserve">. 11); </w:t>
      </w:r>
      <w:r w:rsidR="00880B41" w:rsidRPr="00F742AF">
        <w:rPr>
          <w:rFonts w:eastAsia="Calibri" w:cs="Tahoma"/>
          <w:b/>
          <w:bCs/>
          <w:i/>
          <w:iCs/>
          <w:szCs w:val="24"/>
          <w:lang w:bidi="en-US"/>
        </w:rPr>
        <w:t>(ii)</w:t>
      </w:r>
      <w:r w:rsidR="00880B41" w:rsidRPr="00F742AF">
        <w:rPr>
          <w:rFonts w:eastAsia="Calibri" w:cs="Tahoma"/>
          <w:szCs w:val="24"/>
          <w:lang w:bidi="en-US"/>
        </w:rPr>
        <w:t xml:space="preserve"> la fecha del deceso de Edgar Mauricio Calderón López data del 10 de julio de 2012 (</w:t>
      </w:r>
      <w:proofErr w:type="spellStart"/>
      <w:r w:rsidR="00880B41" w:rsidRPr="00F742AF">
        <w:rPr>
          <w:rFonts w:eastAsia="Calibri" w:cs="Tahoma"/>
          <w:szCs w:val="24"/>
          <w:lang w:bidi="en-US"/>
        </w:rPr>
        <w:t>fl</w:t>
      </w:r>
      <w:proofErr w:type="spellEnd"/>
      <w:r w:rsidR="00880B41" w:rsidRPr="00F742AF">
        <w:rPr>
          <w:rFonts w:eastAsia="Calibri" w:cs="Tahoma"/>
          <w:szCs w:val="24"/>
          <w:lang w:bidi="en-US"/>
        </w:rPr>
        <w:t xml:space="preserve">. 12); </w:t>
      </w:r>
      <w:r w:rsidR="00880B41" w:rsidRPr="00F742AF">
        <w:rPr>
          <w:rFonts w:eastAsia="Calibri" w:cs="Tahoma"/>
          <w:b/>
          <w:bCs/>
          <w:i/>
          <w:iCs/>
          <w:szCs w:val="24"/>
          <w:lang w:bidi="en-US"/>
        </w:rPr>
        <w:t xml:space="preserve">(iii) </w:t>
      </w:r>
      <w:r w:rsidR="00880B41" w:rsidRPr="00F742AF">
        <w:rPr>
          <w:rFonts w:eastAsia="Calibri" w:cs="Tahoma"/>
          <w:szCs w:val="24"/>
          <w:lang w:bidi="en-US"/>
        </w:rPr>
        <w:t xml:space="preserve">la calidad de afiliado a riesgos profesionales que tenía el causante al momento del óbito, siendo el siniestro clasificado de origen laboral (pág. 135-139); </w:t>
      </w:r>
      <w:r w:rsidR="00880B41" w:rsidRPr="00F742AF">
        <w:rPr>
          <w:rFonts w:eastAsia="Calibri" w:cs="Tahoma"/>
          <w:b/>
          <w:bCs/>
          <w:i/>
          <w:iCs/>
          <w:szCs w:val="24"/>
          <w:lang w:bidi="en-US"/>
        </w:rPr>
        <w:t xml:space="preserve">(iv) </w:t>
      </w:r>
      <w:r w:rsidR="005F2B30" w:rsidRPr="00F742AF">
        <w:rPr>
          <w:rFonts w:eastAsia="Calibri" w:cs="Tahoma"/>
          <w:szCs w:val="24"/>
          <w:lang w:bidi="en-US"/>
        </w:rPr>
        <w:t xml:space="preserve">solicitada </w:t>
      </w:r>
      <w:r w:rsidR="00880B41" w:rsidRPr="00F742AF">
        <w:rPr>
          <w:rFonts w:eastAsia="Calibri" w:cs="Tahoma"/>
          <w:szCs w:val="24"/>
          <w:lang w:bidi="en-US"/>
        </w:rPr>
        <w:t xml:space="preserve">por el actor </w:t>
      </w:r>
      <w:r w:rsidR="005F2B30" w:rsidRPr="00F742AF">
        <w:rPr>
          <w:rFonts w:eastAsia="Calibri" w:cs="Tahoma"/>
          <w:szCs w:val="24"/>
          <w:lang w:bidi="en-US"/>
        </w:rPr>
        <w:t>la pensión de sobrevivientes</w:t>
      </w:r>
      <w:r w:rsidR="00C30137" w:rsidRPr="00F742AF">
        <w:rPr>
          <w:rFonts w:eastAsia="Calibri" w:cs="Tahoma"/>
          <w:szCs w:val="24"/>
          <w:lang w:bidi="en-US"/>
        </w:rPr>
        <w:t>,</w:t>
      </w:r>
      <w:r w:rsidR="005F2B30" w:rsidRPr="00F742AF">
        <w:rPr>
          <w:rFonts w:eastAsia="Calibri" w:cs="Tahoma"/>
          <w:szCs w:val="24"/>
          <w:lang w:bidi="en-US"/>
        </w:rPr>
        <w:t xml:space="preserve"> </w:t>
      </w:r>
      <w:r w:rsidR="0079481E" w:rsidRPr="00F742AF">
        <w:rPr>
          <w:rFonts w:eastAsia="Calibri" w:cs="Tahoma"/>
          <w:szCs w:val="24"/>
          <w:lang w:bidi="en-US"/>
        </w:rPr>
        <w:t xml:space="preserve">primero el 18 de diciembre de 2012 y luego, reiterada el </w:t>
      </w:r>
      <w:r w:rsidR="005F2B30" w:rsidRPr="00F742AF">
        <w:rPr>
          <w:rFonts w:eastAsia="Calibri" w:cs="Tahoma"/>
          <w:szCs w:val="24"/>
          <w:lang w:bidi="en-US"/>
        </w:rPr>
        <w:t xml:space="preserve">29 de septiembre de 2017, </w:t>
      </w:r>
      <w:r w:rsidR="0079481E" w:rsidRPr="00F742AF">
        <w:rPr>
          <w:rFonts w:eastAsia="Calibri" w:cs="Tahoma"/>
          <w:szCs w:val="24"/>
          <w:lang w:bidi="en-US"/>
        </w:rPr>
        <w:t xml:space="preserve">en ambas ocasiones la prestación </w:t>
      </w:r>
      <w:r w:rsidR="005F2B30" w:rsidRPr="00F742AF">
        <w:rPr>
          <w:rFonts w:eastAsia="Calibri" w:cs="Tahoma"/>
          <w:szCs w:val="24"/>
          <w:lang w:bidi="en-US"/>
        </w:rPr>
        <w:t xml:space="preserve">fue negada por Positiva S.A. </w:t>
      </w:r>
      <w:r w:rsidR="00C30137" w:rsidRPr="00F742AF">
        <w:rPr>
          <w:rFonts w:eastAsia="Calibri" w:cs="Tahoma"/>
          <w:szCs w:val="24"/>
          <w:lang w:bidi="en-US"/>
        </w:rPr>
        <w:t>por</w:t>
      </w:r>
      <w:r w:rsidR="005F2B30" w:rsidRPr="00F742AF">
        <w:rPr>
          <w:rFonts w:eastAsia="Calibri" w:cs="Tahoma"/>
          <w:szCs w:val="24"/>
          <w:lang w:bidi="en-US"/>
        </w:rPr>
        <w:t xml:space="preserve"> falta de los requisitos para ser beneficiario (</w:t>
      </w:r>
      <w:proofErr w:type="spellStart"/>
      <w:r w:rsidR="005F2B30" w:rsidRPr="00F742AF">
        <w:rPr>
          <w:rFonts w:eastAsia="Calibri" w:cs="Tahoma"/>
          <w:szCs w:val="24"/>
          <w:lang w:bidi="en-US"/>
        </w:rPr>
        <w:t>fl</w:t>
      </w:r>
      <w:proofErr w:type="spellEnd"/>
      <w:r w:rsidR="005F2B30" w:rsidRPr="00F742AF">
        <w:rPr>
          <w:rFonts w:eastAsia="Calibri" w:cs="Tahoma"/>
          <w:szCs w:val="24"/>
          <w:lang w:bidi="en-US"/>
        </w:rPr>
        <w:t xml:space="preserve">. </w:t>
      </w:r>
      <w:r w:rsidR="0079481E" w:rsidRPr="00F742AF">
        <w:rPr>
          <w:rFonts w:eastAsia="Calibri" w:cs="Tahoma"/>
          <w:szCs w:val="24"/>
          <w:lang w:bidi="en-US"/>
        </w:rPr>
        <w:t xml:space="preserve">18-22 y </w:t>
      </w:r>
      <w:r w:rsidR="005F2B30" w:rsidRPr="00F742AF">
        <w:rPr>
          <w:rFonts w:eastAsia="Calibri" w:cs="Tahoma"/>
          <w:szCs w:val="24"/>
          <w:lang w:bidi="en-US"/>
        </w:rPr>
        <w:t>28-29</w:t>
      </w:r>
      <w:r w:rsidR="0079481E" w:rsidRPr="00F742AF">
        <w:rPr>
          <w:rFonts w:eastAsia="Calibri" w:cs="Tahoma"/>
          <w:szCs w:val="24"/>
          <w:lang w:bidi="en-US"/>
        </w:rPr>
        <w:t>)</w:t>
      </w:r>
      <w:r w:rsidR="000B5B1D" w:rsidRPr="00F742AF">
        <w:rPr>
          <w:rFonts w:eastAsia="Calibri" w:cs="Tahoma"/>
          <w:szCs w:val="24"/>
          <w:lang w:bidi="en-US"/>
        </w:rPr>
        <w:t xml:space="preserve"> y, </w:t>
      </w:r>
      <w:r w:rsidR="00C30137" w:rsidRPr="00F742AF">
        <w:rPr>
          <w:rFonts w:eastAsia="Calibri" w:cs="Tahoma"/>
          <w:b/>
          <w:i/>
          <w:szCs w:val="24"/>
          <w:lang w:bidi="en-US"/>
        </w:rPr>
        <w:t xml:space="preserve">(v) </w:t>
      </w:r>
      <w:r w:rsidR="000B5B1D" w:rsidRPr="00F742AF">
        <w:rPr>
          <w:rFonts w:eastAsia="Calibri" w:cs="Tahoma"/>
          <w:szCs w:val="24"/>
          <w:lang w:bidi="en-US"/>
        </w:rPr>
        <w:t xml:space="preserve">tampoco se discute que el demandante contaba con 53 años al momento del fallecimiento de su hijo, </w:t>
      </w:r>
      <w:r w:rsidR="007649FD" w:rsidRPr="00F742AF">
        <w:rPr>
          <w:rFonts w:eastAsia="Calibri" w:cs="Tahoma"/>
          <w:szCs w:val="24"/>
          <w:lang w:bidi="en-US"/>
        </w:rPr>
        <w:t xml:space="preserve">presentando </w:t>
      </w:r>
      <w:r w:rsidR="000B5B1D" w:rsidRPr="00F742AF">
        <w:rPr>
          <w:rFonts w:eastAsia="Calibri" w:cs="Tahoma"/>
          <w:szCs w:val="24"/>
          <w:lang w:bidi="en-US"/>
        </w:rPr>
        <w:t>algunas patologías</w:t>
      </w:r>
      <w:r w:rsidR="007649FD" w:rsidRPr="00F742AF">
        <w:rPr>
          <w:rFonts w:eastAsia="Calibri" w:cs="Tahoma"/>
          <w:szCs w:val="24"/>
          <w:lang w:bidi="en-US"/>
        </w:rPr>
        <w:t xml:space="preserve"> para los años 2012-2013</w:t>
      </w:r>
      <w:r w:rsidR="000B5B1D" w:rsidRPr="00F742AF">
        <w:rPr>
          <w:rFonts w:eastAsia="Calibri" w:cs="Tahoma"/>
          <w:szCs w:val="24"/>
          <w:lang w:bidi="en-US"/>
        </w:rPr>
        <w:t>, según se desprende de la historia clínica adosada (</w:t>
      </w:r>
      <w:proofErr w:type="spellStart"/>
      <w:r w:rsidR="000B5B1D" w:rsidRPr="00F742AF">
        <w:rPr>
          <w:rFonts w:eastAsia="Calibri" w:cs="Tahoma"/>
          <w:szCs w:val="24"/>
          <w:lang w:bidi="en-US"/>
        </w:rPr>
        <w:t>fls</w:t>
      </w:r>
      <w:proofErr w:type="spellEnd"/>
      <w:r w:rsidR="000B5B1D" w:rsidRPr="00F742AF">
        <w:rPr>
          <w:rFonts w:eastAsia="Calibri" w:cs="Tahoma"/>
          <w:szCs w:val="24"/>
          <w:lang w:bidi="en-US"/>
        </w:rPr>
        <w:t>. 23-178).</w:t>
      </w:r>
    </w:p>
    <w:p w14:paraId="7B9C9EA3" w14:textId="427ED54A" w:rsidR="000B5B1D" w:rsidRPr="00F742AF" w:rsidRDefault="000B5B1D" w:rsidP="00F742AF">
      <w:pPr>
        <w:spacing w:line="276" w:lineRule="auto"/>
        <w:ind w:firstLine="360"/>
        <w:rPr>
          <w:rFonts w:eastAsia="Calibri" w:cs="Tahoma"/>
          <w:szCs w:val="24"/>
          <w:lang w:bidi="en-US"/>
        </w:rPr>
      </w:pPr>
    </w:p>
    <w:p w14:paraId="7DAF1E90" w14:textId="3E1643A4" w:rsidR="005C718B" w:rsidRPr="00F742AF" w:rsidRDefault="005C718B" w:rsidP="00F742AF">
      <w:pPr>
        <w:pStyle w:val="Prrafodelista"/>
        <w:numPr>
          <w:ilvl w:val="1"/>
          <w:numId w:val="2"/>
        </w:numPr>
        <w:spacing w:line="276" w:lineRule="auto"/>
        <w:rPr>
          <w:rFonts w:ascii="Tahoma" w:eastAsia="Calibri" w:hAnsi="Tahoma" w:cs="Tahoma"/>
          <w:lang w:bidi="en-US"/>
        </w:rPr>
      </w:pPr>
      <w:r w:rsidRPr="00F742AF">
        <w:rPr>
          <w:rFonts w:ascii="Tahoma" w:eastAsia="Calibri" w:hAnsi="Tahoma" w:cs="Tahoma"/>
          <w:b/>
          <w:bCs/>
          <w:lang w:bidi="en-US"/>
        </w:rPr>
        <w:t>De la pensión de sobrevivientes.</w:t>
      </w:r>
    </w:p>
    <w:p w14:paraId="3A0C1C86" w14:textId="77777777" w:rsidR="005C718B" w:rsidRPr="00F742AF" w:rsidRDefault="005C718B" w:rsidP="00F742AF">
      <w:pPr>
        <w:spacing w:line="276" w:lineRule="auto"/>
        <w:ind w:firstLine="360"/>
        <w:rPr>
          <w:rFonts w:eastAsia="Calibri" w:cs="Tahoma"/>
          <w:szCs w:val="24"/>
          <w:lang w:bidi="en-US"/>
        </w:rPr>
      </w:pPr>
    </w:p>
    <w:p w14:paraId="1333E724" w14:textId="6FBBBE54" w:rsidR="00276BC3" w:rsidRPr="00F742AF" w:rsidRDefault="0079481E" w:rsidP="00F742AF">
      <w:pPr>
        <w:spacing w:line="276" w:lineRule="auto"/>
        <w:ind w:firstLine="360"/>
        <w:rPr>
          <w:rFonts w:eastAsia="Calibri" w:cs="Tahoma"/>
          <w:szCs w:val="24"/>
          <w:lang w:val="es-ES" w:bidi="en-US"/>
        </w:rPr>
      </w:pPr>
      <w:r w:rsidRPr="00F742AF">
        <w:rPr>
          <w:rFonts w:eastAsia="Calibri" w:cs="Tahoma"/>
          <w:szCs w:val="24"/>
          <w:lang w:bidi="en-US"/>
        </w:rPr>
        <w:t>Como bien es conocido, la norma que rige el reconocimiento de la pensión de sobrevivientes corresponde a aquélla que se encuentra vigente al momento del óbito del afiliado</w:t>
      </w:r>
      <w:r w:rsidR="00276BC3" w:rsidRPr="00F742AF">
        <w:rPr>
          <w:rFonts w:eastAsia="Calibri" w:cs="Tahoma"/>
          <w:szCs w:val="24"/>
          <w:lang w:bidi="en-US"/>
        </w:rPr>
        <w:t xml:space="preserve">, lo que implica en este asunto </w:t>
      </w:r>
      <w:r w:rsidR="004C4AB3" w:rsidRPr="00F742AF">
        <w:rPr>
          <w:rFonts w:eastAsia="Calibri" w:cs="Tahoma"/>
          <w:szCs w:val="24"/>
          <w:lang w:bidi="en-US"/>
        </w:rPr>
        <w:t xml:space="preserve">que </w:t>
      </w:r>
      <w:r w:rsidR="00276BC3" w:rsidRPr="00F742AF">
        <w:rPr>
          <w:rFonts w:eastAsia="Calibri" w:cs="Tahoma"/>
          <w:szCs w:val="24"/>
          <w:lang w:bidi="en-US"/>
        </w:rPr>
        <w:t xml:space="preserve">la preceptiva aplicable es la </w:t>
      </w:r>
      <w:r w:rsidR="00276BC3" w:rsidRPr="00F742AF">
        <w:rPr>
          <w:rFonts w:eastAsia="Calibri" w:cs="Tahoma"/>
          <w:szCs w:val="24"/>
          <w:lang w:val="es-ES" w:bidi="en-US"/>
        </w:rPr>
        <w:t>Ley 776 de 2002, que prescribe:</w:t>
      </w:r>
    </w:p>
    <w:p w14:paraId="541739A1" w14:textId="77777777" w:rsidR="00276BC3" w:rsidRPr="00F742AF" w:rsidRDefault="00276BC3" w:rsidP="00F742AF">
      <w:pPr>
        <w:spacing w:line="276" w:lineRule="auto"/>
        <w:ind w:left="567" w:right="476"/>
        <w:rPr>
          <w:rFonts w:eastAsia="Calibri" w:cs="Tahoma"/>
          <w:i/>
          <w:iCs/>
          <w:szCs w:val="24"/>
          <w:lang w:bidi="en-US"/>
        </w:rPr>
      </w:pPr>
    </w:p>
    <w:p w14:paraId="4936F983" w14:textId="143F593E" w:rsidR="00276BC3" w:rsidRPr="00F742AF" w:rsidRDefault="00C74D8B" w:rsidP="00F742AF">
      <w:pPr>
        <w:spacing w:line="240" w:lineRule="auto"/>
        <w:ind w:left="426" w:right="420"/>
        <w:rPr>
          <w:rFonts w:eastAsia="Calibri" w:cs="Tahoma"/>
          <w:i/>
          <w:iCs/>
          <w:sz w:val="22"/>
          <w:szCs w:val="24"/>
          <w:lang w:bidi="en-US"/>
        </w:rPr>
      </w:pPr>
      <w:r w:rsidRPr="00F742AF">
        <w:rPr>
          <w:rFonts w:eastAsia="Calibri" w:cs="Tahoma"/>
          <w:i/>
          <w:iCs/>
          <w:sz w:val="22"/>
          <w:szCs w:val="24"/>
          <w:lang w:bidi="en-US"/>
        </w:rPr>
        <w:t>“</w:t>
      </w:r>
      <w:r w:rsidR="00276BC3" w:rsidRPr="00F742AF">
        <w:rPr>
          <w:rFonts w:eastAsia="Calibri" w:cs="Tahoma"/>
          <w:b/>
          <w:bCs/>
          <w:i/>
          <w:iCs/>
          <w:sz w:val="22"/>
          <w:szCs w:val="24"/>
          <w:lang w:bidi="en-US"/>
        </w:rPr>
        <w:t>Artículo 11</w:t>
      </w:r>
      <w:r w:rsidR="00276BC3" w:rsidRPr="00F742AF">
        <w:rPr>
          <w:rFonts w:eastAsia="Calibri" w:cs="Tahoma"/>
          <w:i/>
          <w:iCs/>
          <w:sz w:val="22"/>
          <w:szCs w:val="24"/>
          <w:lang w:bidi="en-US"/>
        </w:rPr>
        <w:t>. </w:t>
      </w:r>
      <w:r w:rsidR="00276BC3" w:rsidRPr="00F742AF">
        <w:rPr>
          <w:rFonts w:eastAsia="Calibri" w:cs="Tahoma"/>
          <w:b/>
          <w:bCs/>
          <w:i/>
          <w:iCs/>
          <w:sz w:val="22"/>
          <w:szCs w:val="24"/>
          <w:u w:val="single"/>
          <w:lang w:bidi="en-US"/>
        </w:rPr>
        <w:t>Muerte del afiliado o del pensionado por riesgos profesionales.</w:t>
      </w:r>
      <w:r w:rsidR="00276BC3" w:rsidRPr="00F742AF">
        <w:rPr>
          <w:rFonts w:eastAsia="Calibri" w:cs="Tahoma"/>
          <w:i/>
          <w:iCs/>
          <w:sz w:val="22"/>
          <w:szCs w:val="24"/>
          <w:lang w:bidi="en-US"/>
        </w:rPr>
        <w:t xml:space="preserve"> Si como consecuencia del accidente de trabajo o de la enfermedad profesional sobreviene la muerte del afiliado, o muere un pensionado por riesgos profesionales, tendrán derecho a la pensión de sobrevivientes las personas descritas en el artículo 47 de la Ley 100 de 1993, y su reglamentario</w:t>
      </w:r>
      <w:r w:rsidRPr="00F742AF">
        <w:rPr>
          <w:rFonts w:eastAsia="Calibri" w:cs="Tahoma"/>
          <w:i/>
          <w:iCs/>
          <w:sz w:val="22"/>
          <w:szCs w:val="24"/>
          <w:lang w:bidi="en-US"/>
        </w:rPr>
        <w:t>”</w:t>
      </w:r>
      <w:r w:rsidR="00276BC3" w:rsidRPr="00F742AF">
        <w:rPr>
          <w:rFonts w:eastAsia="Calibri" w:cs="Tahoma"/>
          <w:i/>
          <w:iCs/>
          <w:sz w:val="22"/>
          <w:szCs w:val="24"/>
          <w:lang w:bidi="en-US"/>
        </w:rPr>
        <w:t>.</w:t>
      </w:r>
    </w:p>
    <w:p w14:paraId="25EC8716" w14:textId="77777777" w:rsidR="00276BC3" w:rsidRPr="00F742AF" w:rsidRDefault="00276BC3" w:rsidP="00F742AF">
      <w:pPr>
        <w:spacing w:line="276" w:lineRule="auto"/>
        <w:ind w:firstLine="360"/>
        <w:rPr>
          <w:rFonts w:eastAsia="Calibri" w:cs="Tahoma"/>
          <w:szCs w:val="24"/>
          <w:lang w:bidi="en-US"/>
        </w:rPr>
      </w:pPr>
    </w:p>
    <w:p w14:paraId="5D0F0196" w14:textId="47805FD7" w:rsidR="00276BC3" w:rsidRPr="00F742AF" w:rsidRDefault="00276BC3" w:rsidP="00F742AF">
      <w:pPr>
        <w:spacing w:line="276" w:lineRule="auto"/>
        <w:ind w:firstLine="360"/>
        <w:rPr>
          <w:rFonts w:eastAsia="Calibri" w:cs="Tahoma"/>
          <w:szCs w:val="24"/>
          <w:lang w:bidi="en-US"/>
        </w:rPr>
      </w:pPr>
      <w:r w:rsidRPr="00F742AF">
        <w:rPr>
          <w:rFonts w:eastAsia="Calibri" w:cs="Tahoma"/>
          <w:szCs w:val="24"/>
          <w:lang w:bidi="en-US"/>
        </w:rPr>
        <w:t>E</w:t>
      </w:r>
      <w:r w:rsidR="00A54452" w:rsidRPr="00F742AF">
        <w:rPr>
          <w:rFonts w:eastAsia="Calibri" w:cs="Tahoma"/>
          <w:szCs w:val="24"/>
          <w:lang w:bidi="en-US"/>
        </w:rPr>
        <w:t xml:space="preserve">stablecido que el causante dejó acreditado el derecho a la pensión de sobrevivientes en favor de sus beneficiarios, para </w:t>
      </w:r>
      <w:r w:rsidR="00AB4F5E" w:rsidRPr="00F742AF">
        <w:rPr>
          <w:rFonts w:eastAsia="Calibri" w:cs="Tahoma"/>
          <w:szCs w:val="24"/>
          <w:lang w:bidi="en-US"/>
        </w:rPr>
        <w:t>determinar</w:t>
      </w:r>
      <w:r w:rsidR="00A54452" w:rsidRPr="00F742AF">
        <w:rPr>
          <w:rFonts w:eastAsia="Calibri" w:cs="Tahoma"/>
          <w:szCs w:val="24"/>
          <w:lang w:bidi="en-US"/>
        </w:rPr>
        <w:t xml:space="preserve"> </w:t>
      </w:r>
      <w:r w:rsidR="006B6244" w:rsidRPr="00F742AF">
        <w:rPr>
          <w:rFonts w:eastAsia="Calibri" w:cs="Tahoma"/>
          <w:szCs w:val="24"/>
          <w:lang w:bidi="en-US"/>
        </w:rPr>
        <w:t xml:space="preserve">quienes </w:t>
      </w:r>
      <w:r w:rsidR="00A54452" w:rsidRPr="00F742AF">
        <w:rPr>
          <w:rFonts w:eastAsia="Calibri" w:cs="Tahoma"/>
          <w:szCs w:val="24"/>
          <w:lang w:bidi="en-US"/>
        </w:rPr>
        <w:t xml:space="preserve">ostentan tal calidad, </w:t>
      </w:r>
      <w:r w:rsidR="006B6244" w:rsidRPr="00F742AF">
        <w:rPr>
          <w:rFonts w:eastAsia="Calibri" w:cs="Tahoma"/>
          <w:szCs w:val="24"/>
          <w:lang w:bidi="en-US"/>
        </w:rPr>
        <w:t xml:space="preserve">se acude </w:t>
      </w:r>
      <w:r w:rsidRPr="00F742AF">
        <w:rPr>
          <w:rFonts w:eastAsia="Calibri" w:cs="Tahoma"/>
          <w:szCs w:val="24"/>
          <w:lang w:bidi="en-US"/>
        </w:rPr>
        <w:t xml:space="preserve">al artículo 13 de la Ley 797 de 2003 que modificó los artículos </w:t>
      </w:r>
      <w:hyperlink r:id="rId12" w:anchor="47" w:tgtFrame="_blank" w:history="1">
        <w:r w:rsidRPr="00F742AF">
          <w:rPr>
            <w:rFonts w:eastAsia="Calibri" w:cs="Tahoma"/>
            <w:szCs w:val="24"/>
            <w:lang w:bidi="en-US"/>
          </w:rPr>
          <w:t>47</w:t>
        </w:r>
      </w:hyperlink>
      <w:r w:rsidRPr="00F742AF">
        <w:rPr>
          <w:rFonts w:eastAsia="Calibri" w:cs="Tahoma"/>
          <w:szCs w:val="24"/>
          <w:lang w:bidi="en-US"/>
        </w:rPr>
        <w:t xml:space="preserve"> y </w:t>
      </w:r>
      <w:hyperlink r:id="rId13" w:anchor="74" w:tgtFrame="_blank" w:history="1">
        <w:r w:rsidRPr="00F742AF">
          <w:rPr>
            <w:rFonts w:eastAsia="Calibri" w:cs="Tahoma"/>
            <w:szCs w:val="24"/>
            <w:lang w:bidi="en-US"/>
          </w:rPr>
          <w:t>74</w:t>
        </w:r>
      </w:hyperlink>
      <w:r w:rsidRPr="00F742AF">
        <w:rPr>
          <w:rFonts w:eastAsia="Calibri" w:cs="Tahoma"/>
          <w:szCs w:val="24"/>
          <w:lang w:bidi="en-US"/>
        </w:rPr>
        <w:t xml:space="preserve"> que dispone: </w:t>
      </w:r>
    </w:p>
    <w:p w14:paraId="52A5E205" w14:textId="77777777" w:rsidR="003949E4" w:rsidRPr="00F742AF" w:rsidRDefault="003949E4" w:rsidP="00F742AF">
      <w:pPr>
        <w:spacing w:line="276" w:lineRule="auto"/>
        <w:ind w:firstLine="360"/>
        <w:rPr>
          <w:rFonts w:eastAsia="Calibri" w:cs="Tahoma"/>
          <w:szCs w:val="24"/>
          <w:lang w:bidi="en-US"/>
        </w:rPr>
      </w:pPr>
    </w:p>
    <w:p w14:paraId="23BCC005" w14:textId="77777777" w:rsidR="00276BC3" w:rsidRDefault="00276BC3" w:rsidP="00F742AF">
      <w:pPr>
        <w:spacing w:line="240" w:lineRule="auto"/>
        <w:ind w:left="426" w:right="420"/>
        <w:rPr>
          <w:rFonts w:eastAsia="Calibri" w:cs="Tahoma"/>
          <w:i/>
          <w:iCs/>
          <w:sz w:val="22"/>
          <w:szCs w:val="24"/>
          <w:lang w:bidi="en-US"/>
        </w:rPr>
      </w:pPr>
      <w:r w:rsidRPr="00F742AF">
        <w:rPr>
          <w:rFonts w:eastAsia="Calibri" w:cs="Tahoma"/>
          <w:i/>
          <w:iCs/>
          <w:sz w:val="22"/>
          <w:szCs w:val="24"/>
          <w:lang w:bidi="en-US"/>
        </w:rPr>
        <w:t>“</w:t>
      </w:r>
      <w:r w:rsidRPr="00F742AF">
        <w:rPr>
          <w:rFonts w:eastAsia="Calibri" w:cs="Tahoma"/>
          <w:b/>
          <w:bCs/>
          <w:i/>
          <w:iCs/>
          <w:sz w:val="22"/>
          <w:szCs w:val="24"/>
          <w:lang w:bidi="en-US"/>
        </w:rPr>
        <w:t>Artículo 47.</w:t>
      </w:r>
      <w:r w:rsidRPr="00F742AF">
        <w:rPr>
          <w:rFonts w:eastAsia="Calibri" w:cs="Tahoma"/>
          <w:i/>
          <w:iCs/>
          <w:sz w:val="22"/>
          <w:szCs w:val="24"/>
          <w:lang w:bidi="en-US"/>
        </w:rPr>
        <w:t xml:space="preserve"> </w:t>
      </w:r>
      <w:r w:rsidRPr="00F742AF">
        <w:rPr>
          <w:rFonts w:eastAsia="Calibri" w:cs="Tahoma"/>
          <w:b/>
          <w:bCs/>
          <w:i/>
          <w:iCs/>
          <w:sz w:val="22"/>
          <w:szCs w:val="24"/>
          <w:u w:val="single"/>
          <w:lang w:bidi="en-US"/>
        </w:rPr>
        <w:t>Beneficiarios de la Pensión de Sobrevivientes</w:t>
      </w:r>
      <w:r w:rsidRPr="00F742AF">
        <w:rPr>
          <w:rFonts w:eastAsia="Calibri" w:cs="Tahoma"/>
          <w:i/>
          <w:iCs/>
          <w:sz w:val="22"/>
          <w:szCs w:val="24"/>
          <w:lang w:bidi="en-US"/>
        </w:rPr>
        <w:t>. Son beneficiarios de la pensión de sobrevivientes:</w:t>
      </w:r>
    </w:p>
    <w:p w14:paraId="332E1836" w14:textId="77777777" w:rsidR="00F742AF" w:rsidRPr="00F742AF" w:rsidRDefault="00F742AF" w:rsidP="00F742AF">
      <w:pPr>
        <w:spacing w:line="240" w:lineRule="auto"/>
        <w:ind w:left="426" w:right="420"/>
        <w:rPr>
          <w:rFonts w:eastAsia="Calibri" w:cs="Tahoma"/>
          <w:i/>
          <w:iCs/>
          <w:sz w:val="22"/>
          <w:szCs w:val="24"/>
          <w:lang w:bidi="en-US"/>
        </w:rPr>
      </w:pPr>
    </w:p>
    <w:p w14:paraId="1B1F4235" w14:textId="77777777" w:rsidR="00276BC3" w:rsidRDefault="00276BC3" w:rsidP="00F742AF">
      <w:pPr>
        <w:spacing w:line="240" w:lineRule="auto"/>
        <w:ind w:left="426" w:right="420"/>
        <w:rPr>
          <w:rFonts w:eastAsia="Calibri" w:cs="Tahoma"/>
          <w:i/>
          <w:iCs/>
          <w:sz w:val="22"/>
          <w:szCs w:val="24"/>
          <w:lang w:bidi="en-US"/>
        </w:rPr>
      </w:pPr>
      <w:r w:rsidRPr="00F742AF">
        <w:rPr>
          <w:rFonts w:eastAsia="Calibri" w:cs="Tahoma"/>
          <w:i/>
          <w:iCs/>
          <w:sz w:val="22"/>
          <w:szCs w:val="24"/>
          <w:lang w:bidi="en-US"/>
        </w:rPr>
        <w:t>(…)</w:t>
      </w:r>
    </w:p>
    <w:p w14:paraId="0A63AF74" w14:textId="77777777" w:rsidR="00F742AF" w:rsidRPr="00F742AF" w:rsidRDefault="00F742AF" w:rsidP="00F742AF">
      <w:pPr>
        <w:spacing w:line="240" w:lineRule="auto"/>
        <w:ind w:left="426" w:right="420"/>
        <w:rPr>
          <w:rFonts w:eastAsia="Calibri" w:cs="Tahoma"/>
          <w:i/>
          <w:iCs/>
          <w:sz w:val="22"/>
          <w:szCs w:val="24"/>
          <w:lang w:bidi="en-US"/>
        </w:rPr>
      </w:pPr>
    </w:p>
    <w:p w14:paraId="193B9C2F" w14:textId="77777777" w:rsidR="00276BC3" w:rsidRPr="00F742AF" w:rsidRDefault="00276BC3" w:rsidP="00F742AF">
      <w:pPr>
        <w:spacing w:line="240" w:lineRule="auto"/>
        <w:ind w:left="426" w:right="420"/>
        <w:rPr>
          <w:rFonts w:eastAsia="Calibri" w:cs="Tahoma"/>
          <w:i/>
          <w:iCs/>
          <w:sz w:val="22"/>
          <w:szCs w:val="24"/>
          <w:lang w:bidi="en-US"/>
        </w:rPr>
      </w:pPr>
      <w:r w:rsidRPr="00F742AF">
        <w:rPr>
          <w:rFonts w:eastAsia="Calibri" w:cs="Tahoma"/>
          <w:i/>
          <w:iCs/>
          <w:sz w:val="22"/>
          <w:szCs w:val="24"/>
          <w:lang w:bidi="en-US"/>
        </w:rPr>
        <w:t>d) A falta de cónyuge, compañero o compañera permanente e hijos con derecho, serán beneficiarios los padres del causante si dependían económicamente”.</w:t>
      </w:r>
    </w:p>
    <w:p w14:paraId="7563DD76" w14:textId="77777777" w:rsidR="00276BC3" w:rsidRPr="00F742AF" w:rsidRDefault="00276BC3" w:rsidP="00F742AF">
      <w:pPr>
        <w:spacing w:line="276" w:lineRule="auto"/>
        <w:ind w:left="1416" w:right="476"/>
        <w:rPr>
          <w:rFonts w:eastAsia="Calibri" w:cs="Tahoma"/>
          <w:i/>
          <w:iCs/>
          <w:szCs w:val="24"/>
          <w:lang w:bidi="en-US"/>
        </w:rPr>
      </w:pPr>
    </w:p>
    <w:p w14:paraId="1A3A5652" w14:textId="09CCA570" w:rsidR="00820C73" w:rsidRPr="00F742AF" w:rsidRDefault="005C365E" w:rsidP="00F742AF">
      <w:pPr>
        <w:spacing w:line="276" w:lineRule="auto"/>
        <w:ind w:firstLine="360"/>
        <w:rPr>
          <w:rFonts w:eastAsia="Calibri" w:cs="Tahoma"/>
          <w:szCs w:val="24"/>
          <w:lang w:bidi="en-US"/>
        </w:rPr>
      </w:pPr>
      <w:r w:rsidRPr="00F742AF">
        <w:rPr>
          <w:rFonts w:eastAsia="Calibri" w:cs="Tahoma"/>
          <w:szCs w:val="24"/>
          <w:lang w:bidi="en-US"/>
        </w:rPr>
        <w:t>Frente al requisito de dependencia económica, la Sala de Casación Laboral en sentencia SL4166-2020 (19-08-2020)</w:t>
      </w:r>
      <w:r w:rsidRPr="00F742AF">
        <w:rPr>
          <w:rFonts w:cs="Tahoma"/>
          <w:b/>
          <w:bCs/>
          <w:szCs w:val="24"/>
          <w:vertAlign w:val="superscript"/>
        </w:rPr>
        <w:footnoteReference w:id="1"/>
      </w:r>
      <w:r w:rsidRPr="00F742AF">
        <w:rPr>
          <w:rFonts w:eastAsia="Calibri" w:cs="Tahoma"/>
          <w:szCs w:val="24"/>
          <w:lang w:bidi="en-US"/>
        </w:rPr>
        <w:t>, precisó:</w:t>
      </w:r>
    </w:p>
    <w:p w14:paraId="7E4692EE" w14:textId="4E901915" w:rsidR="005C365E" w:rsidRPr="00F742AF" w:rsidRDefault="005C365E" w:rsidP="00F742AF">
      <w:pPr>
        <w:spacing w:line="276" w:lineRule="auto"/>
        <w:ind w:firstLine="360"/>
        <w:rPr>
          <w:rFonts w:eastAsia="Calibri" w:cs="Tahoma"/>
          <w:szCs w:val="24"/>
          <w:lang w:bidi="en-US"/>
        </w:rPr>
      </w:pPr>
    </w:p>
    <w:p w14:paraId="05FD28F8" w14:textId="77777777" w:rsidR="00285F4D" w:rsidRPr="00F742AF" w:rsidRDefault="005C365E" w:rsidP="00F742AF">
      <w:pPr>
        <w:spacing w:line="240" w:lineRule="auto"/>
        <w:ind w:left="426" w:right="420"/>
        <w:rPr>
          <w:rFonts w:eastAsia="Calibri" w:cs="Tahoma"/>
          <w:i/>
          <w:iCs/>
          <w:sz w:val="22"/>
          <w:szCs w:val="24"/>
          <w:lang w:bidi="en-US"/>
        </w:rPr>
      </w:pPr>
      <w:r w:rsidRPr="00F742AF">
        <w:rPr>
          <w:rFonts w:eastAsia="Calibri" w:cs="Tahoma"/>
          <w:i/>
          <w:iCs/>
          <w:sz w:val="22"/>
          <w:szCs w:val="24"/>
          <w:lang w:bidi="en-US"/>
        </w:rPr>
        <w:t>“…. en este caso se advierte que el Tribunal acudió a varias reglas jurídicas establecidas por la jurisprudencia constitucional y de esta Corporación, a efecto del reconocimiento de la pensión de sobrevivientes reclamada, que pueden sintetizarse así: (i) el supuesto de la dependencia económica exigido legalmente para ser beneficiario de una pensión de sobrevivientes está ligado conceptualmente al de subordinación del ascendiente al ingreso monetario que le proporcionaba en vida su descendiente; (ii) tal exigencia no se desvirtúa automáticamente por el simple hecho que el potencial beneficiario perciba otros ingresos derivados de su trabajo o de otras fuentes, y (iii) lo relevante es determinar si el reclamante era económicamente autosuficiente y si después de la muerte del afiliado pudo conservar sus medios de subsistencia de manera digna</w:t>
      </w:r>
      <w:r w:rsidR="00285F4D" w:rsidRPr="00F742AF">
        <w:rPr>
          <w:rFonts w:eastAsia="Calibri" w:cs="Tahoma"/>
          <w:i/>
          <w:iCs/>
          <w:sz w:val="22"/>
          <w:szCs w:val="24"/>
          <w:lang w:bidi="en-US"/>
        </w:rPr>
        <w:t>.</w:t>
      </w:r>
    </w:p>
    <w:p w14:paraId="56883621" w14:textId="77777777" w:rsidR="00285F4D" w:rsidRPr="00F742AF" w:rsidRDefault="00285F4D" w:rsidP="00F742AF">
      <w:pPr>
        <w:spacing w:line="240" w:lineRule="auto"/>
        <w:ind w:left="426" w:right="420"/>
        <w:rPr>
          <w:rFonts w:eastAsia="Calibri" w:cs="Tahoma"/>
          <w:i/>
          <w:iCs/>
          <w:sz w:val="22"/>
          <w:szCs w:val="24"/>
          <w:lang w:bidi="en-US"/>
        </w:rPr>
      </w:pPr>
    </w:p>
    <w:p w14:paraId="42918507" w14:textId="77777777" w:rsidR="00285F4D" w:rsidRPr="00F742AF" w:rsidRDefault="00285F4D" w:rsidP="00F742AF">
      <w:pPr>
        <w:spacing w:line="240" w:lineRule="auto"/>
        <w:ind w:left="426" w:right="420"/>
        <w:rPr>
          <w:rFonts w:eastAsia="Calibri" w:cs="Tahoma"/>
          <w:i/>
          <w:iCs/>
          <w:sz w:val="22"/>
          <w:szCs w:val="24"/>
          <w:lang w:bidi="en-US"/>
        </w:rPr>
      </w:pPr>
      <w:r w:rsidRPr="00F742AF">
        <w:rPr>
          <w:rFonts w:eastAsia="Calibri" w:cs="Tahoma"/>
          <w:i/>
          <w:iCs/>
          <w:sz w:val="22"/>
          <w:szCs w:val="24"/>
          <w:lang w:bidi="en-US"/>
        </w:rPr>
        <w:t xml:space="preserve">A juicio de la Corte, tal razonamiento desde el punto de vista jurídico no se distancia del entendimiento que esta Sala ha dado al concepto de dependencia económica, previsto en el artículo 74 de la Ley 100 de 1993, modificado por el artículo 13 de la Ley 797 de 2003. </w:t>
      </w:r>
    </w:p>
    <w:p w14:paraId="63A92CBE" w14:textId="77777777" w:rsidR="00285F4D" w:rsidRPr="00F742AF" w:rsidRDefault="00285F4D" w:rsidP="00F742AF">
      <w:pPr>
        <w:spacing w:line="240" w:lineRule="auto"/>
        <w:ind w:left="426" w:right="420"/>
        <w:rPr>
          <w:rFonts w:eastAsia="Calibri" w:cs="Tahoma"/>
          <w:i/>
          <w:iCs/>
          <w:sz w:val="22"/>
          <w:szCs w:val="24"/>
          <w:lang w:bidi="en-US"/>
        </w:rPr>
      </w:pPr>
    </w:p>
    <w:p w14:paraId="6275BC21" w14:textId="77777777" w:rsidR="00F4739C" w:rsidRPr="00F742AF" w:rsidRDefault="00285F4D" w:rsidP="00F742AF">
      <w:pPr>
        <w:spacing w:line="240" w:lineRule="auto"/>
        <w:ind w:left="426" w:right="420"/>
        <w:rPr>
          <w:rFonts w:eastAsia="Calibri" w:cs="Tahoma"/>
          <w:i/>
          <w:iCs/>
          <w:sz w:val="22"/>
          <w:szCs w:val="24"/>
          <w:lang w:bidi="en-US"/>
        </w:rPr>
      </w:pPr>
      <w:r w:rsidRPr="00F742AF">
        <w:rPr>
          <w:rFonts w:eastAsia="Calibri" w:cs="Tahoma"/>
          <w:i/>
          <w:iCs/>
          <w:sz w:val="22"/>
          <w:szCs w:val="24"/>
          <w:lang w:bidi="en-US"/>
        </w:rPr>
        <w:t>En efecto, como lo puso de presente el juez plural, conforme a la jurisprudencia desarrollada por esta Corporación en torno a dicho requisito, en concordancia con lo establecido por la Corte Constitucional en la sentencia C-111-2006, la dependencia económica no puede identificarse con una sujeción total y absoluta del presunto beneficiario a los ingresos económicos que percibía el causante, de modo que no excluye la existencia de otras rentas o fuentes de recursos, propios o provenientes de terceros, pues no es necesario que se encuentre en estado de mendicidad o indigencia (CSJ SL400-2013, CSJ SL816-2013, CSJ SL2800-2014, CSJ SL3630-2014, CSJ SL6690-2014 y CSJ SL14923-2014)</w:t>
      </w:r>
      <w:r w:rsidR="00F4739C" w:rsidRPr="00F742AF">
        <w:rPr>
          <w:rFonts w:eastAsia="Calibri" w:cs="Tahoma"/>
          <w:i/>
          <w:iCs/>
          <w:sz w:val="22"/>
          <w:szCs w:val="24"/>
          <w:lang w:bidi="en-US"/>
        </w:rPr>
        <w:t>.</w:t>
      </w:r>
    </w:p>
    <w:p w14:paraId="14804BF4" w14:textId="77777777" w:rsidR="00F4739C" w:rsidRPr="00F742AF" w:rsidRDefault="00F4739C" w:rsidP="00F742AF">
      <w:pPr>
        <w:spacing w:line="240" w:lineRule="auto"/>
        <w:ind w:left="426" w:right="420"/>
        <w:rPr>
          <w:rFonts w:eastAsia="Calibri" w:cs="Tahoma"/>
          <w:i/>
          <w:iCs/>
          <w:sz w:val="22"/>
          <w:szCs w:val="24"/>
          <w:lang w:bidi="en-US"/>
        </w:rPr>
      </w:pPr>
    </w:p>
    <w:p w14:paraId="18EE9600" w14:textId="77777777" w:rsidR="00F4739C" w:rsidRPr="00F742AF" w:rsidRDefault="00F4739C" w:rsidP="00F742AF">
      <w:pPr>
        <w:spacing w:line="240" w:lineRule="auto"/>
        <w:ind w:left="426" w:right="420"/>
        <w:rPr>
          <w:rFonts w:eastAsia="Calibri" w:cs="Tahoma"/>
          <w:i/>
          <w:iCs/>
          <w:sz w:val="22"/>
          <w:szCs w:val="24"/>
          <w:lang w:bidi="en-US"/>
        </w:rPr>
      </w:pPr>
      <w:r w:rsidRPr="00F742AF">
        <w:rPr>
          <w:rFonts w:eastAsia="Calibri" w:cs="Tahoma"/>
          <w:i/>
          <w:iCs/>
          <w:sz w:val="22"/>
          <w:szCs w:val="24"/>
          <w:lang w:bidi="en-US"/>
        </w:rPr>
        <w:t>Así, la Corte ha explicado que la dependencia económica se estructura a partir de aportes ciertos, regulares y periódicos de los hijos hacia los padres, además de significativos y proporcionalmente representativos, en perspectiva de los ingresos totales del sobreviviente, de manera que se establezca una verdadera relación de subordinación económica y, por tanto, se descarte una autosuficiencia económica a partir de otros ingresos. Precisamente, en la sentencia CSJ SL14923-2014 la Corporación expresó:</w:t>
      </w:r>
    </w:p>
    <w:p w14:paraId="3AE26D2D" w14:textId="18DBCD82" w:rsidR="00F4739C" w:rsidRPr="00F742AF" w:rsidRDefault="00F4739C" w:rsidP="00F742AF">
      <w:pPr>
        <w:spacing w:line="240" w:lineRule="auto"/>
        <w:ind w:left="426" w:right="420"/>
        <w:rPr>
          <w:rFonts w:eastAsia="Calibri" w:cs="Tahoma"/>
          <w:i/>
          <w:iCs/>
          <w:sz w:val="22"/>
          <w:szCs w:val="24"/>
          <w:lang w:bidi="en-US"/>
        </w:rPr>
      </w:pPr>
    </w:p>
    <w:p w14:paraId="050E1676" w14:textId="66AD6CF3" w:rsidR="005C365E" w:rsidRPr="00F742AF" w:rsidRDefault="00F4739C" w:rsidP="00F742AF">
      <w:pPr>
        <w:spacing w:line="240" w:lineRule="auto"/>
        <w:ind w:left="851" w:right="845"/>
        <w:rPr>
          <w:rFonts w:eastAsia="Calibri" w:cs="Tahoma"/>
          <w:i/>
          <w:iCs/>
          <w:sz w:val="22"/>
          <w:szCs w:val="24"/>
          <w:lang w:bidi="en-US"/>
        </w:rPr>
      </w:pPr>
      <w:r w:rsidRPr="00F742AF">
        <w:rPr>
          <w:rFonts w:cs="Tahoma"/>
          <w:i/>
          <w:sz w:val="22"/>
          <w:szCs w:val="24"/>
        </w:rPr>
        <w:t xml:space="preserve">De lo dicho se sigue que la dependencia económica requerida por la ley, para adquirir la condición de beneficiario de la pensión de sobrevivientes, debe contar cuando menos con los siguientes elementos: i) debe ser </w:t>
      </w:r>
      <w:r w:rsidRPr="00F742AF">
        <w:rPr>
          <w:rFonts w:cs="Tahoma"/>
          <w:b/>
          <w:i/>
          <w:sz w:val="22"/>
          <w:szCs w:val="24"/>
        </w:rPr>
        <w:t>cierta y no presunta</w:t>
      </w:r>
      <w:r w:rsidRPr="00F742AF">
        <w:rPr>
          <w:rFonts w:cs="Tahoma"/>
          <w:i/>
          <w:sz w:val="22"/>
          <w:szCs w:val="24"/>
        </w:rPr>
        <w:t xml:space="preserve">, esto es, que se tiene que demostrar efectivamente el suministro de recursos de la persona fallecida hacia el presunto beneficiario, y no se puede construir o desvirtuar a partir de suposiciones o imperativos legales abstractos como el de la obligación de socorro de los hijos hacia los padres; ii) la participación económica debe ser </w:t>
      </w:r>
      <w:r w:rsidRPr="00F742AF">
        <w:rPr>
          <w:rFonts w:cs="Tahoma"/>
          <w:b/>
          <w:i/>
          <w:sz w:val="22"/>
          <w:szCs w:val="24"/>
        </w:rPr>
        <w:t>regular y periódica</w:t>
      </w:r>
      <w:r w:rsidRPr="00F742AF">
        <w:rPr>
          <w:rFonts w:cs="Tahoma"/>
          <w:i/>
          <w:sz w:val="22"/>
          <w:szCs w:val="24"/>
        </w:rPr>
        <w:t xml:space="preserve">, de manera que no pueden validarse dentro del concepto de dependencia los simples regalos, atenciones, o cualquier otro tipo de auxilio eventual del fallecido hacía el presunto beneficiario; iii) las </w:t>
      </w:r>
      <w:r w:rsidRPr="00F742AF">
        <w:rPr>
          <w:rFonts w:cs="Tahoma"/>
          <w:i/>
          <w:sz w:val="22"/>
          <w:szCs w:val="24"/>
        </w:rPr>
        <w:lastRenderedPageBreak/>
        <w:t xml:space="preserve">contribuciones que configuran la dependencia deben ser </w:t>
      </w:r>
      <w:r w:rsidRPr="00F742AF">
        <w:rPr>
          <w:rFonts w:cs="Tahoma"/>
          <w:b/>
          <w:i/>
          <w:sz w:val="22"/>
          <w:szCs w:val="24"/>
        </w:rPr>
        <w:t>significativas</w:t>
      </w:r>
      <w:r w:rsidRPr="00F742AF">
        <w:rPr>
          <w:rFonts w:cs="Tahoma"/>
          <w:i/>
          <w:sz w:val="22"/>
          <w:szCs w:val="24"/>
        </w:rPr>
        <w:t xml:space="preserve">, respecto al total de ingresos de beneficiarios de manera que se constituyan en un verdadero soporte o sustento económico de éste; por lo que, tales asignaciones deben ser </w:t>
      </w:r>
      <w:r w:rsidRPr="00F742AF">
        <w:rPr>
          <w:rFonts w:cs="Tahoma"/>
          <w:b/>
          <w:i/>
          <w:sz w:val="22"/>
          <w:szCs w:val="24"/>
        </w:rPr>
        <w:t>proporcionalmente representativas</w:t>
      </w:r>
      <w:r w:rsidRPr="00F742AF">
        <w:rPr>
          <w:rFonts w:cs="Tahoma"/>
          <w:i/>
          <w:sz w:val="22"/>
          <w:szCs w:val="24"/>
        </w:rPr>
        <w:t>, en función de otros ingresos que pueda percibir el sobreviviente, de tal manera que si, por ejemplo, recibe rentas muy superiores al aporte del causante, no es dable hablar de dependencia</w:t>
      </w:r>
      <w:r w:rsidR="005C365E" w:rsidRPr="00F742AF">
        <w:rPr>
          <w:rFonts w:eastAsia="Calibri" w:cs="Tahoma"/>
          <w:i/>
          <w:iCs/>
          <w:sz w:val="22"/>
          <w:szCs w:val="24"/>
          <w:lang w:bidi="en-US"/>
        </w:rPr>
        <w:t xml:space="preserve">”. </w:t>
      </w:r>
    </w:p>
    <w:p w14:paraId="62F4E77C" w14:textId="77777777" w:rsidR="005C365E" w:rsidRPr="00F742AF" w:rsidRDefault="005C365E" w:rsidP="00F742AF">
      <w:pPr>
        <w:spacing w:line="276" w:lineRule="auto"/>
        <w:rPr>
          <w:rFonts w:eastAsia="Calibri" w:cs="Tahoma"/>
          <w:b/>
          <w:bCs/>
          <w:color w:val="FF0000"/>
          <w:szCs w:val="24"/>
          <w:lang w:bidi="en-US"/>
        </w:rPr>
      </w:pPr>
    </w:p>
    <w:p w14:paraId="5FE867D0" w14:textId="2AF84AB9" w:rsidR="00BE0281" w:rsidRPr="00F742AF" w:rsidRDefault="00BE0281" w:rsidP="00F742AF">
      <w:pPr>
        <w:pStyle w:val="Prrafodelista"/>
        <w:numPr>
          <w:ilvl w:val="1"/>
          <w:numId w:val="2"/>
        </w:numPr>
        <w:spacing w:line="276" w:lineRule="auto"/>
        <w:rPr>
          <w:rFonts w:ascii="Tahoma" w:eastAsia="Calibri" w:hAnsi="Tahoma" w:cs="Tahoma"/>
          <w:lang w:bidi="en-US"/>
        </w:rPr>
      </w:pPr>
      <w:r w:rsidRPr="00F742AF">
        <w:rPr>
          <w:rFonts w:ascii="Tahoma" w:eastAsia="Calibri" w:hAnsi="Tahoma" w:cs="Tahoma"/>
          <w:b/>
          <w:bCs/>
          <w:lang w:bidi="en-US"/>
        </w:rPr>
        <w:t>Caso concreto.</w:t>
      </w:r>
    </w:p>
    <w:p w14:paraId="658D6365" w14:textId="3FE4068F" w:rsidR="005C365E" w:rsidRPr="00F742AF" w:rsidRDefault="005C365E" w:rsidP="00F742AF">
      <w:pPr>
        <w:spacing w:line="276" w:lineRule="auto"/>
        <w:rPr>
          <w:rFonts w:eastAsia="Calibri" w:cs="Tahoma"/>
          <w:b/>
          <w:bCs/>
          <w:color w:val="FF0000"/>
          <w:szCs w:val="24"/>
          <w:lang w:bidi="en-US"/>
        </w:rPr>
      </w:pPr>
    </w:p>
    <w:p w14:paraId="0DDB2858" w14:textId="17F66339" w:rsidR="00E62F20" w:rsidRPr="00F742AF" w:rsidRDefault="00E62F20" w:rsidP="00F742AF">
      <w:pPr>
        <w:spacing w:line="276" w:lineRule="auto"/>
        <w:ind w:firstLine="360"/>
        <w:rPr>
          <w:rFonts w:eastAsia="Calibri" w:cs="Tahoma"/>
          <w:szCs w:val="24"/>
          <w:lang w:val="es-ES" w:bidi="en-US"/>
        </w:rPr>
      </w:pPr>
      <w:r w:rsidRPr="00F742AF">
        <w:rPr>
          <w:rFonts w:eastAsia="Calibri" w:cs="Tahoma"/>
          <w:szCs w:val="24"/>
          <w:lang w:bidi="en-US"/>
        </w:rPr>
        <w:t xml:space="preserve">Obra en el expediente, la </w:t>
      </w:r>
      <w:r w:rsidRPr="00F742AF">
        <w:rPr>
          <w:rFonts w:eastAsia="Calibri" w:cs="Tahoma"/>
          <w:szCs w:val="24"/>
          <w:lang w:val="es-ES" w:bidi="en-US"/>
        </w:rPr>
        <w:t xml:space="preserve">investigación administrativa </w:t>
      </w:r>
      <w:r w:rsidR="000C47C7" w:rsidRPr="00F742AF">
        <w:rPr>
          <w:rFonts w:eastAsia="Calibri" w:cs="Tahoma"/>
          <w:szCs w:val="24"/>
          <w:lang w:val="es-ES" w:bidi="en-US"/>
        </w:rPr>
        <w:t xml:space="preserve">de la </w:t>
      </w:r>
      <w:r w:rsidRPr="00F742AF">
        <w:rPr>
          <w:rFonts w:eastAsia="Calibri" w:cs="Tahoma"/>
          <w:szCs w:val="24"/>
          <w:lang w:val="es-ES" w:bidi="en-US"/>
        </w:rPr>
        <w:t>dependencia económica</w:t>
      </w:r>
      <w:r w:rsidR="000C47C7" w:rsidRPr="00F742AF">
        <w:rPr>
          <w:rFonts w:eastAsia="Calibri" w:cs="Tahoma"/>
          <w:szCs w:val="24"/>
          <w:lang w:val="es-ES" w:bidi="en-US"/>
        </w:rPr>
        <w:t xml:space="preserve">, </w:t>
      </w:r>
      <w:r w:rsidRPr="00F742AF">
        <w:rPr>
          <w:rFonts w:eastAsia="Calibri" w:cs="Tahoma"/>
          <w:szCs w:val="24"/>
          <w:lang w:val="es-ES" w:bidi="en-US"/>
        </w:rPr>
        <w:t>realizada por la gerencia de investigaciones firma ANALISIS DE RIESGOS ARIES S. EN C. S.</w:t>
      </w:r>
      <w:r w:rsidR="00E86D6F" w:rsidRPr="00F742AF">
        <w:rPr>
          <w:rFonts w:eastAsia="Calibri" w:cs="Tahoma"/>
          <w:szCs w:val="24"/>
          <w:lang w:val="es-ES" w:bidi="en-US"/>
        </w:rPr>
        <w:t>,</w:t>
      </w:r>
      <w:r w:rsidRPr="00F742AF">
        <w:rPr>
          <w:rFonts w:eastAsia="Calibri" w:cs="Tahoma"/>
          <w:szCs w:val="24"/>
          <w:lang w:val="es-ES" w:bidi="en-US"/>
        </w:rPr>
        <w:t xml:space="preserve"> </w:t>
      </w:r>
      <w:r w:rsidR="000C47C7" w:rsidRPr="00F742AF">
        <w:rPr>
          <w:rFonts w:eastAsia="Calibri" w:cs="Tahoma"/>
          <w:szCs w:val="24"/>
          <w:lang w:val="es-ES" w:bidi="en-US"/>
        </w:rPr>
        <w:t xml:space="preserve">la cual se realizó con ocasión de </w:t>
      </w:r>
      <w:r w:rsidRPr="00F742AF">
        <w:rPr>
          <w:rFonts w:eastAsia="Calibri" w:cs="Tahoma"/>
          <w:szCs w:val="24"/>
          <w:lang w:val="es-ES" w:bidi="en-US"/>
        </w:rPr>
        <w:t xml:space="preserve">la reclamación </w:t>
      </w:r>
      <w:r w:rsidR="000C47C7" w:rsidRPr="00F742AF">
        <w:rPr>
          <w:rFonts w:eastAsia="Calibri" w:cs="Tahoma"/>
          <w:szCs w:val="24"/>
          <w:lang w:val="es-ES" w:bidi="en-US"/>
        </w:rPr>
        <w:t>pensional realizada por el aquí demandante, Pedro José Calderón Cañas</w:t>
      </w:r>
      <w:r w:rsidRPr="00F742AF">
        <w:rPr>
          <w:rFonts w:eastAsia="Calibri" w:cs="Tahoma"/>
          <w:szCs w:val="24"/>
          <w:lang w:val="es-ES" w:bidi="en-US"/>
        </w:rPr>
        <w:t xml:space="preserve"> (</w:t>
      </w:r>
      <w:r w:rsidR="000C47C7" w:rsidRPr="00F742AF">
        <w:rPr>
          <w:rFonts w:eastAsia="Calibri" w:cs="Tahoma"/>
          <w:szCs w:val="24"/>
          <w:lang w:val="es-ES" w:bidi="en-US"/>
        </w:rPr>
        <w:t>pág.</w:t>
      </w:r>
      <w:r w:rsidRPr="00F742AF">
        <w:rPr>
          <w:rFonts w:eastAsia="Calibri" w:cs="Tahoma"/>
          <w:szCs w:val="24"/>
          <w:lang w:val="es-ES" w:bidi="en-US"/>
        </w:rPr>
        <w:t xml:space="preserve"> </w:t>
      </w:r>
      <w:r w:rsidR="009429D7" w:rsidRPr="00F742AF">
        <w:rPr>
          <w:rFonts w:eastAsia="Calibri" w:cs="Tahoma"/>
          <w:szCs w:val="24"/>
          <w:lang w:val="es-ES" w:bidi="en-US"/>
        </w:rPr>
        <w:t>136</w:t>
      </w:r>
      <w:r w:rsidRPr="00F742AF">
        <w:rPr>
          <w:rFonts w:eastAsia="Calibri" w:cs="Tahoma"/>
          <w:szCs w:val="24"/>
          <w:lang w:val="es-ES" w:bidi="en-US"/>
        </w:rPr>
        <w:t>-15</w:t>
      </w:r>
      <w:r w:rsidR="009429D7" w:rsidRPr="00F742AF">
        <w:rPr>
          <w:rFonts w:eastAsia="Calibri" w:cs="Tahoma"/>
          <w:szCs w:val="24"/>
          <w:lang w:val="es-ES" w:bidi="en-US"/>
        </w:rPr>
        <w:t>8</w:t>
      </w:r>
      <w:r w:rsidRPr="00F742AF">
        <w:rPr>
          <w:rFonts w:eastAsia="Calibri" w:cs="Tahoma"/>
          <w:szCs w:val="24"/>
          <w:lang w:val="es-ES" w:bidi="en-US"/>
        </w:rPr>
        <w:t>)</w:t>
      </w:r>
      <w:r w:rsidR="009429D7" w:rsidRPr="00F742AF">
        <w:rPr>
          <w:rFonts w:eastAsia="Calibri" w:cs="Tahoma"/>
          <w:szCs w:val="24"/>
          <w:lang w:val="es-ES" w:bidi="en-US"/>
        </w:rPr>
        <w:t>, documento que fue incorporado como prueba de oficio durante l</w:t>
      </w:r>
      <w:r w:rsidR="000F75BE" w:rsidRPr="00F742AF">
        <w:rPr>
          <w:rFonts w:eastAsia="Calibri" w:cs="Tahoma"/>
          <w:szCs w:val="24"/>
          <w:lang w:val="es-ES" w:bidi="en-US"/>
        </w:rPr>
        <w:t>a</w:t>
      </w:r>
      <w:r w:rsidR="009429D7" w:rsidRPr="00F742AF">
        <w:rPr>
          <w:rFonts w:eastAsia="Calibri" w:cs="Tahoma"/>
          <w:szCs w:val="24"/>
          <w:lang w:val="es-ES" w:bidi="en-US"/>
        </w:rPr>
        <w:t xml:space="preserve"> audiencia del 15 de julio de 2019, sin </w:t>
      </w:r>
      <w:r w:rsidR="00E86D6F" w:rsidRPr="00F742AF">
        <w:rPr>
          <w:rFonts w:eastAsia="Calibri" w:cs="Tahoma"/>
          <w:szCs w:val="24"/>
          <w:lang w:val="es-ES" w:bidi="en-US"/>
        </w:rPr>
        <w:t xml:space="preserve">haber sido </w:t>
      </w:r>
      <w:r w:rsidR="009429D7" w:rsidRPr="00F742AF">
        <w:rPr>
          <w:rFonts w:eastAsia="Calibri" w:cs="Tahoma"/>
          <w:szCs w:val="24"/>
          <w:lang w:val="es-ES" w:bidi="en-US"/>
        </w:rPr>
        <w:t>objeto de tacha alguna</w:t>
      </w:r>
      <w:r w:rsidR="000F75BE" w:rsidRPr="00F742AF">
        <w:rPr>
          <w:rFonts w:eastAsia="Calibri" w:cs="Tahoma"/>
          <w:szCs w:val="24"/>
          <w:lang w:val="es-ES" w:bidi="en-US"/>
        </w:rPr>
        <w:t xml:space="preserve"> (fol. 166-167, expediente)</w:t>
      </w:r>
      <w:r w:rsidR="009429D7" w:rsidRPr="00F742AF">
        <w:rPr>
          <w:rFonts w:eastAsia="Calibri" w:cs="Tahoma"/>
          <w:szCs w:val="24"/>
          <w:lang w:val="es-ES" w:bidi="en-US"/>
        </w:rPr>
        <w:t>.</w:t>
      </w:r>
    </w:p>
    <w:p w14:paraId="50EDBEBD" w14:textId="4BBB2A7B" w:rsidR="000C47C7" w:rsidRPr="00F742AF" w:rsidRDefault="000C47C7" w:rsidP="00F742AF">
      <w:pPr>
        <w:spacing w:line="276" w:lineRule="auto"/>
        <w:ind w:firstLine="360"/>
        <w:rPr>
          <w:rFonts w:eastAsia="Calibri" w:cs="Tahoma"/>
          <w:szCs w:val="24"/>
          <w:lang w:val="es-ES" w:bidi="en-US"/>
        </w:rPr>
      </w:pPr>
    </w:p>
    <w:p w14:paraId="63F2AB43" w14:textId="05F66DE7" w:rsidR="000C47C7" w:rsidRPr="00F742AF" w:rsidRDefault="000C47C7" w:rsidP="00F742AF">
      <w:pPr>
        <w:spacing w:line="276" w:lineRule="auto"/>
        <w:ind w:firstLine="360"/>
        <w:rPr>
          <w:rFonts w:cs="Tahoma"/>
          <w:szCs w:val="24"/>
        </w:rPr>
      </w:pPr>
      <w:r w:rsidRPr="00F742AF">
        <w:rPr>
          <w:rFonts w:eastAsia="Calibri" w:cs="Tahoma"/>
          <w:szCs w:val="24"/>
          <w:lang w:val="es-ES" w:bidi="en-US"/>
        </w:rPr>
        <w:t xml:space="preserve">A propósito del valor probatorio de </w:t>
      </w:r>
      <w:r w:rsidRPr="00F742AF">
        <w:rPr>
          <w:rFonts w:cs="Tahoma"/>
          <w:szCs w:val="24"/>
        </w:rPr>
        <w:t xml:space="preserve">las investigaciones adelantadas por los organismos de la seguridad social para verificar la dependencia económica, al respecto, el órgano de cierre de </w:t>
      </w:r>
      <w:r w:rsidR="00164853" w:rsidRPr="00F742AF">
        <w:rPr>
          <w:rFonts w:cs="Tahoma"/>
          <w:szCs w:val="24"/>
        </w:rPr>
        <w:t>esta</w:t>
      </w:r>
      <w:r w:rsidRPr="00F742AF">
        <w:rPr>
          <w:rFonts w:cs="Tahoma"/>
          <w:szCs w:val="24"/>
        </w:rPr>
        <w:t xml:space="preserve"> jurisdicción en Sentencia proferida por la Sala el 15 de mayo de 2.012, radicación 43212, pregonó: </w:t>
      </w:r>
    </w:p>
    <w:p w14:paraId="02594484" w14:textId="77777777" w:rsidR="000F75BE" w:rsidRPr="00F742AF" w:rsidRDefault="000F75BE" w:rsidP="00F742AF">
      <w:pPr>
        <w:spacing w:line="276" w:lineRule="auto"/>
        <w:ind w:firstLine="360"/>
        <w:rPr>
          <w:rFonts w:cs="Tahoma"/>
          <w:szCs w:val="24"/>
        </w:rPr>
      </w:pPr>
    </w:p>
    <w:p w14:paraId="6C2EA3EF" w14:textId="77777777" w:rsidR="000C47C7" w:rsidRPr="00F742AF" w:rsidRDefault="000C47C7" w:rsidP="00F742AF">
      <w:pPr>
        <w:spacing w:line="240" w:lineRule="auto"/>
        <w:ind w:left="426" w:right="420"/>
        <w:rPr>
          <w:rFonts w:eastAsia="Calibri" w:cs="Tahoma"/>
          <w:i/>
          <w:iCs/>
          <w:sz w:val="22"/>
          <w:szCs w:val="24"/>
          <w:lang w:bidi="en-US"/>
        </w:rPr>
      </w:pPr>
      <w:r w:rsidRPr="00F742AF">
        <w:rPr>
          <w:rFonts w:eastAsia="Calibri" w:cs="Tahoma"/>
          <w:i/>
          <w:iCs/>
          <w:sz w:val="22"/>
          <w:szCs w:val="24"/>
          <w:lang w:bidi="en-US"/>
        </w:rPr>
        <w:t xml:space="preserve">“… se ha de precisar en primer término que la jurisprudencia de la Sala tiene definido el criterio de que los informes que recogen las investigaciones efectuadas por los funcionarios de las administradoras de pensiones para efectos de determinar la convivencia o la dependencia económica para discernir la condición de beneficiario de un derecho pensional, deben tenerse como “documento declarativo emanado de terceros”, cuya valoración se hace en forma similar al testimonio (…)” </w:t>
      </w:r>
    </w:p>
    <w:p w14:paraId="3424248E" w14:textId="77777777" w:rsidR="000C47C7" w:rsidRPr="00F742AF" w:rsidRDefault="000C47C7" w:rsidP="00F742AF">
      <w:pPr>
        <w:spacing w:line="276" w:lineRule="auto"/>
        <w:ind w:firstLine="360"/>
        <w:rPr>
          <w:rFonts w:cs="Tahoma"/>
          <w:i/>
          <w:szCs w:val="24"/>
        </w:rPr>
      </w:pPr>
    </w:p>
    <w:p w14:paraId="5C7D758B" w14:textId="6E8F7F64" w:rsidR="000C47C7" w:rsidRPr="00F742AF" w:rsidRDefault="000C47C7" w:rsidP="00F742AF">
      <w:pPr>
        <w:spacing w:line="276" w:lineRule="auto"/>
        <w:ind w:firstLine="360"/>
        <w:rPr>
          <w:rFonts w:cs="Tahoma"/>
          <w:szCs w:val="24"/>
        </w:rPr>
      </w:pPr>
      <w:r w:rsidRPr="00F742AF">
        <w:rPr>
          <w:rFonts w:cs="Tahoma"/>
          <w:szCs w:val="24"/>
        </w:rPr>
        <w:t xml:space="preserve">En consecuencia, su análisis y valor, de conformidad con el artículo 61 del CPLSS., no deriva exclusivamente de ser aceptada con la firma </w:t>
      </w:r>
      <w:r w:rsidR="006D2A29" w:rsidRPr="00F742AF">
        <w:rPr>
          <w:rFonts w:cs="Tahoma"/>
          <w:szCs w:val="24"/>
        </w:rPr>
        <w:t>del actor</w:t>
      </w:r>
      <w:r w:rsidRPr="00F742AF">
        <w:rPr>
          <w:rFonts w:cs="Tahoma"/>
          <w:szCs w:val="24"/>
        </w:rPr>
        <w:t>, sino del contenido del mismo, que</w:t>
      </w:r>
      <w:r w:rsidR="006A6B6B" w:rsidRPr="00F742AF">
        <w:rPr>
          <w:rFonts w:cs="Tahoma"/>
          <w:szCs w:val="24"/>
        </w:rPr>
        <w:t>,</w:t>
      </w:r>
      <w:r w:rsidRPr="00F742AF">
        <w:rPr>
          <w:rFonts w:cs="Tahoma"/>
          <w:szCs w:val="24"/>
        </w:rPr>
        <w:t xml:space="preserve"> siguiendo las reglas del testimonio, y no del documento, ha de apreciarse no solo en función de lo que allí se dejó consignado, sino también de lo que las demás probanzas incorporadas </w:t>
      </w:r>
      <w:r w:rsidR="006A6B6B" w:rsidRPr="00F742AF">
        <w:rPr>
          <w:rFonts w:cs="Tahoma"/>
          <w:szCs w:val="24"/>
        </w:rPr>
        <w:t xml:space="preserve">al expediente </w:t>
      </w:r>
      <w:r w:rsidRPr="00F742AF">
        <w:rPr>
          <w:rFonts w:cs="Tahoma"/>
          <w:szCs w:val="24"/>
        </w:rPr>
        <w:t>arrojen y de lo que también enseñen las reglas de la experiencia.</w:t>
      </w:r>
    </w:p>
    <w:p w14:paraId="5C5BF982" w14:textId="4F7FD335" w:rsidR="00164853" w:rsidRPr="00F742AF" w:rsidRDefault="00164853" w:rsidP="00F742AF">
      <w:pPr>
        <w:spacing w:line="276" w:lineRule="auto"/>
        <w:ind w:firstLine="360"/>
        <w:rPr>
          <w:rFonts w:cs="Tahoma"/>
          <w:szCs w:val="24"/>
        </w:rPr>
      </w:pPr>
    </w:p>
    <w:p w14:paraId="75D67011" w14:textId="00D02826" w:rsidR="00164853" w:rsidRPr="00F742AF" w:rsidRDefault="00164853" w:rsidP="00F742AF">
      <w:pPr>
        <w:spacing w:line="276" w:lineRule="auto"/>
        <w:ind w:firstLine="360"/>
        <w:rPr>
          <w:rFonts w:cs="Tahoma"/>
          <w:szCs w:val="24"/>
        </w:rPr>
      </w:pPr>
      <w:r w:rsidRPr="00F742AF">
        <w:rPr>
          <w:rFonts w:cs="Tahoma"/>
          <w:szCs w:val="24"/>
        </w:rPr>
        <w:t xml:space="preserve">Aclarado lo anterior, </w:t>
      </w:r>
      <w:r w:rsidR="00AA3FFD" w:rsidRPr="00F742AF">
        <w:rPr>
          <w:rFonts w:cs="Tahoma"/>
          <w:szCs w:val="24"/>
        </w:rPr>
        <w:t>de dicho material probatorio se extrae lo siguiente:</w:t>
      </w:r>
    </w:p>
    <w:p w14:paraId="2BA772DD" w14:textId="5A7037B2" w:rsidR="00E62F20" w:rsidRPr="00F742AF" w:rsidRDefault="00E62F20" w:rsidP="00F742AF">
      <w:pPr>
        <w:spacing w:line="276" w:lineRule="auto"/>
        <w:rPr>
          <w:rFonts w:eastAsia="Calibri" w:cs="Tahoma"/>
          <w:color w:val="0070C0"/>
          <w:szCs w:val="24"/>
          <w:lang w:val="es-ES" w:bidi="en-US"/>
        </w:rPr>
      </w:pPr>
    </w:p>
    <w:p w14:paraId="74522D99" w14:textId="40BE0BA2" w:rsidR="00AA3FFD" w:rsidRPr="00F742AF" w:rsidRDefault="00AA3FFD" w:rsidP="00F742AF">
      <w:pPr>
        <w:spacing w:line="276" w:lineRule="auto"/>
        <w:ind w:firstLine="360"/>
        <w:rPr>
          <w:rFonts w:eastAsia="Calibri" w:cs="Tahoma"/>
          <w:szCs w:val="24"/>
          <w:lang w:bidi="en-US"/>
        </w:rPr>
      </w:pPr>
      <w:r w:rsidRPr="00F742AF">
        <w:rPr>
          <w:rFonts w:eastAsia="Calibri" w:cs="Tahoma"/>
          <w:szCs w:val="24"/>
          <w:lang w:bidi="en-US"/>
        </w:rPr>
        <w:t xml:space="preserve">1.- Frente a las condiciones familiares y económicas del causante </w:t>
      </w:r>
      <w:r w:rsidRPr="00F742AF">
        <w:rPr>
          <w:rFonts w:eastAsia="Calibri" w:cs="Tahoma"/>
          <w:b/>
          <w:bCs/>
          <w:szCs w:val="24"/>
          <w:lang w:bidi="en-US"/>
        </w:rPr>
        <w:t>Edwar Mauricio Calderón López</w:t>
      </w:r>
      <w:r w:rsidRPr="00F742AF">
        <w:rPr>
          <w:rFonts w:eastAsia="Calibri" w:cs="Tahoma"/>
          <w:szCs w:val="24"/>
          <w:lang w:bidi="en-US"/>
        </w:rPr>
        <w:t xml:space="preserve">, nacido el 8-8-1980, se extrae que era trabajador de </w:t>
      </w:r>
      <w:r w:rsidRPr="00F742AF">
        <w:rPr>
          <w:rFonts w:eastAsia="Calibri" w:cs="Tahoma"/>
          <w:b/>
          <w:bCs/>
          <w:szCs w:val="24"/>
          <w:lang w:bidi="en-US"/>
        </w:rPr>
        <w:t>Apuestas Unidad Del Choco S.A</w:t>
      </w:r>
      <w:r w:rsidRPr="00F742AF">
        <w:rPr>
          <w:rFonts w:eastAsia="Calibri" w:cs="Tahoma"/>
          <w:szCs w:val="24"/>
          <w:lang w:bidi="en-US"/>
        </w:rPr>
        <w:t xml:space="preserve">. en el cargo de </w:t>
      </w:r>
      <w:r w:rsidRPr="00F742AF">
        <w:rPr>
          <w:rFonts w:eastAsia="Calibri" w:cs="Tahoma"/>
          <w:b/>
          <w:bCs/>
          <w:szCs w:val="24"/>
          <w:lang w:bidi="en-US"/>
        </w:rPr>
        <w:t>Guarda De Seguridad</w:t>
      </w:r>
      <w:r w:rsidRPr="00F742AF">
        <w:rPr>
          <w:rFonts w:eastAsia="Calibri" w:cs="Tahoma"/>
          <w:szCs w:val="24"/>
          <w:lang w:bidi="en-US"/>
        </w:rPr>
        <w:t xml:space="preserve"> hasta su deceso el 10 de julio de 2012; que devengaba el salario mínimo </w:t>
      </w:r>
      <w:r w:rsidRPr="00F742AF">
        <w:rPr>
          <w:rFonts w:eastAsia="Calibri" w:cs="Tahoma"/>
          <w:b/>
          <w:bCs/>
          <w:szCs w:val="24"/>
          <w:lang w:bidi="en-US"/>
        </w:rPr>
        <w:t>$566.700</w:t>
      </w:r>
      <w:r w:rsidRPr="00F742AF">
        <w:rPr>
          <w:rFonts w:eastAsia="Calibri" w:cs="Tahoma"/>
          <w:szCs w:val="24"/>
          <w:lang w:bidi="en-US"/>
        </w:rPr>
        <w:t>. Durante la entrevista realizada al aquí demandante, indicó que “</w:t>
      </w:r>
      <w:r w:rsidRPr="00B51D54">
        <w:rPr>
          <w:rFonts w:eastAsia="Calibri" w:cs="Tahoma"/>
          <w:i/>
          <w:iCs/>
          <w:sz w:val="22"/>
          <w:szCs w:val="24"/>
          <w:lang w:bidi="en-US"/>
        </w:rPr>
        <w:t>sabía que la empresa suministraba vivienda y comida en una casa para todos los empleados</w:t>
      </w:r>
      <w:r w:rsidRPr="00B51D54">
        <w:rPr>
          <w:rFonts w:eastAsia="Calibri" w:cs="Tahoma"/>
          <w:sz w:val="22"/>
          <w:szCs w:val="24"/>
          <w:lang w:bidi="en-US"/>
        </w:rPr>
        <w:t xml:space="preserve">; </w:t>
      </w:r>
      <w:r w:rsidRPr="00B51D54">
        <w:rPr>
          <w:rFonts w:eastAsia="Calibri" w:cs="Tahoma"/>
          <w:i/>
          <w:iCs/>
          <w:sz w:val="22"/>
          <w:szCs w:val="24"/>
          <w:lang w:bidi="en-US"/>
        </w:rPr>
        <w:t>que desconocía los gastos de su hijo</w:t>
      </w:r>
      <w:r w:rsidR="00F250ED" w:rsidRPr="00B51D54">
        <w:rPr>
          <w:rFonts w:eastAsia="Calibri" w:cs="Tahoma"/>
          <w:sz w:val="22"/>
          <w:szCs w:val="24"/>
          <w:lang w:bidi="en-US"/>
        </w:rPr>
        <w:t xml:space="preserve"> y</w:t>
      </w:r>
      <w:r w:rsidRPr="00B51D54">
        <w:rPr>
          <w:rFonts w:eastAsia="Calibri" w:cs="Tahoma"/>
          <w:sz w:val="22"/>
          <w:szCs w:val="24"/>
          <w:lang w:bidi="en-US"/>
        </w:rPr>
        <w:t xml:space="preserve"> </w:t>
      </w:r>
      <w:r w:rsidRPr="00B51D54">
        <w:rPr>
          <w:rFonts w:eastAsia="Calibri" w:cs="Tahoma"/>
          <w:i/>
          <w:iCs/>
          <w:sz w:val="22"/>
          <w:szCs w:val="24"/>
          <w:lang w:bidi="en-US"/>
        </w:rPr>
        <w:t>que contaba con una moto avaluada en $14.000.000</w:t>
      </w:r>
      <w:r w:rsidR="000F41FC" w:rsidRPr="00F742AF">
        <w:rPr>
          <w:rFonts w:eastAsia="Calibri" w:cs="Tahoma"/>
          <w:i/>
          <w:iCs/>
          <w:szCs w:val="24"/>
          <w:lang w:bidi="en-US"/>
        </w:rPr>
        <w:t>”</w:t>
      </w:r>
      <w:r w:rsidRPr="00F742AF">
        <w:rPr>
          <w:rFonts w:eastAsia="Calibri" w:cs="Tahoma"/>
          <w:i/>
          <w:iCs/>
          <w:szCs w:val="24"/>
          <w:lang w:bidi="en-US"/>
        </w:rPr>
        <w:t>.</w:t>
      </w:r>
      <w:r w:rsidRPr="00F742AF">
        <w:rPr>
          <w:rFonts w:eastAsia="Calibri" w:cs="Tahoma"/>
          <w:szCs w:val="24"/>
          <w:lang w:bidi="en-US"/>
        </w:rPr>
        <w:t xml:space="preserve"> </w:t>
      </w:r>
    </w:p>
    <w:p w14:paraId="7E55B99A" w14:textId="39BE530A" w:rsidR="000F41FC" w:rsidRPr="00F742AF" w:rsidRDefault="000F41FC" w:rsidP="00F742AF">
      <w:pPr>
        <w:spacing w:line="276" w:lineRule="auto"/>
        <w:ind w:firstLine="360"/>
        <w:rPr>
          <w:rFonts w:eastAsia="Calibri" w:cs="Tahoma"/>
          <w:szCs w:val="24"/>
          <w:lang w:bidi="en-US"/>
        </w:rPr>
      </w:pPr>
    </w:p>
    <w:p w14:paraId="697952AE" w14:textId="284307BD" w:rsidR="000F41FC" w:rsidRPr="00F742AF" w:rsidRDefault="000F41FC" w:rsidP="00F742AF">
      <w:pPr>
        <w:spacing w:line="276" w:lineRule="auto"/>
        <w:ind w:firstLine="360"/>
        <w:rPr>
          <w:rFonts w:eastAsia="Calibri" w:cs="Tahoma"/>
          <w:szCs w:val="24"/>
          <w:lang w:bidi="en-US"/>
        </w:rPr>
      </w:pPr>
      <w:r w:rsidRPr="00F742AF">
        <w:rPr>
          <w:rFonts w:eastAsia="Calibri" w:cs="Tahoma"/>
          <w:szCs w:val="24"/>
          <w:lang w:bidi="en-US"/>
        </w:rPr>
        <w:t>2.- De acuerdo con el documento visible a fol</w:t>
      </w:r>
      <w:r w:rsidR="006A6B6B" w:rsidRPr="00F742AF">
        <w:rPr>
          <w:rFonts w:eastAsia="Calibri" w:cs="Tahoma"/>
          <w:szCs w:val="24"/>
          <w:lang w:bidi="en-US"/>
        </w:rPr>
        <w:t>io</w:t>
      </w:r>
      <w:r w:rsidRPr="00F742AF">
        <w:rPr>
          <w:rFonts w:eastAsia="Calibri" w:cs="Tahoma"/>
          <w:szCs w:val="24"/>
          <w:lang w:bidi="en-US"/>
        </w:rPr>
        <w:t xml:space="preserve"> 52 – </w:t>
      </w:r>
      <w:r w:rsidRPr="00F742AF">
        <w:rPr>
          <w:rFonts w:eastAsia="Calibri" w:cs="Tahoma"/>
          <w:i/>
          <w:szCs w:val="24"/>
          <w:lang w:bidi="en-US"/>
        </w:rPr>
        <w:t>formato de afiliación del trabajador – personas a cargo</w:t>
      </w:r>
      <w:r w:rsidR="006A6B6B" w:rsidRPr="00F742AF">
        <w:rPr>
          <w:rFonts w:eastAsia="Calibri" w:cs="Tahoma"/>
          <w:i/>
          <w:szCs w:val="24"/>
          <w:lang w:bidi="en-US"/>
        </w:rPr>
        <w:t>,</w:t>
      </w:r>
      <w:r w:rsidRPr="00F742AF">
        <w:rPr>
          <w:rFonts w:eastAsia="Calibri" w:cs="Tahoma"/>
          <w:szCs w:val="24"/>
          <w:lang w:bidi="en-US"/>
        </w:rPr>
        <w:t xml:space="preserve"> suscrito en diciembre de 2008, </w:t>
      </w:r>
      <w:r w:rsidR="006A6B6B" w:rsidRPr="00F742AF">
        <w:rPr>
          <w:rFonts w:eastAsia="Calibri" w:cs="Tahoma"/>
          <w:szCs w:val="24"/>
          <w:lang w:bidi="en-US"/>
        </w:rPr>
        <w:t xml:space="preserve">diligenciado </w:t>
      </w:r>
      <w:r w:rsidRPr="00F742AF">
        <w:rPr>
          <w:rFonts w:eastAsia="Calibri" w:cs="Tahoma"/>
          <w:szCs w:val="24"/>
          <w:lang w:bidi="en-US"/>
        </w:rPr>
        <w:t>por el</w:t>
      </w:r>
      <w:r w:rsidR="006A6B6B" w:rsidRPr="00F742AF">
        <w:rPr>
          <w:rFonts w:eastAsia="Calibri" w:cs="Tahoma"/>
          <w:szCs w:val="24"/>
          <w:lang w:bidi="en-US"/>
        </w:rPr>
        <w:t xml:space="preserve"> propio</w:t>
      </w:r>
      <w:r w:rsidRPr="00F742AF">
        <w:rPr>
          <w:rFonts w:eastAsia="Calibri" w:cs="Tahoma"/>
          <w:szCs w:val="24"/>
          <w:lang w:bidi="en-US"/>
        </w:rPr>
        <w:t xml:space="preserve"> causante</w:t>
      </w:r>
      <w:r w:rsidR="00E05F1D" w:rsidRPr="00F742AF">
        <w:rPr>
          <w:rFonts w:eastAsia="Calibri" w:cs="Tahoma"/>
          <w:szCs w:val="24"/>
          <w:lang w:bidi="en-US"/>
        </w:rPr>
        <w:t>, consignó</w:t>
      </w:r>
      <w:r w:rsidRPr="00F742AF">
        <w:rPr>
          <w:rFonts w:eastAsia="Calibri" w:cs="Tahoma"/>
          <w:szCs w:val="24"/>
          <w:lang w:bidi="en-US"/>
        </w:rPr>
        <w:t xml:space="preserve"> </w:t>
      </w:r>
      <w:r w:rsidR="00E05F1D" w:rsidRPr="00F742AF">
        <w:rPr>
          <w:rFonts w:eastAsia="Calibri" w:cs="Tahoma"/>
          <w:i/>
          <w:iCs/>
          <w:szCs w:val="24"/>
          <w:lang w:bidi="en-US"/>
        </w:rPr>
        <w:t xml:space="preserve">que </w:t>
      </w:r>
      <w:r w:rsidRPr="00F742AF">
        <w:rPr>
          <w:rFonts w:eastAsia="Calibri" w:cs="Tahoma"/>
          <w:i/>
          <w:iCs/>
          <w:szCs w:val="24"/>
          <w:lang w:bidi="en-US"/>
        </w:rPr>
        <w:t xml:space="preserve">vivía en casa arrendada, devengaba salario mínimo, </w:t>
      </w:r>
      <w:r w:rsidRPr="00F742AF">
        <w:rPr>
          <w:rFonts w:eastAsia="Calibri" w:cs="Tahoma"/>
          <w:i/>
          <w:iCs/>
          <w:szCs w:val="24"/>
          <w:lang w:bidi="en-US"/>
        </w:rPr>
        <w:lastRenderedPageBreak/>
        <w:t>estado civil casado</w:t>
      </w:r>
      <w:r w:rsidR="00E05F1D" w:rsidRPr="00F742AF">
        <w:rPr>
          <w:rFonts w:eastAsia="Calibri" w:cs="Tahoma"/>
          <w:i/>
          <w:iCs/>
          <w:szCs w:val="24"/>
          <w:lang w:bidi="en-US"/>
        </w:rPr>
        <w:t>.</w:t>
      </w:r>
      <w:r w:rsidRPr="00F742AF">
        <w:rPr>
          <w:rFonts w:eastAsia="Calibri" w:cs="Tahoma"/>
          <w:i/>
          <w:iCs/>
          <w:szCs w:val="24"/>
          <w:lang w:bidi="en-US"/>
        </w:rPr>
        <w:t xml:space="preserve"> </w:t>
      </w:r>
      <w:r w:rsidR="00E05F1D" w:rsidRPr="00F742AF">
        <w:rPr>
          <w:rFonts w:eastAsia="Calibri" w:cs="Tahoma"/>
          <w:szCs w:val="24"/>
          <w:lang w:bidi="en-US"/>
        </w:rPr>
        <w:t>N</w:t>
      </w:r>
      <w:r w:rsidRPr="00F742AF">
        <w:rPr>
          <w:rFonts w:eastAsia="Calibri" w:cs="Tahoma"/>
          <w:szCs w:val="24"/>
          <w:lang w:bidi="en-US"/>
        </w:rPr>
        <w:t xml:space="preserve">o </w:t>
      </w:r>
      <w:r w:rsidR="00957311" w:rsidRPr="00F742AF">
        <w:rPr>
          <w:rFonts w:eastAsia="Calibri" w:cs="Tahoma"/>
          <w:szCs w:val="24"/>
          <w:lang w:bidi="en-US"/>
        </w:rPr>
        <w:t>obstante,</w:t>
      </w:r>
      <w:r w:rsidRPr="00F742AF">
        <w:rPr>
          <w:rFonts w:eastAsia="Calibri" w:cs="Tahoma"/>
          <w:szCs w:val="24"/>
          <w:lang w:bidi="en-US"/>
        </w:rPr>
        <w:t xml:space="preserve"> </w:t>
      </w:r>
      <w:r w:rsidR="00E05F1D" w:rsidRPr="00F742AF">
        <w:rPr>
          <w:rFonts w:eastAsia="Calibri" w:cs="Tahoma"/>
          <w:szCs w:val="24"/>
          <w:lang w:bidi="en-US"/>
        </w:rPr>
        <w:t xml:space="preserve">el causante no </w:t>
      </w:r>
      <w:r w:rsidRPr="00F742AF">
        <w:rPr>
          <w:rFonts w:eastAsia="Calibri" w:cs="Tahoma"/>
          <w:szCs w:val="24"/>
          <w:lang w:bidi="en-US"/>
        </w:rPr>
        <w:t xml:space="preserve">diligencia los datos </w:t>
      </w:r>
      <w:r w:rsidR="00E05F1D" w:rsidRPr="00F742AF">
        <w:rPr>
          <w:rFonts w:eastAsia="Calibri" w:cs="Tahoma"/>
          <w:szCs w:val="24"/>
          <w:lang w:bidi="en-US"/>
        </w:rPr>
        <w:t>relativos a</w:t>
      </w:r>
      <w:r w:rsidR="006A6B6B" w:rsidRPr="00F742AF">
        <w:rPr>
          <w:rFonts w:eastAsia="Calibri" w:cs="Tahoma"/>
          <w:szCs w:val="24"/>
          <w:lang w:bidi="en-US"/>
        </w:rPr>
        <w:t xml:space="preserve"> </w:t>
      </w:r>
      <w:proofErr w:type="gramStart"/>
      <w:r w:rsidR="00E05F1D" w:rsidRPr="00F742AF">
        <w:rPr>
          <w:rFonts w:eastAsia="Calibri" w:cs="Tahoma"/>
          <w:szCs w:val="24"/>
          <w:lang w:bidi="en-US"/>
        </w:rPr>
        <w:t>l</w:t>
      </w:r>
      <w:r w:rsidR="00F742AF">
        <w:rPr>
          <w:rFonts w:eastAsia="Calibri" w:cs="Tahoma"/>
          <w:szCs w:val="24"/>
          <w:lang w:bidi="en-US"/>
        </w:rPr>
        <w:t>a</w:t>
      </w:r>
      <w:proofErr w:type="gramEnd"/>
      <w:r w:rsidR="00E05F1D" w:rsidRPr="00F742AF">
        <w:rPr>
          <w:rFonts w:eastAsia="Calibri" w:cs="Tahoma"/>
          <w:szCs w:val="24"/>
          <w:lang w:bidi="en-US"/>
        </w:rPr>
        <w:t xml:space="preserve"> </w:t>
      </w:r>
      <w:r w:rsidRPr="00F742AF">
        <w:rPr>
          <w:rFonts w:eastAsia="Calibri" w:cs="Tahoma"/>
          <w:szCs w:val="24"/>
          <w:lang w:bidi="en-US"/>
        </w:rPr>
        <w:t>cónyuge o compañera y tampoco incluye personas a cargo.</w:t>
      </w:r>
    </w:p>
    <w:p w14:paraId="039F8FAA" w14:textId="1B5727E1" w:rsidR="0013528A" w:rsidRPr="00F742AF" w:rsidRDefault="0013528A" w:rsidP="00F742AF">
      <w:pPr>
        <w:spacing w:line="276" w:lineRule="auto"/>
        <w:ind w:firstLine="360"/>
        <w:rPr>
          <w:rFonts w:eastAsia="Calibri" w:cs="Tahoma"/>
          <w:szCs w:val="24"/>
          <w:lang w:bidi="en-US"/>
        </w:rPr>
      </w:pPr>
    </w:p>
    <w:p w14:paraId="71C2C72C" w14:textId="384ADE37" w:rsidR="0013528A" w:rsidRPr="00F742AF" w:rsidRDefault="0013528A" w:rsidP="00F742AF">
      <w:pPr>
        <w:spacing w:line="276" w:lineRule="auto"/>
        <w:ind w:firstLine="360"/>
        <w:rPr>
          <w:rFonts w:eastAsia="Calibri" w:cs="Tahoma"/>
          <w:szCs w:val="24"/>
          <w:lang w:bidi="en-US"/>
        </w:rPr>
      </w:pPr>
      <w:r w:rsidRPr="00F742AF">
        <w:rPr>
          <w:rFonts w:eastAsia="Calibri" w:cs="Tahoma"/>
          <w:szCs w:val="24"/>
          <w:lang w:bidi="en-US"/>
        </w:rPr>
        <w:t xml:space="preserve">3.- En torno a las condiciones familiares del </w:t>
      </w:r>
      <w:r w:rsidR="00957311" w:rsidRPr="00F742AF">
        <w:rPr>
          <w:rFonts w:eastAsia="Calibri" w:cs="Tahoma"/>
          <w:szCs w:val="24"/>
          <w:lang w:bidi="en-US"/>
        </w:rPr>
        <w:t>actor</w:t>
      </w:r>
      <w:r w:rsidRPr="00F742AF">
        <w:rPr>
          <w:rFonts w:eastAsia="Calibri" w:cs="Tahoma"/>
          <w:szCs w:val="24"/>
          <w:lang w:bidi="en-US"/>
        </w:rPr>
        <w:t xml:space="preserve">, de acuerdo con lo relatado por </w:t>
      </w:r>
      <w:r w:rsidR="00957311" w:rsidRPr="00F742AF">
        <w:rPr>
          <w:rFonts w:eastAsia="Calibri" w:cs="Tahoma"/>
          <w:szCs w:val="24"/>
          <w:lang w:bidi="en-US"/>
        </w:rPr>
        <w:t>é</w:t>
      </w:r>
      <w:r w:rsidRPr="00F742AF">
        <w:rPr>
          <w:rFonts w:eastAsia="Calibri" w:cs="Tahoma"/>
          <w:szCs w:val="24"/>
          <w:lang w:bidi="en-US"/>
        </w:rPr>
        <w:t xml:space="preserve">l durante la entrevista realizada el 4-02-2013 (págs.160-176), </w:t>
      </w:r>
      <w:r w:rsidR="00E17F7B" w:rsidRPr="00F742AF">
        <w:rPr>
          <w:rFonts w:eastAsia="Calibri" w:cs="Tahoma"/>
          <w:szCs w:val="24"/>
          <w:lang w:bidi="en-US"/>
        </w:rPr>
        <w:t xml:space="preserve">dijo que </w:t>
      </w:r>
      <w:r w:rsidRPr="00F742AF">
        <w:rPr>
          <w:rFonts w:eastAsia="Calibri" w:cs="Tahoma"/>
          <w:szCs w:val="24"/>
          <w:lang w:bidi="en-US"/>
        </w:rPr>
        <w:t xml:space="preserve">contaba con 53 años al momento del deceso de su hijo ultimado el 10-07-2012; que para entonces, </w:t>
      </w:r>
      <w:r w:rsidR="00957311" w:rsidRPr="00F742AF">
        <w:rPr>
          <w:rFonts w:eastAsia="Calibri" w:cs="Tahoma"/>
          <w:szCs w:val="24"/>
          <w:lang w:bidi="en-US"/>
        </w:rPr>
        <w:t xml:space="preserve">ya tenía </w:t>
      </w:r>
      <w:r w:rsidRPr="00F742AF">
        <w:rPr>
          <w:rFonts w:eastAsia="Calibri" w:cs="Tahoma"/>
          <w:szCs w:val="24"/>
          <w:lang w:bidi="en-US"/>
        </w:rPr>
        <w:t xml:space="preserve">cinco hijos incluido el causante: </w:t>
      </w:r>
      <w:r w:rsidRPr="00F742AF">
        <w:rPr>
          <w:rFonts w:eastAsia="Calibri" w:cs="Tahoma"/>
          <w:b/>
          <w:bCs/>
          <w:szCs w:val="24"/>
          <w:lang w:bidi="en-US"/>
        </w:rPr>
        <w:t>Mauricio</w:t>
      </w:r>
      <w:r w:rsidRPr="00F742AF">
        <w:rPr>
          <w:rFonts w:eastAsia="Calibri" w:cs="Tahoma"/>
          <w:szCs w:val="24"/>
          <w:lang w:bidi="en-US"/>
        </w:rPr>
        <w:t xml:space="preserve"> (32 años), </w:t>
      </w:r>
      <w:r w:rsidRPr="00F742AF">
        <w:rPr>
          <w:rFonts w:eastAsia="Calibri" w:cs="Tahoma"/>
          <w:b/>
          <w:bCs/>
          <w:szCs w:val="24"/>
          <w:lang w:bidi="en-US"/>
        </w:rPr>
        <w:t>Vanessa</w:t>
      </w:r>
      <w:r w:rsidRPr="00F742AF">
        <w:rPr>
          <w:rFonts w:eastAsia="Calibri" w:cs="Tahoma"/>
          <w:szCs w:val="24"/>
          <w:lang w:bidi="en-US"/>
        </w:rPr>
        <w:t xml:space="preserve"> (22 años), </w:t>
      </w:r>
      <w:r w:rsidRPr="00F742AF">
        <w:rPr>
          <w:rFonts w:eastAsia="Calibri" w:cs="Tahoma"/>
          <w:b/>
          <w:bCs/>
          <w:szCs w:val="24"/>
          <w:lang w:bidi="en-US"/>
        </w:rPr>
        <w:t>Daniela</w:t>
      </w:r>
      <w:r w:rsidRPr="00F742AF">
        <w:rPr>
          <w:rFonts w:eastAsia="Calibri" w:cs="Tahoma"/>
          <w:szCs w:val="24"/>
          <w:lang w:bidi="en-US"/>
        </w:rPr>
        <w:t xml:space="preserve"> (21 años), </w:t>
      </w:r>
      <w:r w:rsidRPr="00F742AF">
        <w:rPr>
          <w:rFonts w:eastAsia="Calibri" w:cs="Tahoma"/>
          <w:b/>
          <w:bCs/>
          <w:szCs w:val="24"/>
          <w:lang w:bidi="en-US"/>
        </w:rPr>
        <w:t xml:space="preserve">Carolina </w:t>
      </w:r>
      <w:r w:rsidRPr="00F742AF">
        <w:rPr>
          <w:rFonts w:eastAsia="Calibri" w:cs="Tahoma"/>
          <w:szCs w:val="24"/>
          <w:lang w:bidi="en-US"/>
        </w:rPr>
        <w:t xml:space="preserve">(21 años), </w:t>
      </w:r>
      <w:r w:rsidRPr="00F742AF">
        <w:rPr>
          <w:rFonts w:eastAsia="Calibri" w:cs="Tahoma"/>
          <w:b/>
          <w:bCs/>
          <w:szCs w:val="24"/>
          <w:lang w:bidi="en-US"/>
        </w:rPr>
        <w:t xml:space="preserve">Alejandra </w:t>
      </w:r>
      <w:r w:rsidRPr="00F742AF">
        <w:rPr>
          <w:rFonts w:eastAsia="Calibri" w:cs="Tahoma"/>
          <w:szCs w:val="24"/>
          <w:lang w:bidi="en-US"/>
        </w:rPr>
        <w:t xml:space="preserve">(18 años) y </w:t>
      </w:r>
      <w:r w:rsidRPr="00F742AF">
        <w:rPr>
          <w:rFonts w:eastAsia="Calibri" w:cs="Tahoma"/>
          <w:b/>
          <w:bCs/>
          <w:szCs w:val="24"/>
          <w:lang w:bidi="en-US"/>
        </w:rPr>
        <w:t>Pedro José</w:t>
      </w:r>
      <w:r w:rsidRPr="00F742AF">
        <w:rPr>
          <w:rFonts w:eastAsia="Calibri" w:cs="Tahoma"/>
          <w:szCs w:val="24"/>
          <w:lang w:bidi="en-US"/>
        </w:rPr>
        <w:t xml:space="preserve"> (16 años)</w:t>
      </w:r>
      <w:r w:rsidR="00957311" w:rsidRPr="00F742AF">
        <w:rPr>
          <w:rFonts w:eastAsia="Calibri" w:cs="Tahoma"/>
          <w:szCs w:val="24"/>
          <w:lang w:bidi="en-US"/>
        </w:rPr>
        <w:t xml:space="preserve">. Adicionalmente, refiere </w:t>
      </w:r>
      <w:r w:rsidRPr="00F742AF">
        <w:rPr>
          <w:rFonts w:eastAsia="Calibri" w:cs="Tahoma"/>
          <w:szCs w:val="24"/>
          <w:lang w:bidi="en-US"/>
        </w:rPr>
        <w:t xml:space="preserve">que tres años </w:t>
      </w:r>
      <w:r w:rsidR="00957311" w:rsidRPr="00F742AF">
        <w:rPr>
          <w:rFonts w:eastAsia="Calibri" w:cs="Tahoma"/>
          <w:szCs w:val="24"/>
          <w:lang w:bidi="en-US"/>
        </w:rPr>
        <w:t>previos a la entrevista</w:t>
      </w:r>
      <w:r w:rsidRPr="00F742AF">
        <w:rPr>
          <w:rFonts w:eastAsia="Calibri" w:cs="Tahoma"/>
          <w:szCs w:val="24"/>
          <w:lang w:bidi="en-US"/>
        </w:rPr>
        <w:t xml:space="preserve">, por su estado de salud, había dejado de trabajar en el transporte de camión.  </w:t>
      </w:r>
    </w:p>
    <w:p w14:paraId="585FC6DD" w14:textId="77777777" w:rsidR="0013528A" w:rsidRPr="00F742AF" w:rsidRDefault="0013528A" w:rsidP="00F742AF">
      <w:pPr>
        <w:spacing w:line="276" w:lineRule="auto"/>
        <w:rPr>
          <w:rFonts w:eastAsia="Calibri" w:cs="Tahoma"/>
          <w:szCs w:val="24"/>
          <w:lang w:bidi="en-US"/>
        </w:rPr>
      </w:pPr>
    </w:p>
    <w:p w14:paraId="5DBFEECD" w14:textId="0403B928" w:rsidR="00AA3FFD" w:rsidRPr="00F742AF" w:rsidRDefault="006817BF" w:rsidP="00F742AF">
      <w:pPr>
        <w:spacing w:line="276" w:lineRule="auto"/>
        <w:ind w:firstLine="360"/>
        <w:rPr>
          <w:rFonts w:eastAsia="Calibri" w:cs="Tahoma"/>
          <w:i/>
          <w:iCs/>
          <w:szCs w:val="24"/>
          <w:lang w:bidi="en-US"/>
        </w:rPr>
      </w:pPr>
      <w:r w:rsidRPr="00F742AF">
        <w:rPr>
          <w:rFonts w:eastAsia="Calibri" w:cs="Tahoma"/>
          <w:szCs w:val="24"/>
          <w:lang w:bidi="en-US"/>
        </w:rPr>
        <w:t>Además</w:t>
      </w:r>
      <w:r w:rsidR="0013528A" w:rsidRPr="00F742AF">
        <w:rPr>
          <w:rFonts w:eastAsia="Calibri" w:cs="Tahoma"/>
          <w:szCs w:val="24"/>
          <w:lang w:bidi="en-US"/>
        </w:rPr>
        <w:t xml:space="preserve">, a página 226 del expediente administrativo obra certificación del 28 de agosto de 2017 de la S.O.S donde se observa que el demandante presentó cotizaciones entre el 2016-2017 por cuenta de diferentes razones sociales, entre ellas, constructora Perea y logística y eventos Clavijo S.A.S.., teniendo </w:t>
      </w:r>
      <w:r w:rsidRPr="00F742AF">
        <w:rPr>
          <w:rFonts w:eastAsia="Calibri" w:cs="Tahoma"/>
          <w:szCs w:val="24"/>
          <w:lang w:bidi="en-US"/>
        </w:rPr>
        <w:t xml:space="preserve">como su beneficiaria </w:t>
      </w:r>
      <w:r w:rsidR="0013528A" w:rsidRPr="00F742AF">
        <w:rPr>
          <w:rFonts w:eastAsia="Calibri" w:cs="Tahoma"/>
          <w:szCs w:val="24"/>
          <w:lang w:bidi="en-US"/>
        </w:rPr>
        <w:t>a su hijastra Luis</w:t>
      </w:r>
      <w:r w:rsidRPr="00F742AF">
        <w:rPr>
          <w:rFonts w:eastAsia="Calibri" w:cs="Tahoma"/>
          <w:szCs w:val="24"/>
          <w:lang w:bidi="en-US"/>
        </w:rPr>
        <w:t>a</w:t>
      </w:r>
      <w:r w:rsidR="0013528A" w:rsidRPr="00F742AF">
        <w:rPr>
          <w:rFonts w:eastAsia="Calibri" w:cs="Tahoma"/>
          <w:szCs w:val="24"/>
          <w:lang w:bidi="en-US"/>
        </w:rPr>
        <w:t xml:space="preserve"> Fernanda López.</w:t>
      </w:r>
      <w:r w:rsidR="00942638" w:rsidRPr="00F742AF">
        <w:rPr>
          <w:rFonts w:eastAsia="Calibri" w:cs="Tahoma"/>
          <w:szCs w:val="24"/>
          <w:lang w:bidi="en-US"/>
        </w:rPr>
        <w:t xml:space="preserve"> La explicación dada en el informe de investigación </w:t>
      </w:r>
      <w:r w:rsidRPr="00F742AF">
        <w:rPr>
          <w:rFonts w:eastAsia="Calibri" w:cs="Tahoma"/>
          <w:szCs w:val="24"/>
          <w:lang w:bidi="en-US"/>
        </w:rPr>
        <w:t xml:space="preserve">respecto de los aportes como cotizante </w:t>
      </w:r>
      <w:r w:rsidR="00942638" w:rsidRPr="00F742AF">
        <w:rPr>
          <w:rFonts w:eastAsia="Calibri" w:cs="Tahoma"/>
          <w:szCs w:val="24"/>
          <w:lang w:bidi="en-US"/>
        </w:rPr>
        <w:t>(</w:t>
      </w:r>
      <w:r w:rsidR="00BE0C08" w:rsidRPr="00F742AF">
        <w:rPr>
          <w:rFonts w:eastAsia="Calibri" w:cs="Tahoma"/>
          <w:szCs w:val="24"/>
          <w:lang w:bidi="en-US"/>
        </w:rPr>
        <w:t>pág.</w:t>
      </w:r>
      <w:r w:rsidR="00942638" w:rsidRPr="00F742AF">
        <w:rPr>
          <w:rFonts w:eastAsia="Calibri" w:cs="Tahoma"/>
          <w:szCs w:val="24"/>
          <w:lang w:bidi="en-US"/>
        </w:rPr>
        <w:t xml:space="preserve"> 151)</w:t>
      </w:r>
      <w:r w:rsidRPr="00F742AF">
        <w:rPr>
          <w:rFonts w:eastAsia="Calibri" w:cs="Tahoma"/>
          <w:szCs w:val="24"/>
          <w:lang w:bidi="en-US"/>
        </w:rPr>
        <w:t xml:space="preserve"> consistió en que “</w:t>
      </w:r>
      <w:r w:rsidR="00942638" w:rsidRPr="00F742AF">
        <w:rPr>
          <w:rFonts w:eastAsia="Calibri" w:cs="Tahoma"/>
          <w:i/>
          <w:iCs/>
          <w:sz w:val="22"/>
          <w:szCs w:val="24"/>
          <w:lang w:bidi="en-US"/>
        </w:rPr>
        <w:t>el demandante para poder ejercer la labor de cargue y descargue debía contar la calidad de cotizante</w:t>
      </w:r>
      <w:r w:rsidR="00BE0C08" w:rsidRPr="00F742AF">
        <w:rPr>
          <w:rFonts w:eastAsia="Calibri" w:cs="Tahoma"/>
          <w:i/>
          <w:iCs/>
          <w:sz w:val="22"/>
          <w:szCs w:val="24"/>
          <w:lang w:bidi="en-US"/>
        </w:rPr>
        <w:t xml:space="preserve"> </w:t>
      </w:r>
      <w:r w:rsidR="00942638" w:rsidRPr="00F742AF">
        <w:rPr>
          <w:rFonts w:eastAsia="Calibri" w:cs="Tahoma"/>
          <w:i/>
          <w:iCs/>
          <w:sz w:val="22"/>
          <w:szCs w:val="24"/>
          <w:lang w:bidi="en-US"/>
        </w:rPr>
        <w:t>al sistema de seguridad social</w:t>
      </w:r>
      <w:r w:rsidRPr="00F742AF">
        <w:rPr>
          <w:rFonts w:eastAsia="Calibri" w:cs="Tahoma"/>
          <w:i/>
          <w:iCs/>
          <w:szCs w:val="24"/>
          <w:lang w:bidi="en-US"/>
        </w:rPr>
        <w:t>”</w:t>
      </w:r>
      <w:r w:rsidR="00942638" w:rsidRPr="00F742AF">
        <w:rPr>
          <w:rFonts w:eastAsia="Calibri" w:cs="Tahoma"/>
          <w:i/>
          <w:iCs/>
          <w:szCs w:val="24"/>
          <w:lang w:bidi="en-US"/>
        </w:rPr>
        <w:t>.</w:t>
      </w:r>
    </w:p>
    <w:p w14:paraId="409D1AC2" w14:textId="31810C42" w:rsidR="00942638" w:rsidRPr="00F742AF" w:rsidRDefault="00942638" w:rsidP="00F742AF">
      <w:pPr>
        <w:spacing w:line="276" w:lineRule="auto"/>
        <w:ind w:firstLine="360"/>
        <w:rPr>
          <w:rFonts w:eastAsia="Calibri" w:cs="Tahoma"/>
          <w:szCs w:val="24"/>
          <w:lang w:bidi="en-US"/>
        </w:rPr>
      </w:pPr>
    </w:p>
    <w:p w14:paraId="660D920D" w14:textId="16BE7EAC" w:rsidR="002C3C82" w:rsidRPr="00F742AF" w:rsidRDefault="00E17F7B" w:rsidP="00F742AF">
      <w:pPr>
        <w:spacing w:line="276" w:lineRule="auto"/>
        <w:ind w:firstLine="360"/>
        <w:rPr>
          <w:rFonts w:eastAsia="Calibri" w:cs="Tahoma"/>
          <w:szCs w:val="24"/>
          <w:lang w:bidi="en-US"/>
        </w:rPr>
      </w:pPr>
      <w:r w:rsidRPr="00F742AF">
        <w:rPr>
          <w:rFonts w:eastAsia="Calibri" w:cs="Tahoma"/>
          <w:szCs w:val="24"/>
          <w:lang w:bidi="en-US"/>
        </w:rPr>
        <w:t xml:space="preserve">4.- </w:t>
      </w:r>
      <w:r w:rsidR="00920D81" w:rsidRPr="00F742AF">
        <w:rPr>
          <w:rFonts w:eastAsia="Calibri" w:cs="Tahoma"/>
          <w:szCs w:val="24"/>
          <w:lang w:bidi="en-US"/>
        </w:rPr>
        <w:t xml:space="preserve">En la </w:t>
      </w:r>
      <w:r w:rsidR="006A6B6B" w:rsidRPr="00F742AF">
        <w:rPr>
          <w:rFonts w:eastAsia="Calibri" w:cs="Tahoma"/>
          <w:szCs w:val="24"/>
          <w:lang w:bidi="en-US"/>
        </w:rPr>
        <w:t xml:space="preserve">declaración </w:t>
      </w:r>
      <w:r w:rsidR="002C3C82" w:rsidRPr="00F742AF">
        <w:rPr>
          <w:rFonts w:eastAsia="Calibri" w:cs="Tahoma"/>
          <w:szCs w:val="24"/>
          <w:lang w:bidi="en-US"/>
        </w:rPr>
        <w:t xml:space="preserve">extraprocesal del </w:t>
      </w:r>
      <w:r w:rsidR="002C3C82" w:rsidRPr="00F742AF">
        <w:rPr>
          <w:rFonts w:eastAsia="Calibri" w:cs="Tahoma"/>
          <w:b/>
          <w:bCs/>
          <w:szCs w:val="24"/>
          <w:lang w:bidi="en-US"/>
        </w:rPr>
        <w:t>19-10-2012</w:t>
      </w:r>
      <w:r w:rsidR="002C3C82" w:rsidRPr="00F742AF">
        <w:rPr>
          <w:rFonts w:eastAsia="Calibri" w:cs="Tahoma"/>
          <w:szCs w:val="24"/>
          <w:lang w:bidi="en-US"/>
        </w:rPr>
        <w:t xml:space="preserve"> realizada por el mismo demandante, se limitó a afirma</w:t>
      </w:r>
      <w:r w:rsidR="00920D81" w:rsidRPr="00F742AF">
        <w:rPr>
          <w:rFonts w:eastAsia="Calibri" w:cs="Tahoma"/>
          <w:szCs w:val="24"/>
          <w:lang w:bidi="en-US"/>
        </w:rPr>
        <w:t>r</w:t>
      </w:r>
      <w:r w:rsidR="002C3C82" w:rsidRPr="00F742AF">
        <w:rPr>
          <w:rFonts w:eastAsia="Calibri" w:cs="Tahoma"/>
          <w:szCs w:val="24"/>
          <w:lang w:bidi="en-US"/>
        </w:rPr>
        <w:t xml:space="preserve"> bajo juramento que </w:t>
      </w:r>
      <w:r w:rsidR="002C3C82" w:rsidRPr="00F742AF">
        <w:rPr>
          <w:rFonts w:eastAsia="Calibri" w:cs="Tahoma"/>
          <w:i/>
          <w:szCs w:val="24"/>
          <w:lang w:bidi="en-US"/>
        </w:rPr>
        <w:t>“</w:t>
      </w:r>
      <w:r w:rsidR="002C3C82" w:rsidRPr="00F742AF">
        <w:rPr>
          <w:rFonts w:eastAsia="Calibri" w:cs="Tahoma"/>
          <w:i/>
          <w:sz w:val="22"/>
          <w:szCs w:val="24"/>
          <w:lang w:bidi="en-US"/>
        </w:rPr>
        <w:t>no contaba con pensión o subsidio</w:t>
      </w:r>
      <w:r w:rsidR="002C3C82" w:rsidRPr="00F742AF">
        <w:rPr>
          <w:rFonts w:eastAsia="Calibri" w:cs="Tahoma"/>
          <w:i/>
          <w:szCs w:val="24"/>
          <w:lang w:bidi="en-US"/>
        </w:rPr>
        <w:t>”</w:t>
      </w:r>
      <w:r w:rsidR="002C3C82" w:rsidRPr="00F742AF">
        <w:rPr>
          <w:rFonts w:eastAsia="Calibri" w:cs="Tahoma"/>
          <w:szCs w:val="24"/>
          <w:lang w:bidi="en-US"/>
        </w:rPr>
        <w:t xml:space="preserve"> (fol. 28, expediente).</w:t>
      </w:r>
    </w:p>
    <w:p w14:paraId="35DD1CBE" w14:textId="77777777" w:rsidR="002C3C82" w:rsidRPr="00F742AF" w:rsidRDefault="002C3C82" w:rsidP="00F742AF">
      <w:pPr>
        <w:spacing w:line="276" w:lineRule="auto"/>
        <w:ind w:firstLine="360"/>
        <w:rPr>
          <w:rFonts w:eastAsia="Calibri" w:cs="Tahoma"/>
          <w:szCs w:val="24"/>
          <w:lang w:bidi="en-US"/>
        </w:rPr>
      </w:pPr>
    </w:p>
    <w:p w14:paraId="53B960CE" w14:textId="725F0E88" w:rsidR="002C3C82" w:rsidRPr="00F742AF" w:rsidRDefault="00D45DC6" w:rsidP="00F742AF">
      <w:pPr>
        <w:spacing w:line="276" w:lineRule="auto"/>
        <w:ind w:firstLine="360"/>
        <w:rPr>
          <w:rFonts w:eastAsia="Calibri" w:cs="Tahoma"/>
          <w:iCs/>
          <w:szCs w:val="24"/>
          <w:lang w:bidi="en-US"/>
        </w:rPr>
      </w:pPr>
      <w:r w:rsidRPr="00F742AF">
        <w:rPr>
          <w:rFonts w:eastAsia="Calibri" w:cs="Tahoma"/>
          <w:szCs w:val="24"/>
          <w:lang w:bidi="en-US"/>
        </w:rPr>
        <w:t>Y, e</w:t>
      </w:r>
      <w:r w:rsidR="002C3C82" w:rsidRPr="00F742AF">
        <w:rPr>
          <w:rFonts w:eastAsia="Calibri" w:cs="Tahoma"/>
          <w:szCs w:val="24"/>
          <w:lang w:bidi="en-US"/>
        </w:rPr>
        <w:t xml:space="preserve">n las </w:t>
      </w:r>
      <w:r w:rsidR="00D74D5B" w:rsidRPr="00F742AF">
        <w:rPr>
          <w:rFonts w:eastAsia="Calibri" w:cs="Tahoma"/>
          <w:szCs w:val="24"/>
          <w:lang w:bidi="en-US"/>
        </w:rPr>
        <w:t xml:space="preserve">declaraciones </w:t>
      </w:r>
      <w:r w:rsidR="002C3C82" w:rsidRPr="00F742AF">
        <w:rPr>
          <w:rFonts w:eastAsia="Calibri" w:cs="Tahoma"/>
          <w:szCs w:val="24"/>
          <w:lang w:bidi="en-US"/>
        </w:rPr>
        <w:t xml:space="preserve">extraprocesales del 30-10-2012 rendidas por </w:t>
      </w:r>
      <w:r w:rsidR="00ED705A" w:rsidRPr="00F742AF">
        <w:rPr>
          <w:rFonts w:eastAsia="Calibri" w:cs="Tahoma"/>
          <w:b/>
          <w:bCs/>
          <w:szCs w:val="24"/>
          <w:lang w:bidi="en-US"/>
        </w:rPr>
        <w:t xml:space="preserve">Aurelio Antonio Echeverri Ríos </w:t>
      </w:r>
      <w:r w:rsidR="002C3C82" w:rsidRPr="00F742AF">
        <w:rPr>
          <w:rFonts w:eastAsia="Calibri" w:cs="Tahoma"/>
          <w:szCs w:val="24"/>
          <w:lang w:bidi="en-US"/>
        </w:rPr>
        <w:t xml:space="preserve">y </w:t>
      </w:r>
      <w:r w:rsidR="00ED705A" w:rsidRPr="00F742AF">
        <w:rPr>
          <w:rFonts w:eastAsia="Calibri" w:cs="Tahoma"/>
          <w:b/>
          <w:bCs/>
          <w:szCs w:val="24"/>
          <w:lang w:bidi="en-US"/>
        </w:rPr>
        <w:t>Gloria Patricia Ceballos García</w:t>
      </w:r>
      <w:r w:rsidR="00D74D5B" w:rsidRPr="00F742AF">
        <w:rPr>
          <w:rFonts w:eastAsia="Calibri" w:cs="Tahoma"/>
          <w:b/>
          <w:bCs/>
          <w:szCs w:val="24"/>
          <w:lang w:bidi="en-US"/>
        </w:rPr>
        <w:t>,</w:t>
      </w:r>
      <w:r w:rsidR="00ED705A" w:rsidRPr="00F742AF">
        <w:rPr>
          <w:rFonts w:eastAsia="Calibri" w:cs="Tahoma"/>
          <w:b/>
          <w:bCs/>
          <w:szCs w:val="24"/>
          <w:lang w:bidi="en-US"/>
        </w:rPr>
        <w:t xml:space="preserve"> </w:t>
      </w:r>
      <w:r w:rsidR="002C3C82" w:rsidRPr="00F742AF">
        <w:rPr>
          <w:rFonts w:eastAsia="Calibri" w:cs="Tahoma"/>
          <w:szCs w:val="24"/>
          <w:lang w:bidi="en-US"/>
        </w:rPr>
        <w:t>el primero residente en Cartago (c</w:t>
      </w:r>
      <w:r w:rsidR="00ED705A" w:rsidRPr="00F742AF">
        <w:rPr>
          <w:rFonts w:eastAsia="Calibri" w:cs="Tahoma"/>
          <w:szCs w:val="24"/>
          <w:lang w:bidi="en-US"/>
        </w:rPr>
        <w:t>a</w:t>
      </w:r>
      <w:r w:rsidR="002C3C82" w:rsidRPr="00F742AF">
        <w:rPr>
          <w:rFonts w:eastAsia="Calibri" w:cs="Tahoma"/>
          <w:szCs w:val="24"/>
          <w:lang w:bidi="en-US"/>
        </w:rPr>
        <w:t>ll</w:t>
      </w:r>
      <w:r w:rsidR="00ED705A" w:rsidRPr="00F742AF">
        <w:rPr>
          <w:rFonts w:eastAsia="Calibri" w:cs="Tahoma"/>
          <w:szCs w:val="24"/>
          <w:lang w:bidi="en-US"/>
        </w:rPr>
        <w:t>e</w:t>
      </w:r>
      <w:r w:rsidR="002C3C82" w:rsidRPr="00F742AF">
        <w:rPr>
          <w:rFonts w:eastAsia="Calibri" w:cs="Tahoma"/>
          <w:szCs w:val="24"/>
          <w:lang w:bidi="en-US"/>
        </w:rPr>
        <w:t xml:space="preserve"> 5 a No. 20-12) y la segunda en la </w:t>
      </w:r>
      <w:proofErr w:type="spellStart"/>
      <w:r w:rsidR="00ED705A" w:rsidRPr="00F742AF">
        <w:rPr>
          <w:rFonts w:eastAsia="Calibri" w:cs="Tahoma"/>
          <w:szCs w:val="24"/>
          <w:lang w:bidi="en-US"/>
        </w:rPr>
        <w:t>Cra</w:t>
      </w:r>
      <w:proofErr w:type="spellEnd"/>
      <w:r w:rsidR="002C3C82" w:rsidRPr="00F742AF">
        <w:rPr>
          <w:rFonts w:eastAsia="Calibri" w:cs="Tahoma"/>
          <w:szCs w:val="24"/>
          <w:lang w:bidi="en-US"/>
        </w:rPr>
        <w:t xml:space="preserve"> 14 </w:t>
      </w:r>
      <w:r w:rsidR="00D74D5B" w:rsidRPr="00F742AF">
        <w:rPr>
          <w:rFonts w:eastAsia="Calibri" w:cs="Tahoma"/>
          <w:szCs w:val="24"/>
          <w:lang w:bidi="en-US"/>
        </w:rPr>
        <w:t>N</w:t>
      </w:r>
      <w:r w:rsidR="002C3C82" w:rsidRPr="00F742AF">
        <w:rPr>
          <w:rFonts w:eastAsia="Calibri" w:cs="Tahoma"/>
          <w:szCs w:val="24"/>
          <w:lang w:bidi="en-US"/>
        </w:rPr>
        <w:t>o 1ª-143</w:t>
      </w:r>
      <w:r w:rsidRPr="00F742AF">
        <w:rPr>
          <w:rFonts w:eastAsia="Calibri" w:cs="Tahoma"/>
          <w:szCs w:val="24"/>
          <w:lang w:bidi="en-US"/>
        </w:rPr>
        <w:t>,</w:t>
      </w:r>
      <w:r w:rsidR="002C3C82" w:rsidRPr="00F742AF">
        <w:rPr>
          <w:rFonts w:eastAsia="Calibri" w:cs="Tahoma"/>
          <w:szCs w:val="24"/>
          <w:lang w:bidi="en-US"/>
        </w:rPr>
        <w:t xml:space="preserve"> se limitaron a indicar </w:t>
      </w:r>
      <w:r w:rsidRPr="00F742AF">
        <w:rPr>
          <w:rFonts w:eastAsia="Calibri" w:cs="Tahoma"/>
          <w:szCs w:val="24"/>
          <w:lang w:bidi="en-US"/>
        </w:rPr>
        <w:t xml:space="preserve">que </w:t>
      </w:r>
      <w:r w:rsidR="00D74D5B" w:rsidRPr="00F742AF">
        <w:rPr>
          <w:rFonts w:eastAsia="Calibri" w:cs="Tahoma"/>
          <w:i/>
          <w:szCs w:val="24"/>
          <w:lang w:bidi="en-US"/>
        </w:rPr>
        <w:t>“</w:t>
      </w:r>
      <w:r w:rsidRPr="00F742AF">
        <w:rPr>
          <w:rFonts w:eastAsia="Calibri" w:cs="Tahoma"/>
          <w:i/>
          <w:iCs/>
          <w:sz w:val="22"/>
          <w:szCs w:val="24"/>
          <w:lang w:bidi="en-US"/>
        </w:rPr>
        <w:t xml:space="preserve">habían </w:t>
      </w:r>
      <w:r w:rsidR="002C3C82" w:rsidRPr="00F742AF">
        <w:rPr>
          <w:rFonts w:eastAsia="Calibri" w:cs="Tahoma"/>
          <w:i/>
          <w:iCs/>
          <w:sz w:val="22"/>
          <w:szCs w:val="24"/>
          <w:lang w:bidi="en-US"/>
        </w:rPr>
        <w:t xml:space="preserve">conocido al causante </w:t>
      </w:r>
      <w:r w:rsidR="00ED705A" w:rsidRPr="00F742AF">
        <w:rPr>
          <w:rFonts w:eastAsia="Calibri" w:cs="Tahoma"/>
          <w:i/>
          <w:iCs/>
          <w:sz w:val="22"/>
          <w:szCs w:val="24"/>
          <w:lang w:bidi="en-US"/>
        </w:rPr>
        <w:t xml:space="preserve">Edwar Mauricio Calderón López </w:t>
      </w:r>
      <w:r w:rsidR="002C3C82" w:rsidRPr="00F742AF">
        <w:rPr>
          <w:rFonts w:eastAsia="Calibri" w:cs="Tahoma"/>
          <w:i/>
          <w:iCs/>
          <w:sz w:val="22"/>
          <w:szCs w:val="24"/>
          <w:lang w:bidi="en-US"/>
        </w:rPr>
        <w:t xml:space="preserve">por un tiempo de 24 años, </w:t>
      </w:r>
      <w:r w:rsidRPr="00F742AF">
        <w:rPr>
          <w:rFonts w:eastAsia="Calibri" w:cs="Tahoma"/>
          <w:i/>
          <w:iCs/>
          <w:sz w:val="22"/>
          <w:szCs w:val="24"/>
          <w:lang w:bidi="en-US"/>
        </w:rPr>
        <w:t xml:space="preserve">que fue </w:t>
      </w:r>
      <w:r w:rsidR="002C3C82" w:rsidRPr="00F742AF">
        <w:rPr>
          <w:rFonts w:eastAsia="Calibri" w:cs="Tahoma"/>
          <w:i/>
          <w:iCs/>
          <w:sz w:val="22"/>
          <w:szCs w:val="24"/>
          <w:lang w:bidi="en-US"/>
        </w:rPr>
        <w:t>soltero</w:t>
      </w:r>
      <w:r w:rsidR="00ED705A" w:rsidRPr="00F742AF">
        <w:rPr>
          <w:rFonts w:eastAsia="Calibri" w:cs="Tahoma"/>
          <w:i/>
          <w:iCs/>
          <w:sz w:val="22"/>
          <w:szCs w:val="24"/>
          <w:lang w:bidi="en-US"/>
        </w:rPr>
        <w:t>,</w:t>
      </w:r>
      <w:r w:rsidR="002C3C82" w:rsidRPr="00F742AF">
        <w:rPr>
          <w:rFonts w:eastAsia="Calibri" w:cs="Tahoma"/>
          <w:i/>
          <w:iCs/>
          <w:sz w:val="22"/>
          <w:szCs w:val="24"/>
          <w:lang w:bidi="en-US"/>
        </w:rPr>
        <w:t xml:space="preserve"> sin vida marital o hijos al </w:t>
      </w:r>
      <w:r w:rsidRPr="00F742AF">
        <w:rPr>
          <w:rFonts w:eastAsia="Calibri" w:cs="Tahoma"/>
          <w:i/>
          <w:iCs/>
          <w:sz w:val="22"/>
          <w:szCs w:val="24"/>
          <w:lang w:bidi="en-US"/>
        </w:rPr>
        <w:t xml:space="preserve">momento del </w:t>
      </w:r>
      <w:r w:rsidR="002C3C82" w:rsidRPr="00F742AF">
        <w:rPr>
          <w:rFonts w:eastAsia="Calibri" w:cs="Tahoma"/>
          <w:i/>
          <w:iCs/>
          <w:sz w:val="22"/>
          <w:szCs w:val="24"/>
          <w:lang w:bidi="en-US"/>
        </w:rPr>
        <w:t>deceso y</w:t>
      </w:r>
      <w:r w:rsidRPr="00F742AF">
        <w:rPr>
          <w:rFonts w:eastAsia="Calibri" w:cs="Tahoma"/>
          <w:i/>
          <w:iCs/>
          <w:sz w:val="22"/>
          <w:szCs w:val="24"/>
          <w:lang w:bidi="en-US"/>
        </w:rPr>
        <w:t xml:space="preserve"> </w:t>
      </w:r>
      <w:r w:rsidR="002C3C82" w:rsidRPr="00F742AF">
        <w:rPr>
          <w:rFonts w:eastAsia="Calibri" w:cs="Tahoma"/>
          <w:i/>
          <w:iCs/>
          <w:sz w:val="22"/>
          <w:szCs w:val="24"/>
          <w:lang w:bidi="en-US"/>
        </w:rPr>
        <w:t xml:space="preserve">que </w:t>
      </w:r>
      <w:r w:rsidRPr="00F742AF">
        <w:rPr>
          <w:rFonts w:eastAsia="Calibri" w:cs="Tahoma"/>
          <w:i/>
          <w:iCs/>
          <w:sz w:val="22"/>
          <w:szCs w:val="24"/>
          <w:lang w:bidi="en-US"/>
        </w:rPr>
        <w:t>P</w:t>
      </w:r>
      <w:r w:rsidR="002C3C82" w:rsidRPr="00F742AF">
        <w:rPr>
          <w:rFonts w:eastAsia="Calibri" w:cs="Tahoma"/>
          <w:i/>
          <w:iCs/>
          <w:sz w:val="22"/>
          <w:szCs w:val="24"/>
          <w:lang w:bidi="en-US"/>
        </w:rPr>
        <w:t xml:space="preserve">edro José Calderón Cañas - padre del causante </w:t>
      </w:r>
      <w:r w:rsidRPr="00F742AF">
        <w:rPr>
          <w:rFonts w:eastAsia="Calibri" w:cs="Tahoma"/>
          <w:i/>
          <w:iCs/>
          <w:sz w:val="22"/>
          <w:szCs w:val="24"/>
          <w:lang w:bidi="en-US"/>
        </w:rPr>
        <w:t>–</w:t>
      </w:r>
      <w:r w:rsidR="002C3C82" w:rsidRPr="00F742AF">
        <w:rPr>
          <w:rFonts w:eastAsia="Calibri" w:cs="Tahoma"/>
          <w:i/>
          <w:iCs/>
          <w:sz w:val="22"/>
          <w:szCs w:val="24"/>
          <w:lang w:bidi="en-US"/>
        </w:rPr>
        <w:t xml:space="preserve"> </w:t>
      </w:r>
      <w:r w:rsidRPr="00F742AF">
        <w:rPr>
          <w:rFonts w:eastAsia="Calibri" w:cs="Tahoma"/>
          <w:i/>
          <w:iCs/>
          <w:sz w:val="22"/>
          <w:szCs w:val="24"/>
          <w:lang w:bidi="en-US"/>
        </w:rPr>
        <w:t xml:space="preserve">había sido </w:t>
      </w:r>
      <w:r w:rsidR="002C3C82" w:rsidRPr="00F742AF">
        <w:rPr>
          <w:rFonts w:eastAsia="Calibri" w:cs="Tahoma"/>
          <w:i/>
          <w:iCs/>
          <w:sz w:val="22"/>
          <w:szCs w:val="24"/>
          <w:lang w:bidi="en-US"/>
        </w:rPr>
        <w:t>la persona que vel</w:t>
      </w:r>
      <w:r w:rsidRPr="00F742AF">
        <w:rPr>
          <w:rFonts w:eastAsia="Calibri" w:cs="Tahoma"/>
          <w:i/>
          <w:iCs/>
          <w:sz w:val="22"/>
          <w:szCs w:val="24"/>
          <w:lang w:bidi="en-US"/>
        </w:rPr>
        <w:t>ó</w:t>
      </w:r>
      <w:r w:rsidR="002C3C82" w:rsidRPr="00F742AF">
        <w:rPr>
          <w:rFonts w:eastAsia="Calibri" w:cs="Tahoma"/>
          <w:i/>
          <w:iCs/>
          <w:sz w:val="22"/>
          <w:szCs w:val="24"/>
          <w:lang w:bidi="en-US"/>
        </w:rPr>
        <w:t xml:space="preserve"> por el sostenimiento de su hijo desde pequeño ante el abandono de la madre y que </w:t>
      </w:r>
      <w:r w:rsidRPr="00F742AF">
        <w:rPr>
          <w:rFonts w:eastAsia="Calibri" w:cs="Tahoma"/>
          <w:i/>
          <w:iCs/>
          <w:sz w:val="22"/>
          <w:szCs w:val="24"/>
          <w:lang w:bidi="en-US"/>
        </w:rPr>
        <w:t>luego, P</w:t>
      </w:r>
      <w:r w:rsidR="002C3C82" w:rsidRPr="00F742AF">
        <w:rPr>
          <w:rFonts w:eastAsia="Calibri" w:cs="Tahoma"/>
          <w:i/>
          <w:iCs/>
          <w:sz w:val="22"/>
          <w:szCs w:val="24"/>
          <w:lang w:bidi="en-US"/>
        </w:rPr>
        <w:t xml:space="preserve">edro José </w:t>
      </w:r>
      <w:r w:rsidRPr="00F742AF">
        <w:rPr>
          <w:rFonts w:eastAsia="Calibri" w:cs="Tahoma"/>
          <w:i/>
          <w:iCs/>
          <w:sz w:val="22"/>
          <w:szCs w:val="24"/>
          <w:lang w:bidi="en-US"/>
        </w:rPr>
        <w:t xml:space="preserve">había dependido </w:t>
      </w:r>
      <w:r w:rsidR="002C3C82" w:rsidRPr="00F742AF">
        <w:rPr>
          <w:rFonts w:eastAsia="Calibri" w:cs="Tahoma"/>
          <w:i/>
          <w:iCs/>
          <w:sz w:val="22"/>
          <w:szCs w:val="24"/>
          <w:lang w:bidi="en-US"/>
        </w:rPr>
        <w:t xml:space="preserve">económicamente </w:t>
      </w:r>
      <w:r w:rsidRPr="00F742AF">
        <w:rPr>
          <w:rFonts w:eastAsia="Calibri" w:cs="Tahoma"/>
          <w:i/>
          <w:iCs/>
          <w:sz w:val="22"/>
          <w:szCs w:val="24"/>
          <w:lang w:bidi="en-US"/>
        </w:rPr>
        <w:t xml:space="preserve">de su </w:t>
      </w:r>
      <w:r w:rsidR="002C3C82" w:rsidRPr="00F742AF">
        <w:rPr>
          <w:rFonts w:eastAsia="Calibri" w:cs="Tahoma"/>
          <w:i/>
          <w:iCs/>
          <w:sz w:val="22"/>
          <w:szCs w:val="24"/>
          <w:lang w:bidi="en-US"/>
        </w:rPr>
        <w:t xml:space="preserve">hijo para </w:t>
      </w:r>
      <w:r w:rsidRPr="00F742AF">
        <w:rPr>
          <w:rFonts w:eastAsia="Calibri" w:cs="Tahoma"/>
          <w:i/>
          <w:iCs/>
          <w:sz w:val="22"/>
          <w:szCs w:val="24"/>
          <w:lang w:bidi="en-US"/>
        </w:rPr>
        <w:t>subsistir</w:t>
      </w:r>
      <w:r w:rsidR="00D74D5B" w:rsidRPr="00F742AF">
        <w:rPr>
          <w:rFonts w:eastAsia="Calibri" w:cs="Tahoma"/>
          <w:i/>
          <w:iCs/>
          <w:szCs w:val="24"/>
          <w:lang w:bidi="en-US"/>
        </w:rPr>
        <w:t>”</w:t>
      </w:r>
      <w:r w:rsidR="002C3C82" w:rsidRPr="00F742AF">
        <w:rPr>
          <w:rFonts w:eastAsia="Calibri" w:cs="Tahoma"/>
          <w:iCs/>
          <w:szCs w:val="24"/>
          <w:lang w:bidi="en-US"/>
        </w:rPr>
        <w:t xml:space="preserve"> (pág. 30-31).</w:t>
      </w:r>
    </w:p>
    <w:p w14:paraId="09C3AD82" w14:textId="77777777" w:rsidR="002C3C82" w:rsidRPr="00F742AF" w:rsidRDefault="002C3C82" w:rsidP="00F742AF">
      <w:pPr>
        <w:spacing w:line="276" w:lineRule="auto"/>
        <w:rPr>
          <w:rFonts w:eastAsia="Calibri" w:cs="Tahoma"/>
          <w:b/>
          <w:bCs/>
          <w:szCs w:val="24"/>
          <w:lang w:bidi="en-US"/>
        </w:rPr>
      </w:pPr>
    </w:p>
    <w:p w14:paraId="32E41291" w14:textId="4CCD3679" w:rsidR="002C3C82" w:rsidRPr="00F742AF" w:rsidRDefault="00ED705A" w:rsidP="00F742AF">
      <w:pPr>
        <w:spacing w:line="276" w:lineRule="auto"/>
        <w:ind w:firstLine="360"/>
        <w:rPr>
          <w:rFonts w:eastAsia="Calibri" w:cs="Tahoma"/>
          <w:szCs w:val="24"/>
          <w:lang w:bidi="en-US"/>
        </w:rPr>
      </w:pPr>
      <w:r w:rsidRPr="00F742AF">
        <w:rPr>
          <w:rFonts w:eastAsia="Calibri" w:cs="Tahoma"/>
          <w:szCs w:val="24"/>
          <w:lang w:bidi="en-US"/>
        </w:rPr>
        <w:t>E</w:t>
      </w:r>
      <w:r w:rsidR="002C3C82" w:rsidRPr="00F742AF">
        <w:rPr>
          <w:rFonts w:eastAsia="Calibri" w:cs="Tahoma"/>
          <w:szCs w:val="24"/>
          <w:lang w:bidi="en-US"/>
        </w:rPr>
        <w:t xml:space="preserve">n igual sentido fueron las </w:t>
      </w:r>
      <w:r w:rsidR="00D74D5B" w:rsidRPr="00F742AF">
        <w:rPr>
          <w:rFonts w:eastAsia="Calibri" w:cs="Tahoma"/>
          <w:szCs w:val="24"/>
          <w:lang w:bidi="en-US"/>
        </w:rPr>
        <w:t xml:space="preserve">declaraciones </w:t>
      </w:r>
      <w:r w:rsidR="002C3C82" w:rsidRPr="00F742AF">
        <w:rPr>
          <w:rFonts w:eastAsia="Calibri" w:cs="Tahoma"/>
          <w:szCs w:val="24"/>
          <w:lang w:bidi="en-US"/>
        </w:rPr>
        <w:t xml:space="preserve">extraprocesales </w:t>
      </w:r>
      <w:r w:rsidRPr="00F742AF">
        <w:rPr>
          <w:rFonts w:eastAsia="Calibri" w:cs="Tahoma"/>
          <w:szCs w:val="24"/>
          <w:lang w:bidi="en-US"/>
        </w:rPr>
        <w:t xml:space="preserve">del </w:t>
      </w:r>
      <w:r w:rsidR="002C3C82" w:rsidRPr="00F742AF">
        <w:rPr>
          <w:rFonts w:eastAsia="Calibri" w:cs="Tahoma"/>
          <w:szCs w:val="24"/>
          <w:lang w:bidi="en-US"/>
        </w:rPr>
        <w:t xml:space="preserve">27-09-2017 </w:t>
      </w:r>
      <w:r w:rsidRPr="00F742AF">
        <w:rPr>
          <w:rFonts w:eastAsia="Calibri" w:cs="Tahoma"/>
          <w:szCs w:val="24"/>
          <w:lang w:bidi="en-US"/>
        </w:rPr>
        <w:t>cuyos testigos fueron</w:t>
      </w:r>
      <w:r w:rsidR="002C3C82" w:rsidRPr="00F742AF">
        <w:rPr>
          <w:rFonts w:eastAsia="Calibri" w:cs="Tahoma"/>
          <w:szCs w:val="24"/>
          <w:lang w:bidi="en-US"/>
        </w:rPr>
        <w:t xml:space="preserve"> </w:t>
      </w:r>
      <w:r w:rsidR="009E0DCA" w:rsidRPr="00F742AF">
        <w:rPr>
          <w:rFonts w:eastAsia="Calibri" w:cs="Tahoma"/>
          <w:b/>
          <w:bCs/>
          <w:szCs w:val="24"/>
          <w:lang w:bidi="en-US"/>
        </w:rPr>
        <w:t>Eduardo Antonio Chavarría Calle</w:t>
      </w:r>
      <w:r w:rsidR="009E0DCA" w:rsidRPr="00F742AF">
        <w:rPr>
          <w:rFonts w:eastAsia="Calibri" w:cs="Tahoma"/>
          <w:szCs w:val="24"/>
          <w:lang w:bidi="en-US"/>
        </w:rPr>
        <w:t xml:space="preserve"> </w:t>
      </w:r>
      <w:r w:rsidR="002C3C82" w:rsidRPr="00F742AF">
        <w:rPr>
          <w:rFonts w:eastAsia="Calibri" w:cs="Tahoma"/>
          <w:szCs w:val="24"/>
          <w:lang w:bidi="en-US"/>
        </w:rPr>
        <w:t xml:space="preserve">y </w:t>
      </w:r>
      <w:r w:rsidR="009E0DCA" w:rsidRPr="00F742AF">
        <w:rPr>
          <w:rFonts w:eastAsia="Calibri" w:cs="Tahoma"/>
          <w:b/>
          <w:bCs/>
          <w:szCs w:val="24"/>
          <w:lang w:bidi="en-US"/>
        </w:rPr>
        <w:t>Ferley Valderrama Hernández,</w:t>
      </w:r>
      <w:r w:rsidR="009E0DCA" w:rsidRPr="00F742AF">
        <w:rPr>
          <w:rFonts w:eastAsia="Calibri" w:cs="Tahoma"/>
          <w:szCs w:val="24"/>
          <w:lang w:bidi="en-US"/>
        </w:rPr>
        <w:t xml:space="preserve"> </w:t>
      </w:r>
      <w:r w:rsidR="002C3C82" w:rsidRPr="00F742AF">
        <w:rPr>
          <w:rFonts w:eastAsia="Calibri" w:cs="Tahoma"/>
          <w:szCs w:val="24"/>
          <w:lang w:bidi="en-US"/>
        </w:rPr>
        <w:t>ambos residentes en Cartago (pág. 230-231, expediente administrativo)</w:t>
      </w:r>
      <w:r w:rsidRPr="00F742AF">
        <w:rPr>
          <w:rFonts w:eastAsia="Calibri" w:cs="Tahoma"/>
          <w:szCs w:val="24"/>
          <w:lang w:bidi="en-US"/>
        </w:rPr>
        <w:t>.</w:t>
      </w:r>
    </w:p>
    <w:p w14:paraId="1FE3E141" w14:textId="04453A02" w:rsidR="00E9451E" w:rsidRPr="00F742AF" w:rsidRDefault="00E9451E" w:rsidP="00F742AF">
      <w:pPr>
        <w:spacing w:line="276" w:lineRule="auto"/>
        <w:ind w:firstLine="360"/>
        <w:rPr>
          <w:rFonts w:eastAsia="Calibri" w:cs="Tahoma"/>
          <w:szCs w:val="24"/>
          <w:lang w:bidi="en-US"/>
        </w:rPr>
      </w:pPr>
    </w:p>
    <w:p w14:paraId="17117C8D" w14:textId="2417AA0E" w:rsidR="00E9451E" w:rsidRPr="00F742AF" w:rsidRDefault="0005016A" w:rsidP="00F742AF">
      <w:pPr>
        <w:spacing w:line="276" w:lineRule="auto"/>
        <w:ind w:firstLine="360"/>
        <w:rPr>
          <w:rFonts w:eastAsia="Calibri" w:cs="Tahoma"/>
          <w:szCs w:val="24"/>
          <w:lang w:bidi="en-US"/>
        </w:rPr>
      </w:pPr>
      <w:r w:rsidRPr="00F742AF">
        <w:rPr>
          <w:rFonts w:eastAsia="Calibri" w:cs="Tahoma"/>
          <w:szCs w:val="24"/>
          <w:lang w:bidi="en-US"/>
        </w:rPr>
        <w:t>De tales testimoniales se desprende que</w:t>
      </w:r>
      <w:r w:rsidR="00D74D5B" w:rsidRPr="00F742AF">
        <w:rPr>
          <w:rFonts w:eastAsia="Calibri" w:cs="Tahoma"/>
          <w:szCs w:val="24"/>
          <w:lang w:bidi="en-US"/>
        </w:rPr>
        <w:t>,</w:t>
      </w:r>
      <w:r w:rsidRPr="00F742AF">
        <w:rPr>
          <w:rFonts w:eastAsia="Calibri" w:cs="Tahoma"/>
          <w:szCs w:val="24"/>
          <w:lang w:bidi="en-US"/>
        </w:rPr>
        <w:t xml:space="preserve"> </w:t>
      </w:r>
      <w:r w:rsidR="00E9451E" w:rsidRPr="00F742AF">
        <w:rPr>
          <w:rFonts w:eastAsia="Calibri" w:cs="Tahoma"/>
          <w:szCs w:val="24"/>
          <w:lang w:bidi="en-US"/>
        </w:rPr>
        <w:t xml:space="preserve">si bien se afirma </w:t>
      </w:r>
      <w:r w:rsidRPr="00F742AF">
        <w:rPr>
          <w:rFonts w:eastAsia="Calibri" w:cs="Tahoma"/>
          <w:szCs w:val="24"/>
          <w:lang w:bidi="en-US"/>
        </w:rPr>
        <w:t>“</w:t>
      </w:r>
      <w:r w:rsidR="00E9451E" w:rsidRPr="00B51D54">
        <w:rPr>
          <w:rFonts w:eastAsia="Calibri" w:cs="Tahoma"/>
          <w:sz w:val="22"/>
          <w:szCs w:val="24"/>
          <w:lang w:bidi="en-US"/>
        </w:rPr>
        <w:t>que el actor dependía económicamente de su hijo</w:t>
      </w:r>
      <w:r w:rsidRPr="00F742AF">
        <w:rPr>
          <w:rFonts w:eastAsia="Calibri" w:cs="Tahoma"/>
          <w:szCs w:val="24"/>
          <w:lang w:bidi="en-US"/>
        </w:rPr>
        <w:t>”</w:t>
      </w:r>
      <w:r w:rsidR="00E9451E" w:rsidRPr="00F742AF">
        <w:rPr>
          <w:rFonts w:eastAsia="Calibri" w:cs="Tahoma"/>
          <w:szCs w:val="24"/>
          <w:lang w:bidi="en-US"/>
        </w:rPr>
        <w:t xml:space="preserve">, </w:t>
      </w:r>
      <w:r w:rsidRPr="00F742AF">
        <w:rPr>
          <w:rFonts w:eastAsia="Calibri" w:cs="Tahoma"/>
          <w:szCs w:val="24"/>
          <w:lang w:bidi="en-US"/>
        </w:rPr>
        <w:t xml:space="preserve">lo cierto es que </w:t>
      </w:r>
      <w:r w:rsidR="00E9451E" w:rsidRPr="00F742AF">
        <w:rPr>
          <w:rFonts w:eastAsia="Calibri" w:cs="Tahoma"/>
          <w:szCs w:val="24"/>
          <w:lang w:bidi="en-US"/>
        </w:rPr>
        <w:t>no advierten las circunstancias de tiempo, modo y lugar en que tuvieron dicho conocimiento y tampoco expusieron en qu</w:t>
      </w:r>
      <w:r w:rsidR="00D74D5B" w:rsidRPr="00F742AF">
        <w:rPr>
          <w:rFonts w:eastAsia="Calibri" w:cs="Tahoma"/>
          <w:szCs w:val="24"/>
          <w:lang w:bidi="en-US"/>
        </w:rPr>
        <w:t>é</w:t>
      </w:r>
      <w:r w:rsidR="00E9451E" w:rsidRPr="00F742AF">
        <w:rPr>
          <w:rFonts w:eastAsia="Calibri" w:cs="Tahoma"/>
          <w:szCs w:val="24"/>
          <w:lang w:bidi="en-US"/>
        </w:rPr>
        <w:t xml:space="preserve"> proporción</w:t>
      </w:r>
      <w:r w:rsidRPr="00F742AF">
        <w:rPr>
          <w:rFonts w:eastAsia="Calibri" w:cs="Tahoma"/>
          <w:szCs w:val="24"/>
          <w:lang w:bidi="en-US"/>
        </w:rPr>
        <w:t>,</w:t>
      </w:r>
      <w:r w:rsidR="00E9451E" w:rsidRPr="00F742AF">
        <w:rPr>
          <w:rFonts w:eastAsia="Calibri" w:cs="Tahoma"/>
          <w:szCs w:val="24"/>
          <w:lang w:bidi="en-US"/>
        </w:rPr>
        <w:t xml:space="preserve"> regularidad </w:t>
      </w:r>
      <w:r w:rsidRPr="00F742AF">
        <w:rPr>
          <w:rFonts w:eastAsia="Calibri" w:cs="Tahoma"/>
          <w:szCs w:val="24"/>
          <w:lang w:bidi="en-US"/>
        </w:rPr>
        <w:t xml:space="preserve">y circunstancias era que </w:t>
      </w:r>
      <w:r w:rsidR="00E9451E" w:rsidRPr="00F742AF">
        <w:rPr>
          <w:rFonts w:eastAsia="Calibri" w:cs="Tahoma"/>
          <w:szCs w:val="24"/>
          <w:lang w:bidi="en-US"/>
        </w:rPr>
        <w:t xml:space="preserve">se daba </w:t>
      </w:r>
      <w:r w:rsidRPr="00F742AF">
        <w:rPr>
          <w:rFonts w:eastAsia="Calibri" w:cs="Tahoma"/>
          <w:szCs w:val="24"/>
          <w:lang w:bidi="en-US"/>
        </w:rPr>
        <w:t xml:space="preserve">tal </w:t>
      </w:r>
      <w:r w:rsidR="00E9451E" w:rsidRPr="00F742AF">
        <w:rPr>
          <w:rFonts w:eastAsia="Calibri" w:cs="Tahoma"/>
          <w:szCs w:val="24"/>
          <w:lang w:bidi="en-US"/>
        </w:rPr>
        <w:t>manutención.</w:t>
      </w:r>
    </w:p>
    <w:p w14:paraId="6ECF0576" w14:textId="77777777" w:rsidR="00E9451E" w:rsidRPr="00F742AF" w:rsidRDefault="00E9451E" w:rsidP="00F742AF">
      <w:pPr>
        <w:spacing w:line="276" w:lineRule="auto"/>
        <w:ind w:firstLine="360"/>
        <w:rPr>
          <w:rFonts w:eastAsia="Calibri" w:cs="Tahoma"/>
          <w:szCs w:val="24"/>
          <w:lang w:bidi="en-US"/>
        </w:rPr>
      </w:pPr>
    </w:p>
    <w:p w14:paraId="2D420B86" w14:textId="47A35429" w:rsidR="00651DAF" w:rsidRPr="00F742AF" w:rsidRDefault="008C21E7" w:rsidP="00F742AF">
      <w:pPr>
        <w:spacing w:line="276" w:lineRule="auto"/>
        <w:ind w:firstLine="360"/>
        <w:rPr>
          <w:rFonts w:eastAsia="Calibri" w:cs="Tahoma"/>
          <w:szCs w:val="24"/>
          <w:lang w:bidi="en-US"/>
        </w:rPr>
      </w:pPr>
      <w:r w:rsidRPr="00F742AF">
        <w:rPr>
          <w:rFonts w:eastAsia="Calibri" w:cs="Tahoma"/>
          <w:szCs w:val="24"/>
          <w:lang w:bidi="en-US"/>
        </w:rPr>
        <w:t xml:space="preserve">5.- </w:t>
      </w:r>
      <w:r w:rsidR="00DC0C8A" w:rsidRPr="00F742AF">
        <w:rPr>
          <w:rFonts w:eastAsia="Calibri" w:cs="Tahoma"/>
          <w:szCs w:val="24"/>
          <w:lang w:bidi="en-US"/>
        </w:rPr>
        <w:t xml:space="preserve">En cuanto a </w:t>
      </w:r>
      <w:r w:rsidR="00651DAF" w:rsidRPr="00F742AF">
        <w:rPr>
          <w:rFonts w:eastAsia="Calibri" w:cs="Tahoma"/>
          <w:szCs w:val="24"/>
          <w:lang w:bidi="en-US"/>
        </w:rPr>
        <w:t xml:space="preserve">las condiciones económicas del actor al momento del deceso de su descendiente, </w:t>
      </w:r>
      <w:r w:rsidR="0008648D" w:rsidRPr="00F742AF">
        <w:rPr>
          <w:rFonts w:eastAsia="Calibri" w:cs="Tahoma"/>
          <w:szCs w:val="24"/>
          <w:lang w:bidi="en-US"/>
        </w:rPr>
        <w:t>al ser entrevistado dio a conocer</w:t>
      </w:r>
      <w:r w:rsidR="00651DAF" w:rsidRPr="00F742AF">
        <w:rPr>
          <w:rFonts w:eastAsia="Calibri" w:cs="Tahoma"/>
          <w:szCs w:val="24"/>
          <w:lang w:bidi="en-US"/>
        </w:rPr>
        <w:t xml:space="preserve"> </w:t>
      </w:r>
      <w:r w:rsidR="0008648D" w:rsidRPr="00F742AF">
        <w:rPr>
          <w:rFonts w:eastAsia="Calibri" w:cs="Tahoma"/>
          <w:iCs/>
          <w:szCs w:val="24"/>
          <w:lang w:bidi="en-US"/>
        </w:rPr>
        <w:t>q</w:t>
      </w:r>
      <w:r w:rsidR="00651DAF" w:rsidRPr="00F742AF">
        <w:rPr>
          <w:rFonts w:eastAsia="Calibri" w:cs="Tahoma"/>
          <w:iCs/>
          <w:szCs w:val="24"/>
          <w:lang w:bidi="en-US"/>
        </w:rPr>
        <w:t>ue</w:t>
      </w:r>
      <w:r w:rsidR="00651DAF" w:rsidRPr="00F742AF">
        <w:rPr>
          <w:rFonts w:eastAsia="Calibri" w:cs="Tahoma"/>
          <w:i/>
          <w:iCs/>
          <w:szCs w:val="24"/>
          <w:lang w:bidi="en-US"/>
        </w:rPr>
        <w:t xml:space="preserve"> </w:t>
      </w:r>
      <w:r w:rsidR="00651DAF" w:rsidRPr="00F742AF">
        <w:rPr>
          <w:rFonts w:eastAsia="Calibri" w:cs="Tahoma"/>
          <w:iCs/>
          <w:szCs w:val="24"/>
          <w:lang w:bidi="en-US"/>
        </w:rPr>
        <w:t xml:space="preserve">para la época en que su hijo falleció, vivía en la casa de su propiedad en la </w:t>
      </w:r>
      <w:proofErr w:type="spellStart"/>
      <w:r w:rsidR="00651DAF" w:rsidRPr="00F742AF">
        <w:rPr>
          <w:rFonts w:eastAsia="Calibri" w:cs="Tahoma"/>
          <w:iCs/>
          <w:szCs w:val="24"/>
          <w:lang w:bidi="en-US"/>
        </w:rPr>
        <w:t>Cra</w:t>
      </w:r>
      <w:proofErr w:type="spellEnd"/>
      <w:r w:rsidR="00651DAF" w:rsidRPr="00F742AF">
        <w:rPr>
          <w:rFonts w:eastAsia="Calibri" w:cs="Tahoma"/>
          <w:iCs/>
          <w:szCs w:val="24"/>
          <w:lang w:bidi="en-US"/>
        </w:rPr>
        <w:t>. 20 No. 7T – 72 de Cartago</w:t>
      </w:r>
      <w:r w:rsidR="0008648D" w:rsidRPr="00F742AF">
        <w:rPr>
          <w:rFonts w:eastAsia="Calibri" w:cs="Tahoma"/>
          <w:iCs/>
          <w:szCs w:val="24"/>
          <w:lang w:bidi="en-US"/>
        </w:rPr>
        <w:t xml:space="preserve">; que cohabitaba </w:t>
      </w:r>
      <w:r w:rsidR="00651DAF" w:rsidRPr="00F742AF">
        <w:rPr>
          <w:rFonts w:eastAsia="Calibri" w:cs="Tahoma"/>
          <w:iCs/>
          <w:szCs w:val="24"/>
          <w:lang w:bidi="en-US"/>
        </w:rPr>
        <w:t xml:space="preserve">con su compañera permanente </w:t>
      </w:r>
      <w:r w:rsidR="0008648D" w:rsidRPr="00F742AF">
        <w:rPr>
          <w:rFonts w:eastAsia="Calibri" w:cs="Tahoma"/>
          <w:iCs/>
          <w:szCs w:val="24"/>
          <w:lang w:bidi="en-US"/>
        </w:rPr>
        <w:t xml:space="preserve">Sra. </w:t>
      </w:r>
      <w:r w:rsidR="00651DAF" w:rsidRPr="00F742AF">
        <w:rPr>
          <w:rFonts w:eastAsia="Calibri" w:cs="Tahoma"/>
          <w:b/>
          <w:bCs/>
          <w:iCs/>
          <w:szCs w:val="24"/>
          <w:lang w:bidi="en-US"/>
        </w:rPr>
        <w:t>Miller Aidée López Hincapié</w:t>
      </w:r>
      <w:r w:rsidR="00651DAF" w:rsidRPr="00F742AF">
        <w:rPr>
          <w:rFonts w:eastAsia="Calibri" w:cs="Tahoma"/>
          <w:iCs/>
          <w:szCs w:val="24"/>
          <w:lang w:bidi="en-US"/>
        </w:rPr>
        <w:t xml:space="preserve">, su </w:t>
      </w:r>
      <w:r w:rsidR="00651DAF" w:rsidRPr="00F742AF">
        <w:rPr>
          <w:rFonts w:eastAsia="Calibri" w:cs="Tahoma"/>
          <w:iCs/>
          <w:szCs w:val="24"/>
          <w:lang w:bidi="en-US"/>
        </w:rPr>
        <w:lastRenderedPageBreak/>
        <w:t xml:space="preserve">hijo </w:t>
      </w:r>
      <w:r w:rsidR="00651DAF" w:rsidRPr="00F742AF">
        <w:rPr>
          <w:rFonts w:eastAsia="Calibri" w:cs="Tahoma"/>
          <w:b/>
          <w:bCs/>
          <w:iCs/>
          <w:szCs w:val="24"/>
          <w:lang w:bidi="en-US"/>
        </w:rPr>
        <w:t xml:space="preserve">Pedro José Calderón Ríos </w:t>
      </w:r>
      <w:r w:rsidR="00651DAF" w:rsidRPr="00F742AF">
        <w:rPr>
          <w:rFonts w:eastAsia="Calibri" w:cs="Tahoma"/>
          <w:iCs/>
          <w:szCs w:val="24"/>
          <w:lang w:bidi="en-US"/>
        </w:rPr>
        <w:t>y</w:t>
      </w:r>
      <w:r w:rsidR="00651DAF" w:rsidRPr="00F742AF">
        <w:rPr>
          <w:rFonts w:eastAsia="Calibri" w:cs="Tahoma"/>
          <w:b/>
          <w:bCs/>
          <w:iCs/>
          <w:szCs w:val="24"/>
          <w:lang w:bidi="en-US"/>
        </w:rPr>
        <w:t xml:space="preserve"> </w:t>
      </w:r>
      <w:r w:rsidR="00651DAF" w:rsidRPr="00F742AF">
        <w:rPr>
          <w:rFonts w:eastAsia="Calibri" w:cs="Tahoma"/>
          <w:iCs/>
          <w:szCs w:val="24"/>
          <w:lang w:bidi="en-US"/>
        </w:rPr>
        <w:t xml:space="preserve">su hijastra </w:t>
      </w:r>
      <w:r w:rsidR="00651DAF" w:rsidRPr="00F742AF">
        <w:rPr>
          <w:rFonts w:eastAsia="Calibri" w:cs="Tahoma"/>
          <w:b/>
          <w:bCs/>
          <w:iCs/>
          <w:szCs w:val="24"/>
          <w:lang w:bidi="en-US"/>
        </w:rPr>
        <w:t>Luisa Fernanda López</w:t>
      </w:r>
      <w:r w:rsidR="00651DAF" w:rsidRPr="00F742AF">
        <w:rPr>
          <w:rFonts w:eastAsia="Calibri" w:cs="Tahoma"/>
          <w:iCs/>
          <w:szCs w:val="24"/>
          <w:lang w:bidi="en-US"/>
        </w:rPr>
        <w:t xml:space="preserve"> – 19 años </w:t>
      </w:r>
      <w:r w:rsidR="00B95CA3">
        <w:rPr>
          <w:rFonts w:eastAsia="Calibri" w:cs="Tahoma"/>
          <w:iCs/>
          <w:szCs w:val="24"/>
          <w:lang w:bidi="en-US"/>
        </w:rPr>
        <w:t>–</w:t>
      </w:r>
      <w:r w:rsidR="00651DAF" w:rsidRPr="00F742AF">
        <w:rPr>
          <w:rStyle w:val="Refdenotaalpie"/>
          <w:rFonts w:eastAsia="Calibri" w:cs="Tahoma"/>
          <w:iCs/>
          <w:szCs w:val="24"/>
          <w:lang w:bidi="en-US"/>
        </w:rPr>
        <w:footnoteReference w:id="2"/>
      </w:r>
      <w:r w:rsidR="00651DAF" w:rsidRPr="00F742AF">
        <w:rPr>
          <w:rFonts w:eastAsia="Calibri" w:cs="Tahoma"/>
          <w:iCs/>
          <w:szCs w:val="24"/>
          <w:lang w:bidi="en-US"/>
        </w:rPr>
        <w:t>; que los gastos de</w:t>
      </w:r>
      <w:r w:rsidR="00061570" w:rsidRPr="00F742AF">
        <w:rPr>
          <w:rFonts w:eastAsia="Calibri" w:cs="Tahoma"/>
          <w:iCs/>
          <w:szCs w:val="24"/>
          <w:lang w:bidi="en-US"/>
        </w:rPr>
        <w:t>l</w:t>
      </w:r>
      <w:r w:rsidR="00651DAF" w:rsidRPr="00F742AF">
        <w:rPr>
          <w:rFonts w:eastAsia="Calibri" w:cs="Tahoma"/>
          <w:iCs/>
          <w:szCs w:val="24"/>
          <w:lang w:bidi="en-US"/>
        </w:rPr>
        <w:t xml:space="preserve"> hogar ascendían a </w:t>
      </w:r>
      <w:r w:rsidR="00651DAF" w:rsidRPr="00F742AF">
        <w:rPr>
          <w:rFonts w:eastAsia="Calibri" w:cs="Tahoma"/>
          <w:b/>
          <w:bCs/>
          <w:iCs/>
          <w:szCs w:val="24"/>
          <w:lang w:bidi="en-US"/>
        </w:rPr>
        <w:t>$1.538.000</w:t>
      </w:r>
      <w:r w:rsidR="00651DAF" w:rsidRPr="00F742AF">
        <w:rPr>
          <w:rFonts w:eastAsia="Calibri" w:cs="Tahoma"/>
          <w:iCs/>
          <w:szCs w:val="24"/>
          <w:lang w:bidi="en-US"/>
        </w:rPr>
        <w:t xml:space="preserve"> [servicios públicos $130.000, gas $15.000, teléfono $50.000, televisión $23.000, mercado $700.000, préstamos $375.000, transporte $100.000, medicina $35.000, predial $40.000 y vestuario $70.000]</w:t>
      </w:r>
      <w:r w:rsidR="00651DAF" w:rsidRPr="00F742AF">
        <w:rPr>
          <w:rStyle w:val="Refdenotaalpie"/>
          <w:rFonts w:eastAsia="Calibri" w:cs="Tahoma"/>
          <w:iCs/>
          <w:szCs w:val="24"/>
          <w:lang w:bidi="en-US"/>
        </w:rPr>
        <w:footnoteReference w:id="3"/>
      </w:r>
      <w:r w:rsidR="00651DAF" w:rsidRPr="00F742AF">
        <w:rPr>
          <w:rFonts w:eastAsia="Calibri" w:cs="Tahoma"/>
          <w:iCs/>
          <w:szCs w:val="24"/>
          <w:lang w:bidi="en-US"/>
        </w:rPr>
        <w:t xml:space="preserve">; que había dependido económicamente de su hijo fallecido de manera parcial, quien le contribuía con </w:t>
      </w:r>
      <w:r w:rsidR="00651DAF" w:rsidRPr="00F742AF">
        <w:rPr>
          <w:rFonts w:eastAsia="Calibri" w:cs="Tahoma"/>
          <w:b/>
          <w:bCs/>
          <w:iCs/>
          <w:szCs w:val="24"/>
          <w:lang w:bidi="en-US"/>
        </w:rPr>
        <w:t xml:space="preserve">$412.000 </w:t>
      </w:r>
      <w:r w:rsidR="00651DAF" w:rsidRPr="00F742AF">
        <w:rPr>
          <w:rFonts w:eastAsia="Calibri" w:cs="Tahoma"/>
          <w:iCs/>
          <w:szCs w:val="24"/>
          <w:lang w:bidi="en-US"/>
        </w:rPr>
        <w:t xml:space="preserve">mensuales, siendo $300.000 para los gastos del hogar y $112.000 para el pago de la seguridad social en salud y ARL; en tanto que su compañera permanente </w:t>
      </w:r>
      <w:r w:rsidR="00651DAF" w:rsidRPr="00F742AF">
        <w:rPr>
          <w:rFonts w:eastAsia="Calibri" w:cs="Tahoma"/>
          <w:b/>
          <w:bCs/>
          <w:iCs/>
          <w:szCs w:val="24"/>
          <w:lang w:bidi="en-US"/>
        </w:rPr>
        <w:t>Miller Aidée López Hincapié</w:t>
      </w:r>
      <w:r w:rsidR="00651DAF" w:rsidRPr="00F742AF">
        <w:rPr>
          <w:rFonts w:eastAsia="Calibri" w:cs="Tahoma"/>
          <w:iCs/>
          <w:szCs w:val="24"/>
          <w:lang w:bidi="en-US"/>
        </w:rPr>
        <w:t xml:space="preserve"> aportaba entre $500.000 y $600.000 y él quien era propietario de un camión afiliado a Trans Muñoz (VLF643) transportando ganado desde la costa hacia Cartago, </w:t>
      </w:r>
      <w:r w:rsidR="00207E3C" w:rsidRPr="00F742AF">
        <w:rPr>
          <w:rFonts w:eastAsia="Calibri" w:cs="Tahoma"/>
          <w:iCs/>
          <w:szCs w:val="24"/>
          <w:lang w:bidi="en-US"/>
        </w:rPr>
        <w:t>el cual l</w:t>
      </w:r>
      <w:r w:rsidR="00651DAF" w:rsidRPr="00F742AF">
        <w:rPr>
          <w:rFonts w:eastAsia="Calibri" w:cs="Tahoma"/>
          <w:iCs/>
          <w:szCs w:val="24"/>
          <w:lang w:bidi="en-US"/>
        </w:rPr>
        <w:t xml:space="preserve">e </w:t>
      </w:r>
      <w:r w:rsidR="00207E3C" w:rsidRPr="00F742AF">
        <w:rPr>
          <w:rFonts w:eastAsia="Calibri" w:cs="Tahoma"/>
          <w:iCs/>
          <w:szCs w:val="24"/>
          <w:lang w:bidi="en-US"/>
        </w:rPr>
        <w:t xml:space="preserve">generaba </w:t>
      </w:r>
      <w:r w:rsidR="00651DAF" w:rsidRPr="00F742AF">
        <w:rPr>
          <w:rFonts w:eastAsia="Calibri" w:cs="Tahoma"/>
          <w:iCs/>
          <w:szCs w:val="24"/>
          <w:lang w:bidi="en-US"/>
        </w:rPr>
        <w:t>por viajes al mes entre 600.000 y 700.000</w:t>
      </w:r>
      <w:r w:rsidR="00651DAF" w:rsidRPr="00F742AF">
        <w:rPr>
          <w:rStyle w:val="Refdenotaalpie"/>
          <w:rFonts w:eastAsia="Calibri" w:cs="Tahoma"/>
          <w:iCs/>
          <w:szCs w:val="24"/>
          <w:lang w:bidi="en-US"/>
        </w:rPr>
        <w:footnoteReference w:id="4"/>
      </w:r>
      <w:r w:rsidR="00061570" w:rsidRPr="00F742AF">
        <w:rPr>
          <w:rFonts w:eastAsia="Calibri" w:cs="Tahoma"/>
          <w:szCs w:val="24"/>
          <w:lang w:bidi="en-US"/>
        </w:rPr>
        <w:t xml:space="preserve">. No obstante, </w:t>
      </w:r>
      <w:r w:rsidR="00651DAF" w:rsidRPr="00F742AF">
        <w:rPr>
          <w:rFonts w:eastAsia="Calibri" w:cs="Tahoma"/>
          <w:szCs w:val="24"/>
          <w:lang w:bidi="en-US"/>
        </w:rPr>
        <w:t xml:space="preserve">a reglón seguido, </w:t>
      </w:r>
      <w:r w:rsidR="00061570" w:rsidRPr="00F742AF">
        <w:rPr>
          <w:rFonts w:eastAsia="Calibri" w:cs="Tahoma"/>
          <w:szCs w:val="24"/>
          <w:lang w:bidi="en-US"/>
        </w:rPr>
        <w:t xml:space="preserve">el actor </w:t>
      </w:r>
      <w:r w:rsidR="00651DAF" w:rsidRPr="00F742AF">
        <w:rPr>
          <w:rFonts w:eastAsia="Calibri" w:cs="Tahoma"/>
          <w:szCs w:val="24"/>
          <w:lang w:bidi="en-US"/>
        </w:rPr>
        <w:t xml:space="preserve">se contradijo </w:t>
      </w:r>
      <w:r w:rsidR="00061570" w:rsidRPr="00F742AF">
        <w:rPr>
          <w:rFonts w:eastAsia="Calibri" w:cs="Tahoma"/>
          <w:szCs w:val="24"/>
          <w:lang w:bidi="en-US"/>
        </w:rPr>
        <w:t xml:space="preserve">al afirmar </w:t>
      </w:r>
      <w:r w:rsidR="00651DAF" w:rsidRPr="00F742AF">
        <w:rPr>
          <w:rFonts w:eastAsia="Calibri" w:cs="Tahoma"/>
          <w:szCs w:val="24"/>
          <w:lang w:bidi="en-US"/>
        </w:rPr>
        <w:t xml:space="preserve">que </w:t>
      </w:r>
      <w:r w:rsidR="00061570" w:rsidRPr="00F742AF">
        <w:rPr>
          <w:rFonts w:eastAsia="Calibri" w:cs="Tahoma"/>
          <w:szCs w:val="24"/>
          <w:lang w:bidi="en-US"/>
        </w:rPr>
        <w:t xml:space="preserve">el camión lo </w:t>
      </w:r>
      <w:r w:rsidR="00651DAF" w:rsidRPr="00F742AF">
        <w:rPr>
          <w:rFonts w:eastAsia="Calibri" w:cs="Tahoma"/>
          <w:szCs w:val="24"/>
          <w:lang w:bidi="en-US"/>
        </w:rPr>
        <w:t>había vendido hacía 10 años</w:t>
      </w:r>
      <w:r w:rsidR="00061570" w:rsidRPr="00F742AF">
        <w:rPr>
          <w:rFonts w:eastAsia="Calibri" w:cs="Tahoma"/>
          <w:szCs w:val="24"/>
          <w:lang w:bidi="en-US"/>
        </w:rPr>
        <w:t xml:space="preserve"> atrás</w:t>
      </w:r>
      <w:r w:rsidR="00651DAF" w:rsidRPr="00F742AF">
        <w:rPr>
          <w:rStyle w:val="Refdenotaalpie"/>
          <w:rFonts w:eastAsia="Calibri" w:cs="Tahoma"/>
          <w:szCs w:val="24"/>
          <w:lang w:bidi="en-US"/>
        </w:rPr>
        <w:footnoteReference w:id="5"/>
      </w:r>
      <w:r w:rsidR="00651DAF" w:rsidRPr="00F742AF">
        <w:rPr>
          <w:rFonts w:eastAsia="Calibri" w:cs="Tahoma"/>
          <w:szCs w:val="24"/>
          <w:lang w:bidi="en-US"/>
        </w:rPr>
        <w:t xml:space="preserve"> y que aportaba </w:t>
      </w:r>
      <w:r w:rsidR="00061570" w:rsidRPr="00F742AF">
        <w:rPr>
          <w:rFonts w:eastAsia="Calibri" w:cs="Tahoma"/>
          <w:szCs w:val="24"/>
          <w:lang w:bidi="en-US"/>
        </w:rPr>
        <w:t xml:space="preserve">mensualmente </w:t>
      </w:r>
      <w:r w:rsidR="00651DAF" w:rsidRPr="00F742AF">
        <w:rPr>
          <w:rFonts w:eastAsia="Calibri" w:cs="Tahoma"/>
          <w:szCs w:val="24"/>
          <w:lang w:bidi="en-US"/>
        </w:rPr>
        <w:t xml:space="preserve">al hogar </w:t>
      </w:r>
      <w:r w:rsidR="00061570" w:rsidRPr="00F742AF">
        <w:rPr>
          <w:rFonts w:eastAsia="Calibri" w:cs="Tahoma"/>
          <w:szCs w:val="24"/>
          <w:lang w:bidi="en-US"/>
        </w:rPr>
        <w:t xml:space="preserve">la suma de </w:t>
      </w:r>
      <w:r w:rsidR="00651DAF" w:rsidRPr="00F742AF">
        <w:rPr>
          <w:rFonts w:eastAsia="Calibri" w:cs="Tahoma"/>
          <w:szCs w:val="24"/>
          <w:lang w:bidi="en-US"/>
        </w:rPr>
        <w:t xml:space="preserve">$300.000. </w:t>
      </w:r>
    </w:p>
    <w:p w14:paraId="7D7B1229" w14:textId="77777777" w:rsidR="00901F16" w:rsidRPr="00F742AF" w:rsidRDefault="00901F16" w:rsidP="00F742AF">
      <w:pPr>
        <w:spacing w:line="276" w:lineRule="auto"/>
        <w:ind w:firstLine="360"/>
        <w:rPr>
          <w:rFonts w:eastAsia="Calibri" w:cs="Tahoma"/>
          <w:szCs w:val="24"/>
          <w:highlight w:val="yellow"/>
          <w:lang w:bidi="en-US"/>
        </w:rPr>
      </w:pPr>
    </w:p>
    <w:p w14:paraId="7C9B4F93" w14:textId="1C537BDF" w:rsidR="0077275D" w:rsidRPr="00F742AF" w:rsidRDefault="002B2524" w:rsidP="00F742AF">
      <w:pPr>
        <w:spacing w:line="276" w:lineRule="auto"/>
        <w:ind w:firstLine="360"/>
        <w:rPr>
          <w:rFonts w:eastAsia="Calibri" w:cs="Tahoma"/>
          <w:szCs w:val="24"/>
          <w:lang w:bidi="en-US"/>
        </w:rPr>
      </w:pPr>
      <w:r w:rsidRPr="00F742AF">
        <w:rPr>
          <w:rFonts w:eastAsia="Calibri" w:cs="Tahoma"/>
          <w:szCs w:val="24"/>
          <w:lang w:bidi="en-US"/>
        </w:rPr>
        <w:t>6.- Respecto de los medios de subsistencia del reclamante con posterioridad al fallecimiento de su hijo</w:t>
      </w:r>
      <w:r w:rsidR="00C27593" w:rsidRPr="00F742AF">
        <w:rPr>
          <w:rFonts w:eastAsia="Calibri" w:cs="Tahoma"/>
          <w:szCs w:val="24"/>
          <w:lang w:bidi="en-US"/>
        </w:rPr>
        <w:t>, durante la entrevista</w:t>
      </w:r>
      <w:r w:rsidRPr="00F742AF">
        <w:rPr>
          <w:rFonts w:eastAsia="Calibri" w:cs="Tahoma"/>
          <w:szCs w:val="24"/>
          <w:lang w:bidi="en-US"/>
        </w:rPr>
        <w:t xml:space="preserve"> refirió que </w:t>
      </w:r>
      <w:r w:rsidR="00C27593" w:rsidRPr="00F742AF">
        <w:rPr>
          <w:rFonts w:eastAsia="Calibri" w:cs="Tahoma"/>
          <w:szCs w:val="24"/>
          <w:lang w:bidi="en-US"/>
        </w:rPr>
        <w:t xml:space="preserve">había vendido </w:t>
      </w:r>
      <w:r w:rsidRPr="00F742AF">
        <w:rPr>
          <w:rFonts w:eastAsia="Calibri" w:cs="Tahoma"/>
          <w:szCs w:val="24"/>
          <w:lang w:bidi="en-US"/>
        </w:rPr>
        <w:t xml:space="preserve">la casa ubicada en la </w:t>
      </w:r>
      <w:proofErr w:type="spellStart"/>
      <w:r w:rsidRPr="00F742AF">
        <w:rPr>
          <w:rFonts w:eastAsia="Calibri" w:cs="Tahoma"/>
          <w:szCs w:val="24"/>
          <w:lang w:bidi="en-US"/>
        </w:rPr>
        <w:t>Cra</w:t>
      </w:r>
      <w:proofErr w:type="spellEnd"/>
      <w:r w:rsidRPr="00F742AF">
        <w:rPr>
          <w:rFonts w:eastAsia="Calibri" w:cs="Tahoma"/>
          <w:szCs w:val="24"/>
          <w:lang w:bidi="en-US"/>
        </w:rPr>
        <w:t xml:space="preserve"> 20 No. 7T-72 por $72.000.000</w:t>
      </w:r>
      <w:r w:rsidR="00C27593" w:rsidRPr="00F742AF">
        <w:rPr>
          <w:rFonts w:eastAsia="Calibri" w:cs="Tahoma"/>
          <w:szCs w:val="24"/>
          <w:lang w:bidi="en-US"/>
        </w:rPr>
        <w:t xml:space="preserve">; que había comprado otra </w:t>
      </w:r>
      <w:r w:rsidRPr="00F742AF">
        <w:rPr>
          <w:rFonts w:eastAsia="Calibri" w:cs="Tahoma"/>
          <w:szCs w:val="24"/>
          <w:lang w:bidi="en-US"/>
        </w:rPr>
        <w:t xml:space="preserve">en el Barrio el </w:t>
      </w:r>
      <w:proofErr w:type="spellStart"/>
      <w:r w:rsidRPr="00F742AF">
        <w:rPr>
          <w:rFonts w:eastAsia="Calibri" w:cs="Tahoma"/>
          <w:szCs w:val="24"/>
          <w:lang w:bidi="en-US"/>
        </w:rPr>
        <w:t>Verdul</w:t>
      </w:r>
      <w:proofErr w:type="spellEnd"/>
      <w:r w:rsidRPr="00F742AF">
        <w:rPr>
          <w:rFonts w:eastAsia="Calibri" w:cs="Tahoma"/>
          <w:szCs w:val="24"/>
          <w:lang w:bidi="en-US"/>
        </w:rPr>
        <w:t xml:space="preserve"> la cual aún no se la habían entregado</w:t>
      </w:r>
      <w:r w:rsidRPr="00F742AF">
        <w:rPr>
          <w:rStyle w:val="Refdenotaalpie"/>
          <w:rFonts w:eastAsia="Calibri" w:cs="Tahoma"/>
          <w:szCs w:val="24"/>
          <w:lang w:bidi="en-US"/>
        </w:rPr>
        <w:footnoteReference w:id="6"/>
      </w:r>
      <w:r w:rsidRPr="00F742AF">
        <w:rPr>
          <w:rFonts w:eastAsia="Calibri" w:cs="Tahoma"/>
          <w:szCs w:val="24"/>
          <w:lang w:bidi="en-US"/>
        </w:rPr>
        <w:t xml:space="preserve">; que </w:t>
      </w:r>
      <w:r w:rsidR="00FD7F6F" w:rsidRPr="00F742AF">
        <w:rPr>
          <w:rFonts w:eastAsia="Calibri" w:cs="Tahoma"/>
          <w:szCs w:val="24"/>
          <w:lang w:bidi="en-US"/>
        </w:rPr>
        <w:t xml:space="preserve">se fue a vivir </w:t>
      </w:r>
      <w:r w:rsidRPr="00F742AF">
        <w:rPr>
          <w:rFonts w:eastAsia="Calibri" w:cs="Tahoma"/>
          <w:szCs w:val="24"/>
          <w:lang w:bidi="en-US"/>
        </w:rPr>
        <w:t xml:space="preserve">con su excompañera </w:t>
      </w:r>
      <w:r w:rsidRPr="00F742AF">
        <w:rPr>
          <w:rFonts w:eastAsia="Calibri" w:cs="Tahoma"/>
          <w:b/>
          <w:bCs/>
          <w:szCs w:val="24"/>
          <w:lang w:bidi="en-US"/>
        </w:rPr>
        <w:t>Blanca Libia Ríos</w:t>
      </w:r>
      <w:r w:rsidRPr="00F742AF">
        <w:rPr>
          <w:rFonts w:eastAsia="Calibri" w:cs="Tahoma"/>
          <w:szCs w:val="24"/>
          <w:lang w:bidi="en-US"/>
        </w:rPr>
        <w:t xml:space="preserve">, sus hijos </w:t>
      </w:r>
      <w:r w:rsidRPr="00F742AF">
        <w:rPr>
          <w:rFonts w:eastAsia="Calibri" w:cs="Tahoma"/>
          <w:b/>
          <w:bCs/>
          <w:szCs w:val="24"/>
          <w:lang w:bidi="en-US"/>
        </w:rPr>
        <w:t>Vanessa Calderón Ríos, Pedro José Calderón Ríos, Alejandra Calderón Ríos</w:t>
      </w:r>
      <w:r w:rsidRPr="00F742AF">
        <w:rPr>
          <w:rFonts w:eastAsia="Calibri" w:cs="Tahoma"/>
          <w:szCs w:val="24"/>
          <w:lang w:bidi="en-US"/>
        </w:rPr>
        <w:t xml:space="preserve"> y </w:t>
      </w:r>
      <w:r w:rsidRPr="00F742AF">
        <w:rPr>
          <w:rFonts w:eastAsia="Calibri" w:cs="Tahoma"/>
          <w:b/>
          <w:bCs/>
          <w:szCs w:val="24"/>
          <w:lang w:bidi="en-US"/>
        </w:rPr>
        <w:t>Daniela</w:t>
      </w:r>
      <w:r w:rsidRPr="00F742AF">
        <w:rPr>
          <w:rFonts w:eastAsia="Calibri" w:cs="Tahoma"/>
          <w:szCs w:val="24"/>
          <w:lang w:bidi="en-US"/>
        </w:rPr>
        <w:t xml:space="preserve">, además de su yerno </w:t>
      </w:r>
      <w:r w:rsidRPr="00F742AF">
        <w:rPr>
          <w:rFonts w:eastAsia="Calibri" w:cs="Tahoma"/>
          <w:b/>
          <w:bCs/>
          <w:szCs w:val="24"/>
          <w:lang w:bidi="en-US"/>
        </w:rPr>
        <w:t>Gustavo Adolfo Triana</w:t>
      </w:r>
      <w:r w:rsidRPr="00F742AF">
        <w:rPr>
          <w:rFonts w:eastAsia="Calibri" w:cs="Tahoma"/>
          <w:szCs w:val="24"/>
          <w:lang w:bidi="en-US"/>
        </w:rPr>
        <w:t xml:space="preserve"> y un nieto </w:t>
      </w:r>
      <w:r w:rsidRPr="00F742AF">
        <w:rPr>
          <w:rFonts w:eastAsia="Calibri" w:cs="Tahoma"/>
          <w:b/>
          <w:bCs/>
          <w:szCs w:val="24"/>
          <w:lang w:bidi="en-US"/>
        </w:rPr>
        <w:t>Juan José Escobar Calderón</w:t>
      </w:r>
      <w:r w:rsidRPr="00F742AF">
        <w:rPr>
          <w:rFonts w:eastAsia="Calibri" w:cs="Tahoma"/>
          <w:szCs w:val="24"/>
          <w:lang w:bidi="en-US"/>
        </w:rPr>
        <w:t xml:space="preserve"> hijo de Alejandra</w:t>
      </w:r>
      <w:r w:rsidRPr="00F742AF">
        <w:rPr>
          <w:rStyle w:val="Refdenotaalpie"/>
          <w:rFonts w:eastAsia="Calibri" w:cs="Tahoma"/>
          <w:szCs w:val="24"/>
          <w:lang w:bidi="en-US"/>
        </w:rPr>
        <w:footnoteReference w:id="7"/>
      </w:r>
      <w:r w:rsidR="00C27593" w:rsidRPr="00F742AF">
        <w:rPr>
          <w:rFonts w:eastAsia="Calibri" w:cs="Tahoma"/>
          <w:szCs w:val="24"/>
          <w:lang w:bidi="en-US"/>
        </w:rPr>
        <w:t>.</w:t>
      </w:r>
      <w:r w:rsidRPr="00F742AF">
        <w:rPr>
          <w:rFonts w:eastAsia="Calibri" w:cs="Tahoma"/>
          <w:szCs w:val="24"/>
          <w:lang w:bidi="en-US"/>
        </w:rPr>
        <w:t xml:space="preserve"> </w:t>
      </w:r>
      <w:r w:rsidR="00C27593" w:rsidRPr="00F742AF">
        <w:rPr>
          <w:rFonts w:eastAsia="Calibri" w:cs="Tahoma"/>
          <w:szCs w:val="24"/>
          <w:lang w:bidi="en-US"/>
        </w:rPr>
        <w:t xml:space="preserve">Frente a </w:t>
      </w:r>
      <w:r w:rsidRPr="00F742AF">
        <w:rPr>
          <w:rFonts w:eastAsia="Calibri" w:cs="Tahoma"/>
          <w:szCs w:val="24"/>
          <w:lang w:bidi="en-US"/>
        </w:rPr>
        <w:t xml:space="preserve">las condiciones económicas y familiares, </w:t>
      </w:r>
      <w:r w:rsidR="00C27593" w:rsidRPr="00F742AF">
        <w:rPr>
          <w:rFonts w:eastAsia="Calibri" w:cs="Tahoma"/>
          <w:szCs w:val="24"/>
          <w:lang w:bidi="en-US"/>
        </w:rPr>
        <w:t xml:space="preserve">dijo que </w:t>
      </w:r>
      <w:r w:rsidRPr="00F742AF">
        <w:rPr>
          <w:rFonts w:eastAsia="Calibri" w:cs="Tahoma"/>
          <w:szCs w:val="24"/>
          <w:lang w:bidi="en-US"/>
        </w:rPr>
        <w:t xml:space="preserve">había apoyo económico de sus hijas </w:t>
      </w:r>
      <w:r w:rsidRPr="00F742AF">
        <w:rPr>
          <w:rFonts w:eastAsia="Calibri" w:cs="Tahoma"/>
          <w:b/>
          <w:bCs/>
          <w:szCs w:val="24"/>
          <w:lang w:bidi="en-US"/>
        </w:rPr>
        <w:t>Vanessa</w:t>
      </w:r>
      <w:r w:rsidRPr="00F742AF">
        <w:rPr>
          <w:rFonts w:eastAsia="Calibri" w:cs="Tahoma"/>
          <w:szCs w:val="24"/>
          <w:lang w:bidi="en-US"/>
        </w:rPr>
        <w:t xml:space="preserve"> y su esposo con $600.000, </w:t>
      </w:r>
      <w:r w:rsidRPr="00F742AF">
        <w:rPr>
          <w:rFonts w:eastAsia="Calibri" w:cs="Tahoma"/>
          <w:b/>
          <w:bCs/>
          <w:szCs w:val="24"/>
          <w:lang w:bidi="en-US"/>
        </w:rPr>
        <w:t>Alejandra</w:t>
      </w:r>
      <w:r w:rsidRPr="00F742AF">
        <w:rPr>
          <w:rFonts w:eastAsia="Calibri" w:cs="Tahoma"/>
          <w:szCs w:val="24"/>
          <w:lang w:bidi="en-US"/>
        </w:rPr>
        <w:t xml:space="preserve"> con $260.000 y Blanca Libia Ríos quien devengaba $300.000</w:t>
      </w:r>
      <w:r w:rsidRPr="00F742AF">
        <w:rPr>
          <w:rStyle w:val="Refdenotaalpie"/>
          <w:rFonts w:eastAsia="Calibri" w:cs="Tahoma"/>
          <w:szCs w:val="24"/>
          <w:lang w:bidi="en-US"/>
        </w:rPr>
        <w:footnoteReference w:id="8"/>
      </w:r>
      <w:r w:rsidRPr="00F742AF">
        <w:rPr>
          <w:rFonts w:eastAsia="Calibri" w:cs="Tahoma"/>
          <w:szCs w:val="24"/>
          <w:lang w:bidi="en-US"/>
        </w:rPr>
        <w:t>, pues se dedicaba a eventos y alimentación, además de lo que él eventualmente aportaba; que los gastos ya eran de $</w:t>
      </w:r>
      <w:r w:rsidRPr="00F742AF">
        <w:rPr>
          <w:rFonts w:eastAsia="Calibri" w:cs="Tahoma"/>
          <w:b/>
          <w:bCs/>
          <w:szCs w:val="24"/>
          <w:lang w:bidi="en-US"/>
        </w:rPr>
        <w:t>1.343.000</w:t>
      </w:r>
      <w:r w:rsidRPr="00F742AF">
        <w:rPr>
          <w:rFonts w:eastAsia="Calibri" w:cs="Tahoma"/>
          <w:szCs w:val="24"/>
          <w:lang w:bidi="en-US"/>
        </w:rPr>
        <w:t xml:space="preserve"> [servicios públicos $150.000, gas $80.000, teléfono $60.000, televisión $23.000, mercado $600.000, transporte $100.000, medicina $70.000, pañales $120.000 y vestuario $140.000]</w:t>
      </w:r>
      <w:r w:rsidRPr="00F742AF">
        <w:rPr>
          <w:rStyle w:val="Refdenotaalpie"/>
          <w:rFonts w:eastAsia="Calibri" w:cs="Tahoma"/>
          <w:szCs w:val="24"/>
          <w:lang w:bidi="en-US"/>
        </w:rPr>
        <w:footnoteReference w:id="9"/>
      </w:r>
      <w:r w:rsidRPr="00F742AF">
        <w:rPr>
          <w:rFonts w:eastAsia="Calibri" w:cs="Tahoma"/>
          <w:szCs w:val="24"/>
          <w:lang w:bidi="en-US"/>
        </w:rPr>
        <w:t>. Agrega que los gastos del hogar luego se solventaron con la venta de la casa, pagando la hipoteca que adeudaba además de lo aportado por sus hijas</w:t>
      </w:r>
      <w:r w:rsidRPr="00F742AF">
        <w:rPr>
          <w:rStyle w:val="Refdenotaalpie"/>
          <w:rFonts w:eastAsia="Calibri" w:cs="Tahoma"/>
          <w:szCs w:val="24"/>
          <w:lang w:bidi="en-US"/>
        </w:rPr>
        <w:footnoteReference w:id="10"/>
      </w:r>
      <w:r w:rsidRPr="00F742AF">
        <w:rPr>
          <w:rFonts w:eastAsia="Calibri" w:cs="Tahoma"/>
          <w:szCs w:val="24"/>
          <w:lang w:bidi="en-US"/>
        </w:rPr>
        <w:t xml:space="preserve">.  Agrega </w:t>
      </w:r>
      <w:r w:rsidR="00252590" w:rsidRPr="00F742AF">
        <w:rPr>
          <w:rFonts w:eastAsia="Calibri" w:cs="Tahoma"/>
          <w:szCs w:val="24"/>
          <w:lang w:bidi="en-US"/>
        </w:rPr>
        <w:t>que,</w:t>
      </w:r>
      <w:r w:rsidRPr="00F742AF">
        <w:rPr>
          <w:rFonts w:eastAsia="Calibri" w:cs="Tahoma"/>
          <w:szCs w:val="24"/>
          <w:lang w:bidi="en-US"/>
        </w:rPr>
        <w:t xml:space="preserve"> con posterioridad al deceso, él, como padre, había reclamado las prestaciones por $900.000 y había vendido la moto en 8.000.000</w:t>
      </w:r>
      <w:r w:rsidRPr="00F742AF">
        <w:rPr>
          <w:rFonts w:cs="Tahoma"/>
          <w:szCs w:val="24"/>
          <w:vertAlign w:val="superscript"/>
        </w:rPr>
        <w:footnoteReference w:id="11"/>
      </w:r>
      <w:r w:rsidR="0077275D" w:rsidRPr="00F742AF">
        <w:rPr>
          <w:rFonts w:eastAsia="Calibri" w:cs="Tahoma"/>
          <w:szCs w:val="24"/>
          <w:lang w:bidi="en-US"/>
        </w:rPr>
        <w:t xml:space="preserve"> e hizo referencia a que su hijo dejó un seguro de vida por $20.000.000 donde aparecía como beneficiaria una excompañera permanente del causante llamada Ana María</w:t>
      </w:r>
      <w:r w:rsidR="0077275D" w:rsidRPr="00F742AF">
        <w:rPr>
          <w:rFonts w:cs="Tahoma"/>
          <w:szCs w:val="24"/>
          <w:vertAlign w:val="superscript"/>
        </w:rPr>
        <w:footnoteReference w:id="12"/>
      </w:r>
      <w:r w:rsidR="0077275D" w:rsidRPr="00F742AF">
        <w:rPr>
          <w:rFonts w:eastAsia="Calibri" w:cs="Tahoma"/>
          <w:szCs w:val="24"/>
          <w:lang w:bidi="en-US"/>
        </w:rPr>
        <w:t xml:space="preserve"> </w:t>
      </w:r>
    </w:p>
    <w:p w14:paraId="27798977" w14:textId="77777777" w:rsidR="0077275D" w:rsidRPr="00F742AF" w:rsidRDefault="0077275D" w:rsidP="00F742AF">
      <w:pPr>
        <w:spacing w:line="276" w:lineRule="auto"/>
        <w:ind w:firstLine="360"/>
        <w:rPr>
          <w:rFonts w:eastAsia="Calibri" w:cs="Tahoma"/>
          <w:szCs w:val="24"/>
          <w:lang w:bidi="en-US"/>
        </w:rPr>
      </w:pPr>
    </w:p>
    <w:p w14:paraId="5F22D138" w14:textId="64C21AE7" w:rsidR="00CF77B6" w:rsidRPr="00F742AF" w:rsidRDefault="00CF77B6" w:rsidP="00F742AF">
      <w:pPr>
        <w:spacing w:line="276" w:lineRule="auto"/>
        <w:ind w:firstLine="360"/>
        <w:rPr>
          <w:rFonts w:cs="Tahoma"/>
          <w:szCs w:val="24"/>
        </w:rPr>
      </w:pPr>
      <w:r w:rsidRPr="00F742AF">
        <w:rPr>
          <w:rFonts w:eastAsia="Calibri" w:cs="Tahoma"/>
          <w:szCs w:val="24"/>
          <w:lang w:bidi="en-US"/>
        </w:rPr>
        <w:t xml:space="preserve">7.- </w:t>
      </w:r>
      <w:r w:rsidRPr="00F742AF">
        <w:rPr>
          <w:rFonts w:cs="Tahoma"/>
          <w:szCs w:val="24"/>
        </w:rPr>
        <w:t xml:space="preserve">Durante la investigación, se comunicaron con </w:t>
      </w:r>
      <w:r w:rsidRPr="00F742AF">
        <w:rPr>
          <w:rFonts w:cs="Tahoma"/>
          <w:b/>
          <w:bCs/>
          <w:szCs w:val="24"/>
        </w:rPr>
        <w:t>Miller Aidée López Hincapié</w:t>
      </w:r>
      <w:r w:rsidRPr="00F742AF">
        <w:rPr>
          <w:rFonts w:cs="Tahoma"/>
          <w:szCs w:val="24"/>
        </w:rPr>
        <w:t xml:space="preserve">, quien les contó que vivía con el reclamante hacia 14 años; que se pelearon un mes antes de la entrevista por lo que estaba viviendo donde una sobrina; que el demandante había colaborado económicamente porque entre ambos cubrían los </w:t>
      </w:r>
      <w:r w:rsidRPr="00F742AF">
        <w:rPr>
          <w:rFonts w:cs="Tahoma"/>
          <w:szCs w:val="24"/>
        </w:rPr>
        <w:lastRenderedPageBreak/>
        <w:t xml:space="preserve">gastos de la casa; que obtenía ingresos con los negocios de transporte y con lo del camión que manejó con anterioridad; que por los problemas de salud </w:t>
      </w:r>
      <w:r w:rsidR="00C549A5" w:rsidRPr="00F742AF">
        <w:rPr>
          <w:rFonts w:cs="Tahoma"/>
          <w:szCs w:val="24"/>
        </w:rPr>
        <w:t>del demandante, aquel t</w:t>
      </w:r>
      <w:r w:rsidRPr="00F742AF">
        <w:rPr>
          <w:rFonts w:cs="Tahoma"/>
          <w:szCs w:val="24"/>
        </w:rPr>
        <w:t>enía un conductor; que ella aportaba aproximadamente $500.000 porque tenía taller propio de modistería; que sabía que el hijo fallecido le enviaba al papá dinero de vez en cuando</w:t>
      </w:r>
      <w:r w:rsidR="00AC4902" w:rsidRPr="00F742AF">
        <w:rPr>
          <w:rFonts w:cs="Tahoma"/>
          <w:szCs w:val="24"/>
        </w:rPr>
        <w:t>,</w:t>
      </w:r>
      <w:r w:rsidRPr="00F742AF">
        <w:rPr>
          <w:rFonts w:cs="Tahoma"/>
          <w:szCs w:val="24"/>
        </w:rPr>
        <w:t xml:space="preserve"> sin conocer la cantidad. (fol. 153).</w:t>
      </w:r>
    </w:p>
    <w:p w14:paraId="04E9F3DA" w14:textId="1E3C9437" w:rsidR="002B2524" w:rsidRPr="00F742AF" w:rsidRDefault="002B2524" w:rsidP="00F742AF">
      <w:pPr>
        <w:spacing w:line="276" w:lineRule="auto"/>
        <w:ind w:firstLine="360"/>
        <w:rPr>
          <w:rFonts w:eastAsia="Calibri" w:cs="Tahoma"/>
          <w:szCs w:val="24"/>
          <w:highlight w:val="yellow"/>
          <w:lang w:bidi="en-US"/>
        </w:rPr>
      </w:pPr>
    </w:p>
    <w:p w14:paraId="2CC237CF" w14:textId="3453419F" w:rsidR="000C7878" w:rsidRPr="00F742AF" w:rsidRDefault="000C7878" w:rsidP="00F742AF">
      <w:pPr>
        <w:spacing w:line="276" w:lineRule="auto"/>
        <w:ind w:firstLine="360"/>
        <w:rPr>
          <w:rFonts w:cs="Tahoma"/>
          <w:szCs w:val="24"/>
        </w:rPr>
      </w:pPr>
      <w:r w:rsidRPr="00F742AF">
        <w:rPr>
          <w:rFonts w:cs="Tahoma"/>
          <w:szCs w:val="24"/>
        </w:rPr>
        <w:t xml:space="preserve">8.- </w:t>
      </w:r>
      <w:r w:rsidR="009C1DAA" w:rsidRPr="00F742AF">
        <w:rPr>
          <w:rFonts w:cs="Tahoma"/>
          <w:szCs w:val="24"/>
        </w:rPr>
        <w:t>E</w:t>
      </w:r>
      <w:r w:rsidRPr="00F742AF">
        <w:rPr>
          <w:rFonts w:cs="Tahoma"/>
          <w:szCs w:val="24"/>
        </w:rPr>
        <w:t xml:space="preserve">ntrevistada Ana María Isaza Martínez, </w:t>
      </w:r>
      <w:r w:rsidR="009C1DAA" w:rsidRPr="00F742AF">
        <w:rPr>
          <w:rFonts w:cs="Tahoma"/>
          <w:szCs w:val="24"/>
        </w:rPr>
        <w:t xml:space="preserve">en la investigación se dijo que esta había </w:t>
      </w:r>
      <w:r w:rsidRPr="00F742AF">
        <w:rPr>
          <w:rFonts w:cs="Tahoma"/>
          <w:szCs w:val="24"/>
        </w:rPr>
        <w:t>convivi</w:t>
      </w:r>
      <w:r w:rsidR="009C1DAA" w:rsidRPr="00F742AF">
        <w:rPr>
          <w:rFonts w:cs="Tahoma"/>
          <w:szCs w:val="24"/>
        </w:rPr>
        <w:t>do</w:t>
      </w:r>
      <w:r w:rsidRPr="00F742AF">
        <w:rPr>
          <w:rFonts w:cs="Tahoma"/>
          <w:szCs w:val="24"/>
        </w:rPr>
        <w:t xml:space="preserve"> con el causante </w:t>
      </w:r>
      <w:r w:rsidR="009C1DAA" w:rsidRPr="00F742AF">
        <w:rPr>
          <w:rFonts w:cs="Tahoma"/>
          <w:szCs w:val="24"/>
        </w:rPr>
        <w:t xml:space="preserve">en Cartago </w:t>
      </w:r>
      <w:r w:rsidRPr="00F742AF">
        <w:rPr>
          <w:rFonts w:cs="Tahoma"/>
          <w:szCs w:val="24"/>
        </w:rPr>
        <w:t xml:space="preserve">por espacio de 4 años; que no habían vuelto a tener relación y que se había enterado </w:t>
      </w:r>
      <w:r w:rsidR="00392425" w:rsidRPr="00F742AF">
        <w:rPr>
          <w:rFonts w:cs="Tahoma"/>
          <w:szCs w:val="24"/>
        </w:rPr>
        <w:t>de que</w:t>
      </w:r>
      <w:r w:rsidRPr="00F742AF">
        <w:rPr>
          <w:rFonts w:cs="Tahoma"/>
          <w:szCs w:val="24"/>
        </w:rPr>
        <w:t xml:space="preserve"> había un seguro de vida porque el demandante le había dicho que los dos eran beneficiarios. (fol. 154) </w:t>
      </w:r>
    </w:p>
    <w:p w14:paraId="150EC74B" w14:textId="3F31AC41" w:rsidR="002B2524" w:rsidRPr="00F742AF" w:rsidRDefault="002B2524" w:rsidP="00F742AF">
      <w:pPr>
        <w:spacing w:line="276" w:lineRule="auto"/>
        <w:ind w:firstLine="360"/>
        <w:rPr>
          <w:rFonts w:cs="Tahoma"/>
          <w:szCs w:val="24"/>
        </w:rPr>
      </w:pPr>
    </w:p>
    <w:p w14:paraId="53FA4379" w14:textId="5FE0844E" w:rsidR="000C7878" w:rsidRPr="00F742AF" w:rsidRDefault="00392425" w:rsidP="00F742AF">
      <w:pPr>
        <w:spacing w:line="276" w:lineRule="auto"/>
        <w:ind w:firstLine="360"/>
        <w:rPr>
          <w:rFonts w:cs="Tahoma"/>
          <w:szCs w:val="24"/>
        </w:rPr>
      </w:pPr>
      <w:r w:rsidRPr="00F742AF">
        <w:rPr>
          <w:rFonts w:cs="Tahoma"/>
          <w:szCs w:val="24"/>
        </w:rPr>
        <w:t xml:space="preserve">9.- </w:t>
      </w:r>
      <w:r w:rsidR="009C1DAA" w:rsidRPr="00F742AF">
        <w:rPr>
          <w:rFonts w:cs="Tahoma"/>
          <w:szCs w:val="24"/>
        </w:rPr>
        <w:t>En</w:t>
      </w:r>
      <w:r w:rsidRPr="00F742AF">
        <w:rPr>
          <w:rFonts w:cs="Tahoma"/>
          <w:szCs w:val="24"/>
        </w:rPr>
        <w:t xml:space="preserve">trevistada </w:t>
      </w:r>
      <w:proofErr w:type="spellStart"/>
      <w:r w:rsidR="00CF0798" w:rsidRPr="00F742AF">
        <w:rPr>
          <w:rFonts w:cs="Tahoma"/>
          <w:szCs w:val="24"/>
        </w:rPr>
        <w:t>Bleidys</w:t>
      </w:r>
      <w:proofErr w:type="spellEnd"/>
      <w:r w:rsidR="00CF0798" w:rsidRPr="00F742AF">
        <w:rPr>
          <w:rFonts w:cs="Tahoma"/>
          <w:szCs w:val="24"/>
        </w:rPr>
        <w:t xml:space="preserve"> Mosquera Moreno </w:t>
      </w:r>
      <w:r w:rsidR="009C1DAA" w:rsidRPr="00F742AF">
        <w:rPr>
          <w:rFonts w:cs="Tahoma"/>
          <w:szCs w:val="24"/>
        </w:rPr>
        <w:t xml:space="preserve">en el marco de la investigación administrativa realizada en el 2013, </w:t>
      </w:r>
      <w:r w:rsidR="0089034A" w:rsidRPr="00F742AF">
        <w:rPr>
          <w:rFonts w:cs="Tahoma"/>
          <w:szCs w:val="24"/>
        </w:rPr>
        <w:t xml:space="preserve"> </w:t>
      </w:r>
      <w:r w:rsidR="009C1DAA" w:rsidRPr="00F742AF">
        <w:rPr>
          <w:rFonts w:cs="Tahoma"/>
          <w:szCs w:val="24"/>
        </w:rPr>
        <w:t xml:space="preserve">había dicho que </w:t>
      </w:r>
      <w:r w:rsidR="000C7878" w:rsidRPr="00F742AF">
        <w:rPr>
          <w:rFonts w:cs="Tahoma"/>
          <w:szCs w:val="24"/>
        </w:rPr>
        <w:t>vivía en Quibdó y era novia del causante</w:t>
      </w:r>
      <w:r w:rsidR="009C1DAA" w:rsidRPr="00F742AF">
        <w:rPr>
          <w:rFonts w:cs="Tahoma"/>
          <w:szCs w:val="24"/>
        </w:rPr>
        <w:t xml:space="preserve">; que estaba </w:t>
      </w:r>
      <w:r w:rsidR="000C7878" w:rsidRPr="00F742AF">
        <w:rPr>
          <w:rFonts w:cs="Tahoma"/>
          <w:szCs w:val="24"/>
        </w:rPr>
        <w:t>embarazada</w:t>
      </w:r>
      <w:r w:rsidR="009C1DAA" w:rsidRPr="00F742AF">
        <w:rPr>
          <w:rFonts w:cs="Tahoma"/>
          <w:szCs w:val="24"/>
        </w:rPr>
        <w:t xml:space="preserve"> al fallecimiento de aquél</w:t>
      </w:r>
      <w:r w:rsidR="000C7878" w:rsidRPr="00F742AF">
        <w:rPr>
          <w:rFonts w:cs="Tahoma"/>
          <w:szCs w:val="24"/>
        </w:rPr>
        <w:t xml:space="preserve">; que </w:t>
      </w:r>
      <w:r w:rsidR="009C1DAA" w:rsidRPr="00F742AF">
        <w:rPr>
          <w:rFonts w:cs="Tahoma"/>
          <w:szCs w:val="24"/>
        </w:rPr>
        <w:t xml:space="preserve">su hijo nació </w:t>
      </w:r>
      <w:r w:rsidR="000C7878" w:rsidRPr="00F742AF">
        <w:rPr>
          <w:rFonts w:cs="Tahoma"/>
          <w:szCs w:val="24"/>
        </w:rPr>
        <w:t xml:space="preserve">el 29 de septiembre de 2012; que el </w:t>
      </w:r>
      <w:r w:rsidR="00776163" w:rsidRPr="00F742AF">
        <w:rPr>
          <w:rFonts w:cs="Tahoma"/>
          <w:szCs w:val="24"/>
        </w:rPr>
        <w:t xml:space="preserve">demandante </w:t>
      </w:r>
      <w:r w:rsidR="000C7878" w:rsidRPr="00F742AF">
        <w:rPr>
          <w:rFonts w:cs="Tahoma"/>
          <w:szCs w:val="24"/>
        </w:rPr>
        <w:t xml:space="preserve">la había llamado porque quería conocer </w:t>
      </w:r>
      <w:r w:rsidR="00776163" w:rsidRPr="00F742AF">
        <w:rPr>
          <w:rFonts w:cs="Tahoma"/>
          <w:szCs w:val="24"/>
        </w:rPr>
        <w:t>a</w:t>
      </w:r>
      <w:r w:rsidR="000C7878" w:rsidRPr="00F742AF">
        <w:rPr>
          <w:rFonts w:cs="Tahoma"/>
          <w:szCs w:val="24"/>
        </w:rPr>
        <w:t>l niño</w:t>
      </w:r>
      <w:r w:rsidR="00776163" w:rsidRPr="00F742AF">
        <w:rPr>
          <w:rFonts w:cs="Tahoma"/>
          <w:szCs w:val="24"/>
        </w:rPr>
        <w:t xml:space="preserve">, prometiéndole un giro de </w:t>
      </w:r>
      <w:r w:rsidR="00CF0798" w:rsidRPr="00F742AF">
        <w:rPr>
          <w:rFonts w:cs="Tahoma"/>
          <w:szCs w:val="24"/>
        </w:rPr>
        <w:t xml:space="preserve">dinero </w:t>
      </w:r>
      <w:r w:rsidR="000C7878" w:rsidRPr="00F742AF">
        <w:rPr>
          <w:rFonts w:cs="Tahoma"/>
          <w:szCs w:val="24"/>
        </w:rPr>
        <w:t>para que fuera a Cartago</w:t>
      </w:r>
      <w:r w:rsidR="00776163" w:rsidRPr="00F742AF">
        <w:rPr>
          <w:rFonts w:cs="Tahoma"/>
          <w:szCs w:val="24"/>
        </w:rPr>
        <w:t xml:space="preserve">, lo cual no sucedió porque al trabajar </w:t>
      </w:r>
      <w:r w:rsidR="000C7878" w:rsidRPr="00F742AF">
        <w:rPr>
          <w:rFonts w:cs="Tahoma"/>
          <w:szCs w:val="24"/>
        </w:rPr>
        <w:t xml:space="preserve">no había podido; que </w:t>
      </w:r>
      <w:r w:rsidR="00776163" w:rsidRPr="00F742AF">
        <w:rPr>
          <w:rFonts w:cs="Tahoma"/>
          <w:szCs w:val="24"/>
        </w:rPr>
        <w:t xml:space="preserve">el actor </w:t>
      </w:r>
      <w:r w:rsidR="000C7878" w:rsidRPr="00F742AF">
        <w:rPr>
          <w:rFonts w:cs="Tahoma"/>
          <w:szCs w:val="24"/>
        </w:rPr>
        <w:t xml:space="preserve">le había prometido una casa </w:t>
      </w:r>
      <w:r w:rsidR="00C5071D" w:rsidRPr="00F742AF">
        <w:rPr>
          <w:rFonts w:cs="Tahoma"/>
          <w:szCs w:val="24"/>
        </w:rPr>
        <w:t xml:space="preserve">para el </w:t>
      </w:r>
      <w:r w:rsidR="000C7878" w:rsidRPr="00F742AF">
        <w:rPr>
          <w:rFonts w:cs="Tahoma"/>
          <w:szCs w:val="24"/>
        </w:rPr>
        <w:t>niño</w:t>
      </w:r>
      <w:r w:rsidR="00776163" w:rsidRPr="00F742AF">
        <w:rPr>
          <w:rFonts w:cs="Tahoma"/>
          <w:szCs w:val="24"/>
        </w:rPr>
        <w:t xml:space="preserve"> </w:t>
      </w:r>
      <w:r w:rsidR="00C5071D" w:rsidRPr="00F742AF">
        <w:rPr>
          <w:rFonts w:cs="Tahoma"/>
          <w:szCs w:val="24"/>
        </w:rPr>
        <w:t xml:space="preserve">ocultándole </w:t>
      </w:r>
      <w:r w:rsidR="000C7878" w:rsidRPr="00F742AF">
        <w:rPr>
          <w:rFonts w:cs="Tahoma"/>
          <w:szCs w:val="24"/>
        </w:rPr>
        <w:t>que estaba reclamando la pensión</w:t>
      </w:r>
      <w:r w:rsidR="00776163" w:rsidRPr="00F742AF">
        <w:rPr>
          <w:rFonts w:cs="Tahoma"/>
          <w:szCs w:val="24"/>
        </w:rPr>
        <w:t>,</w:t>
      </w:r>
      <w:r w:rsidR="000C7878" w:rsidRPr="00F742AF">
        <w:rPr>
          <w:rFonts w:cs="Tahoma"/>
          <w:szCs w:val="24"/>
        </w:rPr>
        <w:t xml:space="preserve"> los dineros de </w:t>
      </w:r>
      <w:r w:rsidR="00CF0798" w:rsidRPr="00F742AF">
        <w:rPr>
          <w:rFonts w:cs="Tahoma"/>
          <w:szCs w:val="24"/>
        </w:rPr>
        <w:t xml:space="preserve">las </w:t>
      </w:r>
      <w:r w:rsidR="000C7878" w:rsidRPr="00F742AF">
        <w:rPr>
          <w:rFonts w:cs="Tahoma"/>
          <w:szCs w:val="24"/>
        </w:rPr>
        <w:t xml:space="preserve">prestaciones y </w:t>
      </w:r>
      <w:r w:rsidR="00CF0798" w:rsidRPr="00F742AF">
        <w:rPr>
          <w:rFonts w:cs="Tahoma"/>
          <w:szCs w:val="24"/>
        </w:rPr>
        <w:t xml:space="preserve">que había </w:t>
      </w:r>
      <w:r w:rsidR="000C7878" w:rsidRPr="00F742AF">
        <w:rPr>
          <w:rFonts w:cs="Tahoma"/>
          <w:szCs w:val="24"/>
        </w:rPr>
        <w:t xml:space="preserve">vendido la moto que ella misma había ayudado </w:t>
      </w:r>
      <w:r w:rsidR="00CF0798" w:rsidRPr="00F742AF">
        <w:rPr>
          <w:rFonts w:cs="Tahoma"/>
          <w:szCs w:val="24"/>
        </w:rPr>
        <w:t xml:space="preserve">al causante </w:t>
      </w:r>
      <w:r w:rsidR="000C7878" w:rsidRPr="00F742AF">
        <w:rPr>
          <w:rFonts w:cs="Tahoma"/>
          <w:szCs w:val="24"/>
        </w:rPr>
        <w:t>a comprar (fol. 153-154)</w:t>
      </w:r>
      <w:r w:rsidR="00776163" w:rsidRPr="00F742AF">
        <w:rPr>
          <w:rFonts w:cs="Tahoma"/>
          <w:szCs w:val="24"/>
        </w:rPr>
        <w:t>.</w:t>
      </w:r>
    </w:p>
    <w:p w14:paraId="42FB695A" w14:textId="77777777" w:rsidR="000C7878" w:rsidRPr="00F742AF" w:rsidRDefault="000C7878" w:rsidP="00F742AF">
      <w:pPr>
        <w:spacing w:line="276" w:lineRule="auto"/>
        <w:rPr>
          <w:rFonts w:cs="Tahoma"/>
          <w:color w:val="0070C0"/>
          <w:szCs w:val="24"/>
        </w:rPr>
      </w:pPr>
    </w:p>
    <w:p w14:paraId="2CA3869E" w14:textId="58739496" w:rsidR="000C7878" w:rsidRPr="00F742AF" w:rsidRDefault="0089034A" w:rsidP="00F742AF">
      <w:pPr>
        <w:spacing w:line="276" w:lineRule="auto"/>
        <w:ind w:firstLine="360"/>
        <w:rPr>
          <w:rFonts w:cs="Tahoma"/>
          <w:szCs w:val="24"/>
        </w:rPr>
      </w:pPr>
      <w:r w:rsidRPr="00F742AF">
        <w:rPr>
          <w:rFonts w:cs="Tahoma"/>
          <w:szCs w:val="24"/>
        </w:rPr>
        <w:t xml:space="preserve">10.- </w:t>
      </w:r>
      <w:r w:rsidR="007A4CF4" w:rsidRPr="00F742AF">
        <w:rPr>
          <w:rFonts w:cs="Tahoma"/>
          <w:szCs w:val="24"/>
        </w:rPr>
        <w:t xml:space="preserve">Con posterioridad a la entrevista de </w:t>
      </w:r>
      <w:r w:rsidR="004C169D" w:rsidRPr="00F742AF">
        <w:rPr>
          <w:rFonts w:cs="Tahoma"/>
          <w:szCs w:val="24"/>
        </w:rPr>
        <w:t>la señora Mosquera Moreno</w:t>
      </w:r>
      <w:r w:rsidR="007A4CF4" w:rsidRPr="00F742AF">
        <w:rPr>
          <w:rFonts w:cs="Tahoma"/>
          <w:szCs w:val="24"/>
        </w:rPr>
        <w:t xml:space="preserve">, ésta </w:t>
      </w:r>
      <w:r w:rsidR="004C169D" w:rsidRPr="00F742AF">
        <w:rPr>
          <w:rFonts w:cs="Tahoma"/>
          <w:szCs w:val="24"/>
        </w:rPr>
        <w:t xml:space="preserve">adelantó </w:t>
      </w:r>
      <w:r w:rsidR="007A4CF4" w:rsidRPr="00F742AF">
        <w:rPr>
          <w:rFonts w:cs="Tahoma"/>
          <w:szCs w:val="24"/>
        </w:rPr>
        <w:t xml:space="preserve">un </w:t>
      </w:r>
      <w:r w:rsidR="000C7878" w:rsidRPr="00F742AF">
        <w:rPr>
          <w:rFonts w:cs="Tahoma"/>
          <w:szCs w:val="24"/>
        </w:rPr>
        <w:t xml:space="preserve">proceso de filiación extramatrimonial </w:t>
      </w:r>
      <w:proofErr w:type="spellStart"/>
      <w:r w:rsidR="000C7878" w:rsidRPr="00F742AF">
        <w:rPr>
          <w:rFonts w:cs="Tahoma"/>
          <w:szCs w:val="24"/>
        </w:rPr>
        <w:t>postmorten</w:t>
      </w:r>
      <w:proofErr w:type="spellEnd"/>
      <w:r w:rsidR="000C7878" w:rsidRPr="00F742AF">
        <w:rPr>
          <w:rFonts w:cs="Tahoma"/>
          <w:szCs w:val="24"/>
        </w:rPr>
        <w:t xml:space="preserve"> </w:t>
      </w:r>
      <w:r w:rsidR="004C169D" w:rsidRPr="00F742AF">
        <w:rPr>
          <w:rFonts w:cs="Tahoma"/>
          <w:szCs w:val="24"/>
        </w:rPr>
        <w:t xml:space="preserve">en </w:t>
      </w:r>
      <w:r w:rsidR="000C7878" w:rsidRPr="00F742AF">
        <w:rPr>
          <w:rFonts w:cs="Tahoma"/>
          <w:szCs w:val="24"/>
        </w:rPr>
        <w:t>agosto de 2016</w:t>
      </w:r>
      <w:r w:rsidR="004C169D" w:rsidRPr="00F742AF">
        <w:rPr>
          <w:rFonts w:cs="Tahoma"/>
          <w:szCs w:val="24"/>
        </w:rPr>
        <w:t xml:space="preserve">, el cual culminó </w:t>
      </w:r>
      <w:r w:rsidR="000C7878" w:rsidRPr="00F742AF">
        <w:rPr>
          <w:rFonts w:cs="Tahoma"/>
          <w:szCs w:val="24"/>
        </w:rPr>
        <w:t xml:space="preserve">por sentencia del 29 de junio de 2017 </w:t>
      </w:r>
      <w:r w:rsidR="004C169D" w:rsidRPr="00F742AF">
        <w:rPr>
          <w:rFonts w:cs="Tahoma"/>
          <w:szCs w:val="24"/>
        </w:rPr>
        <w:t>d</w:t>
      </w:r>
      <w:r w:rsidR="000C7878" w:rsidRPr="00F742AF">
        <w:rPr>
          <w:rFonts w:cs="Tahoma"/>
          <w:szCs w:val="24"/>
        </w:rPr>
        <w:t xml:space="preserve">el Juzgado Primero Promiscuo de </w:t>
      </w:r>
      <w:r w:rsidR="00C549A5" w:rsidRPr="00F742AF">
        <w:rPr>
          <w:rFonts w:cs="Tahoma"/>
          <w:szCs w:val="24"/>
        </w:rPr>
        <w:t>F</w:t>
      </w:r>
      <w:r w:rsidR="000C7878" w:rsidRPr="00F742AF">
        <w:rPr>
          <w:rFonts w:cs="Tahoma"/>
          <w:szCs w:val="24"/>
        </w:rPr>
        <w:t xml:space="preserve">amilia, </w:t>
      </w:r>
      <w:r w:rsidR="004C169D" w:rsidRPr="00F742AF">
        <w:rPr>
          <w:rFonts w:cs="Tahoma"/>
          <w:szCs w:val="24"/>
        </w:rPr>
        <w:t xml:space="preserve">declarando </w:t>
      </w:r>
      <w:r w:rsidR="000C7878" w:rsidRPr="00F742AF">
        <w:rPr>
          <w:rFonts w:cs="Tahoma"/>
          <w:szCs w:val="24"/>
        </w:rPr>
        <w:t xml:space="preserve">que el menor </w:t>
      </w:r>
      <w:proofErr w:type="spellStart"/>
      <w:r w:rsidR="000C7878" w:rsidRPr="00F742AF">
        <w:rPr>
          <w:rFonts w:cs="Tahoma"/>
          <w:szCs w:val="24"/>
        </w:rPr>
        <w:t>Yoider</w:t>
      </w:r>
      <w:proofErr w:type="spellEnd"/>
      <w:r w:rsidR="000C7878" w:rsidRPr="00F742AF">
        <w:rPr>
          <w:rFonts w:cs="Tahoma"/>
          <w:szCs w:val="24"/>
        </w:rPr>
        <w:t xml:space="preserve"> Mauricio Mosquera Moreno, nacido el 29 de septiembre de 2012 no era hijo del causante (</w:t>
      </w:r>
      <w:proofErr w:type="spellStart"/>
      <w:r w:rsidR="000C7878" w:rsidRPr="00F742AF">
        <w:rPr>
          <w:rFonts w:cs="Tahoma"/>
          <w:szCs w:val="24"/>
        </w:rPr>
        <w:t>fl</w:t>
      </w:r>
      <w:proofErr w:type="spellEnd"/>
      <w:r w:rsidR="000C7878" w:rsidRPr="00F742AF">
        <w:rPr>
          <w:rFonts w:cs="Tahoma"/>
          <w:szCs w:val="24"/>
        </w:rPr>
        <w:t>. 13-17).</w:t>
      </w:r>
    </w:p>
    <w:p w14:paraId="6B19D8B6" w14:textId="599BBF38" w:rsidR="002B2524" w:rsidRPr="00F742AF" w:rsidRDefault="002B2524" w:rsidP="00F742AF">
      <w:pPr>
        <w:spacing w:line="276" w:lineRule="auto"/>
        <w:ind w:firstLine="360"/>
        <w:rPr>
          <w:rFonts w:eastAsia="Calibri" w:cs="Tahoma"/>
          <w:szCs w:val="24"/>
          <w:highlight w:val="yellow"/>
          <w:lang w:bidi="en-US"/>
        </w:rPr>
      </w:pPr>
    </w:p>
    <w:p w14:paraId="6190D7E6" w14:textId="71E93D87" w:rsidR="006C6FE6" w:rsidRPr="00F742AF" w:rsidRDefault="006C6FE6" w:rsidP="00F742AF">
      <w:pPr>
        <w:spacing w:line="276" w:lineRule="auto"/>
        <w:ind w:firstLine="360"/>
        <w:rPr>
          <w:rFonts w:cs="Tahoma"/>
          <w:szCs w:val="24"/>
        </w:rPr>
      </w:pPr>
      <w:r w:rsidRPr="00F742AF">
        <w:rPr>
          <w:rFonts w:eastAsia="Calibri" w:cs="Tahoma"/>
          <w:szCs w:val="24"/>
          <w:lang w:bidi="en-US"/>
        </w:rPr>
        <w:t xml:space="preserve">11.- Entre las conclusiones consignadas en el informe (pág. 151) se indica: (i) </w:t>
      </w:r>
      <w:r w:rsidR="00427EB1" w:rsidRPr="00F742AF">
        <w:rPr>
          <w:rFonts w:eastAsia="Calibri" w:cs="Tahoma"/>
          <w:szCs w:val="24"/>
          <w:lang w:bidi="en-US"/>
        </w:rPr>
        <w:t xml:space="preserve">que el </w:t>
      </w:r>
      <w:r w:rsidRPr="00F742AF">
        <w:rPr>
          <w:rFonts w:eastAsia="Calibri" w:cs="Tahoma"/>
          <w:szCs w:val="24"/>
          <w:lang w:bidi="en-US"/>
        </w:rPr>
        <w:t xml:space="preserve">seguro de vida </w:t>
      </w:r>
      <w:r w:rsidR="00427EB1" w:rsidRPr="00F742AF">
        <w:rPr>
          <w:rFonts w:eastAsia="Calibri" w:cs="Tahoma"/>
          <w:szCs w:val="24"/>
          <w:lang w:bidi="en-US"/>
        </w:rPr>
        <w:t xml:space="preserve">que había dejado el causante </w:t>
      </w:r>
      <w:r w:rsidRPr="00F742AF">
        <w:rPr>
          <w:rFonts w:eastAsia="Calibri" w:cs="Tahoma"/>
          <w:szCs w:val="24"/>
          <w:lang w:bidi="en-US"/>
        </w:rPr>
        <w:t>por $20.000.000</w:t>
      </w:r>
      <w:r w:rsidR="00427EB1" w:rsidRPr="00F742AF">
        <w:rPr>
          <w:rFonts w:eastAsia="Calibri" w:cs="Tahoma"/>
          <w:szCs w:val="24"/>
          <w:lang w:bidi="en-US"/>
        </w:rPr>
        <w:t>, al</w:t>
      </w:r>
      <w:r w:rsidRPr="00F742AF">
        <w:rPr>
          <w:rFonts w:eastAsia="Calibri" w:cs="Tahoma"/>
          <w:szCs w:val="24"/>
          <w:lang w:bidi="en-US"/>
        </w:rPr>
        <w:t xml:space="preserve"> demandante </w:t>
      </w:r>
      <w:r w:rsidR="00427EB1" w:rsidRPr="00F742AF">
        <w:rPr>
          <w:rFonts w:eastAsia="Calibri" w:cs="Tahoma"/>
          <w:szCs w:val="24"/>
          <w:lang w:bidi="en-US"/>
        </w:rPr>
        <w:t xml:space="preserve">le había asignado un 30% como </w:t>
      </w:r>
      <w:r w:rsidRPr="00F742AF">
        <w:rPr>
          <w:rFonts w:eastAsia="Calibri" w:cs="Tahoma"/>
          <w:szCs w:val="24"/>
          <w:lang w:bidi="en-US"/>
        </w:rPr>
        <w:t xml:space="preserve">beneficiario </w:t>
      </w:r>
      <w:r w:rsidR="00427EB1" w:rsidRPr="00F742AF">
        <w:rPr>
          <w:rFonts w:eastAsia="Calibri" w:cs="Tahoma"/>
          <w:szCs w:val="24"/>
          <w:lang w:bidi="en-US"/>
        </w:rPr>
        <w:t>y lo restante a Ana María Isaza Martínez</w:t>
      </w:r>
      <w:r w:rsidRPr="00F742AF">
        <w:rPr>
          <w:rFonts w:eastAsia="Calibri" w:cs="Tahoma"/>
          <w:szCs w:val="24"/>
          <w:lang w:bidi="en-US"/>
        </w:rPr>
        <w:t xml:space="preserve">; (ii) que </w:t>
      </w:r>
      <w:r w:rsidR="00B662F8" w:rsidRPr="00F742AF">
        <w:rPr>
          <w:rFonts w:eastAsia="Calibri" w:cs="Tahoma"/>
          <w:szCs w:val="24"/>
          <w:lang w:bidi="en-US"/>
        </w:rPr>
        <w:t>el</w:t>
      </w:r>
      <w:r w:rsidR="00427EB1" w:rsidRPr="00F742AF">
        <w:rPr>
          <w:rFonts w:eastAsia="Calibri" w:cs="Tahoma"/>
          <w:szCs w:val="24"/>
          <w:lang w:bidi="en-US"/>
        </w:rPr>
        <w:t xml:space="preserve"> actor </w:t>
      </w:r>
      <w:r w:rsidRPr="00F742AF">
        <w:rPr>
          <w:rFonts w:eastAsia="Calibri" w:cs="Tahoma"/>
          <w:szCs w:val="24"/>
          <w:lang w:bidi="en-US"/>
        </w:rPr>
        <w:t xml:space="preserve">reclamó las cesantías </w:t>
      </w:r>
      <w:r w:rsidR="00427EB1" w:rsidRPr="00F742AF">
        <w:rPr>
          <w:rFonts w:eastAsia="Calibri" w:cs="Tahoma"/>
          <w:szCs w:val="24"/>
          <w:lang w:bidi="en-US"/>
        </w:rPr>
        <w:t xml:space="preserve">de su hijo </w:t>
      </w:r>
      <w:r w:rsidRPr="00F742AF">
        <w:rPr>
          <w:rFonts w:eastAsia="Calibri" w:cs="Tahoma"/>
          <w:szCs w:val="24"/>
          <w:lang w:bidi="en-US"/>
        </w:rPr>
        <w:t xml:space="preserve">por </w:t>
      </w:r>
      <w:r w:rsidR="00427EB1" w:rsidRPr="00F742AF">
        <w:rPr>
          <w:rFonts w:eastAsia="Calibri" w:cs="Tahoma"/>
          <w:szCs w:val="24"/>
          <w:lang w:bidi="en-US"/>
        </w:rPr>
        <w:t>$</w:t>
      </w:r>
      <w:r w:rsidRPr="00F742AF">
        <w:rPr>
          <w:rFonts w:eastAsia="Calibri" w:cs="Tahoma"/>
          <w:szCs w:val="24"/>
          <w:lang w:bidi="en-US"/>
        </w:rPr>
        <w:t xml:space="preserve">1.283.216 según anexo 3 del informe; (iii) </w:t>
      </w:r>
      <w:r w:rsidRPr="00F742AF">
        <w:rPr>
          <w:rFonts w:cs="Tahoma"/>
          <w:szCs w:val="24"/>
        </w:rPr>
        <w:t xml:space="preserve">que </w:t>
      </w:r>
      <w:r w:rsidR="00427EB1" w:rsidRPr="00F742AF">
        <w:rPr>
          <w:rFonts w:cs="Tahoma"/>
          <w:szCs w:val="24"/>
        </w:rPr>
        <w:t xml:space="preserve">en </w:t>
      </w:r>
      <w:r w:rsidRPr="00F742AF">
        <w:rPr>
          <w:rFonts w:cs="Tahoma"/>
          <w:szCs w:val="24"/>
        </w:rPr>
        <w:t xml:space="preserve">investigación </w:t>
      </w:r>
      <w:r w:rsidR="00427EB1" w:rsidRPr="00F742AF">
        <w:rPr>
          <w:rFonts w:cs="Tahoma"/>
          <w:szCs w:val="24"/>
        </w:rPr>
        <w:t xml:space="preserve">realizada </w:t>
      </w:r>
      <w:r w:rsidRPr="00F742AF">
        <w:rPr>
          <w:rFonts w:cs="Tahoma"/>
          <w:szCs w:val="24"/>
        </w:rPr>
        <w:t>en la oficina de registro</w:t>
      </w:r>
      <w:r w:rsidR="00427EB1" w:rsidRPr="00F742AF">
        <w:rPr>
          <w:rFonts w:cs="Tahoma"/>
          <w:szCs w:val="24"/>
        </w:rPr>
        <w:t xml:space="preserve"> de Cartago</w:t>
      </w:r>
      <w:r w:rsidRPr="00F742AF">
        <w:rPr>
          <w:rFonts w:cs="Tahoma"/>
          <w:szCs w:val="24"/>
        </w:rPr>
        <w:t xml:space="preserve">, </w:t>
      </w:r>
      <w:r w:rsidR="00427EB1" w:rsidRPr="00F742AF">
        <w:rPr>
          <w:rFonts w:cs="Tahoma"/>
          <w:szCs w:val="24"/>
        </w:rPr>
        <w:t xml:space="preserve">se concluía que el demandante </w:t>
      </w:r>
      <w:r w:rsidRPr="00F742AF">
        <w:rPr>
          <w:rFonts w:cs="Tahoma"/>
          <w:szCs w:val="24"/>
        </w:rPr>
        <w:t>era propietario de un inmueble (adjuntando certificado)</w:t>
      </w:r>
      <w:r w:rsidR="00427EB1" w:rsidRPr="00F742AF">
        <w:rPr>
          <w:rFonts w:cs="Tahoma"/>
          <w:szCs w:val="24"/>
        </w:rPr>
        <w:t xml:space="preserve">, observando además </w:t>
      </w:r>
      <w:r w:rsidRPr="00F742AF">
        <w:rPr>
          <w:rFonts w:cs="Tahoma"/>
          <w:szCs w:val="24"/>
        </w:rPr>
        <w:t xml:space="preserve">que </w:t>
      </w:r>
      <w:r w:rsidR="00427EB1" w:rsidRPr="00F742AF">
        <w:rPr>
          <w:rFonts w:cs="Tahoma"/>
          <w:szCs w:val="24"/>
        </w:rPr>
        <w:t>en tiempo atrás –</w:t>
      </w:r>
      <w:r w:rsidR="00427EB1" w:rsidRPr="00F742AF">
        <w:rPr>
          <w:rFonts w:cs="Tahoma"/>
          <w:i/>
          <w:iCs/>
          <w:szCs w:val="24"/>
        </w:rPr>
        <w:t xml:space="preserve"> sin especificar cuando – </w:t>
      </w:r>
      <w:r w:rsidR="00427EB1" w:rsidRPr="00F742AF">
        <w:rPr>
          <w:rFonts w:cs="Tahoma"/>
          <w:szCs w:val="24"/>
        </w:rPr>
        <w:t xml:space="preserve">había tenido </w:t>
      </w:r>
      <w:r w:rsidRPr="00F742AF">
        <w:rPr>
          <w:rFonts w:cs="Tahoma"/>
          <w:szCs w:val="24"/>
        </w:rPr>
        <w:t xml:space="preserve">otros 5 predios ubicados en la </w:t>
      </w:r>
      <w:proofErr w:type="spellStart"/>
      <w:r w:rsidRPr="00F742AF">
        <w:rPr>
          <w:rFonts w:cs="Tahoma"/>
          <w:szCs w:val="24"/>
        </w:rPr>
        <w:t>Cra</w:t>
      </w:r>
      <w:proofErr w:type="spellEnd"/>
      <w:r w:rsidRPr="00F742AF">
        <w:rPr>
          <w:rFonts w:cs="Tahoma"/>
          <w:szCs w:val="24"/>
        </w:rPr>
        <w:t xml:space="preserve"> 8 No. 20-31; </w:t>
      </w:r>
      <w:proofErr w:type="spellStart"/>
      <w:r w:rsidRPr="00F742AF">
        <w:rPr>
          <w:rFonts w:cs="Tahoma"/>
          <w:szCs w:val="24"/>
        </w:rPr>
        <w:t>Cra</w:t>
      </w:r>
      <w:proofErr w:type="spellEnd"/>
      <w:r w:rsidRPr="00F742AF">
        <w:rPr>
          <w:rFonts w:cs="Tahoma"/>
          <w:szCs w:val="24"/>
        </w:rPr>
        <w:t xml:space="preserve"> 20 </w:t>
      </w:r>
      <w:proofErr w:type="spellStart"/>
      <w:r w:rsidRPr="00F742AF">
        <w:rPr>
          <w:rFonts w:cs="Tahoma"/>
          <w:szCs w:val="24"/>
        </w:rPr>
        <w:t>7T</w:t>
      </w:r>
      <w:proofErr w:type="spellEnd"/>
      <w:r w:rsidRPr="00F742AF">
        <w:rPr>
          <w:rFonts w:cs="Tahoma"/>
          <w:szCs w:val="24"/>
        </w:rPr>
        <w:t xml:space="preserve"> B San Jerónimo Calle 3 y 4 – vendida en diciembre de 2012 en $71.000.000 -; </w:t>
      </w:r>
      <w:proofErr w:type="spellStart"/>
      <w:r w:rsidRPr="00F742AF">
        <w:rPr>
          <w:rFonts w:cs="Tahoma"/>
          <w:szCs w:val="24"/>
        </w:rPr>
        <w:t>Cll</w:t>
      </w:r>
      <w:proofErr w:type="spellEnd"/>
      <w:r w:rsidRPr="00F742AF">
        <w:rPr>
          <w:rFonts w:cs="Tahoma"/>
          <w:szCs w:val="24"/>
        </w:rPr>
        <w:t xml:space="preserve"> 14 No. 10-20; </w:t>
      </w:r>
      <w:proofErr w:type="spellStart"/>
      <w:r w:rsidRPr="00F742AF">
        <w:rPr>
          <w:rFonts w:cs="Tahoma"/>
          <w:szCs w:val="24"/>
        </w:rPr>
        <w:t>Cra</w:t>
      </w:r>
      <w:proofErr w:type="spellEnd"/>
      <w:r w:rsidRPr="00F742AF">
        <w:rPr>
          <w:rFonts w:cs="Tahoma"/>
          <w:szCs w:val="24"/>
        </w:rPr>
        <w:t xml:space="preserve">. 5 No. Norte 20 a 04 y en la </w:t>
      </w:r>
      <w:proofErr w:type="spellStart"/>
      <w:r w:rsidRPr="00F742AF">
        <w:rPr>
          <w:rFonts w:cs="Tahoma"/>
          <w:szCs w:val="24"/>
        </w:rPr>
        <w:t>Cra</w:t>
      </w:r>
      <w:proofErr w:type="spellEnd"/>
      <w:r w:rsidRPr="00F742AF">
        <w:rPr>
          <w:rFonts w:cs="Tahoma"/>
          <w:szCs w:val="24"/>
        </w:rPr>
        <w:t xml:space="preserve"> 3 norte 18-37 (fol. 155-156); (iv) </w:t>
      </w:r>
      <w:r w:rsidR="006437E2" w:rsidRPr="00F742AF">
        <w:rPr>
          <w:rFonts w:cs="Tahoma"/>
          <w:szCs w:val="24"/>
        </w:rPr>
        <w:t>Que</w:t>
      </w:r>
      <w:r w:rsidR="00427EB1" w:rsidRPr="00F742AF">
        <w:rPr>
          <w:rFonts w:cs="Tahoma"/>
          <w:szCs w:val="24"/>
        </w:rPr>
        <w:t xml:space="preserve"> revisada </w:t>
      </w:r>
      <w:r w:rsidRPr="00F742AF">
        <w:rPr>
          <w:rFonts w:cs="Tahoma"/>
          <w:szCs w:val="24"/>
        </w:rPr>
        <w:t xml:space="preserve">la </w:t>
      </w:r>
      <w:r w:rsidR="00427EB1" w:rsidRPr="00F742AF">
        <w:rPr>
          <w:rFonts w:cs="Tahoma"/>
          <w:szCs w:val="24"/>
        </w:rPr>
        <w:t xml:space="preserve">información de la </w:t>
      </w:r>
      <w:r w:rsidRPr="00F742AF">
        <w:rPr>
          <w:rFonts w:cs="Tahoma"/>
          <w:szCs w:val="24"/>
        </w:rPr>
        <w:t>secretar</w:t>
      </w:r>
      <w:r w:rsidR="0056142D" w:rsidRPr="00F742AF">
        <w:rPr>
          <w:rFonts w:cs="Tahoma"/>
          <w:szCs w:val="24"/>
        </w:rPr>
        <w:t>í</w:t>
      </w:r>
      <w:r w:rsidRPr="00F742AF">
        <w:rPr>
          <w:rFonts w:cs="Tahoma"/>
          <w:szCs w:val="24"/>
        </w:rPr>
        <w:t xml:space="preserve">a de </w:t>
      </w:r>
      <w:r w:rsidR="00F62554" w:rsidRPr="00F742AF">
        <w:rPr>
          <w:rFonts w:cs="Tahoma"/>
          <w:szCs w:val="24"/>
        </w:rPr>
        <w:t>tránsito</w:t>
      </w:r>
      <w:r w:rsidRPr="00F742AF">
        <w:rPr>
          <w:rFonts w:cs="Tahoma"/>
          <w:szCs w:val="24"/>
        </w:rPr>
        <w:t xml:space="preserve">, </w:t>
      </w:r>
      <w:r w:rsidR="00427EB1" w:rsidRPr="00F742AF">
        <w:rPr>
          <w:rFonts w:cs="Tahoma"/>
          <w:szCs w:val="24"/>
        </w:rPr>
        <w:t xml:space="preserve">se había encontrado </w:t>
      </w:r>
      <w:r w:rsidRPr="00F742AF">
        <w:rPr>
          <w:rFonts w:cs="Tahoma"/>
          <w:szCs w:val="24"/>
        </w:rPr>
        <w:t xml:space="preserve">que a la fecha de </w:t>
      </w:r>
      <w:r w:rsidR="00F62554" w:rsidRPr="00F742AF">
        <w:rPr>
          <w:rFonts w:cs="Tahoma"/>
          <w:szCs w:val="24"/>
        </w:rPr>
        <w:t xml:space="preserve">la investigación el actor </w:t>
      </w:r>
      <w:r w:rsidRPr="00F742AF">
        <w:rPr>
          <w:rFonts w:cs="Tahoma"/>
          <w:szCs w:val="24"/>
        </w:rPr>
        <w:t>no contaba con vehículos pero que había sido propietario de dos camiones, dos taxis y una moto modelo 2004</w:t>
      </w:r>
      <w:r w:rsidR="0057758C" w:rsidRPr="00F742AF">
        <w:rPr>
          <w:rFonts w:cs="Tahoma"/>
          <w:szCs w:val="24"/>
        </w:rPr>
        <w:t xml:space="preserve"> –</w:t>
      </w:r>
      <w:r w:rsidR="00B95CA3">
        <w:rPr>
          <w:rFonts w:cs="Tahoma"/>
          <w:i/>
          <w:iCs/>
          <w:szCs w:val="24"/>
        </w:rPr>
        <w:t xml:space="preserve"> sin especificar fechas</w:t>
      </w:r>
      <w:r w:rsidRPr="00F742AF">
        <w:rPr>
          <w:rFonts w:cs="Tahoma"/>
          <w:szCs w:val="24"/>
        </w:rPr>
        <w:t xml:space="preserve">. </w:t>
      </w:r>
    </w:p>
    <w:p w14:paraId="5495312F" w14:textId="29189E45" w:rsidR="006C6FE6" w:rsidRPr="00F742AF" w:rsidRDefault="006C6FE6" w:rsidP="00F742AF">
      <w:pPr>
        <w:spacing w:line="276" w:lineRule="auto"/>
        <w:ind w:firstLine="360"/>
        <w:rPr>
          <w:rFonts w:eastAsia="Calibri" w:cs="Tahoma"/>
          <w:szCs w:val="24"/>
          <w:highlight w:val="yellow"/>
          <w:lang w:bidi="en-US"/>
        </w:rPr>
      </w:pPr>
    </w:p>
    <w:p w14:paraId="2090EF59" w14:textId="41C65E7E" w:rsidR="006437E2" w:rsidRPr="00F742AF" w:rsidRDefault="00EA4B1E" w:rsidP="00F742AF">
      <w:pPr>
        <w:spacing w:line="276" w:lineRule="auto"/>
        <w:ind w:firstLine="360"/>
        <w:rPr>
          <w:rFonts w:cs="Tahoma"/>
          <w:szCs w:val="24"/>
        </w:rPr>
      </w:pPr>
      <w:r w:rsidRPr="00F742AF">
        <w:rPr>
          <w:rFonts w:cs="Tahoma"/>
          <w:szCs w:val="24"/>
        </w:rPr>
        <w:t>En efecto</w:t>
      </w:r>
      <w:r w:rsidR="006437E2" w:rsidRPr="00F742AF">
        <w:rPr>
          <w:rFonts w:cs="Tahoma"/>
          <w:szCs w:val="24"/>
        </w:rPr>
        <w:t xml:space="preserve">, a fol. 187-190 obra certificado de matrícula inmobiliaria 375-81200 expedida a febrero de 2013 </w:t>
      </w:r>
      <w:r w:rsidR="0056142D" w:rsidRPr="00F742AF">
        <w:rPr>
          <w:rFonts w:cs="Tahoma"/>
          <w:szCs w:val="24"/>
        </w:rPr>
        <w:t>del</w:t>
      </w:r>
      <w:r w:rsidR="006437E2" w:rsidRPr="00F742AF">
        <w:rPr>
          <w:rFonts w:cs="Tahoma"/>
          <w:szCs w:val="24"/>
        </w:rPr>
        <w:t xml:space="preserve"> lote urbano No. 22 Manzana M, urbanización el </w:t>
      </w:r>
      <w:proofErr w:type="spellStart"/>
      <w:r w:rsidR="006437E2" w:rsidRPr="00F742AF">
        <w:rPr>
          <w:rFonts w:cs="Tahoma"/>
          <w:szCs w:val="24"/>
        </w:rPr>
        <w:t>Verdum</w:t>
      </w:r>
      <w:proofErr w:type="spellEnd"/>
      <w:r w:rsidRPr="00F742AF">
        <w:rPr>
          <w:rFonts w:cs="Tahoma"/>
          <w:szCs w:val="24"/>
        </w:rPr>
        <w:t xml:space="preserve">, la cual fue </w:t>
      </w:r>
      <w:r w:rsidR="006437E2" w:rsidRPr="00F742AF">
        <w:rPr>
          <w:rFonts w:cs="Tahoma"/>
          <w:szCs w:val="24"/>
        </w:rPr>
        <w:t>adquirida por el demandante el 23 de enero de 2013</w:t>
      </w:r>
      <w:r w:rsidRPr="00F742AF">
        <w:rPr>
          <w:rFonts w:cs="Tahoma"/>
          <w:szCs w:val="24"/>
        </w:rPr>
        <w:t xml:space="preserve"> </w:t>
      </w:r>
      <w:r w:rsidR="006437E2" w:rsidRPr="00F742AF">
        <w:rPr>
          <w:rFonts w:cs="Tahoma"/>
          <w:szCs w:val="24"/>
        </w:rPr>
        <w:t>por valor de $31.000.000</w:t>
      </w:r>
      <w:r w:rsidRPr="00F742AF">
        <w:rPr>
          <w:rFonts w:cs="Tahoma"/>
          <w:szCs w:val="24"/>
        </w:rPr>
        <w:t>,</w:t>
      </w:r>
      <w:r w:rsidR="006437E2" w:rsidRPr="00F742AF">
        <w:rPr>
          <w:rFonts w:cs="Tahoma"/>
          <w:szCs w:val="24"/>
        </w:rPr>
        <w:t xml:space="preserve"> según </w:t>
      </w:r>
      <w:r w:rsidRPr="00F742AF">
        <w:rPr>
          <w:rFonts w:cs="Tahoma"/>
          <w:szCs w:val="24"/>
        </w:rPr>
        <w:t xml:space="preserve">la </w:t>
      </w:r>
      <w:r w:rsidR="006437E2" w:rsidRPr="00F742AF">
        <w:rPr>
          <w:rFonts w:cs="Tahoma"/>
          <w:szCs w:val="24"/>
        </w:rPr>
        <w:t xml:space="preserve">promesa de compra venta del 24 de diciembre de 2012 </w:t>
      </w:r>
      <w:r w:rsidR="006437E2" w:rsidRPr="00F742AF">
        <w:rPr>
          <w:rFonts w:cs="Tahoma"/>
          <w:szCs w:val="24"/>
        </w:rPr>
        <w:lastRenderedPageBreak/>
        <w:t>(fol. 190-191)</w:t>
      </w:r>
      <w:r w:rsidRPr="00F742AF">
        <w:rPr>
          <w:rFonts w:cs="Tahoma"/>
          <w:szCs w:val="24"/>
        </w:rPr>
        <w:t xml:space="preserve"> y,</w:t>
      </w:r>
      <w:r w:rsidR="006437E2" w:rsidRPr="00F742AF">
        <w:rPr>
          <w:rFonts w:cs="Tahoma"/>
          <w:szCs w:val="24"/>
        </w:rPr>
        <w:t xml:space="preserve"> además</w:t>
      </w:r>
      <w:r w:rsidRPr="00F742AF">
        <w:rPr>
          <w:rFonts w:cs="Tahoma"/>
          <w:szCs w:val="24"/>
        </w:rPr>
        <w:t>,</w:t>
      </w:r>
      <w:r w:rsidR="006437E2" w:rsidRPr="00F742AF">
        <w:rPr>
          <w:rFonts w:cs="Tahoma"/>
          <w:szCs w:val="24"/>
        </w:rPr>
        <w:t xml:space="preserve"> </w:t>
      </w:r>
      <w:r w:rsidRPr="00F742AF">
        <w:rPr>
          <w:rFonts w:cs="Tahoma"/>
          <w:szCs w:val="24"/>
        </w:rPr>
        <w:t xml:space="preserve">obra documento que detalla </w:t>
      </w:r>
      <w:r w:rsidR="006437E2" w:rsidRPr="00F742AF">
        <w:rPr>
          <w:rFonts w:cs="Tahoma"/>
          <w:szCs w:val="24"/>
        </w:rPr>
        <w:t>la venta de una moto por $2.300.000 (fol. 193-194)</w:t>
      </w:r>
      <w:r w:rsidR="00B27E06" w:rsidRPr="00F742AF">
        <w:rPr>
          <w:rFonts w:cs="Tahoma"/>
          <w:szCs w:val="24"/>
        </w:rPr>
        <w:t>.</w:t>
      </w:r>
    </w:p>
    <w:p w14:paraId="307C9688" w14:textId="1A382288" w:rsidR="006437E2" w:rsidRPr="00F742AF" w:rsidRDefault="006437E2" w:rsidP="00F742AF">
      <w:pPr>
        <w:spacing w:line="276" w:lineRule="auto"/>
        <w:ind w:firstLine="360"/>
        <w:rPr>
          <w:rFonts w:eastAsia="Calibri" w:cs="Tahoma"/>
          <w:szCs w:val="24"/>
          <w:highlight w:val="yellow"/>
          <w:lang w:bidi="en-US"/>
        </w:rPr>
      </w:pPr>
    </w:p>
    <w:p w14:paraId="4884F5AA" w14:textId="3949ACA9" w:rsidR="00AE4189" w:rsidRPr="00F742AF" w:rsidRDefault="00AE4189" w:rsidP="00F742AF">
      <w:pPr>
        <w:pStyle w:val="Prrafodelista"/>
        <w:numPr>
          <w:ilvl w:val="1"/>
          <w:numId w:val="2"/>
        </w:numPr>
        <w:spacing w:line="276" w:lineRule="auto"/>
        <w:rPr>
          <w:rFonts w:ascii="Tahoma" w:eastAsia="Calibri" w:hAnsi="Tahoma" w:cs="Tahoma"/>
          <w:lang w:bidi="en-US"/>
        </w:rPr>
      </w:pPr>
      <w:r w:rsidRPr="00F742AF">
        <w:rPr>
          <w:rFonts w:ascii="Tahoma" w:eastAsia="Calibri" w:hAnsi="Tahoma" w:cs="Tahoma"/>
          <w:b/>
          <w:bCs/>
          <w:lang w:bidi="en-US"/>
        </w:rPr>
        <w:t>Conclusiones.</w:t>
      </w:r>
    </w:p>
    <w:p w14:paraId="76918AC1" w14:textId="77777777" w:rsidR="00AE4189" w:rsidRPr="00F742AF" w:rsidRDefault="00AE4189" w:rsidP="00F742AF">
      <w:pPr>
        <w:spacing w:line="276" w:lineRule="auto"/>
        <w:ind w:firstLine="360"/>
        <w:rPr>
          <w:rFonts w:eastAsia="Calibri" w:cs="Tahoma"/>
          <w:szCs w:val="24"/>
          <w:highlight w:val="yellow"/>
          <w:lang w:bidi="en-US"/>
        </w:rPr>
      </w:pPr>
    </w:p>
    <w:p w14:paraId="5BCDF320" w14:textId="77777777" w:rsidR="00534052" w:rsidRPr="00F742AF" w:rsidRDefault="00297D15" w:rsidP="00F742AF">
      <w:pPr>
        <w:spacing w:line="276" w:lineRule="auto"/>
        <w:ind w:firstLine="360"/>
        <w:rPr>
          <w:rFonts w:cs="Tahoma"/>
          <w:szCs w:val="24"/>
        </w:rPr>
      </w:pPr>
      <w:r w:rsidRPr="00F742AF">
        <w:rPr>
          <w:rFonts w:cs="Tahoma"/>
          <w:szCs w:val="24"/>
        </w:rPr>
        <w:t xml:space="preserve">Del material probatorio </w:t>
      </w:r>
      <w:r w:rsidR="00B01C2A" w:rsidRPr="00F742AF">
        <w:rPr>
          <w:rFonts w:cs="Tahoma"/>
          <w:szCs w:val="24"/>
        </w:rPr>
        <w:t xml:space="preserve">traído a colación, </w:t>
      </w:r>
      <w:r w:rsidRPr="00F742AF">
        <w:rPr>
          <w:rFonts w:cs="Tahoma"/>
          <w:szCs w:val="24"/>
        </w:rPr>
        <w:t xml:space="preserve">se </w:t>
      </w:r>
      <w:r w:rsidR="00B01C2A" w:rsidRPr="00F742AF">
        <w:rPr>
          <w:rFonts w:cs="Tahoma"/>
          <w:szCs w:val="24"/>
        </w:rPr>
        <w:t xml:space="preserve">desprende </w:t>
      </w:r>
      <w:r w:rsidRPr="00F742AF">
        <w:rPr>
          <w:rFonts w:cs="Tahoma"/>
          <w:szCs w:val="24"/>
        </w:rPr>
        <w:t xml:space="preserve">que </w:t>
      </w:r>
      <w:r w:rsidR="00B01C2A" w:rsidRPr="00F742AF">
        <w:rPr>
          <w:rFonts w:cs="Tahoma"/>
          <w:szCs w:val="24"/>
        </w:rPr>
        <w:t xml:space="preserve">contrario a lo afirmado por la apelante, con ello se desmerita </w:t>
      </w:r>
      <w:r w:rsidRPr="00F742AF">
        <w:rPr>
          <w:rFonts w:cs="Tahoma"/>
          <w:szCs w:val="24"/>
        </w:rPr>
        <w:t xml:space="preserve">la dependencia económica </w:t>
      </w:r>
      <w:r w:rsidR="00B01C2A" w:rsidRPr="00F742AF">
        <w:rPr>
          <w:rFonts w:cs="Tahoma"/>
          <w:szCs w:val="24"/>
        </w:rPr>
        <w:t xml:space="preserve">que se </w:t>
      </w:r>
      <w:r w:rsidR="00E41B8E" w:rsidRPr="00F742AF">
        <w:rPr>
          <w:rFonts w:cs="Tahoma"/>
          <w:szCs w:val="24"/>
        </w:rPr>
        <w:t xml:space="preserve">alega por las siguientes razones: </w:t>
      </w:r>
    </w:p>
    <w:p w14:paraId="01E60BF1" w14:textId="77777777" w:rsidR="00534052" w:rsidRPr="00F742AF" w:rsidRDefault="00534052" w:rsidP="00F742AF">
      <w:pPr>
        <w:spacing w:line="276" w:lineRule="auto"/>
        <w:ind w:firstLine="360"/>
        <w:rPr>
          <w:rFonts w:cs="Tahoma"/>
          <w:szCs w:val="24"/>
        </w:rPr>
      </w:pPr>
    </w:p>
    <w:p w14:paraId="7912A99F" w14:textId="77777777" w:rsidR="00534052" w:rsidRPr="00F742AF" w:rsidRDefault="00E41B8E" w:rsidP="00F742AF">
      <w:pPr>
        <w:spacing w:line="276" w:lineRule="auto"/>
        <w:ind w:firstLine="360"/>
        <w:rPr>
          <w:rFonts w:cs="Tahoma"/>
          <w:szCs w:val="24"/>
        </w:rPr>
      </w:pPr>
      <w:r w:rsidRPr="00F742AF">
        <w:rPr>
          <w:rFonts w:cs="Tahoma"/>
          <w:szCs w:val="24"/>
        </w:rPr>
        <w:t xml:space="preserve">Se demostró que </w:t>
      </w:r>
      <w:r w:rsidR="00B01C2A" w:rsidRPr="00F742AF">
        <w:rPr>
          <w:rFonts w:cs="Tahoma"/>
          <w:szCs w:val="24"/>
        </w:rPr>
        <w:t xml:space="preserve">el </w:t>
      </w:r>
      <w:r w:rsidRPr="00F742AF">
        <w:rPr>
          <w:rFonts w:cs="Tahoma"/>
          <w:szCs w:val="24"/>
        </w:rPr>
        <w:t xml:space="preserve">actor </w:t>
      </w:r>
      <w:r w:rsidR="00B01C2A" w:rsidRPr="00F742AF">
        <w:rPr>
          <w:rFonts w:cs="Tahoma"/>
          <w:szCs w:val="24"/>
        </w:rPr>
        <w:t xml:space="preserve">al </w:t>
      </w:r>
      <w:r w:rsidR="00297D15" w:rsidRPr="00F742AF">
        <w:rPr>
          <w:rFonts w:cs="Tahoma"/>
          <w:szCs w:val="24"/>
        </w:rPr>
        <w:t xml:space="preserve">momento del </w:t>
      </w:r>
      <w:r w:rsidR="00B01C2A" w:rsidRPr="00F742AF">
        <w:rPr>
          <w:rFonts w:cs="Tahoma"/>
          <w:szCs w:val="24"/>
        </w:rPr>
        <w:t>óbito</w:t>
      </w:r>
      <w:r w:rsidR="00297D15" w:rsidRPr="00F742AF">
        <w:rPr>
          <w:rFonts w:cs="Tahoma"/>
          <w:szCs w:val="24"/>
        </w:rPr>
        <w:t xml:space="preserve"> </w:t>
      </w:r>
      <w:r w:rsidRPr="00F742AF">
        <w:rPr>
          <w:rFonts w:cs="Tahoma"/>
          <w:szCs w:val="24"/>
        </w:rPr>
        <w:t xml:space="preserve">de su hijo, </w:t>
      </w:r>
      <w:r w:rsidR="00297D15" w:rsidRPr="00F742AF">
        <w:rPr>
          <w:rFonts w:cs="Tahoma"/>
          <w:szCs w:val="24"/>
        </w:rPr>
        <w:t>contaba con ingresos propios cercanos a los $700.000 mensuales</w:t>
      </w:r>
      <w:r w:rsidRPr="00F742AF">
        <w:rPr>
          <w:rFonts w:cs="Tahoma"/>
          <w:szCs w:val="24"/>
        </w:rPr>
        <w:t xml:space="preserve"> el cual era muy superior a lo devengado por su descendiente que era de $566.700</w:t>
      </w:r>
      <w:r w:rsidR="00534052" w:rsidRPr="00F742AF">
        <w:rPr>
          <w:rFonts w:cs="Tahoma"/>
          <w:szCs w:val="24"/>
        </w:rPr>
        <w:t>.</w:t>
      </w:r>
    </w:p>
    <w:p w14:paraId="59566FD3" w14:textId="77777777" w:rsidR="00534052" w:rsidRPr="00F742AF" w:rsidRDefault="00534052" w:rsidP="00F742AF">
      <w:pPr>
        <w:spacing w:line="276" w:lineRule="auto"/>
        <w:ind w:firstLine="360"/>
        <w:rPr>
          <w:rFonts w:cs="Tahoma"/>
          <w:szCs w:val="24"/>
        </w:rPr>
      </w:pPr>
    </w:p>
    <w:p w14:paraId="2E89E658" w14:textId="40557930" w:rsidR="003C51FE" w:rsidRPr="00F742AF" w:rsidRDefault="00E41B8E" w:rsidP="00F742AF">
      <w:pPr>
        <w:spacing w:line="276" w:lineRule="auto"/>
        <w:ind w:firstLine="360"/>
        <w:rPr>
          <w:rFonts w:cs="Tahoma"/>
          <w:szCs w:val="24"/>
        </w:rPr>
      </w:pPr>
      <w:r w:rsidRPr="00F742AF">
        <w:rPr>
          <w:rFonts w:cs="Tahoma"/>
          <w:szCs w:val="24"/>
        </w:rPr>
        <w:t xml:space="preserve">Los </w:t>
      </w:r>
      <w:r w:rsidR="00297D15" w:rsidRPr="00F742AF">
        <w:rPr>
          <w:rFonts w:cs="Tahoma"/>
          <w:szCs w:val="24"/>
        </w:rPr>
        <w:t xml:space="preserve">aportes </w:t>
      </w:r>
      <w:r w:rsidR="00547783" w:rsidRPr="00F742AF">
        <w:rPr>
          <w:rFonts w:cs="Tahoma"/>
          <w:szCs w:val="24"/>
        </w:rPr>
        <w:t xml:space="preserve">que se </w:t>
      </w:r>
      <w:r w:rsidRPr="00F742AF">
        <w:rPr>
          <w:rFonts w:cs="Tahoma"/>
          <w:szCs w:val="24"/>
        </w:rPr>
        <w:t xml:space="preserve">afirma que realizaba el causante a su progenitor </w:t>
      </w:r>
      <w:r w:rsidR="003C51FE" w:rsidRPr="00F742AF">
        <w:rPr>
          <w:rFonts w:cs="Tahoma"/>
          <w:szCs w:val="24"/>
        </w:rPr>
        <w:t>por $412.000</w:t>
      </w:r>
      <w:r w:rsidRPr="00F742AF">
        <w:rPr>
          <w:rFonts w:cs="Tahoma"/>
          <w:szCs w:val="24"/>
        </w:rPr>
        <w:t xml:space="preserve"> mensuales</w:t>
      </w:r>
      <w:r w:rsidR="003C51FE" w:rsidRPr="00F742AF">
        <w:rPr>
          <w:rFonts w:cs="Tahoma"/>
          <w:szCs w:val="24"/>
        </w:rPr>
        <w:t xml:space="preserve">, resultaron </w:t>
      </w:r>
      <w:r w:rsidR="00547783" w:rsidRPr="00F742AF">
        <w:rPr>
          <w:rFonts w:cs="Tahoma"/>
          <w:szCs w:val="24"/>
        </w:rPr>
        <w:t xml:space="preserve">ser presuntos en la medida que, conforme a las reglas de la </w:t>
      </w:r>
      <w:r w:rsidRPr="00F742AF">
        <w:rPr>
          <w:rFonts w:cs="Tahoma"/>
          <w:szCs w:val="24"/>
        </w:rPr>
        <w:t>experiencia</w:t>
      </w:r>
      <w:r w:rsidR="00871CE0" w:rsidRPr="00F742AF">
        <w:rPr>
          <w:rFonts w:cs="Tahoma"/>
          <w:szCs w:val="24"/>
        </w:rPr>
        <w:t xml:space="preserve"> tal aspecto </w:t>
      </w:r>
      <w:r w:rsidR="00547783" w:rsidRPr="00F742AF">
        <w:rPr>
          <w:rFonts w:cs="Tahoma"/>
          <w:szCs w:val="24"/>
        </w:rPr>
        <w:t xml:space="preserve">no resulta creíble </w:t>
      </w:r>
      <w:r w:rsidRPr="00F742AF">
        <w:rPr>
          <w:rFonts w:cs="Tahoma"/>
          <w:szCs w:val="24"/>
        </w:rPr>
        <w:t xml:space="preserve">porque </w:t>
      </w:r>
      <w:r w:rsidR="00547783" w:rsidRPr="00F742AF">
        <w:rPr>
          <w:rFonts w:cs="Tahoma"/>
          <w:szCs w:val="24"/>
        </w:rPr>
        <w:t xml:space="preserve">devengando </w:t>
      </w:r>
      <w:r w:rsidRPr="00F742AF">
        <w:rPr>
          <w:rFonts w:cs="Tahoma"/>
          <w:szCs w:val="24"/>
        </w:rPr>
        <w:t xml:space="preserve">aquél el </w:t>
      </w:r>
      <w:r w:rsidR="00547783" w:rsidRPr="00F742AF">
        <w:rPr>
          <w:rFonts w:cs="Tahoma"/>
          <w:szCs w:val="24"/>
        </w:rPr>
        <w:t xml:space="preserve">salario mínimo </w:t>
      </w:r>
      <w:r w:rsidR="00B01C2A" w:rsidRPr="00F742AF">
        <w:rPr>
          <w:rFonts w:cs="Tahoma"/>
          <w:szCs w:val="24"/>
        </w:rPr>
        <w:t xml:space="preserve">con los descuentos </w:t>
      </w:r>
      <w:r w:rsidR="00547783" w:rsidRPr="00F742AF">
        <w:rPr>
          <w:rFonts w:cs="Tahoma"/>
          <w:szCs w:val="24"/>
        </w:rPr>
        <w:t>obligatorios</w:t>
      </w:r>
      <w:r w:rsidR="009A5D42" w:rsidRPr="00F742AF">
        <w:rPr>
          <w:rFonts w:cs="Tahoma"/>
          <w:szCs w:val="24"/>
        </w:rPr>
        <w:t xml:space="preserve"> de ley</w:t>
      </w:r>
      <w:r w:rsidR="00547783" w:rsidRPr="00F742AF">
        <w:rPr>
          <w:rFonts w:cs="Tahoma"/>
          <w:szCs w:val="24"/>
        </w:rPr>
        <w:t xml:space="preserve">, </w:t>
      </w:r>
      <w:r w:rsidRPr="00F742AF">
        <w:rPr>
          <w:rFonts w:cs="Tahoma"/>
          <w:szCs w:val="24"/>
        </w:rPr>
        <w:t xml:space="preserve">le era </w:t>
      </w:r>
      <w:r w:rsidR="009A5D42" w:rsidRPr="00F742AF">
        <w:rPr>
          <w:rFonts w:cs="Tahoma"/>
          <w:szCs w:val="24"/>
        </w:rPr>
        <w:t xml:space="preserve">prácticamente imposible </w:t>
      </w:r>
      <w:r w:rsidRPr="00F742AF">
        <w:rPr>
          <w:rFonts w:cs="Tahoma"/>
          <w:szCs w:val="24"/>
        </w:rPr>
        <w:t xml:space="preserve">cubrir </w:t>
      </w:r>
      <w:r w:rsidR="00547783" w:rsidRPr="00F742AF">
        <w:rPr>
          <w:rFonts w:cs="Tahoma"/>
          <w:szCs w:val="24"/>
        </w:rPr>
        <w:t xml:space="preserve">una contribución u aporte periódico </w:t>
      </w:r>
      <w:r w:rsidR="00534052" w:rsidRPr="00F742AF">
        <w:rPr>
          <w:rFonts w:cs="Tahoma"/>
          <w:szCs w:val="24"/>
        </w:rPr>
        <w:t xml:space="preserve">en la dimensión que se indica, </w:t>
      </w:r>
      <w:r w:rsidR="00871CE0" w:rsidRPr="00F742AF">
        <w:rPr>
          <w:rFonts w:cs="Tahoma"/>
          <w:szCs w:val="24"/>
        </w:rPr>
        <w:t xml:space="preserve">porque </w:t>
      </w:r>
      <w:r w:rsidR="009A5D42" w:rsidRPr="00F742AF">
        <w:rPr>
          <w:rFonts w:cs="Tahoma"/>
          <w:szCs w:val="24"/>
        </w:rPr>
        <w:t>de haber sido así</w:t>
      </w:r>
      <w:r w:rsidR="003540D0" w:rsidRPr="00F742AF">
        <w:rPr>
          <w:rFonts w:cs="Tahoma"/>
          <w:szCs w:val="24"/>
        </w:rPr>
        <w:t>,</w:t>
      </w:r>
      <w:r w:rsidR="009A5D42" w:rsidRPr="00F742AF">
        <w:rPr>
          <w:rFonts w:cs="Tahoma"/>
          <w:szCs w:val="24"/>
        </w:rPr>
        <w:t xml:space="preserve"> </w:t>
      </w:r>
      <w:r w:rsidR="00547783" w:rsidRPr="00F742AF">
        <w:rPr>
          <w:rFonts w:cs="Tahoma"/>
          <w:szCs w:val="24"/>
        </w:rPr>
        <w:t xml:space="preserve">para </w:t>
      </w:r>
      <w:r w:rsidRPr="00F742AF">
        <w:rPr>
          <w:rFonts w:cs="Tahoma"/>
          <w:szCs w:val="24"/>
        </w:rPr>
        <w:t xml:space="preserve">la </w:t>
      </w:r>
      <w:r w:rsidR="00547783" w:rsidRPr="00F742AF">
        <w:rPr>
          <w:rFonts w:cs="Tahoma"/>
          <w:szCs w:val="24"/>
        </w:rPr>
        <w:t>propia manutención</w:t>
      </w:r>
      <w:r w:rsidR="003540D0" w:rsidRPr="00F742AF">
        <w:rPr>
          <w:rFonts w:cs="Tahoma"/>
          <w:szCs w:val="24"/>
        </w:rPr>
        <w:t xml:space="preserve"> del causante</w:t>
      </w:r>
      <w:r w:rsidR="00547783" w:rsidRPr="00F742AF">
        <w:rPr>
          <w:rFonts w:cs="Tahoma"/>
          <w:szCs w:val="24"/>
        </w:rPr>
        <w:t xml:space="preserve">, </w:t>
      </w:r>
      <w:r w:rsidR="007F789B" w:rsidRPr="00F742AF">
        <w:rPr>
          <w:rFonts w:cs="Tahoma"/>
          <w:szCs w:val="24"/>
        </w:rPr>
        <w:t xml:space="preserve">a lo sumo </w:t>
      </w:r>
      <w:r w:rsidR="003540D0" w:rsidRPr="00F742AF">
        <w:rPr>
          <w:rFonts w:cs="Tahoma"/>
          <w:szCs w:val="24"/>
        </w:rPr>
        <w:t xml:space="preserve">contaría con </w:t>
      </w:r>
      <w:r w:rsidR="00534052" w:rsidRPr="00F742AF">
        <w:rPr>
          <w:rFonts w:cs="Tahoma"/>
          <w:szCs w:val="24"/>
        </w:rPr>
        <w:t>$</w:t>
      </w:r>
      <w:r w:rsidR="00547783" w:rsidRPr="00F742AF">
        <w:rPr>
          <w:rFonts w:cs="Tahoma"/>
          <w:szCs w:val="24"/>
        </w:rPr>
        <w:t>100.000 mensuales</w:t>
      </w:r>
      <w:r w:rsidR="007F789B" w:rsidRPr="00F742AF">
        <w:rPr>
          <w:rFonts w:cs="Tahoma"/>
          <w:szCs w:val="24"/>
        </w:rPr>
        <w:t xml:space="preserve"> para ello</w:t>
      </w:r>
      <w:r w:rsidR="003540D0" w:rsidRPr="00F742AF">
        <w:rPr>
          <w:rFonts w:cs="Tahoma"/>
          <w:szCs w:val="24"/>
        </w:rPr>
        <w:t>.</w:t>
      </w:r>
    </w:p>
    <w:p w14:paraId="42AEE185" w14:textId="77777777" w:rsidR="003C51FE" w:rsidRPr="00F742AF" w:rsidRDefault="003C51FE" w:rsidP="00F742AF">
      <w:pPr>
        <w:spacing w:line="276" w:lineRule="auto"/>
        <w:ind w:firstLine="360"/>
        <w:rPr>
          <w:rFonts w:cs="Tahoma"/>
          <w:szCs w:val="24"/>
        </w:rPr>
      </w:pPr>
    </w:p>
    <w:p w14:paraId="66D7D9A7" w14:textId="18AFE2AF" w:rsidR="00DC637B" w:rsidRPr="00F742AF" w:rsidRDefault="004E376B" w:rsidP="00F742AF">
      <w:pPr>
        <w:spacing w:line="276" w:lineRule="auto"/>
        <w:ind w:firstLine="360"/>
        <w:rPr>
          <w:rFonts w:cs="Tahoma"/>
          <w:szCs w:val="24"/>
        </w:rPr>
      </w:pPr>
      <w:r w:rsidRPr="00F742AF">
        <w:rPr>
          <w:rFonts w:cs="Tahoma"/>
          <w:szCs w:val="24"/>
        </w:rPr>
        <w:t xml:space="preserve">De otro lado, también se pudo determinar </w:t>
      </w:r>
      <w:r w:rsidR="00DC637B" w:rsidRPr="00F742AF">
        <w:rPr>
          <w:rFonts w:cs="Tahoma"/>
          <w:szCs w:val="24"/>
        </w:rPr>
        <w:t>que</w:t>
      </w:r>
      <w:r w:rsidR="009770BA" w:rsidRPr="00F742AF">
        <w:rPr>
          <w:rFonts w:cs="Tahoma"/>
          <w:szCs w:val="24"/>
        </w:rPr>
        <w:t>,</w:t>
      </w:r>
      <w:r w:rsidR="00DC637B" w:rsidRPr="00F742AF">
        <w:rPr>
          <w:rFonts w:cs="Tahoma"/>
          <w:szCs w:val="24"/>
        </w:rPr>
        <w:t xml:space="preserve"> </w:t>
      </w:r>
      <w:r w:rsidRPr="00F742AF">
        <w:rPr>
          <w:rFonts w:cs="Tahoma"/>
          <w:szCs w:val="24"/>
        </w:rPr>
        <w:t xml:space="preserve">fallecido el descendiente, el aquí demandante no solo pudo conservar sus medios de </w:t>
      </w:r>
      <w:r w:rsidR="009770BA" w:rsidRPr="00F742AF">
        <w:rPr>
          <w:rFonts w:cs="Tahoma"/>
          <w:szCs w:val="24"/>
        </w:rPr>
        <w:t>subsistencia,</w:t>
      </w:r>
      <w:r w:rsidRPr="00F742AF">
        <w:rPr>
          <w:rFonts w:cs="Tahoma"/>
          <w:szCs w:val="24"/>
        </w:rPr>
        <w:t xml:space="preserve"> sino que, de acuerdo con lo relatado</w:t>
      </w:r>
      <w:r w:rsidR="005729F7" w:rsidRPr="00F742AF">
        <w:rPr>
          <w:rFonts w:cs="Tahoma"/>
          <w:szCs w:val="24"/>
        </w:rPr>
        <w:t xml:space="preserve"> por él mismo</w:t>
      </w:r>
      <w:r w:rsidRPr="00F742AF">
        <w:rPr>
          <w:rFonts w:cs="Tahoma"/>
          <w:szCs w:val="24"/>
        </w:rPr>
        <w:t xml:space="preserve">, </w:t>
      </w:r>
      <w:r w:rsidR="009770BA" w:rsidRPr="00F742AF">
        <w:rPr>
          <w:rFonts w:cs="Tahoma"/>
          <w:szCs w:val="24"/>
        </w:rPr>
        <w:t>los ingresos para el sostenimiento económico del hogar no decrecieron</w:t>
      </w:r>
      <w:r w:rsidR="00E9451E" w:rsidRPr="00F742AF">
        <w:rPr>
          <w:rFonts w:cs="Tahoma"/>
          <w:szCs w:val="24"/>
        </w:rPr>
        <w:t>, sino que</w:t>
      </w:r>
      <w:r w:rsidR="009770BA" w:rsidRPr="00F742AF">
        <w:rPr>
          <w:rFonts w:cs="Tahoma"/>
          <w:szCs w:val="24"/>
        </w:rPr>
        <w:t>,</w:t>
      </w:r>
      <w:r w:rsidR="00E9451E" w:rsidRPr="00F742AF">
        <w:rPr>
          <w:rFonts w:cs="Tahoma"/>
          <w:szCs w:val="24"/>
        </w:rPr>
        <w:t xml:space="preserve"> por el contrario, pasó a un valor de ingresos superior ($2.460.000) en virtud del aporte económico de su grupo familiar</w:t>
      </w:r>
      <w:r w:rsidR="00DC637B" w:rsidRPr="00F742AF">
        <w:rPr>
          <w:rFonts w:cs="Tahoma"/>
          <w:szCs w:val="24"/>
        </w:rPr>
        <w:t xml:space="preserve">. Adicional a ello, según el reporte del </w:t>
      </w:r>
      <w:r w:rsidR="00E9451E" w:rsidRPr="00F742AF">
        <w:rPr>
          <w:rFonts w:cs="Tahoma"/>
          <w:szCs w:val="24"/>
        </w:rPr>
        <w:t xml:space="preserve">nivel de gastos antes </w:t>
      </w:r>
      <w:r w:rsidR="00DC637B" w:rsidRPr="00F742AF">
        <w:rPr>
          <w:rFonts w:cs="Tahoma"/>
          <w:szCs w:val="24"/>
        </w:rPr>
        <w:t xml:space="preserve">y después </w:t>
      </w:r>
      <w:r w:rsidR="00E9451E" w:rsidRPr="00F742AF">
        <w:rPr>
          <w:rFonts w:cs="Tahoma"/>
          <w:szCs w:val="24"/>
        </w:rPr>
        <w:t>del fallecimiento de</w:t>
      </w:r>
      <w:r w:rsidR="005729F7" w:rsidRPr="00F742AF">
        <w:rPr>
          <w:rFonts w:cs="Tahoma"/>
          <w:szCs w:val="24"/>
        </w:rPr>
        <w:t>l</w:t>
      </w:r>
      <w:r w:rsidR="00E9451E" w:rsidRPr="00F742AF">
        <w:rPr>
          <w:rFonts w:cs="Tahoma"/>
          <w:szCs w:val="24"/>
        </w:rPr>
        <w:t xml:space="preserve"> hijo</w:t>
      </w:r>
      <w:r w:rsidR="00DC637B" w:rsidRPr="00F742AF">
        <w:rPr>
          <w:rFonts w:cs="Tahoma"/>
          <w:szCs w:val="24"/>
        </w:rPr>
        <w:t xml:space="preserve">, </w:t>
      </w:r>
      <w:r w:rsidR="005729F7" w:rsidRPr="00F742AF">
        <w:rPr>
          <w:rFonts w:cs="Tahoma"/>
          <w:szCs w:val="24"/>
        </w:rPr>
        <w:t xml:space="preserve">permiten concluir </w:t>
      </w:r>
      <w:r w:rsidR="00DC637B" w:rsidRPr="00F742AF">
        <w:rPr>
          <w:rFonts w:cs="Tahoma"/>
          <w:szCs w:val="24"/>
        </w:rPr>
        <w:t xml:space="preserve">que </w:t>
      </w:r>
      <w:r w:rsidR="005729F7" w:rsidRPr="00F742AF">
        <w:rPr>
          <w:rFonts w:cs="Tahoma"/>
          <w:szCs w:val="24"/>
        </w:rPr>
        <w:t xml:space="preserve">los </w:t>
      </w:r>
      <w:r w:rsidR="00DC637B" w:rsidRPr="00F742AF">
        <w:rPr>
          <w:rFonts w:cs="Tahoma"/>
          <w:szCs w:val="24"/>
        </w:rPr>
        <w:t xml:space="preserve">gastos </w:t>
      </w:r>
      <w:r w:rsidR="005729F7" w:rsidRPr="00F742AF">
        <w:rPr>
          <w:rFonts w:cs="Tahoma"/>
          <w:szCs w:val="24"/>
        </w:rPr>
        <w:t xml:space="preserve">del hogar </w:t>
      </w:r>
      <w:r w:rsidR="00DC637B" w:rsidRPr="00F742AF">
        <w:rPr>
          <w:rFonts w:cs="Tahoma"/>
          <w:szCs w:val="24"/>
        </w:rPr>
        <w:t xml:space="preserve">decrecieron </w:t>
      </w:r>
      <w:r w:rsidR="005729F7" w:rsidRPr="00F742AF">
        <w:rPr>
          <w:rFonts w:cs="Tahoma"/>
          <w:szCs w:val="24"/>
        </w:rPr>
        <w:t xml:space="preserve">en tanto que los </w:t>
      </w:r>
      <w:r w:rsidR="00DC637B" w:rsidRPr="00F742AF">
        <w:rPr>
          <w:rFonts w:cs="Tahoma"/>
          <w:szCs w:val="24"/>
        </w:rPr>
        <w:t xml:space="preserve">ingresos </w:t>
      </w:r>
      <w:r w:rsidR="005729F7" w:rsidRPr="00F742AF">
        <w:rPr>
          <w:rFonts w:cs="Tahoma"/>
          <w:szCs w:val="24"/>
        </w:rPr>
        <w:t xml:space="preserve">del hogar </w:t>
      </w:r>
      <w:r w:rsidR="00DC637B" w:rsidRPr="00F742AF">
        <w:rPr>
          <w:rFonts w:cs="Tahoma"/>
          <w:szCs w:val="24"/>
        </w:rPr>
        <w:t>aumentaron.</w:t>
      </w:r>
      <w:r w:rsidR="009770BA" w:rsidRPr="00F742AF">
        <w:rPr>
          <w:rFonts w:cs="Tahoma"/>
          <w:szCs w:val="24"/>
        </w:rPr>
        <w:t xml:space="preserve"> Además, se pudo constatar que el demandante, luego del fallecimiento de su hijo adquirió un bien inmueble lo cual denota solvencia económica.</w:t>
      </w:r>
    </w:p>
    <w:p w14:paraId="1A1E7EE6" w14:textId="77777777" w:rsidR="00DC637B" w:rsidRPr="00F742AF" w:rsidRDefault="00DC637B" w:rsidP="00F742AF">
      <w:pPr>
        <w:spacing w:line="276" w:lineRule="auto"/>
        <w:ind w:firstLine="360"/>
        <w:rPr>
          <w:rFonts w:cs="Tahoma"/>
          <w:szCs w:val="24"/>
        </w:rPr>
      </w:pPr>
    </w:p>
    <w:p w14:paraId="4DA4EE20" w14:textId="6EDC8295" w:rsidR="00E9451E" w:rsidRPr="00F742AF" w:rsidRDefault="005729F7" w:rsidP="00F742AF">
      <w:pPr>
        <w:spacing w:line="276" w:lineRule="auto"/>
        <w:ind w:firstLine="360"/>
        <w:rPr>
          <w:rFonts w:cs="Tahoma"/>
          <w:szCs w:val="24"/>
        </w:rPr>
      </w:pPr>
      <w:r w:rsidRPr="00F742AF">
        <w:rPr>
          <w:rFonts w:cs="Tahoma"/>
          <w:szCs w:val="24"/>
        </w:rPr>
        <w:t xml:space="preserve">Así las cosas, </w:t>
      </w:r>
      <w:r w:rsidR="00E9451E" w:rsidRPr="00F742AF">
        <w:rPr>
          <w:rFonts w:cs="Tahoma"/>
          <w:szCs w:val="24"/>
        </w:rPr>
        <w:t xml:space="preserve">las pruebas obrantes en el expediente </w:t>
      </w:r>
      <w:r w:rsidRPr="00F742AF">
        <w:rPr>
          <w:rFonts w:cs="Tahoma"/>
          <w:szCs w:val="24"/>
        </w:rPr>
        <w:t xml:space="preserve">permiten </w:t>
      </w:r>
      <w:r w:rsidR="00C506D3" w:rsidRPr="00F742AF">
        <w:rPr>
          <w:rFonts w:cs="Tahoma"/>
          <w:szCs w:val="24"/>
        </w:rPr>
        <w:t xml:space="preserve">concluir </w:t>
      </w:r>
      <w:r w:rsidR="00E9451E" w:rsidRPr="00F742AF">
        <w:rPr>
          <w:rFonts w:cs="Tahoma"/>
          <w:szCs w:val="24"/>
        </w:rPr>
        <w:t>que no se presentó la subordinación económica del actor respecto de los ingresos que le reportaba su hijo fallecido</w:t>
      </w:r>
      <w:r w:rsidRPr="00F742AF">
        <w:rPr>
          <w:rFonts w:cs="Tahoma"/>
          <w:szCs w:val="24"/>
        </w:rPr>
        <w:t>, lo que conlleva a la no prosperidad de las pretensiones de la demanda y</w:t>
      </w:r>
      <w:r w:rsidR="00C506D3" w:rsidRPr="00F742AF">
        <w:rPr>
          <w:rFonts w:cs="Tahoma"/>
          <w:szCs w:val="24"/>
        </w:rPr>
        <w:t>, en esa medida, a ninguna conclusión diferente se llegaría aun practicando, en segunda instancia, la testimonial implorada</w:t>
      </w:r>
      <w:r w:rsidR="413C9495" w:rsidRPr="00F742AF">
        <w:rPr>
          <w:rFonts w:cs="Tahoma"/>
          <w:szCs w:val="24"/>
        </w:rPr>
        <w:t xml:space="preserve">. </w:t>
      </w:r>
      <w:r w:rsidR="0250F4F9" w:rsidRPr="00F742AF">
        <w:rPr>
          <w:rFonts w:cs="Tahoma"/>
          <w:szCs w:val="24"/>
        </w:rPr>
        <w:t>Misma que</w:t>
      </w:r>
      <w:r w:rsidRPr="00F742AF">
        <w:rPr>
          <w:rFonts w:cs="Tahoma"/>
          <w:szCs w:val="24"/>
        </w:rPr>
        <w:t>, huelga decir</w:t>
      </w:r>
      <w:r w:rsidR="3C8EFDB7" w:rsidRPr="00F742AF">
        <w:rPr>
          <w:rFonts w:cs="Tahoma"/>
          <w:szCs w:val="24"/>
        </w:rPr>
        <w:t>,</w:t>
      </w:r>
      <w:r w:rsidR="00C506D3" w:rsidRPr="00F742AF">
        <w:rPr>
          <w:rFonts w:cs="Tahoma"/>
          <w:szCs w:val="24"/>
        </w:rPr>
        <w:t xml:space="preserve"> no </w:t>
      </w:r>
      <w:r w:rsidRPr="00F742AF">
        <w:rPr>
          <w:rFonts w:cs="Tahoma"/>
          <w:szCs w:val="24"/>
        </w:rPr>
        <w:t xml:space="preserve">se </w:t>
      </w:r>
      <w:proofErr w:type="spellStart"/>
      <w:r w:rsidR="30272D34" w:rsidRPr="00F742AF">
        <w:rPr>
          <w:rFonts w:cs="Tahoma"/>
          <w:szCs w:val="24"/>
        </w:rPr>
        <w:t>recepcionó</w:t>
      </w:r>
      <w:proofErr w:type="spellEnd"/>
      <w:r w:rsidR="30272D34" w:rsidRPr="00F742AF">
        <w:rPr>
          <w:rFonts w:cs="Tahoma"/>
          <w:szCs w:val="24"/>
        </w:rPr>
        <w:t xml:space="preserve"> en primera instancia </w:t>
      </w:r>
      <w:r w:rsidR="00C506D3" w:rsidRPr="00F742AF">
        <w:rPr>
          <w:rFonts w:cs="Tahoma"/>
          <w:szCs w:val="24"/>
        </w:rPr>
        <w:t xml:space="preserve">por </w:t>
      </w:r>
      <w:r w:rsidRPr="00F742AF">
        <w:rPr>
          <w:rFonts w:cs="Tahoma"/>
          <w:szCs w:val="24"/>
        </w:rPr>
        <w:t xml:space="preserve">culpa </w:t>
      </w:r>
      <w:r w:rsidR="00C506D3" w:rsidRPr="00F742AF">
        <w:rPr>
          <w:rFonts w:cs="Tahoma"/>
          <w:szCs w:val="24"/>
        </w:rPr>
        <w:t xml:space="preserve">de la parte que </w:t>
      </w:r>
      <w:r w:rsidR="252EFDD3" w:rsidRPr="00F742AF">
        <w:rPr>
          <w:rFonts w:cs="Tahoma"/>
          <w:szCs w:val="24"/>
        </w:rPr>
        <w:t>suplica su práctica</w:t>
      </w:r>
      <w:r w:rsidR="00A00C8E" w:rsidRPr="00F742AF">
        <w:rPr>
          <w:rFonts w:cs="Tahoma"/>
          <w:szCs w:val="24"/>
        </w:rPr>
        <w:t xml:space="preserve">, </w:t>
      </w:r>
      <w:r w:rsidR="3AA57F93" w:rsidRPr="00F742AF">
        <w:rPr>
          <w:rFonts w:cs="Tahoma"/>
          <w:szCs w:val="24"/>
        </w:rPr>
        <w:t>por cuanto luego d</w:t>
      </w:r>
      <w:r w:rsidR="14E454A3" w:rsidRPr="00F742AF">
        <w:rPr>
          <w:rFonts w:cs="Tahoma"/>
          <w:szCs w:val="24"/>
        </w:rPr>
        <w:t xml:space="preserve">e </w:t>
      </w:r>
      <w:r w:rsidR="29E5234C" w:rsidRPr="00F742AF">
        <w:rPr>
          <w:rFonts w:cs="Tahoma"/>
          <w:szCs w:val="24"/>
        </w:rPr>
        <w:t>transcurridos cerca de 10 minutos de la hora prevista</w:t>
      </w:r>
      <w:r w:rsidR="00A00C8E" w:rsidRPr="00F742AF">
        <w:rPr>
          <w:rFonts w:cs="Tahoma"/>
          <w:szCs w:val="24"/>
        </w:rPr>
        <w:t>,</w:t>
      </w:r>
      <w:r w:rsidR="14D1B0FC" w:rsidRPr="00F742AF">
        <w:rPr>
          <w:rFonts w:cs="Tahoma"/>
          <w:szCs w:val="24"/>
        </w:rPr>
        <w:t xml:space="preserve"> </w:t>
      </w:r>
      <w:r w:rsidR="424C6B2B" w:rsidRPr="00F742AF">
        <w:rPr>
          <w:rFonts w:cs="Tahoma"/>
          <w:szCs w:val="24"/>
        </w:rPr>
        <w:t xml:space="preserve">se hizo presente </w:t>
      </w:r>
      <w:r w:rsidR="00A00C8E" w:rsidRPr="00F742AF">
        <w:rPr>
          <w:rFonts w:cs="Tahoma"/>
          <w:szCs w:val="24"/>
        </w:rPr>
        <w:t xml:space="preserve">el apoderado de la parte demandante con los testigos </w:t>
      </w:r>
      <w:r w:rsidR="1AC1668D" w:rsidRPr="00F742AF">
        <w:rPr>
          <w:rFonts w:cs="Tahoma"/>
          <w:szCs w:val="24"/>
        </w:rPr>
        <w:t xml:space="preserve">en la audiencia de trámite y juzgamiento, específicamente en la etapa de alegatos de conclusión, </w:t>
      </w:r>
      <w:r w:rsidR="2B870F67" w:rsidRPr="00F742AF">
        <w:rPr>
          <w:rFonts w:cs="Tahoma"/>
          <w:szCs w:val="24"/>
        </w:rPr>
        <w:t xml:space="preserve">frente a lo cual, </w:t>
      </w:r>
      <w:r w:rsidR="57EC9A80" w:rsidRPr="00F742AF">
        <w:rPr>
          <w:rFonts w:cs="Tahoma"/>
          <w:szCs w:val="24"/>
        </w:rPr>
        <w:t xml:space="preserve">la </w:t>
      </w:r>
      <w:r w:rsidR="23457FAF" w:rsidRPr="00F742AF">
        <w:rPr>
          <w:rFonts w:cs="Tahoma"/>
          <w:szCs w:val="24"/>
        </w:rPr>
        <w:t xml:space="preserve">Jueza </w:t>
      </w:r>
      <w:r w:rsidR="57EC9A80" w:rsidRPr="00F742AF">
        <w:rPr>
          <w:rFonts w:cs="Tahoma"/>
          <w:szCs w:val="24"/>
        </w:rPr>
        <w:t xml:space="preserve">dispuso que </w:t>
      </w:r>
      <w:r w:rsidR="00A00C8E" w:rsidRPr="00F742AF">
        <w:rPr>
          <w:rFonts w:cs="Tahoma"/>
          <w:szCs w:val="24"/>
        </w:rPr>
        <w:t xml:space="preserve">la parte demandante </w:t>
      </w:r>
      <w:r w:rsidR="57EC9A80" w:rsidRPr="00F742AF">
        <w:rPr>
          <w:rFonts w:cs="Tahoma"/>
          <w:szCs w:val="24"/>
        </w:rPr>
        <w:t>tomar</w:t>
      </w:r>
      <w:r w:rsidR="00A00C8E" w:rsidRPr="00F742AF">
        <w:rPr>
          <w:rFonts w:cs="Tahoma"/>
          <w:szCs w:val="24"/>
        </w:rPr>
        <w:t>a</w:t>
      </w:r>
      <w:r w:rsidR="57EC9A80" w:rsidRPr="00F742AF">
        <w:rPr>
          <w:rFonts w:cs="Tahoma"/>
          <w:szCs w:val="24"/>
        </w:rPr>
        <w:t xml:space="preserve"> </w:t>
      </w:r>
      <w:r w:rsidR="29E5234C" w:rsidRPr="00F742AF">
        <w:rPr>
          <w:rFonts w:cs="Tahoma"/>
          <w:szCs w:val="24"/>
        </w:rPr>
        <w:t>la diligencia en el estado en que se encontraba</w:t>
      </w:r>
      <w:r w:rsidR="00A00C8E" w:rsidRPr="00F742AF">
        <w:rPr>
          <w:rFonts w:cs="Tahoma"/>
          <w:szCs w:val="24"/>
        </w:rPr>
        <w:t xml:space="preserve">, advirtiendo </w:t>
      </w:r>
      <w:r w:rsidR="4808C675" w:rsidRPr="00F742AF">
        <w:rPr>
          <w:rFonts w:cs="Tahoma"/>
          <w:szCs w:val="24"/>
        </w:rPr>
        <w:t>que</w:t>
      </w:r>
      <w:r w:rsidR="6034B5CE" w:rsidRPr="00F742AF">
        <w:rPr>
          <w:rFonts w:cs="Tahoma"/>
          <w:szCs w:val="24"/>
        </w:rPr>
        <w:t xml:space="preserve"> de acuerdo con </w:t>
      </w:r>
      <w:r w:rsidR="276FB474" w:rsidRPr="00F742AF">
        <w:rPr>
          <w:rFonts w:cs="Tahoma"/>
          <w:szCs w:val="24"/>
        </w:rPr>
        <w:t>el articulo 83 CPTSS</w:t>
      </w:r>
      <w:r w:rsidR="00A00C8E" w:rsidRPr="00F742AF">
        <w:rPr>
          <w:rFonts w:cs="Tahoma"/>
          <w:szCs w:val="24"/>
        </w:rPr>
        <w:t xml:space="preserve">, la prueba testimonial </w:t>
      </w:r>
      <w:r w:rsidR="276FB474" w:rsidRPr="00F742AF">
        <w:rPr>
          <w:rFonts w:cs="Tahoma"/>
          <w:szCs w:val="24"/>
        </w:rPr>
        <w:t xml:space="preserve">podría ser </w:t>
      </w:r>
      <w:r w:rsidR="066213B4" w:rsidRPr="00F742AF">
        <w:rPr>
          <w:rFonts w:cs="Tahoma"/>
          <w:szCs w:val="24"/>
        </w:rPr>
        <w:t>recaudad</w:t>
      </w:r>
      <w:r w:rsidR="00A00C8E" w:rsidRPr="00F742AF">
        <w:rPr>
          <w:rFonts w:cs="Tahoma"/>
          <w:szCs w:val="24"/>
        </w:rPr>
        <w:t>a</w:t>
      </w:r>
      <w:r w:rsidR="066213B4" w:rsidRPr="00F742AF">
        <w:rPr>
          <w:rFonts w:cs="Tahoma"/>
          <w:szCs w:val="24"/>
        </w:rPr>
        <w:t xml:space="preserve"> </w:t>
      </w:r>
      <w:r w:rsidR="276FB474" w:rsidRPr="00F742AF">
        <w:rPr>
          <w:rFonts w:cs="Tahoma"/>
          <w:szCs w:val="24"/>
        </w:rPr>
        <w:t xml:space="preserve">en </w:t>
      </w:r>
      <w:r w:rsidR="00A00C8E" w:rsidRPr="00F742AF">
        <w:rPr>
          <w:rFonts w:cs="Tahoma"/>
          <w:szCs w:val="24"/>
        </w:rPr>
        <w:t>segunda</w:t>
      </w:r>
      <w:r w:rsidR="5894A7EE" w:rsidRPr="00F742AF">
        <w:rPr>
          <w:rFonts w:cs="Tahoma"/>
          <w:szCs w:val="24"/>
        </w:rPr>
        <w:t xml:space="preserve"> i</w:t>
      </w:r>
      <w:r w:rsidR="210072F0" w:rsidRPr="00F742AF">
        <w:rPr>
          <w:rFonts w:cs="Tahoma"/>
          <w:szCs w:val="24"/>
        </w:rPr>
        <w:t>nstancia</w:t>
      </w:r>
      <w:r w:rsidR="62930C74" w:rsidRPr="00F742AF">
        <w:rPr>
          <w:rFonts w:cs="Tahoma"/>
          <w:szCs w:val="24"/>
        </w:rPr>
        <w:t xml:space="preserve">, </w:t>
      </w:r>
      <w:r w:rsidR="457899D0" w:rsidRPr="00F742AF">
        <w:rPr>
          <w:rFonts w:cs="Tahoma"/>
          <w:szCs w:val="24"/>
        </w:rPr>
        <w:t xml:space="preserve">si a criterio de la Sala era </w:t>
      </w:r>
      <w:r w:rsidR="62930C74" w:rsidRPr="00F742AF">
        <w:rPr>
          <w:rFonts w:cs="Tahoma"/>
          <w:szCs w:val="24"/>
        </w:rPr>
        <w:t>necesari</w:t>
      </w:r>
      <w:r w:rsidR="00A00C8E" w:rsidRPr="00F742AF">
        <w:rPr>
          <w:rFonts w:cs="Tahoma"/>
          <w:szCs w:val="24"/>
        </w:rPr>
        <w:t>a</w:t>
      </w:r>
      <w:r w:rsidR="62930C74" w:rsidRPr="00F742AF">
        <w:rPr>
          <w:rFonts w:cs="Tahoma"/>
          <w:szCs w:val="24"/>
        </w:rPr>
        <w:t xml:space="preserve"> </w:t>
      </w:r>
      <w:r w:rsidR="210072F0" w:rsidRPr="00F742AF">
        <w:rPr>
          <w:rFonts w:cs="Tahoma"/>
          <w:szCs w:val="24"/>
        </w:rPr>
        <w:t>para el esclarecimiento del asunto</w:t>
      </w:r>
      <w:r w:rsidR="00A00C8E" w:rsidRPr="00F742AF">
        <w:rPr>
          <w:rFonts w:cs="Tahoma"/>
          <w:szCs w:val="24"/>
        </w:rPr>
        <w:t xml:space="preserve">. Con todo, </w:t>
      </w:r>
      <w:r w:rsidR="7248C813" w:rsidRPr="00F742AF">
        <w:rPr>
          <w:rFonts w:cs="Tahoma"/>
          <w:szCs w:val="24"/>
        </w:rPr>
        <w:t xml:space="preserve">como </w:t>
      </w:r>
      <w:r w:rsidR="00A00C8E" w:rsidRPr="00F742AF">
        <w:rPr>
          <w:rFonts w:cs="Tahoma"/>
          <w:szCs w:val="24"/>
        </w:rPr>
        <w:t xml:space="preserve">acaba de decirse, la testimonial </w:t>
      </w:r>
      <w:r w:rsidR="23E34412" w:rsidRPr="00F742AF">
        <w:rPr>
          <w:rFonts w:cs="Tahoma"/>
          <w:szCs w:val="24"/>
        </w:rPr>
        <w:t>resulta innecesari</w:t>
      </w:r>
      <w:r w:rsidR="00A00C8E" w:rsidRPr="00F742AF">
        <w:rPr>
          <w:rFonts w:cs="Tahoma"/>
          <w:szCs w:val="24"/>
        </w:rPr>
        <w:t xml:space="preserve">a, por cuanto obra suficiente </w:t>
      </w:r>
      <w:r w:rsidR="00A00C8E" w:rsidRPr="00F742AF">
        <w:rPr>
          <w:rFonts w:cs="Tahoma"/>
          <w:szCs w:val="24"/>
        </w:rPr>
        <w:lastRenderedPageBreak/>
        <w:t xml:space="preserve">prueba, incluida las declaraciones extra proceso adosadas por el propio demandante, que dan cuenta de la situación económica de aquel al momento del fallecimiento de su hijo. </w:t>
      </w:r>
    </w:p>
    <w:p w14:paraId="6A5D9357" w14:textId="22EA6B31" w:rsidR="00C506D3" w:rsidRPr="00F742AF" w:rsidRDefault="00C506D3" w:rsidP="00F742AF">
      <w:pPr>
        <w:spacing w:line="276" w:lineRule="auto"/>
        <w:ind w:firstLine="360"/>
        <w:rPr>
          <w:rFonts w:cs="Tahoma"/>
          <w:szCs w:val="24"/>
        </w:rPr>
      </w:pPr>
    </w:p>
    <w:p w14:paraId="493F9D98" w14:textId="2E9812AA" w:rsidR="00CF1E29" w:rsidRPr="00F742AF" w:rsidRDefault="00CF1E29" w:rsidP="00F742AF">
      <w:pPr>
        <w:spacing w:line="276" w:lineRule="auto"/>
        <w:ind w:firstLine="360"/>
        <w:rPr>
          <w:rFonts w:cs="Tahoma"/>
          <w:szCs w:val="24"/>
        </w:rPr>
      </w:pPr>
      <w:r w:rsidRPr="00F742AF">
        <w:rPr>
          <w:rFonts w:cs="Tahoma"/>
          <w:szCs w:val="24"/>
        </w:rPr>
        <w:t xml:space="preserve">En </w:t>
      </w:r>
      <w:r w:rsidR="00C932FE" w:rsidRPr="00F742AF">
        <w:rPr>
          <w:rFonts w:cs="Tahoma"/>
          <w:szCs w:val="24"/>
        </w:rPr>
        <w:t>suma</w:t>
      </w:r>
      <w:r w:rsidRPr="00F742AF">
        <w:rPr>
          <w:rFonts w:cs="Tahoma"/>
          <w:szCs w:val="24"/>
        </w:rPr>
        <w:t>, se confirmará la decisión de primer grado disponiendo condena en costas en esta instancia a cargo de</w:t>
      </w:r>
      <w:r w:rsidR="00C549A5" w:rsidRPr="00F742AF">
        <w:rPr>
          <w:rFonts w:cs="Tahoma"/>
          <w:szCs w:val="24"/>
        </w:rPr>
        <w:t>l</w:t>
      </w:r>
      <w:r w:rsidRPr="00F742AF">
        <w:rPr>
          <w:rFonts w:cs="Tahoma"/>
          <w:szCs w:val="24"/>
        </w:rPr>
        <w:t xml:space="preserve"> demandante y a favor de la</w:t>
      </w:r>
      <w:r w:rsidR="00C549A5" w:rsidRPr="00F742AF">
        <w:rPr>
          <w:rFonts w:cs="Tahoma"/>
          <w:szCs w:val="24"/>
        </w:rPr>
        <w:t xml:space="preserve"> parte</w:t>
      </w:r>
      <w:r w:rsidRPr="00F742AF">
        <w:rPr>
          <w:rFonts w:cs="Tahoma"/>
          <w:szCs w:val="24"/>
        </w:rPr>
        <w:t xml:space="preserve"> demandada</w:t>
      </w:r>
      <w:r w:rsidR="00C549A5" w:rsidRPr="00F742AF">
        <w:rPr>
          <w:rFonts w:cs="Tahoma"/>
          <w:szCs w:val="24"/>
        </w:rPr>
        <w:t xml:space="preserve">, las cuales </w:t>
      </w:r>
      <w:r w:rsidRPr="00F742AF">
        <w:rPr>
          <w:rFonts w:cs="Tahoma"/>
          <w:szCs w:val="24"/>
        </w:rPr>
        <w:t>serán liquidadas por la secretaría del juzgado de origen.</w:t>
      </w:r>
    </w:p>
    <w:p w14:paraId="288DA317" w14:textId="77777777" w:rsidR="00CF1E29" w:rsidRPr="00F742AF" w:rsidRDefault="00CF1E29" w:rsidP="00F742AF">
      <w:pPr>
        <w:spacing w:line="276" w:lineRule="auto"/>
        <w:ind w:firstLine="708"/>
        <w:rPr>
          <w:rFonts w:cs="Tahoma"/>
          <w:szCs w:val="24"/>
        </w:rPr>
      </w:pPr>
    </w:p>
    <w:p w14:paraId="53B57536" w14:textId="77777777" w:rsidR="00002638" w:rsidRPr="00F742AF" w:rsidRDefault="00002638" w:rsidP="00F742AF">
      <w:pPr>
        <w:pStyle w:val="Prrafodelista2"/>
        <w:spacing w:after="0"/>
        <w:ind w:left="0" w:firstLine="708"/>
        <w:jc w:val="both"/>
        <w:rPr>
          <w:rFonts w:ascii="Tahoma" w:hAnsi="Tahoma" w:cs="Tahoma"/>
          <w:color w:val="000000" w:themeColor="text1"/>
          <w:sz w:val="24"/>
          <w:szCs w:val="24"/>
          <w:lang w:val="es-ES_tradnl"/>
        </w:rPr>
      </w:pPr>
      <w:r w:rsidRPr="00F742AF">
        <w:rPr>
          <w:rFonts w:ascii="Tahoma" w:hAnsi="Tahoma" w:cs="Tahoma"/>
          <w:color w:val="000000" w:themeColor="text1"/>
          <w:sz w:val="24"/>
          <w:szCs w:val="24"/>
          <w:lang w:val="es-ES_tradnl"/>
        </w:rPr>
        <w:t xml:space="preserve">En mérito de lo expuesto, el </w:t>
      </w:r>
      <w:r w:rsidRPr="00F742AF">
        <w:rPr>
          <w:rFonts w:ascii="Tahoma" w:hAnsi="Tahoma" w:cs="Tahoma"/>
          <w:b/>
          <w:color w:val="000000" w:themeColor="text1"/>
          <w:sz w:val="24"/>
          <w:szCs w:val="24"/>
          <w:lang w:val="es-ES_tradnl"/>
        </w:rPr>
        <w:t>Tribunal Superior del Distrito Judicial de Pereira - Risaralda, Sala Primera de Decisión Laboral,</w:t>
      </w:r>
      <w:r w:rsidRPr="00F742AF">
        <w:rPr>
          <w:rFonts w:ascii="Tahoma" w:hAnsi="Tahoma" w:cs="Tahoma"/>
          <w:color w:val="000000" w:themeColor="text1"/>
          <w:sz w:val="24"/>
          <w:szCs w:val="24"/>
          <w:lang w:val="es-ES_tradnl"/>
        </w:rPr>
        <w:t xml:space="preserve"> administrando justicia en nombre de la República y por autoridad de la ley,</w:t>
      </w:r>
    </w:p>
    <w:p w14:paraId="735E8928" w14:textId="77777777" w:rsidR="00002638" w:rsidRPr="00F742AF" w:rsidRDefault="00002638" w:rsidP="00F742AF">
      <w:pPr>
        <w:pStyle w:val="Prrafodelista2"/>
        <w:spacing w:after="0"/>
        <w:ind w:left="0"/>
        <w:jc w:val="both"/>
        <w:rPr>
          <w:rFonts w:ascii="Tahoma" w:hAnsi="Tahoma" w:cs="Tahoma"/>
          <w:color w:val="000000" w:themeColor="text1"/>
          <w:sz w:val="24"/>
          <w:szCs w:val="24"/>
          <w:lang w:val="es-ES_tradnl"/>
        </w:rPr>
      </w:pPr>
    </w:p>
    <w:p w14:paraId="0CC0BCFE" w14:textId="77777777" w:rsidR="00002638" w:rsidRPr="00F742AF" w:rsidRDefault="00002638" w:rsidP="00F742AF">
      <w:pPr>
        <w:spacing w:line="276" w:lineRule="auto"/>
        <w:contextualSpacing/>
        <w:jc w:val="center"/>
        <w:rPr>
          <w:rFonts w:cs="Tahoma"/>
          <w:b/>
          <w:color w:val="000000" w:themeColor="text1"/>
          <w:szCs w:val="24"/>
        </w:rPr>
      </w:pPr>
      <w:r w:rsidRPr="00F742AF">
        <w:rPr>
          <w:rFonts w:cs="Tahoma"/>
          <w:b/>
          <w:color w:val="000000" w:themeColor="text1"/>
          <w:szCs w:val="24"/>
        </w:rPr>
        <w:t>RESUELVE</w:t>
      </w:r>
    </w:p>
    <w:p w14:paraId="591F20AF" w14:textId="77777777" w:rsidR="00002638" w:rsidRPr="00F742AF" w:rsidRDefault="00002638" w:rsidP="00F742AF">
      <w:pPr>
        <w:widowControl w:val="0"/>
        <w:autoSpaceDE w:val="0"/>
        <w:autoSpaceDN w:val="0"/>
        <w:adjustRightInd w:val="0"/>
        <w:spacing w:line="276" w:lineRule="auto"/>
        <w:jc w:val="center"/>
        <w:rPr>
          <w:rFonts w:cs="Tahoma"/>
          <w:b/>
          <w:szCs w:val="24"/>
        </w:rPr>
      </w:pPr>
    </w:p>
    <w:p w14:paraId="1A35AD32" w14:textId="2F6488C4" w:rsidR="00002638" w:rsidRPr="00F742AF" w:rsidRDefault="00002638" w:rsidP="00F742AF">
      <w:pPr>
        <w:spacing w:line="276" w:lineRule="auto"/>
        <w:ind w:firstLine="705"/>
        <w:textAlignment w:val="baseline"/>
        <w:rPr>
          <w:rFonts w:cs="Tahoma"/>
          <w:szCs w:val="24"/>
        </w:rPr>
      </w:pPr>
      <w:r w:rsidRPr="00F742AF">
        <w:rPr>
          <w:rFonts w:eastAsia="Times New Roman" w:cs="Tahoma"/>
          <w:b/>
          <w:bCs/>
          <w:szCs w:val="24"/>
          <w:lang w:eastAsia="es-ES"/>
        </w:rPr>
        <w:t>PRIMERO:</w:t>
      </w:r>
      <w:r w:rsidRPr="00F742AF">
        <w:rPr>
          <w:rFonts w:eastAsia="Times New Roman" w:cs="Tahoma"/>
          <w:b/>
          <w:bCs/>
          <w:i/>
          <w:iCs/>
          <w:szCs w:val="24"/>
          <w:lang w:eastAsia="es-ES"/>
        </w:rPr>
        <w:t> </w:t>
      </w:r>
      <w:r w:rsidRPr="00F742AF">
        <w:rPr>
          <w:rFonts w:eastAsia="Times New Roman" w:cs="Tahoma"/>
          <w:b/>
          <w:bCs/>
          <w:szCs w:val="24"/>
          <w:lang w:eastAsia="es-ES"/>
        </w:rPr>
        <w:t xml:space="preserve">CONFIRMAR </w:t>
      </w:r>
      <w:r w:rsidRPr="00F742AF">
        <w:rPr>
          <w:rFonts w:cs="Tahoma"/>
          <w:szCs w:val="24"/>
        </w:rPr>
        <w:t xml:space="preserve">la sentencia de primer grado proferida el 22 de octubre de 2019 por el Juzgado Segundo Laboral del Circuito de Pereira, dentro del proceso de la referencia. </w:t>
      </w:r>
    </w:p>
    <w:p w14:paraId="184225EB" w14:textId="77777777" w:rsidR="00002638" w:rsidRPr="00F742AF" w:rsidRDefault="00002638" w:rsidP="00F742AF">
      <w:pPr>
        <w:spacing w:line="276" w:lineRule="auto"/>
        <w:ind w:firstLine="705"/>
        <w:textAlignment w:val="baseline"/>
        <w:rPr>
          <w:rFonts w:cs="Tahoma"/>
          <w:szCs w:val="24"/>
        </w:rPr>
      </w:pPr>
    </w:p>
    <w:p w14:paraId="3CB5582D" w14:textId="6D17D2D8" w:rsidR="00002638" w:rsidRPr="00F742AF" w:rsidRDefault="00002638" w:rsidP="00F742AF">
      <w:pPr>
        <w:spacing w:line="276" w:lineRule="auto"/>
        <w:ind w:firstLine="705"/>
        <w:textAlignment w:val="baseline"/>
        <w:rPr>
          <w:rFonts w:eastAsia="Times New Roman" w:cs="Tahoma"/>
          <w:szCs w:val="24"/>
          <w:lang w:eastAsia="es-ES"/>
        </w:rPr>
      </w:pPr>
      <w:r w:rsidRPr="00F742AF">
        <w:rPr>
          <w:rFonts w:eastAsia="Times New Roman" w:cs="Tahoma"/>
          <w:b/>
          <w:bCs/>
          <w:szCs w:val="24"/>
          <w:lang w:eastAsia="es-ES_tradnl"/>
        </w:rPr>
        <w:t>SEGUNDO:</w:t>
      </w:r>
      <w:r w:rsidRPr="00F742AF">
        <w:rPr>
          <w:rFonts w:eastAsia="Tahoma" w:cs="Tahoma"/>
          <w:b/>
          <w:bCs/>
          <w:szCs w:val="24"/>
        </w:rPr>
        <w:t xml:space="preserve"> </w:t>
      </w:r>
      <w:r w:rsidRPr="00F742AF">
        <w:rPr>
          <w:rFonts w:eastAsia="Times New Roman" w:cs="Tahoma"/>
          <w:b/>
          <w:bCs/>
          <w:szCs w:val="24"/>
          <w:lang w:eastAsia="es-ES"/>
        </w:rPr>
        <w:t>CONDENAR</w:t>
      </w:r>
      <w:r w:rsidRPr="00F742AF">
        <w:rPr>
          <w:rFonts w:eastAsia="Times New Roman" w:cs="Tahoma"/>
          <w:szCs w:val="24"/>
          <w:lang w:eastAsia="es-ES"/>
        </w:rPr>
        <w:t xml:space="preserve"> en costas de segunda instancia al señor </w:t>
      </w:r>
      <w:r w:rsidRPr="00F742AF">
        <w:rPr>
          <w:rFonts w:cs="Tahoma"/>
          <w:b/>
          <w:bCs/>
          <w:szCs w:val="24"/>
        </w:rPr>
        <w:t>Pedro José Calderón Cañas</w:t>
      </w:r>
      <w:r w:rsidRPr="00F742AF">
        <w:rPr>
          <w:rFonts w:cs="Tahoma"/>
          <w:szCs w:val="24"/>
        </w:rPr>
        <w:t xml:space="preserve"> </w:t>
      </w:r>
      <w:r w:rsidRPr="00F742AF">
        <w:rPr>
          <w:rFonts w:eastAsia="Times New Roman" w:cs="Tahoma"/>
          <w:szCs w:val="24"/>
          <w:lang w:eastAsia="es-ES"/>
        </w:rPr>
        <w:t xml:space="preserve">a favor de la demandada </w:t>
      </w:r>
      <w:r w:rsidRPr="00F742AF">
        <w:rPr>
          <w:rFonts w:eastAsia="Times New Roman" w:cs="Tahoma"/>
          <w:b/>
          <w:bCs/>
          <w:szCs w:val="24"/>
          <w:lang w:eastAsia="es-ES"/>
        </w:rPr>
        <w:t>Positiva S.A</w:t>
      </w:r>
      <w:r w:rsidR="008D1A84" w:rsidRPr="00F742AF">
        <w:rPr>
          <w:rFonts w:eastAsia="Times New Roman" w:cs="Tahoma"/>
          <w:b/>
          <w:bCs/>
          <w:szCs w:val="24"/>
          <w:lang w:eastAsia="es-ES"/>
        </w:rPr>
        <w:t xml:space="preserve">. </w:t>
      </w:r>
      <w:r w:rsidRPr="00F742AF">
        <w:rPr>
          <w:rFonts w:eastAsia="Times New Roman" w:cs="Tahoma"/>
          <w:szCs w:val="24"/>
          <w:lang w:eastAsia="es-ES"/>
        </w:rPr>
        <w:t>Liquídense por la secretaría del juzgado de origen.</w:t>
      </w:r>
    </w:p>
    <w:p w14:paraId="14048BD8" w14:textId="77777777" w:rsidR="00002638" w:rsidRPr="00F742AF" w:rsidRDefault="00002638" w:rsidP="00F742AF">
      <w:pPr>
        <w:spacing w:line="276" w:lineRule="auto"/>
        <w:ind w:firstLine="705"/>
        <w:textAlignment w:val="baseline"/>
        <w:rPr>
          <w:rFonts w:eastAsia="Times New Roman" w:cs="Tahoma"/>
          <w:b/>
          <w:bCs/>
          <w:szCs w:val="24"/>
          <w:lang w:eastAsia="es-ES"/>
        </w:rPr>
      </w:pPr>
    </w:p>
    <w:p w14:paraId="0D759A9D" w14:textId="77777777" w:rsidR="00002638" w:rsidRPr="00F742AF" w:rsidRDefault="00002638" w:rsidP="00F742AF">
      <w:pPr>
        <w:widowControl w:val="0"/>
        <w:autoSpaceDE w:val="0"/>
        <w:autoSpaceDN w:val="0"/>
        <w:adjustRightInd w:val="0"/>
        <w:spacing w:line="276" w:lineRule="auto"/>
        <w:jc w:val="center"/>
        <w:rPr>
          <w:rFonts w:cs="Tahoma"/>
          <w:b/>
          <w:szCs w:val="24"/>
        </w:rPr>
      </w:pPr>
      <w:r w:rsidRPr="00F742AF">
        <w:rPr>
          <w:rFonts w:cs="Tahoma"/>
          <w:b/>
          <w:szCs w:val="24"/>
        </w:rPr>
        <w:t>NOTIFÍQUESE Y CÚMPLASE</w:t>
      </w:r>
    </w:p>
    <w:p w14:paraId="48D8F11F" w14:textId="77777777" w:rsidR="00F742AF" w:rsidRPr="00F742AF" w:rsidRDefault="00F742AF" w:rsidP="00F742AF">
      <w:pPr>
        <w:spacing w:line="276" w:lineRule="auto"/>
        <w:ind w:firstLine="708"/>
        <w:rPr>
          <w:rFonts w:eastAsia="Calibri" w:cs="Tahoma"/>
          <w:szCs w:val="24"/>
          <w:lang w:val="es-ES_tradnl"/>
        </w:rPr>
      </w:pPr>
    </w:p>
    <w:p w14:paraId="45A7164A" w14:textId="77777777" w:rsidR="00F742AF" w:rsidRPr="00F742AF" w:rsidRDefault="00F742AF" w:rsidP="00F742AF">
      <w:pPr>
        <w:spacing w:line="276" w:lineRule="auto"/>
        <w:ind w:firstLine="708"/>
        <w:rPr>
          <w:rFonts w:eastAsia="Calibri" w:cs="Tahoma"/>
          <w:szCs w:val="24"/>
          <w:lang w:val="es-ES_tradnl"/>
        </w:rPr>
      </w:pPr>
      <w:bookmarkStart w:id="3" w:name="OLE_LINK23"/>
      <w:r w:rsidRPr="00F742AF">
        <w:rPr>
          <w:rFonts w:eastAsia="Calibri" w:cs="Tahoma"/>
          <w:szCs w:val="24"/>
          <w:lang w:val="es-ES_tradnl"/>
        </w:rPr>
        <w:t xml:space="preserve">La Magistrada Ponente, </w:t>
      </w:r>
    </w:p>
    <w:p w14:paraId="360F0188" w14:textId="77777777" w:rsidR="00F742AF" w:rsidRPr="00F742AF" w:rsidRDefault="00F742AF" w:rsidP="00F742AF">
      <w:pPr>
        <w:widowControl w:val="0"/>
        <w:autoSpaceDE w:val="0"/>
        <w:autoSpaceDN w:val="0"/>
        <w:adjustRightInd w:val="0"/>
        <w:spacing w:line="276" w:lineRule="auto"/>
        <w:rPr>
          <w:rFonts w:ascii="Arial" w:eastAsia="Calibri" w:hAnsi="Arial" w:cs="Arial"/>
          <w:bCs/>
          <w:szCs w:val="24"/>
          <w:lang w:val="es-ES_tradnl" w:eastAsia="es-ES_tradnl"/>
        </w:rPr>
      </w:pPr>
    </w:p>
    <w:p w14:paraId="78BA806A" w14:textId="77777777" w:rsidR="00F742AF" w:rsidRPr="00F742AF" w:rsidRDefault="00F742AF" w:rsidP="00F742AF">
      <w:pPr>
        <w:widowControl w:val="0"/>
        <w:autoSpaceDE w:val="0"/>
        <w:autoSpaceDN w:val="0"/>
        <w:adjustRightInd w:val="0"/>
        <w:spacing w:line="276" w:lineRule="auto"/>
        <w:rPr>
          <w:rFonts w:ascii="Arial" w:eastAsia="Calibri" w:hAnsi="Arial" w:cs="Arial"/>
          <w:bCs/>
          <w:szCs w:val="24"/>
          <w:lang w:val="es-ES_tradnl" w:eastAsia="es-ES_tradnl"/>
        </w:rPr>
      </w:pPr>
    </w:p>
    <w:p w14:paraId="25DD63B0" w14:textId="77777777" w:rsidR="00F742AF" w:rsidRPr="00F742AF" w:rsidRDefault="00F742AF" w:rsidP="00F742AF">
      <w:pPr>
        <w:spacing w:line="276" w:lineRule="auto"/>
        <w:ind w:firstLine="705"/>
        <w:jc w:val="center"/>
        <w:textAlignment w:val="baseline"/>
        <w:rPr>
          <w:rFonts w:eastAsia="Times New Roman" w:cs="Tahoma"/>
          <w:b/>
          <w:bCs/>
          <w:szCs w:val="24"/>
          <w:lang w:val="es-ES_tradnl" w:eastAsia="es-ES_tradnl"/>
        </w:rPr>
      </w:pPr>
      <w:r w:rsidRPr="00F742AF">
        <w:rPr>
          <w:rFonts w:eastAsia="Times New Roman" w:cs="Tahoma"/>
          <w:b/>
          <w:bCs/>
          <w:szCs w:val="24"/>
          <w:lang w:val="es-ES_tradnl" w:eastAsia="es-ES_tradnl"/>
        </w:rPr>
        <w:t>ANA LUCÍA CAICEDO CALDERÓN</w:t>
      </w:r>
    </w:p>
    <w:p w14:paraId="3946101C" w14:textId="77777777" w:rsidR="00F742AF" w:rsidRPr="00F742AF" w:rsidRDefault="00F742AF" w:rsidP="00F742AF">
      <w:pPr>
        <w:widowControl w:val="0"/>
        <w:autoSpaceDE w:val="0"/>
        <w:autoSpaceDN w:val="0"/>
        <w:adjustRightInd w:val="0"/>
        <w:spacing w:line="276" w:lineRule="auto"/>
        <w:rPr>
          <w:rFonts w:ascii="Arial" w:eastAsia="Calibri" w:hAnsi="Arial" w:cs="Arial"/>
          <w:bCs/>
          <w:szCs w:val="24"/>
          <w:lang w:val="es-ES_tradnl" w:eastAsia="es-ES_tradnl"/>
        </w:rPr>
      </w:pPr>
    </w:p>
    <w:p w14:paraId="4FE4CC5A" w14:textId="77777777" w:rsidR="00F742AF" w:rsidRPr="00F742AF" w:rsidRDefault="00F742AF" w:rsidP="00F742AF">
      <w:pPr>
        <w:spacing w:line="276" w:lineRule="auto"/>
        <w:ind w:firstLine="705"/>
        <w:jc w:val="left"/>
        <w:textAlignment w:val="baseline"/>
        <w:rPr>
          <w:rFonts w:eastAsia="Times New Roman" w:cs="Tahoma"/>
          <w:szCs w:val="24"/>
          <w:lang w:val="es-ES_tradnl" w:eastAsia="es-ES_tradnl"/>
        </w:rPr>
      </w:pPr>
      <w:r w:rsidRPr="00F742AF">
        <w:rPr>
          <w:rFonts w:eastAsia="Times New Roman" w:cs="Tahoma"/>
          <w:szCs w:val="24"/>
          <w:lang w:val="es-ES_tradnl" w:eastAsia="es-ES_tradnl"/>
        </w:rPr>
        <w:t>La Magistrada y el Magistrado,</w:t>
      </w:r>
    </w:p>
    <w:p w14:paraId="17806BCB" w14:textId="77777777" w:rsidR="00F742AF" w:rsidRPr="00F742AF" w:rsidRDefault="00F742AF" w:rsidP="00F742AF">
      <w:pPr>
        <w:widowControl w:val="0"/>
        <w:autoSpaceDE w:val="0"/>
        <w:autoSpaceDN w:val="0"/>
        <w:adjustRightInd w:val="0"/>
        <w:spacing w:line="276" w:lineRule="auto"/>
        <w:rPr>
          <w:rFonts w:ascii="Arial" w:eastAsia="Calibri" w:hAnsi="Arial" w:cs="Arial"/>
          <w:bCs/>
          <w:szCs w:val="24"/>
          <w:lang w:val="es-ES_tradnl" w:eastAsia="es-ES_tradnl"/>
        </w:rPr>
      </w:pPr>
    </w:p>
    <w:p w14:paraId="34B40F15" w14:textId="77777777" w:rsidR="00F742AF" w:rsidRPr="00F742AF" w:rsidRDefault="00F742AF" w:rsidP="00F742AF">
      <w:pPr>
        <w:widowControl w:val="0"/>
        <w:autoSpaceDE w:val="0"/>
        <w:autoSpaceDN w:val="0"/>
        <w:adjustRightInd w:val="0"/>
        <w:spacing w:line="276" w:lineRule="auto"/>
        <w:rPr>
          <w:rFonts w:ascii="Arial" w:eastAsia="Calibri" w:hAnsi="Arial" w:cs="Arial"/>
          <w:bCs/>
          <w:szCs w:val="24"/>
          <w:lang w:val="es-ES_tradnl" w:eastAsia="es-ES_tradnl"/>
        </w:rPr>
      </w:pPr>
    </w:p>
    <w:p w14:paraId="161EF093" w14:textId="4F414E07" w:rsidR="00C506D3" w:rsidRPr="00F742AF" w:rsidRDefault="00F742AF" w:rsidP="00F742AF">
      <w:pPr>
        <w:spacing w:line="276" w:lineRule="auto"/>
        <w:jc w:val="left"/>
        <w:rPr>
          <w:rFonts w:eastAsia="Times New Roman" w:cs="Tahoma"/>
          <w:szCs w:val="24"/>
          <w:lang w:val="es-ES" w:eastAsia="es-ES"/>
        </w:rPr>
      </w:pPr>
      <w:r w:rsidRPr="00F742AF">
        <w:rPr>
          <w:rFonts w:eastAsia="Times New Roman" w:cs="Tahoma"/>
          <w:b/>
          <w:bCs/>
          <w:szCs w:val="24"/>
          <w:lang w:val="es-ES" w:eastAsia="es-ES"/>
        </w:rPr>
        <w:t>OLGA LUCÍA HOYOS SEPÚLVEDA</w:t>
      </w:r>
      <w:r w:rsidRPr="00F742AF">
        <w:rPr>
          <w:rFonts w:eastAsia="Times New Roman" w:cs="Tahoma"/>
          <w:b/>
          <w:bCs/>
          <w:szCs w:val="24"/>
          <w:lang w:val="es-ES" w:eastAsia="es-ES"/>
        </w:rPr>
        <w:tab/>
      </w:r>
      <w:r w:rsidRPr="00F742AF">
        <w:rPr>
          <w:rFonts w:eastAsia="Times New Roman" w:cs="Tahoma"/>
          <w:b/>
          <w:bCs/>
          <w:szCs w:val="24"/>
          <w:lang w:val="es-ES" w:eastAsia="es-ES"/>
        </w:rPr>
        <w:tab/>
        <w:t>JULIO CÉSAR SALAZAR MUÑOZ</w:t>
      </w:r>
      <w:bookmarkEnd w:id="3"/>
    </w:p>
    <w:sectPr w:rsidR="00C506D3" w:rsidRPr="00F742AF" w:rsidSect="00F742AF">
      <w:headerReference w:type="default" r:id="rId14"/>
      <w:footerReference w:type="default" r:id="rId15"/>
      <w:pgSz w:w="12242" w:h="18722" w:code="258"/>
      <w:pgMar w:top="1871" w:right="1304" w:bottom="1304" w:left="1871" w:header="567" w:footer="567"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87B6376" w15:done="0"/>
  <w15:commentEx w15:paraId="663F1C71" w15:done="0"/>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27F2A20" w16cex:dateUtc="2020-11-21T00:57:03.197Z"/>
  <w16cex:commentExtensible w16cex:durableId="18F187F8" w16cex:dateUtc="2020-11-24T15:03:48.598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87B6376" w16cid:durableId="18F187F8"/>
  <w16cid:commentId w16cid:paraId="663F1C71" w16cid:durableId="427F2A2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D2D477" w14:textId="77777777" w:rsidR="00786608" w:rsidRDefault="00786608" w:rsidP="00DE206F">
      <w:pPr>
        <w:spacing w:line="240" w:lineRule="auto"/>
      </w:pPr>
      <w:r>
        <w:separator/>
      </w:r>
    </w:p>
  </w:endnote>
  <w:endnote w:type="continuationSeparator" w:id="0">
    <w:p w14:paraId="5FC327A9" w14:textId="77777777" w:rsidR="00786608" w:rsidRDefault="00786608" w:rsidP="00DE206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3094802"/>
      <w:docPartObj>
        <w:docPartGallery w:val="Page Numbers (Bottom of Page)"/>
        <w:docPartUnique/>
      </w:docPartObj>
    </w:sdtPr>
    <w:sdtEndPr>
      <w:rPr>
        <w:sz w:val="18"/>
      </w:rPr>
    </w:sdtEndPr>
    <w:sdtContent>
      <w:p w14:paraId="1F369B81" w14:textId="2DAE9C9E" w:rsidR="0089034A" w:rsidRPr="00F742AF" w:rsidRDefault="0089034A">
        <w:pPr>
          <w:pStyle w:val="Piedepgina"/>
          <w:jc w:val="right"/>
          <w:rPr>
            <w:sz w:val="18"/>
          </w:rPr>
        </w:pPr>
        <w:r w:rsidRPr="00F742AF">
          <w:rPr>
            <w:sz w:val="18"/>
          </w:rPr>
          <w:fldChar w:fldCharType="begin"/>
        </w:r>
        <w:r w:rsidRPr="00F742AF">
          <w:rPr>
            <w:sz w:val="18"/>
          </w:rPr>
          <w:instrText>PAGE   \* MERGEFORMAT</w:instrText>
        </w:r>
        <w:r w:rsidRPr="00F742AF">
          <w:rPr>
            <w:sz w:val="18"/>
          </w:rPr>
          <w:fldChar w:fldCharType="separate"/>
        </w:r>
        <w:r w:rsidR="00B95CA3" w:rsidRPr="00B95CA3">
          <w:rPr>
            <w:noProof/>
            <w:sz w:val="18"/>
            <w:lang w:val="es-ES"/>
          </w:rPr>
          <w:t>10</w:t>
        </w:r>
        <w:r w:rsidRPr="00F742AF">
          <w:rPr>
            <w:sz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E053B0" w14:textId="77777777" w:rsidR="00786608" w:rsidRDefault="00786608" w:rsidP="00DE206F">
      <w:pPr>
        <w:spacing w:line="240" w:lineRule="auto"/>
      </w:pPr>
      <w:r>
        <w:separator/>
      </w:r>
    </w:p>
  </w:footnote>
  <w:footnote w:type="continuationSeparator" w:id="0">
    <w:p w14:paraId="3777046D" w14:textId="77777777" w:rsidR="00786608" w:rsidRDefault="00786608" w:rsidP="00DE206F">
      <w:pPr>
        <w:spacing w:line="240" w:lineRule="auto"/>
      </w:pPr>
      <w:r>
        <w:continuationSeparator/>
      </w:r>
    </w:p>
  </w:footnote>
  <w:footnote w:id="1">
    <w:p w14:paraId="56D942B7" w14:textId="62847542" w:rsidR="0089034A" w:rsidRPr="00F742AF" w:rsidRDefault="0089034A" w:rsidP="00F742AF">
      <w:pPr>
        <w:pStyle w:val="Textonotapie"/>
        <w:rPr>
          <w:rFonts w:ascii="Arial" w:hAnsi="Arial" w:cs="Arial"/>
          <w:sz w:val="18"/>
          <w:szCs w:val="16"/>
          <w:lang w:val="es-419"/>
        </w:rPr>
      </w:pPr>
      <w:r w:rsidRPr="00F742AF">
        <w:rPr>
          <w:rStyle w:val="Refdenotaalpie"/>
          <w:rFonts w:ascii="Arial" w:hAnsi="Arial" w:cs="Arial"/>
          <w:sz w:val="18"/>
          <w:szCs w:val="16"/>
        </w:rPr>
        <w:footnoteRef/>
      </w:r>
      <w:r w:rsidRPr="00F742AF">
        <w:rPr>
          <w:rFonts w:ascii="Arial" w:hAnsi="Arial" w:cs="Arial"/>
          <w:sz w:val="18"/>
          <w:szCs w:val="16"/>
        </w:rPr>
        <w:t xml:space="preserve"> </w:t>
      </w:r>
      <w:r w:rsidRPr="00F742AF">
        <w:rPr>
          <w:rFonts w:ascii="Arial" w:hAnsi="Arial" w:cs="Arial"/>
          <w:sz w:val="18"/>
          <w:szCs w:val="16"/>
          <w:lang w:val="es-419"/>
        </w:rPr>
        <w:t>Radicado 70081. M.P. Iván Mauricio Lenis Gómez</w:t>
      </w:r>
    </w:p>
  </w:footnote>
  <w:footnote w:id="2">
    <w:p w14:paraId="59C0F100" w14:textId="77777777" w:rsidR="0089034A" w:rsidRPr="00F742AF" w:rsidRDefault="0089034A" w:rsidP="00F742AF">
      <w:pPr>
        <w:pStyle w:val="Textonotapie"/>
        <w:rPr>
          <w:rFonts w:ascii="Arial" w:hAnsi="Arial" w:cs="Arial"/>
          <w:sz w:val="18"/>
          <w:szCs w:val="16"/>
          <w:lang w:val="es-419"/>
        </w:rPr>
      </w:pPr>
      <w:r w:rsidRPr="00F742AF">
        <w:rPr>
          <w:rStyle w:val="Refdenotaalpie"/>
          <w:rFonts w:ascii="Arial" w:hAnsi="Arial" w:cs="Arial"/>
          <w:sz w:val="18"/>
          <w:szCs w:val="16"/>
        </w:rPr>
        <w:footnoteRef/>
      </w:r>
      <w:r w:rsidRPr="00F742AF">
        <w:rPr>
          <w:rFonts w:ascii="Arial" w:hAnsi="Arial" w:cs="Arial"/>
          <w:sz w:val="18"/>
          <w:szCs w:val="16"/>
        </w:rPr>
        <w:t xml:space="preserve"> </w:t>
      </w:r>
      <w:r w:rsidRPr="00F742AF">
        <w:rPr>
          <w:rFonts w:ascii="Arial" w:hAnsi="Arial" w:cs="Arial"/>
          <w:sz w:val="18"/>
          <w:szCs w:val="16"/>
          <w:lang w:val="es-419"/>
        </w:rPr>
        <w:t>Página 167, expediente administrativo</w:t>
      </w:r>
    </w:p>
  </w:footnote>
  <w:footnote w:id="3">
    <w:p w14:paraId="59EA82F9" w14:textId="77777777" w:rsidR="0089034A" w:rsidRPr="00F742AF" w:rsidRDefault="0089034A" w:rsidP="00F742AF">
      <w:pPr>
        <w:pStyle w:val="Textonotapie"/>
        <w:rPr>
          <w:rFonts w:ascii="Arial" w:hAnsi="Arial" w:cs="Arial"/>
          <w:sz w:val="18"/>
          <w:szCs w:val="16"/>
          <w:lang w:val="es-419"/>
        </w:rPr>
      </w:pPr>
      <w:r w:rsidRPr="00F742AF">
        <w:rPr>
          <w:rStyle w:val="Refdenotaalpie"/>
          <w:rFonts w:ascii="Arial" w:hAnsi="Arial" w:cs="Arial"/>
          <w:sz w:val="18"/>
          <w:szCs w:val="16"/>
        </w:rPr>
        <w:footnoteRef/>
      </w:r>
      <w:r w:rsidRPr="00F742AF">
        <w:rPr>
          <w:rFonts w:ascii="Arial" w:hAnsi="Arial" w:cs="Arial"/>
          <w:sz w:val="18"/>
          <w:szCs w:val="16"/>
        </w:rPr>
        <w:t xml:space="preserve"> </w:t>
      </w:r>
      <w:r w:rsidRPr="00F742AF">
        <w:rPr>
          <w:rFonts w:ascii="Arial" w:hAnsi="Arial" w:cs="Arial"/>
          <w:sz w:val="18"/>
          <w:szCs w:val="16"/>
          <w:lang w:val="es-419"/>
        </w:rPr>
        <w:t>Página 162, expediente administrativo</w:t>
      </w:r>
    </w:p>
  </w:footnote>
  <w:footnote w:id="4">
    <w:p w14:paraId="14AF7742" w14:textId="77777777" w:rsidR="0089034A" w:rsidRPr="00F742AF" w:rsidRDefault="0089034A" w:rsidP="00F742AF">
      <w:pPr>
        <w:pStyle w:val="Textonotapie"/>
        <w:rPr>
          <w:rFonts w:ascii="Arial" w:hAnsi="Arial" w:cs="Arial"/>
          <w:sz w:val="18"/>
          <w:szCs w:val="16"/>
          <w:lang w:val="es-419"/>
        </w:rPr>
      </w:pPr>
      <w:r w:rsidRPr="00F742AF">
        <w:rPr>
          <w:rStyle w:val="Refdenotaalpie"/>
          <w:rFonts w:ascii="Arial" w:hAnsi="Arial" w:cs="Arial"/>
          <w:sz w:val="18"/>
          <w:szCs w:val="16"/>
        </w:rPr>
        <w:footnoteRef/>
      </w:r>
      <w:r w:rsidRPr="00F742AF">
        <w:rPr>
          <w:rFonts w:ascii="Arial" w:hAnsi="Arial" w:cs="Arial"/>
          <w:sz w:val="18"/>
          <w:szCs w:val="16"/>
        </w:rPr>
        <w:t xml:space="preserve"> </w:t>
      </w:r>
      <w:r w:rsidRPr="00F742AF">
        <w:rPr>
          <w:rFonts w:ascii="Arial" w:hAnsi="Arial" w:cs="Arial"/>
          <w:sz w:val="18"/>
          <w:szCs w:val="16"/>
          <w:lang w:val="es-419"/>
        </w:rPr>
        <w:t>Página 173, expediente administrativo</w:t>
      </w:r>
    </w:p>
  </w:footnote>
  <w:footnote w:id="5">
    <w:p w14:paraId="2A7EC890" w14:textId="77777777" w:rsidR="0089034A" w:rsidRPr="00F742AF" w:rsidRDefault="0089034A" w:rsidP="00F742AF">
      <w:pPr>
        <w:pStyle w:val="Textonotapie"/>
        <w:rPr>
          <w:rFonts w:ascii="Arial" w:hAnsi="Arial" w:cs="Arial"/>
          <w:sz w:val="18"/>
          <w:szCs w:val="16"/>
        </w:rPr>
      </w:pPr>
      <w:r w:rsidRPr="00F742AF">
        <w:rPr>
          <w:rStyle w:val="Refdenotaalpie"/>
          <w:rFonts w:ascii="Arial" w:hAnsi="Arial" w:cs="Arial"/>
          <w:sz w:val="18"/>
          <w:szCs w:val="16"/>
        </w:rPr>
        <w:footnoteRef/>
      </w:r>
      <w:r w:rsidRPr="00F742AF">
        <w:rPr>
          <w:rFonts w:ascii="Arial" w:hAnsi="Arial" w:cs="Arial"/>
          <w:sz w:val="18"/>
          <w:szCs w:val="16"/>
        </w:rPr>
        <w:t xml:space="preserve"> Página 173, expediente administrativo</w:t>
      </w:r>
    </w:p>
  </w:footnote>
  <w:footnote w:id="6">
    <w:p w14:paraId="0E341621" w14:textId="77777777" w:rsidR="0089034A" w:rsidRPr="00F742AF" w:rsidRDefault="0089034A" w:rsidP="00F742AF">
      <w:pPr>
        <w:pStyle w:val="Textonotapie"/>
        <w:rPr>
          <w:rFonts w:ascii="Arial" w:hAnsi="Arial" w:cs="Arial"/>
          <w:sz w:val="18"/>
          <w:szCs w:val="16"/>
        </w:rPr>
      </w:pPr>
      <w:r w:rsidRPr="00F742AF">
        <w:rPr>
          <w:rStyle w:val="Refdenotaalpie"/>
          <w:rFonts w:ascii="Arial" w:hAnsi="Arial" w:cs="Arial"/>
          <w:sz w:val="18"/>
          <w:szCs w:val="16"/>
        </w:rPr>
        <w:footnoteRef/>
      </w:r>
      <w:r w:rsidRPr="00F742AF">
        <w:rPr>
          <w:rFonts w:ascii="Arial" w:hAnsi="Arial" w:cs="Arial"/>
          <w:sz w:val="18"/>
          <w:szCs w:val="16"/>
        </w:rPr>
        <w:t xml:space="preserve"> Página 173, expediente administrativo</w:t>
      </w:r>
    </w:p>
  </w:footnote>
  <w:footnote w:id="7">
    <w:p w14:paraId="7F41A8EE" w14:textId="77777777" w:rsidR="0089034A" w:rsidRPr="00F742AF" w:rsidRDefault="0089034A" w:rsidP="00F742AF">
      <w:pPr>
        <w:pStyle w:val="Textonotapie"/>
        <w:rPr>
          <w:rFonts w:ascii="Arial" w:hAnsi="Arial" w:cs="Arial"/>
          <w:sz w:val="18"/>
          <w:szCs w:val="16"/>
          <w:lang w:val="es-419"/>
        </w:rPr>
      </w:pPr>
      <w:r w:rsidRPr="00F742AF">
        <w:rPr>
          <w:rStyle w:val="Refdenotaalpie"/>
          <w:rFonts w:ascii="Arial" w:hAnsi="Arial" w:cs="Arial"/>
          <w:sz w:val="18"/>
          <w:szCs w:val="16"/>
        </w:rPr>
        <w:footnoteRef/>
      </w:r>
      <w:r w:rsidRPr="00F742AF">
        <w:rPr>
          <w:rFonts w:ascii="Arial" w:hAnsi="Arial" w:cs="Arial"/>
          <w:sz w:val="18"/>
          <w:szCs w:val="16"/>
        </w:rPr>
        <w:t xml:space="preserve"> </w:t>
      </w:r>
      <w:r w:rsidRPr="00F742AF">
        <w:rPr>
          <w:rFonts w:ascii="Arial" w:hAnsi="Arial" w:cs="Arial"/>
          <w:sz w:val="18"/>
          <w:szCs w:val="16"/>
          <w:lang w:val="es-419"/>
        </w:rPr>
        <w:t>Página 168-169, expediente administrativo</w:t>
      </w:r>
    </w:p>
  </w:footnote>
  <w:footnote w:id="8">
    <w:p w14:paraId="14FAB477" w14:textId="77777777" w:rsidR="0089034A" w:rsidRPr="00F742AF" w:rsidRDefault="0089034A" w:rsidP="00F742AF">
      <w:pPr>
        <w:pStyle w:val="Textonotapie"/>
        <w:rPr>
          <w:rFonts w:ascii="Arial" w:hAnsi="Arial" w:cs="Arial"/>
          <w:sz w:val="18"/>
          <w:szCs w:val="16"/>
          <w:lang w:val="es-419"/>
        </w:rPr>
      </w:pPr>
      <w:r w:rsidRPr="00F742AF">
        <w:rPr>
          <w:rStyle w:val="Refdenotaalpie"/>
          <w:rFonts w:ascii="Arial" w:hAnsi="Arial" w:cs="Arial"/>
          <w:sz w:val="18"/>
          <w:szCs w:val="16"/>
        </w:rPr>
        <w:footnoteRef/>
      </w:r>
      <w:r w:rsidRPr="00F742AF">
        <w:rPr>
          <w:rFonts w:ascii="Arial" w:hAnsi="Arial" w:cs="Arial"/>
          <w:sz w:val="18"/>
          <w:szCs w:val="16"/>
        </w:rPr>
        <w:t xml:space="preserve"> </w:t>
      </w:r>
      <w:r w:rsidRPr="00F742AF">
        <w:rPr>
          <w:rFonts w:ascii="Arial" w:hAnsi="Arial" w:cs="Arial"/>
          <w:sz w:val="18"/>
          <w:szCs w:val="16"/>
          <w:lang w:val="es-419"/>
        </w:rPr>
        <w:t>Página 173, expediente administrativo</w:t>
      </w:r>
    </w:p>
  </w:footnote>
  <w:footnote w:id="9">
    <w:p w14:paraId="70E9F266" w14:textId="77777777" w:rsidR="0089034A" w:rsidRPr="00F742AF" w:rsidRDefault="0089034A" w:rsidP="00F742AF">
      <w:pPr>
        <w:pStyle w:val="Textonotapie"/>
        <w:rPr>
          <w:rFonts w:ascii="Arial" w:hAnsi="Arial" w:cs="Arial"/>
          <w:sz w:val="18"/>
          <w:szCs w:val="16"/>
          <w:lang w:val="es-419"/>
        </w:rPr>
      </w:pPr>
      <w:r w:rsidRPr="00F742AF">
        <w:rPr>
          <w:rStyle w:val="Refdenotaalpie"/>
          <w:rFonts w:ascii="Arial" w:hAnsi="Arial" w:cs="Arial"/>
          <w:sz w:val="18"/>
          <w:szCs w:val="16"/>
        </w:rPr>
        <w:footnoteRef/>
      </w:r>
      <w:r w:rsidRPr="00F742AF">
        <w:rPr>
          <w:rFonts w:ascii="Arial" w:hAnsi="Arial" w:cs="Arial"/>
          <w:sz w:val="18"/>
          <w:szCs w:val="16"/>
        </w:rPr>
        <w:t xml:space="preserve"> </w:t>
      </w:r>
      <w:r w:rsidRPr="00F742AF">
        <w:rPr>
          <w:rFonts w:ascii="Arial" w:hAnsi="Arial" w:cs="Arial"/>
          <w:sz w:val="18"/>
          <w:szCs w:val="16"/>
          <w:lang w:val="es-419"/>
        </w:rPr>
        <w:t>Página 166, expediente administrativo</w:t>
      </w:r>
    </w:p>
  </w:footnote>
  <w:footnote w:id="10">
    <w:p w14:paraId="5A052399" w14:textId="77777777" w:rsidR="0089034A" w:rsidRPr="00F742AF" w:rsidRDefault="0089034A" w:rsidP="00F742AF">
      <w:pPr>
        <w:pStyle w:val="Textonotapie"/>
        <w:rPr>
          <w:rFonts w:ascii="Arial" w:hAnsi="Arial" w:cs="Arial"/>
          <w:sz w:val="18"/>
          <w:szCs w:val="16"/>
          <w:lang w:val="es-419"/>
        </w:rPr>
      </w:pPr>
      <w:r w:rsidRPr="00F742AF">
        <w:rPr>
          <w:rStyle w:val="Refdenotaalpie"/>
          <w:rFonts w:ascii="Arial" w:hAnsi="Arial" w:cs="Arial"/>
          <w:sz w:val="18"/>
          <w:szCs w:val="16"/>
        </w:rPr>
        <w:footnoteRef/>
      </w:r>
      <w:r w:rsidRPr="00F742AF">
        <w:rPr>
          <w:rFonts w:ascii="Arial" w:hAnsi="Arial" w:cs="Arial"/>
          <w:sz w:val="18"/>
          <w:szCs w:val="16"/>
        </w:rPr>
        <w:t xml:space="preserve"> </w:t>
      </w:r>
      <w:r w:rsidRPr="00F742AF">
        <w:rPr>
          <w:rFonts w:ascii="Arial" w:hAnsi="Arial" w:cs="Arial"/>
          <w:sz w:val="18"/>
          <w:szCs w:val="16"/>
          <w:lang w:val="es-419"/>
        </w:rPr>
        <w:t>Página 175, expediente administrativo</w:t>
      </w:r>
    </w:p>
  </w:footnote>
  <w:footnote w:id="11">
    <w:p w14:paraId="123377D5" w14:textId="77777777" w:rsidR="0089034A" w:rsidRPr="00F742AF" w:rsidRDefault="0089034A" w:rsidP="00F742AF">
      <w:pPr>
        <w:pStyle w:val="Textonotapie"/>
        <w:rPr>
          <w:rFonts w:ascii="Arial" w:hAnsi="Arial" w:cs="Arial"/>
          <w:sz w:val="18"/>
          <w:szCs w:val="16"/>
          <w:lang w:val="es-419"/>
        </w:rPr>
      </w:pPr>
      <w:r w:rsidRPr="00F742AF">
        <w:rPr>
          <w:rStyle w:val="Refdenotaalpie"/>
          <w:rFonts w:ascii="Arial" w:hAnsi="Arial" w:cs="Arial"/>
          <w:sz w:val="18"/>
          <w:szCs w:val="16"/>
        </w:rPr>
        <w:footnoteRef/>
      </w:r>
      <w:r w:rsidRPr="00F742AF">
        <w:rPr>
          <w:rFonts w:ascii="Arial" w:hAnsi="Arial" w:cs="Arial"/>
          <w:sz w:val="18"/>
          <w:szCs w:val="16"/>
        </w:rPr>
        <w:t xml:space="preserve"> </w:t>
      </w:r>
      <w:r w:rsidRPr="00F742AF">
        <w:rPr>
          <w:rFonts w:ascii="Arial" w:hAnsi="Arial" w:cs="Arial"/>
          <w:sz w:val="18"/>
          <w:szCs w:val="16"/>
          <w:lang w:val="es-419"/>
        </w:rPr>
        <w:t>Página 174, expediente administrativo</w:t>
      </w:r>
    </w:p>
  </w:footnote>
  <w:footnote w:id="12">
    <w:p w14:paraId="6D48C731" w14:textId="77777777" w:rsidR="0077275D" w:rsidRPr="00F742AF" w:rsidRDefault="0077275D" w:rsidP="00F742AF">
      <w:pPr>
        <w:pStyle w:val="Textonotapie"/>
        <w:rPr>
          <w:rFonts w:ascii="Arial" w:hAnsi="Arial" w:cs="Arial"/>
          <w:sz w:val="18"/>
          <w:szCs w:val="16"/>
          <w:lang w:val="es-419"/>
        </w:rPr>
      </w:pPr>
      <w:r w:rsidRPr="00F742AF">
        <w:rPr>
          <w:rStyle w:val="Refdenotaalpie"/>
          <w:rFonts w:ascii="Arial" w:hAnsi="Arial" w:cs="Arial"/>
          <w:sz w:val="18"/>
          <w:szCs w:val="16"/>
        </w:rPr>
        <w:footnoteRef/>
      </w:r>
      <w:r w:rsidRPr="00F742AF">
        <w:rPr>
          <w:rFonts w:ascii="Arial" w:hAnsi="Arial" w:cs="Arial"/>
          <w:sz w:val="18"/>
          <w:szCs w:val="16"/>
        </w:rPr>
        <w:t xml:space="preserve"> </w:t>
      </w:r>
      <w:r w:rsidRPr="00F742AF">
        <w:rPr>
          <w:rFonts w:ascii="Arial" w:hAnsi="Arial" w:cs="Arial"/>
          <w:sz w:val="18"/>
          <w:szCs w:val="16"/>
          <w:lang w:val="es-419"/>
        </w:rPr>
        <w:t>Página 180, expediente administrativo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0218F9" w14:textId="77777777" w:rsidR="0089034A" w:rsidRPr="00F742AF" w:rsidRDefault="0089034A" w:rsidP="00F742AF">
    <w:pPr>
      <w:tabs>
        <w:tab w:val="left" w:pos="284"/>
        <w:tab w:val="left" w:pos="1134"/>
      </w:tabs>
      <w:spacing w:line="240" w:lineRule="auto"/>
      <w:rPr>
        <w:rFonts w:ascii="Arial" w:hAnsi="Arial" w:cs="Arial"/>
        <w:sz w:val="18"/>
        <w:szCs w:val="14"/>
      </w:rPr>
    </w:pPr>
    <w:r w:rsidRPr="00F742AF">
      <w:rPr>
        <w:rFonts w:ascii="Arial" w:hAnsi="Arial" w:cs="Arial"/>
        <w:sz w:val="18"/>
        <w:szCs w:val="14"/>
      </w:rPr>
      <w:t xml:space="preserve">Radicación No.: </w:t>
    </w:r>
    <w:r w:rsidRPr="00F742AF">
      <w:rPr>
        <w:rFonts w:ascii="Arial" w:hAnsi="Arial" w:cs="Arial"/>
        <w:sz w:val="18"/>
        <w:szCs w:val="14"/>
      </w:rPr>
      <w:tab/>
      <w:t>66001-31-05-002-2018-00244-01</w:t>
    </w:r>
  </w:p>
  <w:p w14:paraId="4784AF32" w14:textId="4DE2F794" w:rsidR="0089034A" w:rsidRPr="00F742AF" w:rsidRDefault="0089034A" w:rsidP="00F742AF">
    <w:pPr>
      <w:tabs>
        <w:tab w:val="left" w:pos="284"/>
        <w:tab w:val="left" w:pos="1134"/>
      </w:tabs>
      <w:spacing w:line="240" w:lineRule="auto"/>
      <w:rPr>
        <w:rFonts w:ascii="Arial" w:hAnsi="Arial" w:cs="Arial"/>
        <w:sz w:val="18"/>
        <w:szCs w:val="14"/>
      </w:rPr>
    </w:pPr>
    <w:r w:rsidRPr="00F742AF">
      <w:rPr>
        <w:rFonts w:ascii="Arial" w:hAnsi="Arial" w:cs="Arial"/>
        <w:sz w:val="18"/>
        <w:szCs w:val="14"/>
      </w:rPr>
      <w:t xml:space="preserve">Proceso: </w:t>
    </w:r>
    <w:r w:rsidRPr="00F742AF">
      <w:rPr>
        <w:rFonts w:ascii="Arial" w:hAnsi="Arial" w:cs="Arial"/>
        <w:sz w:val="18"/>
        <w:szCs w:val="14"/>
      </w:rPr>
      <w:tab/>
    </w:r>
    <w:r w:rsidR="00F742AF">
      <w:rPr>
        <w:rFonts w:ascii="Arial" w:hAnsi="Arial" w:cs="Arial"/>
        <w:sz w:val="18"/>
        <w:szCs w:val="14"/>
      </w:rPr>
      <w:tab/>
    </w:r>
    <w:r w:rsidRPr="00F742AF">
      <w:rPr>
        <w:rFonts w:ascii="Arial" w:hAnsi="Arial" w:cs="Arial"/>
        <w:sz w:val="18"/>
        <w:szCs w:val="14"/>
      </w:rPr>
      <w:t xml:space="preserve">Ordinario Laboral </w:t>
    </w:r>
  </w:p>
  <w:p w14:paraId="4841E77B" w14:textId="1740CFF2" w:rsidR="0089034A" w:rsidRPr="00F742AF" w:rsidRDefault="0089034A" w:rsidP="00F742AF">
    <w:pPr>
      <w:tabs>
        <w:tab w:val="left" w:pos="284"/>
        <w:tab w:val="left" w:pos="1134"/>
      </w:tabs>
      <w:spacing w:line="240" w:lineRule="auto"/>
      <w:rPr>
        <w:rFonts w:ascii="Arial" w:hAnsi="Arial" w:cs="Arial"/>
        <w:sz w:val="18"/>
        <w:szCs w:val="14"/>
      </w:rPr>
    </w:pPr>
    <w:r w:rsidRPr="00F742AF">
      <w:rPr>
        <w:rFonts w:ascii="Arial" w:hAnsi="Arial" w:cs="Arial"/>
        <w:sz w:val="18"/>
        <w:szCs w:val="14"/>
      </w:rPr>
      <w:t>Demandante:</w:t>
    </w:r>
    <w:r w:rsidR="00F742AF">
      <w:rPr>
        <w:rFonts w:ascii="Arial" w:hAnsi="Arial" w:cs="Arial"/>
        <w:sz w:val="18"/>
        <w:szCs w:val="14"/>
      </w:rPr>
      <w:tab/>
    </w:r>
    <w:r w:rsidRPr="00F742AF">
      <w:rPr>
        <w:rFonts w:ascii="Arial" w:hAnsi="Arial" w:cs="Arial"/>
        <w:sz w:val="18"/>
        <w:szCs w:val="14"/>
      </w:rPr>
      <w:t xml:space="preserve"> </w:t>
    </w:r>
    <w:r w:rsidRPr="00F742AF">
      <w:rPr>
        <w:rFonts w:ascii="Arial" w:hAnsi="Arial" w:cs="Arial"/>
        <w:sz w:val="18"/>
        <w:szCs w:val="14"/>
      </w:rPr>
      <w:tab/>
      <w:t>Pedro José Calderón Cañas</w:t>
    </w:r>
  </w:p>
  <w:p w14:paraId="4E902F5A" w14:textId="2C762EF6" w:rsidR="0089034A" w:rsidRPr="00F742AF" w:rsidRDefault="0089034A" w:rsidP="00F742AF">
    <w:pPr>
      <w:tabs>
        <w:tab w:val="left" w:pos="284"/>
        <w:tab w:val="left" w:pos="1134"/>
      </w:tabs>
      <w:spacing w:line="240" w:lineRule="auto"/>
      <w:rPr>
        <w:rFonts w:ascii="Arial" w:hAnsi="Arial" w:cs="Arial"/>
        <w:sz w:val="18"/>
        <w:szCs w:val="14"/>
      </w:rPr>
    </w:pPr>
    <w:r w:rsidRPr="00F742AF">
      <w:rPr>
        <w:rFonts w:ascii="Arial" w:hAnsi="Arial" w:cs="Arial"/>
        <w:sz w:val="18"/>
        <w:szCs w:val="14"/>
      </w:rPr>
      <w:t xml:space="preserve">Demandado: </w:t>
    </w:r>
    <w:r w:rsidR="00F742AF">
      <w:rPr>
        <w:rFonts w:ascii="Arial" w:hAnsi="Arial" w:cs="Arial"/>
        <w:sz w:val="18"/>
        <w:szCs w:val="14"/>
      </w:rPr>
      <w:tab/>
    </w:r>
    <w:r w:rsidRPr="00F742AF">
      <w:rPr>
        <w:rFonts w:ascii="Arial" w:hAnsi="Arial" w:cs="Arial"/>
        <w:sz w:val="18"/>
        <w:szCs w:val="14"/>
      </w:rPr>
      <w:tab/>
      <w:t>Positiva S.A.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B0514A"/>
    <w:multiLevelType w:val="hybridMultilevel"/>
    <w:tmpl w:val="67989FC2"/>
    <w:lvl w:ilvl="0" w:tplc="0D4671C8">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4FA81A44"/>
    <w:multiLevelType w:val="multilevel"/>
    <w:tmpl w:val="D7440B4E"/>
    <w:lvl w:ilvl="0">
      <w:start w:val="1"/>
      <w:numFmt w:val="decimal"/>
      <w:lvlText w:val="%1."/>
      <w:lvlJc w:val="left"/>
      <w:pPr>
        <w:ind w:left="720" w:hanging="360"/>
      </w:pPr>
    </w:lvl>
    <w:lvl w:ilvl="1">
      <w:start w:val="1"/>
      <w:numFmt w:val="decimal"/>
      <w:isLgl/>
      <w:lvlText w:val="%1.%2."/>
      <w:lvlJc w:val="left"/>
      <w:pPr>
        <w:ind w:left="1080" w:hanging="720"/>
      </w:pPr>
      <w:rPr>
        <w:b/>
      </w:r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2">
    <w:nsid w:val="5D2D4D68"/>
    <w:multiLevelType w:val="multilevel"/>
    <w:tmpl w:val="79180EDE"/>
    <w:lvl w:ilvl="0">
      <w:start w:val="1"/>
      <w:numFmt w:val="decimal"/>
      <w:lvlText w:val="%1."/>
      <w:lvlJc w:val="left"/>
      <w:pPr>
        <w:ind w:left="720" w:hanging="360"/>
      </w:pPr>
      <w:rPr>
        <w:rFonts w:ascii="Tahoma" w:hAnsi="Tahoma" w:cs="Tahoma" w:hint="default"/>
      </w:rPr>
    </w:lvl>
    <w:lvl w:ilvl="1">
      <w:start w:val="1"/>
      <w:numFmt w:val="decimal"/>
      <w:isLgl/>
      <w:lvlText w:val="%1.%2."/>
      <w:lvlJc w:val="left"/>
      <w:pPr>
        <w:ind w:left="1080" w:hanging="720"/>
      </w:pPr>
      <w:rPr>
        <w:b/>
      </w:r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3">
    <w:nsid w:val="61072101"/>
    <w:multiLevelType w:val="multilevel"/>
    <w:tmpl w:val="FD9AAA1A"/>
    <w:lvl w:ilvl="0">
      <w:start w:val="1"/>
      <w:numFmt w:val="decimal"/>
      <w:lvlText w:val="%1."/>
      <w:lvlJc w:val="left"/>
      <w:pPr>
        <w:ind w:left="720" w:hanging="360"/>
      </w:pPr>
    </w:lvl>
    <w:lvl w:ilvl="1">
      <w:start w:val="1"/>
      <w:numFmt w:val="decimal"/>
      <w:isLgl/>
      <w:lvlText w:val="%1.%2."/>
      <w:lvlJc w:val="left"/>
      <w:pPr>
        <w:ind w:left="1080" w:hanging="720"/>
      </w:pPr>
      <w:rPr>
        <w:b/>
      </w:r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4">
    <w:nsid w:val="6CA1262F"/>
    <w:multiLevelType w:val="hybridMultilevel"/>
    <w:tmpl w:val="D7CE9364"/>
    <w:lvl w:ilvl="0" w:tplc="7FF2E190">
      <w:start w:val="1"/>
      <w:numFmt w:val="decimal"/>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5">
    <w:nsid w:val="739B5C5E"/>
    <w:multiLevelType w:val="hybridMultilevel"/>
    <w:tmpl w:val="5DACFA58"/>
    <w:lvl w:ilvl="0" w:tplc="A3B01D40">
      <w:start w:val="1"/>
      <w:numFmt w:val="decimal"/>
      <w:lvlText w:val="%1."/>
      <w:lvlJc w:val="left"/>
      <w:pPr>
        <w:ind w:left="360" w:hanging="360"/>
      </w:pPr>
      <w:rPr>
        <w:b/>
      </w:r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6">
    <w:nsid w:val="786B7801"/>
    <w:multiLevelType w:val="hybridMultilevel"/>
    <w:tmpl w:val="0AA6D38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6"/>
  </w:num>
  <w:num w:numId="5">
    <w:abstractNumId w:val="4"/>
  </w:num>
  <w:num w:numId="6">
    <w:abstractNumId w:val="3"/>
  </w:num>
  <w:num w:numId="7">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Olga Lucia Hoyos Sepulveda">
    <w15:presenceInfo w15:providerId="AD" w15:userId="S::ohoyoss@cendoj.ramajudicial.gov.co::47f5a66d-67f7-4b8c-8dec-7488f4ef6f36"/>
  </w15:person>
  <w15:person w15:author="Julio Cesar Salazar Muñoz">
    <w15:presenceInfo w15:providerId="AD" w15:userId="S::jsalazam@cendoj.ramajudicial.gov.co::0c1ad900-a666-453a-a3df-dd60b13d26e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9E9"/>
    <w:rsid w:val="00002638"/>
    <w:rsid w:val="00005F2F"/>
    <w:rsid w:val="00021A92"/>
    <w:rsid w:val="0005016A"/>
    <w:rsid w:val="00061570"/>
    <w:rsid w:val="00062816"/>
    <w:rsid w:val="0007470B"/>
    <w:rsid w:val="0008648D"/>
    <w:rsid w:val="000B5B1D"/>
    <w:rsid w:val="000C47C7"/>
    <w:rsid w:val="000C5B12"/>
    <w:rsid w:val="000C7878"/>
    <w:rsid w:val="000D214F"/>
    <w:rsid w:val="000D503F"/>
    <w:rsid w:val="000F41FC"/>
    <w:rsid w:val="000F75BE"/>
    <w:rsid w:val="0013528A"/>
    <w:rsid w:val="0014250C"/>
    <w:rsid w:val="00142C17"/>
    <w:rsid w:val="0014328E"/>
    <w:rsid w:val="00164853"/>
    <w:rsid w:val="00183AA5"/>
    <w:rsid w:val="00184E8E"/>
    <w:rsid w:val="00192736"/>
    <w:rsid w:val="001A4D95"/>
    <w:rsid w:val="001A7AE3"/>
    <w:rsid w:val="001D0146"/>
    <w:rsid w:val="00207E3C"/>
    <w:rsid w:val="00211A82"/>
    <w:rsid w:val="00234637"/>
    <w:rsid w:val="00252590"/>
    <w:rsid w:val="00273FE8"/>
    <w:rsid w:val="0027492B"/>
    <w:rsid w:val="00276BC3"/>
    <w:rsid w:val="002844A3"/>
    <w:rsid w:val="00285F4D"/>
    <w:rsid w:val="00297D15"/>
    <w:rsid w:val="002A1650"/>
    <w:rsid w:val="002A6B4F"/>
    <w:rsid w:val="002B1F8B"/>
    <w:rsid w:val="002B2524"/>
    <w:rsid w:val="002C3C82"/>
    <w:rsid w:val="002D19A3"/>
    <w:rsid w:val="002E45A4"/>
    <w:rsid w:val="002E593B"/>
    <w:rsid w:val="00335DCB"/>
    <w:rsid w:val="003540D0"/>
    <w:rsid w:val="00355DB3"/>
    <w:rsid w:val="00371518"/>
    <w:rsid w:val="0037650C"/>
    <w:rsid w:val="00392425"/>
    <w:rsid w:val="003949E4"/>
    <w:rsid w:val="00397763"/>
    <w:rsid w:val="003C2695"/>
    <w:rsid w:val="003C51FE"/>
    <w:rsid w:val="003C62A2"/>
    <w:rsid w:val="003C6975"/>
    <w:rsid w:val="003D5392"/>
    <w:rsid w:val="003F7DF0"/>
    <w:rsid w:val="00403FC4"/>
    <w:rsid w:val="00427EB1"/>
    <w:rsid w:val="00434BA2"/>
    <w:rsid w:val="004757EB"/>
    <w:rsid w:val="004804EA"/>
    <w:rsid w:val="00485232"/>
    <w:rsid w:val="00487013"/>
    <w:rsid w:val="00497100"/>
    <w:rsid w:val="004B19F3"/>
    <w:rsid w:val="004C169D"/>
    <w:rsid w:val="004C385A"/>
    <w:rsid w:val="004C4AB3"/>
    <w:rsid w:val="004E376B"/>
    <w:rsid w:val="004E3BBF"/>
    <w:rsid w:val="00534052"/>
    <w:rsid w:val="00547783"/>
    <w:rsid w:val="0056142D"/>
    <w:rsid w:val="005729F7"/>
    <w:rsid w:val="0057758C"/>
    <w:rsid w:val="005A7920"/>
    <w:rsid w:val="005B2229"/>
    <w:rsid w:val="005C365E"/>
    <w:rsid w:val="005C718B"/>
    <w:rsid w:val="005D30BF"/>
    <w:rsid w:val="005E7022"/>
    <w:rsid w:val="005F2B30"/>
    <w:rsid w:val="0060105E"/>
    <w:rsid w:val="006049E9"/>
    <w:rsid w:val="00612548"/>
    <w:rsid w:val="0063249F"/>
    <w:rsid w:val="006437E2"/>
    <w:rsid w:val="00651DAF"/>
    <w:rsid w:val="006817BF"/>
    <w:rsid w:val="00695630"/>
    <w:rsid w:val="006A6B6B"/>
    <w:rsid w:val="006A7BEB"/>
    <w:rsid w:val="006B2716"/>
    <w:rsid w:val="006B6244"/>
    <w:rsid w:val="006C6AD6"/>
    <w:rsid w:val="006C6FE6"/>
    <w:rsid w:val="006C7A02"/>
    <w:rsid w:val="006D2A29"/>
    <w:rsid w:val="006E3007"/>
    <w:rsid w:val="006E5DD5"/>
    <w:rsid w:val="006E7F2B"/>
    <w:rsid w:val="007159F8"/>
    <w:rsid w:val="007522AF"/>
    <w:rsid w:val="007649FD"/>
    <w:rsid w:val="0077275D"/>
    <w:rsid w:val="00776163"/>
    <w:rsid w:val="00786608"/>
    <w:rsid w:val="00790E08"/>
    <w:rsid w:val="0079481E"/>
    <w:rsid w:val="007A139D"/>
    <w:rsid w:val="007A3EE1"/>
    <w:rsid w:val="007A4777"/>
    <w:rsid w:val="007A4CF4"/>
    <w:rsid w:val="007D53EB"/>
    <w:rsid w:val="007D7AE2"/>
    <w:rsid w:val="007E2267"/>
    <w:rsid w:val="007F789B"/>
    <w:rsid w:val="00803A89"/>
    <w:rsid w:val="00820C73"/>
    <w:rsid w:val="0082441D"/>
    <w:rsid w:val="008452D4"/>
    <w:rsid w:val="00855828"/>
    <w:rsid w:val="008674C8"/>
    <w:rsid w:val="00871CE0"/>
    <w:rsid w:val="00880B41"/>
    <w:rsid w:val="00884311"/>
    <w:rsid w:val="0089034A"/>
    <w:rsid w:val="008A0C7F"/>
    <w:rsid w:val="008C21E7"/>
    <w:rsid w:val="008D1A84"/>
    <w:rsid w:val="008E72B9"/>
    <w:rsid w:val="009010C3"/>
    <w:rsid w:val="00901771"/>
    <w:rsid w:val="00901F16"/>
    <w:rsid w:val="00914C41"/>
    <w:rsid w:val="00920D81"/>
    <w:rsid w:val="00923034"/>
    <w:rsid w:val="00941AD5"/>
    <w:rsid w:val="00942638"/>
    <w:rsid w:val="009429D7"/>
    <w:rsid w:val="00957311"/>
    <w:rsid w:val="00973079"/>
    <w:rsid w:val="009737EF"/>
    <w:rsid w:val="00974184"/>
    <w:rsid w:val="009770BA"/>
    <w:rsid w:val="009A1B18"/>
    <w:rsid w:val="009A2682"/>
    <w:rsid w:val="009A5D42"/>
    <w:rsid w:val="009B262E"/>
    <w:rsid w:val="009B4745"/>
    <w:rsid w:val="009C1DAA"/>
    <w:rsid w:val="009E0DCA"/>
    <w:rsid w:val="009F1338"/>
    <w:rsid w:val="00A00C8E"/>
    <w:rsid w:val="00A070CB"/>
    <w:rsid w:val="00A157C1"/>
    <w:rsid w:val="00A24389"/>
    <w:rsid w:val="00A36ABD"/>
    <w:rsid w:val="00A520AE"/>
    <w:rsid w:val="00A54452"/>
    <w:rsid w:val="00A5522F"/>
    <w:rsid w:val="00A56237"/>
    <w:rsid w:val="00A76606"/>
    <w:rsid w:val="00A77FC8"/>
    <w:rsid w:val="00A90999"/>
    <w:rsid w:val="00AA2AF6"/>
    <w:rsid w:val="00AA3FFD"/>
    <w:rsid w:val="00AB4F5E"/>
    <w:rsid w:val="00AC33D8"/>
    <w:rsid w:val="00AC4902"/>
    <w:rsid w:val="00AE4189"/>
    <w:rsid w:val="00B01C2A"/>
    <w:rsid w:val="00B02848"/>
    <w:rsid w:val="00B04F97"/>
    <w:rsid w:val="00B27E06"/>
    <w:rsid w:val="00B32404"/>
    <w:rsid w:val="00B3400F"/>
    <w:rsid w:val="00B43076"/>
    <w:rsid w:val="00B51D54"/>
    <w:rsid w:val="00B662F8"/>
    <w:rsid w:val="00B858B2"/>
    <w:rsid w:val="00B95CA3"/>
    <w:rsid w:val="00B9689B"/>
    <w:rsid w:val="00BA6892"/>
    <w:rsid w:val="00BC35D9"/>
    <w:rsid w:val="00BD2A32"/>
    <w:rsid w:val="00BD59F5"/>
    <w:rsid w:val="00BE0281"/>
    <w:rsid w:val="00BE0C08"/>
    <w:rsid w:val="00BE43CC"/>
    <w:rsid w:val="00C16FE2"/>
    <w:rsid w:val="00C223E4"/>
    <w:rsid w:val="00C27593"/>
    <w:rsid w:val="00C30137"/>
    <w:rsid w:val="00C3718C"/>
    <w:rsid w:val="00C506D3"/>
    <w:rsid w:val="00C5071D"/>
    <w:rsid w:val="00C549A5"/>
    <w:rsid w:val="00C63A04"/>
    <w:rsid w:val="00C73DE5"/>
    <w:rsid w:val="00C74D8B"/>
    <w:rsid w:val="00C928C8"/>
    <w:rsid w:val="00C932FE"/>
    <w:rsid w:val="00CF0798"/>
    <w:rsid w:val="00CF1E29"/>
    <w:rsid w:val="00CF77B6"/>
    <w:rsid w:val="00D240E0"/>
    <w:rsid w:val="00D40B05"/>
    <w:rsid w:val="00D45DC6"/>
    <w:rsid w:val="00D56D53"/>
    <w:rsid w:val="00D6292B"/>
    <w:rsid w:val="00D74BB5"/>
    <w:rsid w:val="00D74D5B"/>
    <w:rsid w:val="00D839D0"/>
    <w:rsid w:val="00D8654A"/>
    <w:rsid w:val="00DB4D17"/>
    <w:rsid w:val="00DC0C8A"/>
    <w:rsid w:val="00DC4963"/>
    <w:rsid w:val="00DC637B"/>
    <w:rsid w:val="00DE206F"/>
    <w:rsid w:val="00DF4C37"/>
    <w:rsid w:val="00E05F1D"/>
    <w:rsid w:val="00E17F7B"/>
    <w:rsid w:val="00E22148"/>
    <w:rsid w:val="00E25A62"/>
    <w:rsid w:val="00E41B8E"/>
    <w:rsid w:val="00E62F20"/>
    <w:rsid w:val="00E716EC"/>
    <w:rsid w:val="00E76BF4"/>
    <w:rsid w:val="00E86D6F"/>
    <w:rsid w:val="00E92829"/>
    <w:rsid w:val="00E9451E"/>
    <w:rsid w:val="00EA4B1E"/>
    <w:rsid w:val="00EC409E"/>
    <w:rsid w:val="00EC6EAB"/>
    <w:rsid w:val="00ED705A"/>
    <w:rsid w:val="00F24418"/>
    <w:rsid w:val="00F250ED"/>
    <w:rsid w:val="00F4739C"/>
    <w:rsid w:val="00F53720"/>
    <w:rsid w:val="00F62554"/>
    <w:rsid w:val="00F742AF"/>
    <w:rsid w:val="00F97CEC"/>
    <w:rsid w:val="00FA0996"/>
    <w:rsid w:val="00FA0DF9"/>
    <w:rsid w:val="00FB635A"/>
    <w:rsid w:val="00FD7F6F"/>
    <w:rsid w:val="00FF5D82"/>
    <w:rsid w:val="01D82D07"/>
    <w:rsid w:val="0250F4F9"/>
    <w:rsid w:val="0330A527"/>
    <w:rsid w:val="066213B4"/>
    <w:rsid w:val="06AFC177"/>
    <w:rsid w:val="06B8784B"/>
    <w:rsid w:val="09A0730C"/>
    <w:rsid w:val="1200DABE"/>
    <w:rsid w:val="13475552"/>
    <w:rsid w:val="14D1B0FC"/>
    <w:rsid w:val="14E454A3"/>
    <w:rsid w:val="1555E31E"/>
    <w:rsid w:val="1679CAFA"/>
    <w:rsid w:val="1812366C"/>
    <w:rsid w:val="187458A8"/>
    <w:rsid w:val="1AC1668D"/>
    <w:rsid w:val="1B5C9620"/>
    <w:rsid w:val="1DE1FA8B"/>
    <w:rsid w:val="1EFEBDCD"/>
    <w:rsid w:val="210072F0"/>
    <w:rsid w:val="23457FAF"/>
    <w:rsid w:val="23E34412"/>
    <w:rsid w:val="252EFDD3"/>
    <w:rsid w:val="276FB474"/>
    <w:rsid w:val="29E5234C"/>
    <w:rsid w:val="2AA66EC2"/>
    <w:rsid w:val="2ABAC1FA"/>
    <w:rsid w:val="2B870F67"/>
    <w:rsid w:val="2C19FA7E"/>
    <w:rsid w:val="30272D34"/>
    <w:rsid w:val="33A62A0E"/>
    <w:rsid w:val="3619862B"/>
    <w:rsid w:val="36C4A273"/>
    <w:rsid w:val="37DCC0FC"/>
    <w:rsid w:val="39B1B945"/>
    <w:rsid w:val="3AA57F93"/>
    <w:rsid w:val="3C8EFDB7"/>
    <w:rsid w:val="413C9495"/>
    <w:rsid w:val="424C6B2B"/>
    <w:rsid w:val="429A7B19"/>
    <w:rsid w:val="441CEBE5"/>
    <w:rsid w:val="457899D0"/>
    <w:rsid w:val="4808C675"/>
    <w:rsid w:val="496D80BF"/>
    <w:rsid w:val="4B024B0E"/>
    <w:rsid w:val="4CBAA981"/>
    <w:rsid w:val="4DB880AB"/>
    <w:rsid w:val="5225666A"/>
    <w:rsid w:val="529D4F28"/>
    <w:rsid w:val="5316B2CB"/>
    <w:rsid w:val="54AD0C38"/>
    <w:rsid w:val="5653F14D"/>
    <w:rsid w:val="57EC9A80"/>
    <w:rsid w:val="587B7F91"/>
    <w:rsid w:val="5894A7EE"/>
    <w:rsid w:val="5CC332D1"/>
    <w:rsid w:val="5DF525A4"/>
    <w:rsid w:val="602C4DFF"/>
    <w:rsid w:val="6034B5CE"/>
    <w:rsid w:val="62930C74"/>
    <w:rsid w:val="65494211"/>
    <w:rsid w:val="67E2D757"/>
    <w:rsid w:val="687570B6"/>
    <w:rsid w:val="689990E1"/>
    <w:rsid w:val="7248C813"/>
    <w:rsid w:val="72876254"/>
    <w:rsid w:val="74A69F66"/>
    <w:rsid w:val="762D482D"/>
    <w:rsid w:val="7B6422F0"/>
    <w:rsid w:val="7C151C3D"/>
    <w:rsid w:val="7CBB69C0"/>
    <w:rsid w:val="7FA7575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1B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heme="minorHAnsi" w:hAnsi="Tahoma" w:cstheme="minorBidi"/>
        <w:sz w:val="24"/>
        <w:szCs w:val="22"/>
        <w:lang w:val="es-CO"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6049E9"/>
    <w:rPr>
      <w:color w:val="0000FF"/>
      <w:u w:val="single"/>
    </w:rPr>
  </w:style>
  <w:style w:type="paragraph" w:styleId="Encabezado">
    <w:name w:val="header"/>
    <w:basedOn w:val="Normal"/>
    <w:link w:val="EncabezadoCar"/>
    <w:uiPriority w:val="99"/>
    <w:unhideWhenUsed/>
    <w:rsid w:val="00DE206F"/>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DE206F"/>
  </w:style>
  <w:style w:type="paragraph" w:styleId="Piedepgina">
    <w:name w:val="footer"/>
    <w:basedOn w:val="Normal"/>
    <w:link w:val="PiedepginaCar"/>
    <w:uiPriority w:val="99"/>
    <w:unhideWhenUsed/>
    <w:rsid w:val="00DE206F"/>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DE206F"/>
  </w:style>
  <w:style w:type="paragraph" w:styleId="Prrafodelista">
    <w:name w:val="List Paragraph"/>
    <w:basedOn w:val="Normal"/>
    <w:uiPriority w:val="34"/>
    <w:qFormat/>
    <w:rsid w:val="00DE206F"/>
    <w:pPr>
      <w:ind w:left="720"/>
      <w:contextualSpacing/>
    </w:pPr>
    <w:rPr>
      <w:rFonts w:ascii="Arial" w:hAnsi="Arial"/>
      <w:szCs w:val="24"/>
    </w:rPr>
  </w:style>
  <w:style w:type="paragraph" w:customStyle="1" w:styleId="Poromisin">
    <w:name w:val="Por omisión"/>
    <w:rsid w:val="00DE206F"/>
    <w:pPr>
      <w:spacing w:line="276" w:lineRule="auto"/>
      <w:ind w:firstLine="709"/>
    </w:pPr>
    <w:rPr>
      <w:rFonts w:eastAsia="Arial Unicode MS" w:cs="Arial Unicode MS"/>
      <w:color w:val="000000"/>
      <w:sz w:val="22"/>
      <w:lang w:val="es-ES_tradnl" w:eastAsia="es-ES"/>
    </w:rPr>
  </w:style>
  <w:style w:type="paragraph" w:customStyle="1" w:styleId="paragraph">
    <w:name w:val="paragraph"/>
    <w:basedOn w:val="Normal"/>
    <w:rsid w:val="00DE206F"/>
    <w:pPr>
      <w:spacing w:before="100" w:beforeAutospacing="1" w:after="100" w:afterAutospacing="1"/>
      <w:jc w:val="left"/>
    </w:pPr>
    <w:rPr>
      <w:rFonts w:ascii="Times New Roman" w:eastAsia="Times New Roman" w:hAnsi="Times New Roman" w:cs="Times New Roman"/>
      <w:szCs w:val="24"/>
      <w:lang w:eastAsia="es-ES_tradnl"/>
    </w:rPr>
  </w:style>
  <w:style w:type="character" w:styleId="Refdenotaalpie">
    <w:name w:val="footnote reference"/>
    <w:aliases w:val="Texto nota pie Car2,Texto nota pie Car Car1,Footnote Text Char Char Char Char Char Car2,Footnote Text Char Char Char Char Car2,Ref. de nota al pie1 Car1,FA Fu Car2,Footnote Text Char Char Char Car1,Footnote Text Char Car2,FC,Ref,f"/>
    <w:basedOn w:val="Fuentedeprrafopredeter"/>
    <w:uiPriority w:val="99"/>
    <w:semiHidden/>
    <w:unhideWhenUsed/>
    <w:rsid w:val="00DE206F"/>
    <w:rPr>
      <w:vertAlign w:val="superscript"/>
    </w:rPr>
  </w:style>
  <w:style w:type="character" w:customStyle="1" w:styleId="normaltextrun">
    <w:name w:val="normaltextrun"/>
    <w:basedOn w:val="Fuentedeprrafopredeter"/>
    <w:rsid w:val="00DE206F"/>
  </w:style>
  <w:style w:type="character" w:customStyle="1" w:styleId="eop">
    <w:name w:val="eop"/>
    <w:basedOn w:val="Fuentedeprrafopredeter"/>
    <w:rsid w:val="00DE206F"/>
  </w:style>
  <w:style w:type="paragraph" w:styleId="Textodeglobo">
    <w:name w:val="Balloon Text"/>
    <w:basedOn w:val="Normal"/>
    <w:link w:val="TextodegloboCar"/>
    <w:uiPriority w:val="99"/>
    <w:semiHidden/>
    <w:unhideWhenUsed/>
    <w:rsid w:val="008452D4"/>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452D4"/>
    <w:rPr>
      <w:rFonts w:ascii="Segoe UI" w:hAnsi="Segoe UI" w:cs="Segoe UI"/>
      <w:sz w:val="18"/>
      <w:szCs w:val="18"/>
    </w:rPr>
  </w:style>
  <w:style w:type="paragraph" w:styleId="Textonotapie">
    <w:name w:val="footnote text"/>
    <w:basedOn w:val="Normal"/>
    <w:link w:val="TextonotapieCar"/>
    <w:uiPriority w:val="99"/>
    <w:semiHidden/>
    <w:unhideWhenUsed/>
    <w:rsid w:val="005C365E"/>
    <w:pPr>
      <w:spacing w:line="240" w:lineRule="auto"/>
    </w:pPr>
    <w:rPr>
      <w:sz w:val="20"/>
      <w:szCs w:val="20"/>
    </w:rPr>
  </w:style>
  <w:style w:type="character" w:customStyle="1" w:styleId="TextonotapieCar">
    <w:name w:val="Texto nota pie Car"/>
    <w:basedOn w:val="Fuentedeprrafopredeter"/>
    <w:link w:val="Textonotapie"/>
    <w:uiPriority w:val="99"/>
    <w:semiHidden/>
    <w:rsid w:val="005C365E"/>
    <w:rPr>
      <w:sz w:val="20"/>
      <w:szCs w:val="20"/>
    </w:rPr>
  </w:style>
  <w:style w:type="character" w:customStyle="1" w:styleId="SinespaciadoCar">
    <w:name w:val="Sin espaciado Car"/>
    <w:link w:val="Sinespaciado"/>
    <w:uiPriority w:val="1"/>
    <w:locked/>
    <w:rsid w:val="00002638"/>
  </w:style>
  <w:style w:type="paragraph" w:styleId="Sinespaciado">
    <w:name w:val="No Spacing"/>
    <w:link w:val="SinespaciadoCar"/>
    <w:uiPriority w:val="1"/>
    <w:qFormat/>
    <w:rsid w:val="00002638"/>
    <w:pPr>
      <w:spacing w:line="240" w:lineRule="auto"/>
      <w:jc w:val="left"/>
    </w:pPr>
  </w:style>
  <w:style w:type="paragraph" w:customStyle="1" w:styleId="Prrafodelista2">
    <w:name w:val="Párrafo de lista2"/>
    <w:basedOn w:val="Normal"/>
    <w:rsid w:val="00002638"/>
    <w:pPr>
      <w:spacing w:after="200" w:line="276" w:lineRule="auto"/>
      <w:ind w:left="720"/>
      <w:contextualSpacing/>
      <w:jc w:val="left"/>
    </w:pPr>
    <w:rPr>
      <w:rFonts w:ascii="Calibri" w:eastAsia="Times New Roman" w:hAnsi="Calibri" w:cs="Times New Roman"/>
      <w:sz w:val="22"/>
    </w:rPr>
  </w:style>
  <w:style w:type="character" w:styleId="Refdecomentario">
    <w:name w:val="annotation reference"/>
    <w:basedOn w:val="Fuentedeprrafopredeter"/>
    <w:uiPriority w:val="99"/>
    <w:semiHidden/>
    <w:unhideWhenUsed/>
    <w:rsid w:val="00C549A5"/>
    <w:rPr>
      <w:sz w:val="16"/>
      <w:szCs w:val="16"/>
    </w:rPr>
  </w:style>
  <w:style w:type="paragraph" w:styleId="Textocomentario">
    <w:name w:val="annotation text"/>
    <w:basedOn w:val="Normal"/>
    <w:link w:val="TextocomentarioCar"/>
    <w:uiPriority w:val="99"/>
    <w:semiHidden/>
    <w:unhideWhenUsed/>
    <w:rsid w:val="00C549A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549A5"/>
    <w:rPr>
      <w:sz w:val="20"/>
      <w:szCs w:val="20"/>
    </w:rPr>
  </w:style>
  <w:style w:type="paragraph" w:styleId="Asuntodelcomentario">
    <w:name w:val="annotation subject"/>
    <w:basedOn w:val="Textocomentario"/>
    <w:next w:val="Textocomentario"/>
    <w:link w:val="AsuntodelcomentarioCar"/>
    <w:uiPriority w:val="99"/>
    <w:semiHidden/>
    <w:unhideWhenUsed/>
    <w:rsid w:val="00C549A5"/>
    <w:rPr>
      <w:b/>
      <w:bCs/>
    </w:rPr>
  </w:style>
  <w:style w:type="character" w:customStyle="1" w:styleId="AsuntodelcomentarioCar">
    <w:name w:val="Asunto del comentario Car"/>
    <w:basedOn w:val="TextocomentarioCar"/>
    <w:link w:val="Asuntodelcomentario"/>
    <w:uiPriority w:val="99"/>
    <w:semiHidden/>
    <w:rsid w:val="00C549A5"/>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heme="minorHAnsi" w:hAnsi="Tahoma" w:cstheme="minorBidi"/>
        <w:sz w:val="24"/>
        <w:szCs w:val="22"/>
        <w:lang w:val="es-CO"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6049E9"/>
    <w:rPr>
      <w:color w:val="0000FF"/>
      <w:u w:val="single"/>
    </w:rPr>
  </w:style>
  <w:style w:type="paragraph" w:styleId="Encabezado">
    <w:name w:val="header"/>
    <w:basedOn w:val="Normal"/>
    <w:link w:val="EncabezadoCar"/>
    <w:uiPriority w:val="99"/>
    <w:unhideWhenUsed/>
    <w:rsid w:val="00DE206F"/>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DE206F"/>
  </w:style>
  <w:style w:type="paragraph" w:styleId="Piedepgina">
    <w:name w:val="footer"/>
    <w:basedOn w:val="Normal"/>
    <w:link w:val="PiedepginaCar"/>
    <w:uiPriority w:val="99"/>
    <w:unhideWhenUsed/>
    <w:rsid w:val="00DE206F"/>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DE206F"/>
  </w:style>
  <w:style w:type="paragraph" w:styleId="Prrafodelista">
    <w:name w:val="List Paragraph"/>
    <w:basedOn w:val="Normal"/>
    <w:uiPriority w:val="34"/>
    <w:qFormat/>
    <w:rsid w:val="00DE206F"/>
    <w:pPr>
      <w:ind w:left="720"/>
      <w:contextualSpacing/>
    </w:pPr>
    <w:rPr>
      <w:rFonts w:ascii="Arial" w:hAnsi="Arial"/>
      <w:szCs w:val="24"/>
    </w:rPr>
  </w:style>
  <w:style w:type="paragraph" w:customStyle="1" w:styleId="Poromisin">
    <w:name w:val="Por omisión"/>
    <w:rsid w:val="00DE206F"/>
    <w:pPr>
      <w:spacing w:line="276" w:lineRule="auto"/>
      <w:ind w:firstLine="709"/>
    </w:pPr>
    <w:rPr>
      <w:rFonts w:eastAsia="Arial Unicode MS" w:cs="Arial Unicode MS"/>
      <w:color w:val="000000"/>
      <w:sz w:val="22"/>
      <w:lang w:val="es-ES_tradnl" w:eastAsia="es-ES"/>
    </w:rPr>
  </w:style>
  <w:style w:type="paragraph" w:customStyle="1" w:styleId="paragraph">
    <w:name w:val="paragraph"/>
    <w:basedOn w:val="Normal"/>
    <w:rsid w:val="00DE206F"/>
    <w:pPr>
      <w:spacing w:before="100" w:beforeAutospacing="1" w:after="100" w:afterAutospacing="1"/>
      <w:jc w:val="left"/>
    </w:pPr>
    <w:rPr>
      <w:rFonts w:ascii="Times New Roman" w:eastAsia="Times New Roman" w:hAnsi="Times New Roman" w:cs="Times New Roman"/>
      <w:szCs w:val="24"/>
      <w:lang w:eastAsia="es-ES_tradnl"/>
    </w:rPr>
  </w:style>
  <w:style w:type="character" w:styleId="Refdenotaalpie">
    <w:name w:val="footnote reference"/>
    <w:aliases w:val="Texto nota pie Car2,Texto nota pie Car Car1,Footnote Text Char Char Char Char Char Car2,Footnote Text Char Char Char Char Car2,Ref. de nota al pie1 Car1,FA Fu Car2,Footnote Text Char Char Char Car1,Footnote Text Char Car2,FC,Ref,f"/>
    <w:basedOn w:val="Fuentedeprrafopredeter"/>
    <w:uiPriority w:val="99"/>
    <w:semiHidden/>
    <w:unhideWhenUsed/>
    <w:rsid w:val="00DE206F"/>
    <w:rPr>
      <w:vertAlign w:val="superscript"/>
    </w:rPr>
  </w:style>
  <w:style w:type="character" w:customStyle="1" w:styleId="normaltextrun">
    <w:name w:val="normaltextrun"/>
    <w:basedOn w:val="Fuentedeprrafopredeter"/>
    <w:rsid w:val="00DE206F"/>
  </w:style>
  <w:style w:type="character" w:customStyle="1" w:styleId="eop">
    <w:name w:val="eop"/>
    <w:basedOn w:val="Fuentedeprrafopredeter"/>
    <w:rsid w:val="00DE206F"/>
  </w:style>
  <w:style w:type="paragraph" w:styleId="Textodeglobo">
    <w:name w:val="Balloon Text"/>
    <w:basedOn w:val="Normal"/>
    <w:link w:val="TextodegloboCar"/>
    <w:uiPriority w:val="99"/>
    <w:semiHidden/>
    <w:unhideWhenUsed/>
    <w:rsid w:val="008452D4"/>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452D4"/>
    <w:rPr>
      <w:rFonts w:ascii="Segoe UI" w:hAnsi="Segoe UI" w:cs="Segoe UI"/>
      <w:sz w:val="18"/>
      <w:szCs w:val="18"/>
    </w:rPr>
  </w:style>
  <w:style w:type="paragraph" w:styleId="Textonotapie">
    <w:name w:val="footnote text"/>
    <w:basedOn w:val="Normal"/>
    <w:link w:val="TextonotapieCar"/>
    <w:uiPriority w:val="99"/>
    <w:semiHidden/>
    <w:unhideWhenUsed/>
    <w:rsid w:val="005C365E"/>
    <w:pPr>
      <w:spacing w:line="240" w:lineRule="auto"/>
    </w:pPr>
    <w:rPr>
      <w:sz w:val="20"/>
      <w:szCs w:val="20"/>
    </w:rPr>
  </w:style>
  <w:style w:type="character" w:customStyle="1" w:styleId="TextonotapieCar">
    <w:name w:val="Texto nota pie Car"/>
    <w:basedOn w:val="Fuentedeprrafopredeter"/>
    <w:link w:val="Textonotapie"/>
    <w:uiPriority w:val="99"/>
    <w:semiHidden/>
    <w:rsid w:val="005C365E"/>
    <w:rPr>
      <w:sz w:val="20"/>
      <w:szCs w:val="20"/>
    </w:rPr>
  </w:style>
  <w:style w:type="character" w:customStyle="1" w:styleId="SinespaciadoCar">
    <w:name w:val="Sin espaciado Car"/>
    <w:link w:val="Sinespaciado"/>
    <w:uiPriority w:val="1"/>
    <w:locked/>
    <w:rsid w:val="00002638"/>
  </w:style>
  <w:style w:type="paragraph" w:styleId="Sinespaciado">
    <w:name w:val="No Spacing"/>
    <w:link w:val="SinespaciadoCar"/>
    <w:uiPriority w:val="1"/>
    <w:qFormat/>
    <w:rsid w:val="00002638"/>
    <w:pPr>
      <w:spacing w:line="240" w:lineRule="auto"/>
      <w:jc w:val="left"/>
    </w:pPr>
  </w:style>
  <w:style w:type="paragraph" w:customStyle="1" w:styleId="Prrafodelista2">
    <w:name w:val="Párrafo de lista2"/>
    <w:basedOn w:val="Normal"/>
    <w:rsid w:val="00002638"/>
    <w:pPr>
      <w:spacing w:after="200" w:line="276" w:lineRule="auto"/>
      <w:ind w:left="720"/>
      <w:contextualSpacing/>
      <w:jc w:val="left"/>
    </w:pPr>
    <w:rPr>
      <w:rFonts w:ascii="Calibri" w:eastAsia="Times New Roman" w:hAnsi="Calibri" w:cs="Times New Roman"/>
      <w:sz w:val="22"/>
    </w:rPr>
  </w:style>
  <w:style w:type="character" w:styleId="Refdecomentario">
    <w:name w:val="annotation reference"/>
    <w:basedOn w:val="Fuentedeprrafopredeter"/>
    <w:uiPriority w:val="99"/>
    <w:semiHidden/>
    <w:unhideWhenUsed/>
    <w:rsid w:val="00C549A5"/>
    <w:rPr>
      <w:sz w:val="16"/>
      <w:szCs w:val="16"/>
    </w:rPr>
  </w:style>
  <w:style w:type="paragraph" w:styleId="Textocomentario">
    <w:name w:val="annotation text"/>
    <w:basedOn w:val="Normal"/>
    <w:link w:val="TextocomentarioCar"/>
    <w:uiPriority w:val="99"/>
    <w:semiHidden/>
    <w:unhideWhenUsed/>
    <w:rsid w:val="00C549A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549A5"/>
    <w:rPr>
      <w:sz w:val="20"/>
      <w:szCs w:val="20"/>
    </w:rPr>
  </w:style>
  <w:style w:type="paragraph" w:styleId="Asuntodelcomentario">
    <w:name w:val="annotation subject"/>
    <w:basedOn w:val="Textocomentario"/>
    <w:next w:val="Textocomentario"/>
    <w:link w:val="AsuntodelcomentarioCar"/>
    <w:uiPriority w:val="99"/>
    <w:semiHidden/>
    <w:unhideWhenUsed/>
    <w:rsid w:val="00C549A5"/>
    <w:rPr>
      <w:b/>
      <w:bCs/>
    </w:rPr>
  </w:style>
  <w:style w:type="character" w:customStyle="1" w:styleId="AsuntodelcomentarioCar">
    <w:name w:val="Asunto del comentario Car"/>
    <w:basedOn w:val="TextocomentarioCar"/>
    <w:link w:val="Asuntodelcomentario"/>
    <w:uiPriority w:val="99"/>
    <w:semiHidden/>
    <w:rsid w:val="00C549A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838253">
      <w:bodyDiv w:val="1"/>
      <w:marLeft w:val="0"/>
      <w:marRight w:val="0"/>
      <w:marTop w:val="0"/>
      <w:marBottom w:val="0"/>
      <w:divBdr>
        <w:top w:val="none" w:sz="0" w:space="0" w:color="auto"/>
        <w:left w:val="none" w:sz="0" w:space="0" w:color="auto"/>
        <w:bottom w:val="none" w:sz="0" w:space="0" w:color="auto"/>
        <w:right w:val="none" w:sz="0" w:space="0" w:color="auto"/>
      </w:divBdr>
    </w:div>
    <w:div w:id="62483646">
      <w:bodyDiv w:val="1"/>
      <w:marLeft w:val="0"/>
      <w:marRight w:val="0"/>
      <w:marTop w:val="0"/>
      <w:marBottom w:val="0"/>
      <w:divBdr>
        <w:top w:val="none" w:sz="0" w:space="0" w:color="auto"/>
        <w:left w:val="none" w:sz="0" w:space="0" w:color="auto"/>
        <w:bottom w:val="none" w:sz="0" w:space="0" w:color="auto"/>
        <w:right w:val="none" w:sz="0" w:space="0" w:color="auto"/>
      </w:divBdr>
    </w:div>
    <w:div w:id="90128583">
      <w:bodyDiv w:val="1"/>
      <w:marLeft w:val="0"/>
      <w:marRight w:val="0"/>
      <w:marTop w:val="0"/>
      <w:marBottom w:val="0"/>
      <w:divBdr>
        <w:top w:val="none" w:sz="0" w:space="0" w:color="auto"/>
        <w:left w:val="none" w:sz="0" w:space="0" w:color="auto"/>
        <w:bottom w:val="none" w:sz="0" w:space="0" w:color="auto"/>
        <w:right w:val="none" w:sz="0" w:space="0" w:color="auto"/>
      </w:divBdr>
    </w:div>
    <w:div w:id="459153733">
      <w:bodyDiv w:val="1"/>
      <w:marLeft w:val="0"/>
      <w:marRight w:val="0"/>
      <w:marTop w:val="0"/>
      <w:marBottom w:val="0"/>
      <w:divBdr>
        <w:top w:val="none" w:sz="0" w:space="0" w:color="auto"/>
        <w:left w:val="none" w:sz="0" w:space="0" w:color="auto"/>
        <w:bottom w:val="none" w:sz="0" w:space="0" w:color="auto"/>
        <w:right w:val="none" w:sz="0" w:space="0" w:color="auto"/>
      </w:divBdr>
    </w:div>
    <w:div w:id="1045452039">
      <w:bodyDiv w:val="1"/>
      <w:marLeft w:val="0"/>
      <w:marRight w:val="0"/>
      <w:marTop w:val="0"/>
      <w:marBottom w:val="0"/>
      <w:divBdr>
        <w:top w:val="none" w:sz="0" w:space="0" w:color="auto"/>
        <w:left w:val="none" w:sz="0" w:space="0" w:color="auto"/>
        <w:bottom w:val="none" w:sz="0" w:space="0" w:color="auto"/>
        <w:right w:val="none" w:sz="0" w:space="0" w:color="auto"/>
      </w:divBdr>
    </w:div>
    <w:div w:id="1323385598">
      <w:bodyDiv w:val="1"/>
      <w:marLeft w:val="0"/>
      <w:marRight w:val="0"/>
      <w:marTop w:val="0"/>
      <w:marBottom w:val="0"/>
      <w:divBdr>
        <w:top w:val="none" w:sz="0" w:space="0" w:color="auto"/>
        <w:left w:val="none" w:sz="0" w:space="0" w:color="auto"/>
        <w:bottom w:val="none" w:sz="0" w:space="0" w:color="auto"/>
        <w:right w:val="none" w:sz="0" w:space="0" w:color="auto"/>
      </w:divBdr>
    </w:div>
    <w:div w:id="1894464077">
      <w:bodyDiv w:val="1"/>
      <w:marLeft w:val="0"/>
      <w:marRight w:val="0"/>
      <w:marTop w:val="0"/>
      <w:marBottom w:val="0"/>
      <w:divBdr>
        <w:top w:val="none" w:sz="0" w:space="0" w:color="auto"/>
        <w:left w:val="none" w:sz="0" w:space="0" w:color="auto"/>
        <w:bottom w:val="none" w:sz="0" w:space="0" w:color="auto"/>
        <w:right w:val="none" w:sz="0" w:space="0" w:color="auto"/>
      </w:divBdr>
    </w:div>
    <w:div w:id="1963731641">
      <w:bodyDiv w:val="1"/>
      <w:marLeft w:val="0"/>
      <w:marRight w:val="0"/>
      <w:marTop w:val="0"/>
      <w:marBottom w:val="0"/>
      <w:divBdr>
        <w:top w:val="none" w:sz="0" w:space="0" w:color="auto"/>
        <w:left w:val="none" w:sz="0" w:space="0" w:color="auto"/>
        <w:bottom w:val="none" w:sz="0" w:space="0" w:color="auto"/>
        <w:right w:val="none" w:sz="0" w:space="0" w:color="auto"/>
      </w:divBdr>
    </w:div>
    <w:div w:id="1968848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secretariasenado.gov.co/senado/basedoc/ley/1993/ley_0100_1993_pr002.html" TargetMode="External"/><Relationship Id="rId18" Type="http://schemas.microsoft.com/office/2016/09/relationships/commentsIds" Target="commentsIds.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secretariasenado.gov.co/senado/basedoc/ley/1993/ley_0100_1993_pr001.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microsoft.com/office/2011/relationships/commentsExtended" Target="commentsExtended.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2dd753f6e7c14a2c" Type="http://schemas.microsoft.com/office/2018/08/relationships/commentsExtensible" Target="commentsExtensi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EE391AA6E7E74B8C8815FA12ECA57C" ma:contentTypeVersion="10" ma:contentTypeDescription="Create a new document." ma:contentTypeScope="" ma:versionID="8bef0c32deef39501d5ffb8d7e8acc09">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8ad9a7663d52c41f2b4a54577f4dc0c5"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3425D9-71A6-4442-BBD5-7EAC4190DB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97EBF29-81D9-452D-87C1-146C1659283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8F8EF9C-F30A-43B8-9693-2A1E081E1884}">
  <ds:schemaRefs>
    <ds:schemaRef ds:uri="http://schemas.microsoft.com/sharepoint/v3/contenttype/forms"/>
  </ds:schemaRefs>
</ds:datastoreItem>
</file>

<file path=customXml/itemProps4.xml><?xml version="1.0" encoding="utf-8"?>
<ds:datastoreItem xmlns:ds="http://schemas.openxmlformats.org/officeDocument/2006/customXml" ds:itemID="{B76E509E-B881-4D3D-B1EA-344E5C8F6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11</Pages>
  <Words>4831</Words>
  <Characters>26576</Characters>
  <Application>Microsoft Office Word</Application>
  <DocSecurity>0</DocSecurity>
  <Lines>221</Lines>
  <Paragraphs>62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31345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L.Patty Ech.Granada</dc:creator>
  <cp:keywords/>
  <dc:description/>
  <cp:lastModifiedBy>ALONSO</cp:lastModifiedBy>
  <cp:revision>7</cp:revision>
  <dcterms:created xsi:type="dcterms:W3CDTF">2020-11-19T20:20:00Z</dcterms:created>
  <dcterms:modified xsi:type="dcterms:W3CDTF">2021-01-13T20:33:00Z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ies>
</file>