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FCEE" w14:textId="77777777" w:rsidR="00AE2676" w:rsidRPr="00AE2676" w:rsidRDefault="00AE2676" w:rsidP="00AE267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AE267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AE2676">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460E2BB9" w14:textId="77777777" w:rsidR="00AE2676" w:rsidRPr="00AE2676" w:rsidRDefault="00AE2676" w:rsidP="00AE2676">
      <w:pPr>
        <w:spacing w:line="240" w:lineRule="auto"/>
        <w:rPr>
          <w:rFonts w:ascii="Arial" w:eastAsia="Times New Roman" w:hAnsi="Arial" w:cs="Arial"/>
          <w:sz w:val="20"/>
          <w:szCs w:val="20"/>
          <w:lang w:val="es-419" w:eastAsia="es-ES"/>
        </w:rPr>
      </w:pPr>
    </w:p>
    <w:p w14:paraId="73112C32" w14:textId="5CD2CCE8"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 xml:space="preserve">Providencia: </w:t>
      </w:r>
      <w:r w:rsidRPr="00AE267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E2676">
        <w:rPr>
          <w:rFonts w:ascii="Arial" w:eastAsia="Times New Roman" w:hAnsi="Arial" w:cs="Arial"/>
          <w:sz w:val="20"/>
          <w:szCs w:val="20"/>
          <w:lang w:val="es-419" w:eastAsia="es-ES"/>
        </w:rPr>
        <w:t xml:space="preserve">Auto del 26 de noviembre de 2020 </w:t>
      </w:r>
    </w:p>
    <w:p w14:paraId="74D97D6F" w14:textId="1E0BCE47"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Radicación No.:</w:t>
      </w:r>
      <w:r w:rsidRPr="00AE267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E2676">
        <w:rPr>
          <w:rFonts w:ascii="Arial" w:eastAsia="Times New Roman" w:hAnsi="Arial" w:cs="Arial"/>
          <w:sz w:val="20"/>
          <w:szCs w:val="20"/>
          <w:lang w:val="es-419" w:eastAsia="es-ES"/>
        </w:rPr>
        <w:t>66001310500-2-2018-00363-01</w:t>
      </w:r>
    </w:p>
    <w:p w14:paraId="56AE1484" w14:textId="45F54625"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 xml:space="preserve">Proceso: </w:t>
      </w:r>
      <w:r w:rsidRPr="00AE267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E2676">
        <w:rPr>
          <w:rFonts w:ascii="Arial" w:eastAsia="Times New Roman" w:hAnsi="Arial" w:cs="Arial"/>
          <w:sz w:val="20"/>
          <w:szCs w:val="20"/>
          <w:lang w:val="es-419" w:eastAsia="es-ES"/>
        </w:rPr>
        <w:t>Ordinario Laboral</w:t>
      </w:r>
    </w:p>
    <w:p w14:paraId="6F55FC45" w14:textId="589B0777"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 xml:space="preserve">Demandante: </w:t>
      </w:r>
      <w:r w:rsidRPr="00AE267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E2676">
        <w:rPr>
          <w:rFonts w:ascii="Arial" w:eastAsia="Times New Roman" w:hAnsi="Arial" w:cs="Arial"/>
          <w:sz w:val="20"/>
          <w:szCs w:val="20"/>
          <w:lang w:val="es-419" w:eastAsia="es-ES"/>
        </w:rPr>
        <w:t>Sofia Giraldo Castro</w:t>
      </w:r>
    </w:p>
    <w:p w14:paraId="50BBC79F" w14:textId="0722BC76"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 xml:space="preserve">Demandado: </w:t>
      </w:r>
      <w:r w:rsidRPr="00AE2676">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690181" w:rsidRPr="00AE2676">
        <w:rPr>
          <w:rFonts w:ascii="Arial" w:eastAsia="Times New Roman" w:hAnsi="Arial" w:cs="Arial"/>
          <w:sz w:val="20"/>
          <w:szCs w:val="20"/>
          <w:lang w:val="es-419" w:eastAsia="es-ES"/>
        </w:rPr>
        <w:t xml:space="preserve">Lacassine </w:t>
      </w:r>
      <w:r w:rsidRPr="00AE2676">
        <w:rPr>
          <w:rFonts w:ascii="Arial" w:eastAsia="Times New Roman" w:hAnsi="Arial" w:cs="Arial"/>
          <w:sz w:val="20"/>
          <w:szCs w:val="20"/>
          <w:lang w:val="es-419" w:eastAsia="es-ES"/>
        </w:rPr>
        <w:t>S.A.S. y SENA</w:t>
      </w:r>
    </w:p>
    <w:p w14:paraId="4EE5EF9C" w14:textId="77777777"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 xml:space="preserve">Juzgado de origen: </w:t>
      </w:r>
      <w:r w:rsidRPr="00AE2676">
        <w:rPr>
          <w:rFonts w:ascii="Arial" w:eastAsia="Times New Roman" w:hAnsi="Arial" w:cs="Arial"/>
          <w:sz w:val="20"/>
          <w:szCs w:val="20"/>
          <w:lang w:val="es-419" w:eastAsia="es-ES"/>
        </w:rPr>
        <w:tab/>
        <w:t>Segundo Laboral del Circuito de Pereira</w:t>
      </w:r>
    </w:p>
    <w:p w14:paraId="28B03C50" w14:textId="66260D22" w:rsidR="00AE2676" w:rsidRPr="00AE2676" w:rsidRDefault="00AE2676" w:rsidP="00AE2676">
      <w:pPr>
        <w:spacing w:line="240" w:lineRule="auto"/>
        <w:rPr>
          <w:rFonts w:ascii="Arial" w:eastAsia="Times New Roman" w:hAnsi="Arial" w:cs="Arial"/>
          <w:sz w:val="20"/>
          <w:szCs w:val="20"/>
          <w:lang w:val="es-419" w:eastAsia="es-ES"/>
        </w:rPr>
      </w:pPr>
      <w:r w:rsidRPr="00AE2676">
        <w:rPr>
          <w:rFonts w:ascii="Arial" w:eastAsia="Times New Roman" w:hAnsi="Arial" w:cs="Arial"/>
          <w:sz w:val="20"/>
          <w:szCs w:val="20"/>
          <w:lang w:val="es-419" w:eastAsia="es-ES"/>
        </w:rPr>
        <w:t xml:space="preserve">Magistrada ponente: </w:t>
      </w:r>
      <w:r w:rsidRPr="00AE2676">
        <w:rPr>
          <w:rFonts w:ascii="Arial" w:eastAsia="Times New Roman" w:hAnsi="Arial" w:cs="Arial"/>
          <w:sz w:val="20"/>
          <w:szCs w:val="20"/>
          <w:lang w:val="es-419" w:eastAsia="es-ES"/>
        </w:rPr>
        <w:tab/>
        <w:t>Dra. Ana Lucía Caicedo Calderón</w:t>
      </w:r>
    </w:p>
    <w:p w14:paraId="0C069651" w14:textId="77777777" w:rsidR="00AE2676" w:rsidRPr="00AE2676" w:rsidRDefault="00AE2676" w:rsidP="00AE2676">
      <w:pPr>
        <w:spacing w:line="240" w:lineRule="auto"/>
        <w:rPr>
          <w:rFonts w:ascii="Arial" w:eastAsia="Times New Roman" w:hAnsi="Arial" w:cs="Arial"/>
          <w:sz w:val="20"/>
          <w:szCs w:val="20"/>
          <w:lang w:val="es-419" w:eastAsia="es-ES"/>
        </w:rPr>
      </w:pPr>
    </w:p>
    <w:p w14:paraId="73C15F50" w14:textId="47987A4E" w:rsidR="00AE2676" w:rsidRPr="00AE2676" w:rsidRDefault="00AE2676" w:rsidP="00AE2676">
      <w:pPr>
        <w:spacing w:line="240" w:lineRule="auto"/>
        <w:rPr>
          <w:rFonts w:ascii="Arial" w:eastAsia="Times New Roman" w:hAnsi="Arial" w:cs="Arial"/>
          <w:b/>
          <w:bCs/>
          <w:iCs/>
          <w:sz w:val="20"/>
          <w:szCs w:val="20"/>
          <w:lang w:val="es-419" w:eastAsia="fr-FR"/>
        </w:rPr>
      </w:pPr>
      <w:r w:rsidRPr="00AE2676">
        <w:rPr>
          <w:rFonts w:ascii="Arial" w:eastAsia="Times New Roman" w:hAnsi="Arial" w:cs="Arial"/>
          <w:b/>
          <w:bCs/>
          <w:iCs/>
          <w:sz w:val="20"/>
          <w:szCs w:val="20"/>
          <w:u w:val="single"/>
          <w:lang w:val="es-419" w:eastAsia="fr-FR"/>
        </w:rPr>
        <w:t>TEMAS:</w:t>
      </w:r>
      <w:r w:rsidRPr="00AE2676">
        <w:rPr>
          <w:rFonts w:ascii="Arial" w:eastAsia="Times New Roman" w:hAnsi="Arial" w:cs="Arial"/>
          <w:b/>
          <w:bCs/>
          <w:iCs/>
          <w:sz w:val="20"/>
          <w:szCs w:val="20"/>
          <w:lang w:val="es-419" w:eastAsia="fr-FR"/>
        </w:rPr>
        <w:tab/>
      </w:r>
      <w:r w:rsidR="00E31381">
        <w:rPr>
          <w:rFonts w:ascii="Arial" w:eastAsia="Times New Roman" w:hAnsi="Arial" w:cs="Arial"/>
          <w:b/>
          <w:bCs/>
          <w:iCs/>
          <w:sz w:val="20"/>
          <w:szCs w:val="20"/>
          <w:lang w:val="es-419" w:eastAsia="fr-FR"/>
        </w:rPr>
        <w:t xml:space="preserve">CONTRATO DE APRENDIZAJE / SENA / NATURALEZA DEL VÍNCULO CON LA EMPRESA PATROCINADORA </w:t>
      </w:r>
      <w:r w:rsidRPr="00AE2676">
        <w:rPr>
          <w:rFonts w:ascii="Arial" w:eastAsia="Times New Roman" w:hAnsi="Arial" w:cs="Arial"/>
          <w:b/>
          <w:bCs/>
          <w:iCs/>
          <w:sz w:val="20"/>
          <w:szCs w:val="20"/>
          <w:lang w:val="es-419" w:eastAsia="fr-FR"/>
        </w:rPr>
        <w:t xml:space="preserve">/ </w:t>
      </w:r>
      <w:r w:rsidR="00E31381">
        <w:rPr>
          <w:rFonts w:ascii="Arial" w:eastAsia="Times New Roman" w:hAnsi="Arial" w:cs="Arial"/>
          <w:b/>
          <w:bCs/>
          <w:iCs/>
          <w:sz w:val="20"/>
          <w:szCs w:val="20"/>
          <w:lang w:val="es-419" w:eastAsia="fr-FR"/>
        </w:rPr>
        <w:t>COMPETENCIA / LA TIENE LA JURISDICCIÓN ORDINARIA LABORAL EN RAZÓN DE LO RECLAMADO / INDEMNIZACIÓN POR CULPA PATRONAL.</w:t>
      </w:r>
    </w:p>
    <w:p w14:paraId="5C72819D" w14:textId="77777777" w:rsidR="00AE2676" w:rsidRPr="00AE2676" w:rsidRDefault="00AE2676" w:rsidP="00AE2676">
      <w:pPr>
        <w:spacing w:line="240" w:lineRule="auto"/>
        <w:rPr>
          <w:rFonts w:ascii="Arial" w:eastAsia="Times New Roman" w:hAnsi="Arial" w:cs="Arial"/>
          <w:sz w:val="20"/>
          <w:szCs w:val="20"/>
          <w:lang w:val="es-419" w:eastAsia="es-ES"/>
        </w:rPr>
      </w:pPr>
    </w:p>
    <w:p w14:paraId="5372E488" w14:textId="71E07962" w:rsidR="00E31381" w:rsidRPr="00E31381" w:rsidRDefault="00E31381" w:rsidP="00E31381">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31381">
        <w:rPr>
          <w:rFonts w:ascii="Arial" w:eastAsia="Times New Roman" w:hAnsi="Arial" w:cs="Arial"/>
          <w:sz w:val="20"/>
          <w:szCs w:val="20"/>
          <w:lang w:val="es-419" w:eastAsia="es-ES"/>
        </w:rPr>
        <w:t>el artículo 30 de la Ley 789/2002 define el contrato de aprendizaje de la siguiente manera:</w:t>
      </w:r>
    </w:p>
    <w:p w14:paraId="79B6245F" w14:textId="77777777" w:rsidR="00E31381" w:rsidRPr="00E31381" w:rsidRDefault="00E31381" w:rsidP="00E31381">
      <w:pPr>
        <w:spacing w:line="240" w:lineRule="auto"/>
        <w:rPr>
          <w:rFonts w:ascii="Arial" w:eastAsia="Times New Roman" w:hAnsi="Arial" w:cs="Arial"/>
          <w:sz w:val="20"/>
          <w:szCs w:val="20"/>
          <w:lang w:val="es-419" w:eastAsia="es-ES"/>
        </w:rPr>
      </w:pPr>
      <w:r w:rsidRPr="00E31381">
        <w:rPr>
          <w:rFonts w:ascii="Arial" w:eastAsia="Times New Roman" w:hAnsi="Arial" w:cs="Arial"/>
          <w:sz w:val="20"/>
          <w:szCs w:val="20"/>
          <w:lang w:val="es-419" w:eastAsia="es-ES"/>
        </w:rPr>
        <w:t xml:space="preserve"> </w:t>
      </w:r>
    </w:p>
    <w:p w14:paraId="2FE34020" w14:textId="6A585AE3" w:rsidR="00AE2676" w:rsidRPr="00AE2676" w:rsidRDefault="00E31381" w:rsidP="00E31381">
      <w:pPr>
        <w:spacing w:line="240" w:lineRule="auto"/>
        <w:rPr>
          <w:rFonts w:ascii="Arial" w:eastAsia="Times New Roman" w:hAnsi="Arial" w:cs="Arial"/>
          <w:sz w:val="20"/>
          <w:szCs w:val="20"/>
          <w:lang w:val="es-419" w:eastAsia="es-ES"/>
        </w:rPr>
      </w:pPr>
      <w:r w:rsidRPr="00E31381">
        <w:rPr>
          <w:rFonts w:ascii="Arial" w:eastAsia="Times New Roman" w:hAnsi="Arial" w:cs="Arial"/>
          <w:sz w:val="20"/>
          <w:szCs w:val="20"/>
          <w:lang w:val="es-419" w:eastAsia="es-ES"/>
        </w:rPr>
        <w:t>“El contrato de aprendizaje es una forma especial dentro del Derecho Laboral, mediante la cual una persona natural desarrolla formación teórica práctica en una entidad autorizada, a cambio de que una empresa patrocinadora proporcione los medios para adquirir formación profesional metódica y completa requerida en el oficio, actividad u ocupación y esto le implique desempeñarse dentro del manejo administrativo, operativo comercial o financiero propios del giro ordinario de las actividades de la empresa</w:t>
      </w:r>
      <w:r>
        <w:rPr>
          <w:rFonts w:ascii="Arial" w:eastAsia="Times New Roman" w:hAnsi="Arial" w:cs="Arial"/>
          <w:sz w:val="20"/>
          <w:szCs w:val="20"/>
          <w:lang w:val="es-419" w:eastAsia="es-ES"/>
        </w:rPr>
        <w:t>…”</w:t>
      </w:r>
    </w:p>
    <w:p w14:paraId="3C1FC82B" w14:textId="77777777" w:rsidR="00AE2676" w:rsidRPr="00AE2676" w:rsidRDefault="00AE2676" w:rsidP="00AE2676">
      <w:pPr>
        <w:spacing w:line="240" w:lineRule="auto"/>
        <w:rPr>
          <w:rFonts w:ascii="Arial" w:eastAsia="Times New Roman" w:hAnsi="Arial" w:cs="Arial"/>
          <w:sz w:val="20"/>
          <w:szCs w:val="20"/>
          <w:lang w:val="es-419" w:eastAsia="es-ES"/>
        </w:rPr>
      </w:pPr>
    </w:p>
    <w:p w14:paraId="30259870" w14:textId="22BD3E0D" w:rsidR="00E31381" w:rsidRPr="00E31381" w:rsidRDefault="00E31381" w:rsidP="00E31381">
      <w:pPr>
        <w:spacing w:line="240" w:lineRule="auto"/>
        <w:rPr>
          <w:rFonts w:ascii="Arial" w:eastAsia="Times New Roman" w:hAnsi="Arial" w:cs="Arial"/>
          <w:sz w:val="20"/>
          <w:szCs w:val="20"/>
          <w:lang w:val="es-419" w:eastAsia="es-ES"/>
        </w:rPr>
      </w:pPr>
      <w:r w:rsidRPr="00E31381">
        <w:rPr>
          <w:rFonts w:ascii="Arial" w:eastAsia="Times New Roman" w:hAnsi="Arial" w:cs="Arial"/>
          <w:sz w:val="20"/>
          <w:szCs w:val="20"/>
          <w:lang w:val="es-419" w:eastAsia="es-ES"/>
        </w:rPr>
        <w:t>De acuerdo con lo anterior, se tiene que si bien es cierto que en este asunto ninguna dicotomía existe respecto a que el contrato de aprendizaje no es en sí un contrato de trabajo, según la definición que trae el artículo 30 de la Ley 789/2002 también lo es, que dicha vinculación es una forma especial dentro del Derecho Laboral en la cual, durante la fase práctica existen unas obligaciones de salud ocupacional (ARL), de seguridad social en salud y de aplicación de las normas de higiene y prevención de accidentes a cargo de las empresas patrocinadoras.</w:t>
      </w:r>
    </w:p>
    <w:p w14:paraId="2D55D210" w14:textId="77777777" w:rsidR="00E31381" w:rsidRPr="00E31381" w:rsidRDefault="00E31381" w:rsidP="00E31381">
      <w:pPr>
        <w:spacing w:line="240" w:lineRule="auto"/>
        <w:rPr>
          <w:rFonts w:ascii="Arial" w:eastAsia="Times New Roman" w:hAnsi="Arial" w:cs="Arial"/>
          <w:sz w:val="20"/>
          <w:szCs w:val="20"/>
          <w:lang w:val="es-419" w:eastAsia="es-ES"/>
        </w:rPr>
      </w:pPr>
    </w:p>
    <w:p w14:paraId="2A4EEA78" w14:textId="3BF0DF8F" w:rsidR="00AE2676" w:rsidRPr="00AE2676" w:rsidRDefault="00E31381" w:rsidP="00E31381">
      <w:pPr>
        <w:spacing w:line="240" w:lineRule="auto"/>
        <w:rPr>
          <w:rFonts w:ascii="Arial" w:eastAsia="Times New Roman" w:hAnsi="Arial" w:cs="Arial"/>
          <w:sz w:val="20"/>
          <w:szCs w:val="20"/>
          <w:lang w:val="es-419" w:eastAsia="es-ES"/>
        </w:rPr>
      </w:pPr>
      <w:r w:rsidRPr="00E31381">
        <w:rPr>
          <w:rFonts w:ascii="Arial" w:eastAsia="Times New Roman" w:hAnsi="Arial" w:cs="Arial"/>
          <w:sz w:val="20"/>
          <w:szCs w:val="20"/>
          <w:lang w:val="es-419" w:eastAsia="es-ES"/>
        </w:rPr>
        <w:t>En ese norte, la controversia planteada está dirigida a establecer si con ocasión al vínculo especial entre aprendiz vs empresa patrocinadora, habría lugar a la indemnización plena de perjuicios contenida en el artículo 216 del CSTSS</w:t>
      </w:r>
      <w:r>
        <w:rPr>
          <w:rFonts w:ascii="Arial" w:eastAsia="Times New Roman" w:hAnsi="Arial" w:cs="Arial"/>
          <w:sz w:val="20"/>
          <w:szCs w:val="20"/>
          <w:lang w:val="es-419" w:eastAsia="es-ES"/>
        </w:rPr>
        <w:t>…</w:t>
      </w:r>
    </w:p>
    <w:p w14:paraId="3085D70F" w14:textId="77777777" w:rsidR="00AE2676" w:rsidRPr="00AE2676" w:rsidRDefault="00AE2676" w:rsidP="00AE2676">
      <w:pPr>
        <w:spacing w:line="240" w:lineRule="auto"/>
        <w:rPr>
          <w:rFonts w:ascii="Arial" w:eastAsia="Times New Roman" w:hAnsi="Arial" w:cs="Arial"/>
          <w:sz w:val="20"/>
          <w:szCs w:val="20"/>
          <w:lang w:val="es-419" w:eastAsia="es-ES"/>
        </w:rPr>
      </w:pPr>
    </w:p>
    <w:p w14:paraId="19982FA5" w14:textId="51A7ADFC" w:rsidR="00AE2676" w:rsidRPr="00AE2676" w:rsidRDefault="00E31381" w:rsidP="00AE2676">
      <w:pPr>
        <w:spacing w:line="240" w:lineRule="auto"/>
        <w:rPr>
          <w:rFonts w:ascii="Arial" w:eastAsia="Times New Roman" w:hAnsi="Arial" w:cs="Arial"/>
          <w:sz w:val="20"/>
          <w:szCs w:val="20"/>
          <w:lang w:val="es-419" w:eastAsia="es-ES"/>
        </w:rPr>
      </w:pPr>
      <w:r w:rsidRPr="00E31381">
        <w:rPr>
          <w:rFonts w:ascii="Arial" w:eastAsia="Times New Roman" w:hAnsi="Arial" w:cs="Arial"/>
          <w:sz w:val="20"/>
          <w:szCs w:val="20"/>
          <w:lang w:val="es-419" w:eastAsia="es-ES"/>
        </w:rPr>
        <w:t>En ese orden, la competencia radica en esta Jurisdicción como Juez Natural para resolver el eje principal de la controversia, la cual, se itera, se enmarca en determinar la aplicabilidad de la indemnización plena de perjuicios del artículo 126 del CST a los contratos de aprendizaje bajo el concepto amplio de trabajo</w:t>
      </w:r>
      <w:r>
        <w:rPr>
          <w:rFonts w:ascii="Arial" w:eastAsia="Times New Roman" w:hAnsi="Arial" w:cs="Arial"/>
          <w:sz w:val="20"/>
          <w:szCs w:val="20"/>
          <w:lang w:val="es-419" w:eastAsia="es-ES"/>
        </w:rPr>
        <w:t>…</w:t>
      </w:r>
    </w:p>
    <w:p w14:paraId="7E689492" w14:textId="77777777" w:rsidR="00AE2676" w:rsidRPr="00AE2676" w:rsidRDefault="00AE2676" w:rsidP="00AE2676">
      <w:pPr>
        <w:spacing w:line="240" w:lineRule="auto"/>
        <w:rPr>
          <w:rFonts w:ascii="Arial" w:eastAsia="Times New Roman" w:hAnsi="Arial" w:cs="Arial"/>
          <w:sz w:val="20"/>
          <w:szCs w:val="20"/>
          <w:lang w:val="es-ES" w:eastAsia="es-ES"/>
        </w:rPr>
      </w:pPr>
    </w:p>
    <w:p w14:paraId="0D1897C2" w14:textId="77777777" w:rsidR="00AE2676" w:rsidRPr="00AE2676" w:rsidRDefault="00AE2676" w:rsidP="00AE2676">
      <w:pPr>
        <w:spacing w:line="240" w:lineRule="auto"/>
        <w:rPr>
          <w:rFonts w:ascii="Arial" w:eastAsia="Times New Roman" w:hAnsi="Arial" w:cs="Arial"/>
          <w:sz w:val="20"/>
          <w:szCs w:val="20"/>
          <w:lang w:val="es-ES" w:eastAsia="es-ES"/>
        </w:rPr>
      </w:pPr>
    </w:p>
    <w:p w14:paraId="0382A48E" w14:textId="77777777" w:rsidR="00AE2676" w:rsidRPr="00AE2676" w:rsidRDefault="00AE2676" w:rsidP="00AE2676">
      <w:pPr>
        <w:spacing w:line="240" w:lineRule="auto"/>
        <w:rPr>
          <w:rFonts w:ascii="Arial" w:eastAsia="Times New Roman" w:hAnsi="Arial" w:cs="Arial"/>
          <w:sz w:val="20"/>
          <w:szCs w:val="20"/>
          <w:lang w:val="es-ES" w:eastAsia="es-ES"/>
        </w:rPr>
      </w:pPr>
    </w:p>
    <w:p w14:paraId="5A03E029" w14:textId="77777777" w:rsidR="003E7927" w:rsidRPr="00AE2676" w:rsidRDefault="003E7927" w:rsidP="00AE2676">
      <w:pPr>
        <w:spacing w:line="276" w:lineRule="auto"/>
        <w:jc w:val="center"/>
        <w:rPr>
          <w:rFonts w:cs="Tahoma"/>
          <w:b/>
          <w:bCs/>
          <w:spacing w:val="-3"/>
          <w:kern w:val="2"/>
          <w:szCs w:val="24"/>
        </w:rPr>
      </w:pPr>
      <w:r w:rsidRPr="00AE2676">
        <w:rPr>
          <w:rFonts w:cs="Tahoma"/>
          <w:b/>
          <w:bCs/>
          <w:spacing w:val="-3"/>
          <w:kern w:val="2"/>
          <w:szCs w:val="24"/>
        </w:rPr>
        <w:t>TRIBUNAL SUPERIOR DEL DISTRITO JUDICIAL DE PEREIRA</w:t>
      </w:r>
    </w:p>
    <w:p w14:paraId="61BB69BF" w14:textId="77777777" w:rsidR="003E7927" w:rsidRPr="00AE2676" w:rsidRDefault="003E7927" w:rsidP="00AE2676">
      <w:pPr>
        <w:spacing w:line="276" w:lineRule="auto"/>
        <w:jc w:val="center"/>
        <w:rPr>
          <w:rFonts w:cs="Tahoma"/>
          <w:b/>
          <w:bCs/>
          <w:spacing w:val="-3"/>
          <w:kern w:val="2"/>
          <w:szCs w:val="24"/>
        </w:rPr>
      </w:pPr>
      <w:r w:rsidRPr="00AE2676">
        <w:rPr>
          <w:rFonts w:cs="Tahoma"/>
          <w:b/>
          <w:bCs/>
          <w:spacing w:val="-3"/>
          <w:kern w:val="2"/>
          <w:szCs w:val="24"/>
        </w:rPr>
        <w:t>SALA PRIMERA DE DECISION LABORAL</w:t>
      </w:r>
    </w:p>
    <w:p w14:paraId="6DD4B0F5" w14:textId="77777777" w:rsidR="003E7927" w:rsidRPr="00AE2676" w:rsidRDefault="003E7927" w:rsidP="00AE2676">
      <w:pPr>
        <w:spacing w:line="276" w:lineRule="auto"/>
        <w:jc w:val="center"/>
        <w:rPr>
          <w:rFonts w:cs="Tahoma"/>
          <w:spacing w:val="-3"/>
          <w:kern w:val="2"/>
          <w:szCs w:val="24"/>
        </w:rPr>
      </w:pPr>
    </w:p>
    <w:p w14:paraId="6A9F0314" w14:textId="77777777" w:rsidR="003E7927" w:rsidRPr="00AE2676" w:rsidRDefault="003E7927" w:rsidP="00AE2676">
      <w:pPr>
        <w:spacing w:line="276" w:lineRule="auto"/>
        <w:jc w:val="center"/>
        <w:rPr>
          <w:rFonts w:cs="Tahoma"/>
          <w:b/>
          <w:bCs/>
          <w:spacing w:val="-3"/>
          <w:kern w:val="2"/>
          <w:szCs w:val="24"/>
        </w:rPr>
      </w:pPr>
      <w:r w:rsidRPr="00AE2676">
        <w:rPr>
          <w:rFonts w:cs="Tahoma"/>
          <w:spacing w:val="-3"/>
          <w:kern w:val="2"/>
          <w:szCs w:val="24"/>
        </w:rPr>
        <w:t>Magistrada Ponente: </w:t>
      </w:r>
      <w:r w:rsidRPr="00AE2676">
        <w:rPr>
          <w:rFonts w:cs="Tahoma"/>
          <w:b/>
          <w:bCs/>
          <w:spacing w:val="-3"/>
          <w:kern w:val="2"/>
          <w:szCs w:val="24"/>
        </w:rPr>
        <w:t>Ana Lucía Caicedo Calderón</w:t>
      </w:r>
    </w:p>
    <w:p w14:paraId="7145F56C" w14:textId="71553327" w:rsidR="003E7927" w:rsidRPr="00AE2676" w:rsidRDefault="003E7927" w:rsidP="00AE2676">
      <w:pPr>
        <w:spacing w:line="276" w:lineRule="auto"/>
        <w:jc w:val="center"/>
        <w:rPr>
          <w:rFonts w:cs="Tahoma"/>
          <w:b/>
          <w:bCs/>
          <w:spacing w:val="-3"/>
          <w:kern w:val="2"/>
          <w:szCs w:val="24"/>
        </w:rPr>
      </w:pPr>
    </w:p>
    <w:p w14:paraId="28E39B7A" w14:textId="00370836" w:rsidR="00E43DA4" w:rsidRPr="00AE2676" w:rsidRDefault="00E43DA4" w:rsidP="00AE2676">
      <w:pPr>
        <w:spacing w:line="276" w:lineRule="auto"/>
        <w:jc w:val="center"/>
        <w:rPr>
          <w:rFonts w:cs="Tahoma"/>
          <w:spacing w:val="-3"/>
          <w:kern w:val="2"/>
          <w:szCs w:val="24"/>
        </w:rPr>
      </w:pPr>
      <w:r w:rsidRPr="00AE2676">
        <w:rPr>
          <w:rFonts w:cs="Tahoma"/>
          <w:spacing w:val="-3"/>
          <w:kern w:val="2"/>
          <w:szCs w:val="24"/>
        </w:rPr>
        <w:t>Pereira, Risaralda, treinta (30) de noviembre de dos mil veinte (2020</w:t>
      </w:r>
      <w:proofErr w:type="gramStart"/>
      <w:r w:rsidRPr="00AE2676">
        <w:rPr>
          <w:rFonts w:cs="Tahoma"/>
          <w:spacing w:val="-3"/>
          <w:kern w:val="2"/>
          <w:szCs w:val="24"/>
        </w:rPr>
        <w:t>) </w:t>
      </w:r>
      <w:proofErr w:type="gramEnd"/>
    </w:p>
    <w:p w14:paraId="6C9846DE" w14:textId="77777777" w:rsidR="00E43DA4" w:rsidRPr="00AE2676" w:rsidRDefault="00E43DA4" w:rsidP="00AE2676">
      <w:pPr>
        <w:spacing w:line="276" w:lineRule="auto"/>
        <w:jc w:val="center"/>
        <w:rPr>
          <w:rFonts w:cs="Tahoma"/>
          <w:b/>
          <w:bCs/>
          <w:spacing w:val="-3"/>
          <w:kern w:val="2"/>
          <w:szCs w:val="24"/>
        </w:rPr>
      </w:pPr>
    </w:p>
    <w:p w14:paraId="28AE5F63" w14:textId="0B9F87BF" w:rsidR="003E7927" w:rsidRPr="00AE2676" w:rsidRDefault="003E7927" w:rsidP="00AE2676">
      <w:pPr>
        <w:spacing w:line="276" w:lineRule="auto"/>
        <w:jc w:val="center"/>
        <w:rPr>
          <w:rFonts w:cs="Tahoma"/>
          <w:bCs/>
          <w:spacing w:val="-3"/>
          <w:kern w:val="2"/>
          <w:szCs w:val="24"/>
        </w:rPr>
      </w:pPr>
      <w:r w:rsidRPr="00AE2676">
        <w:rPr>
          <w:rFonts w:cs="Tahoma"/>
          <w:bCs/>
          <w:spacing w:val="-3"/>
          <w:kern w:val="2"/>
          <w:szCs w:val="24"/>
        </w:rPr>
        <w:t>Acta No. </w:t>
      </w:r>
      <w:r w:rsidR="00E674D7" w:rsidRPr="00AE2676">
        <w:rPr>
          <w:rFonts w:cs="Tahoma"/>
          <w:bCs/>
          <w:spacing w:val="-3"/>
          <w:kern w:val="2"/>
          <w:szCs w:val="24"/>
        </w:rPr>
        <w:t>180</w:t>
      </w:r>
      <w:r w:rsidRPr="00AE2676">
        <w:rPr>
          <w:rFonts w:cs="Tahoma"/>
          <w:bCs/>
          <w:spacing w:val="-3"/>
          <w:kern w:val="2"/>
          <w:szCs w:val="24"/>
        </w:rPr>
        <w:t xml:space="preserve"> del 26 de noviembre de 2020</w:t>
      </w:r>
    </w:p>
    <w:p w14:paraId="448E2265" w14:textId="77777777" w:rsidR="003E7927" w:rsidRPr="00AE2676" w:rsidRDefault="003E7927" w:rsidP="00AE2676">
      <w:pPr>
        <w:spacing w:line="276" w:lineRule="auto"/>
        <w:jc w:val="center"/>
        <w:rPr>
          <w:rFonts w:cs="Tahoma"/>
          <w:spacing w:val="-3"/>
          <w:kern w:val="2"/>
          <w:szCs w:val="24"/>
        </w:rPr>
      </w:pPr>
    </w:p>
    <w:p w14:paraId="1BCA56D5" w14:textId="77777777" w:rsidR="003E7927" w:rsidRPr="00AE2676" w:rsidRDefault="003E7927" w:rsidP="00AE2676">
      <w:pPr>
        <w:spacing w:line="276" w:lineRule="auto"/>
        <w:rPr>
          <w:rFonts w:cs="Tahoma"/>
          <w:spacing w:val="-3"/>
          <w:kern w:val="2"/>
          <w:szCs w:val="24"/>
        </w:rPr>
      </w:pPr>
    </w:p>
    <w:p w14:paraId="3C71F090" w14:textId="4B7BD708" w:rsidR="003E7927" w:rsidRPr="00AE2676" w:rsidRDefault="003E7927" w:rsidP="00AE2676">
      <w:pPr>
        <w:spacing w:line="276" w:lineRule="auto"/>
        <w:ind w:firstLine="708"/>
        <w:rPr>
          <w:rFonts w:cs="Tahoma"/>
          <w:b/>
          <w:bCs/>
          <w:caps/>
          <w:szCs w:val="24"/>
        </w:rPr>
      </w:pPr>
      <w:r w:rsidRPr="00AE2676">
        <w:rPr>
          <w:rFonts w:cs="Tahoma"/>
          <w:spacing w:val="-3"/>
          <w:kern w:val="2"/>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AE2676">
        <w:rPr>
          <w:rFonts w:cs="Tahoma"/>
          <w:b/>
          <w:bCs/>
          <w:spacing w:val="-3"/>
          <w:kern w:val="2"/>
          <w:szCs w:val="24"/>
        </w:rPr>
        <w:t>ANA LUCÍA CAICEDO CALDERÓN</w:t>
      </w:r>
      <w:r w:rsidRPr="00AE2676">
        <w:rPr>
          <w:rFonts w:cs="Tahoma"/>
          <w:spacing w:val="-3"/>
          <w:kern w:val="2"/>
          <w:szCs w:val="24"/>
        </w:rPr>
        <w:t xml:space="preserve"> como Ponente, </w:t>
      </w:r>
      <w:r w:rsidRPr="00AE2676">
        <w:rPr>
          <w:rFonts w:cs="Tahoma"/>
          <w:b/>
          <w:bCs/>
          <w:spacing w:val="-3"/>
          <w:kern w:val="2"/>
          <w:szCs w:val="24"/>
        </w:rPr>
        <w:t>OLGA LUCÍA HOYOS SEPÚLVEDA</w:t>
      </w:r>
      <w:r w:rsidRPr="00AE2676">
        <w:rPr>
          <w:rFonts w:cs="Tahoma"/>
          <w:spacing w:val="-3"/>
          <w:kern w:val="2"/>
          <w:szCs w:val="24"/>
        </w:rPr>
        <w:t xml:space="preserve"> y el Magistrado </w:t>
      </w:r>
      <w:r w:rsidRPr="00AE2676">
        <w:rPr>
          <w:rFonts w:cs="Tahoma"/>
          <w:b/>
          <w:bCs/>
          <w:spacing w:val="-3"/>
          <w:kern w:val="2"/>
          <w:szCs w:val="24"/>
        </w:rPr>
        <w:t xml:space="preserve">JULIO CÉSAR </w:t>
      </w:r>
      <w:r w:rsidRPr="00AE2676">
        <w:rPr>
          <w:rFonts w:cs="Tahoma"/>
          <w:b/>
          <w:bCs/>
          <w:spacing w:val="-3"/>
          <w:kern w:val="2"/>
          <w:szCs w:val="24"/>
        </w:rPr>
        <w:lastRenderedPageBreak/>
        <w:t>SALAZAR MUÑOZ</w:t>
      </w:r>
      <w:r w:rsidRPr="00AE2676">
        <w:rPr>
          <w:rFonts w:cs="Tahoma"/>
          <w:spacing w:val="-3"/>
          <w:kern w:val="2"/>
          <w:szCs w:val="24"/>
        </w:rPr>
        <w:t xml:space="preserve">, procede a proferir </w:t>
      </w:r>
      <w:bookmarkStart w:id="0" w:name="OLE_LINK39"/>
      <w:bookmarkStart w:id="1" w:name="OLE_LINK21"/>
      <w:r w:rsidRPr="00AE2676">
        <w:rPr>
          <w:rFonts w:cs="Tahoma"/>
          <w:szCs w:val="24"/>
        </w:rPr>
        <w:t xml:space="preserve">auto escrito dentro del proceso ordinario laboral instaurado por </w:t>
      </w:r>
      <w:bookmarkEnd w:id="0"/>
      <w:r w:rsidR="00690181" w:rsidRPr="00AE2676">
        <w:rPr>
          <w:rFonts w:cs="Tahoma"/>
          <w:b/>
          <w:bCs/>
          <w:caps/>
          <w:szCs w:val="24"/>
        </w:rPr>
        <w:t>SOFÍA</w:t>
      </w:r>
      <w:r w:rsidRPr="00AE2676">
        <w:rPr>
          <w:rFonts w:cs="Tahoma"/>
          <w:b/>
          <w:bCs/>
          <w:caps/>
          <w:szCs w:val="24"/>
        </w:rPr>
        <w:t xml:space="preserve"> GIRALDO CASTRO </w:t>
      </w:r>
      <w:r w:rsidRPr="00AE2676">
        <w:rPr>
          <w:rFonts w:cs="Tahoma"/>
          <w:szCs w:val="24"/>
        </w:rPr>
        <w:t xml:space="preserve">en contra de </w:t>
      </w:r>
      <w:bookmarkEnd w:id="1"/>
      <w:r w:rsidRPr="00AE2676">
        <w:rPr>
          <w:rFonts w:cs="Tahoma"/>
          <w:b/>
          <w:bCs/>
          <w:caps/>
          <w:szCs w:val="24"/>
        </w:rPr>
        <w:t xml:space="preserve">LACASSINE S.A.S. </w:t>
      </w:r>
      <w:r w:rsidRPr="00AE2676">
        <w:rPr>
          <w:rFonts w:cs="Tahoma"/>
          <w:szCs w:val="24"/>
        </w:rPr>
        <w:t xml:space="preserve">y le </w:t>
      </w:r>
      <w:r w:rsidRPr="00AE2676">
        <w:rPr>
          <w:rFonts w:cs="Tahoma"/>
          <w:b/>
          <w:bCs/>
          <w:szCs w:val="24"/>
        </w:rPr>
        <w:t>SERVICIO NACIONAL DE APRENDIZAJE “</w:t>
      </w:r>
      <w:r w:rsidRPr="00AE2676">
        <w:rPr>
          <w:rFonts w:cs="Tahoma"/>
          <w:b/>
          <w:bCs/>
          <w:caps/>
          <w:szCs w:val="24"/>
        </w:rPr>
        <w:t>SENA”.</w:t>
      </w:r>
    </w:p>
    <w:p w14:paraId="7A268D37" w14:textId="77777777" w:rsidR="003E7927" w:rsidRDefault="003E7927" w:rsidP="00AE2676">
      <w:pPr>
        <w:spacing w:line="276" w:lineRule="auto"/>
        <w:jc w:val="center"/>
        <w:rPr>
          <w:rFonts w:cs="Tahoma"/>
          <w:b/>
          <w:bCs/>
          <w:szCs w:val="24"/>
        </w:rPr>
      </w:pPr>
    </w:p>
    <w:p w14:paraId="3F98D49C" w14:textId="77777777" w:rsidR="00E31381" w:rsidRPr="00AE2676" w:rsidRDefault="00E31381" w:rsidP="00AE2676">
      <w:pPr>
        <w:spacing w:line="276" w:lineRule="auto"/>
        <w:jc w:val="center"/>
        <w:rPr>
          <w:rFonts w:cs="Tahoma"/>
          <w:b/>
          <w:bCs/>
          <w:szCs w:val="24"/>
        </w:rPr>
      </w:pPr>
    </w:p>
    <w:p w14:paraId="28D90935" w14:textId="77777777" w:rsidR="003E7927" w:rsidRPr="00AE2676" w:rsidRDefault="003E7927" w:rsidP="00AE2676">
      <w:pPr>
        <w:spacing w:line="276" w:lineRule="auto"/>
        <w:jc w:val="center"/>
        <w:rPr>
          <w:rFonts w:cs="Tahoma"/>
          <w:b/>
          <w:bCs/>
          <w:szCs w:val="24"/>
        </w:rPr>
      </w:pPr>
      <w:r w:rsidRPr="00AE2676">
        <w:rPr>
          <w:rFonts w:cs="Tahoma"/>
          <w:b/>
          <w:bCs/>
          <w:szCs w:val="24"/>
        </w:rPr>
        <w:t>PUNTO A TRATAR</w:t>
      </w:r>
    </w:p>
    <w:p w14:paraId="4354166C" w14:textId="77777777" w:rsidR="00C01119" w:rsidRPr="00AE2676" w:rsidRDefault="00C01119" w:rsidP="00AE2676">
      <w:pPr>
        <w:tabs>
          <w:tab w:val="left" w:pos="284"/>
        </w:tabs>
        <w:spacing w:line="276" w:lineRule="auto"/>
        <w:rPr>
          <w:rFonts w:cs="Tahoma"/>
          <w:b/>
          <w:bCs/>
          <w:szCs w:val="24"/>
        </w:rPr>
      </w:pPr>
    </w:p>
    <w:p w14:paraId="4FBBAF81" w14:textId="4E8C0770" w:rsidR="00F10D54" w:rsidRPr="00AE2676" w:rsidRDefault="00F10D54" w:rsidP="00AE2676">
      <w:pPr>
        <w:spacing w:line="276" w:lineRule="auto"/>
        <w:ind w:firstLine="708"/>
        <w:rPr>
          <w:rFonts w:cs="Tahoma"/>
          <w:spacing w:val="-3"/>
          <w:kern w:val="2"/>
          <w:szCs w:val="24"/>
        </w:rPr>
      </w:pPr>
      <w:r w:rsidRPr="00AE2676">
        <w:rPr>
          <w:rFonts w:cs="Tahoma"/>
          <w:szCs w:val="24"/>
        </w:rPr>
        <w:t xml:space="preserve">Por medio de esta providencia procede la Sala a resolver el recurso de apelación promovido por la demandada, en contra del auto del </w:t>
      </w:r>
      <w:r w:rsidRPr="00AE2676">
        <w:rPr>
          <w:rFonts w:cs="Tahoma"/>
          <w:b/>
          <w:bCs/>
          <w:szCs w:val="24"/>
        </w:rPr>
        <w:t>17 de febrero de 2020</w:t>
      </w:r>
      <w:r w:rsidRPr="00AE2676">
        <w:rPr>
          <w:rFonts w:cs="Tahoma"/>
          <w:szCs w:val="24"/>
        </w:rPr>
        <w:t xml:space="preserve">, por medio del cual se negaron las excepciones previas propuestas por la accionada, dentro del proceso ordinario laboral reseñado con anterioridad. </w:t>
      </w:r>
      <w:r w:rsidRPr="00AE2676">
        <w:rPr>
          <w:rFonts w:cs="Tahoma"/>
          <w:spacing w:val="-3"/>
          <w:kern w:val="2"/>
          <w:szCs w:val="24"/>
        </w:rPr>
        <w:t>En sesión previa que se hizo constar en la mencionada acta, la Sala discutió y aprobó el proyecto que presentó la Magistrada Ponente, el cual alude al siguiente auto interlocutorio.</w:t>
      </w:r>
    </w:p>
    <w:p w14:paraId="1E356116" w14:textId="77777777" w:rsidR="00C01119" w:rsidRDefault="00C01119" w:rsidP="00AE2676">
      <w:pPr>
        <w:tabs>
          <w:tab w:val="left" w:pos="284"/>
        </w:tabs>
        <w:spacing w:line="276" w:lineRule="auto"/>
        <w:rPr>
          <w:rFonts w:cs="Tahoma"/>
          <w:b/>
          <w:bCs/>
          <w:szCs w:val="24"/>
        </w:rPr>
      </w:pPr>
    </w:p>
    <w:p w14:paraId="65212914" w14:textId="77777777" w:rsidR="00E31381" w:rsidRPr="00AE2676" w:rsidRDefault="00E31381" w:rsidP="00AE2676">
      <w:pPr>
        <w:tabs>
          <w:tab w:val="left" w:pos="284"/>
        </w:tabs>
        <w:spacing w:line="276" w:lineRule="auto"/>
        <w:rPr>
          <w:rFonts w:cs="Tahoma"/>
          <w:b/>
          <w:bCs/>
          <w:szCs w:val="24"/>
        </w:rPr>
      </w:pPr>
    </w:p>
    <w:p w14:paraId="1F7497C8" w14:textId="41F11DE7" w:rsidR="009C6582" w:rsidRPr="00AE2676" w:rsidRDefault="009C6582" w:rsidP="00AE2676">
      <w:pPr>
        <w:pStyle w:val="Prrafodelista"/>
        <w:numPr>
          <w:ilvl w:val="0"/>
          <w:numId w:val="5"/>
        </w:numPr>
        <w:tabs>
          <w:tab w:val="left" w:pos="284"/>
        </w:tabs>
        <w:spacing w:line="276" w:lineRule="auto"/>
        <w:jc w:val="center"/>
        <w:rPr>
          <w:rFonts w:cs="Tahoma"/>
          <w:szCs w:val="24"/>
        </w:rPr>
      </w:pPr>
      <w:r w:rsidRPr="00AE2676">
        <w:rPr>
          <w:rFonts w:cs="Tahoma"/>
          <w:b/>
          <w:bCs/>
          <w:szCs w:val="24"/>
        </w:rPr>
        <w:t>Antecedentes procesales</w:t>
      </w:r>
    </w:p>
    <w:p w14:paraId="65F3B416" w14:textId="515096A5" w:rsidR="009C6582" w:rsidRPr="00AE2676" w:rsidRDefault="009C6582" w:rsidP="00AE2676">
      <w:pPr>
        <w:tabs>
          <w:tab w:val="left" w:pos="284"/>
        </w:tabs>
        <w:spacing w:line="276" w:lineRule="auto"/>
        <w:rPr>
          <w:rFonts w:cs="Tahoma"/>
          <w:szCs w:val="24"/>
        </w:rPr>
      </w:pPr>
    </w:p>
    <w:p w14:paraId="1BB00BF0" w14:textId="0070340F" w:rsidR="009C6582" w:rsidRPr="00AE2676" w:rsidRDefault="00067DCF" w:rsidP="00AE2676">
      <w:pPr>
        <w:tabs>
          <w:tab w:val="left" w:pos="284"/>
        </w:tabs>
        <w:spacing w:line="276" w:lineRule="auto"/>
        <w:rPr>
          <w:rFonts w:cs="Tahoma"/>
          <w:szCs w:val="24"/>
        </w:rPr>
      </w:pPr>
      <w:r w:rsidRPr="00AE2676">
        <w:rPr>
          <w:rFonts w:cs="Tahoma"/>
          <w:szCs w:val="24"/>
        </w:rPr>
        <w:tab/>
      </w:r>
      <w:r w:rsidR="2C8273EA" w:rsidRPr="00AE2676">
        <w:rPr>
          <w:rFonts w:cs="Tahoma"/>
          <w:szCs w:val="24"/>
        </w:rPr>
        <w:t xml:space="preserve">Pretende la señora </w:t>
      </w:r>
      <w:r w:rsidR="2C8273EA" w:rsidRPr="00AE2676">
        <w:rPr>
          <w:rFonts w:cs="Tahoma"/>
          <w:b/>
          <w:bCs/>
          <w:szCs w:val="24"/>
        </w:rPr>
        <w:t>SOFIA GIRALDO CASTRO</w:t>
      </w:r>
      <w:r w:rsidR="2C8273EA" w:rsidRPr="00AE2676">
        <w:rPr>
          <w:rFonts w:cs="Tahoma"/>
          <w:szCs w:val="24"/>
        </w:rPr>
        <w:t xml:space="preserve"> que se declare que el accidente sufrido el 28 de diciembre de 2015 lo fue por causas atribuibles a la empresa LACASSINE S.A.S. y en consecuencia, se condene a esta última </w:t>
      </w:r>
      <w:r w:rsidR="7A1A5886" w:rsidRPr="00AE2676">
        <w:rPr>
          <w:rFonts w:cs="Tahoma"/>
          <w:szCs w:val="24"/>
        </w:rPr>
        <w:t xml:space="preserve">y solidariamente al SENA </w:t>
      </w:r>
      <w:r w:rsidR="2C8273EA" w:rsidRPr="00AE2676">
        <w:rPr>
          <w:rFonts w:cs="Tahoma"/>
          <w:szCs w:val="24"/>
        </w:rPr>
        <w:t xml:space="preserve">al pago de la </w:t>
      </w:r>
      <w:r w:rsidR="00E674D7" w:rsidRPr="00AE2676">
        <w:rPr>
          <w:rFonts w:cs="Tahoma"/>
          <w:i/>
          <w:szCs w:val="24"/>
        </w:rPr>
        <w:t>“</w:t>
      </w:r>
      <w:r w:rsidR="2C8273EA" w:rsidRPr="00AE2676">
        <w:rPr>
          <w:rFonts w:cs="Tahoma"/>
          <w:b/>
          <w:bCs/>
          <w:i/>
          <w:szCs w:val="24"/>
        </w:rPr>
        <w:t>culpa plena de perjuicios</w:t>
      </w:r>
      <w:r w:rsidR="00E674D7" w:rsidRPr="00AE2676">
        <w:rPr>
          <w:rFonts w:cs="Tahoma"/>
          <w:b/>
          <w:bCs/>
          <w:i/>
          <w:szCs w:val="24"/>
        </w:rPr>
        <w:t>”</w:t>
      </w:r>
      <w:r w:rsidR="00E674D7" w:rsidRPr="00AE2676">
        <w:rPr>
          <w:rFonts w:cs="Tahoma"/>
          <w:b/>
          <w:bCs/>
          <w:szCs w:val="24"/>
        </w:rPr>
        <w:t xml:space="preserve"> </w:t>
      </w:r>
      <w:r w:rsidR="00E674D7" w:rsidRPr="00AE2676">
        <w:rPr>
          <w:rFonts w:cs="Tahoma"/>
          <w:bCs/>
          <w:szCs w:val="24"/>
        </w:rPr>
        <w:t>(sic)</w:t>
      </w:r>
      <w:r w:rsidR="2C8273EA" w:rsidRPr="00AE2676">
        <w:rPr>
          <w:rFonts w:cs="Tahoma"/>
          <w:szCs w:val="24"/>
        </w:rPr>
        <w:t xml:space="preserve"> contemplada en el </w:t>
      </w:r>
      <w:r w:rsidR="00E674D7" w:rsidRPr="00AE2676">
        <w:rPr>
          <w:rFonts w:cs="Tahoma"/>
          <w:szCs w:val="24"/>
        </w:rPr>
        <w:t>artículo</w:t>
      </w:r>
      <w:r w:rsidR="2C8273EA" w:rsidRPr="00AE2676">
        <w:rPr>
          <w:rFonts w:cs="Tahoma"/>
          <w:szCs w:val="24"/>
        </w:rPr>
        <w:t xml:space="preserve"> 216 del CSTSS a título de lucro cesante consolidado y futuro, además de la indemnización de perjuicios morales y costas del proceso.</w:t>
      </w:r>
    </w:p>
    <w:p w14:paraId="71C6FE4B" w14:textId="7A167522" w:rsidR="009C6582" w:rsidRPr="00AE2676" w:rsidRDefault="009C6582" w:rsidP="00AE2676">
      <w:pPr>
        <w:tabs>
          <w:tab w:val="left" w:pos="284"/>
        </w:tabs>
        <w:spacing w:line="276" w:lineRule="auto"/>
        <w:rPr>
          <w:rFonts w:cs="Tahoma"/>
          <w:szCs w:val="24"/>
        </w:rPr>
      </w:pPr>
    </w:p>
    <w:p w14:paraId="4A989D26" w14:textId="75D9D572" w:rsidR="009C6582" w:rsidRPr="00AE2676" w:rsidRDefault="00067DCF" w:rsidP="00AE2676">
      <w:pPr>
        <w:tabs>
          <w:tab w:val="left" w:pos="284"/>
        </w:tabs>
        <w:spacing w:line="276" w:lineRule="auto"/>
        <w:rPr>
          <w:rFonts w:cs="Tahoma"/>
          <w:szCs w:val="24"/>
        </w:rPr>
      </w:pPr>
      <w:r w:rsidRPr="00AE2676">
        <w:rPr>
          <w:rFonts w:cs="Tahoma"/>
          <w:szCs w:val="24"/>
        </w:rPr>
        <w:tab/>
      </w:r>
      <w:r w:rsidR="2C8273EA" w:rsidRPr="00AE2676">
        <w:rPr>
          <w:rFonts w:cs="Tahoma"/>
          <w:szCs w:val="24"/>
        </w:rPr>
        <w:t xml:space="preserve">En síntesis, </w:t>
      </w:r>
      <w:r w:rsidR="29075F32" w:rsidRPr="00AE2676">
        <w:rPr>
          <w:rFonts w:cs="Tahoma"/>
          <w:szCs w:val="24"/>
        </w:rPr>
        <w:t xml:space="preserve">sustenta las pretensiones en los siguientes hechos a saber: (i) el 23 de diciembre de 2015 fue vinculada mediante un contrato de aprendizaje a la empresa </w:t>
      </w:r>
      <w:proofErr w:type="spellStart"/>
      <w:r w:rsidR="29075F32" w:rsidRPr="00AE2676">
        <w:rPr>
          <w:rFonts w:cs="Tahoma"/>
          <w:szCs w:val="24"/>
        </w:rPr>
        <w:t>LACASSINE</w:t>
      </w:r>
      <w:proofErr w:type="spellEnd"/>
      <w:r w:rsidR="29075F32" w:rsidRPr="00AE2676">
        <w:rPr>
          <w:rFonts w:cs="Tahoma"/>
          <w:szCs w:val="24"/>
        </w:rPr>
        <w:t xml:space="preserve"> S.A.S; (ii) el servicio prestado fue en la especialidad de auxiliar de cocina, en virtud de sus estudios en el SENA en la fase pr</w:t>
      </w:r>
      <w:r w:rsidR="25A0B72B" w:rsidRPr="00AE2676">
        <w:rPr>
          <w:rFonts w:cs="Tahoma"/>
          <w:szCs w:val="24"/>
        </w:rPr>
        <w:t>á</w:t>
      </w:r>
      <w:r w:rsidR="29075F32" w:rsidRPr="00AE2676">
        <w:rPr>
          <w:rFonts w:cs="Tahoma"/>
          <w:szCs w:val="24"/>
        </w:rPr>
        <w:t xml:space="preserve">ctica; (iii) el 28 de diciembre de 2015 sufrió un accidente laboral mientras prestaba sus servicios en el área de buffet del Hotel </w:t>
      </w:r>
      <w:proofErr w:type="spellStart"/>
      <w:r w:rsidR="29075F32" w:rsidRPr="00AE2676">
        <w:rPr>
          <w:rFonts w:cs="Tahoma"/>
          <w:szCs w:val="24"/>
        </w:rPr>
        <w:t>Sonesta</w:t>
      </w:r>
      <w:proofErr w:type="spellEnd"/>
      <w:r w:rsidR="29075F32" w:rsidRPr="00AE2676">
        <w:rPr>
          <w:rFonts w:cs="Tahoma"/>
          <w:szCs w:val="24"/>
        </w:rPr>
        <w:t xml:space="preserve">; (iv) el accidente consistió en que al proceder a encender un “mechero del samovar” explotó el galón en donde se almacenaba el alcohol de uso industrial ocasionándole quemaduras en la cara, brazos, muñecas y muslo izquierdo; (v) el 19 de abril de 2016 fue valorada por medicina legal, otorgándosele 45 días de incapacidad y como secuelas deformidad física de carácter permanente; (vi) </w:t>
      </w:r>
      <w:r w:rsidR="47982FB6" w:rsidRPr="00AE2676">
        <w:rPr>
          <w:rFonts w:cs="Tahoma"/>
          <w:szCs w:val="24"/>
        </w:rPr>
        <w:t xml:space="preserve">fue </w:t>
      </w:r>
      <w:r w:rsidR="29075F32" w:rsidRPr="00AE2676">
        <w:rPr>
          <w:rFonts w:cs="Tahoma"/>
          <w:szCs w:val="24"/>
        </w:rPr>
        <w:t xml:space="preserve">calificada por la ARL POSITIVA S.A. por dictamen del 27 de julio de 2016, </w:t>
      </w:r>
      <w:r w:rsidR="47982FB6" w:rsidRPr="00AE2676">
        <w:rPr>
          <w:rFonts w:cs="Tahoma"/>
          <w:szCs w:val="24"/>
        </w:rPr>
        <w:t xml:space="preserve">determinándosele </w:t>
      </w:r>
      <w:r w:rsidR="29075F32" w:rsidRPr="00AE2676">
        <w:rPr>
          <w:rFonts w:cs="Tahoma"/>
          <w:szCs w:val="24"/>
        </w:rPr>
        <w:t xml:space="preserve">un 8.30% de PCL de origen profesional, la cual </w:t>
      </w:r>
      <w:r w:rsidR="4DE6A429" w:rsidRPr="00AE2676">
        <w:rPr>
          <w:rFonts w:cs="Tahoma"/>
          <w:szCs w:val="24"/>
        </w:rPr>
        <w:t>estructuró</w:t>
      </w:r>
      <w:r w:rsidR="29075F32" w:rsidRPr="00AE2676">
        <w:rPr>
          <w:rFonts w:cs="Tahoma"/>
          <w:szCs w:val="24"/>
        </w:rPr>
        <w:t xml:space="preserve"> desde el 28-05-2016., </w:t>
      </w:r>
      <w:r w:rsidR="47982FB6" w:rsidRPr="00AE2676">
        <w:rPr>
          <w:rFonts w:cs="Tahoma"/>
          <w:szCs w:val="24"/>
        </w:rPr>
        <w:t xml:space="preserve">dictamen que fue modificado </w:t>
      </w:r>
      <w:r w:rsidR="29075F32" w:rsidRPr="00AE2676">
        <w:rPr>
          <w:rFonts w:cs="Tahoma"/>
          <w:szCs w:val="24"/>
        </w:rPr>
        <w:t>por la Junta Regional de Calificación de invalidez el 24-10-2016 aument</w:t>
      </w:r>
      <w:r w:rsidR="4DE6A429" w:rsidRPr="00AE2676">
        <w:rPr>
          <w:rFonts w:cs="Tahoma"/>
          <w:szCs w:val="24"/>
        </w:rPr>
        <w:t>á</w:t>
      </w:r>
      <w:r w:rsidR="29075F32" w:rsidRPr="00AE2676">
        <w:rPr>
          <w:rFonts w:cs="Tahoma"/>
          <w:szCs w:val="24"/>
        </w:rPr>
        <w:t>ndolo al 13.10% de PCL.</w:t>
      </w:r>
      <w:r w:rsidR="4DE6A429" w:rsidRPr="00AE2676">
        <w:rPr>
          <w:rFonts w:cs="Tahoma"/>
          <w:szCs w:val="24"/>
        </w:rPr>
        <w:t>; (vii) el diagnóstico definitivo consistió en “</w:t>
      </w:r>
      <w:r w:rsidR="4DE6A429" w:rsidRPr="00AE2676">
        <w:rPr>
          <w:rFonts w:cs="Tahoma"/>
          <w:i/>
          <w:iCs/>
          <w:sz w:val="22"/>
          <w:szCs w:val="24"/>
        </w:rPr>
        <w:t>quemadura de región del cuerpo y grado no especificados</w:t>
      </w:r>
      <w:r w:rsidR="4DE6A429" w:rsidRPr="00AE2676">
        <w:rPr>
          <w:rFonts w:cs="Tahoma"/>
          <w:i/>
          <w:iCs/>
          <w:szCs w:val="24"/>
        </w:rPr>
        <w:t xml:space="preserve">” </w:t>
      </w:r>
      <w:r w:rsidR="4DE6A429" w:rsidRPr="00AE2676">
        <w:rPr>
          <w:rFonts w:cs="Tahoma"/>
          <w:szCs w:val="24"/>
        </w:rPr>
        <w:t>y como específico “</w:t>
      </w:r>
      <w:r w:rsidR="4DE6A429" w:rsidRPr="00AE2676">
        <w:rPr>
          <w:rFonts w:cs="Tahoma"/>
          <w:i/>
          <w:iCs/>
          <w:sz w:val="22"/>
          <w:szCs w:val="24"/>
        </w:rPr>
        <w:t>grado III en mano izquierda y otros de un 4% de extensión grado II en mano izquierda, muslo, además área donante de un 11% grado 1 en cara y miembros superiores de un 12%</w:t>
      </w:r>
      <w:r w:rsidR="4DE6A429" w:rsidRPr="00AE2676">
        <w:rPr>
          <w:rFonts w:cs="Tahoma"/>
          <w:i/>
          <w:iCs/>
          <w:szCs w:val="24"/>
        </w:rPr>
        <w:t>”</w:t>
      </w:r>
      <w:r w:rsidR="4DE6A429" w:rsidRPr="00AE2676">
        <w:rPr>
          <w:rFonts w:cs="Tahoma"/>
          <w:szCs w:val="24"/>
        </w:rPr>
        <w:t xml:space="preserve">; (viii) </w:t>
      </w:r>
      <w:r w:rsidR="41F0C003" w:rsidRPr="00AE2676">
        <w:rPr>
          <w:rFonts w:cs="Tahoma"/>
          <w:szCs w:val="24"/>
        </w:rPr>
        <w:t xml:space="preserve">ni </w:t>
      </w:r>
      <w:r w:rsidR="4DE6A429" w:rsidRPr="00AE2676">
        <w:rPr>
          <w:rFonts w:cs="Tahoma"/>
          <w:szCs w:val="24"/>
        </w:rPr>
        <w:t xml:space="preserve">la empresa demandada </w:t>
      </w:r>
      <w:r w:rsidR="2AE409EE" w:rsidRPr="00AE2676">
        <w:rPr>
          <w:rFonts w:cs="Tahoma"/>
          <w:szCs w:val="24"/>
        </w:rPr>
        <w:t xml:space="preserve">ni el SENA </w:t>
      </w:r>
      <w:r w:rsidR="4DE6A429" w:rsidRPr="00AE2676">
        <w:rPr>
          <w:rFonts w:cs="Tahoma"/>
          <w:szCs w:val="24"/>
        </w:rPr>
        <w:t>capacit</w:t>
      </w:r>
      <w:r w:rsidR="2AE409EE" w:rsidRPr="00AE2676">
        <w:rPr>
          <w:rFonts w:cs="Tahoma"/>
          <w:szCs w:val="24"/>
        </w:rPr>
        <w:t xml:space="preserve">aron </w:t>
      </w:r>
      <w:r w:rsidR="4DE6A429" w:rsidRPr="00AE2676">
        <w:rPr>
          <w:rFonts w:cs="Tahoma"/>
          <w:szCs w:val="24"/>
        </w:rPr>
        <w:t xml:space="preserve">a la actora en la manipulación del mechero </w:t>
      </w:r>
      <w:r w:rsidR="1DDB65BA" w:rsidRPr="00AE2676">
        <w:rPr>
          <w:rFonts w:cs="Tahoma"/>
          <w:szCs w:val="24"/>
        </w:rPr>
        <w:t>del samovar ni en la manipulación de líquidos inflamables como originarias d</w:t>
      </w:r>
      <w:r w:rsidR="4DE6A429" w:rsidRPr="00AE2676">
        <w:rPr>
          <w:rFonts w:cs="Tahoma"/>
          <w:szCs w:val="24"/>
        </w:rPr>
        <w:t xml:space="preserve">el accidente, </w:t>
      </w:r>
      <w:r w:rsidR="47982FB6" w:rsidRPr="00AE2676">
        <w:rPr>
          <w:rFonts w:cs="Tahoma"/>
          <w:szCs w:val="24"/>
        </w:rPr>
        <w:t xml:space="preserve">tampoco </w:t>
      </w:r>
      <w:r w:rsidR="4DE6A429" w:rsidRPr="00AE2676">
        <w:rPr>
          <w:rFonts w:cs="Tahoma"/>
          <w:szCs w:val="24"/>
        </w:rPr>
        <w:t xml:space="preserve">le </w:t>
      </w:r>
      <w:r w:rsidR="47982FB6" w:rsidRPr="00AE2676">
        <w:rPr>
          <w:rFonts w:cs="Tahoma"/>
          <w:szCs w:val="24"/>
        </w:rPr>
        <w:t xml:space="preserve">suministraron </w:t>
      </w:r>
      <w:r w:rsidR="4DE6A429" w:rsidRPr="00AE2676">
        <w:rPr>
          <w:rFonts w:cs="Tahoma"/>
          <w:szCs w:val="24"/>
        </w:rPr>
        <w:t xml:space="preserve">implementos de protección ni </w:t>
      </w:r>
      <w:r w:rsidR="47982FB6" w:rsidRPr="00AE2676">
        <w:rPr>
          <w:rFonts w:cs="Tahoma"/>
          <w:szCs w:val="24"/>
        </w:rPr>
        <w:t xml:space="preserve">se adoptaron </w:t>
      </w:r>
      <w:r w:rsidR="4DE6A429" w:rsidRPr="00AE2676">
        <w:rPr>
          <w:rFonts w:cs="Tahoma"/>
          <w:szCs w:val="24"/>
        </w:rPr>
        <w:t>mecanismos de protección para la manipulación de mecheros y sustancias inflamables; (i</w:t>
      </w:r>
      <w:r w:rsidR="2AE409EE" w:rsidRPr="00AE2676">
        <w:rPr>
          <w:rFonts w:cs="Tahoma"/>
          <w:szCs w:val="24"/>
        </w:rPr>
        <w:t>x</w:t>
      </w:r>
      <w:r w:rsidR="4DE6A429" w:rsidRPr="00AE2676">
        <w:rPr>
          <w:rFonts w:cs="Tahoma"/>
          <w:szCs w:val="24"/>
        </w:rPr>
        <w:t xml:space="preserve">) </w:t>
      </w:r>
      <w:r w:rsidR="2AE409EE" w:rsidRPr="00AE2676">
        <w:rPr>
          <w:rFonts w:cs="Tahoma"/>
          <w:szCs w:val="24"/>
        </w:rPr>
        <w:t xml:space="preserve">el SENA no hizo </w:t>
      </w:r>
      <w:r w:rsidR="2AE409EE" w:rsidRPr="00AE2676">
        <w:rPr>
          <w:rFonts w:cs="Tahoma"/>
          <w:szCs w:val="24"/>
        </w:rPr>
        <w:lastRenderedPageBreak/>
        <w:t xml:space="preserve">seguimiento a las actividades que debía de realizar la aprendiz a favor de la empresa demandada; (x) según respuesta de la ARL la empresa demandada no registró informes de investigación sobre la ocurrencia del evento en los términos del </w:t>
      </w:r>
      <w:r w:rsidR="00E674D7" w:rsidRPr="00AE2676">
        <w:rPr>
          <w:rFonts w:cs="Tahoma"/>
          <w:szCs w:val="24"/>
        </w:rPr>
        <w:t>artículo</w:t>
      </w:r>
      <w:r w:rsidR="2AE409EE" w:rsidRPr="00AE2676">
        <w:rPr>
          <w:rFonts w:cs="Tahoma"/>
          <w:szCs w:val="24"/>
        </w:rPr>
        <w:t xml:space="preserve"> 14 de la resolución 1401 de 2007; (xi) </w:t>
      </w:r>
      <w:r w:rsidR="4DE6A429" w:rsidRPr="00AE2676">
        <w:rPr>
          <w:rFonts w:cs="Tahoma"/>
          <w:szCs w:val="24"/>
        </w:rPr>
        <w:t xml:space="preserve">con ocasión del accidente la demandante durante el proceso de recuperación entró en crisis depresiva al ver su rostro y cuerpo quemado, impidiéndole volver a departir con amigos por las quemaduras y dolores constantes y viéndose afectada </w:t>
      </w:r>
      <w:r w:rsidR="47982FB6" w:rsidRPr="00AE2676">
        <w:rPr>
          <w:rFonts w:cs="Tahoma"/>
          <w:szCs w:val="24"/>
        </w:rPr>
        <w:t xml:space="preserve">en </w:t>
      </w:r>
      <w:r w:rsidR="4DE6A429" w:rsidRPr="00AE2676">
        <w:rPr>
          <w:rFonts w:cs="Tahoma"/>
          <w:szCs w:val="24"/>
        </w:rPr>
        <w:t>su relación con los padres; (x</w:t>
      </w:r>
      <w:r w:rsidR="2AE409EE" w:rsidRPr="00AE2676">
        <w:rPr>
          <w:rFonts w:cs="Tahoma"/>
          <w:szCs w:val="24"/>
        </w:rPr>
        <w:t>ii</w:t>
      </w:r>
      <w:r w:rsidR="4DE6A429" w:rsidRPr="00AE2676">
        <w:rPr>
          <w:rFonts w:cs="Tahoma"/>
          <w:szCs w:val="24"/>
        </w:rPr>
        <w:t>) el 12 de mayo de 2016 le fue terminado el contrato de aprendizaje de manera unilateral justificándolo en “</w:t>
      </w:r>
      <w:r w:rsidR="4DE6A429" w:rsidRPr="00AE2676">
        <w:rPr>
          <w:rFonts w:cs="Tahoma"/>
          <w:i/>
          <w:iCs/>
          <w:sz w:val="22"/>
          <w:szCs w:val="24"/>
        </w:rPr>
        <w:t>ausencias reiterativas sin justificación o soporte de incapacidades médicas</w:t>
      </w:r>
      <w:r w:rsidR="4DE6A429" w:rsidRPr="00AE2676">
        <w:rPr>
          <w:rFonts w:cs="Tahoma"/>
          <w:i/>
          <w:iCs/>
          <w:szCs w:val="24"/>
        </w:rPr>
        <w:t>”</w:t>
      </w:r>
      <w:r w:rsidR="25F988A0" w:rsidRPr="00AE2676">
        <w:rPr>
          <w:rFonts w:cs="Tahoma"/>
          <w:i/>
          <w:iCs/>
          <w:szCs w:val="24"/>
        </w:rPr>
        <w:t>.</w:t>
      </w:r>
    </w:p>
    <w:p w14:paraId="1867ADEC" w14:textId="5F112E99" w:rsidR="001863CB" w:rsidRPr="00AE2676" w:rsidRDefault="001863CB" w:rsidP="00AE2676">
      <w:pPr>
        <w:tabs>
          <w:tab w:val="left" w:pos="284"/>
        </w:tabs>
        <w:spacing w:line="276" w:lineRule="auto"/>
        <w:rPr>
          <w:rFonts w:cs="Tahoma"/>
          <w:szCs w:val="24"/>
        </w:rPr>
      </w:pPr>
    </w:p>
    <w:p w14:paraId="31358A16" w14:textId="2417FBFA" w:rsidR="001863CB" w:rsidRPr="00AE2676" w:rsidRDefault="00067DCF" w:rsidP="00AE2676">
      <w:pPr>
        <w:tabs>
          <w:tab w:val="left" w:pos="284"/>
        </w:tabs>
        <w:spacing w:line="276" w:lineRule="auto"/>
        <w:rPr>
          <w:rFonts w:cs="Tahoma"/>
          <w:szCs w:val="24"/>
        </w:rPr>
      </w:pPr>
      <w:r w:rsidRPr="00AE2676">
        <w:rPr>
          <w:rFonts w:cs="Tahoma"/>
          <w:szCs w:val="24"/>
        </w:rPr>
        <w:tab/>
      </w:r>
      <w:r w:rsidR="001863CB" w:rsidRPr="00AE2676">
        <w:rPr>
          <w:rFonts w:cs="Tahoma"/>
          <w:b/>
          <w:bCs/>
          <w:szCs w:val="24"/>
        </w:rPr>
        <w:t>LACASSINNE S.A.S.</w:t>
      </w:r>
      <w:r w:rsidR="001863CB" w:rsidRPr="00AE2676">
        <w:rPr>
          <w:rFonts w:cs="Tahoma"/>
          <w:szCs w:val="24"/>
        </w:rPr>
        <w:t xml:space="preserve"> al contestar se opuso a las pretensiones, negando que el accidente sufrido por la actora lo hubiera sido por culpa imputable a la empresa, sino que era por culpa exclusiva de la víctima</w:t>
      </w:r>
      <w:r w:rsidR="001A2478" w:rsidRPr="00AE2676">
        <w:rPr>
          <w:rFonts w:cs="Tahoma"/>
          <w:szCs w:val="24"/>
        </w:rPr>
        <w:t xml:space="preserve">, sin existir nexo de causalidad entre el daño sufrido por la aprendiz y la acción u omisión de la demandada, además que no era posible la aplicación del </w:t>
      </w:r>
      <w:r w:rsidR="00E674D7" w:rsidRPr="00AE2676">
        <w:rPr>
          <w:rFonts w:cs="Tahoma"/>
          <w:szCs w:val="24"/>
        </w:rPr>
        <w:t>artículo</w:t>
      </w:r>
      <w:r w:rsidR="001A2478" w:rsidRPr="00AE2676">
        <w:rPr>
          <w:rFonts w:cs="Tahoma"/>
          <w:szCs w:val="24"/>
        </w:rPr>
        <w:t xml:space="preserve"> 2</w:t>
      </w:r>
      <w:r w:rsidR="00E674D7" w:rsidRPr="00AE2676">
        <w:rPr>
          <w:rFonts w:cs="Tahoma"/>
          <w:szCs w:val="24"/>
        </w:rPr>
        <w:t>1</w:t>
      </w:r>
      <w:r w:rsidR="001A2478" w:rsidRPr="00AE2676">
        <w:rPr>
          <w:rFonts w:cs="Tahoma"/>
          <w:szCs w:val="24"/>
        </w:rPr>
        <w:t xml:space="preserve">6 del </w:t>
      </w:r>
      <w:proofErr w:type="spellStart"/>
      <w:r w:rsidR="001A2478" w:rsidRPr="00AE2676">
        <w:rPr>
          <w:rFonts w:cs="Tahoma"/>
          <w:szCs w:val="24"/>
        </w:rPr>
        <w:t>CST</w:t>
      </w:r>
      <w:proofErr w:type="spellEnd"/>
      <w:r w:rsidR="001A2478" w:rsidRPr="00AE2676">
        <w:rPr>
          <w:rFonts w:cs="Tahoma"/>
          <w:szCs w:val="24"/>
        </w:rPr>
        <w:t xml:space="preserve"> a falta de la existencia de un contrato de trabajo</w:t>
      </w:r>
      <w:r w:rsidR="009302D8" w:rsidRPr="00AE2676">
        <w:rPr>
          <w:rFonts w:cs="Tahoma"/>
          <w:szCs w:val="24"/>
        </w:rPr>
        <w:t>. Como medios exceptivos, en lo que interesa al recurso, presentó como previas la falta de jurisdicción o competencia; ineptitud de la demanda e indebida acumulación de pretensiones.</w:t>
      </w:r>
    </w:p>
    <w:p w14:paraId="695E3B2D" w14:textId="6646F79A" w:rsidR="001863CB" w:rsidRPr="00AE2676" w:rsidRDefault="001863CB" w:rsidP="00AE2676">
      <w:pPr>
        <w:tabs>
          <w:tab w:val="left" w:pos="284"/>
        </w:tabs>
        <w:spacing w:line="276" w:lineRule="auto"/>
        <w:rPr>
          <w:rFonts w:cs="Tahoma"/>
          <w:szCs w:val="24"/>
        </w:rPr>
      </w:pPr>
    </w:p>
    <w:p w14:paraId="4B95AB68" w14:textId="2DE9B757" w:rsidR="003E5349" w:rsidRPr="00AE2676" w:rsidRDefault="00385CD8" w:rsidP="00AE2676">
      <w:pPr>
        <w:tabs>
          <w:tab w:val="left" w:pos="284"/>
        </w:tabs>
        <w:spacing w:line="276" w:lineRule="auto"/>
        <w:rPr>
          <w:rFonts w:cs="Tahoma"/>
          <w:szCs w:val="24"/>
        </w:rPr>
      </w:pPr>
      <w:r w:rsidRPr="00AE2676">
        <w:rPr>
          <w:rFonts w:cs="Tahoma"/>
          <w:szCs w:val="24"/>
        </w:rPr>
        <w:tab/>
      </w:r>
      <w:r w:rsidR="003E5349" w:rsidRPr="00AE2676">
        <w:rPr>
          <w:rFonts w:cs="Tahoma"/>
          <w:szCs w:val="24"/>
        </w:rPr>
        <w:t xml:space="preserve">El </w:t>
      </w:r>
      <w:r w:rsidR="003E5349" w:rsidRPr="00AE2676">
        <w:rPr>
          <w:rFonts w:cs="Tahoma"/>
          <w:b/>
          <w:bCs/>
          <w:szCs w:val="24"/>
        </w:rPr>
        <w:tab/>
        <w:t>SENA</w:t>
      </w:r>
      <w:r w:rsidR="003E5349" w:rsidRPr="00AE2676">
        <w:rPr>
          <w:rFonts w:cs="Tahoma"/>
          <w:szCs w:val="24"/>
        </w:rPr>
        <w:t xml:space="preserve"> al contestar se opuso a lo pretendido, hizo referencia a que las capacitaciones, órdenes y manipulaciones de sustancias peligrosas correspondía a la empresa que firmó el contrato con </w:t>
      </w:r>
      <w:proofErr w:type="gramStart"/>
      <w:r w:rsidR="003E5349" w:rsidRPr="00AE2676">
        <w:rPr>
          <w:rFonts w:cs="Tahoma"/>
          <w:szCs w:val="24"/>
        </w:rPr>
        <w:t>la</w:t>
      </w:r>
      <w:proofErr w:type="gramEnd"/>
      <w:r w:rsidR="003E5349" w:rsidRPr="00AE2676">
        <w:rPr>
          <w:rFonts w:cs="Tahoma"/>
          <w:szCs w:val="24"/>
        </w:rPr>
        <w:t xml:space="preserve"> aprendiz</w:t>
      </w:r>
      <w:r w:rsidRPr="00AE2676">
        <w:rPr>
          <w:rFonts w:cs="Tahoma"/>
          <w:szCs w:val="24"/>
        </w:rPr>
        <w:t>,</w:t>
      </w:r>
      <w:r w:rsidR="003E5349" w:rsidRPr="00AE2676">
        <w:rPr>
          <w:rFonts w:cs="Tahoma"/>
          <w:szCs w:val="24"/>
        </w:rPr>
        <w:t xml:space="preserve"> por lo tanto cualquier responsabilidad era exclusivamente de la empresa patrocinadora y no del Sena y, en tales términos presentó excepciones de mérito.</w:t>
      </w:r>
    </w:p>
    <w:p w14:paraId="14F1B135" w14:textId="1727EDC3" w:rsidR="003E5349" w:rsidRDefault="003E5349" w:rsidP="00AE2676">
      <w:pPr>
        <w:tabs>
          <w:tab w:val="left" w:pos="284"/>
        </w:tabs>
        <w:spacing w:line="276" w:lineRule="auto"/>
        <w:rPr>
          <w:rFonts w:cs="Tahoma"/>
          <w:szCs w:val="24"/>
        </w:rPr>
      </w:pPr>
    </w:p>
    <w:p w14:paraId="4431DE40" w14:textId="77777777" w:rsidR="00E31381" w:rsidRPr="00AE2676" w:rsidRDefault="00E31381" w:rsidP="00AE2676">
      <w:pPr>
        <w:tabs>
          <w:tab w:val="left" w:pos="284"/>
        </w:tabs>
        <w:spacing w:line="276" w:lineRule="auto"/>
        <w:rPr>
          <w:rFonts w:cs="Tahoma"/>
          <w:szCs w:val="24"/>
        </w:rPr>
      </w:pPr>
    </w:p>
    <w:p w14:paraId="22F6E76F" w14:textId="5C2E8667" w:rsidR="009C6582" w:rsidRPr="00AE2676" w:rsidRDefault="00D441E9" w:rsidP="00AE2676">
      <w:pPr>
        <w:pStyle w:val="Prrafodelista"/>
        <w:numPr>
          <w:ilvl w:val="0"/>
          <w:numId w:val="5"/>
        </w:numPr>
        <w:tabs>
          <w:tab w:val="left" w:pos="284"/>
        </w:tabs>
        <w:spacing w:line="276" w:lineRule="auto"/>
        <w:jc w:val="center"/>
        <w:rPr>
          <w:rFonts w:cs="Tahoma"/>
          <w:b/>
          <w:bCs/>
          <w:szCs w:val="24"/>
        </w:rPr>
      </w:pPr>
      <w:r w:rsidRPr="00AE2676">
        <w:rPr>
          <w:rFonts w:cs="Tahoma"/>
          <w:b/>
          <w:bCs/>
          <w:szCs w:val="24"/>
        </w:rPr>
        <w:t xml:space="preserve">Auto </w:t>
      </w:r>
      <w:r w:rsidR="00F10D54" w:rsidRPr="00AE2676">
        <w:rPr>
          <w:rFonts w:cs="Tahoma"/>
          <w:b/>
          <w:bCs/>
          <w:szCs w:val="24"/>
        </w:rPr>
        <w:t>objeto de apelación</w:t>
      </w:r>
    </w:p>
    <w:p w14:paraId="6A38AC32" w14:textId="1B32E889" w:rsidR="009C6582" w:rsidRPr="00AE2676" w:rsidRDefault="009C6582" w:rsidP="00AE2676">
      <w:pPr>
        <w:tabs>
          <w:tab w:val="left" w:pos="284"/>
        </w:tabs>
        <w:spacing w:line="276" w:lineRule="auto"/>
        <w:rPr>
          <w:rFonts w:cs="Tahoma"/>
          <w:szCs w:val="24"/>
        </w:rPr>
      </w:pPr>
    </w:p>
    <w:p w14:paraId="50F15D3D" w14:textId="6E6B40EB" w:rsidR="005447E7" w:rsidRPr="00AE2676" w:rsidRDefault="00067DCF" w:rsidP="00AE2676">
      <w:pPr>
        <w:tabs>
          <w:tab w:val="left" w:pos="284"/>
        </w:tabs>
        <w:spacing w:line="276" w:lineRule="auto"/>
        <w:rPr>
          <w:rFonts w:cs="Tahoma"/>
          <w:i/>
          <w:iCs/>
          <w:szCs w:val="24"/>
        </w:rPr>
      </w:pPr>
      <w:r w:rsidRPr="00AE2676">
        <w:rPr>
          <w:rFonts w:cs="Tahoma"/>
          <w:szCs w:val="24"/>
        </w:rPr>
        <w:tab/>
      </w:r>
      <w:r w:rsidR="00F10D54" w:rsidRPr="00AE2676">
        <w:rPr>
          <w:rFonts w:cs="Tahoma"/>
          <w:szCs w:val="24"/>
        </w:rPr>
        <w:t xml:space="preserve">La </w:t>
      </w:r>
      <w:r w:rsidR="005447E7" w:rsidRPr="00AE2676">
        <w:rPr>
          <w:rFonts w:cs="Tahoma"/>
          <w:szCs w:val="24"/>
        </w:rPr>
        <w:t>juez</w:t>
      </w:r>
      <w:r w:rsidR="00F10D54" w:rsidRPr="00AE2676">
        <w:rPr>
          <w:rFonts w:cs="Tahoma"/>
          <w:szCs w:val="24"/>
        </w:rPr>
        <w:t>a</w:t>
      </w:r>
      <w:r w:rsidR="005447E7" w:rsidRPr="00AE2676">
        <w:rPr>
          <w:rFonts w:cs="Tahoma"/>
          <w:szCs w:val="24"/>
        </w:rPr>
        <w:t xml:space="preserve"> de primera instancia mediante el auto interlocutorio censurado, al constituirse en primera audiencia de trámite y decidir las excepciones previas que se interpusieron, resolvió declarar no probadas las denominadas </w:t>
      </w:r>
      <w:r w:rsidR="005447E7" w:rsidRPr="00AE2676">
        <w:rPr>
          <w:rFonts w:cs="Tahoma"/>
          <w:b/>
          <w:bCs/>
          <w:i/>
          <w:iCs/>
          <w:szCs w:val="24"/>
        </w:rPr>
        <w:t>“Falta de jurisdicción o competencia, ineptitud de la demanda e indebida acumulación de pretensiones”.</w:t>
      </w:r>
      <w:r w:rsidR="005447E7" w:rsidRPr="00AE2676">
        <w:rPr>
          <w:rFonts w:cs="Tahoma"/>
          <w:i/>
          <w:iCs/>
          <w:szCs w:val="24"/>
        </w:rPr>
        <w:t xml:space="preserve">  </w:t>
      </w:r>
    </w:p>
    <w:p w14:paraId="57A41FC6" w14:textId="63C8DF42" w:rsidR="005447E7" w:rsidRPr="00AE2676" w:rsidRDefault="005447E7" w:rsidP="00AE2676">
      <w:pPr>
        <w:tabs>
          <w:tab w:val="left" w:pos="284"/>
        </w:tabs>
        <w:spacing w:line="276" w:lineRule="auto"/>
        <w:rPr>
          <w:rFonts w:cs="Tahoma"/>
          <w:i/>
          <w:iCs/>
          <w:szCs w:val="24"/>
        </w:rPr>
      </w:pPr>
    </w:p>
    <w:p w14:paraId="4283F473" w14:textId="68ED7A76" w:rsidR="005447E7" w:rsidRPr="00AE2676" w:rsidRDefault="00F744A1" w:rsidP="00AE2676">
      <w:pPr>
        <w:tabs>
          <w:tab w:val="left" w:pos="284"/>
        </w:tabs>
        <w:spacing w:line="276" w:lineRule="auto"/>
        <w:rPr>
          <w:rFonts w:cs="Tahoma"/>
          <w:szCs w:val="24"/>
        </w:rPr>
      </w:pPr>
      <w:r w:rsidRPr="00AE2676">
        <w:rPr>
          <w:rFonts w:cs="Tahoma"/>
          <w:szCs w:val="24"/>
        </w:rPr>
        <w:tab/>
      </w:r>
      <w:r w:rsidR="005447E7" w:rsidRPr="00AE2676">
        <w:rPr>
          <w:rFonts w:cs="Tahoma"/>
          <w:szCs w:val="24"/>
        </w:rPr>
        <w:t>En suma, consideró que (i) el Juez Laboral era competente para conocer del asunto en la medida que la actividad de los aprendices hacía parte del derecho laboral y su actividad estaba regulad</w:t>
      </w:r>
      <w:r w:rsidR="00E674D7" w:rsidRPr="00AE2676">
        <w:rPr>
          <w:rFonts w:cs="Tahoma"/>
          <w:szCs w:val="24"/>
        </w:rPr>
        <w:t>a</w:t>
      </w:r>
      <w:r w:rsidR="005447E7" w:rsidRPr="00AE2676">
        <w:rPr>
          <w:rFonts w:cs="Tahoma"/>
          <w:szCs w:val="24"/>
        </w:rPr>
        <w:t xml:space="preserve"> por estas normas (Art. 81 CST) siendo </w:t>
      </w:r>
      <w:r w:rsidR="00E674D7" w:rsidRPr="00AE2676">
        <w:rPr>
          <w:rFonts w:cs="Tahoma"/>
          <w:szCs w:val="24"/>
        </w:rPr>
        <w:t xml:space="preserve">el contrato de aprendizaje </w:t>
      </w:r>
      <w:r w:rsidR="005447E7" w:rsidRPr="00AE2676">
        <w:rPr>
          <w:rFonts w:cs="Tahoma"/>
          <w:szCs w:val="24"/>
        </w:rPr>
        <w:t xml:space="preserve">una forma de vinculación especial </w:t>
      </w:r>
      <w:r w:rsidR="00725CEB" w:rsidRPr="00AE2676">
        <w:rPr>
          <w:rFonts w:cs="Tahoma"/>
          <w:szCs w:val="24"/>
        </w:rPr>
        <w:t>y por ende</w:t>
      </w:r>
      <w:r w:rsidR="005447E7" w:rsidRPr="00AE2676">
        <w:rPr>
          <w:rFonts w:cs="Tahoma"/>
          <w:szCs w:val="24"/>
        </w:rPr>
        <w:t xml:space="preserve"> un conflicto cobijado por el artículo 2 del </w:t>
      </w:r>
      <w:proofErr w:type="spellStart"/>
      <w:r w:rsidR="005447E7" w:rsidRPr="00AE2676">
        <w:rPr>
          <w:rFonts w:cs="Tahoma"/>
          <w:szCs w:val="24"/>
        </w:rPr>
        <w:t>CPTSS</w:t>
      </w:r>
      <w:proofErr w:type="spellEnd"/>
      <w:r w:rsidR="005447E7" w:rsidRPr="00AE2676">
        <w:rPr>
          <w:rFonts w:cs="Tahoma"/>
          <w:szCs w:val="24"/>
        </w:rPr>
        <w:t xml:space="preserve">; </w:t>
      </w:r>
      <w:r w:rsidR="005447E7" w:rsidRPr="00AE2676">
        <w:rPr>
          <w:rFonts w:cs="Tahoma"/>
          <w:i/>
          <w:iCs/>
          <w:szCs w:val="24"/>
        </w:rPr>
        <w:t xml:space="preserve">(ii) </w:t>
      </w:r>
      <w:r w:rsidR="005447E7" w:rsidRPr="00AE2676">
        <w:rPr>
          <w:rFonts w:cs="Tahoma"/>
          <w:szCs w:val="24"/>
        </w:rPr>
        <w:t>no había ineptitud de la demanda porque al revisar los hechos de la demanda y su reforma había enunciación de las circunstancias de tiempo, modo y lugar de ocurrencia del accidente necesarios para encausar la pretensión de culpa patronal</w:t>
      </w:r>
      <w:r w:rsidR="007953D0" w:rsidRPr="00AE2676">
        <w:rPr>
          <w:rFonts w:cs="Tahoma"/>
          <w:szCs w:val="24"/>
        </w:rPr>
        <w:t xml:space="preserve"> (hechos 4, 5, 15-18)</w:t>
      </w:r>
      <w:r w:rsidR="005447E7" w:rsidRPr="00AE2676">
        <w:rPr>
          <w:rFonts w:cs="Tahoma"/>
          <w:szCs w:val="24"/>
        </w:rPr>
        <w:t xml:space="preserve">, planteando en ella, las presuntas omisiones por falta de capacitación para la realización de la labor y falta de provisión de mecanismos de protección por lo que ocurrió el accidente, fundamentos fácticos que </w:t>
      </w:r>
      <w:r w:rsidR="007953D0" w:rsidRPr="00AE2676">
        <w:rPr>
          <w:rFonts w:cs="Tahoma"/>
          <w:szCs w:val="24"/>
        </w:rPr>
        <w:t xml:space="preserve">eran </w:t>
      </w:r>
      <w:r w:rsidR="005447E7" w:rsidRPr="00AE2676">
        <w:rPr>
          <w:rFonts w:cs="Tahoma"/>
          <w:szCs w:val="24"/>
        </w:rPr>
        <w:t xml:space="preserve">suficientes para sustentar lo pretendido y; </w:t>
      </w:r>
      <w:r w:rsidR="005447E7" w:rsidRPr="00AE2676">
        <w:rPr>
          <w:rFonts w:cs="Tahoma"/>
          <w:i/>
          <w:iCs/>
          <w:szCs w:val="24"/>
        </w:rPr>
        <w:t>(iii)</w:t>
      </w:r>
      <w:r w:rsidR="005447E7" w:rsidRPr="00AE2676">
        <w:rPr>
          <w:rFonts w:cs="Tahoma"/>
          <w:szCs w:val="24"/>
        </w:rPr>
        <w:t xml:space="preserve"> luego de hacer una distinción entre los conceptos específicos de indemnizaciones, </w:t>
      </w:r>
      <w:r w:rsidR="005447E7" w:rsidRPr="00AE2676">
        <w:rPr>
          <w:rFonts w:cs="Tahoma"/>
          <w:szCs w:val="24"/>
        </w:rPr>
        <w:lastRenderedPageBreak/>
        <w:t>estableció que no había acumulación indebida de pretensiones, considerando que la demandada se basaba en el supuesto de no haberse generado ningún tipo de perjuicio para la demandante, lo cual era una apreciación jurídica</w:t>
      </w:r>
      <w:r w:rsidR="007953D0" w:rsidRPr="00AE2676">
        <w:rPr>
          <w:rFonts w:cs="Tahoma"/>
          <w:szCs w:val="24"/>
        </w:rPr>
        <w:t xml:space="preserve"> que era objeto de la controversia.</w:t>
      </w:r>
    </w:p>
    <w:p w14:paraId="2732A591" w14:textId="5D067D6C" w:rsidR="007953D0" w:rsidRDefault="007953D0" w:rsidP="00AE2676">
      <w:pPr>
        <w:tabs>
          <w:tab w:val="left" w:pos="284"/>
        </w:tabs>
        <w:spacing w:line="276" w:lineRule="auto"/>
        <w:rPr>
          <w:rFonts w:cs="Tahoma"/>
          <w:szCs w:val="24"/>
        </w:rPr>
      </w:pPr>
    </w:p>
    <w:p w14:paraId="48280C00" w14:textId="77777777" w:rsidR="00E31381" w:rsidRPr="00AE2676" w:rsidRDefault="00E31381" w:rsidP="00AE2676">
      <w:pPr>
        <w:tabs>
          <w:tab w:val="left" w:pos="284"/>
        </w:tabs>
        <w:spacing w:line="276" w:lineRule="auto"/>
        <w:rPr>
          <w:rFonts w:cs="Tahoma"/>
          <w:szCs w:val="24"/>
        </w:rPr>
      </w:pPr>
    </w:p>
    <w:p w14:paraId="6077CF33" w14:textId="0CF6EF1B" w:rsidR="005447E7" w:rsidRPr="00AE2676" w:rsidRDefault="006C45EC" w:rsidP="00AE2676">
      <w:pPr>
        <w:pStyle w:val="Prrafodelista"/>
        <w:numPr>
          <w:ilvl w:val="0"/>
          <w:numId w:val="5"/>
        </w:numPr>
        <w:tabs>
          <w:tab w:val="left" w:pos="284"/>
        </w:tabs>
        <w:spacing w:line="276" w:lineRule="auto"/>
        <w:jc w:val="center"/>
        <w:rPr>
          <w:rFonts w:cs="Tahoma"/>
          <w:b/>
          <w:bCs/>
          <w:szCs w:val="24"/>
        </w:rPr>
      </w:pPr>
      <w:r w:rsidRPr="00AE2676">
        <w:rPr>
          <w:rFonts w:cs="Tahoma"/>
          <w:b/>
          <w:bCs/>
          <w:szCs w:val="24"/>
        </w:rPr>
        <w:t>Recurso de apelación</w:t>
      </w:r>
    </w:p>
    <w:p w14:paraId="03A38E1C" w14:textId="27484DAF" w:rsidR="005447E7" w:rsidRPr="00AE2676" w:rsidRDefault="005447E7" w:rsidP="00AE2676">
      <w:pPr>
        <w:tabs>
          <w:tab w:val="left" w:pos="284"/>
        </w:tabs>
        <w:spacing w:line="276" w:lineRule="auto"/>
        <w:rPr>
          <w:rFonts w:cs="Tahoma"/>
          <w:szCs w:val="24"/>
        </w:rPr>
      </w:pPr>
    </w:p>
    <w:p w14:paraId="625B0C54" w14:textId="73CF97DC" w:rsidR="005447E7" w:rsidRPr="00AE2676" w:rsidRDefault="00F744A1" w:rsidP="00AE2676">
      <w:pPr>
        <w:tabs>
          <w:tab w:val="left" w:pos="284"/>
        </w:tabs>
        <w:spacing w:line="276" w:lineRule="auto"/>
        <w:rPr>
          <w:rFonts w:cs="Tahoma"/>
          <w:szCs w:val="24"/>
        </w:rPr>
      </w:pPr>
      <w:r w:rsidRPr="00AE2676">
        <w:rPr>
          <w:rFonts w:cs="Tahoma"/>
          <w:szCs w:val="24"/>
        </w:rPr>
        <w:tab/>
      </w:r>
      <w:r w:rsidR="006C45EC" w:rsidRPr="00AE2676">
        <w:rPr>
          <w:rFonts w:cs="Tahoma"/>
          <w:szCs w:val="24"/>
        </w:rPr>
        <w:t>Inconforme con lo decidido, la empresa demandada reiteró los medios exceptivos invocados en la contestación, insisti</w:t>
      </w:r>
      <w:r w:rsidR="002953CC" w:rsidRPr="00AE2676">
        <w:rPr>
          <w:rFonts w:cs="Tahoma"/>
          <w:szCs w:val="24"/>
        </w:rPr>
        <w:t>endo</w:t>
      </w:r>
      <w:r w:rsidR="006C45EC" w:rsidRPr="00AE2676">
        <w:rPr>
          <w:rFonts w:cs="Tahoma"/>
          <w:szCs w:val="24"/>
        </w:rPr>
        <w:t xml:space="preserve"> en que (i) el Juez laboral no era competente porque el </w:t>
      </w:r>
      <w:r w:rsidR="005447E7" w:rsidRPr="00AE2676">
        <w:rPr>
          <w:rFonts w:cs="Tahoma"/>
          <w:szCs w:val="24"/>
        </w:rPr>
        <w:t>art. 2 CPTSS e</w:t>
      </w:r>
      <w:r w:rsidR="006C45EC" w:rsidRPr="00AE2676">
        <w:rPr>
          <w:rFonts w:cs="Tahoma"/>
          <w:szCs w:val="24"/>
        </w:rPr>
        <w:t>ra</w:t>
      </w:r>
      <w:r w:rsidR="005447E7" w:rsidRPr="00AE2676">
        <w:rPr>
          <w:rFonts w:cs="Tahoma"/>
          <w:szCs w:val="24"/>
        </w:rPr>
        <w:t xml:space="preserve"> expreso frente a la competencia </w:t>
      </w:r>
      <w:r w:rsidR="006C45EC" w:rsidRPr="00AE2676">
        <w:rPr>
          <w:rFonts w:cs="Tahoma"/>
          <w:szCs w:val="24"/>
        </w:rPr>
        <w:t>y éste</w:t>
      </w:r>
      <w:r w:rsidR="002953CC" w:rsidRPr="00AE2676">
        <w:rPr>
          <w:rFonts w:cs="Tahoma"/>
          <w:szCs w:val="24"/>
        </w:rPr>
        <w:t xml:space="preserve"> por ninguna parte </w:t>
      </w:r>
      <w:r w:rsidR="006C45EC" w:rsidRPr="00AE2676">
        <w:rPr>
          <w:rFonts w:cs="Tahoma"/>
          <w:szCs w:val="24"/>
        </w:rPr>
        <w:t xml:space="preserve">contemplaba </w:t>
      </w:r>
      <w:r w:rsidR="005447E7" w:rsidRPr="00AE2676">
        <w:rPr>
          <w:rFonts w:cs="Tahoma"/>
          <w:szCs w:val="24"/>
        </w:rPr>
        <w:t xml:space="preserve">lo relativo a los perjuicios económicos </w:t>
      </w:r>
      <w:r w:rsidR="006C45EC" w:rsidRPr="00AE2676">
        <w:rPr>
          <w:rFonts w:cs="Tahoma"/>
          <w:szCs w:val="24"/>
        </w:rPr>
        <w:t xml:space="preserve">a favor </w:t>
      </w:r>
      <w:r w:rsidR="005447E7" w:rsidRPr="00AE2676">
        <w:rPr>
          <w:rFonts w:cs="Tahoma"/>
          <w:szCs w:val="24"/>
        </w:rPr>
        <w:t xml:space="preserve">de los aprendices </w:t>
      </w:r>
      <w:r w:rsidR="006C45EC" w:rsidRPr="00AE2676">
        <w:rPr>
          <w:rFonts w:cs="Tahoma"/>
          <w:szCs w:val="24"/>
        </w:rPr>
        <w:t xml:space="preserve">respecto de quién, no existía vínculo o contrato laboral alguno y, en ese </w:t>
      </w:r>
      <w:r w:rsidR="00E43DA4" w:rsidRPr="00AE2676">
        <w:rPr>
          <w:rFonts w:cs="Tahoma"/>
          <w:szCs w:val="24"/>
        </w:rPr>
        <w:t>orden</w:t>
      </w:r>
      <w:r w:rsidR="006C45EC" w:rsidRPr="00AE2676">
        <w:rPr>
          <w:rFonts w:cs="Tahoma"/>
          <w:szCs w:val="24"/>
        </w:rPr>
        <w:t xml:space="preserve">, no era posible derivar </w:t>
      </w:r>
      <w:r w:rsidR="005447E7" w:rsidRPr="00AE2676">
        <w:rPr>
          <w:rFonts w:cs="Tahoma"/>
          <w:szCs w:val="24"/>
        </w:rPr>
        <w:t>pretensiones</w:t>
      </w:r>
      <w:r w:rsidR="002953CC" w:rsidRPr="00AE2676">
        <w:rPr>
          <w:rFonts w:cs="Tahoma"/>
          <w:szCs w:val="24"/>
        </w:rPr>
        <w:t xml:space="preserve"> siendo </w:t>
      </w:r>
      <w:r w:rsidR="006C45EC" w:rsidRPr="00AE2676">
        <w:rPr>
          <w:rFonts w:cs="Tahoma"/>
          <w:szCs w:val="24"/>
        </w:rPr>
        <w:t>el juez civil el competente; (ii) había ineptitud de la demanda con sujeción al artículo</w:t>
      </w:r>
      <w:r w:rsidR="005447E7" w:rsidRPr="00AE2676">
        <w:rPr>
          <w:rFonts w:cs="Tahoma"/>
          <w:szCs w:val="24"/>
        </w:rPr>
        <w:t xml:space="preserve"> 100 CGP,</w:t>
      </w:r>
      <w:r w:rsidR="002953CC" w:rsidRPr="00AE2676">
        <w:rPr>
          <w:rFonts w:cs="Tahoma"/>
          <w:szCs w:val="24"/>
        </w:rPr>
        <w:t xml:space="preserve"> en la medida que la demanda no contaba </w:t>
      </w:r>
      <w:r w:rsidR="005447E7" w:rsidRPr="00AE2676">
        <w:rPr>
          <w:rFonts w:cs="Tahoma"/>
          <w:szCs w:val="24"/>
        </w:rPr>
        <w:t xml:space="preserve">con </w:t>
      </w:r>
      <w:r w:rsidR="006C45EC" w:rsidRPr="00AE2676">
        <w:rPr>
          <w:rFonts w:cs="Tahoma"/>
          <w:szCs w:val="24"/>
        </w:rPr>
        <w:t xml:space="preserve">un </w:t>
      </w:r>
      <w:r w:rsidR="005447E7" w:rsidRPr="00AE2676">
        <w:rPr>
          <w:rFonts w:cs="Tahoma"/>
          <w:szCs w:val="24"/>
        </w:rPr>
        <w:t>soporte f</w:t>
      </w:r>
      <w:r w:rsidR="002953CC" w:rsidRPr="00AE2676">
        <w:rPr>
          <w:rFonts w:cs="Tahoma"/>
          <w:szCs w:val="24"/>
        </w:rPr>
        <w:t>á</w:t>
      </w:r>
      <w:r w:rsidR="005447E7" w:rsidRPr="00AE2676">
        <w:rPr>
          <w:rFonts w:cs="Tahoma"/>
          <w:szCs w:val="24"/>
        </w:rPr>
        <w:t xml:space="preserve">ctico y jurídico </w:t>
      </w:r>
      <w:r w:rsidR="002953CC" w:rsidRPr="00AE2676">
        <w:rPr>
          <w:rFonts w:cs="Tahoma"/>
          <w:szCs w:val="24"/>
        </w:rPr>
        <w:t xml:space="preserve">que sustentaran </w:t>
      </w:r>
      <w:r w:rsidR="006C45EC" w:rsidRPr="00AE2676">
        <w:rPr>
          <w:rFonts w:cs="Tahoma"/>
          <w:szCs w:val="24"/>
        </w:rPr>
        <w:t>lo pretendido</w:t>
      </w:r>
      <w:r w:rsidR="002953CC" w:rsidRPr="00AE2676">
        <w:rPr>
          <w:rFonts w:cs="Tahoma"/>
          <w:szCs w:val="24"/>
        </w:rPr>
        <w:t xml:space="preserve"> por lo que no había </w:t>
      </w:r>
      <w:r w:rsidR="006C45EC" w:rsidRPr="00AE2676">
        <w:rPr>
          <w:rFonts w:cs="Tahoma"/>
          <w:szCs w:val="24"/>
        </w:rPr>
        <w:t xml:space="preserve">correspondencia entre lo relatado </w:t>
      </w:r>
      <w:r w:rsidR="002953CC" w:rsidRPr="00AE2676">
        <w:rPr>
          <w:rFonts w:cs="Tahoma"/>
          <w:szCs w:val="24"/>
        </w:rPr>
        <w:t xml:space="preserve">y </w:t>
      </w:r>
      <w:r w:rsidR="006C45EC" w:rsidRPr="00AE2676">
        <w:rPr>
          <w:rFonts w:cs="Tahoma"/>
          <w:szCs w:val="24"/>
        </w:rPr>
        <w:t xml:space="preserve">lo pedido; </w:t>
      </w:r>
      <w:r w:rsidR="00385CD8" w:rsidRPr="00AE2676">
        <w:rPr>
          <w:rFonts w:cs="Tahoma"/>
          <w:szCs w:val="24"/>
        </w:rPr>
        <w:t xml:space="preserve">iii) </w:t>
      </w:r>
      <w:r w:rsidR="3D9F5057" w:rsidRPr="00AE2676">
        <w:rPr>
          <w:rFonts w:cs="Tahoma"/>
          <w:szCs w:val="24"/>
        </w:rPr>
        <w:t xml:space="preserve">que </w:t>
      </w:r>
      <w:r w:rsidR="006C45EC" w:rsidRPr="00AE2676">
        <w:rPr>
          <w:rFonts w:cs="Tahoma"/>
          <w:szCs w:val="24"/>
        </w:rPr>
        <w:t xml:space="preserve">la empresa demandada </w:t>
      </w:r>
      <w:r w:rsidR="7816D2FD" w:rsidRPr="00AE2676">
        <w:rPr>
          <w:rFonts w:cs="Tahoma"/>
          <w:szCs w:val="24"/>
        </w:rPr>
        <w:t xml:space="preserve">al ser </w:t>
      </w:r>
      <w:r w:rsidR="005447E7" w:rsidRPr="00AE2676">
        <w:rPr>
          <w:rFonts w:cs="Tahoma"/>
          <w:szCs w:val="24"/>
        </w:rPr>
        <w:t xml:space="preserve">patrocinador </w:t>
      </w:r>
      <w:r w:rsidR="006C45EC" w:rsidRPr="00AE2676">
        <w:rPr>
          <w:rFonts w:cs="Tahoma"/>
          <w:szCs w:val="24"/>
        </w:rPr>
        <w:t xml:space="preserve">del aprendiz </w:t>
      </w:r>
      <w:r w:rsidR="43439A1A" w:rsidRPr="00AE2676">
        <w:rPr>
          <w:rFonts w:cs="Tahoma"/>
          <w:szCs w:val="24"/>
        </w:rPr>
        <w:t xml:space="preserve">no debía responder por las supuestas </w:t>
      </w:r>
      <w:r w:rsidR="005447E7" w:rsidRPr="00AE2676">
        <w:rPr>
          <w:rFonts w:cs="Tahoma"/>
          <w:szCs w:val="24"/>
        </w:rPr>
        <w:t>acreencias derivadas de una culpa patronal</w:t>
      </w:r>
      <w:r w:rsidR="006C45EC" w:rsidRPr="00AE2676">
        <w:rPr>
          <w:rFonts w:cs="Tahoma"/>
          <w:szCs w:val="24"/>
        </w:rPr>
        <w:t xml:space="preserve">, </w:t>
      </w:r>
      <w:r w:rsidR="23800F9B" w:rsidRPr="00AE2676">
        <w:rPr>
          <w:rFonts w:cs="Tahoma"/>
          <w:szCs w:val="24"/>
        </w:rPr>
        <w:t>ello porque en las pretensiones se hacía referencia a que había culpa de la “empresa” más no del “empleador”, raz</w:t>
      </w:r>
      <w:r w:rsidR="5B96A821" w:rsidRPr="00AE2676">
        <w:rPr>
          <w:rFonts w:cs="Tahoma"/>
          <w:szCs w:val="24"/>
        </w:rPr>
        <w:t>ón por la cual consideraba que lo pretendido carecía de sustento</w:t>
      </w:r>
      <w:r w:rsidR="006C45EC" w:rsidRPr="00AE2676">
        <w:rPr>
          <w:rFonts w:cs="Tahoma"/>
          <w:szCs w:val="24"/>
        </w:rPr>
        <w:t>; (i</w:t>
      </w:r>
      <w:r w:rsidR="00385CD8" w:rsidRPr="00AE2676">
        <w:rPr>
          <w:rFonts w:cs="Tahoma"/>
          <w:szCs w:val="24"/>
        </w:rPr>
        <w:t>v</w:t>
      </w:r>
      <w:r w:rsidR="006C45EC" w:rsidRPr="00AE2676">
        <w:rPr>
          <w:rFonts w:cs="Tahoma"/>
          <w:szCs w:val="24"/>
        </w:rPr>
        <w:t>) había una acumulación indebida de pretensiones</w:t>
      </w:r>
      <w:r w:rsidR="00385CD8" w:rsidRPr="00AE2676">
        <w:rPr>
          <w:rFonts w:cs="Tahoma"/>
          <w:szCs w:val="24"/>
        </w:rPr>
        <w:t xml:space="preserve">, </w:t>
      </w:r>
      <w:r w:rsidR="00573F1A" w:rsidRPr="00AE2676">
        <w:rPr>
          <w:rFonts w:cs="Tahoma"/>
          <w:szCs w:val="24"/>
        </w:rPr>
        <w:t xml:space="preserve"> las cuales carecían de </w:t>
      </w:r>
      <w:r w:rsidR="005447E7" w:rsidRPr="00AE2676">
        <w:rPr>
          <w:rFonts w:cs="Tahoma"/>
          <w:szCs w:val="24"/>
        </w:rPr>
        <w:t xml:space="preserve">un argumento fáctico </w:t>
      </w:r>
      <w:r w:rsidR="00573F1A" w:rsidRPr="00AE2676">
        <w:rPr>
          <w:rFonts w:cs="Tahoma"/>
          <w:szCs w:val="24"/>
        </w:rPr>
        <w:t xml:space="preserve">y </w:t>
      </w:r>
      <w:r w:rsidR="005447E7" w:rsidRPr="00AE2676">
        <w:rPr>
          <w:rFonts w:cs="Tahoma"/>
          <w:szCs w:val="24"/>
        </w:rPr>
        <w:t>de defensa</w:t>
      </w:r>
      <w:r w:rsidR="00573F1A" w:rsidRPr="00AE2676">
        <w:rPr>
          <w:rFonts w:cs="Tahoma"/>
          <w:szCs w:val="24"/>
        </w:rPr>
        <w:t xml:space="preserve"> al referir </w:t>
      </w:r>
      <w:r w:rsidR="005447E7" w:rsidRPr="00AE2676">
        <w:rPr>
          <w:rFonts w:cs="Tahoma"/>
          <w:szCs w:val="24"/>
        </w:rPr>
        <w:t>hechos que no conllevan a pedir el lucro cesante</w:t>
      </w:r>
      <w:r w:rsidR="006C35F9" w:rsidRPr="00AE2676">
        <w:rPr>
          <w:rFonts w:cs="Tahoma"/>
          <w:szCs w:val="24"/>
        </w:rPr>
        <w:t xml:space="preserve"> consolidado</w:t>
      </w:r>
      <w:r w:rsidR="00D83B9E" w:rsidRPr="00AE2676">
        <w:rPr>
          <w:rFonts w:cs="Tahoma"/>
          <w:szCs w:val="24"/>
        </w:rPr>
        <w:t xml:space="preserve"> </w:t>
      </w:r>
      <w:r w:rsidR="005447E7" w:rsidRPr="00AE2676">
        <w:rPr>
          <w:rFonts w:cs="Tahoma"/>
          <w:szCs w:val="24"/>
        </w:rPr>
        <w:t>y lucro cesante futuro</w:t>
      </w:r>
      <w:r w:rsidR="00573F1A" w:rsidRPr="00AE2676">
        <w:rPr>
          <w:rFonts w:cs="Tahoma"/>
          <w:szCs w:val="24"/>
        </w:rPr>
        <w:t xml:space="preserve">, los cuales no se podían proyectar </w:t>
      </w:r>
      <w:r w:rsidR="005447E7" w:rsidRPr="00AE2676">
        <w:rPr>
          <w:rFonts w:cs="Tahoma"/>
          <w:szCs w:val="24"/>
        </w:rPr>
        <w:t xml:space="preserve">en una misma pretensión </w:t>
      </w:r>
      <w:r w:rsidR="00573F1A" w:rsidRPr="00AE2676">
        <w:rPr>
          <w:rFonts w:cs="Tahoma"/>
          <w:szCs w:val="24"/>
        </w:rPr>
        <w:t xml:space="preserve">al ser incompatibles, por lo que estaban </w:t>
      </w:r>
      <w:r w:rsidR="005447E7" w:rsidRPr="00AE2676">
        <w:rPr>
          <w:rFonts w:cs="Tahoma"/>
          <w:szCs w:val="24"/>
        </w:rPr>
        <w:t>indebidamente acumulad</w:t>
      </w:r>
      <w:r w:rsidR="00573F1A" w:rsidRPr="00AE2676">
        <w:rPr>
          <w:rFonts w:cs="Tahoma"/>
          <w:szCs w:val="24"/>
        </w:rPr>
        <w:t>o</w:t>
      </w:r>
      <w:r w:rsidR="005447E7" w:rsidRPr="00AE2676">
        <w:rPr>
          <w:rFonts w:cs="Tahoma"/>
          <w:szCs w:val="24"/>
        </w:rPr>
        <w:t xml:space="preserve">s </w:t>
      </w:r>
      <w:r w:rsidR="00573F1A" w:rsidRPr="00AE2676">
        <w:rPr>
          <w:rFonts w:cs="Tahoma"/>
          <w:szCs w:val="24"/>
        </w:rPr>
        <w:t xml:space="preserve">y se debieron proyectar </w:t>
      </w:r>
      <w:r w:rsidR="005447E7" w:rsidRPr="00AE2676">
        <w:rPr>
          <w:rFonts w:cs="Tahoma"/>
          <w:szCs w:val="24"/>
        </w:rPr>
        <w:t>como principal y subsidiaria</w:t>
      </w:r>
      <w:r w:rsidR="00573F1A" w:rsidRPr="00AE2676">
        <w:rPr>
          <w:rFonts w:cs="Tahoma"/>
          <w:szCs w:val="24"/>
        </w:rPr>
        <w:t>.</w:t>
      </w:r>
    </w:p>
    <w:p w14:paraId="59F4CFE0" w14:textId="77777777" w:rsidR="005447E7" w:rsidRDefault="005447E7" w:rsidP="00AE2676">
      <w:pPr>
        <w:tabs>
          <w:tab w:val="left" w:pos="284"/>
        </w:tabs>
        <w:spacing w:line="276" w:lineRule="auto"/>
        <w:rPr>
          <w:rFonts w:cs="Tahoma"/>
          <w:szCs w:val="24"/>
        </w:rPr>
      </w:pPr>
    </w:p>
    <w:p w14:paraId="4361322B" w14:textId="77777777" w:rsidR="00E31381" w:rsidRPr="00AE2676" w:rsidRDefault="00E31381" w:rsidP="00AE2676">
      <w:pPr>
        <w:tabs>
          <w:tab w:val="left" w:pos="284"/>
        </w:tabs>
        <w:spacing w:line="276" w:lineRule="auto"/>
        <w:rPr>
          <w:rFonts w:cs="Tahoma"/>
          <w:szCs w:val="24"/>
        </w:rPr>
      </w:pPr>
    </w:p>
    <w:p w14:paraId="7A13FB3B" w14:textId="50F8E3CF" w:rsidR="005447E7" w:rsidRPr="00AE2676" w:rsidRDefault="160E2AC8" w:rsidP="00AE2676">
      <w:pPr>
        <w:pStyle w:val="Prrafodelista"/>
        <w:numPr>
          <w:ilvl w:val="0"/>
          <w:numId w:val="5"/>
        </w:numPr>
        <w:tabs>
          <w:tab w:val="left" w:pos="284"/>
        </w:tabs>
        <w:spacing w:line="276" w:lineRule="auto"/>
        <w:jc w:val="center"/>
        <w:rPr>
          <w:rFonts w:cs="Tahoma"/>
          <w:b/>
          <w:bCs/>
          <w:szCs w:val="24"/>
        </w:rPr>
      </w:pPr>
      <w:r w:rsidRPr="00AE2676">
        <w:rPr>
          <w:rFonts w:cs="Tahoma"/>
          <w:b/>
          <w:bCs/>
          <w:szCs w:val="24"/>
        </w:rPr>
        <w:t>Alegatos de conclusión</w:t>
      </w:r>
    </w:p>
    <w:p w14:paraId="0836DBA2" w14:textId="3475310F" w:rsidR="005447E7" w:rsidRPr="00AE2676" w:rsidRDefault="005447E7" w:rsidP="00AE2676">
      <w:pPr>
        <w:tabs>
          <w:tab w:val="left" w:pos="284"/>
        </w:tabs>
        <w:spacing w:line="276" w:lineRule="auto"/>
        <w:jc w:val="center"/>
        <w:rPr>
          <w:rFonts w:cs="Tahoma"/>
          <w:b/>
          <w:bCs/>
          <w:szCs w:val="24"/>
        </w:rPr>
      </w:pPr>
    </w:p>
    <w:p w14:paraId="2B527409" w14:textId="1A1C2316" w:rsidR="005447E7" w:rsidRPr="00AE2676" w:rsidRDefault="160E2AC8" w:rsidP="00AE2676">
      <w:pPr>
        <w:tabs>
          <w:tab w:val="left" w:pos="284"/>
        </w:tabs>
        <w:spacing w:line="276" w:lineRule="auto"/>
        <w:ind w:firstLine="285"/>
        <w:rPr>
          <w:rFonts w:cs="Tahoma"/>
          <w:szCs w:val="24"/>
        </w:rPr>
      </w:pPr>
      <w:r w:rsidRPr="00AE2676">
        <w:rPr>
          <w:rFonts w:eastAsia="Tahoma" w:cs="Tahoma"/>
          <w:szCs w:val="24"/>
        </w:rPr>
        <w:t>Durante el término de traslado, las partes se abstuvieron de presentar alegatos presentados por escrito.</w:t>
      </w:r>
    </w:p>
    <w:p w14:paraId="62FCF60F" w14:textId="35BA2265" w:rsidR="005447E7" w:rsidRDefault="005447E7" w:rsidP="00AE2676">
      <w:pPr>
        <w:tabs>
          <w:tab w:val="left" w:pos="284"/>
        </w:tabs>
        <w:spacing w:line="276" w:lineRule="auto"/>
        <w:jc w:val="center"/>
        <w:rPr>
          <w:rFonts w:cs="Tahoma"/>
          <w:b/>
          <w:bCs/>
          <w:szCs w:val="24"/>
        </w:rPr>
      </w:pPr>
    </w:p>
    <w:p w14:paraId="02CE711E" w14:textId="77777777" w:rsidR="00E31381" w:rsidRPr="00AE2676" w:rsidRDefault="00E31381" w:rsidP="00AE2676">
      <w:pPr>
        <w:tabs>
          <w:tab w:val="left" w:pos="284"/>
        </w:tabs>
        <w:spacing w:line="276" w:lineRule="auto"/>
        <w:jc w:val="center"/>
        <w:rPr>
          <w:rFonts w:cs="Tahoma"/>
          <w:b/>
          <w:bCs/>
          <w:szCs w:val="24"/>
        </w:rPr>
      </w:pPr>
    </w:p>
    <w:p w14:paraId="2CBE8682" w14:textId="57E67F02" w:rsidR="005447E7" w:rsidRPr="00AE2676" w:rsidRDefault="001E7B20" w:rsidP="00AE2676">
      <w:pPr>
        <w:pStyle w:val="Prrafodelista"/>
        <w:numPr>
          <w:ilvl w:val="0"/>
          <w:numId w:val="5"/>
        </w:numPr>
        <w:tabs>
          <w:tab w:val="left" w:pos="284"/>
        </w:tabs>
        <w:spacing w:line="276" w:lineRule="auto"/>
        <w:jc w:val="center"/>
        <w:rPr>
          <w:rFonts w:cs="Tahoma"/>
          <w:b/>
          <w:bCs/>
          <w:szCs w:val="24"/>
        </w:rPr>
      </w:pPr>
      <w:r w:rsidRPr="00AE2676">
        <w:rPr>
          <w:rFonts w:cs="Tahoma"/>
          <w:b/>
          <w:bCs/>
          <w:szCs w:val="24"/>
        </w:rPr>
        <w:t>Problema jurídico por resolver</w:t>
      </w:r>
    </w:p>
    <w:p w14:paraId="5FBF6A9A" w14:textId="03FA51DE" w:rsidR="00775D45" w:rsidRPr="00AE2676" w:rsidRDefault="00775D45" w:rsidP="00AE2676">
      <w:pPr>
        <w:tabs>
          <w:tab w:val="left" w:pos="284"/>
        </w:tabs>
        <w:spacing w:line="276" w:lineRule="auto"/>
        <w:rPr>
          <w:rFonts w:cs="Tahoma"/>
          <w:szCs w:val="24"/>
        </w:rPr>
      </w:pPr>
    </w:p>
    <w:p w14:paraId="232E2509" w14:textId="5435BDAC" w:rsidR="001E7B20" w:rsidRPr="00AE2676" w:rsidRDefault="001E7B20" w:rsidP="00AE2676">
      <w:pPr>
        <w:tabs>
          <w:tab w:val="left" w:pos="284"/>
        </w:tabs>
        <w:spacing w:line="276" w:lineRule="auto"/>
        <w:rPr>
          <w:rFonts w:cs="Tahoma"/>
          <w:szCs w:val="24"/>
        </w:rPr>
      </w:pPr>
      <w:r w:rsidRPr="00AE2676">
        <w:rPr>
          <w:rFonts w:cs="Tahoma"/>
          <w:szCs w:val="24"/>
        </w:rPr>
        <w:tab/>
        <w:t xml:space="preserve">De acuerdo con los argumentos expuestos en la decisión de primera instancia y los fundamentos de la apelación, le corresponde a la Sala resolver los siguientes problemas jurídicos: </w:t>
      </w:r>
    </w:p>
    <w:p w14:paraId="2E7598E9" w14:textId="7077F404" w:rsidR="00775D45" w:rsidRPr="00AE2676" w:rsidRDefault="00775D45" w:rsidP="00AE2676">
      <w:pPr>
        <w:tabs>
          <w:tab w:val="left" w:pos="284"/>
        </w:tabs>
        <w:spacing w:line="276" w:lineRule="auto"/>
        <w:rPr>
          <w:rFonts w:cs="Tahoma"/>
          <w:szCs w:val="24"/>
        </w:rPr>
      </w:pPr>
    </w:p>
    <w:p w14:paraId="0072C7B1" w14:textId="770117B6" w:rsidR="00775D45" w:rsidRPr="00AE2676" w:rsidRDefault="00775D45" w:rsidP="00AE2676">
      <w:pPr>
        <w:pStyle w:val="Prrafodelista"/>
        <w:numPr>
          <w:ilvl w:val="0"/>
          <w:numId w:val="2"/>
        </w:numPr>
        <w:tabs>
          <w:tab w:val="left" w:pos="567"/>
        </w:tabs>
        <w:spacing w:line="276" w:lineRule="auto"/>
        <w:ind w:left="567" w:hanging="283"/>
        <w:rPr>
          <w:rFonts w:cs="Tahoma"/>
          <w:szCs w:val="24"/>
        </w:rPr>
      </w:pPr>
      <w:r w:rsidRPr="00AE2676">
        <w:rPr>
          <w:rFonts w:cs="Tahoma"/>
          <w:szCs w:val="24"/>
        </w:rPr>
        <w:t>¿Es el Juez Laboral competente para conocer sobre la indemnización de perjuicios causados con ocasión de los accidentes sufridos durante la ejecución de un contrato de aprendizaje?</w:t>
      </w:r>
    </w:p>
    <w:p w14:paraId="2E1F9AF8" w14:textId="77777777" w:rsidR="00775D45" w:rsidRPr="00AE2676" w:rsidRDefault="00775D45" w:rsidP="00AE2676">
      <w:pPr>
        <w:pStyle w:val="Prrafodelista"/>
        <w:tabs>
          <w:tab w:val="left" w:pos="284"/>
        </w:tabs>
        <w:spacing w:line="276" w:lineRule="auto"/>
        <w:ind w:left="0"/>
        <w:rPr>
          <w:rFonts w:cs="Tahoma"/>
          <w:szCs w:val="24"/>
        </w:rPr>
      </w:pPr>
    </w:p>
    <w:p w14:paraId="52F18E09" w14:textId="3D413010" w:rsidR="00775D45" w:rsidRPr="00AE2676" w:rsidRDefault="00775D45" w:rsidP="00AE2676">
      <w:pPr>
        <w:pStyle w:val="Prrafodelista"/>
        <w:numPr>
          <w:ilvl w:val="0"/>
          <w:numId w:val="2"/>
        </w:numPr>
        <w:tabs>
          <w:tab w:val="left" w:pos="567"/>
        </w:tabs>
        <w:spacing w:line="276" w:lineRule="auto"/>
        <w:ind w:left="567" w:hanging="283"/>
        <w:rPr>
          <w:rFonts w:cs="Tahoma"/>
          <w:szCs w:val="24"/>
        </w:rPr>
      </w:pPr>
      <w:r w:rsidRPr="00AE2676">
        <w:rPr>
          <w:rFonts w:cs="Tahoma"/>
          <w:szCs w:val="24"/>
        </w:rPr>
        <w:t xml:space="preserve">¿En el presente asunto </w:t>
      </w:r>
      <w:r w:rsidR="00C830A6" w:rsidRPr="00AE2676">
        <w:rPr>
          <w:rFonts w:cs="Tahoma"/>
          <w:szCs w:val="24"/>
        </w:rPr>
        <w:t>hay</w:t>
      </w:r>
      <w:r w:rsidRPr="00AE2676">
        <w:rPr>
          <w:rFonts w:cs="Tahoma"/>
          <w:szCs w:val="24"/>
        </w:rPr>
        <w:t xml:space="preserve"> una inepta demanda?</w:t>
      </w:r>
    </w:p>
    <w:p w14:paraId="759442F3" w14:textId="77777777" w:rsidR="00775D45" w:rsidRPr="00AE2676" w:rsidRDefault="00775D45" w:rsidP="00AE2676">
      <w:pPr>
        <w:pStyle w:val="Prrafodelista"/>
        <w:tabs>
          <w:tab w:val="left" w:pos="284"/>
        </w:tabs>
        <w:spacing w:line="276" w:lineRule="auto"/>
        <w:ind w:left="0"/>
        <w:rPr>
          <w:rFonts w:cs="Tahoma"/>
          <w:szCs w:val="24"/>
        </w:rPr>
      </w:pPr>
    </w:p>
    <w:p w14:paraId="5464C1B7" w14:textId="031CF580" w:rsidR="00775D45" w:rsidRPr="00AE2676" w:rsidRDefault="00775D45" w:rsidP="00AE2676">
      <w:pPr>
        <w:pStyle w:val="Prrafodelista"/>
        <w:numPr>
          <w:ilvl w:val="0"/>
          <w:numId w:val="2"/>
        </w:numPr>
        <w:tabs>
          <w:tab w:val="left" w:pos="567"/>
        </w:tabs>
        <w:spacing w:line="276" w:lineRule="auto"/>
        <w:ind w:left="567" w:hanging="283"/>
        <w:rPr>
          <w:rFonts w:cs="Tahoma"/>
          <w:szCs w:val="24"/>
        </w:rPr>
      </w:pPr>
      <w:r w:rsidRPr="00AE2676">
        <w:rPr>
          <w:rFonts w:cs="Tahoma"/>
          <w:szCs w:val="24"/>
        </w:rPr>
        <w:lastRenderedPageBreak/>
        <w:t>¿Hay indebida acumulación de pretensiones cuando se piden como pretensiones principales el lucro cesante</w:t>
      </w:r>
      <w:r w:rsidR="001E7B20" w:rsidRPr="00AE2676">
        <w:rPr>
          <w:rFonts w:cs="Tahoma"/>
          <w:szCs w:val="24"/>
        </w:rPr>
        <w:t xml:space="preserve"> </w:t>
      </w:r>
      <w:r w:rsidR="00D04319" w:rsidRPr="00AE2676">
        <w:rPr>
          <w:rFonts w:cs="Tahoma"/>
          <w:szCs w:val="24"/>
        </w:rPr>
        <w:t>consolidado</w:t>
      </w:r>
      <w:r w:rsidRPr="00AE2676">
        <w:rPr>
          <w:rFonts w:cs="Tahoma"/>
          <w:szCs w:val="24"/>
        </w:rPr>
        <w:t xml:space="preserve"> y el lucro cesante futuro?</w:t>
      </w:r>
    </w:p>
    <w:p w14:paraId="51B8153B" w14:textId="4C747D65" w:rsidR="00775D45" w:rsidRDefault="00775D45" w:rsidP="00AE2676">
      <w:pPr>
        <w:tabs>
          <w:tab w:val="left" w:pos="284"/>
        </w:tabs>
        <w:spacing w:line="276" w:lineRule="auto"/>
        <w:rPr>
          <w:rFonts w:cs="Tahoma"/>
          <w:szCs w:val="24"/>
        </w:rPr>
      </w:pPr>
    </w:p>
    <w:p w14:paraId="44D6490A" w14:textId="77777777" w:rsidR="00E31381" w:rsidRPr="00AE2676" w:rsidRDefault="00E31381" w:rsidP="00AE2676">
      <w:pPr>
        <w:tabs>
          <w:tab w:val="left" w:pos="284"/>
        </w:tabs>
        <w:spacing w:line="276" w:lineRule="auto"/>
        <w:rPr>
          <w:rFonts w:cs="Tahoma"/>
          <w:szCs w:val="24"/>
        </w:rPr>
      </w:pPr>
    </w:p>
    <w:p w14:paraId="660DEC97" w14:textId="56422432" w:rsidR="001E7B20" w:rsidRPr="00AE2676" w:rsidRDefault="001E7B20" w:rsidP="00AE2676">
      <w:pPr>
        <w:pStyle w:val="Prrafodelista"/>
        <w:numPr>
          <w:ilvl w:val="0"/>
          <w:numId w:val="5"/>
        </w:numPr>
        <w:tabs>
          <w:tab w:val="left" w:pos="284"/>
        </w:tabs>
        <w:spacing w:line="276" w:lineRule="auto"/>
        <w:jc w:val="center"/>
        <w:rPr>
          <w:rFonts w:cs="Tahoma"/>
          <w:b/>
          <w:bCs/>
          <w:szCs w:val="24"/>
        </w:rPr>
      </w:pPr>
      <w:r w:rsidRPr="00AE2676">
        <w:rPr>
          <w:rFonts w:cs="Tahoma"/>
          <w:b/>
          <w:bCs/>
          <w:szCs w:val="24"/>
        </w:rPr>
        <w:t>Consideraciones</w:t>
      </w:r>
    </w:p>
    <w:p w14:paraId="2BFB62E6" w14:textId="77777777" w:rsidR="001E7B20" w:rsidRPr="00AE2676" w:rsidRDefault="001E7B20" w:rsidP="00AE2676">
      <w:pPr>
        <w:tabs>
          <w:tab w:val="left" w:pos="284"/>
        </w:tabs>
        <w:spacing w:line="276" w:lineRule="auto"/>
        <w:rPr>
          <w:rFonts w:cs="Tahoma"/>
          <w:szCs w:val="24"/>
        </w:rPr>
      </w:pPr>
    </w:p>
    <w:p w14:paraId="6A220CBE" w14:textId="5599DC6F" w:rsidR="00775D45" w:rsidRPr="00AE2676" w:rsidRDefault="00E11B72" w:rsidP="00AE2676">
      <w:pPr>
        <w:pStyle w:val="Prrafodelista"/>
        <w:numPr>
          <w:ilvl w:val="1"/>
          <w:numId w:val="5"/>
        </w:numPr>
        <w:tabs>
          <w:tab w:val="left" w:pos="284"/>
        </w:tabs>
        <w:spacing w:line="276" w:lineRule="auto"/>
        <w:rPr>
          <w:rFonts w:cs="Tahoma"/>
          <w:szCs w:val="24"/>
        </w:rPr>
      </w:pPr>
      <w:r w:rsidRPr="00AE2676">
        <w:rPr>
          <w:rFonts w:cs="Tahoma"/>
          <w:b/>
          <w:bCs/>
          <w:szCs w:val="24"/>
        </w:rPr>
        <w:t>De la competencia de los jueces laborales.</w:t>
      </w:r>
    </w:p>
    <w:p w14:paraId="0B121844" w14:textId="2C4AAC91" w:rsidR="009C6582" w:rsidRPr="00AE2676" w:rsidRDefault="009C6582" w:rsidP="00AE2676">
      <w:pPr>
        <w:tabs>
          <w:tab w:val="left" w:pos="284"/>
        </w:tabs>
        <w:spacing w:line="276" w:lineRule="auto"/>
        <w:rPr>
          <w:rFonts w:cs="Tahoma"/>
          <w:szCs w:val="24"/>
        </w:rPr>
      </w:pPr>
    </w:p>
    <w:p w14:paraId="1AE9612E" w14:textId="77777777" w:rsidR="00C36489" w:rsidRPr="00AE2676" w:rsidRDefault="00C36489" w:rsidP="00AE2676">
      <w:pPr>
        <w:tabs>
          <w:tab w:val="left" w:pos="284"/>
        </w:tabs>
        <w:spacing w:line="276" w:lineRule="auto"/>
        <w:rPr>
          <w:rFonts w:cs="Tahoma"/>
          <w:szCs w:val="24"/>
        </w:rPr>
      </w:pPr>
      <w:bookmarkStart w:id="2" w:name="30"/>
      <w:r w:rsidRPr="00AE2676">
        <w:rPr>
          <w:rFonts w:cs="Tahoma"/>
          <w:szCs w:val="24"/>
        </w:rPr>
        <w:tab/>
      </w:r>
      <w:r w:rsidRPr="00AE2676">
        <w:rPr>
          <w:rFonts w:cs="Tahoma"/>
          <w:szCs w:val="24"/>
        </w:rPr>
        <w:tab/>
        <w:t>En torno al primer problema jurídico planteado, indica el artículo 2 del CPTSS,</w:t>
      </w:r>
    </w:p>
    <w:p w14:paraId="0641DD35" w14:textId="77777777" w:rsidR="00C36489" w:rsidRPr="00AE2676" w:rsidRDefault="00C36489" w:rsidP="00AE2676">
      <w:pPr>
        <w:tabs>
          <w:tab w:val="left" w:pos="284"/>
        </w:tabs>
        <w:spacing w:line="276" w:lineRule="auto"/>
        <w:rPr>
          <w:rFonts w:cs="Tahoma"/>
          <w:szCs w:val="24"/>
        </w:rPr>
      </w:pPr>
    </w:p>
    <w:p w14:paraId="27CFF646" w14:textId="77777777" w:rsidR="00C36489" w:rsidRPr="00AE2676" w:rsidRDefault="00C36489" w:rsidP="00AE2676">
      <w:pPr>
        <w:pStyle w:val="NormalWeb"/>
        <w:spacing w:before="0" w:beforeAutospacing="0" w:after="0" w:afterAutospacing="0"/>
        <w:ind w:left="426" w:right="420"/>
        <w:jc w:val="both"/>
        <w:rPr>
          <w:rFonts w:ascii="Tahoma" w:hAnsi="Tahoma" w:cs="Tahoma"/>
          <w:i/>
          <w:iCs/>
          <w:color w:val="000000"/>
          <w:sz w:val="22"/>
        </w:rPr>
      </w:pPr>
      <w:r w:rsidRPr="00AE2676">
        <w:rPr>
          <w:rFonts w:ascii="Tahoma" w:hAnsi="Tahoma" w:cs="Tahoma"/>
          <w:b/>
          <w:bCs/>
          <w:i/>
          <w:iCs/>
          <w:color w:val="000000"/>
          <w:sz w:val="22"/>
        </w:rPr>
        <w:t>“Artículo 2. Competencia General.</w:t>
      </w:r>
      <w:r w:rsidRPr="00AE2676">
        <w:rPr>
          <w:rFonts w:ascii="Tahoma" w:hAnsi="Tahoma" w:cs="Tahoma"/>
          <w:i/>
          <w:iCs/>
          <w:color w:val="000000"/>
          <w:sz w:val="22"/>
        </w:rPr>
        <w:t> </w:t>
      </w:r>
      <w:r w:rsidRPr="00AE2676">
        <w:rPr>
          <w:rStyle w:val="Textoennegrita"/>
          <w:rFonts w:ascii="Tahoma" w:hAnsi="Tahoma" w:cs="Tahoma"/>
          <w:i/>
          <w:iCs/>
          <w:color w:val="000000"/>
          <w:sz w:val="22"/>
        </w:rPr>
        <w:t>Modificado</w:t>
      </w:r>
      <w:r w:rsidRPr="00AE2676">
        <w:rPr>
          <w:rFonts w:ascii="Tahoma" w:hAnsi="Tahoma" w:cs="Tahoma"/>
          <w:b/>
          <w:bCs/>
          <w:i/>
          <w:iCs/>
          <w:color w:val="000000"/>
          <w:sz w:val="22"/>
        </w:rPr>
        <w:t> Ley 712/2001.</w:t>
      </w:r>
      <w:r w:rsidRPr="00AE2676">
        <w:rPr>
          <w:rFonts w:ascii="Tahoma" w:hAnsi="Tahoma" w:cs="Tahoma"/>
          <w:i/>
          <w:iCs/>
          <w:color w:val="000000"/>
          <w:sz w:val="22"/>
        </w:rPr>
        <w:t> La Jurisdicción Ordinaria, en sus especialidades laboral y de seguridad social conoce de:</w:t>
      </w:r>
    </w:p>
    <w:p w14:paraId="7027A1DC" w14:textId="77777777" w:rsidR="00C36489" w:rsidRPr="00AE2676" w:rsidRDefault="00C36489" w:rsidP="00AE2676">
      <w:pPr>
        <w:pStyle w:val="NormalWeb"/>
        <w:spacing w:before="0" w:beforeAutospacing="0" w:after="0" w:afterAutospacing="0"/>
        <w:ind w:left="426" w:right="420"/>
        <w:rPr>
          <w:rFonts w:ascii="Tahoma" w:hAnsi="Tahoma" w:cs="Tahoma"/>
          <w:color w:val="000000"/>
          <w:sz w:val="22"/>
        </w:rPr>
      </w:pPr>
      <w:r w:rsidRPr="00AE2676">
        <w:rPr>
          <w:rFonts w:ascii="Tahoma" w:hAnsi="Tahoma" w:cs="Tahoma"/>
          <w:color w:val="000000"/>
          <w:sz w:val="22"/>
        </w:rPr>
        <w:t> </w:t>
      </w:r>
    </w:p>
    <w:p w14:paraId="3B796B3C" w14:textId="5ECFF590" w:rsidR="00C36489" w:rsidRPr="00AE2676" w:rsidRDefault="00C36489" w:rsidP="00AE2676">
      <w:pPr>
        <w:pStyle w:val="NormalWeb"/>
        <w:spacing w:before="0" w:beforeAutospacing="0" w:after="0" w:afterAutospacing="0"/>
        <w:ind w:left="426" w:right="420"/>
        <w:jc w:val="both"/>
        <w:rPr>
          <w:rFonts w:ascii="Tahoma" w:hAnsi="Tahoma" w:cs="Tahoma"/>
          <w:i/>
          <w:iCs/>
          <w:color w:val="000000"/>
          <w:sz w:val="22"/>
        </w:rPr>
      </w:pPr>
      <w:r w:rsidRPr="00AE2676">
        <w:rPr>
          <w:rFonts w:ascii="Tahoma" w:hAnsi="Tahoma" w:cs="Tahoma"/>
          <w:i/>
          <w:iCs/>
          <w:color w:val="000000"/>
          <w:sz w:val="22"/>
        </w:rPr>
        <w:t>1. Los conflictos jurídicos que se originen directa o indirectamente en el contrato de trabajo.</w:t>
      </w:r>
      <w:r w:rsidR="00AE2676">
        <w:rPr>
          <w:rFonts w:ascii="Tahoma" w:hAnsi="Tahoma" w:cs="Tahoma"/>
          <w:i/>
          <w:iCs/>
          <w:color w:val="000000"/>
          <w:sz w:val="22"/>
        </w:rPr>
        <w:t xml:space="preserve"> (…)</w:t>
      </w:r>
    </w:p>
    <w:p w14:paraId="57580A99" w14:textId="67B25BA3" w:rsidR="00652550" w:rsidRPr="00AE2676" w:rsidRDefault="00652550" w:rsidP="00AE2676">
      <w:pPr>
        <w:pStyle w:val="NormalWeb"/>
        <w:spacing w:before="0" w:beforeAutospacing="0" w:after="0" w:afterAutospacing="0"/>
        <w:ind w:left="426" w:right="420"/>
        <w:jc w:val="both"/>
        <w:rPr>
          <w:rFonts w:ascii="Tahoma" w:hAnsi="Tahoma" w:cs="Tahoma"/>
          <w:i/>
          <w:iCs/>
          <w:color w:val="000000"/>
          <w:sz w:val="22"/>
        </w:rPr>
      </w:pPr>
    </w:p>
    <w:p w14:paraId="5B4BC9CB" w14:textId="52614C4D" w:rsidR="00652550" w:rsidRPr="00AE2676" w:rsidRDefault="00652550" w:rsidP="00AE2676">
      <w:pPr>
        <w:pStyle w:val="NormalWeb"/>
        <w:spacing w:before="0" w:beforeAutospacing="0" w:after="0" w:afterAutospacing="0"/>
        <w:ind w:left="426" w:right="420"/>
        <w:jc w:val="both"/>
        <w:rPr>
          <w:rFonts w:ascii="Tahoma" w:hAnsi="Tahoma" w:cs="Tahoma"/>
          <w:i/>
          <w:iCs/>
          <w:color w:val="000000"/>
          <w:sz w:val="22"/>
        </w:rPr>
      </w:pPr>
      <w:r w:rsidRPr="00AE2676">
        <w:rPr>
          <w:rFonts w:ascii="Tahoma" w:hAnsi="Tahoma" w:cs="Tahoma"/>
          <w:i/>
          <w:iCs/>
          <w:color w:val="000000"/>
          <w:sz w:val="22"/>
        </w:rPr>
        <w:t>4. Las controversias relativas a la prestación de los servicios de la seguridad social que se susciten entre los afiliados, beneficiarios o usuarios, los empleadores y las entidades administradoras o prestadoras, salvo los de responsabilidad médica y los relacionados con contratos.</w:t>
      </w:r>
    </w:p>
    <w:p w14:paraId="79B8F505" w14:textId="4072663D" w:rsidR="00652550" w:rsidRPr="00AE2676" w:rsidRDefault="00652550" w:rsidP="00AE2676">
      <w:pPr>
        <w:pStyle w:val="NormalWeb"/>
        <w:spacing w:before="0" w:beforeAutospacing="0" w:after="0" w:afterAutospacing="0"/>
        <w:ind w:left="426" w:right="420"/>
        <w:jc w:val="both"/>
        <w:rPr>
          <w:rFonts w:ascii="Tahoma" w:hAnsi="Tahoma" w:cs="Tahoma"/>
          <w:i/>
          <w:iCs/>
          <w:color w:val="000000"/>
          <w:sz w:val="22"/>
        </w:rPr>
      </w:pPr>
    </w:p>
    <w:p w14:paraId="72D9E066" w14:textId="77777777" w:rsidR="00652550" w:rsidRDefault="00652550" w:rsidP="00AE2676">
      <w:pPr>
        <w:pStyle w:val="NormalWeb"/>
        <w:spacing w:before="0" w:beforeAutospacing="0" w:after="0" w:afterAutospacing="0"/>
        <w:ind w:left="426" w:right="420"/>
        <w:jc w:val="both"/>
        <w:rPr>
          <w:rFonts w:ascii="Tahoma" w:hAnsi="Tahoma" w:cs="Tahoma"/>
          <w:i/>
          <w:iCs/>
          <w:color w:val="000000"/>
          <w:sz w:val="22"/>
        </w:rPr>
      </w:pPr>
      <w:r w:rsidRPr="00AE2676">
        <w:rPr>
          <w:rFonts w:ascii="Tahoma" w:hAnsi="Tahoma" w:cs="Tahoma"/>
          <w:i/>
          <w:iCs/>
          <w:color w:val="000000"/>
          <w:sz w:val="22"/>
        </w:rPr>
        <w:t>5. La ejecución de obligaciones emanadas de la relación de trabajo y del sistema de seguridad social integral que no correspondan a otra autoridad.</w:t>
      </w:r>
    </w:p>
    <w:p w14:paraId="6EC4C9B3" w14:textId="77777777" w:rsidR="00AE2676" w:rsidRPr="00AE2676" w:rsidRDefault="00AE2676" w:rsidP="00AE2676">
      <w:pPr>
        <w:pStyle w:val="NormalWeb"/>
        <w:spacing w:before="0" w:beforeAutospacing="0" w:after="0" w:afterAutospacing="0"/>
        <w:ind w:left="426" w:right="420"/>
        <w:jc w:val="both"/>
        <w:rPr>
          <w:rFonts w:ascii="Tahoma" w:hAnsi="Tahoma" w:cs="Tahoma"/>
          <w:i/>
          <w:iCs/>
          <w:color w:val="000000"/>
          <w:sz w:val="22"/>
        </w:rPr>
      </w:pPr>
    </w:p>
    <w:p w14:paraId="2B8295B4" w14:textId="77777777" w:rsidR="00652550" w:rsidRPr="00AE2676" w:rsidRDefault="00652550" w:rsidP="00AE2676">
      <w:pPr>
        <w:pStyle w:val="NormalWeb"/>
        <w:spacing w:before="0" w:beforeAutospacing="0" w:after="0" w:afterAutospacing="0"/>
        <w:ind w:left="426" w:right="420"/>
        <w:jc w:val="both"/>
        <w:rPr>
          <w:rFonts w:ascii="Tahoma" w:hAnsi="Tahoma" w:cs="Tahoma"/>
          <w:i/>
          <w:iCs/>
          <w:color w:val="000000"/>
          <w:sz w:val="22"/>
        </w:rPr>
      </w:pPr>
      <w:r w:rsidRPr="00AE2676">
        <w:rPr>
          <w:rFonts w:ascii="Tahoma" w:hAnsi="Tahoma" w:cs="Tahoma"/>
          <w:i/>
          <w:iCs/>
          <w:color w:val="000000"/>
          <w:sz w:val="22"/>
        </w:rPr>
        <w:t>6. Los conflictos jurídicos que se originan en el reconocimiento y pago de honorarios o remuneraciones por servicios personales de carácter privado, cualquiera que sea la relación que los motive.</w:t>
      </w:r>
    </w:p>
    <w:p w14:paraId="507B445B" w14:textId="77777777" w:rsidR="00AE2676" w:rsidRDefault="00AE2676" w:rsidP="00AE2676">
      <w:pPr>
        <w:pStyle w:val="NormalWeb"/>
        <w:spacing w:before="0" w:beforeAutospacing="0" w:after="0" w:afterAutospacing="0"/>
        <w:ind w:left="426" w:right="420"/>
        <w:jc w:val="both"/>
        <w:rPr>
          <w:rFonts w:ascii="Tahoma" w:hAnsi="Tahoma" w:cs="Tahoma"/>
          <w:i/>
          <w:iCs/>
          <w:color w:val="000000"/>
          <w:sz w:val="22"/>
        </w:rPr>
      </w:pPr>
    </w:p>
    <w:p w14:paraId="161D0069" w14:textId="47235A78" w:rsidR="00652550" w:rsidRPr="00AE2676" w:rsidRDefault="00652550" w:rsidP="00AE2676">
      <w:pPr>
        <w:pStyle w:val="NormalWeb"/>
        <w:spacing w:before="0" w:beforeAutospacing="0" w:after="0" w:afterAutospacing="0"/>
        <w:ind w:left="426" w:right="420"/>
        <w:jc w:val="both"/>
        <w:rPr>
          <w:rFonts w:ascii="Tahoma" w:hAnsi="Tahoma" w:cs="Tahoma"/>
          <w:i/>
          <w:iCs/>
          <w:color w:val="000000"/>
          <w:sz w:val="22"/>
        </w:rPr>
      </w:pPr>
      <w:r w:rsidRPr="00AE2676">
        <w:rPr>
          <w:rFonts w:ascii="Tahoma" w:hAnsi="Tahoma" w:cs="Tahoma"/>
          <w:i/>
          <w:iCs/>
          <w:color w:val="000000"/>
          <w:sz w:val="22"/>
        </w:rPr>
        <w:t>7. La ejecución de las multas impuestas a favor del Servicio Nacional de Aprendizaje, por incumplimiento de las cuotas establecidas sobre el número de aprendices, dictadas conforme al numeral 13 del artículo </w:t>
      </w:r>
      <w:hyperlink r:id="rId12" w:anchor="13" w:history="1">
        <w:r w:rsidRPr="00AE2676">
          <w:rPr>
            <w:rFonts w:ascii="Tahoma" w:hAnsi="Tahoma" w:cs="Tahoma"/>
            <w:i/>
            <w:iCs/>
            <w:color w:val="000000"/>
            <w:sz w:val="22"/>
          </w:rPr>
          <w:t>13</w:t>
        </w:r>
      </w:hyperlink>
      <w:r w:rsidRPr="00AE2676">
        <w:rPr>
          <w:rFonts w:ascii="Tahoma" w:hAnsi="Tahoma" w:cs="Tahoma"/>
          <w:i/>
          <w:iCs/>
          <w:color w:val="000000"/>
          <w:sz w:val="22"/>
        </w:rPr>
        <w:t> de la Ley 119 de 1994.</w:t>
      </w:r>
    </w:p>
    <w:bookmarkEnd w:id="2"/>
    <w:p w14:paraId="243BB0AD" w14:textId="77777777" w:rsidR="00C36489" w:rsidRPr="00AE2676" w:rsidRDefault="00C36489" w:rsidP="00AE2676">
      <w:pPr>
        <w:pStyle w:val="NormalWeb"/>
        <w:tabs>
          <w:tab w:val="left" w:pos="284"/>
          <w:tab w:val="left" w:pos="8080"/>
        </w:tabs>
        <w:spacing w:before="0" w:beforeAutospacing="0" w:after="0" w:afterAutospacing="0" w:line="276" w:lineRule="auto"/>
        <w:ind w:left="1416" w:right="760"/>
        <w:jc w:val="both"/>
        <w:rPr>
          <w:rFonts w:ascii="Tahoma" w:eastAsiaTheme="minorHAnsi" w:hAnsi="Tahoma" w:cs="Tahoma"/>
          <w:i/>
          <w:iCs/>
          <w:lang w:eastAsia="en-US"/>
        </w:rPr>
      </w:pPr>
    </w:p>
    <w:p w14:paraId="3F562292" w14:textId="7E4D6AE5" w:rsidR="009C6582" w:rsidRPr="00AE2676" w:rsidRDefault="00DC2FE5" w:rsidP="00AE2676">
      <w:pPr>
        <w:tabs>
          <w:tab w:val="left" w:pos="284"/>
        </w:tabs>
        <w:spacing w:line="276" w:lineRule="auto"/>
        <w:rPr>
          <w:rFonts w:cs="Tahoma"/>
          <w:szCs w:val="24"/>
        </w:rPr>
      </w:pPr>
      <w:r w:rsidRPr="00AE2676">
        <w:rPr>
          <w:rFonts w:cs="Tahoma"/>
          <w:szCs w:val="24"/>
        </w:rPr>
        <w:tab/>
      </w:r>
      <w:r w:rsidR="00732EFD" w:rsidRPr="00AE2676">
        <w:rPr>
          <w:rFonts w:cs="Tahoma"/>
          <w:szCs w:val="24"/>
        </w:rPr>
        <w:t>Ahora</w:t>
      </w:r>
      <w:r w:rsidR="00DC5B65" w:rsidRPr="00AE2676">
        <w:rPr>
          <w:rFonts w:cs="Tahoma"/>
          <w:szCs w:val="24"/>
        </w:rPr>
        <w:t xml:space="preserve">, como </w:t>
      </w:r>
      <w:r w:rsidR="00067DCF" w:rsidRPr="00AE2676">
        <w:rPr>
          <w:rFonts w:cs="Tahoma"/>
          <w:szCs w:val="24"/>
        </w:rPr>
        <w:t xml:space="preserve">aquí </w:t>
      </w:r>
      <w:r w:rsidR="00732EFD" w:rsidRPr="00AE2676">
        <w:rPr>
          <w:rFonts w:cs="Tahoma"/>
          <w:szCs w:val="24"/>
        </w:rPr>
        <w:t xml:space="preserve">lo </w:t>
      </w:r>
      <w:r w:rsidR="00067DCF" w:rsidRPr="00AE2676">
        <w:rPr>
          <w:rFonts w:cs="Tahoma"/>
          <w:szCs w:val="24"/>
        </w:rPr>
        <w:t>pretendido es la indemnización contemplada en el artículo 216 del CST</w:t>
      </w:r>
      <w:r w:rsidR="004C3D67" w:rsidRPr="00AE2676">
        <w:rPr>
          <w:rFonts w:cs="Tahoma"/>
          <w:szCs w:val="24"/>
        </w:rPr>
        <w:t xml:space="preserve">, </w:t>
      </w:r>
      <w:r w:rsidR="00385CD8" w:rsidRPr="00AE2676">
        <w:rPr>
          <w:rFonts w:cs="Tahoma"/>
          <w:szCs w:val="24"/>
        </w:rPr>
        <w:t xml:space="preserve">tal </w:t>
      </w:r>
      <w:r w:rsidR="00DC5B65" w:rsidRPr="00AE2676">
        <w:rPr>
          <w:rFonts w:cs="Tahoma"/>
          <w:szCs w:val="24"/>
        </w:rPr>
        <w:t>disposición establece</w:t>
      </w:r>
      <w:r w:rsidR="00385CD8" w:rsidRPr="00AE2676">
        <w:rPr>
          <w:rFonts w:cs="Tahoma"/>
          <w:szCs w:val="24"/>
        </w:rPr>
        <w:t xml:space="preserve"> lo siguiente</w:t>
      </w:r>
      <w:r w:rsidR="004C3D67" w:rsidRPr="00AE2676">
        <w:rPr>
          <w:rFonts w:cs="Tahoma"/>
          <w:szCs w:val="24"/>
        </w:rPr>
        <w:t>:</w:t>
      </w:r>
    </w:p>
    <w:p w14:paraId="4BB712BC" w14:textId="77777777" w:rsidR="00732EFD" w:rsidRPr="00AE2676" w:rsidRDefault="00732EFD" w:rsidP="00AE2676">
      <w:pPr>
        <w:pStyle w:val="NormalWeb"/>
        <w:tabs>
          <w:tab w:val="left" w:pos="284"/>
          <w:tab w:val="left" w:pos="8080"/>
        </w:tabs>
        <w:spacing w:before="0" w:beforeAutospacing="0" w:after="0" w:afterAutospacing="0" w:line="276" w:lineRule="auto"/>
        <w:ind w:left="1416" w:right="760"/>
        <w:jc w:val="both"/>
        <w:rPr>
          <w:rFonts w:ascii="Tahoma" w:hAnsi="Tahoma" w:cs="Tahoma"/>
          <w:i/>
          <w:iCs/>
          <w:color w:val="000000"/>
        </w:rPr>
      </w:pPr>
    </w:p>
    <w:p w14:paraId="58F9823C" w14:textId="703C1323" w:rsidR="004C3D67" w:rsidRPr="00AE2676" w:rsidRDefault="004C3D67" w:rsidP="00AE2676">
      <w:pPr>
        <w:pStyle w:val="NormalWeb"/>
        <w:spacing w:before="0" w:beforeAutospacing="0" w:after="0" w:afterAutospacing="0"/>
        <w:ind w:left="426" w:right="420"/>
        <w:jc w:val="both"/>
        <w:rPr>
          <w:rFonts w:ascii="Tahoma" w:hAnsi="Tahoma" w:cs="Tahoma"/>
          <w:bCs/>
          <w:i/>
          <w:iCs/>
          <w:color w:val="000000"/>
          <w:sz w:val="22"/>
        </w:rPr>
      </w:pPr>
      <w:r w:rsidRPr="00AE2676">
        <w:rPr>
          <w:rFonts w:ascii="Tahoma" w:hAnsi="Tahoma" w:cs="Tahoma"/>
          <w:bCs/>
          <w:i/>
          <w:iCs/>
          <w:color w:val="000000"/>
          <w:sz w:val="22"/>
        </w:rPr>
        <w:t>“</w:t>
      </w:r>
      <w:r w:rsidRPr="00AE2676">
        <w:rPr>
          <w:rFonts w:ascii="Tahoma" w:hAnsi="Tahoma" w:cs="Tahoma"/>
          <w:b/>
          <w:bCs/>
          <w:i/>
          <w:iCs/>
          <w:color w:val="000000"/>
          <w:sz w:val="22"/>
        </w:rPr>
        <w:t xml:space="preserve">Artículo 216. </w:t>
      </w:r>
      <w:r w:rsidRPr="00AE2676">
        <w:rPr>
          <w:rFonts w:ascii="Tahoma" w:hAnsi="Tahoma" w:cs="Tahoma"/>
          <w:bCs/>
          <w:i/>
          <w:iCs/>
          <w:color w:val="000000"/>
          <w:sz w:val="22"/>
        </w:rPr>
        <w:t>Cuando exista culpa suficiente comprobada del patrono en la ocurrencia del accidente de trabajo o de la enfermedad profesional, está obligado a la indemnización total y ordinaria por perjuicios, pero del monto de ella debe descontarse el valor de las prestaciones en dinero pagadas en razón de las normas consagradas en este Capítulo</w:t>
      </w:r>
      <w:r w:rsidR="008C6301" w:rsidRPr="00AE2676">
        <w:rPr>
          <w:rFonts w:ascii="Tahoma" w:hAnsi="Tahoma" w:cs="Tahoma"/>
          <w:bCs/>
          <w:i/>
          <w:iCs/>
          <w:color w:val="000000"/>
          <w:sz w:val="22"/>
        </w:rPr>
        <w:t>”</w:t>
      </w:r>
      <w:r w:rsidRPr="00AE2676">
        <w:rPr>
          <w:rFonts w:ascii="Tahoma" w:hAnsi="Tahoma" w:cs="Tahoma"/>
          <w:bCs/>
          <w:i/>
          <w:iCs/>
          <w:color w:val="000000"/>
          <w:sz w:val="22"/>
        </w:rPr>
        <w:t>.</w:t>
      </w:r>
    </w:p>
    <w:p w14:paraId="24A6200D" w14:textId="77777777" w:rsidR="00E43DA4" w:rsidRPr="00AE2676" w:rsidRDefault="00E43DA4" w:rsidP="00AE2676">
      <w:pPr>
        <w:pStyle w:val="NormalWeb"/>
        <w:tabs>
          <w:tab w:val="left" w:pos="284"/>
          <w:tab w:val="left" w:pos="8080"/>
        </w:tabs>
        <w:spacing w:before="0" w:beforeAutospacing="0" w:after="0" w:afterAutospacing="0" w:line="276" w:lineRule="auto"/>
        <w:ind w:right="760"/>
        <w:jc w:val="both"/>
        <w:rPr>
          <w:rFonts w:ascii="Tahoma" w:hAnsi="Tahoma" w:cs="Tahoma"/>
          <w:i/>
          <w:iCs/>
          <w:color w:val="000000"/>
        </w:rPr>
      </w:pPr>
    </w:p>
    <w:p w14:paraId="76E70517" w14:textId="1864A621" w:rsidR="00DC2FE5" w:rsidRPr="00AE2676" w:rsidRDefault="28BDBBD2" w:rsidP="00AE2676">
      <w:pPr>
        <w:tabs>
          <w:tab w:val="left" w:pos="284"/>
          <w:tab w:val="left" w:pos="8080"/>
        </w:tabs>
        <w:spacing w:line="276" w:lineRule="auto"/>
        <w:rPr>
          <w:rFonts w:eastAsia="Tahoma" w:cs="Tahoma"/>
          <w:szCs w:val="24"/>
          <w:lang w:val="es-419"/>
        </w:rPr>
      </w:pPr>
      <w:r w:rsidRPr="00AE2676">
        <w:rPr>
          <w:rFonts w:eastAsia="Tahoma" w:cs="Tahoma"/>
          <w:szCs w:val="24"/>
          <w:lang w:val="es-419"/>
        </w:rPr>
        <w:t xml:space="preserve">Y, a su turno el </w:t>
      </w:r>
      <w:r w:rsidRPr="00AE2676">
        <w:rPr>
          <w:rFonts w:eastAsia="Tahoma" w:cs="Tahoma"/>
          <w:color w:val="000000" w:themeColor="text1"/>
          <w:szCs w:val="24"/>
          <w:lang w:val="es-419"/>
        </w:rPr>
        <w:t>artículo 30 de la Ley 789/2002</w:t>
      </w:r>
      <w:r w:rsidRPr="00AE2676">
        <w:rPr>
          <w:rFonts w:eastAsia="Tahoma" w:cs="Tahoma"/>
          <w:szCs w:val="24"/>
          <w:lang w:val="es-419"/>
        </w:rPr>
        <w:t xml:space="preserve"> define el contrato de aprendizaje de la siguiente manera:</w:t>
      </w:r>
    </w:p>
    <w:p w14:paraId="65273C44" w14:textId="3B732DDA" w:rsidR="00DC2FE5" w:rsidRPr="00AE2676" w:rsidRDefault="28BDBBD2" w:rsidP="00AE2676">
      <w:pPr>
        <w:tabs>
          <w:tab w:val="left" w:pos="284"/>
          <w:tab w:val="left" w:pos="8080"/>
        </w:tabs>
        <w:spacing w:line="276" w:lineRule="auto"/>
        <w:rPr>
          <w:rFonts w:cs="Tahoma"/>
          <w:szCs w:val="24"/>
        </w:rPr>
      </w:pPr>
      <w:r w:rsidRPr="00AE2676">
        <w:rPr>
          <w:rFonts w:eastAsia="Times New Roman" w:cs="Tahoma"/>
          <w:szCs w:val="24"/>
          <w:lang w:val="es-419"/>
        </w:rPr>
        <w:t xml:space="preserve"> </w:t>
      </w:r>
    </w:p>
    <w:p w14:paraId="7275C8E7" w14:textId="451E14A8" w:rsidR="00DC2FE5" w:rsidRPr="00AE2676" w:rsidRDefault="28BDBBD2" w:rsidP="00AE2676">
      <w:pPr>
        <w:pStyle w:val="NormalWeb"/>
        <w:spacing w:before="0" w:beforeAutospacing="0" w:after="0" w:afterAutospacing="0"/>
        <w:ind w:left="426" w:right="420"/>
        <w:jc w:val="both"/>
        <w:rPr>
          <w:rFonts w:ascii="Tahoma" w:hAnsi="Tahoma" w:cs="Tahoma"/>
          <w:bCs/>
          <w:i/>
          <w:iCs/>
          <w:color w:val="000000"/>
          <w:sz w:val="22"/>
        </w:rPr>
      </w:pPr>
      <w:r w:rsidRPr="00AE2676">
        <w:rPr>
          <w:rFonts w:ascii="Tahoma" w:hAnsi="Tahoma" w:cs="Tahoma"/>
          <w:bCs/>
          <w:i/>
          <w:iCs/>
          <w:color w:val="000000"/>
          <w:sz w:val="22"/>
        </w:rPr>
        <w:t>“El contrato de aprendizaje es una forma especial dentro del Derecho Laboral, mediante la cual una persona natural desarrolla formación teórica práctica en una entidad autorizada, a cambio de que una empresa patrocinadora proporcione los medios para adquirir formación profesional metódica y completa requerida en el oficio, actividad u ocupación y esto le implique desempeñarse dentro del manejo administrativo, operativo comercial o financiero propios del giro ordinario de las actividades de la empresa, por cualquier tiempo determinado no superior a dos (2) años, y por esto reciba un apoyo de sostenimiento mensual, el cual en ningún caso constituye salario (…)”.</w:t>
      </w:r>
    </w:p>
    <w:p w14:paraId="749DD48C" w14:textId="77777777" w:rsidR="00E43DA4" w:rsidRPr="00AE2676" w:rsidRDefault="00DC2FE5" w:rsidP="00AE2676">
      <w:pPr>
        <w:tabs>
          <w:tab w:val="left" w:pos="284"/>
        </w:tabs>
        <w:spacing w:line="276" w:lineRule="auto"/>
        <w:rPr>
          <w:rFonts w:cs="Tahoma"/>
          <w:color w:val="000000"/>
          <w:szCs w:val="24"/>
        </w:rPr>
      </w:pPr>
      <w:r w:rsidRPr="00AE2676">
        <w:rPr>
          <w:rFonts w:cs="Tahoma"/>
          <w:color w:val="000000"/>
          <w:szCs w:val="24"/>
        </w:rPr>
        <w:lastRenderedPageBreak/>
        <w:tab/>
      </w:r>
    </w:p>
    <w:p w14:paraId="331EFAD5" w14:textId="65EFEE42" w:rsidR="0088415D" w:rsidRPr="00AE2676" w:rsidRDefault="00E43DA4" w:rsidP="00AE2676">
      <w:pPr>
        <w:tabs>
          <w:tab w:val="left" w:pos="284"/>
        </w:tabs>
        <w:spacing w:line="276" w:lineRule="auto"/>
        <w:rPr>
          <w:rFonts w:cs="Tahoma"/>
          <w:color w:val="000000"/>
          <w:szCs w:val="24"/>
        </w:rPr>
      </w:pPr>
      <w:r w:rsidRPr="00AE2676">
        <w:rPr>
          <w:rFonts w:cs="Tahoma"/>
          <w:color w:val="000000"/>
          <w:szCs w:val="24"/>
        </w:rPr>
        <w:tab/>
      </w:r>
      <w:r w:rsidR="00740182" w:rsidRPr="00AE2676">
        <w:rPr>
          <w:rFonts w:cs="Tahoma"/>
          <w:color w:val="000000"/>
          <w:szCs w:val="24"/>
        </w:rPr>
        <w:t xml:space="preserve">De acuerdo con lo anterior, se tiene que si bien es cierto que </w:t>
      </w:r>
      <w:r w:rsidR="00DC2FE5" w:rsidRPr="00AE2676">
        <w:rPr>
          <w:rFonts w:cs="Tahoma"/>
          <w:color w:val="000000"/>
          <w:szCs w:val="24"/>
        </w:rPr>
        <w:t xml:space="preserve">en este asunto ninguna dicotomía existe respecto a que el contrato de aprendizaje no es </w:t>
      </w:r>
      <w:r w:rsidR="0088415D" w:rsidRPr="00AE2676">
        <w:rPr>
          <w:rFonts w:cs="Tahoma"/>
          <w:color w:val="000000"/>
          <w:szCs w:val="24"/>
        </w:rPr>
        <w:t xml:space="preserve">en sí </w:t>
      </w:r>
      <w:r w:rsidR="00DC2FE5" w:rsidRPr="00AE2676">
        <w:rPr>
          <w:rFonts w:cs="Tahoma"/>
          <w:color w:val="000000"/>
          <w:szCs w:val="24"/>
        </w:rPr>
        <w:t xml:space="preserve">un contrato de trabajo, </w:t>
      </w:r>
      <w:r w:rsidR="0069065D" w:rsidRPr="00AE2676">
        <w:rPr>
          <w:rFonts w:cs="Tahoma"/>
          <w:color w:val="000000"/>
          <w:szCs w:val="24"/>
        </w:rPr>
        <w:t xml:space="preserve">según </w:t>
      </w:r>
      <w:r w:rsidR="00DC2FE5" w:rsidRPr="00AE2676">
        <w:rPr>
          <w:rFonts w:cs="Tahoma"/>
          <w:color w:val="000000"/>
          <w:szCs w:val="24"/>
        </w:rPr>
        <w:t>la definición que trae el artículo 30 de la Ley 789/2002</w:t>
      </w:r>
      <w:r w:rsidR="0088415D" w:rsidRPr="00AE2676">
        <w:rPr>
          <w:rFonts w:cs="Tahoma"/>
          <w:color w:val="000000"/>
          <w:szCs w:val="24"/>
        </w:rPr>
        <w:t xml:space="preserve"> </w:t>
      </w:r>
      <w:r w:rsidR="00740182" w:rsidRPr="00AE2676">
        <w:rPr>
          <w:rFonts w:cs="Tahoma"/>
          <w:color w:val="000000"/>
          <w:szCs w:val="24"/>
        </w:rPr>
        <w:t>también lo es</w:t>
      </w:r>
      <w:r w:rsidR="0069065D" w:rsidRPr="00AE2676">
        <w:rPr>
          <w:rFonts w:cs="Tahoma"/>
          <w:color w:val="000000"/>
          <w:szCs w:val="24"/>
        </w:rPr>
        <w:t>,</w:t>
      </w:r>
      <w:r w:rsidR="00740182" w:rsidRPr="00AE2676">
        <w:rPr>
          <w:rFonts w:cs="Tahoma"/>
          <w:color w:val="000000"/>
          <w:szCs w:val="24"/>
        </w:rPr>
        <w:t xml:space="preserve"> que dicha vinculación </w:t>
      </w:r>
      <w:r w:rsidR="0088415D" w:rsidRPr="00AE2676">
        <w:rPr>
          <w:rFonts w:cs="Tahoma"/>
          <w:color w:val="000000"/>
          <w:szCs w:val="24"/>
        </w:rPr>
        <w:t>es una forma especial dentro del Derecho Laboral en la cual, durante la fase práctica existen unas obligaciones de salud ocupacional (ARL)</w:t>
      </w:r>
      <w:r w:rsidR="00740182" w:rsidRPr="00AE2676">
        <w:rPr>
          <w:rFonts w:cs="Tahoma"/>
          <w:color w:val="000000"/>
          <w:szCs w:val="24"/>
        </w:rPr>
        <w:t xml:space="preserve">, de </w:t>
      </w:r>
      <w:r w:rsidR="0088415D" w:rsidRPr="00AE2676">
        <w:rPr>
          <w:rFonts w:cs="Tahoma"/>
          <w:color w:val="000000"/>
          <w:szCs w:val="24"/>
        </w:rPr>
        <w:t>seguridad social en salud</w:t>
      </w:r>
      <w:r w:rsidR="00740182" w:rsidRPr="00AE2676">
        <w:rPr>
          <w:rFonts w:cs="Tahoma"/>
          <w:color w:val="000000"/>
          <w:szCs w:val="24"/>
        </w:rPr>
        <w:t xml:space="preserve"> y de aplicación de las normas de higiene y prevención de accidentes </w:t>
      </w:r>
      <w:r w:rsidR="0088415D" w:rsidRPr="00AE2676">
        <w:rPr>
          <w:rFonts w:cs="Tahoma"/>
          <w:color w:val="000000"/>
          <w:szCs w:val="24"/>
        </w:rPr>
        <w:t>a cargo de las empresas patrocinadoras.</w:t>
      </w:r>
    </w:p>
    <w:p w14:paraId="257E47E9" w14:textId="77777777" w:rsidR="0088415D" w:rsidRPr="00AE2676" w:rsidRDefault="0088415D" w:rsidP="00AE2676">
      <w:pPr>
        <w:tabs>
          <w:tab w:val="left" w:pos="284"/>
        </w:tabs>
        <w:spacing w:line="276" w:lineRule="auto"/>
        <w:rPr>
          <w:rFonts w:cs="Tahoma"/>
          <w:color w:val="000000"/>
          <w:szCs w:val="24"/>
        </w:rPr>
      </w:pPr>
    </w:p>
    <w:p w14:paraId="5BD526ED" w14:textId="40943F81" w:rsidR="009E0C48" w:rsidRPr="00AE2676" w:rsidRDefault="0088415D" w:rsidP="00AE2676">
      <w:pPr>
        <w:tabs>
          <w:tab w:val="left" w:pos="284"/>
        </w:tabs>
        <w:spacing w:line="276" w:lineRule="auto"/>
        <w:rPr>
          <w:rFonts w:cs="Tahoma"/>
          <w:color w:val="000000"/>
          <w:szCs w:val="24"/>
        </w:rPr>
      </w:pPr>
      <w:r w:rsidRPr="00AE2676">
        <w:rPr>
          <w:rFonts w:cs="Tahoma"/>
          <w:color w:val="000000"/>
          <w:szCs w:val="24"/>
        </w:rPr>
        <w:tab/>
      </w:r>
      <w:r w:rsidR="0069065D" w:rsidRPr="00AE2676">
        <w:rPr>
          <w:rFonts w:cs="Tahoma"/>
          <w:color w:val="000000"/>
          <w:szCs w:val="24"/>
        </w:rPr>
        <w:t>En ese norte</w:t>
      </w:r>
      <w:r w:rsidR="00DC2FE5" w:rsidRPr="00AE2676">
        <w:rPr>
          <w:rFonts w:cs="Tahoma"/>
          <w:color w:val="000000"/>
          <w:szCs w:val="24"/>
        </w:rPr>
        <w:t xml:space="preserve">, </w:t>
      </w:r>
      <w:r w:rsidRPr="00AE2676">
        <w:rPr>
          <w:rFonts w:cs="Tahoma"/>
          <w:color w:val="000000"/>
          <w:szCs w:val="24"/>
        </w:rPr>
        <w:t xml:space="preserve">la controversia </w:t>
      </w:r>
      <w:r w:rsidR="0069065D" w:rsidRPr="00AE2676">
        <w:rPr>
          <w:rFonts w:cs="Tahoma"/>
          <w:color w:val="000000"/>
          <w:szCs w:val="24"/>
        </w:rPr>
        <w:t xml:space="preserve">planteada </w:t>
      </w:r>
      <w:r w:rsidR="00385CD8" w:rsidRPr="00AE2676">
        <w:rPr>
          <w:rFonts w:cs="Tahoma"/>
          <w:color w:val="000000"/>
          <w:szCs w:val="24"/>
        </w:rPr>
        <w:t xml:space="preserve">está </w:t>
      </w:r>
      <w:r w:rsidR="0069065D" w:rsidRPr="00AE2676">
        <w:rPr>
          <w:rFonts w:cs="Tahoma"/>
          <w:color w:val="000000"/>
          <w:szCs w:val="24"/>
        </w:rPr>
        <w:t xml:space="preserve">dirigida </w:t>
      </w:r>
      <w:r w:rsidRPr="00AE2676">
        <w:rPr>
          <w:rFonts w:cs="Tahoma"/>
          <w:color w:val="000000"/>
          <w:szCs w:val="24"/>
        </w:rPr>
        <w:t>a establecer si con ocasión al v</w:t>
      </w:r>
      <w:r w:rsidR="0069065D" w:rsidRPr="00AE2676">
        <w:rPr>
          <w:rFonts w:cs="Tahoma"/>
          <w:color w:val="000000"/>
          <w:szCs w:val="24"/>
        </w:rPr>
        <w:t>í</w:t>
      </w:r>
      <w:r w:rsidRPr="00AE2676">
        <w:rPr>
          <w:rFonts w:cs="Tahoma"/>
          <w:color w:val="000000"/>
          <w:szCs w:val="24"/>
        </w:rPr>
        <w:t>nculo especial entre aprendiz vs empresa patrocinadora</w:t>
      </w:r>
      <w:r w:rsidR="0069065D" w:rsidRPr="00AE2676">
        <w:rPr>
          <w:rFonts w:cs="Tahoma"/>
          <w:color w:val="000000"/>
          <w:szCs w:val="24"/>
        </w:rPr>
        <w:t>,</w:t>
      </w:r>
      <w:r w:rsidRPr="00AE2676">
        <w:rPr>
          <w:rFonts w:cs="Tahoma"/>
          <w:color w:val="000000"/>
          <w:szCs w:val="24"/>
        </w:rPr>
        <w:t xml:space="preserve"> habría lugar a la indemnización </w:t>
      </w:r>
      <w:r w:rsidR="009E0C48" w:rsidRPr="00AE2676">
        <w:rPr>
          <w:rFonts w:cs="Tahoma"/>
          <w:color w:val="000000"/>
          <w:szCs w:val="24"/>
        </w:rPr>
        <w:t xml:space="preserve">plena de perjuicios contenida en el </w:t>
      </w:r>
      <w:r w:rsidRPr="00AE2676">
        <w:rPr>
          <w:rFonts w:cs="Tahoma"/>
          <w:color w:val="000000"/>
          <w:szCs w:val="24"/>
        </w:rPr>
        <w:t xml:space="preserve">artículo 216 del CSTSS, </w:t>
      </w:r>
      <w:r w:rsidR="00385CD8" w:rsidRPr="00AE2676">
        <w:rPr>
          <w:rFonts w:cs="Tahoma"/>
          <w:color w:val="000000"/>
          <w:szCs w:val="24"/>
        </w:rPr>
        <w:t xml:space="preserve">norma cuya aplicación </w:t>
      </w:r>
      <w:r w:rsidR="00363181" w:rsidRPr="00AE2676">
        <w:rPr>
          <w:rFonts w:cs="Tahoma"/>
          <w:color w:val="000000"/>
          <w:szCs w:val="24"/>
        </w:rPr>
        <w:t xml:space="preserve">invoca </w:t>
      </w:r>
      <w:r w:rsidR="00385CD8" w:rsidRPr="00AE2676">
        <w:rPr>
          <w:rFonts w:cs="Tahoma"/>
          <w:color w:val="000000"/>
          <w:szCs w:val="24"/>
        </w:rPr>
        <w:t>la</w:t>
      </w:r>
      <w:r w:rsidR="00120C53" w:rsidRPr="00AE2676">
        <w:rPr>
          <w:rFonts w:cs="Tahoma"/>
          <w:color w:val="000000"/>
          <w:szCs w:val="24"/>
        </w:rPr>
        <w:t xml:space="preserve"> demandante en virtud </w:t>
      </w:r>
      <w:r w:rsidR="009E0C48" w:rsidRPr="00AE2676">
        <w:rPr>
          <w:rFonts w:cs="Tahoma"/>
          <w:color w:val="000000"/>
          <w:szCs w:val="24"/>
        </w:rPr>
        <w:t xml:space="preserve">del </w:t>
      </w:r>
      <w:r w:rsidR="00120C53" w:rsidRPr="00AE2676">
        <w:rPr>
          <w:rFonts w:cs="Tahoma"/>
          <w:color w:val="000000"/>
          <w:szCs w:val="24"/>
        </w:rPr>
        <w:t>artículo</w:t>
      </w:r>
      <w:r w:rsidR="009E0C48" w:rsidRPr="00AE2676">
        <w:rPr>
          <w:rFonts w:cs="Tahoma"/>
          <w:color w:val="000000"/>
          <w:szCs w:val="24"/>
        </w:rPr>
        <w:t xml:space="preserve"> 8 de la Ley 153 de 1887</w:t>
      </w:r>
      <w:r w:rsidR="009E0C48" w:rsidRPr="00AE2676">
        <w:rPr>
          <w:rStyle w:val="Refdenotaalpie"/>
          <w:rFonts w:cs="Tahoma"/>
          <w:color w:val="000000"/>
          <w:szCs w:val="24"/>
        </w:rPr>
        <w:footnoteReference w:id="1"/>
      </w:r>
      <w:r w:rsidR="009E0C48" w:rsidRPr="00AE2676">
        <w:rPr>
          <w:rFonts w:cs="Tahoma"/>
          <w:color w:val="000000"/>
          <w:szCs w:val="24"/>
        </w:rPr>
        <w:t xml:space="preserve"> </w:t>
      </w:r>
      <w:r w:rsidR="00120C53" w:rsidRPr="00AE2676">
        <w:rPr>
          <w:rFonts w:cs="Tahoma"/>
          <w:color w:val="000000"/>
          <w:szCs w:val="24"/>
        </w:rPr>
        <w:t>que,</w:t>
      </w:r>
      <w:r w:rsidR="009E0C48" w:rsidRPr="00AE2676">
        <w:rPr>
          <w:rFonts w:cs="Tahoma"/>
          <w:color w:val="000000"/>
          <w:szCs w:val="24"/>
        </w:rPr>
        <w:t xml:space="preserve"> </w:t>
      </w:r>
      <w:r w:rsidR="00120C53" w:rsidRPr="00AE2676">
        <w:rPr>
          <w:rFonts w:cs="Tahoma"/>
          <w:color w:val="000000"/>
          <w:szCs w:val="24"/>
        </w:rPr>
        <w:t xml:space="preserve">a </w:t>
      </w:r>
      <w:r w:rsidR="0069065D" w:rsidRPr="00AE2676">
        <w:rPr>
          <w:rFonts w:cs="Tahoma"/>
          <w:color w:val="000000"/>
          <w:szCs w:val="24"/>
        </w:rPr>
        <w:t xml:space="preserve">su </w:t>
      </w:r>
      <w:r w:rsidR="00120C53" w:rsidRPr="00AE2676">
        <w:rPr>
          <w:rFonts w:cs="Tahoma"/>
          <w:color w:val="000000"/>
          <w:szCs w:val="24"/>
        </w:rPr>
        <w:t xml:space="preserve">juicio, le </w:t>
      </w:r>
      <w:r w:rsidR="009E0C48" w:rsidRPr="00AE2676">
        <w:rPr>
          <w:rFonts w:cs="Tahoma"/>
          <w:color w:val="000000"/>
          <w:szCs w:val="24"/>
        </w:rPr>
        <w:t>permit</w:t>
      </w:r>
      <w:r w:rsidR="00120C53" w:rsidRPr="00AE2676">
        <w:rPr>
          <w:rFonts w:cs="Tahoma"/>
          <w:color w:val="000000"/>
          <w:szCs w:val="24"/>
        </w:rPr>
        <w:t>e</w:t>
      </w:r>
      <w:r w:rsidR="009E0C48" w:rsidRPr="00AE2676">
        <w:rPr>
          <w:rFonts w:cs="Tahoma"/>
          <w:color w:val="000000"/>
          <w:szCs w:val="24"/>
        </w:rPr>
        <w:t xml:space="preserve"> acudir en forma analógica a las leyes que regulan la situación en los contratos de trabaj</w:t>
      </w:r>
      <w:r w:rsidR="00120C53" w:rsidRPr="00AE2676">
        <w:rPr>
          <w:rFonts w:cs="Tahoma"/>
          <w:color w:val="000000"/>
          <w:szCs w:val="24"/>
        </w:rPr>
        <w:t>o</w:t>
      </w:r>
      <w:r w:rsidR="009E0C48" w:rsidRPr="00AE2676">
        <w:rPr>
          <w:rFonts w:cs="Tahoma"/>
          <w:color w:val="000000"/>
          <w:szCs w:val="24"/>
        </w:rPr>
        <w:t xml:space="preserve">, </w:t>
      </w:r>
      <w:r w:rsidR="00120C53" w:rsidRPr="00AE2676">
        <w:rPr>
          <w:rFonts w:cs="Tahoma"/>
          <w:color w:val="000000"/>
          <w:szCs w:val="24"/>
        </w:rPr>
        <w:t xml:space="preserve">apoyándose para ello en </w:t>
      </w:r>
      <w:r w:rsidR="009E0C48" w:rsidRPr="00AE2676">
        <w:rPr>
          <w:rFonts w:cs="Tahoma"/>
          <w:color w:val="000000"/>
          <w:szCs w:val="24"/>
        </w:rPr>
        <w:t xml:space="preserve">la sentencia </w:t>
      </w:r>
      <w:bookmarkStart w:id="3" w:name="_Hlk56534056"/>
      <w:r w:rsidR="009E0C48" w:rsidRPr="00AE2676">
        <w:rPr>
          <w:rFonts w:cs="Tahoma"/>
          <w:color w:val="000000"/>
          <w:szCs w:val="24"/>
        </w:rPr>
        <w:t>T-881/2012</w:t>
      </w:r>
      <w:r w:rsidR="0037253D" w:rsidRPr="00AE2676">
        <w:rPr>
          <w:rStyle w:val="Refdenotaalpie"/>
          <w:rFonts w:cs="Tahoma"/>
          <w:color w:val="000000"/>
          <w:szCs w:val="24"/>
        </w:rPr>
        <w:footnoteReference w:id="2"/>
      </w:r>
      <w:r w:rsidR="00F562E1" w:rsidRPr="00AE2676">
        <w:rPr>
          <w:rFonts w:cs="Tahoma"/>
          <w:color w:val="000000"/>
          <w:szCs w:val="24"/>
        </w:rPr>
        <w:t>.</w:t>
      </w:r>
    </w:p>
    <w:p w14:paraId="74909B95" w14:textId="3363DA55" w:rsidR="009E0C48" w:rsidRPr="00AE2676" w:rsidRDefault="009E0C48" w:rsidP="00AE2676">
      <w:pPr>
        <w:pStyle w:val="NormalWeb"/>
        <w:tabs>
          <w:tab w:val="left" w:pos="284"/>
          <w:tab w:val="left" w:pos="8080"/>
        </w:tabs>
        <w:spacing w:before="0" w:beforeAutospacing="0" w:after="0" w:afterAutospacing="0" w:line="276" w:lineRule="auto"/>
        <w:ind w:right="760"/>
        <w:jc w:val="both"/>
        <w:rPr>
          <w:rFonts w:ascii="Tahoma" w:hAnsi="Tahoma" w:cs="Tahoma"/>
          <w:i/>
          <w:iCs/>
          <w:color w:val="000000"/>
        </w:rPr>
      </w:pPr>
    </w:p>
    <w:bookmarkEnd w:id="3"/>
    <w:p w14:paraId="1FB80EE0" w14:textId="1255166D" w:rsidR="009E0C48" w:rsidRPr="00AE2676" w:rsidRDefault="00120C53" w:rsidP="00AE2676">
      <w:pPr>
        <w:tabs>
          <w:tab w:val="left" w:pos="284"/>
        </w:tabs>
        <w:spacing w:line="276" w:lineRule="auto"/>
        <w:ind w:firstLine="284"/>
        <w:rPr>
          <w:rFonts w:cs="Tahoma"/>
          <w:color w:val="000000"/>
          <w:szCs w:val="24"/>
        </w:rPr>
      </w:pPr>
      <w:r w:rsidRPr="00AE2676">
        <w:rPr>
          <w:rFonts w:cs="Tahoma"/>
          <w:color w:val="000000"/>
          <w:szCs w:val="24"/>
        </w:rPr>
        <w:t xml:space="preserve">En ese </w:t>
      </w:r>
      <w:r w:rsidR="00363181" w:rsidRPr="00AE2676">
        <w:rPr>
          <w:rFonts w:cs="Tahoma"/>
          <w:color w:val="000000"/>
          <w:szCs w:val="24"/>
        </w:rPr>
        <w:t>orden</w:t>
      </w:r>
      <w:r w:rsidR="0069065D" w:rsidRPr="00AE2676">
        <w:rPr>
          <w:rFonts w:cs="Tahoma"/>
          <w:color w:val="000000"/>
          <w:szCs w:val="24"/>
        </w:rPr>
        <w:t>,</w:t>
      </w:r>
      <w:r w:rsidRPr="00AE2676">
        <w:rPr>
          <w:rFonts w:cs="Tahoma"/>
          <w:color w:val="000000"/>
          <w:szCs w:val="24"/>
        </w:rPr>
        <w:t xml:space="preserve"> la competencia radica en esta Jurisdicción como Juez Natural para resolver el eje principal de la controversia</w:t>
      </w:r>
      <w:r w:rsidR="00E43DA4" w:rsidRPr="00AE2676">
        <w:rPr>
          <w:rFonts w:cs="Tahoma"/>
          <w:color w:val="000000"/>
          <w:szCs w:val="24"/>
        </w:rPr>
        <w:t>,</w:t>
      </w:r>
      <w:r w:rsidRPr="00AE2676">
        <w:rPr>
          <w:rFonts w:cs="Tahoma"/>
          <w:color w:val="000000"/>
          <w:szCs w:val="24"/>
        </w:rPr>
        <w:t xml:space="preserve"> la cual</w:t>
      </w:r>
      <w:r w:rsidR="0037253D" w:rsidRPr="00AE2676">
        <w:rPr>
          <w:rFonts w:cs="Tahoma"/>
          <w:color w:val="000000"/>
          <w:szCs w:val="24"/>
        </w:rPr>
        <w:t xml:space="preserve">, </w:t>
      </w:r>
      <w:r w:rsidR="00363181" w:rsidRPr="00AE2676">
        <w:rPr>
          <w:rFonts w:cs="Tahoma"/>
          <w:color w:val="000000"/>
          <w:szCs w:val="24"/>
        </w:rPr>
        <w:t>se itera</w:t>
      </w:r>
      <w:r w:rsidR="0037253D" w:rsidRPr="00AE2676">
        <w:rPr>
          <w:rFonts w:cs="Tahoma"/>
          <w:color w:val="000000"/>
          <w:szCs w:val="24"/>
        </w:rPr>
        <w:t>,</w:t>
      </w:r>
      <w:r w:rsidRPr="00AE2676">
        <w:rPr>
          <w:rFonts w:cs="Tahoma"/>
          <w:color w:val="000000"/>
          <w:szCs w:val="24"/>
        </w:rPr>
        <w:t xml:space="preserve"> se enmarca en determinar la aplicabilidad de la indemnización plena de perjuicios </w:t>
      </w:r>
      <w:r w:rsidR="0037253D" w:rsidRPr="00AE2676">
        <w:rPr>
          <w:rFonts w:cs="Tahoma"/>
          <w:color w:val="000000"/>
          <w:szCs w:val="24"/>
        </w:rPr>
        <w:t xml:space="preserve">del artículo 126 del CST </w:t>
      </w:r>
      <w:r w:rsidRPr="00AE2676">
        <w:rPr>
          <w:rFonts w:cs="Tahoma"/>
          <w:color w:val="000000"/>
          <w:szCs w:val="24"/>
        </w:rPr>
        <w:t>a los contratos de aprendizaje</w:t>
      </w:r>
      <w:r w:rsidR="0069065D" w:rsidRPr="00AE2676">
        <w:rPr>
          <w:rFonts w:cs="Tahoma"/>
          <w:color w:val="000000"/>
          <w:szCs w:val="24"/>
        </w:rPr>
        <w:t xml:space="preserve"> bajo el concepto amplio de trabajo</w:t>
      </w:r>
      <w:r w:rsidR="00D661FD" w:rsidRPr="00AE2676">
        <w:rPr>
          <w:rFonts w:cs="Tahoma"/>
          <w:color w:val="000000"/>
          <w:szCs w:val="24"/>
        </w:rPr>
        <w:t xml:space="preserve"> y, en tal caso, se daría paso a la competencia al tenor del artículo 2, numeral 2 del CPTSS</w:t>
      </w:r>
      <w:r w:rsidRPr="00AE2676">
        <w:rPr>
          <w:rFonts w:cs="Tahoma"/>
          <w:color w:val="000000"/>
          <w:szCs w:val="24"/>
        </w:rPr>
        <w:t xml:space="preserve">. </w:t>
      </w:r>
      <w:r w:rsidR="009E0C48" w:rsidRPr="00AE2676">
        <w:rPr>
          <w:rFonts w:cs="Tahoma"/>
          <w:color w:val="000000"/>
          <w:szCs w:val="24"/>
        </w:rPr>
        <w:t xml:space="preserve">Bajo </w:t>
      </w:r>
      <w:r w:rsidR="001444D8" w:rsidRPr="00AE2676">
        <w:rPr>
          <w:rFonts w:cs="Tahoma"/>
          <w:color w:val="000000"/>
          <w:szCs w:val="24"/>
        </w:rPr>
        <w:t xml:space="preserve">tal </w:t>
      </w:r>
      <w:r w:rsidR="009E0C48" w:rsidRPr="00AE2676">
        <w:rPr>
          <w:rFonts w:cs="Tahoma"/>
          <w:color w:val="000000"/>
          <w:szCs w:val="24"/>
        </w:rPr>
        <w:t>panorama, para esta Sala habrá de ratificarse la decisión de instancia</w:t>
      </w:r>
      <w:r w:rsidR="00363181" w:rsidRPr="00AE2676">
        <w:rPr>
          <w:rFonts w:cs="Tahoma"/>
          <w:color w:val="000000"/>
          <w:szCs w:val="24"/>
        </w:rPr>
        <w:t xml:space="preserve"> en este punto</w:t>
      </w:r>
      <w:r w:rsidR="001444D8" w:rsidRPr="00AE2676">
        <w:rPr>
          <w:rFonts w:cs="Tahoma"/>
          <w:color w:val="000000"/>
          <w:szCs w:val="24"/>
        </w:rPr>
        <w:t>.</w:t>
      </w:r>
    </w:p>
    <w:p w14:paraId="65516650" w14:textId="77777777" w:rsidR="00E43DA4" w:rsidRPr="00AE2676" w:rsidRDefault="00E43DA4" w:rsidP="00AE2676">
      <w:pPr>
        <w:tabs>
          <w:tab w:val="left" w:pos="284"/>
        </w:tabs>
        <w:spacing w:line="276" w:lineRule="auto"/>
        <w:ind w:firstLine="284"/>
        <w:rPr>
          <w:rFonts w:cs="Tahoma"/>
          <w:color w:val="000000"/>
          <w:szCs w:val="24"/>
        </w:rPr>
      </w:pPr>
    </w:p>
    <w:p w14:paraId="14787768" w14:textId="28C3ABEE" w:rsidR="00D661FD" w:rsidRPr="00AE2676" w:rsidRDefault="0067123B" w:rsidP="00AE2676">
      <w:pPr>
        <w:pStyle w:val="Prrafodelista"/>
        <w:numPr>
          <w:ilvl w:val="1"/>
          <w:numId w:val="5"/>
        </w:numPr>
        <w:tabs>
          <w:tab w:val="left" w:pos="284"/>
        </w:tabs>
        <w:spacing w:line="276" w:lineRule="auto"/>
        <w:rPr>
          <w:rFonts w:cs="Tahoma"/>
          <w:b/>
          <w:bCs/>
          <w:szCs w:val="24"/>
        </w:rPr>
      </w:pPr>
      <w:r w:rsidRPr="00AE2676">
        <w:rPr>
          <w:rFonts w:cs="Tahoma"/>
          <w:b/>
          <w:bCs/>
          <w:szCs w:val="24"/>
        </w:rPr>
        <w:t xml:space="preserve">De la ineptitud de la demanda </w:t>
      </w:r>
      <w:r w:rsidR="009D5CC1" w:rsidRPr="00AE2676">
        <w:rPr>
          <w:rFonts w:cs="Tahoma"/>
          <w:b/>
          <w:bCs/>
          <w:szCs w:val="24"/>
        </w:rPr>
        <w:t xml:space="preserve">por falta de los requisitos formales o por indebida </w:t>
      </w:r>
      <w:r w:rsidRPr="00AE2676">
        <w:rPr>
          <w:rFonts w:cs="Tahoma"/>
          <w:b/>
          <w:bCs/>
          <w:szCs w:val="24"/>
        </w:rPr>
        <w:t>acumulación de pretensiones.</w:t>
      </w:r>
    </w:p>
    <w:p w14:paraId="2879EF77" w14:textId="68E46DE9" w:rsidR="0067123B" w:rsidRPr="00AE2676" w:rsidRDefault="0067123B" w:rsidP="00AE2676">
      <w:pPr>
        <w:tabs>
          <w:tab w:val="left" w:pos="284"/>
        </w:tabs>
        <w:spacing w:line="276" w:lineRule="auto"/>
        <w:rPr>
          <w:rFonts w:cs="Tahoma"/>
          <w:b/>
          <w:bCs/>
          <w:szCs w:val="24"/>
        </w:rPr>
      </w:pPr>
    </w:p>
    <w:p w14:paraId="444CE16C" w14:textId="61D895CD" w:rsidR="009D5CC1" w:rsidRPr="00AE2676" w:rsidRDefault="009D5CC1" w:rsidP="00AE2676">
      <w:pPr>
        <w:tabs>
          <w:tab w:val="left" w:pos="284"/>
        </w:tabs>
        <w:spacing w:line="276" w:lineRule="auto"/>
        <w:ind w:firstLine="284"/>
        <w:rPr>
          <w:rFonts w:cs="Tahoma"/>
          <w:color w:val="000000"/>
          <w:szCs w:val="24"/>
        </w:rPr>
      </w:pPr>
      <w:r w:rsidRPr="00AE2676">
        <w:rPr>
          <w:rFonts w:cs="Tahoma"/>
          <w:color w:val="000000"/>
          <w:szCs w:val="24"/>
        </w:rPr>
        <w:t>El artículo 100 del CGP</w:t>
      </w:r>
      <w:r w:rsidR="00013729" w:rsidRPr="00AE2676">
        <w:rPr>
          <w:rFonts w:cs="Tahoma"/>
          <w:color w:val="000000"/>
          <w:szCs w:val="24"/>
        </w:rPr>
        <w:t xml:space="preserve">, aplicable por analogía en materia laboral, </w:t>
      </w:r>
      <w:r w:rsidRPr="00AE2676">
        <w:rPr>
          <w:rFonts w:cs="Tahoma"/>
          <w:color w:val="000000"/>
          <w:szCs w:val="24"/>
        </w:rPr>
        <w:t xml:space="preserve">establece las excepciones previas que pueden ser propuestas por la </w:t>
      </w:r>
      <w:r w:rsidR="00013729" w:rsidRPr="00AE2676">
        <w:rPr>
          <w:rFonts w:cs="Tahoma"/>
          <w:color w:val="000000"/>
          <w:szCs w:val="24"/>
        </w:rPr>
        <w:t xml:space="preserve">parte </w:t>
      </w:r>
      <w:r w:rsidRPr="00AE2676">
        <w:rPr>
          <w:rFonts w:cs="Tahoma"/>
          <w:color w:val="000000"/>
          <w:szCs w:val="24"/>
        </w:rPr>
        <w:t>demanda</w:t>
      </w:r>
      <w:r w:rsidR="00732EFD" w:rsidRPr="00AE2676">
        <w:rPr>
          <w:rFonts w:cs="Tahoma"/>
          <w:color w:val="000000"/>
          <w:szCs w:val="24"/>
        </w:rPr>
        <w:t>da</w:t>
      </w:r>
      <w:r w:rsidRPr="00AE2676">
        <w:rPr>
          <w:rFonts w:cs="Tahoma"/>
          <w:color w:val="000000"/>
          <w:szCs w:val="24"/>
        </w:rPr>
        <w:t xml:space="preserve"> durante el término de traslado de la demanda, estableciendo dicha normativa en su numeral </w:t>
      </w:r>
      <w:r w:rsidR="00013729" w:rsidRPr="00AE2676">
        <w:rPr>
          <w:rFonts w:cs="Tahoma"/>
          <w:color w:val="000000"/>
          <w:szCs w:val="24"/>
        </w:rPr>
        <w:t>quinto</w:t>
      </w:r>
      <w:r w:rsidRPr="00AE2676">
        <w:rPr>
          <w:rFonts w:cs="Tahoma"/>
          <w:color w:val="000000"/>
          <w:szCs w:val="24"/>
        </w:rPr>
        <w:t xml:space="preserve"> l</w:t>
      </w:r>
      <w:r w:rsidR="00013729" w:rsidRPr="00AE2676">
        <w:rPr>
          <w:rFonts w:cs="Tahoma"/>
          <w:color w:val="000000"/>
          <w:szCs w:val="24"/>
        </w:rPr>
        <w:t>o</w:t>
      </w:r>
      <w:r w:rsidRPr="00AE2676">
        <w:rPr>
          <w:rFonts w:cs="Tahoma"/>
          <w:color w:val="000000"/>
          <w:szCs w:val="24"/>
        </w:rPr>
        <w:t xml:space="preserve"> correspondiente a la </w:t>
      </w:r>
      <w:r w:rsidRPr="00AE2676">
        <w:rPr>
          <w:rFonts w:cs="Tahoma"/>
          <w:b/>
          <w:bCs/>
          <w:szCs w:val="24"/>
        </w:rPr>
        <w:t>ineptitud de la demanda por falta de los requisitos formales o por indebida acumulación de pretensiones.</w:t>
      </w:r>
    </w:p>
    <w:p w14:paraId="0485A2ED" w14:textId="77777777" w:rsidR="009D5CC1" w:rsidRPr="00AE2676" w:rsidRDefault="009D5CC1" w:rsidP="00AE2676">
      <w:pPr>
        <w:tabs>
          <w:tab w:val="left" w:pos="284"/>
        </w:tabs>
        <w:spacing w:line="276" w:lineRule="auto"/>
        <w:ind w:firstLine="284"/>
        <w:rPr>
          <w:rFonts w:cs="Tahoma"/>
          <w:color w:val="000000"/>
          <w:szCs w:val="24"/>
        </w:rPr>
      </w:pPr>
    </w:p>
    <w:p w14:paraId="0F8CA041" w14:textId="31A8D32E" w:rsidR="009D5CC1" w:rsidRPr="00AE2676" w:rsidRDefault="00013729" w:rsidP="00AE2676">
      <w:pPr>
        <w:tabs>
          <w:tab w:val="left" w:pos="284"/>
        </w:tabs>
        <w:spacing w:line="276" w:lineRule="auto"/>
        <w:ind w:firstLine="284"/>
        <w:rPr>
          <w:rFonts w:cs="Tahoma"/>
          <w:color w:val="000000"/>
          <w:szCs w:val="24"/>
        </w:rPr>
      </w:pPr>
      <w:r w:rsidRPr="00AE2676">
        <w:rPr>
          <w:rFonts w:cs="Tahoma"/>
          <w:color w:val="000000"/>
          <w:szCs w:val="24"/>
        </w:rPr>
        <w:t>L</w:t>
      </w:r>
      <w:r w:rsidR="009D5CC1" w:rsidRPr="00AE2676">
        <w:rPr>
          <w:rFonts w:cs="Tahoma"/>
          <w:color w:val="000000"/>
          <w:szCs w:val="24"/>
        </w:rPr>
        <w:t>a “</w:t>
      </w:r>
      <w:r w:rsidR="009D5CC1" w:rsidRPr="00AE2676">
        <w:rPr>
          <w:rFonts w:cs="Tahoma"/>
          <w:b/>
          <w:bCs/>
          <w:color w:val="000000"/>
          <w:szCs w:val="24"/>
        </w:rPr>
        <w:t xml:space="preserve">ineptitud de la demanda por falta de los requisitos formales” </w:t>
      </w:r>
      <w:r w:rsidR="009D5CC1" w:rsidRPr="00AE2676">
        <w:rPr>
          <w:rFonts w:cs="Tahoma"/>
          <w:color w:val="000000"/>
          <w:szCs w:val="24"/>
        </w:rPr>
        <w:t>básicamente</w:t>
      </w:r>
      <w:r w:rsidR="009D5CC1" w:rsidRPr="00AE2676">
        <w:rPr>
          <w:rFonts w:cs="Tahoma"/>
          <w:b/>
          <w:bCs/>
          <w:color w:val="000000"/>
          <w:szCs w:val="24"/>
        </w:rPr>
        <w:t xml:space="preserve"> </w:t>
      </w:r>
      <w:r w:rsidR="009D5CC1" w:rsidRPr="00AE2676">
        <w:rPr>
          <w:rFonts w:cs="Tahoma"/>
          <w:color w:val="000000"/>
          <w:szCs w:val="24"/>
        </w:rPr>
        <w:t xml:space="preserve">consiste en la exigencia de que el escrito de demanda se ajuste a los requisitos formales del artículo 25 del CPTSS. </w:t>
      </w:r>
    </w:p>
    <w:p w14:paraId="4824585B" w14:textId="355E8562" w:rsidR="009D5CC1" w:rsidRPr="00AE2676" w:rsidRDefault="009D5CC1" w:rsidP="00AE2676">
      <w:pPr>
        <w:tabs>
          <w:tab w:val="left" w:pos="284"/>
        </w:tabs>
        <w:spacing w:line="276" w:lineRule="auto"/>
        <w:ind w:firstLine="284"/>
        <w:rPr>
          <w:rFonts w:cs="Tahoma"/>
          <w:color w:val="000000"/>
          <w:szCs w:val="24"/>
        </w:rPr>
      </w:pPr>
    </w:p>
    <w:p w14:paraId="0F5C0113" w14:textId="08D52FC8" w:rsidR="00E33DA4" w:rsidRPr="00AE2676" w:rsidRDefault="009D5CC1" w:rsidP="00AE2676">
      <w:pPr>
        <w:tabs>
          <w:tab w:val="left" w:pos="284"/>
        </w:tabs>
        <w:spacing w:line="276" w:lineRule="auto"/>
        <w:ind w:firstLine="284"/>
        <w:rPr>
          <w:rFonts w:cs="Tahoma"/>
          <w:color w:val="000000"/>
          <w:szCs w:val="24"/>
        </w:rPr>
      </w:pPr>
      <w:r w:rsidRPr="00AE2676">
        <w:rPr>
          <w:rFonts w:cs="Tahoma"/>
          <w:color w:val="000000" w:themeColor="text1"/>
          <w:szCs w:val="24"/>
        </w:rPr>
        <w:lastRenderedPageBreak/>
        <w:t xml:space="preserve">Pues bien, en el presente asunto, refiere la demandada que el requisito faltante consiste en la </w:t>
      </w:r>
      <w:r w:rsidRPr="00AE2676">
        <w:rPr>
          <w:rFonts w:cs="Tahoma"/>
          <w:i/>
          <w:iCs/>
          <w:color w:val="000000" w:themeColor="text1"/>
          <w:szCs w:val="24"/>
        </w:rPr>
        <w:t>“</w:t>
      </w:r>
      <w:r w:rsidRPr="00AE2676">
        <w:rPr>
          <w:rFonts w:cs="Tahoma"/>
          <w:i/>
          <w:iCs/>
          <w:color w:val="000000" w:themeColor="text1"/>
          <w:sz w:val="22"/>
          <w:szCs w:val="24"/>
        </w:rPr>
        <w:t>falta de un soporte fáctico y jurídico que sustentara lo pretendido por lo que no había correspondencia entre lo relatado y lo pedido</w:t>
      </w:r>
      <w:r w:rsidRPr="00AE2676">
        <w:rPr>
          <w:rFonts w:cs="Tahoma"/>
          <w:i/>
          <w:iCs/>
          <w:color w:val="000000" w:themeColor="text1"/>
          <w:szCs w:val="24"/>
        </w:rPr>
        <w:t xml:space="preserve">”, </w:t>
      </w:r>
      <w:r w:rsidRPr="00AE2676">
        <w:rPr>
          <w:rFonts w:cs="Tahoma"/>
          <w:color w:val="000000" w:themeColor="text1"/>
          <w:szCs w:val="24"/>
        </w:rPr>
        <w:t>justifica</w:t>
      </w:r>
      <w:r w:rsidR="00732EFD" w:rsidRPr="00AE2676">
        <w:rPr>
          <w:rFonts w:cs="Tahoma"/>
          <w:color w:val="000000" w:themeColor="text1"/>
          <w:szCs w:val="24"/>
        </w:rPr>
        <w:t>ndo</w:t>
      </w:r>
      <w:r w:rsidRPr="00AE2676">
        <w:rPr>
          <w:rFonts w:cs="Tahoma"/>
          <w:color w:val="000000" w:themeColor="text1"/>
          <w:szCs w:val="24"/>
        </w:rPr>
        <w:t xml:space="preserve"> </w:t>
      </w:r>
      <w:r w:rsidR="00732EFD" w:rsidRPr="00AE2676">
        <w:rPr>
          <w:rFonts w:cs="Tahoma"/>
          <w:color w:val="000000" w:themeColor="text1"/>
          <w:szCs w:val="24"/>
        </w:rPr>
        <w:t xml:space="preserve">el medio exceptivo </w:t>
      </w:r>
      <w:r w:rsidRPr="00AE2676">
        <w:rPr>
          <w:rFonts w:cs="Tahoma"/>
          <w:color w:val="000000" w:themeColor="text1"/>
          <w:szCs w:val="24"/>
        </w:rPr>
        <w:t xml:space="preserve">en su negativa de </w:t>
      </w:r>
      <w:r w:rsidR="00732EFD" w:rsidRPr="00AE2676">
        <w:rPr>
          <w:rFonts w:cs="Tahoma"/>
          <w:color w:val="000000" w:themeColor="text1"/>
          <w:szCs w:val="24"/>
        </w:rPr>
        <w:t xml:space="preserve">no </w:t>
      </w:r>
      <w:r w:rsidR="0A031213" w:rsidRPr="00AE2676">
        <w:rPr>
          <w:rFonts w:cs="Tahoma"/>
          <w:color w:val="000000" w:themeColor="text1"/>
          <w:szCs w:val="24"/>
        </w:rPr>
        <w:t>“</w:t>
      </w:r>
      <w:r w:rsidRPr="00AE2676">
        <w:rPr>
          <w:rFonts w:cs="Tahoma"/>
          <w:i/>
          <w:iCs/>
          <w:color w:val="000000" w:themeColor="text1"/>
          <w:sz w:val="22"/>
          <w:szCs w:val="24"/>
        </w:rPr>
        <w:t>estar obligado a responder por acreencias derivadas de una culpa patronal en la medida que no tenía la calidad de empleador</w:t>
      </w:r>
      <w:r w:rsidRPr="00AE2676">
        <w:rPr>
          <w:rFonts w:cs="Tahoma"/>
          <w:i/>
          <w:iCs/>
          <w:color w:val="000000" w:themeColor="text1"/>
          <w:szCs w:val="24"/>
        </w:rPr>
        <w:t>”</w:t>
      </w:r>
      <w:r w:rsidRPr="00AE2676">
        <w:rPr>
          <w:rFonts w:cs="Tahoma"/>
          <w:color w:val="000000" w:themeColor="text1"/>
          <w:szCs w:val="24"/>
        </w:rPr>
        <w:t xml:space="preserve">, exigencias que estarían enmarcadas en </w:t>
      </w:r>
      <w:r w:rsidR="00E33DA4" w:rsidRPr="00AE2676">
        <w:rPr>
          <w:rFonts w:cs="Tahoma"/>
          <w:color w:val="000000" w:themeColor="text1"/>
          <w:szCs w:val="24"/>
        </w:rPr>
        <w:t xml:space="preserve">los numerales 7 y </w:t>
      </w:r>
      <w:r w:rsidRPr="00AE2676">
        <w:rPr>
          <w:rFonts w:cs="Tahoma"/>
          <w:color w:val="000000" w:themeColor="text1"/>
          <w:szCs w:val="24"/>
        </w:rPr>
        <w:t xml:space="preserve">8 del </w:t>
      </w:r>
      <w:r w:rsidR="00E33DA4" w:rsidRPr="00AE2676">
        <w:rPr>
          <w:rFonts w:cs="Tahoma"/>
          <w:color w:val="000000" w:themeColor="text1"/>
          <w:szCs w:val="24"/>
        </w:rPr>
        <w:t>artículo</w:t>
      </w:r>
      <w:r w:rsidRPr="00AE2676">
        <w:rPr>
          <w:rFonts w:cs="Tahoma"/>
          <w:color w:val="000000" w:themeColor="text1"/>
          <w:szCs w:val="24"/>
        </w:rPr>
        <w:t xml:space="preserve"> 25 CPTSS</w:t>
      </w:r>
      <w:r w:rsidR="00E33DA4" w:rsidRPr="00AE2676">
        <w:rPr>
          <w:rFonts w:cs="Tahoma"/>
          <w:color w:val="000000" w:themeColor="text1"/>
          <w:szCs w:val="24"/>
        </w:rPr>
        <w:t xml:space="preserve">.  </w:t>
      </w:r>
    </w:p>
    <w:p w14:paraId="7C827D60" w14:textId="77777777" w:rsidR="00E33DA4" w:rsidRPr="00AE2676" w:rsidRDefault="00E33DA4" w:rsidP="00AE2676">
      <w:pPr>
        <w:tabs>
          <w:tab w:val="left" w:pos="284"/>
        </w:tabs>
        <w:spacing w:line="276" w:lineRule="auto"/>
        <w:ind w:firstLine="284"/>
        <w:rPr>
          <w:rFonts w:cs="Tahoma"/>
          <w:color w:val="000000"/>
          <w:szCs w:val="24"/>
        </w:rPr>
      </w:pPr>
    </w:p>
    <w:p w14:paraId="7F6600CC" w14:textId="58011AF6" w:rsidR="00AF2381" w:rsidRPr="00AE2676" w:rsidRDefault="00E33DA4" w:rsidP="00AE2676">
      <w:pPr>
        <w:tabs>
          <w:tab w:val="left" w:pos="284"/>
        </w:tabs>
        <w:spacing w:line="276" w:lineRule="auto"/>
        <w:ind w:firstLine="284"/>
        <w:rPr>
          <w:rFonts w:cs="Tahoma"/>
          <w:color w:val="000000"/>
          <w:szCs w:val="24"/>
        </w:rPr>
      </w:pPr>
      <w:r w:rsidRPr="00AE2676">
        <w:rPr>
          <w:rFonts w:cs="Tahoma"/>
          <w:color w:val="000000"/>
          <w:szCs w:val="24"/>
        </w:rPr>
        <w:t xml:space="preserve">Al respecto, al observar el acápite correspondiente a </w:t>
      </w:r>
      <w:r w:rsidR="00AF2381" w:rsidRPr="00AE2676">
        <w:rPr>
          <w:rFonts w:cs="Tahoma"/>
          <w:color w:val="000000"/>
          <w:szCs w:val="24"/>
        </w:rPr>
        <w:t xml:space="preserve">los “hechos y pretensiones” </w:t>
      </w:r>
      <w:r w:rsidR="00732EFD" w:rsidRPr="00AE2676">
        <w:rPr>
          <w:rFonts w:cs="Tahoma"/>
          <w:color w:val="000000"/>
          <w:szCs w:val="24"/>
        </w:rPr>
        <w:t xml:space="preserve">así como </w:t>
      </w:r>
      <w:r w:rsidR="00013729" w:rsidRPr="00AE2676">
        <w:rPr>
          <w:rFonts w:cs="Tahoma"/>
          <w:color w:val="000000"/>
          <w:szCs w:val="24"/>
        </w:rPr>
        <w:t>el capítulo denominado</w:t>
      </w:r>
      <w:r w:rsidR="00AF2381" w:rsidRPr="00AE2676">
        <w:rPr>
          <w:rFonts w:cs="Tahoma"/>
          <w:color w:val="000000"/>
          <w:szCs w:val="24"/>
        </w:rPr>
        <w:t xml:space="preserve"> </w:t>
      </w:r>
      <w:r w:rsidRPr="00AE2676">
        <w:rPr>
          <w:rFonts w:cs="Tahoma"/>
          <w:color w:val="000000"/>
          <w:szCs w:val="24"/>
        </w:rPr>
        <w:t xml:space="preserve">“fundamentos de derecho y argumentación jurídica” (fol. </w:t>
      </w:r>
      <w:r w:rsidR="00AF2381" w:rsidRPr="00AE2676">
        <w:rPr>
          <w:rFonts w:cs="Tahoma"/>
          <w:color w:val="000000"/>
          <w:szCs w:val="24"/>
        </w:rPr>
        <w:t>115-134</w:t>
      </w:r>
      <w:r w:rsidRPr="00AE2676">
        <w:rPr>
          <w:rFonts w:cs="Tahoma"/>
          <w:color w:val="000000"/>
          <w:szCs w:val="24"/>
        </w:rPr>
        <w:t xml:space="preserve">) allí claramente se enuncia </w:t>
      </w:r>
      <w:r w:rsidR="00AF2381" w:rsidRPr="00AE2676">
        <w:rPr>
          <w:rFonts w:cs="Tahoma"/>
          <w:color w:val="000000"/>
          <w:szCs w:val="24"/>
        </w:rPr>
        <w:t xml:space="preserve">todo </w:t>
      </w:r>
      <w:r w:rsidR="00732EFD" w:rsidRPr="00AE2676">
        <w:rPr>
          <w:rFonts w:cs="Tahoma"/>
          <w:color w:val="000000"/>
          <w:szCs w:val="24"/>
        </w:rPr>
        <w:t xml:space="preserve">el </w:t>
      </w:r>
      <w:r w:rsidR="00AF2381" w:rsidRPr="00AE2676">
        <w:rPr>
          <w:rFonts w:cs="Tahoma"/>
          <w:color w:val="000000"/>
          <w:szCs w:val="24"/>
        </w:rPr>
        <w:t xml:space="preserve">soporte fáctico o las circunstancias </w:t>
      </w:r>
      <w:r w:rsidR="009F256A" w:rsidRPr="00AE2676">
        <w:rPr>
          <w:rFonts w:cs="Tahoma"/>
          <w:color w:val="000000"/>
          <w:szCs w:val="24"/>
        </w:rPr>
        <w:t xml:space="preserve">de tiempo, modo y lugar </w:t>
      </w:r>
      <w:r w:rsidR="00732EFD" w:rsidRPr="00AE2676">
        <w:rPr>
          <w:rFonts w:cs="Tahoma"/>
          <w:color w:val="000000"/>
          <w:szCs w:val="24"/>
        </w:rPr>
        <w:t xml:space="preserve">en </w:t>
      </w:r>
      <w:r w:rsidR="00AF2381" w:rsidRPr="00AE2676">
        <w:rPr>
          <w:rFonts w:cs="Tahoma"/>
          <w:color w:val="000000"/>
          <w:szCs w:val="24"/>
        </w:rPr>
        <w:t xml:space="preserve">que </w:t>
      </w:r>
      <w:r w:rsidR="00732EFD" w:rsidRPr="00AE2676">
        <w:rPr>
          <w:rFonts w:cs="Tahoma"/>
          <w:color w:val="000000"/>
          <w:szCs w:val="24"/>
        </w:rPr>
        <w:t xml:space="preserve">se </w:t>
      </w:r>
      <w:r w:rsidR="00AF2381" w:rsidRPr="00AE2676">
        <w:rPr>
          <w:rFonts w:cs="Tahoma"/>
          <w:color w:val="000000"/>
          <w:szCs w:val="24"/>
        </w:rPr>
        <w:t xml:space="preserve">sustentan las pretensiones primera (hechos 1, 3-5, 15-18) segunda (hechos 6-7, 10, 13-14), tercera (hechos 19-21), sexta y séptima (hechos 22-24), los cuales se encuentran redactados de manera clara y separada.  Adicionalmente, contiene </w:t>
      </w:r>
      <w:r w:rsidRPr="00AE2676">
        <w:rPr>
          <w:rFonts w:cs="Tahoma"/>
          <w:color w:val="000000"/>
          <w:szCs w:val="24"/>
        </w:rPr>
        <w:t>el soporte jurídico</w:t>
      </w:r>
      <w:r w:rsidR="00AF2381" w:rsidRPr="00AE2676">
        <w:rPr>
          <w:rFonts w:cs="Tahoma"/>
          <w:color w:val="000000"/>
          <w:szCs w:val="24"/>
        </w:rPr>
        <w:t>-</w:t>
      </w:r>
      <w:r w:rsidRPr="00AE2676">
        <w:rPr>
          <w:rFonts w:cs="Tahoma"/>
          <w:color w:val="000000"/>
          <w:szCs w:val="24"/>
        </w:rPr>
        <w:t xml:space="preserve">jurisprudencial </w:t>
      </w:r>
      <w:r w:rsidR="00AF2381" w:rsidRPr="00AE2676">
        <w:rPr>
          <w:rFonts w:cs="Tahoma"/>
          <w:color w:val="000000"/>
          <w:szCs w:val="24"/>
        </w:rPr>
        <w:t>en el que</w:t>
      </w:r>
      <w:r w:rsidR="009F256A" w:rsidRPr="00AE2676">
        <w:rPr>
          <w:rFonts w:cs="Tahoma"/>
          <w:color w:val="000000"/>
          <w:szCs w:val="24"/>
        </w:rPr>
        <w:t xml:space="preserve">, </w:t>
      </w:r>
      <w:r w:rsidR="00AF2381" w:rsidRPr="00AE2676">
        <w:rPr>
          <w:rFonts w:cs="Tahoma"/>
          <w:color w:val="000000"/>
          <w:szCs w:val="24"/>
        </w:rPr>
        <w:t>además</w:t>
      </w:r>
      <w:r w:rsidR="009F256A" w:rsidRPr="00AE2676">
        <w:rPr>
          <w:rFonts w:cs="Tahoma"/>
          <w:color w:val="000000"/>
          <w:szCs w:val="24"/>
        </w:rPr>
        <w:t>,</w:t>
      </w:r>
      <w:r w:rsidR="00AF2381" w:rsidRPr="00AE2676">
        <w:rPr>
          <w:rFonts w:cs="Tahoma"/>
          <w:color w:val="000000"/>
          <w:szCs w:val="24"/>
        </w:rPr>
        <w:t xml:space="preserve"> resalta y explica todo lo </w:t>
      </w:r>
      <w:r w:rsidRPr="00AE2676">
        <w:rPr>
          <w:rFonts w:cs="Tahoma"/>
          <w:color w:val="000000"/>
          <w:szCs w:val="24"/>
        </w:rPr>
        <w:t>relativo a las características particulares del contrato de aprendizaje, el soporte jurisprudencial con que denota que el art</w:t>
      </w:r>
      <w:r w:rsidR="009F256A" w:rsidRPr="00AE2676">
        <w:rPr>
          <w:rFonts w:cs="Tahoma"/>
          <w:color w:val="000000"/>
          <w:szCs w:val="24"/>
        </w:rPr>
        <w:t>í</w:t>
      </w:r>
      <w:r w:rsidRPr="00AE2676">
        <w:rPr>
          <w:rFonts w:cs="Tahoma"/>
          <w:color w:val="000000"/>
          <w:szCs w:val="24"/>
        </w:rPr>
        <w:t xml:space="preserve">culo 216 del CSTSS es extensible </w:t>
      </w:r>
      <w:r w:rsidR="00AF2381" w:rsidRPr="00AE2676">
        <w:rPr>
          <w:rFonts w:cs="Tahoma"/>
          <w:color w:val="000000"/>
          <w:szCs w:val="24"/>
        </w:rPr>
        <w:t xml:space="preserve">al </w:t>
      </w:r>
      <w:r w:rsidRPr="00AE2676">
        <w:rPr>
          <w:rFonts w:cs="Tahoma"/>
          <w:color w:val="000000"/>
          <w:szCs w:val="24"/>
        </w:rPr>
        <w:t xml:space="preserve">tipo de vinculación </w:t>
      </w:r>
      <w:r w:rsidR="00AF2381" w:rsidRPr="00AE2676">
        <w:rPr>
          <w:rFonts w:cs="Tahoma"/>
          <w:color w:val="000000"/>
          <w:szCs w:val="24"/>
        </w:rPr>
        <w:t xml:space="preserve">(contrato de aprendizaje) </w:t>
      </w:r>
      <w:r w:rsidRPr="00AE2676">
        <w:rPr>
          <w:rFonts w:cs="Tahoma"/>
          <w:color w:val="000000"/>
          <w:szCs w:val="24"/>
        </w:rPr>
        <w:t>sin desmeritar que no se trata de un contrato de trabajo</w:t>
      </w:r>
      <w:r w:rsidR="00AF2381" w:rsidRPr="00AE2676">
        <w:rPr>
          <w:rFonts w:cs="Tahoma"/>
          <w:color w:val="000000"/>
          <w:szCs w:val="24"/>
        </w:rPr>
        <w:t>.</w:t>
      </w:r>
    </w:p>
    <w:p w14:paraId="08D67877" w14:textId="77777777" w:rsidR="00AF2381" w:rsidRPr="00AE2676" w:rsidRDefault="00AF2381" w:rsidP="00AE2676">
      <w:pPr>
        <w:tabs>
          <w:tab w:val="left" w:pos="284"/>
        </w:tabs>
        <w:spacing w:line="276" w:lineRule="auto"/>
        <w:ind w:firstLine="284"/>
        <w:rPr>
          <w:rFonts w:cs="Tahoma"/>
          <w:color w:val="000000"/>
          <w:szCs w:val="24"/>
        </w:rPr>
      </w:pPr>
    </w:p>
    <w:p w14:paraId="31473158" w14:textId="51427633" w:rsidR="009D5CC1" w:rsidRPr="00AE2676" w:rsidRDefault="006E0B8C" w:rsidP="00AE2676">
      <w:pPr>
        <w:tabs>
          <w:tab w:val="left" w:pos="284"/>
        </w:tabs>
        <w:spacing w:line="276" w:lineRule="auto"/>
        <w:ind w:firstLine="284"/>
        <w:rPr>
          <w:rFonts w:cs="Tahoma"/>
          <w:b/>
          <w:bCs/>
          <w:szCs w:val="24"/>
        </w:rPr>
      </w:pPr>
      <w:r w:rsidRPr="00AE2676">
        <w:rPr>
          <w:rFonts w:cs="Tahoma"/>
          <w:color w:val="000000"/>
          <w:szCs w:val="24"/>
        </w:rPr>
        <w:t xml:space="preserve">En lo demás, esto es, </w:t>
      </w:r>
      <w:r w:rsidR="00AF2381" w:rsidRPr="00AE2676">
        <w:rPr>
          <w:rFonts w:cs="Tahoma"/>
          <w:color w:val="000000"/>
          <w:szCs w:val="24"/>
        </w:rPr>
        <w:t xml:space="preserve">respecto a </w:t>
      </w:r>
      <w:r w:rsidRPr="00AE2676">
        <w:rPr>
          <w:rFonts w:cs="Tahoma"/>
          <w:color w:val="000000"/>
          <w:szCs w:val="24"/>
        </w:rPr>
        <w:t xml:space="preserve">la obligación o no del demandado para responder por la indemnización plena de perjuicios en razón a la calidad del vínculo o aplicabilidad que se pueda generar a partir de los contratos de aprendizaje, como se dijo </w:t>
      </w:r>
      <w:proofErr w:type="spellStart"/>
      <w:r w:rsidRPr="00AE2676">
        <w:rPr>
          <w:rFonts w:cs="Tahoma"/>
          <w:color w:val="000000"/>
          <w:szCs w:val="24"/>
        </w:rPr>
        <w:t>anteladamente</w:t>
      </w:r>
      <w:proofErr w:type="spellEnd"/>
      <w:r w:rsidR="00732EFD" w:rsidRPr="00AE2676">
        <w:rPr>
          <w:rFonts w:cs="Tahoma"/>
          <w:color w:val="000000"/>
          <w:szCs w:val="24"/>
        </w:rPr>
        <w:t>,</w:t>
      </w:r>
      <w:r w:rsidRPr="00AE2676">
        <w:rPr>
          <w:rFonts w:cs="Tahoma"/>
          <w:color w:val="000000"/>
          <w:szCs w:val="24"/>
        </w:rPr>
        <w:t xml:space="preserve"> son el eje de controversia que deberá ser definido por el Juez al momento de decidir de fondo el asunto, aspectos que no sirven de sustento para declarar probada la excepción propuesta</w:t>
      </w:r>
      <w:r w:rsidR="00D83B9E" w:rsidRPr="00AE2676">
        <w:rPr>
          <w:rFonts w:cs="Tahoma"/>
          <w:color w:val="000000"/>
          <w:szCs w:val="24"/>
        </w:rPr>
        <w:t>.</w:t>
      </w:r>
    </w:p>
    <w:p w14:paraId="1E23CABB" w14:textId="77777777" w:rsidR="009D5CC1" w:rsidRPr="00AE2676" w:rsidRDefault="009D5CC1" w:rsidP="00AE2676">
      <w:pPr>
        <w:tabs>
          <w:tab w:val="left" w:pos="284"/>
        </w:tabs>
        <w:spacing w:line="276" w:lineRule="auto"/>
        <w:ind w:firstLine="284"/>
        <w:rPr>
          <w:rFonts w:cs="Tahoma"/>
          <w:color w:val="000000"/>
          <w:szCs w:val="24"/>
        </w:rPr>
      </w:pPr>
    </w:p>
    <w:p w14:paraId="4C7F8877" w14:textId="4F661B2F" w:rsidR="00966F95" w:rsidRPr="00AE2676" w:rsidRDefault="00732EFD" w:rsidP="00AE2676">
      <w:pPr>
        <w:tabs>
          <w:tab w:val="left" w:pos="284"/>
        </w:tabs>
        <w:spacing w:line="276" w:lineRule="auto"/>
        <w:ind w:firstLine="284"/>
        <w:rPr>
          <w:rFonts w:cs="Tahoma"/>
          <w:color w:val="000000"/>
          <w:szCs w:val="24"/>
        </w:rPr>
      </w:pPr>
      <w:r w:rsidRPr="00AE2676">
        <w:rPr>
          <w:rFonts w:cs="Tahoma"/>
          <w:color w:val="000000"/>
          <w:szCs w:val="24"/>
        </w:rPr>
        <w:t>Finalmente, frente a</w:t>
      </w:r>
      <w:r w:rsidR="00D83B9E" w:rsidRPr="00AE2676">
        <w:rPr>
          <w:rFonts w:cs="Tahoma"/>
          <w:color w:val="000000"/>
          <w:szCs w:val="24"/>
        </w:rPr>
        <w:t xml:space="preserve"> la “</w:t>
      </w:r>
      <w:r w:rsidR="00D83B9E" w:rsidRPr="00AE2676">
        <w:rPr>
          <w:rFonts w:cs="Tahoma"/>
          <w:b/>
          <w:bCs/>
          <w:color w:val="000000"/>
          <w:szCs w:val="24"/>
        </w:rPr>
        <w:t xml:space="preserve">acumulación indebida de pretensiones” </w:t>
      </w:r>
      <w:r w:rsidR="00D83B9E" w:rsidRPr="00AE2676">
        <w:rPr>
          <w:rFonts w:cs="Tahoma"/>
          <w:color w:val="000000"/>
          <w:szCs w:val="24"/>
        </w:rPr>
        <w:t>que</w:t>
      </w:r>
      <w:r w:rsidR="00D83B9E" w:rsidRPr="00AE2676">
        <w:rPr>
          <w:rFonts w:cs="Tahoma"/>
          <w:b/>
          <w:bCs/>
          <w:color w:val="000000"/>
          <w:szCs w:val="24"/>
        </w:rPr>
        <w:t xml:space="preserve"> </w:t>
      </w:r>
      <w:r w:rsidR="00D83B9E" w:rsidRPr="00AE2676">
        <w:rPr>
          <w:rFonts w:cs="Tahoma"/>
          <w:color w:val="000000"/>
          <w:szCs w:val="24"/>
        </w:rPr>
        <w:t xml:space="preserve">consiste en las condiciones o requisitos para acumular las pretensiones en contra del </w:t>
      </w:r>
      <w:r w:rsidR="00966F95" w:rsidRPr="00AE2676">
        <w:rPr>
          <w:rFonts w:cs="Tahoma"/>
          <w:color w:val="000000"/>
          <w:szCs w:val="24"/>
        </w:rPr>
        <w:t>demandado,</w:t>
      </w:r>
      <w:r w:rsidR="00D83B9E" w:rsidRPr="00AE2676">
        <w:rPr>
          <w:rFonts w:cs="Tahoma"/>
          <w:color w:val="000000"/>
          <w:szCs w:val="24"/>
        </w:rPr>
        <w:t xml:space="preserve"> aunque no sean conexas (art. 25A CPTSS)</w:t>
      </w:r>
      <w:r w:rsidRPr="00AE2676">
        <w:rPr>
          <w:rFonts w:cs="Tahoma"/>
          <w:color w:val="000000"/>
          <w:szCs w:val="24"/>
        </w:rPr>
        <w:t xml:space="preserve">, en este caso, el demandado lo sustenta </w:t>
      </w:r>
      <w:r w:rsidR="00966F95" w:rsidRPr="00AE2676">
        <w:rPr>
          <w:rFonts w:cs="Tahoma"/>
          <w:color w:val="000000"/>
          <w:szCs w:val="24"/>
        </w:rPr>
        <w:t>en que la solicitud de “lucro cesante consolidado</w:t>
      </w:r>
      <w:r w:rsidR="007B5BF1" w:rsidRPr="00AE2676">
        <w:rPr>
          <w:rFonts w:cs="Tahoma"/>
          <w:color w:val="000000"/>
          <w:szCs w:val="24"/>
        </w:rPr>
        <w:t>”</w:t>
      </w:r>
      <w:r w:rsidR="00966F95" w:rsidRPr="00AE2676">
        <w:rPr>
          <w:rFonts w:cs="Tahoma"/>
          <w:color w:val="000000"/>
          <w:szCs w:val="24"/>
        </w:rPr>
        <w:t xml:space="preserve"> y </w:t>
      </w:r>
      <w:r w:rsidR="007B5BF1" w:rsidRPr="00AE2676">
        <w:rPr>
          <w:rFonts w:cs="Tahoma"/>
          <w:color w:val="000000"/>
          <w:szCs w:val="24"/>
        </w:rPr>
        <w:t>“</w:t>
      </w:r>
      <w:r w:rsidR="00966F95" w:rsidRPr="00AE2676">
        <w:rPr>
          <w:rFonts w:cs="Tahoma"/>
          <w:color w:val="000000"/>
          <w:szCs w:val="24"/>
        </w:rPr>
        <w:t>lucro cesante futuro</w:t>
      </w:r>
      <w:r w:rsidR="007B5BF1" w:rsidRPr="00AE2676">
        <w:rPr>
          <w:rFonts w:cs="Tahoma"/>
          <w:color w:val="000000"/>
          <w:szCs w:val="24"/>
        </w:rPr>
        <w:t>”</w:t>
      </w:r>
      <w:r w:rsidR="00966F95" w:rsidRPr="00AE2676">
        <w:rPr>
          <w:rFonts w:cs="Tahoma"/>
          <w:color w:val="000000"/>
          <w:szCs w:val="24"/>
        </w:rPr>
        <w:t xml:space="preserve"> </w:t>
      </w:r>
      <w:r w:rsidR="007B5BF1" w:rsidRPr="00AE2676">
        <w:rPr>
          <w:rFonts w:cs="Tahoma"/>
          <w:color w:val="000000"/>
          <w:szCs w:val="24"/>
        </w:rPr>
        <w:t>eran pretensiones que “</w:t>
      </w:r>
      <w:r w:rsidR="00966F95" w:rsidRPr="00AE2676">
        <w:rPr>
          <w:rFonts w:cs="Tahoma"/>
          <w:color w:val="000000"/>
          <w:szCs w:val="24"/>
        </w:rPr>
        <w:t xml:space="preserve">no se podían proyectar en una </w:t>
      </w:r>
      <w:r w:rsidR="007B5BF1" w:rsidRPr="00AE2676">
        <w:rPr>
          <w:rFonts w:cs="Tahoma"/>
          <w:color w:val="000000"/>
          <w:szCs w:val="24"/>
        </w:rPr>
        <w:t xml:space="preserve">sola </w:t>
      </w:r>
      <w:r w:rsidR="00966F95" w:rsidRPr="00AE2676">
        <w:rPr>
          <w:rFonts w:cs="Tahoma"/>
          <w:color w:val="000000"/>
          <w:szCs w:val="24"/>
        </w:rPr>
        <w:t xml:space="preserve">al </w:t>
      </w:r>
      <w:r w:rsidRPr="00AE2676">
        <w:rPr>
          <w:rFonts w:cs="Tahoma"/>
          <w:color w:val="000000"/>
          <w:szCs w:val="24"/>
        </w:rPr>
        <w:t xml:space="preserve">considerarlas como </w:t>
      </w:r>
      <w:r w:rsidR="00966F95" w:rsidRPr="00AE2676">
        <w:rPr>
          <w:rFonts w:cs="Tahoma"/>
          <w:color w:val="000000"/>
          <w:szCs w:val="24"/>
        </w:rPr>
        <w:t>incompatibles</w:t>
      </w:r>
      <w:r w:rsidR="007B5BF1" w:rsidRPr="00AE2676">
        <w:rPr>
          <w:rFonts w:cs="Tahoma"/>
          <w:color w:val="000000"/>
          <w:szCs w:val="24"/>
        </w:rPr>
        <w:t>”.</w:t>
      </w:r>
    </w:p>
    <w:p w14:paraId="3256038B" w14:textId="28D2A9C3" w:rsidR="007B5BF1" w:rsidRPr="00AE2676" w:rsidRDefault="007B5BF1" w:rsidP="00AE2676">
      <w:pPr>
        <w:tabs>
          <w:tab w:val="left" w:pos="284"/>
        </w:tabs>
        <w:spacing w:line="276" w:lineRule="auto"/>
        <w:ind w:firstLine="284"/>
        <w:rPr>
          <w:rFonts w:cs="Tahoma"/>
          <w:color w:val="000000"/>
          <w:szCs w:val="24"/>
        </w:rPr>
      </w:pPr>
    </w:p>
    <w:p w14:paraId="68552B6E" w14:textId="5C954991" w:rsidR="00732EFD" w:rsidRPr="00AE2676" w:rsidRDefault="007B5BF1" w:rsidP="00AE2676">
      <w:pPr>
        <w:tabs>
          <w:tab w:val="left" w:pos="284"/>
        </w:tabs>
        <w:spacing w:line="276" w:lineRule="auto"/>
        <w:ind w:firstLine="284"/>
        <w:rPr>
          <w:rFonts w:cs="Tahoma"/>
          <w:color w:val="000000"/>
          <w:szCs w:val="24"/>
        </w:rPr>
      </w:pPr>
      <w:r w:rsidRPr="00AE2676">
        <w:rPr>
          <w:rFonts w:cs="Tahoma"/>
          <w:color w:val="000000"/>
          <w:szCs w:val="24"/>
        </w:rPr>
        <w:t xml:space="preserve">Al respecto, debe de indicarse que el artículo 216 del CSTSS obliga al pago de la indemnización total y ordinaria por perjuicios materiales, lo cual es lo pedido </w:t>
      </w:r>
      <w:r w:rsidR="00732EFD" w:rsidRPr="00AE2676">
        <w:rPr>
          <w:rFonts w:cs="Tahoma"/>
          <w:color w:val="000000"/>
          <w:szCs w:val="24"/>
        </w:rPr>
        <w:t xml:space="preserve">de manera genérica </w:t>
      </w:r>
      <w:r w:rsidRPr="00AE2676">
        <w:rPr>
          <w:rFonts w:cs="Tahoma"/>
          <w:color w:val="000000"/>
          <w:szCs w:val="24"/>
        </w:rPr>
        <w:t>en la pretensión segunda de la demanda</w:t>
      </w:r>
      <w:r w:rsidR="00732EFD" w:rsidRPr="00AE2676">
        <w:rPr>
          <w:rFonts w:cs="Tahoma"/>
          <w:color w:val="000000"/>
          <w:szCs w:val="24"/>
        </w:rPr>
        <w:t xml:space="preserve">. </w:t>
      </w:r>
    </w:p>
    <w:p w14:paraId="31D83995" w14:textId="77777777" w:rsidR="00732EFD" w:rsidRPr="00AE2676" w:rsidRDefault="00732EFD" w:rsidP="00AE2676">
      <w:pPr>
        <w:tabs>
          <w:tab w:val="left" w:pos="284"/>
        </w:tabs>
        <w:spacing w:line="276" w:lineRule="auto"/>
        <w:ind w:firstLine="284"/>
        <w:rPr>
          <w:rFonts w:cs="Tahoma"/>
          <w:color w:val="000000"/>
          <w:szCs w:val="24"/>
        </w:rPr>
      </w:pPr>
    </w:p>
    <w:p w14:paraId="277E5E57" w14:textId="6EA6B352" w:rsidR="0067123B" w:rsidRPr="00AE2676" w:rsidRDefault="007B5BF1" w:rsidP="00AE2676">
      <w:pPr>
        <w:tabs>
          <w:tab w:val="left" w:pos="284"/>
        </w:tabs>
        <w:spacing w:line="276" w:lineRule="auto"/>
        <w:ind w:firstLine="284"/>
        <w:rPr>
          <w:rFonts w:cs="Tahoma"/>
          <w:color w:val="000000"/>
          <w:szCs w:val="24"/>
        </w:rPr>
      </w:pPr>
      <w:r w:rsidRPr="00AE2676">
        <w:rPr>
          <w:rFonts w:cs="Tahoma"/>
          <w:color w:val="000000"/>
          <w:szCs w:val="24"/>
        </w:rPr>
        <w:t xml:space="preserve"> </w:t>
      </w:r>
      <w:r w:rsidR="00732EFD" w:rsidRPr="00AE2676">
        <w:rPr>
          <w:rFonts w:cs="Tahoma"/>
          <w:color w:val="000000"/>
          <w:szCs w:val="24"/>
        </w:rPr>
        <w:t xml:space="preserve">Ahora, </w:t>
      </w:r>
      <w:r w:rsidRPr="00AE2676">
        <w:rPr>
          <w:rFonts w:cs="Tahoma"/>
          <w:color w:val="000000"/>
          <w:szCs w:val="24"/>
        </w:rPr>
        <w:t xml:space="preserve">al liquidar el valor </w:t>
      </w:r>
      <w:r w:rsidR="00732EFD" w:rsidRPr="00AE2676">
        <w:rPr>
          <w:rFonts w:cs="Tahoma"/>
          <w:color w:val="000000"/>
          <w:szCs w:val="24"/>
        </w:rPr>
        <w:t xml:space="preserve">al que ascendería </w:t>
      </w:r>
      <w:r w:rsidRPr="00AE2676">
        <w:rPr>
          <w:rFonts w:cs="Tahoma"/>
          <w:color w:val="000000"/>
          <w:szCs w:val="24"/>
        </w:rPr>
        <w:t>dicha pretensión (lucro cesante)</w:t>
      </w:r>
      <w:r w:rsidR="00732EFD" w:rsidRPr="00AE2676">
        <w:rPr>
          <w:rFonts w:cs="Tahoma"/>
          <w:color w:val="000000"/>
          <w:szCs w:val="24"/>
        </w:rPr>
        <w:t xml:space="preserve">, este </w:t>
      </w:r>
      <w:r w:rsidRPr="00AE2676">
        <w:rPr>
          <w:rFonts w:cs="Tahoma"/>
          <w:color w:val="000000"/>
          <w:szCs w:val="24"/>
        </w:rPr>
        <w:t xml:space="preserve"> lo calculó como la suma que se dejó </w:t>
      </w:r>
      <w:r w:rsidR="00732EFD" w:rsidRPr="00AE2676">
        <w:rPr>
          <w:rFonts w:cs="Tahoma"/>
          <w:color w:val="000000"/>
          <w:szCs w:val="24"/>
        </w:rPr>
        <w:t xml:space="preserve">de percibir </w:t>
      </w:r>
      <w:r w:rsidRPr="00AE2676">
        <w:rPr>
          <w:rFonts w:cs="Tahoma"/>
          <w:color w:val="000000"/>
          <w:szCs w:val="24"/>
        </w:rPr>
        <w:t>(lucro cesante causado o consolidado</w:t>
      </w:r>
      <w:r w:rsidRPr="00AE2676">
        <w:rPr>
          <w:rStyle w:val="Refdenotaalpie"/>
          <w:rFonts w:cs="Tahoma"/>
          <w:color w:val="000000"/>
          <w:szCs w:val="24"/>
        </w:rPr>
        <w:footnoteReference w:id="3"/>
      </w:r>
      <w:r w:rsidRPr="00AE2676">
        <w:rPr>
          <w:rFonts w:cs="Tahoma"/>
          <w:color w:val="000000"/>
          <w:szCs w:val="24"/>
        </w:rPr>
        <w:t xml:space="preserve">) </w:t>
      </w:r>
      <w:r w:rsidR="00732EFD" w:rsidRPr="00AE2676">
        <w:rPr>
          <w:rFonts w:cs="Tahoma"/>
          <w:color w:val="000000"/>
          <w:szCs w:val="24"/>
        </w:rPr>
        <w:t xml:space="preserve">más </w:t>
      </w:r>
      <w:r w:rsidRPr="00AE2676">
        <w:rPr>
          <w:rFonts w:cs="Tahoma"/>
          <w:color w:val="000000"/>
          <w:szCs w:val="24"/>
        </w:rPr>
        <w:t xml:space="preserve">lo que se dejará de </w:t>
      </w:r>
      <w:r w:rsidR="00732EFD" w:rsidRPr="00AE2676">
        <w:rPr>
          <w:rFonts w:cs="Tahoma"/>
          <w:color w:val="000000"/>
          <w:szCs w:val="24"/>
        </w:rPr>
        <w:t xml:space="preserve">recibir </w:t>
      </w:r>
      <w:r w:rsidRPr="00AE2676">
        <w:rPr>
          <w:rFonts w:cs="Tahoma"/>
          <w:color w:val="000000"/>
          <w:szCs w:val="24"/>
        </w:rPr>
        <w:t>(lucro cesante futuro o proyectado</w:t>
      </w:r>
      <w:r w:rsidRPr="00AE2676">
        <w:rPr>
          <w:rStyle w:val="Refdenotaalpie"/>
          <w:rFonts w:cs="Tahoma"/>
          <w:color w:val="000000"/>
          <w:szCs w:val="24"/>
        </w:rPr>
        <w:footnoteReference w:id="4"/>
      </w:r>
      <w:r w:rsidRPr="00AE2676">
        <w:rPr>
          <w:rFonts w:cs="Tahoma"/>
          <w:color w:val="000000"/>
          <w:szCs w:val="24"/>
        </w:rPr>
        <w:t xml:space="preserve">) en virtud del </w:t>
      </w:r>
      <w:r w:rsidR="00732EFD" w:rsidRPr="00AE2676">
        <w:rPr>
          <w:rFonts w:cs="Tahoma"/>
          <w:color w:val="000000"/>
          <w:szCs w:val="24"/>
        </w:rPr>
        <w:t xml:space="preserve">presunto </w:t>
      </w:r>
      <w:r w:rsidRPr="00AE2676">
        <w:rPr>
          <w:rFonts w:cs="Tahoma"/>
          <w:color w:val="000000"/>
          <w:szCs w:val="24"/>
        </w:rPr>
        <w:t xml:space="preserve">daño sufrido, </w:t>
      </w:r>
      <w:r w:rsidR="00732EFD" w:rsidRPr="00AE2676">
        <w:rPr>
          <w:rFonts w:cs="Tahoma"/>
          <w:color w:val="000000"/>
          <w:szCs w:val="24"/>
        </w:rPr>
        <w:t xml:space="preserve">las cuales </w:t>
      </w:r>
      <w:r w:rsidRPr="00AE2676">
        <w:rPr>
          <w:rFonts w:cs="Tahoma"/>
          <w:color w:val="000000"/>
          <w:szCs w:val="24"/>
        </w:rPr>
        <w:t xml:space="preserve">en sí </w:t>
      </w:r>
      <w:r w:rsidR="00732EFD" w:rsidRPr="00AE2676">
        <w:rPr>
          <w:rFonts w:cs="Tahoma"/>
          <w:color w:val="000000"/>
          <w:szCs w:val="24"/>
        </w:rPr>
        <w:t xml:space="preserve">son compatibles </w:t>
      </w:r>
      <w:r w:rsidR="00C01119" w:rsidRPr="00AE2676">
        <w:rPr>
          <w:rFonts w:cs="Tahoma"/>
          <w:color w:val="000000"/>
          <w:szCs w:val="24"/>
        </w:rPr>
        <w:t>en la medida que la pretensión resulta ser una sola (lucro cesante)</w:t>
      </w:r>
      <w:r w:rsidR="00732EFD" w:rsidRPr="00AE2676">
        <w:rPr>
          <w:rFonts w:cs="Tahoma"/>
          <w:color w:val="000000"/>
          <w:szCs w:val="24"/>
        </w:rPr>
        <w:t xml:space="preserve">, la </w:t>
      </w:r>
      <w:r w:rsidR="00C01119" w:rsidRPr="00AE2676">
        <w:rPr>
          <w:rFonts w:cs="Tahoma"/>
          <w:color w:val="000000"/>
          <w:szCs w:val="24"/>
        </w:rPr>
        <w:t xml:space="preserve">cual </w:t>
      </w:r>
      <w:r w:rsidR="0067123B" w:rsidRPr="00AE2676">
        <w:rPr>
          <w:rFonts w:cs="Tahoma"/>
          <w:color w:val="000000"/>
          <w:szCs w:val="24"/>
        </w:rPr>
        <w:t>está comprendida dentro de la indemnización plena de perjuicios de que trata el artículo 216 del C. S. del T.</w:t>
      </w:r>
      <w:r w:rsidR="00732EFD" w:rsidRPr="00AE2676">
        <w:rPr>
          <w:rFonts w:cs="Tahoma"/>
          <w:color w:val="000000"/>
          <w:szCs w:val="24"/>
        </w:rPr>
        <w:t>, incluso, haciendo parte de ella la indemnización de carácter moral.</w:t>
      </w:r>
    </w:p>
    <w:p w14:paraId="3F244592" w14:textId="77777777" w:rsidR="00C01119" w:rsidRPr="00AE2676" w:rsidRDefault="00C01119" w:rsidP="00AE2676">
      <w:pPr>
        <w:tabs>
          <w:tab w:val="left" w:pos="284"/>
        </w:tabs>
        <w:spacing w:line="276" w:lineRule="auto"/>
        <w:ind w:firstLine="284"/>
        <w:rPr>
          <w:rFonts w:cs="Tahoma"/>
          <w:szCs w:val="24"/>
        </w:rPr>
      </w:pPr>
    </w:p>
    <w:p w14:paraId="07876BA5" w14:textId="2F32C49F" w:rsidR="007B5BF1" w:rsidRPr="00AE2676" w:rsidRDefault="00C01119" w:rsidP="00AE2676">
      <w:pPr>
        <w:tabs>
          <w:tab w:val="left" w:pos="284"/>
        </w:tabs>
        <w:spacing w:line="276" w:lineRule="auto"/>
        <w:ind w:firstLine="284"/>
        <w:rPr>
          <w:rFonts w:cs="Tahoma"/>
          <w:color w:val="000000"/>
          <w:szCs w:val="24"/>
        </w:rPr>
      </w:pPr>
      <w:r w:rsidRPr="00AE2676">
        <w:rPr>
          <w:rFonts w:cs="Tahoma"/>
          <w:color w:val="000000"/>
          <w:szCs w:val="24"/>
        </w:rPr>
        <w:t xml:space="preserve">En suma, </w:t>
      </w:r>
      <w:r w:rsidR="0067123B" w:rsidRPr="00AE2676">
        <w:rPr>
          <w:rFonts w:cs="Tahoma"/>
          <w:color w:val="000000"/>
          <w:szCs w:val="24"/>
        </w:rPr>
        <w:t>en el asunto bajo examen se cumplen a cabalidad</w:t>
      </w:r>
      <w:r w:rsidRPr="00AE2676">
        <w:rPr>
          <w:rFonts w:cs="Tahoma"/>
          <w:color w:val="000000"/>
          <w:szCs w:val="24"/>
        </w:rPr>
        <w:t xml:space="preserve"> con las condiciones del artículo 25A CPTSS.</w:t>
      </w:r>
    </w:p>
    <w:p w14:paraId="4BC48207" w14:textId="4CBD2613" w:rsidR="00C01119" w:rsidRPr="00AE2676" w:rsidRDefault="00C01119" w:rsidP="00AE2676">
      <w:pPr>
        <w:tabs>
          <w:tab w:val="left" w:pos="284"/>
        </w:tabs>
        <w:spacing w:line="276" w:lineRule="auto"/>
        <w:ind w:firstLine="284"/>
        <w:rPr>
          <w:rFonts w:cs="Tahoma"/>
          <w:color w:val="000000"/>
          <w:szCs w:val="24"/>
        </w:rPr>
      </w:pPr>
    </w:p>
    <w:p w14:paraId="0F6A9773" w14:textId="3D742203" w:rsidR="00C01119" w:rsidRPr="00AE2676" w:rsidRDefault="00C01119" w:rsidP="00AE2676">
      <w:pPr>
        <w:tabs>
          <w:tab w:val="left" w:pos="284"/>
        </w:tabs>
        <w:spacing w:line="276" w:lineRule="auto"/>
        <w:rPr>
          <w:rFonts w:cs="Tahoma"/>
          <w:color w:val="000000"/>
          <w:szCs w:val="24"/>
        </w:rPr>
      </w:pPr>
      <w:r w:rsidRPr="00AE2676">
        <w:rPr>
          <w:rFonts w:cs="Tahoma"/>
          <w:color w:val="000000"/>
          <w:szCs w:val="24"/>
        </w:rPr>
        <w:tab/>
        <w:t>Significa lo anterior que se confirmará la decisión de primer grado y</w:t>
      </w:r>
      <w:r w:rsidR="009F256A" w:rsidRPr="00AE2676">
        <w:rPr>
          <w:rFonts w:cs="Tahoma"/>
          <w:color w:val="000000"/>
          <w:szCs w:val="24"/>
        </w:rPr>
        <w:t>,</w:t>
      </w:r>
      <w:r w:rsidRPr="00AE2676">
        <w:rPr>
          <w:rFonts w:cs="Tahoma"/>
          <w:color w:val="000000"/>
          <w:szCs w:val="24"/>
        </w:rPr>
        <w:t xml:space="preserve"> en consecuencia, se condenará en costas en esta instancia a la parte apelante a favor de la parte actora.</w:t>
      </w:r>
    </w:p>
    <w:p w14:paraId="2CF41500" w14:textId="77777777" w:rsidR="002D1D34" w:rsidRPr="00AE2676" w:rsidRDefault="002D1D34" w:rsidP="00AE2676">
      <w:pPr>
        <w:spacing w:line="276" w:lineRule="auto"/>
        <w:rPr>
          <w:rFonts w:cs="Tahoma"/>
          <w:szCs w:val="24"/>
        </w:rPr>
      </w:pPr>
    </w:p>
    <w:p w14:paraId="7A4B77BC" w14:textId="77777777" w:rsidR="002D1D34" w:rsidRPr="00AE2676" w:rsidRDefault="002D1D34" w:rsidP="00AE2676">
      <w:pPr>
        <w:widowControl w:val="0"/>
        <w:autoSpaceDE w:val="0"/>
        <w:autoSpaceDN w:val="0"/>
        <w:adjustRightInd w:val="0"/>
        <w:spacing w:line="276" w:lineRule="auto"/>
        <w:ind w:firstLine="709"/>
        <w:rPr>
          <w:rFonts w:cs="Tahoma"/>
          <w:szCs w:val="24"/>
        </w:rPr>
      </w:pPr>
      <w:r w:rsidRPr="00AE2676">
        <w:rPr>
          <w:rFonts w:cs="Tahoma"/>
          <w:szCs w:val="24"/>
        </w:rPr>
        <w:t xml:space="preserve">En mérito de lo expuesto, el </w:t>
      </w:r>
      <w:r w:rsidRPr="00AE2676">
        <w:rPr>
          <w:rFonts w:cs="Tahoma"/>
          <w:b/>
          <w:szCs w:val="24"/>
        </w:rPr>
        <w:t>Tribunal Superior del Distrito Judicial de Pereira (Risaralda)</w:t>
      </w:r>
      <w:r w:rsidRPr="00AE2676">
        <w:rPr>
          <w:rFonts w:cs="Tahoma"/>
          <w:szCs w:val="24"/>
        </w:rPr>
        <w:t xml:space="preserve">, </w:t>
      </w:r>
      <w:r w:rsidRPr="00AE2676">
        <w:rPr>
          <w:rFonts w:cs="Tahoma"/>
          <w:b/>
          <w:szCs w:val="24"/>
        </w:rPr>
        <w:t>Sala de Decisión Laboral No. 1</w:t>
      </w:r>
      <w:r w:rsidRPr="00AE2676">
        <w:rPr>
          <w:rFonts w:cs="Tahoma"/>
          <w:szCs w:val="24"/>
        </w:rPr>
        <w:t xml:space="preserve">, </w:t>
      </w:r>
    </w:p>
    <w:p w14:paraId="3C3D5A2A" w14:textId="77777777" w:rsidR="002D1D34" w:rsidRDefault="002D1D34" w:rsidP="00AE2676">
      <w:pPr>
        <w:spacing w:line="276" w:lineRule="auto"/>
        <w:ind w:firstLine="1122"/>
        <w:rPr>
          <w:rFonts w:cs="Tahoma"/>
          <w:spacing w:val="-2"/>
          <w:szCs w:val="24"/>
        </w:rPr>
      </w:pPr>
    </w:p>
    <w:p w14:paraId="6BBCE6DD" w14:textId="77777777" w:rsidR="00E31381" w:rsidRPr="00AE2676" w:rsidRDefault="00E31381" w:rsidP="00AE2676">
      <w:pPr>
        <w:spacing w:line="276" w:lineRule="auto"/>
        <w:ind w:firstLine="1122"/>
        <w:rPr>
          <w:rFonts w:cs="Tahoma"/>
          <w:spacing w:val="-2"/>
          <w:szCs w:val="24"/>
        </w:rPr>
      </w:pPr>
      <w:bookmarkStart w:id="5" w:name="_GoBack"/>
      <w:bookmarkEnd w:id="5"/>
    </w:p>
    <w:p w14:paraId="18B8C245" w14:textId="77777777" w:rsidR="002D1D34" w:rsidRPr="00AE2676" w:rsidRDefault="002D1D34" w:rsidP="00AE2676">
      <w:pPr>
        <w:widowControl w:val="0"/>
        <w:autoSpaceDE w:val="0"/>
        <w:autoSpaceDN w:val="0"/>
        <w:adjustRightInd w:val="0"/>
        <w:spacing w:line="276" w:lineRule="auto"/>
        <w:jc w:val="center"/>
        <w:rPr>
          <w:rFonts w:cs="Tahoma"/>
          <w:b/>
          <w:szCs w:val="24"/>
        </w:rPr>
      </w:pPr>
      <w:r w:rsidRPr="00AE2676">
        <w:rPr>
          <w:rFonts w:cs="Tahoma"/>
          <w:b/>
          <w:szCs w:val="24"/>
        </w:rPr>
        <w:t>R E S U E L V E:</w:t>
      </w:r>
    </w:p>
    <w:p w14:paraId="03018FB6" w14:textId="77777777" w:rsidR="002D1D34" w:rsidRPr="00AE2676" w:rsidRDefault="002D1D34" w:rsidP="00AE2676">
      <w:pPr>
        <w:widowControl w:val="0"/>
        <w:autoSpaceDE w:val="0"/>
        <w:autoSpaceDN w:val="0"/>
        <w:adjustRightInd w:val="0"/>
        <w:spacing w:line="276" w:lineRule="auto"/>
        <w:rPr>
          <w:rFonts w:cs="Tahoma"/>
          <w:szCs w:val="24"/>
        </w:rPr>
      </w:pPr>
    </w:p>
    <w:p w14:paraId="6DF2E6E5" w14:textId="77777777" w:rsidR="002D1D34" w:rsidRPr="00AE2676" w:rsidRDefault="002D1D34" w:rsidP="00AE2676">
      <w:pPr>
        <w:widowControl w:val="0"/>
        <w:autoSpaceDE w:val="0"/>
        <w:autoSpaceDN w:val="0"/>
        <w:adjustRightInd w:val="0"/>
        <w:spacing w:line="276" w:lineRule="auto"/>
        <w:ind w:firstLine="1080"/>
        <w:rPr>
          <w:rFonts w:cs="Tahoma"/>
          <w:szCs w:val="24"/>
          <w:lang w:val="es-MX"/>
        </w:rPr>
      </w:pPr>
      <w:r w:rsidRPr="00AE2676">
        <w:rPr>
          <w:rFonts w:cs="Tahoma"/>
          <w:b/>
          <w:szCs w:val="24"/>
          <w:u w:val="single"/>
        </w:rPr>
        <w:t>PRIMERO</w:t>
      </w:r>
      <w:r w:rsidRPr="00AE2676">
        <w:rPr>
          <w:rFonts w:cs="Tahoma"/>
          <w:szCs w:val="24"/>
        </w:rPr>
        <w:t xml:space="preserve">.- </w:t>
      </w:r>
      <w:r w:rsidRPr="00AE2676">
        <w:rPr>
          <w:rFonts w:cs="Tahoma"/>
          <w:b/>
          <w:szCs w:val="24"/>
        </w:rPr>
        <w:t xml:space="preserve">CONFIRMAR </w:t>
      </w:r>
      <w:r w:rsidRPr="00AE2676">
        <w:rPr>
          <w:rFonts w:cs="Tahoma"/>
          <w:szCs w:val="24"/>
        </w:rPr>
        <w:t xml:space="preserve">el auto apelado por las razones expresadas en la parte motiva de esta decisión. </w:t>
      </w:r>
    </w:p>
    <w:p w14:paraId="1A90DEB9" w14:textId="77777777" w:rsidR="002D1D34" w:rsidRPr="00AE2676" w:rsidRDefault="002D1D34" w:rsidP="00AE2676">
      <w:pPr>
        <w:widowControl w:val="0"/>
        <w:autoSpaceDE w:val="0"/>
        <w:autoSpaceDN w:val="0"/>
        <w:adjustRightInd w:val="0"/>
        <w:spacing w:line="276" w:lineRule="auto"/>
        <w:ind w:firstLine="1080"/>
        <w:rPr>
          <w:rFonts w:cs="Tahoma"/>
          <w:szCs w:val="24"/>
        </w:rPr>
      </w:pPr>
    </w:p>
    <w:p w14:paraId="42BD2F9B" w14:textId="77777777" w:rsidR="002D1D34" w:rsidRPr="00AE2676" w:rsidRDefault="002D1D34" w:rsidP="00AE2676">
      <w:pPr>
        <w:widowControl w:val="0"/>
        <w:autoSpaceDE w:val="0"/>
        <w:autoSpaceDN w:val="0"/>
        <w:adjustRightInd w:val="0"/>
        <w:spacing w:line="276" w:lineRule="auto"/>
        <w:ind w:firstLine="709"/>
        <w:rPr>
          <w:rFonts w:cs="Tahoma"/>
          <w:szCs w:val="24"/>
        </w:rPr>
      </w:pPr>
      <w:r w:rsidRPr="00AE2676">
        <w:rPr>
          <w:rFonts w:cs="Tahoma"/>
          <w:b/>
          <w:szCs w:val="24"/>
          <w:u w:val="single"/>
        </w:rPr>
        <w:t>SEGUNDO</w:t>
      </w:r>
      <w:r w:rsidRPr="00AE2676">
        <w:rPr>
          <w:rFonts w:cs="Tahoma"/>
          <w:szCs w:val="24"/>
        </w:rPr>
        <w:t xml:space="preserve">.- </w:t>
      </w:r>
      <w:r w:rsidRPr="00AE2676">
        <w:rPr>
          <w:rFonts w:cs="Tahoma"/>
          <w:b/>
          <w:szCs w:val="24"/>
        </w:rPr>
        <w:t>CONDENAR</w:t>
      </w:r>
      <w:r w:rsidRPr="00AE2676">
        <w:rPr>
          <w:rFonts w:cs="Tahoma"/>
          <w:szCs w:val="24"/>
        </w:rPr>
        <w:t xml:space="preserve"> en costas de segunda instancia a la parte apelante en favor de la demandante en un 100%, las cuales se liquidarán en el juzgado de origen. </w:t>
      </w:r>
    </w:p>
    <w:p w14:paraId="5FBA46E0" w14:textId="77777777" w:rsidR="00DE22A1" w:rsidRPr="00AE2676" w:rsidRDefault="00DE22A1" w:rsidP="00AE2676">
      <w:pPr>
        <w:shd w:val="clear" w:color="auto" w:fill="FFFFFF" w:themeFill="background1"/>
        <w:spacing w:line="276" w:lineRule="auto"/>
        <w:ind w:firstLine="426"/>
        <w:rPr>
          <w:rFonts w:cs="Tahoma"/>
          <w:b/>
          <w:szCs w:val="24"/>
        </w:rPr>
      </w:pPr>
    </w:p>
    <w:p w14:paraId="083DED73" w14:textId="77777777" w:rsidR="00DE22A1" w:rsidRPr="00AE2676" w:rsidRDefault="00DE22A1" w:rsidP="00AE2676">
      <w:pPr>
        <w:widowControl w:val="0"/>
        <w:autoSpaceDE w:val="0"/>
        <w:autoSpaceDN w:val="0"/>
        <w:adjustRightInd w:val="0"/>
        <w:spacing w:line="276" w:lineRule="auto"/>
        <w:jc w:val="center"/>
        <w:rPr>
          <w:rFonts w:cs="Tahoma"/>
          <w:b/>
          <w:szCs w:val="24"/>
        </w:rPr>
      </w:pPr>
      <w:r w:rsidRPr="00AE2676">
        <w:rPr>
          <w:rFonts w:cs="Tahoma"/>
          <w:b/>
          <w:szCs w:val="24"/>
        </w:rPr>
        <w:t>NOTIFÍQUESE Y CÚMPLASE</w:t>
      </w:r>
    </w:p>
    <w:p w14:paraId="4ACB01BC" w14:textId="77777777" w:rsidR="00DE22A1" w:rsidRPr="00AE2676" w:rsidRDefault="00DE22A1" w:rsidP="00AE2676">
      <w:pPr>
        <w:spacing w:line="276" w:lineRule="auto"/>
        <w:rPr>
          <w:rFonts w:eastAsia="Times New Roman" w:cs="Tahoma"/>
          <w:szCs w:val="24"/>
          <w:lang w:eastAsia="es-ES_tradnl"/>
        </w:rPr>
      </w:pPr>
    </w:p>
    <w:p w14:paraId="690E6289" w14:textId="2A30C050" w:rsidR="00DE22A1" w:rsidRPr="00AE2676" w:rsidRDefault="00DE22A1" w:rsidP="00AE2676">
      <w:pPr>
        <w:spacing w:line="276" w:lineRule="auto"/>
        <w:rPr>
          <w:rFonts w:cs="Tahoma"/>
          <w:szCs w:val="24"/>
        </w:rPr>
      </w:pPr>
      <w:r w:rsidRPr="00AE2676">
        <w:rPr>
          <w:rFonts w:cs="Tahoma"/>
          <w:szCs w:val="24"/>
        </w:rPr>
        <w:t xml:space="preserve">La Magistrada </w:t>
      </w:r>
      <w:r w:rsidR="00AE2676" w:rsidRPr="00AE2676">
        <w:rPr>
          <w:rFonts w:cs="Tahoma"/>
          <w:szCs w:val="24"/>
        </w:rPr>
        <w:t>Ponente</w:t>
      </w:r>
      <w:r w:rsidRPr="00AE2676">
        <w:rPr>
          <w:rFonts w:cs="Tahoma"/>
          <w:szCs w:val="24"/>
        </w:rPr>
        <w:t xml:space="preserve">, </w:t>
      </w:r>
    </w:p>
    <w:p w14:paraId="67E7086B" w14:textId="77777777" w:rsidR="00DE22A1" w:rsidRPr="00AE2676" w:rsidRDefault="00DE22A1" w:rsidP="00AE2676">
      <w:pPr>
        <w:pStyle w:val="Sinespaciado"/>
        <w:spacing w:line="276" w:lineRule="auto"/>
        <w:rPr>
          <w:rFonts w:ascii="Tahoma" w:hAnsi="Tahoma" w:cs="Tahoma"/>
        </w:rPr>
      </w:pPr>
    </w:p>
    <w:p w14:paraId="253AEB3B" w14:textId="77777777" w:rsidR="00DE22A1" w:rsidRPr="00AE2676" w:rsidRDefault="00DE22A1" w:rsidP="00AE2676">
      <w:pPr>
        <w:pStyle w:val="Sinespaciado"/>
        <w:spacing w:line="276" w:lineRule="auto"/>
        <w:rPr>
          <w:rFonts w:ascii="Tahoma" w:hAnsi="Tahoma" w:cs="Tahoma"/>
        </w:rPr>
      </w:pPr>
    </w:p>
    <w:p w14:paraId="605F01A9" w14:textId="77777777" w:rsidR="00DE22A1" w:rsidRPr="00AE2676" w:rsidRDefault="00DE22A1" w:rsidP="00AE2676">
      <w:pPr>
        <w:pStyle w:val="Sinespaciado"/>
        <w:spacing w:line="276" w:lineRule="auto"/>
        <w:rPr>
          <w:rFonts w:ascii="Tahoma" w:hAnsi="Tahoma" w:cs="Tahoma"/>
        </w:rPr>
      </w:pPr>
    </w:p>
    <w:p w14:paraId="37CF9852" w14:textId="77777777" w:rsidR="00DE22A1" w:rsidRPr="00AE2676" w:rsidRDefault="00DE22A1" w:rsidP="00AE2676">
      <w:pPr>
        <w:spacing w:line="276" w:lineRule="auto"/>
        <w:jc w:val="center"/>
        <w:rPr>
          <w:rFonts w:cs="Tahoma"/>
          <w:b/>
          <w:szCs w:val="24"/>
        </w:rPr>
      </w:pPr>
      <w:r w:rsidRPr="00AE2676">
        <w:rPr>
          <w:rFonts w:cs="Tahoma"/>
          <w:b/>
          <w:szCs w:val="24"/>
        </w:rPr>
        <w:t>ANA LUCÍA CAICEDO CALDERÓN</w:t>
      </w:r>
    </w:p>
    <w:p w14:paraId="2B50256E" w14:textId="77777777" w:rsidR="00DE22A1" w:rsidRPr="00AE2676" w:rsidRDefault="00DE22A1" w:rsidP="00AE2676">
      <w:pPr>
        <w:pStyle w:val="Sinespaciado"/>
        <w:spacing w:line="276" w:lineRule="auto"/>
        <w:rPr>
          <w:rFonts w:ascii="Tahoma" w:hAnsi="Tahoma" w:cs="Tahoma"/>
        </w:rPr>
      </w:pPr>
    </w:p>
    <w:p w14:paraId="3CB8B4E5" w14:textId="40D063E0" w:rsidR="00DE22A1" w:rsidRPr="00AE2676" w:rsidRDefault="00DE22A1" w:rsidP="00AE2676">
      <w:pPr>
        <w:spacing w:line="276" w:lineRule="auto"/>
        <w:rPr>
          <w:rFonts w:cs="Tahoma"/>
          <w:szCs w:val="24"/>
        </w:rPr>
      </w:pPr>
      <w:r w:rsidRPr="00AE2676">
        <w:rPr>
          <w:rFonts w:cs="Tahoma"/>
          <w:szCs w:val="24"/>
        </w:rPr>
        <w:t xml:space="preserve">La Magistrada y el Magistrado, </w:t>
      </w:r>
    </w:p>
    <w:p w14:paraId="1500770E" w14:textId="77777777" w:rsidR="00DE22A1" w:rsidRPr="00AE2676" w:rsidRDefault="00DE22A1" w:rsidP="00AE2676">
      <w:pPr>
        <w:pStyle w:val="Sinespaciado"/>
        <w:spacing w:line="276" w:lineRule="auto"/>
        <w:rPr>
          <w:rFonts w:ascii="Tahoma" w:hAnsi="Tahoma" w:cs="Tahoma"/>
          <w:b/>
        </w:rPr>
      </w:pPr>
    </w:p>
    <w:p w14:paraId="4DE420F6" w14:textId="77777777" w:rsidR="00DE22A1" w:rsidRPr="00AE2676" w:rsidRDefault="00DE22A1" w:rsidP="00AE2676">
      <w:pPr>
        <w:pStyle w:val="Sinespaciado"/>
        <w:spacing w:line="276" w:lineRule="auto"/>
        <w:rPr>
          <w:rFonts w:ascii="Tahoma" w:hAnsi="Tahoma" w:cs="Tahoma"/>
          <w:b/>
        </w:rPr>
      </w:pPr>
    </w:p>
    <w:p w14:paraId="43D16525" w14:textId="77777777" w:rsidR="00DE22A1" w:rsidRPr="00AE2676" w:rsidRDefault="00DE22A1" w:rsidP="00AE2676">
      <w:pPr>
        <w:pStyle w:val="Sinespaciado"/>
        <w:spacing w:line="276" w:lineRule="auto"/>
        <w:rPr>
          <w:rFonts w:ascii="Tahoma" w:hAnsi="Tahoma" w:cs="Tahoma"/>
          <w:b/>
        </w:rPr>
      </w:pPr>
    </w:p>
    <w:p w14:paraId="024F4E9B" w14:textId="2934956F" w:rsidR="00DE22A1" w:rsidRPr="00AE2676" w:rsidRDefault="00DE22A1" w:rsidP="00AE2676">
      <w:pPr>
        <w:tabs>
          <w:tab w:val="left" w:pos="3960"/>
        </w:tabs>
        <w:spacing w:line="276" w:lineRule="auto"/>
        <w:rPr>
          <w:rFonts w:cs="Tahoma"/>
          <w:b/>
          <w:bCs/>
          <w:szCs w:val="24"/>
        </w:rPr>
      </w:pPr>
      <w:r w:rsidRPr="00AE2676">
        <w:rPr>
          <w:rFonts w:cs="Tahoma"/>
          <w:b/>
          <w:bCs/>
          <w:szCs w:val="24"/>
        </w:rPr>
        <w:t>OLGA LUCÍA HOYOS SEPÚLVEDA</w:t>
      </w:r>
      <w:r w:rsidRPr="00AE2676">
        <w:rPr>
          <w:rFonts w:cs="Tahoma"/>
          <w:b/>
          <w:szCs w:val="24"/>
        </w:rPr>
        <w:tab/>
      </w:r>
      <w:r w:rsidRPr="00AE2676">
        <w:rPr>
          <w:rFonts w:cs="Tahoma"/>
          <w:b/>
          <w:szCs w:val="24"/>
        </w:rPr>
        <w:tab/>
      </w:r>
      <w:r w:rsidRPr="00AE2676">
        <w:rPr>
          <w:rFonts w:cs="Tahoma"/>
          <w:b/>
          <w:szCs w:val="24"/>
        </w:rPr>
        <w:tab/>
      </w:r>
      <w:r w:rsidRPr="00AE2676">
        <w:rPr>
          <w:rFonts w:cs="Tahoma"/>
          <w:b/>
          <w:bCs/>
          <w:szCs w:val="24"/>
        </w:rPr>
        <w:t xml:space="preserve"> JULIO CÉSAR SALAZAR MUÑOZ</w:t>
      </w:r>
    </w:p>
    <w:sectPr w:rsidR="00DE22A1" w:rsidRPr="00AE2676" w:rsidSect="00AE2676">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9F1D3" w15:done="0"/>
  <w15:commentEx w15:paraId="3C50D823" w15:done="0"/>
  <w15:commentEx w15:paraId="66A57671" w15:done="0"/>
  <w15:commentEx w15:paraId="50CEE79E" w15:paraIdParent="66A57671" w15:done="0"/>
  <w15:commentEx w15:paraId="56D4F61D" w15:done="0"/>
  <w15:commentEx w15:paraId="40DE5E44" w15:paraIdParent="56D4F61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6A3AD2" w16cex:dateUtc="2020-11-18T23:09:44.08Z"/>
  <w16cex:commentExtensible w16cex:durableId="62018DC1" w16cex:dateUtc="2020-11-18T23:10:19.585Z"/>
  <w16cex:commentExtensible w16cex:durableId="236505DE" w16cex:dateUtc="2020-11-18T23:11:34.407Z"/>
  <w16cex:commentExtensible w16cex:durableId="4886E141" w16cex:dateUtc="2020-11-18T23:12:39.982Z"/>
  <w16cex:commentExtensible w16cex:durableId="1770F763" w16cex:dateUtc="2020-11-18T23:13:07.309Z"/>
  <w16cex:commentExtensible w16cex:durableId="4F1B46B6" w16cex:dateUtc="2020-11-20T22:05:11.33Z"/>
  <w16cex:commentExtensible w16cex:durableId="6EFB3D67" w16cex:dateUtc="2020-11-20T23:01:17.188Z"/>
  <w16cex:commentExtensible w16cex:durableId="16AE7B49" w16cex:dateUtc="2020-11-20T23:09:51.012Z"/>
  <w16cex:commentExtensible w16cex:durableId="1898AEC7" w16cex:dateUtc="2020-11-24T15:19:17.126Z"/>
  <w16cex:commentExtensible w16cex:durableId="215371DE" w16cex:dateUtc="2020-11-24T15:19:37.229Z"/>
  <w16cex:commentExtensible w16cex:durableId="77B53A20" w16cex:dateUtc="2020-11-24T15:31:23.90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9F1D3" w16cid:durableId="1898AEC7"/>
  <w16cid:commentId w16cid:paraId="3C50D823" w16cid:durableId="4F1B46B6"/>
  <w16cid:commentId w16cid:paraId="66A57671" w16cid:durableId="6EFB3D67"/>
  <w16cid:commentId w16cid:paraId="50CEE79E" w16cid:durableId="215371DE"/>
  <w16cid:commentId w16cid:paraId="56D4F61D" w16cid:durableId="77B53A20"/>
  <w16cid:commentId w16cid:paraId="40DE5E44" w16cid:durableId="2369DF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82CE" w14:textId="77777777" w:rsidR="00BF593A" w:rsidRDefault="00BF593A" w:rsidP="00DC2FE5">
      <w:pPr>
        <w:spacing w:line="240" w:lineRule="auto"/>
      </w:pPr>
      <w:r>
        <w:separator/>
      </w:r>
    </w:p>
  </w:endnote>
  <w:endnote w:type="continuationSeparator" w:id="0">
    <w:p w14:paraId="0212420A" w14:textId="77777777" w:rsidR="00BF593A" w:rsidRDefault="00BF593A" w:rsidP="00DC2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1E0B" w14:textId="77777777" w:rsidR="00BF593A" w:rsidRDefault="00BF593A" w:rsidP="00DC2FE5">
      <w:pPr>
        <w:spacing w:line="240" w:lineRule="auto"/>
      </w:pPr>
      <w:r>
        <w:separator/>
      </w:r>
    </w:p>
  </w:footnote>
  <w:footnote w:type="continuationSeparator" w:id="0">
    <w:p w14:paraId="7B0283DB" w14:textId="77777777" w:rsidR="00BF593A" w:rsidRDefault="00BF593A" w:rsidP="00DC2FE5">
      <w:pPr>
        <w:spacing w:line="240" w:lineRule="auto"/>
      </w:pPr>
      <w:r>
        <w:continuationSeparator/>
      </w:r>
    </w:p>
  </w:footnote>
  <w:footnote w:id="1">
    <w:p w14:paraId="25FBBD04" w14:textId="24921AC1" w:rsidR="009E0C48" w:rsidRPr="00AE2676" w:rsidRDefault="009E0C48" w:rsidP="00AE2676">
      <w:pPr>
        <w:pStyle w:val="Textonotapie"/>
        <w:ind w:left="142" w:hanging="142"/>
        <w:rPr>
          <w:rFonts w:ascii="Arial" w:hAnsi="Arial" w:cs="Arial"/>
          <w:sz w:val="18"/>
          <w:szCs w:val="16"/>
          <w:lang w:val="es-419"/>
        </w:rPr>
      </w:pPr>
      <w:r w:rsidRPr="00AE2676">
        <w:rPr>
          <w:rStyle w:val="Refdenotaalpie"/>
          <w:rFonts w:ascii="Arial" w:hAnsi="Arial" w:cs="Arial"/>
          <w:sz w:val="18"/>
          <w:szCs w:val="16"/>
        </w:rPr>
        <w:footnoteRef/>
      </w:r>
      <w:r w:rsidRPr="00AE2676">
        <w:rPr>
          <w:rFonts w:ascii="Arial" w:hAnsi="Arial" w:cs="Arial"/>
          <w:sz w:val="18"/>
          <w:szCs w:val="16"/>
        </w:rPr>
        <w:t xml:space="preserve"> Cuando no hay ley exactamente aplicable al caso controvertido, se aplicarán las leyes que regulen casos </w:t>
      </w:r>
      <w:proofErr w:type="spellStart"/>
      <w:r w:rsidRPr="00AE2676">
        <w:rPr>
          <w:rFonts w:ascii="Arial" w:hAnsi="Arial" w:cs="Arial"/>
          <w:sz w:val="18"/>
          <w:szCs w:val="16"/>
        </w:rPr>
        <w:t>ó</w:t>
      </w:r>
      <w:proofErr w:type="spellEnd"/>
      <w:r w:rsidRPr="00AE2676">
        <w:rPr>
          <w:rFonts w:ascii="Arial" w:hAnsi="Arial" w:cs="Arial"/>
          <w:sz w:val="18"/>
          <w:szCs w:val="16"/>
        </w:rPr>
        <w:t xml:space="preserve"> materias semejantes, y en su defecto, la doctrina constitucional y las reglas generales de derecho.</w:t>
      </w:r>
    </w:p>
  </w:footnote>
  <w:footnote w:id="2">
    <w:p w14:paraId="02C29C16" w14:textId="097AAC5B" w:rsidR="0037253D" w:rsidRPr="00AE2676" w:rsidRDefault="0037253D" w:rsidP="00AE2676">
      <w:pPr>
        <w:pStyle w:val="Textonotapie"/>
        <w:ind w:left="142" w:hanging="142"/>
        <w:rPr>
          <w:rFonts w:ascii="Arial" w:hAnsi="Arial" w:cs="Arial"/>
          <w:sz w:val="18"/>
          <w:szCs w:val="16"/>
        </w:rPr>
      </w:pPr>
      <w:r w:rsidRPr="00AE2676">
        <w:rPr>
          <w:rStyle w:val="Refdenotaalpie"/>
          <w:rFonts w:ascii="Arial" w:hAnsi="Arial" w:cs="Arial"/>
          <w:sz w:val="18"/>
          <w:szCs w:val="16"/>
        </w:rPr>
        <w:footnoteRef/>
      </w:r>
      <w:r w:rsidRPr="00AE2676">
        <w:rPr>
          <w:rFonts w:ascii="Arial" w:hAnsi="Arial" w:cs="Arial"/>
          <w:sz w:val="18"/>
          <w:szCs w:val="16"/>
        </w:rPr>
        <w:t xml:space="preserve"> </w:t>
      </w:r>
      <w:r w:rsidRPr="00AE2676">
        <w:rPr>
          <w:rFonts w:ascii="Arial" w:hAnsi="Arial" w:cs="Arial"/>
          <w:sz w:val="18"/>
          <w:szCs w:val="16"/>
        </w:rPr>
        <w:tab/>
        <w:t>Indica “aunque la Ley 789 de 2002 modificó la naturaleza jurídica y algunos aspectos específicos de la regulación del contrato de aprendizaje, este tipo de contrato aún es muy similar al contrato de trabajo, por lo menos en su fase práctica, ya que en ambos se presentan elementos comunes, como lo son i) la prestación personal de un servicio, ya que en la fase práctica el aprendiz se desempeña “dentro del manejo administrativo, operativo comercial o financiero propios del giro ordinario de las actividades de la empresa”; ii) la subordinación, que en el contrato de aprendizaje está “referida exclusivamente a las actividades propias del aprendizaje”, y iii) la remuneración, denominada salario en el contrato de trabajo y apoyo de sostenimiento en el contrato de aprendizaje</w:t>
      </w:r>
      <w:bookmarkStart w:id="4" w:name="_ftnref47"/>
      <w:r w:rsidRPr="00AE2676">
        <w:rPr>
          <w:rFonts w:ascii="Arial" w:hAnsi="Arial" w:cs="Arial"/>
          <w:sz w:val="18"/>
          <w:szCs w:val="16"/>
        </w:rPr>
        <w:t>”</w:t>
      </w:r>
      <w:bookmarkEnd w:id="4"/>
      <w:r w:rsidRPr="00AE2676">
        <w:rPr>
          <w:rFonts w:ascii="Arial" w:hAnsi="Arial" w:cs="Arial"/>
          <w:sz w:val="18"/>
          <w:szCs w:val="16"/>
        </w:rPr>
        <w:t>,</w:t>
      </w:r>
    </w:p>
  </w:footnote>
  <w:footnote w:id="3">
    <w:p w14:paraId="0A90BB44" w14:textId="595264EF" w:rsidR="007B5BF1" w:rsidRPr="00AE2676" w:rsidRDefault="007B5BF1" w:rsidP="00AE2676">
      <w:pPr>
        <w:pStyle w:val="Textonotapie"/>
        <w:rPr>
          <w:rFonts w:ascii="Arial" w:hAnsi="Arial" w:cs="Arial"/>
          <w:sz w:val="18"/>
          <w:szCs w:val="16"/>
          <w:lang w:val="es-419"/>
        </w:rPr>
      </w:pPr>
      <w:r w:rsidRPr="00AE2676">
        <w:rPr>
          <w:rStyle w:val="Refdenotaalpie"/>
          <w:rFonts w:ascii="Arial" w:hAnsi="Arial" w:cs="Arial"/>
          <w:sz w:val="18"/>
          <w:szCs w:val="16"/>
        </w:rPr>
        <w:footnoteRef/>
      </w:r>
      <w:r w:rsidRPr="00AE2676">
        <w:rPr>
          <w:rFonts w:ascii="Arial" w:hAnsi="Arial" w:cs="Arial"/>
          <w:sz w:val="18"/>
          <w:szCs w:val="16"/>
        </w:rPr>
        <w:t xml:space="preserve"> </w:t>
      </w:r>
      <w:r w:rsidRPr="00AE2676">
        <w:rPr>
          <w:rFonts w:ascii="Arial" w:hAnsi="Arial" w:cs="Arial"/>
          <w:color w:val="000000"/>
          <w:sz w:val="18"/>
          <w:szCs w:val="16"/>
        </w:rPr>
        <w:t>resarcimiento de lo que se deja de ganar con ocasión del accidente de trabajo o enfermedad profesional liquidado desde la fecha del hecho dañino hasta la sentencia.</w:t>
      </w:r>
    </w:p>
  </w:footnote>
  <w:footnote w:id="4">
    <w:p w14:paraId="0C212911" w14:textId="41F40D97" w:rsidR="007B5BF1" w:rsidRPr="00AE2676" w:rsidRDefault="007B5BF1" w:rsidP="00AE2676">
      <w:pPr>
        <w:pStyle w:val="Textonotapie"/>
        <w:rPr>
          <w:rFonts w:ascii="Arial" w:hAnsi="Arial" w:cs="Arial"/>
          <w:sz w:val="18"/>
          <w:szCs w:val="16"/>
          <w:lang w:val="es-419"/>
        </w:rPr>
      </w:pPr>
      <w:r w:rsidRPr="00AE2676">
        <w:rPr>
          <w:rStyle w:val="Refdenotaalpie"/>
          <w:rFonts w:ascii="Arial" w:hAnsi="Arial" w:cs="Arial"/>
          <w:sz w:val="18"/>
          <w:szCs w:val="16"/>
        </w:rPr>
        <w:footnoteRef/>
      </w:r>
      <w:r w:rsidRPr="00AE2676">
        <w:rPr>
          <w:rFonts w:ascii="Arial" w:hAnsi="Arial" w:cs="Arial"/>
          <w:sz w:val="18"/>
          <w:szCs w:val="16"/>
        </w:rPr>
        <w:t xml:space="preserve"> </w:t>
      </w:r>
      <w:r w:rsidRPr="00AE2676">
        <w:rPr>
          <w:rFonts w:ascii="Arial" w:hAnsi="Arial" w:cs="Arial"/>
          <w:color w:val="000000"/>
          <w:sz w:val="18"/>
          <w:szCs w:val="16"/>
        </w:rPr>
        <w:t>lo que dejará de percibir liquidado desde la sentencia hasta la expectativa de vida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199"/>
    <w:multiLevelType w:val="hybridMultilevel"/>
    <w:tmpl w:val="03C4D62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29380A30"/>
    <w:multiLevelType w:val="hybridMultilevel"/>
    <w:tmpl w:val="27601542"/>
    <w:lvl w:ilvl="0" w:tplc="18EC85D4">
      <w:start w:val="1"/>
      <w:numFmt w:val="bullet"/>
      <w:lvlText w:val=""/>
      <w:lvlJc w:val="left"/>
      <w:pPr>
        <w:tabs>
          <w:tab w:val="num" w:pos="720"/>
        </w:tabs>
        <w:ind w:left="720" w:hanging="360"/>
      </w:pPr>
      <w:rPr>
        <w:rFonts w:ascii="Symbol" w:hAnsi="Symbol" w:hint="default"/>
        <w:sz w:val="20"/>
      </w:rPr>
    </w:lvl>
    <w:lvl w:ilvl="1" w:tplc="8C180998" w:tentative="1">
      <w:start w:val="1"/>
      <w:numFmt w:val="bullet"/>
      <w:lvlText w:val="o"/>
      <w:lvlJc w:val="left"/>
      <w:pPr>
        <w:tabs>
          <w:tab w:val="num" w:pos="1440"/>
        </w:tabs>
        <w:ind w:left="1440" w:hanging="360"/>
      </w:pPr>
      <w:rPr>
        <w:rFonts w:ascii="Courier New" w:hAnsi="Courier New" w:hint="default"/>
        <w:sz w:val="20"/>
      </w:rPr>
    </w:lvl>
    <w:lvl w:ilvl="2" w:tplc="6CEAA7F8" w:tentative="1">
      <w:start w:val="1"/>
      <w:numFmt w:val="bullet"/>
      <w:lvlText w:val=""/>
      <w:lvlJc w:val="left"/>
      <w:pPr>
        <w:tabs>
          <w:tab w:val="num" w:pos="2160"/>
        </w:tabs>
        <w:ind w:left="2160" w:hanging="360"/>
      </w:pPr>
      <w:rPr>
        <w:rFonts w:ascii="Wingdings" w:hAnsi="Wingdings" w:hint="default"/>
        <w:sz w:val="20"/>
      </w:rPr>
    </w:lvl>
    <w:lvl w:ilvl="3" w:tplc="3D9C0196" w:tentative="1">
      <w:start w:val="1"/>
      <w:numFmt w:val="bullet"/>
      <w:lvlText w:val=""/>
      <w:lvlJc w:val="left"/>
      <w:pPr>
        <w:tabs>
          <w:tab w:val="num" w:pos="2880"/>
        </w:tabs>
        <w:ind w:left="2880" w:hanging="360"/>
      </w:pPr>
      <w:rPr>
        <w:rFonts w:ascii="Wingdings" w:hAnsi="Wingdings" w:hint="default"/>
        <w:sz w:val="20"/>
      </w:rPr>
    </w:lvl>
    <w:lvl w:ilvl="4" w:tplc="1040A85C" w:tentative="1">
      <w:start w:val="1"/>
      <w:numFmt w:val="bullet"/>
      <w:lvlText w:val=""/>
      <w:lvlJc w:val="left"/>
      <w:pPr>
        <w:tabs>
          <w:tab w:val="num" w:pos="3600"/>
        </w:tabs>
        <w:ind w:left="3600" w:hanging="360"/>
      </w:pPr>
      <w:rPr>
        <w:rFonts w:ascii="Wingdings" w:hAnsi="Wingdings" w:hint="default"/>
        <w:sz w:val="20"/>
      </w:rPr>
    </w:lvl>
    <w:lvl w:ilvl="5" w:tplc="564ADE18" w:tentative="1">
      <w:start w:val="1"/>
      <w:numFmt w:val="bullet"/>
      <w:lvlText w:val=""/>
      <w:lvlJc w:val="left"/>
      <w:pPr>
        <w:tabs>
          <w:tab w:val="num" w:pos="4320"/>
        </w:tabs>
        <w:ind w:left="4320" w:hanging="360"/>
      </w:pPr>
      <w:rPr>
        <w:rFonts w:ascii="Wingdings" w:hAnsi="Wingdings" w:hint="default"/>
        <w:sz w:val="20"/>
      </w:rPr>
    </w:lvl>
    <w:lvl w:ilvl="6" w:tplc="00868104" w:tentative="1">
      <w:start w:val="1"/>
      <w:numFmt w:val="bullet"/>
      <w:lvlText w:val=""/>
      <w:lvlJc w:val="left"/>
      <w:pPr>
        <w:tabs>
          <w:tab w:val="num" w:pos="5040"/>
        </w:tabs>
        <w:ind w:left="5040" w:hanging="360"/>
      </w:pPr>
      <w:rPr>
        <w:rFonts w:ascii="Wingdings" w:hAnsi="Wingdings" w:hint="default"/>
        <w:sz w:val="20"/>
      </w:rPr>
    </w:lvl>
    <w:lvl w:ilvl="7" w:tplc="DE04F36A" w:tentative="1">
      <w:start w:val="1"/>
      <w:numFmt w:val="bullet"/>
      <w:lvlText w:val=""/>
      <w:lvlJc w:val="left"/>
      <w:pPr>
        <w:tabs>
          <w:tab w:val="num" w:pos="5760"/>
        </w:tabs>
        <w:ind w:left="5760" w:hanging="360"/>
      </w:pPr>
      <w:rPr>
        <w:rFonts w:ascii="Wingdings" w:hAnsi="Wingdings" w:hint="default"/>
        <w:sz w:val="20"/>
      </w:rPr>
    </w:lvl>
    <w:lvl w:ilvl="8" w:tplc="BA9EEAF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D0C94"/>
    <w:multiLevelType w:val="hybridMultilevel"/>
    <w:tmpl w:val="655869AC"/>
    <w:lvl w:ilvl="0" w:tplc="8B78EB60">
      <w:start w:val="1"/>
      <w:numFmt w:val="decimal"/>
      <w:lvlText w:val="%1."/>
      <w:lvlJc w:val="left"/>
      <w:pPr>
        <w:ind w:left="645" w:hanging="360"/>
      </w:pPr>
      <w:rPr>
        <w:rFonts w:hint="default"/>
        <w:b/>
      </w:rPr>
    </w:lvl>
    <w:lvl w:ilvl="1" w:tplc="580A0019" w:tentative="1">
      <w:start w:val="1"/>
      <w:numFmt w:val="lowerLetter"/>
      <w:lvlText w:val="%2."/>
      <w:lvlJc w:val="left"/>
      <w:pPr>
        <w:ind w:left="1365" w:hanging="360"/>
      </w:pPr>
    </w:lvl>
    <w:lvl w:ilvl="2" w:tplc="580A001B" w:tentative="1">
      <w:start w:val="1"/>
      <w:numFmt w:val="lowerRoman"/>
      <w:lvlText w:val="%3."/>
      <w:lvlJc w:val="right"/>
      <w:pPr>
        <w:ind w:left="2085" w:hanging="180"/>
      </w:pPr>
    </w:lvl>
    <w:lvl w:ilvl="3" w:tplc="580A000F" w:tentative="1">
      <w:start w:val="1"/>
      <w:numFmt w:val="decimal"/>
      <w:lvlText w:val="%4."/>
      <w:lvlJc w:val="left"/>
      <w:pPr>
        <w:ind w:left="2805" w:hanging="360"/>
      </w:pPr>
    </w:lvl>
    <w:lvl w:ilvl="4" w:tplc="580A0019" w:tentative="1">
      <w:start w:val="1"/>
      <w:numFmt w:val="lowerLetter"/>
      <w:lvlText w:val="%5."/>
      <w:lvlJc w:val="left"/>
      <w:pPr>
        <w:ind w:left="3525" w:hanging="360"/>
      </w:pPr>
    </w:lvl>
    <w:lvl w:ilvl="5" w:tplc="580A001B" w:tentative="1">
      <w:start w:val="1"/>
      <w:numFmt w:val="lowerRoman"/>
      <w:lvlText w:val="%6."/>
      <w:lvlJc w:val="right"/>
      <w:pPr>
        <w:ind w:left="4245" w:hanging="180"/>
      </w:pPr>
    </w:lvl>
    <w:lvl w:ilvl="6" w:tplc="580A000F" w:tentative="1">
      <w:start w:val="1"/>
      <w:numFmt w:val="decimal"/>
      <w:lvlText w:val="%7."/>
      <w:lvlJc w:val="left"/>
      <w:pPr>
        <w:ind w:left="4965" w:hanging="360"/>
      </w:pPr>
    </w:lvl>
    <w:lvl w:ilvl="7" w:tplc="580A0019" w:tentative="1">
      <w:start w:val="1"/>
      <w:numFmt w:val="lowerLetter"/>
      <w:lvlText w:val="%8."/>
      <w:lvlJc w:val="left"/>
      <w:pPr>
        <w:ind w:left="5685" w:hanging="360"/>
      </w:pPr>
    </w:lvl>
    <w:lvl w:ilvl="8" w:tplc="580A001B" w:tentative="1">
      <w:start w:val="1"/>
      <w:numFmt w:val="lowerRoman"/>
      <w:lvlText w:val="%9."/>
      <w:lvlJc w:val="right"/>
      <w:pPr>
        <w:ind w:left="6405" w:hanging="180"/>
      </w:pPr>
    </w:lvl>
  </w:abstractNum>
  <w:abstractNum w:abstractNumId="3">
    <w:nsid w:val="2F911A25"/>
    <w:multiLevelType w:val="multilevel"/>
    <w:tmpl w:val="F53A3C9A"/>
    <w:lvl w:ilvl="0">
      <w:start w:val="1"/>
      <w:numFmt w:val="decimal"/>
      <w:lvlText w:val="%1."/>
      <w:lvlJc w:val="left"/>
      <w:pPr>
        <w:ind w:left="645" w:hanging="360"/>
      </w:pPr>
      <w:rPr>
        <w:rFonts w:hint="default"/>
        <w:b/>
      </w:rPr>
    </w:lvl>
    <w:lvl w:ilvl="1">
      <w:start w:val="1"/>
      <w:numFmt w:val="decimal"/>
      <w:isLgl/>
      <w:lvlText w:val="%1.%2."/>
      <w:lvlJc w:val="left"/>
      <w:pPr>
        <w:ind w:left="1005" w:hanging="720"/>
      </w:pPr>
      <w:rPr>
        <w:rFonts w:hint="default"/>
        <w:b/>
      </w:rPr>
    </w:lvl>
    <w:lvl w:ilvl="2">
      <w:start w:val="1"/>
      <w:numFmt w:val="decimal"/>
      <w:isLgl/>
      <w:lvlText w:val="%1.%2.%3."/>
      <w:lvlJc w:val="left"/>
      <w:pPr>
        <w:ind w:left="1365" w:hanging="1080"/>
      </w:pPr>
      <w:rPr>
        <w:rFonts w:hint="default"/>
        <w:b/>
      </w:rPr>
    </w:lvl>
    <w:lvl w:ilvl="3">
      <w:start w:val="1"/>
      <w:numFmt w:val="decimal"/>
      <w:isLgl/>
      <w:lvlText w:val="%1.%2.%3.%4."/>
      <w:lvlJc w:val="left"/>
      <w:pPr>
        <w:ind w:left="1365" w:hanging="1080"/>
      </w:pPr>
      <w:rPr>
        <w:rFonts w:hint="default"/>
        <w:b/>
      </w:rPr>
    </w:lvl>
    <w:lvl w:ilvl="4">
      <w:start w:val="1"/>
      <w:numFmt w:val="decimal"/>
      <w:isLgl/>
      <w:lvlText w:val="%1.%2.%3.%4.%5."/>
      <w:lvlJc w:val="left"/>
      <w:pPr>
        <w:ind w:left="1725" w:hanging="1440"/>
      </w:pPr>
      <w:rPr>
        <w:rFonts w:hint="default"/>
        <w:b/>
      </w:rPr>
    </w:lvl>
    <w:lvl w:ilvl="5">
      <w:start w:val="1"/>
      <w:numFmt w:val="decimal"/>
      <w:isLgl/>
      <w:lvlText w:val="%1.%2.%3.%4.%5.%6."/>
      <w:lvlJc w:val="left"/>
      <w:pPr>
        <w:ind w:left="2085" w:hanging="1800"/>
      </w:pPr>
      <w:rPr>
        <w:rFonts w:hint="default"/>
        <w:b/>
      </w:rPr>
    </w:lvl>
    <w:lvl w:ilvl="6">
      <w:start w:val="1"/>
      <w:numFmt w:val="decimal"/>
      <w:isLgl/>
      <w:lvlText w:val="%1.%2.%3.%4.%5.%6.%7."/>
      <w:lvlJc w:val="left"/>
      <w:pPr>
        <w:ind w:left="2085" w:hanging="1800"/>
      </w:pPr>
      <w:rPr>
        <w:rFonts w:hint="default"/>
        <w:b/>
      </w:rPr>
    </w:lvl>
    <w:lvl w:ilvl="7">
      <w:start w:val="1"/>
      <w:numFmt w:val="decimal"/>
      <w:isLgl/>
      <w:lvlText w:val="%1.%2.%3.%4.%5.%6.%7.%8."/>
      <w:lvlJc w:val="left"/>
      <w:pPr>
        <w:ind w:left="2445" w:hanging="2160"/>
      </w:pPr>
      <w:rPr>
        <w:rFonts w:hint="default"/>
        <w:b/>
      </w:rPr>
    </w:lvl>
    <w:lvl w:ilvl="8">
      <w:start w:val="1"/>
      <w:numFmt w:val="decimal"/>
      <w:isLgl/>
      <w:lvlText w:val="%1.%2.%3.%4.%5.%6.%7.%8.%9."/>
      <w:lvlJc w:val="left"/>
      <w:pPr>
        <w:ind w:left="2805" w:hanging="2520"/>
      </w:pPr>
      <w:rPr>
        <w:rFonts w:hint="default"/>
        <w:b/>
      </w:rPr>
    </w:lvl>
  </w:abstractNum>
  <w:abstractNum w:abstractNumId="4">
    <w:nsid w:val="4C3B46FA"/>
    <w:multiLevelType w:val="hybridMultilevel"/>
    <w:tmpl w:val="47F28008"/>
    <w:lvl w:ilvl="0" w:tplc="FCD04390">
      <w:start w:val="1"/>
      <w:numFmt w:val="bullet"/>
      <w:lvlText w:val=""/>
      <w:lvlJc w:val="left"/>
      <w:pPr>
        <w:tabs>
          <w:tab w:val="num" w:pos="720"/>
        </w:tabs>
        <w:ind w:left="720" w:hanging="360"/>
      </w:pPr>
      <w:rPr>
        <w:rFonts w:ascii="Symbol" w:hAnsi="Symbol" w:hint="default"/>
        <w:sz w:val="20"/>
      </w:rPr>
    </w:lvl>
    <w:lvl w:ilvl="1" w:tplc="407C4C06" w:tentative="1">
      <w:start w:val="1"/>
      <w:numFmt w:val="bullet"/>
      <w:lvlText w:val="o"/>
      <w:lvlJc w:val="left"/>
      <w:pPr>
        <w:tabs>
          <w:tab w:val="num" w:pos="1440"/>
        </w:tabs>
        <w:ind w:left="1440" w:hanging="360"/>
      </w:pPr>
      <w:rPr>
        <w:rFonts w:ascii="Courier New" w:hAnsi="Courier New" w:hint="default"/>
        <w:sz w:val="20"/>
      </w:rPr>
    </w:lvl>
    <w:lvl w:ilvl="2" w:tplc="E7D8DFAC" w:tentative="1">
      <w:start w:val="1"/>
      <w:numFmt w:val="bullet"/>
      <w:lvlText w:val=""/>
      <w:lvlJc w:val="left"/>
      <w:pPr>
        <w:tabs>
          <w:tab w:val="num" w:pos="2160"/>
        </w:tabs>
        <w:ind w:left="2160" w:hanging="360"/>
      </w:pPr>
      <w:rPr>
        <w:rFonts w:ascii="Wingdings" w:hAnsi="Wingdings" w:hint="default"/>
        <w:sz w:val="20"/>
      </w:rPr>
    </w:lvl>
    <w:lvl w:ilvl="3" w:tplc="5352C486" w:tentative="1">
      <w:start w:val="1"/>
      <w:numFmt w:val="bullet"/>
      <w:lvlText w:val=""/>
      <w:lvlJc w:val="left"/>
      <w:pPr>
        <w:tabs>
          <w:tab w:val="num" w:pos="2880"/>
        </w:tabs>
        <w:ind w:left="2880" w:hanging="360"/>
      </w:pPr>
      <w:rPr>
        <w:rFonts w:ascii="Wingdings" w:hAnsi="Wingdings" w:hint="default"/>
        <w:sz w:val="20"/>
      </w:rPr>
    </w:lvl>
    <w:lvl w:ilvl="4" w:tplc="0366B716" w:tentative="1">
      <w:start w:val="1"/>
      <w:numFmt w:val="bullet"/>
      <w:lvlText w:val=""/>
      <w:lvlJc w:val="left"/>
      <w:pPr>
        <w:tabs>
          <w:tab w:val="num" w:pos="3600"/>
        </w:tabs>
        <w:ind w:left="3600" w:hanging="360"/>
      </w:pPr>
      <w:rPr>
        <w:rFonts w:ascii="Wingdings" w:hAnsi="Wingdings" w:hint="default"/>
        <w:sz w:val="20"/>
      </w:rPr>
    </w:lvl>
    <w:lvl w:ilvl="5" w:tplc="5B30AA62" w:tentative="1">
      <w:start w:val="1"/>
      <w:numFmt w:val="bullet"/>
      <w:lvlText w:val=""/>
      <w:lvlJc w:val="left"/>
      <w:pPr>
        <w:tabs>
          <w:tab w:val="num" w:pos="4320"/>
        </w:tabs>
        <w:ind w:left="4320" w:hanging="360"/>
      </w:pPr>
      <w:rPr>
        <w:rFonts w:ascii="Wingdings" w:hAnsi="Wingdings" w:hint="default"/>
        <w:sz w:val="20"/>
      </w:rPr>
    </w:lvl>
    <w:lvl w:ilvl="6" w:tplc="1C9ABB56" w:tentative="1">
      <w:start w:val="1"/>
      <w:numFmt w:val="bullet"/>
      <w:lvlText w:val=""/>
      <w:lvlJc w:val="left"/>
      <w:pPr>
        <w:tabs>
          <w:tab w:val="num" w:pos="5040"/>
        </w:tabs>
        <w:ind w:left="5040" w:hanging="360"/>
      </w:pPr>
      <w:rPr>
        <w:rFonts w:ascii="Wingdings" w:hAnsi="Wingdings" w:hint="default"/>
        <w:sz w:val="20"/>
      </w:rPr>
    </w:lvl>
    <w:lvl w:ilvl="7" w:tplc="40D230BE" w:tentative="1">
      <w:start w:val="1"/>
      <w:numFmt w:val="bullet"/>
      <w:lvlText w:val=""/>
      <w:lvlJc w:val="left"/>
      <w:pPr>
        <w:tabs>
          <w:tab w:val="num" w:pos="5760"/>
        </w:tabs>
        <w:ind w:left="5760" w:hanging="360"/>
      </w:pPr>
      <w:rPr>
        <w:rFonts w:ascii="Wingdings" w:hAnsi="Wingdings" w:hint="default"/>
        <w:sz w:val="20"/>
      </w:rPr>
    </w:lvl>
    <w:lvl w:ilvl="8" w:tplc="3DD0E45C"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25B2C"/>
    <w:multiLevelType w:val="hybridMultilevel"/>
    <w:tmpl w:val="75AA8A26"/>
    <w:lvl w:ilvl="0" w:tplc="580A000F">
      <w:start w:val="1"/>
      <w:numFmt w:val="decimal"/>
      <w:lvlText w:val="%1."/>
      <w:lvlJc w:val="left"/>
      <w:pPr>
        <w:ind w:left="1636" w:hanging="360"/>
      </w:pPr>
      <w:rPr>
        <w:rFonts w:hint="default"/>
      </w:rPr>
    </w:lvl>
    <w:lvl w:ilvl="1" w:tplc="580A0019" w:tentative="1">
      <w:start w:val="1"/>
      <w:numFmt w:val="lowerLetter"/>
      <w:lvlText w:val="%2."/>
      <w:lvlJc w:val="left"/>
      <w:pPr>
        <w:ind w:left="2356" w:hanging="360"/>
      </w:pPr>
    </w:lvl>
    <w:lvl w:ilvl="2" w:tplc="580A001B" w:tentative="1">
      <w:start w:val="1"/>
      <w:numFmt w:val="lowerRoman"/>
      <w:lvlText w:val="%3."/>
      <w:lvlJc w:val="right"/>
      <w:pPr>
        <w:ind w:left="3076" w:hanging="180"/>
      </w:pPr>
    </w:lvl>
    <w:lvl w:ilvl="3" w:tplc="580A000F" w:tentative="1">
      <w:start w:val="1"/>
      <w:numFmt w:val="decimal"/>
      <w:lvlText w:val="%4."/>
      <w:lvlJc w:val="left"/>
      <w:pPr>
        <w:ind w:left="3796" w:hanging="360"/>
      </w:pPr>
    </w:lvl>
    <w:lvl w:ilvl="4" w:tplc="580A0019" w:tentative="1">
      <w:start w:val="1"/>
      <w:numFmt w:val="lowerLetter"/>
      <w:lvlText w:val="%5."/>
      <w:lvlJc w:val="left"/>
      <w:pPr>
        <w:ind w:left="4516" w:hanging="360"/>
      </w:pPr>
    </w:lvl>
    <w:lvl w:ilvl="5" w:tplc="580A001B" w:tentative="1">
      <w:start w:val="1"/>
      <w:numFmt w:val="lowerRoman"/>
      <w:lvlText w:val="%6."/>
      <w:lvlJc w:val="right"/>
      <w:pPr>
        <w:ind w:left="5236" w:hanging="180"/>
      </w:pPr>
    </w:lvl>
    <w:lvl w:ilvl="6" w:tplc="580A000F" w:tentative="1">
      <w:start w:val="1"/>
      <w:numFmt w:val="decimal"/>
      <w:lvlText w:val="%7."/>
      <w:lvlJc w:val="left"/>
      <w:pPr>
        <w:ind w:left="5956" w:hanging="360"/>
      </w:pPr>
    </w:lvl>
    <w:lvl w:ilvl="7" w:tplc="580A0019" w:tentative="1">
      <w:start w:val="1"/>
      <w:numFmt w:val="lowerLetter"/>
      <w:lvlText w:val="%8."/>
      <w:lvlJc w:val="left"/>
      <w:pPr>
        <w:ind w:left="6676" w:hanging="360"/>
      </w:pPr>
    </w:lvl>
    <w:lvl w:ilvl="8" w:tplc="580A001B" w:tentative="1">
      <w:start w:val="1"/>
      <w:numFmt w:val="lowerRoman"/>
      <w:lvlText w:val="%9."/>
      <w:lvlJc w:val="right"/>
      <w:pPr>
        <w:ind w:left="7396"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C1"/>
    <w:rsid w:val="00013729"/>
    <w:rsid w:val="0002266B"/>
    <w:rsid w:val="00055ED9"/>
    <w:rsid w:val="00067DCF"/>
    <w:rsid w:val="0007470B"/>
    <w:rsid w:val="00120C53"/>
    <w:rsid w:val="001236E4"/>
    <w:rsid w:val="001444D8"/>
    <w:rsid w:val="00175DB2"/>
    <w:rsid w:val="001863CB"/>
    <w:rsid w:val="001A2478"/>
    <w:rsid w:val="001E7B20"/>
    <w:rsid w:val="002823E8"/>
    <w:rsid w:val="002953CC"/>
    <w:rsid w:val="002D1D34"/>
    <w:rsid w:val="002E45A4"/>
    <w:rsid w:val="003609C8"/>
    <w:rsid w:val="00363181"/>
    <w:rsid w:val="00371518"/>
    <w:rsid w:val="0037253D"/>
    <w:rsid w:val="00385CD8"/>
    <w:rsid w:val="00391808"/>
    <w:rsid w:val="003A577B"/>
    <w:rsid w:val="003E5349"/>
    <w:rsid w:val="003E7927"/>
    <w:rsid w:val="00445A75"/>
    <w:rsid w:val="004C3D67"/>
    <w:rsid w:val="005422CD"/>
    <w:rsid w:val="005447E7"/>
    <w:rsid w:val="0056536A"/>
    <w:rsid w:val="00573F1A"/>
    <w:rsid w:val="005B3E13"/>
    <w:rsid w:val="005B6DEE"/>
    <w:rsid w:val="006463C0"/>
    <w:rsid w:val="00652550"/>
    <w:rsid w:val="0067123B"/>
    <w:rsid w:val="00690181"/>
    <w:rsid w:val="0069065D"/>
    <w:rsid w:val="006A4D3D"/>
    <w:rsid w:val="006C35F9"/>
    <w:rsid w:val="006C45EC"/>
    <w:rsid w:val="006D13D4"/>
    <w:rsid w:val="006E0B8C"/>
    <w:rsid w:val="00725CEB"/>
    <w:rsid w:val="00732EFD"/>
    <w:rsid w:val="00740182"/>
    <w:rsid w:val="00775D45"/>
    <w:rsid w:val="007953D0"/>
    <w:rsid w:val="007A4777"/>
    <w:rsid w:val="007B59F5"/>
    <w:rsid w:val="007B5BF1"/>
    <w:rsid w:val="00860A63"/>
    <w:rsid w:val="0088231E"/>
    <w:rsid w:val="0088415D"/>
    <w:rsid w:val="008C6301"/>
    <w:rsid w:val="008F6DB9"/>
    <w:rsid w:val="009077B1"/>
    <w:rsid w:val="009302D8"/>
    <w:rsid w:val="00966F95"/>
    <w:rsid w:val="009C6582"/>
    <w:rsid w:val="009D5CC1"/>
    <w:rsid w:val="009E0C48"/>
    <w:rsid w:val="009F256A"/>
    <w:rsid w:val="00AE2676"/>
    <w:rsid w:val="00AF2381"/>
    <w:rsid w:val="00B04F97"/>
    <w:rsid w:val="00BF593A"/>
    <w:rsid w:val="00C01119"/>
    <w:rsid w:val="00C36489"/>
    <w:rsid w:val="00C830A6"/>
    <w:rsid w:val="00CD2631"/>
    <w:rsid w:val="00D04319"/>
    <w:rsid w:val="00D441E9"/>
    <w:rsid w:val="00D661FD"/>
    <w:rsid w:val="00D83B9E"/>
    <w:rsid w:val="00D93E17"/>
    <w:rsid w:val="00DB01D4"/>
    <w:rsid w:val="00DC2FE5"/>
    <w:rsid w:val="00DC5B65"/>
    <w:rsid w:val="00DE22A1"/>
    <w:rsid w:val="00DF0860"/>
    <w:rsid w:val="00DF3FF3"/>
    <w:rsid w:val="00E11B72"/>
    <w:rsid w:val="00E31381"/>
    <w:rsid w:val="00E33DA4"/>
    <w:rsid w:val="00E43DA4"/>
    <w:rsid w:val="00E53857"/>
    <w:rsid w:val="00E674D7"/>
    <w:rsid w:val="00ED56E5"/>
    <w:rsid w:val="00F10D54"/>
    <w:rsid w:val="00F32EC1"/>
    <w:rsid w:val="00F53024"/>
    <w:rsid w:val="00F562E1"/>
    <w:rsid w:val="00F744A1"/>
    <w:rsid w:val="00FF76D2"/>
    <w:rsid w:val="0745B32D"/>
    <w:rsid w:val="07CF0993"/>
    <w:rsid w:val="0A031213"/>
    <w:rsid w:val="0B0445F9"/>
    <w:rsid w:val="0CE247A1"/>
    <w:rsid w:val="0DB4F4B1"/>
    <w:rsid w:val="133860C8"/>
    <w:rsid w:val="160E2AC8"/>
    <w:rsid w:val="16514A82"/>
    <w:rsid w:val="1B24BBA5"/>
    <w:rsid w:val="1DDB65BA"/>
    <w:rsid w:val="23800F9B"/>
    <w:rsid w:val="24860F84"/>
    <w:rsid w:val="24A1D6D2"/>
    <w:rsid w:val="25A0B72B"/>
    <w:rsid w:val="25F988A0"/>
    <w:rsid w:val="28BDBBD2"/>
    <w:rsid w:val="29075F32"/>
    <w:rsid w:val="2AA936DC"/>
    <w:rsid w:val="2AE409EE"/>
    <w:rsid w:val="2AF55108"/>
    <w:rsid w:val="2C8273EA"/>
    <w:rsid w:val="33CD6B7B"/>
    <w:rsid w:val="3636D4BF"/>
    <w:rsid w:val="39E5FE3B"/>
    <w:rsid w:val="3B4F3CD1"/>
    <w:rsid w:val="3D89CD4F"/>
    <w:rsid w:val="3D9F5057"/>
    <w:rsid w:val="3F7CDAC3"/>
    <w:rsid w:val="41F0C003"/>
    <w:rsid w:val="43439A1A"/>
    <w:rsid w:val="47982FB6"/>
    <w:rsid w:val="4B8E07FF"/>
    <w:rsid w:val="4D9B781D"/>
    <w:rsid w:val="4DE6A429"/>
    <w:rsid w:val="55EA5201"/>
    <w:rsid w:val="5885B364"/>
    <w:rsid w:val="5B96A821"/>
    <w:rsid w:val="5DF8220A"/>
    <w:rsid w:val="5EA55EDA"/>
    <w:rsid w:val="5FA8EAF0"/>
    <w:rsid w:val="5FD80178"/>
    <w:rsid w:val="62E08BB2"/>
    <w:rsid w:val="63A4675B"/>
    <w:rsid w:val="647C5C13"/>
    <w:rsid w:val="66DDD2E8"/>
    <w:rsid w:val="6F98DFC1"/>
    <w:rsid w:val="75E92C1C"/>
    <w:rsid w:val="7601EA34"/>
    <w:rsid w:val="7816D2FD"/>
    <w:rsid w:val="7A1A58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E0C4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s-419" w:eastAsia="es-419"/>
    </w:rPr>
  </w:style>
  <w:style w:type="paragraph" w:styleId="Ttulo2">
    <w:name w:val="heading 2"/>
    <w:basedOn w:val="Normal"/>
    <w:next w:val="Normal"/>
    <w:link w:val="Ttulo2Car"/>
    <w:uiPriority w:val="9"/>
    <w:semiHidden/>
    <w:unhideWhenUsed/>
    <w:qFormat/>
    <w:rsid w:val="009E0C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EC1"/>
    <w:pPr>
      <w:ind w:left="720"/>
      <w:contextualSpacing/>
    </w:pPr>
  </w:style>
  <w:style w:type="character" w:styleId="Hipervnculo">
    <w:name w:val="Hyperlink"/>
    <w:basedOn w:val="Fuentedeprrafopredeter"/>
    <w:uiPriority w:val="99"/>
    <w:semiHidden/>
    <w:unhideWhenUsed/>
    <w:rsid w:val="005447E7"/>
    <w:rPr>
      <w:color w:val="0000FF"/>
      <w:u w:val="single"/>
    </w:rPr>
  </w:style>
  <w:style w:type="character" w:customStyle="1" w:styleId="textnegrita">
    <w:name w:val="textnegrita"/>
    <w:basedOn w:val="Fuentedeprrafopredeter"/>
    <w:rsid w:val="005447E7"/>
  </w:style>
  <w:style w:type="paragraph" w:styleId="NormalWeb">
    <w:name w:val="Normal (Web)"/>
    <w:basedOn w:val="Normal"/>
    <w:uiPriority w:val="99"/>
    <w:unhideWhenUsed/>
    <w:rsid w:val="009C6582"/>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character" w:styleId="Textoennegrita">
    <w:name w:val="Strong"/>
    <w:basedOn w:val="Fuentedeprrafopredeter"/>
    <w:uiPriority w:val="22"/>
    <w:qFormat/>
    <w:rsid w:val="009C6582"/>
    <w:rPr>
      <w:b/>
      <w:bCs/>
    </w:rPr>
  </w:style>
  <w:style w:type="character" w:styleId="nfasis">
    <w:name w:val="Emphasis"/>
    <w:basedOn w:val="Fuentedeprrafopredeter"/>
    <w:uiPriority w:val="20"/>
    <w:qFormat/>
    <w:rsid w:val="009C6582"/>
    <w:rPr>
      <w:i/>
      <w:iCs/>
    </w:rPr>
  </w:style>
  <w:style w:type="paragraph" w:styleId="Textonotapie">
    <w:name w:val="footnote text"/>
    <w:basedOn w:val="Normal"/>
    <w:link w:val="TextonotapieCar"/>
    <w:uiPriority w:val="99"/>
    <w:semiHidden/>
    <w:unhideWhenUsed/>
    <w:rsid w:val="00DC2FE5"/>
    <w:pPr>
      <w:spacing w:line="240" w:lineRule="auto"/>
    </w:pPr>
    <w:rPr>
      <w:sz w:val="20"/>
      <w:szCs w:val="20"/>
    </w:rPr>
  </w:style>
  <w:style w:type="character" w:customStyle="1" w:styleId="TextonotapieCar">
    <w:name w:val="Texto nota pie Car"/>
    <w:basedOn w:val="Fuentedeprrafopredeter"/>
    <w:link w:val="Textonotapie"/>
    <w:uiPriority w:val="99"/>
    <w:semiHidden/>
    <w:rsid w:val="00DC2FE5"/>
    <w:rPr>
      <w:sz w:val="20"/>
      <w:szCs w:val="20"/>
    </w:rPr>
  </w:style>
  <w:style w:type="character" w:styleId="Refdenotaalpie">
    <w:name w:val="footnote reference"/>
    <w:basedOn w:val="Fuentedeprrafopredeter"/>
    <w:uiPriority w:val="99"/>
    <w:semiHidden/>
    <w:unhideWhenUsed/>
    <w:rsid w:val="00DC2FE5"/>
    <w:rPr>
      <w:vertAlign w:val="superscript"/>
    </w:rPr>
  </w:style>
  <w:style w:type="character" w:customStyle="1" w:styleId="Ttulo1Car">
    <w:name w:val="Título 1 Car"/>
    <w:basedOn w:val="Fuentedeprrafopredeter"/>
    <w:link w:val="Ttulo1"/>
    <w:uiPriority w:val="9"/>
    <w:rsid w:val="009E0C48"/>
    <w:rPr>
      <w:rFonts w:ascii="Times New Roman" w:eastAsia="Times New Roman" w:hAnsi="Times New Roman" w:cs="Times New Roman"/>
      <w:b/>
      <w:bCs/>
      <w:kern w:val="36"/>
      <w:sz w:val="48"/>
      <w:szCs w:val="48"/>
      <w:lang w:val="es-419" w:eastAsia="es-419"/>
    </w:rPr>
  </w:style>
  <w:style w:type="character" w:customStyle="1" w:styleId="sep">
    <w:name w:val="sep"/>
    <w:basedOn w:val="Fuentedeprrafopredeter"/>
    <w:rsid w:val="009E0C48"/>
  </w:style>
  <w:style w:type="character" w:customStyle="1" w:styleId="author">
    <w:name w:val="author"/>
    <w:basedOn w:val="Fuentedeprrafopredeter"/>
    <w:rsid w:val="009E0C48"/>
  </w:style>
  <w:style w:type="character" w:customStyle="1" w:styleId="category">
    <w:name w:val="category"/>
    <w:basedOn w:val="Fuentedeprrafopredeter"/>
    <w:rsid w:val="009E0C48"/>
  </w:style>
  <w:style w:type="paragraph" w:customStyle="1" w:styleId="contficha01">
    <w:name w:val="contficha01"/>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character" w:customStyle="1" w:styleId="obfuscate">
    <w:name w:val="obfuscate"/>
    <w:basedOn w:val="Fuentedeprrafopredeter"/>
    <w:rsid w:val="009E0C48"/>
  </w:style>
  <w:style w:type="paragraph" w:customStyle="1" w:styleId="contficha02">
    <w:name w:val="contficha02"/>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character" w:customStyle="1" w:styleId="Ttulo2Car">
    <w:name w:val="Título 2 Car"/>
    <w:basedOn w:val="Fuentedeprrafopredeter"/>
    <w:link w:val="Ttulo2"/>
    <w:uiPriority w:val="9"/>
    <w:semiHidden/>
    <w:rsid w:val="009E0C48"/>
    <w:rPr>
      <w:rFonts w:asciiTheme="majorHAnsi" w:eastAsiaTheme="majorEastAsia" w:hAnsiTheme="majorHAnsi" w:cstheme="majorBidi"/>
      <w:color w:val="2F5496" w:themeColor="accent1" w:themeShade="BF"/>
      <w:sz w:val="26"/>
      <w:szCs w:val="26"/>
    </w:rPr>
  </w:style>
  <w:style w:type="paragraph" w:customStyle="1" w:styleId="nueve">
    <w:name w:val="nueve"/>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paragraph" w:customStyle="1" w:styleId="sangria">
    <w:name w:val="sangria"/>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paragraph" w:styleId="Sinespaciado">
    <w:name w:val="No Spacing"/>
    <w:link w:val="SinespaciadoCar"/>
    <w:uiPriority w:val="1"/>
    <w:qFormat/>
    <w:rsid w:val="009D5CC1"/>
    <w:pPr>
      <w:spacing w:line="240" w:lineRule="auto"/>
      <w:jc w:val="left"/>
    </w:pPr>
    <w:rPr>
      <w:rFonts w:ascii="Times New Roman" w:eastAsia="Times New Roman" w:hAnsi="Times New Roman" w:cs="Times New Roman"/>
      <w:szCs w:val="24"/>
    </w:rPr>
  </w:style>
  <w:style w:type="character" w:customStyle="1" w:styleId="SinespaciadoCar">
    <w:name w:val="Sin espaciado Car"/>
    <w:link w:val="Sinespaciado"/>
    <w:uiPriority w:val="1"/>
    <w:locked/>
    <w:rsid w:val="00DE22A1"/>
    <w:rPr>
      <w:rFonts w:ascii="Times New Roman" w:eastAsia="Times New Roman" w:hAnsi="Times New Roman" w:cs="Times New Roman"/>
      <w:szCs w:val="24"/>
    </w:rPr>
  </w:style>
  <w:style w:type="character" w:styleId="Refdecomentario">
    <w:name w:val="annotation reference"/>
    <w:basedOn w:val="Fuentedeprrafopredeter"/>
    <w:uiPriority w:val="99"/>
    <w:semiHidden/>
    <w:unhideWhenUsed/>
    <w:rsid w:val="002823E8"/>
    <w:rPr>
      <w:sz w:val="16"/>
      <w:szCs w:val="16"/>
    </w:rPr>
  </w:style>
  <w:style w:type="paragraph" w:styleId="Textocomentario">
    <w:name w:val="annotation text"/>
    <w:basedOn w:val="Normal"/>
    <w:link w:val="TextocomentarioCar"/>
    <w:uiPriority w:val="99"/>
    <w:semiHidden/>
    <w:unhideWhenUsed/>
    <w:rsid w:val="002823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3E8"/>
    <w:rPr>
      <w:sz w:val="20"/>
      <w:szCs w:val="20"/>
    </w:rPr>
  </w:style>
  <w:style w:type="paragraph" w:styleId="Asuntodelcomentario">
    <w:name w:val="annotation subject"/>
    <w:basedOn w:val="Textocomentario"/>
    <w:next w:val="Textocomentario"/>
    <w:link w:val="AsuntodelcomentarioCar"/>
    <w:uiPriority w:val="99"/>
    <w:semiHidden/>
    <w:unhideWhenUsed/>
    <w:rsid w:val="002823E8"/>
    <w:rPr>
      <w:b/>
      <w:bCs/>
    </w:rPr>
  </w:style>
  <w:style w:type="character" w:customStyle="1" w:styleId="AsuntodelcomentarioCar">
    <w:name w:val="Asunto del comentario Car"/>
    <w:basedOn w:val="TextocomentarioCar"/>
    <w:link w:val="Asuntodelcomentario"/>
    <w:uiPriority w:val="99"/>
    <w:semiHidden/>
    <w:rsid w:val="002823E8"/>
    <w:rPr>
      <w:b/>
      <w:bCs/>
      <w:sz w:val="20"/>
      <w:szCs w:val="20"/>
    </w:rPr>
  </w:style>
  <w:style w:type="paragraph" w:styleId="Textodeglobo">
    <w:name w:val="Balloon Text"/>
    <w:basedOn w:val="Normal"/>
    <w:link w:val="TextodegloboCar"/>
    <w:uiPriority w:val="99"/>
    <w:semiHidden/>
    <w:unhideWhenUsed/>
    <w:rsid w:val="002823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3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E0C4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s-419" w:eastAsia="es-419"/>
    </w:rPr>
  </w:style>
  <w:style w:type="paragraph" w:styleId="Ttulo2">
    <w:name w:val="heading 2"/>
    <w:basedOn w:val="Normal"/>
    <w:next w:val="Normal"/>
    <w:link w:val="Ttulo2Car"/>
    <w:uiPriority w:val="9"/>
    <w:semiHidden/>
    <w:unhideWhenUsed/>
    <w:qFormat/>
    <w:rsid w:val="009E0C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2EC1"/>
    <w:pPr>
      <w:ind w:left="720"/>
      <w:contextualSpacing/>
    </w:pPr>
  </w:style>
  <w:style w:type="character" w:styleId="Hipervnculo">
    <w:name w:val="Hyperlink"/>
    <w:basedOn w:val="Fuentedeprrafopredeter"/>
    <w:uiPriority w:val="99"/>
    <w:semiHidden/>
    <w:unhideWhenUsed/>
    <w:rsid w:val="005447E7"/>
    <w:rPr>
      <w:color w:val="0000FF"/>
      <w:u w:val="single"/>
    </w:rPr>
  </w:style>
  <w:style w:type="character" w:customStyle="1" w:styleId="textnegrita">
    <w:name w:val="textnegrita"/>
    <w:basedOn w:val="Fuentedeprrafopredeter"/>
    <w:rsid w:val="005447E7"/>
  </w:style>
  <w:style w:type="paragraph" w:styleId="NormalWeb">
    <w:name w:val="Normal (Web)"/>
    <w:basedOn w:val="Normal"/>
    <w:uiPriority w:val="99"/>
    <w:unhideWhenUsed/>
    <w:rsid w:val="009C6582"/>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character" w:styleId="Textoennegrita">
    <w:name w:val="Strong"/>
    <w:basedOn w:val="Fuentedeprrafopredeter"/>
    <w:uiPriority w:val="22"/>
    <w:qFormat/>
    <w:rsid w:val="009C6582"/>
    <w:rPr>
      <w:b/>
      <w:bCs/>
    </w:rPr>
  </w:style>
  <w:style w:type="character" w:styleId="nfasis">
    <w:name w:val="Emphasis"/>
    <w:basedOn w:val="Fuentedeprrafopredeter"/>
    <w:uiPriority w:val="20"/>
    <w:qFormat/>
    <w:rsid w:val="009C6582"/>
    <w:rPr>
      <w:i/>
      <w:iCs/>
    </w:rPr>
  </w:style>
  <w:style w:type="paragraph" w:styleId="Textonotapie">
    <w:name w:val="footnote text"/>
    <w:basedOn w:val="Normal"/>
    <w:link w:val="TextonotapieCar"/>
    <w:uiPriority w:val="99"/>
    <w:semiHidden/>
    <w:unhideWhenUsed/>
    <w:rsid w:val="00DC2FE5"/>
    <w:pPr>
      <w:spacing w:line="240" w:lineRule="auto"/>
    </w:pPr>
    <w:rPr>
      <w:sz w:val="20"/>
      <w:szCs w:val="20"/>
    </w:rPr>
  </w:style>
  <w:style w:type="character" w:customStyle="1" w:styleId="TextonotapieCar">
    <w:name w:val="Texto nota pie Car"/>
    <w:basedOn w:val="Fuentedeprrafopredeter"/>
    <w:link w:val="Textonotapie"/>
    <w:uiPriority w:val="99"/>
    <w:semiHidden/>
    <w:rsid w:val="00DC2FE5"/>
    <w:rPr>
      <w:sz w:val="20"/>
      <w:szCs w:val="20"/>
    </w:rPr>
  </w:style>
  <w:style w:type="character" w:styleId="Refdenotaalpie">
    <w:name w:val="footnote reference"/>
    <w:basedOn w:val="Fuentedeprrafopredeter"/>
    <w:uiPriority w:val="99"/>
    <w:semiHidden/>
    <w:unhideWhenUsed/>
    <w:rsid w:val="00DC2FE5"/>
    <w:rPr>
      <w:vertAlign w:val="superscript"/>
    </w:rPr>
  </w:style>
  <w:style w:type="character" w:customStyle="1" w:styleId="Ttulo1Car">
    <w:name w:val="Título 1 Car"/>
    <w:basedOn w:val="Fuentedeprrafopredeter"/>
    <w:link w:val="Ttulo1"/>
    <w:uiPriority w:val="9"/>
    <w:rsid w:val="009E0C48"/>
    <w:rPr>
      <w:rFonts w:ascii="Times New Roman" w:eastAsia="Times New Roman" w:hAnsi="Times New Roman" w:cs="Times New Roman"/>
      <w:b/>
      <w:bCs/>
      <w:kern w:val="36"/>
      <w:sz w:val="48"/>
      <w:szCs w:val="48"/>
      <w:lang w:val="es-419" w:eastAsia="es-419"/>
    </w:rPr>
  </w:style>
  <w:style w:type="character" w:customStyle="1" w:styleId="sep">
    <w:name w:val="sep"/>
    <w:basedOn w:val="Fuentedeprrafopredeter"/>
    <w:rsid w:val="009E0C48"/>
  </w:style>
  <w:style w:type="character" w:customStyle="1" w:styleId="author">
    <w:name w:val="author"/>
    <w:basedOn w:val="Fuentedeprrafopredeter"/>
    <w:rsid w:val="009E0C48"/>
  </w:style>
  <w:style w:type="character" w:customStyle="1" w:styleId="category">
    <w:name w:val="category"/>
    <w:basedOn w:val="Fuentedeprrafopredeter"/>
    <w:rsid w:val="009E0C48"/>
  </w:style>
  <w:style w:type="paragraph" w:customStyle="1" w:styleId="contficha01">
    <w:name w:val="contficha01"/>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character" w:customStyle="1" w:styleId="obfuscate">
    <w:name w:val="obfuscate"/>
    <w:basedOn w:val="Fuentedeprrafopredeter"/>
    <w:rsid w:val="009E0C48"/>
  </w:style>
  <w:style w:type="paragraph" w:customStyle="1" w:styleId="contficha02">
    <w:name w:val="contficha02"/>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character" w:customStyle="1" w:styleId="Ttulo2Car">
    <w:name w:val="Título 2 Car"/>
    <w:basedOn w:val="Fuentedeprrafopredeter"/>
    <w:link w:val="Ttulo2"/>
    <w:uiPriority w:val="9"/>
    <w:semiHidden/>
    <w:rsid w:val="009E0C48"/>
    <w:rPr>
      <w:rFonts w:asciiTheme="majorHAnsi" w:eastAsiaTheme="majorEastAsia" w:hAnsiTheme="majorHAnsi" w:cstheme="majorBidi"/>
      <w:color w:val="2F5496" w:themeColor="accent1" w:themeShade="BF"/>
      <w:sz w:val="26"/>
      <w:szCs w:val="26"/>
    </w:rPr>
  </w:style>
  <w:style w:type="paragraph" w:customStyle="1" w:styleId="nueve">
    <w:name w:val="nueve"/>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paragraph" w:customStyle="1" w:styleId="sangria">
    <w:name w:val="sangria"/>
    <w:basedOn w:val="Normal"/>
    <w:rsid w:val="009E0C48"/>
    <w:pPr>
      <w:spacing w:before="100" w:beforeAutospacing="1" w:after="100" w:afterAutospacing="1" w:line="240" w:lineRule="auto"/>
      <w:jc w:val="left"/>
    </w:pPr>
    <w:rPr>
      <w:rFonts w:ascii="Times New Roman" w:eastAsia="Times New Roman" w:hAnsi="Times New Roman" w:cs="Times New Roman"/>
      <w:szCs w:val="24"/>
      <w:lang w:val="es-419" w:eastAsia="es-419"/>
    </w:rPr>
  </w:style>
  <w:style w:type="paragraph" w:styleId="Sinespaciado">
    <w:name w:val="No Spacing"/>
    <w:link w:val="SinespaciadoCar"/>
    <w:uiPriority w:val="1"/>
    <w:qFormat/>
    <w:rsid w:val="009D5CC1"/>
    <w:pPr>
      <w:spacing w:line="240" w:lineRule="auto"/>
      <w:jc w:val="left"/>
    </w:pPr>
    <w:rPr>
      <w:rFonts w:ascii="Times New Roman" w:eastAsia="Times New Roman" w:hAnsi="Times New Roman" w:cs="Times New Roman"/>
      <w:szCs w:val="24"/>
    </w:rPr>
  </w:style>
  <w:style w:type="character" w:customStyle="1" w:styleId="SinespaciadoCar">
    <w:name w:val="Sin espaciado Car"/>
    <w:link w:val="Sinespaciado"/>
    <w:uiPriority w:val="1"/>
    <w:locked/>
    <w:rsid w:val="00DE22A1"/>
    <w:rPr>
      <w:rFonts w:ascii="Times New Roman" w:eastAsia="Times New Roman" w:hAnsi="Times New Roman" w:cs="Times New Roman"/>
      <w:szCs w:val="24"/>
    </w:rPr>
  </w:style>
  <w:style w:type="character" w:styleId="Refdecomentario">
    <w:name w:val="annotation reference"/>
    <w:basedOn w:val="Fuentedeprrafopredeter"/>
    <w:uiPriority w:val="99"/>
    <w:semiHidden/>
    <w:unhideWhenUsed/>
    <w:rsid w:val="002823E8"/>
    <w:rPr>
      <w:sz w:val="16"/>
      <w:szCs w:val="16"/>
    </w:rPr>
  </w:style>
  <w:style w:type="paragraph" w:styleId="Textocomentario">
    <w:name w:val="annotation text"/>
    <w:basedOn w:val="Normal"/>
    <w:link w:val="TextocomentarioCar"/>
    <w:uiPriority w:val="99"/>
    <w:semiHidden/>
    <w:unhideWhenUsed/>
    <w:rsid w:val="002823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3E8"/>
    <w:rPr>
      <w:sz w:val="20"/>
      <w:szCs w:val="20"/>
    </w:rPr>
  </w:style>
  <w:style w:type="paragraph" w:styleId="Asuntodelcomentario">
    <w:name w:val="annotation subject"/>
    <w:basedOn w:val="Textocomentario"/>
    <w:next w:val="Textocomentario"/>
    <w:link w:val="AsuntodelcomentarioCar"/>
    <w:uiPriority w:val="99"/>
    <w:semiHidden/>
    <w:unhideWhenUsed/>
    <w:rsid w:val="002823E8"/>
    <w:rPr>
      <w:b/>
      <w:bCs/>
    </w:rPr>
  </w:style>
  <w:style w:type="character" w:customStyle="1" w:styleId="AsuntodelcomentarioCar">
    <w:name w:val="Asunto del comentario Car"/>
    <w:basedOn w:val="TextocomentarioCar"/>
    <w:link w:val="Asuntodelcomentario"/>
    <w:uiPriority w:val="99"/>
    <w:semiHidden/>
    <w:rsid w:val="002823E8"/>
    <w:rPr>
      <w:b/>
      <w:bCs/>
      <w:sz w:val="20"/>
      <w:szCs w:val="20"/>
    </w:rPr>
  </w:style>
  <w:style w:type="paragraph" w:styleId="Textodeglobo">
    <w:name w:val="Balloon Text"/>
    <w:basedOn w:val="Normal"/>
    <w:link w:val="TextodegloboCar"/>
    <w:uiPriority w:val="99"/>
    <w:semiHidden/>
    <w:unhideWhenUsed/>
    <w:rsid w:val="002823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622">
      <w:bodyDiv w:val="1"/>
      <w:marLeft w:val="0"/>
      <w:marRight w:val="0"/>
      <w:marTop w:val="0"/>
      <w:marBottom w:val="0"/>
      <w:divBdr>
        <w:top w:val="none" w:sz="0" w:space="0" w:color="auto"/>
        <w:left w:val="none" w:sz="0" w:space="0" w:color="auto"/>
        <w:bottom w:val="none" w:sz="0" w:space="0" w:color="auto"/>
        <w:right w:val="none" w:sz="0" w:space="0" w:color="auto"/>
      </w:divBdr>
      <w:divsChild>
        <w:div w:id="1884440265">
          <w:marLeft w:val="0"/>
          <w:marRight w:val="0"/>
          <w:marTop w:val="0"/>
          <w:marBottom w:val="0"/>
          <w:divBdr>
            <w:top w:val="none" w:sz="0" w:space="0" w:color="auto"/>
            <w:left w:val="none" w:sz="0" w:space="0" w:color="auto"/>
            <w:bottom w:val="none" w:sz="0" w:space="0" w:color="auto"/>
            <w:right w:val="none" w:sz="0" w:space="0" w:color="auto"/>
          </w:divBdr>
          <w:divsChild>
            <w:div w:id="394163811">
              <w:marLeft w:val="0"/>
              <w:marRight w:val="0"/>
              <w:marTop w:val="0"/>
              <w:marBottom w:val="0"/>
              <w:divBdr>
                <w:top w:val="none" w:sz="0" w:space="0" w:color="auto"/>
                <w:left w:val="none" w:sz="0" w:space="0" w:color="auto"/>
                <w:bottom w:val="none" w:sz="0" w:space="0" w:color="auto"/>
                <w:right w:val="none" w:sz="0" w:space="0" w:color="auto"/>
              </w:divBdr>
            </w:div>
          </w:divsChild>
        </w:div>
        <w:div w:id="1771928615">
          <w:marLeft w:val="0"/>
          <w:marRight w:val="0"/>
          <w:marTop w:val="0"/>
          <w:marBottom w:val="0"/>
          <w:divBdr>
            <w:top w:val="none" w:sz="0" w:space="0" w:color="auto"/>
            <w:left w:val="none" w:sz="0" w:space="0" w:color="auto"/>
            <w:bottom w:val="none" w:sz="0" w:space="0" w:color="auto"/>
            <w:right w:val="none" w:sz="0" w:space="0" w:color="auto"/>
          </w:divBdr>
          <w:divsChild>
            <w:div w:id="1814447432">
              <w:marLeft w:val="0"/>
              <w:marRight w:val="0"/>
              <w:marTop w:val="0"/>
              <w:marBottom w:val="0"/>
              <w:divBdr>
                <w:top w:val="single" w:sz="6" w:space="4" w:color="DDDDDD"/>
                <w:left w:val="single" w:sz="6" w:space="0" w:color="DDDDDD"/>
                <w:bottom w:val="single" w:sz="6" w:space="4" w:color="DDDDDD"/>
                <w:right w:val="single" w:sz="12" w:space="0" w:color="DDDDDD"/>
              </w:divBdr>
            </w:div>
          </w:divsChild>
        </w:div>
      </w:divsChild>
    </w:div>
    <w:div w:id="249051507">
      <w:bodyDiv w:val="1"/>
      <w:marLeft w:val="0"/>
      <w:marRight w:val="0"/>
      <w:marTop w:val="0"/>
      <w:marBottom w:val="0"/>
      <w:divBdr>
        <w:top w:val="none" w:sz="0" w:space="0" w:color="auto"/>
        <w:left w:val="none" w:sz="0" w:space="0" w:color="auto"/>
        <w:bottom w:val="none" w:sz="0" w:space="0" w:color="auto"/>
        <w:right w:val="none" w:sz="0" w:space="0" w:color="auto"/>
      </w:divBdr>
      <w:divsChild>
        <w:div w:id="2052530042">
          <w:marLeft w:val="30"/>
          <w:marRight w:val="30"/>
          <w:marTop w:val="75"/>
          <w:marBottom w:val="225"/>
          <w:divBdr>
            <w:top w:val="none" w:sz="0" w:space="0" w:color="auto"/>
            <w:left w:val="none" w:sz="0" w:space="0" w:color="auto"/>
            <w:bottom w:val="none" w:sz="0" w:space="0" w:color="auto"/>
            <w:right w:val="none" w:sz="0" w:space="0" w:color="auto"/>
          </w:divBdr>
        </w:div>
        <w:div w:id="538275554">
          <w:marLeft w:val="0"/>
          <w:marRight w:val="0"/>
          <w:marTop w:val="0"/>
          <w:marBottom w:val="0"/>
          <w:divBdr>
            <w:top w:val="none" w:sz="0" w:space="0" w:color="auto"/>
            <w:left w:val="none" w:sz="0" w:space="0" w:color="auto"/>
            <w:bottom w:val="none" w:sz="0" w:space="0" w:color="auto"/>
            <w:right w:val="none" w:sz="0" w:space="0" w:color="auto"/>
          </w:divBdr>
        </w:div>
      </w:divsChild>
    </w:div>
    <w:div w:id="377631375">
      <w:bodyDiv w:val="1"/>
      <w:marLeft w:val="0"/>
      <w:marRight w:val="0"/>
      <w:marTop w:val="0"/>
      <w:marBottom w:val="0"/>
      <w:divBdr>
        <w:top w:val="none" w:sz="0" w:space="0" w:color="auto"/>
        <w:left w:val="none" w:sz="0" w:space="0" w:color="auto"/>
        <w:bottom w:val="none" w:sz="0" w:space="0" w:color="auto"/>
        <w:right w:val="none" w:sz="0" w:space="0" w:color="auto"/>
      </w:divBdr>
    </w:div>
    <w:div w:id="502279962">
      <w:bodyDiv w:val="1"/>
      <w:marLeft w:val="0"/>
      <w:marRight w:val="0"/>
      <w:marTop w:val="0"/>
      <w:marBottom w:val="0"/>
      <w:divBdr>
        <w:top w:val="none" w:sz="0" w:space="0" w:color="auto"/>
        <w:left w:val="none" w:sz="0" w:space="0" w:color="auto"/>
        <w:bottom w:val="none" w:sz="0" w:space="0" w:color="auto"/>
        <w:right w:val="none" w:sz="0" w:space="0" w:color="auto"/>
      </w:divBdr>
      <w:divsChild>
        <w:div w:id="1281641865">
          <w:blockQuote w:val="1"/>
          <w:marLeft w:val="0"/>
          <w:marRight w:val="0"/>
          <w:marTop w:val="0"/>
          <w:marBottom w:val="300"/>
          <w:divBdr>
            <w:top w:val="none" w:sz="0" w:space="0" w:color="auto"/>
            <w:left w:val="none" w:sz="0" w:space="0" w:color="auto"/>
            <w:bottom w:val="none" w:sz="0" w:space="0" w:color="auto"/>
            <w:right w:val="none" w:sz="0" w:space="0" w:color="auto"/>
          </w:divBdr>
        </w:div>
        <w:div w:id="742066861">
          <w:marLeft w:val="225"/>
          <w:marRight w:val="75"/>
          <w:marTop w:val="0"/>
          <w:marBottom w:val="0"/>
          <w:divBdr>
            <w:top w:val="none" w:sz="0" w:space="0" w:color="auto"/>
            <w:left w:val="none" w:sz="0" w:space="0" w:color="auto"/>
            <w:bottom w:val="none" w:sz="0" w:space="0" w:color="auto"/>
            <w:right w:val="none" w:sz="0" w:space="0" w:color="auto"/>
          </w:divBdr>
        </w:div>
      </w:divsChild>
    </w:div>
    <w:div w:id="519510686">
      <w:bodyDiv w:val="1"/>
      <w:marLeft w:val="0"/>
      <w:marRight w:val="0"/>
      <w:marTop w:val="0"/>
      <w:marBottom w:val="0"/>
      <w:divBdr>
        <w:top w:val="none" w:sz="0" w:space="0" w:color="auto"/>
        <w:left w:val="none" w:sz="0" w:space="0" w:color="auto"/>
        <w:bottom w:val="none" w:sz="0" w:space="0" w:color="auto"/>
        <w:right w:val="none" w:sz="0" w:space="0" w:color="auto"/>
      </w:divBdr>
    </w:div>
    <w:div w:id="589048351">
      <w:bodyDiv w:val="1"/>
      <w:marLeft w:val="0"/>
      <w:marRight w:val="0"/>
      <w:marTop w:val="0"/>
      <w:marBottom w:val="0"/>
      <w:divBdr>
        <w:top w:val="none" w:sz="0" w:space="0" w:color="auto"/>
        <w:left w:val="none" w:sz="0" w:space="0" w:color="auto"/>
        <w:bottom w:val="none" w:sz="0" w:space="0" w:color="auto"/>
        <w:right w:val="none" w:sz="0" w:space="0" w:color="auto"/>
      </w:divBdr>
    </w:div>
    <w:div w:id="1311324213">
      <w:bodyDiv w:val="1"/>
      <w:marLeft w:val="0"/>
      <w:marRight w:val="0"/>
      <w:marTop w:val="0"/>
      <w:marBottom w:val="0"/>
      <w:divBdr>
        <w:top w:val="none" w:sz="0" w:space="0" w:color="auto"/>
        <w:left w:val="none" w:sz="0" w:space="0" w:color="auto"/>
        <w:bottom w:val="none" w:sz="0" w:space="0" w:color="auto"/>
        <w:right w:val="none" w:sz="0" w:space="0" w:color="auto"/>
      </w:divBdr>
    </w:div>
    <w:div w:id="1419715479">
      <w:bodyDiv w:val="1"/>
      <w:marLeft w:val="0"/>
      <w:marRight w:val="0"/>
      <w:marTop w:val="0"/>
      <w:marBottom w:val="0"/>
      <w:divBdr>
        <w:top w:val="none" w:sz="0" w:space="0" w:color="auto"/>
        <w:left w:val="none" w:sz="0" w:space="0" w:color="auto"/>
        <w:bottom w:val="none" w:sz="0" w:space="0" w:color="auto"/>
        <w:right w:val="none" w:sz="0" w:space="0" w:color="auto"/>
      </w:divBdr>
    </w:div>
    <w:div w:id="1556699808">
      <w:bodyDiv w:val="1"/>
      <w:marLeft w:val="0"/>
      <w:marRight w:val="0"/>
      <w:marTop w:val="0"/>
      <w:marBottom w:val="0"/>
      <w:divBdr>
        <w:top w:val="none" w:sz="0" w:space="0" w:color="auto"/>
        <w:left w:val="none" w:sz="0" w:space="0" w:color="auto"/>
        <w:bottom w:val="none" w:sz="0" w:space="0" w:color="auto"/>
        <w:right w:val="none" w:sz="0" w:space="0" w:color="auto"/>
      </w:divBdr>
    </w:div>
    <w:div w:id="1907572239">
      <w:bodyDiv w:val="1"/>
      <w:marLeft w:val="0"/>
      <w:marRight w:val="0"/>
      <w:marTop w:val="0"/>
      <w:marBottom w:val="0"/>
      <w:divBdr>
        <w:top w:val="none" w:sz="0" w:space="0" w:color="auto"/>
        <w:left w:val="none" w:sz="0" w:space="0" w:color="auto"/>
        <w:bottom w:val="none" w:sz="0" w:space="0" w:color="auto"/>
        <w:right w:val="none" w:sz="0" w:space="0" w:color="auto"/>
      </w:divBdr>
      <w:divsChild>
        <w:div w:id="929508557">
          <w:marLeft w:val="0"/>
          <w:marRight w:val="0"/>
          <w:marTop w:val="0"/>
          <w:marBottom w:val="0"/>
          <w:divBdr>
            <w:top w:val="none" w:sz="0" w:space="0" w:color="auto"/>
            <w:left w:val="none" w:sz="0" w:space="0" w:color="auto"/>
            <w:bottom w:val="none" w:sz="0" w:space="0" w:color="auto"/>
            <w:right w:val="none" w:sz="0" w:space="0" w:color="auto"/>
          </w:divBdr>
        </w:div>
        <w:div w:id="1248156434">
          <w:marLeft w:val="0"/>
          <w:marRight w:val="0"/>
          <w:marTop w:val="0"/>
          <w:marBottom w:val="0"/>
          <w:divBdr>
            <w:top w:val="none" w:sz="0" w:space="0" w:color="auto"/>
            <w:left w:val="none" w:sz="0" w:space="0" w:color="auto"/>
            <w:bottom w:val="none" w:sz="0" w:space="0" w:color="auto"/>
            <w:right w:val="none" w:sz="0" w:space="0" w:color="auto"/>
          </w:divBdr>
        </w:div>
      </w:divsChild>
    </w:div>
    <w:div w:id="2081635639">
      <w:bodyDiv w:val="1"/>
      <w:marLeft w:val="0"/>
      <w:marRight w:val="0"/>
      <w:marTop w:val="0"/>
      <w:marBottom w:val="0"/>
      <w:divBdr>
        <w:top w:val="none" w:sz="0" w:space="0" w:color="auto"/>
        <w:left w:val="none" w:sz="0" w:space="0" w:color="auto"/>
        <w:bottom w:val="none" w:sz="0" w:space="0" w:color="auto"/>
        <w:right w:val="none" w:sz="0" w:space="0" w:color="auto"/>
      </w:divBdr>
    </w:div>
    <w:div w:id="21278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ecretariasenado.gov.co/senado/basedoc/ley_0119_1994.html"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334c95e39be647d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910D-A9F5-40EB-9739-3521E44D47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1D3F6-283B-4292-BEE7-7116D1E9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01F68-7026-4D84-AC0E-80834CFD0C2B}">
  <ds:schemaRefs>
    <ds:schemaRef ds:uri="http://schemas.microsoft.com/sharepoint/v3/contenttype/forms"/>
  </ds:schemaRefs>
</ds:datastoreItem>
</file>

<file path=customXml/itemProps4.xml><?xml version="1.0" encoding="utf-8"?>
<ds:datastoreItem xmlns:ds="http://schemas.openxmlformats.org/officeDocument/2006/customXml" ds:itemID="{41BC128B-BBD2-42EC-8F8A-EC8BA72E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3149</Words>
  <Characters>17323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9</cp:revision>
  <dcterms:created xsi:type="dcterms:W3CDTF">2020-11-19T13:56:00Z</dcterms:created>
  <dcterms:modified xsi:type="dcterms:W3CDTF">2021-01-31T00:32:00Z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