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0C" w:rsidRPr="003F420C" w:rsidRDefault="003F420C" w:rsidP="003F420C">
      <w:pPr>
        <w:pStyle w:val="paragraph"/>
        <w:spacing w:before="0" w:beforeAutospacing="0" w:after="0" w:afterAutospacing="0"/>
        <w:jc w:val="both"/>
        <w:textAlignment w:val="baseline"/>
        <w:rPr>
          <w:rFonts w:ascii="Segoe UI" w:hAnsi="Segoe UI" w:cs="Segoe UI"/>
          <w:sz w:val="20"/>
          <w:szCs w:val="18"/>
        </w:rPr>
      </w:pPr>
      <w:r w:rsidRPr="003F420C">
        <w:rPr>
          <w:rStyle w:val="normaltextrun"/>
          <w:rFonts w:ascii="Arial" w:hAnsi="Arial" w:cs="Arial"/>
          <w:bCs/>
          <w:sz w:val="20"/>
          <w:szCs w:val="18"/>
          <w:lang w:val="es-ES"/>
        </w:rPr>
        <w:t>Proceso</w:t>
      </w:r>
      <w:r w:rsidRPr="003F420C">
        <w:rPr>
          <w:rStyle w:val="normaltextrun"/>
          <w:rFonts w:ascii="Arial" w:hAnsi="Arial" w:cs="Arial"/>
          <w:sz w:val="20"/>
          <w:szCs w:val="18"/>
          <w:lang w:val="es-ES"/>
        </w:rPr>
        <w:t>:</w:t>
      </w:r>
      <w:r w:rsidRPr="003F420C">
        <w:rPr>
          <w:rStyle w:val="normaltextrun"/>
          <w:rFonts w:ascii="Arial" w:hAnsi="Arial" w:cs="Arial"/>
          <w:sz w:val="20"/>
          <w:szCs w:val="18"/>
          <w:lang w:val="es-ES"/>
        </w:rPr>
        <w:tab/>
      </w:r>
      <w:r w:rsidRPr="003F420C">
        <w:rPr>
          <w:rStyle w:val="normaltextrun"/>
          <w:rFonts w:ascii="Arial" w:hAnsi="Arial" w:cs="Arial"/>
          <w:sz w:val="20"/>
          <w:szCs w:val="18"/>
          <w:lang w:val="es-ES"/>
        </w:rPr>
        <w:tab/>
      </w:r>
      <w:r w:rsidRPr="003F420C">
        <w:rPr>
          <w:rStyle w:val="normaltextrun"/>
          <w:rFonts w:ascii="Arial" w:hAnsi="Arial" w:cs="Arial"/>
          <w:sz w:val="20"/>
          <w:szCs w:val="18"/>
          <w:lang w:val="es-ES"/>
        </w:rPr>
        <w:t>Ordinario Laboral </w:t>
      </w:r>
      <w:r w:rsidRPr="003F420C">
        <w:rPr>
          <w:rStyle w:val="eop"/>
          <w:rFonts w:ascii="Arial" w:hAnsi="Arial" w:cs="Arial"/>
          <w:sz w:val="20"/>
          <w:szCs w:val="18"/>
        </w:rPr>
        <w:t> </w:t>
      </w:r>
    </w:p>
    <w:p w:rsidR="003F420C" w:rsidRPr="003F420C" w:rsidRDefault="003F420C" w:rsidP="003F420C">
      <w:pPr>
        <w:pStyle w:val="paragraph"/>
        <w:spacing w:before="0" w:beforeAutospacing="0" w:after="0" w:afterAutospacing="0"/>
        <w:jc w:val="both"/>
        <w:textAlignment w:val="baseline"/>
        <w:rPr>
          <w:rFonts w:ascii="Segoe UI" w:hAnsi="Segoe UI" w:cs="Segoe UI"/>
          <w:sz w:val="20"/>
          <w:szCs w:val="18"/>
        </w:rPr>
      </w:pPr>
      <w:r w:rsidRPr="003F420C">
        <w:rPr>
          <w:rStyle w:val="normaltextrun"/>
          <w:rFonts w:ascii="Arial" w:hAnsi="Arial" w:cs="Arial"/>
          <w:bCs/>
          <w:sz w:val="20"/>
          <w:szCs w:val="18"/>
          <w:lang w:val="es-ES"/>
        </w:rPr>
        <w:t>Radicación No</w:t>
      </w:r>
      <w:r w:rsidRPr="003F420C">
        <w:rPr>
          <w:rStyle w:val="normaltextrun"/>
          <w:rFonts w:ascii="Arial" w:hAnsi="Arial" w:cs="Arial"/>
          <w:bCs/>
          <w:sz w:val="20"/>
          <w:szCs w:val="18"/>
          <w:lang w:val="es-ES"/>
        </w:rPr>
        <w:t>:</w:t>
      </w:r>
      <w:r w:rsidRPr="003F420C">
        <w:rPr>
          <w:rStyle w:val="normaltextrun"/>
          <w:rFonts w:ascii="Arial" w:hAnsi="Arial" w:cs="Arial"/>
          <w:sz w:val="20"/>
          <w:szCs w:val="18"/>
          <w:lang w:val="es-ES"/>
        </w:rPr>
        <w:tab/>
      </w:r>
      <w:r>
        <w:rPr>
          <w:rStyle w:val="normaltextrun"/>
          <w:rFonts w:ascii="Arial" w:hAnsi="Arial" w:cs="Arial"/>
          <w:sz w:val="20"/>
          <w:szCs w:val="18"/>
          <w:lang w:val="es-ES"/>
        </w:rPr>
        <w:tab/>
      </w:r>
      <w:r w:rsidRPr="003F420C">
        <w:rPr>
          <w:rStyle w:val="normaltextrun"/>
          <w:rFonts w:ascii="Arial" w:hAnsi="Arial" w:cs="Arial"/>
          <w:sz w:val="20"/>
          <w:szCs w:val="18"/>
          <w:lang w:val="es-ES"/>
        </w:rPr>
        <w:t>66001-31-05-001-2018-00456-01</w:t>
      </w:r>
      <w:r w:rsidRPr="003F420C">
        <w:rPr>
          <w:rStyle w:val="eop"/>
          <w:rFonts w:ascii="Arial" w:hAnsi="Arial" w:cs="Arial"/>
          <w:sz w:val="20"/>
          <w:szCs w:val="18"/>
        </w:rPr>
        <w:t> </w:t>
      </w:r>
    </w:p>
    <w:p w:rsidR="003F420C" w:rsidRPr="003F420C" w:rsidRDefault="003F420C" w:rsidP="003F420C">
      <w:pPr>
        <w:pStyle w:val="paragraph"/>
        <w:spacing w:before="0" w:beforeAutospacing="0" w:after="0" w:afterAutospacing="0"/>
        <w:jc w:val="both"/>
        <w:textAlignment w:val="baseline"/>
        <w:rPr>
          <w:rFonts w:ascii="Segoe UI" w:hAnsi="Segoe UI" w:cs="Segoe UI"/>
          <w:sz w:val="20"/>
          <w:szCs w:val="18"/>
        </w:rPr>
      </w:pPr>
      <w:r w:rsidRPr="003F420C">
        <w:rPr>
          <w:rStyle w:val="normaltextrun"/>
          <w:rFonts w:ascii="Arial" w:hAnsi="Arial" w:cs="Arial"/>
          <w:bCs/>
          <w:sz w:val="20"/>
          <w:szCs w:val="18"/>
          <w:lang w:val="es-ES"/>
        </w:rPr>
        <w:t>Demandante</w:t>
      </w:r>
      <w:r w:rsidRPr="003F420C">
        <w:rPr>
          <w:rStyle w:val="normaltextrun"/>
          <w:rFonts w:ascii="Arial" w:hAnsi="Arial" w:cs="Arial"/>
          <w:sz w:val="20"/>
          <w:szCs w:val="18"/>
          <w:lang w:val="es-ES"/>
        </w:rPr>
        <w:t>:</w:t>
      </w:r>
      <w:r w:rsidRPr="003F420C">
        <w:rPr>
          <w:rStyle w:val="normaltextrun"/>
          <w:rFonts w:ascii="Arial" w:hAnsi="Arial" w:cs="Arial"/>
          <w:sz w:val="20"/>
          <w:szCs w:val="18"/>
          <w:lang w:val="es-ES"/>
        </w:rPr>
        <w:tab/>
      </w:r>
      <w:r w:rsidRPr="003F420C">
        <w:rPr>
          <w:rStyle w:val="normaltextrun"/>
          <w:rFonts w:ascii="Arial" w:hAnsi="Arial" w:cs="Arial"/>
          <w:sz w:val="20"/>
          <w:szCs w:val="18"/>
          <w:lang w:val="es-ES"/>
        </w:rPr>
        <w:tab/>
      </w:r>
      <w:r w:rsidRPr="003F420C">
        <w:rPr>
          <w:rStyle w:val="normaltextrun"/>
          <w:rFonts w:ascii="Arial" w:hAnsi="Arial" w:cs="Arial"/>
          <w:sz w:val="20"/>
          <w:szCs w:val="18"/>
          <w:lang w:val="es-ES"/>
        </w:rPr>
        <w:t>Isabel Cristina Vargas Chavarriaga</w:t>
      </w:r>
      <w:r w:rsidRPr="003F420C">
        <w:rPr>
          <w:rStyle w:val="eop"/>
          <w:rFonts w:ascii="Arial" w:hAnsi="Arial" w:cs="Arial"/>
          <w:sz w:val="20"/>
          <w:szCs w:val="18"/>
        </w:rPr>
        <w:t> </w:t>
      </w:r>
    </w:p>
    <w:p w:rsidR="003F420C" w:rsidRPr="003F420C" w:rsidRDefault="003F420C" w:rsidP="003F420C">
      <w:pPr>
        <w:pStyle w:val="paragraph"/>
        <w:spacing w:before="0" w:beforeAutospacing="0" w:after="0" w:afterAutospacing="0"/>
        <w:jc w:val="both"/>
        <w:textAlignment w:val="baseline"/>
        <w:rPr>
          <w:sz w:val="28"/>
        </w:rPr>
      </w:pPr>
      <w:r w:rsidRPr="003F420C">
        <w:rPr>
          <w:rStyle w:val="normaltextrun"/>
          <w:rFonts w:ascii="Arial" w:hAnsi="Arial" w:cs="Arial"/>
          <w:bCs/>
          <w:sz w:val="20"/>
          <w:szCs w:val="18"/>
          <w:lang w:val="es-ES"/>
        </w:rPr>
        <w:t>Demandado:</w:t>
      </w:r>
      <w:r w:rsidRPr="003F420C">
        <w:rPr>
          <w:rStyle w:val="normaltextrun"/>
          <w:rFonts w:ascii="Arial" w:hAnsi="Arial" w:cs="Arial"/>
          <w:bCs/>
          <w:sz w:val="20"/>
          <w:szCs w:val="18"/>
          <w:lang w:val="es-ES"/>
        </w:rPr>
        <w:tab/>
      </w:r>
      <w:r w:rsidRPr="003F420C">
        <w:rPr>
          <w:rStyle w:val="normaltextrun"/>
          <w:rFonts w:ascii="Arial" w:hAnsi="Arial" w:cs="Arial"/>
          <w:bCs/>
          <w:sz w:val="20"/>
          <w:szCs w:val="18"/>
          <w:lang w:val="es-ES"/>
        </w:rPr>
        <w:tab/>
      </w:r>
      <w:r w:rsidRPr="003F420C">
        <w:rPr>
          <w:rStyle w:val="normaltextrun"/>
          <w:rFonts w:ascii="Arial" w:hAnsi="Arial" w:cs="Arial"/>
          <w:sz w:val="20"/>
          <w:szCs w:val="18"/>
          <w:lang w:val="es-ES"/>
        </w:rPr>
        <w:t>Colpensiones</w:t>
      </w:r>
      <w:r w:rsidRPr="003F420C">
        <w:rPr>
          <w:rStyle w:val="eop"/>
          <w:rFonts w:ascii="Arial" w:hAnsi="Arial" w:cs="Arial"/>
          <w:sz w:val="20"/>
          <w:szCs w:val="18"/>
        </w:rPr>
        <w:t> </w:t>
      </w:r>
    </w:p>
    <w:p w:rsidR="003F420C" w:rsidRPr="003F420C" w:rsidRDefault="003F420C" w:rsidP="003F420C">
      <w:pPr>
        <w:jc w:val="both"/>
        <w:rPr>
          <w:rFonts w:ascii="Arial" w:hAnsi="Arial" w:cs="Arial"/>
          <w:i/>
          <w:sz w:val="28"/>
          <w:szCs w:val="24"/>
        </w:rPr>
      </w:pPr>
    </w:p>
    <w:p w:rsidR="003F420C" w:rsidRPr="003F420C" w:rsidRDefault="003F420C" w:rsidP="003F420C">
      <w:pPr>
        <w:jc w:val="both"/>
        <w:rPr>
          <w:rFonts w:ascii="Arial" w:hAnsi="Arial" w:cs="Arial"/>
          <w:i/>
          <w:sz w:val="28"/>
          <w:szCs w:val="24"/>
        </w:rPr>
      </w:pPr>
    </w:p>
    <w:p w:rsidR="003F420C" w:rsidRPr="003F420C" w:rsidRDefault="003F420C" w:rsidP="003F420C">
      <w:pPr>
        <w:jc w:val="both"/>
        <w:rPr>
          <w:rFonts w:ascii="Arial" w:hAnsi="Arial" w:cs="Arial"/>
          <w:i/>
          <w:sz w:val="28"/>
          <w:szCs w:val="24"/>
        </w:rPr>
      </w:pPr>
    </w:p>
    <w:p w:rsidR="00F93C8E" w:rsidRPr="003F420C" w:rsidRDefault="00F93C8E" w:rsidP="003F420C">
      <w:pPr>
        <w:spacing w:line="276" w:lineRule="auto"/>
        <w:ind w:firstLine="708"/>
        <w:jc w:val="both"/>
        <w:rPr>
          <w:rFonts w:ascii="Arial" w:hAnsi="Arial" w:cs="Arial"/>
          <w:b/>
          <w:i/>
          <w:sz w:val="24"/>
          <w:szCs w:val="24"/>
        </w:rPr>
      </w:pPr>
      <w:r w:rsidRPr="003F420C">
        <w:rPr>
          <w:rFonts w:ascii="Arial" w:hAnsi="Arial" w:cs="Arial"/>
          <w:b/>
          <w:i/>
          <w:sz w:val="24"/>
          <w:szCs w:val="24"/>
        </w:rPr>
        <w:t>MAGISTRADO: JULIO CÉSAR SALAZAR MUÑOZ</w:t>
      </w:r>
    </w:p>
    <w:p w:rsidR="00F93C8E" w:rsidRPr="003F420C" w:rsidRDefault="00F93C8E" w:rsidP="003F420C">
      <w:pPr>
        <w:spacing w:line="276" w:lineRule="auto"/>
        <w:jc w:val="both"/>
        <w:rPr>
          <w:rFonts w:ascii="Arial" w:hAnsi="Arial" w:cs="Arial"/>
          <w:i/>
          <w:sz w:val="24"/>
          <w:szCs w:val="24"/>
        </w:rPr>
      </w:pPr>
      <w:r w:rsidRPr="003F420C">
        <w:rPr>
          <w:rFonts w:ascii="Arial" w:hAnsi="Arial" w:cs="Arial"/>
          <w:b/>
          <w:i/>
          <w:sz w:val="24"/>
          <w:szCs w:val="24"/>
        </w:rPr>
        <w:tab/>
      </w:r>
      <w:r w:rsidR="006548FC" w:rsidRPr="003F420C">
        <w:rPr>
          <w:rFonts w:ascii="Arial" w:hAnsi="Arial" w:cs="Arial"/>
          <w:i/>
          <w:sz w:val="24"/>
          <w:szCs w:val="24"/>
        </w:rPr>
        <w:t xml:space="preserve">Pereira, </w:t>
      </w:r>
      <w:r w:rsidR="00B42088" w:rsidRPr="003F420C">
        <w:rPr>
          <w:rFonts w:ascii="Arial" w:hAnsi="Arial" w:cs="Arial"/>
          <w:i/>
          <w:sz w:val="24"/>
          <w:szCs w:val="24"/>
        </w:rPr>
        <w:t>veint</w:t>
      </w:r>
      <w:r w:rsidR="00D00DC7" w:rsidRPr="003F420C">
        <w:rPr>
          <w:rFonts w:ascii="Arial" w:hAnsi="Arial" w:cs="Arial"/>
          <w:i/>
          <w:sz w:val="24"/>
          <w:szCs w:val="24"/>
        </w:rPr>
        <w:t>idós</w:t>
      </w:r>
      <w:r w:rsidRPr="003F420C">
        <w:rPr>
          <w:rFonts w:ascii="Arial" w:hAnsi="Arial" w:cs="Arial"/>
          <w:i/>
          <w:sz w:val="24"/>
          <w:szCs w:val="24"/>
        </w:rPr>
        <w:t xml:space="preserve"> [</w:t>
      </w:r>
      <w:r w:rsidR="00B42088" w:rsidRPr="003F420C">
        <w:rPr>
          <w:rFonts w:ascii="Arial" w:hAnsi="Arial" w:cs="Arial"/>
          <w:i/>
          <w:sz w:val="24"/>
          <w:szCs w:val="24"/>
        </w:rPr>
        <w:t>2</w:t>
      </w:r>
      <w:r w:rsidR="00D00DC7" w:rsidRPr="003F420C">
        <w:rPr>
          <w:rFonts w:ascii="Arial" w:hAnsi="Arial" w:cs="Arial"/>
          <w:i/>
          <w:sz w:val="24"/>
          <w:szCs w:val="24"/>
        </w:rPr>
        <w:t>2</w:t>
      </w:r>
      <w:r w:rsidRPr="003F420C">
        <w:rPr>
          <w:rFonts w:ascii="Arial" w:hAnsi="Arial" w:cs="Arial"/>
          <w:i/>
          <w:sz w:val="24"/>
          <w:szCs w:val="24"/>
        </w:rPr>
        <w:t xml:space="preserve">] de </w:t>
      </w:r>
      <w:r w:rsidR="008F5657" w:rsidRPr="003F420C">
        <w:rPr>
          <w:rFonts w:ascii="Arial" w:hAnsi="Arial" w:cs="Arial"/>
          <w:i/>
          <w:sz w:val="24"/>
          <w:szCs w:val="24"/>
        </w:rPr>
        <w:t>octubre</w:t>
      </w:r>
      <w:r w:rsidRPr="003F420C">
        <w:rPr>
          <w:rFonts w:ascii="Arial" w:hAnsi="Arial" w:cs="Arial"/>
          <w:i/>
          <w:sz w:val="24"/>
          <w:szCs w:val="24"/>
        </w:rPr>
        <w:t xml:space="preserve"> de dos mil </w:t>
      </w:r>
      <w:r w:rsidR="008F5657" w:rsidRPr="003F420C">
        <w:rPr>
          <w:rFonts w:ascii="Arial" w:hAnsi="Arial" w:cs="Arial"/>
          <w:i/>
          <w:sz w:val="24"/>
          <w:szCs w:val="24"/>
        </w:rPr>
        <w:t>veinte</w:t>
      </w:r>
      <w:r w:rsidRPr="003F420C">
        <w:rPr>
          <w:rFonts w:ascii="Arial" w:hAnsi="Arial" w:cs="Arial"/>
          <w:i/>
          <w:sz w:val="24"/>
          <w:szCs w:val="24"/>
        </w:rPr>
        <w:t xml:space="preserve"> [20</w:t>
      </w:r>
      <w:r w:rsidR="008F5657" w:rsidRPr="003F420C">
        <w:rPr>
          <w:rFonts w:ascii="Arial" w:hAnsi="Arial" w:cs="Arial"/>
          <w:i/>
          <w:sz w:val="24"/>
          <w:szCs w:val="24"/>
        </w:rPr>
        <w:t>20</w:t>
      </w:r>
      <w:r w:rsidRPr="003F420C">
        <w:rPr>
          <w:rFonts w:ascii="Arial" w:hAnsi="Arial" w:cs="Arial"/>
          <w:i/>
          <w:sz w:val="24"/>
          <w:szCs w:val="24"/>
        </w:rPr>
        <w:t>].</w:t>
      </w:r>
    </w:p>
    <w:p w:rsidR="00F93C8E" w:rsidRDefault="00F93C8E" w:rsidP="003F420C">
      <w:pPr>
        <w:tabs>
          <w:tab w:val="left" w:pos="1440"/>
        </w:tabs>
        <w:spacing w:line="276" w:lineRule="auto"/>
        <w:jc w:val="both"/>
        <w:rPr>
          <w:rFonts w:ascii="Arial" w:hAnsi="Arial" w:cs="Arial"/>
          <w:i/>
          <w:snapToGrid w:val="0"/>
          <w:sz w:val="24"/>
          <w:szCs w:val="24"/>
        </w:rPr>
      </w:pPr>
    </w:p>
    <w:p w:rsidR="003F420C" w:rsidRPr="003F420C" w:rsidRDefault="003F420C" w:rsidP="003F420C">
      <w:pPr>
        <w:tabs>
          <w:tab w:val="left" w:pos="1440"/>
        </w:tabs>
        <w:spacing w:line="276" w:lineRule="auto"/>
        <w:jc w:val="both"/>
        <w:rPr>
          <w:rFonts w:ascii="Arial" w:hAnsi="Arial" w:cs="Arial"/>
          <w:i/>
          <w:snapToGrid w:val="0"/>
          <w:sz w:val="24"/>
          <w:szCs w:val="24"/>
        </w:rPr>
      </w:pPr>
    </w:p>
    <w:p w:rsidR="00F93C8E" w:rsidRPr="003F420C" w:rsidRDefault="008F5657" w:rsidP="003F420C">
      <w:pPr>
        <w:spacing w:line="276" w:lineRule="auto"/>
        <w:jc w:val="center"/>
        <w:rPr>
          <w:rFonts w:ascii="Arial" w:hAnsi="Arial" w:cs="Arial"/>
          <w:b/>
          <w:i/>
          <w:sz w:val="24"/>
          <w:szCs w:val="24"/>
          <w:u w:val="single"/>
        </w:rPr>
      </w:pPr>
      <w:r w:rsidRPr="003F420C">
        <w:rPr>
          <w:rFonts w:ascii="Arial" w:hAnsi="Arial" w:cs="Arial"/>
          <w:b/>
          <w:i/>
          <w:sz w:val="24"/>
          <w:szCs w:val="24"/>
          <w:u w:val="single"/>
        </w:rPr>
        <w:t>SALVAMENTO</w:t>
      </w:r>
      <w:r w:rsidR="00F93C8E" w:rsidRPr="003F420C">
        <w:rPr>
          <w:rFonts w:ascii="Arial" w:hAnsi="Arial" w:cs="Arial"/>
          <w:b/>
          <w:i/>
          <w:sz w:val="24"/>
          <w:szCs w:val="24"/>
          <w:u w:val="single"/>
        </w:rPr>
        <w:t xml:space="preserve"> DE VOTO:</w:t>
      </w:r>
    </w:p>
    <w:p w:rsidR="00F93C8E" w:rsidRDefault="00F93C8E" w:rsidP="003F420C">
      <w:pPr>
        <w:pStyle w:val="Textoindependiente"/>
        <w:spacing w:line="276" w:lineRule="auto"/>
        <w:rPr>
          <w:sz w:val="24"/>
          <w:szCs w:val="24"/>
        </w:rPr>
      </w:pPr>
    </w:p>
    <w:p w:rsidR="003F420C" w:rsidRPr="003F420C" w:rsidRDefault="003F420C" w:rsidP="003F420C">
      <w:pPr>
        <w:pStyle w:val="Textoindependiente"/>
        <w:spacing w:line="276" w:lineRule="auto"/>
        <w:rPr>
          <w:sz w:val="24"/>
          <w:szCs w:val="24"/>
        </w:rPr>
      </w:pPr>
    </w:p>
    <w:p w:rsidR="003640D7" w:rsidRPr="003F420C" w:rsidRDefault="003640D7" w:rsidP="003F420C">
      <w:pPr>
        <w:pStyle w:val="Textoindependiente"/>
        <w:spacing w:line="276" w:lineRule="auto"/>
        <w:rPr>
          <w:sz w:val="24"/>
          <w:szCs w:val="24"/>
        </w:rPr>
      </w:pPr>
      <w:r w:rsidRPr="003F420C">
        <w:rPr>
          <w:sz w:val="24"/>
          <w:szCs w:val="24"/>
        </w:rPr>
        <w:t xml:space="preserve">Con todo respeto me aparto de la decisión mayoritaria que acoge la nueva posición de la Sala de Casación Laboral de la Corte Suprema de Justicia sobre la posibilidad de sumar tiempos cotizados al ISS con aquellos servidos en el sector público para </w:t>
      </w:r>
      <w:proofErr w:type="gramStart"/>
      <w:r w:rsidRPr="003F420C">
        <w:rPr>
          <w:sz w:val="24"/>
          <w:szCs w:val="24"/>
        </w:rPr>
        <w:t>efectos</w:t>
      </w:r>
      <w:proofErr w:type="gramEnd"/>
      <w:r w:rsidRPr="003F420C">
        <w:rPr>
          <w:sz w:val="24"/>
          <w:szCs w:val="24"/>
        </w:rPr>
        <w:t xml:space="preserve"> de acreditar los requisitos previstos en el acuerdo 049 de 1990 en orden a obtener la pensión de vejez.</w:t>
      </w:r>
    </w:p>
    <w:p w:rsidR="007F45EC" w:rsidRPr="003F420C" w:rsidRDefault="007F45EC" w:rsidP="003F420C">
      <w:pPr>
        <w:pStyle w:val="Textoindependiente"/>
        <w:spacing w:line="276" w:lineRule="auto"/>
        <w:rPr>
          <w:sz w:val="24"/>
          <w:szCs w:val="24"/>
        </w:rPr>
      </w:pPr>
    </w:p>
    <w:p w:rsidR="00D71A6D" w:rsidRPr="003F420C" w:rsidRDefault="003640D7" w:rsidP="003F420C">
      <w:pPr>
        <w:pStyle w:val="Textoindependiente"/>
        <w:spacing w:line="276" w:lineRule="auto"/>
        <w:rPr>
          <w:sz w:val="24"/>
          <w:szCs w:val="24"/>
        </w:rPr>
      </w:pPr>
      <w:r w:rsidRPr="003F420C">
        <w:rPr>
          <w:sz w:val="24"/>
          <w:szCs w:val="24"/>
        </w:rPr>
        <w:t>A mi juicio tal tesis</w:t>
      </w:r>
      <w:r w:rsidR="0033341D" w:rsidRPr="003F420C">
        <w:rPr>
          <w:sz w:val="24"/>
          <w:szCs w:val="24"/>
        </w:rPr>
        <w:t>, no tiene en cuenta que el artículo 41 de ese acuerdo tiene previsto que “</w:t>
      </w:r>
      <w:r w:rsidR="0033341D" w:rsidRPr="003F420C">
        <w:rPr>
          <w:sz w:val="22"/>
          <w:szCs w:val="24"/>
        </w:rPr>
        <w:t xml:space="preserve">el Instituto </w:t>
      </w:r>
      <w:r w:rsidR="0033341D" w:rsidRPr="003F420C">
        <w:rPr>
          <w:b/>
          <w:sz w:val="22"/>
          <w:szCs w:val="24"/>
        </w:rPr>
        <w:t>será responsable</w:t>
      </w:r>
      <w:r w:rsidR="0033341D" w:rsidRPr="003F420C">
        <w:rPr>
          <w:sz w:val="22"/>
          <w:szCs w:val="24"/>
        </w:rPr>
        <w:t xml:space="preserve"> de las prestaciones de que trata el seguro de Invalidez, Vejez y muerte </w:t>
      </w:r>
      <w:r w:rsidR="0033341D" w:rsidRPr="003F420C">
        <w:rPr>
          <w:b/>
          <w:sz w:val="22"/>
          <w:szCs w:val="24"/>
        </w:rPr>
        <w:t>a partir de la afiliación, en los términos contemplados en el reglamento</w:t>
      </w:r>
      <w:r w:rsidR="0033341D" w:rsidRPr="003F420C">
        <w:rPr>
          <w:b/>
          <w:sz w:val="24"/>
          <w:szCs w:val="24"/>
        </w:rPr>
        <w:t xml:space="preserve">”, </w:t>
      </w:r>
      <w:r w:rsidR="0033341D" w:rsidRPr="003F420C">
        <w:rPr>
          <w:sz w:val="24"/>
          <w:szCs w:val="24"/>
        </w:rPr>
        <w:t xml:space="preserve">para a renglón seguido añadir que si no hay afiliación el responsable de la prestación </w:t>
      </w:r>
      <w:r w:rsidR="00D71A6D" w:rsidRPr="003F420C">
        <w:rPr>
          <w:sz w:val="24"/>
          <w:szCs w:val="24"/>
        </w:rPr>
        <w:t>es el empleador. De lo cual se desprende que los derechos que otorga la entidad tienen fundamento en las cotizaciones que los sustenten financieramente, tal como se desprende igualmente del artículo 44 ídem que versa sobre el régimen financiero de la entidad.</w:t>
      </w:r>
    </w:p>
    <w:p w:rsidR="00D71A6D" w:rsidRPr="003F420C" w:rsidRDefault="00D71A6D" w:rsidP="003F420C">
      <w:pPr>
        <w:pStyle w:val="Textoindependiente"/>
        <w:spacing w:line="276" w:lineRule="auto"/>
        <w:rPr>
          <w:sz w:val="24"/>
          <w:szCs w:val="24"/>
        </w:rPr>
      </w:pPr>
    </w:p>
    <w:p w:rsidR="00633013" w:rsidRPr="003F420C" w:rsidRDefault="00D71A6D" w:rsidP="003F420C">
      <w:pPr>
        <w:pStyle w:val="Textoindependiente"/>
        <w:spacing w:line="276" w:lineRule="auto"/>
        <w:rPr>
          <w:sz w:val="24"/>
          <w:szCs w:val="24"/>
        </w:rPr>
      </w:pPr>
      <w:r w:rsidRPr="003F420C">
        <w:rPr>
          <w:sz w:val="24"/>
          <w:szCs w:val="24"/>
        </w:rPr>
        <w:t>Pero es más, de manera expresa el decreto 758 de 1990</w:t>
      </w:r>
      <w:r w:rsidR="00633013" w:rsidRPr="003F420C">
        <w:rPr>
          <w:sz w:val="24"/>
          <w:szCs w:val="24"/>
        </w:rPr>
        <w:t>, en dos de sus normas,</w:t>
      </w:r>
      <w:r w:rsidRPr="003F420C">
        <w:rPr>
          <w:sz w:val="24"/>
          <w:szCs w:val="24"/>
        </w:rPr>
        <w:t xml:space="preserve"> </w:t>
      </w:r>
      <w:r w:rsidR="00633013" w:rsidRPr="003F420C">
        <w:rPr>
          <w:sz w:val="24"/>
          <w:szCs w:val="24"/>
        </w:rPr>
        <w:t>reguló los casos en que pudiera existir duda respecto a las semanas aportadas al ISS y las servidas en el sector público. En efecto, dispuso en el parágrafo del artículo 14 que:</w:t>
      </w:r>
    </w:p>
    <w:p w:rsidR="00633013" w:rsidRPr="003F420C" w:rsidRDefault="00633013" w:rsidP="003F420C">
      <w:pPr>
        <w:pStyle w:val="Textoindependiente"/>
        <w:spacing w:line="276" w:lineRule="auto"/>
        <w:rPr>
          <w:sz w:val="24"/>
          <w:szCs w:val="24"/>
        </w:rPr>
      </w:pPr>
    </w:p>
    <w:p w:rsidR="00633013" w:rsidRPr="003F420C" w:rsidRDefault="00633013" w:rsidP="003F420C">
      <w:pPr>
        <w:pStyle w:val="Textoindependiente"/>
        <w:spacing w:line="240" w:lineRule="auto"/>
        <w:ind w:left="426" w:right="420"/>
        <w:rPr>
          <w:b/>
          <w:sz w:val="22"/>
          <w:szCs w:val="24"/>
        </w:rPr>
      </w:pPr>
      <w:r w:rsidRPr="003F420C">
        <w:rPr>
          <w:sz w:val="22"/>
          <w:szCs w:val="24"/>
        </w:rPr>
        <w:t>“</w:t>
      </w:r>
      <w:r w:rsidRPr="003F420C">
        <w:rPr>
          <w:i/>
          <w:sz w:val="22"/>
          <w:szCs w:val="24"/>
        </w:rPr>
        <w:t xml:space="preserve">Las personas que en cualquier tiempo reciban la indemnización de que trata este artículo, no podrán ser inscritas nuevamente en el seguro de vejez, invalidez y muerte. </w:t>
      </w:r>
      <w:r w:rsidRPr="003F420C">
        <w:rPr>
          <w:b/>
          <w:i/>
          <w:sz w:val="22"/>
          <w:szCs w:val="24"/>
        </w:rPr>
        <w:t>Las semanas tenidas en cuenta para efectos de la indemnización, no se computarán para la pensión de jubilación de que trata la ley 71 de 1988</w:t>
      </w:r>
      <w:r w:rsidRPr="003F420C">
        <w:rPr>
          <w:b/>
          <w:sz w:val="22"/>
          <w:szCs w:val="24"/>
        </w:rPr>
        <w:t>”</w:t>
      </w:r>
    </w:p>
    <w:p w:rsidR="00633013" w:rsidRPr="003F420C" w:rsidRDefault="00633013" w:rsidP="003F420C">
      <w:pPr>
        <w:pStyle w:val="Textoindependiente"/>
        <w:spacing w:line="276" w:lineRule="auto"/>
        <w:ind w:left="708"/>
        <w:rPr>
          <w:b/>
          <w:sz w:val="24"/>
          <w:szCs w:val="24"/>
        </w:rPr>
      </w:pPr>
    </w:p>
    <w:p w:rsidR="00C65A99" w:rsidRPr="003F420C" w:rsidRDefault="00633013" w:rsidP="003F420C">
      <w:pPr>
        <w:pStyle w:val="Textoindependiente"/>
        <w:spacing w:line="276" w:lineRule="auto"/>
        <w:rPr>
          <w:sz w:val="24"/>
          <w:szCs w:val="24"/>
        </w:rPr>
      </w:pPr>
      <w:r w:rsidRPr="003F420C">
        <w:rPr>
          <w:sz w:val="24"/>
          <w:szCs w:val="24"/>
        </w:rPr>
        <w:t xml:space="preserve">Y en el artículo 49 </w:t>
      </w:r>
      <w:r w:rsidR="00C65A99" w:rsidRPr="003F420C">
        <w:rPr>
          <w:sz w:val="24"/>
          <w:szCs w:val="24"/>
        </w:rPr>
        <w:t>señaló que:</w:t>
      </w:r>
    </w:p>
    <w:p w:rsidR="00C65A99" w:rsidRPr="003F420C" w:rsidRDefault="00C65A99" w:rsidP="003F420C">
      <w:pPr>
        <w:pStyle w:val="Textoindependiente"/>
        <w:spacing w:line="276" w:lineRule="auto"/>
        <w:rPr>
          <w:sz w:val="24"/>
          <w:szCs w:val="24"/>
        </w:rPr>
      </w:pPr>
    </w:p>
    <w:p w:rsidR="00C65A99" w:rsidRPr="001F3482" w:rsidRDefault="00C65A99" w:rsidP="001F3482">
      <w:pPr>
        <w:pStyle w:val="Textoindependiente"/>
        <w:spacing w:line="240" w:lineRule="auto"/>
        <w:ind w:left="426" w:right="420"/>
        <w:rPr>
          <w:i/>
          <w:sz w:val="22"/>
          <w:szCs w:val="24"/>
        </w:rPr>
      </w:pPr>
      <w:r w:rsidRPr="001F3482">
        <w:rPr>
          <w:sz w:val="22"/>
          <w:szCs w:val="24"/>
        </w:rPr>
        <w:t>“</w:t>
      </w:r>
      <w:r w:rsidRPr="001F3482">
        <w:rPr>
          <w:i/>
          <w:sz w:val="22"/>
          <w:szCs w:val="24"/>
        </w:rPr>
        <w:t xml:space="preserve">Las pensiones e indemnizaciones sustitutivas que cubre el </w:t>
      </w:r>
      <w:proofErr w:type="spellStart"/>
      <w:r w:rsidRPr="001F3482">
        <w:rPr>
          <w:i/>
          <w:sz w:val="22"/>
          <w:szCs w:val="24"/>
        </w:rPr>
        <w:t>ISS</w:t>
      </w:r>
      <w:proofErr w:type="spellEnd"/>
      <w:r w:rsidRPr="001F3482">
        <w:rPr>
          <w:i/>
          <w:sz w:val="22"/>
          <w:szCs w:val="24"/>
        </w:rPr>
        <w:t>, son incompatibles:</w:t>
      </w:r>
    </w:p>
    <w:p w:rsidR="003F420C" w:rsidRPr="001F3482" w:rsidRDefault="003F420C" w:rsidP="001F3482">
      <w:pPr>
        <w:pStyle w:val="Textoindependiente"/>
        <w:spacing w:line="240" w:lineRule="auto"/>
        <w:ind w:left="426" w:right="420"/>
        <w:rPr>
          <w:i/>
          <w:sz w:val="22"/>
          <w:szCs w:val="24"/>
        </w:rPr>
      </w:pPr>
    </w:p>
    <w:p w:rsidR="007F45EC" w:rsidRPr="001F3482" w:rsidRDefault="00C65A99" w:rsidP="001F3482">
      <w:pPr>
        <w:pStyle w:val="Textoindependiente"/>
        <w:spacing w:line="240" w:lineRule="auto"/>
        <w:ind w:left="426" w:right="420"/>
        <w:rPr>
          <w:sz w:val="22"/>
          <w:szCs w:val="24"/>
        </w:rPr>
      </w:pPr>
      <w:r w:rsidRPr="001F3482">
        <w:rPr>
          <w:i/>
          <w:sz w:val="22"/>
          <w:szCs w:val="24"/>
        </w:rPr>
        <w:t>c) Con las pensiones de jubilación por aportes de que trata la ley 71 de 1988. Sin embargo, el beneficiario podrá optar por la más favorable cuando haya concurrencia entre ellas</w:t>
      </w:r>
      <w:r w:rsidRPr="001F3482">
        <w:rPr>
          <w:sz w:val="22"/>
          <w:szCs w:val="24"/>
        </w:rPr>
        <w:t>.”</w:t>
      </w:r>
    </w:p>
    <w:p w:rsidR="00C65A99" w:rsidRPr="003F420C" w:rsidRDefault="00C65A99" w:rsidP="003F420C">
      <w:pPr>
        <w:pStyle w:val="Textoindependiente"/>
        <w:spacing w:line="276" w:lineRule="auto"/>
        <w:ind w:left="708"/>
        <w:rPr>
          <w:sz w:val="24"/>
          <w:szCs w:val="24"/>
        </w:rPr>
      </w:pPr>
    </w:p>
    <w:p w:rsidR="0044582C" w:rsidRPr="003F420C" w:rsidRDefault="00C65A99" w:rsidP="003F420C">
      <w:pPr>
        <w:pStyle w:val="Textoindependiente"/>
        <w:spacing w:line="276" w:lineRule="auto"/>
        <w:rPr>
          <w:sz w:val="24"/>
          <w:szCs w:val="24"/>
        </w:rPr>
      </w:pPr>
      <w:r w:rsidRPr="003F420C">
        <w:rPr>
          <w:sz w:val="24"/>
          <w:szCs w:val="24"/>
        </w:rPr>
        <w:t xml:space="preserve">Nótese que el decreto 758 de 1990 parte del conocimiento de la existencia de la ley 71 de 1988 para concluir la incompatibilidad de </w:t>
      </w:r>
      <w:r w:rsidR="0044582C" w:rsidRPr="003F420C">
        <w:rPr>
          <w:sz w:val="24"/>
          <w:szCs w:val="24"/>
        </w:rPr>
        <w:t xml:space="preserve">la pensión por aportes con la que el </w:t>
      </w:r>
      <w:r w:rsidR="0044582C" w:rsidRPr="003F420C">
        <w:rPr>
          <w:sz w:val="24"/>
          <w:szCs w:val="24"/>
        </w:rPr>
        <w:lastRenderedPageBreak/>
        <w:t>ISS otorga,</w:t>
      </w:r>
      <w:r w:rsidRPr="003F420C">
        <w:rPr>
          <w:sz w:val="24"/>
          <w:szCs w:val="24"/>
        </w:rPr>
        <w:t xml:space="preserve"> pero sobre todo para señalar que si eventualmente fueran concurrentes, el beneficiario podrá optar por la más favorable, pero no contempla en su favor la posibilidad de </w:t>
      </w:r>
      <w:r w:rsidR="0044582C" w:rsidRPr="003F420C">
        <w:rPr>
          <w:sz w:val="24"/>
          <w:szCs w:val="24"/>
        </w:rPr>
        <w:t>sumar los tiempos del sector público</w:t>
      </w:r>
      <w:r w:rsidR="00AA54E1" w:rsidRPr="003F420C">
        <w:rPr>
          <w:sz w:val="24"/>
          <w:szCs w:val="24"/>
        </w:rPr>
        <w:t>,</w:t>
      </w:r>
      <w:r w:rsidR="0044582C" w:rsidRPr="003F420C">
        <w:rPr>
          <w:sz w:val="24"/>
          <w:szCs w:val="24"/>
        </w:rPr>
        <w:t xml:space="preserve"> para finalmente aplicarle al IBL la tasa de reemplazo que contemplan los reglamentos del ISS.</w:t>
      </w:r>
    </w:p>
    <w:p w:rsidR="0044582C" w:rsidRPr="003F420C" w:rsidRDefault="0044582C" w:rsidP="003F420C">
      <w:pPr>
        <w:pStyle w:val="Textoindependiente"/>
        <w:spacing w:line="276" w:lineRule="auto"/>
        <w:rPr>
          <w:sz w:val="24"/>
          <w:szCs w:val="24"/>
        </w:rPr>
      </w:pPr>
    </w:p>
    <w:p w:rsidR="00AA54E1" w:rsidRPr="003F420C" w:rsidRDefault="0044582C" w:rsidP="003F420C">
      <w:pPr>
        <w:pStyle w:val="Textoindependiente"/>
        <w:spacing w:line="276" w:lineRule="auto"/>
        <w:rPr>
          <w:sz w:val="24"/>
          <w:szCs w:val="24"/>
        </w:rPr>
      </w:pPr>
      <w:r w:rsidRPr="003F420C">
        <w:rPr>
          <w:sz w:val="24"/>
          <w:szCs w:val="24"/>
        </w:rPr>
        <w:t xml:space="preserve">Es que ese proceder va en contravía de la teoría de la </w:t>
      </w:r>
      <w:proofErr w:type="spellStart"/>
      <w:r w:rsidRPr="003F420C">
        <w:rPr>
          <w:sz w:val="24"/>
          <w:szCs w:val="24"/>
        </w:rPr>
        <w:t>inescindibilidad</w:t>
      </w:r>
      <w:proofErr w:type="spellEnd"/>
      <w:r w:rsidRPr="003F420C">
        <w:rPr>
          <w:sz w:val="24"/>
          <w:szCs w:val="24"/>
        </w:rPr>
        <w:t xml:space="preserve"> o </w:t>
      </w:r>
      <w:proofErr w:type="spellStart"/>
      <w:r w:rsidRPr="003F420C">
        <w:rPr>
          <w:sz w:val="24"/>
          <w:szCs w:val="24"/>
        </w:rPr>
        <w:t>conglobamento</w:t>
      </w:r>
      <w:proofErr w:type="spellEnd"/>
      <w:r w:rsidRPr="003F420C">
        <w:rPr>
          <w:sz w:val="24"/>
          <w:szCs w:val="24"/>
        </w:rPr>
        <w:t xml:space="preserve"> de las normas sociales, pues a la posibilidad de sumar tiempos públicos y privados prevista en la ley 71 de 1988 se le está </w:t>
      </w:r>
      <w:r w:rsidR="00AA54E1" w:rsidRPr="003F420C">
        <w:rPr>
          <w:sz w:val="24"/>
          <w:szCs w:val="24"/>
        </w:rPr>
        <w:t>adicionando la de aumentar el porcentaje de tasa de reemplazo previsto solo para las pensiones concedidas con base en el decreto 758 de 1990, cuando en aquella normatividad opera una tasa de reemplazo fija del 75%.</w:t>
      </w:r>
    </w:p>
    <w:p w:rsidR="00C65A99" w:rsidRPr="003F420C" w:rsidRDefault="0044582C" w:rsidP="003F420C">
      <w:pPr>
        <w:pStyle w:val="Textoindependiente"/>
        <w:spacing w:line="276" w:lineRule="auto"/>
        <w:rPr>
          <w:sz w:val="24"/>
          <w:szCs w:val="24"/>
        </w:rPr>
      </w:pPr>
      <w:r w:rsidRPr="003F420C">
        <w:rPr>
          <w:sz w:val="24"/>
          <w:szCs w:val="24"/>
        </w:rPr>
        <w:t xml:space="preserve"> </w:t>
      </w:r>
    </w:p>
    <w:p w:rsidR="00F93C8E" w:rsidRPr="003F420C" w:rsidRDefault="00AA54E1" w:rsidP="003F420C">
      <w:pPr>
        <w:pStyle w:val="Textoindependiente"/>
        <w:spacing w:line="276" w:lineRule="auto"/>
        <w:rPr>
          <w:sz w:val="24"/>
          <w:szCs w:val="24"/>
        </w:rPr>
      </w:pPr>
      <w:r w:rsidRPr="003F420C">
        <w:rPr>
          <w:sz w:val="24"/>
          <w:szCs w:val="24"/>
        </w:rPr>
        <w:t>Por este camino, aparentemente para garantizar la igualdad, en realidad se genera una situación verdaderamente inequitativa</w:t>
      </w:r>
      <w:r w:rsidR="00F93C8E" w:rsidRPr="003F420C">
        <w:rPr>
          <w:sz w:val="24"/>
          <w:szCs w:val="24"/>
        </w:rPr>
        <w:t xml:space="preserve">,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ISS para los trabajadores del sector privado, quienes además sólo se pensionaban a los 60 años mientras que los del sector público lo hacían a los 55. De igual manera, las tasas de reemplazo en uno y otro sector eran diferentes. </w:t>
      </w:r>
    </w:p>
    <w:p w:rsidR="00F93C8E" w:rsidRPr="003F420C" w:rsidRDefault="00F93C8E" w:rsidP="003F420C">
      <w:pPr>
        <w:pStyle w:val="Textoindependiente"/>
        <w:spacing w:line="276" w:lineRule="auto"/>
        <w:rPr>
          <w:sz w:val="24"/>
          <w:szCs w:val="24"/>
        </w:rPr>
      </w:pPr>
    </w:p>
    <w:p w:rsidR="007F45EC" w:rsidRPr="003F420C" w:rsidRDefault="00AA54E1" w:rsidP="003F420C">
      <w:pPr>
        <w:pStyle w:val="Textoindependiente"/>
        <w:spacing w:line="276" w:lineRule="auto"/>
        <w:rPr>
          <w:sz w:val="24"/>
          <w:szCs w:val="24"/>
        </w:rPr>
      </w:pPr>
      <w:r w:rsidRPr="003F420C">
        <w:rPr>
          <w:sz w:val="24"/>
          <w:szCs w:val="24"/>
        </w:rPr>
        <w:t xml:space="preserve">Es que téngase en cuenta que la interpretación que ahora adopta la Sala lleva a situaciones desproporcionadas como la de conceder pensiones de jubilación con menos de 10 años de servicios, a personas que prestaron servicios en el sector público, sin percatarse </w:t>
      </w:r>
      <w:r w:rsidR="001E7D12" w:rsidRPr="003F420C">
        <w:rPr>
          <w:sz w:val="24"/>
          <w:szCs w:val="24"/>
        </w:rPr>
        <w:t xml:space="preserve">que la posibilidad de pensionarse con 500 semanas fue prevista </w:t>
      </w:r>
      <w:r w:rsidR="007F45EC" w:rsidRPr="003F420C">
        <w:rPr>
          <w:rFonts w:eastAsia="Calibri"/>
          <w:sz w:val="24"/>
          <w:szCs w:val="24"/>
          <w:lang w:eastAsia="en-US"/>
        </w:rPr>
        <w:t xml:space="preserve">en el periodo comprendido entre los años 1966 (decreto 3041) y 1983 (decreto 1900) </w:t>
      </w:r>
      <w:r w:rsidR="001E7D12" w:rsidRPr="003F420C">
        <w:rPr>
          <w:rFonts w:eastAsia="Calibri"/>
          <w:sz w:val="24"/>
          <w:szCs w:val="24"/>
          <w:lang w:eastAsia="en-US"/>
        </w:rPr>
        <w:t>p</w:t>
      </w:r>
      <w:r w:rsidR="007F45EC" w:rsidRPr="003F420C">
        <w:rPr>
          <w:sz w:val="24"/>
          <w:szCs w:val="24"/>
        </w:rPr>
        <w:t xml:space="preserve">ara reconocer, a todas aquellas personas </w:t>
      </w:r>
      <w:r w:rsidR="001E7D12" w:rsidRPr="003F420C">
        <w:rPr>
          <w:sz w:val="24"/>
          <w:szCs w:val="24"/>
        </w:rPr>
        <w:t xml:space="preserve">vinculadas con empleadores privados, </w:t>
      </w:r>
      <w:r w:rsidR="007F45EC" w:rsidRPr="003F420C">
        <w:rPr>
          <w:sz w:val="24"/>
          <w:szCs w:val="24"/>
        </w:rPr>
        <w:t>que al empezar el cubrimiento del ISS tenían vinculaciones laborales de menos de 10 años (aproximadamente 500 semanas), el tiempo de sus vinculaciones sin afiliación ni aportes, de manera tal que, contabilizando ese periodo de casi 10 años y contemplando otros 10 de aportes al recién creado ISS completaran los 20 años que exigían nuestras normas para acceder a la pensión de jubilación.</w:t>
      </w:r>
      <w:r w:rsidR="001E7D12" w:rsidRPr="003F420C">
        <w:rPr>
          <w:sz w:val="24"/>
          <w:szCs w:val="24"/>
        </w:rPr>
        <w:t xml:space="preserve"> Pero nunca se pretendió que el Estado jubilara a sus trabajadores con sólo 10 años de servicios.</w:t>
      </w:r>
    </w:p>
    <w:p w:rsidR="007F45EC" w:rsidRPr="003F420C" w:rsidRDefault="007F45EC" w:rsidP="003F420C">
      <w:pPr>
        <w:spacing w:line="276" w:lineRule="auto"/>
        <w:jc w:val="both"/>
        <w:rPr>
          <w:rFonts w:ascii="Arial" w:hAnsi="Arial" w:cs="Arial"/>
          <w:iCs/>
          <w:sz w:val="24"/>
          <w:szCs w:val="24"/>
        </w:rPr>
      </w:pPr>
    </w:p>
    <w:p w:rsidR="007010E9" w:rsidRPr="003F420C" w:rsidRDefault="007010E9" w:rsidP="003F420C">
      <w:pPr>
        <w:pStyle w:val="Textoindependiente3"/>
        <w:spacing w:line="276" w:lineRule="auto"/>
      </w:pPr>
      <w:r w:rsidRPr="003F420C">
        <w:t>Adicionalmente, sobre el tema debe tenerse en cuenta que la Sala de Casación Laboral de la Corte Suprema de Justicia, órgano encargado de unificar la jurisprudencia laboral, a pesar de los pronunciamientos de tutela de la Corte Constitucional, ha</w:t>
      </w:r>
      <w:r w:rsidR="00336B10" w:rsidRPr="003F420C">
        <w:t>bía</w:t>
      </w:r>
      <w:r w:rsidRPr="003F420C">
        <w:t xml:space="preserve"> mantenido una línea constante sobre el tema, explicando con suficiencia las razones jurídicas que </w:t>
      </w:r>
      <w:r w:rsidR="00336B10" w:rsidRPr="003F420C">
        <w:t>existen</w:t>
      </w:r>
      <w:r w:rsidRPr="003F420C">
        <w:t xml:space="preserve"> para negar la posibilidad de acumular tiempos públicos y privados para conceder pensiones con base en el acuerdo 049 de 1990. En este sentido, vale citar en extenso, la sentencia de 24 de agosto de </w:t>
      </w:r>
      <w:r w:rsidRPr="003F420C">
        <w:lastRenderedPageBreak/>
        <w:t>2016, radicación No. 50896 con ponencia del doctor Fernando Castillo Cadena, en la que se dijo:</w:t>
      </w:r>
    </w:p>
    <w:p w:rsidR="007010E9" w:rsidRPr="003F420C" w:rsidRDefault="007010E9" w:rsidP="003F420C">
      <w:pPr>
        <w:pStyle w:val="Textoindependiente3"/>
        <w:spacing w:line="276" w:lineRule="auto"/>
        <w:ind w:right="760"/>
        <w:rPr>
          <w:i/>
        </w:rPr>
      </w:pPr>
    </w:p>
    <w:p w:rsidR="007010E9" w:rsidRPr="001F3482" w:rsidRDefault="00FD780D" w:rsidP="001F3482">
      <w:pPr>
        <w:pStyle w:val="Textoindependiente3"/>
        <w:spacing w:line="240" w:lineRule="auto"/>
        <w:ind w:left="426" w:right="420"/>
        <w:rPr>
          <w:i/>
          <w:sz w:val="22"/>
        </w:rPr>
      </w:pPr>
      <w:r w:rsidRPr="001F3482">
        <w:rPr>
          <w:i/>
          <w:sz w:val="22"/>
        </w:rPr>
        <w:t>“</w:t>
      </w:r>
      <w:r w:rsidR="007010E9" w:rsidRPr="001F3482">
        <w:rPr>
          <w:i/>
          <w:sz w:val="22"/>
        </w:rPr>
        <w:t>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ISS, o 500 en los 20 años anteriores al cumplimiento de la edad mínima, requisito que el demandante no reúne, en la medida que solo cotizó 771.5 semanas en toda su vida laboral de las cuales 309 lo fueron entre el 28 de agosto de 1987 y el 28 de agosto de 2007.</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 xml:space="preserve">Así lo tiene dicho la jurisprudencia de la Sala, por ejemplo en la sentencia CSJ SL, 10 </w:t>
      </w:r>
      <w:proofErr w:type="gramStart"/>
      <w:r w:rsidRPr="001F3482">
        <w:rPr>
          <w:i/>
          <w:sz w:val="22"/>
        </w:rPr>
        <w:t>mar</w:t>
      </w:r>
      <w:proofErr w:type="gramEnd"/>
      <w:r w:rsidRPr="001F3482">
        <w:rPr>
          <w:i/>
          <w:sz w:val="22"/>
        </w:rPr>
        <w:t>. 2009, rad. 35792, en la que se dijo:</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tabs>
          <w:tab w:val="clear" w:pos="7185"/>
        </w:tabs>
        <w:spacing w:line="240" w:lineRule="auto"/>
        <w:ind w:left="709" w:right="703"/>
        <w:rPr>
          <w:i/>
          <w:sz w:val="22"/>
        </w:rPr>
      </w:pPr>
      <w:r w:rsidRPr="001F3482">
        <w:rPr>
          <w:i/>
          <w:sz w:val="22"/>
        </w:rPr>
        <w:t xml:space="preserve">2. </w:t>
      </w:r>
      <w:r w:rsidRPr="001F3482">
        <w:rPr>
          <w:sz w:val="22"/>
        </w:rPr>
        <w:t>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ISS y más específicamente para casos similares a los de la actora quien estuvo afiliada y haciendo aportes a esta entidad antes y después de la entrada en vigencia de la Ley 100 de 1993</w:t>
      </w:r>
      <w:r w:rsidRPr="001F3482">
        <w:rPr>
          <w:i/>
          <w:sz w:val="22"/>
        </w:rPr>
        <w:t>”.</w:t>
      </w:r>
    </w:p>
    <w:p w:rsidR="007010E9" w:rsidRPr="001F3482" w:rsidRDefault="007010E9" w:rsidP="001F3482">
      <w:pPr>
        <w:pStyle w:val="Textoindependiente3"/>
        <w:tabs>
          <w:tab w:val="clear" w:pos="7185"/>
        </w:tabs>
        <w:spacing w:line="240" w:lineRule="auto"/>
        <w:ind w:left="709" w:right="703"/>
        <w:rPr>
          <w:i/>
          <w:sz w:val="22"/>
        </w:rPr>
      </w:pPr>
      <w:r w:rsidRPr="001F3482">
        <w:rPr>
          <w:i/>
          <w:sz w:val="22"/>
        </w:rPr>
        <w:t xml:space="preserve"> </w:t>
      </w:r>
    </w:p>
    <w:p w:rsidR="007010E9" w:rsidRPr="001F3482" w:rsidRDefault="007010E9" w:rsidP="001F3482">
      <w:pPr>
        <w:pStyle w:val="Textoindependiente3"/>
        <w:tabs>
          <w:tab w:val="clear" w:pos="7185"/>
        </w:tabs>
        <w:spacing w:line="240" w:lineRule="auto"/>
        <w:ind w:left="709" w:right="703"/>
        <w:rPr>
          <w:i/>
          <w:sz w:val="22"/>
        </w:rPr>
      </w:pPr>
      <w:r w:rsidRPr="001F3482">
        <w:rPr>
          <w:i/>
          <w:sz w:val="22"/>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p>
    <w:p w:rsidR="007010E9" w:rsidRPr="001F3482" w:rsidRDefault="007010E9" w:rsidP="001F3482">
      <w:pPr>
        <w:pStyle w:val="Textoindependiente3"/>
        <w:tabs>
          <w:tab w:val="clear" w:pos="7185"/>
        </w:tabs>
        <w:spacing w:line="240" w:lineRule="auto"/>
        <w:ind w:left="709" w:right="703"/>
        <w:rPr>
          <w:i/>
          <w:sz w:val="22"/>
        </w:rPr>
      </w:pPr>
      <w:r w:rsidRPr="001F3482">
        <w:rPr>
          <w:i/>
          <w:sz w:val="22"/>
        </w:rPr>
        <w:t xml:space="preserve"> </w:t>
      </w:r>
    </w:p>
    <w:p w:rsidR="007010E9" w:rsidRPr="001F3482" w:rsidRDefault="007010E9" w:rsidP="001F3482">
      <w:pPr>
        <w:pStyle w:val="Textoindependiente3"/>
        <w:tabs>
          <w:tab w:val="clear" w:pos="7185"/>
        </w:tabs>
        <w:spacing w:line="240" w:lineRule="auto"/>
        <w:ind w:left="709" w:right="703"/>
        <w:rPr>
          <w:i/>
          <w:sz w:val="22"/>
        </w:rPr>
      </w:pPr>
      <w:r w:rsidRPr="001F3482">
        <w:rPr>
          <w:i/>
          <w:sz w:val="22"/>
        </w:rPr>
        <w:t>De suerte que estos tres precisos temas se gobiernan por las disposiciones vigentes con anterioridad, las que se aplicarán en su integridad, sin que sea posible acudir a las preceptivas de la Ley 100 de 1993, salvo que se opte por ésta, caso en el cual deberá aplicarse en su integridad, según lo establece con claridad su artículo 288.</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 xml:space="preserve">A propósito, esta Sala de la Corte, en sentencia del 29 de marzo de 2001 (Rad. 15.493), adoctrinó: </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709" w:right="703"/>
        <w:rPr>
          <w:sz w:val="22"/>
        </w:rPr>
      </w:pPr>
      <w:r w:rsidRPr="001F3482">
        <w:rPr>
          <w:i/>
          <w:sz w:val="22"/>
        </w:rPr>
        <w:t>“</w:t>
      </w:r>
      <w:r w:rsidRPr="001F3482">
        <w:rPr>
          <w:sz w:val="22"/>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w:t>
      </w:r>
    </w:p>
    <w:p w:rsidR="007010E9" w:rsidRPr="001F3482" w:rsidRDefault="007010E9" w:rsidP="001F3482">
      <w:pPr>
        <w:pStyle w:val="Textoindependiente3"/>
        <w:spacing w:line="240" w:lineRule="auto"/>
        <w:ind w:left="709" w:right="703"/>
        <w:rPr>
          <w:sz w:val="22"/>
        </w:rPr>
      </w:pPr>
      <w:r w:rsidRPr="001F3482">
        <w:rPr>
          <w:sz w:val="22"/>
        </w:rPr>
        <w:t xml:space="preserve"> </w:t>
      </w:r>
    </w:p>
    <w:p w:rsidR="007010E9" w:rsidRPr="001F3482" w:rsidRDefault="007010E9" w:rsidP="001F3482">
      <w:pPr>
        <w:pStyle w:val="Textoindependiente3"/>
        <w:spacing w:line="240" w:lineRule="auto"/>
        <w:ind w:left="709" w:right="703"/>
        <w:rPr>
          <w:i/>
          <w:sz w:val="22"/>
        </w:rPr>
      </w:pPr>
      <w:r w:rsidRPr="001F3482">
        <w:rPr>
          <w:sz w:val="22"/>
        </w:rPr>
        <w:t>“Contrario a lo que señala el impugnante, los requisitos que prevé el mencionado art. 33 de la Ley 100 no se aplican para quienes quedaron en el régimen de transición, sino para los afiliados al régimen solidario  de prima media con prestación definida, caso diferente al del señor Chavarría Pérez</w:t>
      </w:r>
      <w:r w:rsidRPr="001F3482">
        <w:rPr>
          <w:i/>
          <w:sz w:val="22"/>
        </w:rPr>
        <w:t>”.</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 xml:space="preserve">Queda a salvo, como se dijo, el derecho de las personas de acogerse a cualquier norma de la Ley 100 de 1993, pero a condición del sometimiento a la totalidad de </w:t>
      </w:r>
      <w:r w:rsidRPr="001F3482">
        <w:rPr>
          <w:i/>
          <w:sz w:val="22"/>
        </w:rPr>
        <w:lastRenderedPageBreak/>
        <w:t>las disposiciones de esa ley, conforme viene consagrado en el artículo 288, del siguiente tenor literal:</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w:t>
      </w:r>
      <w:r w:rsidRPr="001F3482">
        <w:rPr>
          <w:sz w:val="22"/>
        </w:rPr>
        <w:t>ARTÍCULO 288. Aplicación de las disposiciones contenidas en la presente Ley y en leyes anteriores. Todo trabajador privado u oficial, funcionario público y servidor público tiene derecho a la vigencia de la presente Ley le sea aplicable cualquier norma en ella contenida que estime favorable ante el cotejo con lo dispuesto en leyes anteriores sobre la misma materia, siempre que se someta a la totalidad de disposiciones de esta ley</w:t>
      </w: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 xml:space="preserve">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En efecto, en la sentencia del 4 de noviembre de 2004, radicación 23611, esto dijo la Corte:</w:t>
      </w:r>
    </w:p>
    <w:p w:rsidR="001F3482" w:rsidRDefault="001F3482" w:rsidP="001F3482">
      <w:pPr>
        <w:pStyle w:val="Textoindependiente3"/>
        <w:spacing w:line="240" w:lineRule="auto"/>
        <w:ind w:left="426" w:right="420"/>
        <w:rPr>
          <w:i/>
          <w:sz w:val="22"/>
        </w:rPr>
      </w:pPr>
    </w:p>
    <w:p w:rsidR="007010E9" w:rsidRPr="001F3482" w:rsidRDefault="007010E9" w:rsidP="001F3482">
      <w:pPr>
        <w:pStyle w:val="Textoindependiente3"/>
        <w:spacing w:line="240" w:lineRule="auto"/>
        <w:ind w:left="709" w:right="703"/>
        <w:rPr>
          <w:sz w:val="22"/>
        </w:rPr>
      </w:pPr>
      <w:r w:rsidRPr="001F3482">
        <w:rPr>
          <w:i/>
          <w:sz w:val="22"/>
        </w:rPr>
        <w:t>“</w:t>
      </w:r>
      <w:r w:rsidRPr="001F3482">
        <w:rPr>
          <w:sz w:val="22"/>
        </w:rPr>
        <w:t>El parágrafo del artículo 36 de la Ley 100 de 1993, es del siguiente tenor:</w:t>
      </w:r>
    </w:p>
    <w:p w:rsidR="007010E9" w:rsidRPr="001F3482" w:rsidRDefault="007010E9" w:rsidP="001F3482">
      <w:pPr>
        <w:pStyle w:val="Textoindependiente3"/>
        <w:spacing w:line="240" w:lineRule="auto"/>
        <w:ind w:left="709" w:right="703"/>
        <w:rPr>
          <w:sz w:val="22"/>
        </w:rPr>
      </w:pPr>
      <w:r w:rsidRPr="001F3482">
        <w:rPr>
          <w:sz w:val="22"/>
        </w:rPr>
        <w:t xml:space="preserve"> </w:t>
      </w:r>
    </w:p>
    <w:p w:rsidR="007010E9" w:rsidRPr="001F3482" w:rsidRDefault="007010E9" w:rsidP="001F3482">
      <w:pPr>
        <w:pStyle w:val="Textoindependiente3"/>
        <w:spacing w:line="240" w:lineRule="auto"/>
        <w:ind w:left="709" w:right="703"/>
        <w:rPr>
          <w:sz w:val="22"/>
        </w:rPr>
      </w:pPr>
      <w:r w:rsidRPr="001F3482">
        <w:rPr>
          <w:sz w:val="22"/>
        </w:rPr>
        <w:t>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w:t>
      </w:r>
    </w:p>
    <w:p w:rsidR="007010E9" w:rsidRPr="001F3482" w:rsidRDefault="007010E9" w:rsidP="001F3482">
      <w:pPr>
        <w:pStyle w:val="Textoindependiente3"/>
        <w:spacing w:line="240" w:lineRule="auto"/>
        <w:ind w:left="709" w:right="703"/>
        <w:rPr>
          <w:sz w:val="22"/>
        </w:rPr>
      </w:pPr>
      <w:r w:rsidRPr="001F3482">
        <w:rPr>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Aún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Y ello es así porque el citado inciso 1º comienza señalando que la</w:t>
      </w:r>
      <w:r w:rsidRPr="001F3482">
        <w:rPr>
          <w:sz w:val="22"/>
        </w:rPr>
        <w:t xml:space="preserve"> “edad para acceder a la pensión de vejez continuará”, </w:t>
      </w:r>
      <w:r w:rsidRPr="001F3482">
        <w:rPr>
          <w:i/>
          <w:sz w:val="22"/>
        </w:rPr>
        <w:t>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encontrara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 xml:space="preserve">Así las cosas, lo que señala el parágrafo en comento, viene a ser una reiteración de lo que con antelación se establece en el parágrafo 1º del </w:t>
      </w:r>
      <w:r w:rsidRPr="001F3482">
        <w:rPr>
          <w:i/>
          <w:sz w:val="22"/>
        </w:rPr>
        <w:lastRenderedPageBreak/>
        <w:t>artículo 33, que dispuso que para efectos del cómputo de las semanas a que se refiere tal artículo se tendría 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 xml:space="preserve">Previsión que, como surge de su texto, se halla en concordancia con el literal f) del artículo 13 de la Ley 100, que igualmente ha sido </w:t>
      </w:r>
      <w:proofErr w:type="gramStart"/>
      <w:r w:rsidRPr="001F3482">
        <w:rPr>
          <w:i/>
          <w:sz w:val="22"/>
        </w:rPr>
        <w:t>desarrollado</w:t>
      </w:r>
      <w:proofErr w:type="gramEnd"/>
      <w:r w:rsidRPr="001F3482">
        <w:rPr>
          <w:i/>
          <w:sz w:val="22"/>
        </w:rPr>
        <w:t xml:space="preserve"> por el parágrafo del artículo 36 de esa ley. Como es sabido, en dicho literal se precisa que “para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rsidR="007010E9" w:rsidRPr="001F3482" w:rsidRDefault="007010E9" w:rsidP="001F3482">
      <w:pPr>
        <w:pStyle w:val="Textoindependiente3"/>
        <w:spacing w:line="240" w:lineRule="auto"/>
        <w:ind w:left="709" w:right="703"/>
        <w:rPr>
          <w:i/>
          <w:sz w:val="22"/>
        </w:rPr>
      </w:pPr>
      <w:bookmarkStart w:id="0" w:name="_GoBack"/>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actor, dada la forma como ha efectuado sus cotizaciones y los servicios que ha prestado.</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Importa precisar, por otro lado, que el citado parágrafo del artículo 36 de la Ley 100 de 1993 no puede ser interpretado de manera aislada del resto de este artículo. Y de ese modo, resulta que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Pero dichas cotizaciones se entiende que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 xml:space="preserve">Para la Corte, el entendimiento sugerido por el recurrente, que dice apoyar en los principios que orientan la seguridad social en Colombia, resulta contraria al texto explícito del citado artículo 36 de la Ley 100 de 1993, y supondría una excepción no contemplada en esa disposición, que fraccionaría la aplicación, en materia de semanas de cotización, del régimen anterior al cual se hallaba </w:t>
      </w:r>
      <w:r w:rsidRPr="001F3482">
        <w:rPr>
          <w:i/>
          <w:sz w:val="22"/>
        </w:rPr>
        <w:lastRenderedPageBreak/>
        <w:t>afiliado al beneficiario, pues supondría que para efectos de establecer el número de semanas cotizadas se aplicaría dicho régimen, pero para contabilizarlas se tomaría en cuenta lo establecido por la señalada ley 100, lo cual no resulta congruente.</w:t>
      </w:r>
    </w:p>
    <w:p w:rsidR="007010E9" w:rsidRPr="001F3482" w:rsidRDefault="007010E9" w:rsidP="001F3482">
      <w:pPr>
        <w:pStyle w:val="Textoindependiente3"/>
        <w:spacing w:line="240" w:lineRule="auto"/>
        <w:ind w:left="709" w:right="703"/>
        <w:rPr>
          <w:i/>
          <w:sz w:val="22"/>
        </w:rPr>
      </w:pPr>
      <w:r w:rsidRPr="001F3482">
        <w:rPr>
          <w:i/>
          <w:sz w:val="22"/>
        </w:rPr>
        <w:t xml:space="preserve"> </w:t>
      </w:r>
    </w:p>
    <w:p w:rsidR="007010E9" w:rsidRPr="001F3482" w:rsidRDefault="007010E9" w:rsidP="001F3482">
      <w:pPr>
        <w:pStyle w:val="Textoindependiente3"/>
        <w:spacing w:line="240" w:lineRule="auto"/>
        <w:ind w:left="709" w:right="703"/>
        <w:rPr>
          <w:i/>
          <w:sz w:val="22"/>
        </w:rPr>
      </w:pPr>
      <w:r w:rsidRPr="001F3482">
        <w:rPr>
          <w:i/>
          <w:sz w:val="22"/>
        </w:rPr>
        <w:t>Por lo anterior, cabe decir que no incurrió el Tribunal en la interpretación errónea que se le endilga, en relación con los efectos del artículo 36 de la Ley 100 de 1993, por cuanto la hermenéutica adoptada consulta en un todo el sentido de esa disposición denunciada”.</w:t>
      </w:r>
    </w:p>
    <w:bookmarkEnd w:id="0"/>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Como la situación fáctica y jurídica del presente caso se ajusta a la relacionada en la sentencia replicada, no incurrió el juzgador en el dislate denunciado.</w:t>
      </w:r>
    </w:p>
    <w:p w:rsidR="007010E9" w:rsidRPr="001F3482" w:rsidRDefault="007010E9" w:rsidP="001F3482">
      <w:pPr>
        <w:pStyle w:val="Textoindependiente3"/>
        <w:spacing w:line="240" w:lineRule="auto"/>
        <w:ind w:left="426" w:right="420"/>
        <w:rPr>
          <w:i/>
          <w:sz w:val="22"/>
        </w:rPr>
      </w:pPr>
      <w:r w:rsidRPr="001F3482">
        <w:rPr>
          <w:i/>
          <w:sz w:val="22"/>
        </w:rPr>
        <w:t xml:space="preserve"> </w:t>
      </w:r>
    </w:p>
    <w:p w:rsidR="007010E9" w:rsidRPr="001F3482" w:rsidRDefault="007010E9" w:rsidP="001F3482">
      <w:pPr>
        <w:pStyle w:val="Textoindependiente3"/>
        <w:spacing w:line="240" w:lineRule="auto"/>
        <w:ind w:left="426" w:right="420"/>
        <w:rPr>
          <w:i/>
          <w:sz w:val="22"/>
        </w:rPr>
      </w:pPr>
      <w:r w:rsidRPr="001F3482">
        <w:rPr>
          <w:i/>
          <w:sz w:val="22"/>
        </w:rPr>
        <w:t>Ahora bien, si la Corte analizara el asunto bajo el actual criterio jurisprudencia vertido en la sentencia CSJ SL,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semanas.</w:t>
      </w:r>
    </w:p>
    <w:p w:rsidR="001F3482" w:rsidRDefault="001F3482" w:rsidP="001F3482">
      <w:pPr>
        <w:pStyle w:val="Textoindependiente3"/>
        <w:spacing w:line="240" w:lineRule="auto"/>
        <w:ind w:left="426" w:right="420"/>
        <w:rPr>
          <w:i/>
          <w:sz w:val="22"/>
        </w:rPr>
      </w:pPr>
    </w:p>
    <w:p w:rsidR="007010E9" w:rsidRPr="001F3482" w:rsidRDefault="007010E9" w:rsidP="001F3482">
      <w:pPr>
        <w:pStyle w:val="Textoindependiente3"/>
        <w:spacing w:line="240" w:lineRule="auto"/>
        <w:ind w:left="426" w:right="420"/>
        <w:rPr>
          <w:i/>
          <w:sz w:val="22"/>
        </w:rPr>
      </w:pPr>
      <w:r w:rsidRPr="001F3482">
        <w:rPr>
          <w:i/>
          <w:sz w:val="22"/>
        </w:rPr>
        <w:t>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w:t>
      </w:r>
      <w:r w:rsidR="00FD780D" w:rsidRPr="001F3482">
        <w:rPr>
          <w:i/>
          <w:sz w:val="22"/>
        </w:rPr>
        <w:t>”</w:t>
      </w:r>
      <w:r w:rsidRPr="001F3482">
        <w:rPr>
          <w:i/>
          <w:sz w:val="22"/>
        </w:rPr>
        <w:t xml:space="preserve"> </w:t>
      </w:r>
    </w:p>
    <w:p w:rsidR="007010E9" w:rsidRPr="003F420C" w:rsidRDefault="007010E9" w:rsidP="003F420C">
      <w:pPr>
        <w:pStyle w:val="Textoindependiente3"/>
        <w:spacing w:line="276" w:lineRule="auto"/>
      </w:pPr>
    </w:p>
    <w:p w:rsidR="00336B10" w:rsidRPr="003F420C" w:rsidRDefault="00336B10" w:rsidP="003F420C">
      <w:pPr>
        <w:pStyle w:val="Textoindependiente3"/>
        <w:spacing w:line="276" w:lineRule="auto"/>
      </w:pPr>
      <w:r w:rsidRPr="003F420C">
        <w:t xml:space="preserve">Ahora, </w:t>
      </w:r>
      <w:r w:rsidR="00791FAF" w:rsidRPr="003F420C">
        <w:t xml:space="preserve">para modificar el anterior criterio Jurisprudencial, </w:t>
      </w:r>
      <w:r w:rsidR="00A52AFE" w:rsidRPr="003F420C">
        <w:t xml:space="preserve">dice la Corte </w:t>
      </w:r>
      <w:r w:rsidR="00791FAF" w:rsidRPr="003F420C">
        <w:t>que:</w:t>
      </w:r>
    </w:p>
    <w:p w:rsidR="00336B10" w:rsidRPr="003F420C" w:rsidRDefault="00336B10" w:rsidP="003F420C">
      <w:pPr>
        <w:spacing w:line="276" w:lineRule="auto"/>
        <w:ind w:firstLine="708"/>
        <w:jc w:val="both"/>
        <w:rPr>
          <w:rFonts w:ascii="Arial" w:hAnsi="Arial" w:cs="Arial"/>
          <w:sz w:val="24"/>
          <w:szCs w:val="24"/>
        </w:rPr>
      </w:pPr>
    </w:p>
    <w:p w:rsidR="00336B10" w:rsidRPr="001F3482" w:rsidRDefault="00791FAF" w:rsidP="001F3482">
      <w:pPr>
        <w:ind w:left="426" w:right="420" w:firstLine="708"/>
        <w:jc w:val="both"/>
        <w:rPr>
          <w:rFonts w:ascii="Arial" w:hAnsi="Arial" w:cs="Arial"/>
          <w:sz w:val="22"/>
          <w:szCs w:val="24"/>
        </w:rPr>
      </w:pPr>
      <w:r w:rsidRPr="001F3482">
        <w:rPr>
          <w:rFonts w:ascii="Arial" w:hAnsi="Arial" w:cs="Arial"/>
          <w:sz w:val="22"/>
          <w:szCs w:val="24"/>
        </w:rPr>
        <w:t>“…</w:t>
      </w:r>
      <w:r w:rsidR="001F3482">
        <w:rPr>
          <w:rFonts w:ascii="Arial" w:hAnsi="Arial" w:cs="Arial"/>
          <w:sz w:val="22"/>
          <w:szCs w:val="24"/>
        </w:rPr>
        <w:t xml:space="preserve"> </w:t>
      </w:r>
      <w:r w:rsidR="00336B10" w:rsidRPr="001F3482">
        <w:rPr>
          <w:rFonts w:ascii="Arial" w:hAnsi="Arial" w:cs="Arial"/>
          <w:sz w:val="22"/>
          <w:szCs w:val="24"/>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w:t>
      </w:r>
    </w:p>
    <w:p w:rsidR="00336B10" w:rsidRPr="001F3482" w:rsidRDefault="00336B10" w:rsidP="001F3482">
      <w:pPr>
        <w:ind w:left="426" w:right="420" w:firstLine="708"/>
        <w:jc w:val="both"/>
        <w:rPr>
          <w:rFonts w:ascii="Arial" w:hAnsi="Arial" w:cs="Arial"/>
          <w:sz w:val="22"/>
          <w:szCs w:val="24"/>
        </w:rPr>
      </w:pPr>
    </w:p>
    <w:p w:rsidR="00336B10" w:rsidRPr="001F3482" w:rsidRDefault="00336B10" w:rsidP="001F3482">
      <w:pPr>
        <w:ind w:left="426" w:right="420" w:firstLine="708"/>
        <w:jc w:val="both"/>
        <w:rPr>
          <w:rFonts w:ascii="Arial" w:hAnsi="Arial" w:cs="Arial"/>
          <w:sz w:val="22"/>
          <w:szCs w:val="24"/>
        </w:rPr>
      </w:pPr>
      <w:r w:rsidRPr="001F3482">
        <w:rPr>
          <w:rFonts w:ascii="Arial" w:hAnsi="Arial" w:cs="Arial"/>
          <w:sz w:val="22"/>
          <w:szCs w:val="24"/>
        </w:rPr>
        <w:t xml:space="preserve">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 </w:t>
      </w:r>
      <w:proofErr w:type="spellStart"/>
      <w:r w:rsidRPr="001F3482">
        <w:rPr>
          <w:rFonts w:ascii="Arial" w:hAnsi="Arial" w:cs="Arial"/>
          <w:sz w:val="22"/>
          <w:szCs w:val="24"/>
        </w:rPr>
        <w:t>ultraactiva</w:t>
      </w:r>
      <w:proofErr w:type="spellEnd"/>
      <w:r w:rsidRPr="001F3482">
        <w:rPr>
          <w:rFonts w:ascii="Arial" w:hAnsi="Arial" w:cs="Arial"/>
          <w:sz w:val="22"/>
          <w:szCs w:val="24"/>
        </w:rPr>
        <w:t xml:space="preserve"> de la disposición anterior, se reitera, en algunos aspectos definidos por el propio legislador. </w:t>
      </w:r>
    </w:p>
    <w:p w:rsidR="00336B10" w:rsidRPr="001F3482" w:rsidRDefault="00336B10" w:rsidP="001F3482">
      <w:pPr>
        <w:ind w:left="426" w:right="420" w:firstLine="708"/>
        <w:jc w:val="both"/>
        <w:rPr>
          <w:rFonts w:ascii="Arial" w:hAnsi="Arial" w:cs="Arial"/>
          <w:sz w:val="22"/>
          <w:szCs w:val="24"/>
        </w:rPr>
      </w:pPr>
    </w:p>
    <w:p w:rsidR="00336B10" w:rsidRPr="001F3482" w:rsidRDefault="00336B10" w:rsidP="001F3482">
      <w:pPr>
        <w:ind w:left="426" w:right="420" w:firstLine="708"/>
        <w:jc w:val="both"/>
        <w:rPr>
          <w:rFonts w:ascii="Arial" w:hAnsi="Arial" w:cs="Arial"/>
          <w:sz w:val="22"/>
          <w:szCs w:val="24"/>
        </w:rPr>
      </w:pPr>
      <w:r w:rsidRPr="001F3482">
        <w:rPr>
          <w:rFonts w:ascii="Arial" w:hAnsi="Arial" w:cs="Arial"/>
          <w:sz w:val="22"/>
          <w:szCs w:val="24"/>
        </w:rPr>
        <w:t xml:space="preserve">Específicamente, el régimen de transición contemplado en el artículo 36 de la Ley 100 de 1993 implicó una protección especial para quienes se encuentran cobijados por éste, en el sentido de que la normativa anterior aplicable tendría los mencionados efectos </w:t>
      </w:r>
      <w:proofErr w:type="spellStart"/>
      <w:r w:rsidRPr="001F3482">
        <w:rPr>
          <w:rFonts w:ascii="Arial" w:hAnsi="Arial" w:cs="Arial"/>
          <w:sz w:val="22"/>
          <w:szCs w:val="24"/>
        </w:rPr>
        <w:t>ultraactivos</w:t>
      </w:r>
      <w:proofErr w:type="spellEnd"/>
      <w:r w:rsidRPr="001F3482">
        <w:rPr>
          <w:rFonts w:ascii="Arial" w:hAnsi="Arial" w:cs="Arial"/>
          <w:sz w:val="22"/>
          <w:szCs w:val="24"/>
        </w:rPr>
        <w:t xml:space="preserve"> solamente en los aspectos de edad, tiempo y monto, pues el resto de condiciones pensionales se encuentran regidas por las disposiciones de la Ley 100 de 1993.</w:t>
      </w:r>
    </w:p>
    <w:p w:rsidR="00336B10" w:rsidRPr="001F3482" w:rsidRDefault="00336B10" w:rsidP="001F3482">
      <w:pPr>
        <w:ind w:left="426" w:right="420" w:firstLine="708"/>
        <w:jc w:val="both"/>
        <w:rPr>
          <w:rFonts w:ascii="Arial" w:hAnsi="Arial" w:cs="Arial"/>
          <w:sz w:val="22"/>
          <w:szCs w:val="24"/>
        </w:rPr>
      </w:pPr>
    </w:p>
    <w:p w:rsidR="00336B10" w:rsidRPr="001F3482" w:rsidRDefault="00336B10" w:rsidP="001F3482">
      <w:pPr>
        <w:ind w:left="426" w:right="420" w:firstLine="708"/>
        <w:jc w:val="both"/>
        <w:rPr>
          <w:rFonts w:ascii="Arial" w:hAnsi="Arial" w:cs="Arial"/>
          <w:sz w:val="22"/>
          <w:szCs w:val="24"/>
        </w:rPr>
      </w:pPr>
      <w:r w:rsidRPr="001F3482">
        <w:rPr>
          <w:rFonts w:ascii="Arial" w:hAnsi="Arial" w:cs="Arial"/>
          <w:sz w:val="22"/>
          <w:szCs w:val="24"/>
        </w:rPr>
        <w:t xml:space="preserve">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w:t>
      </w:r>
      <w:r w:rsidRPr="001F3482">
        <w:rPr>
          <w:rFonts w:ascii="Arial" w:hAnsi="Arial" w:cs="Arial"/>
          <w:sz w:val="22"/>
          <w:szCs w:val="24"/>
        </w:rPr>
        <w:lastRenderedPageBreak/>
        <w:t xml:space="preserve">tiempos públicos, así éstos no hayan sido objeto de aportes a cajas, fondos o entidades de previsión social.  </w:t>
      </w:r>
    </w:p>
    <w:p w:rsidR="00336B10" w:rsidRPr="001F3482" w:rsidRDefault="00336B10" w:rsidP="001F3482">
      <w:pPr>
        <w:ind w:left="426" w:right="420" w:firstLine="708"/>
        <w:jc w:val="both"/>
        <w:rPr>
          <w:rFonts w:ascii="Arial" w:hAnsi="Arial" w:cs="Arial"/>
          <w:sz w:val="22"/>
          <w:szCs w:val="24"/>
        </w:rPr>
      </w:pPr>
    </w:p>
    <w:p w:rsidR="00336B10" w:rsidRPr="001F3482" w:rsidRDefault="00336B10" w:rsidP="001F3482">
      <w:pPr>
        <w:ind w:left="426" w:right="420" w:firstLine="708"/>
        <w:jc w:val="both"/>
        <w:rPr>
          <w:rFonts w:ascii="Arial" w:hAnsi="Arial" w:cs="Arial"/>
          <w:sz w:val="22"/>
          <w:szCs w:val="24"/>
        </w:rPr>
      </w:pPr>
      <w:r w:rsidRPr="001F3482">
        <w:rPr>
          <w:rFonts w:ascii="Arial" w:hAnsi="Arial" w:cs="Arial"/>
          <w:sz w:val="22"/>
          <w:szCs w:val="24"/>
        </w:rPr>
        <w:t>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w:t>
      </w:r>
      <w:r w:rsidR="001F3482">
        <w:rPr>
          <w:rFonts w:ascii="Arial" w:hAnsi="Arial" w:cs="Arial"/>
          <w:sz w:val="22"/>
          <w:szCs w:val="24"/>
        </w:rPr>
        <w:t>do, se reafirma, el parágrafo 1</w:t>
      </w:r>
      <w:r w:rsidRPr="001F3482">
        <w:rPr>
          <w:rFonts w:ascii="Arial" w:hAnsi="Arial" w:cs="Arial"/>
          <w:sz w:val="22"/>
          <w:szCs w:val="24"/>
        </w:rPr>
        <w:t xml:space="preserve">º del artículo 33 de dicho precepto consagra la validez de los tiempos como servidor público para el cómputo de las semanas. </w:t>
      </w:r>
    </w:p>
    <w:p w:rsidR="00336B10" w:rsidRPr="001F3482" w:rsidRDefault="00336B10" w:rsidP="001F3482">
      <w:pPr>
        <w:ind w:left="426" w:right="420" w:firstLine="708"/>
        <w:jc w:val="both"/>
        <w:rPr>
          <w:rFonts w:ascii="Arial" w:hAnsi="Arial" w:cs="Arial"/>
          <w:sz w:val="22"/>
          <w:szCs w:val="24"/>
        </w:rPr>
      </w:pPr>
    </w:p>
    <w:p w:rsidR="00336B10" w:rsidRPr="001F3482" w:rsidRDefault="00336B10" w:rsidP="001F3482">
      <w:pPr>
        <w:ind w:left="426" w:right="420" w:firstLine="708"/>
        <w:jc w:val="both"/>
        <w:rPr>
          <w:rFonts w:ascii="Arial" w:hAnsi="Arial" w:cs="Arial"/>
          <w:sz w:val="22"/>
          <w:szCs w:val="24"/>
        </w:rPr>
      </w:pPr>
      <w:r w:rsidRPr="001F3482">
        <w:rPr>
          <w:rFonts w:ascii="Arial" w:hAnsi="Arial" w:cs="Arial"/>
          <w:sz w:val="22"/>
          <w:szCs w:val="24"/>
        </w:rPr>
        <w:t>Esta lectura es acorde justamente con las finalidades propias de la Ley 100 de 1993, como ley del Sistema Seguridad Social Integral, pues esta regulación permitió que las personas pudieran acumular semanas aportadas o tiempos servidos al Estado, indistintamente, para efectos de consolidar su pensión de vejez, bajo el presupuesto de que los aportes a seguridad social tengan soporte en el trabajo efectivamente realizado.</w:t>
      </w:r>
      <w:r w:rsidR="00791FAF" w:rsidRPr="001F3482">
        <w:rPr>
          <w:rFonts w:ascii="Arial" w:hAnsi="Arial" w:cs="Arial"/>
          <w:sz w:val="22"/>
          <w:szCs w:val="24"/>
        </w:rPr>
        <w:t>”</w:t>
      </w:r>
      <w:r w:rsidRPr="001F3482">
        <w:rPr>
          <w:rFonts w:ascii="Arial" w:hAnsi="Arial" w:cs="Arial"/>
          <w:sz w:val="22"/>
          <w:szCs w:val="24"/>
        </w:rPr>
        <w:t xml:space="preserve"> </w:t>
      </w:r>
    </w:p>
    <w:p w:rsidR="00336B10" w:rsidRPr="003F420C" w:rsidRDefault="00336B10" w:rsidP="003F420C">
      <w:pPr>
        <w:pStyle w:val="Textoindependiente3"/>
        <w:spacing w:line="276" w:lineRule="auto"/>
      </w:pPr>
      <w:r w:rsidRPr="003F420C">
        <w:t xml:space="preserve"> </w:t>
      </w:r>
    </w:p>
    <w:p w:rsidR="00E712DB" w:rsidRPr="003F420C" w:rsidRDefault="00791FAF" w:rsidP="003F420C">
      <w:pPr>
        <w:pStyle w:val="Textoindependiente3"/>
        <w:spacing w:line="276" w:lineRule="auto"/>
      </w:pPr>
      <w:r w:rsidRPr="003F420C">
        <w:t xml:space="preserve">Argumentación que olvida precisamente que la ley 100 de 1993 quiso permitir la sumatoria de esos tiempos para otorgar prestaciones bajo su vigencia en las condiciones que ella prevé, pero nunca cambiar las reglas precedentes para facilitar el acceso a prestaciones sin el cumplimiento de los requisitos previstos en las normas </w:t>
      </w:r>
      <w:r w:rsidR="00E535CB" w:rsidRPr="003F420C">
        <w:t xml:space="preserve">anteriores. </w:t>
      </w:r>
      <w:r w:rsidRPr="003F420C">
        <w:t xml:space="preserve"> </w:t>
      </w:r>
      <w:r w:rsidR="00E535CB" w:rsidRPr="003F420C">
        <w:t>Es que, no cabe duda que por el camino elegido con la nueva argumentación, no se hace cosa diferente que crear una legislación inexistente como lo es otorgar pensiones con sumatoria de tiempos públicos y privados (ley 71 de 1988) con tasa de reemplazo superior al 75% (acuerdo 049 de 1990)</w:t>
      </w:r>
      <w:r w:rsidR="001E7D12" w:rsidRPr="003F420C">
        <w:t>.</w:t>
      </w:r>
    </w:p>
    <w:p w:rsidR="001E7D12" w:rsidRPr="003F420C" w:rsidRDefault="001E7D12" w:rsidP="003F420C">
      <w:pPr>
        <w:pStyle w:val="Textoindependiente3"/>
        <w:spacing w:line="276" w:lineRule="auto"/>
      </w:pPr>
    </w:p>
    <w:p w:rsidR="008F5657" w:rsidRPr="003F420C" w:rsidRDefault="008F5657" w:rsidP="003F420C">
      <w:pPr>
        <w:pStyle w:val="Textoindependiente3"/>
        <w:spacing w:line="276" w:lineRule="auto"/>
      </w:pPr>
      <w:r w:rsidRPr="003F420C">
        <w:t>No sobra recordar el contenido del artículo 288 de la ley 100 de 1993 que dejó sentadas claramente las reglas de juego sobre aplicación de la antigua y nueva legislación así:</w:t>
      </w:r>
    </w:p>
    <w:p w:rsidR="008F5657" w:rsidRPr="003F420C" w:rsidRDefault="008F5657" w:rsidP="003F420C">
      <w:pPr>
        <w:pStyle w:val="Textoindependiente3"/>
        <w:spacing w:line="276" w:lineRule="auto"/>
      </w:pPr>
    </w:p>
    <w:p w:rsidR="008F5657" w:rsidRPr="001F3482" w:rsidRDefault="008F5657" w:rsidP="001F3482">
      <w:pPr>
        <w:pStyle w:val="Textoindependiente3"/>
        <w:spacing w:line="240" w:lineRule="auto"/>
        <w:ind w:left="426" w:right="420"/>
        <w:rPr>
          <w:sz w:val="22"/>
        </w:rPr>
      </w:pPr>
      <w:bookmarkStart w:id="1" w:name="288"/>
      <w:r w:rsidRPr="001F3482">
        <w:rPr>
          <w:b/>
          <w:bCs/>
          <w:sz w:val="22"/>
        </w:rPr>
        <w:t>“ARTÍCULO 288. APLICACIÓN DE LAS DISPOSICIONES CONTENIDAS EN LA PRESENTE LEY Y EN LEYES ANTERIORES.</w:t>
      </w:r>
      <w:bookmarkEnd w:id="1"/>
      <w:r w:rsidRPr="001F3482">
        <w:rPr>
          <w:sz w:val="22"/>
        </w:rPr>
        <w:t xml:space="preserve"> Todo trabajador privado u oficial, funcionario público, empleado público y servidor público tiene derecho a la vigencia de la presente Ley le sea aplicable cualquier norma en ella contenida que estime favorable ante el cotejo con lo dispuesto en leyes anteriores sobre la misma materia, </w:t>
      </w:r>
      <w:r w:rsidRPr="001F3482">
        <w:rPr>
          <w:b/>
          <w:sz w:val="22"/>
        </w:rPr>
        <w:t>siempre que se someta a la totalidad de disposiciones de esta Ley</w:t>
      </w:r>
      <w:r w:rsidRPr="001F3482">
        <w:rPr>
          <w:sz w:val="22"/>
        </w:rPr>
        <w:t>.”</w:t>
      </w:r>
    </w:p>
    <w:p w:rsidR="008F5657" w:rsidRPr="003F420C" w:rsidRDefault="008F5657" w:rsidP="003F420C">
      <w:pPr>
        <w:pStyle w:val="Textoindependiente3"/>
        <w:spacing w:line="276" w:lineRule="auto"/>
      </w:pPr>
    </w:p>
    <w:p w:rsidR="00E712DB" w:rsidRPr="003F420C" w:rsidRDefault="007042F0" w:rsidP="003F420C">
      <w:pPr>
        <w:pStyle w:val="Textoindependiente3"/>
        <w:spacing w:line="276" w:lineRule="auto"/>
      </w:pPr>
      <w:r w:rsidRPr="003F420C">
        <w:t xml:space="preserve">Así las cosas, </w:t>
      </w:r>
      <w:r w:rsidR="00E535CB" w:rsidRPr="003F420C">
        <w:t xml:space="preserve">no estoy </w:t>
      </w:r>
      <w:r w:rsidRPr="003F420C">
        <w:t>de acuerdo estoy con la decisión</w:t>
      </w:r>
      <w:r w:rsidR="00E535CB" w:rsidRPr="003F420C">
        <w:t xml:space="preserve"> y por ello salvo mi voto</w:t>
      </w:r>
      <w:r w:rsidRPr="003F420C">
        <w:t>.</w:t>
      </w:r>
    </w:p>
    <w:p w:rsidR="007042F0" w:rsidRPr="003F420C" w:rsidRDefault="007042F0" w:rsidP="003F420C">
      <w:pPr>
        <w:pStyle w:val="Textoindependiente3"/>
        <w:spacing w:line="276" w:lineRule="auto"/>
      </w:pPr>
    </w:p>
    <w:p w:rsidR="00E31749" w:rsidRPr="001F3482" w:rsidRDefault="00E31749" w:rsidP="001F3482">
      <w:pPr>
        <w:spacing w:line="276" w:lineRule="auto"/>
        <w:jc w:val="both"/>
        <w:rPr>
          <w:rFonts w:ascii="Arial" w:hAnsi="Arial" w:cs="Arial"/>
          <w:sz w:val="24"/>
          <w:szCs w:val="24"/>
        </w:rPr>
      </w:pPr>
    </w:p>
    <w:p w:rsidR="00815D3A" w:rsidRDefault="00815D3A" w:rsidP="003F420C">
      <w:pPr>
        <w:tabs>
          <w:tab w:val="left" w:pos="7185"/>
        </w:tabs>
        <w:spacing w:line="276" w:lineRule="auto"/>
        <w:jc w:val="both"/>
        <w:rPr>
          <w:rFonts w:ascii="Arial" w:hAnsi="Arial" w:cs="Arial"/>
          <w:iCs/>
          <w:sz w:val="24"/>
          <w:szCs w:val="24"/>
        </w:rPr>
      </w:pPr>
    </w:p>
    <w:p w:rsidR="001F3482" w:rsidRPr="003F420C" w:rsidRDefault="001F3482" w:rsidP="003F420C">
      <w:pPr>
        <w:tabs>
          <w:tab w:val="left" w:pos="7185"/>
        </w:tabs>
        <w:spacing w:line="276" w:lineRule="auto"/>
        <w:jc w:val="both"/>
        <w:rPr>
          <w:rFonts w:ascii="Arial" w:hAnsi="Arial" w:cs="Arial"/>
          <w:iCs/>
          <w:sz w:val="24"/>
          <w:szCs w:val="24"/>
        </w:rPr>
      </w:pPr>
    </w:p>
    <w:p w:rsidR="00F93C8E" w:rsidRPr="003F420C" w:rsidRDefault="00F93C8E" w:rsidP="003F420C">
      <w:pPr>
        <w:spacing w:line="276" w:lineRule="auto"/>
        <w:jc w:val="center"/>
        <w:rPr>
          <w:rFonts w:ascii="Arial" w:hAnsi="Arial" w:cs="Arial"/>
          <w:b/>
          <w:i/>
          <w:sz w:val="24"/>
          <w:szCs w:val="24"/>
        </w:rPr>
      </w:pPr>
      <w:r w:rsidRPr="003F420C">
        <w:rPr>
          <w:rFonts w:ascii="Arial" w:hAnsi="Arial" w:cs="Arial"/>
          <w:b/>
          <w:i/>
          <w:sz w:val="24"/>
          <w:szCs w:val="24"/>
        </w:rPr>
        <w:t>JULIO CÉSAR SALAZAR MUÑOZ</w:t>
      </w:r>
    </w:p>
    <w:p w:rsidR="00F93C8E" w:rsidRPr="003F420C" w:rsidRDefault="00F93C8E" w:rsidP="003F420C">
      <w:pPr>
        <w:spacing w:line="276" w:lineRule="auto"/>
        <w:jc w:val="center"/>
        <w:rPr>
          <w:rFonts w:ascii="Arial" w:hAnsi="Arial" w:cs="Arial"/>
          <w:sz w:val="24"/>
          <w:szCs w:val="24"/>
        </w:rPr>
      </w:pPr>
      <w:r w:rsidRPr="003F420C">
        <w:rPr>
          <w:rFonts w:ascii="Arial" w:hAnsi="Arial" w:cs="Arial"/>
          <w:i/>
          <w:sz w:val="24"/>
          <w:szCs w:val="24"/>
        </w:rPr>
        <w:t>Magistrado</w:t>
      </w:r>
    </w:p>
    <w:sectPr w:rsidR="00F93C8E" w:rsidRPr="003F420C" w:rsidSect="003F420C">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18" w:rsidRDefault="00B16B18">
      <w:r>
        <w:separator/>
      </w:r>
    </w:p>
  </w:endnote>
  <w:endnote w:type="continuationSeparator" w:id="0">
    <w:p w:rsidR="00B16B18" w:rsidRDefault="00B1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18" w:rsidRDefault="00B16B18">
      <w:r>
        <w:separator/>
      </w:r>
    </w:p>
  </w:footnote>
  <w:footnote w:type="continuationSeparator" w:id="0">
    <w:p w:rsidR="00B16B18" w:rsidRDefault="00B1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rsidR="00F93C8E" w:rsidRDefault="00F93C8E">
    <w:pPr>
      <w:tabs>
        <w:tab w:val="left" w:pos="-720"/>
      </w:tabs>
      <w:suppressAutoHyphens/>
      <w:jc w:val="both"/>
      <w:rPr>
        <w:rFonts w:ascii="Arial" w:hAnsi="Arial"/>
        <w:sz w:val="16"/>
      </w:rPr>
    </w:pPr>
    <w:r>
      <w:rPr>
        <w:rFonts w:ascii="Arial" w:hAnsi="Arial"/>
        <w:b/>
        <w:spacing w:val="-3"/>
        <w:sz w:val="16"/>
      </w:rPr>
      <w:tab/>
      <w:t xml:space="preserve">   </w:t>
    </w:r>
    <w:r w:rsidRPr="00361EF5">
      <w:rPr>
        <w:rFonts w:ascii="Arial" w:hAnsi="Arial"/>
        <w:b/>
        <w:spacing w:val="-3"/>
        <w:sz w:val="1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63.85pt" o:ole="" fillcolor="window">
          <v:imagedata r:id="rId1" o:title=""/>
        </v:shape>
        <o:OLEObject Type="Embed" ProgID="PBrush" ShapeID="_x0000_i1025" DrawAspect="Content" ObjectID="_1667972001"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rsidR="00F93C8E" w:rsidRDefault="00F93C8E">
    <w:pPr>
      <w:pStyle w:val="Ttulo3"/>
    </w:pPr>
    <w:r>
      <w:tab/>
      <w:t xml:space="preserve">  SALA LABORAL</w:t>
    </w:r>
    <w:r>
      <w:tab/>
    </w:r>
    <w:r>
      <w:tab/>
    </w:r>
    <w:r>
      <w:tab/>
    </w:r>
    <w:r>
      <w:tab/>
    </w:r>
  </w:p>
  <w:p w:rsidR="00F93C8E" w:rsidRDefault="00F93C8E">
    <w:pPr>
      <w:pStyle w:val="Ttulo1"/>
      <w:ind w:left="0" w:firstLine="0"/>
      <w:rPr>
        <w:rFonts w:ascii="Arial" w:hAnsi="Arial"/>
        <w:i w:val="0"/>
        <w:sz w:val="16"/>
      </w:rPr>
    </w:pPr>
    <w:r>
      <w:rPr>
        <w:rFonts w:ascii="Arial" w:hAnsi="Arial"/>
        <w:sz w:val="16"/>
      </w:rPr>
      <w:t xml:space="preserve">          </w:t>
    </w:r>
    <w:r>
      <w:rPr>
        <w:rFonts w:ascii="Arial" w:hAnsi="Arial"/>
        <w:i w:val="0"/>
        <w:sz w:val="16"/>
      </w:rPr>
      <w:t xml:space="preserve">PEREIRA – RISARALDA                                           </w:t>
    </w:r>
  </w:p>
  <w:p w:rsidR="00F93C8E" w:rsidRDefault="00F93C8E">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A2E"/>
    <w:rsid w:val="000A0F54"/>
    <w:rsid w:val="001E7D12"/>
    <w:rsid w:val="001F3482"/>
    <w:rsid w:val="0033341D"/>
    <w:rsid w:val="00336B10"/>
    <w:rsid w:val="00361EF5"/>
    <w:rsid w:val="003640D7"/>
    <w:rsid w:val="003C6690"/>
    <w:rsid w:val="003F232A"/>
    <w:rsid w:val="003F420C"/>
    <w:rsid w:val="0044582C"/>
    <w:rsid w:val="004C7987"/>
    <w:rsid w:val="004F5AFF"/>
    <w:rsid w:val="00564CDA"/>
    <w:rsid w:val="005C3200"/>
    <w:rsid w:val="005E66EB"/>
    <w:rsid w:val="00607B18"/>
    <w:rsid w:val="006317AA"/>
    <w:rsid w:val="00633013"/>
    <w:rsid w:val="006548FC"/>
    <w:rsid w:val="006D30D9"/>
    <w:rsid w:val="007010E9"/>
    <w:rsid w:val="007042F0"/>
    <w:rsid w:val="007222A6"/>
    <w:rsid w:val="00791FAF"/>
    <w:rsid w:val="007E680C"/>
    <w:rsid w:val="007F45EC"/>
    <w:rsid w:val="00815D3A"/>
    <w:rsid w:val="00865D57"/>
    <w:rsid w:val="008A028C"/>
    <w:rsid w:val="008C1CCF"/>
    <w:rsid w:val="008F5657"/>
    <w:rsid w:val="00951131"/>
    <w:rsid w:val="00961FE9"/>
    <w:rsid w:val="009648B4"/>
    <w:rsid w:val="0097322A"/>
    <w:rsid w:val="00A418C3"/>
    <w:rsid w:val="00A52AFE"/>
    <w:rsid w:val="00A667C2"/>
    <w:rsid w:val="00A85604"/>
    <w:rsid w:val="00AA54E1"/>
    <w:rsid w:val="00B16B18"/>
    <w:rsid w:val="00B42088"/>
    <w:rsid w:val="00BC0620"/>
    <w:rsid w:val="00BC7D37"/>
    <w:rsid w:val="00C4490E"/>
    <w:rsid w:val="00C65A99"/>
    <w:rsid w:val="00CD04EE"/>
    <w:rsid w:val="00D00DC7"/>
    <w:rsid w:val="00D6498D"/>
    <w:rsid w:val="00D71A6D"/>
    <w:rsid w:val="00D87D30"/>
    <w:rsid w:val="00D94D3E"/>
    <w:rsid w:val="00DB19CB"/>
    <w:rsid w:val="00E31749"/>
    <w:rsid w:val="00E535CB"/>
    <w:rsid w:val="00E712DB"/>
    <w:rsid w:val="00E75A2E"/>
    <w:rsid w:val="00F262DD"/>
    <w:rsid w:val="00F41C88"/>
    <w:rsid w:val="00F93C8E"/>
    <w:rsid w:val="00FD55DB"/>
    <w:rsid w:val="00FD7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F5"/>
    <w:rPr>
      <w:lang w:val="es-ES" w:eastAsia="es-ES"/>
    </w:rPr>
  </w:style>
  <w:style w:type="paragraph" w:styleId="Ttulo1">
    <w:name w:val="heading 1"/>
    <w:basedOn w:val="Normal"/>
    <w:next w:val="Normal"/>
    <w:qFormat/>
    <w:rsid w:val="00361EF5"/>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361EF5"/>
    <w:pPr>
      <w:keepNext/>
      <w:spacing w:line="360" w:lineRule="auto"/>
      <w:jc w:val="both"/>
      <w:outlineLvl w:val="1"/>
    </w:pPr>
    <w:rPr>
      <w:rFonts w:ascii="Arial" w:hAnsi="Arial" w:cs="Arial"/>
      <w:sz w:val="24"/>
    </w:rPr>
  </w:style>
  <w:style w:type="paragraph" w:styleId="Ttulo3">
    <w:name w:val="heading 3"/>
    <w:basedOn w:val="Normal"/>
    <w:next w:val="Normal"/>
    <w:qFormat/>
    <w:rsid w:val="00361EF5"/>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61EF5"/>
    <w:pPr>
      <w:tabs>
        <w:tab w:val="center" w:pos="4252"/>
        <w:tab w:val="right" w:pos="8504"/>
      </w:tabs>
    </w:pPr>
  </w:style>
  <w:style w:type="paragraph" w:styleId="Piedepgina">
    <w:name w:val="footer"/>
    <w:basedOn w:val="Normal"/>
    <w:semiHidden/>
    <w:rsid w:val="00361EF5"/>
    <w:pPr>
      <w:tabs>
        <w:tab w:val="center" w:pos="4252"/>
        <w:tab w:val="right" w:pos="8504"/>
      </w:tabs>
    </w:pPr>
  </w:style>
  <w:style w:type="paragraph" w:styleId="Textodeglobo">
    <w:name w:val="Balloon Text"/>
    <w:basedOn w:val="Normal"/>
    <w:semiHidden/>
    <w:rsid w:val="00361EF5"/>
    <w:rPr>
      <w:rFonts w:ascii="Tahoma" w:hAnsi="Tahoma" w:cs="Tahoma"/>
      <w:sz w:val="16"/>
      <w:szCs w:val="16"/>
    </w:rPr>
  </w:style>
  <w:style w:type="paragraph" w:styleId="Textoindependiente">
    <w:name w:val="Body Text"/>
    <w:basedOn w:val="Normal"/>
    <w:semiHidden/>
    <w:rsid w:val="00361EF5"/>
    <w:pPr>
      <w:spacing w:line="360" w:lineRule="auto"/>
      <w:jc w:val="both"/>
    </w:pPr>
    <w:rPr>
      <w:rFonts w:ascii="Arial" w:hAnsi="Arial" w:cs="Arial"/>
      <w:iCs/>
      <w:sz w:val="26"/>
      <w:szCs w:val="26"/>
    </w:rPr>
  </w:style>
  <w:style w:type="paragraph" w:styleId="Textoindependiente2">
    <w:name w:val="Body Text 2"/>
    <w:basedOn w:val="Normal"/>
    <w:semiHidden/>
    <w:rsid w:val="00361EF5"/>
    <w:pPr>
      <w:spacing w:line="360" w:lineRule="auto"/>
      <w:jc w:val="both"/>
    </w:pPr>
    <w:rPr>
      <w:rFonts w:ascii="Arial" w:hAnsi="Arial" w:cs="Arial"/>
      <w:iCs/>
      <w:sz w:val="22"/>
      <w:szCs w:val="26"/>
    </w:rPr>
  </w:style>
  <w:style w:type="paragraph" w:styleId="Textoindependiente3">
    <w:name w:val="Body Text 3"/>
    <w:basedOn w:val="Normal"/>
    <w:semiHidden/>
    <w:rsid w:val="00361EF5"/>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361EF5"/>
  </w:style>
  <w:style w:type="character" w:styleId="Hipervnculo">
    <w:name w:val="Hyperlink"/>
    <w:semiHidden/>
    <w:rsid w:val="00361EF5"/>
    <w:rPr>
      <w:color w:val="0000FF"/>
      <w:u w:val="single"/>
    </w:rPr>
  </w:style>
  <w:style w:type="paragraph" w:customStyle="1" w:styleId="paragraph">
    <w:name w:val="paragraph"/>
    <w:basedOn w:val="Normal"/>
    <w:rsid w:val="004F5AFF"/>
    <w:pPr>
      <w:spacing w:before="100" w:beforeAutospacing="1" w:after="100" w:afterAutospacing="1"/>
    </w:pPr>
    <w:rPr>
      <w:sz w:val="24"/>
      <w:szCs w:val="24"/>
      <w:lang w:val="es-CO" w:eastAsia="es-CO"/>
    </w:rPr>
  </w:style>
  <w:style w:type="character" w:customStyle="1" w:styleId="normaltextrun">
    <w:name w:val="normaltextrun"/>
    <w:rsid w:val="004F5AFF"/>
  </w:style>
  <w:style w:type="character" w:customStyle="1" w:styleId="eop">
    <w:name w:val="eop"/>
    <w:rsid w:val="004F5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3179">
      <w:bodyDiv w:val="1"/>
      <w:marLeft w:val="0"/>
      <w:marRight w:val="0"/>
      <w:marTop w:val="0"/>
      <w:marBottom w:val="0"/>
      <w:divBdr>
        <w:top w:val="none" w:sz="0" w:space="0" w:color="auto"/>
        <w:left w:val="none" w:sz="0" w:space="0" w:color="auto"/>
        <w:bottom w:val="none" w:sz="0" w:space="0" w:color="auto"/>
        <w:right w:val="none" w:sz="0" w:space="0" w:color="auto"/>
      </w:divBdr>
    </w:div>
    <w:div w:id="1225683276">
      <w:bodyDiv w:val="1"/>
      <w:marLeft w:val="0"/>
      <w:marRight w:val="0"/>
      <w:marTop w:val="0"/>
      <w:marBottom w:val="0"/>
      <w:divBdr>
        <w:top w:val="none" w:sz="0" w:space="0" w:color="auto"/>
        <w:left w:val="none" w:sz="0" w:space="0" w:color="auto"/>
        <w:bottom w:val="none" w:sz="0" w:space="0" w:color="auto"/>
        <w:right w:val="none" w:sz="0" w:space="0" w:color="auto"/>
      </w:divBdr>
      <w:divsChild>
        <w:div w:id="560750619">
          <w:marLeft w:val="0"/>
          <w:marRight w:val="0"/>
          <w:marTop w:val="0"/>
          <w:marBottom w:val="0"/>
          <w:divBdr>
            <w:top w:val="none" w:sz="0" w:space="0" w:color="auto"/>
            <w:left w:val="none" w:sz="0" w:space="0" w:color="auto"/>
            <w:bottom w:val="none" w:sz="0" w:space="0" w:color="auto"/>
            <w:right w:val="none" w:sz="0" w:space="0" w:color="auto"/>
          </w:divBdr>
        </w:div>
        <w:div w:id="491066188">
          <w:marLeft w:val="0"/>
          <w:marRight w:val="0"/>
          <w:marTop w:val="0"/>
          <w:marBottom w:val="0"/>
          <w:divBdr>
            <w:top w:val="none" w:sz="0" w:space="0" w:color="auto"/>
            <w:left w:val="none" w:sz="0" w:space="0" w:color="auto"/>
            <w:bottom w:val="none" w:sz="0" w:space="0" w:color="auto"/>
            <w:right w:val="none" w:sz="0" w:space="0" w:color="auto"/>
          </w:divBdr>
        </w:div>
        <w:div w:id="1779446517">
          <w:marLeft w:val="0"/>
          <w:marRight w:val="0"/>
          <w:marTop w:val="0"/>
          <w:marBottom w:val="0"/>
          <w:divBdr>
            <w:top w:val="none" w:sz="0" w:space="0" w:color="auto"/>
            <w:left w:val="none" w:sz="0" w:space="0" w:color="auto"/>
            <w:bottom w:val="none" w:sz="0" w:space="0" w:color="auto"/>
            <w:right w:val="none" w:sz="0" w:space="0" w:color="auto"/>
          </w:divBdr>
        </w:div>
        <w:div w:id="1841461365">
          <w:marLeft w:val="0"/>
          <w:marRight w:val="0"/>
          <w:marTop w:val="0"/>
          <w:marBottom w:val="0"/>
          <w:divBdr>
            <w:top w:val="none" w:sz="0" w:space="0" w:color="auto"/>
            <w:left w:val="none" w:sz="0" w:space="0" w:color="auto"/>
            <w:bottom w:val="none" w:sz="0" w:space="0" w:color="auto"/>
            <w:right w:val="none" w:sz="0" w:space="0" w:color="auto"/>
          </w:divBdr>
        </w:div>
        <w:div w:id="1407339062">
          <w:marLeft w:val="0"/>
          <w:marRight w:val="0"/>
          <w:marTop w:val="0"/>
          <w:marBottom w:val="0"/>
          <w:divBdr>
            <w:top w:val="none" w:sz="0" w:space="0" w:color="auto"/>
            <w:left w:val="none" w:sz="0" w:space="0" w:color="auto"/>
            <w:bottom w:val="none" w:sz="0" w:space="0" w:color="auto"/>
            <w:right w:val="none" w:sz="0" w:space="0" w:color="auto"/>
          </w:divBdr>
        </w:div>
        <w:div w:id="328758327">
          <w:marLeft w:val="0"/>
          <w:marRight w:val="0"/>
          <w:marTop w:val="0"/>
          <w:marBottom w:val="0"/>
          <w:divBdr>
            <w:top w:val="none" w:sz="0" w:space="0" w:color="auto"/>
            <w:left w:val="none" w:sz="0" w:space="0" w:color="auto"/>
            <w:bottom w:val="none" w:sz="0" w:space="0" w:color="auto"/>
            <w:right w:val="none" w:sz="0" w:space="0" w:color="auto"/>
          </w:divBdr>
        </w:div>
        <w:div w:id="81728428">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32757-F65A-458A-9B94-09215A037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05309-A454-4FDF-9400-0D2030DB2996}">
  <ds:schemaRefs>
    <ds:schemaRef ds:uri="http://schemas.microsoft.com/sharepoint/v3/contenttype/forms"/>
  </ds:schemaRefs>
</ds:datastoreItem>
</file>

<file path=customXml/itemProps3.xml><?xml version="1.0" encoding="utf-8"?>
<ds:datastoreItem xmlns:ds="http://schemas.openxmlformats.org/officeDocument/2006/customXml" ds:itemID="{45A6FC30-A10B-4235-A6FA-E979ABB3C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3446</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creator>jtoroc</dc:creator>
  <cp:lastModifiedBy>ALONSO</cp:lastModifiedBy>
  <cp:revision>5</cp:revision>
  <cp:lastPrinted>2016-11-01T15:21:00Z</cp:lastPrinted>
  <dcterms:created xsi:type="dcterms:W3CDTF">2020-10-22T16:36:00Z</dcterms:created>
  <dcterms:modified xsi:type="dcterms:W3CDTF">2020-11-27T13:47:00Z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