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C2" w:rsidRPr="00481DC2" w:rsidRDefault="00481DC2" w:rsidP="00481D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81DC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481DC2">
        <w:rPr>
          <w:rFonts w:ascii="Arial" w:hAnsi="Arial" w:cs="Arial"/>
          <w:color w:val="FF0000"/>
          <w:spacing w:val="-4"/>
          <w:sz w:val="18"/>
          <w:szCs w:val="18"/>
          <w:lang w:val="es-419" w:eastAsia="fr-FR"/>
        </w:rPr>
        <w:tab/>
        <w:t>o.  El contenido total y fiel de la decisión debe ser verificado en la respectiva Secretaría.</w:t>
      </w:r>
    </w:p>
    <w:p w:rsidR="00481DC2" w:rsidRPr="00481DC2" w:rsidRDefault="00481DC2" w:rsidP="00481DC2">
      <w:pPr>
        <w:jc w:val="both"/>
        <w:rPr>
          <w:rFonts w:ascii="Arial" w:hAnsi="Arial" w:cs="Arial"/>
          <w:lang w:val="es-419"/>
        </w:rPr>
      </w:pPr>
    </w:p>
    <w:p w:rsidR="00481DC2" w:rsidRPr="00481DC2" w:rsidRDefault="00481DC2" w:rsidP="00481DC2">
      <w:pPr>
        <w:jc w:val="both"/>
        <w:rPr>
          <w:rFonts w:ascii="Arial" w:hAnsi="Arial" w:cs="Arial"/>
          <w:lang w:val="es-419"/>
        </w:rPr>
      </w:pPr>
      <w:r w:rsidRPr="00481DC2">
        <w:rPr>
          <w:rFonts w:ascii="Arial" w:hAnsi="Arial" w:cs="Arial"/>
          <w:lang w:val="es-419"/>
        </w:rPr>
        <w:t>Providencia:</w:t>
      </w:r>
      <w:r>
        <w:rPr>
          <w:rFonts w:ascii="Arial" w:hAnsi="Arial" w:cs="Arial"/>
          <w:lang w:val="es-419"/>
        </w:rPr>
        <w:tab/>
      </w:r>
      <w:r w:rsidRPr="00481DC2">
        <w:rPr>
          <w:rFonts w:ascii="Arial" w:hAnsi="Arial" w:cs="Arial"/>
          <w:lang w:val="es-419"/>
        </w:rPr>
        <w:tab/>
        <w:t>Auto de 7 de octubre de 2020</w:t>
      </w:r>
    </w:p>
    <w:p w:rsidR="00481DC2" w:rsidRPr="00481DC2" w:rsidRDefault="00481DC2" w:rsidP="00481DC2">
      <w:pPr>
        <w:jc w:val="both"/>
        <w:rPr>
          <w:rFonts w:ascii="Arial" w:hAnsi="Arial" w:cs="Arial"/>
          <w:lang w:val="es-419"/>
        </w:rPr>
      </w:pPr>
      <w:r w:rsidRPr="00481DC2">
        <w:rPr>
          <w:rFonts w:ascii="Arial" w:hAnsi="Arial" w:cs="Arial"/>
          <w:lang w:val="es-419"/>
        </w:rPr>
        <w:t>Radicación Nro.:</w:t>
      </w:r>
      <w:r>
        <w:rPr>
          <w:rFonts w:ascii="Arial" w:hAnsi="Arial" w:cs="Arial"/>
          <w:lang w:val="es-419"/>
        </w:rPr>
        <w:tab/>
      </w:r>
      <w:r w:rsidRPr="00481DC2">
        <w:rPr>
          <w:rFonts w:ascii="Arial" w:hAnsi="Arial" w:cs="Arial"/>
          <w:lang w:val="es-419"/>
        </w:rPr>
        <w:t>66001310500520130035802</w:t>
      </w:r>
    </w:p>
    <w:p w:rsidR="00481DC2" w:rsidRPr="00481DC2" w:rsidRDefault="00481DC2" w:rsidP="00481DC2">
      <w:pPr>
        <w:jc w:val="both"/>
        <w:rPr>
          <w:rFonts w:ascii="Arial" w:hAnsi="Arial" w:cs="Arial"/>
          <w:lang w:val="es-419"/>
        </w:rPr>
      </w:pPr>
      <w:r w:rsidRPr="00481DC2">
        <w:rPr>
          <w:rFonts w:ascii="Arial" w:hAnsi="Arial" w:cs="Arial"/>
          <w:lang w:val="es-419"/>
        </w:rPr>
        <w:t>Proceso:</w:t>
      </w:r>
      <w:r>
        <w:rPr>
          <w:rFonts w:ascii="Arial" w:hAnsi="Arial" w:cs="Arial"/>
          <w:lang w:val="es-419"/>
        </w:rPr>
        <w:tab/>
      </w:r>
      <w:r>
        <w:rPr>
          <w:rFonts w:ascii="Arial" w:hAnsi="Arial" w:cs="Arial"/>
          <w:lang w:val="es-419"/>
        </w:rPr>
        <w:tab/>
        <w:t>Ejecutivo Laboral</w:t>
      </w:r>
    </w:p>
    <w:p w:rsidR="00481DC2" w:rsidRPr="00481DC2" w:rsidRDefault="00481DC2" w:rsidP="00481DC2">
      <w:pPr>
        <w:jc w:val="both"/>
        <w:rPr>
          <w:rFonts w:ascii="Arial" w:hAnsi="Arial" w:cs="Arial"/>
          <w:lang w:val="es-419"/>
        </w:rPr>
      </w:pPr>
      <w:r w:rsidRPr="00481DC2">
        <w:rPr>
          <w:rFonts w:ascii="Arial" w:hAnsi="Arial" w:cs="Arial"/>
          <w:lang w:val="es-419"/>
        </w:rPr>
        <w:t>Demandante:</w:t>
      </w:r>
      <w:r>
        <w:rPr>
          <w:rFonts w:ascii="Arial" w:hAnsi="Arial" w:cs="Arial"/>
          <w:lang w:val="es-419"/>
        </w:rPr>
        <w:tab/>
      </w:r>
      <w:r w:rsidRPr="00481DC2">
        <w:rPr>
          <w:rFonts w:ascii="Arial" w:hAnsi="Arial" w:cs="Arial"/>
          <w:lang w:val="es-419"/>
        </w:rPr>
        <w:tab/>
        <w:t>Adolfo León Gómez Tamayo</w:t>
      </w:r>
    </w:p>
    <w:p w:rsidR="00481DC2" w:rsidRPr="00481DC2" w:rsidRDefault="00481DC2" w:rsidP="00481DC2">
      <w:pPr>
        <w:jc w:val="both"/>
        <w:rPr>
          <w:rFonts w:ascii="Arial" w:hAnsi="Arial" w:cs="Arial"/>
          <w:lang w:val="es-419"/>
        </w:rPr>
      </w:pPr>
      <w:r w:rsidRPr="00481DC2">
        <w:rPr>
          <w:rFonts w:ascii="Arial" w:hAnsi="Arial" w:cs="Arial"/>
          <w:lang w:val="es-419"/>
        </w:rPr>
        <w:t>Demandado:</w:t>
      </w:r>
      <w:r>
        <w:rPr>
          <w:rFonts w:ascii="Arial" w:hAnsi="Arial" w:cs="Arial"/>
          <w:lang w:val="es-419"/>
        </w:rPr>
        <w:tab/>
      </w:r>
      <w:r w:rsidRPr="00481DC2">
        <w:rPr>
          <w:rFonts w:ascii="Arial" w:hAnsi="Arial" w:cs="Arial"/>
          <w:lang w:val="es-419"/>
        </w:rPr>
        <w:tab/>
        <w:t>Empresa de Acueducto y Alcantarillado de Pereira S.A. E.S.P.</w:t>
      </w:r>
    </w:p>
    <w:p w:rsidR="00481DC2" w:rsidRPr="00481DC2" w:rsidRDefault="00481DC2" w:rsidP="00481DC2">
      <w:pPr>
        <w:jc w:val="both"/>
        <w:rPr>
          <w:rFonts w:ascii="Arial" w:hAnsi="Arial" w:cs="Arial"/>
          <w:lang w:val="es-419"/>
        </w:rPr>
      </w:pPr>
      <w:r w:rsidRPr="00481DC2">
        <w:rPr>
          <w:rFonts w:ascii="Arial" w:hAnsi="Arial" w:cs="Arial"/>
          <w:lang w:val="es-419"/>
        </w:rPr>
        <w:t>Juzgado de origen:</w:t>
      </w:r>
      <w:r w:rsidRPr="00481DC2">
        <w:rPr>
          <w:rFonts w:ascii="Arial" w:hAnsi="Arial" w:cs="Arial"/>
          <w:lang w:val="es-419"/>
        </w:rPr>
        <w:tab/>
        <w:t>Juzgado Quinto Laboral del Circuito</w:t>
      </w:r>
    </w:p>
    <w:p w:rsidR="00481DC2" w:rsidRPr="00481DC2" w:rsidRDefault="00481DC2" w:rsidP="00481DC2">
      <w:pPr>
        <w:jc w:val="both"/>
        <w:rPr>
          <w:rFonts w:ascii="Arial" w:hAnsi="Arial" w:cs="Arial"/>
          <w:lang w:val="es-419"/>
        </w:rPr>
      </w:pPr>
      <w:r w:rsidRPr="00481DC2">
        <w:rPr>
          <w:rFonts w:ascii="Arial" w:hAnsi="Arial" w:cs="Arial"/>
          <w:lang w:val="es-419"/>
        </w:rPr>
        <w:t>Magistrado Ponente:</w:t>
      </w:r>
      <w:r>
        <w:rPr>
          <w:rFonts w:ascii="Arial" w:hAnsi="Arial" w:cs="Arial"/>
          <w:lang w:val="es-419"/>
        </w:rPr>
        <w:tab/>
      </w:r>
      <w:r w:rsidRPr="00481DC2">
        <w:rPr>
          <w:rFonts w:ascii="Arial" w:hAnsi="Arial" w:cs="Arial"/>
          <w:lang w:val="es-419"/>
        </w:rPr>
        <w:t>Julio César Salazar Muñoz</w:t>
      </w:r>
    </w:p>
    <w:p w:rsidR="00481DC2" w:rsidRPr="00481DC2" w:rsidRDefault="00481DC2" w:rsidP="00481DC2">
      <w:pPr>
        <w:jc w:val="both"/>
        <w:rPr>
          <w:rFonts w:ascii="Arial" w:hAnsi="Arial" w:cs="Arial"/>
          <w:lang w:val="es-419"/>
        </w:rPr>
      </w:pPr>
    </w:p>
    <w:p w:rsidR="00481DC2" w:rsidRPr="00481DC2" w:rsidRDefault="00481DC2" w:rsidP="00481DC2">
      <w:pPr>
        <w:jc w:val="both"/>
        <w:rPr>
          <w:rFonts w:ascii="Arial" w:hAnsi="Arial" w:cs="Arial"/>
          <w:b/>
          <w:bCs/>
          <w:iCs/>
          <w:lang w:val="es-419" w:eastAsia="fr-FR"/>
        </w:rPr>
      </w:pPr>
      <w:r w:rsidRPr="00481DC2">
        <w:rPr>
          <w:rFonts w:ascii="Arial" w:hAnsi="Arial" w:cs="Arial"/>
          <w:b/>
          <w:bCs/>
          <w:iCs/>
          <w:u w:val="single"/>
          <w:lang w:val="es-419" w:eastAsia="fr-FR"/>
        </w:rPr>
        <w:t>TEMAS:</w:t>
      </w:r>
      <w:r w:rsidRPr="00481DC2">
        <w:rPr>
          <w:rFonts w:ascii="Arial" w:hAnsi="Arial" w:cs="Arial"/>
          <w:b/>
          <w:bCs/>
          <w:iCs/>
          <w:lang w:val="es-419" w:eastAsia="fr-FR"/>
        </w:rPr>
        <w:tab/>
      </w:r>
      <w:r w:rsidR="00B27489">
        <w:rPr>
          <w:rFonts w:ascii="Arial" w:hAnsi="Arial" w:cs="Arial"/>
          <w:b/>
          <w:bCs/>
          <w:iCs/>
          <w:lang w:val="es-419" w:eastAsia="fr-FR"/>
        </w:rPr>
        <w:t xml:space="preserve">PROCESO EJECUTIVO / CON SENTENCIA COMO TÍTULO EJECUTIVO / LA ORDEN DE PAGO DEBE CORRESPONDER A LOS TÉRMINOS DEL FALLO / INTERESES DE MORA </w:t>
      </w:r>
      <w:r w:rsidR="00B27489">
        <w:rPr>
          <w:rFonts w:ascii="Arial" w:hAnsi="Arial" w:cs="Arial"/>
          <w:b/>
          <w:lang w:val="es-419"/>
        </w:rPr>
        <w:t>A TÍTULO DE INDEMNIZACIÓN POR MORA</w:t>
      </w:r>
      <w:r w:rsidRPr="00481DC2">
        <w:rPr>
          <w:rFonts w:ascii="Arial" w:hAnsi="Arial" w:cs="Arial"/>
          <w:b/>
          <w:bCs/>
          <w:iCs/>
          <w:lang w:val="es-419" w:eastAsia="fr-FR"/>
        </w:rPr>
        <w:t xml:space="preserve"> / </w:t>
      </w:r>
      <w:r w:rsidR="00B27489">
        <w:rPr>
          <w:rFonts w:ascii="Arial" w:hAnsi="Arial" w:cs="Arial"/>
          <w:b/>
          <w:bCs/>
          <w:iCs/>
          <w:lang w:val="es-419" w:eastAsia="fr-FR"/>
        </w:rPr>
        <w:t>SE CALCULAN SOBRE SALARIOS Y PRE</w:t>
      </w:r>
      <w:bookmarkStart w:id="0" w:name="_GoBack"/>
      <w:bookmarkEnd w:id="0"/>
      <w:r w:rsidR="00B27489">
        <w:rPr>
          <w:rFonts w:ascii="Arial" w:hAnsi="Arial" w:cs="Arial"/>
          <w:b/>
          <w:bCs/>
          <w:iCs/>
          <w:lang w:val="es-419" w:eastAsia="fr-FR"/>
        </w:rPr>
        <w:t>STACIONES SOCIALES ADEUDADAS.</w:t>
      </w:r>
    </w:p>
    <w:p w:rsidR="00481DC2" w:rsidRPr="00481DC2" w:rsidRDefault="00481DC2" w:rsidP="00481DC2">
      <w:pPr>
        <w:jc w:val="both"/>
        <w:rPr>
          <w:rFonts w:ascii="Arial" w:hAnsi="Arial" w:cs="Arial"/>
          <w:lang w:val="es-419"/>
        </w:rPr>
      </w:pPr>
    </w:p>
    <w:p w:rsidR="00B27489" w:rsidRPr="00B27489" w:rsidRDefault="00B27489" w:rsidP="00B27489">
      <w:pPr>
        <w:jc w:val="both"/>
        <w:rPr>
          <w:rFonts w:ascii="Arial" w:hAnsi="Arial" w:cs="Arial"/>
          <w:lang w:val="es-419"/>
        </w:rPr>
      </w:pPr>
      <w:r w:rsidRPr="00B27489">
        <w:rPr>
          <w:rFonts w:ascii="Arial" w:hAnsi="Arial" w:cs="Arial"/>
          <w:lang w:val="es-419"/>
        </w:rPr>
        <w:t>De conformidad con los artículos 334 y 335 del C.P.C</w:t>
      </w:r>
      <w:r>
        <w:rPr>
          <w:rFonts w:ascii="Arial" w:hAnsi="Arial" w:cs="Arial"/>
          <w:lang w:val="es-419"/>
        </w:rPr>
        <w:t>…</w:t>
      </w:r>
      <w:r w:rsidRPr="00B27489">
        <w:rPr>
          <w:rFonts w:ascii="Arial" w:hAnsi="Arial" w:cs="Arial"/>
          <w:lang w:val="es-419"/>
        </w:rPr>
        <w:t xml:space="preserve">, se podrá adelantar proceso ejecutivo a continuación del ordinario laboral, con el objeto de exigir el cumplimiento de la sentencia proferida a través de éste último, una vez ésta se encuentre ejecutoriada. </w:t>
      </w:r>
    </w:p>
    <w:p w:rsidR="00B27489" w:rsidRPr="00B27489" w:rsidRDefault="00B27489" w:rsidP="00B27489">
      <w:pPr>
        <w:jc w:val="both"/>
        <w:rPr>
          <w:rFonts w:ascii="Arial" w:hAnsi="Arial" w:cs="Arial"/>
          <w:lang w:val="es-419"/>
        </w:rPr>
      </w:pPr>
    </w:p>
    <w:p w:rsidR="00481DC2" w:rsidRPr="00481DC2" w:rsidRDefault="00B27489" w:rsidP="00B27489">
      <w:pPr>
        <w:jc w:val="both"/>
        <w:rPr>
          <w:rFonts w:ascii="Arial" w:hAnsi="Arial" w:cs="Arial"/>
          <w:lang w:val="es-419"/>
        </w:rPr>
      </w:pPr>
      <w:r w:rsidRPr="00B27489">
        <w:rPr>
          <w:rFonts w:ascii="Arial" w:hAnsi="Arial" w:cs="Arial"/>
          <w:lang w:val="es-419"/>
        </w:rPr>
        <w:t>En ese sentido, prevén las mencionadas normas que para proferirse el mandamiento de pago es preciso que las pretensiones del proceso ejecutivo sean concordantes con lo señalado en la parte resolutiva de la sentencia condenatoria del ordinario laboral.</w:t>
      </w:r>
    </w:p>
    <w:p w:rsidR="00481DC2" w:rsidRPr="00481DC2" w:rsidRDefault="00481DC2" w:rsidP="00481DC2">
      <w:pPr>
        <w:jc w:val="both"/>
        <w:rPr>
          <w:rFonts w:ascii="Arial" w:hAnsi="Arial" w:cs="Arial"/>
          <w:lang w:val="es-419"/>
        </w:rPr>
      </w:pPr>
    </w:p>
    <w:p w:rsidR="00481DC2" w:rsidRPr="00481DC2" w:rsidRDefault="00B27489" w:rsidP="00481DC2">
      <w:pPr>
        <w:jc w:val="both"/>
        <w:rPr>
          <w:rFonts w:ascii="Arial" w:hAnsi="Arial" w:cs="Arial"/>
          <w:lang w:val="es-419"/>
        </w:rPr>
      </w:pPr>
      <w:r w:rsidRPr="00B27489">
        <w:rPr>
          <w:rFonts w:ascii="Arial" w:hAnsi="Arial" w:cs="Arial"/>
          <w:lang w:val="es-419"/>
        </w:rPr>
        <w:t>Para los trabajadores que devenguen una suma superior a un salario mínimo legal, establece el artículo 65 del CST,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  A partir de la iniciación del mes 25 y en adelante si la obligación sigue insoluta, la sanción consistente en el pago de un día de salario por cada día de retardo cesa, para dar paso a la contabilización de intereses moratorios a la tasa máxima de créditos de libre asignación certificados por la Superintendencia Bancaria (hoy Superintendencia Financiera).</w:t>
      </w:r>
    </w:p>
    <w:p w:rsidR="00481DC2" w:rsidRPr="00481DC2" w:rsidRDefault="00481DC2" w:rsidP="00481DC2">
      <w:pPr>
        <w:jc w:val="both"/>
        <w:rPr>
          <w:rFonts w:ascii="Arial" w:hAnsi="Arial" w:cs="Arial"/>
          <w:lang w:val="es-419"/>
        </w:rPr>
      </w:pPr>
    </w:p>
    <w:p w:rsidR="00481DC2" w:rsidRPr="00481DC2" w:rsidRDefault="00481DC2" w:rsidP="00481DC2">
      <w:pPr>
        <w:jc w:val="both"/>
        <w:rPr>
          <w:rFonts w:ascii="Arial" w:hAnsi="Arial" w:cs="Arial"/>
          <w:lang w:val="es-419"/>
        </w:rPr>
      </w:pPr>
    </w:p>
    <w:p w:rsidR="00481DC2" w:rsidRPr="00481DC2" w:rsidRDefault="00481DC2" w:rsidP="00481DC2">
      <w:pPr>
        <w:jc w:val="both"/>
        <w:rPr>
          <w:rFonts w:ascii="Arial" w:hAnsi="Arial" w:cs="Arial"/>
          <w:lang w:val="es-ES"/>
        </w:rPr>
      </w:pPr>
    </w:p>
    <w:p w:rsidR="00E13F1C" w:rsidRPr="00B27489" w:rsidRDefault="00E13F1C" w:rsidP="00481DC2">
      <w:pPr>
        <w:pStyle w:val="Ttulo2"/>
        <w:spacing w:line="276" w:lineRule="auto"/>
        <w:jc w:val="center"/>
        <w:rPr>
          <w:rFonts w:cs="Arial"/>
          <w:spacing w:val="-4"/>
          <w:szCs w:val="24"/>
        </w:rPr>
      </w:pPr>
      <w:r w:rsidRPr="00B27489">
        <w:rPr>
          <w:rFonts w:cs="Arial"/>
          <w:spacing w:val="-4"/>
          <w:szCs w:val="24"/>
        </w:rPr>
        <w:t>TRIBUNAL SUPERIOR DEL DISTRITO JUDICIAL</w:t>
      </w:r>
    </w:p>
    <w:p w:rsidR="00E13F1C" w:rsidRPr="00B27489" w:rsidRDefault="00E13F1C" w:rsidP="00481DC2">
      <w:pPr>
        <w:spacing w:line="276" w:lineRule="auto"/>
        <w:jc w:val="center"/>
        <w:rPr>
          <w:rFonts w:ascii="Arial" w:hAnsi="Arial" w:cs="Arial"/>
          <w:b/>
          <w:spacing w:val="-4"/>
          <w:sz w:val="24"/>
          <w:szCs w:val="24"/>
        </w:rPr>
      </w:pPr>
      <w:r w:rsidRPr="00B27489">
        <w:rPr>
          <w:rFonts w:ascii="Arial" w:hAnsi="Arial" w:cs="Arial"/>
          <w:b/>
          <w:spacing w:val="-4"/>
          <w:sz w:val="24"/>
          <w:szCs w:val="24"/>
        </w:rPr>
        <w:t>SALA LABORAL</w:t>
      </w:r>
    </w:p>
    <w:p w:rsidR="00E13F1C" w:rsidRPr="00B27489" w:rsidRDefault="00E13F1C" w:rsidP="00481DC2">
      <w:pPr>
        <w:spacing w:line="276" w:lineRule="auto"/>
        <w:jc w:val="center"/>
        <w:rPr>
          <w:rFonts w:ascii="Arial" w:hAnsi="Arial" w:cs="Arial"/>
          <w:b/>
          <w:spacing w:val="-4"/>
          <w:sz w:val="24"/>
          <w:szCs w:val="24"/>
        </w:rPr>
      </w:pPr>
      <w:r w:rsidRPr="00B27489">
        <w:rPr>
          <w:rFonts w:ascii="Arial" w:hAnsi="Arial" w:cs="Arial"/>
          <w:b/>
          <w:spacing w:val="-4"/>
          <w:sz w:val="24"/>
          <w:szCs w:val="24"/>
        </w:rPr>
        <w:t>MAGISTRADO PONENTE: JULIO CÉSAR SALAZAR MUÑOZ</w:t>
      </w:r>
    </w:p>
    <w:p w:rsidR="00E13F1C" w:rsidRPr="00B27489" w:rsidRDefault="00E13F1C" w:rsidP="00481DC2">
      <w:pPr>
        <w:spacing w:line="276" w:lineRule="auto"/>
        <w:jc w:val="center"/>
        <w:rPr>
          <w:rFonts w:ascii="Arial" w:hAnsi="Arial" w:cs="Arial"/>
          <w:b/>
          <w:spacing w:val="-4"/>
          <w:sz w:val="24"/>
          <w:szCs w:val="24"/>
        </w:rPr>
      </w:pPr>
    </w:p>
    <w:p w:rsidR="00E13F1C" w:rsidRPr="00B27489" w:rsidRDefault="00E13F1C" w:rsidP="00481DC2">
      <w:pPr>
        <w:spacing w:line="276" w:lineRule="auto"/>
        <w:jc w:val="center"/>
        <w:rPr>
          <w:rFonts w:ascii="Arial" w:hAnsi="Arial" w:cs="Arial"/>
          <w:spacing w:val="-4"/>
          <w:sz w:val="24"/>
          <w:szCs w:val="24"/>
        </w:rPr>
      </w:pPr>
      <w:r w:rsidRPr="00B27489">
        <w:rPr>
          <w:rFonts w:ascii="Arial" w:hAnsi="Arial" w:cs="Arial"/>
          <w:spacing w:val="-4"/>
          <w:sz w:val="24"/>
          <w:szCs w:val="24"/>
        </w:rPr>
        <w:t>Pereira, siete de octubre de dos mil veinte</w:t>
      </w:r>
    </w:p>
    <w:p w:rsidR="00E13F1C" w:rsidRPr="00B27489" w:rsidRDefault="00E13F1C" w:rsidP="00481DC2">
      <w:pPr>
        <w:tabs>
          <w:tab w:val="center" w:pos="4420"/>
          <w:tab w:val="left" w:pos="7873"/>
        </w:tabs>
        <w:spacing w:line="276" w:lineRule="auto"/>
        <w:jc w:val="center"/>
        <w:rPr>
          <w:rFonts w:ascii="Arial" w:hAnsi="Arial" w:cs="Arial"/>
          <w:spacing w:val="-4"/>
          <w:sz w:val="24"/>
          <w:szCs w:val="24"/>
        </w:rPr>
      </w:pPr>
      <w:r w:rsidRPr="00B27489">
        <w:rPr>
          <w:rFonts w:ascii="Arial" w:hAnsi="Arial" w:cs="Arial"/>
          <w:spacing w:val="-4"/>
          <w:sz w:val="24"/>
          <w:szCs w:val="24"/>
        </w:rPr>
        <w:t>Acta de Sala de Discusión No 143 de 5 de octubre de 2020</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 xml:space="preserve">Procede la Sala Laboral No 3º del Tribunal Superior del Distrito Judicial de Pereira a desatar el recurso de apelación presentado contra el auto proferido por el Juzgado Quinto Laboral del Circuito, el día 25 de octubre de 2019, dentro del proceso ejecutivo laboral, que el señor </w:t>
      </w:r>
      <w:r w:rsidRPr="00B27489">
        <w:rPr>
          <w:rFonts w:ascii="Arial" w:hAnsi="Arial" w:cs="Arial"/>
          <w:b/>
          <w:spacing w:val="-4"/>
          <w:sz w:val="24"/>
          <w:szCs w:val="24"/>
        </w:rPr>
        <w:t>ADOLFO LEÓN GÓMEZ TAMAYO</w:t>
      </w:r>
      <w:r w:rsidRPr="00B27489">
        <w:rPr>
          <w:rFonts w:ascii="Arial" w:hAnsi="Arial" w:cs="Arial"/>
          <w:spacing w:val="-4"/>
          <w:sz w:val="24"/>
          <w:szCs w:val="24"/>
        </w:rPr>
        <w:t xml:space="preserve"> promueve contra la </w:t>
      </w:r>
      <w:r w:rsidRPr="00B27489">
        <w:rPr>
          <w:rFonts w:ascii="Arial" w:hAnsi="Arial" w:cs="Arial"/>
          <w:b/>
          <w:spacing w:val="-4"/>
          <w:sz w:val="24"/>
          <w:szCs w:val="24"/>
        </w:rPr>
        <w:t>EMPRESA DE ACUEDUCTO Y ALCANTARILLADO DE PEREIRA</w:t>
      </w:r>
      <w:r w:rsidRPr="00B27489">
        <w:rPr>
          <w:rFonts w:ascii="Arial" w:hAnsi="Arial" w:cs="Arial"/>
          <w:spacing w:val="-4"/>
          <w:sz w:val="24"/>
          <w:szCs w:val="24"/>
        </w:rPr>
        <w:t>, cuya radicación corresponde al Nº 66001310500520130035802.</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tabs>
          <w:tab w:val="left" w:pos="-720"/>
        </w:tabs>
        <w:suppressAutoHyphens/>
        <w:spacing w:line="276" w:lineRule="auto"/>
        <w:jc w:val="both"/>
        <w:rPr>
          <w:rFonts w:ascii="Arial" w:hAnsi="Arial" w:cs="Arial"/>
          <w:spacing w:val="-4"/>
          <w:sz w:val="24"/>
          <w:szCs w:val="24"/>
        </w:rPr>
      </w:pPr>
      <w:r w:rsidRPr="00B27489">
        <w:rPr>
          <w:rFonts w:ascii="Arial" w:hAnsi="Arial" w:cs="Arial"/>
          <w:spacing w:val="-4"/>
          <w:sz w:val="24"/>
          <w:szCs w:val="24"/>
        </w:rPr>
        <w:t>Previamente se revisó, discutió y aprobó el proyecto elaborado por el Magistrado ponente que corresponde a los siguientes,</w:t>
      </w:r>
    </w:p>
    <w:p w:rsidR="00E13F1C" w:rsidRPr="00B27489" w:rsidRDefault="00E13F1C" w:rsidP="00481DC2">
      <w:pPr>
        <w:pStyle w:val="Ttulo4"/>
        <w:tabs>
          <w:tab w:val="left" w:pos="3315"/>
        </w:tabs>
        <w:spacing w:line="276" w:lineRule="auto"/>
        <w:jc w:val="left"/>
        <w:rPr>
          <w:rFonts w:cs="Arial"/>
          <w:b/>
          <w:spacing w:val="-4"/>
          <w:sz w:val="24"/>
          <w:szCs w:val="24"/>
        </w:rPr>
      </w:pPr>
    </w:p>
    <w:p w:rsidR="00E13F1C" w:rsidRPr="00B27489" w:rsidRDefault="00E13F1C" w:rsidP="00481DC2">
      <w:pPr>
        <w:pStyle w:val="Ttulo4"/>
        <w:spacing w:line="276" w:lineRule="auto"/>
        <w:rPr>
          <w:rFonts w:cs="Arial"/>
          <w:b/>
          <w:spacing w:val="-4"/>
          <w:sz w:val="24"/>
          <w:szCs w:val="24"/>
        </w:rPr>
      </w:pPr>
      <w:r w:rsidRPr="00B27489">
        <w:rPr>
          <w:rFonts w:cs="Arial"/>
          <w:b/>
          <w:spacing w:val="-4"/>
          <w:sz w:val="24"/>
          <w:szCs w:val="24"/>
        </w:rPr>
        <w:t>ANTECEDENTES</w:t>
      </w:r>
    </w:p>
    <w:p w:rsidR="00E13F1C" w:rsidRPr="00B27489" w:rsidRDefault="00E13F1C" w:rsidP="00481DC2">
      <w:pPr>
        <w:spacing w:line="276" w:lineRule="auto"/>
        <w:jc w:val="both"/>
        <w:rPr>
          <w:rFonts w:ascii="Arial" w:hAnsi="Arial" w:cs="Arial"/>
          <w:bCs/>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 xml:space="preserve">El señor Adolfo León Gómez Tamayo, luego de obtener sentencia favorable a sus pretensiones, consistentes en la declaratoria de la existencia de un contrato de trabajo entre él y la Empresa de Acueducto y Alcantarillado de Pereira S.A. E.S.P. y el </w:t>
      </w:r>
      <w:r w:rsidRPr="00B27489">
        <w:rPr>
          <w:rFonts w:ascii="Arial" w:hAnsi="Arial" w:cs="Arial"/>
          <w:spacing w:val="-4"/>
          <w:sz w:val="24"/>
          <w:szCs w:val="24"/>
        </w:rPr>
        <w:lastRenderedPageBreak/>
        <w:t>consecuencial pago de prestaciones y acreencias laborales a su favor, solicitó que se librara mandamiento de pago por los conceptos a que fue condenado el demandado por la justicia laboral así:</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Cesantías: $10.754.322 más $1.964.275 ordenados en la sentencia de segundo grado.</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Prima de servicios: $3.491.577</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Intereses a las cesantías: $418.988</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Vacaciones: $1.855.467</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Sobre el total de estas prestaciones se autorizó un descuento del orden de $4.176.576, para un total de $13.821.334.</w:t>
      </w:r>
    </w:p>
    <w:p w:rsidR="00E13F1C" w:rsidRPr="00B27489" w:rsidRDefault="00E13F1C" w:rsidP="00481DC2">
      <w:pPr>
        <w:spacing w:line="276" w:lineRule="auto"/>
        <w:ind w:left="720"/>
        <w:jc w:val="both"/>
        <w:rPr>
          <w:rFonts w:ascii="Arial" w:hAnsi="Arial" w:cs="Arial"/>
          <w:spacing w:val="-4"/>
          <w:sz w:val="24"/>
          <w:szCs w:val="24"/>
        </w:rPr>
      </w:pP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Nivelación salarial: $14.324.486</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Sanción moratoria artículo 99 de la Ley 50 de 1990: $22.388.760</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Sanción moratoria por no pago de prestaciones prevista en el artículo 65 del C.S.T.: $50.842.oo diarios a partir del 15 de junio de 2012 hasta que se verifique el pago de las obligaciones, sin que se exceda el término de 24 meses, vencidos los cuales correrán intereses moratorios a la tasa máxima de créditos de libre asignación.</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Reajustar los aportes a la seguridad social en pensiones de conformidad con los salarios que debía devengar como revisor de planta de la Empresa de Acueducto y Alcantarillado de Pereira S.A. E.S.P.</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Costas de primera instancia: $12.377.600</w:t>
      </w:r>
    </w:p>
    <w:p w:rsidR="00E13F1C" w:rsidRPr="00B27489" w:rsidRDefault="00E13F1C" w:rsidP="00481DC2">
      <w:pPr>
        <w:numPr>
          <w:ilvl w:val="0"/>
          <w:numId w:val="2"/>
        </w:numPr>
        <w:spacing w:line="276" w:lineRule="auto"/>
        <w:jc w:val="both"/>
        <w:rPr>
          <w:rFonts w:ascii="Arial" w:hAnsi="Arial" w:cs="Arial"/>
          <w:spacing w:val="-4"/>
          <w:sz w:val="24"/>
          <w:szCs w:val="24"/>
        </w:rPr>
      </w:pPr>
      <w:r w:rsidRPr="00B27489">
        <w:rPr>
          <w:rFonts w:ascii="Arial" w:hAnsi="Arial" w:cs="Arial"/>
          <w:spacing w:val="-4"/>
          <w:sz w:val="24"/>
          <w:szCs w:val="24"/>
        </w:rPr>
        <w:t>Costas de segunda instancia: $1.232.000.</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Mediante auto de fecha 26 de octubre de 2019, el juzgado, luego de verificar que con los títulos consignados a órdenes del proceso ordinario se cubrían las acreencias laborales, sanciones y costas a que fue condenada la entidad accionada, procedió a librar mandamiento de pago únicamente por la obligación de hacer  consistente en “</w:t>
      </w:r>
      <w:r w:rsidRPr="00B27489">
        <w:rPr>
          <w:rFonts w:ascii="Arial" w:hAnsi="Arial" w:cs="Arial"/>
          <w:i/>
          <w:spacing w:val="-4"/>
          <w:sz w:val="22"/>
          <w:szCs w:val="24"/>
        </w:rPr>
        <w:t>realizar los respectivos reajustes a los aportes a pensión de los periodos comprendidos entre el 31 de diciembre de 1998 y el 14 de junio de 2012</w:t>
      </w:r>
      <w:r w:rsidRPr="00B27489">
        <w:rPr>
          <w:rFonts w:ascii="Arial" w:hAnsi="Arial" w:cs="Arial"/>
          <w:spacing w:val="-4"/>
          <w:sz w:val="24"/>
          <w:szCs w:val="24"/>
        </w:rPr>
        <w:t>”, para lo cual ordenó a Colpensiones realizar el cálculo actuarial correspondiente.</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Inconforme con la decisión, la parte ejecutante la recurrió cuestionando la liquidación efectuada por el juzgado en lo que toca a la liquidación de intereses previstos en el artículo 65 del Código Sustantivo del Trabajo, pues no sólo realizó una indebida designación del concepto a calcular, “</w:t>
      </w:r>
      <w:r w:rsidRPr="00B27489">
        <w:rPr>
          <w:rFonts w:ascii="Arial" w:hAnsi="Arial" w:cs="Arial"/>
          <w:i/>
          <w:spacing w:val="-4"/>
          <w:sz w:val="24"/>
          <w:szCs w:val="24"/>
        </w:rPr>
        <w:t>intereses costas instancia</w:t>
      </w:r>
      <w:r w:rsidRPr="00B27489">
        <w:rPr>
          <w:rFonts w:ascii="Arial" w:hAnsi="Arial" w:cs="Arial"/>
          <w:spacing w:val="-4"/>
          <w:sz w:val="24"/>
          <w:szCs w:val="24"/>
        </w:rPr>
        <w:t xml:space="preserve">” </w:t>
      </w:r>
      <w:r w:rsidR="00B27489" w:rsidRPr="00B27489">
        <w:rPr>
          <w:rFonts w:ascii="Arial" w:hAnsi="Arial" w:cs="Arial"/>
          <w:spacing w:val="-4"/>
          <w:sz w:val="24"/>
          <w:szCs w:val="24"/>
        </w:rPr>
        <w:t>-</w:t>
      </w:r>
      <w:proofErr w:type="spellStart"/>
      <w:r w:rsidR="00B27489" w:rsidRPr="00B27489">
        <w:rPr>
          <w:rFonts w:ascii="Arial" w:hAnsi="Arial" w:cs="Arial"/>
          <w:spacing w:val="-4"/>
          <w:sz w:val="24"/>
          <w:szCs w:val="24"/>
        </w:rPr>
        <w:t>fl</w:t>
      </w:r>
      <w:proofErr w:type="spellEnd"/>
      <w:r w:rsidR="00B27489" w:rsidRPr="00B27489">
        <w:rPr>
          <w:rFonts w:ascii="Arial" w:hAnsi="Arial" w:cs="Arial"/>
          <w:spacing w:val="-4"/>
          <w:sz w:val="24"/>
          <w:szCs w:val="24"/>
        </w:rPr>
        <w:t xml:space="preserve"> 5 del cuaderno 5-</w:t>
      </w:r>
      <w:r w:rsidRPr="00B27489">
        <w:rPr>
          <w:rFonts w:ascii="Arial" w:hAnsi="Arial" w:cs="Arial"/>
          <w:spacing w:val="-4"/>
          <w:sz w:val="24"/>
          <w:szCs w:val="24"/>
        </w:rPr>
        <w:t xml:space="preserve"> sino que el capital tenido en cuenta -$6.629.162- no corresponde al monto que arroja el total de acreencias y salarios insolutos a los que fue condenado el demandado, pues las prestaciones sociales fueron calculadas en la suma de $13.821.334 y la nivelación salarial estimada en cuantía de $14.324.486, para un total de $28.145.820, monto respecto al cual deben liquidarse los intereses de que trata el artículo 65 del CST.</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pStyle w:val="Textoindependiente"/>
        <w:spacing w:line="276" w:lineRule="auto"/>
        <w:rPr>
          <w:rFonts w:cs="Arial"/>
          <w:spacing w:val="-4"/>
          <w:sz w:val="24"/>
          <w:szCs w:val="24"/>
        </w:rPr>
      </w:pPr>
      <w:r w:rsidRPr="00B27489">
        <w:rPr>
          <w:rFonts w:cs="Arial"/>
          <w:spacing w:val="-4"/>
          <w:sz w:val="24"/>
          <w:szCs w:val="24"/>
        </w:rPr>
        <w:t>El recurso de apelación interpuesto fue concedido en el efecto suspensivo y remitido a esta Corporación para decidir lo pertinente.</w:t>
      </w:r>
    </w:p>
    <w:p w:rsidR="00E13F1C" w:rsidRPr="00B27489" w:rsidRDefault="00E13F1C" w:rsidP="00481DC2">
      <w:pPr>
        <w:pStyle w:val="Textoindependiente"/>
        <w:spacing w:line="276" w:lineRule="auto"/>
        <w:rPr>
          <w:rFonts w:cs="Arial"/>
          <w:spacing w:val="-4"/>
          <w:sz w:val="24"/>
          <w:szCs w:val="24"/>
        </w:rPr>
      </w:pPr>
    </w:p>
    <w:p w:rsidR="00E13F1C" w:rsidRPr="00B27489" w:rsidRDefault="00E13F1C" w:rsidP="00481DC2">
      <w:pPr>
        <w:pStyle w:val="Textoindependiente"/>
        <w:spacing w:line="276" w:lineRule="auto"/>
        <w:jc w:val="center"/>
        <w:rPr>
          <w:rFonts w:cs="Arial"/>
          <w:b/>
          <w:spacing w:val="-4"/>
          <w:sz w:val="24"/>
          <w:szCs w:val="24"/>
        </w:rPr>
      </w:pPr>
      <w:r w:rsidRPr="00B27489">
        <w:rPr>
          <w:rFonts w:cs="Arial"/>
          <w:b/>
          <w:spacing w:val="-4"/>
          <w:sz w:val="24"/>
          <w:szCs w:val="24"/>
        </w:rPr>
        <w:t>CONSIDERACIONES</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b/>
          <w:i/>
          <w:spacing w:val="-4"/>
          <w:sz w:val="24"/>
          <w:szCs w:val="24"/>
        </w:rPr>
      </w:pPr>
      <w:r w:rsidRPr="00B27489">
        <w:rPr>
          <w:rFonts w:ascii="Arial" w:hAnsi="Arial" w:cs="Arial"/>
          <w:b/>
          <w:i/>
          <w:spacing w:val="-4"/>
          <w:sz w:val="24"/>
          <w:szCs w:val="24"/>
        </w:rPr>
        <w:lastRenderedPageBreak/>
        <w:t>PROBLEMA JURÍDICO</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ind w:left="426" w:right="420"/>
        <w:jc w:val="both"/>
        <w:rPr>
          <w:rFonts w:ascii="Arial" w:hAnsi="Arial" w:cs="Arial"/>
          <w:i/>
          <w:spacing w:val="-4"/>
          <w:sz w:val="24"/>
          <w:szCs w:val="24"/>
        </w:rPr>
      </w:pPr>
      <w:r w:rsidRPr="00B27489">
        <w:rPr>
          <w:rFonts w:ascii="Arial" w:hAnsi="Arial" w:cs="Arial"/>
          <w:i/>
          <w:spacing w:val="-4"/>
          <w:sz w:val="24"/>
          <w:szCs w:val="24"/>
        </w:rPr>
        <w:t xml:space="preserve">¿Respecto a qué capital </w:t>
      </w:r>
      <w:proofErr w:type="gramStart"/>
      <w:r w:rsidRPr="00B27489">
        <w:rPr>
          <w:rFonts w:ascii="Arial" w:hAnsi="Arial" w:cs="Arial"/>
          <w:i/>
          <w:spacing w:val="-4"/>
          <w:sz w:val="24"/>
          <w:szCs w:val="24"/>
        </w:rPr>
        <w:t>deben</w:t>
      </w:r>
      <w:proofErr w:type="gramEnd"/>
      <w:r w:rsidRPr="00B27489">
        <w:rPr>
          <w:rFonts w:ascii="Arial" w:hAnsi="Arial" w:cs="Arial"/>
          <w:i/>
          <w:spacing w:val="-4"/>
          <w:sz w:val="24"/>
          <w:szCs w:val="24"/>
        </w:rPr>
        <w:t xml:space="preserve"> liquidarse los intereses moratorios de que trata el artículo 65 del Código Sustantivo del Trabajo? </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 xml:space="preserve">Para resolver el problema jurídico que se plantea dentro </w:t>
      </w:r>
      <w:proofErr w:type="gramStart"/>
      <w:r w:rsidRPr="00B27489">
        <w:rPr>
          <w:rFonts w:ascii="Arial" w:hAnsi="Arial" w:cs="Arial"/>
          <w:spacing w:val="-4"/>
          <w:sz w:val="24"/>
          <w:szCs w:val="24"/>
        </w:rPr>
        <w:t>del</w:t>
      </w:r>
      <w:proofErr w:type="gramEnd"/>
      <w:r w:rsidRPr="00B27489">
        <w:rPr>
          <w:rFonts w:ascii="Arial" w:hAnsi="Arial" w:cs="Arial"/>
          <w:spacing w:val="-4"/>
          <w:sz w:val="24"/>
          <w:szCs w:val="24"/>
        </w:rPr>
        <w:t xml:space="preserve"> presente acción ejecutiva se analizan los siguientes temas jurídicos.</w:t>
      </w:r>
    </w:p>
    <w:p w:rsidR="00E13F1C" w:rsidRPr="00B27489" w:rsidRDefault="00E13F1C" w:rsidP="00481DC2">
      <w:pPr>
        <w:spacing w:line="276" w:lineRule="auto"/>
        <w:jc w:val="both"/>
        <w:rPr>
          <w:rFonts w:ascii="Arial" w:hAnsi="Arial" w:cs="Arial"/>
          <w:b/>
          <w:spacing w:val="-4"/>
          <w:sz w:val="24"/>
          <w:szCs w:val="24"/>
        </w:rPr>
      </w:pPr>
    </w:p>
    <w:p w:rsidR="00E13F1C" w:rsidRPr="00B27489" w:rsidRDefault="00E13F1C" w:rsidP="00481DC2">
      <w:pPr>
        <w:numPr>
          <w:ilvl w:val="0"/>
          <w:numId w:val="1"/>
        </w:numPr>
        <w:spacing w:line="276" w:lineRule="auto"/>
        <w:ind w:left="426" w:hanging="426"/>
        <w:jc w:val="both"/>
        <w:rPr>
          <w:rFonts w:ascii="Arial" w:hAnsi="Arial" w:cs="Arial"/>
          <w:b/>
          <w:spacing w:val="-4"/>
          <w:sz w:val="24"/>
          <w:szCs w:val="24"/>
        </w:rPr>
      </w:pPr>
      <w:r w:rsidRPr="00B27489">
        <w:rPr>
          <w:rFonts w:ascii="Arial" w:hAnsi="Arial" w:cs="Arial"/>
          <w:b/>
          <w:spacing w:val="-4"/>
          <w:sz w:val="24"/>
          <w:szCs w:val="24"/>
        </w:rPr>
        <w:t>DE LA SENTENCIA COMO TÍTULO EJECUTIVO.</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iCs/>
          <w:spacing w:val="-4"/>
          <w:sz w:val="24"/>
          <w:szCs w:val="24"/>
          <w:lang w:val="es-ES"/>
        </w:rPr>
      </w:pPr>
      <w:r w:rsidRPr="00B27489">
        <w:rPr>
          <w:rFonts w:ascii="Arial" w:hAnsi="Arial" w:cs="Arial"/>
          <w:spacing w:val="-4"/>
          <w:sz w:val="24"/>
          <w:szCs w:val="24"/>
        </w:rPr>
        <w:t xml:space="preserve">De conformidad con los artículos 334 y 335 del C.P.C. aplicables por remisión analógica del artículo 145 del C.P.T y de la S.S., se podrá adelantar proceso </w:t>
      </w:r>
      <w:r w:rsidRPr="00B27489">
        <w:rPr>
          <w:rFonts w:ascii="Arial" w:hAnsi="Arial" w:cs="Arial"/>
          <w:iCs/>
          <w:spacing w:val="-4"/>
          <w:sz w:val="24"/>
          <w:szCs w:val="24"/>
          <w:lang w:val="es-ES"/>
        </w:rPr>
        <w:t xml:space="preserve">ejecutivo a continuación del ordinario laboral, con el objeto de exigir el cumplimiento de la sentencia proferida a través de éste último, una vez ésta se encuentre </w:t>
      </w:r>
      <w:proofErr w:type="gramStart"/>
      <w:r w:rsidRPr="00B27489">
        <w:rPr>
          <w:rFonts w:ascii="Arial" w:hAnsi="Arial" w:cs="Arial"/>
          <w:iCs/>
          <w:spacing w:val="-4"/>
          <w:sz w:val="24"/>
          <w:szCs w:val="24"/>
          <w:lang w:val="es-ES"/>
        </w:rPr>
        <w:t>ejecutoriada</w:t>
      </w:r>
      <w:proofErr w:type="gramEnd"/>
      <w:r w:rsidRPr="00B27489">
        <w:rPr>
          <w:rFonts w:ascii="Arial" w:hAnsi="Arial" w:cs="Arial"/>
          <w:iCs/>
          <w:spacing w:val="-4"/>
          <w:sz w:val="24"/>
          <w:szCs w:val="24"/>
          <w:lang w:val="es-ES"/>
        </w:rPr>
        <w:t xml:space="preserve">. </w:t>
      </w:r>
    </w:p>
    <w:p w:rsidR="00E13F1C" w:rsidRPr="00B27489" w:rsidRDefault="00E13F1C" w:rsidP="00481DC2">
      <w:pPr>
        <w:spacing w:line="276" w:lineRule="auto"/>
        <w:jc w:val="both"/>
        <w:rPr>
          <w:rFonts w:ascii="Arial" w:hAnsi="Arial" w:cs="Arial"/>
          <w:iCs/>
          <w:spacing w:val="-4"/>
          <w:sz w:val="24"/>
          <w:szCs w:val="24"/>
          <w:lang w:val="es-ES"/>
        </w:rPr>
      </w:pPr>
    </w:p>
    <w:p w:rsidR="00E13F1C" w:rsidRPr="00B27489" w:rsidRDefault="00E13F1C" w:rsidP="00481DC2">
      <w:pPr>
        <w:spacing w:line="276" w:lineRule="auto"/>
        <w:jc w:val="both"/>
        <w:rPr>
          <w:rFonts w:ascii="Arial" w:hAnsi="Arial" w:cs="Arial"/>
          <w:iCs/>
          <w:spacing w:val="-4"/>
          <w:sz w:val="24"/>
          <w:szCs w:val="24"/>
          <w:lang w:val="es-ES"/>
        </w:rPr>
      </w:pPr>
      <w:r w:rsidRPr="00B27489">
        <w:rPr>
          <w:rFonts w:ascii="Arial" w:hAnsi="Arial" w:cs="Arial"/>
          <w:iCs/>
          <w:spacing w:val="-4"/>
          <w:sz w:val="24"/>
          <w:szCs w:val="24"/>
          <w:lang w:val="es-ES"/>
        </w:rPr>
        <w:t>En ese sentido, prevén las mencionadas normas que para proferirse el mandamiento de pago es preciso que las pretensiones del proceso ejecutivo sean concordantes con lo señalado en la parte resolutiva de la sentencia condenatoria del ordinario laboral.</w:t>
      </w:r>
    </w:p>
    <w:p w:rsidR="00E13F1C" w:rsidRPr="00B27489" w:rsidRDefault="00E13F1C" w:rsidP="00481DC2">
      <w:pPr>
        <w:spacing w:line="276" w:lineRule="auto"/>
        <w:jc w:val="both"/>
        <w:rPr>
          <w:rFonts w:ascii="Arial" w:hAnsi="Arial" w:cs="Arial"/>
          <w:iCs/>
          <w:spacing w:val="-4"/>
          <w:sz w:val="24"/>
          <w:szCs w:val="24"/>
          <w:lang w:val="es-ES"/>
        </w:rPr>
      </w:pPr>
    </w:p>
    <w:p w:rsidR="00E13F1C" w:rsidRPr="00B27489" w:rsidRDefault="00E13F1C" w:rsidP="00481DC2">
      <w:pPr>
        <w:numPr>
          <w:ilvl w:val="0"/>
          <w:numId w:val="1"/>
        </w:numPr>
        <w:spacing w:line="276" w:lineRule="auto"/>
        <w:ind w:left="426" w:hanging="426"/>
        <w:jc w:val="both"/>
        <w:rPr>
          <w:rFonts w:ascii="Arial" w:hAnsi="Arial" w:cs="Arial"/>
          <w:b/>
          <w:spacing w:val="-4"/>
          <w:sz w:val="24"/>
          <w:szCs w:val="24"/>
        </w:rPr>
      </w:pPr>
      <w:r w:rsidRPr="00B27489">
        <w:rPr>
          <w:rFonts w:ascii="Arial" w:hAnsi="Arial" w:cs="Arial"/>
          <w:b/>
          <w:spacing w:val="-4"/>
          <w:sz w:val="24"/>
          <w:szCs w:val="24"/>
        </w:rPr>
        <w:t>DE LOS INTERESES MORATORIOS PREVISTOS EN EL ARTÍCULO 65 DEL CÓDIGO SUSTANTIVO DEL TRABAJO.</w:t>
      </w:r>
    </w:p>
    <w:p w:rsidR="00E13F1C" w:rsidRPr="00B27489" w:rsidRDefault="00E13F1C" w:rsidP="00481DC2">
      <w:pPr>
        <w:spacing w:line="276" w:lineRule="auto"/>
        <w:jc w:val="both"/>
        <w:rPr>
          <w:rFonts w:ascii="Arial" w:hAnsi="Arial" w:cs="Arial"/>
          <w:b/>
          <w:spacing w:val="-4"/>
          <w:sz w:val="24"/>
          <w:szCs w:val="24"/>
        </w:rPr>
      </w:pPr>
    </w:p>
    <w:p w:rsidR="00E13F1C" w:rsidRPr="00B27489" w:rsidRDefault="00E13F1C" w:rsidP="00481DC2">
      <w:pPr>
        <w:spacing w:line="276" w:lineRule="auto"/>
        <w:jc w:val="both"/>
        <w:rPr>
          <w:rFonts w:ascii="Arial" w:eastAsia="Tahoma" w:hAnsi="Arial" w:cs="Arial"/>
          <w:spacing w:val="-4"/>
          <w:sz w:val="24"/>
          <w:szCs w:val="24"/>
          <w:lang w:val="es-ES"/>
        </w:rPr>
      </w:pPr>
      <w:r w:rsidRPr="00B27489">
        <w:rPr>
          <w:rFonts w:ascii="Arial" w:eastAsia="Tahoma" w:hAnsi="Arial" w:cs="Arial"/>
          <w:spacing w:val="-4"/>
          <w:sz w:val="24"/>
          <w:szCs w:val="24"/>
          <w:lang w:val="es-ES"/>
        </w:rPr>
        <w:t xml:space="preserve">Para los trabajadores que devenguen una suma superior a un salario mínimo legal, establece el artículo 65 del </w:t>
      </w:r>
      <w:proofErr w:type="spellStart"/>
      <w:r w:rsidRPr="00B27489">
        <w:rPr>
          <w:rFonts w:ascii="Arial" w:eastAsia="Tahoma" w:hAnsi="Arial" w:cs="Arial"/>
          <w:spacing w:val="-4"/>
          <w:sz w:val="24"/>
          <w:szCs w:val="24"/>
          <w:lang w:val="es-ES"/>
        </w:rPr>
        <w:t>CST</w:t>
      </w:r>
      <w:proofErr w:type="spellEnd"/>
      <w:r w:rsidR="00B27489" w:rsidRPr="00B27489">
        <w:rPr>
          <w:rFonts w:ascii="Arial" w:eastAsia="Tahoma" w:hAnsi="Arial" w:cs="Arial"/>
          <w:spacing w:val="-4"/>
          <w:sz w:val="24"/>
          <w:szCs w:val="24"/>
          <w:lang w:val="es-ES"/>
        </w:rPr>
        <w:t>,</w:t>
      </w:r>
      <w:r w:rsidRPr="00B27489">
        <w:rPr>
          <w:rFonts w:ascii="Arial" w:eastAsia="Tahoma" w:hAnsi="Arial" w:cs="Arial"/>
          <w:spacing w:val="-4"/>
          <w:sz w:val="24"/>
          <w:szCs w:val="24"/>
          <w:lang w:val="es-ES"/>
        </w:rPr>
        <w:t xml:space="preserve">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  A partir de la iniciación del mes 25 y en adelante si la obligación sigue insoluta, la sanción consistente en el pago de un día de salario por cada día de retardo cesa, para dar paso a la contabilización de intereses moratorios a la tasa máxima de créditos de libre asignación certificados por la Superintendencia Bancaria (hoy Superintendencia Financiera). </w:t>
      </w:r>
    </w:p>
    <w:p w:rsidR="00E13F1C" w:rsidRPr="00B27489" w:rsidRDefault="00E13F1C" w:rsidP="00481DC2">
      <w:pPr>
        <w:spacing w:line="276" w:lineRule="auto"/>
        <w:jc w:val="both"/>
        <w:rPr>
          <w:rFonts w:ascii="Arial" w:eastAsia="Tahoma" w:hAnsi="Arial" w:cs="Arial"/>
          <w:spacing w:val="-4"/>
          <w:sz w:val="24"/>
          <w:szCs w:val="24"/>
          <w:lang w:val="es-ES"/>
        </w:rPr>
      </w:pPr>
    </w:p>
    <w:p w:rsidR="00E13F1C" w:rsidRPr="00B27489" w:rsidRDefault="00E13F1C" w:rsidP="00481DC2">
      <w:pPr>
        <w:spacing w:line="276" w:lineRule="auto"/>
        <w:jc w:val="both"/>
        <w:rPr>
          <w:rFonts w:ascii="Arial" w:eastAsia="Tahoma" w:hAnsi="Arial" w:cs="Arial"/>
          <w:spacing w:val="-4"/>
          <w:sz w:val="24"/>
          <w:szCs w:val="24"/>
          <w:lang w:val="es-ES"/>
        </w:rPr>
      </w:pPr>
      <w:r w:rsidRPr="00B27489">
        <w:rPr>
          <w:rFonts w:ascii="Arial" w:eastAsia="Tahoma" w:hAnsi="Arial" w:cs="Arial"/>
          <w:spacing w:val="-4"/>
          <w:sz w:val="24"/>
          <w:szCs w:val="24"/>
          <w:lang w:val="es-ES"/>
        </w:rPr>
        <w:t>En orden a que no existan discusiones sobre el capital que genera los intereses moratorios, expresa claramente el artículo:</w:t>
      </w:r>
    </w:p>
    <w:p w:rsidR="00E13F1C" w:rsidRPr="00B27489" w:rsidRDefault="00E13F1C" w:rsidP="00481DC2">
      <w:pPr>
        <w:spacing w:line="276" w:lineRule="auto"/>
        <w:jc w:val="both"/>
        <w:rPr>
          <w:rFonts w:ascii="Arial" w:eastAsia="Tahoma" w:hAnsi="Arial" w:cs="Arial"/>
          <w:spacing w:val="-4"/>
          <w:sz w:val="24"/>
          <w:szCs w:val="24"/>
          <w:lang w:val="es-ES"/>
        </w:rPr>
      </w:pPr>
    </w:p>
    <w:p w:rsidR="00E13F1C" w:rsidRPr="00B27489" w:rsidRDefault="00E13F1C" w:rsidP="00B27489">
      <w:pPr>
        <w:ind w:left="425" w:right="420"/>
        <w:jc w:val="both"/>
        <w:rPr>
          <w:rFonts w:ascii="Arial" w:eastAsia="Tahoma" w:hAnsi="Arial" w:cs="Arial"/>
          <w:spacing w:val="-4"/>
          <w:sz w:val="22"/>
          <w:szCs w:val="24"/>
        </w:rPr>
      </w:pPr>
      <w:r w:rsidRPr="00B27489">
        <w:rPr>
          <w:rFonts w:ascii="Arial" w:hAnsi="Arial" w:cs="Arial"/>
          <w:spacing w:val="-4"/>
          <w:sz w:val="22"/>
          <w:szCs w:val="24"/>
        </w:rPr>
        <w:t>“</w:t>
      </w:r>
      <w:r w:rsidRPr="00B27489">
        <w:rPr>
          <w:rFonts w:ascii="Arial" w:hAnsi="Arial" w:cs="Arial"/>
          <w:i/>
          <w:spacing w:val="-4"/>
          <w:sz w:val="22"/>
          <w:szCs w:val="24"/>
        </w:rPr>
        <w:t>Dichos intereses los pagará el empleador sobre las sumas adeudadas al trabajador por concepto de salarios y prestaciones en dinero</w:t>
      </w:r>
      <w:r w:rsidRPr="00B27489">
        <w:rPr>
          <w:rFonts w:ascii="Arial" w:hAnsi="Arial" w:cs="Arial"/>
          <w:spacing w:val="-4"/>
          <w:sz w:val="22"/>
          <w:szCs w:val="24"/>
        </w:rPr>
        <w:t>.”</w:t>
      </w:r>
    </w:p>
    <w:p w:rsidR="00E13F1C" w:rsidRPr="00B27489" w:rsidRDefault="00E13F1C" w:rsidP="00481DC2">
      <w:pPr>
        <w:spacing w:line="276" w:lineRule="auto"/>
        <w:jc w:val="both"/>
        <w:rPr>
          <w:rFonts w:ascii="Arial" w:eastAsia="Tahoma" w:hAnsi="Arial" w:cs="Arial"/>
          <w:spacing w:val="-4"/>
          <w:sz w:val="24"/>
          <w:szCs w:val="24"/>
          <w:lang w:val="es-ES"/>
        </w:rPr>
      </w:pPr>
    </w:p>
    <w:p w:rsidR="00E13F1C" w:rsidRPr="00B27489" w:rsidRDefault="00E13F1C" w:rsidP="00481DC2">
      <w:pPr>
        <w:numPr>
          <w:ilvl w:val="0"/>
          <w:numId w:val="1"/>
        </w:numPr>
        <w:spacing w:line="276" w:lineRule="auto"/>
        <w:ind w:left="426" w:hanging="426"/>
        <w:jc w:val="both"/>
        <w:rPr>
          <w:rFonts w:ascii="Arial" w:hAnsi="Arial" w:cs="Arial"/>
          <w:b/>
          <w:spacing w:val="-4"/>
          <w:sz w:val="24"/>
          <w:szCs w:val="24"/>
        </w:rPr>
      </w:pPr>
      <w:r w:rsidRPr="00B27489">
        <w:rPr>
          <w:rFonts w:ascii="Arial" w:hAnsi="Arial" w:cs="Arial"/>
          <w:b/>
          <w:spacing w:val="-4"/>
          <w:sz w:val="24"/>
          <w:szCs w:val="24"/>
        </w:rPr>
        <w:t>CASO CONCRETO</w:t>
      </w:r>
    </w:p>
    <w:p w:rsidR="00E13F1C" w:rsidRPr="00B27489" w:rsidRDefault="00E13F1C" w:rsidP="00481DC2">
      <w:pPr>
        <w:spacing w:line="276" w:lineRule="auto"/>
        <w:jc w:val="both"/>
        <w:rPr>
          <w:rFonts w:ascii="Arial" w:hAnsi="Arial" w:cs="Arial"/>
          <w:iCs/>
          <w:spacing w:val="-4"/>
          <w:sz w:val="24"/>
          <w:szCs w:val="24"/>
        </w:rPr>
      </w:pPr>
    </w:p>
    <w:p w:rsidR="00E13F1C" w:rsidRPr="00B27489" w:rsidRDefault="00E13F1C" w:rsidP="00481DC2">
      <w:pPr>
        <w:tabs>
          <w:tab w:val="left" w:pos="3261"/>
        </w:tabs>
        <w:spacing w:line="276" w:lineRule="auto"/>
        <w:jc w:val="both"/>
        <w:rPr>
          <w:rFonts w:ascii="Arial" w:hAnsi="Arial" w:cs="Arial"/>
          <w:iCs/>
          <w:spacing w:val="-4"/>
          <w:sz w:val="24"/>
          <w:szCs w:val="24"/>
        </w:rPr>
      </w:pPr>
      <w:r w:rsidRPr="00B27489">
        <w:rPr>
          <w:rFonts w:ascii="Arial" w:hAnsi="Arial" w:cs="Arial"/>
          <w:iCs/>
          <w:spacing w:val="-4"/>
          <w:sz w:val="24"/>
          <w:szCs w:val="24"/>
        </w:rPr>
        <w:t xml:space="preserve">En el presente asunto, la parte ejecutante reprocha que el juzgado de conocimiento haya liquidado los intereses moratorios de que trata el artículo 65 del Código Sustantivo del Trabajo, teniendo como capital solo la suma de $6.629.162, cuando las prestaciones y salarios adeudados, representados en la nivelación salarial ordenada por la </w:t>
      </w:r>
      <w:r w:rsidRPr="00B27489">
        <w:rPr>
          <w:rFonts w:ascii="Arial" w:hAnsi="Arial" w:cs="Arial"/>
          <w:i/>
          <w:iCs/>
          <w:spacing w:val="-4"/>
          <w:sz w:val="24"/>
          <w:szCs w:val="24"/>
        </w:rPr>
        <w:t xml:space="preserve"> a quo</w:t>
      </w:r>
      <w:r w:rsidRPr="00B27489">
        <w:rPr>
          <w:rFonts w:ascii="Arial" w:hAnsi="Arial" w:cs="Arial"/>
          <w:iCs/>
          <w:spacing w:val="-4"/>
          <w:sz w:val="24"/>
          <w:szCs w:val="24"/>
        </w:rPr>
        <w:t>,  alcanzan una suma igual a $28.145.820.</w:t>
      </w:r>
    </w:p>
    <w:p w:rsidR="00E13F1C" w:rsidRPr="00B27489" w:rsidRDefault="00E13F1C" w:rsidP="00481DC2">
      <w:pPr>
        <w:tabs>
          <w:tab w:val="left" w:pos="3261"/>
        </w:tabs>
        <w:spacing w:line="276" w:lineRule="auto"/>
        <w:jc w:val="both"/>
        <w:rPr>
          <w:rFonts w:ascii="Arial" w:hAnsi="Arial" w:cs="Arial"/>
          <w:iCs/>
          <w:spacing w:val="-4"/>
          <w:sz w:val="24"/>
          <w:szCs w:val="24"/>
        </w:rPr>
      </w:pPr>
    </w:p>
    <w:p w:rsidR="00E13F1C" w:rsidRPr="00B27489" w:rsidRDefault="00E13F1C" w:rsidP="00481DC2">
      <w:pPr>
        <w:tabs>
          <w:tab w:val="left" w:pos="3261"/>
        </w:tabs>
        <w:spacing w:line="276" w:lineRule="auto"/>
        <w:jc w:val="both"/>
        <w:rPr>
          <w:rFonts w:ascii="Arial" w:hAnsi="Arial" w:cs="Arial"/>
          <w:iCs/>
          <w:spacing w:val="-4"/>
          <w:sz w:val="24"/>
          <w:szCs w:val="24"/>
        </w:rPr>
      </w:pPr>
      <w:r w:rsidRPr="00B27489">
        <w:rPr>
          <w:rFonts w:ascii="Arial" w:hAnsi="Arial" w:cs="Arial"/>
          <w:iCs/>
          <w:spacing w:val="-4"/>
          <w:sz w:val="24"/>
          <w:szCs w:val="24"/>
        </w:rPr>
        <w:lastRenderedPageBreak/>
        <w:t xml:space="preserve">De acuerdo con la sentencia que sirve de título de recaudo, se tiene que las prestaciones sociales reconocidas a favor del señor Adolfo León Gómez Tamayo, por concepto de cesantías, prima de servicios e intereses a las cesantías alcanzan la suma de </w:t>
      </w:r>
      <w:r w:rsidRPr="00B27489">
        <w:rPr>
          <w:rFonts w:ascii="Arial" w:hAnsi="Arial" w:cs="Arial"/>
          <w:b/>
          <w:iCs/>
          <w:spacing w:val="-4"/>
          <w:sz w:val="24"/>
          <w:szCs w:val="24"/>
        </w:rPr>
        <w:t>$11.965.867</w:t>
      </w:r>
      <w:r w:rsidRPr="00B27489">
        <w:rPr>
          <w:rFonts w:ascii="Arial" w:hAnsi="Arial" w:cs="Arial"/>
          <w:iCs/>
          <w:spacing w:val="-4"/>
          <w:sz w:val="24"/>
          <w:szCs w:val="24"/>
        </w:rPr>
        <w:t>, guarismo que resulta luego de restar al total ordenado por la juez de primer grado -$13.855.467- el valor de las vacaciones -$1.855.467-, por no ser estas una prestación social, sino un descanso obligatorio a favor del trabajador que, en contadas oportunidades, puede ser compensadas en dinero.</w:t>
      </w:r>
    </w:p>
    <w:p w:rsidR="00E13F1C" w:rsidRPr="00B27489" w:rsidRDefault="00E13F1C" w:rsidP="00481DC2">
      <w:pPr>
        <w:tabs>
          <w:tab w:val="left" w:pos="3261"/>
        </w:tabs>
        <w:spacing w:line="276" w:lineRule="auto"/>
        <w:jc w:val="both"/>
        <w:rPr>
          <w:rFonts w:ascii="Arial" w:hAnsi="Arial" w:cs="Arial"/>
          <w:iCs/>
          <w:spacing w:val="-4"/>
          <w:sz w:val="24"/>
          <w:szCs w:val="24"/>
        </w:rPr>
      </w:pPr>
    </w:p>
    <w:p w:rsidR="00E13F1C" w:rsidRPr="00B27489" w:rsidRDefault="00E13F1C" w:rsidP="00481DC2">
      <w:pPr>
        <w:tabs>
          <w:tab w:val="left" w:pos="3261"/>
        </w:tabs>
        <w:spacing w:line="276" w:lineRule="auto"/>
        <w:jc w:val="both"/>
        <w:rPr>
          <w:rFonts w:ascii="Arial" w:hAnsi="Arial" w:cs="Arial"/>
          <w:iCs/>
          <w:spacing w:val="-4"/>
          <w:sz w:val="24"/>
          <w:szCs w:val="24"/>
        </w:rPr>
      </w:pPr>
      <w:r w:rsidRPr="00B27489">
        <w:rPr>
          <w:rFonts w:ascii="Arial" w:hAnsi="Arial" w:cs="Arial"/>
          <w:iCs/>
          <w:spacing w:val="-4"/>
          <w:sz w:val="24"/>
          <w:szCs w:val="24"/>
        </w:rPr>
        <w:t xml:space="preserve">A este monto debe serle adicionado </w:t>
      </w:r>
      <w:r w:rsidRPr="00B27489">
        <w:rPr>
          <w:rFonts w:ascii="Arial" w:hAnsi="Arial" w:cs="Arial"/>
          <w:b/>
          <w:iCs/>
          <w:spacing w:val="-4"/>
          <w:sz w:val="24"/>
          <w:szCs w:val="24"/>
        </w:rPr>
        <w:t>$1.964.275,</w:t>
      </w:r>
      <w:r w:rsidRPr="00B27489">
        <w:rPr>
          <w:rFonts w:ascii="Arial" w:hAnsi="Arial" w:cs="Arial"/>
          <w:iCs/>
          <w:spacing w:val="-4"/>
          <w:sz w:val="24"/>
          <w:szCs w:val="24"/>
        </w:rPr>
        <w:t xml:space="preserve"> valor reconocido en la sentencia de segundo grado por concepto de cesantías correspondientes a los periodos comprendidos entre el 6 de febrero de 2002 al 6 de febrero de 2003 y, del 1º de enero de 2006 al 31 de diciembre de 2006.</w:t>
      </w:r>
    </w:p>
    <w:p w:rsidR="00E13F1C" w:rsidRPr="00B27489" w:rsidRDefault="00E13F1C" w:rsidP="00481DC2">
      <w:pPr>
        <w:tabs>
          <w:tab w:val="left" w:pos="3261"/>
        </w:tabs>
        <w:spacing w:line="276" w:lineRule="auto"/>
        <w:jc w:val="both"/>
        <w:rPr>
          <w:rFonts w:ascii="Arial" w:hAnsi="Arial" w:cs="Arial"/>
          <w:iCs/>
          <w:spacing w:val="-4"/>
          <w:sz w:val="24"/>
          <w:szCs w:val="24"/>
        </w:rPr>
      </w:pPr>
    </w:p>
    <w:p w:rsidR="00E13F1C" w:rsidRPr="00B27489" w:rsidRDefault="00E13F1C" w:rsidP="00481DC2">
      <w:pPr>
        <w:tabs>
          <w:tab w:val="left" w:pos="3261"/>
        </w:tabs>
        <w:spacing w:line="276" w:lineRule="auto"/>
        <w:jc w:val="both"/>
        <w:rPr>
          <w:rFonts w:ascii="Arial" w:hAnsi="Arial" w:cs="Arial"/>
          <w:iCs/>
          <w:spacing w:val="-4"/>
          <w:sz w:val="24"/>
          <w:szCs w:val="24"/>
        </w:rPr>
      </w:pPr>
      <w:r w:rsidRPr="00B27489">
        <w:rPr>
          <w:rFonts w:ascii="Arial" w:hAnsi="Arial" w:cs="Arial"/>
          <w:iCs/>
          <w:spacing w:val="-4"/>
          <w:sz w:val="24"/>
          <w:szCs w:val="24"/>
        </w:rPr>
        <w:t xml:space="preserve">De acuerdo con lo anterior, la suma que representa las prestaciones sociales liquidadas a favor del ejecutante es </w:t>
      </w:r>
      <w:r w:rsidRPr="00B27489">
        <w:rPr>
          <w:rFonts w:ascii="Arial" w:hAnsi="Arial" w:cs="Arial"/>
          <w:b/>
          <w:iCs/>
          <w:spacing w:val="-4"/>
          <w:sz w:val="24"/>
          <w:szCs w:val="24"/>
        </w:rPr>
        <w:t>$13.930.142</w:t>
      </w:r>
      <w:r w:rsidRPr="00B27489">
        <w:rPr>
          <w:rFonts w:ascii="Arial" w:hAnsi="Arial" w:cs="Arial"/>
          <w:iCs/>
          <w:spacing w:val="-4"/>
          <w:sz w:val="24"/>
          <w:szCs w:val="24"/>
        </w:rPr>
        <w:t>.</w:t>
      </w:r>
    </w:p>
    <w:p w:rsidR="00E13F1C" w:rsidRPr="00B27489" w:rsidRDefault="00E13F1C" w:rsidP="00481DC2">
      <w:pPr>
        <w:tabs>
          <w:tab w:val="left" w:pos="3261"/>
        </w:tabs>
        <w:spacing w:line="276" w:lineRule="auto"/>
        <w:jc w:val="both"/>
        <w:rPr>
          <w:rFonts w:ascii="Arial" w:hAnsi="Arial" w:cs="Arial"/>
          <w:iCs/>
          <w:spacing w:val="-4"/>
          <w:sz w:val="24"/>
          <w:szCs w:val="24"/>
        </w:rPr>
      </w:pP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r w:rsidRPr="00B27489">
        <w:rPr>
          <w:rFonts w:ascii="Arial" w:hAnsi="Arial" w:cs="Arial"/>
          <w:iCs/>
          <w:spacing w:val="-4"/>
          <w:sz w:val="24"/>
          <w:szCs w:val="24"/>
        </w:rPr>
        <w:t>Ahora bien, el reajuste salarial fue dispuesto por valor de $14.324.486, cifra que debe ser incluida dentro del capital sobre el cual se deben liquidar los intereses moratorios</w:t>
      </w:r>
      <w:r w:rsidRPr="00B27489">
        <w:rPr>
          <w:rFonts w:ascii="Arial" w:eastAsia="Tahoma" w:hAnsi="Arial" w:cs="Arial"/>
          <w:spacing w:val="-4"/>
          <w:sz w:val="24"/>
          <w:szCs w:val="24"/>
          <w:lang w:val="es-ES"/>
        </w:rPr>
        <w:t xml:space="preserve"> a la tasa máxima de créditos de libre asignación certificados por la Superintendencia Financiera, de que trata el artículo 65 del CST, toda vez que aquél representa la proporción del salario que fue desconocido por el empleador y que requirió del pronunciamiento del juez laboral para lograr su reconocimiento.  </w:t>
      </w: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r w:rsidRPr="00B27489">
        <w:rPr>
          <w:rFonts w:ascii="Arial" w:eastAsia="Tahoma" w:hAnsi="Arial" w:cs="Arial"/>
          <w:spacing w:val="-4"/>
          <w:sz w:val="24"/>
          <w:szCs w:val="24"/>
          <w:lang w:val="es-ES"/>
        </w:rPr>
        <w:t xml:space="preserve">Así las cosas, el valor de las prestaciones y salarios insolutos, respecto a los cuales deben liquidarse los referidos réditos desde el 16 de junio de 2014 </w:t>
      </w:r>
      <w:r w:rsidR="00B27489" w:rsidRPr="00B27489">
        <w:rPr>
          <w:rFonts w:ascii="Arial" w:eastAsia="Tahoma" w:hAnsi="Arial" w:cs="Arial"/>
          <w:spacing w:val="-4"/>
          <w:sz w:val="24"/>
          <w:szCs w:val="24"/>
          <w:lang w:val="es-ES"/>
        </w:rPr>
        <w:t>-</w:t>
      </w:r>
      <w:r w:rsidRPr="00B27489">
        <w:rPr>
          <w:rFonts w:ascii="Arial" w:eastAsia="Tahoma" w:hAnsi="Arial" w:cs="Arial"/>
          <w:i/>
          <w:spacing w:val="-4"/>
          <w:sz w:val="24"/>
          <w:szCs w:val="24"/>
          <w:lang w:val="es-ES"/>
        </w:rPr>
        <w:t>primer día del mes 25</w:t>
      </w:r>
      <w:r w:rsidR="00B27489" w:rsidRPr="00B27489">
        <w:rPr>
          <w:rFonts w:ascii="Arial" w:eastAsia="Tahoma" w:hAnsi="Arial" w:cs="Arial"/>
          <w:spacing w:val="-4"/>
          <w:sz w:val="24"/>
          <w:szCs w:val="24"/>
          <w:lang w:val="es-ES"/>
        </w:rPr>
        <w:t>- hasta el 30 de julio de 2017 -</w:t>
      </w:r>
      <w:proofErr w:type="gramStart"/>
      <w:r w:rsidRPr="00B27489">
        <w:rPr>
          <w:rFonts w:ascii="Arial" w:eastAsia="Tahoma" w:hAnsi="Arial" w:cs="Arial"/>
          <w:i/>
          <w:spacing w:val="-4"/>
          <w:sz w:val="24"/>
          <w:szCs w:val="24"/>
          <w:lang w:val="es-ES"/>
        </w:rPr>
        <w:t>fecha</w:t>
      </w:r>
      <w:proofErr w:type="gramEnd"/>
      <w:r w:rsidRPr="00B27489">
        <w:rPr>
          <w:rFonts w:ascii="Arial" w:eastAsia="Tahoma" w:hAnsi="Arial" w:cs="Arial"/>
          <w:i/>
          <w:spacing w:val="-4"/>
          <w:sz w:val="24"/>
          <w:szCs w:val="24"/>
          <w:lang w:val="es-ES"/>
        </w:rPr>
        <w:t xml:space="preserve"> de pago de las prestaciones y salarios-</w:t>
      </w:r>
      <w:r w:rsidRPr="00B27489">
        <w:rPr>
          <w:rFonts w:ascii="Arial" w:eastAsia="Tahoma" w:hAnsi="Arial" w:cs="Arial"/>
          <w:spacing w:val="-4"/>
          <w:sz w:val="24"/>
          <w:szCs w:val="24"/>
          <w:lang w:val="es-ES"/>
        </w:rPr>
        <w:t xml:space="preserve">, corresponde a la suma de </w:t>
      </w:r>
      <w:r w:rsidRPr="00B27489">
        <w:rPr>
          <w:rFonts w:ascii="Arial" w:eastAsia="Tahoma" w:hAnsi="Arial" w:cs="Arial"/>
          <w:b/>
          <w:spacing w:val="-4"/>
          <w:sz w:val="24"/>
          <w:szCs w:val="24"/>
          <w:lang w:val="es-ES"/>
        </w:rPr>
        <w:t>$28.254.628.</w:t>
      </w: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r w:rsidRPr="00B27489">
        <w:rPr>
          <w:rFonts w:ascii="Arial" w:eastAsia="Tahoma" w:hAnsi="Arial" w:cs="Arial"/>
          <w:spacing w:val="-4"/>
          <w:sz w:val="24"/>
          <w:szCs w:val="24"/>
          <w:lang w:val="es-ES"/>
        </w:rPr>
        <w:t>La operación que arroja el valor de los referidos intereses es como sigue.</w:t>
      </w:r>
    </w:p>
    <w:p w:rsidR="00E13F1C" w:rsidRPr="00B27489" w:rsidRDefault="00E13F1C" w:rsidP="00481DC2">
      <w:pPr>
        <w:tabs>
          <w:tab w:val="left" w:pos="3261"/>
        </w:tabs>
        <w:spacing w:line="276" w:lineRule="auto"/>
        <w:jc w:val="both"/>
        <w:rPr>
          <w:rFonts w:ascii="Arial" w:eastAsia="Tahoma" w:hAnsi="Arial" w:cs="Arial"/>
          <w:spacing w:val="-4"/>
          <w:sz w:val="24"/>
          <w:szCs w:val="24"/>
          <w:lang w:val="es-E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1493"/>
        <w:gridCol w:w="1129"/>
        <w:gridCol w:w="1550"/>
        <w:gridCol w:w="1127"/>
        <w:gridCol w:w="1907"/>
      </w:tblGrid>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b/>
                <w:spacing w:val="-4"/>
                <w:sz w:val="24"/>
                <w:szCs w:val="24"/>
                <w:lang w:val="es-ES"/>
              </w:rPr>
            </w:pPr>
            <w:r w:rsidRPr="00B27489">
              <w:rPr>
                <w:rFonts w:ascii="Arial" w:hAnsi="Arial" w:cs="Arial"/>
                <w:b/>
                <w:spacing w:val="-4"/>
                <w:sz w:val="24"/>
                <w:szCs w:val="24"/>
                <w:lang w:val="es-ES"/>
              </w:rPr>
              <w:t>CAPITAL</w:t>
            </w:r>
          </w:p>
        </w:tc>
        <w:tc>
          <w:tcPr>
            <w:tcW w:w="787" w:type="pct"/>
            <w:vAlign w:val="center"/>
            <w:hideMark/>
          </w:tcPr>
          <w:p w:rsidR="00E13F1C" w:rsidRPr="00B27489" w:rsidRDefault="00E13F1C" w:rsidP="00B27489">
            <w:pPr>
              <w:rPr>
                <w:rFonts w:ascii="Arial" w:hAnsi="Arial" w:cs="Arial"/>
                <w:spacing w:val="-4"/>
                <w:sz w:val="24"/>
                <w:szCs w:val="24"/>
                <w:lang w:val="es-ES"/>
              </w:rPr>
            </w:pPr>
          </w:p>
        </w:tc>
        <w:tc>
          <w:tcPr>
            <w:tcW w:w="591" w:type="pct"/>
            <w:vAlign w:val="center"/>
            <w:hideMark/>
          </w:tcPr>
          <w:p w:rsidR="00E13F1C" w:rsidRPr="00B27489" w:rsidRDefault="00E13F1C" w:rsidP="00B27489">
            <w:pPr>
              <w:rPr>
                <w:rFonts w:ascii="Arial" w:hAnsi="Arial" w:cs="Arial"/>
                <w:spacing w:val="-4"/>
                <w:sz w:val="24"/>
                <w:szCs w:val="24"/>
                <w:lang w:val="es-ES"/>
              </w:rPr>
            </w:pPr>
          </w:p>
        </w:tc>
        <w:tc>
          <w:tcPr>
            <w:tcW w:w="818" w:type="pct"/>
            <w:vAlign w:val="center"/>
            <w:hideMark/>
          </w:tcPr>
          <w:p w:rsidR="00E13F1C" w:rsidRPr="00B27489" w:rsidRDefault="00E13F1C" w:rsidP="00B27489">
            <w:pPr>
              <w:rPr>
                <w:rFonts w:ascii="Arial" w:hAnsi="Arial" w:cs="Arial"/>
                <w:spacing w:val="-4"/>
                <w:sz w:val="24"/>
                <w:szCs w:val="24"/>
                <w:lang w:val="es-ES"/>
              </w:rPr>
            </w:pPr>
          </w:p>
        </w:tc>
        <w:tc>
          <w:tcPr>
            <w:tcW w:w="590" w:type="pct"/>
            <w:vAlign w:val="center"/>
            <w:hideMark/>
          </w:tcPr>
          <w:p w:rsidR="00E13F1C" w:rsidRPr="00B27489" w:rsidRDefault="00E13F1C" w:rsidP="00B27489">
            <w:pPr>
              <w:rPr>
                <w:rFonts w:ascii="Arial" w:hAnsi="Arial" w:cs="Arial"/>
                <w:spacing w:val="-4"/>
                <w:sz w:val="24"/>
                <w:szCs w:val="24"/>
                <w:lang w:val="es-ES"/>
              </w:rPr>
            </w:pPr>
          </w:p>
        </w:tc>
        <w:tc>
          <w:tcPr>
            <w:tcW w:w="1001" w:type="pct"/>
            <w:vAlign w:val="center"/>
            <w:hideMark/>
          </w:tcPr>
          <w:p w:rsidR="00E13F1C" w:rsidRPr="00B27489" w:rsidRDefault="00E13F1C" w:rsidP="00B27489">
            <w:pPr>
              <w:rPr>
                <w:rFonts w:ascii="Arial" w:hAnsi="Arial" w:cs="Arial"/>
                <w:b/>
                <w:spacing w:val="-4"/>
                <w:sz w:val="24"/>
                <w:szCs w:val="24"/>
                <w:lang w:val="es-ES"/>
              </w:rPr>
            </w:pPr>
            <w:r w:rsidRPr="00B27489">
              <w:rPr>
                <w:rFonts w:ascii="Arial" w:hAnsi="Arial" w:cs="Arial"/>
                <w:b/>
                <w:spacing w:val="-4"/>
                <w:sz w:val="24"/>
                <w:szCs w:val="24"/>
                <w:lang w:val="es-ES"/>
              </w:rPr>
              <w:t>$28.254.628,00</w:t>
            </w:r>
          </w:p>
        </w:tc>
      </w:tr>
      <w:tr w:rsidR="00E13F1C" w:rsidRPr="00B27489" w:rsidTr="00481DC2">
        <w:trPr>
          <w:tblCellSpacing w:w="15" w:type="dxa"/>
        </w:trPr>
        <w:tc>
          <w:tcPr>
            <w:tcW w:w="1098" w:type="pct"/>
            <w:vAlign w:val="center"/>
            <w:hideMark/>
          </w:tcPr>
          <w:p w:rsidR="00E13F1C" w:rsidRPr="00B27489" w:rsidRDefault="00E13F1C" w:rsidP="00B27489">
            <w:pPr>
              <w:rPr>
                <w:rFonts w:ascii="Arial" w:hAnsi="Arial" w:cs="Arial"/>
                <w:spacing w:val="-4"/>
                <w:sz w:val="24"/>
                <w:szCs w:val="24"/>
                <w:lang w:val="es-ES"/>
              </w:rPr>
            </w:pPr>
          </w:p>
        </w:tc>
        <w:tc>
          <w:tcPr>
            <w:tcW w:w="787" w:type="pct"/>
            <w:vAlign w:val="center"/>
            <w:hideMark/>
          </w:tcPr>
          <w:p w:rsidR="00E13F1C" w:rsidRPr="00B27489" w:rsidRDefault="00E13F1C" w:rsidP="00B27489">
            <w:pPr>
              <w:rPr>
                <w:rFonts w:ascii="Arial" w:hAnsi="Arial" w:cs="Arial"/>
                <w:spacing w:val="-4"/>
                <w:sz w:val="24"/>
                <w:szCs w:val="24"/>
                <w:lang w:val="es-ES"/>
              </w:rPr>
            </w:pPr>
          </w:p>
        </w:tc>
        <w:tc>
          <w:tcPr>
            <w:tcW w:w="591" w:type="pct"/>
            <w:vAlign w:val="center"/>
            <w:hideMark/>
          </w:tcPr>
          <w:p w:rsidR="00E13F1C" w:rsidRPr="00B27489" w:rsidRDefault="00E13F1C" w:rsidP="00B27489">
            <w:pPr>
              <w:rPr>
                <w:rFonts w:ascii="Arial" w:hAnsi="Arial" w:cs="Arial"/>
                <w:spacing w:val="-4"/>
                <w:sz w:val="24"/>
                <w:szCs w:val="24"/>
                <w:lang w:val="es-ES"/>
              </w:rPr>
            </w:pPr>
          </w:p>
        </w:tc>
        <w:tc>
          <w:tcPr>
            <w:tcW w:w="818" w:type="pct"/>
            <w:vAlign w:val="center"/>
            <w:hideMark/>
          </w:tcPr>
          <w:p w:rsidR="00E13F1C" w:rsidRPr="00B27489" w:rsidRDefault="00E13F1C" w:rsidP="00B27489">
            <w:pPr>
              <w:rPr>
                <w:rFonts w:ascii="Arial" w:hAnsi="Arial" w:cs="Arial"/>
                <w:spacing w:val="-4"/>
                <w:sz w:val="24"/>
                <w:szCs w:val="24"/>
                <w:lang w:val="es-ES"/>
              </w:rPr>
            </w:pPr>
          </w:p>
        </w:tc>
        <w:tc>
          <w:tcPr>
            <w:tcW w:w="590" w:type="pct"/>
            <w:vAlign w:val="center"/>
            <w:hideMark/>
          </w:tcPr>
          <w:p w:rsidR="00E13F1C" w:rsidRPr="00B27489" w:rsidRDefault="00E13F1C" w:rsidP="00B27489">
            <w:pPr>
              <w:rPr>
                <w:rFonts w:ascii="Arial" w:hAnsi="Arial" w:cs="Arial"/>
                <w:spacing w:val="-4"/>
                <w:sz w:val="24"/>
                <w:szCs w:val="24"/>
                <w:lang w:val="es-ES"/>
              </w:rPr>
            </w:pPr>
          </w:p>
        </w:tc>
        <w:tc>
          <w:tcPr>
            <w:tcW w:w="1001" w:type="pct"/>
            <w:vAlign w:val="center"/>
            <w:hideMark/>
          </w:tcPr>
          <w:p w:rsidR="00E13F1C" w:rsidRPr="00B27489" w:rsidRDefault="00E13F1C" w:rsidP="00B27489">
            <w:pPr>
              <w:rPr>
                <w:rFonts w:ascii="Arial" w:hAnsi="Arial" w:cs="Arial"/>
                <w:spacing w:val="-4"/>
                <w:sz w:val="24"/>
                <w:szCs w:val="24"/>
                <w:lang w:val="es-ES"/>
              </w:rPr>
            </w:pP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Desde</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Hasta</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Días</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T.E.A.</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tasa diaria</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Valor Intereses</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16/06/2014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30/06/2014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15</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29,45%</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0,000707</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$ 299.803</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01/07/2014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31/07/2014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$ 611.230</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01/08/2014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31/08/2014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$ 611.230</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01/09/2014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30/09/2014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$ 591.513</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01/10/2014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31/10/2014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28,76%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0,000693</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$ 606.758</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01/11/2014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30/11/2014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28,76%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0,000693</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$ 587.185</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01/12/2014</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31/12/2014</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28,76%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0,000693</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$ 606.758</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01/01/2015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31/01/2015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0,000694</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$ 607.877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01/02/2015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28/02/2015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0,000694</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$ 549.050</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01/03/2015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31/03/2015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0,000694</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$ 607.877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01/04/2015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30/04/2015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$ 592.594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01/05/2015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31/05/2015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$ 612.347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01/06/2015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30/06/2015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29,06%</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$ 592.594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01/07/2015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31/07/2015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$ 609.275</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01/08/2015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31/08/2015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$ 609.275</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01/09/2015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30/09/2015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28,89%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$ 589.621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lastRenderedPageBreak/>
              <w:t>01/10/2015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31/10/2015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$ 611.230</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01/11/2015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30/11/2015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$ 591.513</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01/12/2015</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31/12/2015</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0,000698</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$ 611.230</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01/01/2016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31/01/2016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29,52%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0,000709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$ 620.985</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01/02/2016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29/02/2016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29,52%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0,000709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$ 580.921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01/03/2016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31/03/2016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29,52%</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0,000709</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$ 620.985</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01/04/2016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30/04/2016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30,81%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0,000736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$ 623.987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01/05/2016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31/05/2016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30,81%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0,000736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$ 644.786</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01/06/2016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30/06/2016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30,81%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0,000736</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$ 623.987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01/07/2016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31/07/2016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32,01%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0,000761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$ 666.718</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01/08/2016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31/08/2016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32,01%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0,000761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$ 666.718</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01/09/2016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30/09/2016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32,01%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0,000761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$ 645.211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01/10/2016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31/10/2016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32,99%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0,000781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$ 684.391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01/11/2016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30/11/2016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32,99%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0,000781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$ 662.314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01/12/2016</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31/12/2016</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32,99%</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0,000781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$ 684.391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01/01/2017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31/01/2017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$ 693.854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01/02/2017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28/02/2017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28</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$ 626.707</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01/03/2017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31/03/2017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33,51%</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$ 693.854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01/04/2017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30/04/2017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$ 671.211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01/05/2017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31/05/2017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31</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$ 693.584</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01/06/2017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30/06/2017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33,50%</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0,000792</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$ 671.211</w:t>
            </w:r>
          </w:p>
        </w:tc>
      </w:tr>
      <w:tr w:rsidR="00E13F1C" w:rsidRPr="00B27489" w:rsidTr="00481DC2">
        <w:trPr>
          <w:tblCellSpacing w:w="15" w:type="dxa"/>
        </w:trPr>
        <w:tc>
          <w:tcPr>
            <w:tcW w:w="109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01/07/2017</w:t>
            </w:r>
          </w:p>
        </w:tc>
        <w:tc>
          <w:tcPr>
            <w:tcW w:w="787"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30/07/2017</w:t>
            </w:r>
          </w:p>
        </w:tc>
        <w:tc>
          <w:tcPr>
            <w:tcW w:w="59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30</w:t>
            </w:r>
          </w:p>
        </w:tc>
        <w:tc>
          <w:tcPr>
            <w:tcW w:w="818"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32,97%</w:t>
            </w:r>
          </w:p>
        </w:tc>
        <w:tc>
          <w:tcPr>
            <w:tcW w:w="590"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0,000781</w:t>
            </w:r>
          </w:p>
        </w:tc>
        <w:tc>
          <w:tcPr>
            <w:tcW w:w="1001" w:type="pct"/>
            <w:vAlign w:val="center"/>
            <w:hideMark/>
          </w:tcPr>
          <w:p w:rsidR="00E13F1C" w:rsidRPr="00B27489" w:rsidRDefault="00E13F1C" w:rsidP="00B27489">
            <w:pPr>
              <w:jc w:val="center"/>
              <w:rPr>
                <w:rFonts w:ascii="Arial" w:hAnsi="Arial" w:cs="Arial"/>
                <w:spacing w:val="-4"/>
                <w:sz w:val="22"/>
                <w:szCs w:val="24"/>
                <w:lang w:val="es-ES"/>
              </w:rPr>
            </w:pPr>
            <w:r w:rsidRPr="00B27489">
              <w:rPr>
                <w:rFonts w:ascii="Arial" w:hAnsi="Arial" w:cs="Arial"/>
                <w:spacing w:val="-4"/>
                <w:sz w:val="22"/>
                <w:szCs w:val="24"/>
                <w:lang w:val="es-ES"/>
              </w:rPr>
              <w:t>$ 662.052</w:t>
            </w:r>
          </w:p>
        </w:tc>
      </w:tr>
      <w:tr w:rsidR="00E13F1C" w:rsidRPr="00B27489" w:rsidTr="00481DC2">
        <w:trPr>
          <w:tblCellSpacing w:w="15" w:type="dxa"/>
        </w:trPr>
        <w:tc>
          <w:tcPr>
            <w:tcW w:w="1098" w:type="pct"/>
            <w:vAlign w:val="center"/>
            <w:hideMark/>
          </w:tcPr>
          <w:p w:rsidR="00E13F1C" w:rsidRPr="00B27489" w:rsidRDefault="00E13F1C" w:rsidP="00B27489">
            <w:pPr>
              <w:rPr>
                <w:rFonts w:ascii="Arial" w:hAnsi="Arial" w:cs="Arial"/>
                <w:spacing w:val="-4"/>
                <w:sz w:val="24"/>
                <w:szCs w:val="24"/>
                <w:lang w:val="es-ES"/>
              </w:rPr>
            </w:pPr>
          </w:p>
        </w:tc>
        <w:tc>
          <w:tcPr>
            <w:tcW w:w="787" w:type="pct"/>
            <w:vAlign w:val="center"/>
            <w:hideMark/>
          </w:tcPr>
          <w:p w:rsidR="00E13F1C" w:rsidRPr="00B27489" w:rsidRDefault="00E13F1C" w:rsidP="00B27489">
            <w:pPr>
              <w:jc w:val="center"/>
              <w:rPr>
                <w:rFonts w:ascii="Arial" w:hAnsi="Arial" w:cs="Arial"/>
                <w:spacing w:val="-4"/>
                <w:sz w:val="24"/>
                <w:szCs w:val="24"/>
                <w:lang w:val="es-ES"/>
              </w:rPr>
            </w:pPr>
          </w:p>
        </w:tc>
        <w:tc>
          <w:tcPr>
            <w:tcW w:w="591" w:type="pct"/>
            <w:vAlign w:val="center"/>
            <w:hideMark/>
          </w:tcPr>
          <w:p w:rsidR="00E13F1C" w:rsidRPr="00B27489" w:rsidRDefault="00E13F1C" w:rsidP="00B27489">
            <w:pPr>
              <w:jc w:val="center"/>
              <w:rPr>
                <w:rFonts w:ascii="Arial" w:hAnsi="Arial" w:cs="Arial"/>
                <w:spacing w:val="-4"/>
                <w:sz w:val="24"/>
                <w:szCs w:val="24"/>
                <w:lang w:val="es-ES"/>
              </w:rPr>
            </w:pPr>
          </w:p>
        </w:tc>
        <w:tc>
          <w:tcPr>
            <w:tcW w:w="818" w:type="pct"/>
            <w:vAlign w:val="center"/>
            <w:hideMark/>
          </w:tcPr>
          <w:p w:rsidR="00E13F1C" w:rsidRPr="00B27489" w:rsidRDefault="00E13F1C" w:rsidP="00B27489">
            <w:pPr>
              <w:jc w:val="center"/>
              <w:rPr>
                <w:rFonts w:ascii="Arial" w:hAnsi="Arial" w:cs="Arial"/>
                <w:spacing w:val="-4"/>
                <w:sz w:val="24"/>
                <w:szCs w:val="24"/>
                <w:lang w:val="es-ES"/>
              </w:rPr>
            </w:pPr>
            <w:r w:rsidRPr="00B27489">
              <w:rPr>
                <w:rFonts w:ascii="Arial" w:hAnsi="Arial" w:cs="Arial"/>
                <w:spacing w:val="-4"/>
                <w:sz w:val="24"/>
                <w:szCs w:val="24"/>
                <w:lang w:val="es-ES"/>
              </w:rPr>
              <w:t xml:space="preserve">Total </w:t>
            </w:r>
            <w:proofErr w:type="spellStart"/>
            <w:r w:rsidRPr="00B27489">
              <w:rPr>
                <w:rFonts w:ascii="Arial" w:hAnsi="Arial" w:cs="Arial"/>
                <w:spacing w:val="-4"/>
                <w:sz w:val="24"/>
                <w:szCs w:val="24"/>
                <w:lang w:val="es-ES"/>
              </w:rPr>
              <w:t>Intere</w:t>
            </w:r>
            <w:r w:rsidR="00481DC2" w:rsidRPr="00B27489">
              <w:rPr>
                <w:rFonts w:ascii="Arial" w:hAnsi="Arial" w:cs="Arial"/>
                <w:spacing w:val="-4"/>
                <w:sz w:val="24"/>
                <w:szCs w:val="24"/>
                <w:lang w:val="es-ES"/>
              </w:rPr>
              <w:t>-</w:t>
            </w:r>
            <w:r w:rsidRPr="00B27489">
              <w:rPr>
                <w:rFonts w:ascii="Arial" w:hAnsi="Arial" w:cs="Arial"/>
                <w:spacing w:val="-4"/>
                <w:sz w:val="24"/>
                <w:szCs w:val="24"/>
                <w:lang w:val="es-ES"/>
              </w:rPr>
              <w:t>ses</w:t>
            </w:r>
            <w:proofErr w:type="spellEnd"/>
            <w:r w:rsidRPr="00B27489">
              <w:rPr>
                <w:rFonts w:ascii="Arial" w:hAnsi="Arial" w:cs="Arial"/>
                <w:spacing w:val="-4"/>
                <w:sz w:val="24"/>
                <w:szCs w:val="24"/>
                <w:lang w:val="es-ES"/>
              </w:rPr>
              <w:t xml:space="preserve"> de Mora</w:t>
            </w:r>
          </w:p>
        </w:tc>
        <w:tc>
          <w:tcPr>
            <w:tcW w:w="590" w:type="pct"/>
            <w:vAlign w:val="center"/>
            <w:hideMark/>
          </w:tcPr>
          <w:p w:rsidR="00E13F1C" w:rsidRPr="00B27489" w:rsidRDefault="00E13F1C" w:rsidP="00B27489">
            <w:pPr>
              <w:jc w:val="center"/>
              <w:rPr>
                <w:rFonts w:ascii="Arial" w:hAnsi="Arial" w:cs="Arial"/>
                <w:spacing w:val="-4"/>
                <w:sz w:val="24"/>
                <w:szCs w:val="24"/>
                <w:lang w:val="es-ES"/>
              </w:rPr>
            </w:pPr>
          </w:p>
        </w:tc>
        <w:tc>
          <w:tcPr>
            <w:tcW w:w="1001" w:type="pct"/>
            <w:vAlign w:val="center"/>
            <w:hideMark/>
          </w:tcPr>
          <w:p w:rsidR="00E13F1C" w:rsidRPr="00B27489" w:rsidRDefault="00481DC2" w:rsidP="00B27489">
            <w:pPr>
              <w:jc w:val="center"/>
              <w:rPr>
                <w:rFonts w:ascii="Arial" w:hAnsi="Arial" w:cs="Arial"/>
                <w:b/>
                <w:spacing w:val="-4"/>
                <w:sz w:val="24"/>
                <w:szCs w:val="24"/>
                <w:lang w:val="es-ES"/>
              </w:rPr>
            </w:pPr>
            <w:r w:rsidRPr="00B27489">
              <w:rPr>
                <w:rFonts w:ascii="Arial" w:hAnsi="Arial" w:cs="Arial"/>
                <w:b/>
                <w:spacing w:val="-4"/>
                <w:sz w:val="24"/>
                <w:szCs w:val="24"/>
                <w:lang w:val="es-ES"/>
              </w:rPr>
              <w:t>$</w:t>
            </w:r>
            <w:r w:rsidR="00E13F1C" w:rsidRPr="00B27489">
              <w:rPr>
                <w:rFonts w:ascii="Arial" w:hAnsi="Arial" w:cs="Arial"/>
                <w:b/>
                <w:spacing w:val="-4"/>
                <w:sz w:val="24"/>
                <w:szCs w:val="24"/>
                <w:lang w:val="es-ES"/>
              </w:rPr>
              <w:t>23.536.828,28</w:t>
            </w:r>
          </w:p>
        </w:tc>
      </w:tr>
    </w:tbl>
    <w:p w:rsidR="00E13F1C" w:rsidRPr="00B27489" w:rsidRDefault="00E13F1C" w:rsidP="00481DC2">
      <w:pPr>
        <w:spacing w:line="276" w:lineRule="auto"/>
        <w:jc w:val="both"/>
        <w:rPr>
          <w:rFonts w:ascii="Arial" w:hAnsi="Arial" w:cs="Arial"/>
          <w:iCs/>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 xml:space="preserve">Como puede observarse, el valor de los intereses que devienen del título ejecutivo es del orden de $23.536.828 </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 xml:space="preserve">Ahora bien, como el capital por salarios y prestaciones insolutas derivado de la sentencia asciende a la suma de $100.824.995 y la entidad ejecutada ya generó un pago por $106.759.218, que cubre la totalidad de ese capital, el exceso debe abonarse al pago de los intereses que aquí se han contabilizado, quedando una deuda pendiente por dicho concepto de $17.602.605.   </w:t>
      </w:r>
    </w:p>
    <w:p w:rsidR="00E13F1C" w:rsidRPr="00B27489" w:rsidRDefault="00E13F1C" w:rsidP="00481DC2">
      <w:pPr>
        <w:spacing w:line="276" w:lineRule="auto"/>
        <w:jc w:val="both"/>
        <w:rPr>
          <w:rFonts w:ascii="Arial" w:hAnsi="Arial" w:cs="Arial"/>
          <w:iCs/>
          <w:spacing w:val="-4"/>
          <w:sz w:val="24"/>
          <w:szCs w:val="24"/>
        </w:rPr>
      </w:pPr>
    </w:p>
    <w:p w:rsidR="00E13F1C" w:rsidRPr="00B27489" w:rsidRDefault="00E13F1C" w:rsidP="00481DC2">
      <w:pPr>
        <w:spacing w:line="276" w:lineRule="auto"/>
        <w:jc w:val="both"/>
        <w:rPr>
          <w:rFonts w:ascii="Arial" w:hAnsi="Arial" w:cs="Arial"/>
          <w:iCs/>
          <w:spacing w:val="-4"/>
          <w:sz w:val="24"/>
          <w:szCs w:val="24"/>
        </w:rPr>
      </w:pPr>
      <w:r w:rsidRPr="00B27489">
        <w:rPr>
          <w:rFonts w:ascii="Arial" w:hAnsi="Arial" w:cs="Arial"/>
          <w:iCs/>
          <w:spacing w:val="-4"/>
          <w:sz w:val="24"/>
          <w:szCs w:val="24"/>
        </w:rPr>
        <w:t xml:space="preserve">Así las cosas, se adicionará el ordinal primero del auto de fecha 25 de octubre de 2019 para ordenar librar mandamiento de pago por dicha suma. </w:t>
      </w:r>
    </w:p>
    <w:p w:rsidR="00E13F1C" w:rsidRPr="00B27489" w:rsidRDefault="00E13F1C" w:rsidP="00481DC2">
      <w:pPr>
        <w:spacing w:line="276" w:lineRule="auto"/>
        <w:jc w:val="both"/>
        <w:rPr>
          <w:rFonts w:ascii="Arial" w:hAnsi="Arial" w:cs="Arial"/>
          <w:iCs/>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Sin costas en esta instancia.</w:t>
      </w:r>
    </w:p>
    <w:p w:rsidR="00E13F1C" w:rsidRPr="00B27489" w:rsidRDefault="00E13F1C" w:rsidP="00481DC2">
      <w:pPr>
        <w:pStyle w:val="Textoindependiente"/>
        <w:spacing w:line="276" w:lineRule="auto"/>
        <w:rPr>
          <w:rFonts w:cs="Arial"/>
          <w:spacing w:val="-4"/>
          <w:sz w:val="24"/>
          <w:szCs w:val="24"/>
        </w:rPr>
      </w:pPr>
    </w:p>
    <w:p w:rsidR="00E13F1C" w:rsidRPr="00B27489" w:rsidRDefault="00E13F1C" w:rsidP="00481DC2">
      <w:pPr>
        <w:pStyle w:val="Textoindependiente"/>
        <w:spacing w:line="276" w:lineRule="auto"/>
        <w:rPr>
          <w:rFonts w:cs="Arial"/>
          <w:spacing w:val="-4"/>
          <w:sz w:val="24"/>
          <w:szCs w:val="24"/>
        </w:rPr>
      </w:pPr>
      <w:r w:rsidRPr="00B27489">
        <w:rPr>
          <w:rFonts w:cs="Arial"/>
          <w:spacing w:val="-4"/>
          <w:sz w:val="24"/>
          <w:szCs w:val="24"/>
        </w:rPr>
        <w:t xml:space="preserve">En mérito de lo expuesto, la </w:t>
      </w:r>
      <w:r w:rsidRPr="00B27489">
        <w:rPr>
          <w:rFonts w:cs="Arial"/>
          <w:b/>
          <w:bCs/>
          <w:spacing w:val="-4"/>
          <w:sz w:val="24"/>
          <w:szCs w:val="24"/>
        </w:rPr>
        <w:t>Sala de Decisión Laboral No 3º del Tribunal Superior del Distrito Judicial de Pereira</w:t>
      </w:r>
      <w:r w:rsidRPr="00B27489">
        <w:rPr>
          <w:rFonts w:cs="Arial"/>
          <w:spacing w:val="-4"/>
          <w:sz w:val="24"/>
          <w:szCs w:val="24"/>
        </w:rPr>
        <w:t xml:space="preserve">, </w:t>
      </w:r>
    </w:p>
    <w:p w:rsidR="00E13F1C" w:rsidRPr="00B27489" w:rsidRDefault="00E13F1C" w:rsidP="00481DC2">
      <w:pPr>
        <w:pStyle w:val="Textoindependiente"/>
        <w:spacing w:line="276" w:lineRule="auto"/>
        <w:rPr>
          <w:rFonts w:cs="Arial"/>
          <w:b/>
          <w:spacing w:val="-4"/>
          <w:sz w:val="24"/>
          <w:szCs w:val="24"/>
        </w:rPr>
      </w:pPr>
    </w:p>
    <w:p w:rsidR="00E13F1C" w:rsidRPr="00B27489" w:rsidRDefault="00E13F1C" w:rsidP="00481DC2">
      <w:pPr>
        <w:pStyle w:val="Textoindependiente"/>
        <w:spacing w:line="276" w:lineRule="auto"/>
        <w:jc w:val="center"/>
        <w:rPr>
          <w:rFonts w:cs="Arial"/>
          <w:b/>
          <w:spacing w:val="-4"/>
          <w:sz w:val="24"/>
          <w:szCs w:val="24"/>
        </w:rPr>
      </w:pPr>
      <w:r w:rsidRPr="00B27489">
        <w:rPr>
          <w:rFonts w:cs="Arial"/>
          <w:b/>
          <w:spacing w:val="-4"/>
          <w:sz w:val="24"/>
          <w:szCs w:val="24"/>
        </w:rPr>
        <w:t>RESUELVE</w:t>
      </w:r>
    </w:p>
    <w:p w:rsidR="00E13F1C" w:rsidRPr="00B27489" w:rsidRDefault="00E13F1C" w:rsidP="00481DC2">
      <w:pPr>
        <w:spacing w:line="276" w:lineRule="auto"/>
        <w:jc w:val="both"/>
        <w:rPr>
          <w:rFonts w:ascii="Arial" w:hAnsi="Arial" w:cs="Arial"/>
          <w:b/>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b/>
          <w:spacing w:val="-4"/>
          <w:sz w:val="24"/>
          <w:szCs w:val="24"/>
        </w:rPr>
        <w:t xml:space="preserve">PRIMERO.- ADICIONAR </w:t>
      </w:r>
      <w:r w:rsidRPr="00B27489">
        <w:rPr>
          <w:rFonts w:ascii="Arial" w:hAnsi="Arial" w:cs="Arial"/>
          <w:spacing w:val="-4"/>
          <w:sz w:val="24"/>
          <w:szCs w:val="24"/>
        </w:rPr>
        <w:t xml:space="preserve">el ordinal </w:t>
      </w:r>
      <w:r w:rsidRPr="00B27489">
        <w:rPr>
          <w:rFonts w:ascii="Arial" w:hAnsi="Arial" w:cs="Arial"/>
          <w:b/>
          <w:spacing w:val="-4"/>
          <w:sz w:val="24"/>
          <w:szCs w:val="24"/>
        </w:rPr>
        <w:t>PRIMERO</w:t>
      </w:r>
      <w:r w:rsidRPr="00B27489">
        <w:rPr>
          <w:rFonts w:ascii="Arial" w:hAnsi="Arial" w:cs="Arial"/>
          <w:spacing w:val="-4"/>
          <w:sz w:val="24"/>
          <w:szCs w:val="24"/>
        </w:rPr>
        <w:t xml:space="preserve"> del mandamiento de pago librado por el Juzgado Quinto Laboral del Circuito de esta ciudad el día 25 de octubre de 2019, el cual quedará así:</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ind w:left="426" w:right="420"/>
        <w:jc w:val="both"/>
        <w:rPr>
          <w:rFonts w:ascii="Arial" w:hAnsi="Arial" w:cs="Arial"/>
          <w:i/>
          <w:iCs/>
          <w:spacing w:val="-4"/>
          <w:sz w:val="24"/>
          <w:szCs w:val="24"/>
        </w:rPr>
      </w:pPr>
      <w:r w:rsidRPr="00B27489">
        <w:rPr>
          <w:rFonts w:ascii="Arial" w:hAnsi="Arial" w:cs="Arial"/>
          <w:i/>
          <w:iCs/>
          <w:spacing w:val="-4"/>
          <w:sz w:val="24"/>
          <w:szCs w:val="24"/>
        </w:rPr>
        <w:lastRenderedPageBreak/>
        <w:t xml:space="preserve">“PRIMERO: </w:t>
      </w:r>
      <w:r w:rsidRPr="00B27489">
        <w:rPr>
          <w:rFonts w:ascii="Arial" w:hAnsi="Arial" w:cs="Arial"/>
          <w:b/>
          <w:bCs/>
          <w:i/>
          <w:iCs/>
          <w:caps/>
          <w:spacing w:val="-4"/>
          <w:sz w:val="24"/>
          <w:szCs w:val="24"/>
        </w:rPr>
        <w:t>Librar mandamiento de pago</w:t>
      </w:r>
      <w:r w:rsidRPr="00B27489">
        <w:rPr>
          <w:rFonts w:ascii="Arial" w:hAnsi="Arial" w:cs="Arial"/>
          <w:b/>
          <w:bCs/>
          <w:i/>
          <w:iCs/>
          <w:spacing w:val="-4"/>
          <w:sz w:val="24"/>
          <w:szCs w:val="24"/>
        </w:rPr>
        <w:t xml:space="preserve"> EJECUTIVO</w:t>
      </w:r>
      <w:r w:rsidRPr="00B27489">
        <w:rPr>
          <w:rFonts w:ascii="Arial" w:hAnsi="Arial" w:cs="Arial"/>
          <w:i/>
          <w:iCs/>
          <w:spacing w:val="-4"/>
          <w:sz w:val="24"/>
          <w:szCs w:val="24"/>
        </w:rPr>
        <w:t xml:space="preserve"> en contra de la EMPRESA DE ACUEDUCTO Y ALCANTARILLADO DE PEREIRA y a favor del señor ADOLFO LEÓN GOMEZ TAMAYO por la obligación de hace de realizar los respectivos reajustes a los aportes a pensión de los periodos de cotización entre el 31 de diciembre de 1998 al 14 de junio de 2012 sobre el siguiente ingreso base de liquidación:</w:t>
      </w:r>
    </w:p>
    <w:p w:rsidR="00E13F1C" w:rsidRPr="00B27489" w:rsidRDefault="00E13F1C" w:rsidP="00481DC2">
      <w:pPr>
        <w:spacing w:line="276" w:lineRule="auto"/>
        <w:jc w:val="both"/>
        <w:rPr>
          <w:rFonts w:ascii="Arial" w:hAnsi="Arial" w:cs="Arial"/>
          <w:b/>
          <w:spacing w:val="-4"/>
          <w:sz w:val="24"/>
          <w:szCs w:val="24"/>
        </w:rPr>
      </w:pPr>
      <w:r w:rsidRPr="00B27489">
        <w:rPr>
          <w:rFonts w:ascii="Arial" w:hAnsi="Arial" w:cs="Arial"/>
          <w:b/>
          <w:spacing w:val="-4"/>
          <w:sz w:val="24"/>
          <w:szCs w:val="24"/>
        </w:rPr>
        <w:t xml:space="preser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tblGrid>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1998</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$203.826</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1999</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$532.154</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2000</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$704.916</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2001</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$782.550</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2002</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$860.806</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2003</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$920.976</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2004</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$980.700</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2005</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$1.042.484</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2006</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$1.103.469</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2007</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$1.163.939</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2008</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$1.237.268</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2009</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$1.344.539</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2010</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$1.384.875</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2011</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$1.442.624</w:t>
            </w:r>
          </w:p>
        </w:tc>
      </w:tr>
      <w:tr w:rsidR="00E13F1C" w:rsidRPr="00B27489" w:rsidTr="00BF739E">
        <w:tc>
          <w:tcPr>
            <w:tcW w:w="184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2012</w:t>
            </w:r>
          </w:p>
        </w:tc>
        <w:tc>
          <w:tcPr>
            <w:tcW w:w="2693" w:type="dxa"/>
          </w:tcPr>
          <w:p w:rsidR="00E13F1C" w:rsidRPr="00B27489" w:rsidRDefault="00E13F1C" w:rsidP="00B27489">
            <w:pPr>
              <w:jc w:val="center"/>
              <w:rPr>
                <w:rFonts w:ascii="Arial" w:hAnsi="Arial" w:cs="Arial"/>
                <w:b/>
                <w:spacing w:val="-4"/>
                <w:sz w:val="24"/>
                <w:szCs w:val="24"/>
              </w:rPr>
            </w:pPr>
            <w:r w:rsidRPr="00B27489">
              <w:rPr>
                <w:rFonts w:ascii="Arial" w:hAnsi="Arial" w:cs="Arial"/>
                <w:b/>
                <w:spacing w:val="-4"/>
                <w:sz w:val="24"/>
                <w:szCs w:val="24"/>
              </w:rPr>
              <w:t>$1.525.288</w:t>
            </w:r>
          </w:p>
        </w:tc>
      </w:tr>
    </w:tbl>
    <w:p w:rsidR="00E13F1C" w:rsidRPr="00B27489" w:rsidRDefault="00E13F1C" w:rsidP="00481DC2">
      <w:pPr>
        <w:spacing w:line="276" w:lineRule="auto"/>
        <w:jc w:val="both"/>
        <w:rPr>
          <w:rFonts w:ascii="Arial" w:hAnsi="Arial" w:cs="Arial"/>
          <w:b/>
          <w:spacing w:val="-4"/>
          <w:sz w:val="24"/>
          <w:szCs w:val="24"/>
        </w:rPr>
      </w:pPr>
    </w:p>
    <w:p w:rsidR="00E13F1C" w:rsidRPr="00B27489" w:rsidRDefault="00E13F1C" w:rsidP="00481DC2">
      <w:pPr>
        <w:spacing w:line="276" w:lineRule="auto"/>
        <w:ind w:left="708"/>
        <w:jc w:val="both"/>
        <w:rPr>
          <w:rFonts w:ascii="Arial" w:hAnsi="Arial" w:cs="Arial"/>
          <w:i/>
          <w:iCs/>
          <w:spacing w:val="-4"/>
          <w:sz w:val="24"/>
          <w:szCs w:val="24"/>
        </w:rPr>
      </w:pPr>
      <w:r w:rsidRPr="00B27489">
        <w:rPr>
          <w:rFonts w:ascii="Arial" w:hAnsi="Arial" w:cs="Arial"/>
          <w:b/>
          <w:bCs/>
          <w:i/>
          <w:iCs/>
          <w:spacing w:val="-4"/>
          <w:sz w:val="24"/>
          <w:szCs w:val="24"/>
        </w:rPr>
        <w:t xml:space="preserve">LIBRAR MANDAMIENTO DE PAGO </w:t>
      </w:r>
      <w:r w:rsidRPr="00B27489">
        <w:rPr>
          <w:rFonts w:ascii="Arial" w:hAnsi="Arial" w:cs="Arial"/>
          <w:i/>
          <w:iCs/>
          <w:spacing w:val="-4"/>
          <w:sz w:val="24"/>
          <w:szCs w:val="24"/>
        </w:rPr>
        <w:t xml:space="preserve">por la suma de </w:t>
      </w:r>
      <w:r w:rsidRPr="00B27489">
        <w:rPr>
          <w:rFonts w:ascii="Arial" w:hAnsi="Arial" w:cs="Arial"/>
          <w:b/>
          <w:bCs/>
          <w:i/>
          <w:iCs/>
          <w:spacing w:val="-4"/>
          <w:sz w:val="24"/>
          <w:szCs w:val="24"/>
        </w:rPr>
        <w:t>$17.602.605</w:t>
      </w:r>
      <w:r w:rsidRPr="00B27489">
        <w:rPr>
          <w:rFonts w:ascii="Arial" w:hAnsi="Arial" w:cs="Arial"/>
          <w:i/>
          <w:iCs/>
          <w:spacing w:val="-4"/>
          <w:sz w:val="24"/>
          <w:szCs w:val="24"/>
        </w:rPr>
        <w:t xml:space="preserve"> por concepto de intereses moratorios del artículo 65 del CST.”</w:t>
      </w:r>
    </w:p>
    <w:p w:rsidR="00E13F1C" w:rsidRPr="00B27489" w:rsidRDefault="00E13F1C" w:rsidP="00481DC2">
      <w:pPr>
        <w:spacing w:line="276" w:lineRule="auto"/>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b/>
          <w:spacing w:val="-4"/>
          <w:sz w:val="24"/>
          <w:szCs w:val="24"/>
        </w:rPr>
        <w:t xml:space="preserve">SEGUNDO.- REMITIR </w:t>
      </w:r>
      <w:r w:rsidRPr="00B27489">
        <w:rPr>
          <w:rFonts w:ascii="Arial" w:hAnsi="Arial" w:cs="Arial"/>
          <w:spacing w:val="-4"/>
          <w:sz w:val="24"/>
          <w:szCs w:val="24"/>
        </w:rPr>
        <w:t>el proceso al juzgado de origen, para que se continúe con el trámite de la presente acción ejecutiva.</w:t>
      </w:r>
    </w:p>
    <w:p w:rsidR="00E13F1C" w:rsidRPr="00B27489" w:rsidRDefault="00E13F1C" w:rsidP="00481DC2">
      <w:pPr>
        <w:spacing w:line="276" w:lineRule="auto"/>
        <w:ind w:right="-597"/>
        <w:jc w:val="both"/>
        <w:rPr>
          <w:rFonts w:ascii="Arial" w:hAnsi="Arial" w:cs="Arial"/>
          <w:spacing w:val="-4"/>
          <w:sz w:val="24"/>
          <w:szCs w:val="24"/>
        </w:rPr>
      </w:pPr>
    </w:p>
    <w:p w:rsidR="00E13F1C" w:rsidRPr="00B27489" w:rsidRDefault="00E13F1C" w:rsidP="00481DC2">
      <w:pPr>
        <w:spacing w:line="276" w:lineRule="auto"/>
        <w:jc w:val="both"/>
        <w:rPr>
          <w:rFonts w:ascii="Arial" w:hAnsi="Arial" w:cs="Arial"/>
          <w:spacing w:val="-4"/>
          <w:sz w:val="24"/>
          <w:szCs w:val="24"/>
        </w:rPr>
      </w:pPr>
      <w:r w:rsidRPr="00B27489">
        <w:rPr>
          <w:rFonts w:ascii="Arial" w:hAnsi="Arial" w:cs="Arial"/>
          <w:spacing w:val="-4"/>
          <w:sz w:val="24"/>
          <w:szCs w:val="24"/>
        </w:rPr>
        <w:t>Costas en esta instancia no se causaron.</w:t>
      </w:r>
    </w:p>
    <w:p w:rsidR="00481DC2" w:rsidRPr="00B27489" w:rsidRDefault="00481DC2" w:rsidP="00481DC2">
      <w:pPr>
        <w:spacing w:line="276" w:lineRule="auto"/>
        <w:jc w:val="both"/>
        <w:rPr>
          <w:rFonts w:ascii="Arial" w:hAnsi="Arial" w:cs="Arial"/>
          <w:spacing w:val="-4"/>
          <w:sz w:val="24"/>
          <w:szCs w:val="24"/>
        </w:rPr>
      </w:pPr>
    </w:p>
    <w:p w:rsidR="00481DC2" w:rsidRPr="00B27489" w:rsidRDefault="00E13F1C" w:rsidP="00481DC2">
      <w:pPr>
        <w:spacing w:line="276" w:lineRule="auto"/>
        <w:jc w:val="both"/>
        <w:textAlignment w:val="baseline"/>
        <w:rPr>
          <w:rStyle w:val="normaltextrun"/>
          <w:rFonts w:ascii="Arial" w:hAnsi="Arial" w:cs="Arial"/>
          <w:spacing w:val="-4"/>
          <w:sz w:val="24"/>
          <w:szCs w:val="24"/>
        </w:rPr>
      </w:pPr>
      <w:r w:rsidRPr="00B27489">
        <w:rPr>
          <w:rStyle w:val="normaltextrun"/>
          <w:rFonts w:ascii="Arial" w:hAnsi="Arial" w:cs="Arial"/>
          <w:spacing w:val="-4"/>
          <w:sz w:val="24"/>
          <w:szCs w:val="24"/>
        </w:rPr>
        <w:t>Notifíquese por estado y a los correos electrónicos de los apoderados de las partes.</w:t>
      </w:r>
    </w:p>
    <w:p w:rsidR="00E13F1C" w:rsidRPr="00B27489" w:rsidRDefault="00E13F1C" w:rsidP="00481DC2">
      <w:pPr>
        <w:spacing w:line="276" w:lineRule="auto"/>
        <w:jc w:val="both"/>
        <w:textAlignment w:val="baseline"/>
        <w:rPr>
          <w:rFonts w:ascii="Arial" w:hAnsi="Arial" w:cs="Arial"/>
          <w:spacing w:val="-4"/>
          <w:sz w:val="24"/>
          <w:szCs w:val="24"/>
        </w:rPr>
      </w:pPr>
      <w:r w:rsidRPr="00B27489">
        <w:rPr>
          <w:rStyle w:val="eop"/>
          <w:rFonts w:ascii="Arial" w:hAnsi="Arial" w:cs="Arial"/>
          <w:spacing w:val="-4"/>
          <w:sz w:val="24"/>
          <w:szCs w:val="24"/>
        </w:rPr>
        <w:t> </w:t>
      </w:r>
    </w:p>
    <w:p w:rsidR="00481DC2" w:rsidRPr="00B27489" w:rsidRDefault="00481DC2" w:rsidP="00481DC2">
      <w:pPr>
        <w:spacing w:line="276" w:lineRule="auto"/>
        <w:jc w:val="both"/>
        <w:textAlignment w:val="baseline"/>
        <w:rPr>
          <w:rFonts w:ascii="Arial" w:hAnsi="Arial" w:cs="Arial"/>
          <w:spacing w:val="-4"/>
          <w:sz w:val="24"/>
          <w:szCs w:val="24"/>
          <w:lang w:val="es-CO" w:eastAsia="es-CO"/>
        </w:rPr>
      </w:pPr>
      <w:r w:rsidRPr="00B27489">
        <w:rPr>
          <w:rFonts w:ascii="Arial" w:hAnsi="Arial" w:cs="Arial"/>
          <w:spacing w:val="-4"/>
          <w:sz w:val="24"/>
          <w:szCs w:val="24"/>
          <w:lang w:val="es-CO" w:eastAsia="es-CO"/>
        </w:rPr>
        <w:t>Quienes integran la Sala. </w:t>
      </w:r>
    </w:p>
    <w:p w:rsidR="00481DC2" w:rsidRDefault="00481DC2" w:rsidP="00481DC2">
      <w:pPr>
        <w:spacing w:line="288" w:lineRule="auto"/>
        <w:jc w:val="both"/>
        <w:rPr>
          <w:rFonts w:ascii="Arial" w:hAnsi="Arial" w:cs="Arial"/>
          <w:spacing w:val="-4"/>
          <w:sz w:val="24"/>
          <w:szCs w:val="24"/>
        </w:rPr>
      </w:pPr>
    </w:p>
    <w:p w:rsidR="00B27489" w:rsidRPr="00481DC2" w:rsidRDefault="00B27489" w:rsidP="00481DC2">
      <w:pPr>
        <w:spacing w:line="288" w:lineRule="auto"/>
        <w:jc w:val="both"/>
        <w:rPr>
          <w:rFonts w:ascii="Arial" w:hAnsi="Arial" w:cs="Arial"/>
          <w:spacing w:val="-4"/>
          <w:sz w:val="24"/>
          <w:szCs w:val="24"/>
        </w:rPr>
      </w:pPr>
    </w:p>
    <w:p w:rsidR="00481DC2" w:rsidRPr="00481DC2" w:rsidRDefault="00481DC2" w:rsidP="00481DC2">
      <w:pPr>
        <w:spacing w:line="288" w:lineRule="auto"/>
        <w:jc w:val="both"/>
        <w:rPr>
          <w:rFonts w:ascii="Arial" w:hAnsi="Arial" w:cs="Arial"/>
          <w:spacing w:val="-4"/>
          <w:sz w:val="24"/>
          <w:szCs w:val="24"/>
        </w:rPr>
      </w:pPr>
    </w:p>
    <w:p w:rsidR="00481DC2" w:rsidRPr="00481DC2" w:rsidRDefault="00481DC2" w:rsidP="00481DC2">
      <w:pPr>
        <w:widowControl w:val="0"/>
        <w:autoSpaceDE w:val="0"/>
        <w:autoSpaceDN w:val="0"/>
        <w:adjustRightInd w:val="0"/>
        <w:spacing w:line="288" w:lineRule="auto"/>
        <w:jc w:val="center"/>
        <w:rPr>
          <w:rFonts w:ascii="Arial" w:hAnsi="Arial" w:cs="Arial"/>
          <w:b/>
          <w:spacing w:val="-4"/>
          <w:sz w:val="24"/>
          <w:szCs w:val="24"/>
        </w:rPr>
      </w:pPr>
      <w:r w:rsidRPr="00481DC2">
        <w:rPr>
          <w:rFonts w:ascii="Arial" w:hAnsi="Arial" w:cs="Arial"/>
          <w:b/>
          <w:spacing w:val="-4"/>
          <w:sz w:val="24"/>
          <w:szCs w:val="24"/>
        </w:rPr>
        <w:t>JULIO CÉSAR SALAZAR MUÑOZ</w:t>
      </w:r>
    </w:p>
    <w:p w:rsidR="00481DC2" w:rsidRPr="00481DC2" w:rsidRDefault="00481DC2" w:rsidP="00481DC2">
      <w:pPr>
        <w:widowControl w:val="0"/>
        <w:autoSpaceDE w:val="0"/>
        <w:autoSpaceDN w:val="0"/>
        <w:adjustRightInd w:val="0"/>
        <w:spacing w:line="288" w:lineRule="auto"/>
        <w:jc w:val="center"/>
        <w:rPr>
          <w:rFonts w:ascii="Arial" w:hAnsi="Arial" w:cs="Arial"/>
          <w:spacing w:val="-4"/>
          <w:sz w:val="24"/>
          <w:szCs w:val="24"/>
        </w:rPr>
      </w:pPr>
      <w:r w:rsidRPr="00481DC2">
        <w:rPr>
          <w:rFonts w:ascii="Arial" w:hAnsi="Arial" w:cs="Arial"/>
          <w:spacing w:val="-4"/>
          <w:sz w:val="24"/>
          <w:szCs w:val="24"/>
        </w:rPr>
        <w:t>Ponente</w:t>
      </w:r>
    </w:p>
    <w:p w:rsidR="00481DC2" w:rsidRPr="00481DC2" w:rsidRDefault="00481DC2" w:rsidP="00481DC2">
      <w:pPr>
        <w:widowControl w:val="0"/>
        <w:autoSpaceDE w:val="0"/>
        <w:autoSpaceDN w:val="0"/>
        <w:adjustRightInd w:val="0"/>
        <w:spacing w:line="288" w:lineRule="auto"/>
        <w:rPr>
          <w:rFonts w:ascii="Arial" w:hAnsi="Arial" w:cs="Arial"/>
          <w:b/>
          <w:spacing w:val="-4"/>
          <w:sz w:val="24"/>
          <w:szCs w:val="24"/>
        </w:rPr>
      </w:pPr>
    </w:p>
    <w:p w:rsidR="00481DC2" w:rsidRDefault="00481DC2" w:rsidP="00481DC2">
      <w:pPr>
        <w:widowControl w:val="0"/>
        <w:autoSpaceDE w:val="0"/>
        <w:autoSpaceDN w:val="0"/>
        <w:adjustRightInd w:val="0"/>
        <w:spacing w:line="288" w:lineRule="auto"/>
        <w:rPr>
          <w:rFonts w:ascii="Arial" w:hAnsi="Arial" w:cs="Arial"/>
          <w:spacing w:val="-4"/>
          <w:sz w:val="24"/>
          <w:szCs w:val="24"/>
        </w:rPr>
      </w:pPr>
    </w:p>
    <w:p w:rsidR="00B27489" w:rsidRPr="00481DC2" w:rsidRDefault="00B27489" w:rsidP="00481DC2">
      <w:pPr>
        <w:widowControl w:val="0"/>
        <w:autoSpaceDE w:val="0"/>
        <w:autoSpaceDN w:val="0"/>
        <w:adjustRightInd w:val="0"/>
        <w:spacing w:line="288" w:lineRule="auto"/>
        <w:rPr>
          <w:rFonts w:ascii="Arial" w:hAnsi="Arial" w:cs="Arial"/>
          <w:spacing w:val="-4"/>
          <w:sz w:val="24"/>
          <w:szCs w:val="24"/>
        </w:rPr>
      </w:pPr>
    </w:p>
    <w:p w:rsidR="00481DC2" w:rsidRPr="00481DC2" w:rsidRDefault="00481DC2" w:rsidP="00481DC2">
      <w:pPr>
        <w:widowControl w:val="0"/>
        <w:autoSpaceDE w:val="0"/>
        <w:autoSpaceDN w:val="0"/>
        <w:adjustRightInd w:val="0"/>
        <w:spacing w:line="288" w:lineRule="auto"/>
        <w:rPr>
          <w:rFonts w:ascii="Arial" w:hAnsi="Arial" w:cs="Arial"/>
          <w:b/>
          <w:bCs/>
          <w:spacing w:val="-4"/>
          <w:sz w:val="24"/>
          <w:szCs w:val="24"/>
        </w:rPr>
      </w:pPr>
      <w:r w:rsidRPr="00481DC2">
        <w:rPr>
          <w:rFonts w:ascii="Arial" w:hAnsi="Arial" w:cs="Arial"/>
          <w:b/>
          <w:bCs/>
          <w:spacing w:val="-4"/>
          <w:sz w:val="24"/>
          <w:szCs w:val="24"/>
        </w:rPr>
        <w:t>ANA LUCÍA CAICEDO CALDERÓN</w:t>
      </w:r>
      <w:r w:rsidRPr="00481DC2">
        <w:rPr>
          <w:rFonts w:ascii="Arial" w:hAnsi="Arial" w:cs="Arial"/>
          <w:b/>
          <w:bCs/>
          <w:spacing w:val="-4"/>
          <w:sz w:val="24"/>
          <w:szCs w:val="24"/>
        </w:rPr>
        <w:tab/>
        <w:t xml:space="preserve">     ALEJANDRA MARÍA HENAO PALACIO</w:t>
      </w:r>
    </w:p>
    <w:p w:rsidR="00481DC2" w:rsidRPr="00481DC2" w:rsidRDefault="00481DC2" w:rsidP="00481DC2">
      <w:pPr>
        <w:widowControl w:val="0"/>
        <w:autoSpaceDE w:val="0"/>
        <w:autoSpaceDN w:val="0"/>
        <w:adjustRightInd w:val="0"/>
        <w:spacing w:line="288" w:lineRule="auto"/>
        <w:rPr>
          <w:rFonts w:ascii="Arial" w:hAnsi="Arial" w:cs="Arial"/>
          <w:bCs/>
          <w:spacing w:val="-4"/>
          <w:sz w:val="24"/>
          <w:szCs w:val="24"/>
        </w:rPr>
      </w:pPr>
      <w:r w:rsidRPr="00481DC2">
        <w:rPr>
          <w:rFonts w:ascii="Arial" w:hAnsi="Arial" w:cs="Arial"/>
          <w:bCs/>
          <w:spacing w:val="-4"/>
          <w:sz w:val="24"/>
          <w:szCs w:val="24"/>
        </w:rPr>
        <w:t>Magistrada</w:t>
      </w:r>
      <w:r w:rsidRPr="00481DC2">
        <w:rPr>
          <w:rFonts w:ascii="Arial" w:hAnsi="Arial" w:cs="Arial"/>
          <w:bCs/>
          <w:spacing w:val="-4"/>
          <w:sz w:val="24"/>
          <w:szCs w:val="24"/>
        </w:rPr>
        <w:tab/>
      </w:r>
      <w:r w:rsidRPr="00481DC2">
        <w:rPr>
          <w:rFonts w:ascii="Arial" w:hAnsi="Arial" w:cs="Arial"/>
          <w:bCs/>
          <w:spacing w:val="-4"/>
          <w:sz w:val="24"/>
          <w:szCs w:val="24"/>
        </w:rPr>
        <w:tab/>
      </w:r>
      <w:r w:rsidRPr="00481DC2">
        <w:rPr>
          <w:rFonts w:ascii="Arial" w:hAnsi="Arial" w:cs="Arial"/>
          <w:bCs/>
          <w:spacing w:val="-4"/>
          <w:sz w:val="24"/>
          <w:szCs w:val="24"/>
        </w:rPr>
        <w:tab/>
      </w:r>
      <w:r w:rsidRPr="00481DC2">
        <w:rPr>
          <w:rFonts w:ascii="Arial" w:hAnsi="Arial" w:cs="Arial"/>
          <w:bCs/>
          <w:spacing w:val="-4"/>
          <w:sz w:val="24"/>
          <w:szCs w:val="24"/>
        </w:rPr>
        <w:tab/>
      </w:r>
      <w:r w:rsidRPr="00481DC2">
        <w:rPr>
          <w:rFonts w:ascii="Arial" w:hAnsi="Arial" w:cs="Arial"/>
          <w:bCs/>
          <w:spacing w:val="-4"/>
          <w:sz w:val="24"/>
          <w:szCs w:val="24"/>
        </w:rPr>
        <w:tab/>
      </w:r>
      <w:r w:rsidRPr="00481DC2">
        <w:rPr>
          <w:rFonts w:ascii="Arial" w:hAnsi="Arial" w:cs="Arial"/>
          <w:b/>
          <w:bCs/>
          <w:spacing w:val="-4"/>
          <w:sz w:val="24"/>
          <w:szCs w:val="24"/>
        </w:rPr>
        <w:t xml:space="preserve">     </w:t>
      </w:r>
      <w:r w:rsidRPr="00481DC2">
        <w:rPr>
          <w:rFonts w:ascii="Arial" w:hAnsi="Arial" w:cs="Arial"/>
          <w:bCs/>
          <w:spacing w:val="-4"/>
          <w:sz w:val="24"/>
          <w:szCs w:val="24"/>
        </w:rPr>
        <w:t>Magistrada</w:t>
      </w:r>
    </w:p>
    <w:p w:rsidR="00BC02BE" w:rsidRPr="00481DC2" w:rsidRDefault="00481DC2" w:rsidP="00481DC2">
      <w:pPr>
        <w:spacing w:line="276" w:lineRule="auto"/>
        <w:jc w:val="both"/>
        <w:rPr>
          <w:rFonts w:ascii="Arial" w:hAnsi="Arial" w:cs="Arial"/>
          <w:sz w:val="24"/>
          <w:szCs w:val="24"/>
          <w:lang w:val="es-CO"/>
        </w:rPr>
      </w:pPr>
      <w:r w:rsidRPr="00481DC2">
        <w:rPr>
          <w:rFonts w:ascii="Arial" w:hAnsi="Arial" w:cs="Arial"/>
          <w:sz w:val="24"/>
          <w:szCs w:val="24"/>
          <w:lang w:val="es-CO"/>
        </w:rPr>
        <w:t>Impedida</w:t>
      </w:r>
    </w:p>
    <w:sectPr w:rsidR="00BC02BE" w:rsidRPr="00481DC2" w:rsidSect="00B27489">
      <w:headerReference w:type="default" r:id="rId8"/>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E9" w:rsidRDefault="005110E9" w:rsidP="00E13F1C">
      <w:r>
        <w:separator/>
      </w:r>
    </w:p>
  </w:endnote>
  <w:endnote w:type="continuationSeparator" w:id="0">
    <w:p w:rsidR="005110E9" w:rsidRDefault="005110E9" w:rsidP="00E1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E9" w:rsidRDefault="005110E9" w:rsidP="00E13F1C">
      <w:r>
        <w:separator/>
      </w:r>
    </w:p>
  </w:footnote>
  <w:footnote w:type="continuationSeparator" w:id="0">
    <w:p w:rsidR="005110E9" w:rsidRDefault="005110E9" w:rsidP="00E1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1C" w:rsidRPr="00481DC2" w:rsidRDefault="00E13F1C" w:rsidP="00E13F1C">
    <w:pPr>
      <w:pStyle w:val="Encabezado"/>
      <w:jc w:val="center"/>
      <w:rPr>
        <w:rFonts w:ascii="Arial" w:hAnsi="Arial" w:cs="Arial"/>
        <w:sz w:val="18"/>
        <w:szCs w:val="16"/>
      </w:rPr>
    </w:pPr>
    <w:r w:rsidRPr="00481DC2">
      <w:rPr>
        <w:rFonts w:ascii="Arial" w:hAnsi="Arial" w:cs="Arial"/>
        <w:sz w:val="18"/>
        <w:szCs w:val="16"/>
      </w:rPr>
      <w:t xml:space="preserve">Adolfo León Gómez Tamayo Vs Empresa de Acueducto y Alcantarillado de Pereira S.A.E.S.P. </w:t>
    </w:r>
  </w:p>
  <w:p w:rsidR="00E13F1C" w:rsidRPr="00481DC2" w:rsidRDefault="00E13F1C" w:rsidP="00E13F1C">
    <w:pPr>
      <w:pStyle w:val="Encabezado"/>
      <w:jc w:val="center"/>
      <w:rPr>
        <w:rFonts w:ascii="Arial" w:hAnsi="Arial" w:cs="Arial"/>
        <w:sz w:val="18"/>
        <w:szCs w:val="16"/>
      </w:rPr>
    </w:pPr>
    <w:r w:rsidRPr="00481DC2">
      <w:rPr>
        <w:rFonts w:ascii="Arial" w:hAnsi="Arial" w:cs="Arial"/>
        <w:sz w:val="18"/>
        <w:szCs w:val="16"/>
      </w:rPr>
      <w:t>Rad. 6600310500520130035802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E21859"/>
    <w:multiLevelType w:val="hybridMultilevel"/>
    <w:tmpl w:val="F41EA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992DC2"/>
    <w:multiLevelType w:val="hybridMultilevel"/>
    <w:tmpl w:val="69BCBD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F1C"/>
    <w:rsid w:val="00481DC2"/>
    <w:rsid w:val="004C098B"/>
    <w:rsid w:val="005110E9"/>
    <w:rsid w:val="007762F2"/>
    <w:rsid w:val="00B27489"/>
    <w:rsid w:val="00BC02BE"/>
    <w:rsid w:val="00E13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1C"/>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E13F1C"/>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E13F1C"/>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3F1C"/>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E13F1C"/>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E13F1C"/>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E13F1C"/>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E13F1C"/>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E13F1C"/>
    <w:rPr>
      <w:rFonts w:ascii="Arial" w:eastAsia="Times New Roman" w:hAnsi="Arial" w:cs="Times New Roman"/>
      <w:sz w:val="26"/>
      <w:szCs w:val="20"/>
      <w:lang w:val="es-ES_tradnl" w:eastAsia="es-ES"/>
    </w:rPr>
  </w:style>
  <w:style w:type="character" w:customStyle="1" w:styleId="normaltextrun">
    <w:name w:val="normaltextrun"/>
    <w:rsid w:val="00E13F1C"/>
  </w:style>
  <w:style w:type="character" w:customStyle="1" w:styleId="eop">
    <w:name w:val="eop"/>
    <w:rsid w:val="00E13F1C"/>
  </w:style>
  <w:style w:type="paragraph" w:styleId="Textodeglobo">
    <w:name w:val="Balloon Text"/>
    <w:basedOn w:val="Normal"/>
    <w:link w:val="TextodegloboCar"/>
    <w:uiPriority w:val="99"/>
    <w:semiHidden/>
    <w:unhideWhenUsed/>
    <w:rsid w:val="00E13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F1C"/>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E13F1C"/>
    <w:pPr>
      <w:tabs>
        <w:tab w:val="center" w:pos="4252"/>
        <w:tab w:val="right" w:pos="8504"/>
      </w:tabs>
    </w:pPr>
  </w:style>
  <w:style w:type="character" w:customStyle="1" w:styleId="EncabezadoCar">
    <w:name w:val="Encabezado Car"/>
    <w:basedOn w:val="Fuentedeprrafopredeter"/>
    <w:link w:val="Encabezado"/>
    <w:uiPriority w:val="99"/>
    <w:rsid w:val="00E13F1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E13F1C"/>
    <w:pPr>
      <w:tabs>
        <w:tab w:val="center" w:pos="4252"/>
        <w:tab w:val="right" w:pos="8504"/>
      </w:tabs>
    </w:pPr>
  </w:style>
  <w:style w:type="character" w:customStyle="1" w:styleId="PiedepginaCar">
    <w:name w:val="Pie de página Car"/>
    <w:basedOn w:val="Fuentedeprrafopredeter"/>
    <w:link w:val="Piedepgina"/>
    <w:uiPriority w:val="99"/>
    <w:rsid w:val="00E13F1C"/>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2252</Words>
  <Characters>12388</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2020-10-07T12:28:00Z</dcterms:created>
  <dcterms:modified xsi:type="dcterms:W3CDTF">2020-11-20T00:08:00Z</dcterms:modified>
</cp:coreProperties>
</file>