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84378" w14:textId="77777777" w:rsidR="003B4AAE" w:rsidRPr="003B4AAE" w:rsidRDefault="003B4AAE" w:rsidP="003B4AA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r w:rsidRPr="003B4AA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612060" w14:textId="77777777" w:rsidR="003B4AAE" w:rsidRPr="003B4AAE" w:rsidRDefault="003B4AAE" w:rsidP="003B4AAE">
      <w:pPr>
        <w:overflowPunct/>
        <w:autoSpaceDE/>
        <w:autoSpaceDN/>
        <w:adjustRightInd/>
        <w:spacing w:line="240" w:lineRule="auto"/>
        <w:textAlignment w:val="auto"/>
        <w:rPr>
          <w:rFonts w:ascii="Arial" w:hAnsi="Arial" w:cs="Arial"/>
          <w:sz w:val="20"/>
          <w:szCs w:val="20"/>
          <w:lang w:val="es-419"/>
        </w:rPr>
      </w:pPr>
    </w:p>
    <w:p w14:paraId="69FCEB2D" w14:textId="2114CFC2" w:rsidR="003E4B84" w:rsidRPr="004E46A1" w:rsidRDefault="003E4B84" w:rsidP="003E4B84">
      <w:pPr>
        <w:overflowPunct/>
        <w:autoSpaceDE/>
        <w:autoSpaceDN/>
        <w:adjustRightInd/>
        <w:spacing w:line="240" w:lineRule="auto"/>
        <w:textAlignment w:val="auto"/>
        <w:rPr>
          <w:rFonts w:ascii="Arial" w:hAnsi="Arial" w:cs="Arial"/>
          <w:b/>
          <w:bCs/>
          <w:iCs/>
          <w:sz w:val="20"/>
          <w:szCs w:val="20"/>
          <w:lang w:val="es-419" w:eastAsia="fr-FR"/>
        </w:rPr>
      </w:pPr>
      <w:r w:rsidRPr="004E46A1">
        <w:rPr>
          <w:rFonts w:ascii="Arial" w:hAnsi="Arial" w:cs="Arial"/>
          <w:b/>
          <w:bCs/>
          <w:iCs/>
          <w:sz w:val="20"/>
          <w:szCs w:val="20"/>
          <w:u w:val="single"/>
          <w:lang w:val="es-419" w:eastAsia="fr-FR"/>
        </w:rPr>
        <w:t>TEMAS:</w:t>
      </w:r>
      <w:r w:rsidRPr="004E46A1">
        <w:rPr>
          <w:rFonts w:ascii="Arial" w:hAnsi="Arial" w:cs="Arial"/>
          <w:b/>
          <w:bCs/>
          <w:iCs/>
          <w:sz w:val="20"/>
          <w:szCs w:val="20"/>
          <w:lang w:val="es-419" w:eastAsia="fr-FR"/>
        </w:rPr>
        <w:tab/>
      </w:r>
      <w:r>
        <w:rPr>
          <w:rFonts w:ascii="Arial" w:hAnsi="Arial" w:cs="Arial"/>
          <w:b/>
          <w:bCs/>
          <w:iCs/>
          <w:sz w:val="20"/>
          <w:szCs w:val="20"/>
          <w:lang w:val="es-419" w:eastAsia="fr-FR"/>
        </w:rPr>
        <w:t xml:space="preserve">RECUSACIÓN / </w:t>
      </w:r>
      <w:r>
        <w:rPr>
          <w:rFonts w:ascii="Arial" w:hAnsi="Arial" w:cs="Arial"/>
          <w:b/>
          <w:sz w:val="20"/>
          <w:szCs w:val="20"/>
          <w:lang w:val="es-419"/>
        </w:rPr>
        <w:t xml:space="preserve">GARANTIZA EL PRINCIPIO DE IMPARCIALIDAD / CAUSAL 4 DEL ARTÍCULO 56 DEL CÓDIGO DE PROCEDIMIENTO PENAL </w:t>
      </w:r>
      <w:r w:rsidRPr="004E46A1">
        <w:rPr>
          <w:rFonts w:ascii="Arial" w:hAnsi="Arial" w:cs="Arial"/>
          <w:b/>
          <w:bCs/>
          <w:iCs/>
          <w:sz w:val="20"/>
          <w:szCs w:val="20"/>
          <w:lang w:val="es-419" w:eastAsia="fr-FR"/>
        </w:rPr>
        <w:t xml:space="preserve">/ </w:t>
      </w:r>
      <w:r>
        <w:rPr>
          <w:rFonts w:ascii="Arial" w:hAnsi="Arial" w:cs="Arial"/>
          <w:b/>
          <w:bCs/>
          <w:iCs/>
          <w:sz w:val="20"/>
          <w:szCs w:val="20"/>
          <w:lang w:val="es-419" w:eastAsia="fr-FR"/>
        </w:rPr>
        <w:t>EN CASO DE MÚLTIPLES PROCESADOS / HABER RESUELTO PREACUERDO DE UNO DE ELLOS NO INHABILITA</w:t>
      </w:r>
      <w:r>
        <w:rPr>
          <w:rFonts w:ascii="Arial" w:hAnsi="Arial" w:cs="Arial"/>
          <w:b/>
          <w:bCs/>
          <w:iCs/>
          <w:sz w:val="20"/>
          <w:szCs w:val="20"/>
          <w:lang w:val="es-419" w:eastAsia="fr-FR"/>
        </w:rPr>
        <w:t xml:space="preserve"> PER SÉ</w:t>
      </w:r>
      <w:bookmarkStart w:id="0" w:name="_GoBack"/>
      <w:bookmarkEnd w:id="0"/>
      <w:r>
        <w:rPr>
          <w:rFonts w:ascii="Arial" w:hAnsi="Arial" w:cs="Arial"/>
          <w:b/>
          <w:bCs/>
          <w:iCs/>
          <w:sz w:val="20"/>
          <w:szCs w:val="20"/>
          <w:lang w:val="es-419" w:eastAsia="fr-FR"/>
        </w:rPr>
        <w:t xml:space="preserve"> AL JUEZ RESPECTO DE LOS DEMÁS.</w:t>
      </w:r>
    </w:p>
    <w:p w14:paraId="5150EE88"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28DBC8B3"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Entre los principios que gobiernan el sistema procesal penal, se encuentra el de imparcialidad, establecido en el canon 5 de la codificación en mención, el cual busca garantizar que las decisiones de los funcionarios sean transparentes.</w:t>
      </w:r>
    </w:p>
    <w:p w14:paraId="12AF4715"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6946B21D"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Las causales de impedimentos y recusaciones se encuentran previstas de manera taxativa en el artículo 56 del CPP, y para el caso concreto se infiere que el apoderado… consideró que la A quo se encontraba incursa en la causal contemplada en el numeral 4 de la norma en comento, la cual establece que el funcionario judicial se encuentra impedido cuando “haya sido apoderado o defensor de alguna de las partes, o sea o haya sido contraparte de cualquiera de ellos, o haya dado consejo o manifestado su opinión sobre el asunto materia del proceso”.</w:t>
      </w:r>
    </w:p>
    <w:p w14:paraId="582BF94C"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2A07AEA1" w14:textId="540E6B42"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Frente a la causal aludida esta Sala considera que el hecho de que la juez promiscua del circuito de Apía haya dado trámite a la audiencia de aprobación de un preacuerdo y que posteriormente hubiera proferido la respectiva sentencia condenatoria en contra del coprocesado DFRV, no constituye de manera automática fundamento para apartarse del conocimiento del trámite que se adelanta respecto al señor DMRC, ya que una vez verificado el fallo expedido por esa funcionaria el 21 de octubre de 2019, se puede evidenciar que en el mismo no se realizó un estudio pormenorizado frente a los EMP con los cuales cuenta el ente investigador para acreditar la presunta responsabilidad del señor DMRC sobre los hechos materia de investigación, es decir, que en la providencia a la cual se hizo mención, la juez de primer grado no realizó una valoración probatoria de manera anticipada</w:t>
      </w:r>
      <w:r>
        <w:rPr>
          <w:rFonts w:ascii="Arial" w:hAnsi="Arial" w:cs="Arial"/>
          <w:sz w:val="20"/>
          <w:szCs w:val="20"/>
          <w:lang w:val="es-419"/>
        </w:rPr>
        <w:t>…</w:t>
      </w:r>
    </w:p>
    <w:p w14:paraId="03C31E0C"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6F6477BE"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En ese sentido se debe hacer referencia a lo expuesto por la Sala Penal de la Corte Suprema de Justicia, en el AP1226-2016, del 24 de febrero, en el radicado 47115, en el que indicó:</w:t>
      </w:r>
    </w:p>
    <w:p w14:paraId="7C529580"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073E5BD8"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“i) El conocimiento del precedente que fundamenta la incompatibilidad del juez para realizar juzgamientos sucesivos de los copartícipes no allanados implica, en todo caso, que en esa actividad sucesiva se vea comprometido de alguna manera el principio de imparcialidad del juez, que es lo que realmente “contamina al funcionario” y por consiguiente afecta la independencia y la confiabilidad en la Administración de justicia.</w:t>
      </w:r>
    </w:p>
    <w:p w14:paraId="7E56292F"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p>
    <w:p w14:paraId="4A76E75C" w14:textId="77777777" w:rsidR="003E4B84" w:rsidRPr="003E4B84" w:rsidRDefault="003E4B84" w:rsidP="003E4B84">
      <w:pPr>
        <w:overflowPunct/>
        <w:autoSpaceDE/>
        <w:autoSpaceDN/>
        <w:adjustRightInd/>
        <w:spacing w:line="240" w:lineRule="auto"/>
        <w:textAlignment w:val="auto"/>
        <w:rPr>
          <w:rFonts w:ascii="Arial" w:hAnsi="Arial" w:cs="Arial"/>
          <w:sz w:val="20"/>
          <w:szCs w:val="20"/>
          <w:lang w:val="es-419"/>
        </w:rPr>
      </w:pPr>
      <w:r w:rsidRPr="003E4B84">
        <w:rPr>
          <w:rFonts w:ascii="Arial" w:hAnsi="Arial" w:cs="Arial"/>
          <w:sz w:val="20"/>
          <w:szCs w:val="20"/>
          <w:lang w:val="es-419"/>
        </w:rPr>
        <w:t>Es equivocado entender “como regla” que la imparcialidad del juez está en entredicho siempre que tramita un proceso con múltiples vinculados y en el desarrollo del mismo unos optan por preacordar los términos de la imputación y otros no”.</w:t>
      </w:r>
    </w:p>
    <w:p w14:paraId="4E9694DB" w14:textId="77777777" w:rsidR="003E4B84" w:rsidRPr="003E4B84" w:rsidRDefault="003E4B84" w:rsidP="003E4B84">
      <w:pPr>
        <w:overflowPunct/>
        <w:autoSpaceDE/>
        <w:autoSpaceDN/>
        <w:adjustRightInd/>
        <w:spacing w:line="240" w:lineRule="auto"/>
        <w:textAlignment w:val="auto"/>
        <w:rPr>
          <w:rFonts w:ascii="Arial" w:hAnsi="Arial" w:cs="Arial"/>
          <w:sz w:val="20"/>
          <w:szCs w:val="20"/>
        </w:rPr>
      </w:pPr>
    </w:p>
    <w:p w14:paraId="01D966A3" w14:textId="77777777" w:rsidR="003E4B84" w:rsidRPr="003E4B84" w:rsidRDefault="003E4B84" w:rsidP="003E4B84">
      <w:pPr>
        <w:overflowPunct/>
        <w:autoSpaceDE/>
        <w:autoSpaceDN/>
        <w:adjustRightInd/>
        <w:spacing w:line="240" w:lineRule="auto"/>
        <w:textAlignment w:val="auto"/>
        <w:rPr>
          <w:rFonts w:ascii="Arial" w:hAnsi="Arial" w:cs="Arial"/>
          <w:sz w:val="20"/>
          <w:szCs w:val="20"/>
        </w:rPr>
      </w:pPr>
    </w:p>
    <w:p w14:paraId="0C431CDC" w14:textId="77777777" w:rsidR="003E4B84" w:rsidRPr="003E4B84" w:rsidRDefault="003E4B84" w:rsidP="003E4B84">
      <w:pPr>
        <w:overflowPunct/>
        <w:autoSpaceDE/>
        <w:autoSpaceDN/>
        <w:adjustRightInd/>
        <w:spacing w:line="240" w:lineRule="auto"/>
        <w:textAlignment w:val="auto"/>
        <w:rPr>
          <w:rFonts w:ascii="Arial" w:hAnsi="Arial" w:cs="Arial"/>
          <w:sz w:val="20"/>
          <w:szCs w:val="20"/>
        </w:rPr>
      </w:pPr>
    </w:p>
    <w:p w14:paraId="7FCDE9F5"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rPr>
      </w:pPr>
      <w:r w:rsidRPr="003B4AAE">
        <w:rPr>
          <w:rFonts w:ascii="Arial" w:eastAsia="Calibri" w:hAnsi="Arial" w:cs="Arial"/>
          <w:b/>
          <w:sz w:val="24"/>
          <w:szCs w:val="24"/>
        </w:rPr>
        <w:t>RAMA JUDICIAL DEL PODER PÚBLICO</w:t>
      </w:r>
    </w:p>
    <w:p w14:paraId="19956307" w14:textId="0175701A" w:rsidR="003B4AAE" w:rsidRPr="003B4AAE" w:rsidRDefault="003B4AAE" w:rsidP="003B4AAE">
      <w:pPr>
        <w:overflowPunct/>
        <w:autoSpaceDE/>
        <w:autoSpaceDN/>
        <w:adjustRightInd/>
        <w:jc w:val="center"/>
        <w:textAlignment w:val="auto"/>
        <w:rPr>
          <w:rFonts w:ascii="Arial" w:eastAsia="Calibri" w:hAnsi="Arial" w:cs="Arial"/>
          <w:sz w:val="24"/>
          <w:szCs w:val="24"/>
        </w:rPr>
      </w:pPr>
      <w:r>
        <w:rPr>
          <w:rFonts w:ascii="Arial" w:eastAsia="Calibri" w:hAnsi="Arial" w:cs="Arial"/>
          <w:bCs/>
          <w:noProof/>
          <w:sz w:val="24"/>
          <w:szCs w:val="24"/>
        </w:rPr>
        <w:drawing>
          <wp:inline distT="0" distB="0" distL="0" distR="0" wp14:anchorId="48B26B5F" wp14:editId="692311F9">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1304C34F"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rPr>
      </w:pPr>
      <w:r w:rsidRPr="003B4AAE">
        <w:rPr>
          <w:rFonts w:ascii="Arial" w:eastAsia="Calibri" w:hAnsi="Arial" w:cs="Arial"/>
          <w:b/>
          <w:sz w:val="24"/>
          <w:szCs w:val="24"/>
        </w:rPr>
        <w:t>TRIBUNAL SUPERIOR DEL DISTRITO JUDICIAL DE PEREIRA - RISARALDA</w:t>
      </w:r>
    </w:p>
    <w:p w14:paraId="38C57748"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rPr>
      </w:pPr>
      <w:r w:rsidRPr="003B4AAE">
        <w:rPr>
          <w:rFonts w:ascii="Arial" w:eastAsia="Calibri" w:hAnsi="Arial" w:cs="Arial"/>
          <w:b/>
          <w:sz w:val="24"/>
          <w:szCs w:val="24"/>
        </w:rPr>
        <w:t>SALA DE DECISIÓN PENAL</w:t>
      </w:r>
    </w:p>
    <w:p w14:paraId="0A7DC6DF" w14:textId="77777777" w:rsidR="003B4AAE" w:rsidRPr="003B4AAE" w:rsidRDefault="003B4AAE" w:rsidP="003B4AAE">
      <w:pPr>
        <w:overflowPunct/>
        <w:autoSpaceDE/>
        <w:autoSpaceDN/>
        <w:adjustRightInd/>
        <w:jc w:val="center"/>
        <w:textAlignment w:val="auto"/>
        <w:rPr>
          <w:rFonts w:ascii="Arial" w:eastAsia="Calibri" w:hAnsi="Arial" w:cs="Arial"/>
          <w:sz w:val="24"/>
          <w:szCs w:val="24"/>
        </w:rPr>
      </w:pPr>
    </w:p>
    <w:p w14:paraId="164317F4"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rPr>
      </w:pPr>
      <w:proofErr w:type="spellStart"/>
      <w:r w:rsidRPr="003B4AAE">
        <w:rPr>
          <w:rFonts w:ascii="Arial" w:eastAsia="Calibri" w:hAnsi="Arial" w:cs="Arial"/>
          <w:b/>
          <w:sz w:val="24"/>
          <w:szCs w:val="24"/>
        </w:rPr>
        <w:t>M.P</w:t>
      </w:r>
      <w:proofErr w:type="spellEnd"/>
      <w:r w:rsidRPr="003B4AAE">
        <w:rPr>
          <w:rFonts w:ascii="Arial" w:eastAsia="Calibri" w:hAnsi="Arial" w:cs="Arial"/>
          <w:b/>
          <w:sz w:val="24"/>
          <w:szCs w:val="24"/>
        </w:rPr>
        <w:t>. LUZ STELLA RAMÍREZ GUTIÉRREZ</w:t>
      </w:r>
    </w:p>
    <w:p w14:paraId="26FAB54C" w14:textId="77777777" w:rsidR="003B4AAE" w:rsidRPr="003B4AAE" w:rsidRDefault="003B4AAE" w:rsidP="003B4AAE">
      <w:pPr>
        <w:overflowPunct/>
        <w:autoSpaceDE/>
        <w:autoSpaceDN/>
        <w:adjustRightInd/>
        <w:textAlignment w:val="auto"/>
        <w:rPr>
          <w:rFonts w:ascii="Arial" w:eastAsia="Calibri" w:hAnsi="Arial" w:cs="Arial"/>
          <w:sz w:val="24"/>
          <w:szCs w:val="24"/>
          <w:lang w:val="es-CO" w:eastAsia="en-US"/>
        </w:rPr>
      </w:pPr>
    </w:p>
    <w:p w14:paraId="7B09ED49" w14:textId="77777777" w:rsidR="003B4AAE" w:rsidRPr="003B4AAE" w:rsidRDefault="003B4AAE" w:rsidP="003B4AAE">
      <w:pPr>
        <w:overflowPunct/>
        <w:autoSpaceDE/>
        <w:autoSpaceDN/>
        <w:adjustRightInd/>
        <w:textAlignment w:val="auto"/>
        <w:rPr>
          <w:rFonts w:ascii="Arial" w:eastAsia="Calibri" w:hAnsi="Arial" w:cs="Arial"/>
          <w:sz w:val="24"/>
          <w:szCs w:val="24"/>
          <w:lang w:val="es-CO" w:eastAsia="en-US"/>
        </w:rPr>
      </w:pPr>
    </w:p>
    <w:p w14:paraId="7B2A8FC0" w14:textId="5BDB33EE" w:rsidR="00692D03" w:rsidRPr="003B4AAE" w:rsidRDefault="00692D03"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Pereira, </w:t>
      </w:r>
      <w:r w:rsidR="00925BA9" w:rsidRPr="003B4AAE">
        <w:rPr>
          <w:rFonts w:ascii="Arial" w:hAnsi="Arial" w:cs="Arial"/>
          <w:sz w:val="24"/>
          <w:szCs w:val="24"/>
        </w:rPr>
        <w:t xml:space="preserve"> veintiséis (26) de noviembre de dos mil veinte (2020)</w:t>
      </w:r>
    </w:p>
    <w:p w14:paraId="2AD9C5B1" w14:textId="0364248E" w:rsidR="00692D03" w:rsidRPr="003B4AAE" w:rsidRDefault="00692D03"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Acta No. </w:t>
      </w:r>
      <w:r w:rsidR="00925BA9" w:rsidRPr="003B4AAE">
        <w:rPr>
          <w:rFonts w:ascii="Arial" w:hAnsi="Arial" w:cs="Arial"/>
          <w:sz w:val="24"/>
          <w:szCs w:val="24"/>
        </w:rPr>
        <w:t>847</w:t>
      </w:r>
    </w:p>
    <w:p w14:paraId="7F81E466" w14:textId="33DB0F10" w:rsidR="00692D03" w:rsidRPr="003B4AAE" w:rsidRDefault="00692D03"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Hora: </w:t>
      </w:r>
      <w:r w:rsidR="00925BA9" w:rsidRPr="003B4AAE">
        <w:rPr>
          <w:rFonts w:ascii="Arial" w:hAnsi="Arial" w:cs="Arial"/>
          <w:sz w:val="24"/>
          <w:szCs w:val="24"/>
        </w:rPr>
        <w:t xml:space="preserve">1:30 p.m. </w:t>
      </w:r>
    </w:p>
    <w:p w14:paraId="1819CED6" w14:textId="77777777" w:rsidR="00692D03" w:rsidRPr="003B4AAE" w:rsidRDefault="00692D03" w:rsidP="003B4AAE">
      <w:pPr>
        <w:pStyle w:val="Sinespaciado"/>
        <w:spacing w:line="276" w:lineRule="auto"/>
        <w:jc w:val="both"/>
        <w:rPr>
          <w:rFonts w:ascii="Arial" w:hAnsi="Arial" w:cs="Arial"/>
          <w:sz w:val="24"/>
          <w:szCs w:val="24"/>
          <w:lang w:val="es-ES" w:eastAsia="es-ES"/>
        </w:rPr>
      </w:pPr>
    </w:p>
    <w:p w14:paraId="3120A45C" w14:textId="77777777" w:rsidR="00692D03" w:rsidRPr="003B4AAE" w:rsidRDefault="00E030FF" w:rsidP="003B4AAE">
      <w:pPr>
        <w:pStyle w:val="Sinespaciado"/>
        <w:numPr>
          <w:ilvl w:val="0"/>
          <w:numId w:val="1"/>
        </w:numPr>
        <w:spacing w:line="276" w:lineRule="auto"/>
        <w:jc w:val="center"/>
        <w:rPr>
          <w:rFonts w:ascii="Arial" w:hAnsi="Arial" w:cs="Arial"/>
          <w:b/>
          <w:sz w:val="24"/>
          <w:szCs w:val="24"/>
          <w:lang w:val="es-ES" w:eastAsia="es-ES"/>
        </w:rPr>
      </w:pPr>
      <w:r w:rsidRPr="003B4AAE">
        <w:rPr>
          <w:rFonts w:ascii="Arial" w:hAnsi="Arial" w:cs="Arial"/>
          <w:b/>
          <w:sz w:val="24"/>
          <w:szCs w:val="24"/>
          <w:lang w:val="es-ES" w:eastAsia="es-ES"/>
        </w:rPr>
        <w:t xml:space="preserve">OBJETO DE LA </w:t>
      </w:r>
      <w:r w:rsidR="00692D03" w:rsidRPr="003B4AAE">
        <w:rPr>
          <w:rFonts w:ascii="Arial" w:hAnsi="Arial" w:cs="Arial"/>
          <w:b/>
          <w:sz w:val="24"/>
          <w:szCs w:val="24"/>
          <w:lang w:val="es-ES" w:eastAsia="es-ES"/>
        </w:rPr>
        <w:t>DECI</w:t>
      </w:r>
      <w:r w:rsidRPr="003B4AAE">
        <w:rPr>
          <w:rFonts w:ascii="Arial" w:hAnsi="Arial" w:cs="Arial"/>
          <w:b/>
          <w:sz w:val="24"/>
          <w:szCs w:val="24"/>
          <w:lang w:val="es-ES" w:eastAsia="es-ES"/>
        </w:rPr>
        <w:t>SIÓN</w:t>
      </w:r>
    </w:p>
    <w:p w14:paraId="4C4E353D" w14:textId="77777777" w:rsidR="00692D03" w:rsidRPr="003B4AAE" w:rsidRDefault="00692D03" w:rsidP="003B4AAE">
      <w:pPr>
        <w:pStyle w:val="Sinespaciado"/>
        <w:spacing w:line="276" w:lineRule="auto"/>
        <w:jc w:val="both"/>
        <w:rPr>
          <w:rFonts w:ascii="Arial" w:hAnsi="Arial" w:cs="Arial"/>
          <w:sz w:val="24"/>
          <w:szCs w:val="24"/>
          <w:lang w:val="es-ES" w:eastAsia="es-ES"/>
        </w:rPr>
      </w:pPr>
    </w:p>
    <w:p w14:paraId="6F5D3A80" w14:textId="1A9947ED" w:rsidR="00692D03" w:rsidRPr="003B4AAE" w:rsidRDefault="00692D03"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lastRenderedPageBreak/>
        <w:t xml:space="preserve">Se conoce de la recusación planteada a la </w:t>
      </w:r>
      <w:r w:rsidR="00004E78" w:rsidRPr="003B4AAE">
        <w:rPr>
          <w:rFonts w:ascii="Arial" w:hAnsi="Arial" w:cs="Arial"/>
          <w:sz w:val="24"/>
          <w:szCs w:val="24"/>
          <w:lang w:val="es-ES_tradnl" w:eastAsia="es-ES"/>
        </w:rPr>
        <w:t>J</w:t>
      </w:r>
      <w:r w:rsidR="00E37EEA" w:rsidRPr="003B4AAE">
        <w:rPr>
          <w:rFonts w:ascii="Arial" w:hAnsi="Arial" w:cs="Arial"/>
          <w:sz w:val="24"/>
          <w:szCs w:val="24"/>
          <w:lang w:val="es-ES_tradnl" w:eastAsia="es-ES"/>
        </w:rPr>
        <w:t xml:space="preserve">uez </w:t>
      </w:r>
      <w:r w:rsidR="00004E78" w:rsidRPr="003B4AAE">
        <w:rPr>
          <w:rFonts w:ascii="Arial" w:hAnsi="Arial" w:cs="Arial"/>
          <w:sz w:val="24"/>
          <w:szCs w:val="24"/>
          <w:lang w:val="es-ES_tradnl" w:eastAsia="es-ES"/>
        </w:rPr>
        <w:t>P</w:t>
      </w:r>
      <w:r w:rsidR="00E37EEA" w:rsidRPr="003B4AAE">
        <w:rPr>
          <w:rFonts w:ascii="Arial" w:hAnsi="Arial" w:cs="Arial"/>
          <w:sz w:val="24"/>
          <w:szCs w:val="24"/>
          <w:lang w:val="es-ES_tradnl" w:eastAsia="es-ES"/>
        </w:rPr>
        <w:t xml:space="preserve">romiscua del </w:t>
      </w:r>
      <w:r w:rsidR="00004E78" w:rsidRPr="003B4AAE">
        <w:rPr>
          <w:rFonts w:ascii="Arial" w:hAnsi="Arial" w:cs="Arial"/>
          <w:sz w:val="24"/>
          <w:szCs w:val="24"/>
          <w:lang w:val="es-ES_tradnl" w:eastAsia="es-ES"/>
        </w:rPr>
        <w:t>C</w:t>
      </w:r>
      <w:r w:rsidR="00E37EEA" w:rsidRPr="003B4AAE">
        <w:rPr>
          <w:rFonts w:ascii="Arial" w:hAnsi="Arial" w:cs="Arial"/>
          <w:sz w:val="24"/>
          <w:szCs w:val="24"/>
          <w:lang w:val="es-ES_tradnl" w:eastAsia="es-ES"/>
        </w:rPr>
        <w:t xml:space="preserve">ircuito </w:t>
      </w:r>
      <w:r w:rsidR="00D65FFB" w:rsidRPr="003B4AAE">
        <w:rPr>
          <w:rFonts w:ascii="Arial" w:hAnsi="Arial" w:cs="Arial"/>
          <w:sz w:val="24"/>
          <w:szCs w:val="24"/>
          <w:lang w:val="es-ES_tradnl" w:eastAsia="es-ES"/>
        </w:rPr>
        <w:t>de Apía</w:t>
      </w:r>
      <w:r w:rsidRPr="003B4AAE">
        <w:rPr>
          <w:rFonts w:ascii="Arial" w:hAnsi="Arial" w:cs="Arial"/>
          <w:sz w:val="24"/>
          <w:szCs w:val="24"/>
          <w:lang w:val="es-ES_tradnl" w:eastAsia="es-ES"/>
        </w:rPr>
        <w:t xml:space="preserve">, dentro del proceso que se tramita en contra de </w:t>
      </w:r>
      <w:proofErr w:type="spellStart"/>
      <w:r w:rsidR="00BB3081">
        <w:rPr>
          <w:rFonts w:ascii="Arial" w:hAnsi="Arial" w:cs="Arial"/>
          <w:sz w:val="24"/>
          <w:szCs w:val="24"/>
          <w:lang w:val="es-ES_tradnl" w:eastAsia="es-ES"/>
        </w:rPr>
        <w:t>DMRC</w:t>
      </w:r>
      <w:proofErr w:type="spellEnd"/>
      <w:r w:rsidRPr="003B4AAE">
        <w:rPr>
          <w:rFonts w:ascii="Arial" w:hAnsi="Arial" w:cs="Arial"/>
          <w:sz w:val="24"/>
          <w:szCs w:val="24"/>
          <w:lang w:val="es-ES_tradnl" w:eastAsia="es-ES"/>
        </w:rPr>
        <w:t>, por la</w:t>
      </w:r>
      <w:r w:rsidR="002D14E8" w:rsidRPr="003B4AAE">
        <w:rPr>
          <w:rFonts w:ascii="Arial" w:hAnsi="Arial" w:cs="Arial"/>
          <w:sz w:val="24"/>
          <w:szCs w:val="24"/>
          <w:lang w:val="es-ES_tradnl" w:eastAsia="es-ES"/>
        </w:rPr>
        <w:t>s</w:t>
      </w:r>
      <w:r w:rsidRPr="003B4AAE">
        <w:rPr>
          <w:rFonts w:ascii="Arial" w:hAnsi="Arial" w:cs="Arial"/>
          <w:sz w:val="24"/>
          <w:szCs w:val="24"/>
          <w:lang w:val="es-ES_tradnl" w:eastAsia="es-ES"/>
        </w:rPr>
        <w:t xml:space="preserve"> conducta</w:t>
      </w:r>
      <w:r w:rsidR="002D14E8" w:rsidRPr="003B4AAE">
        <w:rPr>
          <w:rFonts w:ascii="Arial" w:hAnsi="Arial" w:cs="Arial"/>
          <w:sz w:val="24"/>
          <w:szCs w:val="24"/>
          <w:lang w:val="es-ES_tradnl" w:eastAsia="es-ES"/>
        </w:rPr>
        <w:t>s</w:t>
      </w:r>
      <w:r w:rsidRPr="003B4AAE">
        <w:rPr>
          <w:rFonts w:ascii="Arial" w:hAnsi="Arial" w:cs="Arial"/>
          <w:sz w:val="24"/>
          <w:szCs w:val="24"/>
          <w:lang w:val="es-ES_tradnl" w:eastAsia="es-ES"/>
        </w:rPr>
        <w:t xml:space="preserve"> punible</w:t>
      </w:r>
      <w:r w:rsidR="002D14E8" w:rsidRPr="003B4AAE">
        <w:rPr>
          <w:rFonts w:ascii="Arial" w:hAnsi="Arial" w:cs="Arial"/>
          <w:sz w:val="24"/>
          <w:szCs w:val="24"/>
          <w:lang w:val="es-ES_tradnl" w:eastAsia="es-ES"/>
        </w:rPr>
        <w:t>s</w:t>
      </w:r>
      <w:r w:rsidRPr="003B4AAE">
        <w:rPr>
          <w:rFonts w:ascii="Arial" w:hAnsi="Arial" w:cs="Arial"/>
          <w:sz w:val="24"/>
          <w:szCs w:val="24"/>
          <w:lang w:val="es-ES_tradnl" w:eastAsia="es-ES"/>
        </w:rPr>
        <w:t xml:space="preserve"> </w:t>
      </w:r>
      <w:r w:rsidR="002D14E8" w:rsidRPr="003B4AAE">
        <w:rPr>
          <w:rFonts w:ascii="Arial" w:hAnsi="Arial" w:cs="Arial"/>
          <w:sz w:val="24"/>
          <w:szCs w:val="24"/>
          <w:lang w:val="es-ES_tradnl" w:eastAsia="es-ES"/>
        </w:rPr>
        <w:t xml:space="preserve">de </w:t>
      </w:r>
      <w:r w:rsidR="00004E78" w:rsidRPr="003B4AAE">
        <w:rPr>
          <w:rFonts w:ascii="Arial" w:hAnsi="Arial" w:cs="Arial"/>
          <w:sz w:val="24"/>
          <w:szCs w:val="24"/>
          <w:lang w:val="es-ES_tradnl" w:eastAsia="es-ES"/>
        </w:rPr>
        <w:t>H</w:t>
      </w:r>
      <w:r w:rsidR="002D14E8" w:rsidRPr="003B4AAE">
        <w:rPr>
          <w:rFonts w:ascii="Arial" w:hAnsi="Arial" w:cs="Arial"/>
          <w:sz w:val="24"/>
          <w:szCs w:val="24"/>
          <w:lang w:val="es-ES_tradnl" w:eastAsia="es-ES"/>
        </w:rPr>
        <w:t xml:space="preserve">omicidio, </w:t>
      </w:r>
      <w:r w:rsidR="00004E78" w:rsidRPr="003B4AAE">
        <w:rPr>
          <w:rFonts w:ascii="Arial" w:hAnsi="Arial" w:cs="Arial"/>
          <w:sz w:val="24"/>
          <w:szCs w:val="24"/>
          <w:lang w:val="es-ES_tradnl" w:eastAsia="es-ES"/>
        </w:rPr>
        <w:t>F</w:t>
      </w:r>
      <w:r w:rsidR="002D14E8" w:rsidRPr="003B4AAE">
        <w:rPr>
          <w:rFonts w:ascii="Arial" w:hAnsi="Arial" w:cs="Arial"/>
          <w:sz w:val="24"/>
          <w:szCs w:val="24"/>
          <w:lang w:val="es-ES_tradnl" w:eastAsia="es-ES"/>
        </w:rPr>
        <w:t xml:space="preserve">abricación, tráfico, porte o tenencia de armas de fuego, accesorios, partes o municiones y </w:t>
      </w:r>
      <w:r w:rsidR="00004E78" w:rsidRPr="003B4AAE">
        <w:rPr>
          <w:rFonts w:ascii="Arial" w:hAnsi="Arial" w:cs="Arial"/>
          <w:sz w:val="24"/>
          <w:szCs w:val="24"/>
          <w:lang w:val="es-ES_tradnl" w:eastAsia="es-ES"/>
        </w:rPr>
        <w:t>L</w:t>
      </w:r>
      <w:r w:rsidR="002D14E8" w:rsidRPr="003B4AAE">
        <w:rPr>
          <w:rFonts w:ascii="Arial" w:hAnsi="Arial" w:cs="Arial"/>
          <w:sz w:val="24"/>
          <w:szCs w:val="24"/>
          <w:lang w:val="es-ES_tradnl" w:eastAsia="es-ES"/>
        </w:rPr>
        <w:t>esiones personales dolosas</w:t>
      </w:r>
      <w:r w:rsidRPr="003B4AAE">
        <w:rPr>
          <w:rFonts w:ascii="Arial" w:hAnsi="Arial" w:cs="Arial"/>
          <w:sz w:val="24"/>
          <w:szCs w:val="24"/>
          <w:lang w:val="es-ES_tradnl" w:eastAsia="es-ES"/>
        </w:rPr>
        <w:t>.</w:t>
      </w:r>
    </w:p>
    <w:p w14:paraId="669A3C6E" w14:textId="77777777" w:rsidR="00692D03" w:rsidRPr="003B4AAE" w:rsidRDefault="00692D03" w:rsidP="003B4AAE">
      <w:pPr>
        <w:pStyle w:val="Sinespaciado"/>
        <w:spacing w:line="276" w:lineRule="auto"/>
        <w:jc w:val="both"/>
        <w:rPr>
          <w:rFonts w:ascii="Arial" w:hAnsi="Arial" w:cs="Arial"/>
          <w:sz w:val="24"/>
          <w:szCs w:val="24"/>
          <w:lang w:val="es-ES_tradnl" w:eastAsia="es-ES"/>
        </w:rPr>
      </w:pPr>
    </w:p>
    <w:p w14:paraId="035A6A2E" w14:textId="77777777" w:rsidR="00692D03" w:rsidRPr="003B4AAE" w:rsidRDefault="00FA34F8" w:rsidP="003B4AAE">
      <w:pPr>
        <w:pStyle w:val="Sinespaciado"/>
        <w:numPr>
          <w:ilvl w:val="0"/>
          <w:numId w:val="1"/>
        </w:numPr>
        <w:spacing w:line="276" w:lineRule="auto"/>
        <w:jc w:val="center"/>
        <w:rPr>
          <w:rFonts w:ascii="Arial" w:hAnsi="Arial" w:cs="Arial"/>
          <w:b/>
          <w:sz w:val="24"/>
          <w:szCs w:val="24"/>
          <w:lang w:val="es-ES_tradnl" w:eastAsia="es-ES"/>
        </w:rPr>
      </w:pPr>
      <w:r w:rsidRPr="003B4AAE">
        <w:rPr>
          <w:rFonts w:ascii="Arial" w:hAnsi="Arial" w:cs="Arial"/>
          <w:b/>
          <w:sz w:val="24"/>
          <w:szCs w:val="24"/>
          <w:lang w:val="es-ES_tradnl" w:eastAsia="es-ES"/>
        </w:rPr>
        <w:t>ANTECEDENTES</w:t>
      </w:r>
    </w:p>
    <w:p w14:paraId="3EA81757" w14:textId="77777777" w:rsidR="00692D03" w:rsidRPr="003B4AAE" w:rsidRDefault="00692D03" w:rsidP="003B4AAE">
      <w:pPr>
        <w:pStyle w:val="Sinespaciado"/>
        <w:spacing w:line="276" w:lineRule="auto"/>
        <w:jc w:val="both"/>
        <w:rPr>
          <w:rFonts w:ascii="Arial" w:hAnsi="Arial" w:cs="Arial"/>
          <w:sz w:val="24"/>
          <w:szCs w:val="24"/>
          <w:lang w:val="es-ES_tradnl" w:eastAsia="es-ES"/>
        </w:rPr>
      </w:pPr>
    </w:p>
    <w:p w14:paraId="51943A06" w14:textId="44EE8AA6" w:rsidR="00692D03" w:rsidRPr="003B4AAE" w:rsidRDefault="00692D03"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t xml:space="preserve">2.1. Según lo consignado en el escrito de acusación, </w:t>
      </w:r>
      <w:r w:rsidR="00FA34F8" w:rsidRPr="003B4AAE">
        <w:rPr>
          <w:rFonts w:ascii="Arial" w:hAnsi="Arial" w:cs="Arial"/>
          <w:sz w:val="24"/>
          <w:szCs w:val="24"/>
          <w:lang w:val="es-ES_tradnl" w:eastAsia="es-ES"/>
        </w:rPr>
        <w:t>el 1 de septiembre de 2018</w:t>
      </w:r>
      <w:r w:rsidR="00004E78" w:rsidRPr="003B4AAE">
        <w:rPr>
          <w:rFonts w:ascii="Arial" w:hAnsi="Arial" w:cs="Arial"/>
          <w:sz w:val="24"/>
          <w:szCs w:val="24"/>
          <w:lang w:val="es-ES_tradnl" w:eastAsia="es-ES"/>
        </w:rPr>
        <w:t>,</w:t>
      </w:r>
      <w:r w:rsidR="00FA34F8" w:rsidRPr="003B4AAE">
        <w:rPr>
          <w:rFonts w:ascii="Arial" w:hAnsi="Arial" w:cs="Arial"/>
          <w:sz w:val="24"/>
          <w:szCs w:val="24"/>
          <w:lang w:val="es-ES_tradnl" w:eastAsia="es-ES"/>
        </w:rPr>
        <w:t xml:space="preserve"> a las 14:30 horas aproximadamente, en la carrera 4 con calle 4 vía pública del municipio de Santuario, el señor Miguel Ángel Rivera Rodríguez, quien estaba acompañado de la señora Nora Elena Escobar López, presentó un altercado con los señores </w:t>
      </w:r>
      <w:proofErr w:type="spellStart"/>
      <w:r w:rsidR="00FA34F8" w:rsidRPr="003B4AAE">
        <w:rPr>
          <w:rFonts w:ascii="Arial" w:hAnsi="Arial" w:cs="Arial"/>
          <w:sz w:val="24"/>
          <w:szCs w:val="24"/>
          <w:lang w:val="es-ES_tradnl" w:eastAsia="es-ES"/>
        </w:rPr>
        <w:t>DFRV</w:t>
      </w:r>
      <w:proofErr w:type="spellEnd"/>
      <w:r w:rsidR="00FA34F8" w:rsidRPr="003B4AAE">
        <w:rPr>
          <w:rFonts w:ascii="Arial" w:hAnsi="Arial" w:cs="Arial"/>
          <w:sz w:val="24"/>
          <w:szCs w:val="24"/>
          <w:lang w:val="es-ES_tradnl" w:eastAsia="es-ES"/>
        </w:rPr>
        <w:t xml:space="preserve">, </w:t>
      </w:r>
      <w:proofErr w:type="spellStart"/>
      <w:r w:rsidR="00BB3081">
        <w:rPr>
          <w:rFonts w:ascii="Arial" w:hAnsi="Arial" w:cs="Arial"/>
          <w:sz w:val="24"/>
          <w:szCs w:val="24"/>
          <w:lang w:val="es-ES_tradnl" w:eastAsia="es-ES"/>
        </w:rPr>
        <w:t>DMRC</w:t>
      </w:r>
      <w:proofErr w:type="spellEnd"/>
      <w:r w:rsidR="00FA34F8" w:rsidRPr="003B4AAE">
        <w:rPr>
          <w:rFonts w:ascii="Arial" w:hAnsi="Arial" w:cs="Arial"/>
          <w:sz w:val="24"/>
          <w:szCs w:val="24"/>
          <w:lang w:val="es-ES_tradnl" w:eastAsia="es-ES"/>
        </w:rPr>
        <w:t xml:space="preserve"> alias “</w:t>
      </w:r>
      <w:proofErr w:type="spellStart"/>
      <w:r w:rsidR="00FA34F8" w:rsidRPr="003B4AAE">
        <w:rPr>
          <w:rFonts w:ascii="Arial" w:hAnsi="Arial" w:cs="Arial"/>
          <w:sz w:val="24"/>
          <w:szCs w:val="24"/>
          <w:lang w:val="es-ES_tradnl" w:eastAsia="es-ES"/>
        </w:rPr>
        <w:t>kaliman</w:t>
      </w:r>
      <w:proofErr w:type="spellEnd"/>
      <w:r w:rsidR="00FA34F8" w:rsidRPr="003B4AAE">
        <w:rPr>
          <w:rFonts w:ascii="Arial" w:hAnsi="Arial" w:cs="Arial"/>
          <w:sz w:val="24"/>
          <w:szCs w:val="24"/>
          <w:lang w:val="es-ES_tradnl" w:eastAsia="es-ES"/>
        </w:rPr>
        <w:t>”,  y un menor de edad apodado “</w:t>
      </w:r>
      <w:proofErr w:type="spellStart"/>
      <w:r w:rsidR="00FA34F8" w:rsidRPr="003B4AAE">
        <w:rPr>
          <w:rFonts w:ascii="Arial" w:hAnsi="Arial" w:cs="Arial"/>
          <w:sz w:val="24"/>
          <w:szCs w:val="24"/>
          <w:lang w:val="es-ES_tradnl" w:eastAsia="es-ES"/>
        </w:rPr>
        <w:t>arepo</w:t>
      </w:r>
      <w:proofErr w:type="spellEnd"/>
      <w:r w:rsidR="00FA34F8" w:rsidRPr="003B4AAE">
        <w:rPr>
          <w:rFonts w:ascii="Arial" w:hAnsi="Arial" w:cs="Arial"/>
          <w:sz w:val="24"/>
          <w:szCs w:val="24"/>
          <w:lang w:val="es-ES_tradnl" w:eastAsia="es-ES"/>
        </w:rPr>
        <w:t>”, quien le pidió a</w:t>
      </w:r>
      <w:r w:rsidR="00BD672C" w:rsidRPr="003B4AAE">
        <w:rPr>
          <w:rFonts w:ascii="Arial" w:hAnsi="Arial" w:cs="Arial"/>
          <w:sz w:val="24"/>
          <w:szCs w:val="24"/>
          <w:lang w:val="es-ES_tradnl" w:eastAsia="es-ES"/>
        </w:rPr>
        <w:t xml:space="preserve">l señor </w:t>
      </w:r>
      <w:proofErr w:type="spellStart"/>
      <w:r w:rsidR="00BB3081">
        <w:rPr>
          <w:rFonts w:ascii="Arial" w:hAnsi="Arial" w:cs="Arial"/>
          <w:sz w:val="24"/>
          <w:szCs w:val="24"/>
          <w:lang w:val="es-ES_tradnl" w:eastAsia="es-ES"/>
        </w:rPr>
        <w:t>DMRC</w:t>
      </w:r>
      <w:proofErr w:type="spellEnd"/>
      <w:r w:rsidR="00BD672C" w:rsidRPr="003B4AAE">
        <w:rPr>
          <w:rFonts w:ascii="Arial" w:hAnsi="Arial" w:cs="Arial"/>
          <w:sz w:val="24"/>
          <w:szCs w:val="24"/>
          <w:lang w:val="es-ES_tradnl" w:eastAsia="es-ES"/>
        </w:rPr>
        <w:t xml:space="preserve"> que fuera y sacara un arma de fuego, ante lo cual la señora </w:t>
      </w:r>
      <w:r w:rsidR="00DC43E7" w:rsidRPr="003B4AAE">
        <w:rPr>
          <w:rFonts w:ascii="Arial" w:hAnsi="Arial" w:cs="Arial"/>
          <w:sz w:val="24"/>
          <w:szCs w:val="24"/>
          <w:lang w:val="es-ES_tradnl" w:eastAsia="es-ES"/>
        </w:rPr>
        <w:t xml:space="preserve">Nora Elena </w:t>
      </w:r>
      <w:r w:rsidR="00BD672C" w:rsidRPr="003B4AAE">
        <w:rPr>
          <w:rFonts w:ascii="Arial" w:hAnsi="Arial" w:cs="Arial"/>
          <w:sz w:val="24"/>
          <w:szCs w:val="24"/>
          <w:lang w:val="es-ES_tradnl" w:eastAsia="es-ES"/>
        </w:rPr>
        <w:t>quiso retirar del lugar a Miguel Ángel Rivera Rodríguez, pero en ese momento retornó alias “</w:t>
      </w:r>
      <w:proofErr w:type="spellStart"/>
      <w:r w:rsidR="00BD672C" w:rsidRPr="003B4AAE">
        <w:rPr>
          <w:rFonts w:ascii="Arial" w:hAnsi="Arial" w:cs="Arial"/>
          <w:sz w:val="24"/>
          <w:szCs w:val="24"/>
          <w:lang w:val="es-ES_tradnl" w:eastAsia="es-ES"/>
        </w:rPr>
        <w:t>kaliman</w:t>
      </w:r>
      <w:proofErr w:type="spellEnd"/>
      <w:r w:rsidR="00BD672C" w:rsidRPr="003B4AAE">
        <w:rPr>
          <w:rFonts w:ascii="Arial" w:hAnsi="Arial" w:cs="Arial"/>
          <w:sz w:val="24"/>
          <w:szCs w:val="24"/>
          <w:lang w:val="es-ES_tradnl" w:eastAsia="es-ES"/>
        </w:rPr>
        <w:t xml:space="preserve">” y le hizo entrega del arma a </w:t>
      </w:r>
      <w:proofErr w:type="spellStart"/>
      <w:r w:rsidR="003E4B84" w:rsidRPr="003B4AAE">
        <w:rPr>
          <w:rFonts w:ascii="Arial" w:hAnsi="Arial" w:cs="Arial"/>
          <w:sz w:val="24"/>
          <w:szCs w:val="24"/>
          <w:lang w:val="es-ES_tradnl" w:eastAsia="es-ES"/>
        </w:rPr>
        <w:t>DFRV</w:t>
      </w:r>
      <w:proofErr w:type="spellEnd"/>
      <w:r w:rsidR="00BD672C" w:rsidRPr="003B4AAE">
        <w:rPr>
          <w:rFonts w:ascii="Arial" w:hAnsi="Arial" w:cs="Arial"/>
          <w:sz w:val="24"/>
          <w:szCs w:val="24"/>
          <w:lang w:val="es-ES_tradnl" w:eastAsia="es-ES"/>
        </w:rPr>
        <w:t xml:space="preserve">, </w:t>
      </w:r>
      <w:r w:rsidR="00123572" w:rsidRPr="003B4AAE">
        <w:rPr>
          <w:rFonts w:ascii="Arial" w:hAnsi="Arial" w:cs="Arial"/>
          <w:sz w:val="24"/>
          <w:szCs w:val="24"/>
          <w:lang w:val="es-ES_tradnl" w:eastAsia="es-ES"/>
        </w:rPr>
        <w:t xml:space="preserve">quien la accionó en reiteradas oportunidades en contra del señor Rivera Rodríguez y en una ocasión a la señora </w:t>
      </w:r>
      <w:r w:rsidR="00DC43E7" w:rsidRPr="003B4AAE">
        <w:rPr>
          <w:rFonts w:ascii="Arial" w:hAnsi="Arial" w:cs="Arial"/>
          <w:sz w:val="24"/>
          <w:szCs w:val="24"/>
          <w:lang w:val="es-ES_tradnl" w:eastAsia="es-ES"/>
        </w:rPr>
        <w:t>Nora Elena</w:t>
      </w:r>
      <w:r w:rsidR="00123572" w:rsidRPr="003B4AAE">
        <w:rPr>
          <w:rFonts w:ascii="Arial" w:hAnsi="Arial" w:cs="Arial"/>
          <w:sz w:val="24"/>
          <w:szCs w:val="24"/>
          <w:lang w:val="es-ES_tradnl" w:eastAsia="es-ES"/>
        </w:rPr>
        <w:t xml:space="preserve">. Los agresores huyeron del lugar de los sucesos. </w:t>
      </w:r>
    </w:p>
    <w:p w14:paraId="3E82D4B7" w14:textId="77777777" w:rsidR="00123572" w:rsidRPr="003B4AAE" w:rsidRDefault="00123572" w:rsidP="003B4AAE">
      <w:pPr>
        <w:pStyle w:val="Sinespaciado"/>
        <w:spacing w:line="276" w:lineRule="auto"/>
        <w:jc w:val="both"/>
        <w:rPr>
          <w:rFonts w:ascii="Arial" w:hAnsi="Arial" w:cs="Arial"/>
          <w:sz w:val="24"/>
          <w:szCs w:val="24"/>
          <w:lang w:val="es-ES_tradnl" w:eastAsia="es-ES"/>
        </w:rPr>
      </w:pPr>
    </w:p>
    <w:p w14:paraId="3C2756D5" w14:textId="31B72F33" w:rsidR="00123572" w:rsidRPr="003B4AAE" w:rsidRDefault="0040441C"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t xml:space="preserve">Nora Elena Escobar López </w:t>
      </w:r>
      <w:r w:rsidR="00346C65" w:rsidRPr="003B4AAE">
        <w:rPr>
          <w:rFonts w:ascii="Arial" w:hAnsi="Arial" w:cs="Arial"/>
          <w:sz w:val="24"/>
          <w:szCs w:val="24"/>
          <w:lang w:val="es-ES_tradnl" w:eastAsia="es-ES"/>
        </w:rPr>
        <w:t xml:space="preserve">y Miguel Ángel Rivera Rodríguez </w:t>
      </w:r>
      <w:r w:rsidR="0052224F" w:rsidRPr="003B4AAE">
        <w:rPr>
          <w:rFonts w:ascii="Arial" w:hAnsi="Arial" w:cs="Arial"/>
          <w:sz w:val="24"/>
          <w:szCs w:val="24"/>
          <w:lang w:val="es-ES_tradnl" w:eastAsia="es-ES"/>
        </w:rPr>
        <w:t>fueron</w:t>
      </w:r>
      <w:r w:rsidR="00346C65" w:rsidRPr="003B4AAE">
        <w:rPr>
          <w:rFonts w:ascii="Arial" w:hAnsi="Arial" w:cs="Arial"/>
          <w:sz w:val="24"/>
          <w:szCs w:val="24"/>
          <w:lang w:val="es-ES_tradnl" w:eastAsia="es-ES"/>
        </w:rPr>
        <w:t xml:space="preserve"> remitidos a un centro asistencial, en donde falleció el último de los mencionados. </w:t>
      </w:r>
    </w:p>
    <w:p w14:paraId="4C3B07DD" w14:textId="77777777" w:rsidR="00346C65" w:rsidRPr="003B4AAE" w:rsidRDefault="00346C65" w:rsidP="003B4AAE">
      <w:pPr>
        <w:pStyle w:val="Sinespaciado"/>
        <w:spacing w:line="276" w:lineRule="auto"/>
        <w:jc w:val="both"/>
        <w:rPr>
          <w:rFonts w:ascii="Arial" w:hAnsi="Arial" w:cs="Arial"/>
          <w:sz w:val="24"/>
          <w:szCs w:val="24"/>
          <w:lang w:val="es-ES_tradnl" w:eastAsia="es-ES"/>
        </w:rPr>
      </w:pPr>
    </w:p>
    <w:p w14:paraId="0FA98500" w14:textId="6C686EC4" w:rsidR="00C9077E" w:rsidRPr="003B4AAE" w:rsidRDefault="00346C65"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t xml:space="preserve">El señor </w:t>
      </w:r>
      <w:proofErr w:type="spellStart"/>
      <w:r w:rsidR="003E4B84" w:rsidRPr="003B4AAE">
        <w:rPr>
          <w:rFonts w:ascii="Arial" w:hAnsi="Arial" w:cs="Arial"/>
          <w:sz w:val="24"/>
          <w:szCs w:val="24"/>
          <w:lang w:val="es-ES_tradnl" w:eastAsia="es-ES"/>
        </w:rPr>
        <w:t>DFRV</w:t>
      </w:r>
      <w:proofErr w:type="spellEnd"/>
      <w:r w:rsidR="003E4B84" w:rsidRPr="003B4AAE">
        <w:rPr>
          <w:rFonts w:ascii="Arial" w:hAnsi="Arial" w:cs="Arial"/>
          <w:sz w:val="24"/>
          <w:szCs w:val="24"/>
          <w:lang w:val="es-ES_tradnl" w:eastAsia="es-ES"/>
        </w:rPr>
        <w:t xml:space="preserve"> </w:t>
      </w:r>
      <w:r w:rsidRPr="003B4AAE">
        <w:rPr>
          <w:rFonts w:ascii="Arial" w:hAnsi="Arial" w:cs="Arial"/>
          <w:sz w:val="24"/>
          <w:szCs w:val="24"/>
          <w:lang w:val="es-ES_tradnl" w:eastAsia="es-ES"/>
        </w:rPr>
        <w:t>fue capturado instantes después de lo acontecido</w:t>
      </w:r>
      <w:r w:rsidR="00C9077E" w:rsidRPr="003B4AAE">
        <w:rPr>
          <w:rFonts w:ascii="Arial" w:hAnsi="Arial" w:cs="Arial"/>
          <w:sz w:val="24"/>
          <w:szCs w:val="24"/>
          <w:lang w:val="es-ES_tradnl" w:eastAsia="es-ES"/>
        </w:rPr>
        <w:t xml:space="preserve">, luego del señalamiento realizado por la comunidad. </w:t>
      </w:r>
    </w:p>
    <w:p w14:paraId="75601110" w14:textId="77777777" w:rsidR="00C9077E" w:rsidRPr="003B4AAE" w:rsidRDefault="00C9077E" w:rsidP="003B4AAE">
      <w:pPr>
        <w:pStyle w:val="Sinespaciado"/>
        <w:spacing w:line="276" w:lineRule="auto"/>
        <w:jc w:val="both"/>
        <w:rPr>
          <w:rFonts w:ascii="Arial" w:hAnsi="Arial" w:cs="Arial"/>
          <w:sz w:val="24"/>
          <w:szCs w:val="24"/>
          <w:lang w:val="es-ES_tradnl" w:eastAsia="es-ES"/>
        </w:rPr>
      </w:pPr>
    </w:p>
    <w:p w14:paraId="017B7845" w14:textId="7BBA082C" w:rsidR="00C9077E" w:rsidRPr="003B4AAE" w:rsidRDefault="00DC43E7"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t xml:space="preserve">Una vez fueron realizadas </w:t>
      </w:r>
      <w:r w:rsidR="00C9077E" w:rsidRPr="003B4AAE">
        <w:rPr>
          <w:rFonts w:ascii="Arial" w:hAnsi="Arial" w:cs="Arial"/>
          <w:sz w:val="24"/>
          <w:szCs w:val="24"/>
          <w:lang w:val="es-ES_tradnl" w:eastAsia="es-ES"/>
        </w:rPr>
        <w:t xml:space="preserve">las labores investigativas, se produjo la captura del señor </w:t>
      </w:r>
      <w:proofErr w:type="spellStart"/>
      <w:r w:rsidR="00BB3081">
        <w:rPr>
          <w:rFonts w:ascii="Arial" w:hAnsi="Arial" w:cs="Arial"/>
          <w:sz w:val="24"/>
          <w:szCs w:val="24"/>
          <w:lang w:val="es-ES_tradnl" w:eastAsia="es-ES"/>
        </w:rPr>
        <w:t>DMRC</w:t>
      </w:r>
      <w:proofErr w:type="spellEnd"/>
      <w:r w:rsidR="00C9077E" w:rsidRPr="003B4AAE">
        <w:rPr>
          <w:rFonts w:ascii="Arial" w:hAnsi="Arial" w:cs="Arial"/>
          <w:sz w:val="24"/>
          <w:szCs w:val="24"/>
          <w:lang w:val="es-ES_tradnl" w:eastAsia="es-ES"/>
        </w:rPr>
        <w:t xml:space="preserve">. </w:t>
      </w:r>
    </w:p>
    <w:p w14:paraId="78C1A071" w14:textId="77777777" w:rsidR="00C9077E" w:rsidRPr="003B4AAE" w:rsidRDefault="00C9077E" w:rsidP="003B4AAE">
      <w:pPr>
        <w:pStyle w:val="Sinespaciado"/>
        <w:spacing w:line="276" w:lineRule="auto"/>
        <w:jc w:val="both"/>
        <w:rPr>
          <w:rFonts w:ascii="Arial" w:hAnsi="Arial" w:cs="Arial"/>
          <w:sz w:val="24"/>
          <w:szCs w:val="24"/>
          <w:lang w:val="es-ES_tradnl" w:eastAsia="es-ES"/>
        </w:rPr>
      </w:pPr>
    </w:p>
    <w:p w14:paraId="373503CB" w14:textId="4F8F399D" w:rsidR="00346C65" w:rsidRPr="003B4AAE" w:rsidRDefault="00C9077E" w:rsidP="003B4AAE">
      <w:pPr>
        <w:pStyle w:val="Sinespaciado"/>
        <w:spacing w:line="276" w:lineRule="auto"/>
        <w:jc w:val="both"/>
        <w:rPr>
          <w:rFonts w:ascii="Arial" w:hAnsi="Arial" w:cs="Arial"/>
          <w:sz w:val="24"/>
          <w:szCs w:val="24"/>
          <w:lang w:val="es-ES_tradnl" w:eastAsia="es-ES"/>
        </w:rPr>
      </w:pPr>
      <w:r w:rsidRPr="003B4AAE">
        <w:rPr>
          <w:rFonts w:ascii="Arial" w:hAnsi="Arial" w:cs="Arial"/>
          <w:sz w:val="24"/>
          <w:szCs w:val="24"/>
          <w:lang w:val="es-ES_tradnl" w:eastAsia="es-ES"/>
        </w:rPr>
        <w:t>2.3 El</w:t>
      </w:r>
      <w:r w:rsidR="002D14E8" w:rsidRPr="003B4AAE">
        <w:rPr>
          <w:rFonts w:ascii="Arial" w:hAnsi="Arial" w:cs="Arial"/>
          <w:sz w:val="24"/>
          <w:szCs w:val="24"/>
          <w:lang w:val="es-ES_tradnl" w:eastAsia="es-ES"/>
        </w:rPr>
        <w:t xml:space="preserve"> 25 de septiembre de 2018 se</w:t>
      </w:r>
      <w:r w:rsidR="006C56C0" w:rsidRPr="003B4AAE">
        <w:rPr>
          <w:rFonts w:ascii="Arial" w:hAnsi="Arial" w:cs="Arial"/>
          <w:sz w:val="24"/>
          <w:szCs w:val="24"/>
          <w:lang w:val="es-ES_tradnl" w:eastAsia="es-ES"/>
        </w:rPr>
        <w:t xml:space="preserve"> celebraron </w:t>
      </w:r>
      <w:r w:rsidR="002D14E8" w:rsidRPr="003B4AAE">
        <w:rPr>
          <w:rFonts w:ascii="Arial" w:hAnsi="Arial" w:cs="Arial"/>
          <w:sz w:val="24"/>
          <w:szCs w:val="24"/>
          <w:lang w:val="es-ES_tradnl" w:eastAsia="es-ES"/>
        </w:rPr>
        <w:t xml:space="preserve">las audiencias preliminares ante el Juzgado Promiscuo Municipal de Santuario, acto en el cual el delegado de la Fiscalía General de la Nación le comunicó cargos al señor </w:t>
      </w:r>
      <w:proofErr w:type="spellStart"/>
      <w:r w:rsidR="00BB3081">
        <w:rPr>
          <w:rFonts w:ascii="Arial" w:hAnsi="Arial" w:cs="Arial"/>
          <w:sz w:val="24"/>
          <w:szCs w:val="24"/>
          <w:lang w:val="es-ES_tradnl" w:eastAsia="es-ES"/>
        </w:rPr>
        <w:t>DMRC</w:t>
      </w:r>
      <w:proofErr w:type="spellEnd"/>
      <w:r w:rsidR="00BC2EEF" w:rsidRPr="003B4AAE">
        <w:rPr>
          <w:rFonts w:ascii="Arial" w:hAnsi="Arial" w:cs="Arial"/>
          <w:sz w:val="24"/>
          <w:szCs w:val="24"/>
          <w:lang w:val="es-ES_tradnl" w:eastAsia="es-ES"/>
        </w:rPr>
        <w:t xml:space="preserve"> </w:t>
      </w:r>
      <w:r w:rsidR="002D14E8" w:rsidRPr="003B4AAE">
        <w:rPr>
          <w:rFonts w:ascii="Arial" w:hAnsi="Arial" w:cs="Arial"/>
          <w:sz w:val="24"/>
          <w:szCs w:val="24"/>
          <w:lang w:val="es-ES_tradnl" w:eastAsia="es-ES"/>
        </w:rPr>
        <w:t xml:space="preserve">por los delitos de </w:t>
      </w:r>
      <w:r w:rsidR="006C56C0" w:rsidRPr="003B4AAE">
        <w:rPr>
          <w:rFonts w:ascii="Arial" w:hAnsi="Arial" w:cs="Arial"/>
          <w:sz w:val="24"/>
          <w:szCs w:val="24"/>
          <w:lang w:val="es-ES_tradnl" w:eastAsia="es-ES"/>
        </w:rPr>
        <w:t>H</w:t>
      </w:r>
      <w:r w:rsidR="002D14E8" w:rsidRPr="003B4AAE">
        <w:rPr>
          <w:rFonts w:ascii="Arial" w:hAnsi="Arial" w:cs="Arial"/>
          <w:sz w:val="24"/>
          <w:szCs w:val="24"/>
          <w:lang w:val="es-ES_tradnl" w:eastAsia="es-ES"/>
        </w:rPr>
        <w:t>omicidio</w:t>
      </w:r>
      <w:r w:rsidR="002345F2" w:rsidRPr="003B4AAE">
        <w:rPr>
          <w:rFonts w:ascii="Arial" w:hAnsi="Arial" w:cs="Arial"/>
          <w:sz w:val="24"/>
          <w:szCs w:val="24"/>
          <w:lang w:val="es-ES_tradnl" w:eastAsia="es-ES"/>
        </w:rPr>
        <w:t xml:space="preserve"> con circunstancia de mayor punibilidad</w:t>
      </w:r>
      <w:r w:rsidR="002D14E8" w:rsidRPr="003B4AAE">
        <w:rPr>
          <w:rFonts w:ascii="Arial" w:hAnsi="Arial" w:cs="Arial"/>
          <w:sz w:val="24"/>
          <w:szCs w:val="24"/>
          <w:lang w:val="es-ES_tradnl" w:eastAsia="es-ES"/>
        </w:rPr>
        <w:t xml:space="preserve"> y </w:t>
      </w:r>
      <w:r w:rsidR="006C56C0" w:rsidRPr="003B4AAE">
        <w:rPr>
          <w:rFonts w:ascii="Arial" w:hAnsi="Arial" w:cs="Arial"/>
          <w:sz w:val="24"/>
          <w:szCs w:val="24"/>
          <w:lang w:val="es-ES_tradnl" w:eastAsia="es-ES"/>
        </w:rPr>
        <w:t>F</w:t>
      </w:r>
      <w:r w:rsidR="002D14E8" w:rsidRPr="003B4AAE">
        <w:rPr>
          <w:rFonts w:ascii="Arial" w:hAnsi="Arial" w:cs="Arial"/>
          <w:sz w:val="24"/>
          <w:szCs w:val="24"/>
          <w:lang w:val="es-ES_tradnl" w:eastAsia="es-ES"/>
        </w:rPr>
        <w:t>abricación, tráfico, porte o tenencia de armas de fuego, accesorios, partes o municiones, respecto a los cuales el acusado guardó silencio</w:t>
      </w:r>
      <w:r w:rsidR="004A3C19" w:rsidRPr="003B4AAE">
        <w:rPr>
          <w:rFonts w:ascii="Arial" w:hAnsi="Arial" w:cs="Arial"/>
          <w:sz w:val="24"/>
          <w:szCs w:val="24"/>
          <w:lang w:val="es-ES_tradnl" w:eastAsia="es-ES"/>
        </w:rPr>
        <w:t xml:space="preserve"> (</w:t>
      </w:r>
      <w:proofErr w:type="spellStart"/>
      <w:r w:rsidR="004A3C19" w:rsidRPr="003B4AAE">
        <w:rPr>
          <w:rFonts w:ascii="Arial" w:hAnsi="Arial" w:cs="Arial"/>
          <w:sz w:val="24"/>
          <w:szCs w:val="24"/>
          <w:lang w:val="es-ES_tradnl" w:eastAsia="es-ES"/>
        </w:rPr>
        <w:t>fl</w:t>
      </w:r>
      <w:proofErr w:type="spellEnd"/>
      <w:r w:rsidR="004A3C19" w:rsidRPr="003B4AAE">
        <w:rPr>
          <w:rFonts w:ascii="Arial" w:hAnsi="Arial" w:cs="Arial"/>
          <w:sz w:val="24"/>
          <w:szCs w:val="24"/>
          <w:lang w:val="es-ES_tradnl" w:eastAsia="es-ES"/>
        </w:rPr>
        <w:t>. 1 C. ruptura)</w:t>
      </w:r>
    </w:p>
    <w:p w14:paraId="07DF419D" w14:textId="77777777" w:rsidR="002D14E8" w:rsidRPr="003B4AAE" w:rsidRDefault="002D14E8" w:rsidP="003B4AAE">
      <w:pPr>
        <w:pStyle w:val="Sinespaciado"/>
        <w:spacing w:line="276" w:lineRule="auto"/>
        <w:jc w:val="both"/>
        <w:rPr>
          <w:rFonts w:ascii="Arial" w:hAnsi="Arial" w:cs="Arial"/>
          <w:sz w:val="24"/>
          <w:szCs w:val="24"/>
          <w:lang w:val="es-ES_tradnl" w:eastAsia="es-ES"/>
        </w:rPr>
      </w:pPr>
    </w:p>
    <w:p w14:paraId="1AE4E6B9" w14:textId="1AC19D86" w:rsidR="00692D03" w:rsidRPr="003B4AAE" w:rsidRDefault="002D14E8" w:rsidP="003B4AAE">
      <w:pPr>
        <w:pStyle w:val="Sinespaciado"/>
        <w:spacing w:line="276" w:lineRule="auto"/>
        <w:jc w:val="both"/>
        <w:rPr>
          <w:rFonts w:ascii="Arial" w:hAnsi="Arial" w:cs="Arial"/>
          <w:sz w:val="24"/>
          <w:szCs w:val="24"/>
        </w:rPr>
      </w:pPr>
      <w:r w:rsidRPr="003B4AAE">
        <w:rPr>
          <w:rFonts w:ascii="Arial" w:hAnsi="Arial" w:cs="Arial"/>
          <w:sz w:val="24"/>
          <w:szCs w:val="24"/>
          <w:lang w:val="es-ES_tradnl" w:eastAsia="es-ES"/>
        </w:rPr>
        <w:t xml:space="preserve">2.4 El 29 de octubre de 2018 el ente investigador presentó escrito de acusación en contra de </w:t>
      </w:r>
      <w:proofErr w:type="spellStart"/>
      <w:r w:rsidR="003E4B84" w:rsidRPr="003B4AAE">
        <w:rPr>
          <w:rFonts w:ascii="Arial" w:hAnsi="Arial" w:cs="Arial"/>
          <w:sz w:val="24"/>
          <w:szCs w:val="24"/>
          <w:lang w:val="es-ES_tradnl" w:eastAsia="es-ES"/>
        </w:rPr>
        <w:t>DFRV</w:t>
      </w:r>
      <w:proofErr w:type="spellEnd"/>
      <w:r w:rsidR="003E4B84" w:rsidRPr="003B4AAE">
        <w:rPr>
          <w:rFonts w:ascii="Arial" w:hAnsi="Arial" w:cs="Arial"/>
          <w:sz w:val="24"/>
          <w:szCs w:val="24"/>
          <w:lang w:val="es-ES_tradnl" w:eastAsia="es-ES"/>
        </w:rPr>
        <w:t xml:space="preserve"> </w:t>
      </w:r>
      <w:r w:rsidRPr="003B4AAE">
        <w:rPr>
          <w:rFonts w:ascii="Arial" w:hAnsi="Arial" w:cs="Arial"/>
          <w:sz w:val="24"/>
          <w:szCs w:val="24"/>
          <w:lang w:val="es-ES_tradnl" w:eastAsia="es-ES"/>
        </w:rPr>
        <w:t xml:space="preserve">y </w:t>
      </w:r>
      <w:proofErr w:type="spellStart"/>
      <w:r w:rsidR="00BB3081">
        <w:rPr>
          <w:rFonts w:ascii="Arial" w:hAnsi="Arial" w:cs="Arial"/>
          <w:sz w:val="24"/>
          <w:szCs w:val="24"/>
          <w:lang w:val="es-ES_tradnl" w:eastAsia="es-ES"/>
        </w:rPr>
        <w:t>DMRC</w:t>
      </w:r>
      <w:proofErr w:type="spellEnd"/>
      <w:r w:rsidRPr="003B4AAE">
        <w:rPr>
          <w:rFonts w:ascii="Arial" w:hAnsi="Arial" w:cs="Arial"/>
          <w:sz w:val="24"/>
          <w:szCs w:val="24"/>
          <w:lang w:val="es-ES_tradnl" w:eastAsia="es-ES"/>
        </w:rPr>
        <w:t xml:space="preserve"> por los delitos de </w:t>
      </w:r>
      <w:r w:rsidR="006F3DF2" w:rsidRPr="003B4AAE">
        <w:rPr>
          <w:rFonts w:ascii="Arial" w:hAnsi="Arial" w:cs="Arial"/>
          <w:sz w:val="24"/>
          <w:szCs w:val="24"/>
          <w:lang w:val="es-ES_tradnl" w:eastAsia="es-ES"/>
        </w:rPr>
        <w:t>H</w:t>
      </w:r>
      <w:proofErr w:type="spellStart"/>
      <w:r w:rsidRPr="003B4AAE">
        <w:rPr>
          <w:rFonts w:ascii="Arial" w:hAnsi="Arial" w:cs="Arial"/>
          <w:sz w:val="24"/>
          <w:szCs w:val="24"/>
        </w:rPr>
        <w:t>omicidio</w:t>
      </w:r>
      <w:proofErr w:type="spellEnd"/>
      <w:r w:rsidRPr="003B4AAE">
        <w:rPr>
          <w:rFonts w:ascii="Arial" w:hAnsi="Arial" w:cs="Arial"/>
          <w:sz w:val="24"/>
          <w:szCs w:val="24"/>
        </w:rPr>
        <w:t>,</w:t>
      </w:r>
      <w:r w:rsidR="006F3DF2" w:rsidRPr="003B4AAE">
        <w:rPr>
          <w:rFonts w:ascii="Arial" w:hAnsi="Arial" w:cs="Arial"/>
          <w:sz w:val="24"/>
          <w:szCs w:val="24"/>
        </w:rPr>
        <w:t xml:space="preserve"> F</w:t>
      </w:r>
      <w:r w:rsidRPr="003B4AAE">
        <w:rPr>
          <w:rFonts w:ascii="Arial" w:hAnsi="Arial" w:cs="Arial"/>
          <w:sz w:val="24"/>
          <w:szCs w:val="24"/>
        </w:rPr>
        <w:t>abricación, tráfico, porte o tenencia de armas de fuego, accesorios, partes o municiones y lesiones personales dolosas</w:t>
      </w:r>
      <w:r w:rsidR="004A3C19" w:rsidRPr="003B4AAE">
        <w:rPr>
          <w:rFonts w:ascii="Arial" w:hAnsi="Arial" w:cs="Arial"/>
          <w:sz w:val="24"/>
          <w:szCs w:val="24"/>
        </w:rPr>
        <w:t xml:space="preserve"> (</w:t>
      </w:r>
      <w:proofErr w:type="spellStart"/>
      <w:r w:rsidR="004A3C19" w:rsidRPr="003B4AAE">
        <w:rPr>
          <w:rFonts w:ascii="Arial" w:hAnsi="Arial" w:cs="Arial"/>
          <w:sz w:val="24"/>
          <w:szCs w:val="24"/>
        </w:rPr>
        <w:t>fl</w:t>
      </w:r>
      <w:proofErr w:type="spellEnd"/>
      <w:r w:rsidR="004A3C19" w:rsidRPr="003B4AAE">
        <w:rPr>
          <w:rFonts w:ascii="Arial" w:hAnsi="Arial" w:cs="Arial"/>
          <w:sz w:val="24"/>
          <w:szCs w:val="24"/>
        </w:rPr>
        <w:t xml:space="preserve">. 3 a 11 C. ruptura). </w:t>
      </w:r>
    </w:p>
    <w:p w14:paraId="5A741402" w14:textId="77777777" w:rsidR="004A3C19" w:rsidRPr="003B4AAE" w:rsidRDefault="004A3C19" w:rsidP="003B4AAE">
      <w:pPr>
        <w:pStyle w:val="Sinespaciado"/>
        <w:spacing w:line="276" w:lineRule="auto"/>
        <w:jc w:val="both"/>
        <w:rPr>
          <w:rFonts w:ascii="Arial" w:hAnsi="Arial" w:cs="Arial"/>
          <w:sz w:val="24"/>
          <w:szCs w:val="24"/>
        </w:rPr>
      </w:pPr>
    </w:p>
    <w:p w14:paraId="32307189" w14:textId="69A15CD0" w:rsidR="00BC2EEF" w:rsidRPr="003B4AAE" w:rsidRDefault="004A3C19" w:rsidP="003B4AAE">
      <w:pPr>
        <w:pStyle w:val="Sinespaciado"/>
        <w:spacing w:line="276" w:lineRule="auto"/>
        <w:jc w:val="both"/>
        <w:rPr>
          <w:rFonts w:ascii="Arial" w:hAnsi="Arial" w:cs="Arial"/>
          <w:sz w:val="24"/>
          <w:szCs w:val="24"/>
        </w:rPr>
      </w:pPr>
      <w:r w:rsidRPr="003B4AAE">
        <w:rPr>
          <w:rFonts w:ascii="Arial" w:hAnsi="Arial" w:cs="Arial"/>
          <w:sz w:val="24"/>
          <w:szCs w:val="24"/>
        </w:rPr>
        <w:t>2.5 El 27 de agosto de 2019 se surtió la audiencia de formulación de acusación, diligencia en la que el fiscal que adelanta la investigación puso a consideración de la juez de cono</w:t>
      </w:r>
      <w:r w:rsidR="00D82153" w:rsidRPr="003B4AAE">
        <w:rPr>
          <w:rFonts w:ascii="Arial" w:hAnsi="Arial" w:cs="Arial"/>
          <w:sz w:val="24"/>
          <w:szCs w:val="24"/>
        </w:rPr>
        <w:t xml:space="preserve">cimiento un preacuerdo celebrado con el señor </w:t>
      </w:r>
      <w:proofErr w:type="spellStart"/>
      <w:r w:rsidR="003E4B84" w:rsidRPr="003B4AAE">
        <w:rPr>
          <w:rFonts w:ascii="Arial" w:hAnsi="Arial" w:cs="Arial"/>
          <w:sz w:val="24"/>
          <w:szCs w:val="24"/>
          <w:lang w:val="es-ES_tradnl" w:eastAsia="es-ES"/>
        </w:rPr>
        <w:t>DFRV</w:t>
      </w:r>
      <w:proofErr w:type="spellEnd"/>
      <w:r w:rsidR="00D82153" w:rsidRPr="003B4AAE">
        <w:rPr>
          <w:rFonts w:ascii="Arial" w:hAnsi="Arial" w:cs="Arial"/>
          <w:sz w:val="24"/>
          <w:szCs w:val="24"/>
        </w:rPr>
        <w:t>, el cual contó con la anuencia de esa funcionaria</w:t>
      </w:r>
      <w:r w:rsidR="00BC2EEF" w:rsidRPr="003B4AAE">
        <w:rPr>
          <w:rFonts w:ascii="Arial" w:hAnsi="Arial" w:cs="Arial"/>
          <w:sz w:val="24"/>
          <w:szCs w:val="24"/>
        </w:rPr>
        <w:t>.</w:t>
      </w:r>
      <w:r w:rsidR="00D82153" w:rsidRPr="003B4AAE">
        <w:rPr>
          <w:rFonts w:ascii="Arial" w:hAnsi="Arial" w:cs="Arial"/>
          <w:sz w:val="24"/>
          <w:szCs w:val="24"/>
        </w:rPr>
        <w:t xml:space="preserve"> </w:t>
      </w:r>
    </w:p>
    <w:p w14:paraId="07806253" w14:textId="77777777" w:rsidR="00BC2EEF" w:rsidRPr="003B4AAE" w:rsidRDefault="00BC2EEF" w:rsidP="003B4AAE">
      <w:pPr>
        <w:pStyle w:val="Sinespaciado"/>
        <w:spacing w:line="276" w:lineRule="auto"/>
        <w:jc w:val="both"/>
        <w:rPr>
          <w:rFonts w:ascii="Arial" w:hAnsi="Arial" w:cs="Arial"/>
          <w:sz w:val="24"/>
          <w:szCs w:val="24"/>
        </w:rPr>
      </w:pPr>
    </w:p>
    <w:p w14:paraId="6348BD8D" w14:textId="07F5C9FB" w:rsidR="004A3C19"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El </w:t>
      </w:r>
      <w:r w:rsidR="00D82153" w:rsidRPr="003B4AAE">
        <w:rPr>
          <w:rFonts w:ascii="Arial" w:hAnsi="Arial" w:cs="Arial"/>
          <w:sz w:val="24"/>
          <w:szCs w:val="24"/>
        </w:rPr>
        <w:t xml:space="preserve">21 de octubre del año anterior </w:t>
      </w:r>
      <w:r w:rsidRPr="003B4AAE">
        <w:rPr>
          <w:rFonts w:ascii="Arial" w:hAnsi="Arial" w:cs="Arial"/>
          <w:sz w:val="24"/>
          <w:szCs w:val="24"/>
        </w:rPr>
        <w:t xml:space="preserve">fue emitida la sentencia condenatoria en contra del señor </w:t>
      </w:r>
      <w:proofErr w:type="spellStart"/>
      <w:r w:rsidR="003E4B84" w:rsidRPr="003B4AAE">
        <w:rPr>
          <w:rFonts w:ascii="Arial" w:hAnsi="Arial" w:cs="Arial"/>
          <w:sz w:val="24"/>
          <w:szCs w:val="24"/>
          <w:lang w:val="es-ES_tradnl" w:eastAsia="es-ES"/>
        </w:rPr>
        <w:t>DFRV</w:t>
      </w:r>
      <w:proofErr w:type="spellEnd"/>
      <w:r w:rsidRPr="003B4AAE">
        <w:rPr>
          <w:rFonts w:ascii="Arial" w:hAnsi="Arial" w:cs="Arial"/>
          <w:sz w:val="24"/>
          <w:szCs w:val="24"/>
        </w:rPr>
        <w:t xml:space="preserve">. </w:t>
      </w:r>
    </w:p>
    <w:p w14:paraId="789CBB49" w14:textId="77777777" w:rsidR="00BC2EEF" w:rsidRPr="003B4AAE" w:rsidRDefault="00BC2EEF" w:rsidP="003B4AAE">
      <w:pPr>
        <w:pStyle w:val="Sinespaciado"/>
        <w:spacing w:line="276" w:lineRule="auto"/>
        <w:jc w:val="both"/>
        <w:rPr>
          <w:rFonts w:ascii="Arial" w:hAnsi="Arial" w:cs="Arial"/>
          <w:sz w:val="24"/>
          <w:szCs w:val="24"/>
        </w:rPr>
      </w:pPr>
    </w:p>
    <w:p w14:paraId="2FC9E365" w14:textId="4ABE0FE3" w:rsidR="00BC2EEF"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lastRenderedPageBreak/>
        <w:t xml:space="preserve">2.6 La audiencia preparatoria respecto al señor </w:t>
      </w:r>
      <w:proofErr w:type="spellStart"/>
      <w:r w:rsidR="00BB3081">
        <w:rPr>
          <w:rFonts w:ascii="Arial" w:hAnsi="Arial" w:cs="Arial"/>
          <w:sz w:val="24"/>
          <w:szCs w:val="24"/>
        </w:rPr>
        <w:t>DMRC</w:t>
      </w:r>
      <w:proofErr w:type="spellEnd"/>
      <w:r w:rsidRPr="003B4AAE">
        <w:rPr>
          <w:rFonts w:ascii="Arial" w:hAnsi="Arial" w:cs="Arial"/>
          <w:sz w:val="24"/>
          <w:szCs w:val="24"/>
        </w:rPr>
        <w:t>, se llevó a cabo en sesiones del 28 de enero (</w:t>
      </w:r>
      <w:proofErr w:type="spellStart"/>
      <w:r w:rsidRPr="003B4AAE">
        <w:rPr>
          <w:rFonts w:ascii="Arial" w:hAnsi="Arial" w:cs="Arial"/>
          <w:sz w:val="24"/>
          <w:szCs w:val="24"/>
        </w:rPr>
        <w:t>fl</w:t>
      </w:r>
      <w:proofErr w:type="spellEnd"/>
      <w:r w:rsidRPr="003B4AAE">
        <w:rPr>
          <w:rFonts w:ascii="Arial" w:hAnsi="Arial" w:cs="Arial"/>
          <w:sz w:val="24"/>
          <w:szCs w:val="24"/>
        </w:rPr>
        <w:t>. 38 C. ruptura), y 10 de marzo de 2020 (</w:t>
      </w:r>
      <w:proofErr w:type="spellStart"/>
      <w:r w:rsidRPr="003B4AAE">
        <w:rPr>
          <w:rFonts w:ascii="Arial" w:hAnsi="Arial" w:cs="Arial"/>
          <w:sz w:val="24"/>
          <w:szCs w:val="24"/>
        </w:rPr>
        <w:t>fl</w:t>
      </w:r>
      <w:proofErr w:type="spellEnd"/>
      <w:r w:rsidRPr="003B4AAE">
        <w:rPr>
          <w:rFonts w:ascii="Arial" w:hAnsi="Arial" w:cs="Arial"/>
          <w:sz w:val="24"/>
          <w:szCs w:val="24"/>
        </w:rPr>
        <w:t xml:space="preserve">. 41-42 C. ruptura). </w:t>
      </w:r>
    </w:p>
    <w:p w14:paraId="6F25678A" w14:textId="77777777" w:rsidR="00BC2EEF" w:rsidRPr="003B4AAE" w:rsidRDefault="00BC2EEF" w:rsidP="003B4AAE">
      <w:pPr>
        <w:pStyle w:val="Sinespaciado"/>
        <w:spacing w:line="276" w:lineRule="auto"/>
        <w:jc w:val="both"/>
        <w:rPr>
          <w:rFonts w:ascii="Arial" w:hAnsi="Arial" w:cs="Arial"/>
          <w:sz w:val="24"/>
          <w:szCs w:val="24"/>
        </w:rPr>
      </w:pPr>
    </w:p>
    <w:p w14:paraId="09020EC6" w14:textId="77777777" w:rsidR="00BC2EEF"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2.7 </w:t>
      </w:r>
      <w:r w:rsidR="00644BE1" w:rsidRPr="003B4AAE">
        <w:rPr>
          <w:rFonts w:ascii="Arial" w:hAnsi="Arial" w:cs="Arial"/>
          <w:sz w:val="24"/>
          <w:szCs w:val="24"/>
        </w:rPr>
        <w:t xml:space="preserve">Durante la instalación de la audiencia de juicio oral celebrada el 6 de octubre de 2020, </w:t>
      </w:r>
      <w:r w:rsidRPr="003B4AAE">
        <w:rPr>
          <w:rFonts w:ascii="Arial" w:hAnsi="Arial" w:cs="Arial"/>
          <w:sz w:val="24"/>
          <w:szCs w:val="24"/>
        </w:rPr>
        <w:t>aconteció:</w:t>
      </w:r>
    </w:p>
    <w:p w14:paraId="2EFD7C4D" w14:textId="77777777" w:rsidR="00BC2EEF" w:rsidRPr="003B4AAE" w:rsidRDefault="00BC2EEF" w:rsidP="003B4AAE">
      <w:pPr>
        <w:pStyle w:val="Sinespaciado"/>
        <w:spacing w:line="276" w:lineRule="auto"/>
        <w:jc w:val="both"/>
        <w:rPr>
          <w:rFonts w:ascii="Arial" w:hAnsi="Arial" w:cs="Arial"/>
          <w:sz w:val="24"/>
          <w:szCs w:val="24"/>
        </w:rPr>
      </w:pPr>
    </w:p>
    <w:p w14:paraId="4D965C8E" w14:textId="3B4981FE" w:rsidR="009B5295"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t>i) E</w:t>
      </w:r>
      <w:r w:rsidR="00644BE1" w:rsidRPr="003B4AAE">
        <w:rPr>
          <w:rFonts w:ascii="Arial" w:hAnsi="Arial" w:cs="Arial"/>
          <w:sz w:val="24"/>
          <w:szCs w:val="24"/>
        </w:rPr>
        <w:t xml:space="preserve">l defensor </w:t>
      </w:r>
      <w:r w:rsidRPr="003B4AAE">
        <w:rPr>
          <w:rFonts w:ascii="Arial" w:hAnsi="Arial" w:cs="Arial"/>
          <w:sz w:val="24"/>
          <w:szCs w:val="24"/>
        </w:rPr>
        <w:t xml:space="preserve">del señor </w:t>
      </w:r>
      <w:proofErr w:type="spellStart"/>
      <w:r w:rsidR="00BB3081">
        <w:rPr>
          <w:rFonts w:ascii="Arial" w:hAnsi="Arial" w:cs="Arial"/>
          <w:sz w:val="24"/>
          <w:szCs w:val="24"/>
        </w:rPr>
        <w:t>DMRC</w:t>
      </w:r>
      <w:proofErr w:type="spellEnd"/>
      <w:r w:rsidR="0091175C" w:rsidRPr="003B4AAE">
        <w:rPr>
          <w:rFonts w:ascii="Arial" w:hAnsi="Arial" w:cs="Arial"/>
          <w:sz w:val="24"/>
          <w:szCs w:val="24"/>
        </w:rPr>
        <w:t xml:space="preserve"> </w:t>
      </w:r>
      <w:r w:rsidRPr="003B4AAE">
        <w:rPr>
          <w:rFonts w:ascii="Arial" w:hAnsi="Arial" w:cs="Arial"/>
          <w:sz w:val="24"/>
          <w:szCs w:val="24"/>
        </w:rPr>
        <w:t xml:space="preserve">manifestó </w:t>
      </w:r>
      <w:r w:rsidR="009B5295" w:rsidRPr="003B4AAE">
        <w:rPr>
          <w:rFonts w:ascii="Arial" w:hAnsi="Arial" w:cs="Arial"/>
          <w:sz w:val="24"/>
          <w:szCs w:val="24"/>
        </w:rPr>
        <w:t xml:space="preserve">que la </w:t>
      </w:r>
      <w:r w:rsidRPr="003B4AAE">
        <w:rPr>
          <w:rFonts w:ascii="Arial" w:hAnsi="Arial" w:cs="Arial"/>
          <w:sz w:val="24"/>
          <w:szCs w:val="24"/>
        </w:rPr>
        <w:t xml:space="preserve">A quo </w:t>
      </w:r>
      <w:r w:rsidR="009B5295" w:rsidRPr="003B4AAE">
        <w:rPr>
          <w:rFonts w:ascii="Arial" w:hAnsi="Arial" w:cs="Arial"/>
          <w:sz w:val="24"/>
          <w:szCs w:val="24"/>
        </w:rPr>
        <w:t xml:space="preserve">se encuentra impedida para continuar con el trámite del proceso que se adelanta en contra de su representado, </w:t>
      </w:r>
      <w:r w:rsidR="006C1618" w:rsidRPr="003B4AAE">
        <w:rPr>
          <w:rFonts w:ascii="Arial" w:hAnsi="Arial" w:cs="Arial"/>
          <w:sz w:val="24"/>
          <w:szCs w:val="24"/>
        </w:rPr>
        <w:t xml:space="preserve">conforme a lo previsto en el numeral 4 del artículo 56 del </w:t>
      </w:r>
      <w:proofErr w:type="spellStart"/>
      <w:r w:rsidR="006C1618" w:rsidRPr="003B4AAE">
        <w:rPr>
          <w:rFonts w:ascii="Arial" w:hAnsi="Arial" w:cs="Arial"/>
          <w:sz w:val="24"/>
          <w:szCs w:val="24"/>
        </w:rPr>
        <w:t>CPP</w:t>
      </w:r>
      <w:proofErr w:type="spellEnd"/>
      <w:r w:rsidR="006C1618" w:rsidRPr="003B4AAE">
        <w:rPr>
          <w:rFonts w:ascii="Arial" w:hAnsi="Arial" w:cs="Arial"/>
          <w:sz w:val="24"/>
          <w:szCs w:val="24"/>
        </w:rPr>
        <w:t xml:space="preserve">, </w:t>
      </w:r>
      <w:r w:rsidR="009B5295" w:rsidRPr="003B4AAE">
        <w:rPr>
          <w:rFonts w:ascii="Arial" w:hAnsi="Arial" w:cs="Arial"/>
          <w:sz w:val="24"/>
          <w:szCs w:val="24"/>
        </w:rPr>
        <w:t xml:space="preserve">teniendo en cuenta que esa funcionaria previamente resolvió lo relacionado con un preacuerdo </w:t>
      </w:r>
      <w:r w:rsidRPr="003B4AAE">
        <w:rPr>
          <w:rFonts w:ascii="Arial" w:hAnsi="Arial" w:cs="Arial"/>
          <w:sz w:val="24"/>
          <w:szCs w:val="24"/>
        </w:rPr>
        <w:t xml:space="preserve">celebrado por el señor </w:t>
      </w:r>
      <w:proofErr w:type="spellStart"/>
      <w:r w:rsidR="003E4B84" w:rsidRPr="003B4AAE">
        <w:rPr>
          <w:rFonts w:ascii="Arial" w:hAnsi="Arial" w:cs="Arial"/>
          <w:sz w:val="24"/>
          <w:szCs w:val="24"/>
          <w:lang w:val="es-ES_tradnl" w:eastAsia="es-ES"/>
        </w:rPr>
        <w:t>DFRV</w:t>
      </w:r>
      <w:proofErr w:type="spellEnd"/>
      <w:r w:rsidR="009B5295" w:rsidRPr="003B4AAE">
        <w:rPr>
          <w:rFonts w:ascii="Arial" w:hAnsi="Arial" w:cs="Arial"/>
          <w:sz w:val="24"/>
          <w:szCs w:val="24"/>
        </w:rPr>
        <w:t xml:space="preserve">, lo que </w:t>
      </w:r>
      <w:r w:rsidR="006F3DF2" w:rsidRPr="003B4AAE">
        <w:rPr>
          <w:rFonts w:ascii="Arial" w:hAnsi="Arial" w:cs="Arial"/>
          <w:sz w:val="24"/>
          <w:szCs w:val="24"/>
        </w:rPr>
        <w:t xml:space="preserve">implicó que </w:t>
      </w:r>
      <w:r w:rsidR="009B5295" w:rsidRPr="003B4AAE">
        <w:rPr>
          <w:rFonts w:ascii="Arial" w:hAnsi="Arial" w:cs="Arial"/>
          <w:sz w:val="24"/>
          <w:szCs w:val="24"/>
        </w:rPr>
        <w:t>acced</w:t>
      </w:r>
      <w:r w:rsidR="006F3DF2" w:rsidRPr="003B4AAE">
        <w:rPr>
          <w:rFonts w:ascii="Arial" w:hAnsi="Arial" w:cs="Arial"/>
          <w:sz w:val="24"/>
          <w:szCs w:val="24"/>
        </w:rPr>
        <w:t xml:space="preserve">ió </w:t>
      </w:r>
      <w:r w:rsidR="009B5295" w:rsidRPr="003B4AAE">
        <w:rPr>
          <w:rFonts w:ascii="Arial" w:hAnsi="Arial" w:cs="Arial"/>
          <w:sz w:val="24"/>
          <w:szCs w:val="24"/>
        </w:rPr>
        <w:t xml:space="preserve">a los EMP y a las piezas procesales, </w:t>
      </w:r>
      <w:r w:rsidR="006F3DF2" w:rsidRPr="003B4AAE">
        <w:rPr>
          <w:rFonts w:ascii="Arial" w:hAnsi="Arial" w:cs="Arial"/>
          <w:sz w:val="24"/>
          <w:szCs w:val="24"/>
        </w:rPr>
        <w:t xml:space="preserve">para </w:t>
      </w:r>
      <w:r w:rsidR="009B5295" w:rsidRPr="003B4AAE">
        <w:rPr>
          <w:rFonts w:ascii="Arial" w:hAnsi="Arial" w:cs="Arial"/>
          <w:sz w:val="24"/>
          <w:szCs w:val="24"/>
        </w:rPr>
        <w:t>emiti</w:t>
      </w:r>
      <w:r w:rsidR="009579CC" w:rsidRPr="003B4AAE">
        <w:rPr>
          <w:rFonts w:ascii="Arial" w:hAnsi="Arial" w:cs="Arial"/>
          <w:sz w:val="24"/>
          <w:szCs w:val="24"/>
        </w:rPr>
        <w:t>r</w:t>
      </w:r>
      <w:r w:rsidR="009B5295" w:rsidRPr="003B4AAE">
        <w:rPr>
          <w:rFonts w:ascii="Arial" w:hAnsi="Arial" w:cs="Arial"/>
          <w:sz w:val="24"/>
          <w:szCs w:val="24"/>
        </w:rPr>
        <w:t xml:space="preserve"> la sentencia respectiva. </w:t>
      </w:r>
    </w:p>
    <w:p w14:paraId="1C699179" w14:textId="77777777" w:rsidR="006C1618" w:rsidRPr="003B4AAE" w:rsidRDefault="006C1618" w:rsidP="003B4AAE">
      <w:pPr>
        <w:pStyle w:val="Sinespaciado"/>
        <w:spacing w:line="276" w:lineRule="auto"/>
        <w:jc w:val="both"/>
        <w:rPr>
          <w:rFonts w:ascii="Arial" w:hAnsi="Arial" w:cs="Arial"/>
          <w:sz w:val="24"/>
          <w:szCs w:val="24"/>
        </w:rPr>
      </w:pPr>
    </w:p>
    <w:p w14:paraId="18FE994A" w14:textId="77777777" w:rsidR="006C1618"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ii) </w:t>
      </w:r>
      <w:r w:rsidR="006C1618" w:rsidRPr="003B4AAE">
        <w:rPr>
          <w:rFonts w:ascii="Arial" w:hAnsi="Arial" w:cs="Arial"/>
          <w:sz w:val="24"/>
          <w:szCs w:val="24"/>
        </w:rPr>
        <w:t xml:space="preserve">La señora fiscal </w:t>
      </w:r>
      <w:r w:rsidR="0091175C" w:rsidRPr="003B4AAE">
        <w:rPr>
          <w:rFonts w:ascii="Arial" w:hAnsi="Arial" w:cs="Arial"/>
          <w:sz w:val="24"/>
          <w:szCs w:val="24"/>
        </w:rPr>
        <w:t>adujo</w:t>
      </w:r>
      <w:r w:rsidRPr="003B4AAE">
        <w:rPr>
          <w:rFonts w:ascii="Arial" w:hAnsi="Arial" w:cs="Arial"/>
          <w:sz w:val="24"/>
          <w:szCs w:val="24"/>
        </w:rPr>
        <w:t xml:space="preserve"> </w:t>
      </w:r>
      <w:r w:rsidR="006C1618" w:rsidRPr="003B4AAE">
        <w:rPr>
          <w:rFonts w:ascii="Arial" w:hAnsi="Arial" w:cs="Arial"/>
          <w:sz w:val="24"/>
          <w:szCs w:val="24"/>
        </w:rPr>
        <w:t>que en el presente caso se debía dar aplicación a lo señalado en el artículo 57 ibídem.</w:t>
      </w:r>
    </w:p>
    <w:p w14:paraId="7A4B668C" w14:textId="77777777" w:rsidR="006C1618" w:rsidRPr="003B4AAE" w:rsidRDefault="006C1618" w:rsidP="003B4AAE">
      <w:pPr>
        <w:pStyle w:val="Sinespaciado"/>
        <w:spacing w:line="276" w:lineRule="auto"/>
        <w:jc w:val="both"/>
        <w:rPr>
          <w:rFonts w:ascii="Arial" w:hAnsi="Arial" w:cs="Arial"/>
          <w:sz w:val="24"/>
          <w:szCs w:val="24"/>
        </w:rPr>
      </w:pPr>
    </w:p>
    <w:p w14:paraId="39AA11AE" w14:textId="794A1790" w:rsidR="009F12E5" w:rsidRPr="003B4AAE" w:rsidRDefault="00BC2EEF"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iii) </w:t>
      </w:r>
      <w:r w:rsidR="006C1618" w:rsidRPr="003B4AAE">
        <w:rPr>
          <w:rFonts w:ascii="Arial" w:hAnsi="Arial" w:cs="Arial"/>
          <w:sz w:val="24"/>
          <w:szCs w:val="24"/>
        </w:rPr>
        <w:t xml:space="preserve">La juez estimó que la solicitud elevada por el abogado que representa los intereses del señor </w:t>
      </w:r>
      <w:proofErr w:type="spellStart"/>
      <w:r w:rsidR="00BB3081">
        <w:rPr>
          <w:rFonts w:ascii="Arial" w:hAnsi="Arial" w:cs="Arial"/>
          <w:sz w:val="24"/>
          <w:szCs w:val="24"/>
        </w:rPr>
        <w:t>DMRC</w:t>
      </w:r>
      <w:proofErr w:type="spellEnd"/>
      <w:r w:rsidR="0091175C" w:rsidRPr="003B4AAE">
        <w:rPr>
          <w:rFonts w:ascii="Arial" w:hAnsi="Arial" w:cs="Arial"/>
          <w:sz w:val="24"/>
          <w:szCs w:val="24"/>
        </w:rPr>
        <w:t xml:space="preserve"> </w:t>
      </w:r>
      <w:r w:rsidR="009F12E5" w:rsidRPr="003B4AAE">
        <w:rPr>
          <w:rFonts w:ascii="Arial" w:hAnsi="Arial" w:cs="Arial"/>
          <w:sz w:val="24"/>
          <w:szCs w:val="24"/>
        </w:rPr>
        <w:t>se trata de una recusación por considerar</w:t>
      </w:r>
      <w:r w:rsidR="0091175C" w:rsidRPr="003B4AAE">
        <w:rPr>
          <w:rFonts w:ascii="Arial" w:hAnsi="Arial" w:cs="Arial"/>
          <w:sz w:val="24"/>
          <w:szCs w:val="24"/>
        </w:rPr>
        <w:t>se</w:t>
      </w:r>
      <w:r w:rsidR="009F12E5" w:rsidRPr="003B4AAE">
        <w:rPr>
          <w:rFonts w:ascii="Arial" w:hAnsi="Arial" w:cs="Arial"/>
          <w:sz w:val="24"/>
          <w:szCs w:val="24"/>
        </w:rPr>
        <w:t xml:space="preserve"> que existe una causal de impedimento por parte de esa servidora, a la cual se le debe dar el trámite previsto en el artículo 60 de la Ley 906 de 2004. </w:t>
      </w:r>
    </w:p>
    <w:p w14:paraId="4C750DC3" w14:textId="77777777" w:rsidR="00BC2EEF" w:rsidRPr="003B4AAE" w:rsidRDefault="00BC2EEF" w:rsidP="003B4AAE">
      <w:pPr>
        <w:pStyle w:val="Sinespaciado"/>
        <w:spacing w:line="276" w:lineRule="auto"/>
        <w:jc w:val="both"/>
        <w:rPr>
          <w:rFonts w:ascii="Arial" w:hAnsi="Arial" w:cs="Arial"/>
          <w:sz w:val="24"/>
          <w:szCs w:val="24"/>
        </w:rPr>
      </w:pPr>
    </w:p>
    <w:p w14:paraId="419DCB9B" w14:textId="7F879E1F" w:rsidR="009F12E5" w:rsidRPr="003B4AAE" w:rsidRDefault="009F12E5"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Es cierto que conoció del preacuerdo suscrito por el </w:t>
      </w:r>
      <w:proofErr w:type="spellStart"/>
      <w:r w:rsidRPr="003B4AAE">
        <w:rPr>
          <w:rFonts w:ascii="Arial" w:hAnsi="Arial" w:cs="Arial"/>
          <w:sz w:val="24"/>
          <w:szCs w:val="24"/>
        </w:rPr>
        <w:t>coprocesado</w:t>
      </w:r>
      <w:proofErr w:type="spellEnd"/>
      <w:r w:rsidRPr="003B4AAE">
        <w:rPr>
          <w:rFonts w:ascii="Arial" w:hAnsi="Arial" w:cs="Arial"/>
          <w:sz w:val="24"/>
          <w:szCs w:val="24"/>
        </w:rPr>
        <w:t xml:space="preserve"> </w:t>
      </w:r>
      <w:proofErr w:type="spellStart"/>
      <w:r w:rsidR="003E4B84" w:rsidRPr="003B4AAE">
        <w:rPr>
          <w:rFonts w:ascii="Arial" w:hAnsi="Arial" w:cs="Arial"/>
          <w:sz w:val="24"/>
          <w:szCs w:val="24"/>
          <w:lang w:val="es-ES_tradnl" w:eastAsia="es-ES"/>
        </w:rPr>
        <w:t>DFRV</w:t>
      </w:r>
      <w:proofErr w:type="spellEnd"/>
      <w:r w:rsidR="009579CC" w:rsidRPr="003B4AAE">
        <w:rPr>
          <w:rFonts w:ascii="Arial" w:hAnsi="Arial" w:cs="Arial"/>
          <w:sz w:val="24"/>
          <w:szCs w:val="24"/>
        </w:rPr>
        <w:t>,</w:t>
      </w:r>
      <w:r w:rsidRPr="003B4AAE">
        <w:rPr>
          <w:rFonts w:ascii="Arial" w:hAnsi="Arial" w:cs="Arial"/>
          <w:sz w:val="24"/>
          <w:szCs w:val="24"/>
        </w:rPr>
        <w:t xml:space="preserve"> quien a través de una negociación aceptó los cargos materia de investigación. Tanto la verificación de los términos del preacuerdo celebrado por el señor </w:t>
      </w:r>
      <w:proofErr w:type="spellStart"/>
      <w:r w:rsidR="003E4B84" w:rsidRPr="003B4AAE">
        <w:rPr>
          <w:rFonts w:ascii="Arial" w:hAnsi="Arial" w:cs="Arial"/>
          <w:sz w:val="24"/>
          <w:szCs w:val="24"/>
          <w:lang w:val="es-ES_tradnl" w:eastAsia="es-ES"/>
        </w:rPr>
        <w:t>DFRV</w:t>
      </w:r>
      <w:proofErr w:type="spellEnd"/>
      <w:r w:rsidR="003E4B84" w:rsidRPr="003B4AAE">
        <w:rPr>
          <w:rFonts w:ascii="Arial" w:hAnsi="Arial" w:cs="Arial"/>
          <w:sz w:val="24"/>
          <w:szCs w:val="24"/>
        </w:rPr>
        <w:t xml:space="preserve"> </w:t>
      </w:r>
      <w:r w:rsidRPr="003B4AAE">
        <w:rPr>
          <w:rFonts w:ascii="Arial" w:hAnsi="Arial" w:cs="Arial"/>
          <w:sz w:val="24"/>
          <w:szCs w:val="24"/>
        </w:rPr>
        <w:t xml:space="preserve">n, como la formulación de acusación realizada en contra del señor </w:t>
      </w:r>
      <w:proofErr w:type="spellStart"/>
      <w:r w:rsidR="00BB3081">
        <w:rPr>
          <w:rFonts w:ascii="Arial" w:hAnsi="Arial" w:cs="Arial"/>
          <w:sz w:val="24"/>
          <w:szCs w:val="24"/>
        </w:rPr>
        <w:t>DMRC</w:t>
      </w:r>
      <w:proofErr w:type="spellEnd"/>
      <w:r w:rsidRPr="003B4AAE">
        <w:rPr>
          <w:rFonts w:ascii="Arial" w:hAnsi="Arial" w:cs="Arial"/>
          <w:sz w:val="24"/>
          <w:szCs w:val="24"/>
        </w:rPr>
        <w:t xml:space="preserve"> se llevaron </w:t>
      </w:r>
      <w:proofErr w:type="spellStart"/>
      <w:r w:rsidRPr="003B4AAE">
        <w:rPr>
          <w:rFonts w:ascii="Arial" w:hAnsi="Arial" w:cs="Arial"/>
          <w:sz w:val="24"/>
          <w:szCs w:val="24"/>
        </w:rPr>
        <w:t>acabo</w:t>
      </w:r>
      <w:proofErr w:type="spellEnd"/>
      <w:r w:rsidRPr="003B4AAE">
        <w:rPr>
          <w:rFonts w:ascii="Arial" w:hAnsi="Arial" w:cs="Arial"/>
          <w:sz w:val="24"/>
          <w:szCs w:val="24"/>
        </w:rPr>
        <w:t xml:space="preserve"> en audiencia del 27 de agosto de 2019. </w:t>
      </w:r>
    </w:p>
    <w:p w14:paraId="5D98C403" w14:textId="77777777" w:rsidR="00E37EEA" w:rsidRPr="003B4AAE" w:rsidRDefault="00E37EEA" w:rsidP="003B4AAE">
      <w:pPr>
        <w:pStyle w:val="Sinespaciado"/>
        <w:spacing w:line="276" w:lineRule="auto"/>
        <w:jc w:val="both"/>
        <w:rPr>
          <w:rFonts w:ascii="Arial" w:hAnsi="Arial" w:cs="Arial"/>
          <w:sz w:val="24"/>
          <w:szCs w:val="24"/>
        </w:rPr>
      </w:pPr>
    </w:p>
    <w:p w14:paraId="48A4849A" w14:textId="77777777" w:rsidR="009F12E5" w:rsidRPr="003B4AAE" w:rsidRDefault="009F12E5"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Si bien es cierto, en el caso del señor Rodríguez también se presentó un acta de preacuerdo, es preciso señalar que ese acusado se retractó de los términos del mismo, por lo cual no se evaluaron los EMP que podrían comprometer su responsabilidad. </w:t>
      </w:r>
    </w:p>
    <w:p w14:paraId="6A7FD5CB" w14:textId="77777777" w:rsidR="0091175C" w:rsidRPr="003B4AAE" w:rsidRDefault="0091175C" w:rsidP="003B4AAE">
      <w:pPr>
        <w:pStyle w:val="Sinespaciado"/>
        <w:spacing w:line="276" w:lineRule="auto"/>
        <w:jc w:val="both"/>
        <w:rPr>
          <w:rFonts w:ascii="Arial" w:hAnsi="Arial" w:cs="Arial"/>
          <w:sz w:val="24"/>
          <w:szCs w:val="24"/>
        </w:rPr>
      </w:pPr>
    </w:p>
    <w:p w14:paraId="4539C262" w14:textId="77777777" w:rsidR="009F12E5" w:rsidRPr="003B4AAE" w:rsidRDefault="009F12E5" w:rsidP="003B4AAE">
      <w:pPr>
        <w:pStyle w:val="Sinespaciado"/>
        <w:spacing w:line="276" w:lineRule="auto"/>
        <w:jc w:val="both"/>
        <w:rPr>
          <w:rFonts w:ascii="Arial" w:hAnsi="Arial" w:cs="Arial"/>
          <w:sz w:val="24"/>
          <w:szCs w:val="24"/>
        </w:rPr>
      </w:pPr>
      <w:r w:rsidRPr="003B4AAE">
        <w:rPr>
          <w:rFonts w:ascii="Arial" w:hAnsi="Arial" w:cs="Arial"/>
          <w:sz w:val="24"/>
          <w:szCs w:val="24"/>
        </w:rPr>
        <w:t>La solicitud elevada por la defensa es extemporánea, máxime si se tiene en cuenta que este ha sido el profesional que ha asumido dicho rol desde la formulación de la acusación, oportunidad en la cual las partes debían manifestar aquellas causales de impedimento o recusación respecto</w:t>
      </w:r>
      <w:r w:rsidR="00FB46A9" w:rsidRPr="003B4AAE">
        <w:rPr>
          <w:rFonts w:ascii="Arial" w:hAnsi="Arial" w:cs="Arial"/>
          <w:sz w:val="24"/>
          <w:szCs w:val="24"/>
        </w:rPr>
        <w:t xml:space="preserve"> al funcionario que asumiría la etapa de juzgamiento de la investigación, lo cual no aconteció. </w:t>
      </w:r>
    </w:p>
    <w:p w14:paraId="53E30A2F" w14:textId="77777777" w:rsidR="0091175C" w:rsidRPr="003B4AAE" w:rsidRDefault="0091175C" w:rsidP="003B4AAE">
      <w:pPr>
        <w:pStyle w:val="Sinespaciado"/>
        <w:spacing w:line="276" w:lineRule="auto"/>
        <w:jc w:val="both"/>
        <w:rPr>
          <w:rFonts w:ascii="Arial" w:hAnsi="Arial" w:cs="Arial"/>
          <w:sz w:val="24"/>
          <w:szCs w:val="24"/>
        </w:rPr>
      </w:pPr>
    </w:p>
    <w:p w14:paraId="480A8C15" w14:textId="2F27286F" w:rsidR="00FB46A9" w:rsidRPr="003B4AAE" w:rsidRDefault="0091175C" w:rsidP="003B4AAE">
      <w:pPr>
        <w:pStyle w:val="Sinespaciado"/>
        <w:spacing w:line="276" w:lineRule="auto"/>
        <w:jc w:val="both"/>
        <w:rPr>
          <w:rFonts w:ascii="Arial" w:hAnsi="Arial" w:cs="Arial"/>
          <w:sz w:val="24"/>
          <w:szCs w:val="24"/>
        </w:rPr>
      </w:pPr>
      <w:r w:rsidRPr="003B4AAE">
        <w:rPr>
          <w:rFonts w:ascii="Arial" w:hAnsi="Arial" w:cs="Arial"/>
          <w:sz w:val="24"/>
          <w:szCs w:val="24"/>
        </w:rPr>
        <w:t>Se debe tener en cuenta</w:t>
      </w:r>
      <w:r w:rsidR="00FB46A9" w:rsidRPr="003B4AAE">
        <w:rPr>
          <w:rFonts w:ascii="Arial" w:hAnsi="Arial" w:cs="Arial"/>
          <w:sz w:val="24"/>
          <w:szCs w:val="24"/>
        </w:rPr>
        <w:t xml:space="preserve"> que para el día 27 de </w:t>
      </w:r>
      <w:proofErr w:type="spellStart"/>
      <w:r w:rsidR="00FB46A9" w:rsidRPr="003B4AAE">
        <w:rPr>
          <w:rFonts w:ascii="Arial" w:hAnsi="Arial" w:cs="Arial"/>
          <w:sz w:val="24"/>
          <w:szCs w:val="24"/>
        </w:rPr>
        <w:t>agoto</w:t>
      </w:r>
      <w:proofErr w:type="spellEnd"/>
      <w:r w:rsidR="00FB46A9" w:rsidRPr="003B4AAE">
        <w:rPr>
          <w:rFonts w:ascii="Arial" w:hAnsi="Arial" w:cs="Arial"/>
          <w:sz w:val="24"/>
          <w:szCs w:val="24"/>
        </w:rPr>
        <w:t xml:space="preserve"> de 2019 no se había proferido la sentencia en contra del señor </w:t>
      </w:r>
      <w:proofErr w:type="spellStart"/>
      <w:r w:rsidR="003E4B84" w:rsidRPr="003B4AAE">
        <w:rPr>
          <w:rFonts w:ascii="Arial" w:hAnsi="Arial" w:cs="Arial"/>
          <w:sz w:val="24"/>
          <w:szCs w:val="24"/>
          <w:lang w:val="es-ES_tradnl" w:eastAsia="es-ES"/>
        </w:rPr>
        <w:t>DFRV</w:t>
      </w:r>
      <w:proofErr w:type="spellEnd"/>
      <w:r w:rsidR="00FB46A9" w:rsidRPr="003B4AAE">
        <w:rPr>
          <w:rFonts w:ascii="Arial" w:hAnsi="Arial" w:cs="Arial"/>
          <w:sz w:val="24"/>
          <w:szCs w:val="24"/>
        </w:rPr>
        <w:t xml:space="preserve">, </w:t>
      </w:r>
      <w:r w:rsidRPr="003B4AAE">
        <w:rPr>
          <w:rFonts w:ascii="Arial" w:hAnsi="Arial" w:cs="Arial"/>
          <w:sz w:val="24"/>
          <w:szCs w:val="24"/>
        </w:rPr>
        <w:t xml:space="preserve">y en esa oportunidad </w:t>
      </w:r>
      <w:r w:rsidR="00FB46A9" w:rsidRPr="003B4AAE">
        <w:rPr>
          <w:rFonts w:ascii="Arial" w:hAnsi="Arial" w:cs="Arial"/>
          <w:sz w:val="24"/>
          <w:szCs w:val="24"/>
        </w:rPr>
        <w:t xml:space="preserve">el apoderado de los procesados pudo haber manifestado su objeción en la diligencia subsiguiente. Sin embargo, </w:t>
      </w:r>
      <w:r w:rsidRPr="003B4AAE">
        <w:rPr>
          <w:rFonts w:ascii="Arial" w:hAnsi="Arial" w:cs="Arial"/>
          <w:sz w:val="24"/>
          <w:szCs w:val="24"/>
        </w:rPr>
        <w:t xml:space="preserve">ese </w:t>
      </w:r>
      <w:r w:rsidR="00FB46A9" w:rsidRPr="003B4AAE">
        <w:rPr>
          <w:rFonts w:ascii="Arial" w:hAnsi="Arial" w:cs="Arial"/>
          <w:sz w:val="24"/>
          <w:szCs w:val="24"/>
        </w:rPr>
        <w:t xml:space="preserve">defensor dejó que trascurrieran las demás etapas procesales para plantear al inicio del juicio una causal de recusación, la cual no se fundamenta en hechos posteriores. </w:t>
      </w:r>
    </w:p>
    <w:p w14:paraId="57ACE7C1" w14:textId="77777777" w:rsidR="0091175C" w:rsidRPr="003B4AAE" w:rsidRDefault="0091175C" w:rsidP="003B4AAE">
      <w:pPr>
        <w:pStyle w:val="Sinespaciado"/>
        <w:spacing w:line="276" w:lineRule="auto"/>
        <w:jc w:val="both"/>
        <w:rPr>
          <w:rFonts w:ascii="Arial" w:hAnsi="Arial" w:cs="Arial"/>
          <w:sz w:val="24"/>
          <w:szCs w:val="24"/>
        </w:rPr>
      </w:pPr>
    </w:p>
    <w:p w14:paraId="1F43C70F" w14:textId="77777777" w:rsidR="00FB46A9" w:rsidRPr="003B4AAE" w:rsidRDefault="00266DEB" w:rsidP="003B4AAE">
      <w:pPr>
        <w:pStyle w:val="Sinespaciado"/>
        <w:spacing w:line="276" w:lineRule="auto"/>
        <w:jc w:val="both"/>
        <w:rPr>
          <w:rFonts w:ascii="Arial" w:hAnsi="Arial" w:cs="Arial"/>
          <w:sz w:val="24"/>
          <w:szCs w:val="24"/>
        </w:rPr>
      </w:pPr>
      <w:r w:rsidRPr="003B4AAE">
        <w:rPr>
          <w:rFonts w:ascii="Arial" w:hAnsi="Arial" w:cs="Arial"/>
          <w:sz w:val="24"/>
          <w:szCs w:val="24"/>
        </w:rPr>
        <w:t>De conformidad con la jurisprudencia de la CSJ, aquella parte que recuse al funcionario judicial debe acreditar o sustentar los motivos por los cuales la imparcialidad de aquel se encuentra comprometida</w:t>
      </w:r>
      <w:r w:rsidR="009579CC" w:rsidRPr="003B4AAE">
        <w:rPr>
          <w:rFonts w:ascii="Arial" w:hAnsi="Arial" w:cs="Arial"/>
          <w:sz w:val="24"/>
          <w:szCs w:val="24"/>
        </w:rPr>
        <w:t xml:space="preserve"> por </w:t>
      </w:r>
      <w:r w:rsidRPr="003B4AAE">
        <w:rPr>
          <w:rFonts w:ascii="Arial" w:hAnsi="Arial" w:cs="Arial"/>
          <w:sz w:val="24"/>
          <w:szCs w:val="24"/>
        </w:rPr>
        <w:t xml:space="preserve">haber proferido una </w:t>
      </w:r>
      <w:r w:rsidRPr="003B4AAE">
        <w:rPr>
          <w:rFonts w:ascii="Arial" w:hAnsi="Arial" w:cs="Arial"/>
          <w:sz w:val="24"/>
          <w:szCs w:val="24"/>
        </w:rPr>
        <w:lastRenderedPageBreak/>
        <w:t xml:space="preserve">sentencia por aceptación de cargos o como consecuencia de un preacuerdo </w:t>
      </w:r>
      <w:r w:rsidR="009579CC" w:rsidRPr="003B4AAE">
        <w:rPr>
          <w:rFonts w:ascii="Arial" w:hAnsi="Arial" w:cs="Arial"/>
          <w:sz w:val="24"/>
          <w:szCs w:val="24"/>
        </w:rPr>
        <w:t xml:space="preserve">respecto de </w:t>
      </w:r>
      <w:r w:rsidRPr="003B4AAE">
        <w:rPr>
          <w:rFonts w:ascii="Arial" w:hAnsi="Arial" w:cs="Arial"/>
          <w:sz w:val="24"/>
          <w:szCs w:val="24"/>
        </w:rPr>
        <w:t xml:space="preserve">un coprocesado diferente al que decide acogerse al trámite ordinario. </w:t>
      </w:r>
    </w:p>
    <w:p w14:paraId="06384C2A" w14:textId="77777777" w:rsidR="0091175C" w:rsidRPr="003B4AAE" w:rsidRDefault="0091175C" w:rsidP="003B4AAE">
      <w:pPr>
        <w:pStyle w:val="Sinespaciado"/>
        <w:spacing w:line="276" w:lineRule="auto"/>
        <w:jc w:val="both"/>
        <w:rPr>
          <w:rFonts w:ascii="Arial" w:hAnsi="Arial" w:cs="Arial"/>
          <w:sz w:val="24"/>
          <w:szCs w:val="24"/>
        </w:rPr>
      </w:pPr>
    </w:p>
    <w:p w14:paraId="38CEA633" w14:textId="571C04A8" w:rsidR="00693A24" w:rsidRPr="003B4AAE" w:rsidRDefault="007D7AB0"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Indicó que efectivamente profirió una sentencia condenatoria en contra del señor </w:t>
      </w:r>
      <w:proofErr w:type="spellStart"/>
      <w:r w:rsidR="003E4B84" w:rsidRPr="003B4AAE">
        <w:rPr>
          <w:rFonts w:ascii="Arial" w:hAnsi="Arial" w:cs="Arial"/>
          <w:sz w:val="24"/>
          <w:szCs w:val="24"/>
          <w:lang w:val="es-ES_tradnl" w:eastAsia="es-ES"/>
        </w:rPr>
        <w:t>DFRV</w:t>
      </w:r>
      <w:proofErr w:type="spellEnd"/>
      <w:r w:rsidR="009579CC" w:rsidRPr="003B4AAE">
        <w:rPr>
          <w:rFonts w:ascii="Arial" w:hAnsi="Arial" w:cs="Arial"/>
          <w:sz w:val="24"/>
          <w:szCs w:val="24"/>
        </w:rPr>
        <w:t>,</w:t>
      </w:r>
      <w:r w:rsidRPr="003B4AAE">
        <w:rPr>
          <w:rFonts w:ascii="Arial" w:hAnsi="Arial" w:cs="Arial"/>
          <w:sz w:val="24"/>
          <w:szCs w:val="24"/>
        </w:rPr>
        <w:t xml:space="preserve"> quien </w:t>
      </w:r>
      <w:r w:rsidR="009579CC" w:rsidRPr="003B4AAE">
        <w:rPr>
          <w:rFonts w:ascii="Arial" w:hAnsi="Arial" w:cs="Arial"/>
          <w:sz w:val="24"/>
          <w:szCs w:val="24"/>
        </w:rPr>
        <w:t xml:space="preserve">fue acusado </w:t>
      </w:r>
      <w:r w:rsidRPr="003B4AAE">
        <w:rPr>
          <w:rFonts w:ascii="Arial" w:hAnsi="Arial" w:cs="Arial"/>
          <w:sz w:val="24"/>
          <w:szCs w:val="24"/>
        </w:rPr>
        <w:t xml:space="preserve">por los mismos </w:t>
      </w:r>
      <w:r w:rsidR="009579CC" w:rsidRPr="003B4AAE">
        <w:rPr>
          <w:rFonts w:ascii="Arial" w:hAnsi="Arial" w:cs="Arial"/>
          <w:sz w:val="24"/>
          <w:szCs w:val="24"/>
        </w:rPr>
        <w:t>hechos delictivos</w:t>
      </w:r>
      <w:r w:rsidRPr="003B4AAE">
        <w:rPr>
          <w:rFonts w:ascii="Arial" w:hAnsi="Arial" w:cs="Arial"/>
          <w:sz w:val="24"/>
          <w:szCs w:val="24"/>
        </w:rPr>
        <w:t xml:space="preserve">, </w:t>
      </w:r>
      <w:r w:rsidR="009579CC" w:rsidRPr="003B4AAE">
        <w:rPr>
          <w:rFonts w:ascii="Arial" w:hAnsi="Arial" w:cs="Arial"/>
          <w:sz w:val="24"/>
          <w:szCs w:val="24"/>
        </w:rPr>
        <w:t>al haber e</w:t>
      </w:r>
      <w:r w:rsidRPr="003B4AAE">
        <w:rPr>
          <w:rFonts w:ascii="Arial" w:hAnsi="Arial" w:cs="Arial"/>
          <w:sz w:val="24"/>
          <w:szCs w:val="24"/>
        </w:rPr>
        <w:t xml:space="preserve">ste </w:t>
      </w:r>
      <w:r w:rsidR="009579CC" w:rsidRPr="003B4AAE">
        <w:rPr>
          <w:rFonts w:ascii="Arial" w:hAnsi="Arial" w:cs="Arial"/>
          <w:sz w:val="24"/>
          <w:szCs w:val="24"/>
        </w:rPr>
        <w:t xml:space="preserve">celebrado </w:t>
      </w:r>
      <w:r w:rsidR="00693A24" w:rsidRPr="003B4AAE">
        <w:rPr>
          <w:rFonts w:ascii="Arial" w:hAnsi="Arial" w:cs="Arial"/>
          <w:sz w:val="24"/>
          <w:szCs w:val="24"/>
        </w:rPr>
        <w:t xml:space="preserve">un preacuerdo, pese a lo cual, esa funcionaria no valoró aquellos EMP que pudieran comprometer la responsabilidad del aquí </w:t>
      </w:r>
      <w:r w:rsidR="009579CC" w:rsidRPr="003B4AAE">
        <w:rPr>
          <w:rFonts w:ascii="Arial" w:hAnsi="Arial" w:cs="Arial"/>
          <w:sz w:val="24"/>
          <w:szCs w:val="24"/>
        </w:rPr>
        <w:t>inculpado</w:t>
      </w:r>
      <w:r w:rsidR="00693A24" w:rsidRPr="003B4AAE">
        <w:rPr>
          <w:rFonts w:ascii="Arial" w:hAnsi="Arial" w:cs="Arial"/>
          <w:sz w:val="24"/>
          <w:szCs w:val="24"/>
        </w:rPr>
        <w:t xml:space="preserve">, motivo por el cual consideró que no </w:t>
      </w:r>
      <w:r w:rsidR="009579CC" w:rsidRPr="003B4AAE">
        <w:rPr>
          <w:rFonts w:ascii="Arial" w:hAnsi="Arial" w:cs="Arial"/>
          <w:sz w:val="24"/>
          <w:szCs w:val="24"/>
        </w:rPr>
        <w:t xml:space="preserve">tenía fundamento </w:t>
      </w:r>
      <w:r w:rsidR="00693A24" w:rsidRPr="003B4AAE">
        <w:rPr>
          <w:rFonts w:ascii="Arial" w:hAnsi="Arial" w:cs="Arial"/>
          <w:sz w:val="24"/>
          <w:szCs w:val="24"/>
        </w:rPr>
        <w:t>la causal de recusación aludida por la defensa</w:t>
      </w:r>
      <w:r w:rsidR="003B0CAE" w:rsidRPr="003B4AAE">
        <w:rPr>
          <w:rFonts w:ascii="Arial" w:hAnsi="Arial" w:cs="Arial"/>
          <w:sz w:val="24"/>
          <w:szCs w:val="24"/>
        </w:rPr>
        <w:t>.</w:t>
      </w:r>
    </w:p>
    <w:p w14:paraId="6ACABC2E" w14:textId="77777777" w:rsidR="00F7346C" w:rsidRPr="003B4AAE" w:rsidRDefault="00F7346C" w:rsidP="003B4AAE">
      <w:pPr>
        <w:pStyle w:val="Sinespaciado"/>
        <w:spacing w:line="276" w:lineRule="auto"/>
        <w:jc w:val="both"/>
        <w:rPr>
          <w:rFonts w:ascii="Arial" w:hAnsi="Arial" w:cs="Arial"/>
          <w:sz w:val="24"/>
          <w:szCs w:val="24"/>
        </w:rPr>
      </w:pPr>
    </w:p>
    <w:p w14:paraId="7EA21FC0" w14:textId="77777777" w:rsidR="00F7346C" w:rsidRPr="003B4AAE" w:rsidRDefault="00F7346C"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En consecuencia, la titular del Juzgado Promiscuo del Circuito de Apía dispuso la remisión de las diligencias a esta Sala para que se decidiera lo pertinente. </w:t>
      </w:r>
    </w:p>
    <w:p w14:paraId="6CE8BD74" w14:textId="77777777" w:rsidR="00173A5E" w:rsidRPr="003B4AAE" w:rsidRDefault="00173A5E" w:rsidP="003B4AAE">
      <w:pPr>
        <w:pStyle w:val="Sinespaciado"/>
        <w:spacing w:line="276" w:lineRule="auto"/>
        <w:jc w:val="both"/>
        <w:rPr>
          <w:rFonts w:ascii="Arial" w:hAnsi="Arial" w:cs="Arial"/>
          <w:sz w:val="24"/>
          <w:szCs w:val="24"/>
        </w:rPr>
      </w:pPr>
    </w:p>
    <w:p w14:paraId="37B8F564" w14:textId="77777777" w:rsidR="00173A5E" w:rsidRPr="003B4AAE" w:rsidRDefault="00173A5E" w:rsidP="003B4AAE">
      <w:pPr>
        <w:pStyle w:val="Sinespaciado"/>
        <w:spacing w:line="276" w:lineRule="auto"/>
        <w:jc w:val="center"/>
        <w:rPr>
          <w:rFonts w:ascii="Arial" w:hAnsi="Arial" w:cs="Arial"/>
          <w:b/>
          <w:sz w:val="24"/>
          <w:szCs w:val="24"/>
        </w:rPr>
      </w:pPr>
      <w:r w:rsidRPr="003B4AAE">
        <w:rPr>
          <w:rFonts w:ascii="Arial" w:hAnsi="Arial" w:cs="Arial"/>
          <w:b/>
          <w:sz w:val="24"/>
          <w:szCs w:val="24"/>
        </w:rPr>
        <w:t>3.  CONSIDERACIONES DE LA SALA</w:t>
      </w:r>
    </w:p>
    <w:p w14:paraId="4DAAC6AF" w14:textId="77777777" w:rsidR="003B0CAE" w:rsidRPr="003B4AAE" w:rsidRDefault="003B0CAE" w:rsidP="003B4AAE">
      <w:pPr>
        <w:pStyle w:val="Sinespaciado"/>
        <w:spacing w:line="276" w:lineRule="auto"/>
        <w:jc w:val="both"/>
        <w:rPr>
          <w:rFonts w:ascii="Arial" w:hAnsi="Arial" w:cs="Arial"/>
          <w:sz w:val="24"/>
          <w:szCs w:val="24"/>
        </w:rPr>
      </w:pPr>
    </w:p>
    <w:p w14:paraId="2B94FABF" w14:textId="71EA4CF6" w:rsidR="00AE25DF"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3.1 </w:t>
      </w:r>
      <w:r w:rsidR="00956567" w:rsidRPr="003B4AAE">
        <w:rPr>
          <w:rFonts w:ascii="Arial" w:hAnsi="Arial" w:cs="Arial"/>
          <w:sz w:val="24"/>
          <w:szCs w:val="24"/>
        </w:rPr>
        <w:t xml:space="preserve">De conformidad con lo dispuesto en el artículo 60 de la Ley 906 de 2004, modificado por el artículo 84 de la Ley 1395 de 2010, esta Colegiatura </w:t>
      </w:r>
      <w:r w:rsidR="00AE25DF" w:rsidRPr="003B4AAE">
        <w:rPr>
          <w:rFonts w:ascii="Arial" w:hAnsi="Arial" w:cs="Arial"/>
          <w:sz w:val="24"/>
          <w:szCs w:val="24"/>
        </w:rPr>
        <w:t xml:space="preserve">es competente para </w:t>
      </w:r>
      <w:r w:rsidR="00956567" w:rsidRPr="003B4AAE">
        <w:rPr>
          <w:rFonts w:ascii="Arial" w:hAnsi="Arial" w:cs="Arial"/>
          <w:sz w:val="24"/>
          <w:szCs w:val="24"/>
        </w:rPr>
        <w:t xml:space="preserve">emitir un pronunciamiento sobre la recusación </w:t>
      </w:r>
      <w:r w:rsidR="00B36E02" w:rsidRPr="003B4AAE">
        <w:rPr>
          <w:rFonts w:ascii="Arial" w:hAnsi="Arial" w:cs="Arial"/>
          <w:sz w:val="24"/>
          <w:szCs w:val="24"/>
        </w:rPr>
        <w:t xml:space="preserve">presentado </w:t>
      </w:r>
      <w:r w:rsidR="00956567" w:rsidRPr="003B4AAE">
        <w:rPr>
          <w:rFonts w:ascii="Arial" w:hAnsi="Arial" w:cs="Arial"/>
          <w:sz w:val="24"/>
          <w:szCs w:val="24"/>
        </w:rPr>
        <w:t xml:space="preserve">por el abogado que representa los intereses del señor </w:t>
      </w:r>
      <w:proofErr w:type="spellStart"/>
      <w:r w:rsidR="00BB3081">
        <w:rPr>
          <w:rFonts w:ascii="Arial" w:hAnsi="Arial" w:cs="Arial"/>
          <w:sz w:val="24"/>
          <w:szCs w:val="24"/>
        </w:rPr>
        <w:t>DMRC</w:t>
      </w:r>
      <w:proofErr w:type="spellEnd"/>
      <w:r w:rsidR="00956567" w:rsidRPr="003B4AAE">
        <w:rPr>
          <w:rFonts w:ascii="Arial" w:hAnsi="Arial" w:cs="Arial"/>
          <w:sz w:val="24"/>
          <w:szCs w:val="24"/>
        </w:rPr>
        <w:t xml:space="preserve">, </w:t>
      </w:r>
      <w:r w:rsidR="00AE25DF" w:rsidRPr="003B4AAE">
        <w:rPr>
          <w:rFonts w:ascii="Arial" w:hAnsi="Arial" w:cs="Arial"/>
          <w:sz w:val="24"/>
          <w:szCs w:val="24"/>
        </w:rPr>
        <w:t xml:space="preserve">en contra de la titular del </w:t>
      </w:r>
      <w:r w:rsidR="00956567" w:rsidRPr="003B4AAE">
        <w:rPr>
          <w:rFonts w:ascii="Arial" w:hAnsi="Arial" w:cs="Arial"/>
          <w:sz w:val="24"/>
          <w:szCs w:val="24"/>
        </w:rPr>
        <w:t xml:space="preserve">Juzgado Promiscuo del Circuito de Apía. </w:t>
      </w:r>
    </w:p>
    <w:p w14:paraId="0D643CB1" w14:textId="77777777" w:rsidR="00DD279C" w:rsidRPr="003B4AAE" w:rsidRDefault="00DD279C" w:rsidP="003B4AAE">
      <w:pPr>
        <w:pStyle w:val="Sinespaciado"/>
        <w:spacing w:line="276" w:lineRule="auto"/>
        <w:jc w:val="both"/>
        <w:rPr>
          <w:rFonts w:ascii="Arial" w:hAnsi="Arial" w:cs="Arial"/>
          <w:sz w:val="24"/>
          <w:szCs w:val="24"/>
        </w:rPr>
      </w:pPr>
    </w:p>
    <w:p w14:paraId="59791AD5" w14:textId="77777777" w:rsidR="00DD279C"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3.2 </w:t>
      </w:r>
      <w:r w:rsidR="00DD279C" w:rsidRPr="003B4AAE">
        <w:rPr>
          <w:rFonts w:ascii="Arial" w:hAnsi="Arial" w:cs="Arial"/>
          <w:sz w:val="24"/>
          <w:szCs w:val="24"/>
        </w:rPr>
        <w:t xml:space="preserve">Entre los principios que gobiernan el sistema procesal penal, se encuentra el de imparcialidad, establecido en el canon 5º de la </w:t>
      </w:r>
      <w:r w:rsidR="00B36E02" w:rsidRPr="003B4AAE">
        <w:rPr>
          <w:rFonts w:ascii="Arial" w:hAnsi="Arial" w:cs="Arial"/>
          <w:sz w:val="24"/>
          <w:szCs w:val="24"/>
        </w:rPr>
        <w:t xml:space="preserve">codificación </w:t>
      </w:r>
      <w:r w:rsidR="00DD279C" w:rsidRPr="003B4AAE">
        <w:rPr>
          <w:rFonts w:ascii="Arial" w:hAnsi="Arial" w:cs="Arial"/>
          <w:sz w:val="24"/>
          <w:szCs w:val="24"/>
        </w:rPr>
        <w:t>en mención, el cual busca garantizar que las decisiones de los funcionarios sean transparentes.</w:t>
      </w:r>
    </w:p>
    <w:p w14:paraId="36E4DABE" w14:textId="77777777" w:rsidR="003B4AAE" w:rsidRPr="003B4AAE" w:rsidRDefault="003B4AAE" w:rsidP="003B4AAE">
      <w:pPr>
        <w:pStyle w:val="Sinespaciado"/>
        <w:spacing w:line="276" w:lineRule="auto"/>
        <w:jc w:val="both"/>
        <w:rPr>
          <w:rFonts w:ascii="Arial" w:hAnsi="Arial" w:cs="Arial"/>
          <w:sz w:val="24"/>
          <w:szCs w:val="24"/>
        </w:rPr>
      </w:pPr>
    </w:p>
    <w:p w14:paraId="2CE13C66" w14:textId="7E31950C" w:rsidR="00127C00"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3.3 </w:t>
      </w:r>
      <w:r w:rsidR="007B456F" w:rsidRPr="003B4AAE">
        <w:rPr>
          <w:rFonts w:ascii="Arial" w:hAnsi="Arial" w:cs="Arial"/>
          <w:sz w:val="24"/>
          <w:szCs w:val="24"/>
        </w:rPr>
        <w:t xml:space="preserve">Las causales de impedimentos y recusaciones se encuentran previstas de manera taxativa en el artículo 56 del CPP, y para el caso concreto el apoderado judicial del señor </w:t>
      </w:r>
      <w:proofErr w:type="spellStart"/>
      <w:r w:rsidR="00BB3081">
        <w:rPr>
          <w:rFonts w:ascii="Arial" w:hAnsi="Arial" w:cs="Arial"/>
          <w:sz w:val="24"/>
          <w:szCs w:val="24"/>
        </w:rPr>
        <w:t>DMRC</w:t>
      </w:r>
      <w:proofErr w:type="spellEnd"/>
      <w:r w:rsidR="007B456F" w:rsidRPr="003B4AAE">
        <w:rPr>
          <w:rFonts w:ascii="Arial" w:hAnsi="Arial" w:cs="Arial"/>
          <w:sz w:val="24"/>
          <w:szCs w:val="24"/>
        </w:rPr>
        <w:t xml:space="preserve"> consideró que la A quo se encontraba incursa en la causal </w:t>
      </w:r>
      <w:r w:rsidR="000452AB" w:rsidRPr="003B4AAE">
        <w:rPr>
          <w:rFonts w:ascii="Arial" w:hAnsi="Arial" w:cs="Arial"/>
          <w:sz w:val="24"/>
          <w:szCs w:val="24"/>
        </w:rPr>
        <w:t>contemplada en el numeral 4° de la norma en comento, la cual establece que el funcionario judicial se encuentra impedido cuando “</w:t>
      </w:r>
      <w:r w:rsidR="000452AB" w:rsidRPr="003B4AAE">
        <w:rPr>
          <w:rFonts w:ascii="Arial" w:hAnsi="Arial" w:cs="Arial"/>
          <w:i/>
          <w:szCs w:val="24"/>
        </w:rPr>
        <w:t>haya sido apoderado o defensor de alguna de las partes, o sea o haya sido contraparte de cualquiera de ellos, o haya dado consejo o manifestado su opinión sobre el asunto materia del proceso</w:t>
      </w:r>
      <w:r w:rsidR="000452AB" w:rsidRPr="003B4AAE">
        <w:rPr>
          <w:rFonts w:ascii="Arial" w:hAnsi="Arial" w:cs="Arial"/>
          <w:sz w:val="24"/>
          <w:szCs w:val="24"/>
        </w:rPr>
        <w:t>”.</w:t>
      </w:r>
    </w:p>
    <w:p w14:paraId="57D6D977" w14:textId="77777777" w:rsidR="00127C00" w:rsidRPr="003B4AAE" w:rsidRDefault="00127C00" w:rsidP="003B4AAE">
      <w:pPr>
        <w:pStyle w:val="Sinespaciado"/>
        <w:spacing w:line="276" w:lineRule="auto"/>
        <w:jc w:val="both"/>
        <w:rPr>
          <w:rFonts w:ascii="Arial" w:hAnsi="Arial" w:cs="Arial"/>
          <w:sz w:val="24"/>
          <w:szCs w:val="24"/>
        </w:rPr>
      </w:pPr>
    </w:p>
    <w:p w14:paraId="68617DD9" w14:textId="1991C6CA" w:rsidR="00A63351"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3.4 </w:t>
      </w:r>
      <w:r w:rsidR="00043A92" w:rsidRPr="003B4AAE">
        <w:rPr>
          <w:rFonts w:ascii="Arial" w:hAnsi="Arial" w:cs="Arial"/>
          <w:sz w:val="24"/>
          <w:szCs w:val="24"/>
        </w:rPr>
        <w:t xml:space="preserve">Frente a la causal aludida esta Sala considera que el hecho de que la juez promiscua del circuito de </w:t>
      </w:r>
      <w:proofErr w:type="spellStart"/>
      <w:r w:rsidR="00043A92" w:rsidRPr="003B4AAE">
        <w:rPr>
          <w:rFonts w:ascii="Arial" w:hAnsi="Arial" w:cs="Arial"/>
          <w:sz w:val="24"/>
          <w:szCs w:val="24"/>
        </w:rPr>
        <w:t>Apía</w:t>
      </w:r>
      <w:proofErr w:type="spellEnd"/>
      <w:r w:rsidR="00043A92" w:rsidRPr="003B4AAE">
        <w:rPr>
          <w:rFonts w:ascii="Arial" w:hAnsi="Arial" w:cs="Arial"/>
          <w:sz w:val="24"/>
          <w:szCs w:val="24"/>
        </w:rPr>
        <w:t xml:space="preserve"> </w:t>
      </w:r>
      <w:r w:rsidR="00645749" w:rsidRPr="003B4AAE">
        <w:rPr>
          <w:rFonts w:ascii="Arial" w:hAnsi="Arial" w:cs="Arial"/>
          <w:sz w:val="24"/>
          <w:szCs w:val="24"/>
        </w:rPr>
        <w:t>haya</w:t>
      </w:r>
      <w:r w:rsidR="00043A92" w:rsidRPr="003B4AAE">
        <w:rPr>
          <w:rFonts w:ascii="Arial" w:hAnsi="Arial" w:cs="Arial"/>
          <w:sz w:val="24"/>
          <w:szCs w:val="24"/>
        </w:rPr>
        <w:t xml:space="preserve"> dado trámite a la audiencia de aprobación de un preacuerdo </w:t>
      </w:r>
      <w:r w:rsidR="00645749" w:rsidRPr="003B4AAE">
        <w:rPr>
          <w:rFonts w:ascii="Arial" w:hAnsi="Arial" w:cs="Arial"/>
          <w:sz w:val="24"/>
          <w:szCs w:val="24"/>
        </w:rPr>
        <w:t xml:space="preserve">y que posteriormente hubiera proferido la respectiva sentencia condenatoria en contra del </w:t>
      </w:r>
      <w:proofErr w:type="spellStart"/>
      <w:r w:rsidR="00645749" w:rsidRPr="003B4AAE">
        <w:rPr>
          <w:rFonts w:ascii="Arial" w:hAnsi="Arial" w:cs="Arial"/>
          <w:sz w:val="24"/>
          <w:szCs w:val="24"/>
        </w:rPr>
        <w:t>coprocesado</w:t>
      </w:r>
      <w:proofErr w:type="spellEnd"/>
      <w:r w:rsidR="00645749" w:rsidRPr="003B4AAE">
        <w:rPr>
          <w:rFonts w:ascii="Arial" w:hAnsi="Arial" w:cs="Arial"/>
          <w:sz w:val="24"/>
          <w:szCs w:val="24"/>
        </w:rPr>
        <w:t xml:space="preserve"> </w:t>
      </w:r>
      <w:proofErr w:type="spellStart"/>
      <w:r w:rsidR="003E4B84" w:rsidRPr="003B4AAE">
        <w:rPr>
          <w:rFonts w:ascii="Arial" w:hAnsi="Arial" w:cs="Arial"/>
          <w:sz w:val="24"/>
          <w:szCs w:val="24"/>
          <w:lang w:val="es-ES_tradnl" w:eastAsia="es-ES"/>
        </w:rPr>
        <w:t>DFRV</w:t>
      </w:r>
      <w:proofErr w:type="spellEnd"/>
      <w:r w:rsidR="00645749" w:rsidRPr="003B4AAE">
        <w:rPr>
          <w:rFonts w:ascii="Arial" w:hAnsi="Arial" w:cs="Arial"/>
          <w:sz w:val="24"/>
          <w:szCs w:val="24"/>
        </w:rPr>
        <w:t xml:space="preserve">, no constituye de manera automática fundamento para </w:t>
      </w:r>
      <w:r w:rsidR="00A63351" w:rsidRPr="003B4AAE">
        <w:rPr>
          <w:rFonts w:ascii="Arial" w:hAnsi="Arial" w:cs="Arial"/>
          <w:sz w:val="24"/>
          <w:szCs w:val="24"/>
        </w:rPr>
        <w:t xml:space="preserve">apartarse </w:t>
      </w:r>
      <w:r w:rsidR="00645749" w:rsidRPr="003B4AAE">
        <w:rPr>
          <w:rFonts w:ascii="Arial" w:hAnsi="Arial" w:cs="Arial"/>
          <w:sz w:val="24"/>
          <w:szCs w:val="24"/>
        </w:rPr>
        <w:t xml:space="preserve">del conocimiento del </w:t>
      </w:r>
      <w:r w:rsidR="00A63351" w:rsidRPr="003B4AAE">
        <w:rPr>
          <w:rFonts w:ascii="Arial" w:hAnsi="Arial" w:cs="Arial"/>
          <w:sz w:val="24"/>
          <w:szCs w:val="24"/>
        </w:rPr>
        <w:t>trámite</w:t>
      </w:r>
      <w:r w:rsidR="00645749" w:rsidRPr="003B4AAE">
        <w:rPr>
          <w:rFonts w:ascii="Arial" w:hAnsi="Arial" w:cs="Arial"/>
          <w:sz w:val="24"/>
          <w:szCs w:val="24"/>
        </w:rPr>
        <w:t xml:space="preserve"> que se adelanta respecto al señor </w:t>
      </w:r>
      <w:proofErr w:type="spellStart"/>
      <w:r w:rsidR="00BB3081">
        <w:rPr>
          <w:rFonts w:ascii="Arial" w:hAnsi="Arial" w:cs="Arial"/>
          <w:sz w:val="24"/>
          <w:szCs w:val="24"/>
        </w:rPr>
        <w:t>DMRC</w:t>
      </w:r>
      <w:proofErr w:type="spellEnd"/>
      <w:r w:rsidR="00645749" w:rsidRPr="003B4AAE">
        <w:rPr>
          <w:rFonts w:ascii="Arial" w:hAnsi="Arial" w:cs="Arial"/>
          <w:sz w:val="24"/>
          <w:szCs w:val="24"/>
        </w:rPr>
        <w:t xml:space="preserve">, ya que una vez verificado el fallo expedido por esa funcionaria el 21 de octubre de 2019, se puede evidenciar que en el mismo </w:t>
      </w:r>
      <w:r w:rsidR="00A63351" w:rsidRPr="003B4AAE">
        <w:rPr>
          <w:rFonts w:ascii="Arial" w:hAnsi="Arial" w:cs="Arial"/>
          <w:sz w:val="24"/>
          <w:szCs w:val="24"/>
        </w:rPr>
        <w:t xml:space="preserve">no se </w:t>
      </w:r>
      <w:r w:rsidR="00645749" w:rsidRPr="003B4AAE">
        <w:rPr>
          <w:rFonts w:ascii="Arial" w:hAnsi="Arial" w:cs="Arial"/>
          <w:sz w:val="24"/>
          <w:szCs w:val="24"/>
        </w:rPr>
        <w:t xml:space="preserve">realizó un estudio pormenorizado frente a los </w:t>
      </w:r>
      <w:proofErr w:type="spellStart"/>
      <w:r w:rsidR="00645749" w:rsidRPr="003B4AAE">
        <w:rPr>
          <w:rFonts w:ascii="Arial" w:hAnsi="Arial" w:cs="Arial"/>
          <w:sz w:val="24"/>
          <w:szCs w:val="24"/>
        </w:rPr>
        <w:t>EMP</w:t>
      </w:r>
      <w:proofErr w:type="spellEnd"/>
      <w:r w:rsidR="00A63351" w:rsidRPr="003B4AAE">
        <w:rPr>
          <w:rFonts w:ascii="Arial" w:hAnsi="Arial" w:cs="Arial"/>
          <w:sz w:val="24"/>
          <w:szCs w:val="24"/>
        </w:rPr>
        <w:t xml:space="preserve"> </w:t>
      </w:r>
      <w:r w:rsidR="00645749" w:rsidRPr="003B4AAE">
        <w:rPr>
          <w:rFonts w:ascii="Arial" w:hAnsi="Arial" w:cs="Arial"/>
          <w:sz w:val="24"/>
          <w:szCs w:val="24"/>
        </w:rPr>
        <w:t xml:space="preserve">con los cuales cuenta el ente investigador para </w:t>
      </w:r>
      <w:r w:rsidR="00A714C1" w:rsidRPr="003B4AAE">
        <w:rPr>
          <w:rFonts w:ascii="Arial" w:hAnsi="Arial" w:cs="Arial"/>
          <w:sz w:val="24"/>
          <w:szCs w:val="24"/>
        </w:rPr>
        <w:t xml:space="preserve">acreditar la presunta responsabilidad del señor </w:t>
      </w:r>
      <w:proofErr w:type="spellStart"/>
      <w:r w:rsidR="00BB3081">
        <w:rPr>
          <w:rFonts w:ascii="Arial" w:hAnsi="Arial" w:cs="Arial"/>
          <w:sz w:val="24"/>
          <w:szCs w:val="24"/>
        </w:rPr>
        <w:t>DMRC</w:t>
      </w:r>
      <w:proofErr w:type="spellEnd"/>
      <w:r w:rsidR="00A714C1" w:rsidRPr="003B4AAE">
        <w:rPr>
          <w:rFonts w:ascii="Arial" w:hAnsi="Arial" w:cs="Arial"/>
          <w:sz w:val="24"/>
          <w:szCs w:val="24"/>
        </w:rPr>
        <w:t xml:space="preserve"> sobre los hechos materia de investigación</w:t>
      </w:r>
      <w:r w:rsidR="00A63351" w:rsidRPr="003B4AAE">
        <w:rPr>
          <w:rFonts w:ascii="Arial" w:hAnsi="Arial" w:cs="Arial"/>
          <w:sz w:val="24"/>
          <w:szCs w:val="24"/>
        </w:rPr>
        <w:t xml:space="preserve">, es decir, </w:t>
      </w:r>
      <w:r w:rsidR="00A714C1" w:rsidRPr="003B4AAE">
        <w:rPr>
          <w:rFonts w:ascii="Arial" w:hAnsi="Arial" w:cs="Arial"/>
          <w:sz w:val="24"/>
          <w:szCs w:val="24"/>
        </w:rPr>
        <w:t xml:space="preserve">que en la providencia a la cual se hizo mención, la juez de primer grado no realizó una valoración probatoria de manera anticipada, es más, si se mira dicho proveído en ninguno de sus apartados se menciona a </w:t>
      </w:r>
      <w:proofErr w:type="spellStart"/>
      <w:r w:rsidR="00BB3081">
        <w:rPr>
          <w:rFonts w:ascii="Arial" w:hAnsi="Arial" w:cs="Arial"/>
          <w:sz w:val="24"/>
          <w:szCs w:val="24"/>
        </w:rPr>
        <w:t>DMRC</w:t>
      </w:r>
      <w:proofErr w:type="spellEnd"/>
      <w:r w:rsidR="00A714C1" w:rsidRPr="003B4AAE">
        <w:rPr>
          <w:rFonts w:ascii="Arial" w:hAnsi="Arial" w:cs="Arial"/>
          <w:sz w:val="24"/>
          <w:szCs w:val="24"/>
        </w:rPr>
        <w:t xml:space="preserve">, y solo trae a colación aquellas evidencias que soportaban la acusación del señor </w:t>
      </w:r>
      <w:proofErr w:type="spellStart"/>
      <w:r w:rsidR="003E4B84" w:rsidRPr="003B4AAE">
        <w:rPr>
          <w:rFonts w:ascii="Arial" w:hAnsi="Arial" w:cs="Arial"/>
          <w:sz w:val="24"/>
          <w:szCs w:val="24"/>
          <w:lang w:val="es-ES_tradnl" w:eastAsia="es-ES"/>
        </w:rPr>
        <w:t>DFRV</w:t>
      </w:r>
      <w:proofErr w:type="spellEnd"/>
      <w:r w:rsidR="00A714C1" w:rsidRPr="003B4AAE">
        <w:rPr>
          <w:rFonts w:ascii="Arial" w:hAnsi="Arial" w:cs="Arial"/>
          <w:sz w:val="24"/>
          <w:szCs w:val="24"/>
        </w:rPr>
        <w:t xml:space="preserve">.  </w:t>
      </w:r>
    </w:p>
    <w:p w14:paraId="7F25E2F1" w14:textId="77777777" w:rsidR="00A63351" w:rsidRPr="003B4AAE" w:rsidRDefault="00A63351" w:rsidP="003B4AAE">
      <w:pPr>
        <w:pStyle w:val="Sinespaciado"/>
        <w:spacing w:line="276" w:lineRule="auto"/>
        <w:jc w:val="both"/>
        <w:rPr>
          <w:rFonts w:ascii="Arial" w:hAnsi="Arial" w:cs="Arial"/>
          <w:sz w:val="24"/>
          <w:szCs w:val="24"/>
        </w:rPr>
      </w:pPr>
    </w:p>
    <w:p w14:paraId="6B803414" w14:textId="77777777" w:rsidR="00A63351"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lastRenderedPageBreak/>
        <w:t xml:space="preserve">3.5 </w:t>
      </w:r>
      <w:r w:rsidR="00A714C1" w:rsidRPr="003B4AAE">
        <w:rPr>
          <w:rFonts w:ascii="Arial" w:hAnsi="Arial" w:cs="Arial"/>
          <w:sz w:val="24"/>
          <w:szCs w:val="24"/>
        </w:rPr>
        <w:t xml:space="preserve">En ese sentido se debe hacer referencia a lo expuesto por la Sala Penal de la Corte Suprema de Justicia, en </w:t>
      </w:r>
      <w:r w:rsidR="00236C4C" w:rsidRPr="003B4AAE">
        <w:rPr>
          <w:rFonts w:ascii="Arial" w:hAnsi="Arial" w:cs="Arial"/>
          <w:sz w:val="24"/>
          <w:szCs w:val="24"/>
        </w:rPr>
        <w:t xml:space="preserve">el AP1226-2016, </w:t>
      </w:r>
      <w:r w:rsidR="00A714C1" w:rsidRPr="003B4AAE">
        <w:rPr>
          <w:rFonts w:ascii="Arial" w:hAnsi="Arial" w:cs="Arial"/>
          <w:sz w:val="24"/>
          <w:szCs w:val="24"/>
        </w:rPr>
        <w:t xml:space="preserve">del </w:t>
      </w:r>
      <w:r w:rsidR="0059411C" w:rsidRPr="003B4AAE">
        <w:rPr>
          <w:rFonts w:ascii="Arial" w:hAnsi="Arial" w:cs="Arial"/>
          <w:sz w:val="24"/>
          <w:szCs w:val="24"/>
        </w:rPr>
        <w:t>24 de febrero</w:t>
      </w:r>
      <w:r w:rsidR="00A714C1" w:rsidRPr="003B4AAE">
        <w:rPr>
          <w:rFonts w:ascii="Arial" w:hAnsi="Arial" w:cs="Arial"/>
          <w:sz w:val="24"/>
          <w:szCs w:val="24"/>
        </w:rPr>
        <w:t xml:space="preserve">, </w:t>
      </w:r>
      <w:r w:rsidR="00236C4C" w:rsidRPr="003B4AAE">
        <w:rPr>
          <w:rFonts w:ascii="Arial" w:hAnsi="Arial" w:cs="Arial"/>
          <w:sz w:val="24"/>
          <w:szCs w:val="24"/>
        </w:rPr>
        <w:t xml:space="preserve">en el </w:t>
      </w:r>
      <w:r w:rsidR="00A714C1" w:rsidRPr="003B4AAE">
        <w:rPr>
          <w:rFonts w:ascii="Arial" w:hAnsi="Arial" w:cs="Arial"/>
          <w:sz w:val="24"/>
          <w:szCs w:val="24"/>
        </w:rPr>
        <w:t xml:space="preserve">radicado </w:t>
      </w:r>
      <w:r w:rsidR="0059411C" w:rsidRPr="003B4AAE">
        <w:rPr>
          <w:rFonts w:ascii="Arial" w:hAnsi="Arial" w:cs="Arial"/>
          <w:sz w:val="24"/>
          <w:szCs w:val="24"/>
        </w:rPr>
        <w:t xml:space="preserve">47115, en </w:t>
      </w:r>
      <w:r w:rsidR="006D2EA4" w:rsidRPr="003B4AAE">
        <w:rPr>
          <w:rFonts w:ascii="Arial" w:hAnsi="Arial" w:cs="Arial"/>
          <w:sz w:val="24"/>
          <w:szCs w:val="24"/>
        </w:rPr>
        <w:t>e</w:t>
      </w:r>
      <w:r w:rsidR="0059411C" w:rsidRPr="003B4AAE">
        <w:rPr>
          <w:rFonts w:ascii="Arial" w:hAnsi="Arial" w:cs="Arial"/>
          <w:sz w:val="24"/>
          <w:szCs w:val="24"/>
        </w:rPr>
        <w:t>l que indicó:</w:t>
      </w:r>
    </w:p>
    <w:p w14:paraId="305ADF46" w14:textId="77777777" w:rsidR="00A63351" w:rsidRPr="003B4AAE" w:rsidRDefault="00A63351" w:rsidP="003B4AAE">
      <w:pPr>
        <w:pStyle w:val="Sinespaciado"/>
        <w:spacing w:line="276" w:lineRule="auto"/>
        <w:jc w:val="both"/>
        <w:rPr>
          <w:rFonts w:ascii="Arial" w:hAnsi="Arial" w:cs="Arial"/>
          <w:sz w:val="24"/>
          <w:szCs w:val="24"/>
        </w:rPr>
      </w:pPr>
    </w:p>
    <w:p w14:paraId="507EE90E"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“i) El conocimiento del precedente que fundamenta la incompatibilidad del juez para realizar juzgamientos sucesivos de los copartícipes no allanados implica, en todo caso, que en esa actividad sucesiva se vea comprometido de alguna manera el principio de imparcialidad del juez, que es lo que realmente “contamina al funcionario” y por consiguiente afecta la independencia y la confiabilidad en la Administración de justicia.</w:t>
      </w:r>
    </w:p>
    <w:p w14:paraId="2FBF9D6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65060754"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 xml:space="preserve">Es equivocado entender “como regla” que la imparcialidad del juez está en entredicho siempre que tramita un proceso con múltiples vinculados y en el desarrollo del mismo unos optan por </w:t>
      </w:r>
      <w:proofErr w:type="spellStart"/>
      <w:r w:rsidRPr="003B4AAE">
        <w:rPr>
          <w:rFonts w:ascii="Arial" w:eastAsia="Calibri" w:hAnsi="Arial" w:cs="Arial"/>
          <w:i/>
          <w:sz w:val="22"/>
          <w:szCs w:val="24"/>
          <w:lang w:val="es-CO" w:eastAsia="en-US"/>
        </w:rPr>
        <w:t>preacordar</w:t>
      </w:r>
      <w:proofErr w:type="spellEnd"/>
      <w:r w:rsidRPr="003B4AAE">
        <w:rPr>
          <w:rFonts w:ascii="Arial" w:eastAsia="Calibri" w:hAnsi="Arial" w:cs="Arial"/>
          <w:i/>
          <w:sz w:val="22"/>
          <w:szCs w:val="24"/>
          <w:lang w:val="es-CO" w:eastAsia="en-US"/>
        </w:rPr>
        <w:t xml:space="preserve"> los términos de la imputación y otros no. La motivación de la sentencia del radicado número 25407 del 21/03/2007 de ninguna manera se puede convertir en instrumento para suponer causales de impedimento o de recusación donde no las hay, ni para dilatar procesos penales injustificadamente.</w:t>
      </w:r>
    </w:p>
    <w:p w14:paraId="335400FA"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38B63A08"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 xml:space="preserve">La regla del pensamiento es la habilitación de los jueces de la República y consiste en que </w:t>
      </w:r>
      <w:r w:rsidRPr="003B4AAE">
        <w:rPr>
          <w:rFonts w:ascii="Arial" w:eastAsia="Calibri" w:hAnsi="Arial" w:cs="Arial"/>
          <w:i/>
          <w:sz w:val="22"/>
          <w:szCs w:val="24"/>
          <w:u w:val="single"/>
          <w:lang w:val="es-CO" w:eastAsia="en-US"/>
        </w:rPr>
        <w:t>no se puede poner en entredicho (por sí) la imparcialidad del juez que tramita un proceso penal con múltiples imputados cuando en el curso de proceso hay preacuerdos</w:t>
      </w:r>
      <w:r w:rsidRPr="003B4AAE">
        <w:rPr>
          <w:rFonts w:ascii="Arial" w:eastAsia="Calibri" w:hAnsi="Arial" w:cs="Arial"/>
          <w:i/>
          <w:sz w:val="22"/>
          <w:szCs w:val="24"/>
          <w:lang w:val="es-CO" w:eastAsia="en-US"/>
        </w:rPr>
        <w:t>; no siempre que un juez declara su validez y condena en el trámite de un preacuerdo o allanamiento se afecta la imparcialidad (Suya) en relación con el juzgamiento de los copartícipes no allanados.</w:t>
      </w:r>
    </w:p>
    <w:p w14:paraId="41DD1C1F"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5A8CBB9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w:t>
      </w:r>
    </w:p>
    <w:p w14:paraId="640539AA"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3782163C"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 xml:space="preserve">iii) Cuando la censura en casación se orienta por criticar la afectación de la garantía de la imparcialidad del juez, deberá probarse tal compromiso del funcionario que deslegitime su rol de juez, porque en materia penal (y a diferencia del sistema administrativo puro) subsiste un </w:t>
      </w:r>
      <w:r w:rsidRPr="003B4AAE">
        <w:rPr>
          <w:rFonts w:ascii="Arial" w:eastAsia="Calibri" w:hAnsi="Arial" w:cs="Arial"/>
          <w:i/>
          <w:sz w:val="22"/>
          <w:szCs w:val="24"/>
          <w:u w:val="single"/>
          <w:lang w:val="es-CO" w:eastAsia="en-US"/>
        </w:rPr>
        <w:t>remanente subjetivo</w:t>
      </w:r>
      <w:r w:rsidRPr="003B4AAE">
        <w:rPr>
          <w:rFonts w:ascii="Arial" w:eastAsia="Calibri" w:hAnsi="Arial" w:cs="Arial"/>
          <w:i/>
          <w:sz w:val="22"/>
          <w:szCs w:val="24"/>
          <w:lang w:val="es-CO" w:eastAsia="en-US"/>
        </w:rPr>
        <w:t xml:space="preserve"> que materializa la afectación del “compromiso de imparcialidad” que es el que afecta en últimas la garantía de </w:t>
      </w:r>
      <w:r w:rsidRPr="003B4AAE">
        <w:rPr>
          <w:rFonts w:ascii="Arial" w:eastAsia="Calibri" w:hAnsi="Arial" w:cs="Arial"/>
          <w:b/>
          <w:i/>
          <w:sz w:val="22"/>
          <w:szCs w:val="24"/>
          <w:lang w:val="es-CO" w:eastAsia="en-US"/>
        </w:rPr>
        <w:t>independencia y la confiabilidad en la correcta Administración de justicia</w:t>
      </w:r>
      <w:r w:rsidRPr="003B4AAE">
        <w:rPr>
          <w:rFonts w:ascii="Arial" w:eastAsia="Calibri" w:hAnsi="Arial" w:cs="Arial"/>
          <w:i/>
          <w:sz w:val="22"/>
          <w:szCs w:val="24"/>
          <w:lang w:val="es-CO" w:eastAsia="en-US"/>
        </w:rPr>
        <w:t>.</w:t>
      </w:r>
    </w:p>
    <w:p w14:paraId="149BCFB8"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387C8A1B" w14:textId="77777777" w:rsidR="003B4AAE" w:rsidRPr="003B4AAE" w:rsidRDefault="003B4AAE" w:rsidP="003B4AAE">
      <w:pPr>
        <w:overflowPunct/>
        <w:autoSpaceDE/>
        <w:autoSpaceDN/>
        <w:adjustRightInd/>
        <w:spacing w:line="240" w:lineRule="auto"/>
        <w:ind w:left="851" w:right="845"/>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 xml:space="preserve">A pesar de los elementos de verdad que puede tener el citado argumento, lo cierto es que </w:t>
      </w:r>
      <w:r w:rsidRPr="003B4AAE">
        <w:rPr>
          <w:rFonts w:ascii="Arial" w:eastAsia="Calibri" w:hAnsi="Arial" w:cs="Arial"/>
          <w:i/>
          <w:sz w:val="22"/>
          <w:szCs w:val="24"/>
          <w:u w:val="single"/>
          <w:lang w:val="es-CO" w:eastAsia="en-US"/>
        </w:rPr>
        <w:t>la valoración de la imparcialidad, no se realiza a partir de las posiciones morales, éticas o psicológicas de los jueces, sino a través de su postura intersubjetiva. Es decir, la apreciación de la imparcialidad del juez se concreta, en un juicio exterior derivado de la interrelación del juzgador con las partes y la comunidad en general</w:t>
      </w:r>
      <w:r w:rsidRPr="003B4AAE">
        <w:rPr>
          <w:rFonts w:ascii="Arial" w:eastAsia="Calibri" w:hAnsi="Arial" w:cs="Arial"/>
          <w:i/>
          <w:sz w:val="22"/>
          <w:szCs w:val="24"/>
          <w:lang w:val="es-CO" w:eastAsia="en-US"/>
        </w:rPr>
        <w:t xml:space="preserve">. En efecto, el hecho de que una misma autoridad -en primera y en segunda instancia- conozca de lo actuado, conduce a que, </w:t>
      </w:r>
      <w:r w:rsidRPr="003B4AAE">
        <w:rPr>
          <w:rFonts w:ascii="Arial" w:eastAsia="Calibri" w:hAnsi="Arial" w:cs="Arial"/>
          <w:i/>
          <w:sz w:val="22"/>
          <w:szCs w:val="24"/>
          <w:u w:val="single"/>
          <w:lang w:val="es-CO" w:eastAsia="en-US"/>
        </w:rPr>
        <w:t>independientemente de su actitud personal, su decisión pueda ser razonablemente considerada como carente de objetividad y neutralidad, con lo cual se produce irremediablemente la pérdida de credibilidad y legitimidad de las decisiones públicas</w:t>
      </w:r>
      <w:r w:rsidRPr="003B4AAE">
        <w:rPr>
          <w:rFonts w:ascii="Arial" w:eastAsia="Calibri" w:hAnsi="Arial" w:cs="Arial"/>
          <w:i/>
          <w:sz w:val="22"/>
          <w:szCs w:val="24"/>
          <w:lang w:val="es-CO" w:eastAsia="en-US"/>
        </w:rPr>
        <w:t>, en perjuicio de la estabilidad del ordenamiento jurídico.</w:t>
      </w:r>
    </w:p>
    <w:p w14:paraId="1CCAF37F" w14:textId="77777777" w:rsidR="003B4AAE" w:rsidRPr="003B4AAE" w:rsidRDefault="003B4AAE" w:rsidP="003B4AAE">
      <w:pPr>
        <w:overflowPunct/>
        <w:autoSpaceDE/>
        <w:autoSpaceDN/>
        <w:adjustRightInd/>
        <w:spacing w:line="240" w:lineRule="auto"/>
        <w:ind w:left="851" w:right="845"/>
        <w:textAlignment w:val="auto"/>
        <w:rPr>
          <w:rFonts w:ascii="Arial" w:eastAsia="Calibri" w:hAnsi="Arial" w:cs="Arial"/>
          <w:i/>
          <w:sz w:val="22"/>
          <w:szCs w:val="24"/>
          <w:lang w:val="es-CO" w:eastAsia="en-US"/>
        </w:rPr>
      </w:pPr>
    </w:p>
    <w:p w14:paraId="30EBFFC4" w14:textId="77777777" w:rsidR="003B4AAE" w:rsidRPr="003B4AAE" w:rsidRDefault="003B4AAE" w:rsidP="003B4AAE">
      <w:pPr>
        <w:overflowPunct/>
        <w:autoSpaceDE/>
        <w:autoSpaceDN/>
        <w:adjustRightInd/>
        <w:spacing w:line="240" w:lineRule="auto"/>
        <w:ind w:left="851" w:right="845"/>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En consecuencia, la garantía de la imparcialidad se convierte no sólo en un elemento esencial para preservar el derecho al debido proceso, sino también en una herramienta idónea para salvaguardar la confianza en el Estado de Derecho, a través de decisiones que gocen de credibilidad social y legitimidad democrática”. (Destaca la Sala)</w:t>
      </w:r>
    </w:p>
    <w:p w14:paraId="68BFD79F"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22BFCB4D"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w:t>
      </w:r>
    </w:p>
    <w:p w14:paraId="32E708F6"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644FA3DA"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lastRenderedPageBreak/>
        <w:t>Por esa razón -reitera la Sala- no es viable asumir de entrada y sin crítica que, cuando unos imputados se allanan y otros no, el juez que aprobó el primer acuerdo queda impedido para conocer de la responsabilidad penal de los demás.”</w:t>
      </w:r>
    </w:p>
    <w:p w14:paraId="5E4DBDE8"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677B53B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Acorde con lo anterior, por fuera de la propuesta argumental interesadamente presentada por el demandante, no halla la Corte que de verdad el pronunciamiento realizado por la Sala del Tribunal con ocasión de similar proceso seguido contra diferente persona, que culminó con sentencia condenatoria, implique prejuzgamiento en este asunto.</w:t>
      </w:r>
    </w:p>
    <w:p w14:paraId="01472C36"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2277C4D9"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w:t>
      </w:r>
    </w:p>
    <w:p w14:paraId="67C7794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6A84397F"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Ningún prejuzgamiento puede endilgarse al funcionario, cuando es evidente, de lo transcrito, que no se asumió el examen de la condición particular de quien apenas se menciona en los hechos.</w:t>
      </w:r>
    </w:p>
    <w:p w14:paraId="6D9EB52B"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7C99325F"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w:t>
      </w:r>
    </w:p>
    <w:p w14:paraId="1C2E5B2D"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396CA02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bCs/>
          <w:i/>
          <w:sz w:val="22"/>
          <w:szCs w:val="24"/>
          <w:lang w:val="es-CO" w:eastAsia="en-US"/>
        </w:rPr>
        <w:t>Por lo demás,</w:t>
      </w:r>
      <w:r w:rsidRPr="003B4AAE">
        <w:rPr>
          <w:rFonts w:ascii="Arial" w:eastAsia="Calibri" w:hAnsi="Arial" w:cs="Arial"/>
          <w:bCs/>
          <w:sz w:val="22"/>
          <w:szCs w:val="24"/>
          <w:lang w:val="es-CO" w:eastAsia="en-US"/>
        </w:rPr>
        <w:t xml:space="preserve"> </w:t>
      </w:r>
      <w:r w:rsidRPr="003B4AAE">
        <w:rPr>
          <w:rFonts w:ascii="Arial" w:eastAsia="Calibri" w:hAnsi="Arial" w:cs="Arial"/>
          <w:i/>
          <w:sz w:val="22"/>
          <w:szCs w:val="24"/>
          <w:lang w:val="es-CO" w:eastAsia="en-US"/>
        </w:rPr>
        <w:t xml:space="preserve">Si se tiene claro que la responsabilidad penal opera individual y ella se soporta exclusivamente en las pruebas practicadas en juicio, asoma ostensible que las condiciones judiciales del acusado necesariamente se remiten a estos factores y, por esto, si de verdad el </w:t>
      </w:r>
      <w:proofErr w:type="spellStart"/>
      <w:r w:rsidRPr="003B4AAE">
        <w:rPr>
          <w:rFonts w:ascii="Arial" w:eastAsia="Calibri" w:hAnsi="Arial" w:cs="Arial"/>
          <w:i/>
          <w:sz w:val="22"/>
          <w:szCs w:val="24"/>
          <w:lang w:val="es-CO" w:eastAsia="en-US"/>
        </w:rPr>
        <w:t>casacionista</w:t>
      </w:r>
      <w:proofErr w:type="spellEnd"/>
      <w:r w:rsidRPr="003B4AAE">
        <w:rPr>
          <w:rFonts w:ascii="Arial" w:eastAsia="Calibri" w:hAnsi="Arial" w:cs="Arial"/>
          <w:i/>
          <w:sz w:val="22"/>
          <w:szCs w:val="24"/>
          <w:lang w:val="es-CO" w:eastAsia="en-US"/>
        </w:rPr>
        <w:t xml:space="preserve"> pretende verificar ocurrida la vulneración al principio de imparcialidad pregonada, era indispensable que acudiera a lo sucedido en el trámite realizado ante el Tribunal y detallara qué de ello representa objetivamente la desviación del magistrado y cómo afectó de manera trascendente al procesado.</w:t>
      </w:r>
    </w:p>
    <w:p w14:paraId="17487A45"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p>
    <w:p w14:paraId="52875FD7" w14:textId="77777777" w:rsidR="003B4AAE" w:rsidRPr="003B4AAE" w:rsidRDefault="003B4AAE" w:rsidP="003B4AAE">
      <w:pPr>
        <w:overflowPunct/>
        <w:autoSpaceDE/>
        <w:autoSpaceDN/>
        <w:adjustRightInd/>
        <w:spacing w:line="240" w:lineRule="auto"/>
        <w:ind w:left="426" w:right="420"/>
        <w:textAlignment w:val="auto"/>
        <w:rPr>
          <w:rFonts w:ascii="Arial" w:eastAsia="Calibri" w:hAnsi="Arial" w:cs="Arial"/>
          <w:i/>
          <w:sz w:val="22"/>
          <w:szCs w:val="24"/>
          <w:lang w:val="es-CO" w:eastAsia="en-US"/>
        </w:rPr>
      </w:pPr>
      <w:r w:rsidRPr="003B4AAE">
        <w:rPr>
          <w:rFonts w:ascii="Arial" w:eastAsia="Calibri" w:hAnsi="Arial" w:cs="Arial"/>
          <w:i/>
          <w:sz w:val="22"/>
          <w:szCs w:val="24"/>
          <w:lang w:val="es-CO" w:eastAsia="en-US"/>
        </w:rPr>
        <w:t>Esto, por cuanto, cabe relevar, la ausencia de declaración de impedimento, o mejor, la no declaratoria del mismo, incluso si la causal se verifica objetiva, no conduce, per se, a la declaratoria de nulidad, ni mucho menos, como se anotó antes, determina evidente o automática la vulneración del principio de imparcialidad.”</w:t>
      </w:r>
    </w:p>
    <w:p w14:paraId="37373817" w14:textId="77777777" w:rsidR="0059411C" w:rsidRPr="003B4AAE" w:rsidRDefault="0059411C"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 </w:t>
      </w:r>
    </w:p>
    <w:p w14:paraId="5C6F8B2B" w14:textId="79D8E701" w:rsidR="001641B1" w:rsidRPr="003B4AAE" w:rsidRDefault="00E37EEA"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3.6 </w:t>
      </w:r>
      <w:r w:rsidR="0059411C" w:rsidRPr="003B4AAE">
        <w:rPr>
          <w:rFonts w:ascii="Arial" w:hAnsi="Arial" w:cs="Arial"/>
          <w:sz w:val="24"/>
          <w:szCs w:val="24"/>
        </w:rPr>
        <w:t xml:space="preserve">Si bien es cierto, en el caso objeto de estudio se hizo mención al hecho de que en los sucesos </w:t>
      </w:r>
      <w:r w:rsidR="00A63351" w:rsidRPr="003B4AAE">
        <w:rPr>
          <w:rFonts w:ascii="Arial" w:hAnsi="Arial" w:cs="Arial"/>
          <w:sz w:val="24"/>
          <w:szCs w:val="24"/>
        </w:rPr>
        <w:t xml:space="preserve">al parecer, </w:t>
      </w:r>
      <w:r w:rsidR="0059411C" w:rsidRPr="003B4AAE">
        <w:rPr>
          <w:rFonts w:ascii="Arial" w:hAnsi="Arial" w:cs="Arial"/>
          <w:sz w:val="24"/>
          <w:szCs w:val="24"/>
        </w:rPr>
        <w:t xml:space="preserve">intervinieron </w:t>
      </w:r>
      <w:r w:rsidR="00A63351" w:rsidRPr="003B4AAE">
        <w:rPr>
          <w:rFonts w:ascii="Arial" w:hAnsi="Arial" w:cs="Arial"/>
          <w:sz w:val="24"/>
          <w:szCs w:val="24"/>
        </w:rPr>
        <w:t>otros individuos,</w:t>
      </w:r>
      <w:r w:rsidR="0059411C" w:rsidRPr="003B4AAE">
        <w:rPr>
          <w:rFonts w:ascii="Arial" w:hAnsi="Arial" w:cs="Arial"/>
          <w:sz w:val="24"/>
          <w:szCs w:val="24"/>
        </w:rPr>
        <w:t xml:space="preserve"> esa situación en particular</w:t>
      </w:r>
      <w:r w:rsidR="00A63351" w:rsidRPr="003B4AAE">
        <w:rPr>
          <w:rFonts w:ascii="Arial" w:hAnsi="Arial" w:cs="Arial"/>
          <w:sz w:val="24"/>
          <w:szCs w:val="24"/>
        </w:rPr>
        <w:t xml:space="preserve"> </w:t>
      </w:r>
      <w:r w:rsidR="0059411C" w:rsidRPr="003B4AAE">
        <w:rPr>
          <w:rFonts w:ascii="Arial" w:hAnsi="Arial" w:cs="Arial"/>
          <w:sz w:val="24"/>
          <w:szCs w:val="24"/>
        </w:rPr>
        <w:t xml:space="preserve">no fue un razonamiento efectuado por la juez de conocimiento, </w:t>
      </w:r>
      <w:r w:rsidR="00A63351" w:rsidRPr="003B4AAE">
        <w:rPr>
          <w:rFonts w:ascii="Arial" w:hAnsi="Arial" w:cs="Arial"/>
          <w:sz w:val="24"/>
          <w:szCs w:val="24"/>
        </w:rPr>
        <w:t xml:space="preserve">sino </w:t>
      </w:r>
      <w:r w:rsidR="0059411C" w:rsidRPr="003B4AAE">
        <w:rPr>
          <w:rFonts w:ascii="Arial" w:hAnsi="Arial" w:cs="Arial"/>
          <w:sz w:val="24"/>
          <w:szCs w:val="24"/>
        </w:rPr>
        <w:t>que hace parte del supuesto fáctico del escrito de acusación</w:t>
      </w:r>
      <w:r w:rsidR="001641B1" w:rsidRPr="003B4AAE">
        <w:rPr>
          <w:rFonts w:ascii="Arial" w:hAnsi="Arial" w:cs="Arial"/>
          <w:sz w:val="24"/>
          <w:szCs w:val="24"/>
        </w:rPr>
        <w:t xml:space="preserve">, lo cual no constituye un </w:t>
      </w:r>
      <w:r w:rsidR="00A63351" w:rsidRPr="003B4AAE">
        <w:rPr>
          <w:rFonts w:ascii="Arial" w:hAnsi="Arial" w:cs="Arial"/>
          <w:sz w:val="24"/>
          <w:szCs w:val="24"/>
        </w:rPr>
        <w:t>análisis sustancial exhaustivo</w:t>
      </w:r>
      <w:r w:rsidR="001641B1" w:rsidRPr="003B4AAE">
        <w:rPr>
          <w:rFonts w:ascii="Arial" w:hAnsi="Arial" w:cs="Arial"/>
          <w:sz w:val="24"/>
          <w:szCs w:val="24"/>
        </w:rPr>
        <w:t xml:space="preserve"> al material probatorio recaudado por el ente investigador que permita concluir que con el </w:t>
      </w:r>
      <w:proofErr w:type="spellStart"/>
      <w:r w:rsidR="001641B1" w:rsidRPr="003B4AAE">
        <w:rPr>
          <w:rFonts w:ascii="Arial" w:hAnsi="Arial" w:cs="Arial"/>
          <w:sz w:val="24"/>
          <w:szCs w:val="24"/>
        </w:rPr>
        <w:t>proferimiento</w:t>
      </w:r>
      <w:proofErr w:type="spellEnd"/>
      <w:r w:rsidR="001641B1" w:rsidRPr="003B4AAE">
        <w:rPr>
          <w:rFonts w:ascii="Arial" w:hAnsi="Arial" w:cs="Arial"/>
          <w:sz w:val="24"/>
          <w:szCs w:val="24"/>
        </w:rPr>
        <w:t xml:space="preserve"> de la sentencia condenatoria en contra del señor </w:t>
      </w:r>
      <w:proofErr w:type="spellStart"/>
      <w:r w:rsidR="003E4B84" w:rsidRPr="003B4AAE">
        <w:rPr>
          <w:rFonts w:ascii="Arial" w:hAnsi="Arial" w:cs="Arial"/>
          <w:sz w:val="24"/>
          <w:szCs w:val="24"/>
          <w:lang w:val="es-ES_tradnl" w:eastAsia="es-ES"/>
        </w:rPr>
        <w:t>DFRV</w:t>
      </w:r>
      <w:proofErr w:type="spellEnd"/>
      <w:r w:rsidR="001641B1" w:rsidRPr="003B4AAE">
        <w:rPr>
          <w:rFonts w:ascii="Arial" w:hAnsi="Arial" w:cs="Arial"/>
          <w:sz w:val="24"/>
          <w:szCs w:val="24"/>
        </w:rPr>
        <w:t xml:space="preserve">, resultó afectada la imparcialidad que debe regir la actuación judicial, </w:t>
      </w:r>
      <w:r w:rsidRPr="003B4AAE">
        <w:rPr>
          <w:rFonts w:ascii="Arial" w:hAnsi="Arial" w:cs="Arial"/>
          <w:sz w:val="24"/>
          <w:szCs w:val="24"/>
        </w:rPr>
        <w:t>o que</w:t>
      </w:r>
      <w:r w:rsidR="001641B1" w:rsidRPr="003B4AAE">
        <w:rPr>
          <w:rFonts w:ascii="Arial" w:hAnsi="Arial" w:cs="Arial"/>
          <w:sz w:val="24"/>
          <w:szCs w:val="24"/>
        </w:rPr>
        <w:t xml:space="preserve"> se puso en riesgo </w:t>
      </w:r>
      <w:r w:rsidR="00A63351" w:rsidRPr="003B4AAE">
        <w:rPr>
          <w:rFonts w:ascii="Arial" w:hAnsi="Arial" w:cs="Arial"/>
          <w:sz w:val="24"/>
          <w:szCs w:val="24"/>
        </w:rPr>
        <w:t xml:space="preserve">la responsabilidad </w:t>
      </w:r>
      <w:r w:rsidR="001641B1" w:rsidRPr="003B4AAE">
        <w:rPr>
          <w:rFonts w:ascii="Arial" w:hAnsi="Arial" w:cs="Arial"/>
          <w:sz w:val="24"/>
          <w:szCs w:val="24"/>
        </w:rPr>
        <w:t>del</w:t>
      </w:r>
      <w:r w:rsidR="00A63351" w:rsidRPr="003B4AAE">
        <w:rPr>
          <w:rFonts w:ascii="Arial" w:hAnsi="Arial" w:cs="Arial"/>
          <w:sz w:val="24"/>
          <w:szCs w:val="24"/>
        </w:rPr>
        <w:t xml:space="preserve"> coacusado</w:t>
      </w:r>
      <w:r w:rsidR="001641B1" w:rsidRPr="003B4AAE">
        <w:rPr>
          <w:rFonts w:ascii="Arial" w:hAnsi="Arial" w:cs="Arial"/>
          <w:sz w:val="24"/>
          <w:szCs w:val="24"/>
        </w:rPr>
        <w:t xml:space="preserve"> </w:t>
      </w:r>
      <w:proofErr w:type="spellStart"/>
      <w:r w:rsidR="00BB3081">
        <w:rPr>
          <w:rFonts w:ascii="Arial" w:hAnsi="Arial" w:cs="Arial"/>
          <w:sz w:val="24"/>
          <w:szCs w:val="24"/>
        </w:rPr>
        <w:t>DMRC</w:t>
      </w:r>
      <w:proofErr w:type="spellEnd"/>
      <w:r w:rsidR="001641B1" w:rsidRPr="003B4AAE">
        <w:rPr>
          <w:rFonts w:ascii="Arial" w:hAnsi="Arial" w:cs="Arial"/>
          <w:sz w:val="24"/>
          <w:szCs w:val="24"/>
        </w:rPr>
        <w:t xml:space="preserve">. </w:t>
      </w:r>
    </w:p>
    <w:p w14:paraId="3E3ACF08" w14:textId="77777777" w:rsidR="001641B1" w:rsidRPr="003B4AAE" w:rsidRDefault="001641B1" w:rsidP="003B4AAE">
      <w:pPr>
        <w:pStyle w:val="Sinespaciado"/>
        <w:spacing w:line="276" w:lineRule="auto"/>
        <w:jc w:val="both"/>
        <w:rPr>
          <w:rFonts w:ascii="Arial" w:hAnsi="Arial" w:cs="Arial"/>
          <w:sz w:val="24"/>
          <w:szCs w:val="24"/>
        </w:rPr>
      </w:pPr>
    </w:p>
    <w:p w14:paraId="71253AA6" w14:textId="3B8359F4" w:rsidR="00A63351" w:rsidRPr="003B4AAE" w:rsidRDefault="001641B1" w:rsidP="003B4AAE">
      <w:pPr>
        <w:pStyle w:val="Sinespaciado"/>
        <w:spacing w:line="276" w:lineRule="auto"/>
        <w:jc w:val="both"/>
        <w:rPr>
          <w:rFonts w:ascii="Arial" w:hAnsi="Arial" w:cs="Arial"/>
          <w:sz w:val="24"/>
          <w:szCs w:val="24"/>
        </w:rPr>
      </w:pPr>
      <w:r w:rsidRPr="003B4AAE">
        <w:rPr>
          <w:rFonts w:ascii="Arial" w:hAnsi="Arial" w:cs="Arial"/>
          <w:sz w:val="24"/>
          <w:szCs w:val="24"/>
        </w:rPr>
        <w:t>En consecuencia</w:t>
      </w:r>
      <w:r w:rsidR="00E37EEA" w:rsidRPr="003B4AAE">
        <w:rPr>
          <w:rFonts w:ascii="Arial" w:hAnsi="Arial" w:cs="Arial"/>
          <w:sz w:val="24"/>
          <w:szCs w:val="24"/>
        </w:rPr>
        <w:t>,</w:t>
      </w:r>
      <w:r w:rsidRPr="003B4AAE">
        <w:rPr>
          <w:rFonts w:ascii="Arial" w:hAnsi="Arial" w:cs="Arial"/>
          <w:sz w:val="24"/>
          <w:szCs w:val="24"/>
        </w:rPr>
        <w:t xml:space="preserve"> no existe merito para señalar que la titular del juzgado promiscuo del circuito de Apía no </w:t>
      </w:r>
      <w:r w:rsidR="00A63351" w:rsidRPr="003B4AAE">
        <w:rPr>
          <w:rFonts w:ascii="Arial" w:hAnsi="Arial" w:cs="Arial"/>
          <w:sz w:val="24"/>
          <w:szCs w:val="24"/>
        </w:rPr>
        <w:t xml:space="preserve">será imparcial </w:t>
      </w:r>
      <w:r w:rsidRPr="003B4AAE">
        <w:rPr>
          <w:rFonts w:ascii="Arial" w:hAnsi="Arial" w:cs="Arial"/>
          <w:sz w:val="24"/>
          <w:szCs w:val="24"/>
        </w:rPr>
        <w:t>respecto al juzgamiento del último de los acusados aludidos, por lo cual</w:t>
      </w:r>
      <w:r w:rsidR="00A63351" w:rsidRPr="003B4AAE">
        <w:rPr>
          <w:rFonts w:ascii="Arial" w:hAnsi="Arial" w:cs="Arial"/>
          <w:sz w:val="24"/>
          <w:szCs w:val="24"/>
        </w:rPr>
        <w:t xml:space="preserve"> se declarará infundad</w:t>
      </w:r>
      <w:r w:rsidR="00E37EEA" w:rsidRPr="003B4AAE">
        <w:rPr>
          <w:rFonts w:ascii="Arial" w:hAnsi="Arial" w:cs="Arial"/>
          <w:sz w:val="24"/>
          <w:szCs w:val="24"/>
        </w:rPr>
        <w:t xml:space="preserve">a la causal de recusación a la cual hizo alusión el apoderado judicial del señor </w:t>
      </w:r>
      <w:proofErr w:type="spellStart"/>
      <w:r w:rsidR="00BB3081">
        <w:rPr>
          <w:rFonts w:ascii="Arial" w:hAnsi="Arial" w:cs="Arial"/>
          <w:sz w:val="24"/>
          <w:szCs w:val="24"/>
        </w:rPr>
        <w:t>DMRC</w:t>
      </w:r>
      <w:proofErr w:type="spellEnd"/>
      <w:r w:rsidR="00A63351" w:rsidRPr="003B4AAE">
        <w:rPr>
          <w:rFonts w:ascii="Arial" w:hAnsi="Arial" w:cs="Arial"/>
          <w:sz w:val="24"/>
          <w:szCs w:val="24"/>
        </w:rPr>
        <w:t>.</w:t>
      </w:r>
    </w:p>
    <w:p w14:paraId="3C47DCDA" w14:textId="77777777" w:rsidR="00A63351" w:rsidRPr="003B4AAE" w:rsidRDefault="00A63351" w:rsidP="003B4AAE">
      <w:pPr>
        <w:pStyle w:val="Sinespaciado"/>
        <w:spacing w:line="276" w:lineRule="auto"/>
        <w:jc w:val="both"/>
        <w:rPr>
          <w:rFonts w:ascii="Arial" w:hAnsi="Arial" w:cs="Arial"/>
          <w:sz w:val="24"/>
          <w:szCs w:val="24"/>
        </w:rPr>
      </w:pPr>
    </w:p>
    <w:p w14:paraId="2BF07C6D" w14:textId="77777777" w:rsidR="00D907D3" w:rsidRPr="003B4AAE" w:rsidRDefault="00D907D3" w:rsidP="003B4AAE">
      <w:pPr>
        <w:pStyle w:val="Sinespaciado"/>
        <w:numPr>
          <w:ilvl w:val="0"/>
          <w:numId w:val="3"/>
        </w:numPr>
        <w:spacing w:line="276" w:lineRule="auto"/>
        <w:jc w:val="center"/>
        <w:rPr>
          <w:rFonts w:ascii="Arial" w:hAnsi="Arial" w:cs="Arial"/>
          <w:b/>
          <w:sz w:val="24"/>
          <w:szCs w:val="24"/>
        </w:rPr>
      </w:pPr>
      <w:r w:rsidRPr="003B4AAE">
        <w:rPr>
          <w:rFonts w:ascii="Arial" w:hAnsi="Arial" w:cs="Arial"/>
          <w:b/>
          <w:sz w:val="24"/>
          <w:szCs w:val="24"/>
        </w:rPr>
        <w:t>DECISIÓN</w:t>
      </w:r>
    </w:p>
    <w:p w14:paraId="43E22449" w14:textId="77777777" w:rsidR="00D907D3" w:rsidRPr="003B4AAE" w:rsidRDefault="00D907D3" w:rsidP="003B4AAE">
      <w:pPr>
        <w:pStyle w:val="Sinespaciado"/>
        <w:spacing w:line="276" w:lineRule="auto"/>
        <w:jc w:val="both"/>
        <w:rPr>
          <w:rFonts w:ascii="Arial" w:hAnsi="Arial" w:cs="Arial"/>
          <w:sz w:val="24"/>
          <w:szCs w:val="24"/>
        </w:rPr>
      </w:pPr>
    </w:p>
    <w:p w14:paraId="5596D152" w14:textId="77777777" w:rsidR="001641B1" w:rsidRPr="003B4AAE" w:rsidRDefault="00D907D3" w:rsidP="003B4AAE">
      <w:pPr>
        <w:pStyle w:val="Sinespaciado"/>
        <w:spacing w:line="276" w:lineRule="auto"/>
        <w:jc w:val="both"/>
        <w:rPr>
          <w:rFonts w:ascii="Arial" w:hAnsi="Arial" w:cs="Arial"/>
          <w:sz w:val="24"/>
          <w:szCs w:val="24"/>
        </w:rPr>
      </w:pPr>
      <w:r w:rsidRPr="003B4AAE">
        <w:rPr>
          <w:rFonts w:ascii="Arial" w:hAnsi="Arial" w:cs="Arial"/>
          <w:sz w:val="24"/>
          <w:szCs w:val="24"/>
        </w:rPr>
        <w:t xml:space="preserve">De conformidad con </w:t>
      </w:r>
      <w:r w:rsidR="00A63351" w:rsidRPr="003B4AAE">
        <w:rPr>
          <w:rFonts w:ascii="Arial" w:hAnsi="Arial" w:cs="Arial"/>
          <w:sz w:val="24"/>
          <w:szCs w:val="24"/>
        </w:rPr>
        <w:t xml:space="preserve">lo discurrido, el Tribunal Superior del Distrito Judicial de Pereira, en Sala de Decisión Penal, </w:t>
      </w:r>
    </w:p>
    <w:p w14:paraId="2A3B1622" w14:textId="77777777" w:rsidR="00D907D3" w:rsidRPr="003B4AAE" w:rsidRDefault="00D907D3" w:rsidP="003B4AAE">
      <w:pPr>
        <w:pStyle w:val="Sinespaciado"/>
        <w:spacing w:line="276" w:lineRule="auto"/>
        <w:jc w:val="both"/>
        <w:rPr>
          <w:rFonts w:ascii="Arial" w:hAnsi="Arial" w:cs="Arial"/>
          <w:b/>
          <w:sz w:val="24"/>
          <w:szCs w:val="24"/>
        </w:rPr>
      </w:pPr>
    </w:p>
    <w:p w14:paraId="37CCF01E" w14:textId="77777777" w:rsidR="001641B1" w:rsidRPr="003B4AAE" w:rsidRDefault="001641B1" w:rsidP="003B4AAE">
      <w:pPr>
        <w:pStyle w:val="Sinespaciado"/>
        <w:spacing w:line="276" w:lineRule="auto"/>
        <w:jc w:val="center"/>
        <w:rPr>
          <w:rFonts w:ascii="Arial" w:hAnsi="Arial" w:cs="Arial"/>
          <w:b/>
          <w:sz w:val="24"/>
          <w:szCs w:val="24"/>
        </w:rPr>
      </w:pPr>
      <w:r w:rsidRPr="003B4AAE">
        <w:rPr>
          <w:rFonts w:ascii="Arial" w:hAnsi="Arial" w:cs="Arial"/>
          <w:b/>
          <w:sz w:val="24"/>
          <w:szCs w:val="24"/>
        </w:rPr>
        <w:t>RESUELVE</w:t>
      </w:r>
    </w:p>
    <w:p w14:paraId="4C24799A" w14:textId="77777777" w:rsidR="001641B1" w:rsidRPr="003B4AAE" w:rsidRDefault="001641B1" w:rsidP="003B4AAE">
      <w:pPr>
        <w:pStyle w:val="Sinespaciado"/>
        <w:spacing w:line="276" w:lineRule="auto"/>
        <w:jc w:val="both"/>
        <w:rPr>
          <w:rFonts w:ascii="Arial" w:hAnsi="Arial" w:cs="Arial"/>
          <w:sz w:val="24"/>
          <w:szCs w:val="24"/>
        </w:rPr>
      </w:pPr>
    </w:p>
    <w:p w14:paraId="2E59E675" w14:textId="242946FB" w:rsidR="001641B1" w:rsidRPr="003B4AAE" w:rsidRDefault="001641B1" w:rsidP="003B4AAE">
      <w:pPr>
        <w:pStyle w:val="Sinespaciado"/>
        <w:spacing w:line="276" w:lineRule="auto"/>
        <w:jc w:val="both"/>
        <w:rPr>
          <w:rFonts w:ascii="Arial" w:hAnsi="Arial" w:cs="Arial"/>
          <w:sz w:val="24"/>
          <w:szCs w:val="24"/>
        </w:rPr>
      </w:pPr>
      <w:r w:rsidRPr="003B4AAE">
        <w:rPr>
          <w:rFonts w:ascii="Arial" w:hAnsi="Arial" w:cs="Arial"/>
          <w:b/>
          <w:sz w:val="24"/>
          <w:szCs w:val="24"/>
        </w:rPr>
        <w:lastRenderedPageBreak/>
        <w:t>PRIMERO:</w:t>
      </w:r>
      <w:r w:rsidRPr="003B4AAE">
        <w:rPr>
          <w:rFonts w:ascii="Arial" w:hAnsi="Arial" w:cs="Arial"/>
          <w:sz w:val="24"/>
          <w:szCs w:val="24"/>
        </w:rPr>
        <w:t xml:space="preserve"> </w:t>
      </w:r>
      <w:r w:rsidR="00486E73" w:rsidRPr="003B4AAE">
        <w:rPr>
          <w:rFonts w:ascii="Arial" w:hAnsi="Arial" w:cs="Arial"/>
          <w:sz w:val="24"/>
          <w:szCs w:val="24"/>
        </w:rPr>
        <w:t xml:space="preserve">Declara infundada </w:t>
      </w:r>
      <w:r w:rsidRPr="003B4AAE">
        <w:rPr>
          <w:rFonts w:ascii="Arial" w:hAnsi="Arial" w:cs="Arial"/>
          <w:sz w:val="24"/>
          <w:szCs w:val="24"/>
        </w:rPr>
        <w:t xml:space="preserve">la recusación </w:t>
      </w:r>
      <w:r w:rsidR="00A63351" w:rsidRPr="003B4AAE">
        <w:rPr>
          <w:rFonts w:ascii="Arial" w:hAnsi="Arial" w:cs="Arial"/>
          <w:sz w:val="24"/>
          <w:szCs w:val="24"/>
        </w:rPr>
        <w:t>plantead</w:t>
      </w:r>
      <w:r w:rsidR="00486E73" w:rsidRPr="003B4AAE">
        <w:rPr>
          <w:rFonts w:ascii="Arial" w:hAnsi="Arial" w:cs="Arial"/>
          <w:sz w:val="24"/>
          <w:szCs w:val="24"/>
        </w:rPr>
        <w:t>a</w:t>
      </w:r>
      <w:r w:rsidR="00A63351" w:rsidRPr="003B4AAE">
        <w:rPr>
          <w:rFonts w:ascii="Arial" w:hAnsi="Arial" w:cs="Arial"/>
          <w:sz w:val="24"/>
          <w:szCs w:val="24"/>
        </w:rPr>
        <w:t xml:space="preserve"> </w:t>
      </w:r>
      <w:r w:rsidRPr="003B4AAE">
        <w:rPr>
          <w:rFonts w:ascii="Arial" w:hAnsi="Arial" w:cs="Arial"/>
          <w:sz w:val="24"/>
          <w:szCs w:val="24"/>
        </w:rPr>
        <w:t xml:space="preserve">respecto a la juez promiscua del circuito de Apía por parte del defensor del señor </w:t>
      </w:r>
      <w:proofErr w:type="spellStart"/>
      <w:r w:rsidR="00BB3081">
        <w:rPr>
          <w:rFonts w:ascii="Arial" w:hAnsi="Arial" w:cs="Arial"/>
          <w:sz w:val="24"/>
          <w:szCs w:val="24"/>
        </w:rPr>
        <w:t>DMRC</w:t>
      </w:r>
      <w:proofErr w:type="spellEnd"/>
      <w:r w:rsidRPr="003B4AAE">
        <w:rPr>
          <w:rFonts w:ascii="Arial" w:hAnsi="Arial" w:cs="Arial"/>
          <w:sz w:val="24"/>
          <w:szCs w:val="24"/>
        </w:rPr>
        <w:t>.</w:t>
      </w:r>
    </w:p>
    <w:p w14:paraId="49EAE45B" w14:textId="77777777" w:rsidR="001641B1" w:rsidRPr="003B4AAE" w:rsidRDefault="001641B1" w:rsidP="003B4AAE">
      <w:pPr>
        <w:pStyle w:val="Sinespaciado"/>
        <w:spacing w:line="276" w:lineRule="auto"/>
        <w:jc w:val="both"/>
        <w:rPr>
          <w:rFonts w:ascii="Arial" w:hAnsi="Arial" w:cs="Arial"/>
          <w:sz w:val="24"/>
          <w:szCs w:val="24"/>
        </w:rPr>
      </w:pPr>
    </w:p>
    <w:p w14:paraId="53474655" w14:textId="77777777" w:rsidR="00A63351" w:rsidRPr="003B4AAE" w:rsidRDefault="001641B1" w:rsidP="003B4AAE">
      <w:pPr>
        <w:pStyle w:val="Sinespaciado"/>
        <w:spacing w:line="276" w:lineRule="auto"/>
        <w:jc w:val="both"/>
        <w:rPr>
          <w:rFonts w:ascii="Arial" w:hAnsi="Arial" w:cs="Arial"/>
          <w:sz w:val="24"/>
          <w:szCs w:val="24"/>
        </w:rPr>
      </w:pPr>
      <w:r w:rsidRPr="003B4AAE">
        <w:rPr>
          <w:rFonts w:ascii="Arial" w:hAnsi="Arial" w:cs="Arial"/>
          <w:b/>
          <w:sz w:val="24"/>
          <w:szCs w:val="24"/>
        </w:rPr>
        <w:t>SEGUNDO:</w:t>
      </w:r>
      <w:r w:rsidRPr="003B4AAE">
        <w:rPr>
          <w:rFonts w:ascii="Arial" w:hAnsi="Arial" w:cs="Arial"/>
          <w:sz w:val="24"/>
          <w:szCs w:val="24"/>
        </w:rPr>
        <w:t xml:space="preserve"> D</w:t>
      </w:r>
      <w:r w:rsidR="00486E73" w:rsidRPr="003B4AAE">
        <w:rPr>
          <w:rFonts w:ascii="Arial" w:hAnsi="Arial" w:cs="Arial"/>
          <w:sz w:val="24"/>
          <w:szCs w:val="24"/>
        </w:rPr>
        <w:t xml:space="preserve">evolver </w:t>
      </w:r>
      <w:r w:rsidRPr="003B4AAE">
        <w:rPr>
          <w:rFonts w:ascii="Arial" w:hAnsi="Arial" w:cs="Arial"/>
          <w:sz w:val="24"/>
          <w:szCs w:val="24"/>
        </w:rPr>
        <w:t xml:space="preserve">las presentes diligencias al juzgado de origen </w:t>
      </w:r>
      <w:r w:rsidR="00A63351" w:rsidRPr="003B4AAE">
        <w:rPr>
          <w:rFonts w:ascii="Arial" w:hAnsi="Arial" w:cs="Arial"/>
          <w:sz w:val="24"/>
          <w:szCs w:val="24"/>
        </w:rPr>
        <w:t>para que continúe con</w:t>
      </w:r>
      <w:r w:rsidR="00486E73" w:rsidRPr="003B4AAE">
        <w:rPr>
          <w:rFonts w:ascii="Arial" w:hAnsi="Arial" w:cs="Arial"/>
          <w:sz w:val="24"/>
          <w:szCs w:val="24"/>
        </w:rPr>
        <w:t xml:space="preserve"> el cono</w:t>
      </w:r>
      <w:r w:rsidR="00A63351" w:rsidRPr="003B4AAE">
        <w:rPr>
          <w:rFonts w:ascii="Arial" w:hAnsi="Arial" w:cs="Arial"/>
          <w:sz w:val="24"/>
          <w:szCs w:val="24"/>
        </w:rPr>
        <w:t>ci</w:t>
      </w:r>
      <w:r w:rsidR="00486E73" w:rsidRPr="003B4AAE">
        <w:rPr>
          <w:rFonts w:ascii="Arial" w:hAnsi="Arial" w:cs="Arial"/>
          <w:sz w:val="24"/>
          <w:szCs w:val="24"/>
        </w:rPr>
        <w:t xml:space="preserve">miento </w:t>
      </w:r>
      <w:r w:rsidR="00A63351" w:rsidRPr="003B4AAE">
        <w:rPr>
          <w:rFonts w:ascii="Arial" w:hAnsi="Arial" w:cs="Arial"/>
          <w:sz w:val="24"/>
          <w:szCs w:val="24"/>
        </w:rPr>
        <w:t xml:space="preserve">del </w:t>
      </w:r>
      <w:r w:rsidR="00486E73" w:rsidRPr="003B4AAE">
        <w:rPr>
          <w:rFonts w:ascii="Arial" w:hAnsi="Arial" w:cs="Arial"/>
          <w:sz w:val="24"/>
          <w:szCs w:val="24"/>
        </w:rPr>
        <w:t>caso en su etapa de juzgamiento</w:t>
      </w:r>
      <w:r w:rsidR="00A63351" w:rsidRPr="003B4AAE">
        <w:rPr>
          <w:rFonts w:ascii="Arial" w:hAnsi="Arial" w:cs="Arial"/>
          <w:sz w:val="24"/>
          <w:szCs w:val="24"/>
        </w:rPr>
        <w:t>.</w:t>
      </w:r>
    </w:p>
    <w:p w14:paraId="70620B75" w14:textId="77777777" w:rsidR="00E37EEA" w:rsidRPr="003B4AAE" w:rsidRDefault="00E37EEA" w:rsidP="003B4AAE">
      <w:pPr>
        <w:pStyle w:val="Sinespaciado"/>
        <w:spacing w:line="276" w:lineRule="auto"/>
        <w:jc w:val="both"/>
        <w:rPr>
          <w:rFonts w:ascii="Arial" w:hAnsi="Arial" w:cs="Arial"/>
          <w:sz w:val="24"/>
          <w:szCs w:val="24"/>
        </w:rPr>
      </w:pPr>
    </w:p>
    <w:p w14:paraId="7C5E8CDF" w14:textId="77777777" w:rsidR="00E37EEA" w:rsidRDefault="00E37EEA" w:rsidP="003B4AAE">
      <w:pPr>
        <w:pStyle w:val="Sinespaciado"/>
        <w:spacing w:line="276" w:lineRule="auto"/>
        <w:jc w:val="both"/>
        <w:rPr>
          <w:rFonts w:ascii="Arial" w:hAnsi="Arial" w:cs="Arial"/>
          <w:sz w:val="24"/>
          <w:szCs w:val="24"/>
        </w:rPr>
      </w:pPr>
      <w:r w:rsidRPr="003B4AAE">
        <w:rPr>
          <w:rFonts w:ascii="Arial" w:hAnsi="Arial" w:cs="Arial"/>
          <w:b/>
          <w:sz w:val="24"/>
          <w:szCs w:val="24"/>
        </w:rPr>
        <w:t>TERCERO:</w:t>
      </w:r>
      <w:r w:rsidRPr="003B4AAE">
        <w:rPr>
          <w:rFonts w:ascii="Arial" w:hAnsi="Arial" w:cs="Arial"/>
          <w:sz w:val="24"/>
          <w:szCs w:val="24"/>
        </w:rPr>
        <w:t xml:space="preserve"> Contra la presente decisión no procede recurso alguno, según lo contemplado en el artículo 65 de la ley 906 de 2004.</w:t>
      </w:r>
    </w:p>
    <w:p w14:paraId="55014687" w14:textId="77777777" w:rsidR="003B4AAE" w:rsidRPr="003B4AAE" w:rsidRDefault="003B4AAE" w:rsidP="003B4AAE">
      <w:pPr>
        <w:pStyle w:val="Sinespaciado"/>
        <w:spacing w:line="276" w:lineRule="auto"/>
        <w:jc w:val="both"/>
        <w:rPr>
          <w:rFonts w:ascii="Arial" w:hAnsi="Arial" w:cs="Arial"/>
          <w:sz w:val="24"/>
          <w:szCs w:val="24"/>
        </w:rPr>
      </w:pPr>
    </w:p>
    <w:p w14:paraId="48434585" w14:textId="77777777" w:rsidR="001641B1" w:rsidRPr="003B4AAE" w:rsidRDefault="00E37EEA" w:rsidP="003B4AAE">
      <w:pPr>
        <w:pStyle w:val="Sinespaciado"/>
        <w:spacing w:line="276" w:lineRule="auto"/>
        <w:jc w:val="both"/>
        <w:rPr>
          <w:rFonts w:ascii="Arial" w:hAnsi="Arial" w:cs="Arial"/>
          <w:sz w:val="24"/>
          <w:szCs w:val="24"/>
        </w:rPr>
      </w:pPr>
      <w:r w:rsidRPr="003B4AAE">
        <w:rPr>
          <w:rFonts w:ascii="Arial" w:hAnsi="Arial" w:cs="Arial"/>
          <w:b/>
          <w:sz w:val="24"/>
          <w:szCs w:val="24"/>
        </w:rPr>
        <w:t>CUARTO</w:t>
      </w:r>
      <w:r w:rsidR="001641B1" w:rsidRPr="003B4AAE">
        <w:rPr>
          <w:rFonts w:ascii="Arial" w:hAnsi="Arial" w:cs="Arial"/>
          <w:b/>
          <w:sz w:val="24"/>
          <w:szCs w:val="24"/>
        </w:rPr>
        <w:t>:</w:t>
      </w:r>
      <w:r w:rsidR="001641B1" w:rsidRPr="003B4AAE">
        <w:rPr>
          <w:rFonts w:ascii="Arial" w:hAnsi="Arial" w:cs="Arial"/>
          <w:sz w:val="24"/>
          <w:szCs w:val="24"/>
        </w:rPr>
        <w:t xml:space="preserve"> 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48B73CAF"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389FEB7A"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6A19825B"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lang w:val="es-CO" w:eastAsia="en-US"/>
        </w:rPr>
      </w:pPr>
      <w:r w:rsidRPr="003B4AAE">
        <w:rPr>
          <w:rFonts w:ascii="Arial" w:eastAsia="Calibri" w:hAnsi="Arial" w:cs="Arial"/>
          <w:b/>
          <w:sz w:val="24"/>
          <w:szCs w:val="24"/>
          <w:lang w:val="es-CO" w:eastAsia="en-US"/>
        </w:rPr>
        <w:t>NOTIFÍQUESE Y CÚMPLASE</w:t>
      </w:r>
    </w:p>
    <w:p w14:paraId="6FAAD17F"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0733D952"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6B24CCB8"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7DCE95F1"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lang w:val="es-CO" w:eastAsia="en-US"/>
        </w:rPr>
      </w:pPr>
      <w:r w:rsidRPr="003B4AAE">
        <w:rPr>
          <w:rFonts w:ascii="Arial" w:eastAsia="Calibri" w:hAnsi="Arial" w:cs="Arial"/>
          <w:b/>
          <w:sz w:val="24"/>
          <w:szCs w:val="24"/>
          <w:lang w:val="es-CO" w:eastAsia="en-US"/>
        </w:rPr>
        <w:t>LUZ STELLA RAMÍREZ GUTIÉRREZ</w:t>
      </w:r>
    </w:p>
    <w:p w14:paraId="795B3C5A" w14:textId="77777777" w:rsidR="003B4AAE" w:rsidRPr="003B4AAE" w:rsidRDefault="003B4AAE" w:rsidP="003B4AAE">
      <w:pPr>
        <w:overflowPunct/>
        <w:autoSpaceDE/>
        <w:autoSpaceDN/>
        <w:adjustRightInd/>
        <w:jc w:val="center"/>
        <w:textAlignment w:val="auto"/>
        <w:rPr>
          <w:rFonts w:ascii="Arial" w:eastAsia="Calibri" w:hAnsi="Arial" w:cs="Arial"/>
          <w:sz w:val="24"/>
          <w:szCs w:val="24"/>
          <w:lang w:val="es-CO" w:eastAsia="en-US"/>
        </w:rPr>
      </w:pPr>
      <w:r w:rsidRPr="003B4AAE">
        <w:rPr>
          <w:rFonts w:ascii="Arial" w:eastAsia="Calibri" w:hAnsi="Arial" w:cs="Arial"/>
          <w:sz w:val="24"/>
          <w:szCs w:val="24"/>
          <w:lang w:val="es-CO" w:eastAsia="en-US"/>
        </w:rPr>
        <w:t>Magistrada</w:t>
      </w:r>
    </w:p>
    <w:p w14:paraId="3C274800"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4A01F2DA"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47CE80A4"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5829FF8C"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lang w:val="es-CO" w:eastAsia="en-US"/>
        </w:rPr>
      </w:pPr>
      <w:r w:rsidRPr="003B4AAE">
        <w:rPr>
          <w:rFonts w:ascii="Arial" w:eastAsia="Calibri" w:hAnsi="Arial" w:cs="Arial"/>
          <w:b/>
          <w:sz w:val="24"/>
          <w:szCs w:val="24"/>
          <w:lang w:val="es-CO" w:eastAsia="en-US"/>
        </w:rPr>
        <w:t xml:space="preserve">MANUEL </w:t>
      </w:r>
      <w:proofErr w:type="spellStart"/>
      <w:r w:rsidRPr="003B4AAE">
        <w:rPr>
          <w:rFonts w:ascii="Arial" w:eastAsia="Calibri" w:hAnsi="Arial" w:cs="Arial"/>
          <w:b/>
          <w:sz w:val="24"/>
          <w:szCs w:val="24"/>
          <w:lang w:val="es-CO" w:eastAsia="en-US"/>
        </w:rPr>
        <w:t>YARZAGARAY</w:t>
      </w:r>
      <w:proofErr w:type="spellEnd"/>
      <w:r w:rsidRPr="003B4AAE">
        <w:rPr>
          <w:rFonts w:ascii="Arial" w:eastAsia="Calibri" w:hAnsi="Arial" w:cs="Arial"/>
          <w:b/>
          <w:sz w:val="24"/>
          <w:szCs w:val="24"/>
          <w:lang w:val="es-CO" w:eastAsia="en-US"/>
        </w:rPr>
        <w:t xml:space="preserve"> BANDERA</w:t>
      </w:r>
    </w:p>
    <w:p w14:paraId="5E3D943F" w14:textId="77777777" w:rsidR="003B4AAE" w:rsidRPr="003B4AAE" w:rsidRDefault="003B4AAE" w:rsidP="003B4AAE">
      <w:pPr>
        <w:overflowPunct/>
        <w:autoSpaceDE/>
        <w:autoSpaceDN/>
        <w:adjustRightInd/>
        <w:jc w:val="center"/>
        <w:textAlignment w:val="auto"/>
        <w:rPr>
          <w:rFonts w:ascii="Arial" w:eastAsia="Calibri" w:hAnsi="Arial" w:cs="Arial"/>
          <w:sz w:val="24"/>
          <w:szCs w:val="24"/>
          <w:lang w:val="es-CO" w:eastAsia="en-US"/>
        </w:rPr>
      </w:pPr>
      <w:r w:rsidRPr="003B4AAE">
        <w:rPr>
          <w:rFonts w:ascii="Arial" w:eastAsia="Calibri" w:hAnsi="Arial" w:cs="Arial"/>
          <w:sz w:val="24"/>
          <w:szCs w:val="24"/>
          <w:lang w:val="es-CO" w:eastAsia="en-US"/>
        </w:rPr>
        <w:t>Magistrado</w:t>
      </w:r>
    </w:p>
    <w:p w14:paraId="7B6D0E6C"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21CF47C3"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2800C780" w14:textId="77777777" w:rsidR="003B4AAE" w:rsidRPr="003B4AAE" w:rsidRDefault="003B4AAE" w:rsidP="003B4AAE">
      <w:pPr>
        <w:overflowPunct/>
        <w:autoSpaceDE/>
        <w:autoSpaceDN/>
        <w:adjustRightInd/>
        <w:jc w:val="left"/>
        <w:textAlignment w:val="auto"/>
        <w:rPr>
          <w:rFonts w:ascii="Arial" w:eastAsia="Calibri" w:hAnsi="Arial" w:cs="Arial"/>
          <w:sz w:val="24"/>
          <w:szCs w:val="24"/>
          <w:lang w:val="es-CO" w:eastAsia="en-US"/>
        </w:rPr>
      </w:pPr>
    </w:p>
    <w:p w14:paraId="40F2542A" w14:textId="77777777" w:rsidR="003B4AAE" w:rsidRPr="003B4AAE" w:rsidRDefault="003B4AAE" w:rsidP="003B4AAE">
      <w:pPr>
        <w:overflowPunct/>
        <w:autoSpaceDE/>
        <w:autoSpaceDN/>
        <w:adjustRightInd/>
        <w:jc w:val="center"/>
        <w:textAlignment w:val="auto"/>
        <w:rPr>
          <w:rFonts w:ascii="Arial" w:eastAsia="Calibri" w:hAnsi="Arial" w:cs="Arial"/>
          <w:b/>
          <w:sz w:val="24"/>
          <w:szCs w:val="24"/>
          <w:lang w:val="es-CO" w:eastAsia="en-US"/>
        </w:rPr>
      </w:pPr>
      <w:r w:rsidRPr="003B4AAE">
        <w:rPr>
          <w:rFonts w:ascii="Arial" w:eastAsia="Calibri" w:hAnsi="Arial" w:cs="Arial"/>
          <w:b/>
          <w:sz w:val="24"/>
          <w:szCs w:val="24"/>
          <w:lang w:val="es-CO" w:eastAsia="en-US"/>
        </w:rPr>
        <w:t>JORGE ARTURO CASTAÑO DUQUE</w:t>
      </w:r>
    </w:p>
    <w:p w14:paraId="260B79D0" w14:textId="598EC3FA" w:rsidR="00AE25DF" w:rsidRPr="003B4AAE" w:rsidRDefault="003B4AAE" w:rsidP="003B4AAE">
      <w:pPr>
        <w:overflowPunct/>
        <w:autoSpaceDE/>
        <w:autoSpaceDN/>
        <w:adjustRightInd/>
        <w:jc w:val="center"/>
        <w:textAlignment w:val="auto"/>
        <w:rPr>
          <w:rFonts w:ascii="Arial" w:eastAsia="Calibri" w:hAnsi="Arial" w:cs="Arial"/>
          <w:sz w:val="24"/>
          <w:szCs w:val="24"/>
          <w:lang w:val="es-CO" w:eastAsia="en-US"/>
        </w:rPr>
      </w:pPr>
      <w:r w:rsidRPr="003B4AAE">
        <w:rPr>
          <w:rFonts w:ascii="Arial" w:eastAsia="Calibri" w:hAnsi="Arial" w:cs="Arial"/>
          <w:sz w:val="24"/>
          <w:szCs w:val="24"/>
          <w:lang w:val="es-CO" w:eastAsia="en-US"/>
        </w:rPr>
        <w:t>Magistrado</w:t>
      </w:r>
    </w:p>
    <w:sectPr w:rsidR="00AE25DF" w:rsidRPr="003B4AAE" w:rsidSect="003E4B84">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D60A" w14:textId="77777777" w:rsidR="009C1032" w:rsidRDefault="009C1032" w:rsidP="00AE25DF">
      <w:pPr>
        <w:spacing w:line="240" w:lineRule="auto"/>
      </w:pPr>
      <w:r>
        <w:separator/>
      </w:r>
    </w:p>
  </w:endnote>
  <w:endnote w:type="continuationSeparator" w:id="0">
    <w:p w14:paraId="14C638D9" w14:textId="77777777" w:rsidR="009C1032" w:rsidRDefault="009C1032" w:rsidP="00AE2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rPr>
      <w:id w:val="-683678950"/>
      <w:docPartObj>
        <w:docPartGallery w:val="Page Numbers (Bottom of Page)"/>
        <w:docPartUnique/>
      </w:docPartObj>
    </w:sdtPr>
    <w:sdtEndPr/>
    <w:sdtContent>
      <w:sdt>
        <w:sdtPr>
          <w:rPr>
            <w:rFonts w:ascii="Arial" w:hAnsi="Arial" w:cs="Arial"/>
            <w:sz w:val="28"/>
          </w:rPr>
          <w:id w:val="-1705238520"/>
          <w:docPartObj>
            <w:docPartGallery w:val="Page Numbers (Top of Page)"/>
            <w:docPartUnique/>
          </w:docPartObj>
        </w:sdtPr>
        <w:sdtEndPr/>
        <w:sdtContent>
          <w:p w14:paraId="3D36009E" w14:textId="77777777" w:rsidR="00AE25DF" w:rsidRPr="003B4AAE" w:rsidRDefault="00AE25DF">
            <w:pPr>
              <w:pStyle w:val="Piedepgina"/>
              <w:rPr>
                <w:rFonts w:ascii="Arial" w:hAnsi="Arial" w:cs="Arial"/>
                <w:sz w:val="28"/>
              </w:rPr>
            </w:pPr>
            <w:r w:rsidRPr="003B4AAE">
              <w:rPr>
                <w:rFonts w:ascii="Arial" w:hAnsi="Arial" w:cs="Arial"/>
                <w:sz w:val="18"/>
                <w:szCs w:val="16"/>
              </w:rPr>
              <w:t xml:space="preserve">Página </w:t>
            </w:r>
            <w:r w:rsidRPr="003B4AAE">
              <w:rPr>
                <w:rFonts w:ascii="Arial" w:hAnsi="Arial" w:cs="Arial"/>
                <w:b/>
                <w:bCs/>
                <w:sz w:val="18"/>
                <w:szCs w:val="16"/>
              </w:rPr>
              <w:fldChar w:fldCharType="begin"/>
            </w:r>
            <w:r w:rsidRPr="003B4AAE">
              <w:rPr>
                <w:rFonts w:ascii="Arial" w:hAnsi="Arial" w:cs="Arial"/>
                <w:b/>
                <w:bCs/>
                <w:sz w:val="18"/>
                <w:szCs w:val="16"/>
              </w:rPr>
              <w:instrText>PAGE</w:instrText>
            </w:r>
            <w:r w:rsidRPr="003B4AAE">
              <w:rPr>
                <w:rFonts w:ascii="Arial" w:hAnsi="Arial" w:cs="Arial"/>
                <w:b/>
                <w:bCs/>
                <w:sz w:val="18"/>
                <w:szCs w:val="16"/>
              </w:rPr>
              <w:fldChar w:fldCharType="separate"/>
            </w:r>
            <w:r w:rsidR="003E4B84">
              <w:rPr>
                <w:rFonts w:ascii="Arial" w:hAnsi="Arial" w:cs="Arial"/>
                <w:b/>
                <w:bCs/>
                <w:noProof/>
                <w:sz w:val="18"/>
                <w:szCs w:val="16"/>
              </w:rPr>
              <w:t>7</w:t>
            </w:r>
            <w:r w:rsidRPr="003B4AAE">
              <w:rPr>
                <w:rFonts w:ascii="Arial" w:hAnsi="Arial" w:cs="Arial"/>
                <w:b/>
                <w:bCs/>
                <w:sz w:val="18"/>
                <w:szCs w:val="16"/>
              </w:rPr>
              <w:fldChar w:fldCharType="end"/>
            </w:r>
            <w:r w:rsidRPr="003B4AAE">
              <w:rPr>
                <w:rFonts w:ascii="Arial" w:hAnsi="Arial" w:cs="Arial"/>
                <w:sz w:val="18"/>
                <w:szCs w:val="16"/>
              </w:rPr>
              <w:t xml:space="preserve"> de </w:t>
            </w:r>
            <w:r w:rsidRPr="003B4AAE">
              <w:rPr>
                <w:rFonts w:ascii="Arial" w:hAnsi="Arial" w:cs="Arial"/>
                <w:b/>
                <w:bCs/>
                <w:sz w:val="18"/>
                <w:szCs w:val="16"/>
              </w:rPr>
              <w:fldChar w:fldCharType="begin"/>
            </w:r>
            <w:r w:rsidRPr="003B4AAE">
              <w:rPr>
                <w:rFonts w:ascii="Arial" w:hAnsi="Arial" w:cs="Arial"/>
                <w:b/>
                <w:bCs/>
                <w:sz w:val="18"/>
                <w:szCs w:val="16"/>
              </w:rPr>
              <w:instrText>NUMPAGES</w:instrText>
            </w:r>
            <w:r w:rsidRPr="003B4AAE">
              <w:rPr>
                <w:rFonts w:ascii="Arial" w:hAnsi="Arial" w:cs="Arial"/>
                <w:b/>
                <w:bCs/>
                <w:sz w:val="18"/>
                <w:szCs w:val="16"/>
              </w:rPr>
              <w:fldChar w:fldCharType="separate"/>
            </w:r>
            <w:r w:rsidR="003E4B84">
              <w:rPr>
                <w:rFonts w:ascii="Arial" w:hAnsi="Arial" w:cs="Arial"/>
                <w:b/>
                <w:bCs/>
                <w:noProof/>
                <w:sz w:val="18"/>
                <w:szCs w:val="16"/>
              </w:rPr>
              <w:t>7</w:t>
            </w:r>
            <w:r w:rsidRPr="003B4AAE">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FD94" w14:textId="77777777" w:rsidR="009C1032" w:rsidRDefault="009C1032" w:rsidP="00AE25DF">
      <w:pPr>
        <w:spacing w:line="240" w:lineRule="auto"/>
      </w:pPr>
      <w:r>
        <w:separator/>
      </w:r>
    </w:p>
  </w:footnote>
  <w:footnote w:type="continuationSeparator" w:id="0">
    <w:p w14:paraId="7C015B04" w14:textId="77777777" w:rsidR="009C1032" w:rsidRDefault="009C1032" w:rsidP="00AE25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2598" w14:textId="77777777" w:rsidR="00AE25DF" w:rsidRPr="003B4AAE" w:rsidRDefault="00AE25DF" w:rsidP="003B4AAE">
    <w:pPr>
      <w:pStyle w:val="Encabezado"/>
      <w:jc w:val="right"/>
      <w:rPr>
        <w:rFonts w:ascii="Arial" w:hAnsi="Arial" w:cs="Arial"/>
        <w:sz w:val="18"/>
        <w:szCs w:val="16"/>
        <w:lang w:val="es-CO"/>
      </w:rPr>
    </w:pPr>
    <w:r w:rsidRPr="003B4AAE">
      <w:rPr>
        <w:rFonts w:ascii="Arial" w:hAnsi="Arial" w:cs="Arial"/>
        <w:sz w:val="18"/>
        <w:szCs w:val="16"/>
        <w:lang w:val="es-ES_tradnl"/>
      </w:rPr>
      <w:t>Radicado:</w:t>
    </w:r>
    <w:r w:rsidR="001E502D" w:rsidRPr="003B4AAE">
      <w:rPr>
        <w:rFonts w:ascii="Arial" w:hAnsi="Arial" w:cs="Arial"/>
        <w:sz w:val="18"/>
        <w:szCs w:val="16"/>
        <w:lang w:val="es-ES_tradnl"/>
      </w:rPr>
      <w:t xml:space="preserve"> 66 045 60 00 </w:t>
    </w:r>
    <w:r w:rsidR="006C56C0" w:rsidRPr="003B4AAE">
      <w:rPr>
        <w:rFonts w:ascii="Arial" w:hAnsi="Arial" w:cs="Arial"/>
        <w:sz w:val="18"/>
        <w:szCs w:val="16"/>
        <w:lang w:val="es-ES_tradnl"/>
      </w:rPr>
      <w:t>061 2018 00161</w:t>
    </w:r>
    <w:r w:rsidRPr="003B4AAE">
      <w:rPr>
        <w:rFonts w:ascii="Arial" w:hAnsi="Arial" w:cs="Arial"/>
        <w:sz w:val="18"/>
        <w:szCs w:val="16"/>
        <w:lang w:val="es-ES_tradnl"/>
      </w:rPr>
      <w:t xml:space="preserve"> </w:t>
    </w:r>
  </w:p>
  <w:p w14:paraId="6CDFFC2D" w14:textId="37F95846" w:rsidR="00AE25DF" w:rsidRPr="003B4AAE" w:rsidRDefault="00AE25DF" w:rsidP="003B4AAE">
    <w:pPr>
      <w:pStyle w:val="Encabezado"/>
      <w:jc w:val="right"/>
      <w:rPr>
        <w:rFonts w:ascii="Arial" w:hAnsi="Arial" w:cs="Arial"/>
        <w:sz w:val="18"/>
        <w:szCs w:val="16"/>
        <w:lang w:val="es-ES_tradnl"/>
      </w:rPr>
    </w:pPr>
    <w:r w:rsidRPr="003B4AAE">
      <w:rPr>
        <w:rFonts w:ascii="Arial" w:hAnsi="Arial" w:cs="Arial"/>
        <w:sz w:val="18"/>
        <w:szCs w:val="16"/>
        <w:lang w:val="es-ES_tradnl"/>
      </w:rPr>
      <w:t xml:space="preserve">Acusado: </w:t>
    </w:r>
    <w:proofErr w:type="spellStart"/>
    <w:r w:rsidRPr="003B4AAE">
      <w:rPr>
        <w:rFonts w:ascii="Arial" w:hAnsi="Arial" w:cs="Arial"/>
        <w:sz w:val="18"/>
        <w:szCs w:val="16"/>
        <w:lang w:val="es-ES_tradnl"/>
      </w:rPr>
      <w:t>DMRC</w:t>
    </w:r>
    <w:proofErr w:type="spellEnd"/>
  </w:p>
  <w:p w14:paraId="67DA40E2" w14:textId="77777777" w:rsidR="00AE25DF" w:rsidRPr="003B4AAE" w:rsidRDefault="00AE25DF" w:rsidP="003B4AAE">
    <w:pPr>
      <w:pStyle w:val="Encabezado"/>
      <w:jc w:val="right"/>
      <w:rPr>
        <w:rFonts w:ascii="Arial" w:hAnsi="Arial" w:cs="Arial"/>
        <w:sz w:val="18"/>
        <w:szCs w:val="16"/>
        <w:lang w:val="es-ES_tradnl"/>
      </w:rPr>
    </w:pPr>
    <w:r w:rsidRPr="003B4AAE">
      <w:rPr>
        <w:rFonts w:ascii="Arial" w:hAnsi="Arial" w:cs="Arial"/>
        <w:sz w:val="18"/>
        <w:szCs w:val="16"/>
        <w:lang w:val="es-ES_tradnl"/>
      </w:rPr>
      <w:t>Delitos: Homicidio y otros</w:t>
    </w:r>
  </w:p>
  <w:p w14:paraId="5800926D" w14:textId="3AF9E83D" w:rsidR="00AE25DF" w:rsidRPr="003B4AAE" w:rsidRDefault="00AE25DF" w:rsidP="003B4AAE">
    <w:pPr>
      <w:pStyle w:val="Encabezado"/>
      <w:jc w:val="right"/>
      <w:rPr>
        <w:rFonts w:ascii="Arial" w:hAnsi="Arial" w:cs="Arial"/>
        <w:sz w:val="18"/>
        <w:szCs w:val="16"/>
        <w:lang w:val="es-ES_tradnl"/>
      </w:rPr>
    </w:pPr>
    <w:r w:rsidRPr="003B4AAE">
      <w:rPr>
        <w:rFonts w:ascii="Arial" w:hAnsi="Arial" w:cs="Arial"/>
        <w:sz w:val="18"/>
        <w:szCs w:val="16"/>
        <w:lang w:val="es-ES_tradnl"/>
      </w:rPr>
      <w:t>Asunto: Declara infundada recusación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F9A"/>
    <w:multiLevelType w:val="hybridMultilevel"/>
    <w:tmpl w:val="4F3618C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7512B8"/>
    <w:multiLevelType w:val="hybridMultilevel"/>
    <w:tmpl w:val="A126C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A502ACD"/>
    <w:multiLevelType w:val="hybridMultilevel"/>
    <w:tmpl w:val="26E0E632"/>
    <w:lvl w:ilvl="0" w:tplc="6FEC2F2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7F"/>
    <w:rsid w:val="00004E78"/>
    <w:rsid w:val="0003309D"/>
    <w:rsid w:val="00037137"/>
    <w:rsid w:val="00043A92"/>
    <w:rsid w:val="000452AB"/>
    <w:rsid w:val="000E3CF7"/>
    <w:rsid w:val="00123572"/>
    <w:rsid w:val="00127C00"/>
    <w:rsid w:val="001641B1"/>
    <w:rsid w:val="00173A5E"/>
    <w:rsid w:val="001E502D"/>
    <w:rsid w:val="002345F2"/>
    <w:rsid w:val="00236C4C"/>
    <w:rsid w:val="002527E0"/>
    <w:rsid w:val="00257A5F"/>
    <w:rsid w:val="00266DEB"/>
    <w:rsid w:val="002D14E8"/>
    <w:rsid w:val="00346C65"/>
    <w:rsid w:val="003B0CAE"/>
    <w:rsid w:val="003B4AAE"/>
    <w:rsid w:val="003E4B84"/>
    <w:rsid w:val="0040441C"/>
    <w:rsid w:val="00452DC9"/>
    <w:rsid w:val="00486E73"/>
    <w:rsid w:val="004A3C19"/>
    <w:rsid w:val="004C6BDA"/>
    <w:rsid w:val="0052224F"/>
    <w:rsid w:val="0059411C"/>
    <w:rsid w:val="00644BE1"/>
    <w:rsid w:val="00645749"/>
    <w:rsid w:val="0066756C"/>
    <w:rsid w:val="00692D03"/>
    <w:rsid w:val="00693A24"/>
    <w:rsid w:val="006C1618"/>
    <w:rsid w:val="006C56C0"/>
    <w:rsid w:val="006D2EA4"/>
    <w:rsid w:val="006F3DF2"/>
    <w:rsid w:val="007B456F"/>
    <w:rsid w:val="007D7AB0"/>
    <w:rsid w:val="0081727F"/>
    <w:rsid w:val="008877AD"/>
    <w:rsid w:val="008B775C"/>
    <w:rsid w:val="0091175C"/>
    <w:rsid w:val="00925BA9"/>
    <w:rsid w:val="00956567"/>
    <w:rsid w:val="009579CC"/>
    <w:rsid w:val="009B5295"/>
    <w:rsid w:val="009C1032"/>
    <w:rsid w:val="009D7A3E"/>
    <w:rsid w:val="009F12E5"/>
    <w:rsid w:val="00A352F0"/>
    <w:rsid w:val="00A63351"/>
    <w:rsid w:val="00A714C1"/>
    <w:rsid w:val="00AA159D"/>
    <w:rsid w:val="00AE25DF"/>
    <w:rsid w:val="00AE6037"/>
    <w:rsid w:val="00B2457F"/>
    <w:rsid w:val="00B24988"/>
    <w:rsid w:val="00B36E02"/>
    <w:rsid w:val="00B95538"/>
    <w:rsid w:val="00BB3081"/>
    <w:rsid w:val="00BC2EEF"/>
    <w:rsid w:val="00BD672C"/>
    <w:rsid w:val="00C9077E"/>
    <w:rsid w:val="00CC740F"/>
    <w:rsid w:val="00D65FFB"/>
    <w:rsid w:val="00D777E5"/>
    <w:rsid w:val="00D82153"/>
    <w:rsid w:val="00D907D3"/>
    <w:rsid w:val="00DC43E7"/>
    <w:rsid w:val="00DD279C"/>
    <w:rsid w:val="00E030FF"/>
    <w:rsid w:val="00E37EEA"/>
    <w:rsid w:val="00EB0D58"/>
    <w:rsid w:val="00EC0D5A"/>
    <w:rsid w:val="00F2015B"/>
    <w:rsid w:val="00F373DA"/>
    <w:rsid w:val="00F7346C"/>
    <w:rsid w:val="00F93AAE"/>
    <w:rsid w:val="00FA34F8"/>
    <w:rsid w:val="00FB4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7C00"/>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2D03"/>
    <w:pPr>
      <w:spacing w:after="0" w:line="240" w:lineRule="auto"/>
    </w:pPr>
  </w:style>
  <w:style w:type="paragraph" w:styleId="Encabezado">
    <w:name w:val="header"/>
    <w:basedOn w:val="Normal"/>
    <w:link w:val="EncabezadoCar"/>
    <w:uiPriority w:val="99"/>
    <w:unhideWhenUsed/>
    <w:rsid w:val="00AE25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5DF"/>
  </w:style>
  <w:style w:type="paragraph" w:styleId="Piedepgina">
    <w:name w:val="footer"/>
    <w:basedOn w:val="Normal"/>
    <w:link w:val="PiedepginaCar"/>
    <w:uiPriority w:val="99"/>
    <w:unhideWhenUsed/>
    <w:rsid w:val="00AE25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5DF"/>
  </w:style>
  <w:style w:type="paragraph" w:customStyle="1" w:styleId="AlgerianTtulo">
    <w:name w:val="Algerian Título"/>
    <w:next w:val="Normal"/>
    <w:link w:val="AlgerianTtuloCar"/>
    <w:rsid w:val="00127C00"/>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qFormat/>
    <w:rsid w:val="00127C00"/>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127C00"/>
    <w:rPr>
      <w:rFonts w:ascii="Tahoma" w:eastAsia="Times New Roman" w:hAnsi="Tahoma" w:cs="Tahoma"/>
      <w:sz w:val="20"/>
      <w:szCs w:val="26"/>
      <w:lang w:val="es-ES" w:eastAsia="es-ES"/>
    </w:rPr>
  </w:style>
  <w:style w:type="character" w:customStyle="1" w:styleId="AlgerianTtuloCar">
    <w:name w:val="Algerian Título Car"/>
    <w:link w:val="AlgerianTtulo"/>
    <w:rsid w:val="00127C00"/>
    <w:rPr>
      <w:rFonts w:ascii="Algerian" w:eastAsia="Tahoma" w:hAnsi="Algerian" w:cs="Tahoma"/>
      <w:sz w:val="30"/>
      <w:szCs w:val="26"/>
      <w:lang w:val="es-ES" w:eastAsia="es-ES"/>
    </w:rPr>
  </w:style>
  <w:style w:type="character" w:styleId="Refdenotaalpie">
    <w:name w:val="footnote reference"/>
    <w:basedOn w:val="Fuentedeprrafopredeter"/>
    <w:semiHidden/>
    <w:rsid w:val="00127C00"/>
    <w:rPr>
      <w:vertAlign w:val="superscript"/>
    </w:rPr>
  </w:style>
  <w:style w:type="paragraph" w:customStyle="1" w:styleId="Default">
    <w:name w:val="Default"/>
    <w:rsid w:val="00A63351"/>
    <w:pPr>
      <w:autoSpaceDE w:val="0"/>
      <w:autoSpaceDN w:val="0"/>
      <w:adjustRightInd w:val="0"/>
      <w:spacing w:after="0" w:line="240" w:lineRule="auto"/>
    </w:pPr>
    <w:rPr>
      <w:rFonts w:ascii="Footlight MT Light" w:eastAsia="Times New Roman" w:hAnsi="Footlight MT Light" w:cs="Footlight MT Light"/>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7C00"/>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2D03"/>
    <w:pPr>
      <w:spacing w:after="0" w:line="240" w:lineRule="auto"/>
    </w:pPr>
  </w:style>
  <w:style w:type="paragraph" w:styleId="Encabezado">
    <w:name w:val="header"/>
    <w:basedOn w:val="Normal"/>
    <w:link w:val="EncabezadoCar"/>
    <w:uiPriority w:val="99"/>
    <w:unhideWhenUsed/>
    <w:rsid w:val="00AE25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5DF"/>
  </w:style>
  <w:style w:type="paragraph" w:styleId="Piedepgina">
    <w:name w:val="footer"/>
    <w:basedOn w:val="Normal"/>
    <w:link w:val="PiedepginaCar"/>
    <w:uiPriority w:val="99"/>
    <w:unhideWhenUsed/>
    <w:rsid w:val="00AE25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5DF"/>
  </w:style>
  <w:style w:type="paragraph" w:customStyle="1" w:styleId="AlgerianTtulo">
    <w:name w:val="Algerian Título"/>
    <w:next w:val="Normal"/>
    <w:link w:val="AlgerianTtuloCar"/>
    <w:rsid w:val="00127C00"/>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qFormat/>
    <w:rsid w:val="00127C00"/>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127C00"/>
    <w:rPr>
      <w:rFonts w:ascii="Tahoma" w:eastAsia="Times New Roman" w:hAnsi="Tahoma" w:cs="Tahoma"/>
      <w:sz w:val="20"/>
      <w:szCs w:val="26"/>
      <w:lang w:val="es-ES" w:eastAsia="es-ES"/>
    </w:rPr>
  </w:style>
  <w:style w:type="character" w:customStyle="1" w:styleId="AlgerianTtuloCar">
    <w:name w:val="Algerian Título Car"/>
    <w:link w:val="AlgerianTtulo"/>
    <w:rsid w:val="00127C00"/>
    <w:rPr>
      <w:rFonts w:ascii="Algerian" w:eastAsia="Tahoma" w:hAnsi="Algerian" w:cs="Tahoma"/>
      <w:sz w:val="30"/>
      <w:szCs w:val="26"/>
      <w:lang w:val="es-ES" w:eastAsia="es-ES"/>
    </w:rPr>
  </w:style>
  <w:style w:type="character" w:styleId="Refdenotaalpie">
    <w:name w:val="footnote reference"/>
    <w:basedOn w:val="Fuentedeprrafopredeter"/>
    <w:semiHidden/>
    <w:rsid w:val="00127C00"/>
    <w:rPr>
      <w:vertAlign w:val="superscript"/>
    </w:rPr>
  </w:style>
  <w:style w:type="paragraph" w:customStyle="1" w:styleId="Default">
    <w:name w:val="Default"/>
    <w:rsid w:val="00A63351"/>
    <w:pPr>
      <w:autoSpaceDE w:val="0"/>
      <w:autoSpaceDN w:val="0"/>
      <w:adjustRightInd w:val="0"/>
      <w:spacing w:after="0" w:line="240" w:lineRule="auto"/>
    </w:pPr>
    <w:rPr>
      <w:rFonts w:ascii="Footlight MT Light" w:eastAsia="Times New Roman" w:hAnsi="Footlight MT Light" w:cs="Footlight MT Light"/>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7999">
      <w:bodyDiv w:val="1"/>
      <w:marLeft w:val="0"/>
      <w:marRight w:val="0"/>
      <w:marTop w:val="0"/>
      <w:marBottom w:val="0"/>
      <w:divBdr>
        <w:top w:val="none" w:sz="0" w:space="0" w:color="auto"/>
        <w:left w:val="none" w:sz="0" w:space="0" w:color="auto"/>
        <w:bottom w:val="none" w:sz="0" w:space="0" w:color="auto"/>
        <w:right w:val="none" w:sz="0" w:space="0" w:color="auto"/>
      </w:divBdr>
    </w:div>
    <w:div w:id="15370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ABD7-E72E-4BD2-B49B-B9079670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ALONSO</cp:lastModifiedBy>
  <cp:revision>7</cp:revision>
  <dcterms:created xsi:type="dcterms:W3CDTF">2020-11-27T19:01:00Z</dcterms:created>
  <dcterms:modified xsi:type="dcterms:W3CDTF">2021-01-15T16:40:00Z</dcterms:modified>
</cp:coreProperties>
</file>