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91" w:rsidRPr="00314191" w:rsidRDefault="00314191" w:rsidP="00314191">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31419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14191" w:rsidRPr="00314191" w:rsidRDefault="00314191" w:rsidP="00314191">
      <w:pPr>
        <w:spacing w:line="240" w:lineRule="auto"/>
        <w:rPr>
          <w:rFonts w:ascii="Arial" w:hAnsi="Arial" w:cs="Arial"/>
          <w:sz w:val="20"/>
          <w:szCs w:val="20"/>
          <w:lang w:val="es-419" w:eastAsia="es-ES"/>
        </w:rPr>
      </w:pPr>
    </w:p>
    <w:p w:rsidR="00363EE0" w:rsidRPr="00BE4EB5" w:rsidRDefault="00314191" w:rsidP="00363EE0">
      <w:pPr>
        <w:spacing w:line="240" w:lineRule="auto"/>
        <w:rPr>
          <w:rFonts w:ascii="Arial" w:hAnsi="Arial" w:cs="Arial"/>
          <w:b/>
          <w:bCs/>
          <w:iCs/>
          <w:sz w:val="20"/>
          <w:szCs w:val="20"/>
          <w:lang w:val="es-419" w:eastAsia="fr-FR"/>
        </w:rPr>
      </w:pPr>
      <w:r w:rsidRPr="00314191">
        <w:rPr>
          <w:rFonts w:ascii="Arial" w:hAnsi="Arial" w:cs="Arial"/>
          <w:b/>
          <w:bCs/>
          <w:iCs/>
          <w:sz w:val="20"/>
          <w:szCs w:val="20"/>
          <w:u w:val="single"/>
          <w:lang w:val="es-419" w:eastAsia="fr-FR"/>
        </w:rPr>
        <w:t>TEMAS:</w:t>
      </w:r>
      <w:r w:rsidRPr="00314191">
        <w:rPr>
          <w:rFonts w:ascii="Arial" w:hAnsi="Arial" w:cs="Arial"/>
          <w:b/>
          <w:bCs/>
          <w:iCs/>
          <w:sz w:val="20"/>
          <w:szCs w:val="20"/>
          <w:lang w:val="es-419" w:eastAsia="fr-FR"/>
        </w:rPr>
        <w:tab/>
      </w:r>
      <w:r w:rsidR="00363EE0">
        <w:rPr>
          <w:rFonts w:ascii="Arial" w:hAnsi="Arial" w:cs="Arial"/>
          <w:b/>
          <w:bCs/>
          <w:iCs/>
          <w:sz w:val="20"/>
          <w:szCs w:val="20"/>
          <w:lang w:val="es-CO" w:eastAsia="fr-FR"/>
        </w:rPr>
        <w:t xml:space="preserve">LIBERTAD CONDICIONAL / REQUISITOS / ARTÍCULO 64 DEL CÓDIGO DE PROCEDIMIENTO PENAL / GRAVEDAD DE LA CONDUCTA ILÍCITA / MODIFICACIONES DE LA NORMA LEGAL / </w:t>
      </w:r>
      <w:proofErr w:type="spellStart"/>
      <w:r w:rsidR="00363EE0">
        <w:rPr>
          <w:rFonts w:ascii="Arial" w:hAnsi="Arial" w:cs="Arial"/>
          <w:b/>
          <w:bCs/>
          <w:iCs/>
          <w:sz w:val="20"/>
          <w:szCs w:val="20"/>
          <w:lang w:val="es-CO" w:eastAsia="fr-FR"/>
        </w:rPr>
        <w:t>EXEQUIBILIDAD</w:t>
      </w:r>
      <w:proofErr w:type="spellEnd"/>
      <w:r w:rsidR="00363EE0">
        <w:rPr>
          <w:rFonts w:ascii="Arial" w:hAnsi="Arial" w:cs="Arial"/>
          <w:b/>
          <w:bCs/>
          <w:iCs/>
          <w:sz w:val="20"/>
          <w:szCs w:val="20"/>
          <w:lang w:val="es-CO" w:eastAsia="fr-FR"/>
        </w:rPr>
        <w:t xml:space="preserve"> CONDICIONADA DEL PARÁMETRO MENCIONADO / LA GRAVEDAD A TENER EN CUENTA DEBE SER LA VALORADA EN LA SENTENCIA.</w:t>
      </w:r>
    </w:p>
    <w:p w:rsidR="00363EE0" w:rsidRPr="00BE4EB5" w:rsidRDefault="00363EE0" w:rsidP="00363EE0">
      <w:pPr>
        <w:spacing w:line="240" w:lineRule="auto"/>
        <w:rPr>
          <w:rFonts w:ascii="Arial" w:hAnsi="Arial" w:cs="Arial"/>
          <w:sz w:val="20"/>
          <w:szCs w:val="20"/>
          <w:lang w:val="es-419" w:eastAsia="es-ES"/>
        </w:rPr>
      </w:pPr>
    </w:p>
    <w:p w:rsidR="00363EE0" w:rsidRPr="00363EE0" w:rsidRDefault="00363EE0" w:rsidP="00363EE0">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363EE0">
        <w:rPr>
          <w:rFonts w:ascii="Arial" w:hAnsi="Arial" w:cs="Arial"/>
          <w:sz w:val="20"/>
          <w:szCs w:val="20"/>
          <w:lang w:val="es-CO" w:eastAsia="es-ES"/>
        </w:rPr>
        <w:t>al Tribunal le corresponde decidir, básicamente, lo relativo a si se cumplen o no en este caso las exigencias de ley para que el interno se haga merecedor a la libertad condicional.</w:t>
      </w:r>
    </w:p>
    <w:p w:rsidR="00363EE0" w:rsidRPr="00363EE0" w:rsidRDefault="00363EE0" w:rsidP="00363EE0">
      <w:pPr>
        <w:spacing w:line="240" w:lineRule="auto"/>
        <w:rPr>
          <w:rFonts w:ascii="Arial" w:hAnsi="Arial" w:cs="Arial"/>
          <w:sz w:val="20"/>
          <w:szCs w:val="20"/>
          <w:lang w:val="es-CO" w:eastAsia="es-ES"/>
        </w:rPr>
      </w:pPr>
    </w:p>
    <w:p w:rsidR="00363EE0" w:rsidRDefault="00363EE0" w:rsidP="00363EE0">
      <w:pPr>
        <w:spacing w:line="240" w:lineRule="auto"/>
        <w:rPr>
          <w:rFonts w:ascii="Arial" w:hAnsi="Arial" w:cs="Arial"/>
          <w:sz w:val="20"/>
          <w:szCs w:val="20"/>
          <w:lang w:val="es-CO" w:eastAsia="es-ES"/>
        </w:rPr>
      </w:pPr>
      <w:r w:rsidRPr="00363EE0">
        <w:rPr>
          <w:rFonts w:ascii="Arial" w:hAnsi="Arial" w:cs="Arial"/>
          <w:sz w:val="20"/>
          <w:szCs w:val="20"/>
          <w:lang w:val="es-CO" w:eastAsia="es-ES"/>
        </w:rPr>
        <w:t xml:space="preserve">En ese sentido, es forzoso recordar que el canon 64 </w:t>
      </w:r>
      <w:proofErr w:type="spellStart"/>
      <w:r w:rsidRPr="00363EE0">
        <w:rPr>
          <w:rFonts w:ascii="Arial" w:hAnsi="Arial" w:cs="Arial"/>
          <w:sz w:val="20"/>
          <w:szCs w:val="20"/>
          <w:lang w:val="es-CO" w:eastAsia="es-ES"/>
        </w:rPr>
        <w:t>C.P.P</w:t>
      </w:r>
      <w:proofErr w:type="spellEnd"/>
      <w:r w:rsidRPr="00363EE0">
        <w:rPr>
          <w:rFonts w:ascii="Arial" w:hAnsi="Arial" w:cs="Arial"/>
          <w:sz w:val="20"/>
          <w:szCs w:val="20"/>
          <w:lang w:val="es-CO" w:eastAsia="es-ES"/>
        </w:rPr>
        <w:t>. fija los parámetros que debe tener en consideración el juez encargado de la vigilancia de la pena, para establecer si una persona que se encuentra sentenciada, puede o no ser merecedora del subro</w:t>
      </w:r>
      <w:r>
        <w:rPr>
          <w:rFonts w:ascii="Arial" w:hAnsi="Arial" w:cs="Arial"/>
          <w:sz w:val="20"/>
          <w:szCs w:val="20"/>
          <w:lang w:val="es-CO" w:eastAsia="es-ES"/>
        </w:rPr>
        <w:t>gado de la libertad condicional…</w:t>
      </w:r>
    </w:p>
    <w:p w:rsidR="00363EE0" w:rsidRDefault="00363EE0" w:rsidP="00363EE0">
      <w:pPr>
        <w:spacing w:line="240" w:lineRule="auto"/>
        <w:rPr>
          <w:rFonts w:ascii="Arial" w:hAnsi="Arial" w:cs="Arial"/>
          <w:sz w:val="20"/>
          <w:szCs w:val="20"/>
          <w:lang w:val="es-CO" w:eastAsia="es-ES"/>
        </w:rPr>
      </w:pPr>
    </w:p>
    <w:p w:rsidR="00363EE0" w:rsidRDefault="00363EE0" w:rsidP="00363EE0">
      <w:pPr>
        <w:spacing w:line="240" w:lineRule="auto"/>
        <w:rPr>
          <w:rFonts w:ascii="Arial" w:hAnsi="Arial" w:cs="Arial"/>
          <w:sz w:val="20"/>
          <w:szCs w:val="20"/>
          <w:lang w:val="es-CO" w:eastAsia="es-ES"/>
        </w:rPr>
      </w:pPr>
      <w:r w:rsidRPr="00363EE0">
        <w:rPr>
          <w:rFonts w:ascii="Arial" w:hAnsi="Arial" w:cs="Arial"/>
          <w:sz w:val="20"/>
          <w:szCs w:val="20"/>
          <w:lang w:val="es-CO" w:eastAsia="es-ES"/>
        </w:rPr>
        <w:t xml:space="preserve">Ese precepto fue objeto de diversas modificaciones, entre las cuales se destaca la plasmada en la Ley 890/04, normativa que fue demandada y la Corte Constitucional profirió la Sentencia C-194/05 por medio de la cual declaró su </w:t>
      </w:r>
      <w:proofErr w:type="spellStart"/>
      <w:r w:rsidRPr="00363EE0">
        <w:rPr>
          <w:rFonts w:ascii="Arial" w:hAnsi="Arial" w:cs="Arial"/>
          <w:sz w:val="20"/>
          <w:szCs w:val="20"/>
          <w:lang w:val="es-CO" w:eastAsia="es-ES"/>
        </w:rPr>
        <w:t>exequibilidad</w:t>
      </w:r>
      <w:proofErr w:type="spellEnd"/>
      <w:r w:rsidRPr="00363EE0">
        <w:rPr>
          <w:rFonts w:ascii="Arial" w:hAnsi="Arial" w:cs="Arial"/>
          <w:sz w:val="20"/>
          <w:szCs w:val="20"/>
          <w:lang w:val="es-CO" w:eastAsia="es-ES"/>
        </w:rPr>
        <w:t xml:space="preserve"> condicionada para indicar al respecto en su parte resolutiva lo siguiente: “Por los cargos analizados en esta providencia, declarar EXEQUIBLE la expresión “previa valoración de la gravedad de la conducta punible” contenida en el artículo 5º de la Ley 890 de 2004, que modificó el artículo 64 del Código Penal, en el entendido de que dicha valoración deberá atenerse a los términos en que fue evaluada la gravedad de la conducta en la sentencia condenatoria por parte del juez de la causa”.</w:t>
      </w:r>
    </w:p>
    <w:p w:rsidR="00363EE0" w:rsidRPr="00BE4EB5" w:rsidRDefault="00363EE0" w:rsidP="00363EE0">
      <w:pPr>
        <w:spacing w:line="240" w:lineRule="auto"/>
        <w:rPr>
          <w:rFonts w:ascii="Arial" w:hAnsi="Arial" w:cs="Arial"/>
          <w:sz w:val="20"/>
          <w:szCs w:val="20"/>
          <w:lang w:val="es-419" w:eastAsia="es-ES"/>
        </w:rPr>
      </w:pPr>
    </w:p>
    <w:p w:rsidR="00363EE0" w:rsidRDefault="00363EE0" w:rsidP="00363EE0">
      <w:pPr>
        <w:spacing w:line="240" w:lineRule="auto"/>
        <w:rPr>
          <w:rFonts w:ascii="Arial" w:hAnsi="Arial" w:cs="Arial"/>
          <w:sz w:val="20"/>
          <w:szCs w:val="20"/>
          <w:lang w:val="es-CO" w:eastAsia="es-ES"/>
        </w:rPr>
      </w:pPr>
      <w:r w:rsidRPr="00363EE0">
        <w:rPr>
          <w:rFonts w:ascii="Arial" w:hAnsi="Arial" w:cs="Arial"/>
          <w:sz w:val="20"/>
          <w:szCs w:val="20"/>
          <w:lang w:val="es-CO" w:eastAsia="es-ES"/>
        </w:rPr>
        <w:t xml:space="preserve">En este asunto, y no obstante haber considerado el a quo que las demás exigencias a las que alude el canon 64 </w:t>
      </w:r>
      <w:proofErr w:type="spellStart"/>
      <w:r w:rsidRPr="00363EE0">
        <w:rPr>
          <w:rFonts w:ascii="Arial" w:hAnsi="Arial" w:cs="Arial"/>
          <w:sz w:val="20"/>
          <w:szCs w:val="20"/>
          <w:lang w:val="es-CO" w:eastAsia="es-ES"/>
        </w:rPr>
        <w:t>C.P.P</w:t>
      </w:r>
      <w:proofErr w:type="spellEnd"/>
      <w:r w:rsidRPr="00363EE0">
        <w:rPr>
          <w:rFonts w:ascii="Arial" w:hAnsi="Arial" w:cs="Arial"/>
          <w:sz w:val="20"/>
          <w:szCs w:val="20"/>
          <w:lang w:val="es-CO" w:eastAsia="es-ES"/>
        </w:rPr>
        <w:t>. se cumplen a cabalidad, no fue así en cuanto a la gravedad de la conducta, misma que en este caso específico no se limitó a la mención de la ilicitud atribuida o al bien jurídico afectado, sino a las consecuencias que la misma genera en la comunidad, según así se dejó consignado en el auto confutado.</w:t>
      </w:r>
    </w:p>
    <w:p w:rsidR="00314191" w:rsidRPr="00363EE0" w:rsidRDefault="00314191" w:rsidP="00314191">
      <w:pPr>
        <w:spacing w:line="240" w:lineRule="auto"/>
        <w:rPr>
          <w:rFonts w:ascii="Arial" w:hAnsi="Arial" w:cs="Arial"/>
          <w:sz w:val="20"/>
          <w:szCs w:val="20"/>
          <w:lang w:val="es-CO" w:eastAsia="es-ES"/>
        </w:rPr>
      </w:pPr>
    </w:p>
    <w:p w:rsidR="00314191" w:rsidRPr="00314191" w:rsidRDefault="00314191" w:rsidP="00314191">
      <w:pPr>
        <w:spacing w:line="240" w:lineRule="auto"/>
        <w:rPr>
          <w:rFonts w:ascii="Arial" w:hAnsi="Arial" w:cs="Arial"/>
          <w:sz w:val="20"/>
          <w:szCs w:val="20"/>
          <w:lang w:eastAsia="es-ES"/>
        </w:rPr>
      </w:pPr>
    </w:p>
    <w:p w:rsidR="00314191" w:rsidRPr="00314191" w:rsidRDefault="00314191" w:rsidP="00314191">
      <w:pPr>
        <w:spacing w:line="240" w:lineRule="auto"/>
        <w:rPr>
          <w:rFonts w:ascii="Arial" w:hAnsi="Arial" w:cs="Arial"/>
          <w:sz w:val="20"/>
          <w:szCs w:val="20"/>
          <w:lang w:eastAsia="es-ES"/>
        </w:rPr>
      </w:pPr>
    </w:p>
    <w:p w:rsidR="00314191" w:rsidRPr="00314191" w:rsidRDefault="00314191" w:rsidP="00314191">
      <w:pPr>
        <w:spacing w:line="276" w:lineRule="auto"/>
        <w:jc w:val="center"/>
        <w:rPr>
          <w:rFonts w:cs="Tahoma"/>
          <w:b/>
          <w:spacing w:val="-4"/>
          <w:sz w:val="14"/>
          <w:szCs w:val="12"/>
        </w:rPr>
      </w:pPr>
      <w:r w:rsidRPr="00314191">
        <w:rPr>
          <w:rFonts w:cs="Tahoma"/>
          <w:b/>
          <w:spacing w:val="-4"/>
          <w:sz w:val="14"/>
          <w:szCs w:val="12"/>
        </w:rPr>
        <w:t>REPÚBLICA DE COLOMBIA</w:t>
      </w:r>
    </w:p>
    <w:p w:rsidR="00314191" w:rsidRPr="00314191" w:rsidRDefault="00314191" w:rsidP="00314191">
      <w:pPr>
        <w:spacing w:line="276" w:lineRule="auto"/>
        <w:jc w:val="center"/>
        <w:rPr>
          <w:rFonts w:cs="Tahoma"/>
          <w:b/>
          <w:spacing w:val="-4"/>
          <w:sz w:val="14"/>
          <w:szCs w:val="12"/>
        </w:rPr>
      </w:pPr>
      <w:r w:rsidRPr="00314191">
        <w:rPr>
          <w:rFonts w:cs="Tahoma"/>
          <w:b/>
          <w:spacing w:val="-4"/>
          <w:sz w:val="14"/>
          <w:szCs w:val="12"/>
        </w:rPr>
        <w:t>PEREIRA-RISARALDA</w:t>
      </w:r>
    </w:p>
    <w:p w:rsidR="00314191" w:rsidRPr="00314191" w:rsidRDefault="00314191" w:rsidP="00314191">
      <w:pPr>
        <w:spacing w:line="276" w:lineRule="auto"/>
        <w:jc w:val="center"/>
        <w:rPr>
          <w:rFonts w:cs="Tahoma"/>
          <w:spacing w:val="-4"/>
          <w:sz w:val="12"/>
          <w:szCs w:val="12"/>
        </w:rPr>
      </w:pPr>
      <w:r>
        <w:rPr>
          <w:rFonts w:eastAsia="Batang" w:cs="Tahoma"/>
          <w:noProof/>
          <w:spacing w:val="-4"/>
          <w:lang w:eastAsia="es-ES"/>
        </w:rPr>
        <w:drawing>
          <wp:anchor distT="0" distB="0" distL="114300" distR="114300" simplePos="0" relativeHeight="251660800" behindDoc="1" locked="0" layoutInCell="1" allowOverlap="1">
            <wp:simplePos x="0" y="0"/>
            <wp:positionH relativeFrom="column">
              <wp:posOffset>2496185</wp:posOffset>
            </wp:positionH>
            <wp:positionV relativeFrom="paragraph">
              <wp:posOffset>162560</wp:posOffset>
            </wp:positionV>
            <wp:extent cx="777875" cy="53213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191">
        <w:rPr>
          <w:rFonts w:cs="Tahoma"/>
          <w:b/>
          <w:spacing w:val="-4"/>
          <w:sz w:val="14"/>
          <w:szCs w:val="12"/>
        </w:rPr>
        <w:t>RAMA JUDICIAL</w:t>
      </w:r>
    </w:p>
    <w:p w:rsidR="00314191" w:rsidRPr="00314191" w:rsidRDefault="00314191" w:rsidP="00314191">
      <w:pPr>
        <w:spacing w:line="288" w:lineRule="auto"/>
        <w:jc w:val="center"/>
        <w:rPr>
          <w:rFonts w:cs="Tahoma"/>
          <w:b/>
          <w:spacing w:val="-4"/>
          <w:sz w:val="24"/>
          <w:szCs w:val="24"/>
        </w:rPr>
      </w:pPr>
      <w:r w:rsidRPr="00314191">
        <w:rPr>
          <w:rFonts w:cs="Tahoma"/>
          <w:b/>
          <w:smallCaps/>
          <w:color w:val="000000"/>
          <w:spacing w:val="-4"/>
          <w:sz w:val="24"/>
          <w:szCs w:val="24"/>
        </w:rPr>
        <w:t>TRIBUNAL SUPERIOR DE PEREIRA</w:t>
      </w:r>
    </w:p>
    <w:p w:rsidR="00314191" w:rsidRPr="00314191" w:rsidRDefault="00314191" w:rsidP="00314191">
      <w:pPr>
        <w:tabs>
          <w:tab w:val="left" w:pos="1202"/>
        </w:tabs>
        <w:spacing w:after="120" w:line="288" w:lineRule="auto"/>
        <w:jc w:val="center"/>
        <w:rPr>
          <w:rFonts w:cs="Tahoma"/>
          <w:b/>
          <w:spacing w:val="-4"/>
          <w:sz w:val="24"/>
          <w:szCs w:val="24"/>
        </w:rPr>
      </w:pPr>
      <w:r w:rsidRPr="00314191">
        <w:rPr>
          <w:rFonts w:cs="Tahoma"/>
          <w:b/>
          <w:spacing w:val="-4"/>
          <w:sz w:val="24"/>
          <w:szCs w:val="24"/>
        </w:rPr>
        <w:t>SALA DE DECISIÓN PENAL</w:t>
      </w:r>
    </w:p>
    <w:p w:rsidR="00314191" w:rsidRPr="00314191" w:rsidRDefault="00314191" w:rsidP="00314191">
      <w:pPr>
        <w:spacing w:line="288" w:lineRule="auto"/>
        <w:jc w:val="center"/>
        <w:rPr>
          <w:rFonts w:cs="Tahoma"/>
          <w:spacing w:val="-4"/>
          <w:sz w:val="24"/>
          <w:szCs w:val="24"/>
        </w:rPr>
      </w:pPr>
      <w:r w:rsidRPr="00314191">
        <w:rPr>
          <w:rFonts w:cs="Tahoma"/>
          <w:spacing w:val="-4"/>
          <w:sz w:val="24"/>
          <w:szCs w:val="24"/>
        </w:rPr>
        <w:t>Magistrado Ponente</w:t>
      </w:r>
    </w:p>
    <w:p w:rsidR="00314191" w:rsidRPr="00314191" w:rsidRDefault="00314191" w:rsidP="00314191">
      <w:pPr>
        <w:spacing w:line="288" w:lineRule="auto"/>
        <w:jc w:val="center"/>
        <w:rPr>
          <w:rFonts w:cs="Tahoma"/>
          <w:b/>
          <w:spacing w:val="-4"/>
          <w:sz w:val="24"/>
          <w:szCs w:val="24"/>
        </w:rPr>
      </w:pPr>
      <w:r w:rsidRPr="00314191">
        <w:rPr>
          <w:rFonts w:cs="Tahoma"/>
          <w:b/>
          <w:spacing w:val="-4"/>
          <w:sz w:val="24"/>
          <w:szCs w:val="24"/>
        </w:rPr>
        <w:t xml:space="preserve"> JORGE ARTURO CASTAÑO DUQUE</w:t>
      </w:r>
    </w:p>
    <w:p w:rsidR="00314191" w:rsidRPr="00314191" w:rsidRDefault="00314191" w:rsidP="00314191">
      <w:pPr>
        <w:spacing w:line="276" w:lineRule="auto"/>
        <w:jc w:val="center"/>
        <w:rPr>
          <w:rFonts w:cs="Tahoma"/>
          <w:spacing w:val="2"/>
          <w:sz w:val="24"/>
          <w:szCs w:val="24"/>
        </w:rPr>
      </w:pPr>
    </w:p>
    <w:p w:rsidR="00FC2B8A" w:rsidRPr="00314191" w:rsidRDefault="00FC2B8A" w:rsidP="00314191">
      <w:pPr>
        <w:spacing w:line="276" w:lineRule="auto"/>
        <w:rPr>
          <w:rFonts w:cs="Tahoma"/>
          <w:sz w:val="24"/>
          <w:szCs w:val="24"/>
        </w:rPr>
      </w:pPr>
    </w:p>
    <w:p w:rsidR="00FC2B8A" w:rsidRPr="00314191" w:rsidRDefault="00FC2B8A" w:rsidP="00314191">
      <w:pPr>
        <w:spacing w:line="276" w:lineRule="auto"/>
        <w:rPr>
          <w:rFonts w:cs="Tahoma"/>
          <w:sz w:val="24"/>
          <w:szCs w:val="24"/>
        </w:rPr>
      </w:pPr>
      <w:r w:rsidRPr="00314191">
        <w:rPr>
          <w:rFonts w:cs="Tahoma"/>
          <w:sz w:val="24"/>
          <w:szCs w:val="24"/>
        </w:rPr>
        <w:t>Pereira,</w:t>
      </w:r>
      <w:r w:rsidR="00126533" w:rsidRPr="00314191">
        <w:rPr>
          <w:rFonts w:cs="Tahoma"/>
          <w:sz w:val="24"/>
          <w:szCs w:val="24"/>
        </w:rPr>
        <w:t xml:space="preserve"> </w:t>
      </w:r>
      <w:r w:rsidR="00133380" w:rsidRPr="00314191">
        <w:rPr>
          <w:rFonts w:cs="Tahoma"/>
          <w:sz w:val="24"/>
          <w:szCs w:val="24"/>
        </w:rPr>
        <w:t>veintitrés</w:t>
      </w:r>
      <w:r w:rsidR="00126533" w:rsidRPr="00314191">
        <w:rPr>
          <w:rFonts w:cs="Tahoma"/>
          <w:sz w:val="24"/>
          <w:szCs w:val="24"/>
        </w:rPr>
        <w:t xml:space="preserve"> </w:t>
      </w:r>
      <w:r w:rsidRPr="00314191">
        <w:rPr>
          <w:rFonts w:cs="Tahoma"/>
          <w:sz w:val="24"/>
          <w:szCs w:val="24"/>
        </w:rPr>
        <w:t>(</w:t>
      </w:r>
      <w:r w:rsidR="00133380" w:rsidRPr="00314191">
        <w:rPr>
          <w:rFonts w:cs="Tahoma"/>
          <w:sz w:val="24"/>
          <w:szCs w:val="24"/>
        </w:rPr>
        <w:t>23</w:t>
      </w:r>
      <w:r w:rsidRPr="00314191">
        <w:rPr>
          <w:rFonts w:cs="Tahoma"/>
          <w:sz w:val="24"/>
          <w:szCs w:val="24"/>
        </w:rPr>
        <w:t xml:space="preserve">) de </w:t>
      </w:r>
      <w:r w:rsidR="000C79D4" w:rsidRPr="00314191">
        <w:rPr>
          <w:rFonts w:cs="Tahoma"/>
          <w:sz w:val="24"/>
          <w:szCs w:val="24"/>
        </w:rPr>
        <w:t xml:space="preserve">junio </w:t>
      </w:r>
      <w:r w:rsidRPr="00314191">
        <w:rPr>
          <w:rFonts w:cs="Tahoma"/>
          <w:sz w:val="24"/>
          <w:szCs w:val="24"/>
        </w:rPr>
        <w:t>de dos mil veinte (2020).</w:t>
      </w:r>
    </w:p>
    <w:p w:rsidR="00FC2B8A" w:rsidRPr="00314191" w:rsidRDefault="00FC2B8A" w:rsidP="00314191">
      <w:pPr>
        <w:spacing w:line="276" w:lineRule="auto"/>
        <w:rPr>
          <w:rFonts w:cs="Tahoma"/>
          <w:sz w:val="24"/>
          <w:szCs w:val="24"/>
        </w:rPr>
      </w:pPr>
    </w:p>
    <w:p w:rsidR="00597C71" w:rsidRPr="00314191" w:rsidRDefault="00597C71" w:rsidP="00314191">
      <w:pPr>
        <w:spacing w:line="276" w:lineRule="auto"/>
        <w:rPr>
          <w:rFonts w:cs="Tahoma"/>
          <w:sz w:val="24"/>
          <w:szCs w:val="24"/>
        </w:rPr>
      </w:pPr>
    </w:p>
    <w:p w:rsidR="00FC2B8A" w:rsidRPr="00314191" w:rsidRDefault="00133380" w:rsidP="00314191">
      <w:pPr>
        <w:spacing w:line="276" w:lineRule="auto"/>
        <w:jc w:val="right"/>
        <w:rPr>
          <w:rFonts w:cs="Tahoma"/>
          <w:sz w:val="24"/>
          <w:szCs w:val="24"/>
        </w:rPr>
      </w:pPr>
      <w:r w:rsidRPr="00314191">
        <w:rPr>
          <w:rFonts w:cs="Tahoma"/>
          <w:sz w:val="24"/>
          <w:szCs w:val="24"/>
        </w:rPr>
        <w:t>Aprobado por Acta No 474</w:t>
      </w:r>
    </w:p>
    <w:p w:rsidR="00FC2B8A" w:rsidRPr="00314191" w:rsidRDefault="00FC2B8A" w:rsidP="00314191">
      <w:pPr>
        <w:spacing w:line="276" w:lineRule="auto"/>
        <w:jc w:val="right"/>
        <w:rPr>
          <w:rFonts w:cs="Tahoma"/>
          <w:sz w:val="24"/>
          <w:szCs w:val="24"/>
        </w:rPr>
      </w:pPr>
      <w:r w:rsidRPr="00314191">
        <w:rPr>
          <w:rFonts w:cs="Tahoma"/>
          <w:sz w:val="24"/>
          <w:szCs w:val="24"/>
        </w:rPr>
        <w:t xml:space="preserve">Hora: </w:t>
      </w:r>
      <w:r w:rsidR="00133380" w:rsidRPr="00314191">
        <w:rPr>
          <w:rFonts w:cs="Tahoma"/>
          <w:sz w:val="24"/>
          <w:szCs w:val="24"/>
        </w:rPr>
        <w:t>8:10 a.m.</w:t>
      </w:r>
    </w:p>
    <w:p w:rsidR="00FC2B8A" w:rsidRPr="00314191" w:rsidRDefault="00FC2B8A" w:rsidP="00314191">
      <w:pPr>
        <w:spacing w:line="276" w:lineRule="auto"/>
        <w:jc w:val="center"/>
        <w:rPr>
          <w:rFonts w:cs="Tahoma"/>
          <w:sz w:val="24"/>
          <w:szCs w:val="24"/>
        </w:rPr>
      </w:pPr>
    </w:p>
    <w:p w:rsidR="00A66267" w:rsidRPr="00314191" w:rsidRDefault="00A66267" w:rsidP="00314191">
      <w:pPr>
        <w:spacing w:line="276" w:lineRule="auto"/>
        <w:rPr>
          <w:rFonts w:cs="Tahoma"/>
          <w:b/>
          <w:sz w:val="24"/>
          <w:szCs w:val="24"/>
        </w:rPr>
      </w:pPr>
      <w:r w:rsidRPr="00314191">
        <w:rPr>
          <w:rFonts w:cs="Tahoma"/>
          <w:b/>
          <w:sz w:val="24"/>
          <w:szCs w:val="24"/>
        </w:rPr>
        <w:t xml:space="preserve">1.- VISTOS </w:t>
      </w:r>
    </w:p>
    <w:p w:rsidR="00A66267" w:rsidRPr="00314191" w:rsidRDefault="00A66267" w:rsidP="00314191">
      <w:pPr>
        <w:spacing w:line="276" w:lineRule="auto"/>
        <w:rPr>
          <w:rFonts w:cs="Tahoma"/>
          <w:sz w:val="24"/>
          <w:szCs w:val="24"/>
        </w:rPr>
      </w:pPr>
    </w:p>
    <w:p w:rsidR="00FC2B8A" w:rsidRPr="00314191" w:rsidRDefault="00A66267" w:rsidP="00314191">
      <w:pPr>
        <w:spacing w:line="276" w:lineRule="auto"/>
        <w:rPr>
          <w:rFonts w:cs="Tahoma"/>
          <w:sz w:val="24"/>
          <w:szCs w:val="24"/>
        </w:rPr>
      </w:pPr>
      <w:r w:rsidRPr="00314191">
        <w:rPr>
          <w:rFonts w:cs="Tahoma"/>
          <w:sz w:val="24"/>
          <w:szCs w:val="24"/>
        </w:rPr>
        <w:t xml:space="preserve">Procede a pronunciarse la Sala sobre la apelación interpuesta por </w:t>
      </w:r>
      <w:r w:rsidR="000C79D4" w:rsidRPr="00314191">
        <w:rPr>
          <w:rFonts w:cs="Tahoma"/>
          <w:sz w:val="24"/>
          <w:szCs w:val="24"/>
        </w:rPr>
        <w:t xml:space="preserve">el apoderado del señor </w:t>
      </w:r>
      <w:r w:rsidR="000944BF">
        <w:rPr>
          <w:rFonts w:cs="Tahoma"/>
          <w:b/>
          <w:sz w:val="24"/>
          <w:szCs w:val="24"/>
        </w:rPr>
        <w:t>CASO</w:t>
      </w:r>
      <w:r w:rsidR="007627FB" w:rsidRPr="00314191">
        <w:rPr>
          <w:rFonts w:cs="Tahoma"/>
          <w:b/>
          <w:sz w:val="24"/>
          <w:szCs w:val="24"/>
        </w:rPr>
        <w:t>,</w:t>
      </w:r>
      <w:r w:rsidRPr="00314191">
        <w:rPr>
          <w:rFonts w:cs="Tahoma"/>
          <w:sz w:val="24"/>
          <w:szCs w:val="24"/>
        </w:rPr>
        <w:t xml:space="preserve"> en contra la decisión interlocutoria proferida</w:t>
      </w:r>
      <w:r w:rsidR="007627FB" w:rsidRPr="00314191">
        <w:rPr>
          <w:rFonts w:cs="Tahoma"/>
          <w:sz w:val="24"/>
          <w:szCs w:val="24"/>
        </w:rPr>
        <w:t xml:space="preserve"> en marzo 10 del presente año</w:t>
      </w:r>
      <w:r w:rsidRPr="00314191">
        <w:rPr>
          <w:rFonts w:cs="Tahoma"/>
          <w:sz w:val="24"/>
          <w:szCs w:val="24"/>
        </w:rPr>
        <w:t xml:space="preserve"> por</w:t>
      </w:r>
      <w:r w:rsidR="007627FB" w:rsidRPr="00314191">
        <w:rPr>
          <w:rFonts w:cs="Tahoma"/>
          <w:sz w:val="24"/>
          <w:szCs w:val="24"/>
        </w:rPr>
        <w:t xml:space="preserve"> parte</w:t>
      </w:r>
      <w:r w:rsidR="002E0E29" w:rsidRPr="00314191">
        <w:rPr>
          <w:rFonts w:cs="Tahoma"/>
          <w:sz w:val="24"/>
          <w:szCs w:val="24"/>
        </w:rPr>
        <w:t xml:space="preserve"> </w:t>
      </w:r>
      <w:r w:rsidR="007627FB" w:rsidRPr="00314191">
        <w:rPr>
          <w:rFonts w:cs="Tahoma"/>
          <w:sz w:val="24"/>
          <w:szCs w:val="24"/>
        </w:rPr>
        <w:t>d</w:t>
      </w:r>
      <w:r w:rsidRPr="00314191">
        <w:rPr>
          <w:rFonts w:cs="Tahoma"/>
          <w:sz w:val="24"/>
          <w:szCs w:val="24"/>
        </w:rPr>
        <w:t xml:space="preserve">el Juzgado </w:t>
      </w:r>
      <w:r w:rsidR="00FC2B8A" w:rsidRPr="00314191">
        <w:rPr>
          <w:rFonts w:cs="Tahoma"/>
          <w:sz w:val="24"/>
          <w:szCs w:val="24"/>
        </w:rPr>
        <w:t xml:space="preserve">Primero de Ejecución de Penas y Medidas de Seguridad de Pereira </w:t>
      </w:r>
      <w:r w:rsidRPr="00314191">
        <w:rPr>
          <w:rFonts w:cs="Tahoma"/>
          <w:sz w:val="24"/>
          <w:szCs w:val="24"/>
        </w:rPr>
        <w:t>(Rda.)</w:t>
      </w:r>
      <w:r w:rsidR="000C79D4" w:rsidRPr="00314191">
        <w:rPr>
          <w:rFonts w:cs="Tahoma"/>
          <w:sz w:val="24"/>
          <w:szCs w:val="24"/>
        </w:rPr>
        <w:t xml:space="preserve">, </w:t>
      </w:r>
      <w:r w:rsidRPr="00314191">
        <w:rPr>
          <w:rFonts w:cs="Tahoma"/>
          <w:sz w:val="24"/>
          <w:szCs w:val="24"/>
        </w:rPr>
        <w:t xml:space="preserve">por medio de la cual </w:t>
      </w:r>
      <w:r w:rsidR="00684C1D" w:rsidRPr="00314191">
        <w:rPr>
          <w:rFonts w:cs="Tahoma"/>
          <w:sz w:val="24"/>
          <w:szCs w:val="24"/>
        </w:rPr>
        <w:t xml:space="preserve">le </w:t>
      </w:r>
      <w:r w:rsidR="0087551B" w:rsidRPr="00314191">
        <w:rPr>
          <w:rFonts w:cs="Tahoma"/>
          <w:sz w:val="24"/>
          <w:szCs w:val="24"/>
        </w:rPr>
        <w:t xml:space="preserve">negó la libertad condicional </w:t>
      </w:r>
      <w:r w:rsidR="00FC2B8A" w:rsidRPr="00314191">
        <w:rPr>
          <w:rFonts w:cs="Tahoma"/>
          <w:sz w:val="24"/>
          <w:szCs w:val="24"/>
        </w:rPr>
        <w:t>dentro del proceso donde fuera condenado por la conducta de concierto para delinquir</w:t>
      </w:r>
      <w:r w:rsidR="002E0E29" w:rsidRPr="00314191">
        <w:rPr>
          <w:rFonts w:cs="Tahoma"/>
          <w:sz w:val="24"/>
          <w:szCs w:val="24"/>
        </w:rPr>
        <w:t xml:space="preserve"> agravado</w:t>
      </w:r>
      <w:r w:rsidR="00FC2B8A" w:rsidRPr="00314191">
        <w:rPr>
          <w:rFonts w:cs="Tahoma"/>
          <w:sz w:val="24"/>
          <w:szCs w:val="24"/>
        </w:rPr>
        <w:t>.</w:t>
      </w:r>
    </w:p>
    <w:p w:rsidR="00A66267" w:rsidRPr="00314191" w:rsidRDefault="00A66267" w:rsidP="00314191">
      <w:pPr>
        <w:spacing w:line="276" w:lineRule="auto"/>
        <w:rPr>
          <w:rFonts w:cs="Tahoma"/>
          <w:sz w:val="24"/>
          <w:szCs w:val="24"/>
        </w:rPr>
      </w:pPr>
    </w:p>
    <w:p w:rsidR="00FC2B8A" w:rsidRPr="00314191" w:rsidRDefault="00FC2B8A" w:rsidP="00314191">
      <w:pPr>
        <w:spacing w:line="276" w:lineRule="auto"/>
        <w:rPr>
          <w:rFonts w:cs="Tahoma"/>
          <w:b/>
          <w:sz w:val="24"/>
          <w:szCs w:val="24"/>
        </w:rPr>
      </w:pPr>
      <w:r w:rsidRPr="00314191">
        <w:rPr>
          <w:rFonts w:cs="Tahoma"/>
          <w:b/>
          <w:sz w:val="24"/>
          <w:szCs w:val="24"/>
        </w:rPr>
        <w:t xml:space="preserve">2.- </w:t>
      </w:r>
      <w:r w:rsidR="00314191" w:rsidRPr="00314191">
        <w:rPr>
          <w:rFonts w:cs="Tahoma"/>
          <w:b/>
          <w:sz w:val="24"/>
          <w:szCs w:val="24"/>
        </w:rPr>
        <w:t>PRECEDENTES</w:t>
      </w:r>
    </w:p>
    <w:p w:rsidR="00FC2B8A" w:rsidRPr="00314191" w:rsidRDefault="00FC2B8A" w:rsidP="00314191">
      <w:pPr>
        <w:spacing w:line="276" w:lineRule="auto"/>
        <w:rPr>
          <w:rFonts w:cs="Tahoma"/>
          <w:sz w:val="24"/>
          <w:szCs w:val="24"/>
        </w:rPr>
      </w:pPr>
    </w:p>
    <w:p w:rsidR="00FC2B8A" w:rsidRPr="00314191" w:rsidRDefault="00FC2B8A" w:rsidP="00314191">
      <w:pPr>
        <w:spacing w:line="276" w:lineRule="auto"/>
        <w:rPr>
          <w:rFonts w:cs="Tahoma"/>
          <w:sz w:val="24"/>
          <w:szCs w:val="24"/>
        </w:rPr>
      </w:pPr>
      <w:r w:rsidRPr="00314191">
        <w:rPr>
          <w:rFonts w:cs="Tahoma"/>
          <w:b/>
          <w:sz w:val="24"/>
          <w:szCs w:val="24"/>
        </w:rPr>
        <w:t>2.1.</w:t>
      </w:r>
      <w:r w:rsidR="001D1C4D" w:rsidRPr="00314191">
        <w:rPr>
          <w:rFonts w:cs="Tahoma"/>
          <w:b/>
          <w:sz w:val="24"/>
          <w:szCs w:val="24"/>
        </w:rPr>
        <w:t>-</w:t>
      </w:r>
      <w:r w:rsidRPr="00314191">
        <w:rPr>
          <w:rFonts w:cs="Tahoma"/>
          <w:sz w:val="24"/>
          <w:szCs w:val="24"/>
        </w:rPr>
        <w:t xml:space="preserve"> El señor </w:t>
      </w:r>
      <w:r w:rsidR="000944BF">
        <w:rPr>
          <w:rFonts w:cs="Tahoma"/>
          <w:b/>
          <w:sz w:val="24"/>
          <w:szCs w:val="24"/>
        </w:rPr>
        <w:t>CASO</w:t>
      </w:r>
      <w:r w:rsidRPr="00314191">
        <w:rPr>
          <w:rFonts w:cs="Tahoma"/>
          <w:sz w:val="24"/>
          <w:szCs w:val="24"/>
        </w:rPr>
        <w:t xml:space="preserve"> fue condenado </w:t>
      </w:r>
      <w:r w:rsidR="000C79D4" w:rsidRPr="00314191">
        <w:rPr>
          <w:rFonts w:cs="Tahoma"/>
          <w:sz w:val="24"/>
          <w:szCs w:val="24"/>
        </w:rPr>
        <w:t xml:space="preserve">en </w:t>
      </w:r>
      <w:r w:rsidRPr="00314191">
        <w:rPr>
          <w:rFonts w:cs="Tahoma"/>
          <w:sz w:val="24"/>
          <w:szCs w:val="24"/>
        </w:rPr>
        <w:t xml:space="preserve">septiembre 19 de 2018 por el Juzgado Segundo Penal del Circuito Especializado de Pasto (N.), a la pena de 43 meses y 3 días de prisión, </w:t>
      </w:r>
      <w:r w:rsidR="001D1C4D" w:rsidRPr="00314191">
        <w:rPr>
          <w:rFonts w:cs="Tahoma"/>
          <w:sz w:val="24"/>
          <w:szCs w:val="24"/>
        </w:rPr>
        <w:t>y</w:t>
      </w:r>
      <w:r w:rsidRPr="00314191">
        <w:rPr>
          <w:rFonts w:cs="Tahoma"/>
          <w:sz w:val="24"/>
          <w:szCs w:val="24"/>
        </w:rPr>
        <w:t xml:space="preserve"> multa de 1.200 </w:t>
      </w:r>
      <w:proofErr w:type="spellStart"/>
      <w:r w:rsidRPr="00314191">
        <w:rPr>
          <w:rFonts w:cs="Tahoma"/>
          <w:sz w:val="24"/>
          <w:szCs w:val="24"/>
        </w:rPr>
        <w:t>s.m.l.m.v</w:t>
      </w:r>
      <w:proofErr w:type="spellEnd"/>
      <w:r w:rsidRPr="00314191">
        <w:rPr>
          <w:rFonts w:cs="Tahoma"/>
          <w:sz w:val="24"/>
          <w:szCs w:val="24"/>
        </w:rPr>
        <w:t>., como autor responsable de la conducta de concierto para delinquir agravado.</w:t>
      </w:r>
    </w:p>
    <w:p w:rsidR="00FC2B8A" w:rsidRPr="00314191" w:rsidRDefault="00FC2B8A" w:rsidP="00314191">
      <w:pPr>
        <w:spacing w:line="276" w:lineRule="auto"/>
        <w:rPr>
          <w:rFonts w:cs="Tahoma"/>
          <w:sz w:val="24"/>
          <w:szCs w:val="24"/>
        </w:rPr>
      </w:pPr>
    </w:p>
    <w:p w:rsidR="00FC2B8A" w:rsidRPr="00314191" w:rsidRDefault="00FC2B8A" w:rsidP="00314191">
      <w:pPr>
        <w:spacing w:line="276" w:lineRule="auto"/>
        <w:rPr>
          <w:rFonts w:cs="Tahoma"/>
          <w:sz w:val="24"/>
          <w:szCs w:val="24"/>
        </w:rPr>
      </w:pPr>
      <w:r w:rsidRPr="00314191">
        <w:rPr>
          <w:rFonts w:cs="Tahoma"/>
          <w:b/>
          <w:sz w:val="24"/>
          <w:szCs w:val="24"/>
        </w:rPr>
        <w:t>2.2.-</w:t>
      </w:r>
      <w:r w:rsidR="000C79D4" w:rsidRPr="00314191">
        <w:rPr>
          <w:rFonts w:cs="Tahoma"/>
          <w:sz w:val="24"/>
          <w:szCs w:val="24"/>
        </w:rPr>
        <w:t>El defensor del sentenciado</w:t>
      </w:r>
      <w:r w:rsidRPr="00314191">
        <w:rPr>
          <w:rFonts w:cs="Tahoma"/>
          <w:sz w:val="24"/>
          <w:szCs w:val="24"/>
        </w:rPr>
        <w:t xml:space="preserve">, mediante escrito de </w:t>
      </w:r>
      <w:r w:rsidR="000C79D4" w:rsidRPr="00314191">
        <w:rPr>
          <w:rFonts w:cs="Tahoma"/>
          <w:sz w:val="24"/>
          <w:szCs w:val="24"/>
        </w:rPr>
        <w:t>febrero 19 de 2020</w:t>
      </w:r>
      <w:r w:rsidRPr="00314191">
        <w:rPr>
          <w:rFonts w:cs="Tahoma"/>
          <w:sz w:val="24"/>
          <w:szCs w:val="24"/>
        </w:rPr>
        <w:t xml:space="preserve">, solicitó al juzgado de primer nivel se estudiara </w:t>
      </w:r>
      <w:r w:rsidR="000C79D4" w:rsidRPr="00314191">
        <w:rPr>
          <w:rFonts w:cs="Tahoma"/>
          <w:sz w:val="24"/>
          <w:szCs w:val="24"/>
        </w:rPr>
        <w:t xml:space="preserve">nuevamente </w:t>
      </w:r>
      <w:r w:rsidRPr="00314191">
        <w:rPr>
          <w:rFonts w:cs="Tahoma"/>
          <w:sz w:val="24"/>
          <w:szCs w:val="24"/>
        </w:rPr>
        <w:t>la viabilidad de otorgar</w:t>
      </w:r>
      <w:r w:rsidR="0087551B" w:rsidRPr="00314191">
        <w:rPr>
          <w:rFonts w:cs="Tahoma"/>
          <w:sz w:val="24"/>
          <w:szCs w:val="24"/>
        </w:rPr>
        <w:t>le al interno</w:t>
      </w:r>
      <w:r w:rsidRPr="00314191">
        <w:rPr>
          <w:rFonts w:cs="Tahoma"/>
          <w:sz w:val="24"/>
          <w:szCs w:val="24"/>
        </w:rPr>
        <w:t xml:space="preserve"> la libertad condicional </w:t>
      </w:r>
      <w:r w:rsidR="000C79D4" w:rsidRPr="00314191">
        <w:rPr>
          <w:rFonts w:cs="Tahoma"/>
          <w:sz w:val="24"/>
          <w:szCs w:val="24"/>
        </w:rPr>
        <w:t>al haber purgado más del 90% de la pena impuesta, para lo cual el despacho judicial solicitó al establecimiento penitenciario y carcelario que allegara los documentos pertinentes para resolver tal petición, como así lo hizo.</w:t>
      </w:r>
    </w:p>
    <w:p w:rsidR="00597C71" w:rsidRPr="00314191" w:rsidRDefault="00597C71" w:rsidP="00314191">
      <w:pPr>
        <w:spacing w:line="276" w:lineRule="auto"/>
        <w:rPr>
          <w:rFonts w:cs="Tahoma"/>
          <w:sz w:val="24"/>
          <w:szCs w:val="24"/>
        </w:rPr>
      </w:pPr>
    </w:p>
    <w:p w:rsidR="005B32C5" w:rsidRPr="00314191" w:rsidRDefault="00314191" w:rsidP="00314191">
      <w:pPr>
        <w:spacing w:line="276" w:lineRule="auto"/>
        <w:rPr>
          <w:rFonts w:cs="Tahoma"/>
          <w:sz w:val="24"/>
          <w:szCs w:val="24"/>
        </w:rPr>
      </w:pPr>
      <w:r w:rsidRPr="00314191">
        <w:rPr>
          <w:rFonts w:cs="Tahoma"/>
          <w:b/>
          <w:sz w:val="24"/>
          <w:szCs w:val="24"/>
        </w:rPr>
        <w:t>2.</w:t>
      </w:r>
      <w:r>
        <w:rPr>
          <w:rFonts w:cs="Tahoma"/>
          <w:b/>
          <w:sz w:val="24"/>
          <w:szCs w:val="24"/>
        </w:rPr>
        <w:t>3</w:t>
      </w:r>
      <w:r w:rsidRPr="00314191">
        <w:rPr>
          <w:rFonts w:cs="Tahoma"/>
          <w:b/>
          <w:sz w:val="24"/>
          <w:szCs w:val="24"/>
        </w:rPr>
        <w:t xml:space="preserve">.- </w:t>
      </w:r>
      <w:r w:rsidR="00FC2B8A" w:rsidRPr="00314191">
        <w:rPr>
          <w:rFonts w:cs="Tahoma"/>
          <w:sz w:val="24"/>
          <w:szCs w:val="24"/>
        </w:rPr>
        <w:t>El Juzgado Primero de Ejecución de Penas y Medidas de Seguridad, por auto de</w:t>
      </w:r>
      <w:r w:rsidR="000C79D4" w:rsidRPr="00314191">
        <w:rPr>
          <w:rFonts w:cs="Tahoma"/>
          <w:sz w:val="24"/>
          <w:szCs w:val="24"/>
        </w:rPr>
        <w:t xml:space="preserve"> marzo 20 de 2020</w:t>
      </w:r>
      <w:r w:rsidR="00FC2B8A" w:rsidRPr="00314191">
        <w:rPr>
          <w:rFonts w:cs="Tahoma"/>
          <w:sz w:val="24"/>
          <w:szCs w:val="24"/>
        </w:rPr>
        <w:t>,</w:t>
      </w:r>
      <w:r w:rsidR="0087551B" w:rsidRPr="00314191">
        <w:rPr>
          <w:rFonts w:cs="Tahoma"/>
          <w:sz w:val="24"/>
          <w:szCs w:val="24"/>
        </w:rPr>
        <w:t xml:space="preserve"> negó la petición elevada a</w:t>
      </w:r>
      <w:r w:rsidR="00FC2B8A" w:rsidRPr="00314191">
        <w:rPr>
          <w:rFonts w:cs="Tahoma"/>
          <w:sz w:val="24"/>
          <w:szCs w:val="24"/>
        </w:rPr>
        <w:t xml:space="preserve"> favor del sentenciado, </w:t>
      </w:r>
      <w:r w:rsidR="000C79D4" w:rsidRPr="00314191">
        <w:rPr>
          <w:rFonts w:cs="Tahoma"/>
          <w:sz w:val="24"/>
          <w:szCs w:val="24"/>
        </w:rPr>
        <w:t xml:space="preserve">al considerar que si bien cumplía </w:t>
      </w:r>
      <w:r w:rsidR="00AE6E3E" w:rsidRPr="00314191">
        <w:rPr>
          <w:rFonts w:cs="Tahoma"/>
          <w:sz w:val="24"/>
          <w:szCs w:val="24"/>
        </w:rPr>
        <w:t xml:space="preserve">los requisitos objetivos del canon 64 C.P. </w:t>
      </w:r>
      <w:r w:rsidR="00FC2B8A" w:rsidRPr="00314191">
        <w:rPr>
          <w:rFonts w:cs="Tahoma"/>
          <w:sz w:val="24"/>
          <w:szCs w:val="24"/>
        </w:rPr>
        <w:t>en tanto superó las 3/5 partes de la pena impuesta</w:t>
      </w:r>
      <w:r w:rsidR="00AE6E3E" w:rsidRPr="00314191">
        <w:rPr>
          <w:rFonts w:cs="Tahoma"/>
          <w:sz w:val="24"/>
          <w:szCs w:val="24"/>
        </w:rPr>
        <w:t xml:space="preserve">, </w:t>
      </w:r>
      <w:r w:rsidR="003177B4" w:rsidRPr="00314191">
        <w:rPr>
          <w:rFonts w:cs="Tahoma"/>
          <w:sz w:val="24"/>
          <w:szCs w:val="24"/>
        </w:rPr>
        <w:t xml:space="preserve">como quiera que había </w:t>
      </w:r>
      <w:r w:rsidR="00AE6E3E" w:rsidRPr="00314191">
        <w:rPr>
          <w:rFonts w:cs="Tahoma"/>
          <w:sz w:val="24"/>
          <w:szCs w:val="24"/>
        </w:rPr>
        <w:t xml:space="preserve">descontado para esa fecha 33 meses y 18.5 días de prisión, </w:t>
      </w:r>
      <w:r w:rsidR="00FC2B8A" w:rsidRPr="00314191">
        <w:rPr>
          <w:rFonts w:cs="Tahoma"/>
          <w:sz w:val="24"/>
          <w:szCs w:val="24"/>
        </w:rPr>
        <w:t xml:space="preserve">así como </w:t>
      </w:r>
      <w:r w:rsidR="00684C1D" w:rsidRPr="00314191">
        <w:rPr>
          <w:rFonts w:cs="Tahoma"/>
          <w:sz w:val="24"/>
          <w:szCs w:val="24"/>
        </w:rPr>
        <w:t>lo</w:t>
      </w:r>
      <w:r w:rsidR="00FC2B8A" w:rsidRPr="00314191">
        <w:rPr>
          <w:rFonts w:cs="Tahoma"/>
          <w:sz w:val="24"/>
          <w:szCs w:val="24"/>
        </w:rPr>
        <w:t xml:space="preserve"> atinente</w:t>
      </w:r>
      <w:r w:rsidR="0087551B" w:rsidRPr="00314191">
        <w:rPr>
          <w:rFonts w:cs="Tahoma"/>
          <w:sz w:val="24"/>
          <w:szCs w:val="24"/>
        </w:rPr>
        <w:t xml:space="preserve"> a su comportamiento </w:t>
      </w:r>
      <w:proofErr w:type="spellStart"/>
      <w:r w:rsidR="0087551B" w:rsidRPr="00314191">
        <w:rPr>
          <w:rFonts w:cs="Tahoma"/>
          <w:sz w:val="24"/>
          <w:szCs w:val="24"/>
        </w:rPr>
        <w:t>intramural</w:t>
      </w:r>
      <w:proofErr w:type="spellEnd"/>
      <w:r w:rsidR="00FC2B8A" w:rsidRPr="00314191">
        <w:rPr>
          <w:rFonts w:cs="Tahoma"/>
          <w:sz w:val="24"/>
          <w:szCs w:val="24"/>
        </w:rPr>
        <w:t xml:space="preserve"> y el arraigo</w:t>
      </w:r>
      <w:r w:rsidR="001F59E8" w:rsidRPr="00314191">
        <w:rPr>
          <w:rFonts w:cs="Tahoma"/>
          <w:sz w:val="24"/>
          <w:szCs w:val="24"/>
        </w:rPr>
        <w:t xml:space="preserve"> familiar y social, </w:t>
      </w:r>
      <w:r w:rsidR="00AE6E3E" w:rsidRPr="00314191">
        <w:rPr>
          <w:rFonts w:cs="Tahoma"/>
          <w:sz w:val="24"/>
          <w:szCs w:val="24"/>
        </w:rPr>
        <w:t>al</w:t>
      </w:r>
      <w:r w:rsidR="003177B4" w:rsidRPr="00314191">
        <w:rPr>
          <w:rFonts w:cs="Tahoma"/>
          <w:sz w:val="24"/>
          <w:szCs w:val="24"/>
        </w:rPr>
        <w:t xml:space="preserve"> momento de</w:t>
      </w:r>
      <w:r w:rsidR="00AE6E3E" w:rsidRPr="00314191">
        <w:rPr>
          <w:rFonts w:cs="Tahoma"/>
          <w:sz w:val="24"/>
          <w:szCs w:val="24"/>
        </w:rPr>
        <w:t xml:space="preserve"> valorar la </w:t>
      </w:r>
      <w:r w:rsidR="001F59E8" w:rsidRPr="00314191">
        <w:rPr>
          <w:rFonts w:cs="Tahoma"/>
          <w:sz w:val="24"/>
          <w:szCs w:val="24"/>
        </w:rPr>
        <w:t>gravedad de la conducta</w:t>
      </w:r>
      <w:r w:rsidR="00AE6E3E" w:rsidRPr="00314191">
        <w:rPr>
          <w:rFonts w:cs="Tahoma"/>
          <w:sz w:val="24"/>
          <w:szCs w:val="24"/>
        </w:rPr>
        <w:t xml:space="preserve"> conforme lo plasmado por el funcionario fallador, </w:t>
      </w:r>
      <w:r w:rsidR="003177B4" w:rsidRPr="00314191">
        <w:rPr>
          <w:rFonts w:cs="Tahoma"/>
          <w:sz w:val="24"/>
          <w:szCs w:val="24"/>
        </w:rPr>
        <w:t>se constata que el análisis no</w:t>
      </w:r>
      <w:r w:rsidR="00AE6E3E" w:rsidRPr="00314191">
        <w:rPr>
          <w:rFonts w:cs="Tahoma"/>
          <w:sz w:val="24"/>
          <w:szCs w:val="24"/>
        </w:rPr>
        <w:t xml:space="preserve"> le favorece toda vez que de la </w:t>
      </w:r>
      <w:r w:rsidR="0087551B" w:rsidRPr="00314191">
        <w:rPr>
          <w:rFonts w:cs="Tahoma"/>
          <w:sz w:val="24"/>
          <w:szCs w:val="24"/>
        </w:rPr>
        <w:t xml:space="preserve">conducta por </w:t>
      </w:r>
      <w:r w:rsidR="003177B4" w:rsidRPr="00314191">
        <w:rPr>
          <w:rFonts w:cs="Tahoma"/>
          <w:sz w:val="24"/>
          <w:szCs w:val="24"/>
        </w:rPr>
        <w:t>é</w:t>
      </w:r>
      <w:r w:rsidR="001F59E8" w:rsidRPr="00314191">
        <w:rPr>
          <w:rFonts w:cs="Tahoma"/>
          <w:sz w:val="24"/>
          <w:szCs w:val="24"/>
        </w:rPr>
        <w:t>l desplegada se infiere su insensibilidad social, y por ende debe sufrir con mayor rigor el tratamiento penitenciario, esto es, hasta que cumpla la totalidad de la pena impuesta.</w:t>
      </w:r>
    </w:p>
    <w:p w:rsidR="005B32C5" w:rsidRPr="00314191" w:rsidRDefault="005B32C5" w:rsidP="00314191">
      <w:pPr>
        <w:spacing w:line="276" w:lineRule="auto"/>
        <w:rPr>
          <w:rFonts w:cs="Tahoma"/>
          <w:sz w:val="24"/>
          <w:szCs w:val="24"/>
        </w:rPr>
      </w:pPr>
    </w:p>
    <w:p w:rsidR="001F59E8" w:rsidRPr="00314191" w:rsidRDefault="00AE6E3E" w:rsidP="00314191">
      <w:pPr>
        <w:spacing w:line="276" w:lineRule="auto"/>
        <w:rPr>
          <w:rFonts w:cs="Tahoma"/>
          <w:sz w:val="24"/>
          <w:szCs w:val="24"/>
        </w:rPr>
      </w:pPr>
      <w:r w:rsidRPr="00314191">
        <w:rPr>
          <w:rFonts w:cs="Tahoma"/>
          <w:sz w:val="24"/>
          <w:szCs w:val="24"/>
        </w:rPr>
        <w:t>Adu</w:t>
      </w:r>
      <w:r w:rsidR="005B32C5" w:rsidRPr="00314191">
        <w:rPr>
          <w:rFonts w:cs="Tahoma"/>
          <w:sz w:val="24"/>
          <w:szCs w:val="24"/>
        </w:rPr>
        <w:t>jo</w:t>
      </w:r>
      <w:r w:rsidRPr="00314191">
        <w:rPr>
          <w:rFonts w:cs="Tahoma"/>
          <w:sz w:val="24"/>
          <w:szCs w:val="24"/>
        </w:rPr>
        <w:t xml:space="preserve"> igualmente</w:t>
      </w:r>
      <w:r w:rsidR="005B32C5" w:rsidRPr="00314191">
        <w:rPr>
          <w:rFonts w:cs="Tahoma"/>
          <w:sz w:val="24"/>
          <w:szCs w:val="24"/>
        </w:rPr>
        <w:t xml:space="preserve"> el despacho,</w:t>
      </w:r>
      <w:r w:rsidRPr="00314191">
        <w:rPr>
          <w:rFonts w:cs="Tahoma"/>
          <w:sz w:val="24"/>
          <w:szCs w:val="24"/>
        </w:rPr>
        <w:t xml:space="preserve"> que dicha valoración no se degrada con el tiempo ni con la purga efectiva de la pena aflictiva, en tanto ello corresponde a aspectos inherentes al comportamiento delictual y no al carácter progresivo del sistema penitenciario.</w:t>
      </w:r>
    </w:p>
    <w:p w:rsidR="001F59E8" w:rsidRPr="00314191" w:rsidRDefault="001F59E8" w:rsidP="00314191">
      <w:pPr>
        <w:spacing w:line="276" w:lineRule="auto"/>
        <w:rPr>
          <w:rFonts w:cs="Tahoma"/>
          <w:sz w:val="24"/>
          <w:szCs w:val="24"/>
        </w:rPr>
      </w:pPr>
    </w:p>
    <w:p w:rsidR="00A66267" w:rsidRPr="00314191" w:rsidRDefault="00A66267" w:rsidP="00314191">
      <w:pPr>
        <w:spacing w:line="276" w:lineRule="auto"/>
        <w:rPr>
          <w:rFonts w:cs="Tahoma"/>
          <w:b/>
          <w:sz w:val="24"/>
          <w:szCs w:val="24"/>
        </w:rPr>
      </w:pPr>
      <w:r w:rsidRPr="00314191">
        <w:rPr>
          <w:rFonts w:cs="Tahoma"/>
          <w:b/>
          <w:sz w:val="24"/>
          <w:szCs w:val="24"/>
        </w:rPr>
        <w:t>3.- RECURSO</w:t>
      </w:r>
    </w:p>
    <w:p w:rsidR="00A66267" w:rsidRPr="00314191" w:rsidRDefault="00A66267" w:rsidP="00314191">
      <w:pPr>
        <w:spacing w:line="276" w:lineRule="auto"/>
        <w:rPr>
          <w:rFonts w:cs="Tahoma"/>
          <w:sz w:val="24"/>
          <w:szCs w:val="24"/>
        </w:rPr>
      </w:pPr>
    </w:p>
    <w:p w:rsidR="001F59E8" w:rsidRPr="00314191" w:rsidRDefault="001F59E8" w:rsidP="00314191">
      <w:pPr>
        <w:spacing w:line="276" w:lineRule="auto"/>
        <w:rPr>
          <w:rFonts w:cs="Tahoma"/>
          <w:sz w:val="24"/>
          <w:szCs w:val="24"/>
        </w:rPr>
      </w:pPr>
      <w:r w:rsidRPr="00314191">
        <w:rPr>
          <w:rFonts w:cs="Tahoma"/>
          <w:sz w:val="24"/>
          <w:szCs w:val="24"/>
        </w:rPr>
        <w:t xml:space="preserve">Inconforme con la determinación adoptada, el defensor público del sentenciado interpuso recurso al estimar que </w:t>
      </w:r>
      <w:r w:rsidR="00AE6E3E" w:rsidRPr="00314191">
        <w:rPr>
          <w:rFonts w:cs="Tahoma"/>
          <w:sz w:val="24"/>
          <w:szCs w:val="24"/>
        </w:rPr>
        <w:t>el a quo desconoce que el interno ya ha cumplido el 80% de la pena impuesta y de forma cabal su proceso de resocialización, lo cual debe se</w:t>
      </w:r>
      <w:r w:rsidR="00287BF0" w:rsidRPr="00314191">
        <w:rPr>
          <w:rFonts w:cs="Tahoma"/>
          <w:sz w:val="24"/>
          <w:szCs w:val="24"/>
        </w:rPr>
        <w:t>r</w:t>
      </w:r>
      <w:r w:rsidR="00AE6E3E" w:rsidRPr="00314191">
        <w:rPr>
          <w:rFonts w:cs="Tahoma"/>
          <w:sz w:val="24"/>
          <w:szCs w:val="24"/>
        </w:rPr>
        <w:t xml:space="preserve"> objeto de análisis </w:t>
      </w:r>
      <w:r w:rsidR="00287BF0" w:rsidRPr="00314191">
        <w:rPr>
          <w:rFonts w:cs="Tahoma"/>
          <w:sz w:val="24"/>
          <w:szCs w:val="24"/>
        </w:rPr>
        <w:t xml:space="preserve">acorde con lo establecido en la </w:t>
      </w:r>
      <w:r w:rsidR="00AE6E3E" w:rsidRPr="00314191">
        <w:rPr>
          <w:rFonts w:cs="Tahoma"/>
          <w:sz w:val="24"/>
          <w:szCs w:val="24"/>
        </w:rPr>
        <w:t>sentencia de tutela 107644 de 2019. Señala igualmente que no se analiz</w:t>
      </w:r>
      <w:r w:rsidR="00287BF0" w:rsidRPr="00314191">
        <w:rPr>
          <w:rFonts w:cs="Tahoma"/>
          <w:sz w:val="24"/>
          <w:szCs w:val="24"/>
        </w:rPr>
        <w:t>aron</w:t>
      </w:r>
      <w:r w:rsidR="00AE6E3E" w:rsidRPr="00314191">
        <w:rPr>
          <w:rFonts w:cs="Tahoma"/>
          <w:sz w:val="24"/>
          <w:szCs w:val="24"/>
        </w:rPr>
        <w:t xml:space="preserve"> los fines de la pena</w:t>
      </w:r>
      <w:r w:rsidR="00287BF0" w:rsidRPr="00314191">
        <w:rPr>
          <w:rFonts w:cs="Tahoma"/>
          <w:sz w:val="24"/>
          <w:szCs w:val="24"/>
        </w:rPr>
        <w:t>, ni se</w:t>
      </w:r>
      <w:r w:rsidR="00AE6E3E" w:rsidRPr="00314191">
        <w:rPr>
          <w:rFonts w:cs="Tahoma"/>
          <w:sz w:val="24"/>
          <w:szCs w:val="24"/>
        </w:rPr>
        <w:t xml:space="preserve"> determin</w:t>
      </w:r>
      <w:r w:rsidR="00287BF0" w:rsidRPr="00314191">
        <w:rPr>
          <w:rFonts w:cs="Tahoma"/>
          <w:sz w:val="24"/>
          <w:szCs w:val="24"/>
        </w:rPr>
        <w:t>ó</w:t>
      </w:r>
      <w:r w:rsidR="00AE6E3E" w:rsidRPr="00314191">
        <w:rPr>
          <w:rFonts w:cs="Tahoma"/>
          <w:sz w:val="24"/>
          <w:szCs w:val="24"/>
        </w:rPr>
        <w:t xml:space="preserve"> si a</w:t>
      </w:r>
      <w:r w:rsidR="00287BF0" w:rsidRPr="00314191">
        <w:rPr>
          <w:rFonts w:cs="Tahoma"/>
          <w:sz w:val="24"/>
          <w:szCs w:val="24"/>
        </w:rPr>
        <w:t>ú</w:t>
      </w:r>
      <w:r w:rsidR="00AE6E3E" w:rsidRPr="00314191">
        <w:rPr>
          <w:rFonts w:cs="Tahoma"/>
          <w:sz w:val="24"/>
          <w:szCs w:val="24"/>
        </w:rPr>
        <w:t xml:space="preserve">n se hace necesario el tratamiento penitenciario, por lo cual considera que al </w:t>
      </w:r>
      <w:r w:rsidRPr="00314191">
        <w:rPr>
          <w:rFonts w:cs="Tahoma"/>
          <w:sz w:val="24"/>
          <w:szCs w:val="24"/>
        </w:rPr>
        <w:t>sentenciado no se le debe</w:t>
      </w:r>
      <w:r w:rsidR="002E0E29" w:rsidRPr="00314191">
        <w:rPr>
          <w:rFonts w:cs="Tahoma"/>
          <w:sz w:val="24"/>
          <w:szCs w:val="24"/>
        </w:rPr>
        <w:t xml:space="preserve"> </w:t>
      </w:r>
      <w:r w:rsidRPr="00314191">
        <w:rPr>
          <w:rFonts w:cs="Tahoma"/>
          <w:sz w:val="24"/>
          <w:szCs w:val="24"/>
        </w:rPr>
        <w:t xml:space="preserve">valorar la gravedad de la </w:t>
      </w:r>
      <w:r w:rsidR="00684C1D" w:rsidRPr="00314191">
        <w:rPr>
          <w:rFonts w:cs="Tahoma"/>
          <w:sz w:val="24"/>
          <w:szCs w:val="24"/>
        </w:rPr>
        <w:t xml:space="preserve">ilicitud </w:t>
      </w:r>
      <w:r w:rsidR="00AE6E3E" w:rsidRPr="00314191">
        <w:rPr>
          <w:rFonts w:cs="Tahoma"/>
          <w:sz w:val="24"/>
          <w:szCs w:val="24"/>
        </w:rPr>
        <w:t xml:space="preserve">sino su proceso de resocialización, </w:t>
      </w:r>
      <w:r w:rsidR="00287BF0" w:rsidRPr="00314191">
        <w:rPr>
          <w:rFonts w:cs="Tahoma"/>
          <w:sz w:val="24"/>
          <w:szCs w:val="24"/>
        </w:rPr>
        <w:t>en cuanto</w:t>
      </w:r>
      <w:r w:rsidR="00AE6E3E" w:rsidRPr="00314191">
        <w:rPr>
          <w:rFonts w:cs="Tahoma"/>
          <w:sz w:val="24"/>
          <w:szCs w:val="24"/>
        </w:rPr>
        <w:t xml:space="preserve"> la norma anterior no establecía tal requisito, máxime que la jurisprudencia es clara al decir que si el juez fallador no realizó tal valoración no le es dable hacerlo al juez ejecutor</w:t>
      </w:r>
      <w:r w:rsidR="00661BC8" w:rsidRPr="00314191">
        <w:rPr>
          <w:rFonts w:cs="Tahoma"/>
          <w:sz w:val="24"/>
          <w:szCs w:val="24"/>
        </w:rPr>
        <w:t xml:space="preserve">, </w:t>
      </w:r>
      <w:r w:rsidR="00287BF0" w:rsidRPr="00314191">
        <w:rPr>
          <w:rFonts w:cs="Tahoma"/>
          <w:sz w:val="24"/>
          <w:szCs w:val="24"/>
        </w:rPr>
        <w:t xml:space="preserve">con mayor razón cuando </w:t>
      </w:r>
      <w:r w:rsidR="00661BC8" w:rsidRPr="00314191">
        <w:rPr>
          <w:rFonts w:cs="Tahoma"/>
          <w:sz w:val="24"/>
          <w:szCs w:val="24"/>
        </w:rPr>
        <w:t xml:space="preserve">su conducta ha sido </w:t>
      </w:r>
      <w:r w:rsidRPr="00314191">
        <w:rPr>
          <w:rFonts w:cs="Tahoma"/>
          <w:sz w:val="24"/>
          <w:szCs w:val="24"/>
        </w:rPr>
        <w:t>calificad</w:t>
      </w:r>
      <w:r w:rsidR="00661BC8" w:rsidRPr="00314191">
        <w:rPr>
          <w:rFonts w:cs="Tahoma"/>
          <w:sz w:val="24"/>
          <w:szCs w:val="24"/>
        </w:rPr>
        <w:t>a</w:t>
      </w:r>
      <w:r w:rsidRPr="00314191">
        <w:rPr>
          <w:rFonts w:cs="Tahoma"/>
          <w:sz w:val="24"/>
          <w:szCs w:val="24"/>
        </w:rPr>
        <w:t xml:space="preserve"> como </w:t>
      </w:r>
      <w:r w:rsidR="00661BC8" w:rsidRPr="00314191">
        <w:rPr>
          <w:rFonts w:cs="Tahoma"/>
          <w:sz w:val="24"/>
          <w:szCs w:val="24"/>
        </w:rPr>
        <w:t>buena</w:t>
      </w:r>
      <w:r w:rsidRPr="00314191">
        <w:rPr>
          <w:rFonts w:cs="Tahoma"/>
          <w:sz w:val="24"/>
          <w:szCs w:val="24"/>
        </w:rPr>
        <w:t xml:space="preserve">. De no </w:t>
      </w:r>
      <w:r w:rsidR="00661BC8" w:rsidRPr="00314191">
        <w:rPr>
          <w:rFonts w:cs="Tahoma"/>
          <w:sz w:val="24"/>
          <w:szCs w:val="24"/>
        </w:rPr>
        <w:t xml:space="preserve">aceptarse </w:t>
      </w:r>
      <w:r w:rsidR="00287BF0" w:rsidRPr="00314191">
        <w:rPr>
          <w:rFonts w:cs="Tahoma"/>
          <w:sz w:val="24"/>
          <w:szCs w:val="24"/>
        </w:rPr>
        <w:t>tal</w:t>
      </w:r>
      <w:r w:rsidR="00661BC8" w:rsidRPr="00314191">
        <w:rPr>
          <w:rFonts w:cs="Tahoma"/>
          <w:sz w:val="24"/>
          <w:szCs w:val="24"/>
        </w:rPr>
        <w:t xml:space="preserve"> petición, </w:t>
      </w:r>
      <w:r w:rsidRPr="00314191">
        <w:rPr>
          <w:rFonts w:cs="Tahoma"/>
          <w:sz w:val="24"/>
          <w:szCs w:val="24"/>
        </w:rPr>
        <w:t xml:space="preserve">debe el juez </w:t>
      </w:r>
      <w:r w:rsidR="00684C1D" w:rsidRPr="00314191">
        <w:rPr>
          <w:rFonts w:cs="Tahoma"/>
          <w:sz w:val="24"/>
          <w:szCs w:val="24"/>
        </w:rPr>
        <w:t>p</w:t>
      </w:r>
      <w:r w:rsidRPr="00314191">
        <w:rPr>
          <w:rFonts w:cs="Tahoma"/>
          <w:sz w:val="24"/>
          <w:szCs w:val="24"/>
        </w:rPr>
        <w:t xml:space="preserve">robar de </w:t>
      </w:r>
      <w:r w:rsidR="00661BC8" w:rsidRPr="00314191">
        <w:rPr>
          <w:rFonts w:cs="Tahoma"/>
          <w:sz w:val="24"/>
          <w:szCs w:val="24"/>
        </w:rPr>
        <w:t xml:space="preserve">manera concreta y no abstracta </w:t>
      </w:r>
      <w:r w:rsidR="00CF0BD4" w:rsidRPr="00314191">
        <w:rPr>
          <w:rFonts w:cs="Tahoma"/>
          <w:sz w:val="24"/>
          <w:szCs w:val="24"/>
        </w:rPr>
        <w:t xml:space="preserve">que el comportamiento </w:t>
      </w:r>
      <w:r w:rsidRPr="00314191">
        <w:rPr>
          <w:rFonts w:cs="Tahoma"/>
          <w:sz w:val="24"/>
          <w:szCs w:val="24"/>
        </w:rPr>
        <w:t>del sentenciado pone en peligro a la sociedad.</w:t>
      </w:r>
    </w:p>
    <w:p w:rsidR="001F59E8" w:rsidRPr="00314191" w:rsidRDefault="001F59E8" w:rsidP="00314191">
      <w:pPr>
        <w:spacing w:line="276" w:lineRule="auto"/>
        <w:rPr>
          <w:rFonts w:cs="Tahoma"/>
          <w:sz w:val="24"/>
          <w:szCs w:val="24"/>
        </w:rPr>
      </w:pPr>
    </w:p>
    <w:p w:rsidR="001F59E8" w:rsidRPr="00314191" w:rsidRDefault="001F59E8" w:rsidP="00314191">
      <w:pPr>
        <w:spacing w:line="276" w:lineRule="auto"/>
        <w:rPr>
          <w:rFonts w:cs="Tahoma"/>
          <w:sz w:val="24"/>
          <w:szCs w:val="24"/>
        </w:rPr>
      </w:pPr>
      <w:r w:rsidRPr="00314191">
        <w:rPr>
          <w:rFonts w:cs="Tahoma"/>
          <w:sz w:val="24"/>
          <w:szCs w:val="24"/>
        </w:rPr>
        <w:lastRenderedPageBreak/>
        <w:t>Con fundamento en sentencia de la Sala de Casación Penal</w:t>
      </w:r>
      <w:r w:rsidR="004C00AA" w:rsidRPr="00314191">
        <w:rPr>
          <w:rFonts w:cs="Tahoma"/>
          <w:sz w:val="24"/>
          <w:szCs w:val="24"/>
        </w:rPr>
        <w:t>, doctrina especializada relativ</w:t>
      </w:r>
      <w:r w:rsidR="00684C1D" w:rsidRPr="00314191">
        <w:rPr>
          <w:rFonts w:cs="Tahoma"/>
          <w:sz w:val="24"/>
          <w:szCs w:val="24"/>
        </w:rPr>
        <w:t>a</w:t>
      </w:r>
      <w:r w:rsidR="004C00AA" w:rsidRPr="00314191">
        <w:rPr>
          <w:rFonts w:cs="Tahoma"/>
          <w:sz w:val="24"/>
          <w:szCs w:val="24"/>
        </w:rPr>
        <w:t xml:space="preserve"> a los fines de la pena, así como a los principios </w:t>
      </w:r>
      <w:r w:rsidR="004C00AA" w:rsidRPr="00314191">
        <w:rPr>
          <w:rFonts w:cs="Tahoma"/>
          <w:i/>
          <w:sz w:val="24"/>
          <w:szCs w:val="24"/>
        </w:rPr>
        <w:t xml:space="preserve">pro </w:t>
      </w:r>
      <w:proofErr w:type="spellStart"/>
      <w:r w:rsidR="004C00AA" w:rsidRPr="00314191">
        <w:rPr>
          <w:rFonts w:cs="Tahoma"/>
          <w:i/>
          <w:sz w:val="24"/>
          <w:szCs w:val="24"/>
        </w:rPr>
        <w:t>homine</w:t>
      </w:r>
      <w:proofErr w:type="spellEnd"/>
      <w:r w:rsidR="004C00AA" w:rsidRPr="00314191">
        <w:rPr>
          <w:rFonts w:cs="Tahoma"/>
          <w:sz w:val="24"/>
          <w:szCs w:val="24"/>
        </w:rPr>
        <w:t xml:space="preserve"> y de proporcionalidad, </w:t>
      </w:r>
      <w:r w:rsidR="00CF0BD4" w:rsidRPr="00314191">
        <w:rPr>
          <w:rFonts w:cs="Tahoma"/>
          <w:sz w:val="24"/>
          <w:szCs w:val="24"/>
        </w:rPr>
        <w:t>e igualmente en</w:t>
      </w:r>
      <w:r w:rsidR="00661BC8" w:rsidRPr="00314191">
        <w:rPr>
          <w:rFonts w:cs="Tahoma"/>
          <w:sz w:val="24"/>
          <w:szCs w:val="24"/>
        </w:rPr>
        <w:t xml:space="preserve"> decisión de un despacho judicial de este Distrito, </w:t>
      </w:r>
      <w:r w:rsidR="00CF0BD4" w:rsidRPr="00314191">
        <w:rPr>
          <w:rFonts w:cs="Tahoma"/>
          <w:sz w:val="24"/>
          <w:szCs w:val="24"/>
        </w:rPr>
        <w:t>solicita</w:t>
      </w:r>
      <w:r w:rsidR="004C00AA" w:rsidRPr="00314191">
        <w:rPr>
          <w:rFonts w:cs="Tahoma"/>
          <w:sz w:val="24"/>
          <w:szCs w:val="24"/>
        </w:rPr>
        <w:t xml:space="preserve"> la revocatoria de la dec</w:t>
      </w:r>
      <w:r w:rsidR="009C4252" w:rsidRPr="00314191">
        <w:rPr>
          <w:rFonts w:cs="Tahoma"/>
          <w:sz w:val="24"/>
          <w:szCs w:val="24"/>
        </w:rPr>
        <w:t>isión emitida y que en su lugar</w:t>
      </w:r>
      <w:r w:rsidR="004C00AA" w:rsidRPr="00314191">
        <w:rPr>
          <w:rFonts w:cs="Tahoma"/>
          <w:sz w:val="24"/>
          <w:szCs w:val="24"/>
        </w:rPr>
        <w:t xml:space="preserve"> se le conceda</w:t>
      </w:r>
      <w:r w:rsidR="00CF0BD4" w:rsidRPr="00314191">
        <w:rPr>
          <w:rFonts w:cs="Tahoma"/>
          <w:sz w:val="24"/>
          <w:szCs w:val="24"/>
        </w:rPr>
        <w:t xml:space="preserve"> a su representado</w:t>
      </w:r>
      <w:r w:rsidR="004C00AA" w:rsidRPr="00314191">
        <w:rPr>
          <w:rFonts w:cs="Tahoma"/>
          <w:sz w:val="24"/>
          <w:szCs w:val="24"/>
        </w:rPr>
        <w:t xml:space="preserve"> la libertad condicional.</w:t>
      </w:r>
    </w:p>
    <w:p w:rsidR="00597C71" w:rsidRPr="00314191" w:rsidRDefault="00597C71" w:rsidP="00314191">
      <w:pPr>
        <w:spacing w:line="276" w:lineRule="auto"/>
        <w:rPr>
          <w:rFonts w:cs="Tahoma"/>
          <w:sz w:val="24"/>
          <w:szCs w:val="24"/>
        </w:rPr>
      </w:pPr>
    </w:p>
    <w:p w:rsidR="004C00AA" w:rsidRPr="00314191" w:rsidRDefault="004C00AA" w:rsidP="00314191">
      <w:pPr>
        <w:spacing w:line="276" w:lineRule="auto"/>
        <w:rPr>
          <w:rFonts w:cs="Tahoma"/>
          <w:b/>
          <w:sz w:val="24"/>
          <w:szCs w:val="24"/>
        </w:rPr>
      </w:pPr>
      <w:r w:rsidRPr="00314191">
        <w:rPr>
          <w:rFonts w:cs="Tahoma"/>
          <w:b/>
          <w:sz w:val="24"/>
          <w:szCs w:val="24"/>
        </w:rPr>
        <w:t>4.- Para resolver,</w:t>
      </w:r>
      <w:r w:rsidR="002E0E29" w:rsidRPr="00314191">
        <w:rPr>
          <w:rFonts w:cs="Tahoma"/>
          <w:b/>
          <w:sz w:val="24"/>
          <w:szCs w:val="24"/>
        </w:rPr>
        <w:t xml:space="preserve"> </w:t>
      </w:r>
      <w:r w:rsidRPr="00314191">
        <w:rPr>
          <w:rFonts w:cs="Tahoma"/>
          <w:b/>
          <w:sz w:val="24"/>
          <w:szCs w:val="24"/>
        </w:rPr>
        <w:t>SE CONSIDERA</w:t>
      </w:r>
    </w:p>
    <w:p w:rsidR="003A1D96" w:rsidRPr="00314191" w:rsidRDefault="003A1D96" w:rsidP="00314191">
      <w:pPr>
        <w:spacing w:line="276" w:lineRule="auto"/>
        <w:rPr>
          <w:rFonts w:cs="Tahoma"/>
          <w:sz w:val="24"/>
          <w:szCs w:val="24"/>
        </w:rPr>
      </w:pPr>
    </w:p>
    <w:p w:rsidR="003A1D96" w:rsidRPr="00314191" w:rsidRDefault="003A1D96" w:rsidP="00314191">
      <w:pPr>
        <w:spacing w:line="276" w:lineRule="auto"/>
        <w:rPr>
          <w:rFonts w:cs="Tahoma"/>
          <w:sz w:val="24"/>
          <w:szCs w:val="24"/>
        </w:rPr>
      </w:pPr>
      <w:r w:rsidRPr="00314191">
        <w:rPr>
          <w:rFonts w:cs="Tahoma"/>
          <w:sz w:val="24"/>
          <w:szCs w:val="24"/>
        </w:rPr>
        <w:t xml:space="preserve">De </w:t>
      </w:r>
      <w:r w:rsidR="005B7905" w:rsidRPr="00314191">
        <w:rPr>
          <w:rFonts w:cs="Tahoma"/>
          <w:sz w:val="24"/>
          <w:szCs w:val="24"/>
        </w:rPr>
        <w:t xml:space="preserve">acuerdo </w:t>
      </w:r>
      <w:r w:rsidRPr="00314191">
        <w:rPr>
          <w:rFonts w:cs="Tahoma"/>
          <w:sz w:val="24"/>
          <w:szCs w:val="24"/>
        </w:rPr>
        <w:t xml:space="preserve">con el contenido de la petición presentada por la defensa, de la decisión </w:t>
      </w:r>
      <w:r w:rsidR="0087426D" w:rsidRPr="00314191">
        <w:rPr>
          <w:rFonts w:cs="Tahoma"/>
          <w:sz w:val="24"/>
          <w:szCs w:val="24"/>
        </w:rPr>
        <w:t xml:space="preserve">emitida </w:t>
      </w:r>
      <w:r w:rsidRPr="00314191">
        <w:rPr>
          <w:rFonts w:cs="Tahoma"/>
          <w:sz w:val="24"/>
          <w:szCs w:val="24"/>
        </w:rPr>
        <w:t xml:space="preserve">por </w:t>
      </w:r>
      <w:r w:rsidR="0087426D" w:rsidRPr="00314191">
        <w:rPr>
          <w:rFonts w:cs="Tahoma"/>
          <w:sz w:val="24"/>
          <w:szCs w:val="24"/>
        </w:rPr>
        <w:t>el</w:t>
      </w:r>
      <w:r w:rsidRPr="00314191">
        <w:rPr>
          <w:rFonts w:cs="Tahoma"/>
          <w:sz w:val="24"/>
          <w:szCs w:val="24"/>
        </w:rPr>
        <w:t xml:space="preserve"> juez de primer grado y de lo expresado en el recurso de apelación, al Tribunal le corresponde decidir, básicamente, lo relativo a </w:t>
      </w:r>
      <w:r w:rsidR="009C4252" w:rsidRPr="00314191">
        <w:rPr>
          <w:rFonts w:cs="Tahoma"/>
          <w:sz w:val="24"/>
          <w:szCs w:val="24"/>
        </w:rPr>
        <w:t xml:space="preserve">si </w:t>
      </w:r>
      <w:r w:rsidRPr="00314191">
        <w:rPr>
          <w:rFonts w:cs="Tahoma"/>
          <w:sz w:val="24"/>
          <w:szCs w:val="24"/>
        </w:rPr>
        <w:t>se cumplen</w:t>
      </w:r>
      <w:r w:rsidR="00E83FD0" w:rsidRPr="00314191">
        <w:rPr>
          <w:rFonts w:cs="Tahoma"/>
          <w:sz w:val="24"/>
          <w:szCs w:val="24"/>
        </w:rPr>
        <w:t xml:space="preserve"> o no</w:t>
      </w:r>
      <w:r w:rsidR="009C4252" w:rsidRPr="00314191">
        <w:rPr>
          <w:rFonts w:cs="Tahoma"/>
          <w:sz w:val="24"/>
          <w:szCs w:val="24"/>
        </w:rPr>
        <w:t xml:space="preserve"> en este caso las exigencias de ley</w:t>
      </w:r>
      <w:r w:rsidRPr="00314191">
        <w:rPr>
          <w:rFonts w:cs="Tahoma"/>
          <w:sz w:val="24"/>
          <w:szCs w:val="24"/>
        </w:rPr>
        <w:t xml:space="preserve"> para</w:t>
      </w:r>
      <w:r w:rsidR="009C4252" w:rsidRPr="00314191">
        <w:rPr>
          <w:rFonts w:cs="Tahoma"/>
          <w:sz w:val="24"/>
          <w:szCs w:val="24"/>
        </w:rPr>
        <w:t xml:space="preserve"> que el interno se haga merecedor a</w:t>
      </w:r>
      <w:r w:rsidRPr="00314191">
        <w:rPr>
          <w:rFonts w:cs="Tahoma"/>
          <w:sz w:val="24"/>
          <w:szCs w:val="24"/>
        </w:rPr>
        <w:t xml:space="preserve"> la libertad condicional.</w:t>
      </w:r>
    </w:p>
    <w:p w:rsidR="00A55FC9" w:rsidRPr="00314191" w:rsidRDefault="00A55FC9" w:rsidP="00314191">
      <w:pPr>
        <w:spacing w:line="276" w:lineRule="auto"/>
        <w:rPr>
          <w:rFonts w:cs="Tahoma"/>
          <w:sz w:val="24"/>
          <w:szCs w:val="24"/>
        </w:rPr>
      </w:pPr>
    </w:p>
    <w:p w:rsidR="00317FA5" w:rsidRPr="00314191" w:rsidRDefault="00E83FD0" w:rsidP="00314191">
      <w:pPr>
        <w:spacing w:line="276" w:lineRule="auto"/>
        <w:rPr>
          <w:rFonts w:cs="Tahoma"/>
          <w:sz w:val="24"/>
          <w:szCs w:val="24"/>
        </w:rPr>
      </w:pPr>
      <w:r w:rsidRPr="00314191">
        <w:rPr>
          <w:rFonts w:cs="Tahoma"/>
          <w:sz w:val="24"/>
          <w:szCs w:val="24"/>
        </w:rPr>
        <w:t>D</w:t>
      </w:r>
      <w:r w:rsidR="003A1D96" w:rsidRPr="00314191">
        <w:rPr>
          <w:rFonts w:cs="Tahoma"/>
          <w:sz w:val="24"/>
          <w:szCs w:val="24"/>
        </w:rPr>
        <w:t>ebe</w:t>
      </w:r>
      <w:r w:rsidRPr="00314191">
        <w:rPr>
          <w:rFonts w:cs="Tahoma"/>
          <w:sz w:val="24"/>
          <w:szCs w:val="24"/>
        </w:rPr>
        <w:t xml:space="preserve"> la Sala</w:t>
      </w:r>
      <w:r w:rsidR="003A1D96" w:rsidRPr="00314191">
        <w:rPr>
          <w:rFonts w:cs="Tahoma"/>
          <w:sz w:val="24"/>
          <w:szCs w:val="24"/>
        </w:rPr>
        <w:t xml:space="preserve"> empezar</w:t>
      </w:r>
      <w:r w:rsidR="002E0E29" w:rsidRPr="00314191">
        <w:rPr>
          <w:rFonts w:cs="Tahoma"/>
          <w:sz w:val="24"/>
          <w:szCs w:val="24"/>
        </w:rPr>
        <w:t xml:space="preserve"> </w:t>
      </w:r>
      <w:r w:rsidR="003A1D96" w:rsidRPr="00314191">
        <w:rPr>
          <w:rFonts w:cs="Tahoma"/>
          <w:sz w:val="24"/>
          <w:szCs w:val="24"/>
        </w:rPr>
        <w:t>por señalar</w:t>
      </w:r>
      <w:r w:rsidRPr="00314191">
        <w:rPr>
          <w:rFonts w:cs="Tahoma"/>
          <w:sz w:val="24"/>
          <w:szCs w:val="24"/>
        </w:rPr>
        <w:t>,</w:t>
      </w:r>
      <w:r w:rsidR="003A1D96" w:rsidRPr="00314191">
        <w:rPr>
          <w:rFonts w:cs="Tahoma"/>
          <w:sz w:val="24"/>
          <w:szCs w:val="24"/>
        </w:rPr>
        <w:t xml:space="preserve"> que</w:t>
      </w:r>
      <w:r w:rsidR="005C6D5A" w:rsidRPr="00314191">
        <w:rPr>
          <w:rFonts w:cs="Tahoma"/>
          <w:sz w:val="24"/>
          <w:szCs w:val="24"/>
        </w:rPr>
        <w:t xml:space="preserve"> est</w:t>
      </w:r>
      <w:r w:rsidR="00597C71" w:rsidRPr="00314191">
        <w:rPr>
          <w:rFonts w:cs="Tahoma"/>
          <w:sz w:val="24"/>
          <w:szCs w:val="24"/>
        </w:rPr>
        <w:t xml:space="preserve">a misma Corporación </w:t>
      </w:r>
      <w:r w:rsidR="005C6D5A" w:rsidRPr="00314191">
        <w:rPr>
          <w:rFonts w:cs="Tahoma"/>
          <w:sz w:val="24"/>
          <w:szCs w:val="24"/>
        </w:rPr>
        <w:t xml:space="preserve">mediante providencia de febrero 24 de 2020, </w:t>
      </w:r>
      <w:r w:rsidRPr="00314191">
        <w:rPr>
          <w:rFonts w:cs="Tahoma"/>
          <w:sz w:val="24"/>
          <w:szCs w:val="24"/>
        </w:rPr>
        <w:t xml:space="preserve">ya </w:t>
      </w:r>
      <w:r w:rsidR="005C6D5A" w:rsidRPr="00314191">
        <w:rPr>
          <w:rFonts w:cs="Tahoma"/>
          <w:sz w:val="24"/>
          <w:szCs w:val="24"/>
        </w:rPr>
        <w:t xml:space="preserve">se había pronunciado </w:t>
      </w:r>
      <w:r w:rsidR="00317FA5" w:rsidRPr="00314191">
        <w:rPr>
          <w:rFonts w:cs="Tahoma"/>
          <w:sz w:val="24"/>
          <w:szCs w:val="24"/>
        </w:rPr>
        <w:t>respecto a la negativa de concederle al sentenciado la libertad condicional,</w:t>
      </w:r>
      <w:r w:rsidRPr="00314191">
        <w:rPr>
          <w:rFonts w:cs="Tahoma"/>
          <w:sz w:val="24"/>
          <w:szCs w:val="24"/>
        </w:rPr>
        <w:t xml:space="preserve"> razón por la cual </w:t>
      </w:r>
      <w:r w:rsidR="00317FA5" w:rsidRPr="00314191">
        <w:rPr>
          <w:rFonts w:cs="Tahoma"/>
          <w:sz w:val="24"/>
          <w:szCs w:val="24"/>
        </w:rPr>
        <w:t>en esta ocasión, y al tratarse de igual situación,</w:t>
      </w:r>
      <w:r w:rsidRPr="00314191">
        <w:rPr>
          <w:rFonts w:cs="Tahoma"/>
          <w:sz w:val="24"/>
          <w:szCs w:val="24"/>
        </w:rPr>
        <w:t xml:space="preserve"> se</w:t>
      </w:r>
      <w:r w:rsidR="00317FA5" w:rsidRPr="00314191">
        <w:rPr>
          <w:rFonts w:cs="Tahoma"/>
          <w:sz w:val="24"/>
          <w:szCs w:val="24"/>
        </w:rPr>
        <w:t xml:space="preserve"> hará uso de similares argumentos a los sostenidos en aquella </w:t>
      </w:r>
      <w:r w:rsidRPr="00314191">
        <w:rPr>
          <w:rFonts w:cs="Tahoma"/>
          <w:sz w:val="24"/>
          <w:szCs w:val="24"/>
        </w:rPr>
        <w:t>oportunidad</w:t>
      </w:r>
      <w:r w:rsidR="00317FA5" w:rsidRPr="00314191">
        <w:rPr>
          <w:rFonts w:cs="Tahoma"/>
          <w:sz w:val="24"/>
          <w:szCs w:val="24"/>
        </w:rPr>
        <w:t xml:space="preserve">, </w:t>
      </w:r>
      <w:r w:rsidRPr="00314191">
        <w:rPr>
          <w:rFonts w:cs="Tahoma"/>
          <w:sz w:val="24"/>
          <w:szCs w:val="24"/>
        </w:rPr>
        <w:t>por estimar la Colegiatura</w:t>
      </w:r>
      <w:r w:rsidR="00317FA5" w:rsidRPr="00314191">
        <w:rPr>
          <w:rFonts w:cs="Tahoma"/>
          <w:sz w:val="24"/>
          <w:szCs w:val="24"/>
        </w:rPr>
        <w:t xml:space="preserve"> que las circunstancia</w:t>
      </w:r>
      <w:r w:rsidR="002E0E29" w:rsidRPr="00314191">
        <w:rPr>
          <w:rFonts w:cs="Tahoma"/>
          <w:sz w:val="24"/>
          <w:szCs w:val="24"/>
        </w:rPr>
        <w:t>s</w:t>
      </w:r>
      <w:r w:rsidR="00317FA5" w:rsidRPr="00314191">
        <w:rPr>
          <w:rFonts w:cs="Tahoma"/>
          <w:sz w:val="24"/>
          <w:szCs w:val="24"/>
        </w:rPr>
        <w:t xml:space="preserve"> que motivaron la confirmación de tal proveído no han variado, en tanto estas tuvieron como fundamento la valoración de la gravedad de la ilicitud en la que incurrió el señor</w:t>
      </w:r>
      <w:r w:rsidR="00317FA5" w:rsidRPr="00314191">
        <w:rPr>
          <w:rFonts w:cs="Tahoma"/>
          <w:b/>
          <w:sz w:val="24"/>
          <w:szCs w:val="24"/>
        </w:rPr>
        <w:t xml:space="preserve"> </w:t>
      </w:r>
      <w:r w:rsidR="000944BF">
        <w:rPr>
          <w:rFonts w:cs="Tahoma"/>
          <w:b/>
          <w:sz w:val="24"/>
          <w:szCs w:val="24"/>
        </w:rPr>
        <w:t>CASO</w:t>
      </w:r>
      <w:r w:rsidR="00317FA5" w:rsidRPr="00314191">
        <w:rPr>
          <w:rFonts w:cs="Tahoma"/>
          <w:sz w:val="24"/>
          <w:szCs w:val="24"/>
        </w:rPr>
        <w:t>, mismas que como bien lo señaló el funcionario de primer nivel</w:t>
      </w:r>
      <w:r w:rsidRPr="00314191">
        <w:rPr>
          <w:rFonts w:cs="Tahoma"/>
          <w:sz w:val="24"/>
          <w:szCs w:val="24"/>
        </w:rPr>
        <w:t>,</w:t>
      </w:r>
      <w:r w:rsidR="00317FA5" w:rsidRPr="00314191">
        <w:rPr>
          <w:rFonts w:cs="Tahoma"/>
          <w:sz w:val="24"/>
          <w:szCs w:val="24"/>
        </w:rPr>
        <w:t xml:space="preserve"> no varían con el transcurrir del tiempo.</w:t>
      </w:r>
    </w:p>
    <w:p w:rsidR="00317FA5" w:rsidRPr="00314191" w:rsidRDefault="00317FA5" w:rsidP="00314191">
      <w:pPr>
        <w:spacing w:line="276" w:lineRule="auto"/>
        <w:rPr>
          <w:rFonts w:cs="Tahoma"/>
          <w:sz w:val="24"/>
          <w:szCs w:val="24"/>
        </w:rPr>
      </w:pPr>
    </w:p>
    <w:p w:rsidR="003A1D96" w:rsidRPr="00314191" w:rsidRDefault="00E83FD0" w:rsidP="00314191">
      <w:pPr>
        <w:spacing w:line="276" w:lineRule="auto"/>
        <w:rPr>
          <w:rFonts w:cs="Tahoma"/>
          <w:color w:val="000000"/>
          <w:sz w:val="24"/>
          <w:szCs w:val="24"/>
          <w:lang w:val="es-CO"/>
        </w:rPr>
      </w:pPr>
      <w:r w:rsidRPr="00314191">
        <w:rPr>
          <w:rFonts w:cs="Tahoma"/>
          <w:sz w:val="24"/>
          <w:szCs w:val="24"/>
        </w:rPr>
        <w:t>En ese sentido, es forzoso recordar que e</w:t>
      </w:r>
      <w:r w:rsidR="00317FA5" w:rsidRPr="00314191">
        <w:rPr>
          <w:rFonts w:cs="Tahoma"/>
          <w:sz w:val="24"/>
          <w:szCs w:val="24"/>
        </w:rPr>
        <w:t xml:space="preserve">l canon </w:t>
      </w:r>
      <w:r w:rsidR="003A1D96" w:rsidRPr="00314191">
        <w:rPr>
          <w:rFonts w:cs="Tahoma"/>
          <w:sz w:val="24"/>
          <w:szCs w:val="24"/>
        </w:rPr>
        <w:t xml:space="preserve">64 </w:t>
      </w:r>
      <w:proofErr w:type="spellStart"/>
      <w:r w:rsidR="003A1D96" w:rsidRPr="00314191">
        <w:rPr>
          <w:rFonts w:cs="Tahoma"/>
          <w:sz w:val="24"/>
          <w:szCs w:val="24"/>
        </w:rPr>
        <w:t>C.P.P</w:t>
      </w:r>
      <w:proofErr w:type="spellEnd"/>
      <w:r w:rsidR="003A1D96" w:rsidRPr="00314191">
        <w:rPr>
          <w:rFonts w:cs="Tahoma"/>
          <w:sz w:val="24"/>
          <w:szCs w:val="24"/>
        </w:rPr>
        <w:t xml:space="preserve">. fija los parámetros que debe tener en consideración el juez encargado de la vigilancia de la pena, </w:t>
      </w:r>
      <w:r w:rsidR="0087426D" w:rsidRPr="00314191">
        <w:rPr>
          <w:rFonts w:cs="Tahoma"/>
          <w:sz w:val="24"/>
          <w:szCs w:val="24"/>
        </w:rPr>
        <w:t xml:space="preserve">para establecer </w:t>
      </w:r>
      <w:r w:rsidR="003A1D96" w:rsidRPr="00314191">
        <w:rPr>
          <w:rFonts w:cs="Tahoma"/>
          <w:sz w:val="24"/>
          <w:szCs w:val="24"/>
        </w:rPr>
        <w:t xml:space="preserve">si una persona que se encuentra sentenciada, puede o no </w:t>
      </w:r>
      <w:r w:rsidR="003A1D96" w:rsidRPr="00314191">
        <w:rPr>
          <w:rFonts w:cs="Tahoma"/>
          <w:color w:val="000000"/>
          <w:sz w:val="24"/>
          <w:szCs w:val="24"/>
          <w:lang w:val="es-CO"/>
        </w:rPr>
        <w:t>ser merecedor</w:t>
      </w:r>
      <w:r w:rsidR="00F93B73" w:rsidRPr="00314191">
        <w:rPr>
          <w:rFonts w:cs="Tahoma"/>
          <w:color w:val="000000"/>
          <w:sz w:val="24"/>
          <w:szCs w:val="24"/>
          <w:lang w:val="es-CO"/>
        </w:rPr>
        <w:t>a</w:t>
      </w:r>
      <w:r w:rsidR="003A1D96" w:rsidRPr="00314191">
        <w:rPr>
          <w:rFonts w:cs="Tahoma"/>
          <w:color w:val="000000"/>
          <w:sz w:val="24"/>
          <w:szCs w:val="24"/>
          <w:lang w:val="es-CO"/>
        </w:rPr>
        <w:t xml:space="preserve"> del subrogado de la libertad condicional. Dicha norma dispone: </w:t>
      </w:r>
    </w:p>
    <w:p w:rsidR="003A1D96" w:rsidRPr="00314191" w:rsidRDefault="003A1D96" w:rsidP="00314191">
      <w:pPr>
        <w:spacing w:line="276" w:lineRule="auto"/>
        <w:rPr>
          <w:rFonts w:cs="Tahoma"/>
          <w:color w:val="000000"/>
          <w:sz w:val="24"/>
          <w:szCs w:val="24"/>
          <w:lang w:val="es-CO"/>
        </w:rPr>
      </w:pPr>
    </w:p>
    <w:p w:rsidR="003A1D96" w:rsidRPr="00314191" w:rsidRDefault="003A1D96" w:rsidP="00314191">
      <w:pPr>
        <w:pStyle w:val="NormalWeb"/>
        <w:spacing w:before="0" w:beforeAutospacing="0" w:after="0" w:afterAutospacing="0"/>
        <w:ind w:left="426" w:right="420"/>
        <w:jc w:val="both"/>
        <w:rPr>
          <w:rFonts w:ascii="Tahoma" w:hAnsi="Tahoma" w:cs="Tahoma"/>
          <w:sz w:val="22"/>
        </w:rPr>
      </w:pPr>
      <w:bookmarkStart w:id="0" w:name="64"/>
      <w:r w:rsidRPr="00314191">
        <w:rPr>
          <w:rFonts w:ascii="Tahoma" w:hAnsi="Tahoma" w:cs="Tahoma"/>
          <w:b/>
          <w:bCs/>
          <w:sz w:val="22"/>
        </w:rPr>
        <w:t>“ARTICULO 64. LIBERTAD CONDICIONAL.</w:t>
      </w:r>
      <w:bookmarkEnd w:id="0"/>
      <w:r w:rsidRPr="00314191">
        <w:rPr>
          <w:rFonts w:ascii="Tahoma" w:hAnsi="Tahoma" w:cs="Tahoma"/>
          <w:sz w:val="22"/>
        </w:rPr>
        <w:t xml:space="preserve"> El juez, previa valoración de la conducta punible, concederá la libertad condicional a la persona condenada a pena privativa de la libertad cuando haya cumplido con los siguientes requisitos:</w:t>
      </w:r>
    </w:p>
    <w:p w:rsidR="003A1D96" w:rsidRPr="00314191" w:rsidRDefault="003A1D96" w:rsidP="00314191">
      <w:pPr>
        <w:pStyle w:val="NormalWeb"/>
        <w:spacing w:before="0" w:beforeAutospacing="0" w:after="0" w:afterAutospacing="0"/>
        <w:ind w:left="426" w:right="420"/>
        <w:jc w:val="both"/>
        <w:rPr>
          <w:rFonts w:ascii="Tahoma" w:hAnsi="Tahoma" w:cs="Tahoma"/>
          <w:sz w:val="22"/>
        </w:rPr>
      </w:pPr>
    </w:p>
    <w:p w:rsidR="003A1D96" w:rsidRPr="00314191" w:rsidRDefault="003A1D96" w:rsidP="00314191">
      <w:pPr>
        <w:pStyle w:val="NormalWeb"/>
        <w:spacing w:before="0" w:beforeAutospacing="0" w:after="0" w:afterAutospacing="0"/>
        <w:ind w:left="426" w:right="420"/>
        <w:jc w:val="both"/>
        <w:rPr>
          <w:rFonts w:ascii="Tahoma" w:hAnsi="Tahoma" w:cs="Tahoma"/>
          <w:sz w:val="22"/>
        </w:rPr>
      </w:pPr>
      <w:r w:rsidRPr="00314191">
        <w:rPr>
          <w:rFonts w:ascii="Tahoma" w:hAnsi="Tahoma" w:cs="Tahoma"/>
          <w:sz w:val="22"/>
        </w:rPr>
        <w:t>1. Que la persona haya cumplido las tres quintas (3/5) partes de la pena.</w:t>
      </w:r>
    </w:p>
    <w:p w:rsidR="003A1D96" w:rsidRPr="00314191" w:rsidRDefault="003A1D96" w:rsidP="00314191">
      <w:pPr>
        <w:pStyle w:val="NormalWeb"/>
        <w:spacing w:before="0" w:beforeAutospacing="0" w:after="0" w:afterAutospacing="0"/>
        <w:ind w:left="426" w:right="420"/>
        <w:jc w:val="both"/>
        <w:rPr>
          <w:rFonts w:ascii="Tahoma" w:hAnsi="Tahoma" w:cs="Tahoma"/>
          <w:sz w:val="22"/>
        </w:rPr>
      </w:pPr>
    </w:p>
    <w:p w:rsidR="003A1D96" w:rsidRPr="00314191" w:rsidRDefault="003A1D96" w:rsidP="00314191">
      <w:pPr>
        <w:pStyle w:val="NormalWeb"/>
        <w:spacing w:before="0" w:beforeAutospacing="0" w:after="0" w:afterAutospacing="0"/>
        <w:ind w:left="426" w:right="420"/>
        <w:jc w:val="both"/>
        <w:rPr>
          <w:rFonts w:ascii="Tahoma" w:hAnsi="Tahoma" w:cs="Tahoma"/>
          <w:sz w:val="22"/>
        </w:rPr>
      </w:pPr>
      <w:r w:rsidRPr="00314191">
        <w:rPr>
          <w:rFonts w:ascii="Tahoma" w:hAnsi="Tahoma" w:cs="Tahoma"/>
          <w:sz w:val="22"/>
        </w:rPr>
        <w:t>2. Que su adecuado desempeño y comportamiento durante el tratamiento penitenciario en el centro de reclusión permita suponer fundadamente que no existe necesidad de continuar la ejecución de la pena.</w:t>
      </w:r>
    </w:p>
    <w:p w:rsidR="003A1D96" w:rsidRPr="00314191" w:rsidRDefault="003A1D96" w:rsidP="00314191">
      <w:pPr>
        <w:pStyle w:val="NormalWeb"/>
        <w:spacing w:before="0" w:beforeAutospacing="0" w:after="0" w:afterAutospacing="0"/>
        <w:ind w:left="426" w:right="420"/>
        <w:jc w:val="both"/>
        <w:rPr>
          <w:rFonts w:ascii="Tahoma" w:hAnsi="Tahoma" w:cs="Tahoma"/>
          <w:sz w:val="22"/>
        </w:rPr>
      </w:pPr>
    </w:p>
    <w:p w:rsidR="0050026D" w:rsidRPr="00314191" w:rsidRDefault="003A1D96" w:rsidP="00314191">
      <w:pPr>
        <w:pStyle w:val="NormalWeb"/>
        <w:spacing w:before="0" w:beforeAutospacing="0" w:after="0" w:afterAutospacing="0"/>
        <w:ind w:left="426" w:right="420"/>
        <w:jc w:val="both"/>
        <w:rPr>
          <w:rFonts w:ascii="Tahoma" w:hAnsi="Tahoma" w:cs="Tahoma"/>
          <w:sz w:val="22"/>
        </w:rPr>
      </w:pPr>
      <w:r w:rsidRPr="00314191">
        <w:rPr>
          <w:rFonts w:ascii="Tahoma" w:hAnsi="Tahoma" w:cs="Tahoma"/>
          <w:sz w:val="22"/>
        </w:rPr>
        <w:t>3. Que demuestre arraigo familiar y social</w:t>
      </w:r>
    </w:p>
    <w:p w:rsidR="0050026D" w:rsidRPr="00314191" w:rsidRDefault="0050026D" w:rsidP="00314191">
      <w:pPr>
        <w:pStyle w:val="NormalWeb"/>
        <w:spacing w:before="0" w:beforeAutospacing="0" w:after="0" w:afterAutospacing="0"/>
        <w:ind w:left="426" w:right="420"/>
        <w:jc w:val="both"/>
        <w:rPr>
          <w:rFonts w:ascii="Tahoma" w:hAnsi="Tahoma" w:cs="Tahoma"/>
          <w:sz w:val="22"/>
        </w:rPr>
      </w:pPr>
    </w:p>
    <w:p w:rsidR="0050026D" w:rsidRPr="00314191" w:rsidRDefault="0050026D" w:rsidP="00314191">
      <w:pPr>
        <w:pStyle w:val="NormalWeb"/>
        <w:spacing w:before="0" w:beforeAutospacing="0" w:after="0" w:afterAutospacing="0"/>
        <w:ind w:left="426" w:right="420"/>
        <w:jc w:val="both"/>
        <w:rPr>
          <w:rFonts w:ascii="Tahoma" w:hAnsi="Tahoma" w:cs="Tahoma"/>
          <w:sz w:val="22"/>
        </w:rPr>
      </w:pPr>
      <w:r w:rsidRPr="00314191">
        <w:rPr>
          <w:rFonts w:ascii="Tahoma" w:hAnsi="Tahoma" w:cs="Tahoma"/>
          <w:sz w:val="22"/>
        </w:rPr>
        <w:t>Corresponde al juez competente para conceder la libertad condicional establecer, con todos los elementos de prueba allegados a la actuación, la existencia o inexistencia del arraigo.</w:t>
      </w:r>
    </w:p>
    <w:p w:rsidR="003A1D96" w:rsidRPr="00314191" w:rsidRDefault="0050026D" w:rsidP="00314191">
      <w:pPr>
        <w:pStyle w:val="NormalWeb"/>
        <w:spacing w:before="0" w:beforeAutospacing="0" w:after="0" w:afterAutospacing="0"/>
        <w:ind w:left="426" w:right="420"/>
        <w:jc w:val="both"/>
        <w:rPr>
          <w:rFonts w:ascii="Tahoma" w:hAnsi="Tahoma" w:cs="Tahoma"/>
          <w:sz w:val="22"/>
        </w:rPr>
      </w:pPr>
      <w:r w:rsidRPr="00314191">
        <w:rPr>
          <w:rFonts w:ascii="Tahoma" w:hAnsi="Tahoma" w:cs="Tahoma"/>
          <w:sz w:val="22"/>
        </w:rPr>
        <w:br/>
        <w:t>En todo caso su concesión estará supeditada a la reparación a la víctima o al aseguramiento del pago de la indemnización mediante garantía personal, real, bancaria o acuerdo de pago, salvo que se demuestre insolvencia del condenado</w:t>
      </w:r>
      <w:proofErr w:type="gramStart"/>
      <w:r w:rsidRPr="00314191">
        <w:rPr>
          <w:rFonts w:ascii="Tahoma" w:hAnsi="Tahoma" w:cs="Tahoma"/>
          <w:sz w:val="22"/>
        </w:rPr>
        <w:t>.</w:t>
      </w:r>
      <w:r w:rsidR="003A1D96" w:rsidRPr="00314191">
        <w:rPr>
          <w:rFonts w:ascii="Tahoma" w:hAnsi="Tahoma" w:cs="Tahoma"/>
          <w:sz w:val="22"/>
        </w:rPr>
        <w:t>(</w:t>
      </w:r>
      <w:proofErr w:type="gramEnd"/>
      <w:r w:rsidR="003A1D96" w:rsidRPr="00314191">
        <w:rPr>
          <w:rFonts w:ascii="Tahoma" w:hAnsi="Tahoma" w:cs="Tahoma"/>
          <w:sz w:val="22"/>
        </w:rPr>
        <w:t xml:space="preserve">…)” </w:t>
      </w:r>
    </w:p>
    <w:p w:rsidR="00E83FD0" w:rsidRPr="00314191" w:rsidRDefault="00E83FD0" w:rsidP="00314191">
      <w:pPr>
        <w:pStyle w:val="NormalWeb"/>
        <w:spacing w:before="0" w:beforeAutospacing="0" w:after="0" w:afterAutospacing="0" w:line="276" w:lineRule="auto"/>
        <w:ind w:left="510" w:right="618"/>
        <w:jc w:val="both"/>
        <w:rPr>
          <w:rFonts w:ascii="Tahoma" w:hAnsi="Tahoma" w:cs="Tahoma"/>
        </w:rPr>
      </w:pPr>
    </w:p>
    <w:p w:rsidR="003A1D96" w:rsidRPr="00314191" w:rsidRDefault="005E0902" w:rsidP="00314191">
      <w:pPr>
        <w:spacing w:line="276" w:lineRule="auto"/>
        <w:rPr>
          <w:rFonts w:cs="Tahoma"/>
          <w:sz w:val="24"/>
          <w:szCs w:val="24"/>
        </w:rPr>
      </w:pPr>
      <w:r w:rsidRPr="00314191">
        <w:rPr>
          <w:rFonts w:cs="Tahoma"/>
          <w:color w:val="000000"/>
          <w:sz w:val="24"/>
          <w:szCs w:val="24"/>
          <w:lang w:val="es-CO"/>
        </w:rPr>
        <w:lastRenderedPageBreak/>
        <w:t>Ese precepto</w:t>
      </w:r>
      <w:r w:rsidR="0050026D" w:rsidRPr="00314191">
        <w:rPr>
          <w:rFonts w:cs="Tahoma"/>
          <w:color w:val="000000"/>
          <w:sz w:val="24"/>
          <w:szCs w:val="24"/>
          <w:lang w:val="es-CO"/>
        </w:rPr>
        <w:t xml:space="preserve"> fue </w:t>
      </w:r>
      <w:r w:rsidR="003A1D96" w:rsidRPr="00314191">
        <w:rPr>
          <w:rFonts w:cs="Tahoma"/>
          <w:color w:val="000000"/>
          <w:sz w:val="24"/>
          <w:szCs w:val="24"/>
          <w:lang w:val="es-CO"/>
        </w:rPr>
        <w:t>objeto de diversas modificaciones, entre las cuales se destaca la plasmada en la Ley 890/04, normativa que fue demandada</w:t>
      </w:r>
      <w:r w:rsidR="0066395D" w:rsidRPr="00314191">
        <w:rPr>
          <w:rFonts w:cs="Tahoma"/>
          <w:color w:val="000000"/>
          <w:sz w:val="24"/>
          <w:szCs w:val="24"/>
          <w:lang w:val="es-CO"/>
        </w:rPr>
        <w:t xml:space="preserve"> y</w:t>
      </w:r>
      <w:r w:rsidR="003A1D96" w:rsidRPr="00314191">
        <w:rPr>
          <w:rFonts w:cs="Tahoma"/>
          <w:color w:val="000000"/>
          <w:sz w:val="24"/>
          <w:szCs w:val="24"/>
          <w:lang w:val="es-CO"/>
        </w:rPr>
        <w:t xml:space="preserve"> la Corte Constitucional profirió la </w:t>
      </w:r>
      <w:r w:rsidR="003A1D96" w:rsidRPr="00314191">
        <w:rPr>
          <w:rFonts w:cs="Tahoma"/>
          <w:sz w:val="24"/>
          <w:szCs w:val="24"/>
        </w:rPr>
        <w:t>Sentencia C-194/05</w:t>
      </w:r>
      <w:r w:rsidR="002E0E29" w:rsidRPr="00314191">
        <w:rPr>
          <w:rFonts w:cs="Tahoma"/>
          <w:sz w:val="24"/>
          <w:szCs w:val="24"/>
        </w:rPr>
        <w:t xml:space="preserve"> </w:t>
      </w:r>
      <w:r w:rsidR="003A1D96" w:rsidRPr="00314191">
        <w:rPr>
          <w:rFonts w:cs="Tahoma"/>
          <w:sz w:val="24"/>
          <w:szCs w:val="24"/>
        </w:rPr>
        <w:t xml:space="preserve">por medio de la cual declaró </w:t>
      </w:r>
      <w:r w:rsidRPr="00314191">
        <w:rPr>
          <w:rFonts w:cs="Tahoma"/>
          <w:sz w:val="24"/>
          <w:szCs w:val="24"/>
        </w:rPr>
        <w:t>su</w:t>
      </w:r>
      <w:r w:rsidR="002E0E29" w:rsidRPr="00314191">
        <w:rPr>
          <w:rFonts w:cs="Tahoma"/>
          <w:sz w:val="24"/>
          <w:szCs w:val="24"/>
        </w:rPr>
        <w:t xml:space="preserve"> </w:t>
      </w:r>
      <w:proofErr w:type="spellStart"/>
      <w:r w:rsidR="003A1D96" w:rsidRPr="00314191">
        <w:rPr>
          <w:rFonts w:cs="Tahoma"/>
          <w:sz w:val="24"/>
          <w:szCs w:val="24"/>
        </w:rPr>
        <w:t>exequibilidad</w:t>
      </w:r>
      <w:proofErr w:type="spellEnd"/>
      <w:r w:rsidR="003A1D96" w:rsidRPr="00314191">
        <w:rPr>
          <w:rFonts w:cs="Tahoma"/>
          <w:sz w:val="24"/>
          <w:szCs w:val="24"/>
        </w:rPr>
        <w:t xml:space="preserve"> condicionada para </w:t>
      </w:r>
      <w:r w:rsidR="005B7905" w:rsidRPr="00314191">
        <w:rPr>
          <w:rFonts w:cs="Tahoma"/>
          <w:sz w:val="24"/>
          <w:szCs w:val="24"/>
        </w:rPr>
        <w:t xml:space="preserve">indicar </w:t>
      </w:r>
      <w:r w:rsidR="003A1D96" w:rsidRPr="00314191">
        <w:rPr>
          <w:rFonts w:cs="Tahoma"/>
          <w:sz w:val="24"/>
          <w:szCs w:val="24"/>
        </w:rPr>
        <w:t>al respecto en su parte resolutiva lo siguiente: “</w:t>
      </w:r>
      <w:r w:rsidR="003A1D96" w:rsidRPr="00314191">
        <w:rPr>
          <w:rFonts w:cs="Tahoma"/>
          <w:sz w:val="22"/>
          <w:szCs w:val="24"/>
          <w:bdr w:val="none" w:sz="0" w:space="0" w:color="auto" w:frame="1"/>
          <w:shd w:val="clear" w:color="auto" w:fill="FFFFFF"/>
          <w:lang w:val="es-CO"/>
        </w:rPr>
        <w:t>Por los cargos analizados en esta providencia, declarar </w:t>
      </w:r>
      <w:r w:rsidR="003A1D96" w:rsidRPr="00314191">
        <w:rPr>
          <w:rFonts w:cs="Tahoma"/>
          <w:bCs/>
          <w:sz w:val="22"/>
          <w:szCs w:val="24"/>
          <w:bdr w:val="none" w:sz="0" w:space="0" w:color="auto" w:frame="1"/>
          <w:lang w:val="es-CO"/>
        </w:rPr>
        <w:t>EXEQUIBLE</w:t>
      </w:r>
      <w:r w:rsidR="003A1D96" w:rsidRPr="00314191">
        <w:rPr>
          <w:rFonts w:cs="Tahoma"/>
          <w:sz w:val="22"/>
          <w:szCs w:val="24"/>
          <w:bdr w:val="none" w:sz="0" w:space="0" w:color="auto" w:frame="1"/>
          <w:shd w:val="clear" w:color="auto" w:fill="FFFFFF"/>
          <w:lang w:val="es-CO"/>
        </w:rPr>
        <w:t> la expresión </w:t>
      </w:r>
      <w:r w:rsidR="003A1D96" w:rsidRPr="00314191">
        <w:rPr>
          <w:rFonts w:cs="Tahoma"/>
          <w:iCs/>
          <w:sz w:val="22"/>
          <w:szCs w:val="24"/>
          <w:bdr w:val="none" w:sz="0" w:space="0" w:color="auto" w:frame="1"/>
          <w:lang w:val="es-CO"/>
        </w:rPr>
        <w:t>“previa valoración de la gravedad de la conducta punible”</w:t>
      </w:r>
      <w:r w:rsidR="003A1D96" w:rsidRPr="00314191">
        <w:rPr>
          <w:rFonts w:cs="Tahoma"/>
          <w:sz w:val="22"/>
          <w:szCs w:val="24"/>
          <w:bdr w:val="none" w:sz="0" w:space="0" w:color="auto" w:frame="1"/>
          <w:shd w:val="clear" w:color="auto" w:fill="FFFFFF"/>
          <w:lang w:val="es-CO"/>
        </w:rPr>
        <w:t xml:space="preserve"> contenida en el artículo 5º de la Ley 890 de 2004, que modificó el artículo 64 del Código Penal, en el entendido de </w:t>
      </w:r>
      <w:r w:rsidR="003A1D96" w:rsidRPr="00314191">
        <w:rPr>
          <w:rFonts w:cs="Tahoma"/>
          <w:b/>
          <w:sz w:val="22"/>
          <w:szCs w:val="24"/>
          <w:bdr w:val="none" w:sz="0" w:space="0" w:color="auto" w:frame="1"/>
          <w:shd w:val="clear" w:color="auto" w:fill="FFFFFF"/>
          <w:lang w:val="es-CO"/>
        </w:rPr>
        <w:t>que dicha valoración deberá atenerse a los términos en que fue evaluada la gravedad de la conducta en la sentencia condenatoria por parte del juez de la causa</w:t>
      </w:r>
      <w:r w:rsidR="003A1D96" w:rsidRPr="00314191">
        <w:rPr>
          <w:rFonts w:cs="Tahoma"/>
          <w:sz w:val="24"/>
          <w:szCs w:val="24"/>
          <w:bdr w:val="none" w:sz="0" w:space="0" w:color="auto" w:frame="1"/>
          <w:shd w:val="clear" w:color="auto" w:fill="FFFFFF"/>
          <w:lang w:val="es-CO"/>
        </w:rPr>
        <w:t>”</w:t>
      </w:r>
      <w:r w:rsidRPr="00314191">
        <w:rPr>
          <w:rFonts w:cs="Tahoma"/>
          <w:sz w:val="24"/>
          <w:szCs w:val="24"/>
          <w:bdr w:val="none" w:sz="0" w:space="0" w:color="auto" w:frame="1"/>
          <w:shd w:val="clear" w:color="auto" w:fill="FFFFFF"/>
          <w:lang w:val="es-CO"/>
        </w:rPr>
        <w:t>.</w:t>
      </w:r>
      <w:r w:rsidR="006C58AA" w:rsidRPr="00314191">
        <w:rPr>
          <w:rFonts w:cs="Tahoma"/>
          <w:sz w:val="24"/>
          <w:szCs w:val="24"/>
        </w:rPr>
        <w:t xml:space="preserve"> -negrillas de la Sala-</w:t>
      </w:r>
    </w:p>
    <w:p w:rsidR="003A1D96" w:rsidRPr="00314191" w:rsidRDefault="003A1D96" w:rsidP="00314191">
      <w:pPr>
        <w:spacing w:line="276" w:lineRule="auto"/>
        <w:rPr>
          <w:rFonts w:cs="Tahoma"/>
          <w:sz w:val="24"/>
          <w:szCs w:val="24"/>
        </w:rPr>
      </w:pPr>
    </w:p>
    <w:p w:rsidR="003A1D96" w:rsidRPr="00314191" w:rsidRDefault="0066395D" w:rsidP="00314191">
      <w:pPr>
        <w:spacing w:line="276" w:lineRule="auto"/>
        <w:rPr>
          <w:rFonts w:cs="Tahoma"/>
          <w:sz w:val="24"/>
          <w:szCs w:val="24"/>
        </w:rPr>
      </w:pPr>
      <w:r w:rsidRPr="00314191">
        <w:rPr>
          <w:rFonts w:cs="Tahoma"/>
          <w:sz w:val="24"/>
          <w:szCs w:val="24"/>
        </w:rPr>
        <w:t xml:space="preserve">De igual manera, </w:t>
      </w:r>
      <w:r w:rsidR="005E0902" w:rsidRPr="00314191">
        <w:rPr>
          <w:rFonts w:cs="Tahoma"/>
          <w:sz w:val="24"/>
          <w:szCs w:val="24"/>
        </w:rPr>
        <w:t>el referido</w:t>
      </w:r>
      <w:r w:rsidRPr="00314191">
        <w:rPr>
          <w:rFonts w:cs="Tahoma"/>
          <w:sz w:val="24"/>
          <w:szCs w:val="24"/>
        </w:rPr>
        <w:t xml:space="preserve"> dispositivo -art. 64 C.P.-</w:t>
      </w:r>
      <w:r w:rsidR="003A1D96" w:rsidRPr="00314191">
        <w:rPr>
          <w:rFonts w:cs="Tahoma"/>
          <w:sz w:val="24"/>
          <w:szCs w:val="24"/>
        </w:rPr>
        <w:t xml:space="preserve"> fue objeto con posterioridad de una nueva modificación que introdujo el artículo 30 de la Ley 1709 de 2014, misma que también </w:t>
      </w:r>
      <w:r w:rsidR="005E0902" w:rsidRPr="00314191">
        <w:rPr>
          <w:rFonts w:cs="Tahoma"/>
          <w:sz w:val="24"/>
          <w:szCs w:val="24"/>
        </w:rPr>
        <w:t>pasó por un estudio de constitucionalidad</w:t>
      </w:r>
      <w:r w:rsidR="003A1D96" w:rsidRPr="00314191">
        <w:rPr>
          <w:rFonts w:cs="Tahoma"/>
          <w:sz w:val="24"/>
          <w:szCs w:val="24"/>
        </w:rPr>
        <w:t>,</w:t>
      </w:r>
      <w:r w:rsidRPr="00314191">
        <w:rPr>
          <w:rFonts w:cs="Tahoma"/>
          <w:sz w:val="24"/>
          <w:szCs w:val="24"/>
        </w:rPr>
        <w:t xml:space="preserve"> a consecuencia de lo cual se emitió la </w:t>
      </w:r>
      <w:r w:rsidR="003A1D96" w:rsidRPr="00314191">
        <w:rPr>
          <w:rFonts w:cs="Tahoma"/>
          <w:sz w:val="24"/>
          <w:szCs w:val="24"/>
        </w:rPr>
        <w:t xml:space="preserve">Sentencia C-757/14, en la que entre otras cosas se </w:t>
      </w:r>
      <w:r w:rsidR="005E0902" w:rsidRPr="00314191">
        <w:rPr>
          <w:rFonts w:cs="Tahoma"/>
          <w:sz w:val="24"/>
          <w:szCs w:val="24"/>
        </w:rPr>
        <w:t>dijo</w:t>
      </w:r>
      <w:r w:rsidR="003A1D96" w:rsidRPr="00314191">
        <w:rPr>
          <w:rFonts w:cs="Tahoma"/>
          <w:sz w:val="24"/>
          <w:szCs w:val="24"/>
        </w:rPr>
        <w:t>:</w:t>
      </w:r>
    </w:p>
    <w:p w:rsidR="00A55FC9" w:rsidRPr="00314191" w:rsidRDefault="00A55FC9" w:rsidP="00314191">
      <w:pPr>
        <w:spacing w:line="276" w:lineRule="auto"/>
        <w:ind w:left="510" w:right="510"/>
        <w:rPr>
          <w:rFonts w:cs="Tahoma"/>
          <w:iCs/>
          <w:sz w:val="24"/>
          <w:szCs w:val="24"/>
          <w:lang w:val="es-CO"/>
        </w:rPr>
      </w:pPr>
    </w:p>
    <w:p w:rsidR="003A1D96" w:rsidRPr="00314191" w:rsidRDefault="0066395D" w:rsidP="00314191">
      <w:pPr>
        <w:autoSpaceDE w:val="0"/>
        <w:autoSpaceDN w:val="0"/>
        <w:adjustRightInd w:val="0"/>
        <w:spacing w:line="240" w:lineRule="auto"/>
        <w:ind w:left="426" w:right="420"/>
        <w:rPr>
          <w:rFonts w:cs="Tahoma"/>
          <w:sz w:val="22"/>
          <w:szCs w:val="24"/>
        </w:rPr>
      </w:pPr>
      <w:r w:rsidRPr="00314191">
        <w:rPr>
          <w:rFonts w:cs="Tahoma"/>
          <w:sz w:val="22"/>
          <w:szCs w:val="24"/>
          <w:lang w:val="es-CO"/>
        </w:rPr>
        <w:t>“L</w:t>
      </w:r>
      <w:r w:rsidR="003A1D96" w:rsidRPr="00314191">
        <w:rPr>
          <w:rFonts w:cs="Tahoma"/>
          <w:sz w:val="22"/>
          <w:szCs w:val="24"/>
          <w:lang w:val="es-CO"/>
        </w:rPr>
        <w:t xml:space="preserve">a Corte Constitucional declarará exequible la expresión “previa valoración de la gravedad de la conducta </w:t>
      </w:r>
      <w:r w:rsidR="003A1D96" w:rsidRPr="00314191">
        <w:rPr>
          <w:rFonts w:cs="Tahoma"/>
          <w:sz w:val="22"/>
          <w:szCs w:val="24"/>
        </w:rPr>
        <w:t>punible</w:t>
      </w:r>
      <w:r w:rsidR="003A1D96" w:rsidRPr="00314191">
        <w:rPr>
          <w:rFonts w:cs="Tahoma"/>
          <w:sz w:val="22"/>
          <w:szCs w:val="24"/>
          <w:lang w:val="es-CO"/>
        </w:rPr>
        <w:t xml:space="preserve">”, contenida en el artículo 5º de la Ley 890 de 2004, que modificó el artículo 64 del Código Penal, pero para garantizar su correcta aplicación, la condicionará a que se entienda que </w:t>
      </w:r>
      <w:r w:rsidR="003A1D96" w:rsidRPr="00314191">
        <w:rPr>
          <w:rFonts w:cs="Tahoma"/>
          <w:b/>
          <w:sz w:val="22"/>
          <w:szCs w:val="24"/>
          <w:lang w:val="es-CO"/>
        </w:rPr>
        <w:t>la valoración que hace el Juez de Ejecución de Penas y Medidas de Seguridad debe estar acorde con los términos en que haya sido evaluada la gravedad de la conducta en la sentencia condenatoria, por parte del juez de la causa</w:t>
      </w:r>
      <w:r w:rsidR="003A1D96" w:rsidRPr="00314191">
        <w:rPr>
          <w:rFonts w:cs="Tahoma"/>
          <w:sz w:val="22"/>
          <w:szCs w:val="24"/>
          <w:lang w:val="es-CO"/>
        </w:rPr>
        <w:t>.” -negrilla de la Sala-</w:t>
      </w:r>
    </w:p>
    <w:p w:rsidR="008F2E7B" w:rsidRPr="00314191" w:rsidRDefault="008F2E7B" w:rsidP="00314191">
      <w:pPr>
        <w:spacing w:line="276" w:lineRule="auto"/>
        <w:rPr>
          <w:rFonts w:cs="Tahoma"/>
          <w:sz w:val="24"/>
          <w:szCs w:val="24"/>
        </w:rPr>
      </w:pPr>
    </w:p>
    <w:p w:rsidR="0050026D" w:rsidRPr="00314191" w:rsidRDefault="0050026D" w:rsidP="00314191">
      <w:pPr>
        <w:spacing w:line="276" w:lineRule="auto"/>
        <w:rPr>
          <w:rFonts w:cs="Tahoma"/>
          <w:sz w:val="24"/>
          <w:szCs w:val="24"/>
        </w:rPr>
      </w:pPr>
      <w:r w:rsidRPr="00314191">
        <w:rPr>
          <w:rFonts w:cs="Tahoma"/>
          <w:sz w:val="24"/>
          <w:szCs w:val="24"/>
        </w:rPr>
        <w:t>Precisamente, tales parámetros de índole constitucional, son aquellos que</w:t>
      </w:r>
      <w:r w:rsidR="006C58AA" w:rsidRPr="00314191">
        <w:rPr>
          <w:rFonts w:cs="Tahoma"/>
          <w:sz w:val="24"/>
          <w:szCs w:val="24"/>
        </w:rPr>
        <w:t xml:space="preserve"> han sido acogidos por parte de los</w:t>
      </w:r>
      <w:r w:rsidRPr="00314191">
        <w:rPr>
          <w:rFonts w:cs="Tahoma"/>
          <w:sz w:val="24"/>
          <w:szCs w:val="24"/>
        </w:rPr>
        <w:t xml:space="preserve"> funcionarios encargados de la vigilancia de la pena, lo cual por supuesto no fue ajeno </w:t>
      </w:r>
      <w:r w:rsidR="00CE63D4" w:rsidRPr="00314191">
        <w:rPr>
          <w:rFonts w:cs="Tahoma"/>
          <w:sz w:val="24"/>
          <w:szCs w:val="24"/>
        </w:rPr>
        <w:t>a</w:t>
      </w:r>
      <w:r w:rsidRPr="00314191">
        <w:rPr>
          <w:rFonts w:cs="Tahoma"/>
          <w:sz w:val="24"/>
          <w:szCs w:val="24"/>
        </w:rPr>
        <w:t xml:space="preserve">l presente asunto, donde al advertir el a quo que el señor </w:t>
      </w:r>
      <w:r w:rsidR="006E5FC6" w:rsidRPr="00314191">
        <w:rPr>
          <w:rFonts w:cs="Tahoma"/>
          <w:b/>
          <w:bCs/>
          <w:sz w:val="24"/>
          <w:szCs w:val="24"/>
        </w:rPr>
        <w:t>CAS</w:t>
      </w:r>
      <w:r w:rsidR="000944BF">
        <w:rPr>
          <w:rFonts w:cs="Tahoma"/>
          <w:b/>
          <w:bCs/>
          <w:sz w:val="24"/>
          <w:szCs w:val="24"/>
        </w:rPr>
        <w:t>O</w:t>
      </w:r>
      <w:r w:rsidRPr="00314191">
        <w:rPr>
          <w:rFonts w:cs="Tahoma"/>
          <w:sz w:val="24"/>
          <w:szCs w:val="24"/>
        </w:rPr>
        <w:t xml:space="preserve"> fue </w:t>
      </w:r>
      <w:r w:rsidR="006E5FC6" w:rsidRPr="00314191">
        <w:rPr>
          <w:rFonts w:cs="Tahoma"/>
          <w:sz w:val="24"/>
          <w:szCs w:val="24"/>
        </w:rPr>
        <w:t>sentenciado</w:t>
      </w:r>
      <w:r w:rsidRPr="00314191">
        <w:rPr>
          <w:rFonts w:cs="Tahoma"/>
          <w:sz w:val="24"/>
          <w:szCs w:val="24"/>
        </w:rPr>
        <w:t xml:space="preserve"> por una conducta de co</w:t>
      </w:r>
      <w:r w:rsidR="00517D9F" w:rsidRPr="00314191">
        <w:rPr>
          <w:rFonts w:cs="Tahoma"/>
          <w:sz w:val="24"/>
          <w:szCs w:val="24"/>
        </w:rPr>
        <w:t>ncierto para delinquir agravado cuya finalidad</w:t>
      </w:r>
      <w:r w:rsidRPr="00314191">
        <w:rPr>
          <w:rFonts w:cs="Tahoma"/>
          <w:sz w:val="24"/>
          <w:szCs w:val="24"/>
        </w:rPr>
        <w:t xml:space="preserve"> era la de organizar grupos al margen de la ley, la cual en efecto </w:t>
      </w:r>
      <w:r w:rsidR="00D94A94" w:rsidRPr="00314191">
        <w:rPr>
          <w:rFonts w:cs="Tahoma"/>
          <w:sz w:val="24"/>
          <w:szCs w:val="24"/>
        </w:rPr>
        <w:t xml:space="preserve">comporta </w:t>
      </w:r>
      <w:r w:rsidRPr="00314191">
        <w:rPr>
          <w:rFonts w:cs="Tahoma"/>
          <w:sz w:val="24"/>
          <w:szCs w:val="24"/>
        </w:rPr>
        <w:t>una extrema gravedad</w:t>
      </w:r>
      <w:r w:rsidR="002E0E29" w:rsidRPr="00314191">
        <w:rPr>
          <w:rFonts w:cs="Tahoma"/>
          <w:sz w:val="24"/>
          <w:szCs w:val="24"/>
        </w:rPr>
        <w:t xml:space="preserve"> </w:t>
      </w:r>
      <w:r w:rsidR="00517D9F" w:rsidRPr="00314191">
        <w:rPr>
          <w:rFonts w:cs="Tahoma"/>
          <w:sz w:val="24"/>
          <w:szCs w:val="24"/>
        </w:rPr>
        <w:t xml:space="preserve">en tanto con ello </w:t>
      </w:r>
      <w:r w:rsidRPr="00314191">
        <w:rPr>
          <w:rFonts w:cs="Tahoma"/>
          <w:sz w:val="24"/>
          <w:szCs w:val="24"/>
        </w:rPr>
        <w:t xml:space="preserve">se origina un estado de zozobra e inseguridad </w:t>
      </w:r>
      <w:r w:rsidR="006E5FC6" w:rsidRPr="00314191">
        <w:rPr>
          <w:rFonts w:cs="Tahoma"/>
          <w:sz w:val="24"/>
          <w:szCs w:val="24"/>
        </w:rPr>
        <w:t>al colectivo</w:t>
      </w:r>
      <w:r w:rsidRPr="00314191">
        <w:rPr>
          <w:rFonts w:cs="Tahoma"/>
          <w:sz w:val="24"/>
          <w:szCs w:val="24"/>
        </w:rPr>
        <w:t xml:space="preserve">, que </w:t>
      </w:r>
      <w:r w:rsidR="00584F9E" w:rsidRPr="00314191">
        <w:rPr>
          <w:rFonts w:cs="Tahoma"/>
          <w:sz w:val="24"/>
          <w:szCs w:val="24"/>
        </w:rPr>
        <w:t>a su vez genera</w:t>
      </w:r>
      <w:r w:rsidR="00CE191B" w:rsidRPr="00314191">
        <w:rPr>
          <w:rFonts w:cs="Tahoma"/>
          <w:sz w:val="24"/>
          <w:szCs w:val="24"/>
        </w:rPr>
        <w:t xml:space="preserve"> desplazamientos masivos</w:t>
      </w:r>
      <w:r w:rsidR="002E0E29" w:rsidRPr="00314191">
        <w:rPr>
          <w:rFonts w:cs="Tahoma"/>
          <w:sz w:val="24"/>
          <w:szCs w:val="24"/>
        </w:rPr>
        <w:t xml:space="preserve"> </w:t>
      </w:r>
      <w:r w:rsidR="0066395D" w:rsidRPr="00314191">
        <w:rPr>
          <w:rFonts w:cs="Tahoma"/>
          <w:sz w:val="24"/>
          <w:szCs w:val="24"/>
        </w:rPr>
        <w:t>tal cual así lo plasmó el</w:t>
      </w:r>
      <w:r w:rsidRPr="00314191">
        <w:rPr>
          <w:rFonts w:cs="Tahoma"/>
          <w:sz w:val="24"/>
          <w:szCs w:val="24"/>
        </w:rPr>
        <w:t xml:space="preserve"> juez encargado de dictar</w:t>
      </w:r>
      <w:r w:rsidR="006E5FC6" w:rsidRPr="00314191">
        <w:rPr>
          <w:rFonts w:cs="Tahoma"/>
          <w:sz w:val="24"/>
          <w:szCs w:val="24"/>
        </w:rPr>
        <w:t xml:space="preserve"> la sentencia</w:t>
      </w:r>
      <w:r w:rsidR="00684C1D" w:rsidRPr="00314191">
        <w:rPr>
          <w:rFonts w:cs="Tahoma"/>
          <w:sz w:val="24"/>
          <w:szCs w:val="24"/>
        </w:rPr>
        <w:t xml:space="preserve">, </w:t>
      </w:r>
      <w:r w:rsidR="006E5FC6" w:rsidRPr="00314191">
        <w:rPr>
          <w:rFonts w:cs="Tahoma"/>
          <w:sz w:val="24"/>
          <w:szCs w:val="24"/>
        </w:rPr>
        <w:t xml:space="preserve">se traduce en una circunstancia que da </w:t>
      </w:r>
      <w:r w:rsidR="00CE191B" w:rsidRPr="00314191">
        <w:rPr>
          <w:rFonts w:cs="Tahoma"/>
          <w:sz w:val="24"/>
          <w:szCs w:val="24"/>
        </w:rPr>
        <w:t xml:space="preserve">lugar </w:t>
      </w:r>
      <w:r w:rsidR="006E5FC6" w:rsidRPr="00314191">
        <w:rPr>
          <w:rFonts w:cs="Tahoma"/>
          <w:sz w:val="24"/>
          <w:szCs w:val="24"/>
        </w:rPr>
        <w:t xml:space="preserve">a negar </w:t>
      </w:r>
      <w:r w:rsidR="00517D9F" w:rsidRPr="00314191">
        <w:rPr>
          <w:rFonts w:cs="Tahoma"/>
          <w:sz w:val="24"/>
          <w:szCs w:val="24"/>
        </w:rPr>
        <w:t>el beneficio liberatorio.</w:t>
      </w:r>
    </w:p>
    <w:p w:rsidR="00290915" w:rsidRPr="00314191" w:rsidRDefault="00290915" w:rsidP="00314191">
      <w:pPr>
        <w:spacing w:line="276" w:lineRule="auto"/>
        <w:rPr>
          <w:rFonts w:cs="Tahoma"/>
          <w:sz w:val="24"/>
          <w:szCs w:val="24"/>
        </w:rPr>
      </w:pPr>
    </w:p>
    <w:p w:rsidR="00290915" w:rsidRPr="00314191" w:rsidRDefault="006C58AA" w:rsidP="00314191">
      <w:pPr>
        <w:spacing w:line="276" w:lineRule="auto"/>
        <w:rPr>
          <w:rFonts w:cs="Tahoma"/>
          <w:sz w:val="24"/>
          <w:szCs w:val="24"/>
        </w:rPr>
      </w:pPr>
      <w:r w:rsidRPr="00314191">
        <w:rPr>
          <w:rFonts w:cs="Tahoma"/>
          <w:sz w:val="24"/>
          <w:szCs w:val="24"/>
        </w:rPr>
        <w:t xml:space="preserve">En este </w:t>
      </w:r>
      <w:r w:rsidR="00681FC6" w:rsidRPr="00314191">
        <w:rPr>
          <w:rFonts w:cs="Tahoma"/>
          <w:sz w:val="24"/>
          <w:szCs w:val="24"/>
        </w:rPr>
        <w:t>asunto</w:t>
      </w:r>
      <w:r w:rsidRPr="00314191">
        <w:rPr>
          <w:rFonts w:cs="Tahoma"/>
          <w:sz w:val="24"/>
          <w:szCs w:val="24"/>
        </w:rPr>
        <w:t>, y no obstante haber considerado el a quo que</w:t>
      </w:r>
      <w:r w:rsidR="00290915" w:rsidRPr="00314191">
        <w:rPr>
          <w:rFonts w:cs="Tahoma"/>
          <w:sz w:val="24"/>
          <w:szCs w:val="24"/>
        </w:rPr>
        <w:t xml:space="preserve"> las demás exigencias a</w:t>
      </w:r>
      <w:r w:rsidR="007A2AF4" w:rsidRPr="00314191">
        <w:rPr>
          <w:rFonts w:cs="Tahoma"/>
          <w:sz w:val="24"/>
          <w:szCs w:val="24"/>
        </w:rPr>
        <w:t xml:space="preserve"> las</w:t>
      </w:r>
      <w:r w:rsidR="00290915" w:rsidRPr="00314191">
        <w:rPr>
          <w:rFonts w:cs="Tahoma"/>
          <w:sz w:val="24"/>
          <w:szCs w:val="24"/>
        </w:rPr>
        <w:t xml:space="preserve"> que alude el canon 64 </w:t>
      </w:r>
      <w:proofErr w:type="spellStart"/>
      <w:r w:rsidR="00290915" w:rsidRPr="00314191">
        <w:rPr>
          <w:rFonts w:cs="Tahoma"/>
          <w:sz w:val="24"/>
          <w:szCs w:val="24"/>
        </w:rPr>
        <w:t>C.P.P</w:t>
      </w:r>
      <w:proofErr w:type="spellEnd"/>
      <w:r w:rsidR="00290915" w:rsidRPr="00314191">
        <w:rPr>
          <w:rFonts w:cs="Tahoma"/>
          <w:sz w:val="24"/>
          <w:szCs w:val="24"/>
        </w:rPr>
        <w:t xml:space="preserve">. se cumplen a cabalidad, no fue así en cuanto a la gravedad de la conducta, misma que en este caso específico no se limitó a la mención de la ilicitud </w:t>
      </w:r>
      <w:r w:rsidR="007A2AF4" w:rsidRPr="00314191">
        <w:rPr>
          <w:rFonts w:cs="Tahoma"/>
          <w:sz w:val="24"/>
          <w:szCs w:val="24"/>
        </w:rPr>
        <w:t>atribuida</w:t>
      </w:r>
      <w:r w:rsidRPr="00314191">
        <w:rPr>
          <w:rFonts w:cs="Tahoma"/>
          <w:sz w:val="24"/>
          <w:szCs w:val="24"/>
        </w:rPr>
        <w:t xml:space="preserve"> o al bien jurídico afectado</w:t>
      </w:r>
      <w:r w:rsidR="00290915" w:rsidRPr="00314191">
        <w:rPr>
          <w:rFonts w:cs="Tahoma"/>
          <w:sz w:val="24"/>
          <w:szCs w:val="24"/>
        </w:rPr>
        <w:t xml:space="preserve">, sino a las consecuencias que la misma genera en la comunidad, </w:t>
      </w:r>
      <w:r w:rsidR="007A2AF4" w:rsidRPr="00314191">
        <w:rPr>
          <w:rFonts w:cs="Tahoma"/>
          <w:sz w:val="24"/>
          <w:szCs w:val="24"/>
        </w:rPr>
        <w:t>según</w:t>
      </w:r>
      <w:r w:rsidR="00290915" w:rsidRPr="00314191">
        <w:rPr>
          <w:rFonts w:cs="Tahoma"/>
          <w:sz w:val="24"/>
          <w:szCs w:val="24"/>
        </w:rPr>
        <w:t xml:space="preserve"> a</w:t>
      </w:r>
      <w:r w:rsidR="005912EA" w:rsidRPr="00314191">
        <w:rPr>
          <w:rFonts w:cs="Tahoma"/>
          <w:sz w:val="24"/>
          <w:szCs w:val="24"/>
        </w:rPr>
        <w:t>sí se dejó consignado</w:t>
      </w:r>
      <w:r w:rsidR="00681FC6" w:rsidRPr="00314191">
        <w:rPr>
          <w:rFonts w:cs="Tahoma"/>
          <w:sz w:val="24"/>
          <w:szCs w:val="24"/>
        </w:rPr>
        <w:t xml:space="preserve"> en el auto confutado</w:t>
      </w:r>
      <w:r w:rsidR="00290915" w:rsidRPr="00314191">
        <w:rPr>
          <w:rFonts w:cs="Tahoma"/>
          <w:sz w:val="24"/>
          <w:szCs w:val="24"/>
        </w:rPr>
        <w:t>.</w:t>
      </w:r>
    </w:p>
    <w:p w:rsidR="00290915" w:rsidRPr="00314191" w:rsidRDefault="00290915" w:rsidP="00314191">
      <w:pPr>
        <w:spacing w:line="276" w:lineRule="auto"/>
        <w:rPr>
          <w:rFonts w:cs="Tahoma"/>
          <w:sz w:val="24"/>
          <w:szCs w:val="24"/>
        </w:rPr>
      </w:pPr>
    </w:p>
    <w:p w:rsidR="00290915" w:rsidRPr="00314191" w:rsidRDefault="005912EA" w:rsidP="00314191">
      <w:pPr>
        <w:spacing w:line="276" w:lineRule="auto"/>
        <w:rPr>
          <w:rFonts w:cs="Tahoma"/>
          <w:sz w:val="24"/>
          <w:szCs w:val="24"/>
        </w:rPr>
      </w:pPr>
      <w:r w:rsidRPr="00314191">
        <w:rPr>
          <w:rFonts w:cs="Tahoma"/>
          <w:sz w:val="24"/>
          <w:szCs w:val="24"/>
        </w:rPr>
        <w:t>N</w:t>
      </w:r>
      <w:r w:rsidR="00290915" w:rsidRPr="00314191">
        <w:rPr>
          <w:rFonts w:cs="Tahoma"/>
          <w:sz w:val="24"/>
          <w:szCs w:val="24"/>
        </w:rPr>
        <w:t xml:space="preserve">o puede perderse de vista que el flagelo del desplazamiento forzado en Colombia </w:t>
      </w:r>
      <w:r w:rsidR="00307798" w:rsidRPr="00314191">
        <w:rPr>
          <w:rFonts w:cs="Tahoma"/>
          <w:sz w:val="24"/>
          <w:szCs w:val="24"/>
        </w:rPr>
        <w:t>(que entre otras cosas es ilícito frente al cual la ley prohíbe todo beneficio liberatorio</w:t>
      </w:r>
      <w:r w:rsidR="002E0E29" w:rsidRPr="00314191">
        <w:rPr>
          <w:rFonts w:cs="Tahoma"/>
          <w:sz w:val="24"/>
          <w:szCs w:val="24"/>
        </w:rPr>
        <w:t xml:space="preserve"> </w:t>
      </w:r>
      <w:r w:rsidR="007A0A10" w:rsidRPr="00314191">
        <w:rPr>
          <w:rFonts w:cs="Tahoma"/>
          <w:sz w:val="24"/>
          <w:szCs w:val="24"/>
        </w:rPr>
        <w:t xml:space="preserve">-art. </w:t>
      </w:r>
      <w:proofErr w:type="spellStart"/>
      <w:r w:rsidR="007A0A10" w:rsidRPr="00314191">
        <w:rPr>
          <w:rFonts w:cs="Tahoma"/>
          <w:sz w:val="24"/>
          <w:szCs w:val="24"/>
        </w:rPr>
        <w:t>68A</w:t>
      </w:r>
      <w:proofErr w:type="spellEnd"/>
      <w:r w:rsidR="007A0A10" w:rsidRPr="00314191">
        <w:rPr>
          <w:rFonts w:cs="Tahoma"/>
          <w:sz w:val="24"/>
          <w:szCs w:val="24"/>
        </w:rPr>
        <w:t xml:space="preserve"> C.P.-</w:t>
      </w:r>
      <w:r w:rsidR="00307798" w:rsidRPr="00314191">
        <w:rPr>
          <w:rFonts w:cs="Tahoma"/>
          <w:sz w:val="24"/>
          <w:szCs w:val="24"/>
        </w:rPr>
        <w:t>)</w:t>
      </w:r>
      <w:r w:rsidR="002E0E29" w:rsidRPr="00314191">
        <w:rPr>
          <w:rFonts w:cs="Tahoma"/>
          <w:sz w:val="24"/>
          <w:szCs w:val="24"/>
        </w:rPr>
        <w:t xml:space="preserve"> </w:t>
      </w:r>
      <w:r w:rsidR="00290915" w:rsidRPr="00314191">
        <w:rPr>
          <w:rFonts w:cs="Tahoma"/>
          <w:sz w:val="24"/>
          <w:szCs w:val="24"/>
        </w:rPr>
        <w:t xml:space="preserve">se debe precisamente a actividades como aquellas a las que se dedicaba el señor </w:t>
      </w:r>
      <w:r w:rsidR="000944BF">
        <w:rPr>
          <w:rFonts w:cs="Tahoma"/>
          <w:b/>
          <w:sz w:val="24"/>
          <w:szCs w:val="24"/>
        </w:rPr>
        <w:t>CASO</w:t>
      </w:r>
      <w:r w:rsidR="00290915" w:rsidRPr="00314191">
        <w:rPr>
          <w:rFonts w:cs="Tahoma"/>
          <w:sz w:val="24"/>
          <w:szCs w:val="24"/>
        </w:rPr>
        <w:t>, sin que el hecho</w:t>
      </w:r>
      <w:r w:rsidR="002E0E29" w:rsidRPr="00314191">
        <w:rPr>
          <w:rFonts w:cs="Tahoma"/>
          <w:sz w:val="24"/>
          <w:szCs w:val="24"/>
        </w:rPr>
        <w:t xml:space="preserve"> </w:t>
      </w:r>
      <w:r w:rsidR="00290915" w:rsidRPr="00314191">
        <w:rPr>
          <w:rFonts w:cs="Tahoma"/>
          <w:sz w:val="24"/>
          <w:szCs w:val="24"/>
        </w:rPr>
        <w:t xml:space="preserve">que fuera un simple patrullero de las </w:t>
      </w:r>
      <w:proofErr w:type="spellStart"/>
      <w:r w:rsidR="00290915" w:rsidRPr="00314191">
        <w:rPr>
          <w:rFonts w:cs="Tahoma"/>
          <w:sz w:val="24"/>
          <w:szCs w:val="24"/>
        </w:rPr>
        <w:t>AUC</w:t>
      </w:r>
      <w:proofErr w:type="spellEnd"/>
      <w:r w:rsidR="00290915" w:rsidRPr="00314191">
        <w:rPr>
          <w:rFonts w:cs="Tahoma"/>
          <w:sz w:val="24"/>
          <w:szCs w:val="24"/>
        </w:rPr>
        <w:t xml:space="preserve"> minimice su accionar, en tanto la sola presencia de hombres armados</w:t>
      </w:r>
      <w:r w:rsidR="006C58AA" w:rsidRPr="00314191">
        <w:rPr>
          <w:rFonts w:cs="Tahoma"/>
          <w:sz w:val="24"/>
          <w:szCs w:val="24"/>
        </w:rPr>
        <w:t xml:space="preserve"> y uniformados </w:t>
      </w:r>
      <w:r w:rsidR="00290915" w:rsidRPr="00314191">
        <w:rPr>
          <w:rFonts w:cs="Tahoma"/>
          <w:sz w:val="24"/>
          <w:szCs w:val="24"/>
        </w:rPr>
        <w:t xml:space="preserve">en los campos de Colombia, fueron el detonante para que </w:t>
      </w:r>
      <w:r w:rsidR="006C58AA" w:rsidRPr="00314191">
        <w:rPr>
          <w:rFonts w:cs="Tahoma"/>
          <w:sz w:val="24"/>
          <w:szCs w:val="24"/>
        </w:rPr>
        <w:t xml:space="preserve">cientos de </w:t>
      </w:r>
      <w:r w:rsidR="00290915" w:rsidRPr="00314191">
        <w:rPr>
          <w:rFonts w:cs="Tahoma"/>
          <w:sz w:val="24"/>
          <w:szCs w:val="24"/>
        </w:rPr>
        <w:t>miles de personas</w:t>
      </w:r>
      <w:r w:rsidR="006C58AA" w:rsidRPr="00314191">
        <w:rPr>
          <w:rFonts w:cs="Tahoma"/>
          <w:sz w:val="24"/>
          <w:szCs w:val="24"/>
        </w:rPr>
        <w:t xml:space="preserve"> con miras a preservar sus vidas y las de sus familias</w:t>
      </w:r>
      <w:r w:rsidR="00290915" w:rsidRPr="00314191">
        <w:rPr>
          <w:rFonts w:cs="Tahoma"/>
          <w:sz w:val="24"/>
          <w:szCs w:val="24"/>
        </w:rPr>
        <w:t xml:space="preserve"> se vieran </w:t>
      </w:r>
      <w:r w:rsidR="00290915" w:rsidRPr="00314191">
        <w:rPr>
          <w:rFonts w:cs="Tahoma"/>
          <w:sz w:val="24"/>
          <w:szCs w:val="24"/>
        </w:rPr>
        <w:lastRenderedPageBreak/>
        <w:t xml:space="preserve">desarraigadas de sus </w:t>
      </w:r>
      <w:r w:rsidR="00281036" w:rsidRPr="00314191">
        <w:rPr>
          <w:rFonts w:cs="Tahoma"/>
          <w:sz w:val="24"/>
          <w:szCs w:val="24"/>
        </w:rPr>
        <w:t>fundos</w:t>
      </w:r>
      <w:r w:rsidR="00290915" w:rsidRPr="00314191">
        <w:rPr>
          <w:rFonts w:cs="Tahoma"/>
          <w:sz w:val="24"/>
          <w:szCs w:val="24"/>
        </w:rPr>
        <w:t xml:space="preserve">, </w:t>
      </w:r>
      <w:r w:rsidR="006C58AA" w:rsidRPr="00314191">
        <w:rPr>
          <w:rFonts w:cs="Tahoma"/>
          <w:sz w:val="24"/>
          <w:szCs w:val="24"/>
        </w:rPr>
        <w:t>lo cual ha puesto a</w:t>
      </w:r>
      <w:r w:rsidR="00281036" w:rsidRPr="00314191">
        <w:rPr>
          <w:rFonts w:cs="Tahoma"/>
          <w:sz w:val="24"/>
          <w:szCs w:val="24"/>
        </w:rPr>
        <w:t>l país</w:t>
      </w:r>
      <w:r w:rsidR="006C58AA" w:rsidRPr="00314191">
        <w:rPr>
          <w:rFonts w:cs="Tahoma"/>
          <w:sz w:val="24"/>
          <w:szCs w:val="24"/>
        </w:rPr>
        <w:t xml:space="preserve"> en un deshonroso sitial</w:t>
      </w:r>
      <w:r w:rsidR="00281036" w:rsidRPr="00314191">
        <w:rPr>
          <w:rFonts w:cs="Tahoma"/>
          <w:sz w:val="24"/>
          <w:szCs w:val="24"/>
        </w:rPr>
        <w:t xml:space="preserve"> en materia de desplazamientos internos</w:t>
      </w:r>
      <w:r w:rsidR="00290915" w:rsidRPr="00314191">
        <w:rPr>
          <w:rFonts w:cs="Tahoma"/>
          <w:sz w:val="24"/>
          <w:szCs w:val="24"/>
        </w:rPr>
        <w:t>.</w:t>
      </w:r>
    </w:p>
    <w:p w:rsidR="00A55FC9" w:rsidRPr="00314191" w:rsidRDefault="00A55FC9" w:rsidP="00314191">
      <w:pPr>
        <w:spacing w:line="276" w:lineRule="auto"/>
        <w:rPr>
          <w:rFonts w:cs="Tahoma"/>
          <w:sz w:val="24"/>
          <w:szCs w:val="24"/>
        </w:rPr>
      </w:pPr>
    </w:p>
    <w:p w:rsidR="00F06432" w:rsidRPr="00314191" w:rsidRDefault="00281036" w:rsidP="00314191">
      <w:pPr>
        <w:spacing w:line="276" w:lineRule="auto"/>
        <w:rPr>
          <w:rFonts w:cs="Tahoma"/>
          <w:sz w:val="24"/>
          <w:szCs w:val="24"/>
        </w:rPr>
      </w:pPr>
      <w:r w:rsidRPr="00314191">
        <w:rPr>
          <w:rFonts w:cs="Tahoma"/>
          <w:sz w:val="24"/>
          <w:szCs w:val="24"/>
        </w:rPr>
        <w:t>E</w:t>
      </w:r>
      <w:r w:rsidR="00A55FC9" w:rsidRPr="00314191">
        <w:rPr>
          <w:rFonts w:cs="Tahoma"/>
          <w:sz w:val="24"/>
          <w:szCs w:val="24"/>
        </w:rPr>
        <w:t>l</w:t>
      </w:r>
      <w:r w:rsidRPr="00314191">
        <w:rPr>
          <w:rFonts w:cs="Tahoma"/>
          <w:sz w:val="24"/>
          <w:szCs w:val="24"/>
        </w:rPr>
        <w:t xml:space="preserve"> distinguido</w:t>
      </w:r>
      <w:r w:rsidR="00A55FC9" w:rsidRPr="00314191">
        <w:rPr>
          <w:rFonts w:cs="Tahoma"/>
          <w:sz w:val="24"/>
          <w:szCs w:val="24"/>
        </w:rPr>
        <w:t xml:space="preserve"> letrado</w:t>
      </w:r>
      <w:r w:rsidRPr="00314191">
        <w:rPr>
          <w:rFonts w:cs="Tahoma"/>
          <w:sz w:val="24"/>
          <w:szCs w:val="24"/>
        </w:rPr>
        <w:t xml:space="preserve"> considera</w:t>
      </w:r>
      <w:r w:rsidR="00A55FC9" w:rsidRPr="00314191">
        <w:rPr>
          <w:rFonts w:cs="Tahoma"/>
          <w:sz w:val="24"/>
          <w:szCs w:val="24"/>
        </w:rPr>
        <w:t xml:space="preserve"> que cuando el juez fallador no analiza en la sentencia la gravedad de la conducta</w:t>
      </w:r>
      <w:r w:rsidR="002E0E29" w:rsidRPr="00314191">
        <w:rPr>
          <w:rFonts w:cs="Tahoma"/>
          <w:sz w:val="24"/>
          <w:szCs w:val="24"/>
        </w:rPr>
        <w:t xml:space="preserve"> </w:t>
      </w:r>
      <w:r w:rsidR="00681FC6" w:rsidRPr="00314191">
        <w:rPr>
          <w:rFonts w:cs="Tahoma"/>
          <w:sz w:val="24"/>
          <w:szCs w:val="24"/>
        </w:rPr>
        <w:t>-</w:t>
      </w:r>
      <w:r w:rsidR="00A957F8" w:rsidRPr="00314191">
        <w:rPr>
          <w:rFonts w:cs="Tahoma"/>
          <w:sz w:val="24"/>
          <w:szCs w:val="24"/>
        </w:rPr>
        <w:t>situación que no es aplicable al asunto que nos ocupa porque aquí ese análisis sí se dio en la sentencia</w:t>
      </w:r>
      <w:r w:rsidR="00681FC6" w:rsidRPr="00314191">
        <w:rPr>
          <w:rFonts w:cs="Tahoma"/>
          <w:sz w:val="24"/>
          <w:szCs w:val="24"/>
        </w:rPr>
        <w:t>-</w:t>
      </w:r>
      <w:r w:rsidR="00A55FC9" w:rsidRPr="00314191">
        <w:rPr>
          <w:rFonts w:cs="Tahoma"/>
          <w:sz w:val="24"/>
          <w:szCs w:val="24"/>
        </w:rPr>
        <w:t xml:space="preserve">, </w:t>
      </w:r>
      <w:r w:rsidR="00F06432" w:rsidRPr="00314191">
        <w:rPr>
          <w:rFonts w:cs="Tahoma"/>
          <w:sz w:val="24"/>
          <w:szCs w:val="24"/>
        </w:rPr>
        <w:t xml:space="preserve">le está vedado hacerlo al </w:t>
      </w:r>
      <w:r w:rsidR="00A55FC9" w:rsidRPr="00314191">
        <w:rPr>
          <w:rFonts w:cs="Tahoma"/>
          <w:sz w:val="24"/>
          <w:szCs w:val="24"/>
        </w:rPr>
        <w:t>funcionario ejecutor</w:t>
      </w:r>
      <w:r w:rsidRPr="00314191">
        <w:rPr>
          <w:rFonts w:cs="Tahoma"/>
          <w:sz w:val="24"/>
          <w:szCs w:val="24"/>
        </w:rPr>
        <w:t>. A</w:t>
      </w:r>
      <w:r w:rsidR="00A55FC9" w:rsidRPr="00314191">
        <w:rPr>
          <w:rFonts w:cs="Tahoma"/>
          <w:sz w:val="24"/>
          <w:szCs w:val="24"/>
        </w:rPr>
        <w:t>l respecto bast</w:t>
      </w:r>
      <w:r w:rsidR="00A957F8" w:rsidRPr="00314191">
        <w:rPr>
          <w:rFonts w:cs="Tahoma"/>
          <w:sz w:val="24"/>
          <w:szCs w:val="24"/>
        </w:rPr>
        <w:t>a</w:t>
      </w:r>
      <w:r w:rsidR="00A55FC9" w:rsidRPr="00314191">
        <w:rPr>
          <w:rFonts w:cs="Tahoma"/>
          <w:sz w:val="24"/>
          <w:szCs w:val="24"/>
        </w:rPr>
        <w:t xml:space="preserve"> señalar que</w:t>
      </w:r>
      <w:r w:rsidR="00681FC6" w:rsidRPr="00314191">
        <w:rPr>
          <w:rFonts w:cs="Tahoma"/>
          <w:sz w:val="24"/>
          <w:szCs w:val="24"/>
        </w:rPr>
        <w:t xml:space="preserve"> </w:t>
      </w:r>
      <w:proofErr w:type="spellStart"/>
      <w:r w:rsidR="00681FC6" w:rsidRPr="00314191">
        <w:rPr>
          <w:rFonts w:cs="Tahoma"/>
          <w:sz w:val="24"/>
          <w:szCs w:val="24"/>
        </w:rPr>
        <w:t>de</w:t>
      </w:r>
      <w:proofErr w:type="spellEnd"/>
      <w:r w:rsidR="00681FC6" w:rsidRPr="00314191">
        <w:rPr>
          <w:rFonts w:cs="Tahoma"/>
          <w:sz w:val="24"/>
          <w:szCs w:val="24"/>
        </w:rPr>
        <w:t xml:space="preserve"> así haber sucedido,</w:t>
      </w:r>
      <w:r w:rsidR="002E0E29" w:rsidRPr="00314191">
        <w:rPr>
          <w:rFonts w:cs="Tahoma"/>
          <w:sz w:val="24"/>
          <w:szCs w:val="24"/>
        </w:rPr>
        <w:t xml:space="preserve"> </w:t>
      </w:r>
      <w:r w:rsidR="00A957F8" w:rsidRPr="00314191">
        <w:rPr>
          <w:rFonts w:cs="Tahoma"/>
          <w:sz w:val="24"/>
          <w:szCs w:val="24"/>
        </w:rPr>
        <w:t xml:space="preserve">de todas formas </w:t>
      </w:r>
      <w:r w:rsidR="00F06432" w:rsidRPr="00314191">
        <w:rPr>
          <w:rFonts w:cs="Tahoma"/>
          <w:sz w:val="24"/>
          <w:szCs w:val="24"/>
        </w:rPr>
        <w:t xml:space="preserve">la </w:t>
      </w:r>
      <w:r w:rsidR="00A957F8" w:rsidRPr="00314191">
        <w:rPr>
          <w:rFonts w:cs="Tahoma"/>
          <w:sz w:val="24"/>
          <w:szCs w:val="24"/>
        </w:rPr>
        <w:t xml:space="preserve">H. </w:t>
      </w:r>
      <w:r w:rsidR="00F06432" w:rsidRPr="00314191">
        <w:rPr>
          <w:rFonts w:cs="Tahoma"/>
          <w:sz w:val="24"/>
          <w:szCs w:val="24"/>
        </w:rPr>
        <w:t>Corte Suprema en la Sentencia de Tutela 99026 de junio 26 de 2018, estableció:</w:t>
      </w:r>
    </w:p>
    <w:p w:rsidR="00F06432" w:rsidRPr="00314191" w:rsidRDefault="00F06432" w:rsidP="00314191">
      <w:pPr>
        <w:spacing w:line="276" w:lineRule="auto"/>
        <w:rPr>
          <w:rFonts w:cs="Tahoma"/>
          <w:sz w:val="24"/>
          <w:szCs w:val="24"/>
        </w:rPr>
      </w:pPr>
    </w:p>
    <w:p w:rsidR="00F06432" w:rsidRPr="00314191" w:rsidRDefault="00F06432" w:rsidP="00314191">
      <w:pPr>
        <w:autoSpaceDE w:val="0"/>
        <w:autoSpaceDN w:val="0"/>
        <w:adjustRightInd w:val="0"/>
        <w:spacing w:line="240" w:lineRule="auto"/>
        <w:ind w:left="426" w:right="420"/>
        <w:rPr>
          <w:rFonts w:cs="Tahoma"/>
          <w:sz w:val="22"/>
          <w:szCs w:val="24"/>
        </w:rPr>
      </w:pPr>
      <w:r w:rsidRPr="00314191">
        <w:rPr>
          <w:rFonts w:cs="Tahoma"/>
          <w:sz w:val="22"/>
          <w:szCs w:val="24"/>
        </w:rPr>
        <w:t xml:space="preserve">“A pesar de lo anterior, </w:t>
      </w:r>
      <w:r w:rsidRPr="00314191">
        <w:rPr>
          <w:rFonts w:cs="Tahoma"/>
          <w:sz w:val="22"/>
          <w:szCs w:val="24"/>
          <w:lang w:val="es-CO"/>
        </w:rPr>
        <w:t>existen</w:t>
      </w:r>
      <w:r w:rsidRPr="00314191">
        <w:rPr>
          <w:rFonts w:cs="Tahoma"/>
          <w:sz w:val="22"/>
          <w:szCs w:val="24"/>
        </w:rPr>
        <w:t xml:space="preserve"> específicas situaciones en las que, luego de aplicar en el proceso alguno de los mecanismos de la justicia </w:t>
      </w:r>
      <w:proofErr w:type="spellStart"/>
      <w:r w:rsidRPr="00314191">
        <w:rPr>
          <w:rFonts w:cs="Tahoma"/>
          <w:i/>
          <w:sz w:val="22"/>
          <w:szCs w:val="24"/>
        </w:rPr>
        <w:t>premial</w:t>
      </w:r>
      <w:bookmarkStart w:id="1" w:name="_GoBack"/>
      <w:bookmarkEnd w:id="1"/>
      <w:proofErr w:type="spellEnd"/>
      <w:r w:rsidR="00717F57">
        <w:rPr>
          <w:rFonts w:cs="Tahoma"/>
          <w:i/>
          <w:sz w:val="22"/>
          <w:szCs w:val="24"/>
        </w:rPr>
        <w:t xml:space="preserve"> </w:t>
      </w:r>
      <w:r w:rsidRPr="00314191">
        <w:rPr>
          <w:rFonts w:cs="Tahoma"/>
          <w:sz w:val="22"/>
          <w:szCs w:val="24"/>
        </w:rPr>
        <w:t xml:space="preserve">(léase preacuerdos o allanamientos), el juicio subjetivo sobre la conducta en el específico punto de su gravedad se omite o reduce a su mínima expresión, habida consideración que la declaración de culpabilidad del implicado, hace que la condena a imponer se haga a través de un sencillo ejercicio de dosificación de la pena en el que se prescinda de consignar, en concreto, la condición subjetiva de la gravedad del injusto(ver, en ese sentido, CSJ </w:t>
      </w:r>
      <w:proofErr w:type="spellStart"/>
      <w:r w:rsidRPr="00314191">
        <w:rPr>
          <w:rFonts w:cs="Tahoma"/>
          <w:sz w:val="22"/>
          <w:szCs w:val="24"/>
        </w:rPr>
        <w:t>STP</w:t>
      </w:r>
      <w:proofErr w:type="spellEnd"/>
      <w:r w:rsidRPr="00314191">
        <w:rPr>
          <w:rFonts w:cs="Tahoma"/>
          <w:sz w:val="22"/>
          <w:szCs w:val="24"/>
        </w:rPr>
        <w:t>, 1º de octubre de 2013, Rad. 69551).</w:t>
      </w:r>
    </w:p>
    <w:p w:rsidR="00F06432" w:rsidRPr="00314191" w:rsidRDefault="00F06432" w:rsidP="00314191">
      <w:pPr>
        <w:spacing w:line="240" w:lineRule="auto"/>
        <w:ind w:left="426" w:right="420" w:firstLine="705"/>
        <w:rPr>
          <w:rFonts w:cs="Tahoma"/>
          <w:sz w:val="22"/>
          <w:szCs w:val="24"/>
        </w:rPr>
      </w:pPr>
    </w:p>
    <w:p w:rsidR="00F06432" w:rsidRPr="00314191" w:rsidRDefault="00F06432" w:rsidP="00314191">
      <w:pPr>
        <w:autoSpaceDE w:val="0"/>
        <w:autoSpaceDN w:val="0"/>
        <w:adjustRightInd w:val="0"/>
        <w:spacing w:line="240" w:lineRule="auto"/>
        <w:ind w:left="426" w:right="420"/>
        <w:rPr>
          <w:rFonts w:cs="Tahoma"/>
          <w:sz w:val="22"/>
          <w:szCs w:val="24"/>
        </w:rPr>
      </w:pPr>
      <w:r w:rsidRPr="00314191">
        <w:rPr>
          <w:rFonts w:cs="Tahoma"/>
          <w:sz w:val="22"/>
          <w:szCs w:val="24"/>
        </w:rPr>
        <w:t xml:space="preserve">Una situación de esa índole no significa que el fallador hubiese estimado que la conducta no era de especial gravedad, en tanto la falta de análisis sobre la referida condición subjetiva pudo derivar del motivo antes mencionado.  De todas maneras, en caso de una omisión de esa </w:t>
      </w:r>
      <w:r w:rsidRPr="00314191">
        <w:rPr>
          <w:rFonts w:cs="Tahoma"/>
          <w:sz w:val="22"/>
          <w:szCs w:val="24"/>
          <w:lang w:val="es-CO"/>
        </w:rPr>
        <w:t>índole</w:t>
      </w:r>
      <w:r w:rsidRPr="00314191">
        <w:rPr>
          <w:rFonts w:cs="Tahoma"/>
          <w:sz w:val="22"/>
          <w:szCs w:val="24"/>
        </w:rPr>
        <w:t>, el juez de ejecución de penas habrá de acudir a todas las consideraciones y circunstancias, objetivas y subjetivas, concretadas en la sentencia con el fin de elaborar dicho análisis, tal y como lo planteó la Corte Constitucional en la sentencia C-757/14 y lo reiteró en fallo T-640/17</w:t>
      </w:r>
      <w:r w:rsidRPr="00314191">
        <w:rPr>
          <w:rStyle w:val="Refdenotaalpie"/>
          <w:rFonts w:ascii="Tahoma" w:hAnsi="Tahoma" w:cs="Tahoma"/>
          <w:sz w:val="22"/>
          <w:szCs w:val="24"/>
        </w:rPr>
        <w:footnoteReference w:id="1"/>
      </w:r>
      <w:r w:rsidRPr="00314191">
        <w:rPr>
          <w:rFonts w:cs="Tahoma"/>
          <w:sz w:val="22"/>
          <w:szCs w:val="24"/>
        </w:rPr>
        <w:t>”.</w:t>
      </w:r>
    </w:p>
    <w:p w:rsidR="00F06432" w:rsidRPr="00314191" w:rsidRDefault="00F06432" w:rsidP="00314191">
      <w:pPr>
        <w:spacing w:line="276" w:lineRule="auto"/>
        <w:rPr>
          <w:rFonts w:cs="Tahoma"/>
          <w:sz w:val="24"/>
          <w:szCs w:val="24"/>
        </w:rPr>
      </w:pPr>
    </w:p>
    <w:p w:rsidR="006C58AA" w:rsidRDefault="006C58AA" w:rsidP="00314191">
      <w:pPr>
        <w:spacing w:line="276" w:lineRule="auto"/>
        <w:rPr>
          <w:rFonts w:cs="Tahoma"/>
          <w:sz w:val="24"/>
          <w:szCs w:val="24"/>
        </w:rPr>
      </w:pPr>
      <w:r w:rsidRPr="00314191">
        <w:rPr>
          <w:rFonts w:cs="Tahoma"/>
          <w:sz w:val="24"/>
          <w:szCs w:val="24"/>
        </w:rPr>
        <w:t xml:space="preserve">Para la Sala entonces, en este </w:t>
      </w:r>
      <w:r w:rsidR="000C5449" w:rsidRPr="00314191">
        <w:rPr>
          <w:rFonts w:cs="Tahoma"/>
          <w:sz w:val="24"/>
          <w:szCs w:val="24"/>
        </w:rPr>
        <w:t>caso</w:t>
      </w:r>
      <w:r w:rsidRPr="00314191">
        <w:rPr>
          <w:rFonts w:cs="Tahoma"/>
          <w:sz w:val="24"/>
          <w:szCs w:val="24"/>
        </w:rPr>
        <w:t xml:space="preserve"> específico y en consonancia con lo aludido por el funcionario de primer nivel, no se cumplen a cabalidad las exigencias de ley para otorgar al </w:t>
      </w:r>
      <w:r w:rsidR="005912EA" w:rsidRPr="00314191">
        <w:rPr>
          <w:rFonts w:cs="Tahoma"/>
          <w:sz w:val="24"/>
          <w:szCs w:val="24"/>
        </w:rPr>
        <w:t xml:space="preserve">interno </w:t>
      </w:r>
      <w:r w:rsidRPr="00314191">
        <w:rPr>
          <w:rFonts w:cs="Tahoma"/>
          <w:sz w:val="24"/>
          <w:szCs w:val="24"/>
        </w:rPr>
        <w:t xml:space="preserve">la libertad condicional, </w:t>
      </w:r>
      <w:r w:rsidR="000C5449" w:rsidRPr="00314191">
        <w:rPr>
          <w:rFonts w:cs="Tahoma"/>
          <w:sz w:val="24"/>
          <w:szCs w:val="24"/>
        </w:rPr>
        <w:t xml:space="preserve">razón por la cual </w:t>
      </w:r>
      <w:r w:rsidRPr="00314191">
        <w:rPr>
          <w:rFonts w:cs="Tahoma"/>
          <w:sz w:val="24"/>
          <w:szCs w:val="24"/>
        </w:rPr>
        <w:t>se acompañará la determinación adoptada.</w:t>
      </w:r>
    </w:p>
    <w:p w:rsidR="00314191" w:rsidRPr="00314191" w:rsidRDefault="00314191" w:rsidP="00314191">
      <w:pPr>
        <w:spacing w:line="276" w:lineRule="auto"/>
        <w:rPr>
          <w:rFonts w:cs="Tahoma"/>
          <w:sz w:val="24"/>
          <w:szCs w:val="24"/>
        </w:rPr>
      </w:pPr>
    </w:p>
    <w:p w:rsidR="00290915" w:rsidRPr="00314191" w:rsidRDefault="000C5449" w:rsidP="00314191">
      <w:pPr>
        <w:spacing w:line="276" w:lineRule="auto"/>
        <w:rPr>
          <w:rFonts w:cs="Tahoma"/>
          <w:sz w:val="24"/>
          <w:szCs w:val="24"/>
        </w:rPr>
      </w:pPr>
      <w:r w:rsidRPr="00314191">
        <w:rPr>
          <w:rFonts w:cs="Tahoma"/>
          <w:sz w:val="24"/>
          <w:szCs w:val="24"/>
        </w:rPr>
        <w:t>No sobra advertir f</w:t>
      </w:r>
      <w:r w:rsidR="006C58AA" w:rsidRPr="00314191">
        <w:rPr>
          <w:rFonts w:cs="Tahoma"/>
          <w:sz w:val="24"/>
          <w:szCs w:val="24"/>
        </w:rPr>
        <w:t>inalmente</w:t>
      </w:r>
      <w:r w:rsidRPr="00314191">
        <w:rPr>
          <w:rFonts w:cs="Tahoma"/>
          <w:sz w:val="24"/>
          <w:szCs w:val="24"/>
        </w:rPr>
        <w:t>, que</w:t>
      </w:r>
      <w:r w:rsidR="005E604C" w:rsidRPr="00314191">
        <w:rPr>
          <w:rFonts w:cs="Tahoma"/>
          <w:sz w:val="24"/>
          <w:szCs w:val="24"/>
        </w:rPr>
        <w:t xml:space="preserve"> aunque </w:t>
      </w:r>
      <w:r w:rsidR="00290915" w:rsidRPr="00314191">
        <w:rPr>
          <w:rFonts w:cs="Tahoma"/>
          <w:sz w:val="24"/>
          <w:szCs w:val="24"/>
        </w:rPr>
        <w:t xml:space="preserve">la </w:t>
      </w:r>
      <w:r w:rsidR="00920D24" w:rsidRPr="00314191">
        <w:rPr>
          <w:rFonts w:cs="Tahoma"/>
          <w:sz w:val="24"/>
          <w:szCs w:val="24"/>
        </w:rPr>
        <w:t>Sala de Casación Penal</w:t>
      </w:r>
      <w:r w:rsidR="00290915" w:rsidRPr="00314191">
        <w:rPr>
          <w:rFonts w:cs="Tahoma"/>
          <w:sz w:val="24"/>
          <w:szCs w:val="24"/>
        </w:rPr>
        <w:t xml:space="preserve"> en la sentencia de Tutela Nº </w:t>
      </w:r>
      <w:r w:rsidR="00307798" w:rsidRPr="00314191">
        <w:rPr>
          <w:rFonts w:cs="Tahoma"/>
          <w:sz w:val="24"/>
          <w:szCs w:val="24"/>
        </w:rPr>
        <w:t>107664 de noviembre 19 de 2019</w:t>
      </w:r>
      <w:r w:rsidR="002E0E29" w:rsidRPr="00314191">
        <w:rPr>
          <w:rFonts w:cs="Tahoma"/>
          <w:sz w:val="24"/>
          <w:szCs w:val="24"/>
        </w:rPr>
        <w:t xml:space="preserve"> </w:t>
      </w:r>
      <w:r w:rsidR="00307798" w:rsidRPr="00314191">
        <w:rPr>
          <w:rFonts w:cs="Tahoma"/>
          <w:sz w:val="24"/>
          <w:szCs w:val="24"/>
        </w:rPr>
        <w:t>fijó</w:t>
      </w:r>
      <w:r w:rsidR="00290915" w:rsidRPr="00314191">
        <w:rPr>
          <w:rFonts w:cs="Tahoma"/>
          <w:sz w:val="24"/>
          <w:szCs w:val="24"/>
        </w:rPr>
        <w:t xml:space="preserve"> algunos lineamientos para que los jueces encargados de la vigilancia de la pena tuvieran en consideración al momento de establecer la procedencia de conceder o no </w:t>
      </w:r>
      <w:r w:rsidR="00307798" w:rsidRPr="00314191">
        <w:rPr>
          <w:rFonts w:cs="Tahoma"/>
          <w:sz w:val="24"/>
          <w:szCs w:val="24"/>
        </w:rPr>
        <w:t xml:space="preserve">la libertad condicional, </w:t>
      </w:r>
      <w:r w:rsidR="005E604C" w:rsidRPr="00314191">
        <w:rPr>
          <w:rFonts w:cs="Tahoma"/>
          <w:sz w:val="24"/>
          <w:szCs w:val="24"/>
        </w:rPr>
        <w:t>estima e</w:t>
      </w:r>
      <w:r w:rsidR="00307798" w:rsidRPr="00314191">
        <w:rPr>
          <w:rFonts w:cs="Tahoma"/>
          <w:sz w:val="24"/>
          <w:szCs w:val="24"/>
        </w:rPr>
        <w:t>l Tribunal</w:t>
      </w:r>
      <w:r w:rsidR="002E0E29" w:rsidRPr="00314191">
        <w:rPr>
          <w:rFonts w:cs="Tahoma"/>
          <w:sz w:val="24"/>
          <w:szCs w:val="24"/>
        </w:rPr>
        <w:t xml:space="preserve"> </w:t>
      </w:r>
      <w:r w:rsidR="00290915" w:rsidRPr="00314191">
        <w:rPr>
          <w:rFonts w:cs="Tahoma"/>
          <w:sz w:val="24"/>
          <w:szCs w:val="24"/>
        </w:rPr>
        <w:t xml:space="preserve">que tal determinación únicamente tiene efectos </w:t>
      </w:r>
      <w:r w:rsidR="00290915" w:rsidRPr="00314191">
        <w:rPr>
          <w:rFonts w:cs="Tahoma"/>
          <w:i/>
          <w:iCs/>
          <w:sz w:val="24"/>
          <w:szCs w:val="24"/>
        </w:rPr>
        <w:t>inter par</w:t>
      </w:r>
      <w:r w:rsidR="006C58AA" w:rsidRPr="00314191">
        <w:rPr>
          <w:rFonts w:cs="Tahoma"/>
          <w:i/>
          <w:iCs/>
          <w:sz w:val="24"/>
          <w:szCs w:val="24"/>
        </w:rPr>
        <w:t>tes</w:t>
      </w:r>
      <w:r w:rsidR="006C58AA" w:rsidRPr="00314191">
        <w:rPr>
          <w:rFonts w:cs="Tahoma"/>
          <w:sz w:val="24"/>
          <w:szCs w:val="24"/>
        </w:rPr>
        <w:t xml:space="preserve">, no </w:t>
      </w:r>
      <w:r w:rsidR="006C58AA" w:rsidRPr="00314191">
        <w:rPr>
          <w:rFonts w:cs="Tahoma"/>
          <w:i/>
          <w:iCs/>
          <w:sz w:val="24"/>
          <w:szCs w:val="24"/>
        </w:rPr>
        <w:t>erga omnes</w:t>
      </w:r>
      <w:r w:rsidR="00801486" w:rsidRPr="00314191">
        <w:rPr>
          <w:rFonts w:cs="Tahoma"/>
          <w:sz w:val="24"/>
          <w:szCs w:val="24"/>
        </w:rPr>
        <w:t>,</w:t>
      </w:r>
      <w:r w:rsidR="006C58AA" w:rsidRPr="00314191">
        <w:rPr>
          <w:rFonts w:cs="Tahoma"/>
          <w:sz w:val="24"/>
          <w:szCs w:val="24"/>
        </w:rPr>
        <w:t xml:space="preserve"> y</w:t>
      </w:r>
      <w:r w:rsidR="00307798" w:rsidRPr="00314191">
        <w:rPr>
          <w:rFonts w:cs="Tahoma"/>
          <w:sz w:val="24"/>
          <w:szCs w:val="24"/>
        </w:rPr>
        <w:t xml:space="preserve">, por supuesto, </w:t>
      </w:r>
      <w:r w:rsidRPr="00314191">
        <w:rPr>
          <w:rFonts w:cs="Tahoma"/>
          <w:sz w:val="24"/>
          <w:szCs w:val="24"/>
        </w:rPr>
        <w:t>el citado</w:t>
      </w:r>
      <w:r w:rsidR="00307798" w:rsidRPr="00314191">
        <w:rPr>
          <w:rFonts w:cs="Tahoma"/>
          <w:sz w:val="24"/>
          <w:szCs w:val="24"/>
        </w:rPr>
        <w:t xml:space="preserve"> pronunciamiento estuvo ceñido a las singularidades del caso analizado</w:t>
      </w:r>
      <w:r w:rsidRPr="00314191">
        <w:rPr>
          <w:rFonts w:cs="Tahoma"/>
          <w:sz w:val="24"/>
          <w:szCs w:val="24"/>
        </w:rPr>
        <w:t>. No</w:t>
      </w:r>
      <w:r w:rsidR="005E604C" w:rsidRPr="00314191">
        <w:rPr>
          <w:rFonts w:cs="Tahoma"/>
          <w:sz w:val="24"/>
          <w:szCs w:val="24"/>
        </w:rPr>
        <w:t xml:space="preserve"> obstante</w:t>
      </w:r>
      <w:r w:rsidRPr="00314191">
        <w:rPr>
          <w:rFonts w:cs="Tahoma"/>
          <w:sz w:val="24"/>
          <w:szCs w:val="24"/>
        </w:rPr>
        <w:t>,</w:t>
      </w:r>
      <w:r w:rsidR="005E604C" w:rsidRPr="00314191">
        <w:rPr>
          <w:rFonts w:cs="Tahoma"/>
          <w:sz w:val="24"/>
          <w:szCs w:val="24"/>
        </w:rPr>
        <w:t xml:space="preserve"> la </w:t>
      </w:r>
      <w:r w:rsidR="00307798" w:rsidRPr="00314191">
        <w:rPr>
          <w:rFonts w:cs="Tahoma"/>
          <w:sz w:val="24"/>
          <w:szCs w:val="24"/>
        </w:rPr>
        <w:t>Sala ha tenido</w:t>
      </w:r>
      <w:r w:rsidRPr="00314191">
        <w:rPr>
          <w:rFonts w:cs="Tahoma"/>
          <w:sz w:val="24"/>
          <w:szCs w:val="24"/>
        </w:rPr>
        <w:t xml:space="preserve"> buen cuidado de tener en </w:t>
      </w:r>
      <w:r w:rsidR="00307798" w:rsidRPr="00314191">
        <w:rPr>
          <w:rFonts w:cs="Tahoma"/>
          <w:sz w:val="24"/>
          <w:szCs w:val="24"/>
        </w:rPr>
        <w:t>consideración los pronunciamientos del órgano de cierre en materia constitucional que sirvieron de sustento</w:t>
      </w:r>
      <w:r w:rsidR="005E604C" w:rsidRPr="00314191">
        <w:rPr>
          <w:rFonts w:cs="Tahoma"/>
          <w:sz w:val="24"/>
          <w:szCs w:val="24"/>
        </w:rPr>
        <w:t xml:space="preserve"> para el referido fallo</w:t>
      </w:r>
      <w:r w:rsidR="00307798" w:rsidRPr="00314191">
        <w:rPr>
          <w:rFonts w:cs="Tahoma"/>
          <w:sz w:val="24"/>
          <w:szCs w:val="24"/>
        </w:rPr>
        <w:t xml:space="preserve">, en los cuales se deja en claro, como no podía ser de otra manera, que </w:t>
      </w:r>
      <w:r w:rsidR="00317FA5" w:rsidRPr="00314191">
        <w:rPr>
          <w:rFonts w:cs="Tahoma"/>
          <w:sz w:val="24"/>
          <w:szCs w:val="24"/>
        </w:rPr>
        <w:t xml:space="preserve">si bien se debe analizar la situación </w:t>
      </w:r>
      <w:r w:rsidR="005E604C" w:rsidRPr="00314191">
        <w:rPr>
          <w:rFonts w:cs="Tahoma"/>
          <w:sz w:val="24"/>
          <w:szCs w:val="24"/>
        </w:rPr>
        <w:t xml:space="preserve">del sentenciado </w:t>
      </w:r>
      <w:r w:rsidR="00317FA5" w:rsidRPr="00314191">
        <w:rPr>
          <w:rFonts w:cs="Tahoma"/>
          <w:sz w:val="24"/>
          <w:szCs w:val="24"/>
        </w:rPr>
        <w:t xml:space="preserve">de manera integral -debe estudiarse también lo relativo a la </w:t>
      </w:r>
      <w:r w:rsidR="00317FA5" w:rsidRPr="00314191">
        <w:rPr>
          <w:rFonts w:cs="Tahoma"/>
          <w:sz w:val="24"/>
          <w:szCs w:val="24"/>
        </w:rPr>
        <w:lastRenderedPageBreak/>
        <w:t>existencia o no de circunstancias de mayor o menor punibilidad descritos en la sentencia, el cumplimiento de los factores objetivos, el adecuado desempeño y proceder del interno en su tratamiento penitenciario, la demostración del arraigo familiar y social, así como la reparación a la víctima de haberse ordenado-</w:t>
      </w:r>
      <w:r w:rsidR="005E604C" w:rsidRPr="00314191">
        <w:rPr>
          <w:rFonts w:cs="Tahoma"/>
          <w:sz w:val="24"/>
          <w:szCs w:val="24"/>
        </w:rPr>
        <w:t xml:space="preserve">, </w:t>
      </w:r>
      <w:r w:rsidR="00317FA5" w:rsidRPr="00314191">
        <w:rPr>
          <w:rFonts w:cs="Tahoma"/>
          <w:sz w:val="24"/>
          <w:szCs w:val="24"/>
        </w:rPr>
        <w:t xml:space="preserve">la gravedad de la </w:t>
      </w:r>
      <w:r w:rsidR="00307798" w:rsidRPr="00314191">
        <w:rPr>
          <w:rFonts w:cs="Tahoma"/>
          <w:sz w:val="24"/>
          <w:szCs w:val="24"/>
        </w:rPr>
        <w:t xml:space="preserve">conducta atribuida </w:t>
      </w:r>
      <w:r w:rsidRPr="00314191">
        <w:rPr>
          <w:rFonts w:cs="Tahoma"/>
          <w:sz w:val="24"/>
          <w:szCs w:val="24"/>
        </w:rPr>
        <w:t>SÍ ES UN FACTOR DETERMINANTE</w:t>
      </w:r>
      <w:r w:rsidR="00307798" w:rsidRPr="00314191">
        <w:rPr>
          <w:rFonts w:cs="Tahoma"/>
          <w:sz w:val="24"/>
          <w:szCs w:val="24"/>
        </w:rPr>
        <w:t xml:space="preserve"> a la hora de analizar la concesión de subrogados y sustitutos</w:t>
      </w:r>
      <w:r w:rsidR="00290915" w:rsidRPr="00314191">
        <w:rPr>
          <w:rFonts w:cs="Tahoma"/>
          <w:sz w:val="24"/>
          <w:szCs w:val="24"/>
        </w:rPr>
        <w:t>.</w:t>
      </w:r>
    </w:p>
    <w:p w:rsidR="00471991" w:rsidRPr="00314191" w:rsidRDefault="00471991" w:rsidP="00314191">
      <w:pPr>
        <w:spacing w:line="276" w:lineRule="auto"/>
        <w:rPr>
          <w:rFonts w:cs="Tahoma"/>
          <w:sz w:val="24"/>
          <w:szCs w:val="24"/>
        </w:rPr>
      </w:pPr>
    </w:p>
    <w:p w:rsidR="00471991" w:rsidRPr="00314191" w:rsidRDefault="00937E35" w:rsidP="00314191">
      <w:pPr>
        <w:spacing w:line="276" w:lineRule="auto"/>
        <w:rPr>
          <w:rFonts w:cs="Tahoma"/>
          <w:sz w:val="24"/>
          <w:szCs w:val="24"/>
        </w:rPr>
      </w:pPr>
      <w:r w:rsidRPr="00314191">
        <w:rPr>
          <w:rFonts w:cs="Tahoma"/>
          <w:sz w:val="24"/>
          <w:szCs w:val="24"/>
          <w:lang w:val="es-MX"/>
        </w:rPr>
        <w:t xml:space="preserve">Por lo expuesto, la Sala de Decisión Penal del </w:t>
      </w:r>
      <w:r w:rsidRPr="00314191">
        <w:rPr>
          <w:rFonts w:cs="Tahoma"/>
          <w:sz w:val="24"/>
          <w:szCs w:val="24"/>
        </w:rPr>
        <w:t>Tribunal</w:t>
      </w:r>
      <w:r w:rsidRPr="00314191">
        <w:rPr>
          <w:rFonts w:cs="Tahoma"/>
          <w:sz w:val="24"/>
          <w:szCs w:val="24"/>
          <w:lang w:val="es-MX"/>
        </w:rPr>
        <w:t xml:space="preserve"> Superior del Distrito Judicial de Pereira, </w:t>
      </w:r>
      <w:r w:rsidR="006C58AA" w:rsidRPr="00314191">
        <w:rPr>
          <w:rFonts w:cs="Tahoma"/>
          <w:b/>
          <w:sz w:val="24"/>
          <w:szCs w:val="24"/>
          <w:lang w:val="es-MX"/>
        </w:rPr>
        <w:t>CONFIRMA</w:t>
      </w:r>
      <w:r w:rsidR="002E0E29" w:rsidRPr="00314191">
        <w:rPr>
          <w:rFonts w:cs="Tahoma"/>
          <w:b/>
          <w:sz w:val="24"/>
          <w:szCs w:val="24"/>
          <w:lang w:val="es-MX"/>
        </w:rPr>
        <w:t xml:space="preserve"> </w:t>
      </w:r>
      <w:r w:rsidR="006C58AA" w:rsidRPr="00314191">
        <w:rPr>
          <w:rFonts w:cs="Tahoma"/>
          <w:sz w:val="24"/>
          <w:szCs w:val="24"/>
          <w:lang w:val="es-MX"/>
        </w:rPr>
        <w:t xml:space="preserve">la determinación adoptada por el </w:t>
      </w:r>
      <w:r w:rsidR="005E604C" w:rsidRPr="00314191">
        <w:rPr>
          <w:rFonts w:cs="Tahoma"/>
          <w:sz w:val="24"/>
          <w:szCs w:val="24"/>
          <w:lang w:val="es-MX"/>
        </w:rPr>
        <w:t xml:space="preserve">Juzgado </w:t>
      </w:r>
      <w:r w:rsidR="00D35715" w:rsidRPr="00314191">
        <w:rPr>
          <w:rFonts w:cs="Tahoma"/>
          <w:sz w:val="24"/>
          <w:szCs w:val="24"/>
          <w:lang w:val="es-MX"/>
        </w:rPr>
        <w:t xml:space="preserve">Primero </w:t>
      </w:r>
      <w:r w:rsidR="00471991" w:rsidRPr="00314191">
        <w:rPr>
          <w:rFonts w:cs="Tahoma"/>
          <w:sz w:val="24"/>
          <w:szCs w:val="24"/>
          <w:lang w:val="es-MX"/>
        </w:rPr>
        <w:t xml:space="preserve">de Ejecución de Penas en </w:t>
      </w:r>
      <w:r w:rsidR="005E604C" w:rsidRPr="00314191">
        <w:rPr>
          <w:rFonts w:cs="Tahoma"/>
          <w:sz w:val="24"/>
          <w:szCs w:val="24"/>
          <w:lang w:val="es-MX"/>
        </w:rPr>
        <w:t>marzo 10</w:t>
      </w:r>
      <w:r w:rsidR="00471991" w:rsidRPr="00314191">
        <w:rPr>
          <w:rFonts w:cs="Tahoma"/>
          <w:sz w:val="24"/>
          <w:szCs w:val="24"/>
          <w:lang w:val="es-MX"/>
        </w:rPr>
        <w:t xml:space="preserve"> de 20</w:t>
      </w:r>
      <w:r w:rsidR="005E604C" w:rsidRPr="00314191">
        <w:rPr>
          <w:rFonts w:cs="Tahoma"/>
          <w:sz w:val="24"/>
          <w:szCs w:val="24"/>
          <w:lang w:val="es-MX"/>
        </w:rPr>
        <w:t>20</w:t>
      </w:r>
      <w:r w:rsidR="00471991" w:rsidRPr="00314191">
        <w:rPr>
          <w:rFonts w:cs="Tahoma"/>
          <w:sz w:val="24"/>
          <w:szCs w:val="24"/>
          <w:lang w:val="es-MX"/>
        </w:rPr>
        <w:t xml:space="preserve">, </w:t>
      </w:r>
      <w:r w:rsidR="006C58AA" w:rsidRPr="00314191">
        <w:rPr>
          <w:rFonts w:cs="Tahoma"/>
          <w:sz w:val="24"/>
          <w:szCs w:val="24"/>
          <w:lang w:val="es-MX"/>
        </w:rPr>
        <w:t>en cuanto negó la libertad condicional al sentenciad</w:t>
      </w:r>
      <w:r w:rsidR="00A55FC9" w:rsidRPr="00314191">
        <w:rPr>
          <w:rFonts w:cs="Tahoma"/>
          <w:sz w:val="24"/>
          <w:szCs w:val="24"/>
          <w:lang w:val="es-MX"/>
        </w:rPr>
        <w:t xml:space="preserve">o </w:t>
      </w:r>
      <w:r w:rsidR="000944BF">
        <w:rPr>
          <w:rFonts w:cs="Tahoma"/>
          <w:b/>
          <w:sz w:val="24"/>
          <w:szCs w:val="24"/>
          <w:lang w:val="es-MX"/>
        </w:rPr>
        <w:t>CASO</w:t>
      </w:r>
      <w:r w:rsidR="005E604C" w:rsidRPr="00314191">
        <w:rPr>
          <w:rFonts w:cs="Tahoma"/>
          <w:b/>
          <w:sz w:val="24"/>
          <w:szCs w:val="24"/>
          <w:lang w:val="es-MX"/>
        </w:rPr>
        <w:t>.</w:t>
      </w:r>
    </w:p>
    <w:p w:rsidR="005E604C" w:rsidRPr="00314191" w:rsidRDefault="005E604C" w:rsidP="00314191">
      <w:pPr>
        <w:spacing w:line="276" w:lineRule="auto"/>
        <w:rPr>
          <w:rFonts w:cs="Tahoma"/>
          <w:position w:val="-4"/>
          <w:sz w:val="24"/>
          <w:szCs w:val="24"/>
        </w:rPr>
      </w:pPr>
    </w:p>
    <w:p w:rsidR="005E604C" w:rsidRPr="00314191" w:rsidRDefault="005E604C" w:rsidP="00314191">
      <w:pPr>
        <w:pStyle w:val="Profesin"/>
        <w:spacing w:line="276" w:lineRule="auto"/>
        <w:jc w:val="both"/>
        <w:rPr>
          <w:rFonts w:ascii="Tahoma" w:eastAsia="SimSun" w:hAnsi="Tahoma" w:cs="Tahoma"/>
          <w:b w:val="0"/>
          <w:sz w:val="24"/>
          <w:szCs w:val="24"/>
          <w:lang w:val="es-ES"/>
        </w:rPr>
      </w:pPr>
      <w:r w:rsidRPr="00314191">
        <w:rPr>
          <w:rFonts w:ascii="Tahoma" w:eastAsia="SimSun" w:hAnsi="Tahoma" w:cs="Tahoma"/>
          <w:b w:val="0"/>
          <w:sz w:val="24"/>
          <w:szCs w:val="24"/>
          <w:lang w:val="es-ES"/>
        </w:rPr>
        <w:t xml:space="preserve">En </w:t>
      </w:r>
      <w:r w:rsidRPr="00314191">
        <w:rPr>
          <w:rFonts w:ascii="Tahoma" w:hAnsi="Tahoma" w:cs="Tahoma"/>
          <w:b w:val="0"/>
          <w:sz w:val="24"/>
          <w:szCs w:val="24"/>
          <w:lang w:val="es-ES" w:eastAsia="es-MX"/>
        </w:rPr>
        <w:t>atención</w:t>
      </w:r>
      <w:r w:rsidRPr="00314191">
        <w:rPr>
          <w:rFonts w:ascii="Tahoma" w:eastAsia="SimSun" w:hAnsi="Tahoma" w:cs="Tahoma"/>
          <w:b w:val="0"/>
          <w:sz w:val="24"/>
          <w:szCs w:val="24"/>
          <w:lang w:val="es-ES"/>
        </w:rPr>
        <w:t xml:space="preserve"> a lo dispuesto por el Consejo Superior de la Judicatura en el artículo 4º del Acuerdo </w:t>
      </w:r>
      <w:proofErr w:type="spellStart"/>
      <w:r w:rsidRPr="00314191">
        <w:rPr>
          <w:rFonts w:ascii="Tahoma" w:eastAsia="SimSun" w:hAnsi="Tahoma" w:cs="Tahoma"/>
          <w:b w:val="0"/>
          <w:sz w:val="24"/>
          <w:szCs w:val="24"/>
          <w:lang w:val="es-ES"/>
        </w:rPr>
        <w:t>PCSJA20</w:t>
      </w:r>
      <w:proofErr w:type="spellEnd"/>
      <w:r w:rsidRPr="00314191">
        <w:rPr>
          <w:rFonts w:ascii="Tahoma" w:eastAsia="SimSun" w:hAnsi="Tahoma" w:cs="Tahoma"/>
          <w:b w:val="0"/>
          <w:sz w:val="24"/>
          <w:szCs w:val="24"/>
          <w:lang w:val="es-ES"/>
        </w:rPr>
        <w:t xml:space="preserve">-11518 del 16 de marzo de 2020 y en la Circular </w:t>
      </w:r>
      <w:proofErr w:type="spellStart"/>
      <w:r w:rsidRPr="00314191">
        <w:rPr>
          <w:rFonts w:ascii="Tahoma" w:eastAsia="SimSun" w:hAnsi="Tahoma" w:cs="Tahoma"/>
          <w:b w:val="0"/>
          <w:sz w:val="24"/>
          <w:szCs w:val="24"/>
          <w:lang w:val="es-ES"/>
        </w:rPr>
        <w:t>CSJRIC20</w:t>
      </w:r>
      <w:proofErr w:type="spellEnd"/>
      <w:r w:rsidRPr="00314191">
        <w:rPr>
          <w:rFonts w:ascii="Tahoma" w:eastAsia="SimSun" w:hAnsi="Tahoma" w:cs="Tahoma"/>
          <w:b w:val="0"/>
          <w:sz w:val="24"/>
          <w:szCs w:val="24"/>
          <w:lang w:val="es-ES"/>
        </w:rPr>
        <w:t>-75 expedida por el Consejo Seccional de la Judicatura de Risaralda, no se realizará audiencia de lectura de decisión, y por ende esta providencia se notificará por la Secretaría de esta Sala vía correo electrónico a las partes e intervinientes.</w:t>
      </w:r>
    </w:p>
    <w:p w:rsidR="005E604C" w:rsidRPr="00314191" w:rsidRDefault="005E604C" w:rsidP="00314191">
      <w:pPr>
        <w:pStyle w:val="Profesin"/>
        <w:spacing w:line="276" w:lineRule="auto"/>
        <w:jc w:val="both"/>
        <w:rPr>
          <w:rFonts w:ascii="Tahoma" w:eastAsia="SimSun" w:hAnsi="Tahoma" w:cs="Tahoma"/>
          <w:b w:val="0"/>
          <w:sz w:val="24"/>
          <w:szCs w:val="24"/>
          <w:lang w:val="es-ES"/>
        </w:rPr>
      </w:pPr>
    </w:p>
    <w:p w:rsidR="005E604C" w:rsidRPr="00314191" w:rsidRDefault="005E604C" w:rsidP="00314191">
      <w:pPr>
        <w:pStyle w:val="Profesin"/>
        <w:spacing w:line="276" w:lineRule="auto"/>
        <w:jc w:val="both"/>
        <w:rPr>
          <w:rFonts w:ascii="Tahoma" w:hAnsi="Tahoma" w:cs="Tahoma"/>
          <w:b w:val="0"/>
          <w:sz w:val="24"/>
          <w:szCs w:val="24"/>
        </w:rPr>
      </w:pPr>
      <w:r w:rsidRPr="00314191">
        <w:rPr>
          <w:rFonts w:ascii="Tahoma" w:eastAsia="SimSun" w:hAnsi="Tahoma" w:cs="Tahoma"/>
          <w:b w:val="0"/>
          <w:sz w:val="24"/>
          <w:szCs w:val="24"/>
          <w:lang w:val="es-ES"/>
        </w:rPr>
        <w:t>Contra la presente determinación no procede recurso alguno.</w:t>
      </w:r>
    </w:p>
    <w:p w:rsidR="00937E35" w:rsidRPr="00314191" w:rsidRDefault="00937E35" w:rsidP="00314191">
      <w:pPr>
        <w:tabs>
          <w:tab w:val="left" w:pos="3817"/>
        </w:tabs>
        <w:spacing w:line="276" w:lineRule="auto"/>
        <w:rPr>
          <w:rFonts w:cs="Tahoma"/>
          <w:spacing w:val="-4"/>
          <w:sz w:val="24"/>
          <w:szCs w:val="24"/>
          <w:lang w:val="es-CO"/>
        </w:rPr>
      </w:pPr>
    </w:p>
    <w:p w:rsidR="00314191" w:rsidRPr="00314191" w:rsidRDefault="00314191" w:rsidP="00314191">
      <w:pPr>
        <w:spacing w:line="288" w:lineRule="auto"/>
        <w:rPr>
          <w:rFonts w:ascii="Arial" w:hAnsi="Arial" w:cs="Arial"/>
          <w:spacing w:val="-4"/>
          <w:sz w:val="24"/>
        </w:rPr>
      </w:pPr>
      <w:r w:rsidRPr="00314191">
        <w:rPr>
          <w:rFonts w:ascii="Arial" w:hAnsi="Arial" w:cs="Arial"/>
          <w:spacing w:val="-4"/>
          <w:sz w:val="24"/>
        </w:rPr>
        <w:t xml:space="preserve">Los Magistrados, </w:t>
      </w: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rPr>
          <w:rFonts w:ascii="Arial" w:hAnsi="Arial" w:cs="Arial"/>
          <w:b/>
          <w:spacing w:val="-4"/>
          <w:position w:val="-4"/>
          <w:sz w:val="24"/>
          <w:szCs w:val="24"/>
          <w:lang w:val="es-419"/>
        </w:rPr>
      </w:pPr>
      <w:r w:rsidRPr="00314191">
        <w:rPr>
          <w:rFonts w:ascii="Arial" w:hAnsi="Arial" w:cs="Arial"/>
          <w:b/>
          <w:spacing w:val="-4"/>
          <w:position w:val="-4"/>
          <w:sz w:val="24"/>
          <w:szCs w:val="24"/>
          <w:lang w:val="es-419"/>
        </w:rPr>
        <w:t>JORGE ARTURO CASTAÑO DUQUE</w:t>
      </w:r>
      <w:r w:rsidRPr="00314191">
        <w:rPr>
          <w:rFonts w:ascii="Arial" w:hAnsi="Arial" w:cs="Arial"/>
          <w:b/>
          <w:spacing w:val="-4"/>
          <w:position w:val="-4"/>
          <w:sz w:val="24"/>
          <w:szCs w:val="24"/>
          <w:lang w:val="es-419"/>
        </w:rPr>
        <w:tab/>
        <w:t xml:space="preserve">      JAIRO ERNESTO ESCOBAR SANZ</w:t>
      </w: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rPr>
          <w:rFonts w:ascii="Arial" w:hAnsi="Arial" w:cs="Arial"/>
          <w:spacing w:val="-4"/>
          <w:position w:val="-4"/>
          <w:sz w:val="24"/>
          <w:szCs w:val="24"/>
          <w:lang w:val="es-419"/>
        </w:rPr>
      </w:pPr>
    </w:p>
    <w:p w:rsidR="00314191" w:rsidRPr="00314191" w:rsidRDefault="00314191" w:rsidP="00314191">
      <w:pPr>
        <w:spacing w:line="288" w:lineRule="auto"/>
        <w:jc w:val="center"/>
        <w:rPr>
          <w:rFonts w:ascii="Arial" w:hAnsi="Arial" w:cs="Arial"/>
          <w:spacing w:val="-4"/>
          <w:sz w:val="24"/>
          <w:szCs w:val="20"/>
          <w:lang w:val="es-ES_tradnl"/>
        </w:rPr>
      </w:pPr>
      <w:r w:rsidRPr="00314191">
        <w:rPr>
          <w:rFonts w:ascii="Arial" w:hAnsi="Arial" w:cs="Arial"/>
          <w:b/>
          <w:spacing w:val="-4"/>
          <w:position w:val="-4"/>
          <w:sz w:val="24"/>
          <w:szCs w:val="24"/>
          <w:lang w:val="es-419"/>
        </w:rPr>
        <w:t>MANUEL YARZAGARAY BANDERA</w:t>
      </w:r>
    </w:p>
    <w:p w:rsidR="00314191" w:rsidRPr="00314191" w:rsidRDefault="00314191" w:rsidP="00314191">
      <w:pPr>
        <w:spacing w:line="276" w:lineRule="auto"/>
        <w:rPr>
          <w:rFonts w:cs="Tahoma"/>
          <w:spacing w:val="-6"/>
          <w:sz w:val="24"/>
          <w:szCs w:val="24"/>
        </w:rPr>
      </w:pPr>
    </w:p>
    <w:p w:rsidR="00314191" w:rsidRPr="00314191" w:rsidRDefault="00314191" w:rsidP="00314191">
      <w:pPr>
        <w:spacing w:line="276" w:lineRule="auto"/>
        <w:rPr>
          <w:rFonts w:cs="Tahoma"/>
          <w:spacing w:val="-6"/>
          <w:sz w:val="24"/>
          <w:szCs w:val="24"/>
        </w:rPr>
      </w:pPr>
    </w:p>
    <w:p w:rsidR="00314191" w:rsidRPr="00314191" w:rsidRDefault="00314191" w:rsidP="00314191">
      <w:pPr>
        <w:spacing w:line="288" w:lineRule="auto"/>
        <w:rPr>
          <w:rFonts w:ascii="Arial" w:hAnsi="Arial" w:cs="Arial"/>
          <w:spacing w:val="-4"/>
          <w:sz w:val="24"/>
        </w:rPr>
      </w:pPr>
      <w:r w:rsidRPr="00314191">
        <w:rPr>
          <w:rFonts w:ascii="Arial" w:hAnsi="Arial" w:cs="Arial"/>
          <w:spacing w:val="-4"/>
          <w:sz w:val="24"/>
        </w:rPr>
        <w:t>El Secretario de la Sala,</w:t>
      </w:r>
    </w:p>
    <w:p w:rsidR="00314191" w:rsidRPr="00314191" w:rsidRDefault="00314191" w:rsidP="00314191">
      <w:pPr>
        <w:spacing w:line="276" w:lineRule="auto"/>
        <w:jc w:val="center"/>
        <w:rPr>
          <w:rFonts w:cs="Tahoma"/>
          <w:spacing w:val="-6"/>
          <w:sz w:val="24"/>
          <w:szCs w:val="24"/>
        </w:rPr>
      </w:pPr>
    </w:p>
    <w:p w:rsidR="00FA7232" w:rsidRPr="00314191" w:rsidRDefault="00314191" w:rsidP="00314191">
      <w:pPr>
        <w:spacing w:line="288" w:lineRule="auto"/>
        <w:jc w:val="center"/>
        <w:rPr>
          <w:rFonts w:ascii="Arial" w:hAnsi="Arial" w:cs="Arial"/>
          <w:b/>
          <w:spacing w:val="-4"/>
          <w:position w:val="-4"/>
          <w:sz w:val="24"/>
          <w:szCs w:val="24"/>
          <w:lang w:val="es-419"/>
        </w:rPr>
      </w:pPr>
      <w:r w:rsidRPr="00314191">
        <w:rPr>
          <w:rFonts w:ascii="Arial" w:hAnsi="Arial" w:cs="Arial"/>
          <w:b/>
          <w:spacing w:val="-4"/>
          <w:position w:val="-4"/>
          <w:sz w:val="24"/>
          <w:szCs w:val="24"/>
          <w:lang w:val="es-419"/>
        </w:rPr>
        <w:t>WILSON FREDY LÓPEZ</w:t>
      </w:r>
    </w:p>
    <w:sectPr w:rsidR="00FA7232" w:rsidRPr="00314191" w:rsidSect="00F52BAE">
      <w:headerReference w:type="default" r:id="rId10"/>
      <w:footerReference w:type="default" r:id="rId11"/>
      <w:pgSz w:w="12242" w:h="18722" w:code="12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79" w:rsidRDefault="00B16679">
      <w:r>
        <w:separator/>
      </w:r>
    </w:p>
    <w:p w:rsidR="00B16679" w:rsidRDefault="00B16679"/>
  </w:endnote>
  <w:endnote w:type="continuationSeparator" w:id="0">
    <w:p w:rsidR="00B16679" w:rsidRDefault="00B16679">
      <w:r>
        <w:continuationSeparator/>
      </w:r>
    </w:p>
    <w:p w:rsidR="00B16679" w:rsidRDefault="00B16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9" w:rsidRPr="00314191" w:rsidRDefault="009C6CD9" w:rsidP="00314191">
    <w:pPr>
      <w:pStyle w:val="Encabezado"/>
      <w:spacing w:line="240" w:lineRule="auto"/>
      <w:jc w:val="right"/>
      <w:rPr>
        <w:rFonts w:ascii="Arial" w:hAnsi="Arial" w:cs="Arial"/>
        <w:sz w:val="18"/>
        <w:lang w:val="es-MX"/>
      </w:rPr>
    </w:pPr>
    <w:r w:rsidRPr="00314191">
      <w:rPr>
        <w:rFonts w:ascii="Arial" w:hAnsi="Arial" w:cs="Arial"/>
        <w:sz w:val="18"/>
        <w:lang w:val="es-MX"/>
      </w:rPr>
      <w:t xml:space="preserve">Página </w:t>
    </w:r>
    <w:r w:rsidR="00404277" w:rsidRPr="00314191">
      <w:rPr>
        <w:rFonts w:ascii="Arial" w:hAnsi="Arial" w:cs="Arial"/>
        <w:sz w:val="18"/>
        <w:lang w:val="es-MX"/>
      </w:rPr>
      <w:fldChar w:fldCharType="begin"/>
    </w:r>
    <w:r w:rsidRPr="00314191">
      <w:rPr>
        <w:rFonts w:ascii="Arial" w:hAnsi="Arial" w:cs="Arial"/>
        <w:sz w:val="18"/>
        <w:lang w:val="es-MX"/>
      </w:rPr>
      <w:instrText xml:space="preserve"> PAGE </w:instrText>
    </w:r>
    <w:r w:rsidR="00404277" w:rsidRPr="00314191">
      <w:rPr>
        <w:rFonts w:ascii="Arial" w:hAnsi="Arial" w:cs="Arial"/>
        <w:sz w:val="18"/>
        <w:lang w:val="es-MX"/>
      </w:rPr>
      <w:fldChar w:fldCharType="separate"/>
    </w:r>
    <w:r w:rsidR="00717F57">
      <w:rPr>
        <w:rFonts w:ascii="Arial" w:hAnsi="Arial" w:cs="Arial"/>
        <w:noProof/>
        <w:sz w:val="18"/>
        <w:lang w:val="es-MX"/>
      </w:rPr>
      <w:t>2</w:t>
    </w:r>
    <w:r w:rsidR="00404277" w:rsidRPr="00314191">
      <w:rPr>
        <w:rFonts w:ascii="Arial" w:hAnsi="Arial" w:cs="Arial"/>
        <w:sz w:val="18"/>
        <w:lang w:val="es-MX"/>
      </w:rPr>
      <w:fldChar w:fldCharType="end"/>
    </w:r>
    <w:r w:rsidRPr="00314191">
      <w:rPr>
        <w:rFonts w:ascii="Arial" w:hAnsi="Arial" w:cs="Arial"/>
        <w:sz w:val="18"/>
        <w:lang w:val="es-MX"/>
      </w:rPr>
      <w:t xml:space="preserve"> de </w:t>
    </w:r>
    <w:r w:rsidR="00404277" w:rsidRPr="00314191">
      <w:rPr>
        <w:rFonts w:ascii="Arial" w:hAnsi="Arial" w:cs="Arial"/>
        <w:sz w:val="18"/>
        <w:lang w:val="es-MX"/>
      </w:rPr>
      <w:fldChar w:fldCharType="begin"/>
    </w:r>
    <w:r w:rsidRPr="00314191">
      <w:rPr>
        <w:rFonts w:ascii="Arial" w:hAnsi="Arial" w:cs="Arial"/>
        <w:sz w:val="18"/>
        <w:lang w:val="es-MX"/>
      </w:rPr>
      <w:instrText xml:space="preserve"> NUMPAGES </w:instrText>
    </w:r>
    <w:r w:rsidR="00404277" w:rsidRPr="00314191">
      <w:rPr>
        <w:rFonts w:ascii="Arial" w:hAnsi="Arial" w:cs="Arial"/>
        <w:sz w:val="18"/>
        <w:lang w:val="es-MX"/>
      </w:rPr>
      <w:fldChar w:fldCharType="separate"/>
    </w:r>
    <w:r w:rsidR="00717F57">
      <w:rPr>
        <w:rFonts w:ascii="Arial" w:hAnsi="Arial" w:cs="Arial"/>
        <w:noProof/>
        <w:sz w:val="18"/>
        <w:lang w:val="es-MX"/>
      </w:rPr>
      <w:t>6</w:t>
    </w:r>
    <w:r w:rsidR="00404277" w:rsidRPr="00314191">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79" w:rsidRDefault="00B16679">
      <w:r>
        <w:separator/>
      </w:r>
    </w:p>
    <w:p w:rsidR="00B16679" w:rsidRDefault="00B16679"/>
  </w:footnote>
  <w:footnote w:type="continuationSeparator" w:id="0">
    <w:p w:rsidR="00B16679" w:rsidRDefault="00B16679">
      <w:r>
        <w:continuationSeparator/>
      </w:r>
    </w:p>
    <w:p w:rsidR="00B16679" w:rsidRDefault="00B16679"/>
  </w:footnote>
  <w:footnote w:id="1">
    <w:p w:rsidR="00F06432" w:rsidRPr="00314191" w:rsidRDefault="00F06432" w:rsidP="00314191">
      <w:pPr>
        <w:pStyle w:val="Textonotapie"/>
        <w:rPr>
          <w:lang w:val="es-CO"/>
        </w:rPr>
      </w:pPr>
      <w:r w:rsidRPr="00314191">
        <w:rPr>
          <w:rStyle w:val="Refdenotaalpie"/>
          <w:rFonts w:ascii="Arial" w:hAnsi="Arial"/>
          <w:sz w:val="18"/>
        </w:rPr>
        <w:footnoteRef/>
      </w:r>
      <w:r w:rsidR="00314191" w:rsidRPr="00314191">
        <w:rPr>
          <w:lang w:val="es-CO"/>
        </w:rPr>
        <w:t xml:space="preserve"> </w:t>
      </w:r>
      <w:r w:rsidRPr="00314191">
        <w:rPr>
          <w:lang w:val="es-CO"/>
        </w:rPr>
        <w:t>En el cual advirtió que</w:t>
      </w:r>
      <w:r w:rsidR="005C6D5A" w:rsidRPr="00314191">
        <w:rPr>
          <w:lang w:val="es-CO"/>
        </w:rPr>
        <w:t xml:space="preserve"> “</w:t>
      </w:r>
      <w:r w:rsidRPr="00314191">
        <w:rPr>
          <w:bdr w:val="none" w:sz="0" w:space="0" w:color="auto" w:frame="1"/>
          <w:shd w:val="clear" w:color="auto" w:fill="FFFFFF"/>
        </w:rPr>
        <w:t>los jueces competentes para conceder la libertad condicional</w:t>
      </w:r>
      <w:r w:rsidR="00314191">
        <w:rPr>
          <w:bdr w:val="none" w:sz="0" w:space="0" w:color="auto" w:frame="1"/>
          <w:shd w:val="clear" w:color="auto" w:fill="FFFFFF"/>
        </w:rPr>
        <w:t xml:space="preserve"> </w:t>
      </w:r>
      <w:r w:rsidRPr="00314191">
        <w:rPr>
          <w:shd w:val="clear" w:color="auto" w:fill="FFFFFF"/>
        </w:rPr>
        <w:t>no solo deben valorar la gravedad de la conducta punible, sino que les concierne valorar todos los demás elementos, aspectos y dimensiones de dicha conducta, así como las circunstancias y consideraciones favorables al otorgamiento de dicho subrogado, realizadas por el juez penal que impuso la condena, tal como fue analizado en la Sentencia C-757 de 2014</w:t>
      </w:r>
      <w:r w:rsidR="005C6D5A" w:rsidRPr="00314191">
        <w:rPr>
          <w:shd w:val="clear" w:color="auto" w:fill="FFFFFF"/>
        </w:rPr>
        <w:t>”</w:t>
      </w:r>
      <w:r w:rsidRPr="00314191">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D9" w:rsidRPr="00314191" w:rsidRDefault="00F52BAE" w:rsidP="00C379F4">
    <w:pPr>
      <w:pStyle w:val="Encabezado"/>
      <w:spacing w:line="240" w:lineRule="auto"/>
      <w:jc w:val="right"/>
      <w:rPr>
        <w:rFonts w:ascii="Arial" w:hAnsi="Arial" w:cs="Arial"/>
        <w:sz w:val="18"/>
        <w:lang w:val="es-MX"/>
      </w:rPr>
    </w:pPr>
    <w:r w:rsidRPr="00314191">
      <w:rPr>
        <w:rFonts w:ascii="Arial" w:hAnsi="Arial" w:cs="Arial"/>
        <w:sz w:val="18"/>
        <w:lang w:val="es-MX"/>
      </w:rPr>
      <w:t>CONCIERTO PARA DELINQUIR</w:t>
    </w:r>
  </w:p>
  <w:p w:rsidR="009C6CD9" w:rsidRPr="00314191" w:rsidRDefault="00314191" w:rsidP="00C379F4">
    <w:pPr>
      <w:pStyle w:val="Encabezado"/>
      <w:spacing w:line="240" w:lineRule="auto"/>
      <w:jc w:val="right"/>
      <w:rPr>
        <w:rFonts w:ascii="Arial" w:hAnsi="Arial" w:cs="Arial"/>
        <w:sz w:val="18"/>
        <w:lang w:val="es-MX"/>
      </w:rPr>
    </w:pPr>
    <w:r w:rsidRPr="00314191">
      <w:rPr>
        <w:rFonts w:ascii="Arial" w:hAnsi="Arial" w:cs="Arial"/>
        <w:sz w:val="18"/>
        <w:lang w:val="es-MX"/>
      </w:rPr>
      <w:t>Radicación</w:t>
    </w:r>
    <w:r>
      <w:rPr>
        <w:rFonts w:ascii="Arial" w:hAnsi="Arial" w:cs="Arial"/>
        <w:sz w:val="18"/>
        <w:lang w:val="es-MX"/>
      </w:rPr>
      <w:t>:</w:t>
    </w:r>
    <w:r w:rsidR="00A66267" w:rsidRPr="00314191">
      <w:rPr>
        <w:rFonts w:ascii="Arial" w:hAnsi="Arial" w:cs="Arial"/>
        <w:sz w:val="18"/>
        <w:lang w:val="es-MX"/>
      </w:rPr>
      <w:t xml:space="preserve"> 5200131070022018-00023-01</w:t>
    </w:r>
  </w:p>
  <w:p w:rsidR="009C6CD9" w:rsidRPr="00314191" w:rsidRDefault="00314191" w:rsidP="00C379F4">
    <w:pPr>
      <w:pStyle w:val="Encabezado"/>
      <w:spacing w:line="240" w:lineRule="auto"/>
      <w:jc w:val="right"/>
      <w:rPr>
        <w:rFonts w:ascii="Arial" w:hAnsi="Arial" w:cs="Arial"/>
        <w:sz w:val="18"/>
        <w:lang w:val="es-MX"/>
      </w:rPr>
    </w:pPr>
    <w:r w:rsidRPr="00314191">
      <w:rPr>
        <w:rFonts w:ascii="Arial" w:hAnsi="Arial" w:cs="Arial"/>
        <w:sz w:val="18"/>
        <w:lang w:val="es-MX"/>
      </w:rPr>
      <w:t>Sentenciado</w:t>
    </w:r>
    <w:r w:rsidR="009C6CD9" w:rsidRPr="00314191">
      <w:rPr>
        <w:rFonts w:ascii="Arial" w:hAnsi="Arial" w:cs="Arial"/>
        <w:sz w:val="18"/>
        <w:lang w:val="es-MX"/>
      </w:rPr>
      <w:t>:</w:t>
    </w:r>
    <w:r>
      <w:rPr>
        <w:rFonts w:ascii="Arial" w:hAnsi="Arial" w:cs="Arial"/>
        <w:sz w:val="18"/>
        <w:lang w:val="es-MX"/>
      </w:rPr>
      <w:t xml:space="preserve"> </w:t>
    </w:r>
    <w:r w:rsidR="00A66267" w:rsidRPr="00314191">
      <w:rPr>
        <w:rFonts w:ascii="Arial" w:hAnsi="Arial" w:cs="Arial"/>
        <w:sz w:val="18"/>
        <w:lang w:val="es-MX"/>
      </w:rPr>
      <w:t>CASO</w:t>
    </w:r>
  </w:p>
  <w:p w:rsidR="009C6CD9" w:rsidRPr="00314191" w:rsidRDefault="009C6CD9" w:rsidP="00C379F4">
    <w:pPr>
      <w:pStyle w:val="Encabezado"/>
      <w:spacing w:line="240" w:lineRule="auto"/>
      <w:jc w:val="right"/>
      <w:rPr>
        <w:rFonts w:ascii="Arial" w:hAnsi="Arial" w:cs="Arial"/>
        <w:sz w:val="18"/>
        <w:lang w:val="es-MX"/>
      </w:rPr>
    </w:pPr>
    <w:r w:rsidRPr="00314191">
      <w:rPr>
        <w:rFonts w:ascii="Arial" w:hAnsi="Arial" w:cs="Arial"/>
        <w:sz w:val="18"/>
        <w:lang w:val="es-MX"/>
      </w:rPr>
      <w:t>CONFIRMA</w:t>
    </w:r>
    <w:r w:rsidR="007A0A10" w:rsidRPr="00314191">
      <w:rPr>
        <w:rFonts w:ascii="Arial" w:hAnsi="Arial" w:cs="Arial"/>
        <w:sz w:val="18"/>
        <w:lang w:val="es-MX"/>
      </w:rPr>
      <w:t xml:space="preserve"> AUTO</w:t>
    </w:r>
  </w:p>
  <w:p w:rsidR="009C6CD9" w:rsidRPr="00314191" w:rsidRDefault="007A0A10" w:rsidP="00B16917">
    <w:pPr>
      <w:pStyle w:val="Encabezado"/>
      <w:spacing w:line="240" w:lineRule="auto"/>
      <w:jc w:val="right"/>
      <w:rPr>
        <w:rFonts w:ascii="Arial" w:hAnsi="Arial" w:cs="Arial"/>
        <w:sz w:val="18"/>
        <w:lang w:val="es-MX"/>
      </w:rPr>
    </w:pPr>
    <w:proofErr w:type="spellStart"/>
    <w:r w:rsidRPr="00314191">
      <w:rPr>
        <w:rFonts w:ascii="Arial" w:hAnsi="Arial" w:cs="Arial"/>
        <w:sz w:val="18"/>
        <w:lang w:val="es-MX"/>
      </w:rPr>
      <w:t>A</w:t>
    </w:r>
    <w:r w:rsidR="009C6CD9" w:rsidRPr="00314191">
      <w:rPr>
        <w:rFonts w:ascii="Arial" w:hAnsi="Arial" w:cs="Arial"/>
        <w:sz w:val="18"/>
        <w:lang w:val="es-MX"/>
      </w:rPr>
      <w:t>.N°</w:t>
    </w:r>
    <w:proofErr w:type="spellEnd"/>
    <w:r w:rsidR="00314191">
      <w:rPr>
        <w:rFonts w:ascii="Arial" w:hAnsi="Arial" w:cs="Arial"/>
        <w:sz w:val="18"/>
        <w:lang w:val="es-MX"/>
      </w:rPr>
      <w:t xml:space="preserve"> </w:t>
    </w:r>
    <w:r w:rsidR="00126533" w:rsidRPr="00314191">
      <w:rPr>
        <w:rFonts w:ascii="Arial" w:hAnsi="Arial" w:cs="Arial"/>
        <w:sz w:val="18"/>
        <w:lang w:val="es-MX"/>
      </w:rPr>
      <w:t>025</w:t>
    </w:r>
  </w:p>
  <w:p w:rsidR="009C6CD9" w:rsidRDefault="009C6CD9"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4F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1B87"/>
    <w:rsid w:val="00000417"/>
    <w:rsid w:val="00015253"/>
    <w:rsid w:val="00016743"/>
    <w:rsid w:val="00016E3A"/>
    <w:rsid w:val="000175BC"/>
    <w:rsid w:val="00022CFC"/>
    <w:rsid w:val="00022D89"/>
    <w:rsid w:val="00025FA4"/>
    <w:rsid w:val="000276AD"/>
    <w:rsid w:val="00033364"/>
    <w:rsid w:val="00043244"/>
    <w:rsid w:val="00043DED"/>
    <w:rsid w:val="0004788F"/>
    <w:rsid w:val="00050C3B"/>
    <w:rsid w:val="00060FCF"/>
    <w:rsid w:val="00062113"/>
    <w:rsid w:val="000632C3"/>
    <w:rsid w:val="00065259"/>
    <w:rsid w:val="00066B2B"/>
    <w:rsid w:val="0008068F"/>
    <w:rsid w:val="00080ED6"/>
    <w:rsid w:val="00081ED1"/>
    <w:rsid w:val="00082E81"/>
    <w:rsid w:val="000849CA"/>
    <w:rsid w:val="00087C77"/>
    <w:rsid w:val="00090339"/>
    <w:rsid w:val="000944BF"/>
    <w:rsid w:val="000A071B"/>
    <w:rsid w:val="000A1C3A"/>
    <w:rsid w:val="000A31BF"/>
    <w:rsid w:val="000A36C2"/>
    <w:rsid w:val="000A4B15"/>
    <w:rsid w:val="000A4F95"/>
    <w:rsid w:val="000A70F6"/>
    <w:rsid w:val="000B0B14"/>
    <w:rsid w:val="000B134D"/>
    <w:rsid w:val="000B257E"/>
    <w:rsid w:val="000B752F"/>
    <w:rsid w:val="000C0FA4"/>
    <w:rsid w:val="000C311F"/>
    <w:rsid w:val="000C5449"/>
    <w:rsid w:val="000C5B93"/>
    <w:rsid w:val="000C6764"/>
    <w:rsid w:val="000C6DDD"/>
    <w:rsid w:val="000C79D4"/>
    <w:rsid w:val="000D2178"/>
    <w:rsid w:val="000D2BEA"/>
    <w:rsid w:val="000D4528"/>
    <w:rsid w:val="000D4B3D"/>
    <w:rsid w:val="000D552E"/>
    <w:rsid w:val="000E514A"/>
    <w:rsid w:val="000E52D7"/>
    <w:rsid w:val="000E601F"/>
    <w:rsid w:val="000E6CCB"/>
    <w:rsid w:val="000F1A7D"/>
    <w:rsid w:val="000F388B"/>
    <w:rsid w:val="000F5E0C"/>
    <w:rsid w:val="000F6E14"/>
    <w:rsid w:val="00105787"/>
    <w:rsid w:val="00112689"/>
    <w:rsid w:val="001138C5"/>
    <w:rsid w:val="001140D0"/>
    <w:rsid w:val="001213E6"/>
    <w:rsid w:val="001220BD"/>
    <w:rsid w:val="0012461D"/>
    <w:rsid w:val="00126533"/>
    <w:rsid w:val="00130836"/>
    <w:rsid w:val="00130F3D"/>
    <w:rsid w:val="0013100C"/>
    <w:rsid w:val="001315CF"/>
    <w:rsid w:val="00133380"/>
    <w:rsid w:val="00134143"/>
    <w:rsid w:val="00135CB2"/>
    <w:rsid w:val="00140492"/>
    <w:rsid w:val="00141F61"/>
    <w:rsid w:val="00142878"/>
    <w:rsid w:val="001436A6"/>
    <w:rsid w:val="00144D44"/>
    <w:rsid w:val="001462AB"/>
    <w:rsid w:val="001463C1"/>
    <w:rsid w:val="00152531"/>
    <w:rsid w:val="00152D8D"/>
    <w:rsid w:val="00153E94"/>
    <w:rsid w:val="00153F66"/>
    <w:rsid w:val="00156C8E"/>
    <w:rsid w:val="00157321"/>
    <w:rsid w:val="00162E25"/>
    <w:rsid w:val="00163A35"/>
    <w:rsid w:val="00163E66"/>
    <w:rsid w:val="00164E86"/>
    <w:rsid w:val="00166699"/>
    <w:rsid w:val="001666D3"/>
    <w:rsid w:val="00172535"/>
    <w:rsid w:val="00182795"/>
    <w:rsid w:val="001903D9"/>
    <w:rsid w:val="0019226A"/>
    <w:rsid w:val="00197D9B"/>
    <w:rsid w:val="001A3ADC"/>
    <w:rsid w:val="001B2225"/>
    <w:rsid w:val="001B2E66"/>
    <w:rsid w:val="001B58D6"/>
    <w:rsid w:val="001B72CD"/>
    <w:rsid w:val="001B737D"/>
    <w:rsid w:val="001B74D5"/>
    <w:rsid w:val="001B7954"/>
    <w:rsid w:val="001B7EE3"/>
    <w:rsid w:val="001C17BB"/>
    <w:rsid w:val="001C1FD3"/>
    <w:rsid w:val="001C3165"/>
    <w:rsid w:val="001C3E76"/>
    <w:rsid w:val="001C58B1"/>
    <w:rsid w:val="001C67EF"/>
    <w:rsid w:val="001C7448"/>
    <w:rsid w:val="001C7D5D"/>
    <w:rsid w:val="001D112A"/>
    <w:rsid w:val="001D1C4D"/>
    <w:rsid w:val="001D2F11"/>
    <w:rsid w:val="001D6E31"/>
    <w:rsid w:val="001E053B"/>
    <w:rsid w:val="001E3676"/>
    <w:rsid w:val="001E3D8F"/>
    <w:rsid w:val="001E6F37"/>
    <w:rsid w:val="001F0D0C"/>
    <w:rsid w:val="001F1702"/>
    <w:rsid w:val="001F33C1"/>
    <w:rsid w:val="001F4938"/>
    <w:rsid w:val="001F59E7"/>
    <w:rsid w:val="001F59E8"/>
    <w:rsid w:val="001F5ED4"/>
    <w:rsid w:val="001F5F00"/>
    <w:rsid w:val="002016D8"/>
    <w:rsid w:val="00205145"/>
    <w:rsid w:val="00205590"/>
    <w:rsid w:val="00205892"/>
    <w:rsid w:val="00207940"/>
    <w:rsid w:val="00207DC2"/>
    <w:rsid w:val="00214FDC"/>
    <w:rsid w:val="00215FA1"/>
    <w:rsid w:val="00221B96"/>
    <w:rsid w:val="002223B2"/>
    <w:rsid w:val="00222409"/>
    <w:rsid w:val="00224F50"/>
    <w:rsid w:val="002250C3"/>
    <w:rsid w:val="00233E23"/>
    <w:rsid w:val="00234337"/>
    <w:rsid w:val="002343B0"/>
    <w:rsid w:val="0023795E"/>
    <w:rsid w:val="00240FC5"/>
    <w:rsid w:val="00256002"/>
    <w:rsid w:val="00261534"/>
    <w:rsid w:val="0026793D"/>
    <w:rsid w:val="00270053"/>
    <w:rsid w:val="00270ECA"/>
    <w:rsid w:val="00271048"/>
    <w:rsid w:val="002800E7"/>
    <w:rsid w:val="00280346"/>
    <w:rsid w:val="00281036"/>
    <w:rsid w:val="002823AB"/>
    <w:rsid w:val="00283520"/>
    <w:rsid w:val="00284344"/>
    <w:rsid w:val="002849AB"/>
    <w:rsid w:val="00284B99"/>
    <w:rsid w:val="00286C37"/>
    <w:rsid w:val="00287BF0"/>
    <w:rsid w:val="00287D0F"/>
    <w:rsid w:val="0029084A"/>
    <w:rsid w:val="00290915"/>
    <w:rsid w:val="00294A81"/>
    <w:rsid w:val="002A293B"/>
    <w:rsid w:val="002A37CD"/>
    <w:rsid w:val="002A3838"/>
    <w:rsid w:val="002A7B14"/>
    <w:rsid w:val="002B1B02"/>
    <w:rsid w:val="002B1CA2"/>
    <w:rsid w:val="002B4C73"/>
    <w:rsid w:val="002B6360"/>
    <w:rsid w:val="002B7278"/>
    <w:rsid w:val="002B7358"/>
    <w:rsid w:val="002C0F62"/>
    <w:rsid w:val="002C2DDC"/>
    <w:rsid w:val="002C361E"/>
    <w:rsid w:val="002D00EC"/>
    <w:rsid w:val="002D38E2"/>
    <w:rsid w:val="002D5C8E"/>
    <w:rsid w:val="002D67B3"/>
    <w:rsid w:val="002D76F1"/>
    <w:rsid w:val="002D7789"/>
    <w:rsid w:val="002E01C6"/>
    <w:rsid w:val="002E06EF"/>
    <w:rsid w:val="002E0E29"/>
    <w:rsid w:val="002E2DBA"/>
    <w:rsid w:val="002E6A8D"/>
    <w:rsid w:val="002F0C4A"/>
    <w:rsid w:val="002F167D"/>
    <w:rsid w:val="002F38CE"/>
    <w:rsid w:val="003022A1"/>
    <w:rsid w:val="00303B69"/>
    <w:rsid w:val="00307798"/>
    <w:rsid w:val="00307E4D"/>
    <w:rsid w:val="00310CA9"/>
    <w:rsid w:val="003118A0"/>
    <w:rsid w:val="00314191"/>
    <w:rsid w:val="00316715"/>
    <w:rsid w:val="003177B4"/>
    <w:rsid w:val="00317ED2"/>
    <w:rsid w:val="00317FA5"/>
    <w:rsid w:val="003263D6"/>
    <w:rsid w:val="003264FF"/>
    <w:rsid w:val="00332A0B"/>
    <w:rsid w:val="00333753"/>
    <w:rsid w:val="003337A4"/>
    <w:rsid w:val="00334387"/>
    <w:rsid w:val="003346FC"/>
    <w:rsid w:val="00335225"/>
    <w:rsid w:val="00335F17"/>
    <w:rsid w:val="00336B8F"/>
    <w:rsid w:val="0034356A"/>
    <w:rsid w:val="00356290"/>
    <w:rsid w:val="00363363"/>
    <w:rsid w:val="00363CE7"/>
    <w:rsid w:val="00363EE0"/>
    <w:rsid w:val="00364762"/>
    <w:rsid w:val="0036574D"/>
    <w:rsid w:val="00365A8F"/>
    <w:rsid w:val="00365F7B"/>
    <w:rsid w:val="003677C9"/>
    <w:rsid w:val="00367A88"/>
    <w:rsid w:val="00370546"/>
    <w:rsid w:val="003706F6"/>
    <w:rsid w:val="00373B40"/>
    <w:rsid w:val="003744CD"/>
    <w:rsid w:val="0037595B"/>
    <w:rsid w:val="003772A9"/>
    <w:rsid w:val="003843D6"/>
    <w:rsid w:val="00384AC7"/>
    <w:rsid w:val="003850C9"/>
    <w:rsid w:val="0038592F"/>
    <w:rsid w:val="00394708"/>
    <w:rsid w:val="00397E87"/>
    <w:rsid w:val="003A14D4"/>
    <w:rsid w:val="003A1D96"/>
    <w:rsid w:val="003A2EBF"/>
    <w:rsid w:val="003A5948"/>
    <w:rsid w:val="003A5AC9"/>
    <w:rsid w:val="003A6330"/>
    <w:rsid w:val="003B2445"/>
    <w:rsid w:val="003B3E01"/>
    <w:rsid w:val="003B3FB9"/>
    <w:rsid w:val="003B4C3C"/>
    <w:rsid w:val="003B5E19"/>
    <w:rsid w:val="003C00DD"/>
    <w:rsid w:val="003C35A2"/>
    <w:rsid w:val="003C47C2"/>
    <w:rsid w:val="003C5A48"/>
    <w:rsid w:val="003E0439"/>
    <w:rsid w:val="003E23BC"/>
    <w:rsid w:val="003E485D"/>
    <w:rsid w:val="003E51CA"/>
    <w:rsid w:val="003E794C"/>
    <w:rsid w:val="003F0E71"/>
    <w:rsid w:val="003F1FD4"/>
    <w:rsid w:val="003F3102"/>
    <w:rsid w:val="003F4B31"/>
    <w:rsid w:val="00400B7D"/>
    <w:rsid w:val="004034ED"/>
    <w:rsid w:val="00404277"/>
    <w:rsid w:val="0040466B"/>
    <w:rsid w:val="0040666E"/>
    <w:rsid w:val="004077BF"/>
    <w:rsid w:val="00412BF2"/>
    <w:rsid w:val="00415B1C"/>
    <w:rsid w:val="00416414"/>
    <w:rsid w:val="00421161"/>
    <w:rsid w:val="00421D5C"/>
    <w:rsid w:val="004227C8"/>
    <w:rsid w:val="004266D9"/>
    <w:rsid w:val="00426D09"/>
    <w:rsid w:val="004273CE"/>
    <w:rsid w:val="0042763C"/>
    <w:rsid w:val="00431179"/>
    <w:rsid w:val="004336DB"/>
    <w:rsid w:val="00436F63"/>
    <w:rsid w:val="0044024C"/>
    <w:rsid w:val="00440AAD"/>
    <w:rsid w:val="00441547"/>
    <w:rsid w:val="004425FC"/>
    <w:rsid w:val="0044594A"/>
    <w:rsid w:val="00452CA2"/>
    <w:rsid w:val="00455C47"/>
    <w:rsid w:val="00456AE0"/>
    <w:rsid w:val="00457BDA"/>
    <w:rsid w:val="00457F37"/>
    <w:rsid w:val="004632BF"/>
    <w:rsid w:val="004647FB"/>
    <w:rsid w:val="0046795A"/>
    <w:rsid w:val="00470D39"/>
    <w:rsid w:val="004714EE"/>
    <w:rsid w:val="00471991"/>
    <w:rsid w:val="004730B5"/>
    <w:rsid w:val="004737DC"/>
    <w:rsid w:val="00473974"/>
    <w:rsid w:val="00476E86"/>
    <w:rsid w:val="00476F77"/>
    <w:rsid w:val="00482DDB"/>
    <w:rsid w:val="004836A9"/>
    <w:rsid w:val="00483B1C"/>
    <w:rsid w:val="00490FA6"/>
    <w:rsid w:val="0049293D"/>
    <w:rsid w:val="00495DDB"/>
    <w:rsid w:val="00496CC0"/>
    <w:rsid w:val="004A295E"/>
    <w:rsid w:val="004A2A70"/>
    <w:rsid w:val="004A4006"/>
    <w:rsid w:val="004A4721"/>
    <w:rsid w:val="004A5282"/>
    <w:rsid w:val="004A5984"/>
    <w:rsid w:val="004A6AFC"/>
    <w:rsid w:val="004B118B"/>
    <w:rsid w:val="004B356F"/>
    <w:rsid w:val="004B7BF1"/>
    <w:rsid w:val="004C00AA"/>
    <w:rsid w:val="004C3774"/>
    <w:rsid w:val="004D176B"/>
    <w:rsid w:val="004D22B0"/>
    <w:rsid w:val="004D4086"/>
    <w:rsid w:val="004D54B6"/>
    <w:rsid w:val="004D56A2"/>
    <w:rsid w:val="004D677E"/>
    <w:rsid w:val="004D7FBC"/>
    <w:rsid w:val="004E1F64"/>
    <w:rsid w:val="004F13B5"/>
    <w:rsid w:val="0050026D"/>
    <w:rsid w:val="00501BF5"/>
    <w:rsid w:val="005056F6"/>
    <w:rsid w:val="00515D0B"/>
    <w:rsid w:val="00515E1A"/>
    <w:rsid w:val="005160CA"/>
    <w:rsid w:val="005161F4"/>
    <w:rsid w:val="00517D9F"/>
    <w:rsid w:val="005224FC"/>
    <w:rsid w:val="005234B6"/>
    <w:rsid w:val="00524E03"/>
    <w:rsid w:val="005254B0"/>
    <w:rsid w:val="00526023"/>
    <w:rsid w:val="00527018"/>
    <w:rsid w:val="005279D9"/>
    <w:rsid w:val="00531A15"/>
    <w:rsid w:val="00531BD0"/>
    <w:rsid w:val="005328B2"/>
    <w:rsid w:val="0053581C"/>
    <w:rsid w:val="00535F57"/>
    <w:rsid w:val="00537378"/>
    <w:rsid w:val="00540993"/>
    <w:rsid w:val="00540BF9"/>
    <w:rsid w:val="00541189"/>
    <w:rsid w:val="00542277"/>
    <w:rsid w:val="005423E3"/>
    <w:rsid w:val="00542DD2"/>
    <w:rsid w:val="00546418"/>
    <w:rsid w:val="00546505"/>
    <w:rsid w:val="005519A6"/>
    <w:rsid w:val="0055304F"/>
    <w:rsid w:val="00553A28"/>
    <w:rsid w:val="00554E69"/>
    <w:rsid w:val="005557D9"/>
    <w:rsid w:val="00556BDC"/>
    <w:rsid w:val="00556F9C"/>
    <w:rsid w:val="00564298"/>
    <w:rsid w:val="00564F82"/>
    <w:rsid w:val="00570140"/>
    <w:rsid w:val="005702D8"/>
    <w:rsid w:val="00571F62"/>
    <w:rsid w:val="00572B11"/>
    <w:rsid w:val="005740AF"/>
    <w:rsid w:val="00574BDB"/>
    <w:rsid w:val="0057771D"/>
    <w:rsid w:val="00580812"/>
    <w:rsid w:val="0058332F"/>
    <w:rsid w:val="00584F9E"/>
    <w:rsid w:val="005912EA"/>
    <w:rsid w:val="00593482"/>
    <w:rsid w:val="00594F80"/>
    <w:rsid w:val="005950FC"/>
    <w:rsid w:val="00595EC1"/>
    <w:rsid w:val="00596B13"/>
    <w:rsid w:val="00597872"/>
    <w:rsid w:val="00597C71"/>
    <w:rsid w:val="005A2887"/>
    <w:rsid w:val="005A355A"/>
    <w:rsid w:val="005A3704"/>
    <w:rsid w:val="005A4323"/>
    <w:rsid w:val="005A5713"/>
    <w:rsid w:val="005A62B7"/>
    <w:rsid w:val="005B32C5"/>
    <w:rsid w:val="005B5D70"/>
    <w:rsid w:val="005B7682"/>
    <w:rsid w:val="005B7905"/>
    <w:rsid w:val="005C00EC"/>
    <w:rsid w:val="005C16D2"/>
    <w:rsid w:val="005C1FB2"/>
    <w:rsid w:val="005C2746"/>
    <w:rsid w:val="005C2B51"/>
    <w:rsid w:val="005C548D"/>
    <w:rsid w:val="005C6D5A"/>
    <w:rsid w:val="005D255F"/>
    <w:rsid w:val="005D6162"/>
    <w:rsid w:val="005E0038"/>
    <w:rsid w:val="005E0902"/>
    <w:rsid w:val="005E0B72"/>
    <w:rsid w:val="005E1A73"/>
    <w:rsid w:val="005E324A"/>
    <w:rsid w:val="005E41DB"/>
    <w:rsid w:val="005E54C8"/>
    <w:rsid w:val="005E59E2"/>
    <w:rsid w:val="005E604C"/>
    <w:rsid w:val="005E6F65"/>
    <w:rsid w:val="005F0B15"/>
    <w:rsid w:val="005F1684"/>
    <w:rsid w:val="005F2D82"/>
    <w:rsid w:val="005F38EF"/>
    <w:rsid w:val="00606B9C"/>
    <w:rsid w:val="00606DCC"/>
    <w:rsid w:val="0061121F"/>
    <w:rsid w:val="00611255"/>
    <w:rsid w:val="00612DAC"/>
    <w:rsid w:val="00615612"/>
    <w:rsid w:val="006157BE"/>
    <w:rsid w:val="00615E16"/>
    <w:rsid w:val="00622D11"/>
    <w:rsid w:val="00623315"/>
    <w:rsid w:val="00623F04"/>
    <w:rsid w:val="00625394"/>
    <w:rsid w:val="00626254"/>
    <w:rsid w:val="00633282"/>
    <w:rsid w:val="0063408E"/>
    <w:rsid w:val="00634796"/>
    <w:rsid w:val="00635A61"/>
    <w:rsid w:val="00637083"/>
    <w:rsid w:val="00640B87"/>
    <w:rsid w:val="0064511F"/>
    <w:rsid w:val="00650B00"/>
    <w:rsid w:val="0065280F"/>
    <w:rsid w:val="006541FC"/>
    <w:rsid w:val="00654702"/>
    <w:rsid w:val="00656D8D"/>
    <w:rsid w:val="00657A41"/>
    <w:rsid w:val="00660C0F"/>
    <w:rsid w:val="00661BC8"/>
    <w:rsid w:val="006636D0"/>
    <w:rsid w:val="0066395D"/>
    <w:rsid w:val="00664280"/>
    <w:rsid w:val="006678FE"/>
    <w:rsid w:val="00672D6F"/>
    <w:rsid w:val="00674327"/>
    <w:rsid w:val="0067459F"/>
    <w:rsid w:val="00681B9B"/>
    <w:rsid w:val="00681FC6"/>
    <w:rsid w:val="0068265A"/>
    <w:rsid w:val="00684C1D"/>
    <w:rsid w:val="00685FDD"/>
    <w:rsid w:val="00686D97"/>
    <w:rsid w:val="00687CE4"/>
    <w:rsid w:val="0069135D"/>
    <w:rsid w:val="00691DF7"/>
    <w:rsid w:val="00694910"/>
    <w:rsid w:val="006A0AA3"/>
    <w:rsid w:val="006A1272"/>
    <w:rsid w:val="006A2542"/>
    <w:rsid w:val="006A2A1B"/>
    <w:rsid w:val="006A76D4"/>
    <w:rsid w:val="006B0A77"/>
    <w:rsid w:val="006B1C54"/>
    <w:rsid w:val="006B2470"/>
    <w:rsid w:val="006B47A1"/>
    <w:rsid w:val="006C1807"/>
    <w:rsid w:val="006C32B4"/>
    <w:rsid w:val="006C3894"/>
    <w:rsid w:val="006C44BA"/>
    <w:rsid w:val="006C511A"/>
    <w:rsid w:val="006C58AA"/>
    <w:rsid w:val="006C73D0"/>
    <w:rsid w:val="006C74E7"/>
    <w:rsid w:val="006D4AB5"/>
    <w:rsid w:val="006D5CE9"/>
    <w:rsid w:val="006D6314"/>
    <w:rsid w:val="006E2CF0"/>
    <w:rsid w:val="006E559A"/>
    <w:rsid w:val="006E5927"/>
    <w:rsid w:val="006E5FC6"/>
    <w:rsid w:val="006E7691"/>
    <w:rsid w:val="006F0B91"/>
    <w:rsid w:val="006F1356"/>
    <w:rsid w:val="006F1454"/>
    <w:rsid w:val="006F2CA6"/>
    <w:rsid w:val="006F2EB7"/>
    <w:rsid w:val="006F3E64"/>
    <w:rsid w:val="006F48F7"/>
    <w:rsid w:val="006F4FDC"/>
    <w:rsid w:val="00700745"/>
    <w:rsid w:val="007019E0"/>
    <w:rsid w:val="00702056"/>
    <w:rsid w:val="00703202"/>
    <w:rsid w:val="00703459"/>
    <w:rsid w:val="00704CD7"/>
    <w:rsid w:val="00707D3D"/>
    <w:rsid w:val="00711BA2"/>
    <w:rsid w:val="00713E97"/>
    <w:rsid w:val="00714053"/>
    <w:rsid w:val="00714100"/>
    <w:rsid w:val="00715F42"/>
    <w:rsid w:val="0071624B"/>
    <w:rsid w:val="00717F57"/>
    <w:rsid w:val="0072125E"/>
    <w:rsid w:val="0072182E"/>
    <w:rsid w:val="00722AF7"/>
    <w:rsid w:val="00722B50"/>
    <w:rsid w:val="0072354E"/>
    <w:rsid w:val="00725090"/>
    <w:rsid w:val="00726C44"/>
    <w:rsid w:val="00726D58"/>
    <w:rsid w:val="007315E3"/>
    <w:rsid w:val="00731AE6"/>
    <w:rsid w:val="00731E8F"/>
    <w:rsid w:val="00735839"/>
    <w:rsid w:val="0073747C"/>
    <w:rsid w:val="00741706"/>
    <w:rsid w:val="00744A9F"/>
    <w:rsid w:val="007471B2"/>
    <w:rsid w:val="007471F0"/>
    <w:rsid w:val="00747B0C"/>
    <w:rsid w:val="00750DB6"/>
    <w:rsid w:val="00750E2D"/>
    <w:rsid w:val="00750F2D"/>
    <w:rsid w:val="00752F1E"/>
    <w:rsid w:val="007608FD"/>
    <w:rsid w:val="0076264F"/>
    <w:rsid w:val="007627FB"/>
    <w:rsid w:val="007628F1"/>
    <w:rsid w:val="00762C5D"/>
    <w:rsid w:val="00763AE2"/>
    <w:rsid w:val="007640C9"/>
    <w:rsid w:val="007643AE"/>
    <w:rsid w:val="00764451"/>
    <w:rsid w:val="007647C0"/>
    <w:rsid w:val="00764950"/>
    <w:rsid w:val="00765A95"/>
    <w:rsid w:val="00767256"/>
    <w:rsid w:val="00767897"/>
    <w:rsid w:val="00773871"/>
    <w:rsid w:val="00773DD1"/>
    <w:rsid w:val="00776F27"/>
    <w:rsid w:val="0078100C"/>
    <w:rsid w:val="0078206A"/>
    <w:rsid w:val="00782579"/>
    <w:rsid w:val="00784DA6"/>
    <w:rsid w:val="00786EBE"/>
    <w:rsid w:val="007905B9"/>
    <w:rsid w:val="0079237A"/>
    <w:rsid w:val="00794912"/>
    <w:rsid w:val="00795EB9"/>
    <w:rsid w:val="007969FA"/>
    <w:rsid w:val="007978CB"/>
    <w:rsid w:val="007A0A10"/>
    <w:rsid w:val="007A11AD"/>
    <w:rsid w:val="007A2AF4"/>
    <w:rsid w:val="007A3DF1"/>
    <w:rsid w:val="007B0E42"/>
    <w:rsid w:val="007B0E97"/>
    <w:rsid w:val="007B1065"/>
    <w:rsid w:val="007B2CB1"/>
    <w:rsid w:val="007B3EA9"/>
    <w:rsid w:val="007B536F"/>
    <w:rsid w:val="007B7FC5"/>
    <w:rsid w:val="007C13B6"/>
    <w:rsid w:val="007C3191"/>
    <w:rsid w:val="007C70FE"/>
    <w:rsid w:val="007D5343"/>
    <w:rsid w:val="007E4EB4"/>
    <w:rsid w:val="007F1A28"/>
    <w:rsid w:val="007F1F1D"/>
    <w:rsid w:val="007F2B97"/>
    <w:rsid w:val="007F3411"/>
    <w:rsid w:val="007F5DD7"/>
    <w:rsid w:val="007F63F9"/>
    <w:rsid w:val="00801486"/>
    <w:rsid w:val="008048BE"/>
    <w:rsid w:val="00804955"/>
    <w:rsid w:val="00810EAA"/>
    <w:rsid w:val="00811D2E"/>
    <w:rsid w:val="00821D0B"/>
    <w:rsid w:val="00822F68"/>
    <w:rsid w:val="00832922"/>
    <w:rsid w:val="008400D5"/>
    <w:rsid w:val="008406EE"/>
    <w:rsid w:val="00840DFC"/>
    <w:rsid w:val="008441AC"/>
    <w:rsid w:val="00851A06"/>
    <w:rsid w:val="00852594"/>
    <w:rsid w:val="00856261"/>
    <w:rsid w:val="0085685D"/>
    <w:rsid w:val="00864546"/>
    <w:rsid w:val="00865E7E"/>
    <w:rsid w:val="008672D0"/>
    <w:rsid w:val="0087223D"/>
    <w:rsid w:val="0087426D"/>
    <w:rsid w:val="0087551B"/>
    <w:rsid w:val="0087625C"/>
    <w:rsid w:val="00877AF1"/>
    <w:rsid w:val="00877FDF"/>
    <w:rsid w:val="0088127E"/>
    <w:rsid w:val="00881B75"/>
    <w:rsid w:val="00891724"/>
    <w:rsid w:val="0089332B"/>
    <w:rsid w:val="008944BC"/>
    <w:rsid w:val="0089624D"/>
    <w:rsid w:val="008972BD"/>
    <w:rsid w:val="008A1F59"/>
    <w:rsid w:val="008A3A7E"/>
    <w:rsid w:val="008A42CD"/>
    <w:rsid w:val="008B03F5"/>
    <w:rsid w:val="008B1EFD"/>
    <w:rsid w:val="008B5533"/>
    <w:rsid w:val="008B5DF9"/>
    <w:rsid w:val="008B70F5"/>
    <w:rsid w:val="008C2BE3"/>
    <w:rsid w:val="008C646E"/>
    <w:rsid w:val="008C6ED2"/>
    <w:rsid w:val="008C70B5"/>
    <w:rsid w:val="008D0935"/>
    <w:rsid w:val="008D2344"/>
    <w:rsid w:val="008D2D71"/>
    <w:rsid w:val="008D3E08"/>
    <w:rsid w:val="008D489E"/>
    <w:rsid w:val="008D542E"/>
    <w:rsid w:val="008E4B4D"/>
    <w:rsid w:val="008E5B13"/>
    <w:rsid w:val="008F2E7B"/>
    <w:rsid w:val="008F34F3"/>
    <w:rsid w:val="00900F1E"/>
    <w:rsid w:val="00905431"/>
    <w:rsid w:val="0091029F"/>
    <w:rsid w:val="00910410"/>
    <w:rsid w:val="0091504B"/>
    <w:rsid w:val="00920D24"/>
    <w:rsid w:val="00921712"/>
    <w:rsid w:val="00923601"/>
    <w:rsid w:val="00926231"/>
    <w:rsid w:val="00933682"/>
    <w:rsid w:val="009361C3"/>
    <w:rsid w:val="00936AE1"/>
    <w:rsid w:val="009372F9"/>
    <w:rsid w:val="00937E35"/>
    <w:rsid w:val="0094082D"/>
    <w:rsid w:val="009412C8"/>
    <w:rsid w:val="00943F35"/>
    <w:rsid w:val="00944D63"/>
    <w:rsid w:val="00946074"/>
    <w:rsid w:val="00946D49"/>
    <w:rsid w:val="00947AC0"/>
    <w:rsid w:val="009526BE"/>
    <w:rsid w:val="00955725"/>
    <w:rsid w:val="00965D0E"/>
    <w:rsid w:val="00966BD6"/>
    <w:rsid w:val="00966FF8"/>
    <w:rsid w:val="00972641"/>
    <w:rsid w:val="009759C6"/>
    <w:rsid w:val="00980ACA"/>
    <w:rsid w:val="00984928"/>
    <w:rsid w:val="00990830"/>
    <w:rsid w:val="00991ABA"/>
    <w:rsid w:val="0099305E"/>
    <w:rsid w:val="009958E9"/>
    <w:rsid w:val="009A082A"/>
    <w:rsid w:val="009A1124"/>
    <w:rsid w:val="009A498F"/>
    <w:rsid w:val="009A7917"/>
    <w:rsid w:val="009A7A05"/>
    <w:rsid w:val="009A7A06"/>
    <w:rsid w:val="009B2B9B"/>
    <w:rsid w:val="009B7994"/>
    <w:rsid w:val="009C3AA6"/>
    <w:rsid w:val="009C4252"/>
    <w:rsid w:val="009C6CD9"/>
    <w:rsid w:val="009D290F"/>
    <w:rsid w:val="009D3DE3"/>
    <w:rsid w:val="009D4577"/>
    <w:rsid w:val="009D6275"/>
    <w:rsid w:val="009E5787"/>
    <w:rsid w:val="009F1E43"/>
    <w:rsid w:val="009F28D3"/>
    <w:rsid w:val="009F3E08"/>
    <w:rsid w:val="00A00CEC"/>
    <w:rsid w:val="00A05268"/>
    <w:rsid w:val="00A05C39"/>
    <w:rsid w:val="00A13083"/>
    <w:rsid w:val="00A137BA"/>
    <w:rsid w:val="00A13DF3"/>
    <w:rsid w:val="00A156FC"/>
    <w:rsid w:val="00A17657"/>
    <w:rsid w:val="00A17A0A"/>
    <w:rsid w:val="00A17B22"/>
    <w:rsid w:val="00A231A2"/>
    <w:rsid w:val="00A23F4B"/>
    <w:rsid w:val="00A2506B"/>
    <w:rsid w:val="00A26D49"/>
    <w:rsid w:val="00A279DF"/>
    <w:rsid w:val="00A3070E"/>
    <w:rsid w:val="00A34DF9"/>
    <w:rsid w:val="00A34F0D"/>
    <w:rsid w:val="00A37457"/>
    <w:rsid w:val="00A44512"/>
    <w:rsid w:val="00A446DE"/>
    <w:rsid w:val="00A4710B"/>
    <w:rsid w:val="00A4743A"/>
    <w:rsid w:val="00A51B75"/>
    <w:rsid w:val="00A5338A"/>
    <w:rsid w:val="00A548FD"/>
    <w:rsid w:val="00A54FE1"/>
    <w:rsid w:val="00A55FC9"/>
    <w:rsid w:val="00A571EE"/>
    <w:rsid w:val="00A60908"/>
    <w:rsid w:val="00A632B4"/>
    <w:rsid w:val="00A638AE"/>
    <w:rsid w:val="00A66267"/>
    <w:rsid w:val="00A72276"/>
    <w:rsid w:val="00A73A47"/>
    <w:rsid w:val="00A77445"/>
    <w:rsid w:val="00A776BE"/>
    <w:rsid w:val="00A81E44"/>
    <w:rsid w:val="00A8747F"/>
    <w:rsid w:val="00A957F8"/>
    <w:rsid w:val="00A95E98"/>
    <w:rsid w:val="00AA5B76"/>
    <w:rsid w:val="00AA6BCC"/>
    <w:rsid w:val="00AB0DAB"/>
    <w:rsid w:val="00AB129D"/>
    <w:rsid w:val="00AB2634"/>
    <w:rsid w:val="00AB2DD7"/>
    <w:rsid w:val="00AB3F9A"/>
    <w:rsid w:val="00AB7176"/>
    <w:rsid w:val="00AC272A"/>
    <w:rsid w:val="00AC56F4"/>
    <w:rsid w:val="00AD0385"/>
    <w:rsid w:val="00AD3EC8"/>
    <w:rsid w:val="00AD69B2"/>
    <w:rsid w:val="00AE11C9"/>
    <w:rsid w:val="00AE2E5D"/>
    <w:rsid w:val="00AE64FC"/>
    <w:rsid w:val="00AE6E3E"/>
    <w:rsid w:val="00AE7246"/>
    <w:rsid w:val="00AF3C73"/>
    <w:rsid w:val="00AF5EFD"/>
    <w:rsid w:val="00AF668C"/>
    <w:rsid w:val="00B01B87"/>
    <w:rsid w:val="00B0357B"/>
    <w:rsid w:val="00B0454A"/>
    <w:rsid w:val="00B132F1"/>
    <w:rsid w:val="00B134B4"/>
    <w:rsid w:val="00B14533"/>
    <w:rsid w:val="00B14BBF"/>
    <w:rsid w:val="00B163AD"/>
    <w:rsid w:val="00B163E1"/>
    <w:rsid w:val="00B16679"/>
    <w:rsid w:val="00B16708"/>
    <w:rsid w:val="00B16917"/>
    <w:rsid w:val="00B1724D"/>
    <w:rsid w:val="00B178A2"/>
    <w:rsid w:val="00B20A6C"/>
    <w:rsid w:val="00B21788"/>
    <w:rsid w:val="00B242F1"/>
    <w:rsid w:val="00B24345"/>
    <w:rsid w:val="00B24E7C"/>
    <w:rsid w:val="00B25B00"/>
    <w:rsid w:val="00B25DDF"/>
    <w:rsid w:val="00B31DB5"/>
    <w:rsid w:val="00B33793"/>
    <w:rsid w:val="00B33D4A"/>
    <w:rsid w:val="00B3709E"/>
    <w:rsid w:val="00B412FD"/>
    <w:rsid w:val="00B415D9"/>
    <w:rsid w:val="00B4194E"/>
    <w:rsid w:val="00B42E98"/>
    <w:rsid w:val="00B54BA4"/>
    <w:rsid w:val="00B61E7B"/>
    <w:rsid w:val="00B62DB6"/>
    <w:rsid w:val="00B64F87"/>
    <w:rsid w:val="00B70631"/>
    <w:rsid w:val="00B75534"/>
    <w:rsid w:val="00B7553D"/>
    <w:rsid w:val="00B805A9"/>
    <w:rsid w:val="00B812A1"/>
    <w:rsid w:val="00B83D19"/>
    <w:rsid w:val="00B9415F"/>
    <w:rsid w:val="00B9507A"/>
    <w:rsid w:val="00B972C7"/>
    <w:rsid w:val="00B97892"/>
    <w:rsid w:val="00BA1C9C"/>
    <w:rsid w:val="00BA5AF3"/>
    <w:rsid w:val="00BA5B36"/>
    <w:rsid w:val="00BB187B"/>
    <w:rsid w:val="00BB31C7"/>
    <w:rsid w:val="00BB3272"/>
    <w:rsid w:val="00BB78AE"/>
    <w:rsid w:val="00BC214F"/>
    <w:rsid w:val="00BC2502"/>
    <w:rsid w:val="00BC3030"/>
    <w:rsid w:val="00BC4FDF"/>
    <w:rsid w:val="00BC6130"/>
    <w:rsid w:val="00BD3758"/>
    <w:rsid w:val="00BD63D9"/>
    <w:rsid w:val="00BD6455"/>
    <w:rsid w:val="00BD7625"/>
    <w:rsid w:val="00BE0358"/>
    <w:rsid w:val="00BE0D8A"/>
    <w:rsid w:val="00BE1F3C"/>
    <w:rsid w:val="00BE294E"/>
    <w:rsid w:val="00BE2D77"/>
    <w:rsid w:val="00BE5859"/>
    <w:rsid w:val="00BF129C"/>
    <w:rsid w:val="00BF232E"/>
    <w:rsid w:val="00BF28D8"/>
    <w:rsid w:val="00BF4A49"/>
    <w:rsid w:val="00BF6F43"/>
    <w:rsid w:val="00BF7668"/>
    <w:rsid w:val="00BF7B1C"/>
    <w:rsid w:val="00C05684"/>
    <w:rsid w:val="00C06E4F"/>
    <w:rsid w:val="00C07800"/>
    <w:rsid w:val="00C10195"/>
    <w:rsid w:val="00C17DD5"/>
    <w:rsid w:val="00C224C6"/>
    <w:rsid w:val="00C2295E"/>
    <w:rsid w:val="00C23BE1"/>
    <w:rsid w:val="00C240FF"/>
    <w:rsid w:val="00C249DE"/>
    <w:rsid w:val="00C257B9"/>
    <w:rsid w:val="00C2691F"/>
    <w:rsid w:val="00C272EC"/>
    <w:rsid w:val="00C304B8"/>
    <w:rsid w:val="00C31922"/>
    <w:rsid w:val="00C32081"/>
    <w:rsid w:val="00C335BA"/>
    <w:rsid w:val="00C34291"/>
    <w:rsid w:val="00C34602"/>
    <w:rsid w:val="00C37409"/>
    <w:rsid w:val="00C37518"/>
    <w:rsid w:val="00C379F4"/>
    <w:rsid w:val="00C41973"/>
    <w:rsid w:val="00C42778"/>
    <w:rsid w:val="00C42DEC"/>
    <w:rsid w:val="00C46980"/>
    <w:rsid w:val="00C50271"/>
    <w:rsid w:val="00C53981"/>
    <w:rsid w:val="00C54257"/>
    <w:rsid w:val="00C563E3"/>
    <w:rsid w:val="00C5696E"/>
    <w:rsid w:val="00C57257"/>
    <w:rsid w:val="00C608A2"/>
    <w:rsid w:val="00C618DB"/>
    <w:rsid w:val="00C62590"/>
    <w:rsid w:val="00C646B4"/>
    <w:rsid w:val="00C701D8"/>
    <w:rsid w:val="00C722A1"/>
    <w:rsid w:val="00C72954"/>
    <w:rsid w:val="00C73D34"/>
    <w:rsid w:val="00C7412F"/>
    <w:rsid w:val="00C75BE6"/>
    <w:rsid w:val="00C77831"/>
    <w:rsid w:val="00C81EB5"/>
    <w:rsid w:val="00C86B93"/>
    <w:rsid w:val="00C87524"/>
    <w:rsid w:val="00C8754C"/>
    <w:rsid w:val="00C921C7"/>
    <w:rsid w:val="00C940F6"/>
    <w:rsid w:val="00C9548C"/>
    <w:rsid w:val="00C95626"/>
    <w:rsid w:val="00C9658A"/>
    <w:rsid w:val="00C97B41"/>
    <w:rsid w:val="00CA01A0"/>
    <w:rsid w:val="00CA2C87"/>
    <w:rsid w:val="00CA421A"/>
    <w:rsid w:val="00CA592A"/>
    <w:rsid w:val="00CA68B3"/>
    <w:rsid w:val="00CB2ECF"/>
    <w:rsid w:val="00CB4C70"/>
    <w:rsid w:val="00CB7C61"/>
    <w:rsid w:val="00CC0214"/>
    <w:rsid w:val="00CC6040"/>
    <w:rsid w:val="00CD096B"/>
    <w:rsid w:val="00CD218F"/>
    <w:rsid w:val="00CD3C4D"/>
    <w:rsid w:val="00CD451C"/>
    <w:rsid w:val="00CD5901"/>
    <w:rsid w:val="00CD792F"/>
    <w:rsid w:val="00CE191B"/>
    <w:rsid w:val="00CE5D39"/>
    <w:rsid w:val="00CE5F37"/>
    <w:rsid w:val="00CE63D4"/>
    <w:rsid w:val="00CE6B56"/>
    <w:rsid w:val="00CE7454"/>
    <w:rsid w:val="00CE7770"/>
    <w:rsid w:val="00CF0BD4"/>
    <w:rsid w:val="00CF0D33"/>
    <w:rsid w:val="00CF336D"/>
    <w:rsid w:val="00D01D9C"/>
    <w:rsid w:val="00D05E90"/>
    <w:rsid w:val="00D05FBC"/>
    <w:rsid w:val="00D06821"/>
    <w:rsid w:val="00D11746"/>
    <w:rsid w:val="00D11DF7"/>
    <w:rsid w:val="00D1248F"/>
    <w:rsid w:val="00D150F8"/>
    <w:rsid w:val="00D16CCA"/>
    <w:rsid w:val="00D21B38"/>
    <w:rsid w:val="00D23B71"/>
    <w:rsid w:val="00D24232"/>
    <w:rsid w:val="00D248AB"/>
    <w:rsid w:val="00D24A52"/>
    <w:rsid w:val="00D270AC"/>
    <w:rsid w:val="00D324A4"/>
    <w:rsid w:val="00D35715"/>
    <w:rsid w:val="00D37A1B"/>
    <w:rsid w:val="00D405C5"/>
    <w:rsid w:val="00D4123F"/>
    <w:rsid w:val="00D4599E"/>
    <w:rsid w:val="00D5053F"/>
    <w:rsid w:val="00D553DE"/>
    <w:rsid w:val="00D57665"/>
    <w:rsid w:val="00D60CA2"/>
    <w:rsid w:val="00D62C23"/>
    <w:rsid w:val="00D65828"/>
    <w:rsid w:val="00D71A7D"/>
    <w:rsid w:val="00D77469"/>
    <w:rsid w:val="00D8075E"/>
    <w:rsid w:val="00D81D72"/>
    <w:rsid w:val="00D9452C"/>
    <w:rsid w:val="00D94A94"/>
    <w:rsid w:val="00DA53ED"/>
    <w:rsid w:val="00DB0A8B"/>
    <w:rsid w:val="00DB3C9F"/>
    <w:rsid w:val="00DB665B"/>
    <w:rsid w:val="00DB742F"/>
    <w:rsid w:val="00DC00ED"/>
    <w:rsid w:val="00DC2A6D"/>
    <w:rsid w:val="00DC3F9C"/>
    <w:rsid w:val="00DD45F6"/>
    <w:rsid w:val="00DE0382"/>
    <w:rsid w:val="00DE0C55"/>
    <w:rsid w:val="00DE2CC5"/>
    <w:rsid w:val="00DE3AAF"/>
    <w:rsid w:val="00DE7887"/>
    <w:rsid w:val="00DF29FC"/>
    <w:rsid w:val="00DF312A"/>
    <w:rsid w:val="00DF4D3F"/>
    <w:rsid w:val="00DF5604"/>
    <w:rsid w:val="00DF6B2D"/>
    <w:rsid w:val="00E030D5"/>
    <w:rsid w:val="00E10327"/>
    <w:rsid w:val="00E113CD"/>
    <w:rsid w:val="00E11761"/>
    <w:rsid w:val="00E12409"/>
    <w:rsid w:val="00E13892"/>
    <w:rsid w:val="00E15A6A"/>
    <w:rsid w:val="00E164BE"/>
    <w:rsid w:val="00E20838"/>
    <w:rsid w:val="00E22170"/>
    <w:rsid w:val="00E22435"/>
    <w:rsid w:val="00E23CD3"/>
    <w:rsid w:val="00E23FA8"/>
    <w:rsid w:val="00E2474B"/>
    <w:rsid w:val="00E306AC"/>
    <w:rsid w:val="00E31A9B"/>
    <w:rsid w:val="00E32A3D"/>
    <w:rsid w:val="00E354E5"/>
    <w:rsid w:val="00E35D25"/>
    <w:rsid w:val="00E446C6"/>
    <w:rsid w:val="00E5518D"/>
    <w:rsid w:val="00E55B8C"/>
    <w:rsid w:val="00E561AD"/>
    <w:rsid w:val="00E57A32"/>
    <w:rsid w:val="00E650FA"/>
    <w:rsid w:val="00E67FB9"/>
    <w:rsid w:val="00E70B05"/>
    <w:rsid w:val="00E72465"/>
    <w:rsid w:val="00E736B8"/>
    <w:rsid w:val="00E7491E"/>
    <w:rsid w:val="00E76D0E"/>
    <w:rsid w:val="00E82E32"/>
    <w:rsid w:val="00E83FD0"/>
    <w:rsid w:val="00E854E8"/>
    <w:rsid w:val="00E90666"/>
    <w:rsid w:val="00E9148D"/>
    <w:rsid w:val="00E96B9C"/>
    <w:rsid w:val="00E97492"/>
    <w:rsid w:val="00EA281A"/>
    <w:rsid w:val="00EA2F74"/>
    <w:rsid w:val="00EA6B2A"/>
    <w:rsid w:val="00EB28A0"/>
    <w:rsid w:val="00EB3080"/>
    <w:rsid w:val="00EB64CD"/>
    <w:rsid w:val="00EB77B8"/>
    <w:rsid w:val="00EC71DB"/>
    <w:rsid w:val="00EC7E04"/>
    <w:rsid w:val="00ED2AFA"/>
    <w:rsid w:val="00ED2D17"/>
    <w:rsid w:val="00ED2D3F"/>
    <w:rsid w:val="00ED67B0"/>
    <w:rsid w:val="00ED754B"/>
    <w:rsid w:val="00EE0B33"/>
    <w:rsid w:val="00EE2388"/>
    <w:rsid w:val="00EE3250"/>
    <w:rsid w:val="00EE3437"/>
    <w:rsid w:val="00EE45CD"/>
    <w:rsid w:val="00EE5EA2"/>
    <w:rsid w:val="00EE6C16"/>
    <w:rsid w:val="00EE6C66"/>
    <w:rsid w:val="00EE76EC"/>
    <w:rsid w:val="00EE7921"/>
    <w:rsid w:val="00EF0308"/>
    <w:rsid w:val="00EF2F93"/>
    <w:rsid w:val="00EF40CF"/>
    <w:rsid w:val="00EF5A79"/>
    <w:rsid w:val="00EF7C17"/>
    <w:rsid w:val="00F02000"/>
    <w:rsid w:val="00F0205A"/>
    <w:rsid w:val="00F02405"/>
    <w:rsid w:val="00F02867"/>
    <w:rsid w:val="00F05F48"/>
    <w:rsid w:val="00F06432"/>
    <w:rsid w:val="00F06D1A"/>
    <w:rsid w:val="00F1073D"/>
    <w:rsid w:val="00F14D7B"/>
    <w:rsid w:val="00F15FC5"/>
    <w:rsid w:val="00F16120"/>
    <w:rsid w:val="00F22F3C"/>
    <w:rsid w:val="00F26DE5"/>
    <w:rsid w:val="00F27E8D"/>
    <w:rsid w:val="00F33E8C"/>
    <w:rsid w:val="00F34DC4"/>
    <w:rsid w:val="00F36AF8"/>
    <w:rsid w:val="00F41042"/>
    <w:rsid w:val="00F4339A"/>
    <w:rsid w:val="00F44539"/>
    <w:rsid w:val="00F459CB"/>
    <w:rsid w:val="00F467BE"/>
    <w:rsid w:val="00F479D8"/>
    <w:rsid w:val="00F52BAE"/>
    <w:rsid w:val="00F558E4"/>
    <w:rsid w:val="00F56911"/>
    <w:rsid w:val="00F57CA4"/>
    <w:rsid w:val="00F6021C"/>
    <w:rsid w:val="00F60D73"/>
    <w:rsid w:val="00F61222"/>
    <w:rsid w:val="00F61CAC"/>
    <w:rsid w:val="00F61F6B"/>
    <w:rsid w:val="00F65D40"/>
    <w:rsid w:val="00F673DF"/>
    <w:rsid w:val="00F720A3"/>
    <w:rsid w:val="00F73256"/>
    <w:rsid w:val="00F734C2"/>
    <w:rsid w:val="00F74576"/>
    <w:rsid w:val="00F76EFC"/>
    <w:rsid w:val="00F7710E"/>
    <w:rsid w:val="00F813AA"/>
    <w:rsid w:val="00F839F1"/>
    <w:rsid w:val="00F92762"/>
    <w:rsid w:val="00F93B73"/>
    <w:rsid w:val="00FA0CFE"/>
    <w:rsid w:val="00FA621D"/>
    <w:rsid w:val="00FA70ED"/>
    <w:rsid w:val="00FA7232"/>
    <w:rsid w:val="00FB14DB"/>
    <w:rsid w:val="00FB3983"/>
    <w:rsid w:val="00FB3A54"/>
    <w:rsid w:val="00FC0392"/>
    <w:rsid w:val="00FC1665"/>
    <w:rsid w:val="00FC2A64"/>
    <w:rsid w:val="00FC2B8A"/>
    <w:rsid w:val="00FC550E"/>
    <w:rsid w:val="00FC629E"/>
    <w:rsid w:val="00FC6E80"/>
    <w:rsid w:val="00FC7B0D"/>
    <w:rsid w:val="00FD3A41"/>
    <w:rsid w:val="00FD6400"/>
    <w:rsid w:val="00FE314B"/>
    <w:rsid w:val="00FE3C8C"/>
    <w:rsid w:val="00FE4240"/>
    <w:rsid w:val="00FE555D"/>
    <w:rsid w:val="00FE7AA3"/>
    <w:rsid w:val="00FF210C"/>
    <w:rsid w:val="00FF2FC5"/>
    <w:rsid w:val="00FF3F55"/>
    <w:rsid w:val="00FF67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O"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qFormat="1"/>
    <w:lsdException w:name="header" w:uiPriority="99"/>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3" w:uiPriority="99"/>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semiHidden/>
    <w:unhideWhenUsed/>
    <w:qFormat/>
    <w:rsid w:val="00A73A47"/>
    <w:pPr>
      <w:keepNext/>
      <w:keepLines/>
      <w:spacing w:before="40"/>
      <w:outlineLvl w:val="1"/>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50026D"/>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Ref. de nota al pie1,FA Fu,texto de nota al pie,Ref. de nota al pie2,Appel note de bas de page,referencia nota al pie,BVI fnr,Footnote symbol,Footnote,Nota de pie,FC"/>
    <w:basedOn w:val="Normal"/>
    <w:link w:val="TextonotapieCar"/>
    <w:autoRedefine/>
    <w:qFormat/>
    <w:rsid w:val="00314191"/>
    <w:pPr>
      <w:overflowPunct w:val="0"/>
      <w:autoSpaceDE w:val="0"/>
      <w:autoSpaceDN w:val="0"/>
      <w:adjustRightInd w:val="0"/>
      <w:spacing w:line="240" w:lineRule="auto"/>
      <w:textAlignment w:val="baseline"/>
    </w:pPr>
    <w:rPr>
      <w:rFonts w:ascii="Arial" w:hAnsi="Arial" w:cs="Arial"/>
      <w:sz w:val="18"/>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 de nota al pie 2,Texto de nota al pie,Footnotes refss,Ref,de nota al pie,Fago Fußnotenzeichen,Pie de Página,Footnote number,4_G,16 Point,Superscript 6 Point,Ref1,F,f,FZ"/>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Appel note de bas de page Car,referencia nota al pie Car,BVI fnr Car"/>
    <w:link w:val="Textonotapie"/>
    <w:rsid w:val="00314191"/>
    <w:rPr>
      <w:rFonts w:ascii="Arial" w:eastAsia="Times New Roman" w:hAnsi="Arial" w:cs="Arial"/>
      <w:sz w:val="18"/>
      <w:lang w:val="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inespaciadoCar">
    <w:name w:val="Sin espaciado Car"/>
    <w:link w:val="Sinespaciado"/>
    <w:uiPriority w:val="1"/>
    <w:locked/>
    <w:rsid w:val="00FA7232"/>
    <w:rPr>
      <w:rFonts w:ascii="Verdana" w:hAnsi="Verdana"/>
      <w:sz w:val="28"/>
      <w:lang w:val="es-ES"/>
    </w:rPr>
  </w:style>
  <w:style w:type="paragraph" w:styleId="Sinespaciado">
    <w:name w:val="No Spacing"/>
    <w:link w:val="SinespaciadoCar"/>
    <w:uiPriority w:val="1"/>
    <w:qFormat/>
    <w:rsid w:val="00FA7232"/>
    <w:rPr>
      <w:rFonts w:ascii="Verdana" w:hAnsi="Verdana"/>
      <w:sz w:val="28"/>
      <w:lang w:val="es-ES" w:eastAsia="es-CO"/>
    </w:rPr>
  </w:style>
  <w:style w:type="character" w:customStyle="1" w:styleId="Ttulo2Car">
    <w:name w:val="Título 2 Car"/>
    <w:basedOn w:val="Fuentedeprrafopredeter"/>
    <w:link w:val="Ttulo2"/>
    <w:semiHidden/>
    <w:rsid w:val="00A73A47"/>
    <w:rPr>
      <w:rFonts w:asciiTheme="majorHAnsi" w:eastAsiaTheme="majorEastAsia" w:hAnsiTheme="majorHAnsi" w:cstheme="majorBidi"/>
      <w:color w:val="365F91" w:themeColor="accent1" w:themeShade="BF"/>
      <w:sz w:val="26"/>
      <w:szCs w:val="26"/>
      <w:lang w:val="es-ES" w:eastAsia="es-MX"/>
    </w:rPr>
  </w:style>
  <w:style w:type="paragraph" w:customStyle="1" w:styleId="Profesin">
    <w:name w:val="ProfesiÛn"/>
    <w:basedOn w:val="Normal"/>
    <w:rsid w:val="00BC3030"/>
    <w:pPr>
      <w:tabs>
        <w:tab w:val="left" w:pos="1134"/>
      </w:tabs>
      <w:spacing w:line="360" w:lineRule="atLeast"/>
      <w:jc w:val="center"/>
    </w:pPr>
    <w:rPr>
      <w:rFonts w:ascii="Arial" w:hAnsi="Arial"/>
      <w:b/>
      <w:sz w:val="32"/>
      <w:szCs w:val="20"/>
      <w:lang w:val="es-CO" w:eastAsia="es-ES"/>
    </w:rPr>
  </w:style>
  <w:style w:type="character" w:customStyle="1" w:styleId="apple-converted-space">
    <w:name w:val="apple-converted-space"/>
    <w:basedOn w:val="Fuentedeprrafopredeter"/>
    <w:rsid w:val="000A1C3A"/>
  </w:style>
  <w:style w:type="character" w:styleId="Hipervnculo">
    <w:name w:val="Hyperlink"/>
    <w:basedOn w:val="Fuentedeprrafopredeter"/>
    <w:uiPriority w:val="99"/>
    <w:unhideWhenUsed/>
    <w:rsid w:val="0050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813638674">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87412801">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1D61-686D-4D66-9186-C27936EC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2449</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ALONSO</cp:lastModifiedBy>
  <cp:revision>106</cp:revision>
  <cp:lastPrinted>2020-02-24T14:45:00Z</cp:lastPrinted>
  <dcterms:created xsi:type="dcterms:W3CDTF">2020-02-11T20:26:00Z</dcterms:created>
  <dcterms:modified xsi:type="dcterms:W3CDTF">2020-08-13T16:37:00Z</dcterms:modified>
</cp:coreProperties>
</file>