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6754" w14:textId="77777777" w:rsidR="006910AF" w:rsidRPr="006910AF" w:rsidRDefault="006910AF" w:rsidP="006910A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910A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2EBBA9" w14:textId="77777777" w:rsidR="006910AF" w:rsidRPr="006910AF" w:rsidRDefault="006910AF" w:rsidP="006910AF">
      <w:pPr>
        <w:spacing w:after="0" w:line="240" w:lineRule="auto"/>
        <w:jc w:val="both"/>
        <w:rPr>
          <w:rFonts w:ascii="Arial" w:eastAsia="Times New Roman" w:hAnsi="Arial" w:cs="Arial"/>
          <w:sz w:val="20"/>
          <w:szCs w:val="20"/>
          <w:lang w:val="es-419" w:eastAsia="es-ES"/>
        </w:rPr>
      </w:pPr>
    </w:p>
    <w:p w14:paraId="74221651" w14:textId="0BE25197" w:rsidR="006910AF" w:rsidRPr="006910AF" w:rsidRDefault="006910AF" w:rsidP="006910AF">
      <w:pPr>
        <w:spacing w:after="0" w:line="240" w:lineRule="auto"/>
        <w:jc w:val="both"/>
        <w:rPr>
          <w:rFonts w:ascii="Arial" w:eastAsia="Times New Roman" w:hAnsi="Arial" w:cs="Arial"/>
          <w:sz w:val="20"/>
          <w:szCs w:val="20"/>
          <w:lang w:val="es-419" w:eastAsia="es-ES"/>
        </w:rPr>
      </w:pPr>
      <w:r w:rsidRPr="006910AF">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910AF">
        <w:rPr>
          <w:rFonts w:ascii="Arial" w:eastAsia="Times New Roman" w:hAnsi="Arial" w:cs="Arial"/>
          <w:sz w:val="20"/>
          <w:szCs w:val="20"/>
          <w:lang w:val="es-419" w:eastAsia="es-ES"/>
        </w:rPr>
        <w:t>Verbal (Pertenencia en reconvención)</w:t>
      </w:r>
    </w:p>
    <w:p w14:paraId="7231E6F5" w14:textId="1446AA51" w:rsidR="006910AF" w:rsidRPr="006910AF" w:rsidRDefault="006910AF" w:rsidP="006910AF">
      <w:pPr>
        <w:spacing w:after="0" w:line="240" w:lineRule="auto"/>
        <w:jc w:val="both"/>
        <w:rPr>
          <w:rFonts w:ascii="Arial" w:eastAsia="Times New Roman" w:hAnsi="Arial" w:cs="Arial"/>
          <w:sz w:val="20"/>
          <w:szCs w:val="20"/>
          <w:lang w:val="es-419" w:eastAsia="es-ES"/>
        </w:rPr>
      </w:pPr>
      <w:r w:rsidRPr="006910AF">
        <w:rPr>
          <w:rFonts w:ascii="Arial" w:eastAsia="Times New Roman" w:hAnsi="Arial" w:cs="Arial"/>
          <w:sz w:val="20"/>
          <w:szCs w:val="20"/>
          <w:lang w:val="es-419" w:eastAsia="es-ES"/>
        </w:rPr>
        <w:t>Demandante en reconvención:</w:t>
      </w:r>
      <w:r>
        <w:rPr>
          <w:rFonts w:ascii="Arial" w:eastAsia="Times New Roman" w:hAnsi="Arial" w:cs="Arial"/>
          <w:sz w:val="20"/>
          <w:szCs w:val="20"/>
          <w:lang w:val="es-419" w:eastAsia="es-ES"/>
        </w:rPr>
        <w:tab/>
      </w:r>
      <w:r w:rsidRPr="006910AF">
        <w:rPr>
          <w:rFonts w:ascii="Arial" w:eastAsia="Times New Roman" w:hAnsi="Arial" w:cs="Arial"/>
          <w:sz w:val="20"/>
          <w:szCs w:val="20"/>
          <w:lang w:val="es-419" w:eastAsia="es-ES"/>
        </w:rPr>
        <w:t xml:space="preserve">Sociedad Colombiana de Minerales y </w:t>
      </w:r>
      <w:r>
        <w:rPr>
          <w:rFonts w:ascii="Arial" w:eastAsia="Times New Roman" w:hAnsi="Arial" w:cs="Arial"/>
          <w:sz w:val="20"/>
          <w:szCs w:val="20"/>
          <w:lang w:val="es-419" w:eastAsia="es-ES"/>
        </w:rPr>
        <w:t>otro</w:t>
      </w:r>
    </w:p>
    <w:p w14:paraId="7DE21A6F" w14:textId="0F2A90C6" w:rsidR="006910AF" w:rsidRPr="006910AF" w:rsidRDefault="006910AF" w:rsidP="006910AF">
      <w:pPr>
        <w:spacing w:after="0" w:line="240" w:lineRule="auto"/>
        <w:jc w:val="both"/>
        <w:rPr>
          <w:rFonts w:ascii="Arial" w:eastAsia="Times New Roman" w:hAnsi="Arial" w:cs="Arial"/>
          <w:sz w:val="20"/>
          <w:szCs w:val="20"/>
          <w:lang w:val="es-419" w:eastAsia="es-ES"/>
        </w:rPr>
      </w:pPr>
      <w:r w:rsidRPr="006910AF">
        <w:rPr>
          <w:rFonts w:ascii="Arial" w:eastAsia="Times New Roman" w:hAnsi="Arial" w:cs="Arial"/>
          <w:sz w:val="20"/>
          <w:szCs w:val="20"/>
          <w:lang w:val="es-419" w:eastAsia="es-ES"/>
        </w:rPr>
        <w:t>Demandado en reconvención:</w:t>
      </w:r>
      <w:r>
        <w:rPr>
          <w:rFonts w:ascii="Arial" w:eastAsia="Times New Roman" w:hAnsi="Arial" w:cs="Arial"/>
          <w:sz w:val="20"/>
          <w:szCs w:val="20"/>
          <w:lang w:val="es-419" w:eastAsia="es-ES"/>
        </w:rPr>
        <w:tab/>
      </w:r>
      <w:r w:rsidRPr="006910AF">
        <w:rPr>
          <w:rFonts w:ascii="Arial" w:eastAsia="Times New Roman" w:hAnsi="Arial" w:cs="Arial"/>
          <w:sz w:val="20"/>
          <w:szCs w:val="20"/>
          <w:lang w:val="es-419" w:eastAsia="es-ES"/>
        </w:rPr>
        <w:t>Sociedad Gaviria y Gaviria Ltda. en liquidación</w:t>
      </w:r>
    </w:p>
    <w:p w14:paraId="661CFE92" w14:textId="77777777" w:rsidR="006910AF" w:rsidRPr="006910AF" w:rsidRDefault="006910AF" w:rsidP="006910AF">
      <w:pPr>
        <w:spacing w:after="0" w:line="240" w:lineRule="auto"/>
        <w:jc w:val="both"/>
        <w:rPr>
          <w:rFonts w:ascii="Arial" w:eastAsia="Times New Roman" w:hAnsi="Arial" w:cs="Arial"/>
          <w:sz w:val="20"/>
          <w:szCs w:val="20"/>
          <w:lang w:val="es-419" w:eastAsia="es-ES"/>
        </w:rPr>
      </w:pPr>
    </w:p>
    <w:p w14:paraId="015F16C3" w14:textId="707428C0" w:rsidR="006910AF" w:rsidRPr="006910AF" w:rsidRDefault="006910AF" w:rsidP="006910AF">
      <w:pPr>
        <w:spacing w:after="0" w:line="240" w:lineRule="auto"/>
        <w:jc w:val="both"/>
        <w:rPr>
          <w:rFonts w:ascii="Arial" w:eastAsia="Times New Roman" w:hAnsi="Arial" w:cs="Arial"/>
          <w:b/>
          <w:bCs/>
          <w:iCs/>
          <w:sz w:val="20"/>
          <w:szCs w:val="20"/>
          <w:lang w:val="es-419" w:eastAsia="fr-FR"/>
        </w:rPr>
      </w:pPr>
      <w:r w:rsidRPr="006910AF">
        <w:rPr>
          <w:rFonts w:ascii="Arial" w:eastAsia="Times New Roman" w:hAnsi="Arial" w:cs="Arial"/>
          <w:b/>
          <w:bCs/>
          <w:iCs/>
          <w:sz w:val="20"/>
          <w:szCs w:val="20"/>
          <w:u w:val="single"/>
          <w:lang w:val="es-419" w:eastAsia="fr-FR"/>
        </w:rPr>
        <w:t>TEMAS:</w:t>
      </w:r>
      <w:r w:rsidRPr="006910AF">
        <w:rPr>
          <w:rFonts w:ascii="Arial" w:eastAsia="Times New Roman" w:hAnsi="Arial" w:cs="Arial"/>
          <w:b/>
          <w:bCs/>
          <w:iCs/>
          <w:sz w:val="20"/>
          <w:szCs w:val="20"/>
          <w:lang w:val="es-419" w:eastAsia="fr-FR"/>
        </w:rPr>
        <w:tab/>
      </w:r>
      <w:r w:rsidR="001351DF">
        <w:rPr>
          <w:rFonts w:ascii="Arial" w:eastAsia="Times New Roman" w:hAnsi="Arial" w:cs="Arial"/>
          <w:b/>
          <w:bCs/>
          <w:iCs/>
          <w:sz w:val="20"/>
          <w:szCs w:val="20"/>
          <w:lang w:val="es-419" w:eastAsia="fr-FR"/>
        </w:rPr>
        <w:t xml:space="preserve">AMPARO DE POBREZA / PERSONAS JURÍDICA / </w:t>
      </w:r>
      <w:r w:rsidR="001351DF">
        <w:rPr>
          <w:rFonts w:ascii="Arial" w:eastAsia="Times New Roman" w:hAnsi="Arial" w:cs="Arial"/>
          <w:b/>
          <w:sz w:val="20"/>
          <w:szCs w:val="20"/>
          <w:lang w:val="es-419" w:eastAsia="es-ES"/>
        </w:rPr>
        <w:t xml:space="preserve">REQUISITOS / </w:t>
      </w:r>
      <w:r w:rsidR="00FC7FCA">
        <w:rPr>
          <w:rFonts w:ascii="Arial" w:eastAsia="Times New Roman" w:hAnsi="Arial" w:cs="Arial"/>
          <w:b/>
          <w:sz w:val="20"/>
          <w:szCs w:val="20"/>
          <w:lang w:val="es-419" w:eastAsia="es-ES"/>
        </w:rPr>
        <w:t xml:space="preserve">PRUEBA SOBRE SU SITUACIPÓN FINANCIERA / NULIDAD PROCESAL </w:t>
      </w:r>
      <w:r w:rsidRPr="006910AF">
        <w:rPr>
          <w:rFonts w:ascii="Arial" w:eastAsia="Times New Roman" w:hAnsi="Arial" w:cs="Arial"/>
          <w:b/>
          <w:bCs/>
          <w:iCs/>
          <w:sz w:val="20"/>
          <w:szCs w:val="20"/>
          <w:lang w:val="es-419" w:eastAsia="fr-FR"/>
        </w:rPr>
        <w:t xml:space="preserve">/ </w:t>
      </w:r>
      <w:r w:rsidR="00FC7FCA">
        <w:rPr>
          <w:rFonts w:ascii="Arial" w:eastAsia="Times New Roman" w:hAnsi="Arial" w:cs="Arial"/>
          <w:b/>
          <w:bCs/>
          <w:iCs/>
          <w:sz w:val="20"/>
          <w:szCs w:val="20"/>
          <w:lang w:val="es-419" w:eastAsia="fr-FR"/>
        </w:rPr>
        <w:t>LEGITIMACIÓN.</w:t>
      </w:r>
    </w:p>
    <w:p w14:paraId="37F8E3A6" w14:textId="77777777" w:rsidR="006910AF" w:rsidRPr="006910AF" w:rsidRDefault="006910AF" w:rsidP="006910AF">
      <w:pPr>
        <w:spacing w:after="0" w:line="240" w:lineRule="auto"/>
        <w:jc w:val="both"/>
        <w:rPr>
          <w:rFonts w:ascii="Arial" w:eastAsia="Times New Roman" w:hAnsi="Arial" w:cs="Arial"/>
          <w:sz w:val="20"/>
          <w:szCs w:val="20"/>
          <w:lang w:val="es-419" w:eastAsia="es-ES"/>
        </w:rPr>
      </w:pPr>
    </w:p>
    <w:p w14:paraId="6242229B" w14:textId="20331AF4" w:rsidR="006910AF" w:rsidRPr="006910AF" w:rsidRDefault="001351DF" w:rsidP="006910A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351DF">
        <w:rPr>
          <w:rFonts w:ascii="Arial" w:eastAsia="Times New Roman" w:hAnsi="Arial" w:cs="Arial"/>
          <w:sz w:val="20"/>
          <w:szCs w:val="20"/>
          <w:lang w:val="es-419" w:eastAsia="es-ES"/>
        </w:rPr>
        <w:t xml:space="preserve"> en torno a la solicitud de amparo de pobreza elevada por el representante legal de la empresa</w:t>
      </w:r>
      <w:r>
        <w:rPr>
          <w:rFonts w:ascii="Arial" w:eastAsia="Times New Roman" w:hAnsi="Arial" w:cs="Arial"/>
          <w:sz w:val="20"/>
          <w:szCs w:val="20"/>
          <w:lang w:val="es-419" w:eastAsia="es-ES"/>
        </w:rPr>
        <w:t>…</w:t>
      </w:r>
      <w:r w:rsidRPr="001351DF">
        <w:rPr>
          <w:rFonts w:ascii="Arial" w:eastAsia="Times New Roman" w:hAnsi="Arial" w:cs="Arial"/>
          <w:sz w:val="20"/>
          <w:szCs w:val="20"/>
          <w:lang w:val="es-419" w:eastAsia="es-ES"/>
        </w:rPr>
        <w:t>, halla la Sala de entrada que, conforme a los lineamientos jurisprudenciales que sobre el particular se han extendido, y si bien no se reprocha el uso del tal figura en tratándose de personas jurídicas, dada la redacción del artículo 151 del CGP que pudiera entenderse solo destinado a personas naturales, lo cierto es que el asunto, respecto de personas jurídicas sí encuentra una especie de exigencias adicionales en torno a la demostración de su estado económico, lo que acá, brilla por su ausencia, y para decirlo de una vez en forma concluyente, la petición está llamada al fracaso, como se declara.</w:t>
      </w:r>
    </w:p>
    <w:p w14:paraId="1E368EAB" w14:textId="77777777" w:rsidR="006910AF" w:rsidRPr="006910AF" w:rsidRDefault="006910AF" w:rsidP="006910AF">
      <w:pPr>
        <w:spacing w:after="0" w:line="240" w:lineRule="auto"/>
        <w:jc w:val="both"/>
        <w:rPr>
          <w:rFonts w:ascii="Arial" w:eastAsia="Times New Roman" w:hAnsi="Arial" w:cs="Arial"/>
          <w:sz w:val="20"/>
          <w:szCs w:val="20"/>
          <w:lang w:val="es-419" w:eastAsia="es-ES"/>
        </w:rPr>
      </w:pPr>
    </w:p>
    <w:p w14:paraId="67BDBD12" w14:textId="7FF96D5D" w:rsidR="001351DF" w:rsidRPr="001351DF" w:rsidRDefault="001351DF" w:rsidP="001351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351DF">
        <w:rPr>
          <w:rFonts w:ascii="Arial" w:eastAsia="Times New Roman" w:hAnsi="Arial" w:cs="Arial"/>
          <w:sz w:val="20"/>
          <w:szCs w:val="20"/>
          <w:lang w:val="es-419" w:eastAsia="es-ES"/>
        </w:rPr>
        <w:t>el Consejo de Estado ha razonado:</w:t>
      </w:r>
    </w:p>
    <w:p w14:paraId="750B4303" w14:textId="77777777" w:rsidR="001351DF" w:rsidRPr="001351DF" w:rsidRDefault="001351DF" w:rsidP="001351DF">
      <w:pPr>
        <w:spacing w:after="0" w:line="240" w:lineRule="auto"/>
        <w:jc w:val="both"/>
        <w:rPr>
          <w:rFonts w:ascii="Arial" w:eastAsia="Times New Roman" w:hAnsi="Arial" w:cs="Arial"/>
          <w:sz w:val="20"/>
          <w:szCs w:val="20"/>
          <w:lang w:val="es-419" w:eastAsia="es-ES"/>
        </w:rPr>
      </w:pPr>
    </w:p>
    <w:p w14:paraId="2E0C015A" w14:textId="687AAFB2" w:rsidR="006910AF" w:rsidRPr="006910AF" w:rsidRDefault="001351DF" w:rsidP="001351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351DF">
        <w:rPr>
          <w:rFonts w:ascii="Arial" w:eastAsia="Times New Roman" w:hAnsi="Arial" w:cs="Arial"/>
          <w:sz w:val="20"/>
          <w:szCs w:val="20"/>
          <w:lang w:val="es-419" w:eastAsia="es-ES"/>
        </w:rPr>
        <w:t xml:space="preserve">Para la Sala, las personas jurídicas pueden presentar de manera similar que las personas naturales, situaciones económicas que les impidan atender los gastos del proceso, lo cual </w:t>
      </w:r>
      <w:proofErr w:type="gramStart"/>
      <w:r w:rsidRPr="001351DF">
        <w:rPr>
          <w:rFonts w:ascii="Arial" w:eastAsia="Times New Roman" w:hAnsi="Arial" w:cs="Arial"/>
          <w:sz w:val="20"/>
          <w:szCs w:val="20"/>
          <w:lang w:val="es-419" w:eastAsia="es-ES"/>
        </w:rPr>
        <w:t>les</w:t>
      </w:r>
      <w:proofErr w:type="gramEnd"/>
      <w:r w:rsidRPr="001351DF">
        <w:rPr>
          <w:rFonts w:ascii="Arial" w:eastAsia="Times New Roman" w:hAnsi="Arial" w:cs="Arial"/>
          <w:sz w:val="20"/>
          <w:szCs w:val="20"/>
          <w:lang w:val="es-419" w:eastAsia="es-ES"/>
        </w:rPr>
        <w:t xml:space="preserve"> obstaculizaría el acceso a la justicia, en defensa de sus intereses e inclusive contribuiría a su total resquebrajamiento económico, afectando de paso, a las personas naturales que la conforman. En todo caso, la posibilidad de que las personas jurídicas accedan al amparo de pobreza es excepcional, debiéndose valorar en la situación su verdadera situación financiera conforme a los medios probatorios allegados para tal fin</w:t>
      </w:r>
      <w:r>
        <w:rPr>
          <w:rFonts w:ascii="Arial" w:eastAsia="Times New Roman" w:hAnsi="Arial" w:cs="Arial"/>
          <w:sz w:val="20"/>
          <w:szCs w:val="20"/>
          <w:lang w:val="es-419" w:eastAsia="es-ES"/>
        </w:rPr>
        <w:t>”</w:t>
      </w:r>
      <w:r w:rsidRPr="001351DF">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1D9C9B43" w14:textId="77777777" w:rsidR="006910AF" w:rsidRPr="006910AF" w:rsidRDefault="006910AF" w:rsidP="006910AF">
      <w:pPr>
        <w:spacing w:after="0" w:line="240" w:lineRule="auto"/>
        <w:jc w:val="both"/>
        <w:rPr>
          <w:rFonts w:ascii="Arial" w:eastAsia="Times New Roman" w:hAnsi="Arial" w:cs="Arial"/>
          <w:sz w:val="20"/>
          <w:szCs w:val="20"/>
          <w:lang w:val="es-419" w:eastAsia="es-ES"/>
        </w:rPr>
      </w:pPr>
    </w:p>
    <w:p w14:paraId="4DFFCE6C" w14:textId="7C351E5B" w:rsidR="001351DF" w:rsidRPr="001351DF" w:rsidRDefault="001351DF" w:rsidP="001351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351DF">
        <w:rPr>
          <w:rFonts w:ascii="Arial" w:eastAsia="Times New Roman" w:hAnsi="Arial" w:cs="Arial"/>
          <w:sz w:val="20"/>
          <w:szCs w:val="20"/>
          <w:lang w:val="es-419" w:eastAsia="es-ES"/>
        </w:rPr>
        <w:t>se rechaza de plano la solicitud de nulidad que eleva el curador ad-</w:t>
      </w:r>
      <w:proofErr w:type="spellStart"/>
      <w:r w:rsidRPr="001351DF">
        <w:rPr>
          <w:rFonts w:ascii="Arial" w:eastAsia="Times New Roman" w:hAnsi="Arial" w:cs="Arial"/>
          <w:sz w:val="20"/>
          <w:szCs w:val="20"/>
          <w:lang w:val="es-419" w:eastAsia="es-ES"/>
        </w:rPr>
        <w:t>litem</w:t>
      </w:r>
      <w:proofErr w:type="spellEnd"/>
      <w:r w:rsidRPr="001351DF">
        <w:rPr>
          <w:rFonts w:ascii="Arial" w:eastAsia="Times New Roman" w:hAnsi="Arial" w:cs="Arial"/>
          <w:sz w:val="20"/>
          <w:szCs w:val="20"/>
          <w:lang w:val="es-419" w:eastAsia="es-ES"/>
        </w:rPr>
        <w:t xml:space="preserve"> de las personas indeterminadas, y sin que haya lugar a traslado alguno, con fundamento en lo señalado por el inciso final del artículo 135 del Código General del Proceso.</w:t>
      </w:r>
      <w:r>
        <w:rPr>
          <w:rFonts w:ascii="Arial" w:eastAsia="Times New Roman" w:hAnsi="Arial" w:cs="Arial"/>
          <w:sz w:val="20"/>
          <w:szCs w:val="20"/>
          <w:lang w:val="es-419" w:eastAsia="es-ES"/>
        </w:rPr>
        <w:t xml:space="preserve"> (…)</w:t>
      </w:r>
    </w:p>
    <w:p w14:paraId="3CF17BE6" w14:textId="77777777" w:rsidR="001351DF" w:rsidRPr="001351DF" w:rsidRDefault="001351DF" w:rsidP="001351DF">
      <w:pPr>
        <w:spacing w:after="0" w:line="240" w:lineRule="auto"/>
        <w:jc w:val="both"/>
        <w:rPr>
          <w:rFonts w:ascii="Arial" w:eastAsia="Times New Roman" w:hAnsi="Arial" w:cs="Arial"/>
          <w:sz w:val="20"/>
          <w:szCs w:val="20"/>
          <w:lang w:val="es-419" w:eastAsia="es-ES"/>
        </w:rPr>
      </w:pPr>
    </w:p>
    <w:p w14:paraId="1BFD0A58" w14:textId="172B0AA9" w:rsidR="006910AF" w:rsidRPr="006910AF" w:rsidRDefault="001351DF" w:rsidP="001351DF">
      <w:pPr>
        <w:spacing w:after="0" w:line="240" w:lineRule="auto"/>
        <w:jc w:val="both"/>
        <w:rPr>
          <w:rFonts w:ascii="Arial" w:eastAsia="Times New Roman" w:hAnsi="Arial" w:cs="Arial"/>
          <w:sz w:val="20"/>
          <w:szCs w:val="20"/>
          <w:lang w:val="es-419" w:eastAsia="es-ES"/>
        </w:rPr>
      </w:pPr>
      <w:r w:rsidRPr="001351DF">
        <w:rPr>
          <w:rFonts w:ascii="Arial" w:eastAsia="Times New Roman" w:hAnsi="Arial" w:cs="Arial"/>
          <w:sz w:val="20"/>
          <w:szCs w:val="20"/>
          <w:lang w:val="es-419" w:eastAsia="es-ES"/>
        </w:rPr>
        <w:t>En el caso concreto, el auxiliar de la justicia hace alusión a una indebida notificación de las personas indeterminadas dentro del asunto por las irregularidades que estima hubo de incurrirse en el emplazamiento de las mismas y hace eco de decisión que en anterior oportunidad estiló otra Sala Unitaria de la Corporación con la confirmación en recuro de súplica; no obstante, se tiene que, entre otras exigencias de procedibilidad para la anulación de determinada etapa procesal, se debe contar con la legitimidad del caso para invocarla</w:t>
      </w:r>
    </w:p>
    <w:p w14:paraId="5582A3DD" w14:textId="77777777" w:rsidR="006910AF" w:rsidRPr="006910AF" w:rsidRDefault="006910AF" w:rsidP="006910AF">
      <w:pPr>
        <w:spacing w:after="0" w:line="240" w:lineRule="auto"/>
        <w:jc w:val="both"/>
        <w:rPr>
          <w:rFonts w:ascii="Arial" w:eastAsia="Times New Roman" w:hAnsi="Arial" w:cs="Arial"/>
          <w:sz w:val="20"/>
          <w:szCs w:val="20"/>
          <w:lang w:val="es-ES" w:eastAsia="es-ES"/>
        </w:rPr>
      </w:pPr>
    </w:p>
    <w:p w14:paraId="0FD54395" w14:textId="77777777" w:rsidR="006910AF" w:rsidRPr="006910AF" w:rsidRDefault="006910AF" w:rsidP="006910AF">
      <w:pPr>
        <w:spacing w:after="0" w:line="240" w:lineRule="auto"/>
        <w:jc w:val="both"/>
        <w:rPr>
          <w:rFonts w:ascii="Arial" w:eastAsia="Times New Roman" w:hAnsi="Arial" w:cs="Arial"/>
          <w:sz w:val="20"/>
          <w:szCs w:val="20"/>
          <w:lang w:val="es-ES" w:eastAsia="es-ES"/>
        </w:rPr>
      </w:pPr>
    </w:p>
    <w:p w14:paraId="038E6CFF" w14:textId="77777777" w:rsidR="006910AF" w:rsidRPr="006910AF" w:rsidRDefault="006910AF" w:rsidP="006910AF">
      <w:pPr>
        <w:spacing w:after="0" w:line="240" w:lineRule="auto"/>
        <w:jc w:val="both"/>
        <w:rPr>
          <w:rFonts w:ascii="Arial" w:eastAsia="Times New Roman" w:hAnsi="Arial" w:cs="Arial"/>
          <w:sz w:val="20"/>
          <w:szCs w:val="20"/>
          <w:lang w:val="es-ES" w:eastAsia="es-ES"/>
        </w:rPr>
      </w:pPr>
    </w:p>
    <w:p w14:paraId="1C3BEE41" w14:textId="5803A8C9" w:rsidR="007C2F78" w:rsidRPr="006910AF" w:rsidRDefault="007C2F78" w:rsidP="006910AF">
      <w:pPr>
        <w:spacing w:after="0" w:line="276" w:lineRule="auto"/>
        <w:jc w:val="center"/>
        <w:rPr>
          <w:rFonts w:ascii="Tahoma" w:hAnsi="Tahoma" w:cs="Tahoma"/>
          <w:b/>
          <w:sz w:val="24"/>
          <w:szCs w:val="24"/>
          <w:lang w:val="es-ES_tradnl"/>
        </w:rPr>
      </w:pPr>
      <w:r w:rsidRPr="006910AF">
        <w:rPr>
          <w:rFonts w:ascii="Tahoma" w:hAnsi="Tahoma" w:cs="Tahoma"/>
          <w:b/>
          <w:sz w:val="24"/>
          <w:szCs w:val="24"/>
        </w:rPr>
        <w:t>TRIBUNAL SUPERIOR DEL DISTRITO JUDICIAL</w:t>
      </w:r>
    </w:p>
    <w:p w14:paraId="2DB22494" w14:textId="77777777" w:rsidR="007C2F78" w:rsidRPr="006910AF" w:rsidRDefault="007C2F78" w:rsidP="006910AF">
      <w:pPr>
        <w:spacing w:after="0" w:line="276" w:lineRule="auto"/>
        <w:jc w:val="center"/>
        <w:rPr>
          <w:rFonts w:ascii="Tahoma" w:hAnsi="Tahoma" w:cs="Tahoma"/>
          <w:b/>
          <w:sz w:val="24"/>
          <w:szCs w:val="24"/>
        </w:rPr>
      </w:pPr>
      <w:r w:rsidRPr="006910AF">
        <w:rPr>
          <w:rFonts w:ascii="Tahoma" w:hAnsi="Tahoma" w:cs="Tahoma"/>
          <w:b/>
          <w:sz w:val="24"/>
          <w:szCs w:val="24"/>
        </w:rPr>
        <w:t>SALA UNITARIA CIVIL FAMILIA</w:t>
      </w:r>
      <w:r w:rsidRPr="006910AF">
        <w:rPr>
          <w:rFonts w:ascii="Tahoma" w:hAnsi="Tahoma" w:cs="Tahoma"/>
          <w:b/>
          <w:sz w:val="24"/>
          <w:szCs w:val="24"/>
        </w:rPr>
        <w:br/>
      </w:r>
    </w:p>
    <w:p w14:paraId="3461D779" w14:textId="77777777" w:rsidR="007C2F78" w:rsidRPr="006910AF" w:rsidRDefault="007C2F78" w:rsidP="006910AF">
      <w:pPr>
        <w:spacing w:after="0" w:line="276" w:lineRule="auto"/>
        <w:jc w:val="center"/>
        <w:rPr>
          <w:rFonts w:ascii="Tahoma" w:hAnsi="Tahoma" w:cs="Tahoma"/>
          <w:b/>
          <w:sz w:val="24"/>
          <w:szCs w:val="24"/>
        </w:rPr>
      </w:pPr>
    </w:p>
    <w:p w14:paraId="597B882D" w14:textId="0BC98A1F" w:rsidR="007C2F78" w:rsidRPr="006910AF" w:rsidRDefault="007C2F78" w:rsidP="006910AF">
      <w:pPr>
        <w:spacing w:after="0" w:line="276" w:lineRule="auto"/>
        <w:jc w:val="both"/>
        <w:rPr>
          <w:rFonts w:ascii="Tahoma" w:hAnsi="Tahoma" w:cs="Tahoma"/>
          <w:sz w:val="24"/>
          <w:szCs w:val="24"/>
        </w:rPr>
      </w:pPr>
      <w:r w:rsidRPr="006910AF">
        <w:rPr>
          <w:rFonts w:ascii="Tahoma" w:hAnsi="Tahoma" w:cs="Tahoma"/>
          <w:sz w:val="24"/>
          <w:szCs w:val="24"/>
        </w:rPr>
        <w:t xml:space="preserve">Magistrada: </w:t>
      </w:r>
      <w:r w:rsidR="00BD6CB1" w:rsidRPr="006910AF">
        <w:rPr>
          <w:rFonts w:ascii="Tahoma" w:hAnsi="Tahoma" w:cs="Tahoma"/>
          <w:sz w:val="24"/>
          <w:szCs w:val="24"/>
        </w:rPr>
        <w:t>Adriana Patricia Díaz Ramírez</w:t>
      </w:r>
    </w:p>
    <w:p w14:paraId="261775DC" w14:textId="4A0BDE86" w:rsidR="007C2F78" w:rsidRPr="006910AF" w:rsidRDefault="007C2F78" w:rsidP="006910AF">
      <w:pPr>
        <w:spacing w:after="0" w:line="276" w:lineRule="auto"/>
        <w:jc w:val="both"/>
        <w:rPr>
          <w:rFonts w:ascii="Tahoma" w:hAnsi="Tahoma" w:cs="Tahoma"/>
          <w:sz w:val="24"/>
          <w:szCs w:val="24"/>
        </w:rPr>
      </w:pPr>
      <w:r w:rsidRPr="006910AF">
        <w:rPr>
          <w:rFonts w:ascii="Tahoma" w:hAnsi="Tahoma" w:cs="Tahoma"/>
          <w:sz w:val="24"/>
          <w:szCs w:val="24"/>
        </w:rPr>
        <w:t>Pereira,</w:t>
      </w:r>
      <w:r w:rsidR="00BD6CB1" w:rsidRPr="006910AF">
        <w:rPr>
          <w:rFonts w:ascii="Tahoma" w:hAnsi="Tahoma" w:cs="Tahoma"/>
          <w:sz w:val="24"/>
          <w:szCs w:val="24"/>
        </w:rPr>
        <w:t xml:space="preserve"> </w:t>
      </w:r>
      <w:r w:rsidR="00FB2B86" w:rsidRPr="006910AF">
        <w:rPr>
          <w:rFonts w:ascii="Tahoma" w:hAnsi="Tahoma" w:cs="Tahoma"/>
          <w:sz w:val="24"/>
          <w:szCs w:val="24"/>
        </w:rPr>
        <w:t>once</w:t>
      </w:r>
      <w:r w:rsidR="00981F96" w:rsidRPr="006910AF">
        <w:rPr>
          <w:rFonts w:ascii="Tahoma" w:hAnsi="Tahoma" w:cs="Tahoma"/>
          <w:sz w:val="24"/>
          <w:szCs w:val="24"/>
        </w:rPr>
        <w:t xml:space="preserve"> (1</w:t>
      </w:r>
      <w:r w:rsidR="00FB2B86" w:rsidRPr="006910AF">
        <w:rPr>
          <w:rFonts w:ascii="Tahoma" w:hAnsi="Tahoma" w:cs="Tahoma"/>
          <w:sz w:val="24"/>
          <w:szCs w:val="24"/>
        </w:rPr>
        <w:t>1</w:t>
      </w:r>
      <w:r w:rsidR="00981F96" w:rsidRPr="006910AF">
        <w:rPr>
          <w:rFonts w:ascii="Tahoma" w:hAnsi="Tahoma" w:cs="Tahoma"/>
          <w:sz w:val="24"/>
          <w:szCs w:val="24"/>
        </w:rPr>
        <w:t>)</w:t>
      </w:r>
      <w:r w:rsidR="416939B6" w:rsidRPr="006910AF">
        <w:rPr>
          <w:rFonts w:ascii="Tahoma" w:hAnsi="Tahoma" w:cs="Tahoma"/>
          <w:sz w:val="24"/>
          <w:szCs w:val="24"/>
        </w:rPr>
        <w:t xml:space="preserve"> de </w:t>
      </w:r>
      <w:r w:rsidR="009A5410" w:rsidRPr="006910AF">
        <w:rPr>
          <w:rFonts w:ascii="Tahoma" w:hAnsi="Tahoma" w:cs="Tahoma"/>
          <w:sz w:val="24"/>
          <w:szCs w:val="24"/>
        </w:rPr>
        <w:t xml:space="preserve">marzo </w:t>
      </w:r>
      <w:r w:rsidR="00BD6CB1" w:rsidRPr="006910AF">
        <w:rPr>
          <w:rFonts w:ascii="Tahoma" w:hAnsi="Tahoma" w:cs="Tahoma"/>
          <w:sz w:val="24"/>
          <w:szCs w:val="24"/>
        </w:rPr>
        <w:t>de dos mil veintiuno (2021)</w:t>
      </w:r>
    </w:p>
    <w:p w14:paraId="6102CA3E" w14:textId="3A252052" w:rsidR="00183DB9" w:rsidRPr="006910AF" w:rsidRDefault="00BD6CB1" w:rsidP="006910AF">
      <w:pPr>
        <w:spacing w:after="0" w:line="276" w:lineRule="auto"/>
        <w:jc w:val="both"/>
        <w:rPr>
          <w:rFonts w:ascii="Tahoma" w:hAnsi="Tahoma" w:cs="Tahoma"/>
          <w:sz w:val="24"/>
          <w:szCs w:val="24"/>
        </w:rPr>
      </w:pPr>
      <w:r w:rsidRPr="006910AF">
        <w:rPr>
          <w:rFonts w:ascii="Tahoma" w:hAnsi="Tahoma" w:cs="Tahoma"/>
          <w:sz w:val="24"/>
          <w:szCs w:val="24"/>
        </w:rPr>
        <w:t>Expediente: 66170310300120150013101</w:t>
      </w:r>
    </w:p>
    <w:p w14:paraId="4315A84E" w14:textId="5F5EAD87" w:rsidR="00183DB9" w:rsidRPr="006910AF" w:rsidRDefault="00183DB9" w:rsidP="006910AF">
      <w:pPr>
        <w:spacing w:after="0" w:line="276" w:lineRule="auto"/>
        <w:jc w:val="both"/>
        <w:rPr>
          <w:rFonts w:ascii="Tahoma" w:hAnsi="Tahoma" w:cs="Tahoma"/>
          <w:sz w:val="24"/>
          <w:szCs w:val="24"/>
        </w:rPr>
      </w:pPr>
    </w:p>
    <w:p w14:paraId="2ED62BD5" w14:textId="38292E7A" w:rsidR="00F41512" w:rsidRPr="006910AF" w:rsidRDefault="00F41512" w:rsidP="006910AF">
      <w:pPr>
        <w:spacing w:after="0" w:line="276" w:lineRule="auto"/>
        <w:jc w:val="both"/>
        <w:rPr>
          <w:rFonts w:ascii="Tahoma" w:hAnsi="Tahoma" w:cs="Tahoma"/>
          <w:sz w:val="24"/>
          <w:szCs w:val="24"/>
        </w:rPr>
      </w:pPr>
    </w:p>
    <w:p w14:paraId="67CB08FE" w14:textId="071C4FDC" w:rsidR="00CD397B" w:rsidRPr="006910AF" w:rsidRDefault="00431C90" w:rsidP="006910AF">
      <w:pPr>
        <w:spacing w:after="0" w:line="276" w:lineRule="auto"/>
        <w:jc w:val="both"/>
        <w:rPr>
          <w:rFonts w:ascii="Tahoma" w:hAnsi="Tahoma" w:cs="Tahoma"/>
          <w:sz w:val="24"/>
          <w:szCs w:val="24"/>
        </w:rPr>
      </w:pPr>
      <w:r w:rsidRPr="006910AF">
        <w:rPr>
          <w:rFonts w:ascii="Tahoma" w:hAnsi="Tahoma" w:cs="Tahoma"/>
          <w:sz w:val="24"/>
          <w:szCs w:val="24"/>
        </w:rPr>
        <w:t>Como quiera que la parte interesada no prestó dentro de la oportunidad concedida para</w:t>
      </w:r>
      <w:r w:rsidR="00B6386E" w:rsidRPr="006910AF">
        <w:rPr>
          <w:rFonts w:ascii="Tahoma" w:hAnsi="Tahoma" w:cs="Tahoma"/>
          <w:sz w:val="24"/>
          <w:szCs w:val="24"/>
        </w:rPr>
        <w:t xml:space="preserve"> ello, la caución ordenada, con el fin de suspender la ejecución de los mandatos contenidos en la sentencia objeto de recurso de casación, se viene a menos la intención que en tal aspecto se promocionó, </w:t>
      </w:r>
      <w:r w:rsidR="00B6386E" w:rsidRPr="006910AF">
        <w:rPr>
          <w:rFonts w:ascii="Tahoma" w:hAnsi="Tahoma" w:cs="Tahoma"/>
          <w:b/>
          <w:sz w:val="24"/>
          <w:szCs w:val="24"/>
        </w:rPr>
        <w:t>quedando habilitada</w:t>
      </w:r>
      <w:r w:rsidR="00CD397B" w:rsidRPr="006910AF">
        <w:rPr>
          <w:rFonts w:ascii="Tahoma" w:hAnsi="Tahoma" w:cs="Tahoma"/>
          <w:b/>
          <w:sz w:val="24"/>
          <w:szCs w:val="24"/>
        </w:rPr>
        <w:t>, entonces,</w:t>
      </w:r>
      <w:r w:rsidR="00B6386E" w:rsidRPr="006910AF">
        <w:rPr>
          <w:rFonts w:ascii="Tahoma" w:hAnsi="Tahoma" w:cs="Tahoma"/>
          <w:b/>
          <w:sz w:val="24"/>
          <w:szCs w:val="24"/>
        </w:rPr>
        <w:t xml:space="preserve"> la continuación del trámite procesal que corresp</w:t>
      </w:r>
      <w:r w:rsidR="00CD397B" w:rsidRPr="006910AF">
        <w:rPr>
          <w:rFonts w:ascii="Tahoma" w:hAnsi="Tahoma" w:cs="Tahoma"/>
          <w:b/>
          <w:sz w:val="24"/>
          <w:szCs w:val="24"/>
        </w:rPr>
        <w:t>onde en tal sentido</w:t>
      </w:r>
      <w:r w:rsidR="00B6386E" w:rsidRPr="006910AF">
        <w:rPr>
          <w:rFonts w:ascii="Tahoma" w:hAnsi="Tahoma" w:cs="Tahoma"/>
          <w:b/>
          <w:sz w:val="24"/>
          <w:szCs w:val="24"/>
        </w:rPr>
        <w:t xml:space="preserve">; </w:t>
      </w:r>
      <w:r w:rsidR="00B6386E" w:rsidRPr="006910AF">
        <w:rPr>
          <w:rFonts w:ascii="Tahoma" w:hAnsi="Tahoma" w:cs="Tahoma"/>
          <w:sz w:val="24"/>
          <w:szCs w:val="24"/>
        </w:rPr>
        <w:t>ello, totalmente al margen</w:t>
      </w:r>
      <w:r w:rsidR="00CD397B" w:rsidRPr="006910AF">
        <w:rPr>
          <w:rFonts w:ascii="Tahoma" w:hAnsi="Tahoma" w:cs="Tahoma"/>
          <w:sz w:val="24"/>
          <w:szCs w:val="24"/>
        </w:rPr>
        <w:t>, valga aclararlo,</w:t>
      </w:r>
      <w:r w:rsidR="00B6386E" w:rsidRPr="006910AF">
        <w:rPr>
          <w:rFonts w:ascii="Tahoma" w:hAnsi="Tahoma" w:cs="Tahoma"/>
          <w:sz w:val="24"/>
          <w:szCs w:val="24"/>
        </w:rPr>
        <w:t xml:space="preserve"> de la solicitud que se eleva para la concesión de amparo d</w:t>
      </w:r>
      <w:r w:rsidR="00E13ACF" w:rsidRPr="006910AF">
        <w:rPr>
          <w:rFonts w:ascii="Tahoma" w:hAnsi="Tahoma" w:cs="Tahoma"/>
          <w:sz w:val="24"/>
          <w:szCs w:val="24"/>
        </w:rPr>
        <w:t xml:space="preserve">e pobreza, habida cuenta, por demás que ante </w:t>
      </w:r>
      <w:r w:rsidR="00CD397B" w:rsidRPr="006910AF">
        <w:rPr>
          <w:rFonts w:ascii="Tahoma" w:hAnsi="Tahoma" w:cs="Tahoma"/>
          <w:sz w:val="24"/>
          <w:szCs w:val="24"/>
        </w:rPr>
        <w:t xml:space="preserve">una </w:t>
      </w:r>
      <w:r w:rsidR="00B6386E" w:rsidRPr="006910AF">
        <w:rPr>
          <w:rFonts w:ascii="Tahoma" w:hAnsi="Tahoma" w:cs="Tahoma"/>
          <w:sz w:val="24"/>
          <w:szCs w:val="24"/>
        </w:rPr>
        <w:t xml:space="preserve">eventual decisión favorable en tal sentido, no tiene un efecto retroactivo y surtirá fuerza jurídica </w:t>
      </w:r>
      <w:r w:rsidR="00CD397B" w:rsidRPr="006910AF">
        <w:rPr>
          <w:rFonts w:ascii="Tahoma" w:hAnsi="Tahoma" w:cs="Tahoma"/>
          <w:sz w:val="24"/>
          <w:szCs w:val="24"/>
        </w:rPr>
        <w:t>con los efectos que sean de rigor respecto de los asuntos posteriores a su</w:t>
      </w:r>
      <w:r w:rsidR="00467250" w:rsidRPr="006910AF">
        <w:rPr>
          <w:rFonts w:ascii="Tahoma" w:hAnsi="Tahoma" w:cs="Tahoma"/>
          <w:sz w:val="24"/>
          <w:szCs w:val="24"/>
        </w:rPr>
        <w:t xml:space="preserve"> presentación acorde </w:t>
      </w:r>
      <w:r w:rsidR="00467250" w:rsidRPr="006910AF">
        <w:rPr>
          <w:rFonts w:ascii="Tahoma" w:hAnsi="Tahoma" w:cs="Tahoma"/>
          <w:sz w:val="24"/>
          <w:szCs w:val="24"/>
        </w:rPr>
        <w:lastRenderedPageBreak/>
        <w:t>con lo señalado en el inciso</w:t>
      </w:r>
      <w:r w:rsidR="00E13ACF" w:rsidRPr="006910AF">
        <w:rPr>
          <w:rFonts w:ascii="Tahoma" w:hAnsi="Tahoma" w:cs="Tahoma"/>
          <w:sz w:val="24"/>
          <w:szCs w:val="24"/>
        </w:rPr>
        <w:t xml:space="preserve"> final del artículo 154 del CGP, sin perjuicio claro está, de la resolución que este sentido se adoptará en este mismo proveído.</w:t>
      </w:r>
    </w:p>
    <w:p w14:paraId="06700543" w14:textId="45691855" w:rsidR="004C6DE3" w:rsidRPr="006910AF" w:rsidRDefault="004C6DE3" w:rsidP="006910AF">
      <w:pPr>
        <w:spacing w:after="0" w:line="276" w:lineRule="auto"/>
        <w:jc w:val="both"/>
        <w:rPr>
          <w:rFonts w:ascii="Tahoma" w:hAnsi="Tahoma" w:cs="Tahoma"/>
          <w:sz w:val="24"/>
          <w:szCs w:val="24"/>
        </w:rPr>
      </w:pPr>
    </w:p>
    <w:p w14:paraId="3C728BD9" w14:textId="2A6C4371" w:rsidR="004C6DE3" w:rsidRPr="006910AF" w:rsidRDefault="004C6DE3" w:rsidP="006910AF">
      <w:pPr>
        <w:spacing w:after="0" w:line="276" w:lineRule="auto"/>
        <w:jc w:val="both"/>
        <w:rPr>
          <w:rFonts w:ascii="Tahoma" w:hAnsi="Tahoma" w:cs="Tahoma"/>
          <w:sz w:val="24"/>
          <w:szCs w:val="24"/>
        </w:rPr>
      </w:pPr>
      <w:r w:rsidRPr="006910AF">
        <w:rPr>
          <w:rFonts w:ascii="Tahoma" w:hAnsi="Tahoma" w:cs="Tahoma"/>
          <w:sz w:val="24"/>
          <w:szCs w:val="24"/>
        </w:rPr>
        <w:t xml:space="preserve">Fenecido de igual manera el término al que se ha hecho alusión, </w:t>
      </w:r>
      <w:r w:rsidRPr="006910AF">
        <w:rPr>
          <w:rFonts w:ascii="Tahoma" w:hAnsi="Tahoma" w:cs="Tahoma"/>
          <w:b/>
          <w:sz w:val="24"/>
          <w:szCs w:val="24"/>
        </w:rPr>
        <w:t xml:space="preserve">se dispone </w:t>
      </w:r>
      <w:r w:rsidR="006910AF" w:rsidRPr="006910AF">
        <w:rPr>
          <w:rFonts w:ascii="Tahoma" w:hAnsi="Tahoma" w:cs="Tahoma"/>
          <w:b/>
          <w:sz w:val="24"/>
          <w:szCs w:val="24"/>
        </w:rPr>
        <w:t>que,</w:t>
      </w:r>
      <w:r w:rsidRPr="006910AF">
        <w:rPr>
          <w:rFonts w:ascii="Tahoma" w:hAnsi="Tahoma" w:cs="Tahoma"/>
          <w:b/>
          <w:sz w:val="24"/>
          <w:szCs w:val="24"/>
        </w:rPr>
        <w:t xml:space="preserve"> por secretaría, en firme este proveído, se efectué el envío del expediente digital ante la Sala de Casación Civil de la Corte Suprema de Justicia</w:t>
      </w:r>
      <w:r w:rsidRPr="006910AF">
        <w:rPr>
          <w:rFonts w:ascii="Tahoma" w:hAnsi="Tahoma" w:cs="Tahoma"/>
          <w:sz w:val="24"/>
          <w:szCs w:val="24"/>
        </w:rPr>
        <w:t>, atendiendo las nuevas condiciones que nos rige sobre el particular.</w:t>
      </w:r>
    </w:p>
    <w:p w14:paraId="6BD744AD" w14:textId="77777777" w:rsidR="004C6DE3" w:rsidRPr="006910AF" w:rsidRDefault="004C6DE3" w:rsidP="006910AF">
      <w:pPr>
        <w:spacing w:after="0" w:line="276" w:lineRule="auto"/>
        <w:jc w:val="both"/>
        <w:rPr>
          <w:rFonts w:ascii="Tahoma" w:hAnsi="Tahoma" w:cs="Tahoma"/>
          <w:sz w:val="24"/>
          <w:szCs w:val="24"/>
        </w:rPr>
      </w:pPr>
    </w:p>
    <w:p w14:paraId="06C3B203" w14:textId="1890264F" w:rsidR="00B36014" w:rsidRPr="006910AF" w:rsidRDefault="004C6DE3" w:rsidP="006910AF">
      <w:pPr>
        <w:spacing w:after="0" w:line="276" w:lineRule="auto"/>
        <w:jc w:val="both"/>
        <w:rPr>
          <w:rFonts w:ascii="Tahoma" w:hAnsi="Tahoma" w:cs="Tahoma"/>
          <w:sz w:val="24"/>
          <w:szCs w:val="24"/>
        </w:rPr>
      </w:pPr>
      <w:r w:rsidRPr="006910AF">
        <w:rPr>
          <w:rFonts w:ascii="Tahoma" w:hAnsi="Tahoma" w:cs="Tahoma"/>
          <w:sz w:val="24"/>
          <w:szCs w:val="24"/>
        </w:rPr>
        <w:t xml:space="preserve">Se reconoce por tanto el mandato ejecutable de la sentencia objeto de impugnación y se dispone como se advierte, el cumplimiento de la orden allí extendida, para lo cual </w:t>
      </w:r>
      <w:r w:rsidRPr="006910AF">
        <w:rPr>
          <w:rFonts w:ascii="Tahoma" w:hAnsi="Tahoma" w:cs="Tahoma"/>
          <w:b/>
          <w:sz w:val="24"/>
          <w:szCs w:val="24"/>
        </w:rPr>
        <w:t>se ordena la remisión de copia del link del expediente al juzgado de origen para lo de su encargo</w:t>
      </w:r>
      <w:r w:rsidRPr="006910AF">
        <w:rPr>
          <w:rFonts w:ascii="Tahoma" w:hAnsi="Tahoma" w:cs="Tahoma"/>
          <w:sz w:val="24"/>
          <w:szCs w:val="24"/>
        </w:rPr>
        <w:t>.</w:t>
      </w:r>
    </w:p>
    <w:p w14:paraId="6D1A5FD1" w14:textId="27DABAD4" w:rsidR="00393CD3" w:rsidRPr="006910AF" w:rsidRDefault="00393CD3" w:rsidP="006910AF">
      <w:pPr>
        <w:spacing w:after="0" w:line="276" w:lineRule="auto"/>
        <w:jc w:val="both"/>
        <w:rPr>
          <w:rFonts w:ascii="Tahoma" w:hAnsi="Tahoma" w:cs="Tahoma"/>
          <w:sz w:val="24"/>
          <w:szCs w:val="24"/>
        </w:rPr>
      </w:pPr>
    </w:p>
    <w:p w14:paraId="3DA098D7" w14:textId="46441F9E" w:rsidR="002125B9" w:rsidRPr="006910AF" w:rsidRDefault="00393CD3" w:rsidP="006910AF">
      <w:pPr>
        <w:spacing w:after="0" w:line="276" w:lineRule="auto"/>
        <w:jc w:val="both"/>
        <w:rPr>
          <w:rFonts w:ascii="Tahoma" w:hAnsi="Tahoma" w:cs="Tahoma"/>
          <w:b/>
          <w:bCs/>
          <w:sz w:val="24"/>
          <w:szCs w:val="24"/>
        </w:rPr>
      </w:pPr>
      <w:bookmarkStart w:id="1" w:name="_Hlk69718155"/>
      <w:r w:rsidRPr="006910AF">
        <w:rPr>
          <w:rFonts w:ascii="Tahoma" w:hAnsi="Tahoma" w:cs="Tahoma"/>
          <w:sz w:val="24"/>
          <w:szCs w:val="24"/>
        </w:rPr>
        <w:t>Ahora</w:t>
      </w:r>
      <w:r w:rsidR="00467250" w:rsidRPr="006910AF">
        <w:rPr>
          <w:rFonts w:ascii="Tahoma" w:hAnsi="Tahoma" w:cs="Tahoma"/>
          <w:sz w:val="24"/>
          <w:szCs w:val="24"/>
        </w:rPr>
        <w:t xml:space="preserve"> bien</w:t>
      </w:r>
      <w:r w:rsidRPr="006910AF">
        <w:rPr>
          <w:rFonts w:ascii="Tahoma" w:hAnsi="Tahoma" w:cs="Tahoma"/>
          <w:sz w:val="24"/>
          <w:szCs w:val="24"/>
        </w:rPr>
        <w:t xml:space="preserve">, </w:t>
      </w:r>
      <w:r w:rsidR="002125B9" w:rsidRPr="006910AF">
        <w:rPr>
          <w:rFonts w:ascii="Tahoma" w:hAnsi="Tahoma" w:cs="Tahoma"/>
          <w:sz w:val="24"/>
          <w:szCs w:val="24"/>
        </w:rPr>
        <w:t xml:space="preserve">en torno a </w:t>
      </w:r>
      <w:r w:rsidR="002125B9" w:rsidRPr="006910AF">
        <w:rPr>
          <w:rFonts w:ascii="Tahoma" w:hAnsi="Tahoma" w:cs="Tahoma"/>
          <w:b/>
          <w:bCs/>
          <w:sz w:val="24"/>
          <w:szCs w:val="24"/>
        </w:rPr>
        <w:t>la solicitud de amparo de pobreza</w:t>
      </w:r>
      <w:r w:rsidR="002125B9" w:rsidRPr="006910AF">
        <w:rPr>
          <w:rFonts w:ascii="Tahoma" w:hAnsi="Tahoma" w:cs="Tahoma"/>
          <w:sz w:val="24"/>
          <w:szCs w:val="24"/>
        </w:rPr>
        <w:t xml:space="preserve"> </w:t>
      </w:r>
      <w:r w:rsidR="00467250" w:rsidRPr="006910AF">
        <w:rPr>
          <w:rFonts w:ascii="Tahoma" w:hAnsi="Tahoma" w:cs="Tahoma"/>
          <w:sz w:val="24"/>
          <w:szCs w:val="24"/>
        </w:rPr>
        <w:t>elevada por el representante legal de la empresa COLOMBIANA DE MINERALES Y CARBONES COMERCIALIZADORA INTERNACIONAL SAS</w:t>
      </w:r>
      <w:r w:rsidR="002125B9" w:rsidRPr="006910AF">
        <w:rPr>
          <w:rFonts w:ascii="Tahoma" w:hAnsi="Tahoma" w:cs="Tahoma"/>
          <w:sz w:val="24"/>
          <w:szCs w:val="24"/>
        </w:rPr>
        <w:t xml:space="preserve">, halla la Sala de entrada que, conforme a los lineamientos jurisprudenciales que sobre el particular se han extendido, y si bien no se reprocha el uso del tal figura en tratándose de personas jurídicas, dada la redacción del artículo 151 del CGP que pudiera entenderse solo destinado a personas naturales, lo cierto es que el asunto, respecto de personas </w:t>
      </w:r>
      <w:r w:rsidR="001351DF" w:rsidRPr="006910AF">
        <w:rPr>
          <w:rFonts w:ascii="Tahoma" w:hAnsi="Tahoma" w:cs="Tahoma"/>
          <w:sz w:val="24"/>
          <w:szCs w:val="24"/>
        </w:rPr>
        <w:t>jurídicas</w:t>
      </w:r>
      <w:r w:rsidR="3145D7BB" w:rsidRPr="006910AF">
        <w:rPr>
          <w:rFonts w:ascii="Tahoma" w:hAnsi="Tahoma" w:cs="Tahoma"/>
          <w:sz w:val="24"/>
          <w:szCs w:val="24"/>
        </w:rPr>
        <w:t xml:space="preserve"> </w:t>
      </w:r>
      <w:r w:rsidR="002125B9" w:rsidRPr="006910AF">
        <w:rPr>
          <w:rFonts w:ascii="Tahoma" w:hAnsi="Tahoma" w:cs="Tahoma"/>
          <w:sz w:val="24"/>
          <w:szCs w:val="24"/>
        </w:rPr>
        <w:t>sí encuentra una especie de exigencias adicionales en torno a la demostración de su estado económico, lo que acá, brilla por su ausencia, y para decirlo de una vez</w:t>
      </w:r>
      <w:r w:rsidR="004D1775" w:rsidRPr="006910AF">
        <w:rPr>
          <w:rFonts w:ascii="Tahoma" w:hAnsi="Tahoma" w:cs="Tahoma"/>
          <w:sz w:val="24"/>
          <w:szCs w:val="24"/>
        </w:rPr>
        <w:t xml:space="preserve"> en forma concluyente,</w:t>
      </w:r>
      <w:r w:rsidR="002125B9" w:rsidRPr="006910AF">
        <w:rPr>
          <w:rFonts w:ascii="Tahoma" w:hAnsi="Tahoma" w:cs="Tahoma"/>
          <w:sz w:val="24"/>
          <w:szCs w:val="24"/>
        </w:rPr>
        <w:t xml:space="preserve"> </w:t>
      </w:r>
      <w:r w:rsidR="002125B9" w:rsidRPr="006910AF">
        <w:rPr>
          <w:rFonts w:ascii="Tahoma" w:hAnsi="Tahoma" w:cs="Tahoma"/>
          <w:b/>
          <w:bCs/>
          <w:sz w:val="24"/>
          <w:szCs w:val="24"/>
        </w:rPr>
        <w:t>la petición está llamada al fracaso</w:t>
      </w:r>
      <w:r w:rsidR="004D1775" w:rsidRPr="006910AF">
        <w:rPr>
          <w:rFonts w:ascii="Tahoma" w:hAnsi="Tahoma" w:cs="Tahoma"/>
          <w:b/>
          <w:bCs/>
          <w:sz w:val="24"/>
          <w:szCs w:val="24"/>
        </w:rPr>
        <w:t>, como se declara</w:t>
      </w:r>
      <w:r w:rsidR="002125B9" w:rsidRPr="006910AF">
        <w:rPr>
          <w:rFonts w:ascii="Tahoma" w:hAnsi="Tahoma" w:cs="Tahoma"/>
          <w:b/>
          <w:bCs/>
          <w:sz w:val="24"/>
          <w:szCs w:val="24"/>
        </w:rPr>
        <w:t>.</w:t>
      </w:r>
    </w:p>
    <w:bookmarkEnd w:id="1"/>
    <w:p w14:paraId="046311BD" w14:textId="3C060E3A" w:rsidR="002125B9" w:rsidRPr="006910AF" w:rsidRDefault="002125B9" w:rsidP="006910AF">
      <w:pPr>
        <w:spacing w:after="0" w:line="276" w:lineRule="auto"/>
        <w:jc w:val="both"/>
        <w:rPr>
          <w:rFonts w:ascii="Tahoma" w:hAnsi="Tahoma" w:cs="Tahoma"/>
          <w:sz w:val="24"/>
          <w:szCs w:val="24"/>
        </w:rPr>
      </w:pPr>
    </w:p>
    <w:p w14:paraId="046E7439" w14:textId="3491F539" w:rsidR="002125B9" w:rsidRPr="006910AF" w:rsidRDefault="002125B9" w:rsidP="006910AF">
      <w:pPr>
        <w:spacing w:after="0" w:line="276" w:lineRule="auto"/>
        <w:jc w:val="both"/>
        <w:rPr>
          <w:rFonts w:ascii="Tahoma" w:hAnsi="Tahoma" w:cs="Tahoma"/>
          <w:sz w:val="24"/>
          <w:szCs w:val="24"/>
        </w:rPr>
      </w:pPr>
      <w:r w:rsidRPr="006910AF">
        <w:rPr>
          <w:rFonts w:ascii="Tahoma" w:hAnsi="Tahoma" w:cs="Tahoma"/>
          <w:sz w:val="24"/>
          <w:szCs w:val="24"/>
        </w:rPr>
        <w:t>Así se afirma, sin lugar a dubitación de clase alguna, como quiera que la misma Corte Constitucional en Sentencia C-668</w:t>
      </w:r>
      <w:r w:rsidR="00294EB0" w:rsidRPr="006910AF">
        <w:rPr>
          <w:rFonts w:ascii="Tahoma" w:hAnsi="Tahoma" w:cs="Tahoma"/>
          <w:sz w:val="24"/>
          <w:szCs w:val="24"/>
        </w:rPr>
        <w:t xml:space="preserve"> de 2016 trajo a colación pronunciamiento de la Sala de Casación Civil de la Corte Suprema de Justicia que sobre particular precisa:</w:t>
      </w:r>
    </w:p>
    <w:p w14:paraId="540FBB1A" w14:textId="7A89BB05" w:rsidR="00294EB0" w:rsidRPr="006910AF" w:rsidRDefault="00294EB0" w:rsidP="006910AF">
      <w:pPr>
        <w:spacing w:after="0" w:line="276" w:lineRule="auto"/>
        <w:jc w:val="both"/>
        <w:rPr>
          <w:rFonts w:ascii="Tahoma" w:hAnsi="Tahoma" w:cs="Tahoma"/>
          <w:sz w:val="24"/>
          <w:szCs w:val="24"/>
        </w:rPr>
      </w:pPr>
    </w:p>
    <w:p w14:paraId="61D39A9A" w14:textId="77777777" w:rsidR="00294EB0" w:rsidRPr="006910AF" w:rsidRDefault="00294EB0" w:rsidP="006910AF">
      <w:pPr>
        <w:pStyle w:val="NormalWeb"/>
        <w:spacing w:before="0" w:beforeAutospacing="0" w:after="0" w:afterAutospacing="0" w:line="276" w:lineRule="auto"/>
        <w:jc w:val="both"/>
        <w:rPr>
          <w:rFonts w:ascii="Tahoma" w:hAnsi="Tahoma" w:cs="Tahoma"/>
          <w:b/>
          <w:i/>
        </w:rPr>
      </w:pPr>
      <w:r w:rsidRPr="006910AF">
        <w:rPr>
          <w:rFonts w:ascii="Tahoma" w:hAnsi="Tahoma" w:cs="Tahoma"/>
          <w:i/>
        </w:rPr>
        <w:t xml:space="preserve">Adicionalmente, la Corte Suprema de Justicia ha considerado que el amparo de pobreza </w:t>
      </w:r>
      <w:r w:rsidRPr="006910AF">
        <w:rPr>
          <w:rFonts w:ascii="Tahoma" w:hAnsi="Tahoma" w:cs="Tahoma"/>
          <w:b/>
          <w:i/>
        </w:rPr>
        <w:t>puede ser reconocido, de forma excepcional, a favor de las personas jurídicas:</w:t>
      </w:r>
    </w:p>
    <w:p w14:paraId="0DDEED80" w14:textId="77777777" w:rsidR="00294EB0" w:rsidRPr="006910AF" w:rsidRDefault="00294EB0" w:rsidP="006910AF">
      <w:pPr>
        <w:pStyle w:val="NormalWeb"/>
        <w:spacing w:before="0" w:beforeAutospacing="0" w:after="0" w:afterAutospacing="0" w:line="276" w:lineRule="auto"/>
        <w:jc w:val="both"/>
        <w:rPr>
          <w:rFonts w:ascii="Tahoma" w:hAnsi="Tahoma" w:cs="Tahoma"/>
          <w:i/>
        </w:rPr>
      </w:pPr>
    </w:p>
    <w:p w14:paraId="3C49FC06" w14:textId="78990027" w:rsidR="00294EB0" w:rsidRPr="006910AF" w:rsidRDefault="00294EB0" w:rsidP="006910AF">
      <w:pPr>
        <w:pStyle w:val="NormalWeb"/>
        <w:spacing w:before="0" w:beforeAutospacing="0" w:after="0" w:afterAutospacing="0"/>
        <w:ind w:left="426" w:right="420"/>
        <w:jc w:val="both"/>
        <w:rPr>
          <w:rFonts w:ascii="Tahoma" w:hAnsi="Tahoma" w:cs="Tahoma"/>
          <w:b/>
          <w:i/>
          <w:sz w:val="22"/>
        </w:rPr>
      </w:pPr>
      <w:r w:rsidRPr="006910AF">
        <w:rPr>
          <w:rFonts w:ascii="Tahoma" w:hAnsi="Tahoma" w:cs="Tahoma"/>
          <w:i/>
          <w:sz w:val="22"/>
        </w:rPr>
        <w:t xml:space="preserve">“resulta admisible interpretar en sentido amplio dicha disposición a fin de extender su alcance a las personas jurídicas, </w:t>
      </w:r>
      <w:r w:rsidRPr="006910AF">
        <w:rPr>
          <w:rFonts w:ascii="Tahoma" w:hAnsi="Tahoma" w:cs="Tahoma"/>
          <w:b/>
          <w:i/>
          <w:sz w:val="22"/>
        </w:rPr>
        <w:t>siempre y cuando se encuentren en una crítica situación financiera</w:t>
      </w:r>
      <w:r w:rsidRPr="006910AF">
        <w:rPr>
          <w:rFonts w:ascii="Tahoma" w:hAnsi="Tahoma" w:cs="Tahoma"/>
          <w:i/>
          <w:sz w:val="22"/>
        </w:rPr>
        <w:t xml:space="preserve"> tal que, por padecerla, </w:t>
      </w:r>
      <w:r w:rsidRPr="006910AF">
        <w:rPr>
          <w:rFonts w:ascii="Tahoma" w:hAnsi="Tahoma" w:cs="Tahoma"/>
          <w:b/>
          <w:i/>
          <w:sz w:val="22"/>
        </w:rPr>
        <w:t>verdaderamente no se hallan en condiciones de atender los gastos de un proceso</w:t>
      </w:r>
      <w:r w:rsidRPr="006910AF">
        <w:rPr>
          <w:rFonts w:ascii="Tahoma" w:hAnsi="Tahoma" w:cs="Tahoma"/>
          <w:i/>
          <w:sz w:val="22"/>
        </w:rPr>
        <w:t xml:space="preserve">, sin dejar en vilo su supervivencia o </w:t>
      </w:r>
      <w:r w:rsidRPr="006910AF">
        <w:rPr>
          <w:rFonts w:ascii="Tahoma" w:hAnsi="Tahoma" w:cs="Tahoma"/>
          <w:b/>
          <w:i/>
          <w:sz w:val="22"/>
        </w:rPr>
        <w:t>sin precipitar su definitiva extinción en forma estruendosa desde el punto de vista económico</w:t>
      </w:r>
      <w:r w:rsidRPr="006910AF">
        <w:rPr>
          <w:rFonts w:ascii="Tahoma" w:hAnsi="Tahoma" w:cs="Tahoma"/>
          <w:i/>
          <w:sz w:val="22"/>
        </w:rPr>
        <w:t>”</w:t>
      </w:r>
      <w:r w:rsidR="006910AF">
        <w:rPr>
          <w:rFonts w:ascii="Tahoma" w:hAnsi="Tahoma" w:cs="Tahoma"/>
          <w:i/>
          <w:sz w:val="22"/>
        </w:rPr>
        <w:t xml:space="preserve"> </w:t>
      </w:r>
      <w:r w:rsidRPr="006910AF">
        <w:rPr>
          <w:rFonts w:ascii="Tahoma" w:hAnsi="Tahoma" w:cs="Tahoma"/>
          <w:i/>
          <w:sz w:val="22"/>
          <w:vertAlign w:val="superscript"/>
        </w:rPr>
        <w:footnoteReference w:id="1"/>
      </w:r>
      <w:r w:rsidR="004D1775" w:rsidRPr="006910AF">
        <w:rPr>
          <w:rFonts w:ascii="Tahoma" w:hAnsi="Tahoma" w:cs="Tahoma"/>
          <w:i/>
          <w:sz w:val="22"/>
        </w:rPr>
        <w:t xml:space="preserve"> </w:t>
      </w:r>
      <w:r w:rsidR="004D1775" w:rsidRPr="006910AF">
        <w:rPr>
          <w:rFonts w:ascii="Tahoma" w:hAnsi="Tahoma" w:cs="Tahoma"/>
          <w:i/>
          <w:sz w:val="22"/>
          <w:u w:val="single"/>
        </w:rPr>
        <w:t>–</w:t>
      </w:r>
      <w:r w:rsidR="004D1775" w:rsidRPr="006910AF">
        <w:rPr>
          <w:rFonts w:ascii="Tahoma" w:hAnsi="Tahoma" w:cs="Tahoma"/>
          <w:b/>
          <w:i/>
          <w:sz w:val="22"/>
          <w:u w:val="single"/>
        </w:rPr>
        <w:t>resaltado propio-</w:t>
      </w:r>
    </w:p>
    <w:p w14:paraId="10D8A236" w14:textId="77777777" w:rsidR="00294EB0" w:rsidRPr="006910AF" w:rsidRDefault="00294EB0" w:rsidP="006910AF">
      <w:pPr>
        <w:pStyle w:val="NormalWeb"/>
        <w:spacing w:before="0" w:beforeAutospacing="0" w:after="0" w:afterAutospacing="0" w:line="276" w:lineRule="auto"/>
        <w:jc w:val="both"/>
        <w:rPr>
          <w:rFonts w:ascii="Tahoma" w:hAnsi="Tahoma" w:cs="Tahoma"/>
          <w:i/>
        </w:rPr>
      </w:pPr>
    </w:p>
    <w:p w14:paraId="01A58832" w14:textId="1EE46D2B" w:rsidR="00294EB0" w:rsidRDefault="00294EB0" w:rsidP="006910AF">
      <w:pPr>
        <w:spacing w:after="0" w:line="276" w:lineRule="auto"/>
        <w:jc w:val="both"/>
        <w:rPr>
          <w:rFonts w:ascii="Tahoma" w:hAnsi="Tahoma" w:cs="Tahoma"/>
          <w:sz w:val="24"/>
          <w:szCs w:val="24"/>
          <w:lang w:val="es-ES"/>
        </w:rPr>
      </w:pPr>
      <w:r w:rsidRPr="006910AF">
        <w:rPr>
          <w:rFonts w:ascii="Tahoma" w:hAnsi="Tahoma" w:cs="Tahoma"/>
          <w:sz w:val="24"/>
          <w:szCs w:val="24"/>
          <w:lang w:val="es-ES"/>
        </w:rPr>
        <w:t>A su vez, el Consejo de Estado ha razonado:</w:t>
      </w:r>
    </w:p>
    <w:p w14:paraId="3C3CD1BB" w14:textId="77777777" w:rsidR="006910AF" w:rsidRPr="006910AF" w:rsidRDefault="006910AF" w:rsidP="006910AF">
      <w:pPr>
        <w:spacing w:after="0" w:line="276" w:lineRule="auto"/>
        <w:jc w:val="both"/>
        <w:rPr>
          <w:rFonts w:ascii="Tahoma" w:hAnsi="Tahoma" w:cs="Tahoma"/>
          <w:sz w:val="24"/>
          <w:szCs w:val="24"/>
          <w:lang w:val="es-ES"/>
        </w:rPr>
      </w:pPr>
    </w:p>
    <w:p w14:paraId="1DC72314" w14:textId="2EA7C2C4" w:rsidR="004D1775" w:rsidRPr="006910AF" w:rsidRDefault="004D1775" w:rsidP="006910AF">
      <w:pPr>
        <w:pStyle w:val="NormalWeb"/>
        <w:spacing w:before="0" w:beforeAutospacing="0" w:after="0" w:afterAutospacing="0"/>
        <w:ind w:left="426" w:right="420"/>
        <w:jc w:val="both"/>
        <w:rPr>
          <w:rFonts w:ascii="Tahoma" w:hAnsi="Tahoma" w:cs="Tahoma"/>
          <w:i/>
          <w:iCs/>
          <w:sz w:val="22"/>
        </w:rPr>
      </w:pPr>
      <w:r w:rsidRPr="006910AF">
        <w:rPr>
          <w:rFonts w:ascii="Tahoma" w:hAnsi="Tahoma" w:cs="Tahoma"/>
          <w:i/>
          <w:iCs/>
          <w:sz w:val="22"/>
        </w:rPr>
        <w:t xml:space="preserve">Para la Sala, las personas jurídicas pueden presentar de manera similar que las personas naturales, situaciones económicas que les impidan atender los gastos del proceso, </w:t>
      </w:r>
      <w:r w:rsidR="00315424" w:rsidRPr="006910AF">
        <w:rPr>
          <w:rFonts w:ascii="Tahoma" w:hAnsi="Tahoma" w:cs="Tahoma"/>
          <w:i/>
          <w:iCs/>
          <w:sz w:val="22"/>
        </w:rPr>
        <w:t xml:space="preserve">lo cual les obstaculizaría el acceso a la justicia, en defensa de sus intereses e inclusive contribuiría a su total resquebrajamiento económico, afectando de paso, a </w:t>
      </w:r>
      <w:r w:rsidR="3922765F" w:rsidRPr="006910AF">
        <w:rPr>
          <w:rFonts w:ascii="Tahoma" w:hAnsi="Tahoma" w:cs="Tahoma"/>
          <w:i/>
          <w:iCs/>
          <w:sz w:val="22"/>
        </w:rPr>
        <w:t>las personas naturales</w:t>
      </w:r>
      <w:r w:rsidR="00315424" w:rsidRPr="006910AF">
        <w:rPr>
          <w:rFonts w:ascii="Tahoma" w:hAnsi="Tahoma" w:cs="Tahoma"/>
          <w:i/>
          <w:iCs/>
          <w:sz w:val="22"/>
        </w:rPr>
        <w:t xml:space="preserve"> que la conforman. </w:t>
      </w:r>
      <w:r w:rsidR="00FA6CAE" w:rsidRPr="006910AF">
        <w:rPr>
          <w:rFonts w:ascii="Tahoma" w:hAnsi="Tahoma" w:cs="Tahoma"/>
          <w:i/>
          <w:iCs/>
          <w:sz w:val="22"/>
        </w:rPr>
        <w:t xml:space="preserve">En todo caso, la posibilidad de que las personas jurídicas accedan al amparo de pobreza es excepcional, debiéndose valorar </w:t>
      </w:r>
      <w:r w:rsidR="00FA6CAE" w:rsidRPr="006910AF">
        <w:rPr>
          <w:rFonts w:ascii="Tahoma" w:hAnsi="Tahoma" w:cs="Tahoma"/>
          <w:i/>
          <w:iCs/>
          <w:sz w:val="22"/>
        </w:rPr>
        <w:lastRenderedPageBreak/>
        <w:t xml:space="preserve">en la situación su verdadera situación financiera conforme a los medios probatorios allegados para tal fin. </w:t>
      </w:r>
    </w:p>
    <w:p w14:paraId="40E2423C" w14:textId="4313C75F" w:rsidR="00FA6CAE" w:rsidRPr="006910AF" w:rsidRDefault="00FA6CAE" w:rsidP="006910AF">
      <w:pPr>
        <w:pStyle w:val="NormalWeb"/>
        <w:spacing w:before="0" w:beforeAutospacing="0" w:after="0" w:afterAutospacing="0"/>
        <w:ind w:left="426" w:right="420"/>
        <w:jc w:val="both"/>
        <w:rPr>
          <w:rFonts w:ascii="Tahoma" w:hAnsi="Tahoma" w:cs="Tahoma"/>
          <w:i/>
          <w:sz w:val="22"/>
        </w:rPr>
      </w:pPr>
    </w:p>
    <w:p w14:paraId="68D45D9A" w14:textId="0B790278" w:rsidR="00FA6CAE" w:rsidRPr="006910AF" w:rsidRDefault="00FA6CAE" w:rsidP="006910AF">
      <w:pPr>
        <w:pStyle w:val="NormalWeb"/>
        <w:spacing w:before="0" w:beforeAutospacing="0" w:after="0" w:afterAutospacing="0"/>
        <w:ind w:left="426" w:right="420"/>
        <w:jc w:val="both"/>
        <w:rPr>
          <w:rFonts w:ascii="Tahoma" w:hAnsi="Tahoma" w:cs="Tahoma"/>
          <w:i/>
          <w:sz w:val="22"/>
        </w:rPr>
      </w:pPr>
      <w:r w:rsidRPr="006910AF">
        <w:rPr>
          <w:rFonts w:ascii="Tahoma" w:hAnsi="Tahoma" w:cs="Tahoma"/>
          <w:i/>
          <w:sz w:val="22"/>
        </w:rPr>
        <w:t xml:space="preserve">Revisado el expediente encuentra la Sala que </w:t>
      </w:r>
      <w:r w:rsidRPr="006910AF">
        <w:rPr>
          <w:rFonts w:ascii="Tahoma" w:hAnsi="Tahoma" w:cs="Tahoma"/>
          <w:b/>
          <w:i/>
          <w:sz w:val="22"/>
        </w:rPr>
        <w:t>el apoderado de la parte actora no aporta pruebas que demuestren la situación precaria de la Empresa, como lo serían las declaraciones de renta y estados financieros actualizados</w:t>
      </w:r>
      <w:r w:rsidRPr="006910AF">
        <w:rPr>
          <w:rFonts w:ascii="Tahoma" w:hAnsi="Tahoma" w:cs="Tahoma"/>
          <w:i/>
          <w:sz w:val="22"/>
        </w:rPr>
        <w:t xml:space="preserve">, que permitan concluir que la sociedad demandante está en incapacidad de garantizar los resultados del proceso en el evento de que le fuera </w:t>
      </w:r>
      <w:r w:rsidR="00375332" w:rsidRPr="006910AF">
        <w:rPr>
          <w:rFonts w:ascii="Tahoma" w:hAnsi="Tahoma" w:cs="Tahoma"/>
          <w:i/>
          <w:sz w:val="22"/>
        </w:rPr>
        <w:t xml:space="preserve">desfavorable la sentencia. </w:t>
      </w:r>
    </w:p>
    <w:p w14:paraId="3C607476" w14:textId="5B60958D" w:rsidR="00375332" w:rsidRPr="006910AF" w:rsidRDefault="00375332" w:rsidP="006910AF">
      <w:pPr>
        <w:pStyle w:val="NormalWeb"/>
        <w:spacing w:before="0" w:beforeAutospacing="0" w:after="0" w:afterAutospacing="0"/>
        <w:ind w:left="426" w:right="420"/>
        <w:jc w:val="both"/>
        <w:rPr>
          <w:rFonts w:ascii="Tahoma" w:hAnsi="Tahoma" w:cs="Tahoma"/>
          <w:i/>
          <w:sz w:val="22"/>
        </w:rPr>
      </w:pPr>
    </w:p>
    <w:p w14:paraId="23563564" w14:textId="20A7E017" w:rsidR="00375332" w:rsidRPr="006910AF" w:rsidRDefault="00375332" w:rsidP="006910AF">
      <w:pPr>
        <w:pStyle w:val="NormalWeb"/>
        <w:spacing w:before="0" w:beforeAutospacing="0" w:after="0" w:afterAutospacing="0"/>
        <w:ind w:left="426" w:right="420"/>
        <w:jc w:val="both"/>
        <w:rPr>
          <w:rFonts w:ascii="Tahoma" w:hAnsi="Tahoma" w:cs="Tahoma"/>
          <w:i/>
          <w:sz w:val="22"/>
        </w:rPr>
      </w:pPr>
      <w:r w:rsidRPr="006910AF">
        <w:rPr>
          <w:rFonts w:ascii="Tahoma" w:hAnsi="Tahoma" w:cs="Tahoma"/>
          <w:i/>
          <w:sz w:val="22"/>
        </w:rPr>
        <w:t xml:space="preserve">Además, la caución judicial exigida a la parte actora no vulnera el derecho de acceso a la administración de justicia, pues el Tribunal, siguiendo el criterio expuesto por la Corte Constitucional, </w:t>
      </w:r>
      <w:r w:rsidR="00C23281" w:rsidRPr="006910AF">
        <w:rPr>
          <w:rFonts w:ascii="Tahoma" w:hAnsi="Tahoma" w:cs="Tahoma"/>
          <w:i/>
          <w:sz w:val="22"/>
        </w:rPr>
        <w:t>ordenó el cumplimiento de tal carga luego de admitida la demandad y no como requisito para su admisión.”</w:t>
      </w:r>
      <w:r w:rsidR="006910AF" w:rsidRPr="006910AF">
        <w:rPr>
          <w:rFonts w:ascii="Tahoma" w:hAnsi="Tahoma" w:cs="Tahoma"/>
          <w:i/>
          <w:sz w:val="22"/>
        </w:rPr>
        <w:t xml:space="preserve"> </w:t>
      </w:r>
      <w:r w:rsidR="00C23281" w:rsidRPr="006910AF">
        <w:rPr>
          <w:rStyle w:val="Refdenotaalpie"/>
          <w:rFonts w:ascii="Tahoma" w:hAnsi="Tahoma" w:cs="Tahoma"/>
          <w:i/>
          <w:sz w:val="22"/>
        </w:rPr>
        <w:footnoteReference w:id="2"/>
      </w:r>
    </w:p>
    <w:p w14:paraId="7B997EF1" w14:textId="77777777" w:rsidR="004D1775" w:rsidRPr="006910AF" w:rsidRDefault="004D1775" w:rsidP="006910AF">
      <w:pPr>
        <w:pStyle w:val="NormalWeb"/>
        <w:spacing w:before="0" w:beforeAutospacing="0" w:after="0" w:afterAutospacing="0" w:line="276" w:lineRule="auto"/>
        <w:jc w:val="both"/>
        <w:rPr>
          <w:rFonts w:ascii="Tahoma" w:hAnsi="Tahoma" w:cs="Tahoma"/>
          <w:i/>
        </w:rPr>
      </w:pPr>
    </w:p>
    <w:p w14:paraId="2D5C0CA2" w14:textId="0B280183" w:rsidR="00CE166A" w:rsidRPr="006910AF" w:rsidRDefault="00D43D4C" w:rsidP="006910AF">
      <w:pPr>
        <w:spacing w:after="0" w:line="276" w:lineRule="auto"/>
        <w:jc w:val="both"/>
        <w:rPr>
          <w:rFonts w:ascii="Tahoma" w:hAnsi="Tahoma" w:cs="Tahoma"/>
          <w:sz w:val="24"/>
          <w:szCs w:val="24"/>
          <w:lang w:val="es-ES"/>
        </w:rPr>
      </w:pPr>
      <w:r w:rsidRPr="006910AF">
        <w:rPr>
          <w:rFonts w:ascii="Tahoma" w:hAnsi="Tahoma" w:cs="Tahoma"/>
          <w:sz w:val="24"/>
          <w:szCs w:val="24"/>
          <w:lang w:val="es-ES"/>
        </w:rPr>
        <w:t>De donde se tiene que, como se dijo, nada se aportó a la solicitud sobre la situación actual de la entidad respecto a su estado de liqu</w:t>
      </w:r>
      <w:r w:rsidR="00CE166A" w:rsidRPr="006910AF">
        <w:rPr>
          <w:rFonts w:ascii="Tahoma" w:hAnsi="Tahoma" w:cs="Tahoma"/>
          <w:sz w:val="24"/>
          <w:szCs w:val="24"/>
          <w:lang w:val="es-ES"/>
        </w:rPr>
        <w:t>idez, no son necesarias mayores lucubraciones para negar, como se hace tal solicitud.</w:t>
      </w:r>
    </w:p>
    <w:p w14:paraId="18CEA2C8" w14:textId="4A47A23B" w:rsidR="00CE166A" w:rsidRPr="006910AF" w:rsidRDefault="00CE166A" w:rsidP="006910AF">
      <w:pPr>
        <w:spacing w:after="0" w:line="276" w:lineRule="auto"/>
        <w:jc w:val="both"/>
        <w:rPr>
          <w:rFonts w:ascii="Tahoma" w:hAnsi="Tahoma" w:cs="Tahoma"/>
          <w:sz w:val="24"/>
          <w:szCs w:val="24"/>
          <w:lang w:val="es-ES"/>
        </w:rPr>
      </w:pPr>
    </w:p>
    <w:p w14:paraId="2F671EBC" w14:textId="0A1473AE" w:rsidR="00771013" w:rsidRPr="006910AF" w:rsidRDefault="00CE166A" w:rsidP="006910AF">
      <w:pPr>
        <w:spacing w:after="0" w:line="276" w:lineRule="auto"/>
        <w:jc w:val="both"/>
        <w:rPr>
          <w:rFonts w:ascii="Tahoma" w:hAnsi="Tahoma" w:cs="Tahoma"/>
          <w:sz w:val="24"/>
          <w:szCs w:val="24"/>
          <w:lang w:val="es-ES"/>
        </w:rPr>
      </w:pPr>
      <w:r w:rsidRPr="006910AF">
        <w:rPr>
          <w:rFonts w:ascii="Tahoma" w:hAnsi="Tahoma" w:cs="Tahoma"/>
          <w:sz w:val="24"/>
          <w:szCs w:val="24"/>
          <w:lang w:val="es-ES"/>
        </w:rPr>
        <w:t xml:space="preserve">Se impone </w:t>
      </w:r>
      <w:r w:rsidR="00771013" w:rsidRPr="006910AF">
        <w:rPr>
          <w:rFonts w:ascii="Tahoma" w:hAnsi="Tahoma" w:cs="Tahoma"/>
          <w:sz w:val="24"/>
          <w:szCs w:val="24"/>
          <w:lang w:val="es-ES"/>
        </w:rPr>
        <w:t xml:space="preserve">a la peticionaria </w:t>
      </w:r>
      <w:r w:rsidR="001675B8" w:rsidRPr="006910AF">
        <w:rPr>
          <w:rFonts w:ascii="Tahoma" w:hAnsi="Tahoma" w:cs="Tahoma"/>
          <w:sz w:val="24"/>
          <w:szCs w:val="24"/>
        </w:rPr>
        <w:t>COLOMBIANA DE MINERALES Y CARBONES COMERCIALIZADORA INTERNACIONAL SAS</w:t>
      </w:r>
      <w:r w:rsidR="00AC2B38" w:rsidRPr="006910AF">
        <w:rPr>
          <w:rFonts w:ascii="Tahoma" w:hAnsi="Tahoma" w:cs="Tahoma"/>
          <w:sz w:val="24"/>
          <w:szCs w:val="24"/>
        </w:rPr>
        <w:t xml:space="preserve"> “COLMICAR SAS</w:t>
      </w:r>
      <w:r w:rsidR="001675B8" w:rsidRPr="006910AF">
        <w:rPr>
          <w:rFonts w:ascii="Tahoma" w:hAnsi="Tahoma" w:cs="Tahoma"/>
          <w:sz w:val="24"/>
          <w:szCs w:val="24"/>
        </w:rPr>
        <w:t>, con NIT #</w:t>
      </w:r>
      <w:r w:rsidR="00AC2B38" w:rsidRPr="006910AF">
        <w:rPr>
          <w:rFonts w:ascii="Tahoma" w:hAnsi="Tahoma" w:cs="Tahoma"/>
          <w:sz w:val="24"/>
          <w:szCs w:val="24"/>
        </w:rPr>
        <w:t xml:space="preserve">900.456.923-5, representada legalmente por </w:t>
      </w:r>
      <w:proofErr w:type="spellStart"/>
      <w:r w:rsidR="00AC2B38" w:rsidRPr="006910AF">
        <w:rPr>
          <w:rFonts w:ascii="Tahoma" w:hAnsi="Tahoma" w:cs="Tahoma"/>
          <w:i/>
          <w:iCs/>
          <w:sz w:val="24"/>
          <w:szCs w:val="24"/>
        </w:rPr>
        <w:t>Willman</w:t>
      </w:r>
      <w:proofErr w:type="spellEnd"/>
      <w:r w:rsidR="00AC2B38" w:rsidRPr="006910AF">
        <w:rPr>
          <w:rFonts w:ascii="Tahoma" w:hAnsi="Tahoma" w:cs="Tahoma"/>
          <w:i/>
          <w:iCs/>
          <w:sz w:val="24"/>
          <w:szCs w:val="24"/>
        </w:rPr>
        <w:t xml:space="preserve"> Antonio López </w:t>
      </w:r>
      <w:r w:rsidR="45DA39AF" w:rsidRPr="006910AF">
        <w:rPr>
          <w:rFonts w:ascii="Tahoma" w:hAnsi="Tahoma" w:cs="Tahoma"/>
          <w:i/>
          <w:iCs/>
          <w:sz w:val="24"/>
          <w:szCs w:val="24"/>
        </w:rPr>
        <w:t>Peña con</w:t>
      </w:r>
      <w:r w:rsidR="00AC2B38" w:rsidRPr="006910AF">
        <w:rPr>
          <w:rFonts w:ascii="Tahoma" w:hAnsi="Tahoma" w:cs="Tahoma"/>
          <w:i/>
          <w:iCs/>
          <w:sz w:val="24"/>
          <w:szCs w:val="24"/>
        </w:rPr>
        <w:t xml:space="preserve"> c.c.#15.988.524, </w:t>
      </w:r>
      <w:r w:rsidR="001675B8" w:rsidRPr="006910AF">
        <w:rPr>
          <w:rFonts w:ascii="Tahoma" w:hAnsi="Tahoma" w:cs="Tahoma"/>
          <w:sz w:val="24"/>
          <w:szCs w:val="24"/>
          <w:lang w:val="es-ES"/>
        </w:rPr>
        <w:t xml:space="preserve"> </w:t>
      </w:r>
      <w:r w:rsidR="00AC2B38" w:rsidRPr="006910AF">
        <w:rPr>
          <w:rFonts w:ascii="Tahoma" w:hAnsi="Tahoma" w:cs="Tahoma"/>
          <w:sz w:val="24"/>
          <w:szCs w:val="24"/>
        </w:rPr>
        <w:t xml:space="preserve">correo electrónico </w:t>
      </w:r>
      <w:hyperlink r:id="rId11">
        <w:r w:rsidR="00E13ACF" w:rsidRPr="006910AF">
          <w:rPr>
            <w:rStyle w:val="Hipervnculo"/>
            <w:rFonts w:ascii="Tahoma" w:hAnsi="Tahoma" w:cs="Tahoma"/>
            <w:i/>
            <w:iCs/>
            <w:color w:val="auto"/>
            <w:sz w:val="24"/>
            <w:szCs w:val="24"/>
          </w:rPr>
          <w:t>willman0321@gmail.</w:t>
        </w:r>
        <w:r w:rsidR="00E13ACF" w:rsidRPr="006910AF">
          <w:rPr>
            <w:rStyle w:val="Hipervnculo"/>
            <w:rFonts w:ascii="Tahoma" w:hAnsi="Tahoma" w:cs="Tahoma"/>
            <w:color w:val="auto"/>
            <w:sz w:val="24"/>
            <w:szCs w:val="24"/>
          </w:rPr>
          <w:t>com</w:t>
        </w:r>
      </w:hyperlink>
      <w:r w:rsidR="00614DEA" w:rsidRPr="006910AF">
        <w:rPr>
          <w:rFonts w:ascii="Tahoma" w:hAnsi="Tahoma" w:cs="Tahoma"/>
          <w:sz w:val="24"/>
          <w:szCs w:val="24"/>
        </w:rPr>
        <w:t xml:space="preserve">, </w:t>
      </w:r>
      <w:r w:rsidR="00614DEA" w:rsidRPr="006910AF">
        <w:rPr>
          <w:rFonts w:ascii="Tahoma" w:hAnsi="Tahoma" w:cs="Tahoma"/>
          <w:i/>
          <w:iCs/>
          <w:sz w:val="24"/>
          <w:szCs w:val="24"/>
        </w:rPr>
        <w:t xml:space="preserve">carrera central C y Camino de Molino Dosquebradas, </w:t>
      </w:r>
      <w:r w:rsidRPr="006910AF">
        <w:rPr>
          <w:rFonts w:ascii="Tahoma" w:hAnsi="Tahoma" w:cs="Tahoma"/>
          <w:sz w:val="24"/>
          <w:szCs w:val="24"/>
          <w:lang w:val="es-ES"/>
        </w:rPr>
        <w:t>multa de un (1) salario mínimo legal mensual</w:t>
      </w:r>
      <w:r w:rsidR="00AC2B38" w:rsidRPr="006910AF">
        <w:rPr>
          <w:rFonts w:ascii="Tahoma" w:hAnsi="Tahoma" w:cs="Tahoma"/>
          <w:sz w:val="24"/>
          <w:szCs w:val="24"/>
          <w:lang w:val="es-ES"/>
        </w:rPr>
        <w:t xml:space="preserve"> vigente</w:t>
      </w:r>
      <w:r w:rsidRPr="006910AF">
        <w:rPr>
          <w:rFonts w:ascii="Tahoma" w:hAnsi="Tahoma" w:cs="Tahoma"/>
          <w:sz w:val="24"/>
          <w:szCs w:val="24"/>
          <w:lang w:val="es-ES"/>
        </w:rPr>
        <w:t>, acorde con lo reglado en el inciso 2º del artículo 153 del Estatuto Procesal Civil, la cual deberá ser pagada en favor del Consejo Superior de la Judicatura dentro de los 3 días siguientes a la ejecutoria de este prov</w:t>
      </w:r>
      <w:r w:rsidR="00771013" w:rsidRPr="006910AF">
        <w:rPr>
          <w:rFonts w:ascii="Tahoma" w:hAnsi="Tahoma" w:cs="Tahoma"/>
          <w:sz w:val="24"/>
          <w:szCs w:val="24"/>
          <w:lang w:val="es-ES"/>
        </w:rPr>
        <w:t>eído, y para lo cual se allegará</w:t>
      </w:r>
      <w:r w:rsidR="00614DEA" w:rsidRPr="006910AF">
        <w:rPr>
          <w:rFonts w:ascii="Tahoma" w:hAnsi="Tahoma" w:cs="Tahoma"/>
          <w:sz w:val="24"/>
          <w:szCs w:val="24"/>
          <w:lang w:val="es-ES"/>
        </w:rPr>
        <w:t xml:space="preserve"> al comprobante de rigor.</w:t>
      </w:r>
      <w:r w:rsidR="00771013" w:rsidRPr="006910AF">
        <w:rPr>
          <w:rFonts w:ascii="Tahoma" w:hAnsi="Tahoma" w:cs="Tahoma"/>
          <w:b/>
          <w:bCs/>
          <w:sz w:val="24"/>
          <w:szCs w:val="24"/>
        </w:rPr>
        <w:t xml:space="preserve"> </w:t>
      </w:r>
      <w:r w:rsidR="00771013" w:rsidRPr="006910AF">
        <w:rPr>
          <w:rFonts w:ascii="Tahoma" w:hAnsi="Tahoma" w:cs="Tahoma"/>
          <w:sz w:val="24"/>
          <w:szCs w:val="24"/>
        </w:rPr>
        <w:t xml:space="preserve">Cuenta </w:t>
      </w:r>
      <w:r w:rsidR="00614DEA" w:rsidRPr="006910AF">
        <w:rPr>
          <w:rFonts w:ascii="Tahoma" w:hAnsi="Tahoma" w:cs="Tahoma"/>
          <w:sz w:val="24"/>
          <w:szCs w:val="24"/>
        </w:rPr>
        <w:t xml:space="preserve">Corriente del Banco Agrario de Colombia #3-0820-000634-1, Código de Convenio 13475 </w:t>
      </w:r>
      <w:r w:rsidR="00771013" w:rsidRPr="006910AF">
        <w:rPr>
          <w:rFonts w:ascii="Tahoma" w:hAnsi="Tahoma" w:cs="Tahoma"/>
          <w:i/>
          <w:iCs/>
          <w:sz w:val="24"/>
          <w:szCs w:val="24"/>
        </w:rPr>
        <w:t xml:space="preserve">(Circular DEAJC </w:t>
      </w:r>
      <w:r w:rsidR="00614DEA" w:rsidRPr="006910AF">
        <w:rPr>
          <w:rFonts w:ascii="Tahoma" w:hAnsi="Tahoma" w:cs="Tahoma"/>
          <w:i/>
          <w:iCs/>
          <w:sz w:val="24"/>
          <w:szCs w:val="24"/>
        </w:rPr>
        <w:t xml:space="preserve">20-58 </w:t>
      </w:r>
      <w:r w:rsidR="00771013" w:rsidRPr="006910AF">
        <w:rPr>
          <w:rFonts w:ascii="Tahoma" w:hAnsi="Tahoma" w:cs="Tahoma"/>
          <w:i/>
          <w:iCs/>
          <w:sz w:val="24"/>
          <w:szCs w:val="24"/>
        </w:rPr>
        <w:t xml:space="preserve">del </w:t>
      </w:r>
      <w:r w:rsidR="00614DEA" w:rsidRPr="006910AF">
        <w:rPr>
          <w:rFonts w:ascii="Tahoma" w:hAnsi="Tahoma" w:cs="Tahoma"/>
          <w:i/>
          <w:iCs/>
          <w:sz w:val="24"/>
          <w:szCs w:val="24"/>
        </w:rPr>
        <w:t>1</w:t>
      </w:r>
      <w:r w:rsidR="00771013" w:rsidRPr="006910AF">
        <w:rPr>
          <w:rFonts w:ascii="Tahoma" w:hAnsi="Tahoma" w:cs="Tahoma"/>
          <w:i/>
          <w:iCs/>
          <w:sz w:val="24"/>
          <w:szCs w:val="24"/>
        </w:rPr>
        <w:t xml:space="preserve"> de </w:t>
      </w:r>
      <w:r w:rsidR="00614DEA" w:rsidRPr="006910AF">
        <w:rPr>
          <w:rFonts w:ascii="Tahoma" w:hAnsi="Tahoma" w:cs="Tahoma"/>
          <w:i/>
          <w:iCs/>
          <w:sz w:val="24"/>
          <w:szCs w:val="24"/>
        </w:rPr>
        <w:t>septiembre de 2020</w:t>
      </w:r>
      <w:r w:rsidR="00771013" w:rsidRPr="006910AF">
        <w:rPr>
          <w:rFonts w:ascii="Tahoma" w:hAnsi="Tahoma" w:cs="Tahoma"/>
          <w:i/>
          <w:iCs/>
          <w:sz w:val="24"/>
          <w:szCs w:val="24"/>
        </w:rPr>
        <w:t xml:space="preserve"> CSJ).</w:t>
      </w:r>
    </w:p>
    <w:p w14:paraId="7CF62CF7" w14:textId="77777777" w:rsidR="00CE166A" w:rsidRPr="006910AF" w:rsidRDefault="00CE166A" w:rsidP="006910AF">
      <w:pPr>
        <w:spacing w:after="0" w:line="276" w:lineRule="auto"/>
        <w:jc w:val="both"/>
        <w:rPr>
          <w:rFonts w:ascii="Tahoma" w:hAnsi="Tahoma" w:cs="Tahoma"/>
          <w:sz w:val="24"/>
          <w:szCs w:val="24"/>
        </w:rPr>
      </w:pPr>
    </w:p>
    <w:p w14:paraId="6ACB4703" w14:textId="54B6A8A0" w:rsidR="000F1E86" w:rsidRPr="006910AF" w:rsidRDefault="00E13ACF" w:rsidP="006910AF">
      <w:pPr>
        <w:spacing w:after="0" w:line="276" w:lineRule="auto"/>
        <w:jc w:val="both"/>
        <w:rPr>
          <w:rFonts w:ascii="Tahoma" w:hAnsi="Tahoma" w:cs="Tahoma"/>
          <w:sz w:val="24"/>
          <w:szCs w:val="24"/>
        </w:rPr>
      </w:pPr>
      <w:r w:rsidRPr="006910AF">
        <w:rPr>
          <w:rFonts w:ascii="Tahoma" w:hAnsi="Tahoma" w:cs="Tahoma"/>
          <w:sz w:val="24"/>
          <w:szCs w:val="24"/>
        </w:rPr>
        <w:t xml:space="preserve">Finalmente, </w:t>
      </w:r>
      <w:bookmarkStart w:id="2" w:name="_Hlk69718456"/>
      <w:r w:rsidRPr="006910AF">
        <w:rPr>
          <w:rFonts w:ascii="Tahoma" w:hAnsi="Tahoma" w:cs="Tahoma"/>
          <w:sz w:val="24"/>
          <w:szCs w:val="24"/>
        </w:rPr>
        <w:t xml:space="preserve">se </w:t>
      </w:r>
      <w:r w:rsidRPr="006910AF">
        <w:rPr>
          <w:rFonts w:ascii="Tahoma" w:hAnsi="Tahoma" w:cs="Tahoma"/>
          <w:b/>
          <w:sz w:val="24"/>
          <w:szCs w:val="24"/>
        </w:rPr>
        <w:t>rechaza de plano la solicitud de nulidad</w:t>
      </w:r>
      <w:r w:rsidRPr="006910AF">
        <w:rPr>
          <w:rFonts w:ascii="Tahoma" w:hAnsi="Tahoma" w:cs="Tahoma"/>
          <w:sz w:val="24"/>
          <w:szCs w:val="24"/>
        </w:rPr>
        <w:t xml:space="preserve"> que </w:t>
      </w:r>
      <w:r w:rsidR="0049688D" w:rsidRPr="006910AF">
        <w:rPr>
          <w:rFonts w:ascii="Tahoma" w:hAnsi="Tahoma" w:cs="Tahoma"/>
          <w:sz w:val="24"/>
          <w:szCs w:val="24"/>
        </w:rPr>
        <w:t>eleva el curador ad-</w:t>
      </w:r>
      <w:proofErr w:type="spellStart"/>
      <w:r w:rsidR="0049688D" w:rsidRPr="006910AF">
        <w:rPr>
          <w:rFonts w:ascii="Tahoma" w:hAnsi="Tahoma" w:cs="Tahoma"/>
          <w:sz w:val="24"/>
          <w:szCs w:val="24"/>
        </w:rPr>
        <w:t>litem</w:t>
      </w:r>
      <w:proofErr w:type="spellEnd"/>
      <w:r w:rsidR="0049688D" w:rsidRPr="006910AF">
        <w:rPr>
          <w:rFonts w:ascii="Tahoma" w:hAnsi="Tahoma" w:cs="Tahoma"/>
          <w:sz w:val="24"/>
          <w:szCs w:val="24"/>
        </w:rPr>
        <w:t xml:space="preserve"> de las personas indeterminadas, </w:t>
      </w:r>
      <w:r w:rsidR="00663551" w:rsidRPr="006910AF">
        <w:rPr>
          <w:rFonts w:ascii="Tahoma" w:hAnsi="Tahoma" w:cs="Tahoma"/>
          <w:sz w:val="24"/>
          <w:szCs w:val="24"/>
        </w:rPr>
        <w:t xml:space="preserve">y sin que haya lugar a traslado alguno, </w:t>
      </w:r>
      <w:r w:rsidR="0049688D" w:rsidRPr="006910AF">
        <w:rPr>
          <w:rFonts w:ascii="Tahoma" w:hAnsi="Tahoma" w:cs="Tahoma"/>
          <w:sz w:val="24"/>
          <w:szCs w:val="24"/>
        </w:rPr>
        <w:t>con fundamento en lo señalado por el inciso final del artículo 135 del Código General del Proceso.</w:t>
      </w:r>
    </w:p>
    <w:p w14:paraId="4EFC1A5C" w14:textId="388C109E" w:rsidR="0049688D" w:rsidRPr="006910AF" w:rsidRDefault="0049688D" w:rsidP="006910AF">
      <w:pPr>
        <w:spacing w:after="0" w:line="276" w:lineRule="auto"/>
        <w:jc w:val="both"/>
        <w:rPr>
          <w:rFonts w:ascii="Tahoma" w:hAnsi="Tahoma" w:cs="Tahoma"/>
          <w:sz w:val="24"/>
          <w:szCs w:val="24"/>
        </w:rPr>
      </w:pPr>
    </w:p>
    <w:p w14:paraId="49625FC0" w14:textId="614FE4D0" w:rsidR="0049688D" w:rsidRPr="006910AF" w:rsidRDefault="0049688D" w:rsidP="006910AF">
      <w:pPr>
        <w:spacing w:after="0" w:line="276" w:lineRule="auto"/>
        <w:jc w:val="both"/>
        <w:rPr>
          <w:rFonts w:ascii="Tahoma" w:hAnsi="Tahoma" w:cs="Tahoma"/>
          <w:sz w:val="24"/>
          <w:szCs w:val="24"/>
        </w:rPr>
      </w:pPr>
      <w:r w:rsidRPr="006910AF">
        <w:rPr>
          <w:rFonts w:ascii="Tahoma" w:hAnsi="Tahoma" w:cs="Tahoma"/>
          <w:sz w:val="24"/>
          <w:szCs w:val="24"/>
        </w:rPr>
        <w:t>En efecto, reza la citada disposición:</w:t>
      </w:r>
    </w:p>
    <w:p w14:paraId="2777CD25" w14:textId="77777777" w:rsidR="0049688D" w:rsidRPr="006910AF" w:rsidRDefault="0049688D" w:rsidP="006910AF">
      <w:pPr>
        <w:spacing w:after="0" w:line="276" w:lineRule="auto"/>
        <w:jc w:val="both"/>
        <w:rPr>
          <w:rFonts w:ascii="Tahoma" w:hAnsi="Tahoma" w:cs="Tahoma"/>
          <w:sz w:val="24"/>
          <w:szCs w:val="24"/>
        </w:rPr>
      </w:pPr>
    </w:p>
    <w:p w14:paraId="44F41B45" w14:textId="18C3B808" w:rsidR="0049688D" w:rsidRPr="006910AF" w:rsidRDefault="0049688D" w:rsidP="006910AF">
      <w:pPr>
        <w:pStyle w:val="NormalWeb"/>
        <w:spacing w:before="0" w:beforeAutospacing="0" w:after="0" w:afterAutospacing="0"/>
        <w:ind w:left="426" w:right="420"/>
        <w:jc w:val="both"/>
        <w:rPr>
          <w:rFonts w:ascii="Tahoma" w:hAnsi="Tahoma" w:cs="Tahoma"/>
          <w:i/>
          <w:iCs/>
          <w:sz w:val="22"/>
        </w:rPr>
      </w:pPr>
      <w:r w:rsidRPr="006910AF">
        <w:rPr>
          <w:rFonts w:ascii="Tahoma" w:hAnsi="Tahoma" w:cs="Tahoma"/>
          <w:i/>
          <w:iCs/>
          <w:sz w:val="22"/>
        </w:rPr>
        <w:t>El juez rechazará de plano la solicitud de nulidad que se funde en causal distinta de las determinadas en este capítulo o en hechos que pudieron alegarse como excepciones previas, o la que se proponga después de saneada o por quien carezca de legitimación.</w:t>
      </w:r>
    </w:p>
    <w:p w14:paraId="5B5C211C" w14:textId="450DDCE4" w:rsidR="0049688D" w:rsidRPr="006910AF" w:rsidRDefault="0049688D" w:rsidP="006910AF">
      <w:pPr>
        <w:spacing w:after="0" w:line="276" w:lineRule="auto"/>
        <w:jc w:val="both"/>
        <w:rPr>
          <w:rFonts w:ascii="Tahoma" w:hAnsi="Tahoma" w:cs="Tahoma"/>
          <w:b/>
          <w:i/>
          <w:sz w:val="24"/>
          <w:szCs w:val="24"/>
        </w:rPr>
      </w:pPr>
    </w:p>
    <w:p w14:paraId="30918BC5" w14:textId="76ED7DA0" w:rsidR="0049688D" w:rsidRPr="006910AF" w:rsidRDefault="0049688D" w:rsidP="006910AF">
      <w:pPr>
        <w:spacing w:after="0" w:line="276" w:lineRule="auto"/>
        <w:jc w:val="both"/>
        <w:rPr>
          <w:rFonts w:ascii="Tahoma" w:hAnsi="Tahoma" w:cs="Tahoma"/>
          <w:sz w:val="24"/>
          <w:szCs w:val="24"/>
        </w:rPr>
      </w:pPr>
      <w:r w:rsidRPr="006910AF">
        <w:rPr>
          <w:rFonts w:ascii="Tahoma" w:hAnsi="Tahoma" w:cs="Tahoma"/>
          <w:sz w:val="24"/>
          <w:szCs w:val="24"/>
        </w:rPr>
        <w:t>En el caso concreto, el auxiliar de la justicia hace alusión a una indebida notificación de las personas indeterminadas dentro del asunto por las irregularidades que estima hubo de incurrirse en</w:t>
      </w:r>
      <w:r w:rsidR="001743F7" w:rsidRPr="006910AF">
        <w:rPr>
          <w:rFonts w:ascii="Tahoma" w:hAnsi="Tahoma" w:cs="Tahoma"/>
          <w:sz w:val="24"/>
          <w:szCs w:val="24"/>
        </w:rPr>
        <w:t xml:space="preserve"> el emplazamiento de las mismas </w:t>
      </w:r>
      <w:r w:rsidR="009E79D4" w:rsidRPr="006910AF">
        <w:rPr>
          <w:rFonts w:ascii="Tahoma" w:hAnsi="Tahoma" w:cs="Tahoma"/>
          <w:sz w:val="24"/>
          <w:szCs w:val="24"/>
        </w:rPr>
        <w:t>y hace eco de decisión que en anterior oportunidad estiló otra Sala Unitaria de</w:t>
      </w:r>
      <w:r w:rsidRPr="006910AF">
        <w:rPr>
          <w:rFonts w:ascii="Tahoma" w:hAnsi="Tahoma" w:cs="Tahoma"/>
          <w:sz w:val="24"/>
          <w:szCs w:val="24"/>
        </w:rPr>
        <w:t xml:space="preserve"> </w:t>
      </w:r>
      <w:r w:rsidR="009E79D4" w:rsidRPr="006910AF">
        <w:rPr>
          <w:rFonts w:ascii="Tahoma" w:hAnsi="Tahoma" w:cs="Tahoma"/>
          <w:sz w:val="24"/>
          <w:szCs w:val="24"/>
        </w:rPr>
        <w:t>la Corporación</w:t>
      </w:r>
      <w:r w:rsidR="008F66B2" w:rsidRPr="006910AF">
        <w:rPr>
          <w:rFonts w:ascii="Tahoma" w:hAnsi="Tahoma" w:cs="Tahoma"/>
          <w:sz w:val="24"/>
          <w:szCs w:val="24"/>
        </w:rPr>
        <w:t xml:space="preserve"> con la confirmación en recuro de súplica</w:t>
      </w:r>
      <w:r w:rsidR="009E79D4" w:rsidRPr="006910AF">
        <w:rPr>
          <w:rFonts w:ascii="Tahoma" w:hAnsi="Tahoma" w:cs="Tahoma"/>
          <w:sz w:val="24"/>
          <w:szCs w:val="24"/>
        </w:rPr>
        <w:t>; no obstante, se tiene que</w:t>
      </w:r>
      <w:r w:rsidR="00663551" w:rsidRPr="006910AF">
        <w:rPr>
          <w:rFonts w:ascii="Tahoma" w:hAnsi="Tahoma" w:cs="Tahoma"/>
          <w:sz w:val="24"/>
          <w:szCs w:val="24"/>
        </w:rPr>
        <w:t xml:space="preserve">, entre otras exigencias de procedibilidad para la anulación de determinada etapa procesal, se debe contar con la </w:t>
      </w:r>
      <w:r w:rsidR="00663551" w:rsidRPr="006910AF">
        <w:rPr>
          <w:rFonts w:ascii="Tahoma" w:hAnsi="Tahoma" w:cs="Tahoma"/>
          <w:b/>
          <w:i/>
          <w:sz w:val="24"/>
          <w:szCs w:val="24"/>
        </w:rPr>
        <w:t xml:space="preserve">legitimidad </w:t>
      </w:r>
      <w:r w:rsidR="00663551" w:rsidRPr="006910AF">
        <w:rPr>
          <w:rFonts w:ascii="Tahoma" w:hAnsi="Tahoma" w:cs="Tahoma"/>
          <w:sz w:val="24"/>
          <w:szCs w:val="24"/>
        </w:rPr>
        <w:t>del caso para invocarla</w:t>
      </w:r>
      <w:bookmarkEnd w:id="2"/>
      <w:r w:rsidR="00663551" w:rsidRPr="006910AF">
        <w:rPr>
          <w:rFonts w:ascii="Tahoma" w:hAnsi="Tahoma" w:cs="Tahoma"/>
          <w:sz w:val="24"/>
          <w:szCs w:val="24"/>
        </w:rPr>
        <w:t>, so pena de rec</w:t>
      </w:r>
      <w:r w:rsidR="003E58E0" w:rsidRPr="006910AF">
        <w:rPr>
          <w:rFonts w:ascii="Tahoma" w:hAnsi="Tahoma" w:cs="Tahoma"/>
          <w:sz w:val="24"/>
          <w:szCs w:val="24"/>
        </w:rPr>
        <w:t>hazo como ya se ha anunciado</w:t>
      </w:r>
      <w:r w:rsidR="00663551" w:rsidRPr="006910AF">
        <w:rPr>
          <w:rFonts w:ascii="Tahoma" w:hAnsi="Tahoma" w:cs="Tahoma"/>
          <w:sz w:val="24"/>
          <w:szCs w:val="24"/>
        </w:rPr>
        <w:t xml:space="preserve">. Y es que en el </w:t>
      </w:r>
      <w:r w:rsidR="00663551" w:rsidRPr="006910AF">
        <w:rPr>
          <w:rFonts w:ascii="Tahoma" w:hAnsi="Tahoma" w:cs="Tahoma"/>
          <w:sz w:val="24"/>
          <w:szCs w:val="24"/>
        </w:rPr>
        <w:lastRenderedPageBreak/>
        <w:t xml:space="preserve">evento que nos ocupa, </w:t>
      </w:r>
      <w:r w:rsidR="002D03FE" w:rsidRPr="006910AF">
        <w:rPr>
          <w:rFonts w:ascii="Tahoma" w:hAnsi="Tahoma" w:cs="Tahoma"/>
          <w:sz w:val="24"/>
          <w:szCs w:val="24"/>
        </w:rPr>
        <w:t>resulta ser del resorte exclusivo de la persona que tuviese interés directo en las resultas del mismo, la que refulge como habilitada procesal para incoar el vicio estructurante de anulación que ahora se pretende.</w:t>
      </w:r>
    </w:p>
    <w:p w14:paraId="6101A879" w14:textId="59E9AE94" w:rsidR="002D03FE" w:rsidRPr="006910AF" w:rsidRDefault="002D03FE" w:rsidP="006910AF">
      <w:pPr>
        <w:spacing w:after="0" w:line="276" w:lineRule="auto"/>
        <w:jc w:val="both"/>
        <w:rPr>
          <w:rFonts w:ascii="Tahoma" w:hAnsi="Tahoma" w:cs="Tahoma"/>
          <w:sz w:val="24"/>
          <w:szCs w:val="24"/>
        </w:rPr>
      </w:pPr>
    </w:p>
    <w:p w14:paraId="08E5C3AA" w14:textId="02E1911A" w:rsidR="00C42412" w:rsidRPr="006910AF" w:rsidRDefault="002D03FE" w:rsidP="006910AF">
      <w:pPr>
        <w:spacing w:after="0" w:line="276" w:lineRule="auto"/>
        <w:jc w:val="both"/>
        <w:rPr>
          <w:rFonts w:ascii="Tahoma" w:hAnsi="Tahoma" w:cs="Tahoma"/>
          <w:sz w:val="24"/>
          <w:szCs w:val="24"/>
        </w:rPr>
      </w:pPr>
      <w:r w:rsidRPr="006910AF">
        <w:rPr>
          <w:rFonts w:ascii="Tahoma" w:hAnsi="Tahoma" w:cs="Tahoma"/>
          <w:sz w:val="24"/>
          <w:szCs w:val="24"/>
        </w:rPr>
        <w:t>Y que ello es así, no hay incertidumbre alguna, como quiera que esta causal, que abrigó las señaladas como 8ª y 9ª del artículo 140 del derogado CPC, h</w:t>
      </w:r>
      <w:r w:rsidR="003E58E0" w:rsidRPr="006910AF">
        <w:rPr>
          <w:rFonts w:ascii="Tahoma" w:hAnsi="Tahoma" w:cs="Tahoma"/>
          <w:sz w:val="24"/>
          <w:szCs w:val="24"/>
        </w:rPr>
        <w:t xml:space="preserve">oy 8ª del artículo 133 </w:t>
      </w:r>
      <w:r w:rsidR="10146630" w:rsidRPr="006910AF">
        <w:rPr>
          <w:rFonts w:ascii="Tahoma" w:hAnsi="Tahoma" w:cs="Tahoma"/>
          <w:sz w:val="24"/>
          <w:szCs w:val="24"/>
        </w:rPr>
        <w:t>CGP, y</w:t>
      </w:r>
      <w:r w:rsidR="00C42412" w:rsidRPr="006910AF">
        <w:rPr>
          <w:rFonts w:ascii="Tahoma" w:hAnsi="Tahoma" w:cs="Tahoma"/>
          <w:sz w:val="24"/>
          <w:szCs w:val="24"/>
        </w:rPr>
        <w:t xml:space="preserve"> </w:t>
      </w:r>
      <w:r w:rsidR="003E58E0" w:rsidRPr="006910AF">
        <w:rPr>
          <w:rFonts w:ascii="Tahoma" w:hAnsi="Tahoma" w:cs="Tahoma"/>
          <w:sz w:val="24"/>
          <w:szCs w:val="24"/>
        </w:rPr>
        <w:t xml:space="preserve">que tiene cimiento en el derecho de defensa, se predica de manera esencial de aquel sujeto que se </w:t>
      </w:r>
      <w:r w:rsidR="00C42412" w:rsidRPr="006910AF">
        <w:rPr>
          <w:rFonts w:ascii="Tahoma" w:hAnsi="Tahoma" w:cs="Tahoma"/>
          <w:sz w:val="24"/>
          <w:szCs w:val="24"/>
        </w:rPr>
        <w:t>estima directamente afectado por el supuesto acto irregular por omisiones en el debido enteramiento del auto que dio inicio a la actuación. No cualquier interviniente en el asunto podrá aludir a evento como ese; porque será ese sujeto que se crea con derecho a defender su causa, y que estima usurpada por la promoción de una acción judicial de este linaje el que contará con todos los elementos de juicio y pruebas necesarias para lograr hacer decaer un trámite del que estuvo ajeno sin justificación legal.</w:t>
      </w:r>
    </w:p>
    <w:p w14:paraId="07AAA7EE" w14:textId="38F8F887" w:rsidR="00C42412" w:rsidRPr="006910AF" w:rsidRDefault="00C42412" w:rsidP="006910AF">
      <w:pPr>
        <w:spacing w:after="0" w:line="276" w:lineRule="auto"/>
        <w:jc w:val="both"/>
        <w:rPr>
          <w:rFonts w:ascii="Tahoma" w:hAnsi="Tahoma" w:cs="Tahoma"/>
          <w:sz w:val="24"/>
          <w:szCs w:val="24"/>
        </w:rPr>
      </w:pPr>
    </w:p>
    <w:p w14:paraId="42632D2F" w14:textId="3E8AEF62" w:rsidR="00C42412" w:rsidRPr="006910AF" w:rsidRDefault="00C42412" w:rsidP="006910AF">
      <w:pPr>
        <w:spacing w:after="0" w:line="276" w:lineRule="auto"/>
        <w:jc w:val="both"/>
        <w:rPr>
          <w:rFonts w:ascii="Tahoma" w:hAnsi="Tahoma" w:cs="Tahoma"/>
          <w:sz w:val="24"/>
          <w:szCs w:val="24"/>
        </w:rPr>
      </w:pPr>
      <w:r w:rsidRPr="006910AF">
        <w:rPr>
          <w:rFonts w:ascii="Tahoma" w:hAnsi="Tahoma" w:cs="Tahoma"/>
          <w:sz w:val="24"/>
          <w:szCs w:val="24"/>
        </w:rPr>
        <w:t>A lo anterior, de igual manera, bien puede sumarse para ahondar en el rechazo de plano que se pone de manifiesto, el hecho de que, sin perjuicio de la no posibilidad de un eventual saneamiento por parte del curador en caso de configurarse una nulidad como la alegada, la cuestión se torna extemporánea y ajena a la lealtad procesal debida en todo proceso judicial, pues no se entiende en razón de qué, a esta altura</w:t>
      </w:r>
      <w:r w:rsidR="000C1365" w:rsidRPr="006910AF">
        <w:rPr>
          <w:rFonts w:ascii="Tahoma" w:hAnsi="Tahoma" w:cs="Tahoma"/>
          <w:sz w:val="24"/>
          <w:szCs w:val="24"/>
        </w:rPr>
        <w:t>,</w:t>
      </w:r>
      <w:r w:rsidRPr="006910AF">
        <w:rPr>
          <w:rFonts w:ascii="Tahoma" w:hAnsi="Tahoma" w:cs="Tahoma"/>
          <w:sz w:val="24"/>
          <w:szCs w:val="24"/>
        </w:rPr>
        <w:t xml:space="preserve"> cuando el mismo fue notificado de lo concerniente </w:t>
      </w:r>
      <w:r w:rsidR="000C1365" w:rsidRPr="006910AF">
        <w:rPr>
          <w:rFonts w:ascii="Tahoma" w:hAnsi="Tahoma" w:cs="Tahoma"/>
          <w:sz w:val="24"/>
          <w:szCs w:val="24"/>
        </w:rPr>
        <w:t>en el mes de febrero de 2018, esto es, pasados ya tres (3) años, pretenda desvanecer un procedimiento que, incluso cuenta ya con la concesión del recurso extraordinario de casación, y solo en la hora de ahora, quiera poner de presente un hecho que, entonces debió alegarlo una vez tuvo acceso al expediente. Y no</w:t>
      </w:r>
      <w:r w:rsidR="00AC3F49" w:rsidRPr="006910AF">
        <w:rPr>
          <w:rFonts w:ascii="Tahoma" w:hAnsi="Tahoma" w:cs="Tahoma"/>
          <w:sz w:val="24"/>
          <w:szCs w:val="24"/>
        </w:rPr>
        <w:t xml:space="preserve"> es que la temporalidad </w:t>
      </w:r>
      <w:r w:rsidR="000C1365" w:rsidRPr="006910AF">
        <w:rPr>
          <w:rFonts w:ascii="Tahoma" w:hAnsi="Tahoma" w:cs="Tahoma"/>
          <w:sz w:val="24"/>
          <w:szCs w:val="24"/>
        </w:rPr>
        <w:t xml:space="preserve">mencionada </w:t>
      </w:r>
      <w:r w:rsidR="00AC3F49" w:rsidRPr="006910AF">
        <w:rPr>
          <w:rFonts w:ascii="Tahoma" w:hAnsi="Tahoma" w:cs="Tahoma"/>
          <w:sz w:val="24"/>
          <w:szCs w:val="24"/>
        </w:rPr>
        <w:t>no dé lugar a una nulidad en el caso de hallarse y acreditarse en cualquier momento procesal oportuno, valga aclararlo, porque de serlo así debería decretarse pasado el tiempo que fuere, pero ya se dijo, en el caso concreto, ante la falta de legitimación no es procedente acceder a un pedimento como el solicitado.</w:t>
      </w:r>
    </w:p>
    <w:p w14:paraId="74DB5940" w14:textId="63D8C7A3" w:rsidR="002D03FE" w:rsidRDefault="002D03FE" w:rsidP="006910AF">
      <w:pPr>
        <w:spacing w:after="0" w:line="276" w:lineRule="auto"/>
        <w:jc w:val="both"/>
        <w:rPr>
          <w:rFonts w:ascii="Tahoma" w:hAnsi="Tahoma" w:cs="Tahoma"/>
          <w:sz w:val="24"/>
          <w:szCs w:val="24"/>
        </w:rPr>
      </w:pPr>
    </w:p>
    <w:p w14:paraId="0E6F9128" w14:textId="77777777" w:rsidR="006910AF" w:rsidRPr="006910AF" w:rsidRDefault="006910AF" w:rsidP="006910AF">
      <w:pPr>
        <w:spacing w:after="0" w:line="276" w:lineRule="auto"/>
        <w:jc w:val="both"/>
        <w:rPr>
          <w:rFonts w:ascii="Tahoma" w:hAnsi="Tahoma" w:cs="Tahoma"/>
          <w:sz w:val="24"/>
          <w:szCs w:val="24"/>
        </w:rPr>
      </w:pPr>
    </w:p>
    <w:p w14:paraId="51DE822D" w14:textId="7F1054C8" w:rsidR="00F41512" w:rsidRPr="006910AF" w:rsidRDefault="00F41512" w:rsidP="006910AF">
      <w:pPr>
        <w:spacing w:after="0" w:line="276" w:lineRule="auto"/>
        <w:jc w:val="both"/>
        <w:rPr>
          <w:rFonts w:ascii="Tahoma" w:hAnsi="Tahoma" w:cs="Tahoma"/>
          <w:b/>
          <w:sz w:val="24"/>
          <w:szCs w:val="24"/>
        </w:rPr>
      </w:pPr>
      <w:r w:rsidRPr="006910AF">
        <w:rPr>
          <w:rFonts w:ascii="Tahoma" w:hAnsi="Tahoma" w:cs="Tahoma"/>
          <w:b/>
          <w:sz w:val="24"/>
          <w:szCs w:val="24"/>
        </w:rPr>
        <w:t>NOTIFÍQUESE</w:t>
      </w:r>
    </w:p>
    <w:p w14:paraId="2795A2DC" w14:textId="77777777" w:rsidR="006910AF" w:rsidRDefault="006910AF" w:rsidP="006910AF">
      <w:pPr>
        <w:spacing w:after="0" w:line="276" w:lineRule="auto"/>
        <w:jc w:val="both"/>
        <w:rPr>
          <w:rFonts w:ascii="Tahoma" w:hAnsi="Tahoma" w:cs="Tahoma"/>
          <w:sz w:val="24"/>
          <w:szCs w:val="24"/>
        </w:rPr>
      </w:pPr>
    </w:p>
    <w:p w14:paraId="6CDECCE0" w14:textId="0446B4E0" w:rsidR="00F41512" w:rsidRPr="006910AF" w:rsidRDefault="00F41512" w:rsidP="006910AF">
      <w:pPr>
        <w:spacing w:after="0" w:line="276" w:lineRule="auto"/>
        <w:jc w:val="both"/>
        <w:rPr>
          <w:rFonts w:ascii="Tahoma" w:hAnsi="Tahoma" w:cs="Tahoma"/>
          <w:sz w:val="24"/>
          <w:szCs w:val="24"/>
        </w:rPr>
      </w:pPr>
      <w:r w:rsidRPr="006910AF">
        <w:rPr>
          <w:rFonts w:ascii="Tahoma" w:hAnsi="Tahoma" w:cs="Tahoma"/>
          <w:sz w:val="24"/>
          <w:szCs w:val="24"/>
        </w:rPr>
        <w:t>La Magistrada,</w:t>
      </w:r>
    </w:p>
    <w:p w14:paraId="3A66AEC7" w14:textId="32958F37" w:rsidR="00F41512" w:rsidRDefault="00F41512" w:rsidP="006910AF">
      <w:pPr>
        <w:spacing w:after="0" w:line="276" w:lineRule="auto"/>
        <w:jc w:val="both"/>
        <w:rPr>
          <w:rFonts w:ascii="Tahoma" w:hAnsi="Tahoma" w:cs="Tahoma"/>
          <w:sz w:val="24"/>
          <w:szCs w:val="24"/>
        </w:rPr>
      </w:pPr>
    </w:p>
    <w:p w14:paraId="2EA3FAC9" w14:textId="77777777" w:rsidR="006910AF" w:rsidRPr="006910AF" w:rsidRDefault="006910AF" w:rsidP="006910AF">
      <w:pPr>
        <w:spacing w:after="0" w:line="276" w:lineRule="auto"/>
        <w:jc w:val="both"/>
        <w:rPr>
          <w:rFonts w:ascii="Tahoma" w:hAnsi="Tahoma" w:cs="Tahoma"/>
          <w:sz w:val="24"/>
          <w:szCs w:val="24"/>
        </w:rPr>
      </w:pPr>
    </w:p>
    <w:p w14:paraId="104BD672" w14:textId="353F9A4C" w:rsidR="00F41512" w:rsidRPr="006910AF" w:rsidRDefault="00F41512" w:rsidP="006910AF">
      <w:pPr>
        <w:spacing w:after="0" w:line="276" w:lineRule="auto"/>
        <w:jc w:val="both"/>
        <w:rPr>
          <w:rFonts w:ascii="Tahoma" w:hAnsi="Tahoma" w:cs="Tahoma"/>
          <w:sz w:val="24"/>
          <w:szCs w:val="24"/>
        </w:rPr>
      </w:pPr>
    </w:p>
    <w:p w14:paraId="640F2B53" w14:textId="77777777" w:rsidR="00456122" w:rsidRPr="006910AF" w:rsidRDefault="00456122" w:rsidP="006910AF">
      <w:pPr>
        <w:spacing w:after="0" w:line="276" w:lineRule="auto"/>
        <w:jc w:val="both"/>
        <w:rPr>
          <w:rFonts w:ascii="Tahoma" w:hAnsi="Tahoma" w:cs="Tahoma"/>
          <w:sz w:val="24"/>
          <w:szCs w:val="24"/>
        </w:rPr>
      </w:pPr>
    </w:p>
    <w:p w14:paraId="4113B543" w14:textId="21E37A1C" w:rsidR="00F41512" w:rsidRPr="006910AF" w:rsidRDefault="00F41512" w:rsidP="006910AF">
      <w:pPr>
        <w:spacing w:after="0" w:line="276" w:lineRule="auto"/>
        <w:rPr>
          <w:rFonts w:ascii="Tahoma" w:hAnsi="Tahoma" w:cs="Tahoma"/>
          <w:b/>
          <w:sz w:val="24"/>
          <w:szCs w:val="24"/>
        </w:rPr>
      </w:pPr>
      <w:r w:rsidRPr="006910AF">
        <w:rPr>
          <w:rFonts w:ascii="Tahoma" w:hAnsi="Tahoma" w:cs="Tahoma"/>
          <w:b/>
          <w:bCs/>
          <w:sz w:val="24"/>
          <w:szCs w:val="24"/>
        </w:rPr>
        <w:t>ADRIANA PATRICIA DÍAZ RAMÍREZ</w:t>
      </w:r>
    </w:p>
    <w:sectPr w:rsidR="00F41512" w:rsidRPr="006910AF" w:rsidSect="006910AF">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53CD" w14:textId="77777777" w:rsidR="00646AC7" w:rsidRDefault="00646AC7" w:rsidP="00E34EB3">
      <w:pPr>
        <w:spacing w:after="0" w:line="240" w:lineRule="auto"/>
      </w:pPr>
      <w:r>
        <w:separator/>
      </w:r>
    </w:p>
  </w:endnote>
  <w:endnote w:type="continuationSeparator" w:id="0">
    <w:p w14:paraId="174AD1F7" w14:textId="77777777" w:rsidR="00646AC7" w:rsidRDefault="00646AC7" w:rsidP="00E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1572" w14:textId="77777777" w:rsidR="00646AC7" w:rsidRDefault="00646AC7" w:rsidP="00E34EB3">
      <w:pPr>
        <w:spacing w:after="0" w:line="240" w:lineRule="auto"/>
      </w:pPr>
      <w:r>
        <w:separator/>
      </w:r>
    </w:p>
  </w:footnote>
  <w:footnote w:type="continuationSeparator" w:id="0">
    <w:p w14:paraId="182B5FCE" w14:textId="77777777" w:rsidR="00646AC7" w:rsidRDefault="00646AC7" w:rsidP="00E34EB3">
      <w:pPr>
        <w:spacing w:after="0" w:line="240" w:lineRule="auto"/>
      </w:pPr>
      <w:r>
        <w:continuationSeparator/>
      </w:r>
    </w:p>
  </w:footnote>
  <w:footnote w:id="1">
    <w:p w14:paraId="7494F7A1" w14:textId="77777777" w:rsidR="00294EB0" w:rsidRPr="006910AF" w:rsidRDefault="00294EB0" w:rsidP="006910AF">
      <w:pPr>
        <w:pStyle w:val="Textonotapie"/>
        <w:spacing w:line="240" w:lineRule="auto"/>
        <w:jc w:val="both"/>
        <w:rPr>
          <w:rFonts w:ascii="Arial" w:hAnsi="Arial" w:cs="Arial"/>
          <w:sz w:val="18"/>
          <w:szCs w:val="18"/>
        </w:rPr>
      </w:pPr>
      <w:r w:rsidRPr="006910AF">
        <w:rPr>
          <w:rFonts w:ascii="Arial" w:hAnsi="Arial" w:cs="Arial"/>
          <w:sz w:val="18"/>
          <w:szCs w:val="18"/>
          <w:vertAlign w:val="superscript"/>
        </w:rPr>
        <w:footnoteRef/>
      </w:r>
      <w:r w:rsidRPr="006910AF">
        <w:rPr>
          <w:rFonts w:ascii="Arial" w:hAnsi="Arial" w:cs="Arial"/>
          <w:sz w:val="18"/>
          <w:szCs w:val="18"/>
        </w:rPr>
        <w:t xml:space="preserve"> </w:t>
      </w:r>
      <w:r w:rsidRPr="006910AF">
        <w:rPr>
          <w:rFonts w:ascii="Arial" w:hAnsi="Arial" w:cs="Arial"/>
          <w:sz w:val="18"/>
          <w:szCs w:val="18"/>
          <w:lang w:eastAsia="x-none"/>
        </w:rPr>
        <w:t>Corte Suprema de Justicia, Sala de Casación Civil, Auto del 1 agosto de 2003.</w:t>
      </w:r>
    </w:p>
  </w:footnote>
  <w:footnote w:id="2">
    <w:p w14:paraId="5682C3E3" w14:textId="62A10E81" w:rsidR="00C23281" w:rsidRDefault="00C23281" w:rsidP="006910AF">
      <w:pPr>
        <w:pStyle w:val="Textonotapie"/>
        <w:spacing w:line="240" w:lineRule="auto"/>
        <w:jc w:val="both"/>
      </w:pPr>
      <w:r w:rsidRPr="006910AF">
        <w:rPr>
          <w:rStyle w:val="Refdenotaalpie"/>
          <w:rFonts w:ascii="Arial" w:hAnsi="Arial" w:cs="Arial"/>
          <w:sz w:val="18"/>
          <w:szCs w:val="18"/>
        </w:rPr>
        <w:footnoteRef/>
      </w:r>
      <w:r w:rsidRPr="006910AF">
        <w:rPr>
          <w:rFonts w:ascii="Arial" w:hAnsi="Arial" w:cs="Arial"/>
          <w:sz w:val="18"/>
          <w:szCs w:val="18"/>
        </w:rPr>
        <w:t xml:space="preserve"> Consejo de Estado, Sección Cuarta. 16 de agosto de 2007. E. No. 16439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C6D"/>
    <w:multiLevelType w:val="hybridMultilevel"/>
    <w:tmpl w:val="364A1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3C8755AA"/>
    <w:multiLevelType w:val="multilevel"/>
    <w:tmpl w:val="451EE62C"/>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5" w15:restartNumberingAfterBreak="0">
    <w:nsid w:val="425B63F1"/>
    <w:multiLevelType w:val="hybridMultilevel"/>
    <w:tmpl w:val="FFC6FCF4"/>
    <w:lvl w:ilvl="0" w:tplc="90D4B484">
      <w:start w:val="1"/>
      <w:numFmt w:val="lowerLetter"/>
      <w:lvlText w:val="%1)"/>
      <w:legacy w:legacy="1" w:legacySpace="120" w:legacyIndent="585"/>
      <w:lvlJc w:val="left"/>
      <w:pPr>
        <w:ind w:left="1755" w:hanging="585"/>
      </w:pPr>
    </w:lvl>
    <w:lvl w:ilvl="1" w:tplc="C74AFC4C">
      <w:start w:val="1"/>
      <w:numFmt w:val="lowerLetter"/>
      <w:lvlText w:val="%2."/>
      <w:legacy w:legacy="1" w:legacySpace="120" w:legacyIndent="360"/>
      <w:lvlJc w:val="left"/>
      <w:pPr>
        <w:ind w:left="2115" w:hanging="360"/>
      </w:pPr>
    </w:lvl>
    <w:lvl w:ilvl="2" w:tplc="91CA9D9A">
      <w:start w:val="1"/>
      <w:numFmt w:val="lowerRoman"/>
      <w:lvlText w:val="%3."/>
      <w:legacy w:legacy="1" w:legacySpace="120" w:legacyIndent="180"/>
      <w:lvlJc w:val="left"/>
      <w:pPr>
        <w:ind w:left="2295" w:hanging="180"/>
      </w:pPr>
    </w:lvl>
    <w:lvl w:ilvl="3" w:tplc="91222736">
      <w:start w:val="1"/>
      <w:numFmt w:val="decimal"/>
      <w:lvlText w:val="%4."/>
      <w:legacy w:legacy="1" w:legacySpace="120" w:legacyIndent="360"/>
      <w:lvlJc w:val="left"/>
      <w:pPr>
        <w:ind w:left="1530" w:hanging="360"/>
      </w:pPr>
    </w:lvl>
    <w:lvl w:ilvl="4" w:tplc="A08217C0">
      <w:start w:val="1"/>
      <w:numFmt w:val="lowerLetter"/>
      <w:lvlText w:val="%5."/>
      <w:legacy w:legacy="1" w:legacySpace="120" w:legacyIndent="360"/>
      <w:lvlJc w:val="left"/>
      <w:pPr>
        <w:ind w:left="3015" w:hanging="360"/>
      </w:pPr>
    </w:lvl>
    <w:lvl w:ilvl="5" w:tplc="89723EC4">
      <w:start w:val="1"/>
      <w:numFmt w:val="lowerRoman"/>
      <w:lvlText w:val="%6."/>
      <w:legacy w:legacy="1" w:legacySpace="120" w:legacyIndent="180"/>
      <w:lvlJc w:val="left"/>
      <w:pPr>
        <w:ind w:left="3195" w:hanging="180"/>
      </w:pPr>
    </w:lvl>
    <w:lvl w:ilvl="6" w:tplc="607AB7C0">
      <w:start w:val="1"/>
      <w:numFmt w:val="decimal"/>
      <w:lvlText w:val="%7."/>
      <w:legacy w:legacy="1" w:legacySpace="120" w:legacyIndent="360"/>
      <w:lvlJc w:val="left"/>
      <w:pPr>
        <w:ind w:left="3555" w:hanging="360"/>
      </w:pPr>
    </w:lvl>
    <w:lvl w:ilvl="7" w:tplc="D7F439D0">
      <w:start w:val="1"/>
      <w:numFmt w:val="lowerLetter"/>
      <w:lvlText w:val="%8."/>
      <w:legacy w:legacy="1" w:legacySpace="120" w:legacyIndent="360"/>
      <w:lvlJc w:val="left"/>
      <w:pPr>
        <w:ind w:left="3915" w:hanging="360"/>
      </w:pPr>
    </w:lvl>
    <w:lvl w:ilvl="8" w:tplc="4586A1E0">
      <w:start w:val="1"/>
      <w:numFmt w:val="lowerRoman"/>
      <w:lvlText w:val="%9."/>
      <w:legacy w:legacy="1" w:legacySpace="120" w:legacyIndent="180"/>
      <w:lvlJc w:val="left"/>
      <w:pPr>
        <w:ind w:left="4095" w:hanging="180"/>
      </w:pPr>
    </w:lvl>
  </w:abstractNum>
  <w:abstractNum w:abstractNumId="6" w15:restartNumberingAfterBreak="0">
    <w:nsid w:val="4FEF3D7D"/>
    <w:multiLevelType w:val="hybridMultilevel"/>
    <w:tmpl w:val="93001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FA5EF8"/>
    <w:multiLevelType w:val="hybridMultilevel"/>
    <w:tmpl w:val="44C0C8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574FB9"/>
    <w:multiLevelType w:val="hybridMultilevel"/>
    <w:tmpl w:val="3FCE321C"/>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15:restartNumberingAfterBreak="0">
    <w:nsid w:val="642A7E94"/>
    <w:multiLevelType w:val="hybridMultilevel"/>
    <w:tmpl w:val="BC0A5B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334F69"/>
    <w:multiLevelType w:val="multilevel"/>
    <w:tmpl w:val="DA00DBAC"/>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6AF680B"/>
    <w:multiLevelType w:val="hybridMultilevel"/>
    <w:tmpl w:val="AF781C16"/>
    <w:lvl w:ilvl="0" w:tplc="F330142E">
      <w:start w:val="1"/>
      <w:numFmt w:val="decimal"/>
      <w:lvlText w:val="%1."/>
      <w:lvlJc w:val="left"/>
      <w:pPr>
        <w:ind w:left="720" w:hanging="360"/>
      </w:pPr>
      <w:rPr>
        <w:rFonts w:ascii="Verdana" w:hAnsi="Verdana"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045B6"/>
    <w:multiLevelType w:val="hybridMultilevel"/>
    <w:tmpl w:val="CAE671C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5" w15:restartNumberingAfterBreak="0">
    <w:nsid w:val="7C162D85"/>
    <w:multiLevelType w:val="hybridMultilevel"/>
    <w:tmpl w:val="27F2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
  </w:num>
  <w:num w:numId="12">
    <w:abstractNumId w:val="15"/>
  </w:num>
  <w:num w:numId="13">
    <w:abstractNumId w:val="8"/>
  </w:num>
  <w:num w:numId="14">
    <w:abstractNumId w:val="7"/>
  </w:num>
  <w:num w:numId="15">
    <w:abstractNumId w:val="6"/>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78"/>
    <w:rsid w:val="00013220"/>
    <w:rsid w:val="000A69F3"/>
    <w:rsid w:val="000B0631"/>
    <w:rsid w:val="000B727C"/>
    <w:rsid w:val="000C1365"/>
    <w:rsid w:val="000C1845"/>
    <w:rsid w:val="000C246B"/>
    <w:rsid w:val="000F092F"/>
    <w:rsid w:val="000F1E86"/>
    <w:rsid w:val="000F2C88"/>
    <w:rsid w:val="0010773B"/>
    <w:rsid w:val="001351DF"/>
    <w:rsid w:val="001675B8"/>
    <w:rsid w:val="00167E75"/>
    <w:rsid w:val="001743F7"/>
    <w:rsid w:val="00183DB9"/>
    <w:rsid w:val="001939F0"/>
    <w:rsid w:val="001C1430"/>
    <w:rsid w:val="002125B9"/>
    <w:rsid w:val="0021316C"/>
    <w:rsid w:val="00222D1C"/>
    <w:rsid w:val="00250D7C"/>
    <w:rsid w:val="00257A08"/>
    <w:rsid w:val="002847F2"/>
    <w:rsid w:val="00294EB0"/>
    <w:rsid w:val="002A4BAF"/>
    <w:rsid w:val="002B09BA"/>
    <w:rsid w:val="002B4AFF"/>
    <w:rsid w:val="002C0D72"/>
    <w:rsid w:val="002D03FE"/>
    <w:rsid w:val="002F1114"/>
    <w:rsid w:val="00315424"/>
    <w:rsid w:val="00336F38"/>
    <w:rsid w:val="00344F25"/>
    <w:rsid w:val="003468D1"/>
    <w:rsid w:val="00354D69"/>
    <w:rsid w:val="00375332"/>
    <w:rsid w:val="00382845"/>
    <w:rsid w:val="00393CD3"/>
    <w:rsid w:val="00395E89"/>
    <w:rsid w:val="003B7575"/>
    <w:rsid w:val="003D196D"/>
    <w:rsid w:val="003E58E0"/>
    <w:rsid w:val="003F4A62"/>
    <w:rsid w:val="00403A17"/>
    <w:rsid w:val="004223D7"/>
    <w:rsid w:val="0042475F"/>
    <w:rsid w:val="00426B45"/>
    <w:rsid w:val="00431C90"/>
    <w:rsid w:val="004418DC"/>
    <w:rsid w:val="00456122"/>
    <w:rsid w:val="00467250"/>
    <w:rsid w:val="00477D63"/>
    <w:rsid w:val="0049688D"/>
    <w:rsid w:val="004B2C8F"/>
    <w:rsid w:val="004C6DE3"/>
    <w:rsid w:val="004D1775"/>
    <w:rsid w:val="004D6C51"/>
    <w:rsid w:val="004F7354"/>
    <w:rsid w:val="00557CA8"/>
    <w:rsid w:val="00591C09"/>
    <w:rsid w:val="005A3C1B"/>
    <w:rsid w:val="005E120D"/>
    <w:rsid w:val="005F004A"/>
    <w:rsid w:val="005F4408"/>
    <w:rsid w:val="00614DEA"/>
    <w:rsid w:val="00641E6F"/>
    <w:rsid w:val="00643873"/>
    <w:rsid w:val="00646AC7"/>
    <w:rsid w:val="00663551"/>
    <w:rsid w:val="00665F73"/>
    <w:rsid w:val="006858DF"/>
    <w:rsid w:val="00685C5B"/>
    <w:rsid w:val="0068641C"/>
    <w:rsid w:val="006910AF"/>
    <w:rsid w:val="006A54FD"/>
    <w:rsid w:val="006A5B72"/>
    <w:rsid w:val="006C02FA"/>
    <w:rsid w:val="006C6358"/>
    <w:rsid w:val="006D05D2"/>
    <w:rsid w:val="006D1002"/>
    <w:rsid w:val="006D103F"/>
    <w:rsid w:val="006F6153"/>
    <w:rsid w:val="00706A27"/>
    <w:rsid w:val="00742294"/>
    <w:rsid w:val="00747B69"/>
    <w:rsid w:val="00762673"/>
    <w:rsid w:val="00771013"/>
    <w:rsid w:val="0077347F"/>
    <w:rsid w:val="00782640"/>
    <w:rsid w:val="00783066"/>
    <w:rsid w:val="007A6432"/>
    <w:rsid w:val="007C2F78"/>
    <w:rsid w:val="007F181B"/>
    <w:rsid w:val="007F4F70"/>
    <w:rsid w:val="00801B58"/>
    <w:rsid w:val="00806E26"/>
    <w:rsid w:val="0082386C"/>
    <w:rsid w:val="0085209E"/>
    <w:rsid w:val="008607F4"/>
    <w:rsid w:val="008A6C3F"/>
    <w:rsid w:val="008B5935"/>
    <w:rsid w:val="008C4D1E"/>
    <w:rsid w:val="008D698D"/>
    <w:rsid w:val="008F66B2"/>
    <w:rsid w:val="0090386C"/>
    <w:rsid w:val="00907664"/>
    <w:rsid w:val="009126BF"/>
    <w:rsid w:val="009258F7"/>
    <w:rsid w:val="0096410A"/>
    <w:rsid w:val="00966531"/>
    <w:rsid w:val="00981B85"/>
    <w:rsid w:val="00981F96"/>
    <w:rsid w:val="009969E2"/>
    <w:rsid w:val="009A5273"/>
    <w:rsid w:val="009A5410"/>
    <w:rsid w:val="009E79D4"/>
    <w:rsid w:val="00A02750"/>
    <w:rsid w:val="00A20B06"/>
    <w:rsid w:val="00A20E4A"/>
    <w:rsid w:val="00A351EC"/>
    <w:rsid w:val="00A37B64"/>
    <w:rsid w:val="00A50C4A"/>
    <w:rsid w:val="00A63598"/>
    <w:rsid w:val="00A829CC"/>
    <w:rsid w:val="00A9052D"/>
    <w:rsid w:val="00A9168F"/>
    <w:rsid w:val="00AB72D4"/>
    <w:rsid w:val="00AC2B38"/>
    <w:rsid w:val="00AC3F49"/>
    <w:rsid w:val="00AD34CE"/>
    <w:rsid w:val="00AE2E28"/>
    <w:rsid w:val="00AE3E04"/>
    <w:rsid w:val="00AF2772"/>
    <w:rsid w:val="00B36014"/>
    <w:rsid w:val="00B6386E"/>
    <w:rsid w:val="00BD2450"/>
    <w:rsid w:val="00BD6CB1"/>
    <w:rsid w:val="00C03A5A"/>
    <w:rsid w:val="00C23281"/>
    <w:rsid w:val="00C27EF7"/>
    <w:rsid w:val="00C322E0"/>
    <w:rsid w:val="00C42412"/>
    <w:rsid w:val="00C45431"/>
    <w:rsid w:val="00C9161B"/>
    <w:rsid w:val="00C92C3E"/>
    <w:rsid w:val="00C94022"/>
    <w:rsid w:val="00CA47F2"/>
    <w:rsid w:val="00CB61AD"/>
    <w:rsid w:val="00CD397B"/>
    <w:rsid w:val="00CD5967"/>
    <w:rsid w:val="00CE166A"/>
    <w:rsid w:val="00D039EE"/>
    <w:rsid w:val="00D174B4"/>
    <w:rsid w:val="00D43D4C"/>
    <w:rsid w:val="00D54C1B"/>
    <w:rsid w:val="00D55B9A"/>
    <w:rsid w:val="00D61527"/>
    <w:rsid w:val="00D851EA"/>
    <w:rsid w:val="00D9662B"/>
    <w:rsid w:val="00DA3C4F"/>
    <w:rsid w:val="00DA4C13"/>
    <w:rsid w:val="00DC5783"/>
    <w:rsid w:val="00DD2DD0"/>
    <w:rsid w:val="00DE7477"/>
    <w:rsid w:val="00E131B9"/>
    <w:rsid w:val="00E13ACF"/>
    <w:rsid w:val="00E34EB3"/>
    <w:rsid w:val="00E46C04"/>
    <w:rsid w:val="00E60A89"/>
    <w:rsid w:val="00EE7550"/>
    <w:rsid w:val="00EF23DB"/>
    <w:rsid w:val="00EF2D18"/>
    <w:rsid w:val="00F00FB9"/>
    <w:rsid w:val="00F262E2"/>
    <w:rsid w:val="00F26AA3"/>
    <w:rsid w:val="00F35329"/>
    <w:rsid w:val="00F376EB"/>
    <w:rsid w:val="00F41512"/>
    <w:rsid w:val="00F55CFB"/>
    <w:rsid w:val="00F5785B"/>
    <w:rsid w:val="00F6711C"/>
    <w:rsid w:val="00FA6CAE"/>
    <w:rsid w:val="00FB2B86"/>
    <w:rsid w:val="00FC694E"/>
    <w:rsid w:val="00FC7FCA"/>
    <w:rsid w:val="00FF09D6"/>
    <w:rsid w:val="04E5BBD7"/>
    <w:rsid w:val="0766FAFE"/>
    <w:rsid w:val="08A63CEF"/>
    <w:rsid w:val="0A2721E2"/>
    <w:rsid w:val="0B201CCE"/>
    <w:rsid w:val="0BE6043F"/>
    <w:rsid w:val="0F62E78C"/>
    <w:rsid w:val="0F665611"/>
    <w:rsid w:val="0FEBEAF9"/>
    <w:rsid w:val="10146630"/>
    <w:rsid w:val="169F8C87"/>
    <w:rsid w:val="199CA5DE"/>
    <w:rsid w:val="1AED3728"/>
    <w:rsid w:val="1B6C2DDE"/>
    <w:rsid w:val="230B3F9F"/>
    <w:rsid w:val="2686D512"/>
    <w:rsid w:val="2808F2B1"/>
    <w:rsid w:val="289D8AD6"/>
    <w:rsid w:val="2F6CFC5F"/>
    <w:rsid w:val="3145D7BB"/>
    <w:rsid w:val="31B745C7"/>
    <w:rsid w:val="3484678B"/>
    <w:rsid w:val="36D2DA6C"/>
    <w:rsid w:val="3922765F"/>
    <w:rsid w:val="3E3E14E6"/>
    <w:rsid w:val="409BE9C4"/>
    <w:rsid w:val="40B3EE17"/>
    <w:rsid w:val="416939B6"/>
    <w:rsid w:val="44A4A93C"/>
    <w:rsid w:val="452FE2A7"/>
    <w:rsid w:val="45DA39AF"/>
    <w:rsid w:val="48CB38D9"/>
    <w:rsid w:val="4992CFD2"/>
    <w:rsid w:val="4AE426C3"/>
    <w:rsid w:val="4C78B853"/>
    <w:rsid w:val="4E80C5F8"/>
    <w:rsid w:val="4EAA465D"/>
    <w:rsid w:val="4F925519"/>
    <w:rsid w:val="50490083"/>
    <w:rsid w:val="50EF9F3F"/>
    <w:rsid w:val="5211014E"/>
    <w:rsid w:val="529DC0C6"/>
    <w:rsid w:val="53E615A4"/>
    <w:rsid w:val="56BDC715"/>
    <w:rsid w:val="58787DFB"/>
    <w:rsid w:val="5C4052B5"/>
    <w:rsid w:val="5E8A0929"/>
    <w:rsid w:val="5E8E8FA1"/>
    <w:rsid w:val="60DCA810"/>
    <w:rsid w:val="60F33FF0"/>
    <w:rsid w:val="63EE5896"/>
    <w:rsid w:val="6FAB4A62"/>
    <w:rsid w:val="7405C080"/>
    <w:rsid w:val="759CDE28"/>
    <w:rsid w:val="75E810CF"/>
    <w:rsid w:val="76949B34"/>
    <w:rsid w:val="76F2F333"/>
    <w:rsid w:val="770BA8F8"/>
    <w:rsid w:val="786BA55B"/>
    <w:rsid w:val="79D7923B"/>
    <w:rsid w:val="7ACB82A8"/>
    <w:rsid w:val="7F94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E77"/>
  <w15:chartTrackingRefBased/>
  <w15:docId w15:val="{32F18C43-2951-4DBA-AA33-05CA834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uiPriority w:val="99"/>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Ref. de nota al pie 2 Car,Appel note de bas de page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lang w:val="es-419"/>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 w:type="character" w:customStyle="1" w:styleId="apple-converted-space">
    <w:name w:val="apple-converted-space"/>
    <w:rsid w:val="00183DB9"/>
  </w:style>
  <w:style w:type="character" w:styleId="Textoennegrita">
    <w:name w:val="Strong"/>
    <w:basedOn w:val="Fuentedeprrafopredeter"/>
    <w:uiPriority w:val="22"/>
    <w:qFormat/>
    <w:rsid w:val="006D103F"/>
    <w:rPr>
      <w:b/>
      <w:bCs/>
    </w:rPr>
  </w:style>
  <w:style w:type="paragraph" w:customStyle="1" w:styleId="indentfl1punto5">
    <w:name w:val="indent_fl_1punto5"/>
    <w:basedOn w:val="Normal"/>
    <w:rsid w:val="006D10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20">
    <w:name w:val="Body Text 20"/>
    <w:basedOn w:val="Normal"/>
    <w:rsid w:val="00431C90"/>
    <w:pPr>
      <w:overflowPunct w:val="0"/>
      <w:autoSpaceDE w:val="0"/>
      <w:autoSpaceDN w:val="0"/>
      <w:adjustRightInd w:val="0"/>
      <w:spacing w:after="0" w:line="360" w:lineRule="auto"/>
      <w:ind w:firstLine="2835"/>
      <w:jc w:val="both"/>
      <w:textAlignment w:val="baseline"/>
    </w:pPr>
    <w:rPr>
      <w:rFonts w:ascii="Verdana" w:eastAsia="Times New Roman" w:hAnsi="Verdana" w:cs="Times New Roman"/>
      <w:sz w:val="24"/>
      <w:szCs w:val="20"/>
      <w:lang w:val="es-ES" w:eastAsia="es-ES"/>
    </w:rPr>
  </w:style>
  <w:style w:type="paragraph" w:styleId="NormalWeb">
    <w:name w:val="Normal (Web)"/>
    <w:basedOn w:val="Normal"/>
    <w:uiPriority w:val="99"/>
    <w:unhideWhenUsed/>
    <w:rsid w:val="00294EB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047">
      <w:bodyDiv w:val="1"/>
      <w:marLeft w:val="0"/>
      <w:marRight w:val="0"/>
      <w:marTop w:val="0"/>
      <w:marBottom w:val="0"/>
      <w:divBdr>
        <w:top w:val="none" w:sz="0" w:space="0" w:color="auto"/>
        <w:left w:val="none" w:sz="0" w:space="0" w:color="auto"/>
        <w:bottom w:val="none" w:sz="0" w:space="0" w:color="auto"/>
        <w:right w:val="none" w:sz="0" w:space="0" w:color="auto"/>
      </w:divBdr>
    </w:div>
    <w:div w:id="1131443438">
      <w:bodyDiv w:val="1"/>
      <w:marLeft w:val="0"/>
      <w:marRight w:val="0"/>
      <w:marTop w:val="0"/>
      <w:marBottom w:val="0"/>
      <w:divBdr>
        <w:top w:val="none" w:sz="0" w:space="0" w:color="auto"/>
        <w:left w:val="none" w:sz="0" w:space="0" w:color="auto"/>
        <w:bottom w:val="none" w:sz="0" w:space="0" w:color="auto"/>
        <w:right w:val="none" w:sz="0" w:space="0" w:color="auto"/>
      </w:divBdr>
    </w:div>
    <w:div w:id="1450783556">
      <w:bodyDiv w:val="1"/>
      <w:marLeft w:val="0"/>
      <w:marRight w:val="0"/>
      <w:marTop w:val="0"/>
      <w:marBottom w:val="0"/>
      <w:divBdr>
        <w:top w:val="none" w:sz="0" w:space="0" w:color="auto"/>
        <w:left w:val="none" w:sz="0" w:space="0" w:color="auto"/>
        <w:bottom w:val="none" w:sz="0" w:space="0" w:color="auto"/>
        <w:right w:val="none" w:sz="0" w:space="0" w:color="auto"/>
      </w:divBdr>
      <w:divsChild>
        <w:div w:id="2128424541">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sChild>
    </w:div>
    <w:div w:id="1657150944">
      <w:bodyDiv w:val="1"/>
      <w:marLeft w:val="0"/>
      <w:marRight w:val="0"/>
      <w:marTop w:val="0"/>
      <w:marBottom w:val="0"/>
      <w:divBdr>
        <w:top w:val="none" w:sz="0" w:space="0" w:color="auto"/>
        <w:left w:val="none" w:sz="0" w:space="0" w:color="auto"/>
        <w:bottom w:val="none" w:sz="0" w:space="0" w:color="auto"/>
        <w:right w:val="none" w:sz="0" w:space="0" w:color="auto"/>
      </w:divBdr>
    </w:div>
    <w:div w:id="1741515970">
      <w:bodyDiv w:val="1"/>
      <w:marLeft w:val="0"/>
      <w:marRight w:val="0"/>
      <w:marTop w:val="0"/>
      <w:marBottom w:val="0"/>
      <w:divBdr>
        <w:top w:val="none" w:sz="0" w:space="0" w:color="auto"/>
        <w:left w:val="none" w:sz="0" w:space="0" w:color="auto"/>
        <w:bottom w:val="none" w:sz="0" w:space="0" w:color="auto"/>
        <w:right w:val="none" w:sz="0" w:space="0" w:color="auto"/>
      </w:divBdr>
    </w:div>
    <w:div w:id="1975014208">
      <w:bodyDiv w:val="1"/>
      <w:marLeft w:val="0"/>
      <w:marRight w:val="0"/>
      <w:marTop w:val="0"/>
      <w:marBottom w:val="0"/>
      <w:divBdr>
        <w:top w:val="none" w:sz="0" w:space="0" w:color="auto"/>
        <w:left w:val="none" w:sz="0" w:space="0" w:color="auto"/>
        <w:bottom w:val="none" w:sz="0" w:space="0" w:color="auto"/>
        <w:right w:val="none" w:sz="0" w:space="0" w:color="auto"/>
      </w:divBdr>
      <w:divsChild>
        <w:div w:id="481965152">
          <w:marLeft w:val="0"/>
          <w:marRight w:val="0"/>
          <w:marTop w:val="0"/>
          <w:marBottom w:val="0"/>
          <w:divBdr>
            <w:top w:val="none" w:sz="0" w:space="0" w:color="auto"/>
            <w:left w:val="none" w:sz="0" w:space="0" w:color="auto"/>
            <w:bottom w:val="none" w:sz="0" w:space="0" w:color="auto"/>
            <w:right w:val="none" w:sz="0" w:space="0" w:color="auto"/>
          </w:divBdr>
        </w:div>
        <w:div w:id="1325940391">
          <w:marLeft w:val="0"/>
          <w:marRight w:val="0"/>
          <w:marTop w:val="0"/>
          <w:marBottom w:val="0"/>
          <w:divBdr>
            <w:top w:val="none" w:sz="0" w:space="0" w:color="auto"/>
            <w:left w:val="none" w:sz="0" w:space="0" w:color="auto"/>
            <w:bottom w:val="none" w:sz="0" w:space="0" w:color="auto"/>
            <w:right w:val="none" w:sz="0" w:space="0" w:color="auto"/>
          </w:divBdr>
        </w:div>
        <w:div w:id="651250341">
          <w:marLeft w:val="0"/>
          <w:marRight w:val="0"/>
          <w:marTop w:val="0"/>
          <w:marBottom w:val="0"/>
          <w:divBdr>
            <w:top w:val="none" w:sz="0" w:space="0" w:color="auto"/>
            <w:left w:val="none" w:sz="0" w:space="0" w:color="auto"/>
            <w:bottom w:val="none" w:sz="0" w:space="0" w:color="auto"/>
            <w:right w:val="none" w:sz="0" w:space="0" w:color="auto"/>
          </w:divBdr>
        </w:div>
        <w:div w:id="83434164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 w:id="768887470">
          <w:marLeft w:val="0"/>
          <w:marRight w:val="0"/>
          <w:marTop w:val="0"/>
          <w:marBottom w:val="0"/>
          <w:divBdr>
            <w:top w:val="none" w:sz="0" w:space="0" w:color="auto"/>
            <w:left w:val="none" w:sz="0" w:space="0" w:color="auto"/>
            <w:bottom w:val="none" w:sz="0" w:space="0" w:color="auto"/>
            <w:right w:val="none" w:sz="0" w:space="0" w:color="auto"/>
          </w:divBdr>
        </w:div>
        <w:div w:id="298220032">
          <w:marLeft w:val="0"/>
          <w:marRight w:val="0"/>
          <w:marTop w:val="0"/>
          <w:marBottom w:val="0"/>
          <w:divBdr>
            <w:top w:val="none" w:sz="0" w:space="0" w:color="auto"/>
            <w:left w:val="none" w:sz="0" w:space="0" w:color="auto"/>
            <w:bottom w:val="none" w:sz="0" w:space="0" w:color="auto"/>
            <w:right w:val="none" w:sz="0" w:space="0" w:color="auto"/>
          </w:divBdr>
        </w:div>
        <w:div w:id="88700178">
          <w:marLeft w:val="0"/>
          <w:marRight w:val="0"/>
          <w:marTop w:val="0"/>
          <w:marBottom w:val="0"/>
          <w:divBdr>
            <w:top w:val="none" w:sz="0" w:space="0" w:color="auto"/>
            <w:left w:val="none" w:sz="0" w:space="0" w:color="auto"/>
            <w:bottom w:val="none" w:sz="0" w:space="0" w:color="auto"/>
            <w:right w:val="none" w:sz="0" w:space="0" w:color="auto"/>
          </w:divBdr>
        </w:div>
        <w:div w:id="15990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man0321@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173B-DBA0-40C0-A09A-F723277B87A5}">
  <ds:schemaRefs>
    <ds:schemaRef ds:uri="http://schemas.microsoft.com/sharepoint/v3/contenttype/forms"/>
  </ds:schemaRefs>
</ds:datastoreItem>
</file>

<file path=customXml/itemProps2.xml><?xml version="1.0" encoding="utf-8"?>
<ds:datastoreItem xmlns:ds="http://schemas.openxmlformats.org/officeDocument/2006/customXml" ds:itemID="{C13D6F13-C5A5-47CD-BA39-9F4AA82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E214D-2BCD-43BD-986B-C87059DF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BE2F3-8C2C-46EB-8BF1-E5E06303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24</cp:revision>
  <cp:lastPrinted>2020-11-25T15:40:00Z</cp:lastPrinted>
  <dcterms:created xsi:type="dcterms:W3CDTF">2021-03-10T15:05:00Z</dcterms:created>
  <dcterms:modified xsi:type="dcterms:W3CDTF">2021-04-19T14:57:00Z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