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E24C6" w14:textId="77777777" w:rsidR="002842C5" w:rsidRPr="008A290B" w:rsidRDefault="002842C5" w:rsidP="002842C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55B63F" w14:textId="77777777" w:rsidR="002842C5" w:rsidRDefault="002842C5" w:rsidP="002842C5">
      <w:pPr>
        <w:jc w:val="both"/>
        <w:rPr>
          <w:rFonts w:ascii="Arial" w:hAnsi="Arial" w:cs="Arial"/>
          <w:lang w:val="es-419"/>
        </w:rPr>
      </w:pPr>
    </w:p>
    <w:p w14:paraId="443D3B18" w14:textId="0F25FE13" w:rsidR="002842C5" w:rsidRPr="00E32969" w:rsidRDefault="002842C5" w:rsidP="002842C5">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D677FF">
        <w:rPr>
          <w:rFonts w:ascii="Arial" w:hAnsi="Arial" w:cs="Arial"/>
          <w:b/>
          <w:bCs/>
          <w:iCs/>
          <w:sz w:val="20"/>
          <w:szCs w:val="20"/>
          <w:lang w:val="es-419" w:eastAsia="fr-FR"/>
        </w:rPr>
        <w:t>DERECHO DE PETICIÓN / CORRECCIÓN DE HISTORIA LABORAL / LA SOLICITUD SE CONTESTÓ EN DEBIDA FORMA / SEGURIDAD SOCIAL / PRINCIPIO DE SUBSIDIARIEDAD / EXISTENCIA DE OTRO MEDIO DE DEFENSA JUDICIAL.</w:t>
      </w:r>
    </w:p>
    <w:p w14:paraId="7C10E800" w14:textId="77777777" w:rsidR="002842C5" w:rsidRPr="00E32969" w:rsidRDefault="002842C5" w:rsidP="002842C5">
      <w:pPr>
        <w:jc w:val="both"/>
        <w:rPr>
          <w:rFonts w:ascii="Arial" w:hAnsi="Arial" w:cs="Arial"/>
          <w:lang w:val="es-419"/>
        </w:rPr>
      </w:pPr>
    </w:p>
    <w:p w14:paraId="2FA13180" w14:textId="1AE9D6E8" w:rsidR="002842C5" w:rsidRPr="00E32969" w:rsidRDefault="00965C0B" w:rsidP="002842C5">
      <w:pPr>
        <w:jc w:val="both"/>
        <w:rPr>
          <w:rFonts w:ascii="Arial" w:hAnsi="Arial" w:cs="Arial"/>
          <w:lang w:val="es-419"/>
        </w:rPr>
      </w:pPr>
      <w:r w:rsidRPr="00965C0B">
        <w:rPr>
          <w:rFonts w:ascii="Arial" w:hAnsi="Arial" w:cs="Arial"/>
          <w:lang w:val="es-419"/>
        </w:rPr>
        <w:t>El caso concreto se reduce a la queja constitucional planteada contra Colpensiones por la falta de corrección de la historia laboral de la accionante, a fin de incluir periodos que ha decidido desechar por ser presuntamente extemporáneos. Se alega que la decisión de la demandada de no acceder a dicha subsanación contradice el precedente jurisprudencial relativo a la manera cómo se deben incluir las semanas de los trabajadores independientes cuando se trasladan del régimen de ahorro individual al de prima media</w:t>
      </w:r>
      <w:r>
        <w:rPr>
          <w:rFonts w:ascii="Arial" w:hAnsi="Arial" w:cs="Arial"/>
          <w:lang w:val="es-419"/>
        </w:rPr>
        <w:t>…</w:t>
      </w:r>
    </w:p>
    <w:p w14:paraId="55F4CBBF" w14:textId="77777777" w:rsidR="002842C5" w:rsidRPr="00E32969" w:rsidRDefault="002842C5" w:rsidP="002842C5">
      <w:pPr>
        <w:jc w:val="both"/>
        <w:rPr>
          <w:rFonts w:ascii="Arial" w:hAnsi="Arial" w:cs="Arial"/>
          <w:lang w:val="es-419"/>
        </w:rPr>
      </w:pPr>
    </w:p>
    <w:p w14:paraId="26B31691" w14:textId="45D8AC9D" w:rsidR="00DE3EA5" w:rsidRPr="00DE3EA5" w:rsidRDefault="00DE3EA5" w:rsidP="00DE3EA5">
      <w:pPr>
        <w:jc w:val="both"/>
        <w:rPr>
          <w:rFonts w:ascii="Arial" w:hAnsi="Arial" w:cs="Arial"/>
          <w:lang w:val="es-419"/>
        </w:rPr>
      </w:pPr>
      <w:r w:rsidRPr="00DE3EA5">
        <w:rPr>
          <w:rFonts w:ascii="Arial" w:hAnsi="Arial" w:cs="Arial"/>
          <w:lang w:val="es-419"/>
        </w:rPr>
        <w:t>Para iniciar el análisis del caso, es preciso señalar que, tal como lo dedujo el despacho de primera instancia, en este caso no se presentó lesión al derecho a realizar peticiones respetuosas como quiera que, contrario a lo afirmado en la demanda, la solicitud que elevó la actora el 27 de enero hogaño</w:t>
      </w:r>
      <w:r>
        <w:rPr>
          <w:rFonts w:ascii="Arial" w:hAnsi="Arial" w:cs="Arial"/>
          <w:lang w:val="es-419"/>
        </w:rPr>
        <w:t>…</w:t>
      </w:r>
      <w:r w:rsidRPr="00DE3EA5">
        <w:rPr>
          <w:rFonts w:ascii="Arial" w:hAnsi="Arial" w:cs="Arial"/>
          <w:lang w:val="es-419"/>
        </w:rPr>
        <w:t xml:space="preserve"> fue efectivamente contestada por oficio del 15 de febrero último en el que se le informó a la actora que tales ciclos fueron sufragados de forma extemporánea.</w:t>
      </w:r>
    </w:p>
    <w:p w14:paraId="3F75882D" w14:textId="77777777" w:rsidR="00DE3EA5" w:rsidRPr="00DE3EA5" w:rsidRDefault="00DE3EA5" w:rsidP="00DE3EA5">
      <w:pPr>
        <w:jc w:val="both"/>
        <w:rPr>
          <w:rFonts w:ascii="Arial" w:hAnsi="Arial" w:cs="Arial"/>
          <w:lang w:val="es-419"/>
        </w:rPr>
      </w:pPr>
    </w:p>
    <w:p w14:paraId="2B394CD5" w14:textId="2CCC2B14" w:rsidR="002842C5" w:rsidRDefault="00DE3EA5" w:rsidP="00DE3EA5">
      <w:pPr>
        <w:jc w:val="both"/>
        <w:rPr>
          <w:rFonts w:ascii="Arial" w:hAnsi="Arial" w:cs="Arial"/>
          <w:lang w:val="es-419"/>
        </w:rPr>
      </w:pPr>
      <w:r w:rsidRPr="00DE3EA5">
        <w:rPr>
          <w:rFonts w:ascii="Arial" w:hAnsi="Arial" w:cs="Arial"/>
          <w:lang w:val="es-419"/>
        </w:rPr>
        <w:t>Esa respuesta, además, aparece enviada y recibida en la misma dirección de correspondencia que la peticionaria ofrece en el escrito de tutela</w:t>
      </w:r>
      <w:r w:rsidR="00D81A0E">
        <w:rPr>
          <w:rFonts w:ascii="Arial" w:hAnsi="Arial" w:cs="Arial"/>
          <w:lang w:val="es-419"/>
        </w:rPr>
        <w:t>…</w:t>
      </w:r>
    </w:p>
    <w:p w14:paraId="5045572D" w14:textId="77777777" w:rsidR="002842C5" w:rsidRDefault="002842C5" w:rsidP="002842C5">
      <w:pPr>
        <w:jc w:val="both"/>
        <w:rPr>
          <w:rFonts w:ascii="Arial" w:hAnsi="Arial" w:cs="Arial"/>
          <w:lang w:val="es-419"/>
        </w:rPr>
      </w:pPr>
    </w:p>
    <w:p w14:paraId="0F2E4459" w14:textId="6EACFBA2" w:rsidR="002842C5" w:rsidRPr="00E32969" w:rsidRDefault="00D81A0E" w:rsidP="002842C5">
      <w:pPr>
        <w:jc w:val="both"/>
        <w:rPr>
          <w:rFonts w:ascii="Arial" w:hAnsi="Arial" w:cs="Arial"/>
          <w:lang w:val="es-419"/>
        </w:rPr>
      </w:pPr>
      <w:r w:rsidRPr="00D81A0E">
        <w:rPr>
          <w:rFonts w:ascii="Arial" w:hAnsi="Arial" w:cs="Arial"/>
          <w:lang w:val="es-419"/>
        </w:rPr>
        <w:t>Frente al amparo solicitado respecto del derecho a la seguridad social, es necesario indicar que lo que en últimas se plantea es un conflicto entre un afiliado y las entidades que conforman el régimen de pensiones, para cuya definición se cuenta con un mecanismo judicial idóneo a cargo de la justicia laboral, que no puede ser desplazada por el juez constitucional.</w:t>
      </w:r>
    </w:p>
    <w:p w14:paraId="7D00CC7E" w14:textId="52473EF6" w:rsidR="002842C5" w:rsidRDefault="002842C5" w:rsidP="002842C5">
      <w:pPr>
        <w:jc w:val="both"/>
        <w:rPr>
          <w:rFonts w:ascii="Arial" w:hAnsi="Arial" w:cs="Arial"/>
        </w:rPr>
      </w:pPr>
    </w:p>
    <w:p w14:paraId="1247392A" w14:textId="7699DB73" w:rsidR="00D81A0E" w:rsidRDefault="00D81A0E" w:rsidP="002842C5">
      <w:pPr>
        <w:jc w:val="both"/>
        <w:rPr>
          <w:rFonts w:ascii="Arial" w:hAnsi="Arial" w:cs="Arial"/>
        </w:rPr>
      </w:pPr>
      <w:r w:rsidRPr="00D81A0E">
        <w:rPr>
          <w:rFonts w:ascii="Arial" w:hAnsi="Arial" w:cs="Arial"/>
        </w:rPr>
        <w:t>En efecto, si de lo que se trata es del cumplimiento de una sentencia ejecutoriada proferida dentro de un proceso declarativo laboral, como se insinúa al señalarse que Colpensiones no está cumpliendo la orden de traslado como se le ordenó, lo cierto es que dicha sentencia contiene mandatos de hacer que serían ejecutables por la vía de un proceso ejecutivo</w:t>
      </w:r>
      <w:r w:rsidR="006F3ECB">
        <w:rPr>
          <w:rFonts w:ascii="Arial" w:hAnsi="Arial" w:cs="Arial"/>
        </w:rPr>
        <w:t>…</w:t>
      </w:r>
    </w:p>
    <w:p w14:paraId="38A46664" w14:textId="77777777" w:rsidR="00D81A0E" w:rsidRDefault="00D81A0E" w:rsidP="002842C5">
      <w:pPr>
        <w:jc w:val="both"/>
        <w:rPr>
          <w:rFonts w:ascii="Arial" w:hAnsi="Arial" w:cs="Arial"/>
        </w:rPr>
      </w:pPr>
    </w:p>
    <w:p w14:paraId="22B1E686" w14:textId="77777777" w:rsidR="002842C5" w:rsidRDefault="002842C5" w:rsidP="002842C5">
      <w:pPr>
        <w:jc w:val="both"/>
        <w:rPr>
          <w:rFonts w:ascii="Arial" w:hAnsi="Arial" w:cs="Arial"/>
        </w:rPr>
      </w:pPr>
    </w:p>
    <w:p w14:paraId="1DE57A20" w14:textId="77777777" w:rsidR="002842C5" w:rsidRDefault="002842C5" w:rsidP="002842C5">
      <w:pPr>
        <w:jc w:val="both"/>
        <w:rPr>
          <w:rFonts w:ascii="Arial" w:hAnsi="Arial" w:cs="Arial"/>
        </w:rPr>
      </w:pPr>
    </w:p>
    <w:bookmarkEnd w:id="0"/>
    <w:p w14:paraId="498CFF42" w14:textId="77777777" w:rsidR="003E5CA4" w:rsidRPr="002842C5" w:rsidRDefault="003E5CA4" w:rsidP="002842C5">
      <w:pPr>
        <w:spacing w:line="276" w:lineRule="auto"/>
        <w:jc w:val="center"/>
        <w:rPr>
          <w:rFonts w:ascii="Arial Narrow" w:hAnsi="Arial Narrow"/>
          <w:b/>
          <w:sz w:val="26"/>
          <w:szCs w:val="26"/>
        </w:rPr>
      </w:pPr>
      <w:r w:rsidRPr="002842C5">
        <w:rPr>
          <w:rFonts w:ascii="Arial Narrow" w:hAnsi="Arial Narrow"/>
          <w:b/>
          <w:sz w:val="26"/>
          <w:szCs w:val="26"/>
        </w:rPr>
        <w:t>REPÚBLICA DE COLOMBIA</w:t>
      </w:r>
    </w:p>
    <w:p w14:paraId="41297306" w14:textId="77777777" w:rsidR="003E5CA4" w:rsidRPr="002842C5" w:rsidRDefault="003E5CA4" w:rsidP="002842C5">
      <w:pPr>
        <w:spacing w:line="276" w:lineRule="auto"/>
        <w:jc w:val="center"/>
        <w:rPr>
          <w:rFonts w:ascii="Arial Narrow" w:hAnsi="Arial Narrow"/>
          <w:b/>
          <w:sz w:val="26"/>
          <w:szCs w:val="26"/>
        </w:rPr>
      </w:pPr>
      <w:r w:rsidRPr="002842C5">
        <w:rPr>
          <w:rFonts w:ascii="Arial Narrow" w:hAnsi="Arial Narrow"/>
          <w:noProof/>
          <w:sz w:val="26"/>
          <w:szCs w:val="26"/>
          <w:lang w:val="es-CO" w:eastAsia="es-CO"/>
        </w:rPr>
        <w:drawing>
          <wp:inline distT="0" distB="0" distL="0" distR="0" wp14:anchorId="7D1616C0" wp14:editId="5373AE13">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E2E842B" w14:textId="77777777" w:rsidR="003E5CA4" w:rsidRPr="002842C5" w:rsidRDefault="003E5CA4" w:rsidP="002842C5">
      <w:pPr>
        <w:spacing w:line="276" w:lineRule="auto"/>
        <w:jc w:val="center"/>
        <w:rPr>
          <w:rFonts w:ascii="Arial Narrow" w:hAnsi="Arial Narrow"/>
          <w:b/>
          <w:sz w:val="26"/>
          <w:szCs w:val="26"/>
        </w:rPr>
      </w:pPr>
      <w:r w:rsidRPr="002842C5">
        <w:rPr>
          <w:rFonts w:ascii="Arial Narrow" w:hAnsi="Arial Narrow"/>
          <w:b/>
          <w:sz w:val="26"/>
          <w:szCs w:val="26"/>
        </w:rPr>
        <w:t>TRIBUNAL SUPERIOR DE PEREIRA</w:t>
      </w:r>
    </w:p>
    <w:p w14:paraId="09916168" w14:textId="77777777" w:rsidR="003E5CA4" w:rsidRPr="002842C5" w:rsidRDefault="003E5CA4" w:rsidP="002842C5">
      <w:pPr>
        <w:spacing w:line="276" w:lineRule="auto"/>
        <w:jc w:val="center"/>
        <w:rPr>
          <w:rFonts w:ascii="Arial Narrow" w:hAnsi="Arial Narrow"/>
          <w:b/>
          <w:sz w:val="26"/>
          <w:szCs w:val="26"/>
        </w:rPr>
      </w:pPr>
      <w:r w:rsidRPr="002842C5">
        <w:rPr>
          <w:rFonts w:ascii="Arial Narrow" w:hAnsi="Arial Narrow"/>
          <w:b/>
          <w:sz w:val="26"/>
          <w:szCs w:val="26"/>
        </w:rPr>
        <w:t>SALA</w:t>
      </w:r>
      <w:r w:rsidR="00E44D7A" w:rsidRPr="002842C5">
        <w:rPr>
          <w:rFonts w:ascii="Arial Narrow" w:hAnsi="Arial Narrow"/>
          <w:b/>
          <w:sz w:val="26"/>
          <w:szCs w:val="26"/>
        </w:rPr>
        <w:t xml:space="preserve"> 1 DE ASUNTOS PENALES PARA ADOLESCENTES</w:t>
      </w:r>
      <w:r w:rsidRPr="002842C5">
        <w:rPr>
          <w:rFonts w:ascii="Arial Narrow" w:hAnsi="Arial Narrow"/>
          <w:b/>
          <w:sz w:val="26"/>
          <w:szCs w:val="26"/>
        </w:rPr>
        <w:t xml:space="preserve"> </w:t>
      </w:r>
    </w:p>
    <w:p w14:paraId="295288F5" w14:textId="77777777" w:rsidR="003E5CA4" w:rsidRPr="002842C5" w:rsidRDefault="003E5CA4" w:rsidP="002842C5">
      <w:pPr>
        <w:pStyle w:val="Sinespaciado"/>
        <w:spacing w:line="276" w:lineRule="auto"/>
        <w:rPr>
          <w:rFonts w:ascii="Arial Narrow" w:hAnsi="Arial Narrow"/>
          <w:sz w:val="26"/>
          <w:szCs w:val="26"/>
          <w:lang w:val="es-ES_tradnl"/>
        </w:rPr>
      </w:pPr>
    </w:p>
    <w:p w14:paraId="5E5CDEFE" w14:textId="7CBECDE6" w:rsidR="003E5CA4" w:rsidRPr="002842C5" w:rsidRDefault="00C46475" w:rsidP="002842C5">
      <w:pPr>
        <w:pStyle w:val="Sinespaciado"/>
        <w:spacing w:line="276" w:lineRule="auto"/>
        <w:jc w:val="center"/>
        <w:rPr>
          <w:rFonts w:ascii="Arial Narrow" w:hAnsi="Arial Narrow"/>
          <w:bCs/>
          <w:sz w:val="26"/>
          <w:szCs w:val="26"/>
        </w:rPr>
      </w:pPr>
      <w:r w:rsidRPr="002842C5">
        <w:rPr>
          <w:rFonts w:ascii="Arial Narrow" w:hAnsi="Arial Narrow"/>
          <w:bCs/>
          <w:sz w:val="26"/>
          <w:szCs w:val="26"/>
        </w:rPr>
        <w:t>Magistrado Ponente</w:t>
      </w:r>
      <w:r w:rsidR="003E5CA4" w:rsidRPr="002842C5">
        <w:rPr>
          <w:rFonts w:ascii="Arial Narrow" w:hAnsi="Arial Narrow"/>
          <w:bCs/>
          <w:sz w:val="26"/>
          <w:szCs w:val="26"/>
        </w:rPr>
        <w:t xml:space="preserve">: </w:t>
      </w:r>
      <w:r w:rsidR="003E5CA4" w:rsidRPr="00C46475">
        <w:rPr>
          <w:rFonts w:ascii="Arial Narrow" w:hAnsi="Arial Narrow"/>
          <w:b/>
          <w:bCs/>
          <w:sz w:val="26"/>
          <w:szCs w:val="26"/>
        </w:rPr>
        <w:t>CARLOS MAURICIO GARCÍA BARAJAS</w:t>
      </w:r>
    </w:p>
    <w:p w14:paraId="391D8E54" w14:textId="77777777" w:rsidR="00097DBF" w:rsidRPr="002842C5" w:rsidRDefault="00097DBF" w:rsidP="002842C5">
      <w:pPr>
        <w:pStyle w:val="Sinespaciado"/>
        <w:spacing w:line="276" w:lineRule="auto"/>
        <w:jc w:val="center"/>
        <w:rPr>
          <w:rFonts w:ascii="Arial Narrow" w:hAnsi="Arial Narrow"/>
          <w:sz w:val="26"/>
          <w:szCs w:val="26"/>
        </w:rPr>
      </w:pPr>
    </w:p>
    <w:p w14:paraId="54CEB230" w14:textId="194ED273" w:rsidR="003E5CA4" w:rsidRPr="002842C5" w:rsidRDefault="003E5CA4" w:rsidP="002842C5">
      <w:pPr>
        <w:pStyle w:val="Sinespaciado"/>
        <w:spacing w:line="276" w:lineRule="auto"/>
        <w:jc w:val="center"/>
        <w:rPr>
          <w:rFonts w:ascii="Arial Narrow" w:hAnsi="Arial Narrow"/>
          <w:sz w:val="26"/>
          <w:szCs w:val="26"/>
        </w:rPr>
      </w:pPr>
      <w:r w:rsidRPr="002842C5">
        <w:rPr>
          <w:rFonts w:ascii="Arial Narrow" w:hAnsi="Arial Narrow"/>
          <w:sz w:val="26"/>
          <w:szCs w:val="26"/>
        </w:rPr>
        <w:t>Pereira,</w:t>
      </w:r>
      <w:r w:rsidR="00097DBF" w:rsidRPr="002842C5">
        <w:rPr>
          <w:rFonts w:ascii="Arial Narrow" w:hAnsi="Arial Narrow"/>
          <w:sz w:val="26"/>
          <w:szCs w:val="26"/>
        </w:rPr>
        <w:t xml:space="preserve"> veintidós</w:t>
      </w:r>
      <w:r w:rsidRPr="002842C5">
        <w:rPr>
          <w:rFonts w:ascii="Arial Narrow" w:hAnsi="Arial Narrow"/>
          <w:sz w:val="26"/>
          <w:szCs w:val="26"/>
        </w:rPr>
        <w:t xml:space="preserve"> (</w:t>
      </w:r>
      <w:r w:rsidR="00097DBF" w:rsidRPr="002842C5">
        <w:rPr>
          <w:rFonts w:ascii="Arial Narrow" w:hAnsi="Arial Narrow"/>
          <w:sz w:val="26"/>
          <w:szCs w:val="26"/>
        </w:rPr>
        <w:t>22</w:t>
      </w:r>
      <w:r w:rsidRPr="002842C5">
        <w:rPr>
          <w:rFonts w:ascii="Arial Narrow" w:hAnsi="Arial Narrow"/>
          <w:sz w:val="26"/>
          <w:szCs w:val="26"/>
        </w:rPr>
        <w:t xml:space="preserve">) de </w:t>
      </w:r>
      <w:r w:rsidR="007839D0" w:rsidRPr="002842C5">
        <w:rPr>
          <w:rFonts w:ascii="Arial Narrow" w:hAnsi="Arial Narrow"/>
          <w:sz w:val="26"/>
          <w:szCs w:val="26"/>
        </w:rPr>
        <w:t>junio</w:t>
      </w:r>
      <w:r w:rsidRPr="002842C5">
        <w:rPr>
          <w:rFonts w:ascii="Arial Narrow" w:hAnsi="Arial Narrow"/>
          <w:sz w:val="26"/>
          <w:szCs w:val="26"/>
        </w:rPr>
        <w:t xml:space="preserve"> de dos mil veintiuno (2021)</w:t>
      </w:r>
    </w:p>
    <w:p w14:paraId="1896C1DE" w14:textId="77777777" w:rsidR="003E5CA4" w:rsidRPr="002842C5" w:rsidRDefault="003E5CA4" w:rsidP="002842C5">
      <w:pPr>
        <w:pStyle w:val="Sinespaciado"/>
        <w:spacing w:line="276" w:lineRule="auto"/>
        <w:rPr>
          <w:rFonts w:ascii="Arial Narrow" w:hAnsi="Arial Narrow"/>
          <w:sz w:val="26"/>
          <w:szCs w:val="26"/>
        </w:rPr>
      </w:pPr>
    </w:p>
    <w:p w14:paraId="6A9820BC" w14:textId="38B464BF" w:rsidR="003E5CA4" w:rsidRPr="00C46475" w:rsidRDefault="003E5CA4" w:rsidP="00C46475">
      <w:pPr>
        <w:pStyle w:val="Sinespaciado"/>
        <w:ind w:left="993"/>
        <w:rPr>
          <w:rFonts w:ascii="Arial Narrow" w:hAnsi="Arial Narrow"/>
          <w:sz w:val="24"/>
          <w:szCs w:val="26"/>
          <w:lang w:val="pt-BR"/>
        </w:rPr>
      </w:pPr>
      <w:r w:rsidRPr="002842C5">
        <w:rPr>
          <w:rFonts w:ascii="Arial Narrow" w:hAnsi="Arial Narrow"/>
          <w:sz w:val="26"/>
          <w:szCs w:val="26"/>
        </w:rPr>
        <w:tab/>
      </w:r>
      <w:r w:rsidRPr="00C46475">
        <w:rPr>
          <w:rFonts w:ascii="Arial Narrow" w:hAnsi="Arial Narrow"/>
          <w:sz w:val="24"/>
          <w:szCs w:val="26"/>
          <w:lang w:val="pt-BR"/>
        </w:rPr>
        <w:t xml:space="preserve">Acta N° </w:t>
      </w:r>
      <w:r w:rsidR="007F334B" w:rsidRPr="00C46475">
        <w:rPr>
          <w:rFonts w:ascii="Arial Narrow" w:hAnsi="Arial Narrow"/>
          <w:sz w:val="24"/>
          <w:szCs w:val="26"/>
          <w:lang w:val="pt-BR"/>
        </w:rPr>
        <w:t>293</w:t>
      </w:r>
      <w:r w:rsidRPr="00C46475">
        <w:rPr>
          <w:rFonts w:ascii="Arial Narrow" w:hAnsi="Arial Narrow"/>
          <w:sz w:val="24"/>
          <w:szCs w:val="26"/>
          <w:lang w:val="pt-BR"/>
        </w:rPr>
        <w:t xml:space="preserve"> de </w:t>
      </w:r>
      <w:r w:rsidR="007F334B" w:rsidRPr="00C46475">
        <w:rPr>
          <w:rFonts w:ascii="Arial Narrow" w:hAnsi="Arial Narrow"/>
          <w:sz w:val="24"/>
          <w:szCs w:val="26"/>
          <w:lang w:val="pt-BR"/>
        </w:rPr>
        <w:t>22</w:t>
      </w:r>
      <w:r w:rsidR="007839D0" w:rsidRPr="00C46475">
        <w:rPr>
          <w:rFonts w:ascii="Arial Narrow" w:hAnsi="Arial Narrow"/>
          <w:sz w:val="24"/>
          <w:szCs w:val="26"/>
          <w:lang w:val="pt-BR"/>
        </w:rPr>
        <w:t>-06</w:t>
      </w:r>
      <w:r w:rsidRPr="00C46475">
        <w:rPr>
          <w:rFonts w:ascii="Arial Narrow" w:hAnsi="Arial Narrow"/>
          <w:sz w:val="24"/>
          <w:szCs w:val="26"/>
          <w:lang w:val="pt-BR"/>
        </w:rPr>
        <w:t>-2021</w:t>
      </w:r>
    </w:p>
    <w:p w14:paraId="692CCA40" w14:textId="4F18E85E" w:rsidR="003E5CA4" w:rsidRPr="00C46475" w:rsidRDefault="003E5CA4" w:rsidP="00C46475">
      <w:pPr>
        <w:pStyle w:val="Sinespaciado"/>
        <w:ind w:left="993"/>
        <w:rPr>
          <w:rFonts w:ascii="Arial Narrow" w:hAnsi="Arial Narrow"/>
          <w:sz w:val="24"/>
          <w:szCs w:val="26"/>
        </w:rPr>
      </w:pPr>
      <w:r w:rsidRPr="00C46475">
        <w:rPr>
          <w:rFonts w:ascii="Arial Narrow" w:hAnsi="Arial Narrow"/>
          <w:sz w:val="24"/>
          <w:szCs w:val="26"/>
          <w:lang w:val="pt-BR"/>
        </w:rPr>
        <w:tab/>
        <w:t xml:space="preserve">Sentencia: TSP. </w:t>
      </w:r>
      <w:r w:rsidRPr="00C46475">
        <w:rPr>
          <w:rFonts w:ascii="Arial Narrow" w:hAnsi="Arial Narrow"/>
          <w:sz w:val="24"/>
          <w:szCs w:val="26"/>
        </w:rPr>
        <w:t>ST2-0</w:t>
      </w:r>
      <w:r w:rsidR="002B1927" w:rsidRPr="00C46475">
        <w:rPr>
          <w:rFonts w:ascii="Arial Narrow" w:hAnsi="Arial Narrow"/>
          <w:sz w:val="24"/>
          <w:szCs w:val="26"/>
        </w:rPr>
        <w:t>197</w:t>
      </w:r>
      <w:r w:rsidRPr="00C46475">
        <w:rPr>
          <w:rFonts w:ascii="Arial Narrow" w:hAnsi="Arial Narrow"/>
          <w:sz w:val="24"/>
          <w:szCs w:val="26"/>
        </w:rPr>
        <w:t>-2021</w:t>
      </w:r>
    </w:p>
    <w:p w14:paraId="7657E00C" w14:textId="77777777" w:rsidR="003E5CA4" w:rsidRPr="00C46475" w:rsidRDefault="003E5CA4" w:rsidP="00C46475">
      <w:pPr>
        <w:pStyle w:val="Sinespaciado"/>
        <w:ind w:left="993"/>
        <w:rPr>
          <w:rFonts w:ascii="Arial Narrow" w:hAnsi="Arial Narrow"/>
          <w:i/>
          <w:sz w:val="24"/>
          <w:szCs w:val="26"/>
        </w:rPr>
      </w:pPr>
      <w:r w:rsidRPr="00C46475">
        <w:rPr>
          <w:rFonts w:ascii="Arial Narrow" w:hAnsi="Arial Narrow"/>
          <w:sz w:val="24"/>
          <w:szCs w:val="26"/>
        </w:rPr>
        <w:tab/>
        <w:t xml:space="preserve">Referencia: </w:t>
      </w:r>
      <w:r w:rsidR="00D83915" w:rsidRPr="00C46475">
        <w:rPr>
          <w:rFonts w:ascii="Arial Narrow" w:hAnsi="Arial Narrow"/>
          <w:sz w:val="24"/>
          <w:szCs w:val="26"/>
        </w:rPr>
        <w:t>66001311800220210003301</w:t>
      </w:r>
    </w:p>
    <w:p w14:paraId="243B34A8" w14:textId="77777777" w:rsidR="003E5CA4" w:rsidRPr="002842C5" w:rsidRDefault="003E5CA4" w:rsidP="002842C5">
      <w:pPr>
        <w:spacing w:line="276" w:lineRule="auto"/>
        <w:jc w:val="center"/>
        <w:rPr>
          <w:rFonts w:ascii="Arial Narrow" w:hAnsi="Arial Narrow"/>
          <w:b/>
          <w:sz w:val="26"/>
          <w:szCs w:val="26"/>
          <w:u w:val="single"/>
        </w:rPr>
      </w:pPr>
    </w:p>
    <w:p w14:paraId="0E5FD418" w14:textId="77777777" w:rsidR="00AA072B" w:rsidRPr="002842C5" w:rsidRDefault="00AA072B" w:rsidP="002842C5">
      <w:pPr>
        <w:pStyle w:val="Sinespaciado"/>
        <w:spacing w:line="276" w:lineRule="auto"/>
        <w:jc w:val="center"/>
        <w:rPr>
          <w:rFonts w:ascii="Arial Narrow" w:hAnsi="Arial Narrow"/>
          <w:sz w:val="26"/>
          <w:szCs w:val="26"/>
        </w:rPr>
      </w:pPr>
      <w:r w:rsidRPr="002842C5">
        <w:rPr>
          <w:rFonts w:ascii="Arial Narrow" w:hAnsi="Arial Narrow"/>
          <w:b/>
          <w:bCs/>
          <w:sz w:val="26"/>
          <w:szCs w:val="26"/>
        </w:rPr>
        <w:t>ASUNTO</w:t>
      </w:r>
    </w:p>
    <w:p w14:paraId="0D586601" w14:textId="77777777" w:rsidR="00AA072B" w:rsidRPr="002842C5" w:rsidRDefault="00AA072B" w:rsidP="006F3ECB">
      <w:pPr>
        <w:pStyle w:val="Sinespaciado"/>
        <w:jc w:val="both"/>
        <w:rPr>
          <w:rFonts w:ascii="Arial Narrow" w:hAnsi="Arial Narrow"/>
          <w:sz w:val="26"/>
          <w:szCs w:val="26"/>
        </w:rPr>
      </w:pPr>
    </w:p>
    <w:p w14:paraId="134DDA35" w14:textId="77777777" w:rsidR="006A4B01" w:rsidRPr="002842C5" w:rsidRDefault="00AA072B" w:rsidP="002842C5">
      <w:pPr>
        <w:pStyle w:val="Sinespaciado"/>
        <w:tabs>
          <w:tab w:val="left" w:pos="1750"/>
        </w:tabs>
        <w:spacing w:line="276" w:lineRule="auto"/>
        <w:jc w:val="both"/>
        <w:rPr>
          <w:rFonts w:ascii="Arial Narrow" w:hAnsi="Arial Narrow"/>
          <w:sz w:val="26"/>
          <w:szCs w:val="26"/>
        </w:rPr>
      </w:pPr>
      <w:r w:rsidRPr="002842C5">
        <w:rPr>
          <w:rFonts w:ascii="Arial Narrow" w:hAnsi="Arial Narrow"/>
          <w:sz w:val="26"/>
          <w:szCs w:val="26"/>
        </w:rPr>
        <w:t>Procede la Sala a resolver la impugn</w:t>
      </w:r>
      <w:r w:rsidR="00D83915" w:rsidRPr="002842C5">
        <w:rPr>
          <w:rFonts w:ascii="Arial Narrow" w:hAnsi="Arial Narrow"/>
          <w:sz w:val="26"/>
          <w:szCs w:val="26"/>
        </w:rPr>
        <w:t>ación propuesta por la accionante</w:t>
      </w:r>
      <w:r w:rsidRPr="002842C5">
        <w:rPr>
          <w:rFonts w:ascii="Arial Narrow" w:hAnsi="Arial Narrow"/>
          <w:sz w:val="26"/>
          <w:szCs w:val="26"/>
        </w:rPr>
        <w:t xml:space="preserve"> contra la sentencia del </w:t>
      </w:r>
      <w:r w:rsidR="00D83915" w:rsidRPr="002842C5">
        <w:rPr>
          <w:rFonts w:ascii="Arial Narrow" w:hAnsi="Arial Narrow"/>
          <w:sz w:val="26"/>
          <w:szCs w:val="26"/>
        </w:rPr>
        <w:t>30</w:t>
      </w:r>
      <w:r w:rsidRPr="002842C5">
        <w:rPr>
          <w:rFonts w:ascii="Arial Narrow" w:hAnsi="Arial Narrow"/>
          <w:sz w:val="26"/>
          <w:szCs w:val="26"/>
        </w:rPr>
        <w:t xml:space="preserve"> de </w:t>
      </w:r>
      <w:r w:rsidR="006B2753" w:rsidRPr="002842C5">
        <w:rPr>
          <w:rFonts w:ascii="Arial Narrow" w:hAnsi="Arial Narrow"/>
          <w:sz w:val="26"/>
          <w:szCs w:val="26"/>
        </w:rPr>
        <w:t>abril</w:t>
      </w:r>
      <w:r w:rsidRPr="002842C5">
        <w:rPr>
          <w:rFonts w:ascii="Arial Narrow" w:hAnsi="Arial Narrow"/>
          <w:sz w:val="26"/>
          <w:szCs w:val="26"/>
        </w:rPr>
        <w:t xml:space="preserve"> de la presente anualidad, proferida por el </w:t>
      </w:r>
      <w:r w:rsidR="00F54053" w:rsidRPr="002842C5">
        <w:rPr>
          <w:rFonts w:ascii="Arial Narrow" w:hAnsi="Arial Narrow"/>
          <w:sz w:val="26"/>
          <w:szCs w:val="26"/>
        </w:rPr>
        <w:t xml:space="preserve">Juzgado </w:t>
      </w:r>
      <w:r w:rsidR="00D83915" w:rsidRPr="002842C5">
        <w:rPr>
          <w:rFonts w:ascii="Arial Narrow" w:hAnsi="Arial Narrow"/>
          <w:sz w:val="26"/>
          <w:szCs w:val="26"/>
        </w:rPr>
        <w:t>Segundo Penal del Circuito para Adolescentes con Función de Conocimiento</w:t>
      </w:r>
      <w:r w:rsidR="00F54053" w:rsidRPr="002842C5">
        <w:rPr>
          <w:rFonts w:ascii="Arial Narrow" w:hAnsi="Arial Narrow"/>
          <w:sz w:val="26"/>
          <w:szCs w:val="26"/>
        </w:rPr>
        <w:t xml:space="preserve"> de Pereira</w:t>
      </w:r>
      <w:r w:rsidRPr="002842C5">
        <w:rPr>
          <w:rFonts w:ascii="Arial Narrow" w:hAnsi="Arial Narrow"/>
          <w:sz w:val="26"/>
          <w:szCs w:val="26"/>
        </w:rPr>
        <w:t>, en la acción de tutela promovida por</w:t>
      </w:r>
      <w:r w:rsidR="00D83915" w:rsidRPr="002842C5">
        <w:rPr>
          <w:rFonts w:ascii="Arial Narrow" w:hAnsi="Arial Narrow"/>
          <w:sz w:val="26"/>
          <w:szCs w:val="26"/>
        </w:rPr>
        <w:t xml:space="preserve"> Stella Franco </w:t>
      </w:r>
      <w:proofErr w:type="spellStart"/>
      <w:r w:rsidR="00D83915" w:rsidRPr="002842C5">
        <w:rPr>
          <w:rFonts w:ascii="Arial Narrow" w:hAnsi="Arial Narrow"/>
          <w:sz w:val="26"/>
          <w:szCs w:val="26"/>
        </w:rPr>
        <w:t>Franco</w:t>
      </w:r>
      <w:proofErr w:type="spellEnd"/>
      <w:r w:rsidR="002973C4" w:rsidRPr="002842C5">
        <w:rPr>
          <w:rFonts w:ascii="Arial Narrow" w:hAnsi="Arial Narrow"/>
          <w:sz w:val="26"/>
          <w:szCs w:val="26"/>
        </w:rPr>
        <w:t xml:space="preserve"> </w:t>
      </w:r>
      <w:r w:rsidR="007839D0" w:rsidRPr="002842C5">
        <w:rPr>
          <w:rFonts w:ascii="Arial Narrow" w:hAnsi="Arial Narrow"/>
          <w:sz w:val="26"/>
          <w:szCs w:val="26"/>
        </w:rPr>
        <w:t xml:space="preserve">frente a </w:t>
      </w:r>
      <w:r w:rsidRPr="002842C5">
        <w:rPr>
          <w:rFonts w:ascii="Arial Narrow" w:hAnsi="Arial Narrow"/>
          <w:sz w:val="26"/>
          <w:szCs w:val="26"/>
        </w:rPr>
        <w:t xml:space="preserve">Colpensiones, </w:t>
      </w:r>
      <w:r w:rsidR="00D83915" w:rsidRPr="002842C5">
        <w:rPr>
          <w:rFonts w:ascii="Arial Narrow" w:hAnsi="Arial Narrow"/>
          <w:sz w:val="26"/>
          <w:szCs w:val="26"/>
        </w:rPr>
        <w:t>trámite al cual fue vinculado el</w:t>
      </w:r>
      <w:r w:rsidR="002973C4" w:rsidRPr="002842C5">
        <w:rPr>
          <w:rFonts w:ascii="Arial Narrow" w:hAnsi="Arial Narrow"/>
          <w:sz w:val="26"/>
          <w:szCs w:val="26"/>
        </w:rPr>
        <w:t xml:space="preserve"> </w:t>
      </w:r>
      <w:r w:rsidR="00D83915" w:rsidRPr="002842C5">
        <w:rPr>
          <w:rFonts w:ascii="Arial Narrow" w:hAnsi="Arial Narrow"/>
          <w:sz w:val="26"/>
          <w:szCs w:val="26"/>
        </w:rPr>
        <w:t>Director de Historia Laboral</w:t>
      </w:r>
      <w:r w:rsidR="002973C4" w:rsidRPr="002842C5">
        <w:rPr>
          <w:rFonts w:ascii="Arial Narrow" w:hAnsi="Arial Narrow"/>
          <w:sz w:val="26"/>
          <w:szCs w:val="26"/>
        </w:rPr>
        <w:t xml:space="preserve"> de </w:t>
      </w:r>
      <w:r w:rsidR="006A4B01" w:rsidRPr="002842C5">
        <w:rPr>
          <w:rFonts w:ascii="Arial Narrow" w:hAnsi="Arial Narrow"/>
          <w:sz w:val="26"/>
          <w:szCs w:val="26"/>
        </w:rPr>
        <w:t>esa entidad.</w:t>
      </w:r>
    </w:p>
    <w:p w14:paraId="2CB8CC51" w14:textId="77777777" w:rsidR="00B9535D" w:rsidRPr="006F3ECB" w:rsidRDefault="00B9535D" w:rsidP="006F3ECB">
      <w:pPr>
        <w:pStyle w:val="Sinespaciado"/>
        <w:jc w:val="both"/>
        <w:rPr>
          <w:rFonts w:ascii="Arial Narrow" w:hAnsi="Arial Narrow"/>
          <w:sz w:val="26"/>
          <w:szCs w:val="26"/>
        </w:rPr>
      </w:pPr>
    </w:p>
    <w:p w14:paraId="48830795" w14:textId="77777777" w:rsidR="00AA072B" w:rsidRPr="002842C5" w:rsidRDefault="00AA072B" w:rsidP="002842C5">
      <w:pPr>
        <w:pStyle w:val="Sinespaciado"/>
        <w:spacing w:line="276" w:lineRule="auto"/>
        <w:jc w:val="center"/>
        <w:rPr>
          <w:rFonts w:ascii="Arial Narrow" w:hAnsi="Arial Narrow"/>
          <w:sz w:val="26"/>
          <w:szCs w:val="26"/>
          <w:u w:val="single"/>
        </w:rPr>
      </w:pPr>
      <w:r w:rsidRPr="002842C5">
        <w:rPr>
          <w:rFonts w:ascii="Arial Narrow" w:hAnsi="Arial Narrow"/>
          <w:b/>
          <w:bCs/>
          <w:sz w:val="26"/>
          <w:szCs w:val="26"/>
          <w:u w:val="single"/>
        </w:rPr>
        <w:t>ANTECEDENTES</w:t>
      </w:r>
    </w:p>
    <w:p w14:paraId="65C6B5E5" w14:textId="77777777" w:rsidR="00AA072B" w:rsidRPr="002842C5" w:rsidRDefault="00AA072B" w:rsidP="006F3ECB">
      <w:pPr>
        <w:pStyle w:val="Sinespaciado"/>
        <w:jc w:val="both"/>
        <w:rPr>
          <w:rFonts w:ascii="Arial Narrow" w:hAnsi="Arial Narrow"/>
          <w:sz w:val="26"/>
          <w:szCs w:val="26"/>
        </w:rPr>
      </w:pPr>
    </w:p>
    <w:p w14:paraId="4DEFAF6E" w14:textId="77777777" w:rsidR="0091270B" w:rsidRPr="002842C5" w:rsidRDefault="00AA072B" w:rsidP="002842C5">
      <w:pPr>
        <w:pStyle w:val="Sinespaciado"/>
        <w:spacing w:line="276" w:lineRule="auto"/>
        <w:jc w:val="both"/>
        <w:rPr>
          <w:rFonts w:ascii="Arial Narrow" w:hAnsi="Arial Narrow"/>
          <w:sz w:val="26"/>
          <w:szCs w:val="26"/>
        </w:rPr>
      </w:pPr>
      <w:r w:rsidRPr="002842C5">
        <w:rPr>
          <w:rFonts w:ascii="Arial Narrow" w:hAnsi="Arial Narrow"/>
          <w:b/>
          <w:sz w:val="26"/>
          <w:szCs w:val="26"/>
        </w:rPr>
        <w:t xml:space="preserve">1. </w:t>
      </w:r>
      <w:r w:rsidR="00D616B3" w:rsidRPr="002842C5">
        <w:rPr>
          <w:rFonts w:ascii="Arial Narrow" w:hAnsi="Arial Narrow"/>
          <w:bCs/>
          <w:sz w:val="26"/>
          <w:szCs w:val="26"/>
        </w:rPr>
        <w:t>De los hechos narrados en el</w:t>
      </w:r>
      <w:r w:rsidRPr="002842C5">
        <w:rPr>
          <w:rFonts w:ascii="Arial Narrow" w:hAnsi="Arial Narrow"/>
          <w:bCs/>
          <w:sz w:val="26"/>
          <w:szCs w:val="26"/>
        </w:rPr>
        <w:t xml:space="preserve"> escrito de tutela se advierte </w:t>
      </w:r>
      <w:r w:rsidR="005E300D" w:rsidRPr="002842C5">
        <w:rPr>
          <w:rFonts w:ascii="Arial Narrow" w:hAnsi="Arial Narrow"/>
          <w:sz w:val="26"/>
          <w:szCs w:val="26"/>
        </w:rPr>
        <w:t xml:space="preserve">que </w:t>
      </w:r>
      <w:r w:rsidR="002C2DC4" w:rsidRPr="002842C5">
        <w:rPr>
          <w:rFonts w:ascii="Arial Narrow" w:hAnsi="Arial Narrow"/>
          <w:sz w:val="26"/>
          <w:szCs w:val="26"/>
        </w:rPr>
        <w:t xml:space="preserve">la Sala Laboral del Tribunal Superior de Pereira, mediante sentencia del 30 de enero de 2019, declaró ineficaz el traslado de la actora </w:t>
      </w:r>
      <w:r w:rsidR="005E300D" w:rsidRPr="002842C5">
        <w:rPr>
          <w:rFonts w:ascii="Arial Narrow" w:hAnsi="Arial Narrow"/>
          <w:sz w:val="26"/>
          <w:szCs w:val="26"/>
        </w:rPr>
        <w:t xml:space="preserve">al régimen de ahorro individual administrado por Colfondos, y en consecuencia se adoptaron las medidas del caso para su retorno al régimen de prima media con prestación definida. </w:t>
      </w:r>
    </w:p>
    <w:p w14:paraId="64BCDC79" w14:textId="77777777" w:rsidR="0091270B" w:rsidRPr="002842C5" w:rsidRDefault="0091270B" w:rsidP="006F3ECB">
      <w:pPr>
        <w:pStyle w:val="Sinespaciado"/>
        <w:jc w:val="both"/>
        <w:rPr>
          <w:rFonts w:ascii="Arial Narrow" w:hAnsi="Arial Narrow"/>
          <w:sz w:val="26"/>
          <w:szCs w:val="26"/>
        </w:rPr>
      </w:pPr>
    </w:p>
    <w:p w14:paraId="34291AA0" w14:textId="0D52608A" w:rsidR="007A3407" w:rsidRPr="002842C5" w:rsidRDefault="005E300D" w:rsidP="002842C5">
      <w:pPr>
        <w:pStyle w:val="Sinespaciado"/>
        <w:spacing w:line="276" w:lineRule="auto"/>
        <w:jc w:val="both"/>
        <w:rPr>
          <w:rFonts w:ascii="Arial Narrow" w:hAnsi="Arial Narrow"/>
          <w:sz w:val="26"/>
          <w:szCs w:val="26"/>
        </w:rPr>
      </w:pPr>
      <w:r w:rsidRPr="002842C5">
        <w:rPr>
          <w:rFonts w:ascii="Arial Narrow" w:hAnsi="Arial Narrow"/>
          <w:sz w:val="26"/>
          <w:szCs w:val="26"/>
        </w:rPr>
        <w:t>El 30 de octubre</w:t>
      </w:r>
      <w:r w:rsidR="00E44D7A" w:rsidRPr="002842C5">
        <w:rPr>
          <w:rFonts w:ascii="Arial Narrow" w:hAnsi="Arial Narrow"/>
          <w:sz w:val="26"/>
          <w:szCs w:val="26"/>
        </w:rPr>
        <w:t xml:space="preserve"> de 2020</w:t>
      </w:r>
      <w:r w:rsidRPr="002842C5">
        <w:rPr>
          <w:rFonts w:ascii="Arial Narrow" w:hAnsi="Arial Narrow"/>
          <w:sz w:val="26"/>
          <w:szCs w:val="26"/>
        </w:rPr>
        <w:t xml:space="preserve"> solicitó a Colpensiones actualizar y corregir su historia laboral</w:t>
      </w:r>
      <w:r w:rsidR="0091270B" w:rsidRPr="002842C5">
        <w:rPr>
          <w:rFonts w:ascii="Arial Narrow" w:hAnsi="Arial Narrow"/>
          <w:sz w:val="26"/>
          <w:szCs w:val="26"/>
        </w:rPr>
        <w:t>. En</w:t>
      </w:r>
      <w:r w:rsidRPr="002842C5">
        <w:rPr>
          <w:rFonts w:ascii="Arial Narrow" w:hAnsi="Arial Narrow"/>
          <w:sz w:val="26"/>
          <w:szCs w:val="26"/>
        </w:rPr>
        <w:t xml:space="preserve"> respuesta esa entidad informó sobre la falta de aportes de los periodos 200301 a 200304, 200307 a 200311, 200401 a 200402 y 200404 a 200604, y</w:t>
      </w:r>
      <w:r w:rsidR="002C2DC4" w:rsidRPr="002842C5">
        <w:rPr>
          <w:rFonts w:ascii="Arial Narrow" w:hAnsi="Arial Narrow"/>
          <w:sz w:val="26"/>
          <w:szCs w:val="26"/>
        </w:rPr>
        <w:t xml:space="preserve"> sobre la extemporaneidad</w:t>
      </w:r>
      <w:r w:rsidRPr="002842C5">
        <w:rPr>
          <w:rFonts w:ascii="Arial Narrow" w:hAnsi="Arial Narrow"/>
          <w:sz w:val="26"/>
          <w:szCs w:val="26"/>
        </w:rPr>
        <w:t xml:space="preserve"> </w:t>
      </w:r>
      <w:r w:rsidR="002C2DC4" w:rsidRPr="002842C5">
        <w:rPr>
          <w:rFonts w:ascii="Arial Narrow" w:hAnsi="Arial Narrow"/>
          <w:sz w:val="26"/>
          <w:szCs w:val="26"/>
        </w:rPr>
        <w:t>d</w:t>
      </w:r>
      <w:r w:rsidRPr="002842C5">
        <w:rPr>
          <w:rFonts w:ascii="Arial Narrow" w:hAnsi="Arial Narrow"/>
          <w:sz w:val="26"/>
          <w:szCs w:val="26"/>
        </w:rPr>
        <w:t>el pago de los ciclos 200706 y 200707, además se le indicó que “</w:t>
      </w:r>
      <w:r w:rsidRPr="00C46475">
        <w:rPr>
          <w:rFonts w:ascii="Arial Narrow" w:hAnsi="Arial Narrow"/>
          <w:sz w:val="24"/>
          <w:szCs w:val="26"/>
        </w:rPr>
        <w:t>por tratarse de que tanto el afiliado es el mismo cotizante de manera inequívoca se solicite que se corrija cada ciclo de cotización aplicándolo a un ciclo posterior, teniendo en cuenta la fecha de pago</w:t>
      </w:r>
      <w:r w:rsidRPr="002842C5">
        <w:rPr>
          <w:rFonts w:ascii="Arial Narrow" w:hAnsi="Arial Narrow"/>
          <w:sz w:val="26"/>
          <w:szCs w:val="26"/>
        </w:rPr>
        <w:t xml:space="preserve">”. Sin </w:t>
      </w:r>
      <w:r w:rsidR="007A4726" w:rsidRPr="002842C5">
        <w:rPr>
          <w:rFonts w:ascii="Arial Narrow" w:hAnsi="Arial Narrow"/>
          <w:sz w:val="26"/>
          <w:szCs w:val="26"/>
        </w:rPr>
        <w:t>embargo,</w:t>
      </w:r>
      <w:r w:rsidRPr="002842C5">
        <w:rPr>
          <w:rFonts w:ascii="Arial Narrow" w:hAnsi="Arial Narrow"/>
          <w:sz w:val="26"/>
          <w:szCs w:val="26"/>
        </w:rPr>
        <w:t xml:space="preserve"> al revisar los soportes enviados por Colfondos se constató que los pagos se habían </w:t>
      </w:r>
      <w:r w:rsidR="00216711" w:rsidRPr="002842C5">
        <w:rPr>
          <w:rFonts w:ascii="Arial Narrow" w:hAnsi="Arial Narrow"/>
          <w:sz w:val="26"/>
          <w:szCs w:val="26"/>
        </w:rPr>
        <w:t>realizado,</w:t>
      </w:r>
      <w:r w:rsidRPr="002842C5">
        <w:rPr>
          <w:rFonts w:ascii="Arial Narrow" w:hAnsi="Arial Narrow"/>
          <w:sz w:val="26"/>
          <w:szCs w:val="26"/>
        </w:rPr>
        <w:t xml:space="preserve"> pero mes vencido y no mes anticipado, hecho por el cual Colpensiones asume que los pagos no son válidos, dejando al margen 266,25 de sus semanas cotizadas</w:t>
      </w:r>
      <w:r w:rsidR="00E44D7A" w:rsidRPr="002842C5">
        <w:rPr>
          <w:rFonts w:ascii="Arial Narrow" w:hAnsi="Arial Narrow"/>
          <w:sz w:val="26"/>
          <w:szCs w:val="26"/>
        </w:rPr>
        <w:t>, con las cuales acreditaría el requisito de tiempo de servicio para acceder a su pensión</w:t>
      </w:r>
      <w:r w:rsidRPr="002842C5">
        <w:rPr>
          <w:rFonts w:ascii="Arial Narrow" w:hAnsi="Arial Narrow"/>
          <w:sz w:val="26"/>
          <w:szCs w:val="26"/>
        </w:rPr>
        <w:t xml:space="preserve">. </w:t>
      </w:r>
    </w:p>
    <w:p w14:paraId="1F539DD0" w14:textId="77777777" w:rsidR="007A3407" w:rsidRPr="002842C5" w:rsidRDefault="007A3407" w:rsidP="006F3ECB">
      <w:pPr>
        <w:pStyle w:val="Sinespaciado"/>
        <w:jc w:val="both"/>
        <w:rPr>
          <w:rFonts w:ascii="Arial Narrow" w:hAnsi="Arial Narrow"/>
          <w:sz w:val="26"/>
          <w:szCs w:val="26"/>
        </w:rPr>
      </w:pPr>
    </w:p>
    <w:p w14:paraId="133CF912" w14:textId="663873C0" w:rsidR="005E300D" w:rsidRPr="002842C5" w:rsidRDefault="005E300D" w:rsidP="002842C5">
      <w:pPr>
        <w:pStyle w:val="Sinespaciado"/>
        <w:spacing w:line="276" w:lineRule="auto"/>
        <w:jc w:val="both"/>
        <w:rPr>
          <w:rFonts w:ascii="Arial Narrow" w:hAnsi="Arial Narrow"/>
          <w:sz w:val="26"/>
          <w:szCs w:val="26"/>
        </w:rPr>
      </w:pPr>
      <w:r w:rsidRPr="002842C5">
        <w:rPr>
          <w:rFonts w:ascii="Arial Narrow" w:hAnsi="Arial Narrow"/>
          <w:sz w:val="26"/>
          <w:szCs w:val="26"/>
        </w:rPr>
        <w:t xml:space="preserve">Por </w:t>
      </w:r>
      <w:r w:rsidR="007A3407" w:rsidRPr="002842C5">
        <w:rPr>
          <w:rFonts w:ascii="Arial Narrow" w:hAnsi="Arial Narrow"/>
          <w:sz w:val="26"/>
          <w:szCs w:val="26"/>
        </w:rPr>
        <w:t>lo anterior</w:t>
      </w:r>
      <w:r w:rsidRPr="002842C5">
        <w:rPr>
          <w:rFonts w:ascii="Arial Narrow" w:hAnsi="Arial Narrow"/>
          <w:sz w:val="26"/>
          <w:szCs w:val="26"/>
        </w:rPr>
        <w:t xml:space="preserve"> el 4 de febrero de 2021 se elevó otra petición, esta vez para obtener se </w:t>
      </w:r>
      <w:proofErr w:type="gramStart"/>
      <w:r w:rsidRPr="002842C5">
        <w:rPr>
          <w:rFonts w:ascii="Arial Narrow" w:hAnsi="Arial Narrow"/>
          <w:sz w:val="26"/>
          <w:szCs w:val="26"/>
        </w:rPr>
        <w:t>contabilizaran</w:t>
      </w:r>
      <w:proofErr w:type="gramEnd"/>
      <w:r w:rsidRPr="002842C5">
        <w:rPr>
          <w:rFonts w:ascii="Arial Narrow" w:hAnsi="Arial Narrow"/>
          <w:sz w:val="26"/>
          <w:szCs w:val="26"/>
        </w:rPr>
        <w:t xml:space="preserve"> tales periodos, “</w:t>
      </w:r>
      <w:r w:rsidRPr="00C46475">
        <w:rPr>
          <w:rFonts w:ascii="Arial Narrow" w:hAnsi="Arial Narrow"/>
          <w:sz w:val="24"/>
          <w:szCs w:val="26"/>
        </w:rPr>
        <w:t>pues de acuerdo a la jurisprudencia y leyes que regulan en la actualidad la materia las cotizaciones de los trabajadores independientes se pueden realizar mes vencido</w:t>
      </w:r>
      <w:r w:rsidRPr="002842C5">
        <w:rPr>
          <w:rFonts w:ascii="Arial Narrow" w:hAnsi="Arial Narrow"/>
          <w:sz w:val="26"/>
          <w:szCs w:val="26"/>
        </w:rPr>
        <w:t xml:space="preserve">”. Al consultar el estado de esa solicitud a través de la página web de la demandada, </w:t>
      </w:r>
      <w:r w:rsidR="00E44D7A" w:rsidRPr="002842C5">
        <w:rPr>
          <w:rFonts w:ascii="Arial Narrow" w:hAnsi="Arial Narrow"/>
          <w:sz w:val="26"/>
          <w:szCs w:val="26"/>
        </w:rPr>
        <w:t xml:space="preserve">se evidenció que supuestamente ya había sido atendida, empero </w:t>
      </w:r>
      <w:r w:rsidR="002C2DC4" w:rsidRPr="002842C5">
        <w:rPr>
          <w:rFonts w:ascii="Arial Narrow" w:hAnsi="Arial Narrow"/>
          <w:sz w:val="26"/>
          <w:szCs w:val="26"/>
        </w:rPr>
        <w:t>ninguna respuesta ha recibido sobre el particular</w:t>
      </w:r>
      <w:r w:rsidR="00E44D7A" w:rsidRPr="002842C5">
        <w:rPr>
          <w:rFonts w:ascii="Arial Narrow" w:hAnsi="Arial Narrow"/>
          <w:sz w:val="26"/>
          <w:szCs w:val="26"/>
        </w:rPr>
        <w:t>, ni</w:t>
      </w:r>
      <w:r w:rsidR="002C2DC4" w:rsidRPr="002842C5">
        <w:rPr>
          <w:rFonts w:ascii="Arial Narrow" w:hAnsi="Arial Narrow"/>
          <w:sz w:val="26"/>
          <w:szCs w:val="26"/>
        </w:rPr>
        <w:t xml:space="preserve"> la demandada ha accedido</w:t>
      </w:r>
      <w:r w:rsidR="00E44D7A" w:rsidRPr="002842C5">
        <w:rPr>
          <w:rFonts w:ascii="Arial Narrow" w:hAnsi="Arial Narrow"/>
          <w:sz w:val="26"/>
          <w:szCs w:val="26"/>
        </w:rPr>
        <w:t xml:space="preserve"> a la corrección de </w:t>
      </w:r>
      <w:r w:rsidR="002C2DC4" w:rsidRPr="002842C5">
        <w:rPr>
          <w:rFonts w:ascii="Arial Narrow" w:hAnsi="Arial Narrow"/>
          <w:sz w:val="26"/>
          <w:szCs w:val="26"/>
        </w:rPr>
        <w:t xml:space="preserve">su </w:t>
      </w:r>
      <w:r w:rsidR="00E44D7A" w:rsidRPr="002842C5">
        <w:rPr>
          <w:rFonts w:ascii="Arial Narrow" w:hAnsi="Arial Narrow"/>
          <w:sz w:val="26"/>
          <w:szCs w:val="26"/>
        </w:rPr>
        <w:t xml:space="preserve">historia laboral. </w:t>
      </w:r>
    </w:p>
    <w:p w14:paraId="252BEA14" w14:textId="77777777" w:rsidR="00E44D7A" w:rsidRPr="002842C5" w:rsidRDefault="00E44D7A" w:rsidP="006F3ECB">
      <w:pPr>
        <w:pStyle w:val="Sinespaciado"/>
        <w:jc w:val="both"/>
        <w:rPr>
          <w:rFonts w:ascii="Arial Narrow" w:hAnsi="Arial Narrow"/>
          <w:sz w:val="26"/>
          <w:szCs w:val="26"/>
        </w:rPr>
      </w:pPr>
    </w:p>
    <w:p w14:paraId="20BFC022" w14:textId="77777777" w:rsidR="00AA072B" w:rsidRPr="002842C5" w:rsidRDefault="00E44D7A" w:rsidP="002842C5">
      <w:pPr>
        <w:pStyle w:val="Sinespaciado"/>
        <w:spacing w:line="276" w:lineRule="auto"/>
        <w:jc w:val="both"/>
        <w:rPr>
          <w:rFonts w:ascii="Arial Narrow" w:hAnsi="Arial Narrow"/>
          <w:sz w:val="26"/>
          <w:szCs w:val="26"/>
        </w:rPr>
      </w:pPr>
      <w:r w:rsidRPr="002842C5">
        <w:rPr>
          <w:rFonts w:ascii="Arial Narrow" w:hAnsi="Arial Narrow"/>
          <w:sz w:val="26"/>
          <w:szCs w:val="26"/>
        </w:rPr>
        <w:t xml:space="preserve">Estima lesionados sus derechos de petición y seguridad social. Para su protección solicita se ordene a </w:t>
      </w:r>
      <w:r w:rsidR="002C2DC4" w:rsidRPr="002842C5">
        <w:rPr>
          <w:rFonts w:ascii="Arial Narrow" w:hAnsi="Arial Narrow"/>
          <w:sz w:val="26"/>
          <w:szCs w:val="26"/>
        </w:rPr>
        <w:t>Colpensiones</w:t>
      </w:r>
      <w:r w:rsidRPr="002842C5">
        <w:rPr>
          <w:rFonts w:ascii="Arial Narrow" w:hAnsi="Arial Narrow"/>
          <w:sz w:val="26"/>
          <w:szCs w:val="26"/>
        </w:rPr>
        <w:t xml:space="preserve"> </w:t>
      </w:r>
      <w:r w:rsidR="005E300D" w:rsidRPr="002842C5">
        <w:rPr>
          <w:rFonts w:ascii="Arial Narrow" w:hAnsi="Arial Narrow"/>
          <w:sz w:val="26"/>
          <w:szCs w:val="26"/>
        </w:rPr>
        <w:t>aplicar los per</w:t>
      </w:r>
      <w:r w:rsidRPr="002842C5">
        <w:rPr>
          <w:rFonts w:ascii="Arial Narrow" w:hAnsi="Arial Narrow"/>
          <w:sz w:val="26"/>
          <w:szCs w:val="26"/>
        </w:rPr>
        <w:t>iodos 200301 a 200304, 200307 a 200311, 200401 a 200402,</w:t>
      </w:r>
      <w:r w:rsidR="005E300D" w:rsidRPr="002842C5">
        <w:rPr>
          <w:rFonts w:ascii="Arial Narrow" w:hAnsi="Arial Narrow"/>
          <w:sz w:val="26"/>
          <w:szCs w:val="26"/>
        </w:rPr>
        <w:t xml:space="preserve"> 20</w:t>
      </w:r>
      <w:r w:rsidRPr="002842C5">
        <w:rPr>
          <w:rFonts w:ascii="Arial Narrow" w:hAnsi="Arial Narrow"/>
          <w:sz w:val="26"/>
          <w:szCs w:val="26"/>
        </w:rPr>
        <w:t xml:space="preserve">0404 a 200604 y 200706 a 200707 para así dar trámite a la solicitud de actualización de </w:t>
      </w:r>
      <w:r w:rsidR="005E300D" w:rsidRPr="002842C5">
        <w:rPr>
          <w:rFonts w:ascii="Arial Narrow" w:hAnsi="Arial Narrow"/>
          <w:sz w:val="26"/>
          <w:szCs w:val="26"/>
        </w:rPr>
        <w:t>historia laboral</w:t>
      </w:r>
      <w:r w:rsidRPr="002842C5">
        <w:rPr>
          <w:rFonts w:ascii="Arial Narrow" w:hAnsi="Arial Narrow"/>
          <w:sz w:val="26"/>
          <w:szCs w:val="26"/>
        </w:rPr>
        <w:t xml:space="preserve"> formulada</w:t>
      </w:r>
      <w:r w:rsidR="007839D0" w:rsidRPr="002842C5">
        <w:rPr>
          <w:rStyle w:val="Refdenotaalpie"/>
          <w:rFonts w:ascii="Arial Narrow" w:hAnsi="Arial Narrow"/>
          <w:sz w:val="26"/>
          <w:szCs w:val="26"/>
        </w:rPr>
        <w:footnoteReference w:id="1"/>
      </w:r>
      <w:r w:rsidR="00AA072B" w:rsidRPr="002842C5">
        <w:rPr>
          <w:rFonts w:ascii="Arial Narrow" w:hAnsi="Arial Narrow"/>
          <w:sz w:val="26"/>
          <w:szCs w:val="26"/>
        </w:rPr>
        <w:t>.</w:t>
      </w:r>
    </w:p>
    <w:p w14:paraId="773A9B09" w14:textId="77777777" w:rsidR="00AA072B" w:rsidRPr="002842C5" w:rsidRDefault="00AA072B" w:rsidP="006F3ECB">
      <w:pPr>
        <w:pStyle w:val="Sinespaciado"/>
        <w:jc w:val="both"/>
        <w:rPr>
          <w:rFonts w:ascii="Arial Narrow" w:hAnsi="Arial Narrow"/>
          <w:sz w:val="26"/>
          <w:szCs w:val="26"/>
        </w:rPr>
      </w:pPr>
    </w:p>
    <w:p w14:paraId="1E5A9B70" w14:textId="77777777" w:rsidR="00347DE3" w:rsidRPr="002842C5" w:rsidRDefault="00AA072B" w:rsidP="002842C5">
      <w:pPr>
        <w:pStyle w:val="Sinespaciado"/>
        <w:spacing w:line="276" w:lineRule="auto"/>
        <w:jc w:val="both"/>
        <w:rPr>
          <w:rFonts w:ascii="Arial Narrow" w:hAnsi="Arial Narrow"/>
          <w:bCs/>
          <w:sz w:val="26"/>
          <w:szCs w:val="26"/>
        </w:rPr>
      </w:pPr>
      <w:r w:rsidRPr="002842C5">
        <w:rPr>
          <w:rFonts w:ascii="Arial Narrow" w:hAnsi="Arial Narrow"/>
          <w:b/>
          <w:bCs/>
          <w:sz w:val="26"/>
          <w:szCs w:val="26"/>
        </w:rPr>
        <w:t xml:space="preserve">2. Trámite: </w:t>
      </w:r>
      <w:r w:rsidRPr="002842C5">
        <w:rPr>
          <w:rFonts w:ascii="Arial Narrow" w:hAnsi="Arial Narrow"/>
          <w:bCs/>
          <w:sz w:val="26"/>
          <w:szCs w:val="26"/>
        </w:rPr>
        <w:t xml:space="preserve">En auto del </w:t>
      </w:r>
      <w:r w:rsidR="00E44D7A" w:rsidRPr="002842C5">
        <w:rPr>
          <w:rFonts w:ascii="Arial Narrow" w:hAnsi="Arial Narrow"/>
          <w:bCs/>
          <w:sz w:val="26"/>
          <w:szCs w:val="26"/>
        </w:rPr>
        <w:t>19</w:t>
      </w:r>
      <w:r w:rsidRPr="002842C5">
        <w:rPr>
          <w:rFonts w:ascii="Arial Narrow" w:hAnsi="Arial Narrow"/>
          <w:bCs/>
          <w:sz w:val="26"/>
          <w:szCs w:val="26"/>
        </w:rPr>
        <w:t xml:space="preserve"> de</w:t>
      </w:r>
      <w:r w:rsidR="00E44D7A" w:rsidRPr="002842C5">
        <w:rPr>
          <w:rFonts w:ascii="Arial Narrow" w:hAnsi="Arial Narrow"/>
          <w:bCs/>
          <w:sz w:val="26"/>
          <w:szCs w:val="26"/>
        </w:rPr>
        <w:t xml:space="preserve"> abril </w:t>
      </w:r>
      <w:r w:rsidRPr="002842C5">
        <w:rPr>
          <w:rFonts w:ascii="Arial Narrow" w:hAnsi="Arial Narrow"/>
          <w:bCs/>
          <w:sz w:val="26"/>
          <w:szCs w:val="26"/>
        </w:rPr>
        <w:t xml:space="preserve">de esta anualidad el juzgado de primera instancia admitió la acción constitucional y ordenó </w:t>
      </w:r>
      <w:r w:rsidR="00514855" w:rsidRPr="002842C5">
        <w:rPr>
          <w:rFonts w:ascii="Arial Narrow" w:hAnsi="Arial Narrow"/>
          <w:bCs/>
          <w:sz w:val="26"/>
          <w:szCs w:val="26"/>
        </w:rPr>
        <w:t>correr traslado a la</w:t>
      </w:r>
      <w:r w:rsidRPr="002842C5">
        <w:rPr>
          <w:rFonts w:ascii="Arial Narrow" w:hAnsi="Arial Narrow"/>
          <w:bCs/>
          <w:sz w:val="26"/>
          <w:szCs w:val="26"/>
        </w:rPr>
        <w:t xml:space="preserve"> convocada y </w:t>
      </w:r>
      <w:r w:rsidR="00C2444A" w:rsidRPr="002842C5">
        <w:rPr>
          <w:rFonts w:ascii="Arial Narrow" w:hAnsi="Arial Narrow"/>
          <w:bCs/>
          <w:sz w:val="26"/>
          <w:szCs w:val="26"/>
        </w:rPr>
        <w:t xml:space="preserve">a </w:t>
      </w:r>
      <w:r w:rsidR="00514855" w:rsidRPr="002842C5">
        <w:rPr>
          <w:rFonts w:ascii="Arial Narrow" w:hAnsi="Arial Narrow"/>
          <w:bCs/>
          <w:sz w:val="26"/>
          <w:szCs w:val="26"/>
        </w:rPr>
        <w:t>los</w:t>
      </w:r>
      <w:r w:rsidR="00A97740" w:rsidRPr="002842C5">
        <w:rPr>
          <w:rFonts w:ascii="Arial Narrow" w:hAnsi="Arial Narrow"/>
          <w:bCs/>
          <w:sz w:val="26"/>
          <w:szCs w:val="26"/>
        </w:rPr>
        <w:t xml:space="preserve"> </w:t>
      </w:r>
      <w:r w:rsidRPr="002842C5">
        <w:rPr>
          <w:rFonts w:ascii="Arial Narrow" w:hAnsi="Arial Narrow"/>
          <w:bCs/>
          <w:sz w:val="26"/>
          <w:szCs w:val="26"/>
        </w:rPr>
        <w:t>vinculad</w:t>
      </w:r>
      <w:r w:rsidR="00514855" w:rsidRPr="002842C5">
        <w:rPr>
          <w:rFonts w:ascii="Arial Narrow" w:hAnsi="Arial Narrow"/>
          <w:bCs/>
          <w:sz w:val="26"/>
          <w:szCs w:val="26"/>
        </w:rPr>
        <w:t>os</w:t>
      </w:r>
      <w:r w:rsidR="00CC716B" w:rsidRPr="002842C5">
        <w:rPr>
          <w:rFonts w:ascii="Arial Narrow" w:hAnsi="Arial Narrow"/>
          <w:bCs/>
          <w:sz w:val="26"/>
          <w:szCs w:val="26"/>
        </w:rPr>
        <w:t xml:space="preserve">. </w:t>
      </w:r>
    </w:p>
    <w:p w14:paraId="1509D236" w14:textId="77777777" w:rsidR="00E44D7A" w:rsidRPr="006F3ECB" w:rsidRDefault="00E44D7A" w:rsidP="006F3ECB">
      <w:pPr>
        <w:pStyle w:val="Sinespaciado"/>
        <w:jc w:val="both"/>
        <w:rPr>
          <w:rFonts w:ascii="Arial Narrow" w:hAnsi="Arial Narrow"/>
          <w:sz w:val="26"/>
          <w:szCs w:val="26"/>
        </w:rPr>
      </w:pPr>
    </w:p>
    <w:p w14:paraId="34D20FC6" w14:textId="37EC0AE6" w:rsidR="00E44D7A" w:rsidRPr="002842C5" w:rsidRDefault="00E44D7A" w:rsidP="002842C5">
      <w:pPr>
        <w:pStyle w:val="Sinespaciado"/>
        <w:spacing w:line="276" w:lineRule="auto"/>
        <w:jc w:val="both"/>
        <w:rPr>
          <w:rFonts w:ascii="Arial Narrow" w:hAnsi="Arial Narrow"/>
          <w:bCs/>
          <w:sz w:val="26"/>
          <w:szCs w:val="26"/>
        </w:rPr>
      </w:pPr>
      <w:r w:rsidRPr="002842C5">
        <w:rPr>
          <w:rFonts w:ascii="Arial Narrow" w:hAnsi="Arial Narrow"/>
          <w:bCs/>
          <w:sz w:val="26"/>
          <w:szCs w:val="26"/>
        </w:rPr>
        <w:t>Se pronunció la demanda</w:t>
      </w:r>
      <w:r w:rsidR="00F918D6" w:rsidRPr="002842C5">
        <w:rPr>
          <w:rFonts w:ascii="Arial Narrow" w:hAnsi="Arial Narrow"/>
          <w:bCs/>
          <w:sz w:val="26"/>
          <w:szCs w:val="26"/>
        </w:rPr>
        <w:t>da</w:t>
      </w:r>
      <w:r w:rsidRPr="002842C5">
        <w:rPr>
          <w:rFonts w:ascii="Arial Narrow" w:hAnsi="Arial Narrow"/>
          <w:bCs/>
          <w:sz w:val="26"/>
          <w:szCs w:val="26"/>
        </w:rPr>
        <w:t xml:space="preserve"> para manifestar que frente a la solicitud de corrección de historia laboral, la Dirección </w:t>
      </w:r>
      <w:r w:rsidR="00421C9F" w:rsidRPr="002842C5">
        <w:rPr>
          <w:rFonts w:ascii="Arial Narrow" w:hAnsi="Arial Narrow"/>
          <w:bCs/>
          <w:sz w:val="26"/>
          <w:szCs w:val="26"/>
        </w:rPr>
        <w:t xml:space="preserve">competente emitió respuesta </w:t>
      </w:r>
      <w:r w:rsidRPr="002842C5">
        <w:rPr>
          <w:rFonts w:ascii="Arial Narrow" w:hAnsi="Arial Narrow"/>
          <w:bCs/>
          <w:sz w:val="26"/>
          <w:szCs w:val="26"/>
        </w:rPr>
        <w:t>el 15 de febrero de</w:t>
      </w:r>
      <w:r w:rsidR="00421C9F" w:rsidRPr="002842C5">
        <w:rPr>
          <w:rFonts w:ascii="Arial Narrow" w:hAnsi="Arial Narrow"/>
          <w:bCs/>
          <w:sz w:val="26"/>
          <w:szCs w:val="26"/>
        </w:rPr>
        <w:t xml:space="preserve"> </w:t>
      </w:r>
      <w:r w:rsidRPr="002842C5">
        <w:rPr>
          <w:rFonts w:ascii="Arial Narrow" w:hAnsi="Arial Narrow"/>
          <w:bCs/>
          <w:sz w:val="26"/>
          <w:szCs w:val="26"/>
        </w:rPr>
        <w:t>2021</w:t>
      </w:r>
      <w:r w:rsidR="00421C9F" w:rsidRPr="002842C5">
        <w:rPr>
          <w:rFonts w:ascii="Arial Narrow" w:hAnsi="Arial Narrow"/>
          <w:bCs/>
          <w:sz w:val="26"/>
          <w:szCs w:val="26"/>
        </w:rPr>
        <w:t xml:space="preserve"> en la que se manifestó que </w:t>
      </w:r>
      <w:r w:rsidRPr="002842C5">
        <w:rPr>
          <w:rFonts w:ascii="Arial Narrow" w:hAnsi="Arial Narrow"/>
          <w:bCs/>
          <w:sz w:val="26"/>
          <w:szCs w:val="26"/>
        </w:rPr>
        <w:t>para los períodos de cotización</w:t>
      </w:r>
      <w:r w:rsidR="00421C9F" w:rsidRPr="002842C5">
        <w:rPr>
          <w:rFonts w:ascii="Arial Narrow" w:hAnsi="Arial Narrow"/>
          <w:bCs/>
          <w:sz w:val="26"/>
          <w:szCs w:val="26"/>
        </w:rPr>
        <w:t xml:space="preserve"> </w:t>
      </w:r>
      <w:r w:rsidRPr="002842C5">
        <w:rPr>
          <w:rFonts w:ascii="Arial Narrow" w:hAnsi="Arial Narrow"/>
          <w:bCs/>
          <w:sz w:val="26"/>
          <w:szCs w:val="26"/>
        </w:rPr>
        <w:t xml:space="preserve">200212 a </w:t>
      </w:r>
      <w:r w:rsidR="00421C9F" w:rsidRPr="002842C5">
        <w:rPr>
          <w:rFonts w:ascii="Arial Narrow" w:hAnsi="Arial Narrow"/>
          <w:bCs/>
          <w:sz w:val="26"/>
          <w:szCs w:val="26"/>
        </w:rPr>
        <w:t>200304, 200307 a 200311, 200401</w:t>
      </w:r>
      <w:r w:rsidRPr="002842C5">
        <w:rPr>
          <w:rFonts w:ascii="Arial Narrow" w:hAnsi="Arial Narrow"/>
          <w:bCs/>
          <w:sz w:val="26"/>
          <w:szCs w:val="26"/>
        </w:rPr>
        <w:t>, 200402, 200404 a 200604, 200607,</w:t>
      </w:r>
      <w:r w:rsidR="00421C9F" w:rsidRPr="002842C5">
        <w:rPr>
          <w:rFonts w:ascii="Arial Narrow" w:hAnsi="Arial Narrow"/>
          <w:bCs/>
          <w:sz w:val="26"/>
          <w:szCs w:val="26"/>
        </w:rPr>
        <w:t xml:space="preserve"> 200608 y</w:t>
      </w:r>
      <w:r w:rsidRPr="002842C5">
        <w:rPr>
          <w:rFonts w:ascii="Arial Narrow" w:hAnsi="Arial Narrow"/>
          <w:bCs/>
          <w:sz w:val="26"/>
          <w:szCs w:val="26"/>
        </w:rPr>
        <w:t xml:space="preserve"> 200610 a 200707, </w:t>
      </w:r>
      <w:r w:rsidR="00421C9F" w:rsidRPr="002842C5">
        <w:rPr>
          <w:rFonts w:ascii="Arial Narrow" w:hAnsi="Arial Narrow"/>
          <w:bCs/>
          <w:sz w:val="26"/>
          <w:szCs w:val="26"/>
        </w:rPr>
        <w:t xml:space="preserve">el pago fue realizado de manera extemporánea, de manera que en aplicación del </w:t>
      </w:r>
      <w:r w:rsidRPr="002842C5">
        <w:rPr>
          <w:rFonts w:ascii="Arial Narrow" w:hAnsi="Arial Narrow"/>
          <w:bCs/>
          <w:sz w:val="26"/>
          <w:szCs w:val="26"/>
        </w:rPr>
        <w:t>artíc</w:t>
      </w:r>
      <w:r w:rsidR="00421C9F" w:rsidRPr="002842C5">
        <w:rPr>
          <w:rFonts w:ascii="Arial Narrow" w:hAnsi="Arial Narrow"/>
          <w:bCs/>
          <w:sz w:val="26"/>
          <w:szCs w:val="26"/>
        </w:rPr>
        <w:t>ulo 35 del decreto 1406 de 1999, tales ciclos no pueden ser incluidos en la historia laboral de los trabajadores independientes</w:t>
      </w:r>
      <w:r w:rsidR="002C2DC4" w:rsidRPr="002842C5">
        <w:rPr>
          <w:rFonts w:ascii="Arial Narrow" w:hAnsi="Arial Narrow"/>
          <w:bCs/>
          <w:sz w:val="26"/>
          <w:szCs w:val="26"/>
        </w:rPr>
        <w:t xml:space="preserve"> y que </w:t>
      </w:r>
      <w:r w:rsidR="00421C9F" w:rsidRPr="002842C5">
        <w:rPr>
          <w:rFonts w:ascii="Arial Narrow" w:hAnsi="Arial Narrow"/>
          <w:bCs/>
          <w:sz w:val="26"/>
          <w:szCs w:val="26"/>
        </w:rPr>
        <w:t>“</w:t>
      </w:r>
      <w:r w:rsidRPr="00371543">
        <w:rPr>
          <w:rFonts w:ascii="Arial Narrow" w:hAnsi="Arial Narrow"/>
          <w:bCs/>
          <w:sz w:val="24"/>
          <w:szCs w:val="26"/>
        </w:rPr>
        <w:t>Es de aclarar que los pagos se</w:t>
      </w:r>
      <w:r w:rsidR="00421C9F" w:rsidRPr="00371543">
        <w:rPr>
          <w:rFonts w:ascii="Arial Narrow" w:hAnsi="Arial Narrow"/>
          <w:bCs/>
          <w:sz w:val="24"/>
          <w:szCs w:val="26"/>
        </w:rPr>
        <w:t xml:space="preserve"> </w:t>
      </w:r>
      <w:r w:rsidRPr="00371543">
        <w:rPr>
          <w:rFonts w:ascii="Arial Narrow" w:hAnsi="Arial Narrow"/>
          <w:bCs/>
          <w:sz w:val="24"/>
          <w:szCs w:val="26"/>
        </w:rPr>
        <w:t>realizaron cuando se encontraba en el régimen de ahorro individua</w:t>
      </w:r>
      <w:r w:rsidR="00421C9F" w:rsidRPr="00371543">
        <w:rPr>
          <w:rFonts w:ascii="Arial Narrow" w:hAnsi="Arial Narrow"/>
          <w:bCs/>
          <w:sz w:val="24"/>
          <w:szCs w:val="26"/>
        </w:rPr>
        <w:t>l</w:t>
      </w:r>
      <w:r w:rsidRPr="00371543">
        <w:rPr>
          <w:rFonts w:ascii="Arial Narrow" w:hAnsi="Arial Narrow"/>
          <w:bCs/>
          <w:sz w:val="24"/>
          <w:szCs w:val="26"/>
        </w:rPr>
        <w:t xml:space="preserve"> y para la AFP</w:t>
      </w:r>
      <w:r w:rsidR="00421C9F" w:rsidRPr="00371543">
        <w:rPr>
          <w:rFonts w:ascii="Arial Narrow" w:hAnsi="Arial Narrow"/>
          <w:bCs/>
          <w:sz w:val="24"/>
          <w:szCs w:val="26"/>
        </w:rPr>
        <w:t xml:space="preserve"> </w:t>
      </w:r>
      <w:r w:rsidRPr="00371543">
        <w:rPr>
          <w:rFonts w:ascii="Arial Narrow" w:hAnsi="Arial Narrow"/>
          <w:bCs/>
          <w:sz w:val="24"/>
          <w:szCs w:val="26"/>
        </w:rPr>
        <w:t>Colfondos si se acreditaba dichos ciclo</w:t>
      </w:r>
      <w:r w:rsidR="00421C9F" w:rsidRPr="00371543">
        <w:rPr>
          <w:rFonts w:ascii="Arial Narrow" w:hAnsi="Arial Narrow"/>
          <w:bCs/>
          <w:sz w:val="24"/>
          <w:szCs w:val="26"/>
        </w:rPr>
        <w:t>s por políticas diferentes</w:t>
      </w:r>
      <w:r w:rsidRPr="002842C5">
        <w:rPr>
          <w:rFonts w:ascii="Arial Narrow" w:hAnsi="Arial Narrow"/>
          <w:bCs/>
          <w:sz w:val="26"/>
          <w:szCs w:val="26"/>
        </w:rPr>
        <w:t>”</w:t>
      </w:r>
      <w:r w:rsidR="00421C9F" w:rsidRPr="002842C5">
        <w:rPr>
          <w:rFonts w:ascii="Arial Narrow" w:hAnsi="Arial Narrow"/>
          <w:bCs/>
          <w:sz w:val="26"/>
          <w:szCs w:val="26"/>
        </w:rPr>
        <w:t>. Agregó que la acción de tutela es improcedente al concurrir otros medios de defensa judicial para definir la cuestión</w:t>
      </w:r>
      <w:r w:rsidR="00421C9F" w:rsidRPr="002842C5">
        <w:rPr>
          <w:rStyle w:val="Refdenotaalpie"/>
          <w:rFonts w:ascii="Arial Narrow" w:hAnsi="Arial Narrow"/>
          <w:sz w:val="26"/>
          <w:szCs w:val="26"/>
        </w:rPr>
        <w:footnoteReference w:id="2"/>
      </w:r>
      <w:r w:rsidR="00421C9F" w:rsidRPr="002842C5">
        <w:rPr>
          <w:rFonts w:ascii="Arial Narrow" w:hAnsi="Arial Narrow"/>
          <w:bCs/>
          <w:sz w:val="26"/>
          <w:szCs w:val="26"/>
        </w:rPr>
        <w:t>.</w:t>
      </w:r>
    </w:p>
    <w:p w14:paraId="79B3F492" w14:textId="77777777" w:rsidR="00292BF7" w:rsidRPr="006F3ECB" w:rsidRDefault="00292BF7" w:rsidP="006F3ECB">
      <w:pPr>
        <w:pStyle w:val="Sinespaciado"/>
        <w:jc w:val="both"/>
        <w:rPr>
          <w:rFonts w:ascii="Arial Narrow" w:hAnsi="Arial Narrow"/>
          <w:sz w:val="26"/>
          <w:szCs w:val="26"/>
        </w:rPr>
      </w:pPr>
    </w:p>
    <w:p w14:paraId="07BA767C" w14:textId="27AA5CE2" w:rsidR="00E26814" w:rsidRPr="002842C5" w:rsidRDefault="00AA072B" w:rsidP="002842C5">
      <w:pPr>
        <w:pStyle w:val="Sinespaciado"/>
        <w:spacing w:line="276" w:lineRule="auto"/>
        <w:jc w:val="both"/>
        <w:rPr>
          <w:rFonts w:ascii="Arial Narrow" w:hAnsi="Arial Narrow"/>
          <w:iCs/>
          <w:sz w:val="26"/>
          <w:szCs w:val="26"/>
        </w:rPr>
      </w:pPr>
      <w:r w:rsidRPr="002842C5">
        <w:rPr>
          <w:rFonts w:ascii="Arial Narrow" w:hAnsi="Arial Narrow"/>
          <w:b/>
          <w:bCs/>
          <w:sz w:val="26"/>
          <w:szCs w:val="26"/>
        </w:rPr>
        <w:t xml:space="preserve">3. Sentencia impugnada: </w:t>
      </w:r>
      <w:r w:rsidRPr="002842C5">
        <w:rPr>
          <w:rFonts w:ascii="Arial Narrow" w:hAnsi="Arial Narrow"/>
          <w:sz w:val="26"/>
          <w:szCs w:val="26"/>
        </w:rPr>
        <w:t xml:space="preserve">En providencia del </w:t>
      </w:r>
      <w:r w:rsidR="00421C9F" w:rsidRPr="002842C5">
        <w:rPr>
          <w:rFonts w:ascii="Arial Narrow" w:hAnsi="Arial Narrow"/>
          <w:sz w:val="26"/>
          <w:szCs w:val="26"/>
        </w:rPr>
        <w:t>treinta</w:t>
      </w:r>
      <w:r w:rsidRPr="002842C5">
        <w:rPr>
          <w:rFonts w:ascii="Arial Narrow" w:hAnsi="Arial Narrow"/>
          <w:sz w:val="26"/>
          <w:szCs w:val="26"/>
        </w:rPr>
        <w:t xml:space="preserve"> (</w:t>
      </w:r>
      <w:r w:rsidR="00421C9F" w:rsidRPr="002842C5">
        <w:rPr>
          <w:rFonts w:ascii="Arial Narrow" w:hAnsi="Arial Narrow"/>
          <w:sz w:val="26"/>
          <w:szCs w:val="26"/>
        </w:rPr>
        <w:t>30</w:t>
      </w:r>
      <w:r w:rsidRPr="002842C5">
        <w:rPr>
          <w:rFonts w:ascii="Arial Narrow" w:hAnsi="Arial Narrow"/>
          <w:sz w:val="26"/>
          <w:szCs w:val="26"/>
        </w:rPr>
        <w:t xml:space="preserve">) de </w:t>
      </w:r>
      <w:r w:rsidR="00E26814" w:rsidRPr="002842C5">
        <w:rPr>
          <w:rFonts w:ascii="Arial Narrow" w:hAnsi="Arial Narrow"/>
          <w:sz w:val="26"/>
          <w:szCs w:val="26"/>
        </w:rPr>
        <w:t>abril</w:t>
      </w:r>
      <w:r w:rsidRPr="002842C5">
        <w:rPr>
          <w:rFonts w:ascii="Arial Narrow" w:hAnsi="Arial Narrow"/>
          <w:sz w:val="26"/>
          <w:szCs w:val="26"/>
        </w:rPr>
        <w:t xml:space="preserve"> de los corrientes, el </w:t>
      </w:r>
      <w:r w:rsidRPr="002842C5">
        <w:rPr>
          <w:rFonts w:ascii="Arial Narrow" w:hAnsi="Arial Narrow"/>
          <w:i/>
          <w:sz w:val="26"/>
          <w:szCs w:val="26"/>
        </w:rPr>
        <w:t>a-quo</w:t>
      </w:r>
      <w:r w:rsidRPr="002842C5">
        <w:rPr>
          <w:rFonts w:ascii="Arial Narrow" w:hAnsi="Arial Narrow"/>
          <w:iCs/>
          <w:sz w:val="26"/>
          <w:szCs w:val="26"/>
        </w:rPr>
        <w:t xml:space="preserve"> </w:t>
      </w:r>
      <w:r w:rsidR="00A618C4" w:rsidRPr="002842C5">
        <w:rPr>
          <w:rFonts w:ascii="Arial Narrow" w:hAnsi="Arial Narrow"/>
          <w:iCs/>
          <w:sz w:val="26"/>
          <w:szCs w:val="26"/>
        </w:rPr>
        <w:t>negó el amparo invocado</w:t>
      </w:r>
      <w:r w:rsidRPr="002842C5">
        <w:rPr>
          <w:rFonts w:ascii="Arial Narrow" w:hAnsi="Arial Narrow"/>
          <w:iCs/>
          <w:sz w:val="26"/>
          <w:szCs w:val="26"/>
        </w:rPr>
        <w:t xml:space="preserve"> tras considerar que Colpensiones</w:t>
      </w:r>
      <w:r w:rsidR="00A618C4" w:rsidRPr="002842C5">
        <w:rPr>
          <w:rFonts w:ascii="Arial Narrow" w:hAnsi="Arial Narrow"/>
          <w:iCs/>
          <w:sz w:val="26"/>
          <w:szCs w:val="26"/>
        </w:rPr>
        <w:t xml:space="preserve"> emitió respuesta a la petición formulada por la actora en el sentido de negar la inclusión de periodos por pago extemporáneo</w:t>
      </w:r>
      <w:r w:rsidR="007A3C49" w:rsidRPr="002842C5">
        <w:rPr>
          <w:rFonts w:ascii="Arial Narrow" w:hAnsi="Arial Narrow"/>
          <w:iCs/>
          <w:sz w:val="26"/>
          <w:szCs w:val="26"/>
        </w:rPr>
        <w:t>. Ello fue puesto</w:t>
      </w:r>
      <w:r w:rsidR="00A618C4" w:rsidRPr="002842C5">
        <w:rPr>
          <w:rFonts w:ascii="Arial Narrow" w:hAnsi="Arial Narrow"/>
          <w:iCs/>
          <w:sz w:val="26"/>
          <w:szCs w:val="26"/>
        </w:rPr>
        <w:t xml:space="preserve"> en conocimiento de la </w:t>
      </w:r>
      <w:r w:rsidR="00C4324D" w:rsidRPr="002842C5">
        <w:rPr>
          <w:rFonts w:ascii="Arial Narrow" w:hAnsi="Arial Narrow"/>
          <w:iCs/>
          <w:sz w:val="26"/>
          <w:szCs w:val="26"/>
        </w:rPr>
        <w:t xml:space="preserve">interesada </w:t>
      </w:r>
      <w:r w:rsidR="00A618C4" w:rsidRPr="002842C5">
        <w:rPr>
          <w:rFonts w:ascii="Arial Narrow" w:hAnsi="Arial Narrow"/>
          <w:iCs/>
          <w:sz w:val="26"/>
          <w:szCs w:val="26"/>
        </w:rPr>
        <w:t>el 19 de febrero de 2021, es decir que, contrario a lo manifestado por la gestora, para el momento en que se formuló la tutela ya había sido atendida su solicitud. De todo</w:t>
      </w:r>
      <w:r w:rsidR="007A3C49" w:rsidRPr="002842C5">
        <w:rPr>
          <w:rFonts w:ascii="Arial Narrow" w:hAnsi="Arial Narrow"/>
          <w:iCs/>
          <w:sz w:val="26"/>
          <w:szCs w:val="26"/>
        </w:rPr>
        <w:t>s</w:t>
      </w:r>
      <w:r w:rsidR="00A618C4" w:rsidRPr="002842C5">
        <w:rPr>
          <w:rFonts w:ascii="Arial Narrow" w:hAnsi="Arial Narrow"/>
          <w:iCs/>
          <w:sz w:val="26"/>
          <w:szCs w:val="26"/>
        </w:rPr>
        <w:t xml:space="preserve"> modos, en este caso existe la posibilidad de acudir a la jurisdicción laboral, sin que concurra situación especial que incida en la eficacia de ese medio ordinario de defensa judicial</w:t>
      </w:r>
      <w:r w:rsidR="008A35CF" w:rsidRPr="002842C5">
        <w:rPr>
          <w:rStyle w:val="Refdenotaalpie"/>
          <w:rFonts w:ascii="Arial Narrow" w:hAnsi="Arial Narrow"/>
          <w:bCs/>
          <w:sz w:val="26"/>
          <w:szCs w:val="26"/>
        </w:rPr>
        <w:footnoteReference w:id="3"/>
      </w:r>
      <w:r w:rsidR="00A618C4" w:rsidRPr="002842C5">
        <w:rPr>
          <w:rFonts w:ascii="Arial Narrow" w:hAnsi="Arial Narrow"/>
          <w:iCs/>
          <w:sz w:val="26"/>
          <w:szCs w:val="26"/>
        </w:rPr>
        <w:t>.</w:t>
      </w:r>
    </w:p>
    <w:p w14:paraId="176026D3" w14:textId="77777777" w:rsidR="00AA072B" w:rsidRPr="006F3ECB" w:rsidRDefault="00AA072B" w:rsidP="006F3ECB">
      <w:pPr>
        <w:pStyle w:val="Sinespaciado"/>
        <w:jc w:val="both"/>
        <w:rPr>
          <w:rFonts w:ascii="Arial Narrow" w:hAnsi="Arial Narrow"/>
          <w:sz w:val="26"/>
          <w:szCs w:val="26"/>
        </w:rPr>
      </w:pPr>
    </w:p>
    <w:p w14:paraId="5EBE33D5" w14:textId="335CA258" w:rsidR="00AA072B" w:rsidRPr="002842C5" w:rsidRDefault="00AA072B" w:rsidP="002842C5">
      <w:pPr>
        <w:pStyle w:val="Sinespaciado"/>
        <w:spacing w:line="276" w:lineRule="auto"/>
        <w:jc w:val="both"/>
        <w:rPr>
          <w:rFonts w:ascii="Arial Narrow" w:hAnsi="Arial Narrow"/>
          <w:b/>
          <w:sz w:val="26"/>
          <w:szCs w:val="26"/>
        </w:rPr>
      </w:pPr>
      <w:r w:rsidRPr="002842C5">
        <w:rPr>
          <w:rFonts w:ascii="Arial Narrow" w:hAnsi="Arial Narrow"/>
          <w:b/>
          <w:sz w:val="26"/>
          <w:szCs w:val="26"/>
        </w:rPr>
        <w:t>4. Impugnación:</w:t>
      </w:r>
      <w:r w:rsidR="0085308A" w:rsidRPr="002842C5">
        <w:rPr>
          <w:rFonts w:ascii="Arial Narrow" w:hAnsi="Arial Narrow"/>
          <w:b/>
          <w:sz w:val="26"/>
          <w:szCs w:val="26"/>
        </w:rPr>
        <w:t xml:space="preserve"> </w:t>
      </w:r>
      <w:r w:rsidR="0085308A" w:rsidRPr="002842C5">
        <w:rPr>
          <w:rFonts w:ascii="Arial Narrow" w:hAnsi="Arial Narrow"/>
          <w:sz w:val="26"/>
          <w:szCs w:val="26"/>
        </w:rPr>
        <w:t>Alega la accionante que</w:t>
      </w:r>
      <w:r w:rsidR="0085308A" w:rsidRPr="002842C5">
        <w:rPr>
          <w:rFonts w:ascii="Arial Narrow" w:hAnsi="Arial Narrow"/>
          <w:b/>
          <w:sz w:val="26"/>
          <w:szCs w:val="26"/>
        </w:rPr>
        <w:t xml:space="preserve"> </w:t>
      </w:r>
      <w:r w:rsidR="0085308A" w:rsidRPr="002842C5">
        <w:rPr>
          <w:rFonts w:ascii="Arial Narrow" w:hAnsi="Arial Narrow"/>
          <w:sz w:val="26"/>
          <w:szCs w:val="26"/>
        </w:rPr>
        <w:t xml:space="preserve">el estudio sobre la procedibilidad del amparo realizado en primera </w:t>
      </w:r>
      <w:r w:rsidR="00C86A8F" w:rsidRPr="002842C5">
        <w:rPr>
          <w:rFonts w:ascii="Arial Narrow" w:hAnsi="Arial Narrow"/>
          <w:sz w:val="26"/>
          <w:szCs w:val="26"/>
        </w:rPr>
        <w:t>instancia</w:t>
      </w:r>
      <w:r w:rsidR="0085308A" w:rsidRPr="002842C5">
        <w:rPr>
          <w:rFonts w:ascii="Arial Narrow" w:hAnsi="Arial Narrow"/>
          <w:sz w:val="26"/>
          <w:szCs w:val="26"/>
        </w:rPr>
        <w:t xml:space="preserve"> desconoce el procedente constitucional relativo a la procedencia excepcio</w:t>
      </w:r>
      <w:r w:rsidR="007A3C49" w:rsidRPr="002842C5">
        <w:rPr>
          <w:rFonts w:ascii="Arial Narrow" w:hAnsi="Arial Narrow"/>
          <w:sz w:val="26"/>
          <w:szCs w:val="26"/>
        </w:rPr>
        <w:t>nal del amparo cuando los mecanismos</w:t>
      </w:r>
      <w:r w:rsidR="0085308A" w:rsidRPr="002842C5">
        <w:rPr>
          <w:rFonts w:ascii="Arial Narrow" w:hAnsi="Arial Narrow"/>
          <w:sz w:val="26"/>
          <w:szCs w:val="26"/>
        </w:rPr>
        <w:t xml:space="preserve"> </w:t>
      </w:r>
      <w:r w:rsidR="007A3C49" w:rsidRPr="002842C5">
        <w:rPr>
          <w:rFonts w:ascii="Arial Narrow" w:hAnsi="Arial Narrow"/>
          <w:sz w:val="26"/>
          <w:szCs w:val="26"/>
        </w:rPr>
        <w:t xml:space="preserve">judiciales </w:t>
      </w:r>
      <w:r w:rsidR="0085308A" w:rsidRPr="002842C5">
        <w:rPr>
          <w:rFonts w:ascii="Arial Narrow" w:hAnsi="Arial Narrow"/>
          <w:sz w:val="26"/>
          <w:szCs w:val="26"/>
        </w:rPr>
        <w:t xml:space="preserve">ordinarios resulten ineficaces. En este caso, se </w:t>
      </w:r>
      <w:r w:rsidR="007A3C49" w:rsidRPr="002842C5">
        <w:rPr>
          <w:rFonts w:ascii="Arial Narrow" w:hAnsi="Arial Narrow"/>
          <w:sz w:val="26"/>
          <w:szCs w:val="26"/>
        </w:rPr>
        <w:t>dejó de analizar el hecho según el cual ya se agotó</w:t>
      </w:r>
      <w:r w:rsidR="0085308A" w:rsidRPr="002842C5">
        <w:rPr>
          <w:rFonts w:ascii="Arial Narrow" w:hAnsi="Arial Narrow"/>
          <w:sz w:val="26"/>
          <w:szCs w:val="26"/>
        </w:rPr>
        <w:t xml:space="preserve"> proceso laboral en el </w:t>
      </w:r>
      <w:r w:rsidR="007A3C49" w:rsidRPr="002842C5">
        <w:rPr>
          <w:rFonts w:ascii="Arial Narrow" w:hAnsi="Arial Narrow"/>
          <w:sz w:val="26"/>
          <w:szCs w:val="26"/>
        </w:rPr>
        <w:t>que</w:t>
      </w:r>
      <w:r w:rsidR="0085308A" w:rsidRPr="002842C5">
        <w:rPr>
          <w:rFonts w:ascii="Arial Narrow" w:hAnsi="Arial Narrow"/>
          <w:sz w:val="26"/>
          <w:szCs w:val="26"/>
        </w:rPr>
        <w:t xml:space="preserve"> se emitió sentencia que ordenó el traslado de sus aportes </w:t>
      </w:r>
      <w:r w:rsidR="003B25B9" w:rsidRPr="002842C5">
        <w:rPr>
          <w:rFonts w:ascii="Arial Narrow" w:hAnsi="Arial Narrow"/>
          <w:sz w:val="26"/>
          <w:szCs w:val="26"/>
        </w:rPr>
        <w:t>consignados en Colfondos “e</w:t>
      </w:r>
      <w:r w:rsidR="0085308A" w:rsidRPr="002842C5">
        <w:rPr>
          <w:rFonts w:ascii="Arial Narrow" w:hAnsi="Arial Narrow"/>
          <w:sz w:val="26"/>
          <w:szCs w:val="26"/>
        </w:rPr>
        <w:t>n el archivo plano que ya fue</w:t>
      </w:r>
      <w:r w:rsidR="003B25B9" w:rsidRPr="002842C5">
        <w:rPr>
          <w:rFonts w:ascii="Arial Narrow" w:hAnsi="Arial Narrow"/>
          <w:sz w:val="26"/>
          <w:szCs w:val="26"/>
        </w:rPr>
        <w:t xml:space="preserve"> </w:t>
      </w:r>
      <w:r w:rsidR="0085308A" w:rsidRPr="002842C5">
        <w:rPr>
          <w:rFonts w:ascii="Arial Narrow" w:hAnsi="Arial Narrow"/>
          <w:sz w:val="26"/>
          <w:szCs w:val="26"/>
        </w:rPr>
        <w:t>aportado por ellos</w:t>
      </w:r>
      <w:r w:rsidR="003B25B9" w:rsidRPr="002842C5">
        <w:rPr>
          <w:rFonts w:ascii="Arial Narrow" w:hAnsi="Arial Narrow"/>
          <w:sz w:val="26"/>
          <w:szCs w:val="26"/>
        </w:rPr>
        <w:t>”,</w:t>
      </w:r>
      <w:r w:rsidR="002C2DC4" w:rsidRPr="002842C5">
        <w:rPr>
          <w:rFonts w:ascii="Arial Narrow" w:hAnsi="Arial Narrow"/>
          <w:sz w:val="26"/>
          <w:szCs w:val="26"/>
        </w:rPr>
        <w:t xml:space="preserve"> es decir que se trasladaran “</w:t>
      </w:r>
      <w:r w:rsidR="002C2DC4" w:rsidRPr="00371543">
        <w:rPr>
          <w:rFonts w:ascii="Arial Narrow" w:hAnsi="Arial Narrow"/>
          <w:sz w:val="24"/>
          <w:szCs w:val="26"/>
        </w:rPr>
        <w:t>los aportes como habían sido realizados</w:t>
      </w:r>
      <w:r w:rsidR="002C2DC4" w:rsidRPr="002842C5">
        <w:rPr>
          <w:rFonts w:ascii="Arial Narrow" w:hAnsi="Arial Narrow"/>
          <w:sz w:val="26"/>
          <w:szCs w:val="26"/>
        </w:rPr>
        <w:t xml:space="preserve">”, </w:t>
      </w:r>
      <w:r w:rsidR="003B25B9" w:rsidRPr="002842C5">
        <w:rPr>
          <w:rFonts w:ascii="Arial Narrow" w:hAnsi="Arial Narrow"/>
          <w:sz w:val="26"/>
          <w:szCs w:val="26"/>
        </w:rPr>
        <w:t>de manera que no resultaría indicado</w:t>
      </w:r>
      <w:r w:rsidR="007A3C49" w:rsidRPr="002842C5">
        <w:rPr>
          <w:rFonts w:ascii="Arial Narrow" w:hAnsi="Arial Narrow"/>
          <w:sz w:val="26"/>
          <w:szCs w:val="26"/>
        </w:rPr>
        <w:t xml:space="preserve"> promover</w:t>
      </w:r>
      <w:r w:rsidR="003B25B9" w:rsidRPr="002842C5">
        <w:rPr>
          <w:rFonts w:ascii="Arial Narrow" w:hAnsi="Arial Narrow"/>
          <w:sz w:val="26"/>
          <w:szCs w:val="26"/>
        </w:rPr>
        <w:t xml:space="preserve"> otro proceso </w:t>
      </w:r>
      <w:r w:rsidR="007A3C49" w:rsidRPr="002842C5">
        <w:rPr>
          <w:rFonts w:ascii="Arial Narrow" w:hAnsi="Arial Narrow"/>
          <w:sz w:val="26"/>
          <w:szCs w:val="26"/>
        </w:rPr>
        <w:t>ordinario</w:t>
      </w:r>
      <w:r w:rsidR="0085308A" w:rsidRPr="002842C5">
        <w:rPr>
          <w:rFonts w:ascii="Arial Narrow" w:hAnsi="Arial Narrow"/>
          <w:sz w:val="26"/>
          <w:szCs w:val="26"/>
        </w:rPr>
        <w:t>.</w:t>
      </w:r>
      <w:r w:rsidR="003B25B9" w:rsidRPr="002842C5">
        <w:rPr>
          <w:rFonts w:ascii="Arial Narrow" w:hAnsi="Arial Narrow"/>
          <w:b/>
          <w:sz w:val="26"/>
          <w:szCs w:val="26"/>
        </w:rPr>
        <w:t xml:space="preserve"> </w:t>
      </w:r>
      <w:r w:rsidR="003B25B9" w:rsidRPr="002842C5">
        <w:rPr>
          <w:rFonts w:ascii="Arial Narrow" w:hAnsi="Arial Narrow"/>
          <w:sz w:val="26"/>
          <w:szCs w:val="26"/>
        </w:rPr>
        <w:t>De igual manera, ella hace parte de la tercera edad y la falta de corrección de su historia laboral, le impide acceder a su pensión de vejez. Frente a la respuesta emitida por Colpensiones, de la cual nunca tuvo conocimiento, señaló que el ordenamiento jurídico no define la forma en que los independientes deben pagar sus aportes</w:t>
      </w:r>
      <w:r w:rsidR="002C2DC4" w:rsidRPr="002842C5">
        <w:rPr>
          <w:rFonts w:ascii="Arial Narrow" w:hAnsi="Arial Narrow"/>
          <w:sz w:val="26"/>
          <w:szCs w:val="26"/>
        </w:rPr>
        <w:t xml:space="preserve">, al </w:t>
      </w:r>
      <w:r w:rsidR="00661745" w:rsidRPr="002842C5">
        <w:rPr>
          <w:rFonts w:ascii="Arial Narrow" w:hAnsi="Arial Narrow"/>
          <w:sz w:val="26"/>
          <w:szCs w:val="26"/>
        </w:rPr>
        <w:t>contrario,</w:t>
      </w:r>
      <w:r w:rsidR="002C2DC4" w:rsidRPr="002842C5">
        <w:rPr>
          <w:rFonts w:ascii="Arial Narrow" w:hAnsi="Arial Narrow"/>
          <w:sz w:val="26"/>
          <w:szCs w:val="26"/>
        </w:rPr>
        <w:t xml:space="preserve"> la jurisprudencia constitucional se ha encargado de definir qué gestiones debe realizar el fondo pensional en estos </w:t>
      </w:r>
      <w:r w:rsidR="007A3C49" w:rsidRPr="002842C5">
        <w:rPr>
          <w:rFonts w:ascii="Arial Narrow" w:hAnsi="Arial Narrow"/>
          <w:sz w:val="26"/>
          <w:szCs w:val="26"/>
        </w:rPr>
        <w:t>eventos</w:t>
      </w:r>
      <w:r w:rsidR="002C2DC4" w:rsidRPr="002842C5">
        <w:rPr>
          <w:rFonts w:ascii="Arial Narrow" w:hAnsi="Arial Narrow"/>
          <w:sz w:val="26"/>
          <w:szCs w:val="26"/>
        </w:rPr>
        <w:t>, a lo cual no procedió la demandada</w:t>
      </w:r>
      <w:r w:rsidR="00DA539C" w:rsidRPr="002842C5">
        <w:rPr>
          <w:rStyle w:val="Refdenotaalpie"/>
          <w:rFonts w:ascii="Arial Narrow" w:hAnsi="Arial Narrow"/>
          <w:bCs/>
          <w:sz w:val="26"/>
          <w:szCs w:val="26"/>
        </w:rPr>
        <w:footnoteReference w:id="4"/>
      </w:r>
      <w:r w:rsidR="00424B18" w:rsidRPr="002842C5">
        <w:rPr>
          <w:rFonts w:ascii="Arial Narrow" w:hAnsi="Arial Narrow"/>
          <w:sz w:val="26"/>
          <w:szCs w:val="26"/>
        </w:rPr>
        <w:t>.</w:t>
      </w:r>
    </w:p>
    <w:p w14:paraId="41D761A6" w14:textId="77777777" w:rsidR="00361E94" w:rsidRPr="002842C5" w:rsidRDefault="00361E94" w:rsidP="002842C5">
      <w:pPr>
        <w:pStyle w:val="Sinespaciado"/>
        <w:tabs>
          <w:tab w:val="left" w:pos="1750"/>
        </w:tabs>
        <w:spacing w:line="276" w:lineRule="auto"/>
        <w:jc w:val="both"/>
        <w:rPr>
          <w:rFonts w:ascii="Arial Narrow" w:hAnsi="Arial Narrow"/>
          <w:sz w:val="26"/>
          <w:szCs w:val="26"/>
        </w:rPr>
      </w:pPr>
    </w:p>
    <w:p w14:paraId="7EC9ED06" w14:textId="77777777" w:rsidR="00AA072B" w:rsidRPr="002842C5" w:rsidRDefault="00AA072B" w:rsidP="002842C5">
      <w:pPr>
        <w:pStyle w:val="Sinespaciado"/>
        <w:spacing w:line="276" w:lineRule="auto"/>
        <w:jc w:val="center"/>
        <w:rPr>
          <w:rFonts w:ascii="Arial Narrow" w:hAnsi="Arial Narrow"/>
          <w:sz w:val="26"/>
          <w:szCs w:val="26"/>
        </w:rPr>
      </w:pPr>
      <w:r w:rsidRPr="002842C5">
        <w:rPr>
          <w:rFonts w:ascii="Arial Narrow" w:hAnsi="Arial Narrow"/>
          <w:b/>
          <w:bCs/>
          <w:sz w:val="26"/>
          <w:szCs w:val="26"/>
        </w:rPr>
        <w:t>CONSIDERACIONES</w:t>
      </w:r>
    </w:p>
    <w:p w14:paraId="23970993" w14:textId="77777777" w:rsidR="00AA072B" w:rsidRPr="002842C5" w:rsidRDefault="00AA072B" w:rsidP="002842C5">
      <w:pPr>
        <w:pStyle w:val="Sinespaciado"/>
        <w:spacing w:line="276" w:lineRule="auto"/>
        <w:jc w:val="both"/>
        <w:rPr>
          <w:rFonts w:ascii="Arial Narrow" w:hAnsi="Arial Narrow"/>
          <w:sz w:val="26"/>
          <w:szCs w:val="26"/>
        </w:rPr>
      </w:pPr>
    </w:p>
    <w:p w14:paraId="745712C2" w14:textId="77777777" w:rsidR="00E8157E" w:rsidRPr="002842C5" w:rsidRDefault="00E8157E" w:rsidP="002842C5">
      <w:pPr>
        <w:pStyle w:val="Sinespaciado"/>
        <w:spacing w:line="276" w:lineRule="auto"/>
        <w:jc w:val="both"/>
        <w:rPr>
          <w:rFonts w:ascii="Arial Narrow" w:hAnsi="Arial Narrow"/>
          <w:sz w:val="26"/>
          <w:szCs w:val="26"/>
        </w:rPr>
      </w:pPr>
      <w:r w:rsidRPr="002842C5">
        <w:rPr>
          <w:rFonts w:ascii="Arial Narrow" w:hAnsi="Arial Narrow"/>
          <w:b/>
          <w:bCs/>
          <w:sz w:val="26"/>
          <w:szCs w:val="26"/>
        </w:rPr>
        <w:t xml:space="preserve">1. </w:t>
      </w:r>
      <w:r w:rsidRPr="002842C5">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La eficacia de esos medios debe analizarse en concreto (art. 6, numeral 1, del Decreto 2591 de 1991). </w:t>
      </w:r>
    </w:p>
    <w:p w14:paraId="4B778BD2" w14:textId="77777777" w:rsidR="00E8157E" w:rsidRPr="002842C5" w:rsidRDefault="00E8157E" w:rsidP="002842C5">
      <w:pPr>
        <w:pStyle w:val="Sinespaciado"/>
        <w:spacing w:line="276" w:lineRule="auto"/>
        <w:jc w:val="both"/>
        <w:rPr>
          <w:rFonts w:ascii="Arial Narrow" w:hAnsi="Arial Narrow"/>
          <w:sz w:val="26"/>
          <w:szCs w:val="26"/>
        </w:rPr>
      </w:pPr>
    </w:p>
    <w:p w14:paraId="443BCE22" w14:textId="2CAE2783" w:rsidR="00E8157E" w:rsidRPr="002842C5" w:rsidRDefault="00E8157E" w:rsidP="002842C5">
      <w:pPr>
        <w:pStyle w:val="Sinespaciado"/>
        <w:spacing w:line="276" w:lineRule="auto"/>
        <w:jc w:val="both"/>
        <w:rPr>
          <w:rFonts w:ascii="Arial Narrow" w:hAnsi="Arial Narrow"/>
          <w:sz w:val="26"/>
          <w:szCs w:val="26"/>
        </w:rPr>
      </w:pPr>
      <w:r w:rsidRPr="002842C5">
        <w:rPr>
          <w:rFonts w:ascii="Arial Narrow" w:hAnsi="Arial Narrow"/>
          <w:b/>
          <w:sz w:val="26"/>
          <w:szCs w:val="26"/>
        </w:rPr>
        <w:t xml:space="preserve">2. </w:t>
      </w:r>
      <w:r w:rsidRPr="002842C5">
        <w:rPr>
          <w:rFonts w:ascii="Arial Narrow" w:hAnsi="Arial Narrow"/>
          <w:sz w:val="26"/>
          <w:szCs w:val="26"/>
        </w:rPr>
        <w:t>El caso concreto se reduce a la queja constitucional planteada contra Colpensiones por la falta de corrección de la historia laboral de la accionante</w:t>
      </w:r>
      <w:r w:rsidR="00B534EF" w:rsidRPr="002842C5">
        <w:rPr>
          <w:rFonts w:ascii="Arial Narrow" w:hAnsi="Arial Narrow"/>
          <w:sz w:val="26"/>
          <w:szCs w:val="26"/>
        </w:rPr>
        <w:t>, a fin de incluir periodos que ha decidido desechar por ser presuntamente extemporáneos.</w:t>
      </w:r>
      <w:r w:rsidRPr="002842C5">
        <w:rPr>
          <w:rFonts w:ascii="Arial Narrow" w:hAnsi="Arial Narrow"/>
          <w:sz w:val="26"/>
          <w:szCs w:val="26"/>
        </w:rPr>
        <w:t xml:space="preserve"> Se alega que </w:t>
      </w:r>
      <w:r w:rsidR="00DB3A5C" w:rsidRPr="002842C5">
        <w:rPr>
          <w:rFonts w:ascii="Arial Narrow" w:hAnsi="Arial Narrow"/>
          <w:sz w:val="26"/>
          <w:szCs w:val="26"/>
        </w:rPr>
        <w:t xml:space="preserve">la decisión de la demandada de no acceder a dicha subsanación contradice el precedente jurisprudencial relativo a la manera </w:t>
      </w:r>
      <w:r w:rsidR="00F416B8" w:rsidRPr="002842C5">
        <w:rPr>
          <w:rFonts w:ascii="Arial Narrow" w:hAnsi="Arial Narrow"/>
          <w:sz w:val="26"/>
          <w:szCs w:val="26"/>
        </w:rPr>
        <w:t>có</w:t>
      </w:r>
      <w:r w:rsidR="00DB3A5C" w:rsidRPr="002842C5">
        <w:rPr>
          <w:rFonts w:ascii="Arial Narrow" w:hAnsi="Arial Narrow"/>
          <w:sz w:val="26"/>
          <w:szCs w:val="26"/>
        </w:rPr>
        <w:t>mo se deben incluir las semanas de los trabajadores independientes cuando se trasladan del régimen de ahorro in</w:t>
      </w:r>
      <w:r w:rsidR="00F416B8" w:rsidRPr="002842C5">
        <w:rPr>
          <w:rFonts w:ascii="Arial Narrow" w:hAnsi="Arial Narrow"/>
          <w:sz w:val="26"/>
          <w:szCs w:val="26"/>
        </w:rPr>
        <w:t>dividual al de prima media, que</w:t>
      </w:r>
      <w:r w:rsidRPr="002842C5">
        <w:rPr>
          <w:rFonts w:ascii="Arial Narrow" w:hAnsi="Arial Narrow"/>
          <w:sz w:val="26"/>
          <w:szCs w:val="26"/>
        </w:rPr>
        <w:t xml:space="preserve"> </w:t>
      </w:r>
      <w:r w:rsidR="00DB3A5C" w:rsidRPr="002842C5">
        <w:rPr>
          <w:rFonts w:ascii="Arial Narrow" w:hAnsi="Arial Narrow"/>
          <w:sz w:val="26"/>
          <w:szCs w:val="26"/>
        </w:rPr>
        <w:t>la accionante</w:t>
      </w:r>
      <w:r w:rsidRPr="002842C5">
        <w:rPr>
          <w:rFonts w:ascii="Arial Narrow" w:hAnsi="Arial Narrow"/>
          <w:sz w:val="26"/>
          <w:szCs w:val="26"/>
        </w:rPr>
        <w:t xml:space="preserve"> hace parte de la tercera edad </w:t>
      </w:r>
      <w:r w:rsidR="00DB3A5C" w:rsidRPr="002842C5">
        <w:rPr>
          <w:rFonts w:ascii="Arial Narrow" w:hAnsi="Arial Narrow"/>
          <w:sz w:val="26"/>
          <w:szCs w:val="26"/>
        </w:rPr>
        <w:t xml:space="preserve">y que no se le puede exigir agotar otros mecanismos de defensa judicial cuando ya obtuvo una sentencia en que se ordenó cómo se debía realizar </w:t>
      </w:r>
      <w:r w:rsidR="00F416B8" w:rsidRPr="002842C5">
        <w:rPr>
          <w:rFonts w:ascii="Arial Narrow" w:hAnsi="Arial Narrow"/>
          <w:sz w:val="26"/>
          <w:szCs w:val="26"/>
        </w:rPr>
        <w:t>dicho</w:t>
      </w:r>
      <w:r w:rsidR="00DB3A5C" w:rsidRPr="002842C5">
        <w:rPr>
          <w:rFonts w:ascii="Arial Narrow" w:hAnsi="Arial Narrow"/>
          <w:sz w:val="26"/>
          <w:szCs w:val="26"/>
        </w:rPr>
        <w:t xml:space="preserve"> traslado de aportes.</w:t>
      </w:r>
    </w:p>
    <w:p w14:paraId="0D16E6F4" w14:textId="77777777" w:rsidR="003468C3" w:rsidRPr="002842C5" w:rsidRDefault="003468C3" w:rsidP="002842C5">
      <w:pPr>
        <w:pStyle w:val="Sinespaciado"/>
        <w:spacing w:line="276" w:lineRule="auto"/>
        <w:jc w:val="both"/>
        <w:rPr>
          <w:rFonts w:ascii="Arial Narrow" w:hAnsi="Arial Narrow"/>
          <w:sz w:val="26"/>
          <w:szCs w:val="26"/>
        </w:rPr>
      </w:pPr>
    </w:p>
    <w:p w14:paraId="455FB5D5" w14:textId="77777777" w:rsidR="00E8157E" w:rsidRPr="002842C5" w:rsidRDefault="00E8157E" w:rsidP="002842C5">
      <w:pPr>
        <w:pStyle w:val="Sinespaciado"/>
        <w:spacing w:line="276" w:lineRule="auto"/>
        <w:jc w:val="both"/>
        <w:rPr>
          <w:rFonts w:ascii="Arial Narrow" w:hAnsi="Arial Narrow"/>
          <w:bCs/>
          <w:sz w:val="26"/>
          <w:szCs w:val="26"/>
        </w:rPr>
      </w:pPr>
      <w:r w:rsidRPr="002842C5">
        <w:rPr>
          <w:rFonts w:ascii="Arial Narrow" w:hAnsi="Arial Narrow"/>
          <w:bCs/>
          <w:sz w:val="26"/>
          <w:szCs w:val="26"/>
        </w:rPr>
        <w:t xml:space="preserve">De conformidad con lo anterior, el problema jurídico consiste en determinar si </w:t>
      </w:r>
      <w:r w:rsidRPr="002842C5">
        <w:rPr>
          <w:rFonts w:ascii="Arial Narrow" w:hAnsi="Arial Narrow"/>
          <w:sz w:val="26"/>
          <w:szCs w:val="26"/>
        </w:rPr>
        <w:t>la acción de tutela era procedente para acceder a lo pretendido.</w:t>
      </w:r>
    </w:p>
    <w:p w14:paraId="03CF9129" w14:textId="77777777" w:rsidR="00E8157E" w:rsidRPr="002842C5" w:rsidRDefault="00E8157E" w:rsidP="002842C5">
      <w:pPr>
        <w:pStyle w:val="Sinespaciado"/>
        <w:spacing w:line="276" w:lineRule="auto"/>
        <w:jc w:val="both"/>
        <w:rPr>
          <w:rFonts w:ascii="Arial Narrow" w:hAnsi="Arial Narrow"/>
          <w:bCs/>
          <w:sz w:val="26"/>
          <w:szCs w:val="26"/>
        </w:rPr>
      </w:pPr>
    </w:p>
    <w:p w14:paraId="4D009122" w14:textId="77777777" w:rsidR="00E8157E" w:rsidRPr="002842C5" w:rsidRDefault="00E8157E" w:rsidP="002842C5">
      <w:pPr>
        <w:pStyle w:val="Sinespaciado"/>
        <w:spacing w:line="276" w:lineRule="auto"/>
        <w:jc w:val="both"/>
        <w:rPr>
          <w:rFonts w:ascii="Arial Narrow" w:hAnsi="Arial Narrow"/>
          <w:sz w:val="26"/>
          <w:szCs w:val="26"/>
        </w:rPr>
      </w:pPr>
      <w:r w:rsidRPr="002842C5">
        <w:rPr>
          <w:rFonts w:ascii="Arial Narrow" w:hAnsi="Arial Narrow"/>
          <w:b/>
          <w:bCs/>
          <w:sz w:val="26"/>
          <w:szCs w:val="26"/>
        </w:rPr>
        <w:t xml:space="preserve">3. </w:t>
      </w:r>
      <w:r w:rsidR="00CB4B3F" w:rsidRPr="002842C5">
        <w:rPr>
          <w:rFonts w:ascii="Arial Narrow" w:hAnsi="Arial Narrow"/>
          <w:sz w:val="26"/>
          <w:szCs w:val="26"/>
        </w:rPr>
        <w:t xml:space="preserve">La señora Stella Franco </w:t>
      </w:r>
      <w:proofErr w:type="spellStart"/>
      <w:r w:rsidR="00CB4B3F" w:rsidRPr="002842C5">
        <w:rPr>
          <w:rFonts w:ascii="Arial Narrow" w:hAnsi="Arial Narrow"/>
          <w:sz w:val="26"/>
          <w:szCs w:val="26"/>
        </w:rPr>
        <w:t>Franco</w:t>
      </w:r>
      <w:proofErr w:type="spellEnd"/>
      <w:r w:rsidRPr="002842C5">
        <w:rPr>
          <w:rFonts w:ascii="Arial Narrow" w:hAnsi="Arial Narrow"/>
          <w:sz w:val="26"/>
          <w:szCs w:val="26"/>
        </w:rPr>
        <w:t xml:space="preserve"> está legitimad</w:t>
      </w:r>
      <w:r w:rsidR="00CB4B3F" w:rsidRPr="002842C5">
        <w:rPr>
          <w:rFonts w:ascii="Arial Narrow" w:hAnsi="Arial Narrow"/>
          <w:sz w:val="26"/>
          <w:szCs w:val="26"/>
        </w:rPr>
        <w:t>a</w:t>
      </w:r>
      <w:r w:rsidRPr="002842C5">
        <w:rPr>
          <w:rFonts w:ascii="Arial Narrow" w:hAnsi="Arial Narrow"/>
          <w:sz w:val="26"/>
          <w:szCs w:val="26"/>
        </w:rPr>
        <w:t xml:space="preserve"> en la causa por activa, </w:t>
      </w:r>
      <w:r w:rsidR="00CB4B3F" w:rsidRPr="002842C5">
        <w:rPr>
          <w:rFonts w:ascii="Arial Narrow" w:hAnsi="Arial Narrow"/>
          <w:sz w:val="26"/>
          <w:szCs w:val="26"/>
        </w:rPr>
        <w:t xml:space="preserve">pues en su condición de afiliada a Colpensiones elevó la solicitud de corrección de historia laboral que fue negada por esa entidad, más precisamente por su Director de Historia Laboral, circunstancia que, en consecuencia, legitima </w:t>
      </w:r>
      <w:r w:rsidR="00F416B8" w:rsidRPr="002842C5">
        <w:rPr>
          <w:rFonts w:ascii="Arial Narrow" w:hAnsi="Arial Narrow"/>
          <w:sz w:val="26"/>
          <w:szCs w:val="26"/>
        </w:rPr>
        <w:t xml:space="preserve">en la causa por pasiva </w:t>
      </w:r>
      <w:r w:rsidR="00CB4B3F" w:rsidRPr="002842C5">
        <w:rPr>
          <w:rFonts w:ascii="Arial Narrow" w:hAnsi="Arial Narrow"/>
          <w:sz w:val="26"/>
          <w:szCs w:val="26"/>
        </w:rPr>
        <w:t xml:space="preserve">a ese funcionario.  </w:t>
      </w:r>
    </w:p>
    <w:p w14:paraId="29CCAAE2" w14:textId="77777777" w:rsidR="00CB4B3F" w:rsidRPr="002842C5" w:rsidRDefault="00CB4B3F" w:rsidP="002842C5">
      <w:pPr>
        <w:pStyle w:val="Sinespaciado"/>
        <w:spacing w:line="276" w:lineRule="auto"/>
        <w:jc w:val="both"/>
        <w:rPr>
          <w:rFonts w:ascii="Arial Narrow" w:hAnsi="Arial Narrow"/>
          <w:sz w:val="26"/>
          <w:szCs w:val="26"/>
        </w:rPr>
      </w:pPr>
    </w:p>
    <w:p w14:paraId="1E106E1C" w14:textId="77777777" w:rsidR="00653DC1" w:rsidRPr="002842C5" w:rsidRDefault="00E8157E" w:rsidP="002842C5">
      <w:pPr>
        <w:pStyle w:val="Sinespaciado"/>
        <w:spacing w:line="276" w:lineRule="auto"/>
        <w:jc w:val="both"/>
        <w:rPr>
          <w:rFonts w:ascii="Arial Narrow" w:hAnsi="Arial Narrow"/>
          <w:sz w:val="26"/>
          <w:szCs w:val="26"/>
        </w:rPr>
      </w:pPr>
      <w:r w:rsidRPr="002842C5">
        <w:rPr>
          <w:rFonts w:ascii="Arial Narrow" w:hAnsi="Arial Narrow"/>
          <w:b/>
          <w:sz w:val="26"/>
          <w:szCs w:val="26"/>
        </w:rPr>
        <w:t xml:space="preserve">4. </w:t>
      </w:r>
      <w:r w:rsidR="00CB4B3F" w:rsidRPr="002842C5">
        <w:rPr>
          <w:rFonts w:ascii="Arial Narrow" w:hAnsi="Arial Narrow"/>
          <w:sz w:val="26"/>
          <w:szCs w:val="26"/>
        </w:rPr>
        <w:t>Para iniciar el análisis del caso, es preciso señalar que, tal como lo dedujo el despacho de primera instancia, en este caso no se presentó lesión al derecho a realizar peticiones respetuosas como quiera que, contrario a lo afirmado en la demanda, la solicitud que elevó la actora el 27 de enero hogaño para obtener</w:t>
      </w:r>
      <w:r w:rsidR="00F416B8" w:rsidRPr="002842C5">
        <w:rPr>
          <w:rFonts w:ascii="Arial Narrow" w:hAnsi="Arial Narrow"/>
          <w:sz w:val="26"/>
          <w:szCs w:val="26"/>
        </w:rPr>
        <w:t xml:space="preserve"> se</w:t>
      </w:r>
      <w:r w:rsidR="00CB4B3F" w:rsidRPr="002842C5">
        <w:rPr>
          <w:rFonts w:ascii="Arial Narrow" w:hAnsi="Arial Narrow"/>
          <w:sz w:val="26"/>
          <w:szCs w:val="26"/>
        </w:rPr>
        <w:t xml:space="preserve"> aplicar</w:t>
      </w:r>
      <w:r w:rsidR="00F416B8" w:rsidRPr="002842C5">
        <w:rPr>
          <w:rFonts w:ascii="Arial Narrow" w:hAnsi="Arial Narrow"/>
          <w:sz w:val="26"/>
          <w:szCs w:val="26"/>
        </w:rPr>
        <w:t>an</w:t>
      </w:r>
      <w:r w:rsidR="003F42B2" w:rsidRPr="002842C5">
        <w:rPr>
          <w:rFonts w:ascii="Arial Narrow" w:hAnsi="Arial Narrow"/>
          <w:sz w:val="26"/>
          <w:szCs w:val="26"/>
        </w:rPr>
        <w:t xml:space="preserve"> a su historia laboral</w:t>
      </w:r>
      <w:r w:rsidR="00CB4B3F" w:rsidRPr="002842C5">
        <w:rPr>
          <w:rFonts w:ascii="Arial Narrow" w:hAnsi="Arial Narrow"/>
          <w:sz w:val="26"/>
          <w:szCs w:val="26"/>
        </w:rPr>
        <w:t xml:space="preserve"> los aportes realizados por los periodos 200301 a 200304, 200307 a 200311, 200401 a 200402, 200404 a 200604 y 200706 a 200707, al ciclo correspondiente y no tratarlos como extemporáneos ya que fueron pagados como mes vencido, tal como lo disponía el fondo privado de pensiones </w:t>
      </w:r>
      <w:r w:rsidR="003F42B2" w:rsidRPr="002842C5">
        <w:rPr>
          <w:rFonts w:ascii="Arial Narrow" w:hAnsi="Arial Narrow"/>
          <w:sz w:val="26"/>
          <w:szCs w:val="26"/>
        </w:rPr>
        <w:t>al cual fueron cotizados</w:t>
      </w:r>
      <w:r w:rsidR="003F42B2" w:rsidRPr="002842C5">
        <w:rPr>
          <w:rStyle w:val="Refdenotaalpie"/>
          <w:rFonts w:ascii="Arial Narrow" w:hAnsi="Arial Narrow"/>
          <w:sz w:val="26"/>
          <w:szCs w:val="26"/>
        </w:rPr>
        <w:footnoteReference w:id="5"/>
      </w:r>
      <w:r w:rsidR="00F416B8" w:rsidRPr="002842C5">
        <w:rPr>
          <w:rFonts w:ascii="Arial Narrow" w:hAnsi="Arial Narrow"/>
          <w:sz w:val="26"/>
          <w:szCs w:val="26"/>
        </w:rPr>
        <w:t>,</w:t>
      </w:r>
      <w:r w:rsidR="003F42B2" w:rsidRPr="002842C5">
        <w:rPr>
          <w:rFonts w:ascii="Arial Narrow" w:hAnsi="Arial Narrow"/>
          <w:sz w:val="26"/>
          <w:szCs w:val="26"/>
        </w:rPr>
        <w:t xml:space="preserve"> fue efectivamente contestada por oficio del 15 de febrero último en el que se le informó a la actora que tales ciclos fueron </w:t>
      </w:r>
      <w:r w:rsidR="00F416B8" w:rsidRPr="002842C5">
        <w:rPr>
          <w:rFonts w:ascii="Arial Narrow" w:hAnsi="Arial Narrow"/>
          <w:sz w:val="26"/>
          <w:szCs w:val="26"/>
        </w:rPr>
        <w:t>sufragados</w:t>
      </w:r>
      <w:r w:rsidR="003F42B2" w:rsidRPr="002842C5">
        <w:rPr>
          <w:rFonts w:ascii="Arial Narrow" w:hAnsi="Arial Narrow"/>
          <w:sz w:val="26"/>
          <w:szCs w:val="26"/>
        </w:rPr>
        <w:t xml:space="preserve"> de forma extemporánea </w:t>
      </w:r>
      <w:r w:rsidR="00F416B8" w:rsidRPr="002842C5">
        <w:rPr>
          <w:rFonts w:ascii="Arial Narrow" w:hAnsi="Arial Narrow"/>
          <w:sz w:val="26"/>
          <w:szCs w:val="26"/>
        </w:rPr>
        <w:t>toda vez</w:t>
      </w:r>
      <w:r w:rsidR="003F42B2" w:rsidRPr="002842C5">
        <w:rPr>
          <w:rFonts w:ascii="Arial Narrow" w:hAnsi="Arial Narrow"/>
          <w:sz w:val="26"/>
          <w:szCs w:val="26"/>
        </w:rPr>
        <w:t xml:space="preserve"> que</w:t>
      </w:r>
      <w:r w:rsidR="00F416B8" w:rsidRPr="002842C5">
        <w:rPr>
          <w:rFonts w:ascii="Arial Narrow" w:hAnsi="Arial Narrow"/>
          <w:sz w:val="26"/>
          <w:szCs w:val="26"/>
        </w:rPr>
        <w:t xml:space="preserve"> los pagos que</w:t>
      </w:r>
      <w:r w:rsidR="003F42B2" w:rsidRPr="002842C5">
        <w:rPr>
          <w:rFonts w:ascii="Arial Narrow" w:hAnsi="Arial Narrow"/>
          <w:sz w:val="26"/>
          <w:szCs w:val="26"/>
        </w:rPr>
        <w:t xml:space="preserve"> se realicen mes vencido en</w:t>
      </w:r>
      <w:r w:rsidR="00F416B8" w:rsidRPr="002842C5">
        <w:rPr>
          <w:rFonts w:ascii="Arial Narrow" w:hAnsi="Arial Narrow"/>
          <w:sz w:val="26"/>
          <w:szCs w:val="26"/>
        </w:rPr>
        <w:t xml:space="preserve"> trabajadores</w:t>
      </w:r>
      <w:r w:rsidR="003F42B2" w:rsidRPr="002842C5">
        <w:rPr>
          <w:rFonts w:ascii="Arial Narrow" w:hAnsi="Arial Narrow"/>
          <w:sz w:val="26"/>
          <w:szCs w:val="26"/>
        </w:rPr>
        <w:t xml:space="preserve"> independientes “</w:t>
      </w:r>
      <w:r w:rsidR="003F42B2" w:rsidRPr="00371543">
        <w:rPr>
          <w:rFonts w:ascii="Arial Narrow" w:hAnsi="Arial Narrow"/>
          <w:sz w:val="24"/>
          <w:szCs w:val="26"/>
        </w:rPr>
        <w:t>no se contabilizan en el total de semanas cotizadas de acuerdo con lo estipulado en el artículo 35 del decreto 1406 de 1999</w:t>
      </w:r>
      <w:r w:rsidR="003F42B2" w:rsidRPr="002842C5">
        <w:rPr>
          <w:rFonts w:ascii="Arial Narrow" w:hAnsi="Arial Narrow"/>
          <w:sz w:val="26"/>
          <w:szCs w:val="26"/>
        </w:rPr>
        <w:t>”.</w:t>
      </w:r>
    </w:p>
    <w:p w14:paraId="44AD4F93" w14:textId="77777777" w:rsidR="00653DC1" w:rsidRPr="002842C5" w:rsidRDefault="00653DC1" w:rsidP="002842C5">
      <w:pPr>
        <w:pStyle w:val="Sinespaciado"/>
        <w:spacing w:line="276" w:lineRule="auto"/>
        <w:jc w:val="both"/>
        <w:rPr>
          <w:rFonts w:ascii="Arial Narrow" w:hAnsi="Arial Narrow"/>
          <w:sz w:val="26"/>
          <w:szCs w:val="26"/>
        </w:rPr>
      </w:pPr>
    </w:p>
    <w:p w14:paraId="2BC4584D" w14:textId="10B6C5AA" w:rsidR="00CB4B3F" w:rsidRPr="002842C5" w:rsidRDefault="003F42B2" w:rsidP="002842C5">
      <w:pPr>
        <w:pStyle w:val="Sinespaciado"/>
        <w:spacing w:line="276" w:lineRule="auto"/>
        <w:jc w:val="both"/>
        <w:rPr>
          <w:rFonts w:ascii="Arial Narrow" w:hAnsi="Arial Narrow"/>
          <w:sz w:val="26"/>
          <w:szCs w:val="26"/>
        </w:rPr>
      </w:pPr>
      <w:r w:rsidRPr="002842C5">
        <w:rPr>
          <w:rFonts w:ascii="Arial Narrow" w:hAnsi="Arial Narrow"/>
          <w:sz w:val="26"/>
          <w:szCs w:val="26"/>
        </w:rPr>
        <w:t>Esa respuesta</w:t>
      </w:r>
      <w:r w:rsidR="00653DC1" w:rsidRPr="002842C5">
        <w:rPr>
          <w:rFonts w:ascii="Arial Narrow" w:hAnsi="Arial Narrow"/>
          <w:sz w:val="26"/>
          <w:szCs w:val="26"/>
        </w:rPr>
        <w:t xml:space="preserve">, además, aparece </w:t>
      </w:r>
      <w:r w:rsidRPr="002842C5">
        <w:rPr>
          <w:rFonts w:ascii="Arial Narrow" w:hAnsi="Arial Narrow"/>
          <w:sz w:val="26"/>
          <w:szCs w:val="26"/>
        </w:rPr>
        <w:t xml:space="preserve">enviada y recibida en la </w:t>
      </w:r>
      <w:r w:rsidR="00A851E3" w:rsidRPr="002842C5">
        <w:rPr>
          <w:rFonts w:ascii="Arial Narrow" w:hAnsi="Arial Narrow"/>
          <w:sz w:val="26"/>
          <w:szCs w:val="26"/>
        </w:rPr>
        <w:t xml:space="preserve">misma </w:t>
      </w:r>
      <w:r w:rsidRPr="002842C5">
        <w:rPr>
          <w:rFonts w:ascii="Arial Narrow" w:hAnsi="Arial Narrow"/>
          <w:sz w:val="26"/>
          <w:szCs w:val="26"/>
        </w:rPr>
        <w:t xml:space="preserve">dirección de correspondencia </w:t>
      </w:r>
      <w:r w:rsidR="00A851E3" w:rsidRPr="002842C5">
        <w:rPr>
          <w:rFonts w:ascii="Arial Narrow" w:hAnsi="Arial Narrow"/>
          <w:sz w:val="26"/>
          <w:szCs w:val="26"/>
        </w:rPr>
        <w:t>que</w:t>
      </w:r>
      <w:r w:rsidRPr="002842C5">
        <w:rPr>
          <w:rFonts w:ascii="Arial Narrow" w:hAnsi="Arial Narrow"/>
          <w:sz w:val="26"/>
          <w:szCs w:val="26"/>
        </w:rPr>
        <w:t xml:space="preserve"> la peticionaria</w:t>
      </w:r>
      <w:r w:rsidR="00A851E3" w:rsidRPr="002842C5">
        <w:rPr>
          <w:rFonts w:ascii="Arial Narrow" w:hAnsi="Arial Narrow"/>
          <w:sz w:val="26"/>
          <w:szCs w:val="26"/>
        </w:rPr>
        <w:t xml:space="preserve"> ofrece en el escrito de tutela</w:t>
      </w:r>
      <w:r w:rsidRPr="002842C5">
        <w:rPr>
          <w:rStyle w:val="Refdenotaalpie"/>
          <w:rFonts w:ascii="Arial Narrow" w:hAnsi="Arial Narrow"/>
          <w:sz w:val="26"/>
          <w:szCs w:val="26"/>
        </w:rPr>
        <w:footnoteReference w:id="6"/>
      </w:r>
      <w:r w:rsidRPr="002842C5">
        <w:rPr>
          <w:rFonts w:ascii="Arial Narrow" w:hAnsi="Arial Narrow"/>
          <w:sz w:val="26"/>
          <w:szCs w:val="26"/>
        </w:rPr>
        <w:t xml:space="preserve">. </w:t>
      </w:r>
    </w:p>
    <w:p w14:paraId="267C3E4B" w14:textId="77777777" w:rsidR="00CB4B3F" w:rsidRPr="002842C5" w:rsidRDefault="00CB4B3F" w:rsidP="002842C5">
      <w:pPr>
        <w:pStyle w:val="Sinespaciado"/>
        <w:spacing w:line="276" w:lineRule="auto"/>
        <w:jc w:val="both"/>
        <w:rPr>
          <w:rFonts w:ascii="Arial Narrow" w:hAnsi="Arial Narrow"/>
          <w:b/>
          <w:sz w:val="26"/>
          <w:szCs w:val="26"/>
        </w:rPr>
      </w:pPr>
    </w:p>
    <w:p w14:paraId="076E7F31" w14:textId="77777777" w:rsidR="00E8157E" w:rsidRPr="002842C5" w:rsidRDefault="003F42B2" w:rsidP="002842C5">
      <w:pPr>
        <w:pStyle w:val="Sinespaciado"/>
        <w:spacing w:line="276" w:lineRule="auto"/>
        <w:jc w:val="both"/>
        <w:rPr>
          <w:rFonts w:ascii="Arial Narrow" w:hAnsi="Arial Narrow"/>
          <w:sz w:val="26"/>
          <w:szCs w:val="26"/>
        </w:rPr>
      </w:pPr>
      <w:r w:rsidRPr="002842C5">
        <w:rPr>
          <w:rFonts w:ascii="Arial Narrow" w:hAnsi="Arial Narrow"/>
          <w:b/>
          <w:sz w:val="26"/>
          <w:szCs w:val="26"/>
        </w:rPr>
        <w:t xml:space="preserve">5. </w:t>
      </w:r>
      <w:r w:rsidRPr="002842C5">
        <w:rPr>
          <w:rFonts w:ascii="Arial Narrow" w:hAnsi="Arial Narrow"/>
          <w:sz w:val="26"/>
          <w:szCs w:val="26"/>
        </w:rPr>
        <w:t xml:space="preserve">Frente </w:t>
      </w:r>
      <w:r w:rsidR="00C142C1" w:rsidRPr="002842C5">
        <w:rPr>
          <w:rFonts w:ascii="Arial Narrow" w:hAnsi="Arial Narrow"/>
          <w:sz w:val="26"/>
          <w:szCs w:val="26"/>
        </w:rPr>
        <w:t>al amparo solicitado respecto del derecho a la seguridad social, es necesario indicar que</w:t>
      </w:r>
      <w:r w:rsidR="00E8157E" w:rsidRPr="002842C5">
        <w:rPr>
          <w:rFonts w:ascii="Arial Narrow" w:hAnsi="Arial Narrow"/>
          <w:sz w:val="26"/>
          <w:szCs w:val="26"/>
        </w:rPr>
        <w:t xml:space="preserve"> lo que en últimas se plantea</w:t>
      </w:r>
      <w:r w:rsidR="00C142C1" w:rsidRPr="002842C5">
        <w:rPr>
          <w:rFonts w:ascii="Arial Narrow" w:hAnsi="Arial Narrow"/>
          <w:sz w:val="26"/>
          <w:szCs w:val="26"/>
        </w:rPr>
        <w:t xml:space="preserve"> </w:t>
      </w:r>
      <w:r w:rsidR="00E8157E" w:rsidRPr="002842C5">
        <w:rPr>
          <w:rFonts w:ascii="Arial Narrow" w:hAnsi="Arial Narrow"/>
          <w:sz w:val="26"/>
          <w:szCs w:val="26"/>
        </w:rPr>
        <w:t>es un conflicto entre un afiliado y las entidades que conforman el régimen de pensiones, para cuya definición se cuenta con un mecanismo judicial idóneo a cargo de la justicia laboral, que no puede ser desplazada por el juez constitucional.</w:t>
      </w:r>
    </w:p>
    <w:p w14:paraId="35123A44" w14:textId="1551121E" w:rsidR="00E8157E" w:rsidRPr="002842C5" w:rsidRDefault="00E8157E" w:rsidP="002842C5">
      <w:pPr>
        <w:pStyle w:val="Sinespaciado"/>
        <w:spacing w:line="276" w:lineRule="auto"/>
        <w:jc w:val="both"/>
        <w:rPr>
          <w:rFonts w:ascii="Arial Narrow" w:hAnsi="Arial Narrow"/>
          <w:sz w:val="26"/>
          <w:szCs w:val="26"/>
        </w:rPr>
      </w:pPr>
    </w:p>
    <w:p w14:paraId="6230BFAB" w14:textId="6F7895C1" w:rsidR="00B5704A" w:rsidRPr="002842C5" w:rsidRDefault="00B5704A" w:rsidP="002842C5">
      <w:pPr>
        <w:pStyle w:val="Sinespaciado"/>
        <w:spacing w:line="276" w:lineRule="auto"/>
        <w:jc w:val="both"/>
        <w:rPr>
          <w:rFonts w:ascii="Arial Narrow" w:hAnsi="Arial Narrow"/>
          <w:sz w:val="26"/>
          <w:szCs w:val="26"/>
        </w:rPr>
      </w:pPr>
      <w:r w:rsidRPr="002842C5">
        <w:rPr>
          <w:rFonts w:ascii="Arial Narrow" w:hAnsi="Arial Narrow"/>
          <w:sz w:val="26"/>
          <w:szCs w:val="26"/>
        </w:rPr>
        <w:t>En efecto, si de lo que se trata es del cumplimiento de una sentencia ejecutoriada proferida dentro de un proceso declarativo</w:t>
      </w:r>
      <w:r w:rsidR="005E178A" w:rsidRPr="002842C5">
        <w:rPr>
          <w:rFonts w:ascii="Arial Narrow" w:hAnsi="Arial Narrow"/>
          <w:sz w:val="26"/>
          <w:szCs w:val="26"/>
        </w:rPr>
        <w:t xml:space="preserve"> laboral</w:t>
      </w:r>
      <w:r w:rsidRPr="002842C5">
        <w:rPr>
          <w:rFonts w:ascii="Arial Narrow" w:hAnsi="Arial Narrow"/>
          <w:sz w:val="26"/>
          <w:szCs w:val="26"/>
        </w:rPr>
        <w:t xml:space="preserve">, como se insinúa al señalarse que Colpensiones no está cumpliendo la orden de traslado como se le ordenó, lo cierto es que dicha sentencia contiene mandatos </w:t>
      </w:r>
      <w:r w:rsidR="0036776C" w:rsidRPr="002842C5">
        <w:rPr>
          <w:rFonts w:ascii="Arial Narrow" w:hAnsi="Arial Narrow"/>
          <w:sz w:val="26"/>
          <w:szCs w:val="26"/>
        </w:rPr>
        <w:t xml:space="preserve">de hacer que </w:t>
      </w:r>
      <w:r w:rsidR="00421B80" w:rsidRPr="002842C5">
        <w:rPr>
          <w:rFonts w:ascii="Arial Narrow" w:hAnsi="Arial Narrow"/>
          <w:sz w:val="26"/>
          <w:szCs w:val="26"/>
        </w:rPr>
        <w:t>serían</w:t>
      </w:r>
      <w:r w:rsidR="0036776C" w:rsidRPr="002842C5">
        <w:rPr>
          <w:rFonts w:ascii="Arial Narrow" w:hAnsi="Arial Narrow"/>
          <w:sz w:val="26"/>
          <w:szCs w:val="26"/>
        </w:rPr>
        <w:t xml:space="preserve"> ejecutables por la vía de un proceso ejecutivo, donde tal providencia judicial serviría como título </w:t>
      </w:r>
      <w:r w:rsidR="00AA65BC" w:rsidRPr="002842C5">
        <w:rPr>
          <w:rFonts w:ascii="Arial Narrow" w:hAnsi="Arial Narrow"/>
          <w:sz w:val="26"/>
          <w:szCs w:val="26"/>
        </w:rPr>
        <w:t xml:space="preserve">de </w:t>
      </w:r>
      <w:r w:rsidR="0036776C" w:rsidRPr="002842C5">
        <w:rPr>
          <w:rFonts w:ascii="Arial Narrow" w:hAnsi="Arial Narrow"/>
          <w:sz w:val="26"/>
          <w:szCs w:val="26"/>
        </w:rPr>
        <w:t>ejecu</w:t>
      </w:r>
      <w:r w:rsidR="00AA65BC" w:rsidRPr="002842C5">
        <w:rPr>
          <w:rFonts w:ascii="Arial Narrow" w:hAnsi="Arial Narrow"/>
          <w:sz w:val="26"/>
          <w:szCs w:val="26"/>
        </w:rPr>
        <w:t>c</w:t>
      </w:r>
      <w:r w:rsidR="0036776C" w:rsidRPr="002842C5">
        <w:rPr>
          <w:rFonts w:ascii="Arial Narrow" w:hAnsi="Arial Narrow"/>
          <w:sz w:val="26"/>
          <w:szCs w:val="26"/>
        </w:rPr>
        <w:t>i</w:t>
      </w:r>
      <w:r w:rsidR="00AA65BC" w:rsidRPr="002842C5">
        <w:rPr>
          <w:rFonts w:ascii="Arial Narrow" w:hAnsi="Arial Narrow"/>
          <w:sz w:val="26"/>
          <w:szCs w:val="26"/>
        </w:rPr>
        <w:t>ón</w:t>
      </w:r>
      <w:r w:rsidR="0036776C" w:rsidRPr="002842C5">
        <w:rPr>
          <w:rFonts w:ascii="Arial Narrow" w:hAnsi="Arial Narrow"/>
          <w:sz w:val="26"/>
          <w:szCs w:val="26"/>
        </w:rPr>
        <w:t xml:space="preserve">. En ese sentido, </w:t>
      </w:r>
      <w:r w:rsidR="00CE14AB" w:rsidRPr="002842C5">
        <w:rPr>
          <w:rFonts w:ascii="Arial Narrow" w:hAnsi="Arial Narrow"/>
          <w:sz w:val="26"/>
          <w:szCs w:val="26"/>
        </w:rPr>
        <w:t>al alcance de la accionante existe e</w:t>
      </w:r>
      <w:r w:rsidR="007C2D56" w:rsidRPr="002842C5">
        <w:rPr>
          <w:rFonts w:ascii="Arial Narrow" w:hAnsi="Arial Narrow"/>
          <w:sz w:val="26"/>
          <w:szCs w:val="26"/>
        </w:rPr>
        <w:t>se</w:t>
      </w:r>
      <w:r w:rsidR="00CE14AB" w:rsidRPr="002842C5">
        <w:rPr>
          <w:rFonts w:ascii="Arial Narrow" w:hAnsi="Arial Narrow"/>
          <w:sz w:val="26"/>
          <w:szCs w:val="26"/>
        </w:rPr>
        <w:t xml:space="preserve"> mecanismo de </w:t>
      </w:r>
      <w:r w:rsidR="007C2D56" w:rsidRPr="002842C5">
        <w:rPr>
          <w:rFonts w:ascii="Arial Narrow" w:hAnsi="Arial Narrow"/>
          <w:sz w:val="26"/>
          <w:szCs w:val="26"/>
        </w:rPr>
        <w:t xml:space="preserve">defensa </w:t>
      </w:r>
      <w:r w:rsidR="00CE14AB" w:rsidRPr="002842C5">
        <w:rPr>
          <w:rFonts w:ascii="Arial Narrow" w:hAnsi="Arial Narrow"/>
          <w:sz w:val="26"/>
          <w:szCs w:val="26"/>
        </w:rPr>
        <w:t>judicial</w:t>
      </w:r>
      <w:r w:rsidR="00BC3925" w:rsidRPr="002842C5">
        <w:rPr>
          <w:rFonts w:ascii="Arial Narrow" w:hAnsi="Arial Narrow"/>
          <w:sz w:val="26"/>
          <w:szCs w:val="26"/>
        </w:rPr>
        <w:t>.</w:t>
      </w:r>
      <w:r w:rsidR="00CE14AB" w:rsidRPr="002842C5">
        <w:rPr>
          <w:rFonts w:ascii="Arial Narrow" w:hAnsi="Arial Narrow"/>
          <w:sz w:val="26"/>
          <w:szCs w:val="26"/>
        </w:rPr>
        <w:t xml:space="preserve"> </w:t>
      </w:r>
    </w:p>
    <w:p w14:paraId="3C4D3604" w14:textId="7050CBB0" w:rsidR="00B5704A" w:rsidRPr="002842C5" w:rsidRDefault="00B5704A" w:rsidP="002842C5">
      <w:pPr>
        <w:pStyle w:val="Sinespaciado"/>
        <w:spacing w:line="276" w:lineRule="auto"/>
        <w:jc w:val="both"/>
        <w:rPr>
          <w:rFonts w:ascii="Arial Narrow" w:hAnsi="Arial Narrow"/>
          <w:sz w:val="26"/>
          <w:szCs w:val="26"/>
        </w:rPr>
      </w:pPr>
    </w:p>
    <w:p w14:paraId="3AAA8243" w14:textId="0E2C5742" w:rsidR="0089389F" w:rsidRPr="002842C5" w:rsidRDefault="0038327E" w:rsidP="002842C5">
      <w:pPr>
        <w:pStyle w:val="Sinespaciado"/>
        <w:spacing w:line="276" w:lineRule="auto"/>
        <w:jc w:val="both"/>
        <w:rPr>
          <w:rFonts w:ascii="Arial Narrow" w:hAnsi="Arial Narrow"/>
          <w:sz w:val="26"/>
          <w:szCs w:val="26"/>
        </w:rPr>
      </w:pPr>
      <w:r w:rsidRPr="002842C5">
        <w:rPr>
          <w:rFonts w:ascii="Arial Narrow" w:hAnsi="Arial Narrow"/>
          <w:sz w:val="26"/>
          <w:szCs w:val="26"/>
        </w:rPr>
        <w:t>De otro lado, si se considerar</w:t>
      </w:r>
      <w:r w:rsidR="0089389F" w:rsidRPr="002842C5">
        <w:rPr>
          <w:rFonts w:ascii="Arial Narrow" w:hAnsi="Arial Narrow"/>
          <w:sz w:val="26"/>
          <w:szCs w:val="26"/>
        </w:rPr>
        <w:t>a</w:t>
      </w:r>
      <w:r w:rsidRPr="002842C5">
        <w:rPr>
          <w:rFonts w:ascii="Arial Narrow" w:hAnsi="Arial Narrow"/>
          <w:sz w:val="26"/>
          <w:szCs w:val="26"/>
        </w:rPr>
        <w:t xml:space="preserve"> que la Sala Laboral de este Tribunal</w:t>
      </w:r>
      <w:r w:rsidR="000A612F" w:rsidRPr="002842C5">
        <w:rPr>
          <w:rFonts w:ascii="Arial Narrow" w:hAnsi="Arial Narrow"/>
          <w:sz w:val="26"/>
          <w:szCs w:val="26"/>
        </w:rPr>
        <w:t xml:space="preserve"> solo</w:t>
      </w:r>
      <w:r w:rsidRPr="002842C5">
        <w:rPr>
          <w:rFonts w:ascii="Arial Narrow" w:hAnsi="Arial Narrow"/>
          <w:sz w:val="26"/>
          <w:szCs w:val="26"/>
        </w:rPr>
        <w:t xml:space="preserve"> declaró la ineficacia del traslado de la actora de Colpensiones a </w:t>
      </w:r>
      <w:r w:rsidR="000A612F" w:rsidRPr="002842C5">
        <w:rPr>
          <w:rFonts w:ascii="Arial Narrow" w:hAnsi="Arial Narrow"/>
          <w:sz w:val="26"/>
          <w:szCs w:val="26"/>
        </w:rPr>
        <w:t xml:space="preserve">Colfondos </w:t>
      </w:r>
      <w:r w:rsidRPr="002842C5">
        <w:rPr>
          <w:rFonts w:ascii="Arial Narrow" w:hAnsi="Arial Narrow"/>
          <w:sz w:val="26"/>
          <w:szCs w:val="26"/>
        </w:rPr>
        <w:t>S.A. y ordenó a esta trasladar los aportes a aquella</w:t>
      </w:r>
      <w:r w:rsidRPr="002842C5">
        <w:rPr>
          <w:rStyle w:val="Refdenotaalpie"/>
          <w:rFonts w:ascii="Arial Narrow" w:hAnsi="Arial Narrow"/>
          <w:sz w:val="26"/>
          <w:szCs w:val="26"/>
        </w:rPr>
        <w:footnoteReference w:id="7"/>
      </w:r>
      <w:r w:rsidRPr="002842C5">
        <w:rPr>
          <w:rFonts w:ascii="Arial Narrow" w:hAnsi="Arial Narrow"/>
          <w:sz w:val="26"/>
          <w:szCs w:val="26"/>
        </w:rPr>
        <w:t>, pero no se refirió a la manera c</w:t>
      </w:r>
      <w:r w:rsidR="000A612F" w:rsidRPr="002842C5">
        <w:rPr>
          <w:rFonts w:ascii="Arial Narrow" w:hAnsi="Arial Narrow"/>
          <w:sz w:val="26"/>
          <w:szCs w:val="26"/>
        </w:rPr>
        <w:t>ó</w:t>
      </w:r>
      <w:r w:rsidRPr="002842C5">
        <w:rPr>
          <w:rFonts w:ascii="Arial Narrow" w:hAnsi="Arial Narrow"/>
          <w:sz w:val="26"/>
          <w:szCs w:val="26"/>
        </w:rPr>
        <w:t>mo se debían computar los ciclos pagados,</w:t>
      </w:r>
      <w:r w:rsidR="000A612F" w:rsidRPr="002842C5">
        <w:rPr>
          <w:rFonts w:ascii="Arial Narrow" w:hAnsi="Arial Narrow"/>
          <w:sz w:val="26"/>
          <w:szCs w:val="26"/>
        </w:rPr>
        <w:t xml:space="preserve"> lo que ha generado la disparidad </w:t>
      </w:r>
      <w:r w:rsidR="007C3AB1" w:rsidRPr="002842C5">
        <w:rPr>
          <w:rFonts w:ascii="Arial Narrow" w:hAnsi="Arial Narrow"/>
          <w:sz w:val="26"/>
          <w:szCs w:val="26"/>
        </w:rPr>
        <w:t xml:space="preserve">de criterios </w:t>
      </w:r>
      <w:r w:rsidR="000A612F" w:rsidRPr="002842C5">
        <w:rPr>
          <w:rFonts w:ascii="Arial Narrow" w:hAnsi="Arial Narrow"/>
          <w:sz w:val="26"/>
          <w:szCs w:val="26"/>
        </w:rPr>
        <w:t>que motiva la solicitud de</w:t>
      </w:r>
      <w:r w:rsidRPr="002842C5">
        <w:rPr>
          <w:rFonts w:ascii="Arial Narrow" w:hAnsi="Arial Narrow"/>
          <w:sz w:val="26"/>
          <w:szCs w:val="26"/>
        </w:rPr>
        <w:t xml:space="preserve"> corrección de la historia laboral,</w:t>
      </w:r>
      <w:r w:rsidR="000A612F" w:rsidRPr="002842C5">
        <w:rPr>
          <w:rFonts w:ascii="Arial Narrow" w:hAnsi="Arial Narrow"/>
          <w:sz w:val="26"/>
          <w:szCs w:val="26"/>
        </w:rPr>
        <w:t xml:space="preserve"> lo cierto es que tal aspecto también puede </w:t>
      </w:r>
      <w:r w:rsidRPr="002842C5">
        <w:rPr>
          <w:rFonts w:ascii="Arial Narrow" w:hAnsi="Arial Narrow"/>
          <w:sz w:val="26"/>
          <w:szCs w:val="26"/>
        </w:rPr>
        <w:t>ser controvertido a través de un proceso judicial independiente</w:t>
      </w:r>
      <w:r w:rsidR="00543D54" w:rsidRPr="002842C5">
        <w:rPr>
          <w:rFonts w:ascii="Arial Narrow" w:hAnsi="Arial Narrow"/>
          <w:sz w:val="26"/>
          <w:szCs w:val="26"/>
        </w:rPr>
        <w:t>,</w:t>
      </w:r>
      <w:r w:rsidR="000A612F" w:rsidRPr="002842C5">
        <w:rPr>
          <w:rFonts w:ascii="Arial Narrow" w:hAnsi="Arial Narrow"/>
          <w:sz w:val="26"/>
          <w:szCs w:val="26"/>
        </w:rPr>
        <w:t xml:space="preserve"> donde</w:t>
      </w:r>
      <w:r w:rsidR="00543D54" w:rsidRPr="002842C5">
        <w:rPr>
          <w:rFonts w:ascii="Arial Narrow" w:hAnsi="Arial Narrow"/>
          <w:sz w:val="26"/>
          <w:szCs w:val="26"/>
        </w:rPr>
        <w:t xml:space="preserve"> </w:t>
      </w:r>
      <w:r w:rsidR="007C3AB1" w:rsidRPr="002842C5">
        <w:rPr>
          <w:rFonts w:ascii="Arial Narrow" w:hAnsi="Arial Narrow"/>
          <w:sz w:val="26"/>
          <w:szCs w:val="26"/>
        </w:rPr>
        <w:t>incluso</w:t>
      </w:r>
      <w:r w:rsidR="00543D54" w:rsidRPr="002842C5">
        <w:rPr>
          <w:rFonts w:ascii="Arial Narrow" w:hAnsi="Arial Narrow"/>
          <w:sz w:val="26"/>
          <w:szCs w:val="26"/>
        </w:rPr>
        <w:t xml:space="preserve"> pueda ventilarse el derecho a l</w:t>
      </w:r>
      <w:r w:rsidR="001501EE" w:rsidRPr="002842C5">
        <w:rPr>
          <w:rFonts w:ascii="Arial Narrow" w:hAnsi="Arial Narrow"/>
          <w:sz w:val="26"/>
          <w:szCs w:val="26"/>
        </w:rPr>
        <w:t xml:space="preserve">a pensión de vejez ante una eventual </w:t>
      </w:r>
      <w:r w:rsidR="001501EE" w:rsidRPr="002842C5">
        <w:rPr>
          <w:rFonts w:ascii="Arial Narrow" w:hAnsi="Arial Narrow"/>
          <w:sz w:val="26"/>
          <w:szCs w:val="26"/>
        </w:rPr>
        <w:lastRenderedPageBreak/>
        <w:t>negativa de Colpensiones a reconocerla</w:t>
      </w:r>
      <w:r w:rsidR="006E36DC" w:rsidRPr="002842C5">
        <w:rPr>
          <w:rFonts w:ascii="Arial Narrow" w:hAnsi="Arial Narrow"/>
          <w:sz w:val="26"/>
          <w:szCs w:val="26"/>
        </w:rPr>
        <w:t>, de insistir en</w:t>
      </w:r>
      <w:r w:rsidR="001501EE" w:rsidRPr="002842C5">
        <w:rPr>
          <w:rFonts w:ascii="Arial Narrow" w:hAnsi="Arial Narrow"/>
          <w:sz w:val="26"/>
          <w:szCs w:val="26"/>
        </w:rPr>
        <w:t xml:space="preserve"> negarse a computar las semanas que se reprocha</w:t>
      </w:r>
      <w:r w:rsidR="0089389F" w:rsidRPr="002842C5">
        <w:rPr>
          <w:rFonts w:ascii="Arial Narrow" w:hAnsi="Arial Narrow"/>
          <w:sz w:val="26"/>
          <w:szCs w:val="26"/>
        </w:rPr>
        <w:t xml:space="preserve">n </w:t>
      </w:r>
      <w:r w:rsidR="00543D54" w:rsidRPr="002842C5">
        <w:rPr>
          <w:rFonts w:ascii="Arial Narrow" w:hAnsi="Arial Narrow"/>
          <w:sz w:val="26"/>
          <w:szCs w:val="26"/>
        </w:rPr>
        <w:t xml:space="preserve">como </w:t>
      </w:r>
      <w:r w:rsidR="0089389F" w:rsidRPr="002842C5">
        <w:rPr>
          <w:rFonts w:ascii="Arial Narrow" w:hAnsi="Arial Narrow"/>
          <w:sz w:val="26"/>
          <w:szCs w:val="26"/>
        </w:rPr>
        <w:t xml:space="preserve">mal </w:t>
      </w:r>
      <w:r w:rsidR="00543D54" w:rsidRPr="002842C5">
        <w:rPr>
          <w:rFonts w:ascii="Arial Narrow" w:hAnsi="Arial Narrow"/>
          <w:sz w:val="26"/>
          <w:szCs w:val="26"/>
        </w:rPr>
        <w:t>computadas</w:t>
      </w:r>
      <w:r w:rsidR="0089389F" w:rsidRPr="002842C5">
        <w:rPr>
          <w:rFonts w:ascii="Arial Narrow" w:hAnsi="Arial Narrow"/>
          <w:sz w:val="26"/>
          <w:szCs w:val="26"/>
        </w:rPr>
        <w:t>.</w:t>
      </w:r>
      <w:r w:rsidR="006E36DC" w:rsidRPr="002842C5">
        <w:rPr>
          <w:rFonts w:ascii="Arial Narrow" w:hAnsi="Arial Narrow"/>
          <w:sz w:val="26"/>
          <w:szCs w:val="26"/>
        </w:rPr>
        <w:t xml:space="preserve"> </w:t>
      </w:r>
      <w:r w:rsidR="00D730DC" w:rsidRPr="002842C5">
        <w:rPr>
          <w:rFonts w:ascii="Arial Narrow" w:hAnsi="Arial Narrow"/>
          <w:sz w:val="26"/>
          <w:szCs w:val="26"/>
        </w:rPr>
        <w:t xml:space="preserve">Y se dice eventual pues, a decir verdad, no obra prueba de que a esta altura se haya elevado </w:t>
      </w:r>
      <w:r w:rsidR="000D3E1B" w:rsidRPr="002842C5">
        <w:rPr>
          <w:rFonts w:ascii="Arial Narrow" w:hAnsi="Arial Narrow"/>
          <w:sz w:val="26"/>
          <w:szCs w:val="26"/>
        </w:rPr>
        <w:t xml:space="preserve">solicitud de reconocimiento de </w:t>
      </w:r>
      <w:r w:rsidR="00D730DC" w:rsidRPr="002842C5">
        <w:rPr>
          <w:rFonts w:ascii="Arial Narrow" w:hAnsi="Arial Narrow"/>
          <w:sz w:val="26"/>
          <w:szCs w:val="26"/>
        </w:rPr>
        <w:t>pensión de vejez, o se haya negado la misma.</w:t>
      </w:r>
    </w:p>
    <w:p w14:paraId="49AECA05" w14:textId="77777777" w:rsidR="0089389F" w:rsidRPr="002842C5" w:rsidRDefault="0089389F" w:rsidP="002842C5">
      <w:pPr>
        <w:pStyle w:val="Sinespaciado"/>
        <w:spacing w:line="276" w:lineRule="auto"/>
        <w:jc w:val="both"/>
        <w:rPr>
          <w:rFonts w:ascii="Arial Narrow" w:hAnsi="Arial Narrow"/>
          <w:sz w:val="26"/>
          <w:szCs w:val="26"/>
        </w:rPr>
      </w:pPr>
    </w:p>
    <w:p w14:paraId="175216C7" w14:textId="07E86C8E" w:rsidR="00E8157E" w:rsidRPr="002842C5" w:rsidRDefault="00C142C1" w:rsidP="002842C5">
      <w:pPr>
        <w:pStyle w:val="Sinespaciado"/>
        <w:spacing w:line="276" w:lineRule="auto"/>
        <w:jc w:val="both"/>
        <w:rPr>
          <w:rFonts w:ascii="Arial Narrow" w:hAnsi="Arial Narrow"/>
          <w:sz w:val="26"/>
          <w:szCs w:val="26"/>
        </w:rPr>
      </w:pPr>
      <w:r w:rsidRPr="002842C5">
        <w:rPr>
          <w:rFonts w:ascii="Arial Narrow" w:hAnsi="Arial Narrow"/>
          <w:b/>
          <w:sz w:val="26"/>
          <w:szCs w:val="26"/>
        </w:rPr>
        <w:t>5</w:t>
      </w:r>
      <w:r w:rsidR="00E8157E" w:rsidRPr="002842C5">
        <w:rPr>
          <w:rFonts w:ascii="Arial Narrow" w:hAnsi="Arial Narrow"/>
          <w:b/>
          <w:sz w:val="26"/>
          <w:szCs w:val="26"/>
        </w:rPr>
        <w:t>.1.</w:t>
      </w:r>
      <w:r w:rsidR="00E8157E" w:rsidRPr="002842C5">
        <w:rPr>
          <w:rFonts w:ascii="Arial Narrow" w:hAnsi="Arial Narrow"/>
          <w:sz w:val="26"/>
          <w:szCs w:val="26"/>
        </w:rPr>
        <w:t xml:space="preserve"> </w:t>
      </w:r>
      <w:r w:rsidRPr="002842C5">
        <w:rPr>
          <w:rFonts w:ascii="Arial Narrow" w:hAnsi="Arial Narrow"/>
          <w:sz w:val="26"/>
          <w:szCs w:val="26"/>
        </w:rPr>
        <w:t xml:space="preserve">Además, no acredita </w:t>
      </w:r>
      <w:r w:rsidR="00E8157E" w:rsidRPr="002842C5">
        <w:rPr>
          <w:rFonts w:ascii="Arial Narrow" w:hAnsi="Arial Narrow"/>
          <w:sz w:val="26"/>
          <w:szCs w:val="26"/>
        </w:rPr>
        <w:t>l</w:t>
      </w:r>
      <w:r w:rsidRPr="002842C5">
        <w:rPr>
          <w:rFonts w:ascii="Arial Narrow" w:hAnsi="Arial Narrow"/>
          <w:sz w:val="26"/>
          <w:szCs w:val="26"/>
        </w:rPr>
        <w:t>a</w:t>
      </w:r>
      <w:r w:rsidR="00E8157E" w:rsidRPr="002842C5">
        <w:rPr>
          <w:rFonts w:ascii="Arial Narrow" w:hAnsi="Arial Narrow"/>
          <w:sz w:val="26"/>
          <w:szCs w:val="26"/>
        </w:rPr>
        <w:t xml:space="preserve"> actor</w:t>
      </w:r>
      <w:r w:rsidRPr="002842C5">
        <w:rPr>
          <w:rFonts w:ascii="Arial Narrow" w:hAnsi="Arial Narrow"/>
          <w:sz w:val="26"/>
          <w:szCs w:val="26"/>
        </w:rPr>
        <w:t>a</w:t>
      </w:r>
      <w:r w:rsidR="00E8157E" w:rsidRPr="002842C5">
        <w:rPr>
          <w:rFonts w:ascii="Arial Narrow" w:hAnsi="Arial Narrow"/>
          <w:sz w:val="26"/>
          <w:szCs w:val="26"/>
        </w:rPr>
        <w:t xml:space="preserve"> las condiciones para la procedencia de la presente acción de tutela cuando existe otro medio de defensa judicial, pues las particularidades del caso no demuestran que </w:t>
      </w:r>
      <w:r w:rsidR="001761A7" w:rsidRPr="002842C5">
        <w:rPr>
          <w:rFonts w:ascii="Arial Narrow" w:hAnsi="Arial Narrow"/>
          <w:sz w:val="26"/>
          <w:szCs w:val="26"/>
        </w:rPr>
        <w:t>el</w:t>
      </w:r>
      <w:r w:rsidR="00E8157E" w:rsidRPr="002842C5">
        <w:rPr>
          <w:rFonts w:ascii="Arial Narrow" w:hAnsi="Arial Narrow"/>
          <w:sz w:val="26"/>
          <w:szCs w:val="26"/>
        </w:rPr>
        <w:t xml:space="preserve"> mecanismo </w:t>
      </w:r>
      <w:r w:rsidR="001761A7" w:rsidRPr="002842C5">
        <w:rPr>
          <w:rFonts w:ascii="Arial Narrow" w:hAnsi="Arial Narrow"/>
          <w:sz w:val="26"/>
          <w:szCs w:val="26"/>
        </w:rPr>
        <w:t xml:space="preserve">existente </w:t>
      </w:r>
      <w:r w:rsidR="00E8157E" w:rsidRPr="002842C5">
        <w:rPr>
          <w:rFonts w:ascii="Arial Narrow" w:hAnsi="Arial Narrow"/>
          <w:sz w:val="26"/>
          <w:szCs w:val="26"/>
        </w:rPr>
        <w:t xml:space="preserve">no sea </w:t>
      </w:r>
      <w:r w:rsidR="00BC3925" w:rsidRPr="002842C5">
        <w:rPr>
          <w:rFonts w:ascii="Arial Narrow" w:hAnsi="Arial Narrow"/>
          <w:sz w:val="26"/>
          <w:szCs w:val="26"/>
        </w:rPr>
        <w:t xml:space="preserve">idóneo o </w:t>
      </w:r>
      <w:r w:rsidR="00E8157E" w:rsidRPr="002842C5">
        <w:rPr>
          <w:rFonts w:ascii="Arial Narrow" w:hAnsi="Arial Narrow"/>
          <w:sz w:val="26"/>
          <w:szCs w:val="26"/>
        </w:rPr>
        <w:t>efi</w:t>
      </w:r>
      <w:r w:rsidRPr="002842C5">
        <w:rPr>
          <w:rFonts w:ascii="Arial Narrow" w:hAnsi="Arial Narrow"/>
          <w:sz w:val="26"/>
          <w:szCs w:val="26"/>
        </w:rPr>
        <w:t xml:space="preserve">caz para lograr lo pretendido. </w:t>
      </w:r>
      <w:r w:rsidR="00E8157E" w:rsidRPr="002842C5">
        <w:rPr>
          <w:rFonts w:ascii="Arial Narrow" w:hAnsi="Arial Narrow"/>
          <w:sz w:val="26"/>
          <w:szCs w:val="26"/>
        </w:rPr>
        <w:t>En adición a su edad, ninguna otra circunstancia de vulnerabilidad demostró, que permitieran abonar razones en ese sentido.</w:t>
      </w:r>
    </w:p>
    <w:p w14:paraId="43407C20" w14:textId="77777777" w:rsidR="00E8157E" w:rsidRPr="002842C5" w:rsidRDefault="00E8157E" w:rsidP="002842C5">
      <w:pPr>
        <w:pStyle w:val="Sinespaciado"/>
        <w:spacing w:line="276" w:lineRule="auto"/>
        <w:jc w:val="both"/>
        <w:rPr>
          <w:rFonts w:ascii="Arial Narrow" w:hAnsi="Arial Narrow"/>
          <w:sz w:val="26"/>
          <w:szCs w:val="26"/>
        </w:rPr>
      </w:pPr>
    </w:p>
    <w:p w14:paraId="1BE6BB6F" w14:textId="77777777" w:rsidR="00E8157E" w:rsidRPr="002842C5" w:rsidRDefault="00E8157E" w:rsidP="002842C5">
      <w:pPr>
        <w:pStyle w:val="Sinespaciado"/>
        <w:spacing w:line="276" w:lineRule="auto"/>
        <w:jc w:val="both"/>
        <w:rPr>
          <w:rFonts w:ascii="Arial Narrow" w:hAnsi="Arial Narrow"/>
          <w:sz w:val="26"/>
          <w:szCs w:val="26"/>
        </w:rPr>
      </w:pPr>
      <w:r w:rsidRPr="002842C5">
        <w:rPr>
          <w:rFonts w:ascii="Arial Narrow" w:hAnsi="Arial Narrow"/>
          <w:sz w:val="26"/>
          <w:szCs w:val="26"/>
        </w:rPr>
        <w:t xml:space="preserve">Se lee de sentencia T-013 de 2020 de la Corte Constitucional: </w:t>
      </w:r>
    </w:p>
    <w:p w14:paraId="7DB142B3" w14:textId="77777777" w:rsidR="00E8157E" w:rsidRPr="002842C5" w:rsidRDefault="00E8157E" w:rsidP="002842C5">
      <w:pPr>
        <w:pStyle w:val="Sinespaciado"/>
        <w:spacing w:line="276" w:lineRule="auto"/>
        <w:jc w:val="both"/>
        <w:rPr>
          <w:rFonts w:ascii="Arial Narrow" w:hAnsi="Arial Narrow"/>
          <w:sz w:val="26"/>
          <w:szCs w:val="26"/>
        </w:rPr>
      </w:pPr>
    </w:p>
    <w:p w14:paraId="1458C1C5" w14:textId="77777777" w:rsidR="00E8157E" w:rsidRPr="00371543" w:rsidRDefault="00E8157E" w:rsidP="00371543">
      <w:pPr>
        <w:pStyle w:val="Sinespaciado"/>
        <w:ind w:left="426" w:right="420"/>
        <w:jc w:val="both"/>
        <w:rPr>
          <w:rFonts w:ascii="Arial Narrow" w:hAnsi="Arial Narrow"/>
          <w:bCs/>
          <w:sz w:val="24"/>
          <w:szCs w:val="26"/>
        </w:rPr>
      </w:pPr>
      <w:r w:rsidRPr="00371543">
        <w:rPr>
          <w:rFonts w:ascii="Arial Narrow" w:hAnsi="Arial Narrow"/>
          <w:bCs/>
          <w:i/>
          <w:iCs/>
          <w:sz w:val="24"/>
          <w:szCs w:val="26"/>
        </w:rPr>
        <w:t>“Conviene precisar que el término “persona de la tercera edad” y el concepto “adulto mayor”, que a menudo se usan indistintamente, no pueden ser empleados como sinónimos. El concepto “adulto mayor” fue definido en la Ley 1276 de 2009. En ella se apela a la noción de “vejez” propia del sistema de seguridad social en pensiones, con el fin de identificar la población destinataria de la atención integral en los centros vida. De cara a lo dispuesto por el Legislador en esa norma, será adulto mayor quien supere los 60 años o aquel que sin superar esa edad, pero con más de 55 años, tenga condiciones de “desgaste físico, vital y psicológico [que] así lo determinen”. Por su parte, la calidad de “persona de la tercera edad” solo puede ostentarla quien no solo es un adulto mayor, sino que ha superado la esperanza de vida. No todos los adultos mayores son personas de la tercera edad; por el contrario, cualquier persona de la tercera edad será un adulto mayor”.</w:t>
      </w:r>
    </w:p>
    <w:p w14:paraId="2C0E560B" w14:textId="77777777" w:rsidR="00E8157E" w:rsidRPr="002842C5" w:rsidRDefault="00E8157E" w:rsidP="002842C5">
      <w:pPr>
        <w:pStyle w:val="Sinespaciado"/>
        <w:spacing w:line="276" w:lineRule="auto"/>
        <w:jc w:val="both"/>
        <w:rPr>
          <w:rFonts w:ascii="Arial Narrow" w:hAnsi="Arial Narrow"/>
          <w:b/>
          <w:sz w:val="26"/>
          <w:szCs w:val="26"/>
        </w:rPr>
      </w:pPr>
    </w:p>
    <w:p w14:paraId="3D07B5AB" w14:textId="77777777" w:rsidR="00E8157E" w:rsidRPr="002842C5" w:rsidRDefault="00E8157E" w:rsidP="002842C5">
      <w:pPr>
        <w:pStyle w:val="Sinespaciado"/>
        <w:spacing w:line="276" w:lineRule="auto"/>
        <w:jc w:val="both"/>
        <w:rPr>
          <w:rFonts w:ascii="Arial Narrow" w:hAnsi="Arial Narrow"/>
          <w:bCs/>
          <w:sz w:val="26"/>
          <w:szCs w:val="26"/>
        </w:rPr>
      </w:pPr>
      <w:r w:rsidRPr="002842C5">
        <w:rPr>
          <w:rFonts w:ascii="Arial Narrow" w:hAnsi="Arial Narrow"/>
          <w:bCs/>
          <w:sz w:val="26"/>
          <w:szCs w:val="26"/>
        </w:rPr>
        <w:t xml:space="preserve">Actualmente, según indicadores de vida certificado por el DANE, la tercera edad se alcanza aproximadamente a los 76 años.  </w:t>
      </w:r>
    </w:p>
    <w:p w14:paraId="6BD13A82" w14:textId="77777777" w:rsidR="00E8157E" w:rsidRPr="002842C5" w:rsidRDefault="00E8157E" w:rsidP="002842C5">
      <w:pPr>
        <w:pStyle w:val="Sinespaciado"/>
        <w:spacing w:line="276" w:lineRule="auto"/>
        <w:jc w:val="both"/>
        <w:rPr>
          <w:rFonts w:ascii="Arial Narrow" w:hAnsi="Arial Narrow"/>
          <w:bCs/>
          <w:sz w:val="26"/>
          <w:szCs w:val="26"/>
        </w:rPr>
      </w:pPr>
    </w:p>
    <w:p w14:paraId="54BE81D0" w14:textId="77777777" w:rsidR="00E8157E" w:rsidRPr="002842C5" w:rsidRDefault="00E8157E" w:rsidP="002842C5">
      <w:pPr>
        <w:pStyle w:val="Sinespaciado"/>
        <w:spacing w:line="276" w:lineRule="auto"/>
        <w:jc w:val="both"/>
        <w:rPr>
          <w:rFonts w:ascii="Arial Narrow" w:hAnsi="Arial Narrow"/>
          <w:bCs/>
          <w:sz w:val="26"/>
          <w:szCs w:val="26"/>
        </w:rPr>
      </w:pPr>
      <w:r w:rsidRPr="002842C5">
        <w:rPr>
          <w:rFonts w:ascii="Arial Narrow" w:hAnsi="Arial Narrow"/>
          <w:bCs/>
          <w:sz w:val="26"/>
          <w:szCs w:val="26"/>
        </w:rPr>
        <w:t>Al tenor del artículo 47 de la Carta Nacional, son sujetos de especial protección constitucional quienes hayan superado la edad ant</w:t>
      </w:r>
      <w:r w:rsidR="00C142C1" w:rsidRPr="002842C5">
        <w:rPr>
          <w:rFonts w:ascii="Arial Narrow" w:hAnsi="Arial Narrow"/>
          <w:bCs/>
          <w:sz w:val="26"/>
          <w:szCs w:val="26"/>
        </w:rPr>
        <w:t>erior; ergo, la demandante</w:t>
      </w:r>
      <w:r w:rsidRPr="002842C5">
        <w:rPr>
          <w:rFonts w:ascii="Arial Narrow" w:hAnsi="Arial Narrow"/>
          <w:bCs/>
          <w:sz w:val="26"/>
          <w:szCs w:val="26"/>
        </w:rPr>
        <w:t xml:space="preserve"> no hace parte de ese grupo etario</w:t>
      </w:r>
      <w:r w:rsidRPr="002842C5">
        <w:rPr>
          <w:rStyle w:val="Refdenotaalpie"/>
          <w:rFonts w:ascii="Arial Narrow" w:hAnsi="Arial Narrow"/>
          <w:bCs/>
          <w:sz w:val="26"/>
          <w:szCs w:val="26"/>
        </w:rPr>
        <w:footnoteReference w:id="8"/>
      </w:r>
      <w:r w:rsidRPr="002842C5">
        <w:rPr>
          <w:rFonts w:ascii="Arial Narrow" w:hAnsi="Arial Narrow"/>
          <w:bCs/>
          <w:sz w:val="26"/>
          <w:szCs w:val="26"/>
        </w:rPr>
        <w:t xml:space="preserve">, lo que resta mérito a sus argumentos tendientes a entronar su edad como bastión de procedencia de la acción; máxime, si no se demuestran condiciones sociales, económicas o de salud que ameriten la intervención constitucional. </w:t>
      </w:r>
    </w:p>
    <w:p w14:paraId="2B86FAAE" w14:textId="77777777" w:rsidR="00E8157E" w:rsidRPr="002842C5" w:rsidRDefault="00E8157E" w:rsidP="002842C5">
      <w:pPr>
        <w:pStyle w:val="Sinespaciado"/>
        <w:spacing w:line="276" w:lineRule="auto"/>
        <w:jc w:val="both"/>
        <w:rPr>
          <w:rFonts w:ascii="Arial Narrow" w:hAnsi="Arial Narrow"/>
          <w:sz w:val="26"/>
          <w:szCs w:val="26"/>
        </w:rPr>
      </w:pPr>
    </w:p>
    <w:p w14:paraId="744BB12F" w14:textId="77777777" w:rsidR="00E8157E" w:rsidRPr="002842C5" w:rsidRDefault="00C142C1" w:rsidP="002842C5">
      <w:pPr>
        <w:pStyle w:val="Sinespaciado"/>
        <w:spacing w:line="276" w:lineRule="auto"/>
        <w:jc w:val="both"/>
        <w:rPr>
          <w:rFonts w:ascii="Arial Narrow" w:hAnsi="Arial Narrow" w:cs="Arial"/>
          <w:i/>
          <w:sz w:val="26"/>
          <w:szCs w:val="26"/>
        </w:rPr>
      </w:pPr>
      <w:r w:rsidRPr="002842C5">
        <w:rPr>
          <w:rFonts w:ascii="Arial Narrow" w:hAnsi="Arial Narrow"/>
          <w:b/>
          <w:bCs/>
          <w:sz w:val="26"/>
          <w:szCs w:val="26"/>
        </w:rPr>
        <w:t>5</w:t>
      </w:r>
      <w:r w:rsidR="00E8157E" w:rsidRPr="002842C5">
        <w:rPr>
          <w:rFonts w:ascii="Arial Narrow" w:hAnsi="Arial Narrow"/>
          <w:b/>
          <w:bCs/>
          <w:sz w:val="26"/>
          <w:szCs w:val="26"/>
        </w:rPr>
        <w:t>.2.</w:t>
      </w:r>
      <w:r w:rsidR="00E8157E" w:rsidRPr="002842C5">
        <w:rPr>
          <w:rFonts w:ascii="Arial Narrow" w:hAnsi="Arial Narrow"/>
          <w:bCs/>
          <w:sz w:val="26"/>
          <w:szCs w:val="26"/>
        </w:rPr>
        <w:t xml:space="preserve"> </w:t>
      </w:r>
      <w:r w:rsidRPr="002842C5">
        <w:rPr>
          <w:rFonts w:ascii="Arial Narrow" w:hAnsi="Arial Narrow"/>
          <w:bCs/>
          <w:sz w:val="26"/>
          <w:szCs w:val="26"/>
        </w:rPr>
        <w:t xml:space="preserve">La accionante </w:t>
      </w:r>
      <w:r w:rsidR="00E8157E" w:rsidRPr="002842C5">
        <w:rPr>
          <w:rFonts w:ascii="Arial Narrow" w:hAnsi="Arial Narrow"/>
          <w:sz w:val="26"/>
          <w:szCs w:val="26"/>
        </w:rPr>
        <w:t xml:space="preserve">tampoco demostró el advenimiento de un perjuicio irremediable con las características que le corresponden: </w:t>
      </w:r>
      <w:r w:rsidR="00E8157E" w:rsidRPr="002842C5">
        <w:rPr>
          <w:rFonts w:ascii="Arial Narrow" w:hAnsi="Arial Narrow" w:cs="Arial"/>
          <w:sz w:val="26"/>
          <w:szCs w:val="26"/>
        </w:rPr>
        <w:t>“</w:t>
      </w:r>
      <w:r w:rsidR="00E8157E" w:rsidRPr="00371543">
        <w:rPr>
          <w:rFonts w:ascii="Arial Narrow" w:hAnsi="Arial Narrow" w:cs="Arial"/>
          <w:i/>
          <w:sz w:val="24"/>
          <w:szCs w:val="26"/>
        </w:rPr>
        <w:t xml:space="preserve">(i) </w:t>
      </w:r>
      <w:r w:rsidR="00E8157E" w:rsidRPr="00371543">
        <w:rPr>
          <w:rFonts w:ascii="Arial Narrow" w:hAnsi="Arial Narrow" w:cs="Arial"/>
          <w:i/>
          <w:sz w:val="24"/>
          <w:szCs w:val="26"/>
          <w:u w:val="single"/>
        </w:rPr>
        <w:t>la inminencia del daño</w:t>
      </w:r>
      <w:r w:rsidR="00E8157E" w:rsidRPr="00371543">
        <w:rPr>
          <w:rFonts w:ascii="Arial Narrow" w:hAnsi="Arial Narrow" w:cs="Arial"/>
          <w:i/>
          <w:sz w:val="24"/>
          <w:szCs w:val="26"/>
        </w:rPr>
        <w:t xml:space="preserve">, es decir, que se trate de una amenaza que está por suceder prontamente, entendiendo por amenaza no la simple posibilidad de lesión, sino la probabilidad de sufrir un mal irreparable y grave de forma injustificada; (ii) </w:t>
      </w:r>
      <w:r w:rsidR="00E8157E" w:rsidRPr="00371543">
        <w:rPr>
          <w:rFonts w:ascii="Arial Narrow" w:hAnsi="Arial Narrow" w:cs="Arial"/>
          <w:i/>
          <w:sz w:val="24"/>
          <w:szCs w:val="26"/>
          <w:u w:val="single"/>
        </w:rPr>
        <w:t>la gravedad</w:t>
      </w:r>
      <w:r w:rsidR="00E8157E" w:rsidRPr="00371543">
        <w:rPr>
          <w:rFonts w:ascii="Arial Narrow" w:hAnsi="Arial Narrow" w:cs="Arial"/>
          <w:i/>
          <w:sz w:val="24"/>
          <w:szCs w:val="26"/>
        </w:rPr>
        <w:t>, esto es, que el daño o menoscabo material o moral en el haber jurídico de la persona sea de gran intensidad; (</w:t>
      </w:r>
      <w:proofErr w:type="spellStart"/>
      <w:r w:rsidR="00E8157E" w:rsidRPr="00371543">
        <w:rPr>
          <w:rFonts w:ascii="Arial Narrow" w:hAnsi="Arial Narrow" w:cs="Arial"/>
          <w:i/>
          <w:sz w:val="24"/>
          <w:szCs w:val="26"/>
        </w:rPr>
        <w:t>iii</w:t>
      </w:r>
      <w:proofErr w:type="spellEnd"/>
      <w:r w:rsidR="00E8157E" w:rsidRPr="00371543">
        <w:rPr>
          <w:rFonts w:ascii="Arial Narrow" w:hAnsi="Arial Narrow" w:cs="Arial"/>
          <w:i/>
          <w:sz w:val="24"/>
          <w:szCs w:val="26"/>
        </w:rPr>
        <w:t xml:space="preserve">) </w:t>
      </w:r>
      <w:r w:rsidR="00E8157E" w:rsidRPr="00371543">
        <w:rPr>
          <w:rFonts w:ascii="Arial Narrow" w:hAnsi="Arial Narrow" w:cs="Arial"/>
          <w:i/>
          <w:sz w:val="24"/>
          <w:szCs w:val="26"/>
          <w:u w:val="single"/>
        </w:rPr>
        <w:t>la urgencia</w:t>
      </w:r>
      <w:r w:rsidR="00E8157E" w:rsidRPr="00371543">
        <w:rPr>
          <w:rFonts w:ascii="Arial Narrow" w:hAnsi="Arial Narrow" w:cs="Arial"/>
          <w:i/>
          <w:sz w:val="24"/>
          <w:szCs w:val="26"/>
        </w:rPr>
        <w:t>, que exige la adopción de medidas prontas o inmediatas para conjurar la amenaza; (</w:t>
      </w:r>
      <w:proofErr w:type="spellStart"/>
      <w:r w:rsidR="00E8157E" w:rsidRPr="00371543">
        <w:rPr>
          <w:rFonts w:ascii="Arial Narrow" w:hAnsi="Arial Narrow" w:cs="Arial"/>
          <w:i/>
          <w:sz w:val="24"/>
          <w:szCs w:val="26"/>
        </w:rPr>
        <w:t>iv</w:t>
      </w:r>
      <w:proofErr w:type="spellEnd"/>
      <w:r w:rsidR="00E8157E" w:rsidRPr="00371543">
        <w:rPr>
          <w:rFonts w:ascii="Arial Narrow" w:hAnsi="Arial Narrow" w:cs="Arial"/>
          <w:i/>
          <w:sz w:val="24"/>
          <w:szCs w:val="26"/>
        </w:rPr>
        <w:t xml:space="preserve">) </w:t>
      </w:r>
      <w:r w:rsidR="00E8157E" w:rsidRPr="00371543">
        <w:rPr>
          <w:rFonts w:ascii="Arial Narrow" w:hAnsi="Arial Narrow" w:cs="Arial"/>
          <w:i/>
          <w:sz w:val="24"/>
          <w:szCs w:val="26"/>
          <w:u w:val="single"/>
        </w:rPr>
        <w:t xml:space="preserve">la </w:t>
      </w:r>
      <w:proofErr w:type="spellStart"/>
      <w:r w:rsidR="00E8157E" w:rsidRPr="00371543">
        <w:rPr>
          <w:rFonts w:ascii="Arial Narrow" w:hAnsi="Arial Narrow" w:cs="Arial"/>
          <w:i/>
          <w:sz w:val="24"/>
          <w:szCs w:val="26"/>
          <w:u w:val="single"/>
        </w:rPr>
        <w:t>impostergabilidad</w:t>
      </w:r>
      <w:proofErr w:type="spellEnd"/>
      <w:r w:rsidR="00E8157E" w:rsidRPr="00371543">
        <w:rPr>
          <w:rFonts w:ascii="Arial Narrow" w:hAnsi="Arial Narrow" w:cs="Arial"/>
          <w:i/>
          <w:sz w:val="24"/>
          <w:szCs w:val="26"/>
        </w:rPr>
        <w:t xml:space="preserve"> de la tutela, que implica acreditar la necesidad de recurrir al amparo como mecanismo expedito y necesario para la protección de los derechos fundamentales</w:t>
      </w:r>
      <w:r w:rsidR="00E8157E" w:rsidRPr="002842C5">
        <w:rPr>
          <w:rFonts w:ascii="Arial Narrow" w:hAnsi="Arial Narrow" w:cs="Arial"/>
          <w:i/>
          <w:sz w:val="26"/>
          <w:szCs w:val="26"/>
        </w:rPr>
        <w:t>”</w:t>
      </w:r>
      <w:r w:rsidR="00E8157E" w:rsidRPr="002842C5">
        <w:rPr>
          <w:rFonts w:ascii="Arial Narrow" w:hAnsi="Arial Narrow" w:cs="Arial"/>
          <w:sz w:val="26"/>
          <w:szCs w:val="26"/>
          <w:vertAlign w:val="superscript"/>
        </w:rPr>
        <w:footnoteReference w:id="9"/>
      </w:r>
      <w:r w:rsidR="00E8157E" w:rsidRPr="002842C5">
        <w:rPr>
          <w:rFonts w:ascii="Arial Narrow" w:hAnsi="Arial Narrow" w:cs="Arial"/>
          <w:i/>
          <w:sz w:val="26"/>
          <w:szCs w:val="26"/>
        </w:rPr>
        <w:t>.</w:t>
      </w:r>
    </w:p>
    <w:p w14:paraId="16D95F53" w14:textId="77777777" w:rsidR="00E8157E" w:rsidRPr="002842C5" w:rsidRDefault="00E8157E" w:rsidP="002842C5">
      <w:pPr>
        <w:pStyle w:val="Sinespaciado"/>
        <w:spacing w:line="276" w:lineRule="auto"/>
        <w:jc w:val="both"/>
        <w:rPr>
          <w:rFonts w:ascii="Arial Narrow" w:hAnsi="Arial Narrow" w:cs="Arial"/>
          <w:i/>
          <w:sz w:val="26"/>
          <w:szCs w:val="26"/>
        </w:rPr>
      </w:pPr>
    </w:p>
    <w:p w14:paraId="2C2AA162" w14:textId="77777777" w:rsidR="00E8157E" w:rsidRPr="002842C5" w:rsidRDefault="00E8157E" w:rsidP="002842C5">
      <w:pPr>
        <w:pStyle w:val="Sinespaciado"/>
        <w:spacing w:line="276" w:lineRule="auto"/>
        <w:jc w:val="both"/>
        <w:rPr>
          <w:rFonts w:ascii="Arial Narrow" w:hAnsi="Arial Narrow"/>
          <w:sz w:val="26"/>
          <w:szCs w:val="26"/>
        </w:rPr>
      </w:pPr>
      <w:r w:rsidRPr="002842C5">
        <w:rPr>
          <w:rFonts w:ascii="Arial Narrow" w:hAnsi="Arial Narrow"/>
          <w:sz w:val="26"/>
          <w:szCs w:val="26"/>
        </w:rPr>
        <w:t xml:space="preserve">En su lugar se alegó la falta de eficacia del proceso ordinario laboral para la salvaguarda del </w:t>
      </w:r>
      <w:r w:rsidRPr="002842C5">
        <w:rPr>
          <w:rFonts w:ascii="Arial Narrow" w:hAnsi="Arial Narrow"/>
          <w:sz w:val="26"/>
          <w:szCs w:val="26"/>
        </w:rPr>
        <w:lastRenderedPageBreak/>
        <w:t xml:space="preserve">derecho </w:t>
      </w:r>
      <w:r w:rsidR="00F416B8" w:rsidRPr="002842C5">
        <w:rPr>
          <w:rFonts w:ascii="Arial Narrow" w:hAnsi="Arial Narrow"/>
          <w:sz w:val="26"/>
          <w:szCs w:val="26"/>
        </w:rPr>
        <w:t>a la seguridad social</w:t>
      </w:r>
      <w:r w:rsidRPr="002842C5">
        <w:rPr>
          <w:rFonts w:ascii="Arial Narrow" w:hAnsi="Arial Narrow"/>
          <w:sz w:val="26"/>
          <w:szCs w:val="26"/>
        </w:rPr>
        <w:t xml:space="preserve"> perseguido frente a su avanzada edad, circunstancia que per se no demuestra las cualidades acabadas de mencionar. </w:t>
      </w:r>
    </w:p>
    <w:p w14:paraId="7A7E0936" w14:textId="77777777" w:rsidR="00C142C1" w:rsidRPr="002842C5" w:rsidRDefault="00C142C1" w:rsidP="002842C5">
      <w:pPr>
        <w:pStyle w:val="Sinespaciado"/>
        <w:spacing w:line="276" w:lineRule="auto"/>
        <w:jc w:val="both"/>
        <w:rPr>
          <w:rFonts w:ascii="Arial Narrow" w:hAnsi="Arial Narrow"/>
          <w:sz w:val="26"/>
          <w:szCs w:val="26"/>
        </w:rPr>
      </w:pPr>
    </w:p>
    <w:p w14:paraId="44D91B2E" w14:textId="7A84607F" w:rsidR="00E8157E" w:rsidRPr="002842C5" w:rsidRDefault="0016496B" w:rsidP="002842C5">
      <w:pPr>
        <w:pStyle w:val="Sinespaciado"/>
        <w:spacing w:line="276" w:lineRule="auto"/>
        <w:jc w:val="both"/>
        <w:rPr>
          <w:rFonts w:ascii="Arial Narrow" w:hAnsi="Arial Narrow"/>
          <w:sz w:val="26"/>
          <w:szCs w:val="26"/>
        </w:rPr>
      </w:pPr>
      <w:r w:rsidRPr="002842C5">
        <w:rPr>
          <w:rFonts w:ascii="Arial Narrow" w:hAnsi="Arial Narrow"/>
          <w:b/>
          <w:bCs/>
          <w:sz w:val="26"/>
          <w:szCs w:val="26"/>
        </w:rPr>
        <w:t xml:space="preserve">6. </w:t>
      </w:r>
      <w:r w:rsidR="00E8157E" w:rsidRPr="002842C5">
        <w:rPr>
          <w:rFonts w:ascii="Arial Narrow" w:hAnsi="Arial Narrow"/>
          <w:sz w:val="26"/>
          <w:szCs w:val="26"/>
        </w:rPr>
        <w:t>En suma, al no haberse acreditado que el mecanismo de defensa ordinario no es idóneo o eficaz para el caso concreto, se hacía improcedente la solicitud de amparo constitucional</w:t>
      </w:r>
      <w:r w:rsidR="00E8157E" w:rsidRPr="002842C5">
        <w:rPr>
          <w:rStyle w:val="Refdenotaalpie"/>
          <w:rFonts w:ascii="Arial Narrow" w:hAnsi="Arial Narrow"/>
          <w:sz w:val="26"/>
          <w:szCs w:val="26"/>
        </w:rPr>
        <w:footnoteReference w:id="10"/>
      </w:r>
      <w:r w:rsidR="00A74D4F" w:rsidRPr="002842C5">
        <w:rPr>
          <w:rFonts w:ascii="Arial Narrow" w:hAnsi="Arial Narrow"/>
          <w:b/>
          <w:bCs/>
          <w:sz w:val="26"/>
          <w:szCs w:val="26"/>
        </w:rPr>
        <w:t xml:space="preserve"> </w:t>
      </w:r>
      <w:r w:rsidR="00A74D4F" w:rsidRPr="002842C5">
        <w:rPr>
          <w:rFonts w:ascii="Arial Narrow" w:hAnsi="Arial Narrow"/>
          <w:sz w:val="26"/>
          <w:szCs w:val="26"/>
        </w:rPr>
        <w:t>por lo que se impone confirmar la decisión de primera instancia, sin que resulte imperioso entrar a pronunciarse sobre el fondo del debate planteado por la accionante.</w:t>
      </w:r>
    </w:p>
    <w:p w14:paraId="00F0B5F6" w14:textId="77777777" w:rsidR="0059086C" w:rsidRPr="00371543" w:rsidRDefault="0059086C" w:rsidP="002842C5">
      <w:pPr>
        <w:pStyle w:val="Sinespaciado"/>
        <w:spacing w:line="276" w:lineRule="auto"/>
        <w:jc w:val="both"/>
        <w:rPr>
          <w:rFonts w:ascii="Arial Narrow" w:hAnsi="Arial Narrow"/>
          <w:iCs/>
          <w:sz w:val="26"/>
          <w:szCs w:val="26"/>
        </w:rPr>
      </w:pPr>
    </w:p>
    <w:p w14:paraId="25831E03" w14:textId="2D815C69" w:rsidR="00E8157E" w:rsidRPr="002842C5" w:rsidRDefault="00E8157E" w:rsidP="002842C5">
      <w:pPr>
        <w:pStyle w:val="Sinespaciado"/>
        <w:spacing w:line="276" w:lineRule="auto"/>
        <w:jc w:val="center"/>
        <w:rPr>
          <w:rFonts w:ascii="Arial Narrow" w:hAnsi="Arial Narrow"/>
          <w:b/>
          <w:bCs/>
          <w:sz w:val="26"/>
          <w:szCs w:val="26"/>
          <w:u w:val="single"/>
        </w:rPr>
      </w:pPr>
      <w:r w:rsidRPr="002842C5">
        <w:rPr>
          <w:rFonts w:ascii="Arial Narrow" w:hAnsi="Arial Narrow"/>
          <w:b/>
          <w:bCs/>
          <w:sz w:val="26"/>
          <w:szCs w:val="26"/>
          <w:u w:val="single"/>
        </w:rPr>
        <w:t>DECISIÓN</w:t>
      </w:r>
    </w:p>
    <w:p w14:paraId="56C2EAE8" w14:textId="77777777" w:rsidR="0059086C" w:rsidRPr="002842C5" w:rsidRDefault="0059086C" w:rsidP="002842C5">
      <w:pPr>
        <w:pStyle w:val="Sinespaciado"/>
        <w:spacing w:line="276" w:lineRule="auto"/>
        <w:jc w:val="center"/>
        <w:rPr>
          <w:rFonts w:ascii="Arial Narrow" w:hAnsi="Arial Narrow"/>
          <w:bCs/>
          <w:sz w:val="26"/>
          <w:szCs w:val="26"/>
        </w:rPr>
      </w:pPr>
    </w:p>
    <w:p w14:paraId="060A83D3" w14:textId="77777777" w:rsidR="000E0D07" w:rsidRPr="002842C5" w:rsidRDefault="000E0D07" w:rsidP="002842C5">
      <w:pPr>
        <w:pStyle w:val="Sinespaciado"/>
        <w:spacing w:line="276" w:lineRule="auto"/>
        <w:jc w:val="both"/>
        <w:rPr>
          <w:rFonts w:ascii="Arial Narrow" w:hAnsi="Arial Narrow"/>
          <w:sz w:val="26"/>
          <w:szCs w:val="26"/>
        </w:rPr>
      </w:pPr>
    </w:p>
    <w:p w14:paraId="5C6FF1E5" w14:textId="77777777" w:rsidR="00AA072B" w:rsidRPr="002842C5" w:rsidRDefault="00AA072B" w:rsidP="002842C5">
      <w:pPr>
        <w:pStyle w:val="Sinespaciado"/>
        <w:spacing w:line="276" w:lineRule="auto"/>
        <w:jc w:val="both"/>
        <w:rPr>
          <w:rFonts w:ascii="Arial Narrow" w:hAnsi="Arial Narrow"/>
          <w:sz w:val="26"/>
          <w:szCs w:val="26"/>
        </w:rPr>
      </w:pPr>
      <w:r w:rsidRPr="002842C5">
        <w:rPr>
          <w:rFonts w:ascii="Arial Narrow" w:hAnsi="Arial Narrow"/>
          <w:sz w:val="26"/>
          <w:szCs w:val="26"/>
        </w:rPr>
        <w:t xml:space="preserve">Por lo expuesto, la </w:t>
      </w:r>
      <w:r w:rsidR="00E44D7A" w:rsidRPr="002842C5">
        <w:rPr>
          <w:rFonts w:ascii="Arial Narrow" w:hAnsi="Arial Narrow"/>
          <w:sz w:val="26"/>
          <w:szCs w:val="26"/>
        </w:rPr>
        <w:t xml:space="preserve">Sala 1 de Asuntos Penales para Adolescentes </w:t>
      </w:r>
      <w:r w:rsidRPr="002842C5">
        <w:rPr>
          <w:rFonts w:ascii="Arial Narrow" w:hAnsi="Arial Narrow"/>
          <w:sz w:val="26"/>
          <w:szCs w:val="26"/>
        </w:rPr>
        <w:t>del Tribunal Superior de Pereira, Risaralda, administrando justicia en nombre de la República y por autoridad de la ley,</w:t>
      </w:r>
    </w:p>
    <w:p w14:paraId="296DFD86" w14:textId="77777777" w:rsidR="0059086C" w:rsidRPr="002842C5" w:rsidRDefault="0059086C" w:rsidP="002842C5">
      <w:pPr>
        <w:pStyle w:val="Sinespaciado"/>
        <w:spacing w:line="276" w:lineRule="auto"/>
        <w:jc w:val="both"/>
        <w:rPr>
          <w:rFonts w:ascii="Arial Narrow" w:hAnsi="Arial Narrow"/>
          <w:sz w:val="26"/>
          <w:szCs w:val="26"/>
        </w:rPr>
      </w:pPr>
    </w:p>
    <w:p w14:paraId="039D59FF" w14:textId="77777777" w:rsidR="00AA072B" w:rsidRPr="002842C5" w:rsidRDefault="00AA072B" w:rsidP="002842C5">
      <w:pPr>
        <w:pStyle w:val="Sinespaciado"/>
        <w:spacing w:line="276" w:lineRule="auto"/>
        <w:jc w:val="center"/>
        <w:rPr>
          <w:rFonts w:ascii="Arial Narrow" w:hAnsi="Arial Narrow"/>
          <w:sz w:val="26"/>
          <w:szCs w:val="26"/>
          <w:u w:val="single"/>
        </w:rPr>
      </w:pPr>
      <w:r w:rsidRPr="002842C5">
        <w:rPr>
          <w:rFonts w:ascii="Arial Narrow" w:hAnsi="Arial Narrow"/>
          <w:b/>
          <w:bCs/>
          <w:sz w:val="26"/>
          <w:szCs w:val="26"/>
          <w:u w:val="single"/>
        </w:rPr>
        <w:t>RESUELVE</w:t>
      </w:r>
    </w:p>
    <w:p w14:paraId="469238F8" w14:textId="7BA3B559" w:rsidR="00AA072B" w:rsidRPr="002842C5" w:rsidRDefault="00AA072B" w:rsidP="002842C5">
      <w:pPr>
        <w:pStyle w:val="Sinespaciado"/>
        <w:spacing w:line="276" w:lineRule="auto"/>
        <w:jc w:val="center"/>
        <w:rPr>
          <w:rFonts w:ascii="Arial Narrow" w:hAnsi="Arial Narrow"/>
          <w:sz w:val="26"/>
          <w:szCs w:val="26"/>
        </w:rPr>
      </w:pPr>
    </w:p>
    <w:p w14:paraId="72A057CF" w14:textId="77777777" w:rsidR="00995658" w:rsidRPr="002842C5" w:rsidRDefault="00AA072B" w:rsidP="002842C5">
      <w:pPr>
        <w:pStyle w:val="Sinespaciado"/>
        <w:spacing w:line="276" w:lineRule="auto"/>
        <w:jc w:val="both"/>
        <w:rPr>
          <w:rFonts w:ascii="Arial Narrow" w:hAnsi="Arial Narrow"/>
          <w:sz w:val="26"/>
          <w:szCs w:val="26"/>
        </w:rPr>
      </w:pPr>
      <w:r w:rsidRPr="002842C5">
        <w:rPr>
          <w:rFonts w:ascii="Arial Narrow" w:hAnsi="Arial Narrow" w:cs="Arial"/>
          <w:b/>
          <w:bCs/>
          <w:sz w:val="26"/>
          <w:szCs w:val="26"/>
        </w:rPr>
        <w:t xml:space="preserve">PRIMERO: </w:t>
      </w:r>
      <w:r w:rsidRPr="002842C5">
        <w:rPr>
          <w:rFonts w:ascii="Arial Narrow" w:hAnsi="Arial Narrow"/>
          <w:sz w:val="26"/>
          <w:szCs w:val="26"/>
        </w:rPr>
        <w:t xml:space="preserve">Confirmar </w:t>
      </w:r>
      <w:r w:rsidR="000E0D07" w:rsidRPr="002842C5">
        <w:rPr>
          <w:rFonts w:ascii="Arial Narrow" w:hAnsi="Arial Narrow"/>
          <w:sz w:val="26"/>
          <w:szCs w:val="26"/>
        </w:rPr>
        <w:t xml:space="preserve">la sentencia del </w:t>
      </w:r>
      <w:r w:rsidR="00A8353C" w:rsidRPr="002842C5">
        <w:rPr>
          <w:rFonts w:ascii="Arial Narrow" w:hAnsi="Arial Narrow"/>
          <w:sz w:val="26"/>
          <w:szCs w:val="26"/>
        </w:rPr>
        <w:t xml:space="preserve">30 de abril de la presente anualidad, proferida por el Juzgado Segundo Penal del Circuito para Adolescentes con Función de Conocimiento de Pereira, en la acción de tutela promovida por Stella Franco </w:t>
      </w:r>
      <w:proofErr w:type="spellStart"/>
      <w:r w:rsidR="00A8353C" w:rsidRPr="002842C5">
        <w:rPr>
          <w:rFonts w:ascii="Arial Narrow" w:hAnsi="Arial Narrow"/>
          <w:sz w:val="26"/>
          <w:szCs w:val="26"/>
        </w:rPr>
        <w:t>Franco</w:t>
      </w:r>
      <w:proofErr w:type="spellEnd"/>
      <w:r w:rsidR="00A8353C" w:rsidRPr="002842C5">
        <w:rPr>
          <w:rFonts w:ascii="Arial Narrow" w:hAnsi="Arial Narrow"/>
          <w:sz w:val="26"/>
          <w:szCs w:val="26"/>
        </w:rPr>
        <w:t xml:space="preserve"> frente a Colpensiones</w:t>
      </w:r>
      <w:r w:rsidR="005E17E1" w:rsidRPr="002842C5">
        <w:rPr>
          <w:rFonts w:ascii="Arial Narrow" w:hAnsi="Arial Narrow"/>
          <w:sz w:val="26"/>
          <w:szCs w:val="26"/>
        </w:rPr>
        <w:t>.</w:t>
      </w:r>
    </w:p>
    <w:p w14:paraId="0C55989D" w14:textId="77777777" w:rsidR="00AA072B" w:rsidRPr="002842C5" w:rsidRDefault="00AA072B" w:rsidP="002842C5">
      <w:pPr>
        <w:pStyle w:val="Sinespaciado"/>
        <w:spacing w:line="276" w:lineRule="auto"/>
        <w:jc w:val="both"/>
        <w:rPr>
          <w:rFonts w:ascii="Arial Narrow" w:hAnsi="Arial Narrow"/>
          <w:sz w:val="26"/>
          <w:szCs w:val="26"/>
        </w:rPr>
      </w:pPr>
    </w:p>
    <w:p w14:paraId="4ACC6E9D" w14:textId="77777777" w:rsidR="00AA072B" w:rsidRPr="002842C5" w:rsidRDefault="00AA072B" w:rsidP="002842C5">
      <w:pPr>
        <w:pStyle w:val="Sinespaciado"/>
        <w:spacing w:line="276" w:lineRule="auto"/>
        <w:jc w:val="both"/>
        <w:rPr>
          <w:rFonts w:ascii="Arial Narrow" w:hAnsi="Arial Narrow" w:cs="Arial"/>
          <w:sz w:val="26"/>
          <w:szCs w:val="26"/>
        </w:rPr>
      </w:pPr>
      <w:r w:rsidRPr="002842C5">
        <w:rPr>
          <w:rFonts w:ascii="Arial Narrow" w:hAnsi="Arial Narrow" w:cs="Arial"/>
          <w:b/>
          <w:bCs/>
          <w:sz w:val="26"/>
          <w:szCs w:val="26"/>
        </w:rPr>
        <w:t>SEGUNDO: NOTIFICAR</w:t>
      </w:r>
      <w:r w:rsidRPr="002842C5">
        <w:rPr>
          <w:rFonts w:ascii="Arial Narrow" w:hAnsi="Arial Narrow" w:cs="Arial"/>
          <w:sz w:val="26"/>
          <w:szCs w:val="26"/>
        </w:rPr>
        <w:t xml:space="preserve"> a las partes lo aquí resuelto en la forma más expedita y eficaz posible. Comuníquese de igual forma al Juzgado de primera instancia.</w:t>
      </w:r>
    </w:p>
    <w:p w14:paraId="1FBC63FD" w14:textId="77777777" w:rsidR="00AA072B" w:rsidRPr="002842C5" w:rsidRDefault="00AA072B" w:rsidP="002842C5">
      <w:pPr>
        <w:pStyle w:val="Sinespaciado"/>
        <w:spacing w:line="276" w:lineRule="auto"/>
        <w:jc w:val="both"/>
        <w:rPr>
          <w:rFonts w:ascii="Arial Narrow" w:hAnsi="Arial Narrow" w:cs="Arial"/>
          <w:sz w:val="26"/>
          <w:szCs w:val="26"/>
        </w:rPr>
      </w:pPr>
    </w:p>
    <w:p w14:paraId="1954AA6B" w14:textId="77777777" w:rsidR="00AA072B" w:rsidRPr="002842C5" w:rsidRDefault="00AA072B" w:rsidP="002842C5">
      <w:pPr>
        <w:pStyle w:val="Sinespaciado"/>
        <w:spacing w:line="276" w:lineRule="auto"/>
        <w:jc w:val="both"/>
        <w:rPr>
          <w:rFonts w:ascii="Arial Narrow" w:hAnsi="Arial Narrow"/>
          <w:b/>
          <w:sz w:val="26"/>
          <w:szCs w:val="26"/>
        </w:rPr>
      </w:pPr>
      <w:r w:rsidRPr="002842C5">
        <w:rPr>
          <w:rFonts w:ascii="Arial Narrow" w:hAnsi="Arial Narrow" w:cs="Arial"/>
          <w:b/>
          <w:bCs/>
          <w:sz w:val="26"/>
          <w:szCs w:val="26"/>
        </w:rPr>
        <w:t xml:space="preserve">TERCERO: </w:t>
      </w:r>
      <w:r w:rsidRPr="002842C5">
        <w:rPr>
          <w:rFonts w:ascii="Arial Narrow" w:hAnsi="Arial Narrow" w:cs="Arial"/>
          <w:b/>
          <w:sz w:val="26"/>
          <w:szCs w:val="26"/>
        </w:rPr>
        <w:t>ENVIAR</w:t>
      </w:r>
      <w:r w:rsidRPr="002842C5">
        <w:rPr>
          <w:rFonts w:ascii="Arial Narrow" w:hAnsi="Arial Narrow" w:cs="Arial"/>
          <w:bCs/>
          <w:sz w:val="26"/>
          <w:szCs w:val="26"/>
        </w:rPr>
        <w:t xml:space="preserve"> </w:t>
      </w:r>
      <w:r w:rsidRPr="002842C5">
        <w:rPr>
          <w:rFonts w:ascii="Arial Narrow" w:hAnsi="Arial Narrow" w:cs="Arial"/>
          <w:sz w:val="26"/>
          <w:szCs w:val="26"/>
        </w:rPr>
        <w:t>oportunamente, el presente expediente a la Honorable Corte Constitucional para su eventual revisión</w:t>
      </w:r>
      <w:r w:rsidRPr="002842C5">
        <w:rPr>
          <w:rFonts w:ascii="Arial Narrow" w:hAnsi="Arial Narrow"/>
          <w:sz w:val="26"/>
          <w:szCs w:val="26"/>
        </w:rPr>
        <w:t>.</w:t>
      </w:r>
    </w:p>
    <w:p w14:paraId="601A859D" w14:textId="77777777" w:rsidR="00AA072B" w:rsidRPr="002842C5" w:rsidRDefault="00AA072B" w:rsidP="002842C5">
      <w:pPr>
        <w:pStyle w:val="Sinespaciado"/>
        <w:spacing w:line="276" w:lineRule="auto"/>
        <w:jc w:val="both"/>
        <w:rPr>
          <w:rFonts w:ascii="Arial Narrow" w:hAnsi="Arial Narrow"/>
          <w:sz w:val="26"/>
          <w:szCs w:val="26"/>
        </w:rPr>
      </w:pPr>
    </w:p>
    <w:p w14:paraId="5FD35725" w14:textId="77777777" w:rsidR="002842C5" w:rsidRPr="0073411A" w:rsidRDefault="002842C5" w:rsidP="002842C5">
      <w:pPr>
        <w:spacing w:line="276" w:lineRule="auto"/>
        <w:ind w:right="49"/>
        <w:jc w:val="center"/>
        <w:rPr>
          <w:rFonts w:ascii="Arial Narrow" w:hAnsi="Arial Narrow"/>
          <w:b/>
          <w:iCs/>
          <w:sz w:val="26"/>
          <w:szCs w:val="26"/>
        </w:rPr>
      </w:pPr>
      <w:r w:rsidRPr="0073411A">
        <w:rPr>
          <w:rFonts w:ascii="Arial Narrow" w:hAnsi="Arial Narrow"/>
          <w:b/>
          <w:iCs/>
          <w:sz w:val="26"/>
          <w:szCs w:val="26"/>
        </w:rPr>
        <w:t>NOTIFÍQUESE Y CÚMPLASE</w:t>
      </w:r>
    </w:p>
    <w:p w14:paraId="49C2FD95" w14:textId="77777777" w:rsidR="002842C5" w:rsidRPr="0073411A" w:rsidRDefault="002842C5" w:rsidP="002842C5">
      <w:pPr>
        <w:spacing w:line="276" w:lineRule="auto"/>
        <w:ind w:right="49"/>
        <w:jc w:val="center"/>
        <w:rPr>
          <w:rFonts w:ascii="Arial Narrow" w:hAnsi="Arial Narrow"/>
          <w:b/>
          <w:bCs/>
          <w:sz w:val="26"/>
          <w:szCs w:val="26"/>
        </w:rPr>
      </w:pPr>
    </w:p>
    <w:p w14:paraId="52F60957" w14:textId="640B6733" w:rsidR="002842C5" w:rsidRDefault="002842C5" w:rsidP="00D677FF">
      <w:pPr>
        <w:spacing w:line="276" w:lineRule="auto"/>
        <w:ind w:right="49"/>
        <w:rPr>
          <w:rFonts w:ascii="Arial Narrow" w:hAnsi="Arial Narrow"/>
          <w:b/>
          <w:bCs/>
          <w:sz w:val="26"/>
          <w:szCs w:val="26"/>
        </w:rPr>
      </w:pPr>
      <w:r w:rsidRPr="0073411A">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00A47AFD" wp14:editId="410EE92B">
                <wp:simplePos x="0" y="0"/>
                <wp:positionH relativeFrom="page">
                  <wp:posOffset>1311275</wp:posOffset>
                </wp:positionH>
                <wp:positionV relativeFrom="paragraph">
                  <wp:posOffset>9431655</wp:posOffset>
                </wp:positionV>
                <wp:extent cx="2359025" cy="652145"/>
                <wp:effectExtent l="0" t="0" r="22225"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07CA6B1E" w14:textId="77777777" w:rsidR="002842C5" w:rsidRDefault="002842C5" w:rsidP="002842C5">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7B7C04DC" w14:textId="77777777" w:rsidR="002842C5" w:rsidRDefault="002842C5" w:rsidP="002842C5">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A47AFD" id="Rectángulo 2" o:spid="_x0000_s1026" style="position:absolute;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R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AIJR8RPAIAAF8EAAAO&#10;AAAAAAAAAAAAAAAAAC4CAABkcnMvZTJvRG9jLnhtbFBLAQItABQABgAIAAAAIQBpJbO44gAAAA0B&#10;AAAPAAAAAAAAAAAAAAAAAJYEAABkcnMvZG93bnJldi54bWxQSwUGAAAAAAQABADzAAAApQUAAAAA&#10;" fillcolor="#f2f2f2" strokeweight="1.5pt">
                <v:stroke linestyle="thinThin" endcap="round"/>
                <v:textbox>
                  <w:txbxContent>
                    <w:p w14:paraId="07CA6B1E" w14:textId="77777777" w:rsidR="002842C5" w:rsidRDefault="002842C5" w:rsidP="002842C5">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7B7C04DC" w14:textId="77777777" w:rsidR="002842C5" w:rsidRDefault="002842C5" w:rsidP="002842C5">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73411A">
        <w:rPr>
          <w:rFonts w:ascii="Arial Narrow" w:hAnsi="Arial Narrow"/>
          <w:bCs/>
          <w:sz w:val="26"/>
          <w:szCs w:val="26"/>
        </w:rPr>
        <w:t xml:space="preserve">Los </w:t>
      </w:r>
      <w:r w:rsidR="00D677FF">
        <w:rPr>
          <w:rFonts w:ascii="Arial Narrow" w:hAnsi="Arial Narrow"/>
          <w:bCs/>
          <w:sz w:val="26"/>
          <w:szCs w:val="26"/>
        </w:rPr>
        <w:t>M</w:t>
      </w:r>
      <w:r w:rsidRPr="0073411A">
        <w:rPr>
          <w:rFonts w:ascii="Arial Narrow" w:hAnsi="Arial Narrow"/>
          <w:bCs/>
          <w:sz w:val="26"/>
          <w:szCs w:val="26"/>
        </w:rPr>
        <w:t>agistrados,</w:t>
      </w:r>
    </w:p>
    <w:p w14:paraId="43D135B5" w14:textId="77777777" w:rsidR="002842C5" w:rsidRPr="0073411A" w:rsidRDefault="002842C5" w:rsidP="002842C5">
      <w:pPr>
        <w:spacing w:line="276" w:lineRule="auto"/>
        <w:ind w:right="49"/>
        <w:jc w:val="center"/>
        <w:rPr>
          <w:rFonts w:ascii="Arial Narrow" w:hAnsi="Arial Narrow"/>
          <w:b/>
          <w:bCs/>
          <w:sz w:val="26"/>
          <w:szCs w:val="26"/>
        </w:rPr>
      </w:pPr>
    </w:p>
    <w:p w14:paraId="4C063832" w14:textId="77777777" w:rsidR="002842C5" w:rsidRPr="0073411A" w:rsidRDefault="002842C5" w:rsidP="002842C5">
      <w:pPr>
        <w:spacing w:line="276" w:lineRule="auto"/>
        <w:ind w:right="49"/>
        <w:jc w:val="center"/>
        <w:rPr>
          <w:rFonts w:ascii="Arial Narrow" w:hAnsi="Arial Narrow"/>
          <w:b/>
          <w:bCs/>
          <w:sz w:val="26"/>
          <w:szCs w:val="26"/>
        </w:rPr>
      </w:pPr>
    </w:p>
    <w:p w14:paraId="25A6AF08" w14:textId="77777777" w:rsidR="002842C5" w:rsidRPr="0073411A" w:rsidRDefault="002842C5" w:rsidP="002842C5">
      <w:pPr>
        <w:spacing w:line="276" w:lineRule="auto"/>
        <w:ind w:right="49"/>
        <w:jc w:val="center"/>
        <w:rPr>
          <w:rStyle w:val="normaltextrun"/>
          <w:rFonts w:ascii="Arial Narrow" w:hAnsi="Arial Narrow" w:cs="Segoe UI"/>
          <w:b/>
          <w:bCs/>
          <w:sz w:val="26"/>
          <w:szCs w:val="26"/>
          <w:lang w:val="es-ES"/>
        </w:rPr>
      </w:pPr>
      <w:r w:rsidRPr="0073411A">
        <w:rPr>
          <w:rStyle w:val="normaltextrun"/>
          <w:rFonts w:ascii="Arial Narrow" w:hAnsi="Arial Narrow" w:cs="Segoe UI"/>
          <w:b/>
          <w:bCs/>
          <w:sz w:val="26"/>
          <w:szCs w:val="26"/>
          <w:lang w:val="es-ES"/>
        </w:rPr>
        <w:t>CARLOS MAURICIO GARCÍA BARAJAS</w:t>
      </w:r>
    </w:p>
    <w:p w14:paraId="31D11A15" w14:textId="77777777" w:rsidR="002842C5" w:rsidRPr="0073411A" w:rsidRDefault="002842C5" w:rsidP="002842C5">
      <w:pPr>
        <w:spacing w:line="276" w:lineRule="auto"/>
        <w:ind w:right="49"/>
        <w:jc w:val="center"/>
        <w:rPr>
          <w:rStyle w:val="normaltextrun"/>
          <w:rFonts w:ascii="Arial Narrow" w:hAnsi="Arial Narrow" w:cs="Segoe UI"/>
          <w:b/>
          <w:bCs/>
          <w:sz w:val="26"/>
          <w:szCs w:val="26"/>
          <w:lang w:val="es-ES"/>
        </w:rPr>
      </w:pPr>
    </w:p>
    <w:p w14:paraId="3DE260FC" w14:textId="208300A6" w:rsidR="002842C5" w:rsidRDefault="002842C5" w:rsidP="002842C5">
      <w:pPr>
        <w:spacing w:line="276" w:lineRule="auto"/>
        <w:ind w:right="49"/>
        <w:jc w:val="center"/>
        <w:rPr>
          <w:rStyle w:val="normaltextrun"/>
          <w:rFonts w:ascii="Arial Narrow" w:hAnsi="Arial Narrow" w:cs="Segoe UI"/>
          <w:b/>
          <w:bCs/>
          <w:sz w:val="26"/>
          <w:szCs w:val="26"/>
          <w:lang w:val="es-ES"/>
        </w:rPr>
      </w:pPr>
    </w:p>
    <w:p w14:paraId="5CBC9401" w14:textId="77777777" w:rsidR="006F3ECB" w:rsidRPr="0073411A" w:rsidRDefault="006F3ECB" w:rsidP="002842C5">
      <w:pPr>
        <w:spacing w:line="276" w:lineRule="auto"/>
        <w:ind w:right="49"/>
        <w:jc w:val="center"/>
        <w:rPr>
          <w:rStyle w:val="normaltextrun"/>
          <w:rFonts w:ascii="Arial Narrow" w:hAnsi="Arial Narrow" w:cs="Segoe UI"/>
          <w:b/>
          <w:bCs/>
          <w:sz w:val="26"/>
          <w:szCs w:val="26"/>
          <w:lang w:val="es-ES"/>
        </w:rPr>
      </w:pPr>
    </w:p>
    <w:p w14:paraId="30AF76B8" w14:textId="77777777" w:rsidR="002842C5" w:rsidRPr="0073411A" w:rsidRDefault="002842C5" w:rsidP="002842C5">
      <w:pPr>
        <w:spacing w:line="276" w:lineRule="auto"/>
        <w:ind w:right="49"/>
        <w:jc w:val="center"/>
        <w:rPr>
          <w:rStyle w:val="normaltextrun"/>
          <w:rFonts w:ascii="Arial Narrow" w:hAnsi="Arial Narrow" w:cs="Segoe UI"/>
          <w:b/>
          <w:bCs/>
          <w:sz w:val="26"/>
          <w:szCs w:val="26"/>
          <w:lang w:val="es-ES"/>
        </w:rPr>
      </w:pPr>
      <w:r w:rsidRPr="0073411A">
        <w:rPr>
          <w:rStyle w:val="normaltextrun"/>
          <w:rFonts w:ascii="Arial Narrow" w:hAnsi="Arial Narrow" w:cs="Segoe UI"/>
          <w:b/>
          <w:bCs/>
          <w:sz w:val="26"/>
          <w:szCs w:val="26"/>
          <w:lang w:val="es-ES"/>
        </w:rPr>
        <w:t>DUBERNEY GRISALES HERRERA</w:t>
      </w:r>
    </w:p>
    <w:p w14:paraId="566A3C25" w14:textId="0BCE4C0C" w:rsidR="002842C5" w:rsidRDefault="002842C5" w:rsidP="002842C5">
      <w:pPr>
        <w:spacing w:line="276" w:lineRule="auto"/>
        <w:ind w:right="49"/>
        <w:jc w:val="center"/>
        <w:rPr>
          <w:rStyle w:val="normaltextrun"/>
          <w:rFonts w:ascii="Arial Narrow" w:hAnsi="Arial Narrow" w:cs="Segoe UI"/>
          <w:bCs/>
          <w:sz w:val="26"/>
          <w:szCs w:val="26"/>
          <w:lang w:val="es-ES"/>
        </w:rPr>
      </w:pPr>
      <w:r>
        <w:rPr>
          <w:rStyle w:val="normaltextrun"/>
          <w:rFonts w:ascii="Arial Narrow" w:hAnsi="Arial Narrow" w:cs="Segoe UI"/>
          <w:bCs/>
          <w:sz w:val="26"/>
          <w:szCs w:val="26"/>
          <w:lang w:val="es-ES"/>
        </w:rPr>
        <w:t>Con ausencia justificada</w:t>
      </w:r>
    </w:p>
    <w:p w14:paraId="2697B444" w14:textId="4986DC71" w:rsidR="002842C5" w:rsidRDefault="002842C5" w:rsidP="002842C5">
      <w:pPr>
        <w:spacing w:line="276" w:lineRule="auto"/>
        <w:ind w:right="49"/>
        <w:jc w:val="center"/>
        <w:rPr>
          <w:rStyle w:val="normaltextrun"/>
          <w:rFonts w:ascii="Arial Narrow" w:hAnsi="Arial Narrow" w:cs="Segoe UI"/>
          <w:bCs/>
          <w:sz w:val="26"/>
          <w:szCs w:val="26"/>
          <w:lang w:val="es-ES"/>
        </w:rPr>
      </w:pPr>
    </w:p>
    <w:p w14:paraId="55C3B6C3" w14:textId="77777777" w:rsidR="006F3ECB" w:rsidRPr="002842C5" w:rsidRDefault="006F3ECB" w:rsidP="002842C5">
      <w:pPr>
        <w:spacing w:line="276" w:lineRule="auto"/>
        <w:ind w:right="49"/>
        <w:jc w:val="center"/>
        <w:rPr>
          <w:rStyle w:val="normaltextrun"/>
          <w:rFonts w:ascii="Arial Narrow" w:hAnsi="Arial Narrow" w:cs="Segoe UI"/>
          <w:bCs/>
          <w:sz w:val="26"/>
          <w:szCs w:val="26"/>
          <w:lang w:val="es-ES"/>
        </w:rPr>
      </w:pPr>
    </w:p>
    <w:p w14:paraId="3E63CD60" w14:textId="77777777" w:rsidR="006F3ECB" w:rsidRPr="0073411A" w:rsidRDefault="006F3ECB" w:rsidP="002842C5">
      <w:pPr>
        <w:spacing w:line="276" w:lineRule="auto"/>
        <w:ind w:right="49"/>
        <w:jc w:val="center"/>
        <w:rPr>
          <w:rStyle w:val="normaltextrun"/>
          <w:rFonts w:ascii="Arial Narrow" w:hAnsi="Arial Narrow" w:cs="Segoe UI"/>
          <w:b/>
          <w:bCs/>
          <w:sz w:val="26"/>
          <w:szCs w:val="26"/>
          <w:lang w:val="es-ES"/>
        </w:rPr>
      </w:pPr>
    </w:p>
    <w:p w14:paraId="6DF2222D" w14:textId="03621DF7" w:rsidR="000E0D07" w:rsidRPr="006429C8" w:rsidRDefault="00E44D7A" w:rsidP="006429C8">
      <w:pPr>
        <w:pStyle w:val="Sinespaciado"/>
        <w:spacing w:line="276" w:lineRule="auto"/>
        <w:jc w:val="center"/>
        <w:rPr>
          <w:rFonts w:ascii="Arial Narrow" w:hAnsi="Arial Narrow"/>
          <w:b/>
          <w:sz w:val="26"/>
          <w:szCs w:val="26"/>
          <w:lang w:val="es-ES_tradnl"/>
        </w:rPr>
      </w:pPr>
      <w:r w:rsidRPr="002842C5">
        <w:rPr>
          <w:rFonts w:ascii="Arial Narrow" w:hAnsi="Arial Narrow"/>
          <w:b/>
          <w:sz w:val="26"/>
          <w:szCs w:val="26"/>
          <w:lang w:val="es-ES_tradnl"/>
        </w:rPr>
        <w:t>JORGE ARTURO CASTAÑO DUQUE</w:t>
      </w:r>
    </w:p>
    <w:sectPr w:rsidR="000E0D07" w:rsidRPr="006429C8" w:rsidSect="00C46475">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9506D" w14:textId="77777777" w:rsidR="00AF279F" w:rsidRDefault="00AF279F" w:rsidP="003E5CA4">
      <w:r>
        <w:separator/>
      </w:r>
    </w:p>
  </w:endnote>
  <w:endnote w:type="continuationSeparator" w:id="0">
    <w:p w14:paraId="6301C826" w14:textId="77777777" w:rsidR="00AF279F" w:rsidRDefault="00AF279F"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D8CC6" w14:textId="77777777" w:rsidR="00AF279F" w:rsidRDefault="00AF279F" w:rsidP="003E5CA4">
      <w:r>
        <w:separator/>
      </w:r>
    </w:p>
  </w:footnote>
  <w:footnote w:type="continuationSeparator" w:id="0">
    <w:p w14:paraId="5F56BA84" w14:textId="77777777" w:rsidR="00AF279F" w:rsidRDefault="00AF279F" w:rsidP="003E5CA4">
      <w:r>
        <w:continuationSeparator/>
      </w:r>
    </w:p>
  </w:footnote>
  <w:footnote w:id="1">
    <w:p w14:paraId="3A589001" w14:textId="77777777" w:rsidR="007839D0" w:rsidRPr="00371543" w:rsidRDefault="007839D0" w:rsidP="00371543">
      <w:pPr>
        <w:pStyle w:val="Textonotapie"/>
        <w:jc w:val="both"/>
        <w:rPr>
          <w:rFonts w:ascii="Arial" w:hAnsi="Arial" w:cs="Arial"/>
          <w:sz w:val="18"/>
          <w:szCs w:val="16"/>
          <w:lang w:val="es-MX"/>
        </w:rPr>
      </w:pPr>
      <w:r w:rsidRPr="00371543">
        <w:rPr>
          <w:rStyle w:val="Refdenotaalpie"/>
          <w:rFonts w:ascii="Arial" w:hAnsi="Arial" w:cs="Arial"/>
          <w:sz w:val="18"/>
          <w:szCs w:val="16"/>
        </w:rPr>
        <w:footnoteRef/>
      </w:r>
      <w:r w:rsidRPr="00371543">
        <w:rPr>
          <w:rFonts w:ascii="Arial" w:hAnsi="Arial" w:cs="Arial"/>
          <w:sz w:val="18"/>
          <w:szCs w:val="16"/>
        </w:rPr>
        <w:t xml:space="preserve"> </w:t>
      </w:r>
      <w:r w:rsidRPr="00371543">
        <w:rPr>
          <w:rFonts w:ascii="Arial" w:hAnsi="Arial" w:cs="Arial"/>
          <w:sz w:val="18"/>
          <w:szCs w:val="16"/>
          <w:lang w:val="es-MX"/>
        </w:rPr>
        <w:t xml:space="preserve">Documento </w:t>
      </w:r>
      <w:r w:rsidR="00421C9F" w:rsidRPr="00371543">
        <w:rPr>
          <w:rFonts w:ascii="Arial" w:hAnsi="Arial" w:cs="Arial"/>
          <w:sz w:val="18"/>
          <w:szCs w:val="16"/>
          <w:lang w:val="es-MX"/>
        </w:rPr>
        <w:t>0</w:t>
      </w:r>
      <w:r w:rsidR="00E44D7A" w:rsidRPr="00371543">
        <w:rPr>
          <w:rFonts w:ascii="Arial" w:hAnsi="Arial" w:cs="Arial"/>
          <w:sz w:val="18"/>
          <w:szCs w:val="16"/>
          <w:lang w:val="es-MX"/>
        </w:rPr>
        <w:t>3</w:t>
      </w:r>
      <w:r w:rsidRPr="00371543">
        <w:rPr>
          <w:rFonts w:ascii="Arial" w:hAnsi="Arial" w:cs="Arial"/>
          <w:sz w:val="18"/>
          <w:szCs w:val="16"/>
          <w:lang w:val="es-MX"/>
        </w:rPr>
        <w:t xml:space="preserve"> del cuaderno de primera instancia.</w:t>
      </w:r>
    </w:p>
  </w:footnote>
  <w:footnote w:id="2">
    <w:p w14:paraId="7299566B" w14:textId="77777777" w:rsidR="00421C9F" w:rsidRPr="00371543" w:rsidRDefault="00421C9F" w:rsidP="00371543">
      <w:pPr>
        <w:pStyle w:val="Textonotapie"/>
        <w:jc w:val="both"/>
        <w:rPr>
          <w:rFonts w:ascii="Arial" w:hAnsi="Arial" w:cs="Arial"/>
          <w:sz w:val="18"/>
          <w:szCs w:val="16"/>
          <w:lang w:val="es-MX"/>
        </w:rPr>
      </w:pPr>
      <w:r w:rsidRPr="00371543">
        <w:rPr>
          <w:rStyle w:val="Refdenotaalpie"/>
          <w:rFonts w:ascii="Arial" w:hAnsi="Arial" w:cs="Arial"/>
          <w:sz w:val="18"/>
          <w:szCs w:val="16"/>
        </w:rPr>
        <w:footnoteRef/>
      </w:r>
      <w:r w:rsidRPr="00371543">
        <w:rPr>
          <w:rFonts w:ascii="Arial" w:hAnsi="Arial" w:cs="Arial"/>
          <w:sz w:val="18"/>
          <w:szCs w:val="16"/>
        </w:rPr>
        <w:t xml:space="preserve"> </w:t>
      </w:r>
      <w:r w:rsidRPr="00371543">
        <w:rPr>
          <w:rFonts w:ascii="Arial" w:hAnsi="Arial" w:cs="Arial"/>
          <w:sz w:val="18"/>
          <w:szCs w:val="16"/>
          <w:lang w:val="es-MX"/>
        </w:rPr>
        <w:t>Documento 08 del cuaderno de primera instancia.</w:t>
      </w:r>
    </w:p>
  </w:footnote>
  <w:footnote w:id="3">
    <w:p w14:paraId="7F9541D3" w14:textId="77777777" w:rsidR="008A35CF" w:rsidRPr="00371543" w:rsidRDefault="008A35CF" w:rsidP="00371543">
      <w:pPr>
        <w:pStyle w:val="Textonotapie"/>
        <w:jc w:val="both"/>
        <w:rPr>
          <w:rFonts w:ascii="Arial" w:hAnsi="Arial" w:cs="Arial"/>
          <w:sz w:val="18"/>
          <w:szCs w:val="16"/>
          <w:lang w:val="es-MX"/>
        </w:rPr>
      </w:pPr>
      <w:r w:rsidRPr="00371543">
        <w:rPr>
          <w:rStyle w:val="Refdenotaalpie"/>
          <w:rFonts w:ascii="Arial" w:hAnsi="Arial" w:cs="Arial"/>
          <w:sz w:val="18"/>
          <w:szCs w:val="16"/>
        </w:rPr>
        <w:footnoteRef/>
      </w:r>
      <w:r w:rsidRPr="00371543">
        <w:rPr>
          <w:rFonts w:ascii="Arial" w:hAnsi="Arial" w:cs="Arial"/>
          <w:sz w:val="18"/>
          <w:szCs w:val="16"/>
        </w:rPr>
        <w:t xml:space="preserve"> </w:t>
      </w:r>
      <w:r w:rsidR="00A618C4" w:rsidRPr="00371543">
        <w:rPr>
          <w:rFonts w:ascii="Arial" w:hAnsi="Arial" w:cs="Arial"/>
          <w:sz w:val="18"/>
          <w:szCs w:val="16"/>
          <w:lang w:val="es-MX"/>
        </w:rPr>
        <w:t>Documento 09</w:t>
      </w:r>
      <w:r w:rsidR="00424B18" w:rsidRPr="00371543">
        <w:rPr>
          <w:rFonts w:ascii="Arial" w:hAnsi="Arial" w:cs="Arial"/>
          <w:sz w:val="18"/>
          <w:szCs w:val="16"/>
          <w:lang w:val="es-MX"/>
        </w:rPr>
        <w:t xml:space="preserve"> </w:t>
      </w:r>
      <w:r w:rsidRPr="00371543">
        <w:rPr>
          <w:rFonts w:ascii="Arial" w:hAnsi="Arial" w:cs="Arial"/>
          <w:sz w:val="18"/>
          <w:szCs w:val="16"/>
          <w:lang w:val="es-MX"/>
        </w:rPr>
        <w:t>del cuaderno de primera instancia.</w:t>
      </w:r>
    </w:p>
  </w:footnote>
  <w:footnote w:id="4">
    <w:p w14:paraId="1C0B3EB4" w14:textId="77777777" w:rsidR="00DA539C" w:rsidRPr="00371543" w:rsidRDefault="00DA539C" w:rsidP="00371543">
      <w:pPr>
        <w:pStyle w:val="Textonotapie"/>
        <w:jc w:val="both"/>
        <w:rPr>
          <w:rFonts w:ascii="Arial" w:hAnsi="Arial" w:cs="Arial"/>
          <w:sz w:val="18"/>
          <w:szCs w:val="16"/>
          <w:lang w:val="es-MX"/>
        </w:rPr>
      </w:pPr>
      <w:r w:rsidRPr="00371543">
        <w:rPr>
          <w:rStyle w:val="Refdenotaalpie"/>
          <w:rFonts w:ascii="Arial" w:hAnsi="Arial" w:cs="Arial"/>
          <w:sz w:val="18"/>
          <w:szCs w:val="16"/>
        </w:rPr>
        <w:footnoteRef/>
      </w:r>
      <w:r w:rsidRPr="00371543">
        <w:rPr>
          <w:rFonts w:ascii="Arial" w:hAnsi="Arial" w:cs="Arial"/>
          <w:sz w:val="18"/>
          <w:szCs w:val="16"/>
        </w:rPr>
        <w:t xml:space="preserve"> </w:t>
      </w:r>
      <w:r w:rsidR="002B41B7" w:rsidRPr="00371543">
        <w:rPr>
          <w:rFonts w:ascii="Arial" w:hAnsi="Arial" w:cs="Arial"/>
          <w:sz w:val="18"/>
          <w:szCs w:val="16"/>
          <w:lang w:val="es-MX"/>
        </w:rPr>
        <w:t>Archivo 8</w:t>
      </w:r>
      <w:r w:rsidRPr="00371543">
        <w:rPr>
          <w:rFonts w:ascii="Arial" w:hAnsi="Arial" w:cs="Arial"/>
          <w:sz w:val="18"/>
          <w:szCs w:val="16"/>
          <w:lang w:val="es-MX"/>
        </w:rPr>
        <w:t xml:space="preserve"> del cuaderno de primera instancia.</w:t>
      </w:r>
    </w:p>
  </w:footnote>
  <w:footnote w:id="5">
    <w:p w14:paraId="76714D63" w14:textId="77777777" w:rsidR="003F42B2" w:rsidRPr="00371543" w:rsidRDefault="003F42B2" w:rsidP="00371543">
      <w:pPr>
        <w:pStyle w:val="Textonotapie"/>
        <w:jc w:val="both"/>
        <w:rPr>
          <w:rFonts w:ascii="Arial" w:hAnsi="Arial" w:cs="Arial"/>
          <w:sz w:val="18"/>
          <w:szCs w:val="16"/>
        </w:rPr>
      </w:pPr>
      <w:r w:rsidRPr="00371543">
        <w:rPr>
          <w:rStyle w:val="Refdenotaalpie"/>
          <w:rFonts w:ascii="Arial" w:hAnsi="Arial" w:cs="Arial"/>
          <w:sz w:val="18"/>
          <w:szCs w:val="16"/>
        </w:rPr>
        <w:footnoteRef/>
      </w:r>
      <w:r w:rsidRPr="00371543">
        <w:rPr>
          <w:rFonts w:ascii="Arial" w:hAnsi="Arial" w:cs="Arial"/>
          <w:sz w:val="18"/>
          <w:szCs w:val="16"/>
        </w:rPr>
        <w:t xml:space="preserve"> Folios 3 a 6 del archivo 05 del cuaderno de primera instancia</w:t>
      </w:r>
    </w:p>
  </w:footnote>
  <w:footnote w:id="6">
    <w:p w14:paraId="73B2D289" w14:textId="77777777" w:rsidR="003F42B2" w:rsidRPr="00371543" w:rsidRDefault="003F42B2" w:rsidP="00371543">
      <w:pPr>
        <w:pStyle w:val="Textonotapie"/>
        <w:jc w:val="both"/>
        <w:rPr>
          <w:rFonts w:ascii="Arial" w:hAnsi="Arial" w:cs="Arial"/>
          <w:sz w:val="18"/>
          <w:szCs w:val="16"/>
        </w:rPr>
      </w:pPr>
      <w:r w:rsidRPr="00371543">
        <w:rPr>
          <w:rStyle w:val="Refdenotaalpie"/>
          <w:rFonts w:ascii="Arial" w:hAnsi="Arial" w:cs="Arial"/>
          <w:sz w:val="18"/>
          <w:szCs w:val="16"/>
        </w:rPr>
        <w:footnoteRef/>
      </w:r>
      <w:r w:rsidRPr="00371543">
        <w:rPr>
          <w:rFonts w:ascii="Arial" w:hAnsi="Arial" w:cs="Arial"/>
          <w:sz w:val="18"/>
          <w:szCs w:val="16"/>
        </w:rPr>
        <w:t xml:space="preserve"> Folios 10 a 12 del archivo 08 del cuaderno de primera instancia</w:t>
      </w:r>
    </w:p>
  </w:footnote>
  <w:footnote w:id="7">
    <w:p w14:paraId="10E906AA" w14:textId="77777777" w:rsidR="0038327E" w:rsidRPr="00371543" w:rsidRDefault="0038327E" w:rsidP="00371543">
      <w:pPr>
        <w:pStyle w:val="Textonotapie"/>
        <w:jc w:val="both"/>
        <w:rPr>
          <w:rFonts w:ascii="Arial" w:hAnsi="Arial" w:cs="Arial"/>
          <w:sz w:val="18"/>
          <w:szCs w:val="16"/>
          <w:lang w:val="es-CO"/>
        </w:rPr>
      </w:pPr>
      <w:r w:rsidRPr="00371543">
        <w:rPr>
          <w:rStyle w:val="Refdenotaalpie"/>
          <w:rFonts w:ascii="Arial" w:hAnsi="Arial" w:cs="Arial"/>
          <w:sz w:val="18"/>
          <w:szCs w:val="16"/>
        </w:rPr>
        <w:footnoteRef/>
      </w:r>
      <w:r w:rsidRPr="00371543">
        <w:rPr>
          <w:rFonts w:ascii="Arial" w:hAnsi="Arial" w:cs="Arial"/>
          <w:sz w:val="18"/>
          <w:szCs w:val="16"/>
        </w:rPr>
        <w:t xml:space="preserve"> </w:t>
      </w:r>
      <w:r w:rsidRPr="00371543">
        <w:rPr>
          <w:rFonts w:ascii="Arial" w:hAnsi="Arial" w:cs="Arial"/>
          <w:sz w:val="18"/>
          <w:szCs w:val="16"/>
          <w:lang w:val="es-CO"/>
        </w:rPr>
        <w:t>Folios 14 y 15 del documento 8 del cuaderno de primera instancia</w:t>
      </w:r>
    </w:p>
  </w:footnote>
  <w:footnote w:id="8">
    <w:p w14:paraId="2E43D07A" w14:textId="77777777" w:rsidR="00E8157E" w:rsidRPr="00371543" w:rsidRDefault="00E8157E" w:rsidP="00371543">
      <w:pPr>
        <w:pStyle w:val="Textonotapie"/>
        <w:jc w:val="both"/>
        <w:rPr>
          <w:rFonts w:ascii="Arial" w:hAnsi="Arial" w:cs="Arial"/>
          <w:sz w:val="18"/>
          <w:szCs w:val="16"/>
        </w:rPr>
      </w:pPr>
      <w:r w:rsidRPr="00371543">
        <w:rPr>
          <w:rStyle w:val="Refdenotaalpie"/>
          <w:rFonts w:ascii="Arial" w:hAnsi="Arial" w:cs="Arial"/>
          <w:sz w:val="18"/>
          <w:szCs w:val="16"/>
        </w:rPr>
        <w:footnoteRef/>
      </w:r>
      <w:r w:rsidRPr="00371543">
        <w:rPr>
          <w:rFonts w:ascii="Arial" w:hAnsi="Arial" w:cs="Arial"/>
          <w:sz w:val="18"/>
          <w:szCs w:val="16"/>
        </w:rPr>
        <w:t xml:space="preserve"> Según su d</w:t>
      </w:r>
      <w:r w:rsidR="00C142C1" w:rsidRPr="00371543">
        <w:rPr>
          <w:rFonts w:ascii="Arial" w:hAnsi="Arial" w:cs="Arial"/>
          <w:sz w:val="18"/>
          <w:szCs w:val="16"/>
        </w:rPr>
        <w:t>ocumento de identidad nació el 17</w:t>
      </w:r>
      <w:r w:rsidRPr="00371543">
        <w:rPr>
          <w:rFonts w:ascii="Arial" w:hAnsi="Arial" w:cs="Arial"/>
          <w:sz w:val="18"/>
          <w:szCs w:val="16"/>
        </w:rPr>
        <w:t xml:space="preserve"> de</w:t>
      </w:r>
      <w:r w:rsidR="00C142C1" w:rsidRPr="00371543">
        <w:rPr>
          <w:rFonts w:ascii="Arial" w:hAnsi="Arial" w:cs="Arial"/>
          <w:sz w:val="18"/>
          <w:szCs w:val="16"/>
        </w:rPr>
        <w:t xml:space="preserve"> marzo de 1960</w:t>
      </w:r>
      <w:r w:rsidRPr="00371543">
        <w:rPr>
          <w:rFonts w:ascii="Arial" w:hAnsi="Arial" w:cs="Arial"/>
          <w:sz w:val="18"/>
          <w:szCs w:val="16"/>
        </w:rPr>
        <w:t xml:space="preserve">, </w:t>
      </w:r>
      <w:r w:rsidR="00C142C1" w:rsidRPr="00371543">
        <w:rPr>
          <w:rFonts w:ascii="Arial" w:hAnsi="Arial" w:cs="Arial"/>
          <w:sz w:val="18"/>
          <w:szCs w:val="16"/>
        </w:rPr>
        <w:t>anexo 05</w:t>
      </w:r>
      <w:r w:rsidRPr="00371543">
        <w:rPr>
          <w:rFonts w:ascii="Arial" w:hAnsi="Arial" w:cs="Arial"/>
          <w:sz w:val="18"/>
          <w:szCs w:val="16"/>
        </w:rPr>
        <w:t xml:space="preserve"> del cuaderno de primera instancia, por lo que a la fecha cuenta</w:t>
      </w:r>
      <w:r w:rsidR="00C142C1" w:rsidRPr="00371543">
        <w:rPr>
          <w:rFonts w:ascii="Arial" w:hAnsi="Arial" w:cs="Arial"/>
          <w:sz w:val="18"/>
          <w:szCs w:val="16"/>
        </w:rPr>
        <w:t xml:space="preserve"> </w:t>
      </w:r>
      <w:r w:rsidRPr="00371543">
        <w:rPr>
          <w:rFonts w:ascii="Arial" w:hAnsi="Arial" w:cs="Arial"/>
          <w:sz w:val="18"/>
          <w:szCs w:val="16"/>
        </w:rPr>
        <w:t xml:space="preserve">con </w:t>
      </w:r>
      <w:r w:rsidR="00C142C1" w:rsidRPr="00371543">
        <w:rPr>
          <w:rFonts w:ascii="Arial" w:hAnsi="Arial" w:cs="Arial"/>
          <w:sz w:val="18"/>
          <w:szCs w:val="16"/>
        </w:rPr>
        <w:t>61</w:t>
      </w:r>
      <w:r w:rsidRPr="00371543">
        <w:rPr>
          <w:rFonts w:ascii="Arial" w:hAnsi="Arial" w:cs="Arial"/>
          <w:sz w:val="18"/>
          <w:szCs w:val="16"/>
        </w:rPr>
        <w:t xml:space="preserve"> años de edad.</w:t>
      </w:r>
    </w:p>
  </w:footnote>
  <w:footnote w:id="9">
    <w:p w14:paraId="7AA191C9" w14:textId="77777777" w:rsidR="00E8157E" w:rsidRPr="00371543" w:rsidRDefault="00E8157E" w:rsidP="00371543">
      <w:pPr>
        <w:pStyle w:val="Textonotapie"/>
        <w:jc w:val="both"/>
        <w:rPr>
          <w:rFonts w:ascii="Arial" w:hAnsi="Arial" w:cs="Arial"/>
          <w:sz w:val="18"/>
          <w:szCs w:val="16"/>
          <w:lang w:val="fr-FR"/>
        </w:rPr>
      </w:pPr>
      <w:r w:rsidRPr="00371543">
        <w:rPr>
          <w:rFonts w:ascii="Arial" w:hAnsi="Arial" w:cs="Arial"/>
          <w:sz w:val="18"/>
          <w:szCs w:val="16"/>
          <w:vertAlign w:val="superscript"/>
        </w:rPr>
        <w:footnoteRef/>
      </w:r>
      <w:r w:rsidRPr="00371543">
        <w:rPr>
          <w:rFonts w:ascii="Arial" w:hAnsi="Arial" w:cs="Arial"/>
          <w:sz w:val="18"/>
          <w:szCs w:val="16"/>
          <w:lang w:val="fr-FR"/>
        </w:rPr>
        <w:t xml:space="preserve"> Sentencias T-225 de 1993, T-436 de 2007, T-016 de 2008, T-1238 de 2008, T-273 de 2009,  </w:t>
      </w:r>
      <w:hyperlink r:id="rId1" w:tooltip="Haga clic para abrir la Sentencia T-660 de 2010" w:history="1">
        <w:r w:rsidRPr="00371543">
          <w:rPr>
            <w:rStyle w:val="Hipervnculo"/>
            <w:rFonts w:ascii="Arial" w:hAnsi="Arial" w:cs="Arial"/>
            <w:color w:val="000000"/>
            <w:sz w:val="18"/>
            <w:szCs w:val="16"/>
            <w:lang w:val="fr-FR"/>
          </w:rPr>
          <w:t>T-660 de 2010</w:t>
        </w:r>
      </w:hyperlink>
      <w:r w:rsidRPr="00371543">
        <w:rPr>
          <w:rFonts w:ascii="Arial" w:hAnsi="Arial" w:cs="Arial"/>
          <w:bCs/>
          <w:color w:val="000000"/>
          <w:sz w:val="18"/>
          <w:szCs w:val="16"/>
          <w:lang w:val="fr-FR"/>
        </w:rPr>
        <w:t xml:space="preserve"> y </w:t>
      </w:r>
      <w:r w:rsidRPr="00371543">
        <w:rPr>
          <w:rFonts w:ascii="Arial" w:hAnsi="Arial" w:cs="Arial"/>
          <w:bCs/>
          <w:sz w:val="18"/>
          <w:szCs w:val="16"/>
          <w:lang w:val="fr-FR"/>
        </w:rPr>
        <w:t>T-082 de 2016</w:t>
      </w:r>
      <w:r w:rsidRPr="00371543">
        <w:rPr>
          <w:rFonts w:ascii="Arial" w:hAnsi="Arial" w:cs="Arial"/>
          <w:sz w:val="18"/>
          <w:szCs w:val="16"/>
          <w:lang w:val="fr-FR"/>
        </w:rPr>
        <w:t xml:space="preserve">, entre </w:t>
      </w:r>
      <w:proofErr w:type="spellStart"/>
      <w:r w:rsidRPr="00371543">
        <w:rPr>
          <w:rFonts w:ascii="Arial" w:hAnsi="Arial" w:cs="Arial"/>
          <w:sz w:val="18"/>
          <w:szCs w:val="16"/>
          <w:lang w:val="fr-FR"/>
        </w:rPr>
        <w:t>otras</w:t>
      </w:r>
      <w:proofErr w:type="spellEnd"/>
      <w:r w:rsidRPr="00371543">
        <w:rPr>
          <w:rFonts w:ascii="Arial" w:hAnsi="Arial" w:cs="Arial"/>
          <w:sz w:val="18"/>
          <w:szCs w:val="16"/>
          <w:lang w:val="fr-FR"/>
        </w:rPr>
        <w:t>.</w:t>
      </w:r>
    </w:p>
  </w:footnote>
  <w:footnote w:id="10">
    <w:p w14:paraId="22160373" w14:textId="77777777" w:rsidR="00E8157E" w:rsidRPr="00D85811" w:rsidRDefault="00E8157E" w:rsidP="00371543">
      <w:pPr>
        <w:pStyle w:val="Textonotapie"/>
        <w:jc w:val="both"/>
        <w:rPr>
          <w:rFonts w:ascii="Arial Narrow" w:hAnsi="Arial Narrow"/>
          <w:sz w:val="16"/>
          <w:szCs w:val="16"/>
        </w:rPr>
      </w:pPr>
      <w:r w:rsidRPr="00371543">
        <w:rPr>
          <w:rStyle w:val="Refdenotaalpie"/>
          <w:rFonts w:ascii="Arial" w:hAnsi="Arial" w:cs="Arial"/>
          <w:sz w:val="18"/>
          <w:szCs w:val="16"/>
        </w:rPr>
        <w:footnoteRef/>
      </w:r>
      <w:r w:rsidRPr="00371543">
        <w:rPr>
          <w:rFonts w:ascii="Arial" w:hAnsi="Arial" w:cs="Arial"/>
          <w:sz w:val="18"/>
          <w:szCs w:val="16"/>
        </w:rPr>
        <w:t xml:space="preserve"> CC, sentencia T-237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CE10" w14:textId="53A106C4" w:rsidR="00B81A44" w:rsidRPr="00C46475" w:rsidRDefault="00C46475" w:rsidP="00C46475">
    <w:pPr>
      <w:pStyle w:val="Encabezado"/>
      <w:tabs>
        <w:tab w:val="clear" w:pos="4419"/>
        <w:tab w:val="clear" w:pos="8838"/>
      </w:tabs>
      <w:rPr>
        <w:rFonts w:ascii="Arial" w:hAnsi="Arial" w:cs="Arial"/>
        <w:bCs/>
        <w:sz w:val="18"/>
        <w:szCs w:val="16"/>
        <w:lang w:val="es-ES" w:eastAsia="es-MX"/>
      </w:rPr>
    </w:pPr>
    <w:bookmarkStart w:id="2" w:name="_Hlk73110737"/>
    <w:r w:rsidRPr="00C46475">
      <w:rPr>
        <w:rFonts w:ascii="Arial" w:hAnsi="Arial" w:cs="Arial"/>
        <w:sz w:val="18"/>
        <w:szCs w:val="16"/>
        <w:lang w:val="es-ES" w:eastAsia="es-MX"/>
      </w:rPr>
      <w:t>Acción de tutela (Segunda instancia)</w:t>
    </w:r>
    <w:r w:rsidRPr="00C46475">
      <w:rPr>
        <w:rFonts w:ascii="Arial" w:hAnsi="Arial" w:cs="Arial"/>
        <w:bCs/>
        <w:sz w:val="18"/>
        <w:szCs w:val="16"/>
        <w:lang w:val="es-ES" w:eastAsia="es-MX"/>
      </w:rPr>
      <w:t xml:space="preserve"> </w:t>
    </w:r>
  </w:p>
  <w:p w14:paraId="00F0E8B3" w14:textId="7C75F66E" w:rsidR="00B81A44" w:rsidRPr="00C46475" w:rsidRDefault="00784EA3" w:rsidP="00C46475">
    <w:pPr>
      <w:pStyle w:val="Encabezado"/>
      <w:tabs>
        <w:tab w:val="clear" w:pos="4419"/>
        <w:tab w:val="clear" w:pos="8838"/>
      </w:tabs>
      <w:rPr>
        <w:rFonts w:ascii="Arial" w:hAnsi="Arial" w:cs="Arial"/>
        <w:sz w:val="18"/>
        <w:szCs w:val="16"/>
        <w:lang w:val="es-ES" w:eastAsia="es-MX"/>
      </w:rPr>
    </w:pPr>
    <w:r w:rsidRPr="00C46475">
      <w:rPr>
        <w:rFonts w:ascii="Arial" w:hAnsi="Arial" w:cs="Arial"/>
        <w:sz w:val="18"/>
        <w:szCs w:val="16"/>
        <w:lang w:val="es-ES" w:eastAsia="es-MX"/>
      </w:rPr>
      <w:t>Accionante:</w:t>
    </w:r>
    <w:r w:rsidR="00C46475">
      <w:rPr>
        <w:rFonts w:ascii="Arial" w:hAnsi="Arial" w:cs="Arial"/>
        <w:sz w:val="18"/>
        <w:szCs w:val="16"/>
        <w:lang w:val="es-ES" w:eastAsia="es-MX"/>
      </w:rPr>
      <w:tab/>
    </w:r>
    <w:r w:rsidR="00D83915" w:rsidRPr="00C46475">
      <w:rPr>
        <w:rFonts w:ascii="Arial" w:hAnsi="Arial" w:cs="Arial"/>
        <w:sz w:val="18"/>
        <w:szCs w:val="16"/>
        <w:lang w:val="es-ES" w:eastAsia="es-MX"/>
      </w:rPr>
      <w:t xml:space="preserve">Stella Franco </w:t>
    </w:r>
    <w:proofErr w:type="spellStart"/>
    <w:r w:rsidR="00D83915" w:rsidRPr="00C46475">
      <w:rPr>
        <w:rFonts w:ascii="Arial" w:hAnsi="Arial" w:cs="Arial"/>
        <w:sz w:val="18"/>
        <w:szCs w:val="16"/>
        <w:lang w:val="es-ES" w:eastAsia="es-MX"/>
      </w:rPr>
      <w:t>Franco</w:t>
    </w:r>
    <w:proofErr w:type="spellEnd"/>
  </w:p>
  <w:p w14:paraId="351BC6F0" w14:textId="2AF0C733" w:rsidR="00B81A44" w:rsidRPr="00C46475" w:rsidRDefault="00784EA3" w:rsidP="00C46475">
    <w:pPr>
      <w:pStyle w:val="Encabezado"/>
      <w:tabs>
        <w:tab w:val="clear" w:pos="4419"/>
        <w:tab w:val="clear" w:pos="8838"/>
      </w:tabs>
      <w:rPr>
        <w:rFonts w:ascii="Arial" w:hAnsi="Arial" w:cs="Arial"/>
        <w:sz w:val="18"/>
        <w:szCs w:val="16"/>
        <w:lang w:val="es-ES" w:eastAsia="es-MX"/>
      </w:rPr>
    </w:pPr>
    <w:r w:rsidRPr="00C46475">
      <w:rPr>
        <w:rFonts w:ascii="Arial" w:hAnsi="Arial" w:cs="Arial"/>
        <w:sz w:val="18"/>
        <w:szCs w:val="16"/>
        <w:lang w:val="es-ES" w:eastAsia="es-MX"/>
      </w:rPr>
      <w:t>Accionado:</w:t>
    </w:r>
    <w:r w:rsidR="00C46475">
      <w:rPr>
        <w:rFonts w:ascii="Arial" w:hAnsi="Arial" w:cs="Arial"/>
        <w:sz w:val="18"/>
        <w:szCs w:val="16"/>
        <w:lang w:val="es-ES" w:eastAsia="es-MX"/>
      </w:rPr>
      <w:tab/>
    </w:r>
    <w:r w:rsidRPr="00C46475">
      <w:rPr>
        <w:rFonts w:ascii="Arial" w:hAnsi="Arial" w:cs="Arial"/>
        <w:sz w:val="18"/>
        <w:szCs w:val="16"/>
        <w:lang w:val="es-ES" w:eastAsia="es-MX"/>
      </w:rPr>
      <w:t>Colpensiones</w:t>
    </w:r>
  </w:p>
  <w:p w14:paraId="6302624E" w14:textId="6D01A64C" w:rsidR="007A3407" w:rsidRPr="00C46475" w:rsidRDefault="00784EA3" w:rsidP="00C46475">
    <w:pPr>
      <w:pStyle w:val="Encabezado"/>
      <w:tabs>
        <w:tab w:val="clear" w:pos="4419"/>
        <w:tab w:val="clear" w:pos="8838"/>
      </w:tabs>
      <w:rPr>
        <w:rFonts w:ascii="Arial" w:hAnsi="Arial" w:cs="Arial"/>
        <w:sz w:val="18"/>
        <w:szCs w:val="16"/>
        <w:lang w:val="es-ES" w:eastAsia="es-MX"/>
      </w:rPr>
    </w:pPr>
    <w:r w:rsidRPr="00C46475">
      <w:rPr>
        <w:rFonts w:ascii="Arial" w:hAnsi="Arial" w:cs="Arial"/>
        <w:sz w:val="18"/>
        <w:szCs w:val="16"/>
        <w:lang w:val="es-ES" w:eastAsia="es-MX"/>
      </w:rPr>
      <w:t>Radicado:</w:t>
    </w:r>
    <w:r w:rsidR="00C46475">
      <w:rPr>
        <w:rFonts w:ascii="Arial" w:hAnsi="Arial" w:cs="Arial"/>
        <w:sz w:val="18"/>
        <w:szCs w:val="16"/>
        <w:lang w:val="es-ES" w:eastAsia="es-MX"/>
      </w:rPr>
      <w:tab/>
    </w:r>
    <w:r w:rsidR="00D83915" w:rsidRPr="00C46475">
      <w:rPr>
        <w:rFonts w:ascii="Arial" w:hAnsi="Arial" w:cs="Arial"/>
        <w:sz w:val="18"/>
        <w:szCs w:val="16"/>
        <w:lang w:val="es-ES" w:eastAsia="es-MX"/>
      </w:rPr>
      <w:t>66001311800220210003301</w:t>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11091"/>
    <w:rsid w:val="0001120A"/>
    <w:rsid w:val="0001153F"/>
    <w:rsid w:val="000144FA"/>
    <w:rsid w:val="00045407"/>
    <w:rsid w:val="00052159"/>
    <w:rsid w:val="00062DD0"/>
    <w:rsid w:val="00085079"/>
    <w:rsid w:val="00097DBF"/>
    <w:rsid w:val="000A612F"/>
    <w:rsid w:val="000D0AE3"/>
    <w:rsid w:val="000D3E1B"/>
    <w:rsid w:val="000E0D07"/>
    <w:rsid w:val="000E0D8E"/>
    <w:rsid w:val="000F2F20"/>
    <w:rsid w:val="001052AD"/>
    <w:rsid w:val="0011089F"/>
    <w:rsid w:val="00112281"/>
    <w:rsid w:val="001170B6"/>
    <w:rsid w:val="001359CF"/>
    <w:rsid w:val="0014337D"/>
    <w:rsid w:val="001501EE"/>
    <w:rsid w:val="0016496B"/>
    <w:rsid w:val="001761A7"/>
    <w:rsid w:val="001901CE"/>
    <w:rsid w:val="00194865"/>
    <w:rsid w:val="00196C16"/>
    <w:rsid w:val="001A673D"/>
    <w:rsid w:val="001C65DD"/>
    <w:rsid w:val="00216711"/>
    <w:rsid w:val="00221B79"/>
    <w:rsid w:val="00223928"/>
    <w:rsid w:val="00224965"/>
    <w:rsid w:val="00242785"/>
    <w:rsid w:val="00252E74"/>
    <w:rsid w:val="00270D2C"/>
    <w:rsid w:val="00272F8D"/>
    <w:rsid w:val="002811D3"/>
    <w:rsid w:val="00281E8D"/>
    <w:rsid w:val="002842C5"/>
    <w:rsid w:val="00291999"/>
    <w:rsid w:val="00291A20"/>
    <w:rsid w:val="00292BF7"/>
    <w:rsid w:val="002973C4"/>
    <w:rsid w:val="002B1927"/>
    <w:rsid w:val="002B1DC5"/>
    <w:rsid w:val="002B41B7"/>
    <w:rsid w:val="002C2DC4"/>
    <w:rsid w:val="002C5067"/>
    <w:rsid w:val="002D2E60"/>
    <w:rsid w:val="00302167"/>
    <w:rsid w:val="00326EED"/>
    <w:rsid w:val="00340D60"/>
    <w:rsid w:val="003468C3"/>
    <w:rsid w:val="00347DE3"/>
    <w:rsid w:val="00352C0E"/>
    <w:rsid w:val="0036015B"/>
    <w:rsid w:val="00361E94"/>
    <w:rsid w:val="0036776C"/>
    <w:rsid w:val="00371543"/>
    <w:rsid w:val="003752C1"/>
    <w:rsid w:val="0038327E"/>
    <w:rsid w:val="003905D8"/>
    <w:rsid w:val="003B25B9"/>
    <w:rsid w:val="003C4A80"/>
    <w:rsid w:val="003D02D6"/>
    <w:rsid w:val="003D20D9"/>
    <w:rsid w:val="003D4440"/>
    <w:rsid w:val="003E2166"/>
    <w:rsid w:val="003E5A42"/>
    <w:rsid w:val="003E5CA4"/>
    <w:rsid w:val="003F11AE"/>
    <w:rsid w:val="003F42B2"/>
    <w:rsid w:val="004103D9"/>
    <w:rsid w:val="00421B80"/>
    <w:rsid w:val="00421C9F"/>
    <w:rsid w:val="00424B18"/>
    <w:rsid w:val="00432710"/>
    <w:rsid w:val="0046634B"/>
    <w:rsid w:val="004762AA"/>
    <w:rsid w:val="00487CBB"/>
    <w:rsid w:val="004913DF"/>
    <w:rsid w:val="004A0C30"/>
    <w:rsid w:val="004C1404"/>
    <w:rsid w:val="004D74FD"/>
    <w:rsid w:val="004E6996"/>
    <w:rsid w:val="00504C5A"/>
    <w:rsid w:val="00514855"/>
    <w:rsid w:val="00515E89"/>
    <w:rsid w:val="0052261A"/>
    <w:rsid w:val="00535CED"/>
    <w:rsid w:val="00543D54"/>
    <w:rsid w:val="005444A5"/>
    <w:rsid w:val="005675F9"/>
    <w:rsid w:val="0057719E"/>
    <w:rsid w:val="00586D88"/>
    <w:rsid w:val="00587417"/>
    <w:rsid w:val="0059086C"/>
    <w:rsid w:val="0059460F"/>
    <w:rsid w:val="005A3F17"/>
    <w:rsid w:val="005B5845"/>
    <w:rsid w:val="005C4D1B"/>
    <w:rsid w:val="005D1CEF"/>
    <w:rsid w:val="005E178A"/>
    <w:rsid w:val="005E17E1"/>
    <w:rsid w:val="005E300D"/>
    <w:rsid w:val="005E3017"/>
    <w:rsid w:val="005E66B2"/>
    <w:rsid w:val="005E77DE"/>
    <w:rsid w:val="005F42D1"/>
    <w:rsid w:val="0060202E"/>
    <w:rsid w:val="00602DD8"/>
    <w:rsid w:val="006429C8"/>
    <w:rsid w:val="00651019"/>
    <w:rsid w:val="00653DC1"/>
    <w:rsid w:val="00655B6C"/>
    <w:rsid w:val="00661745"/>
    <w:rsid w:val="00687B0F"/>
    <w:rsid w:val="0069552C"/>
    <w:rsid w:val="006A0766"/>
    <w:rsid w:val="006A4B01"/>
    <w:rsid w:val="006B0A3C"/>
    <w:rsid w:val="006B2753"/>
    <w:rsid w:val="006B785E"/>
    <w:rsid w:val="006C4291"/>
    <w:rsid w:val="006E20F6"/>
    <w:rsid w:val="006E36DC"/>
    <w:rsid w:val="006F3ECB"/>
    <w:rsid w:val="006F5D64"/>
    <w:rsid w:val="007232A7"/>
    <w:rsid w:val="00736921"/>
    <w:rsid w:val="0076215C"/>
    <w:rsid w:val="007813C4"/>
    <w:rsid w:val="007839D0"/>
    <w:rsid w:val="00784EA3"/>
    <w:rsid w:val="00786A03"/>
    <w:rsid w:val="0079052F"/>
    <w:rsid w:val="0079072C"/>
    <w:rsid w:val="007A3407"/>
    <w:rsid w:val="007A3C49"/>
    <w:rsid w:val="007A3C8B"/>
    <w:rsid w:val="007A4726"/>
    <w:rsid w:val="007B39BA"/>
    <w:rsid w:val="007B6490"/>
    <w:rsid w:val="007C2600"/>
    <w:rsid w:val="007C2D56"/>
    <w:rsid w:val="007C3AB1"/>
    <w:rsid w:val="007D4BDD"/>
    <w:rsid w:val="007F334B"/>
    <w:rsid w:val="00810D13"/>
    <w:rsid w:val="0082230D"/>
    <w:rsid w:val="008357CF"/>
    <w:rsid w:val="008364ED"/>
    <w:rsid w:val="0085308A"/>
    <w:rsid w:val="008717AA"/>
    <w:rsid w:val="00874898"/>
    <w:rsid w:val="0089389F"/>
    <w:rsid w:val="008A35CF"/>
    <w:rsid w:val="008D6921"/>
    <w:rsid w:val="008F07F9"/>
    <w:rsid w:val="0091270B"/>
    <w:rsid w:val="00915B6A"/>
    <w:rsid w:val="00917D9D"/>
    <w:rsid w:val="00924753"/>
    <w:rsid w:val="00931565"/>
    <w:rsid w:val="00936CE4"/>
    <w:rsid w:val="00965C0B"/>
    <w:rsid w:val="00975E82"/>
    <w:rsid w:val="00995658"/>
    <w:rsid w:val="009B5B74"/>
    <w:rsid w:val="009B5E31"/>
    <w:rsid w:val="009E5D2E"/>
    <w:rsid w:val="009F78FF"/>
    <w:rsid w:val="00A16AE2"/>
    <w:rsid w:val="00A1796C"/>
    <w:rsid w:val="00A25559"/>
    <w:rsid w:val="00A268BA"/>
    <w:rsid w:val="00A31807"/>
    <w:rsid w:val="00A327F0"/>
    <w:rsid w:val="00A55A7B"/>
    <w:rsid w:val="00A573A6"/>
    <w:rsid w:val="00A618C4"/>
    <w:rsid w:val="00A74D4F"/>
    <w:rsid w:val="00A8353C"/>
    <w:rsid w:val="00A851E3"/>
    <w:rsid w:val="00A97740"/>
    <w:rsid w:val="00AA072B"/>
    <w:rsid w:val="00AA65BC"/>
    <w:rsid w:val="00AB4BB4"/>
    <w:rsid w:val="00AC06AA"/>
    <w:rsid w:val="00AD2D8F"/>
    <w:rsid w:val="00AE60D4"/>
    <w:rsid w:val="00AE6849"/>
    <w:rsid w:val="00AF279F"/>
    <w:rsid w:val="00B21215"/>
    <w:rsid w:val="00B52903"/>
    <w:rsid w:val="00B534EF"/>
    <w:rsid w:val="00B5704A"/>
    <w:rsid w:val="00B6129B"/>
    <w:rsid w:val="00B66ADC"/>
    <w:rsid w:val="00B9535D"/>
    <w:rsid w:val="00BB6916"/>
    <w:rsid w:val="00BC3925"/>
    <w:rsid w:val="00BC3F8B"/>
    <w:rsid w:val="00BE10EB"/>
    <w:rsid w:val="00BE1A56"/>
    <w:rsid w:val="00BE620A"/>
    <w:rsid w:val="00C142C1"/>
    <w:rsid w:val="00C2444A"/>
    <w:rsid w:val="00C3498A"/>
    <w:rsid w:val="00C4324D"/>
    <w:rsid w:val="00C46475"/>
    <w:rsid w:val="00C649CD"/>
    <w:rsid w:val="00C86A8F"/>
    <w:rsid w:val="00C9427C"/>
    <w:rsid w:val="00CB01E8"/>
    <w:rsid w:val="00CB2F1A"/>
    <w:rsid w:val="00CB3DC2"/>
    <w:rsid w:val="00CB4B3F"/>
    <w:rsid w:val="00CC1B93"/>
    <w:rsid w:val="00CC3E08"/>
    <w:rsid w:val="00CC716B"/>
    <w:rsid w:val="00CE002F"/>
    <w:rsid w:val="00CE14AB"/>
    <w:rsid w:val="00CF0834"/>
    <w:rsid w:val="00D01B49"/>
    <w:rsid w:val="00D16DAA"/>
    <w:rsid w:val="00D2463E"/>
    <w:rsid w:val="00D27B1A"/>
    <w:rsid w:val="00D4046A"/>
    <w:rsid w:val="00D473CD"/>
    <w:rsid w:val="00D53472"/>
    <w:rsid w:val="00D535E5"/>
    <w:rsid w:val="00D57999"/>
    <w:rsid w:val="00D60FC3"/>
    <w:rsid w:val="00D616B3"/>
    <w:rsid w:val="00D6619E"/>
    <w:rsid w:val="00D677FF"/>
    <w:rsid w:val="00D7000C"/>
    <w:rsid w:val="00D730DC"/>
    <w:rsid w:val="00D81A0E"/>
    <w:rsid w:val="00D83915"/>
    <w:rsid w:val="00D85811"/>
    <w:rsid w:val="00DA539C"/>
    <w:rsid w:val="00DB3A5C"/>
    <w:rsid w:val="00DB6857"/>
    <w:rsid w:val="00DB7976"/>
    <w:rsid w:val="00DD4764"/>
    <w:rsid w:val="00DD71E2"/>
    <w:rsid w:val="00DE3EA5"/>
    <w:rsid w:val="00DE6C10"/>
    <w:rsid w:val="00DF171F"/>
    <w:rsid w:val="00DF5534"/>
    <w:rsid w:val="00E14C6B"/>
    <w:rsid w:val="00E26814"/>
    <w:rsid w:val="00E4362D"/>
    <w:rsid w:val="00E44D7A"/>
    <w:rsid w:val="00E473D4"/>
    <w:rsid w:val="00E60C5E"/>
    <w:rsid w:val="00E70CFA"/>
    <w:rsid w:val="00E8157E"/>
    <w:rsid w:val="00E87FD8"/>
    <w:rsid w:val="00E944B3"/>
    <w:rsid w:val="00EA1819"/>
    <w:rsid w:val="00EA20C5"/>
    <w:rsid w:val="00EB45CD"/>
    <w:rsid w:val="00EC1EAE"/>
    <w:rsid w:val="00ED768D"/>
    <w:rsid w:val="00EF130B"/>
    <w:rsid w:val="00F416B8"/>
    <w:rsid w:val="00F54053"/>
    <w:rsid w:val="00F63909"/>
    <w:rsid w:val="00F67419"/>
    <w:rsid w:val="00F918D6"/>
    <w:rsid w:val="00FE2098"/>
    <w:rsid w:val="00FE4CD6"/>
    <w:rsid w:val="00FF42C5"/>
    <w:rsid w:val="3272A596"/>
    <w:rsid w:val="4052CC69"/>
    <w:rsid w:val="4CEBD4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A31CC"/>
  <w15:docId w15:val="{AA9F95C2-BE9D-4DA5-9E1D-79087FBC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uentedeprrafopredeter"/>
    <w:rsid w:val="00284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59667248-89BB-46E4-B111-1468194F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2636</Words>
  <Characters>14501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65</cp:revision>
  <dcterms:created xsi:type="dcterms:W3CDTF">2021-06-18T03:53:00Z</dcterms:created>
  <dcterms:modified xsi:type="dcterms:W3CDTF">2021-09-27T15:59:00Z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